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FC354F3" w14:textId="2A994B3C" w:rsidR="007377D0" w:rsidRPr="00F02F9D" w:rsidRDefault="007377D0">
      <w:pPr>
        <w:spacing w:line="200" w:lineRule="exact"/>
        <w:rPr>
          <w:rFonts w:ascii="Arial" w:eastAsia="Times New Roman" w:hAnsi="Arial"/>
          <w:sz w:val="22"/>
          <w:szCs w:val="22"/>
        </w:rPr>
      </w:pPr>
    </w:p>
    <w:p w14:paraId="739EC1E5" w14:textId="77777777" w:rsidR="007377D0" w:rsidRPr="00F02F9D" w:rsidRDefault="007377D0">
      <w:pPr>
        <w:spacing w:line="200" w:lineRule="exact"/>
        <w:rPr>
          <w:rFonts w:ascii="Arial" w:eastAsia="Times New Roman" w:hAnsi="Arial"/>
          <w:sz w:val="22"/>
          <w:szCs w:val="22"/>
        </w:rPr>
      </w:pPr>
    </w:p>
    <w:p w14:paraId="2C81634E" w14:textId="77777777" w:rsidR="007377D0" w:rsidRPr="00F02F9D" w:rsidRDefault="007377D0">
      <w:pPr>
        <w:spacing w:line="200" w:lineRule="exact"/>
        <w:rPr>
          <w:rFonts w:ascii="Arial" w:eastAsia="Times New Roman" w:hAnsi="Arial"/>
          <w:sz w:val="22"/>
          <w:szCs w:val="22"/>
        </w:rPr>
      </w:pPr>
    </w:p>
    <w:p w14:paraId="7ACB7D93" w14:textId="77777777" w:rsidR="007377D0" w:rsidRPr="00F02F9D" w:rsidRDefault="007377D0">
      <w:pPr>
        <w:spacing w:line="200" w:lineRule="exact"/>
        <w:rPr>
          <w:rFonts w:ascii="Arial" w:eastAsia="Times New Roman" w:hAnsi="Arial"/>
          <w:sz w:val="22"/>
          <w:szCs w:val="22"/>
        </w:rPr>
      </w:pPr>
    </w:p>
    <w:p w14:paraId="6B9D733A" w14:textId="77777777" w:rsidR="007377D0" w:rsidRPr="00F02F9D" w:rsidRDefault="007377D0">
      <w:pPr>
        <w:spacing w:line="200" w:lineRule="exact"/>
        <w:rPr>
          <w:rFonts w:ascii="Arial" w:eastAsia="Times New Roman" w:hAnsi="Arial"/>
          <w:sz w:val="22"/>
          <w:szCs w:val="22"/>
        </w:rPr>
      </w:pPr>
    </w:p>
    <w:p w14:paraId="125A579B" w14:textId="77777777" w:rsidR="007377D0" w:rsidRPr="00F02F9D" w:rsidRDefault="007377D0">
      <w:pPr>
        <w:spacing w:line="200" w:lineRule="exact"/>
        <w:rPr>
          <w:rFonts w:ascii="Arial" w:eastAsia="Times New Roman" w:hAnsi="Arial"/>
          <w:sz w:val="22"/>
          <w:szCs w:val="22"/>
        </w:rPr>
      </w:pPr>
    </w:p>
    <w:p w14:paraId="2EDF9F90" w14:textId="77777777" w:rsidR="007377D0" w:rsidRPr="00F02F9D" w:rsidRDefault="007377D0">
      <w:pPr>
        <w:spacing w:line="200" w:lineRule="exact"/>
        <w:rPr>
          <w:rFonts w:ascii="Arial" w:eastAsia="Times New Roman" w:hAnsi="Arial"/>
          <w:sz w:val="22"/>
          <w:szCs w:val="22"/>
        </w:rPr>
      </w:pPr>
    </w:p>
    <w:p w14:paraId="53F93160" w14:textId="77777777" w:rsidR="007377D0" w:rsidRPr="00F02F9D" w:rsidRDefault="007377D0">
      <w:pPr>
        <w:spacing w:line="200" w:lineRule="exact"/>
        <w:rPr>
          <w:rFonts w:ascii="Arial" w:eastAsia="Times New Roman" w:hAnsi="Arial"/>
          <w:sz w:val="22"/>
          <w:szCs w:val="22"/>
        </w:rPr>
      </w:pPr>
    </w:p>
    <w:p w14:paraId="19E81674" w14:textId="77777777" w:rsidR="007377D0" w:rsidRPr="00F02F9D" w:rsidRDefault="007377D0">
      <w:pPr>
        <w:spacing w:line="200" w:lineRule="exact"/>
        <w:rPr>
          <w:rFonts w:ascii="Arial" w:eastAsia="Times New Roman" w:hAnsi="Arial"/>
          <w:sz w:val="22"/>
          <w:szCs w:val="22"/>
        </w:rPr>
      </w:pPr>
    </w:p>
    <w:p w14:paraId="77B22D2A" w14:textId="77777777" w:rsidR="007377D0" w:rsidRPr="00F02F9D" w:rsidRDefault="007377D0">
      <w:pPr>
        <w:spacing w:line="200" w:lineRule="exact"/>
        <w:rPr>
          <w:rFonts w:ascii="Arial" w:eastAsia="Times New Roman" w:hAnsi="Arial"/>
          <w:sz w:val="22"/>
          <w:szCs w:val="22"/>
        </w:rPr>
      </w:pPr>
    </w:p>
    <w:p w14:paraId="097B99F9" w14:textId="77777777" w:rsidR="007377D0" w:rsidRPr="00F02F9D" w:rsidRDefault="007377D0">
      <w:pPr>
        <w:spacing w:line="200" w:lineRule="exact"/>
        <w:rPr>
          <w:rFonts w:ascii="Arial" w:eastAsia="Times New Roman" w:hAnsi="Arial"/>
          <w:sz w:val="22"/>
          <w:szCs w:val="22"/>
        </w:rPr>
      </w:pPr>
    </w:p>
    <w:p w14:paraId="65CEA6B8" w14:textId="77777777" w:rsidR="007377D0" w:rsidRPr="00F02F9D" w:rsidRDefault="007377D0">
      <w:pPr>
        <w:spacing w:line="200" w:lineRule="exact"/>
        <w:rPr>
          <w:rFonts w:ascii="Arial" w:eastAsia="Times New Roman" w:hAnsi="Arial"/>
          <w:sz w:val="22"/>
          <w:szCs w:val="22"/>
        </w:rPr>
      </w:pPr>
    </w:p>
    <w:p w14:paraId="43DEC2B3" w14:textId="77777777" w:rsidR="007377D0" w:rsidRPr="00F02F9D" w:rsidRDefault="007377D0">
      <w:pPr>
        <w:spacing w:line="200" w:lineRule="exact"/>
        <w:rPr>
          <w:rFonts w:ascii="Arial" w:eastAsia="Times New Roman" w:hAnsi="Arial"/>
          <w:sz w:val="22"/>
          <w:szCs w:val="22"/>
        </w:rPr>
      </w:pPr>
    </w:p>
    <w:p w14:paraId="03CED328" w14:textId="77777777" w:rsidR="00627673" w:rsidRPr="005378E8" w:rsidRDefault="00627673" w:rsidP="00627673">
      <w:pPr>
        <w:spacing w:line="0" w:lineRule="atLeast"/>
        <w:ind w:right="-119"/>
        <w:jc w:val="center"/>
        <w:rPr>
          <w:rFonts w:ascii="Arial" w:eastAsia="Arial" w:hAnsi="Arial"/>
          <w:b/>
          <w:color w:val="0F243E"/>
          <w:sz w:val="40"/>
          <w:szCs w:val="40"/>
          <w:lang w:val="es-CR"/>
        </w:rPr>
      </w:pPr>
      <w:r w:rsidRPr="005378E8">
        <w:rPr>
          <w:rFonts w:ascii="Arial" w:eastAsia="Arial" w:hAnsi="Arial"/>
          <w:b/>
          <w:color w:val="0F243E"/>
          <w:sz w:val="40"/>
          <w:szCs w:val="40"/>
          <w:lang w:val="es-CR"/>
        </w:rPr>
        <w:t xml:space="preserve">MUNICIPALIDAD DE </w:t>
      </w:r>
    </w:p>
    <w:p w14:paraId="4ACD2CAF" w14:textId="5449D197" w:rsidR="00627673" w:rsidRPr="00F02F9D" w:rsidRDefault="008C25B1" w:rsidP="00627673">
      <w:pPr>
        <w:spacing w:line="0" w:lineRule="atLeast"/>
        <w:ind w:right="-119"/>
        <w:jc w:val="center"/>
        <w:rPr>
          <w:rFonts w:ascii="Arial" w:eastAsia="Arial" w:hAnsi="Arial"/>
          <w:b/>
          <w:color w:val="0F243E"/>
          <w:sz w:val="22"/>
          <w:szCs w:val="22"/>
          <w:lang w:val="es-CR"/>
        </w:rPr>
      </w:pPr>
      <w:r>
        <w:rPr>
          <w:rFonts w:ascii="Arial" w:eastAsia="Arial" w:hAnsi="Arial"/>
          <w:b/>
          <w:color w:val="0F243E"/>
          <w:sz w:val="40"/>
          <w:szCs w:val="40"/>
          <w:lang w:val="es-CR"/>
        </w:rPr>
        <w:t>BUENOS AIRES</w:t>
      </w:r>
    </w:p>
    <w:p w14:paraId="53E02F68" w14:textId="77777777" w:rsidR="007377D0" w:rsidRPr="00F02F9D" w:rsidRDefault="007377D0">
      <w:pPr>
        <w:spacing w:line="200" w:lineRule="exact"/>
        <w:rPr>
          <w:rFonts w:ascii="Arial" w:eastAsia="Times New Roman" w:hAnsi="Arial"/>
          <w:sz w:val="22"/>
          <w:szCs w:val="22"/>
          <w:lang w:val="es-CR"/>
        </w:rPr>
      </w:pPr>
    </w:p>
    <w:p w14:paraId="5A879593" w14:textId="77777777" w:rsidR="007377D0" w:rsidRPr="00F02F9D" w:rsidRDefault="007377D0">
      <w:pPr>
        <w:spacing w:line="200" w:lineRule="exact"/>
        <w:rPr>
          <w:rFonts w:ascii="Arial" w:eastAsia="Times New Roman" w:hAnsi="Arial"/>
          <w:sz w:val="22"/>
          <w:szCs w:val="22"/>
          <w:lang w:val="es-CR"/>
        </w:rPr>
      </w:pPr>
    </w:p>
    <w:p w14:paraId="1E821EB7" w14:textId="77777777" w:rsidR="007377D0" w:rsidRPr="00F02F9D" w:rsidRDefault="007377D0">
      <w:pPr>
        <w:spacing w:line="200" w:lineRule="exact"/>
        <w:rPr>
          <w:rFonts w:ascii="Arial" w:eastAsia="Times New Roman" w:hAnsi="Arial"/>
          <w:sz w:val="22"/>
          <w:szCs w:val="22"/>
          <w:lang w:val="es-CR"/>
        </w:rPr>
      </w:pPr>
    </w:p>
    <w:p w14:paraId="00E1250E" w14:textId="77777777" w:rsidR="007377D0" w:rsidRPr="00F02F9D" w:rsidRDefault="007377D0">
      <w:pPr>
        <w:spacing w:line="200" w:lineRule="exact"/>
        <w:rPr>
          <w:rFonts w:ascii="Arial" w:eastAsia="Times New Roman" w:hAnsi="Arial"/>
          <w:sz w:val="22"/>
          <w:szCs w:val="22"/>
          <w:lang w:val="es-CR"/>
        </w:rPr>
      </w:pPr>
    </w:p>
    <w:p w14:paraId="58574401" w14:textId="77777777" w:rsidR="007377D0" w:rsidRPr="00F02F9D" w:rsidRDefault="007377D0">
      <w:pPr>
        <w:spacing w:line="200" w:lineRule="exact"/>
        <w:rPr>
          <w:rFonts w:ascii="Arial" w:eastAsia="Times New Roman" w:hAnsi="Arial"/>
          <w:sz w:val="22"/>
          <w:szCs w:val="22"/>
          <w:lang w:val="es-CR"/>
        </w:rPr>
      </w:pPr>
    </w:p>
    <w:p w14:paraId="26D8C3DE" w14:textId="77777777" w:rsidR="007377D0" w:rsidRPr="00F02F9D" w:rsidRDefault="007377D0">
      <w:pPr>
        <w:spacing w:line="200" w:lineRule="exact"/>
        <w:rPr>
          <w:rFonts w:ascii="Arial" w:eastAsia="Times New Roman" w:hAnsi="Arial"/>
          <w:sz w:val="22"/>
          <w:szCs w:val="22"/>
          <w:lang w:val="es-CR"/>
        </w:rPr>
      </w:pPr>
    </w:p>
    <w:p w14:paraId="64DED0FF" w14:textId="77777777" w:rsidR="007377D0" w:rsidRPr="00F02F9D" w:rsidRDefault="007377D0">
      <w:pPr>
        <w:spacing w:line="200" w:lineRule="exact"/>
        <w:rPr>
          <w:rFonts w:ascii="Arial" w:eastAsia="Times New Roman" w:hAnsi="Arial"/>
          <w:sz w:val="22"/>
          <w:szCs w:val="22"/>
          <w:lang w:val="es-CR"/>
        </w:rPr>
      </w:pPr>
    </w:p>
    <w:p w14:paraId="5304AD10" w14:textId="77777777" w:rsidR="007377D0" w:rsidRPr="00F02F9D" w:rsidRDefault="007377D0">
      <w:pPr>
        <w:spacing w:line="200" w:lineRule="exact"/>
        <w:rPr>
          <w:rFonts w:ascii="Arial" w:eastAsia="Times New Roman" w:hAnsi="Arial"/>
          <w:sz w:val="22"/>
          <w:szCs w:val="22"/>
          <w:lang w:val="es-CR"/>
        </w:rPr>
      </w:pPr>
    </w:p>
    <w:p w14:paraId="75702443" w14:textId="77777777" w:rsidR="007377D0" w:rsidRPr="00F02F9D" w:rsidRDefault="007377D0">
      <w:pPr>
        <w:spacing w:line="200" w:lineRule="exact"/>
        <w:rPr>
          <w:rFonts w:ascii="Arial" w:eastAsia="Times New Roman" w:hAnsi="Arial"/>
          <w:sz w:val="22"/>
          <w:szCs w:val="22"/>
          <w:lang w:val="es-CR"/>
        </w:rPr>
      </w:pPr>
    </w:p>
    <w:p w14:paraId="6A2C1C4B" w14:textId="77777777" w:rsidR="007377D0" w:rsidRPr="00F02F9D" w:rsidRDefault="007377D0">
      <w:pPr>
        <w:spacing w:line="200" w:lineRule="exact"/>
        <w:rPr>
          <w:rFonts w:ascii="Arial" w:eastAsia="Times New Roman" w:hAnsi="Arial"/>
          <w:sz w:val="22"/>
          <w:szCs w:val="22"/>
          <w:lang w:val="es-CR"/>
        </w:rPr>
      </w:pPr>
    </w:p>
    <w:p w14:paraId="39465020" w14:textId="77777777" w:rsidR="007377D0" w:rsidRPr="00F02F9D" w:rsidRDefault="007377D0">
      <w:pPr>
        <w:spacing w:line="200" w:lineRule="exact"/>
        <w:rPr>
          <w:rFonts w:ascii="Arial" w:eastAsia="Times New Roman" w:hAnsi="Arial"/>
          <w:sz w:val="22"/>
          <w:szCs w:val="22"/>
          <w:lang w:val="es-CR"/>
        </w:rPr>
      </w:pPr>
    </w:p>
    <w:p w14:paraId="64BA1045" w14:textId="77777777" w:rsidR="007377D0" w:rsidRPr="00F02F9D" w:rsidRDefault="007377D0">
      <w:pPr>
        <w:spacing w:line="200" w:lineRule="exact"/>
        <w:rPr>
          <w:rFonts w:ascii="Arial" w:eastAsia="Times New Roman" w:hAnsi="Arial"/>
          <w:sz w:val="22"/>
          <w:szCs w:val="22"/>
          <w:lang w:val="es-CR"/>
        </w:rPr>
      </w:pPr>
    </w:p>
    <w:p w14:paraId="510F00D4" w14:textId="77777777" w:rsidR="007377D0" w:rsidRPr="00F02F9D" w:rsidRDefault="007377D0">
      <w:pPr>
        <w:spacing w:line="200" w:lineRule="exact"/>
        <w:rPr>
          <w:rFonts w:ascii="Arial" w:eastAsia="Times New Roman" w:hAnsi="Arial"/>
          <w:sz w:val="22"/>
          <w:szCs w:val="22"/>
          <w:lang w:val="es-CR"/>
        </w:rPr>
      </w:pPr>
    </w:p>
    <w:p w14:paraId="479FB615" w14:textId="77777777" w:rsidR="007377D0" w:rsidRPr="00F02F9D" w:rsidRDefault="007377D0">
      <w:pPr>
        <w:spacing w:line="251" w:lineRule="exact"/>
        <w:rPr>
          <w:rFonts w:ascii="Arial" w:eastAsia="Times New Roman" w:hAnsi="Arial"/>
          <w:sz w:val="22"/>
          <w:szCs w:val="22"/>
          <w:lang w:val="es-CR"/>
        </w:rPr>
      </w:pPr>
    </w:p>
    <w:p w14:paraId="155F5FEA" w14:textId="24786D96" w:rsidR="005378E8" w:rsidRDefault="0044652B">
      <w:pPr>
        <w:spacing w:line="0" w:lineRule="atLeast"/>
        <w:ind w:right="-119"/>
        <w:jc w:val="center"/>
        <w:rPr>
          <w:rFonts w:ascii="Arial" w:eastAsia="Arial" w:hAnsi="Arial"/>
          <w:b/>
          <w:color w:val="0F243E"/>
          <w:sz w:val="32"/>
          <w:szCs w:val="32"/>
          <w:lang w:val="es-CR"/>
        </w:rPr>
      </w:pPr>
      <w:r>
        <w:rPr>
          <w:rFonts w:ascii="Arial" w:eastAsia="Arial" w:hAnsi="Arial"/>
          <w:b/>
          <w:color w:val="0F243E"/>
          <w:sz w:val="32"/>
          <w:szCs w:val="32"/>
          <w:lang w:val="es-CR"/>
        </w:rPr>
        <w:t xml:space="preserve">Borrador </w:t>
      </w:r>
      <w:r w:rsidR="008A4688" w:rsidRPr="005378E8">
        <w:rPr>
          <w:rFonts w:ascii="Arial" w:eastAsia="Arial" w:hAnsi="Arial"/>
          <w:b/>
          <w:color w:val="0F243E"/>
          <w:sz w:val="32"/>
          <w:szCs w:val="32"/>
          <w:lang w:val="es-CR"/>
        </w:rPr>
        <w:t>Políticas de</w:t>
      </w:r>
      <w:r w:rsidR="005378E8">
        <w:rPr>
          <w:rFonts w:ascii="Arial" w:eastAsia="Arial" w:hAnsi="Arial"/>
          <w:b/>
          <w:color w:val="0F243E"/>
          <w:sz w:val="32"/>
          <w:szCs w:val="32"/>
          <w:lang w:val="es-CR"/>
        </w:rPr>
        <w:t xml:space="preserve"> </w:t>
      </w:r>
      <w:r w:rsidR="005378E8" w:rsidRPr="005378E8">
        <w:rPr>
          <w:rFonts w:ascii="Arial" w:eastAsia="Arial" w:hAnsi="Arial"/>
          <w:b/>
          <w:color w:val="0F243E"/>
          <w:sz w:val="32"/>
          <w:szCs w:val="32"/>
          <w:lang w:val="es-CR"/>
        </w:rPr>
        <w:t xml:space="preserve">Contabilidades </w:t>
      </w:r>
    </w:p>
    <w:p w14:paraId="21508CBD" w14:textId="6067067E" w:rsidR="007377D0" w:rsidRDefault="005378E8">
      <w:pPr>
        <w:spacing w:line="0" w:lineRule="atLeast"/>
        <w:ind w:right="-119"/>
        <w:jc w:val="center"/>
        <w:rPr>
          <w:rFonts w:ascii="Arial" w:eastAsia="Arial" w:hAnsi="Arial"/>
          <w:b/>
          <w:color w:val="0F243E"/>
          <w:sz w:val="32"/>
          <w:szCs w:val="32"/>
          <w:lang w:val="es-CR"/>
        </w:rPr>
      </w:pPr>
      <w:r w:rsidRPr="005378E8">
        <w:rPr>
          <w:rFonts w:ascii="Arial" w:eastAsia="Arial" w:hAnsi="Arial"/>
          <w:b/>
          <w:color w:val="0F243E"/>
          <w:sz w:val="32"/>
          <w:szCs w:val="32"/>
          <w:lang w:val="es-CR"/>
        </w:rPr>
        <w:t>sustentadas en NICSP</w:t>
      </w:r>
    </w:p>
    <w:p w14:paraId="65716132" w14:textId="7901A0D7" w:rsidR="0044652B" w:rsidRPr="005378E8" w:rsidRDefault="0044652B">
      <w:pPr>
        <w:spacing w:line="0" w:lineRule="atLeast"/>
        <w:ind w:right="-119"/>
        <w:jc w:val="center"/>
        <w:rPr>
          <w:rFonts w:ascii="Arial" w:eastAsia="Arial" w:hAnsi="Arial"/>
          <w:b/>
          <w:color w:val="0F243E"/>
          <w:sz w:val="32"/>
          <w:szCs w:val="32"/>
          <w:lang w:val="es-CR"/>
        </w:rPr>
      </w:pPr>
      <w:r>
        <w:rPr>
          <w:rFonts w:ascii="Arial" w:eastAsia="Arial" w:hAnsi="Arial"/>
          <w:b/>
          <w:color w:val="0F243E"/>
          <w:sz w:val="32"/>
          <w:szCs w:val="32"/>
          <w:lang w:val="es-CR"/>
        </w:rPr>
        <w:t>(Versión 1º)</w:t>
      </w:r>
    </w:p>
    <w:p w14:paraId="2479DEC0" w14:textId="77777777" w:rsidR="007377D0" w:rsidRPr="00F02F9D" w:rsidRDefault="007377D0">
      <w:pPr>
        <w:spacing w:line="200" w:lineRule="exact"/>
        <w:rPr>
          <w:rFonts w:ascii="Arial" w:eastAsia="Times New Roman" w:hAnsi="Arial"/>
          <w:sz w:val="22"/>
          <w:szCs w:val="22"/>
          <w:lang w:val="es-CR"/>
        </w:rPr>
      </w:pPr>
    </w:p>
    <w:p w14:paraId="72632B83" w14:textId="77777777" w:rsidR="007377D0" w:rsidRPr="00F02F9D" w:rsidRDefault="007377D0">
      <w:pPr>
        <w:spacing w:line="200" w:lineRule="exact"/>
        <w:rPr>
          <w:rFonts w:ascii="Arial" w:eastAsia="Times New Roman" w:hAnsi="Arial"/>
          <w:sz w:val="22"/>
          <w:szCs w:val="22"/>
          <w:lang w:val="es-CR"/>
        </w:rPr>
      </w:pPr>
    </w:p>
    <w:p w14:paraId="61893088" w14:textId="77777777" w:rsidR="007377D0" w:rsidRPr="00F02F9D" w:rsidRDefault="007377D0">
      <w:pPr>
        <w:spacing w:line="200" w:lineRule="exact"/>
        <w:rPr>
          <w:rFonts w:ascii="Arial" w:eastAsia="Times New Roman" w:hAnsi="Arial"/>
          <w:sz w:val="22"/>
          <w:szCs w:val="22"/>
          <w:lang w:val="es-CR"/>
        </w:rPr>
      </w:pPr>
    </w:p>
    <w:p w14:paraId="6717B9A1" w14:textId="77777777" w:rsidR="007377D0" w:rsidRPr="00F02F9D" w:rsidRDefault="007377D0">
      <w:pPr>
        <w:spacing w:line="200" w:lineRule="exact"/>
        <w:rPr>
          <w:rFonts w:ascii="Arial" w:eastAsia="Times New Roman" w:hAnsi="Arial"/>
          <w:sz w:val="22"/>
          <w:szCs w:val="22"/>
          <w:lang w:val="es-CR"/>
        </w:rPr>
      </w:pPr>
    </w:p>
    <w:p w14:paraId="143948BB" w14:textId="77777777" w:rsidR="007377D0" w:rsidRPr="00F02F9D" w:rsidRDefault="007377D0">
      <w:pPr>
        <w:spacing w:line="200" w:lineRule="exact"/>
        <w:rPr>
          <w:rFonts w:ascii="Arial" w:eastAsia="Times New Roman" w:hAnsi="Arial"/>
          <w:sz w:val="22"/>
          <w:szCs w:val="22"/>
          <w:lang w:val="es-CR"/>
        </w:rPr>
      </w:pPr>
    </w:p>
    <w:p w14:paraId="74A7EF58" w14:textId="77777777" w:rsidR="007377D0" w:rsidRPr="00F02F9D" w:rsidRDefault="007377D0">
      <w:pPr>
        <w:spacing w:line="200" w:lineRule="exact"/>
        <w:rPr>
          <w:rFonts w:ascii="Arial" w:eastAsia="Times New Roman" w:hAnsi="Arial"/>
          <w:sz w:val="22"/>
          <w:szCs w:val="22"/>
          <w:lang w:val="es-CR"/>
        </w:rPr>
      </w:pPr>
    </w:p>
    <w:p w14:paraId="6995F2C2" w14:textId="77777777" w:rsidR="007377D0" w:rsidRPr="00F02F9D" w:rsidRDefault="007377D0">
      <w:pPr>
        <w:spacing w:line="200" w:lineRule="exact"/>
        <w:rPr>
          <w:rFonts w:ascii="Arial" w:eastAsia="Times New Roman" w:hAnsi="Arial"/>
          <w:sz w:val="22"/>
          <w:szCs w:val="22"/>
          <w:lang w:val="es-CR"/>
        </w:rPr>
      </w:pPr>
    </w:p>
    <w:p w14:paraId="388EFCFB" w14:textId="77777777" w:rsidR="007377D0" w:rsidRPr="00F02F9D" w:rsidRDefault="007377D0">
      <w:pPr>
        <w:spacing w:line="200" w:lineRule="exact"/>
        <w:rPr>
          <w:rFonts w:ascii="Arial" w:eastAsia="Times New Roman" w:hAnsi="Arial"/>
          <w:sz w:val="22"/>
          <w:szCs w:val="22"/>
          <w:lang w:val="es-CR"/>
        </w:rPr>
      </w:pPr>
    </w:p>
    <w:p w14:paraId="608BF05D" w14:textId="77777777" w:rsidR="007377D0" w:rsidRPr="00F02F9D" w:rsidRDefault="007377D0">
      <w:pPr>
        <w:spacing w:line="200" w:lineRule="exact"/>
        <w:rPr>
          <w:rFonts w:ascii="Arial" w:eastAsia="Times New Roman" w:hAnsi="Arial"/>
          <w:sz w:val="22"/>
          <w:szCs w:val="22"/>
          <w:lang w:val="es-CR"/>
        </w:rPr>
      </w:pPr>
    </w:p>
    <w:p w14:paraId="73910F0D" w14:textId="77777777" w:rsidR="007377D0" w:rsidRPr="00F02F9D" w:rsidRDefault="007377D0">
      <w:pPr>
        <w:spacing w:line="200" w:lineRule="exact"/>
        <w:rPr>
          <w:rFonts w:ascii="Arial" w:eastAsia="Times New Roman" w:hAnsi="Arial"/>
          <w:sz w:val="22"/>
          <w:szCs w:val="22"/>
          <w:lang w:val="es-CR"/>
        </w:rPr>
      </w:pPr>
    </w:p>
    <w:p w14:paraId="1EFB5BD0" w14:textId="77777777" w:rsidR="007377D0" w:rsidRPr="00F02F9D" w:rsidRDefault="007377D0">
      <w:pPr>
        <w:spacing w:line="200" w:lineRule="exact"/>
        <w:rPr>
          <w:rFonts w:ascii="Arial" w:eastAsia="Times New Roman" w:hAnsi="Arial"/>
          <w:sz w:val="22"/>
          <w:szCs w:val="22"/>
          <w:lang w:val="es-CR"/>
        </w:rPr>
      </w:pPr>
    </w:p>
    <w:p w14:paraId="2BFDF83B" w14:textId="77777777" w:rsidR="007377D0" w:rsidRPr="00F02F9D" w:rsidRDefault="007377D0">
      <w:pPr>
        <w:spacing w:line="200" w:lineRule="exact"/>
        <w:rPr>
          <w:rFonts w:ascii="Arial" w:eastAsia="Times New Roman" w:hAnsi="Arial"/>
          <w:sz w:val="22"/>
          <w:szCs w:val="22"/>
          <w:lang w:val="es-CR"/>
        </w:rPr>
      </w:pPr>
    </w:p>
    <w:p w14:paraId="4928B5B7" w14:textId="77777777" w:rsidR="007377D0" w:rsidRPr="00F02F9D" w:rsidRDefault="007377D0">
      <w:pPr>
        <w:spacing w:line="200" w:lineRule="exact"/>
        <w:rPr>
          <w:rFonts w:ascii="Arial" w:eastAsia="Times New Roman" w:hAnsi="Arial"/>
          <w:sz w:val="22"/>
          <w:szCs w:val="22"/>
          <w:lang w:val="es-CR"/>
        </w:rPr>
      </w:pPr>
    </w:p>
    <w:p w14:paraId="39D015DB" w14:textId="77777777" w:rsidR="007377D0" w:rsidRPr="00F02F9D" w:rsidRDefault="007377D0">
      <w:pPr>
        <w:spacing w:line="200" w:lineRule="exact"/>
        <w:rPr>
          <w:rFonts w:ascii="Arial" w:eastAsia="Times New Roman" w:hAnsi="Arial"/>
          <w:sz w:val="22"/>
          <w:szCs w:val="22"/>
          <w:lang w:val="es-CR"/>
        </w:rPr>
      </w:pPr>
    </w:p>
    <w:p w14:paraId="7EE34D5E" w14:textId="77777777" w:rsidR="007377D0" w:rsidRPr="00F02F9D" w:rsidRDefault="007377D0">
      <w:pPr>
        <w:spacing w:line="200" w:lineRule="exact"/>
        <w:rPr>
          <w:rFonts w:ascii="Arial" w:eastAsia="Times New Roman" w:hAnsi="Arial"/>
          <w:sz w:val="22"/>
          <w:szCs w:val="22"/>
          <w:lang w:val="es-CR"/>
        </w:rPr>
      </w:pPr>
    </w:p>
    <w:p w14:paraId="711C150B" w14:textId="77777777" w:rsidR="007377D0" w:rsidRPr="00F02F9D" w:rsidRDefault="007377D0">
      <w:pPr>
        <w:spacing w:line="200" w:lineRule="exact"/>
        <w:rPr>
          <w:rFonts w:ascii="Arial" w:eastAsia="Times New Roman" w:hAnsi="Arial"/>
          <w:sz w:val="22"/>
          <w:szCs w:val="22"/>
          <w:lang w:val="es-CR"/>
        </w:rPr>
      </w:pPr>
    </w:p>
    <w:p w14:paraId="5D60379D" w14:textId="77777777" w:rsidR="007377D0" w:rsidRPr="00F02F9D" w:rsidRDefault="007377D0">
      <w:pPr>
        <w:spacing w:line="200" w:lineRule="exact"/>
        <w:rPr>
          <w:rFonts w:ascii="Arial" w:eastAsia="Times New Roman" w:hAnsi="Arial"/>
          <w:sz w:val="22"/>
          <w:szCs w:val="22"/>
          <w:lang w:val="es-CR"/>
        </w:rPr>
      </w:pPr>
    </w:p>
    <w:p w14:paraId="4F425C2C" w14:textId="77777777" w:rsidR="007377D0" w:rsidRPr="00F02F9D" w:rsidRDefault="007377D0">
      <w:pPr>
        <w:spacing w:line="200" w:lineRule="exact"/>
        <w:rPr>
          <w:rFonts w:ascii="Arial" w:eastAsia="Times New Roman" w:hAnsi="Arial"/>
          <w:sz w:val="22"/>
          <w:szCs w:val="22"/>
          <w:lang w:val="es-CR"/>
        </w:rPr>
      </w:pPr>
    </w:p>
    <w:p w14:paraId="3FD6F188" w14:textId="77777777" w:rsidR="007377D0" w:rsidRPr="00F02F9D" w:rsidRDefault="007377D0">
      <w:pPr>
        <w:spacing w:line="200" w:lineRule="exact"/>
        <w:rPr>
          <w:rFonts w:ascii="Arial" w:eastAsia="Times New Roman" w:hAnsi="Arial"/>
          <w:sz w:val="22"/>
          <w:szCs w:val="22"/>
          <w:lang w:val="es-CR"/>
        </w:rPr>
      </w:pPr>
    </w:p>
    <w:p w14:paraId="33FCB750" w14:textId="77777777" w:rsidR="007377D0" w:rsidRPr="00F02F9D" w:rsidRDefault="007377D0">
      <w:pPr>
        <w:spacing w:line="200" w:lineRule="exact"/>
        <w:rPr>
          <w:rFonts w:ascii="Arial" w:eastAsia="Times New Roman" w:hAnsi="Arial"/>
          <w:sz w:val="22"/>
          <w:szCs w:val="22"/>
          <w:lang w:val="es-CR"/>
        </w:rPr>
      </w:pPr>
    </w:p>
    <w:p w14:paraId="011147CA" w14:textId="77777777" w:rsidR="007377D0" w:rsidRPr="00F02F9D" w:rsidRDefault="007377D0">
      <w:pPr>
        <w:spacing w:line="200" w:lineRule="exact"/>
        <w:rPr>
          <w:rFonts w:ascii="Arial" w:eastAsia="Times New Roman" w:hAnsi="Arial"/>
          <w:sz w:val="22"/>
          <w:szCs w:val="22"/>
          <w:lang w:val="es-CR"/>
        </w:rPr>
      </w:pPr>
    </w:p>
    <w:p w14:paraId="0EFBCE0D" w14:textId="77777777" w:rsidR="007377D0" w:rsidRPr="00F02F9D" w:rsidRDefault="007377D0">
      <w:pPr>
        <w:spacing w:line="200" w:lineRule="exact"/>
        <w:rPr>
          <w:rFonts w:ascii="Arial" w:eastAsia="Times New Roman" w:hAnsi="Arial"/>
          <w:sz w:val="22"/>
          <w:szCs w:val="22"/>
          <w:lang w:val="es-CR"/>
        </w:rPr>
      </w:pPr>
    </w:p>
    <w:p w14:paraId="6D1C8F01" w14:textId="77777777" w:rsidR="007377D0" w:rsidRPr="00F02F9D" w:rsidRDefault="007377D0">
      <w:pPr>
        <w:spacing w:line="200" w:lineRule="exact"/>
        <w:rPr>
          <w:rFonts w:ascii="Arial" w:eastAsia="Times New Roman" w:hAnsi="Arial"/>
          <w:sz w:val="22"/>
          <w:szCs w:val="22"/>
          <w:lang w:val="es-CR"/>
        </w:rPr>
      </w:pPr>
    </w:p>
    <w:p w14:paraId="7BA70D3D" w14:textId="77777777" w:rsidR="007377D0" w:rsidRPr="00F02F9D" w:rsidRDefault="007377D0">
      <w:pPr>
        <w:spacing w:line="200" w:lineRule="exact"/>
        <w:rPr>
          <w:rFonts w:ascii="Arial" w:eastAsia="Times New Roman" w:hAnsi="Arial"/>
          <w:sz w:val="22"/>
          <w:szCs w:val="22"/>
          <w:lang w:val="es-CR"/>
        </w:rPr>
      </w:pPr>
    </w:p>
    <w:p w14:paraId="52B3C6BC" w14:textId="77777777" w:rsidR="007377D0" w:rsidRPr="00F02F9D" w:rsidRDefault="007377D0">
      <w:pPr>
        <w:spacing w:line="289" w:lineRule="exact"/>
        <w:rPr>
          <w:rFonts w:ascii="Arial" w:eastAsia="Times New Roman" w:hAnsi="Arial"/>
          <w:sz w:val="22"/>
          <w:szCs w:val="22"/>
          <w:lang w:val="es-CR"/>
        </w:rPr>
      </w:pPr>
    </w:p>
    <w:p w14:paraId="55DBF196" w14:textId="2E1D95DF" w:rsidR="007377D0" w:rsidRPr="005378E8" w:rsidRDefault="00B5026F">
      <w:pPr>
        <w:spacing w:line="0" w:lineRule="atLeast"/>
        <w:ind w:right="80"/>
        <w:jc w:val="center"/>
        <w:rPr>
          <w:rFonts w:ascii="Arial" w:eastAsia="Arial" w:hAnsi="Arial"/>
          <w:b/>
          <w:color w:val="0F243E"/>
          <w:sz w:val="24"/>
          <w:szCs w:val="24"/>
          <w:lang w:val="es-CR"/>
        </w:rPr>
      </w:pPr>
      <w:r w:rsidRPr="005378E8">
        <w:rPr>
          <w:rFonts w:ascii="Arial" w:eastAsia="Arial" w:hAnsi="Arial"/>
          <w:b/>
          <w:color w:val="0F243E"/>
          <w:sz w:val="24"/>
          <w:szCs w:val="24"/>
          <w:lang w:val="es-CR"/>
        </w:rPr>
        <w:t>XXX</w:t>
      </w:r>
      <w:r w:rsidR="00627673" w:rsidRPr="005378E8">
        <w:rPr>
          <w:rFonts w:ascii="Arial" w:eastAsia="Arial" w:hAnsi="Arial"/>
          <w:b/>
          <w:color w:val="0F243E"/>
          <w:sz w:val="24"/>
          <w:szCs w:val="24"/>
          <w:lang w:val="es-CR"/>
        </w:rPr>
        <w:t xml:space="preserve"> 202</w:t>
      </w:r>
      <w:r w:rsidRPr="005378E8">
        <w:rPr>
          <w:rFonts w:ascii="Arial" w:eastAsia="Arial" w:hAnsi="Arial"/>
          <w:b/>
          <w:color w:val="0F243E"/>
          <w:sz w:val="24"/>
          <w:szCs w:val="24"/>
          <w:lang w:val="es-CR"/>
        </w:rPr>
        <w:t>x</w:t>
      </w:r>
    </w:p>
    <w:p w14:paraId="71CFF8C8" w14:textId="6C1CD86A" w:rsidR="007377D0" w:rsidRPr="00F02F9D" w:rsidRDefault="007377D0">
      <w:pPr>
        <w:spacing w:line="229" w:lineRule="auto"/>
        <w:ind w:right="260"/>
        <w:jc w:val="right"/>
        <w:rPr>
          <w:rFonts w:ascii="Arial" w:eastAsia="Arial" w:hAnsi="Arial"/>
          <w:b/>
          <w:sz w:val="22"/>
          <w:szCs w:val="22"/>
          <w:lang w:val="es-CR"/>
        </w:rPr>
      </w:pPr>
    </w:p>
    <w:p w14:paraId="7FDEC7D4" w14:textId="77777777" w:rsidR="007377D0" w:rsidRDefault="007377D0">
      <w:pPr>
        <w:spacing w:line="229" w:lineRule="auto"/>
        <w:ind w:right="260"/>
        <w:jc w:val="right"/>
        <w:rPr>
          <w:rFonts w:ascii="Arial" w:eastAsia="Arial" w:hAnsi="Arial"/>
          <w:b/>
          <w:sz w:val="22"/>
          <w:szCs w:val="22"/>
          <w:lang w:val="es-CR"/>
        </w:rPr>
      </w:pPr>
    </w:p>
    <w:p w14:paraId="1FE4FE67" w14:textId="77777777" w:rsidR="006609F0" w:rsidRDefault="006609F0">
      <w:pPr>
        <w:spacing w:line="229" w:lineRule="auto"/>
        <w:ind w:right="260"/>
        <w:jc w:val="right"/>
        <w:rPr>
          <w:rFonts w:ascii="Arial" w:eastAsia="Arial" w:hAnsi="Arial"/>
          <w:b/>
          <w:sz w:val="22"/>
          <w:szCs w:val="22"/>
          <w:lang w:val="es-CR"/>
        </w:rPr>
      </w:pPr>
    </w:p>
    <w:p w14:paraId="3E43652C" w14:textId="77777777" w:rsidR="006609F0" w:rsidRDefault="006609F0">
      <w:pPr>
        <w:spacing w:line="229" w:lineRule="auto"/>
        <w:ind w:right="260"/>
        <w:jc w:val="right"/>
        <w:rPr>
          <w:rFonts w:ascii="Arial" w:eastAsia="Arial" w:hAnsi="Arial"/>
          <w:b/>
          <w:sz w:val="22"/>
          <w:szCs w:val="22"/>
          <w:lang w:val="es-CR"/>
        </w:rPr>
      </w:pPr>
    </w:p>
    <w:p w14:paraId="54FEF8FE" w14:textId="77777777" w:rsidR="006609F0" w:rsidRDefault="006609F0">
      <w:pPr>
        <w:spacing w:line="229" w:lineRule="auto"/>
        <w:ind w:right="260"/>
        <w:jc w:val="right"/>
        <w:rPr>
          <w:rFonts w:ascii="Arial" w:eastAsia="Arial" w:hAnsi="Arial"/>
          <w:b/>
          <w:sz w:val="22"/>
          <w:szCs w:val="22"/>
          <w:lang w:val="es-CR"/>
        </w:rPr>
      </w:pPr>
    </w:p>
    <w:p w14:paraId="0FFEBCE5" w14:textId="77777777" w:rsidR="006609F0" w:rsidRDefault="006609F0">
      <w:pPr>
        <w:spacing w:line="229" w:lineRule="auto"/>
        <w:ind w:right="260"/>
        <w:jc w:val="right"/>
        <w:rPr>
          <w:rFonts w:ascii="Arial" w:eastAsia="Arial" w:hAnsi="Arial"/>
          <w:b/>
          <w:sz w:val="22"/>
          <w:szCs w:val="22"/>
          <w:lang w:val="es-CR"/>
        </w:rPr>
      </w:pPr>
    </w:p>
    <w:p w14:paraId="5B892BCE" w14:textId="77777777" w:rsidR="006609F0" w:rsidRDefault="006609F0">
      <w:pPr>
        <w:spacing w:line="229" w:lineRule="auto"/>
        <w:ind w:right="260"/>
        <w:jc w:val="right"/>
        <w:rPr>
          <w:rFonts w:ascii="Arial" w:eastAsia="Arial" w:hAnsi="Arial"/>
          <w:b/>
          <w:sz w:val="22"/>
          <w:szCs w:val="22"/>
          <w:lang w:val="es-CR"/>
        </w:rPr>
      </w:pPr>
    </w:p>
    <w:p w14:paraId="33F7A969" w14:textId="77777777" w:rsidR="006609F0" w:rsidRDefault="006609F0">
      <w:pPr>
        <w:spacing w:line="229" w:lineRule="auto"/>
        <w:ind w:right="260"/>
        <w:jc w:val="right"/>
        <w:rPr>
          <w:rFonts w:ascii="Arial" w:eastAsia="Arial" w:hAnsi="Arial"/>
          <w:b/>
          <w:sz w:val="22"/>
          <w:szCs w:val="22"/>
          <w:lang w:val="es-CR"/>
        </w:rPr>
      </w:pPr>
    </w:p>
    <w:sdt>
      <w:sdtPr>
        <w:rPr>
          <w:rFonts w:ascii="Calibri" w:eastAsia="Calibri" w:hAnsi="Calibri" w:cs="Arial"/>
          <w:b/>
          <w:bCs/>
          <w:color w:val="auto"/>
          <w:sz w:val="20"/>
          <w:szCs w:val="20"/>
        </w:rPr>
        <w:id w:val="1952739268"/>
        <w:docPartObj>
          <w:docPartGallery w:val="Table of Contents"/>
          <w:docPartUnique/>
        </w:docPartObj>
      </w:sdtPr>
      <w:sdtEndPr>
        <w:rPr>
          <w:noProof/>
        </w:rPr>
      </w:sdtEndPr>
      <w:sdtContent>
        <w:p w14:paraId="581EFD86" w14:textId="003BC13B" w:rsidR="006609F0" w:rsidRPr="00FB4CAF" w:rsidRDefault="00FB4CAF" w:rsidP="00FB4CAF">
          <w:pPr>
            <w:pStyle w:val="TtuloTDC"/>
            <w:jc w:val="center"/>
            <w:rPr>
              <w:b/>
              <w:bCs/>
              <w:color w:val="auto"/>
              <w:lang w:val="es-CR"/>
            </w:rPr>
          </w:pPr>
          <w:r w:rsidRPr="00FB4CAF">
            <w:rPr>
              <w:b/>
              <w:bCs/>
              <w:color w:val="auto"/>
              <w:lang w:val="es-CR"/>
            </w:rPr>
            <w:t>Contenido</w:t>
          </w:r>
        </w:p>
        <w:p w14:paraId="199AAAA7" w14:textId="6030B95C" w:rsidR="0091631A" w:rsidRDefault="006609F0">
          <w:pPr>
            <w:pStyle w:val="TDC1"/>
            <w:rPr>
              <w:rFonts w:asciiTheme="minorHAnsi" w:eastAsiaTheme="minorEastAsia" w:hAnsiTheme="minorHAnsi" w:cstheme="minorBidi"/>
              <w:kern w:val="2"/>
              <w:sz w:val="24"/>
              <w:szCs w:val="24"/>
              <w:lang w:val="en-US"/>
              <w14:ligatures w14:val="standardContextual"/>
            </w:rPr>
          </w:pPr>
          <w:r>
            <w:rPr>
              <w:noProof w:val="0"/>
            </w:rPr>
            <w:fldChar w:fldCharType="begin"/>
          </w:r>
          <w:r>
            <w:instrText xml:space="preserve"> TOC \o "1-3" \h \z \u </w:instrText>
          </w:r>
          <w:r>
            <w:rPr>
              <w:noProof w:val="0"/>
            </w:rPr>
            <w:fldChar w:fldCharType="separate"/>
          </w:r>
          <w:hyperlink w:anchor="_Toc172726188" w:history="1">
            <w:r w:rsidR="0091631A" w:rsidRPr="00823710">
              <w:rPr>
                <w:rStyle w:val="Hipervnculo"/>
                <w:rFonts w:ascii="Arial Narrow" w:hAnsi="Arial Narrow"/>
                <w:b/>
                <w:bCs/>
              </w:rPr>
              <w:t>INTRODUCCIÓN</w:t>
            </w:r>
            <w:r w:rsidR="0091631A">
              <w:rPr>
                <w:webHidden/>
              </w:rPr>
              <w:tab/>
            </w:r>
            <w:r w:rsidR="0091631A">
              <w:rPr>
                <w:webHidden/>
              </w:rPr>
              <w:fldChar w:fldCharType="begin"/>
            </w:r>
            <w:r w:rsidR="0091631A">
              <w:rPr>
                <w:webHidden/>
              </w:rPr>
              <w:instrText xml:space="preserve"> PAGEREF _Toc172726188 \h </w:instrText>
            </w:r>
            <w:r w:rsidR="0091631A">
              <w:rPr>
                <w:webHidden/>
              </w:rPr>
            </w:r>
            <w:r w:rsidR="0091631A">
              <w:rPr>
                <w:webHidden/>
              </w:rPr>
              <w:fldChar w:fldCharType="separate"/>
            </w:r>
            <w:r w:rsidR="0091631A">
              <w:rPr>
                <w:webHidden/>
              </w:rPr>
              <w:t>6</w:t>
            </w:r>
            <w:r w:rsidR="0091631A">
              <w:rPr>
                <w:webHidden/>
              </w:rPr>
              <w:fldChar w:fldCharType="end"/>
            </w:r>
          </w:hyperlink>
        </w:p>
        <w:p w14:paraId="5D918F06" w14:textId="63BEB7F2" w:rsidR="0091631A" w:rsidRDefault="009D13CC">
          <w:pPr>
            <w:pStyle w:val="TDC1"/>
            <w:rPr>
              <w:rFonts w:asciiTheme="minorHAnsi" w:eastAsiaTheme="minorEastAsia" w:hAnsiTheme="minorHAnsi" w:cstheme="minorBidi"/>
              <w:kern w:val="2"/>
              <w:sz w:val="24"/>
              <w:szCs w:val="24"/>
              <w:lang w:val="en-US"/>
              <w14:ligatures w14:val="standardContextual"/>
            </w:rPr>
          </w:pPr>
          <w:hyperlink w:anchor="_Toc172726189" w:history="1">
            <w:r w:rsidR="0091631A" w:rsidRPr="00823710">
              <w:rPr>
                <w:rStyle w:val="Hipervnculo"/>
                <w:rFonts w:ascii="Arial Narrow" w:hAnsi="Arial Narrow"/>
                <w:b/>
                <w:bCs/>
              </w:rPr>
              <w:t>CAPÍTULO I</w:t>
            </w:r>
            <w:r w:rsidR="0091631A">
              <w:rPr>
                <w:webHidden/>
              </w:rPr>
              <w:tab/>
            </w:r>
            <w:r w:rsidR="0091631A">
              <w:rPr>
                <w:webHidden/>
              </w:rPr>
              <w:fldChar w:fldCharType="begin"/>
            </w:r>
            <w:r w:rsidR="0091631A">
              <w:rPr>
                <w:webHidden/>
              </w:rPr>
              <w:instrText xml:space="preserve"> PAGEREF _Toc172726189 \h </w:instrText>
            </w:r>
            <w:r w:rsidR="0091631A">
              <w:rPr>
                <w:webHidden/>
              </w:rPr>
            </w:r>
            <w:r w:rsidR="0091631A">
              <w:rPr>
                <w:webHidden/>
              </w:rPr>
              <w:fldChar w:fldCharType="separate"/>
            </w:r>
            <w:r w:rsidR="0091631A">
              <w:rPr>
                <w:webHidden/>
              </w:rPr>
              <w:t>8</w:t>
            </w:r>
            <w:r w:rsidR="0091631A">
              <w:rPr>
                <w:webHidden/>
              </w:rPr>
              <w:fldChar w:fldCharType="end"/>
            </w:r>
          </w:hyperlink>
        </w:p>
        <w:p w14:paraId="3428C886" w14:textId="7776DD6A"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0" w:history="1">
            <w:r w:rsidR="0091631A" w:rsidRPr="00823710">
              <w:rPr>
                <w:rStyle w:val="Hipervnculo"/>
                <w:rFonts w:ascii="Arial" w:eastAsia="Arial" w:hAnsi="Arial"/>
                <w:b/>
                <w:bCs/>
                <w:noProof/>
                <w:lang w:val="es-CR"/>
              </w:rPr>
              <w:t>Políticas Contables Generales y Particulares para el Activo</w:t>
            </w:r>
            <w:r w:rsidR="0091631A">
              <w:rPr>
                <w:noProof/>
                <w:webHidden/>
              </w:rPr>
              <w:tab/>
            </w:r>
            <w:r w:rsidR="0091631A">
              <w:rPr>
                <w:noProof/>
                <w:webHidden/>
              </w:rPr>
              <w:fldChar w:fldCharType="begin"/>
            </w:r>
            <w:r w:rsidR="0091631A">
              <w:rPr>
                <w:noProof/>
                <w:webHidden/>
              </w:rPr>
              <w:instrText xml:space="preserve"> PAGEREF _Toc172726190 \h </w:instrText>
            </w:r>
            <w:r w:rsidR="0091631A">
              <w:rPr>
                <w:noProof/>
                <w:webHidden/>
              </w:rPr>
            </w:r>
            <w:r w:rsidR="0091631A">
              <w:rPr>
                <w:noProof/>
                <w:webHidden/>
              </w:rPr>
              <w:fldChar w:fldCharType="separate"/>
            </w:r>
            <w:r w:rsidR="0091631A">
              <w:rPr>
                <w:noProof/>
                <w:webHidden/>
              </w:rPr>
              <w:t>8</w:t>
            </w:r>
            <w:r w:rsidR="0091631A">
              <w:rPr>
                <w:noProof/>
                <w:webHidden/>
              </w:rPr>
              <w:fldChar w:fldCharType="end"/>
            </w:r>
          </w:hyperlink>
        </w:p>
        <w:p w14:paraId="1BA19360" w14:textId="6FB84D7D"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1" w:history="1">
            <w:r w:rsidR="0091631A" w:rsidRPr="00823710">
              <w:rPr>
                <w:rStyle w:val="Hipervnculo"/>
                <w:rFonts w:ascii="Arial" w:eastAsia="Arial" w:hAnsi="Arial"/>
                <w:b/>
                <w:bCs/>
                <w:noProof/>
                <w:lang w:val="es-CR"/>
              </w:rPr>
              <w:t>1.</w:t>
            </w:r>
            <w:r w:rsidR="0091631A">
              <w:rPr>
                <w:rFonts w:asciiTheme="minorHAnsi" w:eastAsiaTheme="minorEastAsia" w:hAnsiTheme="minorHAnsi" w:cstheme="minorBidi"/>
                <w:noProof/>
                <w:kern w:val="2"/>
                <w:sz w:val="24"/>
                <w:szCs w:val="24"/>
                <w14:ligatures w14:val="standardContextual"/>
              </w:rPr>
              <w:tab/>
            </w:r>
            <w:r w:rsidR="0091631A" w:rsidRPr="00823710">
              <w:rPr>
                <w:rStyle w:val="Hipervnculo"/>
                <w:rFonts w:ascii="Arial" w:eastAsia="Arial" w:hAnsi="Arial"/>
                <w:b/>
                <w:bCs/>
                <w:noProof/>
                <w:lang w:val="es-CR"/>
              </w:rPr>
              <w:t>ACTIVO</w:t>
            </w:r>
            <w:r w:rsidR="0091631A">
              <w:rPr>
                <w:noProof/>
                <w:webHidden/>
              </w:rPr>
              <w:tab/>
            </w:r>
            <w:r w:rsidR="0091631A">
              <w:rPr>
                <w:noProof/>
                <w:webHidden/>
              </w:rPr>
              <w:fldChar w:fldCharType="begin"/>
            </w:r>
            <w:r w:rsidR="0091631A">
              <w:rPr>
                <w:noProof/>
                <w:webHidden/>
              </w:rPr>
              <w:instrText xml:space="preserve"> PAGEREF _Toc172726191 \h </w:instrText>
            </w:r>
            <w:r w:rsidR="0091631A">
              <w:rPr>
                <w:noProof/>
                <w:webHidden/>
              </w:rPr>
            </w:r>
            <w:r w:rsidR="0091631A">
              <w:rPr>
                <w:noProof/>
                <w:webHidden/>
              </w:rPr>
              <w:fldChar w:fldCharType="separate"/>
            </w:r>
            <w:r w:rsidR="0091631A">
              <w:rPr>
                <w:noProof/>
                <w:webHidden/>
              </w:rPr>
              <w:t>8</w:t>
            </w:r>
            <w:r w:rsidR="0091631A">
              <w:rPr>
                <w:noProof/>
                <w:webHidden/>
              </w:rPr>
              <w:fldChar w:fldCharType="end"/>
            </w:r>
          </w:hyperlink>
        </w:p>
        <w:p w14:paraId="209F836C" w14:textId="69D97431"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2" w:history="1">
            <w:r w:rsidR="0091631A" w:rsidRPr="00823710">
              <w:rPr>
                <w:rStyle w:val="Hipervnculo"/>
                <w:rFonts w:ascii="Arial" w:eastAsia="Arial" w:hAnsi="Arial"/>
                <w:b/>
                <w:bCs/>
                <w:noProof/>
                <w:lang w:val="es-CR"/>
              </w:rPr>
              <w:t>1.1</w:t>
            </w:r>
            <w:r w:rsidR="0091631A">
              <w:rPr>
                <w:rFonts w:asciiTheme="minorHAnsi" w:eastAsiaTheme="minorEastAsia" w:hAnsiTheme="minorHAnsi" w:cstheme="minorBidi"/>
                <w:noProof/>
                <w:kern w:val="2"/>
                <w:sz w:val="24"/>
                <w:szCs w:val="24"/>
                <w14:ligatures w14:val="standardContextual"/>
              </w:rPr>
              <w:tab/>
            </w:r>
            <w:r w:rsidR="0091631A" w:rsidRPr="00823710">
              <w:rPr>
                <w:rStyle w:val="Hipervnculo"/>
                <w:rFonts w:ascii="Arial" w:eastAsia="Arial" w:hAnsi="Arial"/>
                <w:b/>
                <w:bCs/>
                <w:noProof/>
                <w:lang w:val="es-CR"/>
              </w:rPr>
              <w:t>Activos Corrientes</w:t>
            </w:r>
            <w:r w:rsidR="0091631A">
              <w:rPr>
                <w:noProof/>
                <w:webHidden/>
              </w:rPr>
              <w:tab/>
            </w:r>
            <w:r w:rsidR="0091631A">
              <w:rPr>
                <w:noProof/>
                <w:webHidden/>
              </w:rPr>
              <w:fldChar w:fldCharType="begin"/>
            </w:r>
            <w:r w:rsidR="0091631A">
              <w:rPr>
                <w:noProof/>
                <w:webHidden/>
              </w:rPr>
              <w:instrText xml:space="preserve"> PAGEREF _Toc172726192 \h </w:instrText>
            </w:r>
            <w:r w:rsidR="0091631A">
              <w:rPr>
                <w:noProof/>
                <w:webHidden/>
              </w:rPr>
            </w:r>
            <w:r w:rsidR="0091631A">
              <w:rPr>
                <w:noProof/>
                <w:webHidden/>
              </w:rPr>
              <w:fldChar w:fldCharType="separate"/>
            </w:r>
            <w:r w:rsidR="0091631A">
              <w:rPr>
                <w:noProof/>
                <w:webHidden/>
              </w:rPr>
              <w:t>8</w:t>
            </w:r>
            <w:r w:rsidR="0091631A">
              <w:rPr>
                <w:noProof/>
                <w:webHidden/>
              </w:rPr>
              <w:fldChar w:fldCharType="end"/>
            </w:r>
          </w:hyperlink>
        </w:p>
        <w:p w14:paraId="22818CE5" w14:textId="63BAE58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3" w:history="1">
            <w:r w:rsidR="0091631A" w:rsidRPr="00823710">
              <w:rPr>
                <w:rStyle w:val="Hipervnculo"/>
                <w:rFonts w:ascii="Arial" w:eastAsia="Arial" w:hAnsi="Arial"/>
                <w:b/>
                <w:bCs/>
                <w:noProof/>
                <w:lang w:val="es-CR"/>
              </w:rPr>
              <w:t>1.1.1 Activos Financieros</w:t>
            </w:r>
            <w:r w:rsidR="0091631A">
              <w:rPr>
                <w:noProof/>
                <w:webHidden/>
              </w:rPr>
              <w:tab/>
            </w:r>
            <w:r w:rsidR="0091631A">
              <w:rPr>
                <w:noProof/>
                <w:webHidden/>
              </w:rPr>
              <w:fldChar w:fldCharType="begin"/>
            </w:r>
            <w:r w:rsidR="0091631A">
              <w:rPr>
                <w:noProof/>
                <w:webHidden/>
              </w:rPr>
              <w:instrText xml:space="preserve"> PAGEREF _Toc172726193 \h </w:instrText>
            </w:r>
            <w:r w:rsidR="0091631A">
              <w:rPr>
                <w:noProof/>
                <w:webHidden/>
              </w:rPr>
            </w:r>
            <w:r w:rsidR="0091631A">
              <w:rPr>
                <w:noProof/>
                <w:webHidden/>
              </w:rPr>
              <w:fldChar w:fldCharType="separate"/>
            </w:r>
            <w:r w:rsidR="0091631A">
              <w:rPr>
                <w:noProof/>
                <w:webHidden/>
              </w:rPr>
              <w:t>8</w:t>
            </w:r>
            <w:r w:rsidR="0091631A">
              <w:rPr>
                <w:noProof/>
                <w:webHidden/>
              </w:rPr>
              <w:fldChar w:fldCharType="end"/>
            </w:r>
          </w:hyperlink>
        </w:p>
        <w:p w14:paraId="5F06EBAE" w14:textId="27B832F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4" w:history="1">
            <w:r w:rsidR="0091631A" w:rsidRPr="00823710">
              <w:rPr>
                <w:rStyle w:val="Hipervnculo"/>
                <w:rFonts w:ascii="Arial" w:eastAsia="Arial" w:hAnsi="Arial"/>
                <w:b/>
                <w:bCs/>
                <w:noProof/>
                <w:lang w:val="es-CR"/>
              </w:rPr>
              <w:t>Activos Financieros Monetarios</w:t>
            </w:r>
            <w:r w:rsidR="0091631A">
              <w:rPr>
                <w:noProof/>
                <w:webHidden/>
              </w:rPr>
              <w:tab/>
            </w:r>
            <w:r w:rsidR="0091631A">
              <w:rPr>
                <w:noProof/>
                <w:webHidden/>
              </w:rPr>
              <w:fldChar w:fldCharType="begin"/>
            </w:r>
            <w:r w:rsidR="0091631A">
              <w:rPr>
                <w:noProof/>
                <w:webHidden/>
              </w:rPr>
              <w:instrText xml:space="preserve"> PAGEREF _Toc172726194 \h </w:instrText>
            </w:r>
            <w:r w:rsidR="0091631A">
              <w:rPr>
                <w:noProof/>
                <w:webHidden/>
              </w:rPr>
            </w:r>
            <w:r w:rsidR="0091631A">
              <w:rPr>
                <w:noProof/>
                <w:webHidden/>
              </w:rPr>
              <w:fldChar w:fldCharType="separate"/>
            </w:r>
            <w:r w:rsidR="0091631A">
              <w:rPr>
                <w:noProof/>
                <w:webHidden/>
              </w:rPr>
              <w:t>8</w:t>
            </w:r>
            <w:r w:rsidR="0091631A">
              <w:rPr>
                <w:noProof/>
                <w:webHidden/>
              </w:rPr>
              <w:fldChar w:fldCharType="end"/>
            </w:r>
          </w:hyperlink>
        </w:p>
        <w:p w14:paraId="278C5EC9" w14:textId="3638C6CA"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5" w:history="1">
            <w:r w:rsidR="0091631A" w:rsidRPr="00823710">
              <w:rPr>
                <w:rStyle w:val="Hipervnculo"/>
                <w:rFonts w:ascii="Arial" w:eastAsia="Arial" w:hAnsi="Arial"/>
                <w:b/>
                <w:bCs/>
                <w:noProof/>
                <w:lang w:val="es-CR"/>
              </w:rPr>
              <w:t>Efectivo</w:t>
            </w:r>
            <w:r w:rsidR="0091631A">
              <w:rPr>
                <w:noProof/>
                <w:webHidden/>
              </w:rPr>
              <w:tab/>
            </w:r>
            <w:r w:rsidR="0091631A">
              <w:rPr>
                <w:noProof/>
                <w:webHidden/>
              </w:rPr>
              <w:fldChar w:fldCharType="begin"/>
            </w:r>
            <w:r w:rsidR="0091631A">
              <w:rPr>
                <w:noProof/>
                <w:webHidden/>
              </w:rPr>
              <w:instrText xml:space="preserve"> PAGEREF _Toc172726195 \h </w:instrText>
            </w:r>
            <w:r w:rsidR="0091631A">
              <w:rPr>
                <w:noProof/>
                <w:webHidden/>
              </w:rPr>
            </w:r>
            <w:r w:rsidR="0091631A">
              <w:rPr>
                <w:noProof/>
                <w:webHidden/>
              </w:rPr>
              <w:fldChar w:fldCharType="separate"/>
            </w:r>
            <w:r w:rsidR="0091631A">
              <w:rPr>
                <w:noProof/>
                <w:webHidden/>
              </w:rPr>
              <w:t>10</w:t>
            </w:r>
            <w:r w:rsidR="0091631A">
              <w:rPr>
                <w:noProof/>
                <w:webHidden/>
              </w:rPr>
              <w:fldChar w:fldCharType="end"/>
            </w:r>
          </w:hyperlink>
        </w:p>
        <w:p w14:paraId="4F1D0010" w14:textId="3CA01E7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6" w:history="1">
            <w:r w:rsidR="0091631A" w:rsidRPr="00823710">
              <w:rPr>
                <w:rStyle w:val="Hipervnculo"/>
                <w:rFonts w:ascii="Arial" w:eastAsia="Arial" w:hAnsi="Arial"/>
                <w:b/>
                <w:bCs/>
                <w:noProof/>
                <w:lang w:val="es-CR"/>
              </w:rPr>
              <w:t>Equivalentes al Efectivo</w:t>
            </w:r>
            <w:r w:rsidR="0091631A">
              <w:rPr>
                <w:noProof/>
                <w:webHidden/>
              </w:rPr>
              <w:tab/>
            </w:r>
            <w:r w:rsidR="0091631A">
              <w:rPr>
                <w:noProof/>
                <w:webHidden/>
              </w:rPr>
              <w:fldChar w:fldCharType="begin"/>
            </w:r>
            <w:r w:rsidR="0091631A">
              <w:rPr>
                <w:noProof/>
                <w:webHidden/>
              </w:rPr>
              <w:instrText xml:space="preserve"> PAGEREF _Toc172726196 \h </w:instrText>
            </w:r>
            <w:r w:rsidR="0091631A">
              <w:rPr>
                <w:noProof/>
                <w:webHidden/>
              </w:rPr>
            </w:r>
            <w:r w:rsidR="0091631A">
              <w:rPr>
                <w:noProof/>
                <w:webHidden/>
              </w:rPr>
              <w:fldChar w:fldCharType="separate"/>
            </w:r>
            <w:r w:rsidR="0091631A">
              <w:rPr>
                <w:noProof/>
                <w:webHidden/>
              </w:rPr>
              <w:t>11</w:t>
            </w:r>
            <w:r w:rsidR="0091631A">
              <w:rPr>
                <w:noProof/>
                <w:webHidden/>
              </w:rPr>
              <w:fldChar w:fldCharType="end"/>
            </w:r>
          </w:hyperlink>
        </w:p>
        <w:p w14:paraId="269844C0" w14:textId="78B1BB0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7" w:history="1">
            <w:r w:rsidR="0091631A" w:rsidRPr="00823710">
              <w:rPr>
                <w:rStyle w:val="Hipervnculo"/>
                <w:rFonts w:ascii="Arial" w:eastAsia="Arial" w:hAnsi="Arial"/>
                <w:b/>
                <w:bCs/>
                <w:noProof/>
                <w:lang w:val="es-CR"/>
              </w:rPr>
              <w:t>Moneda Funcional</w:t>
            </w:r>
            <w:r w:rsidR="0091631A">
              <w:rPr>
                <w:noProof/>
                <w:webHidden/>
              </w:rPr>
              <w:tab/>
            </w:r>
            <w:r w:rsidR="0091631A">
              <w:rPr>
                <w:noProof/>
                <w:webHidden/>
              </w:rPr>
              <w:fldChar w:fldCharType="begin"/>
            </w:r>
            <w:r w:rsidR="0091631A">
              <w:rPr>
                <w:noProof/>
                <w:webHidden/>
              </w:rPr>
              <w:instrText xml:space="preserve"> PAGEREF _Toc172726197 \h </w:instrText>
            </w:r>
            <w:r w:rsidR="0091631A">
              <w:rPr>
                <w:noProof/>
                <w:webHidden/>
              </w:rPr>
            </w:r>
            <w:r w:rsidR="0091631A">
              <w:rPr>
                <w:noProof/>
                <w:webHidden/>
              </w:rPr>
              <w:fldChar w:fldCharType="separate"/>
            </w:r>
            <w:r w:rsidR="0091631A">
              <w:rPr>
                <w:noProof/>
                <w:webHidden/>
              </w:rPr>
              <w:t>12</w:t>
            </w:r>
            <w:r w:rsidR="0091631A">
              <w:rPr>
                <w:noProof/>
                <w:webHidden/>
              </w:rPr>
              <w:fldChar w:fldCharType="end"/>
            </w:r>
          </w:hyperlink>
        </w:p>
        <w:p w14:paraId="3A92328C" w14:textId="3F4128E8"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8" w:history="1">
            <w:r w:rsidR="0091631A" w:rsidRPr="00823710">
              <w:rPr>
                <w:rStyle w:val="Hipervnculo"/>
                <w:rFonts w:ascii="Arial" w:eastAsia="Arial" w:hAnsi="Arial"/>
                <w:b/>
                <w:bCs/>
                <w:noProof/>
                <w:lang w:val="es-CR"/>
              </w:rPr>
              <w:t>Moneda Extranjera</w:t>
            </w:r>
            <w:r w:rsidR="0091631A">
              <w:rPr>
                <w:noProof/>
                <w:webHidden/>
              </w:rPr>
              <w:tab/>
            </w:r>
            <w:r w:rsidR="0091631A">
              <w:rPr>
                <w:noProof/>
                <w:webHidden/>
              </w:rPr>
              <w:fldChar w:fldCharType="begin"/>
            </w:r>
            <w:r w:rsidR="0091631A">
              <w:rPr>
                <w:noProof/>
                <w:webHidden/>
              </w:rPr>
              <w:instrText xml:space="preserve"> PAGEREF _Toc172726198 \h </w:instrText>
            </w:r>
            <w:r w:rsidR="0091631A">
              <w:rPr>
                <w:noProof/>
                <w:webHidden/>
              </w:rPr>
            </w:r>
            <w:r w:rsidR="0091631A">
              <w:rPr>
                <w:noProof/>
                <w:webHidden/>
              </w:rPr>
              <w:fldChar w:fldCharType="separate"/>
            </w:r>
            <w:r w:rsidR="0091631A">
              <w:rPr>
                <w:noProof/>
                <w:webHidden/>
              </w:rPr>
              <w:t>12</w:t>
            </w:r>
            <w:r w:rsidR="0091631A">
              <w:rPr>
                <w:noProof/>
                <w:webHidden/>
              </w:rPr>
              <w:fldChar w:fldCharType="end"/>
            </w:r>
          </w:hyperlink>
        </w:p>
        <w:p w14:paraId="15A9F290" w14:textId="36DB3B4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199" w:history="1">
            <w:r w:rsidR="0091631A" w:rsidRPr="00823710">
              <w:rPr>
                <w:rStyle w:val="Hipervnculo"/>
                <w:rFonts w:ascii="Arial" w:eastAsia="Arial" w:hAnsi="Arial"/>
                <w:b/>
                <w:bCs/>
                <w:noProof/>
                <w:lang w:val="es-CR"/>
              </w:rPr>
              <w:t>Información a Revelar sobre Activos Financieros Monetarios:</w:t>
            </w:r>
            <w:r w:rsidR="0091631A">
              <w:rPr>
                <w:noProof/>
                <w:webHidden/>
              </w:rPr>
              <w:tab/>
            </w:r>
            <w:r w:rsidR="0091631A">
              <w:rPr>
                <w:noProof/>
                <w:webHidden/>
              </w:rPr>
              <w:fldChar w:fldCharType="begin"/>
            </w:r>
            <w:r w:rsidR="0091631A">
              <w:rPr>
                <w:noProof/>
                <w:webHidden/>
              </w:rPr>
              <w:instrText xml:space="preserve"> PAGEREF _Toc172726199 \h </w:instrText>
            </w:r>
            <w:r w:rsidR="0091631A">
              <w:rPr>
                <w:noProof/>
                <w:webHidden/>
              </w:rPr>
            </w:r>
            <w:r w:rsidR="0091631A">
              <w:rPr>
                <w:noProof/>
                <w:webHidden/>
              </w:rPr>
              <w:fldChar w:fldCharType="separate"/>
            </w:r>
            <w:r w:rsidR="0091631A">
              <w:rPr>
                <w:noProof/>
                <w:webHidden/>
              </w:rPr>
              <w:t>13</w:t>
            </w:r>
            <w:r w:rsidR="0091631A">
              <w:rPr>
                <w:noProof/>
                <w:webHidden/>
              </w:rPr>
              <w:fldChar w:fldCharType="end"/>
            </w:r>
          </w:hyperlink>
        </w:p>
        <w:p w14:paraId="33CB3FA7" w14:textId="6A8066A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0" w:history="1">
            <w:r w:rsidR="0091631A" w:rsidRPr="00823710">
              <w:rPr>
                <w:rStyle w:val="Hipervnculo"/>
                <w:rFonts w:ascii="Arial" w:eastAsia="Arial" w:hAnsi="Arial"/>
                <w:b/>
                <w:bCs/>
                <w:noProof/>
                <w:lang w:val="es-CR"/>
              </w:rPr>
              <w:t>Activos Financieros no Monetarios</w:t>
            </w:r>
            <w:r w:rsidR="0091631A">
              <w:rPr>
                <w:noProof/>
                <w:webHidden/>
              </w:rPr>
              <w:tab/>
            </w:r>
            <w:r w:rsidR="0091631A">
              <w:rPr>
                <w:noProof/>
                <w:webHidden/>
              </w:rPr>
              <w:fldChar w:fldCharType="begin"/>
            </w:r>
            <w:r w:rsidR="0091631A">
              <w:rPr>
                <w:noProof/>
                <w:webHidden/>
              </w:rPr>
              <w:instrText xml:space="preserve"> PAGEREF _Toc172726200 \h </w:instrText>
            </w:r>
            <w:r w:rsidR="0091631A">
              <w:rPr>
                <w:noProof/>
                <w:webHidden/>
              </w:rPr>
            </w:r>
            <w:r w:rsidR="0091631A">
              <w:rPr>
                <w:noProof/>
                <w:webHidden/>
              </w:rPr>
              <w:fldChar w:fldCharType="separate"/>
            </w:r>
            <w:r w:rsidR="0091631A">
              <w:rPr>
                <w:noProof/>
                <w:webHidden/>
              </w:rPr>
              <w:t>14</w:t>
            </w:r>
            <w:r w:rsidR="0091631A">
              <w:rPr>
                <w:noProof/>
                <w:webHidden/>
              </w:rPr>
              <w:fldChar w:fldCharType="end"/>
            </w:r>
          </w:hyperlink>
        </w:p>
        <w:p w14:paraId="1755AC22" w14:textId="451DEBF1"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1" w:history="1">
            <w:r w:rsidR="0091631A" w:rsidRPr="00823710">
              <w:rPr>
                <w:rStyle w:val="Hipervnculo"/>
                <w:rFonts w:ascii="Arial" w:eastAsia="Arial" w:hAnsi="Arial"/>
                <w:b/>
                <w:bCs/>
                <w:noProof/>
                <w:lang w:val="es-CR"/>
              </w:rPr>
              <w:t>Cuentas y documentos por cobrar</w:t>
            </w:r>
            <w:r w:rsidR="0091631A">
              <w:rPr>
                <w:noProof/>
                <w:webHidden/>
              </w:rPr>
              <w:tab/>
            </w:r>
            <w:r w:rsidR="0091631A">
              <w:rPr>
                <w:noProof/>
                <w:webHidden/>
              </w:rPr>
              <w:fldChar w:fldCharType="begin"/>
            </w:r>
            <w:r w:rsidR="0091631A">
              <w:rPr>
                <w:noProof/>
                <w:webHidden/>
              </w:rPr>
              <w:instrText xml:space="preserve"> PAGEREF _Toc172726201 \h </w:instrText>
            </w:r>
            <w:r w:rsidR="0091631A">
              <w:rPr>
                <w:noProof/>
                <w:webHidden/>
              </w:rPr>
            </w:r>
            <w:r w:rsidR="0091631A">
              <w:rPr>
                <w:noProof/>
                <w:webHidden/>
              </w:rPr>
              <w:fldChar w:fldCharType="separate"/>
            </w:r>
            <w:r w:rsidR="0091631A">
              <w:rPr>
                <w:noProof/>
                <w:webHidden/>
              </w:rPr>
              <w:t>14</w:t>
            </w:r>
            <w:r w:rsidR="0091631A">
              <w:rPr>
                <w:noProof/>
                <w:webHidden/>
              </w:rPr>
              <w:fldChar w:fldCharType="end"/>
            </w:r>
          </w:hyperlink>
        </w:p>
        <w:p w14:paraId="4CB94C3F" w14:textId="1E3005A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2" w:history="1">
            <w:r w:rsidR="0091631A" w:rsidRPr="00823710">
              <w:rPr>
                <w:rStyle w:val="Hipervnculo"/>
                <w:rFonts w:ascii="Arial" w:eastAsia="Arial" w:hAnsi="Arial"/>
                <w:b/>
                <w:bCs/>
                <w:noProof/>
                <w:lang w:val="es-CR"/>
              </w:rPr>
              <w:t>Transferencias por cobrar</w:t>
            </w:r>
            <w:r w:rsidR="0091631A">
              <w:rPr>
                <w:noProof/>
                <w:webHidden/>
              </w:rPr>
              <w:tab/>
            </w:r>
            <w:r w:rsidR="0091631A">
              <w:rPr>
                <w:noProof/>
                <w:webHidden/>
              </w:rPr>
              <w:fldChar w:fldCharType="begin"/>
            </w:r>
            <w:r w:rsidR="0091631A">
              <w:rPr>
                <w:noProof/>
                <w:webHidden/>
              </w:rPr>
              <w:instrText xml:space="preserve"> PAGEREF _Toc172726202 \h </w:instrText>
            </w:r>
            <w:r w:rsidR="0091631A">
              <w:rPr>
                <w:noProof/>
                <w:webHidden/>
              </w:rPr>
            </w:r>
            <w:r w:rsidR="0091631A">
              <w:rPr>
                <w:noProof/>
                <w:webHidden/>
              </w:rPr>
              <w:fldChar w:fldCharType="separate"/>
            </w:r>
            <w:r w:rsidR="0091631A">
              <w:rPr>
                <w:noProof/>
                <w:webHidden/>
              </w:rPr>
              <w:t>17</w:t>
            </w:r>
            <w:r w:rsidR="0091631A">
              <w:rPr>
                <w:noProof/>
                <w:webHidden/>
              </w:rPr>
              <w:fldChar w:fldCharType="end"/>
            </w:r>
          </w:hyperlink>
        </w:p>
        <w:p w14:paraId="7BAEFA0E" w14:textId="374C760A"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3" w:history="1">
            <w:r w:rsidR="0091631A" w:rsidRPr="00823710">
              <w:rPr>
                <w:rStyle w:val="Hipervnculo"/>
                <w:rFonts w:ascii="Arial" w:eastAsia="Arial" w:hAnsi="Arial"/>
                <w:b/>
                <w:bCs/>
                <w:noProof/>
                <w:lang w:val="es-CR"/>
              </w:rPr>
              <w:t>Deterioro de Activos Financieros no Monetarios</w:t>
            </w:r>
            <w:r w:rsidR="0091631A">
              <w:rPr>
                <w:noProof/>
                <w:webHidden/>
              </w:rPr>
              <w:tab/>
            </w:r>
            <w:r w:rsidR="0091631A">
              <w:rPr>
                <w:noProof/>
                <w:webHidden/>
              </w:rPr>
              <w:fldChar w:fldCharType="begin"/>
            </w:r>
            <w:r w:rsidR="0091631A">
              <w:rPr>
                <w:noProof/>
                <w:webHidden/>
              </w:rPr>
              <w:instrText xml:space="preserve"> PAGEREF _Toc172726203 \h </w:instrText>
            </w:r>
            <w:r w:rsidR="0091631A">
              <w:rPr>
                <w:noProof/>
                <w:webHidden/>
              </w:rPr>
            </w:r>
            <w:r w:rsidR="0091631A">
              <w:rPr>
                <w:noProof/>
                <w:webHidden/>
              </w:rPr>
              <w:fldChar w:fldCharType="separate"/>
            </w:r>
            <w:r w:rsidR="0091631A">
              <w:rPr>
                <w:noProof/>
                <w:webHidden/>
              </w:rPr>
              <w:t>18</w:t>
            </w:r>
            <w:r w:rsidR="0091631A">
              <w:rPr>
                <w:noProof/>
                <w:webHidden/>
              </w:rPr>
              <w:fldChar w:fldCharType="end"/>
            </w:r>
          </w:hyperlink>
        </w:p>
        <w:p w14:paraId="02BBDDE1" w14:textId="5F055B6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4" w:history="1">
            <w:r w:rsidR="0091631A" w:rsidRPr="00823710">
              <w:rPr>
                <w:rStyle w:val="Hipervnculo"/>
                <w:rFonts w:ascii="Arial" w:eastAsia="Arial" w:hAnsi="Arial"/>
                <w:b/>
                <w:bCs/>
                <w:noProof/>
                <w:lang w:val="es-CR"/>
              </w:rPr>
              <w:t>Inventarios</w:t>
            </w:r>
            <w:r w:rsidR="0091631A">
              <w:rPr>
                <w:noProof/>
                <w:webHidden/>
              </w:rPr>
              <w:tab/>
            </w:r>
            <w:r w:rsidR="0091631A">
              <w:rPr>
                <w:noProof/>
                <w:webHidden/>
              </w:rPr>
              <w:fldChar w:fldCharType="begin"/>
            </w:r>
            <w:r w:rsidR="0091631A">
              <w:rPr>
                <w:noProof/>
                <w:webHidden/>
              </w:rPr>
              <w:instrText xml:space="preserve"> PAGEREF _Toc172726204 \h </w:instrText>
            </w:r>
            <w:r w:rsidR="0091631A">
              <w:rPr>
                <w:noProof/>
                <w:webHidden/>
              </w:rPr>
            </w:r>
            <w:r w:rsidR="0091631A">
              <w:rPr>
                <w:noProof/>
                <w:webHidden/>
              </w:rPr>
              <w:fldChar w:fldCharType="separate"/>
            </w:r>
            <w:r w:rsidR="0091631A">
              <w:rPr>
                <w:noProof/>
                <w:webHidden/>
              </w:rPr>
              <w:t>19</w:t>
            </w:r>
            <w:r w:rsidR="0091631A">
              <w:rPr>
                <w:noProof/>
                <w:webHidden/>
              </w:rPr>
              <w:fldChar w:fldCharType="end"/>
            </w:r>
          </w:hyperlink>
        </w:p>
        <w:p w14:paraId="7C3BBEB3" w14:textId="5DD17CC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5" w:history="1">
            <w:r w:rsidR="0091631A" w:rsidRPr="00823710">
              <w:rPr>
                <w:rStyle w:val="Hipervnculo"/>
                <w:rFonts w:ascii="Arial" w:eastAsia="Arial" w:hAnsi="Arial"/>
                <w:b/>
                <w:bCs/>
                <w:noProof/>
                <w:lang w:val="es-CR"/>
              </w:rPr>
              <w:t>Reconocimiento de inventarios en resultados</w:t>
            </w:r>
            <w:r w:rsidR="0091631A">
              <w:rPr>
                <w:noProof/>
                <w:webHidden/>
              </w:rPr>
              <w:tab/>
            </w:r>
            <w:r w:rsidR="0091631A">
              <w:rPr>
                <w:noProof/>
                <w:webHidden/>
              </w:rPr>
              <w:fldChar w:fldCharType="begin"/>
            </w:r>
            <w:r w:rsidR="0091631A">
              <w:rPr>
                <w:noProof/>
                <w:webHidden/>
              </w:rPr>
              <w:instrText xml:space="preserve"> PAGEREF _Toc172726205 \h </w:instrText>
            </w:r>
            <w:r w:rsidR="0091631A">
              <w:rPr>
                <w:noProof/>
                <w:webHidden/>
              </w:rPr>
            </w:r>
            <w:r w:rsidR="0091631A">
              <w:rPr>
                <w:noProof/>
                <w:webHidden/>
              </w:rPr>
              <w:fldChar w:fldCharType="separate"/>
            </w:r>
            <w:r w:rsidR="0091631A">
              <w:rPr>
                <w:noProof/>
                <w:webHidden/>
              </w:rPr>
              <w:t>22</w:t>
            </w:r>
            <w:r w:rsidR="0091631A">
              <w:rPr>
                <w:noProof/>
                <w:webHidden/>
              </w:rPr>
              <w:fldChar w:fldCharType="end"/>
            </w:r>
          </w:hyperlink>
        </w:p>
        <w:p w14:paraId="1B0FE18D" w14:textId="18650687"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6" w:history="1">
            <w:r w:rsidR="0091631A" w:rsidRPr="00823710">
              <w:rPr>
                <w:rStyle w:val="Hipervnculo"/>
                <w:rFonts w:ascii="Arial" w:eastAsia="Arial" w:hAnsi="Arial"/>
                <w:b/>
                <w:bCs/>
                <w:noProof/>
                <w:lang w:val="es-CR"/>
              </w:rPr>
              <w:t>Información a revelar sobre Inventarios</w:t>
            </w:r>
            <w:r w:rsidR="0091631A">
              <w:rPr>
                <w:noProof/>
                <w:webHidden/>
              </w:rPr>
              <w:tab/>
            </w:r>
            <w:r w:rsidR="0091631A">
              <w:rPr>
                <w:noProof/>
                <w:webHidden/>
              </w:rPr>
              <w:fldChar w:fldCharType="begin"/>
            </w:r>
            <w:r w:rsidR="0091631A">
              <w:rPr>
                <w:noProof/>
                <w:webHidden/>
              </w:rPr>
              <w:instrText xml:space="preserve"> PAGEREF _Toc172726206 \h </w:instrText>
            </w:r>
            <w:r w:rsidR="0091631A">
              <w:rPr>
                <w:noProof/>
                <w:webHidden/>
              </w:rPr>
            </w:r>
            <w:r w:rsidR="0091631A">
              <w:rPr>
                <w:noProof/>
                <w:webHidden/>
              </w:rPr>
              <w:fldChar w:fldCharType="separate"/>
            </w:r>
            <w:r w:rsidR="0091631A">
              <w:rPr>
                <w:noProof/>
                <w:webHidden/>
              </w:rPr>
              <w:t>23</w:t>
            </w:r>
            <w:r w:rsidR="0091631A">
              <w:rPr>
                <w:noProof/>
                <w:webHidden/>
              </w:rPr>
              <w:fldChar w:fldCharType="end"/>
            </w:r>
          </w:hyperlink>
        </w:p>
        <w:p w14:paraId="4B4CA6D4" w14:textId="462AC56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7" w:history="1">
            <w:r w:rsidR="0091631A" w:rsidRPr="00823710">
              <w:rPr>
                <w:rStyle w:val="Hipervnculo"/>
                <w:rFonts w:ascii="Arial" w:eastAsia="Arial" w:hAnsi="Arial"/>
                <w:b/>
                <w:bCs/>
                <w:noProof/>
                <w:lang w:val="es-CR"/>
              </w:rPr>
              <w:t>ACTIVOS NO CORRIENTES</w:t>
            </w:r>
            <w:r w:rsidR="0091631A">
              <w:rPr>
                <w:noProof/>
                <w:webHidden/>
              </w:rPr>
              <w:tab/>
            </w:r>
            <w:r w:rsidR="0091631A">
              <w:rPr>
                <w:noProof/>
                <w:webHidden/>
              </w:rPr>
              <w:fldChar w:fldCharType="begin"/>
            </w:r>
            <w:r w:rsidR="0091631A">
              <w:rPr>
                <w:noProof/>
                <w:webHidden/>
              </w:rPr>
              <w:instrText xml:space="preserve"> PAGEREF _Toc172726207 \h </w:instrText>
            </w:r>
            <w:r w:rsidR="0091631A">
              <w:rPr>
                <w:noProof/>
                <w:webHidden/>
              </w:rPr>
            </w:r>
            <w:r w:rsidR="0091631A">
              <w:rPr>
                <w:noProof/>
                <w:webHidden/>
              </w:rPr>
              <w:fldChar w:fldCharType="separate"/>
            </w:r>
            <w:r w:rsidR="0091631A">
              <w:rPr>
                <w:noProof/>
                <w:webHidden/>
              </w:rPr>
              <w:t>24</w:t>
            </w:r>
            <w:r w:rsidR="0091631A">
              <w:rPr>
                <w:noProof/>
                <w:webHidden/>
              </w:rPr>
              <w:fldChar w:fldCharType="end"/>
            </w:r>
          </w:hyperlink>
        </w:p>
        <w:p w14:paraId="56A8ED3A" w14:textId="60CC85F8"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8" w:history="1">
            <w:r w:rsidR="0091631A" w:rsidRPr="00823710">
              <w:rPr>
                <w:rStyle w:val="Hipervnculo"/>
                <w:rFonts w:ascii="Arial" w:eastAsia="Arial" w:hAnsi="Arial"/>
                <w:b/>
                <w:bCs/>
                <w:noProof/>
                <w:lang w:val="es-CR"/>
              </w:rPr>
              <w:t>Bienes no Concesionados</w:t>
            </w:r>
            <w:r w:rsidR="0091631A">
              <w:rPr>
                <w:noProof/>
                <w:webHidden/>
              </w:rPr>
              <w:tab/>
            </w:r>
            <w:r w:rsidR="0091631A">
              <w:rPr>
                <w:noProof/>
                <w:webHidden/>
              </w:rPr>
              <w:fldChar w:fldCharType="begin"/>
            </w:r>
            <w:r w:rsidR="0091631A">
              <w:rPr>
                <w:noProof/>
                <w:webHidden/>
              </w:rPr>
              <w:instrText xml:space="preserve"> PAGEREF _Toc172726208 \h </w:instrText>
            </w:r>
            <w:r w:rsidR="0091631A">
              <w:rPr>
                <w:noProof/>
                <w:webHidden/>
              </w:rPr>
            </w:r>
            <w:r w:rsidR="0091631A">
              <w:rPr>
                <w:noProof/>
                <w:webHidden/>
              </w:rPr>
              <w:fldChar w:fldCharType="separate"/>
            </w:r>
            <w:r w:rsidR="0091631A">
              <w:rPr>
                <w:noProof/>
                <w:webHidden/>
              </w:rPr>
              <w:t>24</w:t>
            </w:r>
            <w:r w:rsidR="0091631A">
              <w:rPr>
                <w:noProof/>
                <w:webHidden/>
              </w:rPr>
              <w:fldChar w:fldCharType="end"/>
            </w:r>
          </w:hyperlink>
        </w:p>
        <w:p w14:paraId="29A1BE96" w14:textId="6A4DF8CC"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09" w:history="1">
            <w:r w:rsidR="0091631A" w:rsidRPr="00823710">
              <w:rPr>
                <w:rStyle w:val="Hipervnculo"/>
                <w:rFonts w:ascii="Arial" w:eastAsia="Arial" w:hAnsi="Arial"/>
                <w:b/>
                <w:bCs/>
                <w:noProof/>
                <w:lang w:val="es-CR"/>
              </w:rPr>
              <w:t>Activos contemplados en bienes no concesionados</w:t>
            </w:r>
            <w:r w:rsidR="0091631A">
              <w:rPr>
                <w:noProof/>
                <w:webHidden/>
              </w:rPr>
              <w:tab/>
            </w:r>
            <w:r w:rsidR="0091631A">
              <w:rPr>
                <w:noProof/>
                <w:webHidden/>
              </w:rPr>
              <w:fldChar w:fldCharType="begin"/>
            </w:r>
            <w:r w:rsidR="0091631A">
              <w:rPr>
                <w:noProof/>
                <w:webHidden/>
              </w:rPr>
              <w:instrText xml:space="preserve"> PAGEREF _Toc172726209 \h </w:instrText>
            </w:r>
            <w:r w:rsidR="0091631A">
              <w:rPr>
                <w:noProof/>
                <w:webHidden/>
              </w:rPr>
            </w:r>
            <w:r w:rsidR="0091631A">
              <w:rPr>
                <w:noProof/>
                <w:webHidden/>
              </w:rPr>
              <w:fldChar w:fldCharType="separate"/>
            </w:r>
            <w:r w:rsidR="0091631A">
              <w:rPr>
                <w:noProof/>
                <w:webHidden/>
              </w:rPr>
              <w:t>27</w:t>
            </w:r>
            <w:r w:rsidR="0091631A">
              <w:rPr>
                <w:noProof/>
                <w:webHidden/>
              </w:rPr>
              <w:fldChar w:fldCharType="end"/>
            </w:r>
          </w:hyperlink>
        </w:p>
        <w:p w14:paraId="3D194547" w14:textId="1F2616F4"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0" w:history="1">
            <w:r w:rsidR="0091631A" w:rsidRPr="00823710">
              <w:rPr>
                <w:rStyle w:val="Hipervnculo"/>
                <w:rFonts w:ascii="Arial" w:eastAsia="Arial" w:hAnsi="Arial"/>
                <w:b/>
                <w:bCs/>
                <w:noProof/>
                <w:lang w:val="es-CR"/>
              </w:rPr>
              <w:t>Modelo de Costo</w:t>
            </w:r>
            <w:r w:rsidR="0091631A">
              <w:rPr>
                <w:noProof/>
                <w:webHidden/>
              </w:rPr>
              <w:tab/>
            </w:r>
            <w:r w:rsidR="0091631A">
              <w:rPr>
                <w:noProof/>
                <w:webHidden/>
              </w:rPr>
              <w:fldChar w:fldCharType="begin"/>
            </w:r>
            <w:r w:rsidR="0091631A">
              <w:rPr>
                <w:noProof/>
                <w:webHidden/>
              </w:rPr>
              <w:instrText xml:space="preserve"> PAGEREF _Toc172726210 \h </w:instrText>
            </w:r>
            <w:r w:rsidR="0091631A">
              <w:rPr>
                <w:noProof/>
                <w:webHidden/>
              </w:rPr>
            </w:r>
            <w:r w:rsidR="0091631A">
              <w:rPr>
                <w:noProof/>
                <w:webHidden/>
              </w:rPr>
              <w:fldChar w:fldCharType="separate"/>
            </w:r>
            <w:r w:rsidR="0091631A">
              <w:rPr>
                <w:noProof/>
                <w:webHidden/>
              </w:rPr>
              <w:t>30</w:t>
            </w:r>
            <w:r w:rsidR="0091631A">
              <w:rPr>
                <w:noProof/>
                <w:webHidden/>
              </w:rPr>
              <w:fldChar w:fldCharType="end"/>
            </w:r>
          </w:hyperlink>
        </w:p>
        <w:p w14:paraId="0D8384E5" w14:textId="328897B1"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1" w:history="1">
            <w:r w:rsidR="0091631A" w:rsidRPr="00823710">
              <w:rPr>
                <w:rStyle w:val="Hipervnculo"/>
                <w:rFonts w:ascii="Arial" w:eastAsia="Arial" w:hAnsi="Arial"/>
                <w:b/>
                <w:bCs/>
                <w:noProof/>
                <w:lang w:val="es-CR"/>
              </w:rPr>
              <w:t>Mejora Capitalizable</w:t>
            </w:r>
            <w:r w:rsidR="0091631A">
              <w:rPr>
                <w:noProof/>
                <w:webHidden/>
              </w:rPr>
              <w:tab/>
            </w:r>
            <w:r w:rsidR="0091631A">
              <w:rPr>
                <w:noProof/>
                <w:webHidden/>
              </w:rPr>
              <w:fldChar w:fldCharType="begin"/>
            </w:r>
            <w:r w:rsidR="0091631A">
              <w:rPr>
                <w:noProof/>
                <w:webHidden/>
              </w:rPr>
              <w:instrText xml:space="preserve"> PAGEREF _Toc172726211 \h </w:instrText>
            </w:r>
            <w:r w:rsidR="0091631A">
              <w:rPr>
                <w:noProof/>
                <w:webHidden/>
              </w:rPr>
            </w:r>
            <w:r w:rsidR="0091631A">
              <w:rPr>
                <w:noProof/>
                <w:webHidden/>
              </w:rPr>
              <w:fldChar w:fldCharType="separate"/>
            </w:r>
            <w:r w:rsidR="0091631A">
              <w:rPr>
                <w:noProof/>
                <w:webHidden/>
              </w:rPr>
              <w:t>31</w:t>
            </w:r>
            <w:r w:rsidR="0091631A">
              <w:rPr>
                <w:noProof/>
                <w:webHidden/>
              </w:rPr>
              <w:fldChar w:fldCharType="end"/>
            </w:r>
          </w:hyperlink>
        </w:p>
        <w:p w14:paraId="098DFF57" w14:textId="13320358"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2" w:history="1">
            <w:r w:rsidR="0091631A" w:rsidRPr="00823710">
              <w:rPr>
                <w:rStyle w:val="Hipervnculo"/>
                <w:rFonts w:ascii="Arial" w:eastAsia="Arial" w:hAnsi="Arial"/>
                <w:b/>
                <w:bCs/>
                <w:noProof/>
                <w:lang w:val="es-CR"/>
              </w:rPr>
              <w:t>Modelo de Revaluación</w:t>
            </w:r>
            <w:r w:rsidR="0091631A">
              <w:rPr>
                <w:noProof/>
                <w:webHidden/>
              </w:rPr>
              <w:tab/>
            </w:r>
            <w:r w:rsidR="0091631A">
              <w:rPr>
                <w:noProof/>
                <w:webHidden/>
              </w:rPr>
              <w:fldChar w:fldCharType="begin"/>
            </w:r>
            <w:r w:rsidR="0091631A">
              <w:rPr>
                <w:noProof/>
                <w:webHidden/>
              </w:rPr>
              <w:instrText xml:space="preserve"> PAGEREF _Toc172726212 \h </w:instrText>
            </w:r>
            <w:r w:rsidR="0091631A">
              <w:rPr>
                <w:noProof/>
                <w:webHidden/>
              </w:rPr>
            </w:r>
            <w:r w:rsidR="0091631A">
              <w:rPr>
                <w:noProof/>
                <w:webHidden/>
              </w:rPr>
              <w:fldChar w:fldCharType="separate"/>
            </w:r>
            <w:r w:rsidR="0091631A">
              <w:rPr>
                <w:noProof/>
                <w:webHidden/>
              </w:rPr>
              <w:t>33</w:t>
            </w:r>
            <w:r w:rsidR="0091631A">
              <w:rPr>
                <w:noProof/>
                <w:webHidden/>
              </w:rPr>
              <w:fldChar w:fldCharType="end"/>
            </w:r>
          </w:hyperlink>
        </w:p>
        <w:p w14:paraId="27895E49" w14:textId="05111926"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3" w:history="1">
            <w:r w:rsidR="0091631A" w:rsidRPr="00823710">
              <w:rPr>
                <w:rStyle w:val="Hipervnculo"/>
                <w:rFonts w:ascii="Arial" w:eastAsia="Arial" w:hAnsi="Arial"/>
                <w:b/>
                <w:bCs/>
                <w:noProof/>
                <w:lang w:val="es-CR"/>
              </w:rPr>
              <w:t>Baja en cuentas</w:t>
            </w:r>
            <w:r w:rsidR="0091631A">
              <w:rPr>
                <w:noProof/>
                <w:webHidden/>
              </w:rPr>
              <w:tab/>
            </w:r>
            <w:r w:rsidR="0091631A">
              <w:rPr>
                <w:noProof/>
                <w:webHidden/>
              </w:rPr>
              <w:fldChar w:fldCharType="begin"/>
            </w:r>
            <w:r w:rsidR="0091631A">
              <w:rPr>
                <w:noProof/>
                <w:webHidden/>
              </w:rPr>
              <w:instrText xml:space="preserve"> PAGEREF _Toc172726213 \h </w:instrText>
            </w:r>
            <w:r w:rsidR="0091631A">
              <w:rPr>
                <w:noProof/>
                <w:webHidden/>
              </w:rPr>
            </w:r>
            <w:r w:rsidR="0091631A">
              <w:rPr>
                <w:noProof/>
                <w:webHidden/>
              </w:rPr>
              <w:fldChar w:fldCharType="separate"/>
            </w:r>
            <w:r w:rsidR="0091631A">
              <w:rPr>
                <w:noProof/>
                <w:webHidden/>
              </w:rPr>
              <w:t>36</w:t>
            </w:r>
            <w:r w:rsidR="0091631A">
              <w:rPr>
                <w:noProof/>
                <w:webHidden/>
              </w:rPr>
              <w:fldChar w:fldCharType="end"/>
            </w:r>
          </w:hyperlink>
        </w:p>
        <w:p w14:paraId="5BF2DA67" w14:textId="2AD17A6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4" w:history="1">
            <w:r w:rsidR="0091631A" w:rsidRPr="00823710">
              <w:rPr>
                <w:rStyle w:val="Hipervnculo"/>
                <w:rFonts w:ascii="Arial" w:eastAsia="Arial" w:hAnsi="Arial"/>
                <w:b/>
                <w:bCs/>
                <w:noProof/>
                <w:lang w:val="es-CR"/>
              </w:rPr>
              <w:t>Bienes históricos y culturales</w:t>
            </w:r>
            <w:r w:rsidR="0091631A">
              <w:rPr>
                <w:noProof/>
                <w:webHidden/>
              </w:rPr>
              <w:tab/>
            </w:r>
            <w:r w:rsidR="0091631A">
              <w:rPr>
                <w:noProof/>
                <w:webHidden/>
              </w:rPr>
              <w:fldChar w:fldCharType="begin"/>
            </w:r>
            <w:r w:rsidR="0091631A">
              <w:rPr>
                <w:noProof/>
                <w:webHidden/>
              </w:rPr>
              <w:instrText xml:space="preserve"> PAGEREF _Toc172726214 \h </w:instrText>
            </w:r>
            <w:r w:rsidR="0091631A">
              <w:rPr>
                <w:noProof/>
                <w:webHidden/>
              </w:rPr>
            </w:r>
            <w:r w:rsidR="0091631A">
              <w:rPr>
                <w:noProof/>
                <w:webHidden/>
              </w:rPr>
              <w:fldChar w:fldCharType="separate"/>
            </w:r>
            <w:r w:rsidR="0091631A">
              <w:rPr>
                <w:noProof/>
                <w:webHidden/>
              </w:rPr>
              <w:t>39</w:t>
            </w:r>
            <w:r w:rsidR="0091631A">
              <w:rPr>
                <w:noProof/>
                <w:webHidden/>
              </w:rPr>
              <w:fldChar w:fldCharType="end"/>
            </w:r>
          </w:hyperlink>
        </w:p>
        <w:p w14:paraId="0EB190FD" w14:textId="2EEB58F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5" w:history="1">
            <w:r w:rsidR="0091631A" w:rsidRPr="00823710">
              <w:rPr>
                <w:rStyle w:val="Hipervnculo"/>
                <w:rFonts w:ascii="Arial" w:eastAsia="Arial" w:hAnsi="Arial"/>
                <w:b/>
                <w:bCs/>
                <w:noProof/>
                <w:lang w:val="es-CR"/>
              </w:rPr>
              <w:t>Deterioro</w:t>
            </w:r>
            <w:r w:rsidR="0091631A">
              <w:rPr>
                <w:noProof/>
                <w:webHidden/>
              </w:rPr>
              <w:tab/>
            </w:r>
            <w:r w:rsidR="0091631A">
              <w:rPr>
                <w:noProof/>
                <w:webHidden/>
              </w:rPr>
              <w:fldChar w:fldCharType="begin"/>
            </w:r>
            <w:r w:rsidR="0091631A">
              <w:rPr>
                <w:noProof/>
                <w:webHidden/>
              </w:rPr>
              <w:instrText xml:space="preserve"> PAGEREF _Toc172726215 \h </w:instrText>
            </w:r>
            <w:r w:rsidR="0091631A">
              <w:rPr>
                <w:noProof/>
                <w:webHidden/>
              </w:rPr>
            </w:r>
            <w:r w:rsidR="0091631A">
              <w:rPr>
                <w:noProof/>
                <w:webHidden/>
              </w:rPr>
              <w:fldChar w:fldCharType="separate"/>
            </w:r>
            <w:r w:rsidR="0091631A">
              <w:rPr>
                <w:noProof/>
                <w:webHidden/>
              </w:rPr>
              <w:t>41</w:t>
            </w:r>
            <w:r w:rsidR="0091631A">
              <w:rPr>
                <w:noProof/>
                <w:webHidden/>
              </w:rPr>
              <w:fldChar w:fldCharType="end"/>
            </w:r>
          </w:hyperlink>
        </w:p>
        <w:p w14:paraId="4D13FF25" w14:textId="31F6196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6" w:history="1">
            <w:r w:rsidR="0091631A" w:rsidRPr="00823710">
              <w:rPr>
                <w:rStyle w:val="Hipervnculo"/>
                <w:rFonts w:ascii="Arial" w:eastAsia="Arial" w:hAnsi="Arial"/>
                <w:b/>
                <w:bCs/>
                <w:noProof/>
                <w:lang w:val="es-CR"/>
              </w:rPr>
              <w:t>Activos no generadores de efectivo</w:t>
            </w:r>
            <w:r w:rsidR="0091631A">
              <w:rPr>
                <w:noProof/>
                <w:webHidden/>
              </w:rPr>
              <w:tab/>
            </w:r>
            <w:r w:rsidR="0091631A">
              <w:rPr>
                <w:noProof/>
                <w:webHidden/>
              </w:rPr>
              <w:fldChar w:fldCharType="begin"/>
            </w:r>
            <w:r w:rsidR="0091631A">
              <w:rPr>
                <w:noProof/>
                <w:webHidden/>
              </w:rPr>
              <w:instrText xml:space="preserve"> PAGEREF _Toc172726216 \h </w:instrText>
            </w:r>
            <w:r w:rsidR="0091631A">
              <w:rPr>
                <w:noProof/>
                <w:webHidden/>
              </w:rPr>
            </w:r>
            <w:r w:rsidR="0091631A">
              <w:rPr>
                <w:noProof/>
                <w:webHidden/>
              </w:rPr>
              <w:fldChar w:fldCharType="separate"/>
            </w:r>
            <w:r w:rsidR="0091631A">
              <w:rPr>
                <w:noProof/>
                <w:webHidden/>
              </w:rPr>
              <w:t>42</w:t>
            </w:r>
            <w:r w:rsidR="0091631A">
              <w:rPr>
                <w:noProof/>
                <w:webHidden/>
              </w:rPr>
              <w:fldChar w:fldCharType="end"/>
            </w:r>
          </w:hyperlink>
        </w:p>
        <w:p w14:paraId="133001FD" w14:textId="11C28138"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7" w:history="1">
            <w:r w:rsidR="0091631A" w:rsidRPr="00823710">
              <w:rPr>
                <w:rStyle w:val="Hipervnculo"/>
                <w:rFonts w:ascii="Arial" w:eastAsia="Arial" w:hAnsi="Arial"/>
                <w:b/>
                <w:bCs/>
                <w:noProof/>
                <w:lang w:val="es-CR"/>
              </w:rPr>
              <w:t>Activos generadores de efectivo</w:t>
            </w:r>
            <w:r w:rsidR="0091631A">
              <w:rPr>
                <w:noProof/>
                <w:webHidden/>
              </w:rPr>
              <w:tab/>
            </w:r>
            <w:r w:rsidR="0091631A">
              <w:rPr>
                <w:noProof/>
                <w:webHidden/>
              </w:rPr>
              <w:fldChar w:fldCharType="begin"/>
            </w:r>
            <w:r w:rsidR="0091631A">
              <w:rPr>
                <w:noProof/>
                <w:webHidden/>
              </w:rPr>
              <w:instrText xml:space="preserve"> PAGEREF _Toc172726217 \h </w:instrText>
            </w:r>
            <w:r w:rsidR="0091631A">
              <w:rPr>
                <w:noProof/>
                <w:webHidden/>
              </w:rPr>
            </w:r>
            <w:r w:rsidR="0091631A">
              <w:rPr>
                <w:noProof/>
                <w:webHidden/>
              </w:rPr>
              <w:fldChar w:fldCharType="separate"/>
            </w:r>
            <w:r w:rsidR="0091631A">
              <w:rPr>
                <w:noProof/>
                <w:webHidden/>
              </w:rPr>
              <w:t>42</w:t>
            </w:r>
            <w:r w:rsidR="0091631A">
              <w:rPr>
                <w:noProof/>
                <w:webHidden/>
              </w:rPr>
              <w:fldChar w:fldCharType="end"/>
            </w:r>
          </w:hyperlink>
        </w:p>
        <w:p w14:paraId="33C90EB1" w14:textId="2037E5E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8" w:history="1">
            <w:r w:rsidR="0091631A" w:rsidRPr="00823710">
              <w:rPr>
                <w:rStyle w:val="Hipervnculo"/>
                <w:rFonts w:ascii="Arial" w:eastAsia="Arial" w:hAnsi="Arial"/>
                <w:b/>
                <w:bCs/>
                <w:noProof/>
                <w:lang w:val="es-CR"/>
              </w:rPr>
              <w:t>Activos no generadores de efectivo</w:t>
            </w:r>
            <w:r w:rsidR="0091631A">
              <w:rPr>
                <w:noProof/>
                <w:webHidden/>
              </w:rPr>
              <w:tab/>
            </w:r>
            <w:r w:rsidR="0091631A">
              <w:rPr>
                <w:noProof/>
                <w:webHidden/>
              </w:rPr>
              <w:fldChar w:fldCharType="begin"/>
            </w:r>
            <w:r w:rsidR="0091631A">
              <w:rPr>
                <w:noProof/>
                <w:webHidden/>
              </w:rPr>
              <w:instrText xml:space="preserve"> PAGEREF _Toc172726218 \h </w:instrText>
            </w:r>
            <w:r w:rsidR="0091631A">
              <w:rPr>
                <w:noProof/>
                <w:webHidden/>
              </w:rPr>
            </w:r>
            <w:r w:rsidR="0091631A">
              <w:rPr>
                <w:noProof/>
                <w:webHidden/>
              </w:rPr>
              <w:fldChar w:fldCharType="separate"/>
            </w:r>
            <w:r w:rsidR="0091631A">
              <w:rPr>
                <w:noProof/>
                <w:webHidden/>
              </w:rPr>
              <w:t>57</w:t>
            </w:r>
            <w:r w:rsidR="0091631A">
              <w:rPr>
                <w:noProof/>
                <w:webHidden/>
              </w:rPr>
              <w:fldChar w:fldCharType="end"/>
            </w:r>
          </w:hyperlink>
        </w:p>
        <w:p w14:paraId="43457697" w14:textId="10C2A06D"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19" w:history="1">
            <w:r w:rsidR="0091631A" w:rsidRPr="00823710">
              <w:rPr>
                <w:rStyle w:val="Hipervnculo"/>
                <w:rFonts w:ascii="Arial" w:eastAsia="Arial" w:hAnsi="Arial"/>
                <w:b/>
                <w:bCs/>
                <w:noProof/>
                <w:lang w:val="es-CR"/>
              </w:rPr>
              <w:t>Activos Intangibles</w:t>
            </w:r>
            <w:r w:rsidR="0091631A">
              <w:rPr>
                <w:noProof/>
                <w:webHidden/>
              </w:rPr>
              <w:tab/>
            </w:r>
            <w:r w:rsidR="0091631A">
              <w:rPr>
                <w:noProof/>
                <w:webHidden/>
              </w:rPr>
              <w:fldChar w:fldCharType="begin"/>
            </w:r>
            <w:r w:rsidR="0091631A">
              <w:rPr>
                <w:noProof/>
                <w:webHidden/>
              </w:rPr>
              <w:instrText xml:space="preserve"> PAGEREF _Toc172726219 \h </w:instrText>
            </w:r>
            <w:r w:rsidR="0091631A">
              <w:rPr>
                <w:noProof/>
                <w:webHidden/>
              </w:rPr>
            </w:r>
            <w:r w:rsidR="0091631A">
              <w:rPr>
                <w:noProof/>
                <w:webHidden/>
              </w:rPr>
              <w:fldChar w:fldCharType="separate"/>
            </w:r>
            <w:r w:rsidR="0091631A">
              <w:rPr>
                <w:noProof/>
                <w:webHidden/>
              </w:rPr>
              <w:t>68</w:t>
            </w:r>
            <w:r w:rsidR="0091631A">
              <w:rPr>
                <w:noProof/>
                <w:webHidden/>
              </w:rPr>
              <w:fldChar w:fldCharType="end"/>
            </w:r>
          </w:hyperlink>
        </w:p>
        <w:p w14:paraId="5AE353F9" w14:textId="4A0FFCE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0" w:history="1">
            <w:r w:rsidR="0091631A" w:rsidRPr="00823710">
              <w:rPr>
                <w:rStyle w:val="Hipervnculo"/>
                <w:rFonts w:ascii="Arial" w:eastAsia="Arial" w:hAnsi="Arial"/>
                <w:b/>
                <w:bCs/>
                <w:noProof/>
                <w:lang w:val="es-CR"/>
              </w:rPr>
              <w:t>Otros activos</w:t>
            </w:r>
            <w:r w:rsidR="0091631A">
              <w:rPr>
                <w:noProof/>
                <w:webHidden/>
              </w:rPr>
              <w:tab/>
            </w:r>
            <w:r w:rsidR="0091631A">
              <w:rPr>
                <w:noProof/>
                <w:webHidden/>
              </w:rPr>
              <w:fldChar w:fldCharType="begin"/>
            </w:r>
            <w:r w:rsidR="0091631A">
              <w:rPr>
                <w:noProof/>
                <w:webHidden/>
              </w:rPr>
              <w:instrText xml:space="preserve"> PAGEREF _Toc172726220 \h </w:instrText>
            </w:r>
            <w:r w:rsidR="0091631A">
              <w:rPr>
                <w:noProof/>
                <w:webHidden/>
              </w:rPr>
            </w:r>
            <w:r w:rsidR="0091631A">
              <w:rPr>
                <w:noProof/>
                <w:webHidden/>
              </w:rPr>
              <w:fldChar w:fldCharType="separate"/>
            </w:r>
            <w:r w:rsidR="0091631A">
              <w:rPr>
                <w:noProof/>
                <w:webHidden/>
              </w:rPr>
              <w:t>88</w:t>
            </w:r>
            <w:r w:rsidR="0091631A">
              <w:rPr>
                <w:noProof/>
                <w:webHidden/>
              </w:rPr>
              <w:fldChar w:fldCharType="end"/>
            </w:r>
          </w:hyperlink>
        </w:p>
        <w:p w14:paraId="5E195E7B" w14:textId="14649E0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1" w:history="1">
            <w:r w:rsidR="0091631A" w:rsidRPr="00823710">
              <w:rPr>
                <w:rStyle w:val="Hipervnculo"/>
                <w:rFonts w:ascii="Arial" w:eastAsia="Arial" w:hAnsi="Arial"/>
                <w:b/>
                <w:bCs/>
                <w:noProof/>
                <w:lang w:val="es-CR"/>
              </w:rPr>
              <w:t>Activos Contingentes</w:t>
            </w:r>
            <w:r w:rsidR="0091631A">
              <w:rPr>
                <w:noProof/>
                <w:webHidden/>
              </w:rPr>
              <w:tab/>
            </w:r>
            <w:r w:rsidR="0091631A">
              <w:rPr>
                <w:noProof/>
                <w:webHidden/>
              </w:rPr>
              <w:fldChar w:fldCharType="begin"/>
            </w:r>
            <w:r w:rsidR="0091631A">
              <w:rPr>
                <w:noProof/>
                <w:webHidden/>
              </w:rPr>
              <w:instrText xml:space="preserve"> PAGEREF _Toc172726221 \h </w:instrText>
            </w:r>
            <w:r w:rsidR="0091631A">
              <w:rPr>
                <w:noProof/>
                <w:webHidden/>
              </w:rPr>
            </w:r>
            <w:r w:rsidR="0091631A">
              <w:rPr>
                <w:noProof/>
                <w:webHidden/>
              </w:rPr>
              <w:fldChar w:fldCharType="separate"/>
            </w:r>
            <w:r w:rsidR="0091631A">
              <w:rPr>
                <w:noProof/>
                <w:webHidden/>
              </w:rPr>
              <w:t>88</w:t>
            </w:r>
            <w:r w:rsidR="0091631A">
              <w:rPr>
                <w:noProof/>
                <w:webHidden/>
              </w:rPr>
              <w:fldChar w:fldCharType="end"/>
            </w:r>
          </w:hyperlink>
        </w:p>
        <w:p w14:paraId="0E4A8B86" w14:textId="3E534DFB" w:rsidR="0091631A" w:rsidRDefault="009D13CC">
          <w:pPr>
            <w:pStyle w:val="TDC1"/>
            <w:rPr>
              <w:rFonts w:asciiTheme="minorHAnsi" w:eastAsiaTheme="minorEastAsia" w:hAnsiTheme="minorHAnsi" w:cstheme="minorBidi"/>
              <w:kern w:val="2"/>
              <w:sz w:val="24"/>
              <w:szCs w:val="24"/>
              <w:lang w:val="en-US"/>
              <w14:ligatures w14:val="standardContextual"/>
            </w:rPr>
          </w:pPr>
          <w:hyperlink w:anchor="_Toc172726222" w:history="1">
            <w:r w:rsidR="0091631A" w:rsidRPr="00823710">
              <w:rPr>
                <w:rStyle w:val="Hipervnculo"/>
                <w:rFonts w:ascii="Arial Narrow" w:hAnsi="Arial Narrow"/>
                <w:b/>
                <w:bCs/>
              </w:rPr>
              <w:t>CAPÍTULO II</w:t>
            </w:r>
            <w:r w:rsidR="0091631A">
              <w:rPr>
                <w:webHidden/>
              </w:rPr>
              <w:tab/>
            </w:r>
            <w:r w:rsidR="0091631A">
              <w:rPr>
                <w:webHidden/>
              </w:rPr>
              <w:fldChar w:fldCharType="begin"/>
            </w:r>
            <w:r w:rsidR="0091631A">
              <w:rPr>
                <w:webHidden/>
              </w:rPr>
              <w:instrText xml:space="preserve"> PAGEREF _Toc172726222 \h </w:instrText>
            </w:r>
            <w:r w:rsidR="0091631A">
              <w:rPr>
                <w:webHidden/>
              </w:rPr>
            </w:r>
            <w:r w:rsidR="0091631A">
              <w:rPr>
                <w:webHidden/>
              </w:rPr>
              <w:fldChar w:fldCharType="separate"/>
            </w:r>
            <w:r w:rsidR="0091631A">
              <w:rPr>
                <w:webHidden/>
              </w:rPr>
              <w:t>91</w:t>
            </w:r>
            <w:r w:rsidR="0091631A">
              <w:rPr>
                <w:webHidden/>
              </w:rPr>
              <w:fldChar w:fldCharType="end"/>
            </w:r>
          </w:hyperlink>
        </w:p>
        <w:p w14:paraId="5CD74A4D" w14:textId="5F83607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3" w:history="1">
            <w:r w:rsidR="0091631A" w:rsidRPr="00823710">
              <w:rPr>
                <w:rStyle w:val="Hipervnculo"/>
                <w:rFonts w:ascii="Arial" w:eastAsia="Arial" w:hAnsi="Arial"/>
                <w:b/>
                <w:bCs/>
                <w:noProof/>
                <w:lang w:val="es-CR"/>
              </w:rPr>
              <w:t>Políticas Contables Generales y Particulares para el Pasivo</w:t>
            </w:r>
            <w:r w:rsidR="0091631A">
              <w:rPr>
                <w:noProof/>
                <w:webHidden/>
              </w:rPr>
              <w:tab/>
            </w:r>
            <w:r w:rsidR="0091631A">
              <w:rPr>
                <w:noProof/>
                <w:webHidden/>
              </w:rPr>
              <w:fldChar w:fldCharType="begin"/>
            </w:r>
            <w:r w:rsidR="0091631A">
              <w:rPr>
                <w:noProof/>
                <w:webHidden/>
              </w:rPr>
              <w:instrText xml:space="preserve"> PAGEREF _Toc172726223 \h </w:instrText>
            </w:r>
            <w:r w:rsidR="0091631A">
              <w:rPr>
                <w:noProof/>
                <w:webHidden/>
              </w:rPr>
            </w:r>
            <w:r w:rsidR="0091631A">
              <w:rPr>
                <w:noProof/>
                <w:webHidden/>
              </w:rPr>
              <w:fldChar w:fldCharType="separate"/>
            </w:r>
            <w:r w:rsidR="0091631A">
              <w:rPr>
                <w:noProof/>
                <w:webHidden/>
              </w:rPr>
              <w:t>91</w:t>
            </w:r>
            <w:r w:rsidR="0091631A">
              <w:rPr>
                <w:noProof/>
                <w:webHidden/>
              </w:rPr>
              <w:fldChar w:fldCharType="end"/>
            </w:r>
          </w:hyperlink>
        </w:p>
        <w:p w14:paraId="4A4A55C5" w14:textId="17095B2A"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4" w:history="1">
            <w:r w:rsidR="0091631A" w:rsidRPr="00823710">
              <w:rPr>
                <w:rStyle w:val="Hipervnculo"/>
                <w:rFonts w:ascii="Arial" w:eastAsia="Arial" w:hAnsi="Arial"/>
                <w:b/>
                <w:bCs/>
                <w:noProof/>
                <w:lang w:val="es-CR"/>
              </w:rPr>
              <w:t>2. Pasivo</w:t>
            </w:r>
            <w:r w:rsidR="0091631A">
              <w:rPr>
                <w:noProof/>
                <w:webHidden/>
              </w:rPr>
              <w:tab/>
            </w:r>
            <w:r w:rsidR="0091631A">
              <w:rPr>
                <w:noProof/>
                <w:webHidden/>
              </w:rPr>
              <w:fldChar w:fldCharType="begin"/>
            </w:r>
            <w:r w:rsidR="0091631A">
              <w:rPr>
                <w:noProof/>
                <w:webHidden/>
              </w:rPr>
              <w:instrText xml:space="preserve"> PAGEREF _Toc172726224 \h </w:instrText>
            </w:r>
            <w:r w:rsidR="0091631A">
              <w:rPr>
                <w:noProof/>
                <w:webHidden/>
              </w:rPr>
            </w:r>
            <w:r w:rsidR="0091631A">
              <w:rPr>
                <w:noProof/>
                <w:webHidden/>
              </w:rPr>
              <w:fldChar w:fldCharType="separate"/>
            </w:r>
            <w:r w:rsidR="0091631A">
              <w:rPr>
                <w:noProof/>
                <w:webHidden/>
              </w:rPr>
              <w:t>91</w:t>
            </w:r>
            <w:r w:rsidR="0091631A">
              <w:rPr>
                <w:noProof/>
                <w:webHidden/>
              </w:rPr>
              <w:fldChar w:fldCharType="end"/>
            </w:r>
          </w:hyperlink>
        </w:p>
        <w:p w14:paraId="20C952B1" w14:textId="24BD78B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5" w:history="1">
            <w:r w:rsidR="0091631A" w:rsidRPr="00823710">
              <w:rPr>
                <w:rStyle w:val="Hipervnculo"/>
                <w:rFonts w:ascii="Arial" w:eastAsia="Arial" w:hAnsi="Arial"/>
                <w:b/>
                <w:bCs/>
                <w:noProof/>
                <w:lang w:val="es-CR"/>
              </w:rPr>
              <w:t>Reconocimiento</w:t>
            </w:r>
            <w:r w:rsidR="0091631A">
              <w:rPr>
                <w:noProof/>
                <w:webHidden/>
              </w:rPr>
              <w:tab/>
            </w:r>
            <w:r w:rsidR="0091631A">
              <w:rPr>
                <w:noProof/>
                <w:webHidden/>
              </w:rPr>
              <w:fldChar w:fldCharType="begin"/>
            </w:r>
            <w:r w:rsidR="0091631A">
              <w:rPr>
                <w:noProof/>
                <w:webHidden/>
              </w:rPr>
              <w:instrText xml:space="preserve"> PAGEREF _Toc172726225 \h </w:instrText>
            </w:r>
            <w:r w:rsidR="0091631A">
              <w:rPr>
                <w:noProof/>
                <w:webHidden/>
              </w:rPr>
            </w:r>
            <w:r w:rsidR="0091631A">
              <w:rPr>
                <w:noProof/>
                <w:webHidden/>
              </w:rPr>
              <w:fldChar w:fldCharType="separate"/>
            </w:r>
            <w:r w:rsidR="0091631A">
              <w:rPr>
                <w:noProof/>
                <w:webHidden/>
              </w:rPr>
              <w:t>91</w:t>
            </w:r>
            <w:r w:rsidR="0091631A">
              <w:rPr>
                <w:noProof/>
                <w:webHidden/>
              </w:rPr>
              <w:fldChar w:fldCharType="end"/>
            </w:r>
          </w:hyperlink>
        </w:p>
        <w:p w14:paraId="667607E5" w14:textId="2B83C42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6" w:history="1">
            <w:r w:rsidR="0091631A" w:rsidRPr="00823710">
              <w:rPr>
                <w:rStyle w:val="Hipervnculo"/>
                <w:rFonts w:ascii="Arial" w:eastAsia="Arial" w:hAnsi="Arial"/>
                <w:b/>
                <w:bCs/>
                <w:noProof/>
                <w:lang w:val="es-CR"/>
              </w:rPr>
              <w:t>Baja en cuentas de un pasivo financiero</w:t>
            </w:r>
            <w:r w:rsidR="0091631A">
              <w:rPr>
                <w:noProof/>
                <w:webHidden/>
              </w:rPr>
              <w:tab/>
            </w:r>
            <w:r w:rsidR="0091631A">
              <w:rPr>
                <w:noProof/>
                <w:webHidden/>
              </w:rPr>
              <w:fldChar w:fldCharType="begin"/>
            </w:r>
            <w:r w:rsidR="0091631A">
              <w:rPr>
                <w:noProof/>
                <w:webHidden/>
              </w:rPr>
              <w:instrText xml:space="preserve"> PAGEREF _Toc172726226 \h </w:instrText>
            </w:r>
            <w:r w:rsidR="0091631A">
              <w:rPr>
                <w:noProof/>
                <w:webHidden/>
              </w:rPr>
            </w:r>
            <w:r w:rsidR="0091631A">
              <w:rPr>
                <w:noProof/>
                <w:webHidden/>
              </w:rPr>
              <w:fldChar w:fldCharType="separate"/>
            </w:r>
            <w:r w:rsidR="0091631A">
              <w:rPr>
                <w:noProof/>
                <w:webHidden/>
              </w:rPr>
              <w:t>97</w:t>
            </w:r>
            <w:r w:rsidR="0091631A">
              <w:rPr>
                <w:noProof/>
                <w:webHidden/>
              </w:rPr>
              <w:fldChar w:fldCharType="end"/>
            </w:r>
          </w:hyperlink>
        </w:p>
        <w:p w14:paraId="5919D3DA" w14:textId="16C8F434"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7" w:history="1">
            <w:r w:rsidR="0091631A" w:rsidRPr="00823710">
              <w:rPr>
                <w:rStyle w:val="Hipervnculo"/>
                <w:rFonts w:ascii="Arial" w:eastAsia="Arial" w:hAnsi="Arial"/>
                <w:b/>
                <w:bCs/>
                <w:noProof/>
                <w:lang w:val="es-CR"/>
              </w:rPr>
              <w:t>Arrendamientos</w:t>
            </w:r>
            <w:r w:rsidR="0091631A">
              <w:rPr>
                <w:noProof/>
                <w:webHidden/>
              </w:rPr>
              <w:tab/>
            </w:r>
            <w:r w:rsidR="0091631A">
              <w:rPr>
                <w:noProof/>
                <w:webHidden/>
              </w:rPr>
              <w:fldChar w:fldCharType="begin"/>
            </w:r>
            <w:r w:rsidR="0091631A">
              <w:rPr>
                <w:noProof/>
                <w:webHidden/>
              </w:rPr>
              <w:instrText xml:space="preserve"> PAGEREF _Toc172726227 \h </w:instrText>
            </w:r>
            <w:r w:rsidR="0091631A">
              <w:rPr>
                <w:noProof/>
                <w:webHidden/>
              </w:rPr>
            </w:r>
            <w:r w:rsidR="0091631A">
              <w:rPr>
                <w:noProof/>
                <w:webHidden/>
              </w:rPr>
              <w:fldChar w:fldCharType="separate"/>
            </w:r>
            <w:r w:rsidR="0091631A">
              <w:rPr>
                <w:noProof/>
                <w:webHidden/>
              </w:rPr>
              <w:t>100</w:t>
            </w:r>
            <w:r w:rsidR="0091631A">
              <w:rPr>
                <w:noProof/>
                <w:webHidden/>
              </w:rPr>
              <w:fldChar w:fldCharType="end"/>
            </w:r>
          </w:hyperlink>
        </w:p>
        <w:p w14:paraId="4EE12F1B" w14:textId="38FD6675"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8" w:history="1">
            <w:r w:rsidR="0091631A" w:rsidRPr="00823710">
              <w:rPr>
                <w:rStyle w:val="Hipervnculo"/>
                <w:rFonts w:ascii="Arial" w:eastAsia="Arial" w:hAnsi="Arial"/>
                <w:b/>
                <w:bCs/>
                <w:noProof/>
                <w:lang w:val="es-CR"/>
              </w:rPr>
              <w:t>Pasivos relacionados con ingresos sin contraprestación</w:t>
            </w:r>
            <w:r w:rsidR="0091631A">
              <w:rPr>
                <w:noProof/>
                <w:webHidden/>
              </w:rPr>
              <w:tab/>
            </w:r>
            <w:r w:rsidR="0091631A">
              <w:rPr>
                <w:noProof/>
                <w:webHidden/>
              </w:rPr>
              <w:fldChar w:fldCharType="begin"/>
            </w:r>
            <w:r w:rsidR="0091631A">
              <w:rPr>
                <w:noProof/>
                <w:webHidden/>
              </w:rPr>
              <w:instrText xml:space="preserve"> PAGEREF _Toc172726228 \h </w:instrText>
            </w:r>
            <w:r w:rsidR="0091631A">
              <w:rPr>
                <w:noProof/>
                <w:webHidden/>
              </w:rPr>
            </w:r>
            <w:r w:rsidR="0091631A">
              <w:rPr>
                <w:noProof/>
                <w:webHidden/>
              </w:rPr>
              <w:fldChar w:fldCharType="separate"/>
            </w:r>
            <w:r w:rsidR="0091631A">
              <w:rPr>
                <w:noProof/>
                <w:webHidden/>
              </w:rPr>
              <w:t>102</w:t>
            </w:r>
            <w:r w:rsidR="0091631A">
              <w:rPr>
                <w:noProof/>
                <w:webHidden/>
              </w:rPr>
              <w:fldChar w:fldCharType="end"/>
            </w:r>
          </w:hyperlink>
        </w:p>
        <w:p w14:paraId="2FD901A4" w14:textId="06ED9BB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29" w:history="1">
            <w:r w:rsidR="0091631A" w:rsidRPr="00823710">
              <w:rPr>
                <w:rStyle w:val="Hipervnculo"/>
                <w:rFonts w:ascii="Arial" w:eastAsia="Arial" w:hAnsi="Arial"/>
                <w:b/>
                <w:bCs/>
                <w:noProof/>
                <w:lang w:val="es-CR"/>
              </w:rPr>
              <w:t>Moneda Extranjera</w:t>
            </w:r>
            <w:r w:rsidR="0091631A">
              <w:rPr>
                <w:noProof/>
                <w:webHidden/>
              </w:rPr>
              <w:tab/>
            </w:r>
            <w:r w:rsidR="0091631A">
              <w:rPr>
                <w:noProof/>
                <w:webHidden/>
              </w:rPr>
              <w:fldChar w:fldCharType="begin"/>
            </w:r>
            <w:r w:rsidR="0091631A">
              <w:rPr>
                <w:noProof/>
                <w:webHidden/>
              </w:rPr>
              <w:instrText xml:space="preserve"> PAGEREF _Toc172726229 \h </w:instrText>
            </w:r>
            <w:r w:rsidR="0091631A">
              <w:rPr>
                <w:noProof/>
                <w:webHidden/>
              </w:rPr>
            </w:r>
            <w:r w:rsidR="0091631A">
              <w:rPr>
                <w:noProof/>
                <w:webHidden/>
              </w:rPr>
              <w:fldChar w:fldCharType="separate"/>
            </w:r>
            <w:r w:rsidR="0091631A">
              <w:rPr>
                <w:noProof/>
                <w:webHidden/>
              </w:rPr>
              <w:t>104</w:t>
            </w:r>
            <w:r w:rsidR="0091631A">
              <w:rPr>
                <w:noProof/>
                <w:webHidden/>
              </w:rPr>
              <w:fldChar w:fldCharType="end"/>
            </w:r>
          </w:hyperlink>
        </w:p>
        <w:p w14:paraId="3320BA75" w14:textId="47CFA84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0" w:history="1">
            <w:r w:rsidR="0091631A" w:rsidRPr="00823710">
              <w:rPr>
                <w:rStyle w:val="Hipervnculo"/>
                <w:rFonts w:ascii="Arial" w:eastAsia="Arial" w:hAnsi="Arial"/>
                <w:b/>
                <w:bCs/>
                <w:noProof/>
                <w:lang w:val="es-CR"/>
              </w:rPr>
              <w:t>Beneficios a los Empleados</w:t>
            </w:r>
            <w:r w:rsidR="0091631A">
              <w:rPr>
                <w:noProof/>
                <w:webHidden/>
              </w:rPr>
              <w:tab/>
            </w:r>
            <w:r w:rsidR="0091631A">
              <w:rPr>
                <w:noProof/>
                <w:webHidden/>
              </w:rPr>
              <w:fldChar w:fldCharType="begin"/>
            </w:r>
            <w:r w:rsidR="0091631A">
              <w:rPr>
                <w:noProof/>
                <w:webHidden/>
              </w:rPr>
              <w:instrText xml:space="preserve"> PAGEREF _Toc172726230 \h </w:instrText>
            </w:r>
            <w:r w:rsidR="0091631A">
              <w:rPr>
                <w:noProof/>
                <w:webHidden/>
              </w:rPr>
            </w:r>
            <w:r w:rsidR="0091631A">
              <w:rPr>
                <w:noProof/>
                <w:webHidden/>
              </w:rPr>
              <w:fldChar w:fldCharType="separate"/>
            </w:r>
            <w:r w:rsidR="0091631A">
              <w:rPr>
                <w:noProof/>
                <w:webHidden/>
              </w:rPr>
              <w:t>105</w:t>
            </w:r>
            <w:r w:rsidR="0091631A">
              <w:rPr>
                <w:noProof/>
                <w:webHidden/>
              </w:rPr>
              <w:fldChar w:fldCharType="end"/>
            </w:r>
          </w:hyperlink>
        </w:p>
        <w:p w14:paraId="099DF818" w14:textId="244A913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1" w:history="1">
            <w:r w:rsidR="0091631A" w:rsidRPr="00823710">
              <w:rPr>
                <w:rStyle w:val="Hipervnculo"/>
                <w:rFonts w:ascii="Arial" w:eastAsia="Arial" w:hAnsi="Arial"/>
                <w:b/>
                <w:bCs/>
                <w:noProof/>
                <w:lang w:val="es-CR"/>
              </w:rPr>
              <w:t>Beneficios a los empleados a corto plazo</w:t>
            </w:r>
            <w:r w:rsidR="0091631A">
              <w:rPr>
                <w:noProof/>
                <w:webHidden/>
              </w:rPr>
              <w:tab/>
            </w:r>
            <w:r w:rsidR="0091631A">
              <w:rPr>
                <w:noProof/>
                <w:webHidden/>
              </w:rPr>
              <w:fldChar w:fldCharType="begin"/>
            </w:r>
            <w:r w:rsidR="0091631A">
              <w:rPr>
                <w:noProof/>
                <w:webHidden/>
              </w:rPr>
              <w:instrText xml:space="preserve"> PAGEREF _Toc172726231 \h </w:instrText>
            </w:r>
            <w:r w:rsidR="0091631A">
              <w:rPr>
                <w:noProof/>
                <w:webHidden/>
              </w:rPr>
            </w:r>
            <w:r w:rsidR="0091631A">
              <w:rPr>
                <w:noProof/>
                <w:webHidden/>
              </w:rPr>
              <w:fldChar w:fldCharType="separate"/>
            </w:r>
            <w:r w:rsidR="0091631A">
              <w:rPr>
                <w:noProof/>
                <w:webHidden/>
              </w:rPr>
              <w:t>107</w:t>
            </w:r>
            <w:r w:rsidR="0091631A">
              <w:rPr>
                <w:noProof/>
                <w:webHidden/>
              </w:rPr>
              <w:fldChar w:fldCharType="end"/>
            </w:r>
          </w:hyperlink>
        </w:p>
        <w:p w14:paraId="0C435F2E" w14:textId="108E921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2" w:history="1">
            <w:r w:rsidR="0091631A" w:rsidRPr="00823710">
              <w:rPr>
                <w:rStyle w:val="Hipervnculo"/>
                <w:rFonts w:ascii="Arial" w:eastAsia="Arial" w:hAnsi="Arial"/>
                <w:b/>
                <w:bCs/>
                <w:noProof/>
                <w:lang w:val="es-CR"/>
              </w:rPr>
              <w:t>Cuentas por Pagar Corto Plazo por concepto de vacaciones:</w:t>
            </w:r>
            <w:r w:rsidR="0091631A">
              <w:rPr>
                <w:noProof/>
                <w:webHidden/>
              </w:rPr>
              <w:tab/>
            </w:r>
            <w:r w:rsidR="0091631A">
              <w:rPr>
                <w:noProof/>
                <w:webHidden/>
              </w:rPr>
              <w:fldChar w:fldCharType="begin"/>
            </w:r>
            <w:r w:rsidR="0091631A">
              <w:rPr>
                <w:noProof/>
                <w:webHidden/>
              </w:rPr>
              <w:instrText xml:space="preserve"> PAGEREF _Toc172726232 \h </w:instrText>
            </w:r>
            <w:r w:rsidR="0091631A">
              <w:rPr>
                <w:noProof/>
                <w:webHidden/>
              </w:rPr>
            </w:r>
            <w:r w:rsidR="0091631A">
              <w:rPr>
                <w:noProof/>
                <w:webHidden/>
              </w:rPr>
              <w:fldChar w:fldCharType="separate"/>
            </w:r>
            <w:r w:rsidR="0091631A">
              <w:rPr>
                <w:noProof/>
                <w:webHidden/>
              </w:rPr>
              <w:t>108</w:t>
            </w:r>
            <w:r w:rsidR="0091631A">
              <w:rPr>
                <w:noProof/>
                <w:webHidden/>
              </w:rPr>
              <w:fldChar w:fldCharType="end"/>
            </w:r>
          </w:hyperlink>
        </w:p>
        <w:p w14:paraId="0FA70C81" w14:textId="24754DE7"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3" w:history="1">
            <w:r w:rsidR="0091631A" w:rsidRPr="00823710">
              <w:rPr>
                <w:rStyle w:val="Hipervnculo"/>
                <w:rFonts w:ascii="Arial" w:eastAsia="Arial" w:hAnsi="Arial"/>
                <w:b/>
                <w:bCs/>
                <w:noProof/>
                <w:lang w:val="es-CR"/>
              </w:rPr>
              <w:t>Beneficios a los empleados a corto plazo</w:t>
            </w:r>
            <w:r w:rsidR="0091631A">
              <w:rPr>
                <w:noProof/>
                <w:webHidden/>
              </w:rPr>
              <w:tab/>
            </w:r>
            <w:r w:rsidR="0091631A">
              <w:rPr>
                <w:noProof/>
                <w:webHidden/>
              </w:rPr>
              <w:fldChar w:fldCharType="begin"/>
            </w:r>
            <w:r w:rsidR="0091631A">
              <w:rPr>
                <w:noProof/>
                <w:webHidden/>
              </w:rPr>
              <w:instrText xml:space="preserve"> PAGEREF _Toc172726233 \h </w:instrText>
            </w:r>
            <w:r w:rsidR="0091631A">
              <w:rPr>
                <w:noProof/>
                <w:webHidden/>
              </w:rPr>
            </w:r>
            <w:r w:rsidR="0091631A">
              <w:rPr>
                <w:noProof/>
                <w:webHidden/>
              </w:rPr>
              <w:fldChar w:fldCharType="separate"/>
            </w:r>
            <w:r w:rsidR="0091631A">
              <w:rPr>
                <w:noProof/>
                <w:webHidden/>
              </w:rPr>
              <w:t>112</w:t>
            </w:r>
            <w:r w:rsidR="0091631A">
              <w:rPr>
                <w:noProof/>
                <w:webHidden/>
              </w:rPr>
              <w:fldChar w:fldCharType="end"/>
            </w:r>
          </w:hyperlink>
        </w:p>
        <w:p w14:paraId="16976B76" w14:textId="74111AE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4" w:history="1">
            <w:r w:rsidR="0091631A" w:rsidRPr="00823710">
              <w:rPr>
                <w:rStyle w:val="Hipervnculo"/>
                <w:rFonts w:ascii="Arial" w:eastAsia="Arial" w:hAnsi="Arial"/>
                <w:b/>
                <w:bCs/>
                <w:noProof/>
                <w:lang w:val="es-CR"/>
              </w:rPr>
              <w:t>Planes de contribuciones definidas</w:t>
            </w:r>
            <w:r w:rsidR="0091631A">
              <w:rPr>
                <w:noProof/>
                <w:webHidden/>
              </w:rPr>
              <w:tab/>
            </w:r>
            <w:r w:rsidR="0091631A">
              <w:rPr>
                <w:noProof/>
                <w:webHidden/>
              </w:rPr>
              <w:fldChar w:fldCharType="begin"/>
            </w:r>
            <w:r w:rsidR="0091631A">
              <w:rPr>
                <w:noProof/>
                <w:webHidden/>
              </w:rPr>
              <w:instrText xml:space="preserve"> PAGEREF _Toc172726234 \h </w:instrText>
            </w:r>
            <w:r w:rsidR="0091631A">
              <w:rPr>
                <w:noProof/>
                <w:webHidden/>
              </w:rPr>
            </w:r>
            <w:r w:rsidR="0091631A">
              <w:rPr>
                <w:noProof/>
                <w:webHidden/>
              </w:rPr>
              <w:fldChar w:fldCharType="separate"/>
            </w:r>
            <w:r w:rsidR="0091631A">
              <w:rPr>
                <w:noProof/>
                <w:webHidden/>
              </w:rPr>
              <w:t>116</w:t>
            </w:r>
            <w:r w:rsidR="0091631A">
              <w:rPr>
                <w:noProof/>
                <w:webHidden/>
              </w:rPr>
              <w:fldChar w:fldCharType="end"/>
            </w:r>
          </w:hyperlink>
        </w:p>
        <w:p w14:paraId="4A0242FE" w14:textId="75444576"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5" w:history="1">
            <w:r w:rsidR="0091631A" w:rsidRPr="00823710">
              <w:rPr>
                <w:rStyle w:val="Hipervnculo"/>
                <w:rFonts w:ascii="Arial" w:eastAsia="Arial" w:hAnsi="Arial"/>
                <w:b/>
                <w:bCs/>
                <w:noProof/>
                <w:lang w:val="es-CR"/>
              </w:rPr>
              <w:t>Indemnizaciones por cese</w:t>
            </w:r>
            <w:r w:rsidR="0091631A">
              <w:rPr>
                <w:noProof/>
                <w:webHidden/>
              </w:rPr>
              <w:tab/>
            </w:r>
            <w:r w:rsidR="0091631A">
              <w:rPr>
                <w:noProof/>
                <w:webHidden/>
              </w:rPr>
              <w:fldChar w:fldCharType="begin"/>
            </w:r>
            <w:r w:rsidR="0091631A">
              <w:rPr>
                <w:noProof/>
                <w:webHidden/>
              </w:rPr>
              <w:instrText xml:space="preserve"> PAGEREF _Toc172726235 \h </w:instrText>
            </w:r>
            <w:r w:rsidR="0091631A">
              <w:rPr>
                <w:noProof/>
                <w:webHidden/>
              </w:rPr>
            </w:r>
            <w:r w:rsidR="0091631A">
              <w:rPr>
                <w:noProof/>
                <w:webHidden/>
              </w:rPr>
              <w:fldChar w:fldCharType="separate"/>
            </w:r>
            <w:r w:rsidR="0091631A">
              <w:rPr>
                <w:noProof/>
                <w:webHidden/>
              </w:rPr>
              <w:t>118</w:t>
            </w:r>
            <w:r w:rsidR="0091631A">
              <w:rPr>
                <w:noProof/>
                <w:webHidden/>
              </w:rPr>
              <w:fldChar w:fldCharType="end"/>
            </w:r>
          </w:hyperlink>
        </w:p>
        <w:p w14:paraId="53D0DBCB" w14:textId="5FBE232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6" w:history="1">
            <w:r w:rsidR="0091631A" w:rsidRPr="00823710">
              <w:rPr>
                <w:rStyle w:val="Hipervnculo"/>
                <w:rFonts w:ascii="Arial" w:eastAsia="Arial" w:hAnsi="Arial"/>
                <w:b/>
                <w:bCs/>
                <w:noProof/>
                <w:lang w:val="es-CR"/>
              </w:rPr>
              <w:t>Información a revelar sobre beneficios a corto plazo</w:t>
            </w:r>
            <w:r w:rsidR="0091631A">
              <w:rPr>
                <w:noProof/>
                <w:webHidden/>
              </w:rPr>
              <w:tab/>
            </w:r>
            <w:r w:rsidR="0091631A">
              <w:rPr>
                <w:noProof/>
                <w:webHidden/>
              </w:rPr>
              <w:fldChar w:fldCharType="begin"/>
            </w:r>
            <w:r w:rsidR="0091631A">
              <w:rPr>
                <w:noProof/>
                <w:webHidden/>
              </w:rPr>
              <w:instrText xml:space="preserve"> PAGEREF _Toc172726236 \h </w:instrText>
            </w:r>
            <w:r w:rsidR="0091631A">
              <w:rPr>
                <w:noProof/>
                <w:webHidden/>
              </w:rPr>
            </w:r>
            <w:r w:rsidR="0091631A">
              <w:rPr>
                <w:noProof/>
                <w:webHidden/>
              </w:rPr>
              <w:fldChar w:fldCharType="separate"/>
            </w:r>
            <w:r w:rsidR="0091631A">
              <w:rPr>
                <w:noProof/>
                <w:webHidden/>
              </w:rPr>
              <w:t>120</w:t>
            </w:r>
            <w:r w:rsidR="0091631A">
              <w:rPr>
                <w:noProof/>
                <w:webHidden/>
              </w:rPr>
              <w:fldChar w:fldCharType="end"/>
            </w:r>
          </w:hyperlink>
        </w:p>
        <w:p w14:paraId="0E8CEC91" w14:textId="07FC57E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7" w:history="1">
            <w:r w:rsidR="0091631A" w:rsidRPr="00823710">
              <w:rPr>
                <w:rStyle w:val="Hipervnculo"/>
                <w:rFonts w:ascii="Arial" w:eastAsia="Arial" w:hAnsi="Arial"/>
                <w:b/>
                <w:bCs/>
                <w:noProof/>
                <w:lang w:val="es-CR"/>
              </w:rPr>
              <w:t>Endeudamiento público</w:t>
            </w:r>
            <w:r w:rsidR="0091631A">
              <w:rPr>
                <w:noProof/>
                <w:webHidden/>
              </w:rPr>
              <w:tab/>
            </w:r>
            <w:r w:rsidR="0091631A">
              <w:rPr>
                <w:noProof/>
                <w:webHidden/>
              </w:rPr>
              <w:fldChar w:fldCharType="begin"/>
            </w:r>
            <w:r w:rsidR="0091631A">
              <w:rPr>
                <w:noProof/>
                <w:webHidden/>
              </w:rPr>
              <w:instrText xml:space="preserve"> PAGEREF _Toc172726237 \h </w:instrText>
            </w:r>
            <w:r w:rsidR="0091631A">
              <w:rPr>
                <w:noProof/>
                <w:webHidden/>
              </w:rPr>
            </w:r>
            <w:r w:rsidR="0091631A">
              <w:rPr>
                <w:noProof/>
                <w:webHidden/>
              </w:rPr>
              <w:fldChar w:fldCharType="separate"/>
            </w:r>
            <w:r w:rsidR="0091631A">
              <w:rPr>
                <w:noProof/>
                <w:webHidden/>
              </w:rPr>
              <w:t>122</w:t>
            </w:r>
            <w:r w:rsidR="0091631A">
              <w:rPr>
                <w:noProof/>
                <w:webHidden/>
              </w:rPr>
              <w:fldChar w:fldCharType="end"/>
            </w:r>
          </w:hyperlink>
        </w:p>
        <w:p w14:paraId="4F5C26C7" w14:textId="5F72D3CC"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8" w:history="1">
            <w:r w:rsidR="0091631A" w:rsidRPr="00823710">
              <w:rPr>
                <w:rStyle w:val="Hipervnculo"/>
                <w:rFonts w:ascii="Arial" w:eastAsia="Arial" w:hAnsi="Arial"/>
                <w:b/>
                <w:bCs/>
                <w:noProof/>
                <w:lang w:val="es-CR"/>
              </w:rPr>
              <w:t>Fondos de terceros y en garantía</w:t>
            </w:r>
            <w:r w:rsidR="0091631A">
              <w:rPr>
                <w:noProof/>
                <w:webHidden/>
              </w:rPr>
              <w:tab/>
            </w:r>
            <w:r w:rsidR="0091631A">
              <w:rPr>
                <w:noProof/>
                <w:webHidden/>
              </w:rPr>
              <w:fldChar w:fldCharType="begin"/>
            </w:r>
            <w:r w:rsidR="0091631A">
              <w:rPr>
                <w:noProof/>
                <w:webHidden/>
              </w:rPr>
              <w:instrText xml:space="preserve"> PAGEREF _Toc172726238 \h </w:instrText>
            </w:r>
            <w:r w:rsidR="0091631A">
              <w:rPr>
                <w:noProof/>
                <w:webHidden/>
              </w:rPr>
            </w:r>
            <w:r w:rsidR="0091631A">
              <w:rPr>
                <w:noProof/>
                <w:webHidden/>
              </w:rPr>
              <w:fldChar w:fldCharType="separate"/>
            </w:r>
            <w:r w:rsidR="0091631A">
              <w:rPr>
                <w:noProof/>
                <w:webHidden/>
              </w:rPr>
              <w:t>128</w:t>
            </w:r>
            <w:r w:rsidR="0091631A">
              <w:rPr>
                <w:noProof/>
                <w:webHidden/>
              </w:rPr>
              <w:fldChar w:fldCharType="end"/>
            </w:r>
          </w:hyperlink>
        </w:p>
        <w:p w14:paraId="1D4891A9" w14:textId="28F1740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39" w:history="1">
            <w:r w:rsidR="0091631A" w:rsidRPr="00823710">
              <w:rPr>
                <w:rStyle w:val="Hipervnculo"/>
                <w:rFonts w:ascii="Arial" w:eastAsia="Arial" w:hAnsi="Arial"/>
                <w:b/>
                <w:bCs/>
                <w:noProof/>
                <w:lang w:val="es-CR"/>
              </w:rPr>
              <w:t>Provisiones</w:t>
            </w:r>
            <w:r w:rsidR="0091631A">
              <w:rPr>
                <w:noProof/>
                <w:webHidden/>
              </w:rPr>
              <w:tab/>
            </w:r>
            <w:r w:rsidR="0091631A">
              <w:rPr>
                <w:noProof/>
                <w:webHidden/>
              </w:rPr>
              <w:fldChar w:fldCharType="begin"/>
            </w:r>
            <w:r w:rsidR="0091631A">
              <w:rPr>
                <w:noProof/>
                <w:webHidden/>
              </w:rPr>
              <w:instrText xml:space="preserve"> PAGEREF _Toc172726239 \h </w:instrText>
            </w:r>
            <w:r w:rsidR="0091631A">
              <w:rPr>
                <w:noProof/>
                <w:webHidden/>
              </w:rPr>
            </w:r>
            <w:r w:rsidR="0091631A">
              <w:rPr>
                <w:noProof/>
                <w:webHidden/>
              </w:rPr>
              <w:fldChar w:fldCharType="separate"/>
            </w:r>
            <w:r w:rsidR="0091631A">
              <w:rPr>
                <w:noProof/>
                <w:webHidden/>
              </w:rPr>
              <w:t>128</w:t>
            </w:r>
            <w:r w:rsidR="0091631A">
              <w:rPr>
                <w:noProof/>
                <w:webHidden/>
              </w:rPr>
              <w:fldChar w:fldCharType="end"/>
            </w:r>
          </w:hyperlink>
        </w:p>
        <w:p w14:paraId="0408D36B" w14:textId="41560D9A"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40" w:history="1">
            <w:r w:rsidR="0091631A" w:rsidRPr="00823710">
              <w:rPr>
                <w:rStyle w:val="Hipervnculo"/>
                <w:rFonts w:ascii="Arial" w:eastAsia="Arial" w:hAnsi="Arial"/>
                <w:b/>
                <w:bCs/>
                <w:noProof/>
                <w:lang w:val="es-CR"/>
              </w:rPr>
              <w:t>Información a revelar sobre Provisiones</w:t>
            </w:r>
            <w:r w:rsidR="0091631A">
              <w:rPr>
                <w:noProof/>
                <w:webHidden/>
              </w:rPr>
              <w:tab/>
            </w:r>
            <w:r w:rsidR="0091631A">
              <w:rPr>
                <w:noProof/>
                <w:webHidden/>
              </w:rPr>
              <w:fldChar w:fldCharType="begin"/>
            </w:r>
            <w:r w:rsidR="0091631A">
              <w:rPr>
                <w:noProof/>
                <w:webHidden/>
              </w:rPr>
              <w:instrText xml:space="preserve"> PAGEREF _Toc172726240 \h </w:instrText>
            </w:r>
            <w:r w:rsidR="0091631A">
              <w:rPr>
                <w:noProof/>
                <w:webHidden/>
              </w:rPr>
            </w:r>
            <w:r w:rsidR="0091631A">
              <w:rPr>
                <w:noProof/>
                <w:webHidden/>
              </w:rPr>
              <w:fldChar w:fldCharType="separate"/>
            </w:r>
            <w:r w:rsidR="0091631A">
              <w:rPr>
                <w:noProof/>
                <w:webHidden/>
              </w:rPr>
              <w:t>136</w:t>
            </w:r>
            <w:r w:rsidR="0091631A">
              <w:rPr>
                <w:noProof/>
                <w:webHidden/>
              </w:rPr>
              <w:fldChar w:fldCharType="end"/>
            </w:r>
          </w:hyperlink>
        </w:p>
        <w:p w14:paraId="61A36D3C" w14:textId="56A6F14A"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41" w:history="1">
            <w:r w:rsidR="0091631A" w:rsidRPr="00823710">
              <w:rPr>
                <w:rStyle w:val="Hipervnculo"/>
                <w:rFonts w:ascii="Arial" w:eastAsia="Arial" w:hAnsi="Arial"/>
                <w:b/>
                <w:bCs/>
                <w:noProof/>
                <w:lang w:val="es-CR"/>
              </w:rPr>
              <w:t>Contingencias</w:t>
            </w:r>
            <w:r w:rsidR="0091631A">
              <w:rPr>
                <w:noProof/>
                <w:webHidden/>
              </w:rPr>
              <w:tab/>
            </w:r>
            <w:r w:rsidR="0091631A">
              <w:rPr>
                <w:noProof/>
                <w:webHidden/>
              </w:rPr>
              <w:fldChar w:fldCharType="begin"/>
            </w:r>
            <w:r w:rsidR="0091631A">
              <w:rPr>
                <w:noProof/>
                <w:webHidden/>
              </w:rPr>
              <w:instrText xml:space="preserve"> PAGEREF _Toc172726241 \h </w:instrText>
            </w:r>
            <w:r w:rsidR="0091631A">
              <w:rPr>
                <w:noProof/>
                <w:webHidden/>
              </w:rPr>
            </w:r>
            <w:r w:rsidR="0091631A">
              <w:rPr>
                <w:noProof/>
                <w:webHidden/>
              </w:rPr>
              <w:fldChar w:fldCharType="separate"/>
            </w:r>
            <w:r w:rsidR="0091631A">
              <w:rPr>
                <w:noProof/>
                <w:webHidden/>
              </w:rPr>
              <w:t>137</w:t>
            </w:r>
            <w:r w:rsidR="0091631A">
              <w:rPr>
                <w:noProof/>
                <w:webHidden/>
              </w:rPr>
              <w:fldChar w:fldCharType="end"/>
            </w:r>
          </w:hyperlink>
        </w:p>
        <w:p w14:paraId="55A28DEF" w14:textId="00BF2D0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42" w:history="1">
            <w:r w:rsidR="0091631A" w:rsidRPr="00823710">
              <w:rPr>
                <w:rStyle w:val="Hipervnculo"/>
                <w:rFonts w:ascii="Arial" w:eastAsia="Arial" w:hAnsi="Arial"/>
                <w:b/>
                <w:bCs/>
                <w:noProof/>
                <w:lang w:val="es-CR"/>
              </w:rPr>
              <w:t>Otros pasivos</w:t>
            </w:r>
            <w:r w:rsidR="0091631A">
              <w:rPr>
                <w:noProof/>
                <w:webHidden/>
              </w:rPr>
              <w:tab/>
            </w:r>
            <w:r w:rsidR="0091631A">
              <w:rPr>
                <w:noProof/>
                <w:webHidden/>
              </w:rPr>
              <w:fldChar w:fldCharType="begin"/>
            </w:r>
            <w:r w:rsidR="0091631A">
              <w:rPr>
                <w:noProof/>
                <w:webHidden/>
              </w:rPr>
              <w:instrText xml:space="preserve"> PAGEREF _Toc172726242 \h </w:instrText>
            </w:r>
            <w:r w:rsidR="0091631A">
              <w:rPr>
                <w:noProof/>
                <w:webHidden/>
              </w:rPr>
            </w:r>
            <w:r w:rsidR="0091631A">
              <w:rPr>
                <w:noProof/>
                <w:webHidden/>
              </w:rPr>
              <w:fldChar w:fldCharType="separate"/>
            </w:r>
            <w:r w:rsidR="0091631A">
              <w:rPr>
                <w:noProof/>
                <w:webHidden/>
              </w:rPr>
              <w:t>138</w:t>
            </w:r>
            <w:r w:rsidR="0091631A">
              <w:rPr>
                <w:noProof/>
                <w:webHidden/>
              </w:rPr>
              <w:fldChar w:fldCharType="end"/>
            </w:r>
          </w:hyperlink>
        </w:p>
        <w:p w14:paraId="582BDC52" w14:textId="6650F1F9" w:rsidR="0091631A" w:rsidRDefault="009D13CC">
          <w:pPr>
            <w:pStyle w:val="TDC1"/>
            <w:rPr>
              <w:rFonts w:asciiTheme="minorHAnsi" w:eastAsiaTheme="minorEastAsia" w:hAnsiTheme="minorHAnsi" w:cstheme="minorBidi"/>
              <w:kern w:val="2"/>
              <w:sz w:val="24"/>
              <w:szCs w:val="24"/>
              <w:lang w:val="en-US"/>
              <w14:ligatures w14:val="standardContextual"/>
            </w:rPr>
          </w:pPr>
          <w:hyperlink w:anchor="_Toc172726243" w:history="1">
            <w:r w:rsidR="0091631A" w:rsidRPr="00823710">
              <w:rPr>
                <w:rStyle w:val="Hipervnculo"/>
                <w:rFonts w:ascii="Arial Narrow" w:hAnsi="Arial Narrow"/>
                <w:b/>
                <w:bCs/>
              </w:rPr>
              <w:t>CAPÍTULO III</w:t>
            </w:r>
            <w:r w:rsidR="0091631A">
              <w:rPr>
                <w:webHidden/>
              </w:rPr>
              <w:tab/>
            </w:r>
            <w:r w:rsidR="0091631A">
              <w:rPr>
                <w:webHidden/>
              </w:rPr>
              <w:fldChar w:fldCharType="begin"/>
            </w:r>
            <w:r w:rsidR="0091631A">
              <w:rPr>
                <w:webHidden/>
              </w:rPr>
              <w:instrText xml:space="preserve"> PAGEREF _Toc172726243 \h </w:instrText>
            </w:r>
            <w:r w:rsidR="0091631A">
              <w:rPr>
                <w:webHidden/>
              </w:rPr>
            </w:r>
            <w:r w:rsidR="0091631A">
              <w:rPr>
                <w:webHidden/>
              </w:rPr>
              <w:fldChar w:fldCharType="separate"/>
            </w:r>
            <w:r w:rsidR="0091631A">
              <w:rPr>
                <w:webHidden/>
              </w:rPr>
              <w:t>139</w:t>
            </w:r>
            <w:r w:rsidR="0091631A">
              <w:rPr>
                <w:webHidden/>
              </w:rPr>
              <w:fldChar w:fldCharType="end"/>
            </w:r>
          </w:hyperlink>
        </w:p>
        <w:p w14:paraId="25B00F1B" w14:textId="076931CD"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44" w:history="1">
            <w:r w:rsidR="0091631A" w:rsidRPr="00823710">
              <w:rPr>
                <w:rStyle w:val="Hipervnculo"/>
                <w:rFonts w:ascii="Arial" w:eastAsia="Arial" w:hAnsi="Arial"/>
                <w:b/>
                <w:bCs/>
                <w:noProof/>
                <w:lang w:val="es-CR"/>
              </w:rPr>
              <w:t>Políticas Contables Generales y Particulares para el Patrimonio</w:t>
            </w:r>
            <w:r w:rsidR="0091631A">
              <w:rPr>
                <w:noProof/>
                <w:webHidden/>
              </w:rPr>
              <w:tab/>
            </w:r>
            <w:r w:rsidR="0091631A">
              <w:rPr>
                <w:noProof/>
                <w:webHidden/>
              </w:rPr>
              <w:fldChar w:fldCharType="begin"/>
            </w:r>
            <w:r w:rsidR="0091631A">
              <w:rPr>
                <w:noProof/>
                <w:webHidden/>
              </w:rPr>
              <w:instrText xml:space="preserve"> PAGEREF _Toc172726244 \h </w:instrText>
            </w:r>
            <w:r w:rsidR="0091631A">
              <w:rPr>
                <w:noProof/>
                <w:webHidden/>
              </w:rPr>
            </w:r>
            <w:r w:rsidR="0091631A">
              <w:rPr>
                <w:noProof/>
                <w:webHidden/>
              </w:rPr>
              <w:fldChar w:fldCharType="separate"/>
            </w:r>
            <w:r w:rsidR="0091631A">
              <w:rPr>
                <w:noProof/>
                <w:webHidden/>
              </w:rPr>
              <w:t>139</w:t>
            </w:r>
            <w:r w:rsidR="0091631A">
              <w:rPr>
                <w:noProof/>
                <w:webHidden/>
              </w:rPr>
              <w:fldChar w:fldCharType="end"/>
            </w:r>
          </w:hyperlink>
        </w:p>
        <w:p w14:paraId="6E404610" w14:textId="6AA0A4DD"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45" w:history="1">
            <w:r w:rsidR="0091631A" w:rsidRPr="00823710">
              <w:rPr>
                <w:rStyle w:val="Hipervnculo"/>
                <w:rFonts w:ascii="Arial" w:eastAsia="Arial" w:hAnsi="Arial"/>
                <w:b/>
                <w:bCs/>
                <w:noProof/>
                <w:lang w:val="es-CR"/>
              </w:rPr>
              <w:t>3. Patrimonio</w:t>
            </w:r>
            <w:r w:rsidR="0091631A">
              <w:rPr>
                <w:noProof/>
                <w:webHidden/>
              </w:rPr>
              <w:tab/>
            </w:r>
            <w:r w:rsidR="0091631A">
              <w:rPr>
                <w:noProof/>
                <w:webHidden/>
              </w:rPr>
              <w:fldChar w:fldCharType="begin"/>
            </w:r>
            <w:r w:rsidR="0091631A">
              <w:rPr>
                <w:noProof/>
                <w:webHidden/>
              </w:rPr>
              <w:instrText xml:space="preserve"> PAGEREF _Toc172726245 \h </w:instrText>
            </w:r>
            <w:r w:rsidR="0091631A">
              <w:rPr>
                <w:noProof/>
                <w:webHidden/>
              </w:rPr>
            </w:r>
            <w:r w:rsidR="0091631A">
              <w:rPr>
                <w:noProof/>
                <w:webHidden/>
              </w:rPr>
              <w:fldChar w:fldCharType="separate"/>
            </w:r>
            <w:r w:rsidR="0091631A">
              <w:rPr>
                <w:noProof/>
                <w:webHidden/>
              </w:rPr>
              <w:t>139</w:t>
            </w:r>
            <w:r w:rsidR="0091631A">
              <w:rPr>
                <w:noProof/>
                <w:webHidden/>
              </w:rPr>
              <w:fldChar w:fldCharType="end"/>
            </w:r>
          </w:hyperlink>
        </w:p>
        <w:p w14:paraId="32CCCA0D" w14:textId="46AC5BC5"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46" w:history="1">
            <w:r w:rsidR="0091631A" w:rsidRPr="00823710">
              <w:rPr>
                <w:rStyle w:val="Hipervnculo"/>
                <w:rFonts w:ascii="Arial" w:eastAsia="Arial" w:hAnsi="Arial"/>
                <w:b/>
                <w:bCs/>
                <w:noProof/>
                <w:lang w:val="es-CR"/>
              </w:rPr>
              <w:t>Capital y transferencias</w:t>
            </w:r>
            <w:r w:rsidR="0091631A">
              <w:rPr>
                <w:noProof/>
                <w:webHidden/>
              </w:rPr>
              <w:tab/>
            </w:r>
            <w:r w:rsidR="0091631A">
              <w:rPr>
                <w:noProof/>
                <w:webHidden/>
              </w:rPr>
              <w:fldChar w:fldCharType="begin"/>
            </w:r>
            <w:r w:rsidR="0091631A">
              <w:rPr>
                <w:noProof/>
                <w:webHidden/>
              </w:rPr>
              <w:instrText xml:space="preserve"> PAGEREF _Toc172726246 \h </w:instrText>
            </w:r>
            <w:r w:rsidR="0091631A">
              <w:rPr>
                <w:noProof/>
                <w:webHidden/>
              </w:rPr>
            </w:r>
            <w:r w:rsidR="0091631A">
              <w:rPr>
                <w:noProof/>
                <w:webHidden/>
              </w:rPr>
              <w:fldChar w:fldCharType="separate"/>
            </w:r>
            <w:r w:rsidR="0091631A">
              <w:rPr>
                <w:noProof/>
                <w:webHidden/>
              </w:rPr>
              <w:t>140</w:t>
            </w:r>
            <w:r w:rsidR="0091631A">
              <w:rPr>
                <w:noProof/>
                <w:webHidden/>
              </w:rPr>
              <w:fldChar w:fldCharType="end"/>
            </w:r>
          </w:hyperlink>
        </w:p>
        <w:p w14:paraId="75702079" w14:textId="7A1BB764"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47" w:history="1">
            <w:r w:rsidR="0091631A" w:rsidRPr="00823710">
              <w:rPr>
                <w:rStyle w:val="Hipervnculo"/>
                <w:rFonts w:ascii="Arial" w:eastAsia="Arial" w:hAnsi="Arial"/>
                <w:b/>
                <w:bCs/>
                <w:noProof/>
                <w:lang w:val="es-CR"/>
              </w:rPr>
              <w:t>Reservas</w:t>
            </w:r>
            <w:r w:rsidR="0091631A">
              <w:rPr>
                <w:noProof/>
                <w:webHidden/>
              </w:rPr>
              <w:tab/>
            </w:r>
            <w:r w:rsidR="0091631A">
              <w:rPr>
                <w:noProof/>
                <w:webHidden/>
              </w:rPr>
              <w:fldChar w:fldCharType="begin"/>
            </w:r>
            <w:r w:rsidR="0091631A">
              <w:rPr>
                <w:noProof/>
                <w:webHidden/>
              </w:rPr>
              <w:instrText xml:space="preserve"> PAGEREF _Toc172726247 \h </w:instrText>
            </w:r>
            <w:r w:rsidR="0091631A">
              <w:rPr>
                <w:noProof/>
                <w:webHidden/>
              </w:rPr>
            </w:r>
            <w:r w:rsidR="0091631A">
              <w:rPr>
                <w:noProof/>
                <w:webHidden/>
              </w:rPr>
              <w:fldChar w:fldCharType="separate"/>
            </w:r>
            <w:r w:rsidR="0091631A">
              <w:rPr>
                <w:noProof/>
                <w:webHidden/>
              </w:rPr>
              <w:t>141</w:t>
            </w:r>
            <w:r w:rsidR="0091631A">
              <w:rPr>
                <w:noProof/>
                <w:webHidden/>
              </w:rPr>
              <w:fldChar w:fldCharType="end"/>
            </w:r>
          </w:hyperlink>
        </w:p>
        <w:p w14:paraId="699AB44C" w14:textId="1CE086F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48" w:history="1">
            <w:r w:rsidR="0091631A" w:rsidRPr="00823710">
              <w:rPr>
                <w:rStyle w:val="Hipervnculo"/>
                <w:rFonts w:ascii="Arial" w:eastAsia="Arial" w:hAnsi="Arial"/>
                <w:b/>
                <w:bCs/>
                <w:noProof/>
                <w:lang w:val="es-CR"/>
              </w:rPr>
              <w:t>Resultados acumulados</w:t>
            </w:r>
            <w:r w:rsidR="0091631A">
              <w:rPr>
                <w:noProof/>
                <w:webHidden/>
              </w:rPr>
              <w:tab/>
            </w:r>
            <w:r w:rsidR="0091631A">
              <w:rPr>
                <w:noProof/>
                <w:webHidden/>
              </w:rPr>
              <w:fldChar w:fldCharType="begin"/>
            </w:r>
            <w:r w:rsidR="0091631A">
              <w:rPr>
                <w:noProof/>
                <w:webHidden/>
              </w:rPr>
              <w:instrText xml:space="preserve"> PAGEREF _Toc172726248 \h </w:instrText>
            </w:r>
            <w:r w:rsidR="0091631A">
              <w:rPr>
                <w:noProof/>
                <w:webHidden/>
              </w:rPr>
            </w:r>
            <w:r w:rsidR="0091631A">
              <w:rPr>
                <w:noProof/>
                <w:webHidden/>
              </w:rPr>
              <w:fldChar w:fldCharType="separate"/>
            </w:r>
            <w:r w:rsidR="0091631A">
              <w:rPr>
                <w:noProof/>
                <w:webHidden/>
              </w:rPr>
              <w:t>142</w:t>
            </w:r>
            <w:r w:rsidR="0091631A">
              <w:rPr>
                <w:noProof/>
                <w:webHidden/>
              </w:rPr>
              <w:fldChar w:fldCharType="end"/>
            </w:r>
          </w:hyperlink>
        </w:p>
        <w:p w14:paraId="6F03A8A4" w14:textId="7DA48A18" w:rsidR="0091631A" w:rsidRDefault="009D13CC">
          <w:pPr>
            <w:pStyle w:val="TDC1"/>
            <w:rPr>
              <w:rFonts w:asciiTheme="minorHAnsi" w:eastAsiaTheme="minorEastAsia" w:hAnsiTheme="minorHAnsi" w:cstheme="minorBidi"/>
              <w:kern w:val="2"/>
              <w:sz w:val="24"/>
              <w:szCs w:val="24"/>
              <w:lang w:val="en-US"/>
              <w14:ligatures w14:val="standardContextual"/>
            </w:rPr>
          </w:pPr>
          <w:hyperlink w:anchor="_Toc172726249" w:history="1">
            <w:r w:rsidR="0091631A" w:rsidRPr="00823710">
              <w:rPr>
                <w:rStyle w:val="Hipervnculo"/>
                <w:rFonts w:ascii="Arial Narrow" w:hAnsi="Arial Narrow"/>
                <w:b/>
                <w:bCs/>
              </w:rPr>
              <w:t>CAPÍTULO IV</w:t>
            </w:r>
            <w:r w:rsidR="0091631A">
              <w:rPr>
                <w:webHidden/>
              </w:rPr>
              <w:tab/>
            </w:r>
            <w:r w:rsidR="0091631A">
              <w:rPr>
                <w:webHidden/>
              </w:rPr>
              <w:fldChar w:fldCharType="begin"/>
            </w:r>
            <w:r w:rsidR="0091631A">
              <w:rPr>
                <w:webHidden/>
              </w:rPr>
              <w:instrText xml:space="preserve"> PAGEREF _Toc172726249 \h </w:instrText>
            </w:r>
            <w:r w:rsidR="0091631A">
              <w:rPr>
                <w:webHidden/>
              </w:rPr>
            </w:r>
            <w:r w:rsidR="0091631A">
              <w:rPr>
                <w:webHidden/>
              </w:rPr>
              <w:fldChar w:fldCharType="separate"/>
            </w:r>
            <w:r w:rsidR="0091631A">
              <w:rPr>
                <w:webHidden/>
              </w:rPr>
              <w:t>144</w:t>
            </w:r>
            <w:r w:rsidR="0091631A">
              <w:rPr>
                <w:webHidden/>
              </w:rPr>
              <w:fldChar w:fldCharType="end"/>
            </w:r>
          </w:hyperlink>
        </w:p>
        <w:p w14:paraId="7A697E08" w14:textId="72C2F317"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0" w:history="1">
            <w:r w:rsidR="0091631A" w:rsidRPr="00823710">
              <w:rPr>
                <w:rStyle w:val="Hipervnculo"/>
                <w:rFonts w:ascii="Arial" w:eastAsia="Arial" w:hAnsi="Arial"/>
                <w:b/>
                <w:bCs/>
                <w:noProof/>
                <w:lang w:val="es-CR"/>
              </w:rPr>
              <w:t>Políticas Contables Generales y Particulares para los Ingresos</w:t>
            </w:r>
            <w:r w:rsidR="0091631A">
              <w:rPr>
                <w:noProof/>
                <w:webHidden/>
              </w:rPr>
              <w:tab/>
            </w:r>
            <w:r w:rsidR="0091631A">
              <w:rPr>
                <w:noProof/>
                <w:webHidden/>
              </w:rPr>
              <w:fldChar w:fldCharType="begin"/>
            </w:r>
            <w:r w:rsidR="0091631A">
              <w:rPr>
                <w:noProof/>
                <w:webHidden/>
              </w:rPr>
              <w:instrText xml:space="preserve"> PAGEREF _Toc172726250 \h </w:instrText>
            </w:r>
            <w:r w:rsidR="0091631A">
              <w:rPr>
                <w:noProof/>
                <w:webHidden/>
              </w:rPr>
            </w:r>
            <w:r w:rsidR="0091631A">
              <w:rPr>
                <w:noProof/>
                <w:webHidden/>
              </w:rPr>
              <w:fldChar w:fldCharType="separate"/>
            </w:r>
            <w:r w:rsidR="0091631A">
              <w:rPr>
                <w:noProof/>
                <w:webHidden/>
              </w:rPr>
              <w:t>144</w:t>
            </w:r>
            <w:r w:rsidR="0091631A">
              <w:rPr>
                <w:noProof/>
                <w:webHidden/>
              </w:rPr>
              <w:fldChar w:fldCharType="end"/>
            </w:r>
          </w:hyperlink>
        </w:p>
        <w:p w14:paraId="3C14ECD2" w14:textId="315EA315"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1" w:history="1">
            <w:r w:rsidR="0091631A" w:rsidRPr="00823710">
              <w:rPr>
                <w:rStyle w:val="Hipervnculo"/>
                <w:rFonts w:ascii="Arial" w:eastAsia="Arial" w:hAnsi="Arial"/>
                <w:b/>
                <w:bCs/>
                <w:noProof/>
                <w:lang w:val="es-CR"/>
              </w:rPr>
              <w:t>4. Ingresos</w:t>
            </w:r>
            <w:r w:rsidR="0091631A">
              <w:rPr>
                <w:noProof/>
                <w:webHidden/>
              </w:rPr>
              <w:tab/>
            </w:r>
            <w:r w:rsidR="0091631A">
              <w:rPr>
                <w:noProof/>
                <w:webHidden/>
              </w:rPr>
              <w:fldChar w:fldCharType="begin"/>
            </w:r>
            <w:r w:rsidR="0091631A">
              <w:rPr>
                <w:noProof/>
                <w:webHidden/>
              </w:rPr>
              <w:instrText xml:space="preserve"> PAGEREF _Toc172726251 \h </w:instrText>
            </w:r>
            <w:r w:rsidR="0091631A">
              <w:rPr>
                <w:noProof/>
                <w:webHidden/>
              </w:rPr>
            </w:r>
            <w:r w:rsidR="0091631A">
              <w:rPr>
                <w:noProof/>
                <w:webHidden/>
              </w:rPr>
              <w:fldChar w:fldCharType="separate"/>
            </w:r>
            <w:r w:rsidR="0091631A">
              <w:rPr>
                <w:noProof/>
                <w:webHidden/>
              </w:rPr>
              <w:t>144</w:t>
            </w:r>
            <w:r w:rsidR="0091631A">
              <w:rPr>
                <w:noProof/>
                <w:webHidden/>
              </w:rPr>
              <w:fldChar w:fldCharType="end"/>
            </w:r>
          </w:hyperlink>
        </w:p>
        <w:p w14:paraId="09CE0E22" w14:textId="07438E5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2" w:history="1">
            <w:r w:rsidR="0091631A" w:rsidRPr="00823710">
              <w:rPr>
                <w:rStyle w:val="Hipervnculo"/>
                <w:rFonts w:ascii="Arial" w:eastAsia="Arial" w:hAnsi="Arial"/>
                <w:b/>
                <w:bCs/>
                <w:noProof/>
                <w:lang w:val="es-CR"/>
              </w:rPr>
              <w:t>Transacciones sin impacto en los ingresos</w:t>
            </w:r>
            <w:r w:rsidR="0091631A">
              <w:rPr>
                <w:noProof/>
                <w:webHidden/>
              </w:rPr>
              <w:tab/>
            </w:r>
            <w:r w:rsidR="0091631A">
              <w:rPr>
                <w:noProof/>
                <w:webHidden/>
              </w:rPr>
              <w:fldChar w:fldCharType="begin"/>
            </w:r>
            <w:r w:rsidR="0091631A">
              <w:rPr>
                <w:noProof/>
                <w:webHidden/>
              </w:rPr>
              <w:instrText xml:space="preserve"> PAGEREF _Toc172726252 \h </w:instrText>
            </w:r>
            <w:r w:rsidR="0091631A">
              <w:rPr>
                <w:noProof/>
                <w:webHidden/>
              </w:rPr>
            </w:r>
            <w:r w:rsidR="0091631A">
              <w:rPr>
                <w:noProof/>
                <w:webHidden/>
              </w:rPr>
              <w:fldChar w:fldCharType="separate"/>
            </w:r>
            <w:r w:rsidR="0091631A">
              <w:rPr>
                <w:noProof/>
                <w:webHidden/>
              </w:rPr>
              <w:t>144</w:t>
            </w:r>
            <w:r w:rsidR="0091631A">
              <w:rPr>
                <w:noProof/>
                <w:webHidden/>
              </w:rPr>
              <w:fldChar w:fldCharType="end"/>
            </w:r>
          </w:hyperlink>
        </w:p>
        <w:p w14:paraId="4100D9A9" w14:textId="7CE836E1"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3" w:history="1">
            <w:r w:rsidR="0091631A" w:rsidRPr="00823710">
              <w:rPr>
                <w:rStyle w:val="Hipervnculo"/>
                <w:rFonts w:ascii="Arial" w:eastAsia="Arial" w:hAnsi="Arial"/>
                <w:b/>
                <w:bCs/>
                <w:noProof/>
                <w:lang w:val="es-CR"/>
              </w:rPr>
              <w:t>Transacciones con contraprestación</w:t>
            </w:r>
            <w:r w:rsidR="0091631A">
              <w:rPr>
                <w:noProof/>
                <w:webHidden/>
              </w:rPr>
              <w:tab/>
            </w:r>
            <w:r w:rsidR="0091631A">
              <w:rPr>
                <w:noProof/>
                <w:webHidden/>
              </w:rPr>
              <w:fldChar w:fldCharType="begin"/>
            </w:r>
            <w:r w:rsidR="0091631A">
              <w:rPr>
                <w:noProof/>
                <w:webHidden/>
              </w:rPr>
              <w:instrText xml:space="preserve"> PAGEREF _Toc172726253 \h </w:instrText>
            </w:r>
            <w:r w:rsidR="0091631A">
              <w:rPr>
                <w:noProof/>
                <w:webHidden/>
              </w:rPr>
            </w:r>
            <w:r w:rsidR="0091631A">
              <w:rPr>
                <w:noProof/>
                <w:webHidden/>
              </w:rPr>
              <w:fldChar w:fldCharType="separate"/>
            </w:r>
            <w:r w:rsidR="0091631A">
              <w:rPr>
                <w:noProof/>
                <w:webHidden/>
              </w:rPr>
              <w:t>145</w:t>
            </w:r>
            <w:r w:rsidR="0091631A">
              <w:rPr>
                <w:noProof/>
                <w:webHidden/>
              </w:rPr>
              <w:fldChar w:fldCharType="end"/>
            </w:r>
          </w:hyperlink>
        </w:p>
        <w:p w14:paraId="58AB01C8" w14:textId="4F0A51C8"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4" w:history="1">
            <w:r w:rsidR="0091631A" w:rsidRPr="00823710">
              <w:rPr>
                <w:rStyle w:val="Hipervnculo"/>
                <w:rFonts w:ascii="Arial" w:eastAsia="Arial" w:hAnsi="Arial"/>
                <w:b/>
                <w:bCs/>
                <w:noProof/>
                <w:lang w:val="es-CR"/>
              </w:rPr>
              <w:t>Transacciones sin contraprestación</w:t>
            </w:r>
            <w:r w:rsidR="0091631A">
              <w:rPr>
                <w:noProof/>
                <w:webHidden/>
              </w:rPr>
              <w:tab/>
            </w:r>
            <w:r w:rsidR="0091631A">
              <w:rPr>
                <w:noProof/>
                <w:webHidden/>
              </w:rPr>
              <w:fldChar w:fldCharType="begin"/>
            </w:r>
            <w:r w:rsidR="0091631A">
              <w:rPr>
                <w:noProof/>
                <w:webHidden/>
              </w:rPr>
              <w:instrText xml:space="preserve"> PAGEREF _Toc172726254 \h </w:instrText>
            </w:r>
            <w:r w:rsidR="0091631A">
              <w:rPr>
                <w:noProof/>
                <w:webHidden/>
              </w:rPr>
            </w:r>
            <w:r w:rsidR="0091631A">
              <w:rPr>
                <w:noProof/>
                <w:webHidden/>
              </w:rPr>
              <w:fldChar w:fldCharType="separate"/>
            </w:r>
            <w:r w:rsidR="0091631A">
              <w:rPr>
                <w:noProof/>
                <w:webHidden/>
              </w:rPr>
              <w:t>146</w:t>
            </w:r>
            <w:r w:rsidR="0091631A">
              <w:rPr>
                <w:noProof/>
                <w:webHidden/>
              </w:rPr>
              <w:fldChar w:fldCharType="end"/>
            </w:r>
          </w:hyperlink>
        </w:p>
        <w:p w14:paraId="33704A3F" w14:textId="17529224"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5" w:history="1">
            <w:r w:rsidR="0091631A" w:rsidRPr="00823710">
              <w:rPr>
                <w:rStyle w:val="Hipervnculo"/>
                <w:rFonts w:ascii="Arial" w:eastAsia="Arial" w:hAnsi="Arial"/>
                <w:b/>
                <w:bCs/>
                <w:noProof/>
                <w:lang w:val="es-CR"/>
              </w:rPr>
              <w:t>Transacciones combinadas</w:t>
            </w:r>
            <w:r w:rsidR="0091631A">
              <w:rPr>
                <w:noProof/>
                <w:webHidden/>
              </w:rPr>
              <w:tab/>
            </w:r>
            <w:r w:rsidR="0091631A">
              <w:rPr>
                <w:noProof/>
                <w:webHidden/>
              </w:rPr>
              <w:fldChar w:fldCharType="begin"/>
            </w:r>
            <w:r w:rsidR="0091631A">
              <w:rPr>
                <w:noProof/>
                <w:webHidden/>
              </w:rPr>
              <w:instrText xml:space="preserve"> PAGEREF _Toc172726255 \h </w:instrText>
            </w:r>
            <w:r w:rsidR="0091631A">
              <w:rPr>
                <w:noProof/>
                <w:webHidden/>
              </w:rPr>
            </w:r>
            <w:r w:rsidR="0091631A">
              <w:rPr>
                <w:noProof/>
                <w:webHidden/>
              </w:rPr>
              <w:fldChar w:fldCharType="separate"/>
            </w:r>
            <w:r w:rsidR="0091631A">
              <w:rPr>
                <w:noProof/>
                <w:webHidden/>
              </w:rPr>
              <w:t>146</w:t>
            </w:r>
            <w:r w:rsidR="0091631A">
              <w:rPr>
                <w:noProof/>
                <w:webHidden/>
              </w:rPr>
              <w:fldChar w:fldCharType="end"/>
            </w:r>
          </w:hyperlink>
        </w:p>
        <w:p w14:paraId="75DD1EA3" w14:textId="264B6D10"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6" w:history="1">
            <w:r w:rsidR="0091631A" w:rsidRPr="00823710">
              <w:rPr>
                <w:rStyle w:val="Hipervnculo"/>
                <w:rFonts w:ascii="Arial" w:eastAsia="Arial" w:hAnsi="Arial"/>
                <w:b/>
                <w:bCs/>
                <w:noProof/>
                <w:lang w:val="es-CR"/>
              </w:rPr>
              <w:t>Ingresos de transacciones sin contraprestación</w:t>
            </w:r>
            <w:r w:rsidR="0091631A">
              <w:rPr>
                <w:noProof/>
                <w:webHidden/>
              </w:rPr>
              <w:tab/>
            </w:r>
            <w:r w:rsidR="0091631A">
              <w:rPr>
                <w:noProof/>
                <w:webHidden/>
              </w:rPr>
              <w:fldChar w:fldCharType="begin"/>
            </w:r>
            <w:r w:rsidR="0091631A">
              <w:rPr>
                <w:noProof/>
                <w:webHidden/>
              </w:rPr>
              <w:instrText xml:space="preserve"> PAGEREF _Toc172726256 \h </w:instrText>
            </w:r>
            <w:r w:rsidR="0091631A">
              <w:rPr>
                <w:noProof/>
                <w:webHidden/>
              </w:rPr>
            </w:r>
            <w:r w:rsidR="0091631A">
              <w:rPr>
                <w:noProof/>
                <w:webHidden/>
              </w:rPr>
              <w:fldChar w:fldCharType="separate"/>
            </w:r>
            <w:r w:rsidR="0091631A">
              <w:rPr>
                <w:noProof/>
                <w:webHidden/>
              </w:rPr>
              <w:t>147</w:t>
            </w:r>
            <w:r w:rsidR="0091631A">
              <w:rPr>
                <w:noProof/>
                <w:webHidden/>
              </w:rPr>
              <w:fldChar w:fldCharType="end"/>
            </w:r>
          </w:hyperlink>
        </w:p>
        <w:p w14:paraId="3EED458E" w14:textId="4545D15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7" w:history="1">
            <w:r w:rsidR="0091631A" w:rsidRPr="00823710">
              <w:rPr>
                <w:rStyle w:val="Hipervnculo"/>
                <w:rFonts w:ascii="Arial" w:eastAsia="Arial" w:hAnsi="Arial"/>
                <w:b/>
                <w:bCs/>
                <w:noProof/>
                <w:lang w:val="es-CR"/>
              </w:rPr>
              <w:t>Impuestos</w:t>
            </w:r>
            <w:r w:rsidR="0091631A">
              <w:rPr>
                <w:noProof/>
                <w:webHidden/>
              </w:rPr>
              <w:tab/>
            </w:r>
            <w:r w:rsidR="0091631A">
              <w:rPr>
                <w:noProof/>
                <w:webHidden/>
              </w:rPr>
              <w:fldChar w:fldCharType="begin"/>
            </w:r>
            <w:r w:rsidR="0091631A">
              <w:rPr>
                <w:noProof/>
                <w:webHidden/>
              </w:rPr>
              <w:instrText xml:space="preserve"> PAGEREF _Toc172726257 \h </w:instrText>
            </w:r>
            <w:r w:rsidR="0091631A">
              <w:rPr>
                <w:noProof/>
                <w:webHidden/>
              </w:rPr>
            </w:r>
            <w:r w:rsidR="0091631A">
              <w:rPr>
                <w:noProof/>
                <w:webHidden/>
              </w:rPr>
              <w:fldChar w:fldCharType="separate"/>
            </w:r>
            <w:r w:rsidR="0091631A">
              <w:rPr>
                <w:noProof/>
                <w:webHidden/>
              </w:rPr>
              <w:t>152</w:t>
            </w:r>
            <w:r w:rsidR="0091631A">
              <w:rPr>
                <w:noProof/>
                <w:webHidden/>
              </w:rPr>
              <w:fldChar w:fldCharType="end"/>
            </w:r>
          </w:hyperlink>
        </w:p>
        <w:p w14:paraId="2F92399F" w14:textId="7750FB6C"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8" w:history="1">
            <w:r w:rsidR="0091631A" w:rsidRPr="00823710">
              <w:rPr>
                <w:rStyle w:val="Hipervnculo"/>
                <w:rFonts w:ascii="Arial" w:eastAsia="Arial" w:hAnsi="Arial"/>
                <w:b/>
                <w:bCs/>
                <w:noProof/>
                <w:lang w:val="es-CR"/>
              </w:rPr>
              <w:t>Transferencias</w:t>
            </w:r>
            <w:r w:rsidR="0091631A">
              <w:rPr>
                <w:noProof/>
                <w:webHidden/>
              </w:rPr>
              <w:tab/>
            </w:r>
            <w:r w:rsidR="0091631A">
              <w:rPr>
                <w:noProof/>
                <w:webHidden/>
              </w:rPr>
              <w:fldChar w:fldCharType="begin"/>
            </w:r>
            <w:r w:rsidR="0091631A">
              <w:rPr>
                <w:noProof/>
                <w:webHidden/>
              </w:rPr>
              <w:instrText xml:space="preserve"> PAGEREF _Toc172726258 \h </w:instrText>
            </w:r>
            <w:r w:rsidR="0091631A">
              <w:rPr>
                <w:noProof/>
                <w:webHidden/>
              </w:rPr>
            </w:r>
            <w:r w:rsidR="0091631A">
              <w:rPr>
                <w:noProof/>
                <w:webHidden/>
              </w:rPr>
              <w:fldChar w:fldCharType="separate"/>
            </w:r>
            <w:r w:rsidR="0091631A">
              <w:rPr>
                <w:noProof/>
                <w:webHidden/>
              </w:rPr>
              <w:t>154</w:t>
            </w:r>
            <w:r w:rsidR="0091631A">
              <w:rPr>
                <w:noProof/>
                <w:webHidden/>
              </w:rPr>
              <w:fldChar w:fldCharType="end"/>
            </w:r>
          </w:hyperlink>
        </w:p>
        <w:p w14:paraId="17B944DB" w14:textId="7F25B41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59" w:history="1">
            <w:r w:rsidR="0091631A" w:rsidRPr="00823710">
              <w:rPr>
                <w:rStyle w:val="Hipervnculo"/>
                <w:rFonts w:ascii="Arial" w:eastAsia="Arial" w:hAnsi="Arial"/>
                <w:b/>
                <w:bCs/>
                <w:noProof/>
                <w:lang w:val="es-CR"/>
              </w:rPr>
              <w:t>Ingresos por condonación de deudas</w:t>
            </w:r>
            <w:r w:rsidR="0091631A">
              <w:rPr>
                <w:noProof/>
                <w:webHidden/>
              </w:rPr>
              <w:tab/>
            </w:r>
            <w:r w:rsidR="0091631A">
              <w:rPr>
                <w:noProof/>
                <w:webHidden/>
              </w:rPr>
              <w:fldChar w:fldCharType="begin"/>
            </w:r>
            <w:r w:rsidR="0091631A">
              <w:rPr>
                <w:noProof/>
                <w:webHidden/>
              </w:rPr>
              <w:instrText xml:space="preserve"> PAGEREF _Toc172726259 \h </w:instrText>
            </w:r>
            <w:r w:rsidR="0091631A">
              <w:rPr>
                <w:noProof/>
                <w:webHidden/>
              </w:rPr>
            </w:r>
            <w:r w:rsidR="0091631A">
              <w:rPr>
                <w:noProof/>
                <w:webHidden/>
              </w:rPr>
              <w:fldChar w:fldCharType="separate"/>
            </w:r>
            <w:r w:rsidR="0091631A">
              <w:rPr>
                <w:noProof/>
                <w:webHidden/>
              </w:rPr>
              <w:t>156</w:t>
            </w:r>
            <w:r w:rsidR="0091631A">
              <w:rPr>
                <w:noProof/>
                <w:webHidden/>
              </w:rPr>
              <w:fldChar w:fldCharType="end"/>
            </w:r>
          </w:hyperlink>
        </w:p>
        <w:p w14:paraId="399352F6" w14:textId="4CD1F03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0" w:history="1">
            <w:r w:rsidR="0091631A" w:rsidRPr="00823710">
              <w:rPr>
                <w:rStyle w:val="Hipervnculo"/>
                <w:rFonts w:ascii="Arial" w:eastAsia="Arial" w:hAnsi="Arial"/>
                <w:b/>
                <w:bCs/>
                <w:noProof/>
                <w:lang w:val="es-CR"/>
              </w:rPr>
              <w:t>Multas</w:t>
            </w:r>
            <w:r w:rsidR="0091631A">
              <w:rPr>
                <w:noProof/>
                <w:webHidden/>
              </w:rPr>
              <w:tab/>
            </w:r>
            <w:r w:rsidR="0091631A">
              <w:rPr>
                <w:noProof/>
                <w:webHidden/>
              </w:rPr>
              <w:fldChar w:fldCharType="begin"/>
            </w:r>
            <w:r w:rsidR="0091631A">
              <w:rPr>
                <w:noProof/>
                <w:webHidden/>
              </w:rPr>
              <w:instrText xml:space="preserve"> PAGEREF _Toc172726260 \h </w:instrText>
            </w:r>
            <w:r w:rsidR="0091631A">
              <w:rPr>
                <w:noProof/>
                <w:webHidden/>
              </w:rPr>
            </w:r>
            <w:r w:rsidR="0091631A">
              <w:rPr>
                <w:noProof/>
                <w:webHidden/>
              </w:rPr>
              <w:fldChar w:fldCharType="separate"/>
            </w:r>
            <w:r w:rsidR="0091631A">
              <w:rPr>
                <w:noProof/>
                <w:webHidden/>
              </w:rPr>
              <w:t>157</w:t>
            </w:r>
            <w:r w:rsidR="0091631A">
              <w:rPr>
                <w:noProof/>
                <w:webHidden/>
              </w:rPr>
              <w:fldChar w:fldCharType="end"/>
            </w:r>
          </w:hyperlink>
        </w:p>
        <w:p w14:paraId="63E27331" w14:textId="06D7049D"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1" w:history="1">
            <w:r w:rsidR="0091631A" w:rsidRPr="00823710">
              <w:rPr>
                <w:rStyle w:val="Hipervnculo"/>
                <w:rFonts w:ascii="Arial" w:eastAsia="Arial" w:hAnsi="Arial"/>
                <w:b/>
                <w:bCs/>
                <w:noProof/>
                <w:lang w:val="es-CR"/>
              </w:rPr>
              <w:t>Legados</w:t>
            </w:r>
            <w:r w:rsidR="0091631A">
              <w:rPr>
                <w:noProof/>
                <w:webHidden/>
              </w:rPr>
              <w:tab/>
            </w:r>
            <w:r w:rsidR="0091631A">
              <w:rPr>
                <w:noProof/>
                <w:webHidden/>
              </w:rPr>
              <w:fldChar w:fldCharType="begin"/>
            </w:r>
            <w:r w:rsidR="0091631A">
              <w:rPr>
                <w:noProof/>
                <w:webHidden/>
              </w:rPr>
              <w:instrText xml:space="preserve"> PAGEREF _Toc172726261 \h </w:instrText>
            </w:r>
            <w:r w:rsidR="0091631A">
              <w:rPr>
                <w:noProof/>
                <w:webHidden/>
              </w:rPr>
            </w:r>
            <w:r w:rsidR="0091631A">
              <w:rPr>
                <w:noProof/>
                <w:webHidden/>
              </w:rPr>
              <w:fldChar w:fldCharType="separate"/>
            </w:r>
            <w:r w:rsidR="0091631A">
              <w:rPr>
                <w:noProof/>
                <w:webHidden/>
              </w:rPr>
              <w:t>158</w:t>
            </w:r>
            <w:r w:rsidR="0091631A">
              <w:rPr>
                <w:noProof/>
                <w:webHidden/>
              </w:rPr>
              <w:fldChar w:fldCharType="end"/>
            </w:r>
          </w:hyperlink>
        </w:p>
        <w:p w14:paraId="016A181D" w14:textId="20038D60"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2" w:history="1">
            <w:r w:rsidR="0091631A" w:rsidRPr="00823710">
              <w:rPr>
                <w:rStyle w:val="Hipervnculo"/>
                <w:rFonts w:ascii="Arial" w:eastAsia="Arial" w:hAnsi="Arial"/>
                <w:b/>
                <w:bCs/>
                <w:noProof/>
                <w:lang w:val="es-CR"/>
              </w:rPr>
              <w:t>Donaciones (regalos, bienes y servicios en especie)</w:t>
            </w:r>
            <w:r w:rsidR="0091631A">
              <w:rPr>
                <w:noProof/>
                <w:webHidden/>
              </w:rPr>
              <w:tab/>
            </w:r>
            <w:r w:rsidR="0091631A">
              <w:rPr>
                <w:noProof/>
                <w:webHidden/>
              </w:rPr>
              <w:fldChar w:fldCharType="begin"/>
            </w:r>
            <w:r w:rsidR="0091631A">
              <w:rPr>
                <w:noProof/>
                <w:webHidden/>
              </w:rPr>
              <w:instrText xml:space="preserve"> PAGEREF _Toc172726262 \h </w:instrText>
            </w:r>
            <w:r w:rsidR="0091631A">
              <w:rPr>
                <w:noProof/>
                <w:webHidden/>
              </w:rPr>
            </w:r>
            <w:r w:rsidR="0091631A">
              <w:rPr>
                <w:noProof/>
                <w:webHidden/>
              </w:rPr>
              <w:fldChar w:fldCharType="separate"/>
            </w:r>
            <w:r w:rsidR="0091631A">
              <w:rPr>
                <w:noProof/>
                <w:webHidden/>
              </w:rPr>
              <w:t>159</w:t>
            </w:r>
            <w:r w:rsidR="0091631A">
              <w:rPr>
                <w:noProof/>
                <w:webHidden/>
              </w:rPr>
              <w:fldChar w:fldCharType="end"/>
            </w:r>
          </w:hyperlink>
        </w:p>
        <w:p w14:paraId="5E2BC6EE" w14:textId="1B71ED06"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3" w:history="1">
            <w:r w:rsidR="0091631A" w:rsidRPr="00823710">
              <w:rPr>
                <w:rStyle w:val="Hipervnculo"/>
                <w:rFonts w:ascii="Arial" w:eastAsia="Arial" w:hAnsi="Arial"/>
                <w:b/>
                <w:bCs/>
                <w:noProof/>
                <w:lang w:val="es-CR"/>
              </w:rPr>
              <w:t>Anticipos de Transferencias</w:t>
            </w:r>
            <w:r w:rsidR="0091631A">
              <w:rPr>
                <w:noProof/>
                <w:webHidden/>
              </w:rPr>
              <w:tab/>
            </w:r>
            <w:r w:rsidR="0091631A">
              <w:rPr>
                <w:noProof/>
                <w:webHidden/>
              </w:rPr>
              <w:fldChar w:fldCharType="begin"/>
            </w:r>
            <w:r w:rsidR="0091631A">
              <w:rPr>
                <w:noProof/>
                <w:webHidden/>
              </w:rPr>
              <w:instrText xml:space="preserve"> PAGEREF _Toc172726263 \h </w:instrText>
            </w:r>
            <w:r w:rsidR="0091631A">
              <w:rPr>
                <w:noProof/>
                <w:webHidden/>
              </w:rPr>
            </w:r>
            <w:r w:rsidR="0091631A">
              <w:rPr>
                <w:noProof/>
                <w:webHidden/>
              </w:rPr>
              <w:fldChar w:fldCharType="separate"/>
            </w:r>
            <w:r w:rsidR="0091631A">
              <w:rPr>
                <w:noProof/>
                <w:webHidden/>
              </w:rPr>
              <w:t>162</w:t>
            </w:r>
            <w:r w:rsidR="0091631A">
              <w:rPr>
                <w:noProof/>
                <w:webHidden/>
              </w:rPr>
              <w:fldChar w:fldCharType="end"/>
            </w:r>
          </w:hyperlink>
        </w:p>
        <w:p w14:paraId="507B93B8" w14:textId="2630F221"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4" w:history="1">
            <w:r w:rsidR="0091631A" w:rsidRPr="00823710">
              <w:rPr>
                <w:rStyle w:val="Hipervnculo"/>
                <w:rFonts w:ascii="Arial" w:eastAsia="Arial" w:hAnsi="Arial"/>
                <w:b/>
                <w:bCs/>
                <w:noProof/>
                <w:lang w:val="es-CR"/>
              </w:rPr>
              <w:t>Préstamos favorables</w:t>
            </w:r>
            <w:r w:rsidR="0091631A">
              <w:rPr>
                <w:noProof/>
                <w:webHidden/>
              </w:rPr>
              <w:tab/>
            </w:r>
            <w:r w:rsidR="0091631A">
              <w:rPr>
                <w:noProof/>
                <w:webHidden/>
              </w:rPr>
              <w:fldChar w:fldCharType="begin"/>
            </w:r>
            <w:r w:rsidR="0091631A">
              <w:rPr>
                <w:noProof/>
                <w:webHidden/>
              </w:rPr>
              <w:instrText xml:space="preserve"> PAGEREF _Toc172726264 \h </w:instrText>
            </w:r>
            <w:r w:rsidR="0091631A">
              <w:rPr>
                <w:noProof/>
                <w:webHidden/>
              </w:rPr>
            </w:r>
            <w:r w:rsidR="0091631A">
              <w:rPr>
                <w:noProof/>
                <w:webHidden/>
              </w:rPr>
              <w:fldChar w:fldCharType="separate"/>
            </w:r>
            <w:r w:rsidR="0091631A">
              <w:rPr>
                <w:noProof/>
                <w:webHidden/>
              </w:rPr>
              <w:t>163</w:t>
            </w:r>
            <w:r w:rsidR="0091631A">
              <w:rPr>
                <w:noProof/>
                <w:webHidden/>
              </w:rPr>
              <w:fldChar w:fldCharType="end"/>
            </w:r>
          </w:hyperlink>
        </w:p>
        <w:p w14:paraId="2FDED76E" w14:textId="2A602CC4"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5" w:history="1">
            <w:r w:rsidR="0091631A" w:rsidRPr="00823710">
              <w:rPr>
                <w:rStyle w:val="Hipervnculo"/>
                <w:rFonts w:ascii="Arial" w:eastAsia="Arial" w:hAnsi="Arial"/>
                <w:b/>
                <w:bCs/>
                <w:noProof/>
                <w:lang w:val="es-CR"/>
              </w:rPr>
              <w:t>Ingresos de transacciones con contraprestación</w:t>
            </w:r>
            <w:r w:rsidR="0091631A">
              <w:rPr>
                <w:noProof/>
                <w:webHidden/>
              </w:rPr>
              <w:tab/>
            </w:r>
            <w:r w:rsidR="0091631A">
              <w:rPr>
                <w:noProof/>
                <w:webHidden/>
              </w:rPr>
              <w:fldChar w:fldCharType="begin"/>
            </w:r>
            <w:r w:rsidR="0091631A">
              <w:rPr>
                <w:noProof/>
                <w:webHidden/>
              </w:rPr>
              <w:instrText xml:space="preserve"> PAGEREF _Toc172726265 \h </w:instrText>
            </w:r>
            <w:r w:rsidR="0091631A">
              <w:rPr>
                <w:noProof/>
                <w:webHidden/>
              </w:rPr>
            </w:r>
            <w:r w:rsidR="0091631A">
              <w:rPr>
                <w:noProof/>
                <w:webHidden/>
              </w:rPr>
              <w:fldChar w:fldCharType="separate"/>
            </w:r>
            <w:r w:rsidR="0091631A">
              <w:rPr>
                <w:noProof/>
                <w:webHidden/>
              </w:rPr>
              <w:t>163</w:t>
            </w:r>
            <w:r w:rsidR="0091631A">
              <w:rPr>
                <w:noProof/>
                <w:webHidden/>
              </w:rPr>
              <w:fldChar w:fldCharType="end"/>
            </w:r>
          </w:hyperlink>
        </w:p>
        <w:p w14:paraId="12FB6BC8" w14:textId="746BEEA4"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6" w:history="1">
            <w:r w:rsidR="0091631A" w:rsidRPr="00823710">
              <w:rPr>
                <w:rStyle w:val="Hipervnculo"/>
                <w:rFonts w:ascii="Arial" w:eastAsia="Arial" w:hAnsi="Arial"/>
                <w:b/>
                <w:bCs/>
                <w:noProof/>
                <w:lang w:val="es-CR"/>
              </w:rPr>
              <w:t>Prestación de Servicio</w:t>
            </w:r>
            <w:r w:rsidR="0091631A">
              <w:rPr>
                <w:noProof/>
                <w:webHidden/>
              </w:rPr>
              <w:tab/>
            </w:r>
            <w:r w:rsidR="0091631A">
              <w:rPr>
                <w:noProof/>
                <w:webHidden/>
              </w:rPr>
              <w:fldChar w:fldCharType="begin"/>
            </w:r>
            <w:r w:rsidR="0091631A">
              <w:rPr>
                <w:noProof/>
                <w:webHidden/>
              </w:rPr>
              <w:instrText xml:space="preserve"> PAGEREF _Toc172726266 \h </w:instrText>
            </w:r>
            <w:r w:rsidR="0091631A">
              <w:rPr>
                <w:noProof/>
                <w:webHidden/>
              </w:rPr>
            </w:r>
            <w:r w:rsidR="0091631A">
              <w:rPr>
                <w:noProof/>
                <w:webHidden/>
              </w:rPr>
              <w:fldChar w:fldCharType="separate"/>
            </w:r>
            <w:r w:rsidR="0091631A">
              <w:rPr>
                <w:noProof/>
                <w:webHidden/>
              </w:rPr>
              <w:t>164</w:t>
            </w:r>
            <w:r w:rsidR="0091631A">
              <w:rPr>
                <w:noProof/>
                <w:webHidden/>
              </w:rPr>
              <w:fldChar w:fldCharType="end"/>
            </w:r>
          </w:hyperlink>
        </w:p>
        <w:p w14:paraId="5262A2CF" w14:textId="3B10478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7" w:history="1">
            <w:r w:rsidR="0091631A" w:rsidRPr="00823710">
              <w:rPr>
                <w:rStyle w:val="Hipervnculo"/>
                <w:rFonts w:ascii="Arial" w:eastAsia="Arial" w:hAnsi="Arial"/>
                <w:b/>
                <w:bCs/>
                <w:noProof/>
                <w:lang w:val="es-CR"/>
              </w:rPr>
              <w:t>Venta de Bienes</w:t>
            </w:r>
            <w:r w:rsidR="0091631A">
              <w:rPr>
                <w:noProof/>
                <w:webHidden/>
              </w:rPr>
              <w:tab/>
            </w:r>
            <w:r w:rsidR="0091631A">
              <w:rPr>
                <w:noProof/>
                <w:webHidden/>
              </w:rPr>
              <w:fldChar w:fldCharType="begin"/>
            </w:r>
            <w:r w:rsidR="0091631A">
              <w:rPr>
                <w:noProof/>
                <w:webHidden/>
              </w:rPr>
              <w:instrText xml:space="preserve"> PAGEREF _Toc172726267 \h </w:instrText>
            </w:r>
            <w:r w:rsidR="0091631A">
              <w:rPr>
                <w:noProof/>
                <w:webHidden/>
              </w:rPr>
            </w:r>
            <w:r w:rsidR="0091631A">
              <w:rPr>
                <w:noProof/>
                <w:webHidden/>
              </w:rPr>
              <w:fldChar w:fldCharType="separate"/>
            </w:r>
            <w:r w:rsidR="0091631A">
              <w:rPr>
                <w:noProof/>
                <w:webHidden/>
              </w:rPr>
              <w:t>165</w:t>
            </w:r>
            <w:r w:rsidR="0091631A">
              <w:rPr>
                <w:noProof/>
                <w:webHidden/>
              </w:rPr>
              <w:fldChar w:fldCharType="end"/>
            </w:r>
          </w:hyperlink>
        </w:p>
        <w:p w14:paraId="2D0CC028" w14:textId="5F0E795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8" w:history="1">
            <w:r w:rsidR="0091631A" w:rsidRPr="00823710">
              <w:rPr>
                <w:rStyle w:val="Hipervnculo"/>
                <w:rFonts w:ascii="Arial" w:eastAsia="Arial" w:hAnsi="Arial"/>
                <w:b/>
                <w:bCs/>
                <w:noProof/>
                <w:lang w:val="es-CR"/>
              </w:rPr>
              <w:t>Ingresos de la Propiedad</w:t>
            </w:r>
            <w:r w:rsidR="0091631A">
              <w:rPr>
                <w:noProof/>
                <w:webHidden/>
              </w:rPr>
              <w:tab/>
            </w:r>
            <w:r w:rsidR="0091631A">
              <w:rPr>
                <w:noProof/>
                <w:webHidden/>
              </w:rPr>
              <w:fldChar w:fldCharType="begin"/>
            </w:r>
            <w:r w:rsidR="0091631A">
              <w:rPr>
                <w:noProof/>
                <w:webHidden/>
              </w:rPr>
              <w:instrText xml:space="preserve"> PAGEREF _Toc172726268 \h </w:instrText>
            </w:r>
            <w:r w:rsidR="0091631A">
              <w:rPr>
                <w:noProof/>
                <w:webHidden/>
              </w:rPr>
            </w:r>
            <w:r w:rsidR="0091631A">
              <w:rPr>
                <w:noProof/>
                <w:webHidden/>
              </w:rPr>
              <w:fldChar w:fldCharType="separate"/>
            </w:r>
            <w:r w:rsidR="0091631A">
              <w:rPr>
                <w:noProof/>
                <w:webHidden/>
              </w:rPr>
              <w:t>167</w:t>
            </w:r>
            <w:r w:rsidR="0091631A">
              <w:rPr>
                <w:noProof/>
                <w:webHidden/>
              </w:rPr>
              <w:fldChar w:fldCharType="end"/>
            </w:r>
          </w:hyperlink>
        </w:p>
        <w:p w14:paraId="5D349A04" w14:textId="2D2C05B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69" w:history="1">
            <w:r w:rsidR="0091631A" w:rsidRPr="00823710">
              <w:rPr>
                <w:rStyle w:val="Hipervnculo"/>
                <w:rFonts w:ascii="Arial" w:eastAsia="Arial" w:hAnsi="Arial"/>
                <w:b/>
                <w:bCs/>
                <w:noProof/>
                <w:lang w:val="es-CR"/>
              </w:rPr>
              <w:t>Arrendamiento operativo</w:t>
            </w:r>
            <w:r w:rsidR="0091631A">
              <w:rPr>
                <w:noProof/>
                <w:webHidden/>
              </w:rPr>
              <w:tab/>
            </w:r>
            <w:r w:rsidR="0091631A">
              <w:rPr>
                <w:noProof/>
                <w:webHidden/>
              </w:rPr>
              <w:fldChar w:fldCharType="begin"/>
            </w:r>
            <w:r w:rsidR="0091631A">
              <w:rPr>
                <w:noProof/>
                <w:webHidden/>
              </w:rPr>
              <w:instrText xml:space="preserve"> PAGEREF _Toc172726269 \h </w:instrText>
            </w:r>
            <w:r w:rsidR="0091631A">
              <w:rPr>
                <w:noProof/>
                <w:webHidden/>
              </w:rPr>
            </w:r>
            <w:r w:rsidR="0091631A">
              <w:rPr>
                <w:noProof/>
                <w:webHidden/>
              </w:rPr>
              <w:fldChar w:fldCharType="separate"/>
            </w:r>
            <w:r w:rsidR="0091631A">
              <w:rPr>
                <w:noProof/>
                <w:webHidden/>
              </w:rPr>
              <w:t>167</w:t>
            </w:r>
            <w:r w:rsidR="0091631A">
              <w:rPr>
                <w:noProof/>
                <w:webHidden/>
              </w:rPr>
              <w:fldChar w:fldCharType="end"/>
            </w:r>
          </w:hyperlink>
        </w:p>
        <w:p w14:paraId="46058357" w14:textId="32E712F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0" w:history="1">
            <w:r w:rsidR="0091631A" w:rsidRPr="00823710">
              <w:rPr>
                <w:rStyle w:val="Hipervnculo"/>
                <w:rFonts w:ascii="Arial" w:eastAsia="Arial" w:hAnsi="Arial"/>
                <w:b/>
                <w:bCs/>
                <w:noProof/>
                <w:lang w:val="es-CR"/>
              </w:rPr>
              <w:t>Ingresos por instrumentos financieros</w:t>
            </w:r>
            <w:r w:rsidR="0091631A">
              <w:rPr>
                <w:noProof/>
                <w:webHidden/>
              </w:rPr>
              <w:tab/>
            </w:r>
            <w:r w:rsidR="0091631A">
              <w:rPr>
                <w:noProof/>
                <w:webHidden/>
              </w:rPr>
              <w:fldChar w:fldCharType="begin"/>
            </w:r>
            <w:r w:rsidR="0091631A">
              <w:rPr>
                <w:noProof/>
                <w:webHidden/>
              </w:rPr>
              <w:instrText xml:space="preserve"> PAGEREF _Toc172726270 \h </w:instrText>
            </w:r>
            <w:r w:rsidR="0091631A">
              <w:rPr>
                <w:noProof/>
                <w:webHidden/>
              </w:rPr>
            </w:r>
            <w:r w:rsidR="0091631A">
              <w:rPr>
                <w:noProof/>
                <w:webHidden/>
              </w:rPr>
              <w:fldChar w:fldCharType="separate"/>
            </w:r>
            <w:r w:rsidR="0091631A">
              <w:rPr>
                <w:noProof/>
                <w:webHidden/>
              </w:rPr>
              <w:t>168</w:t>
            </w:r>
            <w:r w:rsidR="0091631A">
              <w:rPr>
                <w:noProof/>
                <w:webHidden/>
              </w:rPr>
              <w:fldChar w:fldCharType="end"/>
            </w:r>
          </w:hyperlink>
        </w:p>
        <w:p w14:paraId="5C8C6C0F" w14:textId="55B703A5"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1" w:history="1">
            <w:r w:rsidR="0091631A" w:rsidRPr="00823710">
              <w:rPr>
                <w:rStyle w:val="Hipervnculo"/>
                <w:rFonts w:ascii="Arial" w:eastAsia="Arial" w:hAnsi="Arial"/>
                <w:b/>
                <w:bCs/>
                <w:noProof/>
                <w:lang w:val="es-CR"/>
              </w:rPr>
              <w:t>Información a revelar de transacciones con y sin contraprestación</w:t>
            </w:r>
            <w:r w:rsidR="0091631A">
              <w:rPr>
                <w:noProof/>
                <w:webHidden/>
              </w:rPr>
              <w:tab/>
            </w:r>
            <w:r w:rsidR="0091631A">
              <w:rPr>
                <w:noProof/>
                <w:webHidden/>
              </w:rPr>
              <w:fldChar w:fldCharType="begin"/>
            </w:r>
            <w:r w:rsidR="0091631A">
              <w:rPr>
                <w:noProof/>
                <w:webHidden/>
              </w:rPr>
              <w:instrText xml:space="preserve"> PAGEREF _Toc172726271 \h </w:instrText>
            </w:r>
            <w:r w:rsidR="0091631A">
              <w:rPr>
                <w:noProof/>
                <w:webHidden/>
              </w:rPr>
            </w:r>
            <w:r w:rsidR="0091631A">
              <w:rPr>
                <w:noProof/>
                <w:webHidden/>
              </w:rPr>
              <w:fldChar w:fldCharType="separate"/>
            </w:r>
            <w:r w:rsidR="0091631A">
              <w:rPr>
                <w:noProof/>
                <w:webHidden/>
              </w:rPr>
              <w:t>171</w:t>
            </w:r>
            <w:r w:rsidR="0091631A">
              <w:rPr>
                <w:noProof/>
                <w:webHidden/>
              </w:rPr>
              <w:fldChar w:fldCharType="end"/>
            </w:r>
          </w:hyperlink>
        </w:p>
        <w:p w14:paraId="121A51EB" w14:textId="6F86BDE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2" w:history="1">
            <w:r w:rsidR="0091631A" w:rsidRPr="00823710">
              <w:rPr>
                <w:rStyle w:val="Hipervnculo"/>
                <w:rFonts w:ascii="Arial" w:eastAsia="Arial" w:hAnsi="Arial"/>
                <w:b/>
                <w:bCs/>
                <w:noProof/>
                <w:lang w:val="es-CR"/>
              </w:rPr>
              <w:t>Recuperación de pérdidas en valor de inventarios</w:t>
            </w:r>
            <w:r w:rsidR="0091631A">
              <w:rPr>
                <w:noProof/>
                <w:webHidden/>
              </w:rPr>
              <w:tab/>
            </w:r>
            <w:r w:rsidR="0091631A">
              <w:rPr>
                <w:noProof/>
                <w:webHidden/>
              </w:rPr>
              <w:fldChar w:fldCharType="begin"/>
            </w:r>
            <w:r w:rsidR="0091631A">
              <w:rPr>
                <w:noProof/>
                <w:webHidden/>
              </w:rPr>
              <w:instrText xml:space="preserve"> PAGEREF _Toc172726272 \h </w:instrText>
            </w:r>
            <w:r w:rsidR="0091631A">
              <w:rPr>
                <w:noProof/>
                <w:webHidden/>
              </w:rPr>
            </w:r>
            <w:r w:rsidR="0091631A">
              <w:rPr>
                <w:noProof/>
                <w:webHidden/>
              </w:rPr>
              <w:fldChar w:fldCharType="separate"/>
            </w:r>
            <w:r w:rsidR="0091631A">
              <w:rPr>
                <w:noProof/>
                <w:webHidden/>
              </w:rPr>
              <w:t>172</w:t>
            </w:r>
            <w:r w:rsidR="0091631A">
              <w:rPr>
                <w:noProof/>
                <w:webHidden/>
              </w:rPr>
              <w:fldChar w:fldCharType="end"/>
            </w:r>
          </w:hyperlink>
        </w:p>
        <w:p w14:paraId="16C56F61" w14:textId="0922643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3" w:history="1">
            <w:r w:rsidR="0091631A" w:rsidRPr="00823710">
              <w:rPr>
                <w:rStyle w:val="Hipervnculo"/>
                <w:rFonts w:ascii="Arial" w:eastAsia="Arial" w:hAnsi="Arial"/>
                <w:b/>
                <w:bCs/>
                <w:noProof/>
                <w:lang w:val="es-CR"/>
              </w:rPr>
              <w:t>Reversión de pérdidas por deterioro de activos</w:t>
            </w:r>
            <w:r w:rsidR="0091631A">
              <w:rPr>
                <w:noProof/>
                <w:webHidden/>
              </w:rPr>
              <w:tab/>
            </w:r>
            <w:r w:rsidR="0091631A">
              <w:rPr>
                <w:noProof/>
                <w:webHidden/>
              </w:rPr>
              <w:fldChar w:fldCharType="begin"/>
            </w:r>
            <w:r w:rsidR="0091631A">
              <w:rPr>
                <w:noProof/>
                <w:webHidden/>
              </w:rPr>
              <w:instrText xml:space="preserve"> PAGEREF _Toc172726273 \h </w:instrText>
            </w:r>
            <w:r w:rsidR="0091631A">
              <w:rPr>
                <w:noProof/>
                <w:webHidden/>
              </w:rPr>
            </w:r>
            <w:r w:rsidR="0091631A">
              <w:rPr>
                <w:noProof/>
                <w:webHidden/>
              </w:rPr>
              <w:fldChar w:fldCharType="separate"/>
            </w:r>
            <w:r w:rsidR="0091631A">
              <w:rPr>
                <w:noProof/>
                <w:webHidden/>
              </w:rPr>
              <w:t>173</w:t>
            </w:r>
            <w:r w:rsidR="0091631A">
              <w:rPr>
                <w:noProof/>
                <w:webHidden/>
              </w:rPr>
              <w:fldChar w:fldCharType="end"/>
            </w:r>
          </w:hyperlink>
        </w:p>
        <w:p w14:paraId="2F4E88E6" w14:textId="76D3C34D" w:rsidR="0091631A" w:rsidRDefault="009D13CC">
          <w:pPr>
            <w:pStyle w:val="TDC1"/>
            <w:rPr>
              <w:rFonts w:asciiTheme="minorHAnsi" w:eastAsiaTheme="minorEastAsia" w:hAnsiTheme="minorHAnsi" w:cstheme="minorBidi"/>
              <w:kern w:val="2"/>
              <w:sz w:val="24"/>
              <w:szCs w:val="24"/>
              <w:lang w:val="en-US"/>
              <w14:ligatures w14:val="standardContextual"/>
            </w:rPr>
          </w:pPr>
          <w:hyperlink w:anchor="_Toc172726274" w:history="1">
            <w:r w:rsidR="0091631A" w:rsidRPr="00823710">
              <w:rPr>
                <w:rStyle w:val="Hipervnculo"/>
                <w:rFonts w:ascii="Arial Narrow" w:hAnsi="Arial Narrow"/>
                <w:b/>
                <w:bCs/>
              </w:rPr>
              <w:t>CAPÍTULO</w:t>
            </w:r>
            <w:r w:rsidR="0091631A" w:rsidRPr="00823710">
              <w:rPr>
                <w:rStyle w:val="Hipervnculo"/>
                <w:b/>
                <w:bCs/>
              </w:rPr>
              <w:t xml:space="preserve"> </w:t>
            </w:r>
            <w:r w:rsidR="0091631A" w:rsidRPr="00823710">
              <w:rPr>
                <w:rStyle w:val="Hipervnculo"/>
                <w:rFonts w:ascii="Arial Narrow" w:hAnsi="Arial Narrow"/>
                <w:b/>
                <w:bCs/>
              </w:rPr>
              <w:t>V</w:t>
            </w:r>
            <w:r w:rsidR="0091631A">
              <w:rPr>
                <w:webHidden/>
              </w:rPr>
              <w:tab/>
            </w:r>
            <w:r w:rsidR="0091631A">
              <w:rPr>
                <w:webHidden/>
              </w:rPr>
              <w:fldChar w:fldCharType="begin"/>
            </w:r>
            <w:r w:rsidR="0091631A">
              <w:rPr>
                <w:webHidden/>
              </w:rPr>
              <w:instrText xml:space="preserve"> PAGEREF _Toc172726274 \h </w:instrText>
            </w:r>
            <w:r w:rsidR="0091631A">
              <w:rPr>
                <w:webHidden/>
              </w:rPr>
            </w:r>
            <w:r w:rsidR="0091631A">
              <w:rPr>
                <w:webHidden/>
              </w:rPr>
              <w:fldChar w:fldCharType="separate"/>
            </w:r>
            <w:r w:rsidR="0091631A">
              <w:rPr>
                <w:webHidden/>
              </w:rPr>
              <w:t>176</w:t>
            </w:r>
            <w:r w:rsidR="0091631A">
              <w:rPr>
                <w:webHidden/>
              </w:rPr>
              <w:fldChar w:fldCharType="end"/>
            </w:r>
          </w:hyperlink>
        </w:p>
        <w:p w14:paraId="72E69CEB" w14:textId="771C2B8D"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5" w:history="1">
            <w:r w:rsidR="0091631A" w:rsidRPr="00823710">
              <w:rPr>
                <w:rStyle w:val="Hipervnculo"/>
                <w:rFonts w:ascii="Arial" w:eastAsia="Arial" w:hAnsi="Arial"/>
                <w:b/>
                <w:bCs/>
                <w:noProof/>
                <w:lang w:val="es-CR"/>
              </w:rPr>
              <w:t xml:space="preserve">Políticas </w:t>
            </w:r>
            <w:r w:rsidR="0091631A" w:rsidRPr="00823710">
              <w:rPr>
                <w:rStyle w:val="Hipervnculo"/>
                <w:rFonts w:ascii="Arial" w:hAnsi="Arial"/>
                <w:b/>
                <w:bCs/>
                <w:noProof/>
                <w:lang w:val="es-CR"/>
              </w:rPr>
              <w:t>Contabl</w:t>
            </w:r>
            <w:r w:rsidR="0091631A" w:rsidRPr="00823710">
              <w:rPr>
                <w:rStyle w:val="Hipervnculo"/>
                <w:rFonts w:ascii="Arial" w:eastAsia="Arial" w:hAnsi="Arial"/>
                <w:b/>
                <w:bCs/>
                <w:noProof/>
                <w:lang w:val="es-CR"/>
              </w:rPr>
              <w:t>es</w:t>
            </w:r>
            <w:r w:rsidR="0091631A" w:rsidRPr="00823710">
              <w:rPr>
                <w:rStyle w:val="Hipervnculo"/>
                <w:rFonts w:ascii="Arial" w:hAnsi="Arial"/>
                <w:b/>
                <w:bCs/>
                <w:noProof/>
                <w:lang w:val="es-CR"/>
              </w:rPr>
              <w:t xml:space="preserve"> Generales</w:t>
            </w:r>
            <w:r w:rsidR="0091631A" w:rsidRPr="00823710">
              <w:rPr>
                <w:rStyle w:val="Hipervnculo"/>
                <w:rFonts w:ascii="Arial" w:eastAsia="Arial" w:hAnsi="Arial"/>
                <w:b/>
                <w:bCs/>
                <w:noProof/>
                <w:lang w:val="es-CR"/>
              </w:rPr>
              <w:t xml:space="preserve"> y Particulares</w:t>
            </w:r>
            <w:r w:rsidR="0091631A" w:rsidRPr="00823710">
              <w:rPr>
                <w:rStyle w:val="Hipervnculo"/>
                <w:rFonts w:ascii="Arial" w:hAnsi="Arial"/>
                <w:b/>
                <w:bCs/>
                <w:noProof/>
                <w:lang w:val="es-CR"/>
              </w:rPr>
              <w:t xml:space="preserve"> </w:t>
            </w:r>
            <w:r w:rsidR="0091631A" w:rsidRPr="00823710">
              <w:rPr>
                <w:rStyle w:val="Hipervnculo"/>
                <w:rFonts w:ascii="Arial" w:eastAsia="Arial" w:hAnsi="Arial"/>
                <w:b/>
                <w:bCs/>
                <w:noProof/>
                <w:lang w:val="es-CR"/>
              </w:rPr>
              <w:t>para los Gastos</w:t>
            </w:r>
            <w:r w:rsidR="0091631A">
              <w:rPr>
                <w:noProof/>
                <w:webHidden/>
              </w:rPr>
              <w:tab/>
            </w:r>
            <w:r w:rsidR="0091631A">
              <w:rPr>
                <w:noProof/>
                <w:webHidden/>
              </w:rPr>
              <w:fldChar w:fldCharType="begin"/>
            </w:r>
            <w:r w:rsidR="0091631A">
              <w:rPr>
                <w:noProof/>
                <w:webHidden/>
              </w:rPr>
              <w:instrText xml:space="preserve"> PAGEREF _Toc172726275 \h </w:instrText>
            </w:r>
            <w:r w:rsidR="0091631A">
              <w:rPr>
                <w:noProof/>
                <w:webHidden/>
              </w:rPr>
            </w:r>
            <w:r w:rsidR="0091631A">
              <w:rPr>
                <w:noProof/>
                <w:webHidden/>
              </w:rPr>
              <w:fldChar w:fldCharType="separate"/>
            </w:r>
            <w:r w:rsidR="0091631A">
              <w:rPr>
                <w:noProof/>
                <w:webHidden/>
              </w:rPr>
              <w:t>176</w:t>
            </w:r>
            <w:r w:rsidR="0091631A">
              <w:rPr>
                <w:noProof/>
                <w:webHidden/>
              </w:rPr>
              <w:fldChar w:fldCharType="end"/>
            </w:r>
          </w:hyperlink>
        </w:p>
        <w:p w14:paraId="141EDA83" w14:textId="0056E65D"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6" w:history="1">
            <w:r w:rsidR="0091631A" w:rsidRPr="00823710">
              <w:rPr>
                <w:rStyle w:val="Hipervnculo"/>
                <w:rFonts w:ascii="Arial" w:eastAsia="Arial" w:hAnsi="Arial"/>
                <w:b/>
                <w:bCs/>
                <w:noProof/>
                <w:lang w:val="es-CR"/>
              </w:rPr>
              <w:t>5.</w:t>
            </w:r>
            <w:r w:rsidR="0091631A">
              <w:rPr>
                <w:rFonts w:asciiTheme="minorHAnsi" w:eastAsiaTheme="minorEastAsia" w:hAnsiTheme="minorHAnsi" w:cstheme="minorBidi"/>
                <w:noProof/>
                <w:kern w:val="2"/>
                <w:sz w:val="24"/>
                <w:szCs w:val="24"/>
                <w14:ligatures w14:val="standardContextual"/>
              </w:rPr>
              <w:tab/>
            </w:r>
            <w:r w:rsidR="0091631A" w:rsidRPr="00823710">
              <w:rPr>
                <w:rStyle w:val="Hipervnculo"/>
                <w:rFonts w:ascii="Arial" w:eastAsia="Arial" w:hAnsi="Arial"/>
                <w:b/>
                <w:bCs/>
                <w:noProof/>
                <w:lang w:val="es-CR"/>
              </w:rPr>
              <w:t>Gastos</w:t>
            </w:r>
            <w:r w:rsidR="0091631A">
              <w:rPr>
                <w:noProof/>
                <w:webHidden/>
              </w:rPr>
              <w:tab/>
            </w:r>
            <w:r w:rsidR="0091631A">
              <w:rPr>
                <w:noProof/>
                <w:webHidden/>
              </w:rPr>
              <w:fldChar w:fldCharType="begin"/>
            </w:r>
            <w:r w:rsidR="0091631A">
              <w:rPr>
                <w:noProof/>
                <w:webHidden/>
              </w:rPr>
              <w:instrText xml:space="preserve"> PAGEREF _Toc172726276 \h </w:instrText>
            </w:r>
            <w:r w:rsidR="0091631A">
              <w:rPr>
                <w:noProof/>
                <w:webHidden/>
              </w:rPr>
            </w:r>
            <w:r w:rsidR="0091631A">
              <w:rPr>
                <w:noProof/>
                <w:webHidden/>
              </w:rPr>
              <w:fldChar w:fldCharType="separate"/>
            </w:r>
            <w:r w:rsidR="0091631A">
              <w:rPr>
                <w:noProof/>
                <w:webHidden/>
              </w:rPr>
              <w:t>176</w:t>
            </w:r>
            <w:r w:rsidR="0091631A">
              <w:rPr>
                <w:noProof/>
                <w:webHidden/>
              </w:rPr>
              <w:fldChar w:fldCharType="end"/>
            </w:r>
          </w:hyperlink>
        </w:p>
        <w:p w14:paraId="7EB17FDE" w14:textId="04A97A01"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7" w:history="1">
            <w:r w:rsidR="0091631A" w:rsidRPr="00823710">
              <w:rPr>
                <w:rStyle w:val="Hipervnculo"/>
                <w:rFonts w:ascii="Arial" w:eastAsia="Arial" w:hAnsi="Arial"/>
                <w:b/>
                <w:bCs/>
                <w:noProof/>
                <w:lang w:val="es-CR"/>
              </w:rPr>
              <w:t>Gastos relacionados con bienes y servicios</w:t>
            </w:r>
            <w:r w:rsidR="0091631A">
              <w:rPr>
                <w:noProof/>
                <w:webHidden/>
              </w:rPr>
              <w:tab/>
            </w:r>
            <w:r w:rsidR="0091631A">
              <w:rPr>
                <w:noProof/>
                <w:webHidden/>
              </w:rPr>
              <w:fldChar w:fldCharType="begin"/>
            </w:r>
            <w:r w:rsidR="0091631A">
              <w:rPr>
                <w:noProof/>
                <w:webHidden/>
              </w:rPr>
              <w:instrText xml:space="preserve"> PAGEREF _Toc172726277 \h </w:instrText>
            </w:r>
            <w:r w:rsidR="0091631A">
              <w:rPr>
                <w:noProof/>
                <w:webHidden/>
              </w:rPr>
            </w:r>
            <w:r w:rsidR="0091631A">
              <w:rPr>
                <w:noProof/>
                <w:webHidden/>
              </w:rPr>
              <w:fldChar w:fldCharType="separate"/>
            </w:r>
            <w:r w:rsidR="0091631A">
              <w:rPr>
                <w:noProof/>
                <w:webHidden/>
              </w:rPr>
              <w:t>176</w:t>
            </w:r>
            <w:r w:rsidR="0091631A">
              <w:rPr>
                <w:noProof/>
                <w:webHidden/>
              </w:rPr>
              <w:fldChar w:fldCharType="end"/>
            </w:r>
          </w:hyperlink>
        </w:p>
        <w:p w14:paraId="7A837542" w14:textId="18379A25"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8" w:history="1">
            <w:r w:rsidR="0091631A" w:rsidRPr="00823710">
              <w:rPr>
                <w:rStyle w:val="Hipervnculo"/>
                <w:rFonts w:ascii="Arial" w:eastAsia="Arial" w:hAnsi="Arial"/>
                <w:b/>
                <w:bCs/>
                <w:noProof/>
                <w:lang w:val="es-CR"/>
              </w:rPr>
              <w:t>Gastos en Personal</w:t>
            </w:r>
            <w:r w:rsidR="0091631A">
              <w:rPr>
                <w:noProof/>
                <w:webHidden/>
              </w:rPr>
              <w:tab/>
            </w:r>
            <w:r w:rsidR="0091631A">
              <w:rPr>
                <w:noProof/>
                <w:webHidden/>
              </w:rPr>
              <w:fldChar w:fldCharType="begin"/>
            </w:r>
            <w:r w:rsidR="0091631A">
              <w:rPr>
                <w:noProof/>
                <w:webHidden/>
              </w:rPr>
              <w:instrText xml:space="preserve"> PAGEREF _Toc172726278 \h </w:instrText>
            </w:r>
            <w:r w:rsidR="0091631A">
              <w:rPr>
                <w:noProof/>
                <w:webHidden/>
              </w:rPr>
            </w:r>
            <w:r w:rsidR="0091631A">
              <w:rPr>
                <w:noProof/>
                <w:webHidden/>
              </w:rPr>
              <w:fldChar w:fldCharType="separate"/>
            </w:r>
            <w:r w:rsidR="0091631A">
              <w:rPr>
                <w:noProof/>
                <w:webHidden/>
              </w:rPr>
              <w:t>176</w:t>
            </w:r>
            <w:r w:rsidR="0091631A">
              <w:rPr>
                <w:noProof/>
                <w:webHidden/>
              </w:rPr>
              <w:fldChar w:fldCharType="end"/>
            </w:r>
          </w:hyperlink>
        </w:p>
        <w:p w14:paraId="203670DF" w14:textId="185F2FB1"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79" w:history="1">
            <w:r w:rsidR="0091631A" w:rsidRPr="00823710">
              <w:rPr>
                <w:rStyle w:val="Hipervnculo"/>
                <w:rFonts w:ascii="Arial" w:eastAsia="Arial" w:hAnsi="Arial"/>
                <w:b/>
                <w:bCs/>
                <w:noProof/>
                <w:lang w:val="es-CR"/>
              </w:rPr>
              <w:t>Gastos por concepto de vacaciones</w:t>
            </w:r>
            <w:r w:rsidR="0091631A">
              <w:rPr>
                <w:noProof/>
                <w:webHidden/>
              </w:rPr>
              <w:tab/>
            </w:r>
            <w:r w:rsidR="0091631A">
              <w:rPr>
                <w:noProof/>
                <w:webHidden/>
              </w:rPr>
              <w:fldChar w:fldCharType="begin"/>
            </w:r>
            <w:r w:rsidR="0091631A">
              <w:rPr>
                <w:noProof/>
                <w:webHidden/>
              </w:rPr>
              <w:instrText xml:space="preserve"> PAGEREF _Toc172726279 \h </w:instrText>
            </w:r>
            <w:r w:rsidR="0091631A">
              <w:rPr>
                <w:noProof/>
                <w:webHidden/>
              </w:rPr>
            </w:r>
            <w:r w:rsidR="0091631A">
              <w:rPr>
                <w:noProof/>
                <w:webHidden/>
              </w:rPr>
              <w:fldChar w:fldCharType="separate"/>
            </w:r>
            <w:r w:rsidR="0091631A">
              <w:rPr>
                <w:noProof/>
                <w:webHidden/>
              </w:rPr>
              <w:t>176</w:t>
            </w:r>
            <w:r w:rsidR="0091631A">
              <w:rPr>
                <w:noProof/>
                <w:webHidden/>
              </w:rPr>
              <w:fldChar w:fldCharType="end"/>
            </w:r>
          </w:hyperlink>
        </w:p>
        <w:p w14:paraId="6394D348" w14:textId="2B0B8391"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0" w:history="1">
            <w:r w:rsidR="0091631A" w:rsidRPr="00823710">
              <w:rPr>
                <w:rStyle w:val="Hipervnculo"/>
                <w:rFonts w:ascii="Arial" w:eastAsia="Arial" w:hAnsi="Arial"/>
                <w:b/>
                <w:bCs/>
                <w:noProof/>
                <w:lang w:val="es-CR"/>
              </w:rPr>
              <w:t>Medición y reconocimiento de beneficios a empleados a corto plazo</w:t>
            </w:r>
            <w:r w:rsidR="0091631A">
              <w:rPr>
                <w:noProof/>
                <w:webHidden/>
              </w:rPr>
              <w:tab/>
            </w:r>
            <w:r w:rsidR="0091631A">
              <w:rPr>
                <w:noProof/>
                <w:webHidden/>
              </w:rPr>
              <w:fldChar w:fldCharType="begin"/>
            </w:r>
            <w:r w:rsidR="0091631A">
              <w:rPr>
                <w:noProof/>
                <w:webHidden/>
              </w:rPr>
              <w:instrText xml:space="preserve"> PAGEREF _Toc172726280 \h </w:instrText>
            </w:r>
            <w:r w:rsidR="0091631A">
              <w:rPr>
                <w:noProof/>
                <w:webHidden/>
              </w:rPr>
            </w:r>
            <w:r w:rsidR="0091631A">
              <w:rPr>
                <w:noProof/>
                <w:webHidden/>
              </w:rPr>
              <w:fldChar w:fldCharType="separate"/>
            </w:r>
            <w:r w:rsidR="0091631A">
              <w:rPr>
                <w:noProof/>
                <w:webHidden/>
              </w:rPr>
              <w:t>177</w:t>
            </w:r>
            <w:r w:rsidR="0091631A">
              <w:rPr>
                <w:noProof/>
                <w:webHidden/>
              </w:rPr>
              <w:fldChar w:fldCharType="end"/>
            </w:r>
          </w:hyperlink>
        </w:p>
        <w:p w14:paraId="5F7A5ACE" w14:textId="68F14FB8"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1" w:history="1">
            <w:r w:rsidR="0091631A" w:rsidRPr="00823710">
              <w:rPr>
                <w:rStyle w:val="Hipervnculo"/>
                <w:rFonts w:ascii="Arial" w:eastAsia="Arial" w:hAnsi="Arial"/>
                <w:b/>
                <w:bCs/>
                <w:noProof/>
                <w:lang w:val="es-CR"/>
              </w:rPr>
              <w:t>Incentivos</w:t>
            </w:r>
            <w:r w:rsidR="0091631A">
              <w:rPr>
                <w:noProof/>
                <w:webHidden/>
              </w:rPr>
              <w:tab/>
            </w:r>
            <w:r w:rsidR="0091631A">
              <w:rPr>
                <w:noProof/>
                <w:webHidden/>
              </w:rPr>
              <w:fldChar w:fldCharType="begin"/>
            </w:r>
            <w:r w:rsidR="0091631A">
              <w:rPr>
                <w:noProof/>
                <w:webHidden/>
              </w:rPr>
              <w:instrText xml:space="preserve"> PAGEREF _Toc172726281 \h </w:instrText>
            </w:r>
            <w:r w:rsidR="0091631A">
              <w:rPr>
                <w:noProof/>
                <w:webHidden/>
              </w:rPr>
            </w:r>
            <w:r w:rsidR="0091631A">
              <w:rPr>
                <w:noProof/>
                <w:webHidden/>
              </w:rPr>
              <w:fldChar w:fldCharType="separate"/>
            </w:r>
            <w:r w:rsidR="0091631A">
              <w:rPr>
                <w:noProof/>
                <w:webHidden/>
              </w:rPr>
              <w:t>178</w:t>
            </w:r>
            <w:r w:rsidR="0091631A">
              <w:rPr>
                <w:noProof/>
                <w:webHidden/>
              </w:rPr>
              <w:fldChar w:fldCharType="end"/>
            </w:r>
          </w:hyperlink>
        </w:p>
        <w:p w14:paraId="73FA6F05" w14:textId="608C07C5"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2" w:history="1">
            <w:r w:rsidR="0091631A" w:rsidRPr="00823710">
              <w:rPr>
                <w:rStyle w:val="Hipervnculo"/>
                <w:rFonts w:ascii="Arial" w:eastAsia="Arial" w:hAnsi="Arial"/>
                <w:b/>
                <w:bCs/>
                <w:noProof/>
                <w:lang w:val="es-CR"/>
              </w:rPr>
              <w:t>Gastos por concepto de aguinaldo</w:t>
            </w:r>
            <w:r w:rsidR="0091631A">
              <w:rPr>
                <w:noProof/>
                <w:webHidden/>
              </w:rPr>
              <w:tab/>
            </w:r>
            <w:r w:rsidR="0091631A">
              <w:rPr>
                <w:noProof/>
                <w:webHidden/>
              </w:rPr>
              <w:fldChar w:fldCharType="begin"/>
            </w:r>
            <w:r w:rsidR="0091631A">
              <w:rPr>
                <w:noProof/>
                <w:webHidden/>
              </w:rPr>
              <w:instrText xml:space="preserve"> PAGEREF _Toc172726282 \h </w:instrText>
            </w:r>
            <w:r w:rsidR="0091631A">
              <w:rPr>
                <w:noProof/>
                <w:webHidden/>
              </w:rPr>
            </w:r>
            <w:r w:rsidR="0091631A">
              <w:rPr>
                <w:noProof/>
                <w:webHidden/>
              </w:rPr>
              <w:fldChar w:fldCharType="separate"/>
            </w:r>
            <w:r w:rsidR="0091631A">
              <w:rPr>
                <w:noProof/>
                <w:webHidden/>
              </w:rPr>
              <w:t>179</w:t>
            </w:r>
            <w:r w:rsidR="0091631A">
              <w:rPr>
                <w:noProof/>
                <w:webHidden/>
              </w:rPr>
              <w:fldChar w:fldCharType="end"/>
            </w:r>
          </w:hyperlink>
        </w:p>
        <w:p w14:paraId="6981F904" w14:textId="41BEB910"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3" w:history="1">
            <w:r w:rsidR="0091631A" w:rsidRPr="00823710">
              <w:rPr>
                <w:rStyle w:val="Hipervnculo"/>
                <w:rFonts w:ascii="Arial" w:eastAsia="Arial" w:hAnsi="Arial"/>
                <w:b/>
                <w:bCs/>
                <w:noProof/>
                <w:lang w:val="es-CR"/>
              </w:rPr>
              <w:t>Planes de contribuciones definidas</w:t>
            </w:r>
            <w:r w:rsidR="0091631A">
              <w:rPr>
                <w:noProof/>
                <w:webHidden/>
              </w:rPr>
              <w:tab/>
            </w:r>
            <w:r w:rsidR="0091631A">
              <w:rPr>
                <w:noProof/>
                <w:webHidden/>
              </w:rPr>
              <w:fldChar w:fldCharType="begin"/>
            </w:r>
            <w:r w:rsidR="0091631A">
              <w:rPr>
                <w:noProof/>
                <w:webHidden/>
              </w:rPr>
              <w:instrText xml:space="preserve"> PAGEREF _Toc172726283 \h </w:instrText>
            </w:r>
            <w:r w:rsidR="0091631A">
              <w:rPr>
                <w:noProof/>
                <w:webHidden/>
              </w:rPr>
            </w:r>
            <w:r w:rsidR="0091631A">
              <w:rPr>
                <w:noProof/>
                <w:webHidden/>
              </w:rPr>
              <w:fldChar w:fldCharType="separate"/>
            </w:r>
            <w:r w:rsidR="0091631A">
              <w:rPr>
                <w:noProof/>
                <w:webHidden/>
              </w:rPr>
              <w:t>180</w:t>
            </w:r>
            <w:r w:rsidR="0091631A">
              <w:rPr>
                <w:noProof/>
                <w:webHidden/>
              </w:rPr>
              <w:fldChar w:fldCharType="end"/>
            </w:r>
          </w:hyperlink>
        </w:p>
        <w:p w14:paraId="3A3B055D" w14:textId="55946B7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4" w:history="1">
            <w:r w:rsidR="0091631A" w:rsidRPr="00823710">
              <w:rPr>
                <w:rStyle w:val="Hipervnculo"/>
                <w:rFonts w:ascii="Arial" w:eastAsia="Arial" w:hAnsi="Arial"/>
                <w:b/>
                <w:bCs/>
                <w:noProof/>
                <w:lang w:val="es-CR"/>
              </w:rPr>
              <w:t>Otros beneficios a empleados</w:t>
            </w:r>
            <w:r w:rsidR="0091631A">
              <w:rPr>
                <w:noProof/>
                <w:webHidden/>
              </w:rPr>
              <w:tab/>
            </w:r>
            <w:r w:rsidR="0091631A">
              <w:rPr>
                <w:noProof/>
                <w:webHidden/>
              </w:rPr>
              <w:fldChar w:fldCharType="begin"/>
            </w:r>
            <w:r w:rsidR="0091631A">
              <w:rPr>
                <w:noProof/>
                <w:webHidden/>
              </w:rPr>
              <w:instrText xml:space="preserve"> PAGEREF _Toc172726284 \h </w:instrText>
            </w:r>
            <w:r w:rsidR="0091631A">
              <w:rPr>
                <w:noProof/>
                <w:webHidden/>
              </w:rPr>
            </w:r>
            <w:r w:rsidR="0091631A">
              <w:rPr>
                <w:noProof/>
                <w:webHidden/>
              </w:rPr>
              <w:fldChar w:fldCharType="separate"/>
            </w:r>
            <w:r w:rsidR="0091631A">
              <w:rPr>
                <w:noProof/>
                <w:webHidden/>
              </w:rPr>
              <w:t>180</w:t>
            </w:r>
            <w:r w:rsidR="0091631A">
              <w:rPr>
                <w:noProof/>
                <w:webHidden/>
              </w:rPr>
              <w:fldChar w:fldCharType="end"/>
            </w:r>
          </w:hyperlink>
        </w:p>
        <w:p w14:paraId="0549A4BE" w14:textId="616B5478"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5" w:history="1">
            <w:r w:rsidR="0091631A" w:rsidRPr="00823710">
              <w:rPr>
                <w:rStyle w:val="Hipervnculo"/>
                <w:rFonts w:ascii="Arial" w:eastAsia="Arial" w:hAnsi="Arial"/>
                <w:b/>
                <w:bCs/>
                <w:noProof/>
                <w:lang w:val="es-CR"/>
              </w:rPr>
              <w:t>Indemnizaciones por cese</w:t>
            </w:r>
            <w:r w:rsidR="0091631A">
              <w:rPr>
                <w:noProof/>
                <w:webHidden/>
              </w:rPr>
              <w:tab/>
            </w:r>
            <w:r w:rsidR="0091631A">
              <w:rPr>
                <w:noProof/>
                <w:webHidden/>
              </w:rPr>
              <w:fldChar w:fldCharType="begin"/>
            </w:r>
            <w:r w:rsidR="0091631A">
              <w:rPr>
                <w:noProof/>
                <w:webHidden/>
              </w:rPr>
              <w:instrText xml:space="preserve"> PAGEREF _Toc172726285 \h </w:instrText>
            </w:r>
            <w:r w:rsidR="0091631A">
              <w:rPr>
                <w:noProof/>
                <w:webHidden/>
              </w:rPr>
            </w:r>
            <w:r w:rsidR="0091631A">
              <w:rPr>
                <w:noProof/>
                <w:webHidden/>
              </w:rPr>
              <w:fldChar w:fldCharType="separate"/>
            </w:r>
            <w:r w:rsidR="0091631A">
              <w:rPr>
                <w:noProof/>
                <w:webHidden/>
              </w:rPr>
              <w:t>181</w:t>
            </w:r>
            <w:r w:rsidR="0091631A">
              <w:rPr>
                <w:noProof/>
                <w:webHidden/>
              </w:rPr>
              <w:fldChar w:fldCharType="end"/>
            </w:r>
          </w:hyperlink>
        </w:p>
        <w:p w14:paraId="7541CC56" w14:textId="7CF021E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6" w:history="1">
            <w:r w:rsidR="0091631A" w:rsidRPr="00823710">
              <w:rPr>
                <w:rStyle w:val="Hipervnculo"/>
                <w:rFonts w:ascii="Arial" w:eastAsia="Arial" w:hAnsi="Arial"/>
                <w:b/>
                <w:bCs/>
                <w:noProof/>
                <w:lang w:val="es-CR"/>
              </w:rPr>
              <w:t>Gastos por concepto de cesantía</w:t>
            </w:r>
            <w:r w:rsidR="0091631A">
              <w:rPr>
                <w:noProof/>
                <w:webHidden/>
              </w:rPr>
              <w:tab/>
            </w:r>
            <w:r w:rsidR="0091631A">
              <w:rPr>
                <w:noProof/>
                <w:webHidden/>
              </w:rPr>
              <w:fldChar w:fldCharType="begin"/>
            </w:r>
            <w:r w:rsidR="0091631A">
              <w:rPr>
                <w:noProof/>
                <w:webHidden/>
              </w:rPr>
              <w:instrText xml:space="preserve"> PAGEREF _Toc172726286 \h </w:instrText>
            </w:r>
            <w:r w:rsidR="0091631A">
              <w:rPr>
                <w:noProof/>
                <w:webHidden/>
              </w:rPr>
            </w:r>
            <w:r w:rsidR="0091631A">
              <w:rPr>
                <w:noProof/>
                <w:webHidden/>
              </w:rPr>
              <w:fldChar w:fldCharType="separate"/>
            </w:r>
            <w:r w:rsidR="0091631A">
              <w:rPr>
                <w:noProof/>
                <w:webHidden/>
              </w:rPr>
              <w:t>181</w:t>
            </w:r>
            <w:r w:rsidR="0091631A">
              <w:rPr>
                <w:noProof/>
                <w:webHidden/>
              </w:rPr>
              <w:fldChar w:fldCharType="end"/>
            </w:r>
          </w:hyperlink>
        </w:p>
        <w:p w14:paraId="7848EBBC" w14:textId="2BAFA10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7" w:history="1">
            <w:r w:rsidR="0091631A" w:rsidRPr="00823710">
              <w:rPr>
                <w:rStyle w:val="Hipervnculo"/>
                <w:rFonts w:ascii="Arial" w:eastAsia="Arial" w:hAnsi="Arial"/>
                <w:b/>
                <w:bCs/>
                <w:noProof/>
                <w:lang w:val="es-CR"/>
              </w:rPr>
              <w:t>Gastos por concepto de preaviso.</w:t>
            </w:r>
            <w:r w:rsidR="0091631A">
              <w:rPr>
                <w:noProof/>
                <w:webHidden/>
              </w:rPr>
              <w:tab/>
            </w:r>
            <w:r w:rsidR="0091631A">
              <w:rPr>
                <w:noProof/>
                <w:webHidden/>
              </w:rPr>
              <w:fldChar w:fldCharType="begin"/>
            </w:r>
            <w:r w:rsidR="0091631A">
              <w:rPr>
                <w:noProof/>
                <w:webHidden/>
              </w:rPr>
              <w:instrText xml:space="preserve"> PAGEREF _Toc172726287 \h </w:instrText>
            </w:r>
            <w:r w:rsidR="0091631A">
              <w:rPr>
                <w:noProof/>
                <w:webHidden/>
              </w:rPr>
            </w:r>
            <w:r w:rsidR="0091631A">
              <w:rPr>
                <w:noProof/>
                <w:webHidden/>
              </w:rPr>
              <w:fldChar w:fldCharType="separate"/>
            </w:r>
            <w:r w:rsidR="0091631A">
              <w:rPr>
                <w:noProof/>
                <w:webHidden/>
              </w:rPr>
              <w:t>182</w:t>
            </w:r>
            <w:r w:rsidR="0091631A">
              <w:rPr>
                <w:noProof/>
                <w:webHidden/>
              </w:rPr>
              <w:fldChar w:fldCharType="end"/>
            </w:r>
          </w:hyperlink>
        </w:p>
        <w:p w14:paraId="20888C1A" w14:textId="5EB1E6F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8" w:history="1">
            <w:r w:rsidR="0091631A" w:rsidRPr="00823710">
              <w:rPr>
                <w:rStyle w:val="Hipervnculo"/>
                <w:rFonts w:ascii="Arial" w:eastAsia="Arial" w:hAnsi="Arial"/>
                <w:b/>
                <w:bCs/>
                <w:noProof/>
                <w:lang w:val="es-CR"/>
              </w:rPr>
              <w:t>Información a revelar Beneficios a Empleados.</w:t>
            </w:r>
            <w:r w:rsidR="0091631A">
              <w:rPr>
                <w:noProof/>
                <w:webHidden/>
              </w:rPr>
              <w:tab/>
            </w:r>
            <w:r w:rsidR="0091631A">
              <w:rPr>
                <w:noProof/>
                <w:webHidden/>
              </w:rPr>
              <w:fldChar w:fldCharType="begin"/>
            </w:r>
            <w:r w:rsidR="0091631A">
              <w:rPr>
                <w:noProof/>
                <w:webHidden/>
              </w:rPr>
              <w:instrText xml:space="preserve"> PAGEREF _Toc172726288 \h </w:instrText>
            </w:r>
            <w:r w:rsidR="0091631A">
              <w:rPr>
                <w:noProof/>
                <w:webHidden/>
              </w:rPr>
            </w:r>
            <w:r w:rsidR="0091631A">
              <w:rPr>
                <w:noProof/>
                <w:webHidden/>
              </w:rPr>
              <w:fldChar w:fldCharType="separate"/>
            </w:r>
            <w:r w:rsidR="0091631A">
              <w:rPr>
                <w:noProof/>
                <w:webHidden/>
              </w:rPr>
              <w:t>183</w:t>
            </w:r>
            <w:r w:rsidR="0091631A">
              <w:rPr>
                <w:noProof/>
                <w:webHidden/>
              </w:rPr>
              <w:fldChar w:fldCharType="end"/>
            </w:r>
          </w:hyperlink>
        </w:p>
        <w:p w14:paraId="31737E37" w14:textId="2EB4DFB5"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89" w:history="1">
            <w:r w:rsidR="0091631A" w:rsidRPr="00823710">
              <w:rPr>
                <w:rStyle w:val="Hipervnculo"/>
                <w:rFonts w:ascii="Arial" w:eastAsia="Arial" w:hAnsi="Arial"/>
                <w:b/>
                <w:bCs/>
                <w:noProof/>
                <w:lang w:val="es-CR"/>
              </w:rPr>
              <w:t>Gastos por venta y consumo de bienes y servicios</w:t>
            </w:r>
            <w:r w:rsidR="0091631A">
              <w:rPr>
                <w:noProof/>
                <w:webHidden/>
              </w:rPr>
              <w:tab/>
            </w:r>
            <w:r w:rsidR="0091631A">
              <w:rPr>
                <w:noProof/>
                <w:webHidden/>
              </w:rPr>
              <w:fldChar w:fldCharType="begin"/>
            </w:r>
            <w:r w:rsidR="0091631A">
              <w:rPr>
                <w:noProof/>
                <w:webHidden/>
              </w:rPr>
              <w:instrText xml:space="preserve"> PAGEREF _Toc172726289 \h </w:instrText>
            </w:r>
            <w:r w:rsidR="0091631A">
              <w:rPr>
                <w:noProof/>
                <w:webHidden/>
              </w:rPr>
            </w:r>
            <w:r w:rsidR="0091631A">
              <w:rPr>
                <w:noProof/>
                <w:webHidden/>
              </w:rPr>
              <w:fldChar w:fldCharType="separate"/>
            </w:r>
            <w:r w:rsidR="0091631A">
              <w:rPr>
                <w:noProof/>
                <w:webHidden/>
              </w:rPr>
              <w:t>183</w:t>
            </w:r>
            <w:r w:rsidR="0091631A">
              <w:rPr>
                <w:noProof/>
                <w:webHidden/>
              </w:rPr>
              <w:fldChar w:fldCharType="end"/>
            </w:r>
          </w:hyperlink>
        </w:p>
        <w:p w14:paraId="36BDC35F" w14:textId="063D62D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0" w:history="1">
            <w:r w:rsidR="0091631A" w:rsidRPr="00823710">
              <w:rPr>
                <w:rStyle w:val="Hipervnculo"/>
                <w:rFonts w:ascii="Arial" w:eastAsia="Arial" w:hAnsi="Arial"/>
                <w:b/>
                <w:bCs/>
                <w:noProof/>
                <w:lang w:val="es-CR"/>
              </w:rPr>
              <w:t>Consumo de bienes y servicios</w:t>
            </w:r>
            <w:r w:rsidR="0091631A">
              <w:rPr>
                <w:noProof/>
                <w:webHidden/>
              </w:rPr>
              <w:tab/>
            </w:r>
            <w:r w:rsidR="0091631A">
              <w:rPr>
                <w:noProof/>
                <w:webHidden/>
              </w:rPr>
              <w:fldChar w:fldCharType="begin"/>
            </w:r>
            <w:r w:rsidR="0091631A">
              <w:rPr>
                <w:noProof/>
                <w:webHidden/>
              </w:rPr>
              <w:instrText xml:space="preserve"> PAGEREF _Toc172726290 \h </w:instrText>
            </w:r>
            <w:r w:rsidR="0091631A">
              <w:rPr>
                <w:noProof/>
                <w:webHidden/>
              </w:rPr>
            </w:r>
            <w:r w:rsidR="0091631A">
              <w:rPr>
                <w:noProof/>
                <w:webHidden/>
              </w:rPr>
              <w:fldChar w:fldCharType="separate"/>
            </w:r>
            <w:r w:rsidR="0091631A">
              <w:rPr>
                <w:noProof/>
                <w:webHidden/>
              </w:rPr>
              <w:t>183</w:t>
            </w:r>
            <w:r w:rsidR="0091631A">
              <w:rPr>
                <w:noProof/>
                <w:webHidden/>
              </w:rPr>
              <w:fldChar w:fldCharType="end"/>
            </w:r>
          </w:hyperlink>
        </w:p>
        <w:p w14:paraId="28FCE09D" w14:textId="48596127"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1" w:history="1">
            <w:r w:rsidR="0091631A" w:rsidRPr="00823710">
              <w:rPr>
                <w:rStyle w:val="Hipervnculo"/>
                <w:rFonts w:ascii="Arial" w:eastAsia="Arial" w:hAnsi="Arial"/>
                <w:b/>
                <w:bCs/>
                <w:noProof/>
                <w:lang w:val="es-CR"/>
              </w:rPr>
              <w:t>Reconocimiento de gastos de inventarios y bienes de consumo</w:t>
            </w:r>
            <w:r w:rsidR="0091631A">
              <w:rPr>
                <w:noProof/>
                <w:webHidden/>
              </w:rPr>
              <w:tab/>
            </w:r>
            <w:r w:rsidR="0091631A">
              <w:rPr>
                <w:noProof/>
                <w:webHidden/>
              </w:rPr>
              <w:fldChar w:fldCharType="begin"/>
            </w:r>
            <w:r w:rsidR="0091631A">
              <w:rPr>
                <w:noProof/>
                <w:webHidden/>
              </w:rPr>
              <w:instrText xml:space="preserve"> PAGEREF _Toc172726291 \h </w:instrText>
            </w:r>
            <w:r w:rsidR="0091631A">
              <w:rPr>
                <w:noProof/>
                <w:webHidden/>
              </w:rPr>
            </w:r>
            <w:r w:rsidR="0091631A">
              <w:rPr>
                <w:noProof/>
                <w:webHidden/>
              </w:rPr>
              <w:fldChar w:fldCharType="separate"/>
            </w:r>
            <w:r w:rsidR="0091631A">
              <w:rPr>
                <w:noProof/>
                <w:webHidden/>
              </w:rPr>
              <w:t>184</w:t>
            </w:r>
            <w:r w:rsidR="0091631A">
              <w:rPr>
                <w:noProof/>
                <w:webHidden/>
              </w:rPr>
              <w:fldChar w:fldCharType="end"/>
            </w:r>
          </w:hyperlink>
        </w:p>
        <w:p w14:paraId="0841BD5B" w14:textId="14AA170D"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2" w:history="1">
            <w:r w:rsidR="0091631A" w:rsidRPr="00823710">
              <w:rPr>
                <w:rStyle w:val="Hipervnculo"/>
                <w:rFonts w:ascii="Arial" w:eastAsia="Arial" w:hAnsi="Arial"/>
                <w:b/>
                <w:bCs/>
                <w:noProof/>
                <w:lang w:val="es-CR"/>
              </w:rPr>
              <w:t>Reconocimiento de gastos de bienes del Activo Fijo</w:t>
            </w:r>
            <w:r w:rsidR="0091631A">
              <w:rPr>
                <w:noProof/>
                <w:webHidden/>
              </w:rPr>
              <w:tab/>
            </w:r>
            <w:r w:rsidR="0091631A">
              <w:rPr>
                <w:noProof/>
                <w:webHidden/>
              </w:rPr>
              <w:fldChar w:fldCharType="begin"/>
            </w:r>
            <w:r w:rsidR="0091631A">
              <w:rPr>
                <w:noProof/>
                <w:webHidden/>
              </w:rPr>
              <w:instrText xml:space="preserve"> PAGEREF _Toc172726292 \h </w:instrText>
            </w:r>
            <w:r w:rsidR="0091631A">
              <w:rPr>
                <w:noProof/>
                <w:webHidden/>
              </w:rPr>
            </w:r>
            <w:r w:rsidR="0091631A">
              <w:rPr>
                <w:noProof/>
                <w:webHidden/>
              </w:rPr>
              <w:fldChar w:fldCharType="separate"/>
            </w:r>
            <w:r w:rsidR="0091631A">
              <w:rPr>
                <w:noProof/>
                <w:webHidden/>
              </w:rPr>
              <w:t>184</w:t>
            </w:r>
            <w:r w:rsidR="0091631A">
              <w:rPr>
                <w:noProof/>
                <w:webHidden/>
              </w:rPr>
              <w:fldChar w:fldCharType="end"/>
            </w:r>
          </w:hyperlink>
        </w:p>
        <w:p w14:paraId="5D0A0920" w14:textId="33FA9DEC"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3" w:history="1">
            <w:r w:rsidR="0091631A" w:rsidRPr="00823710">
              <w:rPr>
                <w:rStyle w:val="Hipervnculo"/>
                <w:rFonts w:ascii="Arial" w:eastAsia="Arial" w:hAnsi="Arial"/>
                <w:b/>
                <w:bCs/>
                <w:noProof/>
                <w:lang w:val="es-CR"/>
              </w:rPr>
              <w:t>Reconocimiento de gastos por operaciones relacionadas con propiedades de inversión</w:t>
            </w:r>
            <w:r w:rsidR="0091631A">
              <w:rPr>
                <w:noProof/>
                <w:webHidden/>
              </w:rPr>
              <w:tab/>
            </w:r>
            <w:r w:rsidR="0091631A">
              <w:rPr>
                <w:noProof/>
                <w:webHidden/>
              </w:rPr>
              <w:fldChar w:fldCharType="begin"/>
            </w:r>
            <w:r w:rsidR="0091631A">
              <w:rPr>
                <w:noProof/>
                <w:webHidden/>
              </w:rPr>
              <w:instrText xml:space="preserve"> PAGEREF _Toc172726293 \h </w:instrText>
            </w:r>
            <w:r w:rsidR="0091631A">
              <w:rPr>
                <w:noProof/>
                <w:webHidden/>
              </w:rPr>
            </w:r>
            <w:r w:rsidR="0091631A">
              <w:rPr>
                <w:noProof/>
                <w:webHidden/>
              </w:rPr>
              <w:fldChar w:fldCharType="separate"/>
            </w:r>
            <w:r w:rsidR="0091631A">
              <w:rPr>
                <w:noProof/>
                <w:webHidden/>
              </w:rPr>
              <w:t>185</w:t>
            </w:r>
            <w:r w:rsidR="0091631A">
              <w:rPr>
                <w:noProof/>
                <w:webHidden/>
              </w:rPr>
              <w:fldChar w:fldCharType="end"/>
            </w:r>
          </w:hyperlink>
        </w:p>
        <w:p w14:paraId="650CEBE3" w14:textId="59803F3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4" w:history="1">
            <w:r w:rsidR="0091631A" w:rsidRPr="00823710">
              <w:rPr>
                <w:rStyle w:val="Hipervnculo"/>
                <w:rFonts w:ascii="Arial" w:eastAsia="Arial" w:hAnsi="Arial"/>
                <w:b/>
                <w:bCs/>
                <w:noProof/>
                <w:lang w:val="es-CR"/>
              </w:rPr>
              <w:t>Arrendamientos</w:t>
            </w:r>
            <w:r w:rsidR="0091631A">
              <w:rPr>
                <w:noProof/>
                <w:webHidden/>
              </w:rPr>
              <w:tab/>
            </w:r>
            <w:r w:rsidR="0091631A">
              <w:rPr>
                <w:noProof/>
                <w:webHidden/>
              </w:rPr>
              <w:fldChar w:fldCharType="begin"/>
            </w:r>
            <w:r w:rsidR="0091631A">
              <w:rPr>
                <w:noProof/>
                <w:webHidden/>
              </w:rPr>
              <w:instrText xml:space="preserve"> PAGEREF _Toc172726294 \h </w:instrText>
            </w:r>
            <w:r w:rsidR="0091631A">
              <w:rPr>
                <w:noProof/>
                <w:webHidden/>
              </w:rPr>
            </w:r>
            <w:r w:rsidR="0091631A">
              <w:rPr>
                <w:noProof/>
                <w:webHidden/>
              </w:rPr>
              <w:fldChar w:fldCharType="separate"/>
            </w:r>
            <w:r w:rsidR="0091631A">
              <w:rPr>
                <w:noProof/>
                <w:webHidden/>
              </w:rPr>
              <w:t>186</w:t>
            </w:r>
            <w:r w:rsidR="0091631A">
              <w:rPr>
                <w:noProof/>
                <w:webHidden/>
              </w:rPr>
              <w:fldChar w:fldCharType="end"/>
            </w:r>
          </w:hyperlink>
        </w:p>
        <w:p w14:paraId="3BC24672" w14:textId="2C260090"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5" w:history="1">
            <w:r w:rsidR="0091631A" w:rsidRPr="00823710">
              <w:rPr>
                <w:rStyle w:val="Hipervnculo"/>
                <w:rFonts w:ascii="Arial" w:eastAsia="Arial" w:hAnsi="Arial"/>
                <w:b/>
                <w:bCs/>
                <w:noProof/>
                <w:lang w:val="es-CR"/>
              </w:rPr>
              <w:t>Cuotas de Arrendamientos operativos</w:t>
            </w:r>
            <w:r w:rsidR="0091631A">
              <w:rPr>
                <w:noProof/>
                <w:webHidden/>
              </w:rPr>
              <w:tab/>
            </w:r>
            <w:r w:rsidR="0091631A">
              <w:rPr>
                <w:noProof/>
                <w:webHidden/>
              </w:rPr>
              <w:fldChar w:fldCharType="begin"/>
            </w:r>
            <w:r w:rsidR="0091631A">
              <w:rPr>
                <w:noProof/>
                <w:webHidden/>
              </w:rPr>
              <w:instrText xml:space="preserve"> PAGEREF _Toc172726295 \h </w:instrText>
            </w:r>
            <w:r w:rsidR="0091631A">
              <w:rPr>
                <w:noProof/>
                <w:webHidden/>
              </w:rPr>
            </w:r>
            <w:r w:rsidR="0091631A">
              <w:rPr>
                <w:noProof/>
                <w:webHidden/>
              </w:rPr>
              <w:fldChar w:fldCharType="separate"/>
            </w:r>
            <w:r w:rsidR="0091631A">
              <w:rPr>
                <w:noProof/>
                <w:webHidden/>
              </w:rPr>
              <w:t>186</w:t>
            </w:r>
            <w:r w:rsidR="0091631A">
              <w:rPr>
                <w:noProof/>
                <w:webHidden/>
              </w:rPr>
              <w:fldChar w:fldCharType="end"/>
            </w:r>
          </w:hyperlink>
        </w:p>
        <w:p w14:paraId="27155B3B" w14:textId="7D07ED06"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6" w:history="1">
            <w:r w:rsidR="0091631A" w:rsidRPr="00823710">
              <w:rPr>
                <w:rStyle w:val="Hipervnculo"/>
                <w:rFonts w:ascii="Arial" w:eastAsia="Arial" w:hAnsi="Arial"/>
                <w:b/>
                <w:bCs/>
                <w:noProof/>
                <w:lang w:val="es-CR"/>
              </w:rPr>
              <w:t>Venta de bienes y servicios</w:t>
            </w:r>
            <w:r w:rsidR="0091631A">
              <w:rPr>
                <w:noProof/>
                <w:webHidden/>
              </w:rPr>
              <w:tab/>
            </w:r>
            <w:r w:rsidR="0091631A">
              <w:rPr>
                <w:noProof/>
                <w:webHidden/>
              </w:rPr>
              <w:fldChar w:fldCharType="begin"/>
            </w:r>
            <w:r w:rsidR="0091631A">
              <w:rPr>
                <w:noProof/>
                <w:webHidden/>
              </w:rPr>
              <w:instrText xml:space="preserve"> PAGEREF _Toc172726296 \h </w:instrText>
            </w:r>
            <w:r w:rsidR="0091631A">
              <w:rPr>
                <w:noProof/>
                <w:webHidden/>
              </w:rPr>
            </w:r>
            <w:r w:rsidR="0091631A">
              <w:rPr>
                <w:noProof/>
                <w:webHidden/>
              </w:rPr>
              <w:fldChar w:fldCharType="separate"/>
            </w:r>
            <w:r w:rsidR="0091631A">
              <w:rPr>
                <w:noProof/>
                <w:webHidden/>
              </w:rPr>
              <w:t>188</w:t>
            </w:r>
            <w:r w:rsidR="0091631A">
              <w:rPr>
                <w:noProof/>
                <w:webHidden/>
              </w:rPr>
              <w:fldChar w:fldCharType="end"/>
            </w:r>
          </w:hyperlink>
        </w:p>
        <w:p w14:paraId="7959BBC6" w14:textId="36F7C860"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7" w:history="1">
            <w:r w:rsidR="0091631A" w:rsidRPr="00823710">
              <w:rPr>
                <w:rStyle w:val="Hipervnculo"/>
                <w:rFonts w:ascii="Arial" w:eastAsia="Arial" w:hAnsi="Arial"/>
                <w:b/>
                <w:bCs/>
                <w:noProof/>
                <w:lang w:val="es-CR"/>
              </w:rPr>
              <w:t>Depreciaciones y amortizaciones</w:t>
            </w:r>
            <w:r w:rsidR="0091631A">
              <w:rPr>
                <w:noProof/>
                <w:webHidden/>
              </w:rPr>
              <w:tab/>
            </w:r>
            <w:r w:rsidR="0091631A">
              <w:rPr>
                <w:noProof/>
                <w:webHidden/>
              </w:rPr>
              <w:fldChar w:fldCharType="begin"/>
            </w:r>
            <w:r w:rsidR="0091631A">
              <w:rPr>
                <w:noProof/>
                <w:webHidden/>
              </w:rPr>
              <w:instrText xml:space="preserve"> PAGEREF _Toc172726297 \h </w:instrText>
            </w:r>
            <w:r w:rsidR="0091631A">
              <w:rPr>
                <w:noProof/>
                <w:webHidden/>
              </w:rPr>
            </w:r>
            <w:r w:rsidR="0091631A">
              <w:rPr>
                <w:noProof/>
                <w:webHidden/>
              </w:rPr>
              <w:fldChar w:fldCharType="separate"/>
            </w:r>
            <w:r w:rsidR="0091631A">
              <w:rPr>
                <w:noProof/>
                <w:webHidden/>
              </w:rPr>
              <w:t>190</w:t>
            </w:r>
            <w:r w:rsidR="0091631A">
              <w:rPr>
                <w:noProof/>
                <w:webHidden/>
              </w:rPr>
              <w:fldChar w:fldCharType="end"/>
            </w:r>
          </w:hyperlink>
        </w:p>
        <w:p w14:paraId="028596DD" w14:textId="30379AF7"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8" w:history="1">
            <w:r w:rsidR="0091631A" w:rsidRPr="00823710">
              <w:rPr>
                <w:rStyle w:val="Hipervnculo"/>
                <w:rFonts w:ascii="Arial" w:eastAsia="Arial" w:hAnsi="Arial"/>
                <w:b/>
                <w:bCs/>
                <w:noProof/>
                <w:lang w:val="es-CR"/>
              </w:rPr>
              <w:t>Otros gastos vinculados con activos no financieros</w:t>
            </w:r>
            <w:r w:rsidR="0091631A">
              <w:rPr>
                <w:noProof/>
                <w:webHidden/>
              </w:rPr>
              <w:tab/>
            </w:r>
            <w:r w:rsidR="0091631A">
              <w:rPr>
                <w:noProof/>
                <w:webHidden/>
              </w:rPr>
              <w:fldChar w:fldCharType="begin"/>
            </w:r>
            <w:r w:rsidR="0091631A">
              <w:rPr>
                <w:noProof/>
                <w:webHidden/>
              </w:rPr>
              <w:instrText xml:space="preserve"> PAGEREF _Toc172726298 \h </w:instrText>
            </w:r>
            <w:r w:rsidR="0091631A">
              <w:rPr>
                <w:noProof/>
                <w:webHidden/>
              </w:rPr>
            </w:r>
            <w:r w:rsidR="0091631A">
              <w:rPr>
                <w:noProof/>
                <w:webHidden/>
              </w:rPr>
              <w:fldChar w:fldCharType="separate"/>
            </w:r>
            <w:r w:rsidR="0091631A">
              <w:rPr>
                <w:noProof/>
                <w:webHidden/>
              </w:rPr>
              <w:t>192</w:t>
            </w:r>
            <w:r w:rsidR="0091631A">
              <w:rPr>
                <w:noProof/>
                <w:webHidden/>
              </w:rPr>
              <w:fldChar w:fldCharType="end"/>
            </w:r>
          </w:hyperlink>
        </w:p>
        <w:p w14:paraId="59F9608B" w14:textId="2B05107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299" w:history="1">
            <w:r w:rsidR="0091631A" w:rsidRPr="00823710">
              <w:rPr>
                <w:rStyle w:val="Hipervnculo"/>
                <w:rFonts w:ascii="Arial" w:eastAsia="Arial" w:hAnsi="Arial"/>
                <w:b/>
                <w:bCs/>
                <w:noProof/>
                <w:lang w:val="es-CR"/>
              </w:rPr>
              <w:t>Deterioro de activos no financieros</w:t>
            </w:r>
            <w:r w:rsidR="0091631A">
              <w:rPr>
                <w:noProof/>
                <w:webHidden/>
              </w:rPr>
              <w:tab/>
            </w:r>
            <w:r w:rsidR="0091631A">
              <w:rPr>
                <w:noProof/>
                <w:webHidden/>
              </w:rPr>
              <w:fldChar w:fldCharType="begin"/>
            </w:r>
            <w:r w:rsidR="0091631A">
              <w:rPr>
                <w:noProof/>
                <w:webHidden/>
              </w:rPr>
              <w:instrText xml:space="preserve"> PAGEREF _Toc172726299 \h </w:instrText>
            </w:r>
            <w:r w:rsidR="0091631A">
              <w:rPr>
                <w:noProof/>
                <w:webHidden/>
              </w:rPr>
            </w:r>
            <w:r w:rsidR="0091631A">
              <w:rPr>
                <w:noProof/>
                <w:webHidden/>
              </w:rPr>
              <w:fldChar w:fldCharType="separate"/>
            </w:r>
            <w:r w:rsidR="0091631A">
              <w:rPr>
                <w:noProof/>
                <w:webHidden/>
              </w:rPr>
              <w:t>192</w:t>
            </w:r>
            <w:r w:rsidR="0091631A">
              <w:rPr>
                <w:noProof/>
                <w:webHidden/>
              </w:rPr>
              <w:fldChar w:fldCharType="end"/>
            </w:r>
          </w:hyperlink>
        </w:p>
        <w:p w14:paraId="4EF9A08B" w14:textId="46FFB72C"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0" w:history="1">
            <w:r w:rsidR="0091631A" w:rsidRPr="00823710">
              <w:rPr>
                <w:rStyle w:val="Hipervnculo"/>
                <w:rFonts w:ascii="Arial" w:eastAsia="Arial" w:hAnsi="Arial"/>
                <w:b/>
                <w:bCs/>
                <w:noProof/>
                <w:lang w:val="es-CR"/>
              </w:rPr>
              <w:t>Desvalorización y pérdidas de inventarios</w:t>
            </w:r>
            <w:r w:rsidR="0091631A">
              <w:rPr>
                <w:noProof/>
                <w:webHidden/>
              </w:rPr>
              <w:tab/>
            </w:r>
            <w:r w:rsidR="0091631A">
              <w:rPr>
                <w:noProof/>
                <w:webHidden/>
              </w:rPr>
              <w:fldChar w:fldCharType="begin"/>
            </w:r>
            <w:r w:rsidR="0091631A">
              <w:rPr>
                <w:noProof/>
                <w:webHidden/>
              </w:rPr>
              <w:instrText xml:space="preserve"> PAGEREF _Toc172726300 \h </w:instrText>
            </w:r>
            <w:r w:rsidR="0091631A">
              <w:rPr>
                <w:noProof/>
                <w:webHidden/>
              </w:rPr>
            </w:r>
            <w:r w:rsidR="0091631A">
              <w:rPr>
                <w:noProof/>
                <w:webHidden/>
              </w:rPr>
              <w:fldChar w:fldCharType="separate"/>
            </w:r>
            <w:r w:rsidR="0091631A">
              <w:rPr>
                <w:noProof/>
                <w:webHidden/>
              </w:rPr>
              <w:t>193</w:t>
            </w:r>
            <w:r w:rsidR="0091631A">
              <w:rPr>
                <w:noProof/>
                <w:webHidden/>
              </w:rPr>
              <w:fldChar w:fldCharType="end"/>
            </w:r>
          </w:hyperlink>
        </w:p>
        <w:p w14:paraId="5990E27D" w14:textId="40407E88"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1" w:history="1">
            <w:r w:rsidR="0091631A" w:rsidRPr="00823710">
              <w:rPr>
                <w:rStyle w:val="Hipervnculo"/>
                <w:rFonts w:ascii="Arial" w:eastAsia="Arial" w:hAnsi="Arial"/>
                <w:b/>
                <w:bCs/>
                <w:noProof/>
                <w:lang w:val="es-CR"/>
              </w:rPr>
              <w:t>Gastos Financieros y otros Gastos</w:t>
            </w:r>
            <w:r w:rsidR="0091631A">
              <w:rPr>
                <w:noProof/>
                <w:webHidden/>
              </w:rPr>
              <w:tab/>
            </w:r>
            <w:r w:rsidR="0091631A">
              <w:rPr>
                <w:noProof/>
                <w:webHidden/>
              </w:rPr>
              <w:fldChar w:fldCharType="begin"/>
            </w:r>
            <w:r w:rsidR="0091631A">
              <w:rPr>
                <w:noProof/>
                <w:webHidden/>
              </w:rPr>
              <w:instrText xml:space="preserve"> PAGEREF _Toc172726301 \h </w:instrText>
            </w:r>
            <w:r w:rsidR="0091631A">
              <w:rPr>
                <w:noProof/>
                <w:webHidden/>
              </w:rPr>
            </w:r>
            <w:r w:rsidR="0091631A">
              <w:rPr>
                <w:noProof/>
                <w:webHidden/>
              </w:rPr>
              <w:fldChar w:fldCharType="separate"/>
            </w:r>
            <w:r w:rsidR="0091631A">
              <w:rPr>
                <w:noProof/>
                <w:webHidden/>
              </w:rPr>
              <w:t>195</w:t>
            </w:r>
            <w:r w:rsidR="0091631A">
              <w:rPr>
                <w:noProof/>
                <w:webHidden/>
              </w:rPr>
              <w:fldChar w:fldCharType="end"/>
            </w:r>
          </w:hyperlink>
        </w:p>
        <w:p w14:paraId="264DC821" w14:textId="148F4237"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2" w:history="1">
            <w:r w:rsidR="0091631A" w:rsidRPr="00823710">
              <w:rPr>
                <w:rStyle w:val="Hipervnculo"/>
                <w:rFonts w:ascii="Arial" w:eastAsia="Arial" w:hAnsi="Arial"/>
                <w:b/>
                <w:bCs/>
                <w:noProof/>
                <w:lang w:val="es-CR"/>
              </w:rPr>
              <w:t>Incobrabilidades y desvalorizaciones de inversiones y cuentas a cobrar</w:t>
            </w:r>
            <w:r w:rsidR="0091631A">
              <w:rPr>
                <w:noProof/>
                <w:webHidden/>
              </w:rPr>
              <w:tab/>
            </w:r>
            <w:r w:rsidR="0091631A">
              <w:rPr>
                <w:noProof/>
                <w:webHidden/>
              </w:rPr>
              <w:fldChar w:fldCharType="begin"/>
            </w:r>
            <w:r w:rsidR="0091631A">
              <w:rPr>
                <w:noProof/>
                <w:webHidden/>
              </w:rPr>
              <w:instrText xml:space="preserve"> PAGEREF _Toc172726302 \h </w:instrText>
            </w:r>
            <w:r w:rsidR="0091631A">
              <w:rPr>
                <w:noProof/>
                <w:webHidden/>
              </w:rPr>
            </w:r>
            <w:r w:rsidR="0091631A">
              <w:rPr>
                <w:noProof/>
                <w:webHidden/>
              </w:rPr>
              <w:fldChar w:fldCharType="separate"/>
            </w:r>
            <w:r w:rsidR="0091631A">
              <w:rPr>
                <w:noProof/>
                <w:webHidden/>
              </w:rPr>
              <w:t>195</w:t>
            </w:r>
            <w:r w:rsidR="0091631A">
              <w:rPr>
                <w:noProof/>
                <w:webHidden/>
              </w:rPr>
              <w:fldChar w:fldCharType="end"/>
            </w:r>
          </w:hyperlink>
        </w:p>
        <w:p w14:paraId="110350FD" w14:textId="5AA3F8F4"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3" w:history="1">
            <w:r w:rsidR="0091631A" w:rsidRPr="00823710">
              <w:rPr>
                <w:rStyle w:val="Hipervnculo"/>
                <w:rFonts w:ascii="Arial" w:eastAsia="Arial" w:hAnsi="Arial"/>
                <w:b/>
                <w:bCs/>
                <w:noProof/>
                <w:lang w:val="es-CR"/>
              </w:rPr>
              <w:t>Intereses, comisiones y gastos sobre endeudamiento público</w:t>
            </w:r>
            <w:r w:rsidR="0091631A">
              <w:rPr>
                <w:noProof/>
                <w:webHidden/>
              </w:rPr>
              <w:tab/>
            </w:r>
            <w:r w:rsidR="0091631A">
              <w:rPr>
                <w:noProof/>
                <w:webHidden/>
              </w:rPr>
              <w:fldChar w:fldCharType="begin"/>
            </w:r>
            <w:r w:rsidR="0091631A">
              <w:rPr>
                <w:noProof/>
                <w:webHidden/>
              </w:rPr>
              <w:instrText xml:space="preserve"> PAGEREF _Toc172726303 \h </w:instrText>
            </w:r>
            <w:r w:rsidR="0091631A">
              <w:rPr>
                <w:noProof/>
                <w:webHidden/>
              </w:rPr>
            </w:r>
            <w:r w:rsidR="0091631A">
              <w:rPr>
                <w:noProof/>
                <w:webHidden/>
              </w:rPr>
              <w:fldChar w:fldCharType="separate"/>
            </w:r>
            <w:r w:rsidR="0091631A">
              <w:rPr>
                <w:noProof/>
                <w:webHidden/>
              </w:rPr>
              <w:t>196</w:t>
            </w:r>
            <w:r w:rsidR="0091631A">
              <w:rPr>
                <w:noProof/>
                <w:webHidden/>
              </w:rPr>
              <w:fldChar w:fldCharType="end"/>
            </w:r>
          </w:hyperlink>
        </w:p>
        <w:p w14:paraId="4746B9D3" w14:textId="4468568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4" w:history="1">
            <w:r w:rsidR="0091631A" w:rsidRPr="00823710">
              <w:rPr>
                <w:rStyle w:val="Hipervnculo"/>
                <w:rFonts w:ascii="Arial" w:eastAsia="Arial" w:hAnsi="Arial"/>
                <w:b/>
                <w:bCs/>
                <w:noProof/>
                <w:lang w:val="es-CR"/>
              </w:rPr>
              <w:t>Diferencias de</w:t>
            </w:r>
            <w:r w:rsidR="0091631A" w:rsidRPr="00823710">
              <w:rPr>
                <w:rStyle w:val="Hipervnculo"/>
                <w:noProof/>
              </w:rPr>
              <w:t xml:space="preserve"> </w:t>
            </w:r>
            <w:r w:rsidR="0091631A" w:rsidRPr="00823710">
              <w:rPr>
                <w:rStyle w:val="Hipervnculo"/>
                <w:rFonts w:ascii="Arial" w:eastAsia="Arial" w:hAnsi="Arial"/>
                <w:b/>
                <w:bCs/>
                <w:noProof/>
                <w:lang w:val="es-CR"/>
              </w:rPr>
              <w:t>Cambio</w:t>
            </w:r>
            <w:r w:rsidR="0091631A">
              <w:rPr>
                <w:noProof/>
                <w:webHidden/>
              </w:rPr>
              <w:tab/>
            </w:r>
            <w:r w:rsidR="0091631A">
              <w:rPr>
                <w:noProof/>
                <w:webHidden/>
              </w:rPr>
              <w:fldChar w:fldCharType="begin"/>
            </w:r>
            <w:r w:rsidR="0091631A">
              <w:rPr>
                <w:noProof/>
                <w:webHidden/>
              </w:rPr>
              <w:instrText xml:space="preserve"> PAGEREF _Toc172726304 \h </w:instrText>
            </w:r>
            <w:r w:rsidR="0091631A">
              <w:rPr>
                <w:noProof/>
                <w:webHidden/>
              </w:rPr>
            </w:r>
            <w:r w:rsidR="0091631A">
              <w:rPr>
                <w:noProof/>
                <w:webHidden/>
              </w:rPr>
              <w:fldChar w:fldCharType="separate"/>
            </w:r>
            <w:r w:rsidR="0091631A">
              <w:rPr>
                <w:noProof/>
                <w:webHidden/>
              </w:rPr>
              <w:t>196</w:t>
            </w:r>
            <w:r w:rsidR="0091631A">
              <w:rPr>
                <w:noProof/>
                <w:webHidden/>
              </w:rPr>
              <w:fldChar w:fldCharType="end"/>
            </w:r>
          </w:hyperlink>
        </w:p>
        <w:p w14:paraId="7F53AB2A" w14:textId="7D07C58F"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5" w:history="1">
            <w:r w:rsidR="0091631A" w:rsidRPr="00823710">
              <w:rPr>
                <w:rStyle w:val="Hipervnculo"/>
                <w:rFonts w:ascii="Arial" w:eastAsia="Arial" w:hAnsi="Arial"/>
                <w:b/>
                <w:bCs/>
                <w:noProof/>
                <w:lang w:val="es-CR"/>
              </w:rPr>
              <w:t>Resultados negativos por tenencia y por exposición a la inflación</w:t>
            </w:r>
            <w:r w:rsidR="0091631A">
              <w:rPr>
                <w:noProof/>
                <w:webHidden/>
              </w:rPr>
              <w:tab/>
            </w:r>
            <w:r w:rsidR="0091631A">
              <w:rPr>
                <w:noProof/>
                <w:webHidden/>
              </w:rPr>
              <w:fldChar w:fldCharType="begin"/>
            </w:r>
            <w:r w:rsidR="0091631A">
              <w:rPr>
                <w:noProof/>
                <w:webHidden/>
              </w:rPr>
              <w:instrText xml:space="preserve"> PAGEREF _Toc172726305 \h </w:instrText>
            </w:r>
            <w:r w:rsidR="0091631A">
              <w:rPr>
                <w:noProof/>
                <w:webHidden/>
              </w:rPr>
            </w:r>
            <w:r w:rsidR="0091631A">
              <w:rPr>
                <w:noProof/>
                <w:webHidden/>
              </w:rPr>
              <w:fldChar w:fldCharType="separate"/>
            </w:r>
            <w:r w:rsidR="0091631A">
              <w:rPr>
                <w:noProof/>
                <w:webHidden/>
              </w:rPr>
              <w:t>200</w:t>
            </w:r>
            <w:r w:rsidR="0091631A">
              <w:rPr>
                <w:noProof/>
                <w:webHidden/>
              </w:rPr>
              <w:fldChar w:fldCharType="end"/>
            </w:r>
          </w:hyperlink>
        </w:p>
        <w:p w14:paraId="47DA7074" w14:textId="759377C5" w:rsidR="0091631A" w:rsidRDefault="009D13CC">
          <w:pPr>
            <w:pStyle w:val="TDC1"/>
            <w:rPr>
              <w:rFonts w:asciiTheme="minorHAnsi" w:eastAsiaTheme="minorEastAsia" w:hAnsiTheme="minorHAnsi" w:cstheme="minorBidi"/>
              <w:kern w:val="2"/>
              <w:sz w:val="24"/>
              <w:szCs w:val="24"/>
              <w:lang w:val="en-US"/>
              <w14:ligatures w14:val="standardContextual"/>
            </w:rPr>
          </w:pPr>
          <w:hyperlink w:anchor="_Toc172726306" w:history="1">
            <w:r w:rsidR="0091631A" w:rsidRPr="00823710">
              <w:rPr>
                <w:rStyle w:val="Hipervnculo"/>
                <w:rFonts w:ascii="Arial Narrow" w:hAnsi="Arial Narrow"/>
                <w:b/>
                <w:bCs/>
              </w:rPr>
              <w:t>CAPÍTULO</w:t>
            </w:r>
            <w:r w:rsidR="0091631A" w:rsidRPr="00823710">
              <w:rPr>
                <w:rStyle w:val="Hipervnculo"/>
                <w:b/>
                <w:bCs/>
              </w:rPr>
              <w:t xml:space="preserve"> </w:t>
            </w:r>
            <w:r w:rsidR="0091631A" w:rsidRPr="00823710">
              <w:rPr>
                <w:rStyle w:val="Hipervnculo"/>
                <w:rFonts w:ascii="Arial Narrow" w:hAnsi="Arial Narrow"/>
                <w:b/>
                <w:bCs/>
              </w:rPr>
              <w:t>VI</w:t>
            </w:r>
            <w:r w:rsidR="0091631A">
              <w:rPr>
                <w:webHidden/>
              </w:rPr>
              <w:tab/>
            </w:r>
            <w:r w:rsidR="0091631A">
              <w:rPr>
                <w:webHidden/>
              </w:rPr>
              <w:fldChar w:fldCharType="begin"/>
            </w:r>
            <w:r w:rsidR="0091631A">
              <w:rPr>
                <w:webHidden/>
              </w:rPr>
              <w:instrText xml:space="preserve"> PAGEREF _Toc172726306 \h </w:instrText>
            </w:r>
            <w:r w:rsidR="0091631A">
              <w:rPr>
                <w:webHidden/>
              </w:rPr>
            </w:r>
            <w:r w:rsidR="0091631A">
              <w:rPr>
                <w:webHidden/>
              </w:rPr>
              <w:fldChar w:fldCharType="separate"/>
            </w:r>
            <w:r w:rsidR="0091631A">
              <w:rPr>
                <w:webHidden/>
              </w:rPr>
              <w:t>202</w:t>
            </w:r>
            <w:r w:rsidR="0091631A">
              <w:rPr>
                <w:webHidden/>
              </w:rPr>
              <w:fldChar w:fldCharType="end"/>
            </w:r>
          </w:hyperlink>
        </w:p>
        <w:p w14:paraId="2218F845" w14:textId="0303FBEC"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7" w:history="1">
            <w:r w:rsidR="0091631A" w:rsidRPr="00823710">
              <w:rPr>
                <w:rStyle w:val="Hipervnculo"/>
                <w:rFonts w:ascii="Arial" w:eastAsia="Arial" w:hAnsi="Arial"/>
                <w:b/>
                <w:bCs/>
                <w:noProof/>
                <w:lang w:val="es-CR"/>
              </w:rPr>
              <w:t xml:space="preserve">Políticas </w:t>
            </w:r>
            <w:r w:rsidR="0091631A" w:rsidRPr="00823710">
              <w:rPr>
                <w:rStyle w:val="Hipervnculo"/>
                <w:rFonts w:ascii="Arial" w:hAnsi="Arial"/>
                <w:b/>
                <w:bCs/>
                <w:noProof/>
                <w:lang w:val="es-CR"/>
              </w:rPr>
              <w:t>Contabl</w:t>
            </w:r>
            <w:r w:rsidR="0091631A" w:rsidRPr="00823710">
              <w:rPr>
                <w:rStyle w:val="Hipervnculo"/>
                <w:rFonts w:ascii="Arial" w:eastAsia="Arial" w:hAnsi="Arial"/>
                <w:b/>
                <w:bCs/>
                <w:noProof/>
                <w:lang w:val="es-CR"/>
              </w:rPr>
              <w:t>es</w:t>
            </w:r>
            <w:r w:rsidR="0091631A" w:rsidRPr="00823710">
              <w:rPr>
                <w:rStyle w:val="Hipervnculo"/>
                <w:rFonts w:ascii="Arial" w:hAnsi="Arial"/>
                <w:b/>
                <w:bCs/>
                <w:noProof/>
                <w:lang w:val="es-CR"/>
              </w:rPr>
              <w:t xml:space="preserve"> Generales</w:t>
            </w:r>
            <w:r w:rsidR="0091631A" w:rsidRPr="00823710">
              <w:rPr>
                <w:rStyle w:val="Hipervnculo"/>
                <w:rFonts w:ascii="Arial" w:eastAsia="Arial" w:hAnsi="Arial"/>
                <w:b/>
                <w:bCs/>
                <w:noProof/>
                <w:lang w:val="es-CR"/>
              </w:rPr>
              <w:t xml:space="preserve"> y Particulares</w:t>
            </w:r>
            <w:r w:rsidR="0091631A" w:rsidRPr="00823710">
              <w:rPr>
                <w:rStyle w:val="Hipervnculo"/>
                <w:rFonts w:ascii="Arial" w:hAnsi="Arial"/>
                <w:b/>
                <w:bCs/>
                <w:noProof/>
                <w:lang w:val="es-CR"/>
              </w:rPr>
              <w:t xml:space="preserve"> </w:t>
            </w:r>
            <w:r w:rsidR="0091631A" w:rsidRPr="00823710">
              <w:rPr>
                <w:rStyle w:val="Hipervnculo"/>
                <w:rFonts w:ascii="Arial" w:eastAsia="Arial" w:hAnsi="Arial"/>
                <w:b/>
                <w:bCs/>
                <w:noProof/>
                <w:lang w:val="es-CR"/>
              </w:rPr>
              <w:t>para la elaboración de EEFF</w:t>
            </w:r>
            <w:r w:rsidR="0091631A">
              <w:rPr>
                <w:noProof/>
                <w:webHidden/>
              </w:rPr>
              <w:tab/>
            </w:r>
            <w:r w:rsidR="0091631A">
              <w:rPr>
                <w:noProof/>
                <w:webHidden/>
              </w:rPr>
              <w:fldChar w:fldCharType="begin"/>
            </w:r>
            <w:r w:rsidR="0091631A">
              <w:rPr>
                <w:noProof/>
                <w:webHidden/>
              </w:rPr>
              <w:instrText xml:space="preserve"> PAGEREF _Toc172726307 \h </w:instrText>
            </w:r>
            <w:r w:rsidR="0091631A">
              <w:rPr>
                <w:noProof/>
                <w:webHidden/>
              </w:rPr>
            </w:r>
            <w:r w:rsidR="0091631A">
              <w:rPr>
                <w:noProof/>
                <w:webHidden/>
              </w:rPr>
              <w:fldChar w:fldCharType="separate"/>
            </w:r>
            <w:r w:rsidR="0091631A">
              <w:rPr>
                <w:noProof/>
                <w:webHidden/>
              </w:rPr>
              <w:t>202</w:t>
            </w:r>
            <w:r w:rsidR="0091631A">
              <w:rPr>
                <w:noProof/>
                <w:webHidden/>
              </w:rPr>
              <w:fldChar w:fldCharType="end"/>
            </w:r>
          </w:hyperlink>
        </w:p>
        <w:p w14:paraId="32F938A6" w14:textId="47CBA8C0"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8" w:history="1">
            <w:r w:rsidR="0091631A" w:rsidRPr="00823710">
              <w:rPr>
                <w:rStyle w:val="Hipervnculo"/>
                <w:rFonts w:ascii="Arial" w:eastAsia="Arial" w:hAnsi="Arial"/>
                <w:b/>
                <w:bCs/>
                <w:noProof/>
                <w:lang w:val="es-CR"/>
              </w:rPr>
              <w:t>6.</w:t>
            </w:r>
            <w:r w:rsidR="0091631A">
              <w:rPr>
                <w:rFonts w:asciiTheme="minorHAnsi" w:eastAsiaTheme="minorEastAsia" w:hAnsiTheme="minorHAnsi" w:cstheme="minorBidi"/>
                <w:noProof/>
                <w:kern w:val="2"/>
                <w:sz w:val="24"/>
                <w:szCs w:val="24"/>
                <w14:ligatures w14:val="standardContextual"/>
              </w:rPr>
              <w:tab/>
            </w:r>
            <w:r w:rsidR="0091631A" w:rsidRPr="00823710">
              <w:rPr>
                <w:rStyle w:val="Hipervnculo"/>
                <w:rFonts w:ascii="Arial" w:eastAsia="Arial" w:hAnsi="Arial"/>
                <w:b/>
                <w:bCs/>
                <w:noProof/>
                <w:lang w:val="es-CR"/>
              </w:rPr>
              <w:t>Estados Financieros (EEFF)</w:t>
            </w:r>
            <w:r w:rsidR="0091631A">
              <w:rPr>
                <w:noProof/>
                <w:webHidden/>
              </w:rPr>
              <w:tab/>
            </w:r>
            <w:r w:rsidR="0091631A">
              <w:rPr>
                <w:noProof/>
                <w:webHidden/>
              </w:rPr>
              <w:fldChar w:fldCharType="begin"/>
            </w:r>
            <w:r w:rsidR="0091631A">
              <w:rPr>
                <w:noProof/>
                <w:webHidden/>
              </w:rPr>
              <w:instrText xml:space="preserve"> PAGEREF _Toc172726308 \h </w:instrText>
            </w:r>
            <w:r w:rsidR="0091631A">
              <w:rPr>
                <w:noProof/>
                <w:webHidden/>
              </w:rPr>
            </w:r>
            <w:r w:rsidR="0091631A">
              <w:rPr>
                <w:noProof/>
                <w:webHidden/>
              </w:rPr>
              <w:fldChar w:fldCharType="separate"/>
            </w:r>
            <w:r w:rsidR="0091631A">
              <w:rPr>
                <w:noProof/>
                <w:webHidden/>
              </w:rPr>
              <w:t>202</w:t>
            </w:r>
            <w:r w:rsidR="0091631A">
              <w:rPr>
                <w:noProof/>
                <w:webHidden/>
              </w:rPr>
              <w:fldChar w:fldCharType="end"/>
            </w:r>
          </w:hyperlink>
        </w:p>
        <w:p w14:paraId="1DFEFA05" w14:textId="49C459F6"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09" w:history="1">
            <w:r w:rsidR="0091631A" w:rsidRPr="00823710">
              <w:rPr>
                <w:rStyle w:val="Hipervnculo"/>
                <w:rFonts w:ascii="Arial" w:eastAsia="Arial" w:hAnsi="Arial"/>
                <w:b/>
                <w:bCs/>
                <w:noProof/>
                <w:lang w:val="es-CR"/>
              </w:rPr>
              <w:t>Generalidades los EEFF</w:t>
            </w:r>
            <w:r w:rsidR="0091631A">
              <w:rPr>
                <w:noProof/>
                <w:webHidden/>
              </w:rPr>
              <w:tab/>
            </w:r>
            <w:r w:rsidR="0091631A">
              <w:rPr>
                <w:noProof/>
                <w:webHidden/>
              </w:rPr>
              <w:fldChar w:fldCharType="begin"/>
            </w:r>
            <w:r w:rsidR="0091631A">
              <w:rPr>
                <w:noProof/>
                <w:webHidden/>
              </w:rPr>
              <w:instrText xml:space="preserve"> PAGEREF _Toc172726309 \h </w:instrText>
            </w:r>
            <w:r w:rsidR="0091631A">
              <w:rPr>
                <w:noProof/>
                <w:webHidden/>
              </w:rPr>
            </w:r>
            <w:r w:rsidR="0091631A">
              <w:rPr>
                <w:noProof/>
                <w:webHidden/>
              </w:rPr>
              <w:fldChar w:fldCharType="separate"/>
            </w:r>
            <w:r w:rsidR="0091631A">
              <w:rPr>
                <w:noProof/>
                <w:webHidden/>
              </w:rPr>
              <w:t>202</w:t>
            </w:r>
            <w:r w:rsidR="0091631A">
              <w:rPr>
                <w:noProof/>
                <w:webHidden/>
              </w:rPr>
              <w:fldChar w:fldCharType="end"/>
            </w:r>
          </w:hyperlink>
        </w:p>
        <w:p w14:paraId="59CA50C1" w14:textId="17F49D1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0" w:history="1">
            <w:r w:rsidR="0091631A" w:rsidRPr="00823710">
              <w:rPr>
                <w:rStyle w:val="Hipervnculo"/>
                <w:rFonts w:ascii="Arial" w:eastAsia="Arial" w:hAnsi="Arial"/>
                <w:b/>
                <w:bCs/>
                <w:noProof/>
                <w:lang w:val="es-CR"/>
              </w:rPr>
              <w:t>Estado de Situación Financiera o Balance General</w:t>
            </w:r>
            <w:r w:rsidR="0091631A">
              <w:rPr>
                <w:noProof/>
                <w:webHidden/>
              </w:rPr>
              <w:tab/>
            </w:r>
            <w:r w:rsidR="0091631A">
              <w:rPr>
                <w:noProof/>
                <w:webHidden/>
              </w:rPr>
              <w:fldChar w:fldCharType="begin"/>
            </w:r>
            <w:r w:rsidR="0091631A">
              <w:rPr>
                <w:noProof/>
                <w:webHidden/>
              </w:rPr>
              <w:instrText xml:space="preserve"> PAGEREF _Toc172726310 \h </w:instrText>
            </w:r>
            <w:r w:rsidR="0091631A">
              <w:rPr>
                <w:noProof/>
                <w:webHidden/>
              </w:rPr>
            </w:r>
            <w:r w:rsidR="0091631A">
              <w:rPr>
                <w:noProof/>
                <w:webHidden/>
              </w:rPr>
              <w:fldChar w:fldCharType="separate"/>
            </w:r>
            <w:r w:rsidR="0091631A">
              <w:rPr>
                <w:noProof/>
                <w:webHidden/>
              </w:rPr>
              <w:t>214</w:t>
            </w:r>
            <w:r w:rsidR="0091631A">
              <w:rPr>
                <w:noProof/>
                <w:webHidden/>
              </w:rPr>
              <w:fldChar w:fldCharType="end"/>
            </w:r>
          </w:hyperlink>
        </w:p>
        <w:p w14:paraId="4188EC22" w14:textId="2C418E2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1" w:history="1">
            <w:r w:rsidR="0091631A" w:rsidRPr="00823710">
              <w:rPr>
                <w:rStyle w:val="Hipervnculo"/>
                <w:rFonts w:ascii="Arial" w:eastAsia="Arial" w:hAnsi="Arial"/>
                <w:b/>
                <w:bCs/>
                <w:noProof/>
                <w:lang w:val="es-CR"/>
              </w:rPr>
              <w:t>Estado de Rendimiento Financiero</w:t>
            </w:r>
            <w:r w:rsidR="0091631A">
              <w:rPr>
                <w:noProof/>
                <w:webHidden/>
              </w:rPr>
              <w:tab/>
            </w:r>
            <w:r w:rsidR="0091631A">
              <w:rPr>
                <w:noProof/>
                <w:webHidden/>
              </w:rPr>
              <w:fldChar w:fldCharType="begin"/>
            </w:r>
            <w:r w:rsidR="0091631A">
              <w:rPr>
                <w:noProof/>
                <w:webHidden/>
              </w:rPr>
              <w:instrText xml:space="preserve"> PAGEREF _Toc172726311 \h </w:instrText>
            </w:r>
            <w:r w:rsidR="0091631A">
              <w:rPr>
                <w:noProof/>
                <w:webHidden/>
              </w:rPr>
            </w:r>
            <w:r w:rsidR="0091631A">
              <w:rPr>
                <w:noProof/>
                <w:webHidden/>
              </w:rPr>
              <w:fldChar w:fldCharType="separate"/>
            </w:r>
            <w:r w:rsidR="0091631A">
              <w:rPr>
                <w:noProof/>
                <w:webHidden/>
              </w:rPr>
              <w:t>219</w:t>
            </w:r>
            <w:r w:rsidR="0091631A">
              <w:rPr>
                <w:noProof/>
                <w:webHidden/>
              </w:rPr>
              <w:fldChar w:fldCharType="end"/>
            </w:r>
          </w:hyperlink>
        </w:p>
        <w:p w14:paraId="3CD79D08" w14:textId="0E54F45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2" w:history="1">
            <w:r w:rsidR="0091631A" w:rsidRPr="00823710">
              <w:rPr>
                <w:rStyle w:val="Hipervnculo"/>
                <w:rFonts w:ascii="Arial" w:eastAsia="Arial" w:hAnsi="Arial"/>
                <w:b/>
                <w:bCs/>
                <w:noProof/>
                <w:lang w:val="es-CR"/>
              </w:rPr>
              <w:t>Estado de Cambios en el Patrimonio</w:t>
            </w:r>
            <w:r w:rsidR="0091631A">
              <w:rPr>
                <w:noProof/>
                <w:webHidden/>
              </w:rPr>
              <w:tab/>
            </w:r>
            <w:r w:rsidR="0091631A">
              <w:rPr>
                <w:noProof/>
                <w:webHidden/>
              </w:rPr>
              <w:fldChar w:fldCharType="begin"/>
            </w:r>
            <w:r w:rsidR="0091631A">
              <w:rPr>
                <w:noProof/>
                <w:webHidden/>
              </w:rPr>
              <w:instrText xml:space="preserve"> PAGEREF _Toc172726312 \h </w:instrText>
            </w:r>
            <w:r w:rsidR="0091631A">
              <w:rPr>
                <w:noProof/>
                <w:webHidden/>
              </w:rPr>
            </w:r>
            <w:r w:rsidR="0091631A">
              <w:rPr>
                <w:noProof/>
                <w:webHidden/>
              </w:rPr>
              <w:fldChar w:fldCharType="separate"/>
            </w:r>
            <w:r w:rsidR="0091631A">
              <w:rPr>
                <w:noProof/>
                <w:webHidden/>
              </w:rPr>
              <w:t>222</w:t>
            </w:r>
            <w:r w:rsidR="0091631A">
              <w:rPr>
                <w:noProof/>
                <w:webHidden/>
              </w:rPr>
              <w:fldChar w:fldCharType="end"/>
            </w:r>
          </w:hyperlink>
        </w:p>
        <w:p w14:paraId="36B01D17" w14:textId="757DBD85"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3" w:history="1">
            <w:r w:rsidR="0091631A" w:rsidRPr="00823710">
              <w:rPr>
                <w:rStyle w:val="Hipervnculo"/>
                <w:rFonts w:ascii="Arial" w:eastAsia="Arial" w:hAnsi="Arial"/>
                <w:b/>
                <w:bCs/>
                <w:noProof/>
                <w:lang w:val="es-CR"/>
              </w:rPr>
              <w:t>Estado de Flujos de Efectivo</w:t>
            </w:r>
            <w:r w:rsidR="0091631A">
              <w:rPr>
                <w:noProof/>
                <w:webHidden/>
              </w:rPr>
              <w:tab/>
            </w:r>
            <w:r w:rsidR="0091631A">
              <w:rPr>
                <w:noProof/>
                <w:webHidden/>
              </w:rPr>
              <w:fldChar w:fldCharType="begin"/>
            </w:r>
            <w:r w:rsidR="0091631A">
              <w:rPr>
                <w:noProof/>
                <w:webHidden/>
              </w:rPr>
              <w:instrText xml:space="preserve"> PAGEREF _Toc172726313 \h </w:instrText>
            </w:r>
            <w:r w:rsidR="0091631A">
              <w:rPr>
                <w:noProof/>
                <w:webHidden/>
              </w:rPr>
            </w:r>
            <w:r w:rsidR="0091631A">
              <w:rPr>
                <w:noProof/>
                <w:webHidden/>
              </w:rPr>
              <w:fldChar w:fldCharType="separate"/>
            </w:r>
            <w:r w:rsidR="0091631A">
              <w:rPr>
                <w:noProof/>
                <w:webHidden/>
              </w:rPr>
              <w:t>224</w:t>
            </w:r>
            <w:r w:rsidR="0091631A">
              <w:rPr>
                <w:noProof/>
                <w:webHidden/>
              </w:rPr>
              <w:fldChar w:fldCharType="end"/>
            </w:r>
          </w:hyperlink>
        </w:p>
        <w:p w14:paraId="1D58C563" w14:textId="35CA8F0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4" w:history="1">
            <w:r w:rsidR="0091631A" w:rsidRPr="00823710">
              <w:rPr>
                <w:rStyle w:val="Hipervnculo"/>
                <w:rFonts w:ascii="Arial" w:eastAsia="Arial" w:hAnsi="Arial"/>
                <w:b/>
                <w:bCs/>
                <w:noProof/>
                <w:lang w:val="es-CR"/>
              </w:rPr>
              <w:t>Notas a la IFPG</w:t>
            </w:r>
            <w:r w:rsidR="0091631A">
              <w:rPr>
                <w:noProof/>
                <w:webHidden/>
              </w:rPr>
              <w:tab/>
            </w:r>
            <w:r w:rsidR="0091631A">
              <w:rPr>
                <w:noProof/>
                <w:webHidden/>
              </w:rPr>
              <w:fldChar w:fldCharType="begin"/>
            </w:r>
            <w:r w:rsidR="0091631A">
              <w:rPr>
                <w:noProof/>
                <w:webHidden/>
              </w:rPr>
              <w:instrText xml:space="preserve"> PAGEREF _Toc172726314 \h </w:instrText>
            </w:r>
            <w:r w:rsidR="0091631A">
              <w:rPr>
                <w:noProof/>
                <w:webHidden/>
              </w:rPr>
            </w:r>
            <w:r w:rsidR="0091631A">
              <w:rPr>
                <w:noProof/>
                <w:webHidden/>
              </w:rPr>
              <w:fldChar w:fldCharType="separate"/>
            </w:r>
            <w:r w:rsidR="0091631A">
              <w:rPr>
                <w:noProof/>
                <w:webHidden/>
              </w:rPr>
              <w:t>232</w:t>
            </w:r>
            <w:r w:rsidR="0091631A">
              <w:rPr>
                <w:noProof/>
                <w:webHidden/>
              </w:rPr>
              <w:fldChar w:fldCharType="end"/>
            </w:r>
          </w:hyperlink>
        </w:p>
        <w:p w14:paraId="71992C1F" w14:textId="61B3419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5" w:history="1">
            <w:r w:rsidR="0091631A" w:rsidRPr="00823710">
              <w:rPr>
                <w:rStyle w:val="Hipervnculo"/>
                <w:rFonts w:ascii="Arial" w:eastAsia="Arial" w:hAnsi="Arial"/>
                <w:b/>
                <w:bCs/>
                <w:noProof/>
                <w:lang w:val="es-CR"/>
              </w:rPr>
              <w:t>Cambios en las estimaciones contables</w:t>
            </w:r>
            <w:r w:rsidR="0091631A">
              <w:rPr>
                <w:noProof/>
                <w:webHidden/>
              </w:rPr>
              <w:tab/>
            </w:r>
            <w:r w:rsidR="0091631A">
              <w:rPr>
                <w:noProof/>
                <w:webHidden/>
              </w:rPr>
              <w:fldChar w:fldCharType="begin"/>
            </w:r>
            <w:r w:rsidR="0091631A">
              <w:rPr>
                <w:noProof/>
                <w:webHidden/>
              </w:rPr>
              <w:instrText xml:space="preserve"> PAGEREF _Toc172726315 \h </w:instrText>
            </w:r>
            <w:r w:rsidR="0091631A">
              <w:rPr>
                <w:noProof/>
                <w:webHidden/>
              </w:rPr>
            </w:r>
            <w:r w:rsidR="0091631A">
              <w:rPr>
                <w:noProof/>
                <w:webHidden/>
              </w:rPr>
              <w:fldChar w:fldCharType="separate"/>
            </w:r>
            <w:r w:rsidR="0091631A">
              <w:rPr>
                <w:noProof/>
                <w:webHidden/>
              </w:rPr>
              <w:t>241</w:t>
            </w:r>
            <w:r w:rsidR="0091631A">
              <w:rPr>
                <w:noProof/>
                <w:webHidden/>
              </w:rPr>
              <w:fldChar w:fldCharType="end"/>
            </w:r>
          </w:hyperlink>
        </w:p>
        <w:p w14:paraId="1C3E9434" w14:textId="5B71ED0A"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6" w:history="1">
            <w:r w:rsidR="0091631A" w:rsidRPr="00823710">
              <w:rPr>
                <w:rStyle w:val="Hipervnculo"/>
                <w:rFonts w:ascii="Arial" w:eastAsia="Arial" w:hAnsi="Arial"/>
                <w:b/>
                <w:bCs/>
                <w:noProof/>
                <w:lang w:val="es-CR"/>
              </w:rPr>
              <w:t>Errores</w:t>
            </w:r>
            <w:r w:rsidR="0091631A">
              <w:rPr>
                <w:noProof/>
                <w:webHidden/>
              </w:rPr>
              <w:tab/>
            </w:r>
            <w:r w:rsidR="0091631A">
              <w:rPr>
                <w:noProof/>
                <w:webHidden/>
              </w:rPr>
              <w:fldChar w:fldCharType="begin"/>
            </w:r>
            <w:r w:rsidR="0091631A">
              <w:rPr>
                <w:noProof/>
                <w:webHidden/>
              </w:rPr>
              <w:instrText xml:space="preserve"> PAGEREF _Toc172726316 \h </w:instrText>
            </w:r>
            <w:r w:rsidR="0091631A">
              <w:rPr>
                <w:noProof/>
                <w:webHidden/>
              </w:rPr>
            </w:r>
            <w:r w:rsidR="0091631A">
              <w:rPr>
                <w:noProof/>
                <w:webHidden/>
              </w:rPr>
              <w:fldChar w:fldCharType="separate"/>
            </w:r>
            <w:r w:rsidR="0091631A">
              <w:rPr>
                <w:noProof/>
                <w:webHidden/>
              </w:rPr>
              <w:t>242</w:t>
            </w:r>
            <w:r w:rsidR="0091631A">
              <w:rPr>
                <w:noProof/>
                <w:webHidden/>
              </w:rPr>
              <w:fldChar w:fldCharType="end"/>
            </w:r>
          </w:hyperlink>
        </w:p>
        <w:p w14:paraId="27C85AF2" w14:textId="0911CE7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7" w:history="1">
            <w:r w:rsidR="0091631A" w:rsidRPr="00823710">
              <w:rPr>
                <w:rStyle w:val="Hipervnculo"/>
                <w:rFonts w:ascii="Arial" w:eastAsia="Arial" w:hAnsi="Arial"/>
                <w:b/>
                <w:bCs/>
                <w:noProof/>
                <w:lang w:val="es-CR"/>
              </w:rPr>
              <w:t>Impracticabilidad de la aplicación y de la reexpresión retroactivas</w:t>
            </w:r>
            <w:r w:rsidR="0091631A">
              <w:rPr>
                <w:noProof/>
                <w:webHidden/>
              </w:rPr>
              <w:tab/>
            </w:r>
            <w:r w:rsidR="0091631A">
              <w:rPr>
                <w:noProof/>
                <w:webHidden/>
              </w:rPr>
              <w:fldChar w:fldCharType="begin"/>
            </w:r>
            <w:r w:rsidR="0091631A">
              <w:rPr>
                <w:noProof/>
                <w:webHidden/>
              </w:rPr>
              <w:instrText xml:space="preserve"> PAGEREF _Toc172726317 \h </w:instrText>
            </w:r>
            <w:r w:rsidR="0091631A">
              <w:rPr>
                <w:noProof/>
                <w:webHidden/>
              </w:rPr>
            </w:r>
            <w:r w:rsidR="0091631A">
              <w:rPr>
                <w:noProof/>
                <w:webHidden/>
              </w:rPr>
              <w:fldChar w:fldCharType="separate"/>
            </w:r>
            <w:r w:rsidR="0091631A">
              <w:rPr>
                <w:noProof/>
                <w:webHidden/>
              </w:rPr>
              <w:t>245</w:t>
            </w:r>
            <w:r w:rsidR="0091631A">
              <w:rPr>
                <w:noProof/>
                <w:webHidden/>
              </w:rPr>
              <w:fldChar w:fldCharType="end"/>
            </w:r>
          </w:hyperlink>
        </w:p>
        <w:p w14:paraId="4C55B767" w14:textId="0832FEF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8" w:history="1">
            <w:r w:rsidR="0091631A" w:rsidRPr="00823710">
              <w:rPr>
                <w:rStyle w:val="Hipervnculo"/>
                <w:rFonts w:ascii="Arial" w:eastAsia="Arial" w:hAnsi="Arial"/>
                <w:b/>
                <w:bCs/>
                <w:noProof/>
                <w:lang w:val="es-CR"/>
              </w:rPr>
              <w:t>Estado de Conciliación de Resultados Contable y Presupuestario</w:t>
            </w:r>
            <w:r w:rsidR="0091631A">
              <w:rPr>
                <w:noProof/>
                <w:webHidden/>
              </w:rPr>
              <w:tab/>
            </w:r>
            <w:r w:rsidR="0091631A">
              <w:rPr>
                <w:noProof/>
                <w:webHidden/>
              </w:rPr>
              <w:fldChar w:fldCharType="begin"/>
            </w:r>
            <w:r w:rsidR="0091631A">
              <w:rPr>
                <w:noProof/>
                <w:webHidden/>
              </w:rPr>
              <w:instrText xml:space="preserve"> PAGEREF _Toc172726318 \h </w:instrText>
            </w:r>
            <w:r w:rsidR="0091631A">
              <w:rPr>
                <w:noProof/>
                <w:webHidden/>
              </w:rPr>
            </w:r>
            <w:r w:rsidR="0091631A">
              <w:rPr>
                <w:noProof/>
                <w:webHidden/>
              </w:rPr>
              <w:fldChar w:fldCharType="separate"/>
            </w:r>
            <w:r w:rsidR="0091631A">
              <w:rPr>
                <w:noProof/>
                <w:webHidden/>
              </w:rPr>
              <w:t>249</w:t>
            </w:r>
            <w:r w:rsidR="0091631A">
              <w:rPr>
                <w:noProof/>
                <w:webHidden/>
              </w:rPr>
              <w:fldChar w:fldCharType="end"/>
            </w:r>
          </w:hyperlink>
        </w:p>
        <w:p w14:paraId="0F69BAD2" w14:textId="5067803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19" w:history="1">
            <w:r w:rsidR="0091631A" w:rsidRPr="00823710">
              <w:rPr>
                <w:rStyle w:val="Hipervnculo"/>
                <w:rFonts w:ascii="Arial" w:eastAsia="Arial" w:hAnsi="Arial"/>
                <w:b/>
                <w:bCs/>
                <w:noProof/>
                <w:lang w:val="es-CR"/>
              </w:rPr>
              <w:t>Estado de la Deuda Pública</w:t>
            </w:r>
            <w:r w:rsidR="0091631A">
              <w:rPr>
                <w:noProof/>
                <w:webHidden/>
              </w:rPr>
              <w:tab/>
            </w:r>
            <w:r w:rsidR="0091631A">
              <w:rPr>
                <w:noProof/>
                <w:webHidden/>
              </w:rPr>
              <w:fldChar w:fldCharType="begin"/>
            </w:r>
            <w:r w:rsidR="0091631A">
              <w:rPr>
                <w:noProof/>
                <w:webHidden/>
              </w:rPr>
              <w:instrText xml:space="preserve"> PAGEREF _Toc172726319 \h </w:instrText>
            </w:r>
            <w:r w:rsidR="0091631A">
              <w:rPr>
                <w:noProof/>
                <w:webHidden/>
              </w:rPr>
            </w:r>
            <w:r w:rsidR="0091631A">
              <w:rPr>
                <w:noProof/>
                <w:webHidden/>
              </w:rPr>
              <w:fldChar w:fldCharType="separate"/>
            </w:r>
            <w:r w:rsidR="0091631A">
              <w:rPr>
                <w:noProof/>
                <w:webHidden/>
              </w:rPr>
              <w:t>250</w:t>
            </w:r>
            <w:r w:rsidR="0091631A">
              <w:rPr>
                <w:noProof/>
                <w:webHidden/>
              </w:rPr>
              <w:fldChar w:fldCharType="end"/>
            </w:r>
          </w:hyperlink>
        </w:p>
        <w:p w14:paraId="6630B9F1" w14:textId="58D2EF6E"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20" w:history="1">
            <w:r w:rsidR="0091631A" w:rsidRPr="00823710">
              <w:rPr>
                <w:rStyle w:val="Hipervnculo"/>
                <w:rFonts w:ascii="Arial" w:eastAsia="Arial" w:hAnsi="Arial"/>
                <w:b/>
                <w:bCs/>
                <w:noProof/>
                <w:lang w:val="es-CR"/>
              </w:rPr>
              <w:t>Estado de Información Financiera por Segmentos</w:t>
            </w:r>
            <w:r w:rsidR="0091631A">
              <w:rPr>
                <w:noProof/>
                <w:webHidden/>
              </w:rPr>
              <w:tab/>
            </w:r>
            <w:r w:rsidR="0091631A">
              <w:rPr>
                <w:noProof/>
                <w:webHidden/>
              </w:rPr>
              <w:fldChar w:fldCharType="begin"/>
            </w:r>
            <w:r w:rsidR="0091631A">
              <w:rPr>
                <w:noProof/>
                <w:webHidden/>
              </w:rPr>
              <w:instrText xml:space="preserve"> PAGEREF _Toc172726320 \h </w:instrText>
            </w:r>
            <w:r w:rsidR="0091631A">
              <w:rPr>
                <w:noProof/>
                <w:webHidden/>
              </w:rPr>
            </w:r>
            <w:r w:rsidR="0091631A">
              <w:rPr>
                <w:noProof/>
                <w:webHidden/>
              </w:rPr>
              <w:fldChar w:fldCharType="separate"/>
            </w:r>
            <w:r w:rsidR="0091631A">
              <w:rPr>
                <w:noProof/>
                <w:webHidden/>
              </w:rPr>
              <w:t>252</w:t>
            </w:r>
            <w:r w:rsidR="0091631A">
              <w:rPr>
                <w:noProof/>
                <w:webHidden/>
              </w:rPr>
              <w:fldChar w:fldCharType="end"/>
            </w:r>
          </w:hyperlink>
        </w:p>
        <w:p w14:paraId="765A4078" w14:textId="1F63C1E9"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21" w:history="1">
            <w:r w:rsidR="0091631A" w:rsidRPr="00823710">
              <w:rPr>
                <w:rStyle w:val="Hipervnculo"/>
                <w:rFonts w:ascii="Arial" w:eastAsia="Arial" w:hAnsi="Arial"/>
                <w:b/>
                <w:bCs/>
                <w:noProof/>
                <w:lang w:val="es-CR"/>
              </w:rPr>
              <w:t>Estado de Situación y Evolución de Bienes (No Concesionados y Concesionados)</w:t>
            </w:r>
            <w:r w:rsidR="0091631A">
              <w:rPr>
                <w:noProof/>
                <w:webHidden/>
              </w:rPr>
              <w:tab/>
            </w:r>
            <w:r w:rsidR="0091631A">
              <w:rPr>
                <w:noProof/>
                <w:webHidden/>
              </w:rPr>
              <w:fldChar w:fldCharType="begin"/>
            </w:r>
            <w:r w:rsidR="0091631A">
              <w:rPr>
                <w:noProof/>
                <w:webHidden/>
              </w:rPr>
              <w:instrText xml:space="preserve"> PAGEREF _Toc172726321 \h </w:instrText>
            </w:r>
            <w:r w:rsidR="0091631A">
              <w:rPr>
                <w:noProof/>
                <w:webHidden/>
              </w:rPr>
            </w:r>
            <w:r w:rsidR="0091631A">
              <w:rPr>
                <w:noProof/>
                <w:webHidden/>
              </w:rPr>
              <w:fldChar w:fldCharType="separate"/>
            </w:r>
            <w:r w:rsidR="0091631A">
              <w:rPr>
                <w:noProof/>
                <w:webHidden/>
              </w:rPr>
              <w:t>260</w:t>
            </w:r>
            <w:r w:rsidR="0091631A">
              <w:rPr>
                <w:noProof/>
                <w:webHidden/>
              </w:rPr>
              <w:fldChar w:fldCharType="end"/>
            </w:r>
          </w:hyperlink>
        </w:p>
        <w:p w14:paraId="7F682756" w14:textId="04C458E0" w:rsidR="0091631A" w:rsidRDefault="009D13CC">
          <w:pPr>
            <w:pStyle w:val="TDC1"/>
            <w:rPr>
              <w:rFonts w:asciiTheme="minorHAnsi" w:eastAsiaTheme="minorEastAsia" w:hAnsiTheme="minorHAnsi" w:cstheme="minorBidi"/>
              <w:kern w:val="2"/>
              <w:sz w:val="24"/>
              <w:szCs w:val="24"/>
              <w:lang w:val="en-US"/>
              <w14:ligatures w14:val="standardContextual"/>
            </w:rPr>
          </w:pPr>
          <w:hyperlink w:anchor="_Toc172726322" w:history="1">
            <w:r w:rsidR="0091631A" w:rsidRPr="00823710">
              <w:rPr>
                <w:rStyle w:val="Hipervnculo"/>
                <w:rFonts w:ascii="Arial Narrow" w:hAnsi="Arial Narrow"/>
                <w:b/>
                <w:bCs/>
              </w:rPr>
              <w:t>CAPÍTULO</w:t>
            </w:r>
            <w:r w:rsidR="0091631A" w:rsidRPr="00823710">
              <w:rPr>
                <w:rStyle w:val="Hipervnculo"/>
                <w:b/>
                <w:bCs/>
              </w:rPr>
              <w:t xml:space="preserve"> </w:t>
            </w:r>
            <w:r w:rsidR="0091631A" w:rsidRPr="00823710">
              <w:rPr>
                <w:rStyle w:val="Hipervnculo"/>
                <w:rFonts w:ascii="Arial Narrow" w:hAnsi="Arial Narrow"/>
                <w:b/>
                <w:bCs/>
              </w:rPr>
              <w:t>VII</w:t>
            </w:r>
            <w:r w:rsidR="0091631A">
              <w:rPr>
                <w:webHidden/>
              </w:rPr>
              <w:tab/>
            </w:r>
            <w:r w:rsidR="0091631A">
              <w:rPr>
                <w:webHidden/>
              </w:rPr>
              <w:fldChar w:fldCharType="begin"/>
            </w:r>
            <w:r w:rsidR="0091631A">
              <w:rPr>
                <w:webHidden/>
              </w:rPr>
              <w:instrText xml:space="preserve"> PAGEREF _Toc172726322 \h </w:instrText>
            </w:r>
            <w:r w:rsidR="0091631A">
              <w:rPr>
                <w:webHidden/>
              </w:rPr>
            </w:r>
            <w:r w:rsidR="0091631A">
              <w:rPr>
                <w:webHidden/>
              </w:rPr>
              <w:fldChar w:fldCharType="separate"/>
            </w:r>
            <w:r w:rsidR="0091631A">
              <w:rPr>
                <w:webHidden/>
              </w:rPr>
              <w:t>261</w:t>
            </w:r>
            <w:r w:rsidR="0091631A">
              <w:rPr>
                <w:webHidden/>
              </w:rPr>
              <w:fldChar w:fldCharType="end"/>
            </w:r>
          </w:hyperlink>
        </w:p>
        <w:p w14:paraId="59BA163C" w14:textId="225B1D5B"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23" w:history="1">
            <w:r w:rsidR="0091631A" w:rsidRPr="00823710">
              <w:rPr>
                <w:rStyle w:val="Hipervnculo"/>
                <w:rFonts w:ascii="Arial" w:eastAsia="Arial" w:hAnsi="Arial"/>
                <w:b/>
                <w:bCs/>
                <w:noProof/>
                <w:lang w:val="es-CR"/>
              </w:rPr>
              <w:t xml:space="preserve">Políticas </w:t>
            </w:r>
            <w:r w:rsidR="0091631A" w:rsidRPr="00823710">
              <w:rPr>
                <w:rStyle w:val="Hipervnculo"/>
                <w:rFonts w:ascii="Arial" w:hAnsi="Arial"/>
                <w:b/>
                <w:bCs/>
                <w:noProof/>
                <w:lang w:val="es-CR"/>
              </w:rPr>
              <w:t>Contabl</w:t>
            </w:r>
            <w:r w:rsidR="0091631A" w:rsidRPr="00823710">
              <w:rPr>
                <w:rStyle w:val="Hipervnculo"/>
                <w:rFonts w:ascii="Arial" w:eastAsia="Arial" w:hAnsi="Arial"/>
                <w:b/>
                <w:bCs/>
                <w:noProof/>
                <w:lang w:val="es-CR"/>
              </w:rPr>
              <w:t>es</w:t>
            </w:r>
            <w:r w:rsidR="0091631A" w:rsidRPr="00823710">
              <w:rPr>
                <w:rStyle w:val="Hipervnculo"/>
                <w:rFonts w:ascii="Arial" w:hAnsi="Arial"/>
                <w:b/>
                <w:bCs/>
                <w:noProof/>
                <w:lang w:val="es-CR"/>
              </w:rPr>
              <w:t xml:space="preserve"> Generales</w:t>
            </w:r>
            <w:r w:rsidR="0091631A" w:rsidRPr="00823710">
              <w:rPr>
                <w:rStyle w:val="Hipervnculo"/>
                <w:rFonts w:ascii="Arial" w:eastAsia="Arial" w:hAnsi="Arial"/>
                <w:b/>
                <w:bCs/>
                <w:noProof/>
                <w:lang w:val="es-CR"/>
              </w:rPr>
              <w:t xml:space="preserve"> y Particulares</w:t>
            </w:r>
            <w:r w:rsidR="0091631A" w:rsidRPr="00823710">
              <w:rPr>
                <w:rStyle w:val="Hipervnculo"/>
                <w:rFonts w:ascii="Arial" w:hAnsi="Arial"/>
                <w:b/>
                <w:bCs/>
                <w:noProof/>
                <w:lang w:val="es-CR"/>
              </w:rPr>
              <w:t xml:space="preserve"> </w:t>
            </w:r>
            <w:r w:rsidR="0091631A" w:rsidRPr="00823710">
              <w:rPr>
                <w:rStyle w:val="Hipervnculo"/>
                <w:rFonts w:ascii="Arial" w:eastAsia="Arial" w:hAnsi="Arial"/>
                <w:b/>
                <w:bCs/>
                <w:noProof/>
                <w:lang w:val="es-CR"/>
              </w:rPr>
              <w:t>para la elaboración de Estados Financieros Consolidados</w:t>
            </w:r>
            <w:r w:rsidR="0091631A">
              <w:rPr>
                <w:noProof/>
                <w:webHidden/>
              </w:rPr>
              <w:tab/>
            </w:r>
            <w:r w:rsidR="0091631A">
              <w:rPr>
                <w:noProof/>
                <w:webHidden/>
              </w:rPr>
              <w:fldChar w:fldCharType="begin"/>
            </w:r>
            <w:r w:rsidR="0091631A">
              <w:rPr>
                <w:noProof/>
                <w:webHidden/>
              </w:rPr>
              <w:instrText xml:space="preserve"> PAGEREF _Toc172726323 \h </w:instrText>
            </w:r>
            <w:r w:rsidR="0091631A">
              <w:rPr>
                <w:noProof/>
                <w:webHidden/>
              </w:rPr>
            </w:r>
            <w:r w:rsidR="0091631A">
              <w:rPr>
                <w:noProof/>
                <w:webHidden/>
              </w:rPr>
              <w:fldChar w:fldCharType="separate"/>
            </w:r>
            <w:r w:rsidR="0091631A">
              <w:rPr>
                <w:noProof/>
                <w:webHidden/>
              </w:rPr>
              <w:t>261</w:t>
            </w:r>
            <w:r w:rsidR="0091631A">
              <w:rPr>
                <w:noProof/>
                <w:webHidden/>
              </w:rPr>
              <w:fldChar w:fldCharType="end"/>
            </w:r>
          </w:hyperlink>
        </w:p>
        <w:p w14:paraId="52F3EFB6" w14:textId="0FD3FB67"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24" w:history="1">
            <w:r w:rsidR="0091631A" w:rsidRPr="00823710">
              <w:rPr>
                <w:rStyle w:val="Hipervnculo"/>
                <w:rFonts w:ascii="Arial" w:eastAsia="Arial" w:hAnsi="Arial"/>
                <w:b/>
                <w:bCs/>
                <w:noProof/>
                <w:lang w:val="es-CR"/>
              </w:rPr>
              <w:t>7.</w:t>
            </w:r>
            <w:r w:rsidR="0091631A">
              <w:rPr>
                <w:rFonts w:asciiTheme="minorHAnsi" w:eastAsiaTheme="minorEastAsia" w:hAnsiTheme="minorHAnsi" w:cstheme="minorBidi"/>
                <w:noProof/>
                <w:kern w:val="2"/>
                <w:sz w:val="24"/>
                <w:szCs w:val="24"/>
                <w14:ligatures w14:val="standardContextual"/>
              </w:rPr>
              <w:tab/>
            </w:r>
            <w:r w:rsidR="0091631A" w:rsidRPr="00823710">
              <w:rPr>
                <w:rStyle w:val="Hipervnculo"/>
                <w:rFonts w:ascii="Arial" w:eastAsia="Arial" w:hAnsi="Arial"/>
                <w:b/>
                <w:bCs/>
                <w:noProof/>
                <w:lang w:val="es-CR"/>
              </w:rPr>
              <w:t>Estados Financieros (EEFFC)</w:t>
            </w:r>
            <w:r w:rsidR="0091631A">
              <w:rPr>
                <w:noProof/>
                <w:webHidden/>
              </w:rPr>
              <w:tab/>
            </w:r>
            <w:r w:rsidR="0091631A">
              <w:rPr>
                <w:noProof/>
                <w:webHidden/>
              </w:rPr>
              <w:fldChar w:fldCharType="begin"/>
            </w:r>
            <w:r w:rsidR="0091631A">
              <w:rPr>
                <w:noProof/>
                <w:webHidden/>
              </w:rPr>
              <w:instrText xml:space="preserve"> PAGEREF _Toc172726324 \h </w:instrText>
            </w:r>
            <w:r w:rsidR="0091631A">
              <w:rPr>
                <w:noProof/>
                <w:webHidden/>
              </w:rPr>
            </w:r>
            <w:r w:rsidR="0091631A">
              <w:rPr>
                <w:noProof/>
                <w:webHidden/>
              </w:rPr>
              <w:fldChar w:fldCharType="separate"/>
            </w:r>
            <w:r w:rsidR="0091631A">
              <w:rPr>
                <w:noProof/>
                <w:webHidden/>
              </w:rPr>
              <w:t>261</w:t>
            </w:r>
            <w:r w:rsidR="0091631A">
              <w:rPr>
                <w:noProof/>
                <w:webHidden/>
              </w:rPr>
              <w:fldChar w:fldCharType="end"/>
            </w:r>
          </w:hyperlink>
        </w:p>
        <w:p w14:paraId="733FF2E1" w14:textId="6A36E863"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25" w:history="1">
            <w:r w:rsidR="0091631A" w:rsidRPr="00823710">
              <w:rPr>
                <w:rStyle w:val="Hipervnculo"/>
                <w:rFonts w:ascii="Arial" w:eastAsia="Arial" w:hAnsi="Arial"/>
                <w:b/>
                <w:bCs/>
                <w:noProof/>
                <w:lang w:val="es-CR"/>
              </w:rPr>
              <w:t>Responsabilidad de emisión de los EEFFC</w:t>
            </w:r>
            <w:r w:rsidR="0091631A">
              <w:rPr>
                <w:noProof/>
                <w:webHidden/>
              </w:rPr>
              <w:tab/>
            </w:r>
            <w:r w:rsidR="0091631A">
              <w:rPr>
                <w:noProof/>
                <w:webHidden/>
              </w:rPr>
              <w:fldChar w:fldCharType="begin"/>
            </w:r>
            <w:r w:rsidR="0091631A">
              <w:rPr>
                <w:noProof/>
                <w:webHidden/>
              </w:rPr>
              <w:instrText xml:space="preserve"> PAGEREF _Toc172726325 \h </w:instrText>
            </w:r>
            <w:r w:rsidR="0091631A">
              <w:rPr>
                <w:noProof/>
                <w:webHidden/>
              </w:rPr>
            </w:r>
            <w:r w:rsidR="0091631A">
              <w:rPr>
                <w:noProof/>
                <w:webHidden/>
              </w:rPr>
              <w:fldChar w:fldCharType="separate"/>
            </w:r>
            <w:r w:rsidR="0091631A">
              <w:rPr>
                <w:noProof/>
                <w:webHidden/>
              </w:rPr>
              <w:t>261</w:t>
            </w:r>
            <w:r w:rsidR="0091631A">
              <w:rPr>
                <w:noProof/>
                <w:webHidden/>
              </w:rPr>
              <w:fldChar w:fldCharType="end"/>
            </w:r>
          </w:hyperlink>
        </w:p>
        <w:p w14:paraId="775592CD" w14:textId="5A9B9B2A"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26" w:history="1">
            <w:r w:rsidR="0091631A" w:rsidRPr="00823710">
              <w:rPr>
                <w:rStyle w:val="Hipervnculo"/>
                <w:rFonts w:ascii="Arial" w:eastAsia="Arial" w:hAnsi="Arial"/>
                <w:b/>
                <w:bCs/>
                <w:noProof/>
                <w:lang w:val="es-CR"/>
              </w:rPr>
              <w:t>Estructura Organizacional para la Consolidación</w:t>
            </w:r>
            <w:r w:rsidR="0091631A">
              <w:rPr>
                <w:noProof/>
                <w:webHidden/>
              </w:rPr>
              <w:tab/>
            </w:r>
            <w:r w:rsidR="0091631A">
              <w:rPr>
                <w:noProof/>
                <w:webHidden/>
              </w:rPr>
              <w:fldChar w:fldCharType="begin"/>
            </w:r>
            <w:r w:rsidR="0091631A">
              <w:rPr>
                <w:noProof/>
                <w:webHidden/>
              </w:rPr>
              <w:instrText xml:space="preserve"> PAGEREF _Toc172726326 \h </w:instrText>
            </w:r>
            <w:r w:rsidR="0091631A">
              <w:rPr>
                <w:noProof/>
                <w:webHidden/>
              </w:rPr>
            </w:r>
            <w:r w:rsidR="0091631A">
              <w:rPr>
                <w:noProof/>
                <w:webHidden/>
              </w:rPr>
              <w:fldChar w:fldCharType="separate"/>
            </w:r>
            <w:r w:rsidR="0091631A">
              <w:rPr>
                <w:noProof/>
                <w:webHidden/>
              </w:rPr>
              <w:t>262</w:t>
            </w:r>
            <w:r w:rsidR="0091631A">
              <w:rPr>
                <w:noProof/>
                <w:webHidden/>
              </w:rPr>
              <w:fldChar w:fldCharType="end"/>
            </w:r>
          </w:hyperlink>
        </w:p>
        <w:p w14:paraId="28EDC66C" w14:textId="4A8B1232" w:rsidR="0091631A" w:rsidRDefault="009D13CC">
          <w:pPr>
            <w:pStyle w:val="TDC2"/>
            <w:rPr>
              <w:rFonts w:asciiTheme="minorHAnsi" w:eastAsiaTheme="minorEastAsia" w:hAnsiTheme="minorHAnsi" w:cstheme="minorBidi"/>
              <w:noProof/>
              <w:kern w:val="2"/>
              <w:sz w:val="24"/>
              <w:szCs w:val="24"/>
              <w14:ligatures w14:val="standardContextual"/>
            </w:rPr>
          </w:pPr>
          <w:hyperlink w:anchor="_Toc172726327" w:history="1">
            <w:r w:rsidR="0091631A" w:rsidRPr="00823710">
              <w:rPr>
                <w:rStyle w:val="Hipervnculo"/>
                <w:rFonts w:ascii="Arial" w:eastAsia="Arial" w:hAnsi="Arial"/>
                <w:b/>
                <w:bCs/>
                <w:noProof/>
                <w:lang w:val="es-CR"/>
              </w:rPr>
              <w:t>Operaciones de Consolidación</w:t>
            </w:r>
            <w:r w:rsidR="0091631A">
              <w:rPr>
                <w:noProof/>
                <w:webHidden/>
              </w:rPr>
              <w:tab/>
            </w:r>
            <w:r w:rsidR="0091631A">
              <w:rPr>
                <w:noProof/>
                <w:webHidden/>
              </w:rPr>
              <w:fldChar w:fldCharType="begin"/>
            </w:r>
            <w:r w:rsidR="0091631A">
              <w:rPr>
                <w:noProof/>
                <w:webHidden/>
              </w:rPr>
              <w:instrText xml:space="preserve"> PAGEREF _Toc172726327 \h </w:instrText>
            </w:r>
            <w:r w:rsidR="0091631A">
              <w:rPr>
                <w:noProof/>
                <w:webHidden/>
              </w:rPr>
            </w:r>
            <w:r w:rsidR="0091631A">
              <w:rPr>
                <w:noProof/>
                <w:webHidden/>
              </w:rPr>
              <w:fldChar w:fldCharType="separate"/>
            </w:r>
            <w:r w:rsidR="0091631A">
              <w:rPr>
                <w:noProof/>
                <w:webHidden/>
              </w:rPr>
              <w:t>268</w:t>
            </w:r>
            <w:r w:rsidR="0091631A">
              <w:rPr>
                <w:noProof/>
                <w:webHidden/>
              </w:rPr>
              <w:fldChar w:fldCharType="end"/>
            </w:r>
          </w:hyperlink>
        </w:p>
        <w:p w14:paraId="52880312" w14:textId="44E1F221" w:rsidR="006609F0" w:rsidRPr="006D5125" w:rsidRDefault="006609F0" w:rsidP="006D5125">
          <w:pPr>
            <w:sectPr w:rsidR="006609F0" w:rsidRPr="006D5125" w:rsidSect="006D026E">
              <w:pgSz w:w="12240" w:h="15840"/>
              <w:pgMar w:top="1440" w:right="1440" w:bottom="146" w:left="1440" w:header="0" w:footer="0" w:gutter="0"/>
              <w:cols w:space="0" w:equalWidth="0">
                <w:col w:w="9360"/>
              </w:cols>
              <w:docGrid w:linePitch="360"/>
            </w:sectPr>
          </w:pPr>
          <w:r>
            <w:rPr>
              <w:b/>
              <w:bCs/>
              <w:noProof/>
            </w:rPr>
            <w:fldChar w:fldCharType="end"/>
          </w:r>
        </w:p>
      </w:sdtContent>
    </w:sdt>
    <w:p w14:paraId="5AEC1F57" w14:textId="41F78F22" w:rsidR="007377D0" w:rsidRPr="00DB0524" w:rsidRDefault="006609F0" w:rsidP="006D5125">
      <w:pPr>
        <w:pStyle w:val="Ttulo1"/>
        <w:rPr>
          <w:rFonts w:eastAsia="Arial"/>
          <w:lang w:val="es-CR"/>
        </w:rPr>
      </w:pPr>
      <w:bookmarkStart w:id="0" w:name="page2"/>
      <w:bookmarkStart w:id="1" w:name="page4"/>
      <w:bookmarkStart w:id="2" w:name="page7"/>
      <w:bookmarkStart w:id="3" w:name="_Toc172726188"/>
      <w:bookmarkEnd w:id="0"/>
      <w:bookmarkEnd w:id="1"/>
      <w:bookmarkEnd w:id="2"/>
      <w:r w:rsidRPr="006609F0">
        <w:rPr>
          <w:rFonts w:ascii="Arial Narrow" w:eastAsia="Arial" w:hAnsi="Arial Narrow" w:cs="Arial"/>
          <w:b/>
          <w:bCs/>
          <w:sz w:val="28"/>
          <w:szCs w:val="28"/>
          <w:lang w:val="es-CR"/>
        </w:rPr>
        <w:lastRenderedPageBreak/>
        <w:t>INTRODUCCIÓN</w:t>
      </w:r>
      <w:bookmarkEnd w:id="3"/>
    </w:p>
    <w:p w14:paraId="2F7B3AFA" w14:textId="77777777" w:rsidR="007377D0" w:rsidRPr="00DB0524" w:rsidRDefault="007377D0">
      <w:pPr>
        <w:spacing w:line="346" w:lineRule="exact"/>
        <w:rPr>
          <w:rFonts w:ascii="Arial" w:eastAsia="Times New Roman" w:hAnsi="Arial"/>
          <w:sz w:val="22"/>
          <w:szCs w:val="22"/>
          <w:lang w:val="es-CR"/>
        </w:rPr>
      </w:pPr>
    </w:p>
    <w:p w14:paraId="5491AD64" w14:textId="11E27CFC" w:rsidR="00307BC6" w:rsidRDefault="00905742">
      <w:pPr>
        <w:spacing w:line="238" w:lineRule="auto"/>
        <w:ind w:left="380" w:right="260"/>
        <w:jc w:val="both"/>
        <w:rPr>
          <w:rFonts w:ascii="Arial" w:eastAsia="Arial" w:hAnsi="Arial"/>
          <w:bCs/>
          <w:sz w:val="22"/>
          <w:szCs w:val="22"/>
          <w:lang w:val="es-CR"/>
        </w:rPr>
      </w:pPr>
      <w:r>
        <w:rPr>
          <w:rFonts w:ascii="Arial" w:eastAsia="Arial" w:hAnsi="Arial"/>
          <w:bCs/>
          <w:sz w:val="22"/>
          <w:szCs w:val="22"/>
          <w:lang w:val="es-CR"/>
        </w:rPr>
        <w:t xml:space="preserve">Desde inicios de este siglo la </w:t>
      </w:r>
      <w:r w:rsidR="008A4688" w:rsidRPr="00DB0524">
        <w:rPr>
          <w:rFonts w:ascii="Arial" w:eastAsia="Arial" w:hAnsi="Arial"/>
          <w:bCs/>
          <w:sz w:val="22"/>
          <w:szCs w:val="22"/>
          <w:lang w:val="es-CR"/>
        </w:rPr>
        <w:t>contab</w:t>
      </w:r>
      <w:r>
        <w:rPr>
          <w:rFonts w:ascii="Arial" w:eastAsia="Arial" w:hAnsi="Arial"/>
          <w:bCs/>
          <w:sz w:val="22"/>
          <w:szCs w:val="22"/>
          <w:lang w:val="es-CR"/>
        </w:rPr>
        <w:t>i</w:t>
      </w:r>
      <w:r w:rsidR="008A4688" w:rsidRPr="00DB0524">
        <w:rPr>
          <w:rFonts w:ascii="Arial" w:eastAsia="Arial" w:hAnsi="Arial"/>
          <w:bCs/>
          <w:sz w:val="22"/>
          <w:szCs w:val="22"/>
          <w:lang w:val="es-CR"/>
        </w:rPr>
        <w:t>l</w:t>
      </w:r>
      <w:r>
        <w:rPr>
          <w:rFonts w:ascii="Arial" w:eastAsia="Arial" w:hAnsi="Arial"/>
          <w:bCs/>
          <w:sz w:val="22"/>
          <w:szCs w:val="22"/>
          <w:lang w:val="es-CR"/>
        </w:rPr>
        <w:t xml:space="preserve">idad pública ha tenido un </w:t>
      </w:r>
      <w:r w:rsidR="000F29DC">
        <w:rPr>
          <w:rFonts w:ascii="Arial" w:eastAsia="Arial" w:hAnsi="Arial"/>
          <w:bCs/>
          <w:sz w:val="22"/>
          <w:szCs w:val="22"/>
          <w:lang w:val="es-CR"/>
        </w:rPr>
        <w:t>cambio</w:t>
      </w:r>
      <w:r>
        <w:rPr>
          <w:rFonts w:ascii="Arial" w:eastAsia="Arial" w:hAnsi="Arial"/>
          <w:bCs/>
          <w:sz w:val="22"/>
          <w:szCs w:val="22"/>
          <w:lang w:val="es-CR"/>
        </w:rPr>
        <w:t xml:space="preserve"> importante y se </w:t>
      </w:r>
      <w:r w:rsidR="006E4E8A">
        <w:rPr>
          <w:rFonts w:ascii="Arial" w:eastAsia="Arial" w:hAnsi="Arial"/>
          <w:bCs/>
          <w:sz w:val="22"/>
          <w:szCs w:val="22"/>
          <w:lang w:val="es-CR"/>
        </w:rPr>
        <w:t>ha</w:t>
      </w:r>
      <w:r>
        <w:rPr>
          <w:rFonts w:ascii="Arial" w:eastAsia="Arial" w:hAnsi="Arial"/>
          <w:bCs/>
          <w:sz w:val="22"/>
          <w:szCs w:val="22"/>
          <w:lang w:val="es-CR"/>
        </w:rPr>
        <w:t xml:space="preserve"> convertido en un elemento importante </w:t>
      </w:r>
      <w:r w:rsidR="008A4688" w:rsidRPr="00DB0524">
        <w:rPr>
          <w:rFonts w:ascii="Arial" w:eastAsia="Arial" w:hAnsi="Arial"/>
          <w:bCs/>
          <w:sz w:val="22"/>
          <w:szCs w:val="22"/>
          <w:lang w:val="es-CR"/>
        </w:rPr>
        <w:t xml:space="preserve">para la toma de decisiones </w:t>
      </w:r>
      <w:r w:rsidR="006E4E8A">
        <w:rPr>
          <w:rFonts w:ascii="Arial" w:eastAsia="Arial" w:hAnsi="Arial"/>
          <w:bCs/>
          <w:sz w:val="22"/>
          <w:szCs w:val="22"/>
          <w:lang w:val="es-CR"/>
        </w:rPr>
        <w:t xml:space="preserve">tanto </w:t>
      </w:r>
      <w:r w:rsidR="008A4688" w:rsidRPr="00DB0524">
        <w:rPr>
          <w:rFonts w:ascii="Arial" w:eastAsia="Arial" w:hAnsi="Arial"/>
          <w:bCs/>
          <w:sz w:val="22"/>
          <w:szCs w:val="22"/>
          <w:lang w:val="es-CR"/>
        </w:rPr>
        <w:t>de las altas autoridades de la</w:t>
      </w:r>
      <w:r>
        <w:rPr>
          <w:rFonts w:ascii="Arial" w:eastAsia="Arial" w:hAnsi="Arial"/>
          <w:bCs/>
          <w:sz w:val="22"/>
          <w:szCs w:val="22"/>
          <w:lang w:val="es-CR"/>
        </w:rPr>
        <w:t>s</w:t>
      </w:r>
      <w:r w:rsidR="008A4688" w:rsidRPr="00DB0524">
        <w:rPr>
          <w:rFonts w:ascii="Arial" w:eastAsia="Arial" w:hAnsi="Arial"/>
          <w:bCs/>
          <w:sz w:val="22"/>
          <w:szCs w:val="22"/>
          <w:lang w:val="es-CR"/>
        </w:rPr>
        <w:t xml:space="preserve"> instituci</w:t>
      </w:r>
      <w:r>
        <w:rPr>
          <w:rFonts w:ascii="Arial" w:eastAsia="Arial" w:hAnsi="Arial"/>
          <w:bCs/>
          <w:sz w:val="22"/>
          <w:szCs w:val="22"/>
          <w:lang w:val="es-CR"/>
        </w:rPr>
        <w:t>o</w:t>
      </w:r>
      <w:r w:rsidR="008A4688" w:rsidRPr="00DB0524">
        <w:rPr>
          <w:rFonts w:ascii="Arial" w:eastAsia="Arial" w:hAnsi="Arial"/>
          <w:bCs/>
          <w:sz w:val="22"/>
          <w:szCs w:val="22"/>
          <w:lang w:val="es-CR"/>
        </w:rPr>
        <w:t>n</w:t>
      </w:r>
      <w:r>
        <w:rPr>
          <w:rFonts w:ascii="Arial" w:eastAsia="Arial" w:hAnsi="Arial"/>
          <w:bCs/>
          <w:sz w:val="22"/>
          <w:szCs w:val="22"/>
          <w:lang w:val="es-CR"/>
        </w:rPr>
        <w:t>es</w:t>
      </w:r>
      <w:r w:rsidR="006E4E8A">
        <w:rPr>
          <w:rFonts w:ascii="Arial" w:eastAsia="Arial" w:hAnsi="Arial"/>
          <w:bCs/>
          <w:sz w:val="22"/>
          <w:szCs w:val="22"/>
          <w:lang w:val="es-CR"/>
        </w:rPr>
        <w:t>,</w:t>
      </w:r>
      <w:r w:rsidR="008A4688" w:rsidRPr="00DB0524">
        <w:rPr>
          <w:rFonts w:ascii="Arial" w:eastAsia="Arial" w:hAnsi="Arial"/>
          <w:bCs/>
          <w:sz w:val="22"/>
          <w:szCs w:val="22"/>
          <w:lang w:val="es-CR"/>
        </w:rPr>
        <w:t xml:space="preserve"> como de terceros </w:t>
      </w:r>
      <w:r>
        <w:rPr>
          <w:rFonts w:ascii="Arial" w:eastAsia="Arial" w:hAnsi="Arial"/>
          <w:bCs/>
          <w:sz w:val="22"/>
          <w:szCs w:val="22"/>
          <w:lang w:val="es-CR"/>
        </w:rPr>
        <w:t xml:space="preserve">interesados, por lo que </w:t>
      </w:r>
      <w:r w:rsidR="008A4688" w:rsidRPr="00DB0524">
        <w:rPr>
          <w:rFonts w:ascii="Arial" w:eastAsia="Arial" w:hAnsi="Arial"/>
          <w:bCs/>
          <w:sz w:val="22"/>
          <w:szCs w:val="22"/>
          <w:lang w:val="es-CR"/>
        </w:rPr>
        <w:t>debe cumplir con</w:t>
      </w:r>
      <w:r>
        <w:rPr>
          <w:rFonts w:ascii="Arial" w:eastAsia="Arial" w:hAnsi="Arial"/>
          <w:bCs/>
          <w:sz w:val="22"/>
          <w:szCs w:val="22"/>
          <w:lang w:val="es-CR"/>
        </w:rPr>
        <w:t xml:space="preserve"> altos </w:t>
      </w:r>
      <w:r w:rsidRPr="00DB0524">
        <w:rPr>
          <w:rFonts w:ascii="Arial" w:eastAsia="Arial" w:hAnsi="Arial"/>
          <w:bCs/>
          <w:sz w:val="22"/>
          <w:szCs w:val="22"/>
          <w:lang w:val="es-CR"/>
        </w:rPr>
        <w:t>estándares</w:t>
      </w:r>
      <w:r w:rsidR="008A4688" w:rsidRPr="00DB0524">
        <w:rPr>
          <w:rFonts w:ascii="Arial" w:eastAsia="Arial" w:hAnsi="Arial"/>
          <w:bCs/>
          <w:sz w:val="22"/>
          <w:szCs w:val="22"/>
          <w:lang w:val="es-CR"/>
        </w:rPr>
        <w:t xml:space="preserve"> </w:t>
      </w:r>
      <w:r>
        <w:rPr>
          <w:rFonts w:ascii="Arial" w:eastAsia="Arial" w:hAnsi="Arial"/>
          <w:bCs/>
          <w:sz w:val="22"/>
          <w:szCs w:val="22"/>
          <w:lang w:val="es-CR"/>
        </w:rPr>
        <w:t xml:space="preserve">de calidad </w:t>
      </w:r>
      <w:r w:rsidR="008A4688" w:rsidRPr="00DB0524">
        <w:rPr>
          <w:rFonts w:ascii="Arial" w:eastAsia="Arial" w:hAnsi="Arial"/>
          <w:bCs/>
          <w:sz w:val="22"/>
          <w:szCs w:val="22"/>
          <w:lang w:val="es-CR"/>
        </w:rPr>
        <w:t xml:space="preserve">internacional. </w:t>
      </w:r>
      <w:r w:rsidR="006E4E8A" w:rsidRPr="00DB0524">
        <w:rPr>
          <w:rFonts w:ascii="Arial" w:eastAsia="Arial" w:hAnsi="Arial"/>
          <w:bCs/>
          <w:sz w:val="22"/>
          <w:szCs w:val="22"/>
          <w:lang w:val="es-CR"/>
        </w:rPr>
        <w:t xml:space="preserve">La </w:t>
      </w:r>
      <w:r w:rsidR="006E4E8A">
        <w:rPr>
          <w:rFonts w:ascii="Arial" w:eastAsia="Arial" w:hAnsi="Arial"/>
          <w:bCs/>
          <w:sz w:val="22"/>
          <w:szCs w:val="22"/>
          <w:lang w:val="es-CR"/>
        </w:rPr>
        <w:t>utilización de ese tipo de estándares permite</w:t>
      </w:r>
      <w:r w:rsidR="00307BC6">
        <w:rPr>
          <w:rFonts w:ascii="Arial" w:eastAsia="Arial" w:hAnsi="Arial"/>
          <w:bCs/>
          <w:sz w:val="22"/>
          <w:szCs w:val="22"/>
          <w:lang w:val="es-CR"/>
        </w:rPr>
        <w:t xml:space="preserve"> a las administraciones contar con información </w:t>
      </w:r>
      <w:r w:rsidR="006E4E8A">
        <w:rPr>
          <w:rFonts w:ascii="Arial" w:eastAsia="Arial" w:hAnsi="Arial"/>
          <w:bCs/>
          <w:sz w:val="22"/>
          <w:szCs w:val="22"/>
          <w:lang w:val="es-CR"/>
        </w:rPr>
        <w:t xml:space="preserve">oportuna, confiable y </w:t>
      </w:r>
      <w:r w:rsidR="00307BC6">
        <w:rPr>
          <w:rFonts w:ascii="Arial" w:eastAsia="Arial" w:hAnsi="Arial"/>
          <w:bCs/>
          <w:sz w:val="22"/>
          <w:szCs w:val="22"/>
          <w:lang w:val="es-CR"/>
        </w:rPr>
        <w:t xml:space="preserve">pertinente para la adecuada rendición de cuentas, observando los principios de transparencia y </w:t>
      </w:r>
      <w:r w:rsidR="006E4E8A">
        <w:rPr>
          <w:rFonts w:ascii="Arial" w:eastAsia="Arial" w:hAnsi="Arial"/>
          <w:bCs/>
          <w:sz w:val="22"/>
          <w:szCs w:val="22"/>
          <w:lang w:val="es-CR"/>
        </w:rPr>
        <w:t>probidad</w:t>
      </w:r>
      <w:r w:rsidR="00307BC6">
        <w:rPr>
          <w:rFonts w:ascii="Arial" w:eastAsia="Arial" w:hAnsi="Arial"/>
          <w:bCs/>
          <w:sz w:val="22"/>
          <w:szCs w:val="22"/>
          <w:lang w:val="es-CR"/>
        </w:rPr>
        <w:t xml:space="preserve">. </w:t>
      </w:r>
    </w:p>
    <w:p w14:paraId="1F49B10D" w14:textId="77777777" w:rsidR="00307BC6" w:rsidRDefault="00307BC6">
      <w:pPr>
        <w:spacing w:line="238" w:lineRule="auto"/>
        <w:ind w:left="380" w:right="260"/>
        <w:jc w:val="both"/>
        <w:rPr>
          <w:rFonts w:ascii="Arial" w:eastAsia="Arial" w:hAnsi="Arial"/>
          <w:bCs/>
          <w:sz w:val="22"/>
          <w:szCs w:val="22"/>
          <w:lang w:val="es-CR"/>
        </w:rPr>
      </w:pPr>
    </w:p>
    <w:p w14:paraId="0941E363" w14:textId="77777777" w:rsidR="007377D0" w:rsidRPr="00DB0524" w:rsidRDefault="008A4688">
      <w:pPr>
        <w:spacing w:line="263" w:lineRule="auto"/>
        <w:ind w:left="380" w:right="260"/>
        <w:jc w:val="both"/>
        <w:rPr>
          <w:rFonts w:ascii="Arial" w:eastAsia="Arial" w:hAnsi="Arial"/>
          <w:bCs/>
          <w:sz w:val="22"/>
          <w:szCs w:val="22"/>
          <w:lang w:val="es-CR"/>
        </w:rPr>
      </w:pPr>
      <w:r w:rsidRPr="00DB0524">
        <w:rPr>
          <w:rFonts w:ascii="Arial" w:eastAsia="Arial" w:hAnsi="Arial"/>
          <w:bCs/>
          <w:sz w:val="22"/>
          <w:szCs w:val="22"/>
          <w:lang w:val="es-CR"/>
        </w:rPr>
        <w:t>Ante la necesidad de modernizar la gestión pública, se requiere el desarrollo y aplicación de normas contables profesionales válidas para todos los entes del Sector Público, estableciendo en primer lugar el marco general para su aplicación, en el que se sustentarán las normas contables generales y específicas que se emitan complementariamente para la Administración Pública. Para tal fin, corresponde partir del método deductivo de razonamiento contable, es decir, un sistema desarrollado a partir de objetivos y premisas básicas y, partiendo de los mismos, deducir principios lógicos que proporcionen las bases esenciales para aplicaciones contables concretas y prácticas.</w:t>
      </w:r>
    </w:p>
    <w:p w14:paraId="3FBD1306" w14:textId="77777777" w:rsidR="007377D0" w:rsidRPr="00DB0524" w:rsidRDefault="007377D0">
      <w:pPr>
        <w:spacing w:line="287" w:lineRule="exact"/>
        <w:rPr>
          <w:rFonts w:ascii="Arial" w:eastAsia="Times New Roman" w:hAnsi="Arial"/>
          <w:bCs/>
          <w:sz w:val="22"/>
          <w:szCs w:val="22"/>
          <w:lang w:val="es-CR"/>
        </w:rPr>
      </w:pPr>
    </w:p>
    <w:p w14:paraId="538FA0A6" w14:textId="77777777" w:rsidR="007377D0" w:rsidRPr="00DB0524" w:rsidRDefault="008A4688">
      <w:pPr>
        <w:spacing w:line="239" w:lineRule="auto"/>
        <w:ind w:left="380" w:right="260"/>
        <w:jc w:val="both"/>
        <w:rPr>
          <w:rFonts w:ascii="Arial" w:eastAsia="Arial" w:hAnsi="Arial"/>
          <w:bCs/>
          <w:sz w:val="22"/>
          <w:szCs w:val="22"/>
          <w:lang w:val="es-CR"/>
        </w:rPr>
      </w:pPr>
      <w:r w:rsidRPr="00DB0524">
        <w:rPr>
          <w:rFonts w:ascii="Arial" w:eastAsia="Arial" w:hAnsi="Arial"/>
          <w:bCs/>
          <w:sz w:val="22"/>
          <w:szCs w:val="22"/>
          <w:lang w:val="es-CR"/>
        </w:rPr>
        <w:t>En este sentido y en cumplimiento por lo establecido por la Ley N° 8131 “Ley de la Administración Financiera de la República y Presupuestos Públicos (LAFRPP)” y su Reglamento, y a lo expuesto en los Decretos N° 34918-H, N° 39665-MH y N° 41039-MH y el Título IV de la Ley 9635, a través de los cuales se aprueba la adopción de Normas Internacionales de Contabilidad para el Sector Público (NICSP), de tal forma que permita acrecentar tanto la calidad como la comparabilidad de la información financiera presentada por las entidades del Sector Público.</w:t>
      </w:r>
    </w:p>
    <w:p w14:paraId="4812E77B" w14:textId="77777777" w:rsidR="007377D0" w:rsidRPr="00DB0524" w:rsidRDefault="007377D0">
      <w:pPr>
        <w:spacing w:line="200" w:lineRule="exact"/>
        <w:rPr>
          <w:rFonts w:ascii="Arial" w:eastAsia="Times New Roman" w:hAnsi="Arial"/>
          <w:bCs/>
          <w:sz w:val="22"/>
          <w:szCs w:val="22"/>
          <w:lang w:val="es-CR"/>
        </w:rPr>
      </w:pPr>
    </w:p>
    <w:p w14:paraId="18473819" w14:textId="77777777" w:rsidR="007377D0" w:rsidRPr="00DB0524" w:rsidRDefault="007377D0">
      <w:pPr>
        <w:spacing w:line="220" w:lineRule="exact"/>
        <w:rPr>
          <w:rFonts w:ascii="Arial" w:eastAsia="Times New Roman" w:hAnsi="Arial"/>
          <w:bCs/>
          <w:sz w:val="22"/>
          <w:szCs w:val="22"/>
          <w:lang w:val="es-CR"/>
        </w:rPr>
      </w:pPr>
    </w:p>
    <w:p w14:paraId="7F3FC576" w14:textId="23A74EAE" w:rsidR="007377D0" w:rsidRPr="00DB0524" w:rsidRDefault="008A4688">
      <w:pPr>
        <w:spacing w:line="250" w:lineRule="auto"/>
        <w:ind w:left="380" w:right="260"/>
        <w:jc w:val="both"/>
        <w:rPr>
          <w:rFonts w:ascii="Arial" w:eastAsia="Arial" w:hAnsi="Arial"/>
          <w:bCs/>
          <w:sz w:val="22"/>
          <w:szCs w:val="22"/>
          <w:lang w:val="es-CR"/>
        </w:rPr>
      </w:pPr>
      <w:r w:rsidRPr="00DB0524">
        <w:rPr>
          <w:rFonts w:ascii="Arial" w:eastAsia="Arial" w:hAnsi="Arial"/>
          <w:bCs/>
          <w:sz w:val="22"/>
          <w:szCs w:val="22"/>
          <w:lang w:val="es-CR"/>
        </w:rPr>
        <w:t xml:space="preserve">En virtud de la norma vigente, se hace necesario contar con un Plan Específico de Contabilidad para </w:t>
      </w:r>
      <w:r w:rsidR="002E3D70" w:rsidRPr="00DB0524">
        <w:rPr>
          <w:rFonts w:ascii="Arial" w:eastAsia="Arial" w:hAnsi="Arial"/>
          <w:bCs/>
          <w:sz w:val="22"/>
          <w:szCs w:val="22"/>
          <w:lang w:val="es-CR"/>
        </w:rPr>
        <w:t xml:space="preserve">la </w:t>
      </w:r>
      <w:r w:rsidR="000F29DC">
        <w:rPr>
          <w:rFonts w:ascii="Arial" w:eastAsia="Arial" w:hAnsi="Arial"/>
          <w:bCs/>
          <w:sz w:val="22"/>
          <w:szCs w:val="22"/>
          <w:lang w:val="es-CR"/>
        </w:rPr>
        <w:t>MBA</w:t>
      </w:r>
      <w:r w:rsidRPr="00DB0524">
        <w:rPr>
          <w:rFonts w:ascii="Arial" w:eastAsia="Arial" w:hAnsi="Arial"/>
          <w:bCs/>
          <w:sz w:val="22"/>
          <w:szCs w:val="22"/>
          <w:lang w:val="es-CR"/>
        </w:rPr>
        <w:t>, y en nuestro caso, se adoptan como propias las Políticas Generales de Contabilidad Nacional (PGCN) de tal forma que permita ser una guía del quehacer en esta materia. Con esta adopción y el establecimiento de las Políticas específicas, deseamos contar con “un sistema coherente de objetivos y fundamentos interrelacionados que se espera guiarán la elaboración de normas consistentes y que prescribirán la naturaleza, función y límites de la contabilidad e información financiera” tal y como lo establece Consejo de Normas de Contabilidad Financiera (FASB por su sigla en inglés)</w:t>
      </w:r>
    </w:p>
    <w:p w14:paraId="4C872A6A" w14:textId="77777777" w:rsidR="007377D0" w:rsidRPr="00DB0524" w:rsidRDefault="007377D0">
      <w:pPr>
        <w:spacing w:line="250" w:lineRule="auto"/>
        <w:ind w:left="380" w:right="260"/>
        <w:jc w:val="both"/>
        <w:rPr>
          <w:rFonts w:ascii="Arial" w:eastAsia="Arial" w:hAnsi="Arial"/>
          <w:bCs/>
          <w:sz w:val="22"/>
          <w:szCs w:val="22"/>
          <w:lang w:val="es-CR"/>
        </w:rPr>
        <w:sectPr w:rsidR="007377D0" w:rsidRPr="00DB0524" w:rsidSect="006D026E">
          <w:pgSz w:w="12240" w:h="15840"/>
          <w:pgMar w:top="1440" w:right="1440" w:bottom="168" w:left="1440" w:header="0" w:footer="0" w:gutter="0"/>
          <w:cols w:space="0" w:equalWidth="0">
            <w:col w:w="9360"/>
          </w:cols>
          <w:docGrid w:linePitch="360"/>
        </w:sectPr>
      </w:pPr>
    </w:p>
    <w:p w14:paraId="787309BC" w14:textId="77777777" w:rsidR="007377D0" w:rsidRPr="00DB0524" w:rsidRDefault="007377D0">
      <w:pPr>
        <w:spacing w:line="200" w:lineRule="exact"/>
        <w:rPr>
          <w:rFonts w:ascii="Arial" w:eastAsia="Times New Roman" w:hAnsi="Arial"/>
          <w:bCs/>
          <w:sz w:val="22"/>
          <w:szCs w:val="22"/>
          <w:lang w:val="es-CR"/>
        </w:rPr>
      </w:pPr>
    </w:p>
    <w:p w14:paraId="70495A58" w14:textId="77777777" w:rsidR="007377D0" w:rsidRPr="00DB0524" w:rsidRDefault="007377D0">
      <w:pPr>
        <w:spacing w:line="200" w:lineRule="exact"/>
        <w:rPr>
          <w:rFonts w:ascii="Arial" w:eastAsia="Times New Roman" w:hAnsi="Arial"/>
          <w:bCs/>
          <w:sz w:val="22"/>
          <w:szCs w:val="22"/>
          <w:lang w:val="es-CR"/>
        </w:rPr>
      </w:pPr>
    </w:p>
    <w:p w14:paraId="491BD548" w14:textId="77777777" w:rsidR="007377D0" w:rsidRPr="00DB0524" w:rsidRDefault="007377D0">
      <w:pPr>
        <w:spacing w:line="200" w:lineRule="exact"/>
        <w:rPr>
          <w:rFonts w:ascii="Arial" w:eastAsia="Times New Roman" w:hAnsi="Arial"/>
          <w:bCs/>
          <w:sz w:val="22"/>
          <w:szCs w:val="22"/>
          <w:lang w:val="es-CR"/>
        </w:rPr>
      </w:pPr>
    </w:p>
    <w:p w14:paraId="4BD219FA" w14:textId="77777777" w:rsidR="007377D0" w:rsidRPr="00DB0524" w:rsidRDefault="007377D0">
      <w:pPr>
        <w:spacing w:line="200" w:lineRule="exact"/>
        <w:rPr>
          <w:rFonts w:ascii="Arial" w:eastAsia="Times New Roman" w:hAnsi="Arial"/>
          <w:bCs/>
          <w:sz w:val="22"/>
          <w:szCs w:val="22"/>
          <w:lang w:val="es-CR"/>
        </w:rPr>
      </w:pPr>
    </w:p>
    <w:p w14:paraId="563B5819" w14:textId="77777777" w:rsidR="007377D0" w:rsidRPr="00DB0524" w:rsidRDefault="007377D0">
      <w:pPr>
        <w:spacing w:line="200" w:lineRule="exact"/>
        <w:rPr>
          <w:rFonts w:ascii="Arial" w:eastAsia="Times New Roman" w:hAnsi="Arial"/>
          <w:sz w:val="22"/>
          <w:szCs w:val="22"/>
          <w:lang w:val="es-CR"/>
        </w:rPr>
      </w:pPr>
    </w:p>
    <w:p w14:paraId="3DAF8D7A" w14:textId="77777777" w:rsidR="007377D0" w:rsidRPr="00DB0524" w:rsidRDefault="007377D0">
      <w:pPr>
        <w:spacing w:line="200" w:lineRule="exact"/>
        <w:rPr>
          <w:rFonts w:ascii="Arial" w:eastAsia="Times New Roman" w:hAnsi="Arial"/>
          <w:sz w:val="22"/>
          <w:szCs w:val="22"/>
          <w:lang w:val="es-CR"/>
        </w:rPr>
      </w:pPr>
    </w:p>
    <w:p w14:paraId="12D3455C" w14:textId="77777777" w:rsidR="007377D0" w:rsidRPr="00DB0524" w:rsidRDefault="007377D0">
      <w:pPr>
        <w:spacing w:line="200" w:lineRule="exact"/>
        <w:rPr>
          <w:rFonts w:ascii="Arial" w:eastAsia="Times New Roman" w:hAnsi="Arial"/>
          <w:sz w:val="22"/>
          <w:szCs w:val="22"/>
          <w:lang w:val="es-CR"/>
        </w:rPr>
      </w:pPr>
    </w:p>
    <w:p w14:paraId="4E188B33" w14:textId="77777777" w:rsidR="007377D0" w:rsidRPr="00DB0524" w:rsidRDefault="007377D0">
      <w:pPr>
        <w:spacing w:line="200" w:lineRule="exact"/>
        <w:rPr>
          <w:rFonts w:ascii="Arial" w:eastAsia="Times New Roman" w:hAnsi="Arial"/>
          <w:sz w:val="22"/>
          <w:szCs w:val="22"/>
          <w:lang w:val="es-CR"/>
        </w:rPr>
      </w:pPr>
    </w:p>
    <w:p w14:paraId="1EA106E2" w14:textId="77777777" w:rsidR="007377D0" w:rsidRPr="00DB0524" w:rsidRDefault="007377D0">
      <w:pPr>
        <w:spacing w:line="200" w:lineRule="exact"/>
        <w:rPr>
          <w:rFonts w:ascii="Arial" w:eastAsia="Times New Roman" w:hAnsi="Arial"/>
          <w:sz w:val="22"/>
          <w:szCs w:val="22"/>
          <w:lang w:val="es-CR"/>
        </w:rPr>
      </w:pPr>
    </w:p>
    <w:p w14:paraId="10897A0B" w14:textId="7C4495EC" w:rsidR="007377D0" w:rsidRPr="00DB0524" w:rsidRDefault="007377D0">
      <w:pPr>
        <w:spacing w:line="20" w:lineRule="exact"/>
        <w:rPr>
          <w:rFonts w:ascii="Arial" w:eastAsia="Times New Roman" w:hAnsi="Arial"/>
          <w:sz w:val="22"/>
          <w:szCs w:val="22"/>
          <w:lang w:val="es-CR"/>
        </w:rPr>
      </w:pPr>
    </w:p>
    <w:p w14:paraId="051BC15B" w14:textId="77777777" w:rsidR="007377D0" w:rsidRPr="00DB0524" w:rsidRDefault="007377D0">
      <w:pPr>
        <w:spacing w:line="20" w:lineRule="exact"/>
        <w:rPr>
          <w:rFonts w:ascii="Arial" w:eastAsia="Times New Roman" w:hAnsi="Arial"/>
          <w:sz w:val="22"/>
          <w:szCs w:val="22"/>
          <w:lang w:val="es-CR"/>
        </w:rPr>
        <w:sectPr w:rsidR="007377D0" w:rsidRPr="00DB0524" w:rsidSect="006D026E">
          <w:type w:val="continuous"/>
          <w:pgSz w:w="12240" w:h="15840"/>
          <w:pgMar w:top="1440" w:right="1440" w:bottom="168" w:left="1440" w:header="0" w:footer="0" w:gutter="0"/>
          <w:cols w:space="0" w:equalWidth="0">
            <w:col w:w="9360"/>
          </w:cols>
          <w:docGrid w:linePitch="360"/>
        </w:sectPr>
      </w:pPr>
    </w:p>
    <w:p w14:paraId="14D56CDE" w14:textId="6E387A97" w:rsidR="007377D0" w:rsidRPr="00DB0524" w:rsidRDefault="007377D0">
      <w:pPr>
        <w:spacing w:line="261" w:lineRule="exact"/>
        <w:rPr>
          <w:rFonts w:ascii="Arial" w:eastAsia="Times New Roman" w:hAnsi="Arial"/>
          <w:sz w:val="22"/>
          <w:szCs w:val="22"/>
          <w:lang w:val="es-CR"/>
        </w:rPr>
      </w:pPr>
      <w:bookmarkStart w:id="4" w:name="page8"/>
      <w:bookmarkEnd w:id="4"/>
    </w:p>
    <w:p w14:paraId="5ABE4BF3" w14:textId="112D5EF3" w:rsidR="007377D0" w:rsidRPr="00DB0524" w:rsidRDefault="008A4688">
      <w:pPr>
        <w:spacing w:line="0" w:lineRule="atLeast"/>
        <w:ind w:left="380"/>
        <w:rPr>
          <w:rFonts w:ascii="Arial" w:eastAsia="Arial" w:hAnsi="Arial"/>
          <w:bCs/>
          <w:sz w:val="22"/>
          <w:szCs w:val="22"/>
          <w:lang w:val="es-CR"/>
        </w:rPr>
      </w:pPr>
      <w:r w:rsidRPr="00DB0524">
        <w:rPr>
          <w:rFonts w:ascii="Arial" w:eastAsia="Arial" w:hAnsi="Arial"/>
          <w:bCs/>
          <w:sz w:val="22"/>
          <w:szCs w:val="22"/>
          <w:lang w:val="es-CR"/>
        </w:rPr>
        <w:t xml:space="preserve">El presente </w:t>
      </w:r>
      <w:r w:rsidR="00D50E43" w:rsidRPr="00DB0524">
        <w:rPr>
          <w:rFonts w:ascii="Arial" w:eastAsia="Arial" w:hAnsi="Arial"/>
          <w:bCs/>
          <w:sz w:val="22"/>
          <w:szCs w:val="22"/>
          <w:lang w:val="es-CR"/>
        </w:rPr>
        <w:t>manual está</w:t>
      </w:r>
      <w:r w:rsidRPr="00DB0524">
        <w:rPr>
          <w:rFonts w:ascii="Arial" w:eastAsia="Arial" w:hAnsi="Arial"/>
          <w:bCs/>
          <w:sz w:val="22"/>
          <w:szCs w:val="22"/>
          <w:lang w:val="es-CR"/>
        </w:rPr>
        <w:t xml:space="preserve"> estructura</w:t>
      </w:r>
      <w:r w:rsidR="00D50E43" w:rsidRPr="00DB0524">
        <w:rPr>
          <w:rFonts w:ascii="Arial" w:eastAsia="Arial" w:hAnsi="Arial"/>
          <w:bCs/>
          <w:sz w:val="22"/>
          <w:szCs w:val="22"/>
          <w:lang w:val="es-CR"/>
        </w:rPr>
        <w:t>do</w:t>
      </w:r>
      <w:r w:rsidRPr="00DB0524">
        <w:rPr>
          <w:rFonts w:ascii="Arial" w:eastAsia="Arial" w:hAnsi="Arial"/>
          <w:bCs/>
          <w:sz w:val="22"/>
          <w:szCs w:val="22"/>
          <w:lang w:val="es-CR"/>
        </w:rPr>
        <w:t xml:space="preserve"> de </w:t>
      </w:r>
      <w:r w:rsidR="00D50E43" w:rsidRPr="00DB0524">
        <w:rPr>
          <w:rFonts w:ascii="Arial" w:eastAsia="Arial" w:hAnsi="Arial"/>
          <w:bCs/>
          <w:sz w:val="22"/>
          <w:szCs w:val="22"/>
          <w:lang w:val="es-CR"/>
        </w:rPr>
        <w:t>acuerdo con los diferentes componentes de los estados financieros de la siguiente manera</w:t>
      </w:r>
      <w:r w:rsidRPr="00DB0524">
        <w:rPr>
          <w:rFonts w:ascii="Arial" w:eastAsia="Arial" w:hAnsi="Arial"/>
          <w:bCs/>
          <w:sz w:val="22"/>
          <w:szCs w:val="22"/>
          <w:lang w:val="es-CR"/>
        </w:rPr>
        <w:t>:</w:t>
      </w:r>
    </w:p>
    <w:p w14:paraId="5174982C" w14:textId="77777777" w:rsidR="007377D0" w:rsidRPr="00DB0524" w:rsidRDefault="007377D0">
      <w:pPr>
        <w:spacing w:line="146" w:lineRule="exact"/>
        <w:rPr>
          <w:rFonts w:ascii="Arial" w:eastAsia="Times New Roman" w:hAnsi="Arial"/>
          <w:sz w:val="22"/>
          <w:szCs w:val="22"/>
          <w:lang w:val="es-CR"/>
        </w:rPr>
      </w:pPr>
    </w:p>
    <w:p w14:paraId="00FEA33C" w14:textId="6F65342A" w:rsidR="007377D0" w:rsidRPr="00DB0524" w:rsidRDefault="008A4688" w:rsidP="00CD0039">
      <w:pPr>
        <w:spacing w:line="235" w:lineRule="auto"/>
        <w:ind w:left="380" w:right="280"/>
        <w:jc w:val="both"/>
        <w:rPr>
          <w:rFonts w:ascii="Arial" w:eastAsia="Arial" w:hAnsi="Arial"/>
          <w:b/>
          <w:sz w:val="22"/>
          <w:szCs w:val="22"/>
          <w:lang w:val="es-CR"/>
        </w:rPr>
      </w:pPr>
      <w:r w:rsidRPr="00DB0524">
        <w:rPr>
          <w:rFonts w:ascii="Arial" w:eastAsia="Arial" w:hAnsi="Arial"/>
          <w:b/>
          <w:sz w:val="22"/>
          <w:szCs w:val="22"/>
          <w:u w:val="single"/>
          <w:lang w:val="es-CR"/>
        </w:rPr>
        <w:t>Capítulo I</w:t>
      </w:r>
      <w:r w:rsidRPr="00DB0524">
        <w:rPr>
          <w:rFonts w:ascii="Arial" w:eastAsia="Arial" w:hAnsi="Arial"/>
          <w:b/>
          <w:sz w:val="22"/>
          <w:szCs w:val="22"/>
          <w:lang w:val="es-CR"/>
        </w:rPr>
        <w:t xml:space="preserve">: </w:t>
      </w:r>
      <w:r w:rsidR="00CD0039" w:rsidRPr="00DB0524">
        <w:rPr>
          <w:rFonts w:ascii="Arial" w:eastAsia="Arial" w:hAnsi="Arial"/>
          <w:b/>
          <w:sz w:val="22"/>
          <w:szCs w:val="22"/>
          <w:lang w:val="es-CR"/>
        </w:rPr>
        <w:t xml:space="preserve">Normas Específicas de Contabilidad y Políticas Contables para la </w:t>
      </w:r>
      <w:r w:rsidR="000F29DC">
        <w:rPr>
          <w:rFonts w:ascii="Arial" w:eastAsia="Arial" w:hAnsi="Arial"/>
          <w:b/>
          <w:sz w:val="22"/>
          <w:szCs w:val="22"/>
          <w:lang w:val="es-CR"/>
        </w:rPr>
        <w:t>MBA</w:t>
      </w:r>
      <w:r w:rsidR="00CD0039" w:rsidRPr="00DB0524">
        <w:rPr>
          <w:rFonts w:ascii="Arial" w:eastAsia="Arial" w:hAnsi="Arial"/>
          <w:b/>
          <w:sz w:val="22"/>
          <w:szCs w:val="22"/>
          <w:lang w:val="es-CR"/>
        </w:rPr>
        <w:t xml:space="preserve"> relacionadas con el Activo. </w:t>
      </w:r>
      <w:r w:rsidRPr="00DB0524">
        <w:rPr>
          <w:rFonts w:ascii="Arial" w:eastAsia="Arial" w:hAnsi="Arial"/>
          <w:bCs/>
          <w:sz w:val="22"/>
          <w:szCs w:val="22"/>
          <w:lang w:val="es-CR"/>
        </w:rPr>
        <w:t xml:space="preserve">Normas Específicas de Contabilidad y Políticas Contables para las partidas del activo de acuerdo con NICSP o, en su defecto, </w:t>
      </w:r>
      <w:r w:rsidR="00D50E43" w:rsidRPr="00DB0524">
        <w:rPr>
          <w:rFonts w:ascii="Arial" w:eastAsia="Arial" w:hAnsi="Arial"/>
          <w:bCs/>
          <w:sz w:val="22"/>
          <w:szCs w:val="22"/>
          <w:lang w:val="es-CR"/>
        </w:rPr>
        <w:t xml:space="preserve">por la </w:t>
      </w:r>
      <w:r w:rsidRPr="00DB0524">
        <w:rPr>
          <w:rFonts w:ascii="Arial" w:eastAsia="Arial" w:hAnsi="Arial"/>
          <w:bCs/>
          <w:sz w:val="22"/>
          <w:szCs w:val="22"/>
          <w:lang w:val="es-CR"/>
        </w:rPr>
        <w:t>norma</w:t>
      </w:r>
      <w:r w:rsidR="00D50E43" w:rsidRPr="00DB0524">
        <w:rPr>
          <w:rFonts w:ascii="Arial" w:eastAsia="Arial" w:hAnsi="Arial"/>
          <w:bCs/>
          <w:sz w:val="22"/>
          <w:szCs w:val="22"/>
          <w:lang w:val="es-CR"/>
        </w:rPr>
        <w:t xml:space="preserve">tiva emitida por </w:t>
      </w:r>
      <w:r w:rsidRPr="00DB0524">
        <w:rPr>
          <w:rFonts w:ascii="Arial" w:eastAsia="Arial" w:hAnsi="Arial"/>
          <w:bCs/>
          <w:sz w:val="22"/>
          <w:szCs w:val="22"/>
          <w:lang w:val="es-CR"/>
        </w:rPr>
        <w:t xml:space="preserve">la DGCN y </w:t>
      </w:r>
      <w:r w:rsidR="00D50E43" w:rsidRPr="00DB0524">
        <w:rPr>
          <w:rFonts w:ascii="Arial" w:eastAsia="Arial" w:hAnsi="Arial"/>
          <w:bCs/>
          <w:sz w:val="22"/>
          <w:szCs w:val="22"/>
          <w:lang w:val="es-CR"/>
        </w:rPr>
        <w:t xml:space="preserve">la </w:t>
      </w:r>
      <w:r w:rsidRPr="00DB0524">
        <w:rPr>
          <w:rFonts w:ascii="Arial" w:eastAsia="Arial" w:hAnsi="Arial"/>
          <w:bCs/>
          <w:sz w:val="22"/>
          <w:szCs w:val="22"/>
          <w:lang w:val="es-CR"/>
        </w:rPr>
        <w:t>normativa interna vigente de la institución.</w:t>
      </w:r>
    </w:p>
    <w:p w14:paraId="43C8E0B4" w14:textId="77777777" w:rsidR="007377D0" w:rsidRPr="00DB0524" w:rsidRDefault="007377D0">
      <w:pPr>
        <w:spacing w:line="285" w:lineRule="exact"/>
        <w:rPr>
          <w:rFonts w:ascii="Arial" w:eastAsia="Times New Roman" w:hAnsi="Arial"/>
          <w:sz w:val="22"/>
          <w:szCs w:val="22"/>
          <w:lang w:val="es-CR"/>
        </w:rPr>
      </w:pPr>
    </w:p>
    <w:p w14:paraId="0C61442B" w14:textId="48F429FD" w:rsidR="007377D0" w:rsidRPr="00DB0524" w:rsidRDefault="008A4688">
      <w:pPr>
        <w:spacing w:line="238" w:lineRule="auto"/>
        <w:ind w:left="380" w:right="260"/>
        <w:jc w:val="both"/>
        <w:rPr>
          <w:rFonts w:ascii="Arial" w:eastAsia="Arial" w:hAnsi="Arial"/>
          <w:b/>
          <w:sz w:val="22"/>
          <w:szCs w:val="22"/>
          <w:lang w:val="es-CR"/>
        </w:rPr>
      </w:pPr>
      <w:r w:rsidRPr="00DB0524">
        <w:rPr>
          <w:rFonts w:ascii="Arial" w:eastAsia="Arial" w:hAnsi="Arial"/>
          <w:b/>
          <w:sz w:val="22"/>
          <w:szCs w:val="22"/>
          <w:u w:val="single"/>
          <w:lang w:val="es-CR"/>
        </w:rPr>
        <w:t>Capítulo II</w:t>
      </w:r>
      <w:r w:rsidRPr="00DB0524">
        <w:rPr>
          <w:rFonts w:ascii="Arial" w:eastAsia="Arial" w:hAnsi="Arial"/>
          <w:b/>
          <w:sz w:val="22"/>
          <w:szCs w:val="22"/>
          <w:lang w:val="es-CR"/>
        </w:rPr>
        <w:t xml:space="preserve">: </w:t>
      </w:r>
      <w:r w:rsidR="00CD0039" w:rsidRPr="00DB0524">
        <w:rPr>
          <w:rFonts w:ascii="Arial" w:eastAsia="Arial" w:hAnsi="Arial"/>
          <w:b/>
          <w:sz w:val="22"/>
          <w:szCs w:val="22"/>
          <w:lang w:val="es-CR"/>
        </w:rPr>
        <w:t xml:space="preserve">Normas Específicas de Contabilidad y Políticas Contables para la </w:t>
      </w:r>
      <w:r w:rsidR="000F29DC">
        <w:rPr>
          <w:rFonts w:ascii="Arial" w:eastAsia="Arial" w:hAnsi="Arial"/>
          <w:b/>
          <w:sz w:val="22"/>
          <w:szCs w:val="22"/>
          <w:lang w:val="es-CR"/>
        </w:rPr>
        <w:t>MBA</w:t>
      </w:r>
      <w:r w:rsidR="00CD0039" w:rsidRPr="00DB0524">
        <w:rPr>
          <w:rFonts w:ascii="Arial" w:eastAsia="Arial" w:hAnsi="Arial"/>
          <w:b/>
          <w:sz w:val="22"/>
          <w:szCs w:val="22"/>
          <w:lang w:val="es-CR"/>
        </w:rPr>
        <w:t xml:space="preserve"> relacionadas con el Pasivo. </w:t>
      </w:r>
      <w:r w:rsidRPr="00DB0524">
        <w:rPr>
          <w:rFonts w:ascii="Arial" w:eastAsia="Arial" w:hAnsi="Arial"/>
          <w:bCs/>
          <w:sz w:val="22"/>
          <w:szCs w:val="22"/>
          <w:lang w:val="es-CR"/>
        </w:rPr>
        <w:t xml:space="preserve">Normas y políticas contables de las partidas del pasivo de acuerdo con NICSP o, </w:t>
      </w:r>
      <w:r w:rsidR="00D50E43" w:rsidRPr="00DB0524">
        <w:rPr>
          <w:rFonts w:ascii="Arial" w:eastAsia="Arial" w:hAnsi="Arial"/>
          <w:bCs/>
          <w:sz w:val="22"/>
          <w:szCs w:val="22"/>
          <w:lang w:val="es-CR"/>
        </w:rPr>
        <w:t>en su defecto, por la normativa emitida por la DGCN y la normativa interna vigente de la institución</w:t>
      </w:r>
      <w:r w:rsidRPr="00DB0524">
        <w:rPr>
          <w:rFonts w:ascii="Arial" w:eastAsia="Arial" w:hAnsi="Arial"/>
          <w:bCs/>
          <w:sz w:val="22"/>
          <w:szCs w:val="22"/>
          <w:lang w:val="es-CR"/>
        </w:rPr>
        <w:t>.</w:t>
      </w:r>
    </w:p>
    <w:p w14:paraId="0A80DE58" w14:textId="77777777" w:rsidR="007377D0" w:rsidRPr="00DB0524" w:rsidRDefault="007377D0">
      <w:pPr>
        <w:spacing w:line="200" w:lineRule="exact"/>
        <w:rPr>
          <w:rFonts w:ascii="Arial" w:eastAsia="Times New Roman" w:hAnsi="Arial"/>
          <w:sz w:val="22"/>
          <w:szCs w:val="22"/>
          <w:lang w:val="es-CR"/>
        </w:rPr>
      </w:pPr>
    </w:p>
    <w:p w14:paraId="0CDE9CB4" w14:textId="77777777" w:rsidR="007377D0" w:rsidRPr="00DB0524" w:rsidRDefault="007377D0">
      <w:pPr>
        <w:spacing w:line="224" w:lineRule="exact"/>
        <w:rPr>
          <w:rFonts w:ascii="Arial" w:eastAsia="Times New Roman" w:hAnsi="Arial"/>
          <w:sz w:val="22"/>
          <w:szCs w:val="22"/>
          <w:lang w:val="es-CR"/>
        </w:rPr>
      </w:pPr>
    </w:p>
    <w:p w14:paraId="532E6AD9" w14:textId="2837ABE5" w:rsidR="007377D0" w:rsidRPr="00DB0524" w:rsidRDefault="008A4688">
      <w:pPr>
        <w:spacing w:line="238" w:lineRule="auto"/>
        <w:ind w:left="380" w:right="260"/>
        <w:jc w:val="both"/>
        <w:rPr>
          <w:rFonts w:ascii="Arial" w:eastAsia="Arial" w:hAnsi="Arial"/>
          <w:b/>
          <w:sz w:val="22"/>
          <w:szCs w:val="22"/>
          <w:lang w:val="es-CR"/>
        </w:rPr>
      </w:pPr>
      <w:r w:rsidRPr="00DB0524">
        <w:rPr>
          <w:rFonts w:ascii="Arial" w:eastAsia="Arial" w:hAnsi="Arial"/>
          <w:b/>
          <w:sz w:val="22"/>
          <w:szCs w:val="22"/>
          <w:u w:val="single"/>
          <w:lang w:val="es-CR"/>
        </w:rPr>
        <w:t>Capítulo III</w:t>
      </w:r>
      <w:r w:rsidRPr="00DB0524">
        <w:rPr>
          <w:rFonts w:ascii="Arial" w:eastAsia="Arial" w:hAnsi="Arial"/>
          <w:b/>
          <w:sz w:val="22"/>
          <w:szCs w:val="22"/>
          <w:lang w:val="es-CR"/>
        </w:rPr>
        <w:t xml:space="preserve">: </w:t>
      </w:r>
      <w:r w:rsidR="00CD0039" w:rsidRPr="00DB0524">
        <w:rPr>
          <w:rFonts w:ascii="Arial" w:eastAsia="Arial" w:hAnsi="Arial"/>
          <w:b/>
          <w:sz w:val="22"/>
          <w:szCs w:val="22"/>
          <w:lang w:val="es-CR"/>
        </w:rPr>
        <w:t xml:space="preserve">Normas Específicas de Contabilidad y Políticas Contables para la </w:t>
      </w:r>
      <w:r w:rsidR="000F29DC">
        <w:rPr>
          <w:rFonts w:ascii="Arial" w:eastAsia="Arial" w:hAnsi="Arial"/>
          <w:b/>
          <w:sz w:val="22"/>
          <w:szCs w:val="22"/>
          <w:lang w:val="es-CR"/>
        </w:rPr>
        <w:t>MBA</w:t>
      </w:r>
      <w:r w:rsidR="00CD0039" w:rsidRPr="00DB0524">
        <w:rPr>
          <w:rFonts w:ascii="Arial" w:eastAsia="Arial" w:hAnsi="Arial"/>
          <w:b/>
          <w:sz w:val="22"/>
          <w:szCs w:val="22"/>
          <w:lang w:val="es-CR"/>
        </w:rPr>
        <w:t xml:space="preserve"> relacionadas con el Patrimonio. </w:t>
      </w:r>
      <w:r w:rsidRPr="00DB0524">
        <w:rPr>
          <w:rFonts w:ascii="Arial" w:eastAsia="Arial" w:hAnsi="Arial"/>
          <w:bCs/>
          <w:sz w:val="22"/>
          <w:szCs w:val="22"/>
          <w:lang w:val="es-CR"/>
        </w:rPr>
        <w:t xml:space="preserve">Normas y políticas contables de las partidas del patrimonio de acuerdo con NICSP o, </w:t>
      </w:r>
      <w:r w:rsidR="00CD0039" w:rsidRPr="00DB0524">
        <w:rPr>
          <w:rFonts w:ascii="Arial" w:eastAsia="Arial" w:hAnsi="Arial"/>
          <w:bCs/>
          <w:sz w:val="22"/>
          <w:szCs w:val="22"/>
          <w:lang w:val="es-CR"/>
        </w:rPr>
        <w:t>en su defecto, por la normativa emitida por la DGCN y la normativa interna vigente de la institución</w:t>
      </w:r>
      <w:r w:rsidRPr="00DB0524">
        <w:rPr>
          <w:rFonts w:ascii="Arial" w:eastAsia="Arial" w:hAnsi="Arial"/>
          <w:bCs/>
          <w:sz w:val="22"/>
          <w:szCs w:val="22"/>
          <w:lang w:val="es-CR"/>
        </w:rPr>
        <w:t>.</w:t>
      </w:r>
    </w:p>
    <w:p w14:paraId="36C5EF48" w14:textId="77777777" w:rsidR="007377D0" w:rsidRPr="00DB0524" w:rsidRDefault="007377D0">
      <w:pPr>
        <w:spacing w:line="200" w:lineRule="exact"/>
        <w:rPr>
          <w:rFonts w:ascii="Arial" w:eastAsia="Times New Roman" w:hAnsi="Arial"/>
          <w:sz w:val="22"/>
          <w:szCs w:val="22"/>
          <w:lang w:val="es-CR"/>
        </w:rPr>
      </w:pPr>
    </w:p>
    <w:p w14:paraId="62797EF0" w14:textId="77777777" w:rsidR="007377D0" w:rsidRPr="00DB0524" w:rsidRDefault="007377D0">
      <w:pPr>
        <w:spacing w:line="222" w:lineRule="exact"/>
        <w:rPr>
          <w:rFonts w:ascii="Arial" w:eastAsia="Times New Roman" w:hAnsi="Arial"/>
          <w:sz w:val="22"/>
          <w:szCs w:val="22"/>
          <w:lang w:val="es-CR"/>
        </w:rPr>
      </w:pPr>
    </w:p>
    <w:p w14:paraId="6A079899" w14:textId="3C30D5F8" w:rsidR="007377D0" w:rsidRPr="00DB0524" w:rsidRDefault="008A4688">
      <w:pPr>
        <w:spacing w:line="238" w:lineRule="auto"/>
        <w:ind w:left="380" w:right="260"/>
        <w:jc w:val="both"/>
        <w:rPr>
          <w:rFonts w:ascii="Arial" w:eastAsia="Arial" w:hAnsi="Arial"/>
          <w:b/>
          <w:sz w:val="22"/>
          <w:szCs w:val="22"/>
          <w:lang w:val="es-CR"/>
        </w:rPr>
      </w:pPr>
      <w:r w:rsidRPr="00DB0524">
        <w:rPr>
          <w:rFonts w:ascii="Arial" w:eastAsia="Arial" w:hAnsi="Arial"/>
          <w:b/>
          <w:sz w:val="22"/>
          <w:szCs w:val="22"/>
          <w:u w:val="single"/>
          <w:lang w:val="es-CR"/>
        </w:rPr>
        <w:t>Capítulo IV</w:t>
      </w:r>
      <w:r w:rsidRPr="00DB0524">
        <w:rPr>
          <w:rFonts w:ascii="Arial" w:eastAsia="Arial" w:hAnsi="Arial"/>
          <w:b/>
          <w:sz w:val="22"/>
          <w:szCs w:val="22"/>
          <w:lang w:val="es-CR"/>
        </w:rPr>
        <w:t xml:space="preserve">: </w:t>
      </w:r>
      <w:r w:rsidR="00CD0039" w:rsidRPr="00DB0524">
        <w:rPr>
          <w:rFonts w:ascii="Arial" w:eastAsia="Arial" w:hAnsi="Arial"/>
          <w:b/>
          <w:sz w:val="22"/>
          <w:szCs w:val="22"/>
          <w:lang w:val="es-CR"/>
        </w:rPr>
        <w:t xml:space="preserve">Normas Específicas de Contabilidad y Políticas Contables para la </w:t>
      </w:r>
      <w:r w:rsidR="000F29DC">
        <w:rPr>
          <w:rFonts w:ascii="Arial" w:eastAsia="Arial" w:hAnsi="Arial"/>
          <w:b/>
          <w:sz w:val="22"/>
          <w:szCs w:val="22"/>
          <w:lang w:val="es-CR"/>
        </w:rPr>
        <w:t>MBA</w:t>
      </w:r>
      <w:r w:rsidR="00CD0039" w:rsidRPr="00DB0524">
        <w:rPr>
          <w:rFonts w:ascii="Arial" w:eastAsia="Arial" w:hAnsi="Arial"/>
          <w:b/>
          <w:sz w:val="22"/>
          <w:szCs w:val="22"/>
          <w:lang w:val="es-CR"/>
        </w:rPr>
        <w:t xml:space="preserve"> relacionadas con los Ingresos. </w:t>
      </w:r>
      <w:r w:rsidRPr="00DB0524">
        <w:rPr>
          <w:rFonts w:ascii="Arial" w:eastAsia="Arial" w:hAnsi="Arial"/>
          <w:bCs/>
          <w:sz w:val="22"/>
          <w:szCs w:val="22"/>
          <w:lang w:val="es-CR"/>
        </w:rPr>
        <w:t xml:space="preserve">Normas y políticas contables de las partidas de los ingresos de acuerdo con NICSP o, </w:t>
      </w:r>
      <w:r w:rsidR="00CD0039" w:rsidRPr="00DB0524">
        <w:rPr>
          <w:rFonts w:ascii="Arial" w:eastAsia="Arial" w:hAnsi="Arial"/>
          <w:bCs/>
          <w:sz w:val="22"/>
          <w:szCs w:val="22"/>
          <w:lang w:val="es-CR"/>
        </w:rPr>
        <w:t>en su defecto, por la normativa emitida por la DGCN y la normativa interna vigente de la institución</w:t>
      </w:r>
      <w:r w:rsidRPr="00DB0524">
        <w:rPr>
          <w:rFonts w:ascii="Arial" w:eastAsia="Arial" w:hAnsi="Arial"/>
          <w:bCs/>
          <w:sz w:val="22"/>
          <w:szCs w:val="22"/>
          <w:lang w:val="es-CR"/>
        </w:rPr>
        <w:t>.</w:t>
      </w:r>
    </w:p>
    <w:p w14:paraId="40761680" w14:textId="77777777" w:rsidR="007377D0" w:rsidRPr="00DB0524" w:rsidRDefault="007377D0">
      <w:pPr>
        <w:spacing w:line="200" w:lineRule="exact"/>
        <w:rPr>
          <w:rFonts w:ascii="Arial" w:eastAsia="Times New Roman" w:hAnsi="Arial"/>
          <w:sz w:val="22"/>
          <w:szCs w:val="22"/>
          <w:lang w:val="es-CR"/>
        </w:rPr>
      </w:pPr>
    </w:p>
    <w:p w14:paraId="0D49FC14" w14:textId="77777777" w:rsidR="007377D0" w:rsidRPr="00DB0524" w:rsidRDefault="007377D0">
      <w:pPr>
        <w:spacing w:line="224" w:lineRule="exact"/>
        <w:rPr>
          <w:rFonts w:ascii="Arial" w:eastAsia="Times New Roman" w:hAnsi="Arial"/>
          <w:sz w:val="22"/>
          <w:szCs w:val="22"/>
          <w:lang w:val="es-CR"/>
        </w:rPr>
      </w:pPr>
    </w:p>
    <w:p w14:paraId="6A583AFE" w14:textId="22188580" w:rsidR="007377D0" w:rsidRPr="00DB0524" w:rsidRDefault="008A4688">
      <w:pPr>
        <w:spacing w:line="237" w:lineRule="auto"/>
        <w:ind w:left="380" w:right="260"/>
        <w:jc w:val="both"/>
        <w:rPr>
          <w:rFonts w:ascii="Arial" w:eastAsia="Arial" w:hAnsi="Arial"/>
          <w:b/>
          <w:sz w:val="22"/>
          <w:szCs w:val="22"/>
          <w:lang w:val="es-CR"/>
        </w:rPr>
      </w:pPr>
      <w:r w:rsidRPr="00DB0524">
        <w:rPr>
          <w:rFonts w:ascii="Arial" w:eastAsia="Arial" w:hAnsi="Arial"/>
          <w:b/>
          <w:sz w:val="22"/>
          <w:szCs w:val="22"/>
          <w:u w:val="single"/>
          <w:lang w:val="es-CR"/>
        </w:rPr>
        <w:t>Capítulo V</w:t>
      </w:r>
      <w:r w:rsidRPr="00DB0524">
        <w:rPr>
          <w:rFonts w:ascii="Arial" w:eastAsia="Arial" w:hAnsi="Arial"/>
          <w:b/>
          <w:sz w:val="22"/>
          <w:szCs w:val="22"/>
          <w:lang w:val="es-CR"/>
        </w:rPr>
        <w:t xml:space="preserve">: </w:t>
      </w:r>
      <w:r w:rsidR="00CD0039" w:rsidRPr="00DB0524">
        <w:rPr>
          <w:rFonts w:ascii="Arial" w:eastAsia="Arial" w:hAnsi="Arial"/>
          <w:b/>
          <w:sz w:val="22"/>
          <w:szCs w:val="22"/>
          <w:lang w:val="es-CR"/>
        </w:rPr>
        <w:t xml:space="preserve">Normas Específicas de Contabilidad y Políticas Contables para la </w:t>
      </w:r>
      <w:r w:rsidR="000F29DC">
        <w:rPr>
          <w:rFonts w:ascii="Arial" w:eastAsia="Arial" w:hAnsi="Arial"/>
          <w:b/>
          <w:sz w:val="22"/>
          <w:szCs w:val="22"/>
          <w:lang w:val="es-CR"/>
        </w:rPr>
        <w:t>MBA</w:t>
      </w:r>
      <w:r w:rsidR="00CD0039" w:rsidRPr="00DB0524">
        <w:rPr>
          <w:rFonts w:ascii="Arial" w:eastAsia="Arial" w:hAnsi="Arial"/>
          <w:b/>
          <w:sz w:val="22"/>
          <w:szCs w:val="22"/>
          <w:lang w:val="es-CR"/>
        </w:rPr>
        <w:t xml:space="preserve"> relacionadas con los gastos. </w:t>
      </w:r>
      <w:r w:rsidRPr="00DB0524">
        <w:rPr>
          <w:rFonts w:ascii="Arial" w:eastAsia="Arial" w:hAnsi="Arial"/>
          <w:bCs/>
          <w:sz w:val="22"/>
          <w:szCs w:val="22"/>
          <w:lang w:val="es-CR"/>
        </w:rPr>
        <w:t xml:space="preserve">Normas y políticas contables de las partidas de los gastos de acuerdo con NICSP o, </w:t>
      </w:r>
      <w:r w:rsidR="00CD0039" w:rsidRPr="00DB0524">
        <w:rPr>
          <w:rFonts w:ascii="Arial" w:eastAsia="Arial" w:hAnsi="Arial"/>
          <w:bCs/>
          <w:sz w:val="22"/>
          <w:szCs w:val="22"/>
          <w:lang w:val="es-CR"/>
        </w:rPr>
        <w:t>en su defecto, por la normativa emitida por la DGCN y la normativa interna vigente de la institución</w:t>
      </w:r>
      <w:r w:rsidRPr="00DB0524">
        <w:rPr>
          <w:rFonts w:ascii="Arial" w:eastAsia="Arial" w:hAnsi="Arial"/>
          <w:bCs/>
          <w:sz w:val="22"/>
          <w:szCs w:val="22"/>
          <w:lang w:val="es-CR"/>
        </w:rPr>
        <w:t>.</w:t>
      </w:r>
    </w:p>
    <w:p w14:paraId="55DC1729" w14:textId="77777777" w:rsidR="007377D0" w:rsidRPr="00DB0524" w:rsidRDefault="007377D0">
      <w:pPr>
        <w:spacing w:line="200" w:lineRule="exact"/>
        <w:rPr>
          <w:rFonts w:ascii="Arial" w:eastAsia="Times New Roman" w:hAnsi="Arial"/>
          <w:sz w:val="22"/>
          <w:szCs w:val="22"/>
          <w:lang w:val="es-CR"/>
        </w:rPr>
      </w:pPr>
    </w:p>
    <w:p w14:paraId="77716784" w14:textId="77777777" w:rsidR="007377D0" w:rsidRPr="00DB0524" w:rsidRDefault="007377D0">
      <w:pPr>
        <w:spacing w:line="227" w:lineRule="exact"/>
        <w:rPr>
          <w:rFonts w:ascii="Arial" w:eastAsia="Times New Roman" w:hAnsi="Arial"/>
          <w:sz w:val="22"/>
          <w:szCs w:val="22"/>
          <w:lang w:val="es-CR"/>
        </w:rPr>
      </w:pPr>
    </w:p>
    <w:p w14:paraId="549D3B2C" w14:textId="4E3394BF" w:rsidR="007377D0" w:rsidRPr="00DB0524" w:rsidRDefault="008A4688">
      <w:pPr>
        <w:spacing w:line="238" w:lineRule="auto"/>
        <w:ind w:left="380" w:right="260"/>
        <w:jc w:val="both"/>
        <w:rPr>
          <w:rFonts w:ascii="Arial" w:eastAsia="Arial" w:hAnsi="Arial"/>
          <w:b/>
          <w:sz w:val="22"/>
          <w:szCs w:val="22"/>
          <w:lang w:val="es-CR"/>
        </w:rPr>
      </w:pPr>
      <w:r w:rsidRPr="00DB0524">
        <w:rPr>
          <w:rFonts w:ascii="Arial" w:eastAsia="Arial" w:hAnsi="Arial"/>
          <w:b/>
          <w:sz w:val="22"/>
          <w:szCs w:val="22"/>
          <w:u w:val="single"/>
          <w:lang w:val="es-CR"/>
        </w:rPr>
        <w:t>Capítulo VI</w:t>
      </w:r>
      <w:r w:rsidRPr="00DB0524">
        <w:rPr>
          <w:rFonts w:ascii="Arial" w:eastAsia="Arial" w:hAnsi="Arial"/>
          <w:b/>
          <w:sz w:val="22"/>
          <w:szCs w:val="22"/>
          <w:lang w:val="es-CR"/>
        </w:rPr>
        <w:t xml:space="preserve">: </w:t>
      </w:r>
      <w:r w:rsidR="00CD0039" w:rsidRPr="00DB0524">
        <w:rPr>
          <w:rFonts w:ascii="Arial" w:eastAsia="Arial" w:hAnsi="Arial"/>
          <w:b/>
          <w:sz w:val="22"/>
          <w:szCs w:val="22"/>
          <w:lang w:val="es-CR"/>
        </w:rPr>
        <w:t xml:space="preserve">Normas Específicas de Contabilidad y Políticas Contables para la </w:t>
      </w:r>
      <w:r w:rsidR="000F29DC">
        <w:rPr>
          <w:rFonts w:ascii="Arial" w:eastAsia="Arial" w:hAnsi="Arial"/>
          <w:b/>
          <w:sz w:val="22"/>
          <w:szCs w:val="22"/>
          <w:lang w:val="es-CR"/>
        </w:rPr>
        <w:t>MBA</w:t>
      </w:r>
      <w:r w:rsidR="00CD0039" w:rsidRPr="00DB0524">
        <w:rPr>
          <w:rFonts w:ascii="Arial" w:eastAsia="Arial" w:hAnsi="Arial"/>
          <w:b/>
          <w:sz w:val="22"/>
          <w:szCs w:val="22"/>
          <w:lang w:val="es-CR"/>
        </w:rPr>
        <w:t xml:space="preserve"> relacionadas con los estados financieros. </w:t>
      </w:r>
      <w:r w:rsidRPr="00DB0524">
        <w:rPr>
          <w:rFonts w:ascii="Arial" w:eastAsia="Arial" w:hAnsi="Arial"/>
          <w:bCs/>
          <w:sz w:val="22"/>
          <w:szCs w:val="22"/>
          <w:lang w:val="es-CR"/>
        </w:rPr>
        <w:t xml:space="preserve">Normas y políticas contables generales de los EEFF y de los Informes Financieros de Propósitos General de acuerdo con NICSP o, </w:t>
      </w:r>
      <w:r w:rsidR="00CD0039" w:rsidRPr="00DB0524">
        <w:rPr>
          <w:rFonts w:ascii="Arial" w:eastAsia="Arial" w:hAnsi="Arial"/>
          <w:bCs/>
          <w:sz w:val="22"/>
          <w:szCs w:val="22"/>
          <w:lang w:val="es-CR"/>
        </w:rPr>
        <w:t>en su defecto, por la normativa emitida por la DGCN y la normativa interna vigente de la institución</w:t>
      </w:r>
      <w:r w:rsidRPr="00DB0524">
        <w:rPr>
          <w:rFonts w:ascii="Arial" w:eastAsia="Arial" w:hAnsi="Arial"/>
          <w:bCs/>
          <w:sz w:val="22"/>
          <w:szCs w:val="22"/>
          <w:lang w:val="es-CR"/>
        </w:rPr>
        <w:t>.</w:t>
      </w:r>
    </w:p>
    <w:p w14:paraId="2EF3E984" w14:textId="77777777" w:rsidR="007377D0" w:rsidRPr="00DB0524" w:rsidRDefault="007377D0">
      <w:pPr>
        <w:spacing w:line="276" w:lineRule="exact"/>
        <w:rPr>
          <w:rFonts w:ascii="Arial" w:eastAsia="Times New Roman" w:hAnsi="Arial"/>
          <w:sz w:val="22"/>
          <w:szCs w:val="22"/>
          <w:lang w:val="es-CR"/>
        </w:rPr>
      </w:pPr>
    </w:p>
    <w:p w14:paraId="5E524152" w14:textId="2A376444" w:rsidR="007377D0" w:rsidRPr="00DB0524" w:rsidRDefault="008A4688" w:rsidP="00CD0039">
      <w:pPr>
        <w:spacing w:line="0" w:lineRule="atLeast"/>
        <w:ind w:left="380" w:right="288"/>
        <w:jc w:val="both"/>
        <w:rPr>
          <w:rFonts w:ascii="Arial" w:eastAsia="Arial" w:hAnsi="Arial"/>
          <w:bCs/>
          <w:sz w:val="22"/>
          <w:szCs w:val="22"/>
          <w:lang w:val="es-CR"/>
        </w:rPr>
      </w:pPr>
      <w:r w:rsidRPr="00DB0524">
        <w:rPr>
          <w:rFonts w:ascii="Arial" w:eastAsia="Arial" w:hAnsi="Arial"/>
          <w:b/>
          <w:sz w:val="22"/>
          <w:szCs w:val="22"/>
          <w:u w:val="single"/>
          <w:lang w:val="es-CR"/>
        </w:rPr>
        <w:t>Capítulo VII</w:t>
      </w:r>
      <w:r w:rsidRPr="00DB0524">
        <w:rPr>
          <w:rFonts w:ascii="Arial" w:eastAsia="Arial" w:hAnsi="Arial"/>
          <w:b/>
          <w:sz w:val="22"/>
          <w:szCs w:val="22"/>
          <w:lang w:val="es-CR"/>
        </w:rPr>
        <w:t xml:space="preserve">: Glosario. </w:t>
      </w:r>
      <w:r w:rsidRPr="00DB0524">
        <w:rPr>
          <w:rFonts w:ascii="Arial" w:eastAsia="Arial" w:hAnsi="Arial"/>
          <w:bCs/>
          <w:sz w:val="22"/>
          <w:szCs w:val="22"/>
          <w:lang w:val="es-CR"/>
        </w:rPr>
        <w:t>Definiciones más relevantes en el marco de</w:t>
      </w:r>
      <w:r w:rsidR="00CD0039" w:rsidRPr="00DB0524">
        <w:rPr>
          <w:rFonts w:ascii="Arial" w:eastAsia="Arial" w:hAnsi="Arial"/>
          <w:bCs/>
          <w:sz w:val="22"/>
          <w:szCs w:val="22"/>
          <w:lang w:val="es-CR"/>
        </w:rPr>
        <w:t xml:space="preserve"> </w:t>
      </w:r>
      <w:r w:rsidRPr="00DB0524">
        <w:rPr>
          <w:rFonts w:ascii="Arial" w:eastAsia="Arial" w:hAnsi="Arial"/>
          <w:bCs/>
          <w:sz w:val="22"/>
          <w:szCs w:val="22"/>
          <w:lang w:val="es-CR"/>
        </w:rPr>
        <w:t>l</w:t>
      </w:r>
      <w:r w:rsidR="00CD0039" w:rsidRPr="00DB0524">
        <w:rPr>
          <w:rFonts w:ascii="Arial" w:eastAsia="Arial" w:hAnsi="Arial"/>
          <w:bCs/>
          <w:sz w:val="22"/>
          <w:szCs w:val="22"/>
          <w:lang w:val="es-CR"/>
        </w:rPr>
        <w:t>as</w:t>
      </w:r>
      <w:r w:rsidRPr="00DB0524">
        <w:rPr>
          <w:rFonts w:ascii="Arial" w:eastAsia="Arial" w:hAnsi="Arial"/>
          <w:bCs/>
          <w:sz w:val="22"/>
          <w:szCs w:val="22"/>
          <w:lang w:val="es-CR"/>
        </w:rPr>
        <w:t xml:space="preserve"> </w:t>
      </w:r>
      <w:r w:rsidR="00CD0039" w:rsidRPr="00DB0524">
        <w:rPr>
          <w:rFonts w:ascii="Arial" w:eastAsia="Arial" w:hAnsi="Arial"/>
          <w:bCs/>
          <w:sz w:val="22"/>
          <w:szCs w:val="22"/>
          <w:lang w:val="es-CR"/>
        </w:rPr>
        <w:t>NICSP o, en su defecto, de la normativa emitida por la DGCN y la normativa interna vigente de la institución.</w:t>
      </w:r>
    </w:p>
    <w:p w14:paraId="11A4F253" w14:textId="003550BC" w:rsidR="007377D0" w:rsidRPr="00DB0524" w:rsidRDefault="007377D0" w:rsidP="00CD0039">
      <w:pPr>
        <w:spacing w:line="0" w:lineRule="atLeast"/>
        <w:ind w:right="260"/>
        <w:jc w:val="right"/>
        <w:rPr>
          <w:rFonts w:ascii="Arial" w:eastAsia="Arial" w:hAnsi="Arial"/>
          <w:b/>
          <w:sz w:val="22"/>
          <w:szCs w:val="22"/>
          <w:lang w:val="es-CR"/>
        </w:rPr>
        <w:sectPr w:rsidR="007377D0" w:rsidRPr="00DB0524" w:rsidSect="006D026E">
          <w:pgSz w:w="12240" w:h="15840"/>
          <w:pgMar w:top="1440" w:right="1440" w:bottom="146" w:left="1440" w:header="0" w:footer="0" w:gutter="0"/>
          <w:cols w:space="0" w:equalWidth="0">
            <w:col w:w="9360"/>
          </w:cols>
          <w:docGrid w:linePitch="360"/>
        </w:sectPr>
      </w:pPr>
    </w:p>
    <w:p w14:paraId="611FC311" w14:textId="3FCFD331" w:rsidR="007377D0" w:rsidRPr="00425974" w:rsidRDefault="00CD0039" w:rsidP="00DC71E1">
      <w:pPr>
        <w:pStyle w:val="Ttulo1"/>
        <w:rPr>
          <w:rFonts w:ascii="Arial Narrow" w:eastAsia="Arial" w:hAnsi="Arial Narrow"/>
          <w:b/>
          <w:bCs/>
          <w:lang w:val="es-CR"/>
        </w:rPr>
      </w:pPr>
      <w:bookmarkStart w:id="5" w:name="page10"/>
      <w:bookmarkStart w:id="6" w:name="_Toc172726189"/>
      <w:bookmarkEnd w:id="5"/>
      <w:r w:rsidRPr="00425974">
        <w:rPr>
          <w:rFonts w:ascii="Arial Narrow" w:eastAsia="Arial" w:hAnsi="Arial Narrow"/>
          <w:b/>
          <w:bCs/>
          <w:lang w:val="es-CR"/>
        </w:rPr>
        <w:lastRenderedPageBreak/>
        <w:t xml:space="preserve">CAPÍTULO </w:t>
      </w:r>
      <w:r w:rsidR="008A4688" w:rsidRPr="00425974">
        <w:rPr>
          <w:rFonts w:ascii="Arial Narrow" w:eastAsia="Arial" w:hAnsi="Arial Narrow"/>
          <w:b/>
          <w:bCs/>
          <w:lang w:val="es-CR"/>
        </w:rPr>
        <w:t>I</w:t>
      </w:r>
      <w:bookmarkEnd w:id="6"/>
    </w:p>
    <w:p w14:paraId="1A8B5764" w14:textId="77777777" w:rsidR="007377D0" w:rsidRPr="00F02F9D" w:rsidRDefault="007377D0">
      <w:pPr>
        <w:spacing w:line="253" w:lineRule="exact"/>
        <w:rPr>
          <w:rFonts w:ascii="Arial" w:eastAsia="Times New Roman" w:hAnsi="Arial"/>
          <w:sz w:val="22"/>
          <w:szCs w:val="22"/>
          <w:lang w:val="es-CR"/>
        </w:rPr>
      </w:pPr>
    </w:p>
    <w:p w14:paraId="6EA4669A" w14:textId="47C2F013" w:rsidR="007377D0" w:rsidRPr="00425974" w:rsidRDefault="008A4688" w:rsidP="00425974">
      <w:pPr>
        <w:pStyle w:val="Ttulo2"/>
        <w:rPr>
          <w:rFonts w:ascii="Arial" w:eastAsia="Arial" w:hAnsi="Arial" w:cs="Arial"/>
          <w:b/>
          <w:bCs/>
          <w:sz w:val="28"/>
          <w:szCs w:val="28"/>
          <w:lang w:val="es-CR"/>
        </w:rPr>
      </w:pPr>
      <w:bookmarkStart w:id="7" w:name="_Toc172726190"/>
      <w:r w:rsidRPr="00425974">
        <w:rPr>
          <w:rFonts w:ascii="Arial" w:eastAsia="Arial" w:hAnsi="Arial" w:cs="Arial"/>
          <w:b/>
          <w:bCs/>
          <w:sz w:val="28"/>
          <w:szCs w:val="28"/>
          <w:lang w:val="es-CR"/>
        </w:rPr>
        <w:t xml:space="preserve">Políticas Contables </w:t>
      </w:r>
      <w:r w:rsidR="00425974" w:rsidRPr="00425974">
        <w:rPr>
          <w:rFonts w:ascii="Arial" w:eastAsia="Arial" w:hAnsi="Arial" w:cs="Arial"/>
          <w:b/>
          <w:bCs/>
          <w:sz w:val="28"/>
          <w:szCs w:val="28"/>
          <w:lang w:val="es-CR"/>
        </w:rPr>
        <w:t xml:space="preserve">Generales y </w:t>
      </w:r>
      <w:r w:rsidR="00425974">
        <w:rPr>
          <w:rFonts w:ascii="Arial" w:eastAsia="Arial" w:hAnsi="Arial" w:cs="Arial"/>
          <w:b/>
          <w:bCs/>
          <w:sz w:val="28"/>
          <w:szCs w:val="28"/>
          <w:lang w:val="es-CR"/>
        </w:rPr>
        <w:t>P</w:t>
      </w:r>
      <w:r w:rsidR="00425974" w:rsidRPr="00425974">
        <w:rPr>
          <w:rFonts w:ascii="Arial" w:eastAsia="Arial" w:hAnsi="Arial" w:cs="Arial"/>
          <w:b/>
          <w:bCs/>
          <w:sz w:val="28"/>
          <w:szCs w:val="28"/>
          <w:lang w:val="es-CR"/>
        </w:rPr>
        <w:t xml:space="preserve">articulares </w:t>
      </w:r>
      <w:r w:rsidRPr="00425974">
        <w:rPr>
          <w:rFonts w:ascii="Arial" w:eastAsia="Arial" w:hAnsi="Arial" w:cs="Arial"/>
          <w:b/>
          <w:bCs/>
          <w:sz w:val="28"/>
          <w:szCs w:val="28"/>
          <w:lang w:val="es-CR"/>
        </w:rPr>
        <w:t xml:space="preserve">para </w:t>
      </w:r>
      <w:r w:rsidR="00CD0039" w:rsidRPr="00425974">
        <w:rPr>
          <w:rFonts w:ascii="Arial" w:eastAsia="Arial" w:hAnsi="Arial" w:cs="Arial"/>
          <w:b/>
          <w:bCs/>
          <w:sz w:val="28"/>
          <w:szCs w:val="28"/>
          <w:lang w:val="es-CR"/>
        </w:rPr>
        <w:t>el</w:t>
      </w:r>
      <w:r w:rsidR="007571EA" w:rsidRPr="00425974">
        <w:rPr>
          <w:rFonts w:ascii="Arial" w:eastAsia="Arial" w:hAnsi="Arial" w:cs="Arial"/>
          <w:b/>
          <w:bCs/>
          <w:sz w:val="28"/>
          <w:szCs w:val="28"/>
          <w:lang w:val="es-CR"/>
        </w:rPr>
        <w:t xml:space="preserve"> </w:t>
      </w:r>
      <w:r w:rsidRPr="00425974">
        <w:rPr>
          <w:rFonts w:ascii="Arial" w:eastAsia="Arial" w:hAnsi="Arial" w:cs="Arial"/>
          <w:b/>
          <w:bCs/>
          <w:sz w:val="28"/>
          <w:szCs w:val="28"/>
          <w:lang w:val="es-CR"/>
        </w:rPr>
        <w:t>Activo</w:t>
      </w:r>
      <w:bookmarkEnd w:id="7"/>
    </w:p>
    <w:p w14:paraId="34010287" w14:textId="77777777" w:rsidR="007377D0" w:rsidRPr="00F02F9D" w:rsidRDefault="007377D0" w:rsidP="00CD0039">
      <w:pPr>
        <w:spacing w:line="242" w:lineRule="exact"/>
        <w:rPr>
          <w:rFonts w:ascii="Arial" w:eastAsia="Times New Roman" w:hAnsi="Arial"/>
          <w:sz w:val="22"/>
          <w:szCs w:val="22"/>
          <w:lang w:val="es-CR"/>
        </w:rPr>
      </w:pPr>
    </w:p>
    <w:p w14:paraId="25CAD421" w14:textId="21A54E1C" w:rsidR="007377D0" w:rsidRPr="00FB4CAF" w:rsidRDefault="004E27A9">
      <w:pPr>
        <w:pStyle w:val="Ttulo2"/>
        <w:numPr>
          <w:ilvl w:val="0"/>
          <w:numId w:val="289"/>
        </w:numPr>
        <w:ind w:left="284" w:hanging="284"/>
        <w:rPr>
          <w:rFonts w:ascii="Arial" w:eastAsia="Arial" w:hAnsi="Arial" w:cs="Arial"/>
          <w:b/>
          <w:bCs/>
          <w:sz w:val="22"/>
          <w:szCs w:val="22"/>
          <w:lang w:val="es-CR"/>
        </w:rPr>
      </w:pPr>
      <w:bookmarkStart w:id="8" w:name="_Toc172726191"/>
      <w:r>
        <w:rPr>
          <w:rFonts w:ascii="Arial" w:eastAsia="Arial" w:hAnsi="Arial" w:cs="Arial"/>
          <w:b/>
          <w:bCs/>
          <w:sz w:val="22"/>
          <w:szCs w:val="22"/>
          <w:lang w:val="es-CR"/>
        </w:rPr>
        <w:t>ACTIVO</w:t>
      </w:r>
      <w:bookmarkEnd w:id="8"/>
    </w:p>
    <w:p w14:paraId="7138BCB8" w14:textId="77777777" w:rsidR="007377D0" w:rsidRPr="00F02F9D" w:rsidRDefault="007377D0" w:rsidP="00CD0039">
      <w:pPr>
        <w:spacing w:line="240" w:lineRule="exact"/>
        <w:rPr>
          <w:rFonts w:ascii="Arial" w:eastAsia="Times New Roman" w:hAnsi="Arial"/>
          <w:sz w:val="22"/>
          <w:szCs w:val="22"/>
        </w:rPr>
      </w:pPr>
    </w:p>
    <w:p w14:paraId="07E7C449" w14:textId="7A3E3969" w:rsidR="007377D0" w:rsidRPr="00BD7E4A" w:rsidRDefault="008A4688" w:rsidP="004E27A9">
      <w:pPr>
        <w:pStyle w:val="Ttulo2"/>
        <w:numPr>
          <w:ilvl w:val="1"/>
          <w:numId w:val="427"/>
        </w:numPr>
        <w:ind w:left="284" w:firstLine="0"/>
        <w:rPr>
          <w:rFonts w:ascii="Arial" w:eastAsia="Arial" w:hAnsi="Arial" w:cs="Arial"/>
          <w:b/>
          <w:bCs/>
          <w:sz w:val="22"/>
          <w:szCs w:val="22"/>
          <w:lang w:val="es-CR"/>
        </w:rPr>
      </w:pPr>
      <w:bookmarkStart w:id="9" w:name="_Toc172726192"/>
      <w:r w:rsidRPr="00BD7E4A">
        <w:rPr>
          <w:rFonts w:ascii="Arial" w:eastAsia="Arial" w:hAnsi="Arial" w:cs="Arial"/>
          <w:b/>
          <w:bCs/>
          <w:sz w:val="22"/>
          <w:szCs w:val="22"/>
          <w:lang w:val="es-CR"/>
        </w:rPr>
        <w:t>Activos</w:t>
      </w:r>
      <w:r w:rsidR="00987B05" w:rsidRPr="00BD7E4A">
        <w:rPr>
          <w:rFonts w:ascii="Arial" w:eastAsia="Arial" w:hAnsi="Arial" w:cs="Arial"/>
          <w:b/>
          <w:bCs/>
          <w:sz w:val="22"/>
          <w:szCs w:val="22"/>
          <w:lang w:val="es-CR"/>
        </w:rPr>
        <w:t xml:space="preserve"> Corrientes</w:t>
      </w:r>
      <w:bookmarkEnd w:id="9"/>
    </w:p>
    <w:p w14:paraId="141943F1" w14:textId="77777777" w:rsidR="00987B05" w:rsidRPr="00F02F9D" w:rsidRDefault="00987B05" w:rsidP="00CD0039">
      <w:pPr>
        <w:spacing w:line="0" w:lineRule="atLeast"/>
        <w:rPr>
          <w:rFonts w:ascii="Arial" w:eastAsia="Times New Roman" w:hAnsi="Arial"/>
          <w:sz w:val="22"/>
          <w:szCs w:val="22"/>
        </w:rPr>
      </w:pPr>
    </w:p>
    <w:p w14:paraId="6161E6E7" w14:textId="66F81A50" w:rsidR="007377D0" w:rsidRPr="00BD7E4A" w:rsidRDefault="004E27A9" w:rsidP="004E27A9">
      <w:pPr>
        <w:pStyle w:val="Ttulo2"/>
        <w:ind w:left="709"/>
        <w:rPr>
          <w:rFonts w:ascii="Arial" w:eastAsia="Arial" w:hAnsi="Arial" w:cs="Arial"/>
          <w:b/>
          <w:bCs/>
          <w:sz w:val="22"/>
          <w:szCs w:val="22"/>
          <w:lang w:val="es-CR"/>
        </w:rPr>
      </w:pPr>
      <w:bookmarkStart w:id="10" w:name="_Toc172726193"/>
      <w:r>
        <w:rPr>
          <w:rFonts w:ascii="Arial" w:eastAsia="Arial" w:hAnsi="Arial" w:cs="Arial"/>
          <w:b/>
          <w:bCs/>
          <w:sz w:val="22"/>
          <w:szCs w:val="22"/>
          <w:lang w:val="es-CR"/>
        </w:rPr>
        <w:t xml:space="preserve">1.1.1 </w:t>
      </w:r>
      <w:r w:rsidR="00B62FA5" w:rsidRPr="00BD7E4A">
        <w:rPr>
          <w:rFonts w:ascii="Arial" w:eastAsia="Arial" w:hAnsi="Arial" w:cs="Arial"/>
          <w:b/>
          <w:bCs/>
          <w:sz w:val="22"/>
          <w:szCs w:val="22"/>
          <w:lang w:val="es-CR"/>
        </w:rPr>
        <w:t>Activos</w:t>
      </w:r>
      <w:r w:rsidR="008A4688" w:rsidRPr="00BD7E4A">
        <w:rPr>
          <w:rFonts w:ascii="Arial" w:eastAsia="Arial" w:hAnsi="Arial" w:cs="Arial"/>
          <w:b/>
          <w:bCs/>
          <w:sz w:val="22"/>
          <w:szCs w:val="22"/>
          <w:lang w:val="es-CR"/>
        </w:rPr>
        <w:t xml:space="preserve"> Financieros</w:t>
      </w:r>
      <w:bookmarkEnd w:id="10"/>
      <w:r w:rsidR="007A52D4" w:rsidRPr="00BD7E4A">
        <w:rPr>
          <w:rFonts w:ascii="Arial" w:eastAsia="Arial" w:hAnsi="Arial" w:cs="Arial"/>
          <w:b/>
          <w:bCs/>
          <w:sz w:val="22"/>
          <w:szCs w:val="22"/>
          <w:lang w:val="es-CR"/>
        </w:rPr>
        <w:t xml:space="preserve"> </w:t>
      </w:r>
    </w:p>
    <w:p w14:paraId="03E42994" w14:textId="77777777" w:rsidR="007377D0" w:rsidRPr="00F02F9D" w:rsidRDefault="007377D0">
      <w:pPr>
        <w:spacing w:line="351" w:lineRule="exact"/>
        <w:rPr>
          <w:rFonts w:ascii="Arial" w:eastAsia="Times New Roman" w:hAnsi="Arial"/>
          <w:sz w:val="22"/>
          <w:szCs w:val="22"/>
        </w:rPr>
      </w:pPr>
    </w:p>
    <w:tbl>
      <w:tblPr>
        <w:tblW w:w="9176" w:type="dxa"/>
        <w:tblInd w:w="-10" w:type="dxa"/>
        <w:tblLook w:val="04A0" w:firstRow="1" w:lastRow="0" w:firstColumn="1" w:lastColumn="0" w:noHBand="0" w:noVBand="1"/>
      </w:tblPr>
      <w:tblGrid>
        <w:gridCol w:w="557"/>
        <w:gridCol w:w="567"/>
        <w:gridCol w:w="567"/>
        <w:gridCol w:w="3838"/>
        <w:gridCol w:w="1805"/>
        <w:gridCol w:w="1842"/>
      </w:tblGrid>
      <w:tr w:rsidR="00F635F3" w:rsidRPr="00BD7E4A" w14:paraId="3692D695" w14:textId="77777777" w:rsidTr="0035187F">
        <w:trPr>
          <w:trHeight w:val="320"/>
        </w:trPr>
        <w:tc>
          <w:tcPr>
            <w:tcW w:w="1691"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0698A446" w14:textId="77777777" w:rsidR="00F635F3" w:rsidRPr="00BD7E4A" w:rsidRDefault="00F635F3" w:rsidP="00F635F3">
            <w:pPr>
              <w:jc w:val="center"/>
              <w:rPr>
                <w:rFonts w:ascii="Arial Narrow" w:eastAsia="Times New Roman" w:hAnsi="Arial Narrow"/>
                <w:b/>
                <w:bCs/>
                <w:color w:val="FFFFFF"/>
                <w:sz w:val="22"/>
                <w:szCs w:val="22"/>
              </w:rPr>
            </w:pPr>
            <w:bookmarkStart w:id="11" w:name="_Hlk147139874"/>
            <w:r w:rsidRPr="00BD7E4A">
              <w:rPr>
                <w:rFonts w:ascii="Arial Narrow" w:eastAsia="Times New Roman" w:hAnsi="Arial Narrow"/>
                <w:b/>
                <w:bCs/>
                <w:color w:val="FFFFFF"/>
                <w:sz w:val="22"/>
                <w:szCs w:val="22"/>
              </w:rPr>
              <w:t>Norma / Política</w:t>
            </w:r>
          </w:p>
        </w:tc>
        <w:tc>
          <w:tcPr>
            <w:tcW w:w="3838"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28E2C954" w14:textId="77777777" w:rsidR="00F635F3" w:rsidRPr="00BD7E4A" w:rsidRDefault="00F635F3" w:rsidP="00F635F3">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3647" w:type="dxa"/>
            <w:gridSpan w:val="2"/>
            <w:tcBorders>
              <w:top w:val="single" w:sz="8" w:space="0" w:color="auto"/>
              <w:left w:val="nil"/>
              <w:bottom w:val="single" w:sz="8" w:space="0" w:color="auto"/>
              <w:right w:val="single" w:sz="8" w:space="0" w:color="000000"/>
            </w:tcBorders>
            <w:shd w:val="clear" w:color="000000" w:fill="203764"/>
            <w:vAlign w:val="center"/>
            <w:hideMark/>
          </w:tcPr>
          <w:p w14:paraId="1F526253" w14:textId="77777777" w:rsidR="00F635F3" w:rsidRPr="00BD7E4A" w:rsidRDefault="00F635F3" w:rsidP="00F635F3">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F635F3" w:rsidRPr="0091631A" w14:paraId="17EAC6E7" w14:textId="77777777" w:rsidTr="0035187F">
        <w:trPr>
          <w:trHeight w:val="320"/>
        </w:trPr>
        <w:tc>
          <w:tcPr>
            <w:tcW w:w="1691" w:type="dxa"/>
            <w:gridSpan w:val="3"/>
            <w:vMerge/>
            <w:tcBorders>
              <w:top w:val="single" w:sz="8" w:space="0" w:color="auto"/>
              <w:left w:val="single" w:sz="8" w:space="0" w:color="auto"/>
              <w:bottom w:val="single" w:sz="8" w:space="0" w:color="000000"/>
              <w:right w:val="single" w:sz="8" w:space="0" w:color="000000"/>
            </w:tcBorders>
            <w:vAlign w:val="center"/>
            <w:hideMark/>
          </w:tcPr>
          <w:p w14:paraId="3A3ED018" w14:textId="77777777" w:rsidR="00F635F3" w:rsidRPr="00BD7E4A" w:rsidRDefault="00F635F3" w:rsidP="00F635F3">
            <w:pPr>
              <w:rPr>
                <w:rFonts w:ascii="Arial Narrow" w:eastAsia="Times New Roman" w:hAnsi="Arial Narrow"/>
                <w:b/>
                <w:bCs/>
                <w:color w:val="FFFFFF"/>
                <w:sz w:val="22"/>
                <w:szCs w:val="22"/>
              </w:rPr>
            </w:pPr>
          </w:p>
        </w:tc>
        <w:tc>
          <w:tcPr>
            <w:tcW w:w="3838" w:type="dxa"/>
            <w:vMerge/>
            <w:tcBorders>
              <w:top w:val="single" w:sz="8" w:space="0" w:color="auto"/>
              <w:left w:val="single" w:sz="8" w:space="0" w:color="auto"/>
              <w:bottom w:val="single" w:sz="8" w:space="0" w:color="000000"/>
              <w:right w:val="single" w:sz="8" w:space="0" w:color="auto"/>
            </w:tcBorders>
            <w:vAlign w:val="center"/>
            <w:hideMark/>
          </w:tcPr>
          <w:p w14:paraId="16C20AE1" w14:textId="77777777" w:rsidR="00F635F3" w:rsidRPr="00BD7E4A" w:rsidRDefault="00F635F3" w:rsidP="00F635F3">
            <w:pPr>
              <w:rPr>
                <w:rFonts w:ascii="Arial Narrow" w:eastAsia="Times New Roman" w:hAnsi="Arial Narrow"/>
                <w:b/>
                <w:bCs/>
                <w:color w:val="FFFFFF"/>
                <w:sz w:val="22"/>
                <w:szCs w:val="22"/>
              </w:rPr>
            </w:pPr>
          </w:p>
        </w:tc>
        <w:tc>
          <w:tcPr>
            <w:tcW w:w="1805" w:type="dxa"/>
            <w:tcBorders>
              <w:top w:val="nil"/>
              <w:left w:val="nil"/>
              <w:bottom w:val="single" w:sz="8" w:space="0" w:color="auto"/>
              <w:right w:val="single" w:sz="8" w:space="0" w:color="auto"/>
            </w:tcBorders>
            <w:shd w:val="clear" w:color="000000" w:fill="203764"/>
            <w:vAlign w:val="center"/>
            <w:hideMark/>
          </w:tcPr>
          <w:p w14:paraId="2D280B44" w14:textId="77777777" w:rsidR="00F635F3" w:rsidRPr="00BD7E4A" w:rsidRDefault="00F635F3" w:rsidP="00F635F3">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1842" w:type="dxa"/>
            <w:tcBorders>
              <w:top w:val="nil"/>
              <w:left w:val="nil"/>
              <w:bottom w:val="single" w:sz="8" w:space="0" w:color="auto"/>
              <w:right w:val="single" w:sz="8" w:space="0" w:color="auto"/>
            </w:tcBorders>
            <w:shd w:val="clear" w:color="000000" w:fill="203764"/>
            <w:vAlign w:val="center"/>
            <w:hideMark/>
          </w:tcPr>
          <w:p w14:paraId="74450C03" w14:textId="32D1D4E9" w:rsidR="00F635F3" w:rsidRPr="0091631A" w:rsidRDefault="0091631A" w:rsidP="00F635F3">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635F3" w:rsidRPr="00BD7E4A" w14:paraId="12E46C54" w14:textId="77777777" w:rsidTr="0035187F">
        <w:trPr>
          <w:trHeight w:val="417"/>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4DD507B" w14:textId="77777777" w:rsidR="00F635F3" w:rsidRPr="00BD7E4A" w:rsidRDefault="00F635F3" w:rsidP="00F635F3">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67" w:type="dxa"/>
            <w:tcBorders>
              <w:top w:val="nil"/>
              <w:left w:val="nil"/>
              <w:bottom w:val="single" w:sz="8" w:space="0" w:color="auto"/>
              <w:right w:val="single" w:sz="8" w:space="0" w:color="auto"/>
            </w:tcBorders>
            <w:shd w:val="clear" w:color="auto" w:fill="auto"/>
            <w:vAlign w:val="center"/>
            <w:hideMark/>
          </w:tcPr>
          <w:p w14:paraId="596539E0" w14:textId="77777777" w:rsidR="00F635F3" w:rsidRPr="00BD7E4A" w:rsidRDefault="00F635F3" w:rsidP="00F635F3">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67" w:type="dxa"/>
            <w:tcBorders>
              <w:top w:val="nil"/>
              <w:left w:val="nil"/>
              <w:bottom w:val="single" w:sz="8" w:space="0" w:color="auto"/>
              <w:right w:val="single" w:sz="8" w:space="0" w:color="auto"/>
            </w:tcBorders>
            <w:shd w:val="clear" w:color="auto" w:fill="auto"/>
            <w:vAlign w:val="center"/>
            <w:hideMark/>
          </w:tcPr>
          <w:p w14:paraId="1B6A3340" w14:textId="166BCE89" w:rsidR="00F635F3" w:rsidRPr="00BD7E4A" w:rsidRDefault="006D5125" w:rsidP="00F635F3">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0</w:t>
            </w:r>
            <w:r w:rsidR="00F635F3" w:rsidRPr="00BD7E4A">
              <w:rPr>
                <w:rFonts w:ascii="Arial Narrow" w:eastAsia="Times New Roman" w:hAnsi="Arial Narrow"/>
                <w:b/>
                <w:bCs/>
                <w:color w:val="000000"/>
                <w:sz w:val="22"/>
                <w:szCs w:val="22"/>
              </w:rPr>
              <w:t>.</w:t>
            </w:r>
          </w:p>
        </w:tc>
        <w:tc>
          <w:tcPr>
            <w:tcW w:w="3838" w:type="dxa"/>
            <w:tcBorders>
              <w:top w:val="nil"/>
              <w:left w:val="nil"/>
              <w:bottom w:val="single" w:sz="8" w:space="0" w:color="auto"/>
              <w:right w:val="single" w:sz="8" w:space="0" w:color="auto"/>
            </w:tcBorders>
            <w:shd w:val="clear" w:color="auto" w:fill="auto"/>
            <w:vAlign w:val="center"/>
            <w:hideMark/>
          </w:tcPr>
          <w:p w14:paraId="543CCECD" w14:textId="77777777" w:rsidR="00F635F3" w:rsidRPr="00BD7E4A" w:rsidRDefault="00F635F3" w:rsidP="00F635F3">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Definición</w:t>
            </w:r>
          </w:p>
        </w:tc>
        <w:tc>
          <w:tcPr>
            <w:tcW w:w="1805" w:type="dxa"/>
            <w:tcBorders>
              <w:top w:val="nil"/>
              <w:left w:val="nil"/>
              <w:bottom w:val="single" w:sz="8" w:space="0" w:color="auto"/>
              <w:right w:val="single" w:sz="8" w:space="0" w:color="auto"/>
            </w:tcBorders>
            <w:shd w:val="clear" w:color="auto" w:fill="auto"/>
            <w:vAlign w:val="center"/>
            <w:hideMark/>
          </w:tcPr>
          <w:p w14:paraId="3BD68349" w14:textId="77777777" w:rsidR="00F635F3" w:rsidRPr="00BD7E4A" w:rsidRDefault="00F635F3" w:rsidP="00F635F3">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NICSP N° 28, Párrafo 9.</w:t>
            </w:r>
          </w:p>
        </w:tc>
        <w:tc>
          <w:tcPr>
            <w:tcW w:w="1842" w:type="dxa"/>
            <w:tcBorders>
              <w:top w:val="nil"/>
              <w:left w:val="nil"/>
              <w:bottom w:val="single" w:sz="8" w:space="0" w:color="auto"/>
              <w:right w:val="single" w:sz="8" w:space="0" w:color="auto"/>
            </w:tcBorders>
            <w:shd w:val="clear" w:color="auto" w:fill="auto"/>
            <w:vAlign w:val="center"/>
            <w:hideMark/>
          </w:tcPr>
          <w:p w14:paraId="2F77682E" w14:textId="77777777" w:rsidR="00F635F3" w:rsidRPr="00BD7E4A" w:rsidRDefault="00F635F3" w:rsidP="00F635F3">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bookmarkEnd w:id="11"/>
    </w:tbl>
    <w:p w14:paraId="2F769E62" w14:textId="77777777" w:rsidR="007377D0" w:rsidRDefault="007377D0">
      <w:pPr>
        <w:spacing w:line="300" w:lineRule="exact"/>
        <w:rPr>
          <w:rFonts w:ascii="Arial" w:eastAsia="Times New Roman" w:hAnsi="Arial"/>
          <w:bCs/>
          <w:sz w:val="22"/>
          <w:szCs w:val="22"/>
        </w:rPr>
      </w:pPr>
    </w:p>
    <w:p w14:paraId="6C7E92F0" w14:textId="249EC626" w:rsidR="00F47532" w:rsidRDefault="00F47532">
      <w:pPr>
        <w:spacing w:line="300" w:lineRule="exact"/>
        <w:rPr>
          <w:rFonts w:ascii="Arial" w:eastAsia="Arial" w:hAnsi="Arial"/>
          <w:b/>
          <w:sz w:val="22"/>
          <w:szCs w:val="22"/>
        </w:rPr>
      </w:pPr>
      <w:r w:rsidRPr="00F02F9D">
        <w:rPr>
          <w:rFonts w:ascii="Arial" w:eastAsia="Arial" w:hAnsi="Arial"/>
          <w:b/>
          <w:sz w:val="22"/>
          <w:szCs w:val="22"/>
        </w:rPr>
        <w:t>Políticas Contables</w:t>
      </w:r>
    </w:p>
    <w:p w14:paraId="7631CB45" w14:textId="77777777" w:rsidR="00F47532" w:rsidRDefault="00F47532">
      <w:pPr>
        <w:spacing w:line="300" w:lineRule="exact"/>
        <w:rPr>
          <w:rFonts w:ascii="Arial" w:eastAsia="Times New Roman" w:hAnsi="Arial"/>
          <w:bCs/>
          <w:sz w:val="22"/>
          <w:szCs w:val="22"/>
        </w:rPr>
      </w:pPr>
    </w:p>
    <w:p w14:paraId="716C2435" w14:textId="097D991F" w:rsidR="008F0B50" w:rsidRPr="00F02F9D" w:rsidRDefault="0035187F" w:rsidP="0035187F">
      <w:pPr>
        <w:spacing w:line="237" w:lineRule="auto"/>
        <w:ind w:left="1134" w:right="260" w:hanging="1134"/>
        <w:jc w:val="both"/>
        <w:rPr>
          <w:rFonts w:ascii="Arial" w:eastAsia="Times New Roman" w:hAnsi="Arial"/>
          <w:bCs/>
          <w:sz w:val="22"/>
          <w:szCs w:val="22"/>
          <w:lang w:val="es-CR"/>
        </w:rPr>
      </w:pPr>
      <w:bookmarkStart w:id="12" w:name="_Hlk147139951"/>
      <w:r w:rsidRPr="00F02F9D">
        <w:rPr>
          <w:rFonts w:ascii="Arial" w:eastAsia="Arial" w:hAnsi="Arial"/>
          <w:bCs/>
          <w:sz w:val="22"/>
          <w:szCs w:val="22"/>
          <w:lang w:val="es-CR"/>
        </w:rPr>
        <w:t>1.1.</w:t>
      </w:r>
      <w:r w:rsidR="006D5125">
        <w:rPr>
          <w:rFonts w:ascii="Arial" w:eastAsia="Arial" w:hAnsi="Arial"/>
          <w:bCs/>
          <w:sz w:val="22"/>
          <w:szCs w:val="22"/>
          <w:lang w:val="es-CR"/>
        </w:rPr>
        <w:t>0</w:t>
      </w:r>
      <w:r w:rsidRPr="00F02F9D">
        <w:rPr>
          <w:rFonts w:ascii="Arial" w:eastAsia="Arial" w:hAnsi="Arial"/>
          <w:bCs/>
          <w:sz w:val="22"/>
          <w:szCs w:val="22"/>
          <w:lang w:val="es-CR"/>
        </w:rPr>
        <w:t>.01</w:t>
      </w:r>
      <w:r w:rsidRPr="00F02F9D">
        <w:rPr>
          <w:rFonts w:ascii="Arial" w:eastAsia="Arial" w:hAnsi="Arial"/>
          <w:bCs/>
          <w:sz w:val="22"/>
          <w:szCs w:val="22"/>
          <w:lang w:val="es-CR"/>
        </w:rPr>
        <w:tab/>
      </w:r>
      <w:r w:rsidR="008A4688" w:rsidRPr="00F02F9D">
        <w:rPr>
          <w:rFonts w:ascii="Arial" w:eastAsia="Arial" w:hAnsi="Arial"/>
          <w:bCs/>
          <w:sz w:val="22"/>
          <w:szCs w:val="22"/>
          <w:lang w:val="es-CR"/>
        </w:rPr>
        <w:t xml:space="preserve">En </w:t>
      </w:r>
      <w:r w:rsidR="002E3D70"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w:t>
      </w:r>
      <w:r w:rsidR="008F0B50" w:rsidRPr="00F02F9D">
        <w:rPr>
          <w:rFonts w:ascii="Arial" w:eastAsia="Arial" w:hAnsi="Arial"/>
          <w:bCs/>
          <w:sz w:val="22"/>
          <w:szCs w:val="22"/>
          <w:lang w:val="es-CR"/>
        </w:rPr>
        <w:t>un</w:t>
      </w:r>
      <w:r w:rsidR="008F0B50" w:rsidRPr="00F02F9D">
        <w:rPr>
          <w:rFonts w:ascii="Arial" w:eastAsia="Times New Roman" w:hAnsi="Arial"/>
          <w:bCs/>
          <w:sz w:val="22"/>
          <w:szCs w:val="22"/>
          <w:lang w:val="es-CR"/>
        </w:rPr>
        <w:t xml:space="preserve"> Activo</w:t>
      </w:r>
      <w:r w:rsidR="004D3A0A" w:rsidRPr="00F02F9D">
        <w:rPr>
          <w:rFonts w:ascii="Arial" w:eastAsia="Times New Roman" w:hAnsi="Arial"/>
          <w:bCs/>
          <w:sz w:val="22"/>
          <w:szCs w:val="22"/>
          <w:lang w:val="es-CR"/>
        </w:rPr>
        <w:t xml:space="preserve"> </w:t>
      </w:r>
      <w:r w:rsidR="00946CBC" w:rsidRPr="00F02F9D">
        <w:rPr>
          <w:rFonts w:ascii="Arial" w:eastAsia="Times New Roman" w:hAnsi="Arial"/>
          <w:bCs/>
          <w:sz w:val="22"/>
          <w:szCs w:val="22"/>
          <w:lang w:val="es-CR"/>
        </w:rPr>
        <w:t>F</w:t>
      </w:r>
      <w:r w:rsidR="004D3A0A" w:rsidRPr="00F02F9D">
        <w:rPr>
          <w:rFonts w:ascii="Arial" w:eastAsia="Times New Roman" w:hAnsi="Arial"/>
          <w:bCs/>
          <w:sz w:val="22"/>
          <w:szCs w:val="22"/>
          <w:lang w:val="es-CR"/>
        </w:rPr>
        <w:t>inanciero</w:t>
      </w:r>
      <w:r w:rsidR="007A52D4" w:rsidRPr="00F02F9D">
        <w:rPr>
          <w:rFonts w:ascii="Arial" w:eastAsia="Times New Roman" w:hAnsi="Arial"/>
          <w:bCs/>
          <w:sz w:val="22"/>
          <w:szCs w:val="22"/>
          <w:lang w:val="es-CR"/>
        </w:rPr>
        <w:t xml:space="preserve"> </w:t>
      </w:r>
      <w:r w:rsidR="004D3A0A" w:rsidRPr="00F02F9D">
        <w:rPr>
          <w:rFonts w:ascii="Arial" w:eastAsia="Times New Roman" w:hAnsi="Arial"/>
          <w:bCs/>
          <w:sz w:val="22"/>
          <w:szCs w:val="22"/>
          <w:lang w:val="es-CR"/>
        </w:rPr>
        <w:t xml:space="preserve">es todo </w:t>
      </w:r>
      <w:r w:rsidR="002B2B51" w:rsidRPr="00F02F9D">
        <w:rPr>
          <w:rFonts w:ascii="Arial" w:eastAsia="Times New Roman" w:hAnsi="Arial"/>
          <w:bCs/>
          <w:sz w:val="22"/>
          <w:szCs w:val="22"/>
          <w:lang w:val="es-CR"/>
        </w:rPr>
        <w:t xml:space="preserve">instrumento financiero clasificado como </w:t>
      </w:r>
      <w:r w:rsidR="004D3A0A" w:rsidRPr="00F02F9D">
        <w:rPr>
          <w:rFonts w:ascii="Arial" w:eastAsia="Times New Roman" w:hAnsi="Arial"/>
          <w:bCs/>
          <w:sz w:val="22"/>
          <w:szCs w:val="22"/>
          <w:lang w:val="es-CR"/>
        </w:rPr>
        <w:t xml:space="preserve">activo que posee </w:t>
      </w:r>
      <w:r w:rsidR="001256B8" w:rsidRPr="00F02F9D">
        <w:rPr>
          <w:rFonts w:ascii="Arial" w:eastAsia="Times New Roman" w:hAnsi="Arial"/>
          <w:bCs/>
          <w:sz w:val="22"/>
          <w:szCs w:val="22"/>
          <w:lang w:val="es-CR"/>
        </w:rPr>
        <w:t>la Municipalidad</w:t>
      </w:r>
      <w:r w:rsidR="006E4E8A">
        <w:rPr>
          <w:rFonts w:ascii="Arial" w:eastAsia="Times New Roman" w:hAnsi="Arial"/>
          <w:bCs/>
          <w:sz w:val="22"/>
          <w:szCs w:val="22"/>
          <w:lang w:val="es-CR"/>
        </w:rPr>
        <w:t>,</w:t>
      </w:r>
      <w:r w:rsidR="002B2B51" w:rsidRPr="00F02F9D">
        <w:rPr>
          <w:rFonts w:ascii="Arial" w:eastAsia="Times New Roman" w:hAnsi="Arial"/>
          <w:bCs/>
          <w:sz w:val="22"/>
          <w:szCs w:val="22"/>
          <w:lang w:val="es-CR"/>
        </w:rPr>
        <w:t xml:space="preserve"> que puede ser</w:t>
      </w:r>
      <w:r w:rsidR="001256B8" w:rsidRPr="00F02F9D">
        <w:rPr>
          <w:rFonts w:ascii="Arial" w:eastAsia="Times New Roman" w:hAnsi="Arial"/>
          <w:bCs/>
          <w:sz w:val="22"/>
          <w:szCs w:val="22"/>
          <w:lang w:val="es-CR"/>
        </w:rPr>
        <w:t xml:space="preserve"> </w:t>
      </w:r>
      <w:r w:rsidR="002B2B51" w:rsidRPr="00F02F9D">
        <w:rPr>
          <w:rFonts w:ascii="Arial" w:eastAsia="Times New Roman" w:hAnsi="Arial"/>
          <w:bCs/>
          <w:sz w:val="22"/>
          <w:szCs w:val="22"/>
          <w:lang w:val="es-CR"/>
        </w:rPr>
        <w:t xml:space="preserve">monetario o no monetario </w:t>
      </w:r>
      <w:r w:rsidR="001256B8" w:rsidRPr="00F02F9D">
        <w:rPr>
          <w:rFonts w:ascii="Arial" w:eastAsia="Times New Roman" w:hAnsi="Arial"/>
          <w:bCs/>
          <w:sz w:val="22"/>
          <w:szCs w:val="22"/>
          <w:lang w:val="es-CR"/>
        </w:rPr>
        <w:t>en</w:t>
      </w:r>
      <w:r w:rsidR="004D3A0A" w:rsidRPr="00F02F9D">
        <w:rPr>
          <w:rFonts w:ascii="Arial" w:eastAsia="Times New Roman" w:hAnsi="Arial"/>
          <w:bCs/>
          <w:sz w:val="22"/>
          <w:szCs w:val="22"/>
          <w:lang w:val="es-CR"/>
        </w:rPr>
        <w:t xml:space="preserve"> cualquiera de las siguientes formas: </w:t>
      </w:r>
    </w:p>
    <w:p w14:paraId="3531E144" w14:textId="77777777" w:rsidR="00FE24ED" w:rsidRPr="00F02F9D" w:rsidRDefault="00FE24ED" w:rsidP="008F0B50">
      <w:pPr>
        <w:spacing w:line="237" w:lineRule="auto"/>
        <w:ind w:right="260"/>
        <w:jc w:val="both"/>
        <w:rPr>
          <w:rFonts w:ascii="Arial" w:eastAsia="Arial" w:hAnsi="Arial"/>
          <w:bCs/>
          <w:sz w:val="22"/>
          <w:szCs w:val="22"/>
          <w:lang w:val="es-CR"/>
        </w:rPr>
      </w:pPr>
    </w:p>
    <w:p w14:paraId="37EE9072" w14:textId="5206A908" w:rsidR="008F0B50" w:rsidRPr="00F02F9D" w:rsidRDefault="008F0B50">
      <w:pPr>
        <w:pStyle w:val="Prrafodelista"/>
        <w:numPr>
          <w:ilvl w:val="0"/>
          <w:numId w:val="52"/>
        </w:numPr>
        <w:spacing w:after="120" w:line="238" w:lineRule="auto"/>
        <w:ind w:left="1417"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w:t>
      </w:r>
      <w:r w:rsidR="004D3A0A" w:rsidRPr="00F02F9D">
        <w:rPr>
          <w:rFonts w:ascii="Arial" w:eastAsia="Arial" w:hAnsi="Arial"/>
          <w:bCs/>
          <w:sz w:val="22"/>
          <w:szCs w:val="22"/>
          <w:lang w:val="es-CR"/>
        </w:rPr>
        <w:t xml:space="preserve">fectivo; </w:t>
      </w:r>
    </w:p>
    <w:p w14:paraId="63C96C62" w14:textId="5E0C5A8F" w:rsidR="008F0B50" w:rsidRPr="00F02F9D" w:rsidRDefault="008F0B50">
      <w:pPr>
        <w:pStyle w:val="Prrafodelista"/>
        <w:numPr>
          <w:ilvl w:val="0"/>
          <w:numId w:val="52"/>
        </w:numPr>
        <w:spacing w:after="120" w:line="238" w:lineRule="auto"/>
        <w:ind w:left="1417"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U</w:t>
      </w:r>
      <w:r w:rsidR="004D3A0A" w:rsidRPr="00F02F9D">
        <w:rPr>
          <w:rFonts w:ascii="Arial" w:eastAsia="Arial" w:hAnsi="Arial"/>
          <w:bCs/>
          <w:sz w:val="22"/>
          <w:szCs w:val="22"/>
          <w:lang w:val="es-CR"/>
        </w:rPr>
        <w:t xml:space="preserve">n derecho contractual a recibir efectivo u otro activo financiero por parte de otra entidad; </w:t>
      </w:r>
    </w:p>
    <w:p w14:paraId="108B3733" w14:textId="5182B85C" w:rsidR="008F0B50" w:rsidRPr="00F02F9D" w:rsidRDefault="008F0B50">
      <w:pPr>
        <w:pStyle w:val="Prrafodelista"/>
        <w:numPr>
          <w:ilvl w:val="0"/>
          <w:numId w:val="52"/>
        </w:numPr>
        <w:spacing w:after="120" w:line="238" w:lineRule="auto"/>
        <w:ind w:left="1418" w:right="261"/>
        <w:jc w:val="both"/>
        <w:rPr>
          <w:rFonts w:ascii="Arial" w:eastAsia="Arial" w:hAnsi="Arial"/>
          <w:bCs/>
          <w:sz w:val="22"/>
          <w:szCs w:val="22"/>
          <w:lang w:val="es-CR"/>
        </w:rPr>
      </w:pPr>
      <w:r w:rsidRPr="00F02F9D">
        <w:rPr>
          <w:rFonts w:ascii="Arial" w:eastAsia="Arial" w:hAnsi="Arial"/>
          <w:bCs/>
          <w:sz w:val="22"/>
          <w:szCs w:val="22"/>
          <w:lang w:val="es-CR"/>
        </w:rPr>
        <w:t>U</w:t>
      </w:r>
      <w:r w:rsidR="004D3A0A" w:rsidRPr="00F02F9D">
        <w:rPr>
          <w:rFonts w:ascii="Arial" w:eastAsia="Arial" w:hAnsi="Arial"/>
          <w:bCs/>
          <w:sz w:val="22"/>
          <w:szCs w:val="22"/>
          <w:lang w:val="es-CR"/>
        </w:rPr>
        <w:t xml:space="preserve">n derecho contractual a </w:t>
      </w:r>
      <w:r w:rsidR="000F29DC" w:rsidRPr="00F02F9D">
        <w:rPr>
          <w:rFonts w:ascii="Arial" w:eastAsia="Arial" w:hAnsi="Arial"/>
          <w:bCs/>
          <w:sz w:val="22"/>
          <w:szCs w:val="22"/>
          <w:lang w:val="es-CR"/>
        </w:rPr>
        <w:t>interca</w:t>
      </w:r>
      <w:r w:rsidR="000F29DC">
        <w:rPr>
          <w:rFonts w:ascii="Arial" w:eastAsia="Arial" w:hAnsi="Arial"/>
          <w:bCs/>
          <w:sz w:val="22"/>
          <w:szCs w:val="22"/>
          <w:lang w:val="es-CR"/>
        </w:rPr>
        <w:t>mbi</w:t>
      </w:r>
      <w:r w:rsidR="000F29DC" w:rsidRPr="00F02F9D">
        <w:rPr>
          <w:rFonts w:ascii="Arial" w:eastAsia="Arial" w:hAnsi="Arial"/>
          <w:bCs/>
          <w:sz w:val="22"/>
          <w:szCs w:val="22"/>
          <w:lang w:val="es-CR"/>
        </w:rPr>
        <w:t>ar</w:t>
      </w:r>
      <w:r w:rsidR="004D3A0A" w:rsidRPr="00F02F9D">
        <w:rPr>
          <w:rFonts w:ascii="Arial" w:eastAsia="Arial" w:hAnsi="Arial"/>
          <w:bCs/>
          <w:sz w:val="22"/>
          <w:szCs w:val="22"/>
          <w:lang w:val="es-CR"/>
        </w:rPr>
        <w:t xml:space="preserve"> instrumentos financieros con otra entidad, en condiciones que son potencialmente favorables; o </w:t>
      </w:r>
    </w:p>
    <w:bookmarkEnd w:id="12"/>
    <w:p w14:paraId="32A3DF76" w14:textId="77777777" w:rsidR="00F635F3" w:rsidRPr="00F02F9D" w:rsidRDefault="00F635F3" w:rsidP="0035187F">
      <w:pPr>
        <w:ind w:left="1418"/>
        <w:rPr>
          <w:rFonts w:ascii="Arial" w:eastAsia="Arial" w:hAnsi="Arial"/>
          <w:b/>
          <w:sz w:val="22"/>
          <w:szCs w:val="22"/>
          <w:lang w:val="es-CR"/>
        </w:rPr>
      </w:pPr>
    </w:p>
    <w:tbl>
      <w:tblPr>
        <w:tblW w:w="8906" w:type="dxa"/>
        <w:tblInd w:w="118" w:type="dxa"/>
        <w:tblLook w:val="04A0" w:firstRow="1" w:lastRow="0" w:firstColumn="1" w:lastColumn="0" w:noHBand="0" w:noVBand="1"/>
      </w:tblPr>
      <w:tblGrid>
        <w:gridCol w:w="439"/>
        <w:gridCol w:w="620"/>
        <w:gridCol w:w="621"/>
        <w:gridCol w:w="2832"/>
        <w:gridCol w:w="2410"/>
        <w:gridCol w:w="1984"/>
      </w:tblGrid>
      <w:tr w:rsidR="00E623F9" w:rsidRPr="00BD7E4A" w14:paraId="7B2506EA" w14:textId="77777777" w:rsidTr="0091631A">
        <w:trPr>
          <w:trHeight w:val="320"/>
        </w:trPr>
        <w:tc>
          <w:tcPr>
            <w:tcW w:w="1680"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5941F7A2" w14:textId="77777777" w:rsidR="00F635F3" w:rsidRPr="00BD7E4A" w:rsidRDefault="00F635F3" w:rsidP="00F635F3">
            <w:pPr>
              <w:jc w:val="center"/>
              <w:rPr>
                <w:rFonts w:ascii="Arial Narrow" w:eastAsia="Times New Roman" w:hAnsi="Arial Narrow"/>
                <w:b/>
                <w:bCs/>
                <w:color w:val="FFFFFF"/>
                <w:sz w:val="22"/>
                <w:szCs w:val="22"/>
              </w:rPr>
            </w:pPr>
            <w:bookmarkStart w:id="13" w:name="_Hlk147139995"/>
            <w:r w:rsidRPr="00BD7E4A">
              <w:rPr>
                <w:rFonts w:ascii="Arial Narrow" w:eastAsia="Times New Roman" w:hAnsi="Arial Narrow"/>
                <w:b/>
                <w:bCs/>
                <w:color w:val="FFFFFF"/>
                <w:sz w:val="22"/>
                <w:szCs w:val="22"/>
              </w:rPr>
              <w:t>Norma / Política</w:t>
            </w:r>
          </w:p>
        </w:tc>
        <w:tc>
          <w:tcPr>
            <w:tcW w:w="2832"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52C5ECC6" w14:textId="77777777" w:rsidR="00F635F3" w:rsidRPr="00BD7E4A" w:rsidRDefault="00F635F3" w:rsidP="00F635F3">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0E19497D" w14:textId="77777777" w:rsidR="00F635F3" w:rsidRPr="00BD7E4A" w:rsidRDefault="00F635F3" w:rsidP="00F635F3">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E623F9" w:rsidRPr="0091631A" w14:paraId="3E6CD465" w14:textId="77777777" w:rsidTr="0091631A">
        <w:trPr>
          <w:trHeight w:val="320"/>
        </w:trPr>
        <w:tc>
          <w:tcPr>
            <w:tcW w:w="1680" w:type="dxa"/>
            <w:gridSpan w:val="3"/>
            <w:vMerge/>
            <w:tcBorders>
              <w:top w:val="single" w:sz="8" w:space="0" w:color="auto"/>
              <w:left w:val="single" w:sz="8" w:space="0" w:color="auto"/>
              <w:bottom w:val="single" w:sz="8" w:space="0" w:color="000000"/>
              <w:right w:val="single" w:sz="8" w:space="0" w:color="000000"/>
            </w:tcBorders>
            <w:vAlign w:val="center"/>
            <w:hideMark/>
          </w:tcPr>
          <w:p w14:paraId="56873C49" w14:textId="77777777" w:rsidR="00F635F3" w:rsidRPr="00BD7E4A" w:rsidRDefault="00F635F3" w:rsidP="00F635F3">
            <w:pPr>
              <w:rPr>
                <w:rFonts w:ascii="Arial Narrow" w:eastAsia="Times New Roman" w:hAnsi="Arial Narrow"/>
                <w:b/>
                <w:bCs/>
                <w:color w:val="FFFFFF"/>
                <w:sz w:val="22"/>
                <w:szCs w:val="22"/>
              </w:rPr>
            </w:pPr>
          </w:p>
        </w:tc>
        <w:tc>
          <w:tcPr>
            <w:tcW w:w="2832" w:type="dxa"/>
            <w:vMerge/>
            <w:tcBorders>
              <w:top w:val="single" w:sz="8" w:space="0" w:color="auto"/>
              <w:left w:val="single" w:sz="8" w:space="0" w:color="auto"/>
              <w:bottom w:val="single" w:sz="8" w:space="0" w:color="000000"/>
              <w:right w:val="single" w:sz="8" w:space="0" w:color="auto"/>
            </w:tcBorders>
            <w:vAlign w:val="center"/>
            <w:hideMark/>
          </w:tcPr>
          <w:p w14:paraId="1D20B156" w14:textId="77777777" w:rsidR="00F635F3" w:rsidRPr="00BD7E4A" w:rsidRDefault="00F635F3" w:rsidP="00F635F3">
            <w:pPr>
              <w:rPr>
                <w:rFonts w:ascii="Arial Narrow" w:eastAsia="Times New Roman" w:hAnsi="Arial Narrow"/>
                <w:b/>
                <w:bCs/>
                <w:color w:val="FFFFFF"/>
                <w:sz w:val="22"/>
                <w:szCs w:val="22"/>
              </w:rPr>
            </w:pPr>
          </w:p>
        </w:tc>
        <w:tc>
          <w:tcPr>
            <w:tcW w:w="2410" w:type="dxa"/>
            <w:tcBorders>
              <w:top w:val="nil"/>
              <w:left w:val="nil"/>
              <w:bottom w:val="single" w:sz="8" w:space="0" w:color="auto"/>
              <w:right w:val="single" w:sz="8" w:space="0" w:color="auto"/>
            </w:tcBorders>
            <w:shd w:val="clear" w:color="000000" w:fill="203764"/>
            <w:vAlign w:val="center"/>
            <w:hideMark/>
          </w:tcPr>
          <w:p w14:paraId="0A3FEA8A" w14:textId="68192B5E" w:rsidR="00F635F3" w:rsidRPr="00BD7E4A" w:rsidRDefault="00F635F3" w:rsidP="00F635F3">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w:t>
            </w:r>
            <w:r w:rsidR="00FE24ED" w:rsidRPr="00BD7E4A">
              <w:rPr>
                <w:rFonts w:ascii="Arial Narrow" w:eastAsia="Times New Roman" w:hAnsi="Arial Narrow"/>
                <w:b/>
                <w:bCs/>
                <w:color w:val="FFFFFF"/>
                <w:sz w:val="22"/>
                <w:szCs w:val="22"/>
              </w:rPr>
              <w:t>ICSP</w:t>
            </w:r>
          </w:p>
        </w:tc>
        <w:tc>
          <w:tcPr>
            <w:tcW w:w="1984" w:type="dxa"/>
            <w:tcBorders>
              <w:top w:val="nil"/>
              <w:left w:val="nil"/>
              <w:bottom w:val="single" w:sz="8" w:space="0" w:color="auto"/>
              <w:right w:val="single" w:sz="8" w:space="0" w:color="auto"/>
            </w:tcBorders>
            <w:shd w:val="clear" w:color="000000" w:fill="203764"/>
            <w:vAlign w:val="center"/>
            <w:hideMark/>
          </w:tcPr>
          <w:p w14:paraId="51156FBF" w14:textId="20273E50" w:rsidR="00F635F3" w:rsidRPr="0091631A" w:rsidRDefault="0091631A" w:rsidP="00F635F3">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E623F9" w:rsidRPr="006E5442" w14:paraId="7788EFBB" w14:textId="77777777" w:rsidTr="0091631A">
        <w:trPr>
          <w:trHeight w:val="320"/>
        </w:trPr>
        <w:tc>
          <w:tcPr>
            <w:tcW w:w="439" w:type="dxa"/>
            <w:tcBorders>
              <w:top w:val="nil"/>
              <w:left w:val="single" w:sz="8" w:space="0" w:color="auto"/>
              <w:bottom w:val="single" w:sz="8" w:space="0" w:color="auto"/>
              <w:right w:val="single" w:sz="8" w:space="0" w:color="auto"/>
            </w:tcBorders>
            <w:shd w:val="clear" w:color="auto" w:fill="auto"/>
            <w:vAlign w:val="center"/>
            <w:hideMark/>
          </w:tcPr>
          <w:p w14:paraId="701CF0A5" w14:textId="74E89EF0" w:rsidR="00F635F3" w:rsidRPr="00BD7E4A" w:rsidRDefault="00F635F3" w:rsidP="00F635F3">
            <w:pPr>
              <w:rPr>
                <w:rFonts w:ascii="Arial Narrow" w:eastAsia="Times New Roman" w:hAnsi="Arial Narrow"/>
                <w:b/>
                <w:bCs/>
                <w:color w:val="000000"/>
                <w:sz w:val="22"/>
                <w:szCs w:val="22"/>
              </w:rPr>
            </w:pPr>
            <w:r w:rsidRPr="0091631A">
              <w:rPr>
                <w:rFonts w:ascii="Arial Narrow" w:eastAsia="Times New Roman" w:hAnsi="Arial Narrow"/>
                <w:b/>
                <w:bCs/>
                <w:color w:val="000000"/>
                <w:sz w:val="22"/>
                <w:szCs w:val="22"/>
                <w:lang w:val="es-CR"/>
              </w:rPr>
              <w:t> </w:t>
            </w:r>
            <w:r w:rsidRPr="00BD7E4A">
              <w:rPr>
                <w:rFonts w:ascii="Arial Narrow" w:eastAsia="Times New Roman" w:hAnsi="Arial Narrow"/>
                <w:b/>
                <w:bCs/>
                <w:color w:val="000000"/>
                <w:sz w:val="22"/>
                <w:szCs w:val="22"/>
              </w:rPr>
              <w:t>1.</w:t>
            </w:r>
          </w:p>
        </w:tc>
        <w:tc>
          <w:tcPr>
            <w:tcW w:w="620" w:type="dxa"/>
            <w:tcBorders>
              <w:top w:val="nil"/>
              <w:left w:val="nil"/>
              <w:bottom w:val="single" w:sz="8" w:space="0" w:color="auto"/>
              <w:right w:val="single" w:sz="8" w:space="0" w:color="auto"/>
            </w:tcBorders>
            <w:shd w:val="clear" w:color="auto" w:fill="auto"/>
            <w:vAlign w:val="center"/>
            <w:hideMark/>
          </w:tcPr>
          <w:p w14:paraId="2148CE7F" w14:textId="2B8E87F5" w:rsidR="00F635F3" w:rsidRPr="00BD7E4A" w:rsidRDefault="00F635F3" w:rsidP="00F635F3">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2. </w:t>
            </w:r>
          </w:p>
        </w:tc>
        <w:tc>
          <w:tcPr>
            <w:tcW w:w="620" w:type="dxa"/>
            <w:tcBorders>
              <w:top w:val="nil"/>
              <w:left w:val="nil"/>
              <w:bottom w:val="single" w:sz="8" w:space="0" w:color="auto"/>
              <w:right w:val="single" w:sz="8" w:space="0" w:color="auto"/>
            </w:tcBorders>
            <w:shd w:val="clear" w:color="auto" w:fill="auto"/>
            <w:vAlign w:val="center"/>
            <w:hideMark/>
          </w:tcPr>
          <w:p w14:paraId="0126AEFD" w14:textId="77777777" w:rsidR="00F635F3" w:rsidRPr="00BD7E4A" w:rsidRDefault="00F635F3" w:rsidP="00F635F3">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c>
          <w:tcPr>
            <w:tcW w:w="2832" w:type="dxa"/>
            <w:tcBorders>
              <w:top w:val="nil"/>
              <w:left w:val="nil"/>
              <w:bottom w:val="single" w:sz="8" w:space="0" w:color="auto"/>
              <w:right w:val="single" w:sz="8" w:space="0" w:color="auto"/>
            </w:tcBorders>
            <w:shd w:val="clear" w:color="auto" w:fill="auto"/>
            <w:vAlign w:val="bottom"/>
            <w:hideMark/>
          </w:tcPr>
          <w:p w14:paraId="4413D303" w14:textId="51C40453" w:rsidR="00F635F3" w:rsidRPr="00BD7E4A" w:rsidRDefault="00E623F9" w:rsidP="009B0643">
            <w:pPr>
              <w:spacing w:before="120" w:after="840"/>
              <w:jc w:val="both"/>
              <w:rPr>
                <w:rFonts w:ascii="Arial Narrow" w:eastAsia="Times New Roman" w:hAnsi="Arial Narrow"/>
                <w:b/>
                <w:bCs/>
                <w:color w:val="000000"/>
                <w:sz w:val="22"/>
                <w:szCs w:val="22"/>
                <w:lang w:val="es-CR"/>
              </w:rPr>
            </w:pPr>
            <w:r w:rsidRPr="00BD7E4A">
              <w:rPr>
                <w:rFonts w:ascii="Arial Narrow" w:eastAsia="Arial" w:hAnsi="Arial Narrow"/>
                <w:b/>
                <w:sz w:val="22"/>
                <w:szCs w:val="22"/>
                <w:lang w:val="es-CR"/>
              </w:rPr>
              <w:t>Diferentes clases</w:t>
            </w:r>
            <w:r w:rsidR="00F635F3" w:rsidRPr="00BD7E4A">
              <w:rPr>
                <w:rFonts w:ascii="Arial Narrow" w:eastAsia="Arial" w:hAnsi="Arial Narrow"/>
                <w:b/>
                <w:sz w:val="22"/>
                <w:szCs w:val="22"/>
                <w:lang w:val="es-CR"/>
              </w:rPr>
              <w:t xml:space="preserve"> de instrumentos financieros</w:t>
            </w:r>
            <w:r w:rsidRPr="00BD7E4A">
              <w:rPr>
                <w:rFonts w:ascii="Arial Narrow" w:eastAsia="Arial" w:hAnsi="Arial Narrow"/>
                <w:b/>
                <w:sz w:val="22"/>
                <w:szCs w:val="22"/>
                <w:lang w:val="es-CR"/>
              </w:rPr>
              <w:t>.</w:t>
            </w:r>
          </w:p>
        </w:tc>
        <w:tc>
          <w:tcPr>
            <w:tcW w:w="2410" w:type="dxa"/>
            <w:tcBorders>
              <w:top w:val="nil"/>
              <w:left w:val="nil"/>
              <w:bottom w:val="single" w:sz="8" w:space="0" w:color="auto"/>
              <w:right w:val="single" w:sz="8" w:space="0" w:color="auto"/>
            </w:tcBorders>
            <w:shd w:val="clear" w:color="auto" w:fill="auto"/>
            <w:vAlign w:val="center"/>
          </w:tcPr>
          <w:p w14:paraId="45F2AFA4" w14:textId="77777777" w:rsidR="00F635F3" w:rsidRPr="00BD7E4A" w:rsidRDefault="00157774" w:rsidP="00F635F3">
            <w:pPr>
              <w:rPr>
                <w:rFonts w:ascii="Arial Narrow" w:eastAsia="Arial" w:hAnsi="Arial Narrow"/>
                <w:b/>
                <w:sz w:val="22"/>
                <w:szCs w:val="22"/>
                <w:lang w:val="es-CR"/>
              </w:rPr>
            </w:pPr>
            <w:r w:rsidRPr="00BD7E4A">
              <w:rPr>
                <w:rFonts w:ascii="Arial Narrow" w:eastAsia="Arial" w:hAnsi="Arial Narrow"/>
                <w:b/>
                <w:sz w:val="22"/>
                <w:szCs w:val="22"/>
                <w:lang w:val="es-CR"/>
              </w:rPr>
              <w:t>NICSP N° 28,</w:t>
            </w:r>
          </w:p>
          <w:p w14:paraId="52C63243" w14:textId="77777777" w:rsidR="002B1B5D" w:rsidRPr="00BD7E4A" w:rsidRDefault="00157774" w:rsidP="00157774">
            <w:pPr>
              <w:jc w:val="both"/>
              <w:rPr>
                <w:rFonts w:ascii="Arial Narrow" w:hAnsi="Arial Narrow"/>
                <w:b/>
                <w:bCs/>
                <w:color w:val="000000"/>
                <w:sz w:val="22"/>
                <w:szCs w:val="22"/>
                <w:lang w:val="es-CR"/>
              </w:rPr>
            </w:pPr>
            <w:r w:rsidRPr="00BD7E4A">
              <w:rPr>
                <w:rFonts w:ascii="Arial Narrow" w:hAnsi="Arial Narrow"/>
                <w:b/>
                <w:bCs/>
                <w:color w:val="000000"/>
                <w:sz w:val="22"/>
                <w:szCs w:val="22"/>
                <w:lang w:val="es-CR"/>
              </w:rPr>
              <w:t>Apéndice A: Guía de aplicación de la norma.</w:t>
            </w:r>
            <w:r w:rsidRPr="00BD7E4A">
              <w:rPr>
                <w:rFonts w:ascii="Arial Narrow" w:hAnsi="Arial Narrow"/>
                <w:b/>
                <w:bCs/>
                <w:color w:val="000000"/>
                <w:sz w:val="22"/>
                <w:szCs w:val="22"/>
                <w:lang w:val="es-CR"/>
              </w:rPr>
              <w:br/>
              <w:t xml:space="preserve">NICSP </w:t>
            </w:r>
            <w:r w:rsidRPr="00BD7E4A">
              <w:rPr>
                <w:rFonts w:ascii="Arial Narrow" w:eastAsia="Arial" w:hAnsi="Arial Narrow"/>
                <w:b/>
                <w:sz w:val="22"/>
                <w:szCs w:val="22"/>
                <w:lang w:val="es-CR"/>
              </w:rPr>
              <w:t>N°</w:t>
            </w:r>
            <w:r w:rsidRPr="00BD7E4A">
              <w:rPr>
                <w:rFonts w:ascii="Arial Narrow" w:hAnsi="Arial Narrow"/>
                <w:b/>
                <w:bCs/>
                <w:color w:val="000000"/>
                <w:sz w:val="22"/>
                <w:szCs w:val="22"/>
                <w:lang w:val="es-CR"/>
              </w:rPr>
              <w:t xml:space="preserve"> 29, </w:t>
            </w:r>
          </w:p>
          <w:p w14:paraId="7539FE19" w14:textId="77777777" w:rsidR="002B1B5D" w:rsidRPr="00BD7E4A" w:rsidRDefault="00157774" w:rsidP="00157774">
            <w:pPr>
              <w:jc w:val="both"/>
              <w:rPr>
                <w:rFonts w:ascii="Arial Narrow" w:hAnsi="Arial Narrow"/>
                <w:b/>
                <w:bCs/>
                <w:color w:val="000000"/>
                <w:sz w:val="22"/>
                <w:szCs w:val="22"/>
                <w:lang w:val="es-CR"/>
              </w:rPr>
            </w:pPr>
            <w:r w:rsidRPr="00BD7E4A">
              <w:rPr>
                <w:rFonts w:ascii="Arial Narrow" w:hAnsi="Arial Narrow"/>
                <w:b/>
                <w:bCs/>
                <w:color w:val="000000"/>
                <w:sz w:val="22"/>
                <w:szCs w:val="22"/>
                <w:lang w:val="es-CR"/>
              </w:rPr>
              <w:t xml:space="preserve">Párrafo 10 </w:t>
            </w:r>
          </w:p>
          <w:p w14:paraId="4792EF49" w14:textId="188303EB" w:rsidR="00157774" w:rsidRPr="00BD7E4A" w:rsidRDefault="00157774" w:rsidP="00157774">
            <w:pPr>
              <w:jc w:val="both"/>
              <w:rPr>
                <w:rFonts w:ascii="Arial Narrow" w:hAnsi="Arial Narrow"/>
                <w:b/>
                <w:bCs/>
                <w:color w:val="000000"/>
                <w:sz w:val="22"/>
                <w:szCs w:val="22"/>
                <w:lang w:val="es-CR"/>
              </w:rPr>
            </w:pPr>
            <w:r w:rsidRPr="00BD7E4A">
              <w:rPr>
                <w:rFonts w:ascii="Arial Narrow" w:hAnsi="Arial Narrow"/>
                <w:b/>
                <w:bCs/>
                <w:color w:val="000000"/>
                <w:sz w:val="22"/>
                <w:szCs w:val="22"/>
                <w:lang w:val="es-CR"/>
              </w:rPr>
              <w:t>Apéndice A: Guía de aplicación de la norma.</w:t>
            </w:r>
          </w:p>
        </w:tc>
        <w:tc>
          <w:tcPr>
            <w:tcW w:w="1984" w:type="dxa"/>
            <w:tcBorders>
              <w:top w:val="nil"/>
              <w:left w:val="nil"/>
              <w:bottom w:val="single" w:sz="8" w:space="0" w:color="auto"/>
              <w:right w:val="single" w:sz="8" w:space="0" w:color="auto"/>
            </w:tcBorders>
            <w:shd w:val="clear" w:color="auto" w:fill="auto"/>
            <w:vAlign w:val="center"/>
            <w:hideMark/>
          </w:tcPr>
          <w:p w14:paraId="6AF2969D" w14:textId="77777777" w:rsidR="00F635F3" w:rsidRPr="00BD7E4A" w:rsidRDefault="00F635F3" w:rsidP="00F635F3">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 </w:t>
            </w:r>
          </w:p>
        </w:tc>
      </w:tr>
      <w:tr w:rsidR="00F635F3" w:rsidRPr="00BD7E4A" w14:paraId="4AB96F39" w14:textId="77777777" w:rsidTr="0091631A">
        <w:trPr>
          <w:trHeight w:val="454"/>
        </w:trPr>
        <w:tc>
          <w:tcPr>
            <w:tcW w:w="439" w:type="dxa"/>
            <w:tcBorders>
              <w:top w:val="nil"/>
              <w:left w:val="single" w:sz="8" w:space="0" w:color="auto"/>
              <w:bottom w:val="single" w:sz="8" w:space="0" w:color="auto"/>
              <w:right w:val="single" w:sz="8" w:space="0" w:color="auto"/>
            </w:tcBorders>
            <w:shd w:val="clear" w:color="auto" w:fill="auto"/>
            <w:vAlign w:val="center"/>
          </w:tcPr>
          <w:p w14:paraId="63D1DF96" w14:textId="38311AF6" w:rsidR="00F635F3" w:rsidRPr="00BD7E4A" w:rsidRDefault="00157774" w:rsidP="00F635F3">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1.</w:t>
            </w:r>
          </w:p>
        </w:tc>
        <w:tc>
          <w:tcPr>
            <w:tcW w:w="620" w:type="dxa"/>
            <w:tcBorders>
              <w:top w:val="nil"/>
              <w:left w:val="nil"/>
              <w:bottom w:val="single" w:sz="8" w:space="0" w:color="auto"/>
              <w:right w:val="single" w:sz="8" w:space="0" w:color="auto"/>
            </w:tcBorders>
            <w:shd w:val="clear" w:color="auto" w:fill="auto"/>
            <w:vAlign w:val="center"/>
          </w:tcPr>
          <w:p w14:paraId="057B73A8" w14:textId="4DCADE22" w:rsidR="00F635F3" w:rsidRPr="00BD7E4A" w:rsidRDefault="00157774" w:rsidP="00F635F3">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2.</w:t>
            </w:r>
          </w:p>
        </w:tc>
        <w:tc>
          <w:tcPr>
            <w:tcW w:w="620" w:type="dxa"/>
            <w:tcBorders>
              <w:top w:val="nil"/>
              <w:left w:val="nil"/>
              <w:bottom w:val="single" w:sz="8" w:space="0" w:color="auto"/>
              <w:right w:val="single" w:sz="8" w:space="0" w:color="auto"/>
            </w:tcBorders>
            <w:shd w:val="clear" w:color="auto" w:fill="auto"/>
            <w:vAlign w:val="center"/>
          </w:tcPr>
          <w:p w14:paraId="6C10B8AA" w14:textId="59515749" w:rsidR="00F635F3" w:rsidRPr="00BD7E4A" w:rsidRDefault="00157774" w:rsidP="00F635F3">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1.</w:t>
            </w:r>
          </w:p>
        </w:tc>
        <w:tc>
          <w:tcPr>
            <w:tcW w:w="2832" w:type="dxa"/>
            <w:tcBorders>
              <w:top w:val="nil"/>
              <w:left w:val="nil"/>
              <w:bottom w:val="single" w:sz="8" w:space="0" w:color="auto"/>
              <w:right w:val="single" w:sz="8" w:space="0" w:color="auto"/>
            </w:tcBorders>
            <w:shd w:val="clear" w:color="auto" w:fill="auto"/>
            <w:vAlign w:val="bottom"/>
          </w:tcPr>
          <w:p w14:paraId="58893A48" w14:textId="10353752" w:rsidR="00F635F3" w:rsidRPr="00BD7E4A" w:rsidRDefault="00157774" w:rsidP="00157774">
            <w:pPr>
              <w:spacing w:after="120"/>
              <w:jc w:val="both"/>
              <w:rPr>
                <w:rFonts w:ascii="Arial Narrow" w:eastAsia="Arial" w:hAnsi="Arial Narrow"/>
                <w:b/>
                <w:sz w:val="22"/>
                <w:szCs w:val="22"/>
                <w:lang w:val="es-CR"/>
              </w:rPr>
            </w:pPr>
            <w:r w:rsidRPr="00BD7E4A">
              <w:rPr>
                <w:rFonts w:ascii="Arial Narrow" w:eastAsia="Arial" w:hAnsi="Arial Narrow"/>
                <w:b/>
                <w:sz w:val="22"/>
                <w:szCs w:val="22"/>
                <w:lang w:val="es-CR"/>
              </w:rPr>
              <w:t>Normativa interna de inversiones</w:t>
            </w:r>
          </w:p>
        </w:tc>
        <w:tc>
          <w:tcPr>
            <w:tcW w:w="2410" w:type="dxa"/>
            <w:tcBorders>
              <w:top w:val="nil"/>
              <w:left w:val="nil"/>
              <w:bottom w:val="single" w:sz="8" w:space="0" w:color="auto"/>
              <w:right w:val="single" w:sz="8" w:space="0" w:color="auto"/>
            </w:tcBorders>
            <w:shd w:val="clear" w:color="auto" w:fill="auto"/>
            <w:vAlign w:val="center"/>
          </w:tcPr>
          <w:p w14:paraId="238DC4FC" w14:textId="77777777" w:rsidR="00F635F3" w:rsidRPr="00BD7E4A" w:rsidRDefault="00F635F3" w:rsidP="00F635F3">
            <w:pPr>
              <w:rPr>
                <w:rFonts w:ascii="Arial Narrow" w:eastAsia="Times New Roman" w:hAnsi="Arial Narrow"/>
                <w:b/>
                <w:bCs/>
                <w:color w:val="000000"/>
                <w:sz w:val="22"/>
                <w:szCs w:val="22"/>
                <w:lang w:val="es-CR"/>
              </w:rPr>
            </w:pPr>
          </w:p>
        </w:tc>
        <w:tc>
          <w:tcPr>
            <w:tcW w:w="1984" w:type="dxa"/>
            <w:tcBorders>
              <w:top w:val="nil"/>
              <w:left w:val="nil"/>
              <w:bottom w:val="single" w:sz="8" w:space="0" w:color="auto"/>
              <w:right w:val="single" w:sz="8" w:space="0" w:color="auto"/>
            </w:tcBorders>
            <w:shd w:val="clear" w:color="auto" w:fill="auto"/>
            <w:vAlign w:val="center"/>
          </w:tcPr>
          <w:p w14:paraId="10CAAF72" w14:textId="6F76CC7D" w:rsidR="00F635F3" w:rsidRPr="00BD7E4A" w:rsidRDefault="00157774" w:rsidP="00157774">
            <w:pPr>
              <w:jc w:val="both"/>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Reglamento de Inversiones</w:t>
            </w:r>
          </w:p>
        </w:tc>
      </w:tr>
      <w:bookmarkEnd w:id="13"/>
    </w:tbl>
    <w:p w14:paraId="23A9580E" w14:textId="77777777" w:rsidR="00F635F3" w:rsidRDefault="00F635F3" w:rsidP="00F635F3">
      <w:pPr>
        <w:spacing w:line="237" w:lineRule="auto"/>
        <w:ind w:right="260"/>
        <w:jc w:val="both"/>
        <w:rPr>
          <w:rFonts w:ascii="Arial" w:eastAsia="Arial" w:hAnsi="Arial"/>
          <w:b/>
          <w:sz w:val="22"/>
          <w:szCs w:val="22"/>
          <w:lang w:val="es-CR"/>
        </w:rPr>
      </w:pPr>
    </w:p>
    <w:p w14:paraId="0D1C61C0" w14:textId="5EE072D2" w:rsidR="009B0643" w:rsidRDefault="00F47532" w:rsidP="00F635F3">
      <w:pPr>
        <w:spacing w:line="237" w:lineRule="auto"/>
        <w:ind w:right="260"/>
        <w:jc w:val="both"/>
        <w:rPr>
          <w:rFonts w:ascii="Arial" w:eastAsia="Arial" w:hAnsi="Arial"/>
          <w:b/>
          <w:sz w:val="22"/>
          <w:szCs w:val="22"/>
        </w:rPr>
      </w:pPr>
      <w:r w:rsidRPr="00F02F9D">
        <w:rPr>
          <w:rFonts w:ascii="Arial" w:eastAsia="Arial" w:hAnsi="Arial"/>
          <w:b/>
          <w:sz w:val="22"/>
          <w:szCs w:val="22"/>
        </w:rPr>
        <w:t>Políticas Contables</w:t>
      </w:r>
    </w:p>
    <w:p w14:paraId="2FCB2C7A" w14:textId="77777777" w:rsidR="00F47532" w:rsidRPr="00F02F9D" w:rsidRDefault="00F47532" w:rsidP="00F635F3">
      <w:pPr>
        <w:spacing w:line="237" w:lineRule="auto"/>
        <w:ind w:right="260"/>
        <w:jc w:val="both"/>
        <w:rPr>
          <w:rFonts w:ascii="Arial" w:eastAsia="Arial" w:hAnsi="Arial"/>
          <w:b/>
          <w:sz w:val="22"/>
          <w:szCs w:val="22"/>
          <w:lang w:val="es-CR"/>
        </w:rPr>
      </w:pPr>
    </w:p>
    <w:p w14:paraId="672FEBBE" w14:textId="35221BEA" w:rsidR="00985BF7" w:rsidRPr="00BD7E4A" w:rsidRDefault="002B2B51" w:rsidP="00BD7E4A">
      <w:pPr>
        <w:pStyle w:val="Ttulo2"/>
        <w:ind w:left="284"/>
        <w:rPr>
          <w:rFonts w:ascii="Arial" w:eastAsia="Arial" w:hAnsi="Arial" w:cs="Arial"/>
          <w:b/>
          <w:bCs/>
          <w:sz w:val="22"/>
          <w:szCs w:val="22"/>
          <w:lang w:val="es-CR"/>
        </w:rPr>
      </w:pPr>
      <w:bookmarkStart w:id="14" w:name="_Toc172726194"/>
      <w:bookmarkStart w:id="15" w:name="_Hlk147140105"/>
      <w:r w:rsidRPr="00BD7E4A">
        <w:rPr>
          <w:rFonts w:ascii="Arial" w:eastAsia="Arial" w:hAnsi="Arial" w:cs="Arial"/>
          <w:b/>
          <w:bCs/>
          <w:sz w:val="22"/>
          <w:szCs w:val="22"/>
          <w:lang w:val="es-CR"/>
        </w:rPr>
        <w:t>A</w:t>
      </w:r>
      <w:r w:rsidR="004E27A9">
        <w:rPr>
          <w:rFonts w:ascii="Arial" w:eastAsia="Arial" w:hAnsi="Arial" w:cs="Arial"/>
          <w:b/>
          <w:bCs/>
          <w:sz w:val="22"/>
          <w:szCs w:val="22"/>
          <w:lang w:val="es-CR"/>
        </w:rPr>
        <w:t>ctivos</w:t>
      </w:r>
      <w:r w:rsidRPr="00BD7E4A">
        <w:rPr>
          <w:rFonts w:ascii="Arial" w:eastAsia="Arial" w:hAnsi="Arial" w:cs="Arial"/>
          <w:b/>
          <w:bCs/>
          <w:sz w:val="22"/>
          <w:szCs w:val="22"/>
          <w:lang w:val="es-CR"/>
        </w:rPr>
        <w:t xml:space="preserve"> F</w:t>
      </w:r>
      <w:r w:rsidR="004E27A9">
        <w:rPr>
          <w:rFonts w:ascii="Arial" w:eastAsia="Arial" w:hAnsi="Arial" w:cs="Arial"/>
          <w:b/>
          <w:bCs/>
          <w:sz w:val="22"/>
          <w:szCs w:val="22"/>
          <w:lang w:val="es-CR"/>
        </w:rPr>
        <w:t>inancieros</w:t>
      </w:r>
      <w:r w:rsidRPr="00BD7E4A">
        <w:rPr>
          <w:rFonts w:ascii="Arial" w:eastAsia="Arial" w:hAnsi="Arial" w:cs="Arial"/>
          <w:b/>
          <w:bCs/>
          <w:sz w:val="22"/>
          <w:szCs w:val="22"/>
          <w:lang w:val="es-CR"/>
        </w:rPr>
        <w:t xml:space="preserve"> M</w:t>
      </w:r>
      <w:r w:rsidR="004E27A9">
        <w:rPr>
          <w:rFonts w:ascii="Arial" w:eastAsia="Arial" w:hAnsi="Arial" w:cs="Arial"/>
          <w:b/>
          <w:bCs/>
          <w:sz w:val="22"/>
          <w:szCs w:val="22"/>
          <w:lang w:val="es-CR"/>
        </w:rPr>
        <w:t>onetarios</w:t>
      </w:r>
      <w:bookmarkEnd w:id="14"/>
    </w:p>
    <w:p w14:paraId="66EE2CCF" w14:textId="77777777" w:rsidR="002B2B51" w:rsidRPr="00F02F9D" w:rsidRDefault="002B2B51" w:rsidP="006D5125">
      <w:pPr>
        <w:rPr>
          <w:lang w:val="es-CR"/>
        </w:rPr>
      </w:pPr>
    </w:p>
    <w:p w14:paraId="59E85DB3" w14:textId="27DA8040" w:rsidR="007377D0" w:rsidRPr="00F02F9D" w:rsidRDefault="00224397" w:rsidP="00224397">
      <w:pPr>
        <w:spacing w:line="237"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1.2.0.01</w:t>
      </w:r>
      <w:r>
        <w:rPr>
          <w:rFonts w:ascii="Arial" w:eastAsia="Arial" w:hAnsi="Arial"/>
          <w:bCs/>
          <w:sz w:val="22"/>
          <w:szCs w:val="22"/>
          <w:lang w:val="es-CR"/>
        </w:rPr>
        <w:tab/>
      </w:r>
      <w:r w:rsidR="00946CBC" w:rsidRPr="00F02F9D">
        <w:rPr>
          <w:rFonts w:ascii="Arial" w:eastAsia="Arial" w:hAnsi="Arial"/>
          <w:bCs/>
          <w:sz w:val="22"/>
          <w:szCs w:val="22"/>
          <w:lang w:val="es-CR"/>
        </w:rPr>
        <w:t xml:space="preserve">Los Activos financieros monetarios son activos </w:t>
      </w:r>
      <w:r w:rsidR="008176A0" w:rsidRPr="00F02F9D">
        <w:rPr>
          <w:rFonts w:ascii="Arial" w:eastAsia="Arial" w:hAnsi="Arial"/>
          <w:bCs/>
          <w:sz w:val="22"/>
          <w:szCs w:val="22"/>
          <w:lang w:val="es-CR"/>
        </w:rPr>
        <w:t>que</w:t>
      </w:r>
      <w:r w:rsidR="00946CBC" w:rsidRPr="00F02F9D">
        <w:rPr>
          <w:rFonts w:ascii="Arial" w:eastAsia="Arial" w:hAnsi="Arial"/>
          <w:bCs/>
          <w:sz w:val="22"/>
          <w:szCs w:val="22"/>
          <w:lang w:val="es-CR"/>
        </w:rPr>
        <w:t xml:space="preserve"> s</w:t>
      </w:r>
      <w:r w:rsidR="008176A0" w:rsidRPr="00F02F9D">
        <w:rPr>
          <w:rFonts w:ascii="Arial" w:eastAsia="Arial" w:hAnsi="Arial"/>
          <w:bCs/>
          <w:sz w:val="22"/>
          <w:szCs w:val="22"/>
          <w:lang w:val="es-CR"/>
        </w:rPr>
        <w:t>on</w:t>
      </w:r>
      <w:r w:rsidR="00946CBC" w:rsidRPr="00F02F9D">
        <w:rPr>
          <w:rFonts w:ascii="Arial" w:eastAsia="Arial" w:hAnsi="Arial"/>
          <w:bCs/>
          <w:sz w:val="22"/>
          <w:szCs w:val="22"/>
          <w:lang w:val="es-CR"/>
        </w:rPr>
        <w:t xml:space="preserve"> cobrados por un importe fijo o determinable de dinero. </w:t>
      </w:r>
      <w:r w:rsidR="008176A0" w:rsidRPr="00F02F9D">
        <w:rPr>
          <w:rFonts w:ascii="Arial" w:eastAsia="Arial" w:hAnsi="Arial"/>
          <w:bCs/>
          <w:sz w:val="22"/>
          <w:szCs w:val="22"/>
          <w:lang w:val="es-CR"/>
        </w:rPr>
        <w:t>L</w:t>
      </w:r>
      <w:r w:rsidR="00E623F9" w:rsidRPr="00F02F9D">
        <w:rPr>
          <w:rFonts w:ascii="Arial" w:eastAsia="Arial" w:hAnsi="Arial"/>
          <w:bCs/>
          <w:sz w:val="22"/>
          <w:szCs w:val="22"/>
          <w:lang w:val="es-CR"/>
        </w:rPr>
        <w:t>as</w:t>
      </w:r>
      <w:r w:rsidR="00946CBC" w:rsidRPr="00F02F9D">
        <w:rPr>
          <w:rFonts w:ascii="Arial" w:eastAsia="Arial" w:hAnsi="Arial"/>
          <w:bCs/>
          <w:sz w:val="22"/>
          <w:szCs w:val="22"/>
          <w:lang w:val="es-CR"/>
        </w:rPr>
        <w:t xml:space="preserve"> principales</w:t>
      </w:r>
      <w:r w:rsidR="00E623F9" w:rsidRPr="00F02F9D">
        <w:rPr>
          <w:rFonts w:ascii="Arial" w:eastAsia="Arial" w:hAnsi="Arial"/>
          <w:bCs/>
          <w:sz w:val="22"/>
          <w:szCs w:val="22"/>
          <w:lang w:val="es-CR"/>
        </w:rPr>
        <w:t xml:space="preserve"> clases</w:t>
      </w:r>
      <w:r w:rsidR="00CD736F" w:rsidRPr="00F02F9D">
        <w:rPr>
          <w:rFonts w:ascii="Arial" w:eastAsia="Arial" w:hAnsi="Arial"/>
          <w:bCs/>
          <w:sz w:val="22"/>
          <w:szCs w:val="22"/>
          <w:lang w:val="es-CR"/>
        </w:rPr>
        <w:t xml:space="preserve"> </w:t>
      </w:r>
      <w:r w:rsidR="00946CBC" w:rsidRPr="00F02F9D">
        <w:rPr>
          <w:rFonts w:ascii="Arial" w:eastAsia="Arial" w:hAnsi="Arial"/>
          <w:bCs/>
          <w:sz w:val="22"/>
          <w:szCs w:val="22"/>
          <w:lang w:val="es-CR"/>
        </w:rPr>
        <w:t xml:space="preserve">de Activos Monetarios </w:t>
      </w:r>
      <w:r w:rsidR="00E623F9" w:rsidRPr="00F02F9D">
        <w:rPr>
          <w:rFonts w:ascii="Arial" w:eastAsia="Arial" w:hAnsi="Arial"/>
          <w:bCs/>
          <w:sz w:val="22"/>
          <w:szCs w:val="22"/>
          <w:lang w:val="es-CR"/>
        </w:rPr>
        <w:t xml:space="preserve">que </w:t>
      </w:r>
      <w:r w:rsidR="00CD736F" w:rsidRPr="00F02F9D">
        <w:rPr>
          <w:rFonts w:ascii="Arial" w:eastAsia="Arial" w:hAnsi="Arial"/>
          <w:bCs/>
          <w:sz w:val="22"/>
          <w:szCs w:val="22"/>
          <w:lang w:val="es-CR"/>
        </w:rPr>
        <w:t xml:space="preserve">la </w:t>
      </w:r>
      <w:r w:rsidR="000F29DC">
        <w:rPr>
          <w:rFonts w:ascii="Arial" w:eastAsia="Arial" w:hAnsi="Arial"/>
          <w:bCs/>
          <w:sz w:val="22"/>
          <w:szCs w:val="22"/>
          <w:lang w:val="es-CR"/>
        </w:rPr>
        <w:lastRenderedPageBreak/>
        <w:t>MBA</w:t>
      </w:r>
      <w:r w:rsidR="00E623F9" w:rsidRPr="00F02F9D">
        <w:rPr>
          <w:rFonts w:ascii="Arial" w:eastAsia="Arial" w:hAnsi="Arial"/>
          <w:bCs/>
          <w:sz w:val="22"/>
          <w:szCs w:val="22"/>
          <w:lang w:val="es-CR"/>
        </w:rPr>
        <w:t xml:space="preserve"> </w:t>
      </w:r>
      <w:r w:rsidR="008176A0" w:rsidRPr="00F02F9D">
        <w:rPr>
          <w:rFonts w:ascii="Arial" w:eastAsia="Arial" w:hAnsi="Arial"/>
          <w:bCs/>
          <w:sz w:val="22"/>
          <w:szCs w:val="22"/>
          <w:lang w:val="es-CR"/>
        </w:rPr>
        <w:t xml:space="preserve">puede </w:t>
      </w:r>
      <w:r w:rsidR="006E4E8A" w:rsidRPr="00F02F9D">
        <w:rPr>
          <w:rFonts w:ascii="Arial" w:eastAsia="Arial" w:hAnsi="Arial"/>
          <w:bCs/>
          <w:sz w:val="22"/>
          <w:szCs w:val="22"/>
          <w:lang w:val="es-CR"/>
        </w:rPr>
        <w:t>mantener</w:t>
      </w:r>
      <w:r w:rsidR="008176A0" w:rsidRPr="00F02F9D">
        <w:rPr>
          <w:rFonts w:ascii="Arial" w:eastAsia="Arial" w:hAnsi="Arial"/>
          <w:bCs/>
          <w:sz w:val="22"/>
          <w:szCs w:val="22"/>
          <w:lang w:val="es-CR"/>
        </w:rPr>
        <w:t xml:space="preserve"> son las siguientes</w:t>
      </w:r>
      <w:r w:rsidR="006E4E8A">
        <w:rPr>
          <w:rFonts w:ascii="Arial" w:eastAsia="Arial" w:hAnsi="Arial"/>
          <w:bCs/>
          <w:sz w:val="22"/>
          <w:szCs w:val="22"/>
          <w:lang w:val="es-CR"/>
        </w:rPr>
        <w:t>,</w:t>
      </w:r>
      <w:r w:rsidR="00CD736F" w:rsidRPr="00F02F9D">
        <w:rPr>
          <w:rFonts w:ascii="Arial" w:eastAsia="Arial" w:hAnsi="Arial"/>
          <w:bCs/>
          <w:sz w:val="22"/>
          <w:szCs w:val="22"/>
          <w:lang w:val="es-CR"/>
        </w:rPr>
        <w:t xml:space="preserve"> no pretendiendo que la lista sea </w:t>
      </w:r>
      <w:r w:rsidR="00E623F9" w:rsidRPr="00F02F9D">
        <w:rPr>
          <w:rFonts w:ascii="Arial" w:eastAsia="Arial" w:hAnsi="Arial"/>
          <w:bCs/>
          <w:sz w:val="22"/>
          <w:szCs w:val="22"/>
          <w:lang w:val="es-CR"/>
        </w:rPr>
        <w:t>exhaustiva</w:t>
      </w:r>
      <w:r w:rsidR="00CD736F" w:rsidRPr="00F02F9D">
        <w:rPr>
          <w:rFonts w:ascii="Arial" w:eastAsia="Arial" w:hAnsi="Arial"/>
          <w:bCs/>
          <w:sz w:val="22"/>
          <w:szCs w:val="22"/>
          <w:lang w:val="es-CR"/>
        </w:rPr>
        <w:t>:</w:t>
      </w:r>
    </w:p>
    <w:p w14:paraId="650E323B" w14:textId="77777777" w:rsidR="00157774" w:rsidRPr="00F02F9D" w:rsidRDefault="00157774">
      <w:pPr>
        <w:rPr>
          <w:rFonts w:ascii="Arial" w:eastAsia="Arial" w:hAnsi="Arial"/>
          <w:b/>
          <w:sz w:val="22"/>
          <w:szCs w:val="22"/>
          <w:lang w:val="es-CR"/>
        </w:rPr>
      </w:pPr>
    </w:p>
    <w:p w14:paraId="61982937" w14:textId="77777777" w:rsidR="00157774" w:rsidRPr="00F02F9D" w:rsidRDefault="00157774">
      <w:pPr>
        <w:rPr>
          <w:rFonts w:ascii="Arial" w:eastAsia="Arial" w:hAnsi="Arial"/>
          <w:b/>
          <w:sz w:val="22"/>
          <w:szCs w:val="22"/>
          <w:lang w:val="es-CR"/>
        </w:rPr>
        <w:sectPr w:rsidR="00157774" w:rsidRPr="00F02F9D" w:rsidSect="006D026E">
          <w:pgSz w:w="12240" w:h="15840"/>
          <w:pgMar w:top="1440" w:right="1440" w:bottom="168" w:left="1440" w:header="0" w:footer="0" w:gutter="0"/>
          <w:cols w:space="0" w:equalWidth="0">
            <w:col w:w="9360"/>
          </w:cols>
          <w:docGrid w:linePitch="360"/>
        </w:sectPr>
      </w:pPr>
    </w:p>
    <w:p w14:paraId="69AFFE35" w14:textId="4C450BB7" w:rsidR="00A845E1" w:rsidRPr="00F02F9D" w:rsidRDefault="008A4688">
      <w:pPr>
        <w:pStyle w:val="Prrafodelista"/>
        <w:numPr>
          <w:ilvl w:val="0"/>
          <w:numId w:val="7"/>
        </w:numPr>
        <w:spacing w:line="250" w:lineRule="auto"/>
        <w:ind w:right="260"/>
        <w:jc w:val="both"/>
        <w:rPr>
          <w:rFonts w:ascii="Arial" w:eastAsia="Arial" w:hAnsi="Arial"/>
          <w:bCs/>
          <w:sz w:val="22"/>
          <w:szCs w:val="22"/>
          <w:lang w:val="es-CR"/>
        </w:rPr>
      </w:pPr>
      <w:bookmarkStart w:id="16" w:name="page11"/>
      <w:bookmarkEnd w:id="16"/>
      <w:r w:rsidRPr="00F02F9D">
        <w:rPr>
          <w:rFonts w:ascii="Arial" w:eastAsia="Arial" w:hAnsi="Arial"/>
          <w:b/>
          <w:sz w:val="22"/>
          <w:szCs w:val="22"/>
          <w:lang w:val="es-CR"/>
        </w:rPr>
        <w:lastRenderedPageBreak/>
        <w:t xml:space="preserve">Efectivo: </w:t>
      </w:r>
      <w:r w:rsidRPr="00F02F9D">
        <w:rPr>
          <w:rFonts w:ascii="Arial" w:eastAsia="Arial" w:hAnsi="Arial"/>
          <w:bCs/>
          <w:sz w:val="22"/>
          <w:szCs w:val="22"/>
          <w:lang w:val="es-CR"/>
        </w:rPr>
        <w:t xml:space="preserve">es un activo financiero </w:t>
      </w:r>
      <w:r w:rsidR="00946CBC" w:rsidRPr="00F02F9D">
        <w:rPr>
          <w:rFonts w:ascii="Arial" w:eastAsia="Arial" w:hAnsi="Arial"/>
          <w:bCs/>
          <w:sz w:val="22"/>
          <w:szCs w:val="22"/>
          <w:lang w:val="es-CR"/>
        </w:rPr>
        <w:t>monetario q</w:t>
      </w:r>
      <w:r w:rsidRPr="00F02F9D">
        <w:rPr>
          <w:rFonts w:ascii="Arial" w:eastAsia="Arial" w:hAnsi="Arial"/>
          <w:bCs/>
          <w:sz w:val="22"/>
          <w:szCs w:val="22"/>
          <w:lang w:val="es-CR"/>
        </w:rPr>
        <w:t xml:space="preserve">ue representa </w:t>
      </w:r>
      <w:r w:rsidR="008176A0" w:rsidRPr="00F02F9D">
        <w:rPr>
          <w:rFonts w:ascii="Arial" w:eastAsia="Arial" w:hAnsi="Arial"/>
          <w:bCs/>
          <w:sz w:val="22"/>
          <w:szCs w:val="22"/>
          <w:lang w:val="es-CR"/>
        </w:rPr>
        <w:t xml:space="preserve">en numerario considerado como </w:t>
      </w:r>
      <w:r w:rsidRPr="00F02F9D">
        <w:rPr>
          <w:rFonts w:ascii="Arial" w:eastAsia="Arial" w:hAnsi="Arial"/>
          <w:bCs/>
          <w:sz w:val="22"/>
          <w:szCs w:val="22"/>
          <w:lang w:val="es-CR"/>
        </w:rPr>
        <w:t>el instrumento de pago por excelencia y es, por lo tanto, la base de medida de todas las transacciones que se valoran y se presentan en los EEFF</w:t>
      </w:r>
      <w:r w:rsidR="00A845E1" w:rsidRPr="00F02F9D">
        <w:rPr>
          <w:rFonts w:ascii="Arial" w:eastAsia="Arial" w:hAnsi="Arial"/>
          <w:bCs/>
          <w:sz w:val="22"/>
          <w:szCs w:val="22"/>
          <w:lang w:val="es-CR"/>
        </w:rPr>
        <w:t>, el efectivo puede estar:</w:t>
      </w:r>
    </w:p>
    <w:p w14:paraId="36A70F89" w14:textId="77777777" w:rsidR="007D7E2A" w:rsidRPr="00F02F9D" w:rsidRDefault="007D7E2A" w:rsidP="00A845E1">
      <w:pPr>
        <w:pStyle w:val="Prrafodelista"/>
        <w:spacing w:line="250" w:lineRule="auto"/>
        <w:ind w:left="740" w:right="260"/>
        <w:jc w:val="both"/>
        <w:rPr>
          <w:rFonts w:ascii="Arial" w:eastAsia="Arial" w:hAnsi="Arial"/>
          <w:bCs/>
          <w:sz w:val="22"/>
          <w:szCs w:val="22"/>
          <w:lang w:val="es-CR"/>
        </w:rPr>
      </w:pPr>
    </w:p>
    <w:p w14:paraId="7685FF81" w14:textId="27E15E18" w:rsidR="00A845E1" w:rsidRPr="00F02F9D" w:rsidRDefault="00A845E1">
      <w:pPr>
        <w:pStyle w:val="Prrafodelista"/>
        <w:numPr>
          <w:ilvl w:val="0"/>
          <w:numId w:val="8"/>
        </w:numPr>
        <w:spacing w:after="120"/>
        <w:ind w:left="993" w:right="261" w:hanging="142"/>
        <w:contextualSpacing w:val="0"/>
        <w:jc w:val="both"/>
        <w:rPr>
          <w:rFonts w:ascii="Arial" w:eastAsia="Arial" w:hAnsi="Arial"/>
          <w:bCs/>
          <w:sz w:val="22"/>
          <w:szCs w:val="22"/>
          <w:lang w:val="es-CR"/>
        </w:rPr>
      </w:pPr>
      <w:r w:rsidRPr="00F02F9D">
        <w:rPr>
          <w:rFonts w:ascii="Arial" w:eastAsia="Arial" w:hAnsi="Arial"/>
          <w:bCs/>
          <w:sz w:val="22"/>
          <w:szCs w:val="22"/>
          <w:lang w:val="es-CR"/>
        </w:rPr>
        <w:t>E</w:t>
      </w:r>
      <w:r w:rsidR="00A00DFF" w:rsidRPr="00F02F9D">
        <w:rPr>
          <w:rFonts w:ascii="Arial" w:eastAsia="Arial" w:hAnsi="Arial"/>
          <w:bCs/>
          <w:sz w:val="22"/>
          <w:szCs w:val="22"/>
          <w:lang w:val="es-CR"/>
        </w:rPr>
        <w:t xml:space="preserve">n una caja </w:t>
      </w:r>
      <w:r w:rsidR="004166D8"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004166D8" w:rsidRPr="00F02F9D">
        <w:rPr>
          <w:rFonts w:ascii="Arial" w:eastAsia="Arial" w:hAnsi="Arial"/>
          <w:bCs/>
          <w:sz w:val="22"/>
          <w:szCs w:val="22"/>
          <w:lang w:val="es-CR"/>
        </w:rPr>
        <w:t xml:space="preserve"> </w:t>
      </w:r>
      <w:r w:rsidRPr="00F02F9D">
        <w:rPr>
          <w:rFonts w:ascii="Arial" w:eastAsia="Arial" w:hAnsi="Arial"/>
          <w:bCs/>
          <w:sz w:val="22"/>
          <w:szCs w:val="22"/>
          <w:lang w:val="es-CR"/>
        </w:rPr>
        <w:t>(Caja Chica o Caja Recaudadora)</w:t>
      </w:r>
      <w:r w:rsidR="00A00DFF" w:rsidRPr="00F02F9D">
        <w:rPr>
          <w:rFonts w:ascii="Arial" w:eastAsia="Arial" w:hAnsi="Arial"/>
          <w:bCs/>
          <w:sz w:val="22"/>
          <w:szCs w:val="22"/>
          <w:lang w:val="es-CR"/>
        </w:rPr>
        <w:t xml:space="preserve">, </w:t>
      </w:r>
    </w:p>
    <w:p w14:paraId="6AC8E01C" w14:textId="309DAE75" w:rsidR="004166D8" w:rsidRPr="00F02F9D" w:rsidRDefault="00A845E1">
      <w:pPr>
        <w:pStyle w:val="Prrafodelista"/>
        <w:numPr>
          <w:ilvl w:val="0"/>
          <w:numId w:val="8"/>
        </w:numPr>
        <w:spacing w:after="120"/>
        <w:ind w:left="993" w:right="261" w:hanging="142"/>
        <w:contextualSpacing w:val="0"/>
        <w:jc w:val="both"/>
        <w:rPr>
          <w:rFonts w:ascii="Arial" w:eastAsia="Arial" w:hAnsi="Arial"/>
          <w:bCs/>
          <w:sz w:val="22"/>
          <w:szCs w:val="22"/>
          <w:lang w:val="es-CR"/>
        </w:rPr>
      </w:pPr>
      <w:r w:rsidRPr="00F02F9D">
        <w:rPr>
          <w:rFonts w:ascii="Arial" w:eastAsia="Arial" w:hAnsi="Arial"/>
          <w:bCs/>
          <w:sz w:val="22"/>
          <w:szCs w:val="22"/>
          <w:lang w:val="es-CR"/>
        </w:rPr>
        <w:t>E</w:t>
      </w:r>
      <w:r w:rsidR="00A00DFF" w:rsidRPr="00F02F9D">
        <w:rPr>
          <w:rFonts w:ascii="Arial" w:eastAsia="Arial" w:hAnsi="Arial"/>
          <w:bCs/>
          <w:sz w:val="22"/>
          <w:szCs w:val="22"/>
          <w:lang w:val="es-CR"/>
        </w:rPr>
        <w:t>n u</w:t>
      </w:r>
      <w:r w:rsidR="008A4688" w:rsidRPr="00F02F9D">
        <w:rPr>
          <w:rFonts w:ascii="Arial" w:eastAsia="Arial" w:hAnsi="Arial"/>
          <w:bCs/>
          <w:sz w:val="22"/>
          <w:szCs w:val="22"/>
          <w:lang w:val="es-CR"/>
        </w:rPr>
        <w:t>n</w:t>
      </w:r>
      <w:r w:rsidR="00A00DFF" w:rsidRPr="00F02F9D">
        <w:rPr>
          <w:rFonts w:ascii="Arial" w:eastAsia="Arial" w:hAnsi="Arial"/>
          <w:bCs/>
          <w:sz w:val="22"/>
          <w:szCs w:val="22"/>
          <w:lang w:val="es-CR"/>
        </w:rPr>
        <w:t xml:space="preserve">a cuenta </w:t>
      </w:r>
      <w:r w:rsidR="008A4688" w:rsidRPr="00F02F9D">
        <w:rPr>
          <w:rFonts w:ascii="Arial" w:eastAsia="Arial" w:hAnsi="Arial"/>
          <w:bCs/>
          <w:sz w:val="22"/>
          <w:szCs w:val="22"/>
          <w:lang w:val="es-CR"/>
        </w:rPr>
        <w:t>en un banco o una institución financiera similar,</w:t>
      </w:r>
      <w:r w:rsidR="00A00DFF" w:rsidRPr="00F02F9D">
        <w:rPr>
          <w:rFonts w:ascii="Arial" w:eastAsia="Arial" w:hAnsi="Arial"/>
          <w:bCs/>
          <w:sz w:val="22"/>
          <w:szCs w:val="22"/>
          <w:lang w:val="es-CR"/>
        </w:rPr>
        <w:t xml:space="preserve"> o en la Caja Única del Estado</w:t>
      </w:r>
      <w:r w:rsidR="00946CBC" w:rsidRPr="00F02F9D">
        <w:rPr>
          <w:rFonts w:ascii="Arial" w:eastAsia="Arial" w:hAnsi="Arial"/>
          <w:bCs/>
          <w:sz w:val="22"/>
          <w:szCs w:val="22"/>
          <w:lang w:val="es-CR"/>
        </w:rPr>
        <w:t xml:space="preserve">. Este </w:t>
      </w:r>
      <w:r w:rsidR="008A4688" w:rsidRPr="00F02F9D">
        <w:rPr>
          <w:rFonts w:ascii="Arial" w:eastAsia="Arial" w:hAnsi="Arial"/>
          <w:bCs/>
          <w:sz w:val="22"/>
          <w:szCs w:val="22"/>
          <w:lang w:val="es-CR"/>
        </w:rPr>
        <w:t xml:space="preserve">activo financiero </w:t>
      </w:r>
      <w:r w:rsidR="004166D8" w:rsidRPr="00F02F9D">
        <w:rPr>
          <w:rFonts w:ascii="Arial" w:eastAsia="Arial" w:hAnsi="Arial"/>
          <w:bCs/>
          <w:sz w:val="22"/>
          <w:szCs w:val="22"/>
          <w:lang w:val="es-CR"/>
        </w:rPr>
        <w:t xml:space="preserve">representa </w:t>
      </w:r>
      <w:r w:rsidR="008A4688" w:rsidRPr="00F02F9D">
        <w:rPr>
          <w:rFonts w:ascii="Arial" w:eastAsia="Arial" w:hAnsi="Arial"/>
          <w:bCs/>
          <w:sz w:val="22"/>
          <w:szCs w:val="22"/>
          <w:lang w:val="es-CR"/>
        </w:rPr>
        <w:t>un derecho contractual de</w:t>
      </w:r>
      <w:r w:rsidR="00144768" w:rsidRPr="00F02F9D">
        <w:rPr>
          <w:rFonts w:ascii="Arial" w:eastAsia="Arial" w:hAnsi="Arial"/>
          <w:bCs/>
          <w:sz w:val="22"/>
          <w:szCs w:val="22"/>
          <w:lang w:val="es-CR"/>
        </w:rPr>
        <w:t xml:space="preserve"> </w:t>
      </w:r>
      <w:r w:rsidR="008A4688" w:rsidRPr="00F02F9D">
        <w:rPr>
          <w:rFonts w:ascii="Arial" w:eastAsia="Arial" w:hAnsi="Arial"/>
          <w:bCs/>
          <w:sz w:val="22"/>
          <w:szCs w:val="22"/>
          <w:lang w:val="es-CR"/>
        </w:rPr>
        <w:t>l</w:t>
      </w:r>
      <w:r w:rsidR="00144768" w:rsidRPr="00F02F9D">
        <w:rPr>
          <w:rFonts w:ascii="Arial" w:eastAsia="Arial" w:hAnsi="Arial"/>
          <w:bCs/>
          <w:sz w:val="22"/>
          <w:szCs w:val="22"/>
          <w:lang w:val="es-CR"/>
        </w:rPr>
        <w:t>a</w:t>
      </w:r>
      <w:r w:rsidR="008A4688" w:rsidRPr="00F02F9D">
        <w:rPr>
          <w:rFonts w:ascii="Arial" w:eastAsia="Arial" w:hAnsi="Arial"/>
          <w:bCs/>
          <w:sz w:val="22"/>
          <w:szCs w:val="22"/>
          <w:lang w:val="es-CR"/>
        </w:rPr>
        <w:t xml:space="preserve"> </w:t>
      </w:r>
      <w:r w:rsidR="000F29DC">
        <w:rPr>
          <w:rFonts w:ascii="Arial" w:eastAsia="Arial" w:hAnsi="Arial"/>
          <w:bCs/>
          <w:sz w:val="22"/>
          <w:szCs w:val="22"/>
          <w:lang w:val="es-CR"/>
        </w:rPr>
        <w:t>MBA</w:t>
      </w:r>
      <w:r w:rsidR="00144768" w:rsidRPr="00F02F9D">
        <w:rPr>
          <w:rFonts w:ascii="Arial" w:eastAsia="Arial" w:hAnsi="Arial"/>
          <w:bCs/>
          <w:sz w:val="22"/>
          <w:szCs w:val="22"/>
          <w:lang w:val="es-CR"/>
        </w:rPr>
        <w:t xml:space="preserve"> </w:t>
      </w:r>
      <w:r w:rsidR="008A4688" w:rsidRPr="00F02F9D">
        <w:rPr>
          <w:rFonts w:ascii="Arial" w:eastAsia="Arial" w:hAnsi="Arial"/>
          <w:bCs/>
          <w:sz w:val="22"/>
          <w:szCs w:val="22"/>
          <w:lang w:val="es-CR"/>
        </w:rPr>
        <w:t xml:space="preserve">a </w:t>
      </w:r>
      <w:r w:rsidR="006E4E8A">
        <w:rPr>
          <w:rFonts w:ascii="Arial" w:eastAsia="Arial" w:hAnsi="Arial"/>
          <w:bCs/>
          <w:sz w:val="22"/>
          <w:szCs w:val="22"/>
          <w:lang w:val="es-CR"/>
        </w:rPr>
        <w:t>retirar</w:t>
      </w:r>
      <w:r w:rsidR="008A4688" w:rsidRPr="00F02F9D">
        <w:rPr>
          <w:rFonts w:ascii="Arial" w:eastAsia="Arial" w:hAnsi="Arial"/>
          <w:bCs/>
          <w:sz w:val="22"/>
          <w:szCs w:val="22"/>
          <w:lang w:val="es-CR"/>
        </w:rPr>
        <w:t xml:space="preserve"> </w:t>
      </w:r>
      <w:r w:rsidR="00144768" w:rsidRPr="00F02F9D">
        <w:rPr>
          <w:rFonts w:ascii="Arial" w:eastAsia="Arial" w:hAnsi="Arial"/>
          <w:bCs/>
          <w:sz w:val="22"/>
          <w:szCs w:val="22"/>
          <w:lang w:val="es-CR"/>
        </w:rPr>
        <w:t xml:space="preserve">el </w:t>
      </w:r>
      <w:r w:rsidR="008A4688" w:rsidRPr="00F02F9D">
        <w:rPr>
          <w:rFonts w:ascii="Arial" w:eastAsia="Arial" w:hAnsi="Arial"/>
          <w:bCs/>
          <w:sz w:val="22"/>
          <w:szCs w:val="22"/>
          <w:lang w:val="es-CR"/>
        </w:rPr>
        <w:t xml:space="preserve">efectivo, </w:t>
      </w:r>
      <w:r w:rsidR="006E4E8A">
        <w:rPr>
          <w:rFonts w:ascii="Arial" w:eastAsia="Arial" w:hAnsi="Arial"/>
          <w:bCs/>
          <w:sz w:val="22"/>
          <w:szCs w:val="22"/>
          <w:lang w:val="es-CR"/>
        </w:rPr>
        <w:t xml:space="preserve">o </w:t>
      </w:r>
      <w:r w:rsidR="008A4688" w:rsidRPr="00F02F9D">
        <w:rPr>
          <w:rFonts w:ascii="Arial" w:eastAsia="Arial" w:hAnsi="Arial"/>
          <w:bCs/>
          <w:sz w:val="22"/>
          <w:szCs w:val="22"/>
          <w:lang w:val="es-CR"/>
        </w:rPr>
        <w:t>a girar un cheque</w:t>
      </w:r>
      <w:r w:rsidR="00F058B1" w:rsidRPr="00F02F9D">
        <w:rPr>
          <w:rFonts w:ascii="Arial" w:eastAsia="Arial" w:hAnsi="Arial"/>
          <w:bCs/>
          <w:sz w:val="22"/>
          <w:szCs w:val="22"/>
          <w:lang w:val="es-CR"/>
        </w:rPr>
        <w:t xml:space="preserve">, o </w:t>
      </w:r>
      <w:r w:rsidR="004166D8" w:rsidRPr="00F02F9D">
        <w:rPr>
          <w:rFonts w:ascii="Arial" w:eastAsia="Arial" w:hAnsi="Arial"/>
          <w:bCs/>
          <w:sz w:val="22"/>
          <w:szCs w:val="22"/>
          <w:lang w:val="es-CR"/>
        </w:rPr>
        <w:t xml:space="preserve">realizar una </w:t>
      </w:r>
      <w:r w:rsidR="00F058B1" w:rsidRPr="00F02F9D">
        <w:rPr>
          <w:rFonts w:ascii="Arial" w:eastAsia="Arial" w:hAnsi="Arial"/>
          <w:bCs/>
          <w:sz w:val="22"/>
          <w:szCs w:val="22"/>
          <w:lang w:val="es-CR"/>
        </w:rPr>
        <w:t xml:space="preserve">transferencia bancaria </w:t>
      </w:r>
      <w:r w:rsidR="008A4688" w:rsidRPr="00F02F9D">
        <w:rPr>
          <w:rFonts w:ascii="Arial" w:eastAsia="Arial" w:hAnsi="Arial"/>
          <w:bCs/>
          <w:sz w:val="22"/>
          <w:szCs w:val="22"/>
          <w:lang w:val="es-CR"/>
        </w:rPr>
        <w:t>o instrumento similar</w:t>
      </w:r>
      <w:r w:rsidR="006E4E8A">
        <w:rPr>
          <w:rFonts w:ascii="Arial" w:eastAsia="Arial" w:hAnsi="Arial"/>
          <w:bCs/>
          <w:sz w:val="22"/>
          <w:szCs w:val="22"/>
          <w:lang w:val="es-CR"/>
        </w:rPr>
        <w:t xml:space="preserve"> (</w:t>
      </w:r>
      <w:r w:rsidR="006E4E8A" w:rsidRPr="00F02F9D">
        <w:rPr>
          <w:rFonts w:ascii="Arial" w:eastAsia="Arial" w:hAnsi="Arial"/>
          <w:bCs/>
          <w:sz w:val="22"/>
          <w:szCs w:val="22"/>
          <w:lang w:val="es-CR"/>
        </w:rPr>
        <w:t>a favor de un acreedor en pago de un pasivo financiero o para cubrir un gasto</w:t>
      </w:r>
      <w:r w:rsidR="001E4EFE">
        <w:rPr>
          <w:rFonts w:ascii="Arial" w:eastAsia="Arial" w:hAnsi="Arial"/>
          <w:bCs/>
          <w:sz w:val="22"/>
          <w:szCs w:val="22"/>
          <w:lang w:val="es-CR"/>
        </w:rPr>
        <w:t>)</w:t>
      </w:r>
      <w:r w:rsidR="006E4E8A">
        <w:rPr>
          <w:rFonts w:ascii="Arial" w:eastAsia="Arial" w:hAnsi="Arial"/>
          <w:bCs/>
          <w:sz w:val="22"/>
          <w:szCs w:val="22"/>
          <w:lang w:val="es-CR"/>
        </w:rPr>
        <w:t>,</w:t>
      </w:r>
      <w:r w:rsidR="008A4688" w:rsidRPr="00F02F9D">
        <w:rPr>
          <w:rFonts w:ascii="Arial" w:eastAsia="Arial" w:hAnsi="Arial"/>
          <w:bCs/>
          <w:sz w:val="22"/>
          <w:szCs w:val="22"/>
          <w:lang w:val="es-CR"/>
        </w:rPr>
        <w:t xml:space="preserve"> contra el saldo depositado</w:t>
      </w:r>
      <w:r w:rsidR="00144768" w:rsidRPr="00F02F9D">
        <w:rPr>
          <w:rFonts w:ascii="Arial" w:eastAsia="Arial" w:hAnsi="Arial"/>
          <w:bCs/>
          <w:sz w:val="22"/>
          <w:szCs w:val="22"/>
          <w:lang w:val="es-CR"/>
        </w:rPr>
        <w:t xml:space="preserve"> en un banco </w:t>
      </w:r>
      <w:r w:rsidR="004166D8" w:rsidRPr="00F02F9D">
        <w:rPr>
          <w:rFonts w:ascii="Arial" w:eastAsia="Arial" w:hAnsi="Arial"/>
          <w:bCs/>
          <w:sz w:val="22"/>
          <w:szCs w:val="22"/>
          <w:lang w:val="es-CR"/>
        </w:rPr>
        <w:t xml:space="preserve">o </w:t>
      </w:r>
      <w:r w:rsidR="00144768" w:rsidRPr="00F02F9D">
        <w:rPr>
          <w:rFonts w:ascii="Arial" w:eastAsia="Arial" w:hAnsi="Arial"/>
          <w:bCs/>
          <w:sz w:val="22"/>
          <w:szCs w:val="22"/>
          <w:lang w:val="es-CR"/>
        </w:rPr>
        <w:t xml:space="preserve">entidad </w:t>
      </w:r>
      <w:r w:rsidR="00F058B1" w:rsidRPr="00F02F9D">
        <w:rPr>
          <w:rFonts w:ascii="Arial" w:eastAsia="Arial" w:hAnsi="Arial"/>
          <w:bCs/>
          <w:sz w:val="22"/>
          <w:szCs w:val="22"/>
          <w:lang w:val="es-CR"/>
        </w:rPr>
        <w:t xml:space="preserve">financiera </w:t>
      </w:r>
      <w:r w:rsidR="00144768" w:rsidRPr="00F02F9D">
        <w:rPr>
          <w:rFonts w:ascii="Arial" w:eastAsia="Arial" w:hAnsi="Arial"/>
          <w:bCs/>
          <w:sz w:val="22"/>
          <w:szCs w:val="22"/>
          <w:lang w:val="es-CR"/>
        </w:rPr>
        <w:t>similar</w:t>
      </w:r>
      <w:r w:rsidR="004166D8" w:rsidRPr="00F02F9D">
        <w:rPr>
          <w:rFonts w:ascii="Arial" w:eastAsia="Arial" w:hAnsi="Arial"/>
          <w:bCs/>
          <w:sz w:val="22"/>
          <w:szCs w:val="22"/>
          <w:lang w:val="es-CR"/>
        </w:rPr>
        <w:t>.</w:t>
      </w:r>
    </w:p>
    <w:p w14:paraId="395FE01C" w14:textId="78525A8B" w:rsidR="00A845E1" w:rsidRPr="00F02F9D" w:rsidRDefault="004166D8">
      <w:pPr>
        <w:pStyle w:val="Prrafodelista"/>
        <w:numPr>
          <w:ilvl w:val="0"/>
          <w:numId w:val="8"/>
        </w:numPr>
        <w:spacing w:line="250" w:lineRule="auto"/>
        <w:ind w:left="993" w:right="260" w:hanging="142"/>
        <w:jc w:val="both"/>
        <w:rPr>
          <w:rFonts w:ascii="Arial" w:eastAsia="Arial" w:hAnsi="Arial"/>
          <w:bCs/>
          <w:sz w:val="22"/>
          <w:szCs w:val="22"/>
          <w:lang w:val="es-CR"/>
        </w:rPr>
      </w:pPr>
      <w:r w:rsidRPr="00F02F9D">
        <w:rPr>
          <w:rFonts w:ascii="Arial" w:eastAsia="Arial" w:hAnsi="Arial"/>
          <w:bCs/>
          <w:sz w:val="22"/>
          <w:szCs w:val="22"/>
          <w:lang w:val="es-CR"/>
        </w:rPr>
        <w:t xml:space="preserve">En la </w:t>
      </w:r>
      <w:r w:rsidR="00A845E1" w:rsidRPr="00F02F9D">
        <w:rPr>
          <w:rFonts w:ascii="Arial" w:hAnsi="Arial"/>
          <w:color w:val="4D5156"/>
          <w:sz w:val="22"/>
          <w:szCs w:val="22"/>
          <w:shd w:val="clear" w:color="auto" w:fill="FFFFFF"/>
          <w:lang w:val="es-CR"/>
        </w:rPr>
        <w:t>Caja Única del Estado</w:t>
      </w:r>
      <w:r w:rsidR="00A845E1" w:rsidRPr="00F02F9D">
        <w:rPr>
          <w:rFonts w:ascii="Arial" w:eastAsia="Arial" w:hAnsi="Arial"/>
          <w:b/>
          <w:sz w:val="22"/>
          <w:szCs w:val="22"/>
          <w:lang w:val="es-CR"/>
        </w:rPr>
        <w:t xml:space="preserve">: </w:t>
      </w:r>
      <w:r w:rsidR="00A845E1" w:rsidRPr="00F02F9D">
        <w:rPr>
          <w:rFonts w:ascii="Arial" w:eastAsia="Arial" w:hAnsi="Arial"/>
          <w:bCs/>
          <w:sz w:val="22"/>
          <w:szCs w:val="22"/>
          <w:lang w:val="es-CR"/>
        </w:rPr>
        <w:t xml:space="preserve">son cuentas bancarias o un conjunto de cuentas vinculadas por medio de las cuales el Gobierno realiza todos sus pagos y recibe los ingresos. Las cuentas de depósito mantenidas por las entidades participantes </w:t>
      </w:r>
      <w:r w:rsidRPr="00F02F9D">
        <w:rPr>
          <w:rFonts w:ascii="Arial" w:eastAsia="Arial" w:hAnsi="Arial"/>
          <w:bCs/>
          <w:sz w:val="22"/>
          <w:szCs w:val="22"/>
          <w:lang w:val="es-CR"/>
        </w:rPr>
        <w:t xml:space="preserve">en </w:t>
      </w:r>
      <w:r w:rsidR="00A845E1" w:rsidRPr="00F02F9D">
        <w:rPr>
          <w:rFonts w:ascii="Arial" w:eastAsia="Arial" w:hAnsi="Arial"/>
          <w:bCs/>
          <w:sz w:val="22"/>
          <w:szCs w:val="22"/>
          <w:lang w:val="es-CR"/>
        </w:rPr>
        <w:t xml:space="preserve">el Sistema de Caja Única en la Tesorería Nacional del Ministerio de Hacienda, </w:t>
      </w:r>
      <w:r w:rsidRPr="00F02F9D">
        <w:rPr>
          <w:rFonts w:ascii="Arial" w:eastAsia="Arial" w:hAnsi="Arial"/>
          <w:bCs/>
          <w:sz w:val="22"/>
          <w:szCs w:val="22"/>
          <w:lang w:val="es-CR"/>
        </w:rPr>
        <w:t>tiene como</w:t>
      </w:r>
      <w:r w:rsidR="00A845E1" w:rsidRPr="00F02F9D">
        <w:rPr>
          <w:rFonts w:ascii="Arial" w:eastAsia="Arial" w:hAnsi="Arial"/>
          <w:bCs/>
          <w:sz w:val="22"/>
          <w:szCs w:val="22"/>
          <w:lang w:val="es-CR"/>
        </w:rPr>
        <w:t xml:space="preserve"> objetivo contabilizar los saldos y movimientos de fondos de la entidad propietaria.</w:t>
      </w:r>
    </w:p>
    <w:p w14:paraId="02604846" w14:textId="77777777" w:rsidR="00A00DFF" w:rsidRPr="00F02F9D" w:rsidRDefault="00A00DFF" w:rsidP="00CD736F">
      <w:pPr>
        <w:spacing w:line="250" w:lineRule="auto"/>
        <w:ind w:left="380" w:right="260"/>
        <w:jc w:val="both"/>
        <w:rPr>
          <w:rFonts w:ascii="Arial" w:eastAsia="Arial" w:hAnsi="Arial"/>
          <w:b/>
          <w:sz w:val="22"/>
          <w:szCs w:val="22"/>
          <w:lang w:val="es-CR"/>
        </w:rPr>
      </w:pPr>
    </w:p>
    <w:p w14:paraId="20635641" w14:textId="377C1F86" w:rsidR="00F058B1" w:rsidRPr="00F02F9D" w:rsidRDefault="00F058B1">
      <w:pPr>
        <w:pStyle w:val="Prrafodelista"/>
        <w:numPr>
          <w:ilvl w:val="0"/>
          <w:numId w:val="7"/>
        </w:numPr>
        <w:spacing w:line="250" w:lineRule="auto"/>
        <w:ind w:right="260"/>
        <w:jc w:val="both"/>
        <w:rPr>
          <w:rFonts w:ascii="Arial" w:eastAsia="Arial" w:hAnsi="Arial"/>
          <w:b/>
          <w:sz w:val="22"/>
          <w:szCs w:val="22"/>
          <w:lang w:val="es-CR"/>
        </w:rPr>
      </w:pPr>
      <w:r w:rsidRPr="00F02F9D">
        <w:rPr>
          <w:rFonts w:ascii="Arial" w:eastAsia="Arial" w:hAnsi="Arial"/>
          <w:b/>
          <w:sz w:val="22"/>
          <w:szCs w:val="22"/>
          <w:lang w:val="es-CR"/>
        </w:rPr>
        <w:t xml:space="preserve">Equivalentes </w:t>
      </w:r>
      <w:r w:rsidR="002F334E" w:rsidRPr="00F02F9D">
        <w:rPr>
          <w:rFonts w:ascii="Arial" w:eastAsia="Arial" w:hAnsi="Arial"/>
          <w:b/>
          <w:sz w:val="22"/>
          <w:szCs w:val="22"/>
          <w:lang w:val="es-CR"/>
        </w:rPr>
        <w:t>al</w:t>
      </w:r>
      <w:r w:rsidRPr="00F02F9D">
        <w:rPr>
          <w:rFonts w:ascii="Arial" w:eastAsia="Arial" w:hAnsi="Arial"/>
          <w:b/>
          <w:sz w:val="22"/>
          <w:szCs w:val="22"/>
          <w:lang w:val="es-CR"/>
        </w:rPr>
        <w:t xml:space="preserve"> Efectivo:</w:t>
      </w:r>
      <w:r w:rsidR="002F334E" w:rsidRPr="00F02F9D">
        <w:rPr>
          <w:rFonts w:ascii="Arial" w:eastAsia="Arial" w:hAnsi="Arial"/>
          <w:b/>
          <w:sz w:val="22"/>
          <w:szCs w:val="22"/>
          <w:lang w:val="es-CR"/>
        </w:rPr>
        <w:t xml:space="preserve"> </w:t>
      </w:r>
      <w:r w:rsidR="002F334E" w:rsidRPr="00F02F9D">
        <w:rPr>
          <w:rFonts w:ascii="Arial" w:eastAsia="Arial" w:hAnsi="Arial"/>
          <w:bCs/>
          <w:sz w:val="22"/>
          <w:szCs w:val="22"/>
          <w:lang w:val="es-CR"/>
        </w:rPr>
        <w:t>son activos monetarios inver</w:t>
      </w:r>
      <w:r w:rsidR="008176A0" w:rsidRPr="00F02F9D">
        <w:rPr>
          <w:rFonts w:ascii="Arial" w:eastAsia="Arial" w:hAnsi="Arial"/>
          <w:bCs/>
          <w:sz w:val="22"/>
          <w:szCs w:val="22"/>
          <w:lang w:val="es-CR"/>
        </w:rPr>
        <w:t xml:space="preserve">tidos </w:t>
      </w:r>
      <w:r w:rsidR="002F334E" w:rsidRPr="00F02F9D">
        <w:rPr>
          <w:rFonts w:ascii="Arial" w:eastAsia="Arial" w:hAnsi="Arial"/>
          <w:bCs/>
          <w:sz w:val="22"/>
          <w:szCs w:val="22"/>
          <w:lang w:val="es-CR"/>
        </w:rPr>
        <w:t>en instrumentos del mercado monetario</w:t>
      </w:r>
      <w:r w:rsidR="00515090" w:rsidRPr="00F02F9D">
        <w:rPr>
          <w:rFonts w:ascii="Arial" w:eastAsia="Arial" w:hAnsi="Arial"/>
          <w:bCs/>
          <w:sz w:val="22"/>
          <w:szCs w:val="22"/>
          <w:lang w:val="es-CR"/>
        </w:rPr>
        <w:t xml:space="preserve"> </w:t>
      </w:r>
      <w:r w:rsidR="008176A0" w:rsidRPr="00F02F9D">
        <w:rPr>
          <w:rFonts w:ascii="Arial" w:eastAsia="Arial" w:hAnsi="Arial"/>
          <w:bCs/>
          <w:sz w:val="22"/>
          <w:szCs w:val="22"/>
          <w:lang w:val="es-CR"/>
        </w:rPr>
        <w:t>cuyas características son</w:t>
      </w:r>
      <w:r w:rsidR="001E4EFE">
        <w:rPr>
          <w:rFonts w:ascii="Arial" w:eastAsia="Arial" w:hAnsi="Arial"/>
          <w:bCs/>
          <w:sz w:val="22"/>
          <w:szCs w:val="22"/>
          <w:lang w:val="es-CR"/>
        </w:rPr>
        <w:t>,</w:t>
      </w:r>
      <w:r w:rsidR="008176A0" w:rsidRPr="00F02F9D">
        <w:rPr>
          <w:rFonts w:ascii="Arial" w:eastAsia="Arial" w:hAnsi="Arial"/>
          <w:bCs/>
          <w:sz w:val="22"/>
          <w:szCs w:val="22"/>
          <w:lang w:val="es-CR"/>
        </w:rPr>
        <w:t xml:space="preserve"> </w:t>
      </w:r>
      <w:r w:rsidR="00515090" w:rsidRPr="00F02F9D">
        <w:rPr>
          <w:rFonts w:ascii="Arial" w:eastAsia="Arial" w:hAnsi="Arial"/>
          <w:bCs/>
          <w:sz w:val="22"/>
          <w:szCs w:val="22"/>
          <w:lang w:val="es-CR"/>
        </w:rPr>
        <w:t>que debe</w:t>
      </w:r>
      <w:r w:rsidR="008176A0" w:rsidRPr="00F02F9D">
        <w:rPr>
          <w:rFonts w:ascii="Arial" w:eastAsia="Arial" w:hAnsi="Arial"/>
          <w:bCs/>
          <w:sz w:val="22"/>
          <w:szCs w:val="22"/>
          <w:lang w:val="es-CR"/>
        </w:rPr>
        <w:t>n</w:t>
      </w:r>
      <w:r w:rsidR="00515090" w:rsidRPr="00F02F9D">
        <w:rPr>
          <w:rFonts w:ascii="Arial" w:eastAsia="Arial" w:hAnsi="Arial"/>
          <w:bCs/>
          <w:sz w:val="22"/>
          <w:szCs w:val="22"/>
          <w:lang w:val="es-CR"/>
        </w:rPr>
        <w:t xml:space="preserve"> ser fácilmente convertible en una cantidad determinada de efectivo y estar sujeta a un riesgo insignificante de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os</w:t>
      </w:r>
      <w:r w:rsidR="00515090" w:rsidRPr="00F02F9D">
        <w:rPr>
          <w:rFonts w:ascii="Arial" w:eastAsia="Arial" w:hAnsi="Arial"/>
          <w:bCs/>
          <w:sz w:val="22"/>
          <w:szCs w:val="22"/>
          <w:lang w:val="es-CR"/>
        </w:rPr>
        <w:t xml:space="preserve"> en su valor. </w:t>
      </w:r>
      <w:r w:rsidR="00945256" w:rsidRPr="00F02F9D">
        <w:rPr>
          <w:rFonts w:ascii="Arial" w:eastAsia="Arial" w:hAnsi="Arial"/>
          <w:bCs/>
          <w:sz w:val="22"/>
          <w:szCs w:val="22"/>
          <w:lang w:val="es-CR"/>
        </w:rPr>
        <w:t xml:space="preserve">Por lo anterior, los equivalentes al efectivo se mantienen, más que para propósitos de inversión o similares, para cumplir los compromisos de pago a corto plazo. </w:t>
      </w:r>
      <w:r w:rsidR="00515090" w:rsidRPr="00F02F9D">
        <w:rPr>
          <w:rFonts w:ascii="Arial" w:eastAsia="Arial" w:hAnsi="Arial"/>
          <w:bCs/>
          <w:sz w:val="22"/>
          <w:szCs w:val="22"/>
          <w:lang w:val="es-CR"/>
        </w:rPr>
        <w:t xml:space="preserve"> </w:t>
      </w:r>
      <w:r w:rsidR="00945256" w:rsidRPr="00F02F9D">
        <w:rPr>
          <w:rFonts w:ascii="Arial" w:eastAsia="Arial" w:hAnsi="Arial"/>
          <w:bCs/>
          <w:sz w:val="22"/>
          <w:szCs w:val="22"/>
          <w:lang w:val="es-CR"/>
        </w:rPr>
        <w:t>Por tanto, una inversión será equivalente al efectivo cuando tenga vencimiento próximo, por un plazo de tres meses o menos desde la fecha de su adquisición</w:t>
      </w:r>
      <w:r w:rsidR="001E4EFE">
        <w:rPr>
          <w:rFonts w:ascii="Arial" w:eastAsia="Arial" w:hAnsi="Arial"/>
          <w:bCs/>
          <w:sz w:val="22"/>
          <w:szCs w:val="22"/>
          <w:lang w:val="es-CR"/>
        </w:rPr>
        <w:t>, pudiendo ser</w:t>
      </w:r>
      <w:r w:rsidR="00945256" w:rsidRPr="00F02F9D">
        <w:rPr>
          <w:rFonts w:ascii="Arial" w:eastAsia="Arial" w:hAnsi="Arial"/>
          <w:bCs/>
          <w:sz w:val="22"/>
          <w:szCs w:val="22"/>
          <w:lang w:val="es-CR"/>
        </w:rPr>
        <w:t xml:space="preserve"> </w:t>
      </w:r>
      <w:r w:rsidR="00515090" w:rsidRPr="00F02F9D">
        <w:rPr>
          <w:rFonts w:ascii="Arial" w:eastAsia="Arial" w:hAnsi="Arial"/>
          <w:bCs/>
          <w:sz w:val="22"/>
          <w:szCs w:val="22"/>
          <w:lang w:val="es-CR"/>
        </w:rPr>
        <w:t>en alguna de las siguientes maneras:</w:t>
      </w:r>
    </w:p>
    <w:p w14:paraId="0737D5EC" w14:textId="77777777" w:rsidR="00F058B1" w:rsidRPr="00F02F9D" w:rsidRDefault="00F058B1" w:rsidP="00A00DFF">
      <w:pPr>
        <w:spacing w:line="250" w:lineRule="auto"/>
        <w:ind w:left="380" w:right="260"/>
        <w:jc w:val="both"/>
        <w:rPr>
          <w:rFonts w:ascii="Arial" w:eastAsia="Arial" w:hAnsi="Arial"/>
          <w:b/>
          <w:sz w:val="22"/>
          <w:szCs w:val="22"/>
          <w:lang w:val="es-CR"/>
        </w:rPr>
      </w:pPr>
    </w:p>
    <w:p w14:paraId="294B743C" w14:textId="24857EFB" w:rsidR="007377D0" w:rsidRPr="00F02F9D" w:rsidRDefault="00A00DFF">
      <w:pPr>
        <w:pStyle w:val="Prrafodelista"/>
        <w:numPr>
          <w:ilvl w:val="0"/>
          <w:numId w:val="6"/>
        </w:numPr>
        <w:spacing w:after="120" w:line="250" w:lineRule="auto"/>
        <w:ind w:left="993" w:right="261" w:hanging="142"/>
        <w:contextualSpacing w:val="0"/>
        <w:jc w:val="both"/>
        <w:rPr>
          <w:rFonts w:ascii="Arial" w:eastAsia="Arial" w:hAnsi="Arial"/>
          <w:bCs/>
          <w:sz w:val="22"/>
          <w:szCs w:val="22"/>
          <w:lang w:val="es-CR"/>
        </w:rPr>
      </w:pPr>
      <w:r w:rsidRPr="00F02F9D">
        <w:rPr>
          <w:rFonts w:ascii="Arial" w:eastAsia="Arial" w:hAnsi="Arial"/>
          <w:b/>
          <w:sz w:val="22"/>
          <w:szCs w:val="22"/>
          <w:lang w:val="es-CR"/>
        </w:rPr>
        <w:t>Fondos de inversión:</w:t>
      </w:r>
      <w:r w:rsidRPr="00F02F9D">
        <w:rPr>
          <w:rFonts w:ascii="Arial" w:eastAsia="Arial" w:hAnsi="Arial"/>
          <w:bCs/>
          <w:sz w:val="22"/>
          <w:szCs w:val="22"/>
          <w:lang w:val="es-CR"/>
        </w:rPr>
        <w:t xml:space="preserve"> se trata de una cartera de recursos financieros (patrimonio) constituida por el ahorro de muchos inversionistas que es administrada por un experto en inversiones, para ser invertida en valores. El inversionista compra una parte proporcional de todos los valores del fondo, lo cual se conoce como “participación” y con ello puede obtener parte de los resultados que la cartera genera</w:t>
      </w:r>
      <w:r w:rsidR="008176A0" w:rsidRPr="00F02F9D">
        <w:rPr>
          <w:rFonts w:ascii="Arial" w:eastAsia="Arial" w:hAnsi="Arial"/>
          <w:bCs/>
          <w:sz w:val="22"/>
          <w:szCs w:val="22"/>
          <w:lang w:val="es-CR"/>
        </w:rPr>
        <w:t xml:space="preserve"> (rendimientos)</w:t>
      </w:r>
    </w:p>
    <w:p w14:paraId="5937580C" w14:textId="42C16605" w:rsidR="007377D0" w:rsidRPr="00F02F9D" w:rsidRDefault="0049481B">
      <w:pPr>
        <w:pStyle w:val="Prrafodelista"/>
        <w:numPr>
          <w:ilvl w:val="0"/>
          <w:numId w:val="6"/>
        </w:numPr>
        <w:spacing w:line="250" w:lineRule="auto"/>
        <w:ind w:left="993" w:right="260" w:hanging="142"/>
        <w:jc w:val="both"/>
        <w:rPr>
          <w:rFonts w:ascii="Arial" w:hAnsi="Arial"/>
          <w:color w:val="4D5156"/>
          <w:sz w:val="22"/>
          <w:szCs w:val="22"/>
          <w:shd w:val="clear" w:color="auto" w:fill="FFFFFF"/>
          <w:lang w:val="es-CR"/>
        </w:rPr>
      </w:pPr>
      <w:r w:rsidRPr="00F02F9D">
        <w:rPr>
          <w:rFonts w:ascii="Arial" w:eastAsia="Arial" w:hAnsi="Arial"/>
          <w:b/>
          <w:sz w:val="22"/>
          <w:szCs w:val="22"/>
          <w:lang w:val="es-CR"/>
        </w:rPr>
        <w:t xml:space="preserve">Inversiones: </w:t>
      </w:r>
      <w:r w:rsidR="008A4688" w:rsidRPr="00F02F9D">
        <w:rPr>
          <w:rFonts w:ascii="Arial" w:eastAsia="Arial" w:hAnsi="Arial"/>
          <w:b/>
          <w:sz w:val="22"/>
          <w:szCs w:val="22"/>
          <w:lang w:val="es-CR"/>
        </w:rPr>
        <w:t>C</w:t>
      </w:r>
      <w:r w:rsidRPr="00F02F9D">
        <w:rPr>
          <w:rFonts w:ascii="Arial" w:eastAsia="Arial" w:hAnsi="Arial"/>
          <w:b/>
          <w:sz w:val="22"/>
          <w:szCs w:val="22"/>
          <w:lang w:val="es-CR"/>
        </w:rPr>
        <w:t>ertificados a Plazo</w:t>
      </w:r>
      <w:r w:rsidR="008A4688" w:rsidRPr="00F02F9D">
        <w:rPr>
          <w:rFonts w:ascii="Arial" w:eastAsia="Arial" w:hAnsi="Arial"/>
          <w:b/>
          <w:sz w:val="22"/>
          <w:szCs w:val="22"/>
          <w:lang w:val="es-CR"/>
        </w:rPr>
        <w:t xml:space="preserve">: </w:t>
      </w:r>
      <w:r w:rsidRPr="00F02F9D">
        <w:rPr>
          <w:rFonts w:ascii="Arial" w:hAnsi="Arial"/>
          <w:color w:val="040C28"/>
          <w:sz w:val="22"/>
          <w:szCs w:val="22"/>
          <w:lang w:val="es-CR"/>
        </w:rPr>
        <w:t>es un depósito que se pacta a un periodo de tiempo, el cual es acordado entre el cliente y una entidad financiera</w:t>
      </w:r>
      <w:r w:rsidRPr="00F02F9D">
        <w:rPr>
          <w:rFonts w:ascii="Arial" w:hAnsi="Arial"/>
          <w:color w:val="4D5156"/>
          <w:sz w:val="22"/>
          <w:szCs w:val="22"/>
          <w:shd w:val="clear" w:color="auto" w:fill="FFFFFF"/>
          <w:lang w:val="es-CR"/>
        </w:rPr>
        <w:t>. La tasa de interés se establece en base al monto del depósito y el plazo.</w:t>
      </w:r>
    </w:p>
    <w:p w14:paraId="6E405805" w14:textId="77777777" w:rsidR="007377D0" w:rsidRPr="00F02F9D" w:rsidRDefault="007377D0">
      <w:pPr>
        <w:spacing w:line="285" w:lineRule="exact"/>
        <w:rPr>
          <w:rFonts w:ascii="Arial" w:eastAsia="Times New Roman" w:hAnsi="Arial"/>
          <w:sz w:val="22"/>
          <w:szCs w:val="22"/>
          <w:lang w:val="es-CR"/>
        </w:rPr>
      </w:pPr>
    </w:p>
    <w:p w14:paraId="357DB579" w14:textId="19EC6510" w:rsidR="007377D0" w:rsidRPr="00F02F9D" w:rsidRDefault="00EB264E" w:rsidP="009E606D">
      <w:pPr>
        <w:spacing w:line="236" w:lineRule="auto"/>
        <w:ind w:right="260"/>
        <w:jc w:val="both"/>
        <w:rPr>
          <w:rFonts w:ascii="Arial" w:eastAsia="Arial" w:hAnsi="Arial"/>
          <w:bCs/>
          <w:sz w:val="22"/>
          <w:szCs w:val="22"/>
          <w:lang w:val="es-CR"/>
        </w:rPr>
      </w:pPr>
      <w:r w:rsidRPr="00F02F9D">
        <w:rPr>
          <w:rFonts w:ascii="Arial" w:eastAsia="Arial" w:hAnsi="Arial"/>
          <w:bCs/>
          <w:sz w:val="22"/>
          <w:szCs w:val="22"/>
          <w:lang w:val="es-CR"/>
        </w:rPr>
        <w:t>En l</w:t>
      </w:r>
      <w:r w:rsidR="00144768" w:rsidRPr="00F02F9D">
        <w:rPr>
          <w:rFonts w:ascii="Arial" w:eastAsia="Arial" w:hAnsi="Arial"/>
          <w:bCs/>
          <w:sz w:val="22"/>
          <w:szCs w:val="22"/>
          <w:lang w:val="es-CR"/>
        </w:rPr>
        <w:t xml:space="preserve">a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se debe</w:t>
      </w:r>
      <w:r w:rsidR="00C10CDF" w:rsidRPr="00F02F9D">
        <w:rPr>
          <w:rFonts w:ascii="Arial" w:eastAsia="Arial" w:hAnsi="Arial"/>
          <w:bCs/>
          <w:sz w:val="22"/>
          <w:szCs w:val="22"/>
          <w:lang w:val="es-CR"/>
        </w:rPr>
        <w:t>n</w:t>
      </w:r>
      <w:r w:rsidR="008A4688" w:rsidRPr="00F02F9D">
        <w:rPr>
          <w:rFonts w:ascii="Arial" w:eastAsia="Arial" w:hAnsi="Arial"/>
          <w:bCs/>
          <w:sz w:val="22"/>
          <w:szCs w:val="22"/>
          <w:lang w:val="es-CR"/>
        </w:rPr>
        <w:t xml:space="preserve"> acatar l</w:t>
      </w:r>
      <w:r w:rsidR="00C10CDF" w:rsidRPr="00F02F9D">
        <w:rPr>
          <w:rFonts w:ascii="Arial" w:eastAsia="Arial" w:hAnsi="Arial"/>
          <w:bCs/>
          <w:sz w:val="22"/>
          <w:szCs w:val="22"/>
          <w:lang w:val="es-CR"/>
        </w:rPr>
        <w:t>as</w:t>
      </w:r>
      <w:r w:rsidR="008A4688" w:rsidRPr="00F02F9D">
        <w:rPr>
          <w:rFonts w:ascii="Arial" w:eastAsia="Arial" w:hAnsi="Arial"/>
          <w:bCs/>
          <w:sz w:val="22"/>
          <w:szCs w:val="22"/>
          <w:lang w:val="es-CR"/>
        </w:rPr>
        <w:t xml:space="preserve"> </w:t>
      </w:r>
      <w:r w:rsidRPr="00F02F9D">
        <w:rPr>
          <w:rFonts w:ascii="Arial" w:eastAsia="Arial" w:hAnsi="Arial"/>
          <w:bCs/>
          <w:sz w:val="22"/>
          <w:szCs w:val="22"/>
          <w:lang w:val="es-CR"/>
        </w:rPr>
        <w:t>siguiente</w:t>
      </w:r>
      <w:r w:rsidR="00C10CDF" w:rsidRPr="00F02F9D">
        <w:rPr>
          <w:rFonts w:ascii="Arial" w:eastAsia="Arial" w:hAnsi="Arial"/>
          <w:bCs/>
          <w:sz w:val="22"/>
          <w:szCs w:val="22"/>
          <w:lang w:val="es-CR"/>
        </w:rPr>
        <w:t>s políticas</w:t>
      </w:r>
      <w:r w:rsidR="008176A0" w:rsidRPr="00F02F9D">
        <w:rPr>
          <w:rFonts w:ascii="Arial" w:eastAsia="Arial" w:hAnsi="Arial"/>
          <w:bCs/>
          <w:sz w:val="22"/>
          <w:szCs w:val="22"/>
          <w:lang w:val="es-CR"/>
        </w:rPr>
        <w:t xml:space="preserve"> particulares en relación con los activos financieros monetarios</w:t>
      </w:r>
      <w:r w:rsidR="008A4688" w:rsidRPr="00F02F9D">
        <w:rPr>
          <w:rFonts w:ascii="Arial" w:eastAsia="Arial" w:hAnsi="Arial"/>
          <w:bCs/>
          <w:sz w:val="22"/>
          <w:szCs w:val="22"/>
          <w:lang w:val="es-CR"/>
        </w:rPr>
        <w:t>:</w:t>
      </w:r>
    </w:p>
    <w:p w14:paraId="32A7ADF6" w14:textId="77777777" w:rsidR="007377D0" w:rsidRPr="00F02F9D" w:rsidRDefault="007377D0">
      <w:pPr>
        <w:spacing w:line="285" w:lineRule="exact"/>
        <w:rPr>
          <w:rFonts w:ascii="Arial" w:eastAsia="Times New Roman" w:hAnsi="Arial"/>
          <w:sz w:val="22"/>
          <w:szCs w:val="22"/>
          <w:lang w:val="es-CR"/>
        </w:rPr>
      </w:pPr>
    </w:p>
    <w:p w14:paraId="1292BBA1" w14:textId="77777777" w:rsidR="007A52D4" w:rsidRPr="00BD7E4A" w:rsidRDefault="007A52D4" w:rsidP="00BD7E4A">
      <w:pPr>
        <w:pStyle w:val="Ttulo2"/>
        <w:ind w:left="284"/>
        <w:rPr>
          <w:rFonts w:ascii="Arial" w:eastAsia="Arial" w:hAnsi="Arial" w:cs="Arial"/>
          <w:b/>
          <w:bCs/>
          <w:sz w:val="20"/>
          <w:szCs w:val="20"/>
          <w:lang w:val="es-CR"/>
        </w:rPr>
      </w:pPr>
      <w:bookmarkStart w:id="17" w:name="_Toc172726195"/>
      <w:r w:rsidRPr="00BD7E4A">
        <w:rPr>
          <w:rFonts w:ascii="Arial" w:eastAsia="Arial" w:hAnsi="Arial" w:cs="Arial"/>
          <w:b/>
          <w:bCs/>
          <w:sz w:val="20"/>
          <w:szCs w:val="20"/>
          <w:lang w:val="es-CR"/>
        </w:rPr>
        <w:t>Efectivo</w:t>
      </w:r>
      <w:bookmarkEnd w:id="17"/>
    </w:p>
    <w:p w14:paraId="2234C00B" w14:textId="77777777" w:rsidR="007A52D4" w:rsidRPr="00F02F9D" w:rsidRDefault="007A52D4" w:rsidP="007A52D4">
      <w:pPr>
        <w:spacing w:line="290" w:lineRule="exact"/>
        <w:rPr>
          <w:rFonts w:ascii="Arial" w:eastAsia="Times New Roman" w:hAnsi="Arial"/>
          <w:sz w:val="22"/>
          <w:szCs w:val="22"/>
          <w:lang w:val="es-CR"/>
        </w:rPr>
      </w:pPr>
    </w:p>
    <w:p w14:paraId="26613DC1" w14:textId="77777777" w:rsidR="00751334" w:rsidRPr="00F02F9D" w:rsidRDefault="00751334" w:rsidP="00E35024">
      <w:pPr>
        <w:spacing w:line="238" w:lineRule="auto"/>
        <w:ind w:right="260"/>
        <w:jc w:val="both"/>
        <w:rPr>
          <w:rFonts w:ascii="Arial" w:eastAsia="Arial" w:hAnsi="Arial"/>
          <w:bCs/>
          <w:sz w:val="22"/>
          <w:szCs w:val="22"/>
          <w:lang w:val="es-CR"/>
        </w:rPr>
      </w:pPr>
      <w:r w:rsidRPr="00F02F9D">
        <w:rPr>
          <w:rFonts w:ascii="Arial" w:eastAsia="Arial" w:hAnsi="Arial"/>
          <w:bCs/>
          <w:sz w:val="22"/>
          <w:szCs w:val="22"/>
          <w:lang w:val="es-CR"/>
        </w:rPr>
        <w:t>Las políticas de la Institución en relación con esta cuenta son:</w:t>
      </w:r>
    </w:p>
    <w:p w14:paraId="0139EDB7" w14:textId="77777777" w:rsidR="00751334" w:rsidRPr="00F02F9D" w:rsidRDefault="00751334" w:rsidP="007A52D4">
      <w:pPr>
        <w:spacing w:line="290" w:lineRule="exact"/>
        <w:rPr>
          <w:rFonts w:ascii="Arial" w:eastAsia="Times New Roman" w:hAnsi="Arial"/>
          <w:sz w:val="22"/>
          <w:szCs w:val="22"/>
          <w:lang w:val="es-CR"/>
        </w:rPr>
      </w:pPr>
    </w:p>
    <w:tbl>
      <w:tblPr>
        <w:tblW w:w="9310" w:type="dxa"/>
        <w:tblInd w:w="-10" w:type="dxa"/>
        <w:tblLook w:val="04A0" w:firstRow="1" w:lastRow="0" w:firstColumn="1" w:lastColumn="0" w:noHBand="0" w:noVBand="1"/>
      </w:tblPr>
      <w:tblGrid>
        <w:gridCol w:w="709"/>
        <w:gridCol w:w="708"/>
        <w:gridCol w:w="567"/>
        <w:gridCol w:w="3545"/>
        <w:gridCol w:w="1842"/>
        <w:gridCol w:w="1939"/>
      </w:tblGrid>
      <w:tr w:rsidR="007A52D4" w:rsidRPr="00BD7E4A" w14:paraId="47B80BF6" w14:textId="77777777" w:rsidTr="00E35024">
        <w:trPr>
          <w:trHeight w:val="320"/>
        </w:trPr>
        <w:tc>
          <w:tcPr>
            <w:tcW w:w="198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CB83472" w14:textId="77777777" w:rsidR="007A52D4" w:rsidRPr="00BD7E4A" w:rsidRDefault="007A52D4"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3545" w:type="dxa"/>
            <w:vMerge w:val="restart"/>
            <w:tcBorders>
              <w:top w:val="single" w:sz="8" w:space="0" w:color="auto"/>
              <w:left w:val="single" w:sz="8" w:space="0" w:color="auto"/>
              <w:bottom w:val="nil"/>
              <w:right w:val="single" w:sz="8" w:space="0" w:color="auto"/>
            </w:tcBorders>
            <w:shd w:val="clear" w:color="000000" w:fill="203764"/>
            <w:vAlign w:val="center"/>
            <w:hideMark/>
          </w:tcPr>
          <w:p w14:paraId="21C0DA13" w14:textId="77777777" w:rsidR="007A52D4" w:rsidRPr="00BD7E4A" w:rsidRDefault="007A52D4"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3781" w:type="dxa"/>
            <w:gridSpan w:val="2"/>
            <w:tcBorders>
              <w:top w:val="single" w:sz="8" w:space="0" w:color="auto"/>
              <w:left w:val="nil"/>
              <w:bottom w:val="single" w:sz="8" w:space="0" w:color="auto"/>
              <w:right w:val="single" w:sz="8" w:space="0" w:color="000000"/>
            </w:tcBorders>
            <w:shd w:val="clear" w:color="000000" w:fill="203764"/>
            <w:vAlign w:val="center"/>
            <w:hideMark/>
          </w:tcPr>
          <w:p w14:paraId="7E7ACA83" w14:textId="77777777" w:rsidR="007A52D4" w:rsidRPr="00BD7E4A" w:rsidRDefault="007A52D4"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7A52D4" w:rsidRPr="0091631A" w14:paraId="3491DC86" w14:textId="77777777" w:rsidTr="00E35024">
        <w:trPr>
          <w:trHeight w:val="310"/>
        </w:trPr>
        <w:tc>
          <w:tcPr>
            <w:tcW w:w="1984" w:type="dxa"/>
            <w:gridSpan w:val="3"/>
            <w:vMerge/>
            <w:tcBorders>
              <w:top w:val="single" w:sz="8" w:space="0" w:color="auto"/>
              <w:left w:val="single" w:sz="8" w:space="0" w:color="auto"/>
              <w:bottom w:val="nil"/>
              <w:right w:val="single" w:sz="8" w:space="0" w:color="000000"/>
            </w:tcBorders>
            <w:vAlign w:val="center"/>
            <w:hideMark/>
          </w:tcPr>
          <w:p w14:paraId="7AAFA651" w14:textId="77777777" w:rsidR="007A52D4" w:rsidRPr="00BD7E4A" w:rsidRDefault="007A52D4" w:rsidP="00005DEC">
            <w:pPr>
              <w:rPr>
                <w:rFonts w:ascii="Arial Narrow" w:eastAsia="Times New Roman" w:hAnsi="Arial Narrow"/>
                <w:b/>
                <w:bCs/>
                <w:color w:val="FFFFFF"/>
                <w:sz w:val="22"/>
                <w:szCs w:val="22"/>
              </w:rPr>
            </w:pPr>
          </w:p>
        </w:tc>
        <w:tc>
          <w:tcPr>
            <w:tcW w:w="3545" w:type="dxa"/>
            <w:vMerge/>
            <w:tcBorders>
              <w:top w:val="single" w:sz="8" w:space="0" w:color="auto"/>
              <w:left w:val="single" w:sz="8" w:space="0" w:color="auto"/>
              <w:bottom w:val="nil"/>
              <w:right w:val="single" w:sz="8" w:space="0" w:color="auto"/>
            </w:tcBorders>
            <w:vAlign w:val="center"/>
            <w:hideMark/>
          </w:tcPr>
          <w:p w14:paraId="3F8C7C58" w14:textId="77777777" w:rsidR="007A52D4" w:rsidRPr="00BD7E4A" w:rsidRDefault="007A52D4" w:rsidP="00005DEC">
            <w:pPr>
              <w:rPr>
                <w:rFonts w:ascii="Arial Narrow" w:eastAsia="Times New Roman" w:hAnsi="Arial Narrow"/>
                <w:b/>
                <w:bCs/>
                <w:color w:val="FFFFFF"/>
                <w:sz w:val="22"/>
                <w:szCs w:val="22"/>
              </w:rPr>
            </w:pPr>
          </w:p>
        </w:tc>
        <w:tc>
          <w:tcPr>
            <w:tcW w:w="1842" w:type="dxa"/>
            <w:tcBorders>
              <w:top w:val="nil"/>
              <w:left w:val="nil"/>
              <w:bottom w:val="nil"/>
              <w:right w:val="single" w:sz="8" w:space="0" w:color="auto"/>
            </w:tcBorders>
            <w:shd w:val="clear" w:color="000000" w:fill="203764"/>
            <w:vAlign w:val="center"/>
            <w:hideMark/>
          </w:tcPr>
          <w:p w14:paraId="0B8B0CD2" w14:textId="77777777" w:rsidR="007A52D4" w:rsidRPr="00BD7E4A" w:rsidRDefault="007A52D4"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1939" w:type="dxa"/>
            <w:tcBorders>
              <w:top w:val="nil"/>
              <w:left w:val="nil"/>
              <w:bottom w:val="nil"/>
              <w:right w:val="single" w:sz="8" w:space="0" w:color="auto"/>
            </w:tcBorders>
            <w:shd w:val="clear" w:color="000000" w:fill="203764"/>
            <w:vAlign w:val="center"/>
            <w:hideMark/>
          </w:tcPr>
          <w:p w14:paraId="70778763" w14:textId="114FED96" w:rsidR="007A52D4" w:rsidRPr="0091631A" w:rsidRDefault="0091631A" w:rsidP="00005DE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A52D4" w:rsidRPr="00BD7E4A" w14:paraId="77791A0E" w14:textId="77777777" w:rsidTr="00E35024">
        <w:trPr>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5C862" w14:textId="77777777" w:rsidR="007A52D4" w:rsidRPr="00BD7E4A" w:rsidRDefault="007A52D4"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0A55148" w14:textId="77777777" w:rsidR="007A52D4" w:rsidRPr="00BD7E4A" w:rsidRDefault="007A52D4"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29.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12C36C3" w14:textId="7DCF17D6" w:rsidR="007A52D4" w:rsidRPr="00BD7E4A" w:rsidRDefault="007A52D4"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r w:rsidR="001E4EFE" w:rsidRPr="00BD7E4A">
              <w:rPr>
                <w:rFonts w:ascii="Arial Narrow" w:eastAsia="Times New Roman" w:hAnsi="Arial Narrow"/>
                <w:b/>
                <w:bCs/>
                <w:color w:val="000000"/>
                <w:sz w:val="22"/>
                <w:szCs w:val="22"/>
              </w:rPr>
              <w:t>0</w:t>
            </w:r>
          </w:p>
        </w:tc>
        <w:tc>
          <w:tcPr>
            <w:tcW w:w="3545" w:type="dxa"/>
            <w:tcBorders>
              <w:top w:val="single" w:sz="4" w:space="0" w:color="auto"/>
              <w:left w:val="nil"/>
              <w:bottom w:val="single" w:sz="4" w:space="0" w:color="auto"/>
              <w:right w:val="single" w:sz="4" w:space="0" w:color="auto"/>
            </w:tcBorders>
            <w:shd w:val="clear" w:color="auto" w:fill="auto"/>
            <w:noWrap/>
            <w:vAlign w:val="bottom"/>
            <w:hideMark/>
          </w:tcPr>
          <w:p w14:paraId="683D9733" w14:textId="77777777" w:rsidR="007A52D4" w:rsidRPr="00BD7E4A" w:rsidRDefault="007A52D4" w:rsidP="00E66302">
            <w:pPr>
              <w:spacing w:after="120"/>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Efectivo</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670ADBA2" w14:textId="4ABC621B" w:rsidR="007A52D4" w:rsidRPr="00BD7E4A" w:rsidRDefault="002B1B5D"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NICSP 2, </w:t>
            </w:r>
          </w:p>
          <w:p w14:paraId="1DDE80DB" w14:textId="7DAFF492" w:rsidR="002B1B5D" w:rsidRPr="00BD7E4A" w:rsidRDefault="002B1B5D"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Párrafo 8</w:t>
            </w:r>
          </w:p>
        </w:tc>
        <w:tc>
          <w:tcPr>
            <w:tcW w:w="1939" w:type="dxa"/>
            <w:tcBorders>
              <w:top w:val="single" w:sz="4" w:space="0" w:color="auto"/>
              <w:left w:val="nil"/>
              <w:bottom w:val="single" w:sz="4" w:space="0" w:color="auto"/>
              <w:right w:val="single" w:sz="4" w:space="0" w:color="auto"/>
            </w:tcBorders>
            <w:shd w:val="clear" w:color="auto" w:fill="auto"/>
            <w:vAlign w:val="center"/>
            <w:hideMark/>
          </w:tcPr>
          <w:p w14:paraId="7C0218AA" w14:textId="77777777" w:rsidR="007A52D4" w:rsidRPr="00BD7E4A" w:rsidRDefault="007A52D4"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tbl>
    <w:p w14:paraId="312C7BB6" w14:textId="77777777" w:rsidR="007A52D4" w:rsidRDefault="007A52D4">
      <w:pPr>
        <w:spacing w:line="285" w:lineRule="exact"/>
        <w:rPr>
          <w:rFonts w:ascii="Arial" w:eastAsia="Times New Roman" w:hAnsi="Arial"/>
          <w:sz w:val="22"/>
          <w:szCs w:val="22"/>
          <w:lang w:val="es-CR"/>
        </w:rPr>
      </w:pPr>
    </w:p>
    <w:p w14:paraId="4D39FE76" w14:textId="77777777" w:rsidR="00F47532" w:rsidRDefault="00F47532">
      <w:pPr>
        <w:spacing w:line="285" w:lineRule="exact"/>
        <w:rPr>
          <w:rFonts w:ascii="Arial" w:eastAsia="Times New Roman" w:hAnsi="Arial"/>
          <w:sz w:val="22"/>
          <w:szCs w:val="22"/>
          <w:lang w:val="es-CR"/>
        </w:rPr>
      </w:pPr>
    </w:p>
    <w:p w14:paraId="7F98A72A" w14:textId="77777777" w:rsidR="00F47532" w:rsidRDefault="00F47532">
      <w:pPr>
        <w:spacing w:line="285" w:lineRule="exact"/>
        <w:rPr>
          <w:rFonts w:ascii="Arial" w:eastAsia="Times New Roman" w:hAnsi="Arial"/>
          <w:sz w:val="22"/>
          <w:szCs w:val="22"/>
          <w:lang w:val="es-CR"/>
        </w:rPr>
      </w:pPr>
    </w:p>
    <w:p w14:paraId="49DBEF25" w14:textId="1572495E" w:rsidR="00224397" w:rsidRPr="00F02F9D" w:rsidRDefault="00224397">
      <w:pPr>
        <w:spacing w:line="285" w:lineRule="exact"/>
        <w:rPr>
          <w:rFonts w:ascii="Arial" w:eastAsia="Times New Roman" w:hAnsi="Arial"/>
          <w:sz w:val="22"/>
          <w:szCs w:val="22"/>
          <w:lang w:val="es-CR"/>
        </w:rPr>
      </w:pPr>
      <w:r w:rsidRPr="00F02F9D">
        <w:rPr>
          <w:rFonts w:ascii="Arial" w:eastAsia="Arial" w:hAnsi="Arial"/>
          <w:b/>
          <w:sz w:val="22"/>
          <w:szCs w:val="22"/>
        </w:rPr>
        <w:t>Políticas Contables</w:t>
      </w:r>
    </w:p>
    <w:p w14:paraId="79388838" w14:textId="77777777" w:rsidR="001E4EFE" w:rsidRDefault="001E4EFE" w:rsidP="009E606D">
      <w:pPr>
        <w:spacing w:line="0" w:lineRule="atLeast"/>
        <w:rPr>
          <w:rFonts w:ascii="Arial" w:eastAsia="Arial" w:hAnsi="Arial"/>
          <w:b/>
          <w:sz w:val="22"/>
          <w:szCs w:val="22"/>
          <w:lang w:val="es-CR"/>
        </w:rPr>
      </w:pPr>
    </w:p>
    <w:p w14:paraId="113D7571" w14:textId="77777777" w:rsidR="001E4EFE" w:rsidRDefault="001E4EFE" w:rsidP="009E606D">
      <w:pPr>
        <w:spacing w:line="0" w:lineRule="atLeast"/>
        <w:rPr>
          <w:rFonts w:ascii="Arial" w:eastAsia="Arial" w:hAnsi="Arial"/>
          <w:b/>
          <w:sz w:val="22"/>
          <w:szCs w:val="22"/>
          <w:lang w:val="es-CR"/>
        </w:rPr>
      </w:pPr>
    </w:p>
    <w:p w14:paraId="015DFC53" w14:textId="38C44559" w:rsidR="008176A0" w:rsidRDefault="001E4EFE">
      <w:pPr>
        <w:pStyle w:val="Prrafodelista"/>
        <w:numPr>
          <w:ilvl w:val="3"/>
          <w:numId w:val="5"/>
        </w:numPr>
        <w:spacing w:after="120" w:line="266" w:lineRule="auto"/>
        <w:ind w:left="993" w:right="261" w:hanging="993"/>
        <w:jc w:val="both"/>
        <w:rPr>
          <w:rFonts w:ascii="Arial" w:eastAsia="Arial" w:hAnsi="Arial"/>
          <w:bCs/>
          <w:sz w:val="22"/>
          <w:szCs w:val="22"/>
          <w:lang w:val="es-CR"/>
        </w:rPr>
      </w:pPr>
      <w:r>
        <w:rPr>
          <w:rFonts w:ascii="Arial" w:eastAsia="Arial" w:hAnsi="Arial"/>
          <w:bCs/>
          <w:sz w:val="22"/>
          <w:szCs w:val="22"/>
          <w:lang w:val="es-CR"/>
        </w:rPr>
        <w:t xml:space="preserve">El </w:t>
      </w:r>
      <w:r w:rsidR="00970A84" w:rsidRPr="00F02F9D">
        <w:rPr>
          <w:rFonts w:ascii="Arial" w:eastAsia="Arial" w:hAnsi="Arial"/>
          <w:bCs/>
          <w:sz w:val="22"/>
          <w:szCs w:val="22"/>
          <w:lang w:val="es-CR"/>
        </w:rPr>
        <w:t xml:space="preserve">Efectivo disponible en Cajas Recaudadoras </w:t>
      </w:r>
      <w:r w:rsidR="00792475" w:rsidRPr="00F02F9D">
        <w:rPr>
          <w:rFonts w:ascii="Arial" w:eastAsia="Arial" w:hAnsi="Arial"/>
          <w:bCs/>
          <w:sz w:val="22"/>
          <w:szCs w:val="22"/>
          <w:lang w:val="es-CR"/>
        </w:rPr>
        <w:t xml:space="preserve">y Fondos Fijos de Caja Chica </w:t>
      </w:r>
      <w:r w:rsidR="00970A84" w:rsidRPr="00F02F9D">
        <w:rPr>
          <w:rFonts w:ascii="Arial" w:eastAsia="Arial" w:hAnsi="Arial"/>
          <w:bCs/>
          <w:sz w:val="22"/>
          <w:szCs w:val="22"/>
          <w:lang w:val="es-CR"/>
        </w:rPr>
        <w:t>de la Municipalidad y en los Bancos, se registrará a su valor nominal.</w:t>
      </w:r>
    </w:p>
    <w:p w14:paraId="7C043D68" w14:textId="77777777" w:rsidR="001E4EFE" w:rsidRPr="00F02F9D" w:rsidRDefault="001E4EFE" w:rsidP="001E4EFE">
      <w:pPr>
        <w:pStyle w:val="Prrafodelista"/>
        <w:spacing w:after="120" w:line="266" w:lineRule="auto"/>
        <w:ind w:left="993" w:right="261"/>
        <w:jc w:val="both"/>
        <w:rPr>
          <w:rFonts w:ascii="Arial" w:eastAsia="Arial" w:hAnsi="Arial"/>
          <w:bCs/>
          <w:sz w:val="22"/>
          <w:szCs w:val="22"/>
          <w:lang w:val="es-CR"/>
        </w:rPr>
      </w:pPr>
    </w:p>
    <w:p w14:paraId="6C1C2CAA" w14:textId="6C396ABD" w:rsidR="00945256" w:rsidRDefault="00970A84">
      <w:pPr>
        <w:pStyle w:val="Prrafodelista"/>
        <w:numPr>
          <w:ilvl w:val="3"/>
          <w:numId w:val="5"/>
        </w:numPr>
        <w:spacing w:after="120" w:line="266" w:lineRule="auto"/>
        <w:ind w:left="993" w:right="261" w:hanging="1042"/>
        <w:jc w:val="both"/>
        <w:rPr>
          <w:rFonts w:ascii="Arial" w:eastAsia="Arial" w:hAnsi="Arial"/>
          <w:bCs/>
          <w:sz w:val="22"/>
          <w:szCs w:val="22"/>
          <w:lang w:val="es-CR"/>
        </w:rPr>
      </w:pPr>
      <w:r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w:t>
      </w:r>
      <w:r w:rsidR="001E4EFE">
        <w:rPr>
          <w:rFonts w:ascii="Arial" w:eastAsia="Arial" w:hAnsi="Arial"/>
          <w:bCs/>
          <w:sz w:val="22"/>
          <w:szCs w:val="22"/>
          <w:lang w:val="es-CR"/>
        </w:rPr>
        <w:t xml:space="preserve">el Efectivo en </w:t>
      </w:r>
      <w:r w:rsidRPr="00F02F9D">
        <w:rPr>
          <w:rFonts w:ascii="Arial" w:eastAsia="Arial" w:hAnsi="Arial"/>
          <w:bCs/>
          <w:sz w:val="22"/>
          <w:szCs w:val="22"/>
          <w:lang w:val="es-CR"/>
        </w:rPr>
        <w:t xml:space="preserve">Cajas Recaudadoras y Fondos Fijos de Caja Chica estarán bajo la responsabilidad de los(las) respectivos(as) cajeros(as) o encargados(as), quienes deberán </w:t>
      </w:r>
      <w:r w:rsidR="001E4EFE">
        <w:rPr>
          <w:rFonts w:ascii="Arial" w:eastAsia="Arial" w:hAnsi="Arial"/>
          <w:bCs/>
          <w:sz w:val="22"/>
          <w:szCs w:val="22"/>
          <w:lang w:val="es-CR"/>
        </w:rPr>
        <w:t>acatar</w:t>
      </w:r>
      <w:r w:rsidRPr="00F02F9D">
        <w:rPr>
          <w:rFonts w:ascii="Arial" w:eastAsia="Arial" w:hAnsi="Arial"/>
          <w:bCs/>
          <w:sz w:val="22"/>
          <w:szCs w:val="22"/>
          <w:lang w:val="es-CR"/>
        </w:rPr>
        <w:t xml:space="preserve"> las disposiciones </w:t>
      </w:r>
      <w:r w:rsidR="001E4EFE">
        <w:rPr>
          <w:rFonts w:ascii="Arial" w:eastAsia="Arial" w:hAnsi="Arial"/>
          <w:bCs/>
          <w:sz w:val="22"/>
          <w:szCs w:val="22"/>
          <w:lang w:val="es-CR"/>
        </w:rPr>
        <w:t>contenidas en los</w:t>
      </w:r>
      <w:r w:rsidRPr="00F02F9D">
        <w:rPr>
          <w:rFonts w:ascii="Arial" w:eastAsia="Arial" w:hAnsi="Arial"/>
          <w:bCs/>
          <w:sz w:val="22"/>
          <w:szCs w:val="22"/>
          <w:lang w:val="es-CR"/>
        </w:rPr>
        <w:t xml:space="preserve"> </w:t>
      </w:r>
      <w:r w:rsidR="001E4EFE">
        <w:rPr>
          <w:rFonts w:ascii="Arial" w:eastAsia="Arial" w:hAnsi="Arial"/>
          <w:bCs/>
          <w:sz w:val="22"/>
          <w:szCs w:val="22"/>
          <w:lang w:val="es-CR"/>
        </w:rPr>
        <w:t>r</w:t>
      </w:r>
      <w:r w:rsidRPr="00F02F9D">
        <w:rPr>
          <w:rFonts w:ascii="Arial" w:eastAsia="Arial" w:hAnsi="Arial"/>
          <w:bCs/>
          <w:sz w:val="22"/>
          <w:szCs w:val="22"/>
          <w:lang w:val="es-CR"/>
        </w:rPr>
        <w:t>eglamento</w:t>
      </w:r>
      <w:r w:rsidR="001E4EFE">
        <w:rPr>
          <w:rFonts w:ascii="Arial" w:eastAsia="Arial" w:hAnsi="Arial"/>
          <w:bCs/>
          <w:sz w:val="22"/>
          <w:szCs w:val="22"/>
          <w:lang w:val="es-CR"/>
        </w:rPr>
        <w:t>s</w:t>
      </w:r>
      <w:r w:rsidRPr="00F02F9D">
        <w:rPr>
          <w:rFonts w:ascii="Arial" w:eastAsia="Arial" w:hAnsi="Arial"/>
          <w:bCs/>
          <w:sz w:val="22"/>
          <w:szCs w:val="22"/>
          <w:lang w:val="es-CR"/>
        </w:rPr>
        <w:t xml:space="preserve"> Tesorería</w:t>
      </w:r>
      <w:r w:rsidR="001E4EFE">
        <w:rPr>
          <w:rFonts w:ascii="Arial" w:eastAsia="Arial" w:hAnsi="Arial"/>
          <w:bCs/>
          <w:sz w:val="22"/>
          <w:szCs w:val="22"/>
          <w:lang w:val="es-CR"/>
        </w:rPr>
        <w:t xml:space="preserve">, Caja Recaudadora y </w:t>
      </w:r>
      <w:r w:rsidRPr="00F02F9D">
        <w:rPr>
          <w:rFonts w:ascii="Arial" w:eastAsia="Arial" w:hAnsi="Arial"/>
          <w:bCs/>
          <w:sz w:val="22"/>
          <w:szCs w:val="22"/>
          <w:lang w:val="es-CR"/>
        </w:rPr>
        <w:t>Caja Chica</w:t>
      </w:r>
      <w:r w:rsidR="001E4EFE">
        <w:rPr>
          <w:rFonts w:ascii="Arial" w:eastAsia="Arial" w:hAnsi="Arial"/>
          <w:bCs/>
          <w:sz w:val="22"/>
          <w:szCs w:val="22"/>
          <w:lang w:val="es-CR"/>
        </w:rPr>
        <w:t>,</w:t>
      </w:r>
      <w:r w:rsidRPr="00F02F9D">
        <w:rPr>
          <w:rFonts w:ascii="Arial" w:eastAsia="Arial" w:hAnsi="Arial"/>
          <w:bCs/>
          <w:sz w:val="22"/>
          <w:szCs w:val="22"/>
          <w:lang w:val="es-CR"/>
        </w:rPr>
        <w:t xml:space="preserve"> </w:t>
      </w:r>
      <w:r w:rsidR="001E4EFE">
        <w:rPr>
          <w:rFonts w:ascii="Arial" w:eastAsia="Arial" w:hAnsi="Arial"/>
          <w:bCs/>
          <w:sz w:val="22"/>
          <w:szCs w:val="22"/>
          <w:lang w:val="es-CR"/>
        </w:rPr>
        <w:t>vigentes en la Municipalidad</w:t>
      </w:r>
      <w:r w:rsidRPr="00F02F9D">
        <w:rPr>
          <w:rFonts w:ascii="Arial" w:eastAsia="Arial" w:hAnsi="Arial"/>
          <w:bCs/>
          <w:sz w:val="22"/>
          <w:szCs w:val="22"/>
          <w:lang w:val="es-CR"/>
        </w:rPr>
        <w:t>,</w:t>
      </w:r>
      <w:r w:rsidR="001E4EFE">
        <w:rPr>
          <w:rFonts w:ascii="Arial" w:eastAsia="Arial" w:hAnsi="Arial"/>
          <w:bCs/>
          <w:sz w:val="22"/>
          <w:szCs w:val="22"/>
          <w:lang w:val="es-CR"/>
        </w:rPr>
        <w:t xml:space="preserve"> así </w:t>
      </w:r>
      <w:r w:rsidRPr="00F02F9D">
        <w:rPr>
          <w:rFonts w:ascii="Arial" w:eastAsia="Arial" w:hAnsi="Arial"/>
          <w:bCs/>
          <w:sz w:val="22"/>
          <w:szCs w:val="22"/>
          <w:lang w:val="es-CR"/>
        </w:rPr>
        <w:t>como e</w:t>
      </w:r>
      <w:r w:rsidR="001E4EFE">
        <w:rPr>
          <w:rFonts w:ascii="Arial" w:eastAsia="Arial" w:hAnsi="Arial"/>
          <w:bCs/>
          <w:sz w:val="22"/>
          <w:szCs w:val="22"/>
          <w:lang w:val="es-CR"/>
        </w:rPr>
        <w:t xml:space="preserve">n aquellas </w:t>
      </w:r>
      <w:r w:rsidRPr="00F02F9D">
        <w:rPr>
          <w:rFonts w:ascii="Arial" w:eastAsia="Arial" w:hAnsi="Arial"/>
          <w:bCs/>
          <w:sz w:val="22"/>
          <w:szCs w:val="22"/>
          <w:lang w:val="es-CR"/>
        </w:rPr>
        <w:t xml:space="preserve">otras disposiciones que se </w:t>
      </w:r>
      <w:r w:rsidR="001E4EFE">
        <w:rPr>
          <w:rFonts w:ascii="Arial" w:eastAsia="Arial" w:hAnsi="Arial"/>
          <w:bCs/>
          <w:sz w:val="22"/>
          <w:szCs w:val="22"/>
          <w:lang w:val="es-CR"/>
        </w:rPr>
        <w:t>emitan</w:t>
      </w:r>
      <w:r w:rsidRPr="00F02F9D">
        <w:rPr>
          <w:rFonts w:ascii="Arial" w:eastAsia="Arial" w:hAnsi="Arial"/>
          <w:bCs/>
          <w:sz w:val="22"/>
          <w:szCs w:val="22"/>
          <w:lang w:val="es-CR"/>
        </w:rPr>
        <w:t xml:space="preserve"> en la Municipalidad.</w:t>
      </w:r>
    </w:p>
    <w:p w14:paraId="0AE54556" w14:textId="77777777" w:rsidR="00DB0524" w:rsidRPr="00F02F9D" w:rsidRDefault="00DB0524" w:rsidP="00DB0524">
      <w:pPr>
        <w:pStyle w:val="Prrafodelista"/>
        <w:spacing w:after="120" w:line="266" w:lineRule="auto"/>
        <w:ind w:left="993" w:right="261"/>
        <w:jc w:val="both"/>
        <w:rPr>
          <w:rFonts w:ascii="Arial" w:eastAsia="Arial" w:hAnsi="Arial"/>
          <w:bCs/>
          <w:sz w:val="22"/>
          <w:szCs w:val="22"/>
          <w:lang w:val="es-CR"/>
        </w:rPr>
      </w:pPr>
    </w:p>
    <w:p w14:paraId="0AA3C6ED" w14:textId="1405368F" w:rsidR="00DB0524" w:rsidRDefault="00792475">
      <w:pPr>
        <w:pStyle w:val="Prrafodelista"/>
        <w:numPr>
          <w:ilvl w:val="3"/>
          <w:numId w:val="5"/>
        </w:numPr>
        <w:ind w:left="992" w:right="261" w:hanging="1043"/>
        <w:jc w:val="both"/>
        <w:rPr>
          <w:rFonts w:ascii="Arial" w:eastAsia="Arial" w:hAnsi="Arial"/>
          <w:bCs/>
          <w:sz w:val="22"/>
          <w:szCs w:val="22"/>
          <w:lang w:val="es-CR"/>
        </w:rPr>
      </w:pPr>
      <w:r w:rsidRPr="00F02F9D">
        <w:rPr>
          <w:rFonts w:ascii="Arial" w:eastAsia="Arial" w:hAnsi="Arial"/>
          <w:bCs/>
          <w:sz w:val="22"/>
          <w:szCs w:val="22"/>
          <w:lang w:val="es-CR"/>
        </w:rPr>
        <w:t>A excepción de los dineros en cajas</w:t>
      </w:r>
      <w:r w:rsidR="00945256" w:rsidRPr="00F02F9D">
        <w:rPr>
          <w:rFonts w:ascii="Arial" w:eastAsia="Arial" w:hAnsi="Arial"/>
          <w:bCs/>
          <w:sz w:val="22"/>
          <w:szCs w:val="22"/>
          <w:lang w:val="es-CR"/>
        </w:rPr>
        <w:t xml:space="preserve"> o invertidos</w:t>
      </w:r>
      <w:r w:rsidRPr="00F02F9D">
        <w:rPr>
          <w:rFonts w:ascii="Arial" w:eastAsia="Arial" w:hAnsi="Arial"/>
          <w:bCs/>
          <w:sz w:val="22"/>
          <w:szCs w:val="22"/>
          <w:lang w:val="es-CR"/>
        </w:rPr>
        <w:t>, l</w:t>
      </w:r>
      <w:r w:rsidR="008A4688" w:rsidRPr="00F02F9D">
        <w:rPr>
          <w:rFonts w:ascii="Arial" w:eastAsia="Arial" w:hAnsi="Arial"/>
          <w:bCs/>
          <w:sz w:val="22"/>
          <w:szCs w:val="22"/>
          <w:lang w:val="es-CR"/>
        </w:rPr>
        <w:t xml:space="preserve">os recursos </w:t>
      </w:r>
      <w:r w:rsidR="00945256" w:rsidRPr="00F02F9D">
        <w:rPr>
          <w:rFonts w:ascii="Arial" w:eastAsia="Arial" w:hAnsi="Arial"/>
          <w:bCs/>
          <w:sz w:val="22"/>
          <w:szCs w:val="22"/>
          <w:lang w:val="es-CR"/>
        </w:rPr>
        <w:t xml:space="preserve">monetarios </w:t>
      </w:r>
      <w:r w:rsidR="008A4688" w:rsidRPr="00F02F9D">
        <w:rPr>
          <w:rFonts w:ascii="Arial" w:eastAsia="Arial" w:hAnsi="Arial"/>
          <w:bCs/>
          <w:sz w:val="22"/>
          <w:szCs w:val="22"/>
          <w:lang w:val="es-CR"/>
        </w:rPr>
        <w:t>deben mantenerse en cuentas de los bancos comerciales del estado</w:t>
      </w:r>
      <w:r w:rsidRPr="00F02F9D">
        <w:rPr>
          <w:rFonts w:ascii="Arial" w:eastAsia="Arial" w:hAnsi="Arial"/>
          <w:bCs/>
          <w:sz w:val="22"/>
          <w:szCs w:val="22"/>
          <w:lang w:val="es-CR"/>
        </w:rPr>
        <w:t xml:space="preserve"> y en la</w:t>
      </w:r>
      <w:r w:rsidR="008A4688" w:rsidRPr="00F02F9D">
        <w:rPr>
          <w:rFonts w:ascii="Arial" w:eastAsia="Arial" w:hAnsi="Arial"/>
          <w:bCs/>
          <w:sz w:val="22"/>
          <w:szCs w:val="22"/>
          <w:lang w:val="es-CR"/>
        </w:rPr>
        <w:t xml:space="preserve"> </w:t>
      </w:r>
      <w:r w:rsidRPr="00F02F9D">
        <w:rPr>
          <w:rFonts w:ascii="Arial" w:eastAsia="Arial" w:hAnsi="Arial"/>
          <w:bCs/>
          <w:sz w:val="22"/>
          <w:szCs w:val="22"/>
          <w:lang w:val="es-CR"/>
        </w:rPr>
        <w:t>Caja Única del Estado, o bien en bancos creados por leyes especiales como es el caso de y</w:t>
      </w:r>
      <w:r w:rsidR="008A4688" w:rsidRPr="00F02F9D">
        <w:rPr>
          <w:rFonts w:ascii="Arial" w:eastAsia="Arial" w:hAnsi="Arial"/>
          <w:bCs/>
          <w:sz w:val="22"/>
          <w:szCs w:val="22"/>
          <w:lang w:val="es-CR"/>
        </w:rPr>
        <w:t xml:space="preserve"> del Banco Popular y Desarrollo Comunal</w:t>
      </w:r>
      <w:r w:rsidRPr="00F02F9D">
        <w:rPr>
          <w:rFonts w:ascii="Arial" w:eastAsia="Arial" w:hAnsi="Arial"/>
          <w:bCs/>
          <w:sz w:val="22"/>
          <w:szCs w:val="22"/>
          <w:lang w:val="es-CR"/>
        </w:rPr>
        <w:t>,</w:t>
      </w:r>
      <w:r w:rsidR="008A4688" w:rsidRPr="00F02F9D">
        <w:rPr>
          <w:rFonts w:ascii="Arial" w:eastAsia="Arial" w:hAnsi="Arial"/>
          <w:bCs/>
          <w:sz w:val="22"/>
          <w:szCs w:val="22"/>
          <w:lang w:val="es-CR"/>
        </w:rPr>
        <w:t xml:space="preserve"> manteniendo una participación en diferentes bancos.</w:t>
      </w:r>
    </w:p>
    <w:p w14:paraId="66245ED0" w14:textId="77777777" w:rsidR="00DB0524" w:rsidRPr="00DB0524" w:rsidRDefault="00DB0524" w:rsidP="00DB0524">
      <w:pPr>
        <w:ind w:right="261"/>
        <w:jc w:val="both"/>
        <w:rPr>
          <w:rFonts w:ascii="Arial" w:eastAsia="Arial" w:hAnsi="Arial"/>
          <w:bCs/>
          <w:sz w:val="22"/>
          <w:szCs w:val="22"/>
          <w:lang w:val="es-CR"/>
        </w:rPr>
      </w:pPr>
    </w:p>
    <w:p w14:paraId="7FA87EB1" w14:textId="4A74D8FD" w:rsidR="007377D0" w:rsidRPr="00F02F9D" w:rsidRDefault="00C4553C">
      <w:pPr>
        <w:pStyle w:val="Prrafodelista"/>
        <w:numPr>
          <w:ilvl w:val="3"/>
          <w:numId w:val="5"/>
        </w:numPr>
        <w:spacing w:after="120" w:line="266" w:lineRule="auto"/>
        <w:ind w:left="993" w:right="261" w:hanging="1042"/>
        <w:jc w:val="both"/>
        <w:rPr>
          <w:rFonts w:ascii="Arial" w:eastAsia="Arial" w:hAnsi="Arial"/>
          <w:bCs/>
          <w:sz w:val="22"/>
          <w:szCs w:val="22"/>
          <w:lang w:val="es-CR"/>
        </w:rPr>
      </w:pPr>
      <w:r w:rsidRPr="00F02F9D">
        <w:rPr>
          <w:rFonts w:ascii="Arial" w:eastAsia="Arial" w:hAnsi="Arial"/>
          <w:bCs/>
          <w:sz w:val="22"/>
          <w:szCs w:val="22"/>
          <w:lang w:val="es-CR"/>
        </w:rPr>
        <w:t>Las cuentas bancarias serán conciliadas mensualmente con el ente bancario respectivo, tomando como documento oficial el estado de cuenta del banco y el auxiliar de bancos que se lleva en la Municipalidad.</w:t>
      </w:r>
    </w:p>
    <w:p w14:paraId="2064E238" w14:textId="77777777" w:rsidR="00A845E1" w:rsidRPr="00F02F9D" w:rsidRDefault="00A845E1" w:rsidP="00A845E1">
      <w:pPr>
        <w:spacing w:line="238" w:lineRule="auto"/>
        <w:ind w:right="260"/>
        <w:jc w:val="both"/>
        <w:rPr>
          <w:rFonts w:ascii="Arial" w:eastAsia="Arial" w:hAnsi="Arial"/>
          <w:bCs/>
          <w:sz w:val="22"/>
          <w:szCs w:val="22"/>
          <w:lang w:val="es-CR"/>
        </w:rPr>
      </w:pPr>
    </w:p>
    <w:p w14:paraId="06849AE7" w14:textId="7A670B6B" w:rsidR="00A845E1" w:rsidRPr="00BD7E4A" w:rsidRDefault="00A845E1" w:rsidP="00BD7E4A">
      <w:pPr>
        <w:pStyle w:val="Ttulo2"/>
        <w:ind w:left="284"/>
        <w:rPr>
          <w:rFonts w:ascii="Arial" w:eastAsia="Arial" w:hAnsi="Arial" w:cs="Arial"/>
          <w:b/>
          <w:bCs/>
          <w:sz w:val="20"/>
          <w:szCs w:val="20"/>
          <w:lang w:val="es-CR"/>
        </w:rPr>
      </w:pPr>
      <w:bookmarkStart w:id="18" w:name="_Toc172726196"/>
      <w:r w:rsidRPr="00BD7E4A">
        <w:rPr>
          <w:rFonts w:ascii="Arial" w:eastAsia="Arial" w:hAnsi="Arial" w:cs="Arial"/>
          <w:b/>
          <w:bCs/>
          <w:sz w:val="20"/>
          <w:szCs w:val="20"/>
          <w:lang w:val="es-CR"/>
        </w:rPr>
        <w:t>Equivalentes al Efectivo</w:t>
      </w:r>
      <w:bookmarkEnd w:id="18"/>
    </w:p>
    <w:p w14:paraId="06E7D28A" w14:textId="77777777" w:rsidR="00A845E1" w:rsidRPr="00F02F9D" w:rsidRDefault="00A845E1" w:rsidP="00A845E1">
      <w:pPr>
        <w:spacing w:line="238" w:lineRule="auto"/>
        <w:ind w:right="260"/>
        <w:jc w:val="both"/>
        <w:rPr>
          <w:rFonts w:ascii="Arial" w:eastAsia="Arial" w:hAnsi="Arial"/>
          <w:bCs/>
          <w:sz w:val="22"/>
          <w:szCs w:val="22"/>
          <w:lang w:val="es-CR"/>
        </w:rPr>
      </w:pPr>
    </w:p>
    <w:p w14:paraId="5075C787" w14:textId="2EBD2720" w:rsidR="00751334" w:rsidRPr="00F02F9D" w:rsidRDefault="00751334" w:rsidP="00E35024">
      <w:pPr>
        <w:spacing w:line="238" w:lineRule="auto"/>
        <w:ind w:right="260"/>
        <w:jc w:val="both"/>
        <w:rPr>
          <w:rFonts w:ascii="Arial" w:eastAsia="Arial" w:hAnsi="Arial"/>
          <w:bCs/>
          <w:sz w:val="22"/>
          <w:szCs w:val="22"/>
          <w:lang w:val="es-CR"/>
        </w:rPr>
      </w:pPr>
      <w:r w:rsidRPr="00F02F9D">
        <w:rPr>
          <w:rFonts w:ascii="Arial" w:eastAsia="Arial" w:hAnsi="Arial"/>
          <w:bCs/>
          <w:sz w:val="22"/>
          <w:szCs w:val="22"/>
          <w:lang w:val="es-CR"/>
        </w:rPr>
        <w:t>Las políticas de la Institución en relación con esta cuenta son:</w:t>
      </w:r>
    </w:p>
    <w:p w14:paraId="77D17B4E" w14:textId="77777777" w:rsidR="00751334" w:rsidRPr="00F02F9D" w:rsidRDefault="00751334" w:rsidP="00751334">
      <w:pPr>
        <w:spacing w:line="238" w:lineRule="auto"/>
        <w:ind w:left="426" w:right="260"/>
        <w:jc w:val="both"/>
        <w:rPr>
          <w:rFonts w:ascii="Arial" w:eastAsia="Arial" w:hAnsi="Arial"/>
          <w:bCs/>
          <w:sz w:val="22"/>
          <w:szCs w:val="22"/>
          <w:lang w:val="es-CR"/>
        </w:rPr>
      </w:pPr>
    </w:p>
    <w:tbl>
      <w:tblPr>
        <w:tblW w:w="9082" w:type="dxa"/>
        <w:tblInd w:w="-10" w:type="dxa"/>
        <w:tblLook w:val="04A0" w:firstRow="1" w:lastRow="0" w:firstColumn="1" w:lastColumn="0" w:noHBand="0" w:noVBand="1"/>
      </w:tblPr>
      <w:tblGrid>
        <w:gridCol w:w="539"/>
        <w:gridCol w:w="550"/>
        <w:gridCol w:w="518"/>
        <w:gridCol w:w="3213"/>
        <w:gridCol w:w="2168"/>
        <w:gridCol w:w="2094"/>
      </w:tblGrid>
      <w:tr w:rsidR="00A845E1" w:rsidRPr="00BD7E4A" w14:paraId="61EBFF7D" w14:textId="77777777" w:rsidTr="00E35024">
        <w:trPr>
          <w:trHeight w:val="320"/>
        </w:trPr>
        <w:tc>
          <w:tcPr>
            <w:tcW w:w="1607"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11A4C362" w14:textId="77777777" w:rsidR="00A845E1" w:rsidRPr="00BD7E4A" w:rsidRDefault="00A845E1"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3213"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8E8446A" w14:textId="77777777" w:rsidR="00A845E1" w:rsidRPr="00BD7E4A" w:rsidRDefault="00A845E1"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4262" w:type="dxa"/>
            <w:gridSpan w:val="2"/>
            <w:tcBorders>
              <w:top w:val="single" w:sz="8" w:space="0" w:color="auto"/>
              <w:left w:val="nil"/>
              <w:bottom w:val="single" w:sz="8" w:space="0" w:color="auto"/>
              <w:right w:val="single" w:sz="8" w:space="0" w:color="000000"/>
            </w:tcBorders>
            <w:shd w:val="clear" w:color="000000" w:fill="203764"/>
            <w:vAlign w:val="center"/>
            <w:hideMark/>
          </w:tcPr>
          <w:p w14:paraId="01959118" w14:textId="77777777" w:rsidR="00A845E1" w:rsidRPr="00BD7E4A" w:rsidRDefault="00A845E1"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A845E1" w:rsidRPr="0091631A" w14:paraId="1BF84376" w14:textId="77777777" w:rsidTr="00E35024">
        <w:trPr>
          <w:trHeight w:val="320"/>
        </w:trPr>
        <w:tc>
          <w:tcPr>
            <w:tcW w:w="1607" w:type="dxa"/>
            <w:gridSpan w:val="3"/>
            <w:vMerge/>
            <w:tcBorders>
              <w:top w:val="single" w:sz="8" w:space="0" w:color="auto"/>
              <w:left w:val="single" w:sz="8" w:space="0" w:color="auto"/>
              <w:bottom w:val="single" w:sz="8" w:space="0" w:color="000000"/>
              <w:right w:val="single" w:sz="8" w:space="0" w:color="000000"/>
            </w:tcBorders>
            <w:vAlign w:val="center"/>
            <w:hideMark/>
          </w:tcPr>
          <w:p w14:paraId="35B539FA" w14:textId="77777777" w:rsidR="00A845E1" w:rsidRPr="00BD7E4A" w:rsidRDefault="00A845E1" w:rsidP="00005DEC">
            <w:pPr>
              <w:rPr>
                <w:rFonts w:ascii="Arial Narrow" w:eastAsia="Times New Roman" w:hAnsi="Arial Narrow"/>
                <w:b/>
                <w:bCs/>
                <w:color w:val="FFFFFF"/>
                <w:sz w:val="22"/>
                <w:szCs w:val="22"/>
              </w:rPr>
            </w:pPr>
          </w:p>
        </w:tc>
        <w:tc>
          <w:tcPr>
            <w:tcW w:w="3213" w:type="dxa"/>
            <w:vMerge/>
            <w:tcBorders>
              <w:top w:val="single" w:sz="8" w:space="0" w:color="auto"/>
              <w:left w:val="single" w:sz="8" w:space="0" w:color="auto"/>
              <w:bottom w:val="single" w:sz="8" w:space="0" w:color="000000"/>
              <w:right w:val="single" w:sz="8" w:space="0" w:color="auto"/>
            </w:tcBorders>
            <w:vAlign w:val="center"/>
            <w:hideMark/>
          </w:tcPr>
          <w:p w14:paraId="047DE96A" w14:textId="77777777" w:rsidR="00A845E1" w:rsidRPr="00BD7E4A" w:rsidRDefault="00A845E1" w:rsidP="00005DEC">
            <w:pPr>
              <w:rPr>
                <w:rFonts w:ascii="Arial Narrow" w:eastAsia="Times New Roman" w:hAnsi="Arial Narrow"/>
                <w:b/>
                <w:bCs/>
                <w:color w:val="FFFFFF"/>
                <w:sz w:val="22"/>
                <w:szCs w:val="22"/>
              </w:rPr>
            </w:pPr>
          </w:p>
        </w:tc>
        <w:tc>
          <w:tcPr>
            <w:tcW w:w="2168" w:type="dxa"/>
            <w:tcBorders>
              <w:top w:val="nil"/>
              <w:left w:val="nil"/>
              <w:bottom w:val="single" w:sz="8" w:space="0" w:color="auto"/>
              <w:right w:val="single" w:sz="8" w:space="0" w:color="auto"/>
            </w:tcBorders>
            <w:shd w:val="clear" w:color="000000" w:fill="203764"/>
            <w:vAlign w:val="center"/>
            <w:hideMark/>
          </w:tcPr>
          <w:p w14:paraId="6D7046D2" w14:textId="77777777" w:rsidR="00A845E1" w:rsidRPr="00BD7E4A" w:rsidRDefault="00A845E1"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2094" w:type="dxa"/>
            <w:tcBorders>
              <w:top w:val="nil"/>
              <w:left w:val="nil"/>
              <w:bottom w:val="single" w:sz="8" w:space="0" w:color="auto"/>
              <w:right w:val="single" w:sz="8" w:space="0" w:color="auto"/>
            </w:tcBorders>
            <w:shd w:val="clear" w:color="000000" w:fill="203764"/>
            <w:vAlign w:val="center"/>
            <w:hideMark/>
          </w:tcPr>
          <w:p w14:paraId="0759D2CA" w14:textId="26C9E353" w:rsidR="00A845E1" w:rsidRPr="0091631A" w:rsidRDefault="0091631A" w:rsidP="00005DE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A845E1" w:rsidRPr="00BD7E4A" w14:paraId="4472B494" w14:textId="77777777" w:rsidTr="00E35024">
        <w:trPr>
          <w:trHeight w:val="415"/>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1E40C290" w14:textId="77777777" w:rsidR="00A845E1" w:rsidRPr="00BD7E4A" w:rsidRDefault="00A845E1"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50" w:type="dxa"/>
            <w:tcBorders>
              <w:top w:val="nil"/>
              <w:left w:val="nil"/>
              <w:bottom w:val="nil"/>
              <w:right w:val="nil"/>
            </w:tcBorders>
            <w:shd w:val="clear" w:color="auto" w:fill="auto"/>
            <w:noWrap/>
            <w:vAlign w:val="center"/>
            <w:hideMark/>
          </w:tcPr>
          <w:p w14:paraId="3574C6BC" w14:textId="77777777" w:rsidR="00A845E1" w:rsidRPr="00BD7E4A" w:rsidRDefault="00A845E1"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30</w:t>
            </w:r>
          </w:p>
        </w:tc>
        <w:tc>
          <w:tcPr>
            <w:tcW w:w="518" w:type="dxa"/>
            <w:tcBorders>
              <w:top w:val="nil"/>
              <w:left w:val="single" w:sz="8" w:space="0" w:color="auto"/>
              <w:bottom w:val="single" w:sz="8" w:space="0" w:color="auto"/>
              <w:right w:val="single" w:sz="8" w:space="0" w:color="auto"/>
            </w:tcBorders>
            <w:shd w:val="clear" w:color="auto" w:fill="auto"/>
            <w:vAlign w:val="center"/>
            <w:hideMark/>
          </w:tcPr>
          <w:p w14:paraId="5BF8EB85" w14:textId="52722D54" w:rsidR="00A845E1" w:rsidRPr="00BD7E4A" w:rsidRDefault="00A845E1"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r w:rsidR="00EA593D" w:rsidRPr="00BD7E4A">
              <w:rPr>
                <w:rFonts w:ascii="Arial Narrow" w:eastAsia="Times New Roman" w:hAnsi="Arial Narrow"/>
                <w:b/>
                <w:bCs/>
                <w:color w:val="000000"/>
                <w:sz w:val="22"/>
                <w:szCs w:val="22"/>
              </w:rPr>
              <w:t>0</w:t>
            </w:r>
          </w:p>
        </w:tc>
        <w:tc>
          <w:tcPr>
            <w:tcW w:w="3213" w:type="dxa"/>
            <w:tcBorders>
              <w:top w:val="nil"/>
              <w:left w:val="nil"/>
              <w:bottom w:val="single" w:sz="8" w:space="0" w:color="auto"/>
              <w:right w:val="single" w:sz="8" w:space="0" w:color="auto"/>
            </w:tcBorders>
            <w:shd w:val="clear" w:color="auto" w:fill="auto"/>
            <w:vAlign w:val="center"/>
            <w:hideMark/>
          </w:tcPr>
          <w:p w14:paraId="77702342" w14:textId="77777777" w:rsidR="00A845E1" w:rsidRPr="00BD7E4A" w:rsidRDefault="00A845E1"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Equivalentes al Efectivo</w:t>
            </w:r>
          </w:p>
        </w:tc>
        <w:tc>
          <w:tcPr>
            <w:tcW w:w="2168" w:type="dxa"/>
            <w:tcBorders>
              <w:top w:val="nil"/>
              <w:left w:val="nil"/>
              <w:bottom w:val="single" w:sz="8" w:space="0" w:color="auto"/>
              <w:right w:val="single" w:sz="8" w:space="0" w:color="auto"/>
            </w:tcBorders>
            <w:shd w:val="clear" w:color="auto" w:fill="auto"/>
            <w:vAlign w:val="center"/>
            <w:hideMark/>
          </w:tcPr>
          <w:p w14:paraId="60484CAB" w14:textId="56B0766F" w:rsidR="002B1B5D" w:rsidRPr="00BD7E4A" w:rsidRDefault="00A845E1"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NICSP 2, </w:t>
            </w:r>
          </w:p>
          <w:p w14:paraId="240581EE" w14:textId="50AFEA07" w:rsidR="00A845E1" w:rsidRPr="00BD7E4A" w:rsidRDefault="00A845E1"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Párrafo </w:t>
            </w:r>
            <w:r w:rsidR="002B1B5D" w:rsidRPr="00BD7E4A">
              <w:rPr>
                <w:rFonts w:ascii="Arial Narrow" w:eastAsia="Times New Roman" w:hAnsi="Arial Narrow"/>
                <w:b/>
                <w:bCs/>
                <w:color w:val="000000"/>
                <w:sz w:val="22"/>
                <w:szCs w:val="22"/>
              </w:rPr>
              <w:t>8</w:t>
            </w:r>
            <w:r w:rsidRPr="00BD7E4A">
              <w:rPr>
                <w:rFonts w:ascii="Arial Narrow" w:eastAsia="Times New Roman" w:hAnsi="Arial Narrow"/>
                <w:b/>
                <w:bCs/>
                <w:color w:val="000000"/>
                <w:sz w:val="22"/>
                <w:szCs w:val="22"/>
              </w:rPr>
              <w:t>.</w:t>
            </w:r>
          </w:p>
        </w:tc>
        <w:tc>
          <w:tcPr>
            <w:tcW w:w="2094" w:type="dxa"/>
            <w:tcBorders>
              <w:top w:val="nil"/>
              <w:left w:val="nil"/>
              <w:bottom w:val="single" w:sz="8" w:space="0" w:color="auto"/>
              <w:right w:val="single" w:sz="8" w:space="0" w:color="auto"/>
            </w:tcBorders>
            <w:shd w:val="clear" w:color="auto" w:fill="auto"/>
            <w:vAlign w:val="center"/>
            <w:hideMark/>
          </w:tcPr>
          <w:p w14:paraId="0256511F" w14:textId="77777777" w:rsidR="00A845E1" w:rsidRPr="00BD7E4A" w:rsidRDefault="00A845E1"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tr w:rsidR="00A845E1" w:rsidRPr="00BD7E4A" w14:paraId="3A1D1D2B" w14:textId="77777777" w:rsidTr="00E35024">
        <w:trPr>
          <w:trHeight w:val="493"/>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7F8672F2" w14:textId="77777777" w:rsidR="00A845E1" w:rsidRPr="00BD7E4A" w:rsidRDefault="00A845E1"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50" w:type="dxa"/>
            <w:tcBorders>
              <w:top w:val="single" w:sz="8" w:space="0" w:color="auto"/>
              <w:left w:val="nil"/>
              <w:bottom w:val="single" w:sz="8" w:space="0" w:color="auto"/>
              <w:right w:val="single" w:sz="8" w:space="0" w:color="auto"/>
            </w:tcBorders>
            <w:shd w:val="clear" w:color="auto" w:fill="auto"/>
            <w:vAlign w:val="center"/>
            <w:hideMark/>
          </w:tcPr>
          <w:p w14:paraId="63F4B54F" w14:textId="77777777" w:rsidR="00A845E1" w:rsidRPr="00BD7E4A" w:rsidRDefault="00A845E1"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30.</w:t>
            </w:r>
          </w:p>
        </w:tc>
        <w:tc>
          <w:tcPr>
            <w:tcW w:w="518" w:type="dxa"/>
            <w:tcBorders>
              <w:top w:val="nil"/>
              <w:left w:val="nil"/>
              <w:bottom w:val="single" w:sz="8" w:space="0" w:color="auto"/>
              <w:right w:val="single" w:sz="8" w:space="0" w:color="auto"/>
            </w:tcBorders>
            <w:shd w:val="clear" w:color="auto" w:fill="auto"/>
            <w:vAlign w:val="center"/>
            <w:hideMark/>
          </w:tcPr>
          <w:p w14:paraId="3DDC7A3B" w14:textId="77777777" w:rsidR="00A845E1" w:rsidRPr="00BD7E4A" w:rsidRDefault="00A845E1"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3213" w:type="dxa"/>
            <w:tcBorders>
              <w:top w:val="nil"/>
              <w:left w:val="nil"/>
              <w:bottom w:val="single" w:sz="8" w:space="0" w:color="auto"/>
              <w:right w:val="single" w:sz="8" w:space="0" w:color="auto"/>
            </w:tcBorders>
            <w:shd w:val="clear" w:color="auto" w:fill="auto"/>
            <w:vAlign w:val="center"/>
            <w:hideMark/>
          </w:tcPr>
          <w:p w14:paraId="4E49FDCD" w14:textId="77777777" w:rsidR="00A845E1" w:rsidRPr="00BD7E4A" w:rsidRDefault="00A845E1" w:rsidP="00005DEC">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Reconocimiento como equivalente al efectivo</w:t>
            </w:r>
          </w:p>
        </w:tc>
        <w:tc>
          <w:tcPr>
            <w:tcW w:w="2168" w:type="dxa"/>
            <w:tcBorders>
              <w:top w:val="nil"/>
              <w:left w:val="nil"/>
              <w:bottom w:val="single" w:sz="8" w:space="0" w:color="auto"/>
              <w:right w:val="single" w:sz="8" w:space="0" w:color="auto"/>
            </w:tcBorders>
            <w:shd w:val="clear" w:color="auto" w:fill="auto"/>
            <w:vAlign w:val="center"/>
            <w:hideMark/>
          </w:tcPr>
          <w:p w14:paraId="079A8F8C" w14:textId="77777777" w:rsidR="00A845E1" w:rsidRPr="00BD7E4A" w:rsidRDefault="00A845E1" w:rsidP="00005DEC">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 </w:t>
            </w:r>
          </w:p>
        </w:tc>
        <w:tc>
          <w:tcPr>
            <w:tcW w:w="2094" w:type="dxa"/>
            <w:tcBorders>
              <w:top w:val="nil"/>
              <w:left w:val="nil"/>
              <w:bottom w:val="single" w:sz="8" w:space="0" w:color="auto"/>
              <w:right w:val="single" w:sz="8" w:space="0" w:color="auto"/>
            </w:tcBorders>
            <w:shd w:val="clear" w:color="auto" w:fill="auto"/>
            <w:vAlign w:val="center"/>
            <w:hideMark/>
          </w:tcPr>
          <w:p w14:paraId="4F819AD1" w14:textId="5E90870B" w:rsidR="00A845E1" w:rsidRPr="00BD7E4A" w:rsidRDefault="00A845E1" w:rsidP="00005DEC">
            <w:pPr>
              <w:jc w:val="cente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 xml:space="preserve">Reglamento de Tesorería </w:t>
            </w:r>
          </w:p>
        </w:tc>
      </w:tr>
    </w:tbl>
    <w:p w14:paraId="15BCEA78" w14:textId="77777777" w:rsidR="005229F0" w:rsidRDefault="005229F0" w:rsidP="009E606D">
      <w:pPr>
        <w:spacing w:line="0" w:lineRule="atLeast"/>
        <w:rPr>
          <w:rFonts w:ascii="Arial" w:eastAsia="Arial" w:hAnsi="Arial"/>
          <w:b/>
          <w:sz w:val="22"/>
          <w:szCs w:val="22"/>
          <w:lang w:val="es-CR"/>
        </w:rPr>
      </w:pPr>
    </w:p>
    <w:p w14:paraId="60993090" w14:textId="6FE8EEDC" w:rsidR="00224397" w:rsidRDefault="00224397" w:rsidP="009E606D">
      <w:pPr>
        <w:spacing w:line="0" w:lineRule="atLeast"/>
        <w:rPr>
          <w:rFonts w:ascii="Arial" w:eastAsia="Arial" w:hAnsi="Arial"/>
          <w:b/>
          <w:sz w:val="22"/>
          <w:szCs w:val="22"/>
        </w:rPr>
      </w:pPr>
      <w:r w:rsidRPr="00F02F9D">
        <w:rPr>
          <w:rFonts w:ascii="Arial" w:eastAsia="Arial" w:hAnsi="Arial"/>
          <w:b/>
          <w:sz w:val="22"/>
          <w:szCs w:val="22"/>
        </w:rPr>
        <w:t>Políticas Contables</w:t>
      </w:r>
    </w:p>
    <w:p w14:paraId="4107B281" w14:textId="77777777" w:rsidR="00224397" w:rsidRDefault="00224397" w:rsidP="009E606D">
      <w:pPr>
        <w:spacing w:line="0" w:lineRule="atLeast"/>
        <w:rPr>
          <w:rFonts w:ascii="Arial" w:eastAsia="Arial" w:hAnsi="Arial"/>
          <w:b/>
          <w:sz w:val="22"/>
          <w:szCs w:val="22"/>
          <w:lang w:val="es-CR"/>
        </w:rPr>
      </w:pPr>
    </w:p>
    <w:p w14:paraId="2735359F" w14:textId="21E465AB" w:rsidR="00E66302" w:rsidRPr="00DB0524" w:rsidRDefault="00970A84">
      <w:pPr>
        <w:pStyle w:val="Prrafodelista"/>
        <w:numPr>
          <w:ilvl w:val="3"/>
          <w:numId w:val="11"/>
        </w:numPr>
        <w:spacing w:after="120" w:line="238" w:lineRule="auto"/>
        <w:ind w:left="1134" w:right="261" w:hanging="1134"/>
        <w:jc w:val="both"/>
        <w:rPr>
          <w:rFonts w:ascii="Arial" w:eastAsia="Arial" w:hAnsi="Arial"/>
          <w:bCs/>
          <w:sz w:val="22"/>
          <w:szCs w:val="22"/>
          <w:lang w:val="es-CR"/>
        </w:rPr>
      </w:pPr>
      <w:r w:rsidRPr="00DB0524">
        <w:rPr>
          <w:rFonts w:ascii="Arial" w:eastAsia="Arial" w:hAnsi="Arial"/>
          <w:bCs/>
          <w:sz w:val="22"/>
          <w:szCs w:val="22"/>
          <w:lang w:val="es-CR"/>
        </w:rPr>
        <w:t>Una inversión será reconocida como equivalente al efectivo cuando tenga vencimiento próximo, por un plazo</w:t>
      </w:r>
      <w:r w:rsidR="00EA593D">
        <w:rPr>
          <w:rFonts w:ascii="Arial" w:eastAsia="Arial" w:hAnsi="Arial"/>
          <w:bCs/>
          <w:sz w:val="22"/>
          <w:szCs w:val="22"/>
          <w:lang w:val="es-CR"/>
        </w:rPr>
        <w:t xml:space="preserve"> máximo</w:t>
      </w:r>
      <w:r w:rsidRPr="00DB0524">
        <w:rPr>
          <w:rFonts w:ascii="Arial" w:eastAsia="Arial" w:hAnsi="Arial"/>
          <w:bCs/>
          <w:sz w:val="22"/>
          <w:szCs w:val="22"/>
          <w:lang w:val="es-CR"/>
        </w:rPr>
        <w:t xml:space="preserve"> tres meses o menos desde la fecha de su adquisición y estar sujeta a un riesgo insignificante de </w:t>
      </w:r>
      <w:r w:rsidR="000F29DC" w:rsidRPr="00DB0524">
        <w:rPr>
          <w:rFonts w:ascii="Arial" w:eastAsia="Arial" w:hAnsi="Arial"/>
          <w:bCs/>
          <w:sz w:val="22"/>
          <w:szCs w:val="22"/>
          <w:lang w:val="es-CR"/>
        </w:rPr>
        <w:t>ca</w:t>
      </w:r>
      <w:r w:rsidR="000F29DC">
        <w:rPr>
          <w:rFonts w:ascii="Arial" w:eastAsia="Arial" w:hAnsi="Arial"/>
          <w:bCs/>
          <w:sz w:val="22"/>
          <w:szCs w:val="22"/>
          <w:lang w:val="es-CR"/>
        </w:rPr>
        <w:t>mbi</w:t>
      </w:r>
      <w:r w:rsidR="000F29DC" w:rsidRPr="00DB0524">
        <w:rPr>
          <w:rFonts w:ascii="Arial" w:eastAsia="Arial" w:hAnsi="Arial"/>
          <w:bCs/>
          <w:sz w:val="22"/>
          <w:szCs w:val="22"/>
          <w:lang w:val="es-CR"/>
        </w:rPr>
        <w:t>os</w:t>
      </w:r>
      <w:r w:rsidRPr="00DB0524">
        <w:rPr>
          <w:rFonts w:ascii="Arial" w:eastAsia="Arial" w:hAnsi="Arial"/>
          <w:bCs/>
          <w:sz w:val="22"/>
          <w:szCs w:val="22"/>
          <w:lang w:val="es-CR"/>
        </w:rPr>
        <w:t xml:space="preserve"> en su valor.</w:t>
      </w:r>
    </w:p>
    <w:p w14:paraId="74BC5BBC" w14:textId="77777777" w:rsidR="00DB0524" w:rsidRPr="00F02F9D" w:rsidRDefault="00DB0524" w:rsidP="00DB0524">
      <w:pPr>
        <w:pStyle w:val="Prrafodelista"/>
        <w:ind w:left="992" w:right="261"/>
        <w:contextualSpacing w:val="0"/>
        <w:jc w:val="both"/>
        <w:rPr>
          <w:rFonts w:ascii="Arial" w:eastAsia="Arial" w:hAnsi="Arial"/>
          <w:bCs/>
          <w:sz w:val="22"/>
          <w:szCs w:val="22"/>
          <w:lang w:val="es-CR"/>
        </w:rPr>
      </w:pPr>
    </w:p>
    <w:p w14:paraId="6F89656F" w14:textId="77777777" w:rsidR="00E66302" w:rsidRDefault="008A4688">
      <w:pPr>
        <w:pStyle w:val="Prrafodelista"/>
        <w:numPr>
          <w:ilvl w:val="3"/>
          <w:numId w:val="11"/>
        </w:numPr>
        <w:spacing w:after="120" w:line="238" w:lineRule="auto"/>
        <w:ind w:left="1134" w:right="261" w:hanging="1134"/>
        <w:jc w:val="both"/>
        <w:rPr>
          <w:rFonts w:ascii="Arial" w:eastAsia="Arial" w:hAnsi="Arial"/>
          <w:bCs/>
          <w:sz w:val="22"/>
          <w:szCs w:val="22"/>
          <w:lang w:val="es-CR"/>
        </w:rPr>
      </w:pPr>
      <w:r w:rsidRPr="00F02F9D">
        <w:rPr>
          <w:rFonts w:ascii="Arial" w:eastAsia="Arial" w:hAnsi="Arial"/>
          <w:bCs/>
          <w:sz w:val="22"/>
          <w:szCs w:val="22"/>
          <w:lang w:val="es-CR"/>
        </w:rPr>
        <w:t xml:space="preserve">Los recursos financieros disponibles solo podrán invertirse transitoriamente en los </w:t>
      </w:r>
      <w:r w:rsidR="00270EBA" w:rsidRPr="00F02F9D">
        <w:rPr>
          <w:rFonts w:ascii="Arial" w:eastAsia="Arial" w:hAnsi="Arial"/>
          <w:bCs/>
          <w:sz w:val="22"/>
          <w:szCs w:val="22"/>
          <w:lang w:val="es-CR"/>
        </w:rPr>
        <w:t>Bancos</w:t>
      </w:r>
      <w:r w:rsidRPr="00F02F9D">
        <w:rPr>
          <w:rFonts w:ascii="Arial" w:eastAsia="Arial" w:hAnsi="Arial"/>
          <w:bCs/>
          <w:sz w:val="22"/>
          <w:szCs w:val="22"/>
          <w:lang w:val="es-CR"/>
        </w:rPr>
        <w:t xml:space="preserve"> públicos nacionales</w:t>
      </w:r>
      <w:r w:rsidR="00270EBA" w:rsidRPr="00F02F9D">
        <w:rPr>
          <w:rFonts w:ascii="Arial" w:eastAsia="Arial" w:hAnsi="Arial"/>
          <w:bCs/>
          <w:sz w:val="22"/>
          <w:szCs w:val="22"/>
          <w:lang w:val="es-CR"/>
        </w:rPr>
        <w:t>,</w:t>
      </w:r>
      <w:r w:rsidRPr="00F02F9D">
        <w:rPr>
          <w:rFonts w:ascii="Arial" w:eastAsia="Arial" w:hAnsi="Arial"/>
          <w:bCs/>
          <w:sz w:val="22"/>
          <w:szCs w:val="22"/>
          <w:lang w:val="es-CR"/>
        </w:rPr>
        <w:t xml:space="preserve"> en el Banco Popular y de Desarrollo Comunal y </w:t>
      </w:r>
      <w:r w:rsidR="00270EBA" w:rsidRPr="00F02F9D">
        <w:rPr>
          <w:rFonts w:ascii="Arial" w:eastAsia="Arial" w:hAnsi="Arial"/>
          <w:bCs/>
          <w:sz w:val="22"/>
          <w:szCs w:val="22"/>
          <w:lang w:val="es-CR"/>
        </w:rPr>
        <w:t xml:space="preserve">en las </w:t>
      </w:r>
      <w:r w:rsidRPr="00F02F9D">
        <w:rPr>
          <w:rFonts w:ascii="Arial" w:eastAsia="Arial" w:hAnsi="Arial"/>
          <w:bCs/>
          <w:sz w:val="22"/>
          <w:szCs w:val="22"/>
          <w:lang w:val="es-CR"/>
        </w:rPr>
        <w:t>mutuales de ahorro y préstamo con respaldo estatal.</w:t>
      </w:r>
    </w:p>
    <w:p w14:paraId="2D797FAC" w14:textId="77777777" w:rsidR="00DB0524" w:rsidRPr="00DB0524" w:rsidRDefault="00DB0524" w:rsidP="00DB0524">
      <w:pPr>
        <w:pStyle w:val="Prrafodelista"/>
        <w:spacing w:after="120" w:line="238" w:lineRule="auto"/>
        <w:ind w:left="1134" w:right="261"/>
        <w:jc w:val="both"/>
        <w:rPr>
          <w:rFonts w:ascii="Arial" w:eastAsia="Arial" w:hAnsi="Arial"/>
          <w:bCs/>
          <w:sz w:val="22"/>
          <w:szCs w:val="22"/>
          <w:lang w:val="es-CR"/>
        </w:rPr>
      </w:pPr>
    </w:p>
    <w:p w14:paraId="0CEACF52" w14:textId="2CCE9ADA" w:rsidR="00E66302" w:rsidRDefault="00C4553C">
      <w:pPr>
        <w:pStyle w:val="Prrafodelista"/>
        <w:numPr>
          <w:ilvl w:val="3"/>
          <w:numId w:val="11"/>
        </w:numPr>
        <w:spacing w:after="120" w:line="238" w:lineRule="auto"/>
        <w:ind w:left="1134" w:right="261" w:hanging="1134"/>
        <w:jc w:val="both"/>
        <w:rPr>
          <w:rFonts w:ascii="Arial" w:eastAsia="Arial" w:hAnsi="Arial"/>
          <w:bCs/>
          <w:sz w:val="22"/>
          <w:szCs w:val="22"/>
          <w:lang w:val="es-CR"/>
        </w:rPr>
      </w:pPr>
      <w:r w:rsidRPr="00F02F9D">
        <w:rPr>
          <w:rFonts w:ascii="Arial" w:eastAsia="Arial" w:hAnsi="Arial"/>
          <w:bCs/>
          <w:sz w:val="22"/>
          <w:szCs w:val="22"/>
          <w:lang w:val="es-CR"/>
        </w:rPr>
        <w:t xml:space="preserve">Los </w:t>
      </w:r>
      <w:r w:rsidR="00270EBA" w:rsidRPr="00F02F9D">
        <w:rPr>
          <w:rFonts w:ascii="Arial" w:eastAsia="Arial" w:hAnsi="Arial"/>
          <w:bCs/>
          <w:sz w:val="22"/>
          <w:szCs w:val="22"/>
          <w:lang w:val="es-CR"/>
        </w:rPr>
        <w:t xml:space="preserve">recursos mantenidos como </w:t>
      </w:r>
      <w:r w:rsidRPr="00F02F9D">
        <w:rPr>
          <w:rFonts w:ascii="Arial" w:eastAsia="Arial" w:hAnsi="Arial"/>
          <w:bCs/>
          <w:sz w:val="22"/>
          <w:szCs w:val="22"/>
          <w:lang w:val="es-CR"/>
        </w:rPr>
        <w:t xml:space="preserve">Equivalentes </w:t>
      </w:r>
      <w:r w:rsidR="00270EBA" w:rsidRPr="00F02F9D">
        <w:rPr>
          <w:rFonts w:ascii="Arial" w:eastAsia="Arial" w:hAnsi="Arial"/>
          <w:bCs/>
          <w:sz w:val="22"/>
          <w:szCs w:val="22"/>
          <w:lang w:val="es-CR"/>
        </w:rPr>
        <w:t>de</w:t>
      </w:r>
      <w:r w:rsidRPr="00F02F9D">
        <w:rPr>
          <w:rFonts w:ascii="Arial" w:eastAsia="Arial" w:hAnsi="Arial"/>
          <w:bCs/>
          <w:sz w:val="22"/>
          <w:szCs w:val="22"/>
          <w:lang w:val="es-CR"/>
        </w:rPr>
        <w:t xml:space="preserve"> Efectivo se </w:t>
      </w:r>
      <w:r w:rsidR="00270EBA" w:rsidRPr="00F02F9D">
        <w:rPr>
          <w:rFonts w:ascii="Arial" w:eastAsia="Arial" w:hAnsi="Arial"/>
          <w:bCs/>
          <w:sz w:val="22"/>
          <w:szCs w:val="22"/>
          <w:lang w:val="es-CR"/>
        </w:rPr>
        <w:t>utilizarán,</w:t>
      </w:r>
      <w:r w:rsidRPr="00F02F9D">
        <w:rPr>
          <w:rFonts w:ascii="Arial" w:eastAsia="Arial" w:hAnsi="Arial"/>
          <w:bCs/>
          <w:sz w:val="22"/>
          <w:szCs w:val="22"/>
          <w:lang w:val="es-CR"/>
        </w:rPr>
        <w:t xml:space="preserve"> con el fin de cumplir los compromisos de pago a corto plazo</w:t>
      </w:r>
      <w:r w:rsidR="005229F0">
        <w:rPr>
          <w:rFonts w:ascii="Arial" w:eastAsia="Arial" w:hAnsi="Arial"/>
          <w:bCs/>
          <w:sz w:val="22"/>
          <w:szCs w:val="22"/>
          <w:lang w:val="es-CR"/>
        </w:rPr>
        <w:t xml:space="preserve"> o proyectos de inversión</w:t>
      </w:r>
      <w:r w:rsidRPr="00F02F9D">
        <w:rPr>
          <w:rFonts w:ascii="Arial" w:eastAsia="Arial" w:hAnsi="Arial"/>
          <w:bCs/>
          <w:sz w:val="22"/>
          <w:szCs w:val="22"/>
          <w:lang w:val="es-CR"/>
        </w:rPr>
        <w:t>.</w:t>
      </w:r>
    </w:p>
    <w:p w14:paraId="1F0EAF4A" w14:textId="77777777" w:rsidR="00DB0524" w:rsidRPr="00DB0524" w:rsidRDefault="00DB0524" w:rsidP="00DB0524">
      <w:pPr>
        <w:ind w:right="261"/>
        <w:jc w:val="both"/>
        <w:rPr>
          <w:rFonts w:ascii="Arial" w:eastAsia="Arial" w:hAnsi="Arial"/>
          <w:bCs/>
          <w:sz w:val="22"/>
          <w:szCs w:val="22"/>
          <w:lang w:val="es-CR"/>
        </w:rPr>
      </w:pPr>
    </w:p>
    <w:p w14:paraId="50A10EB8" w14:textId="564B21C4" w:rsidR="00E66302" w:rsidRPr="00DB0524" w:rsidRDefault="00E66302">
      <w:pPr>
        <w:pStyle w:val="Prrafodelista"/>
        <w:numPr>
          <w:ilvl w:val="3"/>
          <w:numId w:val="84"/>
        </w:numPr>
        <w:ind w:left="1134" w:right="261" w:hanging="1134"/>
        <w:jc w:val="both"/>
        <w:rPr>
          <w:rFonts w:ascii="Arial" w:eastAsia="Arial" w:hAnsi="Arial"/>
          <w:bCs/>
          <w:sz w:val="22"/>
          <w:szCs w:val="22"/>
          <w:lang w:val="es-CR"/>
        </w:rPr>
      </w:pPr>
      <w:r w:rsidRPr="00DB0524">
        <w:rPr>
          <w:rFonts w:ascii="Arial" w:eastAsia="Arial" w:hAnsi="Arial"/>
          <w:bCs/>
          <w:sz w:val="22"/>
          <w:szCs w:val="22"/>
          <w:lang w:val="es-CR"/>
        </w:rPr>
        <w:t xml:space="preserve">Los Equivalentes de efectivo de la Municipalidad, se reconocerán </w:t>
      </w:r>
      <w:r w:rsidR="005229F0">
        <w:rPr>
          <w:rFonts w:ascii="Arial" w:eastAsia="Arial" w:hAnsi="Arial"/>
          <w:bCs/>
          <w:sz w:val="22"/>
          <w:szCs w:val="22"/>
          <w:lang w:val="es-CR"/>
        </w:rPr>
        <w:t xml:space="preserve">y medirán </w:t>
      </w:r>
      <w:r w:rsidRPr="00DB0524">
        <w:rPr>
          <w:rFonts w:ascii="Arial" w:eastAsia="Arial" w:hAnsi="Arial"/>
          <w:bCs/>
          <w:sz w:val="22"/>
          <w:szCs w:val="22"/>
          <w:lang w:val="es-CR"/>
        </w:rPr>
        <w:t>a su valor nominal.</w:t>
      </w:r>
    </w:p>
    <w:p w14:paraId="7E6AE0E9" w14:textId="77777777" w:rsidR="00DB0524" w:rsidRPr="00DB0524" w:rsidRDefault="00DB0524" w:rsidP="00DB0524">
      <w:pPr>
        <w:ind w:right="261"/>
        <w:jc w:val="both"/>
        <w:rPr>
          <w:rFonts w:ascii="Arial" w:eastAsia="Arial" w:hAnsi="Arial"/>
          <w:bCs/>
          <w:sz w:val="22"/>
          <w:szCs w:val="22"/>
          <w:lang w:val="es-CR"/>
        </w:rPr>
      </w:pPr>
    </w:p>
    <w:p w14:paraId="7ACB7F85" w14:textId="1B5B4E9F" w:rsidR="00E66302" w:rsidRDefault="00E66302">
      <w:pPr>
        <w:pStyle w:val="Prrafodelista"/>
        <w:numPr>
          <w:ilvl w:val="3"/>
          <w:numId w:val="84"/>
        </w:numPr>
        <w:spacing w:after="120" w:line="238" w:lineRule="auto"/>
        <w:ind w:left="1134" w:right="261" w:hanging="1134"/>
        <w:jc w:val="both"/>
        <w:rPr>
          <w:rFonts w:ascii="Arial" w:eastAsia="Arial" w:hAnsi="Arial"/>
          <w:bCs/>
          <w:sz w:val="22"/>
          <w:szCs w:val="22"/>
          <w:lang w:val="es-CR"/>
        </w:rPr>
      </w:pPr>
      <w:r w:rsidRPr="00F02F9D">
        <w:rPr>
          <w:rFonts w:ascii="Arial" w:eastAsia="Arial" w:hAnsi="Arial"/>
          <w:bCs/>
          <w:sz w:val="22"/>
          <w:szCs w:val="22"/>
          <w:lang w:val="es-CR"/>
        </w:rPr>
        <w:lastRenderedPageBreak/>
        <w:t>Los Equivalentes de Efectivo serán conciliadas mensualmente con el ente emisor respectivo, tomando como documento oficial el estado que remita cada ente con el auxiliar respectivo que se lleva en la Municipalidad</w:t>
      </w:r>
      <w:r w:rsidR="005229F0">
        <w:rPr>
          <w:rFonts w:ascii="Arial" w:eastAsia="Arial" w:hAnsi="Arial"/>
          <w:bCs/>
          <w:sz w:val="22"/>
          <w:szCs w:val="22"/>
          <w:lang w:val="es-CR"/>
        </w:rPr>
        <w:t>.</w:t>
      </w:r>
    </w:p>
    <w:p w14:paraId="6A05A452" w14:textId="77777777" w:rsidR="005229F0" w:rsidRPr="005229F0" w:rsidRDefault="005229F0" w:rsidP="005229F0">
      <w:pPr>
        <w:pStyle w:val="Prrafodelista"/>
        <w:rPr>
          <w:rFonts w:ascii="Arial" w:eastAsia="Arial" w:hAnsi="Arial"/>
          <w:bCs/>
          <w:sz w:val="22"/>
          <w:szCs w:val="22"/>
          <w:lang w:val="es-CR"/>
        </w:rPr>
      </w:pPr>
    </w:p>
    <w:p w14:paraId="7AC4C6A5" w14:textId="408428A0" w:rsidR="005229F0" w:rsidRPr="00F02F9D" w:rsidRDefault="005229F0">
      <w:pPr>
        <w:pStyle w:val="Prrafodelista"/>
        <w:numPr>
          <w:ilvl w:val="3"/>
          <w:numId w:val="84"/>
        </w:numPr>
        <w:spacing w:after="120" w:line="238" w:lineRule="auto"/>
        <w:ind w:left="1134" w:right="261" w:hanging="1134"/>
        <w:jc w:val="both"/>
        <w:rPr>
          <w:rFonts w:ascii="Arial" w:eastAsia="Arial" w:hAnsi="Arial"/>
          <w:bCs/>
          <w:sz w:val="22"/>
          <w:szCs w:val="22"/>
          <w:lang w:val="es-CR"/>
        </w:rPr>
      </w:pPr>
      <w:r>
        <w:rPr>
          <w:rFonts w:ascii="Arial" w:eastAsia="Arial" w:hAnsi="Arial"/>
          <w:bCs/>
          <w:sz w:val="22"/>
          <w:szCs w:val="22"/>
          <w:lang w:val="es-CR"/>
        </w:rPr>
        <w:t xml:space="preserve">Los documentos justificantes y el control de las inversiones será responsabilidad de la Tesorería. Para ese efecto esa unidad debe establecer los mecanismos de control con observancia a lo dispuesto por la </w:t>
      </w:r>
      <w:r w:rsidR="00DA54AD">
        <w:rPr>
          <w:rFonts w:ascii="Arial" w:eastAsia="Arial" w:hAnsi="Arial"/>
          <w:bCs/>
          <w:sz w:val="22"/>
          <w:szCs w:val="22"/>
          <w:lang w:val="es-CR"/>
        </w:rPr>
        <w:t>Ley general de control Interno, Ley Nº 8292.</w:t>
      </w:r>
    </w:p>
    <w:p w14:paraId="744405E4" w14:textId="77777777" w:rsidR="00DA54AD" w:rsidRDefault="00DA54AD" w:rsidP="00DB0524">
      <w:pPr>
        <w:spacing w:line="0" w:lineRule="atLeast"/>
        <w:rPr>
          <w:rFonts w:ascii="Arial" w:eastAsia="Arial" w:hAnsi="Arial"/>
          <w:b/>
          <w:sz w:val="22"/>
          <w:szCs w:val="22"/>
          <w:lang w:val="es-CR"/>
        </w:rPr>
      </w:pPr>
    </w:p>
    <w:p w14:paraId="71C1CDCF" w14:textId="27DA1428" w:rsidR="00C10CDF" w:rsidRPr="00BD7E4A" w:rsidRDefault="00815B63" w:rsidP="00BD7E4A">
      <w:pPr>
        <w:pStyle w:val="Ttulo2"/>
        <w:ind w:left="284"/>
        <w:rPr>
          <w:rFonts w:ascii="Arial" w:eastAsia="Arial" w:hAnsi="Arial" w:cs="Arial"/>
          <w:b/>
          <w:bCs/>
          <w:sz w:val="20"/>
          <w:szCs w:val="20"/>
          <w:lang w:val="es-CR"/>
        </w:rPr>
      </w:pPr>
      <w:bookmarkStart w:id="19" w:name="_Toc172726197"/>
      <w:r w:rsidRPr="00BD7E4A">
        <w:rPr>
          <w:rFonts w:ascii="Arial" w:eastAsia="Arial" w:hAnsi="Arial" w:cs="Arial"/>
          <w:b/>
          <w:bCs/>
          <w:sz w:val="20"/>
          <w:szCs w:val="20"/>
          <w:lang w:val="es-CR"/>
        </w:rPr>
        <w:t>Moneda Funcional</w:t>
      </w:r>
      <w:bookmarkEnd w:id="19"/>
    </w:p>
    <w:p w14:paraId="5F42DAC7" w14:textId="77777777" w:rsidR="00DA54AD" w:rsidRDefault="00DA54AD" w:rsidP="00DB0524">
      <w:pPr>
        <w:spacing w:line="0" w:lineRule="atLeast"/>
        <w:rPr>
          <w:rFonts w:ascii="Arial" w:eastAsia="Arial" w:hAnsi="Arial"/>
          <w:b/>
          <w:sz w:val="22"/>
          <w:szCs w:val="22"/>
          <w:lang w:val="es-CR"/>
        </w:rPr>
      </w:pPr>
    </w:p>
    <w:p w14:paraId="09F65210" w14:textId="0EE82843" w:rsidR="00DA54AD" w:rsidRDefault="00DA54AD" w:rsidP="00DA54AD">
      <w:pPr>
        <w:jc w:val="both"/>
        <w:rPr>
          <w:rFonts w:ascii="Arial" w:eastAsia="Arial" w:hAnsi="Arial"/>
          <w:bCs/>
          <w:sz w:val="22"/>
          <w:szCs w:val="22"/>
          <w:lang w:val="es-CR"/>
        </w:rPr>
      </w:pPr>
      <w:r w:rsidRPr="00F02F9D">
        <w:rPr>
          <w:rFonts w:ascii="Arial" w:eastAsia="Arial" w:hAnsi="Arial"/>
          <w:bCs/>
          <w:sz w:val="22"/>
          <w:szCs w:val="22"/>
          <w:lang w:val="es-CR"/>
        </w:rPr>
        <w:t xml:space="preserve">La moneda funcional que utilizará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será la de curso legal de Costa Rica (el colón costarricense </w:t>
      </w:r>
      <w:r w:rsidRPr="00DA54AD">
        <w:rPr>
          <w:rFonts w:eastAsia="Times New Roman" w:cs="Calibri"/>
          <w:b/>
          <w:bCs/>
          <w:color w:val="000000"/>
          <w:lang w:val="es-CR"/>
        </w:rPr>
        <w:t>₡</w:t>
      </w:r>
      <w:r w:rsidRPr="00F02F9D">
        <w:rPr>
          <w:rFonts w:ascii="Arial" w:eastAsia="Arial" w:hAnsi="Arial"/>
          <w:bCs/>
          <w:sz w:val="22"/>
          <w:szCs w:val="22"/>
          <w:lang w:val="es-CR"/>
        </w:rPr>
        <w:t xml:space="preserve">). </w:t>
      </w:r>
    </w:p>
    <w:bookmarkEnd w:id="15"/>
    <w:p w14:paraId="38194D50" w14:textId="77777777" w:rsidR="007377D0" w:rsidRPr="00F02F9D" w:rsidRDefault="007377D0">
      <w:pPr>
        <w:spacing w:line="200" w:lineRule="exact"/>
        <w:rPr>
          <w:rFonts w:ascii="Arial" w:eastAsia="Times New Roman" w:hAnsi="Arial"/>
          <w:sz w:val="22"/>
          <w:szCs w:val="22"/>
          <w:lang w:val="es-CR"/>
        </w:rPr>
      </w:pPr>
    </w:p>
    <w:tbl>
      <w:tblPr>
        <w:tblW w:w="8720" w:type="dxa"/>
        <w:tblInd w:w="557" w:type="dxa"/>
        <w:tblLook w:val="04A0" w:firstRow="1" w:lastRow="0" w:firstColumn="1" w:lastColumn="0" w:noHBand="0" w:noVBand="1"/>
      </w:tblPr>
      <w:tblGrid>
        <w:gridCol w:w="623"/>
        <w:gridCol w:w="483"/>
        <w:gridCol w:w="594"/>
        <w:gridCol w:w="2811"/>
        <w:gridCol w:w="2143"/>
        <w:gridCol w:w="2066"/>
      </w:tblGrid>
      <w:tr w:rsidR="00792475" w:rsidRPr="00BD7E4A" w14:paraId="1F8E8F14" w14:textId="77777777" w:rsidTr="00792475">
        <w:trPr>
          <w:trHeight w:val="320"/>
        </w:trPr>
        <w:tc>
          <w:tcPr>
            <w:tcW w:w="170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55BF345" w14:textId="77777777" w:rsidR="00792475" w:rsidRPr="00BD7E4A" w:rsidRDefault="00792475" w:rsidP="00792475">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2811" w:type="dxa"/>
            <w:vMerge w:val="restart"/>
            <w:tcBorders>
              <w:top w:val="single" w:sz="8" w:space="0" w:color="auto"/>
              <w:left w:val="single" w:sz="8" w:space="0" w:color="auto"/>
              <w:bottom w:val="nil"/>
              <w:right w:val="single" w:sz="8" w:space="0" w:color="auto"/>
            </w:tcBorders>
            <w:shd w:val="clear" w:color="000000" w:fill="203764"/>
            <w:vAlign w:val="center"/>
            <w:hideMark/>
          </w:tcPr>
          <w:p w14:paraId="53905909" w14:textId="77777777" w:rsidR="00792475" w:rsidRPr="00BD7E4A" w:rsidRDefault="00792475" w:rsidP="00792475">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4209" w:type="dxa"/>
            <w:gridSpan w:val="2"/>
            <w:tcBorders>
              <w:top w:val="single" w:sz="8" w:space="0" w:color="auto"/>
              <w:left w:val="nil"/>
              <w:bottom w:val="single" w:sz="8" w:space="0" w:color="auto"/>
              <w:right w:val="single" w:sz="8" w:space="0" w:color="000000"/>
            </w:tcBorders>
            <w:shd w:val="clear" w:color="000000" w:fill="203764"/>
            <w:vAlign w:val="center"/>
            <w:hideMark/>
          </w:tcPr>
          <w:p w14:paraId="63B4863C" w14:textId="77777777" w:rsidR="00792475" w:rsidRPr="00BD7E4A" w:rsidRDefault="00792475" w:rsidP="00792475">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792475" w:rsidRPr="0091631A" w14:paraId="18960EDD" w14:textId="77777777" w:rsidTr="00792475">
        <w:trPr>
          <w:trHeight w:val="320"/>
        </w:trPr>
        <w:tc>
          <w:tcPr>
            <w:tcW w:w="1700" w:type="dxa"/>
            <w:gridSpan w:val="3"/>
            <w:vMerge/>
            <w:tcBorders>
              <w:top w:val="single" w:sz="8" w:space="0" w:color="auto"/>
              <w:left w:val="single" w:sz="8" w:space="0" w:color="auto"/>
              <w:bottom w:val="nil"/>
              <w:right w:val="single" w:sz="8" w:space="0" w:color="000000"/>
            </w:tcBorders>
            <w:vAlign w:val="center"/>
            <w:hideMark/>
          </w:tcPr>
          <w:p w14:paraId="3B13BF98" w14:textId="77777777" w:rsidR="00792475" w:rsidRPr="00BD7E4A" w:rsidRDefault="00792475" w:rsidP="00792475">
            <w:pPr>
              <w:rPr>
                <w:rFonts w:ascii="Arial Narrow" w:eastAsia="Times New Roman" w:hAnsi="Arial Narrow"/>
                <w:b/>
                <w:bCs/>
                <w:color w:val="FFFFFF"/>
                <w:sz w:val="22"/>
                <w:szCs w:val="22"/>
              </w:rPr>
            </w:pPr>
          </w:p>
        </w:tc>
        <w:tc>
          <w:tcPr>
            <w:tcW w:w="2811" w:type="dxa"/>
            <w:vMerge/>
            <w:tcBorders>
              <w:top w:val="single" w:sz="8" w:space="0" w:color="auto"/>
              <w:left w:val="single" w:sz="8" w:space="0" w:color="auto"/>
              <w:bottom w:val="nil"/>
              <w:right w:val="single" w:sz="8" w:space="0" w:color="auto"/>
            </w:tcBorders>
            <w:vAlign w:val="center"/>
            <w:hideMark/>
          </w:tcPr>
          <w:p w14:paraId="7FA9EF13" w14:textId="77777777" w:rsidR="00792475" w:rsidRPr="00BD7E4A" w:rsidRDefault="00792475" w:rsidP="00792475">
            <w:pPr>
              <w:rPr>
                <w:rFonts w:ascii="Arial Narrow" w:eastAsia="Times New Roman" w:hAnsi="Arial Narrow"/>
                <w:b/>
                <w:bCs/>
                <w:color w:val="FFFFFF"/>
                <w:sz w:val="22"/>
                <w:szCs w:val="22"/>
              </w:rPr>
            </w:pPr>
          </w:p>
        </w:tc>
        <w:tc>
          <w:tcPr>
            <w:tcW w:w="2143" w:type="dxa"/>
            <w:tcBorders>
              <w:top w:val="nil"/>
              <w:left w:val="nil"/>
              <w:bottom w:val="nil"/>
              <w:right w:val="single" w:sz="8" w:space="0" w:color="auto"/>
            </w:tcBorders>
            <w:shd w:val="clear" w:color="000000" w:fill="203764"/>
            <w:vAlign w:val="center"/>
            <w:hideMark/>
          </w:tcPr>
          <w:p w14:paraId="3545A955" w14:textId="77777777" w:rsidR="00792475" w:rsidRPr="00BD7E4A" w:rsidRDefault="00792475" w:rsidP="00792475">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2066" w:type="dxa"/>
            <w:tcBorders>
              <w:top w:val="nil"/>
              <w:left w:val="nil"/>
              <w:bottom w:val="nil"/>
              <w:right w:val="single" w:sz="8" w:space="0" w:color="auto"/>
            </w:tcBorders>
            <w:shd w:val="clear" w:color="000000" w:fill="203764"/>
            <w:vAlign w:val="center"/>
            <w:hideMark/>
          </w:tcPr>
          <w:p w14:paraId="4C7DFE6A" w14:textId="4D9CCB60" w:rsidR="00792475" w:rsidRPr="0091631A" w:rsidRDefault="0091631A" w:rsidP="00792475">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92475" w:rsidRPr="00BD7E4A" w14:paraId="0DB1A3DE" w14:textId="77777777" w:rsidTr="001A3DCE">
        <w:trPr>
          <w:trHeight w:val="369"/>
        </w:trPr>
        <w:tc>
          <w:tcPr>
            <w:tcW w:w="6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4EC68" w14:textId="77777777" w:rsidR="00792475" w:rsidRPr="00BD7E4A" w:rsidRDefault="00792475" w:rsidP="0079247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483" w:type="dxa"/>
            <w:tcBorders>
              <w:top w:val="single" w:sz="8" w:space="0" w:color="auto"/>
              <w:left w:val="nil"/>
              <w:bottom w:val="single" w:sz="8" w:space="0" w:color="auto"/>
              <w:right w:val="single" w:sz="8" w:space="0" w:color="auto"/>
            </w:tcBorders>
            <w:shd w:val="clear" w:color="auto" w:fill="auto"/>
            <w:noWrap/>
            <w:vAlign w:val="center"/>
            <w:hideMark/>
          </w:tcPr>
          <w:p w14:paraId="50AE2D7E" w14:textId="77777777" w:rsidR="00792475" w:rsidRPr="00BD7E4A" w:rsidRDefault="00792475" w:rsidP="0079247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31</w:t>
            </w:r>
          </w:p>
        </w:tc>
        <w:tc>
          <w:tcPr>
            <w:tcW w:w="594" w:type="dxa"/>
            <w:tcBorders>
              <w:top w:val="single" w:sz="8" w:space="0" w:color="auto"/>
              <w:left w:val="nil"/>
              <w:bottom w:val="single" w:sz="8" w:space="0" w:color="auto"/>
              <w:right w:val="single" w:sz="8" w:space="0" w:color="auto"/>
            </w:tcBorders>
            <w:shd w:val="clear" w:color="auto" w:fill="auto"/>
            <w:vAlign w:val="center"/>
            <w:hideMark/>
          </w:tcPr>
          <w:p w14:paraId="45142133" w14:textId="4544FF16" w:rsidR="00792475" w:rsidRPr="00BD7E4A" w:rsidRDefault="00792475" w:rsidP="0079247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r w:rsidR="00E06868" w:rsidRPr="00BD7E4A">
              <w:rPr>
                <w:rFonts w:ascii="Arial Narrow" w:eastAsia="Times New Roman" w:hAnsi="Arial Narrow"/>
                <w:b/>
                <w:bCs/>
                <w:color w:val="000000"/>
                <w:sz w:val="22"/>
                <w:szCs w:val="22"/>
              </w:rPr>
              <w:t>0</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304A86FB" w14:textId="77777777" w:rsidR="00792475" w:rsidRPr="00BD7E4A" w:rsidRDefault="00792475" w:rsidP="00792475">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Moneda Funcional</w:t>
            </w:r>
          </w:p>
        </w:tc>
        <w:tc>
          <w:tcPr>
            <w:tcW w:w="2143" w:type="dxa"/>
            <w:tcBorders>
              <w:top w:val="single" w:sz="8" w:space="0" w:color="auto"/>
              <w:left w:val="nil"/>
              <w:bottom w:val="single" w:sz="8" w:space="0" w:color="auto"/>
              <w:right w:val="single" w:sz="8" w:space="0" w:color="auto"/>
            </w:tcBorders>
            <w:shd w:val="clear" w:color="auto" w:fill="auto"/>
            <w:vAlign w:val="center"/>
            <w:hideMark/>
          </w:tcPr>
          <w:p w14:paraId="5DC9266E" w14:textId="46DEDB10" w:rsidR="002B1B5D" w:rsidRPr="00BD7E4A" w:rsidRDefault="00792475" w:rsidP="0079247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NICSP </w:t>
            </w:r>
            <w:r w:rsidR="00A82BA5" w:rsidRPr="00BD7E4A">
              <w:rPr>
                <w:rFonts w:ascii="Arial Narrow" w:eastAsia="Times New Roman" w:hAnsi="Arial Narrow"/>
                <w:b/>
                <w:bCs/>
                <w:color w:val="000000"/>
                <w:sz w:val="22"/>
                <w:szCs w:val="22"/>
              </w:rPr>
              <w:t>4</w:t>
            </w:r>
            <w:r w:rsidRPr="00BD7E4A">
              <w:rPr>
                <w:rFonts w:ascii="Arial Narrow" w:eastAsia="Times New Roman" w:hAnsi="Arial Narrow"/>
                <w:b/>
                <w:bCs/>
                <w:color w:val="000000"/>
                <w:sz w:val="22"/>
                <w:szCs w:val="22"/>
              </w:rPr>
              <w:t xml:space="preserve">, </w:t>
            </w:r>
          </w:p>
          <w:p w14:paraId="362922C7" w14:textId="4CEABF76" w:rsidR="00792475" w:rsidRPr="00BD7E4A" w:rsidRDefault="00792475" w:rsidP="0079247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Párrafo </w:t>
            </w:r>
            <w:r w:rsidR="00A82BA5" w:rsidRPr="00BD7E4A">
              <w:rPr>
                <w:rFonts w:ascii="Arial Narrow" w:eastAsia="Times New Roman" w:hAnsi="Arial Narrow"/>
                <w:b/>
                <w:bCs/>
                <w:color w:val="000000"/>
                <w:sz w:val="22"/>
                <w:szCs w:val="22"/>
              </w:rPr>
              <w:t>10</w:t>
            </w:r>
            <w:r w:rsidRPr="00BD7E4A">
              <w:rPr>
                <w:rFonts w:ascii="Arial Narrow" w:eastAsia="Times New Roman" w:hAnsi="Arial Narrow"/>
                <w:b/>
                <w:bCs/>
                <w:color w:val="000000"/>
                <w:sz w:val="22"/>
                <w:szCs w:val="22"/>
              </w:rPr>
              <w:t>.</w:t>
            </w:r>
          </w:p>
        </w:tc>
        <w:tc>
          <w:tcPr>
            <w:tcW w:w="2066" w:type="dxa"/>
            <w:tcBorders>
              <w:top w:val="single" w:sz="8" w:space="0" w:color="auto"/>
              <w:left w:val="nil"/>
              <w:bottom w:val="single" w:sz="8" w:space="0" w:color="auto"/>
              <w:right w:val="single" w:sz="8" w:space="0" w:color="auto"/>
            </w:tcBorders>
            <w:shd w:val="clear" w:color="auto" w:fill="auto"/>
            <w:vAlign w:val="center"/>
            <w:hideMark/>
          </w:tcPr>
          <w:p w14:paraId="6327ECBB" w14:textId="32EA631B" w:rsidR="00792475" w:rsidRPr="00BD7E4A" w:rsidRDefault="00792475" w:rsidP="00792475">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tbl>
    <w:p w14:paraId="2337BDCD" w14:textId="77777777" w:rsidR="00DA54AD" w:rsidRDefault="00DA54AD" w:rsidP="00DA54AD">
      <w:pPr>
        <w:jc w:val="both"/>
        <w:rPr>
          <w:rFonts w:ascii="Arial" w:eastAsia="Arial" w:hAnsi="Arial"/>
          <w:bCs/>
          <w:sz w:val="22"/>
          <w:szCs w:val="22"/>
          <w:lang w:val="es-CR"/>
        </w:rPr>
      </w:pPr>
      <w:bookmarkStart w:id="20" w:name="page12"/>
      <w:bookmarkStart w:id="21" w:name="page13"/>
      <w:bookmarkEnd w:id="20"/>
      <w:bookmarkEnd w:id="21"/>
    </w:p>
    <w:p w14:paraId="50AE8C25" w14:textId="53434B78" w:rsidR="00224397" w:rsidRDefault="00224397" w:rsidP="00DA54AD">
      <w:pPr>
        <w:ind w:left="993" w:hanging="993"/>
        <w:jc w:val="both"/>
        <w:rPr>
          <w:rFonts w:ascii="Arial" w:eastAsia="Arial" w:hAnsi="Arial"/>
          <w:b/>
          <w:sz w:val="22"/>
          <w:szCs w:val="22"/>
        </w:rPr>
      </w:pPr>
      <w:r w:rsidRPr="00F02F9D">
        <w:rPr>
          <w:rFonts w:ascii="Arial" w:eastAsia="Arial" w:hAnsi="Arial"/>
          <w:b/>
          <w:sz w:val="22"/>
          <w:szCs w:val="22"/>
        </w:rPr>
        <w:t>Políticas Contables</w:t>
      </w:r>
    </w:p>
    <w:p w14:paraId="50B67EC5" w14:textId="77777777" w:rsidR="00224397" w:rsidRDefault="00224397" w:rsidP="00DA54AD">
      <w:pPr>
        <w:ind w:left="993" w:hanging="993"/>
        <w:jc w:val="both"/>
        <w:rPr>
          <w:rFonts w:ascii="Arial" w:eastAsia="Arial" w:hAnsi="Arial"/>
          <w:bCs/>
          <w:sz w:val="22"/>
          <w:szCs w:val="22"/>
          <w:lang w:val="es-CR"/>
        </w:rPr>
      </w:pPr>
    </w:p>
    <w:p w14:paraId="7AC62AA9" w14:textId="6F349E6C" w:rsidR="00DA54AD" w:rsidRDefault="00DA54AD" w:rsidP="00DA54AD">
      <w:pPr>
        <w:ind w:left="993" w:hanging="993"/>
        <w:jc w:val="both"/>
        <w:rPr>
          <w:rFonts w:ascii="Arial" w:eastAsia="Arial" w:hAnsi="Arial"/>
          <w:bCs/>
          <w:sz w:val="22"/>
          <w:szCs w:val="22"/>
          <w:lang w:val="es-CR"/>
        </w:rPr>
      </w:pPr>
      <w:r>
        <w:rPr>
          <w:rFonts w:ascii="Arial" w:eastAsia="Arial" w:hAnsi="Arial"/>
          <w:bCs/>
          <w:sz w:val="22"/>
          <w:szCs w:val="22"/>
          <w:lang w:val="es-CR"/>
        </w:rPr>
        <w:t>1.31.0.01</w:t>
      </w:r>
      <w:r>
        <w:rPr>
          <w:rFonts w:ascii="Arial" w:eastAsia="Arial" w:hAnsi="Arial"/>
          <w:bCs/>
          <w:sz w:val="22"/>
          <w:szCs w:val="22"/>
          <w:lang w:val="es-CR"/>
        </w:rPr>
        <w:tab/>
        <w:t>L</w:t>
      </w:r>
      <w:r w:rsidR="008A4688" w:rsidRPr="00F02F9D">
        <w:rPr>
          <w:rFonts w:ascii="Arial" w:eastAsia="Arial" w:hAnsi="Arial"/>
          <w:bCs/>
          <w:sz w:val="22"/>
          <w:szCs w:val="22"/>
          <w:lang w:val="es-CR"/>
        </w:rPr>
        <w:t>as transacciones, sucesos y condiciones que subyacen y son relevantes</w:t>
      </w:r>
      <w:r>
        <w:rPr>
          <w:rFonts w:ascii="Arial" w:eastAsia="Arial" w:hAnsi="Arial"/>
          <w:bCs/>
          <w:sz w:val="22"/>
          <w:szCs w:val="22"/>
          <w:lang w:val="es-CR"/>
        </w:rPr>
        <w:t xml:space="preserve"> se reconocerán y medirán en moneda funcional</w:t>
      </w:r>
      <w:r w:rsidR="00792475" w:rsidRPr="00F02F9D">
        <w:rPr>
          <w:rFonts w:ascii="Arial" w:eastAsia="Arial" w:hAnsi="Arial"/>
          <w:bCs/>
          <w:sz w:val="22"/>
          <w:szCs w:val="22"/>
          <w:lang w:val="es-CR"/>
        </w:rPr>
        <w:t xml:space="preserve">, </w:t>
      </w:r>
    </w:p>
    <w:p w14:paraId="2F45F3FD" w14:textId="77777777" w:rsidR="00DA54AD" w:rsidRDefault="00DA54AD" w:rsidP="00DA54AD">
      <w:pPr>
        <w:jc w:val="both"/>
        <w:rPr>
          <w:rFonts w:ascii="Arial" w:eastAsia="Arial" w:hAnsi="Arial"/>
          <w:bCs/>
          <w:sz w:val="22"/>
          <w:szCs w:val="22"/>
          <w:lang w:val="es-CR"/>
        </w:rPr>
      </w:pPr>
    </w:p>
    <w:p w14:paraId="02BCCF69" w14:textId="303F4A9F" w:rsidR="00DA54AD" w:rsidRDefault="00DA54AD" w:rsidP="00DA54AD">
      <w:pPr>
        <w:ind w:left="993" w:hanging="993"/>
        <w:jc w:val="both"/>
        <w:rPr>
          <w:rFonts w:ascii="Arial" w:eastAsia="Arial" w:hAnsi="Arial"/>
          <w:bCs/>
          <w:sz w:val="22"/>
          <w:szCs w:val="22"/>
          <w:lang w:val="es-CR"/>
        </w:rPr>
      </w:pPr>
      <w:r>
        <w:rPr>
          <w:rFonts w:ascii="Arial" w:eastAsia="Arial" w:hAnsi="Arial"/>
          <w:bCs/>
          <w:sz w:val="22"/>
          <w:szCs w:val="22"/>
          <w:lang w:val="es-CR"/>
        </w:rPr>
        <w:t>1.31.0.02</w:t>
      </w:r>
      <w:r>
        <w:rPr>
          <w:rFonts w:ascii="Arial" w:eastAsia="Arial" w:hAnsi="Arial"/>
          <w:bCs/>
          <w:sz w:val="22"/>
          <w:szCs w:val="22"/>
          <w:lang w:val="es-CR"/>
        </w:rPr>
        <w:tab/>
        <w:t>L</w:t>
      </w:r>
      <w:r w:rsidR="008A4688" w:rsidRPr="00F02F9D">
        <w:rPr>
          <w:rFonts w:ascii="Arial" w:eastAsia="Arial" w:hAnsi="Arial"/>
          <w:bCs/>
          <w:sz w:val="22"/>
          <w:szCs w:val="22"/>
          <w:lang w:val="es-CR"/>
        </w:rPr>
        <w:t xml:space="preserve">os Estados Financieros </w:t>
      </w:r>
      <w:r>
        <w:rPr>
          <w:rFonts w:ascii="Arial" w:eastAsia="Arial" w:hAnsi="Arial"/>
          <w:bCs/>
          <w:sz w:val="22"/>
          <w:szCs w:val="22"/>
          <w:lang w:val="es-CR"/>
        </w:rPr>
        <w:t xml:space="preserve">y las revelaciones a estos se </w:t>
      </w:r>
      <w:r w:rsidR="008A4688" w:rsidRPr="00F02F9D">
        <w:rPr>
          <w:rFonts w:ascii="Arial" w:eastAsia="Arial" w:hAnsi="Arial"/>
          <w:bCs/>
          <w:sz w:val="22"/>
          <w:szCs w:val="22"/>
          <w:lang w:val="es-CR"/>
        </w:rPr>
        <w:t>presenta</w:t>
      </w:r>
      <w:r>
        <w:rPr>
          <w:rFonts w:ascii="Arial" w:eastAsia="Arial" w:hAnsi="Arial"/>
          <w:bCs/>
          <w:sz w:val="22"/>
          <w:szCs w:val="22"/>
          <w:lang w:val="es-CR"/>
        </w:rPr>
        <w:t>rá</w:t>
      </w:r>
      <w:r w:rsidR="008A4688" w:rsidRPr="00F02F9D">
        <w:rPr>
          <w:rFonts w:ascii="Arial" w:eastAsia="Arial" w:hAnsi="Arial"/>
          <w:bCs/>
          <w:sz w:val="22"/>
          <w:szCs w:val="22"/>
          <w:lang w:val="es-CR"/>
        </w:rPr>
        <w:t>n en</w:t>
      </w:r>
      <w:r w:rsidR="00C10CDF" w:rsidRPr="00F02F9D">
        <w:rPr>
          <w:rFonts w:ascii="Arial" w:eastAsia="Arial" w:hAnsi="Arial"/>
          <w:bCs/>
          <w:sz w:val="22"/>
          <w:szCs w:val="22"/>
          <w:lang w:val="es-CR"/>
        </w:rPr>
        <w:t xml:space="preserve"> moneda funcional.</w:t>
      </w:r>
    </w:p>
    <w:p w14:paraId="33A6FA38" w14:textId="77777777" w:rsidR="00DA54AD" w:rsidRDefault="00DA54AD" w:rsidP="00DA54AD">
      <w:pPr>
        <w:jc w:val="both"/>
        <w:rPr>
          <w:rFonts w:ascii="Arial" w:eastAsia="Arial" w:hAnsi="Arial"/>
          <w:bCs/>
          <w:sz w:val="22"/>
          <w:szCs w:val="22"/>
          <w:lang w:val="es-CR"/>
        </w:rPr>
      </w:pPr>
    </w:p>
    <w:p w14:paraId="339DDF6A" w14:textId="77777777" w:rsidR="00DA54AD" w:rsidRDefault="00DA54AD" w:rsidP="00DA54AD">
      <w:pPr>
        <w:jc w:val="both"/>
        <w:rPr>
          <w:rFonts w:ascii="Arial" w:eastAsia="Arial" w:hAnsi="Arial"/>
          <w:b/>
          <w:sz w:val="22"/>
          <w:szCs w:val="22"/>
          <w:lang w:val="es-CR"/>
        </w:rPr>
      </w:pPr>
    </w:p>
    <w:p w14:paraId="4E330AC6" w14:textId="70A2E0FB" w:rsidR="00815B63" w:rsidRPr="00BD7E4A" w:rsidRDefault="00815B63" w:rsidP="00BD7E4A">
      <w:pPr>
        <w:pStyle w:val="Ttulo2"/>
        <w:ind w:left="284"/>
        <w:rPr>
          <w:rFonts w:ascii="Arial" w:eastAsia="Arial" w:hAnsi="Arial" w:cs="Arial"/>
          <w:b/>
          <w:bCs/>
          <w:sz w:val="20"/>
          <w:szCs w:val="20"/>
          <w:lang w:val="es-CR"/>
        </w:rPr>
      </w:pPr>
      <w:bookmarkStart w:id="22" w:name="_Toc172726198"/>
      <w:r w:rsidRPr="00BD7E4A">
        <w:rPr>
          <w:rFonts w:ascii="Arial" w:eastAsia="Arial" w:hAnsi="Arial" w:cs="Arial"/>
          <w:b/>
          <w:bCs/>
          <w:sz w:val="20"/>
          <w:szCs w:val="20"/>
          <w:lang w:val="es-CR"/>
        </w:rPr>
        <w:t>Moneda Extranjera</w:t>
      </w:r>
      <w:bookmarkEnd w:id="22"/>
    </w:p>
    <w:p w14:paraId="374E5AA3" w14:textId="77777777" w:rsidR="00815B63" w:rsidRDefault="00815B63" w:rsidP="00792475">
      <w:pPr>
        <w:spacing w:line="274" w:lineRule="auto"/>
        <w:ind w:left="380" w:right="260"/>
        <w:jc w:val="both"/>
        <w:rPr>
          <w:rFonts w:ascii="Arial" w:eastAsia="Arial" w:hAnsi="Arial"/>
          <w:b/>
          <w:sz w:val="22"/>
          <w:szCs w:val="22"/>
          <w:lang w:val="es-CR"/>
        </w:rPr>
      </w:pPr>
    </w:p>
    <w:p w14:paraId="25557526" w14:textId="7303DB55" w:rsidR="00DA54AD" w:rsidRPr="00DA54AD" w:rsidRDefault="00DA54AD" w:rsidP="00DA54AD">
      <w:pPr>
        <w:jc w:val="both"/>
        <w:rPr>
          <w:rFonts w:ascii="Arial" w:eastAsia="Arial" w:hAnsi="Arial"/>
          <w:bCs/>
          <w:sz w:val="22"/>
          <w:szCs w:val="22"/>
          <w:lang w:val="es-CR"/>
        </w:rPr>
      </w:pPr>
      <w:r w:rsidRPr="00DA54AD">
        <w:rPr>
          <w:rFonts w:ascii="Arial" w:eastAsia="Arial" w:hAnsi="Arial"/>
          <w:bCs/>
          <w:sz w:val="22"/>
          <w:szCs w:val="22"/>
          <w:lang w:val="es-CR"/>
        </w:rPr>
        <w:t>La Moneda Extranjera</w:t>
      </w:r>
      <w:r>
        <w:rPr>
          <w:rFonts w:ascii="Arial" w:eastAsia="Arial" w:hAnsi="Arial"/>
          <w:bCs/>
          <w:sz w:val="22"/>
          <w:szCs w:val="22"/>
          <w:lang w:val="es-CR"/>
        </w:rPr>
        <w:t xml:space="preserve"> es aquella diferente a la moneda funcional o corriente de curso legal</w:t>
      </w:r>
      <w:r w:rsidR="00E06868">
        <w:rPr>
          <w:rFonts w:ascii="Arial" w:eastAsia="Arial" w:hAnsi="Arial"/>
          <w:bCs/>
          <w:sz w:val="22"/>
          <w:szCs w:val="22"/>
          <w:lang w:val="es-CR"/>
        </w:rPr>
        <w:t>, más conocida como moneda extranjera o divisa.</w:t>
      </w:r>
    </w:p>
    <w:p w14:paraId="7BA284B6" w14:textId="77777777" w:rsidR="00DA54AD" w:rsidRPr="00F02F9D" w:rsidRDefault="00DA54AD" w:rsidP="00DA54AD">
      <w:pPr>
        <w:spacing w:line="274" w:lineRule="auto"/>
        <w:ind w:right="260"/>
        <w:jc w:val="both"/>
        <w:rPr>
          <w:rFonts w:ascii="Arial" w:eastAsia="Arial" w:hAnsi="Arial"/>
          <w:b/>
          <w:sz w:val="22"/>
          <w:szCs w:val="22"/>
          <w:lang w:val="es-CR"/>
        </w:rPr>
      </w:pPr>
    </w:p>
    <w:tbl>
      <w:tblPr>
        <w:tblW w:w="9021" w:type="dxa"/>
        <w:tblInd w:w="132" w:type="dxa"/>
        <w:tblLook w:val="04A0" w:firstRow="1" w:lastRow="0" w:firstColumn="1" w:lastColumn="0" w:noHBand="0" w:noVBand="1"/>
      </w:tblPr>
      <w:tblGrid>
        <w:gridCol w:w="623"/>
        <w:gridCol w:w="483"/>
        <w:gridCol w:w="594"/>
        <w:gridCol w:w="3261"/>
        <w:gridCol w:w="1985"/>
        <w:gridCol w:w="2068"/>
        <w:gridCol w:w="7"/>
      </w:tblGrid>
      <w:tr w:rsidR="00C10CDF" w:rsidRPr="00BD7E4A" w14:paraId="753A2F7D" w14:textId="77777777" w:rsidTr="0035187F">
        <w:trPr>
          <w:trHeight w:val="320"/>
        </w:trPr>
        <w:tc>
          <w:tcPr>
            <w:tcW w:w="170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A67F4EA" w14:textId="77777777" w:rsidR="00C10CDF" w:rsidRPr="00BD7E4A" w:rsidRDefault="00C10CDF" w:rsidP="00C10CDF">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3261" w:type="dxa"/>
            <w:vMerge w:val="restart"/>
            <w:tcBorders>
              <w:top w:val="single" w:sz="8" w:space="0" w:color="auto"/>
              <w:left w:val="single" w:sz="8" w:space="0" w:color="auto"/>
              <w:bottom w:val="nil"/>
              <w:right w:val="single" w:sz="8" w:space="0" w:color="auto"/>
            </w:tcBorders>
            <w:shd w:val="clear" w:color="000000" w:fill="203764"/>
            <w:vAlign w:val="center"/>
            <w:hideMark/>
          </w:tcPr>
          <w:p w14:paraId="712B7B11" w14:textId="77777777" w:rsidR="00C10CDF" w:rsidRPr="00BD7E4A" w:rsidRDefault="00C10CDF" w:rsidP="00C10CDF">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4060" w:type="dxa"/>
            <w:gridSpan w:val="3"/>
            <w:tcBorders>
              <w:top w:val="single" w:sz="8" w:space="0" w:color="auto"/>
              <w:left w:val="nil"/>
              <w:bottom w:val="single" w:sz="8" w:space="0" w:color="auto"/>
              <w:right w:val="single" w:sz="8" w:space="0" w:color="000000"/>
            </w:tcBorders>
            <w:shd w:val="clear" w:color="000000" w:fill="203764"/>
            <w:vAlign w:val="center"/>
            <w:hideMark/>
          </w:tcPr>
          <w:p w14:paraId="2C1D25A7" w14:textId="77777777" w:rsidR="00C10CDF" w:rsidRPr="00BD7E4A" w:rsidRDefault="00C10CDF" w:rsidP="00C10CDF">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C10CDF" w:rsidRPr="0091631A" w14:paraId="3B363AD5" w14:textId="77777777" w:rsidTr="0035187F">
        <w:trPr>
          <w:gridAfter w:val="1"/>
          <w:wAfter w:w="7" w:type="dxa"/>
          <w:trHeight w:val="320"/>
        </w:trPr>
        <w:tc>
          <w:tcPr>
            <w:tcW w:w="1700" w:type="dxa"/>
            <w:gridSpan w:val="3"/>
            <w:vMerge/>
            <w:tcBorders>
              <w:top w:val="single" w:sz="8" w:space="0" w:color="auto"/>
              <w:left w:val="single" w:sz="8" w:space="0" w:color="auto"/>
              <w:bottom w:val="nil"/>
              <w:right w:val="single" w:sz="8" w:space="0" w:color="000000"/>
            </w:tcBorders>
            <w:vAlign w:val="center"/>
            <w:hideMark/>
          </w:tcPr>
          <w:p w14:paraId="543CB49D" w14:textId="77777777" w:rsidR="00C10CDF" w:rsidRPr="00BD7E4A" w:rsidRDefault="00C10CDF" w:rsidP="00C10CDF">
            <w:pPr>
              <w:rPr>
                <w:rFonts w:ascii="Arial Narrow" w:eastAsia="Times New Roman" w:hAnsi="Arial Narrow"/>
                <w:b/>
                <w:bCs/>
                <w:color w:val="FFFFFF"/>
                <w:sz w:val="22"/>
                <w:szCs w:val="22"/>
              </w:rPr>
            </w:pPr>
          </w:p>
        </w:tc>
        <w:tc>
          <w:tcPr>
            <w:tcW w:w="3261" w:type="dxa"/>
            <w:vMerge/>
            <w:tcBorders>
              <w:top w:val="single" w:sz="8" w:space="0" w:color="auto"/>
              <w:left w:val="single" w:sz="8" w:space="0" w:color="auto"/>
              <w:bottom w:val="nil"/>
              <w:right w:val="single" w:sz="8" w:space="0" w:color="auto"/>
            </w:tcBorders>
            <w:vAlign w:val="center"/>
            <w:hideMark/>
          </w:tcPr>
          <w:p w14:paraId="37E9BB95" w14:textId="77777777" w:rsidR="00C10CDF" w:rsidRPr="00BD7E4A" w:rsidRDefault="00C10CDF" w:rsidP="00C10CDF">
            <w:pPr>
              <w:rPr>
                <w:rFonts w:ascii="Arial Narrow" w:eastAsia="Times New Roman" w:hAnsi="Arial Narrow"/>
                <w:b/>
                <w:bCs/>
                <w:color w:val="FFFFFF"/>
                <w:sz w:val="22"/>
                <w:szCs w:val="22"/>
              </w:rPr>
            </w:pPr>
          </w:p>
        </w:tc>
        <w:tc>
          <w:tcPr>
            <w:tcW w:w="1985" w:type="dxa"/>
            <w:tcBorders>
              <w:top w:val="nil"/>
              <w:left w:val="nil"/>
              <w:bottom w:val="nil"/>
              <w:right w:val="single" w:sz="8" w:space="0" w:color="auto"/>
            </w:tcBorders>
            <w:shd w:val="clear" w:color="000000" w:fill="203764"/>
            <w:vAlign w:val="center"/>
            <w:hideMark/>
          </w:tcPr>
          <w:p w14:paraId="1CCE2716" w14:textId="77777777" w:rsidR="00C10CDF" w:rsidRPr="00BD7E4A" w:rsidRDefault="00C10CDF" w:rsidP="00C10CDF">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2068" w:type="dxa"/>
            <w:tcBorders>
              <w:top w:val="nil"/>
              <w:left w:val="nil"/>
              <w:bottom w:val="nil"/>
              <w:right w:val="single" w:sz="8" w:space="0" w:color="auto"/>
            </w:tcBorders>
            <w:shd w:val="clear" w:color="000000" w:fill="203764"/>
            <w:vAlign w:val="center"/>
            <w:hideMark/>
          </w:tcPr>
          <w:p w14:paraId="2BBE364F" w14:textId="61511543" w:rsidR="00C10CDF" w:rsidRPr="0091631A" w:rsidRDefault="0091631A" w:rsidP="00C10CDF">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C10CDF" w:rsidRPr="00BD7E4A" w14:paraId="3CD2DE27" w14:textId="77777777" w:rsidTr="0035187F">
        <w:trPr>
          <w:gridAfter w:val="1"/>
          <w:wAfter w:w="7" w:type="dxa"/>
          <w:trHeight w:val="415"/>
        </w:trPr>
        <w:tc>
          <w:tcPr>
            <w:tcW w:w="6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7BD7D2" w14:textId="77777777" w:rsidR="00C10CDF" w:rsidRPr="00BD7E4A" w:rsidRDefault="00C10CDF" w:rsidP="00C10CDF">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483" w:type="dxa"/>
            <w:tcBorders>
              <w:top w:val="single" w:sz="8" w:space="0" w:color="auto"/>
              <w:left w:val="nil"/>
              <w:bottom w:val="single" w:sz="8" w:space="0" w:color="auto"/>
              <w:right w:val="single" w:sz="8" w:space="0" w:color="auto"/>
            </w:tcBorders>
            <w:shd w:val="clear" w:color="auto" w:fill="auto"/>
            <w:noWrap/>
            <w:vAlign w:val="center"/>
            <w:hideMark/>
          </w:tcPr>
          <w:p w14:paraId="6C134FFB" w14:textId="77777777" w:rsidR="00C10CDF" w:rsidRPr="00BD7E4A" w:rsidRDefault="00C10CDF" w:rsidP="00C10CDF">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32</w:t>
            </w:r>
          </w:p>
        </w:tc>
        <w:tc>
          <w:tcPr>
            <w:tcW w:w="594" w:type="dxa"/>
            <w:tcBorders>
              <w:top w:val="single" w:sz="8" w:space="0" w:color="auto"/>
              <w:left w:val="nil"/>
              <w:bottom w:val="single" w:sz="8" w:space="0" w:color="auto"/>
              <w:right w:val="single" w:sz="8" w:space="0" w:color="auto"/>
            </w:tcBorders>
            <w:shd w:val="clear" w:color="auto" w:fill="auto"/>
            <w:vAlign w:val="center"/>
            <w:hideMark/>
          </w:tcPr>
          <w:p w14:paraId="3BF02EF8" w14:textId="2AE24385" w:rsidR="00C10CDF" w:rsidRPr="00BD7E4A" w:rsidRDefault="00C10CDF" w:rsidP="00C10CDF">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r w:rsidR="00E06868" w:rsidRPr="00BD7E4A">
              <w:rPr>
                <w:rFonts w:ascii="Arial Narrow" w:eastAsia="Times New Roman" w:hAnsi="Arial Narrow"/>
                <w:b/>
                <w:bCs/>
                <w:color w:val="000000"/>
                <w:sz w:val="22"/>
                <w:szCs w:val="22"/>
              </w:rPr>
              <w:t>0</w:t>
            </w:r>
          </w:p>
        </w:tc>
        <w:tc>
          <w:tcPr>
            <w:tcW w:w="3261" w:type="dxa"/>
            <w:tcBorders>
              <w:top w:val="single" w:sz="8" w:space="0" w:color="auto"/>
              <w:left w:val="nil"/>
              <w:bottom w:val="single" w:sz="8" w:space="0" w:color="auto"/>
              <w:right w:val="single" w:sz="8" w:space="0" w:color="auto"/>
            </w:tcBorders>
            <w:shd w:val="clear" w:color="auto" w:fill="auto"/>
            <w:vAlign w:val="center"/>
            <w:hideMark/>
          </w:tcPr>
          <w:p w14:paraId="0846B165" w14:textId="77777777" w:rsidR="00C10CDF" w:rsidRPr="00BD7E4A" w:rsidRDefault="00C10CDF" w:rsidP="00C10CDF">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Saldos en moneda extranjera</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2CDCE579" w14:textId="70E0F34B" w:rsidR="00A82BA5" w:rsidRPr="00BD7E4A" w:rsidRDefault="00C10CDF" w:rsidP="00C10CDF">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NICSP 4, </w:t>
            </w:r>
          </w:p>
          <w:p w14:paraId="1B10263E" w14:textId="2AC1EBAB" w:rsidR="00C10CDF" w:rsidRPr="00BD7E4A" w:rsidRDefault="00C10CDF" w:rsidP="00C10CDF">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Párrafo</w:t>
            </w:r>
            <w:r w:rsidR="00A82BA5" w:rsidRPr="00BD7E4A">
              <w:rPr>
                <w:rFonts w:ascii="Arial Narrow" w:eastAsia="Times New Roman" w:hAnsi="Arial Narrow"/>
                <w:b/>
                <w:bCs/>
                <w:color w:val="000000"/>
                <w:sz w:val="22"/>
                <w:szCs w:val="22"/>
              </w:rPr>
              <w:t>s</w:t>
            </w:r>
            <w:r w:rsidRPr="00BD7E4A">
              <w:rPr>
                <w:rFonts w:ascii="Arial Narrow" w:eastAsia="Times New Roman" w:hAnsi="Arial Narrow"/>
                <w:b/>
                <w:bCs/>
                <w:color w:val="000000"/>
                <w:sz w:val="22"/>
                <w:szCs w:val="22"/>
              </w:rPr>
              <w:t xml:space="preserve"> </w:t>
            </w:r>
            <w:r w:rsidR="00A82BA5" w:rsidRPr="00BD7E4A">
              <w:rPr>
                <w:rFonts w:ascii="Arial Narrow" w:eastAsia="Times New Roman" w:hAnsi="Arial Narrow"/>
                <w:b/>
                <w:bCs/>
                <w:color w:val="000000"/>
                <w:sz w:val="22"/>
                <w:szCs w:val="22"/>
              </w:rPr>
              <w:t xml:space="preserve">24 a </w:t>
            </w:r>
            <w:r w:rsidRPr="00BD7E4A">
              <w:rPr>
                <w:rFonts w:ascii="Arial Narrow" w:eastAsia="Times New Roman" w:hAnsi="Arial Narrow"/>
                <w:b/>
                <w:bCs/>
                <w:color w:val="000000"/>
                <w:sz w:val="22"/>
                <w:szCs w:val="22"/>
              </w:rPr>
              <w:t>26.</w:t>
            </w:r>
          </w:p>
        </w:tc>
        <w:tc>
          <w:tcPr>
            <w:tcW w:w="2068" w:type="dxa"/>
            <w:tcBorders>
              <w:top w:val="single" w:sz="8" w:space="0" w:color="auto"/>
              <w:left w:val="nil"/>
              <w:bottom w:val="single" w:sz="8" w:space="0" w:color="auto"/>
              <w:right w:val="single" w:sz="8" w:space="0" w:color="auto"/>
            </w:tcBorders>
            <w:shd w:val="clear" w:color="auto" w:fill="auto"/>
            <w:vAlign w:val="center"/>
            <w:hideMark/>
          </w:tcPr>
          <w:p w14:paraId="5597D4FD" w14:textId="77777777" w:rsidR="00C10CDF" w:rsidRPr="00BD7E4A" w:rsidRDefault="00C10CDF" w:rsidP="00C10CDF">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tbl>
    <w:p w14:paraId="3A389B77" w14:textId="77777777" w:rsidR="00DA54AD" w:rsidRDefault="00DA54AD" w:rsidP="009E606D">
      <w:pPr>
        <w:spacing w:line="0" w:lineRule="atLeast"/>
        <w:rPr>
          <w:rFonts w:ascii="Arial" w:eastAsia="Arial" w:hAnsi="Arial"/>
          <w:b/>
          <w:sz w:val="22"/>
          <w:szCs w:val="22"/>
          <w:lang w:val="es-CR"/>
        </w:rPr>
      </w:pPr>
    </w:p>
    <w:p w14:paraId="75B16E72" w14:textId="32E6EF98" w:rsidR="00224397" w:rsidRDefault="00224397" w:rsidP="009E606D">
      <w:pPr>
        <w:spacing w:line="0" w:lineRule="atLeast"/>
        <w:rPr>
          <w:rFonts w:ascii="Arial" w:eastAsia="Arial" w:hAnsi="Arial"/>
          <w:b/>
          <w:sz w:val="22"/>
          <w:szCs w:val="22"/>
        </w:rPr>
      </w:pPr>
      <w:r w:rsidRPr="00F02F9D">
        <w:rPr>
          <w:rFonts w:ascii="Arial" w:eastAsia="Arial" w:hAnsi="Arial"/>
          <w:b/>
          <w:sz w:val="22"/>
          <w:szCs w:val="22"/>
        </w:rPr>
        <w:t>Políticas Contables</w:t>
      </w:r>
    </w:p>
    <w:p w14:paraId="72D1A1AF" w14:textId="77777777" w:rsidR="00224397" w:rsidRDefault="00224397" w:rsidP="009E606D">
      <w:pPr>
        <w:spacing w:line="0" w:lineRule="atLeast"/>
        <w:rPr>
          <w:rFonts w:ascii="Arial" w:eastAsia="Arial" w:hAnsi="Arial"/>
          <w:b/>
          <w:sz w:val="22"/>
          <w:szCs w:val="22"/>
          <w:lang w:val="es-CR"/>
        </w:rPr>
      </w:pPr>
    </w:p>
    <w:p w14:paraId="0E461107" w14:textId="076CAED1" w:rsidR="00B82A49" w:rsidRDefault="00E66302">
      <w:pPr>
        <w:pStyle w:val="Prrafodelista"/>
        <w:numPr>
          <w:ilvl w:val="3"/>
          <w:numId w:val="9"/>
        </w:numPr>
        <w:ind w:left="1134" w:right="261" w:hanging="1134"/>
        <w:contextualSpacing w:val="0"/>
        <w:jc w:val="both"/>
        <w:rPr>
          <w:rFonts w:ascii="Arial" w:eastAsia="Arial" w:hAnsi="Arial"/>
          <w:bCs/>
          <w:sz w:val="22"/>
          <w:szCs w:val="22"/>
          <w:lang w:val="es-CR"/>
        </w:rPr>
      </w:pPr>
      <w:r w:rsidRPr="00F02F9D">
        <w:rPr>
          <w:rFonts w:ascii="Arial" w:eastAsia="Arial" w:hAnsi="Arial"/>
          <w:bCs/>
          <w:sz w:val="22"/>
          <w:szCs w:val="22"/>
          <w:lang w:val="es-CR"/>
        </w:rPr>
        <w:t>El efectivo</w:t>
      </w:r>
      <w:r w:rsidR="008A4688" w:rsidRPr="00F02F9D">
        <w:rPr>
          <w:rFonts w:ascii="Arial" w:eastAsia="Arial" w:hAnsi="Arial"/>
          <w:bCs/>
          <w:sz w:val="22"/>
          <w:szCs w:val="22"/>
          <w:lang w:val="es-CR"/>
        </w:rPr>
        <w:t xml:space="preserve"> </w:t>
      </w:r>
      <w:r w:rsidR="00C16193" w:rsidRPr="00F02F9D">
        <w:rPr>
          <w:rFonts w:ascii="Arial" w:eastAsia="Arial" w:hAnsi="Arial"/>
          <w:bCs/>
          <w:sz w:val="22"/>
          <w:szCs w:val="22"/>
          <w:lang w:val="es-CR"/>
        </w:rPr>
        <w:t>e</w:t>
      </w:r>
      <w:r w:rsidR="008A4688" w:rsidRPr="00F02F9D">
        <w:rPr>
          <w:rFonts w:ascii="Arial" w:eastAsia="Arial" w:hAnsi="Arial"/>
          <w:bCs/>
          <w:sz w:val="22"/>
          <w:szCs w:val="22"/>
          <w:lang w:val="es-CR"/>
        </w:rPr>
        <w:t xml:space="preserve">n moneda extranjera se </w:t>
      </w:r>
      <w:r w:rsidRPr="00F02F9D">
        <w:rPr>
          <w:rFonts w:ascii="Arial" w:eastAsia="Arial" w:hAnsi="Arial"/>
          <w:bCs/>
          <w:sz w:val="22"/>
          <w:szCs w:val="22"/>
          <w:lang w:val="es-CR"/>
        </w:rPr>
        <w:t>reconocerá</w:t>
      </w:r>
      <w:r w:rsidR="00C16193" w:rsidRPr="00F02F9D">
        <w:rPr>
          <w:rFonts w:ascii="Arial" w:eastAsia="Arial" w:hAnsi="Arial"/>
          <w:bCs/>
          <w:sz w:val="22"/>
          <w:szCs w:val="22"/>
          <w:lang w:val="es-CR"/>
        </w:rPr>
        <w:t xml:space="preserve"> inicial</w:t>
      </w:r>
      <w:r w:rsidRPr="00F02F9D">
        <w:rPr>
          <w:rFonts w:ascii="Arial" w:eastAsia="Arial" w:hAnsi="Arial"/>
          <w:bCs/>
          <w:sz w:val="22"/>
          <w:szCs w:val="22"/>
          <w:lang w:val="es-CR"/>
        </w:rPr>
        <w:t>mente</w:t>
      </w:r>
      <w:r w:rsidR="008A4688" w:rsidRPr="00F02F9D">
        <w:rPr>
          <w:rFonts w:ascii="Arial" w:eastAsia="Arial" w:hAnsi="Arial"/>
          <w:bCs/>
          <w:sz w:val="22"/>
          <w:szCs w:val="22"/>
          <w:lang w:val="es-CR"/>
        </w:rPr>
        <w:t xml:space="preserve"> a la moneda funcional utilizando </w:t>
      </w:r>
      <w:r w:rsidR="00C16193" w:rsidRPr="00F02F9D">
        <w:rPr>
          <w:rFonts w:ascii="Arial" w:eastAsia="Arial" w:hAnsi="Arial"/>
          <w:bCs/>
          <w:sz w:val="22"/>
          <w:szCs w:val="22"/>
          <w:lang w:val="es-CR"/>
        </w:rPr>
        <w:t>el</w:t>
      </w:r>
      <w:r w:rsidR="008A4688" w:rsidRPr="00F02F9D">
        <w:rPr>
          <w:rFonts w:ascii="Arial" w:eastAsia="Arial" w:hAnsi="Arial"/>
          <w:bCs/>
          <w:sz w:val="22"/>
          <w:szCs w:val="22"/>
          <w:lang w:val="es-CR"/>
        </w:rPr>
        <w:t xml:space="preserve"> t</w:t>
      </w:r>
      <w:r w:rsidR="00C16193" w:rsidRPr="00F02F9D">
        <w:rPr>
          <w:rFonts w:ascii="Arial" w:eastAsia="Arial" w:hAnsi="Arial"/>
          <w:bCs/>
          <w:sz w:val="22"/>
          <w:szCs w:val="22"/>
          <w:lang w:val="es-CR"/>
        </w:rPr>
        <w:t>ipo</w:t>
      </w:r>
      <w:r w:rsidR="008A4688" w:rsidRPr="00F02F9D">
        <w:rPr>
          <w:rFonts w:ascii="Arial" w:eastAsia="Arial" w:hAnsi="Arial"/>
          <w:bCs/>
          <w:sz w:val="22"/>
          <w:szCs w:val="22"/>
          <w:lang w:val="es-CR"/>
        </w:rPr>
        <w:t xml:space="preserve"> de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008A4688" w:rsidRPr="00F02F9D">
        <w:rPr>
          <w:rFonts w:ascii="Arial" w:eastAsia="Arial" w:hAnsi="Arial"/>
          <w:bCs/>
          <w:sz w:val="22"/>
          <w:szCs w:val="22"/>
          <w:lang w:val="es-CR"/>
        </w:rPr>
        <w:t xml:space="preserve"> </w:t>
      </w:r>
      <w:r w:rsidR="00C16193" w:rsidRPr="00F02F9D">
        <w:rPr>
          <w:rFonts w:ascii="Arial" w:eastAsia="Arial" w:hAnsi="Arial"/>
          <w:bCs/>
          <w:sz w:val="22"/>
          <w:szCs w:val="22"/>
          <w:lang w:val="es-CR"/>
        </w:rPr>
        <w:t xml:space="preserve">del Sector Publico no Bancario </w:t>
      </w:r>
      <w:r w:rsidR="008A4688" w:rsidRPr="00F02F9D">
        <w:rPr>
          <w:rFonts w:ascii="Arial" w:eastAsia="Arial" w:hAnsi="Arial"/>
          <w:bCs/>
          <w:sz w:val="22"/>
          <w:szCs w:val="22"/>
          <w:lang w:val="es-CR"/>
        </w:rPr>
        <w:t xml:space="preserve">de la fecha de </w:t>
      </w:r>
      <w:r w:rsidR="00C16193" w:rsidRPr="00F02F9D">
        <w:rPr>
          <w:rFonts w:ascii="Arial" w:eastAsia="Arial" w:hAnsi="Arial"/>
          <w:bCs/>
          <w:sz w:val="22"/>
          <w:szCs w:val="22"/>
          <w:lang w:val="es-CR"/>
        </w:rPr>
        <w:t>la transacción</w:t>
      </w:r>
      <w:r w:rsidR="008A4688" w:rsidRPr="00F02F9D">
        <w:rPr>
          <w:rFonts w:ascii="Arial" w:eastAsia="Arial" w:hAnsi="Arial"/>
          <w:bCs/>
          <w:sz w:val="22"/>
          <w:szCs w:val="22"/>
          <w:lang w:val="es-CR"/>
        </w:rPr>
        <w:t>.</w:t>
      </w:r>
      <w:r w:rsidR="00C16193" w:rsidRPr="00F02F9D">
        <w:rPr>
          <w:rFonts w:ascii="Arial" w:eastAsia="Arial" w:hAnsi="Arial"/>
          <w:bCs/>
          <w:sz w:val="22"/>
          <w:szCs w:val="22"/>
          <w:lang w:val="es-CR"/>
        </w:rPr>
        <w:t xml:space="preserve"> </w:t>
      </w:r>
      <w:r w:rsidRPr="00F02F9D">
        <w:rPr>
          <w:rFonts w:ascii="Arial" w:eastAsia="Arial" w:hAnsi="Arial"/>
          <w:bCs/>
          <w:sz w:val="22"/>
          <w:szCs w:val="22"/>
          <w:lang w:val="es-CR"/>
        </w:rPr>
        <w:t>Según corresponda e</w:t>
      </w:r>
      <w:r w:rsidR="00C16193" w:rsidRPr="00F02F9D">
        <w:rPr>
          <w:rFonts w:ascii="Arial" w:eastAsia="Arial" w:hAnsi="Arial"/>
          <w:bCs/>
          <w:sz w:val="22"/>
          <w:szCs w:val="22"/>
          <w:lang w:val="es-CR"/>
        </w:rPr>
        <w:t xml:space="preserve">l tipo de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00C16193" w:rsidRPr="00F02F9D">
        <w:rPr>
          <w:rFonts w:ascii="Arial" w:eastAsia="Arial" w:hAnsi="Arial"/>
          <w:bCs/>
          <w:sz w:val="22"/>
          <w:szCs w:val="22"/>
          <w:lang w:val="es-CR"/>
        </w:rPr>
        <w:t xml:space="preserve"> de compra es el utilizado para la conversión de los saldos de activos y el de venta para la conversión de los saldos de los pasivos en moneda extranjera.</w:t>
      </w:r>
    </w:p>
    <w:p w14:paraId="56B11677" w14:textId="77777777" w:rsidR="00DB0524" w:rsidRPr="00F02F9D" w:rsidRDefault="00DB0524" w:rsidP="00DB0524">
      <w:pPr>
        <w:pStyle w:val="Prrafodelista"/>
        <w:ind w:left="1134" w:right="261"/>
        <w:contextualSpacing w:val="0"/>
        <w:jc w:val="both"/>
        <w:rPr>
          <w:rFonts w:ascii="Arial" w:eastAsia="Arial" w:hAnsi="Arial"/>
          <w:bCs/>
          <w:sz w:val="22"/>
          <w:szCs w:val="22"/>
          <w:lang w:val="es-CR"/>
        </w:rPr>
      </w:pPr>
    </w:p>
    <w:p w14:paraId="20499762" w14:textId="73DF6590" w:rsidR="00B82A49" w:rsidRDefault="008A4688">
      <w:pPr>
        <w:pStyle w:val="Prrafodelista"/>
        <w:numPr>
          <w:ilvl w:val="3"/>
          <w:numId w:val="9"/>
        </w:numPr>
        <w:ind w:left="1134" w:right="261" w:hanging="113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Al cierre de cada </w:t>
      </w:r>
      <w:r w:rsidR="00B82A49" w:rsidRPr="00F02F9D">
        <w:rPr>
          <w:rFonts w:ascii="Arial" w:eastAsia="Arial" w:hAnsi="Arial"/>
          <w:bCs/>
          <w:sz w:val="22"/>
          <w:szCs w:val="22"/>
          <w:lang w:val="es-CR"/>
        </w:rPr>
        <w:t xml:space="preserve">(periodo) </w:t>
      </w:r>
      <w:r w:rsidRPr="00F02F9D">
        <w:rPr>
          <w:rFonts w:ascii="Arial" w:eastAsia="Arial" w:hAnsi="Arial"/>
          <w:bCs/>
          <w:sz w:val="22"/>
          <w:szCs w:val="22"/>
          <w:lang w:val="es-CR"/>
        </w:rPr>
        <w:t>mes</w:t>
      </w:r>
      <w:r w:rsidR="00B82A49" w:rsidRPr="00F02F9D">
        <w:rPr>
          <w:rFonts w:ascii="Arial" w:eastAsia="Arial" w:hAnsi="Arial"/>
          <w:bCs/>
          <w:sz w:val="22"/>
          <w:szCs w:val="22"/>
          <w:lang w:val="es-CR"/>
        </w:rPr>
        <w:t>,</w:t>
      </w:r>
      <w:r w:rsidRPr="00F02F9D">
        <w:rPr>
          <w:rFonts w:ascii="Arial" w:eastAsia="Arial" w:hAnsi="Arial"/>
          <w:bCs/>
          <w:sz w:val="22"/>
          <w:szCs w:val="22"/>
          <w:lang w:val="es-CR"/>
        </w:rPr>
        <w:t xml:space="preserve"> se utiliza el tipo de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Pr="00F02F9D">
        <w:rPr>
          <w:rFonts w:ascii="Arial" w:eastAsia="Arial" w:hAnsi="Arial"/>
          <w:bCs/>
          <w:sz w:val="22"/>
          <w:szCs w:val="22"/>
          <w:lang w:val="es-CR"/>
        </w:rPr>
        <w:t xml:space="preserve"> del Sector Publico no Bancario para la conversión de la moneda extranjera a moneda funcional</w:t>
      </w:r>
      <w:r w:rsidR="00B82A49" w:rsidRPr="00F02F9D">
        <w:rPr>
          <w:rFonts w:ascii="Arial" w:eastAsia="Arial" w:hAnsi="Arial"/>
          <w:bCs/>
          <w:sz w:val="22"/>
          <w:szCs w:val="22"/>
          <w:lang w:val="es-CR"/>
        </w:rPr>
        <w:t xml:space="preserve"> a la fecha cierre</w:t>
      </w:r>
      <w:r w:rsidRPr="00F02F9D">
        <w:rPr>
          <w:rFonts w:ascii="Arial" w:eastAsia="Arial" w:hAnsi="Arial"/>
          <w:bCs/>
          <w:sz w:val="22"/>
          <w:szCs w:val="22"/>
          <w:lang w:val="es-CR"/>
        </w:rPr>
        <w:t xml:space="preserve">. El tipo de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Pr="00F02F9D">
        <w:rPr>
          <w:rFonts w:ascii="Arial" w:eastAsia="Arial" w:hAnsi="Arial"/>
          <w:bCs/>
          <w:sz w:val="22"/>
          <w:szCs w:val="22"/>
          <w:lang w:val="es-CR"/>
        </w:rPr>
        <w:t xml:space="preserve"> de compra es el utilizado para la conversión de los saldos </w:t>
      </w:r>
      <w:r w:rsidRPr="00F02F9D">
        <w:rPr>
          <w:rFonts w:ascii="Arial" w:eastAsia="Arial" w:hAnsi="Arial"/>
          <w:bCs/>
          <w:sz w:val="22"/>
          <w:szCs w:val="22"/>
          <w:lang w:val="es-CR"/>
        </w:rPr>
        <w:lastRenderedPageBreak/>
        <w:t>de activos y el de venta para la conversión de los saldos de los pasivos en moneda extranjera</w:t>
      </w:r>
      <w:r w:rsidR="00C10CDF" w:rsidRPr="00F02F9D">
        <w:rPr>
          <w:rFonts w:ascii="Arial" w:eastAsia="Arial" w:hAnsi="Arial"/>
          <w:bCs/>
          <w:sz w:val="22"/>
          <w:szCs w:val="22"/>
          <w:lang w:val="es-CR"/>
        </w:rPr>
        <w:t>.</w:t>
      </w:r>
    </w:p>
    <w:p w14:paraId="3BA27B46" w14:textId="77777777" w:rsidR="00DB0524" w:rsidRPr="00DB0524" w:rsidRDefault="00DB0524" w:rsidP="00DB0524">
      <w:pPr>
        <w:ind w:right="261"/>
        <w:jc w:val="both"/>
        <w:rPr>
          <w:rFonts w:ascii="Arial" w:eastAsia="Arial" w:hAnsi="Arial"/>
          <w:bCs/>
          <w:sz w:val="22"/>
          <w:szCs w:val="22"/>
          <w:lang w:val="es-CR"/>
        </w:rPr>
      </w:pPr>
    </w:p>
    <w:p w14:paraId="56D0E957" w14:textId="55FB619D" w:rsidR="00C10CDF" w:rsidRDefault="00C10CDF">
      <w:pPr>
        <w:pStyle w:val="Prrafodelista"/>
        <w:numPr>
          <w:ilvl w:val="3"/>
          <w:numId w:val="9"/>
        </w:numPr>
        <w:spacing w:after="120"/>
        <w:ind w:left="1134" w:right="261" w:hanging="113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Las Diferencias de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Pr="00F02F9D">
        <w:rPr>
          <w:rFonts w:ascii="Arial" w:eastAsia="Arial" w:hAnsi="Arial"/>
          <w:bCs/>
          <w:sz w:val="22"/>
          <w:szCs w:val="22"/>
          <w:lang w:val="es-CR"/>
        </w:rPr>
        <w:t xml:space="preserve"> originadas en</w:t>
      </w:r>
      <w:r w:rsidR="002B1B5D" w:rsidRPr="00F02F9D">
        <w:rPr>
          <w:rFonts w:ascii="Arial" w:eastAsia="Arial" w:hAnsi="Arial"/>
          <w:bCs/>
          <w:sz w:val="22"/>
          <w:szCs w:val="22"/>
          <w:lang w:val="es-CR"/>
        </w:rPr>
        <w:t xml:space="preserve"> la conversión de</w:t>
      </w:r>
      <w:r w:rsidRPr="00F02F9D">
        <w:rPr>
          <w:rFonts w:ascii="Arial" w:eastAsia="Arial" w:hAnsi="Arial"/>
          <w:bCs/>
          <w:sz w:val="22"/>
          <w:szCs w:val="22"/>
          <w:lang w:val="es-CR"/>
        </w:rPr>
        <w:t xml:space="preserve"> Transacciones en </w:t>
      </w:r>
      <w:r w:rsidR="00E06868">
        <w:rPr>
          <w:rFonts w:ascii="Arial" w:eastAsia="Arial" w:hAnsi="Arial"/>
          <w:bCs/>
          <w:sz w:val="22"/>
          <w:szCs w:val="22"/>
          <w:lang w:val="es-CR"/>
        </w:rPr>
        <w:t>M</w:t>
      </w:r>
      <w:r w:rsidRPr="00F02F9D">
        <w:rPr>
          <w:rFonts w:ascii="Arial" w:eastAsia="Arial" w:hAnsi="Arial"/>
          <w:bCs/>
          <w:sz w:val="22"/>
          <w:szCs w:val="22"/>
          <w:lang w:val="es-CR"/>
        </w:rPr>
        <w:t xml:space="preserve">oneda </w:t>
      </w:r>
      <w:r w:rsidR="00E06868">
        <w:rPr>
          <w:rFonts w:ascii="Arial" w:eastAsia="Arial" w:hAnsi="Arial"/>
          <w:bCs/>
          <w:sz w:val="22"/>
          <w:szCs w:val="22"/>
          <w:lang w:val="es-CR"/>
        </w:rPr>
        <w:t>E</w:t>
      </w:r>
      <w:r w:rsidRPr="00F02F9D">
        <w:rPr>
          <w:rFonts w:ascii="Arial" w:eastAsia="Arial" w:hAnsi="Arial"/>
          <w:bCs/>
          <w:sz w:val="22"/>
          <w:szCs w:val="22"/>
          <w:lang w:val="es-CR"/>
        </w:rPr>
        <w:t>xtranjera</w:t>
      </w:r>
      <w:r w:rsidR="002B1B5D" w:rsidRPr="00F02F9D">
        <w:rPr>
          <w:rFonts w:ascii="Arial" w:eastAsia="Arial" w:hAnsi="Arial"/>
          <w:bCs/>
          <w:sz w:val="22"/>
          <w:szCs w:val="22"/>
          <w:lang w:val="es-CR"/>
        </w:rPr>
        <w:t xml:space="preserve"> a Moneda Funcional,</w:t>
      </w:r>
      <w:r w:rsidRPr="00F02F9D">
        <w:rPr>
          <w:rFonts w:ascii="Arial" w:eastAsia="Arial" w:hAnsi="Arial"/>
          <w:bCs/>
          <w:sz w:val="22"/>
          <w:szCs w:val="22"/>
          <w:lang w:val="es-CR"/>
        </w:rPr>
        <w:t xml:space="preserve"> serán reconocidas </w:t>
      </w:r>
      <w:r w:rsidR="00C16193" w:rsidRPr="00F02F9D">
        <w:rPr>
          <w:rFonts w:ascii="Arial" w:eastAsia="Arial" w:hAnsi="Arial"/>
          <w:bCs/>
          <w:sz w:val="22"/>
          <w:szCs w:val="22"/>
          <w:lang w:val="es-CR"/>
        </w:rPr>
        <w:t>en cuentas</w:t>
      </w:r>
      <w:r w:rsidR="00B82A49" w:rsidRPr="00F02F9D">
        <w:rPr>
          <w:rFonts w:ascii="Arial" w:eastAsia="Arial" w:hAnsi="Arial"/>
          <w:bCs/>
          <w:sz w:val="22"/>
          <w:szCs w:val="22"/>
          <w:lang w:val="es-CR"/>
        </w:rPr>
        <w:t xml:space="preserve"> de resultados </w:t>
      </w:r>
      <w:r w:rsidR="00C16193" w:rsidRPr="00F02F9D">
        <w:rPr>
          <w:rFonts w:ascii="Arial" w:eastAsia="Arial" w:hAnsi="Arial"/>
          <w:bCs/>
          <w:sz w:val="22"/>
          <w:szCs w:val="22"/>
          <w:lang w:val="es-CR"/>
        </w:rPr>
        <w:t>separadas</w:t>
      </w:r>
      <w:r w:rsidR="00E06868">
        <w:rPr>
          <w:rFonts w:ascii="Arial" w:eastAsia="Arial" w:hAnsi="Arial"/>
          <w:bCs/>
          <w:sz w:val="22"/>
          <w:szCs w:val="22"/>
          <w:lang w:val="es-CR"/>
        </w:rPr>
        <w:t>,</w:t>
      </w:r>
      <w:r w:rsidR="00C16193" w:rsidRPr="00F02F9D">
        <w:rPr>
          <w:rFonts w:ascii="Arial" w:eastAsia="Arial" w:hAnsi="Arial"/>
          <w:bCs/>
          <w:sz w:val="22"/>
          <w:szCs w:val="22"/>
          <w:lang w:val="es-CR"/>
        </w:rPr>
        <w:t xml:space="preserve"> según su origen</w:t>
      </w:r>
      <w:r w:rsidR="00B82A49" w:rsidRPr="00F02F9D">
        <w:rPr>
          <w:rFonts w:ascii="Arial" w:eastAsia="Arial" w:hAnsi="Arial"/>
          <w:bCs/>
          <w:sz w:val="22"/>
          <w:szCs w:val="22"/>
          <w:lang w:val="es-CR"/>
        </w:rPr>
        <w:t xml:space="preserve"> como ingreso o como gasto</w:t>
      </w:r>
      <w:r w:rsidRPr="00F02F9D">
        <w:rPr>
          <w:rFonts w:ascii="Arial" w:eastAsia="Arial" w:hAnsi="Arial"/>
          <w:bCs/>
          <w:sz w:val="22"/>
          <w:szCs w:val="22"/>
          <w:lang w:val="es-CR"/>
        </w:rPr>
        <w:t>.</w:t>
      </w:r>
    </w:p>
    <w:p w14:paraId="0AAACBBC" w14:textId="77777777" w:rsidR="009B0643" w:rsidRPr="009B0643" w:rsidRDefault="009B0643" w:rsidP="009B0643">
      <w:pPr>
        <w:pStyle w:val="Prrafodelista"/>
        <w:rPr>
          <w:rFonts w:ascii="Arial" w:eastAsia="Arial" w:hAnsi="Arial"/>
          <w:bCs/>
          <w:sz w:val="22"/>
          <w:szCs w:val="22"/>
          <w:lang w:val="es-CR"/>
        </w:rPr>
      </w:pPr>
    </w:p>
    <w:p w14:paraId="1F498242" w14:textId="75FE125E" w:rsidR="00751334" w:rsidRPr="00BD7E4A" w:rsidRDefault="00751334" w:rsidP="00BD7E4A">
      <w:pPr>
        <w:pStyle w:val="Ttulo2"/>
        <w:ind w:left="284"/>
        <w:rPr>
          <w:rFonts w:ascii="Arial" w:eastAsia="Arial" w:hAnsi="Arial" w:cs="Arial"/>
          <w:b/>
          <w:bCs/>
          <w:sz w:val="20"/>
          <w:szCs w:val="20"/>
          <w:lang w:val="es-CR"/>
        </w:rPr>
      </w:pPr>
      <w:bookmarkStart w:id="23" w:name="_Toc172726199"/>
      <w:r w:rsidRPr="00BD7E4A">
        <w:rPr>
          <w:rFonts w:ascii="Arial" w:eastAsia="Arial" w:hAnsi="Arial" w:cs="Arial"/>
          <w:b/>
          <w:bCs/>
          <w:sz w:val="20"/>
          <w:szCs w:val="20"/>
          <w:lang w:val="es-CR"/>
        </w:rPr>
        <w:t>Información a Revelar</w:t>
      </w:r>
      <w:r w:rsidR="00815B63" w:rsidRPr="00BD7E4A">
        <w:rPr>
          <w:rFonts w:ascii="Arial" w:eastAsia="Arial" w:hAnsi="Arial" w:cs="Arial"/>
          <w:b/>
          <w:bCs/>
          <w:sz w:val="20"/>
          <w:szCs w:val="20"/>
          <w:lang w:val="es-CR"/>
        </w:rPr>
        <w:t xml:space="preserve"> sobre Activos Financieros Monetarios</w:t>
      </w:r>
      <w:r w:rsidRPr="00BD7E4A">
        <w:rPr>
          <w:rFonts w:ascii="Arial" w:eastAsia="Arial" w:hAnsi="Arial" w:cs="Arial"/>
          <w:b/>
          <w:bCs/>
          <w:sz w:val="20"/>
          <w:szCs w:val="20"/>
          <w:lang w:val="es-CR"/>
        </w:rPr>
        <w:t>:</w:t>
      </w:r>
      <w:bookmarkEnd w:id="23"/>
    </w:p>
    <w:p w14:paraId="7528BE26" w14:textId="77777777" w:rsidR="009E606D" w:rsidRDefault="009E606D" w:rsidP="0035187F">
      <w:pPr>
        <w:spacing w:line="0" w:lineRule="atLeast"/>
        <w:rPr>
          <w:rFonts w:ascii="Arial" w:eastAsia="Arial" w:hAnsi="Arial"/>
          <w:b/>
          <w:sz w:val="22"/>
          <w:szCs w:val="22"/>
          <w:lang w:val="es-CR"/>
        </w:rPr>
      </w:pPr>
    </w:p>
    <w:p w14:paraId="21F75701" w14:textId="605FBF6B" w:rsidR="009E606D" w:rsidRDefault="009E606D" w:rsidP="009E606D">
      <w:pPr>
        <w:numPr>
          <w:ilvl w:val="0"/>
          <w:numId w:val="1"/>
        </w:numPr>
        <w:tabs>
          <w:tab w:val="clear" w:pos="360"/>
        </w:tabs>
        <w:spacing w:line="237" w:lineRule="auto"/>
        <w:ind w:right="260"/>
        <w:jc w:val="both"/>
        <w:rPr>
          <w:rFonts w:ascii="Arial" w:eastAsia="Arial" w:hAnsi="Arial"/>
          <w:bCs/>
          <w:sz w:val="22"/>
          <w:szCs w:val="22"/>
          <w:lang w:val="es-CR"/>
        </w:rPr>
      </w:pPr>
      <w:r w:rsidRPr="00F02F9D">
        <w:rPr>
          <w:rFonts w:ascii="Arial" w:eastAsia="Arial" w:hAnsi="Arial"/>
          <w:bCs/>
          <w:sz w:val="22"/>
          <w:szCs w:val="22"/>
          <w:lang w:val="es-CR"/>
        </w:rPr>
        <w:t>Deberá suministrarse información en los EEFF o en el Estado de Notas, que permita a los usuarios de los EEF</w:t>
      </w:r>
      <w:r>
        <w:rPr>
          <w:rFonts w:ascii="Arial" w:eastAsia="Arial" w:hAnsi="Arial"/>
          <w:bCs/>
          <w:sz w:val="22"/>
          <w:szCs w:val="22"/>
          <w:lang w:val="es-CR"/>
        </w:rPr>
        <w:t xml:space="preserve"> para</w:t>
      </w:r>
      <w:r w:rsidRPr="00F02F9D">
        <w:rPr>
          <w:rFonts w:ascii="Arial" w:eastAsia="Arial" w:hAnsi="Arial"/>
          <w:bCs/>
          <w:sz w:val="22"/>
          <w:szCs w:val="22"/>
          <w:lang w:val="es-CR"/>
        </w:rPr>
        <w:t xml:space="preserve"> evaluar la relevancia de los Activos </w:t>
      </w:r>
      <w:r>
        <w:rPr>
          <w:rFonts w:ascii="Arial" w:eastAsia="Arial" w:hAnsi="Arial"/>
          <w:bCs/>
          <w:sz w:val="22"/>
          <w:szCs w:val="22"/>
          <w:lang w:val="es-CR"/>
        </w:rPr>
        <w:t>F</w:t>
      </w:r>
      <w:r w:rsidRPr="00F02F9D">
        <w:rPr>
          <w:rFonts w:ascii="Arial" w:eastAsia="Arial" w:hAnsi="Arial"/>
          <w:bCs/>
          <w:sz w:val="22"/>
          <w:szCs w:val="22"/>
          <w:lang w:val="es-CR"/>
        </w:rPr>
        <w:t xml:space="preserve">inancieros Monetarios en la situación financiera de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y en su rendimiento.</w:t>
      </w:r>
    </w:p>
    <w:p w14:paraId="0955FA36" w14:textId="77777777" w:rsidR="00D555D7" w:rsidRPr="00F02F9D" w:rsidRDefault="00D555D7" w:rsidP="00D555D7">
      <w:pPr>
        <w:spacing w:line="237" w:lineRule="auto"/>
        <w:ind w:right="260"/>
        <w:jc w:val="both"/>
        <w:rPr>
          <w:rFonts w:ascii="Arial" w:eastAsia="Arial" w:hAnsi="Arial"/>
          <w:bCs/>
          <w:sz w:val="22"/>
          <w:szCs w:val="22"/>
          <w:lang w:val="es-CR"/>
        </w:rPr>
      </w:pPr>
    </w:p>
    <w:p w14:paraId="6216D0A0" w14:textId="77777777" w:rsidR="00751334" w:rsidRPr="00F02F9D" w:rsidRDefault="00751334" w:rsidP="00751334">
      <w:pPr>
        <w:spacing w:line="0" w:lineRule="atLeast"/>
        <w:ind w:left="380"/>
        <w:rPr>
          <w:rFonts w:ascii="Arial" w:eastAsia="Arial" w:hAnsi="Arial"/>
          <w:b/>
          <w:sz w:val="22"/>
          <w:szCs w:val="22"/>
          <w:lang w:val="es-CR"/>
        </w:rPr>
      </w:pPr>
    </w:p>
    <w:tbl>
      <w:tblPr>
        <w:tblW w:w="8932" w:type="dxa"/>
        <w:tblInd w:w="118" w:type="dxa"/>
        <w:tblLook w:val="04A0" w:firstRow="1" w:lastRow="0" w:firstColumn="1" w:lastColumn="0" w:noHBand="0" w:noVBand="1"/>
      </w:tblPr>
      <w:tblGrid>
        <w:gridCol w:w="439"/>
        <w:gridCol w:w="709"/>
        <w:gridCol w:w="373"/>
        <w:gridCol w:w="14"/>
        <w:gridCol w:w="3219"/>
        <w:gridCol w:w="14"/>
        <w:gridCol w:w="2278"/>
        <w:gridCol w:w="14"/>
        <w:gridCol w:w="1858"/>
        <w:gridCol w:w="14"/>
      </w:tblGrid>
      <w:tr w:rsidR="00751334" w:rsidRPr="00BD7E4A" w14:paraId="62D1B96A" w14:textId="77777777" w:rsidTr="0091631A">
        <w:trPr>
          <w:trHeight w:val="320"/>
        </w:trPr>
        <w:tc>
          <w:tcPr>
            <w:tcW w:w="1535" w:type="dxa"/>
            <w:gridSpan w:val="4"/>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204E823D" w14:textId="77777777" w:rsidR="00751334" w:rsidRPr="00BD7E4A" w:rsidRDefault="00751334" w:rsidP="009E606D">
            <w:pPr>
              <w:ind w:left="-98"/>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3233" w:type="dxa"/>
            <w:gridSpan w:val="2"/>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EE71827" w14:textId="77777777" w:rsidR="00751334" w:rsidRPr="00BD7E4A" w:rsidRDefault="00751334"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4164" w:type="dxa"/>
            <w:gridSpan w:val="4"/>
            <w:tcBorders>
              <w:top w:val="single" w:sz="8" w:space="0" w:color="auto"/>
              <w:left w:val="nil"/>
              <w:bottom w:val="single" w:sz="8" w:space="0" w:color="auto"/>
              <w:right w:val="single" w:sz="8" w:space="0" w:color="000000"/>
            </w:tcBorders>
            <w:shd w:val="clear" w:color="000000" w:fill="203764"/>
            <w:vAlign w:val="center"/>
            <w:hideMark/>
          </w:tcPr>
          <w:p w14:paraId="029680A4" w14:textId="77777777" w:rsidR="00751334" w:rsidRPr="00BD7E4A" w:rsidRDefault="00751334"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751334" w:rsidRPr="0091631A" w14:paraId="3D14223E" w14:textId="77777777" w:rsidTr="0091631A">
        <w:trPr>
          <w:trHeight w:val="320"/>
        </w:trPr>
        <w:tc>
          <w:tcPr>
            <w:tcW w:w="1535" w:type="dxa"/>
            <w:gridSpan w:val="4"/>
            <w:vMerge/>
            <w:tcBorders>
              <w:top w:val="single" w:sz="8" w:space="0" w:color="auto"/>
              <w:left w:val="single" w:sz="8" w:space="0" w:color="auto"/>
              <w:bottom w:val="single" w:sz="8" w:space="0" w:color="000000"/>
              <w:right w:val="single" w:sz="8" w:space="0" w:color="000000"/>
            </w:tcBorders>
            <w:vAlign w:val="center"/>
            <w:hideMark/>
          </w:tcPr>
          <w:p w14:paraId="22C30D4D" w14:textId="77777777" w:rsidR="00751334" w:rsidRPr="00BD7E4A" w:rsidRDefault="00751334" w:rsidP="00005DEC">
            <w:pPr>
              <w:rPr>
                <w:rFonts w:ascii="Arial Narrow" w:eastAsia="Times New Roman" w:hAnsi="Arial Narrow"/>
                <w:b/>
                <w:bCs/>
                <w:color w:val="FFFFFF"/>
                <w:sz w:val="22"/>
                <w:szCs w:val="22"/>
              </w:rPr>
            </w:pPr>
          </w:p>
        </w:tc>
        <w:tc>
          <w:tcPr>
            <w:tcW w:w="3233" w:type="dxa"/>
            <w:gridSpan w:val="2"/>
            <w:vMerge/>
            <w:tcBorders>
              <w:top w:val="single" w:sz="8" w:space="0" w:color="auto"/>
              <w:left w:val="single" w:sz="8" w:space="0" w:color="auto"/>
              <w:bottom w:val="single" w:sz="8" w:space="0" w:color="000000"/>
              <w:right w:val="single" w:sz="8" w:space="0" w:color="auto"/>
            </w:tcBorders>
            <w:vAlign w:val="center"/>
            <w:hideMark/>
          </w:tcPr>
          <w:p w14:paraId="2FE1FBC5" w14:textId="77777777" w:rsidR="00751334" w:rsidRPr="00BD7E4A" w:rsidRDefault="00751334" w:rsidP="00005DEC">
            <w:pPr>
              <w:rPr>
                <w:rFonts w:ascii="Arial Narrow" w:eastAsia="Times New Roman" w:hAnsi="Arial Narrow"/>
                <w:b/>
                <w:bCs/>
                <w:color w:val="FFFFFF"/>
                <w:sz w:val="22"/>
                <w:szCs w:val="22"/>
              </w:rPr>
            </w:pPr>
          </w:p>
        </w:tc>
        <w:tc>
          <w:tcPr>
            <w:tcW w:w="2292" w:type="dxa"/>
            <w:gridSpan w:val="2"/>
            <w:tcBorders>
              <w:top w:val="nil"/>
              <w:left w:val="nil"/>
              <w:bottom w:val="single" w:sz="8" w:space="0" w:color="auto"/>
              <w:right w:val="single" w:sz="8" w:space="0" w:color="auto"/>
            </w:tcBorders>
            <w:shd w:val="clear" w:color="000000" w:fill="203764"/>
            <w:vAlign w:val="center"/>
            <w:hideMark/>
          </w:tcPr>
          <w:p w14:paraId="0B848245" w14:textId="77777777" w:rsidR="00751334" w:rsidRPr="00BD7E4A" w:rsidRDefault="00751334"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NICSP</w:t>
            </w:r>
          </w:p>
        </w:tc>
        <w:tc>
          <w:tcPr>
            <w:tcW w:w="1872" w:type="dxa"/>
            <w:gridSpan w:val="2"/>
            <w:tcBorders>
              <w:top w:val="nil"/>
              <w:left w:val="nil"/>
              <w:bottom w:val="single" w:sz="8" w:space="0" w:color="auto"/>
              <w:right w:val="single" w:sz="8" w:space="0" w:color="auto"/>
            </w:tcBorders>
            <w:shd w:val="clear" w:color="000000" w:fill="203764"/>
            <w:vAlign w:val="center"/>
            <w:hideMark/>
          </w:tcPr>
          <w:p w14:paraId="75865267" w14:textId="389CBA4B" w:rsidR="00751334" w:rsidRPr="0091631A" w:rsidRDefault="0091631A" w:rsidP="00005DE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51334" w:rsidRPr="006E5442" w14:paraId="52209CCA" w14:textId="77777777" w:rsidTr="0091631A">
        <w:trPr>
          <w:gridAfter w:val="1"/>
          <w:wAfter w:w="14" w:type="dxa"/>
          <w:trHeight w:val="320"/>
        </w:trPr>
        <w:tc>
          <w:tcPr>
            <w:tcW w:w="439" w:type="dxa"/>
            <w:tcBorders>
              <w:top w:val="nil"/>
              <w:left w:val="single" w:sz="8" w:space="0" w:color="auto"/>
              <w:bottom w:val="single" w:sz="8" w:space="0" w:color="auto"/>
              <w:right w:val="single" w:sz="8" w:space="0" w:color="auto"/>
            </w:tcBorders>
            <w:shd w:val="clear" w:color="auto" w:fill="auto"/>
            <w:vAlign w:val="center"/>
            <w:hideMark/>
          </w:tcPr>
          <w:p w14:paraId="487282DC" w14:textId="77777777" w:rsidR="00751334" w:rsidRPr="00BD7E4A" w:rsidRDefault="00751334" w:rsidP="00005DEC">
            <w:pPr>
              <w:rPr>
                <w:rFonts w:ascii="Arial Narrow" w:eastAsia="Times New Roman" w:hAnsi="Arial Narrow"/>
                <w:b/>
                <w:bCs/>
                <w:color w:val="000000"/>
                <w:sz w:val="22"/>
                <w:szCs w:val="22"/>
              </w:rPr>
            </w:pPr>
            <w:r w:rsidRPr="0091631A">
              <w:rPr>
                <w:rFonts w:ascii="Arial Narrow" w:eastAsia="Times New Roman" w:hAnsi="Arial Narrow"/>
                <w:b/>
                <w:bCs/>
                <w:color w:val="000000"/>
                <w:sz w:val="22"/>
                <w:szCs w:val="22"/>
                <w:lang w:val="es-CR"/>
              </w:rPr>
              <w:t> </w:t>
            </w:r>
            <w:r w:rsidRPr="00BD7E4A">
              <w:rPr>
                <w:rFonts w:ascii="Arial Narrow" w:eastAsia="Times New Roman" w:hAnsi="Arial Narrow"/>
                <w:b/>
                <w:bCs/>
                <w:color w:val="000000"/>
                <w:sz w:val="22"/>
                <w:szCs w:val="22"/>
              </w:rPr>
              <w:t>1.</w:t>
            </w:r>
          </w:p>
        </w:tc>
        <w:tc>
          <w:tcPr>
            <w:tcW w:w="709" w:type="dxa"/>
            <w:tcBorders>
              <w:top w:val="nil"/>
              <w:left w:val="nil"/>
              <w:bottom w:val="single" w:sz="8" w:space="0" w:color="auto"/>
              <w:right w:val="single" w:sz="8" w:space="0" w:color="auto"/>
            </w:tcBorders>
            <w:shd w:val="clear" w:color="auto" w:fill="auto"/>
            <w:vAlign w:val="center"/>
            <w:hideMark/>
          </w:tcPr>
          <w:p w14:paraId="6C12FFB2" w14:textId="61F327CC" w:rsidR="00751334" w:rsidRPr="00BD7E4A" w:rsidRDefault="00751334" w:rsidP="0091631A">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18.</w:t>
            </w:r>
          </w:p>
        </w:tc>
        <w:tc>
          <w:tcPr>
            <w:tcW w:w="373" w:type="dxa"/>
            <w:tcBorders>
              <w:top w:val="nil"/>
              <w:left w:val="nil"/>
              <w:bottom w:val="single" w:sz="8" w:space="0" w:color="auto"/>
              <w:right w:val="single" w:sz="8" w:space="0" w:color="auto"/>
            </w:tcBorders>
            <w:shd w:val="clear" w:color="auto" w:fill="auto"/>
            <w:vAlign w:val="center"/>
            <w:hideMark/>
          </w:tcPr>
          <w:p w14:paraId="2FE83E56" w14:textId="77777777" w:rsidR="00751334" w:rsidRPr="00BD7E4A" w:rsidRDefault="00751334"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c>
          <w:tcPr>
            <w:tcW w:w="3233" w:type="dxa"/>
            <w:gridSpan w:val="2"/>
            <w:tcBorders>
              <w:top w:val="nil"/>
              <w:left w:val="nil"/>
              <w:bottom w:val="single" w:sz="8" w:space="0" w:color="auto"/>
              <w:right w:val="single" w:sz="8" w:space="0" w:color="auto"/>
            </w:tcBorders>
            <w:shd w:val="clear" w:color="auto" w:fill="auto"/>
            <w:vAlign w:val="bottom"/>
            <w:hideMark/>
          </w:tcPr>
          <w:p w14:paraId="7BAC27A7" w14:textId="77777777" w:rsidR="00751334" w:rsidRPr="00BD7E4A" w:rsidRDefault="00751334" w:rsidP="00005DEC">
            <w:pPr>
              <w:spacing w:after="120"/>
              <w:rPr>
                <w:rFonts w:ascii="Arial Narrow" w:eastAsia="Arial" w:hAnsi="Arial Narrow"/>
                <w:b/>
                <w:sz w:val="22"/>
                <w:szCs w:val="22"/>
                <w:lang w:val="es-CR"/>
              </w:rPr>
            </w:pPr>
            <w:r w:rsidRPr="00BD7E4A">
              <w:rPr>
                <w:rFonts w:ascii="Arial Narrow" w:eastAsia="Arial" w:hAnsi="Arial Narrow"/>
                <w:b/>
                <w:sz w:val="22"/>
                <w:szCs w:val="22"/>
                <w:lang w:val="es-CR"/>
              </w:rPr>
              <w:t>Revelación General</w:t>
            </w:r>
          </w:p>
        </w:tc>
        <w:tc>
          <w:tcPr>
            <w:tcW w:w="2292" w:type="dxa"/>
            <w:gridSpan w:val="2"/>
            <w:tcBorders>
              <w:top w:val="nil"/>
              <w:left w:val="nil"/>
              <w:bottom w:val="single" w:sz="8" w:space="0" w:color="auto"/>
              <w:right w:val="single" w:sz="8" w:space="0" w:color="auto"/>
            </w:tcBorders>
            <w:shd w:val="clear" w:color="auto" w:fill="auto"/>
            <w:vAlign w:val="center"/>
          </w:tcPr>
          <w:p w14:paraId="167A3DA3" w14:textId="77777777" w:rsidR="00751334" w:rsidRPr="00BD7E4A" w:rsidRDefault="00751334" w:rsidP="00005DEC">
            <w:pPr>
              <w:rPr>
                <w:rFonts w:ascii="Arial Narrow" w:eastAsia="Arial" w:hAnsi="Arial Narrow"/>
                <w:b/>
                <w:sz w:val="22"/>
                <w:szCs w:val="22"/>
                <w:lang w:val="es-CR"/>
              </w:rPr>
            </w:pPr>
            <w:r w:rsidRPr="00BD7E4A">
              <w:rPr>
                <w:rFonts w:ascii="Arial Narrow" w:eastAsia="Arial" w:hAnsi="Arial Narrow"/>
                <w:b/>
                <w:sz w:val="22"/>
                <w:szCs w:val="22"/>
                <w:lang w:val="es-CR"/>
              </w:rPr>
              <w:t>NICSP N° 30,</w:t>
            </w:r>
          </w:p>
          <w:p w14:paraId="6A9B5561" w14:textId="77777777" w:rsidR="00751334" w:rsidRPr="00BD7E4A" w:rsidRDefault="00751334" w:rsidP="00005DEC">
            <w:pPr>
              <w:jc w:val="both"/>
              <w:rPr>
                <w:rFonts w:ascii="Arial Narrow" w:hAnsi="Arial Narrow"/>
                <w:b/>
                <w:bCs/>
                <w:color w:val="000000"/>
                <w:sz w:val="22"/>
                <w:szCs w:val="22"/>
                <w:lang w:val="es-CR"/>
              </w:rPr>
            </w:pPr>
            <w:r w:rsidRPr="00BD7E4A">
              <w:rPr>
                <w:rFonts w:ascii="Arial Narrow" w:hAnsi="Arial Narrow"/>
                <w:b/>
                <w:bCs/>
                <w:color w:val="000000"/>
                <w:sz w:val="22"/>
                <w:szCs w:val="22"/>
                <w:lang w:val="es-CR"/>
              </w:rPr>
              <w:t>Párrafos 10 a 12 y 14</w:t>
            </w:r>
          </w:p>
        </w:tc>
        <w:tc>
          <w:tcPr>
            <w:tcW w:w="1872" w:type="dxa"/>
            <w:gridSpan w:val="2"/>
            <w:tcBorders>
              <w:top w:val="nil"/>
              <w:left w:val="nil"/>
              <w:bottom w:val="single" w:sz="8" w:space="0" w:color="auto"/>
              <w:right w:val="single" w:sz="8" w:space="0" w:color="auto"/>
            </w:tcBorders>
            <w:shd w:val="clear" w:color="auto" w:fill="auto"/>
            <w:vAlign w:val="center"/>
            <w:hideMark/>
          </w:tcPr>
          <w:p w14:paraId="642748CC" w14:textId="77777777" w:rsidR="00751334" w:rsidRPr="00BD7E4A" w:rsidRDefault="00751334" w:rsidP="00005DEC">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 </w:t>
            </w:r>
          </w:p>
        </w:tc>
      </w:tr>
    </w:tbl>
    <w:p w14:paraId="482BD3B0" w14:textId="77777777" w:rsidR="00751334" w:rsidRDefault="00751334" w:rsidP="00FA2715">
      <w:pPr>
        <w:spacing w:line="0" w:lineRule="atLeast"/>
        <w:rPr>
          <w:rFonts w:ascii="Arial" w:eastAsia="Arial" w:hAnsi="Arial"/>
          <w:b/>
          <w:sz w:val="22"/>
          <w:szCs w:val="22"/>
          <w:lang w:val="es-CR"/>
        </w:rPr>
      </w:pPr>
    </w:p>
    <w:p w14:paraId="65CCC3F8" w14:textId="67BA90DE" w:rsidR="00FA2715" w:rsidRPr="0030399E" w:rsidRDefault="00FA2715" w:rsidP="00FA2715">
      <w:pPr>
        <w:spacing w:line="0" w:lineRule="atLeast"/>
        <w:rPr>
          <w:rFonts w:ascii="Arial" w:eastAsia="Arial" w:hAnsi="Arial"/>
          <w:b/>
          <w:sz w:val="22"/>
          <w:szCs w:val="22"/>
          <w:lang w:val="es-CR"/>
        </w:rPr>
      </w:pPr>
      <w:r w:rsidRPr="0030399E">
        <w:rPr>
          <w:rFonts w:ascii="Arial" w:eastAsia="Arial" w:hAnsi="Arial"/>
          <w:b/>
          <w:sz w:val="22"/>
          <w:szCs w:val="22"/>
          <w:lang w:val="es-CR"/>
        </w:rPr>
        <w:t>Política</w:t>
      </w:r>
      <w:r w:rsidR="00224397" w:rsidRPr="0030399E">
        <w:rPr>
          <w:rFonts w:ascii="Arial" w:eastAsia="Arial" w:hAnsi="Arial"/>
          <w:b/>
          <w:sz w:val="22"/>
          <w:szCs w:val="22"/>
          <w:lang w:val="es-CR"/>
        </w:rPr>
        <w:t xml:space="preserve"> </w:t>
      </w:r>
      <w:r w:rsidRPr="0030399E">
        <w:rPr>
          <w:rFonts w:ascii="Arial" w:eastAsia="Arial" w:hAnsi="Arial"/>
          <w:b/>
          <w:sz w:val="22"/>
          <w:szCs w:val="22"/>
          <w:lang w:val="es-CR"/>
        </w:rPr>
        <w:t>Contable</w:t>
      </w:r>
    </w:p>
    <w:p w14:paraId="5B2E8880" w14:textId="77777777" w:rsidR="00FA2715" w:rsidRPr="00F02F9D" w:rsidRDefault="00FA2715" w:rsidP="00FA2715">
      <w:pPr>
        <w:spacing w:line="0" w:lineRule="atLeast"/>
        <w:rPr>
          <w:rFonts w:ascii="Arial" w:eastAsia="Arial" w:hAnsi="Arial"/>
          <w:b/>
          <w:sz w:val="22"/>
          <w:szCs w:val="22"/>
          <w:lang w:val="es-CR"/>
        </w:rPr>
      </w:pPr>
    </w:p>
    <w:p w14:paraId="504D24D3" w14:textId="277561F8" w:rsidR="00B82A49" w:rsidRPr="00F02F9D" w:rsidRDefault="0035187F" w:rsidP="009B0643">
      <w:pPr>
        <w:spacing w:line="238" w:lineRule="auto"/>
        <w:ind w:left="1134" w:right="261" w:hanging="1134"/>
        <w:jc w:val="both"/>
        <w:rPr>
          <w:rFonts w:ascii="Arial" w:eastAsia="Arial" w:hAnsi="Arial"/>
          <w:bCs/>
          <w:sz w:val="22"/>
          <w:szCs w:val="22"/>
          <w:lang w:val="es-CR"/>
        </w:rPr>
      </w:pPr>
      <w:r w:rsidRPr="00F02F9D">
        <w:rPr>
          <w:rFonts w:ascii="Arial" w:eastAsia="Arial" w:hAnsi="Arial"/>
          <w:bCs/>
          <w:sz w:val="22"/>
          <w:szCs w:val="22"/>
          <w:lang w:val="es-CR"/>
        </w:rPr>
        <w:t>1.18.0.01</w:t>
      </w:r>
      <w:r w:rsidRPr="00F02F9D">
        <w:rPr>
          <w:rFonts w:ascii="Arial" w:eastAsia="Arial" w:hAnsi="Arial"/>
          <w:bCs/>
          <w:sz w:val="22"/>
          <w:szCs w:val="22"/>
          <w:lang w:val="es-CR"/>
        </w:rPr>
        <w:tab/>
      </w:r>
      <w:r w:rsidR="00751334" w:rsidRPr="00F02F9D">
        <w:rPr>
          <w:rFonts w:ascii="Arial" w:eastAsia="Arial" w:hAnsi="Arial"/>
          <w:bCs/>
          <w:sz w:val="22"/>
          <w:szCs w:val="22"/>
          <w:lang w:val="es-CR"/>
        </w:rPr>
        <w:t xml:space="preserve">En </w:t>
      </w:r>
      <w:r w:rsidR="00E06868">
        <w:rPr>
          <w:rFonts w:ascii="Arial" w:eastAsia="Arial" w:hAnsi="Arial"/>
          <w:bCs/>
          <w:sz w:val="22"/>
          <w:szCs w:val="22"/>
          <w:lang w:val="es-CR"/>
        </w:rPr>
        <w:t>los estados financieros</w:t>
      </w:r>
      <w:r w:rsidR="00751334" w:rsidRPr="00F02F9D">
        <w:rPr>
          <w:rFonts w:ascii="Arial" w:eastAsia="Arial" w:hAnsi="Arial"/>
          <w:bCs/>
          <w:sz w:val="22"/>
          <w:szCs w:val="22"/>
          <w:lang w:val="es-CR"/>
        </w:rPr>
        <w:t xml:space="preserve"> o en </w:t>
      </w:r>
      <w:r w:rsidR="00B82A49" w:rsidRPr="00F02F9D">
        <w:rPr>
          <w:rFonts w:ascii="Arial" w:eastAsia="Arial" w:hAnsi="Arial"/>
          <w:bCs/>
          <w:sz w:val="22"/>
          <w:szCs w:val="22"/>
          <w:lang w:val="es-CR"/>
        </w:rPr>
        <w:t xml:space="preserve">el Estado de </w:t>
      </w:r>
      <w:r w:rsidR="00751334" w:rsidRPr="00F02F9D">
        <w:rPr>
          <w:rFonts w:ascii="Arial" w:eastAsia="Arial" w:hAnsi="Arial"/>
          <w:bCs/>
          <w:sz w:val="22"/>
          <w:szCs w:val="22"/>
          <w:lang w:val="es-CR"/>
        </w:rPr>
        <w:t>Notas, según corresponda, se informará</w:t>
      </w:r>
      <w:r w:rsidR="00B82A49" w:rsidRPr="00F02F9D">
        <w:rPr>
          <w:rFonts w:ascii="Arial" w:eastAsia="Arial" w:hAnsi="Arial"/>
          <w:bCs/>
          <w:sz w:val="22"/>
          <w:szCs w:val="22"/>
          <w:lang w:val="es-CR"/>
        </w:rPr>
        <w:t xml:space="preserve"> lo siguiente</w:t>
      </w:r>
      <w:r w:rsidR="00985871" w:rsidRPr="00F02F9D">
        <w:rPr>
          <w:rFonts w:ascii="Arial" w:eastAsia="Arial" w:hAnsi="Arial"/>
          <w:bCs/>
          <w:sz w:val="22"/>
          <w:szCs w:val="22"/>
          <w:lang w:val="es-CR"/>
        </w:rPr>
        <w:t>:</w:t>
      </w:r>
    </w:p>
    <w:p w14:paraId="3A8A84B3" w14:textId="77777777" w:rsidR="00B82A49" w:rsidRPr="00F02F9D" w:rsidRDefault="00B82A49" w:rsidP="00B82A49">
      <w:pPr>
        <w:pStyle w:val="Prrafodelista"/>
        <w:rPr>
          <w:rFonts w:ascii="Arial" w:eastAsia="Arial" w:hAnsi="Arial"/>
          <w:bCs/>
          <w:sz w:val="22"/>
          <w:szCs w:val="22"/>
          <w:lang w:val="es-CR"/>
        </w:rPr>
      </w:pPr>
    </w:p>
    <w:p w14:paraId="4079B7BA" w14:textId="77777777" w:rsidR="00B82A49" w:rsidRPr="00F02F9D" w:rsidRDefault="00B82A49">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Las principales políticas contables que regulan el Efectivo y Equivalentes de Efectivo.</w:t>
      </w:r>
    </w:p>
    <w:p w14:paraId="6C8C973B" w14:textId="7DAF1306" w:rsidR="00B82A49" w:rsidRPr="00F02F9D" w:rsidRDefault="00B82A49">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detalle de l</w:t>
      </w:r>
      <w:r w:rsidR="00985871" w:rsidRPr="00F02F9D">
        <w:rPr>
          <w:rFonts w:ascii="Arial" w:eastAsia="Arial" w:hAnsi="Arial"/>
          <w:bCs/>
          <w:sz w:val="22"/>
          <w:szCs w:val="22"/>
          <w:lang w:val="es-CR"/>
        </w:rPr>
        <w:t>os componentes de la partida de efectivo y equivalentes al efectivo y sus importes en libros</w:t>
      </w:r>
      <w:r w:rsidRPr="00F02F9D">
        <w:rPr>
          <w:rFonts w:ascii="Arial" w:eastAsia="Arial" w:hAnsi="Arial"/>
          <w:bCs/>
          <w:sz w:val="22"/>
          <w:szCs w:val="22"/>
          <w:lang w:val="es-CR"/>
        </w:rPr>
        <w:t>.</w:t>
      </w:r>
    </w:p>
    <w:p w14:paraId="3B793F4E" w14:textId="77777777" w:rsidR="00B82A49" w:rsidRPr="00F02F9D" w:rsidRDefault="00985871">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Una conciliación de los saldos en el Estado de Flujos de Efectivo con las partidas correspondientes en el Estado de Situación Financiera</w:t>
      </w:r>
      <w:r w:rsidR="00B82A49" w:rsidRPr="00F02F9D">
        <w:rPr>
          <w:rFonts w:ascii="Arial" w:eastAsia="Arial" w:hAnsi="Arial"/>
          <w:bCs/>
          <w:sz w:val="22"/>
          <w:szCs w:val="22"/>
          <w:lang w:val="es-CR"/>
        </w:rPr>
        <w:t>.</w:t>
      </w:r>
    </w:p>
    <w:p w14:paraId="1621602B" w14:textId="77777777" w:rsidR="00B82A49" w:rsidRPr="00F02F9D" w:rsidRDefault="00985871">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Los criterios adoptados para determinar la composición del efectivo y equivalente al efectivo;</w:t>
      </w:r>
    </w:p>
    <w:p w14:paraId="737CAC34" w14:textId="12BC28C9" w:rsidR="00B82A49" w:rsidRPr="00F02F9D" w:rsidRDefault="00985871">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El efecto de cualquier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Pr="00F02F9D">
        <w:rPr>
          <w:rFonts w:ascii="Arial" w:eastAsia="Arial" w:hAnsi="Arial"/>
          <w:bCs/>
          <w:sz w:val="22"/>
          <w:szCs w:val="22"/>
          <w:lang w:val="es-CR"/>
        </w:rPr>
        <w:t xml:space="preserve"> de políticas (por </w:t>
      </w:r>
      <w:r w:rsidR="00802F4F" w:rsidRPr="00F02F9D">
        <w:rPr>
          <w:rFonts w:ascii="Arial" w:eastAsia="Arial" w:hAnsi="Arial"/>
          <w:bCs/>
          <w:sz w:val="22"/>
          <w:szCs w:val="22"/>
          <w:lang w:val="es-CR"/>
        </w:rPr>
        <w:t>ejemplo,</w:t>
      </w:r>
      <w:r w:rsidRPr="00F02F9D">
        <w:rPr>
          <w:rFonts w:ascii="Arial" w:eastAsia="Arial" w:hAnsi="Arial"/>
          <w:bCs/>
          <w:sz w:val="22"/>
          <w:szCs w:val="22"/>
          <w:lang w:val="es-CR"/>
        </w:rPr>
        <w:t xml:space="preserv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Pr="00F02F9D">
        <w:rPr>
          <w:rFonts w:ascii="Arial" w:eastAsia="Arial" w:hAnsi="Arial"/>
          <w:bCs/>
          <w:sz w:val="22"/>
          <w:szCs w:val="22"/>
          <w:lang w:val="es-CR"/>
        </w:rPr>
        <w:t xml:space="preserve"> de clasificación de instrumentos financieros que antes se consideraban como inversiones)</w:t>
      </w:r>
      <w:r w:rsidR="00B82A49" w:rsidRPr="00F02F9D">
        <w:rPr>
          <w:rFonts w:ascii="Arial" w:eastAsia="Arial" w:hAnsi="Arial"/>
          <w:bCs/>
          <w:sz w:val="22"/>
          <w:szCs w:val="22"/>
          <w:lang w:val="es-CR"/>
        </w:rPr>
        <w:t>.</w:t>
      </w:r>
    </w:p>
    <w:p w14:paraId="5E710112" w14:textId="77777777" w:rsidR="00B82A49" w:rsidRPr="00F02F9D" w:rsidRDefault="007203C0">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efectivo relacionado con los intereses recibidos y pagados deben ser revelados por separado.</w:t>
      </w:r>
    </w:p>
    <w:p w14:paraId="2C60F073" w14:textId="77777777" w:rsidR="00B82A49" w:rsidRPr="00F02F9D" w:rsidRDefault="00985871">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En los EEFF</w:t>
      </w:r>
      <w:r w:rsidR="00802F4F" w:rsidRPr="00F02F9D">
        <w:rPr>
          <w:rFonts w:ascii="Arial" w:eastAsia="Arial" w:hAnsi="Arial"/>
          <w:bCs/>
          <w:sz w:val="22"/>
          <w:szCs w:val="22"/>
          <w:lang w:val="es-CR"/>
        </w:rPr>
        <w:t xml:space="preserve"> y acompañado de una nota de la Administración, se deben revelar los importes significativos de los saldos de efectivo y equivalentes al efectivo que no este disponible para ser utilizados por la Municipalidad</w:t>
      </w:r>
      <w:r w:rsidR="0083375C" w:rsidRPr="00F02F9D">
        <w:rPr>
          <w:rFonts w:ascii="Arial" w:eastAsia="Arial" w:hAnsi="Arial"/>
          <w:bCs/>
          <w:sz w:val="22"/>
          <w:szCs w:val="22"/>
          <w:lang w:val="es-CR"/>
        </w:rPr>
        <w:t xml:space="preserve"> o sobre los que existan restricciones</w:t>
      </w:r>
      <w:r w:rsidR="00B82A49" w:rsidRPr="00F02F9D">
        <w:rPr>
          <w:rFonts w:ascii="Arial" w:eastAsia="Arial" w:hAnsi="Arial"/>
          <w:bCs/>
          <w:sz w:val="22"/>
          <w:szCs w:val="22"/>
          <w:lang w:val="es-CR"/>
        </w:rPr>
        <w:t>.</w:t>
      </w:r>
    </w:p>
    <w:p w14:paraId="55707CC0" w14:textId="77777777" w:rsidR="00B82A49" w:rsidRPr="00F02F9D" w:rsidRDefault="0083375C">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importe de los préstamos no dispuestos, que pueden estar disponibles para el pago de actividades de operación, de inversión o financiación, indicando las restricciones sobre el uso de los recursos.</w:t>
      </w:r>
    </w:p>
    <w:p w14:paraId="3156E84F" w14:textId="52E9ACEC" w:rsidR="00B82A49" w:rsidRPr="00F02F9D" w:rsidRDefault="006019B8">
      <w:pPr>
        <w:pStyle w:val="Prrafodelista"/>
        <w:numPr>
          <w:ilvl w:val="3"/>
          <w:numId w:val="51"/>
        </w:numPr>
        <w:spacing w:after="120" w:line="238" w:lineRule="auto"/>
        <w:ind w:left="1491"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El importe de las diferencias de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Pr="00F02F9D">
        <w:rPr>
          <w:rFonts w:ascii="Arial" w:eastAsia="Arial" w:hAnsi="Arial"/>
          <w:bCs/>
          <w:sz w:val="22"/>
          <w:szCs w:val="22"/>
          <w:lang w:val="es-CR"/>
        </w:rPr>
        <w:t xml:space="preserve"> reconocidas en el resultado del periodo, con excepción de las procedentes de los instrumentos financieros medidos al valor razonable con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os</w:t>
      </w:r>
      <w:r w:rsidRPr="00F02F9D">
        <w:rPr>
          <w:rFonts w:ascii="Arial" w:eastAsia="Arial" w:hAnsi="Arial"/>
          <w:bCs/>
          <w:sz w:val="22"/>
          <w:szCs w:val="22"/>
          <w:lang w:val="es-CR"/>
        </w:rPr>
        <w:t xml:space="preserve"> en resultados según NICSP 29</w:t>
      </w:r>
      <w:r w:rsidR="00B82A49" w:rsidRPr="00F02F9D">
        <w:rPr>
          <w:rFonts w:ascii="Arial" w:eastAsia="Arial" w:hAnsi="Arial"/>
          <w:bCs/>
          <w:sz w:val="22"/>
          <w:szCs w:val="22"/>
          <w:lang w:val="es-CR"/>
        </w:rPr>
        <w:t>.</w:t>
      </w:r>
    </w:p>
    <w:p w14:paraId="263FD74E" w14:textId="2184109B" w:rsidR="006019B8" w:rsidRPr="00F02F9D" w:rsidRDefault="006019B8">
      <w:pPr>
        <w:pStyle w:val="Prrafodelista"/>
        <w:numPr>
          <w:ilvl w:val="3"/>
          <w:numId w:val="51"/>
        </w:numPr>
        <w:spacing w:after="120" w:line="238" w:lineRule="auto"/>
        <w:ind w:right="261"/>
        <w:jc w:val="both"/>
        <w:rPr>
          <w:rFonts w:ascii="Arial" w:eastAsia="Arial" w:hAnsi="Arial"/>
          <w:bCs/>
          <w:sz w:val="22"/>
          <w:szCs w:val="22"/>
          <w:lang w:val="es-CR"/>
        </w:rPr>
      </w:pPr>
      <w:r w:rsidRPr="00F02F9D">
        <w:rPr>
          <w:rFonts w:ascii="Arial" w:eastAsia="Arial" w:hAnsi="Arial"/>
          <w:bCs/>
          <w:sz w:val="22"/>
          <w:szCs w:val="22"/>
          <w:lang w:val="es-CR"/>
        </w:rPr>
        <w:t xml:space="preserve">Las diferencias de </w:t>
      </w:r>
      <w:r w:rsidR="000F29DC" w:rsidRPr="00F02F9D">
        <w:rPr>
          <w:rFonts w:ascii="Arial" w:eastAsia="Arial" w:hAnsi="Arial"/>
          <w:bCs/>
          <w:sz w:val="22"/>
          <w:szCs w:val="22"/>
          <w:lang w:val="es-CR"/>
        </w:rPr>
        <w:t>ca</w:t>
      </w:r>
      <w:r w:rsidR="000F29DC">
        <w:rPr>
          <w:rFonts w:ascii="Arial" w:eastAsia="Arial" w:hAnsi="Arial"/>
          <w:bCs/>
          <w:sz w:val="22"/>
          <w:szCs w:val="22"/>
          <w:lang w:val="es-CR"/>
        </w:rPr>
        <w:t>mbi</w:t>
      </w:r>
      <w:r w:rsidR="000F29DC" w:rsidRPr="00F02F9D">
        <w:rPr>
          <w:rFonts w:ascii="Arial" w:eastAsia="Arial" w:hAnsi="Arial"/>
          <w:bCs/>
          <w:sz w:val="22"/>
          <w:szCs w:val="22"/>
          <w:lang w:val="es-CR"/>
        </w:rPr>
        <w:t>o</w:t>
      </w:r>
      <w:r w:rsidRPr="00F02F9D">
        <w:rPr>
          <w:rFonts w:ascii="Arial" w:eastAsia="Arial" w:hAnsi="Arial"/>
          <w:bCs/>
          <w:sz w:val="22"/>
          <w:szCs w:val="22"/>
          <w:lang w:val="es-CR"/>
        </w:rPr>
        <w:t xml:space="preserve"> netas clasificadas como un componente separado de los activos netos/patrimonio, así como una conciliación entre los importes de estas diferencias al principio y al final del periodo.</w:t>
      </w:r>
    </w:p>
    <w:p w14:paraId="6A583895" w14:textId="77777777" w:rsidR="00C250A0" w:rsidRDefault="00C250A0" w:rsidP="00DB0DDE">
      <w:pPr>
        <w:spacing w:line="237" w:lineRule="auto"/>
        <w:ind w:right="260"/>
        <w:jc w:val="both"/>
        <w:rPr>
          <w:rFonts w:ascii="Arial" w:eastAsia="Arial" w:hAnsi="Arial"/>
          <w:bCs/>
          <w:sz w:val="22"/>
          <w:szCs w:val="22"/>
          <w:lang w:val="es-CR"/>
        </w:rPr>
      </w:pPr>
    </w:p>
    <w:p w14:paraId="7A5413CB" w14:textId="77777777" w:rsidR="00DB0DDE" w:rsidRPr="00F02F9D" w:rsidRDefault="00DB0DDE" w:rsidP="00DB0DDE">
      <w:pPr>
        <w:spacing w:line="237" w:lineRule="auto"/>
        <w:ind w:right="260"/>
        <w:jc w:val="both"/>
        <w:rPr>
          <w:rFonts w:ascii="Arial" w:eastAsia="Arial" w:hAnsi="Arial"/>
          <w:bCs/>
          <w:sz w:val="22"/>
          <w:szCs w:val="22"/>
          <w:lang w:val="es-CR"/>
        </w:rPr>
      </w:pPr>
    </w:p>
    <w:p w14:paraId="70A8446E" w14:textId="6C0C6DC6" w:rsidR="002B2B51" w:rsidRPr="00216D66" w:rsidRDefault="002B2B51" w:rsidP="00216D66">
      <w:pPr>
        <w:pStyle w:val="Ttulo2"/>
        <w:ind w:left="284"/>
        <w:rPr>
          <w:rFonts w:ascii="Arial" w:eastAsia="Arial" w:hAnsi="Arial" w:cs="Arial"/>
          <w:b/>
          <w:bCs/>
          <w:sz w:val="22"/>
          <w:szCs w:val="22"/>
          <w:lang w:val="es-CR"/>
        </w:rPr>
      </w:pPr>
      <w:bookmarkStart w:id="24" w:name="_Toc172726200"/>
      <w:r w:rsidRPr="00216D66">
        <w:rPr>
          <w:rFonts w:ascii="Arial" w:eastAsia="Arial" w:hAnsi="Arial" w:cs="Arial"/>
          <w:b/>
          <w:bCs/>
          <w:sz w:val="22"/>
          <w:szCs w:val="22"/>
          <w:lang w:val="es-CR"/>
        </w:rPr>
        <w:t>A</w:t>
      </w:r>
      <w:r w:rsidR="00D555D7">
        <w:rPr>
          <w:rFonts w:ascii="Arial" w:eastAsia="Arial" w:hAnsi="Arial" w:cs="Arial"/>
          <w:b/>
          <w:bCs/>
          <w:sz w:val="22"/>
          <w:szCs w:val="22"/>
          <w:lang w:val="es-CR"/>
        </w:rPr>
        <w:t>ctivos</w:t>
      </w:r>
      <w:r w:rsidRPr="00216D66">
        <w:rPr>
          <w:rFonts w:ascii="Arial" w:eastAsia="Arial" w:hAnsi="Arial" w:cs="Arial"/>
          <w:b/>
          <w:bCs/>
          <w:sz w:val="22"/>
          <w:szCs w:val="22"/>
          <w:lang w:val="es-CR"/>
        </w:rPr>
        <w:t xml:space="preserve"> F</w:t>
      </w:r>
      <w:r w:rsidR="00D555D7">
        <w:rPr>
          <w:rFonts w:ascii="Arial" w:eastAsia="Arial" w:hAnsi="Arial" w:cs="Arial"/>
          <w:b/>
          <w:bCs/>
          <w:sz w:val="22"/>
          <w:szCs w:val="22"/>
          <w:lang w:val="es-CR"/>
        </w:rPr>
        <w:t>inancieros</w:t>
      </w:r>
      <w:r w:rsidRPr="00216D66">
        <w:rPr>
          <w:rFonts w:ascii="Arial" w:eastAsia="Arial" w:hAnsi="Arial" w:cs="Arial"/>
          <w:b/>
          <w:bCs/>
          <w:sz w:val="22"/>
          <w:szCs w:val="22"/>
          <w:lang w:val="es-CR"/>
        </w:rPr>
        <w:t xml:space="preserve"> </w:t>
      </w:r>
      <w:r w:rsidR="00D555D7">
        <w:rPr>
          <w:rFonts w:ascii="Arial" w:eastAsia="Arial" w:hAnsi="Arial" w:cs="Arial"/>
          <w:b/>
          <w:bCs/>
          <w:sz w:val="22"/>
          <w:szCs w:val="22"/>
          <w:lang w:val="es-CR"/>
        </w:rPr>
        <w:t>no</w:t>
      </w:r>
      <w:r w:rsidRPr="00216D66">
        <w:rPr>
          <w:rFonts w:ascii="Arial" w:eastAsia="Arial" w:hAnsi="Arial" w:cs="Arial"/>
          <w:b/>
          <w:bCs/>
          <w:sz w:val="22"/>
          <w:szCs w:val="22"/>
          <w:lang w:val="es-CR"/>
        </w:rPr>
        <w:t xml:space="preserve"> M</w:t>
      </w:r>
      <w:r w:rsidR="00D555D7">
        <w:rPr>
          <w:rFonts w:ascii="Arial" w:eastAsia="Arial" w:hAnsi="Arial" w:cs="Arial"/>
          <w:b/>
          <w:bCs/>
          <w:sz w:val="22"/>
          <w:szCs w:val="22"/>
          <w:lang w:val="es-CR"/>
        </w:rPr>
        <w:t>onetarios</w:t>
      </w:r>
      <w:bookmarkEnd w:id="24"/>
    </w:p>
    <w:p w14:paraId="1F00914A" w14:textId="77777777" w:rsidR="007377D0" w:rsidRPr="00F02F9D" w:rsidRDefault="007377D0">
      <w:pPr>
        <w:spacing w:line="287" w:lineRule="exact"/>
        <w:rPr>
          <w:rFonts w:ascii="Arial" w:eastAsia="Times New Roman" w:hAnsi="Arial"/>
          <w:sz w:val="22"/>
          <w:szCs w:val="22"/>
          <w:lang w:val="es-CR"/>
        </w:rPr>
      </w:pPr>
    </w:p>
    <w:p w14:paraId="29D12EBF" w14:textId="77777777" w:rsidR="00E01A4C" w:rsidRPr="00F02F9D" w:rsidRDefault="002B2B51" w:rsidP="002B2B51">
      <w:pPr>
        <w:spacing w:line="266" w:lineRule="auto"/>
        <w:ind w:right="260"/>
        <w:jc w:val="both"/>
        <w:rPr>
          <w:rFonts w:ascii="Arial" w:eastAsia="Arial" w:hAnsi="Arial"/>
          <w:bCs/>
          <w:sz w:val="22"/>
          <w:szCs w:val="22"/>
          <w:lang w:val="es-CR"/>
        </w:rPr>
      </w:pPr>
      <w:r w:rsidRPr="00F02F9D">
        <w:rPr>
          <w:rFonts w:ascii="Arial" w:eastAsia="Arial" w:hAnsi="Arial"/>
          <w:bCs/>
          <w:sz w:val="22"/>
          <w:szCs w:val="22"/>
          <w:lang w:val="es-CR"/>
        </w:rPr>
        <w:t>Lo</w:t>
      </w:r>
      <w:r w:rsidR="005F4652" w:rsidRPr="00F02F9D">
        <w:rPr>
          <w:rFonts w:ascii="Arial" w:eastAsia="Arial" w:hAnsi="Arial"/>
          <w:bCs/>
          <w:sz w:val="22"/>
          <w:szCs w:val="22"/>
          <w:lang w:val="es-CR"/>
        </w:rPr>
        <w:t>s</w:t>
      </w:r>
      <w:r w:rsidRPr="00F02F9D">
        <w:rPr>
          <w:rFonts w:ascii="Arial" w:eastAsia="Arial" w:hAnsi="Arial"/>
          <w:bCs/>
          <w:sz w:val="22"/>
          <w:szCs w:val="22"/>
          <w:lang w:val="es-CR"/>
        </w:rPr>
        <w:t xml:space="preserve"> instrumentos financieros activos no monetarios</w:t>
      </w:r>
      <w:r w:rsidR="005F4652" w:rsidRPr="00F02F9D">
        <w:rPr>
          <w:rFonts w:ascii="Arial" w:eastAsia="Arial" w:hAnsi="Arial"/>
          <w:bCs/>
          <w:sz w:val="22"/>
          <w:szCs w:val="22"/>
          <w:lang w:val="es-CR"/>
        </w:rPr>
        <w:t xml:space="preserve"> son herramientas en forma de contratos que conforman un apoyo a la inversión y que son celebrados entre dos partes. Dichos contratos generan para el tenedor un activo financiero, mientras que para el emisor generan un pasivo o un instrumento de patrimonio. Esto quiere decir que a través del instrumento financiero el comprador adquiere el derecho para recibir recursos económicos (efectivo u otro activo financiero) por motivo de su inversión y que, por lo tanto, el vendedor adquiere la obligación de liquidar ese derecho. </w:t>
      </w:r>
    </w:p>
    <w:p w14:paraId="347B3655" w14:textId="77777777" w:rsidR="00E01A4C" w:rsidRPr="00F02F9D" w:rsidRDefault="00E01A4C" w:rsidP="002B2B51">
      <w:pPr>
        <w:spacing w:line="266" w:lineRule="auto"/>
        <w:ind w:right="260"/>
        <w:jc w:val="both"/>
        <w:rPr>
          <w:rFonts w:ascii="Arial" w:eastAsia="Arial" w:hAnsi="Arial"/>
          <w:bCs/>
          <w:sz w:val="22"/>
          <w:szCs w:val="22"/>
          <w:lang w:val="es-CR"/>
        </w:rPr>
      </w:pPr>
    </w:p>
    <w:p w14:paraId="40186E47" w14:textId="28758593" w:rsidR="00C910FF" w:rsidRPr="00F02F9D" w:rsidRDefault="00C910FF" w:rsidP="00C910FF">
      <w:pPr>
        <w:spacing w:line="285" w:lineRule="exact"/>
        <w:jc w:val="both"/>
        <w:rPr>
          <w:rFonts w:ascii="Arial" w:eastAsia="Arial" w:hAnsi="Arial"/>
          <w:bCs/>
          <w:sz w:val="22"/>
          <w:szCs w:val="22"/>
          <w:lang w:val="es-CR"/>
        </w:rPr>
      </w:pPr>
      <w:r w:rsidRPr="00F02F9D">
        <w:rPr>
          <w:rFonts w:ascii="Arial" w:eastAsia="Arial" w:hAnsi="Arial"/>
          <w:bCs/>
          <w:sz w:val="22"/>
          <w:szCs w:val="22"/>
          <w:lang w:val="es-CR"/>
        </w:rPr>
        <w:t>L</w:t>
      </w:r>
      <w:r>
        <w:rPr>
          <w:rFonts w:ascii="Arial" w:eastAsia="Arial" w:hAnsi="Arial"/>
          <w:bCs/>
          <w:sz w:val="22"/>
          <w:szCs w:val="22"/>
          <w:lang w:val="es-CR"/>
        </w:rPr>
        <w:t>o</w:t>
      </w:r>
      <w:r w:rsidRPr="00F02F9D">
        <w:rPr>
          <w:rFonts w:ascii="Arial" w:eastAsia="Arial" w:hAnsi="Arial"/>
          <w:bCs/>
          <w:sz w:val="22"/>
          <w:szCs w:val="22"/>
          <w:lang w:val="es-CR"/>
        </w:rPr>
        <w:t xml:space="preserve">s </w:t>
      </w:r>
      <w:r>
        <w:rPr>
          <w:rFonts w:ascii="Arial" w:eastAsia="Arial" w:hAnsi="Arial"/>
          <w:bCs/>
          <w:sz w:val="22"/>
          <w:szCs w:val="22"/>
          <w:lang w:val="es-CR"/>
        </w:rPr>
        <w:t xml:space="preserve">activos financieros no monetarios que </w:t>
      </w:r>
      <w:r w:rsidRPr="00F02F9D">
        <w:rPr>
          <w:rFonts w:ascii="Arial" w:eastAsia="Arial" w:hAnsi="Arial"/>
          <w:bCs/>
          <w:sz w:val="22"/>
          <w:szCs w:val="22"/>
          <w:lang w:val="es-CR"/>
        </w:rPr>
        <w:t xml:space="preserve">posee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se clasifican de la siguiente manera:</w:t>
      </w:r>
    </w:p>
    <w:p w14:paraId="044B835F" w14:textId="77777777" w:rsidR="00C910FF" w:rsidRPr="00F02F9D" w:rsidRDefault="00C910FF" w:rsidP="00C910FF">
      <w:pPr>
        <w:spacing w:line="285" w:lineRule="exact"/>
        <w:rPr>
          <w:rFonts w:ascii="Arial" w:eastAsia="Arial" w:hAnsi="Arial"/>
          <w:bCs/>
          <w:sz w:val="22"/>
          <w:szCs w:val="22"/>
          <w:lang w:val="es-CR"/>
        </w:rPr>
      </w:pPr>
    </w:p>
    <w:p w14:paraId="5FFB845D" w14:textId="77777777" w:rsidR="00C910FF" w:rsidRPr="00224397" w:rsidRDefault="00C910FF" w:rsidP="00224397">
      <w:pPr>
        <w:pStyle w:val="Prrafodelista"/>
        <w:numPr>
          <w:ilvl w:val="0"/>
          <w:numId w:val="429"/>
        </w:numPr>
        <w:ind w:right="261"/>
        <w:jc w:val="both"/>
        <w:rPr>
          <w:rFonts w:ascii="Arial" w:eastAsia="Arial" w:hAnsi="Arial"/>
          <w:bCs/>
          <w:sz w:val="22"/>
          <w:szCs w:val="22"/>
          <w:lang w:val="es-CR"/>
        </w:rPr>
      </w:pPr>
      <w:r w:rsidRPr="00224397">
        <w:rPr>
          <w:rFonts w:ascii="Arial" w:eastAsia="Arial" w:hAnsi="Arial"/>
          <w:b/>
          <w:sz w:val="22"/>
          <w:szCs w:val="22"/>
          <w:lang w:val="es-CR"/>
        </w:rPr>
        <w:t>Cuentas por Cobrar,</w:t>
      </w:r>
      <w:r w:rsidRPr="00224397">
        <w:rPr>
          <w:rFonts w:ascii="Arial" w:eastAsia="Arial" w:hAnsi="Arial"/>
          <w:bCs/>
          <w:sz w:val="22"/>
          <w:szCs w:val="22"/>
          <w:lang w:val="es-CR"/>
        </w:rPr>
        <w:t xml:space="preserve"> son promesas de pago de los contribuyentes y derechos de cobro para la Municipalidad que se espera recibir en efectivo. Las cuentas por cobrar son activos financieros no derivados cuyos cobros son fijos o determinables, que no se negocian en un mercado activo. Estas representan las sumas que adeudan a la Municipalidad los contribuyentes del Cantón por concepto de impuestos, patentes y los servicios prestados.</w:t>
      </w:r>
    </w:p>
    <w:p w14:paraId="1A17D7B0" w14:textId="77777777" w:rsidR="00C250A0" w:rsidRPr="00F02F9D" w:rsidRDefault="00C250A0" w:rsidP="00224397">
      <w:pPr>
        <w:pStyle w:val="Prrafodelista"/>
        <w:ind w:left="1077" w:right="261"/>
        <w:contextualSpacing w:val="0"/>
        <w:jc w:val="both"/>
        <w:rPr>
          <w:rFonts w:ascii="Arial" w:eastAsia="Arial" w:hAnsi="Arial"/>
          <w:bCs/>
          <w:sz w:val="22"/>
          <w:szCs w:val="22"/>
          <w:lang w:val="es-CR"/>
        </w:rPr>
      </w:pPr>
    </w:p>
    <w:p w14:paraId="4753AA7F" w14:textId="5B280F4F" w:rsidR="00C250A0" w:rsidRPr="00224397" w:rsidRDefault="00C910FF" w:rsidP="00224397">
      <w:pPr>
        <w:pStyle w:val="Prrafodelista"/>
        <w:numPr>
          <w:ilvl w:val="0"/>
          <w:numId w:val="429"/>
        </w:numPr>
        <w:ind w:right="261"/>
        <w:jc w:val="both"/>
        <w:rPr>
          <w:rFonts w:ascii="Arial" w:eastAsia="Arial" w:hAnsi="Arial"/>
          <w:bCs/>
          <w:sz w:val="22"/>
          <w:szCs w:val="22"/>
          <w:lang w:val="es-CR"/>
        </w:rPr>
      </w:pPr>
      <w:r w:rsidRPr="00224397">
        <w:rPr>
          <w:rFonts w:ascii="Arial" w:eastAsia="Arial" w:hAnsi="Arial"/>
          <w:b/>
          <w:sz w:val="22"/>
          <w:szCs w:val="22"/>
          <w:lang w:val="es-CR"/>
        </w:rPr>
        <w:t xml:space="preserve">Documentos por Cobrar (arreglos de pago), </w:t>
      </w:r>
      <w:r w:rsidRPr="00224397">
        <w:rPr>
          <w:rFonts w:ascii="Arial" w:eastAsia="Arial" w:hAnsi="Arial"/>
          <w:bCs/>
          <w:sz w:val="22"/>
          <w:szCs w:val="22"/>
          <w:lang w:val="es-CR"/>
        </w:rPr>
        <w:t xml:space="preserve">representan promesas de pago de los contribuyentes que deben dinero a la Municipalidad por concepto de impuestos, patentes o servicios prestados, para pagarlos en un plazo definido mediante la firma de un documento (letra de </w:t>
      </w:r>
      <w:r w:rsidR="000F29DC" w:rsidRPr="00224397">
        <w:rPr>
          <w:rFonts w:ascii="Arial" w:eastAsia="Arial" w:hAnsi="Arial"/>
          <w:bCs/>
          <w:sz w:val="22"/>
          <w:szCs w:val="22"/>
          <w:lang w:val="es-CR"/>
        </w:rPr>
        <w:t>cambio</w:t>
      </w:r>
      <w:r w:rsidRPr="00224397">
        <w:rPr>
          <w:rFonts w:ascii="Arial" w:eastAsia="Arial" w:hAnsi="Arial"/>
          <w:bCs/>
          <w:sz w:val="22"/>
          <w:szCs w:val="22"/>
          <w:lang w:val="es-CR"/>
        </w:rPr>
        <w:t>, pagaré u otro tipo similar), en el que el contribuyente acuerda pagar además del valor nominal del documento, una suma adicional por concepto de intereses a una fecha determinada.</w:t>
      </w:r>
    </w:p>
    <w:p w14:paraId="0900EEE1" w14:textId="77777777" w:rsidR="00C250A0" w:rsidRPr="00C250A0" w:rsidRDefault="00C250A0" w:rsidP="00C250A0">
      <w:pPr>
        <w:pStyle w:val="Prrafodelista"/>
        <w:rPr>
          <w:rFonts w:ascii="Arial" w:eastAsia="Arial" w:hAnsi="Arial"/>
          <w:bCs/>
          <w:sz w:val="22"/>
          <w:szCs w:val="22"/>
          <w:lang w:val="es-CR"/>
        </w:rPr>
      </w:pPr>
    </w:p>
    <w:p w14:paraId="791CD858" w14:textId="77777777" w:rsidR="00C910FF" w:rsidRPr="00224397" w:rsidRDefault="00C910FF" w:rsidP="00224397">
      <w:pPr>
        <w:pStyle w:val="Prrafodelista"/>
        <w:numPr>
          <w:ilvl w:val="0"/>
          <w:numId w:val="429"/>
        </w:numPr>
        <w:ind w:right="261"/>
        <w:jc w:val="both"/>
        <w:rPr>
          <w:rFonts w:ascii="Arial" w:eastAsia="Arial" w:hAnsi="Arial"/>
          <w:bCs/>
          <w:sz w:val="22"/>
          <w:szCs w:val="22"/>
          <w:lang w:val="es-CR"/>
        </w:rPr>
      </w:pPr>
      <w:r w:rsidRPr="00224397">
        <w:rPr>
          <w:rFonts w:ascii="Arial" w:eastAsia="Arial" w:hAnsi="Arial"/>
          <w:b/>
          <w:sz w:val="22"/>
          <w:szCs w:val="22"/>
          <w:lang w:val="es-CR"/>
        </w:rPr>
        <w:t xml:space="preserve">Préstamos por Cobrar, </w:t>
      </w:r>
      <w:r w:rsidRPr="00224397">
        <w:rPr>
          <w:rFonts w:ascii="Arial" w:eastAsia="Arial" w:hAnsi="Arial"/>
          <w:bCs/>
          <w:sz w:val="22"/>
          <w:szCs w:val="22"/>
          <w:lang w:val="es-CR"/>
        </w:rPr>
        <w:t>son los recursos financieros que la entidad destine para el uso por parte de un empleado o tercero, de los cuales se espere, a futuro, la entrada de un flujo financiero fijo o determinable, a través de efectivo, equivalentes al efectivo u otro instrumento financiero.</w:t>
      </w:r>
    </w:p>
    <w:p w14:paraId="4BC02AEC" w14:textId="77777777" w:rsidR="00C250A0" w:rsidRPr="00C250A0" w:rsidRDefault="00C250A0" w:rsidP="00224397">
      <w:pPr>
        <w:pStyle w:val="Prrafodelista"/>
        <w:ind w:left="1077" w:right="261"/>
        <w:contextualSpacing w:val="0"/>
        <w:jc w:val="both"/>
        <w:rPr>
          <w:rFonts w:ascii="Arial" w:eastAsia="Arial" w:hAnsi="Arial"/>
          <w:bCs/>
          <w:sz w:val="22"/>
          <w:szCs w:val="22"/>
          <w:lang w:val="es-CR"/>
        </w:rPr>
      </w:pPr>
    </w:p>
    <w:p w14:paraId="62A48F71" w14:textId="7ACAA8F1" w:rsidR="00C910FF" w:rsidRPr="00224397" w:rsidRDefault="00C910FF" w:rsidP="00224397">
      <w:pPr>
        <w:pStyle w:val="Prrafodelista"/>
        <w:numPr>
          <w:ilvl w:val="0"/>
          <w:numId w:val="429"/>
        </w:numPr>
        <w:spacing w:after="120" w:line="266" w:lineRule="auto"/>
        <w:ind w:right="261"/>
        <w:jc w:val="both"/>
        <w:rPr>
          <w:rFonts w:ascii="Arial" w:eastAsia="Arial" w:hAnsi="Arial"/>
          <w:bCs/>
          <w:sz w:val="22"/>
          <w:szCs w:val="22"/>
          <w:lang w:val="es-CR"/>
        </w:rPr>
      </w:pPr>
      <w:r w:rsidRPr="00224397">
        <w:rPr>
          <w:rFonts w:ascii="Arial" w:eastAsia="Arial" w:hAnsi="Arial"/>
          <w:b/>
          <w:sz w:val="22"/>
          <w:szCs w:val="22"/>
          <w:lang w:val="es-CR"/>
        </w:rPr>
        <w:t xml:space="preserve">Otras Cuentas por Cobrar, </w:t>
      </w:r>
      <w:r w:rsidRPr="00224397">
        <w:rPr>
          <w:rFonts w:ascii="Arial" w:eastAsia="Arial" w:hAnsi="Arial"/>
          <w:bCs/>
          <w:sz w:val="22"/>
          <w:szCs w:val="22"/>
          <w:lang w:val="es-CR"/>
        </w:rPr>
        <w:t>son los derechos de cobro que se espera recibir</w:t>
      </w:r>
      <w:r w:rsidRPr="00224397">
        <w:rPr>
          <w:rFonts w:ascii="Arial" w:hAnsi="Arial"/>
          <w:bCs/>
          <w:color w:val="040C28"/>
          <w:sz w:val="22"/>
          <w:szCs w:val="22"/>
          <w:lang w:val="es-CR"/>
        </w:rPr>
        <w:t xml:space="preserve"> en efectivo que no están incluidas en las categorías anteriores</w:t>
      </w:r>
      <w:r w:rsidRPr="00224397">
        <w:rPr>
          <w:rFonts w:ascii="Arial" w:hAnsi="Arial"/>
          <w:bCs/>
          <w:color w:val="4D5156"/>
          <w:sz w:val="22"/>
          <w:szCs w:val="22"/>
          <w:shd w:val="clear" w:color="auto" w:fill="FFFFFF"/>
          <w:lang w:val="es-CR"/>
        </w:rPr>
        <w:t>.</w:t>
      </w:r>
    </w:p>
    <w:p w14:paraId="76C83B70" w14:textId="77777777" w:rsidR="00224397" w:rsidRPr="00224397" w:rsidRDefault="00224397" w:rsidP="00224397">
      <w:pPr>
        <w:pStyle w:val="Prrafodelista"/>
        <w:rPr>
          <w:rFonts w:ascii="Arial" w:eastAsia="Arial" w:hAnsi="Arial"/>
          <w:bCs/>
          <w:sz w:val="22"/>
          <w:szCs w:val="22"/>
          <w:lang w:val="es-CR"/>
        </w:rPr>
      </w:pPr>
    </w:p>
    <w:p w14:paraId="26D1CF27" w14:textId="067FA4DC" w:rsidR="002B2B51" w:rsidRPr="00224397" w:rsidRDefault="00E06868" w:rsidP="00224397">
      <w:pPr>
        <w:spacing w:line="266" w:lineRule="auto"/>
        <w:ind w:right="260"/>
        <w:jc w:val="both"/>
        <w:rPr>
          <w:rFonts w:ascii="Arial" w:eastAsia="Arial" w:hAnsi="Arial"/>
          <w:bCs/>
          <w:sz w:val="22"/>
          <w:szCs w:val="22"/>
          <w:lang w:val="es-CR"/>
        </w:rPr>
      </w:pPr>
      <w:r w:rsidRPr="00224397">
        <w:rPr>
          <w:rFonts w:ascii="Arial" w:eastAsia="Arial" w:hAnsi="Arial"/>
          <w:bCs/>
          <w:sz w:val="22"/>
          <w:szCs w:val="22"/>
          <w:lang w:val="es-CR"/>
        </w:rPr>
        <w:t>Estos instrumentos financieros t</w:t>
      </w:r>
      <w:r w:rsidR="00E01A4C" w:rsidRPr="00224397">
        <w:rPr>
          <w:rFonts w:ascii="Arial" w:eastAsia="Arial" w:hAnsi="Arial"/>
          <w:bCs/>
          <w:sz w:val="22"/>
          <w:szCs w:val="22"/>
          <w:lang w:val="es-CR"/>
        </w:rPr>
        <w:t>ienen como características principales</w:t>
      </w:r>
      <w:r w:rsidR="009C1365" w:rsidRPr="00224397">
        <w:rPr>
          <w:rFonts w:ascii="Arial" w:eastAsia="Arial" w:hAnsi="Arial"/>
          <w:bCs/>
          <w:sz w:val="22"/>
          <w:szCs w:val="22"/>
          <w:lang w:val="es-CR"/>
        </w:rPr>
        <w:t xml:space="preserve"> </w:t>
      </w:r>
      <w:r w:rsidR="00E01A4C" w:rsidRPr="00224397">
        <w:rPr>
          <w:rFonts w:ascii="Arial" w:eastAsia="Arial" w:hAnsi="Arial"/>
          <w:bCs/>
          <w:sz w:val="22"/>
          <w:szCs w:val="22"/>
          <w:lang w:val="es-CR"/>
        </w:rPr>
        <w:t xml:space="preserve">que se realizan </w:t>
      </w:r>
      <w:r w:rsidR="009C1365" w:rsidRPr="00224397">
        <w:rPr>
          <w:rFonts w:ascii="Arial" w:eastAsia="Arial" w:hAnsi="Arial"/>
          <w:bCs/>
          <w:sz w:val="22"/>
          <w:szCs w:val="22"/>
          <w:lang w:val="es-CR"/>
        </w:rPr>
        <w:t xml:space="preserve">mediante </w:t>
      </w:r>
      <w:r w:rsidR="00E01A4C" w:rsidRPr="00224397">
        <w:rPr>
          <w:rFonts w:ascii="Arial" w:eastAsia="Arial" w:hAnsi="Arial"/>
          <w:bCs/>
          <w:sz w:val="22"/>
          <w:szCs w:val="22"/>
          <w:lang w:val="es-CR"/>
        </w:rPr>
        <w:t>cobros fijos y no se negocian en un mercado activo.</w:t>
      </w:r>
    </w:p>
    <w:p w14:paraId="2795F2BA" w14:textId="77777777" w:rsidR="009E606D" w:rsidRPr="00F02F9D" w:rsidRDefault="009E606D" w:rsidP="002B2B51">
      <w:pPr>
        <w:spacing w:line="266" w:lineRule="auto"/>
        <w:ind w:right="260"/>
        <w:jc w:val="both"/>
        <w:rPr>
          <w:rFonts w:ascii="Arial" w:eastAsia="Arial" w:hAnsi="Arial"/>
          <w:bCs/>
          <w:sz w:val="22"/>
          <w:szCs w:val="22"/>
          <w:lang w:val="es-CR"/>
        </w:rPr>
      </w:pPr>
    </w:p>
    <w:p w14:paraId="73D2787B" w14:textId="3814D926" w:rsidR="007377D0" w:rsidRPr="00BD7E4A" w:rsidRDefault="008A4688" w:rsidP="00BD7E4A">
      <w:pPr>
        <w:pStyle w:val="Ttulo2"/>
        <w:ind w:left="284"/>
        <w:rPr>
          <w:rFonts w:ascii="Arial" w:eastAsia="Arial" w:hAnsi="Arial" w:cs="Arial"/>
          <w:b/>
          <w:bCs/>
          <w:sz w:val="20"/>
          <w:szCs w:val="20"/>
          <w:lang w:val="es-CR"/>
        </w:rPr>
      </w:pPr>
      <w:bookmarkStart w:id="25" w:name="_Toc172726201"/>
      <w:r w:rsidRPr="00BD7E4A">
        <w:rPr>
          <w:rFonts w:ascii="Arial" w:eastAsia="Arial" w:hAnsi="Arial" w:cs="Arial"/>
          <w:b/>
          <w:bCs/>
          <w:sz w:val="20"/>
          <w:szCs w:val="20"/>
          <w:lang w:val="es-CR"/>
        </w:rPr>
        <w:t xml:space="preserve">Cuentas </w:t>
      </w:r>
      <w:r w:rsidR="009C1365" w:rsidRPr="00BD7E4A">
        <w:rPr>
          <w:rFonts w:ascii="Arial" w:eastAsia="Arial" w:hAnsi="Arial" w:cs="Arial"/>
          <w:b/>
          <w:bCs/>
          <w:sz w:val="20"/>
          <w:szCs w:val="20"/>
          <w:lang w:val="es-CR"/>
        </w:rPr>
        <w:t>y documentos por</w:t>
      </w:r>
      <w:r w:rsidRPr="00BD7E4A">
        <w:rPr>
          <w:rFonts w:ascii="Arial" w:eastAsia="Arial" w:hAnsi="Arial" w:cs="Arial"/>
          <w:b/>
          <w:bCs/>
          <w:sz w:val="20"/>
          <w:szCs w:val="20"/>
          <w:lang w:val="es-CR"/>
        </w:rPr>
        <w:t xml:space="preserve"> cobrar</w:t>
      </w:r>
      <w:bookmarkEnd w:id="25"/>
    </w:p>
    <w:p w14:paraId="5795E1D8" w14:textId="77777777" w:rsidR="00207255" w:rsidRPr="00F02F9D" w:rsidRDefault="00207255">
      <w:pPr>
        <w:spacing w:line="0" w:lineRule="atLeast"/>
        <w:ind w:left="380"/>
        <w:rPr>
          <w:rFonts w:ascii="Arial" w:eastAsia="Arial" w:hAnsi="Arial"/>
          <w:b/>
          <w:sz w:val="22"/>
          <w:szCs w:val="22"/>
          <w:lang w:val="es-CR"/>
        </w:rPr>
      </w:pPr>
    </w:p>
    <w:p w14:paraId="69962DB5" w14:textId="57BC8E9E" w:rsidR="00207255" w:rsidRPr="00F02F9D" w:rsidRDefault="00207255" w:rsidP="00922304">
      <w:pPr>
        <w:spacing w:line="266" w:lineRule="auto"/>
        <w:ind w:right="260"/>
        <w:jc w:val="both"/>
        <w:rPr>
          <w:rFonts w:ascii="Arial" w:eastAsia="Arial" w:hAnsi="Arial"/>
          <w:bCs/>
          <w:sz w:val="22"/>
          <w:szCs w:val="22"/>
          <w:lang w:val="es-CR"/>
        </w:rPr>
      </w:pPr>
      <w:r w:rsidRPr="00F02F9D">
        <w:rPr>
          <w:rFonts w:ascii="Arial" w:eastAsia="Arial" w:hAnsi="Arial"/>
          <w:bCs/>
          <w:sz w:val="22"/>
          <w:szCs w:val="22"/>
          <w:lang w:val="es-CR"/>
        </w:rPr>
        <w:t>Cuentas y Documentos por Cobrar: son activos financieros que suponen un derecho contractual a recibir dinero en el futuro</w:t>
      </w:r>
      <w:r w:rsidR="001D2C44" w:rsidRPr="00F02F9D">
        <w:rPr>
          <w:rFonts w:ascii="Arial" w:eastAsia="Arial" w:hAnsi="Arial"/>
          <w:bCs/>
          <w:sz w:val="22"/>
          <w:szCs w:val="22"/>
          <w:lang w:val="es-CR"/>
        </w:rPr>
        <w:t>.</w:t>
      </w:r>
    </w:p>
    <w:p w14:paraId="2309C705" w14:textId="77777777" w:rsidR="007377D0" w:rsidRPr="00F02F9D" w:rsidRDefault="007377D0">
      <w:pPr>
        <w:spacing w:line="290" w:lineRule="exact"/>
        <w:rPr>
          <w:rFonts w:ascii="Arial" w:eastAsia="Times New Roman" w:hAnsi="Arial"/>
          <w:sz w:val="22"/>
          <w:szCs w:val="22"/>
          <w:lang w:val="es-CR"/>
        </w:rPr>
      </w:pPr>
    </w:p>
    <w:p w14:paraId="2697A186" w14:textId="4FDB70A7" w:rsidR="00E8112D" w:rsidRPr="00F02F9D" w:rsidRDefault="00E8112D" w:rsidP="00E8112D">
      <w:pPr>
        <w:spacing w:line="276" w:lineRule="exact"/>
        <w:rPr>
          <w:rFonts w:ascii="Arial" w:eastAsia="Times New Roman" w:hAnsi="Arial"/>
          <w:sz w:val="22"/>
          <w:szCs w:val="22"/>
          <w:lang w:val="es-CR"/>
        </w:rPr>
      </w:pPr>
      <w:r w:rsidRPr="00F02F9D">
        <w:rPr>
          <w:rFonts w:ascii="Arial" w:eastAsia="Arial" w:hAnsi="Arial"/>
          <w:b/>
          <w:sz w:val="22"/>
          <w:szCs w:val="22"/>
        </w:rPr>
        <w:t>Reconocimiento y Clasificación</w:t>
      </w:r>
    </w:p>
    <w:p w14:paraId="221C5D96" w14:textId="77777777" w:rsidR="00E8112D" w:rsidRPr="00F02F9D" w:rsidRDefault="00E8112D" w:rsidP="00E8112D">
      <w:pPr>
        <w:spacing w:line="276" w:lineRule="exact"/>
        <w:rPr>
          <w:rFonts w:ascii="Arial" w:eastAsia="Times New Roman" w:hAnsi="Arial"/>
          <w:sz w:val="22"/>
          <w:szCs w:val="22"/>
          <w:lang w:val="es-CR"/>
        </w:rPr>
      </w:pPr>
    </w:p>
    <w:tbl>
      <w:tblPr>
        <w:tblW w:w="9060" w:type="dxa"/>
        <w:tblLook w:val="04A0" w:firstRow="1" w:lastRow="0" w:firstColumn="1" w:lastColumn="0" w:noHBand="0" w:noVBand="1"/>
      </w:tblPr>
      <w:tblGrid>
        <w:gridCol w:w="540"/>
        <w:gridCol w:w="584"/>
        <w:gridCol w:w="520"/>
        <w:gridCol w:w="11"/>
        <w:gridCol w:w="3708"/>
        <w:gridCol w:w="11"/>
        <w:gridCol w:w="1832"/>
        <w:gridCol w:w="11"/>
        <w:gridCol w:w="1832"/>
        <w:gridCol w:w="11"/>
      </w:tblGrid>
      <w:tr w:rsidR="00E8112D" w:rsidRPr="00BD7E4A" w14:paraId="430E1EA6" w14:textId="77777777" w:rsidTr="0091631A">
        <w:trPr>
          <w:trHeight w:val="320"/>
        </w:trPr>
        <w:tc>
          <w:tcPr>
            <w:tcW w:w="1655"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353EF70B" w14:textId="77777777" w:rsidR="00E8112D" w:rsidRPr="00BD7E4A" w:rsidRDefault="00E8112D"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371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B9839A3" w14:textId="77777777" w:rsidR="00E8112D" w:rsidRPr="00BD7E4A" w:rsidRDefault="00E8112D"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3686" w:type="dxa"/>
            <w:gridSpan w:val="4"/>
            <w:tcBorders>
              <w:top w:val="single" w:sz="8" w:space="0" w:color="auto"/>
              <w:left w:val="nil"/>
              <w:bottom w:val="single" w:sz="8" w:space="0" w:color="auto"/>
              <w:right w:val="single" w:sz="8" w:space="0" w:color="000000"/>
            </w:tcBorders>
            <w:shd w:val="clear" w:color="000000" w:fill="203764"/>
            <w:vAlign w:val="center"/>
            <w:hideMark/>
          </w:tcPr>
          <w:p w14:paraId="29E7F77C" w14:textId="77777777" w:rsidR="00E8112D" w:rsidRPr="00BD7E4A" w:rsidRDefault="00E8112D"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E8112D" w:rsidRPr="0091631A" w14:paraId="079A5333" w14:textId="77777777" w:rsidTr="0091631A">
        <w:trPr>
          <w:trHeight w:val="320"/>
        </w:trPr>
        <w:tc>
          <w:tcPr>
            <w:tcW w:w="1655" w:type="dxa"/>
            <w:gridSpan w:val="4"/>
            <w:vMerge/>
            <w:tcBorders>
              <w:top w:val="single" w:sz="8" w:space="0" w:color="auto"/>
              <w:left w:val="single" w:sz="8" w:space="0" w:color="auto"/>
              <w:bottom w:val="nil"/>
              <w:right w:val="single" w:sz="8" w:space="0" w:color="000000"/>
            </w:tcBorders>
            <w:vAlign w:val="center"/>
            <w:hideMark/>
          </w:tcPr>
          <w:p w14:paraId="0FBA8E8A" w14:textId="77777777" w:rsidR="00E8112D" w:rsidRPr="00BD7E4A" w:rsidRDefault="00E8112D" w:rsidP="00005DEC">
            <w:pPr>
              <w:rPr>
                <w:rFonts w:ascii="Arial Narrow" w:eastAsia="Times New Roman" w:hAnsi="Arial Narrow"/>
                <w:b/>
                <w:bCs/>
                <w:color w:val="FFFFFF"/>
                <w:sz w:val="22"/>
                <w:szCs w:val="22"/>
              </w:rPr>
            </w:pPr>
          </w:p>
        </w:tc>
        <w:tc>
          <w:tcPr>
            <w:tcW w:w="3719" w:type="dxa"/>
            <w:gridSpan w:val="2"/>
            <w:vMerge/>
            <w:tcBorders>
              <w:top w:val="single" w:sz="8" w:space="0" w:color="auto"/>
              <w:left w:val="single" w:sz="8" w:space="0" w:color="auto"/>
              <w:bottom w:val="nil"/>
              <w:right w:val="single" w:sz="8" w:space="0" w:color="auto"/>
            </w:tcBorders>
            <w:vAlign w:val="center"/>
            <w:hideMark/>
          </w:tcPr>
          <w:p w14:paraId="02FAFB82" w14:textId="77777777" w:rsidR="00E8112D" w:rsidRPr="00BD7E4A" w:rsidRDefault="00E8112D" w:rsidP="00005DEC">
            <w:pPr>
              <w:rPr>
                <w:rFonts w:ascii="Arial Narrow" w:eastAsia="Times New Roman" w:hAnsi="Arial Narrow"/>
                <w:b/>
                <w:bCs/>
                <w:color w:val="FFFFFF"/>
                <w:sz w:val="22"/>
                <w:szCs w:val="22"/>
              </w:rPr>
            </w:pPr>
          </w:p>
        </w:tc>
        <w:tc>
          <w:tcPr>
            <w:tcW w:w="1843" w:type="dxa"/>
            <w:gridSpan w:val="2"/>
            <w:tcBorders>
              <w:top w:val="nil"/>
              <w:left w:val="nil"/>
              <w:bottom w:val="nil"/>
              <w:right w:val="single" w:sz="8" w:space="0" w:color="auto"/>
            </w:tcBorders>
            <w:shd w:val="clear" w:color="000000" w:fill="203764"/>
            <w:vAlign w:val="center"/>
            <w:hideMark/>
          </w:tcPr>
          <w:p w14:paraId="718F669E" w14:textId="77777777" w:rsidR="00E8112D" w:rsidRPr="00BD7E4A" w:rsidRDefault="00E8112D"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1843" w:type="dxa"/>
            <w:gridSpan w:val="2"/>
            <w:tcBorders>
              <w:top w:val="nil"/>
              <w:left w:val="nil"/>
              <w:bottom w:val="nil"/>
              <w:right w:val="single" w:sz="8" w:space="0" w:color="auto"/>
            </w:tcBorders>
            <w:shd w:val="clear" w:color="000000" w:fill="203764"/>
            <w:vAlign w:val="center"/>
            <w:hideMark/>
          </w:tcPr>
          <w:p w14:paraId="2560A4AD" w14:textId="61EADE0F" w:rsidR="00E8112D" w:rsidRPr="0091631A" w:rsidRDefault="0091631A" w:rsidP="00005DE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E8112D" w:rsidRPr="00BD7E4A" w14:paraId="51766188" w14:textId="77777777" w:rsidTr="0091631A">
        <w:trPr>
          <w:gridAfter w:val="1"/>
          <w:wAfter w:w="11" w:type="dxa"/>
          <w:trHeight w:val="320"/>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76708B" w14:textId="5A941D20" w:rsidR="00E8112D" w:rsidRPr="00BD7E4A" w:rsidRDefault="00E8112D"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84" w:type="dxa"/>
            <w:tcBorders>
              <w:top w:val="single" w:sz="8" w:space="0" w:color="auto"/>
              <w:left w:val="nil"/>
              <w:bottom w:val="single" w:sz="8" w:space="0" w:color="auto"/>
              <w:right w:val="single" w:sz="8" w:space="0" w:color="auto"/>
            </w:tcBorders>
            <w:shd w:val="clear" w:color="auto" w:fill="auto"/>
            <w:noWrap/>
            <w:vAlign w:val="center"/>
            <w:hideMark/>
          </w:tcPr>
          <w:p w14:paraId="48C853FF" w14:textId="38CF58FE" w:rsidR="00E8112D" w:rsidRPr="00BD7E4A" w:rsidRDefault="00E8112D"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48</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484B2CC3" w14:textId="45EC45BA" w:rsidR="00E8112D" w:rsidRPr="00BD7E4A" w:rsidRDefault="00E8112D"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r w:rsidR="00376335" w:rsidRPr="00BD7E4A">
              <w:rPr>
                <w:rFonts w:ascii="Arial Narrow" w:eastAsia="Times New Roman" w:hAnsi="Arial Narrow"/>
                <w:b/>
                <w:bCs/>
                <w:color w:val="000000"/>
                <w:sz w:val="22"/>
                <w:szCs w:val="22"/>
              </w:rPr>
              <w:t>0</w:t>
            </w:r>
          </w:p>
        </w:tc>
        <w:tc>
          <w:tcPr>
            <w:tcW w:w="3719" w:type="dxa"/>
            <w:gridSpan w:val="2"/>
            <w:tcBorders>
              <w:top w:val="single" w:sz="8" w:space="0" w:color="auto"/>
              <w:left w:val="nil"/>
              <w:bottom w:val="single" w:sz="8" w:space="0" w:color="auto"/>
              <w:right w:val="single" w:sz="8" w:space="0" w:color="auto"/>
            </w:tcBorders>
            <w:shd w:val="clear" w:color="auto" w:fill="auto"/>
            <w:vAlign w:val="center"/>
            <w:hideMark/>
          </w:tcPr>
          <w:p w14:paraId="0701077D" w14:textId="3ABAA5A5" w:rsidR="00E8112D" w:rsidRPr="00BD7E4A" w:rsidRDefault="00E8112D" w:rsidP="00005DEC">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 xml:space="preserve">Cuentas </w:t>
            </w:r>
            <w:r w:rsidR="00376335" w:rsidRPr="00BD7E4A">
              <w:rPr>
                <w:rFonts w:ascii="Arial Narrow" w:eastAsia="Times New Roman" w:hAnsi="Arial Narrow"/>
                <w:b/>
                <w:bCs/>
                <w:color w:val="000000"/>
                <w:sz w:val="22"/>
                <w:szCs w:val="22"/>
                <w:lang w:val="es-CR"/>
              </w:rPr>
              <w:t xml:space="preserve">y Documentos </w:t>
            </w:r>
            <w:r w:rsidRPr="00BD7E4A">
              <w:rPr>
                <w:rFonts w:ascii="Arial Narrow" w:eastAsia="Times New Roman" w:hAnsi="Arial Narrow"/>
                <w:b/>
                <w:bCs/>
                <w:color w:val="000000"/>
                <w:sz w:val="22"/>
                <w:szCs w:val="22"/>
                <w:lang w:val="es-CR"/>
              </w:rPr>
              <w:t>por cobrar</w:t>
            </w:r>
          </w:p>
        </w:tc>
        <w:tc>
          <w:tcPr>
            <w:tcW w:w="1843" w:type="dxa"/>
            <w:gridSpan w:val="2"/>
            <w:tcBorders>
              <w:top w:val="single" w:sz="8" w:space="0" w:color="auto"/>
              <w:left w:val="nil"/>
              <w:bottom w:val="single" w:sz="8" w:space="0" w:color="auto"/>
              <w:right w:val="single" w:sz="8" w:space="0" w:color="auto"/>
            </w:tcBorders>
            <w:shd w:val="clear" w:color="auto" w:fill="auto"/>
            <w:vAlign w:val="center"/>
            <w:hideMark/>
          </w:tcPr>
          <w:p w14:paraId="4D89074C" w14:textId="04660F55" w:rsidR="00E8112D" w:rsidRPr="00BD7E4A" w:rsidRDefault="00E8112D"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lang w:val="es-CR"/>
              </w:rPr>
              <w:t> </w:t>
            </w:r>
            <w:r w:rsidR="00D01A17" w:rsidRPr="00BD7E4A">
              <w:rPr>
                <w:rFonts w:ascii="Arial Narrow" w:eastAsia="Times New Roman" w:hAnsi="Arial Narrow"/>
                <w:b/>
                <w:bCs/>
                <w:color w:val="000000"/>
                <w:sz w:val="22"/>
                <w:szCs w:val="22"/>
              </w:rPr>
              <w:t>NICSP 29, Párrafo</w:t>
            </w:r>
          </w:p>
        </w:tc>
        <w:tc>
          <w:tcPr>
            <w:tcW w:w="1843" w:type="dxa"/>
            <w:gridSpan w:val="2"/>
            <w:tcBorders>
              <w:top w:val="single" w:sz="8" w:space="0" w:color="auto"/>
              <w:left w:val="nil"/>
              <w:bottom w:val="single" w:sz="8" w:space="0" w:color="auto"/>
              <w:right w:val="single" w:sz="8" w:space="0" w:color="auto"/>
            </w:tcBorders>
            <w:shd w:val="clear" w:color="auto" w:fill="auto"/>
            <w:vAlign w:val="center"/>
            <w:hideMark/>
          </w:tcPr>
          <w:p w14:paraId="1CE9D3FD" w14:textId="77777777" w:rsidR="00E8112D" w:rsidRPr="00BD7E4A" w:rsidRDefault="00E8112D"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tr w:rsidR="000236D5" w:rsidRPr="00BD7E4A" w14:paraId="2310199E" w14:textId="77777777" w:rsidTr="0091631A">
        <w:trPr>
          <w:gridAfter w:val="1"/>
          <w:wAfter w:w="11"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5888954" w14:textId="7F2E38F3" w:rsidR="000236D5" w:rsidRPr="00BD7E4A" w:rsidRDefault="000236D5" w:rsidP="000236D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84" w:type="dxa"/>
            <w:tcBorders>
              <w:top w:val="nil"/>
              <w:left w:val="nil"/>
              <w:bottom w:val="single" w:sz="8" w:space="0" w:color="auto"/>
              <w:right w:val="single" w:sz="8" w:space="0" w:color="auto"/>
            </w:tcBorders>
            <w:shd w:val="clear" w:color="auto" w:fill="auto"/>
            <w:vAlign w:val="center"/>
            <w:hideMark/>
          </w:tcPr>
          <w:p w14:paraId="22093D13" w14:textId="0595D77A" w:rsidR="000236D5" w:rsidRPr="00BD7E4A" w:rsidRDefault="000236D5" w:rsidP="000236D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48</w:t>
            </w:r>
          </w:p>
        </w:tc>
        <w:tc>
          <w:tcPr>
            <w:tcW w:w="520" w:type="dxa"/>
            <w:tcBorders>
              <w:top w:val="nil"/>
              <w:left w:val="nil"/>
              <w:bottom w:val="single" w:sz="8" w:space="0" w:color="auto"/>
              <w:right w:val="single" w:sz="8" w:space="0" w:color="auto"/>
            </w:tcBorders>
            <w:shd w:val="clear" w:color="auto" w:fill="auto"/>
            <w:vAlign w:val="center"/>
            <w:hideMark/>
          </w:tcPr>
          <w:p w14:paraId="5778C869" w14:textId="77777777" w:rsidR="000236D5" w:rsidRPr="00BD7E4A" w:rsidRDefault="000236D5" w:rsidP="000236D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3719" w:type="dxa"/>
            <w:gridSpan w:val="2"/>
            <w:tcBorders>
              <w:top w:val="nil"/>
              <w:left w:val="nil"/>
              <w:bottom w:val="single" w:sz="8" w:space="0" w:color="auto"/>
              <w:right w:val="single" w:sz="8" w:space="0" w:color="auto"/>
            </w:tcBorders>
            <w:shd w:val="clear" w:color="auto" w:fill="auto"/>
            <w:vAlign w:val="center"/>
            <w:hideMark/>
          </w:tcPr>
          <w:p w14:paraId="4FAD3B10" w14:textId="77777777" w:rsidR="000236D5" w:rsidRPr="00BD7E4A" w:rsidRDefault="000236D5" w:rsidP="000236D5">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Reconocimiento</w:t>
            </w:r>
          </w:p>
        </w:tc>
        <w:tc>
          <w:tcPr>
            <w:tcW w:w="1843" w:type="dxa"/>
            <w:gridSpan w:val="2"/>
            <w:tcBorders>
              <w:top w:val="nil"/>
              <w:left w:val="nil"/>
              <w:bottom w:val="single" w:sz="8" w:space="0" w:color="auto"/>
              <w:right w:val="single" w:sz="8" w:space="0" w:color="auto"/>
            </w:tcBorders>
            <w:shd w:val="clear" w:color="auto" w:fill="auto"/>
            <w:vAlign w:val="center"/>
          </w:tcPr>
          <w:p w14:paraId="43BFA343" w14:textId="6F53F87F" w:rsidR="000236D5" w:rsidRPr="00BD7E4A" w:rsidRDefault="000236D5" w:rsidP="000236D5">
            <w:pPr>
              <w:jc w:val="center"/>
              <w:rPr>
                <w:rFonts w:ascii="Arial Narrow" w:eastAsia="Times New Roman" w:hAnsi="Arial Narrow"/>
                <w:b/>
                <w:bCs/>
                <w:color w:val="000000"/>
                <w:sz w:val="22"/>
                <w:szCs w:val="22"/>
              </w:rPr>
            </w:pPr>
          </w:p>
        </w:tc>
        <w:tc>
          <w:tcPr>
            <w:tcW w:w="1843" w:type="dxa"/>
            <w:gridSpan w:val="2"/>
            <w:tcBorders>
              <w:top w:val="nil"/>
              <w:left w:val="nil"/>
              <w:bottom w:val="single" w:sz="8" w:space="0" w:color="auto"/>
              <w:right w:val="single" w:sz="8" w:space="0" w:color="auto"/>
            </w:tcBorders>
            <w:shd w:val="clear" w:color="auto" w:fill="auto"/>
            <w:vAlign w:val="center"/>
            <w:hideMark/>
          </w:tcPr>
          <w:p w14:paraId="29E72200" w14:textId="2C3E5BC9" w:rsidR="000236D5" w:rsidRPr="00BD7E4A" w:rsidRDefault="000236D5" w:rsidP="000236D5">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DGCN</w:t>
            </w:r>
          </w:p>
        </w:tc>
      </w:tr>
      <w:tr w:rsidR="00E8112D" w:rsidRPr="00BD7E4A" w14:paraId="6A346640" w14:textId="77777777" w:rsidTr="0091631A">
        <w:trPr>
          <w:gridAfter w:val="1"/>
          <w:wAfter w:w="11"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3BB37E0B" w14:textId="2B4BCACC" w:rsidR="00E8112D" w:rsidRPr="00BD7E4A" w:rsidRDefault="00E8112D"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lastRenderedPageBreak/>
              <w:t>1</w:t>
            </w:r>
          </w:p>
        </w:tc>
        <w:tc>
          <w:tcPr>
            <w:tcW w:w="584" w:type="dxa"/>
            <w:tcBorders>
              <w:top w:val="nil"/>
              <w:left w:val="nil"/>
              <w:bottom w:val="single" w:sz="8" w:space="0" w:color="auto"/>
              <w:right w:val="single" w:sz="8" w:space="0" w:color="auto"/>
            </w:tcBorders>
            <w:shd w:val="clear" w:color="auto" w:fill="auto"/>
            <w:vAlign w:val="center"/>
            <w:hideMark/>
          </w:tcPr>
          <w:p w14:paraId="6FF735F3" w14:textId="15AFCC27" w:rsidR="00E8112D" w:rsidRPr="00BD7E4A" w:rsidRDefault="00E8112D"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48</w:t>
            </w:r>
          </w:p>
        </w:tc>
        <w:tc>
          <w:tcPr>
            <w:tcW w:w="520" w:type="dxa"/>
            <w:tcBorders>
              <w:top w:val="nil"/>
              <w:left w:val="nil"/>
              <w:bottom w:val="single" w:sz="8" w:space="0" w:color="auto"/>
              <w:right w:val="single" w:sz="8" w:space="0" w:color="auto"/>
            </w:tcBorders>
            <w:shd w:val="clear" w:color="auto" w:fill="auto"/>
            <w:vAlign w:val="center"/>
            <w:hideMark/>
          </w:tcPr>
          <w:p w14:paraId="79DD8FD4" w14:textId="143BDA26" w:rsidR="00E8112D" w:rsidRPr="00BD7E4A" w:rsidRDefault="00E8112D"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2</w:t>
            </w:r>
          </w:p>
        </w:tc>
        <w:tc>
          <w:tcPr>
            <w:tcW w:w="3719" w:type="dxa"/>
            <w:gridSpan w:val="2"/>
            <w:tcBorders>
              <w:top w:val="nil"/>
              <w:left w:val="nil"/>
              <w:bottom w:val="single" w:sz="8" w:space="0" w:color="auto"/>
              <w:right w:val="single" w:sz="8" w:space="0" w:color="auto"/>
            </w:tcBorders>
            <w:shd w:val="clear" w:color="auto" w:fill="auto"/>
            <w:vAlign w:val="center"/>
            <w:hideMark/>
          </w:tcPr>
          <w:p w14:paraId="43E3AF3A" w14:textId="77777777" w:rsidR="00E8112D" w:rsidRPr="00BD7E4A" w:rsidRDefault="00E8112D"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Clasificación</w:t>
            </w:r>
          </w:p>
        </w:tc>
        <w:tc>
          <w:tcPr>
            <w:tcW w:w="1843" w:type="dxa"/>
            <w:gridSpan w:val="2"/>
            <w:tcBorders>
              <w:top w:val="nil"/>
              <w:left w:val="nil"/>
              <w:bottom w:val="single" w:sz="8" w:space="0" w:color="auto"/>
              <w:right w:val="single" w:sz="8" w:space="0" w:color="auto"/>
            </w:tcBorders>
            <w:shd w:val="clear" w:color="auto" w:fill="auto"/>
            <w:vAlign w:val="center"/>
            <w:hideMark/>
          </w:tcPr>
          <w:p w14:paraId="10C61D9D" w14:textId="5A66D9D6" w:rsidR="00E8112D" w:rsidRPr="00BD7E4A" w:rsidRDefault="00E8112D"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r w:rsidR="00D01A17" w:rsidRPr="00BD7E4A">
              <w:rPr>
                <w:rFonts w:ascii="Arial Narrow" w:eastAsia="Times New Roman" w:hAnsi="Arial Narrow"/>
                <w:b/>
                <w:bCs/>
                <w:color w:val="000000"/>
                <w:sz w:val="22"/>
                <w:szCs w:val="22"/>
              </w:rPr>
              <w:t xml:space="preserve"> </w:t>
            </w:r>
          </w:p>
        </w:tc>
        <w:tc>
          <w:tcPr>
            <w:tcW w:w="1843" w:type="dxa"/>
            <w:gridSpan w:val="2"/>
            <w:tcBorders>
              <w:top w:val="nil"/>
              <w:left w:val="nil"/>
              <w:bottom w:val="single" w:sz="8" w:space="0" w:color="auto"/>
              <w:right w:val="single" w:sz="8" w:space="0" w:color="auto"/>
            </w:tcBorders>
            <w:shd w:val="clear" w:color="auto" w:fill="auto"/>
            <w:vAlign w:val="center"/>
            <w:hideMark/>
          </w:tcPr>
          <w:p w14:paraId="1B6AC5D6" w14:textId="77777777" w:rsidR="00E8112D" w:rsidRPr="00BD7E4A" w:rsidRDefault="00E8112D"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DGCN</w:t>
            </w:r>
          </w:p>
        </w:tc>
      </w:tr>
    </w:tbl>
    <w:p w14:paraId="644FDB5A" w14:textId="77777777" w:rsidR="00376335" w:rsidRDefault="00376335" w:rsidP="009E606D">
      <w:pPr>
        <w:spacing w:line="0" w:lineRule="atLeast"/>
        <w:rPr>
          <w:rFonts w:ascii="Arial" w:eastAsia="Arial" w:hAnsi="Arial"/>
          <w:b/>
          <w:sz w:val="22"/>
          <w:szCs w:val="22"/>
          <w:lang w:val="es-CR"/>
        </w:rPr>
      </w:pPr>
    </w:p>
    <w:p w14:paraId="25B0FA61" w14:textId="11822DF6" w:rsidR="00FA2715" w:rsidRDefault="00FA2715" w:rsidP="009E606D">
      <w:pPr>
        <w:spacing w:line="0" w:lineRule="atLeast"/>
        <w:rPr>
          <w:rFonts w:ascii="Arial" w:eastAsia="Arial" w:hAnsi="Arial"/>
          <w:b/>
          <w:sz w:val="22"/>
          <w:szCs w:val="22"/>
        </w:rPr>
      </w:pPr>
      <w:r w:rsidRPr="00F02F9D">
        <w:rPr>
          <w:rFonts w:ascii="Arial" w:eastAsia="Arial" w:hAnsi="Arial"/>
          <w:b/>
          <w:sz w:val="22"/>
          <w:szCs w:val="22"/>
        </w:rPr>
        <w:t>Políticas Contables</w:t>
      </w:r>
    </w:p>
    <w:p w14:paraId="480AB1F7" w14:textId="77777777" w:rsidR="00FA2715" w:rsidRDefault="00FA2715" w:rsidP="009E606D">
      <w:pPr>
        <w:spacing w:line="0" w:lineRule="atLeast"/>
        <w:rPr>
          <w:rFonts w:ascii="Arial" w:eastAsia="Arial" w:hAnsi="Arial"/>
          <w:b/>
          <w:sz w:val="22"/>
          <w:szCs w:val="22"/>
          <w:lang w:val="es-CR"/>
        </w:rPr>
      </w:pPr>
    </w:p>
    <w:p w14:paraId="0FB5766E" w14:textId="7A524DA1" w:rsidR="002D5078" w:rsidRPr="00F02F9D" w:rsidRDefault="0035187F" w:rsidP="0035187F">
      <w:pPr>
        <w:spacing w:line="26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1.48.0.01</w:t>
      </w:r>
      <w:r w:rsidRPr="00F02F9D">
        <w:rPr>
          <w:rFonts w:ascii="Arial" w:eastAsia="Arial" w:hAnsi="Arial"/>
          <w:bCs/>
          <w:sz w:val="22"/>
          <w:szCs w:val="22"/>
          <w:lang w:val="es-CR"/>
        </w:rPr>
        <w:tab/>
      </w:r>
      <w:r w:rsidR="002E3D70"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tendrá una cuenta por cobrar </w:t>
      </w:r>
      <w:r w:rsidR="00E8112D" w:rsidRPr="00F02F9D">
        <w:rPr>
          <w:rFonts w:ascii="Arial" w:eastAsia="Arial" w:hAnsi="Arial"/>
          <w:bCs/>
          <w:sz w:val="22"/>
          <w:szCs w:val="22"/>
          <w:lang w:val="es-CR"/>
        </w:rPr>
        <w:t xml:space="preserve">o documento por cobrar </w:t>
      </w:r>
      <w:r w:rsidR="008A4688" w:rsidRPr="00F02F9D">
        <w:rPr>
          <w:rFonts w:ascii="Arial" w:eastAsia="Arial" w:hAnsi="Arial"/>
          <w:bCs/>
          <w:sz w:val="22"/>
          <w:szCs w:val="22"/>
          <w:lang w:val="es-CR"/>
        </w:rPr>
        <w:t>cuando:</w:t>
      </w:r>
    </w:p>
    <w:p w14:paraId="17B27704" w14:textId="77777777" w:rsidR="002D5078" w:rsidRPr="00F02F9D" w:rsidRDefault="002D5078" w:rsidP="002D5078">
      <w:pPr>
        <w:spacing w:line="266" w:lineRule="auto"/>
        <w:ind w:right="260"/>
        <w:jc w:val="both"/>
        <w:rPr>
          <w:rFonts w:ascii="Arial" w:eastAsia="Arial" w:hAnsi="Arial"/>
          <w:bCs/>
          <w:sz w:val="22"/>
          <w:szCs w:val="22"/>
          <w:lang w:val="es-CR"/>
        </w:rPr>
      </w:pPr>
    </w:p>
    <w:p w14:paraId="45883CEC" w14:textId="21C1B519" w:rsidR="0000777F" w:rsidRDefault="002D5078">
      <w:pPr>
        <w:pStyle w:val="Prrafodelista"/>
        <w:numPr>
          <w:ilvl w:val="0"/>
          <w:numId w:val="50"/>
        </w:numPr>
        <w:spacing w:after="120"/>
        <w:ind w:left="851" w:right="261" w:hanging="284"/>
        <w:jc w:val="both"/>
        <w:rPr>
          <w:rFonts w:ascii="Arial" w:eastAsia="Arial" w:hAnsi="Arial"/>
          <w:bCs/>
          <w:sz w:val="22"/>
          <w:szCs w:val="22"/>
          <w:lang w:val="es-CR"/>
        </w:rPr>
      </w:pPr>
      <w:r w:rsidRPr="00F02F9D">
        <w:rPr>
          <w:rFonts w:ascii="Arial" w:eastAsia="Arial" w:hAnsi="Arial"/>
          <w:bCs/>
          <w:sz w:val="22"/>
          <w:szCs w:val="22"/>
          <w:lang w:val="es-CR"/>
        </w:rPr>
        <w:t>D</w:t>
      </w:r>
      <w:r w:rsidR="008A4688" w:rsidRPr="00F02F9D">
        <w:rPr>
          <w:rFonts w:ascii="Arial" w:eastAsia="Arial" w:hAnsi="Arial"/>
          <w:bCs/>
          <w:sz w:val="22"/>
          <w:szCs w:val="22"/>
          <w:lang w:val="es-CR"/>
        </w:rPr>
        <w:t xml:space="preserve">ebido a un hecho ya ocurrido un tercero tenga una obligación de entregar un activo </w:t>
      </w:r>
      <w:r w:rsidR="00AF4FC4" w:rsidRPr="00F02F9D">
        <w:rPr>
          <w:rFonts w:ascii="Arial" w:eastAsia="Arial" w:hAnsi="Arial"/>
          <w:bCs/>
          <w:sz w:val="22"/>
          <w:szCs w:val="22"/>
          <w:lang w:val="es-CR"/>
        </w:rPr>
        <w:t xml:space="preserve">a </w:t>
      </w:r>
      <w:r w:rsidR="008A4688" w:rsidRPr="00F02F9D">
        <w:rPr>
          <w:rFonts w:ascii="Arial" w:eastAsia="Arial" w:hAnsi="Arial"/>
          <w:bCs/>
          <w:sz w:val="22"/>
          <w:szCs w:val="22"/>
          <w:lang w:val="es-CR"/>
        </w:rPr>
        <w:t xml:space="preserve">la </w:t>
      </w:r>
      <w:r w:rsidR="00B0683E" w:rsidRPr="00F02F9D">
        <w:rPr>
          <w:rFonts w:ascii="Arial" w:eastAsia="Arial" w:hAnsi="Arial"/>
          <w:bCs/>
          <w:sz w:val="22"/>
          <w:szCs w:val="22"/>
          <w:lang w:val="es-CR"/>
        </w:rPr>
        <w:t>Municipalidad</w:t>
      </w:r>
      <w:r w:rsidR="00AF4FC4" w:rsidRPr="00F02F9D">
        <w:rPr>
          <w:rFonts w:ascii="Arial" w:eastAsia="Arial" w:hAnsi="Arial"/>
          <w:bCs/>
          <w:sz w:val="22"/>
          <w:szCs w:val="22"/>
          <w:lang w:val="es-CR"/>
        </w:rPr>
        <w:t xml:space="preserve">; y </w:t>
      </w:r>
      <w:r w:rsidR="00376335">
        <w:rPr>
          <w:rFonts w:ascii="Arial" w:eastAsia="Arial" w:hAnsi="Arial"/>
          <w:bCs/>
          <w:sz w:val="22"/>
          <w:szCs w:val="22"/>
          <w:lang w:val="es-CR"/>
        </w:rPr>
        <w:t>la Municipalidad</w:t>
      </w:r>
      <w:r w:rsidR="00AF4FC4" w:rsidRPr="00F02F9D">
        <w:rPr>
          <w:rFonts w:ascii="Arial" w:eastAsia="Arial" w:hAnsi="Arial"/>
          <w:bCs/>
          <w:sz w:val="22"/>
          <w:szCs w:val="22"/>
          <w:lang w:val="es-CR"/>
        </w:rPr>
        <w:t xml:space="preserve"> la obligación de prestar un servicio o dar un derecho al tercero</w:t>
      </w:r>
      <w:r w:rsidR="008A4688" w:rsidRPr="00F02F9D">
        <w:rPr>
          <w:rFonts w:ascii="Arial" w:eastAsia="Arial" w:hAnsi="Arial"/>
          <w:bCs/>
          <w:sz w:val="22"/>
          <w:szCs w:val="22"/>
          <w:lang w:val="es-CR"/>
        </w:rPr>
        <w:t>;</w:t>
      </w:r>
      <w:r w:rsidRPr="00F02F9D">
        <w:rPr>
          <w:rFonts w:ascii="Arial" w:eastAsia="Arial" w:hAnsi="Arial"/>
          <w:bCs/>
          <w:sz w:val="22"/>
          <w:szCs w:val="22"/>
          <w:lang w:val="es-CR"/>
        </w:rPr>
        <w:t xml:space="preserve"> </w:t>
      </w:r>
    </w:p>
    <w:p w14:paraId="557FCB14" w14:textId="77777777" w:rsidR="00376335" w:rsidRPr="00F02F9D" w:rsidRDefault="00376335" w:rsidP="00376335">
      <w:pPr>
        <w:pStyle w:val="Prrafodelista"/>
        <w:spacing w:after="120"/>
        <w:ind w:left="851" w:right="261"/>
        <w:jc w:val="both"/>
        <w:rPr>
          <w:rFonts w:ascii="Arial" w:eastAsia="Arial" w:hAnsi="Arial"/>
          <w:bCs/>
          <w:sz w:val="22"/>
          <w:szCs w:val="22"/>
          <w:lang w:val="es-CR"/>
        </w:rPr>
      </w:pPr>
    </w:p>
    <w:p w14:paraId="2C6DE927" w14:textId="222F4425" w:rsidR="007377D0" w:rsidRPr="00F02F9D" w:rsidRDefault="008A4688">
      <w:pPr>
        <w:pStyle w:val="Prrafodelista"/>
        <w:numPr>
          <w:ilvl w:val="0"/>
          <w:numId w:val="50"/>
        </w:numPr>
        <w:spacing w:after="120"/>
        <w:ind w:left="851" w:right="261" w:hanging="284"/>
        <w:jc w:val="both"/>
        <w:rPr>
          <w:rFonts w:ascii="Arial" w:eastAsia="Arial" w:hAnsi="Arial"/>
          <w:bCs/>
          <w:sz w:val="22"/>
          <w:szCs w:val="22"/>
          <w:lang w:val="es-CR"/>
        </w:rPr>
      </w:pPr>
      <w:r w:rsidRPr="00F02F9D">
        <w:rPr>
          <w:rFonts w:ascii="Arial" w:eastAsia="Arial" w:hAnsi="Arial"/>
          <w:bCs/>
          <w:sz w:val="22"/>
          <w:szCs w:val="22"/>
          <w:lang w:val="es-CR"/>
        </w:rPr>
        <w:t>La cancelación de dicha obligación</w:t>
      </w:r>
      <w:r w:rsidR="002D5078" w:rsidRPr="00F02F9D">
        <w:rPr>
          <w:rFonts w:ascii="Arial" w:eastAsia="Arial" w:hAnsi="Arial"/>
          <w:bCs/>
          <w:sz w:val="22"/>
          <w:szCs w:val="22"/>
          <w:lang w:val="es-CR"/>
        </w:rPr>
        <w:t xml:space="preserve"> </w:t>
      </w:r>
      <w:r w:rsidRPr="00F02F9D">
        <w:rPr>
          <w:rFonts w:ascii="Arial" w:eastAsia="Arial" w:hAnsi="Arial"/>
          <w:bCs/>
          <w:sz w:val="22"/>
          <w:szCs w:val="22"/>
          <w:lang w:val="es-CR"/>
        </w:rPr>
        <w:t>sea ineludible o probable;</w:t>
      </w:r>
      <w:bookmarkStart w:id="26" w:name="page15"/>
      <w:bookmarkEnd w:id="26"/>
      <w:r w:rsidR="002D5078" w:rsidRPr="00F02F9D">
        <w:rPr>
          <w:rFonts w:ascii="Arial" w:eastAsia="Arial" w:hAnsi="Arial"/>
          <w:bCs/>
          <w:sz w:val="22"/>
          <w:szCs w:val="22"/>
          <w:lang w:val="es-CR"/>
        </w:rPr>
        <w:t xml:space="preserve"> </w:t>
      </w:r>
      <w:r w:rsidRPr="00F02F9D">
        <w:rPr>
          <w:rFonts w:ascii="Arial" w:eastAsia="Arial" w:hAnsi="Arial"/>
          <w:bCs/>
          <w:sz w:val="22"/>
          <w:szCs w:val="22"/>
          <w:lang w:val="es-CR"/>
        </w:rPr>
        <w:t>deba efectuarse en una fecha determinada o determinable debido a la ocurrencia de cierto hecho.</w:t>
      </w:r>
    </w:p>
    <w:p w14:paraId="71C93F3C" w14:textId="77777777" w:rsidR="00FA0E56" w:rsidRDefault="00FA0E56" w:rsidP="00FA0E56">
      <w:pPr>
        <w:pStyle w:val="Prrafodelista"/>
        <w:spacing w:line="276" w:lineRule="exact"/>
        <w:rPr>
          <w:rFonts w:ascii="Arial" w:eastAsia="Times New Roman" w:hAnsi="Arial"/>
          <w:b/>
          <w:bCs/>
          <w:sz w:val="22"/>
          <w:szCs w:val="22"/>
          <w:lang w:val="es-CR"/>
        </w:rPr>
      </w:pPr>
    </w:p>
    <w:p w14:paraId="18C66495" w14:textId="77777777" w:rsidR="00FA0E56" w:rsidRDefault="00FA0E56" w:rsidP="009E606D">
      <w:pPr>
        <w:pStyle w:val="Prrafodelista"/>
        <w:spacing w:line="276" w:lineRule="exact"/>
        <w:ind w:left="0"/>
        <w:rPr>
          <w:rFonts w:ascii="Arial" w:eastAsia="Times New Roman" w:hAnsi="Arial"/>
          <w:b/>
          <w:bCs/>
          <w:sz w:val="22"/>
          <w:szCs w:val="22"/>
          <w:lang w:val="es-CR"/>
        </w:rPr>
      </w:pPr>
      <w:r w:rsidRPr="00F02F9D">
        <w:rPr>
          <w:rFonts w:ascii="Arial" w:eastAsia="Times New Roman" w:hAnsi="Arial"/>
          <w:b/>
          <w:bCs/>
          <w:sz w:val="22"/>
          <w:szCs w:val="22"/>
          <w:lang w:val="es-CR"/>
        </w:rPr>
        <w:t>Reconocimiento</w:t>
      </w:r>
    </w:p>
    <w:p w14:paraId="7CD8A356" w14:textId="77777777" w:rsidR="009E606D" w:rsidRDefault="009E606D" w:rsidP="009E606D">
      <w:pPr>
        <w:pStyle w:val="Prrafodelista"/>
        <w:spacing w:line="276" w:lineRule="exact"/>
        <w:ind w:left="0"/>
        <w:rPr>
          <w:rFonts w:ascii="Arial" w:eastAsia="Times New Roman" w:hAnsi="Arial"/>
          <w:b/>
          <w:bCs/>
          <w:sz w:val="22"/>
          <w:szCs w:val="22"/>
          <w:lang w:val="es-CR"/>
        </w:rPr>
      </w:pPr>
    </w:p>
    <w:p w14:paraId="2DFA2B80" w14:textId="7B801C2C" w:rsidR="00AF4FC4" w:rsidRPr="009B0643" w:rsidRDefault="008A4688" w:rsidP="000331D1">
      <w:pPr>
        <w:pStyle w:val="Prrafodelista"/>
        <w:numPr>
          <w:ilvl w:val="3"/>
          <w:numId w:val="12"/>
        </w:numPr>
        <w:spacing w:line="0" w:lineRule="atLeast"/>
        <w:ind w:left="1134" w:hanging="1134"/>
        <w:jc w:val="both"/>
        <w:rPr>
          <w:rFonts w:ascii="Arial" w:eastAsia="Arial" w:hAnsi="Arial"/>
          <w:bCs/>
          <w:sz w:val="22"/>
          <w:szCs w:val="22"/>
          <w:lang w:val="es-CR"/>
        </w:rPr>
      </w:pPr>
      <w:r w:rsidRPr="00F02F9D">
        <w:rPr>
          <w:rFonts w:ascii="Arial" w:eastAsia="Arial" w:hAnsi="Arial"/>
          <w:bCs/>
          <w:sz w:val="22"/>
          <w:szCs w:val="22"/>
          <w:lang w:val="es-CR"/>
        </w:rPr>
        <w:t xml:space="preserve">Las </w:t>
      </w:r>
      <w:r w:rsidR="00DE39F4" w:rsidRPr="00F02F9D">
        <w:rPr>
          <w:rFonts w:ascii="Arial" w:eastAsia="Arial" w:hAnsi="Arial"/>
          <w:bCs/>
          <w:sz w:val="22"/>
          <w:szCs w:val="22"/>
          <w:lang w:val="es-CR"/>
        </w:rPr>
        <w:t>C</w:t>
      </w:r>
      <w:r w:rsidRPr="00F02F9D">
        <w:rPr>
          <w:rFonts w:ascii="Arial" w:eastAsia="Arial" w:hAnsi="Arial"/>
          <w:bCs/>
          <w:sz w:val="22"/>
          <w:szCs w:val="22"/>
          <w:lang w:val="es-CR"/>
        </w:rPr>
        <w:t xml:space="preserve">uentas por </w:t>
      </w:r>
      <w:r w:rsidR="00DE39F4" w:rsidRPr="00F02F9D">
        <w:rPr>
          <w:rFonts w:ascii="Arial" w:eastAsia="Arial" w:hAnsi="Arial"/>
          <w:bCs/>
          <w:sz w:val="22"/>
          <w:szCs w:val="22"/>
          <w:lang w:val="es-CR"/>
        </w:rPr>
        <w:t>C</w:t>
      </w:r>
      <w:r w:rsidRPr="00F02F9D">
        <w:rPr>
          <w:rFonts w:ascii="Arial" w:eastAsia="Arial" w:hAnsi="Arial"/>
          <w:bCs/>
          <w:sz w:val="22"/>
          <w:szCs w:val="22"/>
          <w:lang w:val="es-CR"/>
        </w:rPr>
        <w:t xml:space="preserve">obrar se </w:t>
      </w:r>
      <w:r w:rsidR="006674F4" w:rsidRPr="00F02F9D">
        <w:rPr>
          <w:rFonts w:ascii="Arial" w:eastAsia="Arial" w:hAnsi="Arial"/>
          <w:bCs/>
          <w:sz w:val="22"/>
          <w:szCs w:val="22"/>
          <w:lang w:val="es-CR"/>
        </w:rPr>
        <w:t>reconocerán</w:t>
      </w:r>
      <w:r w:rsidR="00511CA1" w:rsidRPr="00F02F9D">
        <w:rPr>
          <w:rFonts w:ascii="Arial" w:eastAsia="Arial" w:hAnsi="Arial"/>
          <w:bCs/>
          <w:sz w:val="22"/>
          <w:szCs w:val="22"/>
          <w:lang w:val="es-CR"/>
        </w:rPr>
        <w:t xml:space="preserve"> cuando</w:t>
      </w:r>
      <w:r w:rsidR="006674F4" w:rsidRPr="00F02F9D">
        <w:rPr>
          <w:rFonts w:ascii="Arial" w:eastAsia="Arial" w:hAnsi="Arial"/>
          <w:bCs/>
          <w:sz w:val="22"/>
          <w:szCs w:val="22"/>
          <w:lang w:val="es-CR"/>
        </w:rPr>
        <w:t xml:space="preserve"> la Municipalidad adquiere los derechos exigibles</w:t>
      </w:r>
      <w:r w:rsidR="00DE39F4" w:rsidRPr="00F02F9D">
        <w:rPr>
          <w:rFonts w:ascii="Arial" w:eastAsia="Arial" w:hAnsi="Arial"/>
          <w:bCs/>
          <w:sz w:val="22"/>
          <w:szCs w:val="22"/>
          <w:lang w:val="es-CR"/>
        </w:rPr>
        <w:t xml:space="preserve"> </w:t>
      </w:r>
      <w:r w:rsidR="006674F4" w:rsidRPr="00F02F9D">
        <w:rPr>
          <w:rFonts w:ascii="Arial" w:eastAsia="Arial" w:hAnsi="Arial"/>
          <w:bCs/>
          <w:sz w:val="22"/>
          <w:szCs w:val="22"/>
          <w:lang w:val="es-CR"/>
        </w:rPr>
        <w:t xml:space="preserve">a </w:t>
      </w:r>
      <w:r w:rsidR="00DE39F4" w:rsidRPr="00F02F9D">
        <w:rPr>
          <w:rFonts w:ascii="Arial" w:eastAsia="Arial" w:hAnsi="Arial"/>
          <w:bCs/>
          <w:sz w:val="22"/>
          <w:szCs w:val="22"/>
          <w:lang w:val="es-CR"/>
        </w:rPr>
        <w:t>la</w:t>
      </w:r>
      <w:r w:rsidR="006674F4" w:rsidRPr="00F02F9D">
        <w:rPr>
          <w:rFonts w:ascii="Arial" w:eastAsia="Arial" w:hAnsi="Arial"/>
          <w:bCs/>
          <w:sz w:val="22"/>
          <w:szCs w:val="22"/>
          <w:lang w:val="es-CR"/>
        </w:rPr>
        <w:t>s</w:t>
      </w:r>
      <w:r w:rsidR="00DE39F4" w:rsidRPr="00F02F9D">
        <w:rPr>
          <w:rFonts w:ascii="Arial" w:eastAsia="Arial" w:hAnsi="Arial"/>
          <w:bCs/>
          <w:sz w:val="22"/>
          <w:szCs w:val="22"/>
          <w:lang w:val="es-CR"/>
        </w:rPr>
        <w:t xml:space="preserve"> tasa o precio de los servicios prestados,</w:t>
      </w:r>
      <w:r w:rsidR="006674F4" w:rsidRPr="00F02F9D">
        <w:rPr>
          <w:rFonts w:ascii="Arial" w:eastAsia="Arial" w:hAnsi="Arial"/>
          <w:bCs/>
          <w:sz w:val="22"/>
          <w:szCs w:val="22"/>
          <w:lang w:val="es-CR"/>
        </w:rPr>
        <w:t xml:space="preserve"> o a</w:t>
      </w:r>
      <w:r w:rsidR="00DE39F4" w:rsidRPr="00F02F9D">
        <w:rPr>
          <w:rFonts w:ascii="Arial" w:eastAsia="Arial" w:hAnsi="Arial"/>
          <w:bCs/>
          <w:sz w:val="22"/>
          <w:szCs w:val="22"/>
          <w:lang w:val="es-CR"/>
        </w:rPr>
        <w:t xml:space="preserve"> </w:t>
      </w:r>
      <w:r w:rsidR="006674F4" w:rsidRPr="00F02F9D">
        <w:rPr>
          <w:rFonts w:ascii="Arial" w:eastAsia="Arial" w:hAnsi="Arial"/>
          <w:bCs/>
          <w:sz w:val="22"/>
          <w:szCs w:val="22"/>
          <w:lang w:val="es-CR"/>
        </w:rPr>
        <w:t>los</w:t>
      </w:r>
      <w:r w:rsidR="00DE39F4" w:rsidRPr="00F02F9D">
        <w:rPr>
          <w:rFonts w:ascii="Arial" w:eastAsia="Arial" w:hAnsi="Arial"/>
          <w:bCs/>
          <w:sz w:val="22"/>
          <w:szCs w:val="22"/>
          <w:lang w:val="es-CR"/>
        </w:rPr>
        <w:t xml:space="preserve"> impuestos y patentes facultados por una ley</w:t>
      </w:r>
      <w:r w:rsidR="006674F4" w:rsidRPr="00F02F9D">
        <w:rPr>
          <w:rFonts w:ascii="Arial" w:eastAsia="Arial" w:hAnsi="Arial"/>
          <w:bCs/>
          <w:sz w:val="22"/>
          <w:szCs w:val="22"/>
          <w:lang w:val="es-CR"/>
        </w:rPr>
        <w:t xml:space="preserve">, </w:t>
      </w:r>
      <w:r w:rsidR="00AF4FC4" w:rsidRPr="00F02F9D">
        <w:rPr>
          <w:rFonts w:ascii="Arial" w:eastAsia="Arial" w:hAnsi="Arial"/>
          <w:bCs/>
          <w:sz w:val="22"/>
          <w:szCs w:val="22"/>
          <w:lang w:val="es-CR"/>
        </w:rPr>
        <w:t>cuando s</w:t>
      </w:r>
      <w:r w:rsidRPr="00F02F9D">
        <w:rPr>
          <w:rFonts w:ascii="Arial" w:hAnsi="Arial"/>
          <w:sz w:val="22"/>
          <w:szCs w:val="22"/>
          <w:lang w:val="es-CR"/>
        </w:rPr>
        <w:t>e ha devengado el hecho imponible generador de un impuesto</w:t>
      </w:r>
      <w:r w:rsidR="00062527" w:rsidRPr="00F02F9D">
        <w:rPr>
          <w:rFonts w:ascii="Arial" w:hAnsi="Arial"/>
          <w:sz w:val="22"/>
          <w:szCs w:val="22"/>
          <w:lang w:val="es-CR"/>
        </w:rPr>
        <w:t xml:space="preserve"> o patente</w:t>
      </w:r>
      <w:r w:rsidR="00511CA1" w:rsidRPr="00F02F9D">
        <w:rPr>
          <w:rFonts w:ascii="Arial" w:hAnsi="Arial"/>
          <w:sz w:val="22"/>
          <w:szCs w:val="22"/>
          <w:lang w:val="es-CR"/>
        </w:rPr>
        <w:t>,</w:t>
      </w:r>
      <w:r w:rsidR="00E8112D" w:rsidRPr="00F02F9D">
        <w:rPr>
          <w:rFonts w:ascii="Arial" w:hAnsi="Arial"/>
          <w:sz w:val="22"/>
          <w:szCs w:val="22"/>
          <w:lang w:val="es-CR"/>
        </w:rPr>
        <w:t xml:space="preserve"> </w:t>
      </w:r>
      <w:r w:rsidRPr="00F02F9D">
        <w:rPr>
          <w:rFonts w:ascii="Arial" w:hAnsi="Arial"/>
          <w:sz w:val="22"/>
          <w:szCs w:val="22"/>
          <w:lang w:val="es-CR"/>
        </w:rPr>
        <w:t>por la venta de bienes y servicios</w:t>
      </w:r>
      <w:r w:rsidR="00511CA1" w:rsidRPr="00F02F9D">
        <w:rPr>
          <w:rFonts w:ascii="Arial" w:hAnsi="Arial"/>
          <w:sz w:val="22"/>
          <w:szCs w:val="22"/>
          <w:lang w:val="es-CR"/>
        </w:rPr>
        <w:t>,</w:t>
      </w:r>
      <w:r w:rsidRPr="00F02F9D">
        <w:rPr>
          <w:rFonts w:ascii="Arial" w:hAnsi="Arial"/>
          <w:sz w:val="22"/>
          <w:szCs w:val="22"/>
          <w:lang w:val="es-CR"/>
        </w:rPr>
        <w:t xml:space="preserve"> por el alquiler de propiedades</w:t>
      </w:r>
      <w:r w:rsidR="00062527" w:rsidRPr="00F02F9D">
        <w:rPr>
          <w:rFonts w:ascii="Arial" w:hAnsi="Arial"/>
          <w:sz w:val="22"/>
          <w:szCs w:val="22"/>
          <w:lang w:val="es-CR"/>
        </w:rPr>
        <w:t xml:space="preserve"> y por los anticipos </w:t>
      </w:r>
      <w:r w:rsidR="00376335">
        <w:rPr>
          <w:rFonts w:ascii="Arial" w:hAnsi="Arial"/>
          <w:sz w:val="22"/>
          <w:szCs w:val="22"/>
          <w:lang w:val="es-CR"/>
        </w:rPr>
        <w:t>recibidos</w:t>
      </w:r>
      <w:r w:rsidRPr="00F02F9D">
        <w:rPr>
          <w:rFonts w:ascii="Arial" w:hAnsi="Arial"/>
          <w:sz w:val="22"/>
          <w:szCs w:val="22"/>
          <w:lang w:val="es-CR"/>
        </w:rPr>
        <w:t>;</w:t>
      </w:r>
      <w:r w:rsidR="00062527" w:rsidRPr="00F02F9D">
        <w:rPr>
          <w:rFonts w:ascii="Arial" w:hAnsi="Arial"/>
          <w:sz w:val="22"/>
          <w:szCs w:val="22"/>
          <w:lang w:val="es-CR"/>
        </w:rPr>
        <w:t xml:space="preserve"> de acuerdo con lo siguiente</w:t>
      </w:r>
      <w:r w:rsidR="00376335">
        <w:rPr>
          <w:rFonts w:ascii="Arial" w:hAnsi="Arial"/>
          <w:sz w:val="22"/>
          <w:szCs w:val="22"/>
          <w:lang w:val="es-CR"/>
        </w:rPr>
        <w:t>:</w:t>
      </w:r>
    </w:p>
    <w:p w14:paraId="709B76FE" w14:textId="77777777" w:rsidR="009B0643" w:rsidRPr="00F02F9D" w:rsidRDefault="009B0643" w:rsidP="009B0643">
      <w:pPr>
        <w:pStyle w:val="Prrafodelista"/>
        <w:spacing w:line="0" w:lineRule="atLeast"/>
        <w:ind w:left="1506"/>
        <w:jc w:val="both"/>
        <w:rPr>
          <w:rFonts w:ascii="Arial" w:eastAsia="Arial" w:hAnsi="Arial"/>
          <w:bCs/>
          <w:sz w:val="22"/>
          <w:szCs w:val="22"/>
          <w:lang w:val="es-CR"/>
        </w:rPr>
      </w:pPr>
    </w:p>
    <w:p w14:paraId="4DFCE34D" w14:textId="06C0AFEB" w:rsidR="00AF4FC4" w:rsidRPr="00F02F9D" w:rsidRDefault="00062527">
      <w:pPr>
        <w:pStyle w:val="Prrafodelista"/>
        <w:numPr>
          <w:ilvl w:val="3"/>
          <w:numId w:val="85"/>
        </w:numPr>
        <w:spacing w:after="120" w:line="0" w:lineRule="atLeast"/>
        <w:ind w:left="1843" w:hanging="284"/>
        <w:contextualSpacing w:val="0"/>
        <w:jc w:val="both"/>
        <w:rPr>
          <w:rFonts w:ascii="Arial" w:eastAsia="Arial" w:hAnsi="Arial"/>
          <w:bCs/>
          <w:sz w:val="22"/>
          <w:szCs w:val="22"/>
          <w:lang w:val="es-CR"/>
        </w:rPr>
      </w:pPr>
      <w:r w:rsidRPr="00F02F9D">
        <w:rPr>
          <w:rFonts w:ascii="Arial" w:hAnsi="Arial"/>
          <w:sz w:val="22"/>
          <w:szCs w:val="22"/>
          <w:lang w:val="es-CR"/>
        </w:rPr>
        <w:t>Los servicios prestados se reconocerán por trimestre vencido a la prestación efectiva de los servicios en los meses de enero, abril, julio y octubre.</w:t>
      </w:r>
      <w:r w:rsidR="009946A6" w:rsidRPr="00F02F9D">
        <w:rPr>
          <w:rFonts w:ascii="Arial" w:hAnsi="Arial"/>
          <w:sz w:val="22"/>
          <w:szCs w:val="22"/>
          <w:lang w:val="es-CR"/>
        </w:rPr>
        <w:t xml:space="preserve"> (artículo 83 Código Municipal).</w:t>
      </w:r>
    </w:p>
    <w:p w14:paraId="78827F15" w14:textId="71C7B0D4" w:rsidR="00AF4FC4" w:rsidRPr="00F02F9D" w:rsidRDefault="00AF4FC4">
      <w:pPr>
        <w:pStyle w:val="Prrafodelista"/>
        <w:numPr>
          <w:ilvl w:val="3"/>
          <w:numId w:val="85"/>
        </w:numPr>
        <w:spacing w:after="120" w:line="0" w:lineRule="atLeast"/>
        <w:ind w:left="1843" w:hanging="284"/>
        <w:contextualSpacing w:val="0"/>
        <w:jc w:val="both"/>
        <w:rPr>
          <w:rFonts w:ascii="Arial" w:eastAsia="Arial" w:hAnsi="Arial"/>
          <w:bCs/>
          <w:sz w:val="22"/>
          <w:szCs w:val="22"/>
          <w:lang w:val="es-CR"/>
        </w:rPr>
      </w:pPr>
      <w:r w:rsidRPr="00F02F9D">
        <w:rPr>
          <w:rFonts w:ascii="Arial" w:hAnsi="Arial"/>
          <w:sz w:val="22"/>
          <w:szCs w:val="22"/>
          <w:lang w:val="es-CR"/>
        </w:rPr>
        <w:t>L</w:t>
      </w:r>
      <w:r w:rsidR="00062527" w:rsidRPr="00F02F9D">
        <w:rPr>
          <w:rFonts w:ascii="Arial" w:hAnsi="Arial"/>
          <w:sz w:val="22"/>
          <w:szCs w:val="22"/>
          <w:lang w:val="es-CR"/>
        </w:rPr>
        <w:t xml:space="preserve">os impuestos por patentes comerciales y de licores, </w:t>
      </w:r>
      <w:r w:rsidRPr="00F02F9D">
        <w:rPr>
          <w:rFonts w:ascii="Arial" w:hAnsi="Arial"/>
          <w:sz w:val="22"/>
          <w:szCs w:val="22"/>
          <w:lang w:val="es-CR"/>
        </w:rPr>
        <w:t xml:space="preserve">se reconocerán </w:t>
      </w:r>
      <w:r w:rsidR="00062527" w:rsidRPr="00F02F9D">
        <w:rPr>
          <w:rFonts w:ascii="Arial" w:hAnsi="Arial"/>
          <w:sz w:val="22"/>
          <w:szCs w:val="22"/>
          <w:lang w:val="es-CR"/>
        </w:rPr>
        <w:t xml:space="preserve">por trimestre adelantado en los meses de </w:t>
      </w:r>
      <w:r w:rsidR="000F29DC" w:rsidRPr="00F02F9D">
        <w:rPr>
          <w:rFonts w:ascii="Arial" w:hAnsi="Arial"/>
          <w:sz w:val="22"/>
          <w:szCs w:val="22"/>
          <w:lang w:val="es-CR"/>
        </w:rPr>
        <w:t>dicie</w:t>
      </w:r>
      <w:r w:rsidR="000F29DC">
        <w:rPr>
          <w:rFonts w:ascii="Arial" w:hAnsi="Arial"/>
          <w:sz w:val="22"/>
          <w:szCs w:val="22"/>
          <w:lang w:val="es-CR"/>
        </w:rPr>
        <w:t>mbr</w:t>
      </w:r>
      <w:r w:rsidR="000F29DC" w:rsidRPr="00F02F9D">
        <w:rPr>
          <w:rFonts w:ascii="Arial" w:hAnsi="Arial"/>
          <w:sz w:val="22"/>
          <w:szCs w:val="22"/>
          <w:lang w:val="es-CR"/>
        </w:rPr>
        <w:t>e</w:t>
      </w:r>
      <w:r w:rsidR="00062527" w:rsidRPr="00F02F9D">
        <w:rPr>
          <w:rFonts w:ascii="Arial" w:hAnsi="Arial"/>
          <w:sz w:val="22"/>
          <w:szCs w:val="22"/>
          <w:lang w:val="es-CR"/>
        </w:rPr>
        <w:t xml:space="preserve">, marzo, junio y </w:t>
      </w:r>
      <w:r w:rsidR="000F29DC" w:rsidRPr="00F02F9D">
        <w:rPr>
          <w:rFonts w:ascii="Arial" w:hAnsi="Arial"/>
          <w:sz w:val="22"/>
          <w:szCs w:val="22"/>
          <w:lang w:val="es-CR"/>
        </w:rPr>
        <w:t>septi</w:t>
      </w:r>
      <w:r w:rsidR="000F29DC">
        <w:rPr>
          <w:rFonts w:ascii="Arial" w:hAnsi="Arial"/>
          <w:sz w:val="22"/>
          <w:szCs w:val="22"/>
          <w:lang w:val="es-CR"/>
        </w:rPr>
        <w:t>emb</w:t>
      </w:r>
      <w:r w:rsidR="000F29DC" w:rsidRPr="00F02F9D">
        <w:rPr>
          <w:rFonts w:ascii="Arial" w:hAnsi="Arial"/>
          <w:sz w:val="22"/>
          <w:szCs w:val="22"/>
          <w:lang w:val="es-CR"/>
        </w:rPr>
        <w:t>re</w:t>
      </w:r>
      <w:r w:rsidR="00062527" w:rsidRPr="00F02F9D">
        <w:rPr>
          <w:rFonts w:ascii="Arial" w:hAnsi="Arial"/>
          <w:sz w:val="22"/>
          <w:szCs w:val="22"/>
          <w:lang w:val="es-CR"/>
        </w:rPr>
        <w:t>.</w:t>
      </w:r>
      <w:r w:rsidR="009946A6" w:rsidRPr="00F02F9D">
        <w:rPr>
          <w:rFonts w:ascii="Arial" w:hAnsi="Arial"/>
          <w:sz w:val="22"/>
          <w:szCs w:val="22"/>
          <w:lang w:val="es-CR"/>
        </w:rPr>
        <w:t xml:space="preserve"> (Artículo 78 Código Municipal).</w:t>
      </w:r>
    </w:p>
    <w:p w14:paraId="03FC59AD" w14:textId="5D38DF95" w:rsidR="00AF4FC4" w:rsidRPr="00F02F9D" w:rsidRDefault="00062527">
      <w:pPr>
        <w:pStyle w:val="Prrafodelista"/>
        <w:numPr>
          <w:ilvl w:val="3"/>
          <w:numId w:val="85"/>
        </w:numPr>
        <w:spacing w:after="120" w:line="0" w:lineRule="atLeast"/>
        <w:ind w:left="1843" w:hanging="284"/>
        <w:contextualSpacing w:val="0"/>
        <w:jc w:val="both"/>
        <w:rPr>
          <w:rFonts w:ascii="Arial" w:eastAsia="Arial" w:hAnsi="Arial"/>
          <w:bCs/>
          <w:sz w:val="22"/>
          <w:szCs w:val="22"/>
          <w:lang w:val="es-CR"/>
        </w:rPr>
      </w:pPr>
      <w:r w:rsidRPr="00F02F9D">
        <w:rPr>
          <w:rFonts w:ascii="Arial" w:hAnsi="Arial"/>
          <w:sz w:val="22"/>
          <w:szCs w:val="22"/>
          <w:lang w:val="es-CR"/>
        </w:rPr>
        <w:t xml:space="preserve">Los impuestos sobre bienes inmuebles se reconocerán por trimestre vencido en los meses de marzo, junio, </w:t>
      </w:r>
      <w:r w:rsidR="000F29DC" w:rsidRPr="00F02F9D">
        <w:rPr>
          <w:rFonts w:ascii="Arial" w:hAnsi="Arial"/>
          <w:sz w:val="22"/>
          <w:szCs w:val="22"/>
          <w:lang w:val="es-CR"/>
        </w:rPr>
        <w:t>septi</w:t>
      </w:r>
      <w:r w:rsidR="000F29DC">
        <w:rPr>
          <w:rFonts w:ascii="Arial" w:hAnsi="Arial"/>
          <w:sz w:val="22"/>
          <w:szCs w:val="22"/>
          <w:lang w:val="es-CR"/>
        </w:rPr>
        <w:t>emb</w:t>
      </w:r>
      <w:r w:rsidR="000F29DC" w:rsidRPr="00F02F9D">
        <w:rPr>
          <w:rFonts w:ascii="Arial" w:hAnsi="Arial"/>
          <w:sz w:val="22"/>
          <w:szCs w:val="22"/>
          <w:lang w:val="es-CR"/>
        </w:rPr>
        <w:t>re</w:t>
      </w:r>
      <w:r w:rsidRPr="00F02F9D">
        <w:rPr>
          <w:rFonts w:ascii="Arial" w:hAnsi="Arial"/>
          <w:sz w:val="22"/>
          <w:szCs w:val="22"/>
          <w:lang w:val="es-CR"/>
        </w:rPr>
        <w:t xml:space="preserve"> y </w:t>
      </w:r>
      <w:r w:rsidR="000F29DC" w:rsidRPr="00F02F9D">
        <w:rPr>
          <w:rFonts w:ascii="Arial" w:hAnsi="Arial"/>
          <w:sz w:val="22"/>
          <w:szCs w:val="22"/>
          <w:lang w:val="es-CR"/>
        </w:rPr>
        <w:t>dicie</w:t>
      </w:r>
      <w:r w:rsidR="000F29DC">
        <w:rPr>
          <w:rFonts w:ascii="Arial" w:hAnsi="Arial"/>
          <w:sz w:val="22"/>
          <w:szCs w:val="22"/>
          <w:lang w:val="es-CR"/>
        </w:rPr>
        <w:t>mbr</w:t>
      </w:r>
      <w:r w:rsidR="000F29DC" w:rsidRPr="00F02F9D">
        <w:rPr>
          <w:rFonts w:ascii="Arial" w:hAnsi="Arial"/>
          <w:sz w:val="22"/>
          <w:szCs w:val="22"/>
          <w:lang w:val="es-CR"/>
        </w:rPr>
        <w:t>e</w:t>
      </w:r>
      <w:r w:rsidRPr="00F02F9D">
        <w:rPr>
          <w:rFonts w:ascii="Arial" w:hAnsi="Arial"/>
          <w:sz w:val="22"/>
          <w:szCs w:val="22"/>
          <w:lang w:val="es-CR"/>
        </w:rPr>
        <w:t>.</w:t>
      </w:r>
    </w:p>
    <w:p w14:paraId="6FF6D870" w14:textId="77777777" w:rsidR="00AF4FC4" w:rsidRPr="00F02F9D" w:rsidRDefault="00062527">
      <w:pPr>
        <w:pStyle w:val="Prrafodelista"/>
        <w:numPr>
          <w:ilvl w:val="3"/>
          <w:numId w:val="85"/>
        </w:numPr>
        <w:spacing w:after="120" w:line="0" w:lineRule="atLeast"/>
        <w:ind w:left="1843" w:hanging="284"/>
        <w:contextualSpacing w:val="0"/>
        <w:jc w:val="both"/>
        <w:rPr>
          <w:rFonts w:ascii="Arial" w:eastAsia="Arial" w:hAnsi="Arial"/>
          <w:bCs/>
          <w:sz w:val="22"/>
          <w:szCs w:val="22"/>
          <w:lang w:val="es-CR"/>
        </w:rPr>
      </w:pPr>
      <w:r w:rsidRPr="00F02F9D">
        <w:rPr>
          <w:rFonts w:ascii="Arial" w:hAnsi="Arial"/>
          <w:sz w:val="22"/>
          <w:szCs w:val="22"/>
          <w:lang w:val="es-CR"/>
        </w:rPr>
        <w:t xml:space="preserve">Los alquileres de los bienes municipales se reconocerán </w:t>
      </w:r>
      <w:r w:rsidR="001D2C44" w:rsidRPr="00F02F9D">
        <w:rPr>
          <w:rFonts w:ascii="Arial" w:hAnsi="Arial"/>
          <w:sz w:val="22"/>
          <w:szCs w:val="22"/>
          <w:lang w:val="es-CR"/>
        </w:rPr>
        <w:t xml:space="preserve">por adelantado </w:t>
      </w:r>
      <w:r w:rsidRPr="00F02F9D">
        <w:rPr>
          <w:rFonts w:ascii="Arial" w:hAnsi="Arial"/>
          <w:sz w:val="22"/>
          <w:szCs w:val="22"/>
          <w:lang w:val="es-CR"/>
        </w:rPr>
        <w:t>en forma mensual, de acuerdo con lo estipulado en los contratos confeccionados para el efecto.</w:t>
      </w:r>
    </w:p>
    <w:p w14:paraId="0E291035" w14:textId="77777777" w:rsidR="00AF4FC4" w:rsidRPr="00376335" w:rsidRDefault="00062527">
      <w:pPr>
        <w:pStyle w:val="Prrafodelista"/>
        <w:numPr>
          <w:ilvl w:val="3"/>
          <w:numId w:val="85"/>
        </w:numPr>
        <w:spacing w:line="0" w:lineRule="atLeast"/>
        <w:ind w:left="1843" w:hanging="283"/>
        <w:jc w:val="both"/>
        <w:rPr>
          <w:rFonts w:ascii="Arial" w:eastAsia="Arial" w:hAnsi="Arial"/>
          <w:bCs/>
          <w:sz w:val="22"/>
          <w:szCs w:val="22"/>
          <w:lang w:val="es-CR"/>
        </w:rPr>
      </w:pPr>
      <w:r w:rsidRPr="00F02F9D">
        <w:rPr>
          <w:rFonts w:ascii="Arial" w:hAnsi="Arial"/>
          <w:sz w:val="22"/>
          <w:szCs w:val="22"/>
          <w:lang w:val="es-CR"/>
        </w:rPr>
        <w:t>Los anticipos entregados a terceros se reconocerán en el momento en que se transfiera los recursos al proveedor y la Municipalidad adquiera el derecho a recibir el bien o servicio correspondiente.</w:t>
      </w:r>
    </w:p>
    <w:p w14:paraId="02C2006A" w14:textId="77777777" w:rsidR="00376335" w:rsidRPr="00F02F9D" w:rsidRDefault="00376335" w:rsidP="00376335">
      <w:pPr>
        <w:pStyle w:val="Prrafodelista"/>
        <w:spacing w:line="0" w:lineRule="atLeast"/>
        <w:ind w:left="1843"/>
        <w:jc w:val="both"/>
        <w:rPr>
          <w:rFonts w:ascii="Arial" w:eastAsia="Arial" w:hAnsi="Arial"/>
          <w:bCs/>
          <w:sz w:val="22"/>
          <w:szCs w:val="22"/>
          <w:lang w:val="es-CR"/>
        </w:rPr>
      </w:pPr>
    </w:p>
    <w:p w14:paraId="14F83EB3" w14:textId="79BE47F9" w:rsidR="00C910FF" w:rsidRDefault="009C1365">
      <w:pPr>
        <w:pStyle w:val="Prrafodelista"/>
        <w:numPr>
          <w:ilvl w:val="3"/>
          <w:numId w:val="12"/>
        </w:numPr>
        <w:spacing w:line="0" w:lineRule="atLeast"/>
        <w:jc w:val="both"/>
        <w:rPr>
          <w:rFonts w:ascii="Arial" w:eastAsia="Arial" w:hAnsi="Arial"/>
          <w:bCs/>
          <w:sz w:val="22"/>
          <w:szCs w:val="22"/>
          <w:lang w:val="es-CR"/>
        </w:rPr>
      </w:pPr>
      <w:r w:rsidRPr="00F02F9D">
        <w:rPr>
          <w:rFonts w:ascii="Arial" w:hAnsi="Arial"/>
          <w:sz w:val="22"/>
          <w:szCs w:val="22"/>
          <w:lang w:val="es-CR"/>
        </w:rPr>
        <w:t xml:space="preserve">Los </w:t>
      </w:r>
      <w:r w:rsidR="00376335">
        <w:rPr>
          <w:rFonts w:ascii="Arial" w:hAnsi="Arial"/>
          <w:sz w:val="22"/>
          <w:szCs w:val="22"/>
          <w:lang w:val="es-CR"/>
        </w:rPr>
        <w:t>D</w:t>
      </w:r>
      <w:r w:rsidRPr="00F02F9D">
        <w:rPr>
          <w:rFonts w:ascii="Arial" w:hAnsi="Arial"/>
          <w:sz w:val="22"/>
          <w:szCs w:val="22"/>
          <w:lang w:val="es-CR"/>
        </w:rPr>
        <w:t xml:space="preserve">ocumentos por </w:t>
      </w:r>
      <w:r w:rsidR="00376335">
        <w:rPr>
          <w:rFonts w:ascii="Arial" w:hAnsi="Arial"/>
          <w:sz w:val="22"/>
          <w:szCs w:val="22"/>
          <w:lang w:val="es-CR"/>
        </w:rPr>
        <w:t>C</w:t>
      </w:r>
      <w:r w:rsidRPr="00F02F9D">
        <w:rPr>
          <w:rFonts w:ascii="Arial" w:hAnsi="Arial"/>
          <w:sz w:val="22"/>
          <w:szCs w:val="22"/>
          <w:lang w:val="es-CR"/>
        </w:rPr>
        <w:t>obrar se reconocerán c</w:t>
      </w:r>
      <w:r w:rsidR="00AF4FC4" w:rsidRPr="00F02F9D">
        <w:rPr>
          <w:rFonts w:ascii="Arial" w:hAnsi="Arial"/>
          <w:sz w:val="22"/>
          <w:szCs w:val="22"/>
          <w:lang w:val="es-CR"/>
        </w:rPr>
        <w:t xml:space="preserve">uando </w:t>
      </w:r>
      <w:r w:rsidRPr="00F02F9D">
        <w:rPr>
          <w:rFonts w:ascii="Arial" w:hAnsi="Arial"/>
          <w:sz w:val="22"/>
          <w:szCs w:val="22"/>
          <w:lang w:val="es-CR"/>
        </w:rPr>
        <w:t xml:space="preserve">los contribuyentes que se encuentren atrasados en el pago de sus obligaciones </w:t>
      </w:r>
      <w:r w:rsidR="00C910FF" w:rsidRPr="00F02F9D">
        <w:rPr>
          <w:rFonts w:ascii="Arial" w:hAnsi="Arial"/>
          <w:sz w:val="22"/>
          <w:szCs w:val="22"/>
          <w:lang w:val="es-CR"/>
        </w:rPr>
        <w:t>municipales</w:t>
      </w:r>
      <w:r w:rsidR="000331D1">
        <w:rPr>
          <w:rFonts w:ascii="Arial" w:hAnsi="Arial"/>
          <w:sz w:val="22"/>
          <w:szCs w:val="22"/>
          <w:lang w:val="es-CR"/>
        </w:rPr>
        <w:t>,</w:t>
      </w:r>
      <w:r w:rsidRPr="00F02F9D">
        <w:rPr>
          <w:rFonts w:ascii="Arial" w:hAnsi="Arial"/>
          <w:sz w:val="22"/>
          <w:szCs w:val="22"/>
          <w:lang w:val="es-CR"/>
        </w:rPr>
        <w:t xml:space="preserve"> acudan a la Municipalidad para que </w:t>
      </w:r>
      <w:r w:rsidR="00AF4FC4" w:rsidRPr="00F02F9D">
        <w:rPr>
          <w:rFonts w:ascii="Arial" w:hAnsi="Arial"/>
          <w:sz w:val="22"/>
          <w:szCs w:val="22"/>
          <w:lang w:val="es-CR"/>
        </w:rPr>
        <w:t xml:space="preserve">se </w:t>
      </w:r>
      <w:r w:rsidRPr="00F02F9D">
        <w:rPr>
          <w:rFonts w:ascii="Arial" w:hAnsi="Arial"/>
          <w:sz w:val="22"/>
          <w:szCs w:val="22"/>
          <w:lang w:val="es-CR"/>
        </w:rPr>
        <w:t xml:space="preserve">les conceda un </w:t>
      </w:r>
      <w:r w:rsidR="008A4688" w:rsidRPr="00F02F9D">
        <w:rPr>
          <w:rFonts w:ascii="Arial" w:eastAsia="Arial" w:hAnsi="Arial"/>
          <w:bCs/>
          <w:sz w:val="22"/>
          <w:szCs w:val="22"/>
          <w:lang w:val="es-CR"/>
        </w:rPr>
        <w:t xml:space="preserve">nuevo plazo para el </w:t>
      </w:r>
      <w:r w:rsidR="00FA0E56" w:rsidRPr="00F02F9D">
        <w:rPr>
          <w:rFonts w:ascii="Arial" w:eastAsia="Arial" w:hAnsi="Arial"/>
          <w:bCs/>
          <w:sz w:val="22"/>
          <w:szCs w:val="22"/>
          <w:lang w:val="es-CR"/>
        </w:rPr>
        <w:t>pago</w:t>
      </w:r>
      <w:r w:rsidR="008A4688" w:rsidRPr="00F02F9D">
        <w:rPr>
          <w:rFonts w:ascii="Arial" w:eastAsia="Arial" w:hAnsi="Arial"/>
          <w:bCs/>
          <w:sz w:val="22"/>
          <w:szCs w:val="22"/>
          <w:lang w:val="es-CR"/>
        </w:rPr>
        <w:t xml:space="preserve"> de</w:t>
      </w:r>
      <w:r w:rsidR="00FA0E56" w:rsidRPr="00F02F9D">
        <w:rPr>
          <w:rFonts w:ascii="Arial" w:eastAsia="Arial" w:hAnsi="Arial"/>
          <w:bCs/>
          <w:sz w:val="22"/>
          <w:szCs w:val="22"/>
          <w:lang w:val="es-CR"/>
        </w:rPr>
        <w:t xml:space="preserve"> s</w:t>
      </w:r>
      <w:r w:rsidR="00C910FF">
        <w:rPr>
          <w:rFonts w:ascii="Arial" w:eastAsia="Arial" w:hAnsi="Arial"/>
          <w:bCs/>
          <w:sz w:val="22"/>
          <w:szCs w:val="22"/>
          <w:lang w:val="es-CR"/>
        </w:rPr>
        <w:t>us</w:t>
      </w:r>
      <w:r w:rsidR="008A4688" w:rsidRPr="00F02F9D">
        <w:rPr>
          <w:rFonts w:ascii="Arial" w:eastAsia="Arial" w:hAnsi="Arial"/>
          <w:bCs/>
          <w:sz w:val="22"/>
          <w:szCs w:val="22"/>
          <w:lang w:val="es-CR"/>
        </w:rPr>
        <w:t xml:space="preserve"> cuentas</w:t>
      </w:r>
      <w:r w:rsidR="00C910FF">
        <w:rPr>
          <w:rFonts w:ascii="Arial" w:eastAsia="Arial" w:hAnsi="Arial"/>
          <w:bCs/>
          <w:sz w:val="22"/>
          <w:szCs w:val="22"/>
          <w:lang w:val="es-CR"/>
        </w:rPr>
        <w:t xml:space="preserve"> </w:t>
      </w:r>
      <w:r w:rsidR="008A4688" w:rsidRPr="00F02F9D">
        <w:rPr>
          <w:rFonts w:ascii="Arial" w:eastAsia="Arial" w:hAnsi="Arial"/>
          <w:bCs/>
          <w:sz w:val="22"/>
          <w:szCs w:val="22"/>
          <w:lang w:val="es-CR"/>
        </w:rPr>
        <w:t>preexistentes</w:t>
      </w:r>
      <w:r w:rsidR="00AF4FC4" w:rsidRPr="00F02F9D">
        <w:rPr>
          <w:rFonts w:ascii="Arial" w:eastAsia="Arial" w:hAnsi="Arial"/>
          <w:bCs/>
          <w:sz w:val="22"/>
          <w:szCs w:val="22"/>
          <w:lang w:val="es-CR"/>
        </w:rPr>
        <w:t xml:space="preserve"> por medio de un arreglo de pago</w:t>
      </w:r>
      <w:r w:rsidR="000331D1">
        <w:rPr>
          <w:rFonts w:ascii="Arial" w:eastAsia="Arial" w:hAnsi="Arial"/>
          <w:bCs/>
          <w:sz w:val="22"/>
          <w:szCs w:val="22"/>
          <w:lang w:val="es-CR"/>
        </w:rPr>
        <w:t>;</w:t>
      </w:r>
      <w:r w:rsidR="00FA0E56" w:rsidRPr="00F02F9D">
        <w:rPr>
          <w:rFonts w:ascii="Arial" w:eastAsia="Arial" w:hAnsi="Arial"/>
          <w:bCs/>
          <w:sz w:val="22"/>
          <w:szCs w:val="22"/>
          <w:lang w:val="es-CR"/>
        </w:rPr>
        <w:t xml:space="preserve"> y este se les concede</w:t>
      </w:r>
      <w:r w:rsidR="00C910FF">
        <w:rPr>
          <w:rFonts w:ascii="Arial" w:eastAsia="Arial" w:hAnsi="Arial"/>
          <w:bCs/>
          <w:sz w:val="22"/>
          <w:szCs w:val="22"/>
          <w:lang w:val="es-CR"/>
        </w:rPr>
        <w:t xml:space="preserve"> procediéndose a la firma de un documento formal como promesa de pago</w:t>
      </w:r>
      <w:r w:rsidR="00AF4FC4" w:rsidRPr="00F02F9D">
        <w:rPr>
          <w:rFonts w:ascii="Arial" w:eastAsia="Arial" w:hAnsi="Arial"/>
          <w:bCs/>
          <w:sz w:val="22"/>
          <w:szCs w:val="22"/>
          <w:lang w:val="es-CR"/>
        </w:rPr>
        <w:t>.</w:t>
      </w:r>
    </w:p>
    <w:p w14:paraId="235D5AEB" w14:textId="3201D756" w:rsidR="00C910FF" w:rsidRPr="00C910FF" w:rsidRDefault="00C910FF" w:rsidP="00C910FF">
      <w:pPr>
        <w:spacing w:line="0" w:lineRule="atLeast"/>
        <w:jc w:val="both"/>
        <w:rPr>
          <w:rFonts w:ascii="Arial" w:eastAsia="Arial" w:hAnsi="Arial"/>
          <w:bCs/>
          <w:sz w:val="22"/>
          <w:szCs w:val="22"/>
          <w:lang w:val="es-CR"/>
        </w:rPr>
      </w:pPr>
    </w:p>
    <w:p w14:paraId="238F7C9A" w14:textId="77777777" w:rsidR="00E01A4C" w:rsidRPr="00F02F9D" w:rsidRDefault="00E01A4C" w:rsidP="000C3F6C">
      <w:pPr>
        <w:spacing w:line="285" w:lineRule="exact"/>
        <w:rPr>
          <w:rFonts w:ascii="Arial" w:eastAsia="Arial" w:hAnsi="Arial"/>
          <w:bCs/>
          <w:sz w:val="22"/>
          <w:szCs w:val="22"/>
          <w:lang w:val="es-CR"/>
        </w:rPr>
      </w:pPr>
    </w:p>
    <w:p w14:paraId="242FA091" w14:textId="74B9B342" w:rsidR="00FA0E56" w:rsidRPr="00F02F9D" w:rsidRDefault="00FA0E56" w:rsidP="009E606D">
      <w:pPr>
        <w:pStyle w:val="Prrafodelista"/>
        <w:ind w:left="0"/>
        <w:rPr>
          <w:rFonts w:ascii="Arial" w:eastAsia="Times New Roman" w:hAnsi="Arial"/>
          <w:b/>
          <w:bCs/>
          <w:sz w:val="22"/>
          <w:szCs w:val="22"/>
          <w:lang w:val="es-CR"/>
        </w:rPr>
      </w:pPr>
      <w:r w:rsidRPr="00F02F9D">
        <w:rPr>
          <w:rFonts w:ascii="Arial" w:eastAsia="Times New Roman" w:hAnsi="Arial"/>
          <w:b/>
          <w:bCs/>
          <w:sz w:val="22"/>
          <w:szCs w:val="22"/>
          <w:lang w:val="es-CR"/>
        </w:rPr>
        <w:t>Clasificación</w:t>
      </w:r>
    </w:p>
    <w:p w14:paraId="21BB91B5" w14:textId="77777777" w:rsidR="00FA0E56" w:rsidRDefault="00FA0E56" w:rsidP="009E606D">
      <w:pPr>
        <w:rPr>
          <w:rFonts w:ascii="Arial" w:eastAsia="Arial" w:hAnsi="Arial"/>
          <w:bCs/>
          <w:sz w:val="22"/>
          <w:szCs w:val="22"/>
          <w:lang w:val="es-CR"/>
        </w:rPr>
      </w:pPr>
    </w:p>
    <w:p w14:paraId="55F84A2C" w14:textId="78EDAC93" w:rsidR="00956B31" w:rsidRPr="008B7283" w:rsidRDefault="00C910FF">
      <w:pPr>
        <w:pStyle w:val="Prrafodelista"/>
        <w:numPr>
          <w:ilvl w:val="3"/>
          <w:numId w:val="86"/>
        </w:numPr>
        <w:ind w:left="1417" w:hanging="992"/>
        <w:contextualSpacing w:val="0"/>
        <w:jc w:val="both"/>
        <w:rPr>
          <w:rFonts w:ascii="Arial" w:eastAsia="Arial" w:hAnsi="Arial"/>
          <w:bCs/>
          <w:sz w:val="22"/>
          <w:szCs w:val="22"/>
          <w:lang w:val="es-CR"/>
        </w:rPr>
      </w:pPr>
      <w:r w:rsidRPr="008B7283">
        <w:rPr>
          <w:rFonts w:ascii="Arial" w:hAnsi="Arial"/>
          <w:sz w:val="22"/>
          <w:szCs w:val="22"/>
          <w:lang w:val="es-CR"/>
        </w:rPr>
        <w:t>L</w:t>
      </w:r>
      <w:r w:rsidR="008B7283" w:rsidRPr="008B7283">
        <w:rPr>
          <w:rFonts w:ascii="Arial" w:hAnsi="Arial"/>
          <w:sz w:val="22"/>
          <w:szCs w:val="22"/>
          <w:lang w:val="es-CR"/>
        </w:rPr>
        <w:t>as Cuentas y</w:t>
      </w:r>
      <w:r w:rsidRPr="008B7283">
        <w:rPr>
          <w:rFonts w:ascii="Arial" w:hAnsi="Arial"/>
          <w:sz w:val="22"/>
          <w:szCs w:val="22"/>
          <w:lang w:val="es-CR"/>
        </w:rPr>
        <w:t xml:space="preserve"> Documentos por Cobrar</w:t>
      </w:r>
      <w:r w:rsidR="00207F9E">
        <w:rPr>
          <w:rFonts w:ascii="Arial" w:hAnsi="Arial"/>
          <w:sz w:val="22"/>
          <w:szCs w:val="22"/>
          <w:lang w:val="es-CR"/>
        </w:rPr>
        <w:t xml:space="preserve"> a Corto Plazo</w:t>
      </w:r>
      <w:r w:rsidRPr="008B7283">
        <w:rPr>
          <w:rFonts w:ascii="Arial" w:hAnsi="Arial"/>
          <w:sz w:val="22"/>
          <w:szCs w:val="22"/>
          <w:lang w:val="es-CR"/>
        </w:rPr>
        <w:t xml:space="preserve"> </w:t>
      </w:r>
      <w:r w:rsidR="008B7283" w:rsidRPr="008B7283">
        <w:rPr>
          <w:rFonts w:ascii="Arial" w:hAnsi="Arial"/>
          <w:sz w:val="22"/>
          <w:szCs w:val="22"/>
          <w:lang w:val="es-CR"/>
        </w:rPr>
        <w:t xml:space="preserve">que mantiene la </w:t>
      </w:r>
      <w:r w:rsidR="000F29DC">
        <w:rPr>
          <w:rFonts w:ascii="Arial" w:hAnsi="Arial"/>
          <w:sz w:val="22"/>
          <w:szCs w:val="22"/>
          <w:lang w:val="es-CR"/>
        </w:rPr>
        <w:t>MBA</w:t>
      </w:r>
      <w:r w:rsidR="008B7283" w:rsidRPr="008B7283">
        <w:rPr>
          <w:rFonts w:ascii="Arial" w:hAnsi="Arial"/>
          <w:sz w:val="22"/>
          <w:szCs w:val="22"/>
          <w:lang w:val="es-CR"/>
        </w:rPr>
        <w:t xml:space="preserve"> se clasifican de la siguiente forma:</w:t>
      </w:r>
    </w:p>
    <w:p w14:paraId="1C4B042D" w14:textId="77777777" w:rsidR="008B7283" w:rsidRDefault="008B7283" w:rsidP="009B0643">
      <w:pPr>
        <w:jc w:val="both"/>
        <w:rPr>
          <w:rFonts w:ascii="Arial" w:eastAsia="Arial" w:hAnsi="Arial"/>
          <w:bCs/>
          <w:sz w:val="22"/>
          <w:szCs w:val="22"/>
          <w:lang w:val="es-CR"/>
        </w:rPr>
      </w:pPr>
    </w:p>
    <w:p w14:paraId="508B02DA" w14:textId="3417F7A0" w:rsidR="008B7283" w:rsidRPr="008B7283" w:rsidRDefault="008B7283">
      <w:pPr>
        <w:pStyle w:val="Prrafodelista"/>
        <w:numPr>
          <w:ilvl w:val="0"/>
          <w:numId w:val="87"/>
        </w:numPr>
        <w:spacing w:after="120" w:line="285" w:lineRule="exact"/>
        <w:ind w:left="1843" w:hanging="357"/>
        <w:contextualSpacing w:val="0"/>
        <w:jc w:val="both"/>
        <w:rPr>
          <w:rFonts w:ascii="Arial" w:eastAsia="Arial" w:hAnsi="Arial"/>
          <w:bCs/>
          <w:sz w:val="22"/>
          <w:szCs w:val="22"/>
          <w:lang w:val="es-CR"/>
        </w:rPr>
      </w:pPr>
      <w:r w:rsidRPr="008B7283">
        <w:rPr>
          <w:rFonts w:ascii="Arial" w:eastAsia="Arial" w:hAnsi="Arial"/>
          <w:bCs/>
          <w:sz w:val="22"/>
          <w:szCs w:val="22"/>
          <w:lang w:val="es-CR"/>
        </w:rPr>
        <w:t>Impuestos a Cobrar a Corto Plazo</w:t>
      </w:r>
    </w:p>
    <w:p w14:paraId="0359E713" w14:textId="3B923E47" w:rsidR="008B7283" w:rsidRPr="008B7283" w:rsidRDefault="008B7283">
      <w:pPr>
        <w:pStyle w:val="Prrafodelista"/>
        <w:numPr>
          <w:ilvl w:val="0"/>
          <w:numId w:val="87"/>
        </w:numPr>
        <w:spacing w:after="120" w:line="285" w:lineRule="exact"/>
        <w:ind w:left="1843" w:hanging="357"/>
        <w:contextualSpacing w:val="0"/>
        <w:jc w:val="both"/>
        <w:rPr>
          <w:rFonts w:ascii="Arial" w:eastAsia="Arial" w:hAnsi="Arial"/>
          <w:bCs/>
          <w:sz w:val="22"/>
          <w:szCs w:val="22"/>
          <w:lang w:val="es-CR"/>
        </w:rPr>
      </w:pPr>
      <w:r w:rsidRPr="008B7283">
        <w:rPr>
          <w:rFonts w:ascii="Arial" w:eastAsia="Arial" w:hAnsi="Arial"/>
          <w:bCs/>
          <w:sz w:val="22"/>
          <w:szCs w:val="22"/>
          <w:lang w:val="es-CR"/>
        </w:rPr>
        <w:t>Servicios y Derechos por Cobrar a Corto Plazo</w:t>
      </w:r>
    </w:p>
    <w:p w14:paraId="24789217" w14:textId="2069E9D7" w:rsidR="008B7283" w:rsidRDefault="008B7283">
      <w:pPr>
        <w:pStyle w:val="Prrafodelista"/>
        <w:numPr>
          <w:ilvl w:val="0"/>
          <w:numId w:val="87"/>
        </w:numPr>
        <w:spacing w:after="120"/>
        <w:ind w:left="1843" w:hanging="357"/>
        <w:contextualSpacing w:val="0"/>
        <w:jc w:val="both"/>
        <w:rPr>
          <w:rFonts w:ascii="Arial" w:eastAsia="Times New Roman" w:hAnsi="Arial"/>
          <w:color w:val="000000"/>
          <w:sz w:val="22"/>
          <w:szCs w:val="22"/>
          <w:lang w:val="es-CR"/>
        </w:rPr>
      </w:pPr>
      <w:r w:rsidRPr="008B7283">
        <w:rPr>
          <w:rFonts w:ascii="Arial" w:eastAsia="Times New Roman" w:hAnsi="Arial"/>
          <w:color w:val="000000"/>
          <w:sz w:val="22"/>
          <w:szCs w:val="22"/>
          <w:lang w:val="es-CR"/>
        </w:rPr>
        <w:t xml:space="preserve">Ingresos de la Propiedad </w:t>
      </w:r>
      <w:r>
        <w:rPr>
          <w:rFonts w:ascii="Arial" w:eastAsia="Times New Roman" w:hAnsi="Arial"/>
          <w:color w:val="000000"/>
          <w:sz w:val="22"/>
          <w:szCs w:val="22"/>
          <w:lang w:val="es-CR"/>
        </w:rPr>
        <w:t>por</w:t>
      </w:r>
      <w:r w:rsidRPr="008B7283">
        <w:rPr>
          <w:rFonts w:ascii="Arial" w:eastAsia="Times New Roman" w:hAnsi="Arial"/>
          <w:color w:val="000000"/>
          <w:sz w:val="22"/>
          <w:szCs w:val="22"/>
          <w:lang w:val="es-CR"/>
        </w:rPr>
        <w:t xml:space="preserve"> Cobrar a Corto Plazo (Alquileres</w:t>
      </w:r>
      <w:r w:rsidR="00207F9E">
        <w:rPr>
          <w:rFonts w:ascii="Arial" w:eastAsia="Times New Roman" w:hAnsi="Arial"/>
          <w:color w:val="000000"/>
          <w:sz w:val="22"/>
          <w:szCs w:val="22"/>
          <w:lang w:val="es-CR"/>
        </w:rPr>
        <w:t xml:space="preserve"> y Derechos</w:t>
      </w:r>
      <w:r w:rsidRPr="008B7283">
        <w:rPr>
          <w:rFonts w:ascii="Arial" w:eastAsia="Times New Roman" w:hAnsi="Arial"/>
          <w:color w:val="000000"/>
          <w:sz w:val="22"/>
          <w:szCs w:val="22"/>
          <w:lang w:val="es-CR"/>
        </w:rPr>
        <w:t>)</w:t>
      </w:r>
    </w:p>
    <w:p w14:paraId="58291330" w14:textId="77777777" w:rsidR="009160DB" w:rsidRDefault="008B7283">
      <w:pPr>
        <w:pStyle w:val="Prrafodelista"/>
        <w:numPr>
          <w:ilvl w:val="0"/>
          <w:numId w:val="87"/>
        </w:numPr>
        <w:spacing w:after="120"/>
        <w:ind w:left="1843" w:hanging="357"/>
        <w:contextualSpacing w:val="0"/>
        <w:jc w:val="both"/>
        <w:rPr>
          <w:rFonts w:ascii="Arial" w:eastAsia="Times New Roman" w:hAnsi="Arial"/>
          <w:color w:val="000000"/>
          <w:sz w:val="22"/>
          <w:szCs w:val="22"/>
          <w:lang w:val="es-CR"/>
        </w:rPr>
      </w:pPr>
      <w:r w:rsidRPr="008B7283">
        <w:rPr>
          <w:rFonts w:ascii="Arial" w:eastAsia="Times New Roman" w:hAnsi="Arial"/>
          <w:color w:val="000000"/>
          <w:sz w:val="22"/>
          <w:szCs w:val="22"/>
          <w:lang w:val="es-CR"/>
        </w:rPr>
        <w:lastRenderedPageBreak/>
        <w:t>T</w:t>
      </w:r>
      <w:r>
        <w:rPr>
          <w:rFonts w:ascii="Arial" w:eastAsia="Times New Roman" w:hAnsi="Arial"/>
          <w:color w:val="000000"/>
          <w:sz w:val="22"/>
          <w:szCs w:val="22"/>
          <w:lang w:val="es-CR"/>
        </w:rPr>
        <w:t>ransferencias a</w:t>
      </w:r>
      <w:r w:rsidRPr="008B7283">
        <w:rPr>
          <w:rFonts w:ascii="Arial" w:eastAsia="Times New Roman" w:hAnsi="Arial"/>
          <w:color w:val="000000"/>
          <w:sz w:val="22"/>
          <w:szCs w:val="22"/>
          <w:lang w:val="es-CR"/>
        </w:rPr>
        <w:t xml:space="preserve"> C</w:t>
      </w:r>
      <w:r>
        <w:rPr>
          <w:rFonts w:ascii="Arial" w:eastAsia="Times New Roman" w:hAnsi="Arial"/>
          <w:color w:val="000000"/>
          <w:sz w:val="22"/>
          <w:szCs w:val="22"/>
          <w:lang w:val="es-CR"/>
        </w:rPr>
        <w:t>obrar a</w:t>
      </w:r>
      <w:r w:rsidRPr="008B7283">
        <w:rPr>
          <w:rFonts w:ascii="Arial" w:eastAsia="Times New Roman" w:hAnsi="Arial"/>
          <w:color w:val="000000"/>
          <w:sz w:val="22"/>
          <w:szCs w:val="22"/>
          <w:lang w:val="es-CR"/>
        </w:rPr>
        <w:t xml:space="preserve"> </w:t>
      </w:r>
      <w:r>
        <w:rPr>
          <w:rFonts w:ascii="Arial" w:eastAsia="Times New Roman" w:hAnsi="Arial"/>
          <w:color w:val="000000"/>
          <w:sz w:val="22"/>
          <w:szCs w:val="22"/>
          <w:lang w:val="es-CR"/>
        </w:rPr>
        <w:t>Corto</w:t>
      </w:r>
      <w:r w:rsidRPr="008B7283">
        <w:rPr>
          <w:rFonts w:ascii="Arial" w:eastAsia="Times New Roman" w:hAnsi="Arial"/>
          <w:color w:val="000000"/>
          <w:sz w:val="22"/>
          <w:szCs w:val="22"/>
          <w:lang w:val="es-CR"/>
        </w:rPr>
        <w:t xml:space="preserve"> P</w:t>
      </w:r>
      <w:r>
        <w:rPr>
          <w:rFonts w:ascii="Arial" w:eastAsia="Times New Roman" w:hAnsi="Arial"/>
          <w:color w:val="000000"/>
          <w:sz w:val="22"/>
          <w:szCs w:val="22"/>
          <w:lang w:val="es-CR"/>
        </w:rPr>
        <w:t>lazo</w:t>
      </w:r>
    </w:p>
    <w:p w14:paraId="241D15E6" w14:textId="77777777" w:rsidR="009160DB" w:rsidRDefault="009160DB">
      <w:pPr>
        <w:pStyle w:val="Prrafodelista"/>
        <w:numPr>
          <w:ilvl w:val="0"/>
          <w:numId w:val="87"/>
        </w:numPr>
        <w:spacing w:after="120"/>
        <w:ind w:left="1843" w:hanging="357"/>
        <w:contextualSpacing w:val="0"/>
        <w:jc w:val="both"/>
        <w:rPr>
          <w:rFonts w:ascii="Arial" w:eastAsia="Times New Roman" w:hAnsi="Arial"/>
          <w:color w:val="000000"/>
          <w:sz w:val="22"/>
          <w:szCs w:val="22"/>
          <w:lang w:val="es-CR"/>
        </w:rPr>
      </w:pPr>
      <w:r w:rsidRPr="009160DB">
        <w:rPr>
          <w:rFonts w:ascii="Arial" w:eastAsia="Times New Roman" w:hAnsi="Arial"/>
          <w:color w:val="000000"/>
          <w:sz w:val="22"/>
          <w:szCs w:val="22"/>
          <w:lang w:val="es-CR"/>
        </w:rPr>
        <w:t xml:space="preserve">Documentos a Cobrar a Corto Plazo </w:t>
      </w:r>
    </w:p>
    <w:p w14:paraId="68C8E6D2" w14:textId="3AD1F7D2" w:rsidR="009160DB" w:rsidRPr="009160DB" w:rsidRDefault="009160DB">
      <w:pPr>
        <w:pStyle w:val="Prrafodelista"/>
        <w:numPr>
          <w:ilvl w:val="0"/>
          <w:numId w:val="87"/>
        </w:numPr>
        <w:ind w:left="1843"/>
        <w:jc w:val="both"/>
        <w:rPr>
          <w:rFonts w:ascii="Arial" w:eastAsia="Times New Roman" w:hAnsi="Arial"/>
          <w:color w:val="000000"/>
          <w:sz w:val="22"/>
          <w:szCs w:val="22"/>
          <w:lang w:val="es-CR"/>
        </w:rPr>
      </w:pPr>
      <w:r w:rsidRPr="009160DB">
        <w:rPr>
          <w:rFonts w:ascii="Arial" w:eastAsia="Times New Roman" w:hAnsi="Arial"/>
          <w:color w:val="000000"/>
          <w:sz w:val="22"/>
          <w:szCs w:val="22"/>
          <w:lang w:val="es-CR"/>
        </w:rPr>
        <w:t>Anticipos a Cobrar a Corto Plazo</w:t>
      </w:r>
    </w:p>
    <w:p w14:paraId="0D5CF36F" w14:textId="77777777" w:rsidR="00C910FF" w:rsidRDefault="00C910FF" w:rsidP="000C3F6C">
      <w:pPr>
        <w:spacing w:line="285" w:lineRule="exact"/>
        <w:rPr>
          <w:rFonts w:ascii="Arial" w:eastAsia="Arial" w:hAnsi="Arial"/>
          <w:bCs/>
          <w:sz w:val="22"/>
          <w:szCs w:val="22"/>
          <w:lang w:val="es-CR"/>
        </w:rPr>
      </w:pPr>
    </w:p>
    <w:p w14:paraId="3D06714A" w14:textId="77777777" w:rsidR="00C910FF" w:rsidRDefault="00C910FF" w:rsidP="000C3F6C">
      <w:pPr>
        <w:spacing w:line="285" w:lineRule="exact"/>
        <w:rPr>
          <w:rFonts w:ascii="Arial" w:eastAsia="Arial" w:hAnsi="Arial"/>
          <w:bCs/>
          <w:sz w:val="22"/>
          <w:szCs w:val="22"/>
          <w:lang w:val="es-CR"/>
        </w:rPr>
      </w:pPr>
    </w:p>
    <w:p w14:paraId="49072303" w14:textId="77777777" w:rsidR="00F47532" w:rsidRDefault="00F47532" w:rsidP="000C3F6C">
      <w:pPr>
        <w:spacing w:line="285" w:lineRule="exact"/>
        <w:rPr>
          <w:rFonts w:ascii="Arial" w:eastAsia="Arial" w:hAnsi="Arial"/>
          <w:bCs/>
          <w:sz w:val="22"/>
          <w:szCs w:val="22"/>
          <w:lang w:val="es-CR"/>
        </w:rPr>
      </w:pPr>
    </w:p>
    <w:p w14:paraId="1FB8FEE7" w14:textId="77777777" w:rsidR="00F47532" w:rsidRDefault="00F47532" w:rsidP="000C3F6C">
      <w:pPr>
        <w:spacing w:line="285" w:lineRule="exact"/>
        <w:rPr>
          <w:rFonts w:ascii="Arial" w:eastAsia="Arial" w:hAnsi="Arial"/>
          <w:bCs/>
          <w:sz w:val="22"/>
          <w:szCs w:val="22"/>
          <w:lang w:val="es-CR"/>
        </w:rPr>
      </w:pPr>
    </w:p>
    <w:p w14:paraId="037BBCCD" w14:textId="77777777" w:rsidR="00F47532" w:rsidRDefault="00F47532" w:rsidP="000C3F6C">
      <w:pPr>
        <w:spacing w:line="285" w:lineRule="exact"/>
        <w:rPr>
          <w:rFonts w:ascii="Arial" w:eastAsia="Arial" w:hAnsi="Arial"/>
          <w:bCs/>
          <w:sz w:val="22"/>
          <w:szCs w:val="22"/>
          <w:lang w:val="es-CR"/>
        </w:rPr>
      </w:pPr>
    </w:p>
    <w:p w14:paraId="45B797DB" w14:textId="77777777" w:rsidR="00F47532" w:rsidRPr="00F02F9D" w:rsidRDefault="00F47532" w:rsidP="000C3F6C">
      <w:pPr>
        <w:spacing w:line="285" w:lineRule="exact"/>
        <w:rPr>
          <w:rFonts w:ascii="Arial" w:eastAsia="Arial" w:hAnsi="Arial"/>
          <w:bCs/>
          <w:sz w:val="22"/>
          <w:szCs w:val="22"/>
          <w:lang w:val="es-CR"/>
        </w:rPr>
      </w:pPr>
    </w:p>
    <w:p w14:paraId="2D299BFD" w14:textId="77777777" w:rsidR="007377D0" w:rsidRPr="00F02F9D" w:rsidRDefault="008A4688">
      <w:pPr>
        <w:spacing w:line="0" w:lineRule="atLeast"/>
        <w:ind w:left="380"/>
        <w:rPr>
          <w:rFonts w:ascii="Arial" w:eastAsia="Arial" w:hAnsi="Arial"/>
          <w:b/>
          <w:sz w:val="22"/>
          <w:szCs w:val="22"/>
        </w:rPr>
      </w:pPr>
      <w:r w:rsidRPr="00F02F9D">
        <w:rPr>
          <w:rFonts w:ascii="Arial" w:eastAsia="Arial" w:hAnsi="Arial"/>
          <w:b/>
          <w:sz w:val="22"/>
          <w:szCs w:val="22"/>
        </w:rPr>
        <w:t>Medición</w:t>
      </w:r>
    </w:p>
    <w:p w14:paraId="5D47426C" w14:textId="77777777" w:rsidR="00183C51" w:rsidRPr="00F02F9D" w:rsidRDefault="00183C51">
      <w:pPr>
        <w:spacing w:line="0" w:lineRule="atLeast"/>
        <w:ind w:left="380"/>
        <w:rPr>
          <w:rFonts w:ascii="Arial" w:eastAsia="Arial" w:hAnsi="Arial"/>
          <w:b/>
          <w:sz w:val="22"/>
          <w:szCs w:val="22"/>
        </w:rPr>
      </w:pPr>
    </w:p>
    <w:tbl>
      <w:tblPr>
        <w:tblW w:w="9023" w:type="dxa"/>
        <w:tblLook w:val="04A0" w:firstRow="1" w:lastRow="0" w:firstColumn="1" w:lastColumn="0" w:noHBand="0" w:noVBand="1"/>
      </w:tblPr>
      <w:tblGrid>
        <w:gridCol w:w="679"/>
        <w:gridCol w:w="522"/>
        <w:gridCol w:w="653"/>
        <w:gridCol w:w="3098"/>
        <w:gridCol w:w="1984"/>
        <w:gridCol w:w="2087"/>
      </w:tblGrid>
      <w:tr w:rsidR="00183C51" w:rsidRPr="00BD7E4A" w14:paraId="2C707A4E" w14:textId="77777777" w:rsidTr="009160DB">
        <w:trPr>
          <w:trHeight w:val="320"/>
        </w:trPr>
        <w:tc>
          <w:tcPr>
            <w:tcW w:w="185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6FE2554" w14:textId="77777777" w:rsidR="00183C51" w:rsidRPr="00BD7E4A" w:rsidRDefault="00183C51" w:rsidP="00183C51">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3098" w:type="dxa"/>
            <w:vMerge w:val="restart"/>
            <w:tcBorders>
              <w:top w:val="single" w:sz="8" w:space="0" w:color="auto"/>
              <w:left w:val="single" w:sz="8" w:space="0" w:color="auto"/>
              <w:bottom w:val="nil"/>
              <w:right w:val="single" w:sz="8" w:space="0" w:color="auto"/>
            </w:tcBorders>
            <w:shd w:val="clear" w:color="000000" w:fill="203764"/>
            <w:vAlign w:val="center"/>
            <w:hideMark/>
          </w:tcPr>
          <w:p w14:paraId="4EEADBE2" w14:textId="77777777" w:rsidR="00183C51" w:rsidRPr="00BD7E4A" w:rsidRDefault="00183C51" w:rsidP="00183C51">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4066" w:type="dxa"/>
            <w:gridSpan w:val="2"/>
            <w:tcBorders>
              <w:top w:val="single" w:sz="8" w:space="0" w:color="auto"/>
              <w:left w:val="nil"/>
              <w:bottom w:val="single" w:sz="8" w:space="0" w:color="auto"/>
              <w:right w:val="single" w:sz="8" w:space="0" w:color="000000"/>
            </w:tcBorders>
            <w:shd w:val="clear" w:color="000000" w:fill="203764"/>
            <w:vAlign w:val="center"/>
            <w:hideMark/>
          </w:tcPr>
          <w:p w14:paraId="23025B2C" w14:textId="77777777" w:rsidR="00183C51" w:rsidRPr="00BD7E4A" w:rsidRDefault="00183C51" w:rsidP="00183C51">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183C51" w:rsidRPr="0091631A" w14:paraId="04544345" w14:textId="77777777" w:rsidTr="009160DB">
        <w:trPr>
          <w:trHeight w:val="320"/>
        </w:trPr>
        <w:tc>
          <w:tcPr>
            <w:tcW w:w="1854" w:type="dxa"/>
            <w:gridSpan w:val="3"/>
            <w:vMerge/>
            <w:tcBorders>
              <w:top w:val="single" w:sz="8" w:space="0" w:color="auto"/>
              <w:left w:val="single" w:sz="8" w:space="0" w:color="auto"/>
              <w:bottom w:val="nil"/>
              <w:right w:val="single" w:sz="8" w:space="0" w:color="000000"/>
            </w:tcBorders>
            <w:vAlign w:val="center"/>
            <w:hideMark/>
          </w:tcPr>
          <w:p w14:paraId="7210DB93" w14:textId="77777777" w:rsidR="00183C51" w:rsidRPr="00BD7E4A" w:rsidRDefault="00183C51" w:rsidP="00183C51">
            <w:pPr>
              <w:rPr>
                <w:rFonts w:ascii="Arial Narrow" w:eastAsia="Times New Roman" w:hAnsi="Arial Narrow"/>
                <w:b/>
                <w:bCs/>
                <w:color w:val="FFFFFF"/>
                <w:sz w:val="22"/>
                <w:szCs w:val="22"/>
              </w:rPr>
            </w:pPr>
          </w:p>
        </w:tc>
        <w:tc>
          <w:tcPr>
            <w:tcW w:w="3098" w:type="dxa"/>
            <w:vMerge/>
            <w:tcBorders>
              <w:top w:val="single" w:sz="8" w:space="0" w:color="auto"/>
              <w:left w:val="single" w:sz="8" w:space="0" w:color="auto"/>
              <w:bottom w:val="nil"/>
              <w:right w:val="single" w:sz="8" w:space="0" w:color="auto"/>
            </w:tcBorders>
            <w:vAlign w:val="center"/>
            <w:hideMark/>
          </w:tcPr>
          <w:p w14:paraId="0BC47D0F" w14:textId="77777777" w:rsidR="00183C51" w:rsidRPr="00BD7E4A" w:rsidRDefault="00183C51" w:rsidP="00183C51">
            <w:pPr>
              <w:rPr>
                <w:rFonts w:ascii="Arial Narrow" w:eastAsia="Times New Roman" w:hAnsi="Arial Narrow"/>
                <w:b/>
                <w:bCs/>
                <w:color w:val="FFFFFF"/>
                <w:sz w:val="22"/>
                <w:szCs w:val="22"/>
              </w:rPr>
            </w:pPr>
          </w:p>
        </w:tc>
        <w:tc>
          <w:tcPr>
            <w:tcW w:w="1984" w:type="dxa"/>
            <w:tcBorders>
              <w:top w:val="nil"/>
              <w:left w:val="nil"/>
              <w:bottom w:val="nil"/>
              <w:right w:val="single" w:sz="8" w:space="0" w:color="auto"/>
            </w:tcBorders>
            <w:shd w:val="clear" w:color="000000" w:fill="203764"/>
            <w:vAlign w:val="center"/>
            <w:hideMark/>
          </w:tcPr>
          <w:p w14:paraId="0BFE563C" w14:textId="77777777" w:rsidR="00183C51" w:rsidRPr="00BD7E4A" w:rsidRDefault="00183C51" w:rsidP="00183C51">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2087" w:type="dxa"/>
            <w:tcBorders>
              <w:top w:val="nil"/>
              <w:left w:val="nil"/>
              <w:bottom w:val="nil"/>
              <w:right w:val="single" w:sz="8" w:space="0" w:color="auto"/>
            </w:tcBorders>
            <w:shd w:val="clear" w:color="000000" w:fill="203764"/>
            <w:vAlign w:val="center"/>
            <w:hideMark/>
          </w:tcPr>
          <w:p w14:paraId="373EEE99" w14:textId="446FDEA0" w:rsidR="00183C51" w:rsidRPr="0091631A" w:rsidRDefault="0091631A" w:rsidP="00183C51">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183C51" w:rsidRPr="006E5442" w14:paraId="097345B8" w14:textId="77777777" w:rsidTr="009160DB">
        <w:trPr>
          <w:trHeight w:val="630"/>
        </w:trPr>
        <w:tc>
          <w:tcPr>
            <w:tcW w:w="6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A55FD2" w14:textId="77777777" w:rsidR="00183C51" w:rsidRPr="00BD7E4A" w:rsidRDefault="00183C51" w:rsidP="00183C51">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22" w:type="dxa"/>
            <w:tcBorders>
              <w:top w:val="single" w:sz="8" w:space="0" w:color="auto"/>
              <w:left w:val="nil"/>
              <w:bottom w:val="single" w:sz="8" w:space="0" w:color="auto"/>
              <w:right w:val="single" w:sz="8" w:space="0" w:color="auto"/>
            </w:tcBorders>
            <w:shd w:val="clear" w:color="auto" w:fill="auto"/>
            <w:noWrap/>
            <w:vAlign w:val="center"/>
            <w:hideMark/>
          </w:tcPr>
          <w:p w14:paraId="7659C624" w14:textId="77777777" w:rsidR="00183C51" w:rsidRPr="00BD7E4A" w:rsidRDefault="00183C51" w:rsidP="00183C51">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49.</w:t>
            </w:r>
          </w:p>
        </w:tc>
        <w:tc>
          <w:tcPr>
            <w:tcW w:w="653" w:type="dxa"/>
            <w:tcBorders>
              <w:top w:val="single" w:sz="8" w:space="0" w:color="auto"/>
              <w:left w:val="nil"/>
              <w:bottom w:val="single" w:sz="8" w:space="0" w:color="auto"/>
              <w:right w:val="single" w:sz="8" w:space="0" w:color="auto"/>
            </w:tcBorders>
            <w:shd w:val="clear" w:color="auto" w:fill="auto"/>
            <w:vAlign w:val="center"/>
            <w:hideMark/>
          </w:tcPr>
          <w:p w14:paraId="6D133E86" w14:textId="1A3CA33E" w:rsidR="00183C51" w:rsidRPr="00BD7E4A" w:rsidRDefault="00183C51" w:rsidP="00183C51">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c>
          <w:tcPr>
            <w:tcW w:w="3098" w:type="dxa"/>
            <w:tcBorders>
              <w:top w:val="single" w:sz="8" w:space="0" w:color="auto"/>
              <w:left w:val="nil"/>
              <w:bottom w:val="single" w:sz="8" w:space="0" w:color="auto"/>
              <w:right w:val="single" w:sz="8" w:space="0" w:color="auto"/>
            </w:tcBorders>
            <w:shd w:val="clear" w:color="auto" w:fill="auto"/>
            <w:vAlign w:val="center"/>
            <w:hideMark/>
          </w:tcPr>
          <w:p w14:paraId="165286CE" w14:textId="77777777" w:rsidR="00183C51" w:rsidRPr="00BD7E4A" w:rsidRDefault="00183C51" w:rsidP="00183C51">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Medición inicial de las Cuentas por Cobrar</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770A4481" w14:textId="77777777" w:rsidR="00183C51" w:rsidRPr="00BD7E4A" w:rsidRDefault="00183C51" w:rsidP="00183C51">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NICSP N° 29, Párrafo 45.</w:t>
            </w:r>
          </w:p>
        </w:tc>
        <w:tc>
          <w:tcPr>
            <w:tcW w:w="2087" w:type="dxa"/>
            <w:tcBorders>
              <w:top w:val="single" w:sz="8" w:space="0" w:color="auto"/>
              <w:left w:val="nil"/>
              <w:bottom w:val="single" w:sz="8" w:space="0" w:color="auto"/>
              <w:right w:val="single" w:sz="8" w:space="0" w:color="auto"/>
            </w:tcBorders>
            <w:shd w:val="clear" w:color="auto" w:fill="auto"/>
            <w:vAlign w:val="center"/>
            <w:hideMark/>
          </w:tcPr>
          <w:p w14:paraId="1648561F" w14:textId="77777777" w:rsidR="00183C51" w:rsidRPr="00BD7E4A" w:rsidRDefault="00183C51" w:rsidP="00183C51">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 </w:t>
            </w:r>
            <w:r w:rsidR="000C2AF5" w:rsidRPr="00BD7E4A">
              <w:rPr>
                <w:rFonts w:ascii="Arial Narrow" w:eastAsia="Times New Roman" w:hAnsi="Arial Narrow"/>
                <w:b/>
                <w:bCs/>
                <w:color w:val="000000"/>
                <w:sz w:val="22"/>
                <w:szCs w:val="22"/>
                <w:lang w:val="es-CR"/>
              </w:rPr>
              <w:t>Código Municipal</w:t>
            </w:r>
          </w:p>
          <w:p w14:paraId="5FF3077E" w14:textId="21648C96" w:rsidR="000C2AF5" w:rsidRPr="00BD7E4A" w:rsidRDefault="000C2AF5" w:rsidP="00183C51">
            <w:pP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Artículos 13, 77</w:t>
            </w:r>
            <w:r w:rsidR="007B0A60" w:rsidRPr="00BD7E4A">
              <w:rPr>
                <w:rFonts w:ascii="Arial Narrow" w:eastAsia="Times New Roman" w:hAnsi="Arial Narrow"/>
                <w:b/>
                <w:bCs/>
                <w:color w:val="000000"/>
                <w:sz w:val="22"/>
                <w:szCs w:val="22"/>
                <w:lang w:val="es-CR"/>
              </w:rPr>
              <w:t>,</w:t>
            </w:r>
            <w:r w:rsidRPr="00BD7E4A">
              <w:rPr>
                <w:rFonts w:ascii="Arial Narrow" w:eastAsia="Times New Roman" w:hAnsi="Arial Narrow"/>
                <w:b/>
                <w:bCs/>
                <w:color w:val="000000"/>
                <w:sz w:val="22"/>
                <w:szCs w:val="22"/>
                <w:lang w:val="es-CR"/>
              </w:rPr>
              <w:t xml:space="preserve"> 83</w:t>
            </w:r>
            <w:r w:rsidR="007B0A60" w:rsidRPr="00BD7E4A">
              <w:rPr>
                <w:rFonts w:ascii="Arial Narrow" w:eastAsia="Times New Roman" w:hAnsi="Arial Narrow"/>
                <w:b/>
                <w:bCs/>
                <w:color w:val="000000"/>
                <w:sz w:val="22"/>
                <w:szCs w:val="22"/>
                <w:lang w:val="es-CR"/>
              </w:rPr>
              <w:t>, 83 bis, 88</w:t>
            </w:r>
            <w:r w:rsidR="002C7E61" w:rsidRPr="00BD7E4A">
              <w:rPr>
                <w:rFonts w:ascii="Arial Narrow" w:eastAsia="Times New Roman" w:hAnsi="Arial Narrow"/>
                <w:b/>
                <w:bCs/>
                <w:color w:val="000000"/>
                <w:sz w:val="22"/>
                <w:szCs w:val="22"/>
                <w:lang w:val="es-CR"/>
              </w:rPr>
              <w:t xml:space="preserve"> y 93</w:t>
            </w:r>
          </w:p>
        </w:tc>
      </w:tr>
    </w:tbl>
    <w:p w14:paraId="439F1D49" w14:textId="77777777" w:rsidR="00DE39F4" w:rsidRDefault="00DE39F4" w:rsidP="00AE1144">
      <w:pPr>
        <w:spacing w:line="280" w:lineRule="auto"/>
        <w:ind w:right="260"/>
        <w:jc w:val="both"/>
        <w:rPr>
          <w:rFonts w:ascii="Arial" w:eastAsia="Arial" w:hAnsi="Arial"/>
          <w:bCs/>
          <w:sz w:val="22"/>
          <w:szCs w:val="22"/>
          <w:lang w:val="es-CR"/>
        </w:rPr>
      </w:pPr>
    </w:p>
    <w:p w14:paraId="5EEC6E0B" w14:textId="2F467F94" w:rsidR="00FA2715" w:rsidRDefault="00FA2715" w:rsidP="00AE1144">
      <w:pPr>
        <w:spacing w:line="280" w:lineRule="auto"/>
        <w:ind w:right="260"/>
        <w:jc w:val="both"/>
        <w:rPr>
          <w:rFonts w:ascii="Arial" w:eastAsia="Arial" w:hAnsi="Arial"/>
          <w:b/>
          <w:sz w:val="22"/>
          <w:szCs w:val="22"/>
        </w:rPr>
      </w:pPr>
      <w:r w:rsidRPr="00F02F9D">
        <w:rPr>
          <w:rFonts w:ascii="Arial" w:eastAsia="Arial" w:hAnsi="Arial"/>
          <w:b/>
          <w:sz w:val="22"/>
          <w:szCs w:val="22"/>
        </w:rPr>
        <w:t>Políticas Contables</w:t>
      </w:r>
    </w:p>
    <w:p w14:paraId="1191D5B0" w14:textId="77777777" w:rsidR="00FA2715" w:rsidRPr="00F02F9D" w:rsidRDefault="00FA2715" w:rsidP="00AE1144">
      <w:pPr>
        <w:spacing w:line="280" w:lineRule="auto"/>
        <w:ind w:right="260"/>
        <w:jc w:val="both"/>
        <w:rPr>
          <w:rFonts w:ascii="Arial" w:eastAsia="Arial" w:hAnsi="Arial"/>
          <w:bCs/>
          <w:sz w:val="22"/>
          <w:szCs w:val="22"/>
          <w:lang w:val="es-CR"/>
        </w:rPr>
      </w:pPr>
    </w:p>
    <w:p w14:paraId="4E38EBAA" w14:textId="3B719AF6" w:rsidR="00A12856" w:rsidRPr="00A12856" w:rsidRDefault="00183C51">
      <w:pPr>
        <w:pStyle w:val="Prrafodelista"/>
        <w:numPr>
          <w:ilvl w:val="3"/>
          <w:numId w:val="10"/>
        </w:numPr>
        <w:spacing w:after="120"/>
        <w:ind w:left="1134" w:right="261" w:hanging="1134"/>
        <w:jc w:val="both"/>
        <w:rPr>
          <w:rFonts w:ascii="Arial" w:eastAsia="Arial" w:hAnsi="Arial"/>
          <w:bCs/>
          <w:sz w:val="22"/>
          <w:szCs w:val="22"/>
          <w:lang w:val="es-CR"/>
        </w:rPr>
      </w:pPr>
      <w:r w:rsidRPr="00F02F9D">
        <w:rPr>
          <w:rFonts w:ascii="Arial" w:eastAsia="Arial" w:hAnsi="Arial"/>
          <w:bCs/>
          <w:sz w:val="22"/>
          <w:szCs w:val="22"/>
          <w:lang w:val="es-CR"/>
        </w:rPr>
        <w:t>Las</w:t>
      </w:r>
      <w:r w:rsidR="008A4688" w:rsidRPr="00F02F9D">
        <w:rPr>
          <w:rFonts w:ascii="Arial" w:eastAsia="Arial" w:hAnsi="Arial"/>
          <w:bCs/>
          <w:sz w:val="22"/>
          <w:szCs w:val="22"/>
          <w:lang w:val="es-CR"/>
        </w:rPr>
        <w:t xml:space="preserve"> </w:t>
      </w:r>
      <w:r w:rsidR="006674F4" w:rsidRPr="00F02F9D">
        <w:rPr>
          <w:rFonts w:ascii="Arial" w:eastAsia="Arial" w:hAnsi="Arial"/>
          <w:bCs/>
          <w:sz w:val="22"/>
          <w:szCs w:val="22"/>
          <w:lang w:val="es-CR"/>
        </w:rPr>
        <w:t>C</w:t>
      </w:r>
      <w:r w:rsidR="008A4688" w:rsidRPr="00F02F9D">
        <w:rPr>
          <w:rFonts w:ascii="Arial" w:eastAsia="Arial" w:hAnsi="Arial"/>
          <w:bCs/>
          <w:sz w:val="22"/>
          <w:szCs w:val="22"/>
          <w:lang w:val="es-CR"/>
        </w:rPr>
        <w:t>uenta</w:t>
      </w:r>
      <w:r w:rsidRPr="00F02F9D">
        <w:rPr>
          <w:rFonts w:ascii="Arial" w:eastAsia="Arial" w:hAnsi="Arial"/>
          <w:bCs/>
          <w:sz w:val="22"/>
          <w:szCs w:val="22"/>
          <w:lang w:val="es-CR"/>
        </w:rPr>
        <w:t>s</w:t>
      </w:r>
      <w:r w:rsidR="008A4688" w:rsidRPr="00F02F9D">
        <w:rPr>
          <w:rFonts w:ascii="Arial" w:eastAsia="Arial" w:hAnsi="Arial"/>
          <w:bCs/>
          <w:sz w:val="22"/>
          <w:szCs w:val="22"/>
          <w:lang w:val="es-CR"/>
        </w:rPr>
        <w:t xml:space="preserve"> por </w:t>
      </w:r>
      <w:r w:rsidR="006674F4" w:rsidRPr="00F02F9D">
        <w:rPr>
          <w:rFonts w:ascii="Arial" w:eastAsia="Arial" w:hAnsi="Arial"/>
          <w:bCs/>
          <w:sz w:val="22"/>
          <w:szCs w:val="22"/>
          <w:lang w:val="es-CR"/>
        </w:rPr>
        <w:t>C</w:t>
      </w:r>
      <w:r w:rsidR="008A4688" w:rsidRPr="00F02F9D">
        <w:rPr>
          <w:rFonts w:ascii="Arial" w:eastAsia="Arial" w:hAnsi="Arial"/>
          <w:bCs/>
          <w:sz w:val="22"/>
          <w:szCs w:val="22"/>
          <w:lang w:val="es-CR"/>
        </w:rPr>
        <w:t xml:space="preserve">obrar </w:t>
      </w:r>
      <w:r w:rsidR="00771C34" w:rsidRPr="00F02F9D">
        <w:rPr>
          <w:rFonts w:ascii="Arial" w:eastAsia="Arial" w:hAnsi="Arial"/>
          <w:bCs/>
          <w:sz w:val="22"/>
          <w:szCs w:val="22"/>
          <w:lang w:val="es-CR"/>
        </w:rPr>
        <w:t xml:space="preserve">por </w:t>
      </w:r>
      <w:r w:rsidR="00263268" w:rsidRPr="00F02F9D">
        <w:rPr>
          <w:rFonts w:ascii="Arial" w:eastAsia="Arial" w:hAnsi="Arial"/>
          <w:bCs/>
          <w:sz w:val="22"/>
          <w:szCs w:val="22"/>
          <w:lang w:val="es-CR"/>
        </w:rPr>
        <w:t xml:space="preserve">contribuciones, </w:t>
      </w:r>
      <w:r w:rsidR="00771C34" w:rsidRPr="00F02F9D">
        <w:rPr>
          <w:rFonts w:ascii="Arial" w:eastAsia="Arial" w:hAnsi="Arial"/>
          <w:bCs/>
          <w:sz w:val="22"/>
          <w:szCs w:val="22"/>
          <w:lang w:val="es-CR"/>
        </w:rPr>
        <w:t>tasas</w:t>
      </w:r>
      <w:r w:rsidR="00263268" w:rsidRPr="00F02F9D">
        <w:rPr>
          <w:rFonts w:ascii="Arial" w:eastAsia="Arial" w:hAnsi="Arial"/>
          <w:bCs/>
          <w:sz w:val="22"/>
          <w:szCs w:val="22"/>
          <w:lang w:val="es-CR"/>
        </w:rPr>
        <w:t xml:space="preserve"> (por servicios</w:t>
      </w:r>
      <w:r w:rsidR="000C2AF5" w:rsidRPr="00F02F9D">
        <w:rPr>
          <w:rFonts w:ascii="Arial" w:eastAsia="Arial" w:hAnsi="Arial"/>
          <w:bCs/>
          <w:sz w:val="22"/>
          <w:szCs w:val="22"/>
          <w:lang w:val="es-CR"/>
        </w:rPr>
        <w:t xml:space="preserve"> municipales</w:t>
      </w:r>
      <w:r w:rsidR="00263268" w:rsidRPr="00F02F9D">
        <w:rPr>
          <w:rFonts w:ascii="Arial" w:eastAsia="Arial" w:hAnsi="Arial"/>
          <w:bCs/>
          <w:sz w:val="22"/>
          <w:szCs w:val="22"/>
          <w:lang w:val="es-CR"/>
        </w:rPr>
        <w:t xml:space="preserve">) </w:t>
      </w:r>
      <w:r w:rsidR="00A12856" w:rsidRPr="00F02F9D">
        <w:rPr>
          <w:rFonts w:ascii="Arial" w:eastAsia="Arial" w:hAnsi="Arial"/>
          <w:bCs/>
          <w:sz w:val="22"/>
          <w:szCs w:val="22"/>
          <w:lang w:val="es-CR"/>
        </w:rPr>
        <w:t xml:space="preserve">se medirán inicialmente por el valor establecido y previamente aprobado por </w:t>
      </w:r>
      <w:r w:rsidR="00A12856">
        <w:rPr>
          <w:rFonts w:ascii="Arial" w:eastAsia="Arial" w:hAnsi="Arial"/>
          <w:bCs/>
          <w:sz w:val="22"/>
          <w:szCs w:val="22"/>
          <w:lang w:val="es-CR"/>
        </w:rPr>
        <w:t xml:space="preserve">el Concejo. </w:t>
      </w:r>
      <w:r w:rsidR="00A12856" w:rsidRPr="00F02F9D">
        <w:rPr>
          <w:rFonts w:ascii="Arial" w:eastAsia="Arial" w:hAnsi="Arial"/>
          <w:bCs/>
          <w:sz w:val="22"/>
          <w:szCs w:val="22"/>
          <w:lang w:val="es-CR"/>
        </w:rPr>
        <w:t>Las tasas y precios se fijarán tomando en consideración su costo más un 10% de utilidad para desarrollarlos</w:t>
      </w:r>
      <w:r w:rsidR="00A12856">
        <w:rPr>
          <w:rFonts w:ascii="Arial" w:eastAsia="Arial" w:hAnsi="Arial"/>
          <w:bCs/>
          <w:sz w:val="22"/>
          <w:szCs w:val="22"/>
          <w:lang w:val="es-CR"/>
        </w:rPr>
        <w:t>.</w:t>
      </w:r>
    </w:p>
    <w:p w14:paraId="6CD691A8" w14:textId="77777777" w:rsidR="00A12856" w:rsidRDefault="00A12856" w:rsidP="00A12856">
      <w:pPr>
        <w:pStyle w:val="Prrafodelista"/>
        <w:spacing w:after="120"/>
        <w:ind w:left="1134" w:right="261"/>
        <w:jc w:val="both"/>
        <w:rPr>
          <w:rFonts w:ascii="Arial" w:eastAsia="Arial" w:hAnsi="Arial"/>
          <w:bCs/>
          <w:sz w:val="22"/>
          <w:szCs w:val="22"/>
          <w:lang w:val="es-CR"/>
        </w:rPr>
      </w:pPr>
    </w:p>
    <w:p w14:paraId="6F654DEC" w14:textId="1D475688" w:rsidR="00A12856" w:rsidRDefault="00A12856">
      <w:pPr>
        <w:pStyle w:val="Prrafodelista"/>
        <w:numPr>
          <w:ilvl w:val="3"/>
          <w:numId w:val="10"/>
        </w:numPr>
        <w:spacing w:after="120"/>
        <w:ind w:left="1134" w:right="261" w:hanging="1134"/>
        <w:jc w:val="both"/>
        <w:rPr>
          <w:rFonts w:ascii="Arial" w:eastAsia="Arial" w:hAnsi="Arial"/>
          <w:bCs/>
          <w:sz w:val="22"/>
          <w:szCs w:val="22"/>
          <w:lang w:val="es-CR"/>
        </w:rPr>
      </w:pPr>
      <w:r>
        <w:rPr>
          <w:rFonts w:ascii="Arial" w:eastAsia="Arial" w:hAnsi="Arial"/>
          <w:bCs/>
          <w:sz w:val="22"/>
          <w:szCs w:val="22"/>
          <w:lang w:val="es-CR"/>
        </w:rPr>
        <w:t>Los</w:t>
      </w:r>
      <w:r w:rsidR="00263268" w:rsidRPr="00A12856">
        <w:rPr>
          <w:rFonts w:ascii="Arial" w:eastAsia="Arial" w:hAnsi="Arial"/>
          <w:bCs/>
          <w:sz w:val="22"/>
          <w:szCs w:val="22"/>
          <w:lang w:val="es-CR"/>
        </w:rPr>
        <w:t xml:space="preserve"> tributos</w:t>
      </w:r>
      <w:r>
        <w:rPr>
          <w:rFonts w:ascii="Arial" w:eastAsia="Arial" w:hAnsi="Arial"/>
          <w:bCs/>
          <w:sz w:val="22"/>
          <w:szCs w:val="22"/>
          <w:lang w:val="es-CR"/>
        </w:rPr>
        <w:t xml:space="preserve"> </w:t>
      </w:r>
      <w:r w:rsidR="000C2AF5" w:rsidRPr="00A12856">
        <w:rPr>
          <w:rFonts w:ascii="Arial" w:eastAsia="Arial" w:hAnsi="Arial"/>
          <w:bCs/>
          <w:sz w:val="22"/>
          <w:szCs w:val="22"/>
          <w:lang w:val="es-CR"/>
        </w:rPr>
        <w:t xml:space="preserve">por </w:t>
      </w:r>
      <w:r w:rsidR="007B0A60" w:rsidRPr="00A12856">
        <w:rPr>
          <w:rFonts w:ascii="Arial" w:eastAsia="Arial" w:hAnsi="Arial"/>
          <w:bCs/>
          <w:sz w:val="22"/>
          <w:szCs w:val="22"/>
          <w:lang w:val="es-CR"/>
        </w:rPr>
        <w:t>Impuesto</w:t>
      </w:r>
      <w:r>
        <w:rPr>
          <w:rFonts w:ascii="Arial" w:eastAsia="Arial" w:hAnsi="Arial"/>
          <w:bCs/>
          <w:sz w:val="22"/>
          <w:szCs w:val="22"/>
          <w:lang w:val="es-CR"/>
        </w:rPr>
        <w:t>,</w:t>
      </w:r>
      <w:r w:rsidR="007B0A60" w:rsidRPr="00A12856">
        <w:rPr>
          <w:rFonts w:ascii="Arial" w:eastAsia="Arial" w:hAnsi="Arial"/>
          <w:bCs/>
          <w:sz w:val="22"/>
          <w:szCs w:val="22"/>
          <w:lang w:val="es-CR"/>
        </w:rPr>
        <w:t xml:space="preserve"> </w:t>
      </w:r>
      <w:r>
        <w:rPr>
          <w:rFonts w:ascii="Arial" w:eastAsia="Arial" w:hAnsi="Arial"/>
          <w:bCs/>
          <w:sz w:val="22"/>
          <w:szCs w:val="22"/>
          <w:lang w:val="es-CR"/>
        </w:rPr>
        <w:t>P</w:t>
      </w:r>
      <w:r w:rsidR="00771C34" w:rsidRPr="00A12856">
        <w:rPr>
          <w:rFonts w:ascii="Arial" w:eastAsia="Arial" w:hAnsi="Arial"/>
          <w:bCs/>
          <w:sz w:val="22"/>
          <w:szCs w:val="22"/>
          <w:lang w:val="es-CR"/>
        </w:rPr>
        <w:t>atentes</w:t>
      </w:r>
      <w:r>
        <w:rPr>
          <w:rFonts w:ascii="Arial" w:eastAsia="Arial" w:hAnsi="Arial"/>
          <w:bCs/>
          <w:sz w:val="22"/>
          <w:szCs w:val="22"/>
          <w:lang w:val="es-CR"/>
        </w:rPr>
        <w:t xml:space="preserve"> comerciales</w:t>
      </w:r>
      <w:r w:rsidR="007B0A60" w:rsidRPr="00A12856">
        <w:rPr>
          <w:rFonts w:ascii="Arial" w:eastAsia="Arial" w:hAnsi="Arial"/>
          <w:bCs/>
          <w:sz w:val="22"/>
          <w:szCs w:val="22"/>
          <w:lang w:val="es-CR"/>
        </w:rPr>
        <w:t>, Licencia para venta de licores</w:t>
      </w:r>
      <w:r w:rsidR="00771C34" w:rsidRPr="00A12856">
        <w:rPr>
          <w:rFonts w:ascii="Arial" w:eastAsia="Arial" w:hAnsi="Arial"/>
          <w:bCs/>
          <w:sz w:val="22"/>
          <w:szCs w:val="22"/>
          <w:lang w:val="es-CR"/>
        </w:rPr>
        <w:t xml:space="preserve"> </w:t>
      </w:r>
      <w:r>
        <w:rPr>
          <w:rFonts w:ascii="Arial" w:eastAsia="Arial" w:hAnsi="Arial"/>
          <w:bCs/>
          <w:sz w:val="22"/>
          <w:szCs w:val="22"/>
          <w:lang w:val="es-CR"/>
        </w:rPr>
        <w:t xml:space="preserve">y </w:t>
      </w:r>
      <w:r w:rsidR="00771C34" w:rsidRPr="00A12856">
        <w:rPr>
          <w:rFonts w:ascii="Arial" w:eastAsia="Arial" w:hAnsi="Arial"/>
          <w:bCs/>
          <w:sz w:val="22"/>
          <w:szCs w:val="22"/>
          <w:lang w:val="es-CR"/>
        </w:rPr>
        <w:t>e</w:t>
      </w:r>
      <w:r>
        <w:rPr>
          <w:rFonts w:ascii="Arial" w:eastAsia="Arial" w:hAnsi="Arial"/>
          <w:bCs/>
          <w:sz w:val="22"/>
          <w:szCs w:val="22"/>
          <w:lang w:val="es-CR"/>
        </w:rPr>
        <w:t>l</w:t>
      </w:r>
      <w:r w:rsidR="00771C34" w:rsidRPr="00A12856">
        <w:rPr>
          <w:rFonts w:ascii="Arial" w:eastAsia="Arial" w:hAnsi="Arial"/>
          <w:bCs/>
          <w:sz w:val="22"/>
          <w:szCs w:val="22"/>
          <w:lang w:val="es-CR"/>
        </w:rPr>
        <w:t xml:space="preserve"> </w:t>
      </w:r>
      <w:r w:rsidR="007B0A60" w:rsidRPr="00A12856">
        <w:rPr>
          <w:rFonts w:ascii="Arial" w:eastAsia="Arial" w:hAnsi="Arial"/>
          <w:bCs/>
          <w:sz w:val="22"/>
          <w:szCs w:val="22"/>
          <w:lang w:val="es-CR"/>
        </w:rPr>
        <w:t>I</w:t>
      </w:r>
      <w:r w:rsidR="00771C34" w:rsidRPr="00A12856">
        <w:rPr>
          <w:rFonts w:ascii="Arial" w:eastAsia="Arial" w:hAnsi="Arial"/>
          <w:bCs/>
          <w:sz w:val="22"/>
          <w:szCs w:val="22"/>
          <w:lang w:val="es-CR"/>
        </w:rPr>
        <w:t>mpuesto</w:t>
      </w:r>
      <w:r w:rsidR="007B0A60" w:rsidRPr="00A12856">
        <w:rPr>
          <w:rFonts w:ascii="Arial" w:eastAsia="Arial" w:hAnsi="Arial"/>
          <w:bCs/>
          <w:sz w:val="22"/>
          <w:szCs w:val="22"/>
          <w:lang w:val="es-CR"/>
        </w:rPr>
        <w:t xml:space="preserve"> Bienes Inmuebles, Impuesto de traspaso de inmuebles</w:t>
      </w:r>
      <w:r w:rsidR="00263268" w:rsidRPr="00A12856">
        <w:rPr>
          <w:rFonts w:ascii="Arial" w:eastAsia="Arial" w:hAnsi="Arial"/>
          <w:bCs/>
          <w:sz w:val="22"/>
          <w:szCs w:val="22"/>
          <w:lang w:val="es-CR"/>
        </w:rPr>
        <w:t>,</w:t>
      </w:r>
      <w:r w:rsidR="00771C34" w:rsidRPr="00A12856">
        <w:rPr>
          <w:rFonts w:ascii="Arial" w:eastAsia="Arial" w:hAnsi="Arial"/>
          <w:bCs/>
          <w:sz w:val="22"/>
          <w:szCs w:val="22"/>
          <w:lang w:val="es-CR"/>
        </w:rPr>
        <w:t xml:space="preserve"> </w:t>
      </w:r>
      <w:r w:rsidR="00183C51" w:rsidRPr="00A12856">
        <w:rPr>
          <w:rFonts w:ascii="Arial" w:eastAsia="Arial" w:hAnsi="Arial"/>
          <w:bCs/>
          <w:sz w:val="22"/>
          <w:szCs w:val="22"/>
          <w:lang w:val="es-CR"/>
        </w:rPr>
        <w:t xml:space="preserve">se </w:t>
      </w:r>
      <w:r w:rsidR="00AE1144" w:rsidRPr="00A12856">
        <w:rPr>
          <w:rFonts w:ascii="Arial" w:eastAsia="Arial" w:hAnsi="Arial"/>
          <w:bCs/>
          <w:sz w:val="22"/>
          <w:szCs w:val="22"/>
          <w:lang w:val="es-CR"/>
        </w:rPr>
        <w:t>medirán</w:t>
      </w:r>
      <w:r w:rsidR="00183C51" w:rsidRPr="00A12856">
        <w:rPr>
          <w:rFonts w:ascii="Arial" w:eastAsia="Arial" w:hAnsi="Arial"/>
          <w:bCs/>
          <w:sz w:val="22"/>
          <w:szCs w:val="22"/>
          <w:lang w:val="es-CR"/>
        </w:rPr>
        <w:t xml:space="preserve"> inici</w:t>
      </w:r>
      <w:r w:rsidR="006674F4" w:rsidRPr="00A12856">
        <w:rPr>
          <w:rFonts w:ascii="Arial" w:eastAsia="Arial" w:hAnsi="Arial"/>
          <w:bCs/>
          <w:sz w:val="22"/>
          <w:szCs w:val="22"/>
          <w:lang w:val="es-CR"/>
        </w:rPr>
        <w:t>almente</w:t>
      </w:r>
      <w:r w:rsidR="00183C51" w:rsidRPr="00A12856">
        <w:rPr>
          <w:rFonts w:ascii="Arial" w:eastAsia="Arial" w:hAnsi="Arial"/>
          <w:bCs/>
          <w:sz w:val="22"/>
          <w:szCs w:val="22"/>
          <w:lang w:val="es-CR"/>
        </w:rPr>
        <w:t xml:space="preserve"> </w:t>
      </w:r>
      <w:r w:rsidR="008A4688" w:rsidRPr="00A12856">
        <w:rPr>
          <w:rFonts w:ascii="Arial" w:eastAsia="Arial" w:hAnsi="Arial"/>
          <w:bCs/>
          <w:sz w:val="22"/>
          <w:szCs w:val="22"/>
          <w:lang w:val="es-CR"/>
        </w:rPr>
        <w:t xml:space="preserve">por </w:t>
      </w:r>
      <w:r w:rsidR="00263268" w:rsidRPr="00A12856">
        <w:rPr>
          <w:rFonts w:ascii="Arial" w:eastAsia="Arial" w:hAnsi="Arial"/>
          <w:bCs/>
          <w:sz w:val="22"/>
          <w:szCs w:val="22"/>
          <w:lang w:val="es-CR"/>
        </w:rPr>
        <w:t xml:space="preserve">el </w:t>
      </w:r>
      <w:r w:rsidR="008A4688" w:rsidRPr="00A12856">
        <w:rPr>
          <w:rFonts w:ascii="Arial" w:eastAsia="Arial" w:hAnsi="Arial"/>
          <w:bCs/>
          <w:sz w:val="22"/>
          <w:szCs w:val="22"/>
          <w:lang w:val="es-CR"/>
        </w:rPr>
        <w:t>valor</w:t>
      </w:r>
      <w:r w:rsidR="00263268" w:rsidRPr="00A12856">
        <w:rPr>
          <w:rFonts w:ascii="Arial" w:eastAsia="Arial" w:hAnsi="Arial"/>
          <w:bCs/>
          <w:sz w:val="22"/>
          <w:szCs w:val="22"/>
          <w:lang w:val="es-CR"/>
        </w:rPr>
        <w:t xml:space="preserve"> establecido y previamente aprobado por la </w:t>
      </w:r>
      <w:r w:rsidR="000F29DC" w:rsidRPr="00A12856">
        <w:rPr>
          <w:rFonts w:ascii="Arial" w:eastAsia="Arial" w:hAnsi="Arial"/>
          <w:bCs/>
          <w:sz w:val="22"/>
          <w:szCs w:val="22"/>
          <w:lang w:val="es-CR"/>
        </w:rPr>
        <w:t>Asa</w:t>
      </w:r>
      <w:r w:rsidR="000F29DC">
        <w:rPr>
          <w:rFonts w:ascii="Arial" w:eastAsia="Arial" w:hAnsi="Arial"/>
          <w:bCs/>
          <w:sz w:val="22"/>
          <w:szCs w:val="22"/>
          <w:lang w:val="es-CR"/>
        </w:rPr>
        <w:t>mbl</w:t>
      </w:r>
      <w:r w:rsidR="000F29DC" w:rsidRPr="00A12856">
        <w:rPr>
          <w:rFonts w:ascii="Arial" w:eastAsia="Arial" w:hAnsi="Arial"/>
          <w:bCs/>
          <w:sz w:val="22"/>
          <w:szCs w:val="22"/>
          <w:lang w:val="es-CR"/>
        </w:rPr>
        <w:t>ea</w:t>
      </w:r>
      <w:r w:rsidR="00263268" w:rsidRPr="00A12856">
        <w:rPr>
          <w:rFonts w:ascii="Arial" w:eastAsia="Arial" w:hAnsi="Arial"/>
          <w:bCs/>
          <w:sz w:val="22"/>
          <w:szCs w:val="22"/>
          <w:lang w:val="es-CR"/>
        </w:rPr>
        <w:t xml:space="preserve"> Legislativa</w:t>
      </w:r>
      <w:r>
        <w:rPr>
          <w:rFonts w:ascii="Arial" w:eastAsia="Arial" w:hAnsi="Arial"/>
          <w:bCs/>
          <w:sz w:val="22"/>
          <w:szCs w:val="22"/>
          <w:lang w:val="es-CR"/>
        </w:rPr>
        <w:t>.</w:t>
      </w:r>
    </w:p>
    <w:p w14:paraId="1C6B36B8" w14:textId="77777777" w:rsidR="00A12856" w:rsidRPr="00A12856" w:rsidRDefault="00A12856" w:rsidP="00A12856">
      <w:pPr>
        <w:pStyle w:val="Prrafodelista"/>
        <w:rPr>
          <w:rFonts w:ascii="Arial" w:eastAsia="Arial" w:hAnsi="Arial"/>
          <w:bCs/>
          <w:sz w:val="22"/>
          <w:szCs w:val="22"/>
          <w:lang w:val="es-CR"/>
        </w:rPr>
      </w:pPr>
    </w:p>
    <w:p w14:paraId="74BE75E1" w14:textId="77777777" w:rsidR="00816F02" w:rsidRDefault="00771C34">
      <w:pPr>
        <w:pStyle w:val="Prrafodelista"/>
        <w:numPr>
          <w:ilvl w:val="3"/>
          <w:numId w:val="10"/>
        </w:numPr>
        <w:spacing w:after="120"/>
        <w:ind w:left="1134" w:right="261" w:hanging="1134"/>
        <w:jc w:val="both"/>
        <w:rPr>
          <w:rFonts w:ascii="Arial" w:eastAsia="Arial" w:hAnsi="Arial"/>
          <w:bCs/>
          <w:sz w:val="22"/>
          <w:szCs w:val="22"/>
          <w:lang w:val="es-CR"/>
        </w:rPr>
      </w:pPr>
      <w:r w:rsidRPr="00F02F9D">
        <w:rPr>
          <w:rFonts w:ascii="Arial" w:eastAsia="Arial" w:hAnsi="Arial"/>
          <w:bCs/>
          <w:sz w:val="22"/>
          <w:szCs w:val="22"/>
          <w:lang w:val="es-CR"/>
        </w:rPr>
        <w:t xml:space="preserve">Las Cuentas por Cobrar producto de alquileres de bienes municipales se medirán inicialmente por el valor contractual convenido con el arrendador y consignado en el contrato de arriendo </w:t>
      </w:r>
      <w:r w:rsidR="00263268" w:rsidRPr="00F02F9D">
        <w:rPr>
          <w:rFonts w:ascii="Arial" w:eastAsia="Arial" w:hAnsi="Arial"/>
          <w:bCs/>
          <w:sz w:val="22"/>
          <w:szCs w:val="22"/>
          <w:lang w:val="es-CR"/>
        </w:rPr>
        <w:t>correspondiente.</w:t>
      </w:r>
    </w:p>
    <w:p w14:paraId="104BDFC1" w14:textId="77777777" w:rsidR="009E606D" w:rsidRPr="00F02F9D" w:rsidRDefault="009E606D" w:rsidP="009E606D">
      <w:pPr>
        <w:pStyle w:val="Prrafodelista"/>
        <w:spacing w:after="120"/>
        <w:ind w:left="1134" w:right="261"/>
        <w:jc w:val="both"/>
        <w:rPr>
          <w:rFonts w:ascii="Arial" w:eastAsia="Arial" w:hAnsi="Arial"/>
          <w:bCs/>
          <w:sz w:val="22"/>
          <w:szCs w:val="22"/>
          <w:lang w:val="es-CR"/>
        </w:rPr>
      </w:pPr>
    </w:p>
    <w:p w14:paraId="6F6BCEBB" w14:textId="166D7DDD" w:rsidR="000C2AF5" w:rsidRDefault="000C2AF5">
      <w:pPr>
        <w:pStyle w:val="Prrafodelista"/>
        <w:numPr>
          <w:ilvl w:val="3"/>
          <w:numId w:val="10"/>
        </w:numPr>
        <w:spacing w:after="120"/>
        <w:ind w:left="1134" w:right="261" w:hanging="1134"/>
        <w:jc w:val="both"/>
        <w:rPr>
          <w:rFonts w:ascii="Arial" w:eastAsia="Arial" w:hAnsi="Arial"/>
          <w:bCs/>
          <w:sz w:val="22"/>
          <w:szCs w:val="22"/>
          <w:lang w:val="es-CR"/>
        </w:rPr>
      </w:pPr>
      <w:r w:rsidRPr="00F02F9D">
        <w:rPr>
          <w:rFonts w:ascii="Arial" w:eastAsia="Arial" w:hAnsi="Arial"/>
          <w:bCs/>
          <w:sz w:val="22"/>
          <w:szCs w:val="22"/>
          <w:lang w:val="es-CR"/>
        </w:rPr>
        <w:t xml:space="preserve">Las </w:t>
      </w:r>
      <w:r w:rsidR="00E5072C">
        <w:rPr>
          <w:rFonts w:ascii="Arial" w:eastAsia="Arial" w:hAnsi="Arial"/>
          <w:bCs/>
          <w:sz w:val="22"/>
          <w:szCs w:val="22"/>
          <w:lang w:val="es-CR"/>
        </w:rPr>
        <w:t xml:space="preserve">Otras </w:t>
      </w:r>
      <w:r w:rsidRPr="00F02F9D">
        <w:rPr>
          <w:rFonts w:ascii="Arial" w:eastAsia="Arial" w:hAnsi="Arial"/>
          <w:bCs/>
          <w:sz w:val="22"/>
          <w:szCs w:val="22"/>
          <w:lang w:val="es-CR"/>
        </w:rPr>
        <w:t>Cuentas por Cobrar por concepto de Multas</w:t>
      </w:r>
      <w:r w:rsidR="00E5072C">
        <w:rPr>
          <w:rFonts w:ascii="Arial" w:eastAsia="Arial" w:hAnsi="Arial"/>
          <w:bCs/>
          <w:sz w:val="22"/>
          <w:szCs w:val="22"/>
          <w:lang w:val="es-CR"/>
        </w:rPr>
        <w:t xml:space="preserve"> e Intereses</w:t>
      </w:r>
      <w:r w:rsidRPr="00F02F9D">
        <w:rPr>
          <w:rFonts w:ascii="Arial" w:eastAsia="Arial" w:hAnsi="Arial"/>
          <w:bCs/>
          <w:sz w:val="22"/>
          <w:szCs w:val="22"/>
          <w:lang w:val="es-CR"/>
        </w:rPr>
        <w:t xml:space="preserve"> establecidas en </w:t>
      </w:r>
      <w:r w:rsidR="007B0A60" w:rsidRPr="00F02F9D">
        <w:rPr>
          <w:rFonts w:ascii="Arial" w:eastAsia="Arial" w:hAnsi="Arial"/>
          <w:bCs/>
          <w:sz w:val="22"/>
          <w:szCs w:val="22"/>
          <w:lang w:val="es-CR"/>
        </w:rPr>
        <w:t>los</w:t>
      </w:r>
      <w:r w:rsidRPr="00F02F9D">
        <w:rPr>
          <w:rFonts w:ascii="Arial" w:eastAsia="Arial" w:hAnsi="Arial"/>
          <w:bCs/>
          <w:sz w:val="22"/>
          <w:szCs w:val="22"/>
          <w:lang w:val="es-CR"/>
        </w:rPr>
        <w:t xml:space="preserve"> </w:t>
      </w:r>
      <w:r w:rsidR="007B0A60" w:rsidRPr="00F02F9D">
        <w:rPr>
          <w:rFonts w:ascii="Arial" w:eastAsia="Arial" w:hAnsi="Arial"/>
          <w:bCs/>
          <w:sz w:val="22"/>
          <w:szCs w:val="22"/>
          <w:lang w:val="es-CR"/>
        </w:rPr>
        <w:t>a</w:t>
      </w:r>
      <w:r w:rsidRPr="00F02F9D">
        <w:rPr>
          <w:rFonts w:ascii="Arial" w:eastAsia="Arial" w:hAnsi="Arial"/>
          <w:bCs/>
          <w:sz w:val="22"/>
          <w:szCs w:val="22"/>
          <w:lang w:val="es-CR"/>
        </w:rPr>
        <w:t>rtículo</w:t>
      </w:r>
      <w:r w:rsidR="007B0A60" w:rsidRPr="00F02F9D">
        <w:rPr>
          <w:rFonts w:ascii="Arial" w:eastAsia="Arial" w:hAnsi="Arial"/>
          <w:bCs/>
          <w:sz w:val="22"/>
          <w:szCs w:val="22"/>
          <w:lang w:val="es-CR"/>
        </w:rPr>
        <w:t>s</w:t>
      </w:r>
      <w:r w:rsidRPr="00F02F9D">
        <w:rPr>
          <w:rFonts w:ascii="Arial" w:eastAsia="Arial" w:hAnsi="Arial"/>
          <w:bCs/>
          <w:sz w:val="22"/>
          <w:szCs w:val="22"/>
          <w:lang w:val="es-CR"/>
        </w:rPr>
        <w:t xml:space="preserve"> 85 </w:t>
      </w:r>
      <w:r w:rsidR="007B0A60" w:rsidRPr="00F02F9D">
        <w:rPr>
          <w:rFonts w:ascii="Arial" w:eastAsia="Arial" w:hAnsi="Arial"/>
          <w:bCs/>
          <w:sz w:val="22"/>
          <w:szCs w:val="22"/>
          <w:lang w:val="es-CR"/>
        </w:rPr>
        <w:t xml:space="preserve">y 85 bis </w:t>
      </w:r>
      <w:r w:rsidRPr="00F02F9D">
        <w:rPr>
          <w:rFonts w:ascii="Arial" w:eastAsia="Arial" w:hAnsi="Arial"/>
          <w:bCs/>
          <w:sz w:val="22"/>
          <w:szCs w:val="22"/>
          <w:lang w:val="es-CR"/>
        </w:rPr>
        <w:t xml:space="preserve">del Código Municipal se medirán </w:t>
      </w:r>
      <w:r w:rsidR="007B0A60" w:rsidRPr="00F02F9D">
        <w:rPr>
          <w:rFonts w:ascii="Arial" w:eastAsia="Arial" w:hAnsi="Arial"/>
          <w:bCs/>
          <w:sz w:val="22"/>
          <w:szCs w:val="22"/>
          <w:lang w:val="es-CR"/>
        </w:rPr>
        <w:t>de acuerdo con los precios establecidos en esos artículos y lo dispuesto en el artículo 85 ter.</w:t>
      </w:r>
    </w:p>
    <w:p w14:paraId="27791666" w14:textId="77777777" w:rsidR="00A12856" w:rsidRPr="00A12856" w:rsidRDefault="00A12856" w:rsidP="00A12856">
      <w:pPr>
        <w:pStyle w:val="Prrafodelista"/>
        <w:rPr>
          <w:rFonts w:ascii="Arial" w:eastAsia="Arial" w:hAnsi="Arial"/>
          <w:bCs/>
          <w:sz w:val="22"/>
          <w:szCs w:val="22"/>
          <w:lang w:val="es-CR"/>
        </w:rPr>
      </w:pPr>
    </w:p>
    <w:p w14:paraId="44FEACB1" w14:textId="515FA399" w:rsidR="006868D6" w:rsidRPr="00F02F9D" w:rsidRDefault="006868D6" w:rsidP="00771C34">
      <w:pPr>
        <w:ind w:right="261"/>
        <w:jc w:val="both"/>
        <w:rPr>
          <w:rFonts w:ascii="Arial" w:eastAsia="Arial" w:hAnsi="Arial"/>
          <w:bCs/>
          <w:sz w:val="22"/>
          <w:szCs w:val="22"/>
          <w:lang w:val="es-CR"/>
        </w:rPr>
      </w:pPr>
    </w:p>
    <w:tbl>
      <w:tblPr>
        <w:tblW w:w="8940" w:type="dxa"/>
        <w:tblInd w:w="-10" w:type="dxa"/>
        <w:tblLook w:val="04A0" w:firstRow="1" w:lastRow="0" w:firstColumn="1" w:lastColumn="0" w:noHBand="0" w:noVBand="1"/>
      </w:tblPr>
      <w:tblGrid>
        <w:gridCol w:w="540"/>
        <w:gridCol w:w="740"/>
        <w:gridCol w:w="520"/>
        <w:gridCol w:w="2860"/>
        <w:gridCol w:w="2180"/>
        <w:gridCol w:w="2100"/>
      </w:tblGrid>
      <w:tr w:rsidR="006868D6" w:rsidRPr="00BD7E4A" w14:paraId="327785E2" w14:textId="77777777" w:rsidTr="009E606D">
        <w:trPr>
          <w:trHeight w:val="320"/>
        </w:trPr>
        <w:tc>
          <w:tcPr>
            <w:tcW w:w="180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F73D6BF" w14:textId="77777777" w:rsidR="006868D6" w:rsidRPr="00BD7E4A" w:rsidRDefault="006868D6" w:rsidP="006868D6">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286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A023847" w14:textId="77777777" w:rsidR="006868D6" w:rsidRPr="00BD7E4A" w:rsidRDefault="006868D6" w:rsidP="006868D6">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4280" w:type="dxa"/>
            <w:gridSpan w:val="2"/>
            <w:tcBorders>
              <w:top w:val="single" w:sz="8" w:space="0" w:color="auto"/>
              <w:left w:val="nil"/>
              <w:bottom w:val="single" w:sz="8" w:space="0" w:color="auto"/>
              <w:right w:val="single" w:sz="8" w:space="0" w:color="000000"/>
            </w:tcBorders>
            <w:shd w:val="clear" w:color="000000" w:fill="203764"/>
            <w:vAlign w:val="center"/>
            <w:hideMark/>
          </w:tcPr>
          <w:p w14:paraId="1235BBEF" w14:textId="77777777" w:rsidR="006868D6" w:rsidRPr="00BD7E4A" w:rsidRDefault="006868D6" w:rsidP="006868D6">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6868D6" w:rsidRPr="0091631A" w14:paraId="5D051BB3" w14:textId="77777777" w:rsidTr="009E606D">
        <w:trPr>
          <w:trHeight w:val="320"/>
        </w:trPr>
        <w:tc>
          <w:tcPr>
            <w:tcW w:w="1800" w:type="dxa"/>
            <w:gridSpan w:val="3"/>
            <w:vMerge/>
            <w:tcBorders>
              <w:top w:val="single" w:sz="8" w:space="0" w:color="auto"/>
              <w:left w:val="single" w:sz="8" w:space="0" w:color="auto"/>
              <w:bottom w:val="nil"/>
              <w:right w:val="single" w:sz="8" w:space="0" w:color="000000"/>
            </w:tcBorders>
            <w:vAlign w:val="center"/>
            <w:hideMark/>
          </w:tcPr>
          <w:p w14:paraId="2E580293" w14:textId="77777777" w:rsidR="006868D6" w:rsidRPr="00BD7E4A" w:rsidRDefault="006868D6" w:rsidP="006868D6">
            <w:pPr>
              <w:rPr>
                <w:rFonts w:ascii="Arial Narrow" w:eastAsia="Times New Roman" w:hAnsi="Arial Narrow"/>
                <w:b/>
                <w:bCs/>
                <w:color w:val="FFFFFF"/>
                <w:sz w:val="22"/>
                <w:szCs w:val="22"/>
              </w:rPr>
            </w:pPr>
          </w:p>
        </w:tc>
        <w:tc>
          <w:tcPr>
            <w:tcW w:w="2860" w:type="dxa"/>
            <w:vMerge/>
            <w:tcBorders>
              <w:top w:val="single" w:sz="8" w:space="0" w:color="auto"/>
              <w:left w:val="single" w:sz="8" w:space="0" w:color="auto"/>
              <w:bottom w:val="nil"/>
              <w:right w:val="single" w:sz="8" w:space="0" w:color="auto"/>
            </w:tcBorders>
            <w:vAlign w:val="center"/>
            <w:hideMark/>
          </w:tcPr>
          <w:p w14:paraId="01678238" w14:textId="77777777" w:rsidR="006868D6" w:rsidRPr="00BD7E4A" w:rsidRDefault="006868D6" w:rsidP="006868D6">
            <w:pPr>
              <w:rPr>
                <w:rFonts w:ascii="Arial Narrow" w:eastAsia="Times New Roman" w:hAnsi="Arial Narrow"/>
                <w:b/>
                <w:bCs/>
                <w:color w:val="FFFFFF"/>
                <w:sz w:val="22"/>
                <w:szCs w:val="22"/>
              </w:rPr>
            </w:pPr>
          </w:p>
        </w:tc>
        <w:tc>
          <w:tcPr>
            <w:tcW w:w="2180" w:type="dxa"/>
            <w:tcBorders>
              <w:top w:val="nil"/>
              <w:left w:val="nil"/>
              <w:bottom w:val="nil"/>
              <w:right w:val="single" w:sz="8" w:space="0" w:color="auto"/>
            </w:tcBorders>
            <w:shd w:val="clear" w:color="000000" w:fill="203764"/>
            <w:vAlign w:val="center"/>
            <w:hideMark/>
          </w:tcPr>
          <w:p w14:paraId="7AFB5663" w14:textId="77777777" w:rsidR="006868D6" w:rsidRPr="00BD7E4A" w:rsidRDefault="006868D6" w:rsidP="006868D6">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172E0F13" w14:textId="510010BF" w:rsidR="006868D6" w:rsidRPr="0091631A" w:rsidRDefault="0091631A" w:rsidP="006868D6">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6868D6" w:rsidRPr="00BD7E4A" w14:paraId="0313CE31" w14:textId="77777777" w:rsidTr="00CE5B44">
        <w:trPr>
          <w:trHeight w:val="436"/>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048D07" w14:textId="77777777" w:rsidR="006868D6" w:rsidRPr="00BD7E4A" w:rsidRDefault="006868D6" w:rsidP="006868D6">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740" w:type="dxa"/>
            <w:tcBorders>
              <w:top w:val="single" w:sz="8" w:space="0" w:color="auto"/>
              <w:left w:val="nil"/>
              <w:bottom w:val="single" w:sz="8" w:space="0" w:color="auto"/>
              <w:right w:val="single" w:sz="8" w:space="0" w:color="auto"/>
            </w:tcBorders>
            <w:shd w:val="clear" w:color="auto" w:fill="auto"/>
            <w:noWrap/>
            <w:vAlign w:val="center"/>
            <w:hideMark/>
          </w:tcPr>
          <w:p w14:paraId="51A307B4" w14:textId="77777777" w:rsidR="006868D6" w:rsidRPr="00BD7E4A" w:rsidRDefault="006868D6" w:rsidP="006868D6">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50.</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766B6D23" w14:textId="01823632" w:rsidR="006868D6" w:rsidRPr="00BD7E4A" w:rsidRDefault="006868D6" w:rsidP="006868D6">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r w:rsidR="00E5072C" w:rsidRPr="00BD7E4A">
              <w:rPr>
                <w:rFonts w:ascii="Arial Narrow" w:eastAsia="Times New Roman" w:hAnsi="Arial Narrow"/>
                <w:b/>
                <w:bCs/>
                <w:color w:val="000000"/>
                <w:sz w:val="22"/>
                <w:szCs w:val="22"/>
              </w:rPr>
              <w:t>0</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1246D55F" w14:textId="77777777" w:rsidR="006868D6" w:rsidRPr="00BD7E4A" w:rsidRDefault="006868D6" w:rsidP="006868D6">
            <w:pPr>
              <w:jc w:val="both"/>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Medición posterior de las Cuentas por Cobrar</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3A1B236C" w14:textId="77777777" w:rsidR="00CE5B44" w:rsidRDefault="006868D6" w:rsidP="00CE5B44">
            <w:pPr>
              <w:jc w:val="both"/>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NICSP N° </w:t>
            </w:r>
            <w:r w:rsidR="002C7E61" w:rsidRPr="00BD7E4A">
              <w:rPr>
                <w:rFonts w:ascii="Arial Narrow" w:eastAsia="Times New Roman" w:hAnsi="Arial Narrow"/>
                <w:b/>
                <w:bCs/>
                <w:color w:val="000000"/>
                <w:sz w:val="22"/>
                <w:szCs w:val="22"/>
              </w:rPr>
              <w:t>29</w:t>
            </w:r>
            <w:r w:rsidRPr="00BD7E4A">
              <w:rPr>
                <w:rFonts w:ascii="Arial Narrow" w:eastAsia="Times New Roman" w:hAnsi="Arial Narrow"/>
                <w:b/>
                <w:bCs/>
                <w:color w:val="000000"/>
                <w:sz w:val="22"/>
                <w:szCs w:val="22"/>
              </w:rPr>
              <w:t xml:space="preserve">, </w:t>
            </w:r>
          </w:p>
          <w:p w14:paraId="42746884" w14:textId="5DAC67E8" w:rsidR="006868D6" w:rsidRPr="00BD7E4A" w:rsidRDefault="006868D6" w:rsidP="00CE5B44">
            <w:pPr>
              <w:jc w:val="both"/>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Párrafo</w:t>
            </w:r>
            <w:r w:rsidR="00E321CB" w:rsidRPr="00BD7E4A">
              <w:rPr>
                <w:rFonts w:ascii="Arial Narrow" w:eastAsia="Times New Roman" w:hAnsi="Arial Narrow"/>
                <w:b/>
                <w:bCs/>
                <w:color w:val="000000"/>
                <w:sz w:val="22"/>
                <w:szCs w:val="22"/>
              </w:rPr>
              <w:t>s</w:t>
            </w:r>
            <w:r w:rsidRPr="00BD7E4A">
              <w:rPr>
                <w:rFonts w:ascii="Arial Narrow" w:eastAsia="Times New Roman" w:hAnsi="Arial Narrow"/>
                <w:b/>
                <w:bCs/>
                <w:color w:val="000000"/>
                <w:sz w:val="22"/>
                <w:szCs w:val="22"/>
              </w:rPr>
              <w:t xml:space="preserve"> 4</w:t>
            </w:r>
            <w:r w:rsidR="002C7E61" w:rsidRPr="00BD7E4A">
              <w:rPr>
                <w:rFonts w:ascii="Arial Narrow" w:eastAsia="Times New Roman" w:hAnsi="Arial Narrow"/>
                <w:b/>
                <w:bCs/>
                <w:color w:val="000000"/>
                <w:sz w:val="22"/>
                <w:szCs w:val="22"/>
              </w:rPr>
              <w:t>7</w:t>
            </w:r>
            <w:r w:rsidR="00E321CB" w:rsidRPr="00BD7E4A">
              <w:rPr>
                <w:rFonts w:ascii="Arial Narrow" w:eastAsia="Times New Roman" w:hAnsi="Arial Narrow"/>
                <w:b/>
                <w:bCs/>
                <w:color w:val="000000"/>
                <w:sz w:val="22"/>
                <w:szCs w:val="22"/>
              </w:rPr>
              <w:t xml:space="preserve"> y 48</w:t>
            </w:r>
            <w:r w:rsidRPr="00BD7E4A">
              <w:rPr>
                <w:rFonts w:ascii="Arial Narrow" w:eastAsia="Times New Roman" w:hAnsi="Arial Narrow"/>
                <w:b/>
                <w:bCs/>
                <w:color w:val="000000"/>
                <w:sz w:val="22"/>
                <w:szCs w:val="22"/>
              </w:rPr>
              <w:t>.</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06DA62FA" w14:textId="77777777" w:rsidR="006868D6" w:rsidRPr="00BD7E4A" w:rsidRDefault="006868D6" w:rsidP="006868D6">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tr w:rsidR="006868D6" w:rsidRPr="00BD7E4A" w14:paraId="2D1A2BC6" w14:textId="77777777" w:rsidTr="00CE5B44">
        <w:trPr>
          <w:trHeight w:val="489"/>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9D9D836" w14:textId="77777777" w:rsidR="006868D6" w:rsidRPr="00BD7E4A" w:rsidRDefault="006868D6" w:rsidP="006868D6">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740" w:type="dxa"/>
            <w:tcBorders>
              <w:top w:val="nil"/>
              <w:left w:val="nil"/>
              <w:bottom w:val="single" w:sz="8" w:space="0" w:color="auto"/>
              <w:right w:val="single" w:sz="8" w:space="0" w:color="auto"/>
            </w:tcBorders>
            <w:shd w:val="clear" w:color="auto" w:fill="auto"/>
            <w:vAlign w:val="center"/>
            <w:hideMark/>
          </w:tcPr>
          <w:p w14:paraId="2548621E" w14:textId="77777777" w:rsidR="006868D6" w:rsidRPr="00BD7E4A" w:rsidRDefault="006868D6" w:rsidP="006868D6">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50.</w:t>
            </w:r>
          </w:p>
        </w:tc>
        <w:tc>
          <w:tcPr>
            <w:tcW w:w="520" w:type="dxa"/>
            <w:tcBorders>
              <w:top w:val="nil"/>
              <w:left w:val="nil"/>
              <w:bottom w:val="single" w:sz="8" w:space="0" w:color="auto"/>
              <w:right w:val="single" w:sz="8" w:space="0" w:color="auto"/>
            </w:tcBorders>
            <w:shd w:val="clear" w:color="auto" w:fill="auto"/>
            <w:vAlign w:val="center"/>
            <w:hideMark/>
          </w:tcPr>
          <w:p w14:paraId="64E8E2DA" w14:textId="54C7EBCD" w:rsidR="006868D6" w:rsidRPr="00BD7E4A" w:rsidRDefault="006868D6" w:rsidP="006868D6">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2860" w:type="dxa"/>
            <w:tcBorders>
              <w:top w:val="nil"/>
              <w:left w:val="nil"/>
              <w:bottom w:val="single" w:sz="8" w:space="0" w:color="auto"/>
              <w:right w:val="single" w:sz="8" w:space="0" w:color="auto"/>
            </w:tcBorders>
            <w:shd w:val="clear" w:color="auto" w:fill="auto"/>
            <w:vAlign w:val="center"/>
            <w:hideMark/>
          </w:tcPr>
          <w:p w14:paraId="5553A9C0" w14:textId="17C2A043" w:rsidR="006868D6" w:rsidRPr="00BD7E4A" w:rsidRDefault="006868D6" w:rsidP="006868D6">
            <w:pPr>
              <w:jc w:val="both"/>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Limite a la medición contable de las Cuentas por Cobrar</w:t>
            </w:r>
          </w:p>
        </w:tc>
        <w:tc>
          <w:tcPr>
            <w:tcW w:w="2180" w:type="dxa"/>
            <w:tcBorders>
              <w:top w:val="nil"/>
              <w:left w:val="nil"/>
              <w:bottom w:val="single" w:sz="8" w:space="0" w:color="auto"/>
              <w:right w:val="single" w:sz="8" w:space="0" w:color="auto"/>
            </w:tcBorders>
            <w:shd w:val="clear" w:color="auto" w:fill="auto"/>
            <w:vAlign w:val="center"/>
            <w:hideMark/>
          </w:tcPr>
          <w:p w14:paraId="05A3FB74" w14:textId="77777777" w:rsidR="006868D6" w:rsidRPr="00BD7E4A" w:rsidRDefault="006868D6" w:rsidP="006868D6">
            <w:pPr>
              <w:jc w:val="center"/>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 xml:space="preserve"> </w:t>
            </w:r>
          </w:p>
        </w:tc>
        <w:tc>
          <w:tcPr>
            <w:tcW w:w="2100" w:type="dxa"/>
            <w:tcBorders>
              <w:top w:val="nil"/>
              <w:left w:val="nil"/>
              <w:bottom w:val="single" w:sz="8" w:space="0" w:color="auto"/>
              <w:right w:val="single" w:sz="8" w:space="0" w:color="auto"/>
            </w:tcBorders>
            <w:shd w:val="clear" w:color="auto" w:fill="auto"/>
            <w:vAlign w:val="center"/>
            <w:hideMark/>
          </w:tcPr>
          <w:p w14:paraId="7EF2364D" w14:textId="77777777" w:rsidR="006868D6" w:rsidRPr="00BD7E4A" w:rsidRDefault="006868D6" w:rsidP="006868D6">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DGCN</w:t>
            </w:r>
          </w:p>
        </w:tc>
      </w:tr>
    </w:tbl>
    <w:p w14:paraId="3C5B464B" w14:textId="77777777" w:rsidR="007377D0" w:rsidRPr="00F02F9D" w:rsidRDefault="007377D0">
      <w:pPr>
        <w:spacing w:line="293" w:lineRule="exact"/>
        <w:rPr>
          <w:rFonts w:ascii="Arial" w:eastAsia="Times New Roman" w:hAnsi="Arial"/>
          <w:sz w:val="22"/>
          <w:szCs w:val="22"/>
        </w:rPr>
      </w:pPr>
    </w:p>
    <w:p w14:paraId="14A46E16" w14:textId="02ACE92B" w:rsidR="007377D0" w:rsidRPr="00F02F9D" w:rsidRDefault="008A4688">
      <w:pPr>
        <w:spacing w:line="0" w:lineRule="atLeast"/>
        <w:ind w:left="380"/>
        <w:rPr>
          <w:rFonts w:ascii="Arial" w:eastAsia="Arial" w:hAnsi="Arial"/>
          <w:b/>
          <w:sz w:val="22"/>
          <w:szCs w:val="22"/>
        </w:rPr>
      </w:pPr>
      <w:r w:rsidRPr="00F02F9D">
        <w:rPr>
          <w:rFonts w:ascii="Arial" w:eastAsia="Arial" w:hAnsi="Arial"/>
          <w:b/>
          <w:sz w:val="22"/>
          <w:szCs w:val="22"/>
        </w:rPr>
        <w:t>Política Contable</w:t>
      </w:r>
    </w:p>
    <w:p w14:paraId="031FF65F" w14:textId="77777777" w:rsidR="007377D0" w:rsidRPr="00F02F9D" w:rsidRDefault="007377D0">
      <w:pPr>
        <w:spacing w:line="285" w:lineRule="exact"/>
        <w:rPr>
          <w:rFonts w:ascii="Arial" w:eastAsia="Times New Roman" w:hAnsi="Arial"/>
          <w:bCs/>
          <w:sz w:val="22"/>
          <w:szCs w:val="22"/>
        </w:rPr>
      </w:pPr>
    </w:p>
    <w:p w14:paraId="46CB31F9" w14:textId="60468711" w:rsidR="00E06868" w:rsidRPr="00E5072C" w:rsidRDefault="00207DE1">
      <w:pPr>
        <w:pStyle w:val="Prrafodelista"/>
        <w:numPr>
          <w:ilvl w:val="3"/>
          <w:numId w:val="13"/>
        </w:numPr>
        <w:spacing w:line="237" w:lineRule="auto"/>
        <w:ind w:right="260"/>
        <w:jc w:val="both"/>
        <w:rPr>
          <w:rFonts w:ascii="Arial" w:eastAsia="Arial" w:hAnsi="Arial"/>
          <w:bCs/>
          <w:sz w:val="22"/>
          <w:szCs w:val="22"/>
          <w:lang w:val="es-CR"/>
        </w:rPr>
      </w:pPr>
      <w:r w:rsidRPr="00F02F9D">
        <w:rPr>
          <w:rFonts w:ascii="Arial" w:eastAsia="Arial" w:hAnsi="Arial"/>
          <w:bCs/>
          <w:sz w:val="22"/>
          <w:szCs w:val="22"/>
          <w:lang w:val="es-CR"/>
        </w:rPr>
        <w:lastRenderedPageBreak/>
        <w:t>Después del reconocimiento inicial, l</w:t>
      </w:r>
      <w:r w:rsidR="00816F02" w:rsidRPr="00F02F9D">
        <w:rPr>
          <w:rFonts w:ascii="Arial" w:eastAsia="Arial" w:hAnsi="Arial"/>
          <w:bCs/>
          <w:sz w:val="22"/>
          <w:szCs w:val="22"/>
          <w:lang w:val="es-CR"/>
        </w:rPr>
        <w:t>os</w:t>
      </w:r>
      <w:r w:rsidRPr="00F02F9D">
        <w:rPr>
          <w:rFonts w:ascii="Arial" w:eastAsia="Arial" w:hAnsi="Arial"/>
          <w:bCs/>
          <w:sz w:val="22"/>
          <w:szCs w:val="22"/>
          <w:lang w:val="es-CR"/>
        </w:rPr>
        <w:t xml:space="preserve"> </w:t>
      </w:r>
      <w:r w:rsidR="00816F02" w:rsidRPr="00F02F9D">
        <w:rPr>
          <w:rFonts w:ascii="Arial" w:eastAsia="Arial" w:hAnsi="Arial"/>
          <w:bCs/>
          <w:sz w:val="22"/>
          <w:szCs w:val="22"/>
          <w:lang w:val="es-CR"/>
        </w:rPr>
        <w:t>Documentos</w:t>
      </w:r>
      <w:r w:rsidRPr="00F02F9D">
        <w:rPr>
          <w:rFonts w:ascii="Arial" w:eastAsia="Arial" w:hAnsi="Arial"/>
          <w:bCs/>
          <w:sz w:val="22"/>
          <w:szCs w:val="22"/>
          <w:lang w:val="es-CR"/>
        </w:rPr>
        <w:t xml:space="preserve"> por Cobrar </w:t>
      </w:r>
      <w:r w:rsidR="00816F02" w:rsidRPr="00F02F9D">
        <w:rPr>
          <w:rFonts w:ascii="Arial" w:eastAsia="Arial" w:hAnsi="Arial"/>
          <w:bCs/>
          <w:sz w:val="22"/>
          <w:szCs w:val="22"/>
          <w:lang w:val="es-CR"/>
        </w:rPr>
        <w:t>originados por arreglos de pago en los que establece un periodo mayor a un año</w:t>
      </w:r>
      <w:r w:rsidR="009A6475" w:rsidRPr="00F02F9D">
        <w:rPr>
          <w:rFonts w:ascii="Arial" w:eastAsia="Arial" w:hAnsi="Arial"/>
          <w:bCs/>
          <w:sz w:val="22"/>
          <w:szCs w:val="22"/>
          <w:lang w:val="es-CR"/>
        </w:rPr>
        <w:t xml:space="preserve"> </w:t>
      </w:r>
      <w:r w:rsidR="00816F02" w:rsidRPr="00F02F9D">
        <w:rPr>
          <w:rFonts w:ascii="Arial" w:eastAsia="Arial" w:hAnsi="Arial"/>
          <w:bCs/>
          <w:sz w:val="22"/>
          <w:szCs w:val="22"/>
          <w:lang w:val="es-CR"/>
        </w:rPr>
        <w:t xml:space="preserve">cuyo ingreso sea relevante, </w:t>
      </w:r>
      <w:r w:rsidRPr="00F02F9D">
        <w:rPr>
          <w:rFonts w:ascii="Arial" w:eastAsia="Arial" w:hAnsi="Arial"/>
          <w:bCs/>
          <w:sz w:val="22"/>
          <w:szCs w:val="22"/>
          <w:lang w:val="es-CR"/>
        </w:rPr>
        <w:t xml:space="preserve">se medirán </w:t>
      </w:r>
      <w:r w:rsidR="009A6475" w:rsidRPr="00F02F9D">
        <w:rPr>
          <w:rFonts w:ascii="Arial" w:eastAsia="Arial" w:hAnsi="Arial"/>
          <w:bCs/>
          <w:sz w:val="22"/>
          <w:szCs w:val="22"/>
          <w:lang w:val="es-CR"/>
        </w:rPr>
        <w:t>al costo amortizado utilizando el método de la tasa de interés efectiva.</w:t>
      </w:r>
      <w:r w:rsidRPr="00F02F9D">
        <w:rPr>
          <w:rFonts w:ascii="Arial" w:eastAsia="Arial" w:hAnsi="Arial"/>
          <w:bCs/>
          <w:sz w:val="22"/>
          <w:szCs w:val="22"/>
          <w:lang w:val="es-CR"/>
        </w:rPr>
        <w:t xml:space="preserve"> </w:t>
      </w:r>
    </w:p>
    <w:p w14:paraId="531CB590" w14:textId="77777777" w:rsidR="0035187F" w:rsidRDefault="0035187F" w:rsidP="0035187F">
      <w:pPr>
        <w:spacing w:line="237" w:lineRule="auto"/>
        <w:ind w:right="260"/>
        <w:jc w:val="both"/>
        <w:rPr>
          <w:rFonts w:ascii="Arial" w:eastAsia="Arial" w:hAnsi="Arial"/>
          <w:bCs/>
          <w:sz w:val="22"/>
          <w:szCs w:val="22"/>
          <w:lang w:val="es-CR"/>
        </w:rPr>
      </w:pPr>
    </w:p>
    <w:p w14:paraId="5FEBE5C8" w14:textId="77777777" w:rsidR="00E5072C" w:rsidRDefault="00E5072C" w:rsidP="0035187F">
      <w:pPr>
        <w:spacing w:line="237" w:lineRule="auto"/>
        <w:ind w:right="260"/>
        <w:jc w:val="both"/>
        <w:rPr>
          <w:rFonts w:ascii="Arial" w:eastAsia="Arial" w:hAnsi="Arial"/>
          <w:bCs/>
          <w:sz w:val="22"/>
          <w:szCs w:val="22"/>
          <w:lang w:val="es-CR"/>
        </w:rPr>
      </w:pPr>
    </w:p>
    <w:p w14:paraId="313779EE" w14:textId="77777777" w:rsidR="00F47532" w:rsidRDefault="00F47532" w:rsidP="0035187F">
      <w:pPr>
        <w:spacing w:line="237" w:lineRule="auto"/>
        <w:ind w:right="260"/>
        <w:jc w:val="both"/>
        <w:rPr>
          <w:rFonts w:ascii="Arial" w:eastAsia="Arial" w:hAnsi="Arial"/>
          <w:bCs/>
          <w:sz w:val="22"/>
          <w:szCs w:val="22"/>
          <w:lang w:val="es-CR"/>
        </w:rPr>
      </w:pPr>
    </w:p>
    <w:p w14:paraId="0B08E0A1" w14:textId="77777777" w:rsidR="00F47532" w:rsidRDefault="00F47532" w:rsidP="0035187F">
      <w:pPr>
        <w:spacing w:line="237" w:lineRule="auto"/>
        <w:ind w:right="260"/>
        <w:jc w:val="both"/>
        <w:rPr>
          <w:rFonts w:ascii="Arial" w:eastAsia="Arial" w:hAnsi="Arial"/>
          <w:bCs/>
          <w:sz w:val="22"/>
          <w:szCs w:val="22"/>
          <w:lang w:val="es-CR"/>
        </w:rPr>
      </w:pPr>
    </w:p>
    <w:p w14:paraId="0E27615B" w14:textId="77777777" w:rsidR="00F47532" w:rsidRDefault="00F47532" w:rsidP="0035187F">
      <w:pPr>
        <w:spacing w:line="237" w:lineRule="auto"/>
        <w:ind w:right="260"/>
        <w:jc w:val="both"/>
        <w:rPr>
          <w:rFonts w:ascii="Arial" w:eastAsia="Arial" w:hAnsi="Arial"/>
          <w:bCs/>
          <w:sz w:val="22"/>
          <w:szCs w:val="22"/>
          <w:lang w:val="es-CR"/>
        </w:rPr>
      </w:pPr>
    </w:p>
    <w:p w14:paraId="4D3D0DEF" w14:textId="77777777" w:rsidR="00F47532" w:rsidRDefault="00F47532" w:rsidP="0035187F">
      <w:pPr>
        <w:spacing w:line="237" w:lineRule="auto"/>
        <w:ind w:right="260"/>
        <w:jc w:val="both"/>
        <w:rPr>
          <w:rFonts w:ascii="Arial" w:eastAsia="Arial" w:hAnsi="Arial"/>
          <w:bCs/>
          <w:sz w:val="22"/>
          <w:szCs w:val="22"/>
          <w:lang w:val="es-CR"/>
        </w:rPr>
      </w:pPr>
    </w:p>
    <w:p w14:paraId="23FD5CC2" w14:textId="77777777" w:rsidR="00F47532" w:rsidRDefault="00F47532" w:rsidP="0035187F">
      <w:pPr>
        <w:spacing w:line="237" w:lineRule="auto"/>
        <w:ind w:right="260"/>
        <w:jc w:val="both"/>
        <w:rPr>
          <w:rFonts w:ascii="Arial" w:eastAsia="Arial" w:hAnsi="Arial"/>
          <w:bCs/>
          <w:sz w:val="22"/>
          <w:szCs w:val="22"/>
          <w:lang w:val="es-CR"/>
        </w:rPr>
      </w:pPr>
    </w:p>
    <w:p w14:paraId="404CCEF9" w14:textId="77777777" w:rsidR="00F47532" w:rsidRDefault="00F47532" w:rsidP="0035187F">
      <w:pPr>
        <w:spacing w:line="237" w:lineRule="auto"/>
        <w:ind w:right="260"/>
        <w:jc w:val="both"/>
        <w:rPr>
          <w:rFonts w:ascii="Arial" w:eastAsia="Arial" w:hAnsi="Arial"/>
          <w:bCs/>
          <w:sz w:val="22"/>
          <w:szCs w:val="22"/>
          <w:lang w:val="es-CR"/>
        </w:rPr>
      </w:pPr>
    </w:p>
    <w:p w14:paraId="47C560D1" w14:textId="77777777" w:rsidR="00F47532" w:rsidRDefault="00F47532" w:rsidP="0035187F">
      <w:pPr>
        <w:spacing w:line="237" w:lineRule="auto"/>
        <w:ind w:right="260"/>
        <w:jc w:val="both"/>
        <w:rPr>
          <w:rFonts w:ascii="Arial" w:eastAsia="Arial" w:hAnsi="Arial"/>
          <w:bCs/>
          <w:sz w:val="22"/>
          <w:szCs w:val="22"/>
          <w:lang w:val="es-CR"/>
        </w:rPr>
      </w:pPr>
    </w:p>
    <w:p w14:paraId="393846A8" w14:textId="77777777" w:rsidR="00F47532" w:rsidRDefault="00F47532" w:rsidP="0035187F">
      <w:pPr>
        <w:spacing w:line="237" w:lineRule="auto"/>
        <w:ind w:right="260"/>
        <w:jc w:val="both"/>
        <w:rPr>
          <w:rFonts w:ascii="Arial" w:eastAsia="Arial" w:hAnsi="Arial"/>
          <w:bCs/>
          <w:sz w:val="22"/>
          <w:szCs w:val="22"/>
          <w:lang w:val="es-CR"/>
        </w:rPr>
      </w:pPr>
    </w:p>
    <w:p w14:paraId="41ED3F11" w14:textId="37ED4E89" w:rsidR="009A6475" w:rsidRPr="00BD7E4A" w:rsidRDefault="009A6475" w:rsidP="00BD7E4A">
      <w:pPr>
        <w:pStyle w:val="Ttulo2"/>
        <w:ind w:left="284"/>
        <w:rPr>
          <w:rFonts w:ascii="Arial" w:eastAsia="Arial" w:hAnsi="Arial" w:cs="Arial"/>
          <w:b/>
          <w:bCs/>
          <w:sz w:val="20"/>
          <w:szCs w:val="20"/>
          <w:lang w:val="es-CR"/>
        </w:rPr>
      </w:pPr>
      <w:bookmarkStart w:id="27" w:name="_Toc172726202"/>
      <w:r w:rsidRPr="00BD7E4A">
        <w:rPr>
          <w:rFonts w:ascii="Arial" w:eastAsia="Arial" w:hAnsi="Arial" w:cs="Arial"/>
          <w:b/>
          <w:bCs/>
          <w:sz w:val="20"/>
          <w:szCs w:val="20"/>
          <w:lang w:val="es-CR"/>
        </w:rPr>
        <w:t xml:space="preserve">Transferencias </w:t>
      </w:r>
      <w:r w:rsidR="001A2D54" w:rsidRPr="00BD7E4A">
        <w:rPr>
          <w:rFonts w:ascii="Arial" w:eastAsia="Arial" w:hAnsi="Arial" w:cs="Arial"/>
          <w:b/>
          <w:bCs/>
          <w:sz w:val="20"/>
          <w:szCs w:val="20"/>
          <w:lang w:val="es-CR"/>
        </w:rPr>
        <w:t>por</w:t>
      </w:r>
      <w:r w:rsidRPr="00BD7E4A">
        <w:rPr>
          <w:rFonts w:ascii="Arial" w:eastAsia="Arial" w:hAnsi="Arial" w:cs="Arial"/>
          <w:b/>
          <w:bCs/>
          <w:sz w:val="20"/>
          <w:szCs w:val="20"/>
          <w:lang w:val="es-CR"/>
        </w:rPr>
        <w:t xml:space="preserve"> cobrar</w:t>
      </w:r>
      <w:bookmarkEnd w:id="27"/>
    </w:p>
    <w:p w14:paraId="144DBA81" w14:textId="77777777" w:rsidR="009A6475" w:rsidRPr="00F02F9D" w:rsidRDefault="009A6475" w:rsidP="009A6475">
      <w:pPr>
        <w:spacing w:line="302" w:lineRule="exact"/>
        <w:rPr>
          <w:rFonts w:ascii="Arial" w:eastAsia="Times New Roman" w:hAnsi="Arial"/>
          <w:sz w:val="22"/>
          <w:szCs w:val="22"/>
        </w:rPr>
      </w:pPr>
    </w:p>
    <w:tbl>
      <w:tblPr>
        <w:tblW w:w="9062" w:type="dxa"/>
        <w:tblLayout w:type="fixed"/>
        <w:tblLook w:val="04A0" w:firstRow="1" w:lastRow="0" w:firstColumn="1" w:lastColumn="0" w:noHBand="0" w:noVBand="1"/>
      </w:tblPr>
      <w:tblGrid>
        <w:gridCol w:w="540"/>
        <w:gridCol w:w="561"/>
        <w:gridCol w:w="307"/>
        <w:gridCol w:w="3610"/>
        <w:gridCol w:w="2268"/>
        <w:gridCol w:w="1776"/>
      </w:tblGrid>
      <w:tr w:rsidR="001A2D54" w:rsidRPr="00BD7E4A" w14:paraId="3B4C9875" w14:textId="77777777" w:rsidTr="0091631A">
        <w:trPr>
          <w:trHeight w:val="320"/>
        </w:trPr>
        <w:tc>
          <w:tcPr>
            <w:tcW w:w="140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91DCA31" w14:textId="77777777" w:rsidR="001A2D54" w:rsidRPr="00BD7E4A" w:rsidRDefault="001A2D54" w:rsidP="001A2D54">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361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E25CF1" w14:textId="77777777" w:rsidR="001A2D54" w:rsidRPr="00BD7E4A" w:rsidRDefault="001A2D54" w:rsidP="001A2D54">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4044" w:type="dxa"/>
            <w:gridSpan w:val="2"/>
            <w:tcBorders>
              <w:top w:val="single" w:sz="8" w:space="0" w:color="auto"/>
              <w:left w:val="nil"/>
              <w:bottom w:val="single" w:sz="8" w:space="0" w:color="auto"/>
              <w:right w:val="single" w:sz="8" w:space="0" w:color="000000"/>
            </w:tcBorders>
            <w:shd w:val="clear" w:color="000000" w:fill="203764"/>
            <w:vAlign w:val="center"/>
            <w:hideMark/>
          </w:tcPr>
          <w:p w14:paraId="45146AA8" w14:textId="77777777" w:rsidR="001A2D54" w:rsidRPr="00BD7E4A" w:rsidRDefault="001A2D54" w:rsidP="001A2D54">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1A2D54" w:rsidRPr="0091631A" w14:paraId="7162CBFE" w14:textId="77777777" w:rsidTr="0091631A">
        <w:trPr>
          <w:trHeight w:val="320"/>
        </w:trPr>
        <w:tc>
          <w:tcPr>
            <w:tcW w:w="1408" w:type="dxa"/>
            <w:gridSpan w:val="3"/>
            <w:vMerge/>
            <w:tcBorders>
              <w:top w:val="single" w:sz="8" w:space="0" w:color="auto"/>
              <w:left w:val="single" w:sz="8" w:space="0" w:color="auto"/>
              <w:bottom w:val="nil"/>
              <w:right w:val="single" w:sz="8" w:space="0" w:color="000000"/>
            </w:tcBorders>
            <w:vAlign w:val="center"/>
            <w:hideMark/>
          </w:tcPr>
          <w:p w14:paraId="048189CA" w14:textId="77777777" w:rsidR="001A2D54" w:rsidRPr="00BD7E4A" w:rsidRDefault="001A2D54" w:rsidP="001A2D54">
            <w:pPr>
              <w:rPr>
                <w:rFonts w:ascii="Arial Narrow" w:eastAsia="Times New Roman" w:hAnsi="Arial Narrow"/>
                <w:b/>
                <w:bCs/>
                <w:color w:val="FFFFFF"/>
                <w:sz w:val="22"/>
                <w:szCs w:val="22"/>
              </w:rPr>
            </w:pPr>
          </w:p>
        </w:tc>
        <w:tc>
          <w:tcPr>
            <w:tcW w:w="3610" w:type="dxa"/>
            <w:vMerge/>
            <w:tcBorders>
              <w:top w:val="single" w:sz="8" w:space="0" w:color="auto"/>
              <w:left w:val="single" w:sz="8" w:space="0" w:color="auto"/>
              <w:bottom w:val="nil"/>
              <w:right w:val="single" w:sz="8" w:space="0" w:color="auto"/>
            </w:tcBorders>
            <w:vAlign w:val="center"/>
            <w:hideMark/>
          </w:tcPr>
          <w:p w14:paraId="788FB038" w14:textId="77777777" w:rsidR="001A2D54" w:rsidRPr="00BD7E4A" w:rsidRDefault="001A2D54" w:rsidP="001A2D54">
            <w:pPr>
              <w:rPr>
                <w:rFonts w:ascii="Arial Narrow" w:eastAsia="Times New Roman" w:hAnsi="Arial Narrow"/>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3B684A22" w14:textId="77777777" w:rsidR="001A2D54" w:rsidRPr="00BD7E4A" w:rsidRDefault="001A2D54" w:rsidP="001A2D54">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1776" w:type="dxa"/>
            <w:tcBorders>
              <w:top w:val="nil"/>
              <w:left w:val="nil"/>
              <w:bottom w:val="nil"/>
              <w:right w:val="single" w:sz="8" w:space="0" w:color="auto"/>
            </w:tcBorders>
            <w:shd w:val="clear" w:color="000000" w:fill="203764"/>
            <w:vAlign w:val="center"/>
            <w:hideMark/>
          </w:tcPr>
          <w:p w14:paraId="2AF0C282" w14:textId="20269119" w:rsidR="001A2D54" w:rsidRPr="0091631A" w:rsidRDefault="0091631A" w:rsidP="001A2D54">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1A2D54" w:rsidRPr="00BD7E4A" w14:paraId="3342216F" w14:textId="77777777" w:rsidTr="0091631A">
        <w:trPr>
          <w:trHeight w:val="565"/>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38B626"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61" w:type="dxa"/>
            <w:tcBorders>
              <w:top w:val="single" w:sz="8" w:space="0" w:color="auto"/>
              <w:left w:val="nil"/>
              <w:bottom w:val="single" w:sz="8" w:space="0" w:color="auto"/>
              <w:right w:val="single" w:sz="8" w:space="0" w:color="auto"/>
            </w:tcBorders>
            <w:shd w:val="clear" w:color="auto" w:fill="auto"/>
            <w:noWrap/>
            <w:vAlign w:val="center"/>
            <w:hideMark/>
          </w:tcPr>
          <w:p w14:paraId="78B0B8C7"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64.</w:t>
            </w:r>
          </w:p>
        </w:tc>
        <w:tc>
          <w:tcPr>
            <w:tcW w:w="307" w:type="dxa"/>
            <w:tcBorders>
              <w:top w:val="single" w:sz="8" w:space="0" w:color="auto"/>
              <w:left w:val="nil"/>
              <w:bottom w:val="single" w:sz="8" w:space="0" w:color="auto"/>
              <w:right w:val="single" w:sz="8" w:space="0" w:color="auto"/>
            </w:tcBorders>
            <w:shd w:val="clear" w:color="auto" w:fill="auto"/>
            <w:vAlign w:val="center"/>
            <w:hideMark/>
          </w:tcPr>
          <w:p w14:paraId="2EAD9691"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5475FE49" w14:textId="5F284A09" w:rsidR="001A2D54" w:rsidRPr="00BD7E4A" w:rsidRDefault="001A3DCE" w:rsidP="001A2D54">
            <w:pPr>
              <w:jc w:val="both"/>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Reconocimiento de las Transferencias por cobrar</w:t>
            </w:r>
            <w:r w:rsidR="001A2D54" w:rsidRPr="00BD7E4A">
              <w:rPr>
                <w:rFonts w:ascii="Arial Narrow" w:eastAsia="Times New Roman" w:hAnsi="Arial Narrow"/>
                <w:b/>
                <w:bCs/>
                <w:color w:val="000000"/>
                <w:sz w:val="22"/>
                <w:szCs w:val="22"/>
                <w:lang w:val="es-CR"/>
              </w:rPr>
              <w:t xml:space="preserve">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AEA07F0" w14:textId="77777777" w:rsidR="00444CC0"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xml:space="preserve">NICSP N° 23, </w:t>
            </w:r>
          </w:p>
          <w:p w14:paraId="4DA9068B" w14:textId="1CFE82BB"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Párrafo 78.</w:t>
            </w:r>
          </w:p>
        </w:tc>
        <w:tc>
          <w:tcPr>
            <w:tcW w:w="1776" w:type="dxa"/>
            <w:tcBorders>
              <w:top w:val="single" w:sz="8" w:space="0" w:color="auto"/>
              <w:left w:val="nil"/>
              <w:bottom w:val="single" w:sz="8" w:space="0" w:color="auto"/>
              <w:right w:val="single" w:sz="8" w:space="0" w:color="auto"/>
            </w:tcBorders>
            <w:shd w:val="clear" w:color="auto" w:fill="auto"/>
            <w:vAlign w:val="center"/>
            <w:hideMark/>
          </w:tcPr>
          <w:p w14:paraId="686CDC09" w14:textId="77777777" w:rsidR="001A2D54" w:rsidRPr="00BD7E4A" w:rsidRDefault="001A2D54" w:rsidP="001A2D54">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tr w:rsidR="001A2D54" w:rsidRPr="00BD7E4A" w14:paraId="554D4BC0" w14:textId="77777777" w:rsidTr="0091631A">
        <w:trPr>
          <w:trHeight w:val="432"/>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B0962D7"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61" w:type="dxa"/>
            <w:tcBorders>
              <w:top w:val="nil"/>
              <w:left w:val="nil"/>
              <w:bottom w:val="single" w:sz="8" w:space="0" w:color="auto"/>
              <w:right w:val="single" w:sz="8" w:space="0" w:color="auto"/>
            </w:tcBorders>
            <w:shd w:val="clear" w:color="auto" w:fill="auto"/>
            <w:vAlign w:val="center"/>
            <w:hideMark/>
          </w:tcPr>
          <w:p w14:paraId="02217879"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64.</w:t>
            </w:r>
          </w:p>
        </w:tc>
        <w:tc>
          <w:tcPr>
            <w:tcW w:w="307" w:type="dxa"/>
            <w:tcBorders>
              <w:top w:val="nil"/>
              <w:left w:val="nil"/>
              <w:bottom w:val="single" w:sz="8" w:space="0" w:color="auto"/>
              <w:right w:val="single" w:sz="8" w:space="0" w:color="auto"/>
            </w:tcBorders>
            <w:shd w:val="clear" w:color="auto" w:fill="auto"/>
            <w:vAlign w:val="center"/>
            <w:hideMark/>
          </w:tcPr>
          <w:p w14:paraId="59176D6E"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3610" w:type="dxa"/>
            <w:tcBorders>
              <w:top w:val="nil"/>
              <w:left w:val="nil"/>
              <w:bottom w:val="single" w:sz="8" w:space="0" w:color="auto"/>
              <w:right w:val="single" w:sz="8" w:space="0" w:color="auto"/>
            </w:tcBorders>
            <w:shd w:val="clear" w:color="auto" w:fill="auto"/>
            <w:vAlign w:val="center"/>
            <w:hideMark/>
          </w:tcPr>
          <w:p w14:paraId="72CE0CFF" w14:textId="77777777" w:rsidR="001A2D54" w:rsidRPr="00BD7E4A" w:rsidRDefault="001A2D54" w:rsidP="001A2D54">
            <w:pPr>
              <w:jc w:val="both"/>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Derecho adquirido</w:t>
            </w:r>
          </w:p>
        </w:tc>
        <w:tc>
          <w:tcPr>
            <w:tcW w:w="2268" w:type="dxa"/>
            <w:tcBorders>
              <w:top w:val="nil"/>
              <w:left w:val="nil"/>
              <w:bottom w:val="single" w:sz="8" w:space="0" w:color="auto"/>
              <w:right w:val="single" w:sz="8" w:space="0" w:color="auto"/>
            </w:tcBorders>
            <w:shd w:val="clear" w:color="auto" w:fill="auto"/>
            <w:vAlign w:val="center"/>
            <w:hideMark/>
          </w:tcPr>
          <w:p w14:paraId="65D58307"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NICSP N° 23, Párrafo79</w:t>
            </w:r>
          </w:p>
        </w:tc>
        <w:tc>
          <w:tcPr>
            <w:tcW w:w="1776" w:type="dxa"/>
            <w:tcBorders>
              <w:top w:val="nil"/>
              <w:left w:val="nil"/>
              <w:bottom w:val="single" w:sz="8" w:space="0" w:color="auto"/>
              <w:right w:val="single" w:sz="8" w:space="0" w:color="auto"/>
            </w:tcBorders>
            <w:shd w:val="clear" w:color="auto" w:fill="auto"/>
            <w:vAlign w:val="center"/>
            <w:hideMark/>
          </w:tcPr>
          <w:p w14:paraId="4B108F11"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DGCN</w:t>
            </w:r>
          </w:p>
        </w:tc>
      </w:tr>
      <w:tr w:rsidR="001A2D54" w:rsidRPr="00BD7E4A" w14:paraId="77EA2757" w14:textId="77777777" w:rsidTr="0091631A">
        <w:trPr>
          <w:trHeight w:val="494"/>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115FF705"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561" w:type="dxa"/>
            <w:tcBorders>
              <w:top w:val="nil"/>
              <w:left w:val="nil"/>
              <w:bottom w:val="single" w:sz="8" w:space="0" w:color="auto"/>
              <w:right w:val="single" w:sz="8" w:space="0" w:color="auto"/>
            </w:tcBorders>
            <w:shd w:val="clear" w:color="auto" w:fill="auto"/>
            <w:vAlign w:val="center"/>
            <w:hideMark/>
          </w:tcPr>
          <w:p w14:paraId="29942E5E"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64.</w:t>
            </w:r>
          </w:p>
        </w:tc>
        <w:tc>
          <w:tcPr>
            <w:tcW w:w="307" w:type="dxa"/>
            <w:tcBorders>
              <w:top w:val="nil"/>
              <w:left w:val="nil"/>
              <w:bottom w:val="single" w:sz="8" w:space="0" w:color="auto"/>
              <w:right w:val="single" w:sz="8" w:space="0" w:color="auto"/>
            </w:tcBorders>
            <w:shd w:val="clear" w:color="auto" w:fill="auto"/>
            <w:vAlign w:val="center"/>
            <w:hideMark/>
          </w:tcPr>
          <w:p w14:paraId="34C3A4CA" w14:textId="7777777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2</w:t>
            </w:r>
          </w:p>
        </w:tc>
        <w:tc>
          <w:tcPr>
            <w:tcW w:w="3610" w:type="dxa"/>
            <w:tcBorders>
              <w:top w:val="nil"/>
              <w:left w:val="nil"/>
              <w:bottom w:val="single" w:sz="8" w:space="0" w:color="auto"/>
              <w:right w:val="single" w:sz="8" w:space="0" w:color="auto"/>
            </w:tcBorders>
            <w:shd w:val="clear" w:color="auto" w:fill="auto"/>
            <w:vAlign w:val="center"/>
            <w:hideMark/>
          </w:tcPr>
          <w:p w14:paraId="5095AEA7" w14:textId="2C90A66C" w:rsidR="001A2D54" w:rsidRPr="00BD7E4A" w:rsidRDefault="001A2D54" w:rsidP="001A3DCE">
            <w:pPr>
              <w:jc w:val="both"/>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 xml:space="preserve">Medición de las transferencias </w:t>
            </w:r>
            <w:r w:rsidR="001A3DCE" w:rsidRPr="00BD7E4A">
              <w:rPr>
                <w:rFonts w:ascii="Arial Narrow" w:eastAsia="Times New Roman" w:hAnsi="Arial Narrow"/>
                <w:b/>
                <w:bCs/>
                <w:color w:val="000000"/>
                <w:sz w:val="22"/>
                <w:szCs w:val="22"/>
                <w:lang w:val="es-CR"/>
              </w:rPr>
              <w:t xml:space="preserve">por </w:t>
            </w:r>
            <w:r w:rsidRPr="00BD7E4A">
              <w:rPr>
                <w:rFonts w:ascii="Arial Narrow" w:eastAsia="Times New Roman" w:hAnsi="Arial Narrow"/>
                <w:b/>
                <w:bCs/>
                <w:color w:val="000000"/>
                <w:sz w:val="22"/>
                <w:szCs w:val="22"/>
                <w:lang w:val="es-CR"/>
              </w:rPr>
              <w:t>cobrar</w:t>
            </w:r>
          </w:p>
        </w:tc>
        <w:tc>
          <w:tcPr>
            <w:tcW w:w="2268" w:type="dxa"/>
            <w:tcBorders>
              <w:top w:val="nil"/>
              <w:left w:val="nil"/>
              <w:bottom w:val="single" w:sz="8" w:space="0" w:color="auto"/>
              <w:right w:val="single" w:sz="8" w:space="0" w:color="auto"/>
            </w:tcBorders>
            <w:shd w:val="clear" w:color="auto" w:fill="auto"/>
            <w:vAlign w:val="center"/>
            <w:hideMark/>
          </w:tcPr>
          <w:p w14:paraId="195A0B45" w14:textId="1C09C987" w:rsidR="001A2D54" w:rsidRPr="00BD7E4A" w:rsidRDefault="001A2D54"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NICSP N° 23,</w:t>
            </w:r>
            <w:r w:rsidRPr="00BD7E4A">
              <w:rPr>
                <w:rFonts w:ascii="Arial Narrow" w:eastAsia="Times New Roman" w:hAnsi="Arial Narrow"/>
                <w:b/>
                <w:bCs/>
                <w:color w:val="000000"/>
                <w:sz w:val="22"/>
                <w:szCs w:val="22"/>
              </w:rPr>
              <w:br/>
              <w:t>Párrafo 83.</w:t>
            </w:r>
          </w:p>
        </w:tc>
        <w:tc>
          <w:tcPr>
            <w:tcW w:w="1776" w:type="dxa"/>
            <w:tcBorders>
              <w:top w:val="nil"/>
              <w:left w:val="nil"/>
              <w:bottom w:val="single" w:sz="8" w:space="0" w:color="auto"/>
              <w:right w:val="single" w:sz="8" w:space="0" w:color="auto"/>
            </w:tcBorders>
            <w:shd w:val="clear" w:color="auto" w:fill="auto"/>
            <w:vAlign w:val="center"/>
            <w:hideMark/>
          </w:tcPr>
          <w:p w14:paraId="2E6F1E4C" w14:textId="52F20F96" w:rsidR="001A2D54" w:rsidRPr="00BD7E4A" w:rsidRDefault="00444CC0" w:rsidP="001A2D54">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DGCN</w:t>
            </w:r>
            <w:r w:rsidR="001A2D54" w:rsidRPr="00BD7E4A">
              <w:rPr>
                <w:rFonts w:ascii="Arial Narrow" w:eastAsia="Times New Roman" w:hAnsi="Arial Narrow"/>
                <w:b/>
                <w:bCs/>
                <w:color w:val="000000"/>
                <w:sz w:val="22"/>
                <w:szCs w:val="22"/>
              </w:rPr>
              <w:t> </w:t>
            </w:r>
          </w:p>
        </w:tc>
      </w:tr>
    </w:tbl>
    <w:p w14:paraId="727B89CC" w14:textId="77777777" w:rsidR="009B0643" w:rsidRDefault="009B0643" w:rsidP="009E606D">
      <w:pPr>
        <w:spacing w:line="0" w:lineRule="atLeast"/>
        <w:rPr>
          <w:rFonts w:ascii="Arial" w:eastAsia="Arial" w:hAnsi="Arial"/>
          <w:b/>
          <w:sz w:val="22"/>
          <w:szCs w:val="22"/>
          <w:lang w:val="es-CR"/>
        </w:rPr>
      </w:pPr>
    </w:p>
    <w:p w14:paraId="6A6AC5A4" w14:textId="1D2D0CA8" w:rsidR="00FA2715" w:rsidRDefault="00FA2715" w:rsidP="009E606D">
      <w:pPr>
        <w:spacing w:line="0" w:lineRule="atLeast"/>
        <w:rPr>
          <w:rFonts w:ascii="Arial" w:eastAsia="Arial" w:hAnsi="Arial"/>
          <w:b/>
          <w:sz w:val="22"/>
          <w:szCs w:val="22"/>
        </w:rPr>
      </w:pPr>
      <w:r w:rsidRPr="00F02F9D">
        <w:rPr>
          <w:rFonts w:ascii="Arial" w:eastAsia="Arial" w:hAnsi="Arial"/>
          <w:b/>
          <w:sz w:val="22"/>
          <w:szCs w:val="22"/>
        </w:rPr>
        <w:t>Políticas Contables</w:t>
      </w:r>
    </w:p>
    <w:p w14:paraId="3714E51D" w14:textId="77777777" w:rsidR="00FA2715" w:rsidRDefault="00FA2715" w:rsidP="009E606D">
      <w:pPr>
        <w:spacing w:line="0" w:lineRule="atLeast"/>
        <w:rPr>
          <w:rFonts w:ascii="Arial" w:eastAsia="Arial" w:hAnsi="Arial"/>
          <w:b/>
          <w:sz w:val="22"/>
          <w:szCs w:val="22"/>
          <w:lang w:val="es-CR"/>
        </w:rPr>
      </w:pPr>
    </w:p>
    <w:p w14:paraId="1A7318D8" w14:textId="606DE1C7" w:rsidR="009F76F2" w:rsidRDefault="009F76F2" w:rsidP="009E606D">
      <w:pPr>
        <w:spacing w:line="0" w:lineRule="atLeast"/>
        <w:rPr>
          <w:rFonts w:ascii="Arial" w:eastAsia="Arial" w:hAnsi="Arial"/>
          <w:b/>
          <w:sz w:val="22"/>
          <w:szCs w:val="22"/>
          <w:lang w:val="es-CR"/>
        </w:rPr>
      </w:pPr>
      <w:r w:rsidRPr="00F02F9D">
        <w:rPr>
          <w:rFonts w:ascii="Arial" w:eastAsia="Arial" w:hAnsi="Arial"/>
          <w:b/>
          <w:sz w:val="22"/>
          <w:szCs w:val="22"/>
          <w:lang w:val="es-CR"/>
        </w:rPr>
        <w:t>Reconocimiento</w:t>
      </w:r>
    </w:p>
    <w:p w14:paraId="1AE1566D" w14:textId="77777777" w:rsidR="009E606D" w:rsidRDefault="009E606D" w:rsidP="009E606D">
      <w:pPr>
        <w:spacing w:line="0" w:lineRule="atLeast"/>
        <w:rPr>
          <w:rFonts w:ascii="Arial" w:eastAsia="Arial" w:hAnsi="Arial"/>
          <w:b/>
          <w:sz w:val="22"/>
          <w:szCs w:val="22"/>
          <w:lang w:val="es-CR"/>
        </w:rPr>
      </w:pPr>
    </w:p>
    <w:p w14:paraId="04F89EC4" w14:textId="25C937D2" w:rsidR="009A6475" w:rsidRPr="00F02F9D" w:rsidRDefault="00A9255C" w:rsidP="00E5072C">
      <w:p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 xml:space="preserve">1.64.1.01 </w:t>
      </w:r>
      <w:r w:rsidR="009E606D">
        <w:rPr>
          <w:rFonts w:ascii="Arial" w:eastAsia="Arial" w:hAnsi="Arial"/>
          <w:bCs/>
          <w:sz w:val="22"/>
          <w:szCs w:val="22"/>
          <w:lang w:val="es-CR"/>
        </w:rPr>
        <w:tab/>
      </w:r>
      <w:r w:rsidRPr="00F02F9D">
        <w:rPr>
          <w:rFonts w:ascii="Arial" w:eastAsia="Arial" w:hAnsi="Arial"/>
          <w:bCs/>
          <w:sz w:val="22"/>
          <w:szCs w:val="22"/>
          <w:lang w:val="es-CR"/>
        </w:rPr>
        <w:t>U</w:t>
      </w:r>
      <w:r w:rsidR="009A6475" w:rsidRPr="00F02F9D">
        <w:rPr>
          <w:rFonts w:ascii="Arial" w:eastAsia="Arial" w:hAnsi="Arial"/>
          <w:bCs/>
          <w:sz w:val="22"/>
          <w:szCs w:val="22"/>
          <w:lang w:val="es-CR"/>
        </w:rPr>
        <w:t>n derecho de cobro por una transferencia</w:t>
      </w:r>
      <w:r w:rsidRPr="00F02F9D">
        <w:rPr>
          <w:rFonts w:ascii="Arial" w:eastAsia="Arial" w:hAnsi="Arial"/>
          <w:bCs/>
          <w:sz w:val="22"/>
          <w:szCs w:val="22"/>
          <w:lang w:val="es-CR"/>
        </w:rPr>
        <w:t xml:space="preserve"> se reconoce cuando c</w:t>
      </w:r>
      <w:r w:rsidR="009A6475" w:rsidRPr="00F02F9D">
        <w:rPr>
          <w:rFonts w:ascii="Arial" w:eastAsia="Arial" w:hAnsi="Arial"/>
          <w:bCs/>
          <w:sz w:val="22"/>
          <w:szCs w:val="22"/>
          <w:lang w:val="es-CR"/>
        </w:rPr>
        <w:t>umpl</w:t>
      </w:r>
      <w:r w:rsidRPr="00F02F9D">
        <w:rPr>
          <w:rFonts w:ascii="Arial" w:eastAsia="Arial" w:hAnsi="Arial"/>
          <w:bCs/>
          <w:sz w:val="22"/>
          <w:szCs w:val="22"/>
          <w:lang w:val="es-CR"/>
        </w:rPr>
        <w:t>a</w:t>
      </w:r>
      <w:r w:rsidR="009A6475" w:rsidRPr="00F02F9D">
        <w:rPr>
          <w:rFonts w:ascii="Arial" w:eastAsia="Arial" w:hAnsi="Arial"/>
          <w:bCs/>
          <w:sz w:val="22"/>
          <w:szCs w:val="22"/>
          <w:lang w:val="es-CR"/>
        </w:rPr>
        <w:t xml:space="preserve"> con la definición de activo, lo cual ocurre cuando:</w:t>
      </w:r>
    </w:p>
    <w:p w14:paraId="50D1DC1D" w14:textId="77777777" w:rsidR="00A9255C" w:rsidRPr="00F02F9D" w:rsidRDefault="00A9255C" w:rsidP="001A2D54">
      <w:pPr>
        <w:spacing w:line="236" w:lineRule="auto"/>
        <w:ind w:right="260"/>
        <w:jc w:val="both"/>
        <w:rPr>
          <w:rFonts w:ascii="Arial" w:eastAsia="Arial" w:hAnsi="Arial"/>
          <w:bCs/>
          <w:sz w:val="22"/>
          <w:szCs w:val="22"/>
          <w:lang w:val="es-CR"/>
        </w:rPr>
      </w:pPr>
    </w:p>
    <w:p w14:paraId="0B1B5DBC" w14:textId="1EDE524B" w:rsidR="009A6475" w:rsidRDefault="00E5072C">
      <w:pPr>
        <w:pStyle w:val="Prrafodelista"/>
        <w:numPr>
          <w:ilvl w:val="0"/>
          <w:numId w:val="88"/>
        </w:numPr>
        <w:spacing w:after="120" w:line="250" w:lineRule="auto"/>
        <w:ind w:left="1276" w:right="261" w:hanging="284"/>
        <w:contextualSpacing w:val="0"/>
        <w:jc w:val="both"/>
        <w:rPr>
          <w:rFonts w:ascii="Arial" w:eastAsia="Arial" w:hAnsi="Arial"/>
          <w:bCs/>
          <w:sz w:val="22"/>
          <w:szCs w:val="22"/>
          <w:lang w:val="es-CR"/>
        </w:rPr>
      </w:pPr>
      <w:r>
        <w:rPr>
          <w:rFonts w:ascii="Arial" w:eastAsia="Arial" w:hAnsi="Arial"/>
          <w:bCs/>
          <w:sz w:val="22"/>
          <w:szCs w:val="22"/>
          <w:lang w:val="es-CR"/>
        </w:rPr>
        <w:t>L</w:t>
      </w:r>
      <w:r w:rsidR="009A6475" w:rsidRPr="00F02F9D">
        <w:rPr>
          <w:rFonts w:ascii="Arial" w:eastAsia="Arial" w:hAnsi="Arial"/>
          <w:bCs/>
          <w:sz w:val="22"/>
          <w:szCs w:val="22"/>
          <w:lang w:val="es-CR"/>
        </w:rPr>
        <w:t>a entidad controla los recursos como consecuencia de un suceso pasado (la aprobación o disposición de la transferencia a su favor) y espera recibir beneficios económicos futuros o potencial de servicio de esos créditos;</w:t>
      </w:r>
    </w:p>
    <w:p w14:paraId="33E7B343" w14:textId="77777777" w:rsidR="009A6475" w:rsidRPr="00F02F9D" w:rsidRDefault="009A6475" w:rsidP="00E5072C">
      <w:pPr>
        <w:spacing w:line="1" w:lineRule="exact"/>
        <w:ind w:left="1276"/>
        <w:jc w:val="both"/>
        <w:rPr>
          <w:rFonts w:ascii="Arial" w:eastAsia="Arial" w:hAnsi="Arial"/>
          <w:bCs/>
          <w:sz w:val="22"/>
          <w:szCs w:val="22"/>
          <w:lang w:val="es-CR"/>
        </w:rPr>
      </w:pPr>
    </w:p>
    <w:p w14:paraId="5AD4F37F" w14:textId="7D724803" w:rsidR="009A6475" w:rsidRPr="00F02F9D" w:rsidRDefault="00E5072C">
      <w:pPr>
        <w:pStyle w:val="Prrafodelista"/>
        <w:numPr>
          <w:ilvl w:val="0"/>
          <w:numId w:val="88"/>
        </w:numPr>
        <w:spacing w:line="236" w:lineRule="auto"/>
        <w:ind w:left="1276" w:right="280" w:hanging="283"/>
        <w:jc w:val="both"/>
        <w:rPr>
          <w:rFonts w:ascii="Arial" w:eastAsia="Arial" w:hAnsi="Arial"/>
          <w:bCs/>
          <w:sz w:val="22"/>
          <w:szCs w:val="22"/>
          <w:lang w:val="es-CR"/>
        </w:rPr>
      </w:pPr>
      <w:r>
        <w:rPr>
          <w:rFonts w:ascii="Arial" w:eastAsia="Arial" w:hAnsi="Arial"/>
          <w:bCs/>
          <w:sz w:val="22"/>
          <w:szCs w:val="22"/>
          <w:lang w:val="es-CR"/>
        </w:rPr>
        <w:t>E</w:t>
      </w:r>
      <w:r w:rsidR="009A6475" w:rsidRPr="00F02F9D">
        <w:rPr>
          <w:rFonts w:ascii="Arial" w:eastAsia="Arial" w:hAnsi="Arial"/>
          <w:bCs/>
          <w:sz w:val="22"/>
          <w:szCs w:val="22"/>
          <w:lang w:val="es-CR"/>
        </w:rPr>
        <w:t>s probable que la entrada del recurso ocurra y su valor razonable pueda ser medido con fiabilidad.</w:t>
      </w:r>
    </w:p>
    <w:p w14:paraId="61128A01" w14:textId="77777777" w:rsidR="009A6475" w:rsidRPr="00F02F9D" w:rsidRDefault="009A6475" w:rsidP="009A6475">
      <w:pPr>
        <w:spacing w:line="285" w:lineRule="exact"/>
        <w:rPr>
          <w:rFonts w:ascii="Arial" w:eastAsia="Times New Roman" w:hAnsi="Arial"/>
          <w:sz w:val="22"/>
          <w:szCs w:val="22"/>
          <w:lang w:val="es-CR"/>
        </w:rPr>
      </w:pPr>
    </w:p>
    <w:p w14:paraId="1F453337" w14:textId="5D83A219" w:rsidR="009A6475" w:rsidRPr="00F02F9D" w:rsidRDefault="00A9255C" w:rsidP="00A65917">
      <w:p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 xml:space="preserve">1.64.1.02 </w:t>
      </w:r>
      <w:r w:rsidR="009A6475"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9A6475" w:rsidRPr="00F02F9D">
        <w:rPr>
          <w:rFonts w:ascii="Arial" w:eastAsia="Arial" w:hAnsi="Arial"/>
          <w:bCs/>
          <w:sz w:val="22"/>
          <w:szCs w:val="22"/>
          <w:lang w:val="es-CR"/>
        </w:rPr>
        <w:t xml:space="preserve"> obtiene el control de l</w:t>
      </w:r>
      <w:r w:rsidR="001B5396" w:rsidRPr="00F02F9D">
        <w:rPr>
          <w:rFonts w:ascii="Arial" w:eastAsia="Arial" w:hAnsi="Arial"/>
          <w:bCs/>
          <w:sz w:val="22"/>
          <w:szCs w:val="22"/>
          <w:lang w:val="es-CR"/>
        </w:rPr>
        <w:t>a</w:t>
      </w:r>
      <w:r w:rsidR="009A6475" w:rsidRPr="00F02F9D">
        <w:rPr>
          <w:rFonts w:ascii="Arial" w:eastAsia="Arial" w:hAnsi="Arial"/>
          <w:bCs/>
          <w:sz w:val="22"/>
          <w:szCs w:val="22"/>
          <w:lang w:val="es-CR"/>
        </w:rPr>
        <w:t xml:space="preserve">s </w:t>
      </w:r>
      <w:r w:rsidR="001B5396" w:rsidRPr="00F02F9D">
        <w:rPr>
          <w:rFonts w:ascii="Arial" w:eastAsia="Arial" w:hAnsi="Arial"/>
          <w:bCs/>
          <w:sz w:val="22"/>
          <w:szCs w:val="22"/>
          <w:lang w:val="es-CR"/>
        </w:rPr>
        <w:t>transferencias</w:t>
      </w:r>
      <w:r w:rsidR="009A6475" w:rsidRPr="00F02F9D">
        <w:rPr>
          <w:rFonts w:ascii="Arial" w:eastAsia="Arial" w:hAnsi="Arial"/>
          <w:bCs/>
          <w:sz w:val="22"/>
          <w:szCs w:val="22"/>
          <w:lang w:val="es-CR"/>
        </w:rPr>
        <w:t xml:space="preserve"> </w:t>
      </w:r>
      <w:r w:rsidR="001B5396" w:rsidRPr="00F02F9D">
        <w:rPr>
          <w:rFonts w:ascii="Arial" w:eastAsia="Arial" w:hAnsi="Arial"/>
          <w:bCs/>
          <w:sz w:val="22"/>
          <w:szCs w:val="22"/>
          <w:lang w:val="es-CR"/>
        </w:rPr>
        <w:t xml:space="preserve">cuando ésta tiene un derecho exigible por ley contra el transferidor (Ley de Presupuesto ordinario y extraordinario de la República), o </w:t>
      </w:r>
      <w:r w:rsidR="009A6475" w:rsidRPr="00F02F9D">
        <w:rPr>
          <w:rFonts w:ascii="Arial" w:eastAsia="Arial" w:hAnsi="Arial"/>
          <w:bCs/>
          <w:sz w:val="22"/>
          <w:szCs w:val="22"/>
          <w:lang w:val="es-CR"/>
        </w:rPr>
        <w:t>cuando los recursos han sido transferidos a la entidad.</w:t>
      </w:r>
    </w:p>
    <w:p w14:paraId="3203E582" w14:textId="77777777" w:rsidR="00A9255C" w:rsidRPr="00F02F9D" w:rsidRDefault="00A9255C" w:rsidP="001B5396">
      <w:pPr>
        <w:tabs>
          <w:tab w:val="left" w:pos="741"/>
        </w:tabs>
        <w:spacing w:line="237" w:lineRule="auto"/>
        <w:ind w:right="260"/>
        <w:jc w:val="both"/>
        <w:rPr>
          <w:rFonts w:ascii="Arial" w:eastAsia="Arial" w:hAnsi="Arial"/>
          <w:bCs/>
          <w:sz w:val="22"/>
          <w:szCs w:val="22"/>
          <w:lang w:val="es-CR"/>
        </w:rPr>
      </w:pPr>
    </w:p>
    <w:p w14:paraId="5951F465" w14:textId="12C4FD72" w:rsidR="009F76F2" w:rsidRPr="00F02F9D" w:rsidRDefault="009F76F2" w:rsidP="00A65917">
      <w:pPr>
        <w:spacing w:line="0" w:lineRule="atLeast"/>
        <w:ind w:left="993" w:right="288" w:hanging="993"/>
        <w:jc w:val="both"/>
        <w:rPr>
          <w:rFonts w:ascii="Arial" w:hAnsi="Arial"/>
          <w:sz w:val="22"/>
          <w:szCs w:val="22"/>
          <w:lang w:val="es-CR"/>
        </w:rPr>
      </w:pPr>
      <w:r w:rsidRPr="00F02F9D">
        <w:rPr>
          <w:rFonts w:ascii="Arial" w:hAnsi="Arial"/>
          <w:sz w:val="22"/>
          <w:szCs w:val="22"/>
          <w:lang w:val="es-CR"/>
        </w:rPr>
        <w:t>1.64.1.03</w:t>
      </w:r>
      <w:r w:rsidRPr="00F02F9D">
        <w:rPr>
          <w:rFonts w:ascii="Arial" w:hAnsi="Arial"/>
          <w:sz w:val="22"/>
          <w:szCs w:val="22"/>
          <w:lang w:val="es-CR"/>
        </w:rPr>
        <w:tab/>
        <w:t xml:space="preserve">Las Transferencias asignadas en los Presupuestos Ordinario y Extraordinario de la República se reconocerán, con base en las leyes emitidas por la </w:t>
      </w:r>
      <w:r w:rsidR="000F29DC" w:rsidRPr="00F02F9D">
        <w:rPr>
          <w:rFonts w:ascii="Arial" w:hAnsi="Arial"/>
          <w:sz w:val="22"/>
          <w:szCs w:val="22"/>
          <w:lang w:val="es-CR"/>
        </w:rPr>
        <w:t>Asa</w:t>
      </w:r>
      <w:r w:rsidR="000F29DC">
        <w:rPr>
          <w:rFonts w:ascii="Arial" w:hAnsi="Arial"/>
          <w:sz w:val="22"/>
          <w:szCs w:val="22"/>
          <w:lang w:val="es-CR"/>
        </w:rPr>
        <w:t>mbl</w:t>
      </w:r>
      <w:r w:rsidR="000F29DC" w:rsidRPr="00F02F9D">
        <w:rPr>
          <w:rFonts w:ascii="Arial" w:hAnsi="Arial"/>
          <w:sz w:val="22"/>
          <w:szCs w:val="22"/>
          <w:lang w:val="es-CR"/>
        </w:rPr>
        <w:t>ea</w:t>
      </w:r>
      <w:r w:rsidRPr="00F02F9D">
        <w:rPr>
          <w:rFonts w:ascii="Arial" w:hAnsi="Arial"/>
          <w:sz w:val="22"/>
          <w:szCs w:val="22"/>
          <w:lang w:val="es-CR"/>
        </w:rPr>
        <w:t xml:space="preserve"> Legislativa o los presupuestos aprobados a otras entidades públicas.</w:t>
      </w:r>
    </w:p>
    <w:p w14:paraId="4B35E74F" w14:textId="77777777" w:rsidR="009F76F2" w:rsidRPr="00F02F9D" w:rsidRDefault="009F76F2" w:rsidP="00A65917">
      <w:pPr>
        <w:spacing w:after="120"/>
        <w:ind w:left="1134" w:right="289" w:hanging="1134"/>
        <w:jc w:val="both"/>
        <w:rPr>
          <w:rFonts w:ascii="Arial" w:hAnsi="Arial"/>
          <w:sz w:val="22"/>
          <w:szCs w:val="22"/>
          <w:lang w:val="es-CR"/>
        </w:rPr>
      </w:pPr>
    </w:p>
    <w:p w14:paraId="6145B54B" w14:textId="34B8486C" w:rsidR="009F76F2" w:rsidRDefault="009F76F2" w:rsidP="009E606D">
      <w:pPr>
        <w:spacing w:line="0" w:lineRule="atLeast"/>
        <w:rPr>
          <w:rFonts w:ascii="Arial" w:eastAsia="Arial" w:hAnsi="Arial"/>
          <w:b/>
          <w:sz w:val="22"/>
          <w:szCs w:val="22"/>
          <w:lang w:val="es-CR"/>
        </w:rPr>
      </w:pPr>
      <w:r w:rsidRPr="00F02F9D">
        <w:rPr>
          <w:rFonts w:ascii="Arial" w:eastAsia="Arial" w:hAnsi="Arial"/>
          <w:b/>
          <w:sz w:val="22"/>
          <w:szCs w:val="22"/>
          <w:lang w:val="es-CR"/>
        </w:rPr>
        <w:t>Medición</w:t>
      </w:r>
    </w:p>
    <w:p w14:paraId="48825BD8" w14:textId="77777777" w:rsidR="009E606D" w:rsidRDefault="009E606D" w:rsidP="009E606D">
      <w:pPr>
        <w:spacing w:line="0" w:lineRule="atLeast"/>
        <w:rPr>
          <w:rFonts w:ascii="Arial" w:eastAsia="Arial" w:hAnsi="Arial"/>
          <w:b/>
          <w:sz w:val="22"/>
          <w:szCs w:val="22"/>
          <w:lang w:val="es-CR"/>
        </w:rPr>
      </w:pPr>
    </w:p>
    <w:p w14:paraId="3DAE330E" w14:textId="4CE2ECEC" w:rsidR="00A65917" w:rsidRDefault="00A65917" w:rsidP="00A65917">
      <w:pPr>
        <w:spacing w:line="0" w:lineRule="atLeast"/>
        <w:ind w:left="993" w:right="288" w:hanging="993"/>
        <w:jc w:val="both"/>
        <w:rPr>
          <w:rFonts w:ascii="Arial" w:eastAsia="Arial" w:hAnsi="Arial"/>
          <w:bCs/>
          <w:sz w:val="22"/>
          <w:szCs w:val="22"/>
          <w:lang w:val="es-CR"/>
        </w:rPr>
      </w:pPr>
      <w:r w:rsidRPr="00F02F9D">
        <w:rPr>
          <w:rFonts w:ascii="Arial" w:eastAsia="Arial" w:hAnsi="Arial"/>
          <w:bCs/>
          <w:sz w:val="22"/>
          <w:szCs w:val="22"/>
          <w:lang w:val="es-CR"/>
        </w:rPr>
        <w:t>1.64.2.0</w:t>
      </w:r>
      <w:r>
        <w:rPr>
          <w:rFonts w:ascii="Arial" w:eastAsia="Arial" w:hAnsi="Arial"/>
          <w:bCs/>
          <w:sz w:val="22"/>
          <w:szCs w:val="22"/>
          <w:lang w:val="es-CR"/>
        </w:rPr>
        <w:t>1</w:t>
      </w:r>
      <w:r w:rsidRPr="00F02F9D">
        <w:rPr>
          <w:rFonts w:ascii="Arial" w:eastAsia="Arial" w:hAnsi="Arial"/>
          <w:bCs/>
          <w:sz w:val="22"/>
          <w:szCs w:val="22"/>
          <w:lang w:val="es-CR"/>
        </w:rPr>
        <w:t xml:space="preserve"> </w:t>
      </w:r>
      <w:r w:rsidRPr="00F02F9D">
        <w:rPr>
          <w:rFonts w:ascii="Arial" w:eastAsia="Arial" w:hAnsi="Arial"/>
          <w:bCs/>
          <w:sz w:val="22"/>
          <w:szCs w:val="22"/>
          <w:lang w:val="es-CR"/>
        </w:rPr>
        <w:tab/>
        <w:t>Las Cuentas por Cobrar cuyo origen es una transferencia que realizará otra entidad del Estado a la Municipalidad</w:t>
      </w:r>
      <w:r>
        <w:rPr>
          <w:rFonts w:ascii="Arial" w:eastAsia="Arial" w:hAnsi="Arial"/>
          <w:bCs/>
          <w:sz w:val="22"/>
          <w:szCs w:val="22"/>
          <w:lang w:val="es-CR"/>
        </w:rPr>
        <w:t>,</w:t>
      </w:r>
      <w:r w:rsidRPr="00F02F9D">
        <w:rPr>
          <w:rFonts w:ascii="Arial" w:eastAsia="Arial" w:hAnsi="Arial"/>
          <w:bCs/>
          <w:sz w:val="22"/>
          <w:szCs w:val="22"/>
          <w:lang w:val="es-CR"/>
        </w:rPr>
        <w:t xml:space="preserve"> se medirá inicialmente con fundamento en</w:t>
      </w:r>
      <w:r>
        <w:rPr>
          <w:rFonts w:ascii="Arial" w:eastAsia="Arial" w:hAnsi="Arial"/>
          <w:bCs/>
          <w:sz w:val="22"/>
          <w:szCs w:val="22"/>
          <w:lang w:val="es-CR"/>
        </w:rPr>
        <w:t xml:space="preserve"> lo establecido en</w:t>
      </w:r>
      <w:r w:rsidRPr="00F02F9D">
        <w:rPr>
          <w:rFonts w:ascii="Arial" w:eastAsia="Arial" w:hAnsi="Arial"/>
          <w:bCs/>
          <w:sz w:val="22"/>
          <w:szCs w:val="22"/>
          <w:lang w:val="es-CR"/>
        </w:rPr>
        <w:t xml:space="preserve"> </w:t>
      </w:r>
      <w:r>
        <w:rPr>
          <w:rFonts w:ascii="Arial" w:eastAsia="Arial" w:hAnsi="Arial"/>
          <w:bCs/>
          <w:sz w:val="22"/>
          <w:szCs w:val="22"/>
          <w:lang w:val="es-CR"/>
        </w:rPr>
        <w:t>l</w:t>
      </w:r>
      <w:r w:rsidRPr="00F02F9D">
        <w:rPr>
          <w:rFonts w:ascii="Arial" w:eastAsia="Arial" w:hAnsi="Arial"/>
          <w:bCs/>
          <w:sz w:val="22"/>
          <w:szCs w:val="22"/>
          <w:lang w:val="es-CR"/>
        </w:rPr>
        <w:t>a ley que así lo autorice, por el valor incluido en el presupuestado aprobado a la entidad concedente.</w:t>
      </w:r>
    </w:p>
    <w:p w14:paraId="1E7D0825" w14:textId="77777777" w:rsidR="00A65917" w:rsidRDefault="00A65917" w:rsidP="00A65917">
      <w:pPr>
        <w:spacing w:line="0" w:lineRule="atLeast"/>
        <w:ind w:left="993" w:right="288" w:hanging="993"/>
        <w:jc w:val="both"/>
        <w:rPr>
          <w:rFonts w:ascii="Arial" w:eastAsia="Arial" w:hAnsi="Arial"/>
          <w:bCs/>
          <w:sz w:val="22"/>
          <w:szCs w:val="22"/>
          <w:lang w:val="es-CR"/>
        </w:rPr>
      </w:pPr>
    </w:p>
    <w:p w14:paraId="5895A7C3" w14:textId="1376A342" w:rsidR="009F76F2" w:rsidRDefault="009F76F2" w:rsidP="00A65917">
      <w:pPr>
        <w:spacing w:line="0" w:lineRule="atLeast"/>
        <w:ind w:left="993" w:right="288" w:hanging="993"/>
        <w:jc w:val="both"/>
        <w:rPr>
          <w:rFonts w:ascii="Arial" w:eastAsia="Arial" w:hAnsi="Arial"/>
          <w:bCs/>
          <w:sz w:val="22"/>
          <w:szCs w:val="22"/>
          <w:lang w:val="es-CR"/>
        </w:rPr>
      </w:pPr>
      <w:r w:rsidRPr="00F02F9D">
        <w:rPr>
          <w:rFonts w:ascii="Arial" w:eastAsia="Arial" w:hAnsi="Arial"/>
          <w:bCs/>
          <w:sz w:val="22"/>
          <w:szCs w:val="22"/>
          <w:lang w:val="es-CR"/>
        </w:rPr>
        <w:t>1.64.2.0</w:t>
      </w:r>
      <w:r w:rsidR="00A65917">
        <w:rPr>
          <w:rFonts w:ascii="Arial" w:eastAsia="Arial" w:hAnsi="Arial"/>
          <w:bCs/>
          <w:sz w:val="22"/>
          <w:szCs w:val="22"/>
          <w:lang w:val="es-CR"/>
        </w:rPr>
        <w:t>2</w:t>
      </w:r>
      <w:r w:rsidRPr="00F02F9D">
        <w:rPr>
          <w:rFonts w:ascii="Arial" w:eastAsia="Arial" w:hAnsi="Arial"/>
          <w:bCs/>
          <w:sz w:val="22"/>
          <w:szCs w:val="22"/>
          <w:lang w:val="es-CR"/>
        </w:rPr>
        <w:tab/>
      </w:r>
      <w:r w:rsidR="00A65917">
        <w:rPr>
          <w:rFonts w:ascii="Arial" w:eastAsia="Arial" w:hAnsi="Arial"/>
          <w:bCs/>
          <w:sz w:val="22"/>
          <w:szCs w:val="22"/>
          <w:lang w:val="es-CR"/>
        </w:rPr>
        <w:t>Las T</w:t>
      </w:r>
      <w:r w:rsidR="009A6475" w:rsidRPr="00F02F9D">
        <w:rPr>
          <w:rFonts w:ascii="Arial" w:eastAsia="Arial" w:hAnsi="Arial"/>
          <w:bCs/>
          <w:sz w:val="22"/>
          <w:szCs w:val="22"/>
          <w:lang w:val="es-CR"/>
        </w:rPr>
        <w:t xml:space="preserve">ransferidos </w:t>
      </w:r>
      <w:r w:rsidR="00A65917">
        <w:rPr>
          <w:rFonts w:ascii="Arial" w:eastAsia="Arial" w:hAnsi="Arial"/>
          <w:bCs/>
          <w:sz w:val="22"/>
          <w:szCs w:val="22"/>
          <w:lang w:val="es-CR"/>
        </w:rPr>
        <w:t xml:space="preserve">por Cobrar </w:t>
      </w:r>
      <w:r w:rsidR="009A6475" w:rsidRPr="00F02F9D">
        <w:rPr>
          <w:rFonts w:ascii="Arial" w:eastAsia="Arial" w:hAnsi="Arial"/>
          <w:bCs/>
          <w:sz w:val="22"/>
          <w:szCs w:val="22"/>
          <w:lang w:val="es-CR"/>
        </w:rPr>
        <w:t>se miden</w:t>
      </w:r>
      <w:r w:rsidR="00A65917">
        <w:rPr>
          <w:rFonts w:ascii="Arial" w:eastAsia="Arial" w:hAnsi="Arial"/>
          <w:bCs/>
          <w:sz w:val="22"/>
          <w:szCs w:val="22"/>
          <w:lang w:val="es-CR"/>
        </w:rPr>
        <w:t xml:space="preserve"> posteriormente a su reconocimiento inicial,</w:t>
      </w:r>
      <w:r w:rsidR="009A6475" w:rsidRPr="00F02F9D">
        <w:rPr>
          <w:rFonts w:ascii="Arial" w:eastAsia="Arial" w:hAnsi="Arial"/>
          <w:bCs/>
          <w:sz w:val="22"/>
          <w:szCs w:val="22"/>
          <w:lang w:val="es-CR"/>
        </w:rPr>
        <w:t xml:space="preserve"> por su valor razonable, los créditos que se generan por transferencias se miden </w:t>
      </w:r>
      <w:r w:rsidR="001B5396" w:rsidRPr="00F02F9D">
        <w:rPr>
          <w:rFonts w:ascii="Arial" w:eastAsia="Arial" w:hAnsi="Arial"/>
          <w:bCs/>
          <w:sz w:val="22"/>
          <w:szCs w:val="22"/>
          <w:lang w:val="es-CR"/>
        </w:rPr>
        <w:t>por el monto comprendido</w:t>
      </w:r>
      <w:bookmarkStart w:id="28" w:name="page17"/>
      <w:bookmarkEnd w:id="28"/>
      <w:r w:rsidR="009A6475" w:rsidRPr="00F02F9D">
        <w:rPr>
          <w:rFonts w:ascii="Arial" w:eastAsia="Arial" w:hAnsi="Arial"/>
          <w:bCs/>
          <w:sz w:val="22"/>
          <w:szCs w:val="22"/>
          <w:lang w:val="es-CR"/>
        </w:rPr>
        <w:t xml:space="preserve"> por la entidad que transfiere, mediante disposición en firme de dicha entidad, por la cual se garantiza el derecho a percibir la transferencia.</w:t>
      </w:r>
    </w:p>
    <w:p w14:paraId="4A69756A" w14:textId="77777777" w:rsidR="008464F7" w:rsidRPr="00F02F9D" w:rsidRDefault="008464F7" w:rsidP="009F76F2">
      <w:pPr>
        <w:spacing w:line="0" w:lineRule="atLeast"/>
        <w:ind w:left="1134" w:right="288" w:hanging="1134"/>
        <w:jc w:val="both"/>
        <w:rPr>
          <w:rFonts w:ascii="Arial" w:eastAsia="Arial" w:hAnsi="Arial"/>
          <w:bCs/>
          <w:sz w:val="22"/>
          <w:szCs w:val="22"/>
          <w:lang w:val="es-CR"/>
        </w:rPr>
      </w:pPr>
    </w:p>
    <w:p w14:paraId="59AA7EBD" w14:textId="77777777" w:rsidR="00A65917" w:rsidRDefault="00A65917" w:rsidP="009F76F2">
      <w:pPr>
        <w:spacing w:line="0" w:lineRule="atLeast"/>
        <w:ind w:left="1134" w:right="288" w:hanging="1134"/>
        <w:jc w:val="both"/>
        <w:rPr>
          <w:rFonts w:ascii="Arial" w:eastAsia="Arial" w:hAnsi="Arial"/>
          <w:bCs/>
          <w:sz w:val="22"/>
          <w:szCs w:val="22"/>
          <w:lang w:val="es-CR"/>
        </w:rPr>
      </w:pPr>
    </w:p>
    <w:p w14:paraId="7C284F72" w14:textId="31EAFD49" w:rsidR="009A6475" w:rsidRPr="00BD7E4A" w:rsidRDefault="009A6475" w:rsidP="00BD7E4A">
      <w:pPr>
        <w:pStyle w:val="Ttulo2"/>
        <w:ind w:left="284"/>
        <w:rPr>
          <w:rFonts w:ascii="Arial" w:eastAsia="Arial" w:hAnsi="Arial" w:cs="Arial"/>
          <w:b/>
          <w:bCs/>
          <w:sz w:val="20"/>
          <w:szCs w:val="20"/>
          <w:lang w:val="es-CR"/>
        </w:rPr>
      </w:pPr>
      <w:bookmarkStart w:id="29" w:name="_Toc172726203"/>
      <w:r w:rsidRPr="00BD7E4A">
        <w:rPr>
          <w:rFonts w:ascii="Arial" w:eastAsia="Arial" w:hAnsi="Arial" w:cs="Arial"/>
          <w:b/>
          <w:bCs/>
          <w:sz w:val="20"/>
          <w:szCs w:val="20"/>
          <w:lang w:val="es-CR"/>
        </w:rPr>
        <w:t xml:space="preserve">Deterioro de Activos Financieros </w:t>
      </w:r>
      <w:r w:rsidR="00444CC0" w:rsidRPr="00BD7E4A">
        <w:rPr>
          <w:rFonts w:ascii="Arial" w:eastAsia="Arial" w:hAnsi="Arial" w:cs="Arial"/>
          <w:b/>
          <w:bCs/>
          <w:sz w:val="20"/>
          <w:szCs w:val="20"/>
          <w:lang w:val="es-CR"/>
        </w:rPr>
        <w:t xml:space="preserve">no </w:t>
      </w:r>
      <w:r w:rsidRPr="00BD7E4A">
        <w:rPr>
          <w:rFonts w:ascii="Arial" w:eastAsia="Arial" w:hAnsi="Arial" w:cs="Arial"/>
          <w:b/>
          <w:bCs/>
          <w:sz w:val="20"/>
          <w:szCs w:val="20"/>
          <w:lang w:val="es-CR"/>
        </w:rPr>
        <w:t>Monetarios</w:t>
      </w:r>
      <w:bookmarkEnd w:id="29"/>
    </w:p>
    <w:p w14:paraId="53BD6017" w14:textId="77777777" w:rsidR="009A6475" w:rsidRPr="00F02F9D" w:rsidRDefault="009A6475" w:rsidP="00595271">
      <w:pPr>
        <w:numPr>
          <w:ilvl w:val="0"/>
          <w:numId w:val="2"/>
        </w:numPr>
        <w:spacing w:line="237" w:lineRule="auto"/>
        <w:ind w:left="284" w:right="260" w:hanging="284"/>
        <w:jc w:val="both"/>
        <w:rPr>
          <w:rFonts w:ascii="Arial" w:eastAsia="Arial" w:hAnsi="Arial"/>
          <w:bCs/>
          <w:sz w:val="22"/>
          <w:szCs w:val="22"/>
          <w:lang w:val="es-CR"/>
        </w:rPr>
      </w:pPr>
    </w:p>
    <w:tbl>
      <w:tblPr>
        <w:tblW w:w="9072" w:type="dxa"/>
        <w:tblInd w:w="-10" w:type="dxa"/>
        <w:tblLayout w:type="fixed"/>
        <w:tblLook w:val="04A0" w:firstRow="1" w:lastRow="0" w:firstColumn="1" w:lastColumn="0" w:noHBand="0" w:noVBand="1"/>
      </w:tblPr>
      <w:tblGrid>
        <w:gridCol w:w="709"/>
        <w:gridCol w:w="708"/>
        <w:gridCol w:w="567"/>
        <w:gridCol w:w="3403"/>
        <w:gridCol w:w="1834"/>
        <w:gridCol w:w="150"/>
        <w:gridCol w:w="1682"/>
        <w:gridCol w:w="19"/>
      </w:tblGrid>
      <w:tr w:rsidR="009A6475" w:rsidRPr="00BD7E4A" w14:paraId="5465DA83" w14:textId="77777777" w:rsidTr="008464F7">
        <w:trPr>
          <w:gridAfter w:val="1"/>
          <w:wAfter w:w="19" w:type="dxa"/>
          <w:trHeight w:val="320"/>
        </w:trPr>
        <w:tc>
          <w:tcPr>
            <w:tcW w:w="1984"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405C7227" w14:textId="77777777" w:rsidR="009A6475" w:rsidRPr="00BD7E4A" w:rsidRDefault="009A6475"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 / Política</w:t>
            </w:r>
          </w:p>
        </w:tc>
        <w:tc>
          <w:tcPr>
            <w:tcW w:w="3403"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594284C" w14:textId="77777777" w:rsidR="009A6475" w:rsidRPr="00BD7E4A" w:rsidRDefault="009A6475"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Concepto</w:t>
            </w:r>
          </w:p>
        </w:tc>
        <w:tc>
          <w:tcPr>
            <w:tcW w:w="3666" w:type="dxa"/>
            <w:gridSpan w:val="3"/>
            <w:tcBorders>
              <w:top w:val="single" w:sz="8" w:space="0" w:color="auto"/>
              <w:left w:val="nil"/>
              <w:bottom w:val="single" w:sz="8" w:space="0" w:color="auto"/>
              <w:right w:val="single" w:sz="8" w:space="0" w:color="000000"/>
            </w:tcBorders>
            <w:shd w:val="clear" w:color="000000" w:fill="203764"/>
            <w:vAlign w:val="center"/>
            <w:hideMark/>
          </w:tcPr>
          <w:p w14:paraId="0FDAB531" w14:textId="77777777" w:rsidR="009A6475" w:rsidRPr="00BD7E4A" w:rsidRDefault="009A6475"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Referencia</w:t>
            </w:r>
          </w:p>
        </w:tc>
      </w:tr>
      <w:tr w:rsidR="009A6475" w:rsidRPr="0091631A" w14:paraId="5CC5DEF5" w14:textId="77777777" w:rsidTr="008464F7">
        <w:trPr>
          <w:gridAfter w:val="1"/>
          <w:wAfter w:w="19" w:type="dxa"/>
          <w:trHeight w:val="320"/>
        </w:trPr>
        <w:tc>
          <w:tcPr>
            <w:tcW w:w="1984" w:type="dxa"/>
            <w:gridSpan w:val="3"/>
            <w:vMerge/>
            <w:tcBorders>
              <w:top w:val="single" w:sz="8" w:space="0" w:color="auto"/>
              <w:left w:val="single" w:sz="8" w:space="0" w:color="auto"/>
              <w:right w:val="single" w:sz="8" w:space="0" w:color="000000"/>
            </w:tcBorders>
            <w:vAlign w:val="center"/>
            <w:hideMark/>
          </w:tcPr>
          <w:p w14:paraId="627CB8E4" w14:textId="77777777" w:rsidR="009A6475" w:rsidRPr="00BD7E4A" w:rsidRDefault="009A6475" w:rsidP="00005DEC">
            <w:pPr>
              <w:rPr>
                <w:rFonts w:ascii="Arial Narrow" w:eastAsia="Times New Roman" w:hAnsi="Arial Narrow"/>
                <w:b/>
                <w:bCs/>
                <w:color w:val="FFFFFF"/>
                <w:sz w:val="22"/>
                <w:szCs w:val="22"/>
              </w:rPr>
            </w:pPr>
          </w:p>
        </w:tc>
        <w:tc>
          <w:tcPr>
            <w:tcW w:w="3403" w:type="dxa"/>
            <w:vMerge/>
            <w:tcBorders>
              <w:top w:val="single" w:sz="8" w:space="0" w:color="auto"/>
              <w:left w:val="single" w:sz="8" w:space="0" w:color="auto"/>
              <w:right w:val="single" w:sz="8" w:space="0" w:color="auto"/>
            </w:tcBorders>
            <w:vAlign w:val="center"/>
            <w:hideMark/>
          </w:tcPr>
          <w:p w14:paraId="65CDF2D8" w14:textId="77777777" w:rsidR="009A6475" w:rsidRPr="00BD7E4A" w:rsidRDefault="009A6475" w:rsidP="00005DEC">
            <w:pPr>
              <w:rPr>
                <w:rFonts w:ascii="Arial Narrow" w:eastAsia="Times New Roman" w:hAnsi="Arial Narrow"/>
                <w:b/>
                <w:bCs/>
                <w:color w:val="FFFFFF"/>
                <w:sz w:val="22"/>
                <w:szCs w:val="22"/>
              </w:rPr>
            </w:pPr>
          </w:p>
        </w:tc>
        <w:tc>
          <w:tcPr>
            <w:tcW w:w="1834" w:type="dxa"/>
            <w:tcBorders>
              <w:top w:val="nil"/>
              <w:left w:val="nil"/>
              <w:right w:val="single" w:sz="8" w:space="0" w:color="auto"/>
            </w:tcBorders>
            <w:shd w:val="clear" w:color="000000" w:fill="203764"/>
            <w:vAlign w:val="center"/>
            <w:hideMark/>
          </w:tcPr>
          <w:p w14:paraId="28EA3784" w14:textId="77777777" w:rsidR="009A6475" w:rsidRPr="00BD7E4A" w:rsidRDefault="009A6475" w:rsidP="00005DEC">
            <w:pPr>
              <w:jc w:val="center"/>
              <w:rPr>
                <w:rFonts w:ascii="Arial Narrow" w:eastAsia="Times New Roman" w:hAnsi="Arial Narrow"/>
                <w:b/>
                <w:bCs/>
                <w:color w:val="FFFFFF"/>
                <w:sz w:val="22"/>
                <w:szCs w:val="22"/>
              </w:rPr>
            </w:pPr>
            <w:r w:rsidRPr="00BD7E4A">
              <w:rPr>
                <w:rFonts w:ascii="Arial Narrow" w:eastAsia="Times New Roman" w:hAnsi="Arial Narrow"/>
                <w:b/>
                <w:bCs/>
                <w:color w:val="FFFFFF"/>
                <w:sz w:val="22"/>
                <w:szCs w:val="22"/>
              </w:rPr>
              <w:t>Norma</w:t>
            </w:r>
          </w:p>
        </w:tc>
        <w:tc>
          <w:tcPr>
            <w:tcW w:w="1832" w:type="dxa"/>
            <w:gridSpan w:val="2"/>
            <w:tcBorders>
              <w:top w:val="nil"/>
              <w:left w:val="nil"/>
              <w:right w:val="single" w:sz="8" w:space="0" w:color="auto"/>
            </w:tcBorders>
            <w:shd w:val="clear" w:color="000000" w:fill="203764"/>
            <w:vAlign w:val="center"/>
            <w:hideMark/>
          </w:tcPr>
          <w:p w14:paraId="3C607DC6" w14:textId="40C88DA3" w:rsidR="009A6475" w:rsidRPr="0091631A" w:rsidRDefault="0091631A" w:rsidP="00005DE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9A6475" w:rsidRPr="00BD7E4A" w14:paraId="1C7007CB" w14:textId="77777777" w:rsidTr="008464F7">
        <w:trPr>
          <w:trHeight w:val="630"/>
        </w:trPr>
        <w:tc>
          <w:tcPr>
            <w:tcW w:w="709" w:type="dxa"/>
            <w:tcBorders>
              <w:top w:val="nil"/>
              <w:left w:val="single" w:sz="8" w:space="0" w:color="auto"/>
              <w:bottom w:val="single" w:sz="12" w:space="0" w:color="auto"/>
              <w:right w:val="single" w:sz="8" w:space="0" w:color="auto"/>
            </w:tcBorders>
            <w:shd w:val="clear" w:color="auto" w:fill="auto"/>
            <w:vAlign w:val="center"/>
            <w:hideMark/>
          </w:tcPr>
          <w:p w14:paraId="2E074887" w14:textId="77777777" w:rsidR="009A6475" w:rsidRPr="00BD7E4A" w:rsidRDefault="009A6475"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1.</w:t>
            </w:r>
          </w:p>
        </w:tc>
        <w:tc>
          <w:tcPr>
            <w:tcW w:w="708" w:type="dxa"/>
            <w:tcBorders>
              <w:top w:val="nil"/>
              <w:left w:val="nil"/>
              <w:bottom w:val="single" w:sz="12" w:space="0" w:color="auto"/>
              <w:right w:val="nil"/>
            </w:tcBorders>
            <w:shd w:val="clear" w:color="auto" w:fill="auto"/>
            <w:noWrap/>
            <w:vAlign w:val="center"/>
            <w:hideMark/>
          </w:tcPr>
          <w:p w14:paraId="68762F9E" w14:textId="77777777" w:rsidR="009A6475" w:rsidRPr="00BD7E4A" w:rsidRDefault="009A6475" w:rsidP="00005DEC">
            <w:pPr>
              <w:jc w:val="cente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22.</w:t>
            </w:r>
          </w:p>
        </w:tc>
        <w:tc>
          <w:tcPr>
            <w:tcW w:w="567" w:type="dxa"/>
            <w:tcBorders>
              <w:top w:val="nil"/>
              <w:left w:val="single" w:sz="8" w:space="0" w:color="auto"/>
              <w:bottom w:val="single" w:sz="12" w:space="0" w:color="auto"/>
              <w:right w:val="single" w:sz="8" w:space="0" w:color="auto"/>
            </w:tcBorders>
            <w:shd w:val="clear" w:color="auto" w:fill="auto"/>
            <w:vAlign w:val="center"/>
            <w:hideMark/>
          </w:tcPr>
          <w:p w14:paraId="190DB2AB" w14:textId="77777777" w:rsidR="009A6475" w:rsidRPr="00BD7E4A" w:rsidRDefault="009A6475"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c>
          <w:tcPr>
            <w:tcW w:w="3403" w:type="dxa"/>
            <w:tcBorders>
              <w:top w:val="nil"/>
              <w:left w:val="nil"/>
              <w:bottom w:val="single" w:sz="12" w:space="0" w:color="auto"/>
              <w:right w:val="single" w:sz="8" w:space="0" w:color="auto"/>
            </w:tcBorders>
            <w:shd w:val="clear" w:color="auto" w:fill="auto"/>
            <w:vAlign w:val="center"/>
            <w:hideMark/>
          </w:tcPr>
          <w:p w14:paraId="3D8BFDAC" w14:textId="77777777" w:rsidR="009A6475" w:rsidRPr="00BD7E4A" w:rsidRDefault="009A6475" w:rsidP="00444CC0">
            <w:pPr>
              <w:jc w:val="both"/>
              <w:rPr>
                <w:rFonts w:ascii="Arial Narrow" w:eastAsia="Times New Roman" w:hAnsi="Arial Narrow"/>
                <w:b/>
                <w:bCs/>
                <w:color w:val="000000"/>
                <w:sz w:val="22"/>
                <w:szCs w:val="22"/>
                <w:lang w:val="es-CR"/>
              </w:rPr>
            </w:pPr>
            <w:r w:rsidRPr="00BD7E4A">
              <w:rPr>
                <w:rFonts w:ascii="Arial Narrow" w:eastAsia="Times New Roman" w:hAnsi="Arial Narrow"/>
                <w:b/>
                <w:bCs/>
                <w:color w:val="000000"/>
                <w:sz w:val="22"/>
                <w:szCs w:val="22"/>
                <w:lang w:val="es-CR"/>
              </w:rPr>
              <w:t>Cuenta correctora para pérdidas crediticias</w:t>
            </w:r>
          </w:p>
        </w:tc>
        <w:tc>
          <w:tcPr>
            <w:tcW w:w="1984" w:type="dxa"/>
            <w:gridSpan w:val="2"/>
            <w:tcBorders>
              <w:top w:val="nil"/>
              <w:left w:val="nil"/>
              <w:bottom w:val="single" w:sz="12" w:space="0" w:color="auto"/>
              <w:right w:val="nil"/>
            </w:tcBorders>
            <w:shd w:val="clear" w:color="auto" w:fill="auto"/>
            <w:vAlign w:val="center"/>
            <w:hideMark/>
          </w:tcPr>
          <w:p w14:paraId="3E8F8820" w14:textId="77777777" w:rsidR="009A6475" w:rsidRPr="00BD7E4A" w:rsidRDefault="009A6475" w:rsidP="00005DEC">
            <w:pPr>
              <w:ind w:firstLineChars="6" w:firstLine="13"/>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lang w:val="es-CR"/>
              </w:rPr>
              <w:t xml:space="preserve">NICSP N° 30 </w:t>
            </w:r>
            <w:r w:rsidRPr="00BD7E4A">
              <w:rPr>
                <w:rFonts w:ascii="Arial Narrow" w:eastAsia="Times New Roman" w:hAnsi="Arial Narrow"/>
                <w:b/>
                <w:bCs/>
                <w:color w:val="000000"/>
                <w:sz w:val="22"/>
                <w:szCs w:val="22"/>
                <w:lang w:val="es-CR"/>
              </w:rPr>
              <w:br/>
              <w:t xml:space="preserve">Párrafo 20. </w:t>
            </w:r>
          </w:p>
        </w:tc>
        <w:tc>
          <w:tcPr>
            <w:tcW w:w="1701" w:type="dxa"/>
            <w:gridSpan w:val="2"/>
            <w:tcBorders>
              <w:top w:val="nil"/>
              <w:left w:val="single" w:sz="8" w:space="0" w:color="auto"/>
              <w:bottom w:val="single" w:sz="12" w:space="0" w:color="auto"/>
              <w:right w:val="single" w:sz="8" w:space="0" w:color="auto"/>
            </w:tcBorders>
            <w:shd w:val="clear" w:color="auto" w:fill="auto"/>
            <w:vAlign w:val="center"/>
            <w:hideMark/>
          </w:tcPr>
          <w:p w14:paraId="236608E5" w14:textId="77777777" w:rsidR="009A6475" w:rsidRPr="00BD7E4A" w:rsidRDefault="009A6475" w:rsidP="00005DEC">
            <w:pPr>
              <w:rPr>
                <w:rFonts w:ascii="Arial Narrow" w:eastAsia="Times New Roman" w:hAnsi="Arial Narrow"/>
                <w:b/>
                <w:bCs/>
                <w:color w:val="000000"/>
                <w:sz w:val="22"/>
                <w:szCs w:val="22"/>
              </w:rPr>
            </w:pPr>
            <w:r w:rsidRPr="00BD7E4A">
              <w:rPr>
                <w:rFonts w:ascii="Arial Narrow" w:eastAsia="Times New Roman" w:hAnsi="Arial Narrow"/>
                <w:b/>
                <w:bCs/>
                <w:color w:val="000000"/>
                <w:sz w:val="22"/>
                <w:szCs w:val="22"/>
              </w:rPr>
              <w:t> </w:t>
            </w:r>
          </w:p>
        </w:tc>
      </w:tr>
    </w:tbl>
    <w:p w14:paraId="02BFF5E4" w14:textId="77777777" w:rsidR="003C2E37" w:rsidRDefault="003C2E37" w:rsidP="009F76F2">
      <w:pPr>
        <w:spacing w:line="237" w:lineRule="auto"/>
        <w:ind w:right="260"/>
        <w:jc w:val="both"/>
        <w:rPr>
          <w:rFonts w:ascii="Arial" w:eastAsia="Arial" w:hAnsi="Arial"/>
          <w:b/>
          <w:sz w:val="22"/>
          <w:szCs w:val="22"/>
          <w:lang w:val="es-CR"/>
        </w:rPr>
      </w:pPr>
    </w:p>
    <w:p w14:paraId="642F91F9" w14:textId="0FFFF319" w:rsidR="00FA2715" w:rsidRDefault="00FA2715" w:rsidP="009F76F2">
      <w:pPr>
        <w:spacing w:line="237" w:lineRule="auto"/>
        <w:ind w:right="260"/>
        <w:jc w:val="both"/>
        <w:rPr>
          <w:rFonts w:ascii="Arial" w:eastAsia="Arial" w:hAnsi="Arial"/>
          <w:b/>
          <w:sz w:val="22"/>
          <w:szCs w:val="22"/>
        </w:rPr>
      </w:pPr>
      <w:r w:rsidRPr="00F02F9D">
        <w:rPr>
          <w:rFonts w:ascii="Arial" w:eastAsia="Arial" w:hAnsi="Arial"/>
          <w:b/>
          <w:sz w:val="22"/>
          <w:szCs w:val="22"/>
        </w:rPr>
        <w:t>Políticas Contables</w:t>
      </w:r>
    </w:p>
    <w:p w14:paraId="356728FC" w14:textId="77777777" w:rsidR="00FA2715" w:rsidRPr="00F02F9D" w:rsidRDefault="00FA2715" w:rsidP="009F76F2">
      <w:pPr>
        <w:spacing w:line="237" w:lineRule="auto"/>
        <w:ind w:right="260"/>
        <w:jc w:val="both"/>
        <w:rPr>
          <w:rFonts w:ascii="Arial" w:eastAsia="Arial" w:hAnsi="Arial"/>
          <w:b/>
          <w:sz w:val="22"/>
          <w:szCs w:val="22"/>
          <w:lang w:val="es-CR"/>
        </w:rPr>
      </w:pPr>
    </w:p>
    <w:p w14:paraId="5D3A6462" w14:textId="4519DD87" w:rsidR="003C2E37" w:rsidRDefault="003C2E37" w:rsidP="00D20300">
      <w:pPr>
        <w:spacing w:line="237" w:lineRule="auto"/>
        <w:ind w:left="993" w:right="260" w:hanging="993"/>
        <w:jc w:val="both"/>
        <w:rPr>
          <w:rFonts w:ascii="Arial" w:eastAsia="Batang" w:hAnsi="Arial"/>
          <w:sz w:val="22"/>
          <w:szCs w:val="22"/>
          <w:lang w:val="es-ES"/>
        </w:rPr>
      </w:pPr>
      <w:r w:rsidRPr="00F02F9D">
        <w:rPr>
          <w:rFonts w:ascii="Arial" w:eastAsia="Batang" w:hAnsi="Arial"/>
          <w:sz w:val="22"/>
          <w:szCs w:val="22"/>
          <w:lang w:val="es-ES"/>
        </w:rPr>
        <w:t xml:space="preserve">1.22.0.01 </w:t>
      </w:r>
      <w:r w:rsidRPr="00F02F9D">
        <w:rPr>
          <w:rFonts w:ascii="Arial" w:eastAsia="Batang" w:hAnsi="Arial"/>
          <w:sz w:val="22"/>
          <w:szCs w:val="22"/>
          <w:lang w:val="es-ES"/>
        </w:rPr>
        <w:tab/>
        <w:t xml:space="preserve">La </w:t>
      </w:r>
      <w:r w:rsidR="000F29DC">
        <w:rPr>
          <w:rFonts w:ascii="Arial" w:eastAsia="Batang" w:hAnsi="Arial"/>
          <w:sz w:val="22"/>
          <w:szCs w:val="22"/>
          <w:lang w:val="es-ES"/>
        </w:rPr>
        <w:t>MBA</w:t>
      </w:r>
      <w:r w:rsidRPr="00F02F9D">
        <w:rPr>
          <w:rFonts w:ascii="Arial" w:eastAsia="Batang" w:hAnsi="Arial"/>
          <w:sz w:val="22"/>
          <w:szCs w:val="22"/>
          <w:lang w:val="es-ES"/>
        </w:rPr>
        <w:t xml:space="preserve"> </w:t>
      </w:r>
      <w:r w:rsidR="00065A17" w:rsidRPr="00F02F9D">
        <w:rPr>
          <w:rFonts w:ascii="Arial" w:eastAsia="Batang" w:hAnsi="Arial"/>
          <w:sz w:val="22"/>
          <w:szCs w:val="22"/>
          <w:lang w:val="es-ES"/>
        </w:rPr>
        <w:t>realizará</w:t>
      </w:r>
      <w:r w:rsidRPr="00F02F9D">
        <w:rPr>
          <w:rFonts w:ascii="Arial" w:eastAsia="Batang" w:hAnsi="Arial"/>
          <w:sz w:val="22"/>
          <w:szCs w:val="22"/>
          <w:lang w:val="es-ES"/>
        </w:rPr>
        <w:t xml:space="preserve"> la estimación de pérdida de valor</w:t>
      </w:r>
      <w:r w:rsidR="00065A17" w:rsidRPr="00F02F9D">
        <w:rPr>
          <w:rFonts w:ascii="Arial" w:eastAsia="Batang" w:hAnsi="Arial"/>
          <w:sz w:val="22"/>
          <w:szCs w:val="22"/>
          <w:lang w:val="es-ES"/>
        </w:rPr>
        <w:t xml:space="preserve"> de los activos financieros no monetarios por medio</w:t>
      </w:r>
      <w:r w:rsidRPr="00F02F9D">
        <w:rPr>
          <w:rFonts w:ascii="Arial" w:eastAsia="Batang" w:hAnsi="Arial"/>
          <w:sz w:val="22"/>
          <w:szCs w:val="22"/>
          <w:lang w:val="es-ES"/>
        </w:rPr>
        <w:t xml:space="preserve"> </w:t>
      </w:r>
      <w:r w:rsidR="00065A17" w:rsidRPr="00F02F9D">
        <w:rPr>
          <w:rFonts w:ascii="Arial" w:eastAsia="Batang" w:hAnsi="Arial"/>
          <w:sz w:val="22"/>
          <w:szCs w:val="22"/>
          <w:lang w:val="es-ES"/>
        </w:rPr>
        <w:t>d</w:t>
      </w:r>
      <w:r w:rsidRPr="00F02F9D">
        <w:rPr>
          <w:rFonts w:ascii="Arial" w:eastAsia="Batang" w:hAnsi="Arial"/>
          <w:sz w:val="22"/>
          <w:szCs w:val="22"/>
          <w:lang w:val="es-ES"/>
        </w:rPr>
        <w:t xml:space="preserve">el método </w:t>
      </w:r>
      <w:r w:rsidRPr="00F02F9D">
        <w:rPr>
          <w:rFonts w:ascii="Arial" w:eastAsia="Batang" w:hAnsi="Arial"/>
          <w:b/>
          <w:bCs/>
          <w:i/>
          <w:iCs/>
          <w:sz w:val="22"/>
          <w:szCs w:val="22"/>
          <w:lang w:val="es-ES"/>
        </w:rPr>
        <w:t>“Análisis de las cuentas por cobrar con base en la antigüedad del saldo”</w:t>
      </w:r>
      <w:r w:rsidRPr="00F02F9D">
        <w:rPr>
          <w:rFonts w:ascii="Arial" w:eastAsia="Batang" w:hAnsi="Arial"/>
          <w:sz w:val="22"/>
          <w:szCs w:val="22"/>
          <w:lang w:val="es-ES"/>
        </w:rPr>
        <w:t>.</w:t>
      </w:r>
    </w:p>
    <w:p w14:paraId="4BF0CD62" w14:textId="77777777" w:rsidR="008464F7" w:rsidRPr="00F02F9D" w:rsidRDefault="008464F7" w:rsidP="00D20300">
      <w:pPr>
        <w:spacing w:line="237" w:lineRule="auto"/>
        <w:ind w:left="993" w:right="260" w:hanging="993"/>
        <w:jc w:val="both"/>
        <w:rPr>
          <w:rFonts w:ascii="Arial" w:eastAsia="Arial" w:hAnsi="Arial"/>
          <w:bCs/>
          <w:sz w:val="22"/>
          <w:szCs w:val="22"/>
          <w:lang w:val="es-ES"/>
        </w:rPr>
      </w:pPr>
    </w:p>
    <w:p w14:paraId="36D26518" w14:textId="541B656F" w:rsidR="004333B1" w:rsidRDefault="003C2E37" w:rsidP="00D20300">
      <w:pPr>
        <w:spacing w:line="237" w:lineRule="auto"/>
        <w:ind w:left="993" w:right="260" w:hanging="993"/>
        <w:jc w:val="both"/>
        <w:rPr>
          <w:rFonts w:ascii="Arial" w:eastAsia="Batang" w:hAnsi="Arial"/>
          <w:sz w:val="22"/>
          <w:szCs w:val="22"/>
          <w:lang w:val="es-ES"/>
        </w:rPr>
      </w:pPr>
      <w:r w:rsidRPr="00F02F9D">
        <w:rPr>
          <w:rFonts w:ascii="Arial" w:eastAsia="Arial" w:hAnsi="Arial"/>
          <w:bCs/>
          <w:sz w:val="22"/>
          <w:szCs w:val="22"/>
          <w:lang w:val="es-ES"/>
        </w:rPr>
        <w:t>1.22.0.02</w:t>
      </w:r>
      <w:r w:rsidRPr="00F02F9D">
        <w:rPr>
          <w:rFonts w:ascii="Arial" w:eastAsia="Arial" w:hAnsi="Arial"/>
          <w:bCs/>
          <w:sz w:val="22"/>
          <w:szCs w:val="22"/>
          <w:lang w:val="es-ES"/>
        </w:rPr>
        <w:tab/>
      </w:r>
      <w:r w:rsidR="004333B1" w:rsidRPr="00F02F9D">
        <w:rPr>
          <w:rFonts w:ascii="Arial" w:eastAsia="Arial" w:hAnsi="Arial"/>
          <w:bCs/>
          <w:sz w:val="22"/>
          <w:szCs w:val="22"/>
          <w:lang w:val="es-ES"/>
        </w:rPr>
        <w:t>E</w:t>
      </w:r>
      <w:r w:rsidR="004333B1" w:rsidRPr="00F02F9D">
        <w:rPr>
          <w:rFonts w:ascii="Arial" w:eastAsia="Batang" w:hAnsi="Arial"/>
          <w:sz w:val="22"/>
          <w:szCs w:val="22"/>
          <w:lang w:val="es-ES"/>
        </w:rPr>
        <w:t xml:space="preserve">l cálculo de la estimación de pérdida de valor de las cuentas por cobrar deberá realizarse con la misma periodicidad con que la DGCN solicite los Estados Financieros </w:t>
      </w:r>
      <w:r w:rsidR="00A65917">
        <w:rPr>
          <w:rFonts w:ascii="Arial" w:eastAsia="Batang" w:hAnsi="Arial"/>
          <w:sz w:val="22"/>
          <w:szCs w:val="22"/>
          <w:lang w:val="es-ES"/>
        </w:rPr>
        <w:t>a la Municipalidad</w:t>
      </w:r>
      <w:r w:rsidR="004333B1" w:rsidRPr="00F02F9D">
        <w:rPr>
          <w:rFonts w:ascii="Arial" w:eastAsia="Batang" w:hAnsi="Arial"/>
          <w:sz w:val="22"/>
          <w:szCs w:val="22"/>
          <w:lang w:val="es-ES"/>
        </w:rPr>
        <w:t>, de manera que estos revelen el valor actualizado de la previsión en comentario.</w:t>
      </w:r>
    </w:p>
    <w:p w14:paraId="64C1BC04" w14:textId="77777777" w:rsidR="008464F7" w:rsidRPr="00F02F9D" w:rsidRDefault="008464F7" w:rsidP="00D20300">
      <w:pPr>
        <w:spacing w:line="237" w:lineRule="auto"/>
        <w:ind w:left="993" w:right="260" w:hanging="993"/>
        <w:jc w:val="both"/>
        <w:rPr>
          <w:rFonts w:ascii="Arial" w:eastAsia="Arial" w:hAnsi="Arial"/>
          <w:bCs/>
          <w:sz w:val="22"/>
          <w:szCs w:val="22"/>
          <w:lang w:val="es-ES"/>
        </w:rPr>
      </w:pPr>
    </w:p>
    <w:p w14:paraId="17499F7F" w14:textId="520E1D69" w:rsidR="003C2E37" w:rsidRDefault="003C2E37" w:rsidP="00D20300">
      <w:pPr>
        <w:spacing w:line="237" w:lineRule="auto"/>
        <w:ind w:left="993" w:right="260" w:hanging="993"/>
        <w:jc w:val="both"/>
        <w:rPr>
          <w:rFonts w:ascii="Arial" w:eastAsia="Batang" w:hAnsi="Arial"/>
          <w:sz w:val="22"/>
          <w:szCs w:val="22"/>
          <w:lang w:val="es-ES"/>
        </w:rPr>
      </w:pPr>
      <w:r w:rsidRPr="00F02F9D">
        <w:rPr>
          <w:rFonts w:ascii="Arial" w:eastAsia="Arial" w:hAnsi="Arial"/>
          <w:bCs/>
          <w:sz w:val="22"/>
          <w:szCs w:val="22"/>
          <w:lang w:val="es-CR"/>
        </w:rPr>
        <w:t>1.22.0.03</w:t>
      </w:r>
      <w:r w:rsidRPr="00F02F9D">
        <w:rPr>
          <w:rFonts w:ascii="Arial" w:eastAsia="Arial" w:hAnsi="Arial"/>
          <w:bCs/>
          <w:sz w:val="22"/>
          <w:szCs w:val="22"/>
          <w:lang w:val="es-CR"/>
        </w:rPr>
        <w:tab/>
      </w:r>
      <w:r w:rsidR="004333B1" w:rsidRPr="00F02F9D">
        <w:rPr>
          <w:rFonts w:ascii="Arial" w:eastAsia="Batang" w:hAnsi="Arial"/>
          <w:sz w:val="22"/>
          <w:szCs w:val="22"/>
          <w:lang w:val="es-ES"/>
        </w:rPr>
        <w:t>C</w:t>
      </w:r>
      <w:r w:rsidRPr="00F02F9D">
        <w:rPr>
          <w:rFonts w:ascii="Arial" w:eastAsia="Batang" w:hAnsi="Arial"/>
          <w:sz w:val="22"/>
          <w:szCs w:val="22"/>
          <w:lang w:val="es-ES"/>
        </w:rPr>
        <w:t>uando exista evidencia objetiva de que se ha incurrido en una pérdida del valor de las cuentas por cobrar, el importe de la dicha pérdida se medirá como la diferencia entre el importe en libros del activo y el valor presente de los flujos de efectivo futuros estimados</w:t>
      </w:r>
      <w:r w:rsidR="00D20300">
        <w:rPr>
          <w:rFonts w:ascii="Arial" w:eastAsia="Batang" w:hAnsi="Arial"/>
          <w:sz w:val="22"/>
          <w:szCs w:val="22"/>
          <w:lang w:val="es-ES"/>
        </w:rPr>
        <w:t xml:space="preserve"> mediante el método de análisis de antigüedad de saldos</w:t>
      </w:r>
      <w:r w:rsidR="00F4207B" w:rsidRPr="00F02F9D">
        <w:rPr>
          <w:rFonts w:ascii="Arial" w:eastAsia="Batang" w:hAnsi="Arial"/>
          <w:sz w:val="22"/>
          <w:szCs w:val="22"/>
          <w:lang w:val="es-ES"/>
        </w:rPr>
        <w:t>.</w:t>
      </w:r>
    </w:p>
    <w:p w14:paraId="56516DC7" w14:textId="77777777" w:rsidR="008464F7" w:rsidRPr="00F02F9D" w:rsidRDefault="008464F7" w:rsidP="00D20300">
      <w:pPr>
        <w:spacing w:line="237" w:lineRule="auto"/>
        <w:ind w:left="993" w:right="260" w:hanging="993"/>
        <w:jc w:val="both"/>
        <w:rPr>
          <w:rFonts w:ascii="Arial" w:eastAsia="Batang" w:hAnsi="Arial"/>
          <w:sz w:val="22"/>
          <w:szCs w:val="22"/>
          <w:lang w:val="es-ES"/>
        </w:rPr>
      </w:pPr>
    </w:p>
    <w:p w14:paraId="63D6D1F8" w14:textId="5D701D8A" w:rsidR="00934B9B" w:rsidRDefault="004333B1" w:rsidP="00D20300">
      <w:p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ES"/>
        </w:rPr>
        <w:t>1.22.0.04</w:t>
      </w:r>
      <w:r w:rsidRPr="00F02F9D">
        <w:rPr>
          <w:rFonts w:ascii="Arial" w:eastAsia="Arial" w:hAnsi="Arial"/>
          <w:bCs/>
          <w:sz w:val="22"/>
          <w:szCs w:val="22"/>
          <w:lang w:val="es-ES"/>
        </w:rPr>
        <w:tab/>
      </w:r>
      <w:r w:rsidRPr="00F02F9D">
        <w:rPr>
          <w:rFonts w:ascii="Arial" w:eastAsia="Arial" w:hAnsi="Arial"/>
          <w:bCs/>
          <w:sz w:val="22"/>
          <w:szCs w:val="22"/>
          <w:lang w:val="es-CR"/>
        </w:rPr>
        <w:t xml:space="preserve">Cuando </w:t>
      </w:r>
      <w:r w:rsidR="00934B9B" w:rsidRPr="00F02F9D">
        <w:rPr>
          <w:rFonts w:ascii="Arial" w:eastAsia="Arial" w:hAnsi="Arial"/>
          <w:bCs/>
          <w:sz w:val="22"/>
          <w:szCs w:val="22"/>
          <w:lang w:val="es-CR"/>
        </w:rPr>
        <w:t xml:space="preserve">se estime que </w:t>
      </w:r>
      <w:r w:rsidR="00F4207B" w:rsidRPr="00F02F9D">
        <w:rPr>
          <w:rFonts w:ascii="Arial" w:eastAsia="Arial" w:hAnsi="Arial"/>
          <w:bCs/>
          <w:sz w:val="22"/>
          <w:szCs w:val="22"/>
          <w:lang w:val="es-CR"/>
        </w:rPr>
        <w:t>una cuenta por cobrar</w:t>
      </w:r>
      <w:r w:rsidR="00065A17" w:rsidRPr="00F02F9D">
        <w:rPr>
          <w:rFonts w:ascii="Arial" w:eastAsia="Arial" w:hAnsi="Arial"/>
          <w:bCs/>
          <w:sz w:val="22"/>
          <w:szCs w:val="22"/>
          <w:lang w:val="es-CR"/>
        </w:rPr>
        <w:t xml:space="preserve"> </w:t>
      </w:r>
      <w:r w:rsidRPr="00F02F9D">
        <w:rPr>
          <w:rFonts w:ascii="Arial" w:eastAsia="Arial" w:hAnsi="Arial"/>
          <w:bCs/>
          <w:sz w:val="22"/>
          <w:szCs w:val="22"/>
          <w:lang w:val="es-CR"/>
        </w:rPr>
        <w:t>se ha deteriorado</w:t>
      </w:r>
      <w:r w:rsidR="00934B9B" w:rsidRPr="00F02F9D">
        <w:rPr>
          <w:rFonts w:ascii="Arial" w:eastAsia="Arial" w:hAnsi="Arial"/>
          <w:bCs/>
          <w:sz w:val="22"/>
          <w:szCs w:val="22"/>
          <w:lang w:val="es-CR"/>
        </w:rPr>
        <w:t xml:space="preserve">, </w:t>
      </w:r>
      <w:r w:rsidR="000236D5" w:rsidRPr="00F02F9D">
        <w:rPr>
          <w:rFonts w:ascii="Arial" w:eastAsia="Arial" w:hAnsi="Arial"/>
          <w:bCs/>
          <w:sz w:val="22"/>
          <w:szCs w:val="22"/>
          <w:lang w:val="es-CR"/>
        </w:rPr>
        <w:t>dicho deterioro</w:t>
      </w:r>
      <w:r w:rsidRPr="00F02F9D">
        <w:rPr>
          <w:rFonts w:ascii="Arial" w:eastAsia="Arial" w:hAnsi="Arial"/>
          <w:bCs/>
          <w:sz w:val="22"/>
          <w:szCs w:val="22"/>
          <w:lang w:val="es-CR"/>
        </w:rPr>
        <w:t xml:space="preserve"> </w:t>
      </w:r>
      <w:r w:rsidR="00934B9B" w:rsidRPr="00F02F9D">
        <w:rPr>
          <w:rFonts w:ascii="Arial" w:eastAsia="Arial" w:hAnsi="Arial"/>
          <w:bCs/>
          <w:sz w:val="22"/>
          <w:szCs w:val="22"/>
          <w:lang w:val="es-CR"/>
        </w:rPr>
        <w:t xml:space="preserve">se registrará </w:t>
      </w:r>
      <w:r w:rsidRPr="00F02F9D">
        <w:rPr>
          <w:rFonts w:ascii="Arial" w:eastAsia="Arial" w:hAnsi="Arial"/>
          <w:bCs/>
          <w:sz w:val="22"/>
          <w:szCs w:val="22"/>
          <w:lang w:val="es-CR"/>
        </w:rPr>
        <w:t xml:space="preserve">con </w:t>
      </w:r>
      <w:r w:rsidR="00934B9B" w:rsidRPr="00F02F9D">
        <w:rPr>
          <w:rFonts w:ascii="Arial" w:eastAsia="Arial" w:hAnsi="Arial"/>
          <w:bCs/>
          <w:sz w:val="22"/>
          <w:szCs w:val="22"/>
          <w:lang w:val="es-CR"/>
        </w:rPr>
        <w:t>crédito</w:t>
      </w:r>
      <w:r w:rsidRPr="00F02F9D">
        <w:rPr>
          <w:rFonts w:ascii="Arial" w:eastAsia="Arial" w:hAnsi="Arial"/>
          <w:bCs/>
          <w:sz w:val="22"/>
          <w:szCs w:val="22"/>
          <w:lang w:val="es-CR"/>
        </w:rPr>
        <w:t xml:space="preserve"> a </w:t>
      </w:r>
      <w:r w:rsidR="00D20300">
        <w:rPr>
          <w:rFonts w:ascii="Arial" w:eastAsia="Arial" w:hAnsi="Arial"/>
          <w:bCs/>
          <w:sz w:val="22"/>
          <w:szCs w:val="22"/>
          <w:lang w:val="es-CR"/>
        </w:rPr>
        <w:t>l</w:t>
      </w:r>
      <w:r w:rsidRPr="00F02F9D">
        <w:rPr>
          <w:rFonts w:ascii="Arial" w:eastAsia="Arial" w:hAnsi="Arial"/>
          <w:bCs/>
          <w:sz w:val="22"/>
          <w:szCs w:val="22"/>
          <w:lang w:val="es-CR"/>
        </w:rPr>
        <w:t xml:space="preserve">a </w:t>
      </w:r>
      <w:r w:rsidR="00934B9B" w:rsidRPr="00F02F9D">
        <w:rPr>
          <w:rFonts w:ascii="Arial" w:eastAsia="Arial" w:hAnsi="Arial"/>
          <w:bCs/>
          <w:sz w:val="22"/>
          <w:szCs w:val="22"/>
          <w:lang w:val="es-CR"/>
        </w:rPr>
        <w:t xml:space="preserve">cuenta de </w:t>
      </w:r>
      <w:r w:rsidRPr="00F02F9D">
        <w:rPr>
          <w:rFonts w:ascii="Arial" w:eastAsia="Arial" w:hAnsi="Arial"/>
          <w:bCs/>
          <w:sz w:val="22"/>
          <w:szCs w:val="22"/>
          <w:lang w:val="es-CR"/>
        </w:rPr>
        <w:t xml:space="preserve">previsión (cuenta correctora utilizada para registrar los deterioros individuales o colectivo de </w:t>
      </w:r>
      <w:r w:rsidR="00F4207B" w:rsidRPr="00F02F9D">
        <w:rPr>
          <w:rFonts w:ascii="Arial" w:eastAsia="Arial" w:hAnsi="Arial"/>
          <w:bCs/>
          <w:sz w:val="22"/>
          <w:szCs w:val="22"/>
          <w:lang w:val="es-CR"/>
        </w:rPr>
        <w:t>cuentas por cobrar</w:t>
      </w:r>
      <w:r w:rsidRPr="00F02F9D">
        <w:rPr>
          <w:rFonts w:ascii="Arial" w:eastAsia="Arial" w:hAnsi="Arial"/>
          <w:bCs/>
          <w:sz w:val="22"/>
          <w:szCs w:val="22"/>
          <w:lang w:val="es-CR"/>
        </w:rPr>
        <w:t>)</w:t>
      </w:r>
      <w:r w:rsidR="00065A17" w:rsidRPr="00F02F9D">
        <w:rPr>
          <w:rFonts w:ascii="Arial" w:eastAsia="Arial" w:hAnsi="Arial"/>
          <w:bCs/>
          <w:sz w:val="22"/>
          <w:szCs w:val="22"/>
          <w:lang w:val="es-CR"/>
        </w:rPr>
        <w:t>,</w:t>
      </w:r>
      <w:r w:rsidRPr="00F02F9D">
        <w:rPr>
          <w:rFonts w:ascii="Arial" w:eastAsia="Arial" w:hAnsi="Arial"/>
          <w:bCs/>
          <w:sz w:val="22"/>
          <w:szCs w:val="22"/>
          <w:lang w:val="es-CR"/>
        </w:rPr>
        <w:t xml:space="preserve"> en lugar de reducir directamente el importe en libros d</w:t>
      </w:r>
      <w:r w:rsidR="00D20300">
        <w:rPr>
          <w:rFonts w:ascii="Arial" w:eastAsia="Arial" w:hAnsi="Arial"/>
          <w:bCs/>
          <w:sz w:val="22"/>
          <w:szCs w:val="22"/>
          <w:lang w:val="es-CR"/>
        </w:rPr>
        <w:t>e la cuenta deteriorada y se cargará la cuenta de resultados pertinente</w:t>
      </w:r>
      <w:r w:rsidR="00934B9B" w:rsidRPr="00F02F9D">
        <w:rPr>
          <w:rFonts w:ascii="Arial" w:eastAsia="Arial" w:hAnsi="Arial"/>
          <w:bCs/>
          <w:sz w:val="22"/>
          <w:szCs w:val="22"/>
          <w:lang w:val="es-CR"/>
        </w:rPr>
        <w:t>.</w:t>
      </w:r>
    </w:p>
    <w:p w14:paraId="08B2564C" w14:textId="77777777" w:rsidR="008464F7" w:rsidRPr="00F02F9D" w:rsidRDefault="008464F7" w:rsidP="00D20300">
      <w:pPr>
        <w:spacing w:line="237" w:lineRule="auto"/>
        <w:ind w:left="993" w:right="260" w:hanging="993"/>
        <w:jc w:val="both"/>
        <w:rPr>
          <w:rFonts w:ascii="Arial" w:eastAsia="Arial" w:hAnsi="Arial"/>
          <w:bCs/>
          <w:sz w:val="22"/>
          <w:szCs w:val="22"/>
          <w:lang w:val="es-CR"/>
        </w:rPr>
      </w:pPr>
    </w:p>
    <w:p w14:paraId="75F5B61F" w14:textId="2FA732D6" w:rsidR="004333B1" w:rsidRDefault="00934B9B" w:rsidP="00D20300">
      <w:p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1.22.0.05</w:t>
      </w:r>
      <w:r w:rsidRPr="00F02F9D">
        <w:rPr>
          <w:rFonts w:ascii="Arial" w:eastAsia="Arial" w:hAnsi="Arial"/>
          <w:bCs/>
          <w:sz w:val="22"/>
          <w:szCs w:val="22"/>
          <w:lang w:val="es-CR"/>
        </w:rPr>
        <w:tab/>
        <w:t xml:space="preserve">En las notas a los EEFF se </w:t>
      </w:r>
      <w:r w:rsidR="004333B1" w:rsidRPr="00F02F9D">
        <w:rPr>
          <w:rFonts w:ascii="Arial" w:eastAsia="Arial" w:hAnsi="Arial"/>
          <w:bCs/>
          <w:sz w:val="22"/>
          <w:szCs w:val="22"/>
          <w:lang w:val="es-CR"/>
        </w:rPr>
        <w:t>incluirá una conciliación de las variaciones en dicha cuenta durante el período, para cada clase de activos financieros</w:t>
      </w:r>
      <w:r w:rsidR="00D20300">
        <w:rPr>
          <w:rFonts w:ascii="Arial" w:eastAsia="Arial" w:hAnsi="Arial"/>
          <w:bCs/>
          <w:sz w:val="22"/>
          <w:szCs w:val="22"/>
          <w:lang w:val="es-CR"/>
        </w:rPr>
        <w:t xml:space="preserve"> con las explicaciones respectivas del origen e impacto esas variaciones</w:t>
      </w:r>
      <w:r w:rsidR="004333B1" w:rsidRPr="00F02F9D">
        <w:rPr>
          <w:rFonts w:ascii="Arial" w:eastAsia="Arial" w:hAnsi="Arial"/>
          <w:bCs/>
          <w:sz w:val="22"/>
          <w:szCs w:val="22"/>
          <w:lang w:val="es-CR"/>
        </w:rPr>
        <w:t>.</w:t>
      </w:r>
    </w:p>
    <w:p w14:paraId="30811EDA" w14:textId="77777777" w:rsidR="008464F7" w:rsidRPr="00F02F9D" w:rsidRDefault="008464F7" w:rsidP="00D20300">
      <w:pPr>
        <w:spacing w:line="237" w:lineRule="auto"/>
        <w:ind w:left="993" w:right="260" w:hanging="993"/>
        <w:jc w:val="both"/>
        <w:rPr>
          <w:rFonts w:ascii="Arial" w:eastAsia="Arial" w:hAnsi="Arial"/>
          <w:bCs/>
          <w:sz w:val="22"/>
          <w:szCs w:val="22"/>
          <w:lang w:val="es-CR"/>
        </w:rPr>
      </w:pPr>
    </w:p>
    <w:p w14:paraId="5082F015" w14:textId="2A5CD7DF" w:rsidR="00934B9B" w:rsidRDefault="004333B1" w:rsidP="00D20300">
      <w:p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1.22.0.05</w:t>
      </w:r>
      <w:r w:rsidR="004C36CC" w:rsidRPr="00F02F9D">
        <w:rPr>
          <w:rFonts w:ascii="Arial" w:eastAsia="Arial" w:hAnsi="Arial"/>
          <w:bCs/>
          <w:sz w:val="22"/>
          <w:szCs w:val="22"/>
          <w:lang w:val="es-CR"/>
        </w:rPr>
        <w:tab/>
      </w:r>
      <w:r w:rsidR="00D20300">
        <w:rPr>
          <w:rFonts w:ascii="Arial" w:eastAsia="Arial" w:hAnsi="Arial"/>
          <w:bCs/>
          <w:sz w:val="22"/>
          <w:szCs w:val="22"/>
          <w:lang w:val="es-CR"/>
        </w:rPr>
        <w:t>Una cuenta por cobrar se declarará incobrable c</w:t>
      </w:r>
      <w:r w:rsidR="00F4207B" w:rsidRPr="00F02F9D">
        <w:rPr>
          <w:rFonts w:ascii="Arial" w:eastAsia="Arial" w:hAnsi="Arial"/>
          <w:bCs/>
          <w:sz w:val="22"/>
          <w:szCs w:val="22"/>
          <w:lang w:val="es-CR"/>
        </w:rPr>
        <w:t xml:space="preserve">uando se hayan agotado todas las vías administrativas y legales </w:t>
      </w:r>
      <w:r w:rsidR="00D20300">
        <w:rPr>
          <w:rFonts w:ascii="Arial" w:eastAsia="Arial" w:hAnsi="Arial"/>
          <w:bCs/>
          <w:sz w:val="22"/>
          <w:szCs w:val="22"/>
          <w:lang w:val="es-CR"/>
        </w:rPr>
        <w:t>procedentes que se encuentren vigentes.</w:t>
      </w:r>
      <w:r w:rsidR="00934B9B" w:rsidRPr="00F02F9D">
        <w:rPr>
          <w:rFonts w:ascii="Arial" w:eastAsia="Arial" w:hAnsi="Arial"/>
          <w:bCs/>
          <w:sz w:val="22"/>
          <w:szCs w:val="22"/>
          <w:lang w:val="es-CR"/>
        </w:rPr>
        <w:t xml:space="preserve"> En todo caso </w:t>
      </w:r>
      <w:r w:rsidR="00D20300">
        <w:rPr>
          <w:rFonts w:ascii="Arial" w:eastAsia="Arial" w:hAnsi="Arial"/>
          <w:bCs/>
          <w:sz w:val="22"/>
          <w:szCs w:val="22"/>
          <w:lang w:val="es-CR"/>
        </w:rPr>
        <w:t xml:space="preserve">el acto </w:t>
      </w:r>
      <w:r w:rsidR="00934B9B" w:rsidRPr="00F02F9D">
        <w:rPr>
          <w:rFonts w:ascii="Arial" w:eastAsia="Arial" w:hAnsi="Arial"/>
          <w:bCs/>
          <w:sz w:val="22"/>
          <w:szCs w:val="22"/>
          <w:lang w:val="es-CR"/>
        </w:rPr>
        <w:t xml:space="preserve">debe </w:t>
      </w:r>
      <w:r w:rsidR="00934B9B" w:rsidRPr="00F02F9D">
        <w:rPr>
          <w:rFonts w:ascii="Arial" w:eastAsia="Batang" w:hAnsi="Arial"/>
          <w:sz w:val="22"/>
          <w:szCs w:val="22"/>
          <w:lang w:val="es-CR" w:eastAsia="zh-CN"/>
        </w:rPr>
        <w:t>documentarse mediante la emisión de una Resolución Administrativa</w:t>
      </w:r>
      <w:r w:rsidR="00D20300">
        <w:rPr>
          <w:rFonts w:ascii="Arial" w:eastAsia="Batang" w:hAnsi="Arial"/>
          <w:sz w:val="22"/>
          <w:szCs w:val="22"/>
          <w:lang w:val="es-CR" w:eastAsia="zh-CN"/>
        </w:rPr>
        <w:t xml:space="preserve"> emitida por el máximo jerarca (Alcalde o Alcaldesa),</w:t>
      </w:r>
      <w:r w:rsidR="00934B9B" w:rsidRPr="00F02F9D">
        <w:rPr>
          <w:rFonts w:ascii="Arial" w:eastAsia="Batang" w:hAnsi="Arial"/>
          <w:sz w:val="22"/>
          <w:szCs w:val="22"/>
          <w:lang w:val="es-CR" w:eastAsia="zh-CN"/>
        </w:rPr>
        <w:t xml:space="preserve"> </w:t>
      </w:r>
      <w:r w:rsidR="00D20300">
        <w:rPr>
          <w:rFonts w:ascii="Arial" w:eastAsia="Batang" w:hAnsi="Arial"/>
          <w:sz w:val="22"/>
          <w:szCs w:val="22"/>
          <w:lang w:val="es-CR" w:eastAsia="zh-CN"/>
        </w:rPr>
        <w:t xml:space="preserve">en la cual </w:t>
      </w:r>
      <w:r w:rsidR="00934B9B" w:rsidRPr="00F02F9D">
        <w:rPr>
          <w:rFonts w:ascii="Arial" w:eastAsia="Batang" w:hAnsi="Arial"/>
          <w:sz w:val="22"/>
          <w:szCs w:val="22"/>
          <w:lang w:val="es-CR" w:eastAsia="zh-CN"/>
        </w:rPr>
        <w:t xml:space="preserve">se haga constar la motivación del acto y se </w:t>
      </w:r>
      <w:r w:rsidR="00D20300">
        <w:rPr>
          <w:rFonts w:ascii="Arial" w:eastAsia="Batang" w:hAnsi="Arial"/>
          <w:sz w:val="22"/>
          <w:szCs w:val="22"/>
          <w:lang w:val="es-CR" w:eastAsia="zh-CN"/>
        </w:rPr>
        <w:t xml:space="preserve">consigne la </w:t>
      </w:r>
      <w:r w:rsidR="00934B9B" w:rsidRPr="00F02F9D">
        <w:rPr>
          <w:rFonts w:ascii="Arial" w:eastAsia="Batang" w:hAnsi="Arial"/>
          <w:sz w:val="22"/>
          <w:szCs w:val="22"/>
          <w:lang w:val="es-CR" w:eastAsia="zh-CN"/>
        </w:rPr>
        <w:t xml:space="preserve">referencia a la documentación o pruebas en que </w:t>
      </w:r>
      <w:r w:rsidR="00D20300">
        <w:rPr>
          <w:rFonts w:ascii="Arial" w:eastAsia="Batang" w:hAnsi="Arial"/>
          <w:sz w:val="22"/>
          <w:szCs w:val="22"/>
          <w:lang w:val="es-CR" w:eastAsia="zh-CN"/>
        </w:rPr>
        <w:t>la</w:t>
      </w:r>
      <w:r w:rsidR="00934B9B" w:rsidRPr="00F02F9D">
        <w:rPr>
          <w:rFonts w:ascii="Arial" w:eastAsia="Batang" w:hAnsi="Arial"/>
          <w:sz w:val="22"/>
          <w:szCs w:val="22"/>
          <w:lang w:val="es-CR" w:eastAsia="zh-CN"/>
        </w:rPr>
        <w:t xml:space="preserve"> sustenta.</w:t>
      </w:r>
    </w:p>
    <w:p w14:paraId="44D9946F" w14:textId="77777777" w:rsidR="008464F7" w:rsidRPr="00F02F9D" w:rsidRDefault="008464F7" w:rsidP="00D20300">
      <w:pPr>
        <w:spacing w:line="237" w:lineRule="auto"/>
        <w:ind w:left="993" w:right="260" w:hanging="993"/>
        <w:jc w:val="both"/>
        <w:rPr>
          <w:rFonts w:ascii="Arial" w:eastAsia="Arial" w:hAnsi="Arial"/>
          <w:bCs/>
          <w:sz w:val="22"/>
          <w:szCs w:val="22"/>
          <w:lang w:val="es-CR"/>
        </w:rPr>
      </w:pPr>
    </w:p>
    <w:p w14:paraId="3759D080" w14:textId="60A3E164" w:rsidR="004333B1" w:rsidRDefault="00F4207B" w:rsidP="00D20300">
      <w:p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1.22.0.05</w:t>
      </w:r>
      <w:r w:rsidRPr="00F02F9D">
        <w:rPr>
          <w:rFonts w:ascii="Arial" w:eastAsia="Arial" w:hAnsi="Arial"/>
          <w:bCs/>
          <w:sz w:val="22"/>
          <w:szCs w:val="22"/>
          <w:lang w:val="es-CR"/>
        </w:rPr>
        <w:tab/>
      </w:r>
      <w:r w:rsidR="004333B1" w:rsidRPr="00F02F9D">
        <w:rPr>
          <w:rFonts w:ascii="Arial" w:eastAsia="Arial" w:hAnsi="Arial"/>
          <w:bCs/>
          <w:sz w:val="22"/>
          <w:szCs w:val="22"/>
          <w:lang w:val="es-CR"/>
        </w:rPr>
        <w:t xml:space="preserve">Ninguna cuenta por cobrar </w:t>
      </w:r>
      <w:r w:rsidR="004C36CC" w:rsidRPr="00F02F9D">
        <w:rPr>
          <w:rFonts w:ascii="Arial" w:eastAsia="Arial" w:hAnsi="Arial"/>
          <w:bCs/>
          <w:sz w:val="22"/>
          <w:szCs w:val="22"/>
          <w:lang w:val="es-CR"/>
        </w:rPr>
        <w:t xml:space="preserve">sobre la que exista </w:t>
      </w:r>
      <w:r w:rsidR="004C36CC" w:rsidRPr="00F02F9D">
        <w:rPr>
          <w:rFonts w:ascii="Arial" w:eastAsia="Batang" w:hAnsi="Arial"/>
          <w:sz w:val="22"/>
          <w:szCs w:val="22"/>
          <w:lang w:val="es-CR" w:eastAsia="zh-CN"/>
        </w:rPr>
        <w:t xml:space="preserve">declaratoria de incobrabilidad </w:t>
      </w:r>
      <w:r w:rsidR="004C36CC" w:rsidRPr="00F02F9D">
        <w:rPr>
          <w:rFonts w:ascii="Arial" w:eastAsia="Arial" w:hAnsi="Arial"/>
          <w:bCs/>
          <w:sz w:val="22"/>
          <w:szCs w:val="22"/>
          <w:lang w:val="es-CR"/>
        </w:rPr>
        <w:t>deberá aparecer en el ESF</w:t>
      </w:r>
      <w:r w:rsidR="00D20300">
        <w:rPr>
          <w:rFonts w:ascii="Arial" w:eastAsia="Arial" w:hAnsi="Arial"/>
          <w:bCs/>
          <w:sz w:val="22"/>
          <w:szCs w:val="22"/>
          <w:lang w:val="es-CR"/>
        </w:rPr>
        <w:t>,</w:t>
      </w:r>
      <w:r w:rsidR="004C36CC" w:rsidRPr="00F02F9D">
        <w:rPr>
          <w:rFonts w:ascii="Arial" w:eastAsia="Arial" w:hAnsi="Arial"/>
          <w:bCs/>
          <w:sz w:val="22"/>
          <w:szCs w:val="22"/>
          <w:lang w:val="es-CR"/>
        </w:rPr>
        <w:t xml:space="preserve"> por lo que deberá reconocerse una pérdida por deterioro</w:t>
      </w:r>
      <w:r w:rsidR="00D20300">
        <w:rPr>
          <w:rFonts w:ascii="Arial" w:eastAsia="Arial" w:hAnsi="Arial"/>
          <w:bCs/>
          <w:sz w:val="22"/>
          <w:szCs w:val="22"/>
          <w:lang w:val="es-CR"/>
        </w:rPr>
        <w:t xml:space="preserve"> en los resultados del periodo en que se hace la declaración</w:t>
      </w:r>
      <w:r w:rsidR="004C36CC" w:rsidRPr="00F02F9D">
        <w:rPr>
          <w:rFonts w:ascii="Arial" w:eastAsia="Arial" w:hAnsi="Arial"/>
          <w:bCs/>
          <w:sz w:val="22"/>
          <w:szCs w:val="22"/>
          <w:lang w:val="es-CR"/>
        </w:rPr>
        <w:t>.</w:t>
      </w:r>
    </w:p>
    <w:p w14:paraId="6CC7D810" w14:textId="77777777" w:rsidR="00884C4D" w:rsidRDefault="00884C4D" w:rsidP="00D20300">
      <w:pPr>
        <w:spacing w:line="237" w:lineRule="auto"/>
        <w:ind w:left="993" w:right="260" w:hanging="993"/>
        <w:jc w:val="both"/>
        <w:rPr>
          <w:rFonts w:ascii="Arial" w:eastAsia="Arial" w:hAnsi="Arial"/>
          <w:bCs/>
          <w:sz w:val="22"/>
          <w:szCs w:val="22"/>
          <w:lang w:val="es-CR"/>
        </w:rPr>
      </w:pPr>
    </w:p>
    <w:p w14:paraId="5435395A" w14:textId="377F9107" w:rsidR="00884C4D" w:rsidRPr="00F02F9D" w:rsidRDefault="00884C4D" w:rsidP="00D20300">
      <w:pPr>
        <w:spacing w:line="237" w:lineRule="auto"/>
        <w:ind w:left="993" w:right="260" w:hanging="993"/>
        <w:jc w:val="both"/>
        <w:rPr>
          <w:rFonts w:ascii="Arial" w:eastAsia="Arial" w:hAnsi="Arial"/>
          <w:bCs/>
          <w:sz w:val="22"/>
          <w:szCs w:val="22"/>
          <w:lang w:val="es-CR"/>
        </w:rPr>
      </w:pPr>
      <w:r>
        <w:rPr>
          <w:rFonts w:ascii="Arial" w:eastAsia="Arial" w:hAnsi="Arial"/>
          <w:bCs/>
          <w:sz w:val="22"/>
          <w:szCs w:val="22"/>
          <w:lang w:val="es-CR"/>
        </w:rPr>
        <w:lastRenderedPageBreak/>
        <w:t>1.22.0.06</w:t>
      </w:r>
      <w:r>
        <w:rPr>
          <w:rFonts w:ascii="Arial" w:eastAsia="Arial" w:hAnsi="Arial"/>
          <w:bCs/>
          <w:sz w:val="22"/>
          <w:szCs w:val="22"/>
          <w:lang w:val="es-CR"/>
        </w:rPr>
        <w:tab/>
        <w:t>En caso de recuperar una cuenta por cobrar declarada anteriormente como incobrable, se procederá a dar apertura nuevamente la cuenta eliminada y posteriormente se procederá a la cancelación de la misma.</w:t>
      </w:r>
    </w:p>
    <w:p w14:paraId="30B6F585" w14:textId="77777777" w:rsidR="004333B1" w:rsidRDefault="004333B1" w:rsidP="003C2E37">
      <w:pPr>
        <w:spacing w:line="237" w:lineRule="auto"/>
        <w:ind w:left="1134" w:right="260" w:hanging="1134"/>
        <w:jc w:val="both"/>
        <w:rPr>
          <w:rFonts w:ascii="Arial" w:eastAsia="Arial" w:hAnsi="Arial"/>
          <w:bCs/>
          <w:sz w:val="22"/>
          <w:szCs w:val="22"/>
          <w:lang w:val="es-CR"/>
        </w:rPr>
      </w:pPr>
    </w:p>
    <w:p w14:paraId="6ED84FE7" w14:textId="77777777" w:rsidR="00884C4D" w:rsidRDefault="00884C4D" w:rsidP="003C2E37">
      <w:pPr>
        <w:spacing w:line="237" w:lineRule="auto"/>
        <w:ind w:left="1134" w:right="260" w:hanging="1134"/>
        <w:jc w:val="both"/>
        <w:rPr>
          <w:rFonts w:ascii="Arial" w:eastAsia="Arial" w:hAnsi="Arial"/>
          <w:bCs/>
          <w:sz w:val="22"/>
          <w:szCs w:val="22"/>
          <w:lang w:val="es-CR"/>
        </w:rPr>
      </w:pPr>
    </w:p>
    <w:p w14:paraId="442F6364" w14:textId="2A2097F1" w:rsidR="007377D0" w:rsidRPr="00C250A0" w:rsidRDefault="00C250A0" w:rsidP="00C250A0">
      <w:pPr>
        <w:pStyle w:val="Ttulo4"/>
        <w:rPr>
          <w:rFonts w:ascii="Arial" w:eastAsia="Arial" w:hAnsi="Arial" w:cs="Arial"/>
          <w:b/>
          <w:bCs/>
          <w:sz w:val="22"/>
          <w:szCs w:val="22"/>
        </w:rPr>
      </w:pPr>
      <w:r w:rsidRPr="00C250A0">
        <w:rPr>
          <w:rFonts w:ascii="Arial" w:eastAsia="Arial" w:hAnsi="Arial" w:cs="Arial"/>
          <w:b/>
          <w:bCs/>
          <w:sz w:val="22"/>
          <w:szCs w:val="22"/>
        </w:rPr>
        <w:t>A</w:t>
      </w:r>
      <w:r w:rsidR="00CE5B44">
        <w:rPr>
          <w:rFonts w:ascii="Arial" w:eastAsia="Arial" w:hAnsi="Arial" w:cs="Arial"/>
          <w:b/>
          <w:bCs/>
          <w:sz w:val="22"/>
          <w:szCs w:val="22"/>
        </w:rPr>
        <w:t>ctivos</w:t>
      </w:r>
      <w:r w:rsidRPr="00C250A0">
        <w:rPr>
          <w:rFonts w:ascii="Arial" w:eastAsia="Arial" w:hAnsi="Arial" w:cs="Arial"/>
          <w:b/>
          <w:bCs/>
          <w:sz w:val="22"/>
          <w:szCs w:val="22"/>
        </w:rPr>
        <w:t xml:space="preserve"> </w:t>
      </w:r>
      <w:r w:rsidR="00CE5B44">
        <w:rPr>
          <w:rFonts w:ascii="Arial" w:eastAsia="Arial" w:hAnsi="Arial" w:cs="Arial"/>
          <w:b/>
          <w:bCs/>
          <w:sz w:val="22"/>
          <w:szCs w:val="22"/>
        </w:rPr>
        <w:t>no</w:t>
      </w:r>
      <w:r w:rsidRPr="00C250A0">
        <w:rPr>
          <w:rFonts w:ascii="Arial" w:eastAsia="Arial" w:hAnsi="Arial" w:cs="Arial"/>
          <w:b/>
          <w:bCs/>
          <w:sz w:val="22"/>
          <w:szCs w:val="22"/>
        </w:rPr>
        <w:t xml:space="preserve"> F</w:t>
      </w:r>
      <w:r w:rsidR="00CE5B44">
        <w:rPr>
          <w:rFonts w:ascii="Arial" w:eastAsia="Arial" w:hAnsi="Arial" w:cs="Arial"/>
          <w:b/>
          <w:bCs/>
          <w:sz w:val="22"/>
          <w:szCs w:val="22"/>
        </w:rPr>
        <w:t>inancieros</w:t>
      </w:r>
    </w:p>
    <w:p w14:paraId="6904C7EC" w14:textId="77777777" w:rsidR="007377D0" w:rsidRPr="00884C4D" w:rsidRDefault="007377D0">
      <w:pPr>
        <w:spacing w:line="240" w:lineRule="exact"/>
        <w:rPr>
          <w:rFonts w:ascii="Arial" w:eastAsia="Times New Roman" w:hAnsi="Arial"/>
          <w:sz w:val="22"/>
          <w:szCs w:val="22"/>
          <w:lang w:val="es-CR"/>
        </w:rPr>
      </w:pPr>
    </w:p>
    <w:p w14:paraId="77768558" w14:textId="704D5839" w:rsidR="007377D0" w:rsidRPr="00BD7E4A" w:rsidRDefault="008A4688" w:rsidP="00BD7E4A">
      <w:pPr>
        <w:pStyle w:val="Ttulo2"/>
        <w:ind w:left="284"/>
        <w:rPr>
          <w:rFonts w:ascii="Arial" w:eastAsia="Arial" w:hAnsi="Arial" w:cs="Arial"/>
          <w:b/>
          <w:bCs/>
          <w:sz w:val="20"/>
          <w:szCs w:val="20"/>
          <w:lang w:val="es-CR"/>
        </w:rPr>
      </w:pPr>
      <w:bookmarkStart w:id="30" w:name="_Toc172726204"/>
      <w:r w:rsidRPr="00BD7E4A">
        <w:rPr>
          <w:rFonts w:ascii="Arial" w:eastAsia="Arial" w:hAnsi="Arial" w:cs="Arial"/>
          <w:b/>
          <w:bCs/>
          <w:sz w:val="20"/>
          <w:szCs w:val="20"/>
          <w:lang w:val="es-CR"/>
        </w:rPr>
        <w:t>Inventarios</w:t>
      </w:r>
      <w:bookmarkEnd w:id="30"/>
    </w:p>
    <w:p w14:paraId="0615A76D" w14:textId="77777777" w:rsidR="00D84619" w:rsidRPr="00F02F9D" w:rsidRDefault="00D84619">
      <w:pPr>
        <w:spacing w:line="0" w:lineRule="atLeast"/>
        <w:ind w:left="380"/>
        <w:rPr>
          <w:rFonts w:ascii="Arial" w:eastAsia="Arial" w:hAnsi="Arial"/>
          <w:b/>
          <w:sz w:val="22"/>
          <w:szCs w:val="22"/>
        </w:rPr>
      </w:pPr>
    </w:p>
    <w:tbl>
      <w:tblPr>
        <w:tblW w:w="9072" w:type="dxa"/>
        <w:tblInd w:w="-10" w:type="dxa"/>
        <w:tblLook w:val="04A0" w:firstRow="1" w:lastRow="0" w:firstColumn="1" w:lastColumn="0" w:noHBand="0" w:noVBand="1"/>
      </w:tblPr>
      <w:tblGrid>
        <w:gridCol w:w="565"/>
        <w:gridCol w:w="711"/>
        <w:gridCol w:w="425"/>
        <w:gridCol w:w="3402"/>
        <w:gridCol w:w="2145"/>
        <w:gridCol w:w="1824"/>
      </w:tblGrid>
      <w:tr w:rsidR="00F02F9D" w:rsidRPr="00216D66" w14:paraId="6A434B32" w14:textId="77777777" w:rsidTr="00804D82">
        <w:trPr>
          <w:trHeight w:val="320"/>
        </w:trPr>
        <w:tc>
          <w:tcPr>
            <w:tcW w:w="170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90EB93B" w14:textId="77777777" w:rsidR="00D84619" w:rsidRPr="00216D66" w:rsidRDefault="00D84619" w:rsidP="00D84619">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3402" w:type="dxa"/>
            <w:vMerge w:val="restart"/>
            <w:tcBorders>
              <w:top w:val="single" w:sz="8" w:space="0" w:color="auto"/>
              <w:left w:val="single" w:sz="8" w:space="0" w:color="auto"/>
              <w:bottom w:val="nil"/>
              <w:right w:val="single" w:sz="8" w:space="0" w:color="auto"/>
            </w:tcBorders>
            <w:shd w:val="clear" w:color="000000" w:fill="203764"/>
            <w:vAlign w:val="center"/>
            <w:hideMark/>
          </w:tcPr>
          <w:p w14:paraId="74E50D15" w14:textId="77777777" w:rsidR="00D84619" w:rsidRPr="00216D66" w:rsidRDefault="00D84619" w:rsidP="00D84619">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3969" w:type="dxa"/>
            <w:gridSpan w:val="2"/>
            <w:tcBorders>
              <w:top w:val="single" w:sz="8" w:space="0" w:color="auto"/>
              <w:left w:val="nil"/>
              <w:bottom w:val="single" w:sz="8" w:space="0" w:color="auto"/>
              <w:right w:val="single" w:sz="8" w:space="0" w:color="000000"/>
            </w:tcBorders>
            <w:shd w:val="clear" w:color="000000" w:fill="203764"/>
            <w:vAlign w:val="center"/>
            <w:hideMark/>
          </w:tcPr>
          <w:p w14:paraId="1233DA1D" w14:textId="77777777" w:rsidR="00D84619" w:rsidRPr="00216D66" w:rsidRDefault="00D84619" w:rsidP="00D84619">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444CC0" w:rsidRPr="0091631A" w14:paraId="4E7E9164" w14:textId="77777777" w:rsidTr="00804D82">
        <w:trPr>
          <w:trHeight w:val="320"/>
        </w:trPr>
        <w:tc>
          <w:tcPr>
            <w:tcW w:w="1701" w:type="dxa"/>
            <w:gridSpan w:val="3"/>
            <w:vMerge/>
            <w:tcBorders>
              <w:top w:val="single" w:sz="8" w:space="0" w:color="auto"/>
              <w:left w:val="single" w:sz="8" w:space="0" w:color="auto"/>
              <w:bottom w:val="nil"/>
              <w:right w:val="single" w:sz="8" w:space="0" w:color="000000"/>
            </w:tcBorders>
            <w:vAlign w:val="center"/>
            <w:hideMark/>
          </w:tcPr>
          <w:p w14:paraId="32A8B400" w14:textId="77777777" w:rsidR="00D84619" w:rsidRPr="00216D66" w:rsidRDefault="00D84619" w:rsidP="00D84619">
            <w:pPr>
              <w:rPr>
                <w:rFonts w:ascii="Arial Narrow" w:eastAsia="Times New Roman" w:hAnsi="Arial Narrow"/>
                <w:b/>
                <w:bCs/>
                <w:color w:val="FFFFFF"/>
                <w:sz w:val="22"/>
                <w:szCs w:val="22"/>
              </w:rPr>
            </w:pPr>
          </w:p>
        </w:tc>
        <w:tc>
          <w:tcPr>
            <w:tcW w:w="3402" w:type="dxa"/>
            <w:vMerge/>
            <w:tcBorders>
              <w:top w:val="single" w:sz="8" w:space="0" w:color="auto"/>
              <w:left w:val="single" w:sz="8" w:space="0" w:color="auto"/>
              <w:bottom w:val="nil"/>
              <w:right w:val="single" w:sz="8" w:space="0" w:color="auto"/>
            </w:tcBorders>
            <w:vAlign w:val="center"/>
            <w:hideMark/>
          </w:tcPr>
          <w:p w14:paraId="0D0E40FD" w14:textId="77777777" w:rsidR="00D84619" w:rsidRPr="00216D66" w:rsidRDefault="00D84619" w:rsidP="00D84619">
            <w:pPr>
              <w:rPr>
                <w:rFonts w:ascii="Arial Narrow" w:eastAsia="Times New Roman" w:hAnsi="Arial Narrow"/>
                <w:b/>
                <w:bCs/>
                <w:color w:val="FFFFFF"/>
                <w:sz w:val="22"/>
                <w:szCs w:val="22"/>
              </w:rPr>
            </w:pPr>
          </w:p>
        </w:tc>
        <w:tc>
          <w:tcPr>
            <w:tcW w:w="2145" w:type="dxa"/>
            <w:tcBorders>
              <w:top w:val="nil"/>
              <w:left w:val="nil"/>
              <w:bottom w:val="nil"/>
              <w:right w:val="single" w:sz="8" w:space="0" w:color="auto"/>
            </w:tcBorders>
            <w:shd w:val="clear" w:color="000000" w:fill="203764"/>
            <w:vAlign w:val="center"/>
            <w:hideMark/>
          </w:tcPr>
          <w:p w14:paraId="76DFED58" w14:textId="77777777" w:rsidR="00D84619" w:rsidRPr="00216D66" w:rsidRDefault="00D84619" w:rsidP="00D84619">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1824" w:type="dxa"/>
            <w:tcBorders>
              <w:top w:val="nil"/>
              <w:left w:val="nil"/>
              <w:bottom w:val="nil"/>
              <w:right w:val="single" w:sz="8" w:space="0" w:color="auto"/>
            </w:tcBorders>
            <w:shd w:val="clear" w:color="000000" w:fill="203764"/>
            <w:vAlign w:val="center"/>
            <w:hideMark/>
          </w:tcPr>
          <w:p w14:paraId="07A13518" w14:textId="400EB320" w:rsidR="00D84619" w:rsidRPr="0091631A" w:rsidRDefault="0091631A" w:rsidP="00D846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D84619" w:rsidRPr="00216D66" w14:paraId="5E521B34" w14:textId="77777777" w:rsidTr="00804D82">
        <w:trPr>
          <w:trHeight w:val="320"/>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9C8197" w14:textId="77777777" w:rsidR="00D84619" w:rsidRPr="00216D66" w:rsidRDefault="00D84619" w:rsidP="00D846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711" w:type="dxa"/>
            <w:tcBorders>
              <w:top w:val="single" w:sz="8" w:space="0" w:color="auto"/>
              <w:left w:val="nil"/>
              <w:bottom w:val="single" w:sz="8" w:space="0" w:color="auto"/>
              <w:right w:val="single" w:sz="8" w:space="0" w:color="auto"/>
            </w:tcBorders>
            <w:shd w:val="clear" w:color="auto" w:fill="auto"/>
            <w:noWrap/>
            <w:vAlign w:val="center"/>
            <w:hideMark/>
          </w:tcPr>
          <w:p w14:paraId="57247D02" w14:textId="77777777" w:rsidR="00D84619" w:rsidRPr="00216D66" w:rsidRDefault="00D84619" w:rsidP="00D846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72.</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2DDC98EF" w14:textId="77777777" w:rsidR="00D84619" w:rsidRPr="00216D66" w:rsidRDefault="00D84619" w:rsidP="00D846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02E3CF30" w14:textId="77777777" w:rsidR="00D84619" w:rsidRPr="00216D66" w:rsidRDefault="00D84619" w:rsidP="00D84619">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Catálogo</w:t>
            </w:r>
          </w:p>
        </w:tc>
        <w:tc>
          <w:tcPr>
            <w:tcW w:w="2145" w:type="dxa"/>
            <w:tcBorders>
              <w:top w:val="single" w:sz="8" w:space="0" w:color="auto"/>
              <w:left w:val="nil"/>
              <w:bottom w:val="single" w:sz="8" w:space="0" w:color="auto"/>
              <w:right w:val="single" w:sz="8" w:space="0" w:color="auto"/>
            </w:tcBorders>
            <w:shd w:val="clear" w:color="auto" w:fill="auto"/>
            <w:vAlign w:val="center"/>
            <w:hideMark/>
          </w:tcPr>
          <w:p w14:paraId="7890070D" w14:textId="4EDD1E0F" w:rsidR="00D84619" w:rsidRPr="00216D66" w:rsidRDefault="00D84619" w:rsidP="00D84619">
            <w:pPr>
              <w:jc w:val="center"/>
              <w:rPr>
                <w:rFonts w:ascii="Arial Narrow" w:eastAsia="Times New Roman" w:hAnsi="Arial Narrow"/>
                <w:b/>
                <w:bCs/>
                <w:color w:val="000000"/>
                <w:sz w:val="22"/>
                <w:szCs w:val="22"/>
              </w:rPr>
            </w:pPr>
          </w:p>
        </w:tc>
        <w:tc>
          <w:tcPr>
            <w:tcW w:w="1824" w:type="dxa"/>
            <w:tcBorders>
              <w:top w:val="single" w:sz="8" w:space="0" w:color="auto"/>
              <w:left w:val="nil"/>
              <w:bottom w:val="single" w:sz="8" w:space="0" w:color="auto"/>
              <w:right w:val="single" w:sz="8" w:space="0" w:color="auto"/>
            </w:tcBorders>
            <w:shd w:val="clear" w:color="auto" w:fill="auto"/>
            <w:vAlign w:val="center"/>
            <w:hideMark/>
          </w:tcPr>
          <w:p w14:paraId="486B7AC8" w14:textId="38D61986" w:rsidR="00D84619" w:rsidRPr="00216D66" w:rsidRDefault="000236D5" w:rsidP="000236D5">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DGCN</w:t>
            </w:r>
          </w:p>
        </w:tc>
      </w:tr>
      <w:tr w:rsidR="00D84619" w:rsidRPr="00216D66" w14:paraId="2AD89A6F" w14:textId="77777777" w:rsidTr="00804D82">
        <w:trPr>
          <w:trHeight w:val="320"/>
        </w:trPr>
        <w:tc>
          <w:tcPr>
            <w:tcW w:w="565" w:type="dxa"/>
            <w:tcBorders>
              <w:top w:val="nil"/>
              <w:left w:val="single" w:sz="8" w:space="0" w:color="auto"/>
              <w:bottom w:val="single" w:sz="8" w:space="0" w:color="auto"/>
              <w:right w:val="single" w:sz="8" w:space="0" w:color="auto"/>
            </w:tcBorders>
            <w:shd w:val="clear" w:color="auto" w:fill="auto"/>
            <w:vAlign w:val="center"/>
            <w:hideMark/>
          </w:tcPr>
          <w:p w14:paraId="0EEA7DD9" w14:textId="77777777" w:rsidR="00D84619" w:rsidRPr="00216D66" w:rsidRDefault="00D84619" w:rsidP="00D846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711" w:type="dxa"/>
            <w:tcBorders>
              <w:top w:val="nil"/>
              <w:left w:val="nil"/>
              <w:bottom w:val="single" w:sz="8" w:space="0" w:color="auto"/>
              <w:right w:val="single" w:sz="8" w:space="0" w:color="auto"/>
            </w:tcBorders>
            <w:shd w:val="clear" w:color="auto" w:fill="auto"/>
            <w:vAlign w:val="center"/>
            <w:hideMark/>
          </w:tcPr>
          <w:p w14:paraId="54EAAD25" w14:textId="77777777" w:rsidR="00D84619" w:rsidRPr="00216D66" w:rsidRDefault="00D84619" w:rsidP="00D846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72</w:t>
            </w:r>
          </w:p>
        </w:tc>
        <w:tc>
          <w:tcPr>
            <w:tcW w:w="425" w:type="dxa"/>
            <w:tcBorders>
              <w:top w:val="nil"/>
              <w:left w:val="nil"/>
              <w:bottom w:val="single" w:sz="8" w:space="0" w:color="auto"/>
              <w:right w:val="single" w:sz="8" w:space="0" w:color="auto"/>
            </w:tcBorders>
            <w:shd w:val="clear" w:color="auto" w:fill="auto"/>
            <w:vAlign w:val="center"/>
            <w:hideMark/>
          </w:tcPr>
          <w:p w14:paraId="4A0150F0" w14:textId="77777777" w:rsidR="00D84619" w:rsidRPr="00216D66" w:rsidRDefault="00D84619" w:rsidP="00D846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3402" w:type="dxa"/>
            <w:tcBorders>
              <w:top w:val="nil"/>
              <w:left w:val="nil"/>
              <w:bottom w:val="single" w:sz="8" w:space="0" w:color="auto"/>
              <w:right w:val="single" w:sz="8" w:space="0" w:color="auto"/>
            </w:tcBorders>
            <w:shd w:val="clear" w:color="auto" w:fill="auto"/>
            <w:vAlign w:val="center"/>
            <w:hideMark/>
          </w:tcPr>
          <w:p w14:paraId="2F8AE1A1" w14:textId="77777777" w:rsidR="00D84619" w:rsidRPr="00216D66" w:rsidRDefault="00D84619" w:rsidP="00D84619">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Integración</w:t>
            </w:r>
          </w:p>
        </w:tc>
        <w:tc>
          <w:tcPr>
            <w:tcW w:w="2145" w:type="dxa"/>
            <w:tcBorders>
              <w:top w:val="nil"/>
              <w:left w:val="nil"/>
              <w:bottom w:val="single" w:sz="8" w:space="0" w:color="auto"/>
              <w:right w:val="single" w:sz="8" w:space="0" w:color="auto"/>
            </w:tcBorders>
            <w:shd w:val="clear" w:color="auto" w:fill="auto"/>
            <w:vAlign w:val="center"/>
            <w:hideMark/>
          </w:tcPr>
          <w:p w14:paraId="7DFE9A2D" w14:textId="77777777" w:rsidR="00D84619" w:rsidRPr="00216D66" w:rsidRDefault="00D84619" w:rsidP="00D846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c>
          <w:tcPr>
            <w:tcW w:w="1824" w:type="dxa"/>
            <w:tcBorders>
              <w:top w:val="nil"/>
              <w:left w:val="nil"/>
              <w:bottom w:val="single" w:sz="8" w:space="0" w:color="auto"/>
              <w:right w:val="single" w:sz="8" w:space="0" w:color="auto"/>
            </w:tcBorders>
            <w:shd w:val="clear" w:color="auto" w:fill="auto"/>
            <w:vAlign w:val="center"/>
            <w:hideMark/>
          </w:tcPr>
          <w:p w14:paraId="2B6DB57F" w14:textId="77777777" w:rsidR="00D84619" w:rsidRPr="00216D66" w:rsidRDefault="00D84619" w:rsidP="00D846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DGCN</w:t>
            </w:r>
          </w:p>
        </w:tc>
      </w:tr>
    </w:tbl>
    <w:p w14:paraId="61803A8B" w14:textId="77777777" w:rsidR="007377D0" w:rsidRDefault="007377D0">
      <w:pPr>
        <w:spacing w:line="300" w:lineRule="exact"/>
        <w:rPr>
          <w:rFonts w:ascii="Arial" w:eastAsia="Times New Roman" w:hAnsi="Arial"/>
          <w:sz w:val="22"/>
          <w:szCs w:val="22"/>
        </w:rPr>
      </w:pPr>
    </w:p>
    <w:p w14:paraId="2D1475BF" w14:textId="77777777" w:rsidR="00F47532" w:rsidRDefault="00F47532">
      <w:pPr>
        <w:spacing w:line="300" w:lineRule="exact"/>
        <w:rPr>
          <w:rFonts w:ascii="Arial" w:eastAsia="Times New Roman" w:hAnsi="Arial"/>
          <w:sz w:val="22"/>
          <w:szCs w:val="22"/>
        </w:rPr>
      </w:pPr>
    </w:p>
    <w:p w14:paraId="66CFA087" w14:textId="77777777" w:rsidR="00F47532" w:rsidRDefault="00F47532">
      <w:pPr>
        <w:spacing w:line="300" w:lineRule="exact"/>
        <w:rPr>
          <w:rFonts w:ascii="Arial" w:eastAsia="Times New Roman" w:hAnsi="Arial"/>
          <w:sz w:val="22"/>
          <w:szCs w:val="22"/>
        </w:rPr>
      </w:pPr>
    </w:p>
    <w:p w14:paraId="44CD8B8E" w14:textId="77777777" w:rsidR="00F47532" w:rsidRDefault="00F47532">
      <w:pPr>
        <w:spacing w:line="300" w:lineRule="exact"/>
        <w:rPr>
          <w:rFonts w:ascii="Arial" w:eastAsia="Times New Roman" w:hAnsi="Arial"/>
          <w:sz w:val="22"/>
          <w:szCs w:val="22"/>
        </w:rPr>
      </w:pPr>
    </w:p>
    <w:p w14:paraId="6F6AF42E" w14:textId="75266DDC" w:rsidR="00FA2715" w:rsidRDefault="00FA2715">
      <w:pPr>
        <w:spacing w:line="300" w:lineRule="exact"/>
        <w:rPr>
          <w:rFonts w:ascii="Arial" w:eastAsia="Arial" w:hAnsi="Arial"/>
          <w:b/>
          <w:sz w:val="22"/>
          <w:szCs w:val="22"/>
        </w:rPr>
      </w:pPr>
      <w:r w:rsidRPr="00F02F9D">
        <w:rPr>
          <w:rFonts w:ascii="Arial" w:eastAsia="Arial" w:hAnsi="Arial"/>
          <w:b/>
          <w:sz w:val="22"/>
          <w:szCs w:val="22"/>
        </w:rPr>
        <w:t>Políticas Contables</w:t>
      </w:r>
    </w:p>
    <w:p w14:paraId="7B7B3BE2" w14:textId="77777777" w:rsidR="00FA2715" w:rsidRDefault="00FA2715">
      <w:pPr>
        <w:spacing w:line="300" w:lineRule="exact"/>
        <w:rPr>
          <w:rFonts w:ascii="Arial" w:eastAsia="Times New Roman" w:hAnsi="Arial"/>
          <w:sz w:val="22"/>
          <w:szCs w:val="22"/>
        </w:rPr>
      </w:pPr>
    </w:p>
    <w:p w14:paraId="0F52CA3B" w14:textId="1C886E6E" w:rsidR="007377D0" w:rsidRPr="00804D82" w:rsidRDefault="00533F1E" w:rsidP="00DB0DDE">
      <w:pPr>
        <w:spacing w:line="237" w:lineRule="auto"/>
        <w:ind w:left="993" w:right="260" w:hanging="993"/>
        <w:jc w:val="both"/>
        <w:rPr>
          <w:rFonts w:ascii="Arial" w:eastAsia="Arial" w:hAnsi="Arial"/>
          <w:bCs/>
          <w:sz w:val="22"/>
          <w:szCs w:val="22"/>
          <w:lang w:val="es-CR"/>
        </w:rPr>
      </w:pPr>
      <w:r w:rsidRPr="00804D82">
        <w:rPr>
          <w:rFonts w:ascii="Arial" w:eastAsia="Arial" w:hAnsi="Arial"/>
          <w:bCs/>
          <w:sz w:val="22"/>
          <w:szCs w:val="22"/>
          <w:lang w:val="es-CR"/>
        </w:rPr>
        <w:t>1.72.0.01</w:t>
      </w:r>
      <w:r w:rsidR="00804D82">
        <w:rPr>
          <w:rFonts w:ascii="Arial" w:eastAsia="Arial" w:hAnsi="Arial"/>
          <w:bCs/>
          <w:sz w:val="22"/>
          <w:szCs w:val="22"/>
          <w:lang w:val="es-CR"/>
        </w:rPr>
        <w:tab/>
      </w:r>
      <w:r w:rsidRPr="00804D82">
        <w:rPr>
          <w:rFonts w:ascii="Arial" w:eastAsia="Arial" w:hAnsi="Arial"/>
          <w:bCs/>
          <w:sz w:val="22"/>
          <w:szCs w:val="22"/>
          <w:lang w:val="es-CR"/>
        </w:rPr>
        <w:t>L</w:t>
      </w:r>
      <w:r w:rsidR="002E3D70" w:rsidRPr="00804D82">
        <w:rPr>
          <w:rFonts w:ascii="Arial" w:eastAsia="Arial" w:hAnsi="Arial"/>
          <w:bCs/>
          <w:sz w:val="22"/>
          <w:szCs w:val="22"/>
          <w:lang w:val="es-CR"/>
        </w:rPr>
        <w:t xml:space="preserve">a </w:t>
      </w:r>
      <w:r w:rsidR="000F29DC">
        <w:rPr>
          <w:rFonts w:ascii="Arial" w:eastAsia="Arial" w:hAnsi="Arial"/>
          <w:bCs/>
          <w:sz w:val="22"/>
          <w:szCs w:val="22"/>
          <w:lang w:val="es-CR"/>
        </w:rPr>
        <w:t>MBA</w:t>
      </w:r>
      <w:r w:rsidR="008A4688" w:rsidRPr="00804D82">
        <w:rPr>
          <w:rFonts w:ascii="Arial" w:eastAsia="Arial" w:hAnsi="Arial"/>
          <w:bCs/>
          <w:sz w:val="22"/>
          <w:szCs w:val="22"/>
          <w:lang w:val="es-CR"/>
        </w:rPr>
        <w:t xml:space="preserve"> utilizará para los registros de altas, bajas y modificaciones de los bienes </w:t>
      </w:r>
      <w:r w:rsidR="00D84619" w:rsidRPr="00804D82">
        <w:rPr>
          <w:rFonts w:ascii="Arial" w:eastAsia="Arial" w:hAnsi="Arial"/>
          <w:bCs/>
          <w:sz w:val="22"/>
          <w:szCs w:val="22"/>
          <w:lang w:val="es-CR"/>
        </w:rPr>
        <w:t>de</w:t>
      </w:r>
      <w:r w:rsidR="008A4688" w:rsidRPr="00804D82">
        <w:rPr>
          <w:rFonts w:ascii="Arial" w:eastAsia="Arial" w:hAnsi="Arial"/>
          <w:bCs/>
          <w:sz w:val="22"/>
          <w:szCs w:val="22"/>
          <w:lang w:val="es-CR"/>
        </w:rPr>
        <w:t xml:space="preserve"> inventarios, el Catálogo </w:t>
      </w:r>
      <w:r w:rsidR="00444CC0" w:rsidRPr="00804D82">
        <w:rPr>
          <w:rFonts w:ascii="Arial" w:eastAsia="Arial" w:hAnsi="Arial"/>
          <w:bCs/>
          <w:sz w:val="22"/>
          <w:szCs w:val="22"/>
          <w:lang w:val="es-CR"/>
        </w:rPr>
        <w:t xml:space="preserve">de gastos por objeto del gasto y los códigos </w:t>
      </w:r>
      <w:r w:rsidR="008A4688" w:rsidRPr="00804D82">
        <w:rPr>
          <w:rFonts w:ascii="Arial" w:eastAsia="Arial" w:hAnsi="Arial"/>
          <w:bCs/>
          <w:sz w:val="22"/>
          <w:szCs w:val="22"/>
          <w:lang w:val="es-CR"/>
        </w:rPr>
        <w:t xml:space="preserve">de Bienes </w:t>
      </w:r>
      <w:r w:rsidR="00444CC0" w:rsidRPr="00804D82">
        <w:rPr>
          <w:rFonts w:ascii="Arial" w:eastAsia="Arial" w:hAnsi="Arial"/>
          <w:bCs/>
          <w:sz w:val="22"/>
          <w:szCs w:val="22"/>
          <w:lang w:val="es-CR"/>
        </w:rPr>
        <w:t xml:space="preserve">serán los </w:t>
      </w:r>
      <w:r w:rsidR="008A4688" w:rsidRPr="00804D82">
        <w:rPr>
          <w:rFonts w:ascii="Arial" w:eastAsia="Arial" w:hAnsi="Arial"/>
          <w:bCs/>
          <w:sz w:val="22"/>
          <w:szCs w:val="22"/>
          <w:lang w:val="es-CR"/>
        </w:rPr>
        <w:t>desarrollado</w:t>
      </w:r>
      <w:r w:rsidR="00444CC0" w:rsidRPr="00804D82">
        <w:rPr>
          <w:rFonts w:ascii="Arial" w:eastAsia="Arial" w:hAnsi="Arial"/>
          <w:bCs/>
          <w:sz w:val="22"/>
          <w:szCs w:val="22"/>
          <w:lang w:val="es-CR"/>
        </w:rPr>
        <w:t>s</w:t>
      </w:r>
      <w:r w:rsidR="008A4688" w:rsidRPr="00804D82">
        <w:rPr>
          <w:rFonts w:ascii="Arial" w:eastAsia="Arial" w:hAnsi="Arial"/>
          <w:bCs/>
          <w:sz w:val="22"/>
          <w:szCs w:val="22"/>
          <w:lang w:val="es-CR"/>
        </w:rPr>
        <w:t xml:space="preserve"> </w:t>
      </w:r>
      <w:r w:rsidR="00444CC0" w:rsidRPr="00804D82">
        <w:rPr>
          <w:rFonts w:ascii="Arial" w:eastAsia="Arial" w:hAnsi="Arial"/>
          <w:bCs/>
          <w:sz w:val="22"/>
          <w:szCs w:val="22"/>
          <w:lang w:val="es-CR"/>
        </w:rPr>
        <w:t xml:space="preserve">el Banco Central con base en los de </w:t>
      </w:r>
      <w:r w:rsidR="008A4688" w:rsidRPr="00804D82">
        <w:rPr>
          <w:rFonts w:ascii="Arial" w:eastAsia="Arial" w:hAnsi="Arial"/>
          <w:bCs/>
          <w:sz w:val="22"/>
          <w:szCs w:val="22"/>
          <w:lang w:val="es-CR"/>
        </w:rPr>
        <w:t>la Organización de las Naciones Unidas.</w:t>
      </w:r>
      <w:r w:rsidRPr="00804D82">
        <w:rPr>
          <w:rFonts w:ascii="Arial" w:eastAsia="Arial" w:hAnsi="Arial"/>
          <w:bCs/>
          <w:sz w:val="22"/>
          <w:szCs w:val="22"/>
          <w:lang w:val="es-CR"/>
        </w:rPr>
        <w:t xml:space="preserve"> Esto con el propósito de uniformar e integrar la información.</w:t>
      </w:r>
    </w:p>
    <w:p w14:paraId="0B498820" w14:textId="77777777" w:rsidR="007377D0" w:rsidRPr="00F02F9D" w:rsidRDefault="007377D0" w:rsidP="00DB0DDE">
      <w:pPr>
        <w:spacing w:line="285" w:lineRule="exact"/>
        <w:ind w:left="993" w:hanging="993"/>
        <w:rPr>
          <w:rFonts w:ascii="Arial" w:eastAsia="Times New Roman" w:hAnsi="Arial"/>
          <w:sz w:val="22"/>
          <w:szCs w:val="22"/>
          <w:lang w:val="es-CR"/>
        </w:rPr>
      </w:pPr>
    </w:p>
    <w:p w14:paraId="17E0A2B8" w14:textId="7E4AB13B" w:rsidR="00D84619" w:rsidRDefault="008A4688">
      <w:pPr>
        <w:pStyle w:val="Prrafodelista"/>
        <w:numPr>
          <w:ilvl w:val="3"/>
          <w:numId w:val="15"/>
        </w:num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 xml:space="preserve">En </w:t>
      </w:r>
      <w:r w:rsidR="002E3D70"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Catálogo de Bienes estará integrado con el Clasificador Presupuestario por Objeto del Gasto y con el Plan de Cuentas Contable, a través de la relación y agrupamiento de los códigos que los conforman.</w:t>
      </w:r>
    </w:p>
    <w:p w14:paraId="185A00CF" w14:textId="77777777" w:rsidR="00804D82" w:rsidRPr="00F02F9D" w:rsidRDefault="00804D82" w:rsidP="00DB0DDE">
      <w:pPr>
        <w:pStyle w:val="Prrafodelista"/>
        <w:spacing w:line="237" w:lineRule="auto"/>
        <w:ind w:left="993" w:right="260" w:hanging="993"/>
        <w:jc w:val="both"/>
        <w:rPr>
          <w:rFonts w:ascii="Arial" w:eastAsia="Arial" w:hAnsi="Arial"/>
          <w:bCs/>
          <w:sz w:val="22"/>
          <w:szCs w:val="22"/>
          <w:lang w:val="es-CR"/>
        </w:rPr>
      </w:pPr>
    </w:p>
    <w:p w14:paraId="7623FB32" w14:textId="0DF9BFD3" w:rsidR="00F05EC6" w:rsidRDefault="002E3D70">
      <w:pPr>
        <w:pStyle w:val="Prrafodelista"/>
        <w:numPr>
          <w:ilvl w:val="3"/>
          <w:numId w:val="15"/>
        </w:num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adop</w:t>
      </w:r>
      <w:r w:rsidR="00D84619" w:rsidRPr="00F02F9D">
        <w:rPr>
          <w:rFonts w:ascii="Arial" w:eastAsia="Arial" w:hAnsi="Arial"/>
          <w:bCs/>
          <w:sz w:val="22"/>
          <w:szCs w:val="22"/>
          <w:lang w:val="es-CR"/>
        </w:rPr>
        <w:t>tó</w:t>
      </w:r>
      <w:r w:rsidR="008A4688" w:rsidRPr="00F02F9D">
        <w:rPr>
          <w:rFonts w:ascii="Arial" w:eastAsia="Arial" w:hAnsi="Arial"/>
          <w:bCs/>
          <w:sz w:val="22"/>
          <w:szCs w:val="22"/>
          <w:lang w:val="es-CR"/>
        </w:rPr>
        <w:t xml:space="preserve"> el Catálogo de Bienes y Servicios desarrollado por </w:t>
      </w:r>
      <w:r w:rsidR="00F05EC6">
        <w:rPr>
          <w:rFonts w:ascii="Arial" w:eastAsia="Arial" w:hAnsi="Arial"/>
          <w:bCs/>
          <w:sz w:val="22"/>
          <w:szCs w:val="22"/>
          <w:lang w:val="es-CR"/>
        </w:rPr>
        <w:t xml:space="preserve">el Banco Central de Costa Rica denominado </w:t>
      </w:r>
      <w:r w:rsidR="00F05EC6" w:rsidRPr="00F05EC6">
        <w:rPr>
          <w:rFonts w:ascii="Arial" w:hAnsi="Arial"/>
          <w:color w:val="444444"/>
          <w:sz w:val="21"/>
          <w:szCs w:val="21"/>
          <w:shd w:val="clear" w:color="auto" w:fill="FFFFFF"/>
          <w:lang w:val="es-CR"/>
        </w:rPr>
        <w:t>CABYS</w:t>
      </w:r>
      <w:r w:rsidR="00F05EC6">
        <w:rPr>
          <w:rFonts w:ascii="Arial" w:hAnsi="Arial"/>
          <w:color w:val="444444"/>
          <w:sz w:val="21"/>
          <w:szCs w:val="21"/>
          <w:shd w:val="clear" w:color="auto" w:fill="FFFFFF"/>
          <w:lang w:val="es-CR"/>
        </w:rPr>
        <w:t xml:space="preserve">, el cual </w:t>
      </w:r>
      <w:r w:rsidR="00F05EC6" w:rsidRPr="00F05EC6">
        <w:rPr>
          <w:rFonts w:ascii="Arial" w:hAnsi="Arial"/>
          <w:color w:val="444444"/>
          <w:sz w:val="21"/>
          <w:szCs w:val="21"/>
          <w:shd w:val="clear" w:color="auto" w:fill="FFFFFF"/>
          <w:lang w:val="es-CR"/>
        </w:rPr>
        <w:t>es un catálogo que agrupa los bienes y servicios en categorías jerarquizadas y le asigna un código a cada uno</w:t>
      </w:r>
      <w:r w:rsidR="00F05EC6">
        <w:rPr>
          <w:rFonts w:ascii="Arial" w:hAnsi="Arial"/>
          <w:color w:val="444444"/>
          <w:sz w:val="21"/>
          <w:szCs w:val="21"/>
          <w:shd w:val="clear" w:color="auto" w:fill="FFFFFF"/>
          <w:lang w:val="es-CR"/>
        </w:rPr>
        <w:t>.</w:t>
      </w:r>
    </w:p>
    <w:p w14:paraId="285EED1B" w14:textId="77777777" w:rsidR="00583AD7" w:rsidRPr="00F02F9D" w:rsidRDefault="00583AD7" w:rsidP="00583AD7">
      <w:pPr>
        <w:tabs>
          <w:tab w:val="left" w:pos="601"/>
        </w:tabs>
        <w:spacing w:line="237" w:lineRule="auto"/>
        <w:ind w:right="260"/>
        <w:jc w:val="both"/>
        <w:rPr>
          <w:rFonts w:ascii="Arial" w:eastAsia="Arial" w:hAnsi="Arial"/>
          <w:b/>
          <w:sz w:val="22"/>
          <w:szCs w:val="22"/>
          <w:lang w:val="es-CR"/>
        </w:rPr>
      </w:pPr>
    </w:p>
    <w:p w14:paraId="484225F9" w14:textId="70A7BCBD" w:rsidR="00583AD7" w:rsidRPr="00F02F9D" w:rsidRDefault="00583AD7" w:rsidP="00583AD7">
      <w:pPr>
        <w:tabs>
          <w:tab w:val="left" w:pos="601"/>
        </w:tabs>
        <w:spacing w:line="237" w:lineRule="auto"/>
        <w:ind w:right="260"/>
        <w:jc w:val="both"/>
        <w:rPr>
          <w:rFonts w:ascii="Arial" w:eastAsia="Arial" w:hAnsi="Arial"/>
          <w:b/>
          <w:sz w:val="22"/>
          <w:szCs w:val="22"/>
          <w:lang w:val="es-CR"/>
        </w:rPr>
      </w:pPr>
      <w:r w:rsidRPr="00F02F9D">
        <w:rPr>
          <w:rFonts w:ascii="Arial" w:eastAsia="Arial" w:hAnsi="Arial"/>
          <w:b/>
          <w:sz w:val="22"/>
          <w:szCs w:val="22"/>
          <w:lang w:val="es-CR"/>
        </w:rPr>
        <w:t>Alcance</w:t>
      </w:r>
    </w:p>
    <w:p w14:paraId="1CBBEE0A" w14:textId="77777777" w:rsidR="00583AD7" w:rsidRPr="00F02F9D" w:rsidRDefault="00583AD7" w:rsidP="00583AD7">
      <w:pPr>
        <w:tabs>
          <w:tab w:val="left" w:pos="601"/>
        </w:tabs>
        <w:spacing w:line="237" w:lineRule="auto"/>
        <w:ind w:right="260"/>
        <w:jc w:val="both"/>
        <w:rPr>
          <w:rFonts w:ascii="Arial" w:eastAsia="Arial" w:hAnsi="Arial"/>
          <w:b/>
          <w:sz w:val="22"/>
          <w:szCs w:val="22"/>
          <w:lang w:val="es-CR"/>
        </w:rPr>
      </w:pPr>
    </w:p>
    <w:tbl>
      <w:tblPr>
        <w:tblW w:w="9072" w:type="dxa"/>
        <w:tblInd w:w="-10" w:type="dxa"/>
        <w:tblLook w:val="04A0" w:firstRow="1" w:lastRow="0" w:firstColumn="1" w:lastColumn="0" w:noHBand="0" w:noVBand="1"/>
      </w:tblPr>
      <w:tblGrid>
        <w:gridCol w:w="567"/>
        <w:gridCol w:w="567"/>
        <w:gridCol w:w="567"/>
        <w:gridCol w:w="2977"/>
        <w:gridCol w:w="2157"/>
        <w:gridCol w:w="2237"/>
      </w:tblGrid>
      <w:tr w:rsidR="00583AD7" w:rsidRPr="00216D66" w14:paraId="6C88BF3E" w14:textId="77777777" w:rsidTr="0091631A">
        <w:trPr>
          <w:trHeight w:val="320"/>
        </w:trPr>
        <w:tc>
          <w:tcPr>
            <w:tcW w:w="170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7EF16EB" w14:textId="77777777" w:rsidR="00583AD7" w:rsidRPr="00216D66" w:rsidRDefault="00583AD7" w:rsidP="00583AD7">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2977" w:type="dxa"/>
            <w:vMerge w:val="restart"/>
            <w:tcBorders>
              <w:top w:val="single" w:sz="8" w:space="0" w:color="auto"/>
              <w:left w:val="single" w:sz="8" w:space="0" w:color="auto"/>
              <w:bottom w:val="nil"/>
              <w:right w:val="single" w:sz="8" w:space="0" w:color="auto"/>
            </w:tcBorders>
            <w:shd w:val="clear" w:color="000000" w:fill="203764"/>
            <w:vAlign w:val="center"/>
            <w:hideMark/>
          </w:tcPr>
          <w:p w14:paraId="6A4EFB5A" w14:textId="77777777" w:rsidR="00583AD7" w:rsidRPr="00216D66" w:rsidRDefault="00583AD7" w:rsidP="00583AD7">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730D9E8F" w14:textId="77777777" w:rsidR="00583AD7" w:rsidRPr="00216D66" w:rsidRDefault="00583AD7" w:rsidP="00583AD7">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F02F9D" w:rsidRPr="0091631A" w14:paraId="0936263C" w14:textId="77777777" w:rsidTr="0091631A">
        <w:trPr>
          <w:trHeight w:val="320"/>
        </w:trPr>
        <w:tc>
          <w:tcPr>
            <w:tcW w:w="1701" w:type="dxa"/>
            <w:gridSpan w:val="3"/>
            <w:vMerge/>
            <w:tcBorders>
              <w:top w:val="single" w:sz="8" w:space="0" w:color="auto"/>
              <w:left w:val="single" w:sz="8" w:space="0" w:color="auto"/>
              <w:bottom w:val="nil"/>
              <w:right w:val="single" w:sz="8" w:space="0" w:color="000000"/>
            </w:tcBorders>
            <w:vAlign w:val="center"/>
            <w:hideMark/>
          </w:tcPr>
          <w:p w14:paraId="551DB1EC" w14:textId="77777777" w:rsidR="00583AD7" w:rsidRPr="00216D66" w:rsidRDefault="00583AD7" w:rsidP="00583AD7">
            <w:pPr>
              <w:rPr>
                <w:rFonts w:ascii="Arial Narrow" w:eastAsia="Times New Roman" w:hAnsi="Arial Narrow"/>
                <w:b/>
                <w:bCs/>
                <w:color w:val="FFFFFF"/>
                <w:sz w:val="22"/>
                <w:szCs w:val="22"/>
              </w:rPr>
            </w:pPr>
          </w:p>
        </w:tc>
        <w:tc>
          <w:tcPr>
            <w:tcW w:w="2977" w:type="dxa"/>
            <w:vMerge/>
            <w:tcBorders>
              <w:top w:val="single" w:sz="8" w:space="0" w:color="auto"/>
              <w:left w:val="single" w:sz="8" w:space="0" w:color="auto"/>
              <w:bottom w:val="nil"/>
              <w:right w:val="single" w:sz="8" w:space="0" w:color="auto"/>
            </w:tcBorders>
            <w:vAlign w:val="center"/>
            <w:hideMark/>
          </w:tcPr>
          <w:p w14:paraId="6F3F8313" w14:textId="77777777" w:rsidR="00583AD7" w:rsidRPr="00216D66" w:rsidRDefault="00583AD7" w:rsidP="00583AD7">
            <w:pPr>
              <w:rPr>
                <w:rFonts w:ascii="Arial Narrow" w:eastAsia="Times New Roman" w:hAnsi="Arial Narrow"/>
                <w:b/>
                <w:bCs/>
                <w:color w:val="FFFFFF"/>
                <w:sz w:val="22"/>
                <w:szCs w:val="22"/>
              </w:rPr>
            </w:pPr>
          </w:p>
        </w:tc>
        <w:tc>
          <w:tcPr>
            <w:tcW w:w="2157" w:type="dxa"/>
            <w:tcBorders>
              <w:top w:val="nil"/>
              <w:left w:val="nil"/>
              <w:bottom w:val="nil"/>
              <w:right w:val="single" w:sz="8" w:space="0" w:color="auto"/>
            </w:tcBorders>
            <w:shd w:val="clear" w:color="000000" w:fill="203764"/>
            <w:vAlign w:val="center"/>
            <w:hideMark/>
          </w:tcPr>
          <w:p w14:paraId="72944FA8" w14:textId="77777777" w:rsidR="00583AD7" w:rsidRPr="00216D66" w:rsidRDefault="00583AD7" w:rsidP="00583AD7">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2237" w:type="dxa"/>
            <w:tcBorders>
              <w:top w:val="nil"/>
              <w:left w:val="nil"/>
              <w:bottom w:val="nil"/>
              <w:right w:val="single" w:sz="8" w:space="0" w:color="auto"/>
            </w:tcBorders>
            <w:shd w:val="clear" w:color="000000" w:fill="203764"/>
            <w:vAlign w:val="center"/>
            <w:hideMark/>
          </w:tcPr>
          <w:p w14:paraId="3EC0E5A1" w14:textId="56965B5B" w:rsidR="00583AD7" w:rsidRPr="0091631A" w:rsidRDefault="0091631A" w:rsidP="00583AD7">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583AD7" w:rsidRPr="00216D66" w14:paraId="07378FE6" w14:textId="77777777" w:rsidTr="0091631A">
        <w:trPr>
          <w:trHeight w:val="437"/>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658FFA" w14:textId="77777777" w:rsidR="00583AD7" w:rsidRPr="00216D66" w:rsidRDefault="00583AD7" w:rsidP="00583AD7">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1.</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3C517543" w14:textId="77777777" w:rsidR="00583AD7" w:rsidRPr="00216D66" w:rsidRDefault="00583AD7" w:rsidP="00583AD7">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73.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C0C6688" w14:textId="77777777" w:rsidR="00583AD7" w:rsidRPr="00216D66" w:rsidRDefault="00583AD7" w:rsidP="00583AD7">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 </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14:paraId="22C6250F" w14:textId="77777777" w:rsidR="00583AD7" w:rsidRPr="00216D66" w:rsidRDefault="00583AD7" w:rsidP="00583AD7">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Bienes no incluidos</w:t>
            </w:r>
          </w:p>
        </w:tc>
        <w:tc>
          <w:tcPr>
            <w:tcW w:w="2157" w:type="dxa"/>
            <w:tcBorders>
              <w:top w:val="single" w:sz="8" w:space="0" w:color="auto"/>
              <w:left w:val="nil"/>
              <w:bottom w:val="single" w:sz="8" w:space="0" w:color="auto"/>
              <w:right w:val="single" w:sz="8" w:space="0" w:color="auto"/>
            </w:tcBorders>
            <w:shd w:val="clear" w:color="auto" w:fill="auto"/>
            <w:vAlign w:val="center"/>
            <w:hideMark/>
          </w:tcPr>
          <w:p w14:paraId="6FC0B4EB" w14:textId="77777777" w:rsidR="00216D66" w:rsidRDefault="00583AD7" w:rsidP="00216D66">
            <w:pPr>
              <w:jc w:val="both"/>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 xml:space="preserve">NICSP N° 12, </w:t>
            </w:r>
          </w:p>
          <w:p w14:paraId="26886606" w14:textId="308815FF" w:rsidR="00583AD7" w:rsidRPr="00216D66" w:rsidRDefault="00583AD7"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Párrafo 2.</w:t>
            </w:r>
          </w:p>
        </w:tc>
        <w:tc>
          <w:tcPr>
            <w:tcW w:w="2237" w:type="dxa"/>
            <w:tcBorders>
              <w:top w:val="single" w:sz="8" w:space="0" w:color="auto"/>
              <w:left w:val="nil"/>
              <w:bottom w:val="single" w:sz="8" w:space="0" w:color="auto"/>
              <w:right w:val="single" w:sz="8" w:space="0" w:color="auto"/>
            </w:tcBorders>
            <w:shd w:val="clear" w:color="auto" w:fill="auto"/>
            <w:vAlign w:val="center"/>
            <w:hideMark/>
          </w:tcPr>
          <w:p w14:paraId="59BEC926" w14:textId="77777777" w:rsidR="00583AD7" w:rsidRPr="00216D66" w:rsidRDefault="00583AD7" w:rsidP="00583AD7">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bl>
    <w:p w14:paraId="32D499A0" w14:textId="77777777" w:rsidR="00E23C0E" w:rsidRDefault="00E23C0E" w:rsidP="00804D82">
      <w:pPr>
        <w:spacing w:line="0" w:lineRule="atLeast"/>
        <w:rPr>
          <w:rFonts w:ascii="Arial" w:eastAsia="Arial" w:hAnsi="Arial"/>
          <w:b/>
          <w:sz w:val="22"/>
          <w:szCs w:val="22"/>
          <w:lang w:val="es-CR"/>
        </w:rPr>
      </w:pPr>
    </w:p>
    <w:p w14:paraId="5C1EB9DA" w14:textId="21CCC4D4" w:rsidR="00FA2715" w:rsidRDefault="00FA2715" w:rsidP="00804D82">
      <w:pPr>
        <w:spacing w:line="0" w:lineRule="atLeast"/>
        <w:rPr>
          <w:rFonts w:ascii="Arial" w:eastAsia="Arial" w:hAnsi="Arial"/>
          <w:b/>
          <w:sz w:val="22"/>
          <w:szCs w:val="22"/>
        </w:rPr>
      </w:pPr>
      <w:r w:rsidRPr="00F02F9D">
        <w:rPr>
          <w:rFonts w:ascii="Arial" w:eastAsia="Arial" w:hAnsi="Arial"/>
          <w:b/>
          <w:sz w:val="22"/>
          <w:szCs w:val="22"/>
        </w:rPr>
        <w:t>Políticas Contables</w:t>
      </w:r>
    </w:p>
    <w:p w14:paraId="063DD333" w14:textId="77777777" w:rsidR="00FA2715" w:rsidRDefault="00FA2715" w:rsidP="00804D82">
      <w:pPr>
        <w:spacing w:line="0" w:lineRule="atLeast"/>
        <w:rPr>
          <w:rFonts w:ascii="Arial" w:eastAsia="Arial" w:hAnsi="Arial"/>
          <w:b/>
          <w:sz w:val="22"/>
          <w:szCs w:val="22"/>
          <w:lang w:val="es-CR"/>
        </w:rPr>
      </w:pPr>
    </w:p>
    <w:p w14:paraId="455E81F1" w14:textId="6C0112AE" w:rsidR="00775244" w:rsidRDefault="00583AD7" w:rsidP="00804D82">
      <w:pPr>
        <w:spacing w:line="0" w:lineRule="atLeast"/>
        <w:ind w:left="1134" w:right="288" w:hanging="1134"/>
        <w:jc w:val="both"/>
        <w:rPr>
          <w:rFonts w:ascii="Arial" w:eastAsia="Arial" w:hAnsi="Arial"/>
          <w:bCs/>
          <w:sz w:val="22"/>
          <w:szCs w:val="22"/>
          <w:lang w:val="es-CR"/>
        </w:rPr>
      </w:pPr>
      <w:r w:rsidRPr="00F02F9D">
        <w:rPr>
          <w:rFonts w:ascii="Arial" w:eastAsia="Arial" w:hAnsi="Arial"/>
          <w:bCs/>
          <w:sz w:val="22"/>
          <w:szCs w:val="22"/>
          <w:lang w:val="es-CR"/>
        </w:rPr>
        <w:t>1.73.0.01</w:t>
      </w:r>
      <w:r w:rsidRPr="00F02F9D">
        <w:rPr>
          <w:rFonts w:ascii="Arial" w:eastAsia="Arial" w:hAnsi="Arial"/>
          <w:bCs/>
          <w:sz w:val="22"/>
          <w:szCs w:val="22"/>
          <w:lang w:val="es-CR"/>
        </w:rPr>
        <w:tab/>
      </w:r>
      <w:r w:rsidR="008A4688" w:rsidRPr="00F02F9D">
        <w:rPr>
          <w:rFonts w:ascii="Arial" w:eastAsia="Arial" w:hAnsi="Arial"/>
          <w:bCs/>
          <w:sz w:val="22"/>
          <w:szCs w:val="22"/>
          <w:lang w:val="es-CR"/>
        </w:rPr>
        <w:t xml:space="preserve">Para </w:t>
      </w:r>
      <w:r w:rsidR="00775244" w:rsidRPr="00F02F9D">
        <w:rPr>
          <w:rFonts w:ascii="Arial" w:eastAsia="Arial" w:hAnsi="Arial"/>
          <w:bCs/>
          <w:sz w:val="22"/>
          <w:szCs w:val="22"/>
          <w:lang w:val="es-CR"/>
        </w:rPr>
        <w:t>la</w:t>
      </w:r>
      <w:r w:rsidR="008A4688" w:rsidRPr="00F02F9D">
        <w:rPr>
          <w:rFonts w:ascii="Arial" w:eastAsia="Arial" w:hAnsi="Arial"/>
          <w:bCs/>
          <w:sz w:val="22"/>
          <w:szCs w:val="22"/>
          <w:lang w:val="es-CR"/>
        </w:rPr>
        <w:t xml:space="preserve">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se entenderán como inventarios consumibles todos aquellos bienes que </w:t>
      </w:r>
      <w:r w:rsidR="00E23C0E">
        <w:rPr>
          <w:rFonts w:ascii="Arial" w:eastAsia="Arial" w:hAnsi="Arial"/>
          <w:bCs/>
          <w:sz w:val="22"/>
          <w:szCs w:val="22"/>
          <w:lang w:val="es-CR"/>
        </w:rPr>
        <w:t>se tienen en existencia pueden ser</w:t>
      </w:r>
      <w:r w:rsidR="008A4688" w:rsidRPr="00F02F9D">
        <w:rPr>
          <w:rFonts w:ascii="Arial" w:eastAsia="Arial" w:hAnsi="Arial"/>
          <w:bCs/>
          <w:sz w:val="22"/>
          <w:szCs w:val="22"/>
          <w:lang w:val="es-CR"/>
        </w:rPr>
        <w:t xml:space="preserve"> utilizados para brindar un servicio sea con contraprestación o sin contraprestación, </w:t>
      </w:r>
      <w:r w:rsidR="00E23C0E">
        <w:rPr>
          <w:rFonts w:ascii="Arial" w:eastAsia="Arial" w:hAnsi="Arial"/>
          <w:bCs/>
          <w:sz w:val="22"/>
          <w:szCs w:val="22"/>
          <w:lang w:val="es-CR"/>
        </w:rPr>
        <w:t xml:space="preserve">su reconocimiento se realizará </w:t>
      </w:r>
      <w:r w:rsidR="00775244" w:rsidRPr="00F02F9D">
        <w:rPr>
          <w:rFonts w:ascii="Arial" w:eastAsia="Arial" w:hAnsi="Arial"/>
          <w:bCs/>
          <w:sz w:val="22"/>
          <w:szCs w:val="22"/>
          <w:lang w:val="es-CR"/>
        </w:rPr>
        <w:t xml:space="preserve">con sujeción </w:t>
      </w:r>
      <w:r w:rsidR="008A4688" w:rsidRPr="00F02F9D">
        <w:rPr>
          <w:rFonts w:ascii="Arial" w:eastAsia="Arial" w:hAnsi="Arial"/>
          <w:bCs/>
          <w:sz w:val="22"/>
          <w:szCs w:val="22"/>
          <w:lang w:val="es-CR"/>
        </w:rPr>
        <w:t xml:space="preserve">al concepto de materialidad e importancia relativa, caso contrario se reconocerán </w:t>
      </w:r>
      <w:r w:rsidR="00775244" w:rsidRPr="00F02F9D">
        <w:rPr>
          <w:rFonts w:ascii="Arial" w:eastAsia="Arial" w:hAnsi="Arial"/>
          <w:bCs/>
          <w:sz w:val="22"/>
          <w:szCs w:val="22"/>
          <w:lang w:val="es-CR"/>
        </w:rPr>
        <w:t xml:space="preserve">como gastos </w:t>
      </w:r>
      <w:r w:rsidR="008A4688" w:rsidRPr="00F02F9D">
        <w:rPr>
          <w:rFonts w:ascii="Arial" w:eastAsia="Arial" w:hAnsi="Arial"/>
          <w:bCs/>
          <w:sz w:val="22"/>
          <w:szCs w:val="22"/>
          <w:lang w:val="es-CR"/>
        </w:rPr>
        <w:t>en el resultado del periodo.</w:t>
      </w:r>
    </w:p>
    <w:p w14:paraId="639CFAC8" w14:textId="77777777" w:rsidR="00804D82" w:rsidRPr="00F02F9D" w:rsidRDefault="00804D82" w:rsidP="00804D82">
      <w:pPr>
        <w:spacing w:line="0" w:lineRule="atLeast"/>
        <w:ind w:left="1134" w:right="288" w:hanging="1134"/>
        <w:jc w:val="both"/>
        <w:rPr>
          <w:rFonts w:ascii="Arial" w:eastAsia="Arial" w:hAnsi="Arial"/>
          <w:bCs/>
          <w:sz w:val="22"/>
          <w:szCs w:val="22"/>
          <w:lang w:val="es-CR"/>
        </w:rPr>
      </w:pPr>
    </w:p>
    <w:p w14:paraId="0C88C4C4" w14:textId="77C55B47" w:rsidR="007377D0" w:rsidRDefault="00775244" w:rsidP="00804D82">
      <w:pPr>
        <w:spacing w:line="0" w:lineRule="atLeast"/>
        <w:ind w:left="1134" w:right="288" w:hanging="1134"/>
        <w:jc w:val="both"/>
        <w:rPr>
          <w:rFonts w:ascii="Arial" w:eastAsia="Arial" w:hAnsi="Arial"/>
          <w:bCs/>
          <w:sz w:val="22"/>
          <w:szCs w:val="22"/>
          <w:lang w:val="es-CR"/>
        </w:rPr>
      </w:pPr>
      <w:r w:rsidRPr="00F02F9D">
        <w:rPr>
          <w:rFonts w:ascii="Arial" w:eastAsia="Arial" w:hAnsi="Arial"/>
          <w:bCs/>
          <w:sz w:val="22"/>
          <w:szCs w:val="22"/>
          <w:lang w:val="es-CR"/>
        </w:rPr>
        <w:lastRenderedPageBreak/>
        <w:t>1.73.0.02</w:t>
      </w:r>
      <w:r w:rsidRPr="00F02F9D">
        <w:rPr>
          <w:rFonts w:ascii="Arial" w:eastAsia="Arial" w:hAnsi="Arial"/>
          <w:bCs/>
          <w:sz w:val="22"/>
          <w:szCs w:val="22"/>
          <w:lang w:val="es-CR"/>
        </w:rPr>
        <w:tab/>
      </w:r>
      <w:r w:rsidR="008A4688" w:rsidRPr="00F02F9D">
        <w:rPr>
          <w:rFonts w:ascii="Arial" w:eastAsia="Arial" w:hAnsi="Arial"/>
          <w:bCs/>
          <w:sz w:val="22"/>
          <w:szCs w:val="22"/>
          <w:lang w:val="es-CR"/>
        </w:rPr>
        <w:t>Entre los inventarios se definen los</w:t>
      </w:r>
      <w:r w:rsidRPr="00F02F9D">
        <w:rPr>
          <w:rFonts w:ascii="Arial" w:eastAsia="Arial" w:hAnsi="Arial"/>
          <w:bCs/>
          <w:sz w:val="22"/>
          <w:szCs w:val="22"/>
          <w:lang w:val="es-CR"/>
        </w:rPr>
        <w:t xml:space="preserve"> mantenidos en las</w:t>
      </w:r>
      <w:r w:rsidR="008A4688" w:rsidRPr="00F02F9D">
        <w:rPr>
          <w:rFonts w:ascii="Arial" w:eastAsia="Arial" w:hAnsi="Arial"/>
          <w:bCs/>
          <w:sz w:val="22"/>
          <w:szCs w:val="22"/>
          <w:lang w:val="es-CR"/>
        </w:rPr>
        <w:t xml:space="preserve"> </w:t>
      </w:r>
      <w:r w:rsidRPr="00F02F9D">
        <w:rPr>
          <w:rFonts w:ascii="Arial" w:eastAsia="Arial" w:hAnsi="Arial"/>
          <w:bCs/>
          <w:sz w:val="22"/>
          <w:szCs w:val="22"/>
          <w:lang w:val="es-CR"/>
        </w:rPr>
        <w:t xml:space="preserve">diferentes ubicaciones de la </w:t>
      </w:r>
      <w:r w:rsidR="000F29DC">
        <w:rPr>
          <w:rFonts w:ascii="Arial" w:eastAsia="Arial" w:hAnsi="Arial"/>
          <w:bCs/>
          <w:sz w:val="22"/>
          <w:szCs w:val="22"/>
          <w:lang w:val="es-CR"/>
        </w:rPr>
        <w:t>MBA</w:t>
      </w:r>
      <w:r w:rsidRPr="00F02F9D">
        <w:rPr>
          <w:rFonts w:ascii="Arial" w:eastAsia="Arial" w:hAnsi="Arial"/>
          <w:bCs/>
          <w:sz w:val="22"/>
          <w:szCs w:val="22"/>
          <w:lang w:val="es-CR"/>
        </w:rPr>
        <w:t>, como en las siguientes</w:t>
      </w:r>
      <w:r w:rsidR="008A4688" w:rsidRPr="00F02F9D">
        <w:rPr>
          <w:rFonts w:ascii="Arial" w:eastAsia="Arial" w:hAnsi="Arial"/>
          <w:bCs/>
          <w:sz w:val="22"/>
          <w:szCs w:val="22"/>
          <w:lang w:val="es-CR"/>
        </w:rPr>
        <w:t>:</w:t>
      </w:r>
      <w:r w:rsidRPr="00F02F9D">
        <w:rPr>
          <w:rFonts w:ascii="Arial" w:eastAsia="Arial" w:hAnsi="Arial"/>
          <w:bCs/>
          <w:sz w:val="22"/>
          <w:szCs w:val="22"/>
          <w:lang w:val="es-CR"/>
        </w:rPr>
        <w:t xml:space="preserve"> </w:t>
      </w:r>
      <w:r w:rsidR="008A4688" w:rsidRPr="00F02F9D">
        <w:rPr>
          <w:rFonts w:ascii="Arial" w:eastAsia="Arial" w:hAnsi="Arial"/>
          <w:bCs/>
          <w:sz w:val="22"/>
          <w:szCs w:val="22"/>
          <w:lang w:val="es-CR"/>
        </w:rPr>
        <w:t>Almacén de Suministros</w:t>
      </w:r>
      <w:r w:rsidRPr="00F02F9D">
        <w:rPr>
          <w:rFonts w:ascii="Arial" w:eastAsia="Arial" w:hAnsi="Arial"/>
          <w:bCs/>
          <w:sz w:val="22"/>
          <w:szCs w:val="22"/>
          <w:lang w:val="es-CR"/>
        </w:rPr>
        <w:t xml:space="preserve">, en </w:t>
      </w:r>
      <w:r w:rsidRPr="007C19EA">
        <w:rPr>
          <w:rFonts w:ascii="Arial" w:eastAsia="Arial" w:hAnsi="Arial"/>
          <w:bCs/>
          <w:sz w:val="22"/>
          <w:szCs w:val="22"/>
          <w:lang w:val="es-CR"/>
        </w:rPr>
        <w:t>la U</w:t>
      </w:r>
      <w:r w:rsidR="00CE5B44" w:rsidRPr="007C19EA">
        <w:rPr>
          <w:rFonts w:ascii="Arial" w:eastAsia="Arial" w:hAnsi="Arial"/>
          <w:bCs/>
          <w:sz w:val="22"/>
          <w:szCs w:val="22"/>
          <w:lang w:val="es-CR"/>
        </w:rPr>
        <w:t xml:space="preserve">nidad </w:t>
      </w:r>
      <w:r w:rsidRPr="007C19EA">
        <w:rPr>
          <w:rFonts w:ascii="Arial" w:eastAsia="Arial" w:hAnsi="Arial"/>
          <w:bCs/>
          <w:sz w:val="22"/>
          <w:szCs w:val="22"/>
          <w:lang w:val="es-CR"/>
        </w:rPr>
        <w:t>T</w:t>
      </w:r>
      <w:r w:rsidR="00CE5B44" w:rsidRPr="007C19EA">
        <w:rPr>
          <w:rFonts w:ascii="Arial" w:eastAsia="Arial" w:hAnsi="Arial"/>
          <w:bCs/>
          <w:sz w:val="22"/>
          <w:szCs w:val="22"/>
          <w:lang w:val="es-CR"/>
        </w:rPr>
        <w:t xml:space="preserve">écnica de </w:t>
      </w:r>
      <w:r w:rsidRPr="007C19EA">
        <w:rPr>
          <w:rFonts w:ascii="Arial" w:eastAsia="Arial" w:hAnsi="Arial"/>
          <w:bCs/>
          <w:sz w:val="22"/>
          <w:szCs w:val="22"/>
          <w:lang w:val="es-CR"/>
        </w:rPr>
        <w:t>G</w:t>
      </w:r>
      <w:r w:rsidR="00CE5B44" w:rsidRPr="007C19EA">
        <w:rPr>
          <w:rFonts w:ascii="Arial" w:eastAsia="Arial" w:hAnsi="Arial"/>
          <w:bCs/>
          <w:sz w:val="22"/>
          <w:szCs w:val="22"/>
          <w:lang w:val="es-CR"/>
        </w:rPr>
        <w:t xml:space="preserve">estión </w:t>
      </w:r>
      <w:r w:rsidRPr="007C19EA">
        <w:rPr>
          <w:rFonts w:ascii="Arial" w:eastAsia="Arial" w:hAnsi="Arial"/>
          <w:bCs/>
          <w:sz w:val="22"/>
          <w:szCs w:val="22"/>
          <w:lang w:val="es-CR"/>
        </w:rPr>
        <w:t>V</w:t>
      </w:r>
      <w:r w:rsidR="00CE5B44" w:rsidRPr="007C19EA">
        <w:rPr>
          <w:rFonts w:ascii="Arial" w:eastAsia="Arial" w:hAnsi="Arial"/>
          <w:bCs/>
          <w:sz w:val="22"/>
          <w:szCs w:val="22"/>
          <w:lang w:val="es-CR"/>
        </w:rPr>
        <w:t>ial</w:t>
      </w:r>
      <w:r w:rsidR="007C19EA" w:rsidRPr="007C19EA">
        <w:rPr>
          <w:rFonts w:ascii="Arial" w:eastAsia="Arial" w:hAnsi="Arial"/>
          <w:bCs/>
          <w:sz w:val="22"/>
          <w:szCs w:val="22"/>
          <w:lang w:val="es-CR"/>
        </w:rPr>
        <w:t xml:space="preserve"> y en las diferentes unidades administrativas</w:t>
      </w:r>
      <w:r w:rsidR="007C19EA">
        <w:rPr>
          <w:rFonts w:ascii="Arial" w:eastAsia="Arial" w:hAnsi="Arial"/>
          <w:bCs/>
          <w:sz w:val="22"/>
          <w:szCs w:val="22"/>
          <w:lang w:val="es-CR"/>
        </w:rPr>
        <w:t>.</w:t>
      </w:r>
    </w:p>
    <w:p w14:paraId="4351FCFB" w14:textId="77777777" w:rsidR="00C906D2" w:rsidRDefault="00C906D2" w:rsidP="00216D66">
      <w:pPr>
        <w:spacing w:line="0" w:lineRule="atLeast"/>
        <w:ind w:right="288"/>
        <w:jc w:val="both"/>
        <w:rPr>
          <w:rFonts w:ascii="Arial" w:eastAsia="Arial" w:hAnsi="Arial"/>
          <w:bCs/>
          <w:sz w:val="22"/>
          <w:szCs w:val="22"/>
          <w:lang w:val="es-CR"/>
        </w:rPr>
      </w:pPr>
    </w:p>
    <w:p w14:paraId="7F004312" w14:textId="77777777" w:rsidR="00F47532" w:rsidRPr="00F02F9D" w:rsidRDefault="00F47532" w:rsidP="00216D66">
      <w:pPr>
        <w:spacing w:line="0" w:lineRule="atLeast"/>
        <w:ind w:right="288"/>
        <w:jc w:val="both"/>
        <w:rPr>
          <w:rFonts w:ascii="Arial" w:eastAsia="Arial" w:hAnsi="Arial"/>
          <w:bCs/>
          <w:sz w:val="22"/>
          <w:szCs w:val="22"/>
          <w:lang w:val="es-CR"/>
        </w:rPr>
      </w:pPr>
    </w:p>
    <w:tbl>
      <w:tblPr>
        <w:tblW w:w="9214" w:type="dxa"/>
        <w:tblInd w:w="-10" w:type="dxa"/>
        <w:tblLook w:val="04A0" w:firstRow="1" w:lastRow="0" w:firstColumn="1" w:lastColumn="0" w:noHBand="0" w:noVBand="1"/>
      </w:tblPr>
      <w:tblGrid>
        <w:gridCol w:w="561"/>
        <w:gridCol w:w="550"/>
        <w:gridCol w:w="532"/>
        <w:gridCol w:w="2813"/>
        <w:gridCol w:w="2480"/>
        <w:gridCol w:w="2278"/>
      </w:tblGrid>
      <w:tr w:rsidR="001E3612" w:rsidRPr="00216D66" w14:paraId="46E37A8C" w14:textId="77777777" w:rsidTr="00804D82">
        <w:trPr>
          <w:trHeight w:val="320"/>
        </w:trPr>
        <w:tc>
          <w:tcPr>
            <w:tcW w:w="164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EB8105C" w14:textId="77777777" w:rsidR="001E3612" w:rsidRPr="00216D66" w:rsidRDefault="001E3612" w:rsidP="00D16719">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2813" w:type="dxa"/>
            <w:vMerge w:val="restart"/>
            <w:tcBorders>
              <w:top w:val="single" w:sz="8" w:space="0" w:color="auto"/>
              <w:left w:val="single" w:sz="8" w:space="0" w:color="auto"/>
              <w:bottom w:val="nil"/>
              <w:right w:val="single" w:sz="8" w:space="0" w:color="auto"/>
            </w:tcBorders>
            <w:shd w:val="clear" w:color="000000" w:fill="203764"/>
            <w:vAlign w:val="center"/>
            <w:hideMark/>
          </w:tcPr>
          <w:p w14:paraId="265889BE" w14:textId="77777777" w:rsidR="001E3612" w:rsidRPr="00216D66" w:rsidRDefault="001E3612" w:rsidP="00D16719">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4758" w:type="dxa"/>
            <w:gridSpan w:val="2"/>
            <w:tcBorders>
              <w:top w:val="single" w:sz="8" w:space="0" w:color="auto"/>
              <w:left w:val="nil"/>
              <w:bottom w:val="single" w:sz="8" w:space="0" w:color="auto"/>
              <w:right w:val="single" w:sz="8" w:space="0" w:color="000000"/>
            </w:tcBorders>
            <w:shd w:val="clear" w:color="000000" w:fill="203764"/>
            <w:vAlign w:val="center"/>
            <w:hideMark/>
          </w:tcPr>
          <w:p w14:paraId="2DA8FC4A" w14:textId="77777777" w:rsidR="001E3612" w:rsidRPr="00216D66" w:rsidRDefault="001E3612" w:rsidP="00D16719">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1E3612" w:rsidRPr="0091631A" w14:paraId="18B6B3FD" w14:textId="77777777" w:rsidTr="00804D82">
        <w:trPr>
          <w:trHeight w:val="320"/>
        </w:trPr>
        <w:tc>
          <w:tcPr>
            <w:tcW w:w="1643" w:type="dxa"/>
            <w:gridSpan w:val="3"/>
            <w:vMerge/>
            <w:tcBorders>
              <w:top w:val="single" w:sz="8" w:space="0" w:color="auto"/>
              <w:left w:val="single" w:sz="8" w:space="0" w:color="auto"/>
              <w:bottom w:val="nil"/>
              <w:right w:val="single" w:sz="8" w:space="0" w:color="000000"/>
            </w:tcBorders>
            <w:vAlign w:val="center"/>
            <w:hideMark/>
          </w:tcPr>
          <w:p w14:paraId="1FE13AA2" w14:textId="77777777" w:rsidR="001E3612" w:rsidRPr="00216D66" w:rsidRDefault="001E3612" w:rsidP="00D16719">
            <w:pPr>
              <w:rPr>
                <w:rFonts w:ascii="Arial Narrow" w:eastAsia="Times New Roman" w:hAnsi="Arial Narrow"/>
                <w:b/>
                <w:bCs/>
                <w:color w:val="FFFFFF"/>
                <w:sz w:val="22"/>
                <w:szCs w:val="22"/>
              </w:rPr>
            </w:pPr>
          </w:p>
        </w:tc>
        <w:tc>
          <w:tcPr>
            <w:tcW w:w="2813" w:type="dxa"/>
            <w:vMerge/>
            <w:tcBorders>
              <w:top w:val="single" w:sz="8" w:space="0" w:color="auto"/>
              <w:left w:val="single" w:sz="8" w:space="0" w:color="auto"/>
              <w:bottom w:val="nil"/>
              <w:right w:val="single" w:sz="8" w:space="0" w:color="auto"/>
            </w:tcBorders>
            <w:vAlign w:val="center"/>
            <w:hideMark/>
          </w:tcPr>
          <w:p w14:paraId="1E93104D" w14:textId="77777777" w:rsidR="001E3612" w:rsidRPr="00216D66" w:rsidRDefault="001E3612" w:rsidP="00D16719">
            <w:pPr>
              <w:rPr>
                <w:rFonts w:ascii="Arial Narrow" w:eastAsia="Times New Roman" w:hAnsi="Arial Narrow"/>
                <w:b/>
                <w:bCs/>
                <w:color w:val="FFFFFF"/>
                <w:sz w:val="22"/>
                <w:szCs w:val="22"/>
              </w:rPr>
            </w:pPr>
          </w:p>
        </w:tc>
        <w:tc>
          <w:tcPr>
            <w:tcW w:w="2480" w:type="dxa"/>
            <w:tcBorders>
              <w:top w:val="nil"/>
              <w:left w:val="nil"/>
              <w:bottom w:val="nil"/>
              <w:right w:val="single" w:sz="8" w:space="0" w:color="auto"/>
            </w:tcBorders>
            <w:shd w:val="clear" w:color="000000" w:fill="203764"/>
            <w:vAlign w:val="center"/>
            <w:hideMark/>
          </w:tcPr>
          <w:p w14:paraId="0AE51D56" w14:textId="77777777" w:rsidR="001E3612" w:rsidRPr="00216D66" w:rsidRDefault="001E3612" w:rsidP="00D16719">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2278" w:type="dxa"/>
            <w:tcBorders>
              <w:top w:val="nil"/>
              <w:left w:val="nil"/>
              <w:bottom w:val="nil"/>
              <w:right w:val="single" w:sz="8" w:space="0" w:color="auto"/>
            </w:tcBorders>
            <w:shd w:val="clear" w:color="000000" w:fill="203764"/>
            <w:vAlign w:val="center"/>
            <w:hideMark/>
          </w:tcPr>
          <w:p w14:paraId="12A32B09" w14:textId="24547EB6" w:rsidR="001E3612" w:rsidRPr="0091631A" w:rsidRDefault="0091631A"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1E3612" w:rsidRPr="00216D66" w14:paraId="656EEC81" w14:textId="77777777" w:rsidTr="00804D82">
        <w:trPr>
          <w:trHeight w:val="537"/>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23C1D5" w14:textId="77777777" w:rsidR="001E3612" w:rsidRPr="00216D66" w:rsidRDefault="001E3612" w:rsidP="00D167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 xml:space="preserve"> 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5ACFE8CF" w14:textId="77777777" w:rsidR="001E3612" w:rsidRPr="00216D66" w:rsidRDefault="001E3612" w:rsidP="00D167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75.</w:t>
            </w:r>
          </w:p>
        </w:tc>
        <w:tc>
          <w:tcPr>
            <w:tcW w:w="532" w:type="dxa"/>
            <w:tcBorders>
              <w:top w:val="single" w:sz="8" w:space="0" w:color="auto"/>
              <w:left w:val="nil"/>
              <w:bottom w:val="single" w:sz="8" w:space="0" w:color="auto"/>
              <w:right w:val="single" w:sz="8" w:space="0" w:color="auto"/>
            </w:tcBorders>
            <w:shd w:val="clear" w:color="auto" w:fill="auto"/>
            <w:vAlign w:val="center"/>
            <w:hideMark/>
          </w:tcPr>
          <w:p w14:paraId="752344A2" w14:textId="77777777" w:rsidR="001E3612" w:rsidRPr="00216D66" w:rsidRDefault="001E3612" w:rsidP="00D167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 xml:space="preserve"> </w:t>
            </w:r>
          </w:p>
        </w:tc>
        <w:tc>
          <w:tcPr>
            <w:tcW w:w="2813" w:type="dxa"/>
            <w:tcBorders>
              <w:top w:val="single" w:sz="8" w:space="0" w:color="auto"/>
              <w:left w:val="nil"/>
              <w:bottom w:val="single" w:sz="8" w:space="0" w:color="auto"/>
              <w:right w:val="single" w:sz="8" w:space="0" w:color="auto"/>
            </w:tcBorders>
            <w:shd w:val="clear" w:color="auto" w:fill="auto"/>
            <w:vAlign w:val="center"/>
            <w:hideMark/>
          </w:tcPr>
          <w:p w14:paraId="650CE938" w14:textId="38D678E7" w:rsidR="001E3612" w:rsidRPr="00216D66" w:rsidRDefault="001E3612" w:rsidP="00D16719">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Bienes comprendidos</w:t>
            </w:r>
          </w:p>
        </w:tc>
        <w:tc>
          <w:tcPr>
            <w:tcW w:w="2480" w:type="dxa"/>
            <w:tcBorders>
              <w:top w:val="single" w:sz="8" w:space="0" w:color="auto"/>
              <w:left w:val="nil"/>
              <w:bottom w:val="single" w:sz="8" w:space="0" w:color="auto"/>
              <w:right w:val="single" w:sz="8" w:space="0" w:color="auto"/>
            </w:tcBorders>
            <w:shd w:val="clear" w:color="auto" w:fill="auto"/>
            <w:vAlign w:val="center"/>
            <w:hideMark/>
          </w:tcPr>
          <w:p w14:paraId="7B0AC6E3" w14:textId="77777777" w:rsidR="00216D66" w:rsidRDefault="001E3612" w:rsidP="00216D66">
            <w:pPr>
              <w:jc w:val="both"/>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 xml:space="preserve">NICSP N° 12, </w:t>
            </w:r>
          </w:p>
          <w:p w14:paraId="3B5BF89D" w14:textId="5030CBE4" w:rsidR="001E3612" w:rsidRPr="00216D66" w:rsidRDefault="001E3612"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Párrafos 11 y 12.</w:t>
            </w:r>
          </w:p>
        </w:tc>
        <w:tc>
          <w:tcPr>
            <w:tcW w:w="2278" w:type="dxa"/>
            <w:tcBorders>
              <w:top w:val="single" w:sz="8" w:space="0" w:color="auto"/>
              <w:left w:val="nil"/>
              <w:bottom w:val="single" w:sz="8" w:space="0" w:color="auto"/>
              <w:right w:val="single" w:sz="8" w:space="0" w:color="auto"/>
            </w:tcBorders>
            <w:shd w:val="clear" w:color="auto" w:fill="auto"/>
            <w:vAlign w:val="center"/>
            <w:hideMark/>
          </w:tcPr>
          <w:p w14:paraId="525D6EC2" w14:textId="77777777" w:rsidR="001E3612" w:rsidRPr="00216D66" w:rsidRDefault="001E3612" w:rsidP="00D16719">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bl>
    <w:p w14:paraId="3D263682" w14:textId="77777777" w:rsidR="00216D66" w:rsidRDefault="00216D66" w:rsidP="00804D82">
      <w:pPr>
        <w:spacing w:line="0" w:lineRule="atLeast"/>
        <w:rPr>
          <w:rFonts w:ascii="Arial" w:eastAsia="Arial" w:hAnsi="Arial"/>
          <w:b/>
          <w:sz w:val="22"/>
          <w:szCs w:val="22"/>
          <w:lang w:val="es-CR"/>
        </w:rPr>
      </w:pPr>
    </w:p>
    <w:p w14:paraId="269E0462" w14:textId="57417B22" w:rsidR="00FA2715" w:rsidRDefault="00FA2715" w:rsidP="00804D82">
      <w:pPr>
        <w:spacing w:line="0" w:lineRule="atLeast"/>
        <w:rPr>
          <w:rFonts w:ascii="Arial" w:eastAsia="Arial" w:hAnsi="Arial"/>
          <w:b/>
          <w:sz w:val="22"/>
          <w:szCs w:val="22"/>
        </w:rPr>
      </w:pPr>
      <w:r w:rsidRPr="00F02F9D">
        <w:rPr>
          <w:rFonts w:ascii="Arial" w:eastAsia="Arial" w:hAnsi="Arial"/>
          <w:b/>
          <w:sz w:val="22"/>
          <w:szCs w:val="22"/>
        </w:rPr>
        <w:t>Política Contable</w:t>
      </w:r>
    </w:p>
    <w:p w14:paraId="3E2FF343" w14:textId="77777777" w:rsidR="00FA2715" w:rsidRDefault="00FA2715" w:rsidP="00804D82">
      <w:pPr>
        <w:spacing w:line="0" w:lineRule="atLeast"/>
        <w:rPr>
          <w:rFonts w:ascii="Arial" w:eastAsia="Arial" w:hAnsi="Arial"/>
          <w:b/>
          <w:sz w:val="22"/>
          <w:szCs w:val="22"/>
          <w:lang w:val="es-CR"/>
        </w:rPr>
      </w:pPr>
    </w:p>
    <w:p w14:paraId="2E1BD701" w14:textId="183C42F1" w:rsidR="001E3612" w:rsidRPr="00F02F9D" w:rsidRDefault="00533F1E" w:rsidP="00DB0DDE">
      <w:pPr>
        <w:spacing w:line="0" w:lineRule="atLeast"/>
        <w:ind w:left="993" w:right="288" w:hanging="993"/>
        <w:jc w:val="both"/>
        <w:rPr>
          <w:rFonts w:ascii="Arial" w:eastAsia="Arial" w:hAnsi="Arial"/>
          <w:bCs/>
          <w:sz w:val="22"/>
          <w:szCs w:val="22"/>
          <w:lang w:val="es-CR"/>
        </w:rPr>
      </w:pPr>
      <w:r w:rsidRPr="00F02F9D">
        <w:rPr>
          <w:rFonts w:ascii="Arial" w:eastAsia="Arial" w:hAnsi="Arial"/>
          <w:bCs/>
          <w:sz w:val="22"/>
          <w:szCs w:val="22"/>
          <w:lang w:val="es-CR"/>
        </w:rPr>
        <w:t>1.75.0.01</w:t>
      </w:r>
      <w:r w:rsidRPr="00F02F9D">
        <w:rPr>
          <w:rFonts w:ascii="Arial" w:eastAsia="Arial" w:hAnsi="Arial"/>
          <w:bCs/>
          <w:sz w:val="22"/>
          <w:szCs w:val="22"/>
          <w:lang w:val="es-CR"/>
        </w:rPr>
        <w:tab/>
      </w:r>
      <w:r w:rsidR="001E3612" w:rsidRPr="00F02F9D">
        <w:rPr>
          <w:rFonts w:ascii="Arial" w:eastAsia="Arial" w:hAnsi="Arial"/>
          <w:bCs/>
          <w:sz w:val="22"/>
          <w:szCs w:val="22"/>
          <w:lang w:val="es-CR"/>
        </w:rPr>
        <w:t xml:space="preserve">Los bienes y servicios comprendidos dentro de inventarios de la </w:t>
      </w:r>
      <w:r w:rsidR="000F29DC">
        <w:rPr>
          <w:rFonts w:ascii="Arial" w:eastAsia="Arial" w:hAnsi="Arial"/>
          <w:bCs/>
          <w:sz w:val="22"/>
          <w:szCs w:val="22"/>
          <w:lang w:val="es-CR"/>
        </w:rPr>
        <w:t>MBA</w:t>
      </w:r>
      <w:r w:rsidR="001E3612" w:rsidRPr="00F02F9D">
        <w:rPr>
          <w:rFonts w:ascii="Arial" w:eastAsia="Arial" w:hAnsi="Arial"/>
          <w:bCs/>
          <w:sz w:val="22"/>
          <w:szCs w:val="22"/>
          <w:lang w:val="es-CR"/>
        </w:rPr>
        <w:t xml:space="preserve"> son</w:t>
      </w:r>
      <w:r w:rsidR="00C93362" w:rsidRPr="00F02F9D">
        <w:rPr>
          <w:rFonts w:ascii="Arial" w:eastAsia="Arial" w:hAnsi="Arial"/>
          <w:bCs/>
          <w:sz w:val="22"/>
          <w:szCs w:val="22"/>
          <w:lang w:val="es-CR"/>
        </w:rPr>
        <w:t xml:space="preserve"> l</w:t>
      </w:r>
      <w:r w:rsidR="001E3612" w:rsidRPr="00F02F9D">
        <w:rPr>
          <w:rFonts w:ascii="Arial" w:eastAsia="Arial" w:hAnsi="Arial"/>
          <w:bCs/>
          <w:sz w:val="22"/>
          <w:szCs w:val="22"/>
          <w:lang w:val="es-CR"/>
        </w:rPr>
        <w:t xml:space="preserve">os materiales y suministros comprados por la </w:t>
      </w:r>
      <w:r w:rsidR="00643507" w:rsidRPr="00F02F9D">
        <w:rPr>
          <w:rFonts w:ascii="Arial" w:eastAsia="Arial" w:hAnsi="Arial"/>
          <w:bCs/>
          <w:sz w:val="22"/>
          <w:szCs w:val="22"/>
          <w:lang w:val="es-CR"/>
        </w:rPr>
        <w:t>Municipalidad</w:t>
      </w:r>
      <w:r w:rsidR="001E3612" w:rsidRPr="00F02F9D">
        <w:rPr>
          <w:rFonts w:ascii="Arial" w:eastAsia="Arial" w:hAnsi="Arial"/>
          <w:bCs/>
          <w:sz w:val="22"/>
          <w:szCs w:val="22"/>
          <w:lang w:val="es-CR"/>
        </w:rPr>
        <w:t xml:space="preserve"> para </w:t>
      </w:r>
      <w:r w:rsidR="00643507" w:rsidRPr="00F02F9D">
        <w:rPr>
          <w:rFonts w:ascii="Arial" w:eastAsia="Arial" w:hAnsi="Arial"/>
          <w:bCs/>
          <w:sz w:val="22"/>
          <w:szCs w:val="22"/>
          <w:lang w:val="es-CR"/>
        </w:rPr>
        <w:t xml:space="preserve">ser utilizados en la operativa normal y en la prestación de servicios con o </w:t>
      </w:r>
      <w:r w:rsidR="001E3612" w:rsidRPr="00F02F9D">
        <w:rPr>
          <w:rFonts w:ascii="Arial" w:eastAsia="Arial" w:hAnsi="Arial"/>
          <w:bCs/>
          <w:sz w:val="22"/>
          <w:szCs w:val="22"/>
          <w:lang w:val="es-CR"/>
        </w:rPr>
        <w:t xml:space="preserve">sin contraprestación, </w:t>
      </w:r>
      <w:r w:rsidR="00E03C4F" w:rsidRPr="00F02F9D">
        <w:rPr>
          <w:rFonts w:ascii="Arial" w:eastAsia="Arial" w:hAnsi="Arial"/>
          <w:bCs/>
          <w:sz w:val="22"/>
          <w:szCs w:val="22"/>
          <w:lang w:val="es-CR"/>
        </w:rPr>
        <w:t>los inventarios</w:t>
      </w:r>
      <w:r w:rsidR="001E3612" w:rsidRPr="00F02F9D">
        <w:rPr>
          <w:rFonts w:ascii="Arial" w:eastAsia="Arial" w:hAnsi="Arial"/>
          <w:bCs/>
          <w:sz w:val="22"/>
          <w:szCs w:val="22"/>
          <w:lang w:val="es-CR"/>
        </w:rPr>
        <w:t xml:space="preserve"> en general pueden incluir:</w:t>
      </w:r>
      <w:r w:rsidR="00C93362" w:rsidRPr="00F02F9D">
        <w:rPr>
          <w:rFonts w:ascii="Arial" w:eastAsia="Arial" w:hAnsi="Arial"/>
          <w:bCs/>
          <w:sz w:val="22"/>
          <w:szCs w:val="22"/>
          <w:lang w:val="es-CR"/>
        </w:rPr>
        <w:t xml:space="preserve"> </w:t>
      </w:r>
      <w:r w:rsidR="001E3612" w:rsidRPr="00F02F9D">
        <w:rPr>
          <w:rFonts w:ascii="Arial" w:eastAsia="Arial" w:hAnsi="Arial"/>
          <w:bCs/>
          <w:sz w:val="22"/>
          <w:szCs w:val="22"/>
          <w:lang w:val="es-CR"/>
        </w:rPr>
        <w:t>consumibles</w:t>
      </w:r>
      <w:r w:rsidR="00643507" w:rsidRPr="00F02F9D">
        <w:rPr>
          <w:rFonts w:ascii="Arial" w:eastAsia="Arial" w:hAnsi="Arial"/>
          <w:bCs/>
          <w:sz w:val="22"/>
          <w:szCs w:val="22"/>
          <w:lang w:val="es-CR"/>
        </w:rPr>
        <w:t xml:space="preserve"> lubricantes</w:t>
      </w:r>
      <w:r w:rsidR="001E3612" w:rsidRPr="00F02F9D">
        <w:rPr>
          <w:rFonts w:ascii="Arial" w:eastAsia="Arial" w:hAnsi="Arial"/>
          <w:bCs/>
          <w:sz w:val="22"/>
          <w:szCs w:val="22"/>
          <w:lang w:val="es-CR"/>
        </w:rPr>
        <w:t>;</w:t>
      </w:r>
      <w:r w:rsidR="00643507" w:rsidRPr="00F02F9D">
        <w:rPr>
          <w:rFonts w:ascii="Arial" w:eastAsia="Arial" w:hAnsi="Arial"/>
          <w:bCs/>
          <w:sz w:val="22"/>
          <w:szCs w:val="22"/>
          <w:lang w:val="es-CR"/>
        </w:rPr>
        <w:t xml:space="preserve"> </w:t>
      </w:r>
      <w:r w:rsidR="001E3612" w:rsidRPr="00F02F9D">
        <w:rPr>
          <w:rFonts w:ascii="Arial" w:eastAsia="Arial" w:hAnsi="Arial"/>
          <w:bCs/>
          <w:sz w:val="22"/>
          <w:szCs w:val="22"/>
          <w:lang w:val="es-CR"/>
        </w:rPr>
        <w:t>materiales de mantenimiento;</w:t>
      </w:r>
      <w:r w:rsidR="00643507" w:rsidRPr="00F02F9D">
        <w:rPr>
          <w:rFonts w:ascii="Arial" w:eastAsia="Arial" w:hAnsi="Arial"/>
          <w:bCs/>
          <w:sz w:val="22"/>
          <w:szCs w:val="22"/>
          <w:lang w:val="es-CR"/>
        </w:rPr>
        <w:t xml:space="preserve"> suministros de limpieza</w:t>
      </w:r>
      <w:r w:rsidR="00C93362" w:rsidRPr="00F02F9D">
        <w:rPr>
          <w:rFonts w:ascii="Arial" w:eastAsia="Arial" w:hAnsi="Arial"/>
          <w:bCs/>
          <w:sz w:val="22"/>
          <w:szCs w:val="22"/>
          <w:lang w:val="es-CR"/>
        </w:rPr>
        <w:t>;</w:t>
      </w:r>
      <w:r w:rsidR="00643507" w:rsidRPr="00F02F9D">
        <w:rPr>
          <w:rFonts w:ascii="Arial" w:eastAsia="Arial" w:hAnsi="Arial"/>
          <w:bCs/>
          <w:sz w:val="22"/>
          <w:szCs w:val="22"/>
          <w:lang w:val="es-CR"/>
        </w:rPr>
        <w:t xml:space="preserve"> materiales de Oficina</w:t>
      </w:r>
      <w:r w:rsidR="00C93362" w:rsidRPr="00F02F9D">
        <w:rPr>
          <w:rFonts w:ascii="Arial" w:eastAsia="Arial" w:hAnsi="Arial"/>
          <w:bCs/>
          <w:sz w:val="22"/>
          <w:szCs w:val="22"/>
          <w:lang w:val="es-CR"/>
        </w:rPr>
        <w:t>;</w:t>
      </w:r>
      <w:r w:rsidR="00643507" w:rsidRPr="00F02F9D">
        <w:rPr>
          <w:rFonts w:ascii="Arial" w:eastAsia="Arial" w:hAnsi="Arial"/>
          <w:bCs/>
          <w:sz w:val="22"/>
          <w:szCs w:val="22"/>
          <w:lang w:val="es-CR"/>
        </w:rPr>
        <w:t xml:space="preserve"> suministros de computación</w:t>
      </w:r>
      <w:r w:rsidR="00C93362" w:rsidRPr="00F02F9D">
        <w:rPr>
          <w:rFonts w:ascii="Arial" w:eastAsia="Arial" w:hAnsi="Arial"/>
          <w:bCs/>
          <w:sz w:val="22"/>
          <w:szCs w:val="22"/>
          <w:lang w:val="es-CR"/>
        </w:rPr>
        <w:t xml:space="preserve">; </w:t>
      </w:r>
      <w:r w:rsidR="001E3612" w:rsidRPr="00F02F9D">
        <w:rPr>
          <w:rFonts w:ascii="Arial" w:eastAsia="Arial" w:hAnsi="Arial"/>
          <w:bCs/>
          <w:sz w:val="22"/>
          <w:szCs w:val="22"/>
          <w:lang w:val="es-CR"/>
        </w:rPr>
        <w:t>piezas de repuesto que no se tratan en la Norma de Propiedades, Planta y Equipo</w:t>
      </w:r>
      <w:r w:rsidR="00C93362" w:rsidRPr="00F02F9D">
        <w:rPr>
          <w:rFonts w:ascii="Arial" w:eastAsia="Arial" w:hAnsi="Arial"/>
          <w:bCs/>
          <w:sz w:val="22"/>
          <w:szCs w:val="22"/>
          <w:lang w:val="es-CR"/>
        </w:rPr>
        <w:t>.</w:t>
      </w:r>
    </w:p>
    <w:p w14:paraId="02694A8D" w14:textId="77777777" w:rsidR="00C93362" w:rsidRDefault="00C93362" w:rsidP="00C93362">
      <w:pPr>
        <w:spacing w:line="0" w:lineRule="atLeast"/>
        <w:jc w:val="both"/>
        <w:rPr>
          <w:rFonts w:ascii="Arial" w:eastAsia="Arial" w:hAnsi="Arial"/>
          <w:b/>
          <w:sz w:val="22"/>
          <w:szCs w:val="22"/>
          <w:lang w:val="es-CR"/>
        </w:rPr>
      </w:pPr>
    </w:p>
    <w:p w14:paraId="4E3671A8" w14:textId="77777777" w:rsidR="00E03C4F" w:rsidRDefault="00E03C4F" w:rsidP="00C93362">
      <w:pPr>
        <w:spacing w:line="0" w:lineRule="atLeast"/>
        <w:jc w:val="both"/>
        <w:rPr>
          <w:rFonts w:ascii="Arial" w:eastAsia="Arial" w:hAnsi="Arial"/>
          <w:b/>
          <w:sz w:val="22"/>
          <w:szCs w:val="22"/>
          <w:lang w:val="es-CR"/>
        </w:rPr>
      </w:pPr>
    </w:p>
    <w:p w14:paraId="2A702A49" w14:textId="77777777" w:rsidR="00F47532" w:rsidRDefault="00F47532" w:rsidP="00C93362">
      <w:pPr>
        <w:spacing w:line="0" w:lineRule="atLeast"/>
        <w:jc w:val="both"/>
        <w:rPr>
          <w:rFonts w:ascii="Arial" w:eastAsia="Arial" w:hAnsi="Arial"/>
          <w:b/>
          <w:sz w:val="22"/>
          <w:szCs w:val="22"/>
          <w:lang w:val="es-CR"/>
        </w:rPr>
      </w:pPr>
    </w:p>
    <w:p w14:paraId="704428CF" w14:textId="77777777" w:rsidR="00F47532" w:rsidRDefault="00F47532" w:rsidP="00C93362">
      <w:pPr>
        <w:spacing w:line="0" w:lineRule="atLeast"/>
        <w:jc w:val="both"/>
        <w:rPr>
          <w:rFonts w:ascii="Arial" w:eastAsia="Arial" w:hAnsi="Arial"/>
          <w:b/>
          <w:sz w:val="22"/>
          <w:szCs w:val="22"/>
          <w:lang w:val="es-CR"/>
        </w:rPr>
      </w:pPr>
    </w:p>
    <w:p w14:paraId="50316D9E" w14:textId="77777777" w:rsidR="00F47532" w:rsidRPr="00F02F9D" w:rsidRDefault="00F47532" w:rsidP="00C93362">
      <w:pPr>
        <w:spacing w:line="0" w:lineRule="atLeast"/>
        <w:jc w:val="both"/>
        <w:rPr>
          <w:rFonts w:ascii="Arial" w:eastAsia="Arial" w:hAnsi="Arial"/>
          <w:b/>
          <w:sz w:val="22"/>
          <w:szCs w:val="22"/>
          <w:lang w:val="es-CR"/>
        </w:rPr>
      </w:pPr>
    </w:p>
    <w:p w14:paraId="5025DA7F" w14:textId="16AFF417" w:rsidR="00C93362" w:rsidRPr="00F02F9D" w:rsidRDefault="00C93362" w:rsidP="00C93362">
      <w:pPr>
        <w:spacing w:line="0" w:lineRule="atLeast"/>
        <w:jc w:val="both"/>
        <w:rPr>
          <w:rFonts w:ascii="Arial" w:eastAsia="Arial" w:hAnsi="Arial"/>
          <w:b/>
          <w:sz w:val="22"/>
          <w:szCs w:val="22"/>
          <w:lang w:val="es-CR"/>
        </w:rPr>
      </w:pPr>
      <w:r w:rsidRPr="00F02F9D">
        <w:rPr>
          <w:rFonts w:ascii="Arial" w:eastAsia="Arial" w:hAnsi="Arial"/>
          <w:b/>
          <w:sz w:val="22"/>
          <w:szCs w:val="22"/>
          <w:lang w:val="es-CR"/>
        </w:rPr>
        <w:t>Medición</w:t>
      </w:r>
    </w:p>
    <w:p w14:paraId="347E6080" w14:textId="77777777" w:rsidR="00305E46" w:rsidRPr="00F02F9D" w:rsidRDefault="00305E46" w:rsidP="00C93362">
      <w:pPr>
        <w:spacing w:line="0" w:lineRule="atLeast"/>
        <w:jc w:val="both"/>
        <w:rPr>
          <w:rFonts w:ascii="Arial" w:eastAsia="Arial" w:hAnsi="Arial"/>
          <w:b/>
          <w:sz w:val="22"/>
          <w:szCs w:val="22"/>
          <w:lang w:val="es-CR"/>
        </w:rPr>
      </w:pPr>
    </w:p>
    <w:tbl>
      <w:tblPr>
        <w:tblW w:w="8931" w:type="dxa"/>
        <w:tblInd w:w="-10" w:type="dxa"/>
        <w:tblLook w:val="04A0" w:firstRow="1" w:lastRow="0" w:firstColumn="1" w:lastColumn="0" w:noHBand="0" w:noVBand="1"/>
      </w:tblPr>
      <w:tblGrid>
        <w:gridCol w:w="536"/>
        <w:gridCol w:w="550"/>
        <w:gridCol w:w="517"/>
        <w:gridCol w:w="3065"/>
        <w:gridCol w:w="2268"/>
        <w:gridCol w:w="1995"/>
      </w:tblGrid>
      <w:tr w:rsidR="00305E46" w:rsidRPr="00216D66" w14:paraId="68227032" w14:textId="77777777" w:rsidTr="0091631A">
        <w:trPr>
          <w:trHeight w:val="320"/>
        </w:trPr>
        <w:tc>
          <w:tcPr>
            <w:tcW w:w="160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3746A15" w14:textId="77777777" w:rsidR="00305E46" w:rsidRPr="00216D66" w:rsidRDefault="00305E46" w:rsidP="00305E46">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3065" w:type="dxa"/>
            <w:vMerge w:val="restart"/>
            <w:tcBorders>
              <w:top w:val="single" w:sz="8" w:space="0" w:color="auto"/>
              <w:left w:val="single" w:sz="8" w:space="0" w:color="auto"/>
              <w:bottom w:val="nil"/>
              <w:right w:val="single" w:sz="8" w:space="0" w:color="auto"/>
            </w:tcBorders>
            <w:shd w:val="clear" w:color="000000" w:fill="203764"/>
            <w:vAlign w:val="center"/>
            <w:hideMark/>
          </w:tcPr>
          <w:p w14:paraId="641677CD" w14:textId="77777777" w:rsidR="00305E46" w:rsidRPr="00216D66" w:rsidRDefault="00305E46" w:rsidP="00305E46">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4263" w:type="dxa"/>
            <w:gridSpan w:val="2"/>
            <w:tcBorders>
              <w:top w:val="single" w:sz="8" w:space="0" w:color="auto"/>
              <w:left w:val="nil"/>
              <w:bottom w:val="single" w:sz="8" w:space="0" w:color="auto"/>
              <w:right w:val="single" w:sz="8" w:space="0" w:color="000000"/>
            </w:tcBorders>
            <w:shd w:val="clear" w:color="000000" w:fill="203764"/>
            <w:vAlign w:val="center"/>
            <w:hideMark/>
          </w:tcPr>
          <w:p w14:paraId="4CFEDAF3" w14:textId="77777777" w:rsidR="00305E46" w:rsidRPr="00216D66" w:rsidRDefault="00305E46" w:rsidP="00305E46">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305E46" w:rsidRPr="0091631A" w14:paraId="22D6B12C" w14:textId="77777777" w:rsidTr="0091631A">
        <w:trPr>
          <w:trHeight w:val="310"/>
        </w:trPr>
        <w:tc>
          <w:tcPr>
            <w:tcW w:w="1603" w:type="dxa"/>
            <w:gridSpan w:val="3"/>
            <w:vMerge/>
            <w:tcBorders>
              <w:top w:val="single" w:sz="8" w:space="0" w:color="auto"/>
              <w:left w:val="single" w:sz="8" w:space="0" w:color="auto"/>
              <w:bottom w:val="nil"/>
              <w:right w:val="single" w:sz="8" w:space="0" w:color="000000"/>
            </w:tcBorders>
            <w:vAlign w:val="center"/>
            <w:hideMark/>
          </w:tcPr>
          <w:p w14:paraId="0C3718CA" w14:textId="77777777" w:rsidR="00305E46" w:rsidRPr="00216D66" w:rsidRDefault="00305E46" w:rsidP="00305E46">
            <w:pPr>
              <w:rPr>
                <w:rFonts w:ascii="Arial Narrow" w:eastAsia="Times New Roman" w:hAnsi="Arial Narrow"/>
                <w:b/>
                <w:bCs/>
                <w:color w:val="FFFFFF"/>
                <w:sz w:val="22"/>
                <w:szCs w:val="22"/>
              </w:rPr>
            </w:pPr>
          </w:p>
        </w:tc>
        <w:tc>
          <w:tcPr>
            <w:tcW w:w="3065" w:type="dxa"/>
            <w:vMerge/>
            <w:tcBorders>
              <w:top w:val="single" w:sz="8" w:space="0" w:color="auto"/>
              <w:left w:val="single" w:sz="8" w:space="0" w:color="auto"/>
              <w:bottom w:val="nil"/>
              <w:right w:val="single" w:sz="8" w:space="0" w:color="auto"/>
            </w:tcBorders>
            <w:vAlign w:val="center"/>
            <w:hideMark/>
          </w:tcPr>
          <w:p w14:paraId="38BEC311" w14:textId="77777777" w:rsidR="00305E46" w:rsidRPr="00216D66" w:rsidRDefault="00305E46" w:rsidP="00305E46">
            <w:pPr>
              <w:rPr>
                <w:rFonts w:ascii="Arial Narrow" w:eastAsia="Times New Roman" w:hAnsi="Arial Narrow"/>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094E3A2C" w14:textId="77777777" w:rsidR="00305E46" w:rsidRPr="00216D66" w:rsidRDefault="00305E46" w:rsidP="00305E46">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1995" w:type="dxa"/>
            <w:tcBorders>
              <w:top w:val="nil"/>
              <w:left w:val="nil"/>
              <w:bottom w:val="nil"/>
              <w:right w:val="single" w:sz="8" w:space="0" w:color="auto"/>
            </w:tcBorders>
            <w:shd w:val="clear" w:color="000000" w:fill="203764"/>
            <w:vAlign w:val="center"/>
            <w:hideMark/>
          </w:tcPr>
          <w:p w14:paraId="191A590B" w14:textId="07E41188" w:rsidR="00305E46" w:rsidRPr="0091631A" w:rsidRDefault="0091631A" w:rsidP="00305E46">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305E46" w:rsidRPr="00216D66" w14:paraId="21182591" w14:textId="77777777" w:rsidTr="0091631A">
        <w:trPr>
          <w:trHeight w:val="371"/>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2157A4FA" w14:textId="77777777" w:rsidR="00305E46" w:rsidRPr="00216D66" w:rsidRDefault="00305E46" w:rsidP="00305E46">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3A60C2F1" w14:textId="77777777" w:rsidR="00305E46" w:rsidRPr="00216D66" w:rsidRDefault="00305E46" w:rsidP="00305E46">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76.</w:t>
            </w:r>
          </w:p>
        </w:tc>
        <w:tc>
          <w:tcPr>
            <w:tcW w:w="517" w:type="dxa"/>
            <w:tcBorders>
              <w:top w:val="nil"/>
              <w:left w:val="nil"/>
              <w:bottom w:val="single" w:sz="8" w:space="0" w:color="auto"/>
              <w:right w:val="single" w:sz="8" w:space="0" w:color="auto"/>
            </w:tcBorders>
            <w:shd w:val="clear" w:color="auto" w:fill="auto"/>
            <w:vAlign w:val="center"/>
            <w:hideMark/>
          </w:tcPr>
          <w:p w14:paraId="2D237344" w14:textId="48A543A4" w:rsidR="00305E46" w:rsidRPr="00216D66" w:rsidRDefault="00305E46" w:rsidP="00305E46">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r w:rsidR="00E03C4F" w:rsidRPr="00216D66">
              <w:rPr>
                <w:rFonts w:ascii="Arial Narrow" w:eastAsia="Times New Roman" w:hAnsi="Arial Narrow"/>
                <w:b/>
                <w:bCs/>
                <w:color w:val="000000"/>
                <w:sz w:val="22"/>
                <w:szCs w:val="22"/>
              </w:rPr>
              <w:t>0.</w:t>
            </w:r>
          </w:p>
        </w:tc>
        <w:tc>
          <w:tcPr>
            <w:tcW w:w="3065" w:type="dxa"/>
            <w:tcBorders>
              <w:top w:val="nil"/>
              <w:left w:val="nil"/>
              <w:bottom w:val="single" w:sz="8" w:space="0" w:color="auto"/>
              <w:right w:val="single" w:sz="8" w:space="0" w:color="auto"/>
            </w:tcBorders>
            <w:shd w:val="clear" w:color="auto" w:fill="auto"/>
            <w:vAlign w:val="center"/>
            <w:hideMark/>
          </w:tcPr>
          <w:p w14:paraId="4409B7C4" w14:textId="77777777" w:rsidR="00305E46" w:rsidRPr="00216D66" w:rsidRDefault="00305E46" w:rsidP="00305E46">
            <w:pPr>
              <w:jc w:val="both"/>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Medición general de los inventarios</w:t>
            </w:r>
          </w:p>
        </w:tc>
        <w:tc>
          <w:tcPr>
            <w:tcW w:w="2268" w:type="dxa"/>
            <w:tcBorders>
              <w:top w:val="nil"/>
              <w:left w:val="nil"/>
              <w:bottom w:val="single" w:sz="8" w:space="0" w:color="auto"/>
              <w:right w:val="single" w:sz="8" w:space="0" w:color="auto"/>
            </w:tcBorders>
            <w:shd w:val="clear" w:color="auto" w:fill="auto"/>
            <w:vAlign w:val="center"/>
            <w:hideMark/>
          </w:tcPr>
          <w:p w14:paraId="454545D2" w14:textId="77777777" w:rsidR="00216D66" w:rsidRDefault="00305E46"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xml:space="preserve">NICSP N° 12, </w:t>
            </w:r>
          </w:p>
          <w:p w14:paraId="43DBBFA8" w14:textId="05D130AE" w:rsidR="00305E46" w:rsidRPr="00216D66" w:rsidRDefault="00305E46"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Párrafo 15.</w:t>
            </w:r>
          </w:p>
        </w:tc>
        <w:tc>
          <w:tcPr>
            <w:tcW w:w="1995" w:type="dxa"/>
            <w:tcBorders>
              <w:top w:val="nil"/>
              <w:left w:val="nil"/>
              <w:bottom w:val="single" w:sz="8" w:space="0" w:color="auto"/>
              <w:right w:val="single" w:sz="8" w:space="0" w:color="auto"/>
            </w:tcBorders>
            <w:shd w:val="clear" w:color="auto" w:fill="auto"/>
            <w:vAlign w:val="center"/>
            <w:hideMark/>
          </w:tcPr>
          <w:p w14:paraId="6054679F" w14:textId="77777777" w:rsidR="00305E46" w:rsidRPr="00216D66" w:rsidRDefault="00305E46" w:rsidP="00305E46">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r w:rsidR="00305E46" w:rsidRPr="00216D66" w14:paraId="3465E404" w14:textId="77777777" w:rsidTr="0091631A">
        <w:trPr>
          <w:trHeight w:val="63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3665E73F" w14:textId="77777777" w:rsidR="00305E46" w:rsidRPr="00216D66" w:rsidRDefault="00305E46" w:rsidP="00305E46">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7E651EDE" w14:textId="77777777" w:rsidR="00305E46" w:rsidRPr="00216D66" w:rsidRDefault="00305E46" w:rsidP="00305E46">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76.</w:t>
            </w:r>
          </w:p>
        </w:tc>
        <w:tc>
          <w:tcPr>
            <w:tcW w:w="517" w:type="dxa"/>
            <w:tcBorders>
              <w:top w:val="nil"/>
              <w:left w:val="nil"/>
              <w:bottom w:val="single" w:sz="8" w:space="0" w:color="auto"/>
              <w:right w:val="single" w:sz="8" w:space="0" w:color="auto"/>
            </w:tcBorders>
            <w:shd w:val="clear" w:color="auto" w:fill="auto"/>
            <w:vAlign w:val="center"/>
            <w:hideMark/>
          </w:tcPr>
          <w:p w14:paraId="085E39B1" w14:textId="77777777" w:rsidR="00305E46" w:rsidRPr="00216D66" w:rsidRDefault="00305E46" w:rsidP="00305E46">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3065" w:type="dxa"/>
            <w:tcBorders>
              <w:top w:val="nil"/>
              <w:left w:val="nil"/>
              <w:bottom w:val="single" w:sz="8" w:space="0" w:color="auto"/>
              <w:right w:val="single" w:sz="8" w:space="0" w:color="auto"/>
            </w:tcBorders>
            <w:shd w:val="clear" w:color="auto" w:fill="auto"/>
            <w:vAlign w:val="center"/>
            <w:hideMark/>
          </w:tcPr>
          <w:p w14:paraId="21D7E556" w14:textId="77777777" w:rsidR="00305E46" w:rsidRPr="00216D66" w:rsidRDefault="00305E46" w:rsidP="00305E46">
            <w:pPr>
              <w:jc w:val="both"/>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Excepciones a la medición general</w:t>
            </w:r>
          </w:p>
        </w:tc>
        <w:tc>
          <w:tcPr>
            <w:tcW w:w="2268" w:type="dxa"/>
            <w:tcBorders>
              <w:top w:val="nil"/>
              <w:left w:val="nil"/>
              <w:bottom w:val="single" w:sz="8" w:space="0" w:color="auto"/>
              <w:right w:val="single" w:sz="8" w:space="0" w:color="auto"/>
            </w:tcBorders>
            <w:shd w:val="clear" w:color="auto" w:fill="auto"/>
            <w:vAlign w:val="center"/>
            <w:hideMark/>
          </w:tcPr>
          <w:p w14:paraId="136BFAFA" w14:textId="77777777" w:rsidR="00216D66" w:rsidRDefault="00305E46"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xml:space="preserve">NICSP N° 12, </w:t>
            </w:r>
          </w:p>
          <w:p w14:paraId="7285EA42" w14:textId="0D94757D" w:rsidR="00305E46" w:rsidRPr="00216D66" w:rsidRDefault="00305E46"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Párrafos 16 y 17.</w:t>
            </w:r>
          </w:p>
        </w:tc>
        <w:tc>
          <w:tcPr>
            <w:tcW w:w="1995" w:type="dxa"/>
            <w:tcBorders>
              <w:top w:val="nil"/>
              <w:left w:val="nil"/>
              <w:bottom w:val="single" w:sz="8" w:space="0" w:color="auto"/>
              <w:right w:val="single" w:sz="8" w:space="0" w:color="auto"/>
            </w:tcBorders>
            <w:shd w:val="clear" w:color="auto" w:fill="auto"/>
            <w:vAlign w:val="center"/>
            <w:hideMark/>
          </w:tcPr>
          <w:p w14:paraId="1678D3E6" w14:textId="77777777" w:rsidR="00305E46" w:rsidRPr="00216D66" w:rsidRDefault="00305E46" w:rsidP="00305E46">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bl>
    <w:p w14:paraId="7EDB975B" w14:textId="77777777" w:rsidR="00E03C4F" w:rsidRDefault="00E03C4F" w:rsidP="00C93362">
      <w:pPr>
        <w:spacing w:line="0" w:lineRule="atLeast"/>
        <w:jc w:val="both"/>
        <w:rPr>
          <w:rFonts w:ascii="Arial" w:eastAsia="Arial" w:hAnsi="Arial"/>
          <w:b/>
          <w:sz w:val="22"/>
          <w:szCs w:val="22"/>
          <w:lang w:val="es-CR"/>
        </w:rPr>
      </w:pPr>
    </w:p>
    <w:p w14:paraId="67CFCF37" w14:textId="2A4D633F" w:rsidR="00FA2715" w:rsidRDefault="00FA2715" w:rsidP="00C93362">
      <w:pPr>
        <w:spacing w:line="0" w:lineRule="atLeast"/>
        <w:jc w:val="both"/>
        <w:rPr>
          <w:rFonts w:ascii="Arial" w:eastAsia="Arial" w:hAnsi="Arial"/>
          <w:b/>
          <w:sz w:val="22"/>
          <w:szCs w:val="22"/>
        </w:rPr>
      </w:pPr>
      <w:r w:rsidRPr="00F02F9D">
        <w:rPr>
          <w:rFonts w:ascii="Arial" w:eastAsia="Arial" w:hAnsi="Arial"/>
          <w:b/>
          <w:sz w:val="22"/>
          <w:szCs w:val="22"/>
        </w:rPr>
        <w:t>Políticas Contables</w:t>
      </w:r>
    </w:p>
    <w:p w14:paraId="771A2E1C" w14:textId="77777777" w:rsidR="00FA2715" w:rsidRPr="00F02F9D" w:rsidRDefault="00FA2715" w:rsidP="00C93362">
      <w:pPr>
        <w:spacing w:line="0" w:lineRule="atLeast"/>
        <w:jc w:val="both"/>
        <w:rPr>
          <w:rFonts w:ascii="Arial" w:eastAsia="Arial" w:hAnsi="Arial"/>
          <w:b/>
          <w:sz w:val="22"/>
          <w:szCs w:val="22"/>
          <w:lang w:val="es-CR"/>
        </w:rPr>
      </w:pPr>
    </w:p>
    <w:p w14:paraId="0CDD2869" w14:textId="22FA0F0B" w:rsidR="00E03C4F" w:rsidRDefault="00E03C4F" w:rsidP="00E03C4F">
      <w:pPr>
        <w:spacing w:line="236" w:lineRule="auto"/>
        <w:ind w:left="993" w:right="260" w:hanging="993"/>
        <w:jc w:val="both"/>
        <w:rPr>
          <w:rFonts w:ascii="Arial" w:eastAsia="Arial" w:hAnsi="Arial"/>
          <w:bCs/>
          <w:sz w:val="22"/>
          <w:szCs w:val="22"/>
          <w:lang w:val="es-CR"/>
        </w:rPr>
      </w:pPr>
      <w:bookmarkStart w:id="31" w:name="page19"/>
      <w:bookmarkEnd w:id="31"/>
      <w:r>
        <w:rPr>
          <w:rFonts w:ascii="Arial" w:eastAsia="Arial" w:hAnsi="Arial"/>
          <w:bCs/>
          <w:sz w:val="22"/>
          <w:szCs w:val="22"/>
          <w:lang w:val="es-CR"/>
        </w:rPr>
        <w:t>1.76.0.01</w:t>
      </w:r>
      <w:r>
        <w:rPr>
          <w:rFonts w:ascii="Arial" w:eastAsia="Arial" w:hAnsi="Arial"/>
          <w:bCs/>
          <w:sz w:val="22"/>
          <w:szCs w:val="22"/>
          <w:lang w:val="es-CR"/>
        </w:rPr>
        <w:tab/>
      </w:r>
      <w:r w:rsidR="00F6415F">
        <w:rPr>
          <w:rFonts w:ascii="Arial" w:eastAsia="Arial" w:hAnsi="Arial"/>
          <w:bCs/>
          <w:sz w:val="22"/>
          <w:szCs w:val="22"/>
          <w:lang w:val="es-CR"/>
        </w:rPr>
        <w:t>Los inventarios se medirán al costo o al valor realizable neto el que sea menor.</w:t>
      </w:r>
    </w:p>
    <w:p w14:paraId="54DD10AA" w14:textId="330F4E53" w:rsidR="00F6415F" w:rsidRDefault="00F6415F" w:rsidP="00E03C4F">
      <w:pPr>
        <w:spacing w:line="236" w:lineRule="auto"/>
        <w:ind w:left="993" w:right="260" w:hanging="993"/>
        <w:jc w:val="both"/>
        <w:rPr>
          <w:rFonts w:ascii="Arial" w:eastAsia="Arial" w:hAnsi="Arial"/>
          <w:bCs/>
          <w:sz w:val="22"/>
          <w:szCs w:val="22"/>
          <w:lang w:val="es-CR"/>
        </w:rPr>
      </w:pPr>
    </w:p>
    <w:p w14:paraId="46BF4831" w14:textId="099F4E87" w:rsidR="007377D0" w:rsidRPr="00F02F9D" w:rsidRDefault="00305E46" w:rsidP="00062A4A">
      <w:p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1.76.1.01</w:t>
      </w:r>
      <w:r w:rsidRPr="00F02F9D">
        <w:rPr>
          <w:rFonts w:ascii="Arial" w:eastAsia="Arial" w:hAnsi="Arial"/>
          <w:bCs/>
          <w:sz w:val="22"/>
          <w:szCs w:val="22"/>
          <w:lang w:val="es-CR"/>
        </w:rPr>
        <w:tab/>
      </w:r>
      <w:r w:rsidR="00F6415F">
        <w:rPr>
          <w:rFonts w:ascii="Arial" w:eastAsia="Arial" w:hAnsi="Arial"/>
          <w:bCs/>
          <w:sz w:val="22"/>
          <w:szCs w:val="22"/>
          <w:lang w:val="es-CR"/>
        </w:rPr>
        <w:t>L</w:t>
      </w:r>
      <w:r w:rsidR="008A4688" w:rsidRPr="00F02F9D">
        <w:rPr>
          <w:rFonts w:ascii="Arial" w:eastAsia="Arial" w:hAnsi="Arial"/>
          <w:bCs/>
          <w:sz w:val="22"/>
          <w:szCs w:val="22"/>
          <w:lang w:val="es-CR"/>
        </w:rPr>
        <w:t xml:space="preserve">os inventarios </w:t>
      </w:r>
      <w:r w:rsidR="00F6415F">
        <w:rPr>
          <w:rFonts w:ascii="Arial" w:eastAsia="Arial" w:hAnsi="Arial"/>
          <w:bCs/>
          <w:sz w:val="22"/>
          <w:szCs w:val="22"/>
          <w:lang w:val="es-CR"/>
        </w:rPr>
        <w:t xml:space="preserve">adquiridos en alguna de las circunstancias excepciones que se describen a continuación </w:t>
      </w:r>
      <w:r w:rsidR="008A4688" w:rsidRPr="00F02F9D">
        <w:rPr>
          <w:rFonts w:ascii="Arial" w:eastAsia="Arial" w:hAnsi="Arial"/>
          <w:bCs/>
          <w:sz w:val="22"/>
          <w:szCs w:val="22"/>
          <w:lang w:val="es-CR"/>
        </w:rPr>
        <w:t>se medirán, según sea el caso, de acuerdo con el siguiente esquema:</w:t>
      </w:r>
    </w:p>
    <w:p w14:paraId="35520FA8" w14:textId="77777777" w:rsidR="00606658" w:rsidRPr="00F02F9D" w:rsidRDefault="00606658" w:rsidP="00606658">
      <w:pPr>
        <w:tabs>
          <w:tab w:val="left" w:pos="601"/>
        </w:tabs>
        <w:spacing w:line="236" w:lineRule="auto"/>
        <w:ind w:right="280"/>
        <w:rPr>
          <w:rFonts w:ascii="Arial" w:eastAsia="Arial" w:hAnsi="Arial"/>
          <w:b/>
          <w:sz w:val="22"/>
          <w:szCs w:val="22"/>
          <w:lang w:val="es-CR"/>
        </w:rPr>
      </w:pPr>
    </w:p>
    <w:tbl>
      <w:tblPr>
        <w:tblW w:w="8928" w:type="dxa"/>
        <w:tblInd w:w="118" w:type="dxa"/>
        <w:tblLook w:val="04A0" w:firstRow="1" w:lastRow="0" w:firstColumn="1" w:lastColumn="0" w:noHBand="0" w:noVBand="1"/>
      </w:tblPr>
      <w:tblGrid>
        <w:gridCol w:w="460"/>
        <w:gridCol w:w="4208"/>
        <w:gridCol w:w="4260"/>
      </w:tblGrid>
      <w:tr w:rsidR="00EC45E4" w:rsidRPr="00216D66" w14:paraId="20E7524D" w14:textId="77777777" w:rsidTr="00EC45E4">
        <w:trPr>
          <w:trHeight w:val="320"/>
        </w:trPr>
        <w:tc>
          <w:tcPr>
            <w:tcW w:w="460" w:type="dxa"/>
            <w:tcBorders>
              <w:top w:val="single" w:sz="8" w:space="0" w:color="auto"/>
              <w:left w:val="single" w:sz="8" w:space="0" w:color="auto"/>
              <w:bottom w:val="single" w:sz="8" w:space="0" w:color="auto"/>
              <w:right w:val="nil"/>
            </w:tcBorders>
            <w:shd w:val="clear" w:color="000000" w:fill="203764"/>
            <w:vAlign w:val="center"/>
            <w:hideMark/>
          </w:tcPr>
          <w:p w14:paraId="7D3302D4" w14:textId="77777777" w:rsidR="00EC45E4" w:rsidRPr="00216D66" w:rsidRDefault="00EC45E4" w:rsidP="00EC45E4">
            <w:pPr>
              <w:jc w:val="center"/>
              <w:rPr>
                <w:rFonts w:ascii="Arial" w:eastAsia="Times New Roman" w:hAnsi="Arial"/>
                <w:b/>
                <w:bCs/>
                <w:color w:val="FFFFFF"/>
                <w:lang w:val="es-CR"/>
              </w:rPr>
            </w:pPr>
            <w:r w:rsidRPr="00216D66">
              <w:rPr>
                <w:rFonts w:ascii="Arial" w:eastAsia="Times New Roman" w:hAnsi="Arial"/>
                <w:b/>
                <w:bCs/>
                <w:color w:val="FFFFFF"/>
                <w:lang w:val="es-CR"/>
              </w:rPr>
              <w:t> </w:t>
            </w:r>
          </w:p>
        </w:tc>
        <w:tc>
          <w:tcPr>
            <w:tcW w:w="4208" w:type="dxa"/>
            <w:tcBorders>
              <w:top w:val="single" w:sz="8" w:space="0" w:color="auto"/>
              <w:left w:val="single" w:sz="8" w:space="0" w:color="auto"/>
              <w:bottom w:val="single" w:sz="8" w:space="0" w:color="auto"/>
              <w:right w:val="nil"/>
            </w:tcBorders>
            <w:shd w:val="clear" w:color="000000" w:fill="203764"/>
            <w:vAlign w:val="center"/>
            <w:hideMark/>
          </w:tcPr>
          <w:p w14:paraId="29008464" w14:textId="77777777" w:rsidR="00EC45E4" w:rsidRPr="00216D66" w:rsidRDefault="00EC45E4" w:rsidP="00EC45E4">
            <w:pPr>
              <w:jc w:val="center"/>
              <w:rPr>
                <w:rFonts w:ascii="Arial" w:eastAsia="Times New Roman" w:hAnsi="Arial"/>
                <w:b/>
                <w:bCs/>
                <w:color w:val="FFFFFF"/>
              </w:rPr>
            </w:pPr>
            <w:r w:rsidRPr="00216D66">
              <w:rPr>
                <w:rFonts w:ascii="Arial" w:eastAsia="Times New Roman" w:hAnsi="Arial"/>
                <w:b/>
                <w:bCs/>
                <w:color w:val="FFFFFF"/>
              </w:rPr>
              <w:t>Tipo</w:t>
            </w:r>
          </w:p>
        </w:tc>
        <w:tc>
          <w:tcPr>
            <w:tcW w:w="4260" w:type="dxa"/>
            <w:tcBorders>
              <w:top w:val="single" w:sz="8" w:space="0" w:color="auto"/>
              <w:left w:val="single" w:sz="8" w:space="0" w:color="auto"/>
              <w:bottom w:val="single" w:sz="8" w:space="0" w:color="auto"/>
              <w:right w:val="nil"/>
            </w:tcBorders>
            <w:shd w:val="clear" w:color="000000" w:fill="203764"/>
            <w:vAlign w:val="center"/>
            <w:hideMark/>
          </w:tcPr>
          <w:p w14:paraId="13E3B018" w14:textId="77777777" w:rsidR="00EC45E4" w:rsidRPr="00216D66" w:rsidRDefault="00EC45E4" w:rsidP="00EC45E4">
            <w:pPr>
              <w:jc w:val="center"/>
              <w:rPr>
                <w:rFonts w:ascii="Arial" w:eastAsia="Times New Roman" w:hAnsi="Arial"/>
                <w:b/>
                <w:bCs/>
                <w:color w:val="FFFFFF"/>
              </w:rPr>
            </w:pPr>
            <w:r w:rsidRPr="00216D66">
              <w:rPr>
                <w:rFonts w:ascii="Arial" w:eastAsia="Times New Roman" w:hAnsi="Arial"/>
                <w:b/>
                <w:bCs/>
                <w:color w:val="FFFFFF"/>
              </w:rPr>
              <w:t>Medición</w:t>
            </w:r>
          </w:p>
        </w:tc>
      </w:tr>
      <w:tr w:rsidR="00EC45E4" w:rsidRPr="006E5442" w14:paraId="78ECBF5E" w14:textId="77777777" w:rsidTr="00EC45E4">
        <w:trPr>
          <w:trHeight w:val="620"/>
        </w:trPr>
        <w:tc>
          <w:tcPr>
            <w:tcW w:w="460" w:type="dxa"/>
            <w:tcBorders>
              <w:top w:val="nil"/>
              <w:left w:val="single" w:sz="4" w:space="0" w:color="auto"/>
              <w:bottom w:val="single" w:sz="4" w:space="0" w:color="auto"/>
              <w:right w:val="nil"/>
            </w:tcBorders>
            <w:shd w:val="clear" w:color="auto" w:fill="auto"/>
            <w:vAlign w:val="center"/>
            <w:hideMark/>
          </w:tcPr>
          <w:p w14:paraId="654D15AF" w14:textId="77777777" w:rsidR="00EC45E4" w:rsidRPr="00216D66" w:rsidRDefault="00EC45E4" w:rsidP="00EC45E4">
            <w:pPr>
              <w:jc w:val="center"/>
              <w:rPr>
                <w:rFonts w:ascii="Arial" w:eastAsia="Times New Roman" w:hAnsi="Arial"/>
                <w:color w:val="000000"/>
              </w:rPr>
            </w:pPr>
            <w:r w:rsidRPr="00216D66">
              <w:rPr>
                <w:rFonts w:ascii="Arial" w:eastAsia="Times New Roman" w:hAnsi="Arial"/>
                <w:color w:val="000000"/>
                <w:lang w:val="es-CR"/>
              </w:rPr>
              <w:t>a)</w:t>
            </w:r>
          </w:p>
        </w:tc>
        <w:tc>
          <w:tcPr>
            <w:tcW w:w="4208" w:type="dxa"/>
            <w:tcBorders>
              <w:top w:val="nil"/>
              <w:left w:val="nil"/>
              <w:bottom w:val="single" w:sz="4" w:space="0" w:color="auto"/>
              <w:right w:val="single" w:sz="4" w:space="0" w:color="auto"/>
            </w:tcBorders>
            <w:shd w:val="clear" w:color="auto" w:fill="auto"/>
            <w:vAlign w:val="center"/>
            <w:hideMark/>
          </w:tcPr>
          <w:p w14:paraId="5945BFE0" w14:textId="1C39B26E" w:rsidR="00EC45E4" w:rsidRPr="00216D66" w:rsidRDefault="00EC45E4" w:rsidP="00EC45E4">
            <w:pPr>
              <w:jc w:val="both"/>
              <w:rPr>
                <w:rFonts w:ascii="Arial" w:eastAsia="Times New Roman" w:hAnsi="Arial"/>
                <w:color w:val="000000"/>
                <w:lang w:val="es-CR"/>
              </w:rPr>
            </w:pPr>
            <w:r w:rsidRPr="00216D66">
              <w:rPr>
                <w:rFonts w:ascii="Arial" w:eastAsia="Times New Roman" w:hAnsi="Arial"/>
                <w:color w:val="000000"/>
                <w:lang w:val="es-CR"/>
              </w:rPr>
              <w:t>Adquiridos a través de transacción sin contraprestación</w:t>
            </w:r>
          </w:p>
        </w:tc>
        <w:tc>
          <w:tcPr>
            <w:tcW w:w="4260" w:type="dxa"/>
            <w:tcBorders>
              <w:top w:val="nil"/>
              <w:left w:val="nil"/>
              <w:bottom w:val="single" w:sz="4" w:space="0" w:color="auto"/>
              <w:right w:val="single" w:sz="4" w:space="0" w:color="auto"/>
            </w:tcBorders>
            <w:shd w:val="clear" w:color="auto" w:fill="auto"/>
            <w:vAlign w:val="center"/>
            <w:hideMark/>
          </w:tcPr>
          <w:p w14:paraId="63DEE464" w14:textId="68FA9F95" w:rsidR="00EC45E4" w:rsidRPr="00216D66" w:rsidRDefault="00EC45E4" w:rsidP="00EC45E4">
            <w:pPr>
              <w:jc w:val="both"/>
              <w:rPr>
                <w:rFonts w:ascii="Arial" w:eastAsia="Times New Roman" w:hAnsi="Arial"/>
                <w:color w:val="000000"/>
                <w:lang w:val="es-CR"/>
              </w:rPr>
            </w:pPr>
            <w:r w:rsidRPr="00216D66">
              <w:rPr>
                <w:rFonts w:ascii="Arial" w:eastAsia="Times New Roman" w:hAnsi="Arial"/>
                <w:color w:val="000000"/>
                <w:lang w:val="es-CR"/>
              </w:rPr>
              <w:t>A su valor razonable a la fecha de adquisición</w:t>
            </w:r>
          </w:p>
        </w:tc>
      </w:tr>
      <w:tr w:rsidR="00EC45E4" w:rsidRPr="006E5442" w14:paraId="36F7081F" w14:textId="77777777" w:rsidTr="00EC45E4">
        <w:trPr>
          <w:trHeight w:val="620"/>
        </w:trPr>
        <w:tc>
          <w:tcPr>
            <w:tcW w:w="460" w:type="dxa"/>
            <w:tcBorders>
              <w:top w:val="nil"/>
              <w:left w:val="single" w:sz="4" w:space="0" w:color="auto"/>
              <w:bottom w:val="single" w:sz="4" w:space="0" w:color="auto"/>
              <w:right w:val="nil"/>
            </w:tcBorders>
            <w:shd w:val="clear" w:color="auto" w:fill="auto"/>
            <w:vAlign w:val="center"/>
            <w:hideMark/>
          </w:tcPr>
          <w:p w14:paraId="2D7680B2" w14:textId="77777777" w:rsidR="00EC45E4" w:rsidRPr="00216D66" w:rsidRDefault="00EC45E4" w:rsidP="00EC45E4">
            <w:pPr>
              <w:jc w:val="center"/>
              <w:rPr>
                <w:rFonts w:ascii="Arial" w:eastAsia="Times New Roman" w:hAnsi="Arial"/>
                <w:color w:val="000000"/>
              </w:rPr>
            </w:pPr>
            <w:r w:rsidRPr="00216D66">
              <w:rPr>
                <w:rFonts w:ascii="Arial" w:eastAsia="Times New Roman" w:hAnsi="Arial"/>
                <w:color w:val="000000"/>
              </w:rPr>
              <w:t>b)</w:t>
            </w:r>
          </w:p>
        </w:tc>
        <w:tc>
          <w:tcPr>
            <w:tcW w:w="4208" w:type="dxa"/>
            <w:tcBorders>
              <w:top w:val="nil"/>
              <w:left w:val="nil"/>
              <w:bottom w:val="single" w:sz="4" w:space="0" w:color="auto"/>
              <w:right w:val="single" w:sz="4" w:space="0" w:color="auto"/>
            </w:tcBorders>
            <w:shd w:val="clear" w:color="auto" w:fill="auto"/>
            <w:vAlign w:val="center"/>
            <w:hideMark/>
          </w:tcPr>
          <w:p w14:paraId="3633F6C5" w14:textId="3EB9D6B7" w:rsidR="00EC45E4" w:rsidRPr="00216D66" w:rsidRDefault="00EC45E4" w:rsidP="00EC45E4">
            <w:pPr>
              <w:jc w:val="both"/>
              <w:rPr>
                <w:rFonts w:ascii="Arial" w:eastAsia="Times New Roman" w:hAnsi="Arial"/>
                <w:color w:val="000000"/>
                <w:lang w:val="es-CR"/>
              </w:rPr>
            </w:pPr>
            <w:r w:rsidRPr="00216D66">
              <w:rPr>
                <w:rFonts w:ascii="Arial" w:eastAsia="Times New Roman" w:hAnsi="Arial"/>
                <w:color w:val="000000"/>
                <w:lang w:val="es-CR"/>
              </w:rPr>
              <w:t xml:space="preserve">A distribuir sin contraprestación a </w:t>
            </w:r>
            <w:r w:rsidR="000F29DC" w:rsidRPr="00216D66">
              <w:rPr>
                <w:rFonts w:ascii="Arial" w:eastAsia="Times New Roman" w:hAnsi="Arial"/>
                <w:color w:val="000000"/>
                <w:lang w:val="es-CR"/>
              </w:rPr>
              <w:t>ca</w:t>
            </w:r>
            <w:r w:rsidR="000F29DC">
              <w:rPr>
                <w:rFonts w:ascii="Arial" w:eastAsia="Times New Roman" w:hAnsi="Arial"/>
                <w:color w:val="000000"/>
                <w:lang w:val="es-CR"/>
              </w:rPr>
              <w:t>mbi</w:t>
            </w:r>
            <w:r w:rsidR="000F29DC" w:rsidRPr="00216D66">
              <w:rPr>
                <w:rFonts w:ascii="Arial" w:eastAsia="Times New Roman" w:hAnsi="Arial"/>
                <w:color w:val="000000"/>
                <w:lang w:val="es-CR"/>
              </w:rPr>
              <w:t>o</w:t>
            </w:r>
            <w:r w:rsidRPr="00216D66">
              <w:rPr>
                <w:rFonts w:ascii="Arial" w:eastAsia="Times New Roman" w:hAnsi="Arial"/>
                <w:color w:val="000000"/>
                <w:lang w:val="es-CR"/>
              </w:rPr>
              <w:t>, o por una contraprestación insignificante</w:t>
            </w:r>
          </w:p>
        </w:tc>
        <w:tc>
          <w:tcPr>
            <w:tcW w:w="4260" w:type="dxa"/>
            <w:tcBorders>
              <w:top w:val="nil"/>
              <w:left w:val="nil"/>
              <w:bottom w:val="single" w:sz="4" w:space="0" w:color="auto"/>
              <w:right w:val="single" w:sz="4" w:space="0" w:color="auto"/>
            </w:tcBorders>
            <w:shd w:val="clear" w:color="auto" w:fill="auto"/>
            <w:vAlign w:val="center"/>
            <w:hideMark/>
          </w:tcPr>
          <w:p w14:paraId="028EAFB3" w14:textId="77777777" w:rsidR="00EC45E4" w:rsidRPr="00216D66" w:rsidRDefault="00EC45E4" w:rsidP="00EC45E4">
            <w:pPr>
              <w:jc w:val="both"/>
              <w:rPr>
                <w:rFonts w:ascii="Arial" w:eastAsia="Times New Roman" w:hAnsi="Arial"/>
                <w:color w:val="000000"/>
                <w:lang w:val="es-CR"/>
              </w:rPr>
            </w:pPr>
            <w:r w:rsidRPr="00216D66">
              <w:rPr>
                <w:rFonts w:ascii="Arial" w:eastAsia="Times New Roman" w:hAnsi="Arial"/>
                <w:color w:val="000000"/>
                <w:lang w:val="es-CR"/>
              </w:rPr>
              <w:t>Al menor valor entre el costo y el costo corriente de reposición</w:t>
            </w:r>
          </w:p>
        </w:tc>
      </w:tr>
      <w:tr w:rsidR="00EC45E4" w:rsidRPr="006E5442" w14:paraId="30A0D6D8" w14:textId="77777777" w:rsidTr="00EC45E4">
        <w:trPr>
          <w:trHeight w:val="620"/>
        </w:trPr>
        <w:tc>
          <w:tcPr>
            <w:tcW w:w="460" w:type="dxa"/>
            <w:tcBorders>
              <w:top w:val="nil"/>
              <w:left w:val="single" w:sz="4" w:space="0" w:color="auto"/>
              <w:bottom w:val="single" w:sz="4" w:space="0" w:color="auto"/>
              <w:right w:val="nil"/>
            </w:tcBorders>
            <w:shd w:val="clear" w:color="auto" w:fill="auto"/>
            <w:vAlign w:val="center"/>
            <w:hideMark/>
          </w:tcPr>
          <w:p w14:paraId="3DFF598B" w14:textId="77777777" w:rsidR="00EC45E4" w:rsidRPr="00216D66" w:rsidRDefault="00EC45E4" w:rsidP="00EC45E4">
            <w:pPr>
              <w:jc w:val="center"/>
              <w:rPr>
                <w:rFonts w:ascii="Arial" w:eastAsia="Times New Roman" w:hAnsi="Arial"/>
                <w:color w:val="000000"/>
              </w:rPr>
            </w:pPr>
            <w:r w:rsidRPr="00216D66">
              <w:rPr>
                <w:rFonts w:ascii="Arial" w:eastAsia="Times New Roman" w:hAnsi="Arial"/>
                <w:color w:val="000000"/>
              </w:rPr>
              <w:t>c)</w:t>
            </w:r>
          </w:p>
        </w:tc>
        <w:tc>
          <w:tcPr>
            <w:tcW w:w="4208" w:type="dxa"/>
            <w:tcBorders>
              <w:top w:val="nil"/>
              <w:left w:val="nil"/>
              <w:bottom w:val="single" w:sz="4" w:space="0" w:color="auto"/>
              <w:right w:val="single" w:sz="4" w:space="0" w:color="auto"/>
            </w:tcBorders>
            <w:shd w:val="clear" w:color="auto" w:fill="auto"/>
            <w:vAlign w:val="center"/>
            <w:hideMark/>
          </w:tcPr>
          <w:p w14:paraId="081AF088" w14:textId="77777777" w:rsidR="00EC45E4" w:rsidRPr="00216D66" w:rsidRDefault="00EC45E4" w:rsidP="00EC45E4">
            <w:pPr>
              <w:jc w:val="both"/>
              <w:rPr>
                <w:rFonts w:ascii="Arial" w:eastAsia="Times New Roman" w:hAnsi="Arial"/>
                <w:color w:val="000000"/>
                <w:lang w:val="es-CR"/>
              </w:rPr>
            </w:pPr>
            <w:r w:rsidRPr="00216D66">
              <w:rPr>
                <w:rFonts w:ascii="Arial" w:eastAsia="Times New Roman" w:hAnsi="Arial"/>
                <w:color w:val="000000"/>
                <w:lang w:val="es-CR"/>
              </w:rPr>
              <w:t>Para consumirlos en el proceso de producción de bienes</w:t>
            </w:r>
          </w:p>
        </w:tc>
        <w:tc>
          <w:tcPr>
            <w:tcW w:w="4260" w:type="dxa"/>
            <w:tcBorders>
              <w:top w:val="nil"/>
              <w:left w:val="nil"/>
              <w:bottom w:val="single" w:sz="4" w:space="0" w:color="auto"/>
              <w:right w:val="single" w:sz="4" w:space="0" w:color="auto"/>
            </w:tcBorders>
            <w:shd w:val="clear" w:color="auto" w:fill="auto"/>
            <w:vAlign w:val="center"/>
            <w:hideMark/>
          </w:tcPr>
          <w:p w14:paraId="0C8A4C61" w14:textId="77777777" w:rsidR="00EC45E4" w:rsidRPr="00216D66" w:rsidRDefault="00EC45E4" w:rsidP="00EC45E4">
            <w:pPr>
              <w:jc w:val="both"/>
              <w:rPr>
                <w:rFonts w:ascii="Arial" w:eastAsia="Times New Roman" w:hAnsi="Arial"/>
                <w:color w:val="000000"/>
                <w:lang w:val="es-CR"/>
              </w:rPr>
            </w:pPr>
            <w:r w:rsidRPr="00216D66">
              <w:rPr>
                <w:rFonts w:ascii="Arial" w:eastAsia="Times New Roman" w:hAnsi="Arial"/>
                <w:color w:val="000000"/>
                <w:lang w:val="es-CR"/>
              </w:rPr>
              <w:t>Al menor valor entre el costo y el costo corriente de reposición</w:t>
            </w:r>
          </w:p>
        </w:tc>
      </w:tr>
    </w:tbl>
    <w:p w14:paraId="3FBF590E" w14:textId="77777777" w:rsidR="00606658" w:rsidRDefault="00606658" w:rsidP="00606658">
      <w:pPr>
        <w:tabs>
          <w:tab w:val="left" w:pos="601"/>
        </w:tabs>
        <w:spacing w:line="236" w:lineRule="auto"/>
        <w:ind w:right="280"/>
        <w:rPr>
          <w:rFonts w:ascii="Arial" w:eastAsia="Arial" w:hAnsi="Arial"/>
          <w:b/>
          <w:sz w:val="22"/>
          <w:szCs w:val="22"/>
          <w:lang w:val="es-CR"/>
        </w:rPr>
      </w:pPr>
    </w:p>
    <w:p w14:paraId="735B7842" w14:textId="77777777" w:rsidR="00E03C4F" w:rsidRDefault="00E03C4F" w:rsidP="00606658">
      <w:pPr>
        <w:tabs>
          <w:tab w:val="left" w:pos="601"/>
        </w:tabs>
        <w:spacing w:line="236" w:lineRule="auto"/>
        <w:ind w:right="280"/>
        <w:rPr>
          <w:rFonts w:ascii="Arial" w:eastAsia="Arial" w:hAnsi="Arial"/>
          <w:b/>
          <w:sz w:val="22"/>
          <w:szCs w:val="22"/>
          <w:lang w:val="es-CR"/>
        </w:rPr>
      </w:pPr>
    </w:p>
    <w:p w14:paraId="611FF965" w14:textId="77777777" w:rsidR="00606658" w:rsidRPr="00F02F9D" w:rsidRDefault="00606658" w:rsidP="00606658">
      <w:pPr>
        <w:tabs>
          <w:tab w:val="left" w:pos="601"/>
        </w:tabs>
        <w:spacing w:line="236" w:lineRule="auto"/>
        <w:ind w:right="280"/>
        <w:rPr>
          <w:rFonts w:ascii="Arial" w:eastAsia="Arial" w:hAnsi="Arial"/>
          <w:b/>
          <w:sz w:val="22"/>
          <w:szCs w:val="22"/>
          <w:lang w:val="es-CR"/>
        </w:rPr>
      </w:pPr>
    </w:p>
    <w:tbl>
      <w:tblPr>
        <w:tblW w:w="9072" w:type="dxa"/>
        <w:tblInd w:w="-10" w:type="dxa"/>
        <w:tblLook w:val="04A0" w:firstRow="1" w:lastRow="0" w:firstColumn="1" w:lastColumn="0" w:noHBand="0" w:noVBand="1"/>
      </w:tblPr>
      <w:tblGrid>
        <w:gridCol w:w="561"/>
        <w:gridCol w:w="550"/>
        <w:gridCol w:w="532"/>
        <w:gridCol w:w="3450"/>
        <w:gridCol w:w="1701"/>
        <w:gridCol w:w="2278"/>
      </w:tblGrid>
      <w:tr w:rsidR="00E93992" w:rsidRPr="00216D66" w14:paraId="7E3A7BB0" w14:textId="77777777" w:rsidTr="00804D82">
        <w:trPr>
          <w:trHeight w:val="320"/>
        </w:trPr>
        <w:tc>
          <w:tcPr>
            <w:tcW w:w="164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7532E87" w14:textId="77777777" w:rsidR="00E93992" w:rsidRPr="00216D66" w:rsidRDefault="00E93992" w:rsidP="00E93992">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345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D2CCE1A" w14:textId="77777777" w:rsidR="00E93992" w:rsidRPr="00216D66" w:rsidRDefault="00E93992" w:rsidP="00E93992">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3979" w:type="dxa"/>
            <w:gridSpan w:val="2"/>
            <w:tcBorders>
              <w:top w:val="single" w:sz="8" w:space="0" w:color="auto"/>
              <w:left w:val="nil"/>
              <w:bottom w:val="single" w:sz="8" w:space="0" w:color="auto"/>
              <w:right w:val="single" w:sz="8" w:space="0" w:color="000000"/>
            </w:tcBorders>
            <w:shd w:val="clear" w:color="000000" w:fill="203764"/>
            <w:vAlign w:val="center"/>
            <w:hideMark/>
          </w:tcPr>
          <w:p w14:paraId="3AEBAC37" w14:textId="77777777" w:rsidR="00E93992" w:rsidRPr="00216D66" w:rsidRDefault="00E93992" w:rsidP="00E93992">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E93992" w:rsidRPr="0091631A" w14:paraId="7840DE8B" w14:textId="77777777" w:rsidTr="00804D82">
        <w:trPr>
          <w:trHeight w:val="320"/>
        </w:trPr>
        <w:tc>
          <w:tcPr>
            <w:tcW w:w="1643" w:type="dxa"/>
            <w:gridSpan w:val="3"/>
            <w:vMerge/>
            <w:tcBorders>
              <w:top w:val="single" w:sz="8" w:space="0" w:color="auto"/>
              <w:left w:val="single" w:sz="8" w:space="0" w:color="auto"/>
              <w:bottom w:val="nil"/>
              <w:right w:val="single" w:sz="8" w:space="0" w:color="000000"/>
            </w:tcBorders>
            <w:vAlign w:val="center"/>
            <w:hideMark/>
          </w:tcPr>
          <w:p w14:paraId="24A81A9B" w14:textId="77777777" w:rsidR="00E93992" w:rsidRPr="00216D66" w:rsidRDefault="00E93992" w:rsidP="00E93992">
            <w:pPr>
              <w:rPr>
                <w:rFonts w:ascii="Arial Narrow" w:eastAsia="Times New Roman" w:hAnsi="Arial Narrow"/>
                <w:b/>
                <w:bCs/>
                <w:color w:val="FFFFFF"/>
                <w:sz w:val="22"/>
                <w:szCs w:val="22"/>
              </w:rPr>
            </w:pPr>
          </w:p>
        </w:tc>
        <w:tc>
          <w:tcPr>
            <w:tcW w:w="3450" w:type="dxa"/>
            <w:vMerge/>
            <w:tcBorders>
              <w:top w:val="single" w:sz="8" w:space="0" w:color="auto"/>
              <w:left w:val="single" w:sz="8" w:space="0" w:color="auto"/>
              <w:bottom w:val="nil"/>
              <w:right w:val="single" w:sz="8" w:space="0" w:color="auto"/>
            </w:tcBorders>
            <w:vAlign w:val="center"/>
            <w:hideMark/>
          </w:tcPr>
          <w:p w14:paraId="601175F6" w14:textId="77777777" w:rsidR="00E93992" w:rsidRPr="00216D66" w:rsidRDefault="00E93992" w:rsidP="00E93992">
            <w:pPr>
              <w:rPr>
                <w:rFonts w:ascii="Arial Narrow" w:eastAsia="Times New Roman" w:hAnsi="Arial Narrow"/>
                <w:b/>
                <w:bCs/>
                <w:color w:val="FFFFFF"/>
                <w:sz w:val="22"/>
                <w:szCs w:val="22"/>
              </w:rPr>
            </w:pPr>
          </w:p>
        </w:tc>
        <w:tc>
          <w:tcPr>
            <w:tcW w:w="1701" w:type="dxa"/>
            <w:tcBorders>
              <w:top w:val="nil"/>
              <w:left w:val="nil"/>
              <w:bottom w:val="nil"/>
              <w:right w:val="single" w:sz="8" w:space="0" w:color="auto"/>
            </w:tcBorders>
            <w:shd w:val="clear" w:color="000000" w:fill="203764"/>
            <w:vAlign w:val="center"/>
            <w:hideMark/>
          </w:tcPr>
          <w:p w14:paraId="18E74D6A" w14:textId="77777777" w:rsidR="00E93992" w:rsidRPr="00216D66" w:rsidRDefault="00E93992" w:rsidP="00E93992">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2278" w:type="dxa"/>
            <w:tcBorders>
              <w:top w:val="nil"/>
              <w:left w:val="nil"/>
              <w:bottom w:val="nil"/>
              <w:right w:val="single" w:sz="8" w:space="0" w:color="auto"/>
            </w:tcBorders>
            <w:shd w:val="clear" w:color="000000" w:fill="203764"/>
            <w:vAlign w:val="center"/>
            <w:hideMark/>
          </w:tcPr>
          <w:p w14:paraId="7C919653" w14:textId="3C31D50A" w:rsidR="00E93992" w:rsidRPr="0091631A" w:rsidRDefault="0091631A" w:rsidP="00E93992">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E93992" w:rsidRPr="00216D66" w14:paraId="4EFA3727" w14:textId="77777777" w:rsidTr="00804D82">
        <w:trPr>
          <w:trHeight w:val="626"/>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A66604" w14:textId="77777777" w:rsidR="00E93992" w:rsidRPr="00216D66" w:rsidRDefault="00E93992" w:rsidP="00E93992">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 xml:space="preserve"> 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69A49A77" w14:textId="77777777" w:rsidR="00E93992" w:rsidRPr="00216D66" w:rsidRDefault="00E93992" w:rsidP="00E93992">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77.</w:t>
            </w:r>
          </w:p>
        </w:tc>
        <w:tc>
          <w:tcPr>
            <w:tcW w:w="532" w:type="dxa"/>
            <w:tcBorders>
              <w:top w:val="single" w:sz="8" w:space="0" w:color="auto"/>
              <w:left w:val="nil"/>
              <w:bottom w:val="single" w:sz="8" w:space="0" w:color="auto"/>
              <w:right w:val="single" w:sz="8" w:space="0" w:color="auto"/>
            </w:tcBorders>
            <w:shd w:val="clear" w:color="auto" w:fill="auto"/>
            <w:vAlign w:val="center"/>
            <w:hideMark/>
          </w:tcPr>
          <w:p w14:paraId="6AC6C089" w14:textId="51CD5A46" w:rsidR="00E93992" w:rsidRPr="00216D66" w:rsidRDefault="00E93992" w:rsidP="00E93992">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 xml:space="preserve"> </w:t>
            </w:r>
          </w:p>
        </w:tc>
        <w:tc>
          <w:tcPr>
            <w:tcW w:w="3450" w:type="dxa"/>
            <w:tcBorders>
              <w:top w:val="single" w:sz="8" w:space="0" w:color="auto"/>
              <w:left w:val="nil"/>
              <w:bottom w:val="single" w:sz="8" w:space="0" w:color="auto"/>
              <w:right w:val="nil"/>
            </w:tcBorders>
            <w:shd w:val="clear" w:color="auto" w:fill="auto"/>
            <w:vAlign w:val="center"/>
            <w:hideMark/>
          </w:tcPr>
          <w:p w14:paraId="65D54AE4" w14:textId="5EE54258" w:rsidR="00E93992" w:rsidRPr="00216D66" w:rsidRDefault="00E93992" w:rsidP="00E93992">
            <w:pPr>
              <w:jc w:val="both"/>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 xml:space="preserve">Medición de bienes recibidos sin contraprestación o con contraprestación </w:t>
            </w:r>
            <w:r w:rsidR="000F29DC" w:rsidRPr="00216D66">
              <w:rPr>
                <w:rFonts w:ascii="Arial Narrow" w:eastAsia="Times New Roman" w:hAnsi="Arial Narrow"/>
                <w:b/>
                <w:bCs/>
                <w:color w:val="000000"/>
                <w:sz w:val="22"/>
                <w:szCs w:val="22"/>
                <w:lang w:val="es-CR"/>
              </w:rPr>
              <w:t>si</w:t>
            </w:r>
            <w:r w:rsidR="000F29DC">
              <w:rPr>
                <w:rFonts w:ascii="Arial Narrow" w:eastAsia="Times New Roman" w:hAnsi="Arial Narrow"/>
                <w:b/>
                <w:bCs/>
                <w:color w:val="000000"/>
                <w:sz w:val="22"/>
                <w:szCs w:val="22"/>
                <w:lang w:val="es-CR"/>
              </w:rPr>
              <w:t>mbó</w:t>
            </w:r>
            <w:r w:rsidR="000F29DC" w:rsidRPr="00216D66">
              <w:rPr>
                <w:rFonts w:ascii="Arial Narrow" w:eastAsia="Times New Roman" w:hAnsi="Arial Narrow"/>
                <w:b/>
                <w:bCs/>
                <w:color w:val="000000"/>
                <w:sz w:val="22"/>
                <w:szCs w:val="22"/>
                <w:lang w:val="es-CR"/>
              </w:rPr>
              <w:t>lica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A7083C" w14:textId="77777777" w:rsidR="00E93992" w:rsidRPr="00216D66" w:rsidRDefault="00E93992" w:rsidP="00E93992">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NICSP N° 12, Párrafo 43.</w:t>
            </w:r>
          </w:p>
        </w:tc>
        <w:tc>
          <w:tcPr>
            <w:tcW w:w="2278" w:type="dxa"/>
            <w:tcBorders>
              <w:top w:val="single" w:sz="8" w:space="0" w:color="auto"/>
              <w:left w:val="nil"/>
              <w:bottom w:val="single" w:sz="8" w:space="0" w:color="auto"/>
              <w:right w:val="single" w:sz="8" w:space="0" w:color="auto"/>
            </w:tcBorders>
            <w:shd w:val="clear" w:color="auto" w:fill="auto"/>
            <w:vAlign w:val="center"/>
            <w:hideMark/>
          </w:tcPr>
          <w:p w14:paraId="1CF3C5DB" w14:textId="77777777" w:rsidR="00E93992" w:rsidRPr="00216D66" w:rsidRDefault="00E93992" w:rsidP="00E93992">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bl>
    <w:p w14:paraId="3C737D15" w14:textId="77777777" w:rsidR="00606658" w:rsidRDefault="00606658" w:rsidP="00606658">
      <w:pPr>
        <w:tabs>
          <w:tab w:val="left" w:pos="601"/>
        </w:tabs>
        <w:spacing w:line="236" w:lineRule="auto"/>
        <w:ind w:right="280"/>
        <w:rPr>
          <w:rFonts w:ascii="Arial" w:eastAsia="Arial" w:hAnsi="Arial"/>
          <w:b/>
          <w:sz w:val="22"/>
          <w:szCs w:val="22"/>
          <w:lang w:val="es-CR"/>
        </w:rPr>
      </w:pPr>
    </w:p>
    <w:p w14:paraId="2021C12A" w14:textId="572F6F4A" w:rsidR="00FA2715" w:rsidRDefault="00FA2715" w:rsidP="00606658">
      <w:pPr>
        <w:tabs>
          <w:tab w:val="left" w:pos="601"/>
        </w:tabs>
        <w:spacing w:line="236" w:lineRule="auto"/>
        <w:ind w:right="280"/>
        <w:rPr>
          <w:rFonts w:ascii="Arial" w:eastAsia="Arial" w:hAnsi="Arial"/>
          <w:b/>
          <w:sz w:val="22"/>
          <w:szCs w:val="22"/>
        </w:rPr>
      </w:pPr>
      <w:r w:rsidRPr="00F02F9D">
        <w:rPr>
          <w:rFonts w:ascii="Arial" w:eastAsia="Arial" w:hAnsi="Arial"/>
          <w:b/>
          <w:sz w:val="22"/>
          <w:szCs w:val="22"/>
        </w:rPr>
        <w:t>Política Contable</w:t>
      </w:r>
    </w:p>
    <w:p w14:paraId="5C5C2CCC" w14:textId="77777777" w:rsidR="00FA2715" w:rsidRDefault="00FA2715" w:rsidP="00606658">
      <w:pPr>
        <w:tabs>
          <w:tab w:val="left" w:pos="601"/>
        </w:tabs>
        <w:spacing w:line="236" w:lineRule="auto"/>
        <w:ind w:right="280"/>
        <w:rPr>
          <w:rFonts w:ascii="Arial" w:eastAsia="Arial" w:hAnsi="Arial"/>
          <w:b/>
          <w:sz w:val="22"/>
          <w:szCs w:val="22"/>
          <w:lang w:val="es-CR"/>
        </w:rPr>
      </w:pPr>
    </w:p>
    <w:p w14:paraId="0F5BBD6D" w14:textId="0D656FF9" w:rsidR="007377D0" w:rsidRPr="00F02F9D" w:rsidRDefault="000701B6" w:rsidP="00DB0DDE">
      <w:pPr>
        <w:spacing w:line="250" w:lineRule="auto"/>
        <w:ind w:left="993" w:right="260" w:hanging="993"/>
        <w:jc w:val="both"/>
        <w:rPr>
          <w:rFonts w:ascii="Arial" w:eastAsia="Arial" w:hAnsi="Arial"/>
          <w:bCs/>
          <w:sz w:val="22"/>
          <w:szCs w:val="22"/>
          <w:lang w:val="es-CR"/>
        </w:rPr>
      </w:pPr>
      <w:bookmarkStart w:id="32" w:name="page20"/>
      <w:bookmarkEnd w:id="32"/>
      <w:r w:rsidRPr="00F02F9D">
        <w:rPr>
          <w:rFonts w:ascii="Arial" w:eastAsia="Arial" w:hAnsi="Arial"/>
          <w:bCs/>
          <w:sz w:val="22"/>
          <w:szCs w:val="22"/>
          <w:lang w:val="es-CR"/>
        </w:rPr>
        <w:t>1.77.0.01</w:t>
      </w:r>
      <w:r w:rsidRPr="00F02F9D">
        <w:rPr>
          <w:rFonts w:ascii="Arial" w:eastAsia="Arial" w:hAnsi="Arial"/>
          <w:bCs/>
          <w:sz w:val="22"/>
          <w:szCs w:val="22"/>
          <w:lang w:val="es-CR"/>
        </w:rPr>
        <w:tab/>
      </w:r>
      <w:r w:rsidR="00E93992" w:rsidRPr="00F02F9D">
        <w:rPr>
          <w:rFonts w:ascii="Arial" w:eastAsia="Arial" w:hAnsi="Arial"/>
          <w:bCs/>
          <w:sz w:val="22"/>
          <w:szCs w:val="22"/>
          <w:lang w:val="es-CR"/>
        </w:rPr>
        <w:t>En caso de que</w:t>
      </w:r>
      <w:r w:rsidR="008A4688" w:rsidRPr="00F02F9D">
        <w:rPr>
          <w:rFonts w:ascii="Arial" w:eastAsia="Arial" w:hAnsi="Arial"/>
          <w:bCs/>
          <w:sz w:val="22"/>
          <w:szCs w:val="22"/>
          <w:lang w:val="es-CR"/>
        </w:rPr>
        <w:t xml:space="preserve"> en </w:t>
      </w:r>
      <w:r w:rsidR="002E3D70"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se mantengan inventarios cuyos beneficios económicos o potencial de servicio futuros no estén directamente relacionados con la capacidad de generar entradas netas de efectivo, pudiendo por lo tanto dichos bienes generar una contraprestación nula o </w:t>
      </w:r>
      <w:r w:rsidR="000F29DC" w:rsidRPr="00F02F9D">
        <w:rPr>
          <w:rFonts w:ascii="Arial" w:eastAsia="Arial" w:hAnsi="Arial"/>
          <w:bCs/>
          <w:sz w:val="22"/>
          <w:szCs w:val="22"/>
          <w:lang w:val="es-CR"/>
        </w:rPr>
        <w:t>si</w:t>
      </w:r>
      <w:r w:rsidR="000F29DC">
        <w:rPr>
          <w:rFonts w:ascii="Arial" w:eastAsia="Arial" w:hAnsi="Arial"/>
          <w:bCs/>
          <w:sz w:val="22"/>
          <w:szCs w:val="22"/>
          <w:lang w:val="es-CR"/>
        </w:rPr>
        <w:t>mbó</w:t>
      </w:r>
      <w:r w:rsidR="000F29DC" w:rsidRPr="00F02F9D">
        <w:rPr>
          <w:rFonts w:ascii="Arial" w:eastAsia="Arial" w:hAnsi="Arial"/>
          <w:bCs/>
          <w:sz w:val="22"/>
          <w:szCs w:val="22"/>
          <w:lang w:val="es-CR"/>
        </w:rPr>
        <w:t>lica</w:t>
      </w:r>
      <w:r w:rsidR="008A4688" w:rsidRPr="00F02F9D">
        <w:rPr>
          <w:rFonts w:ascii="Arial" w:eastAsia="Arial" w:hAnsi="Arial"/>
          <w:bCs/>
          <w:sz w:val="22"/>
          <w:szCs w:val="22"/>
          <w:lang w:val="es-CR"/>
        </w:rPr>
        <w:t xml:space="preserve">, los mismos se medirán por la cantidad que se necesitaría pagar para adquirir los beneficios económicos o potencial de servicios futuros necesarios, para alcanzar los objetivos de la entidad. En consecuencia, estos tipos de bienes se valuarán al costo de reposición o, </w:t>
      </w:r>
      <w:r w:rsidR="00E93992" w:rsidRPr="00F02F9D">
        <w:rPr>
          <w:rFonts w:ascii="Arial" w:eastAsia="Arial" w:hAnsi="Arial"/>
          <w:bCs/>
          <w:sz w:val="22"/>
          <w:szCs w:val="22"/>
          <w:lang w:val="es-CR"/>
        </w:rPr>
        <w:t>en caso de que</w:t>
      </w:r>
      <w:r w:rsidR="008A4688" w:rsidRPr="00F02F9D">
        <w:rPr>
          <w:rFonts w:ascii="Arial" w:eastAsia="Arial" w:hAnsi="Arial"/>
          <w:bCs/>
          <w:sz w:val="22"/>
          <w:szCs w:val="22"/>
          <w:lang w:val="es-CR"/>
        </w:rPr>
        <w:t xml:space="preserve"> no puedan ser adquiridos en mercado, mediante una estimación de su costo de reposición.</w:t>
      </w:r>
    </w:p>
    <w:p w14:paraId="0E8ED708" w14:textId="77777777" w:rsidR="00C64EA4" w:rsidRDefault="00C64EA4" w:rsidP="000701B6">
      <w:pPr>
        <w:spacing w:line="250" w:lineRule="auto"/>
        <w:ind w:left="1134" w:right="260" w:hanging="1134"/>
        <w:jc w:val="both"/>
        <w:rPr>
          <w:rFonts w:ascii="Arial" w:eastAsia="Arial" w:hAnsi="Arial"/>
          <w:b/>
          <w:sz w:val="22"/>
          <w:szCs w:val="22"/>
          <w:lang w:val="es-CR"/>
        </w:rPr>
      </w:pPr>
    </w:p>
    <w:p w14:paraId="2BE03F00" w14:textId="77777777" w:rsidR="00F47532" w:rsidRDefault="00F47532" w:rsidP="000701B6">
      <w:pPr>
        <w:spacing w:line="250" w:lineRule="auto"/>
        <w:ind w:left="1134" w:right="260" w:hanging="1134"/>
        <w:jc w:val="both"/>
        <w:rPr>
          <w:rFonts w:ascii="Arial" w:eastAsia="Arial" w:hAnsi="Arial"/>
          <w:b/>
          <w:sz w:val="22"/>
          <w:szCs w:val="22"/>
          <w:lang w:val="es-CR"/>
        </w:rPr>
      </w:pPr>
    </w:p>
    <w:p w14:paraId="555E06EC" w14:textId="77777777" w:rsidR="00F47532" w:rsidRDefault="00F47532" w:rsidP="000701B6">
      <w:pPr>
        <w:spacing w:line="250" w:lineRule="auto"/>
        <w:ind w:left="1134" w:right="260" w:hanging="1134"/>
        <w:jc w:val="both"/>
        <w:rPr>
          <w:rFonts w:ascii="Arial" w:eastAsia="Arial" w:hAnsi="Arial"/>
          <w:b/>
          <w:sz w:val="22"/>
          <w:szCs w:val="22"/>
          <w:lang w:val="es-CR"/>
        </w:rPr>
      </w:pPr>
    </w:p>
    <w:p w14:paraId="0DF7D6C0" w14:textId="77777777" w:rsidR="00F47532" w:rsidRDefault="00F47532" w:rsidP="000701B6">
      <w:pPr>
        <w:spacing w:line="250" w:lineRule="auto"/>
        <w:ind w:left="1134" w:right="260" w:hanging="1134"/>
        <w:jc w:val="both"/>
        <w:rPr>
          <w:rFonts w:ascii="Arial" w:eastAsia="Arial" w:hAnsi="Arial"/>
          <w:b/>
          <w:sz w:val="22"/>
          <w:szCs w:val="22"/>
          <w:lang w:val="es-CR"/>
        </w:rPr>
      </w:pPr>
    </w:p>
    <w:p w14:paraId="3EA85B9A" w14:textId="77777777" w:rsidR="00F47532" w:rsidRDefault="00F47532" w:rsidP="000701B6">
      <w:pPr>
        <w:spacing w:line="250" w:lineRule="auto"/>
        <w:ind w:left="1134" w:right="260" w:hanging="1134"/>
        <w:jc w:val="both"/>
        <w:rPr>
          <w:rFonts w:ascii="Arial" w:eastAsia="Arial" w:hAnsi="Arial"/>
          <w:b/>
          <w:sz w:val="22"/>
          <w:szCs w:val="22"/>
          <w:lang w:val="es-CR"/>
        </w:rPr>
      </w:pPr>
    </w:p>
    <w:p w14:paraId="2CA81502" w14:textId="77777777" w:rsidR="00F47532" w:rsidRDefault="00F47532" w:rsidP="000701B6">
      <w:pPr>
        <w:spacing w:line="250" w:lineRule="auto"/>
        <w:ind w:left="1134" w:right="260" w:hanging="1134"/>
        <w:jc w:val="both"/>
        <w:rPr>
          <w:rFonts w:ascii="Arial" w:eastAsia="Arial" w:hAnsi="Arial"/>
          <w:b/>
          <w:sz w:val="22"/>
          <w:szCs w:val="22"/>
          <w:lang w:val="es-CR"/>
        </w:rPr>
      </w:pPr>
    </w:p>
    <w:p w14:paraId="30554D68" w14:textId="77777777" w:rsidR="00F47532" w:rsidRPr="00F02F9D" w:rsidRDefault="00F47532" w:rsidP="000701B6">
      <w:pPr>
        <w:spacing w:line="250" w:lineRule="auto"/>
        <w:ind w:left="1134" w:right="260" w:hanging="1134"/>
        <w:jc w:val="both"/>
        <w:rPr>
          <w:rFonts w:ascii="Arial" w:eastAsia="Arial" w:hAnsi="Arial"/>
          <w:b/>
          <w:sz w:val="22"/>
          <w:szCs w:val="22"/>
          <w:lang w:val="es-CR"/>
        </w:rPr>
      </w:pPr>
    </w:p>
    <w:p w14:paraId="1D63D6D6" w14:textId="77777777" w:rsidR="00C64EA4" w:rsidRPr="00F02F9D" w:rsidRDefault="00C64EA4" w:rsidP="00C64EA4">
      <w:pPr>
        <w:spacing w:line="0" w:lineRule="atLeast"/>
        <w:rPr>
          <w:rFonts w:ascii="Arial" w:eastAsia="Arial" w:hAnsi="Arial"/>
          <w:b/>
          <w:sz w:val="22"/>
          <w:szCs w:val="22"/>
        </w:rPr>
      </w:pPr>
      <w:r w:rsidRPr="00F02F9D">
        <w:rPr>
          <w:rFonts w:ascii="Arial" w:eastAsia="Arial" w:hAnsi="Arial"/>
          <w:b/>
          <w:sz w:val="22"/>
          <w:szCs w:val="22"/>
        </w:rPr>
        <w:t>Costos</w:t>
      </w:r>
    </w:p>
    <w:p w14:paraId="216CBD77" w14:textId="77777777" w:rsidR="00C64EA4" w:rsidRPr="00F02F9D" w:rsidRDefault="00C64EA4" w:rsidP="000701B6">
      <w:pPr>
        <w:spacing w:line="250" w:lineRule="auto"/>
        <w:ind w:left="1134" w:right="260" w:hanging="1134"/>
        <w:jc w:val="both"/>
        <w:rPr>
          <w:rFonts w:ascii="Arial" w:eastAsia="Arial" w:hAnsi="Arial"/>
          <w:b/>
          <w:sz w:val="22"/>
          <w:szCs w:val="22"/>
          <w:lang w:val="es-CR"/>
        </w:rPr>
      </w:pPr>
    </w:p>
    <w:tbl>
      <w:tblPr>
        <w:tblW w:w="9158" w:type="dxa"/>
        <w:tblInd w:w="118" w:type="dxa"/>
        <w:tblLook w:val="04A0" w:firstRow="1" w:lastRow="0" w:firstColumn="1" w:lastColumn="0" w:noHBand="0" w:noVBand="1"/>
      </w:tblPr>
      <w:tblGrid>
        <w:gridCol w:w="536"/>
        <w:gridCol w:w="550"/>
        <w:gridCol w:w="517"/>
        <w:gridCol w:w="3065"/>
        <w:gridCol w:w="2410"/>
        <w:gridCol w:w="2069"/>
        <w:gridCol w:w="11"/>
      </w:tblGrid>
      <w:tr w:rsidR="00C64EA4" w:rsidRPr="00216D66" w14:paraId="56331FEC" w14:textId="77777777" w:rsidTr="00C64EA4">
        <w:trPr>
          <w:trHeight w:val="320"/>
        </w:trPr>
        <w:tc>
          <w:tcPr>
            <w:tcW w:w="160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40B698A" w14:textId="77777777" w:rsidR="00C64EA4" w:rsidRPr="00216D66" w:rsidRDefault="00C64EA4" w:rsidP="00C64EA4">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3065" w:type="dxa"/>
            <w:vMerge w:val="restart"/>
            <w:tcBorders>
              <w:top w:val="nil"/>
              <w:left w:val="single" w:sz="8" w:space="0" w:color="auto"/>
              <w:bottom w:val="nil"/>
              <w:right w:val="single" w:sz="8" w:space="0" w:color="auto"/>
            </w:tcBorders>
            <w:shd w:val="clear" w:color="000000" w:fill="203764"/>
            <w:vAlign w:val="center"/>
            <w:hideMark/>
          </w:tcPr>
          <w:p w14:paraId="04DCAC9A" w14:textId="77777777" w:rsidR="00C64EA4" w:rsidRPr="00216D66" w:rsidRDefault="00C64EA4" w:rsidP="00C64EA4">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4490" w:type="dxa"/>
            <w:gridSpan w:val="3"/>
            <w:tcBorders>
              <w:top w:val="nil"/>
              <w:left w:val="nil"/>
              <w:bottom w:val="single" w:sz="8" w:space="0" w:color="auto"/>
              <w:right w:val="single" w:sz="8" w:space="0" w:color="000000"/>
            </w:tcBorders>
            <w:shd w:val="clear" w:color="000000" w:fill="203764"/>
            <w:vAlign w:val="center"/>
            <w:hideMark/>
          </w:tcPr>
          <w:p w14:paraId="20D63EC7" w14:textId="77777777" w:rsidR="00C64EA4" w:rsidRPr="00216D66" w:rsidRDefault="00C64EA4" w:rsidP="00C64EA4">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C64EA4" w:rsidRPr="0091631A" w14:paraId="430F4C83" w14:textId="77777777" w:rsidTr="00C64EA4">
        <w:trPr>
          <w:gridAfter w:val="1"/>
          <w:wAfter w:w="11" w:type="dxa"/>
          <w:trHeight w:val="320"/>
        </w:trPr>
        <w:tc>
          <w:tcPr>
            <w:tcW w:w="1603" w:type="dxa"/>
            <w:gridSpan w:val="3"/>
            <w:vMerge/>
            <w:tcBorders>
              <w:top w:val="single" w:sz="8" w:space="0" w:color="auto"/>
              <w:left w:val="single" w:sz="8" w:space="0" w:color="auto"/>
              <w:bottom w:val="nil"/>
              <w:right w:val="single" w:sz="8" w:space="0" w:color="000000"/>
            </w:tcBorders>
            <w:vAlign w:val="center"/>
            <w:hideMark/>
          </w:tcPr>
          <w:p w14:paraId="025C9374" w14:textId="77777777" w:rsidR="00C64EA4" w:rsidRPr="00216D66" w:rsidRDefault="00C64EA4" w:rsidP="00C64EA4">
            <w:pPr>
              <w:rPr>
                <w:rFonts w:ascii="Arial Narrow" w:eastAsia="Times New Roman" w:hAnsi="Arial Narrow"/>
                <w:b/>
                <w:bCs/>
                <w:color w:val="FFFFFF"/>
                <w:sz w:val="22"/>
                <w:szCs w:val="22"/>
              </w:rPr>
            </w:pPr>
          </w:p>
        </w:tc>
        <w:tc>
          <w:tcPr>
            <w:tcW w:w="3065" w:type="dxa"/>
            <w:vMerge/>
            <w:tcBorders>
              <w:top w:val="nil"/>
              <w:left w:val="single" w:sz="8" w:space="0" w:color="auto"/>
              <w:bottom w:val="nil"/>
              <w:right w:val="single" w:sz="8" w:space="0" w:color="auto"/>
            </w:tcBorders>
            <w:vAlign w:val="center"/>
            <w:hideMark/>
          </w:tcPr>
          <w:p w14:paraId="34918024" w14:textId="77777777" w:rsidR="00C64EA4" w:rsidRPr="00216D66" w:rsidRDefault="00C64EA4" w:rsidP="00C64EA4">
            <w:pPr>
              <w:rPr>
                <w:rFonts w:ascii="Arial Narrow" w:eastAsia="Times New Roman" w:hAnsi="Arial Narrow"/>
                <w:b/>
                <w:bCs/>
                <w:color w:val="FFFFFF"/>
                <w:sz w:val="22"/>
                <w:szCs w:val="22"/>
              </w:rPr>
            </w:pPr>
          </w:p>
        </w:tc>
        <w:tc>
          <w:tcPr>
            <w:tcW w:w="2410" w:type="dxa"/>
            <w:tcBorders>
              <w:top w:val="nil"/>
              <w:left w:val="nil"/>
              <w:bottom w:val="nil"/>
              <w:right w:val="single" w:sz="8" w:space="0" w:color="auto"/>
            </w:tcBorders>
            <w:shd w:val="clear" w:color="000000" w:fill="203764"/>
            <w:vAlign w:val="center"/>
            <w:hideMark/>
          </w:tcPr>
          <w:p w14:paraId="4CEDA4FE" w14:textId="77777777" w:rsidR="00C64EA4" w:rsidRPr="00216D66" w:rsidRDefault="00C64EA4" w:rsidP="00C64EA4">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2069" w:type="dxa"/>
            <w:tcBorders>
              <w:top w:val="nil"/>
              <w:left w:val="nil"/>
              <w:bottom w:val="nil"/>
              <w:right w:val="single" w:sz="8" w:space="0" w:color="auto"/>
            </w:tcBorders>
            <w:shd w:val="clear" w:color="000000" w:fill="203764"/>
            <w:vAlign w:val="center"/>
            <w:hideMark/>
          </w:tcPr>
          <w:p w14:paraId="53DF92CB" w14:textId="5B61A3F2" w:rsidR="00C64EA4" w:rsidRPr="0091631A" w:rsidRDefault="0091631A" w:rsidP="00C64EA4">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C64EA4" w:rsidRPr="00216D66" w14:paraId="628A9D10" w14:textId="77777777" w:rsidTr="00901506">
        <w:trPr>
          <w:gridAfter w:val="1"/>
          <w:wAfter w:w="11" w:type="dxa"/>
          <w:trHeight w:val="444"/>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3CF72478" w14:textId="1A358BB0" w:rsidR="00C64EA4" w:rsidRPr="00216D66" w:rsidRDefault="00C64EA4" w:rsidP="00C64EA4">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703ED221" w14:textId="1795A97E" w:rsidR="00C64EA4" w:rsidRPr="00216D66" w:rsidRDefault="00C64EA4" w:rsidP="00C64EA4">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78.</w:t>
            </w:r>
          </w:p>
        </w:tc>
        <w:tc>
          <w:tcPr>
            <w:tcW w:w="517" w:type="dxa"/>
            <w:tcBorders>
              <w:top w:val="nil"/>
              <w:left w:val="nil"/>
              <w:bottom w:val="single" w:sz="8" w:space="0" w:color="auto"/>
              <w:right w:val="single" w:sz="8" w:space="0" w:color="auto"/>
            </w:tcBorders>
            <w:shd w:val="clear" w:color="auto" w:fill="auto"/>
            <w:vAlign w:val="center"/>
            <w:hideMark/>
          </w:tcPr>
          <w:p w14:paraId="35102138" w14:textId="3449F8A3" w:rsidR="00C64EA4" w:rsidRPr="00216D66" w:rsidRDefault="00E7725C" w:rsidP="00C64EA4">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0</w:t>
            </w:r>
            <w:r w:rsidR="00C64EA4" w:rsidRPr="00216D66">
              <w:rPr>
                <w:rFonts w:ascii="Arial Narrow" w:eastAsia="Times New Roman" w:hAnsi="Arial Narrow"/>
                <w:b/>
                <w:bCs/>
                <w:color w:val="000000"/>
                <w:sz w:val="22"/>
                <w:szCs w:val="22"/>
              </w:rPr>
              <w:t> </w:t>
            </w:r>
          </w:p>
        </w:tc>
        <w:tc>
          <w:tcPr>
            <w:tcW w:w="3065" w:type="dxa"/>
            <w:tcBorders>
              <w:top w:val="single" w:sz="8" w:space="0" w:color="auto"/>
              <w:left w:val="nil"/>
              <w:bottom w:val="single" w:sz="8" w:space="0" w:color="auto"/>
              <w:right w:val="single" w:sz="8" w:space="0" w:color="auto"/>
            </w:tcBorders>
            <w:shd w:val="clear" w:color="auto" w:fill="auto"/>
            <w:vAlign w:val="center"/>
            <w:hideMark/>
          </w:tcPr>
          <w:p w14:paraId="46D7241B" w14:textId="77777777" w:rsidR="00C64EA4" w:rsidRPr="00216D66" w:rsidRDefault="00C64EA4" w:rsidP="00C64EA4">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Costo de los Inventarios</w:t>
            </w:r>
          </w:p>
        </w:tc>
        <w:tc>
          <w:tcPr>
            <w:tcW w:w="2410" w:type="dxa"/>
            <w:tcBorders>
              <w:top w:val="nil"/>
              <w:left w:val="nil"/>
              <w:bottom w:val="single" w:sz="8" w:space="0" w:color="auto"/>
              <w:right w:val="single" w:sz="8" w:space="0" w:color="auto"/>
            </w:tcBorders>
            <w:shd w:val="clear" w:color="auto" w:fill="auto"/>
            <w:vAlign w:val="center"/>
            <w:hideMark/>
          </w:tcPr>
          <w:p w14:paraId="4EC3D129" w14:textId="77777777" w:rsidR="00216D66" w:rsidRDefault="00C64EA4" w:rsidP="00C64EA4">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xml:space="preserve">NICSP N° 12, </w:t>
            </w:r>
          </w:p>
          <w:p w14:paraId="4690F394" w14:textId="163A1EFF" w:rsidR="00C64EA4" w:rsidRPr="00216D66" w:rsidRDefault="00C64EA4" w:rsidP="00C64EA4">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Párrafos 18 y 24.</w:t>
            </w:r>
          </w:p>
        </w:tc>
        <w:tc>
          <w:tcPr>
            <w:tcW w:w="2069" w:type="dxa"/>
            <w:tcBorders>
              <w:top w:val="single" w:sz="8" w:space="0" w:color="auto"/>
              <w:left w:val="nil"/>
              <w:bottom w:val="single" w:sz="8" w:space="0" w:color="auto"/>
              <w:right w:val="single" w:sz="8" w:space="0" w:color="auto"/>
            </w:tcBorders>
            <w:shd w:val="clear" w:color="auto" w:fill="auto"/>
            <w:vAlign w:val="center"/>
            <w:hideMark/>
          </w:tcPr>
          <w:p w14:paraId="41DD5174" w14:textId="77777777" w:rsidR="00C64EA4" w:rsidRPr="00216D66" w:rsidRDefault="00C64EA4" w:rsidP="00C64EA4">
            <w:pPr>
              <w:rPr>
                <w:rFonts w:ascii="Arial Narrow" w:eastAsia="Times New Roman" w:hAnsi="Arial Narrow"/>
                <w:color w:val="000000"/>
                <w:sz w:val="22"/>
                <w:szCs w:val="22"/>
              </w:rPr>
            </w:pPr>
            <w:r w:rsidRPr="00216D66">
              <w:rPr>
                <w:rFonts w:ascii="Arial Narrow" w:eastAsia="Times New Roman" w:hAnsi="Arial Narrow"/>
                <w:color w:val="000000"/>
                <w:sz w:val="22"/>
                <w:szCs w:val="22"/>
              </w:rPr>
              <w:t> </w:t>
            </w:r>
          </w:p>
        </w:tc>
      </w:tr>
      <w:tr w:rsidR="00C64EA4" w:rsidRPr="00216D66" w14:paraId="587AC6F6" w14:textId="77777777" w:rsidTr="00901506">
        <w:trPr>
          <w:gridAfter w:val="1"/>
          <w:wAfter w:w="11" w:type="dxa"/>
          <w:trHeight w:val="78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7AB86B6A" w14:textId="133C9E68" w:rsidR="00C64EA4" w:rsidRPr="00216D66" w:rsidRDefault="00C64EA4" w:rsidP="00C64EA4">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0FFDC456" w14:textId="6393F29B" w:rsidR="00C64EA4" w:rsidRPr="00216D66" w:rsidRDefault="00C64EA4" w:rsidP="00C64EA4">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78.</w:t>
            </w:r>
          </w:p>
        </w:tc>
        <w:tc>
          <w:tcPr>
            <w:tcW w:w="517" w:type="dxa"/>
            <w:tcBorders>
              <w:top w:val="nil"/>
              <w:left w:val="nil"/>
              <w:bottom w:val="single" w:sz="8" w:space="0" w:color="auto"/>
              <w:right w:val="single" w:sz="8" w:space="0" w:color="auto"/>
            </w:tcBorders>
            <w:shd w:val="clear" w:color="auto" w:fill="auto"/>
            <w:vAlign w:val="center"/>
            <w:hideMark/>
          </w:tcPr>
          <w:p w14:paraId="1561D06A" w14:textId="3DCF081D" w:rsidR="00C64EA4" w:rsidRPr="00216D66" w:rsidRDefault="00C64EA4" w:rsidP="00C64EA4">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3065" w:type="dxa"/>
            <w:tcBorders>
              <w:top w:val="nil"/>
              <w:left w:val="nil"/>
              <w:bottom w:val="single" w:sz="8" w:space="0" w:color="auto"/>
              <w:right w:val="single" w:sz="8" w:space="0" w:color="auto"/>
            </w:tcBorders>
            <w:shd w:val="clear" w:color="auto" w:fill="auto"/>
            <w:vAlign w:val="center"/>
            <w:hideMark/>
          </w:tcPr>
          <w:p w14:paraId="64853CAF" w14:textId="77777777" w:rsidR="00C64EA4" w:rsidRPr="00216D66" w:rsidRDefault="00C64EA4" w:rsidP="00C64EA4">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Costo por préstamos</w:t>
            </w:r>
          </w:p>
        </w:tc>
        <w:tc>
          <w:tcPr>
            <w:tcW w:w="2410" w:type="dxa"/>
            <w:tcBorders>
              <w:top w:val="nil"/>
              <w:left w:val="nil"/>
              <w:bottom w:val="single" w:sz="8" w:space="0" w:color="auto"/>
              <w:right w:val="single" w:sz="8" w:space="0" w:color="auto"/>
            </w:tcBorders>
            <w:shd w:val="clear" w:color="auto" w:fill="auto"/>
            <w:vAlign w:val="center"/>
            <w:hideMark/>
          </w:tcPr>
          <w:p w14:paraId="0F2D9C73" w14:textId="77777777" w:rsidR="00901506" w:rsidRPr="00216D66" w:rsidRDefault="00C64EA4" w:rsidP="00C64EA4">
            <w:pPr>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 xml:space="preserve">NICSP Nº 12, </w:t>
            </w:r>
          </w:p>
          <w:p w14:paraId="6354884C" w14:textId="77777777" w:rsidR="00901506" w:rsidRPr="00216D66" w:rsidRDefault="00C64EA4" w:rsidP="00C64EA4">
            <w:pPr>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Párrafo 26.</w:t>
            </w:r>
            <w:r w:rsidRPr="00216D66">
              <w:rPr>
                <w:rFonts w:ascii="Arial Narrow" w:eastAsia="Times New Roman" w:hAnsi="Arial Narrow"/>
                <w:b/>
                <w:bCs/>
                <w:color w:val="000000"/>
                <w:sz w:val="22"/>
                <w:szCs w:val="22"/>
                <w:lang w:val="es-CR"/>
              </w:rPr>
              <w:br/>
              <w:t xml:space="preserve">NICSP Nº 5, </w:t>
            </w:r>
          </w:p>
          <w:p w14:paraId="6675FF08" w14:textId="63D7A7FD" w:rsidR="00C64EA4" w:rsidRPr="00216D66" w:rsidRDefault="00C64EA4" w:rsidP="00C64EA4">
            <w:pPr>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Párrafos 17 y 18.</w:t>
            </w:r>
          </w:p>
        </w:tc>
        <w:tc>
          <w:tcPr>
            <w:tcW w:w="2069" w:type="dxa"/>
            <w:tcBorders>
              <w:top w:val="nil"/>
              <w:left w:val="nil"/>
              <w:bottom w:val="single" w:sz="8" w:space="0" w:color="auto"/>
              <w:right w:val="single" w:sz="8" w:space="0" w:color="auto"/>
            </w:tcBorders>
            <w:shd w:val="clear" w:color="auto" w:fill="auto"/>
            <w:vAlign w:val="center"/>
            <w:hideMark/>
          </w:tcPr>
          <w:p w14:paraId="57C5C09A" w14:textId="77777777" w:rsidR="00C64EA4" w:rsidRPr="00216D66" w:rsidRDefault="00C64EA4" w:rsidP="00C64EA4">
            <w:pPr>
              <w:ind w:firstLineChars="100" w:firstLine="220"/>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 </w:t>
            </w:r>
          </w:p>
        </w:tc>
      </w:tr>
      <w:tr w:rsidR="00533F1E" w:rsidRPr="00216D66" w14:paraId="267E2B08" w14:textId="77777777" w:rsidTr="00533F1E">
        <w:trPr>
          <w:gridAfter w:val="1"/>
          <w:wAfter w:w="11" w:type="dxa"/>
          <w:trHeight w:val="78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6EBB6048" w14:textId="77777777" w:rsidR="00533F1E" w:rsidRPr="00216D66" w:rsidRDefault="00533F1E" w:rsidP="00D16719">
            <w:pPr>
              <w:jc w:val="center"/>
              <w:rPr>
                <w:rFonts w:ascii="Arial Narrow" w:eastAsia="Times New Roman" w:hAnsi="Arial Narrow"/>
                <w:b/>
                <w:bCs/>
                <w:color w:val="000000"/>
                <w:sz w:val="22"/>
                <w:szCs w:val="22"/>
              </w:rPr>
            </w:pPr>
            <w:bookmarkStart w:id="33" w:name="page21"/>
            <w:bookmarkEnd w:id="33"/>
            <w:r w:rsidRPr="00216D66">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2569A45E" w14:textId="77777777" w:rsidR="00533F1E" w:rsidRPr="00216D66" w:rsidRDefault="00533F1E" w:rsidP="00D167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78.</w:t>
            </w:r>
          </w:p>
        </w:tc>
        <w:tc>
          <w:tcPr>
            <w:tcW w:w="517" w:type="dxa"/>
            <w:tcBorders>
              <w:top w:val="nil"/>
              <w:left w:val="nil"/>
              <w:bottom w:val="single" w:sz="8" w:space="0" w:color="auto"/>
              <w:right w:val="single" w:sz="8" w:space="0" w:color="auto"/>
            </w:tcBorders>
            <w:shd w:val="clear" w:color="auto" w:fill="auto"/>
            <w:vAlign w:val="center"/>
            <w:hideMark/>
          </w:tcPr>
          <w:p w14:paraId="60D36783" w14:textId="77777777" w:rsidR="00533F1E" w:rsidRPr="00216D66" w:rsidRDefault="00533F1E" w:rsidP="00D16719">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2.</w:t>
            </w:r>
          </w:p>
        </w:tc>
        <w:tc>
          <w:tcPr>
            <w:tcW w:w="3065" w:type="dxa"/>
            <w:tcBorders>
              <w:top w:val="nil"/>
              <w:left w:val="nil"/>
              <w:bottom w:val="single" w:sz="8" w:space="0" w:color="auto"/>
              <w:right w:val="single" w:sz="8" w:space="0" w:color="auto"/>
            </w:tcBorders>
            <w:shd w:val="clear" w:color="auto" w:fill="auto"/>
            <w:vAlign w:val="center"/>
            <w:hideMark/>
          </w:tcPr>
          <w:p w14:paraId="293703BA" w14:textId="77777777" w:rsidR="00533F1E" w:rsidRPr="00216D66" w:rsidRDefault="00533F1E" w:rsidP="00533F1E">
            <w:pPr>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Prohibición de capitalizar costos por préstamos</w:t>
            </w:r>
          </w:p>
        </w:tc>
        <w:tc>
          <w:tcPr>
            <w:tcW w:w="2410" w:type="dxa"/>
            <w:tcBorders>
              <w:top w:val="nil"/>
              <w:left w:val="nil"/>
              <w:bottom w:val="single" w:sz="8" w:space="0" w:color="auto"/>
              <w:right w:val="single" w:sz="8" w:space="0" w:color="auto"/>
            </w:tcBorders>
            <w:shd w:val="clear" w:color="auto" w:fill="auto"/>
            <w:vAlign w:val="center"/>
            <w:hideMark/>
          </w:tcPr>
          <w:p w14:paraId="3E96C911" w14:textId="77777777" w:rsidR="00533F1E" w:rsidRPr="00216D66" w:rsidRDefault="00533F1E" w:rsidP="00533F1E">
            <w:pPr>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DGCN</w:t>
            </w:r>
          </w:p>
        </w:tc>
        <w:tc>
          <w:tcPr>
            <w:tcW w:w="2069" w:type="dxa"/>
            <w:tcBorders>
              <w:top w:val="nil"/>
              <w:left w:val="nil"/>
              <w:bottom w:val="single" w:sz="8" w:space="0" w:color="auto"/>
              <w:right w:val="single" w:sz="8" w:space="0" w:color="auto"/>
            </w:tcBorders>
            <w:shd w:val="clear" w:color="auto" w:fill="auto"/>
            <w:vAlign w:val="center"/>
            <w:hideMark/>
          </w:tcPr>
          <w:p w14:paraId="39AC6A7E" w14:textId="77777777" w:rsidR="00533F1E" w:rsidRPr="00216D66" w:rsidRDefault="00533F1E" w:rsidP="00533F1E">
            <w:pPr>
              <w:ind w:firstLineChars="100" w:firstLine="220"/>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 </w:t>
            </w:r>
          </w:p>
        </w:tc>
      </w:tr>
    </w:tbl>
    <w:p w14:paraId="60526148" w14:textId="77777777" w:rsidR="00C64EA4" w:rsidRDefault="00C64EA4" w:rsidP="00FA2715">
      <w:pPr>
        <w:tabs>
          <w:tab w:val="left" w:pos="1000"/>
          <w:tab w:val="left" w:pos="1540"/>
          <w:tab w:val="left" w:pos="2080"/>
          <w:tab w:val="left" w:pos="7100"/>
        </w:tabs>
        <w:spacing w:line="0" w:lineRule="atLeast"/>
        <w:rPr>
          <w:rFonts w:ascii="Arial" w:eastAsia="Arial" w:hAnsi="Arial"/>
          <w:b/>
          <w:sz w:val="22"/>
          <w:szCs w:val="22"/>
          <w:lang w:val="es-CR"/>
        </w:rPr>
      </w:pPr>
    </w:p>
    <w:p w14:paraId="58078FF2" w14:textId="352A2C8D" w:rsidR="00FA2715" w:rsidRDefault="00FA2715" w:rsidP="00FA2715">
      <w:pPr>
        <w:tabs>
          <w:tab w:val="left" w:pos="1000"/>
          <w:tab w:val="left" w:pos="1540"/>
          <w:tab w:val="left" w:pos="2080"/>
          <w:tab w:val="left" w:pos="7100"/>
        </w:tabs>
        <w:spacing w:line="0" w:lineRule="atLeast"/>
        <w:rPr>
          <w:rFonts w:ascii="Arial" w:eastAsia="Arial" w:hAnsi="Arial"/>
          <w:b/>
          <w:sz w:val="22"/>
          <w:szCs w:val="22"/>
        </w:rPr>
      </w:pPr>
      <w:r w:rsidRPr="00F02F9D">
        <w:rPr>
          <w:rFonts w:ascii="Arial" w:eastAsia="Arial" w:hAnsi="Arial"/>
          <w:b/>
          <w:sz w:val="22"/>
          <w:szCs w:val="22"/>
        </w:rPr>
        <w:t>Políticas Contables</w:t>
      </w:r>
    </w:p>
    <w:p w14:paraId="3744A6D9" w14:textId="77777777" w:rsidR="00FA2715" w:rsidRPr="00F02F9D" w:rsidRDefault="00FA2715" w:rsidP="00FA2715">
      <w:pPr>
        <w:tabs>
          <w:tab w:val="left" w:pos="1000"/>
          <w:tab w:val="left" w:pos="1540"/>
          <w:tab w:val="left" w:pos="2080"/>
          <w:tab w:val="left" w:pos="7100"/>
        </w:tabs>
        <w:spacing w:line="0" w:lineRule="atLeast"/>
        <w:rPr>
          <w:rFonts w:ascii="Arial" w:eastAsia="Arial" w:hAnsi="Arial"/>
          <w:b/>
          <w:sz w:val="22"/>
          <w:szCs w:val="22"/>
          <w:lang w:val="es-CR"/>
        </w:rPr>
      </w:pPr>
    </w:p>
    <w:p w14:paraId="3B19543D" w14:textId="40FF5B37" w:rsidR="007377D0" w:rsidRDefault="00533F1E" w:rsidP="00DB0DDE">
      <w:pPr>
        <w:ind w:left="993" w:right="278" w:hanging="993"/>
        <w:jc w:val="both"/>
        <w:rPr>
          <w:rFonts w:ascii="Arial" w:eastAsia="Arial" w:hAnsi="Arial"/>
          <w:bCs/>
          <w:sz w:val="22"/>
          <w:szCs w:val="22"/>
          <w:lang w:val="es-CR"/>
        </w:rPr>
      </w:pPr>
      <w:r w:rsidRPr="00F02F9D">
        <w:rPr>
          <w:rFonts w:ascii="Arial" w:eastAsia="Arial" w:hAnsi="Arial"/>
          <w:bCs/>
          <w:sz w:val="22"/>
          <w:szCs w:val="22"/>
          <w:lang w:val="es-CR"/>
        </w:rPr>
        <w:t>1.78.0.01</w:t>
      </w:r>
      <w:r w:rsidRPr="00F02F9D">
        <w:rPr>
          <w:rFonts w:ascii="Arial" w:eastAsia="Arial" w:hAnsi="Arial"/>
          <w:bCs/>
          <w:sz w:val="22"/>
          <w:szCs w:val="22"/>
          <w:lang w:val="es-CR"/>
        </w:rPr>
        <w:tab/>
      </w:r>
      <w:r w:rsidR="008A4688" w:rsidRPr="00F02F9D">
        <w:rPr>
          <w:rFonts w:ascii="Arial" w:eastAsia="Arial" w:hAnsi="Arial"/>
          <w:bCs/>
          <w:sz w:val="22"/>
          <w:szCs w:val="22"/>
          <w:lang w:val="es-CR"/>
        </w:rPr>
        <w:t>Son todos los costos derivados de su adquisición y transformación, así como otros costos en los que se haya incurrido para darles su condición y ubicación actuales.</w:t>
      </w:r>
    </w:p>
    <w:p w14:paraId="07619257" w14:textId="77777777" w:rsidR="00062A4A" w:rsidRDefault="00062A4A" w:rsidP="00533F1E">
      <w:pPr>
        <w:ind w:left="1134" w:right="278" w:hanging="1134"/>
        <w:jc w:val="both"/>
        <w:rPr>
          <w:rFonts w:ascii="Arial" w:eastAsia="Arial" w:hAnsi="Arial"/>
          <w:bCs/>
          <w:sz w:val="22"/>
          <w:szCs w:val="22"/>
          <w:lang w:val="es-CR"/>
        </w:rPr>
      </w:pPr>
    </w:p>
    <w:p w14:paraId="227BF240" w14:textId="2609AF9B" w:rsidR="00062A4A" w:rsidRPr="00062A4A" w:rsidRDefault="00062A4A" w:rsidP="00062A4A">
      <w:pPr>
        <w:spacing w:line="236" w:lineRule="auto"/>
        <w:ind w:left="993" w:right="260" w:hanging="993"/>
        <w:jc w:val="both"/>
        <w:rPr>
          <w:rFonts w:ascii="Arial" w:eastAsia="Arial" w:hAnsi="Arial"/>
          <w:bCs/>
          <w:sz w:val="22"/>
          <w:szCs w:val="22"/>
          <w:lang w:val="es-CR"/>
        </w:rPr>
      </w:pPr>
      <w:r>
        <w:rPr>
          <w:rFonts w:ascii="Arial" w:eastAsia="Arial" w:hAnsi="Arial"/>
          <w:bCs/>
          <w:sz w:val="22"/>
          <w:szCs w:val="22"/>
          <w:lang w:val="es-CR"/>
        </w:rPr>
        <w:t>1.78.0.02</w:t>
      </w:r>
      <w:r>
        <w:rPr>
          <w:rFonts w:ascii="Arial" w:eastAsia="Arial" w:hAnsi="Arial"/>
          <w:bCs/>
          <w:sz w:val="22"/>
          <w:szCs w:val="22"/>
          <w:lang w:val="es-CR"/>
        </w:rPr>
        <w:tab/>
      </w:r>
      <w:r w:rsidRPr="00062A4A">
        <w:rPr>
          <w:rFonts w:ascii="Arial" w:eastAsia="Arial" w:hAnsi="Arial"/>
          <w:bCs/>
          <w:sz w:val="22"/>
          <w:szCs w:val="22"/>
          <w:lang w:val="es-CR"/>
        </w:rPr>
        <w:t xml:space="preserve">El costo de adquisición de los inventarios comprenderá el precio de compra, incluyendo aranceles de importación y otros impuestos que no sean recuperables, los transportes, el almacenamiento y otros costos directamente atribuibles a la </w:t>
      </w:r>
      <w:r w:rsidRPr="00062A4A">
        <w:rPr>
          <w:rFonts w:ascii="Arial" w:eastAsia="Arial" w:hAnsi="Arial"/>
          <w:bCs/>
          <w:sz w:val="22"/>
          <w:szCs w:val="22"/>
          <w:lang w:val="es-CR"/>
        </w:rPr>
        <w:lastRenderedPageBreak/>
        <w:t>adquisición. Los descuentos comerciales, las rebajas y otras partidas similares se deducirán para determinar el costo de adquisición.</w:t>
      </w:r>
    </w:p>
    <w:p w14:paraId="43776CBB" w14:textId="77777777" w:rsidR="00C64EA4" w:rsidRPr="00F02F9D" w:rsidRDefault="00C64EA4" w:rsidP="00C64EA4">
      <w:pPr>
        <w:ind w:right="278"/>
        <w:jc w:val="both"/>
        <w:rPr>
          <w:rFonts w:ascii="Arial" w:eastAsia="Arial" w:hAnsi="Arial"/>
          <w:b/>
          <w:sz w:val="22"/>
          <w:szCs w:val="22"/>
          <w:lang w:val="es-CR"/>
        </w:rPr>
      </w:pPr>
    </w:p>
    <w:p w14:paraId="25D78335" w14:textId="1FA37EB0" w:rsidR="007377D0" w:rsidRPr="00F02F9D" w:rsidRDefault="00633B03" w:rsidP="00062A4A">
      <w:p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1.78.2.01</w:t>
      </w:r>
      <w:r w:rsidRPr="00F02F9D">
        <w:rPr>
          <w:rFonts w:ascii="Arial" w:eastAsia="Arial" w:hAnsi="Arial"/>
          <w:bCs/>
          <w:sz w:val="22"/>
          <w:szCs w:val="22"/>
          <w:lang w:val="es-CR"/>
        </w:rPr>
        <w:tab/>
      </w:r>
      <w:r w:rsidR="00C64EA4" w:rsidRPr="00F02F9D">
        <w:rPr>
          <w:rFonts w:ascii="Arial" w:eastAsia="Arial" w:hAnsi="Arial"/>
          <w:bCs/>
          <w:sz w:val="22"/>
          <w:szCs w:val="22"/>
          <w:lang w:val="es-CR"/>
        </w:rPr>
        <w:t>En caso de que</w:t>
      </w:r>
      <w:r w:rsidR="008A4688" w:rsidRPr="00F02F9D">
        <w:rPr>
          <w:rFonts w:ascii="Arial" w:eastAsia="Arial" w:hAnsi="Arial"/>
          <w:bCs/>
          <w:sz w:val="22"/>
          <w:szCs w:val="22"/>
          <w:lang w:val="es-CR"/>
        </w:rPr>
        <w:t xml:space="preserve"> existan costos por préstamos que sean directamente atribuibles a la adquisición o producción de activos aptos, los mismos podrán tener los siguientes tratamientos alternativos:</w:t>
      </w:r>
    </w:p>
    <w:p w14:paraId="37724F59" w14:textId="77777777" w:rsidR="00633B03" w:rsidRPr="00F02F9D" w:rsidRDefault="00633B03" w:rsidP="00FD3B47">
      <w:pPr>
        <w:numPr>
          <w:ilvl w:val="0"/>
          <w:numId w:val="3"/>
        </w:numPr>
        <w:spacing w:line="237" w:lineRule="auto"/>
        <w:ind w:right="260"/>
        <w:jc w:val="both"/>
        <w:rPr>
          <w:rFonts w:ascii="Arial" w:eastAsia="Arial" w:hAnsi="Arial"/>
          <w:bCs/>
          <w:sz w:val="22"/>
          <w:szCs w:val="22"/>
          <w:lang w:val="es-CR"/>
        </w:rPr>
      </w:pPr>
    </w:p>
    <w:p w14:paraId="57D14BD7" w14:textId="77777777" w:rsidR="007377D0" w:rsidRPr="00F02F9D" w:rsidRDefault="007377D0" w:rsidP="00C64EA4">
      <w:pPr>
        <w:spacing w:line="10" w:lineRule="exact"/>
        <w:jc w:val="both"/>
        <w:rPr>
          <w:rFonts w:ascii="Arial" w:eastAsia="Arial" w:hAnsi="Arial"/>
          <w:bCs/>
          <w:sz w:val="22"/>
          <w:szCs w:val="22"/>
          <w:lang w:val="es-CR"/>
        </w:rPr>
      </w:pPr>
    </w:p>
    <w:p w14:paraId="13574ACE" w14:textId="32F9D1C1" w:rsidR="007377D0" w:rsidRPr="00F02F9D" w:rsidRDefault="001065E8">
      <w:pPr>
        <w:numPr>
          <w:ilvl w:val="1"/>
          <w:numId w:val="16"/>
        </w:numPr>
        <w:spacing w:after="120" w:line="0" w:lineRule="atLeast"/>
        <w:ind w:left="1418" w:right="289" w:hanging="284"/>
        <w:jc w:val="both"/>
        <w:rPr>
          <w:rFonts w:ascii="Arial" w:eastAsia="Arial" w:hAnsi="Arial"/>
          <w:bCs/>
          <w:sz w:val="22"/>
          <w:szCs w:val="22"/>
          <w:lang w:val="es-CR"/>
        </w:rPr>
      </w:pPr>
      <w:r>
        <w:rPr>
          <w:rFonts w:ascii="Arial" w:eastAsia="Arial" w:hAnsi="Arial"/>
          <w:bCs/>
          <w:sz w:val="22"/>
          <w:szCs w:val="22"/>
          <w:lang w:val="es-CR"/>
        </w:rPr>
        <w:t>S</w:t>
      </w:r>
      <w:r w:rsidR="008A4688" w:rsidRPr="00F02F9D">
        <w:rPr>
          <w:rFonts w:ascii="Arial" w:eastAsia="Arial" w:hAnsi="Arial"/>
          <w:bCs/>
          <w:sz w:val="22"/>
          <w:szCs w:val="22"/>
          <w:lang w:val="es-CR"/>
        </w:rPr>
        <w:t>er reconocidos como gastos del período en que se incurre en ellos;</w:t>
      </w:r>
    </w:p>
    <w:p w14:paraId="16DD7032" w14:textId="77777777" w:rsidR="007377D0" w:rsidRPr="00F02F9D" w:rsidRDefault="007377D0" w:rsidP="00633B03">
      <w:pPr>
        <w:spacing w:line="23" w:lineRule="exact"/>
        <w:ind w:left="1276" w:hanging="284"/>
        <w:jc w:val="both"/>
        <w:rPr>
          <w:rFonts w:ascii="Arial" w:eastAsia="Arial" w:hAnsi="Arial"/>
          <w:bCs/>
          <w:sz w:val="22"/>
          <w:szCs w:val="22"/>
          <w:lang w:val="es-CR"/>
        </w:rPr>
      </w:pPr>
    </w:p>
    <w:p w14:paraId="4825D9D9" w14:textId="0E8FE907" w:rsidR="007377D0" w:rsidRPr="00F02F9D" w:rsidRDefault="001065E8">
      <w:pPr>
        <w:numPr>
          <w:ilvl w:val="1"/>
          <w:numId w:val="16"/>
        </w:numPr>
        <w:spacing w:line="236" w:lineRule="auto"/>
        <w:ind w:left="1418" w:right="260" w:hanging="284"/>
        <w:jc w:val="both"/>
        <w:rPr>
          <w:rFonts w:ascii="Arial" w:eastAsia="Arial" w:hAnsi="Arial"/>
          <w:bCs/>
          <w:sz w:val="22"/>
          <w:szCs w:val="22"/>
          <w:lang w:val="es-CR"/>
        </w:rPr>
      </w:pPr>
      <w:r>
        <w:rPr>
          <w:rFonts w:ascii="Arial" w:eastAsia="Arial" w:hAnsi="Arial"/>
          <w:bCs/>
          <w:sz w:val="22"/>
          <w:szCs w:val="22"/>
          <w:lang w:val="es-CR"/>
        </w:rPr>
        <w:t>S</w:t>
      </w:r>
      <w:r w:rsidR="008A4688" w:rsidRPr="00F02F9D">
        <w:rPr>
          <w:rFonts w:ascii="Arial" w:eastAsia="Arial" w:hAnsi="Arial"/>
          <w:bCs/>
          <w:sz w:val="22"/>
          <w:szCs w:val="22"/>
          <w:lang w:val="es-CR"/>
        </w:rPr>
        <w:t>er capitalizados, por lo que pasan a formar parte del costo de tales activos.</w:t>
      </w:r>
    </w:p>
    <w:p w14:paraId="6F232FB3" w14:textId="77777777" w:rsidR="007377D0" w:rsidRPr="00F02F9D" w:rsidRDefault="007377D0" w:rsidP="00C64EA4">
      <w:pPr>
        <w:spacing w:line="285" w:lineRule="exact"/>
        <w:jc w:val="both"/>
        <w:rPr>
          <w:rFonts w:ascii="Arial" w:eastAsia="Arial" w:hAnsi="Arial"/>
          <w:bCs/>
          <w:sz w:val="22"/>
          <w:szCs w:val="22"/>
          <w:lang w:val="es-CR"/>
        </w:rPr>
      </w:pPr>
    </w:p>
    <w:p w14:paraId="33E9C603" w14:textId="77777777" w:rsidR="007377D0" w:rsidRPr="00F02F9D" w:rsidRDefault="008A4688" w:rsidP="00FD3B47">
      <w:pPr>
        <w:numPr>
          <w:ilvl w:val="0"/>
          <w:numId w:val="3"/>
        </w:numPr>
        <w:spacing w:line="237" w:lineRule="auto"/>
        <w:ind w:left="1134" w:right="260"/>
        <w:jc w:val="both"/>
        <w:rPr>
          <w:rFonts w:ascii="Arial" w:eastAsia="Arial" w:hAnsi="Arial"/>
          <w:bCs/>
          <w:sz w:val="22"/>
          <w:szCs w:val="22"/>
          <w:lang w:val="es-CR"/>
        </w:rPr>
      </w:pPr>
      <w:r w:rsidRPr="00F02F9D">
        <w:rPr>
          <w:rFonts w:ascii="Arial" w:eastAsia="Arial" w:hAnsi="Arial"/>
          <w:bCs/>
          <w:sz w:val="22"/>
          <w:szCs w:val="22"/>
          <w:lang w:val="es-CR"/>
        </w:rPr>
        <w:t>No obstante, los tratamientos alternativos permitidos, en ningún caso se procederá a capitalizar costos por préstamos, por lo que se afectarán íntegramente a los resultados del ejercicio en que se incurran.</w:t>
      </w:r>
    </w:p>
    <w:p w14:paraId="2A5E2ECB" w14:textId="77777777" w:rsidR="007377D0" w:rsidRDefault="007377D0">
      <w:pPr>
        <w:spacing w:line="200" w:lineRule="exact"/>
        <w:rPr>
          <w:rFonts w:ascii="Arial" w:eastAsia="Times New Roman" w:hAnsi="Arial"/>
          <w:sz w:val="22"/>
          <w:szCs w:val="22"/>
          <w:lang w:val="es-CR"/>
        </w:rPr>
      </w:pPr>
    </w:p>
    <w:p w14:paraId="0C2474AE" w14:textId="77777777" w:rsidR="00F47532" w:rsidRPr="00F02F9D" w:rsidRDefault="00F47532">
      <w:pPr>
        <w:spacing w:line="200" w:lineRule="exact"/>
        <w:rPr>
          <w:rFonts w:ascii="Arial" w:eastAsia="Times New Roman" w:hAnsi="Arial"/>
          <w:sz w:val="22"/>
          <w:szCs w:val="22"/>
          <w:lang w:val="es-CR"/>
        </w:rPr>
      </w:pPr>
    </w:p>
    <w:p w14:paraId="39BF4C03" w14:textId="77777777" w:rsidR="00633B03" w:rsidRPr="00F02F9D" w:rsidRDefault="00633B03">
      <w:pPr>
        <w:spacing w:line="200" w:lineRule="exact"/>
        <w:rPr>
          <w:rFonts w:ascii="Arial" w:eastAsia="Times New Roman" w:hAnsi="Arial"/>
          <w:sz w:val="22"/>
          <w:szCs w:val="22"/>
          <w:lang w:val="es-CR"/>
        </w:rPr>
      </w:pPr>
    </w:p>
    <w:tbl>
      <w:tblPr>
        <w:tblW w:w="9004" w:type="dxa"/>
        <w:tblInd w:w="118" w:type="dxa"/>
        <w:tblLook w:val="04A0" w:firstRow="1" w:lastRow="0" w:firstColumn="1" w:lastColumn="0" w:noHBand="0" w:noVBand="1"/>
      </w:tblPr>
      <w:tblGrid>
        <w:gridCol w:w="536"/>
        <w:gridCol w:w="550"/>
        <w:gridCol w:w="520"/>
        <w:gridCol w:w="3062"/>
        <w:gridCol w:w="2268"/>
        <w:gridCol w:w="2068"/>
      </w:tblGrid>
      <w:tr w:rsidR="00633B03" w:rsidRPr="00216D66" w14:paraId="5DE5251F" w14:textId="77777777" w:rsidTr="00633B03">
        <w:trPr>
          <w:trHeight w:val="320"/>
        </w:trPr>
        <w:tc>
          <w:tcPr>
            <w:tcW w:w="160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5EF6F8D" w14:textId="77777777" w:rsidR="00633B03" w:rsidRPr="00216D66" w:rsidRDefault="00633B03" w:rsidP="00633B03">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30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0D974A2B" w14:textId="77777777" w:rsidR="00633B03" w:rsidRPr="00216D66" w:rsidRDefault="00633B03" w:rsidP="00633B03">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4336" w:type="dxa"/>
            <w:gridSpan w:val="2"/>
            <w:tcBorders>
              <w:top w:val="single" w:sz="8" w:space="0" w:color="auto"/>
              <w:left w:val="nil"/>
              <w:bottom w:val="single" w:sz="8" w:space="0" w:color="auto"/>
              <w:right w:val="single" w:sz="8" w:space="0" w:color="000000"/>
            </w:tcBorders>
            <w:shd w:val="clear" w:color="000000" w:fill="203764"/>
            <w:vAlign w:val="center"/>
            <w:hideMark/>
          </w:tcPr>
          <w:p w14:paraId="00051437" w14:textId="77777777" w:rsidR="00633B03" w:rsidRPr="00216D66" w:rsidRDefault="00633B03" w:rsidP="00633B03">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633B03" w:rsidRPr="0091631A" w14:paraId="63675A60" w14:textId="77777777" w:rsidTr="00633B03">
        <w:trPr>
          <w:trHeight w:val="320"/>
        </w:trPr>
        <w:tc>
          <w:tcPr>
            <w:tcW w:w="1606" w:type="dxa"/>
            <w:gridSpan w:val="3"/>
            <w:vMerge/>
            <w:tcBorders>
              <w:top w:val="single" w:sz="8" w:space="0" w:color="auto"/>
              <w:left w:val="single" w:sz="8" w:space="0" w:color="auto"/>
              <w:bottom w:val="nil"/>
              <w:right w:val="single" w:sz="8" w:space="0" w:color="000000"/>
            </w:tcBorders>
            <w:vAlign w:val="center"/>
            <w:hideMark/>
          </w:tcPr>
          <w:p w14:paraId="3ACDF75F" w14:textId="77777777" w:rsidR="00633B03" w:rsidRPr="00216D66" w:rsidRDefault="00633B03" w:rsidP="00633B03">
            <w:pPr>
              <w:rPr>
                <w:rFonts w:ascii="Arial Narrow" w:eastAsia="Times New Roman" w:hAnsi="Arial Narrow"/>
                <w:b/>
                <w:bCs/>
                <w:color w:val="FFFFFF"/>
                <w:sz w:val="22"/>
                <w:szCs w:val="22"/>
              </w:rPr>
            </w:pPr>
          </w:p>
        </w:tc>
        <w:tc>
          <w:tcPr>
            <w:tcW w:w="3062" w:type="dxa"/>
            <w:vMerge/>
            <w:tcBorders>
              <w:top w:val="single" w:sz="8" w:space="0" w:color="auto"/>
              <w:left w:val="single" w:sz="8" w:space="0" w:color="auto"/>
              <w:bottom w:val="nil"/>
              <w:right w:val="single" w:sz="8" w:space="0" w:color="auto"/>
            </w:tcBorders>
            <w:vAlign w:val="center"/>
            <w:hideMark/>
          </w:tcPr>
          <w:p w14:paraId="0A97C870" w14:textId="77777777" w:rsidR="00633B03" w:rsidRPr="00216D66" w:rsidRDefault="00633B03" w:rsidP="00633B03">
            <w:pPr>
              <w:rPr>
                <w:rFonts w:ascii="Arial Narrow" w:eastAsia="Times New Roman" w:hAnsi="Arial Narrow"/>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7BF12AC1" w14:textId="77777777" w:rsidR="00633B03" w:rsidRPr="00216D66" w:rsidRDefault="00633B03" w:rsidP="00633B03">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2068" w:type="dxa"/>
            <w:tcBorders>
              <w:top w:val="nil"/>
              <w:left w:val="nil"/>
              <w:bottom w:val="nil"/>
              <w:right w:val="single" w:sz="8" w:space="0" w:color="auto"/>
            </w:tcBorders>
            <w:shd w:val="clear" w:color="000000" w:fill="203764"/>
            <w:vAlign w:val="center"/>
            <w:hideMark/>
          </w:tcPr>
          <w:p w14:paraId="6E02258C" w14:textId="0239B31D" w:rsidR="00633B03" w:rsidRPr="0091631A" w:rsidRDefault="0091631A" w:rsidP="00633B03">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633B03" w:rsidRPr="00216D66" w14:paraId="4C665105" w14:textId="77777777" w:rsidTr="00901506">
        <w:trPr>
          <w:trHeight w:val="301"/>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031215" w14:textId="77777777" w:rsidR="00633B03" w:rsidRPr="00216D66" w:rsidRDefault="00633B03" w:rsidP="00633B03">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vAlign w:val="center"/>
            <w:hideMark/>
          </w:tcPr>
          <w:p w14:paraId="03D9771D" w14:textId="77777777" w:rsidR="00633B03" w:rsidRPr="00216D66" w:rsidRDefault="00633B03" w:rsidP="00633B03">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79.</w:t>
            </w:r>
          </w:p>
        </w:tc>
        <w:tc>
          <w:tcPr>
            <w:tcW w:w="520" w:type="dxa"/>
            <w:tcBorders>
              <w:top w:val="single" w:sz="8" w:space="0" w:color="auto"/>
              <w:left w:val="nil"/>
              <w:bottom w:val="single" w:sz="8" w:space="0" w:color="auto"/>
              <w:right w:val="single" w:sz="8" w:space="0" w:color="auto"/>
            </w:tcBorders>
            <w:shd w:val="clear" w:color="auto" w:fill="auto"/>
            <w:noWrap/>
            <w:vAlign w:val="center"/>
            <w:hideMark/>
          </w:tcPr>
          <w:p w14:paraId="48BB51F3" w14:textId="1ABEC7D2" w:rsidR="00633B03" w:rsidRPr="00216D66" w:rsidRDefault="00633B03" w:rsidP="00633B03">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 xml:space="preserve"> </w:t>
            </w:r>
          </w:p>
        </w:tc>
        <w:tc>
          <w:tcPr>
            <w:tcW w:w="3062" w:type="dxa"/>
            <w:tcBorders>
              <w:top w:val="single" w:sz="8" w:space="0" w:color="auto"/>
              <w:left w:val="nil"/>
              <w:bottom w:val="single" w:sz="8" w:space="0" w:color="auto"/>
              <w:right w:val="single" w:sz="8" w:space="0" w:color="auto"/>
            </w:tcBorders>
            <w:shd w:val="clear" w:color="auto" w:fill="auto"/>
            <w:vAlign w:val="center"/>
            <w:hideMark/>
          </w:tcPr>
          <w:p w14:paraId="5543BCE1" w14:textId="77777777" w:rsidR="00633B03" w:rsidRPr="00216D66" w:rsidRDefault="00633B03"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Costos de adquisición</w:t>
            </w:r>
          </w:p>
        </w:tc>
        <w:tc>
          <w:tcPr>
            <w:tcW w:w="2268" w:type="dxa"/>
            <w:tcBorders>
              <w:top w:val="single" w:sz="8" w:space="0" w:color="auto"/>
              <w:left w:val="nil"/>
              <w:bottom w:val="single" w:sz="8" w:space="0" w:color="auto"/>
              <w:right w:val="nil"/>
            </w:tcBorders>
            <w:shd w:val="clear" w:color="auto" w:fill="auto"/>
            <w:vAlign w:val="center"/>
            <w:hideMark/>
          </w:tcPr>
          <w:p w14:paraId="3F6E261D" w14:textId="77777777" w:rsidR="00901506" w:rsidRPr="00216D66" w:rsidRDefault="00633B03" w:rsidP="00633B03">
            <w:pPr>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 xml:space="preserve">NICSP N° 12, </w:t>
            </w:r>
          </w:p>
          <w:p w14:paraId="22B1E945" w14:textId="1DD64051" w:rsidR="00633B03" w:rsidRPr="00216D66" w:rsidRDefault="00633B03" w:rsidP="00633B03">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Párrafo 19</w:t>
            </w:r>
          </w:p>
        </w:tc>
        <w:tc>
          <w:tcPr>
            <w:tcW w:w="20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4EB444" w14:textId="77777777" w:rsidR="00633B03" w:rsidRPr="00216D66" w:rsidRDefault="00633B03" w:rsidP="00633B03">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bl>
    <w:p w14:paraId="3CB54E12" w14:textId="77777777" w:rsidR="00EE3321" w:rsidRDefault="00EE3321" w:rsidP="00FA2715">
      <w:pPr>
        <w:tabs>
          <w:tab w:val="left" w:pos="2760"/>
          <w:tab w:val="left" w:pos="6240"/>
        </w:tabs>
        <w:spacing w:line="0" w:lineRule="atLeast"/>
        <w:rPr>
          <w:rFonts w:ascii="Arial" w:eastAsia="Arial" w:hAnsi="Arial"/>
          <w:b/>
          <w:color w:val="FFFFFF"/>
          <w:sz w:val="22"/>
          <w:szCs w:val="22"/>
          <w:lang w:val="es-CR"/>
        </w:rPr>
      </w:pPr>
    </w:p>
    <w:p w14:paraId="0F069692" w14:textId="0ACB063B" w:rsidR="00FA2715" w:rsidRDefault="00FA2715" w:rsidP="00FA2715">
      <w:pPr>
        <w:tabs>
          <w:tab w:val="left" w:pos="2760"/>
          <w:tab w:val="left" w:pos="6240"/>
        </w:tabs>
        <w:spacing w:line="0" w:lineRule="atLeast"/>
        <w:rPr>
          <w:rFonts w:ascii="Arial" w:eastAsia="Arial" w:hAnsi="Arial"/>
          <w:b/>
          <w:sz w:val="22"/>
          <w:szCs w:val="22"/>
        </w:rPr>
      </w:pPr>
      <w:r w:rsidRPr="00F02F9D">
        <w:rPr>
          <w:rFonts w:ascii="Arial" w:eastAsia="Arial" w:hAnsi="Arial"/>
          <w:b/>
          <w:sz w:val="22"/>
          <w:szCs w:val="22"/>
        </w:rPr>
        <w:t>Políticas Contables</w:t>
      </w:r>
    </w:p>
    <w:p w14:paraId="7B51B471" w14:textId="77777777" w:rsidR="00FA2715" w:rsidRPr="00F02F9D" w:rsidRDefault="00FA2715" w:rsidP="00FA2715">
      <w:pPr>
        <w:tabs>
          <w:tab w:val="left" w:pos="2760"/>
          <w:tab w:val="left" w:pos="6240"/>
        </w:tabs>
        <w:spacing w:line="0" w:lineRule="atLeast"/>
        <w:rPr>
          <w:rFonts w:ascii="Arial" w:eastAsia="Arial" w:hAnsi="Arial"/>
          <w:b/>
          <w:color w:val="FFFFFF"/>
          <w:sz w:val="22"/>
          <w:szCs w:val="22"/>
          <w:lang w:val="es-CR"/>
        </w:rPr>
      </w:pPr>
    </w:p>
    <w:p w14:paraId="3A9DA2B2" w14:textId="795005D8" w:rsidR="007377D0" w:rsidRPr="00804D82" w:rsidRDefault="008A4688">
      <w:pPr>
        <w:pStyle w:val="Prrafodelista"/>
        <w:numPr>
          <w:ilvl w:val="3"/>
          <w:numId w:val="17"/>
        </w:numPr>
        <w:ind w:left="993" w:right="261" w:hanging="993"/>
        <w:jc w:val="both"/>
        <w:rPr>
          <w:rFonts w:ascii="Arial" w:eastAsia="Arial" w:hAnsi="Arial"/>
          <w:bCs/>
          <w:sz w:val="22"/>
          <w:szCs w:val="22"/>
          <w:lang w:val="es-CR"/>
        </w:rPr>
      </w:pPr>
      <w:r w:rsidRPr="00804D82">
        <w:rPr>
          <w:rFonts w:ascii="Arial" w:eastAsia="Arial" w:hAnsi="Arial"/>
          <w:bCs/>
          <w:sz w:val="22"/>
          <w:szCs w:val="22"/>
          <w:lang w:val="es-CR"/>
        </w:rPr>
        <w:t xml:space="preserve">En </w:t>
      </w:r>
      <w:r w:rsidR="002E3D70" w:rsidRPr="00804D82">
        <w:rPr>
          <w:rFonts w:ascii="Arial" w:eastAsia="Arial" w:hAnsi="Arial"/>
          <w:bCs/>
          <w:sz w:val="22"/>
          <w:szCs w:val="22"/>
          <w:lang w:val="es-CR"/>
        </w:rPr>
        <w:t xml:space="preserve">la </w:t>
      </w:r>
      <w:r w:rsidR="000F29DC">
        <w:rPr>
          <w:rFonts w:ascii="Arial" w:eastAsia="Arial" w:hAnsi="Arial"/>
          <w:bCs/>
          <w:sz w:val="22"/>
          <w:szCs w:val="22"/>
          <w:lang w:val="es-CR"/>
        </w:rPr>
        <w:t>MBA</w:t>
      </w:r>
      <w:r w:rsidRPr="00804D82">
        <w:rPr>
          <w:rFonts w:ascii="Arial" w:eastAsia="Arial" w:hAnsi="Arial"/>
          <w:bCs/>
          <w:sz w:val="22"/>
          <w:szCs w:val="22"/>
          <w:lang w:val="es-CR"/>
        </w:rPr>
        <w:t xml:space="preserve"> el </w:t>
      </w:r>
      <w:r w:rsidR="007443BE" w:rsidRPr="00804D82">
        <w:rPr>
          <w:rFonts w:ascii="Arial" w:eastAsia="Arial" w:hAnsi="Arial"/>
          <w:bCs/>
          <w:sz w:val="22"/>
          <w:szCs w:val="22"/>
          <w:lang w:val="es-CR"/>
        </w:rPr>
        <w:t>costo</w:t>
      </w:r>
      <w:r w:rsidRPr="00804D82">
        <w:rPr>
          <w:rFonts w:ascii="Arial" w:eastAsia="Arial" w:hAnsi="Arial"/>
          <w:bCs/>
          <w:sz w:val="22"/>
          <w:szCs w:val="22"/>
          <w:lang w:val="es-CR"/>
        </w:rPr>
        <w:t xml:space="preserve"> de los inventarios comprenderá el precio de compra, incluyendo aranceles de importación y otros impuestos (que no sean recuperables por la entidad ante las autoridades fiscales), los transportes, el almacenamiento y otros costos directamente atribuibles a la adquisición de las mercaderías, materiales y suministros. Los descuentos comerciales, las rebajas y otras partidas similares se deducirán al determinar el costo de adquisición.</w:t>
      </w:r>
    </w:p>
    <w:p w14:paraId="438D22F4" w14:textId="77777777" w:rsidR="00804D82" w:rsidRPr="00804D82" w:rsidRDefault="00804D82" w:rsidP="00804D82">
      <w:pPr>
        <w:pStyle w:val="Prrafodelista"/>
        <w:ind w:left="1080" w:right="261"/>
        <w:jc w:val="both"/>
        <w:rPr>
          <w:rFonts w:ascii="Arial" w:eastAsia="Arial" w:hAnsi="Arial"/>
          <w:bCs/>
          <w:sz w:val="22"/>
          <w:szCs w:val="22"/>
          <w:lang w:val="es-CR"/>
        </w:rPr>
      </w:pPr>
    </w:p>
    <w:p w14:paraId="1C799882" w14:textId="419133E5" w:rsidR="007443BE" w:rsidRDefault="002E3D70">
      <w:pPr>
        <w:pStyle w:val="Prrafodelista"/>
        <w:numPr>
          <w:ilvl w:val="3"/>
          <w:numId w:val="17"/>
        </w:numPr>
        <w:spacing w:line="236" w:lineRule="auto"/>
        <w:ind w:left="993" w:right="260" w:hanging="993"/>
        <w:rPr>
          <w:rFonts w:ascii="Arial" w:eastAsia="Arial" w:hAnsi="Arial"/>
          <w:bCs/>
          <w:sz w:val="22"/>
          <w:szCs w:val="22"/>
          <w:lang w:val="es-CR"/>
        </w:rPr>
      </w:pPr>
      <w:r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registrará todos los inventarios bajo el método perpetuo o permanente.</w:t>
      </w:r>
    </w:p>
    <w:p w14:paraId="5C3C04D6" w14:textId="77777777" w:rsidR="00A77FD8" w:rsidRPr="00A77FD8" w:rsidRDefault="00A77FD8" w:rsidP="00A77FD8">
      <w:pPr>
        <w:pStyle w:val="Prrafodelista"/>
        <w:rPr>
          <w:rFonts w:ascii="Arial" w:eastAsia="Arial" w:hAnsi="Arial"/>
          <w:bCs/>
          <w:sz w:val="22"/>
          <w:szCs w:val="22"/>
          <w:lang w:val="es-CR"/>
        </w:rPr>
      </w:pPr>
    </w:p>
    <w:p w14:paraId="45F53235" w14:textId="77777777" w:rsidR="007443BE" w:rsidRPr="00F02F9D" w:rsidRDefault="007443BE" w:rsidP="007443BE">
      <w:pPr>
        <w:pStyle w:val="Prrafodelista"/>
        <w:spacing w:line="236" w:lineRule="auto"/>
        <w:ind w:left="1080" w:right="260"/>
        <w:rPr>
          <w:rFonts w:ascii="Arial" w:eastAsia="Arial" w:hAnsi="Arial"/>
          <w:b/>
          <w:sz w:val="22"/>
          <w:szCs w:val="22"/>
          <w:lang w:val="es-CR"/>
        </w:rPr>
      </w:pPr>
    </w:p>
    <w:p w14:paraId="0B5413A0" w14:textId="77777777" w:rsidR="007377D0" w:rsidRPr="00F02F9D" w:rsidRDefault="008A4688">
      <w:pPr>
        <w:spacing w:line="0" w:lineRule="atLeast"/>
        <w:ind w:left="380"/>
        <w:rPr>
          <w:rFonts w:ascii="Arial" w:eastAsia="Arial" w:hAnsi="Arial"/>
          <w:b/>
          <w:sz w:val="22"/>
          <w:szCs w:val="22"/>
          <w:lang w:val="es-CR"/>
        </w:rPr>
      </w:pPr>
      <w:r w:rsidRPr="00F02F9D">
        <w:rPr>
          <w:rFonts w:ascii="Arial" w:eastAsia="Arial" w:hAnsi="Arial"/>
          <w:b/>
          <w:sz w:val="22"/>
          <w:szCs w:val="22"/>
          <w:lang w:val="es-CR"/>
        </w:rPr>
        <w:t>Medición de Costos</w:t>
      </w:r>
    </w:p>
    <w:p w14:paraId="5AAD3075" w14:textId="77777777" w:rsidR="009D2C71" w:rsidRPr="00F02F9D" w:rsidRDefault="008A4688" w:rsidP="00EE3321">
      <w:pPr>
        <w:spacing w:line="242" w:lineRule="auto"/>
        <w:rPr>
          <w:rFonts w:ascii="Arial" w:eastAsia="Arial" w:hAnsi="Arial"/>
          <w:b/>
          <w:color w:val="FFFFFF"/>
          <w:sz w:val="22"/>
          <w:szCs w:val="22"/>
          <w:lang w:val="es-CR"/>
        </w:rPr>
      </w:pPr>
      <w:r w:rsidRPr="00F02F9D">
        <w:rPr>
          <w:rFonts w:ascii="Arial" w:eastAsia="Arial" w:hAnsi="Arial"/>
          <w:b/>
          <w:color w:val="FFFFFF"/>
          <w:sz w:val="22"/>
          <w:szCs w:val="22"/>
          <w:lang w:val="es-CR"/>
        </w:rPr>
        <w:t xml:space="preserve">a / </w:t>
      </w:r>
    </w:p>
    <w:tbl>
      <w:tblPr>
        <w:tblW w:w="9136" w:type="dxa"/>
        <w:tblInd w:w="118" w:type="dxa"/>
        <w:tblLook w:val="04A0" w:firstRow="1" w:lastRow="0" w:firstColumn="1" w:lastColumn="0" w:noHBand="0" w:noVBand="1"/>
      </w:tblPr>
      <w:tblGrid>
        <w:gridCol w:w="562"/>
        <w:gridCol w:w="550"/>
        <w:gridCol w:w="542"/>
        <w:gridCol w:w="3156"/>
        <w:gridCol w:w="2268"/>
        <w:gridCol w:w="2058"/>
      </w:tblGrid>
      <w:tr w:rsidR="009D2C71" w:rsidRPr="00216D66" w14:paraId="45F9534D" w14:textId="77777777" w:rsidTr="009D2C71">
        <w:trPr>
          <w:trHeight w:val="320"/>
        </w:trPr>
        <w:tc>
          <w:tcPr>
            <w:tcW w:w="165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128DCAF" w14:textId="77777777" w:rsidR="009D2C71" w:rsidRPr="00216D66" w:rsidRDefault="009D2C71" w:rsidP="009D2C71">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3156" w:type="dxa"/>
            <w:vMerge w:val="restart"/>
            <w:tcBorders>
              <w:top w:val="single" w:sz="8" w:space="0" w:color="auto"/>
              <w:left w:val="single" w:sz="8" w:space="0" w:color="auto"/>
              <w:bottom w:val="nil"/>
              <w:right w:val="single" w:sz="8" w:space="0" w:color="auto"/>
            </w:tcBorders>
            <w:shd w:val="clear" w:color="000000" w:fill="203764"/>
            <w:vAlign w:val="center"/>
            <w:hideMark/>
          </w:tcPr>
          <w:p w14:paraId="57A6F9CB" w14:textId="77777777" w:rsidR="009D2C71" w:rsidRPr="00216D66" w:rsidRDefault="009D2C71" w:rsidP="009D2C71">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4326" w:type="dxa"/>
            <w:gridSpan w:val="2"/>
            <w:tcBorders>
              <w:top w:val="single" w:sz="8" w:space="0" w:color="auto"/>
              <w:left w:val="nil"/>
              <w:bottom w:val="single" w:sz="8" w:space="0" w:color="auto"/>
              <w:right w:val="single" w:sz="8" w:space="0" w:color="000000"/>
            </w:tcBorders>
            <w:shd w:val="clear" w:color="000000" w:fill="203764"/>
            <w:vAlign w:val="center"/>
            <w:hideMark/>
          </w:tcPr>
          <w:p w14:paraId="3BC9C0E1" w14:textId="77777777" w:rsidR="009D2C71" w:rsidRPr="00216D66" w:rsidRDefault="009D2C71" w:rsidP="009D2C71">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9D2C71" w:rsidRPr="00216D66" w14:paraId="44DD3968" w14:textId="77777777" w:rsidTr="009D2C71">
        <w:trPr>
          <w:trHeight w:val="320"/>
        </w:trPr>
        <w:tc>
          <w:tcPr>
            <w:tcW w:w="1654" w:type="dxa"/>
            <w:gridSpan w:val="3"/>
            <w:vMerge/>
            <w:tcBorders>
              <w:top w:val="single" w:sz="8" w:space="0" w:color="auto"/>
              <w:left w:val="single" w:sz="8" w:space="0" w:color="auto"/>
              <w:bottom w:val="nil"/>
              <w:right w:val="single" w:sz="8" w:space="0" w:color="000000"/>
            </w:tcBorders>
            <w:vAlign w:val="center"/>
            <w:hideMark/>
          </w:tcPr>
          <w:p w14:paraId="08FD8977" w14:textId="77777777" w:rsidR="009D2C71" w:rsidRPr="00216D66" w:rsidRDefault="009D2C71" w:rsidP="009D2C71">
            <w:pPr>
              <w:rPr>
                <w:rFonts w:ascii="Arial Narrow" w:eastAsia="Times New Roman" w:hAnsi="Arial Narrow"/>
                <w:b/>
                <w:bCs/>
                <w:color w:val="FFFFFF"/>
                <w:sz w:val="22"/>
                <w:szCs w:val="22"/>
              </w:rPr>
            </w:pPr>
          </w:p>
        </w:tc>
        <w:tc>
          <w:tcPr>
            <w:tcW w:w="3156" w:type="dxa"/>
            <w:vMerge/>
            <w:tcBorders>
              <w:top w:val="single" w:sz="8" w:space="0" w:color="auto"/>
              <w:left w:val="single" w:sz="8" w:space="0" w:color="auto"/>
              <w:bottom w:val="nil"/>
              <w:right w:val="single" w:sz="8" w:space="0" w:color="auto"/>
            </w:tcBorders>
            <w:vAlign w:val="center"/>
            <w:hideMark/>
          </w:tcPr>
          <w:p w14:paraId="018F6191" w14:textId="77777777" w:rsidR="009D2C71" w:rsidRPr="00216D66" w:rsidRDefault="009D2C71" w:rsidP="009D2C71">
            <w:pPr>
              <w:rPr>
                <w:rFonts w:ascii="Arial Narrow" w:eastAsia="Times New Roman" w:hAnsi="Arial Narrow"/>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749EA827" w14:textId="77777777" w:rsidR="009D2C71" w:rsidRPr="00216D66" w:rsidRDefault="009D2C71" w:rsidP="009D2C71">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2053" w:type="dxa"/>
            <w:tcBorders>
              <w:top w:val="nil"/>
              <w:left w:val="nil"/>
              <w:bottom w:val="nil"/>
              <w:right w:val="single" w:sz="8" w:space="0" w:color="auto"/>
            </w:tcBorders>
            <w:shd w:val="clear" w:color="000000" w:fill="203764"/>
            <w:vAlign w:val="center"/>
            <w:hideMark/>
          </w:tcPr>
          <w:p w14:paraId="05A5CE05" w14:textId="77777777" w:rsidR="009D2C71" w:rsidRPr="00216D66" w:rsidRDefault="009D2C71" w:rsidP="009D2C71">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Política</w:t>
            </w:r>
          </w:p>
        </w:tc>
      </w:tr>
      <w:tr w:rsidR="009D2C71" w:rsidRPr="00216D66" w14:paraId="4FDAF961" w14:textId="77777777" w:rsidTr="00901506">
        <w:trPr>
          <w:trHeight w:val="423"/>
        </w:trPr>
        <w:tc>
          <w:tcPr>
            <w:tcW w:w="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F02F55" w14:textId="77777777" w:rsidR="009D2C71" w:rsidRPr="00216D66" w:rsidRDefault="009D2C71" w:rsidP="009D2C71">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1A54C6F1" w14:textId="77777777" w:rsidR="009D2C71" w:rsidRPr="00216D66" w:rsidRDefault="009D2C71" w:rsidP="009D2C71">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89.</w:t>
            </w:r>
          </w:p>
        </w:tc>
        <w:tc>
          <w:tcPr>
            <w:tcW w:w="542" w:type="dxa"/>
            <w:tcBorders>
              <w:top w:val="single" w:sz="8" w:space="0" w:color="auto"/>
              <w:left w:val="nil"/>
              <w:bottom w:val="single" w:sz="8" w:space="0" w:color="auto"/>
              <w:right w:val="single" w:sz="8" w:space="0" w:color="auto"/>
            </w:tcBorders>
            <w:shd w:val="clear" w:color="auto" w:fill="auto"/>
            <w:vAlign w:val="center"/>
            <w:hideMark/>
          </w:tcPr>
          <w:p w14:paraId="4160D727" w14:textId="0EA541BA" w:rsidR="009D2C71" w:rsidRPr="00216D66" w:rsidRDefault="009D2C71" w:rsidP="009D2C71">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c>
          <w:tcPr>
            <w:tcW w:w="3156" w:type="dxa"/>
            <w:tcBorders>
              <w:top w:val="single" w:sz="8" w:space="0" w:color="auto"/>
              <w:left w:val="nil"/>
              <w:bottom w:val="single" w:sz="8" w:space="0" w:color="auto"/>
              <w:right w:val="nil"/>
            </w:tcBorders>
            <w:shd w:val="clear" w:color="auto" w:fill="auto"/>
            <w:vAlign w:val="center"/>
            <w:hideMark/>
          </w:tcPr>
          <w:p w14:paraId="3B2AD793" w14:textId="5B94477C" w:rsidR="009D2C71" w:rsidRPr="00216D66" w:rsidRDefault="009D2C71" w:rsidP="009D2C71">
            <w:pPr>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Fórmulas del costo</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01E989" w14:textId="77777777" w:rsidR="00216D66" w:rsidRDefault="009D2C71"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xml:space="preserve">NICSP N° 12, </w:t>
            </w:r>
          </w:p>
          <w:p w14:paraId="759CE529" w14:textId="093FC8AA" w:rsidR="009D2C71" w:rsidRPr="00216D66" w:rsidRDefault="009D2C71"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Párrafos 34 y 35.</w:t>
            </w:r>
          </w:p>
        </w:tc>
        <w:tc>
          <w:tcPr>
            <w:tcW w:w="2053" w:type="dxa"/>
            <w:tcBorders>
              <w:top w:val="single" w:sz="8" w:space="0" w:color="auto"/>
              <w:left w:val="nil"/>
              <w:bottom w:val="single" w:sz="8" w:space="0" w:color="auto"/>
              <w:right w:val="single" w:sz="8" w:space="0" w:color="auto"/>
            </w:tcBorders>
            <w:shd w:val="clear" w:color="auto" w:fill="auto"/>
            <w:vAlign w:val="center"/>
            <w:hideMark/>
          </w:tcPr>
          <w:p w14:paraId="1F105008" w14:textId="77777777" w:rsidR="009D2C71" w:rsidRPr="00216D66" w:rsidRDefault="009D2C71" w:rsidP="009D2C71">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r w:rsidR="009D2C71" w:rsidRPr="00216D66" w14:paraId="1661A65F" w14:textId="77777777" w:rsidTr="00901506">
        <w:trPr>
          <w:trHeight w:val="359"/>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1E9DDA1A" w14:textId="77777777" w:rsidR="009D2C71" w:rsidRPr="00216D66" w:rsidRDefault="009D2C71" w:rsidP="009D2C71">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noWrap/>
            <w:vAlign w:val="center"/>
            <w:hideMark/>
          </w:tcPr>
          <w:p w14:paraId="28C4E573" w14:textId="77777777" w:rsidR="009D2C71" w:rsidRPr="00216D66" w:rsidRDefault="009D2C71" w:rsidP="009D2C71">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89.</w:t>
            </w:r>
          </w:p>
        </w:tc>
        <w:tc>
          <w:tcPr>
            <w:tcW w:w="542" w:type="dxa"/>
            <w:tcBorders>
              <w:top w:val="nil"/>
              <w:left w:val="nil"/>
              <w:bottom w:val="single" w:sz="8" w:space="0" w:color="auto"/>
              <w:right w:val="single" w:sz="8" w:space="0" w:color="auto"/>
            </w:tcBorders>
            <w:shd w:val="clear" w:color="auto" w:fill="auto"/>
            <w:vAlign w:val="center"/>
            <w:hideMark/>
          </w:tcPr>
          <w:p w14:paraId="24A323A0" w14:textId="594081C2" w:rsidR="009D2C71" w:rsidRPr="00216D66" w:rsidRDefault="00A77FD8" w:rsidP="009D2C71">
            <w:pPr>
              <w:jc w:val="center"/>
              <w:rPr>
                <w:rFonts w:ascii="Arial Narrow" w:eastAsia="Times New Roman" w:hAnsi="Arial Narrow"/>
                <w:b/>
                <w:bCs/>
                <w:color w:val="000000"/>
                <w:sz w:val="22"/>
                <w:szCs w:val="22"/>
              </w:rPr>
            </w:pPr>
            <w:r>
              <w:rPr>
                <w:rFonts w:ascii="Arial Narrow" w:eastAsia="Times New Roman" w:hAnsi="Arial Narrow"/>
                <w:b/>
                <w:bCs/>
                <w:color w:val="000000"/>
                <w:sz w:val="22"/>
                <w:szCs w:val="22"/>
              </w:rPr>
              <w:t>1</w:t>
            </w:r>
          </w:p>
        </w:tc>
        <w:tc>
          <w:tcPr>
            <w:tcW w:w="3156" w:type="dxa"/>
            <w:tcBorders>
              <w:top w:val="nil"/>
              <w:left w:val="nil"/>
              <w:bottom w:val="single" w:sz="8" w:space="0" w:color="auto"/>
              <w:right w:val="nil"/>
            </w:tcBorders>
            <w:shd w:val="clear" w:color="auto" w:fill="auto"/>
            <w:vAlign w:val="center"/>
            <w:hideMark/>
          </w:tcPr>
          <w:p w14:paraId="219A8978" w14:textId="77777777" w:rsidR="009D2C71" w:rsidRPr="00216D66" w:rsidRDefault="009D2C71" w:rsidP="009D2C71">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Método PEPS</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4F28BECB" w14:textId="77777777" w:rsidR="00901506" w:rsidRPr="00216D66" w:rsidRDefault="009D2C71"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NICSP N° 12,</w:t>
            </w:r>
          </w:p>
          <w:p w14:paraId="409879FD" w14:textId="69FAA214" w:rsidR="009D2C71" w:rsidRPr="00216D66" w:rsidRDefault="009D2C71"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xml:space="preserve"> Párrafo 37.</w:t>
            </w:r>
          </w:p>
        </w:tc>
        <w:tc>
          <w:tcPr>
            <w:tcW w:w="2053" w:type="dxa"/>
            <w:tcBorders>
              <w:top w:val="nil"/>
              <w:left w:val="nil"/>
              <w:bottom w:val="single" w:sz="8" w:space="0" w:color="auto"/>
              <w:right w:val="single" w:sz="8" w:space="0" w:color="auto"/>
            </w:tcBorders>
            <w:shd w:val="clear" w:color="auto" w:fill="auto"/>
            <w:vAlign w:val="center"/>
            <w:hideMark/>
          </w:tcPr>
          <w:p w14:paraId="348CBDFF" w14:textId="77777777" w:rsidR="009D2C71" w:rsidRPr="00216D66" w:rsidRDefault="009D2C71" w:rsidP="009D2C71">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bl>
    <w:p w14:paraId="0FB76614" w14:textId="77777777" w:rsidR="00D42B12" w:rsidRDefault="00D42B12" w:rsidP="00804D82">
      <w:pPr>
        <w:spacing w:line="0" w:lineRule="atLeast"/>
        <w:rPr>
          <w:rFonts w:ascii="Arial" w:eastAsia="Arial" w:hAnsi="Arial"/>
          <w:b/>
          <w:sz w:val="22"/>
          <w:szCs w:val="22"/>
          <w:lang w:val="es-CR"/>
        </w:rPr>
      </w:pPr>
    </w:p>
    <w:p w14:paraId="361960FF" w14:textId="439D118B" w:rsidR="00FA2715" w:rsidRDefault="00FA2715" w:rsidP="00804D82">
      <w:pPr>
        <w:spacing w:line="0" w:lineRule="atLeast"/>
        <w:rPr>
          <w:rFonts w:ascii="Arial" w:eastAsia="Arial" w:hAnsi="Arial"/>
          <w:b/>
          <w:sz w:val="22"/>
          <w:szCs w:val="22"/>
        </w:rPr>
      </w:pPr>
      <w:r w:rsidRPr="00F02F9D">
        <w:rPr>
          <w:rFonts w:ascii="Arial" w:eastAsia="Arial" w:hAnsi="Arial"/>
          <w:b/>
          <w:sz w:val="22"/>
          <w:szCs w:val="22"/>
        </w:rPr>
        <w:t>Política Contable</w:t>
      </w:r>
    </w:p>
    <w:p w14:paraId="3048AC95" w14:textId="77777777" w:rsidR="00FA2715" w:rsidRDefault="00FA2715" w:rsidP="00804D82">
      <w:pPr>
        <w:spacing w:line="0" w:lineRule="atLeast"/>
        <w:rPr>
          <w:rFonts w:ascii="Arial" w:eastAsia="Arial" w:hAnsi="Arial"/>
          <w:b/>
          <w:sz w:val="22"/>
          <w:szCs w:val="22"/>
          <w:lang w:val="es-CR"/>
        </w:rPr>
      </w:pPr>
    </w:p>
    <w:p w14:paraId="27B5B7FD" w14:textId="353ADA17" w:rsidR="00EE3321" w:rsidRPr="00F02F9D" w:rsidRDefault="009D2C71" w:rsidP="00DB0DDE">
      <w:pPr>
        <w:spacing w:line="237" w:lineRule="auto"/>
        <w:ind w:left="993" w:right="260" w:hanging="993"/>
        <w:jc w:val="both"/>
        <w:rPr>
          <w:rFonts w:ascii="Arial" w:eastAsia="Arial" w:hAnsi="Arial"/>
          <w:b/>
          <w:sz w:val="22"/>
          <w:szCs w:val="22"/>
          <w:lang w:val="es-CR"/>
        </w:rPr>
      </w:pPr>
      <w:r w:rsidRPr="00FA2715">
        <w:rPr>
          <w:rFonts w:ascii="Arial" w:eastAsia="Arial" w:hAnsi="Arial"/>
          <w:bCs/>
          <w:sz w:val="22"/>
          <w:szCs w:val="22"/>
          <w:lang w:val="es-CR"/>
        </w:rPr>
        <w:t>1.89.2.01</w:t>
      </w:r>
      <w:r w:rsidRPr="00F02F9D">
        <w:rPr>
          <w:rFonts w:ascii="Arial" w:eastAsia="Arial" w:hAnsi="Arial"/>
          <w:b/>
          <w:sz w:val="22"/>
          <w:szCs w:val="22"/>
          <w:lang w:val="es-CR"/>
        </w:rPr>
        <w:tab/>
      </w:r>
      <w:r w:rsidR="002E3D70" w:rsidRPr="00D42B12">
        <w:rPr>
          <w:rFonts w:ascii="Arial" w:eastAsia="Arial" w:hAnsi="Arial"/>
          <w:bCs/>
          <w:sz w:val="22"/>
          <w:szCs w:val="22"/>
          <w:lang w:val="es-CR"/>
        </w:rPr>
        <w:t xml:space="preserve">La </w:t>
      </w:r>
      <w:r w:rsidR="000F29DC">
        <w:rPr>
          <w:rFonts w:ascii="Arial" w:eastAsia="Arial" w:hAnsi="Arial"/>
          <w:bCs/>
          <w:sz w:val="22"/>
          <w:szCs w:val="22"/>
          <w:lang w:val="es-CR"/>
        </w:rPr>
        <w:t>MBA</w:t>
      </w:r>
      <w:r w:rsidR="008A4688" w:rsidRPr="00D42B12">
        <w:rPr>
          <w:rFonts w:ascii="Arial" w:eastAsia="Arial" w:hAnsi="Arial"/>
          <w:bCs/>
          <w:sz w:val="22"/>
          <w:szCs w:val="22"/>
          <w:lang w:val="es-CR"/>
        </w:rPr>
        <w:t xml:space="preserve"> deberá aplicar con carácter general el método </w:t>
      </w:r>
      <w:r w:rsidR="00EE3321" w:rsidRPr="00D42B12">
        <w:rPr>
          <w:rFonts w:ascii="Arial" w:eastAsia="Arial" w:hAnsi="Arial"/>
          <w:bCs/>
          <w:sz w:val="22"/>
          <w:szCs w:val="22"/>
          <w:lang w:val="es-CR"/>
        </w:rPr>
        <w:t>Primera en Entrar Primera en Salir (PEPS).</w:t>
      </w:r>
    </w:p>
    <w:p w14:paraId="12DFE124" w14:textId="01601E9D" w:rsidR="007377D0" w:rsidRDefault="007377D0" w:rsidP="00A77FD8">
      <w:pPr>
        <w:tabs>
          <w:tab w:val="left" w:pos="740"/>
        </w:tabs>
        <w:spacing w:line="0" w:lineRule="atLeast"/>
        <w:rPr>
          <w:rFonts w:ascii="Arial" w:eastAsia="Arial" w:hAnsi="Arial"/>
          <w:b/>
          <w:sz w:val="22"/>
          <w:szCs w:val="22"/>
          <w:lang w:val="es-CR"/>
        </w:rPr>
      </w:pPr>
    </w:p>
    <w:p w14:paraId="5B3024A8" w14:textId="77777777" w:rsidR="00A77FD8" w:rsidRPr="00F02F9D" w:rsidRDefault="00A77FD8" w:rsidP="00A77FD8">
      <w:pPr>
        <w:tabs>
          <w:tab w:val="left" w:pos="740"/>
        </w:tabs>
        <w:spacing w:line="0" w:lineRule="atLeast"/>
        <w:rPr>
          <w:rFonts w:ascii="Arial" w:eastAsia="Arial" w:hAnsi="Arial"/>
          <w:b/>
          <w:sz w:val="22"/>
          <w:szCs w:val="22"/>
          <w:lang w:val="es-CR"/>
        </w:rPr>
      </w:pPr>
    </w:p>
    <w:p w14:paraId="31CCEA63" w14:textId="77777777" w:rsidR="007377D0" w:rsidRPr="00F02F9D" w:rsidRDefault="007377D0">
      <w:pPr>
        <w:spacing w:line="9" w:lineRule="exact"/>
        <w:rPr>
          <w:rFonts w:ascii="Arial" w:eastAsia="Arial" w:hAnsi="Arial"/>
          <w:b/>
          <w:sz w:val="22"/>
          <w:szCs w:val="22"/>
          <w:lang w:val="es-CR"/>
        </w:rPr>
      </w:pPr>
    </w:p>
    <w:p w14:paraId="2DE4AA36" w14:textId="77777777" w:rsidR="007377D0" w:rsidRPr="00216D66" w:rsidRDefault="008A4688" w:rsidP="00216D66">
      <w:pPr>
        <w:pStyle w:val="Ttulo2"/>
        <w:ind w:left="284"/>
        <w:rPr>
          <w:rFonts w:ascii="Arial" w:eastAsia="Arial" w:hAnsi="Arial" w:cs="Arial"/>
          <w:b/>
          <w:bCs/>
          <w:sz w:val="20"/>
          <w:szCs w:val="20"/>
          <w:lang w:val="es-CR"/>
        </w:rPr>
      </w:pPr>
      <w:bookmarkStart w:id="34" w:name="_Toc172726205"/>
      <w:r w:rsidRPr="00216D66">
        <w:rPr>
          <w:rFonts w:ascii="Arial" w:eastAsia="Arial" w:hAnsi="Arial" w:cs="Arial"/>
          <w:b/>
          <w:bCs/>
          <w:sz w:val="20"/>
          <w:szCs w:val="20"/>
          <w:lang w:val="es-CR"/>
        </w:rPr>
        <w:t>Reconocimiento de inventarios en resultados</w:t>
      </w:r>
      <w:bookmarkEnd w:id="34"/>
    </w:p>
    <w:p w14:paraId="5F10F5EB" w14:textId="77777777" w:rsidR="007742FD" w:rsidRPr="00F02F9D" w:rsidRDefault="007742FD">
      <w:pPr>
        <w:spacing w:line="0" w:lineRule="atLeast"/>
        <w:ind w:left="380"/>
        <w:rPr>
          <w:rFonts w:ascii="Arial" w:eastAsia="Arial" w:hAnsi="Arial"/>
          <w:b/>
          <w:sz w:val="22"/>
          <w:szCs w:val="22"/>
          <w:lang w:val="es-CR"/>
        </w:rPr>
      </w:pPr>
    </w:p>
    <w:tbl>
      <w:tblPr>
        <w:tblW w:w="9062" w:type="dxa"/>
        <w:tblInd w:w="118" w:type="dxa"/>
        <w:tblLook w:val="04A0" w:firstRow="1" w:lastRow="0" w:firstColumn="1" w:lastColumn="0" w:noHBand="0" w:noVBand="1"/>
      </w:tblPr>
      <w:tblGrid>
        <w:gridCol w:w="561"/>
        <w:gridCol w:w="550"/>
        <w:gridCol w:w="534"/>
        <w:gridCol w:w="3165"/>
        <w:gridCol w:w="2129"/>
        <w:gridCol w:w="2123"/>
      </w:tblGrid>
      <w:tr w:rsidR="007742FD" w:rsidRPr="00216D66" w14:paraId="6F5F263F" w14:textId="77777777" w:rsidTr="007742FD">
        <w:trPr>
          <w:trHeight w:val="320"/>
        </w:trPr>
        <w:tc>
          <w:tcPr>
            <w:tcW w:w="164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41FD47C" w14:textId="77777777" w:rsidR="007742FD" w:rsidRPr="00216D66" w:rsidRDefault="007742FD" w:rsidP="007742FD">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316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4273BF6" w14:textId="77777777" w:rsidR="007742FD" w:rsidRPr="00216D66" w:rsidRDefault="007742FD" w:rsidP="007742FD">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00343EF0" w14:textId="77777777" w:rsidR="007742FD" w:rsidRPr="00216D66" w:rsidRDefault="007742FD" w:rsidP="007742FD">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7742FD" w:rsidRPr="0091631A" w14:paraId="4AC6FD87" w14:textId="77777777" w:rsidTr="007742FD">
        <w:trPr>
          <w:trHeight w:val="320"/>
        </w:trPr>
        <w:tc>
          <w:tcPr>
            <w:tcW w:w="1645" w:type="dxa"/>
            <w:gridSpan w:val="3"/>
            <w:vMerge/>
            <w:tcBorders>
              <w:top w:val="single" w:sz="8" w:space="0" w:color="auto"/>
              <w:left w:val="single" w:sz="8" w:space="0" w:color="auto"/>
              <w:bottom w:val="nil"/>
              <w:right w:val="single" w:sz="8" w:space="0" w:color="000000"/>
            </w:tcBorders>
            <w:vAlign w:val="center"/>
            <w:hideMark/>
          </w:tcPr>
          <w:p w14:paraId="304B2D69" w14:textId="77777777" w:rsidR="007742FD" w:rsidRPr="00216D66" w:rsidRDefault="007742FD" w:rsidP="007742FD">
            <w:pPr>
              <w:rPr>
                <w:rFonts w:ascii="Arial Narrow" w:eastAsia="Times New Roman" w:hAnsi="Arial Narrow"/>
                <w:b/>
                <w:bCs/>
                <w:color w:val="FFFFFF"/>
                <w:sz w:val="22"/>
                <w:szCs w:val="22"/>
              </w:rPr>
            </w:pPr>
          </w:p>
        </w:tc>
        <w:tc>
          <w:tcPr>
            <w:tcW w:w="3165" w:type="dxa"/>
            <w:vMerge/>
            <w:tcBorders>
              <w:top w:val="single" w:sz="8" w:space="0" w:color="auto"/>
              <w:left w:val="single" w:sz="8" w:space="0" w:color="auto"/>
              <w:bottom w:val="nil"/>
              <w:right w:val="single" w:sz="8" w:space="0" w:color="auto"/>
            </w:tcBorders>
            <w:vAlign w:val="center"/>
            <w:hideMark/>
          </w:tcPr>
          <w:p w14:paraId="4F19D402" w14:textId="77777777" w:rsidR="007742FD" w:rsidRPr="00216D66" w:rsidRDefault="007742FD" w:rsidP="007742FD">
            <w:pPr>
              <w:rPr>
                <w:rFonts w:ascii="Arial Narrow" w:eastAsia="Times New Roman" w:hAnsi="Arial Narrow"/>
                <w:b/>
                <w:bCs/>
                <w:color w:val="FFFFFF"/>
                <w:sz w:val="22"/>
                <w:szCs w:val="22"/>
              </w:rPr>
            </w:pPr>
          </w:p>
        </w:tc>
        <w:tc>
          <w:tcPr>
            <w:tcW w:w="2129" w:type="dxa"/>
            <w:tcBorders>
              <w:top w:val="nil"/>
              <w:left w:val="nil"/>
              <w:bottom w:val="nil"/>
              <w:right w:val="single" w:sz="8" w:space="0" w:color="auto"/>
            </w:tcBorders>
            <w:shd w:val="clear" w:color="000000" w:fill="203764"/>
            <w:vAlign w:val="center"/>
            <w:hideMark/>
          </w:tcPr>
          <w:p w14:paraId="2CE739C7" w14:textId="77777777" w:rsidR="007742FD" w:rsidRPr="00216D66" w:rsidRDefault="007742FD" w:rsidP="007742FD">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2123" w:type="dxa"/>
            <w:tcBorders>
              <w:top w:val="nil"/>
              <w:left w:val="nil"/>
              <w:bottom w:val="nil"/>
              <w:right w:val="single" w:sz="8" w:space="0" w:color="auto"/>
            </w:tcBorders>
            <w:shd w:val="clear" w:color="000000" w:fill="203764"/>
            <w:vAlign w:val="center"/>
            <w:hideMark/>
          </w:tcPr>
          <w:p w14:paraId="3DA05418" w14:textId="34B4B394" w:rsidR="007742FD" w:rsidRPr="0091631A" w:rsidRDefault="0091631A" w:rsidP="007742FD">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742FD" w:rsidRPr="00216D66" w14:paraId="558A59FC" w14:textId="77777777" w:rsidTr="00AE7EA8">
        <w:trPr>
          <w:trHeight w:val="500"/>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F8F198" w14:textId="77777777" w:rsidR="007742FD" w:rsidRPr="00216D66" w:rsidRDefault="007742FD" w:rsidP="007742FD">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3F592DFC" w14:textId="77777777" w:rsidR="007742FD" w:rsidRPr="00216D66" w:rsidRDefault="007742FD" w:rsidP="007742FD">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90.</w:t>
            </w:r>
          </w:p>
        </w:tc>
        <w:tc>
          <w:tcPr>
            <w:tcW w:w="534" w:type="dxa"/>
            <w:tcBorders>
              <w:top w:val="single" w:sz="8" w:space="0" w:color="auto"/>
              <w:left w:val="nil"/>
              <w:bottom w:val="single" w:sz="8" w:space="0" w:color="auto"/>
              <w:right w:val="single" w:sz="8" w:space="0" w:color="auto"/>
            </w:tcBorders>
            <w:shd w:val="clear" w:color="auto" w:fill="auto"/>
            <w:vAlign w:val="center"/>
            <w:hideMark/>
          </w:tcPr>
          <w:p w14:paraId="5B45E740" w14:textId="4BE90C16" w:rsidR="007742FD" w:rsidRPr="00216D66" w:rsidRDefault="007742FD" w:rsidP="007742FD">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r w:rsidR="001A0ED5" w:rsidRPr="00216D66">
              <w:rPr>
                <w:rFonts w:ascii="Arial Narrow" w:eastAsia="Times New Roman" w:hAnsi="Arial Narrow"/>
                <w:b/>
                <w:bCs/>
                <w:color w:val="000000"/>
                <w:sz w:val="22"/>
                <w:szCs w:val="22"/>
              </w:rPr>
              <w:t>0</w:t>
            </w:r>
          </w:p>
        </w:tc>
        <w:tc>
          <w:tcPr>
            <w:tcW w:w="3165" w:type="dxa"/>
            <w:tcBorders>
              <w:top w:val="single" w:sz="8" w:space="0" w:color="auto"/>
              <w:left w:val="nil"/>
              <w:bottom w:val="single" w:sz="8" w:space="0" w:color="auto"/>
              <w:right w:val="nil"/>
            </w:tcBorders>
            <w:shd w:val="clear" w:color="auto" w:fill="auto"/>
            <w:vAlign w:val="center"/>
            <w:hideMark/>
          </w:tcPr>
          <w:p w14:paraId="23C55FC3" w14:textId="4D900559" w:rsidR="007742FD" w:rsidRPr="00216D66" w:rsidRDefault="007742FD" w:rsidP="007742FD">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Reconocimiento como un gasto.</w:t>
            </w:r>
          </w:p>
        </w:tc>
        <w:tc>
          <w:tcPr>
            <w:tcW w:w="21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E2527E" w14:textId="77777777" w:rsidR="00216D66" w:rsidRDefault="007742FD"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xml:space="preserve">NICSP N° 12, </w:t>
            </w:r>
          </w:p>
          <w:p w14:paraId="65F789B0" w14:textId="31C807DC" w:rsidR="007742FD" w:rsidRPr="00216D66" w:rsidRDefault="007742FD" w:rsidP="00216D66">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Párrafos 44 a 46.</w:t>
            </w:r>
          </w:p>
        </w:tc>
        <w:tc>
          <w:tcPr>
            <w:tcW w:w="2123" w:type="dxa"/>
            <w:tcBorders>
              <w:top w:val="single" w:sz="8" w:space="0" w:color="auto"/>
              <w:left w:val="nil"/>
              <w:bottom w:val="single" w:sz="8" w:space="0" w:color="auto"/>
              <w:right w:val="single" w:sz="8" w:space="0" w:color="auto"/>
            </w:tcBorders>
            <w:shd w:val="clear" w:color="auto" w:fill="auto"/>
            <w:vAlign w:val="center"/>
            <w:hideMark/>
          </w:tcPr>
          <w:p w14:paraId="646A1A93" w14:textId="77777777" w:rsidR="007742FD" w:rsidRPr="00216D66" w:rsidRDefault="007742FD" w:rsidP="007742FD">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w:t>
            </w:r>
          </w:p>
        </w:tc>
      </w:tr>
    </w:tbl>
    <w:p w14:paraId="794C6E86" w14:textId="77777777" w:rsidR="007377D0" w:rsidRPr="00F02F9D" w:rsidRDefault="007377D0">
      <w:pPr>
        <w:spacing w:line="14" w:lineRule="exact"/>
        <w:rPr>
          <w:rFonts w:ascii="Arial" w:eastAsia="Times New Roman" w:hAnsi="Arial"/>
          <w:sz w:val="22"/>
          <w:szCs w:val="22"/>
          <w:lang w:val="es-CR"/>
        </w:rPr>
      </w:pPr>
    </w:p>
    <w:p w14:paraId="49F0B2F1" w14:textId="77777777" w:rsidR="00AE7EA8" w:rsidRDefault="00AE7EA8" w:rsidP="00216D66">
      <w:pPr>
        <w:ind w:right="278"/>
        <w:jc w:val="both"/>
        <w:rPr>
          <w:rFonts w:ascii="Arial" w:eastAsia="Arial" w:hAnsi="Arial"/>
          <w:b/>
          <w:sz w:val="22"/>
          <w:szCs w:val="22"/>
          <w:lang w:val="es-CR"/>
        </w:rPr>
      </w:pPr>
    </w:p>
    <w:p w14:paraId="1BD840EE" w14:textId="4B2BCCAA" w:rsidR="00FA2715" w:rsidRDefault="00FA2715" w:rsidP="00216D66">
      <w:pPr>
        <w:ind w:right="278"/>
        <w:jc w:val="both"/>
        <w:rPr>
          <w:rFonts w:ascii="Arial" w:eastAsia="Arial" w:hAnsi="Arial"/>
          <w:b/>
          <w:sz w:val="22"/>
          <w:szCs w:val="22"/>
        </w:rPr>
      </w:pPr>
      <w:r w:rsidRPr="00F02F9D">
        <w:rPr>
          <w:rFonts w:ascii="Arial" w:eastAsia="Arial" w:hAnsi="Arial"/>
          <w:b/>
          <w:sz w:val="22"/>
          <w:szCs w:val="22"/>
        </w:rPr>
        <w:t>Política Contable</w:t>
      </w:r>
    </w:p>
    <w:p w14:paraId="4D810669" w14:textId="77777777" w:rsidR="00FA2715" w:rsidRPr="00F02F9D" w:rsidRDefault="00FA2715" w:rsidP="00216D66">
      <w:pPr>
        <w:ind w:right="278"/>
        <w:jc w:val="both"/>
        <w:rPr>
          <w:rFonts w:ascii="Arial" w:eastAsia="Arial" w:hAnsi="Arial"/>
          <w:b/>
          <w:sz w:val="22"/>
          <w:szCs w:val="22"/>
          <w:lang w:val="es-CR"/>
        </w:rPr>
      </w:pPr>
    </w:p>
    <w:p w14:paraId="72197309" w14:textId="3CD9F395" w:rsidR="00533F1E" w:rsidRPr="00F02F9D" w:rsidRDefault="00533F1E" w:rsidP="00DB0DDE">
      <w:pPr>
        <w:spacing w:line="236" w:lineRule="auto"/>
        <w:ind w:left="993" w:right="280" w:hanging="993"/>
        <w:jc w:val="both"/>
        <w:rPr>
          <w:rFonts w:ascii="Arial" w:eastAsia="Arial" w:hAnsi="Arial"/>
          <w:bCs/>
          <w:sz w:val="22"/>
          <w:szCs w:val="22"/>
          <w:lang w:val="es-CR"/>
        </w:rPr>
      </w:pPr>
      <w:r w:rsidRPr="00F02F9D">
        <w:rPr>
          <w:rFonts w:ascii="Arial" w:eastAsia="Arial" w:hAnsi="Arial"/>
          <w:bCs/>
          <w:sz w:val="22"/>
          <w:szCs w:val="22"/>
          <w:lang w:val="es-CR"/>
        </w:rPr>
        <w:t>1.90.0.01</w:t>
      </w:r>
      <w:r w:rsidRPr="00F02F9D">
        <w:rPr>
          <w:rFonts w:ascii="Arial" w:eastAsia="Arial" w:hAnsi="Arial"/>
          <w:bCs/>
          <w:sz w:val="22"/>
          <w:szCs w:val="22"/>
          <w:lang w:val="es-CR"/>
        </w:rPr>
        <w:tab/>
      </w:r>
      <w:r w:rsidR="002E3D70"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procederá al reconocimiento de gastos</w:t>
      </w:r>
      <w:r w:rsidR="00587286" w:rsidRPr="00F02F9D">
        <w:rPr>
          <w:rFonts w:ascii="Arial" w:eastAsia="Arial" w:hAnsi="Arial"/>
          <w:bCs/>
          <w:sz w:val="22"/>
          <w:szCs w:val="22"/>
          <w:lang w:val="es-CR"/>
        </w:rPr>
        <w:t xml:space="preserve"> por inventarios</w:t>
      </w:r>
      <w:r w:rsidR="008A4688" w:rsidRPr="00F02F9D">
        <w:rPr>
          <w:rFonts w:ascii="Arial" w:eastAsia="Arial" w:hAnsi="Arial"/>
          <w:bCs/>
          <w:sz w:val="22"/>
          <w:szCs w:val="22"/>
          <w:lang w:val="es-CR"/>
        </w:rPr>
        <w:t xml:space="preserve"> en los</w:t>
      </w:r>
      <w:r w:rsidR="00587286" w:rsidRPr="00F02F9D">
        <w:rPr>
          <w:rFonts w:ascii="Arial" w:eastAsia="Arial" w:hAnsi="Arial"/>
          <w:bCs/>
          <w:sz w:val="22"/>
          <w:szCs w:val="22"/>
          <w:lang w:val="es-CR"/>
        </w:rPr>
        <w:t xml:space="preserve"> siguientes </w:t>
      </w:r>
      <w:r w:rsidR="008A4688" w:rsidRPr="00F02F9D">
        <w:rPr>
          <w:rFonts w:ascii="Arial" w:eastAsia="Arial" w:hAnsi="Arial"/>
          <w:bCs/>
          <w:sz w:val="22"/>
          <w:szCs w:val="22"/>
          <w:lang w:val="es-CR"/>
        </w:rPr>
        <w:t>casos:</w:t>
      </w:r>
    </w:p>
    <w:p w14:paraId="3428842B" w14:textId="77777777" w:rsidR="003F5FEC" w:rsidRPr="00F02F9D" w:rsidRDefault="003F5FEC" w:rsidP="007742FD">
      <w:pPr>
        <w:spacing w:line="236" w:lineRule="auto"/>
        <w:ind w:right="280"/>
        <w:jc w:val="both"/>
        <w:rPr>
          <w:rFonts w:ascii="Arial" w:eastAsia="Arial" w:hAnsi="Arial"/>
          <w:b/>
          <w:sz w:val="22"/>
          <w:szCs w:val="22"/>
          <w:lang w:val="es-CR"/>
        </w:rPr>
      </w:pPr>
    </w:p>
    <w:tbl>
      <w:tblPr>
        <w:tblW w:w="9222" w:type="dxa"/>
        <w:tblInd w:w="108" w:type="dxa"/>
        <w:tblLook w:val="04A0" w:firstRow="1" w:lastRow="0" w:firstColumn="1" w:lastColumn="0" w:noHBand="0" w:noVBand="1"/>
      </w:tblPr>
      <w:tblGrid>
        <w:gridCol w:w="460"/>
        <w:gridCol w:w="4502"/>
        <w:gridCol w:w="4260"/>
      </w:tblGrid>
      <w:tr w:rsidR="00742F54" w:rsidRPr="00216D66" w14:paraId="4AE17AD2" w14:textId="77777777" w:rsidTr="003F5FEC">
        <w:trPr>
          <w:trHeight w:val="320"/>
        </w:trPr>
        <w:tc>
          <w:tcPr>
            <w:tcW w:w="460" w:type="dxa"/>
            <w:tcBorders>
              <w:top w:val="nil"/>
              <w:left w:val="nil"/>
              <w:bottom w:val="nil"/>
              <w:right w:val="nil"/>
            </w:tcBorders>
            <w:shd w:val="clear" w:color="auto" w:fill="auto"/>
            <w:noWrap/>
            <w:vAlign w:val="bottom"/>
            <w:hideMark/>
          </w:tcPr>
          <w:p w14:paraId="27D71406" w14:textId="77777777" w:rsidR="00742F54" w:rsidRPr="00216D66" w:rsidRDefault="00742F54" w:rsidP="00742F54">
            <w:pPr>
              <w:rPr>
                <w:rFonts w:ascii="Arial Narrow" w:eastAsia="Times New Roman" w:hAnsi="Arial Narrow"/>
                <w:sz w:val="22"/>
                <w:szCs w:val="22"/>
                <w:lang w:val="es-CR"/>
              </w:rPr>
            </w:pPr>
          </w:p>
        </w:tc>
        <w:tc>
          <w:tcPr>
            <w:tcW w:w="450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0127ED65" w14:textId="77777777" w:rsidR="00742F54" w:rsidRPr="00216D66" w:rsidRDefault="00742F54" w:rsidP="00742F54">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lang w:val="es-CR"/>
              </w:rPr>
              <w:t>Hecho generador</w:t>
            </w:r>
          </w:p>
        </w:tc>
        <w:tc>
          <w:tcPr>
            <w:tcW w:w="4260" w:type="dxa"/>
            <w:tcBorders>
              <w:top w:val="single" w:sz="8" w:space="0" w:color="auto"/>
              <w:left w:val="nil"/>
              <w:bottom w:val="single" w:sz="8" w:space="0" w:color="auto"/>
              <w:right w:val="single" w:sz="8" w:space="0" w:color="auto"/>
            </w:tcBorders>
            <w:shd w:val="clear" w:color="000000" w:fill="203764"/>
            <w:vAlign w:val="center"/>
            <w:hideMark/>
          </w:tcPr>
          <w:p w14:paraId="73CAEC8B" w14:textId="77777777" w:rsidR="00742F54" w:rsidRPr="00216D66" w:rsidRDefault="00742F54" w:rsidP="00742F54">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lang w:val="es-CR"/>
              </w:rPr>
              <w:t>Reconocimiento del gasto</w:t>
            </w:r>
          </w:p>
        </w:tc>
      </w:tr>
      <w:tr w:rsidR="00742F54" w:rsidRPr="006E5442" w14:paraId="2B525D85" w14:textId="77777777" w:rsidTr="00AE7EA8">
        <w:trPr>
          <w:trHeight w:val="719"/>
        </w:trPr>
        <w:tc>
          <w:tcPr>
            <w:tcW w:w="4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731A613" w14:textId="77777777" w:rsidR="00742F54" w:rsidRPr="00216D66" w:rsidRDefault="00742F54" w:rsidP="00742F54">
            <w:pPr>
              <w:rPr>
                <w:rFonts w:ascii="Arial Narrow" w:eastAsia="Times New Roman" w:hAnsi="Arial Narrow"/>
                <w:color w:val="000000"/>
                <w:sz w:val="22"/>
                <w:szCs w:val="22"/>
              </w:rPr>
            </w:pPr>
            <w:r w:rsidRPr="00216D66">
              <w:rPr>
                <w:rFonts w:ascii="Arial Narrow" w:eastAsia="Times New Roman" w:hAnsi="Arial Narrow"/>
                <w:color w:val="000000"/>
                <w:sz w:val="22"/>
                <w:szCs w:val="22"/>
              </w:rPr>
              <w:t>a)</w:t>
            </w:r>
          </w:p>
        </w:tc>
        <w:tc>
          <w:tcPr>
            <w:tcW w:w="4502" w:type="dxa"/>
            <w:tcBorders>
              <w:top w:val="nil"/>
              <w:left w:val="single" w:sz="8" w:space="0" w:color="auto"/>
              <w:bottom w:val="single" w:sz="8" w:space="0" w:color="auto"/>
              <w:right w:val="single" w:sz="8" w:space="0" w:color="auto"/>
            </w:tcBorders>
            <w:shd w:val="clear" w:color="auto" w:fill="auto"/>
            <w:vAlign w:val="center"/>
            <w:hideMark/>
          </w:tcPr>
          <w:p w14:paraId="56BD144C" w14:textId="77777777"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Cuando los inventarios se utilicen en la prestación de los servicios.</w:t>
            </w:r>
          </w:p>
        </w:tc>
        <w:tc>
          <w:tcPr>
            <w:tcW w:w="4260" w:type="dxa"/>
            <w:tcBorders>
              <w:top w:val="nil"/>
              <w:left w:val="nil"/>
              <w:bottom w:val="single" w:sz="8" w:space="0" w:color="auto"/>
              <w:right w:val="single" w:sz="8" w:space="0" w:color="auto"/>
            </w:tcBorders>
            <w:shd w:val="clear" w:color="auto" w:fill="auto"/>
            <w:vAlign w:val="center"/>
            <w:hideMark/>
          </w:tcPr>
          <w:p w14:paraId="2EC088F1" w14:textId="77777777"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Se reconocerá como un gasto en el período en el que se presten los correspondientes servicios.</w:t>
            </w:r>
          </w:p>
        </w:tc>
      </w:tr>
      <w:tr w:rsidR="00742F54" w:rsidRPr="006E5442" w14:paraId="7BC0631C" w14:textId="77777777" w:rsidTr="00AE7EA8">
        <w:trPr>
          <w:trHeight w:val="644"/>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1DA743C" w14:textId="77777777" w:rsidR="00742F54" w:rsidRPr="00216D66" w:rsidRDefault="00742F54" w:rsidP="00742F54">
            <w:pPr>
              <w:rPr>
                <w:rFonts w:ascii="Arial Narrow" w:eastAsia="Times New Roman" w:hAnsi="Arial Narrow"/>
                <w:color w:val="000000"/>
                <w:sz w:val="22"/>
                <w:szCs w:val="22"/>
              </w:rPr>
            </w:pPr>
            <w:r w:rsidRPr="00216D66">
              <w:rPr>
                <w:rFonts w:ascii="Arial Narrow" w:eastAsia="Times New Roman" w:hAnsi="Arial Narrow"/>
                <w:color w:val="000000"/>
                <w:sz w:val="22"/>
                <w:szCs w:val="22"/>
              </w:rPr>
              <w:t>b)</w:t>
            </w:r>
          </w:p>
        </w:tc>
        <w:tc>
          <w:tcPr>
            <w:tcW w:w="4502" w:type="dxa"/>
            <w:tcBorders>
              <w:top w:val="nil"/>
              <w:left w:val="single" w:sz="8" w:space="0" w:color="auto"/>
              <w:bottom w:val="single" w:sz="8" w:space="0" w:color="auto"/>
              <w:right w:val="single" w:sz="8" w:space="0" w:color="auto"/>
            </w:tcBorders>
            <w:shd w:val="clear" w:color="auto" w:fill="auto"/>
            <w:vAlign w:val="center"/>
            <w:hideMark/>
          </w:tcPr>
          <w:p w14:paraId="04A9EF20" w14:textId="2A6DB3F1"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 xml:space="preserve">Cuando los inventarios se consuman en la operación normal de la </w:t>
            </w:r>
            <w:r w:rsidR="000F29DC">
              <w:rPr>
                <w:rFonts w:ascii="Arial Narrow" w:eastAsia="Times New Roman" w:hAnsi="Arial Narrow"/>
                <w:color w:val="000000"/>
                <w:sz w:val="22"/>
                <w:szCs w:val="22"/>
                <w:lang w:val="es-CR"/>
              </w:rPr>
              <w:t>MBA</w:t>
            </w:r>
            <w:r w:rsidRPr="00216D66">
              <w:rPr>
                <w:rFonts w:ascii="Arial Narrow" w:eastAsia="Times New Roman" w:hAnsi="Arial Narrow"/>
                <w:color w:val="000000"/>
                <w:sz w:val="22"/>
                <w:szCs w:val="22"/>
                <w:lang w:val="es-CR"/>
              </w:rPr>
              <w:t>.</w:t>
            </w:r>
          </w:p>
        </w:tc>
        <w:tc>
          <w:tcPr>
            <w:tcW w:w="4260" w:type="dxa"/>
            <w:tcBorders>
              <w:top w:val="nil"/>
              <w:left w:val="nil"/>
              <w:bottom w:val="single" w:sz="8" w:space="0" w:color="auto"/>
              <w:right w:val="single" w:sz="8" w:space="0" w:color="auto"/>
            </w:tcBorders>
            <w:shd w:val="clear" w:color="auto" w:fill="auto"/>
            <w:vAlign w:val="center"/>
            <w:hideMark/>
          </w:tcPr>
          <w:p w14:paraId="0647637D" w14:textId="1392CFE4"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 xml:space="preserve">Se reconocerá el gasto cuando se distribuyan </w:t>
            </w:r>
            <w:r w:rsidR="00CA62DC" w:rsidRPr="00216D66">
              <w:rPr>
                <w:rFonts w:ascii="Arial Narrow" w:eastAsia="Times New Roman" w:hAnsi="Arial Narrow"/>
                <w:color w:val="000000"/>
                <w:sz w:val="22"/>
                <w:szCs w:val="22"/>
                <w:lang w:val="es-CR"/>
              </w:rPr>
              <w:t xml:space="preserve">los inventarios </w:t>
            </w:r>
            <w:r w:rsidRPr="00216D66">
              <w:rPr>
                <w:rFonts w:ascii="Arial Narrow" w:eastAsia="Times New Roman" w:hAnsi="Arial Narrow"/>
                <w:color w:val="000000"/>
                <w:sz w:val="22"/>
                <w:szCs w:val="22"/>
                <w:lang w:val="es-CR"/>
              </w:rPr>
              <w:t>a las diferentes unidades o se consuman los bienes.</w:t>
            </w:r>
          </w:p>
        </w:tc>
      </w:tr>
      <w:tr w:rsidR="00742F54" w:rsidRPr="006E5442" w14:paraId="004D1B44" w14:textId="77777777" w:rsidTr="00AE7EA8">
        <w:trPr>
          <w:trHeight w:val="61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EA72BED" w14:textId="77777777" w:rsidR="00742F54" w:rsidRPr="00216D66" w:rsidRDefault="00742F54" w:rsidP="00742F54">
            <w:pPr>
              <w:rPr>
                <w:rFonts w:ascii="Arial Narrow" w:eastAsia="Times New Roman" w:hAnsi="Arial Narrow"/>
                <w:color w:val="000000"/>
                <w:sz w:val="22"/>
                <w:szCs w:val="22"/>
              </w:rPr>
            </w:pPr>
            <w:r w:rsidRPr="00216D66">
              <w:rPr>
                <w:rFonts w:ascii="Arial Narrow" w:eastAsia="Times New Roman" w:hAnsi="Arial Narrow"/>
                <w:color w:val="000000"/>
                <w:sz w:val="22"/>
                <w:szCs w:val="22"/>
              </w:rPr>
              <w:t>c)</w:t>
            </w:r>
          </w:p>
        </w:tc>
        <w:tc>
          <w:tcPr>
            <w:tcW w:w="4502" w:type="dxa"/>
            <w:tcBorders>
              <w:top w:val="nil"/>
              <w:left w:val="nil"/>
              <w:bottom w:val="single" w:sz="8" w:space="0" w:color="auto"/>
              <w:right w:val="single" w:sz="8" w:space="0" w:color="auto"/>
            </w:tcBorders>
            <w:shd w:val="clear" w:color="auto" w:fill="auto"/>
            <w:vAlign w:val="center"/>
            <w:hideMark/>
          </w:tcPr>
          <w:p w14:paraId="0E4CD53A" w14:textId="5DFC623F"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El valor de cualquier rebaja en los inventarios originado por desuso, deterioro o pérdida de los inventarios.</w:t>
            </w:r>
          </w:p>
        </w:tc>
        <w:tc>
          <w:tcPr>
            <w:tcW w:w="4260" w:type="dxa"/>
            <w:tcBorders>
              <w:top w:val="nil"/>
              <w:left w:val="nil"/>
              <w:bottom w:val="single" w:sz="8" w:space="0" w:color="auto"/>
              <w:right w:val="single" w:sz="8" w:space="0" w:color="auto"/>
            </w:tcBorders>
            <w:shd w:val="clear" w:color="auto" w:fill="auto"/>
            <w:vAlign w:val="center"/>
            <w:hideMark/>
          </w:tcPr>
          <w:p w14:paraId="349CD967" w14:textId="77777777"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Se reconocerán como un gasto en el período en que tenga lugar dicha rebaja.</w:t>
            </w:r>
          </w:p>
        </w:tc>
      </w:tr>
      <w:tr w:rsidR="00742F54" w:rsidRPr="006E5442" w14:paraId="78BCD0FD" w14:textId="77777777" w:rsidTr="00533F1E">
        <w:trPr>
          <w:trHeight w:val="118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91BA0D3" w14:textId="77777777" w:rsidR="00742F54" w:rsidRPr="00216D66" w:rsidRDefault="00742F54" w:rsidP="00742F54">
            <w:pPr>
              <w:rPr>
                <w:rFonts w:ascii="Arial Narrow" w:eastAsia="Times New Roman" w:hAnsi="Arial Narrow"/>
                <w:color w:val="000000"/>
                <w:sz w:val="22"/>
                <w:szCs w:val="22"/>
              </w:rPr>
            </w:pPr>
            <w:r w:rsidRPr="00216D66">
              <w:rPr>
                <w:rFonts w:ascii="Arial Narrow" w:eastAsia="Times New Roman" w:hAnsi="Arial Narrow"/>
                <w:color w:val="000000"/>
                <w:sz w:val="22"/>
                <w:szCs w:val="22"/>
              </w:rPr>
              <w:t>d)</w:t>
            </w:r>
          </w:p>
        </w:tc>
        <w:tc>
          <w:tcPr>
            <w:tcW w:w="4502" w:type="dxa"/>
            <w:tcBorders>
              <w:top w:val="nil"/>
              <w:left w:val="nil"/>
              <w:bottom w:val="single" w:sz="8" w:space="0" w:color="auto"/>
              <w:right w:val="single" w:sz="8" w:space="0" w:color="auto"/>
            </w:tcBorders>
            <w:shd w:val="clear" w:color="auto" w:fill="auto"/>
            <w:vAlign w:val="center"/>
            <w:hideMark/>
          </w:tcPr>
          <w:p w14:paraId="23F57D12" w14:textId="2AE3FBBE" w:rsidR="00CA62DC"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La reversión de las rebajas de inventarios</w:t>
            </w:r>
            <w:r w:rsidR="00CA62DC" w:rsidRPr="00216D66">
              <w:rPr>
                <w:rFonts w:ascii="Arial Narrow" w:eastAsia="Times New Roman" w:hAnsi="Arial Narrow"/>
                <w:color w:val="000000"/>
                <w:sz w:val="22"/>
                <w:szCs w:val="22"/>
                <w:lang w:val="es-CR"/>
              </w:rPr>
              <w:t>.</w:t>
            </w:r>
          </w:p>
        </w:tc>
        <w:tc>
          <w:tcPr>
            <w:tcW w:w="4260" w:type="dxa"/>
            <w:tcBorders>
              <w:top w:val="nil"/>
              <w:left w:val="nil"/>
              <w:bottom w:val="single" w:sz="8" w:space="0" w:color="auto"/>
              <w:right w:val="single" w:sz="8" w:space="0" w:color="auto"/>
            </w:tcBorders>
            <w:shd w:val="clear" w:color="auto" w:fill="auto"/>
            <w:vAlign w:val="center"/>
            <w:hideMark/>
          </w:tcPr>
          <w:p w14:paraId="1BCBE92B" w14:textId="18A7F19B"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La reversión de las rebajas de inventarios se reconocerá como</w:t>
            </w:r>
            <w:r w:rsidR="00CA62DC" w:rsidRPr="00216D66">
              <w:rPr>
                <w:rFonts w:ascii="Arial Narrow" w:eastAsia="Times New Roman" w:hAnsi="Arial Narrow"/>
                <w:color w:val="000000"/>
                <w:sz w:val="22"/>
                <w:szCs w:val="22"/>
                <w:lang w:val="es-CR"/>
              </w:rPr>
              <w:t xml:space="preserve"> una reducción en el importe de los gastos reconocidos </w:t>
            </w:r>
            <w:r w:rsidRPr="00216D66">
              <w:rPr>
                <w:rFonts w:ascii="Arial Narrow" w:eastAsia="Times New Roman" w:hAnsi="Arial Narrow"/>
                <w:color w:val="000000"/>
                <w:sz w:val="22"/>
                <w:szCs w:val="22"/>
                <w:lang w:val="es-CR"/>
              </w:rPr>
              <w:t xml:space="preserve">y </w:t>
            </w:r>
            <w:r w:rsidR="00CA62DC" w:rsidRPr="00216D66">
              <w:rPr>
                <w:rFonts w:ascii="Arial Narrow" w:eastAsia="Times New Roman" w:hAnsi="Arial Narrow"/>
                <w:color w:val="000000"/>
                <w:sz w:val="22"/>
                <w:szCs w:val="22"/>
                <w:lang w:val="es-CR"/>
              </w:rPr>
              <w:t xml:space="preserve">en </w:t>
            </w:r>
            <w:r w:rsidRPr="00216D66">
              <w:rPr>
                <w:rFonts w:ascii="Arial Narrow" w:eastAsia="Times New Roman" w:hAnsi="Arial Narrow"/>
                <w:color w:val="000000"/>
                <w:sz w:val="22"/>
                <w:szCs w:val="22"/>
                <w:lang w:val="es-CR"/>
              </w:rPr>
              <w:t>los inventarios en el período en que la reversión tenga lugar.</w:t>
            </w:r>
          </w:p>
        </w:tc>
      </w:tr>
      <w:tr w:rsidR="00742F54" w:rsidRPr="006E5442" w14:paraId="0DC275B6" w14:textId="77777777" w:rsidTr="003F5FEC">
        <w:trPr>
          <w:trHeight w:val="87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7EAA66DA" w14:textId="77777777" w:rsidR="00742F54" w:rsidRPr="00216D66" w:rsidRDefault="00742F54" w:rsidP="00742F54">
            <w:pPr>
              <w:rPr>
                <w:rFonts w:ascii="Arial Narrow" w:eastAsia="Times New Roman" w:hAnsi="Arial Narrow"/>
                <w:color w:val="000000"/>
                <w:sz w:val="22"/>
                <w:szCs w:val="22"/>
              </w:rPr>
            </w:pPr>
            <w:r w:rsidRPr="00216D66">
              <w:rPr>
                <w:rFonts w:ascii="Arial Narrow" w:eastAsia="Times New Roman" w:hAnsi="Arial Narrow"/>
                <w:color w:val="000000"/>
                <w:sz w:val="22"/>
                <w:szCs w:val="22"/>
              </w:rPr>
              <w:t>e)</w:t>
            </w:r>
          </w:p>
        </w:tc>
        <w:tc>
          <w:tcPr>
            <w:tcW w:w="4502" w:type="dxa"/>
            <w:tcBorders>
              <w:top w:val="nil"/>
              <w:left w:val="nil"/>
              <w:bottom w:val="single" w:sz="8" w:space="0" w:color="auto"/>
              <w:right w:val="single" w:sz="8" w:space="0" w:color="auto"/>
            </w:tcBorders>
            <w:shd w:val="clear" w:color="auto" w:fill="auto"/>
            <w:vAlign w:val="center"/>
            <w:hideMark/>
          </w:tcPr>
          <w:p w14:paraId="6A38BD97" w14:textId="327F3CE1"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 xml:space="preserve">Los inventarios consumidos por un </w:t>
            </w:r>
            <w:r w:rsidR="00CA62DC" w:rsidRPr="00216D66">
              <w:rPr>
                <w:rFonts w:ascii="Arial Narrow" w:eastAsia="Times New Roman" w:hAnsi="Arial Narrow"/>
                <w:color w:val="000000"/>
                <w:sz w:val="22"/>
                <w:szCs w:val="22"/>
                <w:lang w:val="es-CR"/>
              </w:rPr>
              <w:t>tercero (comunidad organizada) en la construcción de bienes o realización de</w:t>
            </w:r>
            <w:r w:rsidRPr="00216D66">
              <w:rPr>
                <w:rFonts w:ascii="Arial Narrow" w:eastAsia="Times New Roman" w:hAnsi="Arial Narrow"/>
                <w:color w:val="000000"/>
                <w:sz w:val="22"/>
                <w:szCs w:val="22"/>
                <w:lang w:val="es-CR"/>
              </w:rPr>
              <w:t xml:space="preserve"> servicios.</w:t>
            </w:r>
          </w:p>
        </w:tc>
        <w:tc>
          <w:tcPr>
            <w:tcW w:w="4260" w:type="dxa"/>
            <w:tcBorders>
              <w:top w:val="nil"/>
              <w:left w:val="nil"/>
              <w:bottom w:val="single" w:sz="8" w:space="0" w:color="auto"/>
              <w:right w:val="single" w:sz="8" w:space="0" w:color="auto"/>
            </w:tcBorders>
            <w:shd w:val="clear" w:color="auto" w:fill="auto"/>
            <w:vAlign w:val="center"/>
            <w:hideMark/>
          </w:tcPr>
          <w:p w14:paraId="1DCE4890" w14:textId="33E66F6A"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 xml:space="preserve">Se reconocerán como gasto en el momento en que </w:t>
            </w:r>
            <w:r w:rsidR="00CA62DC" w:rsidRPr="00216D66">
              <w:rPr>
                <w:rFonts w:ascii="Arial Narrow" w:eastAsia="Times New Roman" w:hAnsi="Arial Narrow"/>
                <w:color w:val="000000"/>
                <w:sz w:val="22"/>
                <w:szCs w:val="22"/>
                <w:lang w:val="es-CR"/>
              </w:rPr>
              <w:t>se entreguen los inventarios al tercero.</w:t>
            </w:r>
          </w:p>
        </w:tc>
      </w:tr>
      <w:tr w:rsidR="00742F54" w:rsidRPr="006E5442" w14:paraId="70EE4EC3" w14:textId="77777777" w:rsidTr="003F5FEC">
        <w:trPr>
          <w:trHeight w:val="1385"/>
        </w:trPr>
        <w:tc>
          <w:tcPr>
            <w:tcW w:w="460" w:type="dxa"/>
            <w:tcBorders>
              <w:top w:val="nil"/>
              <w:left w:val="single" w:sz="8" w:space="0" w:color="auto"/>
              <w:bottom w:val="single" w:sz="8" w:space="0" w:color="auto"/>
              <w:right w:val="single" w:sz="4" w:space="0" w:color="auto"/>
            </w:tcBorders>
            <w:shd w:val="clear" w:color="auto" w:fill="auto"/>
            <w:vAlign w:val="center"/>
            <w:hideMark/>
          </w:tcPr>
          <w:p w14:paraId="782A7FD6" w14:textId="77777777" w:rsidR="00742F54" w:rsidRPr="00216D66" w:rsidRDefault="00742F54" w:rsidP="00742F54">
            <w:pPr>
              <w:rPr>
                <w:rFonts w:ascii="Arial Narrow" w:eastAsia="Times New Roman" w:hAnsi="Arial Narrow"/>
                <w:color w:val="000000"/>
                <w:sz w:val="22"/>
                <w:szCs w:val="22"/>
              </w:rPr>
            </w:pPr>
            <w:r w:rsidRPr="00216D66">
              <w:rPr>
                <w:rFonts w:ascii="Arial Narrow" w:eastAsia="Times New Roman" w:hAnsi="Arial Narrow"/>
                <w:color w:val="000000"/>
                <w:sz w:val="22"/>
                <w:szCs w:val="22"/>
              </w:rPr>
              <w:t>f)</w:t>
            </w:r>
          </w:p>
        </w:tc>
        <w:tc>
          <w:tcPr>
            <w:tcW w:w="4502" w:type="dxa"/>
            <w:tcBorders>
              <w:top w:val="nil"/>
              <w:left w:val="nil"/>
              <w:bottom w:val="single" w:sz="8" w:space="0" w:color="auto"/>
              <w:right w:val="single" w:sz="8" w:space="0" w:color="auto"/>
            </w:tcBorders>
            <w:shd w:val="clear" w:color="auto" w:fill="auto"/>
            <w:vAlign w:val="center"/>
            <w:hideMark/>
          </w:tcPr>
          <w:p w14:paraId="117721D7" w14:textId="4FF376B6"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 xml:space="preserve">Cuando los inventarios se incorporan a otros activos, por </w:t>
            </w:r>
            <w:r w:rsidR="00CA62DC" w:rsidRPr="00216D66">
              <w:rPr>
                <w:rFonts w:ascii="Arial Narrow" w:eastAsia="Times New Roman" w:hAnsi="Arial Narrow"/>
                <w:color w:val="000000"/>
                <w:sz w:val="22"/>
                <w:szCs w:val="22"/>
                <w:lang w:val="es-CR"/>
              </w:rPr>
              <w:t>ejemplo,</w:t>
            </w:r>
            <w:r w:rsidRPr="00216D66">
              <w:rPr>
                <w:rFonts w:ascii="Arial Narrow" w:eastAsia="Times New Roman" w:hAnsi="Arial Narrow"/>
                <w:color w:val="000000"/>
                <w:sz w:val="22"/>
                <w:szCs w:val="22"/>
                <w:lang w:val="es-CR"/>
              </w:rPr>
              <w:t xml:space="preserve"> los inventarios usados </w:t>
            </w:r>
            <w:r w:rsidR="003F5FEC" w:rsidRPr="00216D66">
              <w:rPr>
                <w:rFonts w:ascii="Arial Narrow" w:eastAsia="Times New Roman" w:hAnsi="Arial Narrow"/>
                <w:color w:val="000000"/>
                <w:sz w:val="22"/>
                <w:szCs w:val="22"/>
                <w:lang w:val="es-CR"/>
              </w:rPr>
              <w:t>en</w:t>
            </w:r>
            <w:r w:rsidRPr="00216D66">
              <w:rPr>
                <w:rFonts w:ascii="Arial Narrow" w:eastAsia="Times New Roman" w:hAnsi="Arial Narrow"/>
                <w:color w:val="000000"/>
                <w:sz w:val="22"/>
                <w:szCs w:val="22"/>
                <w:lang w:val="es-CR"/>
              </w:rPr>
              <w:t xml:space="preserve"> los trabajos realizados por la entidad, en </w:t>
            </w:r>
            <w:r w:rsidR="003F5FEC" w:rsidRPr="00216D66">
              <w:rPr>
                <w:rFonts w:ascii="Arial Narrow" w:eastAsia="Times New Roman" w:hAnsi="Arial Narrow"/>
                <w:color w:val="000000"/>
                <w:sz w:val="22"/>
                <w:szCs w:val="22"/>
                <w:lang w:val="es-CR"/>
              </w:rPr>
              <w:t xml:space="preserve">reparaciones y mantenimiento de </w:t>
            </w:r>
            <w:r w:rsidRPr="00216D66">
              <w:rPr>
                <w:rFonts w:ascii="Arial Narrow" w:eastAsia="Times New Roman" w:hAnsi="Arial Narrow"/>
                <w:color w:val="000000"/>
                <w:sz w:val="22"/>
                <w:szCs w:val="22"/>
                <w:lang w:val="es-CR"/>
              </w:rPr>
              <w:t>sus propiedades, planta y equipo.</w:t>
            </w:r>
          </w:p>
        </w:tc>
        <w:tc>
          <w:tcPr>
            <w:tcW w:w="4260" w:type="dxa"/>
            <w:tcBorders>
              <w:top w:val="nil"/>
              <w:left w:val="nil"/>
              <w:bottom w:val="single" w:sz="8" w:space="0" w:color="auto"/>
              <w:right w:val="single" w:sz="8" w:space="0" w:color="auto"/>
            </w:tcBorders>
            <w:shd w:val="clear" w:color="auto" w:fill="auto"/>
            <w:vAlign w:val="center"/>
            <w:hideMark/>
          </w:tcPr>
          <w:p w14:paraId="2259FA91" w14:textId="4BF3066D" w:rsidR="00742F54" w:rsidRPr="00216D66" w:rsidRDefault="00742F54" w:rsidP="00742F54">
            <w:pPr>
              <w:jc w:val="both"/>
              <w:rPr>
                <w:rFonts w:ascii="Arial Narrow" w:eastAsia="Times New Roman" w:hAnsi="Arial Narrow"/>
                <w:color w:val="000000"/>
                <w:sz w:val="22"/>
                <w:szCs w:val="22"/>
                <w:lang w:val="es-CR"/>
              </w:rPr>
            </w:pPr>
            <w:r w:rsidRPr="00216D66">
              <w:rPr>
                <w:rFonts w:ascii="Arial Narrow" w:eastAsia="Times New Roman" w:hAnsi="Arial Narrow"/>
                <w:color w:val="000000"/>
                <w:sz w:val="22"/>
                <w:szCs w:val="22"/>
                <w:lang w:val="es-CR"/>
              </w:rPr>
              <w:t xml:space="preserve">Se reconocerán como un gasto </w:t>
            </w:r>
            <w:r w:rsidR="00CA62DC" w:rsidRPr="00216D66">
              <w:rPr>
                <w:rFonts w:ascii="Arial Narrow" w:eastAsia="Times New Roman" w:hAnsi="Arial Narrow"/>
                <w:color w:val="000000"/>
                <w:sz w:val="22"/>
                <w:szCs w:val="22"/>
                <w:lang w:val="es-CR"/>
              </w:rPr>
              <w:t>en el</w:t>
            </w:r>
            <w:r w:rsidRPr="00216D66">
              <w:rPr>
                <w:rFonts w:ascii="Arial Narrow" w:eastAsia="Times New Roman" w:hAnsi="Arial Narrow"/>
                <w:color w:val="000000"/>
                <w:sz w:val="22"/>
                <w:szCs w:val="22"/>
                <w:lang w:val="es-CR"/>
              </w:rPr>
              <w:t xml:space="preserve"> </w:t>
            </w:r>
            <w:r w:rsidR="00CA62DC" w:rsidRPr="00216D66">
              <w:rPr>
                <w:rFonts w:ascii="Arial Narrow" w:eastAsia="Times New Roman" w:hAnsi="Arial Narrow"/>
                <w:color w:val="000000"/>
                <w:sz w:val="22"/>
                <w:szCs w:val="22"/>
                <w:lang w:val="es-CR"/>
              </w:rPr>
              <w:t>momento en que se entreguen al encargado de realizar los trabajos.</w:t>
            </w:r>
          </w:p>
        </w:tc>
      </w:tr>
    </w:tbl>
    <w:p w14:paraId="2E225344" w14:textId="77777777" w:rsidR="007377D0" w:rsidRPr="00F02F9D" w:rsidRDefault="007377D0">
      <w:pPr>
        <w:spacing w:line="200" w:lineRule="exact"/>
        <w:rPr>
          <w:rFonts w:ascii="Arial" w:eastAsia="Times New Roman" w:hAnsi="Arial"/>
          <w:sz w:val="22"/>
          <w:szCs w:val="22"/>
          <w:lang w:val="es-CR"/>
        </w:rPr>
      </w:pPr>
    </w:p>
    <w:p w14:paraId="75E11118" w14:textId="77777777" w:rsidR="007377D0" w:rsidRDefault="007377D0">
      <w:pPr>
        <w:spacing w:line="200" w:lineRule="exact"/>
        <w:rPr>
          <w:rFonts w:ascii="Arial" w:eastAsia="Times New Roman" w:hAnsi="Arial"/>
          <w:sz w:val="22"/>
          <w:szCs w:val="22"/>
          <w:lang w:val="es-CR"/>
        </w:rPr>
      </w:pPr>
    </w:p>
    <w:p w14:paraId="615B88F4" w14:textId="77777777" w:rsidR="001065E8" w:rsidRDefault="001065E8">
      <w:pPr>
        <w:spacing w:line="200" w:lineRule="exact"/>
        <w:rPr>
          <w:rFonts w:ascii="Arial" w:eastAsia="Times New Roman" w:hAnsi="Arial"/>
          <w:sz w:val="22"/>
          <w:szCs w:val="22"/>
          <w:lang w:val="es-CR"/>
        </w:rPr>
      </w:pPr>
    </w:p>
    <w:p w14:paraId="6F4E77A2" w14:textId="2D7E7537" w:rsidR="007377D0" w:rsidRPr="00216D66" w:rsidRDefault="008A4688" w:rsidP="00216D66">
      <w:pPr>
        <w:pStyle w:val="Ttulo2"/>
        <w:ind w:left="284"/>
        <w:rPr>
          <w:rFonts w:ascii="Arial" w:eastAsia="Arial" w:hAnsi="Arial" w:cs="Arial"/>
          <w:b/>
          <w:bCs/>
          <w:sz w:val="20"/>
          <w:szCs w:val="20"/>
          <w:lang w:val="es-CR"/>
        </w:rPr>
      </w:pPr>
      <w:bookmarkStart w:id="35" w:name="page25"/>
      <w:bookmarkStart w:id="36" w:name="_Toc172726206"/>
      <w:bookmarkEnd w:id="35"/>
      <w:r w:rsidRPr="00216D66">
        <w:rPr>
          <w:rFonts w:ascii="Arial" w:eastAsia="Arial" w:hAnsi="Arial" w:cs="Arial"/>
          <w:b/>
          <w:bCs/>
          <w:sz w:val="20"/>
          <w:szCs w:val="20"/>
          <w:lang w:val="es-CR"/>
        </w:rPr>
        <w:t xml:space="preserve">Información a </w:t>
      </w:r>
      <w:r w:rsidR="00C250A0" w:rsidRPr="00216D66">
        <w:rPr>
          <w:rFonts w:ascii="Arial" w:eastAsia="Arial" w:hAnsi="Arial" w:cs="Arial"/>
          <w:b/>
          <w:bCs/>
          <w:sz w:val="20"/>
          <w:szCs w:val="20"/>
          <w:lang w:val="es-CR"/>
        </w:rPr>
        <w:t>r</w:t>
      </w:r>
      <w:r w:rsidRPr="00216D66">
        <w:rPr>
          <w:rFonts w:ascii="Arial" w:eastAsia="Arial" w:hAnsi="Arial" w:cs="Arial"/>
          <w:b/>
          <w:bCs/>
          <w:sz w:val="20"/>
          <w:szCs w:val="20"/>
          <w:lang w:val="es-CR"/>
        </w:rPr>
        <w:t>evelar</w:t>
      </w:r>
      <w:r w:rsidR="00C250A0" w:rsidRPr="00216D66">
        <w:rPr>
          <w:rFonts w:ascii="Arial" w:eastAsia="Arial" w:hAnsi="Arial" w:cs="Arial"/>
          <w:b/>
          <w:bCs/>
          <w:sz w:val="20"/>
          <w:szCs w:val="20"/>
          <w:lang w:val="es-CR"/>
        </w:rPr>
        <w:t xml:space="preserve"> sobre Inventarios</w:t>
      </w:r>
      <w:bookmarkEnd w:id="36"/>
    </w:p>
    <w:p w14:paraId="1F77BD4B" w14:textId="48D66810" w:rsidR="007377D0" w:rsidRPr="00F02F9D" w:rsidRDefault="007377D0" w:rsidP="003F5FEC">
      <w:pPr>
        <w:spacing w:line="0" w:lineRule="atLeast"/>
        <w:ind w:right="-339"/>
        <w:rPr>
          <w:rFonts w:ascii="Arial" w:eastAsia="Arial" w:hAnsi="Arial"/>
          <w:b/>
          <w:sz w:val="22"/>
          <w:szCs w:val="22"/>
          <w:lang w:val="es-CR"/>
        </w:rPr>
      </w:pPr>
    </w:p>
    <w:tbl>
      <w:tblPr>
        <w:tblW w:w="9142" w:type="dxa"/>
        <w:tblInd w:w="118" w:type="dxa"/>
        <w:tblLook w:val="04A0" w:firstRow="1" w:lastRow="0" w:firstColumn="1" w:lastColumn="0" w:noHBand="0" w:noVBand="1"/>
      </w:tblPr>
      <w:tblGrid>
        <w:gridCol w:w="559"/>
        <w:gridCol w:w="550"/>
        <w:gridCol w:w="534"/>
        <w:gridCol w:w="3309"/>
        <w:gridCol w:w="2133"/>
        <w:gridCol w:w="2057"/>
      </w:tblGrid>
      <w:tr w:rsidR="003F5FEC" w:rsidRPr="00216D66" w14:paraId="751FDB95" w14:textId="77777777" w:rsidTr="003F5FEC">
        <w:trPr>
          <w:trHeight w:val="320"/>
        </w:trPr>
        <w:tc>
          <w:tcPr>
            <w:tcW w:w="164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B80E2BE" w14:textId="77777777" w:rsidR="003F5FEC" w:rsidRPr="00216D66" w:rsidRDefault="003F5FEC" w:rsidP="003F5FEC">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 / Política</w:t>
            </w:r>
          </w:p>
        </w:tc>
        <w:tc>
          <w:tcPr>
            <w:tcW w:w="330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A8774F4" w14:textId="77777777" w:rsidR="003F5FEC" w:rsidRPr="00216D66" w:rsidRDefault="003F5FEC" w:rsidP="003F5FEC">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Concepto</w:t>
            </w:r>
          </w:p>
        </w:tc>
        <w:tc>
          <w:tcPr>
            <w:tcW w:w="4190" w:type="dxa"/>
            <w:gridSpan w:val="2"/>
            <w:tcBorders>
              <w:top w:val="single" w:sz="8" w:space="0" w:color="auto"/>
              <w:left w:val="nil"/>
              <w:bottom w:val="single" w:sz="8" w:space="0" w:color="auto"/>
              <w:right w:val="single" w:sz="8" w:space="0" w:color="000000"/>
            </w:tcBorders>
            <w:shd w:val="clear" w:color="000000" w:fill="203764"/>
            <w:vAlign w:val="center"/>
            <w:hideMark/>
          </w:tcPr>
          <w:p w14:paraId="199E9DFE" w14:textId="77777777" w:rsidR="003F5FEC" w:rsidRPr="00216D66" w:rsidRDefault="003F5FEC" w:rsidP="003F5FEC">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Referencia</w:t>
            </w:r>
          </w:p>
        </w:tc>
      </w:tr>
      <w:tr w:rsidR="003F5FEC" w:rsidRPr="0091631A" w14:paraId="0FC1423C" w14:textId="77777777" w:rsidTr="003F5FEC">
        <w:trPr>
          <w:trHeight w:val="320"/>
        </w:trPr>
        <w:tc>
          <w:tcPr>
            <w:tcW w:w="1643" w:type="dxa"/>
            <w:gridSpan w:val="3"/>
            <w:vMerge/>
            <w:tcBorders>
              <w:top w:val="single" w:sz="8" w:space="0" w:color="auto"/>
              <w:left w:val="single" w:sz="8" w:space="0" w:color="auto"/>
              <w:bottom w:val="nil"/>
              <w:right w:val="single" w:sz="8" w:space="0" w:color="000000"/>
            </w:tcBorders>
            <w:vAlign w:val="center"/>
            <w:hideMark/>
          </w:tcPr>
          <w:p w14:paraId="6237D9D0" w14:textId="77777777" w:rsidR="003F5FEC" w:rsidRPr="00216D66" w:rsidRDefault="003F5FEC" w:rsidP="003F5FEC">
            <w:pPr>
              <w:rPr>
                <w:rFonts w:ascii="Arial Narrow" w:eastAsia="Times New Roman" w:hAnsi="Arial Narrow"/>
                <w:b/>
                <w:bCs/>
                <w:color w:val="FFFFFF"/>
                <w:sz w:val="22"/>
                <w:szCs w:val="22"/>
              </w:rPr>
            </w:pPr>
          </w:p>
        </w:tc>
        <w:tc>
          <w:tcPr>
            <w:tcW w:w="3309" w:type="dxa"/>
            <w:vMerge/>
            <w:tcBorders>
              <w:top w:val="single" w:sz="8" w:space="0" w:color="auto"/>
              <w:left w:val="single" w:sz="8" w:space="0" w:color="auto"/>
              <w:bottom w:val="nil"/>
              <w:right w:val="single" w:sz="8" w:space="0" w:color="auto"/>
            </w:tcBorders>
            <w:vAlign w:val="center"/>
            <w:hideMark/>
          </w:tcPr>
          <w:p w14:paraId="13ABF5FA" w14:textId="77777777" w:rsidR="003F5FEC" w:rsidRPr="00216D66" w:rsidRDefault="003F5FEC" w:rsidP="003F5FEC">
            <w:pPr>
              <w:rPr>
                <w:rFonts w:ascii="Arial Narrow" w:eastAsia="Times New Roman" w:hAnsi="Arial Narrow"/>
                <w:b/>
                <w:bCs/>
                <w:color w:val="FFFFFF"/>
                <w:sz w:val="22"/>
                <w:szCs w:val="22"/>
              </w:rPr>
            </w:pPr>
          </w:p>
        </w:tc>
        <w:tc>
          <w:tcPr>
            <w:tcW w:w="2133" w:type="dxa"/>
            <w:tcBorders>
              <w:top w:val="nil"/>
              <w:left w:val="nil"/>
              <w:bottom w:val="nil"/>
              <w:right w:val="single" w:sz="8" w:space="0" w:color="auto"/>
            </w:tcBorders>
            <w:shd w:val="clear" w:color="000000" w:fill="203764"/>
            <w:vAlign w:val="center"/>
            <w:hideMark/>
          </w:tcPr>
          <w:p w14:paraId="4708437F" w14:textId="77777777" w:rsidR="003F5FEC" w:rsidRPr="00216D66" w:rsidRDefault="003F5FEC" w:rsidP="003F5FEC">
            <w:pPr>
              <w:jc w:val="center"/>
              <w:rPr>
                <w:rFonts w:ascii="Arial Narrow" w:eastAsia="Times New Roman" w:hAnsi="Arial Narrow"/>
                <w:b/>
                <w:bCs/>
                <w:color w:val="FFFFFF"/>
                <w:sz w:val="22"/>
                <w:szCs w:val="22"/>
              </w:rPr>
            </w:pPr>
            <w:r w:rsidRPr="00216D66">
              <w:rPr>
                <w:rFonts w:ascii="Arial Narrow" w:eastAsia="Times New Roman" w:hAnsi="Arial Narrow"/>
                <w:b/>
                <w:bCs/>
                <w:color w:val="FFFFFF"/>
                <w:sz w:val="22"/>
                <w:szCs w:val="22"/>
              </w:rPr>
              <w:t>Norma</w:t>
            </w:r>
          </w:p>
        </w:tc>
        <w:tc>
          <w:tcPr>
            <w:tcW w:w="2057" w:type="dxa"/>
            <w:tcBorders>
              <w:top w:val="nil"/>
              <w:left w:val="nil"/>
              <w:bottom w:val="nil"/>
              <w:right w:val="single" w:sz="8" w:space="0" w:color="auto"/>
            </w:tcBorders>
            <w:shd w:val="clear" w:color="000000" w:fill="203764"/>
            <w:vAlign w:val="center"/>
            <w:hideMark/>
          </w:tcPr>
          <w:p w14:paraId="23124A83" w14:textId="0EE76DC8" w:rsidR="003F5FEC" w:rsidRPr="0091631A" w:rsidRDefault="0091631A" w:rsidP="003F5FE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3F5FEC" w:rsidRPr="00216D66" w14:paraId="39B3E68C" w14:textId="77777777" w:rsidTr="003F5FEC">
        <w:trPr>
          <w:trHeight w:val="630"/>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16A595" w14:textId="77777777" w:rsidR="003F5FEC" w:rsidRPr="00216D66" w:rsidRDefault="003F5FEC" w:rsidP="003F5FEC">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73DAF7ED" w14:textId="77777777" w:rsidR="003F5FEC" w:rsidRPr="00216D66" w:rsidRDefault="003F5FEC" w:rsidP="003F5FEC">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91.</w:t>
            </w:r>
          </w:p>
        </w:tc>
        <w:tc>
          <w:tcPr>
            <w:tcW w:w="534" w:type="dxa"/>
            <w:tcBorders>
              <w:top w:val="single" w:sz="8" w:space="0" w:color="auto"/>
              <w:left w:val="nil"/>
              <w:bottom w:val="single" w:sz="8" w:space="0" w:color="auto"/>
              <w:right w:val="single" w:sz="8" w:space="0" w:color="auto"/>
            </w:tcBorders>
            <w:shd w:val="clear" w:color="auto" w:fill="auto"/>
            <w:vAlign w:val="center"/>
            <w:hideMark/>
          </w:tcPr>
          <w:p w14:paraId="32664525" w14:textId="60FB2E20" w:rsidR="003F5FEC" w:rsidRPr="00216D66" w:rsidRDefault="003F5FEC" w:rsidP="003F5FEC">
            <w:pPr>
              <w:jc w:val="cente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 xml:space="preserve"> </w:t>
            </w:r>
          </w:p>
        </w:tc>
        <w:tc>
          <w:tcPr>
            <w:tcW w:w="3309" w:type="dxa"/>
            <w:tcBorders>
              <w:top w:val="single" w:sz="8" w:space="0" w:color="auto"/>
              <w:left w:val="nil"/>
              <w:bottom w:val="single" w:sz="8" w:space="0" w:color="auto"/>
              <w:right w:val="nil"/>
            </w:tcBorders>
            <w:shd w:val="clear" w:color="auto" w:fill="auto"/>
            <w:vAlign w:val="center"/>
            <w:hideMark/>
          </w:tcPr>
          <w:p w14:paraId="187774A2" w14:textId="77777777" w:rsidR="003F5FEC" w:rsidRPr="00216D66" w:rsidRDefault="003F5FEC" w:rsidP="003F5FEC">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Información a revelar</w:t>
            </w:r>
          </w:p>
        </w:tc>
        <w:tc>
          <w:tcPr>
            <w:tcW w:w="2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7FF16A" w14:textId="77777777" w:rsidR="009B0643" w:rsidRDefault="003F5FEC" w:rsidP="009B0643">
            <w:pPr>
              <w:jc w:val="both"/>
              <w:rPr>
                <w:rFonts w:ascii="Arial Narrow" w:eastAsia="Times New Roman" w:hAnsi="Arial Narrow"/>
                <w:b/>
                <w:bCs/>
                <w:color w:val="000000"/>
                <w:sz w:val="22"/>
                <w:szCs w:val="22"/>
                <w:lang w:val="es-CR"/>
              </w:rPr>
            </w:pPr>
            <w:r w:rsidRPr="00216D66">
              <w:rPr>
                <w:rFonts w:ascii="Arial Narrow" w:eastAsia="Times New Roman" w:hAnsi="Arial Narrow"/>
                <w:b/>
                <w:bCs/>
                <w:color w:val="000000"/>
                <w:sz w:val="22"/>
                <w:szCs w:val="22"/>
                <w:lang w:val="es-CR"/>
              </w:rPr>
              <w:t xml:space="preserve">NICSP N° 12, </w:t>
            </w:r>
          </w:p>
          <w:p w14:paraId="39C23CAD" w14:textId="676875E6" w:rsidR="003F5FEC" w:rsidRPr="00216D66" w:rsidRDefault="003F5FEC" w:rsidP="009B0643">
            <w:pPr>
              <w:jc w:val="both"/>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lang w:val="es-CR"/>
              </w:rPr>
              <w:t>Párrafo 47.</w:t>
            </w:r>
          </w:p>
        </w:tc>
        <w:tc>
          <w:tcPr>
            <w:tcW w:w="2057" w:type="dxa"/>
            <w:tcBorders>
              <w:top w:val="single" w:sz="8" w:space="0" w:color="auto"/>
              <w:left w:val="nil"/>
              <w:bottom w:val="single" w:sz="8" w:space="0" w:color="auto"/>
              <w:right w:val="single" w:sz="8" w:space="0" w:color="auto"/>
            </w:tcBorders>
            <w:shd w:val="clear" w:color="auto" w:fill="auto"/>
            <w:vAlign w:val="center"/>
            <w:hideMark/>
          </w:tcPr>
          <w:p w14:paraId="6B9E79CF" w14:textId="77777777" w:rsidR="003F5FEC" w:rsidRPr="00216D66" w:rsidRDefault="003F5FEC" w:rsidP="003F5FEC">
            <w:pPr>
              <w:rPr>
                <w:rFonts w:ascii="Arial Narrow" w:eastAsia="Times New Roman" w:hAnsi="Arial Narrow"/>
                <w:b/>
                <w:bCs/>
                <w:color w:val="000000"/>
                <w:sz w:val="22"/>
                <w:szCs w:val="22"/>
              </w:rPr>
            </w:pPr>
            <w:r w:rsidRPr="00216D66">
              <w:rPr>
                <w:rFonts w:ascii="Arial Narrow" w:eastAsia="Times New Roman" w:hAnsi="Arial Narrow"/>
                <w:b/>
                <w:bCs/>
                <w:color w:val="000000"/>
                <w:sz w:val="22"/>
                <w:szCs w:val="22"/>
              </w:rPr>
              <w:t>DGCN</w:t>
            </w:r>
          </w:p>
        </w:tc>
      </w:tr>
    </w:tbl>
    <w:p w14:paraId="4FA59873" w14:textId="77777777" w:rsidR="007377D0" w:rsidRDefault="007377D0">
      <w:pPr>
        <w:spacing w:line="290" w:lineRule="exact"/>
        <w:rPr>
          <w:rFonts w:ascii="Arial" w:eastAsia="Times New Roman" w:hAnsi="Arial"/>
          <w:sz w:val="22"/>
          <w:szCs w:val="22"/>
          <w:lang w:val="es-CR"/>
        </w:rPr>
      </w:pPr>
    </w:p>
    <w:p w14:paraId="4CCC33FC" w14:textId="68B7C154" w:rsidR="00FA2715" w:rsidRDefault="00FA2715">
      <w:pPr>
        <w:spacing w:line="290" w:lineRule="exact"/>
        <w:rPr>
          <w:rFonts w:ascii="Arial" w:eastAsia="Arial" w:hAnsi="Arial"/>
          <w:b/>
          <w:sz w:val="22"/>
          <w:szCs w:val="22"/>
        </w:rPr>
      </w:pPr>
      <w:r w:rsidRPr="00F02F9D">
        <w:rPr>
          <w:rFonts w:ascii="Arial" w:eastAsia="Arial" w:hAnsi="Arial"/>
          <w:b/>
          <w:sz w:val="22"/>
          <w:szCs w:val="22"/>
        </w:rPr>
        <w:t>Política Contable</w:t>
      </w:r>
    </w:p>
    <w:p w14:paraId="00CD8A7B" w14:textId="77777777" w:rsidR="00FA2715" w:rsidRPr="00F02F9D" w:rsidRDefault="00FA2715">
      <w:pPr>
        <w:spacing w:line="290" w:lineRule="exact"/>
        <w:rPr>
          <w:rFonts w:ascii="Arial" w:eastAsia="Times New Roman" w:hAnsi="Arial"/>
          <w:sz w:val="22"/>
          <w:szCs w:val="22"/>
          <w:lang w:val="es-CR"/>
        </w:rPr>
      </w:pPr>
    </w:p>
    <w:p w14:paraId="1ED64214" w14:textId="196264D1" w:rsidR="007377D0" w:rsidRPr="00F02F9D" w:rsidRDefault="00533F1E" w:rsidP="00533F1E">
      <w:pPr>
        <w:spacing w:line="0" w:lineRule="atLeast"/>
        <w:ind w:left="1134" w:hanging="1134"/>
        <w:rPr>
          <w:rFonts w:ascii="Arial" w:eastAsia="Arial" w:hAnsi="Arial"/>
          <w:bCs/>
          <w:sz w:val="22"/>
          <w:szCs w:val="22"/>
          <w:lang w:val="es-CR"/>
        </w:rPr>
      </w:pPr>
      <w:r w:rsidRPr="00F02F9D">
        <w:rPr>
          <w:rFonts w:ascii="Arial" w:eastAsia="Arial" w:hAnsi="Arial"/>
          <w:bCs/>
          <w:sz w:val="22"/>
          <w:szCs w:val="22"/>
          <w:lang w:val="es-CR"/>
        </w:rPr>
        <w:t>1.91.0.01</w:t>
      </w:r>
      <w:r w:rsidRPr="00F02F9D">
        <w:rPr>
          <w:rFonts w:ascii="Arial" w:eastAsia="Arial" w:hAnsi="Arial"/>
          <w:bCs/>
          <w:sz w:val="22"/>
          <w:szCs w:val="22"/>
          <w:lang w:val="es-CR"/>
        </w:rPr>
        <w:tab/>
      </w:r>
      <w:r w:rsidR="008A4688" w:rsidRPr="00F02F9D">
        <w:rPr>
          <w:rFonts w:ascii="Arial" w:eastAsia="Arial" w:hAnsi="Arial"/>
          <w:bCs/>
          <w:sz w:val="22"/>
          <w:szCs w:val="22"/>
          <w:lang w:val="es-CR"/>
        </w:rPr>
        <w:t>En los EEFF d</w:t>
      </w:r>
      <w:r w:rsidR="003F5FEC" w:rsidRPr="00F02F9D">
        <w:rPr>
          <w:rFonts w:ascii="Arial" w:eastAsia="Arial" w:hAnsi="Arial"/>
          <w:bCs/>
          <w:sz w:val="22"/>
          <w:szCs w:val="22"/>
          <w:lang w:val="es-CR"/>
        </w:rPr>
        <w:t xml:space="preserve">e </w:t>
      </w:r>
      <w:r w:rsidR="002E3D70"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8A4688" w:rsidRPr="00F02F9D">
        <w:rPr>
          <w:rFonts w:ascii="Arial" w:eastAsia="Arial" w:hAnsi="Arial"/>
          <w:bCs/>
          <w:sz w:val="22"/>
          <w:szCs w:val="22"/>
          <w:lang w:val="es-CR"/>
        </w:rPr>
        <w:t xml:space="preserve"> se revelará la siguiente información:</w:t>
      </w:r>
    </w:p>
    <w:p w14:paraId="07D6EC60" w14:textId="77777777" w:rsidR="003F5FEC" w:rsidRPr="00F02F9D" w:rsidRDefault="003F5FEC" w:rsidP="003F5FEC">
      <w:pPr>
        <w:spacing w:line="0" w:lineRule="atLeast"/>
        <w:rPr>
          <w:rFonts w:ascii="Arial" w:eastAsia="Arial" w:hAnsi="Arial"/>
          <w:bCs/>
          <w:sz w:val="22"/>
          <w:szCs w:val="22"/>
          <w:lang w:val="es-CR"/>
        </w:rPr>
      </w:pPr>
    </w:p>
    <w:p w14:paraId="1CB1CBFD" w14:textId="77777777" w:rsidR="007377D0" w:rsidRPr="00F02F9D" w:rsidRDefault="007377D0">
      <w:pPr>
        <w:spacing w:line="9" w:lineRule="exact"/>
        <w:rPr>
          <w:rFonts w:ascii="Arial" w:eastAsia="Times New Roman" w:hAnsi="Arial"/>
          <w:bCs/>
          <w:sz w:val="22"/>
          <w:szCs w:val="22"/>
          <w:lang w:val="es-CR"/>
        </w:rPr>
      </w:pPr>
    </w:p>
    <w:p w14:paraId="6BEB70C4" w14:textId="149301F7" w:rsidR="007377D0" w:rsidRPr="00F02F9D" w:rsidRDefault="003F5FEC">
      <w:pPr>
        <w:numPr>
          <w:ilvl w:val="0"/>
          <w:numId w:val="18"/>
        </w:numPr>
        <w:spacing w:after="120"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w:t>
      </w:r>
      <w:r w:rsidR="008A4688" w:rsidRPr="00F02F9D">
        <w:rPr>
          <w:rFonts w:ascii="Arial" w:eastAsia="Arial" w:hAnsi="Arial"/>
          <w:bCs/>
          <w:sz w:val="22"/>
          <w:szCs w:val="22"/>
          <w:lang w:val="es-CR"/>
        </w:rPr>
        <w:t xml:space="preserve">as </w:t>
      </w:r>
      <w:r w:rsidRPr="00F02F9D">
        <w:rPr>
          <w:rFonts w:ascii="Arial" w:eastAsia="Arial" w:hAnsi="Arial"/>
          <w:bCs/>
          <w:sz w:val="22"/>
          <w:szCs w:val="22"/>
          <w:lang w:val="es-CR"/>
        </w:rPr>
        <w:t xml:space="preserve">principales </w:t>
      </w:r>
      <w:r w:rsidR="008A4688" w:rsidRPr="00F02F9D">
        <w:rPr>
          <w:rFonts w:ascii="Arial" w:eastAsia="Arial" w:hAnsi="Arial"/>
          <w:bCs/>
          <w:sz w:val="22"/>
          <w:szCs w:val="22"/>
          <w:lang w:val="es-CR"/>
        </w:rPr>
        <w:t>políticas contables adoptadas para la medición de los inventarios, incluyendo la fórmula de medición de costos utilizada;</w:t>
      </w:r>
    </w:p>
    <w:p w14:paraId="4251F076" w14:textId="77777777" w:rsidR="007377D0" w:rsidRPr="00F02F9D" w:rsidRDefault="007377D0" w:rsidP="001065E8">
      <w:pPr>
        <w:spacing w:after="120" w:line="9" w:lineRule="exact"/>
        <w:ind w:left="1418" w:hanging="284"/>
        <w:jc w:val="both"/>
        <w:rPr>
          <w:rFonts w:ascii="Arial" w:eastAsia="Arial" w:hAnsi="Arial"/>
          <w:bCs/>
          <w:sz w:val="22"/>
          <w:szCs w:val="22"/>
          <w:lang w:val="es-CR"/>
        </w:rPr>
      </w:pPr>
    </w:p>
    <w:p w14:paraId="5C82B003" w14:textId="57D1CBD6" w:rsidR="007377D0" w:rsidRPr="00F02F9D" w:rsidRDefault="00CD37FF">
      <w:pPr>
        <w:numPr>
          <w:ilvl w:val="0"/>
          <w:numId w:val="18"/>
        </w:numPr>
        <w:tabs>
          <w:tab w:val="left" w:pos="1079"/>
        </w:tabs>
        <w:spacing w:after="120"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lastRenderedPageBreak/>
        <w:t>E</w:t>
      </w:r>
      <w:r w:rsidR="008A4688" w:rsidRPr="00F02F9D">
        <w:rPr>
          <w:rFonts w:ascii="Arial" w:eastAsia="Arial" w:hAnsi="Arial"/>
          <w:bCs/>
          <w:sz w:val="22"/>
          <w:szCs w:val="22"/>
          <w:lang w:val="es-CR"/>
        </w:rPr>
        <w:t>l importe total en libros de los inventarios y los importes según la clasificación que resulte apropiada para la entidad;</w:t>
      </w:r>
    </w:p>
    <w:p w14:paraId="1CA7586E" w14:textId="77777777" w:rsidR="007377D0" w:rsidRPr="00F02F9D" w:rsidRDefault="007377D0" w:rsidP="001065E8">
      <w:pPr>
        <w:spacing w:after="120" w:line="9" w:lineRule="exact"/>
        <w:ind w:left="1418" w:hanging="284"/>
        <w:jc w:val="both"/>
        <w:rPr>
          <w:rFonts w:ascii="Arial" w:eastAsia="Arial" w:hAnsi="Arial"/>
          <w:bCs/>
          <w:sz w:val="22"/>
          <w:szCs w:val="22"/>
          <w:lang w:val="es-CR"/>
        </w:rPr>
      </w:pPr>
    </w:p>
    <w:p w14:paraId="5AF838AB" w14:textId="71556324" w:rsidR="007377D0" w:rsidRPr="00F02F9D" w:rsidRDefault="00CD37FF">
      <w:pPr>
        <w:numPr>
          <w:ilvl w:val="0"/>
          <w:numId w:val="18"/>
        </w:numPr>
        <w:tabs>
          <w:tab w:val="left" w:pos="1080"/>
        </w:tabs>
        <w:spacing w:after="120"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E</w:t>
      </w:r>
      <w:r w:rsidR="008A4688" w:rsidRPr="00F02F9D">
        <w:rPr>
          <w:rFonts w:ascii="Arial" w:eastAsia="Arial" w:hAnsi="Arial"/>
          <w:bCs/>
          <w:sz w:val="22"/>
          <w:szCs w:val="22"/>
          <w:lang w:val="es-CR"/>
        </w:rPr>
        <w:t>l importe en libros de los inventarios que se llevan al valor razonable menos los costos de venta;</w:t>
      </w:r>
    </w:p>
    <w:p w14:paraId="7FA2E79C" w14:textId="77777777" w:rsidR="007377D0" w:rsidRPr="00F02F9D" w:rsidRDefault="007377D0" w:rsidP="001065E8">
      <w:pPr>
        <w:spacing w:after="120" w:line="9" w:lineRule="exact"/>
        <w:ind w:left="1418" w:hanging="284"/>
        <w:jc w:val="both"/>
        <w:rPr>
          <w:rFonts w:ascii="Arial" w:eastAsia="Arial" w:hAnsi="Arial"/>
          <w:bCs/>
          <w:sz w:val="22"/>
          <w:szCs w:val="22"/>
          <w:lang w:val="es-CR"/>
        </w:rPr>
      </w:pPr>
    </w:p>
    <w:p w14:paraId="279C56AA" w14:textId="0F983FE3" w:rsidR="007377D0" w:rsidRPr="00F02F9D" w:rsidRDefault="00CD37FF">
      <w:pPr>
        <w:numPr>
          <w:ilvl w:val="0"/>
          <w:numId w:val="18"/>
        </w:numPr>
        <w:tabs>
          <w:tab w:val="left" w:pos="1080"/>
        </w:tabs>
        <w:spacing w:after="120" w:line="0" w:lineRule="atLeast"/>
        <w:ind w:left="1418" w:hanging="284"/>
        <w:jc w:val="both"/>
        <w:rPr>
          <w:rFonts w:ascii="Arial" w:eastAsia="Arial" w:hAnsi="Arial"/>
          <w:bCs/>
          <w:sz w:val="22"/>
          <w:szCs w:val="22"/>
          <w:lang w:val="es-CR"/>
        </w:rPr>
      </w:pPr>
      <w:r w:rsidRPr="00F02F9D">
        <w:rPr>
          <w:rFonts w:ascii="Arial" w:eastAsia="Arial" w:hAnsi="Arial"/>
          <w:bCs/>
          <w:sz w:val="22"/>
          <w:szCs w:val="22"/>
          <w:lang w:val="es-CR"/>
        </w:rPr>
        <w:t>E</w:t>
      </w:r>
      <w:r w:rsidR="008A4688" w:rsidRPr="00F02F9D">
        <w:rPr>
          <w:rFonts w:ascii="Arial" w:eastAsia="Arial" w:hAnsi="Arial"/>
          <w:bCs/>
          <w:sz w:val="22"/>
          <w:szCs w:val="22"/>
          <w:lang w:val="es-CR"/>
        </w:rPr>
        <w:t>l importe de los inventarios reconocidos como un gasto durante el período;</w:t>
      </w:r>
    </w:p>
    <w:p w14:paraId="33B58F80" w14:textId="77777777" w:rsidR="007377D0" w:rsidRPr="00F02F9D" w:rsidRDefault="007377D0" w:rsidP="001065E8">
      <w:pPr>
        <w:spacing w:after="120" w:line="34" w:lineRule="exact"/>
        <w:ind w:left="1418" w:hanging="284"/>
        <w:jc w:val="both"/>
        <w:rPr>
          <w:rFonts w:ascii="Arial" w:eastAsia="Arial" w:hAnsi="Arial"/>
          <w:bCs/>
          <w:sz w:val="22"/>
          <w:szCs w:val="22"/>
          <w:lang w:val="es-CR"/>
        </w:rPr>
      </w:pPr>
    </w:p>
    <w:p w14:paraId="574EEFE0" w14:textId="0A5D5083" w:rsidR="007377D0" w:rsidRPr="00F02F9D" w:rsidRDefault="00CD37FF" w:rsidP="001065E8">
      <w:pPr>
        <w:tabs>
          <w:tab w:val="left" w:pos="1079"/>
        </w:tabs>
        <w:spacing w:after="120"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E</w:t>
      </w:r>
      <w:r w:rsidR="008A4688" w:rsidRPr="00F02F9D">
        <w:rPr>
          <w:rFonts w:ascii="Arial" w:eastAsia="Arial" w:hAnsi="Arial"/>
          <w:bCs/>
          <w:sz w:val="22"/>
          <w:szCs w:val="22"/>
          <w:lang w:val="es-CR"/>
        </w:rPr>
        <w:t>l importe de las rebajas de valor de los inventarios reconocidas como un gasto en el período;</w:t>
      </w:r>
    </w:p>
    <w:p w14:paraId="0A553E11" w14:textId="77777777" w:rsidR="007377D0" w:rsidRPr="00F02F9D" w:rsidRDefault="007377D0" w:rsidP="001065E8">
      <w:pPr>
        <w:spacing w:after="120" w:line="9" w:lineRule="exact"/>
        <w:ind w:left="1418" w:hanging="284"/>
        <w:jc w:val="both"/>
        <w:rPr>
          <w:rFonts w:ascii="Arial" w:eastAsia="Arial" w:hAnsi="Arial"/>
          <w:bCs/>
          <w:sz w:val="22"/>
          <w:szCs w:val="22"/>
          <w:lang w:val="es-CR"/>
        </w:rPr>
      </w:pPr>
    </w:p>
    <w:p w14:paraId="033AD5EA" w14:textId="7B77DB0F" w:rsidR="007377D0" w:rsidRPr="00F02F9D" w:rsidRDefault="00CD37FF">
      <w:pPr>
        <w:numPr>
          <w:ilvl w:val="0"/>
          <w:numId w:val="18"/>
        </w:numPr>
        <w:tabs>
          <w:tab w:val="left" w:pos="1079"/>
        </w:tabs>
        <w:spacing w:after="120"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w:t>
      </w:r>
      <w:r w:rsidR="008A4688" w:rsidRPr="00F02F9D">
        <w:rPr>
          <w:rFonts w:ascii="Arial" w:eastAsia="Arial" w:hAnsi="Arial"/>
          <w:bCs/>
          <w:sz w:val="22"/>
          <w:szCs w:val="22"/>
          <w:lang w:val="es-CR"/>
        </w:rPr>
        <w:t>os importes de las reversiones en las rebajas de valor que son reconocidas en el estado de rendimiento financiero del período;</w:t>
      </w:r>
    </w:p>
    <w:p w14:paraId="032D2D48" w14:textId="77777777" w:rsidR="007377D0" w:rsidRPr="00F02F9D" w:rsidRDefault="007377D0" w:rsidP="001065E8">
      <w:pPr>
        <w:spacing w:after="120" w:line="9" w:lineRule="exact"/>
        <w:ind w:left="1418" w:hanging="284"/>
        <w:jc w:val="both"/>
        <w:rPr>
          <w:rFonts w:ascii="Arial" w:eastAsia="Arial" w:hAnsi="Arial"/>
          <w:bCs/>
          <w:sz w:val="22"/>
          <w:szCs w:val="22"/>
          <w:lang w:val="es-CR"/>
        </w:rPr>
      </w:pPr>
    </w:p>
    <w:p w14:paraId="772ECA45" w14:textId="03416C1C" w:rsidR="007377D0" w:rsidRPr="00F02F9D" w:rsidRDefault="00CD37FF">
      <w:pPr>
        <w:numPr>
          <w:ilvl w:val="0"/>
          <w:numId w:val="18"/>
        </w:numPr>
        <w:tabs>
          <w:tab w:val="left" w:pos="1079"/>
        </w:tabs>
        <w:spacing w:after="120"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w:t>
      </w:r>
      <w:r w:rsidR="008A4688" w:rsidRPr="00F02F9D">
        <w:rPr>
          <w:rFonts w:ascii="Arial" w:eastAsia="Arial" w:hAnsi="Arial"/>
          <w:bCs/>
          <w:sz w:val="22"/>
          <w:szCs w:val="22"/>
          <w:lang w:val="es-CR"/>
        </w:rPr>
        <w:t>as circunstancias o eventos que han producido la reversión de las rebajas de los inventarios;</w:t>
      </w:r>
    </w:p>
    <w:p w14:paraId="5912A2DC" w14:textId="77777777" w:rsidR="007377D0" w:rsidRPr="00F02F9D" w:rsidRDefault="007377D0" w:rsidP="001065E8">
      <w:pPr>
        <w:spacing w:after="120" w:line="9" w:lineRule="exact"/>
        <w:ind w:left="1418" w:hanging="284"/>
        <w:jc w:val="both"/>
        <w:rPr>
          <w:rFonts w:ascii="Arial" w:eastAsia="Arial" w:hAnsi="Arial"/>
          <w:bCs/>
          <w:sz w:val="22"/>
          <w:szCs w:val="22"/>
          <w:lang w:val="es-CR"/>
        </w:rPr>
      </w:pPr>
    </w:p>
    <w:p w14:paraId="3AFEB68D" w14:textId="6118D236" w:rsidR="007377D0" w:rsidRPr="00F02F9D" w:rsidRDefault="00CD37FF">
      <w:pPr>
        <w:numPr>
          <w:ilvl w:val="0"/>
          <w:numId w:val="18"/>
        </w:numPr>
        <w:tabs>
          <w:tab w:val="left" w:pos="1080"/>
        </w:tabs>
        <w:spacing w:after="120" w:line="0" w:lineRule="atLeast"/>
        <w:ind w:left="1418" w:hanging="284"/>
        <w:jc w:val="both"/>
        <w:rPr>
          <w:rFonts w:ascii="Arial" w:eastAsia="Arial" w:hAnsi="Arial"/>
          <w:bCs/>
          <w:sz w:val="22"/>
          <w:szCs w:val="22"/>
          <w:lang w:val="es-CR"/>
        </w:rPr>
      </w:pPr>
      <w:r w:rsidRPr="00F02F9D">
        <w:rPr>
          <w:rFonts w:ascii="Arial" w:eastAsia="Arial" w:hAnsi="Arial"/>
          <w:bCs/>
          <w:sz w:val="22"/>
          <w:szCs w:val="22"/>
          <w:lang w:val="es-CR"/>
        </w:rPr>
        <w:t>E</w:t>
      </w:r>
      <w:r w:rsidR="008A4688" w:rsidRPr="00F02F9D">
        <w:rPr>
          <w:rFonts w:ascii="Arial" w:eastAsia="Arial" w:hAnsi="Arial"/>
          <w:bCs/>
          <w:sz w:val="22"/>
          <w:szCs w:val="22"/>
          <w:lang w:val="es-CR"/>
        </w:rPr>
        <w:t>l importe en libros de los inventarios prendados en garantía de deudas;</w:t>
      </w:r>
    </w:p>
    <w:p w14:paraId="58AE16E3" w14:textId="77777777" w:rsidR="007377D0" w:rsidRPr="00F02F9D" w:rsidRDefault="007377D0" w:rsidP="001065E8">
      <w:pPr>
        <w:spacing w:after="120" w:line="11" w:lineRule="exact"/>
        <w:ind w:left="1418" w:hanging="284"/>
        <w:jc w:val="both"/>
        <w:rPr>
          <w:rFonts w:ascii="Arial" w:eastAsia="Arial" w:hAnsi="Arial"/>
          <w:bCs/>
          <w:sz w:val="22"/>
          <w:szCs w:val="22"/>
          <w:lang w:val="es-CR"/>
        </w:rPr>
      </w:pPr>
    </w:p>
    <w:p w14:paraId="29B0F03D" w14:textId="4C993712" w:rsidR="007377D0" w:rsidRPr="00F02F9D" w:rsidRDefault="00CD37FF">
      <w:pPr>
        <w:numPr>
          <w:ilvl w:val="0"/>
          <w:numId w:val="18"/>
        </w:numPr>
        <w:tabs>
          <w:tab w:val="left" w:pos="1080"/>
        </w:tabs>
        <w:spacing w:after="120"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w:t>
      </w:r>
      <w:r w:rsidR="008A4688" w:rsidRPr="00F02F9D">
        <w:rPr>
          <w:rFonts w:ascii="Arial" w:eastAsia="Arial" w:hAnsi="Arial"/>
          <w:bCs/>
          <w:sz w:val="22"/>
          <w:szCs w:val="22"/>
          <w:lang w:val="es-CR"/>
        </w:rPr>
        <w:t>os parámetros utilizados para estimar previsiones por desvalorización y pérdidas de inventario;</w:t>
      </w:r>
    </w:p>
    <w:p w14:paraId="59A5B921" w14:textId="0925A947" w:rsidR="007377D0" w:rsidRPr="00F02F9D" w:rsidRDefault="00CD37FF">
      <w:pPr>
        <w:numPr>
          <w:ilvl w:val="0"/>
          <w:numId w:val="18"/>
        </w:numPr>
        <w:tabs>
          <w:tab w:val="left" w:pos="1080"/>
        </w:tabs>
        <w:spacing w:after="120" w:line="238" w:lineRule="auto"/>
        <w:ind w:left="1418" w:right="260" w:hanging="284"/>
        <w:jc w:val="both"/>
        <w:rPr>
          <w:rFonts w:ascii="Arial" w:eastAsia="Arial" w:hAnsi="Arial"/>
          <w:bCs/>
          <w:sz w:val="22"/>
          <w:szCs w:val="22"/>
          <w:lang w:val="es-CR"/>
        </w:rPr>
      </w:pPr>
      <w:bookmarkStart w:id="37" w:name="page26"/>
      <w:bookmarkEnd w:id="37"/>
      <w:r w:rsidRPr="00F02F9D">
        <w:rPr>
          <w:rFonts w:ascii="Arial" w:eastAsia="Arial" w:hAnsi="Arial"/>
          <w:bCs/>
          <w:sz w:val="22"/>
          <w:szCs w:val="22"/>
          <w:lang w:val="es-CR"/>
        </w:rPr>
        <w:t>D</w:t>
      </w:r>
      <w:r w:rsidR="008A4688" w:rsidRPr="00F02F9D">
        <w:rPr>
          <w:rFonts w:ascii="Arial" w:eastAsia="Arial" w:hAnsi="Arial"/>
          <w:bCs/>
          <w:sz w:val="22"/>
          <w:szCs w:val="22"/>
          <w:lang w:val="es-CR"/>
        </w:rPr>
        <w:t>e corresponder, el hecho de que se aplica la opción de obtener el saldo de los bienes consumidos por diferencia y la fecha estimada en que se tomará directamente del sistema integrado de información de la gestión de administración financiera; y</w:t>
      </w:r>
    </w:p>
    <w:p w14:paraId="45BC0D44" w14:textId="77777777" w:rsidR="007377D0" w:rsidRPr="00F02F9D" w:rsidRDefault="007377D0" w:rsidP="00533F1E">
      <w:pPr>
        <w:spacing w:line="9" w:lineRule="exact"/>
        <w:ind w:left="1418" w:hanging="284"/>
        <w:jc w:val="both"/>
        <w:rPr>
          <w:rFonts w:ascii="Arial" w:eastAsia="Arial" w:hAnsi="Arial"/>
          <w:bCs/>
          <w:sz w:val="22"/>
          <w:szCs w:val="22"/>
          <w:lang w:val="es-CR"/>
        </w:rPr>
      </w:pPr>
    </w:p>
    <w:p w14:paraId="553EC252" w14:textId="7F49D68C" w:rsidR="003F5FEC" w:rsidRPr="00F02F9D" w:rsidRDefault="00CD37FF">
      <w:pPr>
        <w:numPr>
          <w:ilvl w:val="0"/>
          <w:numId w:val="18"/>
        </w:numPr>
        <w:tabs>
          <w:tab w:val="left" w:pos="1080"/>
        </w:tabs>
        <w:spacing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T</w:t>
      </w:r>
      <w:r w:rsidR="008A4688" w:rsidRPr="00F02F9D">
        <w:rPr>
          <w:rFonts w:ascii="Arial" w:eastAsia="Arial" w:hAnsi="Arial"/>
          <w:bCs/>
          <w:sz w:val="22"/>
          <w:szCs w:val="22"/>
          <w:lang w:val="es-CR"/>
        </w:rPr>
        <w:t xml:space="preserve">oda otra información que oportunamente, con carácter permanente o </w:t>
      </w:r>
      <w:r w:rsidRPr="00F02F9D">
        <w:rPr>
          <w:rFonts w:ascii="Arial" w:eastAsia="Arial" w:hAnsi="Arial"/>
          <w:bCs/>
          <w:sz w:val="22"/>
          <w:szCs w:val="22"/>
          <w:lang w:val="es-CR"/>
        </w:rPr>
        <w:t xml:space="preserve">extraordinario y </w:t>
      </w:r>
      <w:r w:rsidR="008A4688" w:rsidRPr="00F02F9D">
        <w:rPr>
          <w:rFonts w:ascii="Arial" w:eastAsia="Arial" w:hAnsi="Arial"/>
          <w:bCs/>
          <w:sz w:val="22"/>
          <w:szCs w:val="22"/>
          <w:lang w:val="es-CR"/>
        </w:rPr>
        <w:t xml:space="preserve">específico para un ejercicio en particular, </w:t>
      </w:r>
      <w:r w:rsidRPr="00F02F9D">
        <w:rPr>
          <w:rFonts w:ascii="Arial" w:eastAsia="Arial" w:hAnsi="Arial"/>
          <w:bCs/>
          <w:sz w:val="22"/>
          <w:szCs w:val="22"/>
          <w:lang w:val="es-CR"/>
        </w:rPr>
        <w:t xml:space="preserve">que por su materialidad se </w:t>
      </w:r>
      <w:r w:rsidR="008A4688" w:rsidRPr="00F02F9D">
        <w:rPr>
          <w:rFonts w:ascii="Arial" w:eastAsia="Arial" w:hAnsi="Arial"/>
          <w:bCs/>
          <w:sz w:val="22"/>
          <w:szCs w:val="22"/>
          <w:lang w:val="es-CR"/>
        </w:rPr>
        <w:t>requiera incluir</w:t>
      </w:r>
      <w:r w:rsidR="00543B17" w:rsidRPr="00F02F9D">
        <w:rPr>
          <w:rFonts w:ascii="Arial" w:eastAsia="Arial" w:hAnsi="Arial"/>
          <w:bCs/>
          <w:sz w:val="22"/>
          <w:szCs w:val="22"/>
          <w:lang w:val="es-CR"/>
        </w:rPr>
        <w:t>.</w:t>
      </w:r>
    </w:p>
    <w:p w14:paraId="7C5ACEAA" w14:textId="77777777" w:rsidR="0035187F" w:rsidRDefault="0035187F" w:rsidP="0035187F">
      <w:pPr>
        <w:pStyle w:val="Prrafodelista"/>
        <w:rPr>
          <w:rFonts w:ascii="Arial" w:eastAsia="Arial" w:hAnsi="Arial"/>
          <w:bCs/>
          <w:sz w:val="22"/>
          <w:szCs w:val="22"/>
          <w:lang w:val="es-CR"/>
        </w:rPr>
      </w:pPr>
    </w:p>
    <w:p w14:paraId="6C372B90" w14:textId="77777777" w:rsidR="00D42B12" w:rsidRDefault="00D42B12" w:rsidP="0035187F">
      <w:pPr>
        <w:pStyle w:val="Prrafodelista"/>
        <w:rPr>
          <w:rFonts w:ascii="Arial" w:eastAsia="Arial" w:hAnsi="Arial"/>
          <w:bCs/>
          <w:sz w:val="22"/>
          <w:szCs w:val="22"/>
          <w:lang w:val="es-CR"/>
        </w:rPr>
      </w:pPr>
    </w:p>
    <w:p w14:paraId="5ED7EAC9" w14:textId="77777777" w:rsidR="00D42B12" w:rsidRPr="00F02F9D" w:rsidRDefault="00D42B12" w:rsidP="0035187F">
      <w:pPr>
        <w:pStyle w:val="Prrafodelista"/>
        <w:rPr>
          <w:rFonts w:ascii="Arial" w:eastAsia="Arial" w:hAnsi="Arial"/>
          <w:bCs/>
          <w:sz w:val="22"/>
          <w:szCs w:val="22"/>
          <w:lang w:val="es-CR"/>
        </w:rPr>
      </w:pPr>
    </w:p>
    <w:p w14:paraId="62F2169F" w14:textId="77777777" w:rsidR="0035187F" w:rsidRDefault="0035187F" w:rsidP="0035187F">
      <w:pPr>
        <w:tabs>
          <w:tab w:val="left" w:pos="1080"/>
        </w:tabs>
        <w:spacing w:line="236" w:lineRule="auto"/>
        <w:ind w:right="260"/>
        <w:jc w:val="both"/>
        <w:rPr>
          <w:rFonts w:ascii="Arial" w:eastAsia="Arial" w:hAnsi="Arial"/>
          <w:bCs/>
          <w:sz w:val="22"/>
          <w:szCs w:val="22"/>
          <w:lang w:val="es-CR"/>
        </w:rPr>
      </w:pPr>
    </w:p>
    <w:p w14:paraId="68B8C31D" w14:textId="77777777" w:rsidR="009B0643" w:rsidRDefault="009B0643" w:rsidP="0035187F">
      <w:pPr>
        <w:tabs>
          <w:tab w:val="left" w:pos="1080"/>
        </w:tabs>
        <w:spacing w:line="236" w:lineRule="auto"/>
        <w:ind w:right="260"/>
        <w:jc w:val="both"/>
        <w:rPr>
          <w:rFonts w:ascii="Arial" w:eastAsia="Arial" w:hAnsi="Arial"/>
          <w:bCs/>
          <w:sz w:val="22"/>
          <w:szCs w:val="22"/>
          <w:lang w:val="es-CR"/>
        </w:rPr>
      </w:pPr>
    </w:p>
    <w:p w14:paraId="20188826" w14:textId="77777777" w:rsidR="009B0643" w:rsidRDefault="009B0643" w:rsidP="0035187F">
      <w:pPr>
        <w:tabs>
          <w:tab w:val="left" w:pos="1080"/>
        </w:tabs>
        <w:spacing w:line="236" w:lineRule="auto"/>
        <w:ind w:right="260"/>
        <w:jc w:val="both"/>
        <w:rPr>
          <w:rFonts w:ascii="Arial" w:eastAsia="Arial" w:hAnsi="Arial"/>
          <w:bCs/>
          <w:sz w:val="22"/>
          <w:szCs w:val="22"/>
          <w:lang w:val="es-CR"/>
        </w:rPr>
      </w:pPr>
    </w:p>
    <w:p w14:paraId="732A17EE" w14:textId="77777777" w:rsidR="009B0643" w:rsidRDefault="009B0643" w:rsidP="0035187F">
      <w:pPr>
        <w:tabs>
          <w:tab w:val="left" w:pos="1080"/>
        </w:tabs>
        <w:spacing w:line="236" w:lineRule="auto"/>
        <w:ind w:right="260"/>
        <w:jc w:val="both"/>
        <w:rPr>
          <w:rFonts w:ascii="Arial" w:eastAsia="Arial" w:hAnsi="Arial"/>
          <w:bCs/>
          <w:sz w:val="22"/>
          <w:szCs w:val="22"/>
          <w:lang w:val="es-CR"/>
        </w:rPr>
      </w:pPr>
    </w:p>
    <w:p w14:paraId="5A98F937" w14:textId="77777777" w:rsidR="009B0643" w:rsidRDefault="009B0643" w:rsidP="0035187F">
      <w:pPr>
        <w:tabs>
          <w:tab w:val="left" w:pos="1080"/>
        </w:tabs>
        <w:spacing w:line="236" w:lineRule="auto"/>
        <w:ind w:right="260"/>
        <w:jc w:val="both"/>
        <w:rPr>
          <w:rFonts w:ascii="Arial" w:eastAsia="Arial" w:hAnsi="Arial"/>
          <w:bCs/>
          <w:sz w:val="22"/>
          <w:szCs w:val="22"/>
          <w:lang w:val="es-CR"/>
        </w:rPr>
      </w:pPr>
    </w:p>
    <w:p w14:paraId="6C4A04CB" w14:textId="77777777" w:rsidR="009B0643" w:rsidRDefault="009B0643" w:rsidP="0035187F">
      <w:pPr>
        <w:tabs>
          <w:tab w:val="left" w:pos="1080"/>
        </w:tabs>
        <w:spacing w:line="236" w:lineRule="auto"/>
        <w:ind w:right="260"/>
        <w:jc w:val="both"/>
        <w:rPr>
          <w:rFonts w:ascii="Arial" w:eastAsia="Arial" w:hAnsi="Arial"/>
          <w:bCs/>
          <w:sz w:val="22"/>
          <w:szCs w:val="22"/>
          <w:lang w:val="es-CR"/>
        </w:rPr>
      </w:pPr>
    </w:p>
    <w:p w14:paraId="50115B30" w14:textId="77777777" w:rsidR="009B0643" w:rsidRPr="00F02F9D" w:rsidRDefault="009B0643" w:rsidP="0035187F">
      <w:pPr>
        <w:tabs>
          <w:tab w:val="left" w:pos="1080"/>
        </w:tabs>
        <w:spacing w:line="236" w:lineRule="auto"/>
        <w:ind w:right="260"/>
        <w:jc w:val="both"/>
        <w:rPr>
          <w:rFonts w:ascii="Arial" w:eastAsia="Arial" w:hAnsi="Arial"/>
          <w:bCs/>
          <w:sz w:val="22"/>
          <w:szCs w:val="22"/>
          <w:lang w:val="es-CR"/>
        </w:rPr>
      </w:pPr>
    </w:p>
    <w:p w14:paraId="0DD65718" w14:textId="7DC138D3" w:rsidR="0035187F" w:rsidRPr="009B0643" w:rsidRDefault="00C250A0" w:rsidP="009B0643">
      <w:pPr>
        <w:pStyle w:val="Ttulo2"/>
        <w:ind w:left="284"/>
        <w:rPr>
          <w:rFonts w:ascii="Arial" w:eastAsia="Arial" w:hAnsi="Arial" w:cs="Arial"/>
          <w:b/>
          <w:bCs/>
          <w:sz w:val="22"/>
          <w:szCs w:val="22"/>
          <w:lang w:val="es-CR"/>
        </w:rPr>
      </w:pPr>
      <w:bookmarkStart w:id="38" w:name="_Toc172726207"/>
      <w:r w:rsidRPr="009B0643">
        <w:rPr>
          <w:rFonts w:ascii="Arial" w:eastAsia="Arial" w:hAnsi="Arial" w:cs="Arial"/>
          <w:b/>
          <w:bCs/>
          <w:sz w:val="22"/>
          <w:szCs w:val="22"/>
          <w:lang w:val="es-CR"/>
        </w:rPr>
        <w:t>ACTIVOS NO CORRIENTES</w:t>
      </w:r>
      <w:bookmarkEnd w:id="38"/>
    </w:p>
    <w:p w14:paraId="1D5606F2" w14:textId="77777777" w:rsidR="00543B17" w:rsidRPr="00F02F9D" w:rsidRDefault="00543B17" w:rsidP="00E51C06">
      <w:pPr>
        <w:spacing w:line="0" w:lineRule="atLeast"/>
        <w:rPr>
          <w:rFonts w:ascii="Arial" w:eastAsia="Arial" w:hAnsi="Arial"/>
          <w:bCs/>
          <w:sz w:val="22"/>
          <w:szCs w:val="22"/>
          <w:lang w:val="es-CR"/>
        </w:rPr>
      </w:pPr>
    </w:p>
    <w:p w14:paraId="1E00583C" w14:textId="0286A823" w:rsidR="00E51C06" w:rsidRPr="009B0643" w:rsidRDefault="008A4688" w:rsidP="009B0643">
      <w:pPr>
        <w:pStyle w:val="Ttulo2"/>
        <w:ind w:left="284"/>
        <w:rPr>
          <w:rFonts w:ascii="Arial" w:eastAsia="Arial" w:hAnsi="Arial" w:cs="Arial"/>
          <w:b/>
          <w:bCs/>
          <w:sz w:val="20"/>
          <w:szCs w:val="20"/>
          <w:lang w:val="es-CR"/>
        </w:rPr>
      </w:pPr>
      <w:bookmarkStart w:id="39" w:name="_Toc172726208"/>
      <w:r w:rsidRPr="009B0643">
        <w:rPr>
          <w:rFonts w:ascii="Arial" w:eastAsia="Arial" w:hAnsi="Arial" w:cs="Arial"/>
          <w:b/>
          <w:bCs/>
          <w:sz w:val="20"/>
          <w:szCs w:val="20"/>
          <w:lang w:val="es-CR"/>
        </w:rPr>
        <w:t>Bienes no Concesionados</w:t>
      </w:r>
      <w:bookmarkEnd w:id="39"/>
    </w:p>
    <w:p w14:paraId="23058263" w14:textId="77777777" w:rsidR="00E51C06" w:rsidRPr="00F02F9D" w:rsidRDefault="00E51C06" w:rsidP="00E51C06">
      <w:pPr>
        <w:spacing w:line="0" w:lineRule="atLeast"/>
        <w:ind w:left="380"/>
        <w:rPr>
          <w:rFonts w:ascii="Arial" w:eastAsia="Arial" w:hAnsi="Arial"/>
          <w:b/>
          <w:sz w:val="22"/>
          <w:szCs w:val="22"/>
          <w:lang w:val="es-CR"/>
        </w:rPr>
      </w:pPr>
    </w:p>
    <w:tbl>
      <w:tblPr>
        <w:tblW w:w="8944" w:type="dxa"/>
        <w:tblInd w:w="118" w:type="dxa"/>
        <w:tblLook w:val="04A0" w:firstRow="1" w:lastRow="0" w:firstColumn="1" w:lastColumn="0" w:noHBand="0" w:noVBand="1"/>
      </w:tblPr>
      <w:tblGrid>
        <w:gridCol w:w="588"/>
        <w:gridCol w:w="483"/>
        <w:gridCol w:w="561"/>
        <w:gridCol w:w="4052"/>
        <w:gridCol w:w="1418"/>
        <w:gridCol w:w="1842"/>
      </w:tblGrid>
      <w:tr w:rsidR="00E51C06" w:rsidRPr="009B0643" w14:paraId="55291F37" w14:textId="77777777" w:rsidTr="0091631A">
        <w:trPr>
          <w:trHeight w:val="320"/>
        </w:trPr>
        <w:tc>
          <w:tcPr>
            <w:tcW w:w="163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F46C7DF" w14:textId="77777777" w:rsidR="00E51C06" w:rsidRPr="009B0643" w:rsidRDefault="00E51C06" w:rsidP="00E51C06">
            <w:pPr>
              <w:jc w:val="center"/>
              <w:rPr>
                <w:rFonts w:ascii="Arial Narrow" w:eastAsia="Times New Roman" w:hAnsi="Arial Narrow"/>
                <w:b/>
                <w:bCs/>
                <w:color w:val="FFFFFF"/>
                <w:sz w:val="22"/>
                <w:szCs w:val="22"/>
              </w:rPr>
            </w:pPr>
            <w:r w:rsidRPr="009B0643">
              <w:rPr>
                <w:rFonts w:ascii="Arial Narrow" w:eastAsia="Times New Roman" w:hAnsi="Arial Narrow"/>
                <w:b/>
                <w:bCs/>
                <w:color w:val="FFFFFF"/>
                <w:sz w:val="22"/>
                <w:szCs w:val="22"/>
              </w:rPr>
              <w:t>Norma / Política</w:t>
            </w:r>
          </w:p>
        </w:tc>
        <w:tc>
          <w:tcPr>
            <w:tcW w:w="4052" w:type="dxa"/>
            <w:vMerge w:val="restart"/>
            <w:tcBorders>
              <w:top w:val="single" w:sz="8" w:space="0" w:color="auto"/>
              <w:left w:val="single" w:sz="8" w:space="0" w:color="auto"/>
              <w:bottom w:val="nil"/>
              <w:right w:val="single" w:sz="8" w:space="0" w:color="auto"/>
            </w:tcBorders>
            <w:shd w:val="clear" w:color="000000" w:fill="203764"/>
            <w:vAlign w:val="center"/>
            <w:hideMark/>
          </w:tcPr>
          <w:p w14:paraId="096EB073" w14:textId="77777777" w:rsidR="00E51C06" w:rsidRPr="009B0643" w:rsidRDefault="00E51C06" w:rsidP="00E51C06">
            <w:pPr>
              <w:jc w:val="center"/>
              <w:rPr>
                <w:rFonts w:ascii="Arial Narrow" w:eastAsia="Times New Roman" w:hAnsi="Arial Narrow"/>
                <w:b/>
                <w:bCs/>
                <w:color w:val="FFFFFF"/>
                <w:sz w:val="22"/>
                <w:szCs w:val="22"/>
              </w:rPr>
            </w:pPr>
            <w:r w:rsidRPr="009B0643">
              <w:rPr>
                <w:rFonts w:ascii="Arial Narrow" w:eastAsia="Times New Roman" w:hAnsi="Arial Narrow"/>
                <w:b/>
                <w:bCs/>
                <w:color w:val="FFFFFF"/>
                <w:sz w:val="22"/>
                <w:szCs w:val="22"/>
              </w:rPr>
              <w:t>Concepto</w:t>
            </w:r>
          </w:p>
        </w:tc>
        <w:tc>
          <w:tcPr>
            <w:tcW w:w="3260" w:type="dxa"/>
            <w:gridSpan w:val="2"/>
            <w:tcBorders>
              <w:top w:val="single" w:sz="8" w:space="0" w:color="auto"/>
              <w:left w:val="nil"/>
              <w:bottom w:val="single" w:sz="8" w:space="0" w:color="auto"/>
              <w:right w:val="single" w:sz="8" w:space="0" w:color="000000"/>
            </w:tcBorders>
            <w:shd w:val="clear" w:color="000000" w:fill="203764"/>
            <w:vAlign w:val="center"/>
            <w:hideMark/>
          </w:tcPr>
          <w:p w14:paraId="7673D7C2" w14:textId="77777777" w:rsidR="00E51C06" w:rsidRPr="009B0643" w:rsidRDefault="00E51C06" w:rsidP="00E51C06">
            <w:pPr>
              <w:jc w:val="center"/>
              <w:rPr>
                <w:rFonts w:ascii="Arial Narrow" w:eastAsia="Times New Roman" w:hAnsi="Arial Narrow"/>
                <w:b/>
                <w:bCs/>
                <w:color w:val="FFFFFF"/>
                <w:sz w:val="22"/>
                <w:szCs w:val="22"/>
              </w:rPr>
            </w:pPr>
            <w:r w:rsidRPr="009B0643">
              <w:rPr>
                <w:rFonts w:ascii="Arial Narrow" w:eastAsia="Times New Roman" w:hAnsi="Arial Narrow"/>
                <w:b/>
                <w:bCs/>
                <w:color w:val="FFFFFF"/>
                <w:sz w:val="22"/>
                <w:szCs w:val="22"/>
              </w:rPr>
              <w:t>Referencia</w:t>
            </w:r>
          </w:p>
        </w:tc>
      </w:tr>
      <w:tr w:rsidR="00E51C06" w:rsidRPr="0091631A" w14:paraId="247724C2" w14:textId="77777777" w:rsidTr="0091631A">
        <w:trPr>
          <w:trHeight w:val="320"/>
        </w:trPr>
        <w:tc>
          <w:tcPr>
            <w:tcW w:w="1632" w:type="dxa"/>
            <w:gridSpan w:val="3"/>
            <w:vMerge/>
            <w:tcBorders>
              <w:top w:val="single" w:sz="8" w:space="0" w:color="auto"/>
              <w:left w:val="single" w:sz="8" w:space="0" w:color="auto"/>
              <w:bottom w:val="nil"/>
              <w:right w:val="single" w:sz="8" w:space="0" w:color="000000"/>
            </w:tcBorders>
            <w:vAlign w:val="center"/>
            <w:hideMark/>
          </w:tcPr>
          <w:p w14:paraId="259F76FF" w14:textId="77777777" w:rsidR="00E51C06" w:rsidRPr="009B0643" w:rsidRDefault="00E51C06" w:rsidP="00E51C06">
            <w:pPr>
              <w:rPr>
                <w:rFonts w:ascii="Arial Narrow" w:eastAsia="Times New Roman" w:hAnsi="Arial Narrow"/>
                <w:b/>
                <w:bCs/>
                <w:color w:val="FFFFFF"/>
                <w:sz w:val="22"/>
                <w:szCs w:val="22"/>
              </w:rPr>
            </w:pPr>
          </w:p>
        </w:tc>
        <w:tc>
          <w:tcPr>
            <w:tcW w:w="4052" w:type="dxa"/>
            <w:vMerge/>
            <w:tcBorders>
              <w:top w:val="single" w:sz="8" w:space="0" w:color="auto"/>
              <w:left w:val="single" w:sz="8" w:space="0" w:color="auto"/>
              <w:bottom w:val="nil"/>
              <w:right w:val="single" w:sz="8" w:space="0" w:color="auto"/>
            </w:tcBorders>
            <w:vAlign w:val="center"/>
            <w:hideMark/>
          </w:tcPr>
          <w:p w14:paraId="71A4CB55" w14:textId="77777777" w:rsidR="00E51C06" w:rsidRPr="009B0643" w:rsidRDefault="00E51C06" w:rsidP="00E51C06">
            <w:pPr>
              <w:rPr>
                <w:rFonts w:ascii="Arial Narrow" w:eastAsia="Times New Roman" w:hAnsi="Arial Narrow"/>
                <w:b/>
                <w:bCs/>
                <w:color w:val="FFFFFF"/>
                <w:sz w:val="22"/>
                <w:szCs w:val="22"/>
              </w:rPr>
            </w:pPr>
          </w:p>
        </w:tc>
        <w:tc>
          <w:tcPr>
            <w:tcW w:w="1418" w:type="dxa"/>
            <w:tcBorders>
              <w:top w:val="nil"/>
              <w:left w:val="nil"/>
              <w:bottom w:val="nil"/>
              <w:right w:val="single" w:sz="8" w:space="0" w:color="auto"/>
            </w:tcBorders>
            <w:shd w:val="clear" w:color="000000" w:fill="203764"/>
            <w:vAlign w:val="center"/>
            <w:hideMark/>
          </w:tcPr>
          <w:p w14:paraId="5A196CA5" w14:textId="77777777" w:rsidR="00E51C06" w:rsidRPr="009B0643" w:rsidRDefault="00E51C06" w:rsidP="00E51C06">
            <w:pPr>
              <w:jc w:val="center"/>
              <w:rPr>
                <w:rFonts w:ascii="Arial Narrow" w:eastAsia="Times New Roman" w:hAnsi="Arial Narrow"/>
                <w:b/>
                <w:bCs/>
                <w:color w:val="FFFFFF"/>
                <w:sz w:val="22"/>
                <w:szCs w:val="22"/>
              </w:rPr>
            </w:pPr>
            <w:r w:rsidRPr="009B0643">
              <w:rPr>
                <w:rFonts w:ascii="Arial Narrow" w:eastAsia="Times New Roman" w:hAnsi="Arial Narrow"/>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1C69DE05" w14:textId="1241406B" w:rsidR="00E51C06" w:rsidRPr="0091631A" w:rsidRDefault="0091631A" w:rsidP="00E51C06">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1D61BECC" w14:textId="77777777" w:rsidTr="0091631A">
        <w:trPr>
          <w:trHeight w:val="716"/>
        </w:trPr>
        <w:tc>
          <w:tcPr>
            <w:tcW w:w="5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C9F022" w14:textId="77777777" w:rsidR="00E51C06" w:rsidRPr="009B0643" w:rsidRDefault="00E51C06" w:rsidP="00E51C06">
            <w:pPr>
              <w:jc w:val="center"/>
              <w:rPr>
                <w:rFonts w:ascii="Arial Narrow" w:eastAsia="Times New Roman" w:hAnsi="Arial Narrow"/>
                <w:b/>
                <w:bCs/>
                <w:color w:val="000000"/>
                <w:sz w:val="22"/>
                <w:szCs w:val="22"/>
              </w:rPr>
            </w:pPr>
            <w:r w:rsidRPr="009B0643">
              <w:rPr>
                <w:rFonts w:ascii="Arial Narrow" w:eastAsia="Times New Roman" w:hAnsi="Arial Narrow"/>
                <w:b/>
                <w:bCs/>
                <w:color w:val="000000"/>
                <w:sz w:val="22"/>
                <w:szCs w:val="22"/>
                <w:lang w:val="es-CR"/>
              </w:rPr>
              <w:t>1</w:t>
            </w:r>
          </w:p>
        </w:tc>
        <w:tc>
          <w:tcPr>
            <w:tcW w:w="483" w:type="dxa"/>
            <w:tcBorders>
              <w:top w:val="single" w:sz="8" w:space="0" w:color="auto"/>
              <w:left w:val="nil"/>
              <w:bottom w:val="single" w:sz="8" w:space="0" w:color="auto"/>
              <w:right w:val="single" w:sz="8" w:space="0" w:color="auto"/>
            </w:tcBorders>
            <w:shd w:val="clear" w:color="auto" w:fill="auto"/>
            <w:noWrap/>
            <w:vAlign w:val="center"/>
            <w:hideMark/>
          </w:tcPr>
          <w:p w14:paraId="230E1109" w14:textId="77777777" w:rsidR="00E51C06" w:rsidRPr="009B0643" w:rsidRDefault="00E51C06" w:rsidP="00E51C06">
            <w:pPr>
              <w:jc w:val="center"/>
              <w:rPr>
                <w:rFonts w:ascii="Arial Narrow" w:eastAsia="Times New Roman" w:hAnsi="Arial Narrow"/>
                <w:b/>
                <w:bCs/>
                <w:color w:val="000000"/>
                <w:sz w:val="22"/>
                <w:szCs w:val="22"/>
              </w:rPr>
            </w:pPr>
            <w:r w:rsidRPr="009B0643">
              <w:rPr>
                <w:rFonts w:ascii="Arial Narrow" w:eastAsia="Times New Roman" w:hAnsi="Arial Narrow"/>
                <w:b/>
                <w:bCs/>
                <w:color w:val="000000"/>
                <w:sz w:val="22"/>
                <w:szCs w:val="22"/>
              </w:rPr>
              <w:t>92</w:t>
            </w:r>
          </w:p>
        </w:tc>
        <w:tc>
          <w:tcPr>
            <w:tcW w:w="561" w:type="dxa"/>
            <w:tcBorders>
              <w:top w:val="single" w:sz="8" w:space="0" w:color="auto"/>
              <w:left w:val="nil"/>
              <w:bottom w:val="single" w:sz="8" w:space="0" w:color="auto"/>
              <w:right w:val="single" w:sz="8" w:space="0" w:color="auto"/>
            </w:tcBorders>
            <w:shd w:val="clear" w:color="auto" w:fill="auto"/>
            <w:vAlign w:val="center"/>
            <w:hideMark/>
          </w:tcPr>
          <w:p w14:paraId="6DB04116" w14:textId="1F256D73" w:rsidR="00E51C06" w:rsidRPr="009B0643" w:rsidRDefault="00E51C06" w:rsidP="00E51C06">
            <w:pPr>
              <w:jc w:val="center"/>
              <w:rPr>
                <w:rFonts w:ascii="Arial Narrow" w:eastAsia="Times New Roman" w:hAnsi="Arial Narrow"/>
                <w:b/>
                <w:bCs/>
                <w:color w:val="000000"/>
                <w:sz w:val="22"/>
                <w:szCs w:val="22"/>
              </w:rPr>
            </w:pPr>
            <w:r w:rsidRPr="009B0643">
              <w:rPr>
                <w:rFonts w:ascii="Arial Narrow" w:eastAsia="Times New Roman" w:hAnsi="Arial Narrow"/>
                <w:b/>
                <w:bCs/>
                <w:color w:val="000000"/>
                <w:sz w:val="22"/>
                <w:szCs w:val="22"/>
              </w:rPr>
              <w:t xml:space="preserve"> </w:t>
            </w:r>
          </w:p>
        </w:tc>
        <w:tc>
          <w:tcPr>
            <w:tcW w:w="4052" w:type="dxa"/>
            <w:tcBorders>
              <w:top w:val="single" w:sz="8" w:space="0" w:color="auto"/>
              <w:left w:val="nil"/>
              <w:bottom w:val="single" w:sz="8" w:space="0" w:color="auto"/>
              <w:right w:val="nil"/>
            </w:tcBorders>
            <w:shd w:val="clear" w:color="auto" w:fill="auto"/>
            <w:vAlign w:val="center"/>
            <w:hideMark/>
          </w:tcPr>
          <w:p w14:paraId="1DBDD963" w14:textId="77777777" w:rsidR="00E51C06" w:rsidRPr="009B0643" w:rsidRDefault="00E51C06" w:rsidP="00AE7EA8">
            <w:pPr>
              <w:ind w:left="1" w:hanging="1"/>
              <w:jc w:val="both"/>
              <w:rPr>
                <w:rFonts w:ascii="Arial Narrow" w:eastAsia="Times New Roman" w:hAnsi="Arial Narrow"/>
                <w:b/>
                <w:bCs/>
                <w:color w:val="000000"/>
                <w:sz w:val="22"/>
                <w:szCs w:val="22"/>
              </w:rPr>
            </w:pPr>
            <w:r w:rsidRPr="009B0643">
              <w:rPr>
                <w:rFonts w:ascii="Arial Narrow" w:eastAsia="Times New Roman" w:hAnsi="Arial Narrow"/>
                <w:b/>
                <w:bCs/>
                <w:color w:val="000000"/>
                <w:sz w:val="22"/>
                <w:szCs w:val="22"/>
                <w:lang w:val="es-CR"/>
              </w:rPr>
              <w:t>Clase de bienes</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497020" w14:textId="77777777" w:rsidR="00E51C06" w:rsidRPr="009B0643" w:rsidRDefault="00E51C06" w:rsidP="00E51C06">
            <w:pPr>
              <w:jc w:val="center"/>
              <w:rPr>
                <w:rFonts w:ascii="Arial Narrow" w:eastAsia="Times New Roman" w:hAnsi="Arial Narrow"/>
                <w:b/>
                <w:bCs/>
                <w:color w:val="000000"/>
                <w:sz w:val="22"/>
                <w:szCs w:val="22"/>
              </w:rPr>
            </w:pPr>
            <w:r w:rsidRPr="009B0643">
              <w:rPr>
                <w:rFonts w:ascii="Arial Narrow" w:eastAsia="Times New Roman" w:hAnsi="Arial Narrow"/>
                <w:b/>
                <w:bCs/>
                <w:color w:val="000000"/>
                <w:sz w:val="22"/>
                <w:szCs w:val="22"/>
                <w:lang w:val="es-CR"/>
              </w:rPr>
              <w:t>DGCN</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775F4833" w14:textId="4717559A" w:rsidR="00E51C06" w:rsidRPr="009B0643" w:rsidRDefault="000236D5" w:rsidP="000236D5">
            <w:pPr>
              <w:ind w:left="1" w:hanging="1"/>
              <w:jc w:val="both"/>
              <w:rPr>
                <w:rFonts w:ascii="Arial Narrow" w:eastAsia="Times New Roman" w:hAnsi="Arial Narrow"/>
                <w:b/>
                <w:bCs/>
                <w:color w:val="000000"/>
                <w:sz w:val="22"/>
                <w:szCs w:val="22"/>
                <w:lang w:val="es-CR"/>
              </w:rPr>
            </w:pPr>
            <w:r w:rsidRPr="009B0643">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9B0643">
              <w:rPr>
                <w:rFonts w:ascii="Arial Narrow" w:eastAsia="Times New Roman" w:hAnsi="Arial Narrow"/>
                <w:b/>
                <w:bCs/>
                <w:color w:val="000000"/>
                <w:sz w:val="22"/>
                <w:szCs w:val="22"/>
                <w:lang w:val="es-CR"/>
              </w:rPr>
              <w:t>.</w:t>
            </w:r>
          </w:p>
        </w:tc>
      </w:tr>
    </w:tbl>
    <w:p w14:paraId="780B331B" w14:textId="77777777" w:rsidR="007377D0" w:rsidRPr="00F02F9D" w:rsidRDefault="007377D0">
      <w:pPr>
        <w:spacing w:line="17" w:lineRule="exact"/>
        <w:rPr>
          <w:rFonts w:ascii="Arial" w:eastAsia="Times New Roman" w:hAnsi="Arial"/>
          <w:sz w:val="22"/>
          <w:szCs w:val="22"/>
          <w:lang w:val="es-CR"/>
        </w:rPr>
      </w:pPr>
    </w:p>
    <w:p w14:paraId="172692E3" w14:textId="77777777" w:rsidR="00543B17" w:rsidRDefault="00543B17" w:rsidP="00543B17">
      <w:pPr>
        <w:spacing w:line="264" w:lineRule="auto"/>
        <w:ind w:left="1134" w:right="260" w:hanging="1134"/>
        <w:jc w:val="both"/>
        <w:rPr>
          <w:rFonts w:ascii="Arial" w:eastAsia="Arial" w:hAnsi="Arial"/>
          <w:b/>
          <w:sz w:val="22"/>
          <w:szCs w:val="22"/>
          <w:lang w:val="es-CR"/>
        </w:rPr>
      </w:pPr>
    </w:p>
    <w:p w14:paraId="3D8C0964" w14:textId="4051255C" w:rsidR="00FA2715" w:rsidRPr="0030399E" w:rsidRDefault="00FA2715" w:rsidP="00543B17">
      <w:pPr>
        <w:spacing w:line="264" w:lineRule="auto"/>
        <w:ind w:left="1134" w:right="260" w:hanging="1134"/>
        <w:jc w:val="both"/>
        <w:rPr>
          <w:rFonts w:ascii="Arial" w:eastAsia="Arial" w:hAnsi="Arial"/>
          <w:b/>
          <w:sz w:val="22"/>
          <w:szCs w:val="22"/>
          <w:lang w:val="es-CR"/>
        </w:rPr>
      </w:pPr>
      <w:r w:rsidRPr="0030399E">
        <w:rPr>
          <w:rFonts w:ascii="Arial" w:eastAsia="Arial" w:hAnsi="Arial"/>
          <w:b/>
          <w:sz w:val="22"/>
          <w:szCs w:val="22"/>
          <w:lang w:val="es-CR"/>
        </w:rPr>
        <w:t>Políticas Contables</w:t>
      </w:r>
    </w:p>
    <w:p w14:paraId="680EE1C3" w14:textId="77777777" w:rsidR="00FA2715" w:rsidRPr="00F02F9D" w:rsidRDefault="00FA2715" w:rsidP="00543B17">
      <w:pPr>
        <w:spacing w:line="264" w:lineRule="auto"/>
        <w:ind w:left="1134" w:right="260" w:hanging="1134"/>
        <w:jc w:val="both"/>
        <w:rPr>
          <w:rFonts w:ascii="Arial" w:eastAsia="Arial" w:hAnsi="Arial"/>
          <w:b/>
          <w:sz w:val="22"/>
          <w:szCs w:val="22"/>
          <w:lang w:val="es-CR"/>
        </w:rPr>
      </w:pPr>
    </w:p>
    <w:p w14:paraId="746F9FF8" w14:textId="77777777" w:rsidR="00543B17" w:rsidRDefault="00543B17" w:rsidP="00DB0DDE">
      <w:pPr>
        <w:spacing w:line="264"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lastRenderedPageBreak/>
        <w:t>1.92.0.01</w:t>
      </w:r>
      <w:r w:rsidRPr="00F02F9D">
        <w:rPr>
          <w:rFonts w:ascii="Arial" w:eastAsia="Arial" w:hAnsi="Arial"/>
          <w:bCs/>
          <w:sz w:val="22"/>
          <w:szCs w:val="22"/>
          <w:lang w:val="es-CR"/>
        </w:rPr>
        <w:tab/>
      </w:r>
      <w:r w:rsidR="008A4688" w:rsidRPr="00F02F9D">
        <w:rPr>
          <w:rFonts w:ascii="Arial" w:eastAsia="Arial" w:hAnsi="Arial"/>
          <w:bCs/>
          <w:sz w:val="22"/>
          <w:szCs w:val="22"/>
          <w:lang w:val="es-CR"/>
        </w:rPr>
        <w:t>L</w:t>
      </w:r>
      <w:r w:rsidR="00D3738F" w:rsidRPr="00F02F9D">
        <w:rPr>
          <w:rFonts w:ascii="Arial" w:eastAsia="Arial" w:hAnsi="Arial"/>
          <w:bCs/>
          <w:sz w:val="22"/>
          <w:szCs w:val="22"/>
          <w:lang w:val="es-CR"/>
        </w:rPr>
        <w:t>os bienes de Propiedad, Planta y Equipo se clasifican dos</w:t>
      </w:r>
      <w:r w:rsidR="008A4688" w:rsidRPr="00F02F9D">
        <w:rPr>
          <w:rFonts w:ascii="Arial" w:eastAsia="Arial" w:hAnsi="Arial"/>
          <w:bCs/>
          <w:sz w:val="22"/>
          <w:szCs w:val="22"/>
          <w:lang w:val="es-CR"/>
        </w:rPr>
        <w:t xml:space="preserve"> grupo</w:t>
      </w:r>
      <w:r w:rsidR="00D3738F" w:rsidRPr="00F02F9D">
        <w:rPr>
          <w:rFonts w:ascii="Arial" w:eastAsia="Arial" w:hAnsi="Arial"/>
          <w:bCs/>
          <w:sz w:val="22"/>
          <w:szCs w:val="22"/>
          <w:lang w:val="es-CR"/>
        </w:rPr>
        <w:t>s</w:t>
      </w:r>
      <w:r w:rsidR="008A4688" w:rsidRPr="00F02F9D">
        <w:rPr>
          <w:rFonts w:ascii="Arial" w:eastAsia="Arial" w:hAnsi="Arial"/>
          <w:bCs/>
          <w:sz w:val="22"/>
          <w:szCs w:val="22"/>
          <w:lang w:val="es-CR"/>
        </w:rPr>
        <w:t xml:space="preserve"> de bienes de naturaleza o función similar en las operaciones de la Institución</w:t>
      </w:r>
      <w:r w:rsidRPr="00F02F9D">
        <w:rPr>
          <w:rFonts w:ascii="Arial" w:eastAsia="Arial" w:hAnsi="Arial"/>
          <w:bCs/>
          <w:sz w:val="22"/>
          <w:szCs w:val="22"/>
          <w:lang w:val="es-CR"/>
        </w:rPr>
        <w:t>,</w:t>
      </w:r>
      <w:r w:rsidR="008A4688" w:rsidRPr="00F02F9D">
        <w:rPr>
          <w:rFonts w:ascii="Arial" w:eastAsia="Arial" w:hAnsi="Arial"/>
          <w:bCs/>
          <w:sz w:val="22"/>
          <w:szCs w:val="22"/>
          <w:lang w:val="es-CR"/>
        </w:rPr>
        <w:t xml:space="preserve"> que se </w:t>
      </w:r>
      <w:r w:rsidR="00D3738F" w:rsidRPr="00F02F9D">
        <w:rPr>
          <w:rFonts w:ascii="Arial" w:eastAsia="Arial" w:hAnsi="Arial"/>
          <w:bCs/>
          <w:sz w:val="22"/>
          <w:szCs w:val="22"/>
          <w:lang w:val="es-CR"/>
        </w:rPr>
        <w:t>presentan</w:t>
      </w:r>
      <w:r w:rsidR="008A4688" w:rsidRPr="00F02F9D">
        <w:rPr>
          <w:rFonts w:ascii="Arial" w:eastAsia="Arial" w:hAnsi="Arial"/>
          <w:bCs/>
          <w:sz w:val="22"/>
          <w:szCs w:val="22"/>
          <w:lang w:val="es-CR"/>
        </w:rPr>
        <w:t xml:space="preserve"> como partidas separadas </w:t>
      </w:r>
      <w:r w:rsidR="00D3738F" w:rsidRPr="00F02F9D">
        <w:rPr>
          <w:rFonts w:ascii="Arial" w:eastAsia="Arial" w:hAnsi="Arial"/>
          <w:bCs/>
          <w:sz w:val="22"/>
          <w:szCs w:val="22"/>
          <w:lang w:val="es-CR"/>
        </w:rPr>
        <w:t>en los Estados Financieros y en las revelaciones</w:t>
      </w:r>
      <w:r w:rsidR="008A4688" w:rsidRPr="00F02F9D">
        <w:rPr>
          <w:rFonts w:ascii="Arial" w:eastAsia="Arial" w:hAnsi="Arial"/>
          <w:bCs/>
          <w:sz w:val="22"/>
          <w:szCs w:val="22"/>
          <w:lang w:val="es-CR"/>
        </w:rPr>
        <w:t xml:space="preserve"> </w:t>
      </w:r>
      <w:r w:rsidR="00D3738F" w:rsidRPr="00F02F9D">
        <w:rPr>
          <w:rFonts w:ascii="Arial" w:eastAsia="Arial" w:hAnsi="Arial"/>
          <w:bCs/>
          <w:sz w:val="22"/>
          <w:szCs w:val="22"/>
          <w:lang w:val="es-CR"/>
        </w:rPr>
        <w:t>d</w:t>
      </w:r>
      <w:r w:rsidR="008A4688" w:rsidRPr="00F02F9D">
        <w:rPr>
          <w:rFonts w:ascii="Arial" w:eastAsia="Arial" w:hAnsi="Arial"/>
          <w:bCs/>
          <w:sz w:val="22"/>
          <w:szCs w:val="22"/>
          <w:lang w:val="es-CR"/>
        </w:rPr>
        <w:t>e los EEFF</w:t>
      </w:r>
      <w:r w:rsidRPr="00F02F9D">
        <w:rPr>
          <w:rFonts w:ascii="Arial" w:eastAsia="Arial" w:hAnsi="Arial"/>
          <w:bCs/>
          <w:sz w:val="22"/>
          <w:szCs w:val="22"/>
          <w:lang w:val="es-CR"/>
        </w:rPr>
        <w:t>. Estas a</w:t>
      </w:r>
      <w:r w:rsidR="008A4688" w:rsidRPr="00F02F9D">
        <w:rPr>
          <w:rFonts w:ascii="Arial" w:eastAsia="Arial" w:hAnsi="Arial"/>
          <w:bCs/>
          <w:sz w:val="22"/>
          <w:szCs w:val="22"/>
          <w:lang w:val="es-CR"/>
        </w:rPr>
        <w:t>grupa</w:t>
      </w:r>
      <w:r w:rsidRPr="00F02F9D">
        <w:rPr>
          <w:rFonts w:ascii="Arial" w:eastAsia="Arial" w:hAnsi="Arial"/>
          <w:bCs/>
          <w:sz w:val="22"/>
          <w:szCs w:val="22"/>
          <w:lang w:val="es-CR"/>
        </w:rPr>
        <w:t>cio</w:t>
      </w:r>
      <w:r w:rsidR="008A4688" w:rsidRPr="00F02F9D">
        <w:rPr>
          <w:rFonts w:ascii="Arial" w:eastAsia="Arial" w:hAnsi="Arial"/>
          <w:bCs/>
          <w:sz w:val="22"/>
          <w:szCs w:val="22"/>
          <w:lang w:val="es-CR"/>
        </w:rPr>
        <w:t>n</w:t>
      </w:r>
      <w:r w:rsidRPr="00F02F9D">
        <w:rPr>
          <w:rFonts w:ascii="Arial" w:eastAsia="Arial" w:hAnsi="Arial"/>
          <w:bCs/>
          <w:sz w:val="22"/>
          <w:szCs w:val="22"/>
          <w:lang w:val="es-CR"/>
        </w:rPr>
        <w:t>es son b</w:t>
      </w:r>
      <w:r w:rsidR="008A4688" w:rsidRPr="00F02F9D">
        <w:rPr>
          <w:rFonts w:ascii="Arial" w:eastAsia="Arial" w:hAnsi="Arial"/>
          <w:bCs/>
          <w:sz w:val="22"/>
          <w:szCs w:val="22"/>
          <w:lang w:val="es-CR"/>
        </w:rPr>
        <w:t xml:space="preserve">ienes no concesionados y </w:t>
      </w:r>
      <w:r w:rsidRPr="00F02F9D">
        <w:rPr>
          <w:rFonts w:ascii="Arial" w:eastAsia="Arial" w:hAnsi="Arial"/>
          <w:bCs/>
          <w:sz w:val="22"/>
          <w:szCs w:val="22"/>
          <w:lang w:val="es-CR"/>
        </w:rPr>
        <w:t xml:space="preserve">bienes </w:t>
      </w:r>
      <w:r w:rsidR="008A4688" w:rsidRPr="00F02F9D">
        <w:rPr>
          <w:rFonts w:ascii="Arial" w:eastAsia="Arial" w:hAnsi="Arial"/>
          <w:bCs/>
          <w:sz w:val="22"/>
          <w:szCs w:val="22"/>
          <w:lang w:val="es-CR"/>
        </w:rPr>
        <w:t>concesionados</w:t>
      </w:r>
      <w:r w:rsidRPr="00F02F9D">
        <w:rPr>
          <w:rFonts w:ascii="Arial" w:eastAsia="Arial" w:hAnsi="Arial"/>
          <w:bCs/>
          <w:sz w:val="22"/>
          <w:szCs w:val="22"/>
          <w:lang w:val="es-CR"/>
        </w:rPr>
        <w:t>.</w:t>
      </w:r>
    </w:p>
    <w:p w14:paraId="7BBE3221" w14:textId="77777777" w:rsidR="00DB0DDE" w:rsidRPr="00F02F9D" w:rsidRDefault="00DB0DDE" w:rsidP="00DB0DDE">
      <w:pPr>
        <w:spacing w:line="264" w:lineRule="auto"/>
        <w:ind w:left="993" w:right="260" w:hanging="993"/>
        <w:jc w:val="both"/>
        <w:rPr>
          <w:rFonts w:ascii="Arial" w:eastAsia="Arial" w:hAnsi="Arial"/>
          <w:bCs/>
          <w:sz w:val="22"/>
          <w:szCs w:val="22"/>
          <w:lang w:val="es-CR"/>
        </w:rPr>
      </w:pPr>
    </w:p>
    <w:p w14:paraId="120895B8" w14:textId="51468A3A" w:rsidR="007377D0" w:rsidRPr="00F02F9D" w:rsidRDefault="00543B17" w:rsidP="00DB0DDE">
      <w:pPr>
        <w:spacing w:line="264"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1.92.0.02</w:t>
      </w:r>
      <w:r w:rsidRPr="00F02F9D">
        <w:rPr>
          <w:rFonts w:ascii="Arial" w:eastAsia="Arial" w:hAnsi="Arial"/>
          <w:bCs/>
          <w:sz w:val="22"/>
          <w:szCs w:val="22"/>
          <w:lang w:val="es-CR"/>
        </w:rPr>
        <w:tab/>
      </w:r>
      <w:r w:rsidR="008A4688" w:rsidRPr="00F02F9D">
        <w:rPr>
          <w:rFonts w:ascii="Arial" w:eastAsia="Arial" w:hAnsi="Arial"/>
          <w:bCs/>
          <w:sz w:val="22"/>
          <w:szCs w:val="22"/>
          <w:lang w:val="es-CR"/>
        </w:rPr>
        <w:t xml:space="preserve">Los Bienes no Concesionados se clasifican en las siguientes </w:t>
      </w:r>
      <w:r w:rsidRPr="00F02F9D">
        <w:rPr>
          <w:rFonts w:ascii="Arial" w:eastAsia="Arial" w:hAnsi="Arial"/>
          <w:bCs/>
          <w:sz w:val="22"/>
          <w:szCs w:val="22"/>
          <w:lang w:val="es-CR"/>
        </w:rPr>
        <w:t>clases</w:t>
      </w:r>
      <w:r w:rsidR="008A4688" w:rsidRPr="00F02F9D">
        <w:rPr>
          <w:rFonts w:ascii="Arial" w:eastAsia="Arial" w:hAnsi="Arial"/>
          <w:bCs/>
          <w:sz w:val="22"/>
          <w:szCs w:val="22"/>
          <w:lang w:val="es-CR"/>
        </w:rPr>
        <w:t xml:space="preserve"> por cuentas del mayor:</w:t>
      </w:r>
    </w:p>
    <w:p w14:paraId="18B3139B" w14:textId="77777777" w:rsidR="00E51C06" w:rsidRPr="00F02F9D" w:rsidRDefault="00E51C06" w:rsidP="00E51C06">
      <w:pPr>
        <w:spacing w:line="236" w:lineRule="auto"/>
        <w:ind w:right="260"/>
        <w:jc w:val="both"/>
        <w:rPr>
          <w:rFonts w:ascii="Arial" w:eastAsia="Arial" w:hAnsi="Arial"/>
          <w:bCs/>
          <w:sz w:val="22"/>
          <w:szCs w:val="22"/>
          <w:lang w:val="es-CR"/>
        </w:rPr>
      </w:pPr>
    </w:p>
    <w:p w14:paraId="166DED82" w14:textId="55B0FA06" w:rsidR="00E51C06" w:rsidRPr="00F02F9D" w:rsidRDefault="00E51C06">
      <w:pPr>
        <w:pStyle w:val="Prrafodelista"/>
        <w:numPr>
          <w:ilvl w:val="0"/>
          <w:numId w:val="19"/>
        </w:numPr>
        <w:spacing w:after="120"/>
        <w:ind w:left="1276" w:right="260" w:hanging="283"/>
        <w:contextualSpacing w:val="0"/>
        <w:jc w:val="both"/>
        <w:rPr>
          <w:rFonts w:ascii="Arial" w:eastAsia="Arial" w:hAnsi="Arial"/>
          <w:bCs/>
          <w:sz w:val="22"/>
          <w:szCs w:val="22"/>
          <w:lang w:val="es-CR"/>
        </w:rPr>
      </w:pPr>
      <w:r w:rsidRPr="00F02F9D">
        <w:rPr>
          <w:rFonts w:ascii="Arial" w:eastAsia="Arial" w:hAnsi="Arial"/>
          <w:bCs/>
          <w:sz w:val="22"/>
          <w:szCs w:val="22"/>
          <w:lang w:val="es-CR"/>
        </w:rPr>
        <w:t>Propiedad, Planta y Equipos explotados</w:t>
      </w:r>
      <w:r w:rsidR="00D3738F" w:rsidRPr="00F02F9D">
        <w:rPr>
          <w:rFonts w:ascii="Arial" w:eastAsia="Arial" w:hAnsi="Arial"/>
          <w:bCs/>
          <w:sz w:val="22"/>
          <w:szCs w:val="22"/>
          <w:lang w:val="es-CR"/>
        </w:rPr>
        <w:t>:</w:t>
      </w:r>
    </w:p>
    <w:tbl>
      <w:tblPr>
        <w:tblW w:w="9067" w:type="dxa"/>
        <w:tblInd w:w="108" w:type="dxa"/>
        <w:tblLook w:val="04A0" w:firstRow="1" w:lastRow="0" w:firstColumn="1" w:lastColumn="0" w:noHBand="0" w:noVBand="1"/>
      </w:tblPr>
      <w:tblGrid>
        <w:gridCol w:w="9067"/>
      </w:tblGrid>
      <w:tr w:rsidR="00D3738F" w:rsidRPr="00D3738F" w14:paraId="3045C667" w14:textId="77777777" w:rsidTr="00377BF9">
        <w:trPr>
          <w:trHeight w:val="300"/>
        </w:trPr>
        <w:tc>
          <w:tcPr>
            <w:tcW w:w="9067" w:type="dxa"/>
            <w:shd w:val="clear" w:color="000000" w:fill="FFFFFF"/>
            <w:vAlign w:val="center"/>
            <w:hideMark/>
          </w:tcPr>
          <w:p w14:paraId="6451C6D5" w14:textId="30EF6877"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Terrenos</w:t>
            </w:r>
          </w:p>
        </w:tc>
      </w:tr>
      <w:tr w:rsidR="00D3738F" w:rsidRPr="00D3738F" w14:paraId="47107FDA" w14:textId="77777777" w:rsidTr="00377BF9">
        <w:trPr>
          <w:trHeight w:val="300"/>
        </w:trPr>
        <w:tc>
          <w:tcPr>
            <w:tcW w:w="9067" w:type="dxa"/>
            <w:shd w:val="clear" w:color="000000" w:fill="FFFFFF"/>
            <w:vAlign w:val="center"/>
            <w:hideMark/>
          </w:tcPr>
          <w:p w14:paraId="7FD91BE8" w14:textId="2AA94209"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Edificios</w:t>
            </w:r>
          </w:p>
        </w:tc>
      </w:tr>
      <w:tr w:rsidR="00D3738F" w:rsidRPr="006E5442" w14:paraId="16FFB3EB" w14:textId="77777777" w:rsidTr="00377BF9">
        <w:trPr>
          <w:trHeight w:val="300"/>
        </w:trPr>
        <w:tc>
          <w:tcPr>
            <w:tcW w:w="9067" w:type="dxa"/>
            <w:shd w:val="clear" w:color="000000" w:fill="FFFFFF"/>
            <w:vAlign w:val="center"/>
          </w:tcPr>
          <w:p w14:paraId="3DE50BBA" w14:textId="234E7DDD"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Maquinaria y Equipo de Construcción</w:t>
            </w:r>
          </w:p>
        </w:tc>
      </w:tr>
      <w:tr w:rsidR="00D3738F" w:rsidRPr="00F02F9D" w14:paraId="49D26BEA" w14:textId="77777777" w:rsidTr="00377BF9">
        <w:trPr>
          <w:trHeight w:val="300"/>
        </w:trPr>
        <w:tc>
          <w:tcPr>
            <w:tcW w:w="9067" w:type="dxa"/>
            <w:shd w:val="clear" w:color="000000" w:fill="FFFFFF"/>
            <w:vAlign w:val="center"/>
          </w:tcPr>
          <w:p w14:paraId="717FAB10" w14:textId="153F3A8A"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Equipo de Medición</w:t>
            </w:r>
          </w:p>
        </w:tc>
      </w:tr>
      <w:tr w:rsidR="00D3738F" w:rsidRPr="00D3738F" w14:paraId="783165BF" w14:textId="77777777" w:rsidTr="00377BF9">
        <w:trPr>
          <w:trHeight w:val="300"/>
        </w:trPr>
        <w:tc>
          <w:tcPr>
            <w:tcW w:w="9067" w:type="dxa"/>
            <w:shd w:val="clear" w:color="000000" w:fill="FFFFFF"/>
            <w:vAlign w:val="center"/>
            <w:hideMark/>
          </w:tcPr>
          <w:p w14:paraId="5F05AFAD" w14:textId="2B47E600" w:rsidR="00D3738F" w:rsidRPr="00F02F9D" w:rsidRDefault="000F29DC">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B</w:t>
            </w:r>
            <w:r w:rsidR="005907B3">
              <w:rPr>
                <w:rFonts w:ascii="Arial" w:eastAsia="Times New Roman" w:hAnsi="Arial"/>
                <w:bCs/>
                <w:sz w:val="22"/>
                <w:szCs w:val="22"/>
              </w:rPr>
              <w:t>o</w:t>
            </w:r>
            <w:r>
              <w:rPr>
                <w:rFonts w:ascii="Arial" w:eastAsia="Times New Roman" w:hAnsi="Arial"/>
                <w:bCs/>
                <w:sz w:val="22"/>
                <w:szCs w:val="22"/>
              </w:rPr>
              <w:t>mba</w:t>
            </w:r>
            <w:r w:rsidRPr="00F02F9D">
              <w:rPr>
                <w:rFonts w:ascii="Arial" w:eastAsia="Times New Roman" w:hAnsi="Arial"/>
                <w:bCs/>
                <w:sz w:val="22"/>
                <w:szCs w:val="22"/>
              </w:rPr>
              <w:t>s</w:t>
            </w:r>
          </w:p>
        </w:tc>
      </w:tr>
      <w:tr w:rsidR="00D3738F" w:rsidRPr="00D3738F" w14:paraId="58638088" w14:textId="77777777" w:rsidTr="00377BF9">
        <w:trPr>
          <w:trHeight w:val="300"/>
        </w:trPr>
        <w:tc>
          <w:tcPr>
            <w:tcW w:w="9067" w:type="dxa"/>
            <w:shd w:val="clear" w:color="000000" w:fill="FFFFFF"/>
            <w:vAlign w:val="center"/>
            <w:hideMark/>
          </w:tcPr>
          <w:p w14:paraId="1A1951CA" w14:textId="0CE86D9D"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Equipo Hidráulico</w:t>
            </w:r>
          </w:p>
        </w:tc>
      </w:tr>
      <w:tr w:rsidR="00D3738F" w:rsidRPr="00D3738F" w14:paraId="48A45A8A" w14:textId="77777777" w:rsidTr="00377BF9">
        <w:trPr>
          <w:trHeight w:val="300"/>
        </w:trPr>
        <w:tc>
          <w:tcPr>
            <w:tcW w:w="9067" w:type="dxa"/>
            <w:shd w:val="clear" w:color="000000" w:fill="FFFFFF"/>
            <w:vAlign w:val="center"/>
            <w:hideMark/>
          </w:tcPr>
          <w:p w14:paraId="1225A129" w14:textId="600EEF44"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Plantas Eléctricas</w:t>
            </w:r>
          </w:p>
        </w:tc>
      </w:tr>
      <w:tr w:rsidR="00D3738F" w:rsidRPr="00D3738F" w14:paraId="20B28AFC" w14:textId="77777777" w:rsidTr="00377BF9">
        <w:trPr>
          <w:trHeight w:val="300"/>
        </w:trPr>
        <w:tc>
          <w:tcPr>
            <w:tcW w:w="9067" w:type="dxa"/>
            <w:shd w:val="clear" w:color="000000" w:fill="FFFFFF"/>
            <w:vAlign w:val="center"/>
            <w:hideMark/>
          </w:tcPr>
          <w:p w14:paraId="031A3D69" w14:textId="77777777"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 xml:space="preserve">Otra Maquinaria y Equipo </w:t>
            </w:r>
          </w:p>
        </w:tc>
      </w:tr>
      <w:tr w:rsidR="00D3738F" w:rsidRPr="00D3738F" w14:paraId="77BE41EB" w14:textId="77777777" w:rsidTr="00377BF9">
        <w:trPr>
          <w:trHeight w:val="300"/>
        </w:trPr>
        <w:tc>
          <w:tcPr>
            <w:tcW w:w="9067" w:type="dxa"/>
            <w:shd w:val="clear" w:color="000000" w:fill="FFFFFF"/>
            <w:vAlign w:val="center"/>
            <w:hideMark/>
          </w:tcPr>
          <w:p w14:paraId="64324642" w14:textId="5EE3B41C"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Motos</w:t>
            </w:r>
          </w:p>
        </w:tc>
      </w:tr>
      <w:tr w:rsidR="00D3738F" w:rsidRPr="00D3738F" w14:paraId="199146CB" w14:textId="77777777" w:rsidTr="00377BF9">
        <w:trPr>
          <w:trHeight w:val="300"/>
        </w:trPr>
        <w:tc>
          <w:tcPr>
            <w:tcW w:w="9067" w:type="dxa"/>
            <w:shd w:val="clear" w:color="000000" w:fill="FFFFFF"/>
            <w:vAlign w:val="center"/>
            <w:hideMark/>
          </w:tcPr>
          <w:p w14:paraId="58F3BC72" w14:textId="2B24A3CE"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Vehículos</w:t>
            </w:r>
          </w:p>
        </w:tc>
      </w:tr>
      <w:tr w:rsidR="00D3738F" w:rsidRPr="00D3738F" w14:paraId="7275C312" w14:textId="77777777" w:rsidTr="00377BF9">
        <w:trPr>
          <w:trHeight w:val="300"/>
        </w:trPr>
        <w:tc>
          <w:tcPr>
            <w:tcW w:w="9067" w:type="dxa"/>
            <w:shd w:val="clear" w:color="000000" w:fill="FFFFFF"/>
            <w:vAlign w:val="center"/>
            <w:hideMark/>
          </w:tcPr>
          <w:p w14:paraId="7555AA5E" w14:textId="42397047"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Otros equipos de transporte</w:t>
            </w:r>
          </w:p>
        </w:tc>
      </w:tr>
      <w:tr w:rsidR="00D3738F" w:rsidRPr="00D3738F" w14:paraId="0C21448A" w14:textId="77777777" w:rsidTr="00377BF9">
        <w:trPr>
          <w:trHeight w:val="300"/>
        </w:trPr>
        <w:tc>
          <w:tcPr>
            <w:tcW w:w="9067" w:type="dxa"/>
            <w:shd w:val="clear" w:color="000000" w:fill="FFFFFF"/>
            <w:vAlign w:val="center"/>
            <w:hideMark/>
          </w:tcPr>
          <w:p w14:paraId="2AC96B2C" w14:textId="19F6CC5D"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Equipo de Comunicación</w:t>
            </w:r>
          </w:p>
        </w:tc>
      </w:tr>
      <w:tr w:rsidR="00D3738F" w:rsidRPr="00D3738F" w14:paraId="3BF9F379" w14:textId="77777777" w:rsidTr="00377BF9">
        <w:trPr>
          <w:trHeight w:val="300"/>
        </w:trPr>
        <w:tc>
          <w:tcPr>
            <w:tcW w:w="9067" w:type="dxa"/>
            <w:shd w:val="clear" w:color="000000" w:fill="FFFFFF"/>
            <w:vAlign w:val="center"/>
            <w:hideMark/>
          </w:tcPr>
          <w:p w14:paraId="734F1588" w14:textId="2B732566"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Equipo Telefónico</w:t>
            </w:r>
          </w:p>
        </w:tc>
      </w:tr>
      <w:tr w:rsidR="00D3738F" w:rsidRPr="006E5442" w14:paraId="7BE51750" w14:textId="77777777" w:rsidTr="00377BF9">
        <w:trPr>
          <w:trHeight w:val="300"/>
        </w:trPr>
        <w:tc>
          <w:tcPr>
            <w:tcW w:w="9067" w:type="dxa"/>
            <w:shd w:val="clear" w:color="000000" w:fill="FFFFFF"/>
            <w:vAlign w:val="center"/>
            <w:hideMark/>
          </w:tcPr>
          <w:p w14:paraId="7EFE468A" w14:textId="0C4E08EB"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Equipo de Audio y Video</w:t>
            </w:r>
          </w:p>
        </w:tc>
      </w:tr>
      <w:tr w:rsidR="00D3738F" w:rsidRPr="00D3738F" w14:paraId="385F93CC" w14:textId="77777777" w:rsidTr="00377BF9">
        <w:trPr>
          <w:trHeight w:val="300"/>
        </w:trPr>
        <w:tc>
          <w:tcPr>
            <w:tcW w:w="9067" w:type="dxa"/>
            <w:shd w:val="clear" w:color="000000" w:fill="FFFFFF"/>
            <w:vAlign w:val="center"/>
            <w:hideMark/>
          </w:tcPr>
          <w:p w14:paraId="1EBC4995" w14:textId="287BEC11"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Otros equipos de comunicación</w:t>
            </w:r>
          </w:p>
        </w:tc>
      </w:tr>
      <w:tr w:rsidR="00D3738F" w:rsidRPr="00D3738F" w14:paraId="6CB51713" w14:textId="77777777" w:rsidTr="00377BF9">
        <w:trPr>
          <w:trHeight w:val="300"/>
        </w:trPr>
        <w:tc>
          <w:tcPr>
            <w:tcW w:w="9067" w:type="dxa"/>
            <w:shd w:val="clear" w:color="000000" w:fill="FFFFFF"/>
            <w:vAlign w:val="center"/>
            <w:hideMark/>
          </w:tcPr>
          <w:p w14:paraId="45B5DB91" w14:textId="05082EFB"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Archivadores y Estantes</w:t>
            </w:r>
          </w:p>
        </w:tc>
      </w:tr>
      <w:tr w:rsidR="00D3738F" w:rsidRPr="00D3738F" w14:paraId="7D1939A9" w14:textId="77777777" w:rsidTr="00377BF9">
        <w:trPr>
          <w:trHeight w:val="300"/>
        </w:trPr>
        <w:tc>
          <w:tcPr>
            <w:tcW w:w="9067" w:type="dxa"/>
            <w:shd w:val="clear" w:color="000000" w:fill="FFFFFF"/>
            <w:vAlign w:val="center"/>
            <w:hideMark/>
          </w:tcPr>
          <w:p w14:paraId="7A432617" w14:textId="3C61CC91"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Escritorios y Mesas</w:t>
            </w:r>
          </w:p>
        </w:tc>
      </w:tr>
      <w:tr w:rsidR="00D3738F" w:rsidRPr="00D3738F" w14:paraId="07B7A229" w14:textId="77777777" w:rsidTr="00377BF9">
        <w:trPr>
          <w:trHeight w:val="300"/>
        </w:trPr>
        <w:tc>
          <w:tcPr>
            <w:tcW w:w="9067" w:type="dxa"/>
            <w:shd w:val="clear" w:color="000000" w:fill="FFFFFF"/>
            <w:vAlign w:val="center"/>
            <w:hideMark/>
          </w:tcPr>
          <w:p w14:paraId="4BC60B98" w14:textId="0EF1B577"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Sillas y Butacas</w:t>
            </w:r>
          </w:p>
        </w:tc>
      </w:tr>
      <w:tr w:rsidR="00D3738F" w:rsidRPr="00D3738F" w14:paraId="3C10E097" w14:textId="77777777" w:rsidTr="00377BF9">
        <w:trPr>
          <w:trHeight w:val="300"/>
        </w:trPr>
        <w:tc>
          <w:tcPr>
            <w:tcW w:w="9067" w:type="dxa"/>
            <w:shd w:val="clear" w:color="000000" w:fill="FFFFFF"/>
            <w:vAlign w:val="center"/>
            <w:hideMark/>
          </w:tcPr>
          <w:p w14:paraId="2AD4AD80" w14:textId="69CB4116"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Equipo de Ventilación</w:t>
            </w:r>
          </w:p>
        </w:tc>
      </w:tr>
      <w:tr w:rsidR="00D3738F" w:rsidRPr="00D3738F" w14:paraId="799B9246" w14:textId="77777777" w:rsidTr="00377BF9">
        <w:trPr>
          <w:trHeight w:val="300"/>
        </w:trPr>
        <w:tc>
          <w:tcPr>
            <w:tcW w:w="9067" w:type="dxa"/>
            <w:shd w:val="clear" w:color="000000" w:fill="FFFFFF"/>
            <w:vAlign w:val="center"/>
            <w:hideMark/>
          </w:tcPr>
          <w:p w14:paraId="6E84D991" w14:textId="358CE54D"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Otro Mobiliario y Equipo</w:t>
            </w:r>
          </w:p>
        </w:tc>
      </w:tr>
      <w:tr w:rsidR="00D3738F" w:rsidRPr="00D3738F" w14:paraId="30E0BDFB" w14:textId="77777777" w:rsidTr="00377BF9">
        <w:trPr>
          <w:trHeight w:val="300"/>
        </w:trPr>
        <w:tc>
          <w:tcPr>
            <w:tcW w:w="9067" w:type="dxa"/>
            <w:shd w:val="clear" w:color="000000" w:fill="FFFFFF"/>
            <w:vAlign w:val="center"/>
            <w:hideMark/>
          </w:tcPr>
          <w:p w14:paraId="60477858" w14:textId="79457B8F"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Computadoras</w:t>
            </w:r>
          </w:p>
        </w:tc>
      </w:tr>
      <w:tr w:rsidR="00D3738F" w:rsidRPr="00D3738F" w14:paraId="4985F24A" w14:textId="77777777" w:rsidTr="00377BF9">
        <w:trPr>
          <w:trHeight w:val="300"/>
        </w:trPr>
        <w:tc>
          <w:tcPr>
            <w:tcW w:w="9067" w:type="dxa"/>
            <w:shd w:val="clear" w:color="000000" w:fill="FFFFFF"/>
            <w:vAlign w:val="center"/>
            <w:hideMark/>
          </w:tcPr>
          <w:p w14:paraId="38E5233F" w14:textId="79A20CD0"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Impresoras</w:t>
            </w:r>
          </w:p>
        </w:tc>
      </w:tr>
      <w:tr w:rsidR="00D3738F" w:rsidRPr="00D3738F" w14:paraId="2E6F0470" w14:textId="77777777" w:rsidTr="00377BF9">
        <w:trPr>
          <w:trHeight w:val="300"/>
        </w:trPr>
        <w:tc>
          <w:tcPr>
            <w:tcW w:w="9067" w:type="dxa"/>
            <w:shd w:val="clear" w:color="000000" w:fill="FFFFFF"/>
            <w:vAlign w:val="center"/>
            <w:hideMark/>
          </w:tcPr>
          <w:p w14:paraId="32ACE8E2" w14:textId="58D28F1B"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Monitores</w:t>
            </w:r>
          </w:p>
        </w:tc>
      </w:tr>
      <w:tr w:rsidR="00D3738F" w:rsidRPr="00D3738F" w14:paraId="40403F89" w14:textId="77777777" w:rsidTr="00377BF9">
        <w:trPr>
          <w:trHeight w:val="300"/>
        </w:trPr>
        <w:tc>
          <w:tcPr>
            <w:tcW w:w="9067" w:type="dxa"/>
            <w:shd w:val="clear" w:color="000000" w:fill="FFFFFF"/>
            <w:vAlign w:val="center"/>
            <w:hideMark/>
          </w:tcPr>
          <w:p w14:paraId="740A0A76" w14:textId="20C8EF47"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UPS</w:t>
            </w:r>
          </w:p>
        </w:tc>
      </w:tr>
      <w:tr w:rsidR="00D3738F" w:rsidRPr="00D3738F" w14:paraId="4E429376" w14:textId="77777777" w:rsidTr="00377BF9">
        <w:trPr>
          <w:trHeight w:val="300"/>
        </w:trPr>
        <w:tc>
          <w:tcPr>
            <w:tcW w:w="9067" w:type="dxa"/>
            <w:shd w:val="clear" w:color="000000" w:fill="FFFFFF"/>
            <w:vAlign w:val="center"/>
            <w:hideMark/>
          </w:tcPr>
          <w:p w14:paraId="7BD24F8B" w14:textId="579042EB"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Otros Equipos de Computación</w:t>
            </w:r>
          </w:p>
        </w:tc>
      </w:tr>
      <w:tr w:rsidR="00D3738F" w:rsidRPr="006E5442" w14:paraId="44FC3040" w14:textId="77777777" w:rsidTr="00377BF9">
        <w:trPr>
          <w:trHeight w:val="300"/>
        </w:trPr>
        <w:tc>
          <w:tcPr>
            <w:tcW w:w="9067" w:type="dxa"/>
            <w:shd w:val="clear" w:color="000000" w:fill="FFFFFF"/>
            <w:vAlign w:val="center"/>
            <w:hideMark/>
          </w:tcPr>
          <w:p w14:paraId="6B1FFB65" w14:textId="54642030"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Equipo de protección contra Incendio</w:t>
            </w:r>
          </w:p>
        </w:tc>
      </w:tr>
      <w:tr w:rsidR="00D3738F" w:rsidRPr="00D3738F" w14:paraId="71C7F181" w14:textId="77777777" w:rsidTr="00377BF9">
        <w:trPr>
          <w:trHeight w:val="300"/>
        </w:trPr>
        <w:tc>
          <w:tcPr>
            <w:tcW w:w="9067" w:type="dxa"/>
            <w:shd w:val="clear" w:color="000000" w:fill="FFFFFF"/>
            <w:vAlign w:val="center"/>
            <w:hideMark/>
          </w:tcPr>
          <w:p w14:paraId="19D3EA15" w14:textId="2033C414"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Armas</w:t>
            </w:r>
          </w:p>
        </w:tc>
      </w:tr>
      <w:tr w:rsidR="00D3738F" w:rsidRPr="00D3738F" w14:paraId="04E53176" w14:textId="77777777" w:rsidTr="00377BF9">
        <w:trPr>
          <w:trHeight w:val="300"/>
        </w:trPr>
        <w:tc>
          <w:tcPr>
            <w:tcW w:w="9067" w:type="dxa"/>
            <w:shd w:val="clear" w:color="000000" w:fill="FFFFFF"/>
            <w:vAlign w:val="center"/>
            <w:hideMark/>
          </w:tcPr>
          <w:p w14:paraId="1E88E5D0" w14:textId="7CF609A8"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lang w:val="es-CR"/>
              </w:rPr>
            </w:pPr>
            <w:r w:rsidRPr="00F02F9D">
              <w:rPr>
                <w:rFonts w:ascii="Arial" w:eastAsia="Times New Roman" w:hAnsi="Arial"/>
                <w:bCs/>
                <w:sz w:val="22"/>
                <w:szCs w:val="22"/>
                <w:lang w:val="es-CR"/>
              </w:rPr>
              <w:t>Otros Equipos de Seguridad</w:t>
            </w:r>
          </w:p>
        </w:tc>
      </w:tr>
      <w:tr w:rsidR="00D3738F" w:rsidRPr="00D3738F" w14:paraId="12A801F7" w14:textId="77777777" w:rsidTr="00377BF9">
        <w:trPr>
          <w:trHeight w:val="300"/>
        </w:trPr>
        <w:tc>
          <w:tcPr>
            <w:tcW w:w="9067" w:type="dxa"/>
            <w:shd w:val="clear" w:color="000000" w:fill="FFFFFF"/>
            <w:vAlign w:val="center"/>
            <w:hideMark/>
          </w:tcPr>
          <w:p w14:paraId="67A727A0" w14:textId="05DD5C6F" w:rsidR="00D3738F" w:rsidRPr="00F02F9D" w:rsidRDefault="00D3738F">
            <w:pPr>
              <w:pStyle w:val="Prrafodelista"/>
              <w:numPr>
                <w:ilvl w:val="0"/>
                <w:numId w:val="20"/>
              </w:numPr>
              <w:spacing w:after="120"/>
              <w:ind w:left="1340" w:hanging="284"/>
              <w:contextualSpacing w:val="0"/>
              <w:rPr>
                <w:rFonts w:ascii="Arial" w:eastAsia="Times New Roman" w:hAnsi="Arial"/>
                <w:bCs/>
                <w:sz w:val="22"/>
                <w:szCs w:val="22"/>
              </w:rPr>
            </w:pPr>
            <w:r w:rsidRPr="00F02F9D">
              <w:rPr>
                <w:rFonts w:ascii="Arial" w:eastAsia="Times New Roman" w:hAnsi="Arial"/>
                <w:bCs/>
                <w:sz w:val="22"/>
                <w:szCs w:val="22"/>
              </w:rPr>
              <w:t>Equipo Doméstico</w:t>
            </w:r>
          </w:p>
        </w:tc>
      </w:tr>
      <w:tr w:rsidR="00D3738F" w:rsidRPr="00D3738F" w14:paraId="4B41A36F" w14:textId="77777777" w:rsidTr="00377BF9">
        <w:trPr>
          <w:trHeight w:val="300"/>
        </w:trPr>
        <w:tc>
          <w:tcPr>
            <w:tcW w:w="9067" w:type="dxa"/>
            <w:shd w:val="clear" w:color="000000" w:fill="FFFFFF"/>
            <w:vAlign w:val="center"/>
            <w:hideMark/>
          </w:tcPr>
          <w:p w14:paraId="5260163A" w14:textId="182FBF1B" w:rsidR="00D3738F" w:rsidRPr="00F02F9D" w:rsidRDefault="00D3738F">
            <w:pPr>
              <w:pStyle w:val="Prrafodelista"/>
              <w:numPr>
                <w:ilvl w:val="0"/>
                <w:numId w:val="20"/>
              </w:numPr>
              <w:ind w:left="1340" w:hanging="284"/>
              <w:rPr>
                <w:rFonts w:ascii="Arial" w:eastAsia="Times New Roman" w:hAnsi="Arial"/>
                <w:bCs/>
                <w:sz w:val="22"/>
                <w:szCs w:val="22"/>
              </w:rPr>
            </w:pPr>
            <w:r w:rsidRPr="00F02F9D">
              <w:rPr>
                <w:rFonts w:ascii="Arial" w:eastAsia="Times New Roman" w:hAnsi="Arial"/>
                <w:bCs/>
                <w:sz w:val="22"/>
                <w:szCs w:val="22"/>
              </w:rPr>
              <w:t>Equipo Fotográfico</w:t>
            </w:r>
          </w:p>
        </w:tc>
      </w:tr>
    </w:tbl>
    <w:p w14:paraId="7ED1BA3D" w14:textId="77777777" w:rsidR="00543B17" w:rsidRPr="00F02F9D" w:rsidRDefault="00543B17" w:rsidP="00543B17">
      <w:pPr>
        <w:spacing w:line="236" w:lineRule="auto"/>
        <w:ind w:right="260"/>
        <w:jc w:val="both"/>
        <w:rPr>
          <w:rFonts w:ascii="Arial" w:eastAsia="Arial" w:hAnsi="Arial"/>
          <w:bCs/>
          <w:sz w:val="22"/>
          <w:szCs w:val="22"/>
          <w:lang w:val="es-CR"/>
        </w:rPr>
      </w:pPr>
    </w:p>
    <w:p w14:paraId="502BD7EE" w14:textId="0106D979" w:rsidR="00E51C06" w:rsidRPr="00F02F9D" w:rsidRDefault="00E51C06">
      <w:pPr>
        <w:pStyle w:val="Prrafodelista"/>
        <w:numPr>
          <w:ilvl w:val="0"/>
          <w:numId w:val="19"/>
        </w:numPr>
        <w:spacing w:line="236" w:lineRule="auto"/>
        <w:ind w:left="1276" w:right="260" w:hanging="283"/>
        <w:jc w:val="both"/>
        <w:rPr>
          <w:rFonts w:ascii="Arial" w:eastAsia="Arial" w:hAnsi="Arial"/>
          <w:bCs/>
          <w:sz w:val="22"/>
          <w:szCs w:val="22"/>
          <w:lang w:val="es-CR"/>
        </w:rPr>
      </w:pPr>
      <w:r w:rsidRPr="00F02F9D">
        <w:rPr>
          <w:rFonts w:ascii="Arial" w:eastAsia="Arial" w:hAnsi="Arial"/>
          <w:bCs/>
          <w:sz w:val="22"/>
          <w:szCs w:val="22"/>
          <w:lang w:val="es-CR"/>
        </w:rPr>
        <w:t>Bienes Históricos y Culturales.</w:t>
      </w:r>
    </w:p>
    <w:p w14:paraId="108C5F4C" w14:textId="77777777" w:rsidR="00543B17" w:rsidRPr="00F02F9D" w:rsidRDefault="00543B17" w:rsidP="00543B17">
      <w:pPr>
        <w:pStyle w:val="Prrafodelista"/>
        <w:spacing w:line="236" w:lineRule="auto"/>
        <w:ind w:left="426" w:right="260"/>
        <w:jc w:val="both"/>
        <w:rPr>
          <w:rFonts w:ascii="Arial" w:eastAsia="Arial" w:hAnsi="Arial"/>
          <w:bCs/>
          <w:sz w:val="22"/>
          <w:szCs w:val="22"/>
          <w:lang w:val="es-CR"/>
        </w:rPr>
      </w:pPr>
    </w:p>
    <w:p w14:paraId="0301BD88" w14:textId="311805B3" w:rsidR="00E51C06" w:rsidRPr="00F02F9D" w:rsidRDefault="00E51C06">
      <w:pPr>
        <w:pStyle w:val="Prrafodelista"/>
        <w:numPr>
          <w:ilvl w:val="0"/>
          <w:numId w:val="19"/>
        </w:numPr>
        <w:spacing w:after="120" w:line="235" w:lineRule="auto"/>
        <w:ind w:left="1276"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Bienes Intangibles no concesionados.</w:t>
      </w:r>
    </w:p>
    <w:p w14:paraId="3959DA0C" w14:textId="48D2CEC0" w:rsidR="00D3738F" w:rsidRPr="00F02F9D" w:rsidRDefault="00D3738F">
      <w:pPr>
        <w:pStyle w:val="Prrafodelista"/>
        <w:numPr>
          <w:ilvl w:val="0"/>
          <w:numId w:val="20"/>
        </w:numPr>
        <w:ind w:left="1560" w:hanging="284"/>
        <w:contextualSpacing w:val="0"/>
        <w:rPr>
          <w:rFonts w:ascii="Arial" w:eastAsia="Arial" w:hAnsi="Arial"/>
          <w:bCs/>
          <w:sz w:val="22"/>
          <w:szCs w:val="22"/>
          <w:lang w:val="es-CR"/>
        </w:rPr>
      </w:pPr>
      <w:r w:rsidRPr="00F02F9D">
        <w:rPr>
          <w:rFonts w:ascii="Arial" w:eastAsia="Arial" w:hAnsi="Arial"/>
          <w:bCs/>
          <w:sz w:val="22"/>
          <w:szCs w:val="22"/>
          <w:lang w:val="es-CR"/>
        </w:rPr>
        <w:t>Software y licencias</w:t>
      </w:r>
    </w:p>
    <w:p w14:paraId="0A6B4EF3" w14:textId="77777777" w:rsidR="00543B17" w:rsidRPr="00F02F9D" w:rsidRDefault="00543B17" w:rsidP="00543B17">
      <w:pPr>
        <w:pStyle w:val="Prrafodelista"/>
        <w:spacing w:line="236" w:lineRule="auto"/>
        <w:ind w:left="851" w:right="260"/>
        <w:jc w:val="both"/>
        <w:rPr>
          <w:rFonts w:ascii="Arial" w:eastAsia="Arial" w:hAnsi="Arial"/>
          <w:bCs/>
          <w:sz w:val="22"/>
          <w:szCs w:val="22"/>
          <w:lang w:val="es-CR"/>
        </w:rPr>
      </w:pPr>
    </w:p>
    <w:p w14:paraId="418D9FE7" w14:textId="4D62B94F" w:rsidR="007377D0" w:rsidRPr="00F02F9D" w:rsidRDefault="00E51C06">
      <w:pPr>
        <w:pStyle w:val="Prrafodelista"/>
        <w:numPr>
          <w:ilvl w:val="0"/>
          <w:numId w:val="19"/>
        </w:numPr>
        <w:spacing w:line="236" w:lineRule="auto"/>
        <w:ind w:left="1276" w:right="260" w:hanging="283"/>
        <w:jc w:val="both"/>
        <w:rPr>
          <w:rFonts w:ascii="Arial" w:eastAsia="Arial" w:hAnsi="Arial"/>
          <w:bCs/>
          <w:sz w:val="22"/>
          <w:szCs w:val="22"/>
          <w:lang w:val="es-CR"/>
        </w:rPr>
      </w:pPr>
      <w:r w:rsidRPr="00F02F9D">
        <w:rPr>
          <w:rFonts w:ascii="Arial" w:eastAsia="Arial" w:hAnsi="Arial"/>
          <w:bCs/>
          <w:sz w:val="22"/>
          <w:szCs w:val="22"/>
          <w:lang w:val="es-CR"/>
        </w:rPr>
        <w:t>Bienes no Concesionados en Proceso de Producción.</w:t>
      </w:r>
      <w:bookmarkStart w:id="40" w:name="page27"/>
      <w:bookmarkEnd w:id="40"/>
    </w:p>
    <w:p w14:paraId="7CBC0A51" w14:textId="77777777" w:rsidR="00543B17" w:rsidRPr="00F02F9D" w:rsidRDefault="00543B17" w:rsidP="00543B17">
      <w:pPr>
        <w:spacing w:line="236" w:lineRule="auto"/>
        <w:ind w:right="260"/>
        <w:jc w:val="both"/>
        <w:rPr>
          <w:rFonts w:ascii="Arial" w:eastAsia="Arial" w:hAnsi="Arial"/>
          <w:b/>
          <w:sz w:val="22"/>
          <w:szCs w:val="22"/>
          <w:lang w:val="es-CR"/>
        </w:rPr>
      </w:pPr>
    </w:p>
    <w:p w14:paraId="74E22F11" w14:textId="0A94AD7E" w:rsidR="00543B17" w:rsidRPr="00F02F9D" w:rsidRDefault="00543B17" w:rsidP="00543B17">
      <w:pPr>
        <w:spacing w:line="26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1.92.0.03</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tiene activos dados en Arrendamientos bajo de la figura de Arrendamientos operativos, según lo establece la normativa legal vigente, los cuales se tratarán bajo la NICSP 13 de Arrendamientos.</w:t>
      </w:r>
    </w:p>
    <w:p w14:paraId="2AB4CB26" w14:textId="77777777" w:rsidR="00543B17" w:rsidRDefault="00543B17" w:rsidP="00543B17">
      <w:pPr>
        <w:spacing w:line="236" w:lineRule="auto"/>
        <w:ind w:right="260"/>
        <w:jc w:val="both"/>
        <w:rPr>
          <w:rFonts w:ascii="Arial" w:eastAsia="Arial" w:hAnsi="Arial"/>
          <w:b/>
          <w:sz w:val="22"/>
          <w:szCs w:val="22"/>
          <w:lang w:val="es-CR"/>
        </w:rPr>
      </w:pPr>
    </w:p>
    <w:p w14:paraId="37E9F35A" w14:textId="77777777" w:rsidR="00F47532" w:rsidRPr="00F02F9D" w:rsidRDefault="00F47532" w:rsidP="00543B17">
      <w:pPr>
        <w:spacing w:line="236" w:lineRule="auto"/>
        <w:ind w:right="260"/>
        <w:jc w:val="both"/>
        <w:rPr>
          <w:rFonts w:ascii="Arial" w:eastAsia="Arial" w:hAnsi="Arial"/>
          <w:b/>
          <w:sz w:val="22"/>
          <w:szCs w:val="22"/>
          <w:lang w:val="es-CR"/>
        </w:rPr>
      </w:pPr>
    </w:p>
    <w:tbl>
      <w:tblPr>
        <w:tblW w:w="8944" w:type="dxa"/>
        <w:tblInd w:w="118" w:type="dxa"/>
        <w:tblLook w:val="04A0" w:firstRow="1" w:lastRow="0" w:firstColumn="1" w:lastColumn="0" w:noHBand="0" w:noVBand="1"/>
      </w:tblPr>
      <w:tblGrid>
        <w:gridCol w:w="586"/>
        <w:gridCol w:w="483"/>
        <w:gridCol w:w="558"/>
        <w:gridCol w:w="3348"/>
        <w:gridCol w:w="1985"/>
        <w:gridCol w:w="1984"/>
      </w:tblGrid>
      <w:tr w:rsidR="003D1CF4" w:rsidRPr="001065E8" w14:paraId="013C5351" w14:textId="77777777" w:rsidTr="0091631A">
        <w:trPr>
          <w:trHeight w:val="320"/>
        </w:trPr>
        <w:tc>
          <w:tcPr>
            <w:tcW w:w="162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8C8E08C" w14:textId="77777777" w:rsidR="003D1CF4" w:rsidRPr="001065E8" w:rsidRDefault="003D1CF4" w:rsidP="00D16719">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 / Política</w:t>
            </w:r>
          </w:p>
        </w:tc>
        <w:tc>
          <w:tcPr>
            <w:tcW w:w="3348" w:type="dxa"/>
            <w:vMerge w:val="restart"/>
            <w:tcBorders>
              <w:top w:val="single" w:sz="8" w:space="0" w:color="auto"/>
              <w:left w:val="single" w:sz="8" w:space="0" w:color="auto"/>
              <w:bottom w:val="nil"/>
              <w:right w:val="single" w:sz="8" w:space="0" w:color="auto"/>
            </w:tcBorders>
            <w:shd w:val="clear" w:color="000000" w:fill="203764"/>
            <w:vAlign w:val="center"/>
            <w:hideMark/>
          </w:tcPr>
          <w:p w14:paraId="0D5B2245" w14:textId="77777777" w:rsidR="003D1CF4" w:rsidRPr="001065E8" w:rsidRDefault="003D1CF4" w:rsidP="00D16719">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Concepto</w:t>
            </w:r>
          </w:p>
        </w:tc>
        <w:tc>
          <w:tcPr>
            <w:tcW w:w="3969" w:type="dxa"/>
            <w:gridSpan w:val="2"/>
            <w:tcBorders>
              <w:top w:val="single" w:sz="8" w:space="0" w:color="auto"/>
              <w:left w:val="nil"/>
              <w:bottom w:val="single" w:sz="8" w:space="0" w:color="auto"/>
              <w:right w:val="single" w:sz="8" w:space="0" w:color="000000"/>
            </w:tcBorders>
            <w:shd w:val="clear" w:color="000000" w:fill="203764"/>
            <w:vAlign w:val="center"/>
            <w:hideMark/>
          </w:tcPr>
          <w:p w14:paraId="7C3E6883" w14:textId="77777777" w:rsidR="003D1CF4" w:rsidRPr="001065E8" w:rsidRDefault="003D1CF4" w:rsidP="00D16719">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Referencia</w:t>
            </w:r>
          </w:p>
        </w:tc>
      </w:tr>
      <w:tr w:rsidR="003D1CF4" w:rsidRPr="0091631A" w14:paraId="1D856F56" w14:textId="77777777" w:rsidTr="0091631A">
        <w:trPr>
          <w:trHeight w:val="320"/>
        </w:trPr>
        <w:tc>
          <w:tcPr>
            <w:tcW w:w="1627" w:type="dxa"/>
            <w:gridSpan w:val="3"/>
            <w:vMerge/>
            <w:tcBorders>
              <w:top w:val="single" w:sz="8" w:space="0" w:color="auto"/>
              <w:left w:val="single" w:sz="8" w:space="0" w:color="auto"/>
              <w:bottom w:val="nil"/>
              <w:right w:val="single" w:sz="8" w:space="0" w:color="000000"/>
            </w:tcBorders>
            <w:vAlign w:val="center"/>
            <w:hideMark/>
          </w:tcPr>
          <w:p w14:paraId="0255094B" w14:textId="77777777" w:rsidR="003D1CF4" w:rsidRPr="001065E8" w:rsidRDefault="003D1CF4" w:rsidP="00D16719">
            <w:pPr>
              <w:rPr>
                <w:rFonts w:ascii="Arial Narrow" w:eastAsia="Times New Roman" w:hAnsi="Arial Narrow"/>
                <w:b/>
                <w:bCs/>
                <w:color w:val="FFFFFF"/>
                <w:sz w:val="22"/>
                <w:szCs w:val="22"/>
              </w:rPr>
            </w:pPr>
          </w:p>
        </w:tc>
        <w:tc>
          <w:tcPr>
            <w:tcW w:w="3348" w:type="dxa"/>
            <w:vMerge/>
            <w:tcBorders>
              <w:top w:val="single" w:sz="8" w:space="0" w:color="auto"/>
              <w:left w:val="single" w:sz="8" w:space="0" w:color="auto"/>
              <w:bottom w:val="nil"/>
              <w:right w:val="single" w:sz="8" w:space="0" w:color="auto"/>
            </w:tcBorders>
            <w:vAlign w:val="center"/>
            <w:hideMark/>
          </w:tcPr>
          <w:p w14:paraId="135244F0" w14:textId="77777777" w:rsidR="003D1CF4" w:rsidRPr="001065E8" w:rsidRDefault="003D1CF4" w:rsidP="00D16719">
            <w:pPr>
              <w:rPr>
                <w:rFonts w:ascii="Arial Narrow" w:eastAsia="Times New Roman" w:hAnsi="Arial Narrow"/>
                <w:b/>
                <w:bCs/>
                <w:color w:val="FFFFFF"/>
                <w:sz w:val="22"/>
                <w:szCs w:val="22"/>
              </w:rPr>
            </w:pPr>
          </w:p>
        </w:tc>
        <w:tc>
          <w:tcPr>
            <w:tcW w:w="1985" w:type="dxa"/>
            <w:tcBorders>
              <w:top w:val="nil"/>
              <w:left w:val="nil"/>
              <w:bottom w:val="nil"/>
              <w:right w:val="single" w:sz="8" w:space="0" w:color="auto"/>
            </w:tcBorders>
            <w:shd w:val="clear" w:color="000000" w:fill="203764"/>
            <w:vAlign w:val="center"/>
            <w:hideMark/>
          </w:tcPr>
          <w:p w14:paraId="562B5D20" w14:textId="77777777" w:rsidR="003D1CF4" w:rsidRPr="001065E8" w:rsidRDefault="003D1CF4" w:rsidP="00D16719">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w:t>
            </w:r>
          </w:p>
        </w:tc>
        <w:tc>
          <w:tcPr>
            <w:tcW w:w="1984" w:type="dxa"/>
            <w:tcBorders>
              <w:top w:val="nil"/>
              <w:left w:val="nil"/>
              <w:bottom w:val="nil"/>
              <w:right w:val="single" w:sz="8" w:space="0" w:color="auto"/>
            </w:tcBorders>
            <w:shd w:val="clear" w:color="000000" w:fill="203764"/>
            <w:vAlign w:val="center"/>
            <w:hideMark/>
          </w:tcPr>
          <w:p w14:paraId="58A06D14" w14:textId="23397082" w:rsidR="003D1CF4" w:rsidRPr="0091631A" w:rsidRDefault="0091631A"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7D0CACAD" w14:textId="77777777" w:rsidTr="0091631A">
        <w:trPr>
          <w:trHeight w:val="760"/>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0CEC45"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1</w:t>
            </w:r>
          </w:p>
        </w:tc>
        <w:tc>
          <w:tcPr>
            <w:tcW w:w="483" w:type="dxa"/>
            <w:tcBorders>
              <w:top w:val="single" w:sz="8" w:space="0" w:color="auto"/>
              <w:left w:val="nil"/>
              <w:bottom w:val="single" w:sz="8" w:space="0" w:color="auto"/>
              <w:right w:val="single" w:sz="8" w:space="0" w:color="auto"/>
            </w:tcBorders>
            <w:shd w:val="clear" w:color="auto" w:fill="auto"/>
            <w:noWrap/>
            <w:vAlign w:val="center"/>
            <w:hideMark/>
          </w:tcPr>
          <w:p w14:paraId="41D0C51E"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93</w:t>
            </w:r>
          </w:p>
        </w:tc>
        <w:tc>
          <w:tcPr>
            <w:tcW w:w="558" w:type="dxa"/>
            <w:tcBorders>
              <w:top w:val="single" w:sz="8" w:space="0" w:color="auto"/>
              <w:left w:val="nil"/>
              <w:bottom w:val="single" w:sz="8" w:space="0" w:color="auto"/>
              <w:right w:val="single" w:sz="8" w:space="0" w:color="auto"/>
            </w:tcBorders>
            <w:shd w:val="clear" w:color="auto" w:fill="auto"/>
            <w:vAlign w:val="center"/>
            <w:hideMark/>
          </w:tcPr>
          <w:p w14:paraId="0126F6A1" w14:textId="79E496DC"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 xml:space="preserve"> </w:t>
            </w:r>
          </w:p>
        </w:tc>
        <w:tc>
          <w:tcPr>
            <w:tcW w:w="3348" w:type="dxa"/>
            <w:tcBorders>
              <w:top w:val="single" w:sz="8" w:space="0" w:color="auto"/>
              <w:left w:val="nil"/>
              <w:bottom w:val="single" w:sz="8" w:space="0" w:color="auto"/>
              <w:right w:val="nil"/>
            </w:tcBorders>
            <w:shd w:val="clear" w:color="auto" w:fill="auto"/>
            <w:vAlign w:val="center"/>
            <w:hideMark/>
          </w:tcPr>
          <w:p w14:paraId="4ED03316" w14:textId="77777777" w:rsidR="000236D5" w:rsidRPr="001065E8" w:rsidRDefault="000236D5" w:rsidP="000236D5">
            <w:pPr>
              <w:ind w:leftChars="-8" w:left="2" w:hangingChars="8" w:hanging="18"/>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Características</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CEF425" w14:textId="77777777" w:rsidR="000236D5" w:rsidRPr="001065E8" w:rsidRDefault="000236D5" w:rsidP="0091631A">
            <w:pPr>
              <w:ind w:left="40"/>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NICSP 17 </w:t>
            </w:r>
          </w:p>
          <w:p w14:paraId="2444C077" w14:textId="546EFC39" w:rsidR="000236D5" w:rsidRPr="001065E8" w:rsidRDefault="000236D5" w:rsidP="0091631A">
            <w:pPr>
              <w:ind w:left="40"/>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NICSP31</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7C9862A1" w14:textId="4022E197" w:rsidR="000236D5" w:rsidRPr="001065E8" w:rsidRDefault="000236D5" w:rsidP="000236D5">
            <w:pPr>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1065E8">
              <w:rPr>
                <w:rFonts w:ascii="Arial Narrow" w:eastAsia="Times New Roman" w:hAnsi="Arial Narrow"/>
                <w:b/>
                <w:bCs/>
                <w:color w:val="000000"/>
                <w:sz w:val="22"/>
                <w:szCs w:val="22"/>
                <w:lang w:val="es-CR"/>
              </w:rPr>
              <w:t>.</w:t>
            </w:r>
          </w:p>
        </w:tc>
      </w:tr>
    </w:tbl>
    <w:p w14:paraId="1C34E5C8" w14:textId="77777777" w:rsidR="003D1CF4" w:rsidRPr="00F02F9D" w:rsidRDefault="003D1CF4" w:rsidP="00543B17">
      <w:pPr>
        <w:spacing w:line="236" w:lineRule="auto"/>
        <w:ind w:right="260"/>
        <w:jc w:val="both"/>
        <w:rPr>
          <w:rFonts w:ascii="Arial" w:eastAsia="Arial" w:hAnsi="Arial"/>
          <w:b/>
          <w:sz w:val="22"/>
          <w:szCs w:val="22"/>
          <w:lang w:val="es-CR"/>
        </w:rPr>
      </w:pPr>
    </w:p>
    <w:p w14:paraId="7078106D" w14:textId="53F5F5C5" w:rsidR="00A963E1" w:rsidRPr="0030399E" w:rsidRDefault="00A963E1" w:rsidP="00DB0DDE">
      <w:pPr>
        <w:spacing w:line="236" w:lineRule="auto"/>
        <w:ind w:left="993" w:right="260" w:hanging="993"/>
        <w:jc w:val="both"/>
        <w:rPr>
          <w:rFonts w:ascii="Arial" w:eastAsia="Arial" w:hAnsi="Arial"/>
          <w:b/>
          <w:sz w:val="22"/>
          <w:szCs w:val="22"/>
          <w:lang w:val="es-CR"/>
        </w:rPr>
      </w:pPr>
      <w:r w:rsidRPr="0030399E">
        <w:rPr>
          <w:rFonts w:ascii="Arial" w:eastAsia="Arial" w:hAnsi="Arial"/>
          <w:b/>
          <w:sz w:val="22"/>
          <w:szCs w:val="22"/>
          <w:lang w:val="es-CR"/>
        </w:rPr>
        <w:t>Política Contable</w:t>
      </w:r>
    </w:p>
    <w:p w14:paraId="355B557B" w14:textId="77777777" w:rsidR="00A963E1" w:rsidRDefault="00A963E1" w:rsidP="00DB0DDE">
      <w:pPr>
        <w:spacing w:line="236" w:lineRule="auto"/>
        <w:ind w:left="993" w:right="260" w:hanging="993"/>
        <w:jc w:val="both"/>
        <w:rPr>
          <w:rFonts w:ascii="Arial" w:eastAsia="Arial" w:hAnsi="Arial"/>
          <w:bCs/>
          <w:sz w:val="22"/>
          <w:szCs w:val="22"/>
          <w:lang w:val="es-CR"/>
        </w:rPr>
      </w:pPr>
    </w:p>
    <w:p w14:paraId="56AB483B" w14:textId="67A999A4" w:rsidR="003D1CF4" w:rsidRPr="00F02F9D" w:rsidRDefault="003D1CF4" w:rsidP="00DB0DDE">
      <w:p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1.93.0.01</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w:t>
      </w:r>
      <w:r w:rsidR="00DC6D3F" w:rsidRPr="00F02F9D">
        <w:rPr>
          <w:rFonts w:ascii="Arial" w:eastAsia="Arial" w:hAnsi="Arial"/>
          <w:bCs/>
          <w:sz w:val="22"/>
          <w:szCs w:val="22"/>
          <w:lang w:val="es-CR"/>
        </w:rPr>
        <w:t>considerará como</w:t>
      </w:r>
      <w:r w:rsidRPr="00F02F9D">
        <w:rPr>
          <w:rFonts w:ascii="Arial" w:eastAsia="Arial" w:hAnsi="Arial"/>
          <w:bCs/>
          <w:sz w:val="22"/>
          <w:szCs w:val="22"/>
          <w:lang w:val="es-CR"/>
        </w:rPr>
        <w:t xml:space="preserve"> activos</w:t>
      </w:r>
      <w:r w:rsidR="00DC6D3F" w:rsidRPr="00F02F9D">
        <w:rPr>
          <w:rFonts w:ascii="Arial" w:eastAsia="Arial" w:hAnsi="Arial"/>
          <w:bCs/>
          <w:sz w:val="22"/>
          <w:szCs w:val="22"/>
          <w:lang w:val="es-CR"/>
        </w:rPr>
        <w:t xml:space="preserve"> de Propiedad, Planta y Equipo</w:t>
      </w:r>
      <w:r w:rsidRPr="00F02F9D">
        <w:rPr>
          <w:rFonts w:ascii="Arial" w:eastAsia="Arial" w:hAnsi="Arial"/>
          <w:bCs/>
          <w:sz w:val="22"/>
          <w:szCs w:val="22"/>
          <w:lang w:val="es-CR"/>
        </w:rPr>
        <w:t xml:space="preserve"> </w:t>
      </w:r>
      <w:r w:rsidR="00DC6D3F" w:rsidRPr="00F02F9D">
        <w:rPr>
          <w:rFonts w:ascii="Arial" w:eastAsia="Arial" w:hAnsi="Arial"/>
          <w:bCs/>
          <w:sz w:val="22"/>
          <w:szCs w:val="22"/>
          <w:lang w:val="es-CR"/>
        </w:rPr>
        <w:t xml:space="preserve">y </w:t>
      </w:r>
      <w:r w:rsidRPr="00F02F9D">
        <w:rPr>
          <w:rFonts w:ascii="Arial" w:eastAsia="Arial" w:hAnsi="Arial"/>
          <w:bCs/>
          <w:sz w:val="22"/>
          <w:szCs w:val="22"/>
          <w:lang w:val="es-CR"/>
        </w:rPr>
        <w:t>l</w:t>
      </w:r>
      <w:r w:rsidR="00DC6D3F" w:rsidRPr="00F02F9D">
        <w:rPr>
          <w:rFonts w:ascii="Arial" w:eastAsia="Arial" w:hAnsi="Arial"/>
          <w:bCs/>
          <w:sz w:val="22"/>
          <w:szCs w:val="22"/>
          <w:lang w:val="es-CR"/>
        </w:rPr>
        <w:t>os</w:t>
      </w:r>
      <w:r w:rsidRPr="00F02F9D">
        <w:rPr>
          <w:rFonts w:ascii="Arial" w:eastAsia="Arial" w:hAnsi="Arial"/>
          <w:bCs/>
          <w:sz w:val="22"/>
          <w:szCs w:val="22"/>
          <w:lang w:val="es-CR"/>
        </w:rPr>
        <w:t xml:space="preserve"> </w:t>
      </w:r>
      <w:r w:rsidR="00DC6D3F" w:rsidRPr="00F02F9D">
        <w:rPr>
          <w:rFonts w:ascii="Arial" w:eastAsia="Arial" w:hAnsi="Arial"/>
          <w:bCs/>
          <w:sz w:val="22"/>
          <w:szCs w:val="22"/>
          <w:lang w:val="es-CR"/>
        </w:rPr>
        <w:t xml:space="preserve">incorporará al </w:t>
      </w:r>
      <w:r w:rsidRPr="00F02F9D">
        <w:rPr>
          <w:rFonts w:ascii="Arial" w:eastAsia="Arial" w:hAnsi="Arial"/>
          <w:bCs/>
          <w:sz w:val="22"/>
          <w:szCs w:val="22"/>
          <w:lang w:val="es-CR"/>
        </w:rPr>
        <w:t>patrimonio (capitalizará), si</w:t>
      </w:r>
      <w:r w:rsidR="00DC6D3F" w:rsidRPr="00F02F9D">
        <w:rPr>
          <w:rFonts w:ascii="Arial" w:eastAsia="Arial" w:hAnsi="Arial"/>
          <w:bCs/>
          <w:sz w:val="22"/>
          <w:szCs w:val="22"/>
          <w:lang w:val="es-CR"/>
        </w:rPr>
        <w:t xml:space="preserve"> y solo si se adquieren con</w:t>
      </w:r>
      <w:r w:rsidRPr="00F02F9D">
        <w:rPr>
          <w:rFonts w:ascii="Arial" w:eastAsia="Arial" w:hAnsi="Arial"/>
          <w:bCs/>
          <w:sz w:val="22"/>
          <w:szCs w:val="22"/>
          <w:lang w:val="es-CR"/>
        </w:rPr>
        <w:t xml:space="preserve"> el propósito de ser utilizados en la prestación de servicios o en el desarrollo de la función administrativa o cometido Institucional, con una vida útil superior a un año y, que no se agoten en el primer uso.</w:t>
      </w:r>
    </w:p>
    <w:p w14:paraId="2C46C733" w14:textId="77777777" w:rsidR="00DC6D3F" w:rsidRDefault="00DC6D3F" w:rsidP="003D1CF4">
      <w:pPr>
        <w:spacing w:line="236" w:lineRule="auto"/>
        <w:ind w:left="1134" w:right="260" w:hanging="1134"/>
        <w:jc w:val="both"/>
        <w:rPr>
          <w:rFonts w:ascii="Arial" w:eastAsia="Arial" w:hAnsi="Arial"/>
          <w:b/>
          <w:sz w:val="22"/>
          <w:szCs w:val="22"/>
          <w:lang w:val="es-CR"/>
        </w:rPr>
      </w:pPr>
    </w:p>
    <w:p w14:paraId="473FF171" w14:textId="77777777" w:rsidR="00F47532" w:rsidRDefault="00F47532" w:rsidP="003D1CF4">
      <w:pPr>
        <w:spacing w:line="236" w:lineRule="auto"/>
        <w:ind w:left="1134" w:right="260" w:hanging="1134"/>
        <w:jc w:val="both"/>
        <w:rPr>
          <w:rFonts w:ascii="Arial" w:eastAsia="Arial" w:hAnsi="Arial"/>
          <w:b/>
          <w:sz w:val="22"/>
          <w:szCs w:val="22"/>
          <w:lang w:val="es-CR"/>
        </w:rPr>
      </w:pPr>
    </w:p>
    <w:p w14:paraId="56431C82" w14:textId="77777777" w:rsidR="00A963E1" w:rsidRPr="00F02F9D" w:rsidRDefault="00A963E1" w:rsidP="003D1CF4">
      <w:pPr>
        <w:spacing w:line="236" w:lineRule="auto"/>
        <w:ind w:left="1134" w:right="260" w:hanging="1134"/>
        <w:jc w:val="both"/>
        <w:rPr>
          <w:rFonts w:ascii="Arial" w:eastAsia="Arial" w:hAnsi="Arial"/>
          <w:b/>
          <w:sz w:val="22"/>
          <w:szCs w:val="22"/>
          <w:lang w:val="es-CR"/>
        </w:rPr>
      </w:pPr>
    </w:p>
    <w:tbl>
      <w:tblPr>
        <w:tblW w:w="8944" w:type="dxa"/>
        <w:tblInd w:w="118" w:type="dxa"/>
        <w:tblLook w:val="04A0" w:firstRow="1" w:lastRow="0" w:firstColumn="1" w:lastColumn="0" w:noHBand="0" w:noVBand="1"/>
      </w:tblPr>
      <w:tblGrid>
        <w:gridCol w:w="584"/>
        <w:gridCol w:w="483"/>
        <w:gridCol w:w="558"/>
        <w:gridCol w:w="3350"/>
        <w:gridCol w:w="1972"/>
        <w:gridCol w:w="1997"/>
      </w:tblGrid>
      <w:tr w:rsidR="00DC6D3F" w:rsidRPr="001065E8" w14:paraId="3A3D936B" w14:textId="77777777" w:rsidTr="0091631A">
        <w:trPr>
          <w:trHeight w:val="320"/>
        </w:trPr>
        <w:tc>
          <w:tcPr>
            <w:tcW w:w="162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D2D3F0C" w14:textId="77777777" w:rsidR="00DC6D3F" w:rsidRPr="001065E8" w:rsidRDefault="00DC6D3F" w:rsidP="00DC6D3F">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 / Política</w:t>
            </w:r>
          </w:p>
        </w:tc>
        <w:tc>
          <w:tcPr>
            <w:tcW w:w="335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BD86AB4" w14:textId="77777777" w:rsidR="00DC6D3F" w:rsidRPr="001065E8" w:rsidRDefault="00DC6D3F" w:rsidP="00DC6D3F">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Concepto</w:t>
            </w:r>
          </w:p>
        </w:tc>
        <w:tc>
          <w:tcPr>
            <w:tcW w:w="3969" w:type="dxa"/>
            <w:gridSpan w:val="2"/>
            <w:tcBorders>
              <w:top w:val="single" w:sz="8" w:space="0" w:color="auto"/>
              <w:left w:val="nil"/>
              <w:bottom w:val="single" w:sz="8" w:space="0" w:color="auto"/>
              <w:right w:val="single" w:sz="8" w:space="0" w:color="000000"/>
            </w:tcBorders>
            <w:shd w:val="clear" w:color="000000" w:fill="203764"/>
            <w:vAlign w:val="center"/>
            <w:hideMark/>
          </w:tcPr>
          <w:p w14:paraId="78824FD5" w14:textId="77777777" w:rsidR="00DC6D3F" w:rsidRPr="001065E8" w:rsidRDefault="00DC6D3F" w:rsidP="00DC6D3F">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Referencia</w:t>
            </w:r>
          </w:p>
        </w:tc>
      </w:tr>
      <w:tr w:rsidR="00DC6D3F" w:rsidRPr="0091631A" w14:paraId="10DFEEA1" w14:textId="77777777" w:rsidTr="0091631A">
        <w:trPr>
          <w:trHeight w:val="320"/>
        </w:trPr>
        <w:tc>
          <w:tcPr>
            <w:tcW w:w="1625" w:type="dxa"/>
            <w:gridSpan w:val="3"/>
            <w:vMerge/>
            <w:tcBorders>
              <w:top w:val="single" w:sz="8" w:space="0" w:color="auto"/>
              <w:left w:val="single" w:sz="8" w:space="0" w:color="auto"/>
              <w:bottom w:val="nil"/>
              <w:right w:val="single" w:sz="8" w:space="0" w:color="000000"/>
            </w:tcBorders>
            <w:vAlign w:val="center"/>
            <w:hideMark/>
          </w:tcPr>
          <w:p w14:paraId="674D3F38" w14:textId="77777777" w:rsidR="00DC6D3F" w:rsidRPr="001065E8" w:rsidRDefault="00DC6D3F" w:rsidP="00DC6D3F">
            <w:pPr>
              <w:rPr>
                <w:rFonts w:ascii="Arial Narrow" w:eastAsia="Times New Roman" w:hAnsi="Arial Narrow"/>
                <w:b/>
                <w:bCs/>
                <w:color w:val="FFFFFF"/>
                <w:sz w:val="22"/>
                <w:szCs w:val="22"/>
              </w:rPr>
            </w:pPr>
          </w:p>
        </w:tc>
        <w:tc>
          <w:tcPr>
            <w:tcW w:w="3350" w:type="dxa"/>
            <w:vMerge/>
            <w:tcBorders>
              <w:top w:val="single" w:sz="8" w:space="0" w:color="auto"/>
              <w:left w:val="single" w:sz="8" w:space="0" w:color="auto"/>
              <w:bottom w:val="nil"/>
              <w:right w:val="single" w:sz="8" w:space="0" w:color="auto"/>
            </w:tcBorders>
            <w:vAlign w:val="center"/>
            <w:hideMark/>
          </w:tcPr>
          <w:p w14:paraId="197F2EE6" w14:textId="77777777" w:rsidR="00DC6D3F" w:rsidRPr="001065E8" w:rsidRDefault="00DC6D3F" w:rsidP="00DC6D3F">
            <w:pPr>
              <w:rPr>
                <w:rFonts w:ascii="Arial Narrow" w:eastAsia="Times New Roman" w:hAnsi="Arial Narrow"/>
                <w:b/>
                <w:bCs/>
                <w:color w:val="FFFFFF"/>
                <w:sz w:val="22"/>
                <w:szCs w:val="22"/>
              </w:rPr>
            </w:pPr>
          </w:p>
        </w:tc>
        <w:tc>
          <w:tcPr>
            <w:tcW w:w="1972" w:type="dxa"/>
            <w:tcBorders>
              <w:top w:val="nil"/>
              <w:left w:val="nil"/>
              <w:bottom w:val="nil"/>
              <w:right w:val="single" w:sz="8" w:space="0" w:color="auto"/>
            </w:tcBorders>
            <w:shd w:val="clear" w:color="000000" w:fill="203764"/>
            <w:vAlign w:val="center"/>
            <w:hideMark/>
          </w:tcPr>
          <w:p w14:paraId="3F36E214" w14:textId="77777777" w:rsidR="00DC6D3F" w:rsidRPr="001065E8" w:rsidRDefault="00DC6D3F" w:rsidP="00DC6D3F">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w:t>
            </w:r>
          </w:p>
        </w:tc>
        <w:tc>
          <w:tcPr>
            <w:tcW w:w="1997" w:type="dxa"/>
            <w:tcBorders>
              <w:top w:val="nil"/>
              <w:left w:val="nil"/>
              <w:bottom w:val="nil"/>
              <w:right w:val="single" w:sz="8" w:space="0" w:color="auto"/>
            </w:tcBorders>
            <w:shd w:val="clear" w:color="000000" w:fill="203764"/>
            <w:vAlign w:val="center"/>
            <w:hideMark/>
          </w:tcPr>
          <w:p w14:paraId="378BFFC5" w14:textId="54FB4454" w:rsidR="00DC6D3F" w:rsidRPr="0091631A" w:rsidRDefault="0091631A" w:rsidP="00DC6D3F">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5787DB7A" w14:textId="77777777" w:rsidTr="0091631A">
        <w:trPr>
          <w:trHeight w:val="838"/>
        </w:trPr>
        <w:tc>
          <w:tcPr>
            <w:tcW w:w="5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D24398"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1</w:t>
            </w:r>
          </w:p>
        </w:tc>
        <w:tc>
          <w:tcPr>
            <w:tcW w:w="483" w:type="dxa"/>
            <w:tcBorders>
              <w:top w:val="single" w:sz="8" w:space="0" w:color="auto"/>
              <w:left w:val="nil"/>
              <w:bottom w:val="single" w:sz="8" w:space="0" w:color="auto"/>
              <w:right w:val="single" w:sz="8" w:space="0" w:color="auto"/>
            </w:tcBorders>
            <w:shd w:val="clear" w:color="auto" w:fill="auto"/>
            <w:noWrap/>
            <w:vAlign w:val="center"/>
            <w:hideMark/>
          </w:tcPr>
          <w:p w14:paraId="12780566"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94</w:t>
            </w:r>
          </w:p>
        </w:tc>
        <w:tc>
          <w:tcPr>
            <w:tcW w:w="558" w:type="dxa"/>
            <w:tcBorders>
              <w:top w:val="single" w:sz="8" w:space="0" w:color="auto"/>
              <w:left w:val="nil"/>
              <w:bottom w:val="single" w:sz="8" w:space="0" w:color="auto"/>
              <w:right w:val="single" w:sz="8" w:space="0" w:color="auto"/>
            </w:tcBorders>
            <w:shd w:val="clear" w:color="auto" w:fill="auto"/>
            <w:vAlign w:val="center"/>
            <w:hideMark/>
          </w:tcPr>
          <w:p w14:paraId="2173D22E" w14:textId="0B5D8B55"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 xml:space="preserve"> </w:t>
            </w:r>
          </w:p>
        </w:tc>
        <w:tc>
          <w:tcPr>
            <w:tcW w:w="3350" w:type="dxa"/>
            <w:tcBorders>
              <w:top w:val="single" w:sz="8" w:space="0" w:color="auto"/>
              <w:left w:val="nil"/>
              <w:bottom w:val="single" w:sz="8" w:space="0" w:color="auto"/>
              <w:right w:val="nil"/>
            </w:tcBorders>
            <w:shd w:val="clear" w:color="auto" w:fill="auto"/>
            <w:vAlign w:val="center"/>
            <w:hideMark/>
          </w:tcPr>
          <w:p w14:paraId="7352E40F" w14:textId="77777777" w:rsidR="000236D5" w:rsidRPr="001065E8" w:rsidRDefault="000236D5" w:rsidP="000236D5">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Incorporación al Patrimonio Municipal</w:t>
            </w:r>
          </w:p>
        </w:tc>
        <w:tc>
          <w:tcPr>
            <w:tcW w:w="19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9C7632" w14:textId="77777777" w:rsidR="000236D5" w:rsidRPr="001065E8" w:rsidRDefault="000236D5" w:rsidP="000236D5">
            <w:pPr>
              <w:jc w:val="center"/>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NICSP 13, </w:t>
            </w:r>
          </w:p>
          <w:p w14:paraId="4E03F9E0" w14:textId="31FD4DBF"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 xml:space="preserve">Párrafo 46. </w:t>
            </w:r>
          </w:p>
        </w:tc>
        <w:tc>
          <w:tcPr>
            <w:tcW w:w="1997" w:type="dxa"/>
            <w:tcBorders>
              <w:top w:val="single" w:sz="8" w:space="0" w:color="auto"/>
              <w:left w:val="nil"/>
              <w:bottom w:val="single" w:sz="8" w:space="0" w:color="auto"/>
              <w:right w:val="single" w:sz="8" w:space="0" w:color="auto"/>
            </w:tcBorders>
            <w:shd w:val="clear" w:color="auto" w:fill="auto"/>
            <w:vAlign w:val="center"/>
            <w:hideMark/>
          </w:tcPr>
          <w:p w14:paraId="0995EBE8" w14:textId="378F235A" w:rsidR="000236D5" w:rsidRPr="001065E8" w:rsidRDefault="000236D5" w:rsidP="000236D5">
            <w:pPr>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1065E8">
              <w:rPr>
                <w:rFonts w:ascii="Arial Narrow" w:eastAsia="Times New Roman" w:hAnsi="Arial Narrow"/>
                <w:b/>
                <w:bCs/>
                <w:color w:val="000000"/>
                <w:sz w:val="22"/>
                <w:szCs w:val="22"/>
                <w:lang w:val="es-CR"/>
              </w:rPr>
              <w:t>.</w:t>
            </w:r>
          </w:p>
        </w:tc>
      </w:tr>
    </w:tbl>
    <w:p w14:paraId="08EDDAE1" w14:textId="77777777" w:rsidR="00DC6D3F" w:rsidRDefault="00DC6D3F" w:rsidP="003D1CF4">
      <w:pPr>
        <w:spacing w:line="236" w:lineRule="auto"/>
        <w:ind w:left="1134" w:right="260" w:hanging="1134"/>
        <w:jc w:val="both"/>
        <w:rPr>
          <w:rFonts w:ascii="Arial" w:eastAsia="Arial" w:hAnsi="Arial"/>
          <w:b/>
          <w:sz w:val="22"/>
          <w:szCs w:val="22"/>
          <w:lang w:val="es-CR"/>
        </w:rPr>
      </w:pPr>
    </w:p>
    <w:p w14:paraId="5866FFC1" w14:textId="77777777" w:rsidR="00F47532" w:rsidRDefault="00F47532" w:rsidP="003D1CF4">
      <w:pPr>
        <w:spacing w:line="236" w:lineRule="auto"/>
        <w:ind w:left="1134" w:right="260" w:hanging="1134"/>
        <w:jc w:val="both"/>
        <w:rPr>
          <w:rFonts w:ascii="Arial" w:eastAsia="Arial" w:hAnsi="Arial"/>
          <w:b/>
          <w:sz w:val="22"/>
          <w:szCs w:val="22"/>
          <w:lang w:val="es-CR"/>
        </w:rPr>
      </w:pPr>
    </w:p>
    <w:p w14:paraId="625B17B0" w14:textId="77777777" w:rsidR="00F47532" w:rsidRDefault="00F47532" w:rsidP="003D1CF4">
      <w:pPr>
        <w:spacing w:line="236" w:lineRule="auto"/>
        <w:ind w:left="1134" w:right="260" w:hanging="1134"/>
        <w:jc w:val="both"/>
        <w:rPr>
          <w:rFonts w:ascii="Arial" w:eastAsia="Arial" w:hAnsi="Arial"/>
          <w:b/>
          <w:sz w:val="22"/>
          <w:szCs w:val="22"/>
          <w:lang w:val="es-CR"/>
        </w:rPr>
      </w:pPr>
    </w:p>
    <w:p w14:paraId="705D1C91" w14:textId="77777777" w:rsidR="00F47532" w:rsidRDefault="00F47532" w:rsidP="003D1CF4">
      <w:pPr>
        <w:spacing w:line="236" w:lineRule="auto"/>
        <w:ind w:left="1134" w:right="260" w:hanging="1134"/>
        <w:jc w:val="both"/>
        <w:rPr>
          <w:rFonts w:ascii="Arial" w:eastAsia="Arial" w:hAnsi="Arial"/>
          <w:b/>
          <w:sz w:val="22"/>
          <w:szCs w:val="22"/>
          <w:lang w:val="es-CR"/>
        </w:rPr>
      </w:pPr>
    </w:p>
    <w:p w14:paraId="41DB83A4" w14:textId="1D5613EE" w:rsidR="00A963E1" w:rsidRDefault="00A963E1" w:rsidP="003D1CF4">
      <w:pPr>
        <w:spacing w:line="236"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6D65A340" w14:textId="77777777" w:rsidR="00A963E1" w:rsidRPr="00F02F9D" w:rsidRDefault="00A963E1" w:rsidP="003D1CF4">
      <w:pPr>
        <w:spacing w:line="236" w:lineRule="auto"/>
        <w:ind w:left="1134" w:right="260" w:hanging="1134"/>
        <w:jc w:val="both"/>
        <w:rPr>
          <w:rFonts w:ascii="Arial" w:eastAsia="Arial" w:hAnsi="Arial"/>
          <w:b/>
          <w:sz w:val="22"/>
          <w:szCs w:val="22"/>
          <w:lang w:val="es-CR"/>
        </w:rPr>
      </w:pPr>
    </w:p>
    <w:p w14:paraId="4A2688FB" w14:textId="2D936A30" w:rsidR="00567C9E" w:rsidRDefault="00567C9E">
      <w:pPr>
        <w:pStyle w:val="Prrafodelista"/>
        <w:numPr>
          <w:ilvl w:val="3"/>
          <w:numId w:val="22"/>
        </w:num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se considerará como activos fijos capitalizables, aquellos </w:t>
      </w:r>
      <w:r w:rsidR="00DC6D3F" w:rsidRPr="00F02F9D">
        <w:rPr>
          <w:rFonts w:ascii="Arial" w:eastAsia="Arial" w:hAnsi="Arial"/>
          <w:bCs/>
          <w:sz w:val="22"/>
          <w:szCs w:val="22"/>
          <w:lang w:val="es-CR"/>
        </w:rPr>
        <w:t xml:space="preserve">que superen </w:t>
      </w:r>
      <w:r w:rsidR="00A77FD8">
        <w:rPr>
          <w:rFonts w:ascii="Arial" w:eastAsia="Arial" w:hAnsi="Arial"/>
          <w:bCs/>
          <w:sz w:val="22"/>
          <w:szCs w:val="22"/>
          <w:lang w:val="es-CR"/>
        </w:rPr>
        <w:t>la suma de 50 000,00 colones.</w:t>
      </w:r>
    </w:p>
    <w:p w14:paraId="50E5880D" w14:textId="77777777" w:rsidR="00DB0DDE" w:rsidRPr="00F02F9D" w:rsidRDefault="00DB0DDE" w:rsidP="00DB0DDE">
      <w:pPr>
        <w:pStyle w:val="Prrafodelista"/>
        <w:spacing w:line="236" w:lineRule="auto"/>
        <w:ind w:left="993" w:right="260" w:hanging="993"/>
        <w:jc w:val="both"/>
        <w:rPr>
          <w:rFonts w:ascii="Arial" w:eastAsia="Arial" w:hAnsi="Arial"/>
          <w:bCs/>
          <w:sz w:val="22"/>
          <w:szCs w:val="22"/>
          <w:lang w:val="es-CR"/>
        </w:rPr>
      </w:pPr>
    </w:p>
    <w:p w14:paraId="35719ADA" w14:textId="2BC5464C" w:rsidR="00567C9E" w:rsidRDefault="00567C9E">
      <w:pPr>
        <w:pStyle w:val="Prrafodelista"/>
        <w:numPr>
          <w:ilvl w:val="3"/>
          <w:numId w:val="22"/>
        </w:num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 xml:space="preserve">El valor de adquisición de los bienes capitalizables se actualizará anualmente, según el índice de inflación oficial del año anterior. Corresponderá a la Alcaldía </w:t>
      </w:r>
      <w:r w:rsidRPr="00F02F9D">
        <w:rPr>
          <w:rFonts w:ascii="Arial" w:eastAsia="Arial" w:hAnsi="Arial"/>
          <w:bCs/>
          <w:sz w:val="22"/>
          <w:szCs w:val="22"/>
          <w:lang w:val="es-CR"/>
        </w:rPr>
        <w:lastRenderedPageBreak/>
        <w:t>aprobar el valor capitalizable con base en información sobre la actualización de dichos valores suministrada por la Proveeduría y la Contabilidad.</w:t>
      </w:r>
    </w:p>
    <w:p w14:paraId="122E1837" w14:textId="77777777" w:rsidR="00DB0DDE" w:rsidRPr="00DB0DDE" w:rsidRDefault="00DB0DDE" w:rsidP="00DB0DDE">
      <w:pPr>
        <w:spacing w:line="236" w:lineRule="auto"/>
        <w:ind w:left="993" w:right="260" w:hanging="993"/>
        <w:jc w:val="both"/>
        <w:rPr>
          <w:rFonts w:ascii="Arial" w:eastAsia="Arial" w:hAnsi="Arial"/>
          <w:bCs/>
          <w:sz w:val="22"/>
          <w:szCs w:val="22"/>
          <w:lang w:val="es-CR"/>
        </w:rPr>
      </w:pPr>
    </w:p>
    <w:p w14:paraId="1E32CD7F" w14:textId="1E16DD27" w:rsidR="00F35D82" w:rsidRPr="00F02F9D" w:rsidRDefault="00F35D82">
      <w:pPr>
        <w:pStyle w:val="Prrafodelista"/>
        <w:numPr>
          <w:ilvl w:val="3"/>
          <w:numId w:val="22"/>
        </w:numPr>
        <w:spacing w:line="237"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puede </w:t>
      </w:r>
      <w:r w:rsidR="00567C9E" w:rsidRPr="00F02F9D">
        <w:rPr>
          <w:rFonts w:ascii="Arial" w:eastAsia="Arial" w:hAnsi="Arial"/>
          <w:bCs/>
          <w:sz w:val="22"/>
          <w:szCs w:val="22"/>
          <w:lang w:val="es-CR"/>
        </w:rPr>
        <w:t>comprar</w:t>
      </w:r>
      <w:r w:rsidRPr="00F02F9D">
        <w:rPr>
          <w:rFonts w:ascii="Arial" w:eastAsia="Arial" w:hAnsi="Arial"/>
          <w:bCs/>
          <w:sz w:val="22"/>
          <w:szCs w:val="22"/>
          <w:lang w:val="es-CR"/>
        </w:rPr>
        <w:t xml:space="preserve"> </w:t>
      </w:r>
      <w:r w:rsidR="00567C9E" w:rsidRPr="00F02F9D">
        <w:rPr>
          <w:rFonts w:ascii="Arial" w:eastAsia="Arial" w:hAnsi="Arial"/>
          <w:bCs/>
          <w:sz w:val="22"/>
          <w:szCs w:val="22"/>
          <w:lang w:val="es-CR"/>
        </w:rPr>
        <w:t>activos</w:t>
      </w:r>
      <w:r w:rsidRPr="00F02F9D">
        <w:rPr>
          <w:rFonts w:ascii="Arial" w:eastAsia="Arial" w:hAnsi="Arial"/>
          <w:bCs/>
          <w:sz w:val="22"/>
          <w:szCs w:val="22"/>
          <w:lang w:val="es-CR"/>
        </w:rPr>
        <w:t xml:space="preserve"> de PPyE en su propio </w:t>
      </w:r>
      <w:r w:rsidR="00AA22E2" w:rsidRPr="00F02F9D">
        <w:rPr>
          <w:rFonts w:ascii="Arial" w:eastAsia="Arial" w:hAnsi="Arial"/>
          <w:bCs/>
          <w:sz w:val="22"/>
          <w:szCs w:val="22"/>
          <w:lang w:val="es-CR"/>
        </w:rPr>
        <w:t>no</w:t>
      </w:r>
      <w:r w:rsidR="00AA22E2">
        <w:rPr>
          <w:rFonts w:ascii="Arial" w:eastAsia="Arial" w:hAnsi="Arial"/>
          <w:bCs/>
          <w:sz w:val="22"/>
          <w:szCs w:val="22"/>
          <w:lang w:val="es-CR"/>
        </w:rPr>
        <w:t>mbr</w:t>
      </w:r>
      <w:r w:rsidR="00AA22E2" w:rsidRPr="00F02F9D">
        <w:rPr>
          <w:rFonts w:ascii="Arial" w:eastAsia="Arial" w:hAnsi="Arial"/>
          <w:bCs/>
          <w:sz w:val="22"/>
          <w:szCs w:val="22"/>
          <w:lang w:val="es-CR"/>
        </w:rPr>
        <w:t>e</w:t>
      </w:r>
      <w:r w:rsidR="00D83553" w:rsidRPr="00F02F9D">
        <w:rPr>
          <w:rFonts w:ascii="Arial" w:eastAsia="Arial" w:hAnsi="Arial"/>
          <w:bCs/>
          <w:sz w:val="22"/>
          <w:szCs w:val="22"/>
          <w:lang w:val="es-CR"/>
        </w:rPr>
        <w:t>,</w:t>
      </w:r>
      <w:r w:rsidRPr="00F02F9D">
        <w:rPr>
          <w:rFonts w:ascii="Arial" w:eastAsia="Arial" w:hAnsi="Arial"/>
          <w:bCs/>
          <w:sz w:val="22"/>
          <w:szCs w:val="22"/>
          <w:lang w:val="es-CR"/>
        </w:rPr>
        <w:t xml:space="preserve"> </w:t>
      </w:r>
      <w:r w:rsidR="00D83553" w:rsidRPr="00F02F9D">
        <w:rPr>
          <w:rFonts w:ascii="Arial" w:eastAsia="Arial" w:hAnsi="Arial"/>
          <w:bCs/>
          <w:sz w:val="22"/>
          <w:szCs w:val="22"/>
          <w:lang w:val="es-CR"/>
        </w:rPr>
        <w:t>c</w:t>
      </w:r>
      <w:r w:rsidRPr="00F02F9D">
        <w:rPr>
          <w:rFonts w:ascii="Arial" w:eastAsia="Arial" w:hAnsi="Arial"/>
          <w:bCs/>
          <w:sz w:val="22"/>
          <w:szCs w:val="22"/>
          <w:lang w:val="es-CR"/>
        </w:rPr>
        <w:t>onstrui</w:t>
      </w:r>
      <w:r w:rsidR="00D83553" w:rsidRPr="00F02F9D">
        <w:rPr>
          <w:rFonts w:ascii="Arial" w:eastAsia="Arial" w:hAnsi="Arial"/>
          <w:bCs/>
          <w:sz w:val="22"/>
          <w:szCs w:val="22"/>
          <w:lang w:val="es-CR"/>
        </w:rPr>
        <w:t>rlos</w:t>
      </w:r>
      <w:r w:rsidRPr="00F02F9D">
        <w:rPr>
          <w:rFonts w:ascii="Arial" w:eastAsia="Arial" w:hAnsi="Arial"/>
          <w:bCs/>
          <w:sz w:val="22"/>
          <w:szCs w:val="22"/>
          <w:lang w:val="es-CR"/>
        </w:rPr>
        <w:t xml:space="preserve"> </w:t>
      </w:r>
      <w:r w:rsidR="00D83553" w:rsidRPr="00F02F9D">
        <w:rPr>
          <w:rFonts w:ascii="Arial" w:eastAsia="Arial" w:hAnsi="Arial"/>
          <w:bCs/>
          <w:sz w:val="22"/>
          <w:szCs w:val="22"/>
          <w:lang w:val="es-CR"/>
        </w:rPr>
        <w:t>o g</w:t>
      </w:r>
      <w:r w:rsidRPr="00F02F9D">
        <w:rPr>
          <w:rFonts w:ascii="Arial" w:eastAsia="Arial" w:hAnsi="Arial"/>
          <w:bCs/>
          <w:sz w:val="22"/>
          <w:szCs w:val="22"/>
          <w:lang w:val="es-CR"/>
        </w:rPr>
        <w:t>estionar</w:t>
      </w:r>
      <w:r w:rsidR="00D83553" w:rsidRPr="00F02F9D">
        <w:rPr>
          <w:rFonts w:ascii="Arial" w:eastAsia="Arial" w:hAnsi="Arial"/>
          <w:bCs/>
          <w:sz w:val="22"/>
          <w:szCs w:val="22"/>
          <w:lang w:val="es-CR"/>
        </w:rPr>
        <w:t>los</w:t>
      </w:r>
      <w:r w:rsidRPr="00F02F9D">
        <w:rPr>
          <w:rFonts w:ascii="Arial" w:eastAsia="Arial" w:hAnsi="Arial"/>
          <w:bCs/>
          <w:sz w:val="22"/>
          <w:szCs w:val="22"/>
          <w:lang w:val="es-CR"/>
        </w:rPr>
        <w:t xml:space="preserve"> para uso de otras entidades, y </w:t>
      </w:r>
      <w:r w:rsidR="00D83553" w:rsidRPr="00F02F9D">
        <w:rPr>
          <w:rFonts w:ascii="Arial" w:eastAsia="Arial" w:hAnsi="Arial"/>
          <w:bCs/>
          <w:sz w:val="22"/>
          <w:szCs w:val="22"/>
          <w:lang w:val="es-CR"/>
        </w:rPr>
        <w:t>m</w:t>
      </w:r>
      <w:r w:rsidRPr="00F02F9D">
        <w:rPr>
          <w:rFonts w:ascii="Arial" w:eastAsia="Arial" w:hAnsi="Arial"/>
          <w:bCs/>
          <w:sz w:val="22"/>
          <w:szCs w:val="22"/>
          <w:lang w:val="es-CR"/>
        </w:rPr>
        <w:t>antener</w:t>
      </w:r>
      <w:r w:rsidR="00D83553" w:rsidRPr="00F02F9D">
        <w:rPr>
          <w:rFonts w:ascii="Arial" w:eastAsia="Arial" w:hAnsi="Arial"/>
          <w:bCs/>
          <w:sz w:val="22"/>
          <w:szCs w:val="22"/>
          <w:lang w:val="es-CR"/>
        </w:rPr>
        <w:t>los</w:t>
      </w:r>
      <w:r w:rsidRPr="00F02F9D">
        <w:rPr>
          <w:rFonts w:ascii="Arial" w:eastAsia="Arial" w:hAnsi="Arial"/>
          <w:bCs/>
          <w:sz w:val="22"/>
          <w:szCs w:val="22"/>
          <w:lang w:val="es-CR"/>
        </w:rPr>
        <w:t xml:space="preserve"> disponibles para arrenda</w:t>
      </w:r>
      <w:r w:rsidR="00D83553" w:rsidRPr="00F02F9D">
        <w:rPr>
          <w:rFonts w:ascii="Arial" w:eastAsia="Arial" w:hAnsi="Arial"/>
          <w:bCs/>
          <w:sz w:val="22"/>
          <w:szCs w:val="22"/>
          <w:lang w:val="es-CR"/>
        </w:rPr>
        <w:t>rlos</w:t>
      </w:r>
      <w:r w:rsidRPr="00F02F9D">
        <w:rPr>
          <w:rFonts w:ascii="Arial" w:eastAsia="Arial" w:hAnsi="Arial"/>
          <w:bCs/>
          <w:sz w:val="22"/>
          <w:szCs w:val="22"/>
          <w:lang w:val="es-CR"/>
        </w:rPr>
        <w:t>.</w:t>
      </w:r>
    </w:p>
    <w:p w14:paraId="06082EF4" w14:textId="77777777" w:rsidR="00AB28DF" w:rsidRPr="00F02F9D" w:rsidRDefault="00AB28DF" w:rsidP="00AB28DF">
      <w:pPr>
        <w:spacing w:line="237" w:lineRule="auto"/>
        <w:ind w:right="260"/>
        <w:jc w:val="both"/>
        <w:rPr>
          <w:rFonts w:ascii="Arial" w:eastAsia="Arial" w:hAnsi="Arial"/>
          <w:bCs/>
          <w:sz w:val="22"/>
          <w:szCs w:val="22"/>
          <w:lang w:val="es-CR"/>
        </w:rPr>
      </w:pPr>
    </w:p>
    <w:p w14:paraId="10962467" w14:textId="77777777" w:rsidR="00AE7EA8" w:rsidRPr="00F02F9D" w:rsidRDefault="00AE7EA8" w:rsidP="00AE7EA8">
      <w:pPr>
        <w:pStyle w:val="Prrafodelista"/>
        <w:tabs>
          <w:tab w:val="left" w:pos="799"/>
        </w:tabs>
        <w:spacing w:line="237" w:lineRule="auto"/>
        <w:ind w:left="1418" w:right="260"/>
        <w:jc w:val="both"/>
        <w:rPr>
          <w:rFonts w:ascii="Arial" w:eastAsia="Arial" w:hAnsi="Arial"/>
          <w:b/>
          <w:sz w:val="22"/>
          <w:szCs w:val="22"/>
          <w:lang w:val="es-CR"/>
        </w:rPr>
      </w:pPr>
    </w:p>
    <w:tbl>
      <w:tblPr>
        <w:tblW w:w="8937" w:type="dxa"/>
        <w:tblInd w:w="118" w:type="dxa"/>
        <w:tblLook w:val="04A0" w:firstRow="1" w:lastRow="0" w:firstColumn="1" w:lastColumn="0" w:noHBand="0" w:noVBand="1"/>
      </w:tblPr>
      <w:tblGrid>
        <w:gridCol w:w="590"/>
        <w:gridCol w:w="439"/>
        <w:gridCol w:w="564"/>
        <w:gridCol w:w="3666"/>
        <w:gridCol w:w="1670"/>
        <w:gridCol w:w="2008"/>
      </w:tblGrid>
      <w:tr w:rsidR="005A019D" w:rsidRPr="001065E8" w14:paraId="649731EB" w14:textId="77777777" w:rsidTr="0091631A">
        <w:trPr>
          <w:trHeight w:val="320"/>
        </w:trPr>
        <w:tc>
          <w:tcPr>
            <w:tcW w:w="159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7B96126" w14:textId="77777777" w:rsidR="005A019D" w:rsidRPr="001065E8" w:rsidRDefault="005A019D" w:rsidP="005A019D">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 / Política</w:t>
            </w:r>
          </w:p>
        </w:tc>
        <w:tc>
          <w:tcPr>
            <w:tcW w:w="3666" w:type="dxa"/>
            <w:vMerge w:val="restart"/>
            <w:tcBorders>
              <w:top w:val="single" w:sz="8" w:space="0" w:color="auto"/>
              <w:left w:val="single" w:sz="8" w:space="0" w:color="auto"/>
              <w:bottom w:val="nil"/>
              <w:right w:val="single" w:sz="8" w:space="0" w:color="auto"/>
            </w:tcBorders>
            <w:shd w:val="clear" w:color="000000" w:fill="203764"/>
            <w:vAlign w:val="center"/>
            <w:hideMark/>
          </w:tcPr>
          <w:p w14:paraId="0DD0C174" w14:textId="77777777" w:rsidR="005A019D" w:rsidRPr="001065E8" w:rsidRDefault="005A019D" w:rsidP="005A019D">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Concepto</w:t>
            </w:r>
          </w:p>
        </w:tc>
        <w:tc>
          <w:tcPr>
            <w:tcW w:w="3678" w:type="dxa"/>
            <w:gridSpan w:val="2"/>
            <w:tcBorders>
              <w:top w:val="single" w:sz="8" w:space="0" w:color="auto"/>
              <w:left w:val="nil"/>
              <w:bottom w:val="single" w:sz="8" w:space="0" w:color="auto"/>
              <w:right w:val="single" w:sz="8" w:space="0" w:color="000000"/>
            </w:tcBorders>
            <w:shd w:val="clear" w:color="000000" w:fill="203764"/>
            <w:vAlign w:val="center"/>
            <w:hideMark/>
          </w:tcPr>
          <w:p w14:paraId="1C9A4008" w14:textId="77777777" w:rsidR="005A019D" w:rsidRPr="001065E8" w:rsidRDefault="005A019D" w:rsidP="005A019D">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Referencia</w:t>
            </w:r>
          </w:p>
        </w:tc>
      </w:tr>
      <w:tr w:rsidR="005A019D" w:rsidRPr="0091631A" w14:paraId="039AB554" w14:textId="77777777" w:rsidTr="0091631A">
        <w:trPr>
          <w:trHeight w:val="320"/>
        </w:trPr>
        <w:tc>
          <w:tcPr>
            <w:tcW w:w="1593" w:type="dxa"/>
            <w:gridSpan w:val="3"/>
            <w:vMerge/>
            <w:tcBorders>
              <w:top w:val="single" w:sz="8" w:space="0" w:color="auto"/>
              <w:left w:val="single" w:sz="8" w:space="0" w:color="auto"/>
              <w:bottom w:val="nil"/>
              <w:right w:val="single" w:sz="8" w:space="0" w:color="000000"/>
            </w:tcBorders>
            <w:vAlign w:val="center"/>
            <w:hideMark/>
          </w:tcPr>
          <w:p w14:paraId="1762FB5C" w14:textId="77777777" w:rsidR="005A019D" w:rsidRPr="001065E8" w:rsidRDefault="005A019D" w:rsidP="005A019D">
            <w:pPr>
              <w:rPr>
                <w:rFonts w:ascii="Arial Narrow" w:eastAsia="Times New Roman" w:hAnsi="Arial Narrow"/>
                <w:b/>
                <w:bCs/>
                <w:color w:val="FFFFFF"/>
                <w:sz w:val="22"/>
                <w:szCs w:val="22"/>
              </w:rPr>
            </w:pPr>
          </w:p>
        </w:tc>
        <w:tc>
          <w:tcPr>
            <w:tcW w:w="3666" w:type="dxa"/>
            <w:vMerge/>
            <w:tcBorders>
              <w:top w:val="single" w:sz="8" w:space="0" w:color="auto"/>
              <w:left w:val="single" w:sz="8" w:space="0" w:color="auto"/>
              <w:bottom w:val="nil"/>
              <w:right w:val="single" w:sz="8" w:space="0" w:color="auto"/>
            </w:tcBorders>
            <w:vAlign w:val="center"/>
            <w:hideMark/>
          </w:tcPr>
          <w:p w14:paraId="4B51BCFB" w14:textId="77777777" w:rsidR="005A019D" w:rsidRPr="001065E8" w:rsidRDefault="005A019D" w:rsidP="005A019D">
            <w:pPr>
              <w:rPr>
                <w:rFonts w:ascii="Arial Narrow" w:eastAsia="Times New Roman" w:hAnsi="Arial Narrow"/>
                <w:b/>
                <w:bCs/>
                <w:color w:val="FFFFFF"/>
                <w:sz w:val="22"/>
                <w:szCs w:val="22"/>
              </w:rPr>
            </w:pPr>
          </w:p>
        </w:tc>
        <w:tc>
          <w:tcPr>
            <w:tcW w:w="1670" w:type="dxa"/>
            <w:tcBorders>
              <w:top w:val="nil"/>
              <w:left w:val="nil"/>
              <w:bottom w:val="nil"/>
              <w:right w:val="single" w:sz="8" w:space="0" w:color="auto"/>
            </w:tcBorders>
            <w:shd w:val="clear" w:color="000000" w:fill="203764"/>
            <w:vAlign w:val="center"/>
            <w:hideMark/>
          </w:tcPr>
          <w:p w14:paraId="19CBCABE" w14:textId="77777777" w:rsidR="005A019D" w:rsidRPr="001065E8" w:rsidRDefault="005A019D" w:rsidP="005A019D">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w:t>
            </w:r>
          </w:p>
        </w:tc>
        <w:tc>
          <w:tcPr>
            <w:tcW w:w="2008" w:type="dxa"/>
            <w:tcBorders>
              <w:top w:val="nil"/>
              <w:left w:val="nil"/>
              <w:bottom w:val="nil"/>
              <w:right w:val="single" w:sz="8" w:space="0" w:color="auto"/>
            </w:tcBorders>
            <w:shd w:val="clear" w:color="000000" w:fill="203764"/>
            <w:vAlign w:val="center"/>
            <w:hideMark/>
          </w:tcPr>
          <w:p w14:paraId="3A2DA188" w14:textId="475638E5" w:rsidR="005A019D" w:rsidRPr="0091631A" w:rsidRDefault="0091631A" w:rsidP="005A019D">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2B996393" w14:textId="77777777" w:rsidTr="0091631A">
        <w:trPr>
          <w:trHeight w:val="745"/>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2AFF9A"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1</w:t>
            </w:r>
          </w:p>
        </w:tc>
        <w:tc>
          <w:tcPr>
            <w:tcW w:w="439" w:type="dxa"/>
            <w:tcBorders>
              <w:top w:val="single" w:sz="8" w:space="0" w:color="auto"/>
              <w:left w:val="nil"/>
              <w:bottom w:val="single" w:sz="8" w:space="0" w:color="auto"/>
              <w:right w:val="single" w:sz="8" w:space="0" w:color="auto"/>
            </w:tcBorders>
            <w:shd w:val="clear" w:color="auto" w:fill="auto"/>
            <w:noWrap/>
            <w:vAlign w:val="center"/>
            <w:hideMark/>
          </w:tcPr>
          <w:p w14:paraId="499C979A"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95</w:t>
            </w:r>
          </w:p>
        </w:tc>
        <w:tc>
          <w:tcPr>
            <w:tcW w:w="564" w:type="dxa"/>
            <w:tcBorders>
              <w:top w:val="single" w:sz="8" w:space="0" w:color="auto"/>
              <w:left w:val="nil"/>
              <w:bottom w:val="single" w:sz="8" w:space="0" w:color="auto"/>
              <w:right w:val="single" w:sz="8" w:space="0" w:color="auto"/>
            </w:tcBorders>
            <w:shd w:val="clear" w:color="auto" w:fill="auto"/>
            <w:vAlign w:val="center"/>
            <w:hideMark/>
          </w:tcPr>
          <w:p w14:paraId="1770D4ED" w14:textId="6B682376" w:rsidR="000236D5" w:rsidRPr="001065E8" w:rsidRDefault="000236D5" w:rsidP="000236D5">
            <w:pPr>
              <w:jc w:val="center"/>
              <w:rPr>
                <w:rFonts w:ascii="Arial Narrow" w:eastAsia="Times New Roman" w:hAnsi="Arial Narrow"/>
                <w:b/>
                <w:bCs/>
                <w:color w:val="000000"/>
                <w:sz w:val="22"/>
                <w:szCs w:val="22"/>
              </w:rPr>
            </w:pPr>
          </w:p>
        </w:tc>
        <w:tc>
          <w:tcPr>
            <w:tcW w:w="3666" w:type="dxa"/>
            <w:tcBorders>
              <w:top w:val="single" w:sz="8" w:space="0" w:color="auto"/>
              <w:left w:val="nil"/>
              <w:bottom w:val="single" w:sz="8" w:space="0" w:color="auto"/>
              <w:right w:val="nil"/>
            </w:tcBorders>
            <w:shd w:val="clear" w:color="auto" w:fill="auto"/>
            <w:vAlign w:val="center"/>
            <w:hideMark/>
          </w:tcPr>
          <w:p w14:paraId="5EA543BD" w14:textId="11147DAE" w:rsidR="000236D5" w:rsidRPr="001065E8" w:rsidRDefault="000236D5" w:rsidP="001065E8">
            <w:pPr>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Reconocimiento del activo</w:t>
            </w:r>
          </w:p>
        </w:tc>
        <w:tc>
          <w:tcPr>
            <w:tcW w:w="16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2499FB"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 xml:space="preserve">NICSP 17, Párrafo 14. </w:t>
            </w:r>
          </w:p>
        </w:tc>
        <w:tc>
          <w:tcPr>
            <w:tcW w:w="2008" w:type="dxa"/>
            <w:tcBorders>
              <w:top w:val="single" w:sz="8" w:space="0" w:color="auto"/>
              <w:left w:val="nil"/>
              <w:bottom w:val="single" w:sz="8" w:space="0" w:color="auto"/>
              <w:right w:val="single" w:sz="8" w:space="0" w:color="auto"/>
            </w:tcBorders>
            <w:shd w:val="clear" w:color="auto" w:fill="auto"/>
            <w:vAlign w:val="center"/>
            <w:hideMark/>
          </w:tcPr>
          <w:p w14:paraId="6833F05F" w14:textId="441DA48C" w:rsidR="000236D5" w:rsidRPr="001065E8" w:rsidRDefault="000236D5" w:rsidP="000236D5">
            <w:pPr>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1065E8">
              <w:rPr>
                <w:rFonts w:ascii="Arial Narrow" w:eastAsia="Times New Roman" w:hAnsi="Arial Narrow"/>
                <w:b/>
                <w:bCs/>
                <w:color w:val="000000"/>
                <w:sz w:val="22"/>
                <w:szCs w:val="22"/>
                <w:lang w:val="es-CR"/>
              </w:rPr>
              <w:t>.</w:t>
            </w:r>
          </w:p>
        </w:tc>
      </w:tr>
    </w:tbl>
    <w:p w14:paraId="341E11FE" w14:textId="77777777" w:rsidR="005A019D" w:rsidRDefault="005A019D" w:rsidP="005A019D">
      <w:pPr>
        <w:tabs>
          <w:tab w:val="left" w:pos="799"/>
        </w:tabs>
        <w:spacing w:line="237" w:lineRule="auto"/>
        <w:ind w:right="260"/>
        <w:jc w:val="both"/>
        <w:rPr>
          <w:rFonts w:ascii="Arial" w:eastAsia="Arial" w:hAnsi="Arial"/>
          <w:b/>
          <w:sz w:val="22"/>
          <w:szCs w:val="22"/>
          <w:lang w:val="es-CR"/>
        </w:rPr>
      </w:pPr>
    </w:p>
    <w:p w14:paraId="53365A81" w14:textId="673AED4A" w:rsidR="00A963E1" w:rsidRPr="0030399E" w:rsidRDefault="00A963E1" w:rsidP="005A019D">
      <w:pPr>
        <w:tabs>
          <w:tab w:val="left" w:pos="799"/>
        </w:tabs>
        <w:spacing w:line="237" w:lineRule="auto"/>
        <w:ind w:right="260"/>
        <w:jc w:val="both"/>
        <w:rPr>
          <w:rFonts w:ascii="Arial" w:eastAsia="Arial" w:hAnsi="Arial"/>
          <w:b/>
          <w:sz w:val="22"/>
          <w:szCs w:val="22"/>
          <w:lang w:val="es-CR"/>
        </w:rPr>
      </w:pPr>
      <w:r w:rsidRPr="0030399E">
        <w:rPr>
          <w:rFonts w:ascii="Arial" w:eastAsia="Arial" w:hAnsi="Arial"/>
          <w:b/>
          <w:sz w:val="22"/>
          <w:szCs w:val="22"/>
          <w:lang w:val="es-CR"/>
        </w:rPr>
        <w:t>Políticas Contables</w:t>
      </w:r>
    </w:p>
    <w:p w14:paraId="63755BD5" w14:textId="77777777" w:rsidR="00A963E1" w:rsidRPr="00F02F9D" w:rsidRDefault="00A963E1" w:rsidP="005A019D">
      <w:pPr>
        <w:tabs>
          <w:tab w:val="left" w:pos="799"/>
        </w:tabs>
        <w:spacing w:line="237" w:lineRule="auto"/>
        <w:ind w:right="260"/>
        <w:jc w:val="both"/>
        <w:rPr>
          <w:rFonts w:ascii="Arial" w:eastAsia="Arial" w:hAnsi="Arial"/>
          <w:b/>
          <w:sz w:val="22"/>
          <w:szCs w:val="22"/>
          <w:lang w:val="es-CR"/>
        </w:rPr>
      </w:pPr>
    </w:p>
    <w:p w14:paraId="4D2FA941" w14:textId="5A55BB82" w:rsidR="003D1CF4" w:rsidRPr="00F02F9D" w:rsidRDefault="00567C9E" w:rsidP="00DB0DDE">
      <w:p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1.95.0.01</w:t>
      </w:r>
      <w:r w:rsidRPr="00F02F9D">
        <w:rPr>
          <w:rFonts w:ascii="Arial" w:eastAsia="Arial" w:hAnsi="Arial"/>
          <w:bCs/>
          <w:sz w:val="22"/>
          <w:szCs w:val="22"/>
          <w:lang w:val="es-CR"/>
        </w:rPr>
        <w:tab/>
      </w:r>
      <w:r w:rsidR="005A019D"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5A019D" w:rsidRPr="00F02F9D">
        <w:rPr>
          <w:rFonts w:ascii="Arial" w:eastAsia="Arial" w:hAnsi="Arial"/>
          <w:bCs/>
          <w:sz w:val="22"/>
          <w:szCs w:val="22"/>
          <w:lang w:val="es-CR"/>
        </w:rPr>
        <w:t xml:space="preserve"> reconocerá un bien como activo si y sólo si cumple con las siguientes características:</w:t>
      </w:r>
    </w:p>
    <w:p w14:paraId="1C09C987" w14:textId="77777777" w:rsidR="00567C9E" w:rsidRPr="00F02F9D" w:rsidRDefault="00567C9E" w:rsidP="00AE7EA8">
      <w:pPr>
        <w:spacing w:line="236" w:lineRule="auto"/>
        <w:ind w:right="260"/>
        <w:jc w:val="both"/>
        <w:rPr>
          <w:rFonts w:ascii="Arial" w:eastAsia="Arial" w:hAnsi="Arial"/>
          <w:bCs/>
          <w:sz w:val="22"/>
          <w:szCs w:val="22"/>
          <w:lang w:val="es-CR"/>
        </w:rPr>
      </w:pPr>
    </w:p>
    <w:p w14:paraId="58B7452F" w14:textId="77777777" w:rsidR="00BC2619" w:rsidRPr="00F02F9D" w:rsidRDefault="005A019D">
      <w:pPr>
        <w:pStyle w:val="Prrafodelista"/>
        <w:numPr>
          <w:ilvl w:val="0"/>
          <w:numId w:val="21"/>
        </w:numPr>
        <w:spacing w:after="120"/>
        <w:ind w:left="1276"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Es probable que la Institución reciba beneficios económicos o sea un potencial de servicios futuros asociados al activo.</w:t>
      </w:r>
    </w:p>
    <w:p w14:paraId="28B5A0B6" w14:textId="77777777" w:rsidR="00BC2619" w:rsidRPr="00F02F9D" w:rsidRDefault="005A019D">
      <w:pPr>
        <w:pStyle w:val="Prrafodelista"/>
        <w:numPr>
          <w:ilvl w:val="0"/>
          <w:numId w:val="21"/>
        </w:numPr>
        <w:spacing w:after="120"/>
        <w:ind w:left="1276"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El valor razonable o el costo del activo puedan ser medidos de forma fiable.</w:t>
      </w:r>
    </w:p>
    <w:p w14:paraId="6D5CDF54" w14:textId="480CA8D4" w:rsidR="00BC2619" w:rsidRPr="00F02F9D" w:rsidRDefault="00BC2619" w:rsidP="00F47532">
      <w:pPr>
        <w:pStyle w:val="Prrafodelista"/>
        <w:numPr>
          <w:ilvl w:val="0"/>
          <w:numId w:val="21"/>
        </w:numPr>
        <w:ind w:left="1276"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Su vida útil sea mayor a un año.</w:t>
      </w:r>
    </w:p>
    <w:p w14:paraId="25D804BD" w14:textId="77777777" w:rsidR="005A019D" w:rsidRPr="00F02F9D" w:rsidRDefault="005A019D" w:rsidP="005A019D">
      <w:pPr>
        <w:spacing w:line="236" w:lineRule="auto"/>
        <w:ind w:right="260"/>
        <w:rPr>
          <w:rFonts w:ascii="Arial" w:eastAsia="Arial" w:hAnsi="Arial"/>
          <w:b/>
          <w:sz w:val="22"/>
          <w:szCs w:val="22"/>
          <w:lang w:val="es-CR"/>
        </w:rPr>
      </w:pPr>
    </w:p>
    <w:p w14:paraId="7B016624" w14:textId="01A27CA4" w:rsidR="00DD3DF9" w:rsidRPr="00F02F9D" w:rsidRDefault="00BC2619" w:rsidP="00E7725C">
      <w:p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1.95.0.02</w:t>
      </w:r>
      <w:r w:rsidRPr="00F02F9D">
        <w:rPr>
          <w:rFonts w:ascii="Arial" w:eastAsia="Arial" w:hAnsi="Arial"/>
          <w:bCs/>
          <w:sz w:val="22"/>
          <w:szCs w:val="22"/>
          <w:lang w:val="es-CR"/>
        </w:rPr>
        <w:tab/>
      </w:r>
      <w:r w:rsidR="00DD3DF9" w:rsidRPr="00F02F9D">
        <w:rPr>
          <w:rFonts w:ascii="Arial" w:eastAsia="Arial" w:hAnsi="Arial"/>
          <w:bCs/>
          <w:sz w:val="22"/>
          <w:szCs w:val="22"/>
          <w:lang w:val="es-CR"/>
        </w:rPr>
        <w:t xml:space="preserve">Todo activo fijo de la </w:t>
      </w:r>
      <w:r w:rsidR="000F29DC">
        <w:rPr>
          <w:rFonts w:ascii="Arial" w:eastAsia="Arial" w:hAnsi="Arial"/>
          <w:bCs/>
          <w:sz w:val="22"/>
          <w:szCs w:val="22"/>
          <w:lang w:val="es-CR"/>
        </w:rPr>
        <w:t>MBA</w:t>
      </w:r>
      <w:r w:rsidR="00DD3DF9" w:rsidRPr="00F02F9D">
        <w:rPr>
          <w:rFonts w:ascii="Arial" w:eastAsia="Arial" w:hAnsi="Arial"/>
          <w:bCs/>
          <w:sz w:val="22"/>
          <w:szCs w:val="22"/>
          <w:lang w:val="es-CR"/>
        </w:rPr>
        <w:t xml:space="preserve"> deberá contar con una identificación numérica, por medio de una placa metálica, cinta adhesiva, código de barras, grabado eléctrico o uso de marcadores.</w:t>
      </w:r>
    </w:p>
    <w:p w14:paraId="67BFBAAB" w14:textId="77777777" w:rsidR="00BC2619" w:rsidRPr="00F02F9D" w:rsidRDefault="00BC2619" w:rsidP="00BC2619">
      <w:pPr>
        <w:spacing w:line="236" w:lineRule="auto"/>
        <w:ind w:left="1134" w:right="260" w:hanging="1134"/>
        <w:jc w:val="both"/>
        <w:rPr>
          <w:rFonts w:ascii="Arial" w:eastAsia="Arial" w:hAnsi="Arial"/>
          <w:bCs/>
          <w:sz w:val="22"/>
          <w:szCs w:val="22"/>
          <w:lang w:val="es-CR"/>
        </w:rPr>
      </w:pPr>
    </w:p>
    <w:p w14:paraId="08E4B61F" w14:textId="0871FBB2" w:rsidR="00BC2619" w:rsidRPr="00F02F9D" w:rsidRDefault="00BC2619" w:rsidP="00E7725C">
      <w:p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1.95.0.03</w:t>
      </w:r>
      <w:r w:rsidRPr="00F02F9D">
        <w:rPr>
          <w:rFonts w:ascii="Arial" w:eastAsia="Arial" w:hAnsi="Arial"/>
          <w:bCs/>
          <w:sz w:val="22"/>
          <w:szCs w:val="22"/>
          <w:lang w:val="es-CR"/>
        </w:rPr>
        <w:tab/>
        <w:t>Para efectos de control, el Departamento de Aprovisionamiento, al momento de la adquisición del bien, procederá a identificar el mismo, mediante una placa adhesiva o escritura con la siguiente leyenda: Activo de Control.</w:t>
      </w:r>
    </w:p>
    <w:p w14:paraId="7FB86B09" w14:textId="77777777" w:rsidR="00DD3DF9" w:rsidRPr="00F02F9D" w:rsidRDefault="00DD3DF9" w:rsidP="00DD3DF9">
      <w:pPr>
        <w:spacing w:line="277" w:lineRule="exact"/>
        <w:rPr>
          <w:rFonts w:ascii="Arial" w:eastAsia="Times New Roman" w:hAnsi="Arial"/>
          <w:sz w:val="22"/>
          <w:szCs w:val="22"/>
          <w:lang w:val="es-CR"/>
        </w:rPr>
      </w:pPr>
    </w:p>
    <w:p w14:paraId="20B3F687" w14:textId="44653930" w:rsidR="00DD3DF9" w:rsidRPr="00F02F9D" w:rsidRDefault="00BC2619" w:rsidP="00E7725C">
      <w:pPr>
        <w:spacing w:line="236" w:lineRule="auto"/>
        <w:ind w:left="993" w:right="260" w:hanging="993"/>
        <w:jc w:val="both"/>
        <w:rPr>
          <w:rFonts w:ascii="Arial" w:eastAsia="Arial" w:hAnsi="Arial"/>
          <w:bCs/>
          <w:sz w:val="22"/>
          <w:szCs w:val="22"/>
          <w:lang w:val="es-CR"/>
        </w:rPr>
      </w:pPr>
      <w:r w:rsidRPr="00F02F9D">
        <w:rPr>
          <w:rFonts w:ascii="Arial" w:eastAsia="Arial" w:hAnsi="Arial"/>
          <w:bCs/>
          <w:sz w:val="22"/>
          <w:szCs w:val="22"/>
          <w:lang w:val="es-CR"/>
        </w:rPr>
        <w:t>1.95.0.04</w:t>
      </w:r>
      <w:r w:rsidRPr="00F02F9D">
        <w:rPr>
          <w:rFonts w:ascii="Arial" w:eastAsia="Arial" w:hAnsi="Arial"/>
          <w:bCs/>
          <w:sz w:val="22"/>
          <w:szCs w:val="22"/>
          <w:lang w:val="es-CR"/>
        </w:rPr>
        <w:tab/>
      </w:r>
      <w:r w:rsidR="00DD3DF9"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00DD3DF9" w:rsidRPr="00F02F9D">
        <w:rPr>
          <w:rFonts w:ascii="Arial" w:eastAsia="Arial" w:hAnsi="Arial"/>
          <w:bCs/>
          <w:sz w:val="22"/>
          <w:szCs w:val="22"/>
          <w:lang w:val="es-CR"/>
        </w:rPr>
        <w:t xml:space="preserve"> se considerará como activos de control, aquellos bienes</w:t>
      </w:r>
      <w:r w:rsidRPr="00F02F9D">
        <w:rPr>
          <w:rFonts w:ascii="Arial" w:eastAsia="Arial" w:hAnsi="Arial"/>
          <w:bCs/>
          <w:sz w:val="22"/>
          <w:szCs w:val="22"/>
          <w:lang w:val="es-CR"/>
        </w:rPr>
        <w:t xml:space="preserve"> q</w:t>
      </w:r>
      <w:r w:rsidR="00DD3DF9" w:rsidRPr="00F02F9D">
        <w:rPr>
          <w:rFonts w:ascii="Arial" w:eastAsia="Arial" w:hAnsi="Arial"/>
          <w:bCs/>
          <w:sz w:val="22"/>
          <w:szCs w:val="22"/>
          <w:lang w:val="es-CR"/>
        </w:rPr>
        <w:t>ue por su bajo valor monetario, no califica como activo fijo capitalizable, pero al cual se le asigna una identificación para su control, según la materialidad o importancia relativa a juicio profesional del bien.</w:t>
      </w:r>
    </w:p>
    <w:p w14:paraId="33055391" w14:textId="77777777" w:rsidR="00DD3DF9" w:rsidRPr="00F02F9D" w:rsidRDefault="00DD3DF9" w:rsidP="00DD3DF9">
      <w:pPr>
        <w:spacing w:line="277" w:lineRule="exact"/>
        <w:rPr>
          <w:rFonts w:ascii="Arial" w:eastAsia="Arial" w:hAnsi="Arial"/>
          <w:b/>
          <w:sz w:val="22"/>
          <w:szCs w:val="22"/>
          <w:lang w:val="es-CR"/>
        </w:rPr>
      </w:pPr>
    </w:p>
    <w:p w14:paraId="2344A205" w14:textId="1AF58870" w:rsidR="00DD3DF9" w:rsidRPr="00F47532" w:rsidRDefault="00DD3DF9" w:rsidP="00F47532">
      <w:pPr>
        <w:spacing w:line="236" w:lineRule="auto"/>
        <w:ind w:left="993" w:right="260" w:hanging="993"/>
        <w:jc w:val="both"/>
        <w:rPr>
          <w:rFonts w:ascii="Arial" w:eastAsia="Arial" w:hAnsi="Arial"/>
          <w:b/>
          <w:sz w:val="22"/>
          <w:szCs w:val="22"/>
          <w:lang w:val="es-CR"/>
        </w:rPr>
      </w:pPr>
      <w:r w:rsidRPr="00F47532">
        <w:rPr>
          <w:rFonts w:ascii="Arial" w:eastAsia="Arial" w:hAnsi="Arial"/>
          <w:b/>
          <w:sz w:val="22"/>
          <w:szCs w:val="22"/>
          <w:lang w:val="es-CR"/>
        </w:rPr>
        <w:t>Política Transitoria de Reconocimiento</w:t>
      </w:r>
    </w:p>
    <w:p w14:paraId="1B0857C9" w14:textId="77777777" w:rsidR="00DD3DF9" w:rsidRPr="00F02F9D" w:rsidRDefault="00DD3DF9" w:rsidP="00DD3DF9">
      <w:pPr>
        <w:spacing w:line="285" w:lineRule="exact"/>
        <w:rPr>
          <w:rFonts w:ascii="Arial" w:eastAsia="Times New Roman" w:hAnsi="Arial"/>
          <w:sz w:val="22"/>
          <w:szCs w:val="22"/>
          <w:lang w:val="es-CR"/>
        </w:rPr>
      </w:pPr>
    </w:p>
    <w:p w14:paraId="2A1C75D0" w14:textId="5FDB1D9C" w:rsidR="00DD3DF9" w:rsidRPr="001065E8" w:rsidRDefault="00DD3DF9" w:rsidP="004E27A9">
      <w:pPr>
        <w:pStyle w:val="Prrafodelista"/>
        <w:numPr>
          <w:ilvl w:val="3"/>
          <w:numId w:val="427"/>
        </w:numPr>
        <w:spacing w:line="236" w:lineRule="auto"/>
        <w:ind w:right="260"/>
        <w:jc w:val="both"/>
        <w:rPr>
          <w:rFonts w:ascii="Arial" w:eastAsia="Arial" w:hAnsi="Arial"/>
          <w:bCs/>
          <w:sz w:val="22"/>
          <w:szCs w:val="22"/>
          <w:lang w:val="es-CR"/>
        </w:rPr>
      </w:pPr>
      <w:r w:rsidRPr="001065E8">
        <w:rPr>
          <w:rFonts w:ascii="Arial" w:eastAsia="Arial" w:hAnsi="Arial"/>
          <w:bCs/>
          <w:sz w:val="22"/>
          <w:szCs w:val="22"/>
          <w:lang w:val="es-CR"/>
        </w:rPr>
        <w:t xml:space="preserve">La </w:t>
      </w:r>
      <w:r w:rsidR="000F29DC">
        <w:rPr>
          <w:rFonts w:ascii="Arial" w:eastAsia="Arial" w:hAnsi="Arial"/>
          <w:bCs/>
          <w:sz w:val="22"/>
          <w:szCs w:val="22"/>
          <w:lang w:val="es-CR"/>
        </w:rPr>
        <w:t>MBA</w:t>
      </w:r>
      <w:r w:rsidRPr="001065E8">
        <w:rPr>
          <w:rFonts w:ascii="Arial" w:eastAsia="Arial" w:hAnsi="Arial"/>
          <w:bCs/>
          <w:sz w:val="22"/>
          <w:szCs w:val="22"/>
          <w:lang w:val="es-CR"/>
        </w:rPr>
        <w:t xml:space="preserve"> aplicará el valor en libros para la medición de los activos durante el proceso de implementación de las NICSP, para los activos que están totalmente depreciados a la fecha de la implementación, se utilizará como valor de costo </w:t>
      </w:r>
      <w:r w:rsidR="001F5DF4" w:rsidRPr="001065E8">
        <w:rPr>
          <w:rFonts w:ascii="Arial" w:eastAsia="Arial" w:hAnsi="Arial"/>
          <w:bCs/>
          <w:sz w:val="22"/>
          <w:szCs w:val="22"/>
          <w:lang w:val="es-CR"/>
        </w:rPr>
        <w:t xml:space="preserve">un valor </w:t>
      </w:r>
      <w:r w:rsidRPr="001065E8">
        <w:rPr>
          <w:rFonts w:ascii="Arial" w:eastAsia="Arial" w:hAnsi="Arial"/>
          <w:bCs/>
          <w:sz w:val="22"/>
          <w:szCs w:val="22"/>
          <w:lang w:val="es-CR"/>
        </w:rPr>
        <w:t>atribuible.</w:t>
      </w:r>
    </w:p>
    <w:p w14:paraId="1C40A46F" w14:textId="77777777" w:rsidR="001065E8" w:rsidRDefault="001065E8" w:rsidP="00A77FD8">
      <w:pPr>
        <w:pStyle w:val="Prrafodelista"/>
        <w:spacing w:line="236" w:lineRule="auto"/>
        <w:ind w:left="1572" w:right="260"/>
        <w:jc w:val="both"/>
        <w:rPr>
          <w:rFonts w:ascii="Arial" w:eastAsia="Arial" w:hAnsi="Arial"/>
          <w:bCs/>
          <w:sz w:val="22"/>
          <w:szCs w:val="22"/>
          <w:lang w:val="es-CR"/>
        </w:rPr>
      </w:pPr>
    </w:p>
    <w:p w14:paraId="5014D7F2" w14:textId="77777777" w:rsidR="001F5DF4" w:rsidRDefault="001F5DF4" w:rsidP="001F5DF4">
      <w:pPr>
        <w:spacing w:line="236" w:lineRule="auto"/>
        <w:ind w:right="260"/>
        <w:jc w:val="both"/>
        <w:rPr>
          <w:rFonts w:ascii="Arial" w:eastAsia="Arial" w:hAnsi="Arial"/>
          <w:bCs/>
          <w:sz w:val="22"/>
          <w:szCs w:val="22"/>
          <w:lang w:val="es-CR"/>
        </w:rPr>
      </w:pPr>
    </w:p>
    <w:p w14:paraId="06CC5B6E" w14:textId="69F6D15B" w:rsidR="001065E8" w:rsidRPr="001065E8" w:rsidRDefault="001065E8" w:rsidP="001065E8">
      <w:pPr>
        <w:pStyle w:val="Ttulo2"/>
        <w:ind w:left="284"/>
        <w:rPr>
          <w:rFonts w:ascii="Arial" w:eastAsia="Arial" w:hAnsi="Arial" w:cs="Arial"/>
          <w:b/>
          <w:bCs/>
          <w:sz w:val="20"/>
          <w:szCs w:val="20"/>
          <w:lang w:val="es-CR"/>
        </w:rPr>
      </w:pPr>
      <w:bookmarkStart w:id="41" w:name="_Toc172726209"/>
      <w:r w:rsidRPr="001065E8">
        <w:rPr>
          <w:rFonts w:ascii="Arial" w:eastAsia="Arial" w:hAnsi="Arial" w:cs="Arial"/>
          <w:b/>
          <w:bCs/>
          <w:sz w:val="20"/>
          <w:szCs w:val="20"/>
          <w:lang w:val="es-CR"/>
        </w:rPr>
        <w:t>Activos contemplados en bienes no concesionados</w:t>
      </w:r>
      <w:bookmarkEnd w:id="41"/>
    </w:p>
    <w:p w14:paraId="0FEBC4FC" w14:textId="77777777" w:rsidR="00E7725C" w:rsidRPr="00F02F9D" w:rsidRDefault="00E7725C" w:rsidP="001F5DF4">
      <w:pPr>
        <w:spacing w:line="236" w:lineRule="auto"/>
        <w:ind w:right="260"/>
        <w:jc w:val="both"/>
        <w:rPr>
          <w:rFonts w:ascii="Arial" w:eastAsia="Arial" w:hAnsi="Arial"/>
          <w:bCs/>
          <w:sz w:val="22"/>
          <w:szCs w:val="22"/>
          <w:lang w:val="es-CR"/>
        </w:rPr>
      </w:pPr>
    </w:p>
    <w:tbl>
      <w:tblPr>
        <w:tblW w:w="8236" w:type="dxa"/>
        <w:tblInd w:w="118" w:type="dxa"/>
        <w:tblLook w:val="04A0" w:firstRow="1" w:lastRow="0" w:firstColumn="1" w:lastColumn="0" w:noHBand="0" w:noVBand="1"/>
      </w:tblPr>
      <w:tblGrid>
        <w:gridCol w:w="591"/>
        <w:gridCol w:w="439"/>
        <w:gridCol w:w="564"/>
        <w:gridCol w:w="2673"/>
        <w:gridCol w:w="1838"/>
        <w:gridCol w:w="2131"/>
      </w:tblGrid>
      <w:tr w:rsidR="00F02F9D" w:rsidRPr="001065E8" w14:paraId="3A89AB29" w14:textId="77777777" w:rsidTr="0091631A">
        <w:trPr>
          <w:trHeight w:val="320"/>
        </w:trPr>
        <w:tc>
          <w:tcPr>
            <w:tcW w:w="159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E6BB03B" w14:textId="77777777" w:rsidR="001F5DF4" w:rsidRPr="001065E8" w:rsidRDefault="001F5DF4" w:rsidP="00D16719">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 / Política</w:t>
            </w:r>
          </w:p>
        </w:tc>
        <w:tc>
          <w:tcPr>
            <w:tcW w:w="2673" w:type="dxa"/>
            <w:vMerge w:val="restart"/>
            <w:tcBorders>
              <w:top w:val="single" w:sz="8" w:space="0" w:color="auto"/>
              <w:left w:val="single" w:sz="8" w:space="0" w:color="auto"/>
              <w:bottom w:val="nil"/>
              <w:right w:val="single" w:sz="8" w:space="0" w:color="auto"/>
            </w:tcBorders>
            <w:shd w:val="clear" w:color="000000" w:fill="203764"/>
            <w:vAlign w:val="center"/>
            <w:hideMark/>
          </w:tcPr>
          <w:p w14:paraId="44549775" w14:textId="77777777" w:rsidR="001F5DF4" w:rsidRPr="001065E8" w:rsidRDefault="001F5DF4" w:rsidP="00D16719">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Concepto</w:t>
            </w:r>
          </w:p>
        </w:tc>
        <w:tc>
          <w:tcPr>
            <w:tcW w:w="3969" w:type="dxa"/>
            <w:gridSpan w:val="2"/>
            <w:tcBorders>
              <w:top w:val="single" w:sz="8" w:space="0" w:color="auto"/>
              <w:left w:val="nil"/>
              <w:bottom w:val="single" w:sz="8" w:space="0" w:color="auto"/>
              <w:right w:val="single" w:sz="8" w:space="0" w:color="000000"/>
            </w:tcBorders>
            <w:shd w:val="clear" w:color="000000" w:fill="203764"/>
            <w:vAlign w:val="center"/>
            <w:hideMark/>
          </w:tcPr>
          <w:p w14:paraId="7C433D0A" w14:textId="77777777" w:rsidR="001F5DF4" w:rsidRPr="001065E8" w:rsidRDefault="001F5DF4" w:rsidP="00D16719">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Referencia</w:t>
            </w:r>
          </w:p>
        </w:tc>
      </w:tr>
      <w:tr w:rsidR="00F02F9D" w:rsidRPr="0091631A" w14:paraId="0FE513E9" w14:textId="77777777" w:rsidTr="0091631A">
        <w:trPr>
          <w:trHeight w:val="320"/>
        </w:trPr>
        <w:tc>
          <w:tcPr>
            <w:tcW w:w="1594" w:type="dxa"/>
            <w:gridSpan w:val="3"/>
            <w:vMerge/>
            <w:tcBorders>
              <w:top w:val="single" w:sz="8" w:space="0" w:color="auto"/>
              <w:left w:val="single" w:sz="8" w:space="0" w:color="auto"/>
              <w:bottom w:val="nil"/>
              <w:right w:val="single" w:sz="8" w:space="0" w:color="000000"/>
            </w:tcBorders>
            <w:vAlign w:val="center"/>
            <w:hideMark/>
          </w:tcPr>
          <w:p w14:paraId="4E78078E" w14:textId="77777777" w:rsidR="001F5DF4" w:rsidRPr="001065E8" w:rsidRDefault="001F5DF4" w:rsidP="00D16719">
            <w:pPr>
              <w:rPr>
                <w:rFonts w:ascii="Arial Narrow" w:eastAsia="Times New Roman" w:hAnsi="Arial Narrow"/>
                <w:b/>
                <w:bCs/>
                <w:color w:val="FFFFFF"/>
                <w:sz w:val="22"/>
                <w:szCs w:val="22"/>
              </w:rPr>
            </w:pPr>
          </w:p>
        </w:tc>
        <w:tc>
          <w:tcPr>
            <w:tcW w:w="2673" w:type="dxa"/>
            <w:vMerge/>
            <w:tcBorders>
              <w:top w:val="single" w:sz="8" w:space="0" w:color="auto"/>
              <w:left w:val="single" w:sz="8" w:space="0" w:color="auto"/>
              <w:bottom w:val="nil"/>
              <w:right w:val="single" w:sz="8" w:space="0" w:color="auto"/>
            </w:tcBorders>
            <w:vAlign w:val="center"/>
            <w:hideMark/>
          </w:tcPr>
          <w:p w14:paraId="6DC6AD3F" w14:textId="77777777" w:rsidR="001F5DF4" w:rsidRPr="001065E8" w:rsidRDefault="001F5DF4" w:rsidP="00D16719">
            <w:pPr>
              <w:rPr>
                <w:rFonts w:ascii="Arial Narrow" w:eastAsia="Times New Roman" w:hAnsi="Arial Narrow"/>
                <w:b/>
                <w:bCs/>
                <w:color w:val="FFFFFF"/>
                <w:sz w:val="22"/>
                <w:szCs w:val="22"/>
              </w:rPr>
            </w:pPr>
          </w:p>
        </w:tc>
        <w:tc>
          <w:tcPr>
            <w:tcW w:w="1838" w:type="dxa"/>
            <w:tcBorders>
              <w:top w:val="nil"/>
              <w:left w:val="nil"/>
              <w:bottom w:val="nil"/>
              <w:right w:val="single" w:sz="8" w:space="0" w:color="auto"/>
            </w:tcBorders>
            <w:shd w:val="clear" w:color="000000" w:fill="203764"/>
            <w:vAlign w:val="center"/>
            <w:hideMark/>
          </w:tcPr>
          <w:p w14:paraId="79F141D8" w14:textId="77777777" w:rsidR="001F5DF4" w:rsidRPr="001065E8" w:rsidRDefault="001F5DF4" w:rsidP="00D16719">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w:t>
            </w:r>
          </w:p>
        </w:tc>
        <w:tc>
          <w:tcPr>
            <w:tcW w:w="2131" w:type="dxa"/>
            <w:tcBorders>
              <w:top w:val="nil"/>
              <w:left w:val="nil"/>
              <w:bottom w:val="nil"/>
              <w:right w:val="single" w:sz="8" w:space="0" w:color="auto"/>
            </w:tcBorders>
            <w:shd w:val="clear" w:color="000000" w:fill="203764"/>
            <w:vAlign w:val="center"/>
            <w:hideMark/>
          </w:tcPr>
          <w:p w14:paraId="3777F454" w14:textId="395E5FBA" w:rsidR="001F5DF4" w:rsidRPr="0091631A" w:rsidRDefault="0091631A"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5724E055" w14:textId="77777777" w:rsidTr="0091631A">
        <w:trPr>
          <w:trHeight w:val="990"/>
        </w:trPr>
        <w:tc>
          <w:tcPr>
            <w:tcW w:w="5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397981"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1</w:t>
            </w:r>
          </w:p>
        </w:tc>
        <w:tc>
          <w:tcPr>
            <w:tcW w:w="439" w:type="dxa"/>
            <w:tcBorders>
              <w:top w:val="single" w:sz="8" w:space="0" w:color="auto"/>
              <w:left w:val="nil"/>
              <w:bottom w:val="single" w:sz="8" w:space="0" w:color="auto"/>
              <w:right w:val="single" w:sz="8" w:space="0" w:color="auto"/>
            </w:tcBorders>
            <w:shd w:val="clear" w:color="auto" w:fill="auto"/>
            <w:noWrap/>
            <w:vAlign w:val="center"/>
            <w:hideMark/>
          </w:tcPr>
          <w:p w14:paraId="51F73BFA"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96</w:t>
            </w:r>
          </w:p>
        </w:tc>
        <w:tc>
          <w:tcPr>
            <w:tcW w:w="564" w:type="dxa"/>
            <w:tcBorders>
              <w:top w:val="single" w:sz="8" w:space="0" w:color="auto"/>
              <w:left w:val="nil"/>
              <w:bottom w:val="single" w:sz="8" w:space="0" w:color="auto"/>
              <w:right w:val="single" w:sz="8" w:space="0" w:color="auto"/>
            </w:tcBorders>
            <w:shd w:val="clear" w:color="auto" w:fill="auto"/>
            <w:vAlign w:val="center"/>
            <w:hideMark/>
          </w:tcPr>
          <w:p w14:paraId="14C4D82A" w14:textId="2113D3F2" w:rsidR="000236D5" w:rsidRPr="001065E8" w:rsidRDefault="000236D5" w:rsidP="000236D5">
            <w:pPr>
              <w:jc w:val="center"/>
              <w:rPr>
                <w:rFonts w:ascii="Arial Narrow" w:eastAsia="Times New Roman" w:hAnsi="Arial Narrow"/>
                <w:b/>
                <w:bCs/>
                <w:color w:val="000000"/>
                <w:sz w:val="22"/>
                <w:szCs w:val="22"/>
              </w:rPr>
            </w:pPr>
          </w:p>
        </w:tc>
        <w:tc>
          <w:tcPr>
            <w:tcW w:w="2673" w:type="dxa"/>
            <w:tcBorders>
              <w:top w:val="single" w:sz="8" w:space="0" w:color="auto"/>
              <w:left w:val="nil"/>
              <w:bottom w:val="single" w:sz="8" w:space="0" w:color="auto"/>
              <w:right w:val="nil"/>
            </w:tcBorders>
            <w:shd w:val="clear" w:color="auto" w:fill="auto"/>
            <w:vAlign w:val="center"/>
            <w:hideMark/>
          </w:tcPr>
          <w:p w14:paraId="5EA57DC6" w14:textId="77777777" w:rsidR="000236D5" w:rsidRPr="001065E8" w:rsidRDefault="000236D5" w:rsidP="000236D5">
            <w:pPr>
              <w:ind w:leftChars="-2" w:left="-2" w:hangingChars="1" w:hanging="2"/>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Activos contemplados</w:t>
            </w:r>
          </w:p>
        </w:tc>
        <w:tc>
          <w:tcPr>
            <w:tcW w:w="18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20915F" w14:textId="77777777" w:rsidR="001065E8" w:rsidRDefault="000236D5" w:rsidP="000236D5">
            <w:pPr>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NICSP 17,</w:t>
            </w:r>
          </w:p>
          <w:p w14:paraId="0DD70FD1" w14:textId="5975AA40" w:rsidR="000236D5" w:rsidRPr="001065E8" w:rsidRDefault="000236D5" w:rsidP="000236D5">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Párrafos 17 y 52.</w:t>
            </w:r>
          </w:p>
        </w:tc>
        <w:tc>
          <w:tcPr>
            <w:tcW w:w="2131" w:type="dxa"/>
            <w:tcBorders>
              <w:top w:val="single" w:sz="8" w:space="0" w:color="auto"/>
              <w:left w:val="nil"/>
              <w:bottom w:val="single" w:sz="8" w:space="0" w:color="auto"/>
              <w:right w:val="single" w:sz="8" w:space="0" w:color="auto"/>
            </w:tcBorders>
            <w:shd w:val="clear" w:color="auto" w:fill="auto"/>
            <w:vAlign w:val="center"/>
            <w:hideMark/>
          </w:tcPr>
          <w:p w14:paraId="0E867435" w14:textId="356BAAE4" w:rsidR="000236D5" w:rsidRPr="001065E8" w:rsidRDefault="000236D5" w:rsidP="000236D5">
            <w:pPr>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1065E8">
              <w:rPr>
                <w:rFonts w:ascii="Arial Narrow" w:eastAsia="Times New Roman" w:hAnsi="Arial Narrow"/>
                <w:b/>
                <w:bCs/>
                <w:color w:val="000000"/>
                <w:sz w:val="22"/>
                <w:szCs w:val="22"/>
                <w:lang w:val="es-CR"/>
              </w:rPr>
              <w:t>.</w:t>
            </w:r>
          </w:p>
        </w:tc>
      </w:tr>
    </w:tbl>
    <w:p w14:paraId="723917DA" w14:textId="77777777" w:rsidR="001F5DF4" w:rsidRDefault="001F5DF4" w:rsidP="001F5DF4">
      <w:pPr>
        <w:spacing w:line="236" w:lineRule="auto"/>
        <w:ind w:right="260"/>
        <w:jc w:val="both"/>
        <w:rPr>
          <w:rFonts w:ascii="Arial" w:eastAsia="Arial" w:hAnsi="Arial"/>
          <w:bCs/>
          <w:sz w:val="22"/>
          <w:szCs w:val="22"/>
          <w:lang w:val="es-CR"/>
        </w:rPr>
      </w:pPr>
    </w:p>
    <w:p w14:paraId="39DEF3BF" w14:textId="3939AC72" w:rsidR="00A963E1" w:rsidRPr="0030399E" w:rsidRDefault="00A963E1" w:rsidP="001F5DF4">
      <w:pPr>
        <w:spacing w:line="236" w:lineRule="auto"/>
        <w:ind w:right="260"/>
        <w:jc w:val="both"/>
        <w:rPr>
          <w:rFonts w:ascii="Arial" w:eastAsia="Arial" w:hAnsi="Arial"/>
          <w:b/>
          <w:sz w:val="22"/>
          <w:szCs w:val="22"/>
          <w:lang w:val="es-CR"/>
        </w:rPr>
      </w:pPr>
      <w:r w:rsidRPr="0030399E">
        <w:rPr>
          <w:rFonts w:ascii="Arial" w:eastAsia="Arial" w:hAnsi="Arial"/>
          <w:b/>
          <w:sz w:val="22"/>
          <w:szCs w:val="22"/>
          <w:lang w:val="es-CR"/>
        </w:rPr>
        <w:t>Políticas Contables</w:t>
      </w:r>
    </w:p>
    <w:p w14:paraId="3BC01947" w14:textId="77777777" w:rsidR="00A963E1" w:rsidRPr="00F02F9D" w:rsidRDefault="00A963E1" w:rsidP="001F5DF4">
      <w:pPr>
        <w:spacing w:line="236" w:lineRule="auto"/>
        <w:ind w:right="260"/>
        <w:jc w:val="both"/>
        <w:rPr>
          <w:rFonts w:ascii="Arial" w:eastAsia="Arial" w:hAnsi="Arial"/>
          <w:bCs/>
          <w:sz w:val="22"/>
          <w:szCs w:val="22"/>
          <w:lang w:val="es-CR"/>
        </w:rPr>
      </w:pPr>
    </w:p>
    <w:p w14:paraId="3EDB34BA" w14:textId="5DD9F645" w:rsidR="001F5DF4" w:rsidRPr="00F02F9D" w:rsidRDefault="001F5DF4" w:rsidP="001F5DF4">
      <w:pPr>
        <w:spacing w:line="0" w:lineRule="atLeast"/>
        <w:ind w:left="1134" w:hanging="1134"/>
        <w:rPr>
          <w:rFonts w:ascii="Arial" w:eastAsia="Arial" w:hAnsi="Arial"/>
          <w:bCs/>
          <w:sz w:val="22"/>
          <w:szCs w:val="22"/>
          <w:lang w:val="es-CR"/>
        </w:rPr>
      </w:pPr>
      <w:r w:rsidRPr="00F02F9D">
        <w:rPr>
          <w:rFonts w:ascii="Arial" w:eastAsia="Arial" w:hAnsi="Arial"/>
          <w:bCs/>
          <w:sz w:val="22"/>
          <w:szCs w:val="22"/>
          <w:lang w:val="es-CR"/>
        </w:rPr>
        <w:t>1.96.0.01</w:t>
      </w:r>
      <w:r w:rsidRPr="00F02F9D">
        <w:rPr>
          <w:rFonts w:ascii="Arial" w:eastAsia="Arial" w:hAnsi="Arial"/>
          <w:bCs/>
          <w:sz w:val="22"/>
          <w:szCs w:val="22"/>
          <w:lang w:val="es-CR"/>
        </w:rPr>
        <w:tab/>
        <w:t>La Institución considerará como propiedades, planta y equipo, entre otros:</w:t>
      </w:r>
    </w:p>
    <w:p w14:paraId="458D4FA0" w14:textId="77777777" w:rsidR="001F5DF4" w:rsidRPr="00F02F9D" w:rsidRDefault="001F5DF4" w:rsidP="001F5DF4">
      <w:pPr>
        <w:spacing w:line="0" w:lineRule="atLeast"/>
        <w:ind w:left="1134" w:hanging="1134"/>
        <w:rPr>
          <w:rFonts w:ascii="Arial" w:eastAsia="Arial" w:hAnsi="Arial"/>
          <w:bCs/>
          <w:sz w:val="22"/>
          <w:szCs w:val="22"/>
          <w:lang w:val="es-CR"/>
        </w:rPr>
      </w:pPr>
    </w:p>
    <w:p w14:paraId="7A8290F8" w14:textId="77777777" w:rsidR="001F5DF4" w:rsidRPr="00F02F9D" w:rsidRDefault="001F5DF4">
      <w:pPr>
        <w:numPr>
          <w:ilvl w:val="0"/>
          <w:numId w:val="23"/>
        </w:numPr>
        <w:spacing w:after="120"/>
        <w:ind w:left="1559" w:hanging="425"/>
        <w:rPr>
          <w:rFonts w:ascii="Arial" w:eastAsia="Arial" w:hAnsi="Arial"/>
          <w:bCs/>
          <w:sz w:val="22"/>
          <w:szCs w:val="22"/>
        </w:rPr>
      </w:pPr>
      <w:r w:rsidRPr="00F02F9D">
        <w:rPr>
          <w:rFonts w:ascii="Arial" w:eastAsia="Arial" w:hAnsi="Arial"/>
          <w:bCs/>
          <w:sz w:val="22"/>
          <w:szCs w:val="22"/>
        </w:rPr>
        <w:t>Tierras y Terrenos</w:t>
      </w:r>
    </w:p>
    <w:p w14:paraId="7E006C48" w14:textId="77777777" w:rsidR="001F5DF4" w:rsidRPr="00F02F9D" w:rsidRDefault="001F5DF4">
      <w:pPr>
        <w:numPr>
          <w:ilvl w:val="0"/>
          <w:numId w:val="23"/>
        </w:numPr>
        <w:spacing w:after="120"/>
        <w:ind w:left="1559" w:hanging="425"/>
        <w:rPr>
          <w:rFonts w:ascii="Arial" w:eastAsia="Arial" w:hAnsi="Arial"/>
          <w:bCs/>
          <w:sz w:val="22"/>
          <w:szCs w:val="22"/>
        </w:rPr>
      </w:pPr>
      <w:r w:rsidRPr="00F02F9D">
        <w:rPr>
          <w:rFonts w:ascii="Arial" w:eastAsia="Arial" w:hAnsi="Arial"/>
          <w:bCs/>
          <w:sz w:val="22"/>
          <w:szCs w:val="22"/>
        </w:rPr>
        <w:t>Edificios</w:t>
      </w:r>
    </w:p>
    <w:p w14:paraId="7146FF76" w14:textId="77777777" w:rsidR="001F5DF4" w:rsidRPr="00F02F9D" w:rsidRDefault="001F5DF4">
      <w:pPr>
        <w:numPr>
          <w:ilvl w:val="0"/>
          <w:numId w:val="23"/>
        </w:numPr>
        <w:spacing w:after="120"/>
        <w:ind w:left="1559" w:hanging="425"/>
        <w:rPr>
          <w:rFonts w:ascii="Arial" w:eastAsia="Arial" w:hAnsi="Arial"/>
          <w:bCs/>
          <w:sz w:val="22"/>
          <w:szCs w:val="22"/>
          <w:lang w:val="es-CR"/>
        </w:rPr>
      </w:pPr>
      <w:r w:rsidRPr="00F02F9D">
        <w:rPr>
          <w:rFonts w:ascii="Arial" w:eastAsia="Arial" w:hAnsi="Arial"/>
          <w:bCs/>
          <w:sz w:val="22"/>
          <w:szCs w:val="22"/>
          <w:lang w:val="es-CR"/>
        </w:rPr>
        <w:t>Maquinaria y Equipos para la Producción</w:t>
      </w:r>
    </w:p>
    <w:p w14:paraId="4BC35511" w14:textId="77777777" w:rsidR="001F5DF4" w:rsidRPr="00F02F9D" w:rsidRDefault="001F5DF4">
      <w:pPr>
        <w:numPr>
          <w:ilvl w:val="0"/>
          <w:numId w:val="23"/>
        </w:numPr>
        <w:spacing w:after="120"/>
        <w:ind w:left="1559" w:hanging="425"/>
        <w:rPr>
          <w:rFonts w:ascii="Arial" w:eastAsia="Arial" w:hAnsi="Arial"/>
          <w:bCs/>
          <w:sz w:val="22"/>
          <w:szCs w:val="22"/>
          <w:lang w:val="es-CR"/>
        </w:rPr>
      </w:pPr>
      <w:r w:rsidRPr="00F02F9D">
        <w:rPr>
          <w:rFonts w:ascii="Arial" w:eastAsia="Arial" w:hAnsi="Arial"/>
          <w:bCs/>
          <w:sz w:val="22"/>
          <w:szCs w:val="22"/>
          <w:lang w:val="es-CR"/>
        </w:rPr>
        <w:t>Equipos de Transporte, Tracción y elevación</w:t>
      </w:r>
    </w:p>
    <w:p w14:paraId="5638B281" w14:textId="58262780" w:rsidR="001F5DF4" w:rsidRPr="00E7725C" w:rsidRDefault="001F5DF4">
      <w:pPr>
        <w:numPr>
          <w:ilvl w:val="0"/>
          <w:numId w:val="23"/>
        </w:numPr>
        <w:spacing w:after="120"/>
        <w:ind w:left="1559" w:hanging="425"/>
        <w:rPr>
          <w:rFonts w:ascii="Arial" w:eastAsia="Arial" w:hAnsi="Arial"/>
          <w:bCs/>
          <w:sz w:val="22"/>
          <w:szCs w:val="22"/>
        </w:rPr>
      </w:pPr>
      <w:r w:rsidRPr="00F02F9D">
        <w:rPr>
          <w:rFonts w:ascii="Arial" w:eastAsia="Arial" w:hAnsi="Arial"/>
          <w:bCs/>
          <w:sz w:val="22"/>
          <w:szCs w:val="22"/>
        </w:rPr>
        <w:t>Equipos de Comunicación</w:t>
      </w:r>
    </w:p>
    <w:p w14:paraId="5824D7F4" w14:textId="77777777" w:rsidR="001F5DF4" w:rsidRPr="00E7725C" w:rsidRDefault="001F5DF4">
      <w:pPr>
        <w:numPr>
          <w:ilvl w:val="0"/>
          <w:numId w:val="23"/>
        </w:numPr>
        <w:spacing w:after="120"/>
        <w:ind w:left="1559" w:hanging="425"/>
        <w:rPr>
          <w:rFonts w:ascii="Arial" w:eastAsia="Arial" w:hAnsi="Arial"/>
          <w:bCs/>
          <w:sz w:val="22"/>
          <w:szCs w:val="22"/>
          <w:lang w:val="es-CR"/>
        </w:rPr>
      </w:pPr>
      <w:r w:rsidRPr="00E7725C">
        <w:rPr>
          <w:rFonts w:ascii="Arial" w:eastAsia="Arial" w:hAnsi="Arial"/>
          <w:bCs/>
          <w:sz w:val="22"/>
          <w:szCs w:val="22"/>
          <w:lang w:val="es-CR"/>
        </w:rPr>
        <w:t>Equipos y mobiliario de oficina</w:t>
      </w:r>
    </w:p>
    <w:p w14:paraId="187D845C" w14:textId="77777777" w:rsidR="001F5DF4" w:rsidRPr="00F02F9D" w:rsidRDefault="001F5DF4">
      <w:pPr>
        <w:numPr>
          <w:ilvl w:val="0"/>
          <w:numId w:val="23"/>
        </w:numPr>
        <w:spacing w:after="120"/>
        <w:ind w:left="1559" w:hanging="425"/>
        <w:rPr>
          <w:rFonts w:ascii="Arial" w:eastAsia="Arial" w:hAnsi="Arial"/>
          <w:bCs/>
          <w:sz w:val="22"/>
          <w:szCs w:val="22"/>
        </w:rPr>
      </w:pPr>
      <w:r w:rsidRPr="00F02F9D">
        <w:rPr>
          <w:rFonts w:ascii="Arial" w:eastAsia="Arial" w:hAnsi="Arial"/>
          <w:bCs/>
          <w:sz w:val="22"/>
          <w:szCs w:val="22"/>
        </w:rPr>
        <w:t>Equipos de Computación</w:t>
      </w:r>
    </w:p>
    <w:p w14:paraId="4392F517" w14:textId="77777777" w:rsidR="001F5DF4" w:rsidRPr="00F02F9D" w:rsidRDefault="001F5DF4">
      <w:pPr>
        <w:numPr>
          <w:ilvl w:val="0"/>
          <w:numId w:val="23"/>
        </w:numPr>
        <w:spacing w:after="120"/>
        <w:ind w:left="1559" w:hanging="425"/>
        <w:rPr>
          <w:rFonts w:ascii="Arial" w:eastAsia="Arial" w:hAnsi="Arial"/>
          <w:bCs/>
          <w:sz w:val="22"/>
          <w:szCs w:val="22"/>
          <w:lang w:val="es-CR"/>
        </w:rPr>
      </w:pPr>
      <w:r w:rsidRPr="00F02F9D">
        <w:rPr>
          <w:rFonts w:ascii="Arial" w:eastAsia="Arial" w:hAnsi="Arial"/>
          <w:bCs/>
          <w:sz w:val="22"/>
          <w:szCs w:val="22"/>
          <w:lang w:val="es-CR"/>
        </w:rPr>
        <w:t>Equipos y Mobiliario Educacional Deportivo y Recreativo</w:t>
      </w:r>
    </w:p>
    <w:p w14:paraId="77D13BF5" w14:textId="77777777" w:rsidR="001F5DF4" w:rsidRPr="00F02F9D" w:rsidRDefault="001F5DF4">
      <w:pPr>
        <w:numPr>
          <w:ilvl w:val="0"/>
          <w:numId w:val="23"/>
        </w:numPr>
        <w:spacing w:after="120"/>
        <w:ind w:left="1559" w:hanging="425"/>
        <w:rPr>
          <w:rFonts w:ascii="Arial" w:eastAsia="Arial" w:hAnsi="Arial"/>
          <w:bCs/>
          <w:sz w:val="22"/>
          <w:szCs w:val="22"/>
          <w:lang w:val="es-CR"/>
        </w:rPr>
      </w:pPr>
      <w:r w:rsidRPr="00F02F9D">
        <w:rPr>
          <w:rFonts w:ascii="Arial" w:eastAsia="Arial" w:hAnsi="Arial"/>
          <w:bCs/>
          <w:sz w:val="22"/>
          <w:szCs w:val="22"/>
          <w:lang w:val="es-CR"/>
        </w:rPr>
        <w:t>Equipos de Seguridad, Orden, Vigilancia y Control Público</w:t>
      </w:r>
    </w:p>
    <w:p w14:paraId="438C8BA7" w14:textId="77777777" w:rsidR="001F5DF4" w:rsidRDefault="001F5DF4">
      <w:pPr>
        <w:numPr>
          <w:ilvl w:val="0"/>
          <w:numId w:val="23"/>
        </w:numPr>
        <w:spacing w:after="120"/>
        <w:ind w:left="1559" w:hanging="425"/>
        <w:rPr>
          <w:rFonts w:ascii="Arial" w:eastAsia="Arial" w:hAnsi="Arial"/>
          <w:bCs/>
          <w:sz w:val="22"/>
          <w:szCs w:val="22"/>
          <w:lang w:val="es-CR"/>
        </w:rPr>
      </w:pPr>
      <w:r w:rsidRPr="00F02F9D">
        <w:rPr>
          <w:rFonts w:ascii="Arial" w:eastAsia="Arial" w:hAnsi="Arial"/>
          <w:bCs/>
          <w:sz w:val="22"/>
          <w:szCs w:val="22"/>
          <w:lang w:val="es-CR"/>
        </w:rPr>
        <w:t>Maquinarias, Equipos y Mobiliarios Diversos</w:t>
      </w:r>
    </w:p>
    <w:p w14:paraId="38E30257" w14:textId="3E7DC986" w:rsidR="003830E5" w:rsidRDefault="003830E5">
      <w:pPr>
        <w:numPr>
          <w:ilvl w:val="0"/>
          <w:numId w:val="23"/>
        </w:numPr>
        <w:spacing w:line="0" w:lineRule="atLeast"/>
        <w:ind w:left="1560" w:hanging="426"/>
        <w:rPr>
          <w:rFonts w:ascii="Arial" w:eastAsia="Arial" w:hAnsi="Arial"/>
          <w:bCs/>
          <w:sz w:val="22"/>
          <w:szCs w:val="22"/>
          <w:lang w:val="es-CR"/>
        </w:rPr>
      </w:pPr>
      <w:r>
        <w:rPr>
          <w:rFonts w:ascii="Arial" w:eastAsia="Arial" w:hAnsi="Arial"/>
          <w:bCs/>
          <w:sz w:val="22"/>
          <w:szCs w:val="22"/>
          <w:lang w:val="es-CR"/>
        </w:rPr>
        <w:t>Bienes de Infraestructura Vial</w:t>
      </w:r>
    </w:p>
    <w:p w14:paraId="40731164" w14:textId="77777777" w:rsidR="003830E5" w:rsidRDefault="003830E5" w:rsidP="003830E5">
      <w:pPr>
        <w:spacing w:line="0" w:lineRule="atLeast"/>
        <w:ind w:left="1560"/>
        <w:rPr>
          <w:rFonts w:ascii="Arial" w:eastAsia="Arial" w:hAnsi="Arial"/>
          <w:bCs/>
          <w:sz w:val="22"/>
          <w:szCs w:val="22"/>
          <w:lang w:val="es-CR"/>
        </w:rPr>
      </w:pPr>
    </w:p>
    <w:p w14:paraId="532416EE" w14:textId="77777777" w:rsidR="003830E5" w:rsidRPr="00F02F9D" w:rsidRDefault="003830E5" w:rsidP="003830E5">
      <w:pPr>
        <w:spacing w:line="0" w:lineRule="atLeast"/>
        <w:ind w:left="1560"/>
        <w:rPr>
          <w:rFonts w:ascii="Arial" w:eastAsia="Arial" w:hAnsi="Arial"/>
          <w:bCs/>
          <w:sz w:val="22"/>
          <w:szCs w:val="22"/>
          <w:lang w:val="es-CR"/>
        </w:rPr>
      </w:pPr>
    </w:p>
    <w:tbl>
      <w:tblPr>
        <w:tblW w:w="8933" w:type="dxa"/>
        <w:tblInd w:w="118" w:type="dxa"/>
        <w:tblLook w:val="04A0" w:firstRow="1" w:lastRow="0" w:firstColumn="1" w:lastColumn="0" w:noHBand="0" w:noVBand="1"/>
      </w:tblPr>
      <w:tblGrid>
        <w:gridCol w:w="589"/>
        <w:gridCol w:w="461"/>
        <w:gridCol w:w="563"/>
        <w:gridCol w:w="3362"/>
        <w:gridCol w:w="1985"/>
        <w:gridCol w:w="1973"/>
      </w:tblGrid>
      <w:tr w:rsidR="00F02F9D" w:rsidRPr="00F47532" w14:paraId="55574407" w14:textId="77777777" w:rsidTr="0071104F">
        <w:trPr>
          <w:trHeight w:val="320"/>
        </w:trPr>
        <w:tc>
          <w:tcPr>
            <w:tcW w:w="161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170E05F" w14:textId="77777777" w:rsidR="00061158" w:rsidRPr="00F47532" w:rsidRDefault="00061158" w:rsidP="00061158">
            <w:pPr>
              <w:jc w:val="center"/>
              <w:rPr>
                <w:rFonts w:ascii="Arial Narrow" w:eastAsia="Times New Roman" w:hAnsi="Arial Narrow"/>
                <w:b/>
                <w:bCs/>
                <w:color w:val="FFFFFF"/>
                <w:sz w:val="22"/>
                <w:szCs w:val="22"/>
              </w:rPr>
            </w:pPr>
            <w:r w:rsidRPr="00F47532">
              <w:rPr>
                <w:rFonts w:ascii="Arial Narrow" w:eastAsia="Times New Roman" w:hAnsi="Arial Narrow"/>
                <w:b/>
                <w:bCs/>
                <w:color w:val="FFFFFF"/>
                <w:sz w:val="22"/>
                <w:szCs w:val="22"/>
              </w:rPr>
              <w:t>Norma / Política</w:t>
            </w:r>
          </w:p>
        </w:tc>
        <w:tc>
          <w:tcPr>
            <w:tcW w:w="33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525C6591" w14:textId="77777777" w:rsidR="00061158" w:rsidRPr="00F47532" w:rsidRDefault="00061158" w:rsidP="00061158">
            <w:pPr>
              <w:jc w:val="center"/>
              <w:rPr>
                <w:rFonts w:ascii="Arial Narrow" w:eastAsia="Times New Roman" w:hAnsi="Arial Narrow"/>
                <w:b/>
                <w:bCs/>
                <w:color w:val="FFFFFF"/>
                <w:sz w:val="22"/>
                <w:szCs w:val="22"/>
              </w:rPr>
            </w:pPr>
            <w:r w:rsidRPr="00F47532">
              <w:rPr>
                <w:rFonts w:ascii="Arial Narrow" w:eastAsia="Times New Roman" w:hAnsi="Arial Narrow"/>
                <w:b/>
                <w:bCs/>
                <w:color w:val="FFFFFF"/>
                <w:sz w:val="22"/>
                <w:szCs w:val="22"/>
              </w:rPr>
              <w:t>Concepto</w:t>
            </w:r>
          </w:p>
        </w:tc>
        <w:tc>
          <w:tcPr>
            <w:tcW w:w="3958" w:type="dxa"/>
            <w:gridSpan w:val="2"/>
            <w:tcBorders>
              <w:top w:val="single" w:sz="8" w:space="0" w:color="auto"/>
              <w:left w:val="nil"/>
              <w:bottom w:val="single" w:sz="8" w:space="0" w:color="auto"/>
              <w:right w:val="single" w:sz="8" w:space="0" w:color="000000"/>
            </w:tcBorders>
            <w:shd w:val="clear" w:color="000000" w:fill="203764"/>
            <w:vAlign w:val="center"/>
            <w:hideMark/>
          </w:tcPr>
          <w:p w14:paraId="3DB14956" w14:textId="77777777" w:rsidR="00061158" w:rsidRPr="00F47532" w:rsidRDefault="00061158" w:rsidP="00061158">
            <w:pPr>
              <w:jc w:val="center"/>
              <w:rPr>
                <w:rFonts w:ascii="Arial Narrow" w:eastAsia="Times New Roman" w:hAnsi="Arial Narrow"/>
                <w:b/>
                <w:bCs/>
                <w:color w:val="FFFFFF"/>
                <w:sz w:val="22"/>
                <w:szCs w:val="22"/>
              </w:rPr>
            </w:pPr>
            <w:r w:rsidRPr="00F47532">
              <w:rPr>
                <w:rFonts w:ascii="Arial Narrow" w:eastAsia="Times New Roman" w:hAnsi="Arial Narrow"/>
                <w:b/>
                <w:bCs/>
                <w:color w:val="FFFFFF"/>
                <w:sz w:val="22"/>
                <w:szCs w:val="22"/>
              </w:rPr>
              <w:t>Referencia</w:t>
            </w:r>
          </w:p>
        </w:tc>
      </w:tr>
      <w:tr w:rsidR="00F02F9D" w:rsidRPr="0071104F" w14:paraId="0D545A18" w14:textId="77777777" w:rsidTr="0071104F">
        <w:trPr>
          <w:trHeight w:val="320"/>
        </w:trPr>
        <w:tc>
          <w:tcPr>
            <w:tcW w:w="1613" w:type="dxa"/>
            <w:gridSpan w:val="3"/>
            <w:vMerge/>
            <w:tcBorders>
              <w:top w:val="single" w:sz="8" w:space="0" w:color="auto"/>
              <w:left w:val="single" w:sz="8" w:space="0" w:color="auto"/>
              <w:bottom w:val="nil"/>
              <w:right w:val="single" w:sz="8" w:space="0" w:color="000000"/>
            </w:tcBorders>
            <w:vAlign w:val="center"/>
            <w:hideMark/>
          </w:tcPr>
          <w:p w14:paraId="0FD9ADF1" w14:textId="77777777" w:rsidR="00061158" w:rsidRPr="00F47532" w:rsidRDefault="00061158" w:rsidP="00061158">
            <w:pPr>
              <w:rPr>
                <w:rFonts w:ascii="Arial Narrow" w:eastAsia="Times New Roman" w:hAnsi="Arial Narrow"/>
                <w:b/>
                <w:bCs/>
                <w:color w:val="FFFFFF"/>
                <w:sz w:val="22"/>
                <w:szCs w:val="22"/>
              </w:rPr>
            </w:pPr>
          </w:p>
        </w:tc>
        <w:tc>
          <w:tcPr>
            <w:tcW w:w="3362" w:type="dxa"/>
            <w:vMerge/>
            <w:tcBorders>
              <w:top w:val="single" w:sz="8" w:space="0" w:color="auto"/>
              <w:left w:val="single" w:sz="8" w:space="0" w:color="auto"/>
              <w:bottom w:val="nil"/>
              <w:right w:val="single" w:sz="8" w:space="0" w:color="auto"/>
            </w:tcBorders>
            <w:vAlign w:val="center"/>
            <w:hideMark/>
          </w:tcPr>
          <w:p w14:paraId="2CF2B185" w14:textId="77777777" w:rsidR="00061158" w:rsidRPr="00F47532" w:rsidRDefault="00061158" w:rsidP="00061158">
            <w:pPr>
              <w:rPr>
                <w:rFonts w:ascii="Arial Narrow" w:eastAsia="Times New Roman" w:hAnsi="Arial Narrow"/>
                <w:b/>
                <w:bCs/>
                <w:color w:val="FFFFFF"/>
                <w:sz w:val="22"/>
                <w:szCs w:val="22"/>
              </w:rPr>
            </w:pPr>
          </w:p>
        </w:tc>
        <w:tc>
          <w:tcPr>
            <w:tcW w:w="1985" w:type="dxa"/>
            <w:tcBorders>
              <w:top w:val="nil"/>
              <w:left w:val="nil"/>
              <w:bottom w:val="nil"/>
              <w:right w:val="single" w:sz="8" w:space="0" w:color="auto"/>
            </w:tcBorders>
            <w:shd w:val="clear" w:color="000000" w:fill="203764"/>
            <w:vAlign w:val="center"/>
            <w:hideMark/>
          </w:tcPr>
          <w:p w14:paraId="75911347" w14:textId="77777777" w:rsidR="00061158" w:rsidRPr="00F47532" w:rsidRDefault="00061158" w:rsidP="00061158">
            <w:pPr>
              <w:jc w:val="center"/>
              <w:rPr>
                <w:rFonts w:ascii="Arial Narrow" w:eastAsia="Times New Roman" w:hAnsi="Arial Narrow"/>
                <w:b/>
                <w:bCs/>
                <w:color w:val="FFFFFF"/>
                <w:sz w:val="22"/>
                <w:szCs w:val="22"/>
              </w:rPr>
            </w:pPr>
            <w:r w:rsidRPr="00F47532">
              <w:rPr>
                <w:rFonts w:ascii="Arial Narrow" w:eastAsia="Times New Roman" w:hAnsi="Arial Narrow"/>
                <w:b/>
                <w:bCs/>
                <w:color w:val="FFFFFF"/>
                <w:sz w:val="22"/>
                <w:szCs w:val="22"/>
              </w:rPr>
              <w:t>Norma</w:t>
            </w:r>
          </w:p>
        </w:tc>
        <w:tc>
          <w:tcPr>
            <w:tcW w:w="1973" w:type="dxa"/>
            <w:tcBorders>
              <w:top w:val="nil"/>
              <w:left w:val="nil"/>
              <w:bottom w:val="nil"/>
              <w:right w:val="single" w:sz="8" w:space="0" w:color="auto"/>
            </w:tcBorders>
            <w:shd w:val="clear" w:color="000000" w:fill="203764"/>
            <w:vAlign w:val="center"/>
            <w:hideMark/>
          </w:tcPr>
          <w:p w14:paraId="599D946F" w14:textId="0E313D15" w:rsidR="00061158" w:rsidRPr="0071104F" w:rsidRDefault="0071104F" w:rsidP="00061158">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F47532" w14:paraId="3A76F59D" w14:textId="77777777" w:rsidTr="0071104F">
        <w:trPr>
          <w:trHeight w:val="720"/>
        </w:trPr>
        <w:tc>
          <w:tcPr>
            <w:tcW w:w="5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10F02E" w14:textId="77777777" w:rsidR="000236D5" w:rsidRPr="00F47532" w:rsidRDefault="000236D5" w:rsidP="000236D5">
            <w:pPr>
              <w:jc w:val="cente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lang w:val="es-CR"/>
              </w:rPr>
              <w:t>1</w:t>
            </w:r>
          </w:p>
        </w:tc>
        <w:tc>
          <w:tcPr>
            <w:tcW w:w="461" w:type="dxa"/>
            <w:tcBorders>
              <w:top w:val="single" w:sz="8" w:space="0" w:color="auto"/>
              <w:left w:val="nil"/>
              <w:bottom w:val="single" w:sz="8" w:space="0" w:color="auto"/>
              <w:right w:val="single" w:sz="8" w:space="0" w:color="auto"/>
            </w:tcBorders>
            <w:shd w:val="clear" w:color="auto" w:fill="auto"/>
            <w:noWrap/>
            <w:vAlign w:val="center"/>
            <w:hideMark/>
          </w:tcPr>
          <w:p w14:paraId="3CDB0E05" w14:textId="77777777" w:rsidR="000236D5" w:rsidRPr="00F47532" w:rsidRDefault="000236D5" w:rsidP="000236D5">
            <w:pPr>
              <w:jc w:val="cente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98</w:t>
            </w:r>
          </w:p>
        </w:tc>
        <w:tc>
          <w:tcPr>
            <w:tcW w:w="563" w:type="dxa"/>
            <w:tcBorders>
              <w:top w:val="single" w:sz="8" w:space="0" w:color="auto"/>
              <w:left w:val="nil"/>
              <w:bottom w:val="single" w:sz="8" w:space="0" w:color="auto"/>
              <w:right w:val="single" w:sz="8" w:space="0" w:color="auto"/>
            </w:tcBorders>
            <w:shd w:val="clear" w:color="auto" w:fill="auto"/>
            <w:vAlign w:val="center"/>
            <w:hideMark/>
          </w:tcPr>
          <w:p w14:paraId="3AB5B2A7" w14:textId="4D95DE12" w:rsidR="000236D5" w:rsidRPr="00F47532" w:rsidRDefault="000236D5" w:rsidP="000236D5">
            <w:pPr>
              <w:jc w:val="center"/>
              <w:rPr>
                <w:rFonts w:ascii="Arial Narrow" w:eastAsia="Times New Roman" w:hAnsi="Arial Narrow"/>
                <w:b/>
                <w:bCs/>
                <w:color w:val="000000"/>
                <w:sz w:val="22"/>
                <w:szCs w:val="22"/>
              </w:rPr>
            </w:pPr>
          </w:p>
        </w:tc>
        <w:tc>
          <w:tcPr>
            <w:tcW w:w="3362" w:type="dxa"/>
            <w:tcBorders>
              <w:top w:val="single" w:sz="8" w:space="0" w:color="auto"/>
              <w:left w:val="nil"/>
              <w:bottom w:val="single" w:sz="8" w:space="0" w:color="auto"/>
              <w:right w:val="nil"/>
            </w:tcBorders>
            <w:shd w:val="clear" w:color="auto" w:fill="auto"/>
            <w:vAlign w:val="center"/>
            <w:hideMark/>
          </w:tcPr>
          <w:p w14:paraId="67938C87" w14:textId="741A1D7D" w:rsidR="000236D5" w:rsidRPr="00F47532" w:rsidRDefault="000236D5" w:rsidP="000236D5">
            <w:pP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lang w:val="es-CR"/>
              </w:rPr>
              <w:t>Medición de Activos</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96D6A8" w14:textId="77777777" w:rsidR="0071104F" w:rsidRDefault="000236D5" w:rsidP="0071104F">
            <w:pPr>
              <w:jc w:val="both"/>
              <w:rPr>
                <w:rFonts w:ascii="Arial Narrow" w:eastAsia="Times New Roman" w:hAnsi="Arial Narrow"/>
                <w:b/>
                <w:bCs/>
                <w:color w:val="000000"/>
                <w:sz w:val="22"/>
                <w:szCs w:val="22"/>
                <w:lang w:val="es-CR"/>
              </w:rPr>
            </w:pPr>
            <w:r w:rsidRPr="00F47532">
              <w:rPr>
                <w:rFonts w:ascii="Arial Narrow" w:eastAsia="Times New Roman" w:hAnsi="Arial Narrow"/>
                <w:b/>
                <w:bCs/>
                <w:color w:val="000000"/>
                <w:sz w:val="22"/>
                <w:szCs w:val="22"/>
                <w:lang w:val="es-CR"/>
              </w:rPr>
              <w:t xml:space="preserve">NICSP 17, </w:t>
            </w:r>
          </w:p>
          <w:p w14:paraId="22830B69" w14:textId="561EC5CB" w:rsidR="000236D5" w:rsidRPr="00F47532" w:rsidRDefault="000236D5" w:rsidP="0071104F">
            <w:pPr>
              <w:jc w:val="both"/>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lang w:val="es-CR"/>
              </w:rPr>
              <w:t>Párrafos 26.</w:t>
            </w:r>
          </w:p>
        </w:tc>
        <w:tc>
          <w:tcPr>
            <w:tcW w:w="1973" w:type="dxa"/>
            <w:tcBorders>
              <w:top w:val="single" w:sz="8" w:space="0" w:color="auto"/>
              <w:left w:val="nil"/>
              <w:bottom w:val="single" w:sz="8" w:space="0" w:color="auto"/>
              <w:right w:val="single" w:sz="8" w:space="0" w:color="auto"/>
            </w:tcBorders>
            <w:shd w:val="clear" w:color="auto" w:fill="auto"/>
            <w:vAlign w:val="center"/>
            <w:hideMark/>
          </w:tcPr>
          <w:p w14:paraId="185971FF" w14:textId="36E681F0" w:rsidR="000236D5" w:rsidRPr="00F47532" w:rsidRDefault="000236D5" w:rsidP="000236D5">
            <w:pPr>
              <w:jc w:val="both"/>
              <w:rPr>
                <w:rFonts w:ascii="Arial Narrow" w:eastAsia="Times New Roman" w:hAnsi="Arial Narrow"/>
                <w:b/>
                <w:bCs/>
                <w:color w:val="000000"/>
                <w:sz w:val="22"/>
                <w:szCs w:val="22"/>
                <w:lang w:val="es-CR"/>
              </w:rPr>
            </w:pPr>
            <w:r w:rsidRPr="00F47532">
              <w:rPr>
                <w:rFonts w:ascii="Arial Narrow" w:eastAsia="Times New Roman" w:hAnsi="Arial Narrow"/>
                <w:b/>
                <w:bCs/>
                <w:color w:val="000000"/>
                <w:sz w:val="22"/>
                <w:szCs w:val="22"/>
                <w:lang w:val="es-CR"/>
              </w:rPr>
              <w:t xml:space="preserve">Reglamento para la administración de los bienes de la Municipalidad de </w:t>
            </w:r>
            <w:r w:rsidR="008C25B1" w:rsidRPr="00F47532">
              <w:rPr>
                <w:rFonts w:ascii="Arial Narrow" w:eastAsia="Times New Roman" w:hAnsi="Arial Narrow"/>
                <w:b/>
                <w:bCs/>
                <w:color w:val="000000"/>
                <w:sz w:val="22"/>
                <w:szCs w:val="22"/>
                <w:lang w:val="es-CR"/>
              </w:rPr>
              <w:t>Buenos Aires</w:t>
            </w:r>
            <w:r w:rsidRPr="00F47532">
              <w:rPr>
                <w:rFonts w:ascii="Arial Narrow" w:eastAsia="Times New Roman" w:hAnsi="Arial Narrow"/>
                <w:b/>
                <w:bCs/>
                <w:color w:val="000000"/>
                <w:sz w:val="22"/>
                <w:szCs w:val="22"/>
                <w:lang w:val="es-CR"/>
              </w:rPr>
              <w:t>.</w:t>
            </w:r>
          </w:p>
        </w:tc>
      </w:tr>
    </w:tbl>
    <w:p w14:paraId="40699D79" w14:textId="77777777" w:rsidR="00061158" w:rsidRDefault="00061158" w:rsidP="00061158">
      <w:pPr>
        <w:spacing w:line="0" w:lineRule="atLeast"/>
        <w:rPr>
          <w:rFonts w:ascii="Arial" w:eastAsia="Arial" w:hAnsi="Arial"/>
          <w:b/>
          <w:sz w:val="22"/>
          <w:szCs w:val="22"/>
          <w:lang w:val="es-CR"/>
        </w:rPr>
      </w:pPr>
    </w:p>
    <w:p w14:paraId="4F2D7B59" w14:textId="01DBBB7B" w:rsidR="00A963E1" w:rsidRPr="0030399E" w:rsidRDefault="00A963E1" w:rsidP="00061158">
      <w:pPr>
        <w:spacing w:line="0" w:lineRule="atLeast"/>
        <w:rPr>
          <w:rFonts w:ascii="Arial" w:eastAsia="Arial" w:hAnsi="Arial"/>
          <w:b/>
          <w:sz w:val="22"/>
          <w:szCs w:val="22"/>
          <w:lang w:val="es-CR"/>
        </w:rPr>
      </w:pPr>
      <w:r w:rsidRPr="0030399E">
        <w:rPr>
          <w:rFonts w:ascii="Arial" w:eastAsia="Arial" w:hAnsi="Arial"/>
          <w:b/>
          <w:sz w:val="22"/>
          <w:szCs w:val="22"/>
          <w:lang w:val="es-CR"/>
        </w:rPr>
        <w:t>Política Contable</w:t>
      </w:r>
    </w:p>
    <w:p w14:paraId="4902F80F" w14:textId="77777777" w:rsidR="00A963E1" w:rsidRPr="00F02F9D" w:rsidRDefault="00A963E1" w:rsidP="00061158">
      <w:pPr>
        <w:spacing w:line="0" w:lineRule="atLeast"/>
        <w:rPr>
          <w:rFonts w:ascii="Arial" w:eastAsia="Arial" w:hAnsi="Arial"/>
          <w:b/>
          <w:sz w:val="22"/>
          <w:szCs w:val="22"/>
          <w:lang w:val="es-CR"/>
        </w:rPr>
      </w:pPr>
    </w:p>
    <w:p w14:paraId="622D240E" w14:textId="06B39816" w:rsidR="00061158" w:rsidRPr="00F02F9D" w:rsidRDefault="00061158" w:rsidP="00061158">
      <w:pPr>
        <w:spacing w:line="27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1.98.0.01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todo elemento de propiedades, planta y equipo, que cumpla las condiciones para ser reconocido como un activo, se medirá por su costo histórico.</w:t>
      </w:r>
    </w:p>
    <w:p w14:paraId="2A37B584" w14:textId="77777777" w:rsidR="00061158" w:rsidRPr="00F02F9D" w:rsidRDefault="00061158" w:rsidP="00061158">
      <w:pPr>
        <w:spacing w:line="0" w:lineRule="atLeast"/>
        <w:rPr>
          <w:rFonts w:ascii="Arial" w:eastAsia="Arial" w:hAnsi="Arial"/>
          <w:b/>
          <w:sz w:val="22"/>
          <w:szCs w:val="22"/>
          <w:lang w:val="es-CR"/>
        </w:rPr>
      </w:pPr>
    </w:p>
    <w:p w14:paraId="73C0B5E6" w14:textId="77777777" w:rsidR="00ED4E0E" w:rsidRPr="00F02F9D" w:rsidRDefault="00ED4E0E" w:rsidP="00061158">
      <w:pPr>
        <w:spacing w:line="0" w:lineRule="atLeast"/>
        <w:rPr>
          <w:rFonts w:ascii="Arial" w:eastAsia="Arial" w:hAnsi="Arial"/>
          <w:b/>
          <w:sz w:val="22"/>
          <w:szCs w:val="22"/>
          <w:lang w:val="es-CR"/>
        </w:rPr>
      </w:pPr>
    </w:p>
    <w:tbl>
      <w:tblPr>
        <w:tblW w:w="8899" w:type="dxa"/>
        <w:tblInd w:w="118" w:type="dxa"/>
        <w:tblLook w:val="04A0" w:firstRow="1" w:lastRow="0" w:firstColumn="1" w:lastColumn="0" w:noHBand="0" w:noVBand="1"/>
      </w:tblPr>
      <w:tblGrid>
        <w:gridCol w:w="317"/>
        <w:gridCol w:w="689"/>
        <w:gridCol w:w="317"/>
        <w:gridCol w:w="12"/>
        <w:gridCol w:w="3755"/>
        <w:gridCol w:w="12"/>
        <w:gridCol w:w="1949"/>
        <w:gridCol w:w="12"/>
        <w:gridCol w:w="1824"/>
        <w:gridCol w:w="12"/>
      </w:tblGrid>
      <w:tr w:rsidR="00ED4E0E" w:rsidRPr="001065E8" w14:paraId="55DBF1D2" w14:textId="77777777" w:rsidTr="0071104F">
        <w:trPr>
          <w:trHeight w:val="320"/>
        </w:trPr>
        <w:tc>
          <w:tcPr>
            <w:tcW w:w="1335"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34983FD" w14:textId="77777777" w:rsidR="00ED4E0E" w:rsidRPr="001065E8" w:rsidRDefault="00ED4E0E" w:rsidP="00ED4E0E">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 / Política</w:t>
            </w:r>
          </w:p>
        </w:tc>
        <w:tc>
          <w:tcPr>
            <w:tcW w:w="3767"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659343D" w14:textId="77777777" w:rsidR="00ED4E0E" w:rsidRPr="001065E8" w:rsidRDefault="00ED4E0E" w:rsidP="00ED4E0E">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Concepto</w:t>
            </w:r>
          </w:p>
        </w:tc>
        <w:tc>
          <w:tcPr>
            <w:tcW w:w="3797" w:type="dxa"/>
            <w:gridSpan w:val="4"/>
            <w:tcBorders>
              <w:top w:val="single" w:sz="8" w:space="0" w:color="auto"/>
              <w:left w:val="nil"/>
              <w:bottom w:val="single" w:sz="8" w:space="0" w:color="auto"/>
              <w:right w:val="single" w:sz="8" w:space="0" w:color="000000"/>
            </w:tcBorders>
            <w:shd w:val="clear" w:color="000000" w:fill="203764"/>
            <w:vAlign w:val="center"/>
            <w:hideMark/>
          </w:tcPr>
          <w:p w14:paraId="2735CBE6" w14:textId="77777777" w:rsidR="00ED4E0E" w:rsidRPr="001065E8" w:rsidRDefault="00ED4E0E" w:rsidP="00ED4E0E">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Referencia</w:t>
            </w:r>
          </w:p>
        </w:tc>
      </w:tr>
      <w:tr w:rsidR="00ED4E0E" w:rsidRPr="0071104F" w14:paraId="4B131692" w14:textId="77777777" w:rsidTr="0071104F">
        <w:trPr>
          <w:trHeight w:val="320"/>
        </w:trPr>
        <w:tc>
          <w:tcPr>
            <w:tcW w:w="1335" w:type="dxa"/>
            <w:gridSpan w:val="4"/>
            <w:vMerge/>
            <w:tcBorders>
              <w:top w:val="single" w:sz="8" w:space="0" w:color="auto"/>
              <w:left w:val="single" w:sz="8" w:space="0" w:color="auto"/>
              <w:bottom w:val="nil"/>
              <w:right w:val="single" w:sz="8" w:space="0" w:color="000000"/>
            </w:tcBorders>
            <w:vAlign w:val="center"/>
            <w:hideMark/>
          </w:tcPr>
          <w:p w14:paraId="71D8F920" w14:textId="77777777" w:rsidR="00ED4E0E" w:rsidRPr="001065E8" w:rsidRDefault="00ED4E0E" w:rsidP="00ED4E0E">
            <w:pPr>
              <w:rPr>
                <w:rFonts w:ascii="Arial Narrow" w:eastAsia="Times New Roman" w:hAnsi="Arial Narrow"/>
                <w:b/>
                <w:bCs/>
                <w:color w:val="FFFFFF"/>
                <w:sz w:val="22"/>
                <w:szCs w:val="22"/>
              </w:rPr>
            </w:pPr>
          </w:p>
        </w:tc>
        <w:tc>
          <w:tcPr>
            <w:tcW w:w="3767" w:type="dxa"/>
            <w:gridSpan w:val="2"/>
            <w:vMerge/>
            <w:tcBorders>
              <w:top w:val="single" w:sz="8" w:space="0" w:color="auto"/>
              <w:left w:val="single" w:sz="8" w:space="0" w:color="auto"/>
              <w:bottom w:val="nil"/>
              <w:right w:val="single" w:sz="8" w:space="0" w:color="auto"/>
            </w:tcBorders>
            <w:vAlign w:val="center"/>
            <w:hideMark/>
          </w:tcPr>
          <w:p w14:paraId="2BDA39C9" w14:textId="77777777" w:rsidR="00ED4E0E" w:rsidRPr="001065E8" w:rsidRDefault="00ED4E0E" w:rsidP="00ED4E0E">
            <w:pPr>
              <w:rPr>
                <w:rFonts w:ascii="Arial Narrow" w:eastAsia="Times New Roman" w:hAnsi="Arial Narrow"/>
                <w:b/>
                <w:bCs/>
                <w:color w:val="FFFFFF"/>
                <w:sz w:val="22"/>
                <w:szCs w:val="22"/>
              </w:rPr>
            </w:pPr>
          </w:p>
        </w:tc>
        <w:tc>
          <w:tcPr>
            <w:tcW w:w="1961" w:type="dxa"/>
            <w:gridSpan w:val="2"/>
            <w:tcBorders>
              <w:top w:val="nil"/>
              <w:left w:val="nil"/>
              <w:bottom w:val="nil"/>
              <w:right w:val="single" w:sz="8" w:space="0" w:color="auto"/>
            </w:tcBorders>
            <w:shd w:val="clear" w:color="000000" w:fill="203764"/>
            <w:vAlign w:val="center"/>
            <w:hideMark/>
          </w:tcPr>
          <w:p w14:paraId="6DE7A2EB" w14:textId="77777777" w:rsidR="00ED4E0E" w:rsidRPr="001065E8" w:rsidRDefault="00ED4E0E" w:rsidP="00ED4E0E">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w:t>
            </w:r>
          </w:p>
        </w:tc>
        <w:tc>
          <w:tcPr>
            <w:tcW w:w="1836" w:type="dxa"/>
            <w:gridSpan w:val="2"/>
            <w:tcBorders>
              <w:top w:val="nil"/>
              <w:left w:val="nil"/>
              <w:bottom w:val="nil"/>
              <w:right w:val="single" w:sz="8" w:space="0" w:color="auto"/>
            </w:tcBorders>
            <w:shd w:val="clear" w:color="000000" w:fill="203764"/>
            <w:vAlign w:val="center"/>
            <w:hideMark/>
          </w:tcPr>
          <w:p w14:paraId="6A61F579" w14:textId="4B155A07" w:rsidR="00ED4E0E" w:rsidRPr="0071104F" w:rsidRDefault="0071104F" w:rsidP="00ED4E0E">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3BD8A594" w14:textId="77777777" w:rsidTr="0071104F">
        <w:trPr>
          <w:gridAfter w:val="1"/>
          <w:wAfter w:w="12" w:type="dxa"/>
          <w:trHeight w:val="1088"/>
        </w:trPr>
        <w:tc>
          <w:tcPr>
            <w:tcW w:w="3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55C34B"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lastRenderedPageBreak/>
              <w:t>1</w:t>
            </w:r>
          </w:p>
        </w:tc>
        <w:tc>
          <w:tcPr>
            <w:tcW w:w="689" w:type="dxa"/>
            <w:tcBorders>
              <w:top w:val="single" w:sz="8" w:space="0" w:color="auto"/>
              <w:left w:val="nil"/>
              <w:bottom w:val="single" w:sz="8" w:space="0" w:color="auto"/>
              <w:right w:val="single" w:sz="8" w:space="0" w:color="auto"/>
            </w:tcBorders>
            <w:shd w:val="clear" w:color="auto" w:fill="auto"/>
            <w:noWrap/>
            <w:vAlign w:val="center"/>
            <w:hideMark/>
          </w:tcPr>
          <w:p w14:paraId="1331EF70"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99</w:t>
            </w:r>
          </w:p>
        </w:tc>
        <w:tc>
          <w:tcPr>
            <w:tcW w:w="317" w:type="dxa"/>
            <w:tcBorders>
              <w:top w:val="single" w:sz="8" w:space="0" w:color="auto"/>
              <w:left w:val="nil"/>
              <w:bottom w:val="single" w:sz="8" w:space="0" w:color="auto"/>
              <w:right w:val="single" w:sz="8" w:space="0" w:color="auto"/>
            </w:tcBorders>
            <w:shd w:val="clear" w:color="auto" w:fill="auto"/>
            <w:vAlign w:val="center"/>
            <w:hideMark/>
          </w:tcPr>
          <w:p w14:paraId="7DBB5155" w14:textId="7137181B" w:rsidR="000236D5" w:rsidRPr="001065E8" w:rsidRDefault="000236D5" w:rsidP="000236D5">
            <w:pPr>
              <w:jc w:val="center"/>
              <w:rPr>
                <w:rFonts w:ascii="Arial Narrow" w:eastAsia="Times New Roman" w:hAnsi="Arial Narrow"/>
                <w:b/>
                <w:bCs/>
                <w:color w:val="000000"/>
                <w:sz w:val="22"/>
                <w:szCs w:val="22"/>
              </w:rPr>
            </w:pPr>
          </w:p>
        </w:tc>
        <w:tc>
          <w:tcPr>
            <w:tcW w:w="3767" w:type="dxa"/>
            <w:gridSpan w:val="2"/>
            <w:tcBorders>
              <w:top w:val="single" w:sz="8" w:space="0" w:color="auto"/>
              <w:left w:val="nil"/>
              <w:bottom w:val="single" w:sz="8" w:space="0" w:color="auto"/>
              <w:right w:val="nil"/>
            </w:tcBorders>
            <w:shd w:val="clear" w:color="auto" w:fill="auto"/>
            <w:vAlign w:val="center"/>
            <w:hideMark/>
          </w:tcPr>
          <w:p w14:paraId="162C2C2F" w14:textId="1F85215A" w:rsidR="000236D5" w:rsidRPr="001065E8" w:rsidRDefault="000236D5" w:rsidP="000236D5">
            <w:pP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 xml:space="preserve">Activos adquiridos sin </w:t>
            </w:r>
            <w:r w:rsidR="0071104F">
              <w:rPr>
                <w:rFonts w:ascii="Arial Narrow" w:eastAsia="Times New Roman" w:hAnsi="Arial Narrow"/>
                <w:b/>
                <w:bCs/>
                <w:color w:val="000000"/>
                <w:sz w:val="22"/>
                <w:szCs w:val="22"/>
                <w:lang w:val="es-CR"/>
              </w:rPr>
              <w:t>c</w:t>
            </w:r>
            <w:r w:rsidRPr="001065E8">
              <w:rPr>
                <w:rFonts w:ascii="Arial Narrow" w:eastAsia="Times New Roman" w:hAnsi="Arial Narrow"/>
                <w:b/>
                <w:bCs/>
                <w:color w:val="000000"/>
                <w:sz w:val="22"/>
                <w:szCs w:val="22"/>
                <w:lang w:val="es-CR"/>
              </w:rPr>
              <w:t>ontraprestación</w:t>
            </w:r>
          </w:p>
        </w:tc>
        <w:tc>
          <w:tcPr>
            <w:tcW w:w="196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7A7B5C1" w14:textId="77777777" w:rsidR="000236D5" w:rsidRPr="001065E8" w:rsidRDefault="000236D5" w:rsidP="000236D5">
            <w:pPr>
              <w:jc w:val="center"/>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NICSP N° 17, Párrafo 27.  NICSP N° 23, Párrafo 42.</w:t>
            </w:r>
          </w:p>
        </w:tc>
        <w:tc>
          <w:tcPr>
            <w:tcW w:w="1836" w:type="dxa"/>
            <w:gridSpan w:val="2"/>
            <w:tcBorders>
              <w:top w:val="single" w:sz="8" w:space="0" w:color="auto"/>
              <w:left w:val="nil"/>
              <w:bottom w:val="single" w:sz="8" w:space="0" w:color="auto"/>
              <w:right w:val="single" w:sz="8" w:space="0" w:color="auto"/>
            </w:tcBorders>
            <w:shd w:val="clear" w:color="auto" w:fill="auto"/>
            <w:vAlign w:val="center"/>
            <w:hideMark/>
          </w:tcPr>
          <w:p w14:paraId="37F48D2C" w14:textId="3E4DBF27" w:rsidR="000236D5" w:rsidRPr="001065E8" w:rsidRDefault="000236D5" w:rsidP="000236D5">
            <w:pPr>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1065E8">
              <w:rPr>
                <w:rFonts w:ascii="Arial Narrow" w:eastAsia="Times New Roman" w:hAnsi="Arial Narrow"/>
                <w:b/>
                <w:bCs/>
                <w:color w:val="000000"/>
                <w:sz w:val="22"/>
                <w:szCs w:val="22"/>
                <w:lang w:val="es-CR"/>
              </w:rPr>
              <w:t>.</w:t>
            </w:r>
          </w:p>
        </w:tc>
      </w:tr>
      <w:tr w:rsidR="00AB28DF" w:rsidRPr="001065E8" w14:paraId="07E4AC4A" w14:textId="77777777" w:rsidTr="0071104F">
        <w:trPr>
          <w:gridAfter w:val="1"/>
          <w:wAfter w:w="12" w:type="dxa"/>
          <w:trHeight w:val="320"/>
        </w:trPr>
        <w:tc>
          <w:tcPr>
            <w:tcW w:w="317" w:type="dxa"/>
            <w:tcBorders>
              <w:top w:val="nil"/>
              <w:left w:val="single" w:sz="8" w:space="0" w:color="auto"/>
              <w:bottom w:val="single" w:sz="8" w:space="0" w:color="auto"/>
              <w:right w:val="single" w:sz="8" w:space="0" w:color="auto"/>
            </w:tcBorders>
            <w:shd w:val="clear" w:color="auto" w:fill="auto"/>
            <w:vAlign w:val="center"/>
            <w:hideMark/>
          </w:tcPr>
          <w:p w14:paraId="0154FB62" w14:textId="77777777" w:rsidR="00ED4E0E" w:rsidRPr="001065E8" w:rsidRDefault="00ED4E0E" w:rsidP="00ED4E0E">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w:t>
            </w:r>
          </w:p>
        </w:tc>
        <w:tc>
          <w:tcPr>
            <w:tcW w:w="689" w:type="dxa"/>
            <w:tcBorders>
              <w:top w:val="nil"/>
              <w:left w:val="nil"/>
              <w:bottom w:val="single" w:sz="8" w:space="0" w:color="auto"/>
              <w:right w:val="single" w:sz="8" w:space="0" w:color="auto"/>
            </w:tcBorders>
            <w:shd w:val="clear" w:color="auto" w:fill="auto"/>
            <w:noWrap/>
            <w:vAlign w:val="center"/>
            <w:hideMark/>
          </w:tcPr>
          <w:p w14:paraId="343C7F32" w14:textId="77777777" w:rsidR="00ED4E0E" w:rsidRPr="001065E8" w:rsidRDefault="00ED4E0E" w:rsidP="00ED4E0E">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99</w:t>
            </w:r>
          </w:p>
        </w:tc>
        <w:tc>
          <w:tcPr>
            <w:tcW w:w="317" w:type="dxa"/>
            <w:tcBorders>
              <w:top w:val="nil"/>
              <w:left w:val="nil"/>
              <w:bottom w:val="single" w:sz="8" w:space="0" w:color="auto"/>
              <w:right w:val="single" w:sz="8" w:space="0" w:color="auto"/>
            </w:tcBorders>
            <w:shd w:val="clear" w:color="auto" w:fill="auto"/>
            <w:vAlign w:val="center"/>
            <w:hideMark/>
          </w:tcPr>
          <w:p w14:paraId="0FE87B88" w14:textId="77777777" w:rsidR="00ED4E0E" w:rsidRPr="001065E8" w:rsidRDefault="00ED4E0E" w:rsidP="00ED4E0E">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w:t>
            </w:r>
          </w:p>
        </w:tc>
        <w:tc>
          <w:tcPr>
            <w:tcW w:w="3767" w:type="dxa"/>
            <w:gridSpan w:val="2"/>
            <w:tcBorders>
              <w:top w:val="nil"/>
              <w:left w:val="nil"/>
              <w:bottom w:val="single" w:sz="8" w:space="0" w:color="auto"/>
              <w:right w:val="nil"/>
            </w:tcBorders>
            <w:shd w:val="clear" w:color="auto" w:fill="auto"/>
            <w:vAlign w:val="center"/>
            <w:hideMark/>
          </w:tcPr>
          <w:p w14:paraId="64D7D1A1" w14:textId="77777777" w:rsidR="00ED4E0E" w:rsidRPr="001065E8" w:rsidRDefault="00ED4E0E" w:rsidP="00ED4E0E">
            <w:pPr>
              <w:ind w:firstLineChars="100" w:firstLine="220"/>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Activos transferidos</w:t>
            </w:r>
          </w:p>
        </w:tc>
        <w:tc>
          <w:tcPr>
            <w:tcW w:w="1961" w:type="dxa"/>
            <w:gridSpan w:val="2"/>
            <w:tcBorders>
              <w:top w:val="nil"/>
              <w:left w:val="single" w:sz="8" w:space="0" w:color="auto"/>
              <w:bottom w:val="single" w:sz="8" w:space="0" w:color="auto"/>
              <w:right w:val="single" w:sz="8" w:space="0" w:color="auto"/>
            </w:tcBorders>
            <w:shd w:val="clear" w:color="auto" w:fill="auto"/>
            <w:vAlign w:val="center"/>
            <w:hideMark/>
          </w:tcPr>
          <w:p w14:paraId="4691FF0B" w14:textId="77777777" w:rsidR="00ED4E0E" w:rsidRPr="001065E8" w:rsidRDefault="00ED4E0E" w:rsidP="00ED4E0E">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 </w:t>
            </w:r>
          </w:p>
        </w:tc>
        <w:tc>
          <w:tcPr>
            <w:tcW w:w="1836" w:type="dxa"/>
            <w:gridSpan w:val="2"/>
            <w:tcBorders>
              <w:top w:val="nil"/>
              <w:left w:val="nil"/>
              <w:bottom w:val="single" w:sz="8" w:space="0" w:color="auto"/>
              <w:right w:val="single" w:sz="8" w:space="0" w:color="auto"/>
            </w:tcBorders>
            <w:shd w:val="clear" w:color="auto" w:fill="auto"/>
            <w:vAlign w:val="center"/>
            <w:hideMark/>
          </w:tcPr>
          <w:p w14:paraId="69F21A37" w14:textId="77777777" w:rsidR="00ED4E0E" w:rsidRPr="001065E8" w:rsidRDefault="00ED4E0E" w:rsidP="00ED4E0E">
            <w:pP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DGCN</w:t>
            </w:r>
          </w:p>
        </w:tc>
      </w:tr>
    </w:tbl>
    <w:p w14:paraId="1D27AFFE" w14:textId="77777777" w:rsidR="00061158" w:rsidRDefault="00061158" w:rsidP="00061158">
      <w:pPr>
        <w:spacing w:line="0" w:lineRule="atLeast"/>
        <w:rPr>
          <w:rFonts w:ascii="Arial" w:eastAsia="Arial" w:hAnsi="Arial"/>
          <w:b/>
          <w:sz w:val="22"/>
          <w:szCs w:val="22"/>
          <w:lang w:val="es-CR"/>
        </w:rPr>
      </w:pPr>
    </w:p>
    <w:p w14:paraId="23A35648" w14:textId="4C31BE8E" w:rsidR="00A963E1" w:rsidRDefault="00A963E1" w:rsidP="00061158">
      <w:pPr>
        <w:spacing w:line="0" w:lineRule="atLeast"/>
        <w:rPr>
          <w:rFonts w:ascii="Arial" w:eastAsia="Arial" w:hAnsi="Arial"/>
          <w:b/>
          <w:sz w:val="22"/>
          <w:szCs w:val="22"/>
        </w:rPr>
      </w:pPr>
      <w:r w:rsidRPr="00F02F9D">
        <w:rPr>
          <w:rFonts w:ascii="Arial" w:eastAsia="Arial" w:hAnsi="Arial"/>
          <w:b/>
          <w:sz w:val="22"/>
          <w:szCs w:val="22"/>
        </w:rPr>
        <w:t>Políticas Contables</w:t>
      </w:r>
    </w:p>
    <w:p w14:paraId="54FF9ACE" w14:textId="77777777" w:rsidR="00A963E1" w:rsidRPr="00F02F9D" w:rsidRDefault="00A963E1" w:rsidP="00061158">
      <w:pPr>
        <w:spacing w:line="0" w:lineRule="atLeast"/>
        <w:rPr>
          <w:rFonts w:ascii="Arial" w:eastAsia="Arial" w:hAnsi="Arial"/>
          <w:b/>
          <w:sz w:val="22"/>
          <w:szCs w:val="22"/>
          <w:lang w:val="es-CR"/>
        </w:rPr>
      </w:pPr>
    </w:p>
    <w:p w14:paraId="1F08DE26" w14:textId="13CEB394" w:rsidR="00ED4E0E" w:rsidRDefault="00ED4E0E" w:rsidP="00ED4E0E">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1.99.0.01</w:t>
      </w:r>
      <w:r w:rsidRPr="00F02F9D">
        <w:rPr>
          <w:rFonts w:ascii="Arial" w:eastAsia="Arial" w:hAnsi="Arial"/>
          <w:bCs/>
          <w:sz w:val="22"/>
          <w:szCs w:val="22"/>
          <w:lang w:val="es-CR"/>
        </w:rPr>
        <w:tab/>
        <w:t xml:space="preserve">En caso de que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adquiera un activo a través de una transacción sin contraprestación, o a un costo insignificante o nulo, su costo se medirá inicialmente a su valor razonable a la fecha de adquisición.</w:t>
      </w:r>
    </w:p>
    <w:p w14:paraId="0CCE9586" w14:textId="77777777" w:rsidR="003830E5" w:rsidRPr="00F02F9D" w:rsidRDefault="003830E5" w:rsidP="00ED4E0E">
      <w:pPr>
        <w:spacing w:line="237" w:lineRule="auto"/>
        <w:ind w:left="1134" w:right="260" w:hanging="1134"/>
        <w:jc w:val="both"/>
        <w:rPr>
          <w:rFonts w:ascii="Arial" w:eastAsia="Arial" w:hAnsi="Arial"/>
          <w:bCs/>
          <w:sz w:val="22"/>
          <w:szCs w:val="22"/>
          <w:lang w:val="es-CR"/>
        </w:rPr>
      </w:pPr>
    </w:p>
    <w:p w14:paraId="66247670" w14:textId="57743163" w:rsidR="00ED4E0E" w:rsidRDefault="00ED4E0E" w:rsidP="00ED4E0E">
      <w:pPr>
        <w:spacing w:line="237" w:lineRule="auto"/>
        <w:ind w:left="1134" w:right="280" w:hanging="1134"/>
        <w:jc w:val="both"/>
        <w:rPr>
          <w:rFonts w:ascii="Arial" w:eastAsia="Arial" w:hAnsi="Arial"/>
          <w:bCs/>
          <w:sz w:val="22"/>
          <w:szCs w:val="22"/>
          <w:lang w:val="es-CR"/>
        </w:rPr>
      </w:pPr>
      <w:r w:rsidRPr="00F02F9D">
        <w:rPr>
          <w:rFonts w:ascii="Arial" w:eastAsia="Arial" w:hAnsi="Arial"/>
          <w:bCs/>
          <w:sz w:val="22"/>
          <w:szCs w:val="22"/>
          <w:lang w:val="es-CR"/>
        </w:rPr>
        <w:t>1.99.0.02</w:t>
      </w:r>
      <w:r w:rsidRPr="00F02F9D">
        <w:rPr>
          <w:rFonts w:ascii="Arial" w:eastAsia="Arial" w:hAnsi="Arial"/>
          <w:bCs/>
          <w:sz w:val="22"/>
          <w:szCs w:val="22"/>
          <w:lang w:val="es-CR"/>
        </w:rPr>
        <w:tab/>
        <w:t xml:space="preserve">Si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recibe activos transferidos por parte de una entidad pública no empresarial costarricense, el reconocimiento inicial se medirá al valor en libros de aquella entidad al momento de la transferencia.</w:t>
      </w:r>
    </w:p>
    <w:p w14:paraId="060308B7" w14:textId="77777777" w:rsidR="003830E5" w:rsidRPr="00F02F9D" w:rsidRDefault="003830E5" w:rsidP="00ED4E0E">
      <w:pPr>
        <w:spacing w:line="237" w:lineRule="auto"/>
        <w:ind w:left="1134" w:right="280" w:hanging="1134"/>
        <w:jc w:val="both"/>
        <w:rPr>
          <w:rFonts w:ascii="Arial" w:eastAsia="Arial" w:hAnsi="Arial"/>
          <w:bCs/>
          <w:sz w:val="22"/>
          <w:szCs w:val="22"/>
          <w:lang w:val="es-CR"/>
        </w:rPr>
      </w:pPr>
    </w:p>
    <w:p w14:paraId="1357D8C1" w14:textId="77777777" w:rsidR="003830E5" w:rsidRPr="00F02F9D" w:rsidRDefault="003830E5" w:rsidP="00061158">
      <w:pPr>
        <w:spacing w:line="0" w:lineRule="atLeast"/>
        <w:rPr>
          <w:rFonts w:ascii="Arial" w:eastAsia="Arial" w:hAnsi="Arial"/>
          <w:b/>
          <w:sz w:val="22"/>
          <w:szCs w:val="22"/>
          <w:lang w:val="es-CR"/>
        </w:rPr>
      </w:pPr>
    </w:p>
    <w:tbl>
      <w:tblPr>
        <w:tblW w:w="9028" w:type="dxa"/>
        <w:tblInd w:w="118" w:type="dxa"/>
        <w:tblLook w:val="04A0" w:firstRow="1" w:lastRow="0" w:firstColumn="1" w:lastColumn="0" w:noHBand="0" w:noVBand="1"/>
      </w:tblPr>
      <w:tblGrid>
        <w:gridCol w:w="558"/>
        <w:gridCol w:w="550"/>
        <w:gridCol w:w="538"/>
        <w:gridCol w:w="3329"/>
        <w:gridCol w:w="1992"/>
        <w:gridCol w:w="2061"/>
      </w:tblGrid>
      <w:tr w:rsidR="00C24AA0" w:rsidRPr="001065E8" w14:paraId="089D1B17" w14:textId="77777777" w:rsidTr="0071104F">
        <w:trPr>
          <w:trHeight w:val="320"/>
        </w:trPr>
        <w:tc>
          <w:tcPr>
            <w:tcW w:w="164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FFA3980" w14:textId="77777777" w:rsidR="00C24AA0" w:rsidRPr="001065E8" w:rsidRDefault="00C24AA0" w:rsidP="00C24AA0">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 / Política</w:t>
            </w:r>
          </w:p>
        </w:tc>
        <w:tc>
          <w:tcPr>
            <w:tcW w:w="332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D7CB94B" w14:textId="77777777" w:rsidR="00C24AA0" w:rsidRPr="001065E8" w:rsidRDefault="00C24AA0" w:rsidP="00C24AA0">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Concepto</w:t>
            </w:r>
          </w:p>
        </w:tc>
        <w:tc>
          <w:tcPr>
            <w:tcW w:w="4053" w:type="dxa"/>
            <w:gridSpan w:val="2"/>
            <w:tcBorders>
              <w:top w:val="single" w:sz="8" w:space="0" w:color="auto"/>
              <w:left w:val="nil"/>
              <w:bottom w:val="single" w:sz="8" w:space="0" w:color="auto"/>
              <w:right w:val="single" w:sz="8" w:space="0" w:color="000000"/>
            </w:tcBorders>
            <w:shd w:val="clear" w:color="000000" w:fill="203764"/>
            <w:vAlign w:val="center"/>
            <w:hideMark/>
          </w:tcPr>
          <w:p w14:paraId="14DD4B44" w14:textId="77777777" w:rsidR="00C24AA0" w:rsidRPr="001065E8" w:rsidRDefault="00C24AA0" w:rsidP="00C24AA0">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Referencia</w:t>
            </w:r>
          </w:p>
        </w:tc>
      </w:tr>
      <w:tr w:rsidR="00C24AA0" w:rsidRPr="0071104F" w14:paraId="48CB14B2" w14:textId="77777777" w:rsidTr="0071104F">
        <w:trPr>
          <w:trHeight w:val="320"/>
        </w:trPr>
        <w:tc>
          <w:tcPr>
            <w:tcW w:w="1646" w:type="dxa"/>
            <w:gridSpan w:val="3"/>
            <w:vMerge/>
            <w:tcBorders>
              <w:top w:val="single" w:sz="8" w:space="0" w:color="auto"/>
              <w:left w:val="single" w:sz="8" w:space="0" w:color="auto"/>
              <w:bottom w:val="nil"/>
              <w:right w:val="single" w:sz="8" w:space="0" w:color="000000"/>
            </w:tcBorders>
            <w:vAlign w:val="center"/>
            <w:hideMark/>
          </w:tcPr>
          <w:p w14:paraId="0E24FB5A" w14:textId="77777777" w:rsidR="00C24AA0" w:rsidRPr="001065E8" w:rsidRDefault="00C24AA0" w:rsidP="00C24AA0">
            <w:pPr>
              <w:rPr>
                <w:rFonts w:ascii="Arial Narrow" w:eastAsia="Times New Roman" w:hAnsi="Arial Narrow"/>
                <w:b/>
                <w:bCs/>
                <w:color w:val="FFFFFF"/>
                <w:sz w:val="22"/>
                <w:szCs w:val="22"/>
              </w:rPr>
            </w:pPr>
          </w:p>
        </w:tc>
        <w:tc>
          <w:tcPr>
            <w:tcW w:w="3329" w:type="dxa"/>
            <w:vMerge/>
            <w:tcBorders>
              <w:top w:val="single" w:sz="8" w:space="0" w:color="auto"/>
              <w:left w:val="single" w:sz="8" w:space="0" w:color="auto"/>
              <w:bottom w:val="nil"/>
              <w:right w:val="single" w:sz="8" w:space="0" w:color="auto"/>
            </w:tcBorders>
            <w:vAlign w:val="center"/>
            <w:hideMark/>
          </w:tcPr>
          <w:p w14:paraId="3BCB75CD" w14:textId="77777777" w:rsidR="00C24AA0" w:rsidRPr="001065E8" w:rsidRDefault="00C24AA0" w:rsidP="00C24AA0">
            <w:pPr>
              <w:rPr>
                <w:rFonts w:ascii="Arial Narrow" w:eastAsia="Times New Roman" w:hAnsi="Arial Narrow"/>
                <w:b/>
                <w:bCs/>
                <w:color w:val="FFFFFF"/>
                <w:sz w:val="22"/>
                <w:szCs w:val="22"/>
              </w:rPr>
            </w:pPr>
          </w:p>
        </w:tc>
        <w:tc>
          <w:tcPr>
            <w:tcW w:w="1992" w:type="dxa"/>
            <w:tcBorders>
              <w:top w:val="nil"/>
              <w:left w:val="nil"/>
              <w:bottom w:val="nil"/>
              <w:right w:val="single" w:sz="8" w:space="0" w:color="auto"/>
            </w:tcBorders>
            <w:shd w:val="clear" w:color="000000" w:fill="203764"/>
            <w:vAlign w:val="center"/>
            <w:hideMark/>
          </w:tcPr>
          <w:p w14:paraId="0773059B" w14:textId="77777777" w:rsidR="00C24AA0" w:rsidRPr="001065E8" w:rsidRDefault="00C24AA0" w:rsidP="00C24AA0">
            <w:pPr>
              <w:jc w:val="center"/>
              <w:rPr>
                <w:rFonts w:ascii="Arial Narrow" w:eastAsia="Times New Roman" w:hAnsi="Arial Narrow"/>
                <w:b/>
                <w:bCs/>
                <w:color w:val="FFFFFF"/>
                <w:sz w:val="22"/>
                <w:szCs w:val="22"/>
              </w:rPr>
            </w:pPr>
            <w:r w:rsidRPr="001065E8">
              <w:rPr>
                <w:rFonts w:ascii="Arial Narrow" w:eastAsia="Times New Roman" w:hAnsi="Arial Narrow"/>
                <w:b/>
                <w:bCs/>
                <w:color w:val="FFFFFF"/>
                <w:sz w:val="22"/>
                <w:szCs w:val="22"/>
              </w:rPr>
              <w:t>Norma</w:t>
            </w:r>
          </w:p>
        </w:tc>
        <w:tc>
          <w:tcPr>
            <w:tcW w:w="2061" w:type="dxa"/>
            <w:tcBorders>
              <w:top w:val="nil"/>
              <w:left w:val="nil"/>
              <w:bottom w:val="nil"/>
              <w:right w:val="single" w:sz="8" w:space="0" w:color="auto"/>
            </w:tcBorders>
            <w:shd w:val="clear" w:color="000000" w:fill="203764"/>
            <w:vAlign w:val="center"/>
            <w:hideMark/>
          </w:tcPr>
          <w:p w14:paraId="62AAAD66" w14:textId="6962889C" w:rsidR="00C24AA0" w:rsidRPr="0071104F" w:rsidRDefault="0071104F" w:rsidP="00C24AA0">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7FA3EB84" w14:textId="77777777" w:rsidTr="0071104F">
        <w:trPr>
          <w:trHeight w:val="1077"/>
        </w:trPr>
        <w:tc>
          <w:tcPr>
            <w:tcW w:w="5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E5C70F"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57124E7C" w14:textId="77777777"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100</w:t>
            </w:r>
          </w:p>
        </w:tc>
        <w:tc>
          <w:tcPr>
            <w:tcW w:w="538" w:type="dxa"/>
            <w:tcBorders>
              <w:top w:val="single" w:sz="8" w:space="0" w:color="auto"/>
              <w:left w:val="nil"/>
              <w:bottom w:val="single" w:sz="8" w:space="0" w:color="auto"/>
              <w:right w:val="single" w:sz="8" w:space="0" w:color="auto"/>
            </w:tcBorders>
            <w:shd w:val="clear" w:color="auto" w:fill="auto"/>
            <w:vAlign w:val="center"/>
            <w:hideMark/>
          </w:tcPr>
          <w:p w14:paraId="7459C230" w14:textId="69A4AB35" w:rsidR="000236D5" w:rsidRPr="001065E8" w:rsidRDefault="000236D5" w:rsidP="000236D5">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 xml:space="preserve"> </w:t>
            </w:r>
          </w:p>
        </w:tc>
        <w:tc>
          <w:tcPr>
            <w:tcW w:w="3329" w:type="dxa"/>
            <w:tcBorders>
              <w:top w:val="single" w:sz="8" w:space="0" w:color="auto"/>
              <w:left w:val="nil"/>
              <w:bottom w:val="single" w:sz="8" w:space="0" w:color="auto"/>
              <w:right w:val="nil"/>
            </w:tcBorders>
            <w:shd w:val="clear" w:color="auto" w:fill="auto"/>
            <w:vAlign w:val="center"/>
            <w:hideMark/>
          </w:tcPr>
          <w:p w14:paraId="327B8ECB" w14:textId="51B71C1F" w:rsidR="000236D5" w:rsidRPr="001065E8" w:rsidRDefault="000236D5" w:rsidP="000236D5">
            <w:pPr>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Medición inicial de los activos en periodo de </w:t>
            </w:r>
            <w:r w:rsidR="00B43741" w:rsidRPr="001065E8">
              <w:rPr>
                <w:rFonts w:ascii="Arial Narrow" w:eastAsia="Times New Roman" w:hAnsi="Arial Narrow"/>
                <w:b/>
                <w:bCs/>
                <w:color w:val="000000"/>
                <w:sz w:val="22"/>
                <w:szCs w:val="22"/>
                <w:lang w:val="es-CR"/>
              </w:rPr>
              <w:t>transición</w:t>
            </w:r>
          </w:p>
        </w:tc>
        <w:tc>
          <w:tcPr>
            <w:tcW w:w="1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6DC33" w14:textId="77777777" w:rsidR="0098697B" w:rsidRDefault="000236D5" w:rsidP="000236D5">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NICSP N° 17,</w:t>
            </w:r>
          </w:p>
          <w:p w14:paraId="4921D631" w14:textId="6ADA5DC7" w:rsidR="000236D5" w:rsidRPr="001065E8" w:rsidRDefault="000236D5" w:rsidP="000236D5">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Párrafos 96, 97 y 101.</w:t>
            </w:r>
          </w:p>
        </w:tc>
        <w:tc>
          <w:tcPr>
            <w:tcW w:w="2061" w:type="dxa"/>
            <w:tcBorders>
              <w:top w:val="single" w:sz="8" w:space="0" w:color="auto"/>
              <w:left w:val="nil"/>
              <w:bottom w:val="single" w:sz="8" w:space="0" w:color="auto"/>
              <w:right w:val="single" w:sz="8" w:space="0" w:color="auto"/>
            </w:tcBorders>
            <w:shd w:val="clear" w:color="auto" w:fill="auto"/>
            <w:vAlign w:val="center"/>
            <w:hideMark/>
          </w:tcPr>
          <w:p w14:paraId="3222E47A" w14:textId="0752166C" w:rsidR="000236D5" w:rsidRPr="001065E8" w:rsidRDefault="000236D5" w:rsidP="000236D5">
            <w:pPr>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1065E8">
              <w:rPr>
                <w:rFonts w:ascii="Arial Narrow" w:eastAsia="Times New Roman" w:hAnsi="Arial Narrow"/>
                <w:b/>
                <w:bCs/>
                <w:color w:val="000000"/>
                <w:sz w:val="22"/>
                <w:szCs w:val="22"/>
                <w:lang w:val="es-CR"/>
              </w:rPr>
              <w:t>.</w:t>
            </w:r>
          </w:p>
        </w:tc>
      </w:tr>
      <w:tr w:rsidR="00F02F9D" w:rsidRPr="001065E8" w14:paraId="6E281AB0" w14:textId="77777777" w:rsidTr="0071104F">
        <w:trPr>
          <w:trHeight w:val="375"/>
        </w:trPr>
        <w:tc>
          <w:tcPr>
            <w:tcW w:w="558" w:type="dxa"/>
            <w:tcBorders>
              <w:top w:val="nil"/>
              <w:left w:val="single" w:sz="8" w:space="0" w:color="auto"/>
              <w:bottom w:val="single" w:sz="8" w:space="0" w:color="auto"/>
              <w:right w:val="single" w:sz="8" w:space="0" w:color="auto"/>
            </w:tcBorders>
            <w:shd w:val="clear" w:color="auto" w:fill="auto"/>
            <w:vAlign w:val="center"/>
            <w:hideMark/>
          </w:tcPr>
          <w:p w14:paraId="4E8F26EE"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noWrap/>
            <w:vAlign w:val="center"/>
            <w:hideMark/>
          </w:tcPr>
          <w:p w14:paraId="64D55B97"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100</w:t>
            </w:r>
          </w:p>
        </w:tc>
        <w:tc>
          <w:tcPr>
            <w:tcW w:w="538" w:type="dxa"/>
            <w:tcBorders>
              <w:top w:val="nil"/>
              <w:left w:val="nil"/>
              <w:bottom w:val="single" w:sz="8" w:space="0" w:color="auto"/>
              <w:right w:val="single" w:sz="8" w:space="0" w:color="auto"/>
            </w:tcBorders>
            <w:shd w:val="clear" w:color="auto" w:fill="auto"/>
            <w:vAlign w:val="center"/>
            <w:hideMark/>
          </w:tcPr>
          <w:p w14:paraId="6827959B"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w:t>
            </w:r>
          </w:p>
        </w:tc>
        <w:tc>
          <w:tcPr>
            <w:tcW w:w="3329" w:type="dxa"/>
            <w:tcBorders>
              <w:top w:val="nil"/>
              <w:left w:val="nil"/>
              <w:bottom w:val="single" w:sz="8" w:space="0" w:color="auto"/>
              <w:right w:val="nil"/>
            </w:tcBorders>
            <w:shd w:val="clear" w:color="auto" w:fill="auto"/>
            <w:vAlign w:val="center"/>
            <w:hideMark/>
          </w:tcPr>
          <w:p w14:paraId="51A34EC6" w14:textId="77777777" w:rsidR="00C24AA0" w:rsidRPr="001065E8"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Sin costo inicial</w:t>
            </w:r>
          </w:p>
        </w:tc>
        <w:tc>
          <w:tcPr>
            <w:tcW w:w="1992" w:type="dxa"/>
            <w:tcBorders>
              <w:top w:val="nil"/>
              <w:left w:val="single" w:sz="8" w:space="0" w:color="auto"/>
              <w:bottom w:val="single" w:sz="8" w:space="0" w:color="auto"/>
              <w:right w:val="single" w:sz="8" w:space="0" w:color="auto"/>
            </w:tcBorders>
            <w:shd w:val="clear" w:color="auto" w:fill="auto"/>
            <w:vAlign w:val="center"/>
            <w:hideMark/>
          </w:tcPr>
          <w:p w14:paraId="4FC5F932" w14:textId="77777777" w:rsidR="0098697B"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NICSP N° 17,</w:t>
            </w:r>
          </w:p>
          <w:p w14:paraId="0111D840" w14:textId="78F5DD1C" w:rsidR="00C24AA0" w:rsidRPr="001065E8"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Párrafo 98.</w:t>
            </w:r>
          </w:p>
        </w:tc>
        <w:tc>
          <w:tcPr>
            <w:tcW w:w="2061" w:type="dxa"/>
            <w:tcBorders>
              <w:top w:val="nil"/>
              <w:left w:val="nil"/>
              <w:bottom w:val="single" w:sz="8" w:space="0" w:color="auto"/>
              <w:right w:val="single" w:sz="8" w:space="0" w:color="auto"/>
            </w:tcBorders>
            <w:shd w:val="clear" w:color="auto" w:fill="auto"/>
            <w:vAlign w:val="center"/>
            <w:hideMark/>
          </w:tcPr>
          <w:p w14:paraId="24A1CC52" w14:textId="77777777" w:rsidR="00C24AA0" w:rsidRPr="001065E8" w:rsidRDefault="00C24AA0" w:rsidP="00C24AA0">
            <w:pP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 xml:space="preserve"> </w:t>
            </w:r>
          </w:p>
        </w:tc>
      </w:tr>
      <w:tr w:rsidR="00F02F9D" w:rsidRPr="001065E8" w14:paraId="14BAAD98" w14:textId="77777777" w:rsidTr="0071104F">
        <w:trPr>
          <w:trHeight w:val="184"/>
        </w:trPr>
        <w:tc>
          <w:tcPr>
            <w:tcW w:w="558" w:type="dxa"/>
            <w:tcBorders>
              <w:top w:val="nil"/>
              <w:left w:val="single" w:sz="8" w:space="0" w:color="auto"/>
              <w:bottom w:val="single" w:sz="8" w:space="0" w:color="auto"/>
              <w:right w:val="single" w:sz="8" w:space="0" w:color="auto"/>
            </w:tcBorders>
            <w:shd w:val="clear" w:color="auto" w:fill="auto"/>
            <w:vAlign w:val="center"/>
            <w:hideMark/>
          </w:tcPr>
          <w:p w14:paraId="1394C06C"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noWrap/>
            <w:vAlign w:val="center"/>
            <w:hideMark/>
          </w:tcPr>
          <w:p w14:paraId="4CA6AF73"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100</w:t>
            </w:r>
          </w:p>
        </w:tc>
        <w:tc>
          <w:tcPr>
            <w:tcW w:w="538" w:type="dxa"/>
            <w:tcBorders>
              <w:top w:val="nil"/>
              <w:left w:val="nil"/>
              <w:bottom w:val="single" w:sz="8" w:space="0" w:color="auto"/>
              <w:right w:val="single" w:sz="8" w:space="0" w:color="auto"/>
            </w:tcBorders>
            <w:shd w:val="clear" w:color="auto" w:fill="auto"/>
            <w:vAlign w:val="center"/>
            <w:hideMark/>
          </w:tcPr>
          <w:p w14:paraId="31A59BCE"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2</w:t>
            </w:r>
          </w:p>
        </w:tc>
        <w:tc>
          <w:tcPr>
            <w:tcW w:w="3329" w:type="dxa"/>
            <w:tcBorders>
              <w:top w:val="nil"/>
              <w:left w:val="nil"/>
              <w:bottom w:val="single" w:sz="8" w:space="0" w:color="auto"/>
              <w:right w:val="nil"/>
            </w:tcBorders>
            <w:shd w:val="clear" w:color="auto" w:fill="auto"/>
            <w:vAlign w:val="center"/>
            <w:hideMark/>
          </w:tcPr>
          <w:p w14:paraId="3956FD30" w14:textId="77777777" w:rsidR="00C24AA0" w:rsidRPr="001065E8"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Depreciación y deterioro</w:t>
            </w:r>
          </w:p>
        </w:tc>
        <w:tc>
          <w:tcPr>
            <w:tcW w:w="1992" w:type="dxa"/>
            <w:tcBorders>
              <w:top w:val="nil"/>
              <w:left w:val="single" w:sz="8" w:space="0" w:color="auto"/>
              <w:bottom w:val="single" w:sz="8" w:space="0" w:color="auto"/>
              <w:right w:val="single" w:sz="8" w:space="0" w:color="auto"/>
            </w:tcBorders>
            <w:shd w:val="clear" w:color="auto" w:fill="auto"/>
            <w:vAlign w:val="center"/>
            <w:hideMark/>
          </w:tcPr>
          <w:p w14:paraId="04104017" w14:textId="77777777" w:rsidR="0098697B"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NICSP N° 17,</w:t>
            </w:r>
          </w:p>
          <w:p w14:paraId="593BDBA0" w14:textId="5D0E2E3A" w:rsidR="00C24AA0" w:rsidRPr="001065E8"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Párrafo 99.</w:t>
            </w:r>
          </w:p>
        </w:tc>
        <w:tc>
          <w:tcPr>
            <w:tcW w:w="2061" w:type="dxa"/>
            <w:tcBorders>
              <w:top w:val="nil"/>
              <w:left w:val="nil"/>
              <w:bottom w:val="single" w:sz="8" w:space="0" w:color="auto"/>
              <w:right w:val="single" w:sz="8" w:space="0" w:color="auto"/>
            </w:tcBorders>
            <w:shd w:val="clear" w:color="auto" w:fill="auto"/>
            <w:vAlign w:val="center"/>
            <w:hideMark/>
          </w:tcPr>
          <w:p w14:paraId="68656403" w14:textId="77777777" w:rsidR="00C24AA0" w:rsidRPr="001065E8" w:rsidRDefault="00C24AA0" w:rsidP="00C24AA0">
            <w:pP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 </w:t>
            </w:r>
          </w:p>
        </w:tc>
      </w:tr>
      <w:tr w:rsidR="00F02F9D" w:rsidRPr="001065E8" w14:paraId="4741FAEF" w14:textId="77777777" w:rsidTr="0071104F">
        <w:trPr>
          <w:trHeight w:val="406"/>
        </w:trPr>
        <w:tc>
          <w:tcPr>
            <w:tcW w:w="558" w:type="dxa"/>
            <w:tcBorders>
              <w:top w:val="nil"/>
              <w:left w:val="single" w:sz="8" w:space="0" w:color="auto"/>
              <w:bottom w:val="single" w:sz="8" w:space="0" w:color="auto"/>
              <w:right w:val="single" w:sz="8" w:space="0" w:color="auto"/>
            </w:tcBorders>
            <w:shd w:val="clear" w:color="auto" w:fill="auto"/>
            <w:vAlign w:val="center"/>
            <w:hideMark/>
          </w:tcPr>
          <w:p w14:paraId="58A26647" w14:textId="77777777" w:rsidR="00C24AA0" w:rsidRPr="001065E8" w:rsidRDefault="00C24AA0" w:rsidP="008A174F">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noWrap/>
            <w:vAlign w:val="center"/>
            <w:hideMark/>
          </w:tcPr>
          <w:p w14:paraId="693A8543"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100</w:t>
            </w:r>
          </w:p>
        </w:tc>
        <w:tc>
          <w:tcPr>
            <w:tcW w:w="538" w:type="dxa"/>
            <w:tcBorders>
              <w:top w:val="nil"/>
              <w:left w:val="nil"/>
              <w:bottom w:val="single" w:sz="8" w:space="0" w:color="auto"/>
              <w:right w:val="single" w:sz="8" w:space="0" w:color="auto"/>
            </w:tcBorders>
            <w:shd w:val="clear" w:color="auto" w:fill="auto"/>
            <w:vAlign w:val="center"/>
            <w:hideMark/>
          </w:tcPr>
          <w:p w14:paraId="05174285"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3</w:t>
            </w:r>
          </w:p>
        </w:tc>
        <w:tc>
          <w:tcPr>
            <w:tcW w:w="3329" w:type="dxa"/>
            <w:tcBorders>
              <w:top w:val="nil"/>
              <w:left w:val="nil"/>
              <w:bottom w:val="single" w:sz="8" w:space="0" w:color="auto"/>
              <w:right w:val="nil"/>
            </w:tcBorders>
            <w:shd w:val="clear" w:color="auto" w:fill="auto"/>
            <w:vAlign w:val="center"/>
            <w:hideMark/>
          </w:tcPr>
          <w:p w14:paraId="685FA05C" w14:textId="77777777" w:rsidR="00C24AA0" w:rsidRPr="001065E8"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Información a revelar</w:t>
            </w:r>
          </w:p>
        </w:tc>
        <w:tc>
          <w:tcPr>
            <w:tcW w:w="1992" w:type="dxa"/>
            <w:tcBorders>
              <w:top w:val="nil"/>
              <w:left w:val="single" w:sz="8" w:space="0" w:color="auto"/>
              <w:bottom w:val="single" w:sz="8" w:space="0" w:color="auto"/>
              <w:right w:val="single" w:sz="8" w:space="0" w:color="auto"/>
            </w:tcBorders>
            <w:shd w:val="clear" w:color="auto" w:fill="auto"/>
            <w:vAlign w:val="center"/>
            <w:hideMark/>
          </w:tcPr>
          <w:p w14:paraId="64F81612" w14:textId="77777777" w:rsidR="0098697B"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NICSP N° 17,</w:t>
            </w:r>
          </w:p>
          <w:p w14:paraId="3797E488" w14:textId="4453FC05" w:rsidR="00C24AA0" w:rsidRPr="001065E8"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Párrafos 101, 103 y 104.</w:t>
            </w:r>
          </w:p>
        </w:tc>
        <w:tc>
          <w:tcPr>
            <w:tcW w:w="2061" w:type="dxa"/>
            <w:tcBorders>
              <w:top w:val="nil"/>
              <w:left w:val="nil"/>
              <w:bottom w:val="single" w:sz="8" w:space="0" w:color="auto"/>
              <w:right w:val="single" w:sz="8" w:space="0" w:color="auto"/>
            </w:tcBorders>
            <w:shd w:val="clear" w:color="auto" w:fill="auto"/>
            <w:vAlign w:val="center"/>
            <w:hideMark/>
          </w:tcPr>
          <w:p w14:paraId="5926F997" w14:textId="77777777" w:rsidR="00C24AA0" w:rsidRPr="001065E8" w:rsidRDefault="00C24AA0" w:rsidP="00C24AA0">
            <w:pP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 </w:t>
            </w:r>
          </w:p>
        </w:tc>
      </w:tr>
      <w:tr w:rsidR="00F02F9D" w:rsidRPr="001065E8" w14:paraId="61801779" w14:textId="77777777" w:rsidTr="0071104F">
        <w:trPr>
          <w:trHeight w:val="494"/>
        </w:trPr>
        <w:tc>
          <w:tcPr>
            <w:tcW w:w="558" w:type="dxa"/>
            <w:tcBorders>
              <w:top w:val="nil"/>
              <w:left w:val="single" w:sz="8" w:space="0" w:color="auto"/>
              <w:bottom w:val="single" w:sz="8" w:space="0" w:color="auto"/>
              <w:right w:val="single" w:sz="8" w:space="0" w:color="auto"/>
            </w:tcBorders>
            <w:shd w:val="clear" w:color="auto" w:fill="auto"/>
            <w:vAlign w:val="center"/>
            <w:hideMark/>
          </w:tcPr>
          <w:p w14:paraId="49447DF0"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noWrap/>
            <w:vAlign w:val="center"/>
            <w:hideMark/>
          </w:tcPr>
          <w:p w14:paraId="63A0353B"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100</w:t>
            </w:r>
          </w:p>
        </w:tc>
        <w:tc>
          <w:tcPr>
            <w:tcW w:w="538" w:type="dxa"/>
            <w:tcBorders>
              <w:top w:val="nil"/>
              <w:left w:val="nil"/>
              <w:bottom w:val="single" w:sz="8" w:space="0" w:color="auto"/>
              <w:right w:val="single" w:sz="8" w:space="0" w:color="auto"/>
            </w:tcBorders>
            <w:shd w:val="clear" w:color="auto" w:fill="auto"/>
            <w:vAlign w:val="center"/>
            <w:hideMark/>
          </w:tcPr>
          <w:p w14:paraId="1426F87F" w14:textId="77777777" w:rsidR="00C24AA0" w:rsidRPr="001065E8" w:rsidRDefault="00C24AA0" w:rsidP="00C24AA0">
            <w:pPr>
              <w:jc w:val="cente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4</w:t>
            </w:r>
          </w:p>
        </w:tc>
        <w:tc>
          <w:tcPr>
            <w:tcW w:w="3329" w:type="dxa"/>
            <w:tcBorders>
              <w:top w:val="nil"/>
              <w:left w:val="nil"/>
              <w:bottom w:val="single" w:sz="8" w:space="0" w:color="auto"/>
              <w:right w:val="nil"/>
            </w:tcBorders>
            <w:shd w:val="clear" w:color="auto" w:fill="auto"/>
            <w:vAlign w:val="center"/>
            <w:hideMark/>
          </w:tcPr>
          <w:p w14:paraId="3617CE5E" w14:textId="77777777" w:rsidR="00C24AA0" w:rsidRPr="001065E8" w:rsidRDefault="00C24AA0" w:rsidP="00C24AA0">
            <w:pPr>
              <w:jc w:val="both"/>
              <w:rPr>
                <w:rFonts w:ascii="Arial Narrow" w:eastAsia="Times New Roman" w:hAnsi="Arial Narrow"/>
                <w:b/>
                <w:bCs/>
                <w:color w:val="000000"/>
                <w:sz w:val="22"/>
                <w:szCs w:val="22"/>
                <w:lang w:val="es-CR"/>
              </w:rPr>
            </w:pPr>
            <w:r w:rsidRPr="001065E8">
              <w:rPr>
                <w:rFonts w:ascii="Arial Narrow" w:eastAsia="Times New Roman" w:hAnsi="Arial Narrow"/>
                <w:b/>
                <w:bCs/>
                <w:color w:val="000000"/>
                <w:sz w:val="22"/>
                <w:szCs w:val="22"/>
                <w:lang w:val="es-CR"/>
              </w:rPr>
              <w:t>Ajuste del saldo inicial de los resultados acumulados</w:t>
            </w:r>
          </w:p>
        </w:tc>
        <w:tc>
          <w:tcPr>
            <w:tcW w:w="1992" w:type="dxa"/>
            <w:tcBorders>
              <w:top w:val="nil"/>
              <w:left w:val="single" w:sz="8" w:space="0" w:color="auto"/>
              <w:bottom w:val="single" w:sz="8" w:space="0" w:color="auto"/>
              <w:right w:val="single" w:sz="8" w:space="0" w:color="auto"/>
            </w:tcBorders>
            <w:shd w:val="clear" w:color="auto" w:fill="auto"/>
            <w:vAlign w:val="center"/>
            <w:hideMark/>
          </w:tcPr>
          <w:p w14:paraId="67E80DB4" w14:textId="77777777" w:rsidR="0098697B"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NICSP N° 17,</w:t>
            </w:r>
          </w:p>
          <w:p w14:paraId="4A54C8C2" w14:textId="17991C86" w:rsidR="00C24AA0" w:rsidRPr="001065E8" w:rsidRDefault="00C24AA0" w:rsidP="00C24AA0">
            <w:pPr>
              <w:jc w:val="both"/>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rPr>
              <w:t>Párrafo 97.</w:t>
            </w:r>
          </w:p>
        </w:tc>
        <w:tc>
          <w:tcPr>
            <w:tcW w:w="2061" w:type="dxa"/>
            <w:tcBorders>
              <w:top w:val="nil"/>
              <w:left w:val="nil"/>
              <w:bottom w:val="single" w:sz="8" w:space="0" w:color="auto"/>
              <w:right w:val="single" w:sz="8" w:space="0" w:color="auto"/>
            </w:tcBorders>
            <w:shd w:val="clear" w:color="auto" w:fill="auto"/>
            <w:vAlign w:val="center"/>
            <w:hideMark/>
          </w:tcPr>
          <w:p w14:paraId="31A6A7CC" w14:textId="77777777" w:rsidR="00C24AA0" w:rsidRPr="001065E8" w:rsidRDefault="00C24AA0" w:rsidP="00C24AA0">
            <w:pPr>
              <w:rPr>
                <w:rFonts w:ascii="Arial Narrow" w:eastAsia="Times New Roman" w:hAnsi="Arial Narrow"/>
                <w:b/>
                <w:bCs/>
                <w:color w:val="000000"/>
                <w:sz w:val="22"/>
                <w:szCs w:val="22"/>
              </w:rPr>
            </w:pPr>
            <w:r w:rsidRPr="001065E8">
              <w:rPr>
                <w:rFonts w:ascii="Arial Narrow" w:eastAsia="Times New Roman" w:hAnsi="Arial Narrow"/>
                <w:b/>
                <w:bCs/>
                <w:color w:val="000000"/>
                <w:sz w:val="22"/>
                <w:szCs w:val="22"/>
                <w:lang w:val="es-CR"/>
              </w:rPr>
              <w:t xml:space="preserve"> </w:t>
            </w:r>
          </w:p>
        </w:tc>
      </w:tr>
    </w:tbl>
    <w:p w14:paraId="1E70CF2D" w14:textId="77777777" w:rsidR="00ED4E0E" w:rsidRPr="00F02F9D" w:rsidRDefault="00ED4E0E" w:rsidP="00061158">
      <w:pPr>
        <w:spacing w:line="0" w:lineRule="atLeast"/>
        <w:rPr>
          <w:rFonts w:ascii="Arial" w:eastAsia="Arial" w:hAnsi="Arial"/>
          <w:b/>
          <w:sz w:val="22"/>
          <w:szCs w:val="22"/>
          <w:lang w:val="es-CR"/>
        </w:rPr>
      </w:pPr>
    </w:p>
    <w:p w14:paraId="7AEE1AD6" w14:textId="77777777" w:rsidR="00A351C9" w:rsidRPr="00F02F9D" w:rsidRDefault="00A351C9" w:rsidP="00A351C9">
      <w:pPr>
        <w:spacing w:line="0" w:lineRule="atLeast"/>
        <w:rPr>
          <w:rFonts w:ascii="Arial" w:eastAsia="Arial" w:hAnsi="Arial"/>
          <w:b/>
          <w:sz w:val="22"/>
          <w:szCs w:val="22"/>
          <w:lang w:val="es-CR"/>
        </w:rPr>
      </w:pPr>
      <w:r w:rsidRPr="00F02F9D">
        <w:rPr>
          <w:rFonts w:ascii="Arial" w:eastAsia="Arial" w:hAnsi="Arial"/>
          <w:b/>
          <w:sz w:val="22"/>
          <w:szCs w:val="22"/>
          <w:lang w:val="es-CR"/>
        </w:rPr>
        <w:t>Políticas Contables</w:t>
      </w:r>
    </w:p>
    <w:p w14:paraId="7BF180FB" w14:textId="77777777" w:rsidR="00A351C9" w:rsidRPr="00F02F9D" w:rsidRDefault="00A351C9" w:rsidP="00061158">
      <w:pPr>
        <w:spacing w:line="0" w:lineRule="atLeast"/>
        <w:rPr>
          <w:rFonts w:ascii="Arial" w:eastAsia="Arial" w:hAnsi="Arial"/>
          <w:b/>
          <w:sz w:val="22"/>
          <w:szCs w:val="22"/>
          <w:lang w:val="es-CR"/>
        </w:rPr>
      </w:pPr>
    </w:p>
    <w:p w14:paraId="73C16CEC" w14:textId="114B4022" w:rsidR="00004776" w:rsidRPr="00F02F9D" w:rsidRDefault="00AC53B3" w:rsidP="00AC53B3">
      <w:pPr>
        <w:spacing w:line="213"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1.100.0.01</w:t>
      </w:r>
      <w:r w:rsidRPr="00F02F9D">
        <w:rPr>
          <w:rFonts w:ascii="Arial" w:eastAsia="Arial" w:hAnsi="Arial"/>
          <w:bCs/>
          <w:sz w:val="22"/>
          <w:szCs w:val="22"/>
          <w:lang w:val="es-CR"/>
        </w:rPr>
        <w:tab/>
      </w:r>
      <w:r w:rsidR="00004776"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004776" w:rsidRPr="00F02F9D">
        <w:rPr>
          <w:rFonts w:ascii="Arial" w:eastAsia="Arial" w:hAnsi="Arial"/>
          <w:bCs/>
          <w:sz w:val="22"/>
          <w:szCs w:val="22"/>
          <w:lang w:val="es-CR"/>
        </w:rPr>
        <w:t xml:space="preserve"> se acogió al período de gracia de </w:t>
      </w:r>
      <w:r w:rsidRPr="00F02F9D">
        <w:rPr>
          <w:rFonts w:ascii="Arial" w:eastAsia="Arial" w:hAnsi="Arial"/>
          <w:bCs/>
          <w:sz w:val="22"/>
          <w:szCs w:val="22"/>
          <w:lang w:val="es-CR"/>
        </w:rPr>
        <w:t>tres</w:t>
      </w:r>
      <w:r w:rsidR="00004776" w:rsidRPr="00F02F9D">
        <w:rPr>
          <w:rFonts w:ascii="Arial" w:eastAsia="Arial" w:hAnsi="Arial"/>
          <w:bCs/>
          <w:sz w:val="22"/>
          <w:szCs w:val="22"/>
          <w:lang w:val="es-CR"/>
        </w:rPr>
        <w:t xml:space="preserve"> años referidos en </w:t>
      </w:r>
      <w:r w:rsidRPr="00F02F9D">
        <w:rPr>
          <w:rFonts w:ascii="Arial" w:eastAsia="Arial" w:hAnsi="Arial"/>
          <w:bCs/>
          <w:sz w:val="22"/>
          <w:szCs w:val="22"/>
          <w:lang w:val="es-CR"/>
        </w:rPr>
        <w:t>e</w:t>
      </w:r>
      <w:r w:rsidR="00004776" w:rsidRPr="00F02F9D">
        <w:rPr>
          <w:rFonts w:ascii="Arial" w:eastAsia="Arial" w:hAnsi="Arial"/>
          <w:bCs/>
          <w:sz w:val="22"/>
          <w:szCs w:val="22"/>
          <w:lang w:val="es-CR"/>
        </w:rPr>
        <w:t>l</w:t>
      </w:r>
      <w:r w:rsidRPr="00F02F9D">
        <w:rPr>
          <w:rFonts w:ascii="Arial" w:eastAsia="Arial" w:hAnsi="Arial"/>
          <w:bCs/>
          <w:sz w:val="22"/>
          <w:szCs w:val="22"/>
          <w:lang w:val="es-CR"/>
        </w:rPr>
        <w:t xml:space="preserve"> Párrafo 34 de la NICSP 33</w:t>
      </w:r>
      <w:r w:rsidR="00004776" w:rsidRPr="00F02F9D">
        <w:rPr>
          <w:rFonts w:ascii="Arial" w:eastAsia="Arial" w:hAnsi="Arial"/>
          <w:bCs/>
          <w:sz w:val="22"/>
          <w:szCs w:val="22"/>
          <w:lang w:val="es-CR"/>
        </w:rPr>
        <w:t>, por lo que el reconocimiento por primera vez las propiedades, planta y equipo se medirán:</w:t>
      </w:r>
    </w:p>
    <w:p w14:paraId="5E7C9E95" w14:textId="77777777" w:rsidR="00004776" w:rsidRPr="00F02F9D" w:rsidRDefault="00004776" w:rsidP="00004776">
      <w:pPr>
        <w:spacing w:line="278" w:lineRule="exact"/>
        <w:rPr>
          <w:rFonts w:ascii="Arial" w:eastAsia="Times New Roman" w:hAnsi="Arial"/>
          <w:bCs/>
          <w:sz w:val="22"/>
          <w:szCs w:val="22"/>
          <w:lang w:val="es-CR"/>
        </w:rPr>
      </w:pPr>
    </w:p>
    <w:p w14:paraId="42701F67" w14:textId="2796B325" w:rsidR="00004776" w:rsidRPr="00B43741" w:rsidRDefault="00004776">
      <w:pPr>
        <w:pStyle w:val="Prrafodelista"/>
        <w:numPr>
          <w:ilvl w:val="0"/>
          <w:numId w:val="25"/>
        </w:numPr>
        <w:spacing w:after="120"/>
        <w:ind w:left="1418" w:hanging="284"/>
        <w:contextualSpacing w:val="0"/>
        <w:jc w:val="both"/>
        <w:rPr>
          <w:rFonts w:ascii="Arial" w:eastAsia="Arial" w:hAnsi="Arial"/>
          <w:bCs/>
          <w:sz w:val="22"/>
          <w:szCs w:val="22"/>
        </w:rPr>
      </w:pPr>
      <w:r w:rsidRPr="00F02F9D">
        <w:rPr>
          <w:rFonts w:ascii="Arial" w:eastAsia="Arial" w:hAnsi="Arial"/>
          <w:bCs/>
          <w:sz w:val="22"/>
          <w:szCs w:val="22"/>
        </w:rPr>
        <w:t xml:space="preserve">Al </w:t>
      </w:r>
      <w:r w:rsidR="003830E5">
        <w:rPr>
          <w:rFonts w:ascii="Arial" w:eastAsia="Arial" w:hAnsi="Arial"/>
          <w:bCs/>
          <w:sz w:val="22"/>
          <w:szCs w:val="22"/>
        </w:rPr>
        <w:t>C</w:t>
      </w:r>
      <w:r w:rsidRPr="00F02F9D">
        <w:rPr>
          <w:rFonts w:ascii="Arial" w:eastAsia="Arial" w:hAnsi="Arial"/>
          <w:bCs/>
          <w:sz w:val="22"/>
          <w:szCs w:val="22"/>
        </w:rPr>
        <w:t>osto</w:t>
      </w:r>
      <w:r w:rsidR="003830E5">
        <w:rPr>
          <w:rFonts w:ascii="Arial" w:eastAsia="Arial" w:hAnsi="Arial"/>
          <w:bCs/>
          <w:sz w:val="22"/>
          <w:szCs w:val="22"/>
        </w:rPr>
        <w:t>,</w:t>
      </w:r>
    </w:p>
    <w:p w14:paraId="3556EB43" w14:textId="4626EEDE" w:rsidR="00B43741" w:rsidRPr="00B43741" w:rsidRDefault="00004776">
      <w:pPr>
        <w:pStyle w:val="Prrafodelista"/>
        <w:numPr>
          <w:ilvl w:val="0"/>
          <w:numId w:val="25"/>
        </w:numPr>
        <w:spacing w:after="120"/>
        <w:ind w:left="1418"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Al </w:t>
      </w:r>
      <w:r w:rsidR="003830E5">
        <w:rPr>
          <w:rFonts w:ascii="Arial" w:eastAsia="Arial" w:hAnsi="Arial"/>
          <w:bCs/>
          <w:sz w:val="22"/>
          <w:szCs w:val="22"/>
          <w:lang w:val="es-CR"/>
        </w:rPr>
        <w:t>V</w:t>
      </w:r>
      <w:r w:rsidRPr="00F02F9D">
        <w:rPr>
          <w:rFonts w:ascii="Arial" w:eastAsia="Arial" w:hAnsi="Arial"/>
          <w:bCs/>
          <w:sz w:val="22"/>
          <w:szCs w:val="22"/>
          <w:lang w:val="es-CR"/>
        </w:rPr>
        <w:t xml:space="preserve">alor </w:t>
      </w:r>
      <w:r w:rsidR="003830E5">
        <w:rPr>
          <w:rFonts w:ascii="Arial" w:eastAsia="Arial" w:hAnsi="Arial"/>
          <w:bCs/>
          <w:sz w:val="22"/>
          <w:szCs w:val="22"/>
          <w:lang w:val="es-CR"/>
        </w:rPr>
        <w:t>R</w:t>
      </w:r>
      <w:r w:rsidRPr="00F02F9D">
        <w:rPr>
          <w:rFonts w:ascii="Arial" w:eastAsia="Arial" w:hAnsi="Arial"/>
          <w:bCs/>
          <w:sz w:val="22"/>
          <w:szCs w:val="22"/>
          <w:lang w:val="es-CR"/>
        </w:rPr>
        <w:t>azonable, cuando fueron adquiridos sin costo o por un costo insignificante.</w:t>
      </w:r>
    </w:p>
    <w:p w14:paraId="47E19D28" w14:textId="59BC6A2F" w:rsidR="00B43741" w:rsidRPr="00F02F9D" w:rsidRDefault="003830E5">
      <w:pPr>
        <w:pStyle w:val="Prrafodelista"/>
        <w:numPr>
          <w:ilvl w:val="0"/>
          <w:numId w:val="25"/>
        </w:numPr>
        <w:spacing w:line="236" w:lineRule="auto"/>
        <w:ind w:left="1418" w:right="260" w:hanging="284"/>
        <w:jc w:val="both"/>
        <w:rPr>
          <w:rFonts w:ascii="Arial" w:eastAsia="Arial" w:hAnsi="Arial"/>
          <w:bCs/>
          <w:sz w:val="22"/>
          <w:szCs w:val="22"/>
          <w:lang w:val="es-CR"/>
        </w:rPr>
      </w:pPr>
      <w:r>
        <w:rPr>
          <w:rFonts w:ascii="Arial" w:eastAsia="Arial" w:hAnsi="Arial"/>
          <w:bCs/>
          <w:sz w:val="22"/>
          <w:szCs w:val="22"/>
          <w:lang w:val="es-CR"/>
        </w:rPr>
        <w:t>A</w:t>
      </w:r>
      <w:r w:rsidR="00B43741">
        <w:rPr>
          <w:rFonts w:ascii="Arial" w:eastAsia="Arial" w:hAnsi="Arial"/>
          <w:bCs/>
          <w:sz w:val="22"/>
          <w:szCs w:val="22"/>
          <w:lang w:val="es-CR"/>
        </w:rPr>
        <w:t xml:space="preserve"> un valor atribuido</w:t>
      </w:r>
      <w:r>
        <w:rPr>
          <w:rFonts w:ascii="Arial" w:eastAsia="Arial" w:hAnsi="Arial"/>
          <w:bCs/>
          <w:sz w:val="22"/>
          <w:szCs w:val="22"/>
          <w:lang w:val="es-CR"/>
        </w:rPr>
        <w:t>.</w:t>
      </w:r>
    </w:p>
    <w:p w14:paraId="3A3E04B7" w14:textId="77777777" w:rsidR="00004776" w:rsidRPr="00F02F9D" w:rsidRDefault="00004776" w:rsidP="00004776">
      <w:pPr>
        <w:spacing w:line="285" w:lineRule="exact"/>
        <w:rPr>
          <w:rFonts w:ascii="Arial" w:eastAsia="Times New Roman" w:hAnsi="Arial"/>
          <w:bCs/>
          <w:sz w:val="22"/>
          <w:szCs w:val="22"/>
          <w:lang w:val="es-CR"/>
        </w:rPr>
      </w:pPr>
    </w:p>
    <w:p w14:paraId="7847C3C2" w14:textId="793161F5" w:rsidR="00004776" w:rsidRPr="00F02F9D" w:rsidRDefault="00AC53B3" w:rsidP="00B43741">
      <w:pPr>
        <w:spacing w:line="213"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1.100</w:t>
      </w:r>
      <w:r w:rsidR="00CB30A1" w:rsidRPr="00F02F9D">
        <w:rPr>
          <w:rFonts w:ascii="Arial" w:eastAsia="Arial" w:hAnsi="Arial"/>
          <w:bCs/>
          <w:sz w:val="22"/>
          <w:szCs w:val="22"/>
          <w:lang w:val="es-CR"/>
        </w:rPr>
        <w:t>.0.02</w:t>
      </w:r>
      <w:r w:rsidR="00B43741">
        <w:rPr>
          <w:rFonts w:ascii="Arial" w:eastAsia="Arial" w:hAnsi="Arial"/>
          <w:bCs/>
          <w:sz w:val="22"/>
          <w:szCs w:val="22"/>
          <w:lang w:val="es-CR"/>
        </w:rPr>
        <w:tab/>
      </w:r>
      <w:r w:rsidR="00CB30A1" w:rsidRPr="00F02F9D">
        <w:rPr>
          <w:rFonts w:ascii="Arial" w:eastAsia="Arial" w:hAnsi="Arial"/>
          <w:bCs/>
          <w:sz w:val="22"/>
          <w:szCs w:val="22"/>
          <w:lang w:val="es-CR"/>
        </w:rPr>
        <w:t>L</w:t>
      </w:r>
      <w:r w:rsidR="00004776" w:rsidRPr="00F02F9D">
        <w:rPr>
          <w:rFonts w:ascii="Arial" w:eastAsia="Arial" w:hAnsi="Arial"/>
          <w:bCs/>
          <w:sz w:val="22"/>
          <w:szCs w:val="22"/>
          <w:lang w:val="es-CR"/>
        </w:rPr>
        <w:t>a Institución reconocerá el efecto de la medición inicial de los bienes como un ajuste del saldo inicial de los resultados acumulados del período en el que los activos se reconocen por primera vez.</w:t>
      </w:r>
    </w:p>
    <w:p w14:paraId="424968D3" w14:textId="77777777" w:rsidR="00004776" w:rsidRPr="00F02F9D" w:rsidRDefault="00004776" w:rsidP="00004776">
      <w:pPr>
        <w:spacing w:line="276" w:lineRule="exact"/>
        <w:rPr>
          <w:rFonts w:ascii="Arial" w:eastAsia="Times New Roman" w:hAnsi="Arial"/>
          <w:bCs/>
          <w:sz w:val="22"/>
          <w:szCs w:val="22"/>
          <w:lang w:val="es-CR"/>
        </w:rPr>
      </w:pPr>
    </w:p>
    <w:p w14:paraId="6E53BDEA" w14:textId="7714D5F1" w:rsidR="00004776" w:rsidRPr="00F02F9D" w:rsidRDefault="00CB30A1" w:rsidP="00CB30A1">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1.100.1.01</w:t>
      </w:r>
      <w:r w:rsidRPr="00F02F9D">
        <w:rPr>
          <w:rFonts w:ascii="Arial" w:eastAsia="Arial" w:hAnsi="Arial"/>
          <w:bCs/>
          <w:sz w:val="22"/>
          <w:szCs w:val="22"/>
          <w:lang w:val="es-CR"/>
        </w:rPr>
        <w:tab/>
      </w:r>
      <w:r w:rsidR="00004776" w:rsidRPr="00F02F9D">
        <w:rPr>
          <w:rFonts w:ascii="Arial" w:eastAsia="Arial" w:hAnsi="Arial"/>
          <w:bCs/>
          <w:sz w:val="22"/>
          <w:szCs w:val="22"/>
          <w:lang w:val="es-CR"/>
        </w:rPr>
        <w:t xml:space="preserve">Cuando la </w:t>
      </w:r>
      <w:r w:rsidR="000F29DC">
        <w:rPr>
          <w:rFonts w:ascii="Arial" w:eastAsia="Arial" w:hAnsi="Arial"/>
          <w:bCs/>
          <w:sz w:val="22"/>
          <w:szCs w:val="22"/>
          <w:lang w:val="es-CR"/>
        </w:rPr>
        <w:t>MBA</w:t>
      </w:r>
      <w:r w:rsidR="00004776" w:rsidRPr="00F02F9D">
        <w:rPr>
          <w:rFonts w:ascii="Arial" w:eastAsia="Arial" w:hAnsi="Arial"/>
          <w:bCs/>
          <w:sz w:val="22"/>
          <w:szCs w:val="22"/>
          <w:lang w:val="es-CR"/>
        </w:rPr>
        <w:t xml:space="preserve"> tenga un activo sin su costo de origen, o sin su costo de adquisición o su costo sea nulo porque fue recibido por una transacción sin </w:t>
      </w:r>
      <w:r w:rsidR="00004776" w:rsidRPr="00F02F9D">
        <w:rPr>
          <w:rFonts w:ascii="Arial" w:eastAsia="Arial" w:hAnsi="Arial"/>
          <w:bCs/>
          <w:sz w:val="22"/>
          <w:szCs w:val="22"/>
          <w:lang w:val="es-CR"/>
        </w:rPr>
        <w:lastRenderedPageBreak/>
        <w:t>contraprestación, el costo se determinará por referencia al valor razonable del activo a la fecha de la adquisición.</w:t>
      </w:r>
    </w:p>
    <w:p w14:paraId="1DA9B7D1" w14:textId="77777777" w:rsidR="00004776" w:rsidRPr="00F02F9D" w:rsidRDefault="00004776" w:rsidP="00004776">
      <w:pPr>
        <w:spacing w:line="276" w:lineRule="exact"/>
        <w:rPr>
          <w:rFonts w:ascii="Arial" w:eastAsia="Times New Roman" w:hAnsi="Arial"/>
          <w:bCs/>
          <w:sz w:val="22"/>
          <w:szCs w:val="22"/>
          <w:lang w:val="es-CR"/>
        </w:rPr>
      </w:pPr>
    </w:p>
    <w:p w14:paraId="0B36720F" w14:textId="7A153903" w:rsidR="00004776" w:rsidRPr="00F02F9D" w:rsidRDefault="00CB30A1" w:rsidP="00CB30A1">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1.100.2.01</w:t>
      </w:r>
      <w:r w:rsidRPr="00F02F9D">
        <w:rPr>
          <w:rFonts w:ascii="Arial" w:eastAsia="Arial" w:hAnsi="Arial"/>
          <w:bCs/>
          <w:sz w:val="22"/>
          <w:szCs w:val="22"/>
          <w:lang w:val="es-CR"/>
        </w:rPr>
        <w:tab/>
      </w:r>
      <w:r w:rsidR="00004776" w:rsidRPr="00F02F9D">
        <w:rPr>
          <w:rFonts w:ascii="Arial" w:eastAsia="Arial" w:hAnsi="Arial"/>
          <w:bCs/>
          <w:sz w:val="22"/>
          <w:szCs w:val="22"/>
          <w:lang w:val="es-CR"/>
        </w:rPr>
        <w:t xml:space="preserve">Cuando la </w:t>
      </w:r>
      <w:r w:rsidR="000F29DC">
        <w:rPr>
          <w:rFonts w:ascii="Arial" w:eastAsia="Arial" w:hAnsi="Arial"/>
          <w:bCs/>
          <w:sz w:val="22"/>
          <w:szCs w:val="22"/>
          <w:lang w:val="es-CR"/>
        </w:rPr>
        <w:t>MBA</w:t>
      </w:r>
      <w:r w:rsidR="00004776" w:rsidRPr="00F02F9D">
        <w:rPr>
          <w:rFonts w:ascii="Arial" w:eastAsia="Arial" w:hAnsi="Arial"/>
          <w:bCs/>
          <w:sz w:val="22"/>
          <w:szCs w:val="22"/>
          <w:lang w:val="es-CR"/>
        </w:rPr>
        <w:t xml:space="preserve"> reconozca inicialmente un elemento de propiedades, planta y equipo al costo, reconocerá </w:t>
      </w:r>
      <w:r w:rsidR="00AA22E2" w:rsidRPr="00F02F9D">
        <w:rPr>
          <w:rFonts w:ascii="Arial" w:eastAsia="Arial" w:hAnsi="Arial"/>
          <w:bCs/>
          <w:sz w:val="22"/>
          <w:szCs w:val="22"/>
          <w:lang w:val="es-CR"/>
        </w:rPr>
        <w:t>ta</w:t>
      </w:r>
      <w:r w:rsidR="00AA22E2">
        <w:rPr>
          <w:rFonts w:ascii="Arial" w:eastAsia="Arial" w:hAnsi="Arial"/>
          <w:bCs/>
          <w:sz w:val="22"/>
          <w:szCs w:val="22"/>
          <w:lang w:val="es-CR"/>
        </w:rPr>
        <w:t>mbi</w:t>
      </w:r>
      <w:r w:rsidR="00AA22E2" w:rsidRPr="00F02F9D">
        <w:rPr>
          <w:rFonts w:ascii="Arial" w:eastAsia="Arial" w:hAnsi="Arial"/>
          <w:bCs/>
          <w:sz w:val="22"/>
          <w:szCs w:val="22"/>
          <w:lang w:val="es-CR"/>
        </w:rPr>
        <w:t>én</w:t>
      </w:r>
      <w:r w:rsidR="00004776" w:rsidRPr="00F02F9D">
        <w:rPr>
          <w:rFonts w:ascii="Arial" w:eastAsia="Arial" w:hAnsi="Arial"/>
          <w:bCs/>
          <w:sz w:val="22"/>
          <w:szCs w:val="22"/>
          <w:lang w:val="es-CR"/>
        </w:rPr>
        <w:t xml:space="preserve"> la </w:t>
      </w:r>
      <w:r w:rsidR="008A174F" w:rsidRPr="00F02F9D">
        <w:rPr>
          <w:rFonts w:ascii="Arial" w:eastAsia="Arial" w:hAnsi="Arial"/>
          <w:bCs/>
          <w:sz w:val="22"/>
          <w:szCs w:val="22"/>
          <w:lang w:val="es-CR"/>
        </w:rPr>
        <w:t>depreciación y las pérdidas acumuladas</w:t>
      </w:r>
      <w:r w:rsidR="00004776" w:rsidRPr="00F02F9D">
        <w:rPr>
          <w:rFonts w:ascii="Arial" w:eastAsia="Arial" w:hAnsi="Arial"/>
          <w:bCs/>
          <w:sz w:val="22"/>
          <w:szCs w:val="22"/>
          <w:lang w:val="es-CR"/>
        </w:rPr>
        <w:t xml:space="preserve"> por deterioro, como si siempre hubieran aplicado dichas políticas contables.</w:t>
      </w:r>
    </w:p>
    <w:p w14:paraId="42C2732E" w14:textId="77777777" w:rsidR="00004776" w:rsidRPr="00F02F9D" w:rsidRDefault="00004776" w:rsidP="00004776">
      <w:pPr>
        <w:spacing w:line="276" w:lineRule="exact"/>
        <w:rPr>
          <w:rFonts w:ascii="Arial" w:eastAsia="Times New Roman" w:hAnsi="Arial"/>
          <w:bCs/>
          <w:sz w:val="22"/>
          <w:szCs w:val="22"/>
          <w:lang w:val="es-CR"/>
        </w:rPr>
      </w:pPr>
    </w:p>
    <w:p w14:paraId="03724074" w14:textId="006D5F87" w:rsidR="00004776" w:rsidRPr="00F02F9D" w:rsidRDefault="00CB30A1" w:rsidP="00CB30A1">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1.100.3.01</w:t>
      </w:r>
      <w:r w:rsidRPr="00F02F9D">
        <w:rPr>
          <w:rFonts w:ascii="Arial" w:eastAsia="Arial" w:hAnsi="Arial"/>
          <w:bCs/>
          <w:sz w:val="22"/>
          <w:szCs w:val="22"/>
          <w:lang w:val="es-CR"/>
        </w:rPr>
        <w:tab/>
      </w:r>
      <w:r w:rsidR="00004776" w:rsidRPr="00F02F9D">
        <w:rPr>
          <w:rFonts w:ascii="Arial" w:eastAsia="Arial" w:hAnsi="Arial"/>
          <w:bCs/>
          <w:sz w:val="22"/>
          <w:szCs w:val="22"/>
          <w:lang w:val="es-CR"/>
        </w:rPr>
        <w:t xml:space="preserve">Cuando la </w:t>
      </w:r>
      <w:r w:rsidR="000F29DC">
        <w:rPr>
          <w:rFonts w:ascii="Arial" w:eastAsia="Arial" w:hAnsi="Arial"/>
          <w:bCs/>
          <w:sz w:val="22"/>
          <w:szCs w:val="22"/>
          <w:lang w:val="es-CR"/>
        </w:rPr>
        <w:t>MBA</w:t>
      </w:r>
      <w:r w:rsidR="00004776" w:rsidRPr="00F02F9D">
        <w:rPr>
          <w:rFonts w:ascii="Arial" w:eastAsia="Arial" w:hAnsi="Arial"/>
          <w:bCs/>
          <w:sz w:val="22"/>
          <w:szCs w:val="22"/>
          <w:lang w:val="es-CR"/>
        </w:rPr>
        <w:t xml:space="preserve"> haya reconocido activos como propiedades, planta y equipo durante el período de aplicación transitoria, revelará en los EEFF la siguiente información:</w:t>
      </w:r>
    </w:p>
    <w:p w14:paraId="1A9FDEC7" w14:textId="77777777" w:rsidR="00CB30A1" w:rsidRPr="00F02F9D" w:rsidRDefault="00CB30A1" w:rsidP="00CB30A1">
      <w:pPr>
        <w:spacing w:line="238" w:lineRule="auto"/>
        <w:ind w:left="1134" w:right="260" w:hanging="1134"/>
        <w:jc w:val="both"/>
        <w:rPr>
          <w:rFonts w:ascii="Arial" w:eastAsia="Arial" w:hAnsi="Arial"/>
          <w:bCs/>
          <w:sz w:val="22"/>
          <w:szCs w:val="22"/>
          <w:lang w:val="es-CR"/>
        </w:rPr>
      </w:pPr>
    </w:p>
    <w:p w14:paraId="4F3E8E02" w14:textId="756B862A" w:rsidR="00004776" w:rsidRPr="00F02F9D" w:rsidRDefault="00004776">
      <w:pPr>
        <w:pStyle w:val="Prrafodelista"/>
        <w:numPr>
          <w:ilvl w:val="0"/>
          <w:numId w:val="24"/>
        </w:numPr>
        <w:tabs>
          <w:tab w:val="left" w:pos="739"/>
        </w:tabs>
        <w:spacing w:after="120"/>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Se indicará expresamente en Nota a los EEFF la utilización de la disposición transitoria</w:t>
      </w:r>
    </w:p>
    <w:p w14:paraId="4EDAA1DE" w14:textId="77777777" w:rsidR="00004776" w:rsidRPr="00F02F9D" w:rsidRDefault="00004776">
      <w:pPr>
        <w:pStyle w:val="Prrafodelista"/>
        <w:numPr>
          <w:ilvl w:val="0"/>
          <w:numId w:val="24"/>
        </w:numPr>
        <w:tabs>
          <w:tab w:val="left" w:pos="739"/>
        </w:tabs>
        <w:spacing w:after="120"/>
        <w:ind w:left="1418" w:right="280" w:hanging="284"/>
        <w:contextualSpacing w:val="0"/>
        <w:jc w:val="both"/>
        <w:rPr>
          <w:rFonts w:ascii="Arial" w:eastAsia="Arial" w:hAnsi="Arial"/>
          <w:bCs/>
          <w:sz w:val="22"/>
          <w:szCs w:val="22"/>
          <w:lang w:val="es-CR"/>
        </w:rPr>
      </w:pPr>
      <w:bookmarkStart w:id="42" w:name="page32"/>
      <w:bookmarkEnd w:id="42"/>
      <w:r w:rsidRPr="00F02F9D">
        <w:rPr>
          <w:rFonts w:ascii="Arial" w:eastAsia="Arial" w:hAnsi="Arial"/>
          <w:bCs/>
          <w:sz w:val="22"/>
          <w:szCs w:val="22"/>
          <w:lang w:val="es-CR"/>
        </w:rPr>
        <w:t>Los activos de propiedades, planta y equipo reconocidos durante el ejercicio y los totales acumulados reconocidos durante el período de aplicación transitoria.</w:t>
      </w:r>
    </w:p>
    <w:p w14:paraId="34809FD6" w14:textId="77777777" w:rsidR="00004776" w:rsidRPr="00F02F9D" w:rsidRDefault="00004776">
      <w:pPr>
        <w:pStyle w:val="Prrafodelista"/>
        <w:numPr>
          <w:ilvl w:val="0"/>
          <w:numId w:val="24"/>
        </w:numPr>
        <w:tabs>
          <w:tab w:val="left" w:pos="740"/>
        </w:tabs>
        <w:spacing w:after="120"/>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Se incluirá un detalle de los activos de propiedades, planta y equipo que no se han reconocido, se indicarán los motivos por los cuales no se han reconocido y si procederá el reconocimiento en ejercicios próximos.</w:t>
      </w:r>
    </w:p>
    <w:p w14:paraId="45809495" w14:textId="77777777" w:rsidR="00004776" w:rsidRPr="00F02F9D" w:rsidRDefault="00004776" w:rsidP="00CB30A1">
      <w:pPr>
        <w:spacing w:line="1" w:lineRule="exact"/>
        <w:ind w:left="1418" w:hanging="284"/>
        <w:jc w:val="both"/>
        <w:rPr>
          <w:rFonts w:ascii="Arial" w:eastAsia="Arial" w:hAnsi="Arial"/>
          <w:bCs/>
          <w:sz w:val="22"/>
          <w:szCs w:val="22"/>
          <w:lang w:val="es-CR"/>
        </w:rPr>
      </w:pPr>
    </w:p>
    <w:p w14:paraId="70D0E8AD" w14:textId="77777777" w:rsidR="00004776" w:rsidRPr="00F02F9D" w:rsidRDefault="00004776">
      <w:pPr>
        <w:pStyle w:val="Prrafodelista"/>
        <w:numPr>
          <w:ilvl w:val="0"/>
          <w:numId w:val="24"/>
        </w:numPr>
        <w:tabs>
          <w:tab w:val="left" w:pos="740"/>
        </w:tabs>
        <w:spacing w:line="0" w:lineRule="atLeast"/>
        <w:ind w:left="1418" w:hanging="284"/>
        <w:jc w:val="both"/>
        <w:rPr>
          <w:rFonts w:ascii="Arial" w:eastAsia="Arial" w:hAnsi="Arial"/>
          <w:bCs/>
          <w:sz w:val="22"/>
          <w:szCs w:val="22"/>
          <w:lang w:val="es-CR"/>
        </w:rPr>
      </w:pPr>
      <w:r w:rsidRPr="00F02F9D">
        <w:rPr>
          <w:rFonts w:ascii="Arial" w:eastAsia="Arial" w:hAnsi="Arial"/>
          <w:bCs/>
          <w:sz w:val="22"/>
          <w:szCs w:val="22"/>
          <w:lang w:val="es-CR"/>
        </w:rPr>
        <w:t>Cualquier otro detalle que requiera incluir la Institución.</w:t>
      </w:r>
    </w:p>
    <w:p w14:paraId="787E553F" w14:textId="77777777" w:rsidR="00ED4E0E" w:rsidRPr="00F02F9D" w:rsidRDefault="00ED4E0E" w:rsidP="00CB30A1">
      <w:pPr>
        <w:spacing w:line="0" w:lineRule="atLeast"/>
        <w:ind w:left="1418" w:hanging="284"/>
        <w:rPr>
          <w:rFonts w:ascii="Arial" w:eastAsia="Arial" w:hAnsi="Arial"/>
          <w:bCs/>
          <w:sz w:val="22"/>
          <w:szCs w:val="22"/>
          <w:lang w:val="es-CR"/>
        </w:rPr>
      </w:pPr>
    </w:p>
    <w:p w14:paraId="26688A47" w14:textId="77777777" w:rsidR="00B43741" w:rsidRDefault="00B43741" w:rsidP="00A351C9">
      <w:pPr>
        <w:spacing w:line="238" w:lineRule="auto"/>
        <w:ind w:left="1134" w:right="260" w:hanging="1134"/>
        <w:jc w:val="both"/>
        <w:rPr>
          <w:rFonts w:ascii="Arial" w:eastAsia="Arial" w:hAnsi="Arial"/>
          <w:b/>
          <w:sz w:val="22"/>
          <w:szCs w:val="22"/>
          <w:lang w:val="es-CR"/>
        </w:rPr>
      </w:pPr>
    </w:p>
    <w:p w14:paraId="39D32B4D" w14:textId="77777777" w:rsidR="00B43741" w:rsidRPr="00F02F9D" w:rsidRDefault="00B43741" w:rsidP="00A351C9">
      <w:pPr>
        <w:spacing w:line="238" w:lineRule="auto"/>
        <w:ind w:left="1134" w:right="260" w:hanging="1134"/>
        <w:jc w:val="both"/>
        <w:rPr>
          <w:rFonts w:ascii="Arial" w:eastAsia="Arial" w:hAnsi="Arial"/>
          <w:b/>
          <w:sz w:val="22"/>
          <w:szCs w:val="22"/>
          <w:lang w:val="es-CR"/>
        </w:rPr>
      </w:pPr>
    </w:p>
    <w:tbl>
      <w:tblPr>
        <w:tblW w:w="9204" w:type="dxa"/>
        <w:tblLook w:val="04A0" w:firstRow="1" w:lastRow="0" w:firstColumn="1" w:lastColumn="0" w:noHBand="0" w:noVBand="1"/>
      </w:tblPr>
      <w:tblGrid>
        <w:gridCol w:w="551"/>
        <w:gridCol w:w="617"/>
        <w:gridCol w:w="531"/>
        <w:gridCol w:w="3394"/>
        <w:gridCol w:w="1843"/>
        <w:gridCol w:w="2268"/>
      </w:tblGrid>
      <w:tr w:rsidR="00C00F37" w:rsidRPr="0098697B" w14:paraId="3ED44C61" w14:textId="77777777" w:rsidTr="00C00F37">
        <w:trPr>
          <w:trHeight w:val="320"/>
        </w:trPr>
        <w:tc>
          <w:tcPr>
            <w:tcW w:w="169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F535292" w14:textId="77777777" w:rsidR="00C00F37" w:rsidRPr="0098697B" w:rsidRDefault="00C00F37" w:rsidP="00C00F37">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 / Política</w:t>
            </w:r>
          </w:p>
        </w:tc>
        <w:tc>
          <w:tcPr>
            <w:tcW w:w="3394" w:type="dxa"/>
            <w:vMerge w:val="restart"/>
            <w:tcBorders>
              <w:top w:val="single" w:sz="8" w:space="0" w:color="auto"/>
              <w:left w:val="single" w:sz="8" w:space="0" w:color="auto"/>
              <w:bottom w:val="nil"/>
              <w:right w:val="single" w:sz="8" w:space="0" w:color="auto"/>
            </w:tcBorders>
            <w:shd w:val="clear" w:color="000000" w:fill="203764"/>
            <w:vAlign w:val="center"/>
            <w:hideMark/>
          </w:tcPr>
          <w:p w14:paraId="3A93A89F" w14:textId="77777777" w:rsidR="00C00F37" w:rsidRPr="0098697B" w:rsidRDefault="00C00F37" w:rsidP="00C00F37">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Concepto</w:t>
            </w:r>
          </w:p>
        </w:tc>
        <w:tc>
          <w:tcPr>
            <w:tcW w:w="4111" w:type="dxa"/>
            <w:gridSpan w:val="2"/>
            <w:tcBorders>
              <w:top w:val="single" w:sz="8" w:space="0" w:color="auto"/>
              <w:left w:val="nil"/>
              <w:bottom w:val="single" w:sz="8" w:space="0" w:color="auto"/>
              <w:right w:val="single" w:sz="8" w:space="0" w:color="000000"/>
            </w:tcBorders>
            <w:shd w:val="clear" w:color="000000" w:fill="203764"/>
            <w:vAlign w:val="center"/>
            <w:hideMark/>
          </w:tcPr>
          <w:p w14:paraId="4DB89FB9" w14:textId="77777777" w:rsidR="00C00F37" w:rsidRPr="0098697B" w:rsidRDefault="00C00F37" w:rsidP="00C00F37">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Referencia</w:t>
            </w:r>
          </w:p>
        </w:tc>
      </w:tr>
      <w:tr w:rsidR="00C00F37" w:rsidRPr="0071104F" w14:paraId="03C0B730" w14:textId="77777777" w:rsidTr="00C00F37">
        <w:trPr>
          <w:trHeight w:val="320"/>
        </w:trPr>
        <w:tc>
          <w:tcPr>
            <w:tcW w:w="1699" w:type="dxa"/>
            <w:gridSpan w:val="3"/>
            <w:vMerge/>
            <w:tcBorders>
              <w:top w:val="single" w:sz="8" w:space="0" w:color="auto"/>
              <w:left w:val="single" w:sz="8" w:space="0" w:color="auto"/>
              <w:bottom w:val="nil"/>
              <w:right w:val="single" w:sz="8" w:space="0" w:color="000000"/>
            </w:tcBorders>
            <w:vAlign w:val="center"/>
            <w:hideMark/>
          </w:tcPr>
          <w:p w14:paraId="71830CB6" w14:textId="77777777" w:rsidR="00C00F37" w:rsidRPr="0098697B" w:rsidRDefault="00C00F37" w:rsidP="00C00F37">
            <w:pPr>
              <w:rPr>
                <w:rFonts w:ascii="Arial Narrow" w:eastAsia="Times New Roman" w:hAnsi="Arial Narrow"/>
                <w:b/>
                <w:bCs/>
                <w:color w:val="FFFFFF"/>
                <w:sz w:val="22"/>
                <w:szCs w:val="22"/>
              </w:rPr>
            </w:pPr>
          </w:p>
        </w:tc>
        <w:tc>
          <w:tcPr>
            <w:tcW w:w="3394" w:type="dxa"/>
            <w:vMerge/>
            <w:tcBorders>
              <w:top w:val="single" w:sz="8" w:space="0" w:color="auto"/>
              <w:left w:val="single" w:sz="8" w:space="0" w:color="auto"/>
              <w:bottom w:val="nil"/>
              <w:right w:val="single" w:sz="8" w:space="0" w:color="auto"/>
            </w:tcBorders>
            <w:vAlign w:val="center"/>
            <w:hideMark/>
          </w:tcPr>
          <w:p w14:paraId="4B8B9C66" w14:textId="77777777" w:rsidR="00C00F37" w:rsidRPr="0098697B" w:rsidRDefault="00C00F37" w:rsidP="00C00F37">
            <w:pPr>
              <w:rPr>
                <w:rFonts w:ascii="Arial Narrow" w:eastAsia="Times New Roman" w:hAnsi="Arial Narrow"/>
                <w:b/>
                <w:bCs/>
                <w:color w:val="FFFFFF"/>
                <w:sz w:val="22"/>
                <w:szCs w:val="22"/>
              </w:rPr>
            </w:pPr>
          </w:p>
        </w:tc>
        <w:tc>
          <w:tcPr>
            <w:tcW w:w="1843" w:type="dxa"/>
            <w:tcBorders>
              <w:top w:val="nil"/>
              <w:left w:val="nil"/>
              <w:bottom w:val="nil"/>
              <w:right w:val="single" w:sz="8" w:space="0" w:color="auto"/>
            </w:tcBorders>
            <w:shd w:val="clear" w:color="000000" w:fill="203764"/>
            <w:vAlign w:val="center"/>
            <w:hideMark/>
          </w:tcPr>
          <w:p w14:paraId="45FBDFAD" w14:textId="77777777" w:rsidR="00C00F37" w:rsidRPr="0098697B" w:rsidRDefault="00C00F37" w:rsidP="00C00F37">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w:t>
            </w:r>
          </w:p>
        </w:tc>
        <w:tc>
          <w:tcPr>
            <w:tcW w:w="2268" w:type="dxa"/>
            <w:tcBorders>
              <w:top w:val="nil"/>
              <w:left w:val="nil"/>
              <w:bottom w:val="nil"/>
              <w:right w:val="single" w:sz="8" w:space="0" w:color="auto"/>
            </w:tcBorders>
            <w:shd w:val="clear" w:color="000000" w:fill="203764"/>
            <w:vAlign w:val="center"/>
            <w:hideMark/>
          </w:tcPr>
          <w:p w14:paraId="6AC0DBE4" w14:textId="2A7CB1B7" w:rsidR="00C00F37" w:rsidRPr="0071104F" w:rsidRDefault="0071104F" w:rsidP="00C00F37">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49D43CFC" w14:textId="77777777" w:rsidTr="000236D5">
        <w:trPr>
          <w:trHeight w:val="1137"/>
        </w:trPr>
        <w:tc>
          <w:tcPr>
            <w:tcW w:w="5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405B7F" w14:textId="77777777" w:rsidR="000236D5" w:rsidRPr="0098697B" w:rsidRDefault="000236D5" w:rsidP="000236D5">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2702CD50" w14:textId="77777777" w:rsidR="000236D5" w:rsidRPr="0098697B" w:rsidRDefault="000236D5" w:rsidP="000236D5">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101</w:t>
            </w:r>
          </w:p>
        </w:tc>
        <w:tc>
          <w:tcPr>
            <w:tcW w:w="531" w:type="dxa"/>
            <w:tcBorders>
              <w:top w:val="single" w:sz="8" w:space="0" w:color="auto"/>
              <w:left w:val="nil"/>
              <w:bottom w:val="single" w:sz="8" w:space="0" w:color="auto"/>
              <w:right w:val="single" w:sz="8" w:space="0" w:color="auto"/>
            </w:tcBorders>
            <w:shd w:val="clear" w:color="auto" w:fill="auto"/>
            <w:vAlign w:val="center"/>
            <w:hideMark/>
          </w:tcPr>
          <w:p w14:paraId="318B360D" w14:textId="251AC06C" w:rsidR="000236D5" w:rsidRPr="0098697B" w:rsidRDefault="000236D5" w:rsidP="000236D5">
            <w:pPr>
              <w:jc w:val="center"/>
              <w:rPr>
                <w:rFonts w:ascii="Arial Narrow" w:eastAsia="Times New Roman" w:hAnsi="Arial Narrow"/>
                <w:b/>
                <w:bCs/>
                <w:color w:val="000000"/>
                <w:sz w:val="22"/>
                <w:szCs w:val="22"/>
              </w:rPr>
            </w:pPr>
          </w:p>
        </w:tc>
        <w:tc>
          <w:tcPr>
            <w:tcW w:w="3394" w:type="dxa"/>
            <w:tcBorders>
              <w:top w:val="single" w:sz="8" w:space="0" w:color="auto"/>
              <w:left w:val="nil"/>
              <w:bottom w:val="single" w:sz="8" w:space="0" w:color="auto"/>
              <w:right w:val="single" w:sz="8" w:space="0" w:color="auto"/>
            </w:tcBorders>
            <w:shd w:val="clear" w:color="auto" w:fill="auto"/>
            <w:vAlign w:val="center"/>
            <w:hideMark/>
          </w:tcPr>
          <w:p w14:paraId="44A56F35" w14:textId="77777777" w:rsidR="000236D5" w:rsidRPr="0098697B" w:rsidRDefault="000236D5" w:rsidP="000236D5">
            <w:pPr>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 xml:space="preserve">Medición y reconocimiento posterior al inicio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104B5E00" w14:textId="77777777" w:rsid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NICSP N° 17, </w:t>
            </w:r>
          </w:p>
          <w:p w14:paraId="19A81FF8" w14:textId="28A30033" w:rsidR="000236D5" w:rsidRP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Párrafos 42.</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1DF2D28" w14:textId="0284708D" w:rsidR="000236D5" w:rsidRPr="0098697B" w:rsidRDefault="000236D5" w:rsidP="000236D5">
            <w:pPr>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98697B">
              <w:rPr>
                <w:rFonts w:ascii="Arial Narrow" w:eastAsia="Times New Roman" w:hAnsi="Arial Narrow"/>
                <w:b/>
                <w:bCs/>
                <w:color w:val="000000"/>
                <w:sz w:val="22"/>
                <w:szCs w:val="22"/>
                <w:lang w:val="es-CR"/>
              </w:rPr>
              <w:t>.</w:t>
            </w:r>
          </w:p>
        </w:tc>
      </w:tr>
      <w:tr w:rsidR="00C00F37" w:rsidRPr="0098697B" w14:paraId="3FDE8E7C" w14:textId="77777777" w:rsidTr="0098697B">
        <w:trPr>
          <w:trHeight w:val="277"/>
        </w:trPr>
        <w:tc>
          <w:tcPr>
            <w:tcW w:w="551" w:type="dxa"/>
            <w:tcBorders>
              <w:top w:val="nil"/>
              <w:left w:val="single" w:sz="8" w:space="0" w:color="auto"/>
              <w:bottom w:val="single" w:sz="8" w:space="0" w:color="auto"/>
              <w:right w:val="single" w:sz="8" w:space="0" w:color="auto"/>
            </w:tcBorders>
            <w:shd w:val="clear" w:color="auto" w:fill="auto"/>
            <w:vAlign w:val="center"/>
            <w:hideMark/>
          </w:tcPr>
          <w:p w14:paraId="6E346723" w14:textId="77777777" w:rsidR="00C00F37" w:rsidRPr="0098697B" w:rsidRDefault="00C00F37" w:rsidP="00C00F37">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noWrap/>
            <w:vAlign w:val="center"/>
            <w:hideMark/>
          </w:tcPr>
          <w:p w14:paraId="6B659084" w14:textId="77777777" w:rsidR="00C00F37" w:rsidRPr="0098697B" w:rsidRDefault="00C00F37" w:rsidP="00C00F37">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101</w:t>
            </w:r>
          </w:p>
        </w:tc>
        <w:tc>
          <w:tcPr>
            <w:tcW w:w="531" w:type="dxa"/>
            <w:tcBorders>
              <w:top w:val="nil"/>
              <w:left w:val="nil"/>
              <w:bottom w:val="single" w:sz="8" w:space="0" w:color="auto"/>
              <w:right w:val="single" w:sz="8" w:space="0" w:color="auto"/>
            </w:tcBorders>
            <w:shd w:val="clear" w:color="auto" w:fill="auto"/>
            <w:vAlign w:val="center"/>
            <w:hideMark/>
          </w:tcPr>
          <w:p w14:paraId="3265F9E3" w14:textId="77777777" w:rsidR="00C00F37" w:rsidRPr="0098697B" w:rsidRDefault="00C00F37" w:rsidP="00C00F37">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3394" w:type="dxa"/>
            <w:tcBorders>
              <w:top w:val="nil"/>
              <w:left w:val="nil"/>
              <w:bottom w:val="single" w:sz="8" w:space="0" w:color="auto"/>
              <w:right w:val="single" w:sz="8" w:space="0" w:color="auto"/>
            </w:tcBorders>
            <w:shd w:val="clear" w:color="auto" w:fill="auto"/>
            <w:vAlign w:val="center"/>
            <w:hideMark/>
          </w:tcPr>
          <w:p w14:paraId="0D303C87" w14:textId="77777777" w:rsidR="00C00F37" w:rsidRPr="0098697B" w:rsidRDefault="00C00F37" w:rsidP="00C00F37">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Criterio general</w:t>
            </w:r>
          </w:p>
        </w:tc>
        <w:tc>
          <w:tcPr>
            <w:tcW w:w="1843" w:type="dxa"/>
            <w:tcBorders>
              <w:top w:val="nil"/>
              <w:left w:val="nil"/>
              <w:bottom w:val="single" w:sz="8" w:space="0" w:color="auto"/>
              <w:right w:val="single" w:sz="8" w:space="0" w:color="auto"/>
            </w:tcBorders>
            <w:shd w:val="clear" w:color="auto" w:fill="auto"/>
            <w:vAlign w:val="center"/>
          </w:tcPr>
          <w:p w14:paraId="0E8ED054" w14:textId="101A8683" w:rsidR="00C00F37" w:rsidRPr="0098697B" w:rsidRDefault="00C00F37" w:rsidP="00C00F37">
            <w:pPr>
              <w:jc w:val="both"/>
              <w:rPr>
                <w:rFonts w:ascii="Arial Narrow" w:eastAsia="Times New Roman" w:hAnsi="Arial Narrow"/>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hideMark/>
          </w:tcPr>
          <w:p w14:paraId="17DACC5B" w14:textId="2C069818" w:rsidR="00C00F37" w:rsidRPr="0098697B" w:rsidRDefault="00C00F37" w:rsidP="00C00F37">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DGCN</w:t>
            </w:r>
          </w:p>
        </w:tc>
      </w:tr>
      <w:tr w:rsidR="00C00F37" w:rsidRPr="0098697B" w14:paraId="5206B548" w14:textId="77777777" w:rsidTr="0098697B">
        <w:trPr>
          <w:trHeight w:val="253"/>
        </w:trPr>
        <w:tc>
          <w:tcPr>
            <w:tcW w:w="551" w:type="dxa"/>
            <w:tcBorders>
              <w:top w:val="nil"/>
              <w:left w:val="single" w:sz="8" w:space="0" w:color="auto"/>
              <w:bottom w:val="single" w:sz="8" w:space="0" w:color="auto"/>
              <w:right w:val="single" w:sz="8" w:space="0" w:color="auto"/>
            </w:tcBorders>
            <w:shd w:val="clear" w:color="auto" w:fill="auto"/>
            <w:vAlign w:val="center"/>
            <w:hideMark/>
          </w:tcPr>
          <w:p w14:paraId="580CF334" w14:textId="77777777" w:rsidR="00C00F37" w:rsidRPr="0098697B" w:rsidRDefault="00C00F37" w:rsidP="00C00F37">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noWrap/>
            <w:vAlign w:val="center"/>
            <w:hideMark/>
          </w:tcPr>
          <w:p w14:paraId="03DAE8A9" w14:textId="77777777" w:rsidR="00C00F37" w:rsidRPr="0098697B" w:rsidRDefault="00C00F37" w:rsidP="00C00F37">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101</w:t>
            </w:r>
          </w:p>
        </w:tc>
        <w:tc>
          <w:tcPr>
            <w:tcW w:w="531" w:type="dxa"/>
            <w:tcBorders>
              <w:top w:val="nil"/>
              <w:left w:val="nil"/>
              <w:bottom w:val="single" w:sz="8" w:space="0" w:color="auto"/>
              <w:right w:val="single" w:sz="8" w:space="0" w:color="auto"/>
            </w:tcBorders>
            <w:shd w:val="clear" w:color="auto" w:fill="auto"/>
            <w:vAlign w:val="center"/>
            <w:hideMark/>
          </w:tcPr>
          <w:p w14:paraId="001C5BE9" w14:textId="77777777" w:rsidR="00C00F37" w:rsidRPr="0098697B" w:rsidRDefault="00C00F37" w:rsidP="00C00F37">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2</w:t>
            </w:r>
          </w:p>
        </w:tc>
        <w:tc>
          <w:tcPr>
            <w:tcW w:w="3394" w:type="dxa"/>
            <w:tcBorders>
              <w:top w:val="nil"/>
              <w:left w:val="nil"/>
              <w:bottom w:val="single" w:sz="8" w:space="0" w:color="auto"/>
              <w:right w:val="single" w:sz="8" w:space="0" w:color="auto"/>
            </w:tcBorders>
            <w:shd w:val="clear" w:color="auto" w:fill="auto"/>
            <w:vAlign w:val="center"/>
            <w:hideMark/>
          </w:tcPr>
          <w:p w14:paraId="5AFEBC2E" w14:textId="52D53C69" w:rsidR="00C00F37" w:rsidRPr="0098697B" w:rsidRDefault="00C00F37" w:rsidP="00C00F37">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Criterio alternativo</w:t>
            </w:r>
          </w:p>
        </w:tc>
        <w:tc>
          <w:tcPr>
            <w:tcW w:w="1843" w:type="dxa"/>
            <w:tcBorders>
              <w:top w:val="nil"/>
              <w:left w:val="nil"/>
              <w:bottom w:val="single" w:sz="8" w:space="0" w:color="auto"/>
              <w:right w:val="single" w:sz="8" w:space="0" w:color="auto"/>
            </w:tcBorders>
            <w:shd w:val="clear" w:color="auto" w:fill="auto"/>
            <w:vAlign w:val="center"/>
          </w:tcPr>
          <w:p w14:paraId="798615F0" w14:textId="64A711D3" w:rsidR="00C00F37" w:rsidRPr="0098697B" w:rsidRDefault="00C00F37" w:rsidP="00C00F37">
            <w:pPr>
              <w:jc w:val="both"/>
              <w:rPr>
                <w:rFonts w:ascii="Arial Narrow" w:eastAsia="Times New Roman" w:hAnsi="Arial Narrow"/>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hideMark/>
          </w:tcPr>
          <w:p w14:paraId="28048FA0" w14:textId="77777777" w:rsidR="00C00F37" w:rsidRPr="0098697B" w:rsidRDefault="00C00F37" w:rsidP="00C00F37">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DGCN</w:t>
            </w:r>
          </w:p>
        </w:tc>
      </w:tr>
    </w:tbl>
    <w:p w14:paraId="74CFB106" w14:textId="77777777" w:rsidR="00B43741" w:rsidRDefault="00B43741" w:rsidP="0098697B">
      <w:pPr>
        <w:spacing w:line="238" w:lineRule="auto"/>
        <w:ind w:right="260"/>
        <w:jc w:val="both"/>
        <w:rPr>
          <w:rFonts w:ascii="Arial" w:eastAsia="Arial" w:hAnsi="Arial"/>
          <w:b/>
          <w:sz w:val="22"/>
          <w:szCs w:val="22"/>
          <w:lang w:val="es-CR"/>
        </w:rPr>
      </w:pPr>
    </w:p>
    <w:p w14:paraId="5C68E205" w14:textId="3EB3BAD9" w:rsidR="00A963E1" w:rsidRDefault="00A963E1" w:rsidP="0098697B">
      <w:pPr>
        <w:spacing w:line="238" w:lineRule="auto"/>
        <w:ind w:right="260"/>
        <w:jc w:val="both"/>
        <w:rPr>
          <w:rFonts w:ascii="Arial" w:eastAsia="Arial" w:hAnsi="Arial"/>
          <w:b/>
          <w:sz w:val="22"/>
          <w:szCs w:val="22"/>
        </w:rPr>
      </w:pPr>
      <w:r w:rsidRPr="00F02F9D">
        <w:rPr>
          <w:rFonts w:ascii="Arial" w:eastAsia="Arial" w:hAnsi="Arial"/>
          <w:b/>
          <w:sz w:val="22"/>
          <w:szCs w:val="22"/>
        </w:rPr>
        <w:t>Políticas Contables</w:t>
      </w:r>
    </w:p>
    <w:p w14:paraId="694F5948" w14:textId="77777777" w:rsidR="00A963E1" w:rsidRPr="00F02F9D" w:rsidRDefault="00A963E1" w:rsidP="0098697B">
      <w:pPr>
        <w:spacing w:line="238" w:lineRule="auto"/>
        <w:ind w:right="260"/>
        <w:jc w:val="both"/>
        <w:rPr>
          <w:rFonts w:ascii="Arial" w:eastAsia="Arial" w:hAnsi="Arial"/>
          <w:b/>
          <w:sz w:val="22"/>
          <w:szCs w:val="22"/>
          <w:lang w:val="es-CR"/>
        </w:rPr>
      </w:pPr>
    </w:p>
    <w:p w14:paraId="2027A745" w14:textId="4D51654D" w:rsidR="00C00F37" w:rsidRPr="00F02F9D" w:rsidRDefault="00C00F37" w:rsidP="00AB28DF">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1.101.1.01</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en los ejercicios posteriores</w:t>
      </w:r>
      <w:r w:rsidR="000236D5" w:rsidRPr="00F02F9D">
        <w:rPr>
          <w:rFonts w:ascii="Arial" w:eastAsia="Arial" w:hAnsi="Arial"/>
          <w:bCs/>
          <w:sz w:val="22"/>
          <w:szCs w:val="22"/>
          <w:lang w:val="es-CR"/>
        </w:rPr>
        <w:t xml:space="preserve"> </w:t>
      </w:r>
      <w:r w:rsidR="003830E5">
        <w:rPr>
          <w:rFonts w:ascii="Arial" w:eastAsia="Arial" w:hAnsi="Arial"/>
          <w:bCs/>
          <w:sz w:val="22"/>
          <w:szCs w:val="22"/>
          <w:lang w:val="es-CR"/>
        </w:rPr>
        <w:t>al reconocimiento inicial</w:t>
      </w:r>
      <w:r w:rsidRPr="00F02F9D">
        <w:rPr>
          <w:rFonts w:ascii="Arial" w:eastAsia="Arial" w:hAnsi="Arial"/>
          <w:bCs/>
          <w:sz w:val="22"/>
          <w:szCs w:val="22"/>
          <w:lang w:val="es-CR"/>
        </w:rPr>
        <w:t xml:space="preserve">, </w:t>
      </w:r>
      <w:r w:rsidR="00B43741">
        <w:rPr>
          <w:rFonts w:ascii="Arial" w:eastAsia="Arial" w:hAnsi="Arial"/>
          <w:bCs/>
          <w:sz w:val="22"/>
          <w:szCs w:val="22"/>
          <w:lang w:val="es-CR"/>
        </w:rPr>
        <w:t xml:space="preserve">se </w:t>
      </w:r>
      <w:r w:rsidRPr="00F02F9D">
        <w:rPr>
          <w:rFonts w:ascii="Arial" w:eastAsia="Arial" w:hAnsi="Arial"/>
          <w:bCs/>
          <w:sz w:val="22"/>
          <w:szCs w:val="22"/>
          <w:lang w:val="es-CR"/>
        </w:rPr>
        <w:t>medirá</w:t>
      </w:r>
      <w:r w:rsidR="00B43741">
        <w:rPr>
          <w:rFonts w:ascii="Arial" w:eastAsia="Arial" w:hAnsi="Arial"/>
          <w:bCs/>
          <w:sz w:val="22"/>
          <w:szCs w:val="22"/>
          <w:lang w:val="es-CR"/>
        </w:rPr>
        <w:t>n</w:t>
      </w:r>
      <w:r w:rsidRPr="00F02F9D">
        <w:rPr>
          <w:rFonts w:ascii="Arial" w:eastAsia="Arial" w:hAnsi="Arial"/>
          <w:bCs/>
          <w:sz w:val="22"/>
          <w:szCs w:val="22"/>
          <w:lang w:val="es-CR"/>
        </w:rPr>
        <w:t xml:space="preserve"> los elementos de propiedades, planta y equipo, que cumplan las condiciones para ser reconocidos como un activo, de acuerdo al:</w:t>
      </w:r>
    </w:p>
    <w:p w14:paraId="524F8D36" w14:textId="77777777" w:rsidR="00C00F37" w:rsidRPr="00F02F9D" w:rsidRDefault="00C00F37" w:rsidP="00C00F37">
      <w:pPr>
        <w:spacing w:line="237" w:lineRule="auto"/>
        <w:ind w:left="1276" w:right="260" w:hanging="1276"/>
        <w:jc w:val="both"/>
        <w:rPr>
          <w:rFonts w:ascii="Arial" w:eastAsia="Arial" w:hAnsi="Arial"/>
          <w:bCs/>
          <w:sz w:val="22"/>
          <w:szCs w:val="22"/>
          <w:lang w:val="es-CR"/>
        </w:rPr>
      </w:pPr>
    </w:p>
    <w:p w14:paraId="2C48CDAC" w14:textId="77777777" w:rsidR="00C00F37" w:rsidRPr="00F02F9D" w:rsidRDefault="00C00F37" w:rsidP="00C00F37">
      <w:pPr>
        <w:spacing w:line="1" w:lineRule="exact"/>
        <w:rPr>
          <w:rFonts w:ascii="Arial" w:eastAsia="Times New Roman" w:hAnsi="Arial"/>
          <w:bCs/>
          <w:sz w:val="22"/>
          <w:szCs w:val="22"/>
          <w:lang w:val="es-CR"/>
        </w:rPr>
      </w:pPr>
    </w:p>
    <w:p w14:paraId="0006FD87" w14:textId="77777777" w:rsidR="00C00F37" w:rsidRPr="00F02F9D" w:rsidRDefault="00C00F37">
      <w:pPr>
        <w:numPr>
          <w:ilvl w:val="0"/>
          <w:numId w:val="26"/>
        </w:numPr>
        <w:tabs>
          <w:tab w:val="left" w:pos="2140"/>
        </w:tabs>
        <w:spacing w:after="120"/>
        <w:ind w:left="1560" w:hanging="284"/>
        <w:rPr>
          <w:rFonts w:ascii="Arial" w:eastAsia="Arial" w:hAnsi="Arial"/>
          <w:bCs/>
          <w:sz w:val="22"/>
          <w:szCs w:val="22"/>
        </w:rPr>
      </w:pPr>
      <w:r w:rsidRPr="00F02F9D">
        <w:rPr>
          <w:rFonts w:ascii="Arial" w:eastAsia="Arial" w:hAnsi="Arial"/>
          <w:bCs/>
          <w:sz w:val="22"/>
          <w:szCs w:val="22"/>
        </w:rPr>
        <w:t>Modelo de Costo; o</w:t>
      </w:r>
    </w:p>
    <w:p w14:paraId="2738E6CE" w14:textId="77777777" w:rsidR="00C00F37" w:rsidRPr="00F02F9D" w:rsidRDefault="00C00F37">
      <w:pPr>
        <w:numPr>
          <w:ilvl w:val="0"/>
          <w:numId w:val="26"/>
        </w:numPr>
        <w:tabs>
          <w:tab w:val="left" w:pos="2140"/>
        </w:tabs>
        <w:spacing w:after="120"/>
        <w:ind w:left="1560" w:hanging="284"/>
        <w:rPr>
          <w:rFonts w:ascii="Arial" w:eastAsia="Arial" w:hAnsi="Arial"/>
          <w:bCs/>
          <w:sz w:val="22"/>
          <w:szCs w:val="22"/>
        </w:rPr>
      </w:pPr>
      <w:r w:rsidRPr="00F02F9D">
        <w:rPr>
          <w:rFonts w:ascii="Arial" w:eastAsia="Arial" w:hAnsi="Arial"/>
          <w:bCs/>
          <w:sz w:val="22"/>
          <w:szCs w:val="22"/>
        </w:rPr>
        <w:t>Modelo de Revaluación.</w:t>
      </w:r>
    </w:p>
    <w:p w14:paraId="1029723A" w14:textId="77777777" w:rsidR="00C00F37" w:rsidRPr="00F02F9D" w:rsidRDefault="00C00F37" w:rsidP="00C00F37">
      <w:pPr>
        <w:tabs>
          <w:tab w:val="left" w:pos="741"/>
        </w:tabs>
        <w:spacing w:line="237" w:lineRule="auto"/>
        <w:ind w:right="260"/>
        <w:jc w:val="both"/>
        <w:rPr>
          <w:rFonts w:ascii="Arial" w:eastAsia="Arial" w:hAnsi="Arial"/>
          <w:bCs/>
          <w:sz w:val="22"/>
          <w:szCs w:val="22"/>
          <w:lang w:val="es-CR"/>
        </w:rPr>
      </w:pPr>
    </w:p>
    <w:p w14:paraId="74CD4399" w14:textId="3BFC2129" w:rsidR="00C00F37" w:rsidRPr="00F02F9D" w:rsidRDefault="00C00F37" w:rsidP="00AB28DF">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1.101.1.02</w:t>
      </w:r>
      <w:r w:rsidRPr="00F02F9D">
        <w:rPr>
          <w:rFonts w:ascii="Arial" w:eastAsia="Arial" w:hAnsi="Arial"/>
          <w:bCs/>
          <w:sz w:val="22"/>
          <w:szCs w:val="22"/>
          <w:lang w:val="es-CR"/>
        </w:rPr>
        <w:tab/>
        <w:t xml:space="preserve">El modelo de costo será el criterio general que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aplicará para la medición y reconocimiento posteriores de los elementos de propiedades, planta y equipo.</w:t>
      </w:r>
    </w:p>
    <w:p w14:paraId="01A74217" w14:textId="77777777" w:rsidR="00C00F37" w:rsidRPr="00F02F9D" w:rsidRDefault="00C00F37" w:rsidP="00C00F37">
      <w:pPr>
        <w:spacing w:line="286" w:lineRule="exact"/>
        <w:rPr>
          <w:rFonts w:ascii="Arial" w:eastAsia="Arial" w:hAnsi="Arial"/>
          <w:bCs/>
          <w:sz w:val="22"/>
          <w:szCs w:val="22"/>
          <w:lang w:val="es-CR"/>
        </w:rPr>
      </w:pPr>
    </w:p>
    <w:p w14:paraId="089F296D" w14:textId="2115D5F3" w:rsidR="00C00F37" w:rsidRPr="00F02F9D" w:rsidRDefault="00C00F37" w:rsidP="00AB28DF">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1.101.1.02</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determinará la oportunidad, periodicidad y clase de bienes para los que se realizarán revaluaciones como criterio alternativo, aplicando en tales casos los criterios que rigen al modelo de revaluación.</w:t>
      </w:r>
    </w:p>
    <w:p w14:paraId="77E838D4" w14:textId="77777777" w:rsidR="00A351C9" w:rsidRDefault="00A351C9" w:rsidP="00A351C9">
      <w:pPr>
        <w:spacing w:line="238" w:lineRule="auto"/>
        <w:ind w:left="1134" w:right="260" w:hanging="1134"/>
        <w:jc w:val="both"/>
        <w:rPr>
          <w:rFonts w:ascii="Arial" w:eastAsia="Arial" w:hAnsi="Arial"/>
          <w:b/>
          <w:sz w:val="22"/>
          <w:szCs w:val="22"/>
          <w:lang w:val="es-CR"/>
        </w:rPr>
      </w:pPr>
    </w:p>
    <w:p w14:paraId="3129DB05" w14:textId="77777777" w:rsidR="00F47532" w:rsidRPr="00F02F9D" w:rsidRDefault="00F47532" w:rsidP="00A351C9">
      <w:pPr>
        <w:spacing w:line="238" w:lineRule="auto"/>
        <w:ind w:left="1134" w:right="260" w:hanging="1134"/>
        <w:jc w:val="both"/>
        <w:rPr>
          <w:rFonts w:ascii="Arial" w:eastAsia="Arial" w:hAnsi="Arial"/>
          <w:b/>
          <w:sz w:val="22"/>
          <w:szCs w:val="22"/>
          <w:lang w:val="es-CR"/>
        </w:rPr>
      </w:pPr>
    </w:p>
    <w:p w14:paraId="6CEFD1AC" w14:textId="77777777" w:rsidR="00C00F37" w:rsidRPr="001065E8" w:rsidRDefault="00C00F37" w:rsidP="001065E8">
      <w:pPr>
        <w:pStyle w:val="Ttulo2"/>
        <w:ind w:left="284"/>
        <w:rPr>
          <w:rFonts w:ascii="Arial" w:eastAsia="Arial" w:hAnsi="Arial" w:cs="Arial"/>
          <w:b/>
          <w:bCs/>
          <w:sz w:val="20"/>
          <w:szCs w:val="20"/>
          <w:lang w:val="es-CR"/>
        </w:rPr>
      </w:pPr>
      <w:bookmarkStart w:id="43" w:name="_Toc172726210"/>
      <w:r w:rsidRPr="001065E8">
        <w:rPr>
          <w:rFonts w:ascii="Arial" w:eastAsia="Arial" w:hAnsi="Arial" w:cs="Arial"/>
          <w:b/>
          <w:bCs/>
          <w:sz w:val="20"/>
          <w:szCs w:val="20"/>
          <w:lang w:val="es-CR"/>
        </w:rPr>
        <w:t>Modelo de Costo</w:t>
      </w:r>
      <w:bookmarkEnd w:id="43"/>
    </w:p>
    <w:p w14:paraId="7D7C6816" w14:textId="77777777" w:rsidR="00A351C9" w:rsidRPr="00F02F9D" w:rsidRDefault="00A351C9" w:rsidP="00A351C9">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3"/>
        <w:gridCol w:w="617"/>
        <w:gridCol w:w="528"/>
        <w:gridCol w:w="3254"/>
        <w:gridCol w:w="1978"/>
        <w:gridCol w:w="2132"/>
      </w:tblGrid>
      <w:tr w:rsidR="00C00F37" w:rsidRPr="0098697B" w14:paraId="754CCB26" w14:textId="77777777" w:rsidTr="0071104F">
        <w:trPr>
          <w:trHeight w:val="320"/>
        </w:trPr>
        <w:tc>
          <w:tcPr>
            <w:tcW w:w="169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0505EFE" w14:textId="77777777" w:rsidR="00C00F37" w:rsidRPr="0098697B" w:rsidRDefault="00C00F37" w:rsidP="00C00F37">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lastRenderedPageBreak/>
              <w:t>Norma / Política</w:t>
            </w:r>
          </w:p>
        </w:tc>
        <w:tc>
          <w:tcPr>
            <w:tcW w:w="3254" w:type="dxa"/>
            <w:vMerge w:val="restart"/>
            <w:tcBorders>
              <w:top w:val="single" w:sz="8" w:space="0" w:color="auto"/>
              <w:left w:val="single" w:sz="8" w:space="0" w:color="auto"/>
              <w:bottom w:val="nil"/>
              <w:right w:val="single" w:sz="8" w:space="0" w:color="auto"/>
            </w:tcBorders>
            <w:shd w:val="clear" w:color="000000" w:fill="203764"/>
            <w:vAlign w:val="center"/>
            <w:hideMark/>
          </w:tcPr>
          <w:p w14:paraId="66591C19" w14:textId="77777777" w:rsidR="00C00F37" w:rsidRPr="0098697B" w:rsidRDefault="00C00F37" w:rsidP="00C00F37">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Concepto</w:t>
            </w:r>
          </w:p>
        </w:tc>
        <w:tc>
          <w:tcPr>
            <w:tcW w:w="4110" w:type="dxa"/>
            <w:gridSpan w:val="2"/>
            <w:tcBorders>
              <w:top w:val="single" w:sz="8" w:space="0" w:color="auto"/>
              <w:left w:val="nil"/>
              <w:bottom w:val="single" w:sz="8" w:space="0" w:color="auto"/>
              <w:right w:val="single" w:sz="8" w:space="0" w:color="000000"/>
            </w:tcBorders>
            <w:shd w:val="clear" w:color="000000" w:fill="203764"/>
            <w:vAlign w:val="center"/>
            <w:hideMark/>
          </w:tcPr>
          <w:p w14:paraId="0397E585" w14:textId="77777777" w:rsidR="00C00F37" w:rsidRPr="0098697B" w:rsidRDefault="00C00F37" w:rsidP="00C00F37">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Referencia</w:t>
            </w:r>
          </w:p>
        </w:tc>
      </w:tr>
      <w:tr w:rsidR="00C00F37" w:rsidRPr="0071104F" w14:paraId="58894639" w14:textId="77777777" w:rsidTr="0071104F">
        <w:trPr>
          <w:trHeight w:val="320"/>
        </w:trPr>
        <w:tc>
          <w:tcPr>
            <w:tcW w:w="1698" w:type="dxa"/>
            <w:gridSpan w:val="3"/>
            <w:vMerge/>
            <w:tcBorders>
              <w:top w:val="single" w:sz="8" w:space="0" w:color="auto"/>
              <w:left w:val="single" w:sz="8" w:space="0" w:color="auto"/>
              <w:bottom w:val="nil"/>
              <w:right w:val="single" w:sz="8" w:space="0" w:color="000000"/>
            </w:tcBorders>
            <w:vAlign w:val="center"/>
            <w:hideMark/>
          </w:tcPr>
          <w:p w14:paraId="1E1A549D" w14:textId="77777777" w:rsidR="00C00F37" w:rsidRPr="0098697B" w:rsidRDefault="00C00F37" w:rsidP="00C00F37">
            <w:pPr>
              <w:rPr>
                <w:rFonts w:ascii="Arial Narrow" w:eastAsia="Times New Roman" w:hAnsi="Arial Narrow"/>
                <w:b/>
                <w:bCs/>
                <w:color w:val="FFFFFF"/>
                <w:sz w:val="22"/>
                <w:szCs w:val="22"/>
              </w:rPr>
            </w:pPr>
          </w:p>
        </w:tc>
        <w:tc>
          <w:tcPr>
            <w:tcW w:w="3254" w:type="dxa"/>
            <w:vMerge/>
            <w:tcBorders>
              <w:top w:val="single" w:sz="8" w:space="0" w:color="auto"/>
              <w:left w:val="single" w:sz="8" w:space="0" w:color="auto"/>
              <w:bottom w:val="nil"/>
              <w:right w:val="single" w:sz="8" w:space="0" w:color="auto"/>
            </w:tcBorders>
            <w:vAlign w:val="center"/>
            <w:hideMark/>
          </w:tcPr>
          <w:p w14:paraId="732CBC69" w14:textId="77777777" w:rsidR="00C00F37" w:rsidRPr="0098697B" w:rsidRDefault="00C00F37" w:rsidP="00C00F37">
            <w:pPr>
              <w:rPr>
                <w:rFonts w:ascii="Arial Narrow" w:eastAsia="Times New Roman" w:hAnsi="Arial Narrow"/>
                <w:b/>
                <w:bCs/>
                <w:color w:val="FFFFFF"/>
                <w:sz w:val="22"/>
                <w:szCs w:val="22"/>
              </w:rPr>
            </w:pPr>
          </w:p>
        </w:tc>
        <w:tc>
          <w:tcPr>
            <w:tcW w:w="1978" w:type="dxa"/>
            <w:tcBorders>
              <w:top w:val="nil"/>
              <w:left w:val="nil"/>
              <w:bottom w:val="nil"/>
              <w:right w:val="single" w:sz="8" w:space="0" w:color="auto"/>
            </w:tcBorders>
            <w:shd w:val="clear" w:color="000000" w:fill="203764"/>
            <w:vAlign w:val="center"/>
            <w:hideMark/>
          </w:tcPr>
          <w:p w14:paraId="1644FCE3" w14:textId="77777777" w:rsidR="00C00F37" w:rsidRPr="0098697B" w:rsidRDefault="00C00F37" w:rsidP="00C00F37">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w:t>
            </w:r>
          </w:p>
        </w:tc>
        <w:tc>
          <w:tcPr>
            <w:tcW w:w="2132" w:type="dxa"/>
            <w:tcBorders>
              <w:top w:val="nil"/>
              <w:left w:val="nil"/>
              <w:bottom w:val="nil"/>
              <w:right w:val="single" w:sz="8" w:space="0" w:color="auto"/>
            </w:tcBorders>
            <w:shd w:val="clear" w:color="000000" w:fill="203764"/>
            <w:vAlign w:val="center"/>
            <w:hideMark/>
          </w:tcPr>
          <w:p w14:paraId="6FA643F0" w14:textId="15A24156" w:rsidR="00C00F37" w:rsidRPr="0071104F" w:rsidRDefault="0071104F" w:rsidP="00C00F37">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32E1574D" w14:textId="77777777" w:rsidTr="0071104F">
        <w:trPr>
          <w:trHeight w:val="802"/>
        </w:trPr>
        <w:tc>
          <w:tcPr>
            <w:tcW w:w="5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57D240" w14:textId="77777777" w:rsidR="000236D5" w:rsidRP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3529970D" w14:textId="77777777" w:rsidR="000236D5" w:rsidRP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102</w:t>
            </w:r>
          </w:p>
        </w:tc>
        <w:tc>
          <w:tcPr>
            <w:tcW w:w="528" w:type="dxa"/>
            <w:tcBorders>
              <w:top w:val="single" w:sz="8" w:space="0" w:color="auto"/>
              <w:left w:val="nil"/>
              <w:bottom w:val="single" w:sz="8" w:space="0" w:color="auto"/>
              <w:right w:val="single" w:sz="8" w:space="0" w:color="auto"/>
            </w:tcBorders>
            <w:shd w:val="clear" w:color="auto" w:fill="auto"/>
            <w:vAlign w:val="center"/>
            <w:hideMark/>
          </w:tcPr>
          <w:p w14:paraId="1794913C" w14:textId="0E54B4B2" w:rsidR="000236D5" w:rsidRP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3254" w:type="dxa"/>
            <w:tcBorders>
              <w:top w:val="single" w:sz="8" w:space="0" w:color="auto"/>
              <w:left w:val="nil"/>
              <w:bottom w:val="single" w:sz="8" w:space="0" w:color="auto"/>
              <w:right w:val="single" w:sz="8" w:space="0" w:color="auto"/>
            </w:tcBorders>
            <w:shd w:val="clear" w:color="auto" w:fill="auto"/>
            <w:vAlign w:val="center"/>
            <w:hideMark/>
          </w:tcPr>
          <w:p w14:paraId="39947786" w14:textId="77777777" w:rsidR="000236D5" w:rsidRP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Modelo del Costo</w:t>
            </w:r>
          </w:p>
        </w:tc>
        <w:tc>
          <w:tcPr>
            <w:tcW w:w="1978" w:type="dxa"/>
            <w:tcBorders>
              <w:top w:val="single" w:sz="8" w:space="0" w:color="auto"/>
              <w:left w:val="nil"/>
              <w:bottom w:val="single" w:sz="8" w:space="0" w:color="auto"/>
              <w:right w:val="single" w:sz="8" w:space="0" w:color="auto"/>
            </w:tcBorders>
            <w:shd w:val="clear" w:color="auto" w:fill="auto"/>
            <w:vAlign w:val="center"/>
            <w:hideMark/>
          </w:tcPr>
          <w:p w14:paraId="02EBAB6B" w14:textId="77777777" w:rsid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NICSP N° 17,</w:t>
            </w:r>
          </w:p>
          <w:p w14:paraId="0FBA2986" w14:textId="261BE4A4" w:rsidR="000236D5" w:rsidRP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Párrafos 43.</w:t>
            </w:r>
          </w:p>
        </w:tc>
        <w:tc>
          <w:tcPr>
            <w:tcW w:w="2132" w:type="dxa"/>
            <w:tcBorders>
              <w:top w:val="single" w:sz="8" w:space="0" w:color="auto"/>
              <w:left w:val="nil"/>
              <w:bottom w:val="single" w:sz="8" w:space="0" w:color="auto"/>
              <w:right w:val="single" w:sz="8" w:space="0" w:color="auto"/>
            </w:tcBorders>
            <w:shd w:val="clear" w:color="auto" w:fill="auto"/>
            <w:vAlign w:val="center"/>
            <w:hideMark/>
          </w:tcPr>
          <w:p w14:paraId="73D7A4FC" w14:textId="4C731A41" w:rsidR="000236D5" w:rsidRPr="0098697B" w:rsidRDefault="000236D5" w:rsidP="000236D5">
            <w:pPr>
              <w:jc w:val="both"/>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98697B">
              <w:rPr>
                <w:rFonts w:ascii="Arial Narrow" w:eastAsia="Times New Roman" w:hAnsi="Arial Narrow"/>
                <w:b/>
                <w:bCs/>
                <w:color w:val="000000"/>
                <w:sz w:val="22"/>
                <w:szCs w:val="22"/>
                <w:lang w:val="es-CR"/>
              </w:rPr>
              <w:t>.</w:t>
            </w:r>
          </w:p>
        </w:tc>
      </w:tr>
    </w:tbl>
    <w:p w14:paraId="3D2D61F2" w14:textId="77777777" w:rsidR="00AB28DF" w:rsidRDefault="00AB28DF" w:rsidP="000720C5">
      <w:pPr>
        <w:spacing w:line="237" w:lineRule="auto"/>
        <w:ind w:left="1134" w:right="260" w:hanging="1134"/>
        <w:jc w:val="both"/>
        <w:rPr>
          <w:rFonts w:ascii="Arial" w:eastAsia="Arial" w:hAnsi="Arial"/>
          <w:bCs/>
          <w:sz w:val="22"/>
          <w:szCs w:val="22"/>
          <w:lang w:val="es-CR"/>
        </w:rPr>
      </w:pPr>
    </w:p>
    <w:p w14:paraId="175E075B" w14:textId="0F2DE94C" w:rsidR="00A963E1" w:rsidRPr="0030399E" w:rsidRDefault="00A963E1" w:rsidP="000720C5">
      <w:pPr>
        <w:spacing w:line="237" w:lineRule="auto"/>
        <w:ind w:left="1134" w:right="260" w:hanging="1134"/>
        <w:jc w:val="both"/>
        <w:rPr>
          <w:rFonts w:ascii="Arial" w:eastAsia="Arial" w:hAnsi="Arial"/>
          <w:b/>
          <w:sz w:val="22"/>
          <w:szCs w:val="22"/>
          <w:lang w:val="es-CR"/>
        </w:rPr>
      </w:pPr>
      <w:r w:rsidRPr="0030399E">
        <w:rPr>
          <w:rFonts w:ascii="Arial" w:eastAsia="Arial" w:hAnsi="Arial"/>
          <w:b/>
          <w:sz w:val="22"/>
          <w:szCs w:val="22"/>
          <w:lang w:val="es-CR"/>
        </w:rPr>
        <w:t>Política Contable</w:t>
      </w:r>
    </w:p>
    <w:p w14:paraId="2CF80D6A" w14:textId="77777777" w:rsidR="00A963E1" w:rsidRPr="00F02F9D" w:rsidRDefault="00A963E1" w:rsidP="000720C5">
      <w:pPr>
        <w:spacing w:line="237" w:lineRule="auto"/>
        <w:ind w:left="1134" w:right="260" w:hanging="1134"/>
        <w:jc w:val="both"/>
        <w:rPr>
          <w:rFonts w:ascii="Arial" w:eastAsia="Arial" w:hAnsi="Arial"/>
          <w:bCs/>
          <w:sz w:val="22"/>
          <w:szCs w:val="22"/>
          <w:lang w:val="es-CR"/>
        </w:rPr>
      </w:pPr>
    </w:p>
    <w:p w14:paraId="52C3554C" w14:textId="4EB0CA5D" w:rsidR="00C00F37" w:rsidRPr="00F02F9D" w:rsidRDefault="000720C5" w:rsidP="000720C5">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1.102.0.01</w:t>
      </w:r>
      <w:r w:rsidRPr="00F02F9D">
        <w:rPr>
          <w:rFonts w:ascii="Arial" w:eastAsia="Arial" w:hAnsi="Arial"/>
          <w:bCs/>
          <w:sz w:val="22"/>
          <w:szCs w:val="22"/>
          <w:lang w:val="es-CR"/>
        </w:rPr>
        <w:tab/>
      </w:r>
      <w:r w:rsidR="00C00F37"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00C00F37" w:rsidRPr="00F02F9D">
        <w:rPr>
          <w:rFonts w:ascii="Arial" w:eastAsia="Arial" w:hAnsi="Arial"/>
          <w:bCs/>
          <w:sz w:val="22"/>
          <w:szCs w:val="22"/>
          <w:lang w:val="es-CR"/>
        </w:rPr>
        <w:t xml:space="preserve"> una vez reconocido un activo, todo elemento de propiedades, planta y equipo se contabilizará por su costo menos la </w:t>
      </w:r>
      <w:r w:rsidRPr="00F02F9D">
        <w:rPr>
          <w:rFonts w:ascii="Arial" w:eastAsia="Arial" w:hAnsi="Arial"/>
          <w:bCs/>
          <w:sz w:val="22"/>
          <w:szCs w:val="22"/>
          <w:lang w:val="es-CR"/>
        </w:rPr>
        <w:t>depreciación y el importe acumulados</w:t>
      </w:r>
      <w:r w:rsidR="00C00F37" w:rsidRPr="00F02F9D">
        <w:rPr>
          <w:rFonts w:ascii="Arial" w:eastAsia="Arial" w:hAnsi="Arial"/>
          <w:bCs/>
          <w:sz w:val="22"/>
          <w:szCs w:val="22"/>
          <w:lang w:val="es-CR"/>
        </w:rPr>
        <w:t xml:space="preserve"> de las pérdidas por deterioro del valor.</w:t>
      </w:r>
    </w:p>
    <w:p w14:paraId="25E20BFD" w14:textId="77777777" w:rsidR="00C00F37" w:rsidRPr="00F02F9D" w:rsidRDefault="00C00F37" w:rsidP="00A351C9">
      <w:pPr>
        <w:spacing w:line="238" w:lineRule="auto"/>
        <w:ind w:left="1134" w:right="260" w:hanging="1134"/>
        <w:jc w:val="both"/>
        <w:rPr>
          <w:rFonts w:ascii="Arial" w:eastAsia="Arial" w:hAnsi="Arial"/>
          <w:b/>
          <w:sz w:val="22"/>
          <w:szCs w:val="22"/>
          <w:lang w:val="es-CR"/>
        </w:rPr>
      </w:pPr>
    </w:p>
    <w:p w14:paraId="371086D8" w14:textId="77777777" w:rsidR="000720C5" w:rsidRPr="00F02F9D" w:rsidRDefault="000720C5" w:rsidP="00A351C9">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8"/>
        <w:gridCol w:w="550"/>
        <w:gridCol w:w="538"/>
        <w:gridCol w:w="3164"/>
        <w:gridCol w:w="1843"/>
        <w:gridCol w:w="2409"/>
      </w:tblGrid>
      <w:tr w:rsidR="00F02F9D" w:rsidRPr="0098697B" w14:paraId="13A694F5" w14:textId="77777777" w:rsidTr="0071104F">
        <w:trPr>
          <w:trHeight w:val="320"/>
        </w:trPr>
        <w:tc>
          <w:tcPr>
            <w:tcW w:w="164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0BF54C1" w14:textId="77777777" w:rsidR="000720C5" w:rsidRPr="0098697B" w:rsidRDefault="000720C5" w:rsidP="000720C5">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 / Política</w:t>
            </w:r>
          </w:p>
        </w:tc>
        <w:tc>
          <w:tcPr>
            <w:tcW w:w="3164" w:type="dxa"/>
            <w:vMerge w:val="restart"/>
            <w:tcBorders>
              <w:top w:val="single" w:sz="8" w:space="0" w:color="auto"/>
              <w:left w:val="single" w:sz="8" w:space="0" w:color="auto"/>
              <w:bottom w:val="nil"/>
              <w:right w:val="single" w:sz="8" w:space="0" w:color="auto"/>
            </w:tcBorders>
            <w:shd w:val="clear" w:color="000000" w:fill="203764"/>
            <w:vAlign w:val="center"/>
            <w:hideMark/>
          </w:tcPr>
          <w:p w14:paraId="772366F2" w14:textId="77777777" w:rsidR="000720C5" w:rsidRPr="0098697B" w:rsidRDefault="000720C5" w:rsidP="000720C5">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2431556A" w14:textId="77777777" w:rsidR="000720C5" w:rsidRPr="0098697B" w:rsidRDefault="000720C5" w:rsidP="000720C5">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Referencia</w:t>
            </w:r>
          </w:p>
        </w:tc>
      </w:tr>
      <w:tr w:rsidR="000720C5" w:rsidRPr="0071104F" w14:paraId="373020C5" w14:textId="77777777" w:rsidTr="0071104F">
        <w:trPr>
          <w:trHeight w:val="320"/>
        </w:trPr>
        <w:tc>
          <w:tcPr>
            <w:tcW w:w="1646" w:type="dxa"/>
            <w:gridSpan w:val="3"/>
            <w:vMerge/>
            <w:tcBorders>
              <w:top w:val="single" w:sz="8" w:space="0" w:color="auto"/>
              <w:left w:val="single" w:sz="8" w:space="0" w:color="auto"/>
              <w:bottom w:val="nil"/>
              <w:right w:val="single" w:sz="8" w:space="0" w:color="000000"/>
            </w:tcBorders>
            <w:vAlign w:val="center"/>
            <w:hideMark/>
          </w:tcPr>
          <w:p w14:paraId="78AD3F7C" w14:textId="77777777" w:rsidR="000720C5" w:rsidRPr="0098697B" w:rsidRDefault="000720C5" w:rsidP="000720C5">
            <w:pPr>
              <w:rPr>
                <w:rFonts w:ascii="Arial Narrow" w:eastAsia="Times New Roman" w:hAnsi="Arial Narrow"/>
                <w:b/>
                <w:bCs/>
                <w:color w:val="FFFFFF"/>
                <w:sz w:val="22"/>
                <w:szCs w:val="22"/>
              </w:rPr>
            </w:pPr>
          </w:p>
        </w:tc>
        <w:tc>
          <w:tcPr>
            <w:tcW w:w="3164" w:type="dxa"/>
            <w:vMerge/>
            <w:tcBorders>
              <w:top w:val="single" w:sz="8" w:space="0" w:color="auto"/>
              <w:left w:val="single" w:sz="8" w:space="0" w:color="auto"/>
              <w:bottom w:val="nil"/>
              <w:right w:val="single" w:sz="8" w:space="0" w:color="auto"/>
            </w:tcBorders>
            <w:vAlign w:val="center"/>
            <w:hideMark/>
          </w:tcPr>
          <w:p w14:paraId="29697900" w14:textId="77777777" w:rsidR="000720C5" w:rsidRPr="0098697B" w:rsidRDefault="000720C5" w:rsidP="000720C5">
            <w:pPr>
              <w:rPr>
                <w:rFonts w:ascii="Arial Narrow" w:eastAsia="Times New Roman" w:hAnsi="Arial Narrow"/>
                <w:b/>
                <w:bCs/>
                <w:color w:val="FFFFFF"/>
                <w:sz w:val="22"/>
                <w:szCs w:val="22"/>
              </w:rPr>
            </w:pPr>
          </w:p>
        </w:tc>
        <w:tc>
          <w:tcPr>
            <w:tcW w:w="1843" w:type="dxa"/>
            <w:tcBorders>
              <w:top w:val="nil"/>
              <w:left w:val="nil"/>
              <w:bottom w:val="nil"/>
              <w:right w:val="single" w:sz="8" w:space="0" w:color="auto"/>
            </w:tcBorders>
            <w:shd w:val="clear" w:color="000000" w:fill="203764"/>
            <w:vAlign w:val="center"/>
            <w:hideMark/>
          </w:tcPr>
          <w:p w14:paraId="4E53BFB4" w14:textId="77777777" w:rsidR="000720C5" w:rsidRPr="0098697B" w:rsidRDefault="000720C5" w:rsidP="000720C5">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w:t>
            </w:r>
          </w:p>
        </w:tc>
        <w:tc>
          <w:tcPr>
            <w:tcW w:w="2409" w:type="dxa"/>
            <w:tcBorders>
              <w:top w:val="nil"/>
              <w:left w:val="nil"/>
              <w:bottom w:val="nil"/>
              <w:right w:val="single" w:sz="8" w:space="0" w:color="auto"/>
            </w:tcBorders>
            <w:shd w:val="clear" w:color="000000" w:fill="203764"/>
            <w:vAlign w:val="center"/>
            <w:hideMark/>
          </w:tcPr>
          <w:p w14:paraId="7DEE39E6" w14:textId="15FBAD70" w:rsidR="000720C5" w:rsidRPr="0071104F" w:rsidRDefault="0071104F" w:rsidP="000720C5">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6E5442" w14:paraId="4648B3FB" w14:textId="77777777" w:rsidTr="0071104F">
        <w:trPr>
          <w:trHeight w:val="869"/>
        </w:trPr>
        <w:tc>
          <w:tcPr>
            <w:tcW w:w="5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65F4EA" w14:textId="77777777" w:rsidR="000236D5" w:rsidRPr="0098697B" w:rsidRDefault="000236D5" w:rsidP="000236D5">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7E719C8E" w14:textId="77777777" w:rsidR="000236D5" w:rsidRPr="0098697B" w:rsidRDefault="000236D5" w:rsidP="000236D5">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103</w:t>
            </w:r>
          </w:p>
        </w:tc>
        <w:tc>
          <w:tcPr>
            <w:tcW w:w="538" w:type="dxa"/>
            <w:tcBorders>
              <w:top w:val="single" w:sz="8" w:space="0" w:color="auto"/>
              <w:left w:val="nil"/>
              <w:bottom w:val="single" w:sz="8" w:space="0" w:color="auto"/>
              <w:right w:val="single" w:sz="8" w:space="0" w:color="auto"/>
            </w:tcBorders>
            <w:shd w:val="clear" w:color="auto" w:fill="auto"/>
            <w:vAlign w:val="center"/>
            <w:hideMark/>
          </w:tcPr>
          <w:p w14:paraId="678FF4D6" w14:textId="62A4D2C0" w:rsidR="000236D5" w:rsidRPr="0098697B" w:rsidRDefault="000236D5" w:rsidP="000236D5">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3164" w:type="dxa"/>
            <w:tcBorders>
              <w:top w:val="single" w:sz="8" w:space="0" w:color="auto"/>
              <w:left w:val="nil"/>
              <w:bottom w:val="single" w:sz="8" w:space="0" w:color="auto"/>
              <w:right w:val="single" w:sz="8" w:space="0" w:color="auto"/>
            </w:tcBorders>
            <w:shd w:val="clear" w:color="auto" w:fill="auto"/>
            <w:vAlign w:val="center"/>
            <w:hideMark/>
          </w:tcPr>
          <w:p w14:paraId="18B09C52" w14:textId="77777777" w:rsidR="000236D5" w:rsidRPr="0098697B" w:rsidRDefault="000236D5" w:rsidP="000236D5">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Acumulación de costos</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022DD7D" w14:textId="77777777" w:rsidR="0098697B" w:rsidRP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NICSP N° 17,</w:t>
            </w:r>
          </w:p>
          <w:p w14:paraId="4A69C2D1" w14:textId="1497D316" w:rsidR="000236D5" w:rsidRPr="0098697B" w:rsidRDefault="000236D5" w:rsidP="000236D5">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Párrafos 34.</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14:paraId="56639B46" w14:textId="329960F6" w:rsidR="000236D5" w:rsidRPr="0098697B" w:rsidRDefault="000236D5" w:rsidP="000236D5">
            <w:pPr>
              <w:jc w:val="both"/>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 xml:space="preserve">Reglamento para la administración de los bienes de la Municipalidad de </w:t>
            </w:r>
            <w:r w:rsidR="008C25B1">
              <w:rPr>
                <w:rFonts w:ascii="Arial Narrow" w:eastAsia="Times New Roman" w:hAnsi="Arial Narrow"/>
                <w:b/>
                <w:bCs/>
                <w:color w:val="000000"/>
                <w:sz w:val="22"/>
                <w:szCs w:val="22"/>
                <w:lang w:val="es-CR"/>
              </w:rPr>
              <w:t>Buenos Aires</w:t>
            </w:r>
            <w:r w:rsidRPr="0098697B">
              <w:rPr>
                <w:rFonts w:ascii="Arial Narrow" w:eastAsia="Times New Roman" w:hAnsi="Arial Narrow"/>
                <w:b/>
                <w:bCs/>
                <w:color w:val="000000"/>
                <w:sz w:val="22"/>
                <w:szCs w:val="22"/>
                <w:lang w:val="es-CR"/>
              </w:rPr>
              <w:t>.</w:t>
            </w:r>
          </w:p>
        </w:tc>
      </w:tr>
      <w:tr w:rsidR="000720C5" w:rsidRPr="0098697B" w14:paraId="60E9B8FE" w14:textId="77777777" w:rsidTr="0071104F">
        <w:trPr>
          <w:trHeight w:val="44"/>
        </w:trPr>
        <w:tc>
          <w:tcPr>
            <w:tcW w:w="558" w:type="dxa"/>
            <w:tcBorders>
              <w:top w:val="nil"/>
              <w:left w:val="single" w:sz="8" w:space="0" w:color="auto"/>
              <w:bottom w:val="single" w:sz="8" w:space="0" w:color="auto"/>
              <w:right w:val="single" w:sz="8" w:space="0" w:color="auto"/>
            </w:tcBorders>
            <w:shd w:val="clear" w:color="auto" w:fill="auto"/>
            <w:vAlign w:val="center"/>
            <w:hideMark/>
          </w:tcPr>
          <w:p w14:paraId="6E2D7F12" w14:textId="77777777" w:rsidR="000720C5" w:rsidRPr="0098697B" w:rsidRDefault="000720C5" w:rsidP="000720C5">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noWrap/>
            <w:vAlign w:val="center"/>
            <w:hideMark/>
          </w:tcPr>
          <w:p w14:paraId="6270BC0A" w14:textId="77777777" w:rsidR="000720C5" w:rsidRPr="0098697B" w:rsidRDefault="000720C5" w:rsidP="000720C5">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103</w:t>
            </w:r>
          </w:p>
        </w:tc>
        <w:tc>
          <w:tcPr>
            <w:tcW w:w="538" w:type="dxa"/>
            <w:tcBorders>
              <w:top w:val="nil"/>
              <w:left w:val="nil"/>
              <w:bottom w:val="single" w:sz="8" w:space="0" w:color="auto"/>
              <w:right w:val="single" w:sz="8" w:space="0" w:color="auto"/>
            </w:tcBorders>
            <w:shd w:val="clear" w:color="auto" w:fill="auto"/>
            <w:vAlign w:val="center"/>
            <w:hideMark/>
          </w:tcPr>
          <w:p w14:paraId="19EAB80F" w14:textId="77777777" w:rsidR="000720C5" w:rsidRPr="0098697B" w:rsidRDefault="000720C5" w:rsidP="000720C5">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3164" w:type="dxa"/>
            <w:tcBorders>
              <w:top w:val="single" w:sz="8" w:space="0" w:color="auto"/>
              <w:left w:val="nil"/>
              <w:bottom w:val="single" w:sz="4" w:space="0" w:color="auto"/>
              <w:right w:val="single" w:sz="4" w:space="0" w:color="auto"/>
            </w:tcBorders>
            <w:shd w:val="clear" w:color="auto" w:fill="auto"/>
            <w:vAlign w:val="center"/>
            <w:hideMark/>
          </w:tcPr>
          <w:p w14:paraId="5CA3C48E" w14:textId="55D545B2" w:rsidR="000720C5" w:rsidRPr="0098697B" w:rsidRDefault="000720C5" w:rsidP="000720C5">
            <w:pPr>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Costo de la sustitución de un elemento</w:t>
            </w:r>
            <w:r w:rsidR="000D26B6" w:rsidRPr="0098697B">
              <w:rPr>
                <w:rFonts w:ascii="Arial Narrow" w:eastAsia="Times New Roman" w:hAnsi="Arial Narrow"/>
                <w:b/>
                <w:bCs/>
                <w:color w:val="000000"/>
                <w:sz w:val="22"/>
                <w:szCs w:val="22"/>
                <w:lang w:val="es-CR"/>
              </w:rPr>
              <w:t xml:space="preserve"> (Mejora Capitalizable)</w:t>
            </w:r>
          </w:p>
        </w:tc>
        <w:tc>
          <w:tcPr>
            <w:tcW w:w="1843"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1B862C4" w14:textId="77777777" w:rsidR="000720C5" w:rsidRPr="0098697B" w:rsidRDefault="000720C5" w:rsidP="000720C5">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NICSP N° 17, Párrafos 23 y 24.</w:t>
            </w:r>
          </w:p>
        </w:tc>
        <w:tc>
          <w:tcPr>
            <w:tcW w:w="2409" w:type="dxa"/>
            <w:tcBorders>
              <w:top w:val="nil"/>
              <w:left w:val="single" w:sz="4" w:space="0" w:color="auto"/>
              <w:bottom w:val="single" w:sz="8" w:space="0" w:color="auto"/>
              <w:right w:val="single" w:sz="8" w:space="0" w:color="auto"/>
            </w:tcBorders>
            <w:shd w:val="clear" w:color="auto" w:fill="auto"/>
            <w:vAlign w:val="center"/>
            <w:hideMark/>
          </w:tcPr>
          <w:p w14:paraId="69B1B13F" w14:textId="77777777" w:rsidR="000720C5" w:rsidRPr="0098697B" w:rsidRDefault="000720C5" w:rsidP="000720C5">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DGCN</w:t>
            </w:r>
          </w:p>
        </w:tc>
      </w:tr>
    </w:tbl>
    <w:p w14:paraId="58FB4A61" w14:textId="77777777" w:rsidR="00C00F37" w:rsidRDefault="00C00F37" w:rsidP="00A351C9">
      <w:pPr>
        <w:spacing w:line="238" w:lineRule="auto"/>
        <w:ind w:left="1134" w:right="260" w:hanging="1134"/>
        <w:jc w:val="both"/>
        <w:rPr>
          <w:rFonts w:ascii="Arial" w:eastAsia="Arial" w:hAnsi="Arial"/>
          <w:b/>
          <w:sz w:val="22"/>
          <w:szCs w:val="22"/>
          <w:lang w:val="es-CR"/>
        </w:rPr>
      </w:pPr>
    </w:p>
    <w:p w14:paraId="73C351B0" w14:textId="2721BCBB"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6F719C15"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41D6B7BE" w14:textId="73559765" w:rsidR="000720C5" w:rsidRDefault="000D26B6" w:rsidP="000D26B6">
      <w:pPr>
        <w:spacing w:line="251" w:lineRule="auto"/>
        <w:ind w:left="1276" w:right="260" w:hanging="1276"/>
        <w:jc w:val="both"/>
        <w:rPr>
          <w:rFonts w:ascii="Arial" w:eastAsia="Arial" w:hAnsi="Arial"/>
          <w:bCs/>
          <w:sz w:val="22"/>
          <w:szCs w:val="22"/>
          <w:lang w:val="es-CR"/>
        </w:rPr>
      </w:pPr>
      <w:r w:rsidRPr="00F02F9D">
        <w:rPr>
          <w:rFonts w:ascii="Arial" w:eastAsia="Arial" w:hAnsi="Arial"/>
          <w:bCs/>
          <w:sz w:val="22"/>
          <w:szCs w:val="22"/>
          <w:lang w:val="es-CR"/>
        </w:rPr>
        <w:t>1.103.0.01</w:t>
      </w:r>
      <w:r w:rsidRPr="00F02F9D">
        <w:rPr>
          <w:rFonts w:ascii="Arial" w:eastAsia="Arial" w:hAnsi="Arial"/>
          <w:bCs/>
          <w:sz w:val="22"/>
          <w:szCs w:val="22"/>
          <w:lang w:val="es-CR"/>
        </w:rPr>
        <w:tab/>
      </w:r>
      <w:r w:rsidR="000720C5"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000720C5" w:rsidRPr="00F02F9D">
        <w:rPr>
          <w:rFonts w:ascii="Arial" w:eastAsia="Arial" w:hAnsi="Arial"/>
          <w:bCs/>
          <w:sz w:val="22"/>
          <w:szCs w:val="22"/>
          <w:lang w:val="es-CR"/>
        </w:rPr>
        <w:t xml:space="preserve"> el reconocimiento de los costos en el importe en libros de un activo de propiedades, planta y equipo terminará cuando el activo se encuentre en el lugar y condiciones necesarias para operar de la forma prevista.</w:t>
      </w:r>
    </w:p>
    <w:p w14:paraId="6553D07C" w14:textId="77777777" w:rsidR="000720C5" w:rsidRPr="00F02F9D" w:rsidRDefault="000720C5" w:rsidP="000720C5">
      <w:pPr>
        <w:spacing w:line="200" w:lineRule="exact"/>
        <w:rPr>
          <w:rFonts w:ascii="Arial" w:eastAsia="Times New Roman" w:hAnsi="Arial"/>
          <w:sz w:val="22"/>
          <w:szCs w:val="22"/>
          <w:lang w:val="es-CR"/>
        </w:rPr>
      </w:pPr>
    </w:p>
    <w:p w14:paraId="5BB0BD09" w14:textId="1936B091" w:rsidR="000720C5" w:rsidRPr="0098697B" w:rsidRDefault="000720C5" w:rsidP="00F47532">
      <w:pPr>
        <w:pStyle w:val="Ttulo2"/>
        <w:rPr>
          <w:rFonts w:ascii="Arial" w:eastAsia="Arial" w:hAnsi="Arial" w:cs="Arial"/>
          <w:b/>
          <w:bCs/>
          <w:sz w:val="20"/>
          <w:szCs w:val="20"/>
          <w:lang w:val="es-CR"/>
        </w:rPr>
      </w:pPr>
      <w:bookmarkStart w:id="44" w:name="_Toc172726211"/>
      <w:r w:rsidRPr="0098697B">
        <w:rPr>
          <w:rFonts w:ascii="Arial" w:eastAsia="Arial" w:hAnsi="Arial" w:cs="Arial"/>
          <w:b/>
          <w:bCs/>
          <w:sz w:val="20"/>
          <w:szCs w:val="20"/>
          <w:lang w:val="es-CR"/>
        </w:rPr>
        <w:t>Mejora Capitalizable</w:t>
      </w:r>
      <w:bookmarkEnd w:id="44"/>
    </w:p>
    <w:p w14:paraId="2650FC54" w14:textId="77777777" w:rsidR="000720C5" w:rsidRPr="005968BE" w:rsidRDefault="000720C5" w:rsidP="005968BE">
      <w:pPr>
        <w:spacing w:line="251" w:lineRule="auto"/>
        <w:ind w:left="1276" w:right="260" w:hanging="1276"/>
        <w:jc w:val="both"/>
        <w:rPr>
          <w:rFonts w:ascii="Arial" w:eastAsia="Arial" w:hAnsi="Arial"/>
          <w:bCs/>
          <w:sz w:val="22"/>
          <w:szCs w:val="22"/>
          <w:lang w:val="es-CR"/>
        </w:rPr>
      </w:pPr>
    </w:p>
    <w:p w14:paraId="5AD219D1" w14:textId="086A1438" w:rsidR="00880251" w:rsidRDefault="000D26B6" w:rsidP="000D26B6">
      <w:pPr>
        <w:spacing w:line="251" w:lineRule="auto"/>
        <w:ind w:left="1276" w:right="260" w:hanging="1276"/>
        <w:jc w:val="both"/>
        <w:rPr>
          <w:rFonts w:ascii="Arial" w:eastAsia="Arial" w:hAnsi="Arial"/>
          <w:bCs/>
          <w:sz w:val="22"/>
          <w:szCs w:val="22"/>
          <w:lang w:val="es-CR"/>
        </w:rPr>
      </w:pPr>
      <w:r w:rsidRPr="00F02F9D">
        <w:rPr>
          <w:rFonts w:ascii="Arial" w:eastAsia="Arial" w:hAnsi="Arial"/>
          <w:bCs/>
          <w:sz w:val="22"/>
          <w:szCs w:val="22"/>
          <w:lang w:val="es-CR"/>
        </w:rPr>
        <w:t>1.103.1.01</w:t>
      </w:r>
      <w:r w:rsidRPr="00F02F9D">
        <w:rPr>
          <w:rFonts w:ascii="Arial" w:eastAsia="Arial" w:hAnsi="Arial"/>
          <w:bCs/>
          <w:sz w:val="22"/>
          <w:szCs w:val="22"/>
          <w:lang w:val="es-CR"/>
        </w:rPr>
        <w:tab/>
      </w:r>
      <w:r w:rsidR="000720C5"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0720C5" w:rsidRPr="00F02F9D">
        <w:rPr>
          <w:rFonts w:ascii="Arial" w:eastAsia="Arial" w:hAnsi="Arial"/>
          <w:bCs/>
          <w:sz w:val="22"/>
          <w:szCs w:val="22"/>
          <w:lang w:val="es-CR"/>
        </w:rPr>
        <w:t xml:space="preserve"> reconocerá dentro del importe en libros de un activo de propiedades, planta y equipo, </w:t>
      </w:r>
    </w:p>
    <w:p w14:paraId="1ACEB335" w14:textId="77777777" w:rsidR="00880251" w:rsidRDefault="00880251" w:rsidP="000D26B6">
      <w:pPr>
        <w:spacing w:line="251" w:lineRule="auto"/>
        <w:ind w:left="1276" w:right="260" w:hanging="1276"/>
        <w:jc w:val="both"/>
        <w:rPr>
          <w:rFonts w:ascii="Arial" w:eastAsia="Arial" w:hAnsi="Arial"/>
          <w:bCs/>
          <w:sz w:val="22"/>
          <w:szCs w:val="22"/>
          <w:lang w:val="es-CR"/>
        </w:rPr>
      </w:pPr>
    </w:p>
    <w:p w14:paraId="76C6F91D" w14:textId="77777777" w:rsidR="00A77FD8" w:rsidRDefault="00880251" w:rsidP="000D26B6">
      <w:pPr>
        <w:spacing w:line="251" w:lineRule="auto"/>
        <w:ind w:left="1276" w:right="260" w:hanging="1276"/>
        <w:jc w:val="both"/>
        <w:rPr>
          <w:rFonts w:ascii="Arial" w:eastAsia="Arial" w:hAnsi="Arial"/>
          <w:bCs/>
          <w:sz w:val="22"/>
          <w:szCs w:val="22"/>
          <w:highlight w:val="yellow"/>
          <w:lang w:val="es-CR"/>
        </w:rPr>
      </w:pPr>
      <w:r w:rsidRPr="00880251">
        <w:rPr>
          <w:rFonts w:ascii="Arial" w:eastAsia="Arial" w:hAnsi="Arial"/>
          <w:bCs/>
          <w:sz w:val="22"/>
          <w:szCs w:val="22"/>
          <w:highlight w:val="yellow"/>
          <w:lang w:val="es-CR"/>
        </w:rPr>
        <w:t>1.103.1.03</w:t>
      </w:r>
      <w:r w:rsidRPr="00880251">
        <w:rPr>
          <w:rFonts w:ascii="Arial" w:eastAsia="Arial" w:hAnsi="Arial"/>
          <w:bCs/>
          <w:sz w:val="22"/>
          <w:szCs w:val="22"/>
          <w:highlight w:val="yellow"/>
          <w:lang w:val="es-CR"/>
        </w:rPr>
        <w:tab/>
      </w:r>
      <w:r w:rsidR="00A77FD8">
        <w:rPr>
          <w:rFonts w:ascii="Arial" w:eastAsia="Arial" w:hAnsi="Arial"/>
          <w:bCs/>
          <w:sz w:val="22"/>
          <w:szCs w:val="22"/>
          <w:highlight w:val="yellow"/>
          <w:lang w:val="es-CR"/>
        </w:rPr>
        <w:t>L</w:t>
      </w:r>
      <w:r w:rsidRPr="00880251">
        <w:rPr>
          <w:rFonts w:ascii="Arial" w:eastAsia="Arial" w:hAnsi="Arial"/>
          <w:bCs/>
          <w:sz w:val="22"/>
          <w:szCs w:val="22"/>
          <w:highlight w:val="yellow"/>
          <w:lang w:val="es-CR"/>
        </w:rPr>
        <w:t>a</w:t>
      </w:r>
      <w:r w:rsidR="000720C5" w:rsidRPr="00880251">
        <w:rPr>
          <w:rFonts w:ascii="Arial" w:eastAsia="Arial" w:hAnsi="Arial"/>
          <w:bCs/>
          <w:sz w:val="22"/>
          <w:szCs w:val="22"/>
          <w:highlight w:val="yellow"/>
          <w:lang w:val="es-CR"/>
        </w:rPr>
        <w:t xml:space="preserve"> depreciación y evaluación de deterioro, el costo de la sustitución de parte de dicho activo en el momento en que se incurra en ese costo, siempre que se cumplan los criterios para su reconocimiento.</w:t>
      </w:r>
    </w:p>
    <w:p w14:paraId="4879FAED" w14:textId="596E47D7" w:rsidR="000D26B6" w:rsidRPr="00880251" w:rsidRDefault="000720C5" w:rsidP="000D26B6">
      <w:pPr>
        <w:spacing w:line="251" w:lineRule="auto"/>
        <w:ind w:left="1276" w:right="260" w:hanging="1276"/>
        <w:jc w:val="both"/>
        <w:rPr>
          <w:rFonts w:ascii="Arial" w:eastAsia="Arial" w:hAnsi="Arial"/>
          <w:bCs/>
          <w:sz w:val="22"/>
          <w:szCs w:val="22"/>
          <w:highlight w:val="yellow"/>
          <w:lang w:val="es-CR"/>
        </w:rPr>
      </w:pPr>
      <w:r w:rsidRPr="00880251">
        <w:rPr>
          <w:rFonts w:ascii="Arial" w:eastAsia="Arial" w:hAnsi="Arial"/>
          <w:bCs/>
          <w:sz w:val="22"/>
          <w:szCs w:val="22"/>
          <w:highlight w:val="yellow"/>
          <w:lang w:val="es-CR"/>
        </w:rPr>
        <w:t xml:space="preserve"> </w:t>
      </w:r>
    </w:p>
    <w:p w14:paraId="0BECF83D" w14:textId="7A2A1E99" w:rsidR="000720C5" w:rsidRPr="00F02F9D" w:rsidRDefault="000D26B6" w:rsidP="000D26B6">
      <w:pPr>
        <w:spacing w:line="251" w:lineRule="auto"/>
        <w:ind w:left="1276" w:right="260" w:hanging="1276"/>
        <w:jc w:val="both"/>
        <w:rPr>
          <w:rFonts w:ascii="Arial" w:eastAsia="Arial" w:hAnsi="Arial"/>
          <w:bCs/>
          <w:sz w:val="22"/>
          <w:szCs w:val="22"/>
          <w:lang w:val="es-CR"/>
        </w:rPr>
      </w:pPr>
      <w:r w:rsidRPr="00880251">
        <w:rPr>
          <w:rFonts w:ascii="Arial" w:eastAsia="Arial" w:hAnsi="Arial"/>
          <w:bCs/>
          <w:sz w:val="22"/>
          <w:szCs w:val="22"/>
          <w:highlight w:val="yellow"/>
          <w:lang w:val="es-CR"/>
        </w:rPr>
        <w:t>1.103.1.02</w:t>
      </w:r>
      <w:r w:rsidRPr="00880251">
        <w:rPr>
          <w:rFonts w:ascii="Arial" w:eastAsia="Arial" w:hAnsi="Arial"/>
          <w:bCs/>
          <w:sz w:val="22"/>
          <w:szCs w:val="22"/>
          <w:highlight w:val="yellow"/>
          <w:lang w:val="es-CR"/>
        </w:rPr>
        <w:tab/>
        <w:t>S</w:t>
      </w:r>
      <w:r w:rsidR="000720C5" w:rsidRPr="00880251">
        <w:rPr>
          <w:rFonts w:ascii="Arial" w:eastAsia="Arial" w:hAnsi="Arial"/>
          <w:bCs/>
          <w:sz w:val="22"/>
          <w:szCs w:val="22"/>
          <w:highlight w:val="yellow"/>
          <w:lang w:val="es-CR"/>
        </w:rPr>
        <w:t>i dicha sustitución no incrementa los beneficios económicos o el potencial de servicio futuros del elemento, será considerado co</w:t>
      </w:r>
      <w:r w:rsidRPr="00880251">
        <w:rPr>
          <w:rFonts w:ascii="Arial" w:eastAsia="Arial" w:hAnsi="Arial"/>
          <w:bCs/>
          <w:sz w:val="22"/>
          <w:szCs w:val="22"/>
          <w:highlight w:val="yellow"/>
          <w:lang w:val="es-CR"/>
        </w:rPr>
        <w:t>mo</w:t>
      </w:r>
      <w:r w:rsidR="000720C5" w:rsidRPr="00880251">
        <w:rPr>
          <w:rFonts w:ascii="Arial" w:eastAsia="Arial" w:hAnsi="Arial"/>
          <w:bCs/>
          <w:sz w:val="22"/>
          <w:szCs w:val="22"/>
          <w:highlight w:val="yellow"/>
          <w:lang w:val="es-CR"/>
        </w:rPr>
        <w:t xml:space="preserve"> gasto de mantenimiento y, por lo tanto, se reconocerá como gasto del período en que se incurra.</w:t>
      </w:r>
    </w:p>
    <w:p w14:paraId="21CB7217" w14:textId="77777777" w:rsidR="00C00F37" w:rsidRPr="00F02F9D" w:rsidRDefault="00C00F37" w:rsidP="0098697B">
      <w:pPr>
        <w:spacing w:line="238" w:lineRule="auto"/>
        <w:ind w:right="260"/>
        <w:jc w:val="both"/>
        <w:rPr>
          <w:rFonts w:ascii="Arial" w:eastAsia="Arial" w:hAnsi="Arial"/>
          <w:b/>
          <w:sz w:val="22"/>
          <w:szCs w:val="22"/>
          <w:lang w:val="es-CR"/>
        </w:rPr>
      </w:pPr>
    </w:p>
    <w:p w14:paraId="5622E34E" w14:textId="77777777" w:rsidR="000720C5" w:rsidRPr="00F02F9D" w:rsidRDefault="000720C5" w:rsidP="00A351C9">
      <w:pPr>
        <w:spacing w:line="238" w:lineRule="auto"/>
        <w:ind w:left="1134" w:right="260" w:hanging="1134"/>
        <w:jc w:val="both"/>
        <w:rPr>
          <w:rFonts w:ascii="Arial" w:eastAsia="Arial" w:hAnsi="Arial"/>
          <w:b/>
          <w:sz w:val="22"/>
          <w:szCs w:val="22"/>
          <w:lang w:val="es-CR"/>
        </w:rPr>
      </w:pPr>
    </w:p>
    <w:tbl>
      <w:tblPr>
        <w:tblW w:w="9204" w:type="dxa"/>
        <w:tblLook w:val="04A0" w:firstRow="1" w:lastRow="0" w:firstColumn="1" w:lastColumn="0" w:noHBand="0" w:noVBand="1"/>
      </w:tblPr>
      <w:tblGrid>
        <w:gridCol w:w="560"/>
        <w:gridCol w:w="550"/>
        <w:gridCol w:w="538"/>
        <w:gridCol w:w="3445"/>
        <w:gridCol w:w="2127"/>
        <w:gridCol w:w="1984"/>
      </w:tblGrid>
      <w:tr w:rsidR="00F02F9D" w:rsidRPr="0098697B" w14:paraId="01918162" w14:textId="77777777" w:rsidTr="00D731E1">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C9A1A92" w14:textId="77777777" w:rsidR="00D731E1" w:rsidRPr="0098697B" w:rsidRDefault="00D731E1">
            <w:pPr>
              <w:jc w:val="center"/>
              <w:rPr>
                <w:rFonts w:ascii="Arial Narrow" w:hAnsi="Arial Narrow"/>
                <w:b/>
                <w:bCs/>
                <w:color w:val="FFFFFF"/>
                <w:sz w:val="22"/>
                <w:szCs w:val="22"/>
              </w:rPr>
            </w:pPr>
            <w:r w:rsidRPr="0098697B">
              <w:rPr>
                <w:rFonts w:ascii="Arial Narrow" w:hAnsi="Arial Narrow"/>
                <w:b/>
                <w:bCs/>
                <w:color w:val="FFFFFF"/>
                <w:sz w:val="22"/>
                <w:szCs w:val="22"/>
              </w:rPr>
              <w:t>Norma / Política</w:t>
            </w:r>
          </w:p>
        </w:tc>
        <w:tc>
          <w:tcPr>
            <w:tcW w:w="3445" w:type="dxa"/>
            <w:vMerge w:val="restart"/>
            <w:tcBorders>
              <w:top w:val="single" w:sz="8" w:space="0" w:color="auto"/>
              <w:left w:val="single" w:sz="8" w:space="0" w:color="auto"/>
              <w:bottom w:val="nil"/>
              <w:right w:val="single" w:sz="8" w:space="0" w:color="auto"/>
            </w:tcBorders>
            <w:shd w:val="clear" w:color="000000" w:fill="203764"/>
            <w:vAlign w:val="center"/>
            <w:hideMark/>
          </w:tcPr>
          <w:p w14:paraId="0EFA13A1" w14:textId="77777777" w:rsidR="00D731E1" w:rsidRPr="0098697B" w:rsidRDefault="00D731E1">
            <w:pPr>
              <w:jc w:val="center"/>
              <w:rPr>
                <w:rFonts w:ascii="Arial Narrow" w:hAnsi="Arial Narrow"/>
                <w:b/>
                <w:bCs/>
                <w:color w:val="FFFFFF"/>
                <w:sz w:val="22"/>
                <w:szCs w:val="22"/>
              </w:rPr>
            </w:pPr>
            <w:r w:rsidRPr="0098697B">
              <w:rPr>
                <w:rFonts w:ascii="Arial Narrow" w:hAnsi="Arial Narrow"/>
                <w:b/>
                <w:bCs/>
                <w:color w:val="FFFFFF"/>
                <w:sz w:val="22"/>
                <w:szCs w:val="22"/>
              </w:rPr>
              <w:t>Concepto</w:t>
            </w:r>
          </w:p>
        </w:tc>
        <w:tc>
          <w:tcPr>
            <w:tcW w:w="4111" w:type="dxa"/>
            <w:gridSpan w:val="2"/>
            <w:tcBorders>
              <w:top w:val="single" w:sz="8" w:space="0" w:color="auto"/>
              <w:left w:val="nil"/>
              <w:bottom w:val="single" w:sz="8" w:space="0" w:color="auto"/>
              <w:right w:val="single" w:sz="8" w:space="0" w:color="000000"/>
            </w:tcBorders>
            <w:shd w:val="clear" w:color="000000" w:fill="203764"/>
            <w:vAlign w:val="center"/>
            <w:hideMark/>
          </w:tcPr>
          <w:p w14:paraId="2ACFD0FF" w14:textId="77777777" w:rsidR="00D731E1" w:rsidRPr="0098697B" w:rsidRDefault="00D731E1">
            <w:pPr>
              <w:jc w:val="center"/>
              <w:rPr>
                <w:rFonts w:ascii="Arial Narrow" w:hAnsi="Arial Narrow"/>
                <w:b/>
                <w:bCs/>
                <w:color w:val="FFFFFF"/>
                <w:sz w:val="22"/>
                <w:szCs w:val="22"/>
              </w:rPr>
            </w:pPr>
            <w:r w:rsidRPr="0098697B">
              <w:rPr>
                <w:rFonts w:ascii="Arial Narrow" w:hAnsi="Arial Narrow"/>
                <w:b/>
                <w:bCs/>
                <w:color w:val="FFFFFF"/>
                <w:sz w:val="22"/>
                <w:szCs w:val="22"/>
              </w:rPr>
              <w:t>Referencia</w:t>
            </w:r>
          </w:p>
        </w:tc>
      </w:tr>
      <w:tr w:rsidR="00F02F9D" w:rsidRPr="0071104F" w14:paraId="5A47B0CA" w14:textId="77777777" w:rsidTr="00D731E1">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461D4FAA" w14:textId="77777777" w:rsidR="00D731E1" w:rsidRPr="0098697B" w:rsidRDefault="00D731E1">
            <w:pPr>
              <w:rPr>
                <w:rFonts w:ascii="Arial Narrow" w:hAnsi="Arial Narrow"/>
                <w:b/>
                <w:bCs/>
                <w:color w:val="FFFFFF"/>
                <w:sz w:val="22"/>
                <w:szCs w:val="22"/>
              </w:rPr>
            </w:pPr>
          </w:p>
        </w:tc>
        <w:tc>
          <w:tcPr>
            <w:tcW w:w="3445" w:type="dxa"/>
            <w:vMerge/>
            <w:tcBorders>
              <w:top w:val="single" w:sz="8" w:space="0" w:color="auto"/>
              <w:left w:val="single" w:sz="8" w:space="0" w:color="auto"/>
              <w:bottom w:val="nil"/>
              <w:right w:val="single" w:sz="8" w:space="0" w:color="auto"/>
            </w:tcBorders>
            <w:vAlign w:val="center"/>
            <w:hideMark/>
          </w:tcPr>
          <w:p w14:paraId="6D85F609" w14:textId="77777777" w:rsidR="00D731E1" w:rsidRPr="0098697B" w:rsidRDefault="00D731E1">
            <w:pPr>
              <w:rPr>
                <w:rFonts w:ascii="Arial Narrow" w:hAnsi="Arial Narrow"/>
                <w:b/>
                <w:bCs/>
                <w:color w:val="FFFFFF"/>
                <w:sz w:val="22"/>
                <w:szCs w:val="22"/>
              </w:rPr>
            </w:pPr>
          </w:p>
        </w:tc>
        <w:tc>
          <w:tcPr>
            <w:tcW w:w="2127" w:type="dxa"/>
            <w:tcBorders>
              <w:top w:val="nil"/>
              <w:left w:val="nil"/>
              <w:bottom w:val="nil"/>
              <w:right w:val="single" w:sz="8" w:space="0" w:color="auto"/>
            </w:tcBorders>
            <w:shd w:val="clear" w:color="000000" w:fill="203764"/>
            <w:vAlign w:val="center"/>
            <w:hideMark/>
          </w:tcPr>
          <w:p w14:paraId="473CB54C" w14:textId="77777777" w:rsidR="00D731E1" w:rsidRPr="0098697B" w:rsidRDefault="00D731E1">
            <w:pPr>
              <w:jc w:val="center"/>
              <w:rPr>
                <w:rFonts w:ascii="Arial Narrow" w:hAnsi="Arial Narrow"/>
                <w:b/>
                <w:bCs/>
                <w:color w:val="FFFFFF"/>
                <w:sz w:val="22"/>
                <w:szCs w:val="22"/>
              </w:rPr>
            </w:pPr>
            <w:r w:rsidRPr="0098697B">
              <w:rPr>
                <w:rFonts w:ascii="Arial Narrow" w:hAnsi="Arial Narrow"/>
                <w:b/>
                <w:bCs/>
                <w:color w:val="FFFFFF"/>
                <w:sz w:val="22"/>
                <w:szCs w:val="22"/>
              </w:rPr>
              <w:t>Norma</w:t>
            </w:r>
          </w:p>
        </w:tc>
        <w:tc>
          <w:tcPr>
            <w:tcW w:w="1984" w:type="dxa"/>
            <w:tcBorders>
              <w:top w:val="nil"/>
              <w:left w:val="nil"/>
              <w:bottom w:val="nil"/>
              <w:right w:val="single" w:sz="8" w:space="0" w:color="auto"/>
            </w:tcBorders>
            <w:shd w:val="clear" w:color="000000" w:fill="203764"/>
            <w:vAlign w:val="center"/>
            <w:hideMark/>
          </w:tcPr>
          <w:p w14:paraId="7F041287" w14:textId="5CDD3D15" w:rsidR="00D731E1" w:rsidRPr="0071104F" w:rsidRDefault="0071104F">
            <w:pPr>
              <w:jc w:val="center"/>
              <w:rPr>
                <w:rFonts w:ascii="Arial Narrow"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D731E1" w:rsidRPr="0098697B" w14:paraId="27DDD308" w14:textId="77777777" w:rsidTr="00D731E1">
        <w:trPr>
          <w:trHeight w:val="350"/>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561705"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lastRenderedPageBreak/>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00BDC1EF"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104</w:t>
            </w:r>
          </w:p>
        </w:tc>
        <w:tc>
          <w:tcPr>
            <w:tcW w:w="538" w:type="dxa"/>
            <w:tcBorders>
              <w:top w:val="single" w:sz="8" w:space="0" w:color="auto"/>
              <w:left w:val="nil"/>
              <w:bottom w:val="single" w:sz="8" w:space="0" w:color="auto"/>
              <w:right w:val="single" w:sz="8" w:space="0" w:color="auto"/>
            </w:tcBorders>
            <w:shd w:val="clear" w:color="auto" w:fill="auto"/>
            <w:vAlign w:val="center"/>
            <w:hideMark/>
          </w:tcPr>
          <w:p w14:paraId="0AC59A43" w14:textId="4A4FD0F6"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rPr>
              <w:t xml:space="preserve"> </w:t>
            </w:r>
          </w:p>
        </w:tc>
        <w:tc>
          <w:tcPr>
            <w:tcW w:w="3445" w:type="dxa"/>
            <w:tcBorders>
              <w:top w:val="single" w:sz="8" w:space="0" w:color="auto"/>
              <w:left w:val="nil"/>
              <w:bottom w:val="single" w:sz="8" w:space="0" w:color="auto"/>
              <w:right w:val="single" w:sz="8" w:space="0" w:color="auto"/>
            </w:tcBorders>
            <w:shd w:val="clear" w:color="auto" w:fill="auto"/>
            <w:vAlign w:val="center"/>
            <w:hideMark/>
          </w:tcPr>
          <w:p w14:paraId="59BBA4CD" w14:textId="77777777" w:rsidR="00D731E1" w:rsidRPr="0098697B" w:rsidRDefault="00D731E1" w:rsidP="00D731E1">
            <w:pPr>
              <w:jc w:val="both"/>
              <w:rPr>
                <w:rFonts w:ascii="Arial Narrow" w:hAnsi="Arial Narrow"/>
                <w:b/>
                <w:bCs/>
                <w:color w:val="000000"/>
                <w:sz w:val="22"/>
                <w:szCs w:val="22"/>
              </w:rPr>
            </w:pPr>
            <w:r w:rsidRPr="0098697B">
              <w:rPr>
                <w:rFonts w:ascii="Arial Narrow" w:hAnsi="Arial Narrow"/>
                <w:b/>
                <w:bCs/>
                <w:color w:val="000000"/>
                <w:sz w:val="22"/>
                <w:szCs w:val="22"/>
                <w:lang w:val="es-CR"/>
              </w:rPr>
              <w:t>Componentes del Costo</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67EB33F6" w14:textId="77777777" w:rsidR="00D731E1" w:rsidRPr="0098697B" w:rsidRDefault="00D731E1">
            <w:pPr>
              <w:jc w:val="both"/>
              <w:rPr>
                <w:rFonts w:ascii="Arial Narrow" w:hAnsi="Arial Narrow"/>
                <w:b/>
                <w:bCs/>
                <w:color w:val="000000"/>
                <w:sz w:val="22"/>
                <w:szCs w:val="22"/>
                <w:lang w:val="es-CR"/>
              </w:rPr>
            </w:pPr>
            <w:r w:rsidRPr="0098697B">
              <w:rPr>
                <w:rFonts w:ascii="Arial Narrow" w:hAnsi="Arial Narrow"/>
                <w:b/>
                <w:bCs/>
                <w:color w:val="000000"/>
                <w:sz w:val="22"/>
                <w:szCs w:val="22"/>
                <w:lang w:val="es-CR"/>
              </w:rPr>
              <w:t xml:space="preserve">NICSP N° 17, </w:t>
            </w:r>
          </w:p>
          <w:p w14:paraId="0EAE351D" w14:textId="25EF49B4"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lang w:val="es-CR"/>
              </w:rPr>
              <w:t>Párrafos 22, 30 y 31.</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4C38533B" w14:textId="77777777" w:rsidR="00D731E1" w:rsidRPr="0098697B" w:rsidRDefault="00D731E1">
            <w:pPr>
              <w:rPr>
                <w:rFonts w:ascii="Arial Narrow" w:hAnsi="Arial Narrow"/>
                <w:b/>
                <w:bCs/>
                <w:color w:val="000000"/>
                <w:sz w:val="22"/>
                <w:szCs w:val="22"/>
              </w:rPr>
            </w:pPr>
            <w:r w:rsidRPr="0098697B">
              <w:rPr>
                <w:rFonts w:ascii="Arial Narrow" w:hAnsi="Arial Narrow"/>
                <w:b/>
                <w:bCs/>
                <w:color w:val="000000"/>
                <w:sz w:val="22"/>
                <w:szCs w:val="22"/>
              </w:rPr>
              <w:t> </w:t>
            </w:r>
          </w:p>
        </w:tc>
      </w:tr>
      <w:tr w:rsidR="00D731E1" w:rsidRPr="0098697B" w14:paraId="6E2FDCEF" w14:textId="77777777" w:rsidTr="00D731E1">
        <w:trPr>
          <w:trHeight w:val="361"/>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3F59029"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noWrap/>
            <w:vAlign w:val="center"/>
            <w:hideMark/>
          </w:tcPr>
          <w:p w14:paraId="7EA8157C"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rPr>
              <w:t>104</w:t>
            </w:r>
          </w:p>
        </w:tc>
        <w:tc>
          <w:tcPr>
            <w:tcW w:w="538" w:type="dxa"/>
            <w:tcBorders>
              <w:top w:val="nil"/>
              <w:left w:val="nil"/>
              <w:bottom w:val="single" w:sz="8" w:space="0" w:color="auto"/>
              <w:right w:val="single" w:sz="8" w:space="0" w:color="auto"/>
            </w:tcBorders>
            <w:shd w:val="clear" w:color="auto" w:fill="auto"/>
            <w:vAlign w:val="center"/>
            <w:hideMark/>
          </w:tcPr>
          <w:p w14:paraId="114D36C7"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rPr>
              <w:t>1</w:t>
            </w:r>
          </w:p>
        </w:tc>
        <w:tc>
          <w:tcPr>
            <w:tcW w:w="3445" w:type="dxa"/>
            <w:tcBorders>
              <w:top w:val="nil"/>
              <w:left w:val="nil"/>
              <w:bottom w:val="single" w:sz="8" w:space="0" w:color="auto"/>
              <w:right w:val="single" w:sz="8" w:space="0" w:color="auto"/>
            </w:tcBorders>
            <w:shd w:val="clear" w:color="auto" w:fill="auto"/>
            <w:vAlign w:val="center"/>
            <w:hideMark/>
          </w:tcPr>
          <w:p w14:paraId="5A3B262A" w14:textId="77777777" w:rsidR="00D731E1" w:rsidRPr="0098697B" w:rsidRDefault="00D731E1" w:rsidP="00D731E1">
            <w:pPr>
              <w:jc w:val="both"/>
              <w:rPr>
                <w:rFonts w:ascii="Arial Narrow" w:hAnsi="Arial Narrow"/>
                <w:b/>
                <w:bCs/>
                <w:color w:val="000000"/>
                <w:sz w:val="22"/>
                <w:szCs w:val="22"/>
                <w:lang w:val="es-CR"/>
              </w:rPr>
            </w:pPr>
            <w:r w:rsidRPr="0098697B">
              <w:rPr>
                <w:rFonts w:ascii="Arial Narrow" w:hAnsi="Arial Narrow"/>
                <w:b/>
                <w:bCs/>
                <w:color w:val="000000"/>
                <w:sz w:val="22"/>
                <w:szCs w:val="22"/>
                <w:lang w:val="es-CR"/>
              </w:rPr>
              <w:t>Medición de Costos de propiedades, planta y equipo</w:t>
            </w:r>
          </w:p>
        </w:tc>
        <w:tc>
          <w:tcPr>
            <w:tcW w:w="2127" w:type="dxa"/>
            <w:tcBorders>
              <w:top w:val="nil"/>
              <w:left w:val="nil"/>
              <w:bottom w:val="single" w:sz="8" w:space="0" w:color="auto"/>
              <w:right w:val="single" w:sz="8" w:space="0" w:color="auto"/>
            </w:tcBorders>
            <w:shd w:val="clear" w:color="auto" w:fill="auto"/>
            <w:vAlign w:val="center"/>
            <w:hideMark/>
          </w:tcPr>
          <w:p w14:paraId="2BA52F1E" w14:textId="77777777"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rPr>
              <w:t xml:space="preserve">NICSP Nº 17, </w:t>
            </w:r>
          </w:p>
          <w:p w14:paraId="2A340A1A" w14:textId="45355FB3"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rPr>
              <w:t>Párrafo 37.</w:t>
            </w:r>
          </w:p>
        </w:tc>
        <w:tc>
          <w:tcPr>
            <w:tcW w:w="1984" w:type="dxa"/>
            <w:tcBorders>
              <w:top w:val="nil"/>
              <w:left w:val="nil"/>
              <w:bottom w:val="single" w:sz="8" w:space="0" w:color="auto"/>
              <w:right w:val="single" w:sz="8" w:space="0" w:color="auto"/>
            </w:tcBorders>
            <w:shd w:val="clear" w:color="auto" w:fill="auto"/>
            <w:vAlign w:val="center"/>
            <w:hideMark/>
          </w:tcPr>
          <w:p w14:paraId="2974500D" w14:textId="77777777" w:rsidR="00D731E1" w:rsidRPr="0098697B" w:rsidRDefault="00D731E1">
            <w:pPr>
              <w:rPr>
                <w:rFonts w:ascii="Arial Narrow" w:hAnsi="Arial Narrow"/>
                <w:b/>
                <w:bCs/>
                <w:color w:val="000000"/>
                <w:sz w:val="22"/>
                <w:szCs w:val="22"/>
              </w:rPr>
            </w:pPr>
            <w:r w:rsidRPr="0098697B">
              <w:rPr>
                <w:rFonts w:ascii="Arial Narrow" w:hAnsi="Arial Narrow"/>
                <w:b/>
                <w:bCs/>
                <w:color w:val="000000"/>
                <w:sz w:val="22"/>
                <w:szCs w:val="22"/>
              </w:rPr>
              <w:t> </w:t>
            </w:r>
          </w:p>
        </w:tc>
      </w:tr>
      <w:tr w:rsidR="00D731E1" w:rsidRPr="0098697B" w14:paraId="2EE8C2A2" w14:textId="77777777" w:rsidTr="00D731E1">
        <w:trPr>
          <w:trHeight w:val="722"/>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D3BB157"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360F1B77"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104</w:t>
            </w:r>
          </w:p>
        </w:tc>
        <w:tc>
          <w:tcPr>
            <w:tcW w:w="538" w:type="dxa"/>
            <w:tcBorders>
              <w:top w:val="nil"/>
              <w:left w:val="nil"/>
              <w:bottom w:val="single" w:sz="8" w:space="0" w:color="auto"/>
              <w:right w:val="single" w:sz="8" w:space="0" w:color="auto"/>
            </w:tcBorders>
            <w:shd w:val="clear" w:color="auto" w:fill="auto"/>
            <w:vAlign w:val="center"/>
            <w:hideMark/>
          </w:tcPr>
          <w:p w14:paraId="7C9D7B4B"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rPr>
              <w:t>2</w:t>
            </w:r>
          </w:p>
        </w:tc>
        <w:tc>
          <w:tcPr>
            <w:tcW w:w="3445" w:type="dxa"/>
            <w:tcBorders>
              <w:top w:val="nil"/>
              <w:left w:val="nil"/>
              <w:bottom w:val="single" w:sz="8" w:space="0" w:color="auto"/>
              <w:right w:val="single" w:sz="8" w:space="0" w:color="auto"/>
            </w:tcBorders>
            <w:shd w:val="clear" w:color="auto" w:fill="auto"/>
            <w:vAlign w:val="center"/>
            <w:hideMark/>
          </w:tcPr>
          <w:p w14:paraId="408FEEFF" w14:textId="120EDD02" w:rsidR="00D731E1" w:rsidRPr="0098697B" w:rsidRDefault="00D731E1" w:rsidP="00D731E1">
            <w:pPr>
              <w:jc w:val="both"/>
              <w:rPr>
                <w:rFonts w:ascii="Arial Narrow" w:hAnsi="Arial Narrow"/>
                <w:b/>
                <w:bCs/>
                <w:color w:val="000000"/>
                <w:sz w:val="22"/>
                <w:szCs w:val="22"/>
                <w:lang w:val="es-CR"/>
              </w:rPr>
            </w:pPr>
            <w:r w:rsidRPr="0098697B">
              <w:rPr>
                <w:rFonts w:ascii="Arial Narrow" w:hAnsi="Arial Narrow"/>
                <w:b/>
                <w:bCs/>
                <w:color w:val="000000"/>
                <w:sz w:val="22"/>
                <w:szCs w:val="22"/>
                <w:lang w:val="es-CR"/>
              </w:rPr>
              <w:t xml:space="preserve">Bienes adquiridos a </w:t>
            </w:r>
            <w:r w:rsidR="00AA22E2" w:rsidRPr="0098697B">
              <w:rPr>
                <w:rFonts w:ascii="Arial Narrow" w:hAnsi="Arial Narrow"/>
                <w:b/>
                <w:bCs/>
                <w:color w:val="000000"/>
                <w:sz w:val="22"/>
                <w:szCs w:val="22"/>
                <w:lang w:val="es-CR"/>
              </w:rPr>
              <w:t>ca</w:t>
            </w:r>
            <w:r w:rsidR="00AA22E2">
              <w:rPr>
                <w:rFonts w:ascii="Arial Narrow" w:hAnsi="Arial Narrow"/>
                <w:b/>
                <w:bCs/>
                <w:color w:val="000000"/>
                <w:sz w:val="22"/>
                <w:szCs w:val="22"/>
                <w:lang w:val="es-CR"/>
              </w:rPr>
              <w:t>mbi</w:t>
            </w:r>
            <w:r w:rsidR="00AA22E2" w:rsidRPr="0098697B">
              <w:rPr>
                <w:rFonts w:ascii="Arial Narrow" w:hAnsi="Arial Narrow"/>
                <w:b/>
                <w:bCs/>
                <w:color w:val="000000"/>
                <w:sz w:val="22"/>
                <w:szCs w:val="22"/>
                <w:lang w:val="es-CR"/>
              </w:rPr>
              <w:t>o</w:t>
            </w:r>
            <w:r w:rsidRPr="0098697B">
              <w:rPr>
                <w:rFonts w:ascii="Arial Narrow" w:hAnsi="Arial Narrow"/>
                <w:b/>
                <w:bCs/>
                <w:color w:val="000000"/>
                <w:sz w:val="22"/>
                <w:szCs w:val="22"/>
                <w:lang w:val="es-CR"/>
              </w:rPr>
              <w:t xml:space="preserve"> de uno o varios activos no monetarios.</w:t>
            </w:r>
          </w:p>
        </w:tc>
        <w:tc>
          <w:tcPr>
            <w:tcW w:w="2127" w:type="dxa"/>
            <w:tcBorders>
              <w:top w:val="nil"/>
              <w:left w:val="nil"/>
              <w:bottom w:val="single" w:sz="8" w:space="0" w:color="auto"/>
              <w:right w:val="single" w:sz="8" w:space="0" w:color="auto"/>
            </w:tcBorders>
            <w:shd w:val="clear" w:color="auto" w:fill="auto"/>
            <w:vAlign w:val="center"/>
            <w:hideMark/>
          </w:tcPr>
          <w:p w14:paraId="4CBFE545" w14:textId="77777777"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rPr>
              <w:t xml:space="preserve">NICSP Nº 17, </w:t>
            </w:r>
          </w:p>
          <w:p w14:paraId="6CD08520" w14:textId="7B0D6A9C"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rPr>
              <w:t>Párrafo 38.</w:t>
            </w:r>
          </w:p>
        </w:tc>
        <w:tc>
          <w:tcPr>
            <w:tcW w:w="1984" w:type="dxa"/>
            <w:tcBorders>
              <w:top w:val="nil"/>
              <w:left w:val="nil"/>
              <w:bottom w:val="single" w:sz="8" w:space="0" w:color="auto"/>
              <w:right w:val="single" w:sz="8" w:space="0" w:color="auto"/>
            </w:tcBorders>
            <w:shd w:val="clear" w:color="auto" w:fill="auto"/>
            <w:vAlign w:val="center"/>
            <w:hideMark/>
          </w:tcPr>
          <w:p w14:paraId="16900A53" w14:textId="77777777" w:rsidR="00D731E1" w:rsidRPr="0098697B" w:rsidRDefault="00D731E1">
            <w:pPr>
              <w:rPr>
                <w:rFonts w:ascii="Arial Narrow" w:hAnsi="Arial Narrow"/>
                <w:b/>
                <w:bCs/>
                <w:color w:val="000000"/>
                <w:sz w:val="22"/>
                <w:szCs w:val="22"/>
              </w:rPr>
            </w:pPr>
            <w:r w:rsidRPr="0098697B">
              <w:rPr>
                <w:rFonts w:ascii="Arial Narrow" w:hAnsi="Arial Narrow"/>
                <w:b/>
                <w:bCs/>
                <w:color w:val="000000"/>
                <w:sz w:val="22"/>
                <w:szCs w:val="22"/>
              </w:rPr>
              <w:t> </w:t>
            </w:r>
          </w:p>
        </w:tc>
      </w:tr>
      <w:tr w:rsidR="00D731E1" w:rsidRPr="0098697B" w14:paraId="67120DB0" w14:textId="77777777" w:rsidTr="00D731E1">
        <w:trPr>
          <w:trHeight w:val="527"/>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27F8856"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619E09A8"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104</w:t>
            </w:r>
          </w:p>
        </w:tc>
        <w:tc>
          <w:tcPr>
            <w:tcW w:w="538" w:type="dxa"/>
            <w:tcBorders>
              <w:top w:val="nil"/>
              <w:left w:val="nil"/>
              <w:bottom w:val="single" w:sz="8" w:space="0" w:color="auto"/>
              <w:right w:val="single" w:sz="8" w:space="0" w:color="auto"/>
            </w:tcBorders>
            <w:shd w:val="clear" w:color="auto" w:fill="auto"/>
            <w:vAlign w:val="center"/>
            <w:hideMark/>
          </w:tcPr>
          <w:p w14:paraId="06E557A3"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rPr>
              <w:t>3</w:t>
            </w:r>
          </w:p>
        </w:tc>
        <w:tc>
          <w:tcPr>
            <w:tcW w:w="3445" w:type="dxa"/>
            <w:tcBorders>
              <w:top w:val="nil"/>
              <w:left w:val="nil"/>
              <w:bottom w:val="single" w:sz="8" w:space="0" w:color="auto"/>
              <w:right w:val="single" w:sz="8" w:space="0" w:color="auto"/>
            </w:tcBorders>
            <w:shd w:val="clear" w:color="auto" w:fill="auto"/>
            <w:vAlign w:val="center"/>
            <w:hideMark/>
          </w:tcPr>
          <w:p w14:paraId="275FC762" w14:textId="77777777" w:rsidR="00D731E1" w:rsidRPr="0098697B" w:rsidRDefault="00D731E1" w:rsidP="00D731E1">
            <w:pPr>
              <w:jc w:val="both"/>
              <w:rPr>
                <w:rFonts w:ascii="Arial Narrow" w:hAnsi="Arial Narrow"/>
                <w:b/>
                <w:bCs/>
                <w:color w:val="000000"/>
                <w:sz w:val="22"/>
                <w:szCs w:val="22"/>
                <w:lang w:val="es-CR"/>
              </w:rPr>
            </w:pPr>
            <w:r w:rsidRPr="0098697B">
              <w:rPr>
                <w:rFonts w:ascii="Arial Narrow" w:hAnsi="Arial Narrow"/>
                <w:b/>
                <w:bCs/>
                <w:color w:val="000000"/>
                <w:sz w:val="22"/>
                <w:szCs w:val="22"/>
                <w:lang w:val="es-CR"/>
              </w:rPr>
              <w:t>Transacciones con contraprestación que tiene carácter comercial.</w:t>
            </w:r>
          </w:p>
        </w:tc>
        <w:tc>
          <w:tcPr>
            <w:tcW w:w="2127" w:type="dxa"/>
            <w:tcBorders>
              <w:top w:val="nil"/>
              <w:left w:val="nil"/>
              <w:bottom w:val="single" w:sz="8" w:space="0" w:color="auto"/>
              <w:right w:val="single" w:sz="8" w:space="0" w:color="auto"/>
            </w:tcBorders>
            <w:shd w:val="clear" w:color="auto" w:fill="auto"/>
            <w:vAlign w:val="center"/>
            <w:hideMark/>
          </w:tcPr>
          <w:p w14:paraId="30ED2B1F" w14:textId="77777777"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rPr>
              <w:t xml:space="preserve">NICSP Nº 17, </w:t>
            </w:r>
          </w:p>
          <w:p w14:paraId="2070B2CD" w14:textId="78CB78FB"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rPr>
              <w:t>Párrafo 39.</w:t>
            </w:r>
          </w:p>
        </w:tc>
        <w:tc>
          <w:tcPr>
            <w:tcW w:w="1984" w:type="dxa"/>
            <w:tcBorders>
              <w:top w:val="nil"/>
              <w:left w:val="nil"/>
              <w:bottom w:val="single" w:sz="8" w:space="0" w:color="auto"/>
              <w:right w:val="single" w:sz="8" w:space="0" w:color="auto"/>
            </w:tcBorders>
            <w:shd w:val="clear" w:color="auto" w:fill="auto"/>
            <w:vAlign w:val="center"/>
            <w:hideMark/>
          </w:tcPr>
          <w:p w14:paraId="1E881ECB" w14:textId="77777777" w:rsidR="00D731E1" w:rsidRPr="0098697B" w:rsidRDefault="00D731E1">
            <w:pPr>
              <w:rPr>
                <w:rFonts w:ascii="Arial Narrow" w:hAnsi="Arial Narrow"/>
                <w:b/>
                <w:bCs/>
                <w:color w:val="000000"/>
                <w:sz w:val="22"/>
                <w:szCs w:val="22"/>
              </w:rPr>
            </w:pPr>
            <w:r w:rsidRPr="0098697B">
              <w:rPr>
                <w:rFonts w:ascii="Arial Narrow" w:hAnsi="Arial Narrow"/>
                <w:b/>
                <w:bCs/>
                <w:color w:val="000000"/>
                <w:sz w:val="22"/>
                <w:szCs w:val="22"/>
              </w:rPr>
              <w:t> </w:t>
            </w:r>
          </w:p>
        </w:tc>
      </w:tr>
      <w:tr w:rsidR="00D731E1" w:rsidRPr="0098697B" w14:paraId="3D72868B" w14:textId="77777777" w:rsidTr="00D731E1">
        <w:trPr>
          <w:trHeight w:val="381"/>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AA3FEC4"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40717946"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104</w:t>
            </w:r>
          </w:p>
        </w:tc>
        <w:tc>
          <w:tcPr>
            <w:tcW w:w="538" w:type="dxa"/>
            <w:tcBorders>
              <w:top w:val="nil"/>
              <w:left w:val="nil"/>
              <w:bottom w:val="single" w:sz="8" w:space="0" w:color="auto"/>
              <w:right w:val="single" w:sz="8" w:space="0" w:color="auto"/>
            </w:tcBorders>
            <w:shd w:val="clear" w:color="auto" w:fill="auto"/>
            <w:vAlign w:val="center"/>
            <w:hideMark/>
          </w:tcPr>
          <w:p w14:paraId="5C4644A0"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rPr>
              <w:t>4</w:t>
            </w:r>
          </w:p>
        </w:tc>
        <w:tc>
          <w:tcPr>
            <w:tcW w:w="3445" w:type="dxa"/>
            <w:tcBorders>
              <w:top w:val="nil"/>
              <w:left w:val="nil"/>
              <w:bottom w:val="single" w:sz="8" w:space="0" w:color="auto"/>
              <w:right w:val="single" w:sz="8" w:space="0" w:color="auto"/>
            </w:tcBorders>
            <w:shd w:val="clear" w:color="auto" w:fill="auto"/>
            <w:vAlign w:val="center"/>
            <w:hideMark/>
          </w:tcPr>
          <w:p w14:paraId="0EC391EF" w14:textId="77777777" w:rsidR="00D731E1" w:rsidRPr="0098697B" w:rsidRDefault="00D731E1" w:rsidP="00D731E1">
            <w:pPr>
              <w:jc w:val="both"/>
              <w:rPr>
                <w:rFonts w:ascii="Arial Narrow" w:hAnsi="Arial Narrow"/>
                <w:b/>
                <w:bCs/>
                <w:color w:val="000000"/>
                <w:sz w:val="22"/>
                <w:szCs w:val="22"/>
                <w:lang w:val="es-CR"/>
              </w:rPr>
            </w:pPr>
            <w:r w:rsidRPr="0098697B">
              <w:rPr>
                <w:rFonts w:ascii="Arial Narrow" w:hAnsi="Arial Narrow"/>
                <w:b/>
                <w:bCs/>
                <w:color w:val="000000"/>
                <w:sz w:val="22"/>
                <w:szCs w:val="22"/>
                <w:lang w:val="es-CR"/>
              </w:rPr>
              <w:t>Valor razonable cuando no existen transacciones.</w:t>
            </w:r>
          </w:p>
        </w:tc>
        <w:tc>
          <w:tcPr>
            <w:tcW w:w="2127" w:type="dxa"/>
            <w:tcBorders>
              <w:top w:val="nil"/>
              <w:left w:val="nil"/>
              <w:bottom w:val="single" w:sz="8" w:space="0" w:color="auto"/>
              <w:right w:val="single" w:sz="8" w:space="0" w:color="auto"/>
            </w:tcBorders>
            <w:shd w:val="clear" w:color="auto" w:fill="auto"/>
            <w:vAlign w:val="center"/>
            <w:hideMark/>
          </w:tcPr>
          <w:p w14:paraId="20B1A354" w14:textId="77777777"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rPr>
              <w:t xml:space="preserve">NICSP Nº 17, </w:t>
            </w:r>
          </w:p>
          <w:p w14:paraId="7FC22F33" w14:textId="159C1A82"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rPr>
              <w:t>Párrafo 40.</w:t>
            </w:r>
          </w:p>
        </w:tc>
        <w:tc>
          <w:tcPr>
            <w:tcW w:w="1984" w:type="dxa"/>
            <w:tcBorders>
              <w:top w:val="nil"/>
              <w:left w:val="nil"/>
              <w:bottom w:val="single" w:sz="8" w:space="0" w:color="auto"/>
              <w:right w:val="single" w:sz="8" w:space="0" w:color="auto"/>
            </w:tcBorders>
            <w:shd w:val="clear" w:color="auto" w:fill="auto"/>
            <w:vAlign w:val="center"/>
            <w:hideMark/>
          </w:tcPr>
          <w:p w14:paraId="5799AC44" w14:textId="77777777" w:rsidR="00D731E1" w:rsidRPr="0098697B" w:rsidRDefault="00D731E1">
            <w:pPr>
              <w:rPr>
                <w:rFonts w:ascii="Arial Narrow" w:hAnsi="Arial Narrow"/>
                <w:b/>
                <w:bCs/>
                <w:color w:val="000000"/>
                <w:sz w:val="22"/>
                <w:szCs w:val="22"/>
              </w:rPr>
            </w:pPr>
            <w:r w:rsidRPr="0098697B">
              <w:rPr>
                <w:rFonts w:ascii="Arial Narrow" w:hAnsi="Arial Narrow"/>
                <w:b/>
                <w:bCs/>
                <w:color w:val="000000"/>
                <w:sz w:val="22"/>
                <w:szCs w:val="22"/>
              </w:rPr>
              <w:t> </w:t>
            </w:r>
          </w:p>
        </w:tc>
      </w:tr>
      <w:tr w:rsidR="00D731E1" w:rsidRPr="0098697B" w14:paraId="4AFDD30C" w14:textId="77777777" w:rsidTr="00D731E1">
        <w:trPr>
          <w:trHeight w:val="320"/>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DA0542A"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3AC9CF03"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lang w:val="es-CR"/>
              </w:rPr>
              <w:t>104</w:t>
            </w:r>
          </w:p>
        </w:tc>
        <w:tc>
          <w:tcPr>
            <w:tcW w:w="538" w:type="dxa"/>
            <w:tcBorders>
              <w:top w:val="nil"/>
              <w:left w:val="nil"/>
              <w:bottom w:val="single" w:sz="8" w:space="0" w:color="auto"/>
              <w:right w:val="single" w:sz="8" w:space="0" w:color="auto"/>
            </w:tcBorders>
            <w:shd w:val="clear" w:color="auto" w:fill="auto"/>
            <w:vAlign w:val="center"/>
            <w:hideMark/>
          </w:tcPr>
          <w:p w14:paraId="6B177463" w14:textId="77777777" w:rsidR="00D731E1" w:rsidRPr="0098697B" w:rsidRDefault="00D731E1">
            <w:pPr>
              <w:jc w:val="center"/>
              <w:rPr>
                <w:rFonts w:ascii="Arial Narrow" w:hAnsi="Arial Narrow"/>
                <w:b/>
                <w:bCs/>
                <w:color w:val="000000"/>
                <w:sz w:val="22"/>
                <w:szCs w:val="22"/>
              </w:rPr>
            </w:pPr>
            <w:r w:rsidRPr="0098697B">
              <w:rPr>
                <w:rFonts w:ascii="Arial Narrow" w:hAnsi="Arial Narrow"/>
                <w:b/>
                <w:bCs/>
                <w:color w:val="000000"/>
                <w:sz w:val="22"/>
                <w:szCs w:val="22"/>
              </w:rPr>
              <w:t>5</w:t>
            </w:r>
          </w:p>
        </w:tc>
        <w:tc>
          <w:tcPr>
            <w:tcW w:w="3445" w:type="dxa"/>
            <w:tcBorders>
              <w:top w:val="nil"/>
              <w:left w:val="nil"/>
              <w:bottom w:val="single" w:sz="8" w:space="0" w:color="auto"/>
              <w:right w:val="single" w:sz="8" w:space="0" w:color="auto"/>
            </w:tcBorders>
            <w:shd w:val="clear" w:color="auto" w:fill="auto"/>
            <w:vAlign w:val="center"/>
            <w:hideMark/>
          </w:tcPr>
          <w:p w14:paraId="7DD8F30C" w14:textId="77777777" w:rsidR="00D731E1" w:rsidRPr="0098697B" w:rsidRDefault="00D731E1" w:rsidP="00D731E1">
            <w:pPr>
              <w:jc w:val="both"/>
              <w:rPr>
                <w:rFonts w:ascii="Arial Narrow" w:hAnsi="Arial Narrow"/>
                <w:b/>
                <w:bCs/>
                <w:color w:val="000000"/>
                <w:sz w:val="22"/>
                <w:szCs w:val="22"/>
              </w:rPr>
            </w:pPr>
            <w:r w:rsidRPr="0098697B">
              <w:rPr>
                <w:rFonts w:ascii="Arial Narrow" w:hAnsi="Arial Narrow"/>
                <w:b/>
                <w:bCs/>
                <w:color w:val="000000"/>
                <w:sz w:val="22"/>
                <w:szCs w:val="22"/>
                <w:lang w:val="es-CR"/>
              </w:rPr>
              <w:t>Valor razonable fiable.</w:t>
            </w:r>
          </w:p>
        </w:tc>
        <w:tc>
          <w:tcPr>
            <w:tcW w:w="2127" w:type="dxa"/>
            <w:tcBorders>
              <w:top w:val="nil"/>
              <w:left w:val="nil"/>
              <w:bottom w:val="single" w:sz="8" w:space="0" w:color="auto"/>
              <w:right w:val="single" w:sz="8" w:space="0" w:color="auto"/>
            </w:tcBorders>
            <w:shd w:val="clear" w:color="auto" w:fill="auto"/>
            <w:vAlign w:val="center"/>
            <w:hideMark/>
          </w:tcPr>
          <w:p w14:paraId="06F10195" w14:textId="77777777" w:rsidR="00D731E1" w:rsidRPr="0098697B" w:rsidRDefault="00D731E1">
            <w:pPr>
              <w:jc w:val="both"/>
              <w:rPr>
                <w:rFonts w:ascii="Arial Narrow" w:hAnsi="Arial Narrow"/>
                <w:b/>
                <w:bCs/>
                <w:color w:val="000000"/>
                <w:sz w:val="22"/>
                <w:szCs w:val="22"/>
              </w:rPr>
            </w:pPr>
            <w:r w:rsidRPr="0098697B">
              <w:rPr>
                <w:rFonts w:ascii="Arial Narrow" w:hAnsi="Arial Narrow"/>
                <w:b/>
                <w:bCs/>
                <w:color w:val="000000"/>
                <w:sz w:val="22"/>
                <w:szCs w:val="22"/>
                <w:lang w:val="es-CR"/>
              </w:rPr>
              <w:t xml:space="preserve"> </w:t>
            </w:r>
          </w:p>
        </w:tc>
        <w:tc>
          <w:tcPr>
            <w:tcW w:w="1984" w:type="dxa"/>
            <w:tcBorders>
              <w:top w:val="nil"/>
              <w:left w:val="nil"/>
              <w:bottom w:val="single" w:sz="8" w:space="0" w:color="auto"/>
              <w:right w:val="single" w:sz="8" w:space="0" w:color="auto"/>
            </w:tcBorders>
            <w:shd w:val="clear" w:color="auto" w:fill="auto"/>
            <w:vAlign w:val="center"/>
            <w:hideMark/>
          </w:tcPr>
          <w:p w14:paraId="66D66C18" w14:textId="77777777" w:rsidR="00D731E1" w:rsidRPr="0098697B" w:rsidRDefault="00D731E1">
            <w:pPr>
              <w:rPr>
                <w:rFonts w:ascii="Arial Narrow" w:hAnsi="Arial Narrow"/>
                <w:b/>
                <w:bCs/>
                <w:color w:val="000000"/>
                <w:sz w:val="22"/>
                <w:szCs w:val="22"/>
              </w:rPr>
            </w:pPr>
            <w:r w:rsidRPr="0098697B">
              <w:rPr>
                <w:rFonts w:ascii="Arial Narrow" w:hAnsi="Arial Narrow"/>
                <w:b/>
                <w:bCs/>
                <w:color w:val="000000"/>
                <w:sz w:val="22"/>
                <w:szCs w:val="22"/>
              </w:rPr>
              <w:t> </w:t>
            </w:r>
          </w:p>
        </w:tc>
      </w:tr>
    </w:tbl>
    <w:p w14:paraId="58D67D1C" w14:textId="77777777" w:rsidR="000720C5" w:rsidRDefault="000720C5" w:rsidP="00A351C9">
      <w:pPr>
        <w:spacing w:line="238" w:lineRule="auto"/>
        <w:ind w:left="1134" w:right="260" w:hanging="1134"/>
        <w:jc w:val="both"/>
        <w:rPr>
          <w:rFonts w:ascii="Arial" w:eastAsia="Arial" w:hAnsi="Arial"/>
          <w:b/>
          <w:sz w:val="22"/>
          <w:szCs w:val="22"/>
          <w:lang w:val="es-CR"/>
        </w:rPr>
      </w:pPr>
    </w:p>
    <w:p w14:paraId="0D25C263" w14:textId="7C9F18F1"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7B78644A"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6B70F9B7" w14:textId="2ACA4B5E" w:rsidR="00D731E1" w:rsidRPr="00F02F9D" w:rsidRDefault="00D731E1" w:rsidP="00D731E1">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1.104.0.01</w:t>
      </w:r>
      <w:r w:rsidRPr="00F02F9D">
        <w:rPr>
          <w:rFonts w:ascii="Arial" w:eastAsia="Arial" w:hAnsi="Arial"/>
          <w:bCs/>
          <w:sz w:val="22"/>
          <w:szCs w:val="22"/>
          <w:lang w:val="es-CR"/>
        </w:rPr>
        <w:tab/>
        <w:t xml:space="preserve">Para efectos de medición, 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costo de los activos en propiedades, planta y equipo comprende:</w:t>
      </w:r>
    </w:p>
    <w:p w14:paraId="6828CAAD" w14:textId="77777777" w:rsidR="00D731E1" w:rsidRPr="00F02F9D" w:rsidRDefault="00D731E1" w:rsidP="00D731E1">
      <w:pPr>
        <w:spacing w:line="285" w:lineRule="exact"/>
        <w:rPr>
          <w:rFonts w:ascii="Arial" w:eastAsia="Times New Roman" w:hAnsi="Arial"/>
          <w:bCs/>
          <w:sz w:val="22"/>
          <w:szCs w:val="22"/>
          <w:lang w:val="es-CR"/>
        </w:rPr>
      </w:pPr>
    </w:p>
    <w:p w14:paraId="7FF44FF2" w14:textId="77777777" w:rsidR="00D731E1" w:rsidRPr="00F02F9D" w:rsidRDefault="00D731E1">
      <w:pPr>
        <w:numPr>
          <w:ilvl w:val="0"/>
          <w:numId w:val="27"/>
        </w:numPr>
        <w:spacing w:after="120"/>
        <w:ind w:left="1418" w:right="261" w:hanging="284"/>
        <w:jc w:val="both"/>
        <w:rPr>
          <w:rFonts w:ascii="Arial" w:eastAsia="Arial" w:hAnsi="Arial"/>
          <w:bCs/>
          <w:sz w:val="22"/>
          <w:szCs w:val="22"/>
          <w:lang w:val="es-CR"/>
        </w:rPr>
      </w:pPr>
      <w:r w:rsidRPr="00F02F9D">
        <w:rPr>
          <w:rFonts w:ascii="Arial" w:eastAsia="Arial" w:hAnsi="Arial"/>
          <w:bCs/>
          <w:sz w:val="22"/>
          <w:szCs w:val="22"/>
          <w:lang w:val="es-CR"/>
        </w:rPr>
        <w:t>Su precio de adquisición, incluidos los aranceles de importación y los impuestos indirectos no recuperables que recaigan sobre la adquisición, después de deducir cualquier descuento o rebaja del precio.</w:t>
      </w:r>
    </w:p>
    <w:p w14:paraId="5AABF5D7" w14:textId="77777777" w:rsidR="00D731E1" w:rsidRPr="00F02F9D" w:rsidRDefault="00D731E1" w:rsidP="00D731E1">
      <w:pPr>
        <w:spacing w:line="1" w:lineRule="exact"/>
        <w:ind w:left="1418" w:hanging="284"/>
        <w:rPr>
          <w:rFonts w:ascii="Arial" w:eastAsia="Arial" w:hAnsi="Arial"/>
          <w:bCs/>
          <w:sz w:val="22"/>
          <w:szCs w:val="22"/>
          <w:lang w:val="es-CR"/>
        </w:rPr>
      </w:pPr>
    </w:p>
    <w:p w14:paraId="2DC87781" w14:textId="77777777" w:rsidR="00D731E1" w:rsidRPr="00F02F9D" w:rsidRDefault="00D731E1">
      <w:pPr>
        <w:numPr>
          <w:ilvl w:val="0"/>
          <w:numId w:val="27"/>
        </w:numPr>
        <w:spacing w:line="238"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Todos los costos directamente relacionados con la ubicación del activo en el lugar y en las condiciones necesarias para que pueda operar de la forma prevista por la gerencia o dirección de la entidad, dentro de los que se pueden considerar:</w:t>
      </w:r>
    </w:p>
    <w:p w14:paraId="7E9D5132" w14:textId="77777777" w:rsidR="00D731E1" w:rsidRPr="00F02F9D" w:rsidRDefault="00D731E1" w:rsidP="00D731E1">
      <w:pPr>
        <w:pStyle w:val="Prrafodelista"/>
        <w:rPr>
          <w:rFonts w:ascii="Arial" w:eastAsia="Arial" w:hAnsi="Arial"/>
          <w:bCs/>
          <w:sz w:val="22"/>
          <w:szCs w:val="22"/>
          <w:lang w:val="es-CR"/>
        </w:rPr>
      </w:pPr>
    </w:p>
    <w:p w14:paraId="22B959C2" w14:textId="77777777" w:rsidR="00D731E1" w:rsidRPr="00F02F9D" w:rsidRDefault="00D731E1">
      <w:pPr>
        <w:pStyle w:val="Prrafodelista"/>
        <w:numPr>
          <w:ilvl w:val="0"/>
          <w:numId w:val="28"/>
        </w:numPr>
        <w:spacing w:after="120"/>
        <w:ind w:left="1701" w:right="261" w:hanging="215"/>
        <w:contextualSpacing w:val="0"/>
        <w:jc w:val="both"/>
        <w:rPr>
          <w:rFonts w:ascii="Arial" w:eastAsia="Arial" w:hAnsi="Arial"/>
          <w:bCs/>
          <w:sz w:val="22"/>
          <w:szCs w:val="22"/>
          <w:lang w:val="es-CR"/>
        </w:rPr>
      </w:pPr>
      <w:r w:rsidRPr="00F02F9D">
        <w:rPr>
          <w:rFonts w:ascii="Arial" w:eastAsia="Arial" w:hAnsi="Arial"/>
          <w:bCs/>
          <w:sz w:val="22"/>
          <w:szCs w:val="22"/>
          <w:lang w:val="es-CR"/>
        </w:rPr>
        <w:t>Los costos de beneficios a los empleados, que procedan directamente de la construcción o adquisición de un elemento de propiedades, planta y equipo.</w:t>
      </w:r>
    </w:p>
    <w:p w14:paraId="0A4AB9C8" w14:textId="77777777" w:rsidR="00D731E1" w:rsidRPr="00F02F9D" w:rsidRDefault="00D731E1">
      <w:pPr>
        <w:pStyle w:val="Prrafodelista"/>
        <w:numPr>
          <w:ilvl w:val="0"/>
          <w:numId w:val="28"/>
        </w:numPr>
        <w:spacing w:after="120"/>
        <w:ind w:left="1701" w:right="261" w:hanging="215"/>
        <w:contextualSpacing w:val="0"/>
        <w:jc w:val="both"/>
        <w:rPr>
          <w:rFonts w:ascii="Arial" w:eastAsia="Arial" w:hAnsi="Arial"/>
          <w:bCs/>
          <w:sz w:val="22"/>
          <w:szCs w:val="22"/>
          <w:lang w:val="es-CR"/>
        </w:rPr>
      </w:pPr>
      <w:r w:rsidRPr="00F02F9D">
        <w:rPr>
          <w:rFonts w:ascii="Arial" w:eastAsia="Arial" w:hAnsi="Arial"/>
          <w:bCs/>
          <w:sz w:val="22"/>
          <w:szCs w:val="22"/>
          <w:lang w:val="es-CR"/>
        </w:rPr>
        <w:t>Los costos de entrega inicial y los de manipulación o transporte posterior.</w:t>
      </w:r>
    </w:p>
    <w:p w14:paraId="1E42522B" w14:textId="77777777" w:rsidR="00D731E1" w:rsidRPr="00F02F9D" w:rsidRDefault="00D731E1">
      <w:pPr>
        <w:pStyle w:val="Prrafodelista"/>
        <w:numPr>
          <w:ilvl w:val="0"/>
          <w:numId w:val="28"/>
        </w:numPr>
        <w:spacing w:after="120"/>
        <w:ind w:left="1701" w:right="261" w:hanging="215"/>
        <w:contextualSpacing w:val="0"/>
        <w:jc w:val="both"/>
        <w:rPr>
          <w:rFonts w:ascii="Arial" w:eastAsia="Arial" w:hAnsi="Arial"/>
          <w:bCs/>
          <w:sz w:val="22"/>
          <w:szCs w:val="22"/>
          <w:lang w:val="es-CR"/>
        </w:rPr>
      </w:pPr>
      <w:r w:rsidRPr="00F02F9D">
        <w:rPr>
          <w:rFonts w:ascii="Arial" w:eastAsia="Arial" w:hAnsi="Arial"/>
          <w:bCs/>
          <w:sz w:val="22"/>
          <w:szCs w:val="22"/>
          <w:lang w:val="es-CR"/>
        </w:rPr>
        <w:t>Los costos de instalación y montaje.</w:t>
      </w:r>
    </w:p>
    <w:p w14:paraId="1ECCD4F3" w14:textId="77777777" w:rsidR="00D731E1" w:rsidRPr="00F02F9D" w:rsidRDefault="00D731E1">
      <w:pPr>
        <w:pStyle w:val="Prrafodelista"/>
        <w:numPr>
          <w:ilvl w:val="0"/>
          <w:numId w:val="28"/>
        </w:numPr>
        <w:spacing w:after="120"/>
        <w:ind w:left="1701" w:right="261" w:hanging="215"/>
        <w:contextualSpacing w:val="0"/>
        <w:jc w:val="both"/>
        <w:rPr>
          <w:rFonts w:ascii="Arial" w:eastAsia="Arial" w:hAnsi="Arial"/>
          <w:bCs/>
          <w:sz w:val="22"/>
          <w:szCs w:val="22"/>
          <w:lang w:val="es-CR"/>
        </w:rPr>
      </w:pPr>
      <w:r w:rsidRPr="00F02F9D">
        <w:rPr>
          <w:rFonts w:ascii="Arial" w:eastAsia="Arial" w:hAnsi="Arial"/>
          <w:bCs/>
          <w:sz w:val="22"/>
          <w:szCs w:val="22"/>
          <w:lang w:val="es-CR"/>
        </w:rPr>
        <w:t>Los costos de comprobación de que el activo funciona adecuadamente, después de deducir los importes netos de la venta de cualesquiera</w:t>
      </w:r>
      <w:bookmarkStart w:id="45" w:name="page35"/>
      <w:bookmarkEnd w:id="45"/>
      <w:r w:rsidRPr="00F02F9D">
        <w:rPr>
          <w:rFonts w:ascii="Arial" w:eastAsia="Arial" w:hAnsi="Arial"/>
          <w:bCs/>
          <w:sz w:val="22"/>
          <w:szCs w:val="22"/>
          <w:lang w:val="es-CR"/>
        </w:rPr>
        <w:t xml:space="preserve"> elementos producidos durante el proceso de instalación y puesta a punto del activo (tales como muestras producidas mientras se probaba el equipo).</w:t>
      </w:r>
    </w:p>
    <w:p w14:paraId="1954EF40" w14:textId="322A60B5" w:rsidR="00D731E1" w:rsidRPr="00F02F9D" w:rsidRDefault="00D731E1">
      <w:pPr>
        <w:pStyle w:val="Prrafodelista"/>
        <w:numPr>
          <w:ilvl w:val="0"/>
          <w:numId w:val="28"/>
        </w:numPr>
        <w:spacing w:line="238" w:lineRule="auto"/>
        <w:ind w:left="1701" w:right="260" w:hanging="218"/>
        <w:jc w:val="both"/>
        <w:rPr>
          <w:rFonts w:ascii="Arial" w:eastAsia="Arial" w:hAnsi="Arial"/>
          <w:bCs/>
          <w:sz w:val="22"/>
          <w:szCs w:val="22"/>
          <w:lang w:val="es-CR"/>
        </w:rPr>
      </w:pPr>
      <w:r w:rsidRPr="00F02F9D">
        <w:rPr>
          <w:rFonts w:ascii="Arial" w:eastAsia="Arial" w:hAnsi="Arial"/>
          <w:bCs/>
          <w:sz w:val="22"/>
          <w:szCs w:val="22"/>
          <w:lang w:val="es-CR"/>
        </w:rPr>
        <w:t>Los honorarios profesionales incurridos para la ubicación u condiciones necesarios para que el activo pueda operar de la forma prevista.</w:t>
      </w:r>
    </w:p>
    <w:p w14:paraId="6A6B1DB9" w14:textId="77777777" w:rsidR="00D731E1" w:rsidRPr="00F02F9D" w:rsidRDefault="00D731E1" w:rsidP="00D731E1">
      <w:pPr>
        <w:spacing w:line="250" w:lineRule="exact"/>
        <w:rPr>
          <w:rFonts w:ascii="Arial" w:eastAsia="Arial" w:hAnsi="Arial"/>
          <w:bCs/>
          <w:sz w:val="22"/>
          <w:szCs w:val="22"/>
          <w:lang w:val="es-CR"/>
        </w:rPr>
      </w:pPr>
    </w:p>
    <w:p w14:paraId="2A603A3E" w14:textId="0491298B" w:rsidR="00D731E1" w:rsidRPr="00F02F9D" w:rsidRDefault="00B57EAB" w:rsidP="007F589A">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1.104.0.02</w:t>
      </w:r>
      <w:r w:rsidRPr="00F02F9D">
        <w:rPr>
          <w:rFonts w:ascii="Arial" w:eastAsia="Arial" w:hAnsi="Arial"/>
          <w:bCs/>
          <w:sz w:val="22"/>
          <w:szCs w:val="22"/>
          <w:lang w:val="es-CR"/>
        </w:rPr>
        <w:tab/>
      </w:r>
      <w:r w:rsidR="00D731E1" w:rsidRPr="00F02F9D">
        <w:rPr>
          <w:rFonts w:ascii="Arial" w:eastAsia="Arial" w:hAnsi="Arial"/>
          <w:bCs/>
          <w:sz w:val="22"/>
          <w:szCs w:val="22"/>
          <w:lang w:val="es-CR"/>
        </w:rPr>
        <w:t>La estimación inicial de los costos de desmantelamiento o retiro del activo, así como la rehabilitación del lugar sobre el que se asienta, cuando constituyan obligaciones en las que incurre la Institución como consecuencia de utilizar el activo durante un determinado período, con propósitos distintos del de la actividad normal durante tal período.</w:t>
      </w:r>
    </w:p>
    <w:p w14:paraId="48A735EA" w14:textId="77777777" w:rsidR="00D731E1" w:rsidRPr="00F02F9D" w:rsidRDefault="00D731E1" w:rsidP="007F589A">
      <w:pPr>
        <w:spacing w:line="236" w:lineRule="auto"/>
        <w:ind w:left="1134" w:right="260" w:hanging="1134"/>
        <w:jc w:val="both"/>
        <w:rPr>
          <w:rFonts w:ascii="Arial" w:eastAsia="Arial" w:hAnsi="Arial"/>
          <w:bCs/>
          <w:sz w:val="22"/>
          <w:szCs w:val="22"/>
          <w:lang w:val="es-CR"/>
        </w:rPr>
      </w:pPr>
    </w:p>
    <w:p w14:paraId="51CC203B" w14:textId="17CF535A" w:rsidR="00D731E1" w:rsidRPr="00F02F9D" w:rsidRDefault="00B57EAB" w:rsidP="007F589A">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1.104.0.03</w:t>
      </w:r>
      <w:r w:rsidRPr="00F02F9D">
        <w:rPr>
          <w:rFonts w:ascii="Arial" w:eastAsia="Arial" w:hAnsi="Arial"/>
          <w:bCs/>
          <w:sz w:val="22"/>
          <w:szCs w:val="22"/>
          <w:lang w:val="es-CR"/>
        </w:rPr>
        <w:tab/>
      </w:r>
      <w:r w:rsidR="00D731E1" w:rsidRPr="00F02F9D">
        <w:rPr>
          <w:rFonts w:ascii="Arial" w:eastAsia="Arial" w:hAnsi="Arial"/>
          <w:bCs/>
          <w:sz w:val="22"/>
          <w:szCs w:val="22"/>
          <w:lang w:val="es-CR"/>
        </w:rPr>
        <w:t xml:space="preserve">Asimismo, la </w:t>
      </w:r>
      <w:r w:rsidR="000F29DC">
        <w:rPr>
          <w:rFonts w:ascii="Arial" w:eastAsia="Arial" w:hAnsi="Arial"/>
          <w:bCs/>
          <w:sz w:val="22"/>
          <w:szCs w:val="22"/>
          <w:lang w:val="es-CR"/>
        </w:rPr>
        <w:t>MBA</w:t>
      </w:r>
      <w:r w:rsidR="00D731E1" w:rsidRPr="00F02F9D">
        <w:rPr>
          <w:rFonts w:ascii="Arial" w:eastAsia="Arial" w:hAnsi="Arial"/>
          <w:bCs/>
          <w:sz w:val="22"/>
          <w:szCs w:val="22"/>
          <w:lang w:val="es-CR"/>
        </w:rPr>
        <w:t xml:space="preserve"> incluye dentro del costo de propiedades, planta y equipo, los elementos adquiridos por razones de seguridad o de índole </w:t>
      </w:r>
      <w:r w:rsidR="00AA22E2" w:rsidRPr="00F02F9D">
        <w:rPr>
          <w:rFonts w:ascii="Arial" w:eastAsia="Arial" w:hAnsi="Arial"/>
          <w:bCs/>
          <w:sz w:val="22"/>
          <w:szCs w:val="22"/>
          <w:lang w:val="es-CR"/>
        </w:rPr>
        <w:t>medioa</w:t>
      </w:r>
      <w:r w:rsidR="00AA22E2">
        <w:rPr>
          <w:rFonts w:ascii="Arial" w:eastAsia="Arial" w:hAnsi="Arial"/>
          <w:bCs/>
          <w:sz w:val="22"/>
          <w:szCs w:val="22"/>
          <w:lang w:val="es-CR"/>
        </w:rPr>
        <w:t>mbi</w:t>
      </w:r>
      <w:r w:rsidR="00AA22E2" w:rsidRPr="00F02F9D">
        <w:rPr>
          <w:rFonts w:ascii="Arial" w:eastAsia="Arial" w:hAnsi="Arial"/>
          <w:bCs/>
          <w:sz w:val="22"/>
          <w:szCs w:val="22"/>
          <w:lang w:val="es-CR"/>
        </w:rPr>
        <w:t>ental</w:t>
      </w:r>
      <w:r w:rsidR="00D731E1" w:rsidRPr="00F02F9D">
        <w:rPr>
          <w:rFonts w:ascii="Arial" w:eastAsia="Arial" w:hAnsi="Arial"/>
          <w:bCs/>
          <w:sz w:val="22"/>
          <w:szCs w:val="22"/>
          <w:lang w:val="es-CR"/>
        </w:rPr>
        <w:t xml:space="preserve"> que, aun no incrementando los beneficios económicos o potencial de servicio futuros de las partidas existentes, son necesarios para que la entidad logre obtenerlos con dichas partidas (por ejemplo: los equipos de seguridad contra incendios, requeridos por disposiciones vigentes).</w:t>
      </w:r>
    </w:p>
    <w:p w14:paraId="4F865A54" w14:textId="77777777" w:rsidR="00D731E1" w:rsidRPr="00F02F9D" w:rsidRDefault="00D731E1" w:rsidP="00D731E1">
      <w:pPr>
        <w:spacing w:line="273" w:lineRule="exact"/>
        <w:rPr>
          <w:rFonts w:ascii="Arial" w:eastAsia="Arial" w:hAnsi="Arial"/>
          <w:bCs/>
          <w:sz w:val="22"/>
          <w:szCs w:val="22"/>
          <w:lang w:val="es-CR"/>
        </w:rPr>
      </w:pPr>
    </w:p>
    <w:p w14:paraId="7044249A" w14:textId="1B059767" w:rsidR="00D731E1" w:rsidRPr="00F02F9D" w:rsidRDefault="00B57EAB" w:rsidP="007F589A">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1.104.1.01</w:t>
      </w:r>
      <w:r w:rsidRPr="00F02F9D">
        <w:rPr>
          <w:rFonts w:ascii="Arial" w:eastAsia="Arial" w:hAnsi="Arial"/>
          <w:bCs/>
          <w:sz w:val="22"/>
          <w:szCs w:val="22"/>
          <w:lang w:val="es-CR"/>
        </w:rPr>
        <w:tab/>
      </w:r>
      <w:r w:rsidR="00D731E1" w:rsidRPr="00F02F9D">
        <w:rPr>
          <w:rFonts w:ascii="Arial" w:eastAsia="Arial" w:hAnsi="Arial"/>
          <w:bCs/>
          <w:sz w:val="22"/>
          <w:szCs w:val="22"/>
          <w:lang w:val="es-CR"/>
        </w:rPr>
        <w:t>El costo de un elemento de propiedades, planta y equipo será:</w:t>
      </w:r>
    </w:p>
    <w:p w14:paraId="4A0A664D" w14:textId="77777777" w:rsidR="00B57EAB" w:rsidRPr="00F02F9D" w:rsidRDefault="00B57EAB" w:rsidP="007F589A">
      <w:pPr>
        <w:spacing w:line="236" w:lineRule="auto"/>
        <w:ind w:left="1134" w:right="260" w:hanging="1134"/>
        <w:jc w:val="both"/>
        <w:rPr>
          <w:rFonts w:ascii="Arial" w:eastAsia="Arial" w:hAnsi="Arial"/>
          <w:bCs/>
          <w:sz w:val="22"/>
          <w:szCs w:val="22"/>
          <w:lang w:val="es-CR"/>
        </w:rPr>
      </w:pPr>
    </w:p>
    <w:p w14:paraId="1DD61E0C" w14:textId="37341383" w:rsidR="00D731E1" w:rsidRPr="00A77FD8" w:rsidRDefault="00D731E1" w:rsidP="00A77FD8">
      <w:pPr>
        <w:pStyle w:val="Prrafodelista"/>
        <w:numPr>
          <w:ilvl w:val="0"/>
          <w:numId w:val="29"/>
        </w:numPr>
        <w:spacing w:after="120"/>
        <w:ind w:left="1559" w:right="260"/>
        <w:contextualSpacing w:val="0"/>
        <w:rPr>
          <w:rFonts w:ascii="Arial" w:eastAsia="Arial" w:hAnsi="Arial"/>
          <w:bCs/>
          <w:sz w:val="22"/>
          <w:szCs w:val="22"/>
          <w:lang w:val="es-CR"/>
        </w:rPr>
      </w:pPr>
      <w:r w:rsidRPr="00F02F9D">
        <w:rPr>
          <w:rFonts w:ascii="Arial" w:eastAsia="Arial" w:hAnsi="Arial"/>
          <w:bCs/>
          <w:sz w:val="22"/>
          <w:szCs w:val="22"/>
          <w:lang w:val="es-CR"/>
        </w:rPr>
        <w:t>El precio equivalente al contado.</w:t>
      </w:r>
    </w:p>
    <w:p w14:paraId="0C164A5F" w14:textId="77777777" w:rsidR="00B57EAB" w:rsidRPr="00F02F9D" w:rsidRDefault="00D731E1" w:rsidP="00A77FD8">
      <w:pPr>
        <w:pStyle w:val="Prrafodelista"/>
        <w:numPr>
          <w:ilvl w:val="0"/>
          <w:numId w:val="29"/>
        </w:numPr>
        <w:spacing w:after="120"/>
        <w:ind w:left="1559" w:right="260"/>
        <w:contextualSpacing w:val="0"/>
        <w:jc w:val="both"/>
        <w:rPr>
          <w:rFonts w:ascii="Arial" w:eastAsia="Arial" w:hAnsi="Arial"/>
          <w:bCs/>
          <w:sz w:val="22"/>
          <w:szCs w:val="22"/>
          <w:lang w:val="es-CR"/>
        </w:rPr>
      </w:pPr>
      <w:r w:rsidRPr="00F02F9D">
        <w:rPr>
          <w:rFonts w:ascii="Arial" w:eastAsia="Arial" w:hAnsi="Arial"/>
          <w:bCs/>
          <w:sz w:val="22"/>
          <w:szCs w:val="22"/>
          <w:lang w:val="es-CR"/>
        </w:rPr>
        <w:lastRenderedPageBreak/>
        <w:t>Para los activos sin contraprestación, su valor razonable en la fecha de reconocimiento.</w:t>
      </w:r>
    </w:p>
    <w:p w14:paraId="4839AAA1" w14:textId="48980C22" w:rsidR="00D731E1" w:rsidRPr="00F02F9D" w:rsidRDefault="00D731E1">
      <w:pPr>
        <w:pStyle w:val="Prrafodelista"/>
        <w:numPr>
          <w:ilvl w:val="0"/>
          <w:numId w:val="29"/>
        </w:numPr>
        <w:spacing w:line="236" w:lineRule="auto"/>
        <w:ind w:left="1560" w:right="260"/>
        <w:jc w:val="both"/>
        <w:rPr>
          <w:rFonts w:ascii="Arial" w:eastAsia="Arial" w:hAnsi="Arial"/>
          <w:bCs/>
          <w:sz w:val="22"/>
          <w:szCs w:val="22"/>
          <w:lang w:val="es-CR"/>
        </w:rPr>
      </w:pPr>
      <w:r w:rsidRPr="00F02F9D">
        <w:rPr>
          <w:rFonts w:ascii="Arial" w:eastAsia="Arial" w:hAnsi="Arial"/>
          <w:bCs/>
          <w:sz w:val="22"/>
          <w:szCs w:val="22"/>
          <w:lang w:val="es-CR"/>
        </w:rPr>
        <w:t>Para las compras a plazo, si el pago se aplaza más allá de los plazos normales del crédito comercial, la diferencia entre el precio equivalente al contado y el total de los pagos se reconocerá como intereses a lo largo del período de aplazamiento.</w:t>
      </w:r>
    </w:p>
    <w:p w14:paraId="6753C5EB" w14:textId="77777777" w:rsidR="00D731E1" w:rsidRPr="00F02F9D" w:rsidRDefault="00D731E1" w:rsidP="00D731E1">
      <w:pPr>
        <w:spacing w:line="276" w:lineRule="exact"/>
        <w:rPr>
          <w:rFonts w:ascii="Arial" w:eastAsia="Arial" w:hAnsi="Arial"/>
          <w:bCs/>
          <w:sz w:val="22"/>
          <w:szCs w:val="22"/>
          <w:lang w:val="es-CR"/>
        </w:rPr>
      </w:pPr>
    </w:p>
    <w:p w14:paraId="1555A333" w14:textId="0F794319" w:rsidR="00D731E1" w:rsidRDefault="00B57EAB" w:rsidP="00B57EAB">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1.104.2.01</w:t>
      </w:r>
      <w:r w:rsidRPr="00F02F9D">
        <w:rPr>
          <w:rFonts w:ascii="Arial" w:eastAsia="Arial" w:hAnsi="Arial"/>
          <w:bCs/>
          <w:sz w:val="22"/>
          <w:szCs w:val="22"/>
          <w:lang w:val="es-CR"/>
        </w:rPr>
        <w:tab/>
      </w:r>
      <w:r w:rsidR="00D731E1" w:rsidRPr="00F02F9D">
        <w:rPr>
          <w:rFonts w:ascii="Arial" w:eastAsia="Arial" w:hAnsi="Arial"/>
          <w:bCs/>
          <w:sz w:val="22"/>
          <w:szCs w:val="22"/>
          <w:lang w:val="es-CR"/>
        </w:rPr>
        <w:t xml:space="preserve">El costo de bienes adquiridos a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w:t>
      </w:r>
      <w:r w:rsidR="00D731E1" w:rsidRPr="00F02F9D">
        <w:rPr>
          <w:rFonts w:ascii="Arial" w:eastAsia="Arial" w:hAnsi="Arial"/>
          <w:bCs/>
          <w:sz w:val="22"/>
          <w:szCs w:val="22"/>
          <w:lang w:val="es-CR"/>
        </w:rPr>
        <w:t xml:space="preserve"> de uno o varios activos no monetarios, o de una </w:t>
      </w:r>
      <w:r w:rsidR="00AA22E2" w:rsidRPr="00F02F9D">
        <w:rPr>
          <w:rFonts w:ascii="Arial" w:eastAsia="Arial" w:hAnsi="Arial"/>
          <w:bCs/>
          <w:sz w:val="22"/>
          <w:szCs w:val="22"/>
          <w:lang w:val="es-CR"/>
        </w:rPr>
        <w:t>co</w:t>
      </w:r>
      <w:r w:rsidR="00AA22E2">
        <w:rPr>
          <w:rFonts w:ascii="Arial" w:eastAsia="Arial" w:hAnsi="Arial"/>
          <w:bCs/>
          <w:sz w:val="22"/>
          <w:szCs w:val="22"/>
          <w:lang w:val="es-CR"/>
        </w:rPr>
        <w:t>mbi</w:t>
      </w:r>
      <w:r w:rsidR="00AA22E2" w:rsidRPr="00F02F9D">
        <w:rPr>
          <w:rFonts w:ascii="Arial" w:eastAsia="Arial" w:hAnsi="Arial"/>
          <w:bCs/>
          <w:sz w:val="22"/>
          <w:szCs w:val="22"/>
          <w:lang w:val="es-CR"/>
        </w:rPr>
        <w:t>nación</w:t>
      </w:r>
      <w:r w:rsidR="00D731E1" w:rsidRPr="00F02F9D">
        <w:rPr>
          <w:rFonts w:ascii="Arial" w:eastAsia="Arial" w:hAnsi="Arial"/>
          <w:bCs/>
          <w:sz w:val="22"/>
          <w:szCs w:val="22"/>
          <w:lang w:val="es-CR"/>
        </w:rPr>
        <w:t xml:space="preserve"> de activos monetarios y no monetarios, será por su valor razonable, a menos que:</w:t>
      </w:r>
    </w:p>
    <w:p w14:paraId="3D77FA42" w14:textId="77777777" w:rsidR="00A77FD8" w:rsidRPr="00F02F9D" w:rsidRDefault="00A77FD8" w:rsidP="00B57EAB">
      <w:pPr>
        <w:spacing w:line="236" w:lineRule="auto"/>
        <w:ind w:left="1134" w:right="260" w:hanging="1134"/>
        <w:jc w:val="both"/>
        <w:rPr>
          <w:rFonts w:ascii="Arial" w:eastAsia="Arial" w:hAnsi="Arial"/>
          <w:bCs/>
          <w:sz w:val="22"/>
          <w:szCs w:val="22"/>
          <w:lang w:val="es-CR"/>
        </w:rPr>
      </w:pPr>
    </w:p>
    <w:p w14:paraId="11628A83" w14:textId="77777777" w:rsidR="00D731E1" w:rsidRPr="00F02F9D" w:rsidRDefault="00D731E1" w:rsidP="00D731E1">
      <w:pPr>
        <w:spacing w:line="1" w:lineRule="exact"/>
        <w:rPr>
          <w:rFonts w:ascii="Arial" w:eastAsia="Arial" w:hAnsi="Arial"/>
          <w:bCs/>
          <w:sz w:val="22"/>
          <w:szCs w:val="22"/>
          <w:lang w:val="es-CR"/>
        </w:rPr>
      </w:pPr>
    </w:p>
    <w:p w14:paraId="0C6872CC" w14:textId="0EDBC984" w:rsidR="00D731E1" w:rsidRPr="00F02F9D" w:rsidRDefault="00B57EAB" w:rsidP="00A77FD8">
      <w:pPr>
        <w:pStyle w:val="Prrafodelista"/>
        <w:numPr>
          <w:ilvl w:val="0"/>
          <w:numId w:val="30"/>
        </w:numPr>
        <w:spacing w:after="120" w:line="0" w:lineRule="atLeast"/>
        <w:ind w:left="1559"/>
        <w:contextualSpacing w:val="0"/>
        <w:rPr>
          <w:rFonts w:ascii="Arial" w:eastAsia="Arial" w:hAnsi="Arial"/>
          <w:bCs/>
          <w:sz w:val="22"/>
          <w:szCs w:val="22"/>
          <w:lang w:val="es-CR"/>
        </w:rPr>
      </w:pPr>
      <w:r w:rsidRPr="00F02F9D">
        <w:rPr>
          <w:rFonts w:ascii="Arial" w:eastAsia="Arial" w:hAnsi="Arial"/>
          <w:bCs/>
          <w:sz w:val="22"/>
          <w:szCs w:val="22"/>
          <w:lang w:val="es-CR"/>
        </w:rPr>
        <w:t>L</w:t>
      </w:r>
      <w:r w:rsidR="00D731E1" w:rsidRPr="00F02F9D">
        <w:rPr>
          <w:rFonts w:ascii="Arial" w:eastAsia="Arial" w:hAnsi="Arial"/>
          <w:bCs/>
          <w:sz w:val="22"/>
          <w:szCs w:val="22"/>
          <w:lang w:val="es-CR"/>
        </w:rPr>
        <w:t xml:space="preserve">a transacción de </w:t>
      </w:r>
      <w:r w:rsidR="00AA22E2" w:rsidRPr="00F02F9D">
        <w:rPr>
          <w:rFonts w:ascii="Arial" w:eastAsia="Arial" w:hAnsi="Arial"/>
          <w:bCs/>
          <w:sz w:val="22"/>
          <w:szCs w:val="22"/>
          <w:lang w:val="es-CR"/>
        </w:rPr>
        <w:t>interca</w:t>
      </w:r>
      <w:r w:rsidR="00AA22E2">
        <w:rPr>
          <w:rFonts w:ascii="Arial" w:eastAsia="Arial" w:hAnsi="Arial"/>
          <w:bCs/>
          <w:sz w:val="22"/>
          <w:szCs w:val="22"/>
          <w:lang w:val="es-CR"/>
        </w:rPr>
        <w:t>mbi</w:t>
      </w:r>
      <w:r w:rsidR="00AA22E2" w:rsidRPr="00F02F9D">
        <w:rPr>
          <w:rFonts w:ascii="Arial" w:eastAsia="Arial" w:hAnsi="Arial"/>
          <w:bCs/>
          <w:sz w:val="22"/>
          <w:szCs w:val="22"/>
          <w:lang w:val="es-CR"/>
        </w:rPr>
        <w:t>o</w:t>
      </w:r>
      <w:r w:rsidR="00D731E1" w:rsidRPr="00F02F9D">
        <w:rPr>
          <w:rFonts w:ascii="Arial" w:eastAsia="Arial" w:hAnsi="Arial"/>
          <w:bCs/>
          <w:sz w:val="22"/>
          <w:szCs w:val="22"/>
          <w:lang w:val="es-CR"/>
        </w:rPr>
        <w:t xml:space="preserve"> no tenga carácter comercial; o</w:t>
      </w:r>
    </w:p>
    <w:p w14:paraId="1E08C039" w14:textId="77777777" w:rsidR="00D731E1" w:rsidRPr="00F02F9D" w:rsidRDefault="00D731E1" w:rsidP="00A77FD8">
      <w:pPr>
        <w:spacing w:after="120" w:line="9" w:lineRule="exact"/>
        <w:ind w:left="1559"/>
        <w:rPr>
          <w:rFonts w:ascii="Arial" w:eastAsia="Arial" w:hAnsi="Arial"/>
          <w:bCs/>
          <w:sz w:val="22"/>
          <w:szCs w:val="22"/>
          <w:lang w:val="es-CR"/>
        </w:rPr>
      </w:pPr>
    </w:p>
    <w:p w14:paraId="50C30274" w14:textId="1FB9F5F2" w:rsidR="00D731E1" w:rsidRPr="00F02F9D" w:rsidRDefault="00B57EAB" w:rsidP="00A77FD8">
      <w:pPr>
        <w:pStyle w:val="Prrafodelista"/>
        <w:numPr>
          <w:ilvl w:val="0"/>
          <w:numId w:val="30"/>
        </w:numPr>
        <w:spacing w:after="120" w:line="236" w:lineRule="auto"/>
        <w:ind w:left="1559" w:right="260"/>
        <w:contextualSpacing w:val="0"/>
        <w:rPr>
          <w:rFonts w:ascii="Arial" w:eastAsia="Arial" w:hAnsi="Arial"/>
          <w:bCs/>
          <w:sz w:val="22"/>
          <w:szCs w:val="22"/>
          <w:lang w:val="es-CR"/>
        </w:rPr>
      </w:pPr>
      <w:r w:rsidRPr="00F02F9D">
        <w:rPr>
          <w:rFonts w:ascii="Arial" w:eastAsia="Arial" w:hAnsi="Arial"/>
          <w:bCs/>
          <w:sz w:val="22"/>
          <w:szCs w:val="22"/>
          <w:lang w:val="es-CR"/>
        </w:rPr>
        <w:t>N</w:t>
      </w:r>
      <w:r w:rsidR="00D731E1" w:rsidRPr="00F02F9D">
        <w:rPr>
          <w:rFonts w:ascii="Arial" w:eastAsia="Arial" w:hAnsi="Arial"/>
          <w:bCs/>
          <w:sz w:val="22"/>
          <w:szCs w:val="22"/>
          <w:lang w:val="es-CR"/>
        </w:rPr>
        <w:t>o pueda medirse con fiabilidad el valor razonable del activo recibido ni el del activo entregado.</w:t>
      </w:r>
    </w:p>
    <w:p w14:paraId="6441FB5F" w14:textId="77777777" w:rsidR="00D731E1" w:rsidRPr="00F02F9D" w:rsidRDefault="00D731E1" w:rsidP="00B57EAB">
      <w:pPr>
        <w:spacing w:line="9" w:lineRule="exact"/>
        <w:ind w:left="1560"/>
        <w:rPr>
          <w:rFonts w:ascii="Arial" w:eastAsia="Times New Roman" w:hAnsi="Arial"/>
          <w:bCs/>
          <w:sz w:val="22"/>
          <w:szCs w:val="22"/>
          <w:lang w:val="es-CR"/>
        </w:rPr>
      </w:pPr>
    </w:p>
    <w:p w14:paraId="5255668B" w14:textId="77777777" w:rsidR="00D731E1" w:rsidRPr="00F02F9D" w:rsidRDefault="00D731E1">
      <w:pPr>
        <w:pStyle w:val="Prrafodelista"/>
        <w:numPr>
          <w:ilvl w:val="0"/>
          <w:numId w:val="30"/>
        </w:numPr>
        <w:spacing w:line="236" w:lineRule="auto"/>
        <w:ind w:left="1560" w:right="280"/>
        <w:rPr>
          <w:rFonts w:ascii="Arial" w:eastAsia="Arial" w:hAnsi="Arial"/>
          <w:bCs/>
          <w:sz w:val="22"/>
          <w:szCs w:val="22"/>
          <w:lang w:val="es-CR"/>
        </w:rPr>
      </w:pPr>
      <w:r w:rsidRPr="00F02F9D">
        <w:rPr>
          <w:rFonts w:ascii="Arial" w:eastAsia="Arial" w:hAnsi="Arial"/>
          <w:bCs/>
          <w:sz w:val="22"/>
          <w:szCs w:val="22"/>
          <w:lang w:val="es-CR"/>
        </w:rPr>
        <w:t>Si el bien adquirido no se mide por su valor razonable, su costo se medirá por el importe en libros del activo entregado.</w:t>
      </w:r>
    </w:p>
    <w:p w14:paraId="42FAB01A" w14:textId="77777777" w:rsidR="00D731E1" w:rsidRPr="00F02F9D" w:rsidRDefault="00D731E1" w:rsidP="00D731E1">
      <w:pPr>
        <w:spacing w:line="270" w:lineRule="exact"/>
        <w:rPr>
          <w:rFonts w:ascii="Arial" w:eastAsia="Times New Roman" w:hAnsi="Arial"/>
          <w:bCs/>
          <w:sz w:val="22"/>
          <w:szCs w:val="22"/>
          <w:lang w:val="es-CR"/>
        </w:rPr>
      </w:pPr>
      <w:bookmarkStart w:id="46" w:name="page36"/>
      <w:bookmarkEnd w:id="46"/>
    </w:p>
    <w:p w14:paraId="2642B02F" w14:textId="210B06FC" w:rsidR="00D731E1" w:rsidRDefault="00B57EAB" w:rsidP="00B57EAB">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1.104.3.01</w:t>
      </w:r>
      <w:r w:rsidRPr="00F02F9D">
        <w:rPr>
          <w:rFonts w:ascii="Arial" w:eastAsia="Arial" w:hAnsi="Arial"/>
          <w:bCs/>
          <w:sz w:val="22"/>
          <w:szCs w:val="22"/>
          <w:lang w:val="es-CR"/>
        </w:rPr>
        <w:tab/>
      </w:r>
      <w:r w:rsidR="00D731E1" w:rsidRPr="00F02F9D">
        <w:rPr>
          <w:rFonts w:ascii="Arial" w:eastAsia="Arial" w:hAnsi="Arial"/>
          <w:bCs/>
          <w:sz w:val="22"/>
          <w:szCs w:val="22"/>
          <w:lang w:val="es-CR"/>
        </w:rPr>
        <w:t>Las</w:t>
      </w:r>
      <w:r w:rsidR="007F589A" w:rsidRPr="00F02F9D">
        <w:rPr>
          <w:rFonts w:ascii="Arial" w:eastAsia="Arial" w:hAnsi="Arial"/>
          <w:bCs/>
          <w:sz w:val="22"/>
          <w:szCs w:val="22"/>
          <w:lang w:val="es-CR"/>
        </w:rPr>
        <w:t xml:space="preserve"> t</w:t>
      </w:r>
      <w:r w:rsidR="00D731E1" w:rsidRPr="00F02F9D">
        <w:rPr>
          <w:rFonts w:ascii="Arial" w:eastAsia="Arial" w:hAnsi="Arial"/>
          <w:bCs/>
          <w:sz w:val="22"/>
          <w:szCs w:val="22"/>
          <w:lang w:val="es-CR"/>
        </w:rPr>
        <w:t>ransacciones con contraprestación tienen carácter comercial si:</w:t>
      </w:r>
    </w:p>
    <w:p w14:paraId="205A17E5" w14:textId="77777777" w:rsidR="00A77FD8" w:rsidRPr="00F02F9D" w:rsidRDefault="00A77FD8" w:rsidP="00B57EAB">
      <w:pPr>
        <w:spacing w:line="236" w:lineRule="auto"/>
        <w:ind w:left="1134" w:right="260" w:hanging="1134"/>
        <w:jc w:val="both"/>
        <w:rPr>
          <w:rFonts w:ascii="Arial" w:eastAsia="Arial" w:hAnsi="Arial"/>
          <w:bCs/>
          <w:sz w:val="22"/>
          <w:szCs w:val="22"/>
          <w:lang w:val="es-CR"/>
        </w:rPr>
      </w:pPr>
    </w:p>
    <w:p w14:paraId="676DD3A3" w14:textId="77777777" w:rsidR="00D731E1" w:rsidRPr="00F02F9D" w:rsidRDefault="00D731E1" w:rsidP="00D731E1">
      <w:pPr>
        <w:spacing w:line="1" w:lineRule="exact"/>
        <w:rPr>
          <w:rFonts w:ascii="Arial" w:eastAsia="Arial" w:hAnsi="Arial"/>
          <w:bCs/>
          <w:sz w:val="22"/>
          <w:szCs w:val="22"/>
          <w:lang w:val="es-CR"/>
        </w:rPr>
      </w:pPr>
    </w:p>
    <w:p w14:paraId="0EE4E605" w14:textId="77777777" w:rsidR="00B57EAB" w:rsidRPr="00F02F9D" w:rsidRDefault="00B57EAB" w:rsidP="00A77FD8">
      <w:pPr>
        <w:pStyle w:val="Prrafodelista"/>
        <w:numPr>
          <w:ilvl w:val="0"/>
          <w:numId w:val="31"/>
        </w:numPr>
        <w:spacing w:after="120" w:line="262" w:lineRule="auto"/>
        <w:ind w:left="1418"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L</w:t>
      </w:r>
      <w:r w:rsidR="00D731E1" w:rsidRPr="00F02F9D">
        <w:rPr>
          <w:rFonts w:ascii="Arial" w:eastAsia="Arial" w:hAnsi="Arial"/>
          <w:bCs/>
          <w:sz w:val="22"/>
          <w:szCs w:val="22"/>
          <w:lang w:val="es-CR"/>
        </w:rPr>
        <w:t xml:space="preserve">a configuración (riesgo, calendario e importe) de los flujos de efectivo o potencial de servicio del activo recibido difiere de la configuración de los flujos de efectivo o </w:t>
      </w:r>
      <w:r w:rsidRPr="00F02F9D">
        <w:rPr>
          <w:rFonts w:ascii="Arial" w:eastAsia="Arial" w:hAnsi="Arial"/>
          <w:bCs/>
          <w:sz w:val="22"/>
          <w:szCs w:val="22"/>
          <w:lang w:val="es-CR"/>
        </w:rPr>
        <w:t>P</w:t>
      </w:r>
      <w:r w:rsidR="00D731E1" w:rsidRPr="00F02F9D">
        <w:rPr>
          <w:rFonts w:ascii="Arial" w:eastAsia="Arial" w:hAnsi="Arial"/>
          <w:bCs/>
          <w:sz w:val="22"/>
          <w:szCs w:val="22"/>
          <w:lang w:val="es-CR"/>
        </w:rPr>
        <w:t>otencial de servicio del activo transferido; o</w:t>
      </w:r>
    </w:p>
    <w:p w14:paraId="050FBC0F" w14:textId="10EFBA19" w:rsidR="00B57EAB" w:rsidRPr="00F02F9D" w:rsidRDefault="00B57EAB" w:rsidP="00A77FD8">
      <w:pPr>
        <w:pStyle w:val="Prrafodelista"/>
        <w:numPr>
          <w:ilvl w:val="0"/>
          <w:numId w:val="31"/>
        </w:numPr>
        <w:spacing w:after="120" w:line="262" w:lineRule="auto"/>
        <w:ind w:left="1418"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E</w:t>
      </w:r>
      <w:r w:rsidR="00D731E1" w:rsidRPr="00F02F9D">
        <w:rPr>
          <w:rFonts w:ascii="Arial" w:eastAsia="Arial" w:hAnsi="Arial"/>
          <w:bCs/>
          <w:sz w:val="22"/>
          <w:szCs w:val="22"/>
          <w:lang w:val="es-CR"/>
        </w:rPr>
        <w:t xml:space="preserve">l valor específico para la entidad, de la parte de sus actividades afectadas por la transacción de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w:t>
      </w:r>
      <w:r w:rsidR="00D731E1" w:rsidRPr="00F02F9D">
        <w:rPr>
          <w:rFonts w:ascii="Arial" w:eastAsia="Arial" w:hAnsi="Arial"/>
          <w:bCs/>
          <w:sz w:val="22"/>
          <w:szCs w:val="22"/>
          <w:lang w:val="es-CR"/>
        </w:rPr>
        <w:t xml:space="preserve">, se ve modificado como consecuencia del </w:t>
      </w:r>
      <w:r w:rsidR="00AA22E2" w:rsidRPr="00F02F9D">
        <w:rPr>
          <w:rFonts w:ascii="Arial" w:eastAsia="Arial" w:hAnsi="Arial"/>
          <w:bCs/>
          <w:sz w:val="22"/>
          <w:szCs w:val="22"/>
          <w:lang w:val="es-CR"/>
        </w:rPr>
        <w:t>interca</w:t>
      </w:r>
      <w:r w:rsidR="00AA22E2">
        <w:rPr>
          <w:rFonts w:ascii="Arial" w:eastAsia="Arial" w:hAnsi="Arial"/>
          <w:bCs/>
          <w:sz w:val="22"/>
          <w:szCs w:val="22"/>
          <w:lang w:val="es-CR"/>
        </w:rPr>
        <w:t>mbi</w:t>
      </w:r>
      <w:r w:rsidR="00AA22E2" w:rsidRPr="00F02F9D">
        <w:rPr>
          <w:rFonts w:ascii="Arial" w:eastAsia="Arial" w:hAnsi="Arial"/>
          <w:bCs/>
          <w:sz w:val="22"/>
          <w:szCs w:val="22"/>
          <w:lang w:val="es-CR"/>
        </w:rPr>
        <w:t>o</w:t>
      </w:r>
      <w:r w:rsidR="00D731E1" w:rsidRPr="00F02F9D">
        <w:rPr>
          <w:rFonts w:ascii="Arial" w:eastAsia="Arial" w:hAnsi="Arial"/>
          <w:bCs/>
          <w:sz w:val="22"/>
          <w:szCs w:val="22"/>
          <w:lang w:val="es-CR"/>
        </w:rPr>
        <w:t>;</w:t>
      </w:r>
    </w:p>
    <w:p w14:paraId="18A7783B" w14:textId="6F7DAA29" w:rsidR="00D731E1" w:rsidRPr="00F02F9D" w:rsidRDefault="00B57EAB">
      <w:pPr>
        <w:pStyle w:val="Prrafodelista"/>
        <w:numPr>
          <w:ilvl w:val="0"/>
          <w:numId w:val="31"/>
        </w:numPr>
        <w:spacing w:line="261"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w:t>
      </w:r>
      <w:r w:rsidR="00D731E1" w:rsidRPr="00F02F9D">
        <w:rPr>
          <w:rFonts w:ascii="Arial" w:eastAsia="Arial" w:hAnsi="Arial"/>
          <w:bCs/>
          <w:sz w:val="22"/>
          <w:szCs w:val="22"/>
          <w:lang w:val="es-CR"/>
        </w:rPr>
        <w:t xml:space="preserve">a diferencia identificada en (a) o en (b) es significativa al compararla con el valor razonable de los activos </w:t>
      </w:r>
      <w:r w:rsidR="00AA22E2" w:rsidRPr="00F02F9D">
        <w:rPr>
          <w:rFonts w:ascii="Arial" w:eastAsia="Arial" w:hAnsi="Arial"/>
          <w:bCs/>
          <w:sz w:val="22"/>
          <w:szCs w:val="22"/>
          <w:lang w:val="es-CR"/>
        </w:rPr>
        <w:t>interca</w:t>
      </w:r>
      <w:r w:rsidR="00AA22E2">
        <w:rPr>
          <w:rFonts w:ascii="Arial" w:eastAsia="Arial" w:hAnsi="Arial"/>
          <w:bCs/>
          <w:sz w:val="22"/>
          <w:szCs w:val="22"/>
          <w:lang w:val="es-CR"/>
        </w:rPr>
        <w:t>mbi</w:t>
      </w:r>
      <w:r w:rsidR="00AA22E2" w:rsidRPr="00F02F9D">
        <w:rPr>
          <w:rFonts w:ascii="Arial" w:eastAsia="Arial" w:hAnsi="Arial"/>
          <w:bCs/>
          <w:sz w:val="22"/>
          <w:szCs w:val="22"/>
          <w:lang w:val="es-CR"/>
        </w:rPr>
        <w:t>ados</w:t>
      </w:r>
      <w:r w:rsidR="00D731E1" w:rsidRPr="00F02F9D">
        <w:rPr>
          <w:rFonts w:ascii="Arial" w:eastAsia="Arial" w:hAnsi="Arial"/>
          <w:bCs/>
          <w:sz w:val="22"/>
          <w:szCs w:val="22"/>
          <w:lang w:val="es-CR"/>
        </w:rPr>
        <w:t>.</w:t>
      </w:r>
    </w:p>
    <w:p w14:paraId="6BBC3078" w14:textId="77777777" w:rsidR="00D731E1" w:rsidRPr="00F02F9D" w:rsidRDefault="00D731E1" w:rsidP="00D731E1">
      <w:pPr>
        <w:spacing w:line="276" w:lineRule="exact"/>
        <w:rPr>
          <w:rFonts w:ascii="Arial" w:eastAsia="Arial" w:hAnsi="Arial"/>
          <w:bCs/>
          <w:sz w:val="22"/>
          <w:szCs w:val="22"/>
          <w:lang w:val="es-CR"/>
        </w:rPr>
      </w:pPr>
    </w:p>
    <w:p w14:paraId="732286B8" w14:textId="658A577B" w:rsidR="00D731E1" w:rsidRPr="00F02F9D" w:rsidRDefault="00B57EAB" w:rsidP="00B57EAB">
      <w:pPr>
        <w:spacing w:line="285" w:lineRule="exact"/>
        <w:ind w:left="1134" w:hanging="1134"/>
        <w:rPr>
          <w:rFonts w:ascii="Arial" w:eastAsia="Arial" w:hAnsi="Arial"/>
          <w:bCs/>
          <w:sz w:val="22"/>
          <w:szCs w:val="22"/>
          <w:lang w:val="es-CR"/>
        </w:rPr>
      </w:pPr>
      <w:r w:rsidRPr="00F02F9D">
        <w:rPr>
          <w:rFonts w:ascii="Arial" w:eastAsia="Arial" w:hAnsi="Arial"/>
          <w:bCs/>
          <w:sz w:val="22"/>
          <w:szCs w:val="22"/>
          <w:lang w:val="es-CR"/>
        </w:rPr>
        <w:t>1.104.4.01</w:t>
      </w:r>
      <w:r w:rsidRPr="00F02F9D">
        <w:rPr>
          <w:rFonts w:ascii="Arial" w:eastAsia="Arial" w:hAnsi="Arial"/>
          <w:bCs/>
          <w:sz w:val="22"/>
          <w:szCs w:val="22"/>
          <w:lang w:val="es-CR"/>
        </w:rPr>
        <w:tab/>
      </w:r>
      <w:r w:rsidR="00D731E1" w:rsidRPr="00F02F9D">
        <w:rPr>
          <w:rFonts w:ascii="Arial" w:eastAsia="Arial" w:hAnsi="Arial"/>
          <w:bCs/>
          <w:sz w:val="22"/>
          <w:szCs w:val="22"/>
          <w:lang w:val="es-CR"/>
        </w:rPr>
        <w:t>El valor razonable de un activo, para el que no existen transacciones comparables en el mercado, puede medirse con fiabilidad si:</w:t>
      </w:r>
    </w:p>
    <w:p w14:paraId="0E973D9A" w14:textId="77777777" w:rsidR="00D731E1" w:rsidRPr="00F02F9D" w:rsidRDefault="00D731E1" w:rsidP="00D731E1">
      <w:pPr>
        <w:spacing w:line="9" w:lineRule="exact"/>
        <w:rPr>
          <w:rFonts w:ascii="Arial" w:eastAsia="Arial" w:hAnsi="Arial"/>
          <w:bCs/>
          <w:sz w:val="22"/>
          <w:szCs w:val="22"/>
          <w:lang w:val="es-CR"/>
        </w:rPr>
      </w:pPr>
    </w:p>
    <w:p w14:paraId="5B23010E" w14:textId="608E4BC3" w:rsidR="00D731E1" w:rsidRPr="00F02F9D" w:rsidRDefault="00B57EAB">
      <w:pPr>
        <w:pStyle w:val="Prrafodelista"/>
        <w:numPr>
          <w:ilvl w:val="0"/>
          <w:numId w:val="32"/>
        </w:numPr>
        <w:spacing w:line="236" w:lineRule="auto"/>
        <w:ind w:left="1418" w:right="260" w:hanging="284"/>
        <w:rPr>
          <w:rFonts w:ascii="Arial" w:eastAsia="Arial" w:hAnsi="Arial"/>
          <w:bCs/>
          <w:sz w:val="22"/>
          <w:szCs w:val="22"/>
          <w:lang w:val="es-CR"/>
        </w:rPr>
      </w:pPr>
      <w:r w:rsidRPr="00F02F9D">
        <w:rPr>
          <w:rFonts w:ascii="Arial" w:eastAsia="Arial" w:hAnsi="Arial"/>
          <w:bCs/>
          <w:sz w:val="22"/>
          <w:szCs w:val="22"/>
          <w:lang w:val="es-CR"/>
        </w:rPr>
        <w:t>L</w:t>
      </w:r>
      <w:r w:rsidR="00D731E1" w:rsidRPr="00F02F9D">
        <w:rPr>
          <w:rFonts w:ascii="Arial" w:eastAsia="Arial" w:hAnsi="Arial"/>
          <w:bCs/>
          <w:sz w:val="22"/>
          <w:szCs w:val="22"/>
          <w:lang w:val="es-CR"/>
        </w:rPr>
        <w:t>a variabilidad en el rango de las estimaciones del valor razonable del activo no es significativa para ese activo; o</w:t>
      </w:r>
    </w:p>
    <w:p w14:paraId="68EC5432" w14:textId="77777777" w:rsidR="00D731E1" w:rsidRPr="00F02F9D" w:rsidRDefault="00D731E1" w:rsidP="00FC60AF">
      <w:pPr>
        <w:spacing w:line="9" w:lineRule="exact"/>
        <w:ind w:left="1418" w:hanging="284"/>
        <w:rPr>
          <w:rFonts w:ascii="Arial" w:eastAsia="Arial" w:hAnsi="Arial"/>
          <w:bCs/>
          <w:sz w:val="22"/>
          <w:szCs w:val="22"/>
          <w:lang w:val="es-CR"/>
        </w:rPr>
      </w:pPr>
    </w:p>
    <w:p w14:paraId="4D66E166" w14:textId="0C60F8CC" w:rsidR="00D731E1" w:rsidRPr="00F02F9D" w:rsidRDefault="00B57EAB">
      <w:pPr>
        <w:pStyle w:val="Prrafodelista"/>
        <w:numPr>
          <w:ilvl w:val="0"/>
          <w:numId w:val="32"/>
        </w:numPr>
        <w:spacing w:line="237"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w:t>
      </w:r>
      <w:r w:rsidR="00D731E1" w:rsidRPr="00F02F9D">
        <w:rPr>
          <w:rFonts w:ascii="Arial" w:eastAsia="Arial" w:hAnsi="Arial"/>
          <w:bCs/>
          <w:sz w:val="22"/>
          <w:szCs w:val="22"/>
          <w:lang w:val="es-CR"/>
        </w:rPr>
        <w:t>as probabilidades de las diferentes estimaciones, dentro de ese rango, pueden ser evaluadas razonablemente y utilizadas en la estimación del valor razonable.</w:t>
      </w:r>
    </w:p>
    <w:p w14:paraId="7EE1DAB8" w14:textId="77777777" w:rsidR="00D731E1" w:rsidRPr="00F02F9D" w:rsidRDefault="00D731E1" w:rsidP="00D731E1">
      <w:pPr>
        <w:spacing w:line="277" w:lineRule="exact"/>
        <w:rPr>
          <w:rFonts w:ascii="Arial" w:eastAsia="Arial" w:hAnsi="Arial"/>
          <w:bCs/>
          <w:sz w:val="22"/>
          <w:szCs w:val="22"/>
          <w:lang w:val="es-CR"/>
        </w:rPr>
      </w:pPr>
    </w:p>
    <w:p w14:paraId="29B1C4F4" w14:textId="41BA4B03" w:rsidR="00D731E1" w:rsidRPr="00F02F9D" w:rsidRDefault="00FC60AF" w:rsidP="00FC60AF">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1.104.5.01</w:t>
      </w:r>
      <w:r w:rsidRPr="00F02F9D">
        <w:rPr>
          <w:rFonts w:ascii="Arial" w:eastAsia="Arial" w:hAnsi="Arial"/>
          <w:bCs/>
          <w:sz w:val="22"/>
          <w:szCs w:val="22"/>
          <w:lang w:val="es-CR"/>
        </w:rPr>
        <w:tab/>
      </w:r>
      <w:r w:rsidR="00D731E1" w:rsidRPr="00F02F9D">
        <w:rPr>
          <w:rFonts w:ascii="Arial" w:eastAsia="Arial" w:hAnsi="Arial"/>
          <w:bCs/>
          <w:sz w:val="22"/>
          <w:szCs w:val="22"/>
          <w:lang w:val="es-CR"/>
        </w:rPr>
        <w:t>Si una entidad es capaz de determinar de forma fiable los valores razonables del activo recibido o del activo entregado, se utilizará el valor razonable del activo entregado para medir el costo del activo recibido, a menos que se tenga una evidencia más clara respecto de este último.</w:t>
      </w:r>
    </w:p>
    <w:p w14:paraId="5161C3A2" w14:textId="77777777" w:rsidR="00A351C9" w:rsidRPr="00F02F9D" w:rsidRDefault="00A351C9" w:rsidP="00A351C9">
      <w:pPr>
        <w:spacing w:line="238" w:lineRule="auto"/>
        <w:ind w:left="1134" w:right="260" w:hanging="1134"/>
        <w:jc w:val="both"/>
        <w:rPr>
          <w:rFonts w:ascii="Arial" w:eastAsia="Arial" w:hAnsi="Arial"/>
          <w:b/>
          <w:sz w:val="22"/>
          <w:szCs w:val="22"/>
          <w:lang w:val="es-CR"/>
        </w:rPr>
      </w:pPr>
    </w:p>
    <w:p w14:paraId="045FBA77" w14:textId="77777777" w:rsidR="000720C5" w:rsidRPr="00F02F9D" w:rsidRDefault="000720C5" w:rsidP="00A351C9">
      <w:pPr>
        <w:spacing w:line="238" w:lineRule="auto"/>
        <w:ind w:left="1134" w:right="260" w:hanging="1134"/>
        <w:jc w:val="both"/>
        <w:rPr>
          <w:rFonts w:ascii="Arial" w:eastAsia="Arial" w:hAnsi="Arial"/>
          <w:b/>
          <w:sz w:val="22"/>
          <w:szCs w:val="22"/>
          <w:lang w:val="es-CR"/>
        </w:rPr>
      </w:pPr>
    </w:p>
    <w:p w14:paraId="75E83299" w14:textId="77777777" w:rsidR="00FC60AF" w:rsidRPr="0098697B" w:rsidRDefault="00FC60AF" w:rsidP="0098697B">
      <w:pPr>
        <w:pStyle w:val="Ttulo2"/>
        <w:ind w:left="284"/>
        <w:rPr>
          <w:rFonts w:ascii="Arial" w:eastAsia="Arial" w:hAnsi="Arial" w:cs="Arial"/>
          <w:b/>
          <w:bCs/>
          <w:sz w:val="20"/>
          <w:szCs w:val="20"/>
          <w:lang w:val="es-CR"/>
        </w:rPr>
      </w:pPr>
      <w:bookmarkStart w:id="47" w:name="_Toc172726212"/>
      <w:r w:rsidRPr="0098697B">
        <w:rPr>
          <w:rFonts w:ascii="Arial" w:eastAsia="Arial" w:hAnsi="Arial" w:cs="Arial"/>
          <w:b/>
          <w:bCs/>
          <w:sz w:val="20"/>
          <w:szCs w:val="20"/>
          <w:lang w:val="es-CR"/>
        </w:rPr>
        <w:t>Modelo de Revaluación</w:t>
      </w:r>
      <w:bookmarkEnd w:id="47"/>
    </w:p>
    <w:p w14:paraId="60577300" w14:textId="77777777" w:rsidR="000720C5" w:rsidRPr="00F02F9D" w:rsidRDefault="000720C5" w:rsidP="00A351C9">
      <w:pPr>
        <w:spacing w:line="238" w:lineRule="auto"/>
        <w:ind w:left="1134" w:right="260" w:hanging="1134"/>
        <w:jc w:val="both"/>
        <w:rPr>
          <w:rFonts w:ascii="Arial" w:eastAsia="Arial" w:hAnsi="Arial"/>
          <w:b/>
          <w:sz w:val="22"/>
          <w:szCs w:val="22"/>
          <w:lang w:val="es-CR"/>
        </w:rPr>
      </w:pPr>
    </w:p>
    <w:tbl>
      <w:tblPr>
        <w:tblW w:w="9152" w:type="dxa"/>
        <w:tblLook w:val="04A0" w:firstRow="1" w:lastRow="0" w:firstColumn="1" w:lastColumn="0" w:noHBand="0" w:noVBand="1"/>
      </w:tblPr>
      <w:tblGrid>
        <w:gridCol w:w="533"/>
        <w:gridCol w:w="617"/>
        <w:gridCol w:w="513"/>
        <w:gridCol w:w="3289"/>
        <w:gridCol w:w="2126"/>
        <w:gridCol w:w="2063"/>
        <w:gridCol w:w="11"/>
      </w:tblGrid>
      <w:tr w:rsidR="004807F2" w:rsidRPr="0098697B" w14:paraId="5AFFD177" w14:textId="77777777" w:rsidTr="004807F2">
        <w:trPr>
          <w:trHeight w:val="320"/>
        </w:trPr>
        <w:tc>
          <w:tcPr>
            <w:tcW w:w="166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D392B9F" w14:textId="77777777" w:rsidR="004807F2" w:rsidRPr="0098697B" w:rsidRDefault="004807F2" w:rsidP="004807F2">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 / Política</w:t>
            </w:r>
          </w:p>
        </w:tc>
        <w:tc>
          <w:tcPr>
            <w:tcW w:w="3289" w:type="dxa"/>
            <w:vMerge w:val="restart"/>
            <w:tcBorders>
              <w:top w:val="nil"/>
              <w:left w:val="single" w:sz="8" w:space="0" w:color="auto"/>
              <w:bottom w:val="nil"/>
              <w:right w:val="single" w:sz="8" w:space="0" w:color="auto"/>
            </w:tcBorders>
            <w:shd w:val="clear" w:color="000000" w:fill="203764"/>
            <w:vAlign w:val="center"/>
            <w:hideMark/>
          </w:tcPr>
          <w:p w14:paraId="154B7CB5" w14:textId="77777777" w:rsidR="004807F2" w:rsidRPr="0098697B" w:rsidRDefault="004807F2" w:rsidP="004807F2">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Concepto</w:t>
            </w:r>
          </w:p>
        </w:tc>
        <w:tc>
          <w:tcPr>
            <w:tcW w:w="4200" w:type="dxa"/>
            <w:gridSpan w:val="3"/>
            <w:tcBorders>
              <w:top w:val="nil"/>
              <w:left w:val="nil"/>
              <w:bottom w:val="single" w:sz="8" w:space="0" w:color="auto"/>
              <w:right w:val="single" w:sz="8" w:space="0" w:color="000000"/>
            </w:tcBorders>
            <w:shd w:val="clear" w:color="000000" w:fill="203764"/>
            <w:vAlign w:val="center"/>
            <w:hideMark/>
          </w:tcPr>
          <w:p w14:paraId="0BFBEEAB" w14:textId="77777777" w:rsidR="004807F2" w:rsidRPr="0098697B" w:rsidRDefault="004807F2" w:rsidP="004807F2">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Referencia</w:t>
            </w:r>
          </w:p>
        </w:tc>
      </w:tr>
      <w:tr w:rsidR="004807F2" w:rsidRPr="0071104F" w14:paraId="052564D4" w14:textId="77777777" w:rsidTr="004807F2">
        <w:trPr>
          <w:gridAfter w:val="1"/>
          <w:wAfter w:w="11" w:type="dxa"/>
          <w:trHeight w:val="320"/>
        </w:trPr>
        <w:tc>
          <w:tcPr>
            <w:tcW w:w="1663" w:type="dxa"/>
            <w:gridSpan w:val="3"/>
            <w:vMerge/>
            <w:tcBorders>
              <w:top w:val="single" w:sz="8" w:space="0" w:color="auto"/>
              <w:left w:val="single" w:sz="8" w:space="0" w:color="auto"/>
              <w:bottom w:val="nil"/>
              <w:right w:val="single" w:sz="8" w:space="0" w:color="000000"/>
            </w:tcBorders>
            <w:vAlign w:val="center"/>
            <w:hideMark/>
          </w:tcPr>
          <w:p w14:paraId="231396AD" w14:textId="77777777" w:rsidR="004807F2" w:rsidRPr="0098697B" w:rsidRDefault="004807F2" w:rsidP="004807F2">
            <w:pPr>
              <w:rPr>
                <w:rFonts w:ascii="Arial Narrow" w:eastAsia="Times New Roman" w:hAnsi="Arial Narrow"/>
                <w:b/>
                <w:bCs/>
                <w:color w:val="FFFFFF"/>
                <w:sz w:val="22"/>
                <w:szCs w:val="22"/>
              </w:rPr>
            </w:pPr>
          </w:p>
        </w:tc>
        <w:tc>
          <w:tcPr>
            <w:tcW w:w="3289" w:type="dxa"/>
            <w:vMerge/>
            <w:tcBorders>
              <w:top w:val="nil"/>
              <w:left w:val="single" w:sz="8" w:space="0" w:color="auto"/>
              <w:bottom w:val="nil"/>
              <w:right w:val="single" w:sz="8" w:space="0" w:color="auto"/>
            </w:tcBorders>
            <w:vAlign w:val="center"/>
            <w:hideMark/>
          </w:tcPr>
          <w:p w14:paraId="41883986" w14:textId="77777777" w:rsidR="004807F2" w:rsidRPr="0098697B" w:rsidRDefault="004807F2" w:rsidP="004807F2">
            <w:pPr>
              <w:rPr>
                <w:rFonts w:ascii="Arial Narrow" w:eastAsia="Times New Roman" w:hAnsi="Arial Narrow"/>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221398E2" w14:textId="77777777" w:rsidR="004807F2" w:rsidRPr="0098697B" w:rsidRDefault="004807F2" w:rsidP="004807F2">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w:t>
            </w:r>
          </w:p>
        </w:tc>
        <w:tc>
          <w:tcPr>
            <w:tcW w:w="2063" w:type="dxa"/>
            <w:tcBorders>
              <w:top w:val="nil"/>
              <w:left w:val="nil"/>
              <w:bottom w:val="nil"/>
              <w:right w:val="single" w:sz="8" w:space="0" w:color="auto"/>
            </w:tcBorders>
            <w:shd w:val="clear" w:color="000000" w:fill="203764"/>
            <w:vAlign w:val="center"/>
            <w:hideMark/>
          </w:tcPr>
          <w:p w14:paraId="64DCC95A" w14:textId="09FAFDE5" w:rsidR="004807F2" w:rsidRPr="0071104F" w:rsidRDefault="0071104F" w:rsidP="004807F2">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807F2" w:rsidRPr="0098697B" w14:paraId="5E57B91B" w14:textId="77777777" w:rsidTr="004807F2">
        <w:trPr>
          <w:gridAfter w:val="1"/>
          <w:wAfter w:w="11" w:type="dxa"/>
          <w:trHeight w:val="443"/>
        </w:trPr>
        <w:tc>
          <w:tcPr>
            <w:tcW w:w="533" w:type="dxa"/>
            <w:tcBorders>
              <w:top w:val="nil"/>
              <w:left w:val="single" w:sz="8" w:space="0" w:color="auto"/>
              <w:bottom w:val="single" w:sz="8" w:space="0" w:color="auto"/>
              <w:right w:val="single" w:sz="8" w:space="0" w:color="auto"/>
            </w:tcBorders>
            <w:shd w:val="clear" w:color="auto" w:fill="auto"/>
            <w:vAlign w:val="center"/>
            <w:hideMark/>
          </w:tcPr>
          <w:p w14:paraId="0699D869"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vAlign w:val="center"/>
            <w:hideMark/>
          </w:tcPr>
          <w:p w14:paraId="570FDAE2"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105</w:t>
            </w:r>
          </w:p>
        </w:tc>
        <w:tc>
          <w:tcPr>
            <w:tcW w:w="513" w:type="dxa"/>
            <w:tcBorders>
              <w:top w:val="nil"/>
              <w:left w:val="nil"/>
              <w:bottom w:val="single" w:sz="8" w:space="0" w:color="auto"/>
              <w:right w:val="single" w:sz="8" w:space="0" w:color="auto"/>
            </w:tcBorders>
            <w:shd w:val="clear" w:color="auto" w:fill="auto"/>
            <w:vAlign w:val="center"/>
            <w:hideMark/>
          </w:tcPr>
          <w:p w14:paraId="164CE66C"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w:t>
            </w:r>
          </w:p>
        </w:tc>
        <w:tc>
          <w:tcPr>
            <w:tcW w:w="3289" w:type="dxa"/>
            <w:tcBorders>
              <w:top w:val="single" w:sz="8" w:space="0" w:color="auto"/>
              <w:left w:val="nil"/>
              <w:bottom w:val="single" w:sz="8" w:space="0" w:color="auto"/>
              <w:right w:val="single" w:sz="8" w:space="0" w:color="auto"/>
            </w:tcBorders>
            <w:shd w:val="clear" w:color="auto" w:fill="auto"/>
            <w:vAlign w:val="center"/>
            <w:hideMark/>
          </w:tcPr>
          <w:p w14:paraId="1F307A4E" w14:textId="77777777"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Modelo de revaluación</w:t>
            </w:r>
          </w:p>
        </w:tc>
        <w:tc>
          <w:tcPr>
            <w:tcW w:w="2126" w:type="dxa"/>
            <w:tcBorders>
              <w:top w:val="nil"/>
              <w:left w:val="nil"/>
              <w:bottom w:val="single" w:sz="8" w:space="0" w:color="auto"/>
              <w:right w:val="single" w:sz="8" w:space="0" w:color="auto"/>
            </w:tcBorders>
            <w:shd w:val="clear" w:color="auto" w:fill="auto"/>
            <w:vAlign w:val="center"/>
            <w:hideMark/>
          </w:tcPr>
          <w:p w14:paraId="36A16D57" w14:textId="77777777" w:rsid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NICSP N° 17, </w:t>
            </w:r>
          </w:p>
          <w:p w14:paraId="21D0B73D" w14:textId="573C1293"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Párrafos 44 y 51.</w:t>
            </w:r>
          </w:p>
        </w:tc>
        <w:tc>
          <w:tcPr>
            <w:tcW w:w="2063" w:type="dxa"/>
            <w:tcBorders>
              <w:top w:val="single" w:sz="8" w:space="0" w:color="auto"/>
              <w:left w:val="nil"/>
              <w:bottom w:val="single" w:sz="8" w:space="0" w:color="auto"/>
              <w:right w:val="single" w:sz="8" w:space="0" w:color="auto"/>
            </w:tcBorders>
            <w:shd w:val="clear" w:color="auto" w:fill="auto"/>
            <w:vAlign w:val="center"/>
            <w:hideMark/>
          </w:tcPr>
          <w:p w14:paraId="5F125BC7" w14:textId="77777777" w:rsidR="004807F2" w:rsidRPr="0098697B" w:rsidRDefault="004807F2" w:rsidP="004807F2">
            <w:pPr>
              <w:rPr>
                <w:rFonts w:ascii="Arial Narrow" w:eastAsia="Times New Roman" w:hAnsi="Arial Narrow"/>
                <w:color w:val="000000"/>
                <w:sz w:val="22"/>
                <w:szCs w:val="22"/>
              </w:rPr>
            </w:pPr>
            <w:r w:rsidRPr="0098697B">
              <w:rPr>
                <w:rFonts w:ascii="Arial Narrow" w:eastAsia="Times New Roman" w:hAnsi="Arial Narrow"/>
                <w:color w:val="000000"/>
                <w:sz w:val="22"/>
                <w:szCs w:val="22"/>
              </w:rPr>
              <w:t> </w:t>
            </w:r>
          </w:p>
        </w:tc>
      </w:tr>
      <w:tr w:rsidR="004807F2" w:rsidRPr="0098697B" w14:paraId="423AC845" w14:textId="77777777" w:rsidTr="004807F2">
        <w:trPr>
          <w:gridAfter w:val="1"/>
          <w:wAfter w:w="11" w:type="dxa"/>
          <w:trHeight w:val="379"/>
        </w:trPr>
        <w:tc>
          <w:tcPr>
            <w:tcW w:w="533" w:type="dxa"/>
            <w:tcBorders>
              <w:top w:val="nil"/>
              <w:left w:val="single" w:sz="8" w:space="0" w:color="auto"/>
              <w:bottom w:val="single" w:sz="8" w:space="0" w:color="auto"/>
              <w:right w:val="single" w:sz="8" w:space="0" w:color="auto"/>
            </w:tcBorders>
            <w:shd w:val="clear" w:color="auto" w:fill="auto"/>
            <w:vAlign w:val="center"/>
            <w:hideMark/>
          </w:tcPr>
          <w:p w14:paraId="66653C83"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vAlign w:val="center"/>
            <w:hideMark/>
          </w:tcPr>
          <w:p w14:paraId="54CF6985"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105</w:t>
            </w:r>
          </w:p>
        </w:tc>
        <w:tc>
          <w:tcPr>
            <w:tcW w:w="513" w:type="dxa"/>
            <w:tcBorders>
              <w:top w:val="nil"/>
              <w:left w:val="nil"/>
              <w:bottom w:val="single" w:sz="8" w:space="0" w:color="auto"/>
              <w:right w:val="single" w:sz="8" w:space="0" w:color="auto"/>
            </w:tcBorders>
            <w:shd w:val="clear" w:color="auto" w:fill="auto"/>
            <w:vAlign w:val="center"/>
            <w:hideMark/>
          </w:tcPr>
          <w:p w14:paraId="340FFDCA"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3289" w:type="dxa"/>
            <w:tcBorders>
              <w:top w:val="nil"/>
              <w:left w:val="nil"/>
              <w:bottom w:val="single" w:sz="8" w:space="0" w:color="auto"/>
              <w:right w:val="single" w:sz="8" w:space="0" w:color="auto"/>
            </w:tcBorders>
            <w:shd w:val="clear" w:color="auto" w:fill="auto"/>
            <w:vAlign w:val="center"/>
            <w:hideMark/>
          </w:tcPr>
          <w:p w14:paraId="64880C7E" w14:textId="77777777"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Frecuencia de las revaluaciones</w:t>
            </w:r>
          </w:p>
        </w:tc>
        <w:tc>
          <w:tcPr>
            <w:tcW w:w="2126" w:type="dxa"/>
            <w:tcBorders>
              <w:top w:val="nil"/>
              <w:left w:val="nil"/>
              <w:bottom w:val="single" w:sz="8" w:space="0" w:color="auto"/>
              <w:right w:val="single" w:sz="8" w:space="0" w:color="auto"/>
            </w:tcBorders>
            <w:shd w:val="clear" w:color="auto" w:fill="auto"/>
            <w:vAlign w:val="center"/>
            <w:hideMark/>
          </w:tcPr>
          <w:p w14:paraId="2FB41B7E" w14:textId="77777777" w:rsidR="0098697B" w:rsidRDefault="004807F2" w:rsidP="004807F2">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NICSP N° 17, </w:t>
            </w:r>
          </w:p>
          <w:p w14:paraId="52541D02" w14:textId="69EC7792" w:rsidR="004807F2" w:rsidRPr="0098697B" w:rsidRDefault="004807F2" w:rsidP="004807F2">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Párrafos 44 y 49.</w:t>
            </w:r>
          </w:p>
        </w:tc>
        <w:tc>
          <w:tcPr>
            <w:tcW w:w="2063" w:type="dxa"/>
            <w:tcBorders>
              <w:top w:val="nil"/>
              <w:left w:val="nil"/>
              <w:bottom w:val="single" w:sz="8" w:space="0" w:color="auto"/>
              <w:right w:val="single" w:sz="8" w:space="0" w:color="auto"/>
            </w:tcBorders>
            <w:shd w:val="clear" w:color="auto" w:fill="auto"/>
            <w:vAlign w:val="center"/>
            <w:hideMark/>
          </w:tcPr>
          <w:p w14:paraId="7FE9AA64" w14:textId="77777777" w:rsidR="004807F2" w:rsidRPr="0098697B" w:rsidRDefault="004807F2" w:rsidP="004807F2">
            <w:pPr>
              <w:ind w:firstLineChars="100" w:firstLine="220"/>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DGCN</w:t>
            </w:r>
          </w:p>
        </w:tc>
      </w:tr>
      <w:tr w:rsidR="004807F2" w:rsidRPr="0098697B" w14:paraId="0E9856B9" w14:textId="77777777" w:rsidTr="004807F2">
        <w:trPr>
          <w:gridAfter w:val="1"/>
          <w:wAfter w:w="11" w:type="dxa"/>
          <w:trHeight w:val="613"/>
        </w:trPr>
        <w:tc>
          <w:tcPr>
            <w:tcW w:w="533" w:type="dxa"/>
            <w:tcBorders>
              <w:top w:val="nil"/>
              <w:left w:val="single" w:sz="8" w:space="0" w:color="auto"/>
              <w:bottom w:val="single" w:sz="8" w:space="0" w:color="auto"/>
              <w:right w:val="single" w:sz="8" w:space="0" w:color="auto"/>
            </w:tcBorders>
            <w:shd w:val="clear" w:color="auto" w:fill="auto"/>
            <w:vAlign w:val="center"/>
            <w:hideMark/>
          </w:tcPr>
          <w:p w14:paraId="6421E857"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lastRenderedPageBreak/>
              <w:t>1</w:t>
            </w:r>
          </w:p>
        </w:tc>
        <w:tc>
          <w:tcPr>
            <w:tcW w:w="617" w:type="dxa"/>
            <w:tcBorders>
              <w:top w:val="nil"/>
              <w:left w:val="nil"/>
              <w:bottom w:val="single" w:sz="8" w:space="0" w:color="auto"/>
              <w:right w:val="single" w:sz="8" w:space="0" w:color="auto"/>
            </w:tcBorders>
            <w:shd w:val="clear" w:color="auto" w:fill="auto"/>
            <w:vAlign w:val="center"/>
            <w:hideMark/>
          </w:tcPr>
          <w:p w14:paraId="03DB3351"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105</w:t>
            </w:r>
          </w:p>
        </w:tc>
        <w:tc>
          <w:tcPr>
            <w:tcW w:w="513" w:type="dxa"/>
            <w:tcBorders>
              <w:top w:val="nil"/>
              <w:left w:val="nil"/>
              <w:bottom w:val="single" w:sz="8" w:space="0" w:color="auto"/>
              <w:right w:val="single" w:sz="8" w:space="0" w:color="auto"/>
            </w:tcBorders>
            <w:shd w:val="clear" w:color="auto" w:fill="auto"/>
            <w:vAlign w:val="center"/>
            <w:hideMark/>
          </w:tcPr>
          <w:p w14:paraId="0B4C5883"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2</w:t>
            </w:r>
          </w:p>
        </w:tc>
        <w:tc>
          <w:tcPr>
            <w:tcW w:w="3289" w:type="dxa"/>
            <w:tcBorders>
              <w:top w:val="nil"/>
              <w:left w:val="nil"/>
              <w:bottom w:val="single" w:sz="8" w:space="0" w:color="auto"/>
              <w:right w:val="single" w:sz="8" w:space="0" w:color="auto"/>
            </w:tcBorders>
            <w:shd w:val="clear" w:color="auto" w:fill="auto"/>
            <w:vAlign w:val="center"/>
            <w:hideMark/>
          </w:tcPr>
          <w:p w14:paraId="0AEC41E8" w14:textId="77777777" w:rsidR="004807F2" w:rsidRPr="0098697B" w:rsidRDefault="004807F2" w:rsidP="004807F2">
            <w:pPr>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Valor razonable a efectos de la revaluación.</w:t>
            </w:r>
          </w:p>
        </w:tc>
        <w:tc>
          <w:tcPr>
            <w:tcW w:w="2126" w:type="dxa"/>
            <w:tcBorders>
              <w:top w:val="nil"/>
              <w:left w:val="nil"/>
              <w:bottom w:val="single" w:sz="8" w:space="0" w:color="auto"/>
              <w:right w:val="single" w:sz="8" w:space="0" w:color="auto"/>
            </w:tcBorders>
            <w:shd w:val="clear" w:color="auto" w:fill="auto"/>
            <w:vAlign w:val="center"/>
            <w:hideMark/>
          </w:tcPr>
          <w:p w14:paraId="3C9A5CA6" w14:textId="77777777" w:rsid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NICSP N° 17, </w:t>
            </w:r>
          </w:p>
          <w:p w14:paraId="24A90A1F" w14:textId="2B8F897D"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Párrafos 45.</w:t>
            </w:r>
          </w:p>
        </w:tc>
        <w:tc>
          <w:tcPr>
            <w:tcW w:w="2063" w:type="dxa"/>
            <w:tcBorders>
              <w:top w:val="nil"/>
              <w:left w:val="nil"/>
              <w:bottom w:val="single" w:sz="8" w:space="0" w:color="auto"/>
              <w:right w:val="single" w:sz="8" w:space="0" w:color="auto"/>
            </w:tcBorders>
            <w:shd w:val="clear" w:color="auto" w:fill="auto"/>
            <w:vAlign w:val="center"/>
            <w:hideMark/>
          </w:tcPr>
          <w:p w14:paraId="03F5FA84" w14:textId="77777777" w:rsidR="004807F2" w:rsidRPr="0098697B" w:rsidRDefault="004807F2" w:rsidP="004807F2">
            <w:pPr>
              <w:ind w:firstLineChars="100" w:firstLine="220"/>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r>
      <w:tr w:rsidR="004807F2" w:rsidRPr="0098697B" w14:paraId="3CEB3BE5" w14:textId="77777777" w:rsidTr="004807F2">
        <w:trPr>
          <w:gridAfter w:val="1"/>
          <w:wAfter w:w="11" w:type="dxa"/>
          <w:trHeight w:val="537"/>
        </w:trPr>
        <w:tc>
          <w:tcPr>
            <w:tcW w:w="533" w:type="dxa"/>
            <w:tcBorders>
              <w:top w:val="nil"/>
              <w:left w:val="single" w:sz="8" w:space="0" w:color="auto"/>
              <w:bottom w:val="single" w:sz="8" w:space="0" w:color="auto"/>
              <w:right w:val="single" w:sz="8" w:space="0" w:color="auto"/>
            </w:tcBorders>
            <w:shd w:val="clear" w:color="auto" w:fill="auto"/>
            <w:vAlign w:val="center"/>
            <w:hideMark/>
          </w:tcPr>
          <w:p w14:paraId="0543B69A"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vAlign w:val="center"/>
            <w:hideMark/>
          </w:tcPr>
          <w:p w14:paraId="11C0D8B0"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105</w:t>
            </w:r>
          </w:p>
        </w:tc>
        <w:tc>
          <w:tcPr>
            <w:tcW w:w="513" w:type="dxa"/>
            <w:tcBorders>
              <w:top w:val="nil"/>
              <w:left w:val="nil"/>
              <w:bottom w:val="single" w:sz="8" w:space="0" w:color="auto"/>
              <w:right w:val="single" w:sz="8" w:space="0" w:color="auto"/>
            </w:tcBorders>
            <w:shd w:val="clear" w:color="auto" w:fill="auto"/>
            <w:vAlign w:val="center"/>
            <w:hideMark/>
          </w:tcPr>
          <w:p w14:paraId="2E4587E5"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3</w:t>
            </w:r>
          </w:p>
        </w:tc>
        <w:tc>
          <w:tcPr>
            <w:tcW w:w="3289" w:type="dxa"/>
            <w:tcBorders>
              <w:top w:val="nil"/>
              <w:left w:val="nil"/>
              <w:bottom w:val="single" w:sz="8" w:space="0" w:color="auto"/>
              <w:right w:val="single" w:sz="8" w:space="0" w:color="auto"/>
            </w:tcBorders>
            <w:shd w:val="clear" w:color="auto" w:fill="auto"/>
            <w:vAlign w:val="center"/>
            <w:hideMark/>
          </w:tcPr>
          <w:p w14:paraId="3C7B1942" w14:textId="77777777"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Activos con caracteristicas similares</w:t>
            </w:r>
          </w:p>
        </w:tc>
        <w:tc>
          <w:tcPr>
            <w:tcW w:w="2126" w:type="dxa"/>
            <w:tcBorders>
              <w:top w:val="nil"/>
              <w:left w:val="nil"/>
              <w:bottom w:val="single" w:sz="8" w:space="0" w:color="auto"/>
              <w:right w:val="single" w:sz="8" w:space="0" w:color="auto"/>
            </w:tcBorders>
            <w:shd w:val="clear" w:color="auto" w:fill="auto"/>
            <w:vAlign w:val="center"/>
            <w:hideMark/>
          </w:tcPr>
          <w:p w14:paraId="3E33E5A0" w14:textId="77777777" w:rsid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NICSP N° 17, </w:t>
            </w:r>
          </w:p>
          <w:p w14:paraId="5984D43D" w14:textId="08E116C9"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Párrafos 47 y 48.</w:t>
            </w:r>
          </w:p>
        </w:tc>
        <w:tc>
          <w:tcPr>
            <w:tcW w:w="2063" w:type="dxa"/>
            <w:tcBorders>
              <w:top w:val="nil"/>
              <w:left w:val="nil"/>
              <w:bottom w:val="single" w:sz="8" w:space="0" w:color="auto"/>
              <w:right w:val="single" w:sz="8" w:space="0" w:color="auto"/>
            </w:tcBorders>
            <w:shd w:val="clear" w:color="auto" w:fill="auto"/>
            <w:vAlign w:val="center"/>
            <w:hideMark/>
          </w:tcPr>
          <w:p w14:paraId="57CF0B24" w14:textId="77777777" w:rsidR="004807F2" w:rsidRPr="0098697B" w:rsidRDefault="004807F2" w:rsidP="004807F2">
            <w:pPr>
              <w:ind w:firstLineChars="100" w:firstLine="220"/>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r>
      <w:tr w:rsidR="004807F2" w:rsidRPr="0098697B" w14:paraId="25EEF649" w14:textId="77777777" w:rsidTr="00865AC5">
        <w:trPr>
          <w:gridAfter w:val="1"/>
          <w:wAfter w:w="11" w:type="dxa"/>
          <w:trHeight w:val="275"/>
        </w:trPr>
        <w:tc>
          <w:tcPr>
            <w:tcW w:w="533" w:type="dxa"/>
            <w:tcBorders>
              <w:top w:val="nil"/>
              <w:left w:val="single" w:sz="8" w:space="0" w:color="auto"/>
              <w:bottom w:val="single" w:sz="8" w:space="0" w:color="auto"/>
              <w:right w:val="single" w:sz="8" w:space="0" w:color="auto"/>
            </w:tcBorders>
            <w:shd w:val="clear" w:color="auto" w:fill="auto"/>
            <w:vAlign w:val="center"/>
            <w:hideMark/>
          </w:tcPr>
          <w:p w14:paraId="27659589"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vAlign w:val="center"/>
            <w:hideMark/>
          </w:tcPr>
          <w:p w14:paraId="7F267E56"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105</w:t>
            </w:r>
          </w:p>
        </w:tc>
        <w:tc>
          <w:tcPr>
            <w:tcW w:w="513" w:type="dxa"/>
            <w:tcBorders>
              <w:top w:val="nil"/>
              <w:left w:val="nil"/>
              <w:bottom w:val="single" w:sz="8" w:space="0" w:color="auto"/>
              <w:right w:val="single" w:sz="8" w:space="0" w:color="auto"/>
            </w:tcBorders>
            <w:shd w:val="clear" w:color="auto" w:fill="auto"/>
            <w:vAlign w:val="center"/>
            <w:hideMark/>
          </w:tcPr>
          <w:p w14:paraId="02C993B8"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4</w:t>
            </w:r>
          </w:p>
        </w:tc>
        <w:tc>
          <w:tcPr>
            <w:tcW w:w="3289" w:type="dxa"/>
            <w:tcBorders>
              <w:top w:val="nil"/>
              <w:left w:val="nil"/>
              <w:bottom w:val="single" w:sz="8" w:space="0" w:color="auto"/>
              <w:right w:val="single" w:sz="8" w:space="0" w:color="auto"/>
            </w:tcBorders>
            <w:shd w:val="clear" w:color="auto" w:fill="auto"/>
            <w:vAlign w:val="center"/>
            <w:hideMark/>
          </w:tcPr>
          <w:p w14:paraId="0A34B1AB" w14:textId="77777777"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Costo de reposición depreciado</w:t>
            </w:r>
          </w:p>
        </w:tc>
        <w:tc>
          <w:tcPr>
            <w:tcW w:w="2126" w:type="dxa"/>
            <w:tcBorders>
              <w:top w:val="nil"/>
              <w:left w:val="nil"/>
              <w:bottom w:val="single" w:sz="8" w:space="0" w:color="auto"/>
              <w:right w:val="single" w:sz="8" w:space="0" w:color="auto"/>
            </w:tcBorders>
            <w:shd w:val="clear" w:color="auto" w:fill="auto"/>
            <w:vAlign w:val="center"/>
            <w:hideMark/>
          </w:tcPr>
          <w:p w14:paraId="2290ACF7" w14:textId="77777777" w:rsidR="004807F2" w:rsidRPr="0098697B" w:rsidRDefault="004807F2" w:rsidP="004807F2">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2063" w:type="dxa"/>
            <w:tcBorders>
              <w:top w:val="nil"/>
              <w:left w:val="nil"/>
              <w:bottom w:val="single" w:sz="8" w:space="0" w:color="auto"/>
              <w:right w:val="single" w:sz="8" w:space="0" w:color="auto"/>
            </w:tcBorders>
            <w:shd w:val="clear" w:color="auto" w:fill="auto"/>
            <w:vAlign w:val="center"/>
            <w:hideMark/>
          </w:tcPr>
          <w:p w14:paraId="234840E9" w14:textId="77777777" w:rsidR="004807F2" w:rsidRPr="0098697B" w:rsidRDefault="004807F2" w:rsidP="004807F2">
            <w:pPr>
              <w:ind w:firstLineChars="100" w:firstLine="220"/>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r>
      <w:tr w:rsidR="004807F2" w:rsidRPr="0098697B" w14:paraId="7F82E2F6" w14:textId="77777777" w:rsidTr="004807F2">
        <w:trPr>
          <w:gridAfter w:val="1"/>
          <w:wAfter w:w="11" w:type="dxa"/>
          <w:trHeight w:val="320"/>
        </w:trPr>
        <w:tc>
          <w:tcPr>
            <w:tcW w:w="533" w:type="dxa"/>
            <w:tcBorders>
              <w:top w:val="nil"/>
              <w:left w:val="single" w:sz="8" w:space="0" w:color="auto"/>
              <w:bottom w:val="single" w:sz="8" w:space="0" w:color="auto"/>
              <w:right w:val="single" w:sz="8" w:space="0" w:color="auto"/>
            </w:tcBorders>
            <w:shd w:val="clear" w:color="auto" w:fill="auto"/>
            <w:vAlign w:val="center"/>
            <w:hideMark/>
          </w:tcPr>
          <w:p w14:paraId="5B6B233A"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vAlign w:val="center"/>
            <w:hideMark/>
          </w:tcPr>
          <w:p w14:paraId="38333BF4"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105</w:t>
            </w:r>
          </w:p>
        </w:tc>
        <w:tc>
          <w:tcPr>
            <w:tcW w:w="513" w:type="dxa"/>
            <w:tcBorders>
              <w:top w:val="nil"/>
              <w:left w:val="nil"/>
              <w:bottom w:val="single" w:sz="8" w:space="0" w:color="auto"/>
              <w:right w:val="single" w:sz="8" w:space="0" w:color="auto"/>
            </w:tcBorders>
            <w:shd w:val="clear" w:color="auto" w:fill="auto"/>
            <w:vAlign w:val="center"/>
            <w:hideMark/>
          </w:tcPr>
          <w:p w14:paraId="208FD390"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5</w:t>
            </w:r>
          </w:p>
        </w:tc>
        <w:tc>
          <w:tcPr>
            <w:tcW w:w="3289" w:type="dxa"/>
            <w:tcBorders>
              <w:top w:val="nil"/>
              <w:left w:val="nil"/>
              <w:bottom w:val="single" w:sz="8" w:space="0" w:color="auto"/>
              <w:right w:val="single" w:sz="8" w:space="0" w:color="auto"/>
            </w:tcBorders>
            <w:shd w:val="clear" w:color="auto" w:fill="auto"/>
            <w:vAlign w:val="center"/>
            <w:hideMark/>
          </w:tcPr>
          <w:p w14:paraId="48B3FF92" w14:textId="77777777"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Información a revelar</w:t>
            </w:r>
          </w:p>
        </w:tc>
        <w:tc>
          <w:tcPr>
            <w:tcW w:w="2126" w:type="dxa"/>
            <w:tcBorders>
              <w:top w:val="nil"/>
              <w:left w:val="nil"/>
              <w:bottom w:val="single" w:sz="8" w:space="0" w:color="auto"/>
              <w:right w:val="single" w:sz="8" w:space="0" w:color="auto"/>
            </w:tcBorders>
            <w:shd w:val="clear" w:color="auto" w:fill="auto"/>
            <w:vAlign w:val="center"/>
            <w:hideMark/>
          </w:tcPr>
          <w:p w14:paraId="3C607016" w14:textId="77777777" w:rsidR="004807F2" w:rsidRPr="0098697B" w:rsidRDefault="004807F2" w:rsidP="004807F2">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2063" w:type="dxa"/>
            <w:tcBorders>
              <w:top w:val="nil"/>
              <w:left w:val="nil"/>
              <w:bottom w:val="single" w:sz="8" w:space="0" w:color="auto"/>
              <w:right w:val="single" w:sz="8" w:space="0" w:color="auto"/>
            </w:tcBorders>
            <w:shd w:val="clear" w:color="auto" w:fill="auto"/>
            <w:vAlign w:val="center"/>
            <w:hideMark/>
          </w:tcPr>
          <w:p w14:paraId="5AB8D2FC" w14:textId="77777777" w:rsidR="004807F2" w:rsidRPr="0098697B" w:rsidRDefault="004807F2" w:rsidP="004807F2">
            <w:pPr>
              <w:ind w:firstLineChars="100" w:firstLine="220"/>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r>
      <w:tr w:rsidR="004807F2" w:rsidRPr="0098697B" w14:paraId="3D5E1DF9" w14:textId="77777777" w:rsidTr="004807F2">
        <w:trPr>
          <w:gridAfter w:val="1"/>
          <w:wAfter w:w="11" w:type="dxa"/>
          <w:trHeight w:val="320"/>
        </w:trPr>
        <w:tc>
          <w:tcPr>
            <w:tcW w:w="533" w:type="dxa"/>
            <w:tcBorders>
              <w:top w:val="nil"/>
              <w:left w:val="single" w:sz="8" w:space="0" w:color="auto"/>
              <w:bottom w:val="single" w:sz="8" w:space="0" w:color="auto"/>
              <w:right w:val="single" w:sz="8" w:space="0" w:color="auto"/>
            </w:tcBorders>
            <w:shd w:val="clear" w:color="auto" w:fill="auto"/>
            <w:vAlign w:val="center"/>
            <w:hideMark/>
          </w:tcPr>
          <w:p w14:paraId="5B49FA44"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vAlign w:val="center"/>
            <w:hideMark/>
          </w:tcPr>
          <w:p w14:paraId="4012E921"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105</w:t>
            </w:r>
          </w:p>
        </w:tc>
        <w:tc>
          <w:tcPr>
            <w:tcW w:w="513" w:type="dxa"/>
            <w:tcBorders>
              <w:top w:val="nil"/>
              <w:left w:val="nil"/>
              <w:bottom w:val="single" w:sz="8" w:space="0" w:color="auto"/>
              <w:right w:val="single" w:sz="8" w:space="0" w:color="auto"/>
            </w:tcBorders>
            <w:shd w:val="clear" w:color="auto" w:fill="auto"/>
            <w:vAlign w:val="center"/>
            <w:hideMark/>
          </w:tcPr>
          <w:p w14:paraId="30867C71"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6</w:t>
            </w:r>
          </w:p>
        </w:tc>
        <w:tc>
          <w:tcPr>
            <w:tcW w:w="3289" w:type="dxa"/>
            <w:tcBorders>
              <w:top w:val="nil"/>
              <w:left w:val="nil"/>
              <w:bottom w:val="single" w:sz="8" w:space="0" w:color="auto"/>
              <w:right w:val="single" w:sz="8" w:space="0" w:color="auto"/>
            </w:tcBorders>
            <w:shd w:val="clear" w:color="auto" w:fill="auto"/>
            <w:vAlign w:val="center"/>
            <w:hideMark/>
          </w:tcPr>
          <w:p w14:paraId="3260D2A5" w14:textId="77777777"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Tasador</w:t>
            </w:r>
          </w:p>
        </w:tc>
        <w:tc>
          <w:tcPr>
            <w:tcW w:w="2126" w:type="dxa"/>
            <w:tcBorders>
              <w:top w:val="nil"/>
              <w:left w:val="nil"/>
              <w:bottom w:val="single" w:sz="8" w:space="0" w:color="auto"/>
              <w:right w:val="single" w:sz="8" w:space="0" w:color="auto"/>
            </w:tcBorders>
            <w:shd w:val="clear" w:color="auto" w:fill="auto"/>
            <w:vAlign w:val="center"/>
            <w:hideMark/>
          </w:tcPr>
          <w:p w14:paraId="477DC461" w14:textId="77777777" w:rsidR="004807F2" w:rsidRPr="0098697B" w:rsidRDefault="004807F2" w:rsidP="004807F2">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2063" w:type="dxa"/>
            <w:tcBorders>
              <w:top w:val="nil"/>
              <w:left w:val="nil"/>
              <w:bottom w:val="single" w:sz="8" w:space="0" w:color="auto"/>
              <w:right w:val="single" w:sz="8" w:space="0" w:color="auto"/>
            </w:tcBorders>
            <w:shd w:val="clear" w:color="auto" w:fill="auto"/>
            <w:vAlign w:val="center"/>
            <w:hideMark/>
          </w:tcPr>
          <w:p w14:paraId="3EE39F2C" w14:textId="77777777" w:rsidR="004807F2" w:rsidRPr="0098697B" w:rsidRDefault="004807F2" w:rsidP="004807F2">
            <w:pPr>
              <w:ind w:firstLineChars="100" w:firstLine="220"/>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DGCN</w:t>
            </w:r>
          </w:p>
        </w:tc>
      </w:tr>
      <w:tr w:rsidR="004807F2" w:rsidRPr="0098697B" w14:paraId="3BCA9A2B" w14:textId="77777777" w:rsidTr="004807F2">
        <w:trPr>
          <w:gridAfter w:val="1"/>
          <w:wAfter w:w="11" w:type="dxa"/>
          <w:trHeight w:val="423"/>
        </w:trPr>
        <w:tc>
          <w:tcPr>
            <w:tcW w:w="533" w:type="dxa"/>
            <w:tcBorders>
              <w:top w:val="nil"/>
              <w:left w:val="single" w:sz="8" w:space="0" w:color="auto"/>
              <w:bottom w:val="single" w:sz="8" w:space="0" w:color="auto"/>
              <w:right w:val="single" w:sz="8" w:space="0" w:color="auto"/>
            </w:tcBorders>
            <w:shd w:val="clear" w:color="auto" w:fill="auto"/>
            <w:vAlign w:val="center"/>
            <w:hideMark/>
          </w:tcPr>
          <w:p w14:paraId="5EB09BC4"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vAlign w:val="center"/>
            <w:hideMark/>
          </w:tcPr>
          <w:p w14:paraId="3854A4E4"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105</w:t>
            </w:r>
          </w:p>
        </w:tc>
        <w:tc>
          <w:tcPr>
            <w:tcW w:w="513" w:type="dxa"/>
            <w:tcBorders>
              <w:top w:val="nil"/>
              <w:left w:val="nil"/>
              <w:bottom w:val="single" w:sz="8" w:space="0" w:color="auto"/>
              <w:right w:val="single" w:sz="8" w:space="0" w:color="auto"/>
            </w:tcBorders>
            <w:shd w:val="clear" w:color="auto" w:fill="auto"/>
            <w:vAlign w:val="center"/>
            <w:hideMark/>
          </w:tcPr>
          <w:p w14:paraId="22468DE1" w14:textId="77777777" w:rsidR="004807F2" w:rsidRPr="0098697B" w:rsidRDefault="004807F2" w:rsidP="004807F2">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7</w:t>
            </w:r>
          </w:p>
        </w:tc>
        <w:tc>
          <w:tcPr>
            <w:tcW w:w="3289" w:type="dxa"/>
            <w:tcBorders>
              <w:top w:val="nil"/>
              <w:left w:val="nil"/>
              <w:bottom w:val="single" w:sz="8" w:space="0" w:color="auto"/>
              <w:right w:val="single" w:sz="8" w:space="0" w:color="auto"/>
            </w:tcBorders>
            <w:shd w:val="clear" w:color="auto" w:fill="auto"/>
            <w:vAlign w:val="center"/>
            <w:hideMark/>
          </w:tcPr>
          <w:p w14:paraId="07BDBC6B" w14:textId="77777777" w:rsidR="004807F2" w:rsidRPr="0098697B" w:rsidRDefault="004807F2" w:rsidP="004807F2">
            <w:pPr>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Depreciaciones acumuladas de activos revaluados</w:t>
            </w:r>
          </w:p>
        </w:tc>
        <w:tc>
          <w:tcPr>
            <w:tcW w:w="2126" w:type="dxa"/>
            <w:tcBorders>
              <w:top w:val="nil"/>
              <w:left w:val="nil"/>
              <w:bottom w:val="single" w:sz="8" w:space="0" w:color="auto"/>
              <w:right w:val="single" w:sz="8" w:space="0" w:color="auto"/>
            </w:tcBorders>
            <w:shd w:val="clear" w:color="auto" w:fill="auto"/>
            <w:vAlign w:val="center"/>
            <w:hideMark/>
          </w:tcPr>
          <w:p w14:paraId="70C2A8C1" w14:textId="77777777" w:rsid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NICSP N° 17, </w:t>
            </w:r>
          </w:p>
          <w:p w14:paraId="14F219E2" w14:textId="67FD0556" w:rsidR="004807F2" w:rsidRPr="0098697B" w:rsidRDefault="004807F2" w:rsidP="004807F2">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Párrafos 50.</w:t>
            </w:r>
          </w:p>
        </w:tc>
        <w:tc>
          <w:tcPr>
            <w:tcW w:w="2063" w:type="dxa"/>
            <w:tcBorders>
              <w:top w:val="nil"/>
              <w:left w:val="nil"/>
              <w:bottom w:val="single" w:sz="8" w:space="0" w:color="auto"/>
              <w:right w:val="single" w:sz="8" w:space="0" w:color="auto"/>
            </w:tcBorders>
            <w:shd w:val="clear" w:color="auto" w:fill="auto"/>
            <w:vAlign w:val="center"/>
            <w:hideMark/>
          </w:tcPr>
          <w:p w14:paraId="26D7B1BE" w14:textId="77777777" w:rsidR="004807F2" w:rsidRPr="0098697B" w:rsidRDefault="004807F2" w:rsidP="004807F2">
            <w:pPr>
              <w:ind w:firstLineChars="100" w:firstLine="220"/>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r>
    </w:tbl>
    <w:p w14:paraId="72FA2B34" w14:textId="77777777" w:rsidR="000D26B6" w:rsidRDefault="000D26B6" w:rsidP="00A351C9">
      <w:pPr>
        <w:spacing w:line="238" w:lineRule="auto"/>
        <w:ind w:left="1134" w:right="260" w:hanging="1134"/>
        <w:jc w:val="both"/>
        <w:rPr>
          <w:rFonts w:ascii="Arial" w:eastAsia="Arial" w:hAnsi="Arial"/>
          <w:b/>
          <w:sz w:val="22"/>
          <w:szCs w:val="22"/>
          <w:lang w:val="es-CR"/>
        </w:rPr>
      </w:pPr>
    </w:p>
    <w:p w14:paraId="04E3C29C" w14:textId="30AD9258"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BCC6097"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701B2E56" w14:textId="3923888B" w:rsidR="00865AC5" w:rsidRPr="00F02F9D" w:rsidRDefault="00865AC5" w:rsidP="00AB28DF">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1.105.0.01</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podrá contabilizar por su valor revaluado un activo de propiedades, planta y equipo, cuyo valor razonable pueda ser medido con fiabilidad. Su valor será igual a su valor razonable, en el momento de la revaluación, menos la depreciación y el importe acumulados de las pérdidas por deterioro de valor que haya sufrido.</w:t>
      </w:r>
    </w:p>
    <w:p w14:paraId="5DCD8DE7" w14:textId="77777777" w:rsidR="00865AC5" w:rsidRPr="00F02F9D" w:rsidRDefault="00865AC5" w:rsidP="00AB28DF">
      <w:pPr>
        <w:spacing w:line="288" w:lineRule="exact"/>
        <w:ind w:left="1134" w:hanging="1134"/>
        <w:rPr>
          <w:rFonts w:ascii="Arial" w:eastAsia="Times New Roman" w:hAnsi="Arial"/>
          <w:bCs/>
          <w:sz w:val="22"/>
          <w:szCs w:val="22"/>
          <w:lang w:val="es-CR"/>
        </w:rPr>
      </w:pPr>
    </w:p>
    <w:p w14:paraId="31C9D014" w14:textId="500F808A" w:rsidR="00865AC5" w:rsidRPr="00F02F9D" w:rsidRDefault="00865AC5" w:rsidP="00AB28DF">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1.105.0.02</w:t>
      </w:r>
      <w:r w:rsidRPr="00F02F9D">
        <w:rPr>
          <w:rFonts w:ascii="Arial" w:eastAsia="Arial" w:hAnsi="Arial"/>
          <w:bCs/>
          <w:sz w:val="22"/>
          <w:szCs w:val="22"/>
          <w:lang w:val="es-CR"/>
        </w:rPr>
        <w:tab/>
        <w:t xml:space="preserve">Si se revalúa un activo de propiedad, planta y equipo, se revaluarán </w:t>
      </w:r>
      <w:r w:rsidR="00AA22E2" w:rsidRPr="00F02F9D">
        <w:rPr>
          <w:rFonts w:ascii="Arial" w:eastAsia="Arial" w:hAnsi="Arial"/>
          <w:bCs/>
          <w:sz w:val="22"/>
          <w:szCs w:val="22"/>
          <w:lang w:val="es-CR"/>
        </w:rPr>
        <w:t>ta</w:t>
      </w:r>
      <w:r w:rsidR="00AA22E2">
        <w:rPr>
          <w:rFonts w:ascii="Arial" w:eastAsia="Arial" w:hAnsi="Arial"/>
          <w:bCs/>
          <w:sz w:val="22"/>
          <w:szCs w:val="22"/>
          <w:lang w:val="es-CR"/>
        </w:rPr>
        <w:t>mbi</w:t>
      </w:r>
      <w:r w:rsidR="00AA22E2" w:rsidRPr="00F02F9D">
        <w:rPr>
          <w:rFonts w:ascii="Arial" w:eastAsia="Arial" w:hAnsi="Arial"/>
          <w:bCs/>
          <w:sz w:val="22"/>
          <w:szCs w:val="22"/>
          <w:lang w:val="es-CR"/>
        </w:rPr>
        <w:t>én</w:t>
      </w:r>
      <w:r w:rsidRPr="00F02F9D">
        <w:rPr>
          <w:rFonts w:ascii="Arial" w:eastAsia="Arial" w:hAnsi="Arial"/>
          <w:bCs/>
          <w:sz w:val="22"/>
          <w:szCs w:val="22"/>
          <w:lang w:val="es-CR"/>
        </w:rPr>
        <w:t xml:space="preserve"> todos los activos que pertenezcan a la misma clase.</w:t>
      </w:r>
    </w:p>
    <w:p w14:paraId="26405E18" w14:textId="77777777" w:rsidR="00865AC5" w:rsidRPr="00F02F9D" w:rsidRDefault="00865AC5" w:rsidP="00AB28DF">
      <w:pPr>
        <w:spacing w:line="276" w:lineRule="exact"/>
        <w:ind w:left="1134" w:hanging="1134"/>
        <w:rPr>
          <w:rFonts w:ascii="Arial" w:eastAsia="Times New Roman" w:hAnsi="Arial"/>
          <w:bCs/>
          <w:sz w:val="22"/>
          <w:szCs w:val="22"/>
          <w:lang w:val="es-CR"/>
        </w:rPr>
      </w:pPr>
    </w:p>
    <w:p w14:paraId="4CCEABC1" w14:textId="18ED7E61" w:rsidR="00865AC5" w:rsidRPr="00F02F9D" w:rsidRDefault="00865AC5" w:rsidP="00AB28DF">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1.105.1.01</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de acuerdo con sus posibilidades, realizará las revaluaciones con suficiente regularidad, para asegurar que el importe en libros no difiera significativamente del que podría determinarse utilizando el valor razonable a la fecha sobre la que se informa. Esto dependerá de los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os</w:t>
      </w:r>
      <w:r w:rsidRPr="00F02F9D">
        <w:rPr>
          <w:rFonts w:ascii="Arial" w:eastAsia="Arial" w:hAnsi="Arial"/>
          <w:bCs/>
          <w:sz w:val="22"/>
          <w:szCs w:val="22"/>
          <w:lang w:val="es-CR"/>
        </w:rPr>
        <w:t xml:space="preserve"> que experimenten los valores razonables de los activos de propiedad, planta y equipo que se estén revaluando, si difiere significativamente de su importe en libros, será necesaria una nueva revaluación.</w:t>
      </w:r>
    </w:p>
    <w:p w14:paraId="2F9FE52E" w14:textId="77777777" w:rsidR="00865AC5" w:rsidRPr="00F02F9D" w:rsidRDefault="00865AC5" w:rsidP="00865AC5">
      <w:pPr>
        <w:spacing w:line="279" w:lineRule="exact"/>
        <w:rPr>
          <w:rFonts w:ascii="Arial" w:eastAsia="Arial" w:hAnsi="Arial"/>
          <w:b/>
          <w:sz w:val="22"/>
          <w:szCs w:val="22"/>
          <w:lang w:val="es-CR"/>
        </w:rPr>
      </w:pPr>
    </w:p>
    <w:p w14:paraId="2427D5ED" w14:textId="4D6E8475" w:rsidR="00865AC5" w:rsidRPr="00F02F9D" w:rsidRDefault="00865AC5" w:rsidP="00AB28DF">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1.105.1.02</w:t>
      </w:r>
      <w:r w:rsidRPr="00F02F9D">
        <w:rPr>
          <w:rFonts w:ascii="Arial" w:eastAsia="Arial" w:hAnsi="Arial"/>
          <w:bCs/>
          <w:sz w:val="22"/>
          <w:szCs w:val="22"/>
          <w:lang w:val="es-CR"/>
        </w:rPr>
        <w:tab/>
        <w:t>La evaluación y determinación de materialidad, oportunidad,</w:t>
      </w:r>
      <w:r w:rsidRPr="00F02F9D">
        <w:rPr>
          <w:rFonts w:ascii="Arial" w:eastAsia="Arial" w:hAnsi="Arial"/>
          <w:b/>
          <w:sz w:val="22"/>
          <w:szCs w:val="22"/>
          <w:lang w:val="es-CR"/>
        </w:rPr>
        <w:t xml:space="preserve"> </w:t>
      </w:r>
      <w:r w:rsidRPr="00F02F9D">
        <w:rPr>
          <w:rFonts w:ascii="Arial" w:eastAsia="Arial" w:hAnsi="Arial"/>
          <w:bCs/>
          <w:sz w:val="22"/>
          <w:szCs w:val="22"/>
          <w:lang w:val="es-CR"/>
        </w:rPr>
        <w:t xml:space="preserve">periodicidad o frecuencia y clase de bienes a revaluar, así como los procedimientos aplicables, serán determinados por la DGCN. No obstante, ante la ausencia de criterio por parte de la DGCN,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establece para la clase de bienes: Tierras y terrenos y Edificios, una frecuencia de revaluación de cinco años, basado en el párrafo 49 de la norma.</w:t>
      </w:r>
    </w:p>
    <w:p w14:paraId="2746B220" w14:textId="77777777" w:rsidR="00865AC5" w:rsidRPr="00F02F9D" w:rsidRDefault="00865AC5" w:rsidP="00AB28DF">
      <w:pPr>
        <w:spacing w:line="280" w:lineRule="exact"/>
        <w:ind w:left="1134" w:hanging="1134"/>
        <w:rPr>
          <w:rFonts w:ascii="Arial" w:eastAsia="Arial" w:hAnsi="Arial"/>
          <w:bCs/>
          <w:sz w:val="22"/>
          <w:szCs w:val="22"/>
          <w:lang w:val="es-CR"/>
        </w:rPr>
      </w:pPr>
    </w:p>
    <w:p w14:paraId="4B90E39D" w14:textId="577BD90B" w:rsidR="00865AC5" w:rsidRPr="00F02F9D" w:rsidRDefault="00865AC5" w:rsidP="00AB28DF">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1.105.2.01</w:t>
      </w:r>
      <w:r w:rsidRPr="00F02F9D">
        <w:rPr>
          <w:rFonts w:ascii="Arial" w:eastAsia="Arial" w:hAnsi="Arial"/>
          <w:bCs/>
          <w:sz w:val="22"/>
          <w:szCs w:val="22"/>
          <w:lang w:val="es-CR"/>
        </w:rPr>
        <w:tab/>
        <w:t xml:space="preserve">Para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valor razonable de los activos de propiedad, planta y equipo será habitualmente su valor de mercado, determinado mediante una tasación.</w:t>
      </w:r>
    </w:p>
    <w:p w14:paraId="79C57E64" w14:textId="77777777" w:rsidR="00865AC5" w:rsidRPr="00F02F9D" w:rsidRDefault="00865AC5" w:rsidP="00AB28DF">
      <w:pPr>
        <w:spacing w:line="0" w:lineRule="atLeast"/>
        <w:ind w:left="1134" w:hanging="1134"/>
        <w:rPr>
          <w:rFonts w:ascii="Arial" w:eastAsia="Arial" w:hAnsi="Arial"/>
          <w:bCs/>
          <w:sz w:val="22"/>
          <w:szCs w:val="22"/>
          <w:lang w:val="es-CR"/>
        </w:rPr>
      </w:pPr>
      <w:bookmarkStart w:id="48" w:name="page38"/>
      <w:bookmarkEnd w:id="48"/>
    </w:p>
    <w:p w14:paraId="41867A91" w14:textId="1FABA5AA" w:rsidR="00865AC5" w:rsidRPr="00F02F9D" w:rsidRDefault="00865AC5" w:rsidP="00AB28DF">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1.105.3.01</w:t>
      </w:r>
      <w:r w:rsidRPr="00F02F9D">
        <w:rPr>
          <w:rFonts w:ascii="Arial" w:eastAsia="Arial" w:hAnsi="Arial"/>
          <w:bCs/>
          <w:sz w:val="22"/>
          <w:szCs w:val="22"/>
          <w:lang w:val="es-CR"/>
        </w:rPr>
        <w:tab/>
        <w:t xml:space="preserve">En caso de que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no cuente con evidencia disponible para determinar el valor de mercado de un activo de propiedad, planta y equipo en un mercado líquido y activo, establecerá el valor razonable en referencia a otros activos de características similares, en circunstancias y ubicaciones similares.</w:t>
      </w:r>
    </w:p>
    <w:p w14:paraId="5F18F74C" w14:textId="77777777" w:rsidR="00865AC5" w:rsidRPr="00F02F9D" w:rsidRDefault="00865AC5" w:rsidP="00865AC5">
      <w:pPr>
        <w:spacing w:line="249" w:lineRule="exact"/>
        <w:rPr>
          <w:rFonts w:ascii="Arial" w:eastAsia="Times New Roman" w:hAnsi="Arial"/>
          <w:bCs/>
          <w:sz w:val="22"/>
          <w:szCs w:val="22"/>
          <w:lang w:val="es-CR"/>
        </w:rPr>
      </w:pPr>
    </w:p>
    <w:p w14:paraId="37530999" w14:textId="53EFD8B3" w:rsidR="00865AC5" w:rsidRPr="00F02F9D" w:rsidRDefault="00865AC5" w:rsidP="00AB28DF">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1.105.4.01</w:t>
      </w:r>
      <w:r w:rsidR="00AB28DF" w:rsidRPr="00F02F9D">
        <w:rPr>
          <w:rFonts w:ascii="Arial" w:eastAsia="Arial" w:hAnsi="Arial"/>
          <w:bCs/>
          <w:sz w:val="22"/>
          <w:szCs w:val="22"/>
          <w:lang w:val="es-CR"/>
        </w:rPr>
        <w:tab/>
      </w:r>
      <w:r w:rsidRPr="00F02F9D">
        <w:rPr>
          <w:rFonts w:ascii="Arial" w:eastAsia="Arial" w:hAnsi="Arial"/>
          <w:bCs/>
          <w:sz w:val="22"/>
          <w:szCs w:val="22"/>
          <w:lang w:val="es-CR"/>
        </w:rPr>
        <w:t xml:space="preserve">Cuando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cuente con edificios especializados y otras estructuras construidas, el valor razonable puede estimarlo utilizando el costo de reposición depreciado, el costo de rehabilitación o los enfoques de las unidades de servicio. Dicho costo puede determinarse, de acuerdo con las circunstancias, de la siguiente forma:</w:t>
      </w:r>
    </w:p>
    <w:p w14:paraId="07A40F1F" w14:textId="77777777" w:rsidR="00865AC5" w:rsidRPr="00F02F9D" w:rsidRDefault="00865AC5" w:rsidP="00865AC5">
      <w:pPr>
        <w:spacing w:line="288" w:lineRule="exact"/>
        <w:rPr>
          <w:rFonts w:ascii="Arial" w:eastAsia="Times New Roman" w:hAnsi="Arial"/>
          <w:bCs/>
          <w:sz w:val="22"/>
          <w:szCs w:val="22"/>
          <w:lang w:val="es-CR"/>
        </w:rPr>
      </w:pPr>
    </w:p>
    <w:p w14:paraId="3BE4D840" w14:textId="77777777" w:rsidR="00865AC5" w:rsidRPr="00F02F9D" w:rsidRDefault="00865AC5">
      <w:pPr>
        <w:pStyle w:val="Prrafodelista"/>
        <w:numPr>
          <w:ilvl w:val="0"/>
          <w:numId w:val="33"/>
        </w:numPr>
        <w:tabs>
          <w:tab w:val="left" w:pos="1099"/>
        </w:tabs>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En relación con el costo de volver a producir un activo, lo que será el mejor indicador de su costo de reposición.</w:t>
      </w:r>
    </w:p>
    <w:p w14:paraId="69D52102" w14:textId="77777777" w:rsidR="00865AC5" w:rsidRPr="00F02F9D" w:rsidRDefault="00865AC5">
      <w:pPr>
        <w:pStyle w:val="Prrafodelista"/>
        <w:numPr>
          <w:ilvl w:val="0"/>
          <w:numId w:val="33"/>
        </w:numPr>
        <w:tabs>
          <w:tab w:val="left" w:pos="1099"/>
        </w:tabs>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Por referencia al precio de compra de un activo similar con similar potencial de servicio restante en un mercado líquido y activo.</w:t>
      </w:r>
    </w:p>
    <w:p w14:paraId="75242D9E" w14:textId="66371095" w:rsidR="00865AC5" w:rsidRPr="00F02F9D" w:rsidRDefault="00865AC5">
      <w:pPr>
        <w:pStyle w:val="Prrafodelista"/>
        <w:numPr>
          <w:ilvl w:val="0"/>
          <w:numId w:val="33"/>
        </w:numPr>
        <w:tabs>
          <w:tab w:val="left" w:pos="1100"/>
        </w:tabs>
        <w:spacing w:line="250" w:lineRule="auto"/>
        <w:ind w:left="1560" w:right="260"/>
        <w:jc w:val="both"/>
        <w:rPr>
          <w:rFonts w:ascii="Arial" w:eastAsia="Arial" w:hAnsi="Arial"/>
          <w:bCs/>
          <w:sz w:val="22"/>
          <w:szCs w:val="22"/>
          <w:lang w:val="es-CR"/>
        </w:rPr>
      </w:pPr>
      <w:r w:rsidRPr="00F02F9D">
        <w:rPr>
          <w:rFonts w:ascii="Arial" w:eastAsia="Arial" w:hAnsi="Arial"/>
          <w:bCs/>
          <w:sz w:val="22"/>
          <w:szCs w:val="22"/>
          <w:lang w:val="es-CR"/>
        </w:rPr>
        <w:lastRenderedPageBreak/>
        <w:t xml:space="preserve">Por referencia al precio de compra del mercado de los componentes utilizados para producir el activo o el precio indexado del activo o uno similar, basado en un precio para el período anterior (método del precio indexado). En este caso, será necesario que la Institución cuente con juicios profesionales, para determinar si la tecnología de producción ha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ado</w:t>
      </w:r>
      <w:r w:rsidRPr="00F02F9D">
        <w:rPr>
          <w:rFonts w:ascii="Arial" w:eastAsia="Arial" w:hAnsi="Arial"/>
          <w:bCs/>
          <w:sz w:val="22"/>
          <w:szCs w:val="22"/>
          <w:lang w:val="es-CR"/>
        </w:rPr>
        <w:t xml:space="preserve"> significativamente durante el período, y si la capacidad del activo de referencia es la misma que la del activo que se está evaluando.</w:t>
      </w:r>
    </w:p>
    <w:p w14:paraId="07F7045B" w14:textId="77777777" w:rsidR="00865AC5" w:rsidRPr="00F02F9D" w:rsidRDefault="00865AC5" w:rsidP="00865AC5">
      <w:pPr>
        <w:spacing w:line="267" w:lineRule="exact"/>
        <w:rPr>
          <w:rFonts w:ascii="Arial" w:eastAsia="Arial" w:hAnsi="Arial"/>
          <w:bCs/>
          <w:sz w:val="22"/>
          <w:szCs w:val="22"/>
          <w:lang w:val="es-CR"/>
        </w:rPr>
      </w:pPr>
    </w:p>
    <w:p w14:paraId="2F6BB06B" w14:textId="576747AD" w:rsidR="00865AC5" w:rsidRPr="00F02F9D" w:rsidRDefault="006A5B8A" w:rsidP="00AB28DF">
      <w:pPr>
        <w:spacing w:line="27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1.105.5.01</w:t>
      </w:r>
      <w:r w:rsidRPr="00F02F9D">
        <w:rPr>
          <w:rFonts w:ascii="Arial" w:eastAsia="Arial" w:hAnsi="Arial"/>
          <w:bCs/>
          <w:sz w:val="22"/>
          <w:szCs w:val="22"/>
          <w:lang w:val="es-CR"/>
        </w:rPr>
        <w:tab/>
      </w:r>
      <w:r w:rsidR="00865AC5" w:rsidRPr="00F02F9D">
        <w:rPr>
          <w:rFonts w:ascii="Arial" w:eastAsia="Arial" w:hAnsi="Arial"/>
          <w:bCs/>
          <w:sz w:val="22"/>
          <w:szCs w:val="22"/>
          <w:lang w:val="es-CR"/>
        </w:rPr>
        <w:t>Cuando la Institución aplique el método del precio indexado, deberá indicar en Nota a los EEFF el juicio profesional utilizado para obtener el valor indexado.</w:t>
      </w:r>
    </w:p>
    <w:p w14:paraId="515BBBA2" w14:textId="77777777" w:rsidR="00865AC5" w:rsidRPr="00F02F9D" w:rsidRDefault="00865AC5" w:rsidP="00865AC5">
      <w:pPr>
        <w:spacing w:line="241" w:lineRule="exact"/>
        <w:rPr>
          <w:rFonts w:ascii="Arial" w:eastAsia="Times New Roman" w:hAnsi="Arial"/>
          <w:bCs/>
          <w:sz w:val="22"/>
          <w:szCs w:val="22"/>
          <w:lang w:val="es-CR"/>
        </w:rPr>
      </w:pPr>
    </w:p>
    <w:p w14:paraId="65C80AB3" w14:textId="601CC18C" w:rsidR="00865AC5" w:rsidRPr="00F02F9D" w:rsidRDefault="006A5B8A" w:rsidP="00AB28DF">
      <w:pPr>
        <w:spacing w:line="27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1.105.6.01</w:t>
      </w:r>
      <w:r w:rsidRPr="00F02F9D">
        <w:rPr>
          <w:rFonts w:ascii="Arial" w:eastAsia="Arial" w:hAnsi="Arial"/>
          <w:bCs/>
          <w:sz w:val="22"/>
          <w:szCs w:val="22"/>
          <w:lang w:val="es-CR"/>
        </w:rPr>
        <w:tab/>
      </w:r>
      <w:r w:rsidR="00865AC5" w:rsidRPr="00F02F9D">
        <w:rPr>
          <w:rFonts w:ascii="Arial" w:eastAsia="Arial" w:hAnsi="Arial"/>
          <w:bCs/>
          <w:sz w:val="22"/>
          <w:szCs w:val="22"/>
          <w:lang w:val="es-CR"/>
        </w:rPr>
        <w:t xml:space="preserve">En cualquiera de los casos que aplique la </w:t>
      </w:r>
      <w:r w:rsidR="000F29DC">
        <w:rPr>
          <w:rFonts w:ascii="Arial" w:eastAsia="Arial" w:hAnsi="Arial"/>
          <w:bCs/>
          <w:sz w:val="22"/>
          <w:szCs w:val="22"/>
          <w:lang w:val="es-CR"/>
        </w:rPr>
        <w:t>MBA</w:t>
      </w:r>
      <w:r w:rsidR="00865AC5" w:rsidRPr="00F02F9D">
        <w:rPr>
          <w:rFonts w:ascii="Arial" w:eastAsia="Arial" w:hAnsi="Arial"/>
          <w:bCs/>
          <w:sz w:val="22"/>
          <w:szCs w:val="22"/>
          <w:lang w:val="es-CR"/>
        </w:rPr>
        <w:t xml:space="preserve">, la determinación del valor razonable deberá evidenciarse a través de una tasación del valor del activo, realizada y suscripta por un experto profesionalmente calificado e independiente a la Institución (tasador), excepto en los casos en que la </w:t>
      </w:r>
      <w:r w:rsidR="000F29DC">
        <w:rPr>
          <w:rFonts w:ascii="Arial" w:eastAsia="Arial" w:hAnsi="Arial"/>
          <w:bCs/>
          <w:sz w:val="22"/>
          <w:szCs w:val="22"/>
          <w:lang w:val="es-CR"/>
        </w:rPr>
        <w:t>MBA</w:t>
      </w:r>
      <w:r w:rsidR="00865AC5" w:rsidRPr="00F02F9D">
        <w:rPr>
          <w:rFonts w:ascii="Arial" w:eastAsia="Arial" w:hAnsi="Arial"/>
          <w:bCs/>
          <w:sz w:val="22"/>
          <w:szCs w:val="22"/>
          <w:lang w:val="es-CR"/>
        </w:rPr>
        <w:t xml:space="preserve"> determine y seleccione fuentes de información observables (valores de mercado), para determinadas clases de bienes.</w:t>
      </w:r>
    </w:p>
    <w:p w14:paraId="4AB18EA2" w14:textId="77777777" w:rsidR="00AB28DF" w:rsidRPr="00F02F9D" w:rsidRDefault="00AB28DF" w:rsidP="006A5B8A">
      <w:pPr>
        <w:spacing w:line="274" w:lineRule="auto"/>
        <w:ind w:left="1276" w:right="260" w:hanging="1276"/>
        <w:jc w:val="both"/>
        <w:rPr>
          <w:rFonts w:ascii="Arial" w:eastAsia="Arial" w:hAnsi="Arial"/>
          <w:bCs/>
          <w:sz w:val="22"/>
          <w:szCs w:val="22"/>
          <w:lang w:val="es-CR"/>
        </w:rPr>
      </w:pPr>
      <w:bookmarkStart w:id="49" w:name="page39"/>
      <w:bookmarkEnd w:id="49"/>
    </w:p>
    <w:p w14:paraId="24954C73" w14:textId="2C44EE57" w:rsidR="00865AC5" w:rsidRPr="00F02F9D" w:rsidRDefault="006A5B8A" w:rsidP="00AB28DF">
      <w:pPr>
        <w:spacing w:line="27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1.105.6.02</w:t>
      </w:r>
      <w:r w:rsidRPr="00F02F9D">
        <w:rPr>
          <w:rFonts w:ascii="Arial" w:eastAsia="Arial" w:hAnsi="Arial"/>
          <w:bCs/>
          <w:sz w:val="22"/>
          <w:szCs w:val="22"/>
          <w:lang w:val="es-CR"/>
        </w:rPr>
        <w:tab/>
      </w:r>
      <w:r w:rsidR="00865AC5"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865AC5" w:rsidRPr="00F02F9D">
        <w:rPr>
          <w:rFonts w:ascii="Arial" w:eastAsia="Arial" w:hAnsi="Arial"/>
          <w:bCs/>
          <w:sz w:val="22"/>
          <w:szCs w:val="22"/>
          <w:lang w:val="es-CR"/>
        </w:rPr>
        <w:t xml:space="preserve"> valorará solicitar a la Oficina de Ingeniería fungir como tasador para determinar el valor razonable las clases de bienes definidas.</w:t>
      </w:r>
    </w:p>
    <w:p w14:paraId="0EA29419" w14:textId="77777777" w:rsidR="00865AC5" w:rsidRPr="00F02F9D" w:rsidRDefault="00865AC5" w:rsidP="00865AC5">
      <w:pPr>
        <w:spacing w:line="276" w:lineRule="exact"/>
        <w:rPr>
          <w:rFonts w:ascii="Arial" w:eastAsia="Times New Roman" w:hAnsi="Arial"/>
          <w:bCs/>
          <w:sz w:val="22"/>
          <w:szCs w:val="22"/>
          <w:lang w:val="es-CR"/>
        </w:rPr>
      </w:pPr>
    </w:p>
    <w:p w14:paraId="73E4B3CB" w14:textId="7E6BF15D" w:rsidR="00865AC5" w:rsidRDefault="006A5B8A" w:rsidP="006A5B8A">
      <w:pPr>
        <w:spacing w:line="274" w:lineRule="auto"/>
        <w:ind w:left="1276" w:right="260" w:hanging="1276"/>
        <w:jc w:val="both"/>
        <w:rPr>
          <w:rFonts w:ascii="Arial" w:eastAsia="Arial" w:hAnsi="Arial"/>
          <w:bCs/>
          <w:sz w:val="22"/>
          <w:szCs w:val="22"/>
          <w:lang w:val="es-CR"/>
        </w:rPr>
      </w:pPr>
      <w:r w:rsidRPr="00F02F9D">
        <w:rPr>
          <w:rFonts w:ascii="Arial" w:eastAsia="Arial" w:hAnsi="Arial"/>
          <w:bCs/>
          <w:sz w:val="22"/>
          <w:szCs w:val="22"/>
          <w:lang w:val="es-CR"/>
        </w:rPr>
        <w:t>1.105.7.01</w:t>
      </w:r>
      <w:r w:rsidRPr="00F02F9D">
        <w:rPr>
          <w:rFonts w:ascii="Arial" w:eastAsia="Arial" w:hAnsi="Arial"/>
          <w:bCs/>
          <w:sz w:val="22"/>
          <w:szCs w:val="22"/>
          <w:lang w:val="es-CR"/>
        </w:rPr>
        <w:tab/>
      </w:r>
      <w:r w:rsidR="00865AC5" w:rsidRPr="00F02F9D">
        <w:rPr>
          <w:rFonts w:ascii="Arial" w:eastAsia="Arial" w:hAnsi="Arial"/>
          <w:bCs/>
          <w:sz w:val="22"/>
          <w:szCs w:val="22"/>
          <w:lang w:val="es-CR"/>
        </w:rPr>
        <w:t xml:space="preserve">Cuando en la </w:t>
      </w:r>
      <w:r w:rsidR="000F29DC">
        <w:rPr>
          <w:rFonts w:ascii="Arial" w:eastAsia="Arial" w:hAnsi="Arial"/>
          <w:bCs/>
          <w:sz w:val="22"/>
          <w:szCs w:val="22"/>
          <w:lang w:val="es-CR"/>
        </w:rPr>
        <w:t>MBA</w:t>
      </w:r>
      <w:r w:rsidR="00865AC5" w:rsidRPr="00F02F9D">
        <w:rPr>
          <w:rFonts w:ascii="Arial" w:eastAsia="Arial" w:hAnsi="Arial"/>
          <w:bCs/>
          <w:sz w:val="22"/>
          <w:szCs w:val="22"/>
          <w:lang w:val="es-CR"/>
        </w:rPr>
        <w:t xml:space="preserve"> se revalúe un activo de propiedad, planta y equipo, la depreciación acumulada a la fecha de la revaluación puede ser tratada de cualquiera de las siguientes maneras:</w:t>
      </w:r>
    </w:p>
    <w:p w14:paraId="0F73145C" w14:textId="77777777" w:rsidR="0098697B" w:rsidRPr="00F02F9D" w:rsidRDefault="0098697B" w:rsidP="006A5B8A">
      <w:pPr>
        <w:spacing w:line="274" w:lineRule="auto"/>
        <w:ind w:left="1276" w:right="260" w:hanging="1276"/>
        <w:jc w:val="both"/>
        <w:rPr>
          <w:rFonts w:ascii="Arial" w:eastAsia="Arial" w:hAnsi="Arial"/>
          <w:bCs/>
          <w:sz w:val="22"/>
          <w:szCs w:val="22"/>
          <w:lang w:val="es-CR"/>
        </w:rPr>
      </w:pPr>
    </w:p>
    <w:p w14:paraId="4E6B7337" w14:textId="4BBC3593" w:rsidR="00865AC5" w:rsidRPr="00F02F9D" w:rsidRDefault="00865AC5">
      <w:pPr>
        <w:pStyle w:val="Prrafodelista"/>
        <w:numPr>
          <w:ilvl w:val="0"/>
          <w:numId w:val="34"/>
        </w:numPr>
        <w:spacing w:after="120"/>
        <w:ind w:left="1560"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Se puede Reexpresar proporcionalmente al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w:t>
      </w:r>
      <w:r w:rsidRPr="00F02F9D">
        <w:rPr>
          <w:rFonts w:ascii="Arial" w:eastAsia="Arial" w:hAnsi="Arial"/>
          <w:bCs/>
          <w:sz w:val="22"/>
          <w:szCs w:val="22"/>
          <w:lang w:val="es-CR"/>
        </w:rPr>
        <w:t xml:space="preserve"> en el importe bruto del activo en libros, de manera que el importe neto del mismo en libros sea igual a su importe revaluado. Este método se utiliza a menudo cuando se revalúa el activo por medio de la aplicación de un índice a su costo de reposición depreciado.</w:t>
      </w:r>
    </w:p>
    <w:p w14:paraId="473EC78E" w14:textId="77777777" w:rsidR="00865AC5" w:rsidRDefault="00865AC5">
      <w:pPr>
        <w:pStyle w:val="Prrafodelista"/>
        <w:numPr>
          <w:ilvl w:val="0"/>
          <w:numId w:val="34"/>
        </w:numPr>
        <w:spacing w:line="237" w:lineRule="auto"/>
        <w:ind w:left="1560" w:right="260" w:hanging="284"/>
        <w:jc w:val="both"/>
        <w:rPr>
          <w:rFonts w:ascii="Arial" w:eastAsia="Arial" w:hAnsi="Arial"/>
          <w:bCs/>
          <w:sz w:val="22"/>
          <w:szCs w:val="22"/>
          <w:lang w:val="es-CR"/>
        </w:rPr>
      </w:pPr>
      <w:r w:rsidRPr="00F02F9D">
        <w:rPr>
          <w:rFonts w:ascii="Arial" w:eastAsia="Arial" w:hAnsi="Arial"/>
          <w:bCs/>
          <w:sz w:val="22"/>
          <w:szCs w:val="22"/>
          <w:lang w:val="es-CR"/>
        </w:rPr>
        <w:t>Eliminar la depreciación acumulada contra el importe en libros bruto del activo, y reexpresando el importe neto hasta alcanzar el importe revaluado del activo.</w:t>
      </w:r>
    </w:p>
    <w:p w14:paraId="4982F9B3" w14:textId="77777777" w:rsidR="0098697B" w:rsidRDefault="0098697B" w:rsidP="0098697B">
      <w:pPr>
        <w:spacing w:line="237" w:lineRule="auto"/>
        <w:ind w:right="260"/>
        <w:jc w:val="both"/>
        <w:rPr>
          <w:rFonts w:ascii="Arial" w:eastAsia="Arial" w:hAnsi="Arial"/>
          <w:bCs/>
          <w:sz w:val="22"/>
          <w:szCs w:val="22"/>
          <w:lang w:val="es-CR"/>
        </w:rPr>
      </w:pPr>
    </w:p>
    <w:p w14:paraId="37259916" w14:textId="77777777" w:rsidR="0098697B" w:rsidRDefault="0098697B" w:rsidP="0098697B">
      <w:pPr>
        <w:spacing w:line="237" w:lineRule="auto"/>
        <w:ind w:right="260"/>
        <w:jc w:val="both"/>
        <w:rPr>
          <w:rFonts w:ascii="Arial" w:eastAsia="Arial" w:hAnsi="Arial"/>
          <w:bCs/>
          <w:sz w:val="22"/>
          <w:szCs w:val="22"/>
          <w:lang w:val="es-CR"/>
        </w:rPr>
      </w:pPr>
    </w:p>
    <w:p w14:paraId="0AA65331" w14:textId="77777777" w:rsidR="0098697B" w:rsidRPr="0098697B" w:rsidRDefault="0098697B" w:rsidP="0098697B">
      <w:pPr>
        <w:spacing w:line="237" w:lineRule="auto"/>
        <w:ind w:right="260"/>
        <w:jc w:val="both"/>
        <w:rPr>
          <w:rFonts w:ascii="Arial" w:eastAsia="Arial" w:hAnsi="Arial"/>
          <w:bCs/>
          <w:sz w:val="22"/>
          <w:szCs w:val="22"/>
          <w:lang w:val="es-CR"/>
        </w:rPr>
      </w:pPr>
    </w:p>
    <w:p w14:paraId="14C86E05" w14:textId="77777777" w:rsidR="000D26B6" w:rsidRPr="00F02F9D" w:rsidRDefault="000D26B6" w:rsidP="00A351C9">
      <w:pPr>
        <w:spacing w:line="238" w:lineRule="auto"/>
        <w:ind w:left="1134" w:right="260" w:hanging="1134"/>
        <w:jc w:val="both"/>
        <w:rPr>
          <w:rFonts w:ascii="Arial" w:eastAsia="Arial" w:hAnsi="Arial"/>
          <w:b/>
          <w:sz w:val="22"/>
          <w:szCs w:val="22"/>
          <w:lang w:val="es-CR"/>
        </w:rPr>
      </w:pPr>
    </w:p>
    <w:tbl>
      <w:tblPr>
        <w:tblW w:w="9159" w:type="dxa"/>
        <w:tblLook w:val="04A0" w:firstRow="1" w:lastRow="0" w:firstColumn="1" w:lastColumn="0" w:noHBand="0" w:noVBand="1"/>
      </w:tblPr>
      <w:tblGrid>
        <w:gridCol w:w="558"/>
        <w:gridCol w:w="550"/>
        <w:gridCol w:w="536"/>
        <w:gridCol w:w="3449"/>
        <w:gridCol w:w="1993"/>
        <w:gridCol w:w="2073"/>
      </w:tblGrid>
      <w:tr w:rsidR="006A5B8A" w:rsidRPr="0098697B" w14:paraId="4A89BC56" w14:textId="77777777" w:rsidTr="006A5B8A">
        <w:trPr>
          <w:trHeight w:val="320"/>
        </w:trPr>
        <w:tc>
          <w:tcPr>
            <w:tcW w:w="164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2C47D94" w14:textId="77777777" w:rsidR="006A5B8A" w:rsidRPr="0098697B" w:rsidRDefault="006A5B8A" w:rsidP="006A5B8A">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 / Política</w:t>
            </w:r>
          </w:p>
        </w:tc>
        <w:tc>
          <w:tcPr>
            <w:tcW w:w="3449" w:type="dxa"/>
            <w:vMerge w:val="restart"/>
            <w:tcBorders>
              <w:top w:val="single" w:sz="8" w:space="0" w:color="auto"/>
              <w:left w:val="single" w:sz="8" w:space="0" w:color="auto"/>
              <w:bottom w:val="nil"/>
              <w:right w:val="single" w:sz="8" w:space="0" w:color="auto"/>
            </w:tcBorders>
            <w:shd w:val="clear" w:color="000000" w:fill="203764"/>
            <w:vAlign w:val="center"/>
            <w:hideMark/>
          </w:tcPr>
          <w:p w14:paraId="471237B9" w14:textId="77777777" w:rsidR="006A5B8A" w:rsidRPr="0098697B" w:rsidRDefault="006A5B8A" w:rsidP="006A5B8A">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Concepto</w:t>
            </w:r>
          </w:p>
        </w:tc>
        <w:tc>
          <w:tcPr>
            <w:tcW w:w="4066" w:type="dxa"/>
            <w:gridSpan w:val="2"/>
            <w:tcBorders>
              <w:top w:val="single" w:sz="8" w:space="0" w:color="auto"/>
              <w:left w:val="nil"/>
              <w:bottom w:val="single" w:sz="8" w:space="0" w:color="auto"/>
              <w:right w:val="single" w:sz="8" w:space="0" w:color="000000"/>
            </w:tcBorders>
            <w:shd w:val="clear" w:color="000000" w:fill="203764"/>
            <w:vAlign w:val="center"/>
            <w:hideMark/>
          </w:tcPr>
          <w:p w14:paraId="20F0A229" w14:textId="77777777" w:rsidR="006A5B8A" w:rsidRPr="0098697B" w:rsidRDefault="006A5B8A" w:rsidP="006A5B8A">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Referencia</w:t>
            </w:r>
          </w:p>
        </w:tc>
      </w:tr>
      <w:tr w:rsidR="006A5B8A" w:rsidRPr="0071104F" w14:paraId="76869D82" w14:textId="77777777" w:rsidTr="006A5B8A">
        <w:trPr>
          <w:trHeight w:val="320"/>
        </w:trPr>
        <w:tc>
          <w:tcPr>
            <w:tcW w:w="1644" w:type="dxa"/>
            <w:gridSpan w:val="3"/>
            <w:vMerge/>
            <w:tcBorders>
              <w:top w:val="single" w:sz="8" w:space="0" w:color="auto"/>
              <w:left w:val="single" w:sz="8" w:space="0" w:color="auto"/>
              <w:bottom w:val="nil"/>
              <w:right w:val="single" w:sz="8" w:space="0" w:color="000000"/>
            </w:tcBorders>
            <w:vAlign w:val="center"/>
            <w:hideMark/>
          </w:tcPr>
          <w:p w14:paraId="210B06FC" w14:textId="77777777" w:rsidR="006A5B8A" w:rsidRPr="0098697B" w:rsidRDefault="006A5B8A" w:rsidP="006A5B8A">
            <w:pPr>
              <w:rPr>
                <w:rFonts w:ascii="Arial Narrow" w:eastAsia="Times New Roman" w:hAnsi="Arial Narrow"/>
                <w:b/>
                <w:bCs/>
                <w:color w:val="FFFFFF"/>
                <w:sz w:val="22"/>
                <w:szCs w:val="22"/>
              </w:rPr>
            </w:pPr>
          </w:p>
        </w:tc>
        <w:tc>
          <w:tcPr>
            <w:tcW w:w="3449" w:type="dxa"/>
            <w:vMerge/>
            <w:tcBorders>
              <w:top w:val="single" w:sz="8" w:space="0" w:color="auto"/>
              <w:left w:val="single" w:sz="8" w:space="0" w:color="auto"/>
              <w:bottom w:val="nil"/>
              <w:right w:val="single" w:sz="8" w:space="0" w:color="auto"/>
            </w:tcBorders>
            <w:vAlign w:val="center"/>
            <w:hideMark/>
          </w:tcPr>
          <w:p w14:paraId="3F17BFEC" w14:textId="77777777" w:rsidR="006A5B8A" w:rsidRPr="0098697B" w:rsidRDefault="006A5B8A" w:rsidP="006A5B8A">
            <w:pPr>
              <w:rPr>
                <w:rFonts w:ascii="Arial Narrow" w:eastAsia="Times New Roman" w:hAnsi="Arial Narrow"/>
                <w:b/>
                <w:bCs/>
                <w:color w:val="FFFFFF"/>
                <w:sz w:val="22"/>
                <w:szCs w:val="22"/>
              </w:rPr>
            </w:pPr>
          </w:p>
        </w:tc>
        <w:tc>
          <w:tcPr>
            <w:tcW w:w="1993" w:type="dxa"/>
            <w:tcBorders>
              <w:top w:val="nil"/>
              <w:left w:val="nil"/>
              <w:bottom w:val="nil"/>
              <w:right w:val="single" w:sz="8" w:space="0" w:color="auto"/>
            </w:tcBorders>
            <w:shd w:val="clear" w:color="000000" w:fill="203764"/>
            <w:vAlign w:val="center"/>
            <w:hideMark/>
          </w:tcPr>
          <w:p w14:paraId="0D2A9A6D" w14:textId="77777777" w:rsidR="006A5B8A" w:rsidRPr="0098697B" w:rsidRDefault="006A5B8A" w:rsidP="006A5B8A">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w:t>
            </w:r>
          </w:p>
        </w:tc>
        <w:tc>
          <w:tcPr>
            <w:tcW w:w="2073" w:type="dxa"/>
            <w:tcBorders>
              <w:top w:val="nil"/>
              <w:left w:val="nil"/>
              <w:bottom w:val="nil"/>
              <w:right w:val="single" w:sz="8" w:space="0" w:color="auto"/>
            </w:tcBorders>
            <w:shd w:val="clear" w:color="000000" w:fill="203764"/>
            <w:vAlign w:val="center"/>
            <w:hideMark/>
          </w:tcPr>
          <w:p w14:paraId="36730B55" w14:textId="0A425470" w:rsidR="006A5B8A" w:rsidRPr="0071104F" w:rsidRDefault="0071104F" w:rsidP="006A5B8A">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AB28DF" w:rsidRPr="0098697B" w14:paraId="37E1086D" w14:textId="77777777" w:rsidTr="007675A9">
        <w:trPr>
          <w:trHeight w:val="418"/>
        </w:trPr>
        <w:tc>
          <w:tcPr>
            <w:tcW w:w="5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557811" w14:textId="77777777" w:rsidR="006A5B8A" w:rsidRPr="0098697B" w:rsidRDefault="006A5B8A" w:rsidP="006A5B8A">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5AEBF71F" w14:textId="77777777" w:rsidR="006A5B8A" w:rsidRPr="0098697B" w:rsidRDefault="006A5B8A" w:rsidP="006A5B8A">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106</w:t>
            </w:r>
          </w:p>
        </w:tc>
        <w:tc>
          <w:tcPr>
            <w:tcW w:w="536" w:type="dxa"/>
            <w:tcBorders>
              <w:top w:val="single" w:sz="8" w:space="0" w:color="auto"/>
              <w:left w:val="nil"/>
              <w:bottom w:val="single" w:sz="8" w:space="0" w:color="auto"/>
              <w:right w:val="single" w:sz="8" w:space="0" w:color="auto"/>
            </w:tcBorders>
            <w:shd w:val="clear" w:color="auto" w:fill="auto"/>
            <w:vAlign w:val="center"/>
            <w:hideMark/>
          </w:tcPr>
          <w:p w14:paraId="29743D06" w14:textId="77777777" w:rsidR="006A5B8A" w:rsidRPr="0098697B" w:rsidRDefault="006A5B8A" w:rsidP="006A5B8A">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3449" w:type="dxa"/>
            <w:tcBorders>
              <w:top w:val="single" w:sz="8" w:space="0" w:color="auto"/>
              <w:left w:val="nil"/>
              <w:bottom w:val="single" w:sz="8" w:space="0" w:color="auto"/>
              <w:right w:val="single" w:sz="8" w:space="0" w:color="auto"/>
            </w:tcBorders>
            <w:shd w:val="clear" w:color="auto" w:fill="auto"/>
            <w:vAlign w:val="center"/>
            <w:hideMark/>
          </w:tcPr>
          <w:p w14:paraId="6B55E412" w14:textId="77777777" w:rsidR="006A5B8A" w:rsidRPr="0098697B" w:rsidRDefault="006A5B8A" w:rsidP="006A5B8A">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Contabilización de la revaluación</w:t>
            </w:r>
          </w:p>
        </w:tc>
        <w:tc>
          <w:tcPr>
            <w:tcW w:w="1993" w:type="dxa"/>
            <w:tcBorders>
              <w:top w:val="single" w:sz="8" w:space="0" w:color="auto"/>
              <w:left w:val="nil"/>
              <w:bottom w:val="single" w:sz="8" w:space="0" w:color="auto"/>
              <w:right w:val="single" w:sz="8" w:space="0" w:color="auto"/>
            </w:tcBorders>
            <w:shd w:val="clear" w:color="auto" w:fill="auto"/>
            <w:vAlign w:val="center"/>
            <w:hideMark/>
          </w:tcPr>
          <w:p w14:paraId="490BA634" w14:textId="77777777" w:rsidR="0098697B" w:rsidRDefault="006A5B8A" w:rsidP="006A5B8A">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NICSP Nº 17,</w:t>
            </w:r>
          </w:p>
          <w:p w14:paraId="591B7F06" w14:textId="5EF3ECA9" w:rsidR="006A5B8A" w:rsidRPr="0098697B" w:rsidRDefault="006A5B8A" w:rsidP="006A5B8A">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 54 a 56.</w:t>
            </w:r>
          </w:p>
        </w:tc>
        <w:tc>
          <w:tcPr>
            <w:tcW w:w="2073" w:type="dxa"/>
            <w:tcBorders>
              <w:top w:val="single" w:sz="8" w:space="0" w:color="auto"/>
              <w:left w:val="nil"/>
              <w:bottom w:val="single" w:sz="8" w:space="0" w:color="auto"/>
              <w:right w:val="single" w:sz="8" w:space="0" w:color="auto"/>
            </w:tcBorders>
            <w:shd w:val="clear" w:color="auto" w:fill="auto"/>
            <w:vAlign w:val="center"/>
            <w:hideMark/>
          </w:tcPr>
          <w:p w14:paraId="7E590350" w14:textId="77777777" w:rsidR="006A5B8A" w:rsidRPr="0098697B" w:rsidRDefault="006A5B8A" w:rsidP="006A5B8A">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w:t>
            </w:r>
          </w:p>
        </w:tc>
      </w:tr>
    </w:tbl>
    <w:p w14:paraId="4D44CC87" w14:textId="77777777" w:rsidR="000D26B6" w:rsidRDefault="000D26B6" w:rsidP="00A351C9">
      <w:pPr>
        <w:spacing w:line="238" w:lineRule="auto"/>
        <w:ind w:left="1134" w:right="260" w:hanging="1134"/>
        <w:jc w:val="both"/>
        <w:rPr>
          <w:rFonts w:ascii="Arial" w:eastAsia="Arial" w:hAnsi="Arial"/>
          <w:b/>
          <w:sz w:val="22"/>
          <w:szCs w:val="22"/>
          <w:lang w:val="es-CR"/>
        </w:rPr>
      </w:pPr>
    </w:p>
    <w:p w14:paraId="367621C1" w14:textId="6CF9B550"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CD97A5B"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66B4B627" w14:textId="6B3DD862" w:rsidR="006A5B8A" w:rsidRPr="00F02F9D" w:rsidRDefault="006A5B8A" w:rsidP="00AB28DF">
      <w:pPr>
        <w:spacing w:line="27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1.106.0.01</w:t>
      </w:r>
      <w:r w:rsidRPr="00F02F9D">
        <w:rPr>
          <w:rFonts w:ascii="Arial" w:eastAsia="Arial" w:hAnsi="Arial"/>
          <w:bCs/>
          <w:sz w:val="22"/>
          <w:szCs w:val="22"/>
          <w:lang w:val="es-CR"/>
        </w:rPr>
        <w:tab/>
        <w:t xml:space="preserve">Cuando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revalúe sus activos, los incrementos y disminuciones producto de revaluaciones relacionadas a activos individuales dentro de las subcuentas de propiedades, planta y equipo deben compensarse entre sí dentro de dicha subcuenta, pero no deben compensarse con los correspondientes a otras cuentas dentro del activo.</w:t>
      </w:r>
    </w:p>
    <w:p w14:paraId="3DBCE1EA" w14:textId="77777777" w:rsidR="006A5B8A" w:rsidRPr="00F02F9D" w:rsidRDefault="006A5B8A" w:rsidP="00AB28DF">
      <w:pPr>
        <w:spacing w:line="288" w:lineRule="exact"/>
        <w:ind w:left="1134" w:hanging="1134"/>
        <w:rPr>
          <w:rFonts w:ascii="Arial" w:eastAsia="Times New Roman" w:hAnsi="Arial"/>
          <w:bCs/>
          <w:sz w:val="22"/>
          <w:szCs w:val="22"/>
          <w:lang w:val="es-CR"/>
        </w:rPr>
      </w:pPr>
    </w:p>
    <w:p w14:paraId="1233AF7E" w14:textId="5802181E" w:rsidR="006A5B8A" w:rsidRPr="00F02F9D" w:rsidRDefault="006A5B8A" w:rsidP="00AB28DF">
      <w:pPr>
        <w:spacing w:line="27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1.106.0.02</w:t>
      </w:r>
      <w:r w:rsidRPr="00F02F9D">
        <w:rPr>
          <w:rFonts w:ascii="Arial" w:eastAsia="Arial" w:hAnsi="Arial"/>
          <w:bCs/>
          <w:sz w:val="22"/>
          <w:szCs w:val="22"/>
          <w:lang w:val="es-CR"/>
        </w:rPr>
        <w:tab/>
        <w:t>La contabilización de los montos de la revaluación se ajustará a lo siguiente:</w:t>
      </w:r>
    </w:p>
    <w:p w14:paraId="19FD2873" w14:textId="77777777" w:rsidR="007675A9" w:rsidRPr="00F02F9D" w:rsidRDefault="007675A9" w:rsidP="006A5B8A">
      <w:pPr>
        <w:spacing w:line="274" w:lineRule="auto"/>
        <w:ind w:left="1276" w:right="260" w:hanging="1276"/>
        <w:jc w:val="both"/>
        <w:rPr>
          <w:rFonts w:ascii="Arial" w:eastAsia="Arial" w:hAnsi="Arial"/>
          <w:b/>
          <w:sz w:val="22"/>
          <w:szCs w:val="22"/>
          <w:lang w:val="es-CR"/>
        </w:rPr>
      </w:pPr>
    </w:p>
    <w:tbl>
      <w:tblPr>
        <w:tblW w:w="9204" w:type="dxa"/>
        <w:tblLook w:val="04A0" w:firstRow="1" w:lastRow="0" w:firstColumn="1" w:lastColumn="0" w:noHBand="0" w:noVBand="1"/>
      </w:tblPr>
      <w:tblGrid>
        <w:gridCol w:w="2684"/>
        <w:gridCol w:w="2977"/>
        <w:gridCol w:w="3543"/>
      </w:tblGrid>
      <w:tr w:rsidR="007675A9" w:rsidRPr="0098697B" w14:paraId="6C907D07" w14:textId="77777777" w:rsidTr="00A963E1">
        <w:trPr>
          <w:trHeight w:val="310"/>
        </w:trPr>
        <w:tc>
          <w:tcPr>
            <w:tcW w:w="2684" w:type="dxa"/>
            <w:vMerge w:val="restart"/>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5110B493" w14:textId="77777777" w:rsidR="007675A9" w:rsidRPr="0098697B" w:rsidRDefault="007675A9" w:rsidP="007675A9">
            <w:pPr>
              <w:jc w:val="center"/>
              <w:rPr>
                <w:rFonts w:ascii="Arial Narrow" w:eastAsia="Times New Roman" w:hAnsi="Arial Narrow"/>
                <w:b/>
                <w:bCs/>
                <w:color w:val="FFFFFF"/>
              </w:rPr>
            </w:pPr>
            <w:r w:rsidRPr="0098697B">
              <w:rPr>
                <w:rFonts w:ascii="Arial Narrow" w:eastAsia="Times New Roman" w:hAnsi="Arial Narrow"/>
                <w:b/>
                <w:bCs/>
                <w:color w:val="FFFFFF"/>
                <w:lang w:val="es-CR"/>
              </w:rPr>
              <w:t>Hecho Generador</w:t>
            </w:r>
          </w:p>
        </w:tc>
        <w:tc>
          <w:tcPr>
            <w:tcW w:w="6520" w:type="dxa"/>
            <w:gridSpan w:val="2"/>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08EC4E9C" w14:textId="77777777" w:rsidR="007675A9" w:rsidRPr="0098697B" w:rsidRDefault="007675A9" w:rsidP="007675A9">
            <w:pPr>
              <w:jc w:val="center"/>
              <w:rPr>
                <w:rFonts w:ascii="Arial Narrow" w:eastAsia="Times New Roman" w:hAnsi="Arial Narrow"/>
                <w:b/>
                <w:bCs/>
                <w:color w:val="FFFFFF"/>
              </w:rPr>
            </w:pPr>
            <w:r w:rsidRPr="0098697B">
              <w:rPr>
                <w:rFonts w:ascii="Arial Narrow" w:eastAsia="Times New Roman" w:hAnsi="Arial Narrow"/>
                <w:b/>
                <w:bCs/>
                <w:color w:val="FFFFFF"/>
                <w:lang w:val="es-CR"/>
              </w:rPr>
              <w:t>Tratamiento Contable</w:t>
            </w:r>
          </w:p>
        </w:tc>
      </w:tr>
      <w:tr w:rsidR="007675A9" w:rsidRPr="0098697B" w14:paraId="2793F65D" w14:textId="77777777" w:rsidTr="00A963E1">
        <w:trPr>
          <w:trHeight w:val="320"/>
        </w:trPr>
        <w:tc>
          <w:tcPr>
            <w:tcW w:w="2684" w:type="dxa"/>
            <w:vMerge/>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7E1964E2" w14:textId="77777777" w:rsidR="007675A9" w:rsidRPr="0098697B" w:rsidRDefault="007675A9" w:rsidP="007675A9">
            <w:pPr>
              <w:rPr>
                <w:rFonts w:ascii="Arial Narrow" w:eastAsia="Times New Roman" w:hAnsi="Arial Narrow"/>
                <w:b/>
                <w:bCs/>
                <w:color w:val="FFFFFF"/>
              </w:rPr>
            </w:pPr>
          </w:p>
        </w:tc>
        <w:tc>
          <w:tcPr>
            <w:tcW w:w="2977" w:type="dxa"/>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2F402F4F" w14:textId="77777777" w:rsidR="007675A9" w:rsidRPr="0098697B" w:rsidRDefault="007675A9" w:rsidP="007675A9">
            <w:pPr>
              <w:jc w:val="center"/>
              <w:rPr>
                <w:rFonts w:ascii="Arial Narrow" w:eastAsia="Times New Roman" w:hAnsi="Arial Narrow"/>
                <w:b/>
                <w:bCs/>
                <w:color w:val="FFFFFF"/>
              </w:rPr>
            </w:pPr>
            <w:r w:rsidRPr="0098697B">
              <w:rPr>
                <w:rFonts w:ascii="Arial Narrow" w:eastAsia="Times New Roman" w:hAnsi="Arial Narrow"/>
                <w:b/>
                <w:bCs/>
                <w:color w:val="FFFFFF"/>
                <w:lang w:val="es-CR"/>
              </w:rPr>
              <w:t>General</w:t>
            </w:r>
          </w:p>
        </w:tc>
        <w:tc>
          <w:tcPr>
            <w:tcW w:w="3543" w:type="dxa"/>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4C63B141" w14:textId="77777777" w:rsidR="007675A9" w:rsidRPr="0098697B" w:rsidRDefault="007675A9" w:rsidP="007675A9">
            <w:pPr>
              <w:jc w:val="center"/>
              <w:rPr>
                <w:rFonts w:ascii="Arial Narrow" w:eastAsia="Times New Roman" w:hAnsi="Arial Narrow"/>
                <w:b/>
                <w:bCs/>
                <w:color w:val="FFFFFF"/>
              </w:rPr>
            </w:pPr>
            <w:r w:rsidRPr="0098697B">
              <w:rPr>
                <w:rFonts w:ascii="Arial Narrow" w:eastAsia="Times New Roman" w:hAnsi="Arial Narrow"/>
                <w:b/>
                <w:bCs/>
                <w:color w:val="FFFFFF"/>
                <w:lang w:val="es-CR"/>
              </w:rPr>
              <w:t>Excepción</w:t>
            </w:r>
          </w:p>
        </w:tc>
      </w:tr>
      <w:tr w:rsidR="007675A9" w:rsidRPr="006E5442" w14:paraId="49A58E97" w14:textId="77777777" w:rsidTr="00F36957">
        <w:trPr>
          <w:trHeight w:val="1207"/>
        </w:trPr>
        <w:tc>
          <w:tcPr>
            <w:tcW w:w="268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25F08E7" w14:textId="77777777" w:rsidR="007675A9" w:rsidRPr="0098697B" w:rsidRDefault="007675A9" w:rsidP="007675A9">
            <w:pPr>
              <w:jc w:val="both"/>
              <w:rPr>
                <w:rFonts w:ascii="Arial Narrow" w:eastAsia="Times New Roman" w:hAnsi="Arial Narrow"/>
                <w:b/>
                <w:bCs/>
                <w:color w:val="000000"/>
                <w:lang w:val="es-CR"/>
              </w:rPr>
            </w:pPr>
            <w:r w:rsidRPr="0098697B">
              <w:rPr>
                <w:rFonts w:ascii="Arial Narrow" w:eastAsia="Times New Roman" w:hAnsi="Arial Narrow"/>
                <w:b/>
                <w:bCs/>
                <w:color w:val="000000"/>
                <w:lang w:val="es-CR"/>
              </w:rPr>
              <w:t>Incremento del importe en libros de un activo.</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42E56BD2" w14:textId="77777777" w:rsidR="007675A9" w:rsidRPr="0098697B" w:rsidRDefault="007675A9" w:rsidP="007675A9">
            <w:pPr>
              <w:jc w:val="both"/>
              <w:rPr>
                <w:rFonts w:ascii="Arial Narrow" w:eastAsia="Times New Roman" w:hAnsi="Arial Narrow"/>
                <w:b/>
                <w:bCs/>
                <w:color w:val="000000"/>
                <w:lang w:val="es-CR"/>
              </w:rPr>
            </w:pPr>
            <w:r w:rsidRPr="0098697B">
              <w:rPr>
                <w:rFonts w:ascii="Arial Narrow" w:eastAsia="Times New Roman" w:hAnsi="Arial Narrow"/>
                <w:b/>
                <w:bCs/>
                <w:color w:val="000000"/>
                <w:lang w:val="es-CR"/>
              </w:rPr>
              <w:t>Incremento del patrimonio – Reserva de revaluación</w:t>
            </w:r>
          </w:p>
        </w:tc>
        <w:tc>
          <w:tcPr>
            <w:tcW w:w="3543" w:type="dxa"/>
            <w:tcBorders>
              <w:top w:val="single" w:sz="4" w:space="0" w:color="auto"/>
              <w:left w:val="nil"/>
              <w:bottom w:val="single" w:sz="8" w:space="0" w:color="auto"/>
              <w:right w:val="single" w:sz="8" w:space="0" w:color="auto"/>
            </w:tcBorders>
            <w:shd w:val="clear" w:color="auto" w:fill="auto"/>
            <w:vAlign w:val="center"/>
            <w:hideMark/>
          </w:tcPr>
          <w:p w14:paraId="76663253" w14:textId="77777777" w:rsidR="007675A9" w:rsidRPr="0098697B" w:rsidRDefault="007675A9" w:rsidP="007675A9">
            <w:pPr>
              <w:jc w:val="both"/>
              <w:rPr>
                <w:rFonts w:ascii="Arial Narrow" w:eastAsia="Times New Roman" w:hAnsi="Arial Narrow"/>
                <w:b/>
                <w:bCs/>
                <w:color w:val="000000"/>
                <w:lang w:val="es-CR"/>
              </w:rPr>
            </w:pPr>
            <w:r w:rsidRPr="0098697B">
              <w:rPr>
                <w:rFonts w:ascii="Arial Narrow" w:eastAsia="Times New Roman" w:hAnsi="Arial Narrow"/>
                <w:b/>
                <w:bCs/>
                <w:color w:val="000000"/>
                <w:lang w:val="es-CR"/>
              </w:rPr>
              <w:t>Incremento del resultado, si y sólo si fuera una reversión de una disminución por devaluación en resultados, de la misma, que fue reconocida previamente y hasta el límite de la disminución reconocida.</w:t>
            </w:r>
          </w:p>
        </w:tc>
      </w:tr>
      <w:tr w:rsidR="007675A9" w:rsidRPr="006E5442" w14:paraId="587C3B34" w14:textId="77777777" w:rsidTr="007675A9">
        <w:trPr>
          <w:trHeight w:val="831"/>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6F5C1B2F" w14:textId="77777777" w:rsidR="007675A9" w:rsidRPr="0098697B" w:rsidRDefault="007675A9" w:rsidP="007675A9">
            <w:pPr>
              <w:jc w:val="both"/>
              <w:rPr>
                <w:rFonts w:ascii="Arial Narrow" w:eastAsia="Times New Roman" w:hAnsi="Arial Narrow"/>
                <w:b/>
                <w:bCs/>
                <w:color w:val="000000"/>
                <w:lang w:val="es-CR"/>
              </w:rPr>
            </w:pPr>
            <w:r w:rsidRPr="0098697B">
              <w:rPr>
                <w:rFonts w:ascii="Arial Narrow" w:eastAsia="Times New Roman" w:hAnsi="Arial Narrow"/>
                <w:b/>
                <w:bCs/>
                <w:color w:val="000000"/>
                <w:lang w:val="es-CR"/>
              </w:rPr>
              <w:t>Disminución del importe en libros de un activo.</w:t>
            </w:r>
          </w:p>
        </w:tc>
        <w:tc>
          <w:tcPr>
            <w:tcW w:w="2977" w:type="dxa"/>
            <w:tcBorders>
              <w:top w:val="nil"/>
              <w:left w:val="nil"/>
              <w:bottom w:val="single" w:sz="8" w:space="0" w:color="auto"/>
              <w:right w:val="single" w:sz="8" w:space="0" w:color="auto"/>
            </w:tcBorders>
            <w:shd w:val="clear" w:color="auto" w:fill="auto"/>
            <w:vAlign w:val="center"/>
            <w:hideMark/>
          </w:tcPr>
          <w:p w14:paraId="3B8BBC3B" w14:textId="77777777" w:rsidR="007675A9" w:rsidRPr="0098697B" w:rsidRDefault="007675A9" w:rsidP="007675A9">
            <w:pPr>
              <w:jc w:val="both"/>
              <w:rPr>
                <w:rFonts w:ascii="Arial Narrow" w:eastAsia="Times New Roman" w:hAnsi="Arial Narrow"/>
                <w:b/>
                <w:bCs/>
                <w:color w:val="000000"/>
                <w:lang w:val="es-CR"/>
              </w:rPr>
            </w:pPr>
            <w:r w:rsidRPr="0098697B">
              <w:rPr>
                <w:rFonts w:ascii="Arial Narrow" w:eastAsia="Times New Roman" w:hAnsi="Arial Narrow"/>
                <w:b/>
                <w:bCs/>
                <w:color w:val="000000"/>
                <w:lang w:val="es-CR"/>
              </w:rPr>
              <w:t>Resultado negativo por pérdida del valor</w:t>
            </w:r>
          </w:p>
        </w:tc>
        <w:tc>
          <w:tcPr>
            <w:tcW w:w="3543" w:type="dxa"/>
            <w:tcBorders>
              <w:top w:val="nil"/>
              <w:left w:val="nil"/>
              <w:bottom w:val="single" w:sz="8" w:space="0" w:color="auto"/>
              <w:right w:val="single" w:sz="8" w:space="0" w:color="auto"/>
            </w:tcBorders>
            <w:shd w:val="clear" w:color="auto" w:fill="auto"/>
            <w:vAlign w:val="center"/>
            <w:hideMark/>
          </w:tcPr>
          <w:p w14:paraId="7AC0FB79" w14:textId="4A18DF2C" w:rsidR="007675A9" w:rsidRPr="0098697B" w:rsidRDefault="007675A9" w:rsidP="007675A9">
            <w:pPr>
              <w:jc w:val="both"/>
              <w:rPr>
                <w:rFonts w:ascii="Arial Narrow" w:eastAsia="Times New Roman" w:hAnsi="Arial Narrow"/>
                <w:b/>
                <w:bCs/>
                <w:color w:val="000000"/>
                <w:lang w:val="es-CR"/>
              </w:rPr>
            </w:pPr>
            <w:r w:rsidRPr="0098697B">
              <w:rPr>
                <w:rFonts w:ascii="Arial Narrow" w:eastAsia="Times New Roman" w:hAnsi="Arial Narrow"/>
                <w:b/>
                <w:bCs/>
                <w:color w:val="000000"/>
                <w:lang w:val="es-CR"/>
              </w:rPr>
              <w:t>Disminución de reserva del patrimonio, hasta agotar el saldo acumulado de las reservas por revaluación reconocidas Con anterioridad.</w:t>
            </w:r>
          </w:p>
        </w:tc>
      </w:tr>
    </w:tbl>
    <w:p w14:paraId="0BB67E27" w14:textId="77777777" w:rsidR="000D26B6" w:rsidRPr="00F02F9D" w:rsidRDefault="000D26B6" w:rsidP="00A351C9">
      <w:pPr>
        <w:spacing w:line="238" w:lineRule="auto"/>
        <w:ind w:left="1134" w:right="260" w:hanging="1134"/>
        <w:jc w:val="both"/>
        <w:rPr>
          <w:rFonts w:ascii="Arial" w:eastAsia="Arial" w:hAnsi="Arial"/>
          <w:b/>
          <w:sz w:val="22"/>
          <w:szCs w:val="22"/>
          <w:lang w:val="es-CR"/>
        </w:rPr>
      </w:pPr>
    </w:p>
    <w:p w14:paraId="1594034F" w14:textId="77777777" w:rsidR="006A5B8A" w:rsidRPr="00F02F9D" w:rsidRDefault="006A5B8A" w:rsidP="00A351C9">
      <w:pPr>
        <w:spacing w:line="238" w:lineRule="auto"/>
        <w:ind w:left="1134" w:right="260" w:hanging="1134"/>
        <w:jc w:val="both"/>
        <w:rPr>
          <w:rFonts w:ascii="Arial" w:eastAsia="Arial" w:hAnsi="Arial"/>
          <w:b/>
          <w:sz w:val="22"/>
          <w:szCs w:val="22"/>
          <w:lang w:val="es-CR"/>
        </w:rPr>
      </w:pPr>
    </w:p>
    <w:p w14:paraId="0DB01876" w14:textId="77777777" w:rsidR="006A5B8A" w:rsidRPr="00F02F9D" w:rsidRDefault="006A5B8A" w:rsidP="00A351C9">
      <w:pPr>
        <w:spacing w:line="238" w:lineRule="auto"/>
        <w:ind w:left="1134" w:right="260" w:hanging="1134"/>
        <w:jc w:val="both"/>
        <w:rPr>
          <w:rFonts w:ascii="Arial" w:eastAsia="Arial" w:hAnsi="Arial"/>
          <w:b/>
          <w:sz w:val="22"/>
          <w:szCs w:val="22"/>
          <w:lang w:val="es-CR"/>
        </w:rPr>
      </w:pPr>
    </w:p>
    <w:tbl>
      <w:tblPr>
        <w:tblW w:w="9163" w:type="dxa"/>
        <w:tblLook w:val="04A0" w:firstRow="1" w:lastRow="0" w:firstColumn="1" w:lastColumn="0" w:noHBand="0" w:noVBand="1"/>
      </w:tblPr>
      <w:tblGrid>
        <w:gridCol w:w="560"/>
        <w:gridCol w:w="550"/>
        <w:gridCol w:w="536"/>
        <w:gridCol w:w="3447"/>
        <w:gridCol w:w="1995"/>
        <w:gridCol w:w="2075"/>
      </w:tblGrid>
      <w:tr w:rsidR="007675A9" w:rsidRPr="0098697B" w14:paraId="3FF868DB" w14:textId="77777777" w:rsidTr="007675A9">
        <w:trPr>
          <w:trHeight w:val="320"/>
        </w:trPr>
        <w:tc>
          <w:tcPr>
            <w:tcW w:w="164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2B8969B" w14:textId="77777777" w:rsidR="007675A9" w:rsidRPr="0098697B" w:rsidRDefault="007675A9" w:rsidP="007675A9">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 / Política</w:t>
            </w:r>
          </w:p>
        </w:tc>
        <w:tc>
          <w:tcPr>
            <w:tcW w:w="3447" w:type="dxa"/>
            <w:vMerge w:val="restart"/>
            <w:tcBorders>
              <w:top w:val="single" w:sz="8" w:space="0" w:color="auto"/>
              <w:left w:val="single" w:sz="8" w:space="0" w:color="auto"/>
              <w:bottom w:val="nil"/>
              <w:right w:val="single" w:sz="8" w:space="0" w:color="auto"/>
            </w:tcBorders>
            <w:shd w:val="clear" w:color="000000" w:fill="203764"/>
            <w:vAlign w:val="center"/>
            <w:hideMark/>
          </w:tcPr>
          <w:p w14:paraId="6E76888E" w14:textId="77777777" w:rsidR="007675A9" w:rsidRPr="0098697B" w:rsidRDefault="007675A9" w:rsidP="007675A9">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Concepto</w:t>
            </w:r>
          </w:p>
        </w:tc>
        <w:tc>
          <w:tcPr>
            <w:tcW w:w="4070" w:type="dxa"/>
            <w:gridSpan w:val="2"/>
            <w:tcBorders>
              <w:top w:val="single" w:sz="8" w:space="0" w:color="auto"/>
              <w:left w:val="nil"/>
              <w:bottom w:val="single" w:sz="8" w:space="0" w:color="auto"/>
              <w:right w:val="single" w:sz="8" w:space="0" w:color="000000"/>
            </w:tcBorders>
            <w:shd w:val="clear" w:color="000000" w:fill="203764"/>
            <w:vAlign w:val="center"/>
            <w:hideMark/>
          </w:tcPr>
          <w:p w14:paraId="54619E08" w14:textId="77777777" w:rsidR="007675A9" w:rsidRPr="0098697B" w:rsidRDefault="007675A9" w:rsidP="007675A9">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Referencia</w:t>
            </w:r>
          </w:p>
        </w:tc>
      </w:tr>
      <w:tr w:rsidR="007675A9" w:rsidRPr="0071104F" w14:paraId="32B9F42E" w14:textId="77777777" w:rsidTr="007675A9">
        <w:trPr>
          <w:trHeight w:val="320"/>
        </w:trPr>
        <w:tc>
          <w:tcPr>
            <w:tcW w:w="1646" w:type="dxa"/>
            <w:gridSpan w:val="3"/>
            <w:vMerge/>
            <w:tcBorders>
              <w:top w:val="single" w:sz="8" w:space="0" w:color="auto"/>
              <w:left w:val="single" w:sz="8" w:space="0" w:color="auto"/>
              <w:bottom w:val="nil"/>
              <w:right w:val="single" w:sz="8" w:space="0" w:color="000000"/>
            </w:tcBorders>
            <w:vAlign w:val="center"/>
            <w:hideMark/>
          </w:tcPr>
          <w:p w14:paraId="37DB6C21" w14:textId="77777777" w:rsidR="007675A9" w:rsidRPr="0098697B" w:rsidRDefault="007675A9" w:rsidP="007675A9">
            <w:pPr>
              <w:rPr>
                <w:rFonts w:ascii="Arial Narrow" w:eastAsia="Times New Roman" w:hAnsi="Arial Narrow"/>
                <w:b/>
                <w:bCs/>
                <w:color w:val="FFFFFF"/>
                <w:sz w:val="22"/>
                <w:szCs w:val="22"/>
              </w:rPr>
            </w:pPr>
          </w:p>
        </w:tc>
        <w:tc>
          <w:tcPr>
            <w:tcW w:w="3447" w:type="dxa"/>
            <w:vMerge/>
            <w:tcBorders>
              <w:top w:val="single" w:sz="8" w:space="0" w:color="auto"/>
              <w:left w:val="single" w:sz="8" w:space="0" w:color="auto"/>
              <w:bottom w:val="nil"/>
              <w:right w:val="single" w:sz="8" w:space="0" w:color="auto"/>
            </w:tcBorders>
            <w:vAlign w:val="center"/>
            <w:hideMark/>
          </w:tcPr>
          <w:p w14:paraId="77D00E45" w14:textId="77777777" w:rsidR="007675A9" w:rsidRPr="0098697B" w:rsidRDefault="007675A9" w:rsidP="007675A9">
            <w:pPr>
              <w:rPr>
                <w:rFonts w:ascii="Arial Narrow" w:eastAsia="Times New Roman" w:hAnsi="Arial Narrow"/>
                <w:b/>
                <w:bCs/>
                <w:color w:val="FFFFFF"/>
                <w:sz w:val="22"/>
                <w:szCs w:val="22"/>
              </w:rPr>
            </w:pPr>
          </w:p>
        </w:tc>
        <w:tc>
          <w:tcPr>
            <w:tcW w:w="1995" w:type="dxa"/>
            <w:tcBorders>
              <w:top w:val="nil"/>
              <w:left w:val="nil"/>
              <w:bottom w:val="nil"/>
              <w:right w:val="single" w:sz="8" w:space="0" w:color="auto"/>
            </w:tcBorders>
            <w:shd w:val="clear" w:color="000000" w:fill="203764"/>
            <w:vAlign w:val="center"/>
            <w:hideMark/>
          </w:tcPr>
          <w:p w14:paraId="03C05692" w14:textId="77777777" w:rsidR="007675A9" w:rsidRPr="0098697B" w:rsidRDefault="007675A9" w:rsidP="007675A9">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w:t>
            </w:r>
          </w:p>
        </w:tc>
        <w:tc>
          <w:tcPr>
            <w:tcW w:w="2075" w:type="dxa"/>
            <w:tcBorders>
              <w:top w:val="nil"/>
              <w:left w:val="nil"/>
              <w:bottom w:val="nil"/>
              <w:right w:val="single" w:sz="8" w:space="0" w:color="auto"/>
            </w:tcBorders>
            <w:shd w:val="clear" w:color="000000" w:fill="203764"/>
            <w:vAlign w:val="center"/>
            <w:hideMark/>
          </w:tcPr>
          <w:p w14:paraId="04C5C8EE" w14:textId="474CEFF9" w:rsidR="007675A9" w:rsidRPr="0071104F" w:rsidRDefault="0071104F" w:rsidP="007675A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02F9D" w:rsidRPr="0098697B" w14:paraId="55878330" w14:textId="77777777" w:rsidTr="00F36957">
        <w:trPr>
          <w:trHeight w:val="585"/>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D95883" w14:textId="77777777" w:rsidR="007675A9" w:rsidRPr="0098697B" w:rsidRDefault="007675A9" w:rsidP="007675A9">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07255E3A" w14:textId="77777777" w:rsidR="007675A9" w:rsidRPr="0098697B" w:rsidRDefault="007675A9" w:rsidP="007675A9">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107</w:t>
            </w:r>
          </w:p>
        </w:tc>
        <w:tc>
          <w:tcPr>
            <w:tcW w:w="536" w:type="dxa"/>
            <w:tcBorders>
              <w:top w:val="single" w:sz="8" w:space="0" w:color="auto"/>
              <w:left w:val="nil"/>
              <w:bottom w:val="single" w:sz="8" w:space="0" w:color="auto"/>
              <w:right w:val="single" w:sz="8" w:space="0" w:color="auto"/>
            </w:tcBorders>
            <w:shd w:val="clear" w:color="auto" w:fill="auto"/>
            <w:vAlign w:val="center"/>
            <w:hideMark/>
          </w:tcPr>
          <w:p w14:paraId="3F9C993B" w14:textId="77777777" w:rsidR="007675A9" w:rsidRPr="0098697B" w:rsidRDefault="007675A9" w:rsidP="007675A9">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3447" w:type="dxa"/>
            <w:tcBorders>
              <w:top w:val="single" w:sz="8" w:space="0" w:color="auto"/>
              <w:left w:val="nil"/>
              <w:bottom w:val="single" w:sz="8" w:space="0" w:color="auto"/>
              <w:right w:val="single" w:sz="8" w:space="0" w:color="auto"/>
            </w:tcBorders>
            <w:shd w:val="clear" w:color="auto" w:fill="auto"/>
            <w:vAlign w:val="center"/>
            <w:hideMark/>
          </w:tcPr>
          <w:p w14:paraId="75AF552E" w14:textId="77777777" w:rsidR="007675A9" w:rsidRPr="0098697B" w:rsidRDefault="007675A9" w:rsidP="007675A9">
            <w:pPr>
              <w:jc w:val="both"/>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Afectación de la reserva por revaluación a resultados acumulados</w:t>
            </w:r>
          </w:p>
        </w:tc>
        <w:tc>
          <w:tcPr>
            <w:tcW w:w="1995" w:type="dxa"/>
            <w:tcBorders>
              <w:top w:val="single" w:sz="8" w:space="0" w:color="auto"/>
              <w:left w:val="nil"/>
              <w:bottom w:val="single" w:sz="8" w:space="0" w:color="auto"/>
              <w:right w:val="single" w:sz="8" w:space="0" w:color="auto"/>
            </w:tcBorders>
            <w:shd w:val="clear" w:color="auto" w:fill="auto"/>
            <w:vAlign w:val="center"/>
            <w:hideMark/>
          </w:tcPr>
          <w:p w14:paraId="001D9C20" w14:textId="77777777" w:rsidR="0098697B" w:rsidRDefault="007675A9" w:rsidP="007675A9">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NICSP Nº 17, </w:t>
            </w:r>
          </w:p>
          <w:p w14:paraId="6263C35D" w14:textId="37DEF9B0" w:rsidR="007675A9" w:rsidRPr="0098697B" w:rsidRDefault="007675A9" w:rsidP="007675A9">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Párrafo 57.</w:t>
            </w:r>
          </w:p>
        </w:tc>
        <w:tc>
          <w:tcPr>
            <w:tcW w:w="2075" w:type="dxa"/>
            <w:tcBorders>
              <w:top w:val="single" w:sz="8" w:space="0" w:color="auto"/>
              <w:left w:val="nil"/>
              <w:bottom w:val="single" w:sz="8" w:space="0" w:color="auto"/>
              <w:right w:val="single" w:sz="8" w:space="0" w:color="auto"/>
            </w:tcBorders>
            <w:shd w:val="clear" w:color="auto" w:fill="auto"/>
            <w:vAlign w:val="center"/>
            <w:hideMark/>
          </w:tcPr>
          <w:p w14:paraId="284AB827" w14:textId="77777777" w:rsidR="007675A9" w:rsidRPr="0098697B" w:rsidRDefault="007675A9" w:rsidP="007675A9">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DGCN</w:t>
            </w:r>
          </w:p>
        </w:tc>
      </w:tr>
    </w:tbl>
    <w:p w14:paraId="202359B9" w14:textId="77777777" w:rsidR="006A5B8A" w:rsidRDefault="006A5B8A" w:rsidP="00A351C9">
      <w:pPr>
        <w:spacing w:line="238" w:lineRule="auto"/>
        <w:ind w:left="1134" w:right="260" w:hanging="1134"/>
        <w:jc w:val="both"/>
        <w:rPr>
          <w:rFonts w:ascii="Arial" w:eastAsia="Arial" w:hAnsi="Arial"/>
          <w:b/>
          <w:sz w:val="22"/>
          <w:szCs w:val="22"/>
          <w:lang w:val="es-CR"/>
        </w:rPr>
      </w:pPr>
    </w:p>
    <w:p w14:paraId="780A4455" w14:textId="14F8DEE1" w:rsidR="00A963E1" w:rsidRPr="00F02F9D" w:rsidRDefault="00A963E1" w:rsidP="00A351C9">
      <w:pPr>
        <w:spacing w:line="238" w:lineRule="auto"/>
        <w:ind w:left="1134" w:right="260" w:hanging="1134"/>
        <w:jc w:val="both"/>
        <w:rPr>
          <w:rFonts w:ascii="Arial" w:eastAsia="Arial" w:hAnsi="Arial"/>
          <w:b/>
          <w:sz w:val="22"/>
          <w:szCs w:val="22"/>
          <w:lang w:val="es-CR"/>
        </w:rPr>
      </w:pPr>
      <w:r w:rsidRPr="00F02F9D">
        <w:rPr>
          <w:rFonts w:ascii="Arial" w:eastAsia="Arial" w:hAnsi="Arial"/>
          <w:b/>
          <w:sz w:val="22"/>
          <w:szCs w:val="22"/>
        </w:rPr>
        <w:t>Política Contable</w:t>
      </w:r>
    </w:p>
    <w:p w14:paraId="420100CB" w14:textId="77777777" w:rsidR="00A963E1" w:rsidRDefault="00A963E1" w:rsidP="007675A9">
      <w:pPr>
        <w:spacing w:line="0" w:lineRule="atLeast"/>
        <w:ind w:left="1134" w:hanging="1134"/>
        <w:jc w:val="both"/>
        <w:rPr>
          <w:rFonts w:ascii="Arial" w:eastAsia="Arial" w:hAnsi="Arial"/>
          <w:bCs/>
          <w:sz w:val="22"/>
          <w:szCs w:val="22"/>
          <w:lang w:val="es-CR"/>
        </w:rPr>
      </w:pPr>
    </w:p>
    <w:p w14:paraId="50B9537B" w14:textId="3E0E3481" w:rsidR="007675A9" w:rsidRDefault="007675A9" w:rsidP="007675A9">
      <w:pPr>
        <w:spacing w:line="0" w:lineRule="atLeast"/>
        <w:ind w:left="1134" w:hanging="1134"/>
        <w:jc w:val="both"/>
        <w:rPr>
          <w:rFonts w:ascii="Arial" w:eastAsia="Arial" w:hAnsi="Arial"/>
          <w:bCs/>
          <w:sz w:val="22"/>
          <w:szCs w:val="22"/>
          <w:lang w:val="es-CR"/>
        </w:rPr>
      </w:pPr>
      <w:r w:rsidRPr="00F02F9D">
        <w:rPr>
          <w:rFonts w:ascii="Arial" w:eastAsia="Arial" w:hAnsi="Arial"/>
          <w:bCs/>
          <w:sz w:val="22"/>
          <w:szCs w:val="22"/>
          <w:lang w:val="es-CR"/>
        </w:rPr>
        <w:t>1.107.0.01</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transferirá las reservas por revaluación a resultados acumulados cuando:</w:t>
      </w:r>
    </w:p>
    <w:p w14:paraId="1F924752" w14:textId="77777777" w:rsidR="00523185" w:rsidRPr="00F02F9D" w:rsidRDefault="00523185" w:rsidP="007675A9">
      <w:pPr>
        <w:spacing w:line="0" w:lineRule="atLeast"/>
        <w:ind w:left="1134" w:hanging="1134"/>
        <w:jc w:val="both"/>
        <w:rPr>
          <w:rFonts w:ascii="Arial" w:eastAsia="Arial" w:hAnsi="Arial"/>
          <w:bCs/>
          <w:sz w:val="22"/>
          <w:szCs w:val="22"/>
          <w:lang w:val="es-CR"/>
        </w:rPr>
      </w:pPr>
    </w:p>
    <w:p w14:paraId="3C61690F" w14:textId="77777777" w:rsidR="007675A9" w:rsidRPr="00F02F9D" w:rsidRDefault="007675A9">
      <w:pPr>
        <w:pStyle w:val="Prrafodelista"/>
        <w:numPr>
          <w:ilvl w:val="0"/>
          <w:numId w:val="35"/>
        </w:numPr>
        <w:spacing w:after="120" w:line="238" w:lineRule="auto"/>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Por retiro o disposición, se reconozca la baja de un bien que ha sido revaluado, transfiriéndose a resultados acumulados la diferencia entre el valor en libros del activo y el que resultaría según su costo original.</w:t>
      </w:r>
    </w:p>
    <w:p w14:paraId="542592C4" w14:textId="77777777" w:rsidR="007675A9" w:rsidRPr="00F02F9D" w:rsidRDefault="007675A9">
      <w:pPr>
        <w:pStyle w:val="Prrafodelista"/>
        <w:numPr>
          <w:ilvl w:val="0"/>
          <w:numId w:val="35"/>
        </w:numPr>
        <w:spacing w:line="251" w:lineRule="auto"/>
        <w:ind w:left="1560" w:right="260"/>
        <w:jc w:val="both"/>
        <w:rPr>
          <w:rFonts w:ascii="Arial" w:eastAsia="Arial" w:hAnsi="Arial"/>
          <w:bCs/>
          <w:sz w:val="22"/>
          <w:szCs w:val="22"/>
          <w:lang w:val="es-CR"/>
        </w:rPr>
      </w:pPr>
      <w:r w:rsidRPr="00F02F9D">
        <w:rPr>
          <w:rFonts w:ascii="Arial" w:eastAsia="Arial" w:hAnsi="Arial"/>
          <w:bCs/>
          <w:sz w:val="22"/>
          <w:szCs w:val="22"/>
          <w:lang w:val="es-CR"/>
        </w:rPr>
        <w:t>A medida que se utilice el bien objeto de la revaluación, transfiriéndose a resultados acumulados la diferencia entre la depreciación calculada según el valor revaluado del activo y la calculada según su costo original.</w:t>
      </w:r>
    </w:p>
    <w:p w14:paraId="650D78AA" w14:textId="77777777" w:rsidR="007675A9" w:rsidRDefault="007675A9" w:rsidP="007675A9">
      <w:pPr>
        <w:spacing w:line="251" w:lineRule="auto"/>
        <w:ind w:right="260"/>
        <w:jc w:val="both"/>
        <w:rPr>
          <w:rFonts w:ascii="Arial" w:eastAsia="Arial" w:hAnsi="Arial"/>
          <w:bCs/>
          <w:sz w:val="22"/>
          <w:szCs w:val="22"/>
          <w:lang w:val="es-CR"/>
        </w:rPr>
      </w:pPr>
    </w:p>
    <w:p w14:paraId="02524347" w14:textId="77777777" w:rsidR="0098697B" w:rsidRDefault="0098697B" w:rsidP="007675A9">
      <w:pPr>
        <w:spacing w:line="251" w:lineRule="auto"/>
        <w:ind w:right="260"/>
        <w:jc w:val="both"/>
        <w:rPr>
          <w:rFonts w:ascii="Arial" w:eastAsia="Arial" w:hAnsi="Arial"/>
          <w:bCs/>
          <w:sz w:val="22"/>
          <w:szCs w:val="22"/>
          <w:lang w:val="es-CR"/>
        </w:rPr>
      </w:pPr>
    </w:p>
    <w:tbl>
      <w:tblPr>
        <w:tblW w:w="0" w:type="auto"/>
        <w:tblInd w:w="380" w:type="dxa"/>
        <w:tblLayout w:type="fixed"/>
        <w:tblCellMar>
          <w:left w:w="0" w:type="dxa"/>
          <w:right w:w="0" w:type="dxa"/>
        </w:tblCellMar>
        <w:tblLook w:val="0000" w:firstRow="0" w:lastRow="0" w:firstColumn="0" w:lastColumn="0" w:noHBand="0" w:noVBand="0"/>
      </w:tblPr>
      <w:tblGrid>
        <w:gridCol w:w="1900"/>
        <w:gridCol w:w="2400"/>
        <w:gridCol w:w="2260"/>
        <w:gridCol w:w="2040"/>
      </w:tblGrid>
      <w:tr w:rsidR="007675A9" w:rsidRPr="0098697B" w14:paraId="1269FC0F" w14:textId="77777777" w:rsidTr="00D16719">
        <w:trPr>
          <w:trHeight w:val="276"/>
        </w:trPr>
        <w:tc>
          <w:tcPr>
            <w:tcW w:w="1900" w:type="dxa"/>
            <w:shd w:val="clear" w:color="auto" w:fill="auto"/>
            <w:vAlign w:val="bottom"/>
          </w:tcPr>
          <w:p w14:paraId="4BB92010" w14:textId="77777777" w:rsidR="007675A9" w:rsidRPr="0098697B" w:rsidRDefault="007675A9" w:rsidP="0098697B">
            <w:pPr>
              <w:pStyle w:val="Ttulo2"/>
              <w:ind w:left="284"/>
              <w:rPr>
                <w:rFonts w:ascii="Arial" w:eastAsia="Arial" w:hAnsi="Arial" w:cs="Arial"/>
                <w:b/>
                <w:bCs/>
                <w:sz w:val="20"/>
                <w:szCs w:val="20"/>
                <w:lang w:val="es-CR"/>
              </w:rPr>
            </w:pPr>
            <w:bookmarkStart w:id="50" w:name="_Toc172726213"/>
            <w:r w:rsidRPr="0098697B">
              <w:rPr>
                <w:rFonts w:ascii="Arial" w:eastAsia="Arial" w:hAnsi="Arial" w:cs="Arial"/>
                <w:b/>
                <w:bCs/>
                <w:sz w:val="20"/>
                <w:szCs w:val="20"/>
                <w:lang w:val="es-CR"/>
              </w:rPr>
              <w:t>Baja en cuentas</w:t>
            </w:r>
            <w:bookmarkEnd w:id="50"/>
          </w:p>
        </w:tc>
        <w:tc>
          <w:tcPr>
            <w:tcW w:w="2400" w:type="dxa"/>
            <w:shd w:val="clear" w:color="auto" w:fill="auto"/>
            <w:vAlign w:val="bottom"/>
          </w:tcPr>
          <w:p w14:paraId="180FF529" w14:textId="77777777" w:rsidR="007675A9" w:rsidRPr="0098697B" w:rsidRDefault="007675A9" w:rsidP="0098697B">
            <w:pPr>
              <w:pStyle w:val="Ttulo2"/>
              <w:ind w:left="284"/>
              <w:rPr>
                <w:rFonts w:ascii="Arial" w:eastAsia="Arial" w:hAnsi="Arial" w:cs="Arial"/>
                <w:b/>
                <w:bCs/>
                <w:sz w:val="20"/>
                <w:szCs w:val="20"/>
                <w:lang w:val="es-CR"/>
              </w:rPr>
            </w:pPr>
          </w:p>
        </w:tc>
        <w:tc>
          <w:tcPr>
            <w:tcW w:w="2260" w:type="dxa"/>
            <w:shd w:val="clear" w:color="auto" w:fill="auto"/>
            <w:vAlign w:val="bottom"/>
          </w:tcPr>
          <w:p w14:paraId="373CD639" w14:textId="77777777" w:rsidR="007675A9" w:rsidRPr="0098697B" w:rsidRDefault="007675A9" w:rsidP="0098697B">
            <w:pPr>
              <w:pStyle w:val="Ttulo2"/>
              <w:ind w:left="284"/>
              <w:rPr>
                <w:rFonts w:ascii="Arial" w:eastAsia="Arial" w:hAnsi="Arial" w:cs="Arial"/>
                <w:b/>
                <w:bCs/>
                <w:sz w:val="20"/>
                <w:szCs w:val="20"/>
                <w:lang w:val="es-CR"/>
              </w:rPr>
            </w:pPr>
          </w:p>
        </w:tc>
        <w:tc>
          <w:tcPr>
            <w:tcW w:w="2040" w:type="dxa"/>
            <w:shd w:val="clear" w:color="auto" w:fill="auto"/>
            <w:vAlign w:val="bottom"/>
          </w:tcPr>
          <w:p w14:paraId="33F3289E" w14:textId="77777777" w:rsidR="007675A9" w:rsidRPr="0098697B" w:rsidRDefault="007675A9" w:rsidP="0098697B">
            <w:pPr>
              <w:pStyle w:val="Ttulo2"/>
              <w:ind w:left="284"/>
              <w:rPr>
                <w:rFonts w:ascii="Arial" w:eastAsia="Arial" w:hAnsi="Arial" w:cs="Arial"/>
                <w:b/>
                <w:bCs/>
                <w:sz w:val="20"/>
                <w:szCs w:val="20"/>
                <w:lang w:val="es-CR"/>
              </w:rPr>
            </w:pPr>
          </w:p>
        </w:tc>
      </w:tr>
    </w:tbl>
    <w:p w14:paraId="64C94997" w14:textId="77777777" w:rsidR="007675A9" w:rsidRPr="00F02F9D" w:rsidRDefault="007675A9" w:rsidP="007675A9">
      <w:pPr>
        <w:spacing w:line="251" w:lineRule="auto"/>
        <w:ind w:right="260"/>
        <w:jc w:val="both"/>
        <w:rPr>
          <w:rFonts w:ascii="Arial" w:eastAsia="Arial" w:hAnsi="Arial"/>
          <w:b/>
          <w:sz w:val="22"/>
          <w:szCs w:val="22"/>
          <w:lang w:val="es-CR"/>
        </w:rPr>
      </w:pPr>
    </w:p>
    <w:tbl>
      <w:tblPr>
        <w:tblW w:w="9102" w:type="dxa"/>
        <w:tblLook w:val="04A0" w:firstRow="1" w:lastRow="0" w:firstColumn="1" w:lastColumn="0" w:noHBand="0" w:noVBand="1"/>
      </w:tblPr>
      <w:tblGrid>
        <w:gridCol w:w="554"/>
        <w:gridCol w:w="617"/>
        <w:gridCol w:w="534"/>
        <w:gridCol w:w="3105"/>
        <w:gridCol w:w="1971"/>
        <w:gridCol w:w="2321"/>
      </w:tblGrid>
      <w:tr w:rsidR="00007520" w:rsidRPr="00F47532" w14:paraId="39CB0CE4" w14:textId="77777777" w:rsidTr="0071104F">
        <w:trPr>
          <w:trHeight w:val="320"/>
        </w:trPr>
        <w:tc>
          <w:tcPr>
            <w:tcW w:w="170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C189D25" w14:textId="77777777" w:rsidR="00007520" w:rsidRPr="00F47532" w:rsidRDefault="00007520" w:rsidP="00007520">
            <w:pPr>
              <w:jc w:val="center"/>
              <w:rPr>
                <w:rFonts w:ascii="Arial Narrow" w:eastAsia="Times New Roman" w:hAnsi="Arial Narrow"/>
                <w:b/>
                <w:bCs/>
                <w:color w:val="FFFFFF"/>
                <w:sz w:val="22"/>
                <w:szCs w:val="22"/>
              </w:rPr>
            </w:pPr>
            <w:r w:rsidRPr="00F47532">
              <w:rPr>
                <w:rFonts w:ascii="Arial Narrow" w:eastAsia="Times New Roman" w:hAnsi="Arial Narrow"/>
                <w:b/>
                <w:bCs/>
                <w:color w:val="FFFFFF"/>
                <w:sz w:val="22"/>
                <w:szCs w:val="22"/>
              </w:rPr>
              <w:t>Norma / Política</w:t>
            </w:r>
          </w:p>
        </w:tc>
        <w:tc>
          <w:tcPr>
            <w:tcW w:w="310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751964B" w14:textId="77777777" w:rsidR="00007520" w:rsidRPr="00F47532" w:rsidRDefault="00007520" w:rsidP="00007520">
            <w:pPr>
              <w:jc w:val="center"/>
              <w:rPr>
                <w:rFonts w:ascii="Arial Narrow" w:eastAsia="Times New Roman" w:hAnsi="Arial Narrow"/>
                <w:b/>
                <w:bCs/>
                <w:color w:val="FFFFFF"/>
                <w:sz w:val="22"/>
                <w:szCs w:val="22"/>
              </w:rPr>
            </w:pPr>
            <w:r w:rsidRPr="00F47532">
              <w:rPr>
                <w:rFonts w:ascii="Arial Narrow" w:eastAsia="Times New Roman" w:hAnsi="Arial Narrow"/>
                <w:b/>
                <w:bCs/>
                <w:color w:val="FFFFFF"/>
                <w:sz w:val="22"/>
                <w:szCs w:val="22"/>
              </w:rPr>
              <w:t>Concepto</w:t>
            </w:r>
          </w:p>
        </w:tc>
        <w:tc>
          <w:tcPr>
            <w:tcW w:w="4292" w:type="dxa"/>
            <w:gridSpan w:val="2"/>
            <w:tcBorders>
              <w:top w:val="single" w:sz="8" w:space="0" w:color="auto"/>
              <w:left w:val="nil"/>
              <w:bottom w:val="single" w:sz="8" w:space="0" w:color="auto"/>
              <w:right w:val="single" w:sz="8" w:space="0" w:color="000000"/>
            </w:tcBorders>
            <w:shd w:val="clear" w:color="000000" w:fill="203764"/>
            <w:vAlign w:val="center"/>
            <w:hideMark/>
          </w:tcPr>
          <w:p w14:paraId="6FFF8CD7" w14:textId="77777777" w:rsidR="00007520" w:rsidRPr="00F47532" w:rsidRDefault="00007520" w:rsidP="00007520">
            <w:pPr>
              <w:jc w:val="center"/>
              <w:rPr>
                <w:rFonts w:ascii="Arial Narrow" w:eastAsia="Times New Roman" w:hAnsi="Arial Narrow"/>
                <w:b/>
                <w:bCs/>
                <w:color w:val="FFFFFF"/>
                <w:sz w:val="22"/>
                <w:szCs w:val="22"/>
              </w:rPr>
            </w:pPr>
            <w:r w:rsidRPr="00F47532">
              <w:rPr>
                <w:rFonts w:ascii="Arial Narrow" w:eastAsia="Times New Roman" w:hAnsi="Arial Narrow"/>
                <w:b/>
                <w:bCs/>
                <w:color w:val="FFFFFF"/>
                <w:sz w:val="22"/>
                <w:szCs w:val="22"/>
              </w:rPr>
              <w:t>Referencia</w:t>
            </w:r>
          </w:p>
        </w:tc>
      </w:tr>
      <w:tr w:rsidR="00007520" w:rsidRPr="0071104F" w14:paraId="5E6DE667" w14:textId="77777777" w:rsidTr="0071104F">
        <w:trPr>
          <w:trHeight w:val="320"/>
        </w:trPr>
        <w:tc>
          <w:tcPr>
            <w:tcW w:w="1705" w:type="dxa"/>
            <w:gridSpan w:val="3"/>
            <w:vMerge/>
            <w:tcBorders>
              <w:top w:val="single" w:sz="8" w:space="0" w:color="auto"/>
              <w:left w:val="single" w:sz="8" w:space="0" w:color="auto"/>
              <w:bottom w:val="nil"/>
              <w:right w:val="single" w:sz="8" w:space="0" w:color="000000"/>
            </w:tcBorders>
            <w:vAlign w:val="center"/>
            <w:hideMark/>
          </w:tcPr>
          <w:p w14:paraId="3DBA592D" w14:textId="77777777" w:rsidR="00007520" w:rsidRPr="00F47532" w:rsidRDefault="00007520" w:rsidP="00007520">
            <w:pPr>
              <w:rPr>
                <w:rFonts w:ascii="Arial Narrow" w:eastAsia="Times New Roman" w:hAnsi="Arial Narrow"/>
                <w:b/>
                <w:bCs/>
                <w:color w:val="FFFFFF"/>
                <w:sz w:val="22"/>
                <w:szCs w:val="22"/>
              </w:rPr>
            </w:pPr>
          </w:p>
        </w:tc>
        <w:tc>
          <w:tcPr>
            <w:tcW w:w="3105" w:type="dxa"/>
            <w:vMerge/>
            <w:tcBorders>
              <w:top w:val="single" w:sz="8" w:space="0" w:color="auto"/>
              <w:left w:val="single" w:sz="8" w:space="0" w:color="auto"/>
              <w:bottom w:val="nil"/>
              <w:right w:val="single" w:sz="8" w:space="0" w:color="auto"/>
            </w:tcBorders>
            <w:vAlign w:val="center"/>
            <w:hideMark/>
          </w:tcPr>
          <w:p w14:paraId="30FBDEBA" w14:textId="77777777" w:rsidR="00007520" w:rsidRPr="00F47532" w:rsidRDefault="00007520" w:rsidP="00007520">
            <w:pPr>
              <w:rPr>
                <w:rFonts w:ascii="Arial Narrow" w:eastAsia="Times New Roman" w:hAnsi="Arial Narrow"/>
                <w:b/>
                <w:bCs/>
                <w:color w:val="FFFFFF"/>
                <w:sz w:val="22"/>
                <w:szCs w:val="22"/>
              </w:rPr>
            </w:pPr>
          </w:p>
        </w:tc>
        <w:tc>
          <w:tcPr>
            <w:tcW w:w="1971" w:type="dxa"/>
            <w:tcBorders>
              <w:top w:val="nil"/>
              <w:left w:val="nil"/>
              <w:bottom w:val="nil"/>
              <w:right w:val="single" w:sz="8" w:space="0" w:color="auto"/>
            </w:tcBorders>
            <w:shd w:val="clear" w:color="000000" w:fill="203764"/>
            <w:vAlign w:val="center"/>
            <w:hideMark/>
          </w:tcPr>
          <w:p w14:paraId="499C5512" w14:textId="77777777" w:rsidR="00007520" w:rsidRPr="00F47532" w:rsidRDefault="00007520" w:rsidP="00007520">
            <w:pPr>
              <w:jc w:val="center"/>
              <w:rPr>
                <w:rFonts w:ascii="Arial Narrow" w:eastAsia="Times New Roman" w:hAnsi="Arial Narrow"/>
                <w:b/>
                <w:bCs/>
                <w:color w:val="FFFFFF"/>
                <w:sz w:val="22"/>
                <w:szCs w:val="22"/>
              </w:rPr>
            </w:pPr>
            <w:r w:rsidRPr="00F47532">
              <w:rPr>
                <w:rFonts w:ascii="Arial Narrow" w:eastAsia="Times New Roman" w:hAnsi="Arial Narrow"/>
                <w:b/>
                <w:bCs/>
                <w:color w:val="FFFFFF"/>
                <w:sz w:val="22"/>
                <w:szCs w:val="22"/>
              </w:rPr>
              <w:t>Norma</w:t>
            </w:r>
          </w:p>
        </w:tc>
        <w:tc>
          <w:tcPr>
            <w:tcW w:w="2321" w:type="dxa"/>
            <w:tcBorders>
              <w:top w:val="nil"/>
              <w:left w:val="nil"/>
              <w:bottom w:val="nil"/>
              <w:right w:val="single" w:sz="8" w:space="0" w:color="auto"/>
            </w:tcBorders>
            <w:shd w:val="clear" w:color="000000" w:fill="203764"/>
            <w:vAlign w:val="center"/>
            <w:hideMark/>
          </w:tcPr>
          <w:p w14:paraId="0D7862AB" w14:textId="4612C600" w:rsidR="00007520" w:rsidRPr="0071104F" w:rsidRDefault="0071104F" w:rsidP="00007520">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236D5" w:rsidRPr="00F47532" w14:paraId="2CE60957" w14:textId="77777777" w:rsidTr="0071104F">
        <w:trPr>
          <w:trHeight w:val="1008"/>
        </w:trPr>
        <w:tc>
          <w:tcPr>
            <w:tcW w:w="5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2CE4AB" w14:textId="77777777" w:rsidR="000236D5" w:rsidRPr="00F47532" w:rsidRDefault="000236D5" w:rsidP="000236D5">
            <w:pPr>
              <w:jc w:val="cente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0A4D5981" w14:textId="77777777" w:rsidR="000236D5" w:rsidRPr="00F47532" w:rsidRDefault="000236D5" w:rsidP="000236D5">
            <w:pPr>
              <w:jc w:val="cente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lang w:val="es-CR"/>
              </w:rPr>
              <w:t>108</w:t>
            </w:r>
          </w:p>
        </w:tc>
        <w:tc>
          <w:tcPr>
            <w:tcW w:w="534" w:type="dxa"/>
            <w:tcBorders>
              <w:top w:val="single" w:sz="8" w:space="0" w:color="auto"/>
              <w:left w:val="nil"/>
              <w:bottom w:val="single" w:sz="8" w:space="0" w:color="auto"/>
              <w:right w:val="single" w:sz="8" w:space="0" w:color="auto"/>
            </w:tcBorders>
            <w:shd w:val="clear" w:color="auto" w:fill="auto"/>
            <w:vAlign w:val="center"/>
            <w:hideMark/>
          </w:tcPr>
          <w:p w14:paraId="546F541F" w14:textId="77777777" w:rsidR="000236D5" w:rsidRPr="00F47532" w:rsidRDefault="000236D5" w:rsidP="000236D5">
            <w:pPr>
              <w:jc w:val="cente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 xml:space="preserve"> </w:t>
            </w:r>
          </w:p>
        </w:tc>
        <w:tc>
          <w:tcPr>
            <w:tcW w:w="3105" w:type="dxa"/>
            <w:tcBorders>
              <w:top w:val="single" w:sz="8" w:space="0" w:color="auto"/>
              <w:left w:val="nil"/>
              <w:bottom w:val="single" w:sz="8" w:space="0" w:color="auto"/>
              <w:right w:val="single" w:sz="8" w:space="0" w:color="auto"/>
            </w:tcBorders>
            <w:shd w:val="clear" w:color="auto" w:fill="auto"/>
            <w:vAlign w:val="center"/>
            <w:hideMark/>
          </w:tcPr>
          <w:p w14:paraId="4DFB142F" w14:textId="77777777" w:rsidR="000236D5" w:rsidRPr="00F47532" w:rsidRDefault="000236D5" w:rsidP="000236D5">
            <w:pP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lang w:val="es-CR"/>
              </w:rPr>
              <w:t>Baja de los bienes</w:t>
            </w:r>
          </w:p>
        </w:tc>
        <w:tc>
          <w:tcPr>
            <w:tcW w:w="1971" w:type="dxa"/>
            <w:tcBorders>
              <w:top w:val="single" w:sz="8" w:space="0" w:color="auto"/>
              <w:left w:val="nil"/>
              <w:bottom w:val="single" w:sz="8" w:space="0" w:color="auto"/>
              <w:right w:val="single" w:sz="8" w:space="0" w:color="auto"/>
            </w:tcBorders>
            <w:shd w:val="clear" w:color="auto" w:fill="auto"/>
            <w:vAlign w:val="center"/>
            <w:hideMark/>
          </w:tcPr>
          <w:p w14:paraId="6549FA41" w14:textId="77777777" w:rsidR="0098697B" w:rsidRPr="00F47532" w:rsidRDefault="000236D5" w:rsidP="000236D5">
            <w:pPr>
              <w:jc w:val="both"/>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 xml:space="preserve">NICSP N° 17, </w:t>
            </w:r>
          </w:p>
          <w:p w14:paraId="344230A2" w14:textId="2EFE1A76" w:rsidR="000236D5" w:rsidRPr="00F47532" w:rsidRDefault="000236D5" w:rsidP="000236D5">
            <w:pPr>
              <w:jc w:val="both"/>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Párrafo 82.</w:t>
            </w:r>
          </w:p>
        </w:tc>
        <w:tc>
          <w:tcPr>
            <w:tcW w:w="2321" w:type="dxa"/>
            <w:tcBorders>
              <w:top w:val="single" w:sz="8" w:space="0" w:color="auto"/>
              <w:left w:val="nil"/>
              <w:bottom w:val="single" w:sz="8" w:space="0" w:color="auto"/>
              <w:right w:val="single" w:sz="8" w:space="0" w:color="auto"/>
            </w:tcBorders>
            <w:shd w:val="clear" w:color="auto" w:fill="auto"/>
            <w:vAlign w:val="center"/>
            <w:hideMark/>
          </w:tcPr>
          <w:p w14:paraId="6A507D5B" w14:textId="72362DF6" w:rsidR="000236D5" w:rsidRPr="00F47532" w:rsidRDefault="000236D5" w:rsidP="000236D5">
            <w:pPr>
              <w:jc w:val="both"/>
              <w:rPr>
                <w:rFonts w:ascii="Arial Narrow" w:eastAsia="Times New Roman" w:hAnsi="Arial Narrow"/>
                <w:b/>
                <w:bCs/>
                <w:color w:val="000000"/>
                <w:sz w:val="22"/>
                <w:szCs w:val="22"/>
                <w:lang w:val="es-CR"/>
              </w:rPr>
            </w:pPr>
            <w:r w:rsidRPr="00F47532">
              <w:rPr>
                <w:rFonts w:ascii="Arial Narrow" w:eastAsia="Times New Roman" w:hAnsi="Arial Narrow"/>
                <w:b/>
                <w:bCs/>
                <w:color w:val="000000"/>
                <w:sz w:val="22"/>
                <w:szCs w:val="22"/>
                <w:lang w:val="es-CR"/>
              </w:rPr>
              <w:t xml:space="preserve">Reglamento para la administración de los bienes de la Municipalidad de </w:t>
            </w:r>
            <w:r w:rsidR="008C25B1" w:rsidRPr="00F47532">
              <w:rPr>
                <w:rFonts w:ascii="Arial Narrow" w:eastAsia="Times New Roman" w:hAnsi="Arial Narrow"/>
                <w:b/>
                <w:bCs/>
                <w:color w:val="000000"/>
                <w:sz w:val="22"/>
                <w:szCs w:val="22"/>
                <w:lang w:val="es-CR"/>
              </w:rPr>
              <w:t>Buenos Aires</w:t>
            </w:r>
            <w:r w:rsidRPr="00F47532">
              <w:rPr>
                <w:rFonts w:ascii="Arial Narrow" w:eastAsia="Times New Roman" w:hAnsi="Arial Narrow"/>
                <w:b/>
                <w:bCs/>
                <w:color w:val="000000"/>
                <w:sz w:val="22"/>
                <w:szCs w:val="22"/>
                <w:lang w:val="es-CR"/>
              </w:rPr>
              <w:t>.</w:t>
            </w:r>
          </w:p>
        </w:tc>
      </w:tr>
      <w:tr w:rsidR="00007520" w:rsidRPr="00F47532" w14:paraId="73B483E6" w14:textId="77777777" w:rsidTr="0071104F">
        <w:trPr>
          <w:trHeight w:val="540"/>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10011D0F" w14:textId="77777777" w:rsidR="00007520" w:rsidRPr="00F47532" w:rsidRDefault="00007520" w:rsidP="00007520">
            <w:pPr>
              <w:jc w:val="cente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noWrap/>
            <w:vAlign w:val="center"/>
            <w:hideMark/>
          </w:tcPr>
          <w:p w14:paraId="15C482BF" w14:textId="77777777" w:rsidR="00007520" w:rsidRPr="00F47532" w:rsidRDefault="00007520" w:rsidP="00007520">
            <w:pPr>
              <w:jc w:val="cente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108</w:t>
            </w:r>
          </w:p>
        </w:tc>
        <w:tc>
          <w:tcPr>
            <w:tcW w:w="534" w:type="dxa"/>
            <w:tcBorders>
              <w:top w:val="nil"/>
              <w:left w:val="nil"/>
              <w:bottom w:val="single" w:sz="8" w:space="0" w:color="auto"/>
              <w:right w:val="single" w:sz="8" w:space="0" w:color="auto"/>
            </w:tcBorders>
            <w:shd w:val="clear" w:color="auto" w:fill="auto"/>
            <w:vAlign w:val="center"/>
            <w:hideMark/>
          </w:tcPr>
          <w:p w14:paraId="2ED89901" w14:textId="77777777" w:rsidR="00007520" w:rsidRPr="00F47532" w:rsidRDefault="00007520" w:rsidP="00007520">
            <w:pPr>
              <w:jc w:val="cente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1</w:t>
            </w:r>
          </w:p>
        </w:tc>
        <w:tc>
          <w:tcPr>
            <w:tcW w:w="3105" w:type="dxa"/>
            <w:tcBorders>
              <w:top w:val="nil"/>
              <w:left w:val="nil"/>
              <w:bottom w:val="single" w:sz="8" w:space="0" w:color="auto"/>
              <w:right w:val="single" w:sz="8" w:space="0" w:color="auto"/>
            </w:tcBorders>
            <w:shd w:val="clear" w:color="auto" w:fill="auto"/>
            <w:vAlign w:val="center"/>
            <w:hideMark/>
          </w:tcPr>
          <w:p w14:paraId="46727702" w14:textId="77777777" w:rsidR="00007520" w:rsidRPr="00F47532" w:rsidRDefault="00007520" w:rsidP="00007520">
            <w:pP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Tipo de bajas</w:t>
            </w:r>
          </w:p>
        </w:tc>
        <w:tc>
          <w:tcPr>
            <w:tcW w:w="1971" w:type="dxa"/>
            <w:tcBorders>
              <w:top w:val="nil"/>
              <w:left w:val="nil"/>
              <w:bottom w:val="single" w:sz="8" w:space="0" w:color="auto"/>
              <w:right w:val="single" w:sz="8" w:space="0" w:color="auto"/>
            </w:tcBorders>
            <w:shd w:val="clear" w:color="auto" w:fill="auto"/>
            <w:vAlign w:val="center"/>
            <w:hideMark/>
          </w:tcPr>
          <w:p w14:paraId="7B668AA4" w14:textId="77777777" w:rsidR="0098697B" w:rsidRPr="00F47532" w:rsidRDefault="00007520" w:rsidP="00007520">
            <w:pPr>
              <w:jc w:val="both"/>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 xml:space="preserve">NICSP N° 17, </w:t>
            </w:r>
          </w:p>
          <w:p w14:paraId="304C51AF" w14:textId="62128433" w:rsidR="00007520" w:rsidRPr="00F47532" w:rsidRDefault="00007520" w:rsidP="00007520">
            <w:pPr>
              <w:jc w:val="both"/>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Párrafo 84.</w:t>
            </w:r>
          </w:p>
        </w:tc>
        <w:tc>
          <w:tcPr>
            <w:tcW w:w="2321" w:type="dxa"/>
            <w:tcBorders>
              <w:top w:val="nil"/>
              <w:left w:val="nil"/>
              <w:bottom w:val="single" w:sz="8" w:space="0" w:color="auto"/>
              <w:right w:val="single" w:sz="8" w:space="0" w:color="auto"/>
            </w:tcBorders>
            <w:shd w:val="clear" w:color="auto" w:fill="auto"/>
            <w:vAlign w:val="center"/>
            <w:hideMark/>
          </w:tcPr>
          <w:p w14:paraId="7AE664C3" w14:textId="77777777" w:rsidR="00007520" w:rsidRPr="00F47532" w:rsidRDefault="00007520" w:rsidP="00007520">
            <w:pPr>
              <w:rPr>
                <w:rFonts w:ascii="Arial Narrow" w:eastAsia="Times New Roman" w:hAnsi="Arial Narrow"/>
                <w:b/>
                <w:bCs/>
                <w:color w:val="000000"/>
                <w:sz w:val="22"/>
                <w:szCs w:val="22"/>
              </w:rPr>
            </w:pPr>
            <w:r w:rsidRPr="00F47532">
              <w:rPr>
                <w:rFonts w:ascii="Arial Narrow" w:eastAsia="Times New Roman" w:hAnsi="Arial Narrow"/>
                <w:b/>
                <w:bCs/>
                <w:color w:val="000000"/>
                <w:sz w:val="22"/>
                <w:szCs w:val="22"/>
              </w:rPr>
              <w:t xml:space="preserve"> </w:t>
            </w:r>
          </w:p>
        </w:tc>
      </w:tr>
    </w:tbl>
    <w:p w14:paraId="348AC5CA" w14:textId="77777777" w:rsidR="006A5B8A" w:rsidRPr="00F02F9D" w:rsidRDefault="006A5B8A" w:rsidP="00A351C9">
      <w:pPr>
        <w:spacing w:line="238" w:lineRule="auto"/>
        <w:ind w:left="1134" w:right="260" w:hanging="1134"/>
        <w:jc w:val="both"/>
        <w:rPr>
          <w:rFonts w:ascii="Arial" w:eastAsia="Arial" w:hAnsi="Arial"/>
          <w:b/>
          <w:sz w:val="22"/>
          <w:szCs w:val="22"/>
          <w:lang w:val="es-CR"/>
        </w:rPr>
      </w:pPr>
    </w:p>
    <w:p w14:paraId="2A466C52" w14:textId="0DEE9FE1" w:rsidR="00007520" w:rsidRDefault="00A963E1" w:rsidP="00007520">
      <w:pPr>
        <w:spacing w:line="0" w:lineRule="atLeast"/>
        <w:rPr>
          <w:rFonts w:ascii="Arial" w:eastAsia="Arial" w:hAnsi="Arial"/>
          <w:b/>
          <w:sz w:val="22"/>
          <w:szCs w:val="22"/>
        </w:rPr>
      </w:pPr>
      <w:r w:rsidRPr="00F02F9D">
        <w:rPr>
          <w:rFonts w:ascii="Arial" w:eastAsia="Arial" w:hAnsi="Arial"/>
          <w:b/>
          <w:sz w:val="22"/>
          <w:szCs w:val="22"/>
        </w:rPr>
        <w:t>Políticas Contables</w:t>
      </w:r>
    </w:p>
    <w:p w14:paraId="1DAE2D57" w14:textId="77777777" w:rsidR="00A963E1" w:rsidRPr="00F02F9D" w:rsidRDefault="00A963E1" w:rsidP="00007520">
      <w:pPr>
        <w:spacing w:line="0" w:lineRule="atLeast"/>
        <w:rPr>
          <w:rFonts w:ascii="Arial" w:eastAsia="Arial" w:hAnsi="Arial"/>
          <w:b/>
          <w:sz w:val="22"/>
          <w:szCs w:val="22"/>
          <w:lang w:val="es-CR"/>
        </w:rPr>
      </w:pPr>
    </w:p>
    <w:p w14:paraId="21C8CF76" w14:textId="47DAB779" w:rsidR="00007520" w:rsidRDefault="00007520" w:rsidP="00007520">
      <w:pPr>
        <w:spacing w:line="0" w:lineRule="atLeast"/>
        <w:ind w:left="1276" w:hanging="1276"/>
        <w:rPr>
          <w:rFonts w:ascii="Arial" w:eastAsia="Arial" w:hAnsi="Arial"/>
          <w:bCs/>
          <w:sz w:val="22"/>
          <w:szCs w:val="22"/>
          <w:lang w:val="es-CR"/>
        </w:rPr>
      </w:pPr>
      <w:r w:rsidRPr="00F02F9D">
        <w:rPr>
          <w:rFonts w:ascii="Arial" w:eastAsia="Arial" w:hAnsi="Arial"/>
          <w:bCs/>
          <w:sz w:val="22"/>
          <w:szCs w:val="22"/>
          <w:lang w:val="es-CR"/>
        </w:rPr>
        <w:t>1.108.0.01</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dará de baja al importe en libros de un elemento del Activo Fijo cuando:</w:t>
      </w:r>
    </w:p>
    <w:p w14:paraId="004A9463" w14:textId="77777777" w:rsidR="00523185" w:rsidRPr="00F02F9D" w:rsidRDefault="00523185" w:rsidP="00007520">
      <w:pPr>
        <w:spacing w:line="0" w:lineRule="atLeast"/>
        <w:ind w:left="1276" w:hanging="1276"/>
        <w:rPr>
          <w:rFonts w:ascii="Arial" w:eastAsia="Arial" w:hAnsi="Arial"/>
          <w:bCs/>
          <w:sz w:val="22"/>
          <w:szCs w:val="22"/>
          <w:lang w:val="es-CR"/>
        </w:rPr>
      </w:pPr>
    </w:p>
    <w:p w14:paraId="33CD98DF" w14:textId="0F6D5BFF" w:rsidR="00007520" w:rsidRPr="00F02F9D" w:rsidRDefault="00007520">
      <w:pPr>
        <w:pStyle w:val="Prrafodelista"/>
        <w:numPr>
          <w:ilvl w:val="0"/>
          <w:numId w:val="36"/>
        </w:numPr>
        <w:spacing w:after="120"/>
        <w:ind w:left="1701" w:hanging="357"/>
        <w:contextualSpacing w:val="0"/>
        <w:rPr>
          <w:rFonts w:ascii="Arial" w:eastAsia="Arial" w:hAnsi="Arial"/>
          <w:bCs/>
          <w:sz w:val="22"/>
          <w:szCs w:val="22"/>
          <w:lang w:val="es-CR"/>
        </w:rPr>
      </w:pPr>
      <w:r w:rsidRPr="00F02F9D">
        <w:rPr>
          <w:rFonts w:ascii="Arial" w:eastAsia="Arial" w:hAnsi="Arial"/>
          <w:bCs/>
          <w:sz w:val="22"/>
          <w:szCs w:val="22"/>
          <w:lang w:val="es-CR"/>
        </w:rPr>
        <w:t>Se disponga del bien.</w:t>
      </w:r>
    </w:p>
    <w:p w14:paraId="515B2220" w14:textId="77777777" w:rsidR="00007520" w:rsidRPr="00F02F9D" w:rsidRDefault="00007520">
      <w:pPr>
        <w:pStyle w:val="Prrafodelista"/>
        <w:numPr>
          <w:ilvl w:val="0"/>
          <w:numId w:val="36"/>
        </w:numPr>
        <w:tabs>
          <w:tab w:val="left" w:pos="1219"/>
        </w:tabs>
        <w:spacing w:after="120"/>
        <w:ind w:left="1701" w:right="480" w:hanging="357"/>
        <w:contextualSpacing w:val="0"/>
        <w:rPr>
          <w:rFonts w:ascii="Arial" w:eastAsia="Arial" w:hAnsi="Arial"/>
          <w:bCs/>
          <w:sz w:val="22"/>
          <w:szCs w:val="22"/>
          <w:lang w:val="es-CR"/>
        </w:rPr>
      </w:pPr>
      <w:bookmarkStart w:id="51" w:name="page41"/>
      <w:bookmarkEnd w:id="51"/>
      <w:r w:rsidRPr="00F02F9D">
        <w:rPr>
          <w:rFonts w:ascii="Arial" w:eastAsia="Arial" w:hAnsi="Arial"/>
          <w:bCs/>
          <w:sz w:val="22"/>
          <w:szCs w:val="22"/>
          <w:lang w:val="es-CR"/>
        </w:rPr>
        <w:lastRenderedPageBreak/>
        <w:t>No se espere obtener ningún beneficio futuro o potencial de servicio por su uso o disposición.</w:t>
      </w:r>
    </w:p>
    <w:p w14:paraId="3038F9A0" w14:textId="77777777" w:rsidR="00007520" w:rsidRPr="00F02F9D" w:rsidRDefault="00007520" w:rsidP="00007520">
      <w:pPr>
        <w:spacing w:line="276" w:lineRule="exact"/>
        <w:rPr>
          <w:rFonts w:ascii="Arial" w:eastAsia="Times New Roman" w:hAnsi="Arial"/>
          <w:bCs/>
          <w:sz w:val="22"/>
          <w:szCs w:val="22"/>
          <w:lang w:val="es-CR"/>
        </w:rPr>
      </w:pPr>
    </w:p>
    <w:p w14:paraId="1B57BDC1" w14:textId="7B6FDFEE" w:rsidR="00007520" w:rsidRDefault="00A963E1" w:rsidP="00A963E1">
      <w:pPr>
        <w:spacing w:line="0" w:lineRule="atLeast"/>
        <w:ind w:left="1276" w:hanging="1276"/>
        <w:rPr>
          <w:rFonts w:ascii="Arial" w:eastAsia="Arial" w:hAnsi="Arial"/>
          <w:bCs/>
          <w:sz w:val="22"/>
          <w:szCs w:val="22"/>
          <w:lang w:val="es-CR"/>
        </w:rPr>
      </w:pPr>
      <w:r>
        <w:rPr>
          <w:rFonts w:ascii="Arial" w:eastAsia="Arial" w:hAnsi="Arial"/>
          <w:bCs/>
          <w:sz w:val="22"/>
          <w:szCs w:val="22"/>
          <w:lang w:val="es-CR"/>
        </w:rPr>
        <w:t>1.108.0.02</w:t>
      </w:r>
      <w:r>
        <w:rPr>
          <w:rFonts w:ascii="Arial" w:eastAsia="Arial" w:hAnsi="Arial"/>
          <w:bCs/>
          <w:sz w:val="22"/>
          <w:szCs w:val="22"/>
          <w:lang w:val="es-CR"/>
        </w:rPr>
        <w:tab/>
      </w:r>
      <w:r w:rsidR="00007520"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007520" w:rsidRPr="00F02F9D">
        <w:rPr>
          <w:rFonts w:ascii="Arial" w:eastAsia="Arial" w:hAnsi="Arial"/>
          <w:bCs/>
          <w:sz w:val="22"/>
          <w:szCs w:val="22"/>
          <w:lang w:val="es-CR"/>
        </w:rPr>
        <w:t xml:space="preserve"> podrá disponer y dará de baja a un elemento del Activo Fijo a través de:</w:t>
      </w:r>
    </w:p>
    <w:p w14:paraId="53B0B34B" w14:textId="77777777" w:rsidR="00523185" w:rsidRPr="00F02F9D" w:rsidRDefault="00523185" w:rsidP="00007520">
      <w:pPr>
        <w:spacing w:line="0" w:lineRule="atLeast"/>
        <w:ind w:left="440"/>
        <w:rPr>
          <w:rFonts w:ascii="Arial" w:eastAsia="Arial" w:hAnsi="Arial"/>
          <w:bCs/>
          <w:sz w:val="22"/>
          <w:szCs w:val="22"/>
          <w:lang w:val="es-CR"/>
        </w:rPr>
      </w:pPr>
    </w:p>
    <w:p w14:paraId="10175B19" w14:textId="77777777" w:rsidR="00007520" w:rsidRPr="00F02F9D" w:rsidRDefault="00007520">
      <w:pPr>
        <w:pStyle w:val="Prrafodelista"/>
        <w:numPr>
          <w:ilvl w:val="0"/>
          <w:numId w:val="37"/>
        </w:numPr>
        <w:spacing w:after="120"/>
        <w:ind w:left="1701" w:hanging="357"/>
        <w:contextualSpacing w:val="0"/>
        <w:rPr>
          <w:rFonts w:ascii="Arial" w:eastAsia="Arial" w:hAnsi="Arial"/>
          <w:bCs/>
          <w:sz w:val="22"/>
          <w:szCs w:val="22"/>
        </w:rPr>
      </w:pPr>
      <w:r w:rsidRPr="00F02F9D">
        <w:rPr>
          <w:rFonts w:ascii="Arial" w:eastAsia="Arial" w:hAnsi="Arial"/>
          <w:bCs/>
          <w:sz w:val="22"/>
          <w:szCs w:val="22"/>
        </w:rPr>
        <w:t>Su venta</w:t>
      </w:r>
    </w:p>
    <w:p w14:paraId="6B0E9A95" w14:textId="77777777" w:rsidR="00007520" w:rsidRPr="00F02F9D" w:rsidRDefault="00007520">
      <w:pPr>
        <w:pStyle w:val="Prrafodelista"/>
        <w:numPr>
          <w:ilvl w:val="0"/>
          <w:numId w:val="37"/>
        </w:numPr>
        <w:spacing w:line="0" w:lineRule="atLeast"/>
        <w:ind w:left="1701"/>
        <w:rPr>
          <w:rFonts w:ascii="Arial" w:eastAsia="Arial" w:hAnsi="Arial"/>
          <w:bCs/>
          <w:sz w:val="22"/>
          <w:szCs w:val="22"/>
        </w:rPr>
      </w:pPr>
      <w:r w:rsidRPr="00F02F9D">
        <w:rPr>
          <w:rFonts w:ascii="Arial" w:eastAsia="Arial" w:hAnsi="Arial"/>
          <w:bCs/>
          <w:sz w:val="22"/>
          <w:szCs w:val="22"/>
        </w:rPr>
        <w:t>La donación.</w:t>
      </w:r>
    </w:p>
    <w:p w14:paraId="0F71AFE0" w14:textId="77777777" w:rsidR="006A5B8A" w:rsidRDefault="006A5B8A" w:rsidP="00A351C9">
      <w:pPr>
        <w:spacing w:line="238" w:lineRule="auto"/>
        <w:ind w:left="1134" w:right="260" w:hanging="1134"/>
        <w:jc w:val="both"/>
        <w:rPr>
          <w:rFonts w:ascii="Arial" w:eastAsia="Arial" w:hAnsi="Arial"/>
          <w:b/>
          <w:sz w:val="22"/>
          <w:szCs w:val="22"/>
          <w:lang w:val="es-CR"/>
        </w:rPr>
      </w:pPr>
    </w:p>
    <w:p w14:paraId="44B9903D" w14:textId="77777777" w:rsidR="00F36957" w:rsidRPr="00F02F9D" w:rsidRDefault="00F36957" w:rsidP="00A351C9">
      <w:pPr>
        <w:spacing w:line="238" w:lineRule="auto"/>
        <w:ind w:left="1134" w:right="260" w:hanging="1134"/>
        <w:jc w:val="both"/>
        <w:rPr>
          <w:rFonts w:ascii="Arial" w:eastAsia="Arial" w:hAnsi="Arial"/>
          <w:b/>
          <w:sz w:val="22"/>
          <w:szCs w:val="22"/>
          <w:lang w:val="es-CR"/>
        </w:rPr>
      </w:pPr>
    </w:p>
    <w:p w14:paraId="77E5BF3C" w14:textId="77777777" w:rsidR="006A5B8A" w:rsidRPr="00F02F9D" w:rsidRDefault="006A5B8A" w:rsidP="00A351C9">
      <w:pPr>
        <w:spacing w:line="238" w:lineRule="auto"/>
        <w:ind w:left="1134" w:right="260" w:hanging="1134"/>
        <w:jc w:val="both"/>
        <w:rPr>
          <w:rFonts w:ascii="Arial" w:eastAsia="Arial" w:hAnsi="Arial"/>
          <w:b/>
          <w:sz w:val="22"/>
          <w:szCs w:val="22"/>
          <w:lang w:val="es-CR"/>
        </w:rPr>
      </w:pPr>
    </w:p>
    <w:tbl>
      <w:tblPr>
        <w:tblW w:w="9295" w:type="dxa"/>
        <w:tblLook w:val="04A0" w:firstRow="1" w:lastRow="0" w:firstColumn="1" w:lastColumn="0" w:noHBand="0" w:noVBand="1"/>
      </w:tblPr>
      <w:tblGrid>
        <w:gridCol w:w="556"/>
        <w:gridCol w:w="617"/>
        <w:gridCol w:w="529"/>
        <w:gridCol w:w="3108"/>
        <w:gridCol w:w="2431"/>
        <w:gridCol w:w="2054"/>
      </w:tblGrid>
      <w:tr w:rsidR="00007520" w:rsidRPr="0098697B" w14:paraId="3286BA72" w14:textId="77777777" w:rsidTr="00B04CA7">
        <w:trPr>
          <w:trHeight w:val="320"/>
        </w:trPr>
        <w:tc>
          <w:tcPr>
            <w:tcW w:w="170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5CE5604" w14:textId="77777777" w:rsidR="00007520" w:rsidRPr="0098697B" w:rsidRDefault="00007520" w:rsidP="00007520">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 / Política</w:t>
            </w:r>
          </w:p>
        </w:tc>
        <w:tc>
          <w:tcPr>
            <w:tcW w:w="310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C6C97F" w14:textId="77777777" w:rsidR="00007520" w:rsidRPr="0098697B" w:rsidRDefault="00007520" w:rsidP="00007520">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Concepto</w:t>
            </w:r>
          </w:p>
        </w:tc>
        <w:tc>
          <w:tcPr>
            <w:tcW w:w="4485" w:type="dxa"/>
            <w:gridSpan w:val="2"/>
            <w:tcBorders>
              <w:top w:val="single" w:sz="8" w:space="0" w:color="auto"/>
              <w:left w:val="nil"/>
              <w:bottom w:val="single" w:sz="8" w:space="0" w:color="auto"/>
              <w:right w:val="single" w:sz="8" w:space="0" w:color="000000"/>
            </w:tcBorders>
            <w:shd w:val="clear" w:color="000000" w:fill="203764"/>
            <w:vAlign w:val="center"/>
            <w:hideMark/>
          </w:tcPr>
          <w:p w14:paraId="602CD225" w14:textId="77777777" w:rsidR="00007520" w:rsidRPr="0098697B" w:rsidRDefault="00007520" w:rsidP="00007520">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Referencia</w:t>
            </w:r>
          </w:p>
        </w:tc>
      </w:tr>
      <w:tr w:rsidR="00007520" w:rsidRPr="0071104F" w14:paraId="77C6DF80" w14:textId="77777777" w:rsidTr="00B04CA7">
        <w:trPr>
          <w:trHeight w:val="320"/>
        </w:trPr>
        <w:tc>
          <w:tcPr>
            <w:tcW w:w="1702" w:type="dxa"/>
            <w:gridSpan w:val="3"/>
            <w:vMerge/>
            <w:tcBorders>
              <w:top w:val="single" w:sz="8" w:space="0" w:color="auto"/>
              <w:left w:val="single" w:sz="8" w:space="0" w:color="auto"/>
              <w:bottom w:val="nil"/>
              <w:right w:val="single" w:sz="8" w:space="0" w:color="000000"/>
            </w:tcBorders>
            <w:vAlign w:val="center"/>
            <w:hideMark/>
          </w:tcPr>
          <w:p w14:paraId="75AB7B8E" w14:textId="77777777" w:rsidR="00007520" w:rsidRPr="0098697B" w:rsidRDefault="00007520" w:rsidP="00007520">
            <w:pPr>
              <w:rPr>
                <w:rFonts w:ascii="Arial Narrow" w:eastAsia="Times New Roman" w:hAnsi="Arial Narrow"/>
                <w:b/>
                <w:bCs/>
                <w:color w:val="FFFFFF"/>
                <w:sz w:val="22"/>
                <w:szCs w:val="22"/>
              </w:rPr>
            </w:pPr>
          </w:p>
        </w:tc>
        <w:tc>
          <w:tcPr>
            <w:tcW w:w="3108" w:type="dxa"/>
            <w:vMerge/>
            <w:tcBorders>
              <w:top w:val="single" w:sz="8" w:space="0" w:color="auto"/>
              <w:left w:val="single" w:sz="8" w:space="0" w:color="auto"/>
              <w:bottom w:val="nil"/>
              <w:right w:val="single" w:sz="8" w:space="0" w:color="auto"/>
            </w:tcBorders>
            <w:vAlign w:val="center"/>
            <w:hideMark/>
          </w:tcPr>
          <w:p w14:paraId="4EAFF61D" w14:textId="77777777" w:rsidR="00007520" w:rsidRPr="0098697B" w:rsidRDefault="00007520" w:rsidP="00007520">
            <w:pPr>
              <w:rPr>
                <w:rFonts w:ascii="Arial Narrow" w:eastAsia="Times New Roman" w:hAnsi="Arial Narrow"/>
                <w:b/>
                <w:bCs/>
                <w:color w:val="FFFFFF"/>
                <w:sz w:val="22"/>
                <w:szCs w:val="22"/>
              </w:rPr>
            </w:pPr>
          </w:p>
        </w:tc>
        <w:tc>
          <w:tcPr>
            <w:tcW w:w="2431" w:type="dxa"/>
            <w:tcBorders>
              <w:top w:val="nil"/>
              <w:left w:val="nil"/>
              <w:bottom w:val="nil"/>
              <w:right w:val="single" w:sz="8" w:space="0" w:color="auto"/>
            </w:tcBorders>
            <w:shd w:val="clear" w:color="000000" w:fill="203764"/>
            <w:vAlign w:val="center"/>
            <w:hideMark/>
          </w:tcPr>
          <w:p w14:paraId="4F81965E" w14:textId="77777777" w:rsidR="00007520" w:rsidRPr="0098697B" w:rsidRDefault="00007520" w:rsidP="00007520">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w:t>
            </w:r>
          </w:p>
        </w:tc>
        <w:tc>
          <w:tcPr>
            <w:tcW w:w="2054" w:type="dxa"/>
            <w:tcBorders>
              <w:top w:val="nil"/>
              <w:left w:val="nil"/>
              <w:bottom w:val="nil"/>
              <w:right w:val="single" w:sz="8" w:space="0" w:color="auto"/>
            </w:tcBorders>
            <w:shd w:val="clear" w:color="000000" w:fill="203764"/>
            <w:vAlign w:val="center"/>
            <w:hideMark/>
          </w:tcPr>
          <w:p w14:paraId="39727A34" w14:textId="36441A60" w:rsidR="00007520" w:rsidRPr="0071104F" w:rsidRDefault="0071104F" w:rsidP="00007520">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07520" w:rsidRPr="0098697B" w14:paraId="058359FE" w14:textId="77777777" w:rsidTr="00F36957">
        <w:trPr>
          <w:trHeight w:val="617"/>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791DB3" w14:textId="77777777" w:rsidR="00007520" w:rsidRPr="0098697B" w:rsidRDefault="00007520" w:rsidP="00007520">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78751A97" w14:textId="77777777" w:rsidR="00007520" w:rsidRPr="0098697B" w:rsidRDefault="00007520" w:rsidP="00007520">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109</w:t>
            </w:r>
          </w:p>
        </w:tc>
        <w:tc>
          <w:tcPr>
            <w:tcW w:w="529" w:type="dxa"/>
            <w:tcBorders>
              <w:top w:val="single" w:sz="8" w:space="0" w:color="auto"/>
              <w:left w:val="nil"/>
              <w:bottom w:val="single" w:sz="8" w:space="0" w:color="auto"/>
              <w:right w:val="single" w:sz="8" w:space="0" w:color="auto"/>
            </w:tcBorders>
            <w:shd w:val="clear" w:color="auto" w:fill="auto"/>
            <w:vAlign w:val="center"/>
            <w:hideMark/>
          </w:tcPr>
          <w:p w14:paraId="3F8A0665" w14:textId="77777777" w:rsidR="00007520" w:rsidRPr="0098697B" w:rsidRDefault="00007520" w:rsidP="00007520">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3108" w:type="dxa"/>
            <w:tcBorders>
              <w:top w:val="single" w:sz="8" w:space="0" w:color="auto"/>
              <w:left w:val="nil"/>
              <w:bottom w:val="single" w:sz="8" w:space="0" w:color="auto"/>
              <w:right w:val="single" w:sz="8" w:space="0" w:color="auto"/>
            </w:tcBorders>
            <w:shd w:val="clear" w:color="auto" w:fill="auto"/>
            <w:vAlign w:val="center"/>
            <w:hideMark/>
          </w:tcPr>
          <w:p w14:paraId="2D242E21" w14:textId="77777777" w:rsidR="00007520" w:rsidRPr="0098697B" w:rsidRDefault="00007520" w:rsidP="00007520">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Información a revelar</w:t>
            </w:r>
          </w:p>
        </w:tc>
        <w:tc>
          <w:tcPr>
            <w:tcW w:w="2431" w:type="dxa"/>
            <w:tcBorders>
              <w:top w:val="single" w:sz="8" w:space="0" w:color="auto"/>
              <w:left w:val="nil"/>
              <w:bottom w:val="single" w:sz="8" w:space="0" w:color="auto"/>
              <w:right w:val="single" w:sz="8" w:space="0" w:color="auto"/>
            </w:tcBorders>
            <w:shd w:val="clear" w:color="auto" w:fill="auto"/>
            <w:vAlign w:val="center"/>
            <w:hideMark/>
          </w:tcPr>
          <w:p w14:paraId="130E10AE" w14:textId="77777777" w:rsidR="0098697B" w:rsidRDefault="00007520" w:rsidP="00007520">
            <w:pPr>
              <w:jc w:val="both"/>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 xml:space="preserve">NICSP N° 17, </w:t>
            </w:r>
          </w:p>
          <w:p w14:paraId="600A6EDE" w14:textId="7116CEF2" w:rsidR="00007520" w:rsidRPr="0098697B" w:rsidRDefault="00007520" w:rsidP="00007520">
            <w:pPr>
              <w:jc w:val="both"/>
              <w:rPr>
                <w:rFonts w:ascii="Arial Narrow" w:eastAsia="Times New Roman" w:hAnsi="Arial Narrow"/>
                <w:b/>
                <w:bCs/>
                <w:color w:val="000000"/>
                <w:sz w:val="22"/>
                <w:szCs w:val="22"/>
                <w:lang w:val="es-CR"/>
              </w:rPr>
            </w:pPr>
            <w:r w:rsidRPr="0098697B">
              <w:rPr>
                <w:rFonts w:ascii="Arial Narrow" w:eastAsia="Times New Roman" w:hAnsi="Arial Narrow"/>
                <w:b/>
                <w:bCs/>
                <w:color w:val="000000"/>
                <w:sz w:val="22"/>
                <w:szCs w:val="22"/>
                <w:lang w:val="es-CR"/>
              </w:rPr>
              <w:t>Párrafos 88 a 92 y 94.</w:t>
            </w:r>
          </w:p>
        </w:tc>
        <w:tc>
          <w:tcPr>
            <w:tcW w:w="2054" w:type="dxa"/>
            <w:tcBorders>
              <w:top w:val="single" w:sz="8" w:space="0" w:color="auto"/>
              <w:left w:val="nil"/>
              <w:bottom w:val="single" w:sz="8" w:space="0" w:color="auto"/>
              <w:right w:val="single" w:sz="8" w:space="0" w:color="auto"/>
            </w:tcBorders>
            <w:shd w:val="clear" w:color="auto" w:fill="auto"/>
            <w:vAlign w:val="center"/>
            <w:hideMark/>
          </w:tcPr>
          <w:p w14:paraId="0B4C3469" w14:textId="77777777" w:rsidR="00007520" w:rsidRPr="0098697B" w:rsidRDefault="00007520" w:rsidP="00007520">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 xml:space="preserve"> DGCN</w:t>
            </w:r>
          </w:p>
        </w:tc>
      </w:tr>
    </w:tbl>
    <w:p w14:paraId="5472FC4F" w14:textId="77777777" w:rsidR="006A5B8A" w:rsidRDefault="006A5B8A" w:rsidP="00A351C9">
      <w:pPr>
        <w:spacing w:line="238" w:lineRule="auto"/>
        <w:ind w:left="1134" w:right="260" w:hanging="1134"/>
        <w:jc w:val="both"/>
        <w:rPr>
          <w:rFonts w:ascii="Arial" w:eastAsia="Arial" w:hAnsi="Arial"/>
          <w:b/>
          <w:sz w:val="22"/>
          <w:szCs w:val="22"/>
          <w:lang w:val="es-CR"/>
        </w:rPr>
      </w:pPr>
    </w:p>
    <w:p w14:paraId="197DB3C1" w14:textId="0665C4F0"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AB05A27"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696D328A" w14:textId="1E892CD0" w:rsidR="00B04CA7" w:rsidRPr="00F02F9D" w:rsidRDefault="00B04CA7" w:rsidP="005E5900">
      <w:pPr>
        <w:spacing w:line="236" w:lineRule="auto"/>
        <w:ind w:left="1134" w:right="280" w:hanging="1134"/>
        <w:jc w:val="both"/>
        <w:rPr>
          <w:rFonts w:ascii="Arial" w:eastAsia="Arial" w:hAnsi="Arial"/>
          <w:bCs/>
          <w:sz w:val="22"/>
          <w:szCs w:val="22"/>
          <w:lang w:val="es-CR"/>
        </w:rPr>
      </w:pPr>
      <w:r w:rsidRPr="00F02F9D">
        <w:rPr>
          <w:rFonts w:ascii="Arial" w:eastAsia="Arial" w:hAnsi="Arial"/>
          <w:bCs/>
          <w:sz w:val="22"/>
          <w:szCs w:val="22"/>
          <w:lang w:val="es-CR"/>
        </w:rPr>
        <w:t>1.109.0.01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debido a las características y cantidad de activos, y a efectos de mayor claridad en la información a revelar, dicha información se dividirá en:</w:t>
      </w:r>
    </w:p>
    <w:p w14:paraId="61FA6E47" w14:textId="77777777" w:rsidR="00AB28DF" w:rsidRPr="00F02F9D" w:rsidRDefault="00AB28DF" w:rsidP="005E5900">
      <w:pPr>
        <w:spacing w:line="236" w:lineRule="auto"/>
        <w:ind w:left="1134" w:right="280" w:hanging="1134"/>
        <w:jc w:val="both"/>
        <w:rPr>
          <w:rFonts w:ascii="Arial" w:eastAsia="Arial" w:hAnsi="Arial"/>
          <w:bCs/>
          <w:sz w:val="22"/>
          <w:szCs w:val="22"/>
          <w:lang w:val="es-CR"/>
        </w:rPr>
      </w:pPr>
    </w:p>
    <w:p w14:paraId="0A081BE2" w14:textId="29C9DC0D" w:rsidR="00DB2699" w:rsidRPr="00F02F9D" w:rsidRDefault="00AB28DF">
      <w:pPr>
        <w:pStyle w:val="Prrafodelista"/>
        <w:numPr>
          <w:ilvl w:val="0"/>
          <w:numId w:val="41"/>
        </w:numPr>
        <w:spacing w:after="120"/>
        <w:ind w:left="1559" w:hanging="357"/>
        <w:contextualSpacing w:val="0"/>
        <w:rPr>
          <w:rFonts w:ascii="Arial" w:eastAsia="Arial" w:hAnsi="Arial"/>
          <w:bCs/>
          <w:sz w:val="22"/>
          <w:szCs w:val="22"/>
          <w:lang w:val="es-CR"/>
        </w:rPr>
      </w:pPr>
      <w:r w:rsidRPr="00F02F9D">
        <w:rPr>
          <w:rFonts w:ascii="Arial" w:eastAsia="Arial" w:hAnsi="Arial"/>
          <w:bCs/>
          <w:sz w:val="22"/>
          <w:szCs w:val="22"/>
          <w:lang w:val="es-CR"/>
        </w:rPr>
        <w:t>Información por presentar</w:t>
      </w:r>
      <w:r w:rsidR="00B04CA7" w:rsidRPr="00F02F9D">
        <w:rPr>
          <w:rFonts w:ascii="Arial" w:eastAsia="Arial" w:hAnsi="Arial"/>
          <w:bCs/>
          <w:sz w:val="22"/>
          <w:szCs w:val="22"/>
          <w:lang w:val="es-CR"/>
        </w:rPr>
        <w:t xml:space="preserve"> en Notas a los EEFF;</w:t>
      </w:r>
    </w:p>
    <w:p w14:paraId="33D54C98" w14:textId="51F1E7BA" w:rsidR="00B04CA7" w:rsidRPr="00F02F9D" w:rsidRDefault="00AB28DF">
      <w:pPr>
        <w:pStyle w:val="Prrafodelista"/>
        <w:numPr>
          <w:ilvl w:val="0"/>
          <w:numId w:val="41"/>
        </w:numPr>
        <w:spacing w:line="0" w:lineRule="atLeast"/>
        <w:ind w:left="1560"/>
        <w:rPr>
          <w:rFonts w:ascii="Arial" w:eastAsia="Arial" w:hAnsi="Arial"/>
          <w:bCs/>
          <w:sz w:val="22"/>
          <w:szCs w:val="22"/>
          <w:lang w:val="es-CR"/>
        </w:rPr>
      </w:pPr>
      <w:r w:rsidRPr="00F02F9D">
        <w:rPr>
          <w:rFonts w:ascii="Arial" w:eastAsia="Arial" w:hAnsi="Arial"/>
          <w:bCs/>
          <w:sz w:val="22"/>
          <w:szCs w:val="22"/>
          <w:lang w:val="es-CR"/>
        </w:rPr>
        <w:t>Información por presentar</w:t>
      </w:r>
      <w:r w:rsidR="00B04CA7" w:rsidRPr="00F02F9D">
        <w:rPr>
          <w:rFonts w:ascii="Arial" w:eastAsia="Arial" w:hAnsi="Arial"/>
          <w:bCs/>
          <w:sz w:val="22"/>
          <w:szCs w:val="22"/>
          <w:lang w:val="es-CR"/>
        </w:rPr>
        <w:t xml:space="preserve"> en el Estado de Situación y Evolución de Bienes establecido por el Marco Conceptual Contable.</w:t>
      </w:r>
    </w:p>
    <w:p w14:paraId="5575F877" w14:textId="77777777" w:rsidR="00DB2699" w:rsidRPr="00F02F9D" w:rsidRDefault="00DB2699" w:rsidP="00DB2699">
      <w:pPr>
        <w:pStyle w:val="Prrafodelista"/>
        <w:spacing w:line="0" w:lineRule="atLeast"/>
        <w:ind w:left="1701"/>
        <w:rPr>
          <w:rFonts w:ascii="Arial" w:eastAsia="Arial" w:hAnsi="Arial"/>
          <w:bCs/>
          <w:sz w:val="22"/>
          <w:szCs w:val="22"/>
          <w:lang w:val="es-CR"/>
        </w:rPr>
      </w:pPr>
    </w:p>
    <w:p w14:paraId="18E842C1" w14:textId="568E796A" w:rsidR="00B04CA7" w:rsidRPr="00F02F9D" w:rsidRDefault="00DB2699" w:rsidP="005E5900">
      <w:pPr>
        <w:spacing w:line="236" w:lineRule="auto"/>
        <w:ind w:left="1134" w:right="280" w:hanging="1134"/>
        <w:jc w:val="both"/>
        <w:rPr>
          <w:rFonts w:ascii="Arial" w:eastAsia="Arial" w:hAnsi="Arial"/>
          <w:bCs/>
          <w:sz w:val="22"/>
          <w:szCs w:val="22"/>
          <w:lang w:val="es-CR"/>
        </w:rPr>
      </w:pPr>
      <w:r w:rsidRPr="00F02F9D">
        <w:rPr>
          <w:rFonts w:ascii="Arial" w:eastAsia="Arial" w:hAnsi="Arial"/>
          <w:bCs/>
          <w:sz w:val="22"/>
          <w:szCs w:val="22"/>
          <w:lang w:val="es-CR"/>
        </w:rPr>
        <w:t>1.109.0.02</w:t>
      </w:r>
      <w:r w:rsidRPr="00F02F9D">
        <w:rPr>
          <w:rFonts w:ascii="Arial" w:eastAsia="Arial" w:hAnsi="Arial"/>
          <w:bCs/>
          <w:sz w:val="22"/>
          <w:szCs w:val="22"/>
          <w:lang w:val="es-CR"/>
        </w:rPr>
        <w:tab/>
      </w:r>
      <w:r w:rsidR="00B04CA7" w:rsidRPr="00F02F9D">
        <w:rPr>
          <w:rFonts w:ascii="Arial" w:eastAsia="Arial" w:hAnsi="Arial"/>
          <w:bCs/>
          <w:sz w:val="22"/>
          <w:szCs w:val="22"/>
          <w:lang w:val="es-CR"/>
        </w:rPr>
        <w:t>La información a revelar se presentará para cada cuenta integrante del Activo Fijo y, en la medida de su materialidad para cada subcuenta, y como mínimo tendrá el siguiente alcance:</w:t>
      </w:r>
    </w:p>
    <w:p w14:paraId="3D52A926" w14:textId="77777777" w:rsidR="005E5900" w:rsidRPr="00F02F9D" w:rsidRDefault="005E5900" w:rsidP="005E5900">
      <w:pPr>
        <w:spacing w:line="236" w:lineRule="auto"/>
        <w:ind w:left="1134" w:right="280" w:hanging="1134"/>
        <w:jc w:val="both"/>
        <w:rPr>
          <w:rFonts w:ascii="Arial" w:eastAsia="Arial" w:hAnsi="Arial"/>
          <w:bCs/>
          <w:sz w:val="22"/>
          <w:szCs w:val="22"/>
          <w:lang w:val="es-CR"/>
        </w:rPr>
      </w:pPr>
    </w:p>
    <w:p w14:paraId="446EF44E" w14:textId="14CEA8D1" w:rsidR="00B04CA7" w:rsidRPr="00523185" w:rsidRDefault="00B04CA7">
      <w:pPr>
        <w:pStyle w:val="Prrafodelista"/>
        <w:numPr>
          <w:ilvl w:val="0"/>
          <w:numId w:val="38"/>
        </w:numPr>
        <w:tabs>
          <w:tab w:val="left" w:pos="1080"/>
        </w:tabs>
        <w:spacing w:after="120"/>
        <w:ind w:left="1560"/>
        <w:contextualSpacing w:val="0"/>
        <w:rPr>
          <w:rFonts w:ascii="Arial" w:eastAsia="Arial" w:hAnsi="Arial"/>
          <w:bCs/>
          <w:sz w:val="22"/>
          <w:szCs w:val="22"/>
          <w:lang w:val="es-CR"/>
        </w:rPr>
      </w:pPr>
      <w:r w:rsidRPr="00F02F9D">
        <w:rPr>
          <w:rFonts w:ascii="Arial" w:eastAsia="Arial" w:hAnsi="Arial"/>
          <w:bCs/>
          <w:sz w:val="22"/>
          <w:szCs w:val="22"/>
          <w:lang w:val="es-CR"/>
        </w:rPr>
        <w:t>Las bases de medición utilizadas para determinar el importe en libros bruto,</w:t>
      </w:r>
    </w:p>
    <w:p w14:paraId="6F9F20FC" w14:textId="77777777" w:rsidR="00B04CA7" w:rsidRPr="00F02F9D" w:rsidRDefault="00B04CA7">
      <w:pPr>
        <w:pStyle w:val="Prrafodelista"/>
        <w:numPr>
          <w:ilvl w:val="0"/>
          <w:numId w:val="38"/>
        </w:numPr>
        <w:tabs>
          <w:tab w:val="left" w:pos="1080"/>
        </w:tabs>
        <w:spacing w:after="120"/>
        <w:ind w:left="1560"/>
        <w:contextualSpacing w:val="0"/>
        <w:rPr>
          <w:rFonts w:ascii="Arial" w:eastAsia="Arial" w:hAnsi="Arial"/>
          <w:bCs/>
          <w:sz w:val="22"/>
          <w:szCs w:val="22"/>
          <w:lang w:val="es-CR"/>
        </w:rPr>
      </w:pPr>
      <w:r w:rsidRPr="00F02F9D">
        <w:rPr>
          <w:rFonts w:ascii="Arial" w:eastAsia="Arial" w:hAnsi="Arial"/>
          <w:bCs/>
          <w:sz w:val="22"/>
          <w:szCs w:val="22"/>
          <w:lang w:val="es-CR"/>
        </w:rPr>
        <w:t>Los métodos de depreciación utilizados,</w:t>
      </w:r>
    </w:p>
    <w:p w14:paraId="46C15CC8" w14:textId="77777777" w:rsidR="00B04CA7" w:rsidRPr="00F02F9D" w:rsidRDefault="00B04CA7">
      <w:pPr>
        <w:pStyle w:val="Prrafodelista"/>
        <w:numPr>
          <w:ilvl w:val="0"/>
          <w:numId w:val="38"/>
        </w:numPr>
        <w:tabs>
          <w:tab w:val="left" w:pos="1100"/>
        </w:tabs>
        <w:spacing w:after="120"/>
        <w:ind w:left="1560"/>
        <w:contextualSpacing w:val="0"/>
        <w:rPr>
          <w:rFonts w:ascii="Arial" w:eastAsia="Arial" w:hAnsi="Arial"/>
          <w:bCs/>
          <w:sz w:val="22"/>
          <w:szCs w:val="22"/>
          <w:lang w:val="es-CR"/>
        </w:rPr>
      </w:pPr>
      <w:r w:rsidRPr="00F02F9D">
        <w:rPr>
          <w:rFonts w:ascii="Arial" w:eastAsia="Arial" w:hAnsi="Arial"/>
          <w:bCs/>
          <w:sz w:val="22"/>
          <w:szCs w:val="22"/>
          <w:lang w:val="es-CR"/>
        </w:rPr>
        <w:t>Las vidas útiles o los porcentajes de depreciación utilizados,</w:t>
      </w:r>
    </w:p>
    <w:p w14:paraId="03113A9A" w14:textId="75B680E9" w:rsidR="00B04CA7" w:rsidRPr="00F02F9D" w:rsidRDefault="00B04CA7">
      <w:pPr>
        <w:pStyle w:val="Prrafodelista"/>
        <w:numPr>
          <w:ilvl w:val="0"/>
          <w:numId w:val="38"/>
        </w:numPr>
        <w:tabs>
          <w:tab w:val="left" w:pos="1100"/>
        </w:tabs>
        <w:spacing w:after="120"/>
        <w:ind w:left="1560"/>
        <w:contextualSpacing w:val="0"/>
        <w:rPr>
          <w:rFonts w:ascii="Arial" w:eastAsia="Arial" w:hAnsi="Arial"/>
          <w:bCs/>
          <w:sz w:val="22"/>
          <w:szCs w:val="22"/>
          <w:lang w:val="es-CR"/>
        </w:rPr>
      </w:pPr>
      <w:r w:rsidRPr="00F02F9D">
        <w:rPr>
          <w:rFonts w:ascii="Arial" w:eastAsia="Arial" w:hAnsi="Arial"/>
          <w:bCs/>
          <w:sz w:val="22"/>
          <w:szCs w:val="22"/>
          <w:lang w:val="es-CR"/>
        </w:rPr>
        <w:t xml:space="preserve">Los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os</w:t>
      </w:r>
      <w:r w:rsidRPr="00F02F9D">
        <w:rPr>
          <w:rFonts w:ascii="Arial" w:eastAsia="Arial" w:hAnsi="Arial"/>
          <w:bCs/>
          <w:sz w:val="22"/>
          <w:szCs w:val="22"/>
          <w:lang w:val="es-CR"/>
        </w:rPr>
        <w:t xml:space="preserve"> en las estimaciones contables de:</w:t>
      </w:r>
    </w:p>
    <w:p w14:paraId="043B6938" w14:textId="27061C2E" w:rsidR="00B04CA7" w:rsidRPr="00F02F9D" w:rsidRDefault="00B04CA7">
      <w:pPr>
        <w:pStyle w:val="Prrafodelista"/>
        <w:numPr>
          <w:ilvl w:val="0"/>
          <w:numId w:val="39"/>
        </w:numPr>
        <w:spacing w:after="120"/>
        <w:ind w:left="1985" w:hanging="284"/>
        <w:contextualSpacing w:val="0"/>
        <w:rPr>
          <w:rFonts w:ascii="Arial" w:eastAsia="Arial" w:hAnsi="Arial"/>
          <w:bCs/>
          <w:sz w:val="22"/>
          <w:szCs w:val="22"/>
          <w:lang w:val="es-CR"/>
        </w:rPr>
      </w:pPr>
      <w:r w:rsidRPr="00F02F9D">
        <w:rPr>
          <w:rFonts w:ascii="Arial" w:eastAsia="Arial" w:hAnsi="Arial"/>
          <w:bCs/>
          <w:sz w:val="22"/>
          <w:szCs w:val="22"/>
          <w:lang w:val="es-CR"/>
        </w:rPr>
        <w:t>Valores residuales</w:t>
      </w:r>
    </w:p>
    <w:p w14:paraId="69B21820" w14:textId="1C79571C" w:rsidR="00B04CA7" w:rsidRPr="00F02F9D" w:rsidRDefault="00B04CA7">
      <w:pPr>
        <w:pStyle w:val="Prrafodelista"/>
        <w:numPr>
          <w:ilvl w:val="0"/>
          <w:numId w:val="39"/>
        </w:numPr>
        <w:spacing w:after="120"/>
        <w:ind w:left="1985" w:hanging="284"/>
        <w:contextualSpacing w:val="0"/>
        <w:rPr>
          <w:rFonts w:ascii="Arial" w:eastAsia="Arial" w:hAnsi="Arial"/>
          <w:bCs/>
          <w:sz w:val="22"/>
          <w:szCs w:val="22"/>
          <w:lang w:val="es-CR"/>
        </w:rPr>
      </w:pPr>
      <w:r w:rsidRPr="00F02F9D">
        <w:rPr>
          <w:rFonts w:ascii="Arial" w:eastAsia="Arial" w:hAnsi="Arial"/>
          <w:bCs/>
          <w:sz w:val="22"/>
          <w:szCs w:val="22"/>
          <w:lang w:val="es-CR"/>
        </w:rPr>
        <w:t>Costos estimados de desmantelamiento, retiro o rehabilitación de elementos de PPyE.</w:t>
      </w:r>
    </w:p>
    <w:p w14:paraId="4D34418D" w14:textId="682F7F24" w:rsidR="00B04CA7" w:rsidRPr="00F02F9D" w:rsidRDefault="00B04CA7">
      <w:pPr>
        <w:pStyle w:val="Prrafodelista"/>
        <w:numPr>
          <w:ilvl w:val="0"/>
          <w:numId w:val="39"/>
        </w:numPr>
        <w:spacing w:after="120"/>
        <w:ind w:left="1985" w:hanging="284"/>
        <w:contextualSpacing w:val="0"/>
        <w:rPr>
          <w:rFonts w:ascii="Arial" w:eastAsia="Arial" w:hAnsi="Arial"/>
          <w:bCs/>
          <w:sz w:val="22"/>
          <w:szCs w:val="22"/>
          <w:lang w:val="es-CR"/>
        </w:rPr>
      </w:pPr>
      <w:r w:rsidRPr="00F02F9D">
        <w:rPr>
          <w:rFonts w:ascii="Arial" w:eastAsia="Arial" w:hAnsi="Arial"/>
          <w:bCs/>
          <w:sz w:val="22"/>
          <w:szCs w:val="22"/>
          <w:lang w:val="es-CR"/>
        </w:rPr>
        <w:t>Vidas útiles</w:t>
      </w:r>
    </w:p>
    <w:p w14:paraId="465C3CB0" w14:textId="77777777" w:rsidR="00B04CA7" w:rsidRPr="00F02F9D" w:rsidRDefault="00B04CA7">
      <w:pPr>
        <w:pStyle w:val="Prrafodelista"/>
        <w:numPr>
          <w:ilvl w:val="0"/>
          <w:numId w:val="39"/>
        </w:numPr>
        <w:spacing w:line="0" w:lineRule="atLeast"/>
        <w:ind w:left="1985" w:hanging="284"/>
        <w:rPr>
          <w:rFonts w:ascii="Arial" w:eastAsia="Arial" w:hAnsi="Arial"/>
          <w:bCs/>
          <w:sz w:val="22"/>
          <w:szCs w:val="22"/>
          <w:lang w:val="es-CR"/>
        </w:rPr>
      </w:pPr>
      <w:r w:rsidRPr="00F02F9D">
        <w:rPr>
          <w:rFonts w:ascii="Arial" w:eastAsia="Arial" w:hAnsi="Arial"/>
          <w:bCs/>
          <w:sz w:val="22"/>
          <w:szCs w:val="22"/>
          <w:lang w:val="es-CR"/>
        </w:rPr>
        <w:t>Métodos de depreciación</w:t>
      </w:r>
    </w:p>
    <w:p w14:paraId="5F6B0491" w14:textId="77777777" w:rsidR="00B04CA7" w:rsidRPr="00F02F9D" w:rsidRDefault="00B04CA7" w:rsidP="00B04CA7">
      <w:pPr>
        <w:spacing w:line="209" w:lineRule="exact"/>
        <w:ind w:left="1134" w:hanging="284"/>
        <w:rPr>
          <w:rFonts w:ascii="Arial" w:eastAsia="Times New Roman" w:hAnsi="Arial"/>
          <w:bCs/>
          <w:sz w:val="22"/>
          <w:szCs w:val="22"/>
          <w:lang w:val="es-CR"/>
        </w:rPr>
      </w:pPr>
    </w:p>
    <w:p w14:paraId="234748B7" w14:textId="77777777" w:rsidR="00DB2699" w:rsidRPr="00F02F9D" w:rsidRDefault="00B04CA7">
      <w:pPr>
        <w:pStyle w:val="Prrafodelista"/>
        <w:numPr>
          <w:ilvl w:val="0"/>
          <w:numId w:val="38"/>
        </w:numPr>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importe bruto en libros y la depreciación acumulada (junto con el importe acumulado de las pérdidas por deterioro del valor que le correspondan), tanto al principio como al final de cada período.</w:t>
      </w:r>
      <w:bookmarkStart w:id="52" w:name="page42"/>
      <w:bookmarkEnd w:id="52"/>
    </w:p>
    <w:p w14:paraId="0572BC24" w14:textId="676CC961" w:rsidR="00B04CA7" w:rsidRPr="00F02F9D" w:rsidRDefault="00523185">
      <w:pPr>
        <w:pStyle w:val="Prrafodelista"/>
        <w:numPr>
          <w:ilvl w:val="0"/>
          <w:numId w:val="38"/>
        </w:numPr>
        <w:spacing w:after="120"/>
        <w:ind w:left="1560" w:right="260"/>
        <w:contextualSpacing w:val="0"/>
        <w:jc w:val="both"/>
        <w:rPr>
          <w:rFonts w:ascii="Arial" w:eastAsia="Arial" w:hAnsi="Arial"/>
          <w:bCs/>
          <w:sz w:val="22"/>
          <w:szCs w:val="22"/>
          <w:lang w:val="es-CR"/>
        </w:rPr>
      </w:pPr>
      <w:r>
        <w:rPr>
          <w:rFonts w:ascii="Arial" w:eastAsia="Arial" w:hAnsi="Arial"/>
          <w:bCs/>
          <w:sz w:val="22"/>
          <w:szCs w:val="22"/>
          <w:lang w:val="es-CR"/>
        </w:rPr>
        <w:t>L</w:t>
      </w:r>
      <w:r w:rsidR="00B04CA7" w:rsidRPr="00F02F9D">
        <w:rPr>
          <w:rFonts w:ascii="Arial" w:eastAsia="Arial" w:hAnsi="Arial"/>
          <w:bCs/>
          <w:sz w:val="22"/>
          <w:szCs w:val="22"/>
          <w:lang w:val="es-CR"/>
        </w:rPr>
        <w:t>a conciliación entre los valores en libros al principio y al final del período, mostrando:</w:t>
      </w:r>
    </w:p>
    <w:p w14:paraId="1DA860A9" w14:textId="77777777" w:rsidR="00B04CA7" w:rsidRPr="00F02F9D" w:rsidRDefault="00B04CA7">
      <w:pPr>
        <w:pStyle w:val="Prrafodelista"/>
        <w:numPr>
          <w:ilvl w:val="0"/>
          <w:numId w:val="40"/>
        </w:numPr>
        <w:spacing w:after="120"/>
        <w:ind w:left="1985" w:hanging="218"/>
        <w:contextualSpacing w:val="0"/>
        <w:rPr>
          <w:rFonts w:ascii="Arial" w:eastAsia="Arial" w:hAnsi="Arial"/>
          <w:bCs/>
          <w:sz w:val="22"/>
          <w:szCs w:val="22"/>
        </w:rPr>
      </w:pPr>
      <w:r w:rsidRPr="00F02F9D">
        <w:rPr>
          <w:rFonts w:ascii="Arial" w:eastAsia="Arial" w:hAnsi="Arial"/>
          <w:bCs/>
          <w:sz w:val="22"/>
          <w:szCs w:val="22"/>
        </w:rPr>
        <w:t>Las inversiones.</w:t>
      </w:r>
    </w:p>
    <w:p w14:paraId="56ECD40D" w14:textId="06ED0253" w:rsidR="00B04CA7" w:rsidRPr="00F36957" w:rsidRDefault="00B04CA7" w:rsidP="00F36957">
      <w:pPr>
        <w:pStyle w:val="Prrafodelista"/>
        <w:numPr>
          <w:ilvl w:val="0"/>
          <w:numId w:val="40"/>
        </w:numPr>
        <w:spacing w:after="120"/>
        <w:ind w:left="1985" w:hanging="218"/>
        <w:contextualSpacing w:val="0"/>
        <w:rPr>
          <w:rFonts w:ascii="Arial" w:eastAsia="Arial" w:hAnsi="Arial"/>
          <w:bCs/>
          <w:sz w:val="22"/>
          <w:szCs w:val="22"/>
          <w:lang w:val="es-CR"/>
        </w:rPr>
      </w:pPr>
      <w:r w:rsidRPr="00F02F9D">
        <w:rPr>
          <w:rFonts w:ascii="Arial" w:eastAsia="Arial" w:hAnsi="Arial"/>
          <w:bCs/>
          <w:sz w:val="22"/>
          <w:szCs w:val="22"/>
          <w:lang w:val="es-CR"/>
        </w:rPr>
        <w:t>Las disposiciones por venta, o donación</w:t>
      </w:r>
    </w:p>
    <w:p w14:paraId="568FD7D4" w14:textId="77777777" w:rsidR="00B04CA7" w:rsidRPr="00F02F9D" w:rsidRDefault="00B04CA7">
      <w:pPr>
        <w:pStyle w:val="Prrafodelista"/>
        <w:numPr>
          <w:ilvl w:val="0"/>
          <w:numId w:val="40"/>
        </w:numPr>
        <w:spacing w:after="120"/>
        <w:ind w:left="1985" w:right="260" w:hanging="218"/>
        <w:contextualSpacing w:val="0"/>
        <w:jc w:val="both"/>
        <w:rPr>
          <w:rFonts w:ascii="Arial" w:eastAsia="Arial" w:hAnsi="Arial"/>
          <w:bCs/>
          <w:sz w:val="22"/>
          <w:szCs w:val="22"/>
          <w:lang w:val="es-CR"/>
        </w:rPr>
      </w:pPr>
      <w:r w:rsidRPr="00F02F9D">
        <w:rPr>
          <w:rFonts w:ascii="Arial" w:eastAsia="Arial" w:hAnsi="Arial"/>
          <w:bCs/>
          <w:sz w:val="22"/>
          <w:szCs w:val="22"/>
          <w:lang w:val="es-CR"/>
        </w:rPr>
        <w:lastRenderedPageBreak/>
        <w:t>Los incrementos o disminuciones, resultantes de las revaluaciones, así como las pérdidas por deterioro del valor (si las hubiera) reconocidas, o revertidas directamente en los activos netos/patrimonio.</w:t>
      </w:r>
    </w:p>
    <w:p w14:paraId="6757C970" w14:textId="77777777" w:rsidR="00B04CA7" w:rsidRPr="00F02F9D" w:rsidRDefault="00B04CA7" w:rsidP="00F36957">
      <w:pPr>
        <w:pStyle w:val="Prrafodelista"/>
        <w:numPr>
          <w:ilvl w:val="0"/>
          <w:numId w:val="40"/>
        </w:numPr>
        <w:spacing w:after="120"/>
        <w:ind w:left="1984" w:hanging="215"/>
        <w:contextualSpacing w:val="0"/>
        <w:rPr>
          <w:rFonts w:ascii="Arial" w:eastAsia="Arial" w:hAnsi="Arial"/>
          <w:bCs/>
          <w:sz w:val="22"/>
          <w:szCs w:val="22"/>
          <w:lang w:val="es-CR"/>
        </w:rPr>
      </w:pPr>
      <w:r w:rsidRPr="00F02F9D">
        <w:rPr>
          <w:rFonts w:ascii="Arial" w:eastAsia="Arial" w:hAnsi="Arial"/>
          <w:bCs/>
          <w:sz w:val="22"/>
          <w:szCs w:val="22"/>
          <w:lang w:val="es-CR"/>
        </w:rPr>
        <w:t>Las pérdidas por deterioro del valor reconocidas en el resultado.</w:t>
      </w:r>
    </w:p>
    <w:p w14:paraId="2DD7BD55" w14:textId="77777777" w:rsidR="00B04CA7" w:rsidRPr="00F02F9D" w:rsidRDefault="00B04CA7" w:rsidP="00F36957">
      <w:pPr>
        <w:spacing w:after="120"/>
        <w:ind w:left="1984" w:hanging="215"/>
        <w:rPr>
          <w:rFonts w:ascii="Arial" w:eastAsia="Arial" w:hAnsi="Arial"/>
          <w:bCs/>
          <w:sz w:val="22"/>
          <w:szCs w:val="22"/>
          <w:lang w:val="es-CR"/>
        </w:rPr>
      </w:pPr>
    </w:p>
    <w:p w14:paraId="48873215" w14:textId="77777777" w:rsidR="00B04CA7" w:rsidRPr="00F02F9D" w:rsidRDefault="00B04CA7" w:rsidP="00F36957">
      <w:pPr>
        <w:pStyle w:val="Prrafodelista"/>
        <w:numPr>
          <w:ilvl w:val="0"/>
          <w:numId w:val="40"/>
        </w:numPr>
        <w:spacing w:after="120"/>
        <w:ind w:left="1984" w:right="280" w:hanging="215"/>
        <w:contextualSpacing w:val="0"/>
        <w:rPr>
          <w:rFonts w:ascii="Arial" w:eastAsia="Arial" w:hAnsi="Arial"/>
          <w:bCs/>
          <w:sz w:val="22"/>
          <w:szCs w:val="22"/>
          <w:lang w:val="es-CR"/>
        </w:rPr>
      </w:pPr>
      <w:r w:rsidRPr="00F02F9D">
        <w:rPr>
          <w:rFonts w:ascii="Arial" w:eastAsia="Arial" w:hAnsi="Arial"/>
          <w:bCs/>
          <w:sz w:val="22"/>
          <w:szCs w:val="22"/>
          <w:lang w:val="es-CR"/>
        </w:rPr>
        <w:t>Las pérdidas por deterioro de valor que se hayan revertido, y hayan sido reconocidas en el resultado del período.</w:t>
      </w:r>
    </w:p>
    <w:p w14:paraId="05991F0F" w14:textId="77777777" w:rsidR="00B04CA7" w:rsidRPr="00F02F9D" w:rsidRDefault="00B04CA7" w:rsidP="00F36957">
      <w:pPr>
        <w:pStyle w:val="Prrafodelista"/>
        <w:numPr>
          <w:ilvl w:val="0"/>
          <w:numId w:val="40"/>
        </w:numPr>
        <w:spacing w:after="120"/>
        <w:ind w:left="1984" w:hanging="215"/>
        <w:contextualSpacing w:val="0"/>
        <w:rPr>
          <w:rFonts w:ascii="Arial" w:eastAsia="Arial" w:hAnsi="Arial"/>
          <w:bCs/>
          <w:sz w:val="22"/>
          <w:szCs w:val="22"/>
        </w:rPr>
      </w:pPr>
      <w:r w:rsidRPr="00F02F9D">
        <w:rPr>
          <w:rFonts w:ascii="Arial" w:eastAsia="Arial" w:hAnsi="Arial"/>
          <w:bCs/>
          <w:sz w:val="22"/>
          <w:szCs w:val="22"/>
        </w:rPr>
        <w:t>La depreciación del período.</w:t>
      </w:r>
    </w:p>
    <w:p w14:paraId="5E49243E" w14:textId="77777777" w:rsidR="00B04CA7" w:rsidRPr="00F02F9D" w:rsidRDefault="00B04CA7" w:rsidP="00F36957">
      <w:pPr>
        <w:pStyle w:val="Prrafodelista"/>
        <w:numPr>
          <w:ilvl w:val="0"/>
          <w:numId w:val="40"/>
        </w:numPr>
        <w:spacing w:after="120"/>
        <w:ind w:left="1984" w:hanging="215"/>
        <w:contextualSpacing w:val="0"/>
        <w:rPr>
          <w:rFonts w:ascii="Arial" w:eastAsia="Arial" w:hAnsi="Arial"/>
          <w:bCs/>
          <w:sz w:val="22"/>
          <w:szCs w:val="22"/>
        </w:rPr>
      </w:pPr>
      <w:r w:rsidRPr="00F02F9D">
        <w:rPr>
          <w:rFonts w:ascii="Arial" w:eastAsia="Arial" w:hAnsi="Arial"/>
          <w:bCs/>
          <w:sz w:val="22"/>
          <w:szCs w:val="22"/>
        </w:rPr>
        <w:t>Las depreciaciones acumuladas.</w:t>
      </w:r>
    </w:p>
    <w:p w14:paraId="3700354B" w14:textId="77777777" w:rsidR="00B04CA7" w:rsidRPr="00F02F9D" w:rsidRDefault="00B04CA7">
      <w:pPr>
        <w:pStyle w:val="Prrafodelista"/>
        <w:numPr>
          <w:ilvl w:val="0"/>
          <w:numId w:val="40"/>
        </w:numPr>
        <w:spacing w:line="0" w:lineRule="atLeast"/>
        <w:ind w:left="1985" w:hanging="218"/>
        <w:rPr>
          <w:rFonts w:ascii="Arial" w:eastAsia="Arial" w:hAnsi="Arial"/>
          <w:bCs/>
          <w:sz w:val="22"/>
          <w:szCs w:val="22"/>
        </w:rPr>
      </w:pPr>
      <w:r w:rsidRPr="00F02F9D">
        <w:rPr>
          <w:rFonts w:ascii="Arial" w:eastAsia="Arial" w:hAnsi="Arial"/>
          <w:bCs/>
          <w:sz w:val="22"/>
          <w:szCs w:val="22"/>
        </w:rPr>
        <w:t>Otros movimientos.</w:t>
      </w:r>
    </w:p>
    <w:p w14:paraId="1E093EC3" w14:textId="77777777" w:rsidR="00B04CA7" w:rsidRPr="00F02F9D" w:rsidRDefault="00B04CA7" w:rsidP="00B04CA7">
      <w:pPr>
        <w:spacing w:line="285" w:lineRule="exact"/>
        <w:rPr>
          <w:rFonts w:ascii="Arial" w:eastAsia="Arial" w:hAnsi="Arial"/>
          <w:bCs/>
          <w:sz w:val="22"/>
          <w:szCs w:val="22"/>
        </w:rPr>
      </w:pPr>
    </w:p>
    <w:p w14:paraId="63B98160" w14:textId="2554F88B" w:rsidR="00B04CA7" w:rsidRPr="00F02F9D" w:rsidRDefault="00B04CA7">
      <w:pPr>
        <w:pStyle w:val="Prrafodelista"/>
        <w:numPr>
          <w:ilvl w:val="0"/>
          <w:numId w:val="38"/>
        </w:numPr>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La existencia y los importes correspondientes a las restricciones de titularidad, así como los activos que están afectados como garantía al cumplimiento de obligaciones.</w:t>
      </w:r>
    </w:p>
    <w:p w14:paraId="5EA5251A" w14:textId="77777777" w:rsidR="00B04CA7" w:rsidRPr="00F02F9D" w:rsidRDefault="00B04CA7" w:rsidP="00AB28DF">
      <w:pPr>
        <w:spacing w:line="1" w:lineRule="exact"/>
        <w:ind w:left="1560"/>
        <w:rPr>
          <w:rFonts w:ascii="Arial" w:eastAsia="Arial" w:hAnsi="Arial"/>
          <w:bCs/>
          <w:sz w:val="22"/>
          <w:szCs w:val="22"/>
          <w:lang w:val="es-CR"/>
        </w:rPr>
      </w:pPr>
    </w:p>
    <w:p w14:paraId="45C9B7F0" w14:textId="06B1A7E7" w:rsidR="00B04CA7" w:rsidRPr="00F02F9D" w:rsidRDefault="00B04CA7" w:rsidP="00F36957">
      <w:pPr>
        <w:pStyle w:val="Prrafodelista"/>
        <w:numPr>
          <w:ilvl w:val="0"/>
          <w:numId w:val="38"/>
        </w:numPr>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importe de los compromisos de adquisición de activos.</w:t>
      </w:r>
    </w:p>
    <w:p w14:paraId="7C56D9A6" w14:textId="4755CF21" w:rsidR="00B04CA7" w:rsidRPr="00F02F9D" w:rsidRDefault="00B04CA7">
      <w:pPr>
        <w:pStyle w:val="Prrafodelista"/>
        <w:numPr>
          <w:ilvl w:val="0"/>
          <w:numId w:val="38"/>
        </w:numPr>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importe de las compensaciones de terceros que se incluyen en el resultado por elementos de bienes cuyo valor se hubiera deteriorado, se hubieran perdido o se hubieran retirado</w:t>
      </w:r>
    </w:p>
    <w:p w14:paraId="3B519BF1" w14:textId="0AE0AA5B" w:rsidR="00B04CA7" w:rsidRPr="00F02F9D" w:rsidRDefault="00B04CA7">
      <w:pPr>
        <w:pStyle w:val="Prrafodelista"/>
        <w:numPr>
          <w:ilvl w:val="0"/>
          <w:numId w:val="38"/>
        </w:numPr>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importe en libros de los activos, que se encuentran temporalmente ociosos.</w:t>
      </w:r>
    </w:p>
    <w:p w14:paraId="36C0EB22" w14:textId="3A9CC842" w:rsidR="00B04CA7" w:rsidRPr="00F02F9D" w:rsidRDefault="00B04CA7">
      <w:pPr>
        <w:pStyle w:val="Prrafodelista"/>
        <w:numPr>
          <w:ilvl w:val="0"/>
          <w:numId w:val="38"/>
        </w:numPr>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importe en libros bruto de cualquier activo que, estando totalmente depreciado, se encuentra todavía en uso.</w:t>
      </w:r>
    </w:p>
    <w:p w14:paraId="2F491191" w14:textId="77777777" w:rsidR="00DB2699" w:rsidRPr="00F02F9D" w:rsidRDefault="00B04CA7">
      <w:pPr>
        <w:pStyle w:val="Prrafodelista"/>
        <w:numPr>
          <w:ilvl w:val="0"/>
          <w:numId w:val="38"/>
        </w:numPr>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El importe en libros de los elementos componentes de los activos retirados de su uso activo, que se mantienen sólo para disponer de ellos.</w:t>
      </w:r>
    </w:p>
    <w:p w14:paraId="3035942B" w14:textId="280051A6" w:rsidR="00B04CA7" w:rsidRPr="00F02F9D" w:rsidRDefault="00B04CA7">
      <w:pPr>
        <w:pStyle w:val="Prrafodelista"/>
        <w:numPr>
          <w:ilvl w:val="0"/>
          <w:numId w:val="38"/>
        </w:numPr>
        <w:spacing w:line="237" w:lineRule="auto"/>
        <w:ind w:left="1560" w:right="260"/>
        <w:jc w:val="both"/>
        <w:rPr>
          <w:rFonts w:ascii="Arial" w:eastAsia="Arial" w:hAnsi="Arial"/>
          <w:bCs/>
          <w:sz w:val="22"/>
          <w:szCs w:val="22"/>
          <w:lang w:val="es-CR"/>
        </w:rPr>
      </w:pPr>
      <w:r w:rsidRPr="00F02F9D">
        <w:rPr>
          <w:rFonts w:ascii="Arial" w:eastAsia="Arial" w:hAnsi="Arial"/>
          <w:bCs/>
          <w:sz w:val="22"/>
          <w:szCs w:val="22"/>
          <w:lang w:val="es-CR"/>
        </w:rPr>
        <w:t>El valor razonable de los activos, cuando sea significativamente diferente de su importe en libros y se utilice el modelo del costo.</w:t>
      </w:r>
    </w:p>
    <w:p w14:paraId="1281FB88" w14:textId="77777777" w:rsidR="00B04CA7" w:rsidRPr="00F02F9D" w:rsidRDefault="00B04CA7" w:rsidP="00DB2699">
      <w:pPr>
        <w:spacing w:line="236" w:lineRule="auto"/>
        <w:ind w:left="1276" w:right="280" w:hanging="1276"/>
        <w:jc w:val="both"/>
        <w:rPr>
          <w:rFonts w:ascii="Arial" w:eastAsia="Arial" w:hAnsi="Arial"/>
          <w:bCs/>
          <w:sz w:val="22"/>
          <w:szCs w:val="22"/>
          <w:lang w:val="es-CR"/>
        </w:rPr>
      </w:pPr>
    </w:p>
    <w:p w14:paraId="1F9B55F1" w14:textId="6A553D0B" w:rsidR="00B04CA7" w:rsidRDefault="00DB2699" w:rsidP="00523185">
      <w:pPr>
        <w:spacing w:line="236" w:lineRule="auto"/>
        <w:ind w:left="1134" w:right="280" w:hanging="1134"/>
        <w:jc w:val="both"/>
        <w:rPr>
          <w:rFonts w:ascii="Arial" w:eastAsia="Arial" w:hAnsi="Arial"/>
          <w:bCs/>
          <w:sz w:val="22"/>
          <w:szCs w:val="22"/>
          <w:lang w:val="es-CR"/>
        </w:rPr>
      </w:pPr>
      <w:r w:rsidRPr="00F02F9D">
        <w:rPr>
          <w:rFonts w:ascii="Arial" w:eastAsia="Arial" w:hAnsi="Arial"/>
          <w:bCs/>
          <w:sz w:val="22"/>
          <w:szCs w:val="22"/>
          <w:lang w:val="es-CR"/>
        </w:rPr>
        <w:t>1.109.0.03</w:t>
      </w:r>
      <w:r w:rsidRPr="00F02F9D">
        <w:rPr>
          <w:rFonts w:ascii="Arial" w:eastAsia="Arial" w:hAnsi="Arial"/>
          <w:bCs/>
          <w:sz w:val="22"/>
          <w:szCs w:val="22"/>
          <w:lang w:val="es-CR"/>
        </w:rPr>
        <w:tab/>
      </w:r>
      <w:r w:rsidR="00B04CA7" w:rsidRPr="00F02F9D">
        <w:rPr>
          <w:rFonts w:ascii="Arial" w:eastAsia="Arial" w:hAnsi="Arial"/>
          <w:bCs/>
          <w:sz w:val="22"/>
          <w:szCs w:val="22"/>
          <w:lang w:val="es-CR"/>
        </w:rPr>
        <w:t>Para aquellos activos revaluados, se deberá informar los importes</w:t>
      </w:r>
      <w:r w:rsidRPr="00F02F9D">
        <w:rPr>
          <w:rFonts w:ascii="Arial" w:eastAsia="Arial" w:hAnsi="Arial"/>
          <w:bCs/>
          <w:sz w:val="22"/>
          <w:szCs w:val="22"/>
          <w:lang w:val="es-CR"/>
        </w:rPr>
        <w:t xml:space="preserve"> </w:t>
      </w:r>
      <w:r w:rsidR="00B04CA7" w:rsidRPr="00F02F9D">
        <w:rPr>
          <w:rFonts w:ascii="Arial" w:eastAsia="Arial" w:hAnsi="Arial"/>
          <w:bCs/>
          <w:sz w:val="22"/>
          <w:szCs w:val="22"/>
          <w:lang w:val="es-CR"/>
        </w:rPr>
        <w:t>evaluados, y como mínimo deberán exponerse la siguiente información:</w:t>
      </w:r>
    </w:p>
    <w:p w14:paraId="3C28D2D8" w14:textId="77777777" w:rsidR="00523185" w:rsidRPr="00F02F9D" w:rsidRDefault="00523185" w:rsidP="00523185">
      <w:pPr>
        <w:spacing w:line="236" w:lineRule="auto"/>
        <w:ind w:left="1134" w:right="280" w:hanging="1134"/>
        <w:jc w:val="both"/>
        <w:rPr>
          <w:rFonts w:ascii="Arial" w:eastAsia="Arial" w:hAnsi="Arial"/>
          <w:bCs/>
          <w:sz w:val="22"/>
          <w:szCs w:val="22"/>
          <w:lang w:val="es-CR"/>
        </w:rPr>
      </w:pPr>
    </w:p>
    <w:p w14:paraId="27C262F9" w14:textId="7815AA21" w:rsidR="00B04CA7" w:rsidRPr="00523185" w:rsidRDefault="00B04CA7">
      <w:pPr>
        <w:pStyle w:val="Prrafodelista"/>
        <w:numPr>
          <w:ilvl w:val="0"/>
          <w:numId w:val="42"/>
        </w:numPr>
        <w:spacing w:after="120"/>
        <w:ind w:left="1559"/>
        <w:contextualSpacing w:val="0"/>
        <w:rPr>
          <w:rFonts w:ascii="Arial" w:eastAsia="Arial" w:hAnsi="Arial"/>
          <w:bCs/>
          <w:sz w:val="22"/>
          <w:szCs w:val="22"/>
          <w:lang w:val="es-CR"/>
        </w:rPr>
      </w:pPr>
      <w:r w:rsidRPr="00F02F9D">
        <w:rPr>
          <w:rFonts w:ascii="Arial" w:eastAsia="Arial" w:hAnsi="Arial"/>
          <w:bCs/>
          <w:sz w:val="22"/>
          <w:szCs w:val="22"/>
          <w:lang w:val="es-CR"/>
        </w:rPr>
        <w:t>La fecha efectiva de la revaluación</w:t>
      </w:r>
    </w:p>
    <w:p w14:paraId="41116822" w14:textId="46185D07" w:rsidR="00B04CA7" w:rsidRPr="00523185" w:rsidRDefault="00B04CA7">
      <w:pPr>
        <w:pStyle w:val="Prrafodelista"/>
        <w:numPr>
          <w:ilvl w:val="0"/>
          <w:numId w:val="42"/>
        </w:numPr>
        <w:tabs>
          <w:tab w:val="left" w:pos="939"/>
        </w:tabs>
        <w:spacing w:after="120"/>
        <w:ind w:left="1559" w:right="260"/>
        <w:contextualSpacing w:val="0"/>
        <w:rPr>
          <w:rFonts w:ascii="Arial" w:eastAsia="Arial" w:hAnsi="Arial"/>
          <w:bCs/>
          <w:sz w:val="22"/>
          <w:szCs w:val="22"/>
          <w:lang w:val="es-CR"/>
        </w:rPr>
      </w:pPr>
      <w:r w:rsidRPr="00F02F9D">
        <w:rPr>
          <w:rFonts w:ascii="Arial" w:eastAsia="Arial" w:hAnsi="Arial"/>
          <w:bCs/>
          <w:sz w:val="22"/>
          <w:szCs w:val="22"/>
          <w:lang w:val="es-CR"/>
        </w:rPr>
        <w:t>Si se han utilizado los servicios de un tasador independiente, en los términos de la política aplicable a revaluaciones.</w:t>
      </w:r>
    </w:p>
    <w:p w14:paraId="24172E8B" w14:textId="50550420" w:rsidR="00B04CA7" w:rsidRPr="00523185" w:rsidRDefault="00B04CA7">
      <w:pPr>
        <w:pStyle w:val="Prrafodelista"/>
        <w:numPr>
          <w:ilvl w:val="0"/>
          <w:numId w:val="42"/>
        </w:numPr>
        <w:tabs>
          <w:tab w:val="left" w:pos="940"/>
        </w:tabs>
        <w:spacing w:after="120"/>
        <w:ind w:left="1559" w:right="260"/>
        <w:contextualSpacing w:val="0"/>
        <w:rPr>
          <w:rFonts w:ascii="Arial" w:eastAsia="Arial" w:hAnsi="Arial"/>
          <w:bCs/>
          <w:sz w:val="22"/>
          <w:szCs w:val="22"/>
          <w:lang w:val="es-CR"/>
        </w:rPr>
      </w:pPr>
      <w:r w:rsidRPr="00F02F9D">
        <w:rPr>
          <w:rFonts w:ascii="Arial" w:eastAsia="Arial" w:hAnsi="Arial"/>
          <w:bCs/>
          <w:sz w:val="22"/>
          <w:szCs w:val="22"/>
          <w:lang w:val="es-CR"/>
        </w:rPr>
        <w:t>Los métodos e hipótesis significativos empleados en la estimación del valor razonable de los activos</w:t>
      </w:r>
      <w:r w:rsidR="00523185">
        <w:rPr>
          <w:rFonts w:ascii="Arial" w:eastAsia="Arial" w:hAnsi="Arial"/>
          <w:bCs/>
          <w:sz w:val="22"/>
          <w:szCs w:val="22"/>
          <w:lang w:val="es-CR"/>
        </w:rPr>
        <w:t>.</w:t>
      </w:r>
    </w:p>
    <w:p w14:paraId="2861476A" w14:textId="77777777" w:rsidR="00B04CA7" w:rsidRPr="00F02F9D" w:rsidRDefault="00B04CA7">
      <w:pPr>
        <w:pStyle w:val="Prrafodelista"/>
        <w:numPr>
          <w:ilvl w:val="0"/>
          <w:numId w:val="42"/>
        </w:numPr>
        <w:tabs>
          <w:tab w:val="left" w:pos="939"/>
        </w:tabs>
        <w:spacing w:after="120"/>
        <w:ind w:left="1559" w:right="260"/>
        <w:contextualSpacing w:val="0"/>
        <w:jc w:val="both"/>
        <w:rPr>
          <w:rFonts w:ascii="Arial" w:eastAsia="Arial" w:hAnsi="Arial"/>
          <w:bCs/>
          <w:sz w:val="22"/>
          <w:szCs w:val="22"/>
          <w:lang w:val="es-CR"/>
        </w:rPr>
      </w:pPr>
      <w:r w:rsidRPr="00F02F9D">
        <w:rPr>
          <w:rFonts w:ascii="Arial" w:eastAsia="Arial" w:hAnsi="Arial"/>
          <w:bCs/>
          <w:sz w:val="22"/>
          <w:szCs w:val="22"/>
          <w:lang w:val="es-CR"/>
        </w:rPr>
        <w:t>En qué medida el valor razonable de los activos de propiedad, planta y equipo fue determinado directamente, por referencia a los precios observables en un mercado activo, o a transacciones de mercado recientes entre sujetos debidamente informados en condiciones de independencia, o fue estimado utilizando otras técnicas de valoración.</w:t>
      </w:r>
    </w:p>
    <w:p w14:paraId="36FD7AD6" w14:textId="77777777" w:rsidR="00B04CA7" w:rsidRPr="00F02F9D" w:rsidRDefault="00B04CA7" w:rsidP="00523185">
      <w:pPr>
        <w:spacing w:after="120"/>
        <w:ind w:left="1559"/>
        <w:rPr>
          <w:rFonts w:ascii="Arial" w:eastAsia="Times New Roman" w:hAnsi="Arial"/>
          <w:bCs/>
          <w:sz w:val="22"/>
          <w:szCs w:val="22"/>
          <w:lang w:val="es-CR"/>
        </w:rPr>
        <w:sectPr w:rsidR="00B04CA7" w:rsidRPr="00F02F9D" w:rsidSect="006D026E">
          <w:pgSz w:w="12240" w:h="15840"/>
          <w:pgMar w:top="1440" w:right="1440" w:bottom="146" w:left="1440" w:header="0" w:footer="0" w:gutter="0"/>
          <w:cols w:space="0" w:equalWidth="0">
            <w:col w:w="9360"/>
          </w:cols>
          <w:docGrid w:linePitch="360"/>
        </w:sectPr>
      </w:pPr>
    </w:p>
    <w:p w14:paraId="0E71167B" w14:textId="49056461" w:rsidR="00B04CA7" w:rsidRPr="00523185" w:rsidRDefault="00B04CA7">
      <w:pPr>
        <w:pStyle w:val="Prrafodelista"/>
        <w:numPr>
          <w:ilvl w:val="0"/>
          <w:numId w:val="42"/>
        </w:numPr>
        <w:tabs>
          <w:tab w:val="left" w:pos="939"/>
        </w:tabs>
        <w:spacing w:after="120"/>
        <w:ind w:left="1559" w:right="260"/>
        <w:contextualSpacing w:val="0"/>
        <w:jc w:val="both"/>
        <w:rPr>
          <w:rFonts w:ascii="Arial" w:eastAsia="Arial" w:hAnsi="Arial"/>
          <w:bCs/>
          <w:sz w:val="22"/>
          <w:szCs w:val="22"/>
          <w:lang w:val="es-CR"/>
        </w:rPr>
      </w:pPr>
      <w:bookmarkStart w:id="53" w:name="page43"/>
      <w:bookmarkEnd w:id="53"/>
      <w:r w:rsidRPr="00F02F9D">
        <w:rPr>
          <w:rFonts w:ascii="Arial" w:eastAsia="Arial" w:hAnsi="Arial"/>
          <w:bCs/>
          <w:sz w:val="22"/>
          <w:szCs w:val="22"/>
          <w:lang w:val="es-CR"/>
        </w:rPr>
        <w:t>El resultado de revaluación, indicando los movimientos del período, así como cualesquiera restricciones sobre la distribución de su saldo a los propietarios o tenedores de cuotas participativas.</w:t>
      </w:r>
    </w:p>
    <w:p w14:paraId="5242D8E5" w14:textId="7609DF28" w:rsidR="00B04CA7" w:rsidRPr="00523185" w:rsidRDefault="00B04CA7">
      <w:pPr>
        <w:pStyle w:val="Prrafodelista"/>
        <w:numPr>
          <w:ilvl w:val="0"/>
          <w:numId w:val="42"/>
        </w:numPr>
        <w:tabs>
          <w:tab w:val="left" w:pos="891"/>
        </w:tabs>
        <w:spacing w:after="120"/>
        <w:ind w:left="1559" w:right="260"/>
        <w:contextualSpacing w:val="0"/>
        <w:rPr>
          <w:rFonts w:ascii="Arial" w:eastAsia="Arial" w:hAnsi="Arial"/>
          <w:bCs/>
          <w:sz w:val="22"/>
          <w:szCs w:val="22"/>
          <w:lang w:val="es-CR"/>
        </w:rPr>
      </w:pPr>
      <w:r w:rsidRPr="00F02F9D">
        <w:rPr>
          <w:rFonts w:ascii="Arial" w:eastAsia="Arial" w:hAnsi="Arial"/>
          <w:bCs/>
          <w:sz w:val="22"/>
          <w:szCs w:val="22"/>
          <w:lang w:val="es-CR"/>
        </w:rPr>
        <w:t>La suma de todos los superávits de revaluación para los elementos individuales de cada activo revaluado, por clase de activos.</w:t>
      </w:r>
    </w:p>
    <w:p w14:paraId="6987A008" w14:textId="77777777" w:rsidR="00B04CA7" w:rsidRPr="00F02F9D" w:rsidRDefault="00B04CA7">
      <w:pPr>
        <w:pStyle w:val="Prrafodelista"/>
        <w:numPr>
          <w:ilvl w:val="0"/>
          <w:numId w:val="42"/>
        </w:numPr>
        <w:tabs>
          <w:tab w:val="left" w:pos="939"/>
        </w:tabs>
        <w:spacing w:after="120"/>
        <w:ind w:left="1559" w:right="260"/>
        <w:contextualSpacing w:val="0"/>
        <w:rPr>
          <w:rFonts w:ascii="Arial" w:eastAsia="Arial" w:hAnsi="Arial"/>
          <w:bCs/>
          <w:sz w:val="22"/>
          <w:szCs w:val="22"/>
          <w:lang w:val="es-CR"/>
        </w:rPr>
      </w:pPr>
      <w:r w:rsidRPr="00F02F9D">
        <w:rPr>
          <w:rFonts w:ascii="Arial" w:eastAsia="Arial" w:hAnsi="Arial"/>
          <w:bCs/>
          <w:sz w:val="22"/>
          <w:szCs w:val="22"/>
          <w:lang w:val="es-CR"/>
        </w:rPr>
        <w:t>La suma de todo el déficit de revaluación para los elementos individuales de cada activo revaluado, por clase de activos.</w:t>
      </w:r>
    </w:p>
    <w:p w14:paraId="131340C1" w14:textId="77777777" w:rsidR="00B04CA7" w:rsidRPr="00F02F9D" w:rsidRDefault="00B04CA7" w:rsidP="0060535E">
      <w:pPr>
        <w:spacing w:line="9" w:lineRule="exact"/>
        <w:ind w:left="1560"/>
        <w:rPr>
          <w:rFonts w:ascii="Arial" w:eastAsia="Arial" w:hAnsi="Arial"/>
          <w:bCs/>
          <w:sz w:val="22"/>
          <w:szCs w:val="22"/>
          <w:lang w:val="es-CR"/>
        </w:rPr>
      </w:pPr>
    </w:p>
    <w:p w14:paraId="64A7EA87" w14:textId="15D949F8" w:rsidR="00B04CA7" w:rsidRPr="00F02F9D" w:rsidRDefault="00B04CA7">
      <w:pPr>
        <w:pStyle w:val="Prrafodelista"/>
        <w:numPr>
          <w:ilvl w:val="0"/>
          <w:numId w:val="42"/>
        </w:numPr>
        <w:tabs>
          <w:tab w:val="left" w:pos="939"/>
        </w:tabs>
        <w:spacing w:line="236" w:lineRule="auto"/>
        <w:ind w:left="1560" w:right="260"/>
        <w:rPr>
          <w:rFonts w:ascii="Arial" w:eastAsia="Arial" w:hAnsi="Arial"/>
          <w:bCs/>
          <w:sz w:val="22"/>
          <w:szCs w:val="22"/>
          <w:lang w:val="es-CR"/>
        </w:rPr>
      </w:pPr>
      <w:r w:rsidRPr="00F02F9D">
        <w:rPr>
          <w:rFonts w:ascii="Arial" w:eastAsia="Arial" w:hAnsi="Arial"/>
          <w:bCs/>
          <w:sz w:val="22"/>
          <w:szCs w:val="22"/>
          <w:lang w:val="es-CR"/>
        </w:rPr>
        <w:lastRenderedPageBreak/>
        <w:t xml:space="preserve">Toda otra información que oportunamente, con carácter permanente o específico para un ejercicio en particular, requiera incluir la </w:t>
      </w:r>
      <w:r w:rsidR="000F29DC">
        <w:rPr>
          <w:rFonts w:ascii="Arial" w:eastAsia="Arial" w:hAnsi="Arial"/>
          <w:bCs/>
          <w:sz w:val="22"/>
          <w:szCs w:val="22"/>
          <w:lang w:val="es-CR"/>
        </w:rPr>
        <w:t>MBA</w:t>
      </w:r>
      <w:r w:rsidRPr="00F02F9D">
        <w:rPr>
          <w:rFonts w:ascii="Arial" w:eastAsia="Arial" w:hAnsi="Arial"/>
          <w:bCs/>
          <w:sz w:val="22"/>
          <w:szCs w:val="22"/>
          <w:lang w:val="es-CR"/>
        </w:rPr>
        <w:t>.</w:t>
      </w:r>
    </w:p>
    <w:p w14:paraId="212934BC" w14:textId="77777777" w:rsidR="000D26B6" w:rsidRPr="00F02F9D" w:rsidRDefault="000D26B6" w:rsidP="00A351C9">
      <w:pPr>
        <w:spacing w:line="238" w:lineRule="auto"/>
        <w:ind w:left="1134" w:right="260" w:hanging="1134"/>
        <w:jc w:val="both"/>
        <w:rPr>
          <w:rFonts w:ascii="Arial" w:eastAsia="Arial" w:hAnsi="Arial"/>
          <w:b/>
          <w:sz w:val="22"/>
          <w:szCs w:val="22"/>
          <w:lang w:val="es-CR"/>
        </w:rPr>
      </w:pPr>
    </w:p>
    <w:p w14:paraId="4F82FE5D" w14:textId="77777777" w:rsidR="0060535E" w:rsidRPr="00F02F9D" w:rsidRDefault="0060535E" w:rsidP="00A351C9">
      <w:pPr>
        <w:spacing w:line="238" w:lineRule="auto"/>
        <w:ind w:left="1134" w:right="260" w:hanging="1134"/>
        <w:jc w:val="both"/>
        <w:rPr>
          <w:rFonts w:ascii="Arial" w:eastAsia="Arial" w:hAnsi="Arial"/>
          <w:b/>
          <w:sz w:val="22"/>
          <w:szCs w:val="22"/>
          <w:lang w:val="es-CR"/>
        </w:rPr>
      </w:pPr>
    </w:p>
    <w:p w14:paraId="622CABF5" w14:textId="77777777" w:rsidR="0060535E" w:rsidRPr="0098697B" w:rsidRDefault="0060535E" w:rsidP="0098697B">
      <w:pPr>
        <w:pStyle w:val="Ttulo2"/>
        <w:ind w:left="284"/>
        <w:rPr>
          <w:rFonts w:ascii="Arial" w:eastAsia="Arial" w:hAnsi="Arial" w:cs="Arial"/>
          <w:b/>
          <w:bCs/>
          <w:sz w:val="20"/>
          <w:szCs w:val="20"/>
          <w:lang w:val="es-CR"/>
        </w:rPr>
      </w:pPr>
      <w:bookmarkStart w:id="54" w:name="_Toc172726214"/>
      <w:r w:rsidRPr="0098697B">
        <w:rPr>
          <w:rFonts w:ascii="Arial" w:eastAsia="Arial" w:hAnsi="Arial" w:cs="Arial"/>
          <w:b/>
          <w:bCs/>
          <w:sz w:val="20"/>
          <w:szCs w:val="20"/>
          <w:lang w:val="es-CR"/>
        </w:rPr>
        <w:t>Bienes históricos y culturales</w:t>
      </w:r>
      <w:bookmarkEnd w:id="54"/>
    </w:p>
    <w:p w14:paraId="38688DF4" w14:textId="77777777" w:rsidR="000D26B6" w:rsidRPr="00F02F9D" w:rsidRDefault="000D26B6" w:rsidP="00A351C9">
      <w:pPr>
        <w:spacing w:line="238" w:lineRule="auto"/>
        <w:ind w:left="1134" w:right="260" w:hanging="1134"/>
        <w:jc w:val="both"/>
        <w:rPr>
          <w:rFonts w:ascii="Arial" w:eastAsia="Arial" w:hAnsi="Arial"/>
          <w:b/>
          <w:sz w:val="22"/>
          <w:szCs w:val="22"/>
          <w:lang w:val="es-CR"/>
        </w:rPr>
      </w:pPr>
    </w:p>
    <w:tbl>
      <w:tblPr>
        <w:tblW w:w="9256" w:type="dxa"/>
        <w:tblLook w:val="04A0" w:firstRow="1" w:lastRow="0" w:firstColumn="1" w:lastColumn="0" w:noHBand="0" w:noVBand="1"/>
      </w:tblPr>
      <w:tblGrid>
        <w:gridCol w:w="554"/>
        <w:gridCol w:w="617"/>
        <w:gridCol w:w="534"/>
        <w:gridCol w:w="3530"/>
        <w:gridCol w:w="1972"/>
        <w:gridCol w:w="2049"/>
      </w:tblGrid>
      <w:tr w:rsidR="0060535E" w:rsidRPr="0098697B" w14:paraId="3354C260" w14:textId="77777777" w:rsidTr="0060535E">
        <w:trPr>
          <w:trHeight w:val="320"/>
        </w:trPr>
        <w:tc>
          <w:tcPr>
            <w:tcW w:w="170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4D9E087" w14:textId="77777777" w:rsidR="0060535E" w:rsidRPr="0098697B" w:rsidRDefault="0060535E" w:rsidP="0060535E">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 / Política</w:t>
            </w:r>
          </w:p>
        </w:tc>
        <w:tc>
          <w:tcPr>
            <w:tcW w:w="353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587854B" w14:textId="77777777" w:rsidR="0060535E" w:rsidRPr="0098697B" w:rsidRDefault="0060535E" w:rsidP="0060535E">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Concepto</w:t>
            </w:r>
          </w:p>
        </w:tc>
        <w:tc>
          <w:tcPr>
            <w:tcW w:w="4021" w:type="dxa"/>
            <w:gridSpan w:val="2"/>
            <w:tcBorders>
              <w:top w:val="single" w:sz="8" w:space="0" w:color="auto"/>
              <w:left w:val="nil"/>
              <w:bottom w:val="single" w:sz="8" w:space="0" w:color="auto"/>
              <w:right w:val="single" w:sz="8" w:space="0" w:color="000000"/>
            </w:tcBorders>
            <w:shd w:val="clear" w:color="000000" w:fill="203764"/>
            <w:vAlign w:val="center"/>
            <w:hideMark/>
          </w:tcPr>
          <w:p w14:paraId="0B115774" w14:textId="77777777" w:rsidR="0060535E" w:rsidRPr="0098697B" w:rsidRDefault="0060535E" w:rsidP="0060535E">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Referencia</w:t>
            </w:r>
          </w:p>
        </w:tc>
      </w:tr>
      <w:tr w:rsidR="0060535E" w:rsidRPr="0071104F" w14:paraId="4487701B" w14:textId="77777777" w:rsidTr="0060535E">
        <w:trPr>
          <w:trHeight w:val="320"/>
        </w:trPr>
        <w:tc>
          <w:tcPr>
            <w:tcW w:w="1705" w:type="dxa"/>
            <w:gridSpan w:val="3"/>
            <w:vMerge/>
            <w:tcBorders>
              <w:top w:val="single" w:sz="8" w:space="0" w:color="auto"/>
              <w:left w:val="single" w:sz="8" w:space="0" w:color="auto"/>
              <w:bottom w:val="nil"/>
              <w:right w:val="single" w:sz="8" w:space="0" w:color="000000"/>
            </w:tcBorders>
            <w:vAlign w:val="center"/>
            <w:hideMark/>
          </w:tcPr>
          <w:p w14:paraId="55B1B06B" w14:textId="77777777" w:rsidR="0060535E" w:rsidRPr="0098697B" w:rsidRDefault="0060535E" w:rsidP="0060535E">
            <w:pPr>
              <w:rPr>
                <w:rFonts w:ascii="Arial Narrow" w:eastAsia="Times New Roman" w:hAnsi="Arial Narrow"/>
                <w:b/>
                <w:bCs/>
                <w:color w:val="FFFFFF"/>
                <w:sz w:val="22"/>
                <w:szCs w:val="22"/>
              </w:rPr>
            </w:pPr>
          </w:p>
        </w:tc>
        <w:tc>
          <w:tcPr>
            <w:tcW w:w="3530" w:type="dxa"/>
            <w:vMerge/>
            <w:tcBorders>
              <w:top w:val="single" w:sz="8" w:space="0" w:color="auto"/>
              <w:left w:val="single" w:sz="8" w:space="0" w:color="auto"/>
              <w:bottom w:val="nil"/>
              <w:right w:val="single" w:sz="8" w:space="0" w:color="auto"/>
            </w:tcBorders>
            <w:vAlign w:val="center"/>
            <w:hideMark/>
          </w:tcPr>
          <w:p w14:paraId="1CC9E705" w14:textId="77777777" w:rsidR="0060535E" w:rsidRPr="0098697B" w:rsidRDefault="0060535E" w:rsidP="0060535E">
            <w:pPr>
              <w:rPr>
                <w:rFonts w:ascii="Arial Narrow" w:eastAsia="Times New Roman" w:hAnsi="Arial Narrow"/>
                <w:b/>
                <w:bCs/>
                <w:color w:val="FFFFFF"/>
                <w:sz w:val="22"/>
                <w:szCs w:val="22"/>
              </w:rPr>
            </w:pPr>
          </w:p>
        </w:tc>
        <w:tc>
          <w:tcPr>
            <w:tcW w:w="1972" w:type="dxa"/>
            <w:tcBorders>
              <w:top w:val="nil"/>
              <w:left w:val="nil"/>
              <w:bottom w:val="nil"/>
              <w:right w:val="single" w:sz="8" w:space="0" w:color="auto"/>
            </w:tcBorders>
            <w:shd w:val="clear" w:color="000000" w:fill="203764"/>
            <w:vAlign w:val="center"/>
            <w:hideMark/>
          </w:tcPr>
          <w:p w14:paraId="08B05EBF" w14:textId="77777777" w:rsidR="0060535E" w:rsidRPr="0098697B" w:rsidRDefault="0060535E" w:rsidP="0060535E">
            <w:pPr>
              <w:jc w:val="center"/>
              <w:rPr>
                <w:rFonts w:ascii="Arial Narrow" w:eastAsia="Times New Roman" w:hAnsi="Arial Narrow"/>
                <w:b/>
                <w:bCs/>
                <w:color w:val="FFFFFF"/>
                <w:sz w:val="22"/>
                <w:szCs w:val="22"/>
              </w:rPr>
            </w:pPr>
            <w:r w:rsidRPr="0098697B">
              <w:rPr>
                <w:rFonts w:ascii="Arial Narrow" w:eastAsia="Times New Roman" w:hAnsi="Arial Narrow"/>
                <w:b/>
                <w:bCs/>
                <w:color w:val="FFFFFF"/>
                <w:sz w:val="22"/>
                <w:szCs w:val="22"/>
              </w:rPr>
              <w:t>Norma</w:t>
            </w:r>
          </w:p>
        </w:tc>
        <w:tc>
          <w:tcPr>
            <w:tcW w:w="2049" w:type="dxa"/>
            <w:tcBorders>
              <w:top w:val="nil"/>
              <w:left w:val="nil"/>
              <w:bottom w:val="nil"/>
              <w:right w:val="single" w:sz="8" w:space="0" w:color="auto"/>
            </w:tcBorders>
            <w:shd w:val="clear" w:color="000000" w:fill="203764"/>
            <w:vAlign w:val="center"/>
            <w:hideMark/>
          </w:tcPr>
          <w:p w14:paraId="712F7424" w14:textId="68C84659" w:rsidR="0060535E" w:rsidRPr="0071104F" w:rsidRDefault="0071104F" w:rsidP="0060535E">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60535E" w:rsidRPr="0098697B" w14:paraId="6EF0523F" w14:textId="77777777" w:rsidTr="0060535E">
        <w:trPr>
          <w:trHeight w:val="479"/>
        </w:trPr>
        <w:tc>
          <w:tcPr>
            <w:tcW w:w="5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E48C5C" w14:textId="77777777" w:rsidR="0060535E" w:rsidRPr="0098697B" w:rsidRDefault="0060535E" w:rsidP="0060535E">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4CE96303" w14:textId="77777777" w:rsidR="0060535E" w:rsidRPr="0098697B" w:rsidRDefault="0060535E" w:rsidP="0060535E">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150</w:t>
            </w:r>
          </w:p>
        </w:tc>
        <w:tc>
          <w:tcPr>
            <w:tcW w:w="534" w:type="dxa"/>
            <w:tcBorders>
              <w:top w:val="single" w:sz="8" w:space="0" w:color="auto"/>
              <w:left w:val="nil"/>
              <w:bottom w:val="single" w:sz="8" w:space="0" w:color="auto"/>
              <w:right w:val="single" w:sz="8" w:space="0" w:color="auto"/>
            </w:tcBorders>
            <w:shd w:val="clear" w:color="auto" w:fill="auto"/>
            <w:vAlign w:val="center"/>
            <w:hideMark/>
          </w:tcPr>
          <w:p w14:paraId="30884FC5" w14:textId="6E7060AE" w:rsidR="0060535E" w:rsidRPr="0098697B" w:rsidRDefault="0060535E" w:rsidP="0060535E">
            <w:pPr>
              <w:jc w:val="center"/>
              <w:rPr>
                <w:rFonts w:ascii="Arial Narrow" w:eastAsia="Times New Roman" w:hAnsi="Arial Narrow"/>
                <w:b/>
                <w:bCs/>
                <w:color w:val="000000"/>
                <w:sz w:val="22"/>
                <w:szCs w:val="22"/>
              </w:rPr>
            </w:pP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7868FEB2" w14:textId="12E46369" w:rsidR="0060535E" w:rsidRPr="0098697B" w:rsidRDefault="0060535E" w:rsidP="0060535E">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Bienes incluidos y características</w:t>
            </w:r>
          </w:p>
        </w:tc>
        <w:tc>
          <w:tcPr>
            <w:tcW w:w="1972" w:type="dxa"/>
            <w:tcBorders>
              <w:top w:val="single" w:sz="8" w:space="0" w:color="auto"/>
              <w:left w:val="nil"/>
              <w:bottom w:val="single" w:sz="8" w:space="0" w:color="auto"/>
              <w:right w:val="single" w:sz="8" w:space="0" w:color="auto"/>
            </w:tcBorders>
            <w:shd w:val="clear" w:color="auto" w:fill="auto"/>
            <w:vAlign w:val="center"/>
            <w:hideMark/>
          </w:tcPr>
          <w:p w14:paraId="6EFFF377" w14:textId="77777777" w:rsidR="0060535E" w:rsidRPr="0098697B" w:rsidRDefault="0060535E" w:rsidP="0060535E">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NICSP N° 17, Párrafo 10.</w:t>
            </w:r>
          </w:p>
        </w:tc>
        <w:tc>
          <w:tcPr>
            <w:tcW w:w="2049" w:type="dxa"/>
            <w:tcBorders>
              <w:top w:val="single" w:sz="8" w:space="0" w:color="auto"/>
              <w:left w:val="nil"/>
              <w:bottom w:val="single" w:sz="8" w:space="0" w:color="auto"/>
              <w:right w:val="single" w:sz="8" w:space="0" w:color="auto"/>
            </w:tcBorders>
            <w:shd w:val="clear" w:color="auto" w:fill="auto"/>
            <w:vAlign w:val="center"/>
            <w:hideMark/>
          </w:tcPr>
          <w:p w14:paraId="6C2BFF5C" w14:textId="77777777" w:rsidR="0060535E" w:rsidRPr="0098697B" w:rsidRDefault="0060535E" w:rsidP="0060535E">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 xml:space="preserve"> DGCN</w:t>
            </w:r>
          </w:p>
        </w:tc>
      </w:tr>
      <w:tr w:rsidR="0060535E" w:rsidRPr="0098697B" w14:paraId="29B45511" w14:textId="77777777" w:rsidTr="0060535E">
        <w:trPr>
          <w:trHeight w:val="320"/>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14903566" w14:textId="77777777" w:rsidR="0060535E" w:rsidRPr="0098697B" w:rsidRDefault="0060535E" w:rsidP="0060535E">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noWrap/>
            <w:vAlign w:val="center"/>
            <w:hideMark/>
          </w:tcPr>
          <w:p w14:paraId="7B5D3CED" w14:textId="77777777" w:rsidR="0060535E" w:rsidRPr="0098697B" w:rsidRDefault="0060535E" w:rsidP="0060535E">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150</w:t>
            </w:r>
          </w:p>
        </w:tc>
        <w:tc>
          <w:tcPr>
            <w:tcW w:w="534" w:type="dxa"/>
            <w:tcBorders>
              <w:top w:val="nil"/>
              <w:left w:val="nil"/>
              <w:bottom w:val="single" w:sz="8" w:space="0" w:color="auto"/>
              <w:right w:val="single" w:sz="8" w:space="0" w:color="auto"/>
            </w:tcBorders>
            <w:shd w:val="clear" w:color="auto" w:fill="auto"/>
            <w:vAlign w:val="center"/>
            <w:hideMark/>
          </w:tcPr>
          <w:p w14:paraId="42F75D1D" w14:textId="77777777" w:rsidR="0060535E" w:rsidRPr="0098697B" w:rsidRDefault="0060535E" w:rsidP="0060535E">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1</w:t>
            </w:r>
          </w:p>
        </w:tc>
        <w:tc>
          <w:tcPr>
            <w:tcW w:w="3530" w:type="dxa"/>
            <w:tcBorders>
              <w:top w:val="nil"/>
              <w:left w:val="nil"/>
              <w:bottom w:val="single" w:sz="8" w:space="0" w:color="auto"/>
              <w:right w:val="single" w:sz="8" w:space="0" w:color="auto"/>
            </w:tcBorders>
            <w:shd w:val="clear" w:color="auto" w:fill="auto"/>
            <w:vAlign w:val="center"/>
            <w:hideMark/>
          </w:tcPr>
          <w:p w14:paraId="26BBF5AE" w14:textId="77777777" w:rsidR="0060535E" w:rsidRPr="0098697B" w:rsidRDefault="0060535E" w:rsidP="0060535E">
            <w:pP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Declaración</w:t>
            </w:r>
          </w:p>
        </w:tc>
        <w:tc>
          <w:tcPr>
            <w:tcW w:w="1972" w:type="dxa"/>
            <w:tcBorders>
              <w:top w:val="nil"/>
              <w:left w:val="nil"/>
              <w:bottom w:val="single" w:sz="8" w:space="0" w:color="auto"/>
              <w:right w:val="single" w:sz="8" w:space="0" w:color="auto"/>
            </w:tcBorders>
            <w:shd w:val="clear" w:color="auto" w:fill="auto"/>
            <w:vAlign w:val="center"/>
            <w:hideMark/>
          </w:tcPr>
          <w:p w14:paraId="13CCED61" w14:textId="77777777" w:rsidR="0060535E" w:rsidRPr="0098697B" w:rsidRDefault="0060535E" w:rsidP="0060535E">
            <w:pPr>
              <w:jc w:val="both"/>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rPr>
              <w:t xml:space="preserve"> </w:t>
            </w:r>
          </w:p>
        </w:tc>
        <w:tc>
          <w:tcPr>
            <w:tcW w:w="2049" w:type="dxa"/>
            <w:tcBorders>
              <w:top w:val="nil"/>
              <w:left w:val="nil"/>
              <w:bottom w:val="single" w:sz="8" w:space="0" w:color="auto"/>
              <w:right w:val="single" w:sz="8" w:space="0" w:color="auto"/>
            </w:tcBorders>
            <w:shd w:val="clear" w:color="auto" w:fill="auto"/>
            <w:vAlign w:val="center"/>
            <w:hideMark/>
          </w:tcPr>
          <w:p w14:paraId="37BB5B8F" w14:textId="77777777" w:rsidR="0060535E" w:rsidRPr="0098697B" w:rsidRDefault="0060535E" w:rsidP="0060535E">
            <w:pPr>
              <w:jc w:val="center"/>
              <w:rPr>
                <w:rFonts w:ascii="Arial Narrow" w:eastAsia="Times New Roman" w:hAnsi="Arial Narrow"/>
                <w:b/>
                <w:bCs/>
                <w:color w:val="000000"/>
                <w:sz w:val="22"/>
                <w:szCs w:val="22"/>
              </w:rPr>
            </w:pPr>
            <w:r w:rsidRPr="0098697B">
              <w:rPr>
                <w:rFonts w:ascii="Arial Narrow" w:eastAsia="Times New Roman" w:hAnsi="Arial Narrow"/>
                <w:b/>
                <w:bCs/>
                <w:color w:val="000000"/>
                <w:sz w:val="22"/>
                <w:szCs w:val="22"/>
                <w:lang w:val="es-CR"/>
              </w:rPr>
              <w:t xml:space="preserve"> DGCN</w:t>
            </w:r>
          </w:p>
        </w:tc>
      </w:tr>
    </w:tbl>
    <w:p w14:paraId="138839A0" w14:textId="77777777" w:rsidR="0060535E" w:rsidRDefault="0060535E" w:rsidP="00A351C9">
      <w:pPr>
        <w:spacing w:line="238" w:lineRule="auto"/>
        <w:ind w:left="1134" w:right="260" w:hanging="1134"/>
        <w:jc w:val="both"/>
        <w:rPr>
          <w:rFonts w:ascii="Arial" w:eastAsia="Arial" w:hAnsi="Arial"/>
          <w:b/>
          <w:sz w:val="22"/>
          <w:szCs w:val="22"/>
          <w:lang w:val="es-CR"/>
        </w:rPr>
      </w:pPr>
    </w:p>
    <w:p w14:paraId="5B7442E6" w14:textId="1637470D"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574F5284"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127B2EB8" w14:textId="03107490" w:rsidR="0060535E" w:rsidRPr="00F02F9D" w:rsidRDefault="0060535E" w:rsidP="005E5900">
      <w:pPr>
        <w:spacing w:line="26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1.150.0.01</w:t>
      </w:r>
      <w:r w:rsidRPr="00F02F9D">
        <w:rPr>
          <w:rFonts w:ascii="Arial" w:eastAsia="Arial" w:hAnsi="Arial"/>
          <w:bCs/>
          <w:sz w:val="22"/>
          <w:szCs w:val="22"/>
          <w:lang w:val="es-CR"/>
        </w:rPr>
        <w:tab/>
        <w:t xml:space="preserve">Para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son aquellos bienes que, por su importancia cultural, </w:t>
      </w:r>
      <w:r w:rsidR="00AA22E2" w:rsidRPr="00F02F9D">
        <w:rPr>
          <w:rFonts w:ascii="Arial" w:eastAsia="Arial" w:hAnsi="Arial"/>
          <w:bCs/>
          <w:sz w:val="22"/>
          <w:szCs w:val="22"/>
          <w:lang w:val="es-CR"/>
        </w:rPr>
        <w:t>medioa</w:t>
      </w:r>
      <w:r w:rsidR="00AA22E2">
        <w:rPr>
          <w:rFonts w:ascii="Arial" w:eastAsia="Arial" w:hAnsi="Arial"/>
          <w:bCs/>
          <w:sz w:val="22"/>
          <w:szCs w:val="22"/>
          <w:lang w:val="es-CR"/>
        </w:rPr>
        <w:t>mbi</w:t>
      </w:r>
      <w:r w:rsidR="00AA22E2" w:rsidRPr="00F02F9D">
        <w:rPr>
          <w:rFonts w:ascii="Arial" w:eastAsia="Arial" w:hAnsi="Arial"/>
          <w:bCs/>
          <w:sz w:val="22"/>
          <w:szCs w:val="22"/>
          <w:lang w:val="es-CR"/>
        </w:rPr>
        <w:t>ental</w:t>
      </w:r>
      <w:r w:rsidRPr="00F02F9D">
        <w:rPr>
          <w:rFonts w:ascii="Arial" w:eastAsia="Arial" w:hAnsi="Arial"/>
          <w:bCs/>
          <w:sz w:val="22"/>
          <w:szCs w:val="22"/>
          <w:lang w:val="es-CR"/>
        </w:rPr>
        <w:t xml:space="preserve"> o histórica, se clasifican como tales, como por ejemplo: inmuebles históricos, adquiridos a cualquier título, cuyo dominio y administración la ejerce la Institución para el uso y goce de la comunidad en general.</w:t>
      </w:r>
    </w:p>
    <w:p w14:paraId="1ABC005E" w14:textId="77777777" w:rsidR="0060535E" w:rsidRPr="00F02F9D" w:rsidRDefault="0060535E" w:rsidP="0060535E">
      <w:pPr>
        <w:spacing w:line="249" w:lineRule="exact"/>
        <w:rPr>
          <w:rFonts w:ascii="Arial" w:eastAsia="Times New Roman" w:hAnsi="Arial"/>
          <w:bCs/>
          <w:sz w:val="22"/>
          <w:szCs w:val="22"/>
          <w:lang w:val="es-CR"/>
        </w:rPr>
      </w:pPr>
    </w:p>
    <w:p w14:paraId="3966E07A" w14:textId="78BBAB6A" w:rsidR="0060535E" w:rsidRPr="00F02F9D" w:rsidRDefault="0060535E">
      <w:pPr>
        <w:pStyle w:val="Prrafodelista"/>
        <w:numPr>
          <w:ilvl w:val="3"/>
          <w:numId w:val="44"/>
        </w:numPr>
        <w:spacing w:line="26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Dichos bienes deben cumplir con las siguientes características:</w:t>
      </w:r>
    </w:p>
    <w:p w14:paraId="3ABE895A" w14:textId="77777777" w:rsidR="0060535E" w:rsidRPr="00F02F9D" w:rsidRDefault="0060535E" w:rsidP="0060535E">
      <w:pPr>
        <w:spacing w:line="285" w:lineRule="exact"/>
        <w:rPr>
          <w:rFonts w:ascii="Arial" w:eastAsia="Times New Roman" w:hAnsi="Arial"/>
          <w:bCs/>
          <w:sz w:val="22"/>
          <w:szCs w:val="22"/>
          <w:lang w:val="es-CR"/>
        </w:rPr>
      </w:pPr>
    </w:p>
    <w:p w14:paraId="5F7FB991" w14:textId="56EF4DCF" w:rsidR="0060535E" w:rsidRPr="00523185" w:rsidRDefault="0060535E">
      <w:pPr>
        <w:pStyle w:val="Prrafodelista"/>
        <w:numPr>
          <w:ilvl w:val="0"/>
          <w:numId w:val="43"/>
        </w:numPr>
        <w:tabs>
          <w:tab w:val="left" w:pos="884"/>
        </w:tabs>
        <w:spacing w:after="120"/>
        <w:ind w:left="1559" w:right="261" w:hanging="357"/>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Es poco probable que su valor en términos culturales, </w:t>
      </w:r>
      <w:r w:rsidR="00AA22E2" w:rsidRPr="00F02F9D">
        <w:rPr>
          <w:rFonts w:ascii="Arial" w:eastAsia="Arial" w:hAnsi="Arial"/>
          <w:bCs/>
          <w:sz w:val="22"/>
          <w:szCs w:val="22"/>
          <w:lang w:val="es-CR"/>
        </w:rPr>
        <w:t>medioa</w:t>
      </w:r>
      <w:r w:rsidR="00AA22E2">
        <w:rPr>
          <w:rFonts w:ascii="Arial" w:eastAsia="Arial" w:hAnsi="Arial"/>
          <w:bCs/>
          <w:sz w:val="22"/>
          <w:szCs w:val="22"/>
          <w:lang w:val="es-CR"/>
        </w:rPr>
        <w:t>mbi</w:t>
      </w:r>
      <w:r w:rsidR="00AA22E2" w:rsidRPr="00F02F9D">
        <w:rPr>
          <w:rFonts w:ascii="Arial" w:eastAsia="Arial" w:hAnsi="Arial"/>
          <w:bCs/>
          <w:sz w:val="22"/>
          <w:szCs w:val="22"/>
          <w:lang w:val="es-CR"/>
        </w:rPr>
        <w:t>entales</w:t>
      </w:r>
      <w:r w:rsidRPr="00F02F9D">
        <w:rPr>
          <w:rFonts w:ascii="Arial" w:eastAsia="Arial" w:hAnsi="Arial"/>
          <w:bCs/>
          <w:sz w:val="22"/>
          <w:szCs w:val="22"/>
          <w:lang w:val="es-CR"/>
        </w:rPr>
        <w:t>, educacionales e histórico-artísticos quede perfectamente reflejado en un valor financiero basado puramente en un precio de mercado;</w:t>
      </w:r>
    </w:p>
    <w:p w14:paraId="6A2BD498" w14:textId="2136CE78" w:rsidR="0060535E" w:rsidRPr="00523185" w:rsidRDefault="0060535E">
      <w:pPr>
        <w:pStyle w:val="Prrafodelista"/>
        <w:numPr>
          <w:ilvl w:val="0"/>
          <w:numId w:val="43"/>
        </w:numPr>
        <w:tabs>
          <w:tab w:val="left" w:pos="884"/>
        </w:tabs>
        <w:spacing w:after="120"/>
        <w:ind w:left="1560" w:right="260"/>
        <w:contextualSpacing w:val="0"/>
        <w:rPr>
          <w:rFonts w:ascii="Arial" w:eastAsia="Arial" w:hAnsi="Arial"/>
          <w:bCs/>
          <w:sz w:val="22"/>
          <w:szCs w:val="22"/>
          <w:lang w:val="es-CR"/>
        </w:rPr>
      </w:pPr>
      <w:r w:rsidRPr="00F02F9D">
        <w:rPr>
          <w:rFonts w:ascii="Arial" w:eastAsia="Arial" w:hAnsi="Arial"/>
          <w:bCs/>
          <w:sz w:val="22"/>
          <w:szCs w:val="22"/>
          <w:lang w:val="es-CR"/>
        </w:rPr>
        <w:t>Las obligaciones legales y/o estatutarias pueden imponer prohibiciones o severas restricciones a su disposición por venta.</w:t>
      </w:r>
    </w:p>
    <w:p w14:paraId="25441D14" w14:textId="3B9DD9B7" w:rsidR="0060535E" w:rsidRPr="00523185" w:rsidRDefault="0060535E">
      <w:pPr>
        <w:pStyle w:val="Prrafodelista"/>
        <w:numPr>
          <w:ilvl w:val="0"/>
          <w:numId w:val="43"/>
        </w:numPr>
        <w:tabs>
          <w:tab w:val="left" w:pos="885"/>
        </w:tabs>
        <w:spacing w:after="120"/>
        <w:ind w:left="1560" w:right="280"/>
        <w:contextualSpacing w:val="0"/>
        <w:rPr>
          <w:rFonts w:ascii="Arial" w:eastAsia="Arial" w:hAnsi="Arial"/>
          <w:bCs/>
          <w:sz w:val="22"/>
          <w:szCs w:val="22"/>
          <w:lang w:val="es-CR"/>
        </w:rPr>
      </w:pPr>
      <w:r w:rsidRPr="00F02F9D">
        <w:rPr>
          <w:rFonts w:ascii="Arial" w:eastAsia="Arial" w:hAnsi="Arial"/>
          <w:bCs/>
          <w:sz w:val="22"/>
          <w:szCs w:val="22"/>
          <w:lang w:val="es-CR"/>
        </w:rPr>
        <w:t xml:space="preserve">Rara vez se conservan por su capacidad de generar entradas de efectivo y si lo generan es a modo </w:t>
      </w:r>
      <w:r w:rsidR="00AA22E2" w:rsidRPr="00F02F9D">
        <w:rPr>
          <w:rFonts w:ascii="Arial" w:eastAsia="Arial" w:hAnsi="Arial"/>
          <w:bCs/>
          <w:sz w:val="22"/>
          <w:szCs w:val="22"/>
          <w:lang w:val="es-CR"/>
        </w:rPr>
        <w:t>si</w:t>
      </w:r>
      <w:r w:rsidR="00AA22E2">
        <w:rPr>
          <w:rFonts w:ascii="Arial" w:eastAsia="Arial" w:hAnsi="Arial"/>
          <w:bCs/>
          <w:sz w:val="22"/>
          <w:szCs w:val="22"/>
          <w:lang w:val="es-CR"/>
        </w:rPr>
        <w:t>mbó</w:t>
      </w:r>
      <w:r w:rsidR="00AA22E2" w:rsidRPr="00F02F9D">
        <w:rPr>
          <w:rFonts w:ascii="Arial" w:eastAsia="Arial" w:hAnsi="Arial"/>
          <w:bCs/>
          <w:sz w:val="22"/>
          <w:szCs w:val="22"/>
          <w:lang w:val="es-CR"/>
        </w:rPr>
        <w:t>lico</w:t>
      </w:r>
      <w:r w:rsidRPr="00F02F9D">
        <w:rPr>
          <w:rFonts w:ascii="Arial" w:eastAsia="Arial" w:hAnsi="Arial"/>
          <w:bCs/>
          <w:sz w:val="22"/>
          <w:szCs w:val="22"/>
          <w:lang w:val="es-CR"/>
        </w:rPr>
        <w:t>.</w:t>
      </w:r>
    </w:p>
    <w:p w14:paraId="77C464CC" w14:textId="2AF001EE" w:rsidR="0060535E" w:rsidRPr="00523185" w:rsidRDefault="0060535E">
      <w:pPr>
        <w:pStyle w:val="Prrafodelista"/>
        <w:numPr>
          <w:ilvl w:val="0"/>
          <w:numId w:val="43"/>
        </w:numPr>
        <w:tabs>
          <w:tab w:val="left" w:pos="884"/>
        </w:tabs>
        <w:spacing w:after="120"/>
        <w:ind w:left="1560" w:right="260"/>
        <w:contextualSpacing w:val="0"/>
        <w:rPr>
          <w:rFonts w:ascii="Arial" w:eastAsia="Arial" w:hAnsi="Arial"/>
          <w:bCs/>
          <w:sz w:val="22"/>
          <w:szCs w:val="22"/>
          <w:lang w:val="es-CR"/>
        </w:rPr>
      </w:pPr>
      <w:r w:rsidRPr="00F02F9D">
        <w:rPr>
          <w:rFonts w:ascii="Arial" w:eastAsia="Arial" w:hAnsi="Arial"/>
          <w:bCs/>
          <w:sz w:val="22"/>
          <w:szCs w:val="22"/>
          <w:lang w:val="es-CR"/>
        </w:rPr>
        <w:t>Puede haber impedimentos legales o sociales para su utilización como activo que se pueda vender.</w:t>
      </w:r>
    </w:p>
    <w:p w14:paraId="445BE856" w14:textId="77777777" w:rsidR="0060535E" w:rsidRPr="00F02F9D" w:rsidRDefault="0060535E">
      <w:pPr>
        <w:pStyle w:val="Prrafodelista"/>
        <w:numPr>
          <w:ilvl w:val="0"/>
          <w:numId w:val="43"/>
        </w:numPr>
        <w:tabs>
          <w:tab w:val="left" w:pos="884"/>
        </w:tabs>
        <w:spacing w:after="120"/>
        <w:ind w:left="1560" w:right="260"/>
        <w:contextualSpacing w:val="0"/>
        <w:rPr>
          <w:rFonts w:ascii="Arial" w:eastAsia="Arial" w:hAnsi="Arial"/>
          <w:bCs/>
          <w:sz w:val="22"/>
          <w:szCs w:val="22"/>
          <w:lang w:val="es-CR"/>
        </w:rPr>
      </w:pPr>
      <w:r w:rsidRPr="00F02F9D">
        <w:rPr>
          <w:rFonts w:ascii="Arial" w:eastAsia="Arial" w:hAnsi="Arial"/>
          <w:bCs/>
          <w:sz w:val="22"/>
          <w:szCs w:val="22"/>
          <w:lang w:val="es-CR"/>
        </w:rPr>
        <w:t>Son a menudo irreemplazables y su valor puede incrementarse con el tiempo incluso si sus condiciones físicas se deterioran.</w:t>
      </w:r>
    </w:p>
    <w:p w14:paraId="14ECF965" w14:textId="77777777" w:rsidR="0060535E" w:rsidRPr="00F02F9D" w:rsidRDefault="0060535E" w:rsidP="005E5900">
      <w:pPr>
        <w:spacing w:line="9" w:lineRule="exact"/>
        <w:ind w:left="1560"/>
        <w:rPr>
          <w:rFonts w:ascii="Arial" w:eastAsia="Arial" w:hAnsi="Arial"/>
          <w:bCs/>
          <w:sz w:val="22"/>
          <w:szCs w:val="22"/>
          <w:lang w:val="es-CR"/>
        </w:rPr>
      </w:pPr>
    </w:p>
    <w:p w14:paraId="62285C79" w14:textId="77777777" w:rsidR="0060535E" w:rsidRPr="00F02F9D" w:rsidRDefault="0060535E">
      <w:pPr>
        <w:pStyle w:val="Prrafodelista"/>
        <w:numPr>
          <w:ilvl w:val="0"/>
          <w:numId w:val="43"/>
        </w:numPr>
        <w:tabs>
          <w:tab w:val="left" w:pos="884"/>
        </w:tabs>
        <w:spacing w:line="236" w:lineRule="auto"/>
        <w:ind w:left="1560" w:right="260"/>
        <w:rPr>
          <w:rFonts w:ascii="Arial" w:eastAsia="Arial" w:hAnsi="Arial"/>
          <w:bCs/>
          <w:sz w:val="22"/>
          <w:szCs w:val="22"/>
          <w:lang w:val="es-CR"/>
        </w:rPr>
        <w:sectPr w:rsidR="0060535E" w:rsidRPr="00F02F9D" w:rsidSect="006D026E">
          <w:type w:val="continuous"/>
          <w:pgSz w:w="12240" w:h="15840"/>
          <w:pgMar w:top="1440" w:right="1440" w:bottom="168" w:left="1440" w:header="0" w:footer="0" w:gutter="0"/>
          <w:cols w:space="0" w:equalWidth="0">
            <w:col w:w="9360"/>
          </w:cols>
          <w:docGrid w:linePitch="360"/>
        </w:sectPr>
      </w:pPr>
      <w:r w:rsidRPr="00F02F9D">
        <w:rPr>
          <w:rFonts w:ascii="Arial" w:eastAsia="Arial" w:hAnsi="Arial"/>
          <w:bCs/>
          <w:sz w:val="22"/>
          <w:szCs w:val="22"/>
          <w:lang w:val="es-CR"/>
        </w:rPr>
        <w:t>Puede ser difícil estimar su vida útil, la cual en algunos casos puede ser de cientos de años.</w:t>
      </w:r>
    </w:p>
    <w:p w14:paraId="4170846B" w14:textId="77777777" w:rsidR="0060535E" w:rsidRPr="00F02F9D" w:rsidRDefault="0060535E" w:rsidP="0060535E">
      <w:pPr>
        <w:spacing w:line="20" w:lineRule="exact"/>
        <w:rPr>
          <w:rFonts w:ascii="Arial" w:eastAsia="Times New Roman" w:hAnsi="Arial"/>
          <w:bCs/>
          <w:sz w:val="22"/>
          <w:szCs w:val="22"/>
          <w:lang w:val="es-CR"/>
        </w:rPr>
        <w:sectPr w:rsidR="0060535E" w:rsidRPr="00F02F9D" w:rsidSect="006D026E">
          <w:type w:val="continuous"/>
          <w:pgSz w:w="12240" w:h="15840"/>
          <w:pgMar w:top="1440" w:right="1440" w:bottom="168" w:left="1440" w:header="0" w:footer="0" w:gutter="0"/>
          <w:cols w:space="0" w:equalWidth="0">
            <w:col w:w="9360"/>
          </w:cols>
          <w:docGrid w:linePitch="360"/>
        </w:sectPr>
      </w:pPr>
    </w:p>
    <w:p w14:paraId="1494DD62" w14:textId="77777777" w:rsidR="0060535E" w:rsidRPr="00F02F9D" w:rsidRDefault="0060535E" w:rsidP="0060535E">
      <w:pPr>
        <w:spacing w:line="261" w:lineRule="exact"/>
        <w:rPr>
          <w:rFonts w:ascii="Arial" w:eastAsia="Times New Roman" w:hAnsi="Arial"/>
          <w:bCs/>
          <w:sz w:val="22"/>
          <w:szCs w:val="22"/>
          <w:lang w:val="es-CR"/>
        </w:rPr>
      </w:pPr>
      <w:bookmarkStart w:id="55" w:name="page51"/>
      <w:bookmarkEnd w:id="55"/>
    </w:p>
    <w:p w14:paraId="5FE5B333" w14:textId="77777777" w:rsidR="0060535E" w:rsidRPr="00B5026F" w:rsidRDefault="0060535E" w:rsidP="0060535E">
      <w:pPr>
        <w:spacing w:line="9" w:lineRule="exact"/>
        <w:rPr>
          <w:rFonts w:ascii="Arial" w:eastAsia="Arial" w:hAnsi="Arial"/>
          <w:bCs/>
          <w:sz w:val="22"/>
          <w:szCs w:val="22"/>
          <w:lang w:val="es-CR"/>
        </w:rPr>
      </w:pPr>
    </w:p>
    <w:p w14:paraId="0A18860B" w14:textId="68C27A5D" w:rsidR="0060535E" w:rsidRPr="00F02F9D" w:rsidRDefault="0060535E">
      <w:pPr>
        <w:pStyle w:val="Prrafodelista"/>
        <w:numPr>
          <w:ilvl w:val="3"/>
          <w:numId w:val="45"/>
        </w:numPr>
        <w:spacing w:line="26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Para que la Institución los considere como bienes históricos y culturales deben ser declarados como tales por el Estado a través de la normativa pertinente.</w:t>
      </w:r>
    </w:p>
    <w:p w14:paraId="5C2DD193" w14:textId="77777777" w:rsidR="0060535E" w:rsidRDefault="0060535E" w:rsidP="00A351C9">
      <w:pPr>
        <w:spacing w:line="238" w:lineRule="auto"/>
        <w:ind w:left="1134" w:right="260" w:hanging="1134"/>
        <w:jc w:val="both"/>
        <w:rPr>
          <w:rFonts w:ascii="Arial" w:eastAsia="Arial" w:hAnsi="Arial"/>
          <w:b/>
          <w:sz w:val="22"/>
          <w:szCs w:val="22"/>
          <w:lang w:val="es-CR"/>
        </w:rPr>
      </w:pPr>
    </w:p>
    <w:p w14:paraId="4ABDC089" w14:textId="77777777" w:rsidR="0060535E" w:rsidRPr="00F02F9D" w:rsidRDefault="0060535E" w:rsidP="00A351C9">
      <w:pPr>
        <w:spacing w:line="238" w:lineRule="auto"/>
        <w:ind w:left="1134" w:right="260" w:hanging="1134"/>
        <w:jc w:val="both"/>
        <w:rPr>
          <w:rFonts w:ascii="Arial" w:eastAsia="Arial" w:hAnsi="Arial"/>
          <w:b/>
          <w:sz w:val="22"/>
          <w:szCs w:val="22"/>
          <w:lang w:val="es-CR"/>
        </w:rPr>
      </w:pPr>
    </w:p>
    <w:tbl>
      <w:tblPr>
        <w:tblW w:w="9268" w:type="dxa"/>
        <w:tblLook w:val="04A0" w:firstRow="1" w:lastRow="0" w:firstColumn="1" w:lastColumn="0" w:noHBand="0" w:noVBand="1"/>
      </w:tblPr>
      <w:tblGrid>
        <w:gridCol w:w="555"/>
        <w:gridCol w:w="617"/>
        <w:gridCol w:w="535"/>
        <w:gridCol w:w="3528"/>
        <w:gridCol w:w="1978"/>
        <w:gridCol w:w="2055"/>
      </w:tblGrid>
      <w:tr w:rsidR="00AA68F9" w:rsidRPr="00791465" w14:paraId="700D091B" w14:textId="77777777" w:rsidTr="00AA68F9">
        <w:trPr>
          <w:trHeight w:val="320"/>
        </w:trPr>
        <w:tc>
          <w:tcPr>
            <w:tcW w:w="170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A42DC50" w14:textId="77777777" w:rsidR="00AA68F9" w:rsidRPr="00791465" w:rsidRDefault="00AA68F9" w:rsidP="00AA68F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528" w:type="dxa"/>
            <w:vMerge w:val="restart"/>
            <w:tcBorders>
              <w:top w:val="single" w:sz="8" w:space="0" w:color="auto"/>
              <w:left w:val="single" w:sz="8" w:space="0" w:color="auto"/>
              <w:bottom w:val="nil"/>
              <w:right w:val="single" w:sz="8" w:space="0" w:color="auto"/>
            </w:tcBorders>
            <w:shd w:val="clear" w:color="000000" w:fill="203764"/>
            <w:vAlign w:val="center"/>
            <w:hideMark/>
          </w:tcPr>
          <w:p w14:paraId="520ACB38" w14:textId="77777777" w:rsidR="00AA68F9" w:rsidRPr="00791465" w:rsidRDefault="00AA68F9" w:rsidP="00AA68F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033" w:type="dxa"/>
            <w:gridSpan w:val="2"/>
            <w:tcBorders>
              <w:top w:val="single" w:sz="8" w:space="0" w:color="auto"/>
              <w:left w:val="nil"/>
              <w:bottom w:val="single" w:sz="8" w:space="0" w:color="auto"/>
              <w:right w:val="single" w:sz="8" w:space="0" w:color="000000"/>
            </w:tcBorders>
            <w:shd w:val="clear" w:color="000000" w:fill="203764"/>
            <w:vAlign w:val="center"/>
            <w:hideMark/>
          </w:tcPr>
          <w:p w14:paraId="0322FB3D" w14:textId="77777777" w:rsidR="00AA68F9" w:rsidRPr="00791465" w:rsidRDefault="00AA68F9" w:rsidP="00AA68F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AA68F9" w:rsidRPr="0071104F" w14:paraId="59C79C11" w14:textId="77777777" w:rsidTr="00AA68F9">
        <w:trPr>
          <w:trHeight w:val="320"/>
        </w:trPr>
        <w:tc>
          <w:tcPr>
            <w:tcW w:w="1707" w:type="dxa"/>
            <w:gridSpan w:val="3"/>
            <w:vMerge/>
            <w:tcBorders>
              <w:top w:val="single" w:sz="8" w:space="0" w:color="auto"/>
              <w:left w:val="single" w:sz="8" w:space="0" w:color="auto"/>
              <w:bottom w:val="nil"/>
              <w:right w:val="single" w:sz="8" w:space="0" w:color="000000"/>
            </w:tcBorders>
            <w:vAlign w:val="center"/>
            <w:hideMark/>
          </w:tcPr>
          <w:p w14:paraId="3F23489F" w14:textId="77777777" w:rsidR="00AA68F9" w:rsidRPr="00791465" w:rsidRDefault="00AA68F9" w:rsidP="00AA68F9">
            <w:pPr>
              <w:rPr>
                <w:rFonts w:ascii="Arial Narrow" w:eastAsia="Times New Roman" w:hAnsi="Arial Narrow"/>
                <w:b/>
                <w:bCs/>
                <w:color w:val="FFFFFF"/>
                <w:sz w:val="22"/>
                <w:szCs w:val="22"/>
              </w:rPr>
            </w:pPr>
          </w:p>
        </w:tc>
        <w:tc>
          <w:tcPr>
            <w:tcW w:w="3528" w:type="dxa"/>
            <w:vMerge/>
            <w:tcBorders>
              <w:top w:val="single" w:sz="8" w:space="0" w:color="auto"/>
              <w:left w:val="single" w:sz="8" w:space="0" w:color="auto"/>
              <w:bottom w:val="nil"/>
              <w:right w:val="single" w:sz="8" w:space="0" w:color="auto"/>
            </w:tcBorders>
            <w:vAlign w:val="center"/>
            <w:hideMark/>
          </w:tcPr>
          <w:p w14:paraId="47A5D740" w14:textId="77777777" w:rsidR="00AA68F9" w:rsidRPr="00791465" w:rsidRDefault="00AA68F9" w:rsidP="00AA68F9">
            <w:pPr>
              <w:rPr>
                <w:rFonts w:ascii="Arial Narrow" w:eastAsia="Times New Roman" w:hAnsi="Arial Narrow"/>
                <w:b/>
                <w:bCs/>
                <w:color w:val="FFFFFF"/>
                <w:sz w:val="22"/>
                <w:szCs w:val="22"/>
              </w:rPr>
            </w:pPr>
          </w:p>
        </w:tc>
        <w:tc>
          <w:tcPr>
            <w:tcW w:w="1978" w:type="dxa"/>
            <w:tcBorders>
              <w:top w:val="nil"/>
              <w:left w:val="nil"/>
              <w:bottom w:val="nil"/>
              <w:right w:val="single" w:sz="8" w:space="0" w:color="auto"/>
            </w:tcBorders>
            <w:shd w:val="clear" w:color="000000" w:fill="203764"/>
            <w:vAlign w:val="center"/>
            <w:hideMark/>
          </w:tcPr>
          <w:p w14:paraId="403F83C6" w14:textId="77777777" w:rsidR="00AA68F9" w:rsidRPr="00791465" w:rsidRDefault="00AA68F9" w:rsidP="00AA68F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2055" w:type="dxa"/>
            <w:tcBorders>
              <w:top w:val="nil"/>
              <w:left w:val="nil"/>
              <w:bottom w:val="nil"/>
              <w:right w:val="single" w:sz="8" w:space="0" w:color="auto"/>
            </w:tcBorders>
            <w:shd w:val="clear" w:color="000000" w:fill="203764"/>
            <w:vAlign w:val="center"/>
            <w:hideMark/>
          </w:tcPr>
          <w:p w14:paraId="5FAF0E62" w14:textId="0DF68712" w:rsidR="00AA68F9" w:rsidRPr="0071104F" w:rsidRDefault="0071104F" w:rsidP="00AA68F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AA68F9" w:rsidRPr="00791465" w14:paraId="748F0B56" w14:textId="77777777" w:rsidTr="00AA68F9">
        <w:trPr>
          <w:trHeight w:val="523"/>
        </w:trPr>
        <w:tc>
          <w:tcPr>
            <w:tcW w:w="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BB298B"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7C358C83"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151</w:t>
            </w:r>
          </w:p>
        </w:tc>
        <w:tc>
          <w:tcPr>
            <w:tcW w:w="535" w:type="dxa"/>
            <w:tcBorders>
              <w:top w:val="single" w:sz="8" w:space="0" w:color="auto"/>
              <w:left w:val="nil"/>
              <w:bottom w:val="single" w:sz="8" w:space="0" w:color="auto"/>
              <w:right w:val="single" w:sz="8" w:space="0" w:color="auto"/>
            </w:tcBorders>
            <w:shd w:val="clear" w:color="auto" w:fill="auto"/>
            <w:vAlign w:val="center"/>
            <w:hideMark/>
          </w:tcPr>
          <w:p w14:paraId="2D5C87AF"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c>
          <w:tcPr>
            <w:tcW w:w="3528" w:type="dxa"/>
            <w:tcBorders>
              <w:top w:val="single" w:sz="8" w:space="0" w:color="auto"/>
              <w:left w:val="nil"/>
              <w:bottom w:val="single" w:sz="8" w:space="0" w:color="auto"/>
              <w:right w:val="single" w:sz="8" w:space="0" w:color="auto"/>
            </w:tcBorders>
            <w:shd w:val="clear" w:color="auto" w:fill="auto"/>
            <w:vAlign w:val="center"/>
            <w:hideMark/>
          </w:tcPr>
          <w:p w14:paraId="51CE156C" w14:textId="77777777" w:rsidR="00AA68F9" w:rsidRPr="00791465" w:rsidRDefault="00AA68F9" w:rsidP="00AA68F9">
            <w:pPr>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Bienes que cumplan doble función</w:t>
            </w:r>
          </w:p>
        </w:tc>
        <w:tc>
          <w:tcPr>
            <w:tcW w:w="1978" w:type="dxa"/>
            <w:tcBorders>
              <w:top w:val="single" w:sz="8" w:space="0" w:color="auto"/>
              <w:left w:val="nil"/>
              <w:bottom w:val="single" w:sz="8" w:space="0" w:color="auto"/>
              <w:right w:val="single" w:sz="8" w:space="0" w:color="auto"/>
            </w:tcBorders>
            <w:shd w:val="clear" w:color="auto" w:fill="auto"/>
            <w:vAlign w:val="center"/>
            <w:hideMark/>
          </w:tcPr>
          <w:p w14:paraId="288D5AD7" w14:textId="77777777" w:rsidR="00791465" w:rsidRDefault="00AA68F9" w:rsidP="00AA68F9">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NICSP N° 17, </w:t>
            </w:r>
          </w:p>
          <w:p w14:paraId="6A18A9B2" w14:textId="517FA297" w:rsidR="00AA68F9" w:rsidRPr="00791465" w:rsidRDefault="00AA68F9" w:rsidP="00AA68F9">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Párrafo 11.</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4F330D38"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xml:space="preserve"> </w:t>
            </w:r>
          </w:p>
        </w:tc>
      </w:tr>
      <w:tr w:rsidR="00AA68F9" w:rsidRPr="00791465" w14:paraId="4E50EC7B" w14:textId="77777777" w:rsidTr="00AA68F9">
        <w:trPr>
          <w:trHeight w:val="433"/>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2EB2D4F5"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noWrap/>
            <w:vAlign w:val="center"/>
            <w:hideMark/>
          </w:tcPr>
          <w:p w14:paraId="1DA09871"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151</w:t>
            </w:r>
          </w:p>
        </w:tc>
        <w:tc>
          <w:tcPr>
            <w:tcW w:w="535" w:type="dxa"/>
            <w:tcBorders>
              <w:top w:val="nil"/>
              <w:left w:val="nil"/>
              <w:bottom w:val="single" w:sz="8" w:space="0" w:color="auto"/>
              <w:right w:val="single" w:sz="8" w:space="0" w:color="auto"/>
            </w:tcBorders>
            <w:shd w:val="clear" w:color="auto" w:fill="auto"/>
            <w:vAlign w:val="center"/>
            <w:hideMark/>
          </w:tcPr>
          <w:p w14:paraId="3504EDEF"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w:t>
            </w:r>
          </w:p>
        </w:tc>
        <w:tc>
          <w:tcPr>
            <w:tcW w:w="3528" w:type="dxa"/>
            <w:tcBorders>
              <w:top w:val="nil"/>
              <w:left w:val="nil"/>
              <w:bottom w:val="single" w:sz="8" w:space="0" w:color="auto"/>
              <w:right w:val="single" w:sz="8" w:space="0" w:color="auto"/>
            </w:tcBorders>
            <w:shd w:val="clear" w:color="auto" w:fill="auto"/>
            <w:vAlign w:val="center"/>
            <w:hideMark/>
          </w:tcPr>
          <w:p w14:paraId="1928BD39" w14:textId="77777777" w:rsidR="00AA68F9" w:rsidRPr="00791465" w:rsidRDefault="00AA68F9" w:rsidP="00AA68F9">
            <w:pP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Exposición y medición</w:t>
            </w:r>
          </w:p>
        </w:tc>
        <w:tc>
          <w:tcPr>
            <w:tcW w:w="1978" w:type="dxa"/>
            <w:tcBorders>
              <w:top w:val="nil"/>
              <w:left w:val="nil"/>
              <w:bottom w:val="single" w:sz="8" w:space="0" w:color="auto"/>
              <w:right w:val="single" w:sz="8" w:space="0" w:color="auto"/>
            </w:tcBorders>
            <w:shd w:val="clear" w:color="auto" w:fill="auto"/>
            <w:vAlign w:val="center"/>
            <w:hideMark/>
          </w:tcPr>
          <w:p w14:paraId="01AF61AC" w14:textId="77777777" w:rsidR="00791465" w:rsidRDefault="00AA68F9" w:rsidP="00AA68F9">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NICSP N° 17, </w:t>
            </w:r>
          </w:p>
          <w:p w14:paraId="4AEFED8D" w14:textId="51E2B7BB" w:rsidR="00AA68F9" w:rsidRPr="00791465" w:rsidRDefault="00AA68F9" w:rsidP="00AA68F9">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Párrafo 11.</w:t>
            </w:r>
          </w:p>
        </w:tc>
        <w:tc>
          <w:tcPr>
            <w:tcW w:w="2055" w:type="dxa"/>
            <w:tcBorders>
              <w:top w:val="nil"/>
              <w:left w:val="nil"/>
              <w:bottom w:val="single" w:sz="8" w:space="0" w:color="auto"/>
              <w:right w:val="single" w:sz="8" w:space="0" w:color="auto"/>
            </w:tcBorders>
            <w:shd w:val="clear" w:color="auto" w:fill="auto"/>
            <w:vAlign w:val="center"/>
            <w:hideMark/>
          </w:tcPr>
          <w:p w14:paraId="71791CC0"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xml:space="preserve"> DGCN</w:t>
            </w:r>
          </w:p>
        </w:tc>
      </w:tr>
    </w:tbl>
    <w:p w14:paraId="58E1C88D" w14:textId="77777777" w:rsidR="0060535E" w:rsidRDefault="0060535E" w:rsidP="00791465">
      <w:pPr>
        <w:spacing w:line="238" w:lineRule="auto"/>
        <w:ind w:right="260"/>
        <w:jc w:val="both"/>
        <w:rPr>
          <w:rFonts w:ascii="Arial" w:eastAsia="Arial" w:hAnsi="Arial"/>
          <w:bCs/>
          <w:sz w:val="22"/>
          <w:szCs w:val="22"/>
          <w:lang w:val="es-CR"/>
        </w:rPr>
      </w:pPr>
    </w:p>
    <w:p w14:paraId="01790521" w14:textId="1AC6812E" w:rsidR="00A963E1" w:rsidRDefault="00A963E1" w:rsidP="00791465">
      <w:pPr>
        <w:spacing w:line="238" w:lineRule="auto"/>
        <w:ind w:right="260"/>
        <w:jc w:val="both"/>
        <w:rPr>
          <w:rFonts w:ascii="Arial" w:eastAsia="Arial" w:hAnsi="Arial"/>
          <w:b/>
          <w:sz w:val="22"/>
          <w:szCs w:val="22"/>
        </w:rPr>
      </w:pPr>
      <w:r w:rsidRPr="00F02F9D">
        <w:rPr>
          <w:rFonts w:ascii="Arial" w:eastAsia="Arial" w:hAnsi="Arial"/>
          <w:b/>
          <w:sz w:val="22"/>
          <w:szCs w:val="22"/>
        </w:rPr>
        <w:t>Políticas Contables</w:t>
      </w:r>
    </w:p>
    <w:p w14:paraId="303B9D2D" w14:textId="77777777" w:rsidR="00A963E1" w:rsidRPr="00F02F9D" w:rsidRDefault="00A963E1" w:rsidP="00791465">
      <w:pPr>
        <w:spacing w:line="238" w:lineRule="auto"/>
        <w:ind w:right="260"/>
        <w:jc w:val="both"/>
        <w:rPr>
          <w:rFonts w:ascii="Arial" w:eastAsia="Arial" w:hAnsi="Arial"/>
          <w:bCs/>
          <w:sz w:val="22"/>
          <w:szCs w:val="22"/>
          <w:lang w:val="es-CR"/>
        </w:rPr>
      </w:pPr>
    </w:p>
    <w:p w14:paraId="0C2895DA" w14:textId="65ABFE8D" w:rsidR="00AA68F9" w:rsidRPr="00F02F9D" w:rsidRDefault="00AA68F9" w:rsidP="00AA68F9">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1.151.0.01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los bienes declarados históricos y culturales que tienen un potencial de servicio distinto de su valor intrínseco (por ejemplo, cuando un edificio histórico como la Casa de la Ciudad puede ser utilizado para oficinas o para dar servicios), pueden ser reconocidos y medidos sobre la misma base que otras partidas pertenecientes a las propiedades, planta y equipo.</w:t>
      </w:r>
    </w:p>
    <w:p w14:paraId="0C0974A9" w14:textId="77777777" w:rsidR="00AA68F9" w:rsidRPr="00F02F9D" w:rsidRDefault="00AA68F9" w:rsidP="00AA68F9">
      <w:pPr>
        <w:spacing w:line="269" w:lineRule="exact"/>
        <w:rPr>
          <w:rFonts w:ascii="Arial" w:eastAsia="Times New Roman" w:hAnsi="Arial"/>
          <w:sz w:val="22"/>
          <w:szCs w:val="22"/>
          <w:lang w:val="es-CR"/>
        </w:rPr>
      </w:pPr>
    </w:p>
    <w:p w14:paraId="5C190BFE" w14:textId="57333B31" w:rsidR="00AA68F9" w:rsidRPr="00F02F9D" w:rsidRDefault="00AA68F9" w:rsidP="00AA68F9">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1.151.1.01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cuando existan bienes que cumplen doble función (históricos, culturales y propiedades, planta y equipo) no se reconocerán en el balance, únicamente, se revelarán en las Notas a los EEFF, ya que este tipo de activo, por su naturaleza, son invaluables, por lo que representan para la historia de una institución, un país o el planeta.</w:t>
      </w:r>
    </w:p>
    <w:p w14:paraId="344106DB" w14:textId="77777777" w:rsidR="0060535E" w:rsidRPr="00F02F9D" w:rsidRDefault="0060535E" w:rsidP="00A351C9">
      <w:pPr>
        <w:spacing w:line="238" w:lineRule="auto"/>
        <w:ind w:left="1134" w:right="260" w:hanging="1134"/>
        <w:jc w:val="both"/>
        <w:rPr>
          <w:rFonts w:ascii="Arial" w:eastAsia="Arial" w:hAnsi="Arial"/>
          <w:b/>
          <w:sz w:val="22"/>
          <w:szCs w:val="22"/>
          <w:lang w:val="es-CR"/>
        </w:rPr>
      </w:pPr>
    </w:p>
    <w:p w14:paraId="428E66E0" w14:textId="77777777" w:rsidR="0060535E" w:rsidRPr="00F02F9D" w:rsidRDefault="0060535E" w:rsidP="00A351C9">
      <w:pPr>
        <w:spacing w:line="238" w:lineRule="auto"/>
        <w:ind w:left="1134" w:right="260" w:hanging="1134"/>
        <w:jc w:val="both"/>
        <w:rPr>
          <w:rFonts w:ascii="Arial" w:eastAsia="Arial" w:hAnsi="Arial"/>
          <w:b/>
          <w:sz w:val="22"/>
          <w:szCs w:val="22"/>
          <w:lang w:val="es-CR"/>
        </w:rPr>
      </w:pPr>
    </w:p>
    <w:tbl>
      <w:tblPr>
        <w:tblW w:w="9112" w:type="dxa"/>
        <w:tblLook w:val="04A0" w:firstRow="1" w:lastRow="0" w:firstColumn="1" w:lastColumn="0" w:noHBand="0" w:noVBand="1"/>
      </w:tblPr>
      <w:tblGrid>
        <w:gridCol w:w="554"/>
        <w:gridCol w:w="617"/>
        <w:gridCol w:w="534"/>
        <w:gridCol w:w="3388"/>
        <w:gridCol w:w="1971"/>
        <w:gridCol w:w="2048"/>
      </w:tblGrid>
      <w:tr w:rsidR="00AA68F9" w:rsidRPr="00791465" w14:paraId="7FFD4714" w14:textId="77777777" w:rsidTr="00AA68F9">
        <w:trPr>
          <w:trHeight w:val="320"/>
        </w:trPr>
        <w:tc>
          <w:tcPr>
            <w:tcW w:w="170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3DE25B1" w14:textId="77777777" w:rsidR="00AA68F9" w:rsidRPr="00791465" w:rsidRDefault="00AA68F9" w:rsidP="00AA68F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3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1C58BBF0" w14:textId="77777777" w:rsidR="00AA68F9" w:rsidRPr="00791465" w:rsidRDefault="00AA68F9" w:rsidP="00AA68F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019" w:type="dxa"/>
            <w:gridSpan w:val="2"/>
            <w:tcBorders>
              <w:top w:val="single" w:sz="8" w:space="0" w:color="auto"/>
              <w:left w:val="nil"/>
              <w:bottom w:val="single" w:sz="8" w:space="0" w:color="auto"/>
              <w:right w:val="single" w:sz="8" w:space="0" w:color="000000"/>
            </w:tcBorders>
            <w:shd w:val="clear" w:color="000000" w:fill="203764"/>
            <w:vAlign w:val="center"/>
            <w:hideMark/>
          </w:tcPr>
          <w:p w14:paraId="132EA85A" w14:textId="77777777" w:rsidR="00AA68F9" w:rsidRPr="00791465" w:rsidRDefault="00AA68F9" w:rsidP="00AA68F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AA68F9" w:rsidRPr="0071104F" w14:paraId="74BB9852" w14:textId="77777777" w:rsidTr="00AA68F9">
        <w:trPr>
          <w:trHeight w:val="320"/>
        </w:trPr>
        <w:tc>
          <w:tcPr>
            <w:tcW w:w="1705" w:type="dxa"/>
            <w:gridSpan w:val="3"/>
            <w:vMerge/>
            <w:tcBorders>
              <w:top w:val="single" w:sz="8" w:space="0" w:color="auto"/>
              <w:left w:val="single" w:sz="8" w:space="0" w:color="auto"/>
              <w:bottom w:val="nil"/>
              <w:right w:val="single" w:sz="8" w:space="0" w:color="000000"/>
            </w:tcBorders>
            <w:vAlign w:val="center"/>
            <w:hideMark/>
          </w:tcPr>
          <w:p w14:paraId="329CC7EC" w14:textId="77777777" w:rsidR="00AA68F9" w:rsidRPr="00791465" w:rsidRDefault="00AA68F9" w:rsidP="00AA68F9">
            <w:pPr>
              <w:rPr>
                <w:rFonts w:ascii="Arial Narrow" w:eastAsia="Times New Roman" w:hAnsi="Arial Narrow"/>
                <w:b/>
                <w:bCs/>
                <w:color w:val="FFFFFF"/>
                <w:sz w:val="22"/>
                <w:szCs w:val="22"/>
              </w:rPr>
            </w:pPr>
          </w:p>
        </w:tc>
        <w:tc>
          <w:tcPr>
            <w:tcW w:w="3388" w:type="dxa"/>
            <w:vMerge/>
            <w:tcBorders>
              <w:top w:val="single" w:sz="8" w:space="0" w:color="auto"/>
              <w:left w:val="single" w:sz="8" w:space="0" w:color="auto"/>
              <w:bottom w:val="nil"/>
              <w:right w:val="single" w:sz="8" w:space="0" w:color="auto"/>
            </w:tcBorders>
            <w:vAlign w:val="center"/>
            <w:hideMark/>
          </w:tcPr>
          <w:p w14:paraId="43AE73BD" w14:textId="77777777" w:rsidR="00AA68F9" w:rsidRPr="00791465" w:rsidRDefault="00AA68F9" w:rsidP="00AA68F9">
            <w:pPr>
              <w:rPr>
                <w:rFonts w:ascii="Arial Narrow" w:eastAsia="Times New Roman" w:hAnsi="Arial Narrow"/>
                <w:b/>
                <w:bCs/>
                <w:color w:val="FFFFFF"/>
                <w:sz w:val="22"/>
                <w:szCs w:val="22"/>
              </w:rPr>
            </w:pPr>
          </w:p>
        </w:tc>
        <w:tc>
          <w:tcPr>
            <w:tcW w:w="1971" w:type="dxa"/>
            <w:tcBorders>
              <w:top w:val="nil"/>
              <w:left w:val="nil"/>
              <w:bottom w:val="nil"/>
              <w:right w:val="single" w:sz="8" w:space="0" w:color="auto"/>
            </w:tcBorders>
            <w:shd w:val="clear" w:color="000000" w:fill="203764"/>
            <w:vAlign w:val="center"/>
            <w:hideMark/>
          </w:tcPr>
          <w:p w14:paraId="169AECAF" w14:textId="77777777" w:rsidR="00AA68F9" w:rsidRPr="00791465" w:rsidRDefault="00AA68F9" w:rsidP="00AA68F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2048" w:type="dxa"/>
            <w:tcBorders>
              <w:top w:val="nil"/>
              <w:left w:val="nil"/>
              <w:bottom w:val="nil"/>
              <w:right w:val="single" w:sz="8" w:space="0" w:color="auto"/>
            </w:tcBorders>
            <w:shd w:val="clear" w:color="000000" w:fill="203764"/>
            <w:vAlign w:val="center"/>
            <w:hideMark/>
          </w:tcPr>
          <w:p w14:paraId="5076B2F1" w14:textId="0BCABD7C" w:rsidR="00AA68F9" w:rsidRPr="0071104F" w:rsidRDefault="0071104F" w:rsidP="00AA68F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AA68F9" w:rsidRPr="00791465" w14:paraId="58258D8F" w14:textId="77777777" w:rsidTr="00AA68F9">
        <w:trPr>
          <w:trHeight w:val="473"/>
        </w:trPr>
        <w:tc>
          <w:tcPr>
            <w:tcW w:w="5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CF7AA6"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41A10BB2"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152</w:t>
            </w:r>
          </w:p>
        </w:tc>
        <w:tc>
          <w:tcPr>
            <w:tcW w:w="534" w:type="dxa"/>
            <w:tcBorders>
              <w:top w:val="single" w:sz="8" w:space="0" w:color="auto"/>
              <w:left w:val="nil"/>
              <w:bottom w:val="single" w:sz="8" w:space="0" w:color="auto"/>
              <w:right w:val="single" w:sz="8" w:space="0" w:color="auto"/>
            </w:tcBorders>
            <w:shd w:val="clear" w:color="auto" w:fill="auto"/>
            <w:vAlign w:val="center"/>
            <w:hideMark/>
          </w:tcPr>
          <w:p w14:paraId="5A4A79E3"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c>
          <w:tcPr>
            <w:tcW w:w="3388" w:type="dxa"/>
            <w:tcBorders>
              <w:top w:val="single" w:sz="8" w:space="0" w:color="auto"/>
              <w:left w:val="nil"/>
              <w:bottom w:val="single" w:sz="8" w:space="0" w:color="auto"/>
              <w:right w:val="single" w:sz="8" w:space="0" w:color="auto"/>
            </w:tcBorders>
            <w:shd w:val="clear" w:color="auto" w:fill="auto"/>
            <w:vAlign w:val="center"/>
            <w:hideMark/>
          </w:tcPr>
          <w:p w14:paraId="7632EB94" w14:textId="77777777" w:rsidR="00AA68F9" w:rsidRPr="00791465" w:rsidRDefault="00AA68F9" w:rsidP="00AA68F9">
            <w:pP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Medición y reconocimiento</w:t>
            </w:r>
          </w:p>
        </w:tc>
        <w:tc>
          <w:tcPr>
            <w:tcW w:w="1971" w:type="dxa"/>
            <w:tcBorders>
              <w:top w:val="single" w:sz="8" w:space="0" w:color="auto"/>
              <w:left w:val="nil"/>
              <w:bottom w:val="single" w:sz="8" w:space="0" w:color="auto"/>
              <w:right w:val="single" w:sz="8" w:space="0" w:color="auto"/>
            </w:tcBorders>
            <w:shd w:val="clear" w:color="auto" w:fill="auto"/>
            <w:vAlign w:val="center"/>
            <w:hideMark/>
          </w:tcPr>
          <w:p w14:paraId="658B95EC" w14:textId="77777777" w:rsidR="00791465" w:rsidRDefault="00AA68F9" w:rsidP="00AA68F9">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NICSP N° 17, </w:t>
            </w:r>
          </w:p>
          <w:p w14:paraId="1A847F1C" w14:textId="618FD281" w:rsidR="00AA68F9" w:rsidRPr="00791465" w:rsidRDefault="00AA68F9" w:rsidP="00AA68F9">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Párrafo 9.</w:t>
            </w:r>
          </w:p>
        </w:tc>
        <w:tc>
          <w:tcPr>
            <w:tcW w:w="2048" w:type="dxa"/>
            <w:tcBorders>
              <w:top w:val="single" w:sz="8" w:space="0" w:color="auto"/>
              <w:left w:val="nil"/>
              <w:bottom w:val="single" w:sz="8" w:space="0" w:color="auto"/>
              <w:right w:val="single" w:sz="8" w:space="0" w:color="auto"/>
            </w:tcBorders>
            <w:shd w:val="clear" w:color="auto" w:fill="auto"/>
            <w:vAlign w:val="center"/>
            <w:hideMark/>
          </w:tcPr>
          <w:p w14:paraId="680D0FD7"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xml:space="preserve"> </w:t>
            </w:r>
          </w:p>
        </w:tc>
      </w:tr>
      <w:tr w:rsidR="00AA68F9" w:rsidRPr="00791465" w14:paraId="1C18514A" w14:textId="77777777" w:rsidTr="00AA68F9">
        <w:trPr>
          <w:trHeight w:val="320"/>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33B49AB7"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noWrap/>
            <w:vAlign w:val="center"/>
            <w:hideMark/>
          </w:tcPr>
          <w:p w14:paraId="32A02A4F"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152</w:t>
            </w:r>
          </w:p>
        </w:tc>
        <w:tc>
          <w:tcPr>
            <w:tcW w:w="534" w:type="dxa"/>
            <w:tcBorders>
              <w:top w:val="nil"/>
              <w:left w:val="nil"/>
              <w:bottom w:val="single" w:sz="8" w:space="0" w:color="auto"/>
              <w:right w:val="single" w:sz="8" w:space="0" w:color="auto"/>
            </w:tcBorders>
            <w:shd w:val="clear" w:color="auto" w:fill="auto"/>
            <w:vAlign w:val="center"/>
            <w:hideMark/>
          </w:tcPr>
          <w:p w14:paraId="4583EBA5"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w:t>
            </w:r>
          </w:p>
        </w:tc>
        <w:tc>
          <w:tcPr>
            <w:tcW w:w="3388" w:type="dxa"/>
            <w:tcBorders>
              <w:top w:val="nil"/>
              <w:left w:val="nil"/>
              <w:bottom w:val="single" w:sz="8" w:space="0" w:color="auto"/>
              <w:right w:val="single" w:sz="8" w:space="0" w:color="auto"/>
            </w:tcBorders>
            <w:shd w:val="clear" w:color="auto" w:fill="auto"/>
            <w:vAlign w:val="center"/>
            <w:hideMark/>
          </w:tcPr>
          <w:p w14:paraId="70F3F5B3" w14:textId="77777777" w:rsidR="00AA68F9" w:rsidRPr="00791465" w:rsidRDefault="00AA68F9" w:rsidP="00AA68F9">
            <w:pP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Exposición sin valor</w:t>
            </w:r>
          </w:p>
        </w:tc>
        <w:tc>
          <w:tcPr>
            <w:tcW w:w="1971" w:type="dxa"/>
            <w:tcBorders>
              <w:top w:val="nil"/>
              <w:left w:val="nil"/>
              <w:bottom w:val="single" w:sz="8" w:space="0" w:color="auto"/>
              <w:right w:val="single" w:sz="8" w:space="0" w:color="auto"/>
            </w:tcBorders>
            <w:shd w:val="clear" w:color="auto" w:fill="auto"/>
            <w:vAlign w:val="center"/>
            <w:hideMark/>
          </w:tcPr>
          <w:p w14:paraId="5A25CF48" w14:textId="77777777" w:rsidR="00AA68F9" w:rsidRPr="00791465" w:rsidRDefault="00AA68F9" w:rsidP="00AA68F9">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c>
          <w:tcPr>
            <w:tcW w:w="2048" w:type="dxa"/>
            <w:tcBorders>
              <w:top w:val="nil"/>
              <w:left w:val="nil"/>
              <w:bottom w:val="single" w:sz="8" w:space="0" w:color="auto"/>
              <w:right w:val="single" w:sz="8" w:space="0" w:color="auto"/>
            </w:tcBorders>
            <w:shd w:val="clear" w:color="auto" w:fill="auto"/>
            <w:vAlign w:val="center"/>
            <w:hideMark/>
          </w:tcPr>
          <w:p w14:paraId="778DF5B6" w14:textId="77777777" w:rsidR="00AA68F9" w:rsidRPr="00791465" w:rsidRDefault="00AA68F9" w:rsidP="00AA68F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xml:space="preserve"> DGCN</w:t>
            </w:r>
          </w:p>
        </w:tc>
      </w:tr>
    </w:tbl>
    <w:p w14:paraId="5D2F164C" w14:textId="77777777" w:rsidR="0060535E" w:rsidRDefault="0060535E" w:rsidP="00A351C9">
      <w:pPr>
        <w:spacing w:line="238" w:lineRule="auto"/>
        <w:ind w:left="1134" w:right="260" w:hanging="1134"/>
        <w:jc w:val="both"/>
        <w:rPr>
          <w:rFonts w:ascii="Arial" w:eastAsia="Arial" w:hAnsi="Arial"/>
          <w:b/>
          <w:sz w:val="22"/>
          <w:szCs w:val="22"/>
          <w:lang w:val="es-CR"/>
        </w:rPr>
      </w:pPr>
    </w:p>
    <w:p w14:paraId="5A3C0CA8" w14:textId="4CBE66FE"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76D090F2"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7149CBAA" w14:textId="41D6CABD" w:rsidR="00AA68F9" w:rsidRPr="00F02F9D" w:rsidRDefault="00F359E3" w:rsidP="005E5900">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1.152.0.01</w:t>
      </w:r>
      <w:r w:rsidRPr="00F02F9D">
        <w:rPr>
          <w:rFonts w:ascii="Arial" w:eastAsia="Arial" w:hAnsi="Arial"/>
          <w:bCs/>
          <w:sz w:val="22"/>
          <w:szCs w:val="22"/>
          <w:lang w:val="es-CR"/>
        </w:rPr>
        <w:tab/>
      </w:r>
      <w:r w:rsidR="00AA68F9"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AA68F9" w:rsidRPr="00F02F9D">
        <w:rPr>
          <w:rFonts w:ascii="Arial" w:eastAsia="Arial" w:hAnsi="Arial"/>
          <w:bCs/>
          <w:sz w:val="22"/>
          <w:szCs w:val="22"/>
          <w:lang w:val="es-CR"/>
        </w:rPr>
        <w:t xml:space="preserve"> no está obligada, pero puede, reconocer los bienes del patrimonio histórico artístico y/o cultural, siempre y cuando cumplan con la condición de activo y consider</w:t>
      </w:r>
      <w:r w:rsidR="00D33747" w:rsidRPr="00F02F9D">
        <w:rPr>
          <w:rFonts w:ascii="Arial" w:eastAsia="Arial" w:hAnsi="Arial"/>
          <w:bCs/>
          <w:sz w:val="22"/>
          <w:szCs w:val="22"/>
          <w:lang w:val="es-CR"/>
        </w:rPr>
        <w:t>a</w:t>
      </w:r>
      <w:r w:rsidR="00AA68F9" w:rsidRPr="00F02F9D">
        <w:rPr>
          <w:rFonts w:ascii="Arial" w:eastAsia="Arial" w:hAnsi="Arial"/>
          <w:bCs/>
          <w:sz w:val="22"/>
          <w:szCs w:val="22"/>
          <w:lang w:val="es-CR"/>
        </w:rPr>
        <w:t>ndo, los requerimientos de medición establecidos para propiedades, planta y equipo, o</w:t>
      </w:r>
      <w:bookmarkStart w:id="56" w:name="page52"/>
      <w:bookmarkEnd w:id="56"/>
      <w:r w:rsidR="00AA68F9" w:rsidRPr="00F02F9D">
        <w:rPr>
          <w:rFonts w:ascii="Arial" w:eastAsia="Arial" w:hAnsi="Arial"/>
          <w:bCs/>
          <w:sz w:val="22"/>
          <w:szCs w:val="22"/>
          <w:lang w:val="es-CR"/>
        </w:rPr>
        <w:t xml:space="preserve"> Exponer sin valor dichos activos en Nota a los EEFF.</w:t>
      </w:r>
    </w:p>
    <w:p w14:paraId="562ED044" w14:textId="77777777" w:rsidR="00AA68F9" w:rsidRPr="00B5026F" w:rsidRDefault="00AA68F9" w:rsidP="005E5900">
      <w:pPr>
        <w:spacing w:line="276" w:lineRule="exact"/>
        <w:ind w:left="1134" w:hanging="1134"/>
        <w:rPr>
          <w:rFonts w:ascii="Arial" w:eastAsia="Times New Roman" w:hAnsi="Arial"/>
          <w:bCs/>
          <w:sz w:val="22"/>
          <w:szCs w:val="22"/>
          <w:lang w:val="es-CR"/>
        </w:rPr>
      </w:pPr>
    </w:p>
    <w:p w14:paraId="4B86930D" w14:textId="77777777" w:rsidR="00AA68F9" w:rsidRPr="00B5026F" w:rsidRDefault="00AA68F9" w:rsidP="005E5900">
      <w:pPr>
        <w:spacing w:line="9" w:lineRule="exact"/>
        <w:ind w:left="1134" w:hanging="1134"/>
        <w:rPr>
          <w:rFonts w:ascii="Arial" w:eastAsia="Arial" w:hAnsi="Arial"/>
          <w:bCs/>
          <w:sz w:val="22"/>
          <w:szCs w:val="22"/>
          <w:lang w:val="es-CR"/>
        </w:rPr>
      </w:pPr>
    </w:p>
    <w:p w14:paraId="04C439A3" w14:textId="1032B860" w:rsidR="00AA68F9" w:rsidRPr="00F02F9D" w:rsidRDefault="00F359E3" w:rsidP="005E5900">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1.152.1.01</w:t>
      </w:r>
      <w:r w:rsidRPr="00F02F9D">
        <w:rPr>
          <w:rFonts w:ascii="Arial" w:eastAsia="Arial" w:hAnsi="Arial"/>
          <w:bCs/>
          <w:sz w:val="22"/>
          <w:szCs w:val="22"/>
          <w:lang w:val="es-CR"/>
        </w:rPr>
        <w:tab/>
      </w:r>
      <w:r w:rsidR="00AA68F9"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00AA68F9" w:rsidRPr="00F02F9D">
        <w:rPr>
          <w:rFonts w:ascii="Arial" w:eastAsia="Arial" w:hAnsi="Arial"/>
          <w:bCs/>
          <w:sz w:val="22"/>
          <w:szCs w:val="22"/>
          <w:lang w:val="es-CR"/>
        </w:rPr>
        <w:t xml:space="preserve"> no reconocerá los bienes históricos y culturales al Estado de Situación Financiera, pero deberá exponerlos en Notas a los EEFF sin valor, haciendo referencia a su declaratoria y características del bien.</w:t>
      </w:r>
    </w:p>
    <w:p w14:paraId="6392380D" w14:textId="77777777" w:rsidR="0060535E" w:rsidRPr="00F02F9D" w:rsidRDefault="0060535E" w:rsidP="00A351C9">
      <w:pPr>
        <w:spacing w:line="238" w:lineRule="auto"/>
        <w:ind w:left="1134" w:right="260" w:hanging="1134"/>
        <w:jc w:val="both"/>
        <w:rPr>
          <w:rFonts w:ascii="Arial" w:eastAsia="Arial" w:hAnsi="Arial"/>
          <w:b/>
          <w:sz w:val="22"/>
          <w:szCs w:val="22"/>
          <w:lang w:val="es-CR"/>
        </w:rPr>
      </w:pPr>
    </w:p>
    <w:p w14:paraId="6D232094" w14:textId="77777777" w:rsidR="000D26B6" w:rsidRPr="00F02F9D" w:rsidRDefault="000D26B6" w:rsidP="00A351C9">
      <w:pPr>
        <w:spacing w:line="238" w:lineRule="auto"/>
        <w:ind w:left="1134" w:right="260" w:hanging="1134"/>
        <w:jc w:val="both"/>
        <w:rPr>
          <w:rFonts w:ascii="Arial" w:eastAsia="Arial" w:hAnsi="Arial"/>
          <w:b/>
          <w:sz w:val="22"/>
          <w:szCs w:val="22"/>
          <w:lang w:val="es-CR"/>
        </w:rPr>
      </w:pPr>
    </w:p>
    <w:tbl>
      <w:tblPr>
        <w:tblW w:w="9132" w:type="dxa"/>
        <w:tblLook w:val="04A0" w:firstRow="1" w:lastRow="0" w:firstColumn="1" w:lastColumn="0" w:noHBand="0" w:noVBand="1"/>
      </w:tblPr>
      <w:tblGrid>
        <w:gridCol w:w="556"/>
        <w:gridCol w:w="617"/>
        <w:gridCol w:w="531"/>
        <w:gridCol w:w="3389"/>
        <w:gridCol w:w="1981"/>
        <w:gridCol w:w="2058"/>
      </w:tblGrid>
      <w:tr w:rsidR="00403A41" w:rsidRPr="00791465" w14:paraId="6C8F7FAA" w14:textId="77777777" w:rsidTr="00403A41">
        <w:trPr>
          <w:trHeight w:val="320"/>
        </w:trPr>
        <w:tc>
          <w:tcPr>
            <w:tcW w:w="170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60E146A" w14:textId="77777777" w:rsidR="00403A41" w:rsidRPr="00791465" w:rsidRDefault="00403A41" w:rsidP="00403A41">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3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531EE97" w14:textId="77777777" w:rsidR="00403A41" w:rsidRPr="00791465" w:rsidRDefault="00403A41" w:rsidP="00403A41">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039" w:type="dxa"/>
            <w:gridSpan w:val="2"/>
            <w:tcBorders>
              <w:top w:val="single" w:sz="8" w:space="0" w:color="auto"/>
              <w:left w:val="nil"/>
              <w:bottom w:val="single" w:sz="8" w:space="0" w:color="auto"/>
              <w:right w:val="single" w:sz="8" w:space="0" w:color="000000"/>
            </w:tcBorders>
            <w:shd w:val="clear" w:color="000000" w:fill="203764"/>
            <w:vAlign w:val="center"/>
            <w:hideMark/>
          </w:tcPr>
          <w:p w14:paraId="579AE6A7" w14:textId="77777777" w:rsidR="00403A41" w:rsidRPr="00791465" w:rsidRDefault="00403A41" w:rsidP="00403A41">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403A41" w:rsidRPr="0071104F" w14:paraId="186EE523" w14:textId="77777777" w:rsidTr="00403A41">
        <w:trPr>
          <w:trHeight w:val="320"/>
        </w:trPr>
        <w:tc>
          <w:tcPr>
            <w:tcW w:w="1704" w:type="dxa"/>
            <w:gridSpan w:val="3"/>
            <w:vMerge/>
            <w:tcBorders>
              <w:top w:val="single" w:sz="8" w:space="0" w:color="auto"/>
              <w:left w:val="single" w:sz="8" w:space="0" w:color="auto"/>
              <w:bottom w:val="nil"/>
              <w:right w:val="single" w:sz="8" w:space="0" w:color="000000"/>
            </w:tcBorders>
            <w:vAlign w:val="center"/>
            <w:hideMark/>
          </w:tcPr>
          <w:p w14:paraId="58218548" w14:textId="77777777" w:rsidR="00403A41" w:rsidRPr="00791465" w:rsidRDefault="00403A41" w:rsidP="00403A41">
            <w:pPr>
              <w:rPr>
                <w:rFonts w:ascii="Arial Narrow" w:eastAsia="Times New Roman" w:hAnsi="Arial Narrow"/>
                <w:b/>
                <w:bCs/>
                <w:color w:val="FFFFFF"/>
                <w:sz w:val="22"/>
                <w:szCs w:val="22"/>
              </w:rPr>
            </w:pPr>
          </w:p>
        </w:tc>
        <w:tc>
          <w:tcPr>
            <w:tcW w:w="3389" w:type="dxa"/>
            <w:vMerge/>
            <w:tcBorders>
              <w:top w:val="single" w:sz="8" w:space="0" w:color="auto"/>
              <w:left w:val="single" w:sz="8" w:space="0" w:color="auto"/>
              <w:bottom w:val="nil"/>
              <w:right w:val="single" w:sz="8" w:space="0" w:color="auto"/>
            </w:tcBorders>
            <w:vAlign w:val="center"/>
            <w:hideMark/>
          </w:tcPr>
          <w:p w14:paraId="190303FC" w14:textId="77777777" w:rsidR="00403A41" w:rsidRPr="00791465" w:rsidRDefault="00403A41" w:rsidP="00403A41">
            <w:pPr>
              <w:rPr>
                <w:rFonts w:ascii="Arial Narrow" w:eastAsia="Times New Roman" w:hAnsi="Arial Narrow"/>
                <w:b/>
                <w:bCs/>
                <w:color w:val="FFFFFF"/>
                <w:sz w:val="22"/>
                <w:szCs w:val="22"/>
              </w:rPr>
            </w:pPr>
          </w:p>
        </w:tc>
        <w:tc>
          <w:tcPr>
            <w:tcW w:w="1981" w:type="dxa"/>
            <w:tcBorders>
              <w:top w:val="nil"/>
              <w:left w:val="nil"/>
              <w:bottom w:val="nil"/>
              <w:right w:val="single" w:sz="8" w:space="0" w:color="auto"/>
            </w:tcBorders>
            <w:shd w:val="clear" w:color="000000" w:fill="203764"/>
            <w:vAlign w:val="center"/>
            <w:hideMark/>
          </w:tcPr>
          <w:p w14:paraId="23BC9272" w14:textId="77777777" w:rsidR="00403A41" w:rsidRPr="00791465" w:rsidRDefault="00403A41" w:rsidP="00403A41">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2058" w:type="dxa"/>
            <w:tcBorders>
              <w:top w:val="nil"/>
              <w:left w:val="nil"/>
              <w:bottom w:val="nil"/>
              <w:right w:val="single" w:sz="8" w:space="0" w:color="auto"/>
            </w:tcBorders>
            <w:shd w:val="clear" w:color="000000" w:fill="203764"/>
            <w:vAlign w:val="center"/>
            <w:hideMark/>
          </w:tcPr>
          <w:p w14:paraId="144AE639" w14:textId="6DCE20DB" w:rsidR="00403A41" w:rsidRPr="0071104F" w:rsidRDefault="0071104F" w:rsidP="00403A41">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03A41" w:rsidRPr="00791465" w14:paraId="5B2F0C64" w14:textId="77777777" w:rsidTr="00403A41">
        <w:trPr>
          <w:trHeight w:val="630"/>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92DAE" w14:textId="77777777" w:rsidR="00403A41" w:rsidRPr="00791465" w:rsidRDefault="00403A41" w:rsidP="00403A41">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053A4E5F" w14:textId="77777777" w:rsidR="00403A41" w:rsidRPr="00791465" w:rsidRDefault="00403A41" w:rsidP="00403A41">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153</w:t>
            </w:r>
          </w:p>
        </w:tc>
        <w:tc>
          <w:tcPr>
            <w:tcW w:w="531" w:type="dxa"/>
            <w:tcBorders>
              <w:top w:val="single" w:sz="8" w:space="0" w:color="auto"/>
              <w:left w:val="nil"/>
              <w:bottom w:val="single" w:sz="8" w:space="0" w:color="auto"/>
              <w:right w:val="single" w:sz="8" w:space="0" w:color="auto"/>
            </w:tcBorders>
            <w:shd w:val="clear" w:color="auto" w:fill="auto"/>
            <w:vAlign w:val="center"/>
            <w:hideMark/>
          </w:tcPr>
          <w:p w14:paraId="28DD4431" w14:textId="77777777" w:rsidR="00403A41" w:rsidRPr="00791465" w:rsidRDefault="00403A41" w:rsidP="00403A41">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c>
          <w:tcPr>
            <w:tcW w:w="3389" w:type="dxa"/>
            <w:tcBorders>
              <w:top w:val="single" w:sz="8" w:space="0" w:color="auto"/>
              <w:left w:val="nil"/>
              <w:bottom w:val="single" w:sz="8" w:space="0" w:color="auto"/>
              <w:right w:val="single" w:sz="8" w:space="0" w:color="auto"/>
            </w:tcBorders>
            <w:shd w:val="clear" w:color="auto" w:fill="auto"/>
            <w:vAlign w:val="center"/>
            <w:hideMark/>
          </w:tcPr>
          <w:p w14:paraId="4B8DCFAF" w14:textId="77777777" w:rsidR="00403A41" w:rsidRPr="00791465" w:rsidRDefault="00403A41" w:rsidP="00403A41">
            <w:pP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xml:space="preserve">Deterioro          </w:t>
            </w:r>
          </w:p>
        </w:tc>
        <w:tc>
          <w:tcPr>
            <w:tcW w:w="1981" w:type="dxa"/>
            <w:tcBorders>
              <w:top w:val="single" w:sz="8" w:space="0" w:color="auto"/>
              <w:left w:val="nil"/>
              <w:bottom w:val="single" w:sz="8" w:space="0" w:color="auto"/>
              <w:right w:val="single" w:sz="8" w:space="0" w:color="auto"/>
            </w:tcBorders>
            <w:shd w:val="clear" w:color="auto" w:fill="auto"/>
            <w:vAlign w:val="center"/>
            <w:hideMark/>
          </w:tcPr>
          <w:p w14:paraId="1A655C25" w14:textId="11850A4A" w:rsidR="00403A41" w:rsidRPr="00791465" w:rsidRDefault="00403A41" w:rsidP="00403A41">
            <w:pPr>
              <w:jc w:val="both"/>
              <w:rPr>
                <w:rFonts w:ascii="Arial Narrow" w:eastAsia="Times New Roman" w:hAnsi="Arial Narrow"/>
                <w:b/>
                <w:bCs/>
                <w:color w:val="000000"/>
                <w:sz w:val="22"/>
                <w:szCs w:val="22"/>
              </w:rPr>
            </w:pPr>
          </w:p>
        </w:tc>
        <w:tc>
          <w:tcPr>
            <w:tcW w:w="2058" w:type="dxa"/>
            <w:tcBorders>
              <w:top w:val="single" w:sz="8" w:space="0" w:color="auto"/>
              <w:left w:val="nil"/>
              <w:bottom w:val="single" w:sz="8" w:space="0" w:color="auto"/>
              <w:right w:val="single" w:sz="8" w:space="0" w:color="auto"/>
            </w:tcBorders>
            <w:shd w:val="clear" w:color="auto" w:fill="auto"/>
            <w:vAlign w:val="center"/>
            <w:hideMark/>
          </w:tcPr>
          <w:p w14:paraId="3D8CBCAD" w14:textId="77777777" w:rsidR="00403A41" w:rsidRPr="00791465" w:rsidRDefault="00403A41" w:rsidP="00403A41">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xml:space="preserve"> DGCN</w:t>
            </w:r>
          </w:p>
        </w:tc>
      </w:tr>
    </w:tbl>
    <w:p w14:paraId="2B0FE08E" w14:textId="77777777" w:rsidR="000D26B6" w:rsidRDefault="000D26B6" w:rsidP="00A351C9">
      <w:pPr>
        <w:spacing w:line="238" w:lineRule="auto"/>
        <w:ind w:left="1134" w:right="260" w:hanging="1134"/>
        <w:jc w:val="both"/>
        <w:rPr>
          <w:rFonts w:ascii="Arial" w:eastAsia="Arial" w:hAnsi="Arial"/>
          <w:b/>
          <w:sz w:val="22"/>
          <w:szCs w:val="22"/>
          <w:lang w:val="es-CR"/>
        </w:rPr>
      </w:pPr>
    </w:p>
    <w:p w14:paraId="30DB1EC9" w14:textId="72B1D085"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3D83571D"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0042123D" w14:textId="69CEB0A7" w:rsidR="00403A41" w:rsidRPr="00F02F9D" w:rsidRDefault="00403A41" w:rsidP="005E5900">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 xml:space="preserve">1.153.0.01 A los efectos del cálculo del deterioro de los bienes históricos y culturales,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no aplicará lo dispuesto en las NICSP N° 21  y Nº 23 “Deterioro del valor de los activos no generadores de efectivo” y “Deterioro del valor de los activos generadores de efectivo, siendo que, los bienes históricos y culturales no serán reconocidos en el Estado de Situación Financiera.</w:t>
      </w:r>
    </w:p>
    <w:p w14:paraId="48D7B0CB" w14:textId="77777777" w:rsidR="00A77FD8" w:rsidRDefault="00A77FD8" w:rsidP="00A351C9">
      <w:pPr>
        <w:spacing w:line="238" w:lineRule="auto"/>
        <w:ind w:left="1134" w:right="260" w:hanging="1134"/>
        <w:jc w:val="both"/>
        <w:rPr>
          <w:rFonts w:ascii="Arial" w:eastAsia="Arial" w:hAnsi="Arial"/>
          <w:b/>
          <w:sz w:val="22"/>
          <w:szCs w:val="22"/>
          <w:lang w:val="es-CR"/>
        </w:rPr>
      </w:pPr>
    </w:p>
    <w:p w14:paraId="269313F3" w14:textId="77777777" w:rsidR="00A77FD8" w:rsidRPr="00F02F9D" w:rsidRDefault="00A77FD8" w:rsidP="00A351C9">
      <w:pPr>
        <w:spacing w:line="238" w:lineRule="auto"/>
        <w:ind w:left="1134" w:right="260" w:hanging="1134"/>
        <w:jc w:val="both"/>
        <w:rPr>
          <w:rFonts w:ascii="Arial" w:eastAsia="Arial" w:hAnsi="Arial"/>
          <w:b/>
          <w:sz w:val="22"/>
          <w:szCs w:val="22"/>
          <w:lang w:val="es-CR"/>
        </w:rPr>
      </w:pPr>
    </w:p>
    <w:tbl>
      <w:tblPr>
        <w:tblW w:w="9126" w:type="dxa"/>
        <w:tblLook w:val="04A0" w:firstRow="1" w:lastRow="0" w:firstColumn="1" w:lastColumn="0" w:noHBand="0" w:noVBand="1"/>
      </w:tblPr>
      <w:tblGrid>
        <w:gridCol w:w="555"/>
        <w:gridCol w:w="617"/>
        <w:gridCol w:w="530"/>
        <w:gridCol w:w="3391"/>
        <w:gridCol w:w="1978"/>
        <w:gridCol w:w="2055"/>
      </w:tblGrid>
      <w:tr w:rsidR="00403A41" w:rsidRPr="00791465" w14:paraId="3214C4A0" w14:textId="77777777" w:rsidTr="00403A41">
        <w:trPr>
          <w:trHeight w:val="320"/>
        </w:trPr>
        <w:tc>
          <w:tcPr>
            <w:tcW w:w="170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7F85B81" w14:textId="77777777" w:rsidR="00403A41" w:rsidRPr="00791465" w:rsidRDefault="00403A41" w:rsidP="00403A41">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3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0DDB511D" w14:textId="77777777" w:rsidR="00403A41" w:rsidRPr="00791465" w:rsidRDefault="00403A41" w:rsidP="00403A41">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033" w:type="dxa"/>
            <w:gridSpan w:val="2"/>
            <w:tcBorders>
              <w:top w:val="single" w:sz="8" w:space="0" w:color="auto"/>
              <w:left w:val="nil"/>
              <w:bottom w:val="single" w:sz="8" w:space="0" w:color="auto"/>
              <w:right w:val="single" w:sz="8" w:space="0" w:color="000000"/>
            </w:tcBorders>
            <w:shd w:val="clear" w:color="000000" w:fill="203764"/>
            <w:vAlign w:val="center"/>
            <w:hideMark/>
          </w:tcPr>
          <w:p w14:paraId="31C372B8" w14:textId="77777777" w:rsidR="00403A41" w:rsidRPr="00791465" w:rsidRDefault="00403A41" w:rsidP="00403A41">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403A41" w:rsidRPr="0071104F" w14:paraId="39FC3C91" w14:textId="77777777" w:rsidTr="00403A41">
        <w:trPr>
          <w:trHeight w:val="320"/>
        </w:trPr>
        <w:tc>
          <w:tcPr>
            <w:tcW w:w="1702" w:type="dxa"/>
            <w:gridSpan w:val="3"/>
            <w:vMerge/>
            <w:tcBorders>
              <w:top w:val="single" w:sz="8" w:space="0" w:color="auto"/>
              <w:left w:val="single" w:sz="8" w:space="0" w:color="auto"/>
              <w:bottom w:val="nil"/>
              <w:right w:val="single" w:sz="8" w:space="0" w:color="000000"/>
            </w:tcBorders>
            <w:vAlign w:val="center"/>
            <w:hideMark/>
          </w:tcPr>
          <w:p w14:paraId="61C80869" w14:textId="77777777" w:rsidR="00403A41" w:rsidRPr="00791465" w:rsidRDefault="00403A41" w:rsidP="00403A41">
            <w:pPr>
              <w:rPr>
                <w:rFonts w:ascii="Arial Narrow" w:eastAsia="Times New Roman" w:hAnsi="Arial Narrow"/>
                <w:b/>
                <w:bCs/>
                <w:color w:val="FFFFFF"/>
                <w:sz w:val="22"/>
                <w:szCs w:val="22"/>
              </w:rPr>
            </w:pPr>
          </w:p>
        </w:tc>
        <w:tc>
          <w:tcPr>
            <w:tcW w:w="3391" w:type="dxa"/>
            <w:vMerge/>
            <w:tcBorders>
              <w:top w:val="single" w:sz="8" w:space="0" w:color="auto"/>
              <w:left w:val="single" w:sz="8" w:space="0" w:color="auto"/>
              <w:bottom w:val="nil"/>
              <w:right w:val="single" w:sz="8" w:space="0" w:color="auto"/>
            </w:tcBorders>
            <w:vAlign w:val="center"/>
            <w:hideMark/>
          </w:tcPr>
          <w:p w14:paraId="51F79FA0" w14:textId="77777777" w:rsidR="00403A41" w:rsidRPr="00791465" w:rsidRDefault="00403A41" w:rsidP="00403A41">
            <w:pPr>
              <w:rPr>
                <w:rFonts w:ascii="Arial Narrow" w:eastAsia="Times New Roman" w:hAnsi="Arial Narrow"/>
                <w:b/>
                <w:bCs/>
                <w:color w:val="FFFFFF"/>
                <w:sz w:val="22"/>
                <w:szCs w:val="22"/>
              </w:rPr>
            </w:pPr>
          </w:p>
        </w:tc>
        <w:tc>
          <w:tcPr>
            <w:tcW w:w="1978" w:type="dxa"/>
            <w:tcBorders>
              <w:top w:val="nil"/>
              <w:left w:val="nil"/>
              <w:bottom w:val="nil"/>
              <w:right w:val="single" w:sz="8" w:space="0" w:color="auto"/>
            </w:tcBorders>
            <w:shd w:val="clear" w:color="000000" w:fill="203764"/>
            <w:vAlign w:val="center"/>
            <w:hideMark/>
          </w:tcPr>
          <w:p w14:paraId="23B3A427" w14:textId="77777777" w:rsidR="00403A41" w:rsidRPr="00791465" w:rsidRDefault="00403A41" w:rsidP="00403A41">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2055" w:type="dxa"/>
            <w:tcBorders>
              <w:top w:val="nil"/>
              <w:left w:val="nil"/>
              <w:bottom w:val="nil"/>
              <w:right w:val="single" w:sz="8" w:space="0" w:color="auto"/>
            </w:tcBorders>
            <w:shd w:val="clear" w:color="000000" w:fill="203764"/>
            <w:vAlign w:val="center"/>
            <w:hideMark/>
          </w:tcPr>
          <w:p w14:paraId="3DAD3CA4" w14:textId="4FC20AEA" w:rsidR="00403A41" w:rsidRPr="0071104F" w:rsidRDefault="0071104F" w:rsidP="00403A41">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03A41" w:rsidRPr="00791465" w14:paraId="1A6B46F5" w14:textId="77777777" w:rsidTr="00403A41">
        <w:trPr>
          <w:trHeight w:val="630"/>
        </w:trPr>
        <w:tc>
          <w:tcPr>
            <w:tcW w:w="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C4A1D" w14:textId="77777777" w:rsidR="00403A41" w:rsidRPr="00791465" w:rsidRDefault="00403A41" w:rsidP="00403A41">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18A4004C" w14:textId="77777777" w:rsidR="00403A41" w:rsidRPr="00791465" w:rsidRDefault="00403A41" w:rsidP="00403A41">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154</w:t>
            </w:r>
          </w:p>
        </w:tc>
        <w:tc>
          <w:tcPr>
            <w:tcW w:w="530" w:type="dxa"/>
            <w:tcBorders>
              <w:top w:val="single" w:sz="8" w:space="0" w:color="auto"/>
              <w:left w:val="nil"/>
              <w:bottom w:val="single" w:sz="8" w:space="0" w:color="auto"/>
              <w:right w:val="single" w:sz="8" w:space="0" w:color="auto"/>
            </w:tcBorders>
            <w:shd w:val="clear" w:color="auto" w:fill="auto"/>
            <w:vAlign w:val="center"/>
            <w:hideMark/>
          </w:tcPr>
          <w:p w14:paraId="66AC1B34" w14:textId="77777777" w:rsidR="00403A41" w:rsidRPr="00791465" w:rsidRDefault="00403A41" w:rsidP="00403A41">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c>
          <w:tcPr>
            <w:tcW w:w="3391" w:type="dxa"/>
            <w:tcBorders>
              <w:top w:val="single" w:sz="8" w:space="0" w:color="auto"/>
              <w:left w:val="nil"/>
              <w:bottom w:val="single" w:sz="8" w:space="0" w:color="auto"/>
              <w:right w:val="single" w:sz="8" w:space="0" w:color="auto"/>
            </w:tcBorders>
            <w:shd w:val="clear" w:color="auto" w:fill="auto"/>
            <w:vAlign w:val="center"/>
            <w:hideMark/>
          </w:tcPr>
          <w:p w14:paraId="739C918C" w14:textId="77777777" w:rsidR="00403A41" w:rsidRPr="00791465" w:rsidRDefault="00403A41" w:rsidP="00403A41">
            <w:pP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xml:space="preserve">Información a revelar          </w:t>
            </w:r>
          </w:p>
        </w:tc>
        <w:tc>
          <w:tcPr>
            <w:tcW w:w="1978" w:type="dxa"/>
            <w:tcBorders>
              <w:top w:val="single" w:sz="8" w:space="0" w:color="auto"/>
              <w:left w:val="nil"/>
              <w:bottom w:val="single" w:sz="8" w:space="0" w:color="auto"/>
              <w:right w:val="single" w:sz="8" w:space="0" w:color="auto"/>
            </w:tcBorders>
            <w:shd w:val="clear" w:color="auto" w:fill="auto"/>
            <w:vAlign w:val="center"/>
            <w:hideMark/>
          </w:tcPr>
          <w:p w14:paraId="5888AB22" w14:textId="77777777" w:rsidR="00403A41" w:rsidRPr="00791465" w:rsidRDefault="00403A41" w:rsidP="00403A41">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NICSP N° 17, Párrafo 12.</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E1A1A2F" w14:textId="77777777" w:rsidR="00403A41" w:rsidRPr="00791465" w:rsidRDefault="00403A41" w:rsidP="00403A41">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xml:space="preserve"> DGCN</w:t>
            </w:r>
          </w:p>
        </w:tc>
      </w:tr>
    </w:tbl>
    <w:p w14:paraId="45B8734E" w14:textId="77777777" w:rsidR="00403A41" w:rsidRDefault="00403A41" w:rsidP="00A351C9">
      <w:pPr>
        <w:spacing w:line="238" w:lineRule="auto"/>
        <w:ind w:left="1134" w:right="260" w:hanging="1134"/>
        <w:jc w:val="both"/>
        <w:rPr>
          <w:rFonts w:ascii="Arial" w:eastAsia="Arial" w:hAnsi="Arial"/>
          <w:b/>
          <w:sz w:val="22"/>
          <w:szCs w:val="22"/>
          <w:lang w:val="es-CR"/>
        </w:rPr>
      </w:pPr>
    </w:p>
    <w:p w14:paraId="618E1A9C" w14:textId="4BC786FF"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5BE3BA7C"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5B4AEE7A" w14:textId="13777019" w:rsidR="00403A41" w:rsidRPr="00F02F9D" w:rsidRDefault="00B06039" w:rsidP="005E5900">
      <w:pPr>
        <w:spacing w:line="261"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1.154.0.01</w:t>
      </w:r>
      <w:r w:rsidRPr="00F02F9D">
        <w:rPr>
          <w:rFonts w:ascii="Arial" w:eastAsia="Arial" w:hAnsi="Arial"/>
          <w:bCs/>
          <w:sz w:val="22"/>
          <w:szCs w:val="22"/>
          <w:lang w:val="es-CR"/>
        </w:rPr>
        <w:tab/>
      </w:r>
      <w:r w:rsidR="00403A41" w:rsidRPr="00F02F9D">
        <w:rPr>
          <w:rFonts w:ascii="Arial" w:eastAsia="Arial" w:hAnsi="Arial"/>
          <w:bCs/>
          <w:sz w:val="22"/>
          <w:szCs w:val="22"/>
          <w:lang w:val="es-CR"/>
        </w:rPr>
        <w:t xml:space="preserve">Para los bienes históricos y culturales, además de los requisitos de información aplicables a propiedades, planta y equipo, la </w:t>
      </w:r>
      <w:r w:rsidR="000F29DC">
        <w:rPr>
          <w:rFonts w:ascii="Arial" w:eastAsia="Arial" w:hAnsi="Arial"/>
          <w:bCs/>
          <w:sz w:val="22"/>
          <w:szCs w:val="22"/>
          <w:lang w:val="es-CR"/>
        </w:rPr>
        <w:t>MBA</w:t>
      </w:r>
      <w:r w:rsidR="00403A41" w:rsidRPr="00F02F9D">
        <w:rPr>
          <w:rFonts w:ascii="Arial" w:eastAsia="Arial" w:hAnsi="Arial"/>
          <w:bCs/>
          <w:sz w:val="22"/>
          <w:szCs w:val="22"/>
          <w:lang w:val="es-CR"/>
        </w:rPr>
        <w:t xml:space="preserve"> revelará lo siguiente:</w:t>
      </w:r>
    </w:p>
    <w:p w14:paraId="2B9E3EC7" w14:textId="77777777" w:rsidR="00B06039" w:rsidRPr="00F02F9D" w:rsidRDefault="00B06039" w:rsidP="00B06039">
      <w:pPr>
        <w:spacing w:line="261" w:lineRule="auto"/>
        <w:ind w:left="1276" w:right="260" w:hanging="1276"/>
        <w:jc w:val="both"/>
        <w:rPr>
          <w:rFonts w:ascii="Arial" w:eastAsia="Arial" w:hAnsi="Arial"/>
          <w:bCs/>
          <w:sz w:val="22"/>
          <w:szCs w:val="22"/>
          <w:lang w:val="es-CR"/>
        </w:rPr>
      </w:pPr>
    </w:p>
    <w:p w14:paraId="64AB9217" w14:textId="77777777" w:rsidR="00403A41" w:rsidRPr="00F02F9D" w:rsidRDefault="00403A41" w:rsidP="00B06039">
      <w:pPr>
        <w:spacing w:line="2" w:lineRule="exact"/>
        <w:jc w:val="both"/>
        <w:rPr>
          <w:rFonts w:ascii="Arial" w:eastAsia="Times New Roman" w:hAnsi="Arial"/>
          <w:bCs/>
          <w:sz w:val="22"/>
          <w:szCs w:val="22"/>
          <w:lang w:val="es-CR"/>
        </w:rPr>
      </w:pPr>
    </w:p>
    <w:p w14:paraId="2510590B" w14:textId="77777777" w:rsidR="00403A41" w:rsidRPr="00F02F9D" w:rsidRDefault="00403A41">
      <w:pPr>
        <w:pStyle w:val="Prrafodelista"/>
        <w:numPr>
          <w:ilvl w:val="0"/>
          <w:numId w:val="46"/>
        </w:numPr>
        <w:spacing w:after="120"/>
        <w:ind w:left="1701"/>
        <w:contextualSpacing w:val="0"/>
        <w:jc w:val="both"/>
        <w:rPr>
          <w:rFonts w:ascii="Arial" w:eastAsia="Arial" w:hAnsi="Arial"/>
          <w:bCs/>
          <w:sz w:val="22"/>
          <w:szCs w:val="22"/>
          <w:lang w:val="es-CR"/>
        </w:rPr>
      </w:pPr>
      <w:r w:rsidRPr="00F02F9D">
        <w:rPr>
          <w:rFonts w:ascii="Arial" w:eastAsia="Arial" w:hAnsi="Arial"/>
          <w:bCs/>
          <w:sz w:val="22"/>
          <w:szCs w:val="22"/>
          <w:lang w:val="es-CR"/>
        </w:rPr>
        <w:t>Identificación precisa de los bienes históricos y culturales, indicando:</w:t>
      </w:r>
    </w:p>
    <w:p w14:paraId="7F34C8EB" w14:textId="77777777" w:rsidR="00403A41" w:rsidRPr="00F02F9D" w:rsidRDefault="00403A41">
      <w:pPr>
        <w:pStyle w:val="Prrafodelista"/>
        <w:numPr>
          <w:ilvl w:val="0"/>
          <w:numId w:val="46"/>
        </w:numPr>
        <w:tabs>
          <w:tab w:val="left" w:pos="1940"/>
        </w:tabs>
        <w:spacing w:after="120"/>
        <w:ind w:left="1701"/>
        <w:contextualSpacing w:val="0"/>
        <w:jc w:val="both"/>
        <w:rPr>
          <w:rFonts w:ascii="Arial" w:eastAsia="Arial" w:hAnsi="Arial"/>
          <w:bCs/>
          <w:sz w:val="22"/>
          <w:szCs w:val="22"/>
          <w:lang w:val="es-CR"/>
        </w:rPr>
      </w:pPr>
      <w:r w:rsidRPr="00F02F9D">
        <w:rPr>
          <w:rFonts w:ascii="Arial" w:eastAsia="Arial" w:hAnsi="Arial"/>
          <w:bCs/>
          <w:sz w:val="22"/>
          <w:szCs w:val="22"/>
          <w:lang w:val="es-CR"/>
        </w:rPr>
        <w:t>Tipo o clase de bien.</w:t>
      </w:r>
    </w:p>
    <w:p w14:paraId="270CDBFB" w14:textId="77777777" w:rsidR="00403A41" w:rsidRPr="00F02F9D" w:rsidRDefault="00403A41">
      <w:pPr>
        <w:pStyle w:val="Prrafodelista"/>
        <w:numPr>
          <w:ilvl w:val="0"/>
          <w:numId w:val="46"/>
        </w:numPr>
        <w:tabs>
          <w:tab w:val="left" w:pos="1940"/>
        </w:tabs>
        <w:spacing w:after="120"/>
        <w:ind w:left="1701"/>
        <w:contextualSpacing w:val="0"/>
        <w:jc w:val="both"/>
        <w:rPr>
          <w:rFonts w:ascii="Arial" w:eastAsia="Arial" w:hAnsi="Arial"/>
          <w:bCs/>
          <w:sz w:val="22"/>
          <w:szCs w:val="22"/>
          <w:lang w:val="es-CR"/>
        </w:rPr>
      </w:pPr>
      <w:r w:rsidRPr="00F02F9D">
        <w:rPr>
          <w:rFonts w:ascii="Arial" w:eastAsia="Arial" w:hAnsi="Arial"/>
          <w:bCs/>
          <w:sz w:val="22"/>
          <w:szCs w:val="22"/>
          <w:lang w:val="es-CR"/>
        </w:rPr>
        <w:t>Descripción sintética del mismo.</w:t>
      </w:r>
    </w:p>
    <w:p w14:paraId="007BA36A" w14:textId="42528411" w:rsidR="00403A41" w:rsidRPr="00791465" w:rsidRDefault="00403A41">
      <w:pPr>
        <w:pStyle w:val="Prrafodelista"/>
        <w:numPr>
          <w:ilvl w:val="0"/>
          <w:numId w:val="46"/>
        </w:numPr>
        <w:tabs>
          <w:tab w:val="left" w:pos="1940"/>
        </w:tabs>
        <w:spacing w:after="120"/>
        <w:ind w:left="1701"/>
        <w:contextualSpacing w:val="0"/>
        <w:jc w:val="both"/>
        <w:rPr>
          <w:rFonts w:ascii="Arial" w:eastAsia="Arial" w:hAnsi="Arial"/>
          <w:bCs/>
          <w:sz w:val="22"/>
          <w:szCs w:val="22"/>
          <w:lang w:val="es-CR"/>
        </w:rPr>
      </w:pPr>
      <w:r w:rsidRPr="00F02F9D">
        <w:rPr>
          <w:rFonts w:ascii="Arial" w:eastAsia="Arial" w:hAnsi="Arial"/>
          <w:bCs/>
          <w:sz w:val="22"/>
          <w:szCs w:val="22"/>
          <w:lang w:val="es-CR"/>
        </w:rPr>
        <w:t>Ubicación y destino.</w:t>
      </w:r>
    </w:p>
    <w:p w14:paraId="78CEE933" w14:textId="0B4CB0B2" w:rsidR="00403A41" w:rsidRPr="00791465" w:rsidRDefault="00403A41">
      <w:pPr>
        <w:pStyle w:val="Prrafodelista"/>
        <w:numPr>
          <w:ilvl w:val="0"/>
          <w:numId w:val="46"/>
        </w:numPr>
        <w:tabs>
          <w:tab w:val="left" w:pos="1940"/>
        </w:tabs>
        <w:spacing w:after="120"/>
        <w:ind w:left="1701" w:right="1020"/>
        <w:contextualSpacing w:val="0"/>
        <w:jc w:val="both"/>
        <w:rPr>
          <w:rFonts w:ascii="Arial" w:eastAsia="Arial" w:hAnsi="Arial"/>
          <w:bCs/>
          <w:sz w:val="22"/>
          <w:szCs w:val="22"/>
          <w:lang w:val="es-CR"/>
        </w:rPr>
      </w:pPr>
      <w:r w:rsidRPr="00F02F9D">
        <w:rPr>
          <w:rFonts w:ascii="Arial" w:eastAsia="Arial" w:hAnsi="Arial"/>
          <w:bCs/>
          <w:sz w:val="22"/>
          <w:szCs w:val="22"/>
          <w:lang w:val="es-CR"/>
        </w:rPr>
        <w:t>Antigüedad exacta o, en su defecto, estimada, indicando los criterios aplicados para su estimación.</w:t>
      </w:r>
    </w:p>
    <w:p w14:paraId="34D53B75" w14:textId="77777777" w:rsidR="00403A41" w:rsidRPr="00F02F9D" w:rsidRDefault="00403A41">
      <w:pPr>
        <w:pStyle w:val="Prrafodelista"/>
        <w:numPr>
          <w:ilvl w:val="0"/>
          <w:numId w:val="46"/>
        </w:numPr>
        <w:spacing w:after="120"/>
        <w:ind w:left="1701" w:right="260"/>
        <w:contextualSpacing w:val="0"/>
        <w:jc w:val="both"/>
        <w:rPr>
          <w:rFonts w:ascii="Arial" w:eastAsia="Arial" w:hAnsi="Arial"/>
          <w:bCs/>
          <w:sz w:val="22"/>
          <w:szCs w:val="22"/>
          <w:lang w:val="es-CR"/>
        </w:rPr>
      </w:pPr>
      <w:r w:rsidRPr="00F02F9D">
        <w:rPr>
          <w:rFonts w:ascii="Arial" w:eastAsia="Arial" w:hAnsi="Arial"/>
          <w:bCs/>
          <w:sz w:val="22"/>
          <w:szCs w:val="22"/>
          <w:lang w:val="es-CR"/>
        </w:rPr>
        <w:t>Identificación de aquellos bienes que hayan sido incluidos como elementos de propiedades, planta y equipo, en los términos de la política referida a “Bienes históricos y culturales que cumplen doble función”.</w:t>
      </w:r>
    </w:p>
    <w:p w14:paraId="7356C55A" w14:textId="77777777" w:rsidR="00403A41" w:rsidRPr="00F02F9D" w:rsidRDefault="00403A41" w:rsidP="00B06039">
      <w:pPr>
        <w:spacing w:line="2" w:lineRule="exact"/>
        <w:ind w:left="1701"/>
        <w:jc w:val="both"/>
        <w:rPr>
          <w:rFonts w:ascii="Arial" w:eastAsia="Arial" w:hAnsi="Arial"/>
          <w:bCs/>
          <w:sz w:val="22"/>
          <w:szCs w:val="22"/>
          <w:lang w:val="es-CR"/>
        </w:rPr>
      </w:pPr>
    </w:p>
    <w:p w14:paraId="509A4CDA" w14:textId="62DE0355" w:rsidR="00403A41" w:rsidRPr="00F02F9D" w:rsidRDefault="00403A41">
      <w:pPr>
        <w:pStyle w:val="Prrafodelista"/>
        <w:numPr>
          <w:ilvl w:val="0"/>
          <w:numId w:val="46"/>
        </w:numPr>
        <w:spacing w:line="238" w:lineRule="auto"/>
        <w:ind w:left="1701" w:right="260"/>
        <w:jc w:val="both"/>
        <w:rPr>
          <w:rFonts w:ascii="Arial" w:eastAsia="Arial" w:hAnsi="Arial"/>
          <w:bCs/>
          <w:sz w:val="22"/>
          <w:szCs w:val="22"/>
          <w:lang w:val="es-CR"/>
        </w:rPr>
      </w:pPr>
      <w:r w:rsidRPr="00F02F9D">
        <w:rPr>
          <w:rFonts w:ascii="Arial" w:eastAsia="Arial" w:hAnsi="Arial"/>
          <w:bCs/>
          <w:sz w:val="22"/>
          <w:szCs w:val="22"/>
          <w:lang w:val="es-CR"/>
        </w:rPr>
        <w:t>Toda otra información que oportunamente, con carácter permanente o específico para un ejercicio en particular, requiera incluir la Institución</w:t>
      </w:r>
    </w:p>
    <w:p w14:paraId="26D022D4" w14:textId="77777777" w:rsidR="00403A41" w:rsidRPr="00F02F9D" w:rsidRDefault="00403A41" w:rsidP="00A351C9">
      <w:pPr>
        <w:spacing w:line="238" w:lineRule="auto"/>
        <w:ind w:left="1134" w:right="260" w:hanging="1134"/>
        <w:jc w:val="both"/>
        <w:rPr>
          <w:rFonts w:ascii="Arial" w:eastAsia="Arial" w:hAnsi="Arial"/>
          <w:bCs/>
          <w:sz w:val="22"/>
          <w:szCs w:val="22"/>
          <w:lang w:val="es-CR"/>
        </w:rPr>
      </w:pPr>
    </w:p>
    <w:p w14:paraId="1584D2F9" w14:textId="77777777" w:rsidR="00403A41" w:rsidRDefault="00403A41" w:rsidP="00A351C9">
      <w:pPr>
        <w:spacing w:line="238" w:lineRule="auto"/>
        <w:ind w:left="1134" w:right="260" w:hanging="1134"/>
        <w:jc w:val="both"/>
        <w:rPr>
          <w:rFonts w:ascii="Arial" w:eastAsia="Arial" w:hAnsi="Arial"/>
          <w:b/>
          <w:sz w:val="22"/>
          <w:szCs w:val="22"/>
          <w:lang w:val="es-CR"/>
        </w:rPr>
      </w:pPr>
    </w:p>
    <w:p w14:paraId="34ECDC05" w14:textId="77777777" w:rsidR="00F36957" w:rsidRDefault="00F36957" w:rsidP="00A351C9">
      <w:pPr>
        <w:spacing w:line="238" w:lineRule="auto"/>
        <w:ind w:left="1134" w:right="260" w:hanging="1134"/>
        <w:jc w:val="both"/>
        <w:rPr>
          <w:rFonts w:ascii="Arial" w:eastAsia="Arial" w:hAnsi="Arial"/>
          <w:b/>
          <w:sz w:val="22"/>
          <w:szCs w:val="22"/>
          <w:lang w:val="es-CR"/>
        </w:rPr>
      </w:pPr>
    </w:p>
    <w:p w14:paraId="00827A20" w14:textId="77777777" w:rsidR="00F36957" w:rsidRPr="00F02F9D" w:rsidRDefault="00F36957" w:rsidP="00A351C9">
      <w:pPr>
        <w:spacing w:line="238" w:lineRule="auto"/>
        <w:ind w:left="1134" w:right="260" w:hanging="1134"/>
        <w:jc w:val="both"/>
        <w:rPr>
          <w:rFonts w:ascii="Arial" w:eastAsia="Arial" w:hAnsi="Arial"/>
          <w:b/>
          <w:sz w:val="22"/>
          <w:szCs w:val="22"/>
          <w:lang w:val="es-CR"/>
        </w:rPr>
      </w:pPr>
    </w:p>
    <w:p w14:paraId="44EEC7D9" w14:textId="77777777" w:rsidR="00B06039" w:rsidRPr="00791465" w:rsidRDefault="00B06039" w:rsidP="00791465">
      <w:pPr>
        <w:pStyle w:val="Ttulo2"/>
        <w:ind w:left="284"/>
        <w:rPr>
          <w:rFonts w:ascii="Arial" w:eastAsia="Arial" w:hAnsi="Arial" w:cs="Arial"/>
          <w:b/>
          <w:bCs/>
          <w:sz w:val="20"/>
          <w:szCs w:val="20"/>
          <w:lang w:val="es-CR"/>
        </w:rPr>
      </w:pPr>
      <w:bookmarkStart w:id="57" w:name="_Toc172726215"/>
      <w:r w:rsidRPr="00791465">
        <w:rPr>
          <w:rFonts w:ascii="Arial" w:eastAsia="Arial" w:hAnsi="Arial" w:cs="Arial"/>
          <w:b/>
          <w:bCs/>
          <w:sz w:val="20"/>
          <w:szCs w:val="20"/>
          <w:lang w:val="es-CR"/>
        </w:rPr>
        <w:t>Deterioro</w:t>
      </w:r>
      <w:bookmarkEnd w:id="57"/>
    </w:p>
    <w:p w14:paraId="3A0DF7F8" w14:textId="77777777" w:rsidR="00B06039" w:rsidRPr="00F02F9D" w:rsidRDefault="00B06039" w:rsidP="00A351C9">
      <w:pPr>
        <w:spacing w:line="238" w:lineRule="auto"/>
        <w:ind w:left="1134" w:right="260" w:hanging="1134"/>
        <w:jc w:val="both"/>
        <w:rPr>
          <w:rFonts w:ascii="Arial" w:eastAsia="Arial" w:hAnsi="Arial"/>
          <w:b/>
          <w:sz w:val="22"/>
          <w:szCs w:val="22"/>
          <w:lang w:val="es-CR"/>
        </w:rPr>
      </w:pPr>
    </w:p>
    <w:p w14:paraId="1A53B1A0" w14:textId="6986E236" w:rsidR="00B06039" w:rsidRPr="00F02F9D" w:rsidRDefault="00B06039" w:rsidP="00B06039">
      <w:pPr>
        <w:spacing w:line="236" w:lineRule="auto"/>
        <w:ind w:right="260"/>
        <w:jc w:val="both"/>
        <w:rPr>
          <w:rFonts w:ascii="Arial" w:eastAsia="Arial" w:hAnsi="Arial"/>
          <w:bCs/>
          <w:sz w:val="22"/>
          <w:szCs w:val="22"/>
          <w:lang w:val="es-CR"/>
        </w:rPr>
        <w:sectPr w:rsidR="00B06039" w:rsidRPr="00F02F9D" w:rsidSect="006D026E">
          <w:type w:val="continuous"/>
          <w:pgSz w:w="12240" w:h="15840"/>
          <w:pgMar w:top="1440" w:right="1440" w:bottom="168" w:left="1440" w:header="0" w:footer="0" w:gutter="0"/>
          <w:cols w:space="0" w:equalWidth="0">
            <w:col w:w="9360"/>
          </w:cols>
          <w:docGrid w:linePitch="360"/>
        </w:sectPr>
      </w:pPr>
      <w:r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se aplicarán los siguientes aspectos comunes a los activos no generadores y generadores de efectivo.</w:t>
      </w:r>
    </w:p>
    <w:p w14:paraId="0CC7287D" w14:textId="77777777" w:rsidR="00403A41" w:rsidRPr="00F02F9D" w:rsidRDefault="00403A41" w:rsidP="00A351C9">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5"/>
        <w:gridCol w:w="617"/>
        <w:gridCol w:w="535"/>
        <w:gridCol w:w="3245"/>
        <w:gridCol w:w="2126"/>
        <w:gridCol w:w="1984"/>
      </w:tblGrid>
      <w:tr w:rsidR="00C10BB0" w:rsidRPr="00C10BB0" w14:paraId="49EF6AE6" w14:textId="77777777" w:rsidTr="00FA7CC9">
        <w:trPr>
          <w:trHeight w:val="320"/>
        </w:trPr>
        <w:tc>
          <w:tcPr>
            <w:tcW w:w="170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F8DC6A1" w14:textId="77777777" w:rsidR="00C10BB0" w:rsidRPr="00791465" w:rsidRDefault="00C10BB0" w:rsidP="00C10BB0">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245" w:type="dxa"/>
            <w:vMerge w:val="restart"/>
            <w:tcBorders>
              <w:top w:val="single" w:sz="8" w:space="0" w:color="auto"/>
              <w:left w:val="single" w:sz="8" w:space="0" w:color="auto"/>
              <w:bottom w:val="nil"/>
              <w:right w:val="single" w:sz="8" w:space="0" w:color="auto"/>
            </w:tcBorders>
            <w:shd w:val="clear" w:color="000000" w:fill="203764"/>
            <w:vAlign w:val="center"/>
            <w:hideMark/>
          </w:tcPr>
          <w:p w14:paraId="2D0A039A" w14:textId="77777777" w:rsidR="00C10BB0" w:rsidRPr="00791465" w:rsidRDefault="00C10BB0" w:rsidP="00C10BB0">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110" w:type="dxa"/>
            <w:gridSpan w:val="2"/>
            <w:tcBorders>
              <w:top w:val="single" w:sz="8" w:space="0" w:color="auto"/>
              <w:left w:val="nil"/>
              <w:bottom w:val="single" w:sz="8" w:space="0" w:color="auto"/>
              <w:right w:val="single" w:sz="8" w:space="0" w:color="000000"/>
            </w:tcBorders>
            <w:shd w:val="clear" w:color="000000" w:fill="203764"/>
            <w:vAlign w:val="center"/>
            <w:hideMark/>
          </w:tcPr>
          <w:p w14:paraId="7439012F" w14:textId="77777777" w:rsidR="00C10BB0" w:rsidRPr="00791465" w:rsidRDefault="00C10BB0" w:rsidP="00C10BB0">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C10BB0" w:rsidRPr="0071104F" w14:paraId="7CCA4369" w14:textId="77777777" w:rsidTr="00FA7CC9">
        <w:trPr>
          <w:trHeight w:val="320"/>
        </w:trPr>
        <w:tc>
          <w:tcPr>
            <w:tcW w:w="1707" w:type="dxa"/>
            <w:gridSpan w:val="3"/>
            <w:vMerge/>
            <w:tcBorders>
              <w:top w:val="single" w:sz="8" w:space="0" w:color="auto"/>
              <w:left w:val="single" w:sz="8" w:space="0" w:color="auto"/>
              <w:bottom w:val="nil"/>
              <w:right w:val="single" w:sz="8" w:space="0" w:color="000000"/>
            </w:tcBorders>
            <w:vAlign w:val="center"/>
            <w:hideMark/>
          </w:tcPr>
          <w:p w14:paraId="00E4D918" w14:textId="77777777" w:rsidR="00C10BB0" w:rsidRPr="00791465" w:rsidRDefault="00C10BB0" w:rsidP="00C10BB0">
            <w:pPr>
              <w:rPr>
                <w:rFonts w:ascii="Arial Narrow" w:eastAsia="Times New Roman" w:hAnsi="Arial Narrow"/>
                <w:b/>
                <w:bCs/>
                <w:color w:val="FFFFFF"/>
                <w:sz w:val="22"/>
                <w:szCs w:val="22"/>
              </w:rPr>
            </w:pPr>
          </w:p>
        </w:tc>
        <w:tc>
          <w:tcPr>
            <w:tcW w:w="3245" w:type="dxa"/>
            <w:vMerge/>
            <w:tcBorders>
              <w:top w:val="single" w:sz="8" w:space="0" w:color="auto"/>
              <w:left w:val="single" w:sz="8" w:space="0" w:color="auto"/>
              <w:bottom w:val="nil"/>
              <w:right w:val="single" w:sz="8" w:space="0" w:color="auto"/>
            </w:tcBorders>
            <w:vAlign w:val="center"/>
            <w:hideMark/>
          </w:tcPr>
          <w:p w14:paraId="66691188" w14:textId="77777777" w:rsidR="00C10BB0" w:rsidRPr="00791465" w:rsidRDefault="00C10BB0" w:rsidP="00C10BB0">
            <w:pPr>
              <w:rPr>
                <w:rFonts w:ascii="Arial Narrow" w:eastAsia="Times New Roman" w:hAnsi="Arial Narrow"/>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67D287DD" w14:textId="77777777" w:rsidR="00C10BB0" w:rsidRPr="00791465" w:rsidRDefault="00C10BB0" w:rsidP="00C10BB0">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1984" w:type="dxa"/>
            <w:tcBorders>
              <w:top w:val="nil"/>
              <w:left w:val="nil"/>
              <w:bottom w:val="nil"/>
              <w:right w:val="single" w:sz="8" w:space="0" w:color="auto"/>
            </w:tcBorders>
            <w:shd w:val="clear" w:color="000000" w:fill="203764"/>
            <w:vAlign w:val="center"/>
            <w:hideMark/>
          </w:tcPr>
          <w:p w14:paraId="12B31F73" w14:textId="55921B0C" w:rsidR="00C10BB0" w:rsidRPr="0071104F" w:rsidRDefault="0071104F" w:rsidP="00C10BB0">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A7CC9" w:rsidRPr="0063507E" w14:paraId="2E64906A" w14:textId="77777777" w:rsidTr="00FA7CC9">
        <w:trPr>
          <w:trHeight w:val="914"/>
        </w:trPr>
        <w:tc>
          <w:tcPr>
            <w:tcW w:w="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8FBAB"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002BB7F3"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189</w:t>
            </w:r>
          </w:p>
        </w:tc>
        <w:tc>
          <w:tcPr>
            <w:tcW w:w="535" w:type="dxa"/>
            <w:tcBorders>
              <w:top w:val="single" w:sz="8" w:space="0" w:color="auto"/>
              <w:left w:val="nil"/>
              <w:bottom w:val="single" w:sz="8" w:space="0" w:color="auto"/>
              <w:right w:val="single" w:sz="8" w:space="0" w:color="auto"/>
            </w:tcBorders>
            <w:shd w:val="clear" w:color="auto" w:fill="auto"/>
            <w:vAlign w:val="center"/>
            <w:hideMark/>
          </w:tcPr>
          <w:p w14:paraId="283C9D40"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c>
          <w:tcPr>
            <w:tcW w:w="3245" w:type="dxa"/>
            <w:tcBorders>
              <w:top w:val="single" w:sz="8" w:space="0" w:color="auto"/>
              <w:left w:val="nil"/>
              <w:bottom w:val="single" w:sz="8" w:space="0" w:color="auto"/>
              <w:right w:val="single" w:sz="8" w:space="0" w:color="auto"/>
            </w:tcBorders>
            <w:shd w:val="clear" w:color="auto" w:fill="auto"/>
            <w:vAlign w:val="center"/>
            <w:hideMark/>
          </w:tcPr>
          <w:p w14:paraId="38696E07" w14:textId="77777777" w:rsidR="00C10BB0" w:rsidRPr="00791465" w:rsidRDefault="00C10BB0" w:rsidP="00C10BB0">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Aspectos Generales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2670055E" w14:textId="77777777" w:rsid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21, </w:t>
            </w:r>
          </w:p>
          <w:p w14:paraId="0D239DBA" w14:textId="77777777" w:rsid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Párrafos 5 y 6.  </w:t>
            </w:r>
          </w:p>
          <w:p w14:paraId="3F7CF303" w14:textId="77777777" w:rsid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3FAED93C" w14:textId="2A66A963" w:rsidR="00C10BB0" w:rsidRP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Párrafo 5.</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31D0B2B5" w14:textId="77777777" w:rsidR="00C10BB0" w:rsidRPr="00791465" w:rsidRDefault="00C10BB0" w:rsidP="00C10BB0">
            <w:pPr>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w:t>
            </w:r>
          </w:p>
        </w:tc>
      </w:tr>
      <w:tr w:rsidR="00FA7CC9" w:rsidRPr="00F02F9D" w14:paraId="4B00948F" w14:textId="77777777" w:rsidTr="00FA7CC9">
        <w:trPr>
          <w:trHeight w:val="544"/>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6304F0FF"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w:t>
            </w:r>
          </w:p>
        </w:tc>
        <w:tc>
          <w:tcPr>
            <w:tcW w:w="617" w:type="dxa"/>
            <w:tcBorders>
              <w:top w:val="nil"/>
              <w:left w:val="nil"/>
              <w:bottom w:val="single" w:sz="8" w:space="0" w:color="auto"/>
              <w:right w:val="single" w:sz="8" w:space="0" w:color="auto"/>
            </w:tcBorders>
            <w:shd w:val="clear" w:color="auto" w:fill="auto"/>
            <w:noWrap/>
            <w:vAlign w:val="center"/>
            <w:hideMark/>
          </w:tcPr>
          <w:p w14:paraId="4F9E5335"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189</w:t>
            </w:r>
          </w:p>
        </w:tc>
        <w:tc>
          <w:tcPr>
            <w:tcW w:w="535" w:type="dxa"/>
            <w:tcBorders>
              <w:top w:val="nil"/>
              <w:left w:val="nil"/>
              <w:bottom w:val="single" w:sz="8" w:space="0" w:color="auto"/>
              <w:right w:val="single" w:sz="8" w:space="0" w:color="auto"/>
            </w:tcBorders>
            <w:shd w:val="clear" w:color="auto" w:fill="auto"/>
            <w:vAlign w:val="center"/>
            <w:hideMark/>
          </w:tcPr>
          <w:p w14:paraId="07EAF9AA"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w:t>
            </w:r>
          </w:p>
        </w:tc>
        <w:tc>
          <w:tcPr>
            <w:tcW w:w="3245" w:type="dxa"/>
            <w:tcBorders>
              <w:top w:val="nil"/>
              <w:left w:val="nil"/>
              <w:bottom w:val="single" w:sz="8" w:space="0" w:color="auto"/>
              <w:right w:val="single" w:sz="8" w:space="0" w:color="auto"/>
            </w:tcBorders>
            <w:shd w:val="clear" w:color="auto" w:fill="auto"/>
            <w:vAlign w:val="center"/>
            <w:hideMark/>
          </w:tcPr>
          <w:p w14:paraId="5C78A754" w14:textId="77777777" w:rsidR="00C10BB0" w:rsidRP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Activos no generadores de efectivo</w:t>
            </w:r>
          </w:p>
        </w:tc>
        <w:tc>
          <w:tcPr>
            <w:tcW w:w="2126" w:type="dxa"/>
            <w:tcBorders>
              <w:top w:val="nil"/>
              <w:left w:val="nil"/>
              <w:bottom w:val="single" w:sz="8" w:space="0" w:color="auto"/>
              <w:right w:val="single" w:sz="8" w:space="0" w:color="auto"/>
            </w:tcBorders>
            <w:shd w:val="clear" w:color="auto" w:fill="auto"/>
            <w:vAlign w:val="center"/>
            <w:hideMark/>
          </w:tcPr>
          <w:p w14:paraId="4D0B6BED" w14:textId="77777777" w:rsidR="00791465" w:rsidRDefault="00C10BB0" w:rsidP="00C10BB0">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NICSP Nº 21, </w:t>
            </w:r>
          </w:p>
          <w:p w14:paraId="1BB820AD" w14:textId="37838ED6" w:rsidR="00C10BB0" w:rsidRPr="00791465" w:rsidRDefault="00C10BB0" w:rsidP="00C10BB0">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Párrafos 16,17 y 21</w:t>
            </w:r>
          </w:p>
        </w:tc>
        <w:tc>
          <w:tcPr>
            <w:tcW w:w="1984" w:type="dxa"/>
            <w:tcBorders>
              <w:top w:val="nil"/>
              <w:left w:val="nil"/>
              <w:bottom w:val="single" w:sz="8" w:space="0" w:color="auto"/>
              <w:right w:val="single" w:sz="8" w:space="0" w:color="auto"/>
            </w:tcBorders>
            <w:shd w:val="clear" w:color="auto" w:fill="auto"/>
            <w:vAlign w:val="center"/>
            <w:hideMark/>
          </w:tcPr>
          <w:p w14:paraId="01CA5A8D" w14:textId="77777777" w:rsidR="00C10BB0" w:rsidRPr="00791465" w:rsidRDefault="00C10BB0" w:rsidP="00C10BB0">
            <w:pP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DGCN</w:t>
            </w:r>
          </w:p>
        </w:tc>
      </w:tr>
      <w:tr w:rsidR="00FA7CC9" w:rsidRPr="00F02F9D" w14:paraId="46A38183" w14:textId="77777777" w:rsidTr="00FA7CC9">
        <w:trPr>
          <w:trHeight w:val="398"/>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70501AC6"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617" w:type="dxa"/>
            <w:tcBorders>
              <w:top w:val="nil"/>
              <w:left w:val="nil"/>
              <w:bottom w:val="single" w:sz="8" w:space="0" w:color="auto"/>
              <w:right w:val="single" w:sz="8" w:space="0" w:color="auto"/>
            </w:tcBorders>
            <w:shd w:val="clear" w:color="auto" w:fill="auto"/>
            <w:noWrap/>
            <w:vAlign w:val="center"/>
            <w:hideMark/>
          </w:tcPr>
          <w:p w14:paraId="4C201331"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189</w:t>
            </w:r>
          </w:p>
        </w:tc>
        <w:tc>
          <w:tcPr>
            <w:tcW w:w="535" w:type="dxa"/>
            <w:tcBorders>
              <w:top w:val="nil"/>
              <w:left w:val="nil"/>
              <w:bottom w:val="single" w:sz="8" w:space="0" w:color="auto"/>
              <w:right w:val="single" w:sz="8" w:space="0" w:color="auto"/>
            </w:tcBorders>
            <w:shd w:val="clear" w:color="auto" w:fill="auto"/>
            <w:vAlign w:val="center"/>
            <w:hideMark/>
          </w:tcPr>
          <w:p w14:paraId="058D22FC"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w:t>
            </w:r>
          </w:p>
        </w:tc>
        <w:tc>
          <w:tcPr>
            <w:tcW w:w="3245" w:type="dxa"/>
            <w:tcBorders>
              <w:top w:val="nil"/>
              <w:left w:val="nil"/>
              <w:bottom w:val="single" w:sz="8" w:space="0" w:color="auto"/>
              <w:right w:val="single" w:sz="8" w:space="0" w:color="auto"/>
            </w:tcBorders>
            <w:shd w:val="clear" w:color="auto" w:fill="auto"/>
            <w:vAlign w:val="center"/>
            <w:hideMark/>
          </w:tcPr>
          <w:p w14:paraId="1283CB68" w14:textId="77777777" w:rsidR="00C10BB0" w:rsidRPr="00791465" w:rsidRDefault="00C10BB0" w:rsidP="00C10BB0">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Activos generadores de efectivo</w:t>
            </w:r>
          </w:p>
        </w:tc>
        <w:tc>
          <w:tcPr>
            <w:tcW w:w="2126" w:type="dxa"/>
            <w:tcBorders>
              <w:top w:val="nil"/>
              <w:left w:val="nil"/>
              <w:bottom w:val="single" w:sz="8" w:space="0" w:color="auto"/>
              <w:right w:val="single" w:sz="8" w:space="0" w:color="auto"/>
            </w:tcBorders>
            <w:shd w:val="clear" w:color="auto" w:fill="auto"/>
            <w:vAlign w:val="center"/>
            <w:hideMark/>
          </w:tcPr>
          <w:p w14:paraId="6C35C175" w14:textId="77777777" w:rsidR="00791465" w:rsidRDefault="00C10BB0" w:rsidP="00C10BB0">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NICSP Nº 26, </w:t>
            </w:r>
          </w:p>
          <w:p w14:paraId="651F0E8D" w14:textId="4A38482D" w:rsidR="00C10BB0" w:rsidRPr="00791465" w:rsidRDefault="00C10BB0" w:rsidP="00C10BB0">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Párrafos 14 y 15.</w:t>
            </w:r>
          </w:p>
        </w:tc>
        <w:tc>
          <w:tcPr>
            <w:tcW w:w="1984" w:type="dxa"/>
            <w:tcBorders>
              <w:top w:val="nil"/>
              <w:left w:val="nil"/>
              <w:bottom w:val="single" w:sz="8" w:space="0" w:color="auto"/>
              <w:right w:val="single" w:sz="8" w:space="0" w:color="auto"/>
            </w:tcBorders>
            <w:shd w:val="clear" w:color="auto" w:fill="auto"/>
            <w:vAlign w:val="center"/>
            <w:hideMark/>
          </w:tcPr>
          <w:p w14:paraId="737E12C8" w14:textId="77777777" w:rsidR="00C10BB0" w:rsidRPr="00791465" w:rsidRDefault="00C10BB0" w:rsidP="00C10BB0">
            <w:pP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DGCN</w:t>
            </w:r>
          </w:p>
        </w:tc>
      </w:tr>
      <w:tr w:rsidR="00FA7CC9" w:rsidRPr="00F02F9D" w14:paraId="78B664FD" w14:textId="77777777" w:rsidTr="00FA7CC9">
        <w:trPr>
          <w:trHeight w:val="902"/>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09AC4600"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617" w:type="dxa"/>
            <w:tcBorders>
              <w:top w:val="nil"/>
              <w:left w:val="nil"/>
              <w:bottom w:val="single" w:sz="8" w:space="0" w:color="auto"/>
              <w:right w:val="single" w:sz="8" w:space="0" w:color="auto"/>
            </w:tcBorders>
            <w:shd w:val="clear" w:color="auto" w:fill="auto"/>
            <w:noWrap/>
            <w:vAlign w:val="center"/>
            <w:hideMark/>
          </w:tcPr>
          <w:p w14:paraId="31062573"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189</w:t>
            </w:r>
          </w:p>
        </w:tc>
        <w:tc>
          <w:tcPr>
            <w:tcW w:w="535" w:type="dxa"/>
            <w:tcBorders>
              <w:top w:val="nil"/>
              <w:left w:val="nil"/>
              <w:bottom w:val="single" w:sz="8" w:space="0" w:color="auto"/>
              <w:right w:val="single" w:sz="8" w:space="0" w:color="auto"/>
            </w:tcBorders>
            <w:shd w:val="clear" w:color="auto" w:fill="auto"/>
            <w:vAlign w:val="center"/>
            <w:hideMark/>
          </w:tcPr>
          <w:p w14:paraId="53D77023" w14:textId="77777777" w:rsidR="00C10BB0" w:rsidRPr="00791465" w:rsidRDefault="00C10BB0" w:rsidP="00C10BB0">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3</w:t>
            </w:r>
          </w:p>
        </w:tc>
        <w:tc>
          <w:tcPr>
            <w:tcW w:w="3245" w:type="dxa"/>
            <w:tcBorders>
              <w:top w:val="nil"/>
              <w:left w:val="nil"/>
              <w:bottom w:val="single" w:sz="8" w:space="0" w:color="auto"/>
              <w:right w:val="single" w:sz="8" w:space="0" w:color="auto"/>
            </w:tcBorders>
            <w:shd w:val="clear" w:color="auto" w:fill="auto"/>
            <w:vAlign w:val="center"/>
            <w:hideMark/>
          </w:tcPr>
          <w:p w14:paraId="0AF5D3DF" w14:textId="77777777" w:rsidR="00C10BB0" w:rsidRPr="00791465" w:rsidRDefault="00C10BB0" w:rsidP="00C10BB0">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Activos con doble destino</w:t>
            </w:r>
          </w:p>
        </w:tc>
        <w:tc>
          <w:tcPr>
            <w:tcW w:w="2126" w:type="dxa"/>
            <w:tcBorders>
              <w:top w:val="nil"/>
              <w:left w:val="nil"/>
              <w:bottom w:val="single" w:sz="8" w:space="0" w:color="auto"/>
              <w:right w:val="single" w:sz="8" w:space="0" w:color="auto"/>
            </w:tcBorders>
            <w:shd w:val="clear" w:color="auto" w:fill="auto"/>
            <w:vAlign w:val="center"/>
            <w:hideMark/>
          </w:tcPr>
          <w:p w14:paraId="2168EAC8" w14:textId="77777777" w:rsid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21, </w:t>
            </w:r>
          </w:p>
          <w:p w14:paraId="352B66EE" w14:textId="77777777" w:rsid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Párrafos 18 a 20 </w:t>
            </w:r>
          </w:p>
          <w:p w14:paraId="157E3D0D" w14:textId="26F8E30E" w:rsid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13CDCDBC" w14:textId="5103AFDB" w:rsidR="00C10BB0" w:rsidRPr="00791465" w:rsidRDefault="00C10BB0" w:rsidP="00C10BB0">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Párrafos 16 a 18.</w:t>
            </w:r>
          </w:p>
        </w:tc>
        <w:tc>
          <w:tcPr>
            <w:tcW w:w="1984" w:type="dxa"/>
            <w:tcBorders>
              <w:top w:val="nil"/>
              <w:left w:val="nil"/>
              <w:bottom w:val="single" w:sz="8" w:space="0" w:color="auto"/>
              <w:right w:val="single" w:sz="8" w:space="0" w:color="auto"/>
            </w:tcBorders>
            <w:shd w:val="clear" w:color="auto" w:fill="auto"/>
            <w:vAlign w:val="center"/>
            <w:hideMark/>
          </w:tcPr>
          <w:p w14:paraId="595A4FDB" w14:textId="77777777" w:rsidR="00C10BB0" w:rsidRPr="00791465" w:rsidRDefault="00C10BB0" w:rsidP="00C10BB0">
            <w:pP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DGCN</w:t>
            </w:r>
          </w:p>
        </w:tc>
      </w:tr>
    </w:tbl>
    <w:p w14:paraId="09F68714" w14:textId="77777777" w:rsidR="00403A41" w:rsidRDefault="00403A41" w:rsidP="00A351C9">
      <w:pPr>
        <w:spacing w:line="238" w:lineRule="auto"/>
        <w:ind w:left="1134" w:right="260" w:hanging="1134"/>
        <w:jc w:val="both"/>
        <w:rPr>
          <w:rFonts w:ascii="Arial" w:eastAsia="Arial" w:hAnsi="Arial"/>
          <w:bCs/>
          <w:sz w:val="22"/>
          <w:szCs w:val="22"/>
          <w:lang w:val="es-CR"/>
        </w:rPr>
      </w:pPr>
    </w:p>
    <w:p w14:paraId="2DD8B438" w14:textId="6D86A52D"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6158228D" w14:textId="77777777" w:rsidR="00A963E1" w:rsidRPr="00F02F9D" w:rsidRDefault="00A963E1" w:rsidP="00A351C9">
      <w:pPr>
        <w:spacing w:line="238" w:lineRule="auto"/>
        <w:ind w:left="1134" w:right="260" w:hanging="1134"/>
        <w:jc w:val="both"/>
        <w:rPr>
          <w:rFonts w:ascii="Arial" w:eastAsia="Arial" w:hAnsi="Arial"/>
          <w:bCs/>
          <w:sz w:val="22"/>
          <w:szCs w:val="22"/>
          <w:lang w:val="es-CR"/>
        </w:rPr>
      </w:pPr>
    </w:p>
    <w:p w14:paraId="7E094694" w14:textId="1E635519" w:rsidR="00C10BB0" w:rsidRPr="00F02F9D" w:rsidRDefault="00F879B2" w:rsidP="00F879B2">
      <w:pPr>
        <w:spacing w:line="236" w:lineRule="auto"/>
        <w:ind w:left="1276" w:right="288" w:hanging="1276"/>
        <w:jc w:val="both"/>
        <w:rPr>
          <w:rFonts w:ascii="Arial" w:eastAsia="Arial" w:hAnsi="Arial"/>
          <w:bCs/>
          <w:sz w:val="22"/>
          <w:szCs w:val="22"/>
          <w:lang w:val="es-CR"/>
        </w:rPr>
      </w:pPr>
      <w:r w:rsidRPr="00F02F9D">
        <w:rPr>
          <w:rFonts w:ascii="Arial" w:eastAsia="Arial" w:hAnsi="Arial"/>
          <w:bCs/>
          <w:sz w:val="22"/>
          <w:szCs w:val="22"/>
          <w:lang w:val="es-CR"/>
        </w:rPr>
        <w:lastRenderedPageBreak/>
        <w:t>1.189.0.01</w:t>
      </w:r>
      <w:r w:rsidRPr="00F02F9D">
        <w:rPr>
          <w:rFonts w:ascii="Arial" w:eastAsia="Arial" w:hAnsi="Arial"/>
          <w:bCs/>
          <w:sz w:val="22"/>
          <w:szCs w:val="22"/>
          <w:lang w:val="es-CR"/>
        </w:rPr>
        <w:tab/>
      </w:r>
      <w:r w:rsidR="00FA7CC9" w:rsidRPr="00F02F9D">
        <w:rPr>
          <w:rFonts w:ascii="Arial" w:eastAsia="Arial" w:hAnsi="Arial"/>
          <w:bCs/>
          <w:sz w:val="22"/>
          <w:szCs w:val="22"/>
          <w:lang w:val="es-CR"/>
        </w:rPr>
        <w:t>E</w:t>
      </w:r>
      <w:r w:rsidRPr="00F02F9D">
        <w:rPr>
          <w:rFonts w:ascii="Arial" w:eastAsia="Arial" w:hAnsi="Arial"/>
          <w:bCs/>
          <w:sz w:val="22"/>
          <w:szCs w:val="22"/>
          <w:lang w:val="es-CR"/>
        </w:rPr>
        <w:t>n l</w:t>
      </w:r>
      <w:r w:rsidR="00C10BB0" w:rsidRPr="00F02F9D">
        <w:rPr>
          <w:rFonts w:ascii="Arial" w:eastAsia="Arial" w:hAnsi="Arial"/>
          <w:bCs/>
          <w:sz w:val="22"/>
          <w:szCs w:val="22"/>
          <w:lang w:val="es-CR"/>
        </w:rPr>
        <w:t xml:space="preserve">a </w:t>
      </w:r>
      <w:r w:rsidR="000F29DC">
        <w:rPr>
          <w:rFonts w:ascii="Arial" w:eastAsia="Arial" w:hAnsi="Arial"/>
          <w:bCs/>
          <w:sz w:val="22"/>
          <w:szCs w:val="22"/>
          <w:lang w:val="es-CR"/>
        </w:rPr>
        <w:t>MBA</w:t>
      </w:r>
      <w:r w:rsidR="00C10BB0" w:rsidRPr="00F02F9D">
        <w:rPr>
          <w:rFonts w:ascii="Arial" w:eastAsia="Arial" w:hAnsi="Arial"/>
          <w:bCs/>
          <w:sz w:val="22"/>
          <w:szCs w:val="22"/>
          <w:lang w:val="es-CR"/>
        </w:rPr>
        <w:t xml:space="preserve"> </w:t>
      </w:r>
      <w:r w:rsidRPr="00F02F9D">
        <w:rPr>
          <w:rFonts w:ascii="Arial" w:eastAsia="Arial" w:hAnsi="Arial"/>
          <w:bCs/>
          <w:sz w:val="22"/>
          <w:szCs w:val="22"/>
          <w:lang w:val="es-CR"/>
        </w:rPr>
        <w:t>los</w:t>
      </w:r>
      <w:r w:rsidR="00C10BB0" w:rsidRPr="00F02F9D">
        <w:rPr>
          <w:rFonts w:ascii="Arial" w:eastAsia="Arial" w:hAnsi="Arial"/>
          <w:bCs/>
          <w:sz w:val="22"/>
          <w:szCs w:val="22"/>
          <w:lang w:val="es-CR"/>
        </w:rPr>
        <w:t xml:space="preserve"> activos sujetos a evaluación y reconocimiento de deterioro, pueden ser:</w:t>
      </w:r>
    </w:p>
    <w:p w14:paraId="44E5A137" w14:textId="77777777" w:rsidR="00C10BB0" w:rsidRPr="00F02F9D" w:rsidRDefault="00C10BB0" w:rsidP="00C10BB0">
      <w:pPr>
        <w:spacing w:line="278" w:lineRule="exact"/>
        <w:rPr>
          <w:rFonts w:ascii="Arial" w:eastAsia="Times New Roman" w:hAnsi="Arial"/>
          <w:bCs/>
          <w:sz w:val="22"/>
          <w:szCs w:val="22"/>
          <w:lang w:val="es-CR"/>
        </w:rPr>
      </w:pPr>
    </w:p>
    <w:p w14:paraId="5DA8285C" w14:textId="77777777" w:rsidR="00C10BB0" w:rsidRPr="00F02F9D" w:rsidRDefault="00C10BB0" w:rsidP="00A77FD8">
      <w:pPr>
        <w:pStyle w:val="Prrafodelista"/>
        <w:numPr>
          <w:ilvl w:val="0"/>
          <w:numId w:val="47"/>
        </w:numPr>
        <w:spacing w:after="120"/>
        <w:ind w:left="1560" w:right="289" w:hanging="284"/>
        <w:contextualSpacing w:val="0"/>
        <w:rPr>
          <w:rFonts w:ascii="Arial" w:eastAsia="Arial" w:hAnsi="Arial"/>
          <w:bCs/>
          <w:sz w:val="22"/>
          <w:szCs w:val="22"/>
          <w:lang w:val="es-CR"/>
        </w:rPr>
      </w:pPr>
      <w:r w:rsidRPr="00F02F9D">
        <w:rPr>
          <w:rFonts w:ascii="Arial" w:eastAsia="Arial" w:hAnsi="Arial"/>
          <w:bCs/>
          <w:sz w:val="22"/>
          <w:szCs w:val="22"/>
          <w:lang w:val="es-CR"/>
        </w:rPr>
        <w:t xml:space="preserve">Activos no generadores de efectivo. </w:t>
      </w:r>
    </w:p>
    <w:p w14:paraId="386681CA" w14:textId="3D576AC7" w:rsidR="00C10BB0" w:rsidRPr="00F02F9D" w:rsidRDefault="00C10BB0">
      <w:pPr>
        <w:pStyle w:val="Prrafodelista"/>
        <w:numPr>
          <w:ilvl w:val="0"/>
          <w:numId w:val="47"/>
        </w:numPr>
        <w:spacing w:line="290" w:lineRule="auto"/>
        <w:ind w:left="1560" w:right="288" w:hanging="284"/>
        <w:rPr>
          <w:rFonts w:ascii="Arial" w:eastAsia="Arial" w:hAnsi="Arial"/>
          <w:bCs/>
          <w:sz w:val="22"/>
          <w:szCs w:val="22"/>
          <w:lang w:val="es-CR"/>
        </w:rPr>
      </w:pPr>
      <w:r w:rsidRPr="00F02F9D">
        <w:rPr>
          <w:rFonts w:ascii="Arial" w:eastAsia="Arial" w:hAnsi="Arial"/>
          <w:bCs/>
          <w:sz w:val="22"/>
          <w:szCs w:val="22"/>
          <w:lang w:val="es-CR"/>
        </w:rPr>
        <w:t>Activos generadores de efectivo.</w:t>
      </w:r>
    </w:p>
    <w:p w14:paraId="4F8DEECF" w14:textId="77777777" w:rsidR="00C10BB0" w:rsidRPr="00F02F9D" w:rsidRDefault="00C10BB0" w:rsidP="00C10BB0">
      <w:pPr>
        <w:spacing w:line="255" w:lineRule="exact"/>
        <w:rPr>
          <w:rFonts w:ascii="Arial" w:eastAsia="Times New Roman" w:hAnsi="Arial"/>
          <w:sz w:val="22"/>
          <w:szCs w:val="22"/>
          <w:lang w:val="es-CR"/>
        </w:rPr>
      </w:pPr>
    </w:p>
    <w:p w14:paraId="130F5F88" w14:textId="1DD6BE92" w:rsidR="00C10BB0" w:rsidRPr="00F02F9D" w:rsidRDefault="00F879B2" w:rsidP="00F879B2">
      <w:pPr>
        <w:spacing w:line="236" w:lineRule="auto"/>
        <w:ind w:left="1276" w:right="288" w:hanging="1276"/>
        <w:jc w:val="both"/>
        <w:rPr>
          <w:rFonts w:ascii="Arial" w:eastAsia="Arial" w:hAnsi="Arial"/>
          <w:bCs/>
          <w:sz w:val="22"/>
          <w:szCs w:val="22"/>
          <w:lang w:val="es-CR"/>
        </w:rPr>
      </w:pPr>
      <w:r w:rsidRPr="00F02F9D">
        <w:rPr>
          <w:rFonts w:ascii="Arial" w:eastAsia="Arial" w:hAnsi="Arial"/>
          <w:bCs/>
          <w:sz w:val="22"/>
          <w:szCs w:val="22"/>
          <w:lang w:val="es-CR"/>
        </w:rPr>
        <w:t>1.189.0.02</w:t>
      </w:r>
      <w:r w:rsidRPr="00F02F9D">
        <w:rPr>
          <w:rFonts w:ascii="Arial" w:eastAsia="Arial" w:hAnsi="Arial"/>
          <w:bCs/>
          <w:sz w:val="22"/>
          <w:szCs w:val="22"/>
          <w:lang w:val="es-CR"/>
        </w:rPr>
        <w:tab/>
      </w:r>
      <w:r w:rsidR="005E5900" w:rsidRPr="00F02F9D">
        <w:rPr>
          <w:rFonts w:ascii="Arial" w:hAnsi="Arial"/>
          <w:bCs/>
          <w:sz w:val="22"/>
          <w:szCs w:val="22"/>
          <w:lang w:val="es-CR"/>
        </w:rPr>
        <w:t xml:space="preserve">La Municipalidad de </w:t>
      </w:r>
      <w:r w:rsidR="008C25B1">
        <w:rPr>
          <w:rFonts w:ascii="Arial" w:hAnsi="Arial"/>
          <w:bCs/>
          <w:sz w:val="22"/>
          <w:szCs w:val="22"/>
          <w:lang w:val="es-CR"/>
        </w:rPr>
        <w:t>Buenos Aires</w:t>
      </w:r>
      <w:r w:rsidR="005E5900" w:rsidRPr="00F02F9D">
        <w:rPr>
          <w:rFonts w:ascii="Arial" w:hAnsi="Arial"/>
          <w:bCs/>
          <w:sz w:val="22"/>
          <w:szCs w:val="22"/>
          <w:lang w:val="es-CR"/>
        </w:rPr>
        <w:t xml:space="preserve"> es un gobierno local efectivo y transparente en la administración de las necesidades, intereses y los servicios a la ciudadanía, siendo garante del desarrollo humano inclusivo y sustentable para el cantón</w:t>
      </w:r>
      <w:r w:rsidR="00C10BB0" w:rsidRPr="00F02F9D">
        <w:rPr>
          <w:rFonts w:ascii="Arial" w:eastAsia="Arial" w:hAnsi="Arial"/>
          <w:bCs/>
          <w:sz w:val="22"/>
          <w:szCs w:val="22"/>
          <w:lang w:val="es-CR"/>
        </w:rPr>
        <w:t xml:space="preserve">, la cual posee </w:t>
      </w:r>
      <w:r w:rsidR="00AA22E2" w:rsidRPr="00F02F9D">
        <w:rPr>
          <w:rFonts w:ascii="Arial" w:eastAsia="Arial" w:hAnsi="Arial"/>
          <w:bCs/>
          <w:sz w:val="22"/>
          <w:szCs w:val="22"/>
          <w:lang w:val="es-CR"/>
        </w:rPr>
        <w:t>a</w:t>
      </w:r>
      <w:r w:rsidR="00AA22E2">
        <w:rPr>
          <w:rFonts w:ascii="Arial" w:eastAsia="Arial" w:hAnsi="Arial"/>
          <w:bCs/>
          <w:sz w:val="22"/>
          <w:szCs w:val="22"/>
          <w:lang w:val="es-CR"/>
        </w:rPr>
        <w:t>mbo</w:t>
      </w:r>
      <w:r w:rsidR="00AA22E2" w:rsidRPr="00F02F9D">
        <w:rPr>
          <w:rFonts w:ascii="Arial" w:eastAsia="Arial" w:hAnsi="Arial"/>
          <w:bCs/>
          <w:sz w:val="22"/>
          <w:szCs w:val="22"/>
          <w:lang w:val="es-CR"/>
        </w:rPr>
        <w:t>s</w:t>
      </w:r>
      <w:r w:rsidR="00C10BB0" w:rsidRPr="00F02F9D">
        <w:rPr>
          <w:rFonts w:ascii="Arial" w:eastAsia="Arial" w:hAnsi="Arial"/>
          <w:bCs/>
          <w:sz w:val="22"/>
          <w:szCs w:val="22"/>
          <w:lang w:val="es-CR"/>
        </w:rPr>
        <w:t xml:space="preserve"> tipos de activos y aplicará, para los primeros, la NICSP Nº 21 “Deterioro del valor de los activos no generadores de efectivo”, y para los segundos, la NICSP Nº 26 “</w:t>
      </w:r>
      <w:bookmarkStart w:id="58" w:name="_GoBack"/>
      <w:bookmarkEnd w:id="58"/>
      <w:r w:rsidR="00C10BB0" w:rsidRPr="00F02F9D">
        <w:rPr>
          <w:rFonts w:ascii="Arial" w:eastAsia="Arial" w:hAnsi="Arial"/>
          <w:bCs/>
          <w:sz w:val="22"/>
          <w:szCs w:val="22"/>
          <w:lang w:val="es-CR"/>
        </w:rPr>
        <w:t>Deterioro del valor de los activos generadores de efectivo”.</w:t>
      </w:r>
    </w:p>
    <w:p w14:paraId="11458986" w14:textId="77777777" w:rsidR="00C10BB0" w:rsidRPr="00F02F9D" w:rsidRDefault="00C10BB0" w:rsidP="00C10BB0">
      <w:pPr>
        <w:spacing w:line="276" w:lineRule="exact"/>
        <w:rPr>
          <w:rFonts w:ascii="Arial" w:eastAsia="Times New Roman" w:hAnsi="Arial"/>
          <w:sz w:val="22"/>
          <w:szCs w:val="22"/>
          <w:lang w:val="es-CR"/>
        </w:rPr>
      </w:pPr>
    </w:p>
    <w:p w14:paraId="33B99E2A" w14:textId="77777777" w:rsidR="00C10BB0" w:rsidRPr="00791465" w:rsidRDefault="00C10BB0" w:rsidP="00791465">
      <w:pPr>
        <w:pStyle w:val="Ttulo2"/>
        <w:ind w:left="284"/>
        <w:rPr>
          <w:rFonts w:ascii="Arial" w:eastAsia="Arial" w:hAnsi="Arial" w:cs="Arial"/>
          <w:b/>
          <w:bCs/>
          <w:sz w:val="20"/>
          <w:szCs w:val="20"/>
          <w:lang w:val="es-CR"/>
        </w:rPr>
      </w:pPr>
      <w:bookmarkStart w:id="59" w:name="_Toc172726216"/>
      <w:r w:rsidRPr="00791465">
        <w:rPr>
          <w:rFonts w:ascii="Arial" w:eastAsia="Arial" w:hAnsi="Arial" w:cs="Arial"/>
          <w:b/>
          <w:bCs/>
          <w:sz w:val="20"/>
          <w:szCs w:val="20"/>
          <w:lang w:val="es-CR"/>
        </w:rPr>
        <w:t>Activos no generadores de efectivo</w:t>
      </w:r>
      <w:bookmarkEnd w:id="59"/>
    </w:p>
    <w:p w14:paraId="32F39DFA" w14:textId="77777777" w:rsidR="00F879B2" w:rsidRPr="00F02F9D" w:rsidRDefault="00F879B2" w:rsidP="00F879B2">
      <w:pPr>
        <w:spacing w:line="0" w:lineRule="atLeast"/>
        <w:ind w:left="426"/>
        <w:rPr>
          <w:rFonts w:ascii="Arial" w:eastAsia="Arial" w:hAnsi="Arial"/>
          <w:bCs/>
          <w:sz w:val="22"/>
          <w:szCs w:val="22"/>
          <w:lang w:val="es-CR"/>
        </w:rPr>
      </w:pPr>
    </w:p>
    <w:p w14:paraId="73B75B68" w14:textId="690079A7" w:rsidR="00C10BB0" w:rsidRPr="00F02F9D" w:rsidRDefault="00FA7CC9" w:rsidP="00A963E1">
      <w:pPr>
        <w:spacing w:line="236" w:lineRule="auto"/>
        <w:ind w:left="1276" w:right="288" w:hanging="1276"/>
        <w:jc w:val="both"/>
        <w:rPr>
          <w:rFonts w:ascii="Arial" w:eastAsia="Arial" w:hAnsi="Arial"/>
          <w:bCs/>
          <w:sz w:val="22"/>
          <w:szCs w:val="22"/>
          <w:lang w:val="es-CR"/>
        </w:rPr>
      </w:pPr>
      <w:r w:rsidRPr="00F02F9D">
        <w:rPr>
          <w:rFonts w:ascii="Arial" w:eastAsia="Arial" w:hAnsi="Arial"/>
          <w:bCs/>
          <w:sz w:val="22"/>
          <w:szCs w:val="22"/>
          <w:lang w:val="es-CR"/>
        </w:rPr>
        <w:t>1.189.1.01</w:t>
      </w:r>
      <w:r w:rsidRPr="00F02F9D">
        <w:rPr>
          <w:rFonts w:ascii="Arial" w:eastAsia="Arial" w:hAnsi="Arial"/>
          <w:bCs/>
          <w:sz w:val="22"/>
          <w:szCs w:val="22"/>
          <w:lang w:val="es-CR"/>
        </w:rPr>
        <w:tab/>
      </w:r>
      <w:r w:rsidR="00C10BB0"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00C10BB0" w:rsidRPr="00F02F9D">
        <w:rPr>
          <w:rFonts w:ascii="Arial" w:eastAsia="Arial" w:hAnsi="Arial"/>
          <w:bCs/>
          <w:sz w:val="22"/>
          <w:szCs w:val="22"/>
          <w:lang w:val="es-CR"/>
        </w:rPr>
        <w:t xml:space="preserve"> los activos no generadores de efectivo son activos que no están afectados a la obtención de un ingreso efectivo, sino que se los utiliza exclusiva o principalmente para la prestación de servicios sin ánimo de lucro. Un activo puede generar flujos de </w:t>
      </w:r>
      <w:r w:rsidRPr="00F02F9D">
        <w:rPr>
          <w:rFonts w:ascii="Arial" w:eastAsia="Arial" w:hAnsi="Arial"/>
          <w:bCs/>
          <w:sz w:val="22"/>
          <w:szCs w:val="22"/>
          <w:lang w:val="es-CR"/>
        </w:rPr>
        <w:t>efectivo,</w:t>
      </w:r>
      <w:r w:rsidR="00C10BB0" w:rsidRPr="00F02F9D">
        <w:rPr>
          <w:rFonts w:ascii="Arial" w:eastAsia="Arial" w:hAnsi="Arial"/>
          <w:bCs/>
          <w:sz w:val="22"/>
          <w:szCs w:val="22"/>
          <w:lang w:val="es-CR"/>
        </w:rPr>
        <w:t xml:space="preserve"> aunque se mantenga con el objetivo fundamental de prestación de servicios no remunerados, por lo que no perderá tal carácter.</w:t>
      </w:r>
    </w:p>
    <w:p w14:paraId="35E33C2C" w14:textId="77777777" w:rsidR="00FA7CC9" w:rsidRPr="00F02F9D" w:rsidRDefault="00FA7CC9" w:rsidP="00F879B2">
      <w:pPr>
        <w:spacing w:line="280" w:lineRule="exact"/>
        <w:rPr>
          <w:rFonts w:ascii="Arial" w:eastAsia="Arial" w:hAnsi="Arial"/>
          <w:b/>
          <w:sz w:val="22"/>
          <w:szCs w:val="22"/>
          <w:lang w:val="es-CR"/>
        </w:rPr>
      </w:pPr>
    </w:p>
    <w:p w14:paraId="5C3A9D1D" w14:textId="77777777" w:rsidR="00C10BB0" w:rsidRPr="00791465" w:rsidRDefault="00C10BB0" w:rsidP="00791465">
      <w:pPr>
        <w:pStyle w:val="Ttulo2"/>
        <w:ind w:left="284"/>
        <w:rPr>
          <w:rFonts w:ascii="Arial" w:eastAsia="Arial" w:hAnsi="Arial" w:cs="Arial"/>
          <w:b/>
          <w:bCs/>
          <w:sz w:val="20"/>
          <w:szCs w:val="20"/>
          <w:lang w:val="es-CR"/>
        </w:rPr>
      </w:pPr>
      <w:bookmarkStart w:id="60" w:name="_Toc172726217"/>
      <w:r w:rsidRPr="00791465">
        <w:rPr>
          <w:rFonts w:ascii="Arial" w:eastAsia="Arial" w:hAnsi="Arial" w:cs="Arial"/>
          <w:b/>
          <w:bCs/>
          <w:sz w:val="20"/>
          <w:szCs w:val="20"/>
          <w:lang w:val="es-CR"/>
        </w:rPr>
        <w:t>Activos generadores de efectivo</w:t>
      </w:r>
      <w:bookmarkEnd w:id="60"/>
    </w:p>
    <w:p w14:paraId="4FAA56F2" w14:textId="77777777" w:rsidR="00C10BB0" w:rsidRPr="00F02F9D" w:rsidRDefault="00C10BB0" w:rsidP="00F879B2">
      <w:pPr>
        <w:rPr>
          <w:rFonts w:ascii="Arial" w:eastAsia="Arial" w:hAnsi="Arial"/>
          <w:b/>
          <w:sz w:val="22"/>
          <w:szCs w:val="22"/>
          <w:lang w:val="es-CR"/>
        </w:rPr>
      </w:pPr>
    </w:p>
    <w:p w14:paraId="54D673F4" w14:textId="43F15B59" w:rsidR="00C10BB0" w:rsidRPr="00F02F9D" w:rsidRDefault="00FA7CC9" w:rsidP="00FA7CC9">
      <w:pPr>
        <w:spacing w:line="236" w:lineRule="auto"/>
        <w:ind w:left="1276" w:right="288" w:hanging="1276"/>
        <w:jc w:val="both"/>
        <w:rPr>
          <w:rFonts w:ascii="Arial" w:eastAsia="Arial" w:hAnsi="Arial"/>
          <w:bCs/>
          <w:sz w:val="22"/>
          <w:szCs w:val="22"/>
          <w:lang w:val="es-CR"/>
        </w:rPr>
      </w:pPr>
      <w:r w:rsidRPr="00F02F9D">
        <w:rPr>
          <w:rFonts w:ascii="Arial" w:eastAsia="Arial" w:hAnsi="Arial"/>
          <w:bCs/>
          <w:sz w:val="22"/>
          <w:szCs w:val="22"/>
          <w:lang w:val="es-CR"/>
        </w:rPr>
        <w:t>1.189.2.01</w:t>
      </w:r>
      <w:r w:rsidRPr="00F02F9D">
        <w:rPr>
          <w:rFonts w:ascii="Arial" w:eastAsia="Arial" w:hAnsi="Arial"/>
          <w:bCs/>
          <w:sz w:val="22"/>
          <w:szCs w:val="22"/>
          <w:lang w:val="es-CR"/>
        </w:rPr>
        <w:tab/>
      </w:r>
      <w:r w:rsidR="00C10BB0"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00C10BB0" w:rsidRPr="00F02F9D">
        <w:rPr>
          <w:rFonts w:ascii="Arial" w:eastAsia="Arial" w:hAnsi="Arial"/>
          <w:bCs/>
          <w:sz w:val="22"/>
          <w:szCs w:val="22"/>
          <w:lang w:val="es-CR"/>
        </w:rPr>
        <w:t xml:space="preserve"> los activos generadores de efectivo son aquéllos que, en forma directa o a través de la unidad de la que es parte, son utilizados con el objetivo</w:t>
      </w:r>
      <w:bookmarkStart w:id="61" w:name="page54"/>
      <w:bookmarkEnd w:id="61"/>
      <w:r w:rsidR="00C10BB0" w:rsidRPr="00F02F9D">
        <w:rPr>
          <w:rFonts w:ascii="Arial" w:eastAsia="Arial" w:hAnsi="Arial"/>
          <w:bCs/>
          <w:sz w:val="22"/>
          <w:szCs w:val="22"/>
          <w:lang w:val="es-CR"/>
        </w:rPr>
        <w:t xml:space="preserve"> fundamental de generar un ingreso efectivo a través de la provisión de bienes y/o servicios a partes externas. Un activo genera un ingreso efectivo cuando es destinado a la obtención de beneficios. En ciertos casos, un activo puede utilizarse para la prestación de servicios no remunerados, aún siendo su destino principal la generación de un ingreso efectivo, por lo que no perderá tal carácter. La posesión de un activo para generar un “ingreso efectivo” indica que una entidad pretende:</w:t>
      </w:r>
    </w:p>
    <w:p w14:paraId="422B4303" w14:textId="77777777" w:rsidR="00C10BB0" w:rsidRPr="00F02F9D" w:rsidRDefault="00C10BB0" w:rsidP="00C10BB0">
      <w:pPr>
        <w:spacing w:line="280" w:lineRule="exact"/>
        <w:rPr>
          <w:rFonts w:ascii="Arial" w:eastAsia="Times New Roman" w:hAnsi="Arial"/>
          <w:bCs/>
          <w:sz w:val="22"/>
          <w:szCs w:val="22"/>
          <w:lang w:val="es-CR"/>
        </w:rPr>
      </w:pPr>
    </w:p>
    <w:p w14:paraId="10B6AF19" w14:textId="77777777" w:rsidR="00C10BB0" w:rsidRPr="00F02F9D" w:rsidRDefault="00C10BB0">
      <w:pPr>
        <w:pStyle w:val="Prrafodelista"/>
        <w:numPr>
          <w:ilvl w:val="0"/>
          <w:numId w:val="48"/>
        </w:numPr>
        <w:spacing w:line="261" w:lineRule="auto"/>
        <w:ind w:left="1560" w:right="260" w:hanging="284"/>
        <w:rPr>
          <w:rFonts w:ascii="Arial" w:eastAsia="Arial" w:hAnsi="Arial"/>
          <w:bCs/>
          <w:sz w:val="22"/>
          <w:szCs w:val="22"/>
          <w:lang w:val="es-CR"/>
        </w:rPr>
      </w:pPr>
      <w:r w:rsidRPr="00F02F9D">
        <w:rPr>
          <w:rFonts w:ascii="Arial" w:eastAsia="Arial" w:hAnsi="Arial"/>
          <w:bCs/>
          <w:sz w:val="22"/>
          <w:szCs w:val="22"/>
          <w:lang w:val="es-CR"/>
        </w:rPr>
        <w:t>Generar entradas de efectivo positivas a través de ese activo (o a través de la unidad generadora de efectivo a la que el activo pertenece), y</w:t>
      </w:r>
    </w:p>
    <w:p w14:paraId="4B67FFDD" w14:textId="77777777" w:rsidR="00C10BB0" w:rsidRPr="00F02F9D" w:rsidRDefault="00C10BB0" w:rsidP="00805EBE">
      <w:pPr>
        <w:spacing w:line="1" w:lineRule="exact"/>
        <w:ind w:left="1560" w:hanging="284"/>
        <w:rPr>
          <w:rFonts w:ascii="Arial" w:eastAsia="Arial" w:hAnsi="Arial"/>
          <w:bCs/>
          <w:sz w:val="22"/>
          <w:szCs w:val="22"/>
          <w:lang w:val="es-CR"/>
        </w:rPr>
      </w:pPr>
    </w:p>
    <w:p w14:paraId="6FCF9A72" w14:textId="77777777" w:rsidR="00C10BB0" w:rsidRPr="00F02F9D" w:rsidRDefault="00C10BB0">
      <w:pPr>
        <w:pStyle w:val="Prrafodelista"/>
        <w:numPr>
          <w:ilvl w:val="0"/>
          <w:numId w:val="48"/>
        </w:numPr>
        <w:tabs>
          <w:tab w:val="left" w:pos="1219"/>
        </w:tabs>
        <w:spacing w:line="236" w:lineRule="auto"/>
        <w:ind w:left="1560" w:right="260" w:hanging="284"/>
        <w:rPr>
          <w:rFonts w:ascii="Arial" w:eastAsia="Arial" w:hAnsi="Arial"/>
          <w:bCs/>
          <w:sz w:val="22"/>
          <w:szCs w:val="22"/>
          <w:lang w:val="es-CR"/>
        </w:rPr>
      </w:pPr>
      <w:r w:rsidRPr="00F02F9D">
        <w:rPr>
          <w:rFonts w:ascii="Arial" w:eastAsia="Arial" w:hAnsi="Arial"/>
          <w:bCs/>
          <w:sz w:val="22"/>
          <w:szCs w:val="22"/>
          <w:lang w:val="es-CR"/>
        </w:rPr>
        <w:t>Obtener un rendimiento que refleje el riesgo que implica la posesión del mismo.</w:t>
      </w:r>
    </w:p>
    <w:p w14:paraId="6FFD4FA1" w14:textId="77777777" w:rsidR="00C947F4" w:rsidRPr="00F02F9D" w:rsidRDefault="00C947F4" w:rsidP="00C10BB0">
      <w:pPr>
        <w:spacing w:line="276" w:lineRule="exact"/>
        <w:rPr>
          <w:rFonts w:ascii="Arial" w:eastAsia="Arial" w:hAnsi="Arial"/>
          <w:b/>
          <w:sz w:val="22"/>
          <w:szCs w:val="22"/>
          <w:lang w:val="es-CR"/>
        </w:rPr>
      </w:pPr>
    </w:p>
    <w:p w14:paraId="61C2400E" w14:textId="77777777" w:rsidR="00C10BB0" w:rsidRPr="005968BE" w:rsidRDefault="00C10BB0" w:rsidP="005968BE">
      <w:pPr>
        <w:pStyle w:val="Ttulo4"/>
        <w:rPr>
          <w:rFonts w:ascii="Arial" w:eastAsia="Arial" w:hAnsi="Arial" w:cs="Arial"/>
          <w:b/>
          <w:bCs/>
          <w:sz w:val="22"/>
          <w:szCs w:val="22"/>
          <w:lang w:val="es-CR"/>
        </w:rPr>
      </w:pPr>
      <w:r w:rsidRPr="005968BE">
        <w:rPr>
          <w:rFonts w:ascii="Arial" w:eastAsia="Arial" w:hAnsi="Arial" w:cs="Arial"/>
          <w:b/>
          <w:bCs/>
          <w:sz w:val="22"/>
          <w:szCs w:val="22"/>
          <w:lang w:val="es-CR"/>
        </w:rPr>
        <w:t>Activos con doble destino</w:t>
      </w:r>
    </w:p>
    <w:p w14:paraId="3A411F5B" w14:textId="77777777" w:rsidR="00F879B2" w:rsidRPr="00952BFE" w:rsidRDefault="00F879B2" w:rsidP="00F879B2">
      <w:pPr>
        <w:spacing w:line="0" w:lineRule="atLeast"/>
        <w:ind w:left="426"/>
        <w:rPr>
          <w:rFonts w:ascii="Arial" w:eastAsia="Arial" w:hAnsi="Arial"/>
          <w:bCs/>
          <w:sz w:val="22"/>
          <w:szCs w:val="22"/>
          <w:lang w:val="es-CR"/>
        </w:rPr>
      </w:pPr>
    </w:p>
    <w:p w14:paraId="74205145" w14:textId="77777777" w:rsidR="00C10BB0" w:rsidRPr="00952BFE" w:rsidRDefault="00C10BB0" w:rsidP="00C10BB0">
      <w:pPr>
        <w:spacing w:line="9" w:lineRule="exact"/>
        <w:rPr>
          <w:rFonts w:ascii="Arial" w:eastAsia="Arial" w:hAnsi="Arial"/>
          <w:bCs/>
          <w:sz w:val="22"/>
          <w:szCs w:val="22"/>
          <w:lang w:val="es-CR"/>
        </w:rPr>
      </w:pPr>
    </w:p>
    <w:p w14:paraId="16DAAB65" w14:textId="3C2424E8" w:rsidR="00C10BB0" w:rsidRPr="00F02F9D" w:rsidRDefault="00805EBE" w:rsidP="00805EBE">
      <w:pPr>
        <w:spacing w:line="236" w:lineRule="auto"/>
        <w:ind w:left="1276" w:right="288" w:hanging="1276"/>
        <w:jc w:val="both"/>
        <w:rPr>
          <w:rFonts w:ascii="Arial" w:eastAsia="Arial" w:hAnsi="Arial"/>
          <w:bCs/>
          <w:sz w:val="22"/>
          <w:szCs w:val="22"/>
          <w:lang w:val="es-CR"/>
        </w:rPr>
      </w:pPr>
      <w:r w:rsidRPr="00F02F9D">
        <w:rPr>
          <w:rFonts w:ascii="Arial" w:eastAsia="Arial" w:hAnsi="Arial"/>
          <w:bCs/>
          <w:sz w:val="22"/>
          <w:szCs w:val="22"/>
          <w:lang w:val="es-CR"/>
        </w:rPr>
        <w:t>1.189.3.01</w:t>
      </w:r>
      <w:r w:rsidRPr="00F02F9D">
        <w:rPr>
          <w:rFonts w:ascii="Arial" w:eastAsia="Arial" w:hAnsi="Arial"/>
          <w:bCs/>
          <w:sz w:val="22"/>
          <w:szCs w:val="22"/>
          <w:lang w:val="es-CR"/>
        </w:rPr>
        <w:tab/>
      </w:r>
      <w:r w:rsidR="00C10BB0" w:rsidRPr="00F02F9D">
        <w:rPr>
          <w:rFonts w:ascii="Arial" w:eastAsia="Arial" w:hAnsi="Arial"/>
          <w:bCs/>
          <w:sz w:val="22"/>
          <w:szCs w:val="22"/>
          <w:lang w:val="es-CR"/>
        </w:rPr>
        <w:t xml:space="preserve">Cuando en la </w:t>
      </w:r>
      <w:r w:rsidR="000F29DC">
        <w:rPr>
          <w:rFonts w:ascii="Arial" w:eastAsia="Arial" w:hAnsi="Arial"/>
          <w:bCs/>
          <w:sz w:val="22"/>
          <w:szCs w:val="22"/>
          <w:lang w:val="es-CR"/>
        </w:rPr>
        <w:t>MBA</w:t>
      </w:r>
      <w:r w:rsidR="00C10BB0" w:rsidRPr="00F02F9D">
        <w:rPr>
          <w:rFonts w:ascii="Arial" w:eastAsia="Arial" w:hAnsi="Arial"/>
          <w:bCs/>
          <w:sz w:val="22"/>
          <w:szCs w:val="22"/>
          <w:lang w:val="es-CR"/>
        </w:rPr>
        <w:t xml:space="preserve"> un activo se utiliza para </w:t>
      </w:r>
      <w:r w:rsidR="00AA22E2" w:rsidRPr="00F02F9D">
        <w:rPr>
          <w:rFonts w:ascii="Arial" w:eastAsia="Arial" w:hAnsi="Arial"/>
          <w:bCs/>
          <w:sz w:val="22"/>
          <w:szCs w:val="22"/>
          <w:lang w:val="es-CR"/>
        </w:rPr>
        <w:t>a</w:t>
      </w:r>
      <w:r w:rsidR="00AA22E2">
        <w:rPr>
          <w:rFonts w:ascii="Arial" w:eastAsia="Arial" w:hAnsi="Arial"/>
          <w:bCs/>
          <w:sz w:val="22"/>
          <w:szCs w:val="22"/>
          <w:lang w:val="es-CR"/>
        </w:rPr>
        <w:t>mbo</w:t>
      </w:r>
      <w:r w:rsidR="00AA22E2" w:rsidRPr="00F02F9D">
        <w:rPr>
          <w:rFonts w:ascii="Arial" w:eastAsia="Arial" w:hAnsi="Arial"/>
          <w:bCs/>
          <w:sz w:val="22"/>
          <w:szCs w:val="22"/>
          <w:lang w:val="es-CR"/>
        </w:rPr>
        <w:t>s</w:t>
      </w:r>
      <w:r w:rsidR="00C10BB0" w:rsidRPr="00F02F9D">
        <w:rPr>
          <w:rFonts w:ascii="Arial" w:eastAsia="Arial" w:hAnsi="Arial"/>
          <w:bCs/>
          <w:sz w:val="22"/>
          <w:szCs w:val="22"/>
          <w:lang w:val="es-CR"/>
        </w:rPr>
        <w:t xml:space="preserve"> propósitos, los activos se clasificarán como generadores o como no generadores de efectivo, considerando su utilización principal. A efectos de determinar su utilización principal y, por consiguiente, su clasificación como generador o no generador de efectivo, se aplicarán las siguientes consideraciones:</w:t>
      </w:r>
    </w:p>
    <w:p w14:paraId="5DEE07BF" w14:textId="77777777" w:rsidR="00C10BB0" w:rsidRPr="00F02F9D" w:rsidRDefault="00C10BB0" w:rsidP="00C10BB0">
      <w:pPr>
        <w:spacing w:line="278" w:lineRule="exact"/>
        <w:rPr>
          <w:rFonts w:ascii="Arial" w:eastAsia="Arial" w:hAnsi="Arial"/>
          <w:bCs/>
          <w:sz w:val="22"/>
          <w:szCs w:val="22"/>
          <w:lang w:val="es-CR"/>
        </w:rPr>
      </w:pPr>
    </w:p>
    <w:p w14:paraId="59F65F85" w14:textId="6547F3F7" w:rsidR="00C10BB0" w:rsidRPr="00A77FD8" w:rsidRDefault="00C10BB0" w:rsidP="00A77FD8">
      <w:pPr>
        <w:pStyle w:val="Prrafodelista"/>
        <w:numPr>
          <w:ilvl w:val="0"/>
          <w:numId w:val="49"/>
        </w:numPr>
        <w:tabs>
          <w:tab w:val="left" w:pos="1279"/>
        </w:tabs>
        <w:spacing w:after="120"/>
        <w:ind w:left="1560" w:right="260" w:hanging="284"/>
        <w:contextualSpacing w:val="0"/>
        <w:rPr>
          <w:rFonts w:ascii="Arial" w:eastAsia="Arial" w:hAnsi="Arial"/>
          <w:bCs/>
          <w:sz w:val="22"/>
          <w:szCs w:val="22"/>
          <w:lang w:val="es-CR"/>
        </w:rPr>
      </w:pPr>
      <w:r w:rsidRPr="00F02F9D">
        <w:rPr>
          <w:rFonts w:ascii="Arial" w:eastAsia="Arial" w:hAnsi="Arial"/>
          <w:bCs/>
          <w:sz w:val="22"/>
          <w:szCs w:val="22"/>
          <w:lang w:val="es-CR"/>
        </w:rPr>
        <w:t>Si un activo está afectado la mayor parte del tiempo a la generación de un ingreso efectivo será clasificado como generador de efectivo.</w:t>
      </w:r>
    </w:p>
    <w:p w14:paraId="3BEE6751" w14:textId="3FB07E92" w:rsidR="00C10BB0" w:rsidRPr="00A77FD8" w:rsidRDefault="00C10BB0" w:rsidP="00A77FD8">
      <w:pPr>
        <w:pStyle w:val="Prrafodelista"/>
        <w:numPr>
          <w:ilvl w:val="0"/>
          <w:numId w:val="49"/>
        </w:numPr>
        <w:tabs>
          <w:tab w:val="left" w:pos="1279"/>
        </w:tabs>
        <w:spacing w:after="120"/>
        <w:ind w:left="1560"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En caso de inmuebles que estén afectados simultáneamente a </w:t>
      </w:r>
      <w:r w:rsidR="00AA22E2" w:rsidRPr="00F02F9D">
        <w:rPr>
          <w:rFonts w:ascii="Arial" w:eastAsia="Arial" w:hAnsi="Arial"/>
          <w:bCs/>
          <w:sz w:val="22"/>
          <w:szCs w:val="22"/>
          <w:lang w:val="es-CR"/>
        </w:rPr>
        <w:t>a</w:t>
      </w:r>
      <w:r w:rsidR="00AA22E2">
        <w:rPr>
          <w:rFonts w:ascii="Arial" w:eastAsia="Arial" w:hAnsi="Arial"/>
          <w:bCs/>
          <w:sz w:val="22"/>
          <w:szCs w:val="22"/>
          <w:lang w:val="es-CR"/>
        </w:rPr>
        <w:t>mbo</w:t>
      </w:r>
      <w:r w:rsidR="00AA22E2" w:rsidRPr="00F02F9D">
        <w:rPr>
          <w:rFonts w:ascii="Arial" w:eastAsia="Arial" w:hAnsi="Arial"/>
          <w:bCs/>
          <w:sz w:val="22"/>
          <w:szCs w:val="22"/>
          <w:lang w:val="es-CR"/>
        </w:rPr>
        <w:t>s</w:t>
      </w:r>
      <w:r w:rsidRPr="00F02F9D">
        <w:rPr>
          <w:rFonts w:ascii="Arial" w:eastAsia="Arial" w:hAnsi="Arial"/>
          <w:bCs/>
          <w:sz w:val="22"/>
          <w:szCs w:val="22"/>
          <w:lang w:val="es-CR"/>
        </w:rPr>
        <w:t xml:space="preserve"> destinos (generación de un ingreso efectivo y otros destinos), por lo cual no puede identificarse la afectación temporal del mismo, se considerará la </w:t>
      </w:r>
      <w:r w:rsidRPr="00F02F9D">
        <w:rPr>
          <w:rFonts w:ascii="Arial" w:eastAsia="Arial" w:hAnsi="Arial"/>
          <w:bCs/>
          <w:sz w:val="22"/>
          <w:szCs w:val="22"/>
          <w:lang w:val="es-CR"/>
        </w:rPr>
        <w:lastRenderedPageBreak/>
        <w:t>superficie de mayor afectación a uno y otro destino a efectos de su clasificación.</w:t>
      </w:r>
    </w:p>
    <w:p w14:paraId="2CCD13DD" w14:textId="03E403D6" w:rsidR="00C10BB0" w:rsidRPr="00F02F9D" w:rsidRDefault="00C10BB0" w:rsidP="00A77FD8">
      <w:pPr>
        <w:pStyle w:val="Prrafodelista"/>
        <w:numPr>
          <w:ilvl w:val="0"/>
          <w:numId w:val="49"/>
        </w:numPr>
        <w:tabs>
          <w:tab w:val="left" w:pos="1280"/>
        </w:tabs>
        <w:spacing w:after="120"/>
        <w:ind w:left="1560"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Si los flujos de ingresos de efectivo que se esperan generar con la utilización del activo resultan materiales respecto del total de los flujos de ingresos de efectivo totales proyectados para una entidad durante los siguientes doce (12) meses, el activo se clasificará como generador de efectivo, </w:t>
      </w:r>
      <w:r w:rsidR="00805EBE" w:rsidRPr="00F02F9D">
        <w:rPr>
          <w:rFonts w:ascii="Arial" w:eastAsia="Arial" w:hAnsi="Arial"/>
          <w:bCs/>
          <w:sz w:val="22"/>
          <w:szCs w:val="22"/>
          <w:lang w:val="es-CR"/>
        </w:rPr>
        <w:t>aun</w:t>
      </w:r>
      <w:r w:rsidRPr="00F02F9D">
        <w:rPr>
          <w:rFonts w:ascii="Arial" w:eastAsia="Arial" w:hAnsi="Arial"/>
          <w:bCs/>
          <w:sz w:val="22"/>
          <w:szCs w:val="22"/>
          <w:lang w:val="es-CR"/>
        </w:rPr>
        <w:t xml:space="preserve"> no adquiriendo tal carácter conforme las pautas de los puntos</w:t>
      </w:r>
      <w:r w:rsidR="00805EBE" w:rsidRPr="00F02F9D">
        <w:rPr>
          <w:rFonts w:ascii="Arial" w:eastAsia="Arial" w:hAnsi="Arial"/>
          <w:bCs/>
          <w:sz w:val="22"/>
          <w:szCs w:val="22"/>
          <w:lang w:val="es-CR"/>
        </w:rPr>
        <w:t xml:space="preserve"> a) </w:t>
      </w:r>
      <w:r w:rsidRPr="00F02F9D">
        <w:rPr>
          <w:rFonts w:ascii="Arial" w:eastAsia="Arial" w:hAnsi="Arial"/>
          <w:bCs/>
          <w:sz w:val="22"/>
          <w:szCs w:val="22"/>
          <w:lang w:val="es-CR"/>
        </w:rPr>
        <w:t xml:space="preserve">y b) anteriores; </w:t>
      </w:r>
      <w:r w:rsidR="00805EBE" w:rsidRPr="00F02F9D">
        <w:rPr>
          <w:rFonts w:ascii="Arial" w:eastAsia="Arial" w:hAnsi="Arial"/>
          <w:bCs/>
          <w:sz w:val="22"/>
          <w:szCs w:val="22"/>
          <w:lang w:val="es-CR"/>
        </w:rPr>
        <w:t>de acuerdo con</w:t>
      </w:r>
      <w:r w:rsidRPr="00F02F9D">
        <w:rPr>
          <w:rFonts w:ascii="Arial" w:eastAsia="Arial" w:hAnsi="Arial"/>
          <w:bCs/>
          <w:sz w:val="22"/>
          <w:szCs w:val="22"/>
          <w:lang w:val="es-CR"/>
        </w:rPr>
        <w:t xml:space="preserve"> los parámetros para determinar la materialidad antes referida.</w:t>
      </w:r>
    </w:p>
    <w:p w14:paraId="527FDA54" w14:textId="77777777" w:rsidR="00C10BB0" w:rsidRPr="00F02F9D" w:rsidRDefault="00C10BB0" w:rsidP="00805EBE">
      <w:pPr>
        <w:spacing w:line="9" w:lineRule="exact"/>
        <w:ind w:left="1560" w:hanging="284"/>
        <w:rPr>
          <w:rFonts w:ascii="Arial" w:eastAsia="Arial" w:hAnsi="Arial"/>
          <w:bCs/>
          <w:sz w:val="22"/>
          <w:szCs w:val="22"/>
          <w:lang w:val="es-CR"/>
        </w:rPr>
      </w:pPr>
    </w:p>
    <w:p w14:paraId="0DE7A894" w14:textId="1BCC94AE" w:rsidR="00C10BB0" w:rsidRPr="00F02F9D" w:rsidRDefault="00C10BB0">
      <w:pPr>
        <w:pStyle w:val="Prrafodelista"/>
        <w:numPr>
          <w:ilvl w:val="0"/>
          <w:numId w:val="49"/>
        </w:numPr>
        <w:tabs>
          <w:tab w:val="left" w:pos="1279"/>
        </w:tabs>
        <w:spacing w:line="266" w:lineRule="auto"/>
        <w:ind w:left="1560" w:right="260" w:hanging="284"/>
        <w:jc w:val="both"/>
        <w:rPr>
          <w:rFonts w:ascii="Arial" w:eastAsia="Arial" w:hAnsi="Arial"/>
          <w:bCs/>
          <w:sz w:val="22"/>
          <w:szCs w:val="22"/>
          <w:lang w:val="es-CR"/>
        </w:rPr>
      </w:pPr>
      <w:r w:rsidRPr="00F02F9D">
        <w:rPr>
          <w:rFonts w:ascii="Arial" w:eastAsia="Arial" w:hAnsi="Arial"/>
          <w:bCs/>
          <w:sz w:val="22"/>
          <w:szCs w:val="22"/>
          <w:lang w:val="es-CR"/>
        </w:rPr>
        <w:t xml:space="preserve">En atención a los objetivos generales de la mayoría de </w:t>
      </w:r>
      <w:r w:rsidR="00805EBE" w:rsidRPr="00F02F9D">
        <w:rPr>
          <w:rFonts w:ascii="Arial" w:eastAsia="Arial" w:hAnsi="Arial"/>
          <w:bCs/>
          <w:sz w:val="22"/>
          <w:szCs w:val="22"/>
          <w:lang w:val="es-CR"/>
        </w:rPr>
        <w:t>las entidades</w:t>
      </w:r>
      <w:r w:rsidRPr="00F02F9D">
        <w:rPr>
          <w:rFonts w:ascii="Arial" w:eastAsia="Arial" w:hAnsi="Arial"/>
          <w:bCs/>
          <w:sz w:val="22"/>
          <w:szCs w:val="22"/>
          <w:lang w:val="es-CR"/>
        </w:rPr>
        <w:t xml:space="preserve"> no empresariales del sector público, y siempre que </w:t>
      </w:r>
      <w:r w:rsidR="00805EBE" w:rsidRPr="00F02F9D">
        <w:rPr>
          <w:rFonts w:ascii="Arial" w:eastAsia="Arial" w:hAnsi="Arial"/>
          <w:bCs/>
          <w:sz w:val="22"/>
          <w:szCs w:val="22"/>
          <w:lang w:val="es-CR"/>
        </w:rPr>
        <w:t>la aplicación de las pautas de los puntos anteriores no arroje</w:t>
      </w:r>
      <w:r w:rsidRPr="00F02F9D">
        <w:rPr>
          <w:rFonts w:ascii="Arial" w:eastAsia="Arial" w:hAnsi="Arial"/>
          <w:bCs/>
          <w:sz w:val="22"/>
          <w:szCs w:val="22"/>
          <w:lang w:val="es-CR"/>
        </w:rPr>
        <w:t xml:space="preserve"> evidencias claras respecto de la clasificación, se presumirá que todo activo es no generador de efectivo.</w:t>
      </w:r>
    </w:p>
    <w:p w14:paraId="4F59EA74" w14:textId="77777777" w:rsidR="00805EBE" w:rsidRPr="00F02F9D" w:rsidRDefault="00805EBE" w:rsidP="00805EBE">
      <w:pPr>
        <w:pStyle w:val="Prrafodelista"/>
        <w:rPr>
          <w:rFonts w:ascii="Arial" w:eastAsia="Arial" w:hAnsi="Arial"/>
          <w:bCs/>
          <w:sz w:val="22"/>
          <w:szCs w:val="22"/>
          <w:lang w:val="es-CR"/>
        </w:rPr>
      </w:pPr>
    </w:p>
    <w:p w14:paraId="52500A83" w14:textId="77777777" w:rsidR="00403A41" w:rsidRPr="00F02F9D" w:rsidRDefault="00403A41" w:rsidP="00A77FD8">
      <w:pPr>
        <w:spacing w:line="238" w:lineRule="auto"/>
        <w:ind w:right="260"/>
        <w:jc w:val="both"/>
        <w:rPr>
          <w:rFonts w:ascii="Arial" w:eastAsia="Arial" w:hAnsi="Arial"/>
          <w:b/>
          <w:sz w:val="22"/>
          <w:szCs w:val="22"/>
          <w:lang w:val="es-CR"/>
        </w:rPr>
      </w:pPr>
    </w:p>
    <w:tbl>
      <w:tblPr>
        <w:tblW w:w="9062" w:type="dxa"/>
        <w:tblLook w:val="04A0" w:firstRow="1" w:lastRow="0" w:firstColumn="1" w:lastColumn="0" w:noHBand="0" w:noVBand="1"/>
      </w:tblPr>
      <w:tblGrid>
        <w:gridCol w:w="555"/>
        <w:gridCol w:w="617"/>
        <w:gridCol w:w="530"/>
        <w:gridCol w:w="3533"/>
        <w:gridCol w:w="1984"/>
        <w:gridCol w:w="1843"/>
      </w:tblGrid>
      <w:tr w:rsidR="00805EBE" w:rsidRPr="00A77FD8" w14:paraId="0E5CEFD6" w14:textId="77777777" w:rsidTr="00805EBE">
        <w:trPr>
          <w:trHeight w:val="320"/>
        </w:trPr>
        <w:tc>
          <w:tcPr>
            <w:tcW w:w="170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BC3351A" w14:textId="77777777" w:rsidR="00805EBE" w:rsidRPr="00A77FD8" w:rsidRDefault="00805EBE" w:rsidP="00805EBE">
            <w:pPr>
              <w:jc w:val="center"/>
              <w:rPr>
                <w:rFonts w:ascii="Arial Narrow" w:eastAsia="Times New Roman" w:hAnsi="Arial Narrow"/>
                <w:b/>
                <w:bCs/>
                <w:color w:val="FFFFFF"/>
                <w:sz w:val="22"/>
                <w:szCs w:val="22"/>
              </w:rPr>
            </w:pPr>
            <w:r w:rsidRPr="00A77FD8">
              <w:rPr>
                <w:rFonts w:ascii="Arial Narrow" w:eastAsia="Times New Roman" w:hAnsi="Arial Narrow"/>
                <w:b/>
                <w:bCs/>
                <w:color w:val="FFFFFF"/>
                <w:sz w:val="22"/>
                <w:szCs w:val="22"/>
              </w:rPr>
              <w:t>Norma / Política</w:t>
            </w:r>
          </w:p>
        </w:tc>
        <w:tc>
          <w:tcPr>
            <w:tcW w:w="3533" w:type="dxa"/>
            <w:vMerge w:val="restart"/>
            <w:tcBorders>
              <w:top w:val="single" w:sz="8" w:space="0" w:color="auto"/>
              <w:left w:val="single" w:sz="8" w:space="0" w:color="auto"/>
              <w:bottom w:val="nil"/>
              <w:right w:val="single" w:sz="8" w:space="0" w:color="auto"/>
            </w:tcBorders>
            <w:shd w:val="clear" w:color="000000" w:fill="203764"/>
            <w:vAlign w:val="center"/>
            <w:hideMark/>
          </w:tcPr>
          <w:p w14:paraId="4AD903F5" w14:textId="77777777" w:rsidR="00805EBE" w:rsidRPr="00A77FD8" w:rsidRDefault="00805EBE" w:rsidP="00805EBE">
            <w:pPr>
              <w:jc w:val="center"/>
              <w:rPr>
                <w:rFonts w:ascii="Arial Narrow" w:eastAsia="Times New Roman" w:hAnsi="Arial Narrow"/>
                <w:b/>
                <w:bCs/>
                <w:color w:val="FFFFFF"/>
                <w:sz w:val="22"/>
                <w:szCs w:val="22"/>
              </w:rPr>
            </w:pPr>
            <w:r w:rsidRPr="00A77FD8">
              <w:rPr>
                <w:rFonts w:ascii="Arial Narrow" w:eastAsia="Times New Roman" w:hAnsi="Arial Narrow"/>
                <w:b/>
                <w:bCs/>
                <w:color w:val="FFFFFF"/>
                <w:sz w:val="22"/>
                <w:szCs w:val="22"/>
              </w:rPr>
              <w:t>Concepto</w:t>
            </w:r>
          </w:p>
        </w:tc>
        <w:tc>
          <w:tcPr>
            <w:tcW w:w="3827" w:type="dxa"/>
            <w:gridSpan w:val="2"/>
            <w:tcBorders>
              <w:top w:val="single" w:sz="8" w:space="0" w:color="auto"/>
              <w:left w:val="nil"/>
              <w:bottom w:val="single" w:sz="8" w:space="0" w:color="auto"/>
              <w:right w:val="single" w:sz="8" w:space="0" w:color="000000"/>
            </w:tcBorders>
            <w:shd w:val="clear" w:color="000000" w:fill="203764"/>
            <w:vAlign w:val="center"/>
            <w:hideMark/>
          </w:tcPr>
          <w:p w14:paraId="02799BDC" w14:textId="77777777" w:rsidR="00805EBE" w:rsidRPr="00A77FD8" w:rsidRDefault="00805EBE" w:rsidP="00805EBE">
            <w:pPr>
              <w:jc w:val="center"/>
              <w:rPr>
                <w:rFonts w:ascii="Arial Narrow" w:eastAsia="Times New Roman" w:hAnsi="Arial Narrow"/>
                <w:b/>
                <w:bCs/>
                <w:color w:val="FFFFFF"/>
                <w:sz w:val="22"/>
                <w:szCs w:val="22"/>
              </w:rPr>
            </w:pPr>
            <w:r w:rsidRPr="00A77FD8">
              <w:rPr>
                <w:rFonts w:ascii="Arial Narrow" w:eastAsia="Times New Roman" w:hAnsi="Arial Narrow"/>
                <w:b/>
                <w:bCs/>
                <w:color w:val="FFFFFF"/>
                <w:sz w:val="22"/>
                <w:szCs w:val="22"/>
              </w:rPr>
              <w:t>Referencia</w:t>
            </w:r>
          </w:p>
        </w:tc>
      </w:tr>
      <w:tr w:rsidR="00805EBE" w:rsidRPr="0071104F" w14:paraId="1CD801E1" w14:textId="77777777" w:rsidTr="00805EBE">
        <w:trPr>
          <w:trHeight w:val="320"/>
        </w:trPr>
        <w:tc>
          <w:tcPr>
            <w:tcW w:w="1702" w:type="dxa"/>
            <w:gridSpan w:val="3"/>
            <w:vMerge/>
            <w:tcBorders>
              <w:top w:val="single" w:sz="8" w:space="0" w:color="auto"/>
              <w:left w:val="single" w:sz="8" w:space="0" w:color="auto"/>
              <w:bottom w:val="nil"/>
              <w:right w:val="single" w:sz="8" w:space="0" w:color="000000"/>
            </w:tcBorders>
            <w:vAlign w:val="center"/>
            <w:hideMark/>
          </w:tcPr>
          <w:p w14:paraId="1E699EF7" w14:textId="77777777" w:rsidR="00805EBE" w:rsidRPr="00A77FD8" w:rsidRDefault="00805EBE" w:rsidP="00805EBE">
            <w:pPr>
              <w:rPr>
                <w:rFonts w:ascii="Arial Narrow" w:eastAsia="Times New Roman" w:hAnsi="Arial Narrow"/>
                <w:b/>
                <w:bCs/>
                <w:color w:val="FFFFFF"/>
                <w:sz w:val="22"/>
                <w:szCs w:val="22"/>
              </w:rPr>
            </w:pPr>
          </w:p>
        </w:tc>
        <w:tc>
          <w:tcPr>
            <w:tcW w:w="3533" w:type="dxa"/>
            <w:vMerge/>
            <w:tcBorders>
              <w:top w:val="single" w:sz="8" w:space="0" w:color="auto"/>
              <w:left w:val="single" w:sz="8" w:space="0" w:color="auto"/>
              <w:bottom w:val="nil"/>
              <w:right w:val="single" w:sz="8" w:space="0" w:color="auto"/>
            </w:tcBorders>
            <w:vAlign w:val="center"/>
            <w:hideMark/>
          </w:tcPr>
          <w:p w14:paraId="55043961" w14:textId="77777777" w:rsidR="00805EBE" w:rsidRPr="00A77FD8" w:rsidRDefault="00805EBE" w:rsidP="00805EBE">
            <w:pPr>
              <w:rPr>
                <w:rFonts w:ascii="Arial Narrow" w:eastAsia="Times New Roman" w:hAnsi="Arial Narrow"/>
                <w:b/>
                <w:bCs/>
                <w:color w:val="FFFFFF"/>
                <w:sz w:val="22"/>
                <w:szCs w:val="22"/>
              </w:rPr>
            </w:pPr>
          </w:p>
        </w:tc>
        <w:tc>
          <w:tcPr>
            <w:tcW w:w="1984" w:type="dxa"/>
            <w:tcBorders>
              <w:top w:val="nil"/>
              <w:left w:val="nil"/>
              <w:bottom w:val="nil"/>
              <w:right w:val="single" w:sz="8" w:space="0" w:color="auto"/>
            </w:tcBorders>
            <w:shd w:val="clear" w:color="000000" w:fill="203764"/>
            <w:vAlign w:val="center"/>
            <w:hideMark/>
          </w:tcPr>
          <w:p w14:paraId="1E1A1B4D" w14:textId="77777777" w:rsidR="00805EBE" w:rsidRPr="00A77FD8" w:rsidRDefault="00805EBE" w:rsidP="00805EBE">
            <w:pPr>
              <w:jc w:val="center"/>
              <w:rPr>
                <w:rFonts w:ascii="Arial Narrow" w:eastAsia="Times New Roman" w:hAnsi="Arial Narrow"/>
                <w:b/>
                <w:bCs/>
                <w:color w:val="FFFFFF"/>
                <w:sz w:val="22"/>
                <w:szCs w:val="22"/>
              </w:rPr>
            </w:pPr>
            <w:r w:rsidRPr="00A77FD8">
              <w:rPr>
                <w:rFonts w:ascii="Arial Narrow" w:eastAsia="Times New Roman" w:hAnsi="Arial Narrow"/>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6A962360" w14:textId="722EF753" w:rsidR="00805EBE" w:rsidRPr="0071104F" w:rsidRDefault="0071104F" w:rsidP="00805EBE">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805EBE" w:rsidRPr="00A77FD8" w14:paraId="70F22EC1" w14:textId="77777777" w:rsidTr="00805EBE">
        <w:trPr>
          <w:trHeight w:val="1152"/>
        </w:trPr>
        <w:tc>
          <w:tcPr>
            <w:tcW w:w="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CCCCB6" w14:textId="77777777" w:rsidR="00805EBE" w:rsidRPr="00A77FD8" w:rsidRDefault="00805EBE" w:rsidP="00805EBE">
            <w:pPr>
              <w:jc w:val="center"/>
              <w:rPr>
                <w:rFonts w:ascii="Arial Narrow" w:eastAsia="Times New Roman" w:hAnsi="Arial Narrow"/>
                <w:b/>
                <w:bCs/>
                <w:color w:val="000000"/>
                <w:sz w:val="22"/>
                <w:szCs w:val="22"/>
              </w:rPr>
            </w:pPr>
            <w:r w:rsidRPr="00A77FD8">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3CD62FE5" w14:textId="77777777" w:rsidR="00805EBE" w:rsidRPr="00A77FD8" w:rsidRDefault="00805EBE" w:rsidP="00805EBE">
            <w:pPr>
              <w:jc w:val="center"/>
              <w:rPr>
                <w:rFonts w:ascii="Arial Narrow" w:eastAsia="Times New Roman" w:hAnsi="Arial Narrow"/>
                <w:b/>
                <w:bCs/>
                <w:color w:val="000000"/>
                <w:sz w:val="22"/>
                <w:szCs w:val="22"/>
              </w:rPr>
            </w:pPr>
            <w:r w:rsidRPr="00A77FD8">
              <w:rPr>
                <w:rFonts w:ascii="Arial Narrow" w:eastAsia="Times New Roman" w:hAnsi="Arial Narrow"/>
                <w:b/>
                <w:bCs/>
                <w:color w:val="000000"/>
                <w:sz w:val="22"/>
                <w:szCs w:val="22"/>
                <w:lang w:val="es-CR"/>
              </w:rPr>
              <w:t>180</w:t>
            </w:r>
          </w:p>
        </w:tc>
        <w:tc>
          <w:tcPr>
            <w:tcW w:w="530" w:type="dxa"/>
            <w:tcBorders>
              <w:top w:val="single" w:sz="8" w:space="0" w:color="auto"/>
              <w:left w:val="nil"/>
              <w:bottom w:val="single" w:sz="8" w:space="0" w:color="auto"/>
              <w:right w:val="single" w:sz="8" w:space="0" w:color="auto"/>
            </w:tcBorders>
            <w:shd w:val="clear" w:color="auto" w:fill="auto"/>
            <w:vAlign w:val="center"/>
            <w:hideMark/>
          </w:tcPr>
          <w:p w14:paraId="7FF82C7E" w14:textId="77777777" w:rsidR="00805EBE" w:rsidRPr="00A77FD8" w:rsidRDefault="00805EBE" w:rsidP="00805EBE">
            <w:pPr>
              <w:jc w:val="center"/>
              <w:rPr>
                <w:rFonts w:ascii="Arial Narrow" w:eastAsia="Times New Roman" w:hAnsi="Arial Narrow"/>
                <w:b/>
                <w:bCs/>
                <w:color w:val="000000"/>
                <w:sz w:val="22"/>
                <w:szCs w:val="22"/>
              </w:rPr>
            </w:pPr>
            <w:r w:rsidRPr="00A77FD8">
              <w:rPr>
                <w:rFonts w:ascii="Arial Narrow" w:eastAsia="Times New Roman" w:hAnsi="Arial Narrow"/>
                <w:b/>
                <w:bCs/>
                <w:color w:val="000000"/>
                <w:sz w:val="22"/>
                <w:szCs w:val="22"/>
              </w:rPr>
              <w:t xml:space="preserve"> </w:t>
            </w:r>
          </w:p>
        </w:tc>
        <w:tc>
          <w:tcPr>
            <w:tcW w:w="3533" w:type="dxa"/>
            <w:tcBorders>
              <w:top w:val="single" w:sz="8" w:space="0" w:color="auto"/>
              <w:left w:val="nil"/>
              <w:bottom w:val="single" w:sz="8" w:space="0" w:color="auto"/>
              <w:right w:val="single" w:sz="8" w:space="0" w:color="auto"/>
            </w:tcBorders>
            <w:shd w:val="clear" w:color="auto" w:fill="auto"/>
            <w:vAlign w:val="center"/>
            <w:hideMark/>
          </w:tcPr>
          <w:p w14:paraId="6ECFE8D6" w14:textId="7A3A62C3" w:rsidR="00805EBE" w:rsidRPr="00A77FD8" w:rsidRDefault="00805EBE" w:rsidP="00805EBE">
            <w:pPr>
              <w:jc w:val="both"/>
              <w:rPr>
                <w:rFonts w:ascii="Arial Narrow" w:eastAsia="Times New Roman" w:hAnsi="Arial Narrow"/>
                <w:b/>
                <w:bCs/>
                <w:color w:val="000000"/>
                <w:sz w:val="22"/>
                <w:szCs w:val="22"/>
                <w:lang w:val="es-CR"/>
              </w:rPr>
            </w:pPr>
            <w:r w:rsidRPr="00A77FD8">
              <w:rPr>
                <w:rFonts w:ascii="Arial Narrow" w:eastAsia="Times New Roman" w:hAnsi="Arial Narrow"/>
                <w:b/>
                <w:bCs/>
                <w:color w:val="000000"/>
                <w:sz w:val="22"/>
                <w:szCs w:val="22"/>
                <w:lang w:val="es-CR"/>
              </w:rPr>
              <w:t>Activos sujetos a evaluación de deterioro</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3B19FB74" w14:textId="77777777" w:rsidR="00A77FD8" w:rsidRPr="00A77FD8" w:rsidRDefault="00805EBE" w:rsidP="00805EBE">
            <w:pPr>
              <w:jc w:val="both"/>
              <w:rPr>
                <w:rFonts w:ascii="Arial Narrow" w:eastAsia="Times New Roman" w:hAnsi="Arial Narrow"/>
                <w:b/>
                <w:bCs/>
                <w:color w:val="000000"/>
                <w:sz w:val="22"/>
                <w:szCs w:val="22"/>
                <w:lang w:val="es-CR"/>
              </w:rPr>
            </w:pPr>
            <w:r w:rsidRPr="00A77FD8">
              <w:rPr>
                <w:rFonts w:ascii="Arial Narrow" w:eastAsia="Times New Roman" w:hAnsi="Arial Narrow"/>
                <w:b/>
                <w:bCs/>
                <w:color w:val="000000"/>
                <w:sz w:val="22"/>
                <w:szCs w:val="22"/>
                <w:lang w:val="es-CR"/>
              </w:rPr>
              <w:t>NICSP N° 21,</w:t>
            </w:r>
          </w:p>
          <w:p w14:paraId="4AA827BF" w14:textId="77777777" w:rsidR="00A77FD8" w:rsidRPr="00A77FD8" w:rsidRDefault="00805EBE" w:rsidP="00F36957">
            <w:pPr>
              <w:spacing w:after="120"/>
              <w:jc w:val="both"/>
              <w:rPr>
                <w:rFonts w:ascii="Arial Narrow" w:eastAsia="Times New Roman" w:hAnsi="Arial Narrow"/>
                <w:b/>
                <w:bCs/>
                <w:color w:val="000000"/>
                <w:sz w:val="22"/>
                <w:szCs w:val="22"/>
                <w:lang w:val="es-CR"/>
              </w:rPr>
            </w:pPr>
            <w:r w:rsidRPr="00A77FD8">
              <w:rPr>
                <w:rFonts w:ascii="Arial Narrow" w:eastAsia="Times New Roman" w:hAnsi="Arial Narrow"/>
                <w:b/>
                <w:bCs/>
                <w:color w:val="000000"/>
                <w:sz w:val="22"/>
                <w:szCs w:val="22"/>
                <w:lang w:val="es-CR"/>
              </w:rPr>
              <w:t>Párrafos 2, 7 a 11 y 13.</w:t>
            </w:r>
          </w:p>
          <w:p w14:paraId="73AA65D5" w14:textId="2D2834D1" w:rsidR="00A77FD8" w:rsidRPr="00A77FD8" w:rsidRDefault="00805EBE" w:rsidP="00805EBE">
            <w:pPr>
              <w:jc w:val="both"/>
              <w:rPr>
                <w:rFonts w:ascii="Arial Narrow" w:eastAsia="Times New Roman" w:hAnsi="Arial Narrow"/>
                <w:b/>
                <w:bCs/>
                <w:color w:val="000000"/>
                <w:sz w:val="22"/>
                <w:szCs w:val="22"/>
                <w:lang w:val="es-CR"/>
              </w:rPr>
            </w:pPr>
            <w:r w:rsidRPr="00A77FD8">
              <w:rPr>
                <w:rFonts w:ascii="Arial Narrow" w:eastAsia="Times New Roman" w:hAnsi="Arial Narrow"/>
                <w:b/>
                <w:bCs/>
                <w:color w:val="000000"/>
                <w:sz w:val="22"/>
                <w:szCs w:val="22"/>
                <w:lang w:val="es-CR"/>
              </w:rPr>
              <w:t>NICSP Nº 26,</w:t>
            </w:r>
          </w:p>
          <w:p w14:paraId="39245EBE" w14:textId="3009A460" w:rsidR="00805EBE" w:rsidRPr="00A77FD8" w:rsidRDefault="00805EBE" w:rsidP="00805EBE">
            <w:pPr>
              <w:jc w:val="both"/>
              <w:rPr>
                <w:rFonts w:ascii="Arial Narrow" w:eastAsia="Times New Roman" w:hAnsi="Arial Narrow"/>
                <w:b/>
                <w:bCs/>
                <w:color w:val="000000"/>
                <w:sz w:val="22"/>
                <w:szCs w:val="22"/>
                <w:lang w:val="es-CR"/>
              </w:rPr>
            </w:pPr>
            <w:r w:rsidRPr="00A77FD8">
              <w:rPr>
                <w:rFonts w:ascii="Arial Narrow" w:eastAsia="Times New Roman" w:hAnsi="Arial Narrow"/>
                <w:b/>
                <w:bCs/>
                <w:color w:val="000000"/>
                <w:sz w:val="22"/>
                <w:szCs w:val="22"/>
                <w:lang w:val="es-CR"/>
              </w:rPr>
              <w:t>Párrafos 2 y 6 a 12</w:t>
            </w:r>
            <w:r w:rsidR="00A77FD8" w:rsidRPr="00A77FD8">
              <w:rPr>
                <w:rFonts w:ascii="Arial Narrow" w:eastAsia="Times New Roman" w:hAnsi="Arial Narrow"/>
                <w:b/>
                <w:bCs/>
                <w:color w:val="000000"/>
                <w:sz w:val="22"/>
                <w:szCs w:val="22"/>
                <w:lang w:val="es-CR"/>
              </w:rPr>
              <w:t>.</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3536262" w14:textId="77777777" w:rsidR="00805EBE" w:rsidRPr="00A77FD8" w:rsidRDefault="00805EBE" w:rsidP="00805EBE">
            <w:pPr>
              <w:jc w:val="center"/>
              <w:rPr>
                <w:rFonts w:ascii="Arial Narrow" w:eastAsia="Times New Roman" w:hAnsi="Arial Narrow"/>
                <w:b/>
                <w:bCs/>
                <w:color w:val="000000"/>
                <w:sz w:val="22"/>
                <w:szCs w:val="22"/>
              </w:rPr>
            </w:pPr>
            <w:r w:rsidRPr="00A77FD8">
              <w:rPr>
                <w:rFonts w:ascii="Arial Narrow" w:eastAsia="Times New Roman" w:hAnsi="Arial Narrow"/>
                <w:b/>
                <w:bCs/>
                <w:color w:val="000000"/>
                <w:sz w:val="22"/>
                <w:szCs w:val="22"/>
                <w:lang w:val="es-CR"/>
              </w:rPr>
              <w:t xml:space="preserve"> DGCN</w:t>
            </w:r>
          </w:p>
        </w:tc>
      </w:tr>
    </w:tbl>
    <w:p w14:paraId="78799EB4" w14:textId="77777777" w:rsidR="00403A41" w:rsidRDefault="00403A41" w:rsidP="00A351C9">
      <w:pPr>
        <w:spacing w:line="238" w:lineRule="auto"/>
        <w:ind w:left="1134" w:right="260" w:hanging="1134"/>
        <w:jc w:val="both"/>
        <w:rPr>
          <w:rFonts w:ascii="Arial" w:eastAsia="Arial" w:hAnsi="Arial"/>
          <w:b/>
          <w:sz w:val="22"/>
          <w:szCs w:val="22"/>
          <w:lang w:val="es-CR"/>
        </w:rPr>
      </w:pPr>
    </w:p>
    <w:p w14:paraId="43FF112F" w14:textId="1BB5151B"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0CDBD82A"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7979BD26" w14:textId="3AE0EC5D" w:rsidR="00805EBE" w:rsidRPr="00F02F9D" w:rsidRDefault="00805EBE" w:rsidP="00805EBE">
      <w:pPr>
        <w:spacing w:line="252" w:lineRule="auto"/>
        <w:ind w:left="1276" w:right="260" w:hanging="1276"/>
        <w:jc w:val="both"/>
        <w:rPr>
          <w:rFonts w:ascii="Arial" w:eastAsia="Arial" w:hAnsi="Arial"/>
          <w:bCs/>
          <w:sz w:val="22"/>
          <w:szCs w:val="22"/>
          <w:lang w:val="es-CR"/>
        </w:rPr>
      </w:pPr>
      <w:r w:rsidRPr="00F02F9D">
        <w:rPr>
          <w:rFonts w:ascii="Arial" w:eastAsia="Arial" w:hAnsi="Arial"/>
          <w:bCs/>
          <w:sz w:val="22"/>
          <w:szCs w:val="22"/>
          <w:lang w:val="es-CR"/>
        </w:rPr>
        <w:t>1.180.0.01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se aplicará el siguiente cuadro de los activos sujetos a evaluación de deterioro, así como los que no se encuentra sujetos a dicha evaluación:</w:t>
      </w:r>
    </w:p>
    <w:p w14:paraId="2B6BB469" w14:textId="77777777" w:rsidR="00403A41" w:rsidRPr="00F02F9D" w:rsidRDefault="00403A41" w:rsidP="00A351C9">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093"/>
        <w:gridCol w:w="1985"/>
        <w:gridCol w:w="1984"/>
      </w:tblGrid>
      <w:tr w:rsidR="003A5DA0" w:rsidRPr="003A5DA0" w14:paraId="2E1F2D5E" w14:textId="77777777" w:rsidTr="003A5DA0">
        <w:trPr>
          <w:trHeight w:val="320"/>
        </w:trPr>
        <w:tc>
          <w:tcPr>
            <w:tcW w:w="5093" w:type="dxa"/>
            <w:tcBorders>
              <w:top w:val="single" w:sz="8" w:space="0" w:color="auto"/>
              <w:left w:val="single" w:sz="8" w:space="0" w:color="auto"/>
              <w:bottom w:val="nil"/>
              <w:right w:val="nil"/>
            </w:tcBorders>
            <w:shd w:val="clear" w:color="auto" w:fill="auto"/>
            <w:vAlign w:val="center"/>
            <w:hideMark/>
          </w:tcPr>
          <w:p w14:paraId="074A0EB4" w14:textId="77777777" w:rsidR="003A5DA0" w:rsidRPr="003A5DA0" w:rsidRDefault="003A5DA0" w:rsidP="003A5DA0">
            <w:pPr>
              <w:jc w:val="center"/>
              <w:rPr>
                <w:rFonts w:ascii="Arial" w:eastAsia="Times New Roman" w:hAnsi="Arial"/>
                <w:b/>
                <w:bCs/>
                <w:color w:val="000000"/>
                <w:sz w:val="22"/>
                <w:szCs w:val="22"/>
              </w:rPr>
            </w:pPr>
            <w:r w:rsidRPr="003A5DA0">
              <w:rPr>
                <w:rFonts w:ascii="Arial" w:eastAsia="Times New Roman" w:hAnsi="Arial"/>
                <w:b/>
                <w:bCs/>
                <w:color w:val="000000"/>
                <w:sz w:val="22"/>
                <w:szCs w:val="22"/>
              </w:rPr>
              <w:t>Activos</w:t>
            </w:r>
          </w:p>
        </w:tc>
        <w:tc>
          <w:tcPr>
            <w:tcW w:w="1985" w:type="dxa"/>
            <w:tcBorders>
              <w:top w:val="single" w:sz="8" w:space="0" w:color="auto"/>
              <w:left w:val="nil"/>
              <w:bottom w:val="nil"/>
              <w:right w:val="single" w:sz="8" w:space="0" w:color="auto"/>
            </w:tcBorders>
            <w:shd w:val="clear" w:color="auto" w:fill="auto"/>
            <w:vAlign w:val="center"/>
            <w:hideMark/>
          </w:tcPr>
          <w:p w14:paraId="3F22C15E" w14:textId="77777777" w:rsidR="003A5DA0" w:rsidRPr="003A5DA0" w:rsidRDefault="003A5DA0" w:rsidP="003A5DA0">
            <w:pPr>
              <w:jc w:val="center"/>
              <w:rPr>
                <w:rFonts w:ascii="Arial" w:eastAsia="Times New Roman" w:hAnsi="Arial"/>
                <w:b/>
                <w:bCs/>
                <w:color w:val="000000"/>
                <w:sz w:val="22"/>
                <w:szCs w:val="22"/>
              </w:rPr>
            </w:pPr>
            <w:r w:rsidRPr="003A5DA0">
              <w:rPr>
                <w:rFonts w:ascii="Arial" w:eastAsia="Times New Roman" w:hAnsi="Arial"/>
                <w:b/>
                <w:bCs/>
                <w:color w:val="000000"/>
                <w:sz w:val="22"/>
                <w:szCs w:val="22"/>
              </w:rPr>
              <w:t>Sujetos</w:t>
            </w:r>
          </w:p>
        </w:tc>
        <w:tc>
          <w:tcPr>
            <w:tcW w:w="1984" w:type="dxa"/>
            <w:tcBorders>
              <w:top w:val="single" w:sz="8" w:space="0" w:color="auto"/>
              <w:left w:val="nil"/>
              <w:bottom w:val="nil"/>
              <w:right w:val="single" w:sz="8" w:space="0" w:color="auto"/>
            </w:tcBorders>
            <w:shd w:val="clear" w:color="auto" w:fill="auto"/>
            <w:vAlign w:val="center"/>
            <w:hideMark/>
          </w:tcPr>
          <w:p w14:paraId="336112E8" w14:textId="77777777" w:rsidR="003A5DA0" w:rsidRPr="003A5DA0" w:rsidRDefault="003A5DA0" w:rsidP="003A5DA0">
            <w:pPr>
              <w:jc w:val="center"/>
              <w:rPr>
                <w:rFonts w:ascii="Arial" w:eastAsia="Times New Roman" w:hAnsi="Arial"/>
                <w:b/>
                <w:bCs/>
                <w:color w:val="000000"/>
                <w:sz w:val="22"/>
                <w:szCs w:val="22"/>
              </w:rPr>
            </w:pPr>
            <w:r w:rsidRPr="003A5DA0">
              <w:rPr>
                <w:rFonts w:ascii="Arial" w:eastAsia="Times New Roman" w:hAnsi="Arial"/>
                <w:b/>
                <w:bCs/>
                <w:color w:val="000000"/>
                <w:sz w:val="22"/>
                <w:szCs w:val="22"/>
              </w:rPr>
              <w:t>No sujetos</w:t>
            </w:r>
          </w:p>
        </w:tc>
      </w:tr>
      <w:tr w:rsidR="003A5DA0" w:rsidRPr="003A5DA0" w14:paraId="1C464CB6" w14:textId="77777777" w:rsidTr="003A5DA0">
        <w:trPr>
          <w:trHeight w:val="1190"/>
        </w:trPr>
        <w:tc>
          <w:tcPr>
            <w:tcW w:w="509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D1C35E1" w14:textId="3E30A30D" w:rsidR="003A5DA0" w:rsidRPr="003A5DA0" w:rsidRDefault="003A5DA0" w:rsidP="003A5DA0">
            <w:pPr>
              <w:jc w:val="both"/>
              <w:rPr>
                <w:rFonts w:ascii="Arial" w:eastAsia="Times New Roman" w:hAnsi="Arial"/>
                <w:b/>
                <w:bCs/>
                <w:color w:val="000000"/>
                <w:sz w:val="22"/>
                <w:szCs w:val="22"/>
                <w:lang w:val="es-CR"/>
              </w:rPr>
            </w:pPr>
            <w:r w:rsidRPr="003A5DA0">
              <w:rPr>
                <w:rFonts w:ascii="Arial" w:eastAsia="Times New Roman" w:hAnsi="Arial"/>
                <w:b/>
                <w:bCs/>
                <w:color w:val="000000"/>
                <w:sz w:val="22"/>
                <w:szCs w:val="22"/>
                <w:lang w:val="es-CR"/>
              </w:rPr>
              <w:t xml:space="preserve">Activos financieros, excepto </w:t>
            </w:r>
            <w:r w:rsidRPr="00F02F9D">
              <w:rPr>
                <w:rFonts w:ascii="Arial" w:eastAsia="Times New Roman" w:hAnsi="Arial"/>
                <w:b/>
                <w:bCs/>
                <w:color w:val="000000"/>
                <w:sz w:val="22"/>
                <w:szCs w:val="22"/>
                <w:lang w:val="es-CR"/>
              </w:rPr>
              <w:t>participaciones en</w:t>
            </w:r>
            <w:r w:rsidRPr="003A5DA0">
              <w:rPr>
                <w:rFonts w:ascii="Arial" w:eastAsia="Times New Roman" w:hAnsi="Arial"/>
                <w:b/>
                <w:bCs/>
                <w:color w:val="000000"/>
                <w:sz w:val="22"/>
                <w:szCs w:val="22"/>
                <w:lang w:val="es-CR"/>
              </w:rPr>
              <w:t xml:space="preserve"> controladas, asociadas y negocios conjuntos no contabilizadas como instrumentos financieros</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3E4BE48F"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NINGUNO</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14:paraId="008C2A7A"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TODOS</w:t>
            </w:r>
          </w:p>
        </w:tc>
      </w:tr>
      <w:tr w:rsidR="003A5DA0" w:rsidRPr="003A5DA0" w14:paraId="7E484EF4" w14:textId="77777777" w:rsidTr="003A5DA0">
        <w:trPr>
          <w:trHeight w:val="320"/>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4FF9930C"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Inventarios</w:t>
            </w:r>
          </w:p>
        </w:tc>
        <w:tc>
          <w:tcPr>
            <w:tcW w:w="1985" w:type="dxa"/>
            <w:tcBorders>
              <w:top w:val="nil"/>
              <w:left w:val="nil"/>
              <w:bottom w:val="single" w:sz="4" w:space="0" w:color="auto"/>
              <w:right w:val="single" w:sz="4" w:space="0" w:color="auto"/>
            </w:tcBorders>
            <w:shd w:val="clear" w:color="auto" w:fill="auto"/>
            <w:vAlign w:val="center"/>
            <w:hideMark/>
          </w:tcPr>
          <w:p w14:paraId="348B09CA"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PARCIAL</w:t>
            </w:r>
          </w:p>
        </w:tc>
        <w:tc>
          <w:tcPr>
            <w:tcW w:w="1984" w:type="dxa"/>
            <w:tcBorders>
              <w:top w:val="nil"/>
              <w:left w:val="nil"/>
              <w:bottom w:val="single" w:sz="4" w:space="0" w:color="auto"/>
              <w:right w:val="single" w:sz="8" w:space="0" w:color="auto"/>
            </w:tcBorders>
            <w:shd w:val="clear" w:color="auto" w:fill="auto"/>
            <w:vAlign w:val="center"/>
            <w:hideMark/>
          </w:tcPr>
          <w:p w14:paraId="5503650C"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PARCIAL</w:t>
            </w:r>
          </w:p>
        </w:tc>
      </w:tr>
      <w:tr w:rsidR="003A5DA0" w:rsidRPr="006E5442" w14:paraId="433C79BF" w14:textId="77777777" w:rsidTr="003A5DA0">
        <w:trPr>
          <w:trHeight w:val="940"/>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3709DF6D" w14:textId="77777777" w:rsidR="003A5DA0" w:rsidRPr="003A5DA0" w:rsidRDefault="003A5DA0" w:rsidP="003A5DA0">
            <w:pPr>
              <w:jc w:val="both"/>
              <w:rPr>
                <w:rFonts w:ascii="Arial" w:eastAsia="Times New Roman" w:hAnsi="Arial"/>
                <w:b/>
                <w:bCs/>
                <w:color w:val="000000"/>
                <w:sz w:val="22"/>
                <w:szCs w:val="22"/>
                <w:lang w:val="es-CR"/>
              </w:rPr>
            </w:pPr>
            <w:r w:rsidRPr="003A5DA0">
              <w:rPr>
                <w:rFonts w:ascii="Arial" w:eastAsia="Times New Roman" w:hAnsi="Arial"/>
                <w:b/>
                <w:bCs/>
                <w:color w:val="000000"/>
                <w:sz w:val="22"/>
                <w:szCs w:val="22"/>
                <w:lang w:val="es-CR"/>
              </w:rPr>
              <w:t>Propiedades planta y equipos explotados y concesionados</w:t>
            </w:r>
          </w:p>
        </w:tc>
        <w:tc>
          <w:tcPr>
            <w:tcW w:w="1985" w:type="dxa"/>
            <w:tcBorders>
              <w:top w:val="nil"/>
              <w:left w:val="nil"/>
              <w:bottom w:val="single" w:sz="4" w:space="0" w:color="auto"/>
              <w:right w:val="single" w:sz="4" w:space="0" w:color="auto"/>
            </w:tcBorders>
            <w:shd w:val="clear" w:color="auto" w:fill="auto"/>
            <w:vAlign w:val="center"/>
            <w:hideMark/>
          </w:tcPr>
          <w:p w14:paraId="10CD2AF2" w14:textId="77777777" w:rsidR="003A5DA0" w:rsidRPr="003A5DA0" w:rsidRDefault="003A5DA0" w:rsidP="003A5DA0">
            <w:pPr>
              <w:jc w:val="both"/>
              <w:rPr>
                <w:rFonts w:ascii="Arial" w:eastAsia="Times New Roman" w:hAnsi="Arial"/>
                <w:b/>
                <w:bCs/>
                <w:color w:val="000000"/>
                <w:sz w:val="22"/>
                <w:szCs w:val="22"/>
                <w:lang w:val="es-CR"/>
              </w:rPr>
            </w:pPr>
            <w:r w:rsidRPr="003A5DA0">
              <w:rPr>
                <w:rFonts w:ascii="Arial" w:eastAsia="Times New Roman" w:hAnsi="Arial"/>
                <w:b/>
                <w:bCs/>
                <w:color w:val="000000"/>
                <w:sz w:val="22"/>
                <w:szCs w:val="22"/>
                <w:lang w:val="es-CR"/>
              </w:rPr>
              <w:t>Medidos por el modelo de costos</w:t>
            </w:r>
          </w:p>
        </w:tc>
        <w:tc>
          <w:tcPr>
            <w:tcW w:w="1984" w:type="dxa"/>
            <w:tcBorders>
              <w:top w:val="nil"/>
              <w:left w:val="nil"/>
              <w:bottom w:val="single" w:sz="4" w:space="0" w:color="auto"/>
              <w:right w:val="single" w:sz="8" w:space="0" w:color="auto"/>
            </w:tcBorders>
            <w:shd w:val="clear" w:color="auto" w:fill="auto"/>
            <w:vAlign w:val="center"/>
            <w:hideMark/>
          </w:tcPr>
          <w:p w14:paraId="29F5514B" w14:textId="77777777" w:rsidR="003A5DA0" w:rsidRPr="003A5DA0" w:rsidRDefault="003A5DA0" w:rsidP="003A5DA0">
            <w:pPr>
              <w:jc w:val="both"/>
              <w:rPr>
                <w:rFonts w:ascii="Arial" w:eastAsia="Times New Roman" w:hAnsi="Arial"/>
                <w:b/>
                <w:bCs/>
                <w:color w:val="000000"/>
                <w:sz w:val="22"/>
                <w:szCs w:val="22"/>
                <w:lang w:val="es-CR"/>
              </w:rPr>
            </w:pPr>
            <w:r w:rsidRPr="003A5DA0">
              <w:rPr>
                <w:rFonts w:ascii="Arial" w:eastAsia="Times New Roman" w:hAnsi="Arial"/>
                <w:b/>
                <w:bCs/>
                <w:color w:val="000000"/>
                <w:sz w:val="22"/>
                <w:szCs w:val="22"/>
                <w:lang w:val="es-CR"/>
              </w:rPr>
              <w:t>Medidos por el modelo de Revaluación</w:t>
            </w:r>
          </w:p>
        </w:tc>
      </w:tr>
      <w:tr w:rsidR="003A5DA0" w:rsidRPr="003A5DA0" w14:paraId="68ECFCBD" w14:textId="77777777" w:rsidTr="003A5DA0">
        <w:trPr>
          <w:trHeight w:val="320"/>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02176384"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Bienes históricos y culturales</w:t>
            </w:r>
          </w:p>
        </w:tc>
        <w:tc>
          <w:tcPr>
            <w:tcW w:w="1985" w:type="dxa"/>
            <w:tcBorders>
              <w:top w:val="nil"/>
              <w:left w:val="nil"/>
              <w:bottom w:val="single" w:sz="4" w:space="0" w:color="auto"/>
              <w:right w:val="single" w:sz="4" w:space="0" w:color="auto"/>
            </w:tcBorders>
            <w:shd w:val="clear" w:color="auto" w:fill="auto"/>
            <w:vAlign w:val="center"/>
            <w:hideMark/>
          </w:tcPr>
          <w:p w14:paraId="56516B3C"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NINGUNO</w:t>
            </w:r>
          </w:p>
        </w:tc>
        <w:tc>
          <w:tcPr>
            <w:tcW w:w="1984" w:type="dxa"/>
            <w:tcBorders>
              <w:top w:val="nil"/>
              <w:left w:val="nil"/>
              <w:bottom w:val="single" w:sz="4" w:space="0" w:color="auto"/>
              <w:right w:val="single" w:sz="8" w:space="0" w:color="auto"/>
            </w:tcBorders>
            <w:shd w:val="clear" w:color="auto" w:fill="auto"/>
            <w:vAlign w:val="center"/>
            <w:hideMark/>
          </w:tcPr>
          <w:p w14:paraId="0C8BC40E"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TODOS</w:t>
            </w:r>
          </w:p>
        </w:tc>
      </w:tr>
      <w:tr w:rsidR="003A5DA0" w:rsidRPr="003A5DA0" w14:paraId="2D00CC85" w14:textId="77777777" w:rsidTr="003A5DA0">
        <w:trPr>
          <w:trHeight w:val="620"/>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66A8CC94" w14:textId="25A23C27" w:rsidR="003A5DA0" w:rsidRPr="003A5DA0" w:rsidRDefault="003A5DA0" w:rsidP="003A5DA0">
            <w:pPr>
              <w:jc w:val="both"/>
              <w:rPr>
                <w:rFonts w:ascii="Arial" w:eastAsia="Times New Roman" w:hAnsi="Arial"/>
                <w:b/>
                <w:bCs/>
                <w:color w:val="000000"/>
                <w:sz w:val="22"/>
                <w:szCs w:val="22"/>
                <w:lang w:val="es-CR"/>
              </w:rPr>
            </w:pPr>
            <w:r w:rsidRPr="003A5DA0">
              <w:rPr>
                <w:rFonts w:ascii="Arial" w:eastAsia="Times New Roman" w:hAnsi="Arial"/>
                <w:b/>
                <w:bCs/>
                <w:color w:val="000000"/>
                <w:sz w:val="22"/>
                <w:szCs w:val="22"/>
                <w:lang w:val="es-CR"/>
              </w:rPr>
              <w:t>Activos que provienen de beneficios a los empleados</w:t>
            </w:r>
          </w:p>
        </w:tc>
        <w:tc>
          <w:tcPr>
            <w:tcW w:w="1985" w:type="dxa"/>
            <w:tcBorders>
              <w:top w:val="nil"/>
              <w:left w:val="nil"/>
              <w:bottom w:val="single" w:sz="4" w:space="0" w:color="auto"/>
              <w:right w:val="single" w:sz="4" w:space="0" w:color="auto"/>
            </w:tcBorders>
            <w:shd w:val="clear" w:color="auto" w:fill="auto"/>
            <w:vAlign w:val="center"/>
            <w:hideMark/>
          </w:tcPr>
          <w:p w14:paraId="74BD3582"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NINGUNO</w:t>
            </w:r>
          </w:p>
        </w:tc>
        <w:tc>
          <w:tcPr>
            <w:tcW w:w="1984" w:type="dxa"/>
            <w:tcBorders>
              <w:top w:val="nil"/>
              <w:left w:val="nil"/>
              <w:bottom w:val="single" w:sz="4" w:space="0" w:color="auto"/>
              <w:right w:val="single" w:sz="8" w:space="0" w:color="auto"/>
            </w:tcBorders>
            <w:shd w:val="clear" w:color="auto" w:fill="auto"/>
            <w:vAlign w:val="center"/>
            <w:hideMark/>
          </w:tcPr>
          <w:p w14:paraId="19BAC413"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TODOS</w:t>
            </w:r>
          </w:p>
        </w:tc>
      </w:tr>
      <w:tr w:rsidR="003A5DA0" w:rsidRPr="006E5442" w14:paraId="31C0AED1" w14:textId="77777777" w:rsidTr="003A5DA0">
        <w:trPr>
          <w:trHeight w:val="940"/>
        </w:trPr>
        <w:tc>
          <w:tcPr>
            <w:tcW w:w="5093" w:type="dxa"/>
            <w:tcBorders>
              <w:top w:val="nil"/>
              <w:left w:val="single" w:sz="8" w:space="0" w:color="auto"/>
              <w:bottom w:val="single" w:sz="8" w:space="0" w:color="auto"/>
              <w:right w:val="single" w:sz="4" w:space="0" w:color="auto"/>
            </w:tcBorders>
            <w:shd w:val="clear" w:color="auto" w:fill="auto"/>
            <w:vAlign w:val="center"/>
            <w:hideMark/>
          </w:tcPr>
          <w:p w14:paraId="12B2C5F6" w14:textId="77777777" w:rsidR="003A5DA0" w:rsidRPr="003A5DA0" w:rsidRDefault="003A5DA0" w:rsidP="003A5DA0">
            <w:pPr>
              <w:jc w:val="both"/>
              <w:rPr>
                <w:rFonts w:ascii="Arial" w:eastAsia="Times New Roman" w:hAnsi="Arial"/>
                <w:b/>
                <w:bCs/>
                <w:color w:val="000000"/>
                <w:sz w:val="22"/>
                <w:szCs w:val="22"/>
              </w:rPr>
            </w:pPr>
            <w:r w:rsidRPr="003A5DA0">
              <w:rPr>
                <w:rFonts w:ascii="Arial" w:eastAsia="Times New Roman" w:hAnsi="Arial"/>
                <w:b/>
                <w:bCs/>
                <w:color w:val="000000"/>
                <w:sz w:val="22"/>
                <w:szCs w:val="22"/>
              </w:rPr>
              <w:t>Activos intangibles</w:t>
            </w:r>
          </w:p>
        </w:tc>
        <w:tc>
          <w:tcPr>
            <w:tcW w:w="1985" w:type="dxa"/>
            <w:tcBorders>
              <w:top w:val="nil"/>
              <w:left w:val="nil"/>
              <w:bottom w:val="single" w:sz="8" w:space="0" w:color="auto"/>
              <w:right w:val="single" w:sz="4" w:space="0" w:color="auto"/>
            </w:tcBorders>
            <w:shd w:val="clear" w:color="auto" w:fill="auto"/>
            <w:vAlign w:val="center"/>
            <w:hideMark/>
          </w:tcPr>
          <w:p w14:paraId="6F613852" w14:textId="77777777" w:rsidR="003A5DA0" w:rsidRPr="003A5DA0" w:rsidRDefault="003A5DA0" w:rsidP="003A5DA0">
            <w:pPr>
              <w:jc w:val="both"/>
              <w:rPr>
                <w:rFonts w:ascii="Arial" w:eastAsia="Times New Roman" w:hAnsi="Arial"/>
                <w:b/>
                <w:bCs/>
                <w:color w:val="000000"/>
                <w:sz w:val="22"/>
                <w:szCs w:val="22"/>
                <w:lang w:val="es-CR"/>
              </w:rPr>
            </w:pPr>
            <w:r w:rsidRPr="003A5DA0">
              <w:rPr>
                <w:rFonts w:ascii="Arial" w:eastAsia="Times New Roman" w:hAnsi="Arial"/>
                <w:b/>
                <w:bCs/>
                <w:color w:val="000000"/>
                <w:sz w:val="22"/>
                <w:szCs w:val="22"/>
                <w:lang w:val="es-CR"/>
              </w:rPr>
              <w:t>Medidos según el modelo de costo</w:t>
            </w:r>
          </w:p>
        </w:tc>
        <w:tc>
          <w:tcPr>
            <w:tcW w:w="1984" w:type="dxa"/>
            <w:tcBorders>
              <w:top w:val="nil"/>
              <w:left w:val="nil"/>
              <w:bottom w:val="single" w:sz="8" w:space="0" w:color="auto"/>
              <w:right w:val="single" w:sz="8" w:space="0" w:color="auto"/>
            </w:tcBorders>
            <w:shd w:val="clear" w:color="auto" w:fill="auto"/>
            <w:vAlign w:val="center"/>
            <w:hideMark/>
          </w:tcPr>
          <w:p w14:paraId="7FBA8657" w14:textId="77777777" w:rsidR="003A5DA0" w:rsidRPr="003A5DA0" w:rsidRDefault="003A5DA0" w:rsidP="003A5DA0">
            <w:pPr>
              <w:jc w:val="both"/>
              <w:rPr>
                <w:rFonts w:ascii="Arial" w:eastAsia="Times New Roman" w:hAnsi="Arial"/>
                <w:b/>
                <w:bCs/>
                <w:color w:val="000000"/>
                <w:sz w:val="22"/>
                <w:szCs w:val="22"/>
                <w:lang w:val="es-CR"/>
              </w:rPr>
            </w:pPr>
            <w:r w:rsidRPr="003A5DA0">
              <w:rPr>
                <w:rFonts w:ascii="Arial" w:eastAsia="Times New Roman" w:hAnsi="Arial"/>
                <w:b/>
                <w:bCs/>
                <w:color w:val="000000"/>
                <w:sz w:val="22"/>
                <w:szCs w:val="22"/>
                <w:lang w:val="es-CR"/>
              </w:rPr>
              <w:t>Medidos según el modelo de Revaluación</w:t>
            </w:r>
          </w:p>
        </w:tc>
      </w:tr>
    </w:tbl>
    <w:p w14:paraId="1A3E0930" w14:textId="77777777" w:rsidR="00403A41" w:rsidRDefault="00403A41" w:rsidP="00A351C9">
      <w:pPr>
        <w:spacing w:line="238" w:lineRule="auto"/>
        <w:ind w:left="1134" w:right="260" w:hanging="1134"/>
        <w:jc w:val="both"/>
        <w:rPr>
          <w:rFonts w:ascii="Arial" w:eastAsia="Arial" w:hAnsi="Arial"/>
          <w:b/>
          <w:sz w:val="22"/>
          <w:szCs w:val="22"/>
          <w:lang w:val="es-CR"/>
        </w:rPr>
      </w:pPr>
    </w:p>
    <w:p w14:paraId="5897CD4A" w14:textId="77777777" w:rsidR="00C947F4" w:rsidRPr="00F02F9D" w:rsidRDefault="00C947F4" w:rsidP="00A351C9">
      <w:pPr>
        <w:spacing w:line="238" w:lineRule="auto"/>
        <w:ind w:left="1134" w:right="260" w:hanging="1134"/>
        <w:jc w:val="both"/>
        <w:rPr>
          <w:rFonts w:ascii="Arial" w:eastAsia="Arial" w:hAnsi="Arial"/>
          <w:b/>
          <w:sz w:val="22"/>
          <w:szCs w:val="22"/>
          <w:lang w:val="es-CR"/>
        </w:rPr>
      </w:pPr>
    </w:p>
    <w:p w14:paraId="04597F26" w14:textId="77777777" w:rsidR="00403A41" w:rsidRPr="00F02F9D" w:rsidRDefault="00403A41" w:rsidP="00A351C9">
      <w:pPr>
        <w:spacing w:line="238" w:lineRule="auto"/>
        <w:ind w:left="1134" w:right="260" w:hanging="1134"/>
        <w:jc w:val="both"/>
        <w:rPr>
          <w:rFonts w:ascii="Arial" w:eastAsia="Arial" w:hAnsi="Arial"/>
          <w:b/>
          <w:sz w:val="22"/>
          <w:szCs w:val="22"/>
          <w:lang w:val="es-CR"/>
        </w:rPr>
      </w:pPr>
    </w:p>
    <w:tbl>
      <w:tblPr>
        <w:tblW w:w="9135" w:type="dxa"/>
        <w:tblLook w:val="04A0" w:firstRow="1" w:lastRow="0" w:firstColumn="1" w:lastColumn="0" w:noHBand="0" w:noVBand="1"/>
      </w:tblPr>
      <w:tblGrid>
        <w:gridCol w:w="555"/>
        <w:gridCol w:w="617"/>
        <w:gridCol w:w="528"/>
        <w:gridCol w:w="3252"/>
        <w:gridCol w:w="2126"/>
        <w:gridCol w:w="2050"/>
        <w:gridCol w:w="7"/>
      </w:tblGrid>
      <w:tr w:rsidR="00F47141" w:rsidRPr="00C947F4" w14:paraId="695330B1" w14:textId="77777777" w:rsidTr="00F47141">
        <w:trPr>
          <w:trHeight w:val="320"/>
        </w:trPr>
        <w:tc>
          <w:tcPr>
            <w:tcW w:w="170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414A0EF" w14:textId="77777777" w:rsidR="00F47141" w:rsidRPr="00C947F4" w:rsidRDefault="00F47141" w:rsidP="00F47141">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Norma / Política</w:t>
            </w:r>
          </w:p>
        </w:tc>
        <w:tc>
          <w:tcPr>
            <w:tcW w:w="325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66EC651" w14:textId="77777777" w:rsidR="00F47141" w:rsidRPr="00C947F4" w:rsidRDefault="00F47141" w:rsidP="00F47141">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Concepto</w:t>
            </w:r>
          </w:p>
        </w:tc>
        <w:tc>
          <w:tcPr>
            <w:tcW w:w="4183" w:type="dxa"/>
            <w:gridSpan w:val="3"/>
            <w:tcBorders>
              <w:top w:val="single" w:sz="8" w:space="0" w:color="auto"/>
              <w:left w:val="nil"/>
              <w:bottom w:val="single" w:sz="8" w:space="0" w:color="auto"/>
              <w:right w:val="single" w:sz="8" w:space="0" w:color="000000"/>
            </w:tcBorders>
            <w:shd w:val="clear" w:color="000000" w:fill="203764"/>
            <w:vAlign w:val="center"/>
            <w:hideMark/>
          </w:tcPr>
          <w:p w14:paraId="52BAF4EE" w14:textId="77777777" w:rsidR="00F47141" w:rsidRPr="00C947F4" w:rsidRDefault="00F47141" w:rsidP="00F47141">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Referencia</w:t>
            </w:r>
          </w:p>
        </w:tc>
      </w:tr>
      <w:tr w:rsidR="00F47141" w:rsidRPr="0071104F" w14:paraId="0F0415D1" w14:textId="77777777" w:rsidTr="00F47141">
        <w:trPr>
          <w:gridAfter w:val="1"/>
          <w:wAfter w:w="7" w:type="dxa"/>
          <w:trHeight w:val="320"/>
        </w:trPr>
        <w:tc>
          <w:tcPr>
            <w:tcW w:w="1700" w:type="dxa"/>
            <w:gridSpan w:val="3"/>
            <w:vMerge/>
            <w:tcBorders>
              <w:top w:val="single" w:sz="8" w:space="0" w:color="auto"/>
              <w:left w:val="single" w:sz="8" w:space="0" w:color="auto"/>
              <w:bottom w:val="nil"/>
              <w:right w:val="single" w:sz="8" w:space="0" w:color="000000"/>
            </w:tcBorders>
            <w:vAlign w:val="center"/>
            <w:hideMark/>
          </w:tcPr>
          <w:p w14:paraId="377FD529" w14:textId="77777777" w:rsidR="00F47141" w:rsidRPr="00C947F4" w:rsidRDefault="00F47141" w:rsidP="00F47141">
            <w:pPr>
              <w:rPr>
                <w:rFonts w:ascii="Arial Narrow" w:eastAsia="Times New Roman" w:hAnsi="Arial Narrow"/>
                <w:b/>
                <w:bCs/>
                <w:color w:val="FFFFFF"/>
                <w:sz w:val="22"/>
                <w:szCs w:val="22"/>
              </w:rPr>
            </w:pPr>
          </w:p>
        </w:tc>
        <w:tc>
          <w:tcPr>
            <w:tcW w:w="3252" w:type="dxa"/>
            <w:vMerge/>
            <w:tcBorders>
              <w:top w:val="single" w:sz="8" w:space="0" w:color="auto"/>
              <w:left w:val="single" w:sz="8" w:space="0" w:color="auto"/>
              <w:bottom w:val="single" w:sz="4" w:space="0" w:color="auto"/>
              <w:right w:val="single" w:sz="8" w:space="0" w:color="auto"/>
            </w:tcBorders>
            <w:vAlign w:val="center"/>
            <w:hideMark/>
          </w:tcPr>
          <w:p w14:paraId="3E215E16" w14:textId="77777777" w:rsidR="00F47141" w:rsidRPr="00C947F4" w:rsidRDefault="00F47141" w:rsidP="00F47141">
            <w:pPr>
              <w:rPr>
                <w:rFonts w:ascii="Arial Narrow" w:eastAsia="Times New Roman" w:hAnsi="Arial Narrow"/>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212343D1" w14:textId="77777777" w:rsidR="00F47141" w:rsidRPr="00C947F4" w:rsidRDefault="00F47141" w:rsidP="00F47141">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Norma</w:t>
            </w:r>
          </w:p>
        </w:tc>
        <w:tc>
          <w:tcPr>
            <w:tcW w:w="2050" w:type="dxa"/>
            <w:tcBorders>
              <w:top w:val="nil"/>
              <w:left w:val="nil"/>
              <w:bottom w:val="nil"/>
              <w:right w:val="single" w:sz="8" w:space="0" w:color="auto"/>
            </w:tcBorders>
            <w:shd w:val="clear" w:color="000000" w:fill="203764"/>
            <w:vAlign w:val="center"/>
            <w:hideMark/>
          </w:tcPr>
          <w:p w14:paraId="60ED69E3" w14:textId="12C36818" w:rsidR="00F47141" w:rsidRPr="0071104F" w:rsidRDefault="0071104F" w:rsidP="00F47141">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47141" w:rsidRPr="00C947F4" w14:paraId="66B5AD03" w14:textId="77777777" w:rsidTr="00F47141">
        <w:trPr>
          <w:gridAfter w:val="1"/>
          <w:wAfter w:w="7" w:type="dxa"/>
          <w:trHeight w:val="946"/>
        </w:trPr>
        <w:tc>
          <w:tcPr>
            <w:tcW w:w="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C59911" w14:textId="77777777" w:rsidR="00F47141" w:rsidRPr="00C947F4" w:rsidRDefault="00F47141" w:rsidP="00F47141">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798DE61B" w14:textId="77777777" w:rsidR="00F47141" w:rsidRPr="00C947F4" w:rsidRDefault="00F47141" w:rsidP="00F47141">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lang w:val="es-CR"/>
              </w:rPr>
              <w:t>191</w:t>
            </w:r>
          </w:p>
        </w:tc>
        <w:tc>
          <w:tcPr>
            <w:tcW w:w="528" w:type="dxa"/>
            <w:tcBorders>
              <w:top w:val="single" w:sz="8" w:space="0" w:color="auto"/>
              <w:left w:val="nil"/>
              <w:bottom w:val="single" w:sz="8" w:space="0" w:color="auto"/>
              <w:right w:val="single" w:sz="4" w:space="0" w:color="auto"/>
            </w:tcBorders>
            <w:shd w:val="clear" w:color="auto" w:fill="auto"/>
            <w:vAlign w:val="center"/>
            <w:hideMark/>
          </w:tcPr>
          <w:p w14:paraId="53C19E35" w14:textId="77777777" w:rsidR="00F47141" w:rsidRPr="00C947F4" w:rsidRDefault="00F47141" w:rsidP="00F47141">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 xml:space="preserve"> </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F2F98" w14:textId="77777777" w:rsidR="00F47141" w:rsidRPr="00C947F4" w:rsidRDefault="00F47141" w:rsidP="00F47141">
            <w:pPr>
              <w:jc w:val="both"/>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Reclasificación de activos</w:t>
            </w:r>
          </w:p>
        </w:tc>
        <w:tc>
          <w:tcPr>
            <w:tcW w:w="212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969E2D4" w14:textId="77777777" w:rsidR="00C947F4" w:rsidRDefault="00F47141" w:rsidP="00F47141">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NICSP N° 21, </w:t>
            </w:r>
          </w:p>
          <w:p w14:paraId="6A6E139C" w14:textId="36612F8C" w:rsidR="00F47141" w:rsidRDefault="00F47141" w:rsidP="00F47141">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 71.</w:t>
            </w:r>
          </w:p>
          <w:p w14:paraId="150CCDDA" w14:textId="77777777" w:rsidR="00C947F4" w:rsidRPr="00C947F4" w:rsidRDefault="00C947F4" w:rsidP="00F47141">
            <w:pPr>
              <w:jc w:val="both"/>
              <w:rPr>
                <w:rFonts w:ascii="Arial Narrow" w:eastAsia="Times New Roman" w:hAnsi="Arial Narrow"/>
                <w:b/>
                <w:bCs/>
                <w:color w:val="000000"/>
                <w:sz w:val="22"/>
                <w:szCs w:val="22"/>
                <w:lang w:val="es-CR"/>
              </w:rPr>
            </w:pPr>
          </w:p>
          <w:p w14:paraId="07B6BC87" w14:textId="77777777" w:rsidR="00C947F4" w:rsidRDefault="00F47141" w:rsidP="00F47141">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NICSP Nº 26, </w:t>
            </w:r>
          </w:p>
          <w:p w14:paraId="1E31B9FB" w14:textId="7E2FB81A" w:rsidR="00F47141" w:rsidRPr="00C947F4" w:rsidRDefault="00F47141" w:rsidP="00F47141">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 112.</w:t>
            </w:r>
          </w:p>
        </w:tc>
        <w:tc>
          <w:tcPr>
            <w:tcW w:w="2050" w:type="dxa"/>
            <w:tcBorders>
              <w:top w:val="single" w:sz="8" w:space="0" w:color="auto"/>
              <w:left w:val="nil"/>
              <w:bottom w:val="single" w:sz="8" w:space="0" w:color="auto"/>
              <w:right w:val="single" w:sz="8" w:space="0" w:color="auto"/>
            </w:tcBorders>
            <w:shd w:val="clear" w:color="auto" w:fill="auto"/>
            <w:vAlign w:val="center"/>
            <w:hideMark/>
          </w:tcPr>
          <w:p w14:paraId="74B88AE7" w14:textId="77777777" w:rsidR="00F47141" w:rsidRPr="00C947F4" w:rsidRDefault="00F47141" w:rsidP="00F47141">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lang w:val="es-CR"/>
              </w:rPr>
              <w:t xml:space="preserve"> DGCN</w:t>
            </w:r>
          </w:p>
        </w:tc>
      </w:tr>
    </w:tbl>
    <w:p w14:paraId="7065A68B" w14:textId="77777777" w:rsidR="00A963E1" w:rsidRDefault="00A963E1" w:rsidP="005E5900">
      <w:pPr>
        <w:spacing w:line="264" w:lineRule="auto"/>
        <w:ind w:left="1134" w:right="260" w:hanging="1134"/>
        <w:jc w:val="both"/>
        <w:rPr>
          <w:rFonts w:ascii="Arial" w:eastAsia="Arial" w:hAnsi="Arial"/>
          <w:b/>
          <w:sz w:val="22"/>
          <w:szCs w:val="22"/>
        </w:rPr>
      </w:pPr>
    </w:p>
    <w:p w14:paraId="2AE6BEC2" w14:textId="06B31045" w:rsidR="00A963E1" w:rsidRDefault="00A963E1" w:rsidP="005E5900">
      <w:pPr>
        <w:spacing w:line="264"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3E56E627" w14:textId="77777777" w:rsidR="00A963E1" w:rsidRDefault="00A963E1" w:rsidP="005E5900">
      <w:pPr>
        <w:spacing w:line="264" w:lineRule="auto"/>
        <w:ind w:left="1134" w:right="260" w:hanging="1134"/>
        <w:jc w:val="both"/>
        <w:rPr>
          <w:rFonts w:ascii="Arial" w:eastAsia="Arial" w:hAnsi="Arial"/>
          <w:bCs/>
          <w:sz w:val="22"/>
          <w:szCs w:val="22"/>
          <w:lang w:val="es-CR"/>
        </w:rPr>
      </w:pPr>
    </w:p>
    <w:p w14:paraId="1FF83FA7" w14:textId="4E1F8965" w:rsidR="005E5900" w:rsidRPr="00F02F9D" w:rsidRDefault="005E5900" w:rsidP="005E5900">
      <w:pPr>
        <w:spacing w:line="26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1.191.0.01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la reclasificación de activos generadores de efectivo a activos no generadores de efectivo y viceversa sólo se producirá cuando exista una evidencia clara de que tal reclasificación es adecuada. Esta reclasificación, por sí sola, no provoca necesariamente una comprobación del deterioro o una reversión de la pérdida por deterioro, sino que el indicio para realizar una comprobación del deterioro o una reversión de la pérdida por deterioro surgirá, como mínimo, de los indicios internos y externos aplicables al activo tras su reclasificación.</w:t>
      </w:r>
    </w:p>
    <w:p w14:paraId="13E117B6" w14:textId="77777777" w:rsidR="00805EBE" w:rsidRPr="00F02F9D" w:rsidRDefault="00805EBE" w:rsidP="00A351C9">
      <w:pPr>
        <w:spacing w:line="238" w:lineRule="auto"/>
        <w:ind w:left="1134" w:right="260" w:hanging="1134"/>
        <w:jc w:val="both"/>
        <w:rPr>
          <w:rFonts w:ascii="Arial" w:eastAsia="Arial" w:hAnsi="Arial"/>
          <w:b/>
          <w:sz w:val="22"/>
          <w:szCs w:val="22"/>
          <w:lang w:val="es-CR"/>
        </w:rPr>
      </w:pPr>
    </w:p>
    <w:p w14:paraId="329BD1A4" w14:textId="77777777" w:rsidR="000236D5" w:rsidRPr="00F02F9D" w:rsidRDefault="000236D5" w:rsidP="00A351C9">
      <w:pPr>
        <w:spacing w:line="238" w:lineRule="auto"/>
        <w:ind w:left="1134" w:right="260" w:hanging="1134"/>
        <w:jc w:val="both"/>
        <w:rPr>
          <w:rFonts w:ascii="Arial" w:eastAsia="Arial" w:hAnsi="Arial"/>
          <w:b/>
          <w:sz w:val="22"/>
          <w:szCs w:val="22"/>
          <w:lang w:val="es-CR"/>
        </w:rPr>
      </w:pPr>
    </w:p>
    <w:tbl>
      <w:tblPr>
        <w:tblW w:w="9164" w:type="dxa"/>
        <w:tblLook w:val="04A0" w:firstRow="1" w:lastRow="0" w:firstColumn="1" w:lastColumn="0" w:noHBand="0" w:noVBand="1"/>
      </w:tblPr>
      <w:tblGrid>
        <w:gridCol w:w="562"/>
        <w:gridCol w:w="517"/>
        <w:gridCol w:w="539"/>
        <w:gridCol w:w="3334"/>
        <w:gridCol w:w="2126"/>
        <w:gridCol w:w="2086"/>
      </w:tblGrid>
      <w:tr w:rsidR="000236D5" w:rsidRPr="00C947F4" w14:paraId="7B8500C8" w14:textId="77777777" w:rsidTr="00F36957">
        <w:trPr>
          <w:trHeight w:val="320"/>
        </w:trPr>
        <w:tc>
          <w:tcPr>
            <w:tcW w:w="161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4B6D9A3" w14:textId="77777777" w:rsidR="000236D5" w:rsidRPr="00C947F4" w:rsidRDefault="000236D5" w:rsidP="000236D5">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Norma / Política</w:t>
            </w:r>
          </w:p>
        </w:tc>
        <w:tc>
          <w:tcPr>
            <w:tcW w:w="33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5C80F2B" w14:textId="77777777" w:rsidR="000236D5" w:rsidRPr="00C947F4" w:rsidRDefault="000236D5" w:rsidP="000236D5">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Concepto</w:t>
            </w:r>
          </w:p>
        </w:tc>
        <w:tc>
          <w:tcPr>
            <w:tcW w:w="4212" w:type="dxa"/>
            <w:gridSpan w:val="2"/>
            <w:tcBorders>
              <w:top w:val="single" w:sz="8" w:space="0" w:color="auto"/>
              <w:left w:val="nil"/>
              <w:bottom w:val="single" w:sz="8" w:space="0" w:color="auto"/>
              <w:right w:val="single" w:sz="8" w:space="0" w:color="000000"/>
            </w:tcBorders>
            <w:shd w:val="clear" w:color="000000" w:fill="203764"/>
            <w:vAlign w:val="center"/>
            <w:hideMark/>
          </w:tcPr>
          <w:p w14:paraId="26FAB881" w14:textId="77777777" w:rsidR="000236D5" w:rsidRPr="00C947F4" w:rsidRDefault="000236D5" w:rsidP="000236D5">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Referencia</w:t>
            </w:r>
          </w:p>
        </w:tc>
      </w:tr>
      <w:tr w:rsidR="000236D5" w:rsidRPr="0071104F" w14:paraId="5685043D" w14:textId="77777777" w:rsidTr="00F36957">
        <w:trPr>
          <w:trHeight w:val="320"/>
        </w:trPr>
        <w:tc>
          <w:tcPr>
            <w:tcW w:w="1618" w:type="dxa"/>
            <w:gridSpan w:val="3"/>
            <w:vMerge/>
            <w:tcBorders>
              <w:top w:val="single" w:sz="8" w:space="0" w:color="auto"/>
              <w:left w:val="single" w:sz="8" w:space="0" w:color="auto"/>
              <w:bottom w:val="nil"/>
              <w:right w:val="single" w:sz="8" w:space="0" w:color="000000"/>
            </w:tcBorders>
            <w:vAlign w:val="center"/>
            <w:hideMark/>
          </w:tcPr>
          <w:p w14:paraId="387BE348" w14:textId="77777777" w:rsidR="000236D5" w:rsidRPr="00C947F4" w:rsidRDefault="000236D5" w:rsidP="000236D5">
            <w:pPr>
              <w:rPr>
                <w:rFonts w:ascii="Arial Narrow" w:eastAsia="Times New Roman" w:hAnsi="Arial Narrow"/>
                <w:b/>
                <w:bCs/>
                <w:color w:val="FFFFFF"/>
                <w:sz w:val="22"/>
                <w:szCs w:val="22"/>
              </w:rPr>
            </w:pPr>
          </w:p>
        </w:tc>
        <w:tc>
          <w:tcPr>
            <w:tcW w:w="3334" w:type="dxa"/>
            <w:vMerge/>
            <w:tcBorders>
              <w:top w:val="single" w:sz="8" w:space="0" w:color="auto"/>
              <w:left w:val="single" w:sz="8" w:space="0" w:color="auto"/>
              <w:bottom w:val="single" w:sz="4" w:space="0" w:color="auto"/>
              <w:right w:val="single" w:sz="8" w:space="0" w:color="auto"/>
            </w:tcBorders>
            <w:vAlign w:val="center"/>
            <w:hideMark/>
          </w:tcPr>
          <w:p w14:paraId="03CB06EB" w14:textId="77777777" w:rsidR="000236D5" w:rsidRPr="00C947F4" w:rsidRDefault="000236D5" w:rsidP="000236D5">
            <w:pPr>
              <w:rPr>
                <w:rFonts w:ascii="Arial Narrow" w:eastAsia="Times New Roman" w:hAnsi="Arial Narrow"/>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1ED51CF8" w14:textId="77777777" w:rsidR="000236D5" w:rsidRPr="00C947F4" w:rsidRDefault="000236D5" w:rsidP="000236D5">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Norma</w:t>
            </w:r>
          </w:p>
        </w:tc>
        <w:tc>
          <w:tcPr>
            <w:tcW w:w="2082" w:type="dxa"/>
            <w:tcBorders>
              <w:top w:val="nil"/>
              <w:left w:val="nil"/>
              <w:bottom w:val="nil"/>
              <w:right w:val="single" w:sz="8" w:space="0" w:color="auto"/>
            </w:tcBorders>
            <w:shd w:val="clear" w:color="000000" w:fill="203764"/>
            <w:vAlign w:val="center"/>
            <w:hideMark/>
          </w:tcPr>
          <w:p w14:paraId="70C52763" w14:textId="35590C1D" w:rsidR="000236D5" w:rsidRPr="0071104F" w:rsidRDefault="0071104F" w:rsidP="000236D5">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02F9D" w:rsidRPr="00C947F4" w14:paraId="7C383CED" w14:textId="77777777" w:rsidTr="00F36957">
        <w:trPr>
          <w:trHeight w:val="825"/>
        </w:trPr>
        <w:tc>
          <w:tcPr>
            <w:tcW w:w="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07AFE" w14:textId="77777777" w:rsidR="000236D5" w:rsidRPr="00C947F4" w:rsidRDefault="000236D5" w:rsidP="000236D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lang w:val="es-CR"/>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557B2C27" w14:textId="77777777" w:rsidR="000236D5" w:rsidRPr="00C947F4" w:rsidRDefault="000236D5" w:rsidP="000236D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lang w:val="es-CR"/>
              </w:rPr>
              <w:t>192</w:t>
            </w:r>
          </w:p>
        </w:tc>
        <w:tc>
          <w:tcPr>
            <w:tcW w:w="539" w:type="dxa"/>
            <w:tcBorders>
              <w:top w:val="single" w:sz="8" w:space="0" w:color="auto"/>
              <w:left w:val="nil"/>
              <w:bottom w:val="single" w:sz="8" w:space="0" w:color="auto"/>
              <w:right w:val="single" w:sz="4" w:space="0" w:color="auto"/>
            </w:tcBorders>
            <w:shd w:val="clear" w:color="auto" w:fill="auto"/>
            <w:vAlign w:val="center"/>
            <w:hideMark/>
          </w:tcPr>
          <w:p w14:paraId="7159B1C0" w14:textId="77777777" w:rsidR="000236D5" w:rsidRPr="00C947F4" w:rsidRDefault="000236D5" w:rsidP="000236D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 xml:space="preserve"> </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0DEF" w14:textId="77777777" w:rsidR="000236D5" w:rsidRPr="00C947F4" w:rsidRDefault="000236D5" w:rsidP="000236D5">
            <w:pPr>
              <w:jc w:val="both"/>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Monto recuperable</w:t>
            </w:r>
          </w:p>
        </w:tc>
        <w:tc>
          <w:tcPr>
            <w:tcW w:w="212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1282AE1" w14:textId="77777777" w:rsidR="00F36957" w:rsidRDefault="000236D5" w:rsidP="000236D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NICSP N° 21,</w:t>
            </w:r>
          </w:p>
          <w:p w14:paraId="3BA594ED" w14:textId="2A7D4A93" w:rsidR="00F36957" w:rsidRDefault="000236D5" w:rsidP="00F36957">
            <w:pPr>
              <w:spacing w:after="120"/>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 25.</w:t>
            </w:r>
          </w:p>
          <w:p w14:paraId="264F02F6" w14:textId="3EF9E7AA" w:rsidR="00F36957" w:rsidRDefault="000236D5" w:rsidP="000236D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NICSP Nº 26,</w:t>
            </w:r>
          </w:p>
          <w:p w14:paraId="71F454F9" w14:textId="403150EA" w:rsidR="000236D5" w:rsidRPr="00C947F4" w:rsidRDefault="000236D5" w:rsidP="000236D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 21.</w:t>
            </w:r>
          </w:p>
        </w:tc>
        <w:tc>
          <w:tcPr>
            <w:tcW w:w="2082" w:type="dxa"/>
            <w:tcBorders>
              <w:top w:val="single" w:sz="8" w:space="0" w:color="auto"/>
              <w:left w:val="nil"/>
              <w:bottom w:val="single" w:sz="8" w:space="0" w:color="auto"/>
              <w:right w:val="single" w:sz="8" w:space="0" w:color="auto"/>
            </w:tcBorders>
            <w:shd w:val="clear" w:color="auto" w:fill="auto"/>
            <w:vAlign w:val="center"/>
            <w:hideMark/>
          </w:tcPr>
          <w:p w14:paraId="456CDBC7" w14:textId="43D3E02A" w:rsidR="000236D5" w:rsidRPr="00C947F4" w:rsidRDefault="000236D5" w:rsidP="000236D5">
            <w:pPr>
              <w:jc w:val="center"/>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 </w:t>
            </w:r>
          </w:p>
        </w:tc>
      </w:tr>
    </w:tbl>
    <w:p w14:paraId="59AE6464" w14:textId="77777777" w:rsidR="00805EBE" w:rsidRDefault="00805EBE" w:rsidP="00A351C9">
      <w:pPr>
        <w:spacing w:line="238" w:lineRule="auto"/>
        <w:ind w:left="1134" w:right="260" w:hanging="1134"/>
        <w:jc w:val="both"/>
        <w:rPr>
          <w:rFonts w:ascii="Arial" w:eastAsia="Arial" w:hAnsi="Arial"/>
          <w:b/>
          <w:sz w:val="22"/>
          <w:szCs w:val="22"/>
          <w:lang w:val="es-CR"/>
        </w:rPr>
      </w:pPr>
    </w:p>
    <w:p w14:paraId="73749CAF" w14:textId="5BD1022C" w:rsidR="00A963E1" w:rsidRDefault="00A963E1" w:rsidP="00A351C9">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3C095C1D" w14:textId="77777777" w:rsidR="00A963E1" w:rsidRPr="00F02F9D" w:rsidRDefault="00A963E1" w:rsidP="00A351C9">
      <w:pPr>
        <w:spacing w:line="238" w:lineRule="auto"/>
        <w:ind w:left="1134" w:right="260" w:hanging="1134"/>
        <w:jc w:val="both"/>
        <w:rPr>
          <w:rFonts w:ascii="Arial" w:eastAsia="Arial" w:hAnsi="Arial"/>
          <w:b/>
          <w:sz w:val="22"/>
          <w:szCs w:val="22"/>
          <w:lang w:val="es-CR"/>
        </w:rPr>
      </w:pPr>
    </w:p>
    <w:p w14:paraId="1391C089" w14:textId="25886262" w:rsidR="000236D5" w:rsidRDefault="000236D5" w:rsidP="000236D5">
      <w:pPr>
        <w:spacing w:line="264"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1.192.0.01</w:t>
      </w:r>
      <w:r w:rsidRPr="00F02F9D">
        <w:rPr>
          <w:rFonts w:ascii="Arial" w:eastAsia="Arial" w:hAnsi="Arial"/>
          <w:bCs/>
          <w:sz w:val="22"/>
          <w:szCs w:val="22"/>
          <w:lang w:val="es-CR"/>
        </w:rPr>
        <w:tab/>
        <w:t>El valor de un activo se deteriora cuando el importe del mismo en libros excede a su monto recuperable. Se analizarán las circunstancias que pueden determinar el indicio de deterioro, de acuerdo con lo establecido en la NICSP, si se presenta alguno de tales indicios, deberá realizarse una estimación del monto recuperable.</w:t>
      </w:r>
    </w:p>
    <w:p w14:paraId="68C3B4E5" w14:textId="77777777" w:rsidR="00C947F4" w:rsidRPr="00F02F9D" w:rsidRDefault="00C947F4" w:rsidP="000236D5">
      <w:pPr>
        <w:spacing w:line="264" w:lineRule="auto"/>
        <w:ind w:left="1134" w:right="260" w:hanging="1134"/>
        <w:jc w:val="both"/>
        <w:rPr>
          <w:rFonts w:ascii="Arial" w:eastAsia="Arial" w:hAnsi="Arial"/>
          <w:bCs/>
          <w:sz w:val="22"/>
          <w:szCs w:val="22"/>
          <w:lang w:val="es-CR"/>
        </w:rPr>
      </w:pPr>
    </w:p>
    <w:p w14:paraId="5CF676CF" w14:textId="77777777" w:rsidR="00805EBE" w:rsidRDefault="00805EBE" w:rsidP="000236D5">
      <w:pPr>
        <w:spacing w:line="264" w:lineRule="auto"/>
        <w:ind w:left="1134" w:right="260" w:hanging="1134"/>
        <w:jc w:val="both"/>
        <w:rPr>
          <w:rFonts w:ascii="Arial" w:eastAsia="Arial" w:hAnsi="Arial"/>
          <w:bCs/>
          <w:sz w:val="22"/>
          <w:szCs w:val="22"/>
          <w:lang w:val="es-CR"/>
        </w:rPr>
      </w:pPr>
    </w:p>
    <w:p w14:paraId="0A620FDC" w14:textId="77777777" w:rsidR="00F36957" w:rsidRDefault="00F36957" w:rsidP="000236D5">
      <w:pPr>
        <w:spacing w:line="264" w:lineRule="auto"/>
        <w:ind w:left="1134" w:right="260" w:hanging="1134"/>
        <w:jc w:val="both"/>
        <w:rPr>
          <w:rFonts w:ascii="Arial" w:eastAsia="Arial" w:hAnsi="Arial"/>
          <w:bCs/>
          <w:sz w:val="22"/>
          <w:szCs w:val="22"/>
          <w:lang w:val="es-CR"/>
        </w:rPr>
      </w:pPr>
    </w:p>
    <w:p w14:paraId="0056B306" w14:textId="77777777" w:rsidR="00F36957" w:rsidRDefault="00F36957" w:rsidP="000236D5">
      <w:pPr>
        <w:spacing w:line="264" w:lineRule="auto"/>
        <w:ind w:left="1134" w:right="260" w:hanging="1134"/>
        <w:jc w:val="both"/>
        <w:rPr>
          <w:rFonts w:ascii="Arial" w:eastAsia="Arial" w:hAnsi="Arial"/>
          <w:bCs/>
          <w:sz w:val="22"/>
          <w:szCs w:val="22"/>
          <w:lang w:val="es-CR"/>
        </w:rPr>
      </w:pPr>
    </w:p>
    <w:p w14:paraId="44BBB916" w14:textId="77777777" w:rsidR="00F36957" w:rsidRPr="00F02F9D" w:rsidRDefault="00F36957" w:rsidP="000236D5">
      <w:pPr>
        <w:spacing w:line="264" w:lineRule="auto"/>
        <w:ind w:left="1134" w:right="260" w:hanging="1134"/>
        <w:jc w:val="both"/>
        <w:rPr>
          <w:rFonts w:ascii="Arial" w:eastAsia="Arial" w:hAnsi="Arial"/>
          <w:bCs/>
          <w:sz w:val="22"/>
          <w:szCs w:val="22"/>
          <w:lang w:val="es-CR"/>
        </w:rPr>
      </w:pPr>
    </w:p>
    <w:tbl>
      <w:tblPr>
        <w:tblW w:w="9206" w:type="dxa"/>
        <w:tblLook w:val="04A0" w:firstRow="1" w:lastRow="0" w:firstColumn="1" w:lastColumn="0" w:noHBand="0" w:noVBand="1"/>
      </w:tblPr>
      <w:tblGrid>
        <w:gridCol w:w="559"/>
        <w:gridCol w:w="550"/>
        <w:gridCol w:w="538"/>
        <w:gridCol w:w="3163"/>
        <w:gridCol w:w="2320"/>
        <w:gridCol w:w="2076"/>
      </w:tblGrid>
      <w:tr w:rsidR="000F53C5" w:rsidRPr="00C947F4" w14:paraId="4066ECD1" w14:textId="77777777" w:rsidTr="000F53C5">
        <w:trPr>
          <w:trHeight w:val="320"/>
        </w:trPr>
        <w:tc>
          <w:tcPr>
            <w:tcW w:w="164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82D16DF" w14:textId="36FFABF4" w:rsidR="000F53C5" w:rsidRPr="00C947F4" w:rsidRDefault="000F53C5" w:rsidP="000F53C5">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Norma /Política</w:t>
            </w:r>
          </w:p>
        </w:tc>
        <w:tc>
          <w:tcPr>
            <w:tcW w:w="3163" w:type="dxa"/>
            <w:vMerge w:val="restart"/>
            <w:tcBorders>
              <w:top w:val="single" w:sz="8" w:space="0" w:color="auto"/>
              <w:left w:val="single" w:sz="8" w:space="0" w:color="auto"/>
              <w:bottom w:val="nil"/>
              <w:right w:val="single" w:sz="8" w:space="0" w:color="auto"/>
            </w:tcBorders>
            <w:shd w:val="clear" w:color="000000" w:fill="203764"/>
            <w:vAlign w:val="center"/>
            <w:hideMark/>
          </w:tcPr>
          <w:p w14:paraId="24D35F1A" w14:textId="77777777" w:rsidR="000F53C5" w:rsidRPr="00C947F4" w:rsidRDefault="000F53C5" w:rsidP="000F53C5">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Concepto</w:t>
            </w:r>
          </w:p>
        </w:tc>
        <w:tc>
          <w:tcPr>
            <w:tcW w:w="4396" w:type="dxa"/>
            <w:gridSpan w:val="2"/>
            <w:tcBorders>
              <w:top w:val="single" w:sz="8" w:space="0" w:color="auto"/>
              <w:left w:val="nil"/>
              <w:bottom w:val="single" w:sz="8" w:space="0" w:color="auto"/>
              <w:right w:val="single" w:sz="8" w:space="0" w:color="000000"/>
            </w:tcBorders>
            <w:shd w:val="clear" w:color="000000" w:fill="203764"/>
            <w:vAlign w:val="center"/>
            <w:hideMark/>
          </w:tcPr>
          <w:p w14:paraId="5BF4261C" w14:textId="77777777" w:rsidR="000F53C5" w:rsidRPr="00C947F4" w:rsidRDefault="000F53C5" w:rsidP="000F53C5">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Referencia</w:t>
            </w:r>
          </w:p>
        </w:tc>
      </w:tr>
      <w:tr w:rsidR="000F53C5" w:rsidRPr="0071104F" w14:paraId="71FB974C" w14:textId="77777777" w:rsidTr="000F53C5">
        <w:trPr>
          <w:trHeight w:val="320"/>
        </w:trPr>
        <w:tc>
          <w:tcPr>
            <w:tcW w:w="1647" w:type="dxa"/>
            <w:gridSpan w:val="3"/>
            <w:vMerge/>
            <w:tcBorders>
              <w:top w:val="single" w:sz="8" w:space="0" w:color="auto"/>
              <w:left w:val="single" w:sz="8" w:space="0" w:color="auto"/>
              <w:bottom w:val="nil"/>
              <w:right w:val="single" w:sz="8" w:space="0" w:color="000000"/>
            </w:tcBorders>
            <w:vAlign w:val="center"/>
            <w:hideMark/>
          </w:tcPr>
          <w:p w14:paraId="4797F64D" w14:textId="77777777" w:rsidR="000F53C5" w:rsidRPr="00C947F4" w:rsidRDefault="000F53C5" w:rsidP="000F53C5">
            <w:pPr>
              <w:rPr>
                <w:rFonts w:ascii="Arial Narrow" w:eastAsia="Times New Roman" w:hAnsi="Arial Narrow"/>
                <w:b/>
                <w:bCs/>
                <w:color w:val="FFFFFF"/>
                <w:sz w:val="22"/>
                <w:szCs w:val="22"/>
              </w:rPr>
            </w:pPr>
          </w:p>
        </w:tc>
        <w:tc>
          <w:tcPr>
            <w:tcW w:w="3163" w:type="dxa"/>
            <w:vMerge/>
            <w:tcBorders>
              <w:top w:val="single" w:sz="8" w:space="0" w:color="auto"/>
              <w:left w:val="single" w:sz="8" w:space="0" w:color="auto"/>
              <w:bottom w:val="nil"/>
              <w:right w:val="single" w:sz="8" w:space="0" w:color="auto"/>
            </w:tcBorders>
            <w:vAlign w:val="center"/>
            <w:hideMark/>
          </w:tcPr>
          <w:p w14:paraId="2BD0C2CA" w14:textId="77777777" w:rsidR="000F53C5" w:rsidRPr="00C947F4" w:rsidRDefault="000F53C5" w:rsidP="000F53C5">
            <w:pPr>
              <w:rPr>
                <w:rFonts w:ascii="Arial Narrow" w:eastAsia="Times New Roman" w:hAnsi="Arial Narrow"/>
                <w:b/>
                <w:bCs/>
                <w:color w:val="FFFFFF"/>
                <w:sz w:val="22"/>
                <w:szCs w:val="22"/>
              </w:rPr>
            </w:pPr>
          </w:p>
        </w:tc>
        <w:tc>
          <w:tcPr>
            <w:tcW w:w="2320" w:type="dxa"/>
            <w:tcBorders>
              <w:top w:val="nil"/>
              <w:left w:val="nil"/>
              <w:bottom w:val="nil"/>
              <w:right w:val="single" w:sz="8" w:space="0" w:color="auto"/>
            </w:tcBorders>
            <w:shd w:val="clear" w:color="000000" w:fill="203764"/>
            <w:vAlign w:val="center"/>
            <w:hideMark/>
          </w:tcPr>
          <w:p w14:paraId="02CD788F" w14:textId="77777777" w:rsidR="000F53C5" w:rsidRPr="00C947F4" w:rsidRDefault="000F53C5" w:rsidP="000F53C5">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Norma</w:t>
            </w:r>
          </w:p>
        </w:tc>
        <w:tc>
          <w:tcPr>
            <w:tcW w:w="2076" w:type="dxa"/>
            <w:tcBorders>
              <w:top w:val="nil"/>
              <w:left w:val="nil"/>
              <w:bottom w:val="nil"/>
              <w:right w:val="single" w:sz="8" w:space="0" w:color="auto"/>
            </w:tcBorders>
            <w:shd w:val="clear" w:color="000000" w:fill="203764"/>
            <w:vAlign w:val="center"/>
            <w:hideMark/>
          </w:tcPr>
          <w:p w14:paraId="1F96A9C4" w14:textId="35C88632" w:rsidR="000F53C5" w:rsidRPr="0071104F" w:rsidRDefault="0071104F" w:rsidP="000F53C5">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0F53C5" w:rsidRPr="00C947F4" w14:paraId="295FF821" w14:textId="77777777" w:rsidTr="000F53C5">
        <w:trPr>
          <w:trHeight w:val="1345"/>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E8404F"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77F800B8"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lang w:val="es-CR"/>
              </w:rPr>
              <w:t>194</w:t>
            </w:r>
          </w:p>
        </w:tc>
        <w:tc>
          <w:tcPr>
            <w:tcW w:w="538" w:type="dxa"/>
            <w:tcBorders>
              <w:top w:val="single" w:sz="8" w:space="0" w:color="auto"/>
              <w:left w:val="nil"/>
              <w:bottom w:val="single" w:sz="8" w:space="0" w:color="auto"/>
              <w:right w:val="single" w:sz="8" w:space="0" w:color="auto"/>
            </w:tcBorders>
            <w:shd w:val="clear" w:color="auto" w:fill="auto"/>
            <w:vAlign w:val="center"/>
            <w:hideMark/>
          </w:tcPr>
          <w:p w14:paraId="004093E0"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 xml:space="preserve"> </w:t>
            </w:r>
          </w:p>
        </w:tc>
        <w:tc>
          <w:tcPr>
            <w:tcW w:w="3163" w:type="dxa"/>
            <w:tcBorders>
              <w:top w:val="single" w:sz="8" w:space="0" w:color="auto"/>
              <w:left w:val="nil"/>
              <w:bottom w:val="single" w:sz="8" w:space="0" w:color="auto"/>
              <w:right w:val="single" w:sz="8" w:space="0" w:color="auto"/>
            </w:tcBorders>
            <w:shd w:val="clear" w:color="auto" w:fill="auto"/>
            <w:vAlign w:val="center"/>
            <w:hideMark/>
          </w:tcPr>
          <w:p w14:paraId="4875A3C2" w14:textId="77777777" w:rsidR="000F53C5" w:rsidRPr="00C947F4" w:rsidRDefault="000F53C5" w:rsidP="000F53C5">
            <w:pPr>
              <w:jc w:val="both"/>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Evaluación anual de deterioro</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14:paraId="13BDBF9A" w14:textId="77777777"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NICSP Nº 21, </w:t>
            </w:r>
          </w:p>
          <w:p w14:paraId="14E17AFC" w14:textId="6B28B53C" w:rsidR="000F53C5" w:rsidRPr="00C947F4" w:rsidRDefault="000F53C5" w:rsidP="00F36957">
            <w:pPr>
              <w:spacing w:after="120"/>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Párrafos 26 a 26B.</w:t>
            </w:r>
          </w:p>
          <w:p w14:paraId="038DABD1" w14:textId="0B2AF812"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NICSP Nº 26, </w:t>
            </w:r>
          </w:p>
          <w:p w14:paraId="78A8BCB8" w14:textId="77777777" w:rsidR="000F53C5" w:rsidRPr="00C947F4" w:rsidRDefault="000F53C5" w:rsidP="00F36957">
            <w:pPr>
              <w:spacing w:after="120"/>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Párrafos 22 a 24.</w:t>
            </w:r>
          </w:p>
          <w:p w14:paraId="38E07AD8" w14:textId="4164312F"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NICSP Nº 31,</w:t>
            </w:r>
          </w:p>
          <w:p w14:paraId="641829D5" w14:textId="19CE99E0"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Párrafos 107 y 110.</w:t>
            </w:r>
          </w:p>
        </w:tc>
        <w:tc>
          <w:tcPr>
            <w:tcW w:w="2076" w:type="dxa"/>
            <w:tcBorders>
              <w:top w:val="single" w:sz="8" w:space="0" w:color="auto"/>
              <w:left w:val="nil"/>
              <w:bottom w:val="single" w:sz="8" w:space="0" w:color="auto"/>
              <w:right w:val="single" w:sz="8" w:space="0" w:color="auto"/>
            </w:tcBorders>
            <w:shd w:val="clear" w:color="auto" w:fill="auto"/>
            <w:vAlign w:val="center"/>
            <w:hideMark/>
          </w:tcPr>
          <w:p w14:paraId="0E09CF3C" w14:textId="77777777" w:rsidR="000F53C5" w:rsidRPr="00C947F4" w:rsidRDefault="000F53C5" w:rsidP="000F53C5">
            <w:pPr>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w:t>
            </w:r>
          </w:p>
        </w:tc>
      </w:tr>
      <w:tr w:rsidR="000F53C5" w:rsidRPr="00C947F4" w14:paraId="65C5D20C" w14:textId="77777777" w:rsidTr="000F53C5">
        <w:trPr>
          <w:trHeight w:val="1251"/>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61BEE0D4"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lastRenderedPageBreak/>
              <w:t>1</w:t>
            </w:r>
          </w:p>
        </w:tc>
        <w:tc>
          <w:tcPr>
            <w:tcW w:w="550" w:type="dxa"/>
            <w:tcBorders>
              <w:top w:val="nil"/>
              <w:left w:val="nil"/>
              <w:bottom w:val="single" w:sz="8" w:space="0" w:color="auto"/>
              <w:right w:val="single" w:sz="8" w:space="0" w:color="auto"/>
            </w:tcBorders>
            <w:shd w:val="clear" w:color="auto" w:fill="auto"/>
            <w:noWrap/>
            <w:vAlign w:val="center"/>
            <w:hideMark/>
          </w:tcPr>
          <w:p w14:paraId="72C412DC"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194</w:t>
            </w:r>
          </w:p>
        </w:tc>
        <w:tc>
          <w:tcPr>
            <w:tcW w:w="538" w:type="dxa"/>
            <w:tcBorders>
              <w:top w:val="nil"/>
              <w:left w:val="nil"/>
              <w:bottom w:val="single" w:sz="8" w:space="0" w:color="auto"/>
              <w:right w:val="single" w:sz="8" w:space="0" w:color="auto"/>
            </w:tcBorders>
            <w:shd w:val="clear" w:color="auto" w:fill="auto"/>
            <w:vAlign w:val="center"/>
            <w:hideMark/>
          </w:tcPr>
          <w:p w14:paraId="671466B3"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w:t>
            </w:r>
          </w:p>
        </w:tc>
        <w:tc>
          <w:tcPr>
            <w:tcW w:w="3163" w:type="dxa"/>
            <w:tcBorders>
              <w:top w:val="nil"/>
              <w:left w:val="nil"/>
              <w:bottom w:val="single" w:sz="8" w:space="0" w:color="auto"/>
              <w:right w:val="single" w:sz="8" w:space="0" w:color="auto"/>
            </w:tcBorders>
            <w:shd w:val="clear" w:color="auto" w:fill="auto"/>
            <w:vAlign w:val="center"/>
            <w:hideMark/>
          </w:tcPr>
          <w:p w14:paraId="14B4C6B5" w14:textId="77777777"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Comprobación anual de deterioro de activos intangibles</w:t>
            </w:r>
          </w:p>
        </w:tc>
        <w:tc>
          <w:tcPr>
            <w:tcW w:w="2320" w:type="dxa"/>
            <w:tcBorders>
              <w:top w:val="nil"/>
              <w:left w:val="nil"/>
              <w:bottom w:val="single" w:sz="8" w:space="0" w:color="auto"/>
              <w:right w:val="single" w:sz="8" w:space="0" w:color="auto"/>
            </w:tcBorders>
            <w:shd w:val="clear" w:color="auto" w:fill="auto"/>
            <w:vAlign w:val="center"/>
            <w:hideMark/>
          </w:tcPr>
          <w:p w14:paraId="11990A86" w14:textId="77777777"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NICSP Nº 21, </w:t>
            </w:r>
          </w:p>
          <w:p w14:paraId="0072232C" w14:textId="1DA9AE86" w:rsidR="000F53C5" w:rsidRPr="00C947F4" w:rsidRDefault="000F53C5" w:rsidP="00F36957">
            <w:pPr>
              <w:spacing w:after="120"/>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Párrafos 26A y 26B.</w:t>
            </w:r>
          </w:p>
          <w:p w14:paraId="5D83A04E" w14:textId="40F733C3"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NICSP Nº 26, </w:t>
            </w:r>
          </w:p>
          <w:p w14:paraId="37779680" w14:textId="18F3D6C9" w:rsidR="000F53C5" w:rsidRPr="00C947F4" w:rsidRDefault="000F53C5" w:rsidP="00F36957">
            <w:pPr>
              <w:spacing w:after="120"/>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Párrafos 23 y 24.   </w:t>
            </w:r>
          </w:p>
          <w:p w14:paraId="149F41D1" w14:textId="479D1C99"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NICSP Nº 31,</w:t>
            </w:r>
          </w:p>
          <w:p w14:paraId="7637D3E2" w14:textId="4DAA4A5E" w:rsidR="000F53C5" w:rsidRPr="00C947F4" w:rsidRDefault="000F53C5" w:rsidP="000F53C5">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Párrafos 107 y 110.</w:t>
            </w:r>
          </w:p>
        </w:tc>
        <w:tc>
          <w:tcPr>
            <w:tcW w:w="2076" w:type="dxa"/>
            <w:tcBorders>
              <w:top w:val="nil"/>
              <w:left w:val="nil"/>
              <w:bottom w:val="single" w:sz="8" w:space="0" w:color="auto"/>
              <w:right w:val="single" w:sz="8" w:space="0" w:color="auto"/>
            </w:tcBorders>
            <w:shd w:val="clear" w:color="auto" w:fill="auto"/>
            <w:vAlign w:val="center"/>
            <w:hideMark/>
          </w:tcPr>
          <w:p w14:paraId="56C885E7"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DGCN</w:t>
            </w:r>
          </w:p>
        </w:tc>
      </w:tr>
      <w:tr w:rsidR="000F53C5" w:rsidRPr="00C947F4" w14:paraId="130F594E" w14:textId="77777777" w:rsidTr="000F53C5">
        <w:trPr>
          <w:trHeight w:val="630"/>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7117FC1C"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402FB1A3"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194</w:t>
            </w:r>
          </w:p>
        </w:tc>
        <w:tc>
          <w:tcPr>
            <w:tcW w:w="538" w:type="dxa"/>
            <w:tcBorders>
              <w:top w:val="nil"/>
              <w:left w:val="nil"/>
              <w:bottom w:val="single" w:sz="8" w:space="0" w:color="auto"/>
              <w:right w:val="single" w:sz="8" w:space="0" w:color="auto"/>
            </w:tcBorders>
            <w:shd w:val="clear" w:color="auto" w:fill="auto"/>
            <w:vAlign w:val="center"/>
            <w:hideMark/>
          </w:tcPr>
          <w:p w14:paraId="00BE909D"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2</w:t>
            </w:r>
          </w:p>
        </w:tc>
        <w:tc>
          <w:tcPr>
            <w:tcW w:w="3163" w:type="dxa"/>
            <w:tcBorders>
              <w:top w:val="nil"/>
              <w:left w:val="nil"/>
              <w:bottom w:val="single" w:sz="8" w:space="0" w:color="auto"/>
              <w:right w:val="single" w:sz="8" w:space="0" w:color="auto"/>
            </w:tcBorders>
            <w:shd w:val="clear" w:color="auto" w:fill="auto"/>
            <w:vAlign w:val="center"/>
            <w:hideMark/>
          </w:tcPr>
          <w:p w14:paraId="29BE74B5" w14:textId="25D77A10" w:rsidR="000F53C5" w:rsidRPr="00C947F4" w:rsidRDefault="00FF0DC2" w:rsidP="00FF0DC2">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Vida útil como indicio de deterioro de activos intangibles</w:t>
            </w:r>
          </w:p>
        </w:tc>
        <w:tc>
          <w:tcPr>
            <w:tcW w:w="2320" w:type="dxa"/>
            <w:tcBorders>
              <w:top w:val="nil"/>
              <w:left w:val="nil"/>
              <w:bottom w:val="single" w:sz="8" w:space="0" w:color="auto"/>
              <w:right w:val="single" w:sz="8" w:space="0" w:color="auto"/>
            </w:tcBorders>
            <w:shd w:val="clear" w:color="auto" w:fill="auto"/>
            <w:vAlign w:val="center"/>
            <w:hideMark/>
          </w:tcPr>
          <w:p w14:paraId="15D1E23E" w14:textId="77777777" w:rsidR="000F53C5" w:rsidRPr="00C947F4" w:rsidRDefault="000F53C5" w:rsidP="000F53C5">
            <w:pPr>
              <w:jc w:val="both"/>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 xml:space="preserve">NICSP Nº 31, </w:t>
            </w:r>
          </w:p>
          <w:p w14:paraId="0A901AE6" w14:textId="2FE123D7" w:rsidR="000F53C5" w:rsidRPr="00C947F4" w:rsidRDefault="000F53C5" w:rsidP="000F53C5">
            <w:pPr>
              <w:jc w:val="both"/>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Párrafo 109.</w:t>
            </w:r>
          </w:p>
        </w:tc>
        <w:tc>
          <w:tcPr>
            <w:tcW w:w="2076" w:type="dxa"/>
            <w:tcBorders>
              <w:top w:val="nil"/>
              <w:left w:val="nil"/>
              <w:bottom w:val="single" w:sz="8" w:space="0" w:color="auto"/>
              <w:right w:val="single" w:sz="8" w:space="0" w:color="auto"/>
            </w:tcBorders>
            <w:shd w:val="clear" w:color="auto" w:fill="auto"/>
            <w:vAlign w:val="center"/>
            <w:hideMark/>
          </w:tcPr>
          <w:p w14:paraId="5564B20C" w14:textId="77777777" w:rsidR="000F53C5" w:rsidRPr="00C947F4" w:rsidRDefault="000F53C5" w:rsidP="000F53C5">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DGCN</w:t>
            </w:r>
          </w:p>
        </w:tc>
      </w:tr>
    </w:tbl>
    <w:p w14:paraId="69368A8D" w14:textId="77777777" w:rsidR="00403A41" w:rsidRDefault="00403A41" w:rsidP="00A351C9">
      <w:pPr>
        <w:spacing w:line="238" w:lineRule="auto"/>
        <w:ind w:left="1134" w:right="260" w:hanging="1134"/>
        <w:jc w:val="both"/>
        <w:rPr>
          <w:rFonts w:ascii="Arial" w:eastAsia="Arial" w:hAnsi="Arial"/>
          <w:b/>
          <w:sz w:val="22"/>
          <w:szCs w:val="22"/>
          <w:lang w:val="es-CR"/>
        </w:rPr>
      </w:pPr>
    </w:p>
    <w:p w14:paraId="4FD0F297" w14:textId="1DF7751B" w:rsidR="00A963E1" w:rsidRPr="00F02F9D" w:rsidRDefault="00A963E1" w:rsidP="00A351C9">
      <w:pPr>
        <w:spacing w:line="238" w:lineRule="auto"/>
        <w:ind w:left="1134" w:right="260" w:hanging="1134"/>
        <w:jc w:val="both"/>
        <w:rPr>
          <w:rFonts w:ascii="Arial" w:eastAsia="Arial" w:hAnsi="Arial"/>
          <w:b/>
          <w:sz w:val="22"/>
          <w:szCs w:val="22"/>
          <w:lang w:val="es-CR"/>
        </w:rPr>
      </w:pPr>
      <w:r w:rsidRPr="00F02F9D">
        <w:rPr>
          <w:rFonts w:ascii="Arial" w:eastAsia="Arial" w:hAnsi="Arial"/>
          <w:b/>
          <w:sz w:val="22"/>
          <w:szCs w:val="22"/>
        </w:rPr>
        <w:t>Políticas Contables</w:t>
      </w:r>
    </w:p>
    <w:p w14:paraId="0D17723C" w14:textId="77777777" w:rsidR="00A963E1" w:rsidRDefault="00A963E1" w:rsidP="00FF0DC2">
      <w:pPr>
        <w:spacing w:line="237" w:lineRule="auto"/>
        <w:ind w:left="1134" w:right="260" w:hanging="1134"/>
        <w:jc w:val="both"/>
        <w:rPr>
          <w:rFonts w:ascii="Arial" w:eastAsia="Arial" w:hAnsi="Arial"/>
          <w:bCs/>
          <w:sz w:val="22"/>
          <w:szCs w:val="22"/>
          <w:lang w:val="es-CR"/>
        </w:rPr>
      </w:pPr>
    </w:p>
    <w:p w14:paraId="7DE9A4B0" w14:textId="58068489" w:rsidR="000F53C5" w:rsidRPr="00F02F9D" w:rsidRDefault="000F53C5" w:rsidP="00FF0DC2">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w:t>
      </w:r>
      <w:r w:rsidR="00FF0DC2" w:rsidRPr="00F02F9D">
        <w:rPr>
          <w:rFonts w:ascii="Arial" w:eastAsia="Arial" w:hAnsi="Arial"/>
          <w:bCs/>
          <w:sz w:val="22"/>
          <w:szCs w:val="22"/>
          <w:lang w:val="es-CR"/>
        </w:rPr>
        <w:t>194.0.01</w:t>
      </w:r>
      <w:r w:rsidR="00FF0DC2" w:rsidRPr="00F02F9D">
        <w:rPr>
          <w:rFonts w:ascii="Arial" w:eastAsia="Arial" w:hAnsi="Arial"/>
          <w:bCs/>
          <w:sz w:val="22"/>
          <w:szCs w:val="22"/>
          <w:lang w:val="es-CR"/>
        </w:rPr>
        <w:tab/>
      </w:r>
      <w:r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en cada fecha sobre la que se informa, evaluará si existe algún indicio de deterioro del valor de los activos. Si se detectase algún indicio, se estimará el monto recuperable.</w:t>
      </w:r>
    </w:p>
    <w:p w14:paraId="7F7AC8AB" w14:textId="77777777" w:rsidR="00403A41" w:rsidRPr="00F02F9D" w:rsidRDefault="00403A41" w:rsidP="00A351C9">
      <w:pPr>
        <w:spacing w:line="238" w:lineRule="auto"/>
        <w:ind w:left="1134" w:right="260" w:hanging="1134"/>
        <w:jc w:val="both"/>
        <w:rPr>
          <w:rFonts w:ascii="Arial" w:eastAsia="Arial" w:hAnsi="Arial"/>
          <w:b/>
          <w:sz w:val="22"/>
          <w:szCs w:val="22"/>
          <w:lang w:val="es-CR"/>
        </w:rPr>
      </w:pPr>
    </w:p>
    <w:p w14:paraId="015070A0" w14:textId="2DF5E2B5" w:rsidR="00FF0DC2" w:rsidRPr="00F02F9D" w:rsidRDefault="00FF0DC2" w:rsidP="00FF0DC2">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1.194.0.01</w:t>
      </w:r>
      <w:r w:rsidRPr="00F02F9D">
        <w:rPr>
          <w:rFonts w:ascii="Arial" w:eastAsia="Arial" w:hAnsi="Arial"/>
          <w:bCs/>
          <w:sz w:val="22"/>
          <w:szCs w:val="22"/>
          <w:lang w:val="es-CR"/>
        </w:rPr>
        <w:tab/>
        <w:t>Con independencia de la existencia de algún indicio de deterioro de valor, anualmente se comprobará la existencia de deterioro del valor de cada activo intangible con una vida útil indefinida, así como de los activos intangibles que aún no estén disponibles para su uso, comparando su importe en libros con monto recuperable.</w:t>
      </w:r>
    </w:p>
    <w:p w14:paraId="69D0E1E1" w14:textId="77777777" w:rsidR="00FF0DC2" w:rsidRPr="00F02F9D" w:rsidRDefault="00FF0DC2" w:rsidP="00FF0DC2">
      <w:pPr>
        <w:spacing w:line="274" w:lineRule="exact"/>
        <w:rPr>
          <w:rFonts w:ascii="Arial" w:eastAsia="Times New Roman" w:hAnsi="Arial"/>
          <w:sz w:val="22"/>
          <w:szCs w:val="22"/>
          <w:lang w:val="es-CR"/>
        </w:rPr>
      </w:pPr>
    </w:p>
    <w:p w14:paraId="0F3E2F1B" w14:textId="77777777" w:rsidR="00FF0DC2" w:rsidRPr="00F02F9D" w:rsidRDefault="00FF0DC2" w:rsidP="00FF0DC2">
      <w:pPr>
        <w:spacing w:line="9" w:lineRule="exact"/>
        <w:rPr>
          <w:rFonts w:ascii="Arial" w:eastAsia="Arial" w:hAnsi="Arial"/>
          <w:b/>
          <w:sz w:val="22"/>
          <w:szCs w:val="22"/>
          <w:lang w:val="es-CR"/>
        </w:rPr>
      </w:pPr>
    </w:p>
    <w:p w14:paraId="5FA1C7B8" w14:textId="774DAD17" w:rsidR="00FF0DC2" w:rsidRPr="00F02F9D" w:rsidRDefault="00FF0DC2" w:rsidP="00FF0DC2">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1.194.1.01</w:t>
      </w:r>
      <w:r w:rsidRPr="00F02F9D">
        <w:rPr>
          <w:rFonts w:ascii="Arial" w:eastAsia="Arial" w:hAnsi="Arial"/>
          <w:bCs/>
          <w:sz w:val="22"/>
          <w:szCs w:val="22"/>
          <w:lang w:val="es-CR"/>
        </w:rPr>
        <w:tab/>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realizará la comprobación anual de deterioro del valor de activos intangibles con vida indefinida, la cual se realizará un mes antes de la fecha de cierre del ejercicio. En caso de existir algún indicio claro de deterioro entre dicha fecha de evaluación y la fecha de cierre, el mismo será evaluado y eventualmente reconocido en los EEFF.</w:t>
      </w:r>
    </w:p>
    <w:p w14:paraId="5C77BE6D" w14:textId="77777777" w:rsidR="00FF0DC2" w:rsidRPr="00F02F9D" w:rsidRDefault="00FF0DC2" w:rsidP="00FF0DC2">
      <w:pPr>
        <w:spacing w:line="278" w:lineRule="exact"/>
        <w:rPr>
          <w:rFonts w:ascii="Arial" w:eastAsia="Arial" w:hAnsi="Arial"/>
          <w:b/>
          <w:sz w:val="22"/>
          <w:szCs w:val="22"/>
          <w:lang w:val="es-CR"/>
        </w:rPr>
      </w:pPr>
    </w:p>
    <w:p w14:paraId="0DC23270" w14:textId="77777777" w:rsidR="00FF0DC2" w:rsidRPr="00F02F9D" w:rsidRDefault="00FF0DC2" w:rsidP="00FF0DC2">
      <w:pPr>
        <w:spacing w:line="9" w:lineRule="exact"/>
        <w:rPr>
          <w:rFonts w:ascii="Arial" w:eastAsia="Arial" w:hAnsi="Arial"/>
          <w:b/>
          <w:sz w:val="22"/>
          <w:szCs w:val="22"/>
          <w:lang w:val="es-CR"/>
        </w:rPr>
      </w:pPr>
    </w:p>
    <w:p w14:paraId="6E15BC57" w14:textId="79A65424" w:rsidR="00FF0DC2" w:rsidRPr="00F02F9D" w:rsidRDefault="00FF0DC2" w:rsidP="00FF0DC2">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1.194.2.01</w:t>
      </w:r>
      <w:r w:rsidRPr="00F02F9D">
        <w:rPr>
          <w:rFonts w:ascii="Arial" w:eastAsia="Arial" w:hAnsi="Arial"/>
          <w:bCs/>
          <w:sz w:val="22"/>
          <w:szCs w:val="22"/>
          <w:lang w:val="es-CR"/>
        </w:rPr>
        <w:tab/>
        <w:t xml:space="preserve">Para los activos intangibles medidos según el modelo de costo, la nueva evaluación de la vida útil como finita en lugar de como indefinida será un indicio de que el activo puede haber visto deteriorado su valor. Como consecuencia,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comprobará si el valor del activo se ha deteriorado, comparando su monto recuperable con su importe en libros, y reconociendo cualquier exceso del importe en libros sobre el monto recuperable como una pérdida por deterioro del valor.</w:t>
      </w:r>
    </w:p>
    <w:p w14:paraId="063FCBB1" w14:textId="77777777" w:rsidR="000720C5" w:rsidRPr="00F02F9D" w:rsidRDefault="000720C5" w:rsidP="00A351C9">
      <w:pPr>
        <w:spacing w:line="238" w:lineRule="auto"/>
        <w:ind w:left="1134" w:right="260" w:hanging="1134"/>
        <w:jc w:val="both"/>
        <w:rPr>
          <w:rFonts w:ascii="Arial" w:eastAsia="Arial" w:hAnsi="Arial"/>
          <w:b/>
          <w:sz w:val="22"/>
          <w:szCs w:val="22"/>
          <w:lang w:val="es-CR"/>
        </w:rPr>
      </w:pPr>
    </w:p>
    <w:p w14:paraId="5B05837F" w14:textId="77777777" w:rsidR="00B9014C" w:rsidRPr="00F02F9D" w:rsidRDefault="00B9014C" w:rsidP="00A351C9">
      <w:pPr>
        <w:spacing w:line="238" w:lineRule="auto"/>
        <w:ind w:left="1134" w:right="260" w:hanging="1134"/>
        <w:jc w:val="both"/>
        <w:rPr>
          <w:rFonts w:ascii="Arial" w:eastAsia="Arial" w:hAnsi="Arial"/>
          <w:b/>
          <w:sz w:val="22"/>
          <w:szCs w:val="22"/>
          <w:lang w:val="es-CR"/>
        </w:rPr>
      </w:pPr>
    </w:p>
    <w:p w14:paraId="796B4724" w14:textId="77777777" w:rsidR="00B9014C" w:rsidRPr="00F02F9D" w:rsidRDefault="00B9014C" w:rsidP="00A351C9">
      <w:pPr>
        <w:spacing w:line="238" w:lineRule="auto"/>
        <w:ind w:left="1134" w:right="260" w:hanging="1134"/>
        <w:jc w:val="both"/>
        <w:rPr>
          <w:rFonts w:ascii="Arial" w:eastAsia="Arial" w:hAnsi="Arial"/>
          <w:b/>
          <w:sz w:val="22"/>
          <w:szCs w:val="22"/>
          <w:lang w:val="es-CR"/>
        </w:rPr>
      </w:pPr>
    </w:p>
    <w:tbl>
      <w:tblPr>
        <w:tblW w:w="9064" w:type="dxa"/>
        <w:tblLook w:val="04A0" w:firstRow="1" w:lastRow="0" w:firstColumn="1" w:lastColumn="0" w:noHBand="0" w:noVBand="1"/>
      </w:tblPr>
      <w:tblGrid>
        <w:gridCol w:w="539"/>
        <w:gridCol w:w="727"/>
        <w:gridCol w:w="519"/>
        <w:gridCol w:w="9"/>
        <w:gridCol w:w="3158"/>
        <w:gridCol w:w="2015"/>
        <w:gridCol w:w="2097"/>
      </w:tblGrid>
      <w:tr w:rsidR="00B9014C" w:rsidRPr="00C947F4" w14:paraId="64E4AECD" w14:textId="77777777" w:rsidTr="0071104F">
        <w:trPr>
          <w:trHeight w:val="320"/>
        </w:trPr>
        <w:tc>
          <w:tcPr>
            <w:tcW w:w="179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D5F6D1E" w14:textId="77777777" w:rsidR="00B9014C" w:rsidRPr="00C947F4" w:rsidRDefault="00B9014C" w:rsidP="00B9014C">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Norma / Política</w:t>
            </w:r>
          </w:p>
        </w:tc>
        <w:tc>
          <w:tcPr>
            <w:tcW w:w="3158" w:type="dxa"/>
            <w:vMerge w:val="restart"/>
            <w:tcBorders>
              <w:top w:val="nil"/>
              <w:left w:val="single" w:sz="8" w:space="0" w:color="auto"/>
              <w:bottom w:val="nil"/>
              <w:right w:val="single" w:sz="8" w:space="0" w:color="auto"/>
            </w:tcBorders>
            <w:shd w:val="clear" w:color="000000" w:fill="203764"/>
            <w:vAlign w:val="center"/>
            <w:hideMark/>
          </w:tcPr>
          <w:p w14:paraId="00EA1196" w14:textId="77777777" w:rsidR="00B9014C" w:rsidRPr="00C947F4" w:rsidRDefault="00B9014C" w:rsidP="00B9014C">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Concepto</w:t>
            </w:r>
          </w:p>
        </w:tc>
        <w:tc>
          <w:tcPr>
            <w:tcW w:w="4112" w:type="dxa"/>
            <w:gridSpan w:val="2"/>
            <w:tcBorders>
              <w:top w:val="nil"/>
              <w:left w:val="nil"/>
              <w:bottom w:val="single" w:sz="8" w:space="0" w:color="auto"/>
              <w:right w:val="single" w:sz="8" w:space="0" w:color="000000"/>
            </w:tcBorders>
            <w:shd w:val="clear" w:color="000000" w:fill="203764"/>
            <w:vAlign w:val="center"/>
            <w:hideMark/>
          </w:tcPr>
          <w:p w14:paraId="2EB15A5F" w14:textId="77777777" w:rsidR="00B9014C" w:rsidRPr="00C947F4" w:rsidRDefault="00B9014C" w:rsidP="00B9014C">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Referencia</w:t>
            </w:r>
          </w:p>
        </w:tc>
      </w:tr>
      <w:tr w:rsidR="00B9014C" w:rsidRPr="0071104F" w14:paraId="1A57B479" w14:textId="77777777" w:rsidTr="0071104F">
        <w:trPr>
          <w:trHeight w:val="320"/>
        </w:trPr>
        <w:tc>
          <w:tcPr>
            <w:tcW w:w="1794" w:type="dxa"/>
            <w:gridSpan w:val="4"/>
            <w:vMerge/>
            <w:tcBorders>
              <w:top w:val="single" w:sz="8" w:space="0" w:color="auto"/>
              <w:left w:val="single" w:sz="8" w:space="0" w:color="auto"/>
              <w:bottom w:val="nil"/>
              <w:right w:val="single" w:sz="8" w:space="0" w:color="000000"/>
            </w:tcBorders>
            <w:vAlign w:val="center"/>
            <w:hideMark/>
          </w:tcPr>
          <w:p w14:paraId="3412CDF8" w14:textId="77777777" w:rsidR="00B9014C" w:rsidRPr="00C947F4" w:rsidRDefault="00B9014C" w:rsidP="00B9014C">
            <w:pPr>
              <w:rPr>
                <w:rFonts w:ascii="Arial Narrow" w:eastAsia="Times New Roman" w:hAnsi="Arial Narrow"/>
                <w:b/>
                <w:bCs/>
                <w:color w:val="FFFFFF"/>
                <w:sz w:val="22"/>
                <w:szCs w:val="22"/>
              </w:rPr>
            </w:pPr>
          </w:p>
        </w:tc>
        <w:tc>
          <w:tcPr>
            <w:tcW w:w="3158" w:type="dxa"/>
            <w:vMerge/>
            <w:tcBorders>
              <w:top w:val="nil"/>
              <w:left w:val="single" w:sz="8" w:space="0" w:color="auto"/>
              <w:bottom w:val="nil"/>
              <w:right w:val="single" w:sz="8" w:space="0" w:color="auto"/>
            </w:tcBorders>
            <w:vAlign w:val="center"/>
            <w:hideMark/>
          </w:tcPr>
          <w:p w14:paraId="50747D02" w14:textId="77777777" w:rsidR="00B9014C" w:rsidRPr="00C947F4" w:rsidRDefault="00B9014C" w:rsidP="00B9014C">
            <w:pPr>
              <w:rPr>
                <w:rFonts w:ascii="Arial Narrow" w:eastAsia="Times New Roman" w:hAnsi="Arial Narrow"/>
                <w:b/>
                <w:bCs/>
                <w:color w:val="FFFFFF"/>
                <w:sz w:val="22"/>
                <w:szCs w:val="22"/>
              </w:rPr>
            </w:pPr>
          </w:p>
        </w:tc>
        <w:tc>
          <w:tcPr>
            <w:tcW w:w="2015" w:type="dxa"/>
            <w:tcBorders>
              <w:top w:val="nil"/>
              <w:left w:val="nil"/>
              <w:bottom w:val="nil"/>
              <w:right w:val="single" w:sz="8" w:space="0" w:color="auto"/>
            </w:tcBorders>
            <w:shd w:val="clear" w:color="000000" w:fill="203764"/>
            <w:vAlign w:val="center"/>
            <w:hideMark/>
          </w:tcPr>
          <w:p w14:paraId="1FEC8E5E" w14:textId="77777777" w:rsidR="00B9014C" w:rsidRPr="00C947F4" w:rsidRDefault="00B9014C" w:rsidP="00B9014C">
            <w:pPr>
              <w:jc w:val="center"/>
              <w:rPr>
                <w:rFonts w:ascii="Arial Narrow" w:eastAsia="Times New Roman" w:hAnsi="Arial Narrow"/>
                <w:b/>
                <w:bCs/>
                <w:color w:val="FFFFFF"/>
                <w:sz w:val="22"/>
                <w:szCs w:val="22"/>
              </w:rPr>
            </w:pPr>
            <w:r w:rsidRPr="00C947F4">
              <w:rPr>
                <w:rFonts w:ascii="Arial Narrow" w:eastAsia="Times New Roman" w:hAnsi="Arial Narrow"/>
                <w:b/>
                <w:bCs/>
                <w:color w:val="FFFFFF"/>
                <w:sz w:val="22"/>
                <w:szCs w:val="22"/>
              </w:rPr>
              <w:t>Norma</w:t>
            </w:r>
          </w:p>
        </w:tc>
        <w:tc>
          <w:tcPr>
            <w:tcW w:w="2097" w:type="dxa"/>
            <w:tcBorders>
              <w:top w:val="nil"/>
              <w:left w:val="nil"/>
              <w:bottom w:val="nil"/>
              <w:right w:val="single" w:sz="8" w:space="0" w:color="auto"/>
            </w:tcBorders>
            <w:shd w:val="clear" w:color="000000" w:fill="203764"/>
            <w:vAlign w:val="center"/>
            <w:hideMark/>
          </w:tcPr>
          <w:p w14:paraId="511E816B" w14:textId="110B7BED" w:rsidR="00B9014C" w:rsidRPr="0071104F" w:rsidRDefault="0071104F" w:rsidP="00B9014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B9014C" w:rsidRPr="00C947F4" w14:paraId="1D1CBEDF" w14:textId="77777777" w:rsidTr="0071104F">
        <w:trPr>
          <w:trHeight w:val="869"/>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31B34E30"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w:t>
            </w:r>
          </w:p>
        </w:tc>
        <w:tc>
          <w:tcPr>
            <w:tcW w:w="727" w:type="dxa"/>
            <w:tcBorders>
              <w:top w:val="nil"/>
              <w:left w:val="nil"/>
              <w:bottom w:val="single" w:sz="8" w:space="0" w:color="auto"/>
              <w:right w:val="single" w:sz="8" w:space="0" w:color="auto"/>
            </w:tcBorders>
            <w:shd w:val="clear" w:color="auto" w:fill="auto"/>
            <w:vAlign w:val="center"/>
            <w:hideMark/>
          </w:tcPr>
          <w:p w14:paraId="46CB652C"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195</w:t>
            </w:r>
          </w:p>
        </w:tc>
        <w:tc>
          <w:tcPr>
            <w:tcW w:w="519" w:type="dxa"/>
            <w:tcBorders>
              <w:top w:val="nil"/>
              <w:left w:val="nil"/>
              <w:bottom w:val="single" w:sz="8" w:space="0" w:color="auto"/>
              <w:right w:val="single" w:sz="8" w:space="0" w:color="auto"/>
            </w:tcBorders>
            <w:shd w:val="clear" w:color="auto" w:fill="auto"/>
            <w:vAlign w:val="center"/>
            <w:hideMark/>
          </w:tcPr>
          <w:p w14:paraId="03F52BBE"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 </w:t>
            </w:r>
          </w:p>
        </w:tc>
        <w:tc>
          <w:tcPr>
            <w:tcW w:w="3167" w:type="dxa"/>
            <w:gridSpan w:val="2"/>
            <w:tcBorders>
              <w:top w:val="single" w:sz="8" w:space="0" w:color="auto"/>
              <w:left w:val="nil"/>
              <w:bottom w:val="single" w:sz="8" w:space="0" w:color="auto"/>
              <w:right w:val="single" w:sz="8" w:space="0" w:color="auto"/>
            </w:tcBorders>
            <w:shd w:val="clear" w:color="auto" w:fill="auto"/>
            <w:vAlign w:val="center"/>
            <w:hideMark/>
          </w:tcPr>
          <w:p w14:paraId="6F9BDAEF" w14:textId="77777777" w:rsidR="00B9014C" w:rsidRPr="00C947F4" w:rsidRDefault="00B9014C" w:rsidP="00B9014C">
            <w:pPr>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Circunstancias que pueden determinar el indicio de deterioro</w:t>
            </w:r>
          </w:p>
        </w:tc>
        <w:tc>
          <w:tcPr>
            <w:tcW w:w="2015" w:type="dxa"/>
            <w:tcBorders>
              <w:top w:val="single" w:sz="8" w:space="0" w:color="auto"/>
              <w:left w:val="nil"/>
              <w:bottom w:val="single" w:sz="8" w:space="0" w:color="auto"/>
              <w:right w:val="single" w:sz="8" w:space="0" w:color="auto"/>
            </w:tcBorders>
            <w:shd w:val="clear" w:color="auto" w:fill="auto"/>
            <w:vAlign w:val="center"/>
            <w:hideMark/>
          </w:tcPr>
          <w:p w14:paraId="6C98BFDC" w14:textId="77777777" w:rsidR="00C947F4" w:rsidRDefault="00B9014C" w:rsidP="00B9014C">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NICSP Nº 21,</w:t>
            </w:r>
          </w:p>
          <w:p w14:paraId="4D61BA3C" w14:textId="7B522CB3" w:rsidR="00C947F4" w:rsidRDefault="00B9014C" w:rsidP="00B9014C">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 xml:space="preserve">Párrafos 27 y 29. </w:t>
            </w:r>
          </w:p>
          <w:p w14:paraId="75A67D88" w14:textId="77777777" w:rsidR="00C947F4" w:rsidRDefault="00B9014C" w:rsidP="00B9014C">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NICSP Nº 26,</w:t>
            </w:r>
          </w:p>
          <w:p w14:paraId="492AE488" w14:textId="603BEAAB" w:rsidR="00B9014C" w:rsidRPr="00C947F4" w:rsidRDefault="00B9014C" w:rsidP="00B9014C">
            <w:pPr>
              <w:jc w:val="both"/>
              <w:rPr>
                <w:rFonts w:ascii="Arial Narrow" w:eastAsia="Times New Roman" w:hAnsi="Arial Narrow"/>
                <w:b/>
                <w:bCs/>
                <w:color w:val="000000"/>
                <w:sz w:val="22"/>
                <w:szCs w:val="22"/>
                <w:lang w:val="es-CR"/>
              </w:rPr>
            </w:pPr>
            <w:r w:rsidRPr="00C947F4">
              <w:rPr>
                <w:rFonts w:ascii="Arial Narrow" w:eastAsia="Times New Roman" w:hAnsi="Arial Narrow"/>
                <w:b/>
                <w:bCs/>
                <w:color w:val="000000"/>
                <w:sz w:val="22"/>
                <w:szCs w:val="22"/>
                <w:lang w:val="es-CR"/>
              </w:rPr>
              <w:t>Párrafos 25 a 27.</w:t>
            </w:r>
          </w:p>
        </w:tc>
        <w:tc>
          <w:tcPr>
            <w:tcW w:w="2097" w:type="dxa"/>
            <w:tcBorders>
              <w:top w:val="single" w:sz="8" w:space="0" w:color="auto"/>
              <w:left w:val="nil"/>
              <w:bottom w:val="single" w:sz="8" w:space="0" w:color="auto"/>
              <w:right w:val="single" w:sz="8" w:space="0" w:color="auto"/>
            </w:tcBorders>
            <w:shd w:val="clear" w:color="auto" w:fill="auto"/>
            <w:vAlign w:val="center"/>
            <w:hideMark/>
          </w:tcPr>
          <w:p w14:paraId="0D8E09DB" w14:textId="77777777" w:rsidR="00B9014C" w:rsidRPr="00C947F4" w:rsidRDefault="00B9014C" w:rsidP="00B9014C">
            <w:pPr>
              <w:rPr>
                <w:rFonts w:ascii="Arial Narrow" w:eastAsia="Times New Roman" w:hAnsi="Arial Narrow"/>
                <w:color w:val="000000"/>
                <w:sz w:val="22"/>
                <w:szCs w:val="22"/>
                <w:lang w:val="es-CR"/>
              </w:rPr>
            </w:pPr>
            <w:r w:rsidRPr="00C947F4">
              <w:rPr>
                <w:rFonts w:ascii="Arial Narrow" w:eastAsia="Times New Roman" w:hAnsi="Arial Narrow"/>
                <w:color w:val="000000"/>
                <w:sz w:val="22"/>
                <w:szCs w:val="22"/>
                <w:lang w:val="es-CR"/>
              </w:rPr>
              <w:t> </w:t>
            </w:r>
          </w:p>
        </w:tc>
      </w:tr>
      <w:tr w:rsidR="00B9014C" w:rsidRPr="00C947F4" w14:paraId="4192B588" w14:textId="77777777" w:rsidTr="0071104F">
        <w:trPr>
          <w:trHeight w:val="485"/>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72D34035"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w:t>
            </w:r>
          </w:p>
        </w:tc>
        <w:tc>
          <w:tcPr>
            <w:tcW w:w="727" w:type="dxa"/>
            <w:tcBorders>
              <w:top w:val="nil"/>
              <w:left w:val="nil"/>
              <w:bottom w:val="single" w:sz="8" w:space="0" w:color="auto"/>
              <w:right w:val="single" w:sz="8" w:space="0" w:color="auto"/>
            </w:tcBorders>
            <w:shd w:val="clear" w:color="auto" w:fill="auto"/>
            <w:vAlign w:val="center"/>
            <w:hideMark/>
          </w:tcPr>
          <w:p w14:paraId="2D53313C"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195</w:t>
            </w:r>
          </w:p>
        </w:tc>
        <w:tc>
          <w:tcPr>
            <w:tcW w:w="519" w:type="dxa"/>
            <w:tcBorders>
              <w:top w:val="nil"/>
              <w:left w:val="nil"/>
              <w:bottom w:val="single" w:sz="8" w:space="0" w:color="auto"/>
              <w:right w:val="single" w:sz="8" w:space="0" w:color="auto"/>
            </w:tcBorders>
            <w:shd w:val="clear" w:color="auto" w:fill="auto"/>
            <w:vAlign w:val="center"/>
            <w:hideMark/>
          </w:tcPr>
          <w:p w14:paraId="6B948790"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w:t>
            </w:r>
          </w:p>
        </w:tc>
        <w:tc>
          <w:tcPr>
            <w:tcW w:w="3167" w:type="dxa"/>
            <w:gridSpan w:val="2"/>
            <w:tcBorders>
              <w:top w:val="nil"/>
              <w:left w:val="nil"/>
              <w:bottom w:val="single" w:sz="8" w:space="0" w:color="auto"/>
              <w:right w:val="single" w:sz="8" w:space="0" w:color="auto"/>
            </w:tcBorders>
            <w:shd w:val="clear" w:color="auto" w:fill="auto"/>
            <w:vAlign w:val="center"/>
            <w:hideMark/>
          </w:tcPr>
          <w:p w14:paraId="3C218511" w14:textId="77777777" w:rsidR="00B9014C" w:rsidRPr="00C947F4" w:rsidRDefault="00B9014C" w:rsidP="00B9014C">
            <w:pP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Materialidad y largo plazo</w:t>
            </w:r>
          </w:p>
        </w:tc>
        <w:tc>
          <w:tcPr>
            <w:tcW w:w="2015" w:type="dxa"/>
            <w:tcBorders>
              <w:top w:val="nil"/>
              <w:left w:val="nil"/>
              <w:bottom w:val="single" w:sz="8" w:space="0" w:color="auto"/>
              <w:right w:val="single" w:sz="8" w:space="0" w:color="auto"/>
            </w:tcBorders>
            <w:shd w:val="clear" w:color="auto" w:fill="auto"/>
            <w:vAlign w:val="center"/>
            <w:hideMark/>
          </w:tcPr>
          <w:p w14:paraId="2C4D4B89" w14:textId="77777777" w:rsidR="00C947F4" w:rsidRDefault="00B9014C" w:rsidP="00B9014C">
            <w:pPr>
              <w:jc w:val="both"/>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NICSP N° 17,</w:t>
            </w:r>
          </w:p>
          <w:p w14:paraId="6CFAAA6D" w14:textId="75612ECC" w:rsidR="00B9014C" w:rsidRPr="00C947F4" w:rsidRDefault="00B9014C" w:rsidP="00B9014C">
            <w:pPr>
              <w:jc w:val="both"/>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Párrafos 44 y 49.</w:t>
            </w:r>
          </w:p>
        </w:tc>
        <w:tc>
          <w:tcPr>
            <w:tcW w:w="2097" w:type="dxa"/>
            <w:tcBorders>
              <w:top w:val="nil"/>
              <w:left w:val="nil"/>
              <w:bottom w:val="single" w:sz="8" w:space="0" w:color="auto"/>
              <w:right w:val="single" w:sz="8" w:space="0" w:color="auto"/>
            </w:tcBorders>
            <w:shd w:val="clear" w:color="auto" w:fill="auto"/>
            <w:vAlign w:val="center"/>
            <w:hideMark/>
          </w:tcPr>
          <w:p w14:paraId="6768FBDA" w14:textId="77777777" w:rsidR="00B9014C" w:rsidRPr="00C947F4" w:rsidRDefault="00B9014C" w:rsidP="00B9014C">
            <w:pPr>
              <w:rPr>
                <w:rFonts w:ascii="Arial Narrow" w:eastAsia="Times New Roman" w:hAnsi="Arial Narrow"/>
                <w:color w:val="000000"/>
                <w:sz w:val="22"/>
                <w:szCs w:val="22"/>
              </w:rPr>
            </w:pPr>
            <w:r w:rsidRPr="00C947F4">
              <w:rPr>
                <w:rFonts w:ascii="Arial Narrow" w:eastAsia="Times New Roman" w:hAnsi="Arial Narrow"/>
                <w:color w:val="000000"/>
                <w:sz w:val="22"/>
                <w:szCs w:val="22"/>
              </w:rPr>
              <w:t> </w:t>
            </w:r>
          </w:p>
        </w:tc>
      </w:tr>
      <w:tr w:rsidR="00B9014C" w:rsidRPr="00C947F4" w14:paraId="53413B9B" w14:textId="77777777" w:rsidTr="0071104F">
        <w:trPr>
          <w:trHeight w:val="320"/>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344B0C5B"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w:t>
            </w:r>
          </w:p>
        </w:tc>
        <w:tc>
          <w:tcPr>
            <w:tcW w:w="727" w:type="dxa"/>
            <w:tcBorders>
              <w:top w:val="nil"/>
              <w:left w:val="nil"/>
              <w:bottom w:val="single" w:sz="8" w:space="0" w:color="auto"/>
              <w:right w:val="single" w:sz="8" w:space="0" w:color="auto"/>
            </w:tcBorders>
            <w:shd w:val="clear" w:color="auto" w:fill="auto"/>
            <w:vAlign w:val="center"/>
            <w:hideMark/>
          </w:tcPr>
          <w:p w14:paraId="3E25D2C1"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195</w:t>
            </w:r>
          </w:p>
        </w:tc>
        <w:tc>
          <w:tcPr>
            <w:tcW w:w="519" w:type="dxa"/>
            <w:tcBorders>
              <w:top w:val="nil"/>
              <w:left w:val="nil"/>
              <w:bottom w:val="single" w:sz="8" w:space="0" w:color="auto"/>
              <w:right w:val="single" w:sz="8" w:space="0" w:color="auto"/>
            </w:tcBorders>
            <w:shd w:val="clear" w:color="auto" w:fill="auto"/>
            <w:vAlign w:val="center"/>
            <w:hideMark/>
          </w:tcPr>
          <w:p w14:paraId="4C130BD5"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2</w:t>
            </w:r>
          </w:p>
        </w:tc>
        <w:tc>
          <w:tcPr>
            <w:tcW w:w="3167" w:type="dxa"/>
            <w:gridSpan w:val="2"/>
            <w:tcBorders>
              <w:top w:val="nil"/>
              <w:left w:val="nil"/>
              <w:bottom w:val="single" w:sz="8" w:space="0" w:color="auto"/>
              <w:right w:val="single" w:sz="8" w:space="0" w:color="auto"/>
            </w:tcBorders>
            <w:shd w:val="clear" w:color="auto" w:fill="auto"/>
            <w:vAlign w:val="center"/>
            <w:hideMark/>
          </w:tcPr>
          <w:p w14:paraId="11B9BC6E" w14:textId="77777777" w:rsidR="00B9014C" w:rsidRPr="00C947F4" w:rsidRDefault="00B9014C" w:rsidP="00B9014C">
            <w:pP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Aval técnico</w:t>
            </w:r>
          </w:p>
        </w:tc>
        <w:tc>
          <w:tcPr>
            <w:tcW w:w="2015" w:type="dxa"/>
            <w:tcBorders>
              <w:top w:val="nil"/>
              <w:left w:val="nil"/>
              <w:bottom w:val="single" w:sz="8" w:space="0" w:color="auto"/>
              <w:right w:val="single" w:sz="8" w:space="0" w:color="auto"/>
            </w:tcBorders>
            <w:shd w:val="clear" w:color="auto" w:fill="auto"/>
            <w:vAlign w:val="center"/>
            <w:hideMark/>
          </w:tcPr>
          <w:p w14:paraId="1D7E7778" w14:textId="77777777" w:rsidR="00B9014C" w:rsidRPr="00C947F4" w:rsidRDefault="00B9014C" w:rsidP="00B9014C">
            <w:pPr>
              <w:jc w:val="both"/>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 xml:space="preserve"> </w:t>
            </w:r>
          </w:p>
        </w:tc>
        <w:tc>
          <w:tcPr>
            <w:tcW w:w="2097" w:type="dxa"/>
            <w:tcBorders>
              <w:top w:val="nil"/>
              <w:left w:val="nil"/>
              <w:bottom w:val="single" w:sz="8" w:space="0" w:color="auto"/>
              <w:right w:val="single" w:sz="8" w:space="0" w:color="auto"/>
            </w:tcBorders>
            <w:shd w:val="clear" w:color="auto" w:fill="auto"/>
            <w:vAlign w:val="center"/>
            <w:hideMark/>
          </w:tcPr>
          <w:p w14:paraId="17B9F037" w14:textId="77777777" w:rsidR="00B9014C" w:rsidRPr="00C947F4" w:rsidRDefault="00B9014C" w:rsidP="00B9014C">
            <w:pPr>
              <w:jc w:val="center"/>
              <w:rPr>
                <w:rFonts w:ascii="Arial Narrow" w:eastAsia="Times New Roman" w:hAnsi="Arial Narrow"/>
                <w:b/>
                <w:bCs/>
                <w:color w:val="000000"/>
                <w:sz w:val="22"/>
                <w:szCs w:val="22"/>
              </w:rPr>
            </w:pPr>
            <w:r w:rsidRPr="00C947F4">
              <w:rPr>
                <w:rFonts w:ascii="Arial Narrow" w:eastAsia="Times New Roman" w:hAnsi="Arial Narrow"/>
                <w:b/>
                <w:bCs/>
                <w:color w:val="000000"/>
                <w:sz w:val="22"/>
                <w:szCs w:val="22"/>
              </w:rPr>
              <w:t>DGCN</w:t>
            </w:r>
          </w:p>
        </w:tc>
      </w:tr>
    </w:tbl>
    <w:p w14:paraId="57E83712" w14:textId="77777777" w:rsidR="00A351C9" w:rsidRDefault="00A351C9" w:rsidP="00C947F4">
      <w:pPr>
        <w:spacing w:line="238" w:lineRule="auto"/>
        <w:ind w:right="260"/>
        <w:jc w:val="both"/>
        <w:rPr>
          <w:rFonts w:ascii="Arial" w:eastAsia="Arial" w:hAnsi="Arial"/>
          <w:bCs/>
          <w:sz w:val="22"/>
          <w:szCs w:val="22"/>
          <w:lang w:val="es-CR"/>
        </w:rPr>
      </w:pPr>
    </w:p>
    <w:p w14:paraId="5446305F" w14:textId="23BA9B7C" w:rsidR="00A963E1" w:rsidRDefault="00A963E1" w:rsidP="00C947F4">
      <w:pPr>
        <w:spacing w:line="238" w:lineRule="auto"/>
        <w:ind w:right="260"/>
        <w:jc w:val="both"/>
        <w:rPr>
          <w:rFonts w:ascii="Arial" w:eastAsia="Arial" w:hAnsi="Arial"/>
          <w:b/>
          <w:sz w:val="22"/>
          <w:szCs w:val="22"/>
        </w:rPr>
      </w:pPr>
      <w:r w:rsidRPr="00F02F9D">
        <w:rPr>
          <w:rFonts w:ascii="Arial" w:eastAsia="Arial" w:hAnsi="Arial"/>
          <w:b/>
          <w:sz w:val="22"/>
          <w:szCs w:val="22"/>
        </w:rPr>
        <w:t>Políticas Contables</w:t>
      </w:r>
    </w:p>
    <w:p w14:paraId="112F20B5" w14:textId="77777777" w:rsidR="00A963E1" w:rsidRPr="00F02F9D" w:rsidRDefault="00A963E1" w:rsidP="00C947F4">
      <w:pPr>
        <w:spacing w:line="238" w:lineRule="auto"/>
        <w:ind w:right="260"/>
        <w:jc w:val="both"/>
        <w:rPr>
          <w:rFonts w:ascii="Arial" w:eastAsia="Arial" w:hAnsi="Arial"/>
          <w:bCs/>
          <w:sz w:val="22"/>
          <w:szCs w:val="22"/>
          <w:lang w:val="es-CR"/>
        </w:rPr>
      </w:pPr>
    </w:p>
    <w:p w14:paraId="64ECAB4D" w14:textId="71344E69" w:rsidR="0076679B" w:rsidRPr="00F02F9D" w:rsidRDefault="0076679B" w:rsidP="00A177CB">
      <w:pPr>
        <w:spacing w:line="0" w:lineRule="atLeast"/>
        <w:ind w:left="1134" w:right="288" w:hanging="1134"/>
        <w:jc w:val="both"/>
        <w:rPr>
          <w:rFonts w:ascii="Arial" w:eastAsia="Arial" w:hAnsi="Arial"/>
          <w:bCs/>
          <w:sz w:val="22"/>
          <w:szCs w:val="22"/>
          <w:lang w:val="es-CR"/>
        </w:rPr>
      </w:pPr>
      <w:r w:rsidRPr="00F02F9D">
        <w:rPr>
          <w:rFonts w:ascii="Arial" w:eastAsia="Arial" w:hAnsi="Arial"/>
          <w:bCs/>
          <w:sz w:val="22"/>
          <w:szCs w:val="22"/>
          <w:lang w:val="es-CR"/>
        </w:rPr>
        <w:t>1.105.0.01</w:t>
      </w:r>
      <w:r w:rsidR="00A177CB" w:rsidRPr="00F02F9D">
        <w:rPr>
          <w:rFonts w:ascii="Arial" w:eastAsia="Arial" w:hAnsi="Arial"/>
          <w:bCs/>
          <w:sz w:val="22"/>
          <w:szCs w:val="22"/>
          <w:lang w:val="es-CR"/>
        </w:rPr>
        <w:tab/>
      </w:r>
      <w:r w:rsidRPr="00F02F9D">
        <w:rPr>
          <w:rFonts w:ascii="Arial" w:eastAsia="Arial" w:hAnsi="Arial"/>
          <w:bCs/>
          <w:sz w:val="22"/>
          <w:szCs w:val="22"/>
          <w:lang w:val="es-CR"/>
        </w:rPr>
        <w:t>Se considerarán indicios de deterioro</w:t>
      </w:r>
      <w:r w:rsidR="00A177CB" w:rsidRPr="00F02F9D">
        <w:rPr>
          <w:rFonts w:ascii="Arial" w:eastAsia="Arial" w:hAnsi="Arial"/>
          <w:bCs/>
          <w:sz w:val="22"/>
          <w:szCs w:val="22"/>
          <w:lang w:val="es-CR"/>
        </w:rPr>
        <w:t xml:space="preserve"> de los Activos generadores y no generadores de efectivo</w:t>
      </w:r>
      <w:r w:rsidRPr="00F02F9D">
        <w:rPr>
          <w:rFonts w:ascii="Arial" w:eastAsia="Arial" w:hAnsi="Arial"/>
          <w:bCs/>
          <w:sz w:val="22"/>
          <w:szCs w:val="22"/>
          <w:lang w:val="es-CR"/>
        </w:rPr>
        <w:t>, las siguientes circunstancias</w:t>
      </w:r>
      <w:r w:rsidR="00A177CB" w:rsidRPr="00F02F9D">
        <w:rPr>
          <w:rFonts w:ascii="Arial" w:eastAsia="Arial" w:hAnsi="Arial"/>
          <w:bCs/>
          <w:sz w:val="22"/>
          <w:szCs w:val="22"/>
          <w:lang w:val="es-CR"/>
        </w:rPr>
        <w:t xml:space="preserve"> externas e internas</w:t>
      </w:r>
      <w:r w:rsidRPr="00F02F9D">
        <w:rPr>
          <w:rFonts w:ascii="Arial" w:eastAsia="Arial" w:hAnsi="Arial"/>
          <w:bCs/>
          <w:sz w:val="22"/>
          <w:szCs w:val="22"/>
          <w:lang w:val="es-CR"/>
        </w:rPr>
        <w:t>:</w:t>
      </w:r>
    </w:p>
    <w:p w14:paraId="6674929F" w14:textId="77777777" w:rsidR="0076679B" w:rsidRPr="00F02F9D" w:rsidRDefault="0076679B" w:rsidP="008C72EF">
      <w:pPr>
        <w:spacing w:line="297" w:lineRule="exact"/>
        <w:ind w:right="288"/>
        <w:rPr>
          <w:rFonts w:ascii="Arial" w:eastAsia="Times New Roman" w:hAnsi="Arial"/>
          <w:bCs/>
          <w:sz w:val="22"/>
          <w:szCs w:val="22"/>
          <w:lang w:val="es-CR"/>
        </w:rPr>
      </w:pPr>
    </w:p>
    <w:p w14:paraId="25FC6473" w14:textId="77777777" w:rsidR="0076679B" w:rsidRPr="00F02F9D" w:rsidRDefault="0076679B">
      <w:pPr>
        <w:pStyle w:val="Prrafodelista"/>
        <w:numPr>
          <w:ilvl w:val="0"/>
          <w:numId w:val="53"/>
        </w:numPr>
        <w:spacing w:line="242" w:lineRule="auto"/>
        <w:ind w:left="1418" w:right="800" w:hanging="284"/>
        <w:rPr>
          <w:rFonts w:ascii="Arial" w:eastAsia="Arial" w:hAnsi="Arial"/>
          <w:bCs/>
          <w:sz w:val="22"/>
          <w:szCs w:val="22"/>
          <w:lang w:val="es-CR"/>
        </w:rPr>
      </w:pPr>
      <w:r w:rsidRPr="00F02F9D">
        <w:rPr>
          <w:rFonts w:ascii="Arial" w:eastAsia="Arial" w:hAnsi="Arial"/>
          <w:bCs/>
          <w:sz w:val="22"/>
          <w:szCs w:val="22"/>
          <w:lang w:val="es-CR"/>
        </w:rPr>
        <w:lastRenderedPageBreak/>
        <w:t>Fuentes externas de información</w:t>
      </w:r>
    </w:p>
    <w:p w14:paraId="5EA64D5E" w14:textId="77777777" w:rsidR="0076679B" w:rsidRPr="00F02F9D" w:rsidRDefault="0076679B" w:rsidP="0076679B">
      <w:pPr>
        <w:spacing w:line="8" w:lineRule="exact"/>
        <w:rPr>
          <w:rFonts w:ascii="Arial" w:eastAsia="Times New Roman" w:hAnsi="Arial"/>
          <w:bCs/>
          <w:sz w:val="22"/>
          <w:szCs w:val="22"/>
          <w:lang w:val="es-CR"/>
        </w:rPr>
      </w:pPr>
    </w:p>
    <w:p w14:paraId="2CF2F4D4" w14:textId="77777777" w:rsidR="0076679B" w:rsidRPr="00F02F9D" w:rsidRDefault="0076679B" w:rsidP="008C72EF">
      <w:pPr>
        <w:spacing w:line="0" w:lineRule="atLeast"/>
        <w:ind w:left="480" w:right="288"/>
        <w:rPr>
          <w:rFonts w:ascii="Arial" w:eastAsia="Arial" w:hAnsi="Arial"/>
          <w:bCs/>
          <w:sz w:val="22"/>
          <w:szCs w:val="22"/>
          <w:lang w:val="es-CR"/>
        </w:rPr>
      </w:pPr>
    </w:p>
    <w:p w14:paraId="7FA72F25" w14:textId="77777777" w:rsidR="0076679B" w:rsidRPr="00F02F9D" w:rsidRDefault="0076679B" w:rsidP="00C947F4">
      <w:pPr>
        <w:pStyle w:val="Prrafodelista"/>
        <w:numPr>
          <w:ilvl w:val="0"/>
          <w:numId w:val="54"/>
        </w:numPr>
        <w:spacing w:after="120"/>
        <w:ind w:left="1560" w:right="380"/>
        <w:contextualSpacing w:val="0"/>
        <w:jc w:val="both"/>
        <w:rPr>
          <w:rFonts w:ascii="Arial" w:eastAsia="Arial" w:hAnsi="Arial"/>
          <w:bCs/>
          <w:sz w:val="22"/>
          <w:szCs w:val="22"/>
          <w:lang w:val="es-CR"/>
        </w:rPr>
      </w:pPr>
      <w:r w:rsidRPr="00F02F9D">
        <w:rPr>
          <w:rFonts w:ascii="Arial" w:eastAsia="Arial" w:hAnsi="Arial"/>
          <w:bCs/>
          <w:sz w:val="22"/>
          <w:szCs w:val="22"/>
          <w:lang w:val="es-CR"/>
        </w:rPr>
        <w:t>Cese, o próximo cese, o bien una significativa reducción a largo plazo de la demanda o</w:t>
      </w:r>
      <w:r w:rsidRPr="00F02F9D">
        <w:rPr>
          <w:rFonts w:ascii="Arial" w:eastAsia="Arial" w:hAnsi="Arial"/>
          <w:bCs/>
          <w:sz w:val="22"/>
          <w:szCs w:val="22"/>
          <w:lang w:val="es-CR"/>
        </w:rPr>
        <w:tab/>
        <w:t>necesidad</w:t>
      </w:r>
      <w:r w:rsidRPr="00F02F9D">
        <w:rPr>
          <w:rFonts w:ascii="Arial" w:eastAsia="Arial" w:hAnsi="Arial"/>
          <w:bCs/>
          <w:sz w:val="22"/>
          <w:szCs w:val="22"/>
          <w:lang w:val="es-CR"/>
        </w:rPr>
        <w:tab/>
        <w:t>de</w:t>
      </w:r>
      <w:r w:rsidRPr="00F02F9D">
        <w:rPr>
          <w:rFonts w:ascii="Arial" w:eastAsia="Arial" w:hAnsi="Arial"/>
          <w:bCs/>
          <w:sz w:val="22"/>
          <w:szCs w:val="22"/>
          <w:lang w:val="es-CR"/>
        </w:rPr>
        <w:tab/>
        <w:t>los servicios prestados por el activo.</w:t>
      </w:r>
    </w:p>
    <w:p w14:paraId="4BC89F3E" w14:textId="77777777" w:rsidR="0076679B" w:rsidRPr="00F02F9D" w:rsidRDefault="0076679B" w:rsidP="00C947F4">
      <w:pPr>
        <w:pStyle w:val="Prrafodelista"/>
        <w:numPr>
          <w:ilvl w:val="0"/>
          <w:numId w:val="54"/>
        </w:numPr>
        <w:spacing w:after="120"/>
        <w:ind w:left="1560" w:right="380"/>
        <w:contextualSpacing w:val="0"/>
        <w:jc w:val="both"/>
        <w:rPr>
          <w:rFonts w:ascii="Arial" w:eastAsia="Arial" w:hAnsi="Arial"/>
          <w:bCs/>
          <w:sz w:val="22"/>
          <w:szCs w:val="22"/>
          <w:lang w:val="es-CR"/>
        </w:rPr>
      </w:pPr>
      <w:bookmarkStart w:id="62" w:name="page58"/>
      <w:bookmarkEnd w:id="62"/>
      <w:r w:rsidRPr="00F02F9D">
        <w:rPr>
          <w:rFonts w:ascii="Arial" w:eastAsia="Arial" w:hAnsi="Arial"/>
          <w:bCs/>
          <w:sz w:val="22"/>
          <w:szCs w:val="22"/>
          <w:lang w:val="es-CR"/>
        </w:rPr>
        <w:t>Durante el período, el valor de mercado del activo ha disminuido significativamente más que lo que cabría esperar como consecuencia del paso del tiempo o de su uso normal.</w:t>
      </w:r>
    </w:p>
    <w:p w14:paraId="6A91F0A7" w14:textId="77777777" w:rsidR="0076679B" w:rsidRPr="00F02F9D" w:rsidRDefault="0076679B" w:rsidP="00C947F4">
      <w:pPr>
        <w:spacing w:after="120"/>
        <w:ind w:left="1560"/>
        <w:rPr>
          <w:rFonts w:ascii="Arial" w:eastAsia="Times New Roman" w:hAnsi="Arial"/>
          <w:bCs/>
          <w:sz w:val="22"/>
          <w:szCs w:val="22"/>
          <w:lang w:val="es-CR"/>
        </w:rPr>
      </w:pPr>
    </w:p>
    <w:p w14:paraId="7BCA1C6B" w14:textId="7551630F" w:rsidR="0076679B" w:rsidRPr="00F02F9D" w:rsidRDefault="00AA22E2" w:rsidP="00C947F4">
      <w:pPr>
        <w:pStyle w:val="Prrafodelista"/>
        <w:numPr>
          <w:ilvl w:val="0"/>
          <w:numId w:val="54"/>
        </w:numPr>
        <w:spacing w:after="120"/>
        <w:ind w:left="1560" w:right="380"/>
        <w:contextualSpacing w:val="0"/>
        <w:jc w:val="both"/>
        <w:rPr>
          <w:rFonts w:ascii="Arial" w:eastAsia="Arial" w:hAnsi="Arial"/>
          <w:bCs/>
          <w:sz w:val="22"/>
          <w:szCs w:val="22"/>
          <w:lang w:val="es-CR"/>
        </w:rPr>
      </w:pPr>
      <w:r w:rsidRPr="00F02F9D">
        <w:rPr>
          <w:rFonts w:ascii="Arial" w:eastAsia="Arial" w:hAnsi="Arial"/>
          <w:bCs/>
          <w:sz w:val="22"/>
          <w:szCs w:val="22"/>
          <w:lang w:val="es-CR"/>
        </w:rPr>
        <w:t>Ca</w:t>
      </w:r>
      <w:r>
        <w:rPr>
          <w:rFonts w:ascii="Arial" w:eastAsia="Arial" w:hAnsi="Arial"/>
          <w:bCs/>
          <w:sz w:val="22"/>
          <w:szCs w:val="22"/>
          <w:lang w:val="es-CR"/>
        </w:rPr>
        <w:t>mbi</w:t>
      </w:r>
      <w:r w:rsidRPr="00F02F9D">
        <w:rPr>
          <w:rFonts w:ascii="Arial" w:eastAsia="Arial" w:hAnsi="Arial"/>
          <w:bCs/>
          <w:sz w:val="22"/>
          <w:szCs w:val="22"/>
          <w:lang w:val="es-CR"/>
        </w:rPr>
        <w:t>os</w:t>
      </w:r>
      <w:r w:rsidR="0076679B" w:rsidRPr="00F02F9D">
        <w:rPr>
          <w:rFonts w:ascii="Arial" w:eastAsia="Arial" w:hAnsi="Arial"/>
          <w:bCs/>
          <w:sz w:val="22"/>
          <w:szCs w:val="22"/>
          <w:lang w:val="es-CR"/>
        </w:rPr>
        <w:t xml:space="preserve"> significativos que han tenido lugar durante el período, o van a tener lugar en el futuro inmediato, con una incidencia adversa sobre la entidad, que puede ser producto:</w:t>
      </w:r>
    </w:p>
    <w:p w14:paraId="13B12857" w14:textId="77777777" w:rsidR="0076679B" w:rsidRPr="00F02F9D" w:rsidRDefault="0076679B" w:rsidP="00C947F4">
      <w:pPr>
        <w:pStyle w:val="Prrafodelista"/>
        <w:numPr>
          <w:ilvl w:val="0"/>
          <w:numId w:val="55"/>
        </w:numPr>
        <w:spacing w:after="120"/>
        <w:ind w:left="1985" w:right="380" w:hanging="207"/>
        <w:contextualSpacing w:val="0"/>
        <w:jc w:val="both"/>
        <w:rPr>
          <w:rFonts w:ascii="Arial" w:eastAsia="Arial" w:hAnsi="Arial"/>
          <w:bCs/>
          <w:sz w:val="22"/>
          <w:szCs w:val="22"/>
          <w:lang w:val="es-CR"/>
        </w:rPr>
      </w:pPr>
      <w:r w:rsidRPr="00F02F9D">
        <w:rPr>
          <w:rFonts w:ascii="Arial" w:eastAsia="Arial" w:hAnsi="Arial"/>
          <w:bCs/>
          <w:sz w:val="22"/>
          <w:szCs w:val="22"/>
          <w:lang w:val="es-CR"/>
        </w:rPr>
        <w:t>De la tecnología.</w:t>
      </w:r>
    </w:p>
    <w:p w14:paraId="0E6541A3" w14:textId="77777777" w:rsidR="0076679B" w:rsidRPr="00F02F9D" w:rsidRDefault="0076679B" w:rsidP="00C947F4">
      <w:pPr>
        <w:pStyle w:val="Prrafodelista"/>
        <w:numPr>
          <w:ilvl w:val="0"/>
          <w:numId w:val="55"/>
        </w:numPr>
        <w:spacing w:after="120"/>
        <w:ind w:left="1985" w:right="380" w:hanging="207"/>
        <w:contextualSpacing w:val="0"/>
        <w:jc w:val="both"/>
        <w:rPr>
          <w:rFonts w:ascii="Arial" w:eastAsia="Arial" w:hAnsi="Arial"/>
          <w:bCs/>
          <w:sz w:val="22"/>
          <w:szCs w:val="22"/>
          <w:lang w:val="es-CR"/>
        </w:rPr>
      </w:pPr>
      <w:r w:rsidRPr="00F02F9D">
        <w:rPr>
          <w:rFonts w:ascii="Arial" w:eastAsia="Arial" w:hAnsi="Arial"/>
          <w:bCs/>
          <w:sz w:val="22"/>
          <w:szCs w:val="22"/>
          <w:lang w:val="es-CR"/>
        </w:rPr>
        <w:t>Del contexto económico (*) o legal.</w:t>
      </w:r>
    </w:p>
    <w:p w14:paraId="5D93CE40" w14:textId="77777777" w:rsidR="0076679B" w:rsidRPr="00F02F9D" w:rsidRDefault="0076679B" w:rsidP="00C947F4">
      <w:pPr>
        <w:pStyle w:val="Prrafodelista"/>
        <w:numPr>
          <w:ilvl w:val="0"/>
          <w:numId w:val="55"/>
        </w:numPr>
        <w:spacing w:after="120"/>
        <w:ind w:left="1985" w:right="380" w:hanging="207"/>
        <w:contextualSpacing w:val="0"/>
        <w:jc w:val="both"/>
        <w:rPr>
          <w:rFonts w:ascii="Arial" w:eastAsia="Arial" w:hAnsi="Arial"/>
          <w:bCs/>
          <w:sz w:val="22"/>
          <w:szCs w:val="22"/>
          <w:lang w:val="es-CR"/>
        </w:rPr>
      </w:pPr>
      <w:r w:rsidRPr="00F02F9D">
        <w:rPr>
          <w:rFonts w:ascii="Arial" w:eastAsia="Arial" w:hAnsi="Arial"/>
          <w:bCs/>
          <w:sz w:val="22"/>
          <w:szCs w:val="22"/>
          <w:lang w:val="es-CR"/>
        </w:rPr>
        <w:t>Del mercado al que está destinado el activo (*).</w:t>
      </w:r>
    </w:p>
    <w:p w14:paraId="0A5C4465" w14:textId="77777777" w:rsidR="0076679B" w:rsidRPr="00F02F9D" w:rsidRDefault="0076679B" w:rsidP="00C947F4">
      <w:pPr>
        <w:pStyle w:val="Prrafodelista"/>
        <w:numPr>
          <w:ilvl w:val="0"/>
          <w:numId w:val="55"/>
        </w:numPr>
        <w:spacing w:after="120"/>
        <w:ind w:left="1985" w:right="380" w:hanging="207"/>
        <w:contextualSpacing w:val="0"/>
        <w:jc w:val="both"/>
        <w:rPr>
          <w:rFonts w:ascii="Arial" w:eastAsia="Arial" w:hAnsi="Arial"/>
          <w:bCs/>
          <w:sz w:val="22"/>
          <w:szCs w:val="22"/>
          <w:lang w:val="es-CR"/>
        </w:rPr>
      </w:pPr>
      <w:r w:rsidRPr="00F02F9D">
        <w:rPr>
          <w:rFonts w:ascii="Arial" w:eastAsia="Arial" w:hAnsi="Arial"/>
          <w:bCs/>
          <w:sz w:val="22"/>
          <w:szCs w:val="22"/>
        </w:rPr>
        <w:t>De la política gubernamental.</w:t>
      </w:r>
    </w:p>
    <w:p w14:paraId="10B893B0" w14:textId="77777777" w:rsidR="0076679B" w:rsidRPr="00F02F9D" w:rsidRDefault="0076679B" w:rsidP="00C947F4">
      <w:pPr>
        <w:spacing w:after="120"/>
        <w:rPr>
          <w:rFonts w:ascii="Arial" w:eastAsia="Times New Roman" w:hAnsi="Arial"/>
          <w:bCs/>
          <w:sz w:val="22"/>
          <w:szCs w:val="22"/>
        </w:rPr>
      </w:pPr>
    </w:p>
    <w:p w14:paraId="140674DF" w14:textId="6AEC5672" w:rsidR="0076679B" w:rsidRPr="00F02F9D" w:rsidRDefault="0076679B">
      <w:pPr>
        <w:pStyle w:val="Prrafodelista"/>
        <w:numPr>
          <w:ilvl w:val="0"/>
          <w:numId w:val="54"/>
        </w:numPr>
        <w:spacing w:line="237" w:lineRule="auto"/>
        <w:ind w:left="1560" w:right="288" w:hanging="426"/>
        <w:jc w:val="both"/>
        <w:rPr>
          <w:rFonts w:ascii="Arial" w:eastAsia="Arial" w:hAnsi="Arial"/>
          <w:bCs/>
          <w:sz w:val="22"/>
          <w:szCs w:val="22"/>
          <w:lang w:val="es-CR"/>
        </w:rPr>
      </w:pPr>
      <w:r w:rsidRPr="00F02F9D">
        <w:rPr>
          <w:rFonts w:ascii="Arial" w:eastAsia="Arial" w:hAnsi="Arial"/>
          <w:bCs/>
          <w:sz w:val="22"/>
          <w:szCs w:val="22"/>
          <w:lang w:val="es-CR"/>
        </w:rPr>
        <w:t>Durante el período, las tasas de interés de mercado, u otras tasas de mercado de rendimiento de inversiones, han sufrido</w:t>
      </w:r>
      <w:r w:rsidRPr="00F02F9D">
        <w:rPr>
          <w:rFonts w:ascii="Arial" w:eastAsia="Arial" w:hAnsi="Arial"/>
          <w:bCs/>
          <w:sz w:val="22"/>
          <w:szCs w:val="22"/>
          <w:lang w:val="es-CR"/>
        </w:rPr>
        <w:tab/>
        <w:t>incremento</w:t>
      </w:r>
      <w:r w:rsidR="00A177CB" w:rsidRPr="00F02F9D">
        <w:rPr>
          <w:rFonts w:ascii="Arial" w:eastAsia="Arial" w:hAnsi="Arial"/>
          <w:bCs/>
          <w:sz w:val="22"/>
          <w:szCs w:val="22"/>
          <w:lang w:val="es-CR"/>
        </w:rPr>
        <w:t xml:space="preserve"> </w:t>
      </w:r>
      <w:r w:rsidRPr="00F02F9D">
        <w:rPr>
          <w:rFonts w:ascii="Arial" w:eastAsia="Arial" w:hAnsi="Arial"/>
          <w:bCs/>
          <w:sz w:val="22"/>
          <w:szCs w:val="22"/>
          <w:lang w:val="es-CR"/>
        </w:rPr>
        <w:t>que probablemente afecten a la tasa de descuento utilizada para calcular el valor en uso del activo, de manera que disminuyan el importe recuperable del activo en forma significativa.</w:t>
      </w:r>
    </w:p>
    <w:p w14:paraId="56BE4FC0" w14:textId="77777777" w:rsidR="0076679B" w:rsidRPr="00F02F9D" w:rsidRDefault="0076679B" w:rsidP="0076679B">
      <w:pPr>
        <w:spacing w:line="10" w:lineRule="exact"/>
        <w:rPr>
          <w:rFonts w:ascii="Arial" w:eastAsia="Times New Roman" w:hAnsi="Arial"/>
          <w:bCs/>
          <w:sz w:val="22"/>
          <w:szCs w:val="22"/>
          <w:lang w:val="es-CR"/>
        </w:rPr>
      </w:pPr>
    </w:p>
    <w:p w14:paraId="5E065031" w14:textId="77777777" w:rsidR="0076679B" w:rsidRPr="00F02F9D" w:rsidRDefault="0076679B" w:rsidP="008C72EF">
      <w:pPr>
        <w:spacing w:line="0" w:lineRule="atLeast"/>
        <w:ind w:right="288"/>
        <w:jc w:val="center"/>
        <w:rPr>
          <w:rFonts w:ascii="Arial" w:eastAsia="Arial" w:hAnsi="Arial"/>
          <w:bCs/>
          <w:sz w:val="22"/>
          <w:szCs w:val="22"/>
          <w:lang w:val="es-CR"/>
        </w:rPr>
      </w:pPr>
    </w:p>
    <w:p w14:paraId="333F40AB" w14:textId="77777777" w:rsidR="0076679B" w:rsidRPr="00F02F9D" w:rsidRDefault="0076679B">
      <w:pPr>
        <w:pStyle w:val="Prrafodelista"/>
        <w:numPr>
          <w:ilvl w:val="0"/>
          <w:numId w:val="53"/>
        </w:numPr>
        <w:spacing w:line="0" w:lineRule="atLeast"/>
        <w:ind w:left="1418" w:right="-99" w:hanging="284"/>
        <w:rPr>
          <w:rFonts w:ascii="Arial" w:eastAsia="Arial" w:hAnsi="Arial"/>
          <w:bCs/>
          <w:sz w:val="22"/>
          <w:szCs w:val="22"/>
          <w:lang w:val="es-CR"/>
        </w:rPr>
      </w:pPr>
      <w:r w:rsidRPr="00F02F9D">
        <w:rPr>
          <w:rFonts w:ascii="Arial" w:eastAsia="Arial" w:hAnsi="Arial"/>
          <w:bCs/>
          <w:sz w:val="22"/>
          <w:szCs w:val="22"/>
          <w:lang w:val="es-CR"/>
        </w:rPr>
        <w:t>Fuentes internas de información</w:t>
      </w:r>
    </w:p>
    <w:p w14:paraId="1CA0A3EF" w14:textId="77777777" w:rsidR="0076679B" w:rsidRPr="00F02F9D" w:rsidRDefault="0076679B" w:rsidP="008C72EF">
      <w:pPr>
        <w:pStyle w:val="Prrafodelista"/>
        <w:spacing w:line="0" w:lineRule="atLeast"/>
        <w:ind w:left="426" w:right="288"/>
        <w:rPr>
          <w:rFonts w:ascii="Arial" w:eastAsia="Arial" w:hAnsi="Arial"/>
          <w:bCs/>
          <w:sz w:val="22"/>
          <w:szCs w:val="22"/>
          <w:lang w:val="es-CR"/>
        </w:rPr>
      </w:pPr>
    </w:p>
    <w:p w14:paraId="59BDCA0F" w14:textId="77777777" w:rsidR="0076679B" w:rsidRPr="00F02F9D" w:rsidRDefault="0076679B" w:rsidP="0076679B">
      <w:pPr>
        <w:spacing w:line="10" w:lineRule="exact"/>
        <w:rPr>
          <w:rFonts w:ascii="Arial" w:eastAsia="Times New Roman" w:hAnsi="Arial"/>
          <w:bCs/>
          <w:sz w:val="22"/>
          <w:szCs w:val="22"/>
          <w:lang w:val="es-CR"/>
        </w:rPr>
      </w:pPr>
    </w:p>
    <w:p w14:paraId="64C1A7DC" w14:textId="77777777" w:rsidR="00A177CB" w:rsidRPr="00F02F9D" w:rsidRDefault="0076679B" w:rsidP="00C947F4">
      <w:pPr>
        <w:pStyle w:val="Prrafodelista"/>
        <w:numPr>
          <w:ilvl w:val="0"/>
          <w:numId w:val="56"/>
        </w:numPr>
        <w:spacing w:after="120"/>
        <w:ind w:left="1560" w:right="260" w:hanging="426"/>
        <w:contextualSpacing w:val="0"/>
        <w:jc w:val="both"/>
        <w:rPr>
          <w:rFonts w:ascii="Arial" w:eastAsia="Arial" w:hAnsi="Arial"/>
          <w:bCs/>
          <w:sz w:val="22"/>
          <w:szCs w:val="22"/>
          <w:lang w:val="es-CR"/>
        </w:rPr>
      </w:pPr>
      <w:r w:rsidRPr="00F02F9D">
        <w:rPr>
          <w:rFonts w:ascii="Arial" w:eastAsia="Arial" w:hAnsi="Arial"/>
          <w:bCs/>
          <w:sz w:val="22"/>
          <w:szCs w:val="22"/>
          <w:lang w:val="es-CR"/>
        </w:rPr>
        <w:t>Se dispone de evidencia sobre la obsolescencia (*) o el deterioro físico del activo.</w:t>
      </w:r>
    </w:p>
    <w:p w14:paraId="60FD912A" w14:textId="73138A3E" w:rsidR="0076679B" w:rsidRPr="00F02F9D" w:rsidRDefault="00AA22E2" w:rsidP="00C947F4">
      <w:pPr>
        <w:pStyle w:val="Prrafodelista"/>
        <w:numPr>
          <w:ilvl w:val="0"/>
          <w:numId w:val="56"/>
        </w:numPr>
        <w:spacing w:after="120"/>
        <w:ind w:left="1560" w:right="260" w:hanging="426"/>
        <w:contextualSpacing w:val="0"/>
        <w:jc w:val="both"/>
        <w:rPr>
          <w:rFonts w:ascii="Arial" w:eastAsia="Arial" w:hAnsi="Arial"/>
          <w:bCs/>
          <w:sz w:val="22"/>
          <w:szCs w:val="22"/>
          <w:lang w:val="es-CR"/>
        </w:rPr>
      </w:pPr>
      <w:r w:rsidRPr="00F02F9D">
        <w:rPr>
          <w:rFonts w:ascii="Arial" w:eastAsia="Arial" w:hAnsi="Arial"/>
          <w:bCs/>
          <w:sz w:val="22"/>
          <w:szCs w:val="22"/>
          <w:lang w:val="es-CR"/>
        </w:rPr>
        <w:t>Ca</w:t>
      </w:r>
      <w:r>
        <w:rPr>
          <w:rFonts w:ascii="Arial" w:eastAsia="Arial" w:hAnsi="Arial"/>
          <w:bCs/>
          <w:sz w:val="22"/>
          <w:szCs w:val="22"/>
          <w:lang w:val="es-CR"/>
        </w:rPr>
        <w:t>mbi</w:t>
      </w:r>
      <w:r w:rsidRPr="00F02F9D">
        <w:rPr>
          <w:rFonts w:ascii="Arial" w:eastAsia="Arial" w:hAnsi="Arial"/>
          <w:bCs/>
          <w:sz w:val="22"/>
          <w:szCs w:val="22"/>
          <w:lang w:val="es-CR"/>
        </w:rPr>
        <w:t>os</w:t>
      </w:r>
      <w:r w:rsidR="0076679B" w:rsidRPr="00F02F9D">
        <w:rPr>
          <w:rFonts w:ascii="Arial" w:eastAsia="Arial" w:hAnsi="Arial"/>
          <w:bCs/>
          <w:sz w:val="22"/>
          <w:szCs w:val="22"/>
          <w:lang w:val="es-CR"/>
        </w:rPr>
        <w:t xml:space="preserve"> significativos que han tenido lugar durante el período, o se espera que tengan lugar en el futuro inmediato, con una incidencia adversa sobre la entidad en el grado de utilización o forma en que se usa o se espera usar el activo. Entre tales </w:t>
      </w:r>
      <w:r w:rsidRPr="00F02F9D">
        <w:rPr>
          <w:rFonts w:ascii="Arial" w:eastAsia="Arial" w:hAnsi="Arial"/>
          <w:bCs/>
          <w:sz w:val="22"/>
          <w:szCs w:val="22"/>
          <w:lang w:val="es-CR"/>
        </w:rPr>
        <w:t>ca</w:t>
      </w:r>
      <w:r>
        <w:rPr>
          <w:rFonts w:ascii="Arial" w:eastAsia="Arial" w:hAnsi="Arial"/>
          <w:bCs/>
          <w:sz w:val="22"/>
          <w:szCs w:val="22"/>
          <w:lang w:val="es-CR"/>
        </w:rPr>
        <w:t>mbi</w:t>
      </w:r>
      <w:r w:rsidRPr="00F02F9D">
        <w:rPr>
          <w:rFonts w:ascii="Arial" w:eastAsia="Arial" w:hAnsi="Arial"/>
          <w:bCs/>
          <w:sz w:val="22"/>
          <w:szCs w:val="22"/>
          <w:lang w:val="es-CR"/>
        </w:rPr>
        <w:t>os</w:t>
      </w:r>
      <w:r w:rsidR="0076679B" w:rsidRPr="00F02F9D">
        <w:rPr>
          <w:rFonts w:ascii="Arial" w:eastAsia="Arial" w:hAnsi="Arial"/>
          <w:bCs/>
          <w:sz w:val="22"/>
          <w:szCs w:val="22"/>
          <w:lang w:val="es-CR"/>
        </w:rPr>
        <w:t xml:space="preserve"> pueden encontrarse:</w:t>
      </w:r>
    </w:p>
    <w:p w14:paraId="5766C40C" w14:textId="27456AD9" w:rsidR="0076679B" w:rsidRPr="00C947F4" w:rsidRDefault="008C72EF" w:rsidP="00C947F4">
      <w:pPr>
        <w:numPr>
          <w:ilvl w:val="0"/>
          <w:numId w:val="57"/>
        </w:numPr>
        <w:tabs>
          <w:tab w:val="left" w:pos="1560"/>
        </w:tabs>
        <w:spacing w:after="120"/>
        <w:ind w:left="1985" w:hanging="190"/>
        <w:rPr>
          <w:rFonts w:ascii="Arial" w:eastAsia="Arial" w:hAnsi="Arial"/>
          <w:bCs/>
          <w:sz w:val="22"/>
          <w:szCs w:val="22"/>
        </w:rPr>
      </w:pPr>
      <w:r w:rsidRPr="00F02F9D">
        <w:rPr>
          <w:rFonts w:ascii="Arial" w:eastAsia="Arial" w:hAnsi="Arial"/>
          <w:bCs/>
          <w:sz w:val="22"/>
          <w:szCs w:val="22"/>
        </w:rPr>
        <w:t>L</w:t>
      </w:r>
      <w:r w:rsidR="0076679B" w:rsidRPr="00F02F9D">
        <w:rPr>
          <w:rFonts w:ascii="Arial" w:eastAsia="Arial" w:hAnsi="Arial"/>
          <w:bCs/>
          <w:sz w:val="22"/>
          <w:szCs w:val="22"/>
        </w:rPr>
        <w:t>a ociosidad del activo;</w:t>
      </w:r>
    </w:p>
    <w:p w14:paraId="599943BA" w14:textId="239AB8C0" w:rsidR="0076679B" w:rsidRPr="00C947F4" w:rsidRDefault="008C72EF" w:rsidP="00C947F4">
      <w:pPr>
        <w:numPr>
          <w:ilvl w:val="0"/>
          <w:numId w:val="57"/>
        </w:numPr>
        <w:tabs>
          <w:tab w:val="left" w:pos="1559"/>
        </w:tabs>
        <w:spacing w:after="120"/>
        <w:ind w:left="1985" w:right="380" w:hanging="190"/>
        <w:rPr>
          <w:rFonts w:ascii="Arial" w:eastAsia="Arial" w:hAnsi="Arial"/>
          <w:bCs/>
          <w:sz w:val="22"/>
          <w:szCs w:val="22"/>
          <w:lang w:val="es-CR"/>
        </w:rPr>
      </w:pPr>
      <w:r w:rsidRPr="00F02F9D">
        <w:rPr>
          <w:rFonts w:ascii="Arial" w:eastAsia="Arial" w:hAnsi="Arial"/>
          <w:bCs/>
          <w:sz w:val="22"/>
          <w:szCs w:val="22"/>
          <w:lang w:val="es-CR"/>
        </w:rPr>
        <w:t>P</w:t>
      </w:r>
      <w:r w:rsidR="0076679B" w:rsidRPr="00F02F9D">
        <w:rPr>
          <w:rFonts w:ascii="Arial" w:eastAsia="Arial" w:hAnsi="Arial"/>
          <w:bCs/>
          <w:sz w:val="22"/>
          <w:szCs w:val="22"/>
          <w:lang w:val="es-CR"/>
        </w:rPr>
        <w:t>lanes para interrumpir o reestructurar la operación a la que pertenece un activo</w:t>
      </w:r>
      <w:r w:rsidR="00C947F4">
        <w:rPr>
          <w:rFonts w:ascii="Arial" w:eastAsia="Arial" w:hAnsi="Arial"/>
          <w:bCs/>
          <w:sz w:val="22"/>
          <w:szCs w:val="22"/>
          <w:lang w:val="es-CR"/>
        </w:rPr>
        <w:t>;</w:t>
      </w:r>
    </w:p>
    <w:p w14:paraId="0529AFC8" w14:textId="7F7C104B" w:rsidR="0076679B" w:rsidRPr="00C947F4" w:rsidRDefault="008C72EF" w:rsidP="00C947F4">
      <w:pPr>
        <w:numPr>
          <w:ilvl w:val="0"/>
          <w:numId w:val="57"/>
        </w:numPr>
        <w:tabs>
          <w:tab w:val="left" w:pos="1560"/>
        </w:tabs>
        <w:spacing w:after="120"/>
        <w:ind w:left="1985" w:right="380" w:hanging="190"/>
        <w:rPr>
          <w:rFonts w:ascii="Arial" w:eastAsia="Arial" w:hAnsi="Arial"/>
          <w:bCs/>
          <w:sz w:val="22"/>
          <w:szCs w:val="22"/>
          <w:lang w:val="es-CR"/>
        </w:rPr>
      </w:pPr>
      <w:r w:rsidRPr="00F02F9D">
        <w:rPr>
          <w:rFonts w:ascii="Arial" w:eastAsia="Arial" w:hAnsi="Arial"/>
          <w:bCs/>
          <w:sz w:val="22"/>
          <w:szCs w:val="22"/>
          <w:lang w:val="es-CR"/>
        </w:rPr>
        <w:t>Q</w:t>
      </w:r>
      <w:r w:rsidR="0076679B" w:rsidRPr="00F02F9D">
        <w:rPr>
          <w:rFonts w:ascii="Arial" w:eastAsia="Arial" w:hAnsi="Arial"/>
          <w:bCs/>
          <w:sz w:val="22"/>
          <w:szCs w:val="22"/>
          <w:lang w:val="es-CR"/>
        </w:rPr>
        <w:t xml:space="preserve">ue se haya decidido la disposición del mismo antes de la fecha prevista; </w:t>
      </w:r>
    </w:p>
    <w:p w14:paraId="32921DD6" w14:textId="4025D231" w:rsidR="0076679B" w:rsidRPr="00C947F4" w:rsidRDefault="008C72EF" w:rsidP="00C947F4">
      <w:pPr>
        <w:numPr>
          <w:ilvl w:val="0"/>
          <w:numId w:val="57"/>
        </w:numPr>
        <w:tabs>
          <w:tab w:val="left" w:pos="1559"/>
        </w:tabs>
        <w:spacing w:after="120"/>
        <w:ind w:left="1985" w:right="380" w:hanging="190"/>
        <w:rPr>
          <w:rFonts w:ascii="Arial" w:eastAsia="Arial" w:hAnsi="Arial"/>
          <w:bCs/>
          <w:sz w:val="22"/>
          <w:szCs w:val="22"/>
          <w:lang w:val="es-CR"/>
        </w:rPr>
      </w:pPr>
      <w:r w:rsidRPr="00F02F9D">
        <w:rPr>
          <w:rFonts w:ascii="Arial" w:eastAsia="Arial" w:hAnsi="Arial"/>
          <w:bCs/>
          <w:sz w:val="22"/>
          <w:szCs w:val="22"/>
          <w:lang w:val="es-CR"/>
        </w:rPr>
        <w:t>R</w:t>
      </w:r>
      <w:r w:rsidR="0076679B" w:rsidRPr="00F02F9D">
        <w:rPr>
          <w:rFonts w:ascii="Arial" w:eastAsia="Arial" w:hAnsi="Arial"/>
          <w:bCs/>
          <w:sz w:val="22"/>
          <w:szCs w:val="22"/>
          <w:lang w:val="es-CR"/>
        </w:rPr>
        <w:t>econsideración como finita de la vida útil de un activo anteriormente considerada como indefinida. (*)</w:t>
      </w:r>
    </w:p>
    <w:p w14:paraId="2A8F72C9" w14:textId="77777777" w:rsidR="0076679B" w:rsidRPr="00F02F9D" w:rsidRDefault="0076679B" w:rsidP="00C947F4">
      <w:pPr>
        <w:pStyle w:val="Prrafodelista"/>
        <w:numPr>
          <w:ilvl w:val="0"/>
          <w:numId w:val="56"/>
        </w:numPr>
        <w:spacing w:after="120"/>
        <w:ind w:left="1560" w:right="260" w:hanging="426"/>
        <w:contextualSpacing w:val="0"/>
        <w:jc w:val="both"/>
        <w:rPr>
          <w:rFonts w:ascii="Arial" w:eastAsia="Arial" w:hAnsi="Arial"/>
          <w:bCs/>
          <w:sz w:val="22"/>
          <w:szCs w:val="22"/>
          <w:lang w:val="es-CR"/>
        </w:rPr>
      </w:pPr>
      <w:r w:rsidRPr="00F02F9D">
        <w:rPr>
          <w:rFonts w:ascii="Arial" w:eastAsia="Arial" w:hAnsi="Arial"/>
          <w:bCs/>
          <w:sz w:val="22"/>
          <w:szCs w:val="22"/>
          <w:lang w:val="es-CR"/>
        </w:rPr>
        <w:t>Una decisión de detener la construcción del activo antes de su finalización o de su puesta en condiciones de funcionamiento.</w:t>
      </w:r>
    </w:p>
    <w:p w14:paraId="01B665A6" w14:textId="024D6356" w:rsidR="0076679B" w:rsidRPr="00C947F4" w:rsidRDefault="0076679B" w:rsidP="00C947F4">
      <w:pPr>
        <w:pStyle w:val="Prrafodelista"/>
        <w:numPr>
          <w:ilvl w:val="0"/>
          <w:numId w:val="56"/>
        </w:numPr>
        <w:spacing w:after="120"/>
        <w:ind w:left="1560" w:right="260" w:hanging="426"/>
        <w:contextualSpacing w:val="0"/>
        <w:jc w:val="both"/>
        <w:rPr>
          <w:rFonts w:ascii="Arial" w:eastAsia="Arial" w:hAnsi="Arial"/>
          <w:bCs/>
          <w:sz w:val="22"/>
          <w:szCs w:val="22"/>
          <w:lang w:val="es-CR"/>
        </w:rPr>
      </w:pPr>
      <w:r w:rsidRPr="00F02F9D">
        <w:rPr>
          <w:rFonts w:ascii="Arial" w:eastAsia="Arial" w:hAnsi="Arial"/>
          <w:bCs/>
          <w:sz w:val="22"/>
          <w:szCs w:val="22"/>
          <w:lang w:val="es-CR"/>
        </w:rPr>
        <w:t>Se dispone de evidencia, procedente de informes internos, que indica que el rendimiento de servicio del activo es, o va a ser, peor que el esperado.</w:t>
      </w:r>
    </w:p>
    <w:p w14:paraId="4D663E7C" w14:textId="77777777" w:rsidR="0076679B" w:rsidRPr="00F02F9D" w:rsidRDefault="0076679B" w:rsidP="00C947F4">
      <w:pPr>
        <w:pStyle w:val="Prrafodelista"/>
        <w:numPr>
          <w:ilvl w:val="0"/>
          <w:numId w:val="56"/>
        </w:numPr>
        <w:spacing w:after="120"/>
        <w:ind w:left="1560" w:right="260" w:hanging="426"/>
        <w:contextualSpacing w:val="0"/>
        <w:jc w:val="both"/>
        <w:rPr>
          <w:rFonts w:ascii="Arial" w:eastAsia="Arial" w:hAnsi="Arial"/>
          <w:bCs/>
          <w:sz w:val="22"/>
          <w:szCs w:val="22"/>
          <w:lang w:val="es-CR"/>
        </w:rPr>
      </w:pPr>
      <w:r w:rsidRPr="00F02F9D">
        <w:rPr>
          <w:rFonts w:ascii="Arial" w:eastAsia="Arial" w:hAnsi="Arial"/>
          <w:bCs/>
          <w:sz w:val="22"/>
          <w:szCs w:val="22"/>
          <w:lang w:val="es-CR"/>
        </w:rPr>
        <w:t>Informes internos que exterioricen flujos netos de efectivo reales o proyectados y/o resultados inherentes a la operación del activo inferiores a los presupuestados,</w:t>
      </w:r>
      <w:r w:rsidRPr="00F02F9D">
        <w:rPr>
          <w:rFonts w:ascii="Arial" w:eastAsia="Arial" w:hAnsi="Arial"/>
          <w:bCs/>
          <w:sz w:val="22"/>
          <w:szCs w:val="22"/>
          <w:lang w:val="es-CR"/>
        </w:rPr>
        <w:tab/>
        <w:t>sea producto de menores ingresos como de mayores costos de mantenimiento.</w:t>
      </w:r>
      <w:bookmarkStart w:id="63" w:name="page59"/>
      <w:bookmarkEnd w:id="63"/>
    </w:p>
    <w:p w14:paraId="26058E18" w14:textId="77777777" w:rsidR="0076679B" w:rsidRPr="00F02F9D" w:rsidRDefault="0076679B">
      <w:pPr>
        <w:pStyle w:val="Prrafodelista"/>
        <w:numPr>
          <w:ilvl w:val="0"/>
          <w:numId w:val="56"/>
        </w:numPr>
        <w:spacing w:line="242" w:lineRule="auto"/>
        <w:ind w:left="1560" w:right="260" w:hanging="426"/>
        <w:jc w:val="both"/>
        <w:rPr>
          <w:rFonts w:ascii="Arial" w:eastAsia="Arial" w:hAnsi="Arial"/>
          <w:bCs/>
          <w:sz w:val="22"/>
          <w:szCs w:val="22"/>
          <w:lang w:val="es-CR"/>
        </w:rPr>
      </w:pPr>
      <w:r w:rsidRPr="00F02F9D">
        <w:rPr>
          <w:rFonts w:ascii="Arial" w:eastAsia="Arial" w:hAnsi="Arial"/>
          <w:bCs/>
          <w:sz w:val="22"/>
          <w:szCs w:val="22"/>
          <w:lang w:val="es-CR"/>
        </w:rPr>
        <w:lastRenderedPageBreak/>
        <w:t>Otras circunstancias provenientes de fuentes internas o externas que puedan ser indicios de que un activo haya perdido valor por deterioro (*) Exclusivo para activos generadores de efectivo.</w:t>
      </w:r>
    </w:p>
    <w:p w14:paraId="3E28FAC5" w14:textId="77777777" w:rsidR="0076679B" w:rsidRPr="00F02F9D" w:rsidRDefault="0076679B" w:rsidP="008C72EF">
      <w:pPr>
        <w:spacing w:line="275" w:lineRule="exact"/>
        <w:ind w:right="288"/>
        <w:rPr>
          <w:rFonts w:ascii="Arial" w:eastAsia="Times New Roman" w:hAnsi="Arial"/>
          <w:bCs/>
          <w:sz w:val="22"/>
          <w:szCs w:val="22"/>
          <w:lang w:val="es-CR"/>
        </w:rPr>
      </w:pPr>
    </w:p>
    <w:p w14:paraId="600B088C" w14:textId="598A37FA" w:rsidR="0076679B" w:rsidRPr="00F02F9D" w:rsidRDefault="00A177CB" w:rsidP="00A177CB">
      <w:pPr>
        <w:spacing w:line="0" w:lineRule="atLeast"/>
        <w:ind w:left="1134" w:right="288" w:hanging="1134"/>
        <w:jc w:val="both"/>
        <w:rPr>
          <w:rFonts w:ascii="Arial" w:eastAsia="Arial" w:hAnsi="Arial"/>
          <w:bCs/>
          <w:sz w:val="22"/>
          <w:szCs w:val="22"/>
          <w:lang w:val="es-CR"/>
        </w:rPr>
      </w:pPr>
      <w:r w:rsidRPr="00F02F9D">
        <w:rPr>
          <w:rFonts w:ascii="Arial" w:eastAsia="Arial" w:hAnsi="Arial"/>
          <w:bCs/>
          <w:sz w:val="22"/>
          <w:szCs w:val="22"/>
          <w:lang w:val="es-CR"/>
        </w:rPr>
        <w:t>1.195.1.01</w:t>
      </w:r>
      <w:r w:rsidRPr="00F02F9D">
        <w:rPr>
          <w:rFonts w:ascii="Arial" w:eastAsia="Arial" w:hAnsi="Arial"/>
          <w:bCs/>
          <w:sz w:val="22"/>
          <w:szCs w:val="22"/>
          <w:lang w:val="es-CR"/>
        </w:rPr>
        <w:tab/>
      </w:r>
      <w:r w:rsidR="0076679B" w:rsidRPr="00F02F9D">
        <w:rPr>
          <w:rFonts w:ascii="Arial" w:eastAsia="Arial" w:hAnsi="Arial"/>
          <w:bCs/>
          <w:sz w:val="22"/>
          <w:szCs w:val="22"/>
          <w:lang w:val="es-CR"/>
        </w:rPr>
        <w:t>Los eventos o circunstancias que pueden indicar la existencia de deterioro de valor de un activo han de ser significativos y deberán ser valorados en el contexto del uso previsto del activo en el largo plazo.</w:t>
      </w:r>
    </w:p>
    <w:p w14:paraId="2253CEAF" w14:textId="77777777" w:rsidR="0076679B" w:rsidRPr="00F02F9D" w:rsidRDefault="0076679B" w:rsidP="008C72EF">
      <w:pPr>
        <w:spacing w:line="277" w:lineRule="exact"/>
        <w:ind w:right="288"/>
        <w:rPr>
          <w:rFonts w:ascii="Arial" w:eastAsia="Arial" w:hAnsi="Arial"/>
          <w:bCs/>
          <w:sz w:val="22"/>
          <w:szCs w:val="22"/>
          <w:lang w:val="es-CR"/>
        </w:rPr>
      </w:pPr>
    </w:p>
    <w:p w14:paraId="704FF3C2" w14:textId="77777777" w:rsidR="0076679B" w:rsidRPr="00F02F9D" w:rsidRDefault="0076679B" w:rsidP="0076679B">
      <w:pPr>
        <w:spacing w:line="9" w:lineRule="exact"/>
        <w:rPr>
          <w:rFonts w:ascii="Arial" w:eastAsia="Arial" w:hAnsi="Arial"/>
          <w:bCs/>
          <w:sz w:val="22"/>
          <w:szCs w:val="22"/>
          <w:lang w:val="es-CR"/>
        </w:rPr>
      </w:pPr>
    </w:p>
    <w:p w14:paraId="46474A65" w14:textId="1FF5824C" w:rsidR="0076679B" w:rsidRPr="00F02F9D" w:rsidRDefault="00A177CB" w:rsidP="00A177CB">
      <w:pPr>
        <w:spacing w:line="0" w:lineRule="atLeast"/>
        <w:ind w:left="1134" w:right="288" w:hanging="1134"/>
        <w:jc w:val="both"/>
        <w:rPr>
          <w:rFonts w:ascii="Arial" w:eastAsia="Arial" w:hAnsi="Arial"/>
          <w:bCs/>
          <w:sz w:val="22"/>
          <w:szCs w:val="22"/>
          <w:lang w:val="es-CR"/>
        </w:rPr>
      </w:pPr>
      <w:r w:rsidRPr="00F02F9D">
        <w:rPr>
          <w:rFonts w:ascii="Arial" w:eastAsia="Arial" w:hAnsi="Arial"/>
          <w:bCs/>
          <w:sz w:val="22"/>
          <w:szCs w:val="22"/>
          <w:lang w:val="es-CR"/>
        </w:rPr>
        <w:t>1.195.2.01</w:t>
      </w:r>
      <w:r w:rsidRPr="00F02F9D">
        <w:rPr>
          <w:rFonts w:ascii="Arial" w:eastAsia="Arial" w:hAnsi="Arial"/>
          <w:bCs/>
          <w:sz w:val="22"/>
          <w:szCs w:val="22"/>
          <w:lang w:val="es-CR"/>
        </w:rPr>
        <w:tab/>
      </w:r>
      <w:r w:rsidR="0076679B" w:rsidRPr="00F02F9D">
        <w:rPr>
          <w:rFonts w:ascii="Arial" w:eastAsia="Arial" w:hAnsi="Arial"/>
          <w:bCs/>
          <w:sz w:val="22"/>
          <w:szCs w:val="22"/>
          <w:lang w:val="es-CR"/>
        </w:rPr>
        <w:t>La determinación de los deterioros deberá estar avalada por profesionales o técnicos con conocimiento del activo objeto de deterioro.</w:t>
      </w:r>
    </w:p>
    <w:p w14:paraId="5A99CC1C" w14:textId="77777777" w:rsidR="00B9014C" w:rsidRPr="00F02F9D" w:rsidRDefault="00B9014C" w:rsidP="00A351C9">
      <w:pPr>
        <w:spacing w:line="238" w:lineRule="auto"/>
        <w:ind w:left="1134" w:right="260" w:hanging="1134"/>
        <w:jc w:val="both"/>
        <w:rPr>
          <w:rFonts w:ascii="Arial" w:eastAsia="Arial" w:hAnsi="Arial"/>
          <w:b/>
          <w:sz w:val="22"/>
          <w:szCs w:val="22"/>
          <w:lang w:val="es-CR"/>
        </w:rPr>
      </w:pPr>
    </w:p>
    <w:p w14:paraId="3E129EED" w14:textId="77777777" w:rsidR="00A351C9" w:rsidRPr="00F02F9D" w:rsidRDefault="00A351C9" w:rsidP="00A351C9">
      <w:pPr>
        <w:spacing w:line="238" w:lineRule="auto"/>
        <w:ind w:left="1134" w:right="260" w:hanging="1134"/>
        <w:jc w:val="both"/>
        <w:rPr>
          <w:rFonts w:ascii="Arial" w:eastAsia="Arial" w:hAnsi="Arial"/>
          <w:b/>
          <w:sz w:val="22"/>
          <w:szCs w:val="22"/>
          <w:lang w:val="es-CR"/>
        </w:rPr>
      </w:pPr>
    </w:p>
    <w:tbl>
      <w:tblPr>
        <w:tblW w:w="9172" w:type="dxa"/>
        <w:tblLook w:val="04A0" w:firstRow="1" w:lastRow="0" w:firstColumn="1" w:lastColumn="0" w:noHBand="0" w:noVBand="1"/>
      </w:tblPr>
      <w:tblGrid>
        <w:gridCol w:w="535"/>
        <w:gridCol w:w="550"/>
        <w:gridCol w:w="516"/>
        <w:gridCol w:w="3492"/>
        <w:gridCol w:w="2002"/>
        <w:gridCol w:w="2077"/>
      </w:tblGrid>
      <w:tr w:rsidR="00C21A07" w:rsidRPr="00C947F4" w14:paraId="52990590" w14:textId="77777777" w:rsidTr="00C21A07">
        <w:trPr>
          <w:trHeight w:val="320"/>
        </w:trPr>
        <w:tc>
          <w:tcPr>
            <w:tcW w:w="160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906F617" w14:textId="77777777" w:rsidR="00C21A07" w:rsidRPr="00C947F4" w:rsidRDefault="00C21A07">
            <w:pPr>
              <w:jc w:val="center"/>
              <w:rPr>
                <w:rFonts w:ascii="Arial Narrow" w:hAnsi="Arial Narrow"/>
                <w:b/>
                <w:bCs/>
                <w:color w:val="FFFFFF"/>
                <w:sz w:val="22"/>
                <w:szCs w:val="22"/>
              </w:rPr>
            </w:pPr>
            <w:r w:rsidRPr="00C947F4">
              <w:rPr>
                <w:rFonts w:ascii="Arial Narrow" w:hAnsi="Arial Narrow"/>
                <w:b/>
                <w:bCs/>
                <w:color w:val="FFFFFF"/>
                <w:sz w:val="22"/>
                <w:szCs w:val="22"/>
              </w:rPr>
              <w:t>Norma / Política</w:t>
            </w:r>
          </w:p>
        </w:tc>
        <w:tc>
          <w:tcPr>
            <w:tcW w:w="3492" w:type="dxa"/>
            <w:vMerge w:val="restart"/>
            <w:tcBorders>
              <w:top w:val="nil"/>
              <w:left w:val="single" w:sz="8" w:space="0" w:color="auto"/>
              <w:bottom w:val="nil"/>
              <w:right w:val="single" w:sz="8" w:space="0" w:color="auto"/>
            </w:tcBorders>
            <w:shd w:val="clear" w:color="000000" w:fill="203764"/>
            <w:vAlign w:val="center"/>
            <w:hideMark/>
          </w:tcPr>
          <w:p w14:paraId="5B1B9B82" w14:textId="77777777" w:rsidR="00C21A07" w:rsidRPr="00C947F4" w:rsidRDefault="00C21A07">
            <w:pPr>
              <w:jc w:val="center"/>
              <w:rPr>
                <w:rFonts w:ascii="Arial Narrow" w:hAnsi="Arial Narrow"/>
                <w:b/>
                <w:bCs/>
                <w:color w:val="FFFFFF"/>
                <w:sz w:val="22"/>
                <w:szCs w:val="22"/>
              </w:rPr>
            </w:pPr>
            <w:r w:rsidRPr="00C947F4">
              <w:rPr>
                <w:rFonts w:ascii="Arial Narrow" w:hAnsi="Arial Narrow"/>
                <w:b/>
                <w:bCs/>
                <w:color w:val="FFFFFF"/>
                <w:sz w:val="22"/>
                <w:szCs w:val="22"/>
              </w:rPr>
              <w:t>Concepto</w:t>
            </w:r>
          </w:p>
        </w:tc>
        <w:tc>
          <w:tcPr>
            <w:tcW w:w="4079" w:type="dxa"/>
            <w:gridSpan w:val="2"/>
            <w:tcBorders>
              <w:top w:val="nil"/>
              <w:left w:val="nil"/>
              <w:bottom w:val="single" w:sz="8" w:space="0" w:color="auto"/>
              <w:right w:val="single" w:sz="8" w:space="0" w:color="000000"/>
            </w:tcBorders>
            <w:shd w:val="clear" w:color="000000" w:fill="203764"/>
            <w:vAlign w:val="center"/>
            <w:hideMark/>
          </w:tcPr>
          <w:p w14:paraId="4D29AB2F" w14:textId="77777777" w:rsidR="00C21A07" w:rsidRPr="00C947F4" w:rsidRDefault="00C21A07">
            <w:pPr>
              <w:jc w:val="center"/>
              <w:rPr>
                <w:rFonts w:ascii="Arial Narrow" w:hAnsi="Arial Narrow"/>
                <w:b/>
                <w:bCs/>
                <w:color w:val="FFFFFF"/>
                <w:sz w:val="22"/>
                <w:szCs w:val="22"/>
              </w:rPr>
            </w:pPr>
            <w:r w:rsidRPr="00C947F4">
              <w:rPr>
                <w:rFonts w:ascii="Arial Narrow" w:hAnsi="Arial Narrow"/>
                <w:b/>
                <w:bCs/>
                <w:color w:val="FFFFFF"/>
                <w:sz w:val="22"/>
                <w:szCs w:val="22"/>
              </w:rPr>
              <w:t>Referencia</w:t>
            </w:r>
          </w:p>
        </w:tc>
      </w:tr>
      <w:tr w:rsidR="00C21A07" w:rsidRPr="0071104F" w14:paraId="7FBA2CA7" w14:textId="77777777" w:rsidTr="00C21A07">
        <w:trPr>
          <w:trHeight w:val="320"/>
        </w:trPr>
        <w:tc>
          <w:tcPr>
            <w:tcW w:w="1601" w:type="dxa"/>
            <w:gridSpan w:val="3"/>
            <w:vMerge/>
            <w:tcBorders>
              <w:top w:val="single" w:sz="8" w:space="0" w:color="auto"/>
              <w:left w:val="single" w:sz="8" w:space="0" w:color="auto"/>
              <w:bottom w:val="nil"/>
              <w:right w:val="single" w:sz="8" w:space="0" w:color="000000"/>
            </w:tcBorders>
            <w:vAlign w:val="center"/>
            <w:hideMark/>
          </w:tcPr>
          <w:p w14:paraId="537736D5" w14:textId="77777777" w:rsidR="00C21A07" w:rsidRPr="00C947F4" w:rsidRDefault="00C21A07">
            <w:pPr>
              <w:rPr>
                <w:rFonts w:ascii="Arial Narrow" w:hAnsi="Arial Narrow"/>
                <w:b/>
                <w:bCs/>
                <w:color w:val="FFFFFF"/>
                <w:sz w:val="22"/>
                <w:szCs w:val="22"/>
              </w:rPr>
            </w:pPr>
          </w:p>
        </w:tc>
        <w:tc>
          <w:tcPr>
            <w:tcW w:w="3492" w:type="dxa"/>
            <w:vMerge/>
            <w:tcBorders>
              <w:top w:val="nil"/>
              <w:left w:val="single" w:sz="8" w:space="0" w:color="auto"/>
              <w:bottom w:val="nil"/>
              <w:right w:val="single" w:sz="8" w:space="0" w:color="auto"/>
            </w:tcBorders>
            <w:vAlign w:val="center"/>
            <w:hideMark/>
          </w:tcPr>
          <w:p w14:paraId="1F7F7B33" w14:textId="77777777" w:rsidR="00C21A07" w:rsidRPr="00C947F4" w:rsidRDefault="00C21A07">
            <w:pPr>
              <w:rPr>
                <w:rFonts w:ascii="Arial Narrow" w:hAnsi="Arial Narrow"/>
                <w:b/>
                <w:bCs/>
                <w:color w:val="FFFFFF"/>
                <w:sz w:val="22"/>
                <w:szCs w:val="22"/>
              </w:rPr>
            </w:pPr>
          </w:p>
        </w:tc>
        <w:tc>
          <w:tcPr>
            <w:tcW w:w="2002" w:type="dxa"/>
            <w:tcBorders>
              <w:top w:val="nil"/>
              <w:left w:val="nil"/>
              <w:bottom w:val="nil"/>
              <w:right w:val="single" w:sz="8" w:space="0" w:color="auto"/>
            </w:tcBorders>
            <w:shd w:val="clear" w:color="000000" w:fill="203764"/>
            <w:vAlign w:val="center"/>
            <w:hideMark/>
          </w:tcPr>
          <w:p w14:paraId="78A603A1" w14:textId="77777777" w:rsidR="00C21A07" w:rsidRPr="00C947F4" w:rsidRDefault="00C21A07">
            <w:pPr>
              <w:jc w:val="center"/>
              <w:rPr>
                <w:rFonts w:ascii="Arial Narrow" w:hAnsi="Arial Narrow"/>
                <w:b/>
                <w:bCs/>
                <w:color w:val="FFFFFF"/>
                <w:sz w:val="22"/>
                <w:szCs w:val="22"/>
              </w:rPr>
            </w:pPr>
            <w:r w:rsidRPr="00C947F4">
              <w:rPr>
                <w:rFonts w:ascii="Arial Narrow" w:hAnsi="Arial Narrow"/>
                <w:b/>
                <w:bCs/>
                <w:color w:val="FFFFFF"/>
                <w:sz w:val="22"/>
                <w:szCs w:val="22"/>
              </w:rPr>
              <w:t>Norma</w:t>
            </w:r>
          </w:p>
        </w:tc>
        <w:tc>
          <w:tcPr>
            <w:tcW w:w="2077" w:type="dxa"/>
            <w:tcBorders>
              <w:top w:val="nil"/>
              <w:left w:val="nil"/>
              <w:bottom w:val="nil"/>
              <w:right w:val="single" w:sz="8" w:space="0" w:color="auto"/>
            </w:tcBorders>
            <w:shd w:val="clear" w:color="000000" w:fill="203764"/>
            <w:vAlign w:val="center"/>
            <w:hideMark/>
          </w:tcPr>
          <w:p w14:paraId="13E628DC" w14:textId="1529446C" w:rsidR="00C21A07" w:rsidRPr="0071104F" w:rsidRDefault="0071104F">
            <w:pPr>
              <w:jc w:val="center"/>
              <w:rPr>
                <w:rFonts w:ascii="Arial Narrow"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C21A07" w:rsidRPr="00C947F4" w14:paraId="6F9013B1" w14:textId="77777777" w:rsidTr="00C21A07">
        <w:trPr>
          <w:trHeight w:val="1011"/>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244FED5E"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2951FBCD"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196</w:t>
            </w:r>
          </w:p>
        </w:tc>
        <w:tc>
          <w:tcPr>
            <w:tcW w:w="516" w:type="dxa"/>
            <w:tcBorders>
              <w:top w:val="nil"/>
              <w:left w:val="nil"/>
              <w:bottom w:val="single" w:sz="8" w:space="0" w:color="auto"/>
              <w:right w:val="single" w:sz="8" w:space="0" w:color="auto"/>
            </w:tcBorders>
            <w:shd w:val="clear" w:color="auto" w:fill="auto"/>
            <w:vAlign w:val="center"/>
            <w:hideMark/>
          </w:tcPr>
          <w:p w14:paraId="4935BA58"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 </w:t>
            </w:r>
          </w:p>
        </w:tc>
        <w:tc>
          <w:tcPr>
            <w:tcW w:w="3492" w:type="dxa"/>
            <w:tcBorders>
              <w:top w:val="nil"/>
              <w:left w:val="nil"/>
              <w:bottom w:val="nil"/>
              <w:right w:val="nil"/>
            </w:tcBorders>
            <w:shd w:val="clear" w:color="auto" w:fill="auto"/>
            <w:vAlign w:val="center"/>
            <w:hideMark/>
          </w:tcPr>
          <w:p w14:paraId="2D3A97C3" w14:textId="77777777" w:rsidR="00C21A07" w:rsidRPr="00C947F4" w:rsidRDefault="00C21A07" w:rsidP="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Criterio general de medición del monto recuperable</w:t>
            </w:r>
          </w:p>
        </w:tc>
        <w:tc>
          <w:tcPr>
            <w:tcW w:w="20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62C654" w14:textId="77777777" w:rsid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 xml:space="preserve">NICSP Nº 21, </w:t>
            </w:r>
          </w:p>
          <w:p w14:paraId="2C551CED" w14:textId="22F11FEF" w:rsidR="00C21A07" w:rsidRPr="00C947F4" w:rsidRDefault="00C21A07" w:rsidP="00F36957">
            <w:pPr>
              <w:spacing w:after="120"/>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Párrafo 35.</w:t>
            </w:r>
          </w:p>
          <w:p w14:paraId="681E0FC3" w14:textId="77777777" w:rsid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 xml:space="preserve">NICSP Nº 26, </w:t>
            </w:r>
          </w:p>
          <w:p w14:paraId="3BDCECDB" w14:textId="2C663578" w:rsidR="00C21A07" w:rsidRP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Párrafo 31.</w:t>
            </w:r>
          </w:p>
        </w:tc>
        <w:tc>
          <w:tcPr>
            <w:tcW w:w="2077" w:type="dxa"/>
            <w:tcBorders>
              <w:top w:val="single" w:sz="8" w:space="0" w:color="auto"/>
              <w:left w:val="nil"/>
              <w:bottom w:val="single" w:sz="8" w:space="0" w:color="auto"/>
              <w:right w:val="single" w:sz="8" w:space="0" w:color="auto"/>
            </w:tcBorders>
            <w:shd w:val="clear" w:color="auto" w:fill="auto"/>
            <w:vAlign w:val="center"/>
            <w:hideMark/>
          </w:tcPr>
          <w:p w14:paraId="25775F4F" w14:textId="77777777" w:rsidR="00C21A07" w:rsidRPr="00C947F4" w:rsidRDefault="00C21A07">
            <w:pPr>
              <w:rPr>
                <w:rFonts w:ascii="Arial Narrow" w:hAnsi="Arial Narrow"/>
                <w:color w:val="000000"/>
                <w:sz w:val="22"/>
                <w:szCs w:val="22"/>
                <w:lang w:val="es-CR"/>
              </w:rPr>
            </w:pPr>
            <w:r w:rsidRPr="00C947F4">
              <w:rPr>
                <w:rFonts w:ascii="Arial Narrow" w:hAnsi="Arial Narrow"/>
                <w:color w:val="000000"/>
                <w:sz w:val="22"/>
                <w:szCs w:val="22"/>
                <w:lang w:val="es-CR"/>
              </w:rPr>
              <w:t> </w:t>
            </w:r>
          </w:p>
        </w:tc>
      </w:tr>
      <w:tr w:rsidR="00C21A07" w:rsidRPr="00C947F4" w14:paraId="0B0C2C64" w14:textId="77777777" w:rsidTr="00C21A07">
        <w:trPr>
          <w:trHeight w:val="1002"/>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05505DC6"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772A1AC4"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196</w:t>
            </w:r>
          </w:p>
        </w:tc>
        <w:tc>
          <w:tcPr>
            <w:tcW w:w="516" w:type="dxa"/>
            <w:tcBorders>
              <w:top w:val="nil"/>
              <w:left w:val="nil"/>
              <w:bottom w:val="single" w:sz="8" w:space="0" w:color="auto"/>
              <w:right w:val="single" w:sz="8" w:space="0" w:color="auto"/>
            </w:tcBorders>
            <w:shd w:val="clear" w:color="auto" w:fill="auto"/>
            <w:vAlign w:val="center"/>
            <w:hideMark/>
          </w:tcPr>
          <w:p w14:paraId="2551C6FE"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w:t>
            </w:r>
          </w:p>
        </w:tc>
        <w:tc>
          <w:tcPr>
            <w:tcW w:w="3492" w:type="dxa"/>
            <w:tcBorders>
              <w:top w:val="single" w:sz="8" w:space="0" w:color="auto"/>
              <w:left w:val="nil"/>
              <w:bottom w:val="single" w:sz="8" w:space="0" w:color="auto"/>
              <w:right w:val="single" w:sz="8" w:space="0" w:color="auto"/>
            </w:tcBorders>
            <w:shd w:val="clear" w:color="auto" w:fill="auto"/>
            <w:vAlign w:val="center"/>
            <w:hideMark/>
          </w:tcPr>
          <w:p w14:paraId="4D4BC66E" w14:textId="77777777" w:rsidR="00C21A07" w:rsidRPr="00C947F4" w:rsidRDefault="00C21A07" w:rsidP="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Alternativa al criterio general de medición</w:t>
            </w:r>
          </w:p>
        </w:tc>
        <w:tc>
          <w:tcPr>
            <w:tcW w:w="2002" w:type="dxa"/>
            <w:tcBorders>
              <w:top w:val="nil"/>
              <w:left w:val="nil"/>
              <w:bottom w:val="single" w:sz="8" w:space="0" w:color="auto"/>
              <w:right w:val="single" w:sz="8" w:space="0" w:color="auto"/>
            </w:tcBorders>
            <w:shd w:val="clear" w:color="auto" w:fill="auto"/>
            <w:vAlign w:val="center"/>
            <w:hideMark/>
          </w:tcPr>
          <w:p w14:paraId="5D5A4CC1" w14:textId="77777777" w:rsid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 xml:space="preserve">NICSP N° 21, </w:t>
            </w:r>
          </w:p>
          <w:p w14:paraId="5B60687A" w14:textId="1358A04D" w:rsidR="00C947F4" w:rsidRDefault="00C21A07" w:rsidP="00F36957">
            <w:pPr>
              <w:spacing w:after="120"/>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Párrafos 36 a 38.</w:t>
            </w:r>
          </w:p>
          <w:p w14:paraId="1A775B15" w14:textId="77777777" w:rsid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 xml:space="preserve">NICSP Nº 26, </w:t>
            </w:r>
          </w:p>
          <w:p w14:paraId="6F0840BA" w14:textId="1C94FB3F" w:rsidR="00C21A07" w:rsidRP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Párrafos 32 a 34.</w:t>
            </w:r>
          </w:p>
        </w:tc>
        <w:tc>
          <w:tcPr>
            <w:tcW w:w="2077" w:type="dxa"/>
            <w:tcBorders>
              <w:top w:val="nil"/>
              <w:left w:val="nil"/>
              <w:bottom w:val="single" w:sz="8" w:space="0" w:color="auto"/>
              <w:right w:val="single" w:sz="8" w:space="0" w:color="auto"/>
            </w:tcBorders>
            <w:shd w:val="clear" w:color="auto" w:fill="auto"/>
            <w:vAlign w:val="center"/>
            <w:hideMark/>
          </w:tcPr>
          <w:p w14:paraId="2AA80673"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DGCN</w:t>
            </w:r>
          </w:p>
        </w:tc>
      </w:tr>
      <w:tr w:rsidR="00C21A07" w:rsidRPr="00C947F4" w14:paraId="4974EC93" w14:textId="77777777" w:rsidTr="00C21A07">
        <w:trPr>
          <w:trHeight w:val="864"/>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6D0FBE29"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0FFF0FD4"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196</w:t>
            </w:r>
          </w:p>
        </w:tc>
        <w:tc>
          <w:tcPr>
            <w:tcW w:w="516" w:type="dxa"/>
            <w:tcBorders>
              <w:top w:val="nil"/>
              <w:left w:val="nil"/>
              <w:bottom w:val="single" w:sz="8" w:space="0" w:color="auto"/>
              <w:right w:val="single" w:sz="8" w:space="0" w:color="auto"/>
            </w:tcBorders>
            <w:shd w:val="clear" w:color="auto" w:fill="auto"/>
            <w:vAlign w:val="center"/>
            <w:hideMark/>
          </w:tcPr>
          <w:p w14:paraId="470EDEE7"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2</w:t>
            </w:r>
          </w:p>
        </w:tc>
        <w:tc>
          <w:tcPr>
            <w:tcW w:w="3492" w:type="dxa"/>
            <w:tcBorders>
              <w:top w:val="nil"/>
              <w:left w:val="nil"/>
              <w:bottom w:val="nil"/>
              <w:right w:val="nil"/>
            </w:tcBorders>
            <w:shd w:val="clear" w:color="auto" w:fill="auto"/>
            <w:noWrap/>
            <w:vAlign w:val="center"/>
            <w:hideMark/>
          </w:tcPr>
          <w:p w14:paraId="208A282D" w14:textId="77777777" w:rsidR="00C21A07" w:rsidRPr="00C947F4" w:rsidRDefault="00C21A07" w:rsidP="00C21A07">
            <w:pPr>
              <w:jc w:val="both"/>
              <w:rPr>
                <w:rFonts w:ascii="Arial Narrow" w:hAnsi="Arial Narrow"/>
                <w:b/>
                <w:bCs/>
                <w:color w:val="000000"/>
                <w:sz w:val="22"/>
                <w:szCs w:val="22"/>
              </w:rPr>
            </w:pPr>
            <w:r w:rsidRPr="00C947F4">
              <w:rPr>
                <w:rFonts w:ascii="Arial Narrow" w:hAnsi="Arial Narrow"/>
                <w:b/>
                <w:bCs/>
                <w:color w:val="000000"/>
                <w:sz w:val="22"/>
                <w:szCs w:val="22"/>
              </w:rPr>
              <w:t>Estimaciones</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14:paraId="17C844A2" w14:textId="77777777" w:rsid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 xml:space="preserve">NICSP Nº 21, </w:t>
            </w:r>
          </w:p>
          <w:p w14:paraId="3B206FA1" w14:textId="1A7AA0D4" w:rsidR="00C947F4" w:rsidRDefault="00C21A07" w:rsidP="00F36957">
            <w:pPr>
              <w:spacing w:after="120"/>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 xml:space="preserve">Párrafo 39. </w:t>
            </w:r>
          </w:p>
          <w:p w14:paraId="25E5CBFB" w14:textId="77777777" w:rsid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 xml:space="preserve">NICSP Nº 26, </w:t>
            </w:r>
          </w:p>
          <w:p w14:paraId="6F33FB2B" w14:textId="6667599D" w:rsidR="00C21A07" w:rsidRPr="00C947F4" w:rsidRDefault="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Párrafo 36.</w:t>
            </w:r>
          </w:p>
        </w:tc>
        <w:tc>
          <w:tcPr>
            <w:tcW w:w="2077" w:type="dxa"/>
            <w:tcBorders>
              <w:top w:val="nil"/>
              <w:left w:val="nil"/>
              <w:bottom w:val="single" w:sz="8" w:space="0" w:color="auto"/>
              <w:right w:val="single" w:sz="8" w:space="0" w:color="auto"/>
            </w:tcBorders>
            <w:shd w:val="clear" w:color="auto" w:fill="auto"/>
            <w:vAlign w:val="center"/>
            <w:hideMark/>
          </w:tcPr>
          <w:p w14:paraId="3837A2FF"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DGCN</w:t>
            </w:r>
          </w:p>
        </w:tc>
      </w:tr>
      <w:tr w:rsidR="00C21A07" w:rsidRPr="00C947F4" w14:paraId="5FE0634D" w14:textId="77777777" w:rsidTr="00F36957">
        <w:trPr>
          <w:trHeight w:val="491"/>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25A4985F"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w:t>
            </w:r>
          </w:p>
        </w:tc>
        <w:tc>
          <w:tcPr>
            <w:tcW w:w="550" w:type="dxa"/>
            <w:tcBorders>
              <w:top w:val="nil"/>
              <w:left w:val="nil"/>
              <w:bottom w:val="single" w:sz="8" w:space="0" w:color="auto"/>
              <w:right w:val="single" w:sz="8" w:space="0" w:color="auto"/>
            </w:tcBorders>
            <w:shd w:val="clear" w:color="auto" w:fill="auto"/>
            <w:vAlign w:val="center"/>
            <w:hideMark/>
          </w:tcPr>
          <w:p w14:paraId="36764D9A"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196</w:t>
            </w:r>
          </w:p>
        </w:tc>
        <w:tc>
          <w:tcPr>
            <w:tcW w:w="516" w:type="dxa"/>
            <w:tcBorders>
              <w:top w:val="nil"/>
              <w:left w:val="nil"/>
              <w:bottom w:val="single" w:sz="8" w:space="0" w:color="auto"/>
              <w:right w:val="single" w:sz="8" w:space="0" w:color="auto"/>
            </w:tcBorders>
            <w:shd w:val="clear" w:color="auto" w:fill="auto"/>
            <w:vAlign w:val="center"/>
            <w:hideMark/>
          </w:tcPr>
          <w:p w14:paraId="738BE5A8" w14:textId="77777777" w:rsidR="00C21A07" w:rsidRPr="00C947F4" w:rsidRDefault="00C21A07">
            <w:pPr>
              <w:jc w:val="center"/>
              <w:rPr>
                <w:rFonts w:ascii="Arial Narrow" w:hAnsi="Arial Narrow"/>
                <w:b/>
                <w:bCs/>
                <w:color w:val="000000"/>
                <w:sz w:val="22"/>
                <w:szCs w:val="22"/>
              </w:rPr>
            </w:pPr>
            <w:r w:rsidRPr="00C947F4">
              <w:rPr>
                <w:rFonts w:ascii="Arial Narrow" w:hAnsi="Arial Narrow"/>
                <w:b/>
                <w:bCs/>
                <w:color w:val="000000"/>
                <w:sz w:val="22"/>
                <w:szCs w:val="22"/>
              </w:rPr>
              <w:t>3</w:t>
            </w:r>
          </w:p>
        </w:tc>
        <w:tc>
          <w:tcPr>
            <w:tcW w:w="3492" w:type="dxa"/>
            <w:tcBorders>
              <w:top w:val="single" w:sz="8" w:space="0" w:color="auto"/>
              <w:left w:val="nil"/>
              <w:bottom w:val="single" w:sz="8" w:space="0" w:color="auto"/>
              <w:right w:val="single" w:sz="8" w:space="0" w:color="auto"/>
            </w:tcBorders>
            <w:shd w:val="clear" w:color="auto" w:fill="auto"/>
            <w:vAlign w:val="center"/>
            <w:hideMark/>
          </w:tcPr>
          <w:p w14:paraId="58F660A1" w14:textId="77777777" w:rsidR="00C21A07" w:rsidRPr="00C947F4" w:rsidRDefault="00C21A07" w:rsidP="00C21A07">
            <w:pPr>
              <w:jc w:val="both"/>
              <w:rPr>
                <w:rFonts w:ascii="Arial Narrow" w:hAnsi="Arial Narrow"/>
                <w:b/>
                <w:bCs/>
                <w:color w:val="000000"/>
                <w:sz w:val="22"/>
                <w:szCs w:val="22"/>
                <w:lang w:val="es-CR"/>
              </w:rPr>
            </w:pPr>
            <w:r w:rsidRPr="00C947F4">
              <w:rPr>
                <w:rFonts w:ascii="Arial Narrow" w:hAnsi="Arial Narrow"/>
                <w:b/>
                <w:bCs/>
                <w:color w:val="000000"/>
                <w:sz w:val="22"/>
                <w:szCs w:val="22"/>
                <w:lang w:val="es-CR"/>
              </w:rPr>
              <w:t>Activos que forman parte de una unidad generadora de efectivo</w:t>
            </w:r>
          </w:p>
        </w:tc>
        <w:tc>
          <w:tcPr>
            <w:tcW w:w="2002" w:type="dxa"/>
            <w:tcBorders>
              <w:top w:val="nil"/>
              <w:left w:val="nil"/>
              <w:bottom w:val="single" w:sz="8" w:space="0" w:color="auto"/>
              <w:right w:val="single" w:sz="8" w:space="0" w:color="auto"/>
            </w:tcBorders>
            <w:shd w:val="clear" w:color="auto" w:fill="auto"/>
            <w:vAlign w:val="center"/>
            <w:hideMark/>
          </w:tcPr>
          <w:p w14:paraId="53BABF7E" w14:textId="77777777" w:rsidR="00C947F4" w:rsidRDefault="00C21A07">
            <w:pPr>
              <w:jc w:val="both"/>
              <w:rPr>
                <w:rFonts w:ascii="Arial Narrow" w:hAnsi="Arial Narrow"/>
                <w:b/>
                <w:bCs/>
                <w:color w:val="000000"/>
                <w:sz w:val="22"/>
                <w:szCs w:val="22"/>
              </w:rPr>
            </w:pPr>
            <w:r w:rsidRPr="00C947F4">
              <w:rPr>
                <w:rFonts w:ascii="Arial Narrow" w:hAnsi="Arial Narrow"/>
                <w:b/>
                <w:bCs/>
                <w:color w:val="000000"/>
                <w:sz w:val="22"/>
                <w:szCs w:val="22"/>
              </w:rPr>
              <w:t xml:space="preserve">NICSP N° 26, </w:t>
            </w:r>
          </w:p>
          <w:p w14:paraId="7EE5F167" w14:textId="7BCF1DE4" w:rsidR="00C21A07" w:rsidRPr="00C947F4" w:rsidRDefault="00C21A07">
            <w:pPr>
              <w:jc w:val="both"/>
              <w:rPr>
                <w:rFonts w:ascii="Arial Narrow" w:hAnsi="Arial Narrow"/>
                <w:b/>
                <w:bCs/>
                <w:color w:val="000000"/>
                <w:sz w:val="22"/>
                <w:szCs w:val="22"/>
              </w:rPr>
            </w:pPr>
            <w:r w:rsidRPr="00C947F4">
              <w:rPr>
                <w:rFonts w:ascii="Arial Narrow" w:hAnsi="Arial Narrow"/>
                <w:b/>
                <w:bCs/>
                <w:color w:val="000000"/>
                <w:sz w:val="22"/>
                <w:szCs w:val="22"/>
              </w:rPr>
              <w:t>Párrafo 35.</w:t>
            </w:r>
          </w:p>
        </w:tc>
        <w:tc>
          <w:tcPr>
            <w:tcW w:w="2077" w:type="dxa"/>
            <w:tcBorders>
              <w:top w:val="nil"/>
              <w:left w:val="nil"/>
              <w:bottom w:val="single" w:sz="8" w:space="0" w:color="auto"/>
              <w:right w:val="single" w:sz="8" w:space="0" w:color="auto"/>
            </w:tcBorders>
            <w:shd w:val="clear" w:color="auto" w:fill="auto"/>
            <w:vAlign w:val="center"/>
            <w:hideMark/>
          </w:tcPr>
          <w:p w14:paraId="566AF25B" w14:textId="77777777" w:rsidR="00C21A07" w:rsidRPr="00C947F4" w:rsidRDefault="00C21A07">
            <w:pPr>
              <w:ind w:firstLineChars="100" w:firstLine="220"/>
              <w:rPr>
                <w:rFonts w:ascii="Arial Narrow" w:hAnsi="Arial Narrow"/>
                <w:b/>
                <w:bCs/>
                <w:color w:val="000000"/>
                <w:sz w:val="22"/>
                <w:szCs w:val="22"/>
              </w:rPr>
            </w:pPr>
            <w:r w:rsidRPr="00C947F4">
              <w:rPr>
                <w:rFonts w:ascii="Arial Narrow" w:hAnsi="Arial Narrow"/>
                <w:b/>
                <w:bCs/>
                <w:color w:val="000000"/>
                <w:sz w:val="22"/>
                <w:szCs w:val="22"/>
              </w:rPr>
              <w:t xml:space="preserve"> </w:t>
            </w:r>
          </w:p>
        </w:tc>
      </w:tr>
    </w:tbl>
    <w:p w14:paraId="722B2545" w14:textId="77777777" w:rsidR="00AA68F9" w:rsidRPr="00F02F9D" w:rsidRDefault="00AA68F9" w:rsidP="00A351C9">
      <w:pPr>
        <w:spacing w:line="238" w:lineRule="auto"/>
        <w:ind w:left="1134" w:right="260" w:hanging="1134"/>
        <w:jc w:val="both"/>
        <w:rPr>
          <w:rFonts w:ascii="Arial" w:eastAsia="Arial" w:hAnsi="Arial"/>
          <w:b/>
          <w:sz w:val="22"/>
          <w:szCs w:val="22"/>
          <w:lang w:val="es-CR"/>
        </w:rPr>
      </w:pPr>
    </w:p>
    <w:p w14:paraId="206633E6" w14:textId="77777777" w:rsidR="00472584" w:rsidRPr="00F02F9D" w:rsidRDefault="00472584" w:rsidP="00472584">
      <w:pPr>
        <w:spacing w:line="0" w:lineRule="atLeast"/>
        <w:rPr>
          <w:rFonts w:ascii="Arial" w:eastAsia="Arial" w:hAnsi="Arial"/>
          <w:b/>
          <w:sz w:val="22"/>
          <w:szCs w:val="22"/>
        </w:rPr>
      </w:pPr>
      <w:r w:rsidRPr="00F02F9D">
        <w:rPr>
          <w:rFonts w:ascii="Arial" w:eastAsia="Arial" w:hAnsi="Arial"/>
          <w:b/>
          <w:sz w:val="22"/>
          <w:szCs w:val="22"/>
        </w:rPr>
        <w:t>Políticas Contables</w:t>
      </w:r>
    </w:p>
    <w:p w14:paraId="52479D31" w14:textId="77777777" w:rsidR="00472584" w:rsidRPr="00F02F9D" w:rsidRDefault="00472584" w:rsidP="00472584">
      <w:pPr>
        <w:spacing w:line="237" w:lineRule="auto"/>
        <w:ind w:left="1134" w:right="260" w:hanging="1134"/>
        <w:jc w:val="both"/>
        <w:rPr>
          <w:rFonts w:ascii="Arial" w:eastAsia="Arial" w:hAnsi="Arial"/>
          <w:b/>
          <w:sz w:val="22"/>
          <w:szCs w:val="22"/>
          <w:lang w:val="es-CR"/>
        </w:rPr>
      </w:pPr>
    </w:p>
    <w:p w14:paraId="03591FD0" w14:textId="27522466" w:rsidR="00472584" w:rsidRPr="008C25B1" w:rsidRDefault="00472584" w:rsidP="00472584">
      <w:pPr>
        <w:spacing w:line="237" w:lineRule="auto"/>
        <w:ind w:left="1134" w:right="260" w:hanging="1134"/>
        <w:jc w:val="both"/>
        <w:rPr>
          <w:rFonts w:ascii="Arial" w:eastAsia="Arial" w:hAnsi="Arial"/>
          <w:bCs/>
          <w:sz w:val="22"/>
          <w:szCs w:val="22"/>
          <w:lang w:val="es-CR"/>
        </w:rPr>
      </w:pPr>
      <w:r w:rsidRPr="008C25B1">
        <w:rPr>
          <w:rFonts w:ascii="Arial" w:eastAsia="Arial" w:hAnsi="Arial"/>
          <w:bCs/>
          <w:sz w:val="22"/>
          <w:szCs w:val="22"/>
          <w:lang w:val="es-CR"/>
        </w:rPr>
        <w:t>1.196.0.01</w:t>
      </w:r>
      <w:r w:rsidRPr="008C25B1">
        <w:rPr>
          <w:rFonts w:ascii="Arial" w:eastAsia="Arial" w:hAnsi="Arial"/>
          <w:bCs/>
          <w:sz w:val="22"/>
          <w:szCs w:val="22"/>
          <w:lang w:val="es-CR"/>
        </w:rPr>
        <w:tab/>
        <w:t xml:space="preserve">En la </w:t>
      </w:r>
      <w:r w:rsidR="000F29DC" w:rsidRPr="008C25B1">
        <w:rPr>
          <w:rFonts w:ascii="Arial" w:eastAsia="Arial" w:hAnsi="Arial"/>
          <w:bCs/>
          <w:sz w:val="22"/>
          <w:szCs w:val="22"/>
          <w:lang w:val="es-CR"/>
        </w:rPr>
        <w:t>MBA</w:t>
      </w:r>
      <w:r w:rsidRPr="008C25B1">
        <w:rPr>
          <w:rFonts w:ascii="Arial" w:eastAsia="Arial" w:hAnsi="Arial"/>
          <w:bCs/>
          <w:sz w:val="22"/>
          <w:szCs w:val="22"/>
          <w:lang w:val="es-CR"/>
        </w:rPr>
        <w:t xml:space="preserve"> se aplicará el siguiente criterio general: el monto recuperable se mide como el mayor entre el valor razonable menos los costos necesarios para la venta y el valor en uso.</w:t>
      </w:r>
    </w:p>
    <w:p w14:paraId="0D2615D4" w14:textId="77777777" w:rsidR="00472584" w:rsidRPr="008C25B1" w:rsidRDefault="00472584" w:rsidP="00472584">
      <w:pPr>
        <w:spacing w:line="277" w:lineRule="exact"/>
        <w:rPr>
          <w:rFonts w:ascii="Arial" w:eastAsia="Times New Roman" w:hAnsi="Arial"/>
          <w:bCs/>
          <w:sz w:val="22"/>
          <w:szCs w:val="22"/>
          <w:lang w:val="es-CR"/>
        </w:rPr>
      </w:pPr>
    </w:p>
    <w:p w14:paraId="59D512F0" w14:textId="0BEDAAA3" w:rsidR="00472584" w:rsidRDefault="00472584" w:rsidP="00472584">
      <w:pPr>
        <w:spacing w:line="237" w:lineRule="auto"/>
        <w:ind w:left="1134" w:right="260" w:hanging="1134"/>
        <w:jc w:val="both"/>
        <w:rPr>
          <w:rFonts w:ascii="Arial" w:eastAsia="Arial" w:hAnsi="Arial"/>
          <w:bCs/>
          <w:sz w:val="22"/>
          <w:szCs w:val="22"/>
          <w:lang w:val="es-CR"/>
        </w:rPr>
      </w:pPr>
      <w:bookmarkStart w:id="64" w:name="page60"/>
      <w:bookmarkEnd w:id="64"/>
      <w:r w:rsidRPr="008C25B1">
        <w:rPr>
          <w:rFonts w:ascii="Arial" w:eastAsia="Arial" w:hAnsi="Arial"/>
          <w:bCs/>
          <w:sz w:val="22"/>
          <w:szCs w:val="22"/>
          <w:lang w:val="es-CR"/>
        </w:rPr>
        <w:t>1.196.1.01</w:t>
      </w:r>
      <w:r w:rsidRPr="008C25B1">
        <w:rPr>
          <w:rFonts w:ascii="Arial" w:eastAsia="Arial" w:hAnsi="Arial"/>
          <w:bCs/>
          <w:sz w:val="22"/>
          <w:szCs w:val="22"/>
          <w:lang w:val="es-CR"/>
        </w:rPr>
        <w:tab/>
        <w:t>La estimación del valor razonable menos los costos de venta y del valor en uso se limitará a sólo uno de dichos importes, en los siguientes casos:</w:t>
      </w:r>
    </w:p>
    <w:p w14:paraId="0A56A2A6" w14:textId="77777777" w:rsidR="00F36957" w:rsidRPr="008C25B1" w:rsidRDefault="00F36957" w:rsidP="00472584">
      <w:pPr>
        <w:spacing w:line="237" w:lineRule="auto"/>
        <w:ind w:left="1134" w:right="260" w:hanging="1134"/>
        <w:jc w:val="both"/>
        <w:rPr>
          <w:rFonts w:ascii="Arial" w:eastAsia="Arial" w:hAnsi="Arial"/>
          <w:bCs/>
          <w:sz w:val="22"/>
          <w:szCs w:val="22"/>
          <w:lang w:val="es-CR"/>
        </w:rPr>
      </w:pPr>
    </w:p>
    <w:p w14:paraId="5E445614" w14:textId="77777777" w:rsidR="00472584" w:rsidRPr="008C25B1" w:rsidRDefault="00472584" w:rsidP="00472584">
      <w:pPr>
        <w:spacing w:line="1" w:lineRule="exact"/>
        <w:rPr>
          <w:rFonts w:ascii="Arial" w:eastAsia="Times New Roman" w:hAnsi="Arial"/>
          <w:bCs/>
          <w:sz w:val="22"/>
          <w:szCs w:val="22"/>
          <w:lang w:val="es-CR"/>
        </w:rPr>
      </w:pPr>
    </w:p>
    <w:p w14:paraId="7EA735BF" w14:textId="77777777" w:rsidR="00472584" w:rsidRDefault="00472584">
      <w:pPr>
        <w:pStyle w:val="Prrafodelista"/>
        <w:numPr>
          <w:ilvl w:val="0"/>
          <w:numId w:val="58"/>
        </w:numPr>
        <w:spacing w:line="238" w:lineRule="auto"/>
        <w:ind w:left="1418" w:right="260" w:hanging="284"/>
        <w:jc w:val="both"/>
        <w:rPr>
          <w:rFonts w:ascii="Arial" w:eastAsia="Arial" w:hAnsi="Arial"/>
          <w:bCs/>
          <w:sz w:val="22"/>
          <w:szCs w:val="22"/>
          <w:lang w:val="es-CR"/>
        </w:rPr>
      </w:pPr>
      <w:r w:rsidRPr="008C25B1">
        <w:rPr>
          <w:rFonts w:ascii="Arial" w:eastAsia="Arial" w:hAnsi="Arial"/>
          <w:bCs/>
          <w:sz w:val="22"/>
          <w:szCs w:val="22"/>
          <w:lang w:val="es-CR"/>
        </w:rPr>
        <w:t>Si cualquiera de los importes excediera al importe en libros del activo, no sería necesario estimar el otro, toda vez que el activo no habría sufrido deterioro de su valor.</w:t>
      </w:r>
    </w:p>
    <w:p w14:paraId="7AE99E5B" w14:textId="77777777" w:rsidR="00F36957" w:rsidRPr="00F36957" w:rsidRDefault="00F36957" w:rsidP="00F36957">
      <w:pPr>
        <w:spacing w:line="238" w:lineRule="auto"/>
        <w:ind w:right="260"/>
        <w:jc w:val="both"/>
        <w:rPr>
          <w:rFonts w:ascii="Arial" w:eastAsia="Arial" w:hAnsi="Arial"/>
          <w:bCs/>
          <w:sz w:val="22"/>
          <w:szCs w:val="22"/>
          <w:lang w:val="es-CR"/>
        </w:rPr>
      </w:pPr>
    </w:p>
    <w:p w14:paraId="6FC5E395" w14:textId="77777777" w:rsidR="00472584" w:rsidRPr="008C25B1" w:rsidRDefault="00472584" w:rsidP="00472584">
      <w:pPr>
        <w:spacing w:line="10" w:lineRule="exact"/>
        <w:rPr>
          <w:rFonts w:ascii="Arial" w:eastAsia="Arial" w:hAnsi="Arial"/>
          <w:bCs/>
          <w:sz w:val="22"/>
          <w:szCs w:val="22"/>
          <w:lang w:val="es-CR"/>
        </w:rPr>
      </w:pPr>
    </w:p>
    <w:p w14:paraId="15B8CD6F" w14:textId="77777777" w:rsidR="00472584" w:rsidRDefault="00472584">
      <w:pPr>
        <w:pStyle w:val="Prrafodelista"/>
        <w:numPr>
          <w:ilvl w:val="0"/>
          <w:numId w:val="58"/>
        </w:numPr>
        <w:spacing w:line="238" w:lineRule="auto"/>
        <w:ind w:left="1418" w:right="260" w:hanging="284"/>
        <w:jc w:val="both"/>
        <w:rPr>
          <w:rFonts w:ascii="Arial" w:eastAsia="Arial" w:hAnsi="Arial"/>
          <w:bCs/>
          <w:sz w:val="22"/>
          <w:szCs w:val="22"/>
          <w:lang w:val="es-CR"/>
        </w:rPr>
      </w:pPr>
      <w:r w:rsidRPr="008C25B1">
        <w:rPr>
          <w:rFonts w:ascii="Arial" w:eastAsia="Arial" w:hAnsi="Arial"/>
          <w:bCs/>
          <w:sz w:val="22"/>
          <w:szCs w:val="22"/>
          <w:lang w:val="es-CR"/>
        </w:rPr>
        <w:t>Cuando no pueda ser posible determinar el valor razonable menos los costos necesarios para la venta, porque no hay bases para hacer una estimación fiable del importe que se podría obtener por la venta del activo en cuestión, en una transacción libre realizada entre un comprador y un vendedor interesados y debidamente informados, se utilizará exclusivamente el valor en uso del activo;</w:t>
      </w:r>
    </w:p>
    <w:p w14:paraId="221102E1" w14:textId="77777777" w:rsidR="00F36957" w:rsidRPr="008C25B1" w:rsidRDefault="00F36957" w:rsidP="00F36957">
      <w:pPr>
        <w:pStyle w:val="Prrafodelista"/>
        <w:spacing w:line="238" w:lineRule="auto"/>
        <w:ind w:left="1418" w:right="260"/>
        <w:jc w:val="both"/>
        <w:rPr>
          <w:rFonts w:ascii="Arial" w:eastAsia="Arial" w:hAnsi="Arial"/>
          <w:bCs/>
          <w:sz w:val="22"/>
          <w:szCs w:val="22"/>
          <w:lang w:val="es-CR"/>
        </w:rPr>
      </w:pPr>
    </w:p>
    <w:p w14:paraId="6DADCA01" w14:textId="77777777" w:rsidR="00472584" w:rsidRPr="008C25B1" w:rsidRDefault="00472584" w:rsidP="00472584">
      <w:pPr>
        <w:spacing w:line="13" w:lineRule="exact"/>
        <w:ind w:left="1418" w:hanging="284"/>
        <w:rPr>
          <w:rFonts w:ascii="Arial" w:eastAsia="Arial" w:hAnsi="Arial"/>
          <w:bCs/>
          <w:sz w:val="22"/>
          <w:szCs w:val="22"/>
          <w:lang w:val="es-CR"/>
        </w:rPr>
      </w:pPr>
    </w:p>
    <w:p w14:paraId="3F2B686C" w14:textId="77777777" w:rsidR="00472584" w:rsidRPr="008C25B1" w:rsidRDefault="00472584">
      <w:pPr>
        <w:pStyle w:val="Prrafodelista"/>
        <w:numPr>
          <w:ilvl w:val="0"/>
          <w:numId w:val="58"/>
        </w:numPr>
        <w:spacing w:line="238" w:lineRule="auto"/>
        <w:ind w:left="1418" w:right="260" w:hanging="284"/>
        <w:jc w:val="both"/>
        <w:rPr>
          <w:rFonts w:ascii="Arial" w:eastAsia="Arial" w:hAnsi="Arial"/>
          <w:bCs/>
          <w:sz w:val="22"/>
          <w:szCs w:val="22"/>
          <w:lang w:val="es-CR"/>
        </w:rPr>
      </w:pPr>
      <w:r w:rsidRPr="008C25B1">
        <w:rPr>
          <w:rFonts w:ascii="Arial" w:eastAsia="Arial" w:hAnsi="Arial"/>
          <w:bCs/>
          <w:sz w:val="22"/>
          <w:szCs w:val="22"/>
          <w:lang w:val="es-CR"/>
        </w:rPr>
        <w:t xml:space="preserve">Si no existen razones para creer que el valor en uso del activo excede de forma significativa o material a su valor razonable menos los costos de venta, se podrá </w:t>
      </w:r>
      <w:r w:rsidRPr="008C25B1">
        <w:rPr>
          <w:rFonts w:ascii="Arial" w:eastAsia="Arial" w:hAnsi="Arial"/>
          <w:bCs/>
          <w:sz w:val="22"/>
          <w:szCs w:val="22"/>
          <w:lang w:val="es-CR"/>
        </w:rPr>
        <w:lastRenderedPageBreak/>
        <w:t>tomar este último valor; de acuerdo al grado o nivel de significatividad o materialidad.</w:t>
      </w:r>
    </w:p>
    <w:p w14:paraId="7F51CBFA" w14:textId="77777777" w:rsidR="00472584" w:rsidRPr="008C25B1" w:rsidRDefault="00472584" w:rsidP="00472584">
      <w:pPr>
        <w:spacing w:line="182" w:lineRule="exact"/>
        <w:rPr>
          <w:rFonts w:ascii="Arial" w:eastAsia="Arial" w:hAnsi="Arial"/>
          <w:bCs/>
          <w:sz w:val="22"/>
          <w:szCs w:val="22"/>
          <w:lang w:val="es-CR"/>
        </w:rPr>
      </w:pPr>
    </w:p>
    <w:p w14:paraId="45E59B60" w14:textId="77777777" w:rsidR="00472584" w:rsidRPr="008C25B1" w:rsidRDefault="00472584" w:rsidP="00472584">
      <w:pPr>
        <w:spacing w:line="9" w:lineRule="exact"/>
        <w:rPr>
          <w:rFonts w:ascii="Arial" w:eastAsia="Arial" w:hAnsi="Arial"/>
          <w:bCs/>
          <w:sz w:val="22"/>
          <w:szCs w:val="22"/>
          <w:lang w:val="es-CR"/>
        </w:rPr>
      </w:pPr>
    </w:p>
    <w:p w14:paraId="14869AEE" w14:textId="14F0A8D1" w:rsidR="00472584" w:rsidRPr="008C25B1" w:rsidRDefault="00472584" w:rsidP="00472584">
      <w:pPr>
        <w:spacing w:line="237" w:lineRule="auto"/>
        <w:ind w:left="1134" w:right="260" w:hanging="1134"/>
        <w:jc w:val="both"/>
        <w:rPr>
          <w:rFonts w:ascii="Arial" w:eastAsia="Arial" w:hAnsi="Arial"/>
          <w:bCs/>
          <w:sz w:val="22"/>
          <w:szCs w:val="22"/>
          <w:lang w:val="es-CR"/>
        </w:rPr>
      </w:pPr>
      <w:r w:rsidRPr="008C25B1">
        <w:rPr>
          <w:rFonts w:ascii="Arial" w:eastAsia="Arial" w:hAnsi="Arial"/>
          <w:bCs/>
          <w:sz w:val="22"/>
          <w:szCs w:val="22"/>
          <w:lang w:val="es-CR"/>
        </w:rPr>
        <w:t>1.196.2.01</w:t>
      </w:r>
      <w:r w:rsidRPr="008C25B1">
        <w:rPr>
          <w:rFonts w:ascii="Arial" w:eastAsia="Arial" w:hAnsi="Arial"/>
          <w:bCs/>
          <w:sz w:val="22"/>
          <w:szCs w:val="22"/>
          <w:lang w:val="es-CR"/>
        </w:rPr>
        <w:tab/>
        <w:t>Las estimaciones, promedios y fórmulas que se utilicen para realizar aproximaciones razonables para la determinación del valor razonable menos los costos necesarios para la venta y/o del valor en uso, deberán aplicarse de manera homogénea de un ejercicio a otro, estarán fundadas en criterio profesional objetivo y su determinación y cálculo será objeto de información en Notas a los EEFF.</w:t>
      </w:r>
    </w:p>
    <w:p w14:paraId="0AF2508A" w14:textId="77777777" w:rsidR="00472584" w:rsidRPr="008C25B1" w:rsidRDefault="00472584" w:rsidP="00472584">
      <w:pPr>
        <w:spacing w:line="280" w:lineRule="exact"/>
        <w:rPr>
          <w:rFonts w:ascii="Arial" w:eastAsia="Arial" w:hAnsi="Arial"/>
          <w:bCs/>
          <w:sz w:val="22"/>
          <w:szCs w:val="22"/>
          <w:lang w:val="es-CR"/>
        </w:rPr>
      </w:pPr>
    </w:p>
    <w:p w14:paraId="195CCF70" w14:textId="77777777" w:rsidR="00472584" w:rsidRPr="008C25B1" w:rsidRDefault="00472584" w:rsidP="00472584">
      <w:pPr>
        <w:spacing w:line="9" w:lineRule="exact"/>
        <w:rPr>
          <w:rFonts w:ascii="Arial" w:eastAsia="Arial" w:hAnsi="Arial"/>
          <w:bCs/>
          <w:sz w:val="22"/>
          <w:szCs w:val="22"/>
          <w:lang w:val="es-CR"/>
        </w:rPr>
      </w:pPr>
    </w:p>
    <w:p w14:paraId="188ECCEA" w14:textId="1E32EB0C" w:rsidR="00472584" w:rsidRPr="008C25B1" w:rsidRDefault="00472584" w:rsidP="00472584">
      <w:pPr>
        <w:spacing w:line="237" w:lineRule="auto"/>
        <w:ind w:left="1134" w:right="260" w:hanging="1134"/>
        <w:jc w:val="both"/>
        <w:rPr>
          <w:rFonts w:ascii="Arial" w:eastAsia="Arial" w:hAnsi="Arial"/>
          <w:bCs/>
          <w:sz w:val="22"/>
          <w:szCs w:val="22"/>
          <w:lang w:val="es-CR"/>
        </w:rPr>
      </w:pPr>
      <w:r w:rsidRPr="008C25B1">
        <w:rPr>
          <w:rFonts w:ascii="Arial" w:eastAsia="Arial" w:hAnsi="Arial"/>
          <w:bCs/>
          <w:sz w:val="22"/>
          <w:szCs w:val="22"/>
          <w:lang w:val="es-CR"/>
        </w:rPr>
        <w:t>1.196.3.01</w:t>
      </w:r>
      <w:r w:rsidRPr="008C25B1">
        <w:rPr>
          <w:rFonts w:ascii="Arial" w:eastAsia="Arial" w:hAnsi="Arial"/>
          <w:bCs/>
          <w:sz w:val="22"/>
          <w:szCs w:val="22"/>
          <w:lang w:val="es-CR"/>
        </w:rPr>
        <w:tab/>
        <w:t xml:space="preserve">Si un activo no genera entradas de efectivo de manera significativamente independiente de otros activos generadores de efectivo, y siempre que el valor razonable del activo individual menos los costos de venta no sean </w:t>
      </w:r>
      <w:r w:rsidR="00EA5BDF" w:rsidRPr="008C25B1">
        <w:rPr>
          <w:rFonts w:ascii="Arial" w:eastAsia="Arial" w:hAnsi="Arial"/>
          <w:bCs/>
          <w:sz w:val="22"/>
          <w:szCs w:val="22"/>
          <w:lang w:val="es-CR"/>
        </w:rPr>
        <w:t>superiores</w:t>
      </w:r>
      <w:r w:rsidRPr="008C25B1">
        <w:rPr>
          <w:rFonts w:ascii="Arial" w:eastAsia="Arial" w:hAnsi="Arial"/>
          <w:bCs/>
          <w:sz w:val="22"/>
          <w:szCs w:val="22"/>
          <w:lang w:val="es-CR"/>
        </w:rPr>
        <w:t xml:space="preserve"> a su importe en libros, el importe recuperable se determinará para la unidad generadora de efectivo a la que pertenezca el activo.</w:t>
      </w:r>
    </w:p>
    <w:p w14:paraId="7E4323B6" w14:textId="77777777" w:rsidR="00AA68F9" w:rsidRPr="00F02F9D" w:rsidRDefault="00AA68F9" w:rsidP="00A351C9">
      <w:pPr>
        <w:spacing w:line="238" w:lineRule="auto"/>
        <w:ind w:left="1134" w:right="260" w:hanging="1134"/>
        <w:jc w:val="both"/>
        <w:rPr>
          <w:rFonts w:ascii="Arial" w:eastAsia="Arial" w:hAnsi="Arial"/>
          <w:b/>
          <w:sz w:val="22"/>
          <w:szCs w:val="22"/>
          <w:lang w:val="es-CR"/>
        </w:rPr>
      </w:pPr>
    </w:p>
    <w:tbl>
      <w:tblPr>
        <w:tblW w:w="9216" w:type="dxa"/>
        <w:tblLook w:val="04A0" w:firstRow="1" w:lastRow="0" w:firstColumn="1" w:lastColumn="0" w:noHBand="0" w:noVBand="1"/>
      </w:tblPr>
      <w:tblGrid>
        <w:gridCol w:w="560"/>
        <w:gridCol w:w="550"/>
        <w:gridCol w:w="537"/>
        <w:gridCol w:w="3163"/>
        <w:gridCol w:w="2329"/>
        <w:gridCol w:w="2077"/>
      </w:tblGrid>
      <w:tr w:rsidR="00EA5BDF" w:rsidRPr="00F36957" w14:paraId="53950A6E" w14:textId="77777777" w:rsidTr="00213195">
        <w:trPr>
          <w:trHeight w:val="320"/>
        </w:trPr>
        <w:tc>
          <w:tcPr>
            <w:tcW w:w="164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E599496" w14:textId="77777777" w:rsidR="00EA5BDF" w:rsidRPr="00F36957" w:rsidRDefault="00EA5BDF" w:rsidP="00EA5BDF">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Norma / Política</w:t>
            </w:r>
          </w:p>
        </w:tc>
        <w:tc>
          <w:tcPr>
            <w:tcW w:w="3163"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A60287" w14:textId="77777777" w:rsidR="00EA5BDF" w:rsidRPr="00F36957" w:rsidRDefault="00EA5BDF" w:rsidP="00EA5BDF">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Concepto</w:t>
            </w:r>
          </w:p>
        </w:tc>
        <w:tc>
          <w:tcPr>
            <w:tcW w:w="4406" w:type="dxa"/>
            <w:gridSpan w:val="2"/>
            <w:tcBorders>
              <w:top w:val="single" w:sz="8" w:space="0" w:color="auto"/>
              <w:left w:val="nil"/>
              <w:bottom w:val="single" w:sz="8" w:space="0" w:color="auto"/>
              <w:right w:val="single" w:sz="8" w:space="0" w:color="000000"/>
            </w:tcBorders>
            <w:shd w:val="clear" w:color="000000" w:fill="203764"/>
            <w:vAlign w:val="center"/>
            <w:hideMark/>
          </w:tcPr>
          <w:p w14:paraId="24BBCC30" w14:textId="77777777" w:rsidR="00EA5BDF" w:rsidRPr="00F36957" w:rsidRDefault="00EA5BDF" w:rsidP="00EA5BDF">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Referencia</w:t>
            </w:r>
          </w:p>
        </w:tc>
      </w:tr>
      <w:tr w:rsidR="00EA5BDF" w:rsidRPr="0071104F" w14:paraId="1EC3B6A1" w14:textId="77777777" w:rsidTr="00213195">
        <w:trPr>
          <w:trHeight w:val="320"/>
        </w:trPr>
        <w:tc>
          <w:tcPr>
            <w:tcW w:w="1647" w:type="dxa"/>
            <w:gridSpan w:val="3"/>
            <w:vMerge/>
            <w:tcBorders>
              <w:top w:val="single" w:sz="8" w:space="0" w:color="auto"/>
              <w:left w:val="single" w:sz="8" w:space="0" w:color="auto"/>
              <w:bottom w:val="nil"/>
              <w:right w:val="single" w:sz="8" w:space="0" w:color="000000"/>
            </w:tcBorders>
            <w:vAlign w:val="center"/>
            <w:hideMark/>
          </w:tcPr>
          <w:p w14:paraId="17BDF242" w14:textId="77777777" w:rsidR="00EA5BDF" w:rsidRPr="00F36957" w:rsidRDefault="00EA5BDF" w:rsidP="00EA5BDF">
            <w:pPr>
              <w:rPr>
                <w:rFonts w:ascii="Arial Narrow" w:eastAsia="Times New Roman" w:hAnsi="Arial Narrow"/>
                <w:b/>
                <w:bCs/>
                <w:color w:val="FFFFFF"/>
                <w:sz w:val="22"/>
                <w:szCs w:val="22"/>
              </w:rPr>
            </w:pPr>
          </w:p>
        </w:tc>
        <w:tc>
          <w:tcPr>
            <w:tcW w:w="3163" w:type="dxa"/>
            <w:vMerge/>
            <w:tcBorders>
              <w:top w:val="single" w:sz="8" w:space="0" w:color="auto"/>
              <w:left w:val="single" w:sz="8" w:space="0" w:color="auto"/>
              <w:bottom w:val="nil"/>
              <w:right w:val="single" w:sz="8" w:space="0" w:color="auto"/>
            </w:tcBorders>
            <w:vAlign w:val="center"/>
            <w:hideMark/>
          </w:tcPr>
          <w:p w14:paraId="6D038EB6" w14:textId="77777777" w:rsidR="00EA5BDF" w:rsidRPr="00F36957" w:rsidRDefault="00EA5BDF" w:rsidP="00EA5BDF">
            <w:pPr>
              <w:rPr>
                <w:rFonts w:ascii="Arial Narrow" w:eastAsia="Times New Roman" w:hAnsi="Arial Narrow"/>
                <w:b/>
                <w:bCs/>
                <w:color w:val="FFFFFF"/>
                <w:sz w:val="22"/>
                <w:szCs w:val="22"/>
              </w:rPr>
            </w:pPr>
          </w:p>
        </w:tc>
        <w:tc>
          <w:tcPr>
            <w:tcW w:w="2329" w:type="dxa"/>
            <w:tcBorders>
              <w:top w:val="nil"/>
              <w:left w:val="nil"/>
              <w:bottom w:val="nil"/>
              <w:right w:val="single" w:sz="8" w:space="0" w:color="auto"/>
            </w:tcBorders>
            <w:shd w:val="clear" w:color="000000" w:fill="203764"/>
            <w:vAlign w:val="center"/>
            <w:hideMark/>
          </w:tcPr>
          <w:p w14:paraId="3C86D9EC" w14:textId="77777777" w:rsidR="00EA5BDF" w:rsidRPr="00F36957" w:rsidRDefault="00EA5BDF" w:rsidP="00EA5BDF">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Norma</w:t>
            </w:r>
          </w:p>
        </w:tc>
        <w:tc>
          <w:tcPr>
            <w:tcW w:w="2077" w:type="dxa"/>
            <w:tcBorders>
              <w:top w:val="nil"/>
              <w:left w:val="nil"/>
              <w:bottom w:val="nil"/>
              <w:right w:val="single" w:sz="8" w:space="0" w:color="auto"/>
            </w:tcBorders>
            <w:shd w:val="clear" w:color="000000" w:fill="203764"/>
            <w:vAlign w:val="center"/>
            <w:hideMark/>
          </w:tcPr>
          <w:p w14:paraId="1C630BAD" w14:textId="0B6A0FAA" w:rsidR="00EA5BDF" w:rsidRPr="0071104F" w:rsidRDefault="0071104F" w:rsidP="00EA5BDF">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02F9D" w:rsidRPr="00F36957" w14:paraId="3F3EC315" w14:textId="77777777" w:rsidTr="00213195">
        <w:trPr>
          <w:trHeight w:val="812"/>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41FC9A" w14:textId="77777777" w:rsidR="00EA5BDF" w:rsidRPr="00F36957" w:rsidRDefault="00EA5BDF" w:rsidP="00EA5BDF">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5F849009" w14:textId="77777777" w:rsidR="00EA5BDF" w:rsidRPr="00F36957" w:rsidRDefault="00EA5BDF" w:rsidP="00EA5BDF">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197</w:t>
            </w:r>
          </w:p>
        </w:tc>
        <w:tc>
          <w:tcPr>
            <w:tcW w:w="537" w:type="dxa"/>
            <w:tcBorders>
              <w:top w:val="single" w:sz="8" w:space="0" w:color="auto"/>
              <w:left w:val="nil"/>
              <w:bottom w:val="single" w:sz="8" w:space="0" w:color="auto"/>
              <w:right w:val="single" w:sz="8" w:space="0" w:color="auto"/>
            </w:tcBorders>
            <w:shd w:val="clear" w:color="auto" w:fill="auto"/>
            <w:vAlign w:val="center"/>
            <w:hideMark/>
          </w:tcPr>
          <w:p w14:paraId="7B969F47" w14:textId="77777777" w:rsidR="00EA5BDF" w:rsidRPr="00F36957" w:rsidRDefault="00EA5BDF" w:rsidP="00EA5BDF">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 </w:t>
            </w:r>
          </w:p>
        </w:tc>
        <w:tc>
          <w:tcPr>
            <w:tcW w:w="3163" w:type="dxa"/>
            <w:tcBorders>
              <w:top w:val="single" w:sz="8" w:space="0" w:color="auto"/>
              <w:left w:val="nil"/>
              <w:bottom w:val="single" w:sz="8" w:space="0" w:color="auto"/>
              <w:right w:val="single" w:sz="8" w:space="0" w:color="auto"/>
            </w:tcBorders>
            <w:shd w:val="clear" w:color="auto" w:fill="auto"/>
            <w:vAlign w:val="center"/>
            <w:hideMark/>
          </w:tcPr>
          <w:p w14:paraId="5C696A37" w14:textId="77777777" w:rsidR="00EA5BDF" w:rsidRPr="00F36957" w:rsidRDefault="00EA5BDF" w:rsidP="00EA5BDF">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Medición del importe recuperable de un activo intangible con una vida útil indefinida </w:t>
            </w:r>
          </w:p>
        </w:tc>
        <w:tc>
          <w:tcPr>
            <w:tcW w:w="2329" w:type="dxa"/>
            <w:tcBorders>
              <w:top w:val="single" w:sz="8" w:space="0" w:color="auto"/>
              <w:left w:val="nil"/>
              <w:bottom w:val="single" w:sz="8" w:space="0" w:color="auto"/>
              <w:right w:val="single" w:sz="8" w:space="0" w:color="auto"/>
            </w:tcBorders>
            <w:shd w:val="clear" w:color="auto" w:fill="auto"/>
            <w:vAlign w:val="center"/>
            <w:hideMark/>
          </w:tcPr>
          <w:p w14:paraId="42110BA0" w14:textId="77777777" w:rsidR="00EA5BDF" w:rsidRPr="00F36957" w:rsidRDefault="00EA5BDF" w:rsidP="00EA5BDF">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21, </w:t>
            </w:r>
          </w:p>
          <w:p w14:paraId="19CC6F3D" w14:textId="77777777" w:rsidR="00EA5BDF" w:rsidRPr="00F36957" w:rsidRDefault="00EA5BDF" w:rsidP="00F36957">
            <w:pPr>
              <w:spacing w:after="120"/>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Párrafo 39A.  </w:t>
            </w:r>
          </w:p>
          <w:p w14:paraId="33AD7BC5" w14:textId="77777777" w:rsidR="00EA5BDF" w:rsidRPr="00F36957" w:rsidRDefault="00EA5BDF" w:rsidP="00EA5BDF">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26, </w:t>
            </w:r>
          </w:p>
          <w:p w14:paraId="531CB0E6" w14:textId="52D44024" w:rsidR="00EA5BDF" w:rsidRPr="00F36957" w:rsidRDefault="00EA5BDF" w:rsidP="00EA5BDF">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Párrafo 37.</w:t>
            </w:r>
          </w:p>
        </w:tc>
        <w:tc>
          <w:tcPr>
            <w:tcW w:w="2077" w:type="dxa"/>
            <w:tcBorders>
              <w:top w:val="single" w:sz="8" w:space="0" w:color="auto"/>
              <w:left w:val="nil"/>
              <w:bottom w:val="single" w:sz="8" w:space="0" w:color="auto"/>
              <w:right w:val="single" w:sz="8" w:space="0" w:color="auto"/>
            </w:tcBorders>
            <w:shd w:val="clear" w:color="auto" w:fill="auto"/>
            <w:vAlign w:val="center"/>
            <w:hideMark/>
          </w:tcPr>
          <w:p w14:paraId="0EBB3722" w14:textId="77777777" w:rsidR="00EA5BDF" w:rsidRPr="00F36957" w:rsidRDefault="00EA5BDF" w:rsidP="00EA5BDF">
            <w:pPr>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 </w:t>
            </w:r>
          </w:p>
        </w:tc>
      </w:tr>
    </w:tbl>
    <w:p w14:paraId="4133A0FD" w14:textId="77777777" w:rsidR="00AA68F9" w:rsidRPr="00F02F9D" w:rsidRDefault="00AA68F9" w:rsidP="00A351C9">
      <w:pPr>
        <w:spacing w:line="238" w:lineRule="auto"/>
        <w:ind w:left="1134" w:right="260" w:hanging="1134"/>
        <w:jc w:val="both"/>
        <w:rPr>
          <w:rFonts w:ascii="Arial" w:eastAsia="Arial" w:hAnsi="Arial"/>
          <w:b/>
          <w:sz w:val="22"/>
          <w:szCs w:val="22"/>
          <w:lang w:val="es-CR"/>
        </w:rPr>
      </w:pPr>
    </w:p>
    <w:p w14:paraId="3319578F" w14:textId="00944BBB" w:rsidR="00213195" w:rsidRPr="00F02F9D" w:rsidRDefault="00135644" w:rsidP="00135644">
      <w:pPr>
        <w:spacing w:line="26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1.197.0.01</w:t>
      </w:r>
      <w:r w:rsidRPr="00F02F9D">
        <w:rPr>
          <w:rFonts w:ascii="Arial" w:eastAsia="Arial" w:hAnsi="Arial"/>
          <w:bCs/>
          <w:sz w:val="22"/>
          <w:szCs w:val="22"/>
          <w:lang w:val="es-CR"/>
        </w:rPr>
        <w:tab/>
      </w:r>
      <w:r w:rsidR="00213195"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00213195" w:rsidRPr="00F02F9D">
        <w:rPr>
          <w:rFonts w:ascii="Arial" w:eastAsia="Arial" w:hAnsi="Arial"/>
          <w:bCs/>
          <w:sz w:val="22"/>
          <w:szCs w:val="22"/>
          <w:lang w:val="es-CR"/>
        </w:rPr>
        <w:t xml:space="preserve"> a efectos de la comprobación anual del deterioro del valor de un activo intangible con una vida útil indefinida, podrá emplearse los cálculos efectuados en el período anterior, para lo cual debe cumplir los siguientes requisitos:</w:t>
      </w:r>
    </w:p>
    <w:p w14:paraId="3890ACB2" w14:textId="77777777" w:rsidR="00135644" w:rsidRPr="00F02F9D" w:rsidRDefault="00135644" w:rsidP="00135644">
      <w:pPr>
        <w:spacing w:line="268" w:lineRule="auto"/>
        <w:ind w:left="1134" w:right="260" w:hanging="1134"/>
        <w:jc w:val="both"/>
        <w:rPr>
          <w:rFonts w:ascii="Arial" w:eastAsia="Arial" w:hAnsi="Arial"/>
          <w:bCs/>
          <w:sz w:val="22"/>
          <w:szCs w:val="22"/>
          <w:lang w:val="es-CR"/>
        </w:rPr>
      </w:pPr>
    </w:p>
    <w:p w14:paraId="6E40DBD1" w14:textId="5AA0966B" w:rsidR="00213195" w:rsidRPr="00F02F9D" w:rsidRDefault="00213195">
      <w:pPr>
        <w:pStyle w:val="Prrafodelista"/>
        <w:numPr>
          <w:ilvl w:val="0"/>
          <w:numId w:val="59"/>
        </w:numPr>
        <w:tabs>
          <w:tab w:val="left" w:pos="1099"/>
        </w:tabs>
        <w:spacing w:line="261" w:lineRule="auto"/>
        <w:ind w:left="1418" w:right="260" w:hanging="284"/>
        <w:jc w:val="both"/>
        <w:rPr>
          <w:rFonts w:ascii="Arial" w:eastAsia="Arial" w:hAnsi="Arial"/>
          <w:bCs/>
          <w:sz w:val="22"/>
          <w:szCs w:val="22"/>
          <w:lang w:val="es-CR"/>
        </w:rPr>
      </w:pPr>
      <w:bookmarkStart w:id="65" w:name="page61"/>
      <w:bookmarkEnd w:id="65"/>
      <w:r w:rsidRPr="00F02F9D">
        <w:rPr>
          <w:rFonts w:ascii="Arial" w:eastAsia="Arial" w:hAnsi="Arial"/>
          <w:bCs/>
          <w:sz w:val="22"/>
          <w:szCs w:val="22"/>
          <w:lang w:val="es-CR"/>
        </w:rPr>
        <w:t xml:space="preserve">Si el activo intangible no genera entradas de efectivo o potencial de servicio, según sea el caso, procedente de su uso continuado que sean en buena medida independientes de lo que generen otros activos o grupos de activos y, en consecuencia, su deterioro del valor se compruebe como parte de la unidad generadora a la cual pertenece, que los activos y pasivos que componen esa unidad no hayan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ado</w:t>
      </w:r>
      <w:r w:rsidRPr="00F02F9D">
        <w:rPr>
          <w:rFonts w:ascii="Arial" w:eastAsia="Arial" w:hAnsi="Arial"/>
          <w:bCs/>
          <w:sz w:val="22"/>
          <w:szCs w:val="22"/>
          <w:lang w:val="es-CR"/>
        </w:rPr>
        <w:t xml:space="preserve"> significativamente desde que se realizó el cálculo más reciente del importe recuperable.</w:t>
      </w:r>
    </w:p>
    <w:p w14:paraId="493DDD15" w14:textId="77777777" w:rsidR="00213195" w:rsidRPr="00F02F9D" w:rsidRDefault="00213195" w:rsidP="00135644">
      <w:pPr>
        <w:spacing w:line="6" w:lineRule="exact"/>
        <w:ind w:left="1418" w:hanging="284"/>
        <w:rPr>
          <w:rFonts w:ascii="Arial" w:eastAsia="Arial" w:hAnsi="Arial"/>
          <w:bCs/>
          <w:sz w:val="22"/>
          <w:szCs w:val="22"/>
          <w:lang w:val="es-CR"/>
        </w:rPr>
      </w:pPr>
    </w:p>
    <w:p w14:paraId="655747B7" w14:textId="77777777" w:rsidR="00213195" w:rsidRPr="00F02F9D" w:rsidRDefault="00213195">
      <w:pPr>
        <w:pStyle w:val="Prrafodelista"/>
        <w:numPr>
          <w:ilvl w:val="0"/>
          <w:numId w:val="59"/>
        </w:numPr>
        <w:spacing w:line="238"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Que el cálculo del importe recuperable o del importe de servicio recuperable, según sea el caso, más reciente de lugar a una cantidad que exceda significativamente el importe en libros del activo, de acuerdo con el grado de significatividad o materialidad.</w:t>
      </w:r>
    </w:p>
    <w:p w14:paraId="6067368F" w14:textId="77777777" w:rsidR="00213195" w:rsidRPr="00F02F9D" w:rsidRDefault="00213195" w:rsidP="00135644">
      <w:pPr>
        <w:spacing w:line="9" w:lineRule="exact"/>
        <w:ind w:left="1418" w:hanging="284"/>
        <w:rPr>
          <w:rFonts w:ascii="Arial" w:eastAsia="Arial" w:hAnsi="Arial"/>
          <w:bCs/>
          <w:sz w:val="22"/>
          <w:szCs w:val="22"/>
          <w:lang w:val="es-CR"/>
        </w:rPr>
      </w:pPr>
    </w:p>
    <w:p w14:paraId="72A4E82F" w14:textId="03C7E37E" w:rsidR="00213195" w:rsidRPr="00F02F9D" w:rsidRDefault="00213195">
      <w:pPr>
        <w:pStyle w:val="Prrafodelista"/>
        <w:numPr>
          <w:ilvl w:val="0"/>
          <w:numId w:val="59"/>
        </w:numPr>
        <w:spacing w:line="265"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 xml:space="preserve">Que basándose en un análisis de los sucesos y circunstancias que han ocurrido y aquellas circunstancias que han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ado</w:t>
      </w:r>
      <w:r w:rsidRPr="00F02F9D">
        <w:rPr>
          <w:rFonts w:ascii="Arial" w:eastAsia="Arial" w:hAnsi="Arial"/>
          <w:bCs/>
          <w:sz w:val="22"/>
          <w:szCs w:val="22"/>
          <w:lang w:val="es-CR"/>
        </w:rPr>
        <w:t xml:space="preserve"> desde que se efectuó el cálculo más reciente del importe recuperable o del importe de servicio recuperable, según sea el caso, la probabilidad de que dicho importe a la fecha de comprobación sea inferior al importe en libros sea remota.</w:t>
      </w:r>
    </w:p>
    <w:p w14:paraId="33159B5B" w14:textId="77777777" w:rsidR="00AA68F9" w:rsidRPr="00F02F9D" w:rsidRDefault="00AA68F9" w:rsidP="00A351C9">
      <w:pPr>
        <w:spacing w:line="238" w:lineRule="auto"/>
        <w:ind w:left="1134" w:right="260" w:hanging="1134"/>
        <w:jc w:val="both"/>
        <w:rPr>
          <w:rFonts w:ascii="Arial" w:eastAsia="Arial" w:hAnsi="Arial"/>
          <w:bCs/>
          <w:sz w:val="22"/>
          <w:szCs w:val="22"/>
          <w:lang w:val="es-CR"/>
        </w:rPr>
      </w:pPr>
    </w:p>
    <w:p w14:paraId="3F7466FD" w14:textId="77777777" w:rsidR="007E1897" w:rsidRPr="00F02F9D" w:rsidRDefault="007E1897" w:rsidP="00A351C9">
      <w:pPr>
        <w:spacing w:line="238" w:lineRule="auto"/>
        <w:ind w:left="1134" w:right="260" w:hanging="1134"/>
        <w:jc w:val="both"/>
        <w:rPr>
          <w:rFonts w:ascii="Arial" w:eastAsia="Arial" w:hAnsi="Arial"/>
          <w:bCs/>
          <w:sz w:val="22"/>
          <w:szCs w:val="22"/>
          <w:lang w:val="es-CR"/>
        </w:rPr>
      </w:pPr>
    </w:p>
    <w:p w14:paraId="627AB632" w14:textId="77777777" w:rsidR="007E1897" w:rsidRPr="00F02F9D" w:rsidRDefault="007E1897" w:rsidP="00A351C9">
      <w:pPr>
        <w:spacing w:line="238" w:lineRule="auto"/>
        <w:ind w:left="1134" w:right="260" w:hanging="1134"/>
        <w:jc w:val="both"/>
        <w:rPr>
          <w:rFonts w:ascii="Arial" w:eastAsia="Arial" w:hAnsi="Arial"/>
          <w:bCs/>
          <w:sz w:val="22"/>
          <w:szCs w:val="22"/>
          <w:lang w:val="es-CR"/>
        </w:rPr>
      </w:pPr>
    </w:p>
    <w:p w14:paraId="2C34CAA8" w14:textId="77777777" w:rsidR="007E1897" w:rsidRPr="00F02F9D" w:rsidRDefault="007E1897" w:rsidP="00A351C9">
      <w:pPr>
        <w:spacing w:line="238" w:lineRule="auto"/>
        <w:ind w:left="1134" w:right="260" w:hanging="1134"/>
        <w:jc w:val="both"/>
        <w:rPr>
          <w:rFonts w:ascii="Arial" w:eastAsia="Arial" w:hAnsi="Arial"/>
          <w:bCs/>
          <w:sz w:val="22"/>
          <w:szCs w:val="22"/>
          <w:lang w:val="es-CR"/>
        </w:rPr>
      </w:pPr>
    </w:p>
    <w:p w14:paraId="7ECAE376" w14:textId="77777777" w:rsidR="007E1897" w:rsidRPr="00F02F9D" w:rsidRDefault="007E1897" w:rsidP="00A351C9">
      <w:pPr>
        <w:spacing w:line="238" w:lineRule="auto"/>
        <w:ind w:left="1134" w:right="260" w:hanging="1134"/>
        <w:jc w:val="both"/>
        <w:rPr>
          <w:rFonts w:ascii="Arial" w:eastAsia="Arial" w:hAnsi="Arial"/>
          <w:bCs/>
          <w:sz w:val="22"/>
          <w:szCs w:val="22"/>
          <w:lang w:val="es-CR"/>
        </w:rPr>
      </w:pPr>
    </w:p>
    <w:p w14:paraId="3482FE29" w14:textId="77777777" w:rsidR="007E1897" w:rsidRPr="00F02F9D" w:rsidRDefault="007E1897" w:rsidP="00A351C9">
      <w:pPr>
        <w:spacing w:line="238" w:lineRule="auto"/>
        <w:ind w:left="1134" w:right="260" w:hanging="1134"/>
        <w:jc w:val="both"/>
        <w:rPr>
          <w:rFonts w:ascii="Arial" w:eastAsia="Arial" w:hAnsi="Arial"/>
          <w:bCs/>
          <w:sz w:val="22"/>
          <w:szCs w:val="22"/>
          <w:lang w:val="es-CR"/>
        </w:rPr>
      </w:pPr>
    </w:p>
    <w:p w14:paraId="151519D1" w14:textId="77777777" w:rsidR="00AA68F9" w:rsidRPr="00F02F9D" w:rsidRDefault="00AA68F9" w:rsidP="00A351C9">
      <w:pPr>
        <w:spacing w:line="238" w:lineRule="auto"/>
        <w:ind w:left="1134" w:right="260" w:hanging="1134"/>
        <w:jc w:val="both"/>
        <w:rPr>
          <w:rFonts w:ascii="Arial" w:eastAsia="Arial" w:hAnsi="Arial"/>
          <w:b/>
          <w:sz w:val="22"/>
          <w:szCs w:val="22"/>
          <w:lang w:val="es-CR"/>
        </w:rPr>
      </w:pPr>
    </w:p>
    <w:tbl>
      <w:tblPr>
        <w:tblW w:w="8880" w:type="dxa"/>
        <w:tblLook w:val="04A0" w:firstRow="1" w:lastRow="0" w:firstColumn="1" w:lastColumn="0" w:noHBand="0" w:noVBand="1"/>
      </w:tblPr>
      <w:tblGrid>
        <w:gridCol w:w="539"/>
        <w:gridCol w:w="517"/>
        <w:gridCol w:w="519"/>
        <w:gridCol w:w="2854"/>
        <w:gridCol w:w="2354"/>
        <w:gridCol w:w="2097"/>
      </w:tblGrid>
      <w:tr w:rsidR="007E1897" w:rsidRPr="00F36957" w14:paraId="0F8AFB09" w14:textId="77777777" w:rsidTr="007E1897">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E2A20D3" w14:textId="77777777" w:rsidR="007E1897" w:rsidRPr="00F36957" w:rsidRDefault="007E1897" w:rsidP="007E1897">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Norma / Política</w:t>
            </w:r>
          </w:p>
        </w:tc>
        <w:tc>
          <w:tcPr>
            <w:tcW w:w="2860" w:type="dxa"/>
            <w:vMerge w:val="restart"/>
            <w:tcBorders>
              <w:top w:val="nil"/>
              <w:left w:val="single" w:sz="8" w:space="0" w:color="auto"/>
              <w:bottom w:val="nil"/>
              <w:right w:val="single" w:sz="8" w:space="0" w:color="auto"/>
            </w:tcBorders>
            <w:shd w:val="clear" w:color="000000" w:fill="203764"/>
            <w:vAlign w:val="center"/>
            <w:hideMark/>
          </w:tcPr>
          <w:p w14:paraId="313A479F" w14:textId="77777777" w:rsidR="007E1897" w:rsidRPr="00F36957" w:rsidRDefault="007E1897" w:rsidP="007E1897">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Concepto</w:t>
            </w:r>
          </w:p>
        </w:tc>
        <w:tc>
          <w:tcPr>
            <w:tcW w:w="4460" w:type="dxa"/>
            <w:gridSpan w:val="2"/>
            <w:tcBorders>
              <w:top w:val="nil"/>
              <w:left w:val="nil"/>
              <w:bottom w:val="single" w:sz="8" w:space="0" w:color="auto"/>
              <w:right w:val="single" w:sz="8" w:space="0" w:color="000000"/>
            </w:tcBorders>
            <w:shd w:val="clear" w:color="000000" w:fill="203764"/>
            <w:vAlign w:val="center"/>
            <w:hideMark/>
          </w:tcPr>
          <w:p w14:paraId="23DA7A1A" w14:textId="77777777" w:rsidR="007E1897" w:rsidRPr="00F36957" w:rsidRDefault="007E1897" w:rsidP="007E1897">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Referencia</w:t>
            </w:r>
          </w:p>
        </w:tc>
      </w:tr>
      <w:tr w:rsidR="007E1897" w:rsidRPr="0071104F" w14:paraId="2BC6F260" w14:textId="77777777" w:rsidTr="007E1897">
        <w:trPr>
          <w:trHeight w:val="320"/>
        </w:trPr>
        <w:tc>
          <w:tcPr>
            <w:tcW w:w="1560" w:type="dxa"/>
            <w:gridSpan w:val="3"/>
            <w:vMerge/>
            <w:tcBorders>
              <w:top w:val="single" w:sz="8" w:space="0" w:color="auto"/>
              <w:left w:val="single" w:sz="8" w:space="0" w:color="auto"/>
              <w:bottom w:val="nil"/>
              <w:right w:val="single" w:sz="8" w:space="0" w:color="000000"/>
            </w:tcBorders>
            <w:vAlign w:val="center"/>
            <w:hideMark/>
          </w:tcPr>
          <w:p w14:paraId="61CD3599" w14:textId="77777777" w:rsidR="007E1897" w:rsidRPr="00F36957" w:rsidRDefault="007E1897" w:rsidP="007E1897">
            <w:pPr>
              <w:rPr>
                <w:rFonts w:ascii="Arial Narrow" w:eastAsia="Times New Roman" w:hAnsi="Arial Narrow"/>
                <w:b/>
                <w:bCs/>
                <w:color w:val="FFFFFF"/>
                <w:sz w:val="22"/>
                <w:szCs w:val="22"/>
              </w:rPr>
            </w:pPr>
          </w:p>
        </w:tc>
        <w:tc>
          <w:tcPr>
            <w:tcW w:w="2860" w:type="dxa"/>
            <w:vMerge/>
            <w:tcBorders>
              <w:top w:val="nil"/>
              <w:left w:val="single" w:sz="8" w:space="0" w:color="auto"/>
              <w:bottom w:val="nil"/>
              <w:right w:val="single" w:sz="8" w:space="0" w:color="auto"/>
            </w:tcBorders>
            <w:vAlign w:val="center"/>
            <w:hideMark/>
          </w:tcPr>
          <w:p w14:paraId="188E2AAA" w14:textId="77777777" w:rsidR="007E1897" w:rsidRPr="00F36957" w:rsidRDefault="007E1897" w:rsidP="007E1897">
            <w:pPr>
              <w:rPr>
                <w:rFonts w:ascii="Arial Narrow" w:eastAsia="Times New Roman" w:hAnsi="Arial Narrow"/>
                <w:b/>
                <w:bCs/>
                <w:color w:val="FFFFFF"/>
                <w:sz w:val="22"/>
                <w:szCs w:val="22"/>
              </w:rPr>
            </w:pPr>
          </w:p>
        </w:tc>
        <w:tc>
          <w:tcPr>
            <w:tcW w:w="2360" w:type="dxa"/>
            <w:tcBorders>
              <w:top w:val="nil"/>
              <w:left w:val="nil"/>
              <w:bottom w:val="nil"/>
              <w:right w:val="single" w:sz="8" w:space="0" w:color="auto"/>
            </w:tcBorders>
            <w:shd w:val="clear" w:color="000000" w:fill="203764"/>
            <w:vAlign w:val="center"/>
            <w:hideMark/>
          </w:tcPr>
          <w:p w14:paraId="21078DCE" w14:textId="77777777" w:rsidR="007E1897" w:rsidRPr="00F36957" w:rsidRDefault="007E1897" w:rsidP="007E1897">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39D7EDB4" w14:textId="04ED3EC6" w:rsidR="007E1897" w:rsidRPr="0071104F" w:rsidRDefault="0071104F" w:rsidP="007E1897">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E1897" w:rsidRPr="00F36957" w14:paraId="6FAD26F0" w14:textId="77777777" w:rsidTr="007E1897">
        <w:trPr>
          <w:trHeight w:val="869"/>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A4D1A81"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4AFE813B"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198</w:t>
            </w:r>
          </w:p>
        </w:tc>
        <w:tc>
          <w:tcPr>
            <w:tcW w:w="520" w:type="dxa"/>
            <w:tcBorders>
              <w:top w:val="nil"/>
              <w:left w:val="nil"/>
              <w:bottom w:val="single" w:sz="8" w:space="0" w:color="auto"/>
              <w:right w:val="single" w:sz="8" w:space="0" w:color="auto"/>
            </w:tcBorders>
            <w:shd w:val="clear" w:color="auto" w:fill="auto"/>
            <w:vAlign w:val="center"/>
            <w:hideMark/>
          </w:tcPr>
          <w:p w14:paraId="20B0A162"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w:t>
            </w:r>
          </w:p>
        </w:tc>
        <w:tc>
          <w:tcPr>
            <w:tcW w:w="2860" w:type="dxa"/>
            <w:tcBorders>
              <w:top w:val="nil"/>
              <w:left w:val="nil"/>
              <w:bottom w:val="nil"/>
              <w:right w:val="nil"/>
            </w:tcBorders>
            <w:shd w:val="clear" w:color="auto" w:fill="auto"/>
            <w:vAlign w:val="center"/>
            <w:hideMark/>
          </w:tcPr>
          <w:p w14:paraId="332BE420" w14:textId="77777777" w:rsidR="007E1897" w:rsidRPr="00F36957" w:rsidRDefault="007E1897" w:rsidP="007741B0">
            <w:pPr>
              <w:ind w:left="-49" w:right="-25"/>
              <w:jc w:val="both"/>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Valor razonable</w:t>
            </w:r>
          </w:p>
        </w:tc>
        <w:tc>
          <w:tcPr>
            <w:tcW w:w="2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CC0A3B" w14:textId="77777777"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21, </w:t>
            </w:r>
          </w:p>
          <w:p w14:paraId="22500D62" w14:textId="77777777" w:rsidR="007E1897" w:rsidRPr="00F36957" w:rsidRDefault="007E1897" w:rsidP="00F36957">
            <w:pPr>
              <w:spacing w:after="120"/>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Párrafo 40.</w:t>
            </w:r>
          </w:p>
          <w:p w14:paraId="623D6C47" w14:textId="438C83E7"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26, </w:t>
            </w:r>
          </w:p>
          <w:p w14:paraId="35DB69F4" w14:textId="69AB0DCD"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Párrafo 38.</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3D7C96AC" w14:textId="77777777" w:rsidR="007E1897" w:rsidRPr="00F36957" w:rsidRDefault="007E1897" w:rsidP="007E1897">
            <w:pPr>
              <w:rPr>
                <w:rFonts w:ascii="Arial Narrow" w:eastAsia="Times New Roman" w:hAnsi="Arial Narrow"/>
                <w:color w:val="000000"/>
                <w:sz w:val="22"/>
                <w:szCs w:val="22"/>
                <w:lang w:val="es-CR"/>
              </w:rPr>
            </w:pPr>
            <w:r w:rsidRPr="00F36957">
              <w:rPr>
                <w:rFonts w:ascii="Arial Narrow" w:eastAsia="Times New Roman" w:hAnsi="Arial Narrow"/>
                <w:color w:val="000000"/>
                <w:sz w:val="22"/>
                <w:szCs w:val="22"/>
                <w:lang w:val="es-CR"/>
              </w:rPr>
              <w:t> </w:t>
            </w:r>
          </w:p>
        </w:tc>
      </w:tr>
      <w:tr w:rsidR="007E1897" w:rsidRPr="00F36957" w14:paraId="64703847" w14:textId="77777777" w:rsidTr="007E1897">
        <w:trPr>
          <w:trHeight w:val="91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60BBB8F3"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1CB3348C"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198</w:t>
            </w:r>
          </w:p>
        </w:tc>
        <w:tc>
          <w:tcPr>
            <w:tcW w:w="520" w:type="dxa"/>
            <w:tcBorders>
              <w:top w:val="nil"/>
              <w:left w:val="nil"/>
              <w:bottom w:val="single" w:sz="8" w:space="0" w:color="auto"/>
              <w:right w:val="single" w:sz="8" w:space="0" w:color="auto"/>
            </w:tcBorders>
            <w:shd w:val="clear" w:color="auto" w:fill="auto"/>
            <w:vAlign w:val="center"/>
            <w:hideMark/>
          </w:tcPr>
          <w:p w14:paraId="21F3926A"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18449ECA" w14:textId="77777777" w:rsidR="007E1897" w:rsidRPr="00F36957" w:rsidRDefault="007E1897" w:rsidP="007741B0">
            <w:pPr>
              <w:ind w:left="-49" w:right="-25"/>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Estimaciones alternativas del valor razonable</w:t>
            </w:r>
          </w:p>
        </w:tc>
        <w:tc>
          <w:tcPr>
            <w:tcW w:w="2360" w:type="dxa"/>
            <w:tcBorders>
              <w:top w:val="nil"/>
              <w:left w:val="nil"/>
              <w:bottom w:val="single" w:sz="8" w:space="0" w:color="auto"/>
              <w:right w:val="single" w:sz="8" w:space="0" w:color="auto"/>
            </w:tcBorders>
            <w:shd w:val="clear" w:color="auto" w:fill="auto"/>
            <w:vAlign w:val="center"/>
            <w:hideMark/>
          </w:tcPr>
          <w:p w14:paraId="506A6AC1" w14:textId="77777777"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 21, </w:t>
            </w:r>
          </w:p>
          <w:p w14:paraId="76992B3E" w14:textId="77777777" w:rsidR="007E1897" w:rsidRPr="00F36957" w:rsidRDefault="007E1897" w:rsidP="00F36957">
            <w:pPr>
              <w:spacing w:after="120"/>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Párrafos 41 y 42.</w:t>
            </w:r>
          </w:p>
          <w:p w14:paraId="050C46B0" w14:textId="77777777"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 NICSP Nº 26, </w:t>
            </w:r>
          </w:p>
          <w:p w14:paraId="1B8C5A4A" w14:textId="6D1CCDB3"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Párrafos 39 y 40.</w:t>
            </w:r>
          </w:p>
        </w:tc>
        <w:tc>
          <w:tcPr>
            <w:tcW w:w="2100" w:type="dxa"/>
            <w:tcBorders>
              <w:top w:val="nil"/>
              <w:left w:val="nil"/>
              <w:bottom w:val="single" w:sz="8" w:space="0" w:color="auto"/>
              <w:right w:val="single" w:sz="8" w:space="0" w:color="auto"/>
            </w:tcBorders>
            <w:shd w:val="clear" w:color="auto" w:fill="auto"/>
            <w:vAlign w:val="center"/>
            <w:hideMark/>
          </w:tcPr>
          <w:p w14:paraId="7270977B"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DGCN</w:t>
            </w:r>
          </w:p>
        </w:tc>
      </w:tr>
      <w:tr w:rsidR="007E1897" w:rsidRPr="00F36957" w14:paraId="265BDD4D" w14:textId="77777777" w:rsidTr="007E1897">
        <w:trPr>
          <w:trHeight w:val="965"/>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02BD987"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6D44F2CC"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198</w:t>
            </w:r>
          </w:p>
        </w:tc>
        <w:tc>
          <w:tcPr>
            <w:tcW w:w="520" w:type="dxa"/>
            <w:tcBorders>
              <w:top w:val="nil"/>
              <w:left w:val="nil"/>
              <w:bottom w:val="single" w:sz="8" w:space="0" w:color="auto"/>
              <w:right w:val="single" w:sz="8" w:space="0" w:color="auto"/>
            </w:tcBorders>
            <w:shd w:val="clear" w:color="auto" w:fill="auto"/>
            <w:vAlign w:val="center"/>
            <w:hideMark/>
          </w:tcPr>
          <w:p w14:paraId="09236563"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2</w:t>
            </w:r>
          </w:p>
        </w:tc>
        <w:tc>
          <w:tcPr>
            <w:tcW w:w="2860" w:type="dxa"/>
            <w:tcBorders>
              <w:top w:val="nil"/>
              <w:left w:val="nil"/>
              <w:bottom w:val="single" w:sz="8" w:space="0" w:color="auto"/>
              <w:right w:val="single" w:sz="8" w:space="0" w:color="auto"/>
            </w:tcBorders>
            <w:shd w:val="clear" w:color="auto" w:fill="auto"/>
            <w:vAlign w:val="center"/>
            <w:hideMark/>
          </w:tcPr>
          <w:p w14:paraId="2DF54262" w14:textId="77777777" w:rsidR="007E1897" w:rsidRPr="00F36957" w:rsidRDefault="007E1897" w:rsidP="007741B0">
            <w:pPr>
              <w:ind w:left="-49" w:right="-25"/>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Costos por la disposición</w:t>
            </w:r>
          </w:p>
        </w:tc>
        <w:tc>
          <w:tcPr>
            <w:tcW w:w="2360" w:type="dxa"/>
            <w:tcBorders>
              <w:top w:val="nil"/>
              <w:left w:val="nil"/>
              <w:bottom w:val="single" w:sz="8" w:space="0" w:color="auto"/>
              <w:right w:val="single" w:sz="8" w:space="0" w:color="auto"/>
            </w:tcBorders>
            <w:shd w:val="clear" w:color="auto" w:fill="auto"/>
            <w:vAlign w:val="center"/>
            <w:hideMark/>
          </w:tcPr>
          <w:p w14:paraId="07713A2A" w14:textId="77777777"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21, </w:t>
            </w:r>
          </w:p>
          <w:p w14:paraId="77B856C3" w14:textId="77777777" w:rsidR="007E1897" w:rsidRPr="00F36957" w:rsidRDefault="007E1897" w:rsidP="00F36957">
            <w:pPr>
              <w:spacing w:after="120"/>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Párrafo 43.     </w:t>
            </w:r>
          </w:p>
          <w:p w14:paraId="7B04218E" w14:textId="77777777"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26, </w:t>
            </w:r>
          </w:p>
          <w:p w14:paraId="35008504" w14:textId="75E55BEA" w:rsidR="007E1897" w:rsidRPr="00F36957" w:rsidRDefault="007E1897" w:rsidP="007E189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Párrafo 41.</w:t>
            </w:r>
          </w:p>
        </w:tc>
        <w:tc>
          <w:tcPr>
            <w:tcW w:w="2100" w:type="dxa"/>
            <w:tcBorders>
              <w:top w:val="nil"/>
              <w:left w:val="nil"/>
              <w:bottom w:val="single" w:sz="8" w:space="0" w:color="auto"/>
              <w:right w:val="single" w:sz="8" w:space="0" w:color="auto"/>
            </w:tcBorders>
            <w:shd w:val="clear" w:color="auto" w:fill="auto"/>
            <w:vAlign w:val="center"/>
            <w:hideMark/>
          </w:tcPr>
          <w:p w14:paraId="6FFBB501"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DGCN</w:t>
            </w:r>
          </w:p>
        </w:tc>
      </w:tr>
      <w:tr w:rsidR="007E1897" w:rsidRPr="00F36957" w14:paraId="2835E125" w14:textId="77777777" w:rsidTr="007E1897">
        <w:trPr>
          <w:trHeight w:val="398"/>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D45A937"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64797F71"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198</w:t>
            </w:r>
          </w:p>
        </w:tc>
        <w:tc>
          <w:tcPr>
            <w:tcW w:w="520" w:type="dxa"/>
            <w:tcBorders>
              <w:top w:val="nil"/>
              <w:left w:val="nil"/>
              <w:bottom w:val="single" w:sz="8" w:space="0" w:color="auto"/>
              <w:right w:val="single" w:sz="8" w:space="0" w:color="auto"/>
            </w:tcBorders>
            <w:shd w:val="clear" w:color="auto" w:fill="auto"/>
            <w:vAlign w:val="center"/>
            <w:hideMark/>
          </w:tcPr>
          <w:p w14:paraId="241AF170" w14:textId="77777777" w:rsidR="007E1897" w:rsidRPr="00F36957" w:rsidRDefault="007E1897" w:rsidP="007E189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3</w:t>
            </w:r>
          </w:p>
        </w:tc>
        <w:tc>
          <w:tcPr>
            <w:tcW w:w="2860" w:type="dxa"/>
            <w:tcBorders>
              <w:top w:val="nil"/>
              <w:left w:val="nil"/>
              <w:bottom w:val="single" w:sz="8" w:space="0" w:color="auto"/>
              <w:right w:val="single" w:sz="8" w:space="0" w:color="auto"/>
            </w:tcBorders>
            <w:shd w:val="clear" w:color="auto" w:fill="auto"/>
            <w:vAlign w:val="center"/>
            <w:hideMark/>
          </w:tcPr>
          <w:p w14:paraId="38AD11EE" w14:textId="77777777" w:rsidR="007E1897" w:rsidRPr="00F36957" w:rsidRDefault="007E1897" w:rsidP="007741B0">
            <w:pPr>
              <w:ind w:left="-49" w:right="-25"/>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Valor en libros menos pasivo</w:t>
            </w:r>
          </w:p>
        </w:tc>
        <w:tc>
          <w:tcPr>
            <w:tcW w:w="2360" w:type="dxa"/>
            <w:tcBorders>
              <w:top w:val="nil"/>
              <w:left w:val="nil"/>
              <w:bottom w:val="single" w:sz="8" w:space="0" w:color="auto"/>
              <w:right w:val="single" w:sz="8" w:space="0" w:color="auto"/>
            </w:tcBorders>
            <w:shd w:val="clear" w:color="auto" w:fill="auto"/>
            <w:vAlign w:val="center"/>
            <w:hideMark/>
          </w:tcPr>
          <w:p w14:paraId="4F1A0740" w14:textId="77777777" w:rsidR="007E1897" w:rsidRPr="00F36957" w:rsidRDefault="007E1897" w:rsidP="007E1897">
            <w:pPr>
              <w:jc w:val="both"/>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NICSP N° 26, </w:t>
            </w:r>
          </w:p>
          <w:p w14:paraId="6295B2CC" w14:textId="68884709" w:rsidR="007E1897" w:rsidRPr="00F36957" w:rsidRDefault="007E1897" w:rsidP="007E1897">
            <w:pPr>
              <w:jc w:val="both"/>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Párrafos 42 y 89.</w:t>
            </w:r>
          </w:p>
        </w:tc>
        <w:tc>
          <w:tcPr>
            <w:tcW w:w="2100" w:type="dxa"/>
            <w:tcBorders>
              <w:top w:val="nil"/>
              <w:left w:val="nil"/>
              <w:bottom w:val="single" w:sz="8" w:space="0" w:color="auto"/>
              <w:right w:val="single" w:sz="8" w:space="0" w:color="auto"/>
            </w:tcBorders>
            <w:shd w:val="clear" w:color="auto" w:fill="auto"/>
            <w:vAlign w:val="center"/>
            <w:hideMark/>
          </w:tcPr>
          <w:p w14:paraId="23F9260F" w14:textId="77777777" w:rsidR="007E1897" w:rsidRPr="00F36957" w:rsidRDefault="007E1897" w:rsidP="007E1897">
            <w:pPr>
              <w:ind w:firstLineChars="100" w:firstLine="220"/>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 </w:t>
            </w:r>
          </w:p>
        </w:tc>
      </w:tr>
    </w:tbl>
    <w:p w14:paraId="4E4D4B84" w14:textId="77777777" w:rsidR="00AA68F9" w:rsidRPr="00F02F9D" w:rsidRDefault="00AA68F9" w:rsidP="00A351C9">
      <w:pPr>
        <w:spacing w:line="238" w:lineRule="auto"/>
        <w:ind w:left="1134" w:right="260" w:hanging="1134"/>
        <w:jc w:val="both"/>
        <w:rPr>
          <w:rFonts w:ascii="Arial" w:eastAsia="Arial" w:hAnsi="Arial"/>
          <w:b/>
          <w:sz w:val="22"/>
          <w:szCs w:val="22"/>
          <w:lang w:val="es-CR"/>
        </w:rPr>
      </w:pPr>
    </w:p>
    <w:p w14:paraId="68757FE9" w14:textId="53C34B21" w:rsidR="007E1897" w:rsidRDefault="007E1897" w:rsidP="002B7D8C">
      <w:pPr>
        <w:spacing w:line="251"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1.198.0.01</w:t>
      </w:r>
      <w:r w:rsidRPr="00F02F9D">
        <w:rPr>
          <w:rFonts w:ascii="Arial" w:eastAsia="Arial" w:hAnsi="Arial"/>
          <w:bCs/>
          <w:sz w:val="22"/>
          <w:szCs w:val="22"/>
          <w:lang w:val="es-CR"/>
        </w:rPr>
        <w:tab/>
        <w:t>La mejor evidencia del valor razonable menos los costos necesarios para la venta la constituyen la existencia de un precio, dentro de un compromiso formal de venta, en una transacción libre, ajustado por los costos incrementales que pudieran ser directamente atribuibles a la disposición del activo.</w:t>
      </w:r>
      <w:bookmarkStart w:id="66" w:name="page62"/>
      <w:bookmarkEnd w:id="66"/>
    </w:p>
    <w:p w14:paraId="18B9FB1C" w14:textId="77777777" w:rsidR="002B7D8C" w:rsidRPr="00F02F9D" w:rsidRDefault="002B7D8C" w:rsidP="002B7D8C">
      <w:pPr>
        <w:spacing w:line="251" w:lineRule="auto"/>
        <w:ind w:left="1134" w:right="260" w:hanging="1134"/>
        <w:jc w:val="both"/>
        <w:rPr>
          <w:rFonts w:ascii="Arial" w:eastAsia="Times New Roman" w:hAnsi="Arial"/>
          <w:bCs/>
          <w:sz w:val="22"/>
          <w:szCs w:val="22"/>
          <w:lang w:val="es-CR"/>
        </w:rPr>
      </w:pPr>
    </w:p>
    <w:p w14:paraId="7154D4B3" w14:textId="77777777" w:rsidR="007E1897" w:rsidRPr="005968BE" w:rsidRDefault="007E1897" w:rsidP="005968BE">
      <w:pPr>
        <w:pStyle w:val="Ttulo4"/>
        <w:rPr>
          <w:rFonts w:ascii="Arial" w:eastAsia="Arial" w:hAnsi="Arial" w:cs="Arial"/>
          <w:b/>
          <w:bCs/>
          <w:sz w:val="22"/>
          <w:szCs w:val="22"/>
          <w:lang w:val="es-CR"/>
        </w:rPr>
      </w:pPr>
      <w:r w:rsidRPr="005968BE">
        <w:rPr>
          <w:rFonts w:ascii="Arial" w:eastAsia="Arial" w:hAnsi="Arial" w:cs="Arial"/>
          <w:b/>
          <w:bCs/>
          <w:sz w:val="22"/>
          <w:szCs w:val="22"/>
          <w:lang w:val="es-CR"/>
        </w:rPr>
        <w:t>Estimaciones alternativas del valor razonable</w:t>
      </w:r>
    </w:p>
    <w:p w14:paraId="5E70B848" w14:textId="77777777" w:rsidR="007E1897" w:rsidRPr="00F02F9D" w:rsidRDefault="007E1897" w:rsidP="007E1897">
      <w:pPr>
        <w:spacing w:line="9" w:lineRule="exact"/>
        <w:rPr>
          <w:rFonts w:ascii="Arial" w:eastAsia="Arial" w:hAnsi="Arial"/>
          <w:bCs/>
          <w:sz w:val="22"/>
          <w:szCs w:val="22"/>
          <w:lang w:val="es-CR"/>
        </w:rPr>
      </w:pPr>
    </w:p>
    <w:p w14:paraId="1A781C25" w14:textId="77777777" w:rsidR="007E1897" w:rsidRPr="00F02F9D" w:rsidRDefault="007E1897" w:rsidP="007E1897">
      <w:pPr>
        <w:spacing w:line="237" w:lineRule="auto"/>
        <w:ind w:right="260"/>
        <w:jc w:val="both"/>
        <w:rPr>
          <w:rFonts w:ascii="Arial" w:eastAsia="Arial" w:hAnsi="Arial"/>
          <w:bCs/>
          <w:sz w:val="22"/>
          <w:szCs w:val="22"/>
          <w:lang w:val="es-CR"/>
        </w:rPr>
      </w:pPr>
    </w:p>
    <w:p w14:paraId="255A99AB" w14:textId="46038AAC" w:rsidR="007E1897" w:rsidRPr="00F02F9D" w:rsidRDefault="007E1897" w:rsidP="007E1897">
      <w:pPr>
        <w:spacing w:line="251"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1.198.1.01</w:t>
      </w:r>
      <w:r w:rsidRPr="00F02F9D">
        <w:rPr>
          <w:rFonts w:ascii="Arial" w:eastAsia="Arial" w:hAnsi="Arial"/>
          <w:bCs/>
          <w:sz w:val="22"/>
          <w:szCs w:val="22"/>
          <w:lang w:val="es-CR"/>
        </w:rPr>
        <w:tab/>
        <w:t xml:space="preserve">Si 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no existiera un compromiso formal de venta, el valor razonable menos los costos necesarios para la venta se determinarán según el orden de prioridad expuesto a continuación:</w:t>
      </w:r>
    </w:p>
    <w:p w14:paraId="157122EB" w14:textId="77777777" w:rsidR="007E1897" w:rsidRPr="00F02F9D" w:rsidRDefault="007E1897" w:rsidP="007E1897">
      <w:pPr>
        <w:spacing w:line="251" w:lineRule="auto"/>
        <w:ind w:left="1134" w:right="260" w:hanging="1134"/>
        <w:jc w:val="both"/>
        <w:rPr>
          <w:rFonts w:ascii="Arial" w:eastAsia="Arial" w:hAnsi="Arial"/>
          <w:bCs/>
          <w:sz w:val="22"/>
          <w:szCs w:val="22"/>
          <w:lang w:val="es-CR"/>
        </w:rPr>
      </w:pPr>
    </w:p>
    <w:p w14:paraId="1FC60419" w14:textId="77777777" w:rsidR="007E1897" w:rsidRPr="00F02F9D" w:rsidRDefault="007E1897" w:rsidP="007E1897">
      <w:pPr>
        <w:spacing w:line="10" w:lineRule="exact"/>
        <w:rPr>
          <w:rFonts w:ascii="Arial" w:eastAsia="Arial" w:hAnsi="Arial"/>
          <w:bCs/>
          <w:sz w:val="22"/>
          <w:szCs w:val="22"/>
          <w:lang w:val="es-CR"/>
        </w:rPr>
      </w:pPr>
    </w:p>
    <w:p w14:paraId="0A97F7CB" w14:textId="77777777" w:rsidR="007E1897" w:rsidRPr="00F02F9D" w:rsidRDefault="007E1897">
      <w:pPr>
        <w:pStyle w:val="Prrafodelista"/>
        <w:numPr>
          <w:ilvl w:val="0"/>
          <w:numId w:val="60"/>
        </w:numPr>
        <w:tabs>
          <w:tab w:val="left" w:pos="1099"/>
        </w:tabs>
        <w:spacing w:line="250"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Si el activo tuviera un mercado activo de compraventa, se considerará el precio del activo en el mercado menos los costos de disposición, tomando en consecuencia el precio comprador corriente.</w:t>
      </w:r>
    </w:p>
    <w:p w14:paraId="0309EFE1" w14:textId="77777777" w:rsidR="007E1897" w:rsidRPr="00F02F9D" w:rsidRDefault="007E1897" w:rsidP="007E1897">
      <w:pPr>
        <w:spacing w:line="1" w:lineRule="exact"/>
        <w:ind w:left="1418" w:hanging="284"/>
        <w:rPr>
          <w:rFonts w:ascii="Arial" w:eastAsia="Arial" w:hAnsi="Arial"/>
          <w:bCs/>
          <w:sz w:val="22"/>
          <w:szCs w:val="22"/>
          <w:lang w:val="es-CR"/>
        </w:rPr>
      </w:pPr>
    </w:p>
    <w:p w14:paraId="2F444901" w14:textId="7175E96B" w:rsidR="007E1897" w:rsidRPr="00F02F9D" w:rsidRDefault="007E1897">
      <w:pPr>
        <w:pStyle w:val="Prrafodelista"/>
        <w:numPr>
          <w:ilvl w:val="0"/>
          <w:numId w:val="60"/>
        </w:numPr>
        <w:tabs>
          <w:tab w:val="left" w:pos="1099"/>
        </w:tabs>
        <w:spacing w:line="261"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 xml:space="preserve">Si no se dispone de precio comprador corriente, se tomará el precio de la transacción más reciente a efectos de estimar el valor razonable, menos los costos necesarios para la venta, siempre que no se hayan producido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os</w:t>
      </w:r>
      <w:r w:rsidRPr="00F02F9D">
        <w:rPr>
          <w:rFonts w:ascii="Arial" w:eastAsia="Arial" w:hAnsi="Arial"/>
          <w:bCs/>
          <w:sz w:val="22"/>
          <w:szCs w:val="22"/>
          <w:lang w:val="es-CR"/>
        </w:rPr>
        <w:t xml:space="preserve"> significativos en las circunstancias económicas, entre la fecha de la transacción y la fecha en la que se realiza la estimación,</w:t>
      </w:r>
    </w:p>
    <w:p w14:paraId="69B18308" w14:textId="77777777" w:rsidR="007E1897" w:rsidRPr="00F02F9D" w:rsidRDefault="007E1897" w:rsidP="007E1897">
      <w:pPr>
        <w:spacing w:line="4" w:lineRule="exact"/>
        <w:ind w:left="1418" w:hanging="284"/>
        <w:rPr>
          <w:rFonts w:ascii="Arial" w:eastAsia="Arial" w:hAnsi="Arial"/>
          <w:bCs/>
          <w:sz w:val="22"/>
          <w:szCs w:val="22"/>
          <w:lang w:val="es-CR"/>
        </w:rPr>
      </w:pPr>
    </w:p>
    <w:p w14:paraId="59FCA851" w14:textId="77777777" w:rsidR="007E1897" w:rsidRPr="00F02F9D" w:rsidRDefault="007E1897">
      <w:pPr>
        <w:pStyle w:val="Prrafodelista"/>
        <w:numPr>
          <w:ilvl w:val="0"/>
          <w:numId w:val="60"/>
        </w:numPr>
        <w:tabs>
          <w:tab w:val="left" w:pos="1100"/>
        </w:tabs>
        <w:spacing w:line="238"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Si lo anterior tampoco fuera posible, el valor razonable menos los costos de venta se calcularán, a partir de la mejor información disponible, para reflejar el importe que podría obtenerse, a la fecha sobre la que se informa, en una transacción libre entre un comprador y un vendedor interesados y debidamente informados, una vez deducidos los costos derivados de la disposición.</w:t>
      </w:r>
    </w:p>
    <w:p w14:paraId="4CD2002B" w14:textId="77777777" w:rsidR="007E1897" w:rsidRPr="00F02F9D" w:rsidRDefault="007E1897" w:rsidP="007E1897">
      <w:pPr>
        <w:spacing w:line="280" w:lineRule="exact"/>
        <w:rPr>
          <w:rFonts w:ascii="Arial" w:eastAsia="Arial" w:hAnsi="Arial"/>
          <w:bCs/>
          <w:sz w:val="22"/>
          <w:szCs w:val="22"/>
          <w:lang w:val="es-CR"/>
        </w:rPr>
      </w:pPr>
    </w:p>
    <w:p w14:paraId="2F5D5C2C" w14:textId="77777777" w:rsidR="007E1897" w:rsidRPr="005968BE" w:rsidRDefault="007E1897" w:rsidP="005968BE">
      <w:pPr>
        <w:pStyle w:val="Ttulo4"/>
        <w:rPr>
          <w:rFonts w:ascii="Arial" w:eastAsia="Arial" w:hAnsi="Arial" w:cs="Arial"/>
          <w:b/>
          <w:bCs/>
          <w:sz w:val="22"/>
          <w:szCs w:val="22"/>
          <w:lang w:val="es-CR"/>
        </w:rPr>
      </w:pPr>
      <w:r w:rsidRPr="005968BE">
        <w:rPr>
          <w:rFonts w:ascii="Arial" w:eastAsia="Arial" w:hAnsi="Arial" w:cs="Arial"/>
          <w:b/>
          <w:bCs/>
          <w:sz w:val="22"/>
          <w:szCs w:val="22"/>
          <w:lang w:val="es-CR"/>
        </w:rPr>
        <w:t>Costos por la disposición</w:t>
      </w:r>
    </w:p>
    <w:p w14:paraId="2BA5C2B3" w14:textId="77777777" w:rsidR="007E1897" w:rsidRPr="00DB0DDE" w:rsidRDefault="007E1897" w:rsidP="007E1897">
      <w:pPr>
        <w:spacing w:line="9" w:lineRule="exact"/>
        <w:rPr>
          <w:rFonts w:ascii="Arial" w:eastAsia="Arial" w:hAnsi="Arial"/>
          <w:bCs/>
          <w:sz w:val="22"/>
          <w:szCs w:val="22"/>
          <w:lang w:val="es-CR"/>
        </w:rPr>
      </w:pPr>
    </w:p>
    <w:p w14:paraId="4295F454" w14:textId="77777777" w:rsidR="007E1897" w:rsidRPr="00F02F9D" w:rsidRDefault="007E1897" w:rsidP="007E1897">
      <w:pPr>
        <w:spacing w:line="237" w:lineRule="auto"/>
        <w:ind w:right="260"/>
        <w:jc w:val="both"/>
        <w:rPr>
          <w:rFonts w:ascii="Arial" w:eastAsia="Arial" w:hAnsi="Arial"/>
          <w:bCs/>
          <w:sz w:val="22"/>
          <w:szCs w:val="22"/>
          <w:lang w:val="es-CR"/>
        </w:rPr>
      </w:pPr>
    </w:p>
    <w:p w14:paraId="112B2825" w14:textId="28C3D056" w:rsidR="007E1897" w:rsidRPr="00F02F9D" w:rsidRDefault="007E1897" w:rsidP="007E1897">
      <w:pPr>
        <w:spacing w:line="251"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1.198.2.01</w:t>
      </w:r>
      <w:r w:rsidRPr="00F02F9D">
        <w:rPr>
          <w:rFonts w:ascii="Arial" w:eastAsia="Arial" w:hAnsi="Arial"/>
          <w:bCs/>
          <w:sz w:val="22"/>
          <w:szCs w:val="22"/>
          <w:lang w:val="es-CR"/>
        </w:rPr>
        <w:tab/>
        <w:t>Los costos por la disposición a considerar en el cálculo como costos necesarios para la venta serán aquéllos directamente relacionados con la transacción de venta estimada, como por ejemplo:</w:t>
      </w:r>
    </w:p>
    <w:p w14:paraId="3FAFC21F" w14:textId="77777777" w:rsidR="007E1897" w:rsidRPr="00F02F9D" w:rsidRDefault="007E1897" w:rsidP="007E1897">
      <w:pPr>
        <w:spacing w:line="1" w:lineRule="exact"/>
        <w:rPr>
          <w:rFonts w:ascii="Arial" w:eastAsia="Arial" w:hAnsi="Arial"/>
          <w:bCs/>
          <w:sz w:val="22"/>
          <w:szCs w:val="22"/>
          <w:lang w:val="es-CR"/>
        </w:rPr>
      </w:pPr>
    </w:p>
    <w:p w14:paraId="54B6FF52" w14:textId="77777777" w:rsidR="007E1897" w:rsidRPr="00F02F9D" w:rsidRDefault="007E1897">
      <w:pPr>
        <w:pStyle w:val="Prrafodelista"/>
        <w:numPr>
          <w:ilvl w:val="0"/>
          <w:numId w:val="61"/>
        </w:numPr>
        <w:spacing w:line="237" w:lineRule="auto"/>
        <w:ind w:left="1418" w:hanging="284"/>
        <w:rPr>
          <w:rFonts w:ascii="Arial" w:eastAsia="Arial" w:hAnsi="Arial"/>
          <w:bCs/>
          <w:sz w:val="22"/>
          <w:szCs w:val="22"/>
          <w:lang w:val="es-CR"/>
        </w:rPr>
      </w:pPr>
      <w:r w:rsidRPr="00F02F9D">
        <w:rPr>
          <w:rFonts w:ascii="Arial" w:eastAsia="Arial" w:hAnsi="Arial"/>
          <w:bCs/>
          <w:sz w:val="22"/>
          <w:szCs w:val="22"/>
          <w:lang w:val="es-CR"/>
        </w:rPr>
        <w:t>Costos legales.</w:t>
      </w:r>
    </w:p>
    <w:p w14:paraId="0B6DC163" w14:textId="77777777" w:rsidR="007E1897" w:rsidRPr="00F02F9D" w:rsidRDefault="007E1897" w:rsidP="007E1897">
      <w:pPr>
        <w:spacing w:line="1" w:lineRule="exact"/>
        <w:ind w:left="1418" w:hanging="284"/>
        <w:rPr>
          <w:rFonts w:ascii="Arial" w:eastAsia="Arial" w:hAnsi="Arial"/>
          <w:bCs/>
          <w:sz w:val="22"/>
          <w:szCs w:val="22"/>
          <w:lang w:val="es-CR"/>
        </w:rPr>
      </w:pPr>
    </w:p>
    <w:p w14:paraId="0CA0A937" w14:textId="33563B93" w:rsidR="007E1897" w:rsidRPr="00F02F9D" w:rsidRDefault="007E1897">
      <w:pPr>
        <w:pStyle w:val="Prrafodelista"/>
        <w:numPr>
          <w:ilvl w:val="0"/>
          <w:numId w:val="61"/>
        </w:numPr>
        <w:spacing w:line="0" w:lineRule="atLeast"/>
        <w:ind w:left="1418" w:hanging="284"/>
        <w:rPr>
          <w:rFonts w:ascii="Arial" w:eastAsia="Arial" w:hAnsi="Arial"/>
          <w:bCs/>
          <w:sz w:val="22"/>
          <w:szCs w:val="22"/>
          <w:lang w:val="es-CR"/>
        </w:rPr>
      </w:pPr>
      <w:r w:rsidRPr="00F02F9D">
        <w:rPr>
          <w:rFonts w:ascii="Arial" w:eastAsia="Arial" w:hAnsi="Arial"/>
          <w:bCs/>
          <w:sz w:val="22"/>
          <w:szCs w:val="22"/>
          <w:lang w:val="es-CR"/>
        </w:rPr>
        <w:t xml:space="preserve">Costos de sellados y </w:t>
      </w:r>
      <w:r w:rsidR="00AA22E2" w:rsidRPr="00F02F9D">
        <w:rPr>
          <w:rFonts w:ascii="Arial" w:eastAsia="Arial" w:hAnsi="Arial"/>
          <w:bCs/>
          <w:sz w:val="22"/>
          <w:szCs w:val="22"/>
          <w:lang w:val="es-CR"/>
        </w:rPr>
        <w:t>ti</w:t>
      </w:r>
      <w:r w:rsidR="00AA22E2">
        <w:rPr>
          <w:rFonts w:ascii="Arial" w:eastAsia="Arial" w:hAnsi="Arial"/>
          <w:bCs/>
          <w:sz w:val="22"/>
          <w:szCs w:val="22"/>
          <w:lang w:val="es-CR"/>
        </w:rPr>
        <w:t>mbr</w:t>
      </w:r>
      <w:r w:rsidR="00AA22E2" w:rsidRPr="00F02F9D">
        <w:rPr>
          <w:rFonts w:ascii="Arial" w:eastAsia="Arial" w:hAnsi="Arial"/>
          <w:bCs/>
          <w:sz w:val="22"/>
          <w:szCs w:val="22"/>
          <w:lang w:val="es-CR"/>
        </w:rPr>
        <w:t>es</w:t>
      </w:r>
      <w:r w:rsidRPr="00F02F9D">
        <w:rPr>
          <w:rFonts w:ascii="Arial" w:eastAsia="Arial" w:hAnsi="Arial"/>
          <w:bCs/>
          <w:sz w:val="22"/>
          <w:szCs w:val="22"/>
          <w:lang w:val="es-CR"/>
        </w:rPr>
        <w:t>.</w:t>
      </w:r>
    </w:p>
    <w:p w14:paraId="0A8869F1" w14:textId="77777777" w:rsidR="007E1897" w:rsidRPr="00F02F9D" w:rsidRDefault="007E1897">
      <w:pPr>
        <w:pStyle w:val="Prrafodelista"/>
        <w:numPr>
          <w:ilvl w:val="0"/>
          <w:numId w:val="61"/>
        </w:numPr>
        <w:spacing w:line="0" w:lineRule="atLeast"/>
        <w:ind w:left="1418" w:hanging="284"/>
        <w:rPr>
          <w:rFonts w:ascii="Arial" w:eastAsia="Arial" w:hAnsi="Arial"/>
          <w:bCs/>
          <w:sz w:val="22"/>
          <w:szCs w:val="22"/>
          <w:lang w:val="es-CR"/>
        </w:rPr>
      </w:pPr>
      <w:r w:rsidRPr="00F02F9D">
        <w:rPr>
          <w:rFonts w:ascii="Arial" w:eastAsia="Arial" w:hAnsi="Arial"/>
          <w:bCs/>
          <w:sz w:val="22"/>
          <w:szCs w:val="22"/>
          <w:lang w:val="es-CR"/>
        </w:rPr>
        <w:t>Costos de desmontar o desplazar el activo.</w:t>
      </w:r>
    </w:p>
    <w:p w14:paraId="2E54F68D" w14:textId="77777777" w:rsidR="007E1897" w:rsidRPr="00F02F9D" w:rsidRDefault="007E1897" w:rsidP="007E1897">
      <w:pPr>
        <w:spacing w:line="9" w:lineRule="exact"/>
        <w:ind w:left="1418" w:hanging="284"/>
        <w:rPr>
          <w:rFonts w:ascii="Arial" w:eastAsia="Arial" w:hAnsi="Arial"/>
          <w:bCs/>
          <w:sz w:val="22"/>
          <w:szCs w:val="22"/>
          <w:lang w:val="es-CR"/>
        </w:rPr>
      </w:pPr>
    </w:p>
    <w:p w14:paraId="0C835B50" w14:textId="77777777" w:rsidR="007E1897" w:rsidRPr="00F02F9D" w:rsidRDefault="007E1897">
      <w:pPr>
        <w:pStyle w:val="Prrafodelista"/>
        <w:numPr>
          <w:ilvl w:val="0"/>
          <w:numId w:val="61"/>
        </w:numPr>
        <w:spacing w:line="236" w:lineRule="auto"/>
        <w:ind w:left="1418" w:right="288" w:hanging="284"/>
        <w:jc w:val="both"/>
        <w:rPr>
          <w:rFonts w:ascii="Arial" w:eastAsia="Arial" w:hAnsi="Arial"/>
          <w:bCs/>
          <w:sz w:val="22"/>
          <w:szCs w:val="22"/>
          <w:lang w:val="es-CR"/>
        </w:rPr>
      </w:pPr>
      <w:r w:rsidRPr="00F02F9D">
        <w:rPr>
          <w:rFonts w:ascii="Arial" w:eastAsia="Arial" w:hAnsi="Arial"/>
          <w:bCs/>
          <w:sz w:val="22"/>
          <w:szCs w:val="22"/>
          <w:lang w:val="es-CR"/>
        </w:rPr>
        <w:lastRenderedPageBreak/>
        <w:t>Otros costos incrementales necesarios para dejar el activo en condiciones para la venta.</w:t>
      </w:r>
    </w:p>
    <w:p w14:paraId="2652C89B" w14:textId="77777777" w:rsidR="007E1897" w:rsidRPr="00F02F9D" w:rsidRDefault="007E1897" w:rsidP="007E1897">
      <w:pPr>
        <w:spacing w:line="9" w:lineRule="exact"/>
        <w:rPr>
          <w:rFonts w:ascii="Arial" w:eastAsia="Times New Roman" w:hAnsi="Arial"/>
          <w:bCs/>
          <w:sz w:val="22"/>
          <w:szCs w:val="22"/>
          <w:lang w:val="es-CR"/>
        </w:rPr>
      </w:pPr>
    </w:p>
    <w:p w14:paraId="50E6B328" w14:textId="77777777" w:rsidR="007E1897" w:rsidRPr="00F02F9D" w:rsidRDefault="007E1897" w:rsidP="007E1897">
      <w:pPr>
        <w:spacing w:line="238" w:lineRule="auto"/>
        <w:ind w:left="740" w:right="260"/>
        <w:jc w:val="both"/>
        <w:rPr>
          <w:rFonts w:ascii="Arial" w:eastAsia="Arial" w:hAnsi="Arial"/>
          <w:bCs/>
          <w:sz w:val="22"/>
          <w:szCs w:val="22"/>
          <w:lang w:val="es-CR"/>
        </w:rPr>
      </w:pPr>
    </w:p>
    <w:p w14:paraId="3D73DEFF" w14:textId="1472D4B5" w:rsidR="007E1897" w:rsidRPr="00F02F9D" w:rsidRDefault="00C356B1" w:rsidP="00C356B1">
      <w:pPr>
        <w:spacing w:line="251"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1.198.2.02</w:t>
      </w:r>
      <w:r w:rsidRPr="00F02F9D">
        <w:rPr>
          <w:rFonts w:ascii="Arial" w:eastAsia="Arial" w:hAnsi="Arial"/>
          <w:bCs/>
          <w:sz w:val="22"/>
          <w:szCs w:val="22"/>
          <w:lang w:val="es-CR"/>
        </w:rPr>
        <w:tab/>
      </w:r>
      <w:r w:rsidR="007E1897" w:rsidRPr="00F02F9D">
        <w:rPr>
          <w:rFonts w:ascii="Arial" w:eastAsia="Arial" w:hAnsi="Arial"/>
          <w:bCs/>
          <w:sz w:val="22"/>
          <w:szCs w:val="22"/>
          <w:lang w:val="es-CR"/>
        </w:rPr>
        <w:t>En ningún caso, se computarán dentro de los costos necesarios para la venta, costos o gastos que, aun estando relacionados con el activo objeto de estimación, no sean necesarios para la transacción de venta que estima (por ejemplo: indemnizaciones laborables por despido, gastos por reorganización de negocios, entre otros).</w:t>
      </w:r>
    </w:p>
    <w:p w14:paraId="213EB1D5" w14:textId="77777777" w:rsidR="007E1897" w:rsidRPr="00F02F9D" w:rsidRDefault="007E1897" w:rsidP="007E1897">
      <w:pPr>
        <w:spacing w:line="278" w:lineRule="exact"/>
        <w:rPr>
          <w:rFonts w:ascii="Arial" w:eastAsia="Times New Roman" w:hAnsi="Arial"/>
          <w:bCs/>
          <w:sz w:val="22"/>
          <w:szCs w:val="22"/>
          <w:lang w:val="es-CR"/>
        </w:rPr>
      </w:pPr>
    </w:p>
    <w:p w14:paraId="7D390002" w14:textId="77777777" w:rsidR="007E1897" w:rsidRPr="005968BE" w:rsidRDefault="007E1897" w:rsidP="005968BE">
      <w:pPr>
        <w:pStyle w:val="Ttulo4"/>
        <w:rPr>
          <w:rFonts w:ascii="Arial" w:eastAsia="Arial" w:hAnsi="Arial" w:cs="Arial"/>
          <w:b/>
          <w:bCs/>
          <w:sz w:val="22"/>
          <w:szCs w:val="22"/>
          <w:lang w:val="es-CR"/>
        </w:rPr>
      </w:pPr>
      <w:r w:rsidRPr="005968BE">
        <w:rPr>
          <w:rFonts w:ascii="Arial" w:eastAsia="Arial" w:hAnsi="Arial" w:cs="Arial"/>
          <w:b/>
          <w:bCs/>
          <w:sz w:val="22"/>
          <w:szCs w:val="22"/>
          <w:lang w:val="es-CR"/>
        </w:rPr>
        <w:t>Valor en libros menos pasivo</w:t>
      </w:r>
    </w:p>
    <w:p w14:paraId="0EC23F72" w14:textId="77777777" w:rsidR="007E1897" w:rsidRPr="00B5026F" w:rsidRDefault="007E1897" w:rsidP="007E1897">
      <w:pPr>
        <w:spacing w:line="9" w:lineRule="exact"/>
        <w:rPr>
          <w:rFonts w:ascii="Arial" w:eastAsia="Arial" w:hAnsi="Arial"/>
          <w:bCs/>
          <w:sz w:val="22"/>
          <w:szCs w:val="22"/>
          <w:lang w:val="es-CR"/>
        </w:rPr>
      </w:pPr>
    </w:p>
    <w:p w14:paraId="18DD22A6" w14:textId="77777777" w:rsidR="00C356B1" w:rsidRPr="00F02F9D" w:rsidRDefault="00C356B1" w:rsidP="007E1897">
      <w:pPr>
        <w:spacing w:line="265" w:lineRule="auto"/>
        <w:ind w:right="260"/>
        <w:jc w:val="both"/>
        <w:rPr>
          <w:rFonts w:ascii="Arial" w:eastAsia="Arial" w:hAnsi="Arial"/>
          <w:bCs/>
          <w:sz w:val="22"/>
          <w:szCs w:val="22"/>
          <w:lang w:val="es-CR"/>
        </w:rPr>
      </w:pPr>
    </w:p>
    <w:p w14:paraId="79142864" w14:textId="77777777" w:rsidR="007E1897" w:rsidRPr="00F02F9D" w:rsidRDefault="00C356B1" w:rsidP="00C356B1">
      <w:pPr>
        <w:spacing w:line="251"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1.198.3.01</w:t>
      </w:r>
      <w:r w:rsidRPr="00F02F9D">
        <w:rPr>
          <w:rFonts w:ascii="Arial" w:eastAsia="Arial" w:hAnsi="Arial"/>
          <w:bCs/>
          <w:sz w:val="22"/>
          <w:szCs w:val="22"/>
          <w:lang w:val="es-CR"/>
        </w:rPr>
        <w:tab/>
      </w:r>
      <w:r w:rsidR="007E1897" w:rsidRPr="00F02F9D">
        <w:rPr>
          <w:rFonts w:ascii="Arial" w:eastAsia="Arial" w:hAnsi="Arial"/>
          <w:bCs/>
          <w:sz w:val="22"/>
          <w:szCs w:val="22"/>
          <w:lang w:val="es-CR"/>
        </w:rPr>
        <w:t>Cuando la venta de un activo necesariamente obligue al comprador a asumir un pasivo relacionado, y exista un único valor razonable menos los costos de venta para el conjunto formado por el activo y el pasivo, a efectos de una adecuada comparación será preciso deducir el importe en libros del pasivo al calcular tanto el valor en uso de la unidad, como su importe en libros.</w:t>
      </w:r>
    </w:p>
    <w:p w14:paraId="67AFF453"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p w14:paraId="557AD648"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tbl>
      <w:tblPr>
        <w:tblW w:w="9062" w:type="dxa"/>
        <w:tblLook w:val="04A0" w:firstRow="1" w:lastRow="0" w:firstColumn="1" w:lastColumn="0" w:noHBand="0" w:noVBand="1"/>
      </w:tblPr>
      <w:tblGrid>
        <w:gridCol w:w="559"/>
        <w:gridCol w:w="550"/>
        <w:gridCol w:w="537"/>
        <w:gridCol w:w="3164"/>
        <w:gridCol w:w="2329"/>
        <w:gridCol w:w="1923"/>
      </w:tblGrid>
      <w:tr w:rsidR="00C356B1" w:rsidRPr="00F36957" w14:paraId="3E0ABAD3" w14:textId="77777777" w:rsidTr="00C356B1">
        <w:trPr>
          <w:trHeight w:val="320"/>
        </w:trPr>
        <w:tc>
          <w:tcPr>
            <w:tcW w:w="164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F5257B4" w14:textId="77777777" w:rsidR="00C356B1" w:rsidRPr="00F36957" w:rsidRDefault="00C356B1" w:rsidP="00F36957">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Norma / Política</w:t>
            </w:r>
          </w:p>
        </w:tc>
        <w:tc>
          <w:tcPr>
            <w:tcW w:w="3164" w:type="dxa"/>
            <w:vMerge w:val="restart"/>
            <w:tcBorders>
              <w:top w:val="single" w:sz="8" w:space="0" w:color="auto"/>
              <w:left w:val="single" w:sz="8" w:space="0" w:color="auto"/>
              <w:bottom w:val="nil"/>
              <w:right w:val="single" w:sz="8" w:space="0" w:color="auto"/>
            </w:tcBorders>
            <w:shd w:val="clear" w:color="000000" w:fill="203764"/>
            <w:vAlign w:val="center"/>
            <w:hideMark/>
          </w:tcPr>
          <w:p w14:paraId="54FB6C6E" w14:textId="77777777" w:rsidR="00C356B1" w:rsidRPr="00F36957" w:rsidRDefault="00C356B1" w:rsidP="00F36957">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4C7BA235" w14:textId="77777777" w:rsidR="00C356B1" w:rsidRPr="00F36957" w:rsidRDefault="00C356B1" w:rsidP="00F36957">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Referencia</w:t>
            </w:r>
          </w:p>
        </w:tc>
      </w:tr>
      <w:tr w:rsidR="00C356B1" w:rsidRPr="0071104F" w14:paraId="70A1F6D4" w14:textId="77777777" w:rsidTr="00C356B1">
        <w:trPr>
          <w:trHeight w:val="320"/>
        </w:trPr>
        <w:tc>
          <w:tcPr>
            <w:tcW w:w="1646" w:type="dxa"/>
            <w:gridSpan w:val="3"/>
            <w:vMerge/>
            <w:tcBorders>
              <w:top w:val="single" w:sz="8" w:space="0" w:color="auto"/>
              <w:left w:val="single" w:sz="8" w:space="0" w:color="auto"/>
              <w:bottom w:val="nil"/>
              <w:right w:val="single" w:sz="8" w:space="0" w:color="000000"/>
            </w:tcBorders>
            <w:vAlign w:val="center"/>
            <w:hideMark/>
          </w:tcPr>
          <w:p w14:paraId="3CADF5E3" w14:textId="77777777" w:rsidR="00C356B1" w:rsidRPr="00F36957" w:rsidRDefault="00C356B1" w:rsidP="00F36957">
            <w:pPr>
              <w:rPr>
                <w:rFonts w:ascii="Arial Narrow" w:eastAsia="Times New Roman" w:hAnsi="Arial Narrow"/>
                <w:b/>
                <w:bCs/>
                <w:color w:val="FFFFFF"/>
                <w:sz w:val="22"/>
                <w:szCs w:val="22"/>
              </w:rPr>
            </w:pPr>
          </w:p>
        </w:tc>
        <w:tc>
          <w:tcPr>
            <w:tcW w:w="3164" w:type="dxa"/>
            <w:vMerge/>
            <w:tcBorders>
              <w:top w:val="single" w:sz="8" w:space="0" w:color="auto"/>
              <w:left w:val="single" w:sz="8" w:space="0" w:color="auto"/>
              <w:bottom w:val="nil"/>
              <w:right w:val="single" w:sz="8" w:space="0" w:color="auto"/>
            </w:tcBorders>
            <w:vAlign w:val="center"/>
            <w:hideMark/>
          </w:tcPr>
          <w:p w14:paraId="78BED902" w14:textId="77777777" w:rsidR="00C356B1" w:rsidRPr="00F36957" w:rsidRDefault="00C356B1" w:rsidP="00F36957">
            <w:pPr>
              <w:rPr>
                <w:rFonts w:ascii="Arial Narrow" w:eastAsia="Times New Roman" w:hAnsi="Arial Narrow"/>
                <w:b/>
                <w:bCs/>
                <w:color w:val="FFFFFF"/>
                <w:sz w:val="22"/>
                <w:szCs w:val="22"/>
              </w:rPr>
            </w:pPr>
          </w:p>
        </w:tc>
        <w:tc>
          <w:tcPr>
            <w:tcW w:w="2329" w:type="dxa"/>
            <w:tcBorders>
              <w:top w:val="nil"/>
              <w:left w:val="nil"/>
              <w:bottom w:val="nil"/>
              <w:right w:val="single" w:sz="8" w:space="0" w:color="auto"/>
            </w:tcBorders>
            <w:shd w:val="clear" w:color="000000" w:fill="203764"/>
            <w:vAlign w:val="center"/>
            <w:hideMark/>
          </w:tcPr>
          <w:p w14:paraId="4C980FDF" w14:textId="77777777" w:rsidR="00C356B1" w:rsidRPr="00F36957" w:rsidRDefault="00C356B1" w:rsidP="00F36957">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Norma</w:t>
            </w:r>
          </w:p>
        </w:tc>
        <w:tc>
          <w:tcPr>
            <w:tcW w:w="1923" w:type="dxa"/>
            <w:tcBorders>
              <w:top w:val="nil"/>
              <w:left w:val="nil"/>
              <w:bottom w:val="nil"/>
              <w:right w:val="single" w:sz="8" w:space="0" w:color="auto"/>
            </w:tcBorders>
            <w:shd w:val="clear" w:color="000000" w:fill="203764"/>
            <w:vAlign w:val="center"/>
            <w:hideMark/>
          </w:tcPr>
          <w:p w14:paraId="00A5B874" w14:textId="01DF38FC" w:rsidR="00C356B1" w:rsidRPr="0071104F" w:rsidRDefault="0071104F" w:rsidP="00F36957">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02F9D" w:rsidRPr="00F36957" w14:paraId="12FF1C6A" w14:textId="77777777" w:rsidTr="00C356B1">
        <w:trPr>
          <w:trHeight w:val="556"/>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7282B" w14:textId="77777777" w:rsidR="00C356B1" w:rsidRPr="00F36957" w:rsidRDefault="00C356B1" w:rsidP="00F3695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2C1CB018" w14:textId="77777777" w:rsidR="00C356B1" w:rsidRPr="00F36957" w:rsidRDefault="00C356B1" w:rsidP="00F3695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199</w:t>
            </w:r>
          </w:p>
        </w:tc>
        <w:tc>
          <w:tcPr>
            <w:tcW w:w="537" w:type="dxa"/>
            <w:tcBorders>
              <w:top w:val="single" w:sz="8" w:space="0" w:color="auto"/>
              <w:left w:val="nil"/>
              <w:bottom w:val="single" w:sz="8" w:space="0" w:color="auto"/>
              <w:right w:val="single" w:sz="8" w:space="0" w:color="auto"/>
            </w:tcBorders>
            <w:shd w:val="clear" w:color="auto" w:fill="auto"/>
            <w:vAlign w:val="center"/>
            <w:hideMark/>
          </w:tcPr>
          <w:p w14:paraId="639C6494" w14:textId="77777777" w:rsidR="00C356B1" w:rsidRPr="00F36957" w:rsidRDefault="00C356B1" w:rsidP="00F36957">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 </w:t>
            </w:r>
          </w:p>
        </w:tc>
        <w:tc>
          <w:tcPr>
            <w:tcW w:w="3164" w:type="dxa"/>
            <w:tcBorders>
              <w:top w:val="single" w:sz="8" w:space="0" w:color="auto"/>
              <w:left w:val="nil"/>
              <w:bottom w:val="single" w:sz="8" w:space="0" w:color="auto"/>
              <w:right w:val="single" w:sz="8" w:space="0" w:color="auto"/>
            </w:tcBorders>
            <w:shd w:val="clear" w:color="auto" w:fill="auto"/>
            <w:vAlign w:val="center"/>
            <w:hideMark/>
          </w:tcPr>
          <w:p w14:paraId="01CB7622" w14:textId="77777777" w:rsidR="00C356B1" w:rsidRPr="00F36957" w:rsidRDefault="00C356B1" w:rsidP="00F3695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Informes internos de deterioro de activos generadores de efectivo</w:t>
            </w:r>
          </w:p>
        </w:tc>
        <w:tc>
          <w:tcPr>
            <w:tcW w:w="2329" w:type="dxa"/>
            <w:tcBorders>
              <w:top w:val="single" w:sz="8" w:space="0" w:color="auto"/>
              <w:left w:val="nil"/>
              <w:bottom w:val="single" w:sz="8" w:space="0" w:color="auto"/>
              <w:right w:val="single" w:sz="8" w:space="0" w:color="auto"/>
            </w:tcBorders>
            <w:shd w:val="clear" w:color="auto" w:fill="auto"/>
            <w:vAlign w:val="center"/>
            <w:hideMark/>
          </w:tcPr>
          <w:p w14:paraId="52BC5834" w14:textId="77777777" w:rsidR="00C356B1" w:rsidRPr="00F36957" w:rsidRDefault="00C356B1" w:rsidP="00F36957">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26, </w:t>
            </w:r>
          </w:p>
          <w:p w14:paraId="757FAD32" w14:textId="437DF8BE" w:rsidR="00C356B1" w:rsidRPr="00F36957" w:rsidRDefault="00C356B1" w:rsidP="00F36957">
            <w:pPr>
              <w:jc w:val="both"/>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t>Párrafo 27.</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3E2455DF" w14:textId="77777777" w:rsidR="00C356B1" w:rsidRPr="00F36957" w:rsidRDefault="00C356B1" w:rsidP="00F36957">
            <w:pP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 </w:t>
            </w:r>
          </w:p>
        </w:tc>
      </w:tr>
    </w:tbl>
    <w:p w14:paraId="6E9EABF5"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p w14:paraId="4BD003DC" w14:textId="5208720A" w:rsidR="00C356B1" w:rsidRDefault="00C356B1" w:rsidP="00C356B1">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1.199.0.01</w:t>
      </w:r>
      <w:r w:rsidRPr="00F02F9D">
        <w:rPr>
          <w:rFonts w:ascii="Arial" w:eastAsia="Arial" w:hAnsi="Arial"/>
          <w:bCs/>
          <w:sz w:val="22"/>
          <w:szCs w:val="22"/>
          <w:lang w:val="es-CR"/>
        </w:rPr>
        <w:tab/>
        <w:t xml:space="preserve">Los informes internos sobre los que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sustente evidencias de deterioro de activos, deberán estar suscriptos por un profesional o técnico con experiencia en el activo objeto de evaluación y por el contador de la Institución, o funcionario que cumpla sus funciones.</w:t>
      </w:r>
    </w:p>
    <w:p w14:paraId="3D4C2E37" w14:textId="77777777" w:rsidR="00F36957" w:rsidRPr="00F02F9D" w:rsidRDefault="00F36957" w:rsidP="00C356B1">
      <w:pPr>
        <w:spacing w:line="238" w:lineRule="auto"/>
        <w:ind w:left="1134" w:right="260" w:hanging="1134"/>
        <w:jc w:val="both"/>
        <w:rPr>
          <w:rFonts w:ascii="Arial" w:eastAsia="Arial" w:hAnsi="Arial"/>
          <w:bCs/>
          <w:sz w:val="22"/>
          <w:szCs w:val="22"/>
          <w:lang w:val="es-CR"/>
        </w:rPr>
      </w:pPr>
    </w:p>
    <w:p w14:paraId="0630F8CD" w14:textId="77777777" w:rsidR="00C356B1" w:rsidRPr="00F02F9D" w:rsidRDefault="00C356B1" w:rsidP="00C356B1">
      <w:pPr>
        <w:spacing w:line="9" w:lineRule="exact"/>
        <w:rPr>
          <w:rFonts w:ascii="Arial" w:eastAsia="Times New Roman" w:hAnsi="Arial"/>
          <w:bCs/>
          <w:sz w:val="22"/>
          <w:szCs w:val="22"/>
          <w:lang w:val="es-CR"/>
        </w:rPr>
      </w:pPr>
    </w:p>
    <w:p w14:paraId="1FC576D7" w14:textId="3DD65A5C" w:rsidR="00C356B1" w:rsidRDefault="00C356B1" w:rsidP="00C356B1">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1.199.0.02</w:t>
      </w:r>
      <w:r w:rsidRPr="00F02F9D">
        <w:rPr>
          <w:rFonts w:ascii="Arial" w:eastAsia="Arial" w:hAnsi="Arial"/>
          <w:bCs/>
          <w:sz w:val="22"/>
          <w:szCs w:val="22"/>
          <w:lang w:val="es-CR"/>
        </w:rPr>
        <w:tab/>
        <w:t>Dichos informes deberán contener como mínimo la siguiente información, o en cada caso, la indicación de las razones por las cuales la misma no puede obtenerse:</w:t>
      </w:r>
    </w:p>
    <w:p w14:paraId="40B0095F" w14:textId="77777777" w:rsidR="00F36957" w:rsidRPr="00F02F9D" w:rsidRDefault="00F36957" w:rsidP="00C356B1">
      <w:pPr>
        <w:spacing w:line="238" w:lineRule="auto"/>
        <w:ind w:left="1134" w:right="260" w:hanging="1134"/>
        <w:jc w:val="both"/>
        <w:rPr>
          <w:rFonts w:ascii="Arial" w:eastAsia="Arial" w:hAnsi="Arial"/>
          <w:bCs/>
          <w:sz w:val="22"/>
          <w:szCs w:val="22"/>
          <w:lang w:val="es-CR"/>
        </w:rPr>
      </w:pPr>
    </w:p>
    <w:p w14:paraId="756CC994" w14:textId="77777777" w:rsidR="00C356B1" w:rsidRPr="00F02F9D" w:rsidRDefault="00C356B1" w:rsidP="00C356B1">
      <w:pPr>
        <w:spacing w:line="10" w:lineRule="exact"/>
        <w:rPr>
          <w:rFonts w:ascii="Arial" w:eastAsia="Times New Roman" w:hAnsi="Arial"/>
          <w:bCs/>
          <w:sz w:val="22"/>
          <w:szCs w:val="22"/>
          <w:lang w:val="es-CR"/>
        </w:rPr>
      </w:pPr>
    </w:p>
    <w:p w14:paraId="283CD404" w14:textId="41F1B2F1" w:rsidR="00C356B1" w:rsidRPr="00F36957" w:rsidRDefault="00C356B1" w:rsidP="00F36957">
      <w:pPr>
        <w:numPr>
          <w:ilvl w:val="0"/>
          <w:numId w:val="62"/>
        </w:numPr>
        <w:spacing w:after="120"/>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Importe en libros del activo objeto de evaluación, discriminando su importe bruto y su consumo acumulado (depreciaciones o amortizaciones y pérdidas por deterioro);</w:t>
      </w:r>
    </w:p>
    <w:p w14:paraId="14ECA820" w14:textId="5C321C7E" w:rsidR="00C356B1" w:rsidRPr="00F36957" w:rsidRDefault="00C356B1" w:rsidP="00F36957">
      <w:pPr>
        <w:numPr>
          <w:ilvl w:val="0"/>
          <w:numId w:val="62"/>
        </w:numPr>
        <w:spacing w:after="120"/>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Valor razonable menos los costos necesarios para la venta y las bases sobre las cuales se determinó el mismo, o las razones por las cuales no resulta factible su estimación;</w:t>
      </w:r>
    </w:p>
    <w:p w14:paraId="0AE6768A" w14:textId="67CFF44D" w:rsidR="00C356B1" w:rsidRPr="00F36957" w:rsidRDefault="00C356B1" w:rsidP="00F36957">
      <w:pPr>
        <w:numPr>
          <w:ilvl w:val="0"/>
          <w:numId w:val="62"/>
        </w:numPr>
        <w:spacing w:after="120"/>
        <w:ind w:left="1418" w:right="280" w:hanging="284"/>
        <w:rPr>
          <w:rFonts w:ascii="Arial" w:eastAsia="Arial" w:hAnsi="Arial"/>
          <w:bCs/>
          <w:sz w:val="22"/>
          <w:szCs w:val="22"/>
          <w:lang w:val="es-CR"/>
        </w:rPr>
      </w:pPr>
      <w:r w:rsidRPr="00F02F9D">
        <w:rPr>
          <w:rFonts w:ascii="Arial" w:eastAsia="Arial" w:hAnsi="Arial"/>
          <w:bCs/>
          <w:sz w:val="22"/>
          <w:szCs w:val="22"/>
          <w:lang w:val="es-CR"/>
        </w:rPr>
        <w:t>Valor de uso o las razones por las cuales no resulta procedente su determinación.</w:t>
      </w:r>
    </w:p>
    <w:p w14:paraId="2781C371" w14:textId="15D76AE7" w:rsidR="00C356B1" w:rsidRPr="00F36957" w:rsidRDefault="00C356B1" w:rsidP="00F36957">
      <w:pPr>
        <w:numPr>
          <w:ilvl w:val="0"/>
          <w:numId w:val="62"/>
        </w:numPr>
        <w:spacing w:after="120"/>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Comparación entre los flujos de efectivo presupuestados y los flujos de efectivo reales y proyectados hasta los siguientes doce meses, que incluyan:</w:t>
      </w:r>
    </w:p>
    <w:p w14:paraId="38339447" w14:textId="77777777" w:rsidR="00C356B1" w:rsidRPr="00F02F9D" w:rsidRDefault="00C356B1" w:rsidP="00F36957">
      <w:pPr>
        <w:pStyle w:val="Prrafodelista"/>
        <w:numPr>
          <w:ilvl w:val="2"/>
          <w:numId w:val="63"/>
        </w:numPr>
        <w:spacing w:after="120"/>
        <w:ind w:left="1843" w:hanging="142"/>
        <w:contextualSpacing w:val="0"/>
        <w:rPr>
          <w:rFonts w:ascii="Arial" w:eastAsia="Arial" w:hAnsi="Arial"/>
          <w:bCs/>
          <w:sz w:val="22"/>
          <w:szCs w:val="22"/>
          <w:lang w:val="es-CR"/>
        </w:rPr>
      </w:pPr>
      <w:r w:rsidRPr="00F02F9D">
        <w:rPr>
          <w:rFonts w:ascii="Arial" w:eastAsia="Arial" w:hAnsi="Arial"/>
          <w:bCs/>
          <w:sz w:val="22"/>
          <w:szCs w:val="22"/>
          <w:lang w:val="es-CR"/>
        </w:rPr>
        <w:t>Flujos de ingresos de operación del activo.</w:t>
      </w:r>
    </w:p>
    <w:p w14:paraId="0DE24DD7" w14:textId="4B0D7A1C" w:rsidR="00C356B1" w:rsidRPr="00F36957" w:rsidRDefault="00C356B1" w:rsidP="00F36957">
      <w:pPr>
        <w:pStyle w:val="Prrafodelista"/>
        <w:numPr>
          <w:ilvl w:val="2"/>
          <w:numId w:val="63"/>
        </w:numPr>
        <w:spacing w:after="120"/>
        <w:ind w:left="1843" w:right="260" w:hanging="142"/>
        <w:contextualSpacing w:val="0"/>
        <w:rPr>
          <w:rFonts w:ascii="Arial" w:eastAsia="Arial" w:hAnsi="Arial"/>
          <w:bCs/>
          <w:sz w:val="22"/>
          <w:szCs w:val="22"/>
          <w:lang w:val="es-CR"/>
        </w:rPr>
      </w:pPr>
      <w:r w:rsidRPr="00F02F9D">
        <w:rPr>
          <w:rFonts w:ascii="Arial" w:eastAsia="Arial" w:hAnsi="Arial"/>
          <w:bCs/>
          <w:sz w:val="22"/>
          <w:szCs w:val="22"/>
          <w:lang w:val="es-CR"/>
        </w:rPr>
        <w:t>Flujos de salida de efectivo para la adquisición del activo y las necesidades para operar con él o mantenerlo.</w:t>
      </w:r>
    </w:p>
    <w:p w14:paraId="3DD0EBA0" w14:textId="77777777" w:rsidR="00C356B1" w:rsidRPr="00F02F9D" w:rsidRDefault="00C356B1" w:rsidP="00F36957">
      <w:pPr>
        <w:pStyle w:val="Prrafodelista"/>
        <w:numPr>
          <w:ilvl w:val="2"/>
          <w:numId w:val="63"/>
        </w:numPr>
        <w:spacing w:after="120"/>
        <w:ind w:left="1843" w:hanging="142"/>
        <w:contextualSpacing w:val="0"/>
        <w:rPr>
          <w:rFonts w:ascii="Arial" w:eastAsia="Arial" w:hAnsi="Arial"/>
          <w:bCs/>
          <w:sz w:val="22"/>
          <w:szCs w:val="22"/>
          <w:lang w:val="es-CR"/>
        </w:rPr>
      </w:pPr>
      <w:r w:rsidRPr="00F02F9D">
        <w:rPr>
          <w:rFonts w:ascii="Arial" w:eastAsia="Arial" w:hAnsi="Arial"/>
          <w:bCs/>
          <w:sz w:val="22"/>
          <w:szCs w:val="22"/>
          <w:lang w:val="es-CR"/>
        </w:rPr>
        <w:t>Otros flujos de ingreso y salida de efectivo vinculados al activo.</w:t>
      </w:r>
    </w:p>
    <w:p w14:paraId="12EC2DA6" w14:textId="77777777" w:rsidR="00C356B1" w:rsidRPr="00F02F9D" w:rsidRDefault="00C356B1" w:rsidP="00C356B1">
      <w:pPr>
        <w:spacing w:line="11" w:lineRule="exact"/>
        <w:ind w:left="1843" w:hanging="142"/>
        <w:rPr>
          <w:rFonts w:ascii="Arial" w:eastAsia="Arial" w:hAnsi="Arial"/>
          <w:bCs/>
          <w:sz w:val="22"/>
          <w:szCs w:val="22"/>
          <w:lang w:val="es-CR"/>
        </w:rPr>
      </w:pPr>
    </w:p>
    <w:p w14:paraId="099FE897" w14:textId="77777777" w:rsidR="00C356B1" w:rsidRPr="00F02F9D" w:rsidRDefault="00C356B1">
      <w:pPr>
        <w:pStyle w:val="Prrafodelista"/>
        <w:numPr>
          <w:ilvl w:val="2"/>
          <w:numId w:val="63"/>
        </w:numPr>
        <w:spacing w:line="0" w:lineRule="atLeast"/>
        <w:ind w:left="1843" w:hanging="142"/>
        <w:rPr>
          <w:rFonts w:ascii="Arial" w:hAnsi="Arial"/>
          <w:bCs/>
          <w:sz w:val="22"/>
          <w:szCs w:val="22"/>
          <w:lang w:val="es-CR"/>
        </w:rPr>
      </w:pPr>
      <w:r w:rsidRPr="00F02F9D">
        <w:rPr>
          <w:rFonts w:ascii="Arial" w:eastAsia="Arial" w:hAnsi="Arial"/>
          <w:bCs/>
          <w:sz w:val="22"/>
          <w:szCs w:val="22"/>
          <w:lang w:val="es-CR"/>
        </w:rPr>
        <w:t>Flujos netos de efectivo referidos a la operación del activo en todas sus fases.</w:t>
      </w:r>
    </w:p>
    <w:p w14:paraId="19438715"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p w14:paraId="3567DE15"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tbl>
      <w:tblPr>
        <w:tblW w:w="9062" w:type="dxa"/>
        <w:tblLook w:val="04A0" w:firstRow="1" w:lastRow="0" w:firstColumn="1" w:lastColumn="0" w:noHBand="0" w:noVBand="1"/>
      </w:tblPr>
      <w:tblGrid>
        <w:gridCol w:w="557"/>
        <w:gridCol w:w="550"/>
        <w:gridCol w:w="537"/>
        <w:gridCol w:w="3166"/>
        <w:gridCol w:w="2312"/>
        <w:gridCol w:w="1940"/>
      </w:tblGrid>
      <w:tr w:rsidR="00CD7AB5" w:rsidRPr="00F36957" w14:paraId="11759C12" w14:textId="77777777" w:rsidTr="00F060C7">
        <w:trPr>
          <w:trHeight w:val="320"/>
        </w:trPr>
        <w:tc>
          <w:tcPr>
            <w:tcW w:w="164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F828D37" w14:textId="77777777" w:rsidR="00CD7AB5" w:rsidRPr="00F36957" w:rsidRDefault="00CD7AB5">
            <w:pPr>
              <w:jc w:val="center"/>
              <w:rPr>
                <w:rFonts w:ascii="Arial Narrow" w:hAnsi="Arial Narrow"/>
                <w:b/>
                <w:bCs/>
                <w:color w:val="FFFFFF"/>
                <w:sz w:val="22"/>
                <w:szCs w:val="22"/>
              </w:rPr>
            </w:pPr>
            <w:r w:rsidRPr="00F36957">
              <w:rPr>
                <w:rFonts w:ascii="Arial Narrow" w:hAnsi="Arial Narrow"/>
                <w:b/>
                <w:bCs/>
                <w:color w:val="FFFFFF"/>
                <w:sz w:val="22"/>
                <w:szCs w:val="22"/>
              </w:rPr>
              <w:t>Norma / Política</w:t>
            </w:r>
          </w:p>
        </w:tc>
        <w:tc>
          <w:tcPr>
            <w:tcW w:w="3166"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704B20" w14:textId="77777777" w:rsidR="00CD7AB5" w:rsidRPr="00F36957" w:rsidRDefault="00CD7AB5">
            <w:pPr>
              <w:jc w:val="center"/>
              <w:rPr>
                <w:rFonts w:ascii="Arial Narrow" w:hAnsi="Arial Narrow"/>
                <w:b/>
                <w:bCs/>
                <w:color w:val="FFFFFF"/>
                <w:sz w:val="22"/>
                <w:szCs w:val="22"/>
              </w:rPr>
            </w:pPr>
            <w:r w:rsidRPr="00F36957">
              <w:rPr>
                <w:rFonts w:ascii="Arial Narrow"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14FEE3CB" w14:textId="77777777" w:rsidR="00CD7AB5" w:rsidRPr="00F36957" w:rsidRDefault="00CD7AB5">
            <w:pPr>
              <w:jc w:val="center"/>
              <w:rPr>
                <w:rFonts w:ascii="Arial Narrow" w:hAnsi="Arial Narrow"/>
                <w:b/>
                <w:bCs/>
                <w:color w:val="FFFFFF"/>
                <w:sz w:val="22"/>
                <w:szCs w:val="22"/>
              </w:rPr>
            </w:pPr>
            <w:r w:rsidRPr="00F36957">
              <w:rPr>
                <w:rFonts w:ascii="Arial Narrow" w:hAnsi="Arial Narrow"/>
                <w:b/>
                <w:bCs/>
                <w:color w:val="FFFFFF"/>
                <w:sz w:val="22"/>
                <w:szCs w:val="22"/>
              </w:rPr>
              <w:t>Referencia</w:t>
            </w:r>
          </w:p>
        </w:tc>
      </w:tr>
      <w:tr w:rsidR="00CD7AB5" w:rsidRPr="0071104F" w14:paraId="0470467B" w14:textId="77777777" w:rsidTr="00F060C7">
        <w:trPr>
          <w:trHeight w:val="320"/>
        </w:trPr>
        <w:tc>
          <w:tcPr>
            <w:tcW w:w="1644" w:type="dxa"/>
            <w:gridSpan w:val="3"/>
            <w:vMerge/>
            <w:tcBorders>
              <w:top w:val="single" w:sz="8" w:space="0" w:color="auto"/>
              <w:left w:val="single" w:sz="8" w:space="0" w:color="auto"/>
              <w:bottom w:val="nil"/>
              <w:right w:val="single" w:sz="8" w:space="0" w:color="000000"/>
            </w:tcBorders>
            <w:vAlign w:val="center"/>
            <w:hideMark/>
          </w:tcPr>
          <w:p w14:paraId="67F1104A" w14:textId="77777777" w:rsidR="00CD7AB5" w:rsidRPr="00F36957" w:rsidRDefault="00CD7AB5">
            <w:pPr>
              <w:rPr>
                <w:rFonts w:ascii="Arial Narrow" w:hAnsi="Arial Narrow"/>
                <w:b/>
                <w:bCs/>
                <w:color w:val="FFFFFF"/>
                <w:sz w:val="22"/>
                <w:szCs w:val="22"/>
              </w:rPr>
            </w:pPr>
          </w:p>
        </w:tc>
        <w:tc>
          <w:tcPr>
            <w:tcW w:w="3166" w:type="dxa"/>
            <w:vMerge/>
            <w:tcBorders>
              <w:top w:val="single" w:sz="8" w:space="0" w:color="auto"/>
              <w:left w:val="single" w:sz="8" w:space="0" w:color="auto"/>
              <w:bottom w:val="nil"/>
              <w:right w:val="single" w:sz="8" w:space="0" w:color="auto"/>
            </w:tcBorders>
            <w:vAlign w:val="center"/>
            <w:hideMark/>
          </w:tcPr>
          <w:p w14:paraId="260AD81A" w14:textId="77777777" w:rsidR="00CD7AB5" w:rsidRPr="00F36957" w:rsidRDefault="00CD7AB5">
            <w:pPr>
              <w:rPr>
                <w:rFonts w:ascii="Arial Narrow" w:hAnsi="Arial Narrow"/>
                <w:b/>
                <w:bCs/>
                <w:color w:val="FFFFFF"/>
                <w:sz w:val="22"/>
                <w:szCs w:val="22"/>
              </w:rPr>
            </w:pPr>
          </w:p>
        </w:tc>
        <w:tc>
          <w:tcPr>
            <w:tcW w:w="2312" w:type="dxa"/>
            <w:tcBorders>
              <w:top w:val="nil"/>
              <w:left w:val="nil"/>
              <w:bottom w:val="nil"/>
              <w:right w:val="single" w:sz="8" w:space="0" w:color="auto"/>
            </w:tcBorders>
            <w:shd w:val="clear" w:color="000000" w:fill="203764"/>
            <w:vAlign w:val="center"/>
            <w:hideMark/>
          </w:tcPr>
          <w:p w14:paraId="09112288" w14:textId="77777777" w:rsidR="00CD7AB5" w:rsidRPr="00F36957" w:rsidRDefault="00CD7AB5">
            <w:pPr>
              <w:jc w:val="center"/>
              <w:rPr>
                <w:rFonts w:ascii="Arial Narrow" w:hAnsi="Arial Narrow"/>
                <w:b/>
                <w:bCs/>
                <w:color w:val="FFFFFF"/>
                <w:sz w:val="22"/>
                <w:szCs w:val="22"/>
              </w:rPr>
            </w:pPr>
            <w:r w:rsidRPr="00F36957">
              <w:rPr>
                <w:rFonts w:ascii="Arial Narrow" w:hAnsi="Arial Narrow"/>
                <w:b/>
                <w:bCs/>
                <w:color w:val="FFFFFF"/>
                <w:sz w:val="22"/>
                <w:szCs w:val="22"/>
              </w:rPr>
              <w:t>Norma</w:t>
            </w:r>
          </w:p>
        </w:tc>
        <w:tc>
          <w:tcPr>
            <w:tcW w:w="1940" w:type="dxa"/>
            <w:tcBorders>
              <w:top w:val="nil"/>
              <w:left w:val="nil"/>
              <w:bottom w:val="nil"/>
              <w:right w:val="single" w:sz="8" w:space="0" w:color="auto"/>
            </w:tcBorders>
            <w:shd w:val="clear" w:color="000000" w:fill="203764"/>
            <w:vAlign w:val="center"/>
            <w:hideMark/>
          </w:tcPr>
          <w:p w14:paraId="71668103" w14:textId="1F723CC3" w:rsidR="00CD7AB5" w:rsidRPr="0071104F" w:rsidRDefault="0071104F">
            <w:pPr>
              <w:jc w:val="center"/>
              <w:rPr>
                <w:rFonts w:ascii="Arial Narrow"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CD7AB5" w:rsidRPr="00F36957" w14:paraId="1F686BA2" w14:textId="77777777" w:rsidTr="00F060C7">
        <w:trPr>
          <w:trHeight w:val="60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4C8FDC" w14:textId="77777777" w:rsidR="00CD7AB5" w:rsidRPr="00F36957" w:rsidRDefault="00CD7AB5">
            <w:pPr>
              <w:jc w:val="center"/>
              <w:rPr>
                <w:rFonts w:ascii="Arial Narrow" w:hAnsi="Arial Narrow"/>
                <w:b/>
                <w:bCs/>
                <w:color w:val="000000"/>
                <w:sz w:val="22"/>
                <w:szCs w:val="22"/>
              </w:rPr>
            </w:pPr>
            <w:r w:rsidRPr="00F36957">
              <w:rPr>
                <w:rFonts w:ascii="Arial Narrow"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2E37C716" w14:textId="77777777" w:rsidR="00CD7AB5" w:rsidRPr="00F36957" w:rsidRDefault="00CD7AB5">
            <w:pPr>
              <w:jc w:val="center"/>
              <w:rPr>
                <w:rFonts w:ascii="Arial Narrow" w:hAnsi="Arial Narrow"/>
                <w:b/>
                <w:bCs/>
                <w:color w:val="000000"/>
                <w:sz w:val="22"/>
                <w:szCs w:val="22"/>
              </w:rPr>
            </w:pPr>
            <w:r w:rsidRPr="00F36957">
              <w:rPr>
                <w:rFonts w:ascii="Arial Narrow" w:hAnsi="Arial Narrow"/>
                <w:b/>
                <w:bCs/>
                <w:color w:val="000000"/>
                <w:sz w:val="22"/>
                <w:szCs w:val="22"/>
              </w:rPr>
              <w:t>200</w:t>
            </w:r>
          </w:p>
        </w:tc>
        <w:tc>
          <w:tcPr>
            <w:tcW w:w="537" w:type="dxa"/>
            <w:tcBorders>
              <w:top w:val="single" w:sz="8" w:space="0" w:color="auto"/>
              <w:left w:val="nil"/>
              <w:bottom w:val="single" w:sz="8" w:space="0" w:color="auto"/>
              <w:right w:val="single" w:sz="8" w:space="0" w:color="auto"/>
            </w:tcBorders>
            <w:shd w:val="clear" w:color="auto" w:fill="auto"/>
            <w:vAlign w:val="center"/>
            <w:hideMark/>
          </w:tcPr>
          <w:p w14:paraId="2CDD5A81" w14:textId="77777777" w:rsidR="00CD7AB5" w:rsidRPr="00F36957" w:rsidRDefault="00CD7AB5">
            <w:pPr>
              <w:jc w:val="center"/>
              <w:rPr>
                <w:rFonts w:ascii="Arial Narrow" w:hAnsi="Arial Narrow"/>
                <w:b/>
                <w:bCs/>
                <w:color w:val="000000"/>
                <w:sz w:val="22"/>
                <w:szCs w:val="22"/>
              </w:rPr>
            </w:pPr>
            <w:r w:rsidRPr="00F36957">
              <w:rPr>
                <w:rFonts w:ascii="Arial Narrow" w:hAnsi="Arial Narrow"/>
                <w:b/>
                <w:bCs/>
                <w:color w:val="000000"/>
                <w:sz w:val="22"/>
                <w:szCs w:val="22"/>
              </w:rPr>
              <w:t xml:space="preserve"> </w:t>
            </w:r>
          </w:p>
        </w:tc>
        <w:tc>
          <w:tcPr>
            <w:tcW w:w="3166" w:type="dxa"/>
            <w:tcBorders>
              <w:top w:val="single" w:sz="8" w:space="0" w:color="auto"/>
              <w:left w:val="nil"/>
              <w:bottom w:val="single" w:sz="8" w:space="0" w:color="auto"/>
              <w:right w:val="single" w:sz="8" w:space="0" w:color="auto"/>
            </w:tcBorders>
            <w:shd w:val="clear" w:color="auto" w:fill="auto"/>
            <w:vAlign w:val="center"/>
            <w:hideMark/>
          </w:tcPr>
          <w:p w14:paraId="42E5D397" w14:textId="77777777" w:rsidR="00CD7AB5" w:rsidRPr="00F36957" w:rsidRDefault="00CD7AB5">
            <w:pPr>
              <w:jc w:val="both"/>
              <w:rPr>
                <w:rFonts w:ascii="Arial Narrow" w:hAnsi="Arial Narrow"/>
                <w:b/>
                <w:bCs/>
                <w:color w:val="000000"/>
                <w:sz w:val="22"/>
                <w:szCs w:val="22"/>
                <w:lang w:val="es-CR"/>
              </w:rPr>
            </w:pPr>
            <w:r w:rsidRPr="00F36957">
              <w:rPr>
                <w:rFonts w:ascii="Arial Narrow" w:hAnsi="Arial Narrow"/>
                <w:b/>
                <w:bCs/>
                <w:color w:val="000000"/>
                <w:sz w:val="22"/>
                <w:szCs w:val="22"/>
                <w:lang w:val="es-CR"/>
              </w:rPr>
              <w:t>Valor en uso de activos generadores de efectivo.</w:t>
            </w:r>
          </w:p>
        </w:tc>
        <w:tc>
          <w:tcPr>
            <w:tcW w:w="2312" w:type="dxa"/>
            <w:tcBorders>
              <w:top w:val="single" w:sz="8" w:space="0" w:color="auto"/>
              <w:left w:val="nil"/>
              <w:bottom w:val="single" w:sz="8" w:space="0" w:color="auto"/>
              <w:right w:val="single" w:sz="8" w:space="0" w:color="auto"/>
            </w:tcBorders>
            <w:shd w:val="clear" w:color="auto" w:fill="auto"/>
            <w:vAlign w:val="center"/>
            <w:hideMark/>
          </w:tcPr>
          <w:p w14:paraId="6EB3C803" w14:textId="77777777" w:rsidR="00F060C7" w:rsidRPr="00F36957" w:rsidRDefault="00CD7AB5">
            <w:pPr>
              <w:jc w:val="both"/>
              <w:rPr>
                <w:rFonts w:ascii="Arial Narrow" w:hAnsi="Arial Narrow"/>
                <w:b/>
                <w:bCs/>
                <w:color w:val="000000"/>
                <w:sz w:val="22"/>
                <w:szCs w:val="22"/>
                <w:lang w:val="es-CR"/>
              </w:rPr>
            </w:pPr>
            <w:r w:rsidRPr="00F36957">
              <w:rPr>
                <w:rFonts w:ascii="Arial Narrow" w:hAnsi="Arial Narrow"/>
                <w:b/>
                <w:bCs/>
                <w:color w:val="000000"/>
                <w:sz w:val="22"/>
                <w:szCs w:val="22"/>
                <w:lang w:val="es-CR"/>
              </w:rPr>
              <w:t xml:space="preserve">NICSP Nº 26, </w:t>
            </w:r>
          </w:p>
          <w:p w14:paraId="05F321B3" w14:textId="061BAC75" w:rsidR="00CD7AB5" w:rsidRPr="00F36957" w:rsidRDefault="00CD7AB5">
            <w:pPr>
              <w:jc w:val="both"/>
              <w:rPr>
                <w:rFonts w:ascii="Arial Narrow" w:hAnsi="Arial Narrow"/>
                <w:b/>
                <w:bCs/>
                <w:color w:val="000000"/>
                <w:sz w:val="22"/>
                <w:szCs w:val="22"/>
              </w:rPr>
            </w:pPr>
            <w:r w:rsidRPr="00F36957">
              <w:rPr>
                <w:rFonts w:ascii="Arial Narrow" w:hAnsi="Arial Narrow"/>
                <w:b/>
                <w:bCs/>
                <w:color w:val="000000"/>
                <w:sz w:val="22"/>
                <w:szCs w:val="22"/>
                <w:lang w:val="es-CR"/>
              </w:rPr>
              <w:t>Párrafos 8, 43 y 44.</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14:paraId="5B607B56" w14:textId="77777777" w:rsidR="00CD7AB5" w:rsidRPr="00F36957" w:rsidRDefault="00CD7AB5">
            <w:pPr>
              <w:jc w:val="center"/>
              <w:rPr>
                <w:rFonts w:ascii="Arial Narrow" w:hAnsi="Arial Narrow"/>
                <w:b/>
                <w:bCs/>
                <w:color w:val="000000"/>
                <w:sz w:val="22"/>
                <w:szCs w:val="22"/>
              </w:rPr>
            </w:pPr>
            <w:r w:rsidRPr="00F36957">
              <w:rPr>
                <w:rFonts w:ascii="Arial Narrow" w:hAnsi="Arial Narrow"/>
                <w:b/>
                <w:bCs/>
                <w:color w:val="000000"/>
                <w:sz w:val="22"/>
                <w:szCs w:val="22"/>
              </w:rPr>
              <w:t xml:space="preserve"> </w:t>
            </w:r>
          </w:p>
        </w:tc>
      </w:tr>
      <w:tr w:rsidR="00CD7AB5" w:rsidRPr="00F36957" w14:paraId="4BFD7897" w14:textId="77777777" w:rsidTr="00F060C7">
        <w:trPr>
          <w:trHeight w:val="44"/>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3F5F415" w14:textId="77777777" w:rsidR="00CD7AB5" w:rsidRPr="00F36957" w:rsidRDefault="00CD7AB5">
            <w:pPr>
              <w:jc w:val="center"/>
              <w:rPr>
                <w:rFonts w:ascii="Arial Narrow" w:hAnsi="Arial Narrow"/>
                <w:b/>
                <w:bCs/>
                <w:color w:val="000000"/>
                <w:sz w:val="22"/>
                <w:szCs w:val="22"/>
              </w:rPr>
            </w:pPr>
            <w:r w:rsidRPr="00F36957">
              <w:rPr>
                <w:rFonts w:ascii="Arial Narrow"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0DA16F06" w14:textId="77777777" w:rsidR="00CD7AB5" w:rsidRPr="00F36957" w:rsidRDefault="00CD7AB5">
            <w:pPr>
              <w:jc w:val="center"/>
              <w:rPr>
                <w:rFonts w:ascii="Arial Narrow" w:hAnsi="Arial Narrow"/>
                <w:b/>
                <w:bCs/>
                <w:color w:val="000000"/>
                <w:sz w:val="22"/>
                <w:szCs w:val="22"/>
              </w:rPr>
            </w:pPr>
            <w:r w:rsidRPr="00F36957">
              <w:rPr>
                <w:rFonts w:ascii="Arial Narrow" w:hAnsi="Arial Narrow"/>
                <w:b/>
                <w:bCs/>
                <w:color w:val="000000"/>
                <w:sz w:val="22"/>
                <w:szCs w:val="22"/>
              </w:rPr>
              <w:t>200</w:t>
            </w:r>
          </w:p>
        </w:tc>
        <w:tc>
          <w:tcPr>
            <w:tcW w:w="537" w:type="dxa"/>
            <w:tcBorders>
              <w:top w:val="nil"/>
              <w:left w:val="nil"/>
              <w:bottom w:val="single" w:sz="8" w:space="0" w:color="auto"/>
              <w:right w:val="single" w:sz="8" w:space="0" w:color="auto"/>
            </w:tcBorders>
            <w:shd w:val="clear" w:color="auto" w:fill="auto"/>
            <w:vAlign w:val="center"/>
            <w:hideMark/>
          </w:tcPr>
          <w:p w14:paraId="052CDECC" w14:textId="77777777" w:rsidR="00CD7AB5" w:rsidRPr="00F36957" w:rsidRDefault="00CD7AB5">
            <w:pPr>
              <w:jc w:val="center"/>
              <w:rPr>
                <w:rFonts w:ascii="Arial Narrow" w:hAnsi="Arial Narrow"/>
                <w:b/>
                <w:bCs/>
                <w:color w:val="000000"/>
                <w:sz w:val="22"/>
                <w:szCs w:val="22"/>
              </w:rPr>
            </w:pPr>
            <w:r w:rsidRPr="00F36957">
              <w:rPr>
                <w:rFonts w:ascii="Arial Narrow" w:hAnsi="Arial Narrow"/>
                <w:b/>
                <w:bCs/>
                <w:color w:val="000000"/>
                <w:sz w:val="22"/>
                <w:szCs w:val="22"/>
              </w:rPr>
              <w:t>1</w:t>
            </w:r>
          </w:p>
        </w:tc>
        <w:tc>
          <w:tcPr>
            <w:tcW w:w="3166" w:type="dxa"/>
            <w:tcBorders>
              <w:top w:val="nil"/>
              <w:left w:val="nil"/>
              <w:bottom w:val="single" w:sz="8" w:space="0" w:color="auto"/>
              <w:right w:val="single" w:sz="8" w:space="0" w:color="auto"/>
            </w:tcBorders>
            <w:shd w:val="clear" w:color="auto" w:fill="auto"/>
            <w:vAlign w:val="center"/>
            <w:hideMark/>
          </w:tcPr>
          <w:p w14:paraId="256BF2A1" w14:textId="77777777" w:rsidR="00CD7AB5" w:rsidRPr="00F36957" w:rsidRDefault="00CD7AB5">
            <w:pPr>
              <w:jc w:val="both"/>
              <w:rPr>
                <w:rFonts w:ascii="Arial Narrow" w:hAnsi="Arial Narrow"/>
                <w:b/>
                <w:bCs/>
                <w:color w:val="000000"/>
                <w:sz w:val="22"/>
                <w:szCs w:val="22"/>
              </w:rPr>
            </w:pPr>
            <w:r w:rsidRPr="00F36957">
              <w:rPr>
                <w:rFonts w:ascii="Arial Narrow" w:hAnsi="Arial Narrow"/>
                <w:b/>
                <w:bCs/>
                <w:color w:val="000000"/>
                <w:sz w:val="22"/>
                <w:szCs w:val="22"/>
              </w:rPr>
              <w:t>Escenarios alternativos</w:t>
            </w:r>
          </w:p>
        </w:tc>
        <w:tc>
          <w:tcPr>
            <w:tcW w:w="2312" w:type="dxa"/>
            <w:tcBorders>
              <w:top w:val="nil"/>
              <w:left w:val="nil"/>
              <w:bottom w:val="single" w:sz="8" w:space="0" w:color="auto"/>
              <w:right w:val="single" w:sz="8" w:space="0" w:color="auto"/>
            </w:tcBorders>
            <w:shd w:val="clear" w:color="auto" w:fill="auto"/>
            <w:vAlign w:val="center"/>
            <w:hideMark/>
          </w:tcPr>
          <w:p w14:paraId="49E5D48D" w14:textId="77777777" w:rsidR="00F060C7" w:rsidRPr="00F36957" w:rsidRDefault="00CD7AB5">
            <w:pPr>
              <w:jc w:val="both"/>
              <w:rPr>
                <w:rFonts w:ascii="Arial Narrow" w:hAnsi="Arial Narrow"/>
                <w:b/>
                <w:bCs/>
                <w:color w:val="000000"/>
                <w:sz w:val="22"/>
                <w:szCs w:val="22"/>
                <w:lang w:val="es-CR"/>
              </w:rPr>
            </w:pPr>
            <w:r w:rsidRPr="00F36957">
              <w:rPr>
                <w:rFonts w:ascii="Arial Narrow" w:hAnsi="Arial Narrow"/>
                <w:b/>
                <w:bCs/>
                <w:color w:val="000000"/>
                <w:sz w:val="22"/>
                <w:szCs w:val="22"/>
                <w:lang w:val="es-CR"/>
              </w:rPr>
              <w:t xml:space="preserve">NICSP Nº 26, </w:t>
            </w:r>
          </w:p>
          <w:p w14:paraId="3947DF02" w14:textId="020D0E2F" w:rsidR="00CD7AB5" w:rsidRPr="00F36957" w:rsidRDefault="00CD7AB5">
            <w:pPr>
              <w:jc w:val="both"/>
              <w:rPr>
                <w:rFonts w:ascii="Arial Narrow" w:hAnsi="Arial Narrow"/>
                <w:b/>
                <w:bCs/>
                <w:color w:val="000000"/>
                <w:sz w:val="22"/>
                <w:szCs w:val="22"/>
              </w:rPr>
            </w:pPr>
            <w:r w:rsidRPr="00F36957">
              <w:rPr>
                <w:rFonts w:ascii="Arial Narrow" w:hAnsi="Arial Narrow"/>
                <w:b/>
                <w:bCs/>
                <w:color w:val="000000"/>
                <w:sz w:val="22"/>
                <w:szCs w:val="22"/>
                <w:lang w:val="es-CR"/>
              </w:rPr>
              <w:t>Párrafo 45.</w:t>
            </w:r>
          </w:p>
        </w:tc>
        <w:tc>
          <w:tcPr>
            <w:tcW w:w="1940" w:type="dxa"/>
            <w:tcBorders>
              <w:top w:val="nil"/>
              <w:left w:val="nil"/>
              <w:bottom w:val="single" w:sz="8" w:space="0" w:color="auto"/>
              <w:right w:val="single" w:sz="8" w:space="0" w:color="auto"/>
            </w:tcBorders>
            <w:shd w:val="clear" w:color="auto" w:fill="auto"/>
            <w:vAlign w:val="center"/>
            <w:hideMark/>
          </w:tcPr>
          <w:p w14:paraId="1543255F" w14:textId="77777777" w:rsidR="00CD7AB5" w:rsidRPr="00F36957" w:rsidRDefault="00CD7AB5">
            <w:pPr>
              <w:jc w:val="center"/>
              <w:rPr>
                <w:rFonts w:ascii="Arial Narrow" w:hAnsi="Arial Narrow"/>
                <w:b/>
                <w:bCs/>
                <w:color w:val="000000"/>
                <w:sz w:val="22"/>
                <w:szCs w:val="22"/>
              </w:rPr>
            </w:pPr>
            <w:r w:rsidRPr="00F36957">
              <w:rPr>
                <w:rFonts w:ascii="Arial Narrow" w:hAnsi="Arial Narrow"/>
                <w:b/>
                <w:bCs/>
                <w:color w:val="000000"/>
                <w:sz w:val="22"/>
                <w:szCs w:val="22"/>
              </w:rPr>
              <w:t>DGCN</w:t>
            </w:r>
          </w:p>
        </w:tc>
      </w:tr>
    </w:tbl>
    <w:p w14:paraId="0E83C68C"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p w14:paraId="4387163B" w14:textId="4293536C" w:rsidR="00F060C7" w:rsidRDefault="00F060C7" w:rsidP="00F060C7">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1.200.0.01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valor en uso de un activo generador de efectivo es el valor presente de los flujos de efectivo futuros estimados que se espera se deriven del uso continuado del activo y de su disposición al final de la vida útil, cuyo cálculo incluye los siguientes pasos:</w:t>
      </w:r>
    </w:p>
    <w:p w14:paraId="001CEA34" w14:textId="77777777" w:rsidR="00F36957" w:rsidRPr="00F02F9D" w:rsidRDefault="00F36957" w:rsidP="00F060C7">
      <w:pPr>
        <w:spacing w:line="238" w:lineRule="auto"/>
        <w:ind w:left="1134" w:right="260" w:hanging="1134"/>
        <w:jc w:val="both"/>
        <w:rPr>
          <w:rFonts w:ascii="Arial" w:eastAsia="Arial" w:hAnsi="Arial"/>
          <w:bCs/>
          <w:sz w:val="22"/>
          <w:szCs w:val="22"/>
          <w:lang w:val="es-CR"/>
        </w:rPr>
      </w:pPr>
    </w:p>
    <w:p w14:paraId="306C9E91" w14:textId="77777777" w:rsidR="00F060C7" w:rsidRPr="00F02F9D" w:rsidRDefault="00F060C7" w:rsidP="00F060C7">
      <w:pPr>
        <w:spacing w:line="9" w:lineRule="exact"/>
        <w:rPr>
          <w:rFonts w:ascii="Arial" w:eastAsia="Times New Roman" w:hAnsi="Arial"/>
          <w:bCs/>
          <w:sz w:val="22"/>
          <w:szCs w:val="22"/>
          <w:lang w:val="es-CR"/>
        </w:rPr>
      </w:pPr>
    </w:p>
    <w:p w14:paraId="520BDEF1" w14:textId="77777777" w:rsidR="00F060C7" w:rsidRPr="00F02F9D" w:rsidRDefault="00F060C7" w:rsidP="00F36957">
      <w:pPr>
        <w:pStyle w:val="Prrafodelista"/>
        <w:numPr>
          <w:ilvl w:val="0"/>
          <w:numId w:val="64"/>
        </w:numPr>
        <w:spacing w:after="120" w:line="236" w:lineRule="auto"/>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Estimar las entradas y salidas futuras de efectivo inherentes a su uso continuado como a su disposición final, sobre las siguientes bases:</w:t>
      </w:r>
    </w:p>
    <w:p w14:paraId="2C749B38" w14:textId="77777777" w:rsidR="00F060C7" w:rsidRPr="00F02F9D" w:rsidRDefault="00F060C7" w:rsidP="00F36957">
      <w:pPr>
        <w:spacing w:after="120" w:line="9" w:lineRule="exact"/>
        <w:ind w:left="1418" w:hanging="284"/>
        <w:jc w:val="both"/>
        <w:rPr>
          <w:rFonts w:ascii="Arial" w:eastAsia="Times New Roman" w:hAnsi="Arial"/>
          <w:bCs/>
          <w:sz w:val="22"/>
          <w:szCs w:val="22"/>
          <w:lang w:val="es-CR"/>
        </w:rPr>
      </w:pPr>
    </w:p>
    <w:p w14:paraId="10737AC1" w14:textId="77777777" w:rsidR="00F060C7" w:rsidRPr="00F02F9D" w:rsidRDefault="00F060C7" w:rsidP="00F36957">
      <w:pPr>
        <w:pStyle w:val="Prrafodelista"/>
        <w:numPr>
          <w:ilvl w:val="0"/>
          <w:numId w:val="64"/>
        </w:numPr>
        <w:tabs>
          <w:tab w:val="left" w:pos="1459"/>
        </w:tabs>
        <w:spacing w:after="120" w:line="236" w:lineRule="auto"/>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Estimación de los flujos de efectivo futuros que se espera obtener del activo.</w:t>
      </w:r>
    </w:p>
    <w:p w14:paraId="3938F590" w14:textId="77777777" w:rsidR="00F060C7" w:rsidRPr="00F02F9D" w:rsidRDefault="00F060C7" w:rsidP="00F36957">
      <w:pPr>
        <w:spacing w:after="120" w:line="9" w:lineRule="exact"/>
        <w:ind w:left="1418" w:hanging="284"/>
        <w:jc w:val="both"/>
        <w:rPr>
          <w:rFonts w:ascii="Arial" w:eastAsia="Times New Roman" w:hAnsi="Arial"/>
          <w:bCs/>
          <w:sz w:val="22"/>
          <w:szCs w:val="22"/>
          <w:lang w:val="es-CR"/>
        </w:rPr>
      </w:pPr>
    </w:p>
    <w:p w14:paraId="593158AC" w14:textId="77777777" w:rsidR="00F060C7" w:rsidRPr="00F02F9D" w:rsidRDefault="00F060C7" w:rsidP="00F36957">
      <w:pPr>
        <w:pStyle w:val="Prrafodelista"/>
        <w:numPr>
          <w:ilvl w:val="0"/>
          <w:numId w:val="64"/>
        </w:numPr>
        <w:tabs>
          <w:tab w:val="left" w:pos="1460"/>
        </w:tabs>
        <w:spacing w:after="120" w:line="236" w:lineRule="auto"/>
        <w:ind w:left="1418" w:right="28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Expectativas sobre posibles variaciones en el importe o en el calendario de esos flujos de efectivo futuros.</w:t>
      </w:r>
    </w:p>
    <w:p w14:paraId="5523A3A3" w14:textId="2851ACA1" w:rsidR="00F060C7" w:rsidRPr="00F02F9D" w:rsidRDefault="00F060C7" w:rsidP="00F36957">
      <w:pPr>
        <w:pStyle w:val="Prrafodelista"/>
        <w:numPr>
          <w:ilvl w:val="0"/>
          <w:numId w:val="64"/>
        </w:numPr>
        <w:tabs>
          <w:tab w:val="left" w:pos="1460"/>
        </w:tabs>
        <w:spacing w:after="120" w:line="0" w:lineRule="atLeast"/>
        <w:ind w:left="1418"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Precio por soportar la </w:t>
      </w:r>
      <w:r w:rsidR="00AA22E2" w:rsidRPr="00F02F9D">
        <w:rPr>
          <w:rFonts w:ascii="Arial" w:eastAsia="Arial" w:hAnsi="Arial"/>
          <w:bCs/>
          <w:sz w:val="22"/>
          <w:szCs w:val="22"/>
          <w:lang w:val="es-CR"/>
        </w:rPr>
        <w:t>incertidu</w:t>
      </w:r>
      <w:r w:rsidR="00AA22E2">
        <w:rPr>
          <w:rFonts w:ascii="Arial" w:eastAsia="Arial" w:hAnsi="Arial"/>
          <w:bCs/>
          <w:sz w:val="22"/>
          <w:szCs w:val="22"/>
          <w:lang w:val="es-CR"/>
        </w:rPr>
        <w:t>mbr</w:t>
      </w:r>
      <w:r w:rsidR="00AA22E2" w:rsidRPr="00F02F9D">
        <w:rPr>
          <w:rFonts w:ascii="Arial" w:eastAsia="Arial" w:hAnsi="Arial"/>
          <w:bCs/>
          <w:sz w:val="22"/>
          <w:szCs w:val="22"/>
          <w:lang w:val="es-CR"/>
        </w:rPr>
        <w:t>e</w:t>
      </w:r>
      <w:r w:rsidRPr="00F02F9D">
        <w:rPr>
          <w:rFonts w:ascii="Arial" w:eastAsia="Arial" w:hAnsi="Arial"/>
          <w:bCs/>
          <w:sz w:val="22"/>
          <w:szCs w:val="22"/>
          <w:lang w:val="es-CR"/>
        </w:rPr>
        <w:t xml:space="preserve"> inherente en el activo.</w:t>
      </w:r>
    </w:p>
    <w:p w14:paraId="5349864C" w14:textId="77777777" w:rsidR="00F060C7" w:rsidRPr="00F02F9D" w:rsidRDefault="00F060C7" w:rsidP="00F36957">
      <w:pPr>
        <w:spacing w:after="120" w:line="9" w:lineRule="exact"/>
        <w:ind w:left="1418" w:hanging="284"/>
        <w:jc w:val="both"/>
        <w:rPr>
          <w:rFonts w:ascii="Arial" w:eastAsia="Arial" w:hAnsi="Arial"/>
          <w:bCs/>
          <w:sz w:val="22"/>
          <w:szCs w:val="22"/>
          <w:lang w:val="es-CR"/>
        </w:rPr>
      </w:pPr>
    </w:p>
    <w:p w14:paraId="46B1E288" w14:textId="77777777" w:rsidR="00F060C7" w:rsidRPr="00F02F9D" w:rsidRDefault="00F060C7" w:rsidP="00F36957">
      <w:pPr>
        <w:pStyle w:val="Prrafodelista"/>
        <w:numPr>
          <w:ilvl w:val="0"/>
          <w:numId w:val="64"/>
        </w:numPr>
        <w:tabs>
          <w:tab w:val="left" w:pos="1460"/>
        </w:tabs>
        <w:spacing w:after="120" w:line="238" w:lineRule="auto"/>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Otros factores que afecten los flujos de efectivo futuros, como ser la falta de liquidez, que los participantes en el mercado reflejarían al poner precio a los flujos de efectivo futuros que se espera que se deriven del activo.</w:t>
      </w:r>
    </w:p>
    <w:p w14:paraId="314C5BD7" w14:textId="77777777" w:rsidR="00F060C7" w:rsidRPr="00F02F9D" w:rsidRDefault="00F060C7" w:rsidP="00F36957">
      <w:pPr>
        <w:spacing w:after="120" w:line="9" w:lineRule="exact"/>
        <w:ind w:left="1418" w:hanging="284"/>
        <w:jc w:val="both"/>
        <w:rPr>
          <w:rFonts w:ascii="Arial" w:eastAsia="Arial" w:hAnsi="Arial"/>
          <w:bCs/>
          <w:sz w:val="22"/>
          <w:szCs w:val="22"/>
          <w:lang w:val="es-CR"/>
        </w:rPr>
      </w:pPr>
    </w:p>
    <w:p w14:paraId="596C182D" w14:textId="77777777" w:rsidR="00F060C7" w:rsidRPr="00F02F9D" w:rsidRDefault="00F060C7" w:rsidP="00F36957">
      <w:pPr>
        <w:pStyle w:val="Prrafodelista"/>
        <w:numPr>
          <w:ilvl w:val="0"/>
          <w:numId w:val="64"/>
        </w:numPr>
        <w:spacing w:after="120" w:line="236" w:lineRule="auto"/>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Aplicar la tasa de descuento adecuada a estos flujos de efectivo futuros, la que será determinada según las siguientes bases:</w:t>
      </w:r>
    </w:p>
    <w:p w14:paraId="22E864B8" w14:textId="77777777" w:rsidR="00F060C7" w:rsidRPr="00F02F9D" w:rsidRDefault="00F060C7" w:rsidP="00F36957">
      <w:pPr>
        <w:spacing w:after="120" w:line="9" w:lineRule="exact"/>
        <w:rPr>
          <w:rFonts w:ascii="Arial" w:eastAsia="Arial" w:hAnsi="Arial"/>
          <w:bCs/>
          <w:sz w:val="22"/>
          <w:szCs w:val="22"/>
          <w:lang w:val="es-CR"/>
        </w:rPr>
      </w:pPr>
    </w:p>
    <w:p w14:paraId="486CAFAD" w14:textId="77777777" w:rsidR="00F060C7" w:rsidRPr="00F02F9D" w:rsidRDefault="00F060C7" w:rsidP="00F36957">
      <w:pPr>
        <w:pStyle w:val="Prrafodelista"/>
        <w:numPr>
          <w:ilvl w:val="0"/>
          <w:numId w:val="65"/>
        </w:numPr>
        <w:spacing w:after="120" w:line="0" w:lineRule="atLeast"/>
        <w:ind w:left="1701" w:hanging="141"/>
        <w:contextualSpacing w:val="0"/>
        <w:rPr>
          <w:rFonts w:ascii="Arial" w:eastAsia="Arial" w:hAnsi="Arial"/>
          <w:bCs/>
          <w:sz w:val="22"/>
          <w:szCs w:val="22"/>
          <w:lang w:val="es-CR"/>
        </w:rPr>
      </w:pPr>
      <w:r w:rsidRPr="00F02F9D">
        <w:rPr>
          <w:rFonts w:ascii="Arial" w:eastAsia="Arial" w:hAnsi="Arial"/>
          <w:bCs/>
          <w:sz w:val="22"/>
          <w:szCs w:val="22"/>
          <w:lang w:val="es-CR"/>
        </w:rPr>
        <w:t>El valor temporal del dinero, representado por la tasa de interés de mercado sin riesgo.</w:t>
      </w:r>
    </w:p>
    <w:p w14:paraId="0C9C489B" w14:textId="77777777" w:rsidR="00F060C7" w:rsidRPr="00F02F9D" w:rsidRDefault="00F060C7" w:rsidP="00F060C7">
      <w:pPr>
        <w:spacing w:line="9" w:lineRule="exact"/>
        <w:ind w:left="1701" w:hanging="141"/>
        <w:rPr>
          <w:rFonts w:ascii="Arial" w:eastAsia="Times New Roman" w:hAnsi="Arial"/>
          <w:bCs/>
          <w:sz w:val="22"/>
          <w:szCs w:val="22"/>
          <w:lang w:val="es-CR"/>
        </w:rPr>
      </w:pPr>
    </w:p>
    <w:p w14:paraId="629A2418" w14:textId="690134EC" w:rsidR="00F060C7" w:rsidRPr="00F02F9D" w:rsidRDefault="00F060C7">
      <w:pPr>
        <w:pStyle w:val="Prrafodelista"/>
        <w:numPr>
          <w:ilvl w:val="0"/>
          <w:numId w:val="65"/>
        </w:numPr>
        <w:spacing w:line="266" w:lineRule="auto"/>
        <w:ind w:left="1701" w:right="260" w:hanging="141"/>
        <w:jc w:val="both"/>
        <w:rPr>
          <w:rFonts w:ascii="Arial" w:eastAsia="Arial" w:hAnsi="Arial"/>
          <w:bCs/>
          <w:sz w:val="22"/>
          <w:szCs w:val="22"/>
          <w:lang w:val="es-CR"/>
        </w:rPr>
      </w:pPr>
      <w:r w:rsidRPr="00F02F9D">
        <w:rPr>
          <w:rFonts w:ascii="Arial" w:eastAsia="Arial" w:hAnsi="Arial"/>
          <w:bCs/>
          <w:sz w:val="22"/>
          <w:szCs w:val="22"/>
          <w:lang w:val="es-CR"/>
        </w:rPr>
        <w:t>Los ajustes que resulten pertinentes efectuar sobre el referido valor temporal del dinero, en función de los factores indicados en los puntos ii, iii y iv del punto a) anterior, en caso de que dichos factores no hubieran incidido en la estimación de los flujos de efectivo futuros.</w:t>
      </w:r>
    </w:p>
    <w:p w14:paraId="4E6798FD" w14:textId="77777777" w:rsidR="00F060C7" w:rsidRPr="00F02F9D" w:rsidRDefault="00F060C7" w:rsidP="00F060C7">
      <w:pPr>
        <w:spacing w:line="249" w:lineRule="exact"/>
        <w:rPr>
          <w:rFonts w:ascii="Arial" w:eastAsia="Times New Roman" w:hAnsi="Arial"/>
          <w:bCs/>
          <w:sz w:val="22"/>
          <w:szCs w:val="22"/>
          <w:lang w:val="es-CR"/>
        </w:rPr>
      </w:pPr>
    </w:p>
    <w:p w14:paraId="29EE872A" w14:textId="211C2A82" w:rsidR="00F060C7" w:rsidRPr="00F02F9D" w:rsidRDefault="00F060C7" w:rsidP="00F060C7">
      <w:pPr>
        <w:spacing w:line="9" w:lineRule="exact"/>
        <w:rPr>
          <w:rFonts w:ascii="Arial" w:eastAsia="Arial" w:hAnsi="Arial"/>
          <w:bCs/>
          <w:sz w:val="22"/>
          <w:szCs w:val="22"/>
          <w:lang w:val="es-CR"/>
        </w:rPr>
      </w:pPr>
      <w:r w:rsidRPr="00F02F9D">
        <w:rPr>
          <w:rFonts w:ascii="Arial" w:eastAsia="Arial" w:hAnsi="Arial"/>
          <w:bCs/>
          <w:sz w:val="22"/>
          <w:szCs w:val="22"/>
          <w:lang w:val="es-CR"/>
        </w:rPr>
        <w:t>1</w:t>
      </w:r>
    </w:p>
    <w:p w14:paraId="3EC42023" w14:textId="5AE10263" w:rsidR="00F060C7" w:rsidRDefault="00F060C7" w:rsidP="00F060C7">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1.200.1.01</w:t>
      </w:r>
      <w:r w:rsidRPr="00F02F9D">
        <w:rPr>
          <w:rFonts w:ascii="Arial" w:eastAsia="Arial" w:hAnsi="Arial"/>
          <w:bCs/>
          <w:sz w:val="22"/>
          <w:szCs w:val="22"/>
          <w:lang w:val="es-CR"/>
        </w:rPr>
        <w:tab/>
        <w:t xml:space="preserve">En caso de que 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se estimen varios escenarios en razón de alternativas de posibles variaciones en el importe o en el calendario de los flujos de efectivo futuros que tengan similar probabilidad de ocurrencia, se tomará la media ponderada de todos los posibles resultados, a efectos de su inclusión en la estimación de flujos futuros para el cálculo del valor en uso del activo.</w:t>
      </w:r>
    </w:p>
    <w:p w14:paraId="75882CD5" w14:textId="77777777" w:rsidR="00F36957" w:rsidRPr="00787874" w:rsidRDefault="00F36957" w:rsidP="00F060C7">
      <w:pPr>
        <w:spacing w:line="238" w:lineRule="auto"/>
        <w:ind w:left="1134" w:right="260" w:hanging="1134"/>
        <w:jc w:val="both"/>
        <w:rPr>
          <w:rFonts w:ascii="Arial" w:eastAsia="Arial" w:hAnsi="Arial"/>
          <w:bCs/>
          <w:sz w:val="22"/>
          <w:szCs w:val="22"/>
          <w:lang w:val="es-CR"/>
        </w:rPr>
      </w:pPr>
    </w:p>
    <w:p w14:paraId="5E0AE9B5" w14:textId="77777777" w:rsidR="00C356B1" w:rsidRDefault="00C356B1" w:rsidP="00C356B1">
      <w:pPr>
        <w:spacing w:line="251" w:lineRule="auto"/>
        <w:ind w:left="1134" w:right="260" w:hanging="1134"/>
        <w:jc w:val="both"/>
        <w:rPr>
          <w:rFonts w:ascii="Arial" w:eastAsia="Arial" w:hAnsi="Arial"/>
          <w:bCs/>
          <w:sz w:val="22"/>
          <w:szCs w:val="22"/>
          <w:lang w:val="es-CR"/>
        </w:rPr>
      </w:pPr>
    </w:p>
    <w:p w14:paraId="48F6B9E0" w14:textId="77777777" w:rsidR="00F36957" w:rsidRPr="00F02F9D" w:rsidRDefault="00F36957" w:rsidP="00C356B1">
      <w:pPr>
        <w:spacing w:line="251" w:lineRule="auto"/>
        <w:ind w:left="1134" w:right="260" w:hanging="1134"/>
        <w:jc w:val="both"/>
        <w:rPr>
          <w:rFonts w:ascii="Arial" w:eastAsia="Arial" w:hAnsi="Arial"/>
          <w:bCs/>
          <w:sz w:val="22"/>
          <w:szCs w:val="22"/>
          <w:lang w:val="es-CR"/>
        </w:rPr>
      </w:pPr>
    </w:p>
    <w:tbl>
      <w:tblPr>
        <w:tblW w:w="9062" w:type="dxa"/>
        <w:tblLook w:val="04A0" w:firstRow="1" w:lastRow="0" w:firstColumn="1" w:lastColumn="0" w:noHBand="0" w:noVBand="1"/>
      </w:tblPr>
      <w:tblGrid>
        <w:gridCol w:w="560"/>
        <w:gridCol w:w="550"/>
        <w:gridCol w:w="538"/>
        <w:gridCol w:w="3162"/>
        <w:gridCol w:w="2325"/>
        <w:gridCol w:w="1927"/>
      </w:tblGrid>
      <w:tr w:rsidR="00253FBB" w:rsidRPr="00F36957" w14:paraId="02464901" w14:textId="77777777" w:rsidTr="00253FBB">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6791C70" w14:textId="77777777" w:rsidR="00253FBB" w:rsidRPr="00F36957" w:rsidRDefault="00253FBB" w:rsidP="00253FBB">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Norma / Política</w:t>
            </w:r>
          </w:p>
        </w:tc>
        <w:tc>
          <w:tcPr>
            <w:tcW w:w="31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1F44DE1D" w14:textId="77777777" w:rsidR="00253FBB" w:rsidRPr="00F36957" w:rsidRDefault="00253FBB" w:rsidP="00253FBB">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3009C7E4" w14:textId="77777777" w:rsidR="00253FBB" w:rsidRPr="00F36957" w:rsidRDefault="00253FBB" w:rsidP="00253FBB">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Referencia</w:t>
            </w:r>
          </w:p>
        </w:tc>
      </w:tr>
      <w:tr w:rsidR="00253FBB" w:rsidRPr="0071104F" w14:paraId="3F18C3D1" w14:textId="77777777" w:rsidTr="00253FBB">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5D6B504D" w14:textId="77777777" w:rsidR="00253FBB" w:rsidRPr="00F36957" w:rsidRDefault="00253FBB" w:rsidP="00253FBB">
            <w:pPr>
              <w:rPr>
                <w:rFonts w:ascii="Arial Narrow" w:eastAsia="Times New Roman" w:hAnsi="Arial Narrow"/>
                <w:b/>
                <w:bCs/>
                <w:color w:val="FFFFFF"/>
                <w:sz w:val="22"/>
                <w:szCs w:val="22"/>
              </w:rPr>
            </w:pPr>
          </w:p>
        </w:tc>
        <w:tc>
          <w:tcPr>
            <w:tcW w:w="3162" w:type="dxa"/>
            <w:vMerge/>
            <w:tcBorders>
              <w:top w:val="single" w:sz="8" w:space="0" w:color="auto"/>
              <w:left w:val="single" w:sz="8" w:space="0" w:color="auto"/>
              <w:bottom w:val="nil"/>
              <w:right w:val="single" w:sz="8" w:space="0" w:color="auto"/>
            </w:tcBorders>
            <w:vAlign w:val="center"/>
            <w:hideMark/>
          </w:tcPr>
          <w:p w14:paraId="78F488DE" w14:textId="77777777" w:rsidR="00253FBB" w:rsidRPr="00F36957" w:rsidRDefault="00253FBB" w:rsidP="00253FBB">
            <w:pPr>
              <w:rPr>
                <w:rFonts w:ascii="Arial Narrow" w:eastAsia="Times New Roman" w:hAnsi="Arial Narrow"/>
                <w:b/>
                <w:bCs/>
                <w:color w:val="FFFFFF"/>
                <w:sz w:val="22"/>
                <w:szCs w:val="22"/>
              </w:rPr>
            </w:pPr>
          </w:p>
        </w:tc>
        <w:tc>
          <w:tcPr>
            <w:tcW w:w="2325" w:type="dxa"/>
            <w:tcBorders>
              <w:top w:val="nil"/>
              <w:left w:val="nil"/>
              <w:bottom w:val="nil"/>
              <w:right w:val="single" w:sz="8" w:space="0" w:color="auto"/>
            </w:tcBorders>
            <w:shd w:val="clear" w:color="000000" w:fill="203764"/>
            <w:vAlign w:val="center"/>
            <w:hideMark/>
          </w:tcPr>
          <w:p w14:paraId="583396E5" w14:textId="77777777" w:rsidR="00253FBB" w:rsidRPr="00F36957" w:rsidRDefault="00253FBB" w:rsidP="00253FBB">
            <w:pPr>
              <w:jc w:val="center"/>
              <w:rPr>
                <w:rFonts w:ascii="Arial Narrow" w:eastAsia="Times New Roman" w:hAnsi="Arial Narrow"/>
                <w:b/>
                <w:bCs/>
                <w:color w:val="FFFFFF"/>
                <w:sz w:val="22"/>
                <w:szCs w:val="22"/>
              </w:rPr>
            </w:pPr>
            <w:r w:rsidRPr="00F36957">
              <w:rPr>
                <w:rFonts w:ascii="Arial Narrow" w:eastAsia="Times New Roman" w:hAnsi="Arial Narrow"/>
                <w:b/>
                <w:bCs/>
                <w:color w:val="FFFFFF"/>
                <w:sz w:val="22"/>
                <w:szCs w:val="22"/>
              </w:rPr>
              <w:t>Norma</w:t>
            </w:r>
          </w:p>
        </w:tc>
        <w:tc>
          <w:tcPr>
            <w:tcW w:w="1927" w:type="dxa"/>
            <w:tcBorders>
              <w:top w:val="nil"/>
              <w:left w:val="nil"/>
              <w:bottom w:val="nil"/>
              <w:right w:val="single" w:sz="8" w:space="0" w:color="auto"/>
            </w:tcBorders>
            <w:shd w:val="clear" w:color="000000" w:fill="203764"/>
            <w:vAlign w:val="center"/>
            <w:hideMark/>
          </w:tcPr>
          <w:p w14:paraId="4E30BEE9" w14:textId="5D9ED189" w:rsidR="00253FBB" w:rsidRPr="0071104F" w:rsidRDefault="0071104F" w:rsidP="00253FBB">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02F9D" w:rsidRPr="00F36957" w14:paraId="0B91A327" w14:textId="77777777" w:rsidTr="00253FBB">
        <w:trPr>
          <w:trHeight w:val="589"/>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1CF43B"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55D243F7"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201</w:t>
            </w:r>
          </w:p>
        </w:tc>
        <w:tc>
          <w:tcPr>
            <w:tcW w:w="538" w:type="dxa"/>
            <w:tcBorders>
              <w:top w:val="single" w:sz="8" w:space="0" w:color="auto"/>
              <w:left w:val="nil"/>
              <w:bottom w:val="single" w:sz="8" w:space="0" w:color="auto"/>
              <w:right w:val="single" w:sz="8" w:space="0" w:color="auto"/>
            </w:tcBorders>
            <w:shd w:val="clear" w:color="auto" w:fill="auto"/>
            <w:vAlign w:val="center"/>
            <w:hideMark/>
          </w:tcPr>
          <w:p w14:paraId="7E862DF9"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 </w:t>
            </w:r>
          </w:p>
        </w:tc>
        <w:tc>
          <w:tcPr>
            <w:tcW w:w="3162" w:type="dxa"/>
            <w:tcBorders>
              <w:top w:val="single" w:sz="8" w:space="0" w:color="auto"/>
              <w:left w:val="nil"/>
              <w:bottom w:val="single" w:sz="8" w:space="0" w:color="auto"/>
              <w:right w:val="single" w:sz="8" w:space="0" w:color="auto"/>
            </w:tcBorders>
            <w:shd w:val="clear" w:color="auto" w:fill="auto"/>
            <w:vAlign w:val="center"/>
            <w:hideMark/>
          </w:tcPr>
          <w:p w14:paraId="7C9EA217" w14:textId="77777777" w:rsidR="00253FBB" w:rsidRPr="00F36957" w:rsidRDefault="00253FBB" w:rsidP="00253FBB">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Medición del valor de uso en activos generadores de efectivo.</w:t>
            </w:r>
          </w:p>
        </w:tc>
        <w:tc>
          <w:tcPr>
            <w:tcW w:w="2325" w:type="dxa"/>
            <w:tcBorders>
              <w:top w:val="single" w:sz="8" w:space="0" w:color="auto"/>
              <w:left w:val="nil"/>
              <w:bottom w:val="single" w:sz="8" w:space="0" w:color="auto"/>
              <w:right w:val="single" w:sz="8" w:space="0" w:color="auto"/>
            </w:tcBorders>
            <w:shd w:val="clear" w:color="auto" w:fill="auto"/>
            <w:vAlign w:val="center"/>
            <w:hideMark/>
          </w:tcPr>
          <w:p w14:paraId="427A39B4" w14:textId="77777777" w:rsidR="00253FBB" w:rsidRPr="00F36957" w:rsidRDefault="00253FBB" w:rsidP="00253FBB">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26, </w:t>
            </w:r>
          </w:p>
          <w:p w14:paraId="6CBD3747" w14:textId="05A267F1" w:rsidR="00253FBB" w:rsidRPr="00F36957" w:rsidRDefault="00253FBB" w:rsidP="00253FBB">
            <w:pPr>
              <w:jc w:val="both"/>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t>Párrafos 46, 47 y 49.</w:t>
            </w:r>
          </w:p>
        </w:tc>
        <w:tc>
          <w:tcPr>
            <w:tcW w:w="1927" w:type="dxa"/>
            <w:tcBorders>
              <w:top w:val="single" w:sz="8" w:space="0" w:color="auto"/>
              <w:left w:val="nil"/>
              <w:bottom w:val="single" w:sz="8" w:space="0" w:color="auto"/>
              <w:right w:val="single" w:sz="8" w:space="0" w:color="auto"/>
            </w:tcBorders>
            <w:shd w:val="clear" w:color="auto" w:fill="auto"/>
            <w:vAlign w:val="center"/>
            <w:hideMark/>
          </w:tcPr>
          <w:p w14:paraId="31FE806D"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 </w:t>
            </w:r>
          </w:p>
        </w:tc>
      </w:tr>
      <w:tr w:rsidR="00F02F9D" w:rsidRPr="00F36957" w14:paraId="5A9D3192" w14:textId="77777777" w:rsidTr="00253FBB">
        <w:trPr>
          <w:trHeight w:val="584"/>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D2CC291"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lastRenderedPageBreak/>
              <w:t>1</w:t>
            </w:r>
          </w:p>
        </w:tc>
        <w:tc>
          <w:tcPr>
            <w:tcW w:w="550" w:type="dxa"/>
            <w:tcBorders>
              <w:top w:val="nil"/>
              <w:left w:val="nil"/>
              <w:bottom w:val="single" w:sz="8" w:space="0" w:color="auto"/>
              <w:right w:val="single" w:sz="8" w:space="0" w:color="auto"/>
            </w:tcBorders>
            <w:shd w:val="clear" w:color="auto" w:fill="auto"/>
            <w:noWrap/>
            <w:vAlign w:val="center"/>
            <w:hideMark/>
          </w:tcPr>
          <w:p w14:paraId="693125BE"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201</w:t>
            </w:r>
          </w:p>
        </w:tc>
        <w:tc>
          <w:tcPr>
            <w:tcW w:w="538" w:type="dxa"/>
            <w:tcBorders>
              <w:top w:val="nil"/>
              <w:left w:val="nil"/>
              <w:bottom w:val="single" w:sz="8" w:space="0" w:color="auto"/>
              <w:right w:val="single" w:sz="8" w:space="0" w:color="auto"/>
            </w:tcBorders>
            <w:shd w:val="clear" w:color="auto" w:fill="auto"/>
            <w:vAlign w:val="center"/>
            <w:hideMark/>
          </w:tcPr>
          <w:p w14:paraId="1D81C79C"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1</w:t>
            </w:r>
          </w:p>
        </w:tc>
        <w:tc>
          <w:tcPr>
            <w:tcW w:w="3162" w:type="dxa"/>
            <w:tcBorders>
              <w:top w:val="nil"/>
              <w:left w:val="nil"/>
              <w:bottom w:val="single" w:sz="8" w:space="0" w:color="auto"/>
              <w:right w:val="single" w:sz="8" w:space="0" w:color="auto"/>
            </w:tcBorders>
            <w:shd w:val="clear" w:color="auto" w:fill="auto"/>
            <w:vAlign w:val="center"/>
            <w:hideMark/>
          </w:tcPr>
          <w:p w14:paraId="16D3807E" w14:textId="77777777" w:rsidR="00253FBB" w:rsidRPr="00F36957" w:rsidRDefault="00253FBB" w:rsidP="00253FBB">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Flujos de fondos no contemplados en el valor de uso</w:t>
            </w:r>
          </w:p>
        </w:tc>
        <w:tc>
          <w:tcPr>
            <w:tcW w:w="2325" w:type="dxa"/>
            <w:tcBorders>
              <w:top w:val="nil"/>
              <w:left w:val="nil"/>
              <w:bottom w:val="single" w:sz="8" w:space="0" w:color="auto"/>
              <w:right w:val="single" w:sz="8" w:space="0" w:color="auto"/>
            </w:tcBorders>
            <w:shd w:val="clear" w:color="auto" w:fill="auto"/>
            <w:vAlign w:val="center"/>
            <w:hideMark/>
          </w:tcPr>
          <w:p w14:paraId="57D106C2" w14:textId="77777777" w:rsidR="00253FBB" w:rsidRPr="00F36957" w:rsidRDefault="00253FBB" w:rsidP="00253FBB">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26, </w:t>
            </w:r>
          </w:p>
          <w:p w14:paraId="4AF52CED" w14:textId="66048E39" w:rsidR="00253FBB" w:rsidRPr="00F36957" w:rsidRDefault="00253FBB" w:rsidP="00253FBB">
            <w:pPr>
              <w:jc w:val="both"/>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t>Párrafos 57 y 58.</w:t>
            </w:r>
          </w:p>
        </w:tc>
        <w:tc>
          <w:tcPr>
            <w:tcW w:w="1927" w:type="dxa"/>
            <w:tcBorders>
              <w:top w:val="nil"/>
              <w:left w:val="nil"/>
              <w:bottom w:val="single" w:sz="8" w:space="0" w:color="auto"/>
              <w:right w:val="single" w:sz="8" w:space="0" w:color="auto"/>
            </w:tcBorders>
            <w:shd w:val="clear" w:color="auto" w:fill="auto"/>
            <w:vAlign w:val="center"/>
            <w:hideMark/>
          </w:tcPr>
          <w:p w14:paraId="3AC9610E"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 </w:t>
            </w:r>
          </w:p>
        </w:tc>
      </w:tr>
      <w:tr w:rsidR="00F02F9D" w:rsidRPr="00F36957" w14:paraId="29781B28" w14:textId="77777777" w:rsidTr="00253FBB">
        <w:trPr>
          <w:trHeight w:val="580"/>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5B83A5EC"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6481408C"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201</w:t>
            </w:r>
          </w:p>
        </w:tc>
        <w:tc>
          <w:tcPr>
            <w:tcW w:w="538" w:type="dxa"/>
            <w:tcBorders>
              <w:top w:val="nil"/>
              <w:left w:val="nil"/>
              <w:bottom w:val="single" w:sz="8" w:space="0" w:color="auto"/>
              <w:right w:val="single" w:sz="8" w:space="0" w:color="auto"/>
            </w:tcBorders>
            <w:shd w:val="clear" w:color="auto" w:fill="auto"/>
            <w:vAlign w:val="center"/>
            <w:hideMark/>
          </w:tcPr>
          <w:p w14:paraId="4D9637B0"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2</w:t>
            </w:r>
          </w:p>
        </w:tc>
        <w:tc>
          <w:tcPr>
            <w:tcW w:w="3162" w:type="dxa"/>
            <w:tcBorders>
              <w:top w:val="nil"/>
              <w:left w:val="nil"/>
              <w:bottom w:val="single" w:sz="8" w:space="0" w:color="auto"/>
              <w:right w:val="single" w:sz="8" w:space="0" w:color="auto"/>
            </w:tcBorders>
            <w:shd w:val="clear" w:color="auto" w:fill="auto"/>
            <w:vAlign w:val="center"/>
            <w:hideMark/>
          </w:tcPr>
          <w:p w14:paraId="16E34C4F" w14:textId="77777777" w:rsidR="00253FBB" w:rsidRPr="00F36957" w:rsidRDefault="00253FBB" w:rsidP="00253FBB">
            <w:pPr>
              <w:jc w:val="both"/>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Reestructuración futura</w:t>
            </w:r>
          </w:p>
        </w:tc>
        <w:tc>
          <w:tcPr>
            <w:tcW w:w="2325" w:type="dxa"/>
            <w:tcBorders>
              <w:top w:val="nil"/>
              <w:left w:val="nil"/>
              <w:bottom w:val="single" w:sz="8" w:space="0" w:color="auto"/>
              <w:right w:val="single" w:sz="8" w:space="0" w:color="auto"/>
            </w:tcBorders>
            <w:shd w:val="clear" w:color="auto" w:fill="auto"/>
            <w:vAlign w:val="center"/>
            <w:hideMark/>
          </w:tcPr>
          <w:p w14:paraId="732C0CF9" w14:textId="77777777" w:rsidR="00253FBB" w:rsidRPr="00F36957" w:rsidRDefault="00253FBB" w:rsidP="00253FBB">
            <w:pPr>
              <w:jc w:val="both"/>
              <w:rPr>
                <w:rFonts w:ascii="Arial Narrow" w:eastAsia="Times New Roman" w:hAnsi="Arial Narrow"/>
                <w:b/>
                <w:bCs/>
                <w:color w:val="000000"/>
                <w:sz w:val="22"/>
                <w:szCs w:val="22"/>
                <w:lang w:val="es-CR"/>
              </w:rPr>
            </w:pPr>
            <w:r w:rsidRPr="00F36957">
              <w:rPr>
                <w:rFonts w:ascii="Arial Narrow" w:eastAsia="Times New Roman" w:hAnsi="Arial Narrow"/>
                <w:b/>
                <w:bCs/>
                <w:color w:val="000000"/>
                <w:sz w:val="22"/>
                <w:szCs w:val="22"/>
                <w:lang w:val="es-CR"/>
              </w:rPr>
              <w:t xml:space="preserve">NICSP Nº 26, </w:t>
            </w:r>
          </w:p>
          <w:p w14:paraId="28F31F5C" w14:textId="08FD2974" w:rsidR="00253FBB" w:rsidRPr="00F36957" w:rsidRDefault="00253FBB" w:rsidP="00253FBB">
            <w:pPr>
              <w:jc w:val="both"/>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lang w:val="es-CR"/>
              </w:rPr>
              <w:t>Párrafo 60.</w:t>
            </w:r>
          </w:p>
        </w:tc>
        <w:tc>
          <w:tcPr>
            <w:tcW w:w="1927" w:type="dxa"/>
            <w:tcBorders>
              <w:top w:val="nil"/>
              <w:left w:val="nil"/>
              <w:bottom w:val="single" w:sz="8" w:space="0" w:color="auto"/>
              <w:right w:val="single" w:sz="8" w:space="0" w:color="auto"/>
            </w:tcBorders>
            <w:shd w:val="clear" w:color="auto" w:fill="auto"/>
            <w:vAlign w:val="center"/>
            <w:hideMark/>
          </w:tcPr>
          <w:p w14:paraId="1206C9CB" w14:textId="77777777" w:rsidR="00253FBB" w:rsidRPr="00F36957" w:rsidRDefault="00253FBB" w:rsidP="00253FBB">
            <w:pPr>
              <w:jc w:val="center"/>
              <w:rPr>
                <w:rFonts w:ascii="Arial Narrow" w:eastAsia="Times New Roman" w:hAnsi="Arial Narrow"/>
                <w:b/>
                <w:bCs/>
                <w:color w:val="000000"/>
                <w:sz w:val="22"/>
                <w:szCs w:val="22"/>
              </w:rPr>
            </w:pPr>
            <w:r w:rsidRPr="00F36957">
              <w:rPr>
                <w:rFonts w:ascii="Arial Narrow" w:eastAsia="Times New Roman" w:hAnsi="Arial Narrow"/>
                <w:b/>
                <w:bCs/>
                <w:color w:val="000000"/>
                <w:sz w:val="22"/>
                <w:szCs w:val="22"/>
              </w:rPr>
              <w:t xml:space="preserve"> </w:t>
            </w:r>
          </w:p>
        </w:tc>
      </w:tr>
    </w:tbl>
    <w:p w14:paraId="24E9EB3C" w14:textId="3C459726" w:rsidR="00C356B1" w:rsidRPr="00F02F9D" w:rsidRDefault="00F36957" w:rsidP="00C356B1">
      <w:pPr>
        <w:spacing w:line="251" w:lineRule="auto"/>
        <w:ind w:left="1134" w:right="260" w:hanging="1134"/>
        <w:jc w:val="both"/>
        <w:rPr>
          <w:rFonts w:ascii="Arial" w:eastAsia="Arial" w:hAnsi="Arial"/>
          <w:bCs/>
          <w:sz w:val="22"/>
          <w:szCs w:val="22"/>
          <w:lang w:val="es-CR"/>
        </w:rPr>
      </w:pPr>
      <w:r w:rsidRPr="00F02F9D">
        <w:rPr>
          <w:rFonts w:ascii="Arial" w:eastAsia="Arial" w:hAnsi="Arial"/>
          <w:b/>
          <w:sz w:val="22"/>
          <w:szCs w:val="22"/>
        </w:rPr>
        <w:t>Políticas Contables</w:t>
      </w:r>
    </w:p>
    <w:p w14:paraId="3132B364"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p w14:paraId="52D01CFF" w14:textId="068F9E90" w:rsidR="00253FBB" w:rsidRPr="00F02F9D" w:rsidRDefault="001D639C" w:rsidP="001D639C">
      <w:pPr>
        <w:spacing w:line="236" w:lineRule="auto"/>
        <w:ind w:left="1134" w:right="280" w:hanging="1134"/>
        <w:jc w:val="both"/>
        <w:rPr>
          <w:rFonts w:ascii="Arial" w:eastAsia="Arial" w:hAnsi="Arial"/>
          <w:bCs/>
          <w:sz w:val="22"/>
          <w:szCs w:val="22"/>
          <w:lang w:val="es-CR"/>
        </w:rPr>
      </w:pPr>
      <w:r w:rsidRPr="00F02F9D">
        <w:rPr>
          <w:rFonts w:ascii="Arial" w:eastAsia="Arial" w:hAnsi="Arial"/>
          <w:bCs/>
          <w:sz w:val="22"/>
          <w:szCs w:val="22"/>
          <w:lang w:val="es-CR"/>
        </w:rPr>
        <w:t>1.201.0.01</w:t>
      </w:r>
      <w:r w:rsidRPr="00F02F9D">
        <w:rPr>
          <w:rFonts w:ascii="Arial" w:eastAsia="Arial" w:hAnsi="Arial"/>
          <w:bCs/>
          <w:sz w:val="22"/>
          <w:szCs w:val="22"/>
          <w:lang w:val="es-CR"/>
        </w:rPr>
        <w:tab/>
      </w:r>
      <w:r w:rsidR="00253FBB" w:rsidRPr="00F02F9D">
        <w:rPr>
          <w:rFonts w:ascii="Arial" w:eastAsia="Arial" w:hAnsi="Arial"/>
          <w:bCs/>
          <w:sz w:val="22"/>
          <w:szCs w:val="22"/>
          <w:lang w:val="es-CR"/>
        </w:rPr>
        <w:t xml:space="preserve">Para la medición en la </w:t>
      </w:r>
      <w:r w:rsidR="000F29DC">
        <w:rPr>
          <w:rFonts w:ascii="Arial" w:eastAsia="Arial" w:hAnsi="Arial"/>
          <w:bCs/>
          <w:sz w:val="22"/>
          <w:szCs w:val="22"/>
          <w:lang w:val="es-CR"/>
        </w:rPr>
        <w:t>MBA</w:t>
      </w:r>
      <w:r w:rsidR="00253FBB" w:rsidRPr="00F02F9D">
        <w:rPr>
          <w:rFonts w:ascii="Arial" w:eastAsia="Arial" w:hAnsi="Arial"/>
          <w:bCs/>
          <w:sz w:val="22"/>
          <w:szCs w:val="22"/>
          <w:lang w:val="es-CR"/>
        </w:rPr>
        <w:t xml:space="preserve"> del valor en uso de un activo generador de efectivo se considerará lo siguiente:</w:t>
      </w:r>
    </w:p>
    <w:p w14:paraId="14F54984" w14:textId="77777777" w:rsidR="00253FBB" w:rsidRPr="00F02F9D" w:rsidRDefault="00253FBB" w:rsidP="00253FBB">
      <w:pPr>
        <w:spacing w:line="236" w:lineRule="auto"/>
        <w:ind w:right="280"/>
        <w:rPr>
          <w:rFonts w:ascii="Arial" w:eastAsia="Arial" w:hAnsi="Arial"/>
          <w:bCs/>
          <w:sz w:val="22"/>
          <w:szCs w:val="22"/>
          <w:lang w:val="es-CR"/>
        </w:rPr>
      </w:pPr>
    </w:p>
    <w:p w14:paraId="21120F7E" w14:textId="77777777" w:rsidR="00253FBB" w:rsidRPr="00F02F9D" w:rsidRDefault="00253FBB" w:rsidP="00253FBB">
      <w:pPr>
        <w:spacing w:line="9" w:lineRule="exact"/>
        <w:rPr>
          <w:rFonts w:ascii="Arial" w:eastAsia="Times New Roman" w:hAnsi="Arial"/>
          <w:bCs/>
          <w:sz w:val="22"/>
          <w:szCs w:val="22"/>
          <w:lang w:val="es-CR"/>
        </w:rPr>
      </w:pPr>
    </w:p>
    <w:p w14:paraId="4CE913A3" w14:textId="77777777" w:rsidR="00253FBB" w:rsidRPr="00F02F9D" w:rsidRDefault="00253FBB" w:rsidP="00F36957">
      <w:pPr>
        <w:pStyle w:val="Prrafodelista"/>
        <w:numPr>
          <w:ilvl w:val="0"/>
          <w:numId w:val="66"/>
        </w:numPr>
        <w:spacing w:after="120"/>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Las proyecciones de los flujos de efectivo deberán basarse en hipótesis razonables y fundamentadas, que representen las mejores estimaciones de la entidad sobre el conjunto de las condiciones económicas que se presentarán a lo largo de la vida útil restante del activo. La razonabilidad de las hipótesis deberá contemplar que:</w:t>
      </w:r>
    </w:p>
    <w:p w14:paraId="24A33D44" w14:textId="77777777" w:rsidR="00253FBB" w:rsidRPr="00F02F9D" w:rsidRDefault="00253FBB" w:rsidP="00F36957">
      <w:pPr>
        <w:pStyle w:val="Prrafodelista"/>
        <w:numPr>
          <w:ilvl w:val="0"/>
          <w:numId w:val="67"/>
        </w:numPr>
        <w:spacing w:after="120"/>
        <w:ind w:left="1843" w:hanging="218"/>
        <w:contextualSpacing w:val="0"/>
        <w:rPr>
          <w:rFonts w:ascii="Arial" w:eastAsia="Arial" w:hAnsi="Arial"/>
          <w:bCs/>
          <w:sz w:val="22"/>
          <w:szCs w:val="22"/>
          <w:lang w:val="es-CR"/>
        </w:rPr>
      </w:pPr>
      <w:r w:rsidRPr="00F02F9D">
        <w:rPr>
          <w:rFonts w:ascii="Arial" w:eastAsia="Arial" w:hAnsi="Arial"/>
          <w:bCs/>
          <w:sz w:val="22"/>
          <w:szCs w:val="22"/>
          <w:lang w:val="es-CR"/>
        </w:rPr>
        <w:t>Se apoyen, en lo posible, en evidencias externas.</w:t>
      </w:r>
    </w:p>
    <w:p w14:paraId="25722682" w14:textId="77777777" w:rsidR="00253FBB" w:rsidRPr="00F02F9D" w:rsidRDefault="00253FBB" w:rsidP="001D639C">
      <w:pPr>
        <w:spacing w:line="9" w:lineRule="exact"/>
        <w:ind w:left="1843" w:hanging="218"/>
        <w:rPr>
          <w:rFonts w:ascii="Arial" w:eastAsia="Times New Roman" w:hAnsi="Arial"/>
          <w:bCs/>
          <w:sz w:val="22"/>
          <w:szCs w:val="22"/>
          <w:lang w:val="es-CR"/>
        </w:rPr>
      </w:pPr>
    </w:p>
    <w:p w14:paraId="273C03AC" w14:textId="77777777" w:rsidR="00253FBB" w:rsidRPr="00F02F9D" w:rsidRDefault="00253FBB">
      <w:pPr>
        <w:pStyle w:val="Prrafodelista"/>
        <w:numPr>
          <w:ilvl w:val="0"/>
          <w:numId w:val="67"/>
        </w:numPr>
        <w:spacing w:line="238" w:lineRule="auto"/>
        <w:ind w:left="1843" w:right="260" w:hanging="218"/>
        <w:jc w:val="both"/>
        <w:rPr>
          <w:rFonts w:ascii="Arial" w:eastAsia="Arial" w:hAnsi="Arial"/>
          <w:bCs/>
          <w:sz w:val="22"/>
          <w:szCs w:val="22"/>
          <w:lang w:val="es-CR"/>
        </w:rPr>
      </w:pPr>
      <w:r w:rsidRPr="00F02F9D">
        <w:rPr>
          <w:rFonts w:ascii="Arial" w:eastAsia="Arial" w:hAnsi="Arial"/>
          <w:bCs/>
          <w:sz w:val="22"/>
          <w:szCs w:val="22"/>
          <w:lang w:val="es-CR"/>
        </w:rPr>
        <w:t>Sean coherentes con los resultados reales obtenidos en el pasado, siempre que los efectos de hechos o circunstancias posteriores que no existían cuando dichos flujos de efectivo reales fueron generados, lo permitan.</w:t>
      </w:r>
    </w:p>
    <w:p w14:paraId="4465AB09" w14:textId="77777777" w:rsidR="00253FBB" w:rsidRPr="00F02F9D" w:rsidRDefault="00253FBB" w:rsidP="00253FBB">
      <w:pPr>
        <w:spacing w:line="285" w:lineRule="exact"/>
        <w:rPr>
          <w:rFonts w:ascii="Arial" w:eastAsia="Arial" w:hAnsi="Arial"/>
          <w:bCs/>
          <w:sz w:val="22"/>
          <w:szCs w:val="22"/>
          <w:lang w:val="es-CR"/>
        </w:rPr>
      </w:pPr>
    </w:p>
    <w:p w14:paraId="0B5F520A" w14:textId="5118947E" w:rsidR="00253FBB" w:rsidRPr="00F02F9D" w:rsidRDefault="00253FBB">
      <w:pPr>
        <w:pStyle w:val="Prrafodelista"/>
        <w:numPr>
          <w:ilvl w:val="0"/>
          <w:numId w:val="66"/>
        </w:numPr>
        <w:spacing w:line="250"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 xml:space="preserve">Las proyecciones de flujos de efectivo se apoyarán en los presupuestos o pronósticos financieros más recientes, que hayan sido aprobados por la dirección respectiva, excluyendo cualquier estimación de entradas o salidas de efectivo que se espere surjan de reestructuraciones futuras o de mejoras del rendimiento del activo. Las proyecciones basadas en estos presupuestos o pronósticos cubrirán como máximo un período de cinco años, salvo que pueda justificarse un plazo mayor; utilizando una tasa de crecimiento para los años siguientes. Esta tasa será constante o decreciente, a menos que la información objetiva indique que una tasa creciente se ajuste mejor a los patrones que sigue el ciclo de vida del producto o del sector industrial. Si resultara adecuado, la tasa de crecimiento podría </w:t>
      </w:r>
      <w:r w:rsidR="00AA22E2" w:rsidRPr="00F02F9D">
        <w:rPr>
          <w:rFonts w:ascii="Arial" w:eastAsia="Arial" w:hAnsi="Arial"/>
          <w:bCs/>
          <w:sz w:val="22"/>
          <w:szCs w:val="22"/>
          <w:lang w:val="es-CR"/>
        </w:rPr>
        <w:t>ta</w:t>
      </w:r>
      <w:r w:rsidR="00AA22E2">
        <w:rPr>
          <w:rFonts w:ascii="Arial" w:eastAsia="Arial" w:hAnsi="Arial"/>
          <w:bCs/>
          <w:sz w:val="22"/>
          <w:szCs w:val="22"/>
          <w:lang w:val="es-CR"/>
        </w:rPr>
        <w:t>mbi</w:t>
      </w:r>
      <w:r w:rsidR="00AA22E2" w:rsidRPr="00F02F9D">
        <w:rPr>
          <w:rFonts w:ascii="Arial" w:eastAsia="Arial" w:hAnsi="Arial"/>
          <w:bCs/>
          <w:sz w:val="22"/>
          <w:szCs w:val="22"/>
          <w:lang w:val="es-CR"/>
        </w:rPr>
        <w:t>én</w:t>
      </w:r>
      <w:r w:rsidRPr="00F02F9D">
        <w:rPr>
          <w:rFonts w:ascii="Arial" w:eastAsia="Arial" w:hAnsi="Arial"/>
          <w:bCs/>
          <w:sz w:val="22"/>
          <w:szCs w:val="22"/>
          <w:lang w:val="es-CR"/>
        </w:rPr>
        <w:t xml:space="preserve"> ser cero o negativa. y,</w:t>
      </w:r>
    </w:p>
    <w:p w14:paraId="62DAEDF9" w14:textId="77777777" w:rsidR="00253FBB" w:rsidRPr="00F02F9D" w:rsidRDefault="00253FBB" w:rsidP="00253FBB">
      <w:pPr>
        <w:spacing w:line="279" w:lineRule="exact"/>
        <w:rPr>
          <w:rFonts w:ascii="Arial" w:eastAsia="Arial" w:hAnsi="Arial"/>
          <w:bCs/>
          <w:sz w:val="22"/>
          <w:szCs w:val="22"/>
          <w:lang w:val="es-CR"/>
        </w:rPr>
      </w:pPr>
    </w:p>
    <w:p w14:paraId="03E846F9" w14:textId="5929C0AB" w:rsidR="00253FBB" w:rsidRPr="00F02F9D" w:rsidRDefault="001D639C" w:rsidP="001D639C">
      <w:pPr>
        <w:spacing w:line="236" w:lineRule="auto"/>
        <w:ind w:left="1134" w:right="280" w:hanging="1134"/>
        <w:jc w:val="both"/>
        <w:rPr>
          <w:rFonts w:ascii="Arial" w:eastAsia="Arial" w:hAnsi="Arial"/>
          <w:bCs/>
          <w:sz w:val="22"/>
          <w:szCs w:val="22"/>
          <w:lang w:val="es-CR"/>
        </w:rPr>
      </w:pPr>
      <w:r w:rsidRPr="00F02F9D">
        <w:rPr>
          <w:rFonts w:ascii="Arial" w:eastAsia="Arial" w:hAnsi="Arial"/>
          <w:bCs/>
          <w:sz w:val="22"/>
          <w:szCs w:val="22"/>
          <w:lang w:val="es-CR"/>
        </w:rPr>
        <w:t>1.201.0.02</w:t>
      </w:r>
      <w:r w:rsidRPr="00F02F9D">
        <w:rPr>
          <w:rFonts w:ascii="Arial" w:eastAsia="Arial" w:hAnsi="Arial"/>
          <w:bCs/>
          <w:sz w:val="22"/>
          <w:szCs w:val="22"/>
          <w:lang w:val="es-CR"/>
        </w:rPr>
        <w:tab/>
      </w:r>
      <w:r w:rsidR="00253FBB" w:rsidRPr="00F02F9D">
        <w:rPr>
          <w:rFonts w:ascii="Arial" w:eastAsia="Arial" w:hAnsi="Arial"/>
          <w:bCs/>
          <w:sz w:val="22"/>
          <w:szCs w:val="22"/>
          <w:lang w:val="es-CR"/>
        </w:rPr>
        <w:t>Se deberán estimar las proyecciones de flujos de efectivo posteriores al período cubierto por los presupuestos o pronósticos más recientes y hasta el final de la vida útil del activo, extrapolando las proyecciones anteriores basadas en los presupuestos o pronósticos, utilizando para los años posteriores una tasa de crecimiento constante o decreciente, salvo que se pudiera justificar el uso de una tasa creciente o, en su caso, el uso de una tasa nula o negativa. Esta tasa de crecimiento no excederá de la tasa media de crecimiento a largo plazo para los productos, industrias, o país o países en los que opera la entidad y para el mercado en el que se utilice el activo, a menos que se pueda justificar una tasa de crecimiento mayor.</w:t>
      </w:r>
    </w:p>
    <w:p w14:paraId="00F765F3" w14:textId="77777777" w:rsidR="00253FBB" w:rsidRPr="00F02F9D" w:rsidRDefault="00253FBB" w:rsidP="00253FBB">
      <w:pPr>
        <w:spacing w:line="255" w:lineRule="exact"/>
        <w:rPr>
          <w:rFonts w:ascii="Arial" w:eastAsia="Times New Roman" w:hAnsi="Arial"/>
          <w:bCs/>
          <w:sz w:val="22"/>
          <w:szCs w:val="22"/>
          <w:lang w:val="es-CR"/>
        </w:rPr>
      </w:pPr>
    </w:p>
    <w:p w14:paraId="73C21CED" w14:textId="1BCC94AE" w:rsidR="00253FBB" w:rsidRDefault="001D639C" w:rsidP="00F36957">
      <w:pPr>
        <w:ind w:left="1134" w:right="278" w:hanging="1134"/>
        <w:jc w:val="both"/>
        <w:rPr>
          <w:rFonts w:ascii="Arial" w:eastAsia="Arial" w:hAnsi="Arial"/>
          <w:bCs/>
          <w:sz w:val="22"/>
          <w:szCs w:val="22"/>
          <w:lang w:val="es-CR"/>
        </w:rPr>
      </w:pPr>
      <w:r w:rsidRPr="00F02F9D">
        <w:rPr>
          <w:rFonts w:ascii="Arial" w:eastAsia="Arial" w:hAnsi="Arial"/>
          <w:bCs/>
          <w:sz w:val="22"/>
          <w:szCs w:val="22"/>
          <w:lang w:val="es-CR"/>
        </w:rPr>
        <w:t>1.201.1.01</w:t>
      </w:r>
      <w:r w:rsidRPr="00F02F9D">
        <w:rPr>
          <w:rFonts w:ascii="Arial" w:eastAsia="Arial" w:hAnsi="Arial"/>
          <w:bCs/>
          <w:sz w:val="22"/>
          <w:szCs w:val="22"/>
          <w:lang w:val="es-CR"/>
        </w:rPr>
        <w:tab/>
      </w:r>
      <w:r w:rsidR="00253FBB" w:rsidRPr="00F02F9D">
        <w:rPr>
          <w:rFonts w:ascii="Arial" w:eastAsia="Arial" w:hAnsi="Arial"/>
          <w:bCs/>
          <w:sz w:val="22"/>
          <w:szCs w:val="22"/>
          <w:lang w:val="es-CR"/>
        </w:rPr>
        <w:t>Los flujos de efectivo futuros se estiman para el activo en su estado actual, por lo que el valor en uso no reflejará:</w:t>
      </w:r>
    </w:p>
    <w:p w14:paraId="16FEBD3D" w14:textId="77777777" w:rsidR="00F36957" w:rsidRPr="00F02F9D" w:rsidRDefault="00F36957" w:rsidP="001D639C">
      <w:pPr>
        <w:spacing w:line="236" w:lineRule="auto"/>
        <w:ind w:left="1134" w:right="280" w:hanging="1134"/>
        <w:jc w:val="both"/>
        <w:rPr>
          <w:rFonts w:ascii="Arial" w:eastAsia="Arial" w:hAnsi="Arial"/>
          <w:bCs/>
          <w:sz w:val="22"/>
          <w:szCs w:val="22"/>
          <w:lang w:val="es-CR"/>
        </w:rPr>
      </w:pPr>
    </w:p>
    <w:p w14:paraId="78DCA07D" w14:textId="77777777" w:rsidR="00253FBB" w:rsidRPr="00F02F9D" w:rsidRDefault="00253FBB" w:rsidP="00253FBB">
      <w:pPr>
        <w:spacing w:line="9" w:lineRule="exact"/>
        <w:rPr>
          <w:rFonts w:ascii="Arial" w:eastAsia="Arial" w:hAnsi="Arial"/>
          <w:bCs/>
          <w:sz w:val="22"/>
          <w:szCs w:val="22"/>
          <w:lang w:val="es-CR"/>
        </w:rPr>
      </w:pPr>
    </w:p>
    <w:p w14:paraId="4305C6EF" w14:textId="2293FC28" w:rsidR="00253FBB" w:rsidRPr="00F02F9D" w:rsidRDefault="00253FBB" w:rsidP="00F36957">
      <w:pPr>
        <w:pStyle w:val="Prrafodelista"/>
        <w:numPr>
          <w:ilvl w:val="0"/>
          <w:numId w:val="68"/>
        </w:numPr>
        <w:spacing w:after="120"/>
        <w:ind w:left="1418"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Las salidas de efectivo futuras o los ahorros de costos relacionados (por </w:t>
      </w:r>
      <w:r w:rsidR="001D639C" w:rsidRPr="00F02F9D">
        <w:rPr>
          <w:rFonts w:ascii="Arial" w:eastAsia="Arial" w:hAnsi="Arial"/>
          <w:bCs/>
          <w:sz w:val="22"/>
          <w:szCs w:val="22"/>
          <w:lang w:val="es-CR"/>
        </w:rPr>
        <w:t>ejemplo,</w:t>
      </w:r>
      <w:r w:rsidRPr="00F02F9D">
        <w:rPr>
          <w:rFonts w:ascii="Arial" w:eastAsia="Arial" w:hAnsi="Arial"/>
          <w:bCs/>
          <w:sz w:val="22"/>
          <w:szCs w:val="22"/>
          <w:lang w:val="es-CR"/>
        </w:rPr>
        <w:t xml:space="preserve"> reducciones de personal), ni otros beneficios que se espere que </w:t>
      </w:r>
      <w:bookmarkStart w:id="67" w:name="page66"/>
      <w:bookmarkEnd w:id="67"/>
      <w:r w:rsidRPr="00F02F9D">
        <w:rPr>
          <w:rFonts w:ascii="Arial" w:eastAsia="Arial" w:hAnsi="Arial"/>
          <w:bCs/>
          <w:sz w:val="22"/>
          <w:szCs w:val="22"/>
          <w:lang w:val="es-CR"/>
        </w:rPr>
        <w:t>surjan de una reestructuración futura en la que la entidad no se haya comprometido hasta el momento.</w:t>
      </w:r>
    </w:p>
    <w:p w14:paraId="4FAD8B7A" w14:textId="77777777" w:rsidR="00253FBB" w:rsidRPr="00F02F9D" w:rsidRDefault="00253FBB" w:rsidP="001D639C">
      <w:pPr>
        <w:spacing w:line="9" w:lineRule="exact"/>
        <w:ind w:left="1418" w:hanging="284"/>
        <w:rPr>
          <w:rFonts w:ascii="Arial" w:eastAsia="Times New Roman" w:hAnsi="Arial"/>
          <w:bCs/>
          <w:sz w:val="22"/>
          <w:szCs w:val="22"/>
          <w:lang w:val="es-CR"/>
        </w:rPr>
      </w:pPr>
    </w:p>
    <w:p w14:paraId="4FCC9A31" w14:textId="77777777" w:rsidR="00253FBB" w:rsidRPr="00F02F9D" w:rsidRDefault="00253FBB">
      <w:pPr>
        <w:pStyle w:val="Prrafodelista"/>
        <w:numPr>
          <w:ilvl w:val="0"/>
          <w:numId w:val="68"/>
        </w:numPr>
        <w:spacing w:line="237"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Las salidas de efectivo futuras que vayan a mejorar o aumentar el rendimiento del activo, ni tampoco las entradas de efectivo que se espere obtener de estas salidas de efectivo.</w:t>
      </w:r>
    </w:p>
    <w:p w14:paraId="77441F97" w14:textId="77777777" w:rsidR="00253FBB" w:rsidRPr="00F02F9D" w:rsidRDefault="00253FBB" w:rsidP="00253FBB">
      <w:pPr>
        <w:spacing w:line="277" w:lineRule="exact"/>
        <w:rPr>
          <w:rFonts w:ascii="Arial" w:eastAsia="Arial" w:hAnsi="Arial"/>
          <w:bCs/>
          <w:sz w:val="22"/>
          <w:szCs w:val="22"/>
          <w:lang w:val="es-CR"/>
        </w:rPr>
      </w:pPr>
    </w:p>
    <w:p w14:paraId="5126468B" w14:textId="223D45BA" w:rsidR="00253FBB" w:rsidRPr="00F02F9D" w:rsidRDefault="001D639C" w:rsidP="001D639C">
      <w:pPr>
        <w:spacing w:line="236" w:lineRule="auto"/>
        <w:ind w:left="1134" w:right="280" w:hanging="1134"/>
        <w:jc w:val="both"/>
        <w:rPr>
          <w:rFonts w:ascii="Arial" w:eastAsia="Arial" w:hAnsi="Arial"/>
          <w:bCs/>
          <w:sz w:val="22"/>
          <w:szCs w:val="22"/>
          <w:lang w:val="es-CR"/>
        </w:rPr>
      </w:pPr>
      <w:r w:rsidRPr="00F02F9D">
        <w:rPr>
          <w:rFonts w:ascii="Arial" w:eastAsia="Arial" w:hAnsi="Arial"/>
          <w:bCs/>
          <w:sz w:val="22"/>
          <w:szCs w:val="22"/>
          <w:lang w:val="es-CR"/>
        </w:rPr>
        <w:lastRenderedPageBreak/>
        <w:t>.201.2.01</w:t>
      </w:r>
      <w:r w:rsidRPr="00F02F9D">
        <w:rPr>
          <w:rFonts w:ascii="Arial" w:eastAsia="Arial" w:hAnsi="Arial"/>
          <w:bCs/>
          <w:sz w:val="22"/>
          <w:szCs w:val="22"/>
          <w:lang w:val="es-CR"/>
        </w:rPr>
        <w:tab/>
      </w:r>
      <w:r w:rsidR="00253FBB" w:rsidRPr="00F02F9D">
        <w:rPr>
          <w:rFonts w:ascii="Arial" w:eastAsia="Arial" w:hAnsi="Arial"/>
          <w:bCs/>
          <w:sz w:val="22"/>
          <w:szCs w:val="22"/>
          <w:lang w:val="es-CR"/>
        </w:rPr>
        <w:t>Cuando se encuentre comprometido un proceso de reestructuración y algunos activos queden afectados al mismo, deberá tenerse presente lo siguiente:</w:t>
      </w:r>
    </w:p>
    <w:p w14:paraId="446D22DB" w14:textId="77777777" w:rsidR="00253FBB" w:rsidRPr="00F02F9D" w:rsidRDefault="00253FBB" w:rsidP="00253FBB">
      <w:pPr>
        <w:spacing w:line="1" w:lineRule="exact"/>
        <w:rPr>
          <w:rFonts w:ascii="Arial" w:eastAsia="Arial" w:hAnsi="Arial"/>
          <w:bCs/>
          <w:sz w:val="22"/>
          <w:szCs w:val="22"/>
          <w:lang w:val="es-CR"/>
        </w:rPr>
      </w:pPr>
    </w:p>
    <w:p w14:paraId="29DEF5AA" w14:textId="77777777" w:rsidR="00253FBB" w:rsidRDefault="00253FBB">
      <w:pPr>
        <w:pStyle w:val="Prrafodelista"/>
        <w:numPr>
          <w:ilvl w:val="0"/>
          <w:numId w:val="69"/>
        </w:numPr>
        <w:spacing w:line="238"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Al determinar el valor en uso, las estimaciones de entradas y salidas futuras de efectivo reflejarán los ahorros de costos y demás beneficios esperados de la reestructuración (a partir de los presupuestos o pronósticos financieros más recientes aprobados).</w:t>
      </w:r>
    </w:p>
    <w:p w14:paraId="578FFE7A" w14:textId="77777777" w:rsidR="006808DF" w:rsidRPr="00F02F9D" w:rsidRDefault="006808DF" w:rsidP="006808DF">
      <w:pPr>
        <w:pStyle w:val="Prrafodelista"/>
        <w:spacing w:line="238" w:lineRule="auto"/>
        <w:ind w:left="1418" w:right="260"/>
        <w:jc w:val="both"/>
        <w:rPr>
          <w:rFonts w:ascii="Arial" w:eastAsia="Arial" w:hAnsi="Arial"/>
          <w:bCs/>
          <w:sz w:val="22"/>
          <w:szCs w:val="22"/>
          <w:lang w:val="es-CR"/>
        </w:rPr>
      </w:pPr>
    </w:p>
    <w:p w14:paraId="698346E2" w14:textId="77777777" w:rsidR="00253FBB" w:rsidRDefault="00253FBB" w:rsidP="001D639C">
      <w:pPr>
        <w:spacing w:line="9" w:lineRule="exact"/>
        <w:ind w:left="1418" w:hanging="284"/>
        <w:rPr>
          <w:rFonts w:ascii="Arial" w:eastAsia="Arial" w:hAnsi="Arial"/>
          <w:bCs/>
          <w:sz w:val="22"/>
          <w:szCs w:val="22"/>
          <w:lang w:val="es-CR"/>
        </w:rPr>
      </w:pPr>
    </w:p>
    <w:p w14:paraId="35924158" w14:textId="77777777" w:rsidR="006808DF" w:rsidRPr="00F02F9D" w:rsidRDefault="006808DF" w:rsidP="001D639C">
      <w:pPr>
        <w:spacing w:line="9" w:lineRule="exact"/>
        <w:ind w:left="1418" w:hanging="284"/>
        <w:rPr>
          <w:rFonts w:ascii="Arial" w:eastAsia="Arial" w:hAnsi="Arial"/>
          <w:bCs/>
          <w:sz w:val="22"/>
          <w:szCs w:val="22"/>
          <w:lang w:val="es-CR"/>
        </w:rPr>
      </w:pPr>
    </w:p>
    <w:p w14:paraId="6C433AEB" w14:textId="08B5674D" w:rsidR="00253FBB" w:rsidRPr="006808DF" w:rsidRDefault="00253FBB" w:rsidP="006808DF">
      <w:pPr>
        <w:pStyle w:val="Prrafodelista"/>
        <w:numPr>
          <w:ilvl w:val="0"/>
          <w:numId w:val="69"/>
        </w:numPr>
        <w:spacing w:line="252"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Las estimaciones de s</w:t>
      </w:r>
      <w:r w:rsidRPr="006808DF">
        <w:rPr>
          <w:rFonts w:ascii="Arial" w:eastAsia="Arial" w:hAnsi="Arial"/>
          <w:bCs/>
          <w:sz w:val="22"/>
          <w:szCs w:val="22"/>
          <w:lang w:val="es-CR"/>
        </w:rPr>
        <w:t>alidas de efectivo futuras por la reestructuración en sí, se incluirán en la provisión por reestructuración.</w:t>
      </w:r>
    </w:p>
    <w:p w14:paraId="30122181"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p w14:paraId="7A00CFAF"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tbl>
      <w:tblPr>
        <w:tblW w:w="9062" w:type="dxa"/>
        <w:tblLook w:val="04A0" w:firstRow="1" w:lastRow="0" w:firstColumn="1" w:lastColumn="0" w:noHBand="0" w:noVBand="1"/>
      </w:tblPr>
      <w:tblGrid>
        <w:gridCol w:w="559"/>
        <w:gridCol w:w="550"/>
        <w:gridCol w:w="539"/>
        <w:gridCol w:w="3162"/>
        <w:gridCol w:w="2329"/>
        <w:gridCol w:w="1923"/>
      </w:tblGrid>
      <w:tr w:rsidR="002F02D6" w:rsidRPr="006808DF" w14:paraId="79B8D3D0" w14:textId="77777777" w:rsidTr="002F02D6">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92459EC" w14:textId="77777777" w:rsidR="002F02D6" w:rsidRPr="006808DF" w:rsidRDefault="002F02D6" w:rsidP="002F02D6">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31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629A9E08" w14:textId="77777777" w:rsidR="002F02D6" w:rsidRPr="006808DF" w:rsidRDefault="002F02D6" w:rsidP="002F02D6">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60AD76F1" w14:textId="77777777" w:rsidR="002F02D6" w:rsidRPr="006808DF" w:rsidRDefault="002F02D6" w:rsidP="002F02D6">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2F02D6" w:rsidRPr="0071104F" w14:paraId="4B0FC5C0" w14:textId="77777777" w:rsidTr="002F02D6">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42A2D1B7" w14:textId="77777777" w:rsidR="002F02D6" w:rsidRPr="006808DF" w:rsidRDefault="002F02D6" w:rsidP="002F02D6">
            <w:pPr>
              <w:rPr>
                <w:rFonts w:ascii="Arial Narrow" w:eastAsia="Times New Roman" w:hAnsi="Arial Narrow"/>
                <w:b/>
                <w:bCs/>
                <w:color w:val="FFFFFF"/>
                <w:sz w:val="22"/>
                <w:szCs w:val="22"/>
              </w:rPr>
            </w:pPr>
          </w:p>
        </w:tc>
        <w:tc>
          <w:tcPr>
            <w:tcW w:w="3162" w:type="dxa"/>
            <w:vMerge/>
            <w:tcBorders>
              <w:top w:val="single" w:sz="8" w:space="0" w:color="auto"/>
              <w:left w:val="single" w:sz="8" w:space="0" w:color="auto"/>
              <w:bottom w:val="nil"/>
              <w:right w:val="single" w:sz="8" w:space="0" w:color="auto"/>
            </w:tcBorders>
            <w:vAlign w:val="center"/>
            <w:hideMark/>
          </w:tcPr>
          <w:p w14:paraId="7B543CC2" w14:textId="77777777" w:rsidR="002F02D6" w:rsidRPr="006808DF" w:rsidRDefault="002F02D6" w:rsidP="002F02D6">
            <w:pPr>
              <w:rPr>
                <w:rFonts w:ascii="Arial Narrow" w:eastAsia="Times New Roman" w:hAnsi="Arial Narrow"/>
                <w:b/>
                <w:bCs/>
                <w:color w:val="FFFFFF"/>
                <w:sz w:val="22"/>
                <w:szCs w:val="22"/>
              </w:rPr>
            </w:pPr>
          </w:p>
        </w:tc>
        <w:tc>
          <w:tcPr>
            <w:tcW w:w="2329" w:type="dxa"/>
            <w:tcBorders>
              <w:top w:val="nil"/>
              <w:left w:val="nil"/>
              <w:bottom w:val="nil"/>
              <w:right w:val="single" w:sz="8" w:space="0" w:color="auto"/>
            </w:tcBorders>
            <w:shd w:val="clear" w:color="000000" w:fill="203764"/>
            <w:vAlign w:val="center"/>
            <w:hideMark/>
          </w:tcPr>
          <w:p w14:paraId="69ABD22A" w14:textId="77777777" w:rsidR="002F02D6" w:rsidRPr="006808DF" w:rsidRDefault="002F02D6" w:rsidP="002F02D6">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1923" w:type="dxa"/>
            <w:tcBorders>
              <w:top w:val="nil"/>
              <w:left w:val="nil"/>
              <w:bottom w:val="nil"/>
              <w:right w:val="single" w:sz="8" w:space="0" w:color="auto"/>
            </w:tcBorders>
            <w:shd w:val="clear" w:color="000000" w:fill="203764"/>
            <w:vAlign w:val="center"/>
            <w:hideMark/>
          </w:tcPr>
          <w:p w14:paraId="7FAA807A" w14:textId="5D641F1D" w:rsidR="002F02D6" w:rsidRPr="0071104F" w:rsidRDefault="0071104F" w:rsidP="002F02D6">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2F02D6" w:rsidRPr="006808DF" w14:paraId="37027C8E" w14:textId="77777777" w:rsidTr="002F02D6">
        <w:trPr>
          <w:trHeight w:val="730"/>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22334A"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36165DDF"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202</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131C1280" w14:textId="31E31852" w:rsidR="002F02D6" w:rsidRPr="006808DF" w:rsidRDefault="002B7D8C"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0</w:t>
            </w:r>
            <w:r w:rsidR="002F02D6" w:rsidRPr="006808DF">
              <w:rPr>
                <w:rFonts w:ascii="Arial Narrow" w:eastAsia="Times New Roman" w:hAnsi="Arial Narrow"/>
                <w:b/>
                <w:bCs/>
                <w:color w:val="000000"/>
                <w:sz w:val="22"/>
                <w:szCs w:val="22"/>
              </w:rPr>
              <w:t xml:space="preserve"> </w:t>
            </w:r>
          </w:p>
        </w:tc>
        <w:tc>
          <w:tcPr>
            <w:tcW w:w="3162" w:type="dxa"/>
            <w:tcBorders>
              <w:top w:val="single" w:sz="8" w:space="0" w:color="auto"/>
              <w:left w:val="nil"/>
              <w:bottom w:val="single" w:sz="8" w:space="0" w:color="auto"/>
              <w:right w:val="single" w:sz="8" w:space="0" w:color="auto"/>
            </w:tcBorders>
            <w:shd w:val="clear" w:color="auto" w:fill="auto"/>
            <w:vAlign w:val="center"/>
            <w:hideMark/>
          </w:tcPr>
          <w:p w14:paraId="36FE6DDA" w14:textId="77777777" w:rsidR="002F02D6" w:rsidRPr="006808DF" w:rsidRDefault="002F02D6" w:rsidP="002F02D6">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Composición de las estimaciones de los flujos de efectivo futuros</w:t>
            </w:r>
          </w:p>
        </w:tc>
        <w:tc>
          <w:tcPr>
            <w:tcW w:w="2329" w:type="dxa"/>
            <w:tcBorders>
              <w:top w:val="single" w:sz="8" w:space="0" w:color="auto"/>
              <w:left w:val="nil"/>
              <w:bottom w:val="single" w:sz="8" w:space="0" w:color="auto"/>
              <w:right w:val="single" w:sz="8" w:space="0" w:color="auto"/>
            </w:tcBorders>
            <w:shd w:val="clear" w:color="auto" w:fill="auto"/>
            <w:vAlign w:val="center"/>
            <w:hideMark/>
          </w:tcPr>
          <w:p w14:paraId="6CDF7CB6" w14:textId="77777777" w:rsidR="002F02D6" w:rsidRPr="006808DF" w:rsidRDefault="002F02D6" w:rsidP="002F02D6">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59C90442" w14:textId="4D55BA78" w:rsidR="002F02D6" w:rsidRPr="006808DF" w:rsidRDefault="002F02D6" w:rsidP="002F02D6">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Párrafos 52, 54 a 56, 61 a 63 y 66.</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0FB53D6F" w14:textId="77777777" w:rsidR="002F02D6" w:rsidRPr="006808DF" w:rsidRDefault="002F02D6" w:rsidP="002F02D6">
            <w:pPr>
              <w:jc w:val="cente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 </w:t>
            </w:r>
          </w:p>
        </w:tc>
      </w:tr>
      <w:tr w:rsidR="002F02D6" w:rsidRPr="006808DF" w14:paraId="18906AE7" w14:textId="77777777" w:rsidTr="002F02D6">
        <w:trPr>
          <w:trHeight w:val="400"/>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75711405"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0E1A0C1D"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202</w:t>
            </w:r>
          </w:p>
        </w:tc>
        <w:tc>
          <w:tcPr>
            <w:tcW w:w="539" w:type="dxa"/>
            <w:tcBorders>
              <w:top w:val="nil"/>
              <w:left w:val="nil"/>
              <w:bottom w:val="single" w:sz="8" w:space="0" w:color="auto"/>
              <w:right w:val="single" w:sz="8" w:space="0" w:color="auto"/>
            </w:tcBorders>
            <w:shd w:val="clear" w:color="auto" w:fill="auto"/>
            <w:vAlign w:val="center"/>
            <w:hideMark/>
          </w:tcPr>
          <w:p w14:paraId="184F7799"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1</w:t>
            </w:r>
          </w:p>
        </w:tc>
        <w:tc>
          <w:tcPr>
            <w:tcW w:w="3162" w:type="dxa"/>
            <w:tcBorders>
              <w:top w:val="nil"/>
              <w:left w:val="nil"/>
              <w:bottom w:val="single" w:sz="8" w:space="0" w:color="auto"/>
              <w:right w:val="single" w:sz="8" w:space="0" w:color="auto"/>
            </w:tcBorders>
            <w:shd w:val="clear" w:color="auto" w:fill="auto"/>
            <w:vAlign w:val="center"/>
            <w:hideMark/>
          </w:tcPr>
          <w:p w14:paraId="3BABF1DD" w14:textId="237D7862" w:rsidR="002F02D6" w:rsidRPr="006808DF" w:rsidRDefault="002F02D6" w:rsidP="002F02D6">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Efectos de la</w:t>
            </w:r>
            <w:r w:rsidRPr="006808DF">
              <w:rPr>
                <w:rFonts w:ascii="Arial Narrow" w:eastAsia="Times New Roman" w:hAnsi="Arial Narrow"/>
                <w:b/>
                <w:bCs/>
                <w:color w:val="000000"/>
                <w:sz w:val="22"/>
                <w:szCs w:val="22"/>
                <w:lang w:val="es-CR"/>
              </w:rPr>
              <w:br/>
              <w:t>inflación general</w:t>
            </w:r>
          </w:p>
        </w:tc>
        <w:tc>
          <w:tcPr>
            <w:tcW w:w="2329" w:type="dxa"/>
            <w:tcBorders>
              <w:top w:val="nil"/>
              <w:left w:val="nil"/>
              <w:bottom w:val="single" w:sz="8" w:space="0" w:color="auto"/>
              <w:right w:val="single" w:sz="8" w:space="0" w:color="auto"/>
            </w:tcBorders>
            <w:shd w:val="clear" w:color="auto" w:fill="auto"/>
            <w:vAlign w:val="center"/>
            <w:hideMark/>
          </w:tcPr>
          <w:p w14:paraId="6D882F1F" w14:textId="77777777" w:rsidR="002F02D6" w:rsidRPr="006808DF" w:rsidRDefault="002F02D6" w:rsidP="002F02D6">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4E6A777D" w14:textId="54C03A44" w:rsidR="002F02D6" w:rsidRPr="006808DF" w:rsidRDefault="002F02D6" w:rsidP="002F02D6">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Párrafo 53.</w:t>
            </w:r>
          </w:p>
        </w:tc>
        <w:tc>
          <w:tcPr>
            <w:tcW w:w="1923" w:type="dxa"/>
            <w:tcBorders>
              <w:top w:val="nil"/>
              <w:left w:val="nil"/>
              <w:bottom w:val="single" w:sz="8" w:space="0" w:color="auto"/>
              <w:right w:val="single" w:sz="8" w:space="0" w:color="auto"/>
            </w:tcBorders>
            <w:shd w:val="clear" w:color="auto" w:fill="auto"/>
            <w:vAlign w:val="center"/>
            <w:hideMark/>
          </w:tcPr>
          <w:p w14:paraId="6576C5D5"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r w:rsidR="002F02D6" w:rsidRPr="006808DF" w14:paraId="73361E58" w14:textId="77777777" w:rsidTr="002F02D6">
        <w:trPr>
          <w:trHeight w:val="493"/>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7761D052"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7E81C0AA"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202</w:t>
            </w:r>
          </w:p>
        </w:tc>
        <w:tc>
          <w:tcPr>
            <w:tcW w:w="539" w:type="dxa"/>
            <w:tcBorders>
              <w:top w:val="nil"/>
              <w:left w:val="nil"/>
              <w:bottom w:val="single" w:sz="8" w:space="0" w:color="auto"/>
              <w:right w:val="single" w:sz="8" w:space="0" w:color="auto"/>
            </w:tcBorders>
            <w:shd w:val="clear" w:color="auto" w:fill="auto"/>
            <w:vAlign w:val="center"/>
            <w:hideMark/>
          </w:tcPr>
          <w:p w14:paraId="52C922BB"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w:t>
            </w:r>
          </w:p>
        </w:tc>
        <w:tc>
          <w:tcPr>
            <w:tcW w:w="3162" w:type="dxa"/>
            <w:tcBorders>
              <w:top w:val="nil"/>
              <w:left w:val="nil"/>
              <w:bottom w:val="single" w:sz="8" w:space="0" w:color="auto"/>
              <w:right w:val="single" w:sz="8" w:space="0" w:color="auto"/>
            </w:tcBorders>
            <w:shd w:val="clear" w:color="auto" w:fill="auto"/>
            <w:vAlign w:val="center"/>
            <w:hideMark/>
          </w:tcPr>
          <w:p w14:paraId="09464C35" w14:textId="1F801C7F" w:rsidR="002F02D6" w:rsidRPr="006808DF" w:rsidRDefault="002F02D6" w:rsidP="002F02D6">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Flujos de efectivo en moneda extranjera</w:t>
            </w:r>
          </w:p>
        </w:tc>
        <w:tc>
          <w:tcPr>
            <w:tcW w:w="2329" w:type="dxa"/>
            <w:tcBorders>
              <w:top w:val="nil"/>
              <w:left w:val="nil"/>
              <w:bottom w:val="single" w:sz="8" w:space="0" w:color="auto"/>
              <w:right w:val="single" w:sz="8" w:space="0" w:color="auto"/>
            </w:tcBorders>
            <w:shd w:val="clear" w:color="auto" w:fill="auto"/>
            <w:vAlign w:val="center"/>
            <w:hideMark/>
          </w:tcPr>
          <w:p w14:paraId="29B12A0C" w14:textId="77777777" w:rsidR="002F02D6" w:rsidRPr="006808DF" w:rsidRDefault="002F02D6" w:rsidP="002F02D6">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68E652C9" w14:textId="1C84B219" w:rsidR="002F02D6" w:rsidRPr="006808DF" w:rsidRDefault="002F02D6" w:rsidP="002F02D6">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Párrafo 67.</w:t>
            </w:r>
          </w:p>
        </w:tc>
        <w:tc>
          <w:tcPr>
            <w:tcW w:w="1923" w:type="dxa"/>
            <w:tcBorders>
              <w:top w:val="nil"/>
              <w:left w:val="nil"/>
              <w:bottom w:val="single" w:sz="8" w:space="0" w:color="auto"/>
              <w:right w:val="single" w:sz="8" w:space="0" w:color="auto"/>
            </w:tcBorders>
            <w:shd w:val="clear" w:color="auto" w:fill="auto"/>
            <w:vAlign w:val="center"/>
            <w:hideMark/>
          </w:tcPr>
          <w:p w14:paraId="6702D870" w14:textId="77777777" w:rsidR="002F02D6" w:rsidRPr="006808DF" w:rsidRDefault="002F02D6" w:rsidP="002F02D6">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bl>
    <w:p w14:paraId="1FBA7B97"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p w14:paraId="367095A2" w14:textId="10D20643" w:rsidR="00C356B1" w:rsidRDefault="006808DF" w:rsidP="00C356B1">
      <w:pPr>
        <w:spacing w:line="251"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32F8F14" w14:textId="77777777" w:rsidR="006808DF" w:rsidRPr="00F02F9D" w:rsidRDefault="006808DF" w:rsidP="00C356B1">
      <w:pPr>
        <w:spacing w:line="251" w:lineRule="auto"/>
        <w:ind w:left="1134" w:right="260" w:hanging="1134"/>
        <w:jc w:val="both"/>
        <w:rPr>
          <w:rFonts w:ascii="Arial" w:eastAsia="Arial" w:hAnsi="Arial"/>
          <w:bCs/>
          <w:sz w:val="22"/>
          <w:szCs w:val="22"/>
          <w:lang w:val="es-CR"/>
        </w:rPr>
      </w:pPr>
    </w:p>
    <w:p w14:paraId="75AFC372" w14:textId="06BFE545" w:rsidR="002F02D6" w:rsidRPr="00F02F9D" w:rsidRDefault="002F02D6" w:rsidP="002F02D6">
      <w:pPr>
        <w:spacing w:line="0" w:lineRule="atLeast"/>
        <w:ind w:left="1134" w:hanging="1134"/>
        <w:rPr>
          <w:rFonts w:ascii="Arial" w:eastAsia="Arial" w:hAnsi="Arial"/>
          <w:bCs/>
          <w:sz w:val="22"/>
          <w:szCs w:val="22"/>
          <w:lang w:val="es-CR"/>
        </w:rPr>
      </w:pPr>
      <w:r w:rsidRPr="00F02F9D">
        <w:rPr>
          <w:rFonts w:ascii="Arial" w:eastAsia="Arial" w:hAnsi="Arial"/>
          <w:bCs/>
          <w:sz w:val="22"/>
          <w:szCs w:val="22"/>
          <w:lang w:val="es-CR"/>
        </w:rPr>
        <w:t>1.202.0.01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las estimaciones de los flujos de efectivo futuros incluirán:</w:t>
      </w:r>
    </w:p>
    <w:p w14:paraId="72E9E69F" w14:textId="77777777" w:rsidR="002F02D6" w:rsidRPr="00F02F9D" w:rsidRDefault="002F02D6" w:rsidP="002F02D6">
      <w:pPr>
        <w:spacing w:line="285" w:lineRule="exact"/>
        <w:rPr>
          <w:rFonts w:ascii="Arial" w:eastAsia="Times New Roman" w:hAnsi="Arial"/>
          <w:bCs/>
          <w:sz w:val="22"/>
          <w:szCs w:val="22"/>
          <w:lang w:val="es-CR"/>
        </w:rPr>
      </w:pPr>
    </w:p>
    <w:p w14:paraId="6D13C39E" w14:textId="0CE4131F" w:rsidR="002F02D6" w:rsidRPr="006808DF" w:rsidRDefault="002F02D6" w:rsidP="006808DF">
      <w:pPr>
        <w:numPr>
          <w:ilvl w:val="0"/>
          <w:numId w:val="70"/>
        </w:numPr>
        <w:spacing w:after="120"/>
        <w:ind w:left="1418" w:right="260" w:hanging="284"/>
        <w:rPr>
          <w:rFonts w:ascii="Arial" w:eastAsia="Arial" w:hAnsi="Arial"/>
          <w:bCs/>
          <w:sz w:val="22"/>
          <w:szCs w:val="22"/>
          <w:lang w:val="es-CR"/>
        </w:rPr>
      </w:pPr>
      <w:r w:rsidRPr="00F02F9D">
        <w:rPr>
          <w:rFonts w:ascii="Arial" w:eastAsia="Arial" w:hAnsi="Arial"/>
          <w:bCs/>
          <w:sz w:val="22"/>
          <w:szCs w:val="22"/>
          <w:lang w:val="es-CR"/>
        </w:rPr>
        <w:t>Proyecciones de salidas de efectivo en las que se prevea incurrir antes de que el activo esté listo para su uso o venta, en caso de corresponder.</w:t>
      </w:r>
    </w:p>
    <w:p w14:paraId="21917A6A" w14:textId="53531BA5" w:rsidR="002F02D6" w:rsidRPr="006808DF" w:rsidRDefault="002F02D6" w:rsidP="006808DF">
      <w:pPr>
        <w:numPr>
          <w:ilvl w:val="0"/>
          <w:numId w:val="70"/>
        </w:numPr>
        <w:spacing w:after="120"/>
        <w:ind w:left="1418" w:right="260" w:hanging="284"/>
        <w:rPr>
          <w:rFonts w:ascii="Arial" w:eastAsia="Arial" w:hAnsi="Arial"/>
          <w:bCs/>
          <w:sz w:val="22"/>
          <w:szCs w:val="22"/>
          <w:lang w:val="es-CR"/>
        </w:rPr>
      </w:pPr>
      <w:r w:rsidRPr="00F02F9D">
        <w:rPr>
          <w:rFonts w:ascii="Arial" w:eastAsia="Arial" w:hAnsi="Arial"/>
          <w:bCs/>
          <w:sz w:val="22"/>
          <w:szCs w:val="22"/>
          <w:lang w:val="es-CR"/>
        </w:rPr>
        <w:t>Proyecciones de entradas de efectivo procedentes de la utilización continuada del activo.</w:t>
      </w:r>
    </w:p>
    <w:p w14:paraId="00196561" w14:textId="27F734AD" w:rsidR="002F02D6" w:rsidRPr="006808DF" w:rsidRDefault="002F02D6" w:rsidP="006808DF">
      <w:pPr>
        <w:numPr>
          <w:ilvl w:val="0"/>
          <w:numId w:val="70"/>
        </w:numPr>
        <w:spacing w:after="120"/>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Proyecciones de salidas de efectivo en las que sea necesario incurrir para generar las entradas de efectivo por la utilización continuada del activo, incluyendo los gastos de mantenimiento diario, otros gastos generales vinculados a su utilización y, en su caso, los pagos que sean necesarios para preparar al activo para su utilización, siempre que dichas salidas puedan ser atribuidas directamente al activo, o distribuidas según una base razonable y coherente.</w:t>
      </w:r>
    </w:p>
    <w:p w14:paraId="2E1A2FC9" w14:textId="29A3A75E" w:rsidR="002F02D6" w:rsidRPr="006808DF" w:rsidRDefault="002F02D6" w:rsidP="006808DF">
      <w:pPr>
        <w:numPr>
          <w:ilvl w:val="0"/>
          <w:numId w:val="70"/>
        </w:numPr>
        <w:spacing w:after="120"/>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 xml:space="preserve">Proyecciones de salidas futuras necesarias para mantener el nivel de beneficios económicos o potencial de servicio que se espere surjan del activo en su estado actual, así como el costo de reemplazo de activos con </w:t>
      </w:r>
      <w:bookmarkStart w:id="68" w:name="page67"/>
      <w:bookmarkEnd w:id="68"/>
      <w:r w:rsidRPr="00F02F9D">
        <w:rPr>
          <w:rFonts w:ascii="Arial" w:eastAsia="Arial" w:hAnsi="Arial"/>
          <w:bCs/>
          <w:sz w:val="22"/>
          <w:szCs w:val="22"/>
          <w:lang w:val="es-CR"/>
        </w:rPr>
        <w:t>vidas útiles más cortas, cuando el activo objeto de medición forme parte de una unidad generadora de efectivo</w:t>
      </w:r>
    </w:p>
    <w:p w14:paraId="6E60DC31" w14:textId="703CC595" w:rsidR="002F02D6" w:rsidRPr="006808DF" w:rsidRDefault="002F02D6" w:rsidP="006808DF">
      <w:pPr>
        <w:numPr>
          <w:ilvl w:val="0"/>
          <w:numId w:val="70"/>
        </w:numPr>
        <w:spacing w:after="120"/>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Los flujos netos de efectivo que, en su caso, se recibirían (o pagarían) por la disposición del activo, al final de su vida útil, los que se determinarán de forma similar a la del valor razonable del activo menos los costos de venta, excepto que en la estimación de esos flujos de efectivo:</w:t>
      </w:r>
    </w:p>
    <w:p w14:paraId="14EC3E3D" w14:textId="77777777" w:rsidR="002F02D6" w:rsidRPr="00F02F9D" w:rsidRDefault="002F02D6" w:rsidP="006808DF">
      <w:pPr>
        <w:numPr>
          <w:ilvl w:val="0"/>
          <w:numId w:val="71"/>
        </w:numPr>
        <w:tabs>
          <w:tab w:val="left" w:pos="1819"/>
        </w:tabs>
        <w:spacing w:after="120"/>
        <w:ind w:left="1701" w:right="260" w:hanging="191"/>
        <w:jc w:val="both"/>
        <w:rPr>
          <w:rFonts w:ascii="Arial" w:eastAsia="Arial" w:hAnsi="Arial"/>
          <w:bCs/>
          <w:sz w:val="22"/>
          <w:szCs w:val="22"/>
          <w:lang w:val="es-CR"/>
        </w:rPr>
      </w:pPr>
      <w:r w:rsidRPr="00F02F9D">
        <w:rPr>
          <w:rFonts w:ascii="Arial" w:eastAsia="Arial" w:hAnsi="Arial"/>
          <w:bCs/>
          <w:sz w:val="22"/>
          <w:szCs w:val="22"/>
          <w:lang w:val="es-CR"/>
        </w:rPr>
        <w:t>Se utilicen precios vigentes en la fecha de estimación para activos similares, que hayan llegado al final de su vida útil y hayan estado operando en condiciones similares a aquéllas en las que el activo será utilizado.</w:t>
      </w:r>
    </w:p>
    <w:p w14:paraId="461C5625" w14:textId="77777777" w:rsidR="002F02D6" w:rsidRPr="00F02F9D" w:rsidRDefault="002F02D6" w:rsidP="002F02D6">
      <w:pPr>
        <w:spacing w:line="9" w:lineRule="exact"/>
        <w:ind w:left="1701" w:hanging="191"/>
        <w:rPr>
          <w:rFonts w:ascii="Arial" w:eastAsia="Times New Roman" w:hAnsi="Arial"/>
          <w:bCs/>
          <w:sz w:val="22"/>
          <w:szCs w:val="22"/>
          <w:lang w:val="es-CR"/>
        </w:rPr>
      </w:pPr>
    </w:p>
    <w:p w14:paraId="482194D2" w14:textId="012D6D23" w:rsidR="002F02D6" w:rsidRPr="00F02F9D" w:rsidRDefault="002F02D6">
      <w:pPr>
        <w:numPr>
          <w:ilvl w:val="0"/>
          <w:numId w:val="71"/>
        </w:numPr>
        <w:tabs>
          <w:tab w:val="left" w:pos="1820"/>
        </w:tabs>
        <w:spacing w:line="250" w:lineRule="auto"/>
        <w:ind w:left="1701" w:right="260" w:hanging="191"/>
        <w:jc w:val="both"/>
        <w:rPr>
          <w:rFonts w:ascii="Arial" w:eastAsia="Arial" w:hAnsi="Arial"/>
          <w:bCs/>
          <w:sz w:val="22"/>
          <w:szCs w:val="22"/>
          <w:lang w:val="es-CR"/>
        </w:rPr>
      </w:pPr>
      <w:r w:rsidRPr="00F02F9D">
        <w:rPr>
          <w:rFonts w:ascii="Arial" w:eastAsia="Arial" w:hAnsi="Arial"/>
          <w:bCs/>
          <w:sz w:val="22"/>
          <w:szCs w:val="22"/>
          <w:lang w:val="es-CR"/>
        </w:rPr>
        <w:t xml:space="preserve">Se ajusten dichos precios por el efecto de los incrementos debidos a la inflación general, y por los incrementos o disminuciones de los precios </w:t>
      </w:r>
      <w:r w:rsidRPr="00F02F9D">
        <w:rPr>
          <w:rFonts w:ascii="Arial" w:eastAsia="Arial" w:hAnsi="Arial"/>
          <w:bCs/>
          <w:sz w:val="22"/>
          <w:szCs w:val="22"/>
          <w:lang w:val="es-CR"/>
        </w:rPr>
        <w:lastRenderedPageBreak/>
        <w:t xml:space="preserve">futuros específicos. No obstante, si tanto las estimaciones de los flujos de efectivo futuros, procedentes de la utilización continuada del activo, como la tasa de descuento, excluyen el efecto de la inflación general, la entidad </w:t>
      </w:r>
      <w:r w:rsidR="00AA22E2" w:rsidRPr="00F02F9D">
        <w:rPr>
          <w:rFonts w:ascii="Arial" w:eastAsia="Arial" w:hAnsi="Arial"/>
          <w:bCs/>
          <w:sz w:val="22"/>
          <w:szCs w:val="22"/>
          <w:lang w:val="es-CR"/>
        </w:rPr>
        <w:t>ta</w:t>
      </w:r>
      <w:r w:rsidR="00AA22E2">
        <w:rPr>
          <w:rFonts w:ascii="Arial" w:eastAsia="Arial" w:hAnsi="Arial"/>
          <w:bCs/>
          <w:sz w:val="22"/>
          <w:szCs w:val="22"/>
          <w:lang w:val="es-CR"/>
        </w:rPr>
        <w:t>mbi</w:t>
      </w:r>
      <w:r w:rsidR="00AA22E2" w:rsidRPr="00F02F9D">
        <w:rPr>
          <w:rFonts w:ascii="Arial" w:eastAsia="Arial" w:hAnsi="Arial"/>
          <w:bCs/>
          <w:sz w:val="22"/>
          <w:szCs w:val="22"/>
          <w:lang w:val="es-CR"/>
        </w:rPr>
        <w:t>én</w:t>
      </w:r>
      <w:r w:rsidRPr="00F02F9D">
        <w:rPr>
          <w:rFonts w:ascii="Arial" w:eastAsia="Arial" w:hAnsi="Arial"/>
          <w:bCs/>
          <w:sz w:val="22"/>
          <w:szCs w:val="22"/>
          <w:lang w:val="es-CR"/>
        </w:rPr>
        <w:t xml:space="preserve"> excluirá este efecto de la estimación de los flujos netos de efectivo procedentes de la disposición del activo.</w:t>
      </w:r>
    </w:p>
    <w:p w14:paraId="4B570BCA" w14:textId="77777777" w:rsidR="002F02D6" w:rsidRPr="00F02F9D" w:rsidRDefault="002F02D6" w:rsidP="002F02D6">
      <w:pPr>
        <w:spacing w:line="271" w:lineRule="exact"/>
        <w:rPr>
          <w:rFonts w:ascii="Arial" w:eastAsia="Times New Roman" w:hAnsi="Arial"/>
          <w:bCs/>
          <w:sz w:val="22"/>
          <w:szCs w:val="22"/>
          <w:lang w:val="es-CR"/>
        </w:rPr>
      </w:pPr>
    </w:p>
    <w:p w14:paraId="656C1381" w14:textId="11BD3462" w:rsidR="002F02D6" w:rsidRPr="00F02F9D" w:rsidRDefault="002F02D6" w:rsidP="002F02D6">
      <w:pPr>
        <w:spacing w:line="0" w:lineRule="atLeast"/>
        <w:ind w:left="1134" w:hanging="1134"/>
        <w:jc w:val="both"/>
        <w:rPr>
          <w:rFonts w:ascii="Arial" w:eastAsia="Arial" w:hAnsi="Arial"/>
          <w:bCs/>
          <w:sz w:val="22"/>
          <w:szCs w:val="22"/>
          <w:lang w:val="es-CR"/>
        </w:rPr>
      </w:pPr>
      <w:r w:rsidRPr="00F02F9D">
        <w:rPr>
          <w:rFonts w:ascii="Arial" w:eastAsia="Arial" w:hAnsi="Arial"/>
          <w:bCs/>
          <w:sz w:val="22"/>
          <w:szCs w:val="22"/>
          <w:lang w:val="es-CR"/>
        </w:rPr>
        <w:t>1.202.0.02</w:t>
      </w:r>
      <w:r w:rsidRPr="00F02F9D">
        <w:rPr>
          <w:rFonts w:ascii="Arial" w:eastAsia="Arial" w:hAnsi="Arial"/>
          <w:bCs/>
          <w:sz w:val="22"/>
          <w:szCs w:val="22"/>
          <w:lang w:val="es-CR"/>
        </w:rPr>
        <w:tab/>
        <w:t>Las estimaciones de los flujos de efectivo futuros no incluirán:</w:t>
      </w:r>
    </w:p>
    <w:p w14:paraId="7E3534DE" w14:textId="77777777" w:rsidR="002F02D6" w:rsidRPr="00F02F9D" w:rsidRDefault="002F02D6" w:rsidP="002F02D6">
      <w:pPr>
        <w:spacing w:line="285" w:lineRule="exact"/>
        <w:rPr>
          <w:rFonts w:ascii="Arial" w:eastAsia="Times New Roman" w:hAnsi="Arial"/>
          <w:bCs/>
          <w:sz w:val="22"/>
          <w:szCs w:val="22"/>
          <w:lang w:val="es-CR"/>
        </w:rPr>
      </w:pPr>
    </w:p>
    <w:p w14:paraId="5A3A3643" w14:textId="77777777" w:rsidR="002F02D6" w:rsidRPr="00F02F9D" w:rsidRDefault="002F02D6" w:rsidP="006808DF">
      <w:pPr>
        <w:numPr>
          <w:ilvl w:val="0"/>
          <w:numId w:val="72"/>
        </w:numPr>
        <w:spacing w:after="120" w:line="238" w:lineRule="auto"/>
        <w:ind w:left="1559" w:right="260" w:hanging="425"/>
        <w:jc w:val="both"/>
        <w:rPr>
          <w:rFonts w:ascii="Arial" w:eastAsia="Arial" w:hAnsi="Arial"/>
          <w:bCs/>
          <w:sz w:val="22"/>
          <w:szCs w:val="22"/>
          <w:lang w:val="es-CR"/>
        </w:rPr>
      </w:pPr>
      <w:r w:rsidRPr="00F02F9D">
        <w:rPr>
          <w:rFonts w:ascii="Arial" w:eastAsia="Arial" w:hAnsi="Arial"/>
          <w:bCs/>
          <w:sz w:val="22"/>
          <w:szCs w:val="22"/>
          <w:lang w:val="es-CR"/>
        </w:rPr>
        <w:t>Entradas de efectivo procedentes de activos que generen entradas de efectivo que sean en buena medida independientes de las entradas procedentes del activo que se esté revisando (por ejemplo, activos financieros tales como partidas a cobrar).</w:t>
      </w:r>
    </w:p>
    <w:p w14:paraId="06408DDF" w14:textId="77777777" w:rsidR="002F02D6" w:rsidRPr="00F02F9D" w:rsidRDefault="002F02D6" w:rsidP="006808DF">
      <w:pPr>
        <w:spacing w:after="120" w:line="6" w:lineRule="exact"/>
        <w:ind w:left="1559" w:hanging="425"/>
        <w:rPr>
          <w:rFonts w:ascii="Arial" w:eastAsia="Arial" w:hAnsi="Arial"/>
          <w:bCs/>
          <w:sz w:val="22"/>
          <w:szCs w:val="22"/>
          <w:lang w:val="es-CR"/>
        </w:rPr>
      </w:pPr>
    </w:p>
    <w:p w14:paraId="758F5C34" w14:textId="77777777" w:rsidR="002F02D6" w:rsidRPr="00F02F9D" w:rsidRDefault="002F02D6" w:rsidP="006808DF">
      <w:pPr>
        <w:numPr>
          <w:ilvl w:val="0"/>
          <w:numId w:val="72"/>
        </w:numPr>
        <w:spacing w:after="120"/>
        <w:ind w:left="1559" w:right="261" w:hanging="425"/>
        <w:jc w:val="both"/>
        <w:rPr>
          <w:rFonts w:ascii="Arial" w:eastAsia="Arial" w:hAnsi="Arial"/>
          <w:bCs/>
          <w:sz w:val="22"/>
          <w:szCs w:val="22"/>
          <w:lang w:val="es-CR"/>
        </w:rPr>
      </w:pPr>
      <w:r w:rsidRPr="00F02F9D">
        <w:rPr>
          <w:rFonts w:ascii="Arial" w:eastAsia="Arial" w:hAnsi="Arial"/>
          <w:bCs/>
          <w:sz w:val="22"/>
          <w:szCs w:val="22"/>
          <w:lang w:val="es-CR"/>
        </w:rPr>
        <w:t>Pagos relacionados con obligaciones que ya han sido reconocidas como pasivos (por ejemplo, cuentas por pagar, pensiones o provisiones).</w:t>
      </w:r>
    </w:p>
    <w:p w14:paraId="17D13FF0" w14:textId="77777777" w:rsidR="002F02D6" w:rsidRPr="00F02F9D" w:rsidRDefault="002F02D6" w:rsidP="006808DF">
      <w:pPr>
        <w:numPr>
          <w:ilvl w:val="0"/>
          <w:numId w:val="72"/>
        </w:numPr>
        <w:spacing w:after="120" w:line="0" w:lineRule="atLeast"/>
        <w:ind w:left="1559" w:hanging="425"/>
        <w:jc w:val="both"/>
        <w:rPr>
          <w:rFonts w:ascii="Arial" w:eastAsia="Arial" w:hAnsi="Arial"/>
          <w:bCs/>
          <w:sz w:val="22"/>
          <w:szCs w:val="22"/>
          <w:lang w:val="es-CR"/>
        </w:rPr>
      </w:pPr>
      <w:r w:rsidRPr="00F02F9D">
        <w:rPr>
          <w:rFonts w:ascii="Arial" w:eastAsia="Arial" w:hAnsi="Arial"/>
          <w:bCs/>
          <w:sz w:val="22"/>
          <w:szCs w:val="22"/>
          <w:lang w:val="es-CR"/>
        </w:rPr>
        <w:t>Entradas o salidas de efectivo por actividades de financiación.</w:t>
      </w:r>
    </w:p>
    <w:p w14:paraId="518E9634" w14:textId="77777777" w:rsidR="002F02D6" w:rsidRPr="00F02F9D" w:rsidRDefault="002F02D6">
      <w:pPr>
        <w:numPr>
          <w:ilvl w:val="0"/>
          <w:numId w:val="72"/>
        </w:numPr>
        <w:spacing w:line="0" w:lineRule="atLeast"/>
        <w:ind w:left="1560" w:hanging="426"/>
        <w:jc w:val="both"/>
        <w:rPr>
          <w:rFonts w:ascii="Arial" w:eastAsia="Arial" w:hAnsi="Arial"/>
          <w:bCs/>
          <w:sz w:val="22"/>
          <w:szCs w:val="22"/>
          <w:lang w:val="es-CR"/>
        </w:rPr>
      </w:pPr>
      <w:r w:rsidRPr="00F02F9D">
        <w:rPr>
          <w:rFonts w:ascii="Arial" w:eastAsia="Arial" w:hAnsi="Arial"/>
          <w:bCs/>
          <w:sz w:val="22"/>
          <w:szCs w:val="22"/>
          <w:lang w:val="es-CR"/>
        </w:rPr>
        <w:t>Cobros o pagos por el impuesto a las ganancias.</w:t>
      </w:r>
    </w:p>
    <w:p w14:paraId="662535AF" w14:textId="77777777" w:rsidR="002F02D6" w:rsidRPr="00F02F9D" w:rsidRDefault="002F02D6" w:rsidP="002F02D6">
      <w:pPr>
        <w:spacing w:line="276" w:lineRule="exact"/>
        <w:rPr>
          <w:rFonts w:ascii="Arial" w:eastAsia="Times New Roman" w:hAnsi="Arial"/>
          <w:bCs/>
          <w:sz w:val="22"/>
          <w:szCs w:val="22"/>
          <w:lang w:val="es-CR"/>
        </w:rPr>
      </w:pPr>
    </w:p>
    <w:p w14:paraId="3F73BECC" w14:textId="77777777" w:rsidR="002F02D6" w:rsidRPr="00F02F9D" w:rsidRDefault="002F02D6" w:rsidP="002F02D6">
      <w:pPr>
        <w:spacing w:line="9" w:lineRule="exact"/>
        <w:rPr>
          <w:rFonts w:ascii="Arial" w:eastAsia="Arial" w:hAnsi="Arial"/>
          <w:bCs/>
          <w:sz w:val="22"/>
          <w:szCs w:val="22"/>
          <w:lang w:val="es-CR"/>
        </w:rPr>
      </w:pPr>
    </w:p>
    <w:p w14:paraId="566B6F66" w14:textId="726EF56A" w:rsidR="002F02D6" w:rsidRPr="00F02F9D" w:rsidRDefault="002F02D6" w:rsidP="002F02D6">
      <w:pPr>
        <w:spacing w:line="0" w:lineRule="atLeast"/>
        <w:ind w:left="1134" w:hanging="1134"/>
        <w:jc w:val="both"/>
        <w:rPr>
          <w:rFonts w:ascii="Arial" w:eastAsia="Arial" w:hAnsi="Arial"/>
          <w:bCs/>
          <w:sz w:val="22"/>
          <w:szCs w:val="22"/>
          <w:lang w:val="es-CR"/>
        </w:rPr>
      </w:pPr>
      <w:r w:rsidRPr="00F02F9D">
        <w:rPr>
          <w:rFonts w:ascii="Arial" w:eastAsia="Arial" w:hAnsi="Arial"/>
          <w:bCs/>
          <w:sz w:val="22"/>
          <w:szCs w:val="22"/>
          <w:lang w:val="es-CR"/>
        </w:rPr>
        <w:t>1.202.1.01</w:t>
      </w:r>
      <w:r w:rsidRPr="00F02F9D">
        <w:rPr>
          <w:rFonts w:ascii="Arial" w:eastAsia="Arial" w:hAnsi="Arial"/>
          <w:bCs/>
          <w:sz w:val="22"/>
          <w:szCs w:val="22"/>
          <w:lang w:val="es-CR"/>
        </w:rPr>
        <w:tab/>
        <w:t>Si la tasa de descuento utilizada incluyera el efecto de los incrementos de precios debidos a una hipótesis de inflación general, los flujos de efectivo futuros se estimarán en términos nominales. Caso contrario, los flujos de efectivo futuros deberán estimarse en términos reales, sin perjuicio de los efectos de variaciones en los precios específicos.</w:t>
      </w:r>
    </w:p>
    <w:p w14:paraId="729D8D58" w14:textId="77777777" w:rsidR="002F02D6" w:rsidRPr="00F02F9D" w:rsidRDefault="002F02D6" w:rsidP="002F02D6">
      <w:pPr>
        <w:spacing w:line="278" w:lineRule="exact"/>
        <w:rPr>
          <w:rFonts w:ascii="Arial" w:eastAsia="Arial" w:hAnsi="Arial"/>
          <w:bCs/>
          <w:sz w:val="22"/>
          <w:szCs w:val="22"/>
          <w:lang w:val="es-CR"/>
        </w:rPr>
      </w:pPr>
    </w:p>
    <w:p w14:paraId="5672A687" w14:textId="4AB84969" w:rsidR="002F02D6" w:rsidRDefault="002F02D6" w:rsidP="002F02D6">
      <w:pPr>
        <w:spacing w:line="0" w:lineRule="atLeast"/>
        <w:ind w:left="1134" w:hanging="1134"/>
        <w:jc w:val="both"/>
        <w:rPr>
          <w:rFonts w:ascii="Arial" w:eastAsia="Arial" w:hAnsi="Arial"/>
          <w:bCs/>
          <w:sz w:val="22"/>
          <w:szCs w:val="22"/>
          <w:lang w:val="es-CR"/>
        </w:rPr>
      </w:pPr>
      <w:r w:rsidRPr="00F02F9D">
        <w:rPr>
          <w:rFonts w:ascii="Arial" w:eastAsia="Arial" w:hAnsi="Arial"/>
          <w:bCs/>
          <w:sz w:val="22"/>
          <w:szCs w:val="22"/>
          <w:lang w:val="es-CR"/>
        </w:rPr>
        <w:t>1.202.2.01</w:t>
      </w:r>
      <w:r w:rsidRPr="00F02F9D">
        <w:rPr>
          <w:rFonts w:ascii="Arial" w:eastAsia="Arial" w:hAnsi="Arial"/>
          <w:bCs/>
          <w:sz w:val="22"/>
          <w:szCs w:val="22"/>
          <w:lang w:val="es-CR"/>
        </w:rPr>
        <w:tab/>
        <w:t xml:space="preserve">Los flujos de efectivo futuros se estimarán en la moneda en la que vayan a ser generados. La entidad convertirá el valor presente aplicando la tasa de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w:t>
      </w:r>
      <w:r w:rsidRPr="00F02F9D">
        <w:rPr>
          <w:rFonts w:ascii="Arial" w:eastAsia="Arial" w:hAnsi="Arial"/>
          <w:bCs/>
          <w:sz w:val="22"/>
          <w:szCs w:val="22"/>
          <w:lang w:val="es-CR"/>
        </w:rPr>
        <w:t xml:space="preserve"> al contado en la fecha del cálculo del valor en uso.</w:t>
      </w:r>
    </w:p>
    <w:p w14:paraId="5396C6D5" w14:textId="77777777" w:rsidR="006808DF" w:rsidRPr="00F02F9D" w:rsidRDefault="006808DF" w:rsidP="002F02D6">
      <w:pPr>
        <w:spacing w:line="0" w:lineRule="atLeast"/>
        <w:ind w:left="1134" w:hanging="1134"/>
        <w:jc w:val="both"/>
        <w:rPr>
          <w:rFonts w:ascii="Arial" w:eastAsia="Arial" w:hAnsi="Arial"/>
          <w:bCs/>
          <w:sz w:val="22"/>
          <w:szCs w:val="22"/>
          <w:lang w:val="es-CR"/>
        </w:rPr>
      </w:pPr>
    </w:p>
    <w:p w14:paraId="006E24A0"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tbl>
      <w:tblPr>
        <w:tblW w:w="9346" w:type="dxa"/>
        <w:tblLook w:val="04A0" w:firstRow="1" w:lastRow="0" w:firstColumn="1" w:lastColumn="0" w:noHBand="0" w:noVBand="1"/>
      </w:tblPr>
      <w:tblGrid>
        <w:gridCol w:w="560"/>
        <w:gridCol w:w="550"/>
        <w:gridCol w:w="539"/>
        <w:gridCol w:w="3303"/>
        <w:gridCol w:w="2551"/>
        <w:gridCol w:w="1843"/>
      </w:tblGrid>
      <w:tr w:rsidR="00C71F60" w:rsidRPr="006808DF" w14:paraId="4D0E1098" w14:textId="77777777" w:rsidTr="0071104F">
        <w:trPr>
          <w:trHeight w:val="320"/>
        </w:trPr>
        <w:tc>
          <w:tcPr>
            <w:tcW w:w="164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7694782" w14:textId="77777777" w:rsidR="00C71F60" w:rsidRPr="006808DF" w:rsidRDefault="00C71F60" w:rsidP="00C71F60">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3303" w:type="dxa"/>
            <w:vMerge w:val="restart"/>
            <w:tcBorders>
              <w:top w:val="single" w:sz="8" w:space="0" w:color="auto"/>
              <w:left w:val="single" w:sz="8" w:space="0" w:color="auto"/>
              <w:bottom w:val="nil"/>
              <w:right w:val="single" w:sz="8" w:space="0" w:color="auto"/>
            </w:tcBorders>
            <w:shd w:val="clear" w:color="000000" w:fill="203764"/>
            <w:vAlign w:val="center"/>
            <w:hideMark/>
          </w:tcPr>
          <w:p w14:paraId="7CE92349" w14:textId="77777777" w:rsidR="00C71F60" w:rsidRPr="006808DF" w:rsidRDefault="00C71F60" w:rsidP="00C71F60">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16FB984A" w14:textId="77777777" w:rsidR="00C71F60" w:rsidRPr="006808DF" w:rsidRDefault="00C71F60" w:rsidP="00C71F60">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C71F60" w:rsidRPr="0071104F" w14:paraId="2F7D5C7A" w14:textId="77777777" w:rsidTr="0071104F">
        <w:trPr>
          <w:trHeight w:val="320"/>
        </w:trPr>
        <w:tc>
          <w:tcPr>
            <w:tcW w:w="1649" w:type="dxa"/>
            <w:gridSpan w:val="3"/>
            <w:vMerge/>
            <w:tcBorders>
              <w:top w:val="single" w:sz="8" w:space="0" w:color="auto"/>
              <w:left w:val="single" w:sz="8" w:space="0" w:color="auto"/>
              <w:bottom w:val="nil"/>
              <w:right w:val="single" w:sz="8" w:space="0" w:color="000000"/>
            </w:tcBorders>
            <w:vAlign w:val="center"/>
            <w:hideMark/>
          </w:tcPr>
          <w:p w14:paraId="2F9F7C86" w14:textId="77777777" w:rsidR="00C71F60" w:rsidRPr="006808DF" w:rsidRDefault="00C71F60" w:rsidP="00C71F60">
            <w:pPr>
              <w:rPr>
                <w:rFonts w:ascii="Arial Narrow" w:eastAsia="Times New Roman" w:hAnsi="Arial Narrow"/>
                <w:b/>
                <w:bCs/>
                <w:color w:val="FFFFFF"/>
                <w:sz w:val="22"/>
                <w:szCs w:val="22"/>
              </w:rPr>
            </w:pPr>
          </w:p>
        </w:tc>
        <w:tc>
          <w:tcPr>
            <w:tcW w:w="3303" w:type="dxa"/>
            <w:vMerge/>
            <w:tcBorders>
              <w:top w:val="single" w:sz="8" w:space="0" w:color="auto"/>
              <w:left w:val="single" w:sz="8" w:space="0" w:color="auto"/>
              <w:bottom w:val="nil"/>
              <w:right w:val="single" w:sz="8" w:space="0" w:color="auto"/>
            </w:tcBorders>
            <w:vAlign w:val="center"/>
            <w:hideMark/>
          </w:tcPr>
          <w:p w14:paraId="1478EA56" w14:textId="77777777" w:rsidR="00C71F60" w:rsidRPr="006808DF" w:rsidRDefault="00C71F60" w:rsidP="00C71F60">
            <w:pPr>
              <w:rPr>
                <w:rFonts w:ascii="Arial Narrow" w:eastAsia="Times New Roman" w:hAnsi="Arial Narrow"/>
                <w:b/>
                <w:bCs/>
                <w:color w:val="FFFFFF"/>
                <w:sz w:val="22"/>
                <w:szCs w:val="22"/>
              </w:rPr>
            </w:pPr>
          </w:p>
        </w:tc>
        <w:tc>
          <w:tcPr>
            <w:tcW w:w="2551" w:type="dxa"/>
            <w:tcBorders>
              <w:top w:val="nil"/>
              <w:left w:val="nil"/>
              <w:bottom w:val="nil"/>
              <w:right w:val="single" w:sz="8" w:space="0" w:color="auto"/>
            </w:tcBorders>
            <w:shd w:val="clear" w:color="000000" w:fill="203764"/>
            <w:vAlign w:val="center"/>
            <w:hideMark/>
          </w:tcPr>
          <w:p w14:paraId="7DC2ADEB" w14:textId="77777777" w:rsidR="00C71F60" w:rsidRPr="006808DF" w:rsidRDefault="00C71F60" w:rsidP="00C71F60">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309717EB" w14:textId="4EEC90FA" w:rsidR="00C71F60" w:rsidRPr="0071104F" w:rsidRDefault="0071104F" w:rsidP="00C71F60">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C71F60" w:rsidRPr="006808DF" w14:paraId="2863B55B" w14:textId="77777777" w:rsidTr="0071104F">
        <w:trPr>
          <w:trHeight w:val="443"/>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18072"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0CB9843D"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203</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4412BE26" w14:textId="7028CFA3"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r w:rsidR="002B7D8C" w:rsidRPr="006808DF">
              <w:rPr>
                <w:rFonts w:ascii="Arial Narrow" w:eastAsia="Times New Roman" w:hAnsi="Arial Narrow"/>
                <w:b/>
                <w:bCs/>
                <w:color w:val="000000"/>
                <w:sz w:val="22"/>
                <w:szCs w:val="22"/>
              </w:rPr>
              <w:t>0</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14:paraId="1E15952B" w14:textId="77777777" w:rsidR="00C71F60" w:rsidRPr="006808DF" w:rsidRDefault="00C71F60" w:rsidP="00C71F60">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Tasa de descuento</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7A650EAD" w14:textId="77777777" w:rsidR="00C71F60" w:rsidRPr="006808DF" w:rsidRDefault="00C71F60" w:rsidP="00C71F60">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3D085289" w14:textId="6D9EA677" w:rsidR="00C71F60" w:rsidRPr="006808DF" w:rsidRDefault="00C71F60" w:rsidP="00C71F60">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Párrafo 68.</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0353294A"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r w:rsidR="00C71F60" w:rsidRPr="006808DF" w14:paraId="1EC33A15" w14:textId="77777777" w:rsidTr="0071104F">
        <w:trPr>
          <w:trHeight w:val="522"/>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143123C1"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3C35565D"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203</w:t>
            </w:r>
          </w:p>
        </w:tc>
        <w:tc>
          <w:tcPr>
            <w:tcW w:w="539" w:type="dxa"/>
            <w:tcBorders>
              <w:top w:val="nil"/>
              <w:left w:val="nil"/>
              <w:bottom w:val="single" w:sz="8" w:space="0" w:color="auto"/>
              <w:right w:val="single" w:sz="8" w:space="0" w:color="auto"/>
            </w:tcBorders>
            <w:shd w:val="clear" w:color="auto" w:fill="auto"/>
            <w:vAlign w:val="center"/>
            <w:hideMark/>
          </w:tcPr>
          <w:p w14:paraId="653F10EA"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1</w:t>
            </w:r>
          </w:p>
        </w:tc>
        <w:tc>
          <w:tcPr>
            <w:tcW w:w="3303" w:type="dxa"/>
            <w:tcBorders>
              <w:top w:val="nil"/>
              <w:left w:val="nil"/>
              <w:bottom w:val="single" w:sz="8" w:space="0" w:color="auto"/>
              <w:right w:val="single" w:sz="8" w:space="0" w:color="auto"/>
            </w:tcBorders>
            <w:shd w:val="clear" w:color="auto" w:fill="auto"/>
            <w:vAlign w:val="center"/>
            <w:hideMark/>
          </w:tcPr>
          <w:p w14:paraId="3F78C6C3" w14:textId="77777777" w:rsidR="00C71F60" w:rsidRPr="006808DF" w:rsidRDefault="00C71F60" w:rsidP="00C71F60">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Incidencia en la tasa de riesgos específicos del activo</w:t>
            </w:r>
          </w:p>
        </w:tc>
        <w:tc>
          <w:tcPr>
            <w:tcW w:w="2551" w:type="dxa"/>
            <w:tcBorders>
              <w:top w:val="nil"/>
              <w:left w:val="nil"/>
              <w:bottom w:val="single" w:sz="8" w:space="0" w:color="auto"/>
              <w:right w:val="single" w:sz="8" w:space="0" w:color="auto"/>
            </w:tcBorders>
            <w:shd w:val="clear" w:color="auto" w:fill="auto"/>
            <w:vAlign w:val="center"/>
            <w:hideMark/>
          </w:tcPr>
          <w:p w14:paraId="630C7E20" w14:textId="77777777" w:rsidR="00C71F60" w:rsidRPr="006808DF" w:rsidRDefault="00C71F60" w:rsidP="00C71F60">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176DF3F2" w14:textId="11F0EEF9" w:rsidR="00C71F60" w:rsidRPr="006808DF" w:rsidRDefault="00C71F60" w:rsidP="00C71F60">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Párrafo 69.</w:t>
            </w:r>
          </w:p>
        </w:tc>
        <w:tc>
          <w:tcPr>
            <w:tcW w:w="1843" w:type="dxa"/>
            <w:tcBorders>
              <w:top w:val="nil"/>
              <w:left w:val="nil"/>
              <w:bottom w:val="single" w:sz="8" w:space="0" w:color="auto"/>
              <w:right w:val="single" w:sz="8" w:space="0" w:color="auto"/>
            </w:tcBorders>
            <w:shd w:val="clear" w:color="auto" w:fill="auto"/>
            <w:vAlign w:val="center"/>
            <w:hideMark/>
          </w:tcPr>
          <w:p w14:paraId="70343ADE"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r w:rsidR="00C71F60" w:rsidRPr="006808DF" w14:paraId="6254F0F8" w14:textId="77777777" w:rsidTr="0071104F">
        <w:trPr>
          <w:trHeight w:val="543"/>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4297EC9A"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595CB9E5"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203</w:t>
            </w:r>
          </w:p>
        </w:tc>
        <w:tc>
          <w:tcPr>
            <w:tcW w:w="539" w:type="dxa"/>
            <w:tcBorders>
              <w:top w:val="nil"/>
              <w:left w:val="nil"/>
              <w:bottom w:val="single" w:sz="8" w:space="0" w:color="auto"/>
              <w:right w:val="single" w:sz="8" w:space="0" w:color="auto"/>
            </w:tcBorders>
            <w:shd w:val="clear" w:color="auto" w:fill="auto"/>
            <w:vAlign w:val="center"/>
            <w:hideMark/>
          </w:tcPr>
          <w:p w14:paraId="555459E3" w14:textId="77777777" w:rsidR="00C71F60" w:rsidRPr="006808DF" w:rsidRDefault="00C71F60" w:rsidP="00C71F60">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w:t>
            </w:r>
          </w:p>
        </w:tc>
        <w:tc>
          <w:tcPr>
            <w:tcW w:w="3303" w:type="dxa"/>
            <w:tcBorders>
              <w:top w:val="nil"/>
              <w:left w:val="nil"/>
              <w:bottom w:val="single" w:sz="8" w:space="0" w:color="auto"/>
              <w:right w:val="single" w:sz="8" w:space="0" w:color="auto"/>
            </w:tcBorders>
            <w:shd w:val="clear" w:color="auto" w:fill="auto"/>
            <w:vAlign w:val="center"/>
            <w:hideMark/>
          </w:tcPr>
          <w:p w14:paraId="20092F2F" w14:textId="77777777" w:rsidR="00C71F60" w:rsidRPr="006808DF" w:rsidRDefault="00C71F60" w:rsidP="00C71F60">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Ausencia de tasas observables en el mercado</w:t>
            </w:r>
          </w:p>
        </w:tc>
        <w:tc>
          <w:tcPr>
            <w:tcW w:w="2551" w:type="dxa"/>
            <w:tcBorders>
              <w:top w:val="nil"/>
              <w:left w:val="nil"/>
              <w:bottom w:val="single" w:sz="8" w:space="0" w:color="auto"/>
              <w:right w:val="single" w:sz="8" w:space="0" w:color="auto"/>
            </w:tcBorders>
            <w:shd w:val="clear" w:color="auto" w:fill="auto"/>
            <w:vAlign w:val="center"/>
            <w:hideMark/>
          </w:tcPr>
          <w:p w14:paraId="145DE668" w14:textId="77777777" w:rsidR="00C71F60" w:rsidRPr="006808DF" w:rsidRDefault="00C71F60" w:rsidP="00C71F60">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1B63F020" w14:textId="714F9040" w:rsidR="00C71F60" w:rsidRPr="006808DF" w:rsidRDefault="00C71F60" w:rsidP="00C71F60">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 70 y GA 17 y 18.</w:t>
            </w:r>
          </w:p>
        </w:tc>
        <w:tc>
          <w:tcPr>
            <w:tcW w:w="1843" w:type="dxa"/>
            <w:tcBorders>
              <w:top w:val="nil"/>
              <w:left w:val="nil"/>
              <w:bottom w:val="single" w:sz="8" w:space="0" w:color="auto"/>
              <w:right w:val="single" w:sz="8" w:space="0" w:color="auto"/>
            </w:tcBorders>
            <w:shd w:val="clear" w:color="auto" w:fill="auto"/>
            <w:vAlign w:val="center"/>
            <w:hideMark/>
          </w:tcPr>
          <w:p w14:paraId="63FFAB21" w14:textId="77777777" w:rsidR="00C71F60" w:rsidRPr="006808DF" w:rsidRDefault="00C71F60" w:rsidP="00C71F60">
            <w:pPr>
              <w:jc w:val="cente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 </w:t>
            </w:r>
          </w:p>
        </w:tc>
      </w:tr>
    </w:tbl>
    <w:p w14:paraId="6C1EE385" w14:textId="77777777" w:rsidR="00C356B1" w:rsidRPr="00F02F9D" w:rsidRDefault="00C356B1" w:rsidP="00C356B1">
      <w:pPr>
        <w:spacing w:line="251" w:lineRule="auto"/>
        <w:ind w:left="1134" w:right="260" w:hanging="1134"/>
        <w:jc w:val="both"/>
        <w:rPr>
          <w:rFonts w:ascii="Arial" w:eastAsia="Arial" w:hAnsi="Arial"/>
          <w:bCs/>
          <w:sz w:val="22"/>
          <w:szCs w:val="22"/>
          <w:lang w:val="es-CR"/>
        </w:rPr>
      </w:pPr>
    </w:p>
    <w:p w14:paraId="687D5E5F" w14:textId="5A56CA98" w:rsidR="00C356B1" w:rsidRPr="0030399E" w:rsidRDefault="006808DF" w:rsidP="00C356B1">
      <w:pPr>
        <w:spacing w:line="251" w:lineRule="auto"/>
        <w:ind w:left="1134" w:right="260" w:hanging="1134"/>
        <w:jc w:val="both"/>
        <w:rPr>
          <w:rFonts w:ascii="Arial" w:eastAsia="Arial" w:hAnsi="Arial"/>
          <w:b/>
          <w:sz w:val="22"/>
          <w:szCs w:val="22"/>
          <w:lang w:val="es-CR"/>
        </w:rPr>
      </w:pPr>
      <w:r w:rsidRPr="0030399E">
        <w:rPr>
          <w:rFonts w:ascii="Arial" w:eastAsia="Arial" w:hAnsi="Arial"/>
          <w:b/>
          <w:sz w:val="22"/>
          <w:szCs w:val="22"/>
          <w:lang w:val="es-CR"/>
        </w:rPr>
        <w:t>Políticas Contables</w:t>
      </w:r>
    </w:p>
    <w:p w14:paraId="5BCC1A92" w14:textId="77777777" w:rsidR="006808DF" w:rsidRPr="00F02F9D" w:rsidRDefault="006808DF" w:rsidP="00C356B1">
      <w:pPr>
        <w:spacing w:line="251" w:lineRule="auto"/>
        <w:ind w:left="1134" w:right="260" w:hanging="1134"/>
        <w:jc w:val="both"/>
        <w:rPr>
          <w:rFonts w:ascii="Arial" w:eastAsia="Arial" w:hAnsi="Arial"/>
          <w:bCs/>
          <w:sz w:val="22"/>
          <w:szCs w:val="22"/>
          <w:lang w:val="es-CR"/>
        </w:rPr>
      </w:pPr>
    </w:p>
    <w:p w14:paraId="59382F34" w14:textId="6FFE1B4A" w:rsidR="00C71F60" w:rsidRDefault="00C71F60" w:rsidP="00C71F60">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1.203.0.01</w:t>
      </w:r>
      <w:r w:rsidRPr="00F02F9D">
        <w:rPr>
          <w:rFonts w:ascii="Arial" w:eastAsia="Arial" w:hAnsi="Arial"/>
          <w:bCs/>
          <w:sz w:val="22"/>
          <w:szCs w:val="22"/>
          <w:lang w:val="es-CR"/>
        </w:rPr>
        <w:tab/>
        <w:t>La/s tasa/s de descuento a utilizar serán las tasas antes de impuestos, que reflejen las evaluaciones actuales del mercado respecto de:</w:t>
      </w:r>
    </w:p>
    <w:p w14:paraId="238DC942" w14:textId="77777777" w:rsidR="006808DF" w:rsidRPr="00F02F9D" w:rsidRDefault="006808DF" w:rsidP="00C71F60">
      <w:pPr>
        <w:spacing w:line="236" w:lineRule="auto"/>
        <w:ind w:left="1134" w:right="260" w:hanging="1134"/>
        <w:jc w:val="both"/>
        <w:rPr>
          <w:rFonts w:ascii="Arial" w:eastAsia="Arial" w:hAnsi="Arial"/>
          <w:bCs/>
          <w:sz w:val="22"/>
          <w:szCs w:val="22"/>
          <w:lang w:val="es-CR"/>
        </w:rPr>
      </w:pPr>
    </w:p>
    <w:p w14:paraId="5B77C058" w14:textId="77777777" w:rsidR="00C71F60" w:rsidRPr="00F02F9D" w:rsidRDefault="00C71F60" w:rsidP="00C71F60">
      <w:pPr>
        <w:spacing w:line="9" w:lineRule="exact"/>
        <w:rPr>
          <w:rFonts w:ascii="Arial" w:eastAsia="Times New Roman" w:hAnsi="Arial"/>
          <w:bCs/>
          <w:sz w:val="22"/>
          <w:szCs w:val="22"/>
          <w:lang w:val="es-CR"/>
        </w:rPr>
      </w:pPr>
    </w:p>
    <w:p w14:paraId="1C1AE3BC" w14:textId="1867F5F5" w:rsidR="00C71F60" w:rsidRPr="00F02F9D" w:rsidRDefault="00C71F60" w:rsidP="006808DF">
      <w:pPr>
        <w:numPr>
          <w:ilvl w:val="0"/>
          <w:numId w:val="73"/>
        </w:numPr>
        <w:spacing w:after="120"/>
        <w:ind w:left="1418" w:right="278" w:hanging="284"/>
        <w:jc w:val="both"/>
        <w:rPr>
          <w:rFonts w:ascii="Arial" w:eastAsia="Arial" w:hAnsi="Arial"/>
          <w:bCs/>
          <w:sz w:val="22"/>
          <w:szCs w:val="22"/>
          <w:lang w:val="es-CR"/>
        </w:rPr>
      </w:pPr>
      <w:r w:rsidRPr="00F02F9D">
        <w:rPr>
          <w:rFonts w:ascii="Arial" w:eastAsia="Arial" w:hAnsi="Arial"/>
          <w:bCs/>
          <w:sz w:val="22"/>
          <w:szCs w:val="22"/>
          <w:lang w:val="es-CR"/>
        </w:rPr>
        <w:t>El valor temporal del dinero, representado por la tasa de interés de mercado sin riesgo; y</w:t>
      </w:r>
    </w:p>
    <w:p w14:paraId="4E9F6F20" w14:textId="77777777" w:rsidR="00C71F60" w:rsidRPr="00F02F9D" w:rsidRDefault="00C71F60" w:rsidP="00C71F60">
      <w:pPr>
        <w:spacing w:line="9" w:lineRule="exact"/>
        <w:jc w:val="both"/>
        <w:rPr>
          <w:rFonts w:ascii="Arial" w:eastAsia="Arial" w:hAnsi="Arial"/>
          <w:bCs/>
          <w:sz w:val="22"/>
          <w:szCs w:val="22"/>
          <w:lang w:val="es-CR"/>
        </w:rPr>
      </w:pPr>
    </w:p>
    <w:p w14:paraId="5576F192" w14:textId="09010052" w:rsidR="00C71F60" w:rsidRPr="00F02F9D" w:rsidRDefault="00C71F60">
      <w:pPr>
        <w:numPr>
          <w:ilvl w:val="0"/>
          <w:numId w:val="73"/>
        </w:numPr>
        <w:spacing w:line="236"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Los riesgos específicos del activo para los cuales las estimaciones de flujos de efectivo futuros no hayan sido ajustadas.</w:t>
      </w:r>
    </w:p>
    <w:p w14:paraId="4F1E4ACD" w14:textId="77777777" w:rsidR="00C71F60" w:rsidRPr="00F02F9D" w:rsidRDefault="00C71F60" w:rsidP="00C71F60">
      <w:pPr>
        <w:spacing w:line="276" w:lineRule="exact"/>
        <w:jc w:val="both"/>
        <w:rPr>
          <w:rFonts w:ascii="Arial" w:eastAsia="Times New Roman" w:hAnsi="Arial"/>
          <w:bCs/>
          <w:sz w:val="22"/>
          <w:szCs w:val="22"/>
          <w:lang w:val="es-CR"/>
        </w:rPr>
      </w:pPr>
    </w:p>
    <w:p w14:paraId="22453B46" w14:textId="77777777" w:rsidR="00C71F60" w:rsidRPr="00F02F9D" w:rsidRDefault="00C71F60" w:rsidP="00C71F60">
      <w:pPr>
        <w:spacing w:line="9" w:lineRule="exact"/>
        <w:rPr>
          <w:rFonts w:ascii="Arial" w:eastAsia="Arial" w:hAnsi="Arial"/>
          <w:bCs/>
          <w:sz w:val="22"/>
          <w:szCs w:val="22"/>
          <w:lang w:val="es-CR"/>
        </w:rPr>
      </w:pPr>
    </w:p>
    <w:p w14:paraId="54FFA2E7" w14:textId="3E457BD0" w:rsidR="00C71F60" w:rsidRPr="00F02F9D" w:rsidRDefault="00C71F60" w:rsidP="00C71F60">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1.203.1.01</w:t>
      </w:r>
      <w:r w:rsidRPr="00F02F9D">
        <w:rPr>
          <w:rFonts w:ascii="Arial" w:eastAsia="Arial" w:hAnsi="Arial"/>
          <w:bCs/>
          <w:sz w:val="22"/>
          <w:szCs w:val="22"/>
          <w:lang w:val="es-CR"/>
        </w:rPr>
        <w:tab/>
        <w:t xml:space="preserve">La/s tasa/s de descuento empleada/s para determinar el valor en uso de un activo no deberá reflejar los riesgos para los cuales ya hayan sido ajustadas las </w:t>
      </w:r>
      <w:r w:rsidRPr="00F02F9D">
        <w:rPr>
          <w:rFonts w:ascii="Arial" w:eastAsia="Arial" w:hAnsi="Arial"/>
          <w:bCs/>
          <w:sz w:val="22"/>
          <w:szCs w:val="22"/>
          <w:lang w:val="es-CR"/>
        </w:rPr>
        <w:lastRenderedPageBreak/>
        <w:t>estimaciones de flujos de efectivo futuros, ya que de lo contrario el efecto de las hipótesis involucradas se estarían duplicando.</w:t>
      </w:r>
    </w:p>
    <w:p w14:paraId="6E1953C7" w14:textId="77777777" w:rsidR="00C71F60" w:rsidRPr="00F02F9D" w:rsidRDefault="00C71F60" w:rsidP="00C71F60">
      <w:pPr>
        <w:spacing w:line="276" w:lineRule="exact"/>
        <w:rPr>
          <w:rFonts w:ascii="Arial" w:eastAsia="Arial" w:hAnsi="Arial"/>
          <w:bCs/>
          <w:sz w:val="22"/>
          <w:szCs w:val="22"/>
          <w:lang w:val="es-CR"/>
        </w:rPr>
      </w:pPr>
    </w:p>
    <w:p w14:paraId="643D2351" w14:textId="77777777" w:rsidR="00C71F60" w:rsidRPr="00F02F9D" w:rsidRDefault="00C71F60" w:rsidP="00C71F60">
      <w:pPr>
        <w:spacing w:line="9" w:lineRule="exact"/>
        <w:rPr>
          <w:rFonts w:ascii="Arial" w:eastAsia="Arial" w:hAnsi="Arial"/>
          <w:bCs/>
          <w:sz w:val="22"/>
          <w:szCs w:val="22"/>
          <w:lang w:val="es-CR"/>
        </w:rPr>
      </w:pPr>
    </w:p>
    <w:p w14:paraId="1880B9BD" w14:textId="154D8542" w:rsidR="00C71F60" w:rsidRDefault="00F93256" w:rsidP="00F93256">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1.203.2.01</w:t>
      </w:r>
      <w:r w:rsidRPr="00F02F9D">
        <w:rPr>
          <w:rFonts w:ascii="Arial" w:eastAsia="Arial" w:hAnsi="Arial"/>
          <w:bCs/>
          <w:sz w:val="22"/>
          <w:szCs w:val="22"/>
          <w:lang w:val="es-CR"/>
        </w:rPr>
        <w:tab/>
      </w:r>
      <w:r w:rsidR="00C71F60" w:rsidRPr="00F02F9D">
        <w:rPr>
          <w:rFonts w:ascii="Arial" w:eastAsia="Arial" w:hAnsi="Arial"/>
          <w:bCs/>
          <w:sz w:val="22"/>
          <w:szCs w:val="22"/>
          <w:lang w:val="es-CR"/>
        </w:rPr>
        <w:t xml:space="preserve">Si la/s tasa/s específica/s correspondiente a un activo no estuviera/n directamente disponible/s en el mercado, se aplicará algún sustituto para estimar la tasa de descuento, </w:t>
      </w:r>
      <w:r w:rsidRPr="00F02F9D">
        <w:rPr>
          <w:rFonts w:ascii="Arial" w:eastAsia="Arial" w:hAnsi="Arial"/>
          <w:bCs/>
          <w:sz w:val="22"/>
          <w:szCs w:val="22"/>
          <w:lang w:val="es-CR"/>
        </w:rPr>
        <w:t>como</w:t>
      </w:r>
      <w:r w:rsidR="00C71F60" w:rsidRPr="00F02F9D">
        <w:rPr>
          <w:rFonts w:ascii="Arial" w:eastAsia="Arial" w:hAnsi="Arial"/>
          <w:bCs/>
          <w:sz w:val="22"/>
          <w:szCs w:val="22"/>
          <w:lang w:val="es-CR"/>
        </w:rPr>
        <w:t xml:space="preserve"> por ejemplo:</w:t>
      </w:r>
    </w:p>
    <w:p w14:paraId="223B00BB" w14:textId="77777777" w:rsidR="006808DF" w:rsidRPr="00F02F9D" w:rsidRDefault="006808DF" w:rsidP="00F93256">
      <w:pPr>
        <w:spacing w:line="236" w:lineRule="auto"/>
        <w:ind w:left="1134" w:right="260" w:hanging="1134"/>
        <w:jc w:val="both"/>
        <w:rPr>
          <w:rFonts w:ascii="Arial" w:eastAsia="Arial" w:hAnsi="Arial"/>
          <w:bCs/>
          <w:sz w:val="22"/>
          <w:szCs w:val="22"/>
          <w:lang w:val="es-CR"/>
        </w:rPr>
      </w:pPr>
    </w:p>
    <w:p w14:paraId="1D623CF0" w14:textId="77777777" w:rsidR="00C71F60" w:rsidRPr="00F02F9D" w:rsidRDefault="00C71F60" w:rsidP="00C71F60">
      <w:pPr>
        <w:spacing w:line="1" w:lineRule="exact"/>
        <w:rPr>
          <w:rFonts w:ascii="Arial" w:eastAsia="Arial" w:hAnsi="Arial"/>
          <w:bCs/>
          <w:sz w:val="22"/>
          <w:szCs w:val="22"/>
          <w:lang w:val="es-CR"/>
        </w:rPr>
      </w:pPr>
    </w:p>
    <w:p w14:paraId="5CC87C48" w14:textId="77777777" w:rsidR="00C71F60" w:rsidRPr="00F02F9D" w:rsidRDefault="00C71F60" w:rsidP="006808DF">
      <w:pPr>
        <w:pStyle w:val="Prrafodelista"/>
        <w:numPr>
          <w:ilvl w:val="0"/>
          <w:numId w:val="74"/>
        </w:numPr>
        <w:spacing w:after="120"/>
        <w:ind w:left="1418"/>
        <w:contextualSpacing w:val="0"/>
        <w:jc w:val="both"/>
        <w:rPr>
          <w:rFonts w:ascii="Arial" w:eastAsia="Arial" w:hAnsi="Arial"/>
          <w:bCs/>
          <w:sz w:val="22"/>
          <w:szCs w:val="22"/>
          <w:lang w:val="es-CR"/>
        </w:rPr>
      </w:pPr>
      <w:r w:rsidRPr="00F02F9D">
        <w:rPr>
          <w:rFonts w:ascii="Arial" w:eastAsia="Arial" w:hAnsi="Arial"/>
          <w:bCs/>
          <w:sz w:val="22"/>
          <w:szCs w:val="22"/>
          <w:lang w:val="es-CR"/>
        </w:rPr>
        <w:t>El costo medio ponderado del capital;</w:t>
      </w:r>
    </w:p>
    <w:p w14:paraId="1254BFBC" w14:textId="77777777" w:rsidR="00C71F60" w:rsidRPr="00F02F9D" w:rsidRDefault="00C71F60" w:rsidP="006808DF">
      <w:pPr>
        <w:pStyle w:val="Prrafodelista"/>
        <w:numPr>
          <w:ilvl w:val="0"/>
          <w:numId w:val="74"/>
        </w:numPr>
        <w:spacing w:after="120"/>
        <w:ind w:left="1418" w:right="260"/>
        <w:contextualSpacing w:val="0"/>
        <w:jc w:val="both"/>
        <w:rPr>
          <w:rFonts w:ascii="Arial" w:eastAsia="Arial" w:hAnsi="Arial"/>
          <w:bCs/>
          <w:sz w:val="22"/>
          <w:szCs w:val="22"/>
          <w:lang w:val="es-CR"/>
        </w:rPr>
      </w:pPr>
      <w:r w:rsidRPr="00F02F9D">
        <w:rPr>
          <w:rFonts w:ascii="Arial" w:eastAsia="Arial" w:hAnsi="Arial"/>
          <w:bCs/>
          <w:sz w:val="22"/>
          <w:szCs w:val="22"/>
          <w:lang w:val="es-CR"/>
        </w:rPr>
        <w:t>La tasa de interés incremental de los préstamos tomados por la entidad; y</w:t>
      </w:r>
    </w:p>
    <w:p w14:paraId="0045DC22" w14:textId="0476DBD9" w:rsidR="00C71F60" w:rsidRPr="006808DF" w:rsidRDefault="00C71F60" w:rsidP="006808DF">
      <w:pPr>
        <w:pStyle w:val="Prrafodelista"/>
        <w:numPr>
          <w:ilvl w:val="0"/>
          <w:numId w:val="74"/>
        </w:numPr>
        <w:spacing w:after="120"/>
        <w:ind w:left="1418"/>
        <w:contextualSpacing w:val="0"/>
        <w:jc w:val="both"/>
        <w:rPr>
          <w:rFonts w:ascii="Arial" w:eastAsia="Arial" w:hAnsi="Arial"/>
          <w:bCs/>
          <w:sz w:val="22"/>
          <w:szCs w:val="22"/>
          <w:lang w:val="es-CR"/>
        </w:rPr>
      </w:pPr>
      <w:r w:rsidRPr="00F02F9D">
        <w:rPr>
          <w:rFonts w:ascii="Arial" w:eastAsia="Arial" w:hAnsi="Arial"/>
          <w:bCs/>
          <w:sz w:val="22"/>
          <w:szCs w:val="22"/>
          <w:lang w:val="es-CR"/>
        </w:rPr>
        <w:t>Otras tasas de interés de mercado para los préstamos.</w:t>
      </w:r>
    </w:p>
    <w:p w14:paraId="01984260" w14:textId="3E8CCFB5" w:rsidR="00C71F60" w:rsidRPr="006808DF" w:rsidRDefault="00C71F60" w:rsidP="006808DF">
      <w:pPr>
        <w:pStyle w:val="Prrafodelista"/>
        <w:numPr>
          <w:ilvl w:val="0"/>
          <w:numId w:val="74"/>
        </w:numPr>
        <w:spacing w:after="120"/>
        <w:ind w:left="1418" w:right="260"/>
        <w:contextualSpacing w:val="0"/>
        <w:jc w:val="both"/>
        <w:rPr>
          <w:rFonts w:ascii="Arial" w:eastAsia="Arial" w:hAnsi="Arial"/>
          <w:bCs/>
          <w:sz w:val="22"/>
          <w:szCs w:val="22"/>
          <w:lang w:val="es-CR"/>
        </w:rPr>
      </w:pPr>
      <w:r w:rsidRPr="00F02F9D">
        <w:rPr>
          <w:rFonts w:ascii="Arial" w:eastAsia="Arial" w:hAnsi="Arial"/>
          <w:bCs/>
          <w:sz w:val="22"/>
          <w:szCs w:val="22"/>
          <w:lang w:val="es-CR"/>
        </w:rPr>
        <w:t>En cualquiera de los casos, la/s tasa/s sustituta/s seleccionada/s debe/n ajustarse:</w:t>
      </w:r>
    </w:p>
    <w:p w14:paraId="493718CC" w14:textId="77777777" w:rsidR="00C71F60" w:rsidRPr="00F02F9D" w:rsidRDefault="00C71F60" w:rsidP="006808DF">
      <w:pPr>
        <w:pStyle w:val="Prrafodelista"/>
        <w:numPr>
          <w:ilvl w:val="0"/>
          <w:numId w:val="74"/>
        </w:numPr>
        <w:spacing w:after="120"/>
        <w:ind w:left="1418" w:right="260"/>
        <w:contextualSpacing w:val="0"/>
        <w:jc w:val="both"/>
        <w:rPr>
          <w:rFonts w:ascii="Arial" w:eastAsia="Arial" w:hAnsi="Arial"/>
          <w:bCs/>
          <w:sz w:val="22"/>
          <w:szCs w:val="22"/>
          <w:lang w:val="es-CR"/>
        </w:rPr>
      </w:pPr>
      <w:r w:rsidRPr="00F02F9D">
        <w:rPr>
          <w:rFonts w:ascii="Arial" w:eastAsia="Arial" w:hAnsi="Arial"/>
          <w:bCs/>
          <w:sz w:val="22"/>
          <w:szCs w:val="22"/>
          <w:lang w:val="es-CR"/>
        </w:rPr>
        <w:t>Para reflejar el modo en que el mercado evalúa los riesgos específicos asociados a los flujos de efectivo estimados de los activos; y</w:t>
      </w:r>
    </w:p>
    <w:p w14:paraId="61BF37C9" w14:textId="77777777" w:rsidR="00C71F60" w:rsidRPr="00F02F9D" w:rsidRDefault="00C71F60" w:rsidP="00F93256">
      <w:pPr>
        <w:spacing w:line="1" w:lineRule="exact"/>
        <w:ind w:left="1418"/>
        <w:jc w:val="both"/>
        <w:rPr>
          <w:rFonts w:ascii="Arial" w:eastAsia="Arial" w:hAnsi="Arial"/>
          <w:bCs/>
          <w:sz w:val="22"/>
          <w:szCs w:val="22"/>
          <w:lang w:val="es-CR"/>
        </w:rPr>
      </w:pPr>
    </w:p>
    <w:p w14:paraId="7FCC0430" w14:textId="77777777" w:rsidR="00C71F60" w:rsidRPr="00F02F9D" w:rsidRDefault="00C71F60">
      <w:pPr>
        <w:pStyle w:val="Prrafodelista"/>
        <w:numPr>
          <w:ilvl w:val="0"/>
          <w:numId w:val="74"/>
        </w:numPr>
        <w:spacing w:line="237" w:lineRule="auto"/>
        <w:ind w:left="1418" w:right="260"/>
        <w:jc w:val="both"/>
        <w:rPr>
          <w:rFonts w:ascii="Arial" w:eastAsia="Arial" w:hAnsi="Arial"/>
          <w:bCs/>
          <w:sz w:val="22"/>
          <w:szCs w:val="22"/>
          <w:lang w:val="es-CR"/>
        </w:rPr>
      </w:pPr>
      <w:r w:rsidRPr="00F02F9D">
        <w:rPr>
          <w:rFonts w:ascii="Arial" w:eastAsia="Arial" w:hAnsi="Arial"/>
          <w:bCs/>
          <w:sz w:val="22"/>
          <w:szCs w:val="22"/>
          <w:lang w:val="es-CR"/>
        </w:rPr>
        <w:t>Para excluir los riesgos que no tengan relevancia en los flujos de efectivo estimados de los activos, o para los cuales los flujos de efectivo estimados ya han sido ajustados.</w:t>
      </w:r>
    </w:p>
    <w:p w14:paraId="50C9B466" w14:textId="77777777" w:rsidR="00C71F60" w:rsidRPr="00787874" w:rsidRDefault="00C71F60" w:rsidP="00C71F60">
      <w:pPr>
        <w:rPr>
          <w:rFonts w:ascii="Arial" w:hAnsi="Arial"/>
          <w:bCs/>
          <w:sz w:val="22"/>
          <w:szCs w:val="22"/>
          <w:lang w:val="es-CR"/>
        </w:rPr>
      </w:pPr>
    </w:p>
    <w:p w14:paraId="4D08AF7C" w14:textId="6C70F37C" w:rsidR="00C356B1" w:rsidRPr="00F02F9D" w:rsidRDefault="00C356B1" w:rsidP="00C356B1">
      <w:pPr>
        <w:spacing w:line="251" w:lineRule="auto"/>
        <w:ind w:left="1134" w:right="260" w:hanging="1134"/>
        <w:jc w:val="both"/>
        <w:rPr>
          <w:rFonts w:ascii="Arial" w:eastAsia="Arial" w:hAnsi="Arial"/>
          <w:bCs/>
          <w:sz w:val="22"/>
          <w:szCs w:val="22"/>
          <w:lang w:val="es-CR"/>
        </w:rPr>
        <w:sectPr w:rsidR="00C356B1" w:rsidRPr="00F02F9D" w:rsidSect="006D026E">
          <w:type w:val="continuous"/>
          <w:pgSz w:w="12240" w:h="15840"/>
          <w:pgMar w:top="1440" w:right="1440" w:bottom="168" w:left="1440" w:header="0" w:footer="0" w:gutter="0"/>
          <w:cols w:space="0" w:equalWidth="0">
            <w:col w:w="9360"/>
          </w:cols>
          <w:docGrid w:linePitch="360"/>
        </w:sectPr>
      </w:pPr>
    </w:p>
    <w:p w14:paraId="66B203BB" w14:textId="77777777" w:rsidR="00AA68F9" w:rsidRPr="00F02F9D" w:rsidRDefault="00AA68F9" w:rsidP="00A351C9">
      <w:pPr>
        <w:spacing w:line="238" w:lineRule="auto"/>
        <w:ind w:left="1134" w:right="260" w:hanging="1134"/>
        <w:jc w:val="both"/>
        <w:rPr>
          <w:rFonts w:ascii="Arial" w:eastAsia="Arial" w:hAnsi="Arial"/>
          <w:b/>
          <w:sz w:val="22"/>
          <w:szCs w:val="22"/>
          <w:lang w:val="es-CR"/>
        </w:rPr>
      </w:pPr>
    </w:p>
    <w:tbl>
      <w:tblPr>
        <w:tblW w:w="9204" w:type="dxa"/>
        <w:tblLook w:val="04A0" w:firstRow="1" w:lastRow="0" w:firstColumn="1" w:lastColumn="0" w:noHBand="0" w:noVBand="1"/>
      </w:tblPr>
      <w:tblGrid>
        <w:gridCol w:w="559"/>
        <w:gridCol w:w="550"/>
        <w:gridCol w:w="537"/>
        <w:gridCol w:w="3447"/>
        <w:gridCol w:w="2330"/>
        <w:gridCol w:w="1781"/>
      </w:tblGrid>
      <w:tr w:rsidR="00F93256" w:rsidRPr="00791465" w14:paraId="622924CF" w14:textId="77777777" w:rsidTr="00F93256">
        <w:trPr>
          <w:trHeight w:val="320"/>
        </w:trPr>
        <w:tc>
          <w:tcPr>
            <w:tcW w:w="164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C32B597" w14:textId="77777777" w:rsidR="00F93256" w:rsidRPr="00791465" w:rsidRDefault="00F93256" w:rsidP="00F93256">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447" w:type="dxa"/>
            <w:vMerge w:val="restart"/>
            <w:tcBorders>
              <w:top w:val="single" w:sz="8" w:space="0" w:color="auto"/>
              <w:left w:val="single" w:sz="8" w:space="0" w:color="auto"/>
              <w:bottom w:val="nil"/>
              <w:right w:val="single" w:sz="8" w:space="0" w:color="auto"/>
            </w:tcBorders>
            <w:shd w:val="clear" w:color="000000" w:fill="203764"/>
            <w:vAlign w:val="center"/>
            <w:hideMark/>
          </w:tcPr>
          <w:p w14:paraId="606D2BCF" w14:textId="77777777" w:rsidR="00F93256" w:rsidRPr="00791465" w:rsidRDefault="00F93256" w:rsidP="00F93256">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111" w:type="dxa"/>
            <w:gridSpan w:val="2"/>
            <w:tcBorders>
              <w:top w:val="single" w:sz="8" w:space="0" w:color="auto"/>
              <w:left w:val="nil"/>
              <w:bottom w:val="single" w:sz="8" w:space="0" w:color="auto"/>
              <w:right w:val="single" w:sz="8" w:space="0" w:color="000000"/>
            </w:tcBorders>
            <w:shd w:val="clear" w:color="000000" w:fill="203764"/>
            <w:vAlign w:val="center"/>
            <w:hideMark/>
          </w:tcPr>
          <w:p w14:paraId="573688C0" w14:textId="77777777" w:rsidR="00F93256" w:rsidRPr="00791465" w:rsidRDefault="00F93256" w:rsidP="00F93256">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F93256" w:rsidRPr="0071104F" w14:paraId="2A56CD50" w14:textId="77777777" w:rsidTr="00F93256">
        <w:trPr>
          <w:trHeight w:val="320"/>
        </w:trPr>
        <w:tc>
          <w:tcPr>
            <w:tcW w:w="1646" w:type="dxa"/>
            <w:gridSpan w:val="3"/>
            <w:vMerge/>
            <w:tcBorders>
              <w:top w:val="single" w:sz="8" w:space="0" w:color="auto"/>
              <w:left w:val="single" w:sz="8" w:space="0" w:color="auto"/>
              <w:bottom w:val="nil"/>
              <w:right w:val="single" w:sz="8" w:space="0" w:color="000000"/>
            </w:tcBorders>
            <w:vAlign w:val="center"/>
            <w:hideMark/>
          </w:tcPr>
          <w:p w14:paraId="5F760B17" w14:textId="77777777" w:rsidR="00F93256" w:rsidRPr="00791465" w:rsidRDefault="00F93256" w:rsidP="00F93256">
            <w:pPr>
              <w:rPr>
                <w:rFonts w:ascii="Arial Narrow" w:eastAsia="Times New Roman" w:hAnsi="Arial Narrow"/>
                <w:b/>
                <w:bCs/>
                <w:color w:val="FFFFFF"/>
                <w:sz w:val="22"/>
                <w:szCs w:val="22"/>
              </w:rPr>
            </w:pPr>
          </w:p>
        </w:tc>
        <w:tc>
          <w:tcPr>
            <w:tcW w:w="3447" w:type="dxa"/>
            <w:vMerge/>
            <w:tcBorders>
              <w:top w:val="single" w:sz="8" w:space="0" w:color="auto"/>
              <w:left w:val="single" w:sz="8" w:space="0" w:color="auto"/>
              <w:bottom w:val="nil"/>
              <w:right w:val="single" w:sz="8" w:space="0" w:color="auto"/>
            </w:tcBorders>
            <w:vAlign w:val="center"/>
            <w:hideMark/>
          </w:tcPr>
          <w:p w14:paraId="4E944ECA" w14:textId="77777777" w:rsidR="00F93256" w:rsidRPr="00791465" w:rsidRDefault="00F93256" w:rsidP="00F93256">
            <w:pPr>
              <w:rPr>
                <w:rFonts w:ascii="Arial Narrow" w:eastAsia="Times New Roman" w:hAnsi="Arial Narrow"/>
                <w:b/>
                <w:bCs/>
                <w:color w:val="FFFFFF"/>
                <w:sz w:val="22"/>
                <w:szCs w:val="22"/>
              </w:rPr>
            </w:pPr>
          </w:p>
        </w:tc>
        <w:tc>
          <w:tcPr>
            <w:tcW w:w="2330" w:type="dxa"/>
            <w:tcBorders>
              <w:top w:val="nil"/>
              <w:left w:val="nil"/>
              <w:bottom w:val="nil"/>
              <w:right w:val="single" w:sz="8" w:space="0" w:color="auto"/>
            </w:tcBorders>
            <w:shd w:val="clear" w:color="000000" w:fill="203764"/>
            <w:vAlign w:val="center"/>
            <w:hideMark/>
          </w:tcPr>
          <w:p w14:paraId="2A9F88A1" w14:textId="77777777" w:rsidR="00F93256" w:rsidRPr="00791465" w:rsidRDefault="00F93256" w:rsidP="00F93256">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1781" w:type="dxa"/>
            <w:tcBorders>
              <w:top w:val="nil"/>
              <w:left w:val="nil"/>
              <w:bottom w:val="nil"/>
              <w:right w:val="single" w:sz="8" w:space="0" w:color="auto"/>
            </w:tcBorders>
            <w:shd w:val="clear" w:color="000000" w:fill="203764"/>
            <w:vAlign w:val="center"/>
            <w:hideMark/>
          </w:tcPr>
          <w:p w14:paraId="45495BE2" w14:textId="218C283B" w:rsidR="00F93256" w:rsidRPr="0071104F" w:rsidRDefault="0071104F" w:rsidP="00F93256">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93256" w:rsidRPr="00791465" w14:paraId="182748A4" w14:textId="77777777" w:rsidTr="00F93256">
        <w:trPr>
          <w:trHeight w:val="496"/>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0F323A" w14:textId="77777777" w:rsidR="00F93256" w:rsidRPr="00791465" w:rsidRDefault="00F93256" w:rsidP="00F93256">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6506D5CD" w14:textId="77777777" w:rsidR="00F93256" w:rsidRPr="00791465" w:rsidRDefault="00F93256" w:rsidP="00F93256">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204</w:t>
            </w:r>
          </w:p>
        </w:tc>
        <w:tc>
          <w:tcPr>
            <w:tcW w:w="537" w:type="dxa"/>
            <w:tcBorders>
              <w:top w:val="single" w:sz="8" w:space="0" w:color="auto"/>
              <w:left w:val="nil"/>
              <w:bottom w:val="single" w:sz="8" w:space="0" w:color="auto"/>
              <w:right w:val="single" w:sz="8" w:space="0" w:color="auto"/>
            </w:tcBorders>
            <w:shd w:val="clear" w:color="auto" w:fill="auto"/>
            <w:vAlign w:val="center"/>
            <w:hideMark/>
          </w:tcPr>
          <w:p w14:paraId="5245078B" w14:textId="36B39CE2" w:rsidR="002B7D8C" w:rsidRPr="00791465" w:rsidRDefault="00F93256" w:rsidP="002B7D8C">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r w:rsidR="002B7D8C" w:rsidRPr="00791465">
              <w:rPr>
                <w:rFonts w:ascii="Arial Narrow" w:eastAsia="Times New Roman" w:hAnsi="Arial Narrow"/>
                <w:b/>
                <w:bCs/>
                <w:color w:val="000000"/>
                <w:sz w:val="22"/>
                <w:szCs w:val="22"/>
              </w:rPr>
              <w:t>0</w:t>
            </w:r>
          </w:p>
        </w:tc>
        <w:tc>
          <w:tcPr>
            <w:tcW w:w="3447" w:type="dxa"/>
            <w:tcBorders>
              <w:top w:val="single" w:sz="8" w:space="0" w:color="auto"/>
              <w:left w:val="nil"/>
              <w:bottom w:val="single" w:sz="8" w:space="0" w:color="auto"/>
              <w:right w:val="single" w:sz="8" w:space="0" w:color="auto"/>
            </w:tcBorders>
            <w:shd w:val="clear" w:color="auto" w:fill="auto"/>
            <w:vAlign w:val="center"/>
            <w:hideMark/>
          </w:tcPr>
          <w:p w14:paraId="3D3F32D1" w14:textId="77777777" w:rsidR="00F93256" w:rsidRPr="00791465" w:rsidRDefault="00F93256" w:rsidP="00F93256">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Unidades generadoras de efectivo</w:t>
            </w:r>
          </w:p>
        </w:tc>
        <w:tc>
          <w:tcPr>
            <w:tcW w:w="2330" w:type="dxa"/>
            <w:tcBorders>
              <w:top w:val="single" w:sz="8" w:space="0" w:color="auto"/>
              <w:left w:val="nil"/>
              <w:bottom w:val="single" w:sz="8" w:space="0" w:color="auto"/>
              <w:right w:val="single" w:sz="8" w:space="0" w:color="auto"/>
            </w:tcBorders>
            <w:shd w:val="clear" w:color="auto" w:fill="auto"/>
            <w:vAlign w:val="center"/>
            <w:hideMark/>
          </w:tcPr>
          <w:p w14:paraId="7DB90CEB" w14:textId="77777777" w:rsidR="00F93256" w:rsidRPr="00791465" w:rsidRDefault="00F93256" w:rsidP="00F93256">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3C8D552A" w14:textId="6B88E4A9" w:rsidR="00F93256" w:rsidRPr="00791465" w:rsidRDefault="00F93256" w:rsidP="00F93256">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Párrafos 13 y 79.</w:t>
            </w:r>
          </w:p>
        </w:tc>
        <w:tc>
          <w:tcPr>
            <w:tcW w:w="1781" w:type="dxa"/>
            <w:tcBorders>
              <w:top w:val="single" w:sz="8" w:space="0" w:color="auto"/>
              <w:left w:val="nil"/>
              <w:bottom w:val="single" w:sz="8" w:space="0" w:color="auto"/>
              <w:right w:val="single" w:sz="8" w:space="0" w:color="auto"/>
            </w:tcBorders>
            <w:shd w:val="clear" w:color="auto" w:fill="auto"/>
            <w:vAlign w:val="center"/>
            <w:hideMark/>
          </w:tcPr>
          <w:p w14:paraId="150912EA" w14:textId="77777777" w:rsidR="00F93256" w:rsidRPr="00791465" w:rsidRDefault="00F93256" w:rsidP="00F93256">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r>
    </w:tbl>
    <w:p w14:paraId="0C2D5857" w14:textId="77777777" w:rsidR="00213195" w:rsidRDefault="00213195" w:rsidP="00A351C9">
      <w:pPr>
        <w:spacing w:line="238" w:lineRule="auto"/>
        <w:ind w:left="1134" w:right="260" w:hanging="1134"/>
        <w:jc w:val="both"/>
        <w:rPr>
          <w:rFonts w:ascii="Arial" w:eastAsia="Arial" w:hAnsi="Arial"/>
          <w:b/>
          <w:sz w:val="22"/>
          <w:szCs w:val="22"/>
          <w:lang w:val="es-CR"/>
        </w:rPr>
      </w:pPr>
    </w:p>
    <w:p w14:paraId="1CCEBC8B" w14:textId="268C338E" w:rsidR="006808DF" w:rsidRPr="00F02F9D" w:rsidRDefault="006808DF" w:rsidP="00A351C9">
      <w:pPr>
        <w:spacing w:line="238" w:lineRule="auto"/>
        <w:ind w:left="1134" w:right="260" w:hanging="1134"/>
        <w:jc w:val="both"/>
        <w:rPr>
          <w:rFonts w:ascii="Arial" w:eastAsia="Arial" w:hAnsi="Arial"/>
          <w:b/>
          <w:sz w:val="22"/>
          <w:szCs w:val="22"/>
          <w:lang w:val="es-CR"/>
        </w:rPr>
      </w:pPr>
      <w:r w:rsidRPr="00F02F9D">
        <w:rPr>
          <w:rFonts w:ascii="Arial" w:eastAsia="Arial" w:hAnsi="Arial"/>
          <w:b/>
          <w:sz w:val="22"/>
          <w:szCs w:val="22"/>
        </w:rPr>
        <w:t>Política Contable</w:t>
      </w:r>
    </w:p>
    <w:p w14:paraId="6774123F" w14:textId="77777777" w:rsidR="006808DF" w:rsidRDefault="006808DF" w:rsidP="00F93256">
      <w:pPr>
        <w:spacing w:line="237" w:lineRule="auto"/>
        <w:ind w:left="1134" w:right="260" w:hanging="1134"/>
        <w:jc w:val="both"/>
        <w:rPr>
          <w:rFonts w:ascii="Arial" w:eastAsia="Arial" w:hAnsi="Arial"/>
          <w:bCs/>
          <w:sz w:val="22"/>
          <w:szCs w:val="22"/>
          <w:lang w:val="es-CR"/>
        </w:rPr>
      </w:pPr>
    </w:p>
    <w:p w14:paraId="163C01F5" w14:textId="3B091B96" w:rsidR="00F93256" w:rsidRDefault="00F93256" w:rsidP="00F93256">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1.204.0.01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la unidad generadora de efectivo de un activo es el grupo más pequeño de activos mantenido con el objetivo fundamental de obtener un rendimiento comercial que;</w:t>
      </w:r>
    </w:p>
    <w:p w14:paraId="16000993" w14:textId="77777777" w:rsidR="00791465" w:rsidRPr="00F02F9D" w:rsidRDefault="00791465" w:rsidP="00F93256">
      <w:pPr>
        <w:spacing w:line="237" w:lineRule="auto"/>
        <w:ind w:left="1134" w:right="260" w:hanging="1134"/>
        <w:jc w:val="both"/>
        <w:rPr>
          <w:rFonts w:ascii="Arial" w:eastAsia="Arial" w:hAnsi="Arial"/>
          <w:bCs/>
          <w:sz w:val="22"/>
          <w:szCs w:val="22"/>
          <w:lang w:val="es-CR"/>
        </w:rPr>
      </w:pPr>
    </w:p>
    <w:p w14:paraId="1723C469" w14:textId="77777777" w:rsidR="00F93256" w:rsidRPr="00F02F9D" w:rsidRDefault="00F93256" w:rsidP="00F93256">
      <w:pPr>
        <w:spacing w:line="1" w:lineRule="exact"/>
        <w:jc w:val="both"/>
        <w:rPr>
          <w:rFonts w:ascii="Arial" w:eastAsia="Times New Roman" w:hAnsi="Arial"/>
          <w:bCs/>
          <w:sz w:val="22"/>
          <w:szCs w:val="22"/>
          <w:lang w:val="es-CR"/>
        </w:rPr>
      </w:pPr>
    </w:p>
    <w:p w14:paraId="7DB005ED" w14:textId="557ACA14" w:rsidR="00F93256" w:rsidRPr="00791465" w:rsidRDefault="00F93256">
      <w:pPr>
        <w:pStyle w:val="Prrafodelista"/>
        <w:numPr>
          <w:ilvl w:val="0"/>
          <w:numId w:val="75"/>
        </w:numPr>
        <w:spacing w:after="120"/>
        <w:ind w:left="1559" w:hanging="425"/>
        <w:contextualSpacing w:val="0"/>
        <w:jc w:val="both"/>
        <w:rPr>
          <w:rFonts w:ascii="Arial" w:eastAsia="Arial" w:hAnsi="Arial"/>
          <w:bCs/>
          <w:sz w:val="22"/>
          <w:szCs w:val="22"/>
          <w:lang w:val="es-CR"/>
        </w:rPr>
      </w:pPr>
      <w:r w:rsidRPr="00F02F9D">
        <w:rPr>
          <w:rFonts w:ascii="Arial" w:eastAsia="Arial" w:hAnsi="Arial"/>
          <w:bCs/>
          <w:sz w:val="22"/>
          <w:szCs w:val="22"/>
          <w:lang w:val="es-CR"/>
        </w:rPr>
        <w:t>Incluye el activo.</w:t>
      </w:r>
    </w:p>
    <w:p w14:paraId="6E74B7F6" w14:textId="77777777" w:rsidR="00F93256" w:rsidRPr="00F02F9D" w:rsidRDefault="00F93256">
      <w:pPr>
        <w:pStyle w:val="Prrafodelista"/>
        <w:numPr>
          <w:ilvl w:val="0"/>
          <w:numId w:val="75"/>
        </w:numPr>
        <w:spacing w:after="120"/>
        <w:ind w:left="1559" w:hanging="425"/>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Genera entradas de efectivo que son en buena medida independientes de las entradas de efectivo producidas por otros activos o grupos de activos. </w:t>
      </w:r>
    </w:p>
    <w:p w14:paraId="64E060B0" w14:textId="676024E8" w:rsidR="00F93256" w:rsidRPr="00F02F9D" w:rsidRDefault="00F93256">
      <w:pPr>
        <w:pStyle w:val="Prrafodelista"/>
        <w:numPr>
          <w:ilvl w:val="0"/>
          <w:numId w:val="75"/>
        </w:numPr>
        <w:spacing w:line="0" w:lineRule="atLeast"/>
        <w:ind w:left="1560" w:hanging="426"/>
        <w:jc w:val="both"/>
        <w:rPr>
          <w:rFonts w:ascii="Arial" w:eastAsia="Arial" w:hAnsi="Arial"/>
          <w:bCs/>
          <w:sz w:val="22"/>
          <w:szCs w:val="22"/>
          <w:lang w:val="es-CR"/>
        </w:rPr>
      </w:pPr>
      <w:r w:rsidRPr="00F02F9D">
        <w:rPr>
          <w:rFonts w:ascii="Arial" w:eastAsia="Arial" w:hAnsi="Arial"/>
          <w:bCs/>
          <w:sz w:val="22"/>
          <w:szCs w:val="22"/>
          <w:lang w:val="es-CR"/>
        </w:rPr>
        <w:t>Si no se puede determinar el importe recuperable de un activo individual, deberá identificarse el conjunto más pequeño de activos que, incluyendo al mismo, genere entradas de efectivo que sean en buena medida independientes, a cuyos efectos deberá aplicarse el juicio profesional.</w:t>
      </w:r>
    </w:p>
    <w:p w14:paraId="7599C8DA" w14:textId="77777777" w:rsidR="00213195" w:rsidRDefault="00213195" w:rsidP="00A351C9">
      <w:pPr>
        <w:spacing w:line="238" w:lineRule="auto"/>
        <w:ind w:left="1134" w:right="260" w:hanging="1134"/>
        <w:jc w:val="both"/>
        <w:rPr>
          <w:rFonts w:ascii="Arial" w:eastAsia="Arial" w:hAnsi="Arial"/>
          <w:b/>
          <w:sz w:val="22"/>
          <w:szCs w:val="22"/>
          <w:lang w:val="es-CR"/>
        </w:rPr>
      </w:pPr>
    </w:p>
    <w:p w14:paraId="555BA65D" w14:textId="77777777" w:rsidR="006808DF" w:rsidRPr="00F02F9D" w:rsidRDefault="006808DF" w:rsidP="00A351C9">
      <w:pPr>
        <w:spacing w:line="238" w:lineRule="auto"/>
        <w:ind w:left="1134" w:right="260" w:hanging="1134"/>
        <w:jc w:val="both"/>
        <w:rPr>
          <w:rFonts w:ascii="Arial" w:eastAsia="Arial" w:hAnsi="Arial"/>
          <w:b/>
          <w:sz w:val="22"/>
          <w:szCs w:val="22"/>
          <w:lang w:val="es-CR"/>
        </w:rPr>
      </w:pPr>
    </w:p>
    <w:tbl>
      <w:tblPr>
        <w:tblW w:w="9488" w:type="dxa"/>
        <w:tblLook w:val="04A0" w:firstRow="1" w:lastRow="0" w:firstColumn="1" w:lastColumn="0" w:noHBand="0" w:noVBand="1"/>
      </w:tblPr>
      <w:tblGrid>
        <w:gridCol w:w="559"/>
        <w:gridCol w:w="550"/>
        <w:gridCol w:w="539"/>
        <w:gridCol w:w="3162"/>
        <w:gridCol w:w="2328"/>
        <w:gridCol w:w="2350"/>
      </w:tblGrid>
      <w:tr w:rsidR="003227B5" w:rsidRPr="00791465" w14:paraId="58CEE022" w14:textId="77777777" w:rsidTr="003227B5">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57C8408" w14:textId="77777777" w:rsidR="003227B5" w:rsidRPr="00791465" w:rsidRDefault="003227B5" w:rsidP="003227B5">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1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4E1DE47" w14:textId="77777777" w:rsidR="003227B5" w:rsidRPr="00791465" w:rsidRDefault="003227B5" w:rsidP="003227B5">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678" w:type="dxa"/>
            <w:gridSpan w:val="2"/>
            <w:tcBorders>
              <w:top w:val="single" w:sz="8" w:space="0" w:color="auto"/>
              <w:left w:val="nil"/>
              <w:bottom w:val="single" w:sz="8" w:space="0" w:color="auto"/>
              <w:right w:val="single" w:sz="8" w:space="0" w:color="000000"/>
            </w:tcBorders>
            <w:shd w:val="clear" w:color="000000" w:fill="203764"/>
            <w:vAlign w:val="center"/>
            <w:hideMark/>
          </w:tcPr>
          <w:p w14:paraId="58192C8C" w14:textId="77777777" w:rsidR="003227B5" w:rsidRPr="00791465" w:rsidRDefault="003227B5" w:rsidP="003227B5">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3227B5" w:rsidRPr="0071104F" w14:paraId="050A7573" w14:textId="77777777" w:rsidTr="003227B5">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13795A10" w14:textId="77777777" w:rsidR="003227B5" w:rsidRPr="00791465" w:rsidRDefault="003227B5" w:rsidP="003227B5">
            <w:pPr>
              <w:rPr>
                <w:rFonts w:ascii="Arial Narrow" w:eastAsia="Times New Roman" w:hAnsi="Arial Narrow"/>
                <w:b/>
                <w:bCs/>
                <w:color w:val="FFFFFF"/>
                <w:sz w:val="22"/>
                <w:szCs w:val="22"/>
              </w:rPr>
            </w:pPr>
          </w:p>
        </w:tc>
        <w:tc>
          <w:tcPr>
            <w:tcW w:w="3162" w:type="dxa"/>
            <w:vMerge/>
            <w:tcBorders>
              <w:top w:val="single" w:sz="8" w:space="0" w:color="auto"/>
              <w:left w:val="single" w:sz="8" w:space="0" w:color="auto"/>
              <w:bottom w:val="nil"/>
              <w:right w:val="single" w:sz="8" w:space="0" w:color="auto"/>
            </w:tcBorders>
            <w:vAlign w:val="center"/>
            <w:hideMark/>
          </w:tcPr>
          <w:p w14:paraId="3180C5E5" w14:textId="77777777" w:rsidR="003227B5" w:rsidRPr="00791465" w:rsidRDefault="003227B5" w:rsidP="003227B5">
            <w:pPr>
              <w:rPr>
                <w:rFonts w:ascii="Arial Narrow" w:eastAsia="Times New Roman" w:hAnsi="Arial Narrow"/>
                <w:b/>
                <w:bCs/>
                <w:color w:val="FFFFFF"/>
                <w:sz w:val="22"/>
                <w:szCs w:val="22"/>
              </w:rPr>
            </w:pPr>
          </w:p>
        </w:tc>
        <w:tc>
          <w:tcPr>
            <w:tcW w:w="2328" w:type="dxa"/>
            <w:tcBorders>
              <w:top w:val="nil"/>
              <w:left w:val="nil"/>
              <w:bottom w:val="nil"/>
              <w:right w:val="single" w:sz="8" w:space="0" w:color="auto"/>
            </w:tcBorders>
            <w:shd w:val="clear" w:color="000000" w:fill="203764"/>
            <w:vAlign w:val="center"/>
            <w:hideMark/>
          </w:tcPr>
          <w:p w14:paraId="3434B0DE" w14:textId="77777777" w:rsidR="003227B5" w:rsidRPr="00791465" w:rsidRDefault="003227B5" w:rsidP="003227B5">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2350" w:type="dxa"/>
            <w:tcBorders>
              <w:top w:val="nil"/>
              <w:left w:val="nil"/>
              <w:bottom w:val="nil"/>
              <w:right w:val="single" w:sz="8" w:space="0" w:color="auto"/>
            </w:tcBorders>
            <w:shd w:val="clear" w:color="000000" w:fill="203764"/>
            <w:vAlign w:val="center"/>
            <w:hideMark/>
          </w:tcPr>
          <w:p w14:paraId="647203D9" w14:textId="46943955" w:rsidR="003227B5" w:rsidRPr="0071104F" w:rsidRDefault="0071104F" w:rsidP="003227B5">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3227B5" w:rsidRPr="00791465" w14:paraId="0C2E907D" w14:textId="77777777" w:rsidTr="003227B5">
        <w:trPr>
          <w:trHeight w:val="727"/>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48798A"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606BAF3F"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205</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1E2EF781" w14:textId="23965482" w:rsidR="003227B5" w:rsidRPr="00791465" w:rsidRDefault="002B7D8C"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0</w:t>
            </w:r>
            <w:r w:rsidR="003227B5" w:rsidRPr="00791465">
              <w:rPr>
                <w:rFonts w:ascii="Arial Narrow" w:eastAsia="Times New Roman" w:hAnsi="Arial Narrow"/>
                <w:b/>
                <w:bCs/>
                <w:color w:val="000000"/>
                <w:sz w:val="22"/>
                <w:szCs w:val="22"/>
              </w:rPr>
              <w:t xml:space="preserve"> </w:t>
            </w:r>
          </w:p>
        </w:tc>
        <w:tc>
          <w:tcPr>
            <w:tcW w:w="3162" w:type="dxa"/>
            <w:tcBorders>
              <w:top w:val="single" w:sz="8" w:space="0" w:color="auto"/>
              <w:left w:val="nil"/>
              <w:bottom w:val="single" w:sz="8" w:space="0" w:color="auto"/>
              <w:right w:val="single" w:sz="8" w:space="0" w:color="auto"/>
            </w:tcBorders>
            <w:shd w:val="clear" w:color="auto" w:fill="auto"/>
            <w:vAlign w:val="center"/>
            <w:hideMark/>
          </w:tcPr>
          <w:p w14:paraId="0AD9CDC2" w14:textId="77777777" w:rsidR="003227B5" w:rsidRPr="00791465" w:rsidRDefault="003227B5" w:rsidP="003227B5">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Identificación de la unidad generadora de efectivo a la que pertenece un activo</w:t>
            </w:r>
          </w:p>
        </w:tc>
        <w:tc>
          <w:tcPr>
            <w:tcW w:w="2328" w:type="dxa"/>
            <w:tcBorders>
              <w:top w:val="single" w:sz="8" w:space="0" w:color="auto"/>
              <w:left w:val="nil"/>
              <w:bottom w:val="single" w:sz="8" w:space="0" w:color="auto"/>
              <w:right w:val="single" w:sz="8" w:space="0" w:color="auto"/>
            </w:tcBorders>
            <w:shd w:val="clear" w:color="auto" w:fill="auto"/>
            <w:vAlign w:val="center"/>
            <w:hideMark/>
          </w:tcPr>
          <w:p w14:paraId="5BDC97AA" w14:textId="77777777" w:rsidR="003227B5" w:rsidRPr="00791465" w:rsidRDefault="003227B5" w:rsidP="003227B5">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60B7404D" w14:textId="667C87A3" w:rsidR="003227B5" w:rsidRPr="00791465" w:rsidRDefault="003227B5" w:rsidP="003227B5">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Párrafos 35, 77 y</w:t>
            </w:r>
            <w:r w:rsidRPr="00791465">
              <w:rPr>
                <w:rFonts w:ascii="Arial Narrow" w:eastAsia="Times New Roman" w:hAnsi="Arial Narrow"/>
                <w:b/>
                <w:bCs/>
                <w:color w:val="000000"/>
                <w:sz w:val="22"/>
                <w:szCs w:val="22"/>
                <w:lang w:val="es-CR"/>
              </w:rPr>
              <w:br/>
              <w:t>78.</w:t>
            </w:r>
          </w:p>
        </w:tc>
        <w:tc>
          <w:tcPr>
            <w:tcW w:w="2350" w:type="dxa"/>
            <w:tcBorders>
              <w:top w:val="single" w:sz="8" w:space="0" w:color="auto"/>
              <w:left w:val="nil"/>
              <w:bottom w:val="single" w:sz="8" w:space="0" w:color="auto"/>
              <w:right w:val="single" w:sz="8" w:space="0" w:color="auto"/>
            </w:tcBorders>
            <w:shd w:val="clear" w:color="auto" w:fill="auto"/>
            <w:vAlign w:val="center"/>
            <w:hideMark/>
          </w:tcPr>
          <w:p w14:paraId="712AA5FB"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r>
      <w:tr w:rsidR="003227B5" w:rsidRPr="00791465" w14:paraId="684F095D" w14:textId="77777777" w:rsidTr="003227B5">
        <w:trPr>
          <w:trHeight w:val="681"/>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7169BA16"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0014E46B"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205</w:t>
            </w:r>
          </w:p>
        </w:tc>
        <w:tc>
          <w:tcPr>
            <w:tcW w:w="539" w:type="dxa"/>
            <w:tcBorders>
              <w:top w:val="nil"/>
              <w:left w:val="nil"/>
              <w:bottom w:val="single" w:sz="8" w:space="0" w:color="auto"/>
              <w:right w:val="single" w:sz="8" w:space="0" w:color="auto"/>
            </w:tcBorders>
            <w:shd w:val="clear" w:color="auto" w:fill="auto"/>
            <w:vAlign w:val="center"/>
            <w:hideMark/>
          </w:tcPr>
          <w:p w14:paraId="3C8B8B41"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w:t>
            </w:r>
          </w:p>
        </w:tc>
        <w:tc>
          <w:tcPr>
            <w:tcW w:w="3162" w:type="dxa"/>
            <w:tcBorders>
              <w:top w:val="nil"/>
              <w:left w:val="nil"/>
              <w:bottom w:val="single" w:sz="8" w:space="0" w:color="auto"/>
              <w:right w:val="single" w:sz="8" w:space="0" w:color="auto"/>
            </w:tcBorders>
            <w:shd w:val="clear" w:color="auto" w:fill="auto"/>
            <w:vAlign w:val="center"/>
            <w:hideMark/>
          </w:tcPr>
          <w:p w14:paraId="506A00CC" w14:textId="77777777" w:rsidR="003227B5" w:rsidRPr="00791465" w:rsidRDefault="003227B5" w:rsidP="003227B5">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Activos o grupos de activos que abastecen internamente a la entidad</w:t>
            </w:r>
          </w:p>
        </w:tc>
        <w:tc>
          <w:tcPr>
            <w:tcW w:w="2328" w:type="dxa"/>
            <w:tcBorders>
              <w:top w:val="nil"/>
              <w:left w:val="nil"/>
              <w:bottom w:val="single" w:sz="8" w:space="0" w:color="auto"/>
              <w:right w:val="single" w:sz="8" w:space="0" w:color="auto"/>
            </w:tcBorders>
            <w:shd w:val="clear" w:color="auto" w:fill="auto"/>
            <w:vAlign w:val="center"/>
            <w:hideMark/>
          </w:tcPr>
          <w:p w14:paraId="3384BC0E" w14:textId="77777777" w:rsidR="003227B5" w:rsidRPr="00791465" w:rsidRDefault="003227B5" w:rsidP="003227B5">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0DAD84D4" w14:textId="75E028A8" w:rsidR="003227B5" w:rsidRPr="00791465" w:rsidRDefault="003227B5" w:rsidP="003227B5">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Párrafos 80 a 82.</w:t>
            </w:r>
          </w:p>
        </w:tc>
        <w:tc>
          <w:tcPr>
            <w:tcW w:w="2350" w:type="dxa"/>
            <w:tcBorders>
              <w:top w:val="nil"/>
              <w:left w:val="nil"/>
              <w:bottom w:val="single" w:sz="8" w:space="0" w:color="auto"/>
              <w:right w:val="single" w:sz="8" w:space="0" w:color="auto"/>
            </w:tcBorders>
            <w:shd w:val="clear" w:color="auto" w:fill="auto"/>
            <w:vAlign w:val="center"/>
            <w:hideMark/>
          </w:tcPr>
          <w:p w14:paraId="54CD7003"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r>
      <w:tr w:rsidR="003227B5" w:rsidRPr="00791465" w14:paraId="09A2802B" w14:textId="77777777" w:rsidTr="003227B5">
        <w:trPr>
          <w:trHeight w:val="393"/>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3B2732AA"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lastRenderedPageBreak/>
              <w:t>1</w:t>
            </w:r>
          </w:p>
        </w:tc>
        <w:tc>
          <w:tcPr>
            <w:tcW w:w="550" w:type="dxa"/>
            <w:tcBorders>
              <w:top w:val="nil"/>
              <w:left w:val="nil"/>
              <w:bottom w:val="single" w:sz="8" w:space="0" w:color="auto"/>
              <w:right w:val="single" w:sz="8" w:space="0" w:color="auto"/>
            </w:tcBorders>
            <w:shd w:val="clear" w:color="auto" w:fill="auto"/>
            <w:noWrap/>
            <w:vAlign w:val="center"/>
            <w:hideMark/>
          </w:tcPr>
          <w:p w14:paraId="69CF8397"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205</w:t>
            </w:r>
          </w:p>
        </w:tc>
        <w:tc>
          <w:tcPr>
            <w:tcW w:w="539" w:type="dxa"/>
            <w:tcBorders>
              <w:top w:val="nil"/>
              <w:left w:val="nil"/>
              <w:bottom w:val="single" w:sz="8" w:space="0" w:color="auto"/>
              <w:right w:val="single" w:sz="8" w:space="0" w:color="auto"/>
            </w:tcBorders>
            <w:shd w:val="clear" w:color="auto" w:fill="auto"/>
            <w:vAlign w:val="center"/>
            <w:hideMark/>
          </w:tcPr>
          <w:p w14:paraId="58F81DE8"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w:t>
            </w:r>
          </w:p>
        </w:tc>
        <w:tc>
          <w:tcPr>
            <w:tcW w:w="3162" w:type="dxa"/>
            <w:tcBorders>
              <w:top w:val="nil"/>
              <w:left w:val="nil"/>
              <w:bottom w:val="single" w:sz="8" w:space="0" w:color="auto"/>
              <w:right w:val="single" w:sz="8" w:space="0" w:color="auto"/>
            </w:tcBorders>
            <w:shd w:val="clear" w:color="auto" w:fill="auto"/>
            <w:vAlign w:val="center"/>
            <w:hideMark/>
          </w:tcPr>
          <w:p w14:paraId="41A03642" w14:textId="1DA91AA1" w:rsidR="003227B5" w:rsidRPr="00791465" w:rsidRDefault="003227B5" w:rsidP="003227B5">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Identificación de un período a otro</w:t>
            </w:r>
          </w:p>
        </w:tc>
        <w:tc>
          <w:tcPr>
            <w:tcW w:w="2328" w:type="dxa"/>
            <w:tcBorders>
              <w:top w:val="nil"/>
              <w:left w:val="nil"/>
              <w:bottom w:val="single" w:sz="8" w:space="0" w:color="auto"/>
              <w:right w:val="single" w:sz="8" w:space="0" w:color="auto"/>
            </w:tcBorders>
            <w:shd w:val="clear" w:color="auto" w:fill="auto"/>
            <w:vAlign w:val="center"/>
            <w:hideMark/>
          </w:tcPr>
          <w:p w14:paraId="59A588C6" w14:textId="77777777" w:rsidR="003227B5" w:rsidRPr="00791465" w:rsidRDefault="003227B5" w:rsidP="003227B5">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3A4E47CF" w14:textId="062F24DB" w:rsidR="003227B5" w:rsidRPr="00791465" w:rsidRDefault="003227B5" w:rsidP="003227B5">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Párrafos 83 y 84.</w:t>
            </w:r>
          </w:p>
        </w:tc>
        <w:tc>
          <w:tcPr>
            <w:tcW w:w="2350" w:type="dxa"/>
            <w:tcBorders>
              <w:top w:val="nil"/>
              <w:left w:val="nil"/>
              <w:bottom w:val="single" w:sz="8" w:space="0" w:color="auto"/>
              <w:right w:val="single" w:sz="8" w:space="0" w:color="auto"/>
            </w:tcBorders>
            <w:shd w:val="clear" w:color="auto" w:fill="auto"/>
            <w:vAlign w:val="center"/>
            <w:hideMark/>
          </w:tcPr>
          <w:p w14:paraId="6825B520" w14:textId="77777777" w:rsidR="003227B5" w:rsidRPr="00791465" w:rsidRDefault="003227B5" w:rsidP="003227B5">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r>
    </w:tbl>
    <w:p w14:paraId="56FA1321" w14:textId="77777777" w:rsidR="00213195" w:rsidRPr="00F02F9D" w:rsidRDefault="00213195" w:rsidP="00A351C9">
      <w:pPr>
        <w:spacing w:line="238" w:lineRule="auto"/>
        <w:ind w:left="1134" w:right="260" w:hanging="1134"/>
        <w:jc w:val="both"/>
        <w:rPr>
          <w:rFonts w:ascii="Arial" w:eastAsia="Arial" w:hAnsi="Arial"/>
          <w:b/>
          <w:sz w:val="22"/>
          <w:szCs w:val="22"/>
          <w:lang w:val="es-CR"/>
        </w:rPr>
      </w:pPr>
    </w:p>
    <w:p w14:paraId="74C93759" w14:textId="63AA28F6" w:rsidR="006808DF" w:rsidRDefault="006808DF" w:rsidP="003227B5">
      <w:pPr>
        <w:spacing w:line="238" w:lineRule="auto"/>
        <w:ind w:left="1134" w:right="260" w:hanging="1134"/>
        <w:jc w:val="both"/>
        <w:rPr>
          <w:rFonts w:ascii="Arial" w:eastAsia="Arial" w:hAnsi="Arial"/>
          <w:bCs/>
          <w:sz w:val="22"/>
          <w:szCs w:val="22"/>
          <w:lang w:val="es-CR"/>
        </w:rPr>
      </w:pPr>
      <w:r w:rsidRPr="00F02F9D">
        <w:rPr>
          <w:rFonts w:ascii="Arial" w:eastAsia="Arial" w:hAnsi="Arial"/>
          <w:b/>
          <w:sz w:val="22"/>
          <w:szCs w:val="22"/>
        </w:rPr>
        <w:t>Políticas Contables</w:t>
      </w:r>
    </w:p>
    <w:p w14:paraId="238C97D9" w14:textId="77777777" w:rsidR="006808DF" w:rsidRDefault="006808DF" w:rsidP="003227B5">
      <w:pPr>
        <w:spacing w:line="238" w:lineRule="auto"/>
        <w:ind w:left="1134" w:right="260" w:hanging="1134"/>
        <w:jc w:val="both"/>
        <w:rPr>
          <w:rFonts w:ascii="Arial" w:eastAsia="Arial" w:hAnsi="Arial"/>
          <w:bCs/>
          <w:sz w:val="22"/>
          <w:szCs w:val="22"/>
          <w:lang w:val="es-CR"/>
        </w:rPr>
      </w:pPr>
    </w:p>
    <w:p w14:paraId="1D6F4903" w14:textId="665D477E" w:rsidR="003227B5" w:rsidRDefault="003227B5" w:rsidP="003227B5">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1.205.0.01</w:t>
      </w:r>
      <w:r w:rsidRPr="00F02F9D">
        <w:rPr>
          <w:rFonts w:ascii="Arial" w:eastAsia="Arial" w:hAnsi="Arial"/>
          <w:bCs/>
          <w:sz w:val="22"/>
          <w:szCs w:val="22"/>
          <w:lang w:val="es-CR"/>
        </w:rPr>
        <w:tab/>
        <w:t xml:space="preserve">Si 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existiera algún indicio del deterioro del valor de un activo, el importe recuperable se estimará para el activo individualmente considerado; si ello no fuera posible, se determinará el importe recuperable de la unidad generadora de efectivo a la que el activo pertenece.</w:t>
      </w:r>
    </w:p>
    <w:p w14:paraId="4590411A" w14:textId="77777777" w:rsidR="00791465" w:rsidRPr="00F02F9D" w:rsidRDefault="00791465" w:rsidP="003227B5">
      <w:pPr>
        <w:spacing w:line="238" w:lineRule="auto"/>
        <w:ind w:left="1134" w:right="260" w:hanging="1134"/>
        <w:jc w:val="both"/>
        <w:rPr>
          <w:rFonts w:ascii="Arial" w:eastAsia="Arial" w:hAnsi="Arial"/>
          <w:bCs/>
          <w:sz w:val="22"/>
          <w:szCs w:val="22"/>
          <w:lang w:val="es-CR"/>
        </w:rPr>
      </w:pPr>
    </w:p>
    <w:p w14:paraId="5150AB6A" w14:textId="77777777" w:rsidR="003227B5" w:rsidRPr="00F02F9D" w:rsidRDefault="003227B5" w:rsidP="003227B5">
      <w:pPr>
        <w:spacing w:line="9" w:lineRule="exact"/>
        <w:rPr>
          <w:rFonts w:ascii="Arial" w:eastAsia="Times New Roman" w:hAnsi="Arial"/>
          <w:bCs/>
          <w:sz w:val="22"/>
          <w:szCs w:val="22"/>
          <w:lang w:val="es-CR"/>
        </w:rPr>
      </w:pPr>
    </w:p>
    <w:p w14:paraId="1ECCEB9C" w14:textId="22BD2B83" w:rsidR="003227B5" w:rsidRDefault="003227B5" w:rsidP="003227B5">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1.205.0.02</w:t>
      </w:r>
      <w:r w:rsidRPr="00F02F9D">
        <w:rPr>
          <w:rFonts w:ascii="Arial" w:eastAsia="Arial" w:hAnsi="Arial"/>
          <w:bCs/>
          <w:sz w:val="22"/>
          <w:szCs w:val="22"/>
          <w:lang w:val="es-CR"/>
        </w:rPr>
        <w:tab/>
        <w:t>El importe recuperable de un activo individual no podrá ser determinado cuando:</w:t>
      </w:r>
    </w:p>
    <w:p w14:paraId="071B0CFA" w14:textId="77777777" w:rsidR="00791465" w:rsidRPr="00F02F9D" w:rsidRDefault="00791465" w:rsidP="003227B5">
      <w:pPr>
        <w:spacing w:line="238" w:lineRule="auto"/>
        <w:ind w:left="1134" w:right="260" w:hanging="1134"/>
        <w:jc w:val="both"/>
        <w:rPr>
          <w:rFonts w:ascii="Arial" w:eastAsia="Arial" w:hAnsi="Arial"/>
          <w:bCs/>
          <w:sz w:val="22"/>
          <w:szCs w:val="22"/>
          <w:lang w:val="es-CR"/>
        </w:rPr>
      </w:pPr>
    </w:p>
    <w:p w14:paraId="36777AF1" w14:textId="77777777" w:rsidR="003227B5" w:rsidRPr="00F02F9D" w:rsidRDefault="003227B5" w:rsidP="003227B5">
      <w:pPr>
        <w:spacing w:line="23" w:lineRule="exact"/>
        <w:rPr>
          <w:rFonts w:ascii="Arial" w:eastAsia="Times New Roman" w:hAnsi="Arial"/>
          <w:bCs/>
          <w:sz w:val="22"/>
          <w:szCs w:val="22"/>
          <w:lang w:val="es-CR"/>
        </w:rPr>
      </w:pPr>
    </w:p>
    <w:p w14:paraId="20B43D07" w14:textId="4E872D59" w:rsidR="003227B5" w:rsidRPr="00F02F9D" w:rsidRDefault="003227B5">
      <w:pPr>
        <w:numPr>
          <w:ilvl w:val="0"/>
          <w:numId w:val="76"/>
        </w:numPr>
        <w:spacing w:after="120"/>
        <w:ind w:left="1418" w:right="261" w:hanging="335"/>
        <w:jc w:val="both"/>
        <w:rPr>
          <w:rFonts w:ascii="Arial" w:eastAsia="Arial" w:hAnsi="Arial"/>
          <w:bCs/>
          <w:sz w:val="22"/>
          <w:szCs w:val="22"/>
          <w:lang w:val="es-CR"/>
        </w:rPr>
      </w:pPr>
      <w:r w:rsidRPr="00F02F9D">
        <w:rPr>
          <w:rFonts w:ascii="Arial" w:eastAsia="Arial" w:hAnsi="Arial"/>
          <w:bCs/>
          <w:sz w:val="22"/>
          <w:szCs w:val="22"/>
          <w:lang w:val="es-CR"/>
        </w:rPr>
        <w:t>El valor en uso del activo no pueda estimarse como próximo a su valor razonable menos los costos de venta (por ejemplo, cuando los flujos de efectivo futuros por la utilización continuada del activo no puedan determinarse por ser insignificantes); y</w:t>
      </w:r>
    </w:p>
    <w:p w14:paraId="3D960857" w14:textId="77777777" w:rsidR="003227B5" w:rsidRPr="00F02F9D" w:rsidRDefault="003227B5" w:rsidP="003227B5">
      <w:pPr>
        <w:spacing w:line="9" w:lineRule="exact"/>
        <w:rPr>
          <w:rFonts w:ascii="Arial" w:eastAsia="Arial" w:hAnsi="Arial"/>
          <w:bCs/>
          <w:sz w:val="22"/>
          <w:szCs w:val="22"/>
          <w:lang w:val="es-CR"/>
        </w:rPr>
      </w:pPr>
    </w:p>
    <w:p w14:paraId="3FCAC06E" w14:textId="5DECD056" w:rsidR="003227B5" w:rsidRPr="00F02F9D" w:rsidRDefault="003227B5">
      <w:pPr>
        <w:numPr>
          <w:ilvl w:val="0"/>
          <w:numId w:val="76"/>
        </w:numPr>
        <w:spacing w:line="237" w:lineRule="auto"/>
        <w:ind w:left="1418" w:right="260" w:hanging="366"/>
        <w:jc w:val="both"/>
        <w:rPr>
          <w:rFonts w:ascii="Arial" w:eastAsia="Arial" w:hAnsi="Arial"/>
          <w:bCs/>
          <w:sz w:val="22"/>
          <w:szCs w:val="22"/>
          <w:lang w:val="es-CR"/>
        </w:rPr>
      </w:pPr>
      <w:r w:rsidRPr="00F02F9D">
        <w:rPr>
          <w:rFonts w:ascii="Arial" w:eastAsia="Arial" w:hAnsi="Arial"/>
          <w:bCs/>
          <w:sz w:val="22"/>
          <w:szCs w:val="22"/>
          <w:lang w:val="es-CR"/>
        </w:rPr>
        <w:t>El activo no genere entradas de efectivo que sean en buena medida independientes de las generadas por otros activos y no sea capaz de generar flujos de efectivo individualmente.</w:t>
      </w:r>
    </w:p>
    <w:p w14:paraId="60451918" w14:textId="77777777" w:rsidR="003227B5" w:rsidRPr="00F02F9D" w:rsidRDefault="003227B5" w:rsidP="003227B5">
      <w:pPr>
        <w:spacing w:line="200" w:lineRule="exact"/>
        <w:rPr>
          <w:rFonts w:ascii="Arial" w:eastAsia="Times New Roman" w:hAnsi="Arial"/>
          <w:bCs/>
          <w:sz w:val="22"/>
          <w:szCs w:val="22"/>
          <w:lang w:val="es-CR"/>
        </w:rPr>
      </w:pPr>
    </w:p>
    <w:p w14:paraId="55E0A574" w14:textId="6171C9A3" w:rsidR="003227B5" w:rsidRPr="00F02F9D" w:rsidRDefault="003227B5" w:rsidP="003227B5">
      <w:pPr>
        <w:spacing w:line="238" w:lineRule="auto"/>
        <w:ind w:left="1134" w:right="260" w:hanging="1134"/>
        <w:jc w:val="both"/>
        <w:rPr>
          <w:rFonts w:ascii="Arial" w:eastAsia="Arial" w:hAnsi="Arial"/>
          <w:bCs/>
          <w:sz w:val="22"/>
          <w:szCs w:val="22"/>
          <w:lang w:val="es-CR"/>
        </w:rPr>
      </w:pPr>
      <w:bookmarkStart w:id="69" w:name="page70"/>
      <w:bookmarkEnd w:id="69"/>
      <w:r w:rsidRPr="00F02F9D">
        <w:rPr>
          <w:rFonts w:ascii="Arial" w:eastAsia="Arial" w:hAnsi="Arial"/>
          <w:bCs/>
          <w:sz w:val="22"/>
          <w:szCs w:val="22"/>
          <w:lang w:val="es-CR"/>
        </w:rPr>
        <w:t>1.205.0.03</w:t>
      </w:r>
      <w:r w:rsidRPr="00F02F9D">
        <w:rPr>
          <w:rFonts w:ascii="Arial" w:eastAsia="Arial" w:hAnsi="Arial"/>
          <w:bCs/>
          <w:sz w:val="22"/>
          <w:szCs w:val="22"/>
          <w:lang w:val="es-CR"/>
        </w:rPr>
        <w:tab/>
        <w:t>En estos casos, el valor en uso y, por tanto, el importe recuperable, podrán determinarse sólo a partir de la unidad generadora de efectivo del activo, excepto que el valor razonable menos los costos de venta del activo considerado individualmente sean superior a su importe en libros, en cuyo caso el resultado de dicha ecuación se considerará como importe recuperable.</w:t>
      </w:r>
    </w:p>
    <w:p w14:paraId="26383706" w14:textId="77777777" w:rsidR="003227B5" w:rsidRPr="00F02F9D" w:rsidRDefault="003227B5" w:rsidP="003227B5">
      <w:pPr>
        <w:spacing w:line="269" w:lineRule="exact"/>
        <w:rPr>
          <w:rFonts w:ascii="Arial" w:eastAsia="Times New Roman" w:hAnsi="Arial"/>
          <w:bCs/>
          <w:sz w:val="22"/>
          <w:szCs w:val="22"/>
          <w:lang w:val="es-CR"/>
        </w:rPr>
      </w:pPr>
    </w:p>
    <w:p w14:paraId="0B5AC011" w14:textId="77777777" w:rsidR="003227B5" w:rsidRPr="00F02F9D" w:rsidRDefault="003227B5" w:rsidP="003227B5">
      <w:pPr>
        <w:spacing w:line="9" w:lineRule="exact"/>
        <w:rPr>
          <w:rFonts w:ascii="Arial" w:eastAsia="Arial" w:hAnsi="Arial"/>
          <w:bCs/>
          <w:sz w:val="22"/>
          <w:szCs w:val="22"/>
          <w:lang w:val="es-CR"/>
        </w:rPr>
      </w:pPr>
    </w:p>
    <w:p w14:paraId="33870137" w14:textId="3479B0ED" w:rsidR="003227B5" w:rsidRPr="00F02F9D" w:rsidRDefault="003227B5" w:rsidP="003227B5">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1.205.1.01</w:t>
      </w:r>
      <w:r w:rsidRPr="00F02F9D">
        <w:rPr>
          <w:rFonts w:ascii="Arial" w:eastAsia="Arial" w:hAnsi="Arial"/>
          <w:bCs/>
          <w:sz w:val="22"/>
          <w:szCs w:val="22"/>
          <w:lang w:val="es-CR"/>
        </w:rPr>
        <w:tab/>
        <w:t>A efectos de la determinación del valor recuperable de un activo o grupo de activos, deberán considerarse las entradas de efectivo recibidas o proyectadas a recibir de partes externas a la entidad, por lo que si el activo o grupo de activos en cuestión está destinado a la producción de productos que, en forma total o parcial se utilizan internamente, y siempre que la producción pueda venderse en un mercado activo, deberán considerarse los flujos de entradas de efectivo que podrían alcanzarse en transacciones realizadas en condiciones de independencia mutua, excluyendo el efecto de los precios internos de transferencia, en caso que éstos afecten los flujos de entradas de efectivo del activo o grupo de activos en cuestión.</w:t>
      </w:r>
    </w:p>
    <w:p w14:paraId="5D467CA3" w14:textId="77777777" w:rsidR="003227B5" w:rsidRPr="00F02F9D" w:rsidRDefault="003227B5" w:rsidP="003227B5">
      <w:pPr>
        <w:spacing w:line="238" w:lineRule="auto"/>
        <w:ind w:left="1134" w:right="260" w:hanging="1134"/>
        <w:jc w:val="both"/>
        <w:rPr>
          <w:rFonts w:ascii="Arial" w:eastAsia="Arial" w:hAnsi="Arial"/>
          <w:bCs/>
          <w:sz w:val="22"/>
          <w:szCs w:val="22"/>
          <w:lang w:val="es-CR"/>
        </w:rPr>
      </w:pPr>
    </w:p>
    <w:p w14:paraId="4F091814" w14:textId="77777777" w:rsidR="003227B5" w:rsidRPr="00F02F9D" w:rsidRDefault="003227B5" w:rsidP="003227B5">
      <w:pPr>
        <w:spacing w:line="9" w:lineRule="exact"/>
        <w:rPr>
          <w:rFonts w:ascii="Arial" w:eastAsia="Arial" w:hAnsi="Arial"/>
          <w:bCs/>
          <w:sz w:val="22"/>
          <w:szCs w:val="22"/>
          <w:lang w:val="es-CR"/>
        </w:rPr>
      </w:pPr>
    </w:p>
    <w:p w14:paraId="2AED941A" w14:textId="4BA1786C" w:rsidR="003227B5" w:rsidRPr="00F02F9D" w:rsidRDefault="003227B5" w:rsidP="003227B5">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1.205.2.01</w:t>
      </w:r>
      <w:r w:rsidRPr="00F02F9D">
        <w:rPr>
          <w:rFonts w:ascii="Arial" w:eastAsia="Arial" w:hAnsi="Arial"/>
          <w:bCs/>
          <w:sz w:val="22"/>
          <w:szCs w:val="22"/>
          <w:lang w:val="es-CR"/>
        </w:rPr>
        <w:tab/>
        <w:t xml:space="preserve">Las unidades generadoras de efectivo se identificarán de forma coherente de un período a otro, y estarán formadas por el mismo activo o tipos de activos, salvo que se justifique un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w:t>
      </w:r>
      <w:r w:rsidRPr="00F02F9D">
        <w:rPr>
          <w:rFonts w:ascii="Arial" w:eastAsia="Arial" w:hAnsi="Arial"/>
          <w:bCs/>
          <w:sz w:val="22"/>
          <w:szCs w:val="22"/>
          <w:lang w:val="es-CR"/>
        </w:rPr>
        <w:t>, lo cual será objeto de información en el caso que se hubiera reconocido una pérdida por deterioro del valor o una reversión de la misma para la unidad generadora de efectivo.</w:t>
      </w:r>
    </w:p>
    <w:p w14:paraId="2F63FB50" w14:textId="77777777" w:rsidR="00213195" w:rsidRPr="00F02F9D" w:rsidRDefault="00213195" w:rsidP="00A351C9">
      <w:pPr>
        <w:spacing w:line="238" w:lineRule="auto"/>
        <w:ind w:left="1134" w:right="260" w:hanging="1134"/>
        <w:jc w:val="both"/>
        <w:rPr>
          <w:rFonts w:ascii="Arial" w:eastAsia="Arial" w:hAnsi="Arial"/>
          <w:bCs/>
          <w:sz w:val="22"/>
          <w:szCs w:val="22"/>
          <w:lang w:val="es-CR"/>
        </w:rPr>
      </w:pPr>
    </w:p>
    <w:p w14:paraId="6D74E456" w14:textId="77777777" w:rsidR="00213195" w:rsidRPr="00F02F9D" w:rsidRDefault="00213195" w:rsidP="00A351C9">
      <w:pPr>
        <w:spacing w:line="238" w:lineRule="auto"/>
        <w:ind w:left="1134" w:right="260" w:hanging="1134"/>
        <w:jc w:val="both"/>
        <w:rPr>
          <w:rFonts w:ascii="Arial" w:eastAsia="Arial" w:hAnsi="Arial"/>
          <w:bCs/>
          <w:sz w:val="22"/>
          <w:szCs w:val="22"/>
          <w:lang w:val="es-CR"/>
        </w:rPr>
      </w:pPr>
    </w:p>
    <w:tbl>
      <w:tblPr>
        <w:tblW w:w="9213" w:type="dxa"/>
        <w:tblLook w:val="04A0" w:firstRow="1" w:lastRow="0" w:firstColumn="1" w:lastColumn="0" w:noHBand="0" w:noVBand="1"/>
      </w:tblPr>
      <w:tblGrid>
        <w:gridCol w:w="559"/>
        <w:gridCol w:w="550"/>
        <w:gridCol w:w="539"/>
        <w:gridCol w:w="3162"/>
        <w:gridCol w:w="2328"/>
        <w:gridCol w:w="2075"/>
      </w:tblGrid>
      <w:tr w:rsidR="00F82A5B" w:rsidRPr="00791465" w14:paraId="4A34F912" w14:textId="77777777" w:rsidTr="00F82A5B">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6604992" w14:textId="77777777" w:rsidR="00F82A5B" w:rsidRPr="00791465" w:rsidRDefault="00F82A5B" w:rsidP="00F82A5B">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1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F3486B" w14:textId="77777777" w:rsidR="00F82A5B" w:rsidRPr="00791465" w:rsidRDefault="00F82A5B" w:rsidP="00F82A5B">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403" w:type="dxa"/>
            <w:gridSpan w:val="2"/>
            <w:tcBorders>
              <w:top w:val="single" w:sz="8" w:space="0" w:color="auto"/>
              <w:left w:val="nil"/>
              <w:bottom w:val="single" w:sz="8" w:space="0" w:color="auto"/>
              <w:right w:val="single" w:sz="8" w:space="0" w:color="000000"/>
            </w:tcBorders>
            <w:shd w:val="clear" w:color="000000" w:fill="203764"/>
            <w:vAlign w:val="center"/>
            <w:hideMark/>
          </w:tcPr>
          <w:p w14:paraId="7E2E1DAA" w14:textId="77777777" w:rsidR="00F82A5B" w:rsidRPr="00791465" w:rsidRDefault="00F82A5B" w:rsidP="00F82A5B">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F82A5B" w:rsidRPr="0071104F" w14:paraId="06438640" w14:textId="77777777" w:rsidTr="00F82A5B">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6D43FA2F" w14:textId="77777777" w:rsidR="00F82A5B" w:rsidRPr="00791465" w:rsidRDefault="00F82A5B" w:rsidP="00F82A5B">
            <w:pPr>
              <w:rPr>
                <w:rFonts w:ascii="Arial Narrow" w:eastAsia="Times New Roman" w:hAnsi="Arial Narrow"/>
                <w:b/>
                <w:bCs/>
                <w:color w:val="FFFFFF"/>
                <w:sz w:val="22"/>
                <w:szCs w:val="22"/>
              </w:rPr>
            </w:pPr>
          </w:p>
        </w:tc>
        <w:tc>
          <w:tcPr>
            <w:tcW w:w="3162" w:type="dxa"/>
            <w:vMerge/>
            <w:tcBorders>
              <w:top w:val="single" w:sz="8" w:space="0" w:color="auto"/>
              <w:left w:val="single" w:sz="8" w:space="0" w:color="auto"/>
              <w:bottom w:val="nil"/>
              <w:right w:val="single" w:sz="8" w:space="0" w:color="auto"/>
            </w:tcBorders>
            <w:vAlign w:val="center"/>
            <w:hideMark/>
          </w:tcPr>
          <w:p w14:paraId="63E1C453" w14:textId="77777777" w:rsidR="00F82A5B" w:rsidRPr="00791465" w:rsidRDefault="00F82A5B" w:rsidP="00F82A5B">
            <w:pPr>
              <w:rPr>
                <w:rFonts w:ascii="Arial Narrow" w:eastAsia="Times New Roman" w:hAnsi="Arial Narrow"/>
                <w:b/>
                <w:bCs/>
                <w:color w:val="FFFFFF"/>
                <w:sz w:val="22"/>
                <w:szCs w:val="22"/>
              </w:rPr>
            </w:pPr>
          </w:p>
        </w:tc>
        <w:tc>
          <w:tcPr>
            <w:tcW w:w="2328" w:type="dxa"/>
            <w:tcBorders>
              <w:top w:val="nil"/>
              <w:left w:val="nil"/>
              <w:bottom w:val="nil"/>
              <w:right w:val="single" w:sz="8" w:space="0" w:color="auto"/>
            </w:tcBorders>
            <w:shd w:val="clear" w:color="000000" w:fill="203764"/>
            <w:vAlign w:val="center"/>
            <w:hideMark/>
          </w:tcPr>
          <w:p w14:paraId="673589AE" w14:textId="77777777" w:rsidR="00F82A5B" w:rsidRPr="00791465" w:rsidRDefault="00F82A5B" w:rsidP="00F82A5B">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2075" w:type="dxa"/>
            <w:tcBorders>
              <w:top w:val="nil"/>
              <w:left w:val="nil"/>
              <w:bottom w:val="nil"/>
              <w:right w:val="single" w:sz="8" w:space="0" w:color="auto"/>
            </w:tcBorders>
            <w:shd w:val="clear" w:color="000000" w:fill="203764"/>
            <w:vAlign w:val="center"/>
            <w:hideMark/>
          </w:tcPr>
          <w:p w14:paraId="0BEFB6C6" w14:textId="52CA9E57" w:rsidR="00F82A5B" w:rsidRPr="0071104F" w:rsidRDefault="0071104F" w:rsidP="00F82A5B">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F02F9D" w:rsidRPr="00791465" w14:paraId="6B0860EA" w14:textId="77777777" w:rsidTr="00F82A5B">
        <w:trPr>
          <w:trHeight w:val="160"/>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820131"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01749AA2"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206</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715CE68E" w14:textId="69848F70" w:rsidR="002B7D8C" w:rsidRPr="00791465" w:rsidRDefault="00F82A5B" w:rsidP="002B7D8C">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r w:rsidR="002B7D8C" w:rsidRPr="00791465">
              <w:rPr>
                <w:rFonts w:ascii="Arial Narrow" w:eastAsia="Times New Roman" w:hAnsi="Arial Narrow"/>
                <w:b/>
                <w:bCs/>
                <w:color w:val="000000"/>
                <w:sz w:val="22"/>
                <w:szCs w:val="22"/>
              </w:rPr>
              <w:t>0</w:t>
            </w:r>
          </w:p>
        </w:tc>
        <w:tc>
          <w:tcPr>
            <w:tcW w:w="3162" w:type="dxa"/>
            <w:tcBorders>
              <w:top w:val="single" w:sz="8" w:space="0" w:color="auto"/>
              <w:left w:val="nil"/>
              <w:bottom w:val="single" w:sz="8" w:space="0" w:color="auto"/>
              <w:right w:val="single" w:sz="8" w:space="0" w:color="auto"/>
            </w:tcBorders>
            <w:shd w:val="clear" w:color="auto" w:fill="auto"/>
            <w:vAlign w:val="center"/>
            <w:hideMark/>
          </w:tcPr>
          <w:p w14:paraId="1405CE26" w14:textId="77777777" w:rsidR="00F82A5B" w:rsidRPr="00791465" w:rsidRDefault="00F82A5B" w:rsidP="00F82A5B">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Importe recuperable de una unidad generadora de efectivo</w:t>
            </w:r>
          </w:p>
        </w:tc>
        <w:tc>
          <w:tcPr>
            <w:tcW w:w="2328" w:type="dxa"/>
            <w:tcBorders>
              <w:top w:val="single" w:sz="8" w:space="0" w:color="auto"/>
              <w:left w:val="nil"/>
              <w:bottom w:val="single" w:sz="8" w:space="0" w:color="auto"/>
              <w:right w:val="single" w:sz="8" w:space="0" w:color="auto"/>
            </w:tcBorders>
            <w:shd w:val="clear" w:color="auto" w:fill="auto"/>
            <w:vAlign w:val="center"/>
            <w:hideMark/>
          </w:tcPr>
          <w:p w14:paraId="09A881CC" w14:textId="77777777" w:rsidR="00F82A5B" w:rsidRPr="00791465" w:rsidRDefault="00F82A5B" w:rsidP="00F82A5B">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3DC250DC" w14:textId="7155F518" w:rsidR="00F82A5B" w:rsidRPr="00791465" w:rsidRDefault="00F82A5B" w:rsidP="00F82A5B">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Párrafo 85.</w:t>
            </w:r>
          </w:p>
        </w:tc>
        <w:tc>
          <w:tcPr>
            <w:tcW w:w="2075" w:type="dxa"/>
            <w:tcBorders>
              <w:top w:val="single" w:sz="8" w:space="0" w:color="auto"/>
              <w:left w:val="nil"/>
              <w:bottom w:val="single" w:sz="8" w:space="0" w:color="auto"/>
              <w:right w:val="single" w:sz="8" w:space="0" w:color="auto"/>
            </w:tcBorders>
            <w:shd w:val="clear" w:color="auto" w:fill="auto"/>
            <w:vAlign w:val="center"/>
            <w:hideMark/>
          </w:tcPr>
          <w:p w14:paraId="62A4E595"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r>
      <w:tr w:rsidR="00F02F9D" w:rsidRPr="00791465" w14:paraId="111EB03C" w14:textId="77777777" w:rsidTr="00F82A5B">
        <w:trPr>
          <w:trHeight w:val="406"/>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3B7ADE67"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73B2F6BF"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206</w:t>
            </w:r>
          </w:p>
        </w:tc>
        <w:tc>
          <w:tcPr>
            <w:tcW w:w="539" w:type="dxa"/>
            <w:tcBorders>
              <w:top w:val="nil"/>
              <w:left w:val="nil"/>
              <w:bottom w:val="single" w:sz="8" w:space="0" w:color="auto"/>
              <w:right w:val="single" w:sz="8" w:space="0" w:color="auto"/>
            </w:tcBorders>
            <w:shd w:val="clear" w:color="auto" w:fill="auto"/>
            <w:vAlign w:val="center"/>
            <w:hideMark/>
          </w:tcPr>
          <w:p w14:paraId="33B0FBB8"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1</w:t>
            </w:r>
          </w:p>
        </w:tc>
        <w:tc>
          <w:tcPr>
            <w:tcW w:w="3162" w:type="dxa"/>
            <w:tcBorders>
              <w:top w:val="nil"/>
              <w:left w:val="nil"/>
              <w:bottom w:val="single" w:sz="8" w:space="0" w:color="auto"/>
              <w:right w:val="single" w:sz="8" w:space="0" w:color="auto"/>
            </w:tcBorders>
            <w:shd w:val="clear" w:color="auto" w:fill="auto"/>
            <w:vAlign w:val="center"/>
            <w:hideMark/>
          </w:tcPr>
          <w:p w14:paraId="27B57EEA" w14:textId="77777777" w:rsidR="00F82A5B" w:rsidRPr="00791465" w:rsidRDefault="00F82A5B" w:rsidP="00F82A5B">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Importe en libros de una unidad generadora de efectivo</w:t>
            </w:r>
          </w:p>
        </w:tc>
        <w:tc>
          <w:tcPr>
            <w:tcW w:w="2328" w:type="dxa"/>
            <w:tcBorders>
              <w:top w:val="nil"/>
              <w:left w:val="nil"/>
              <w:bottom w:val="single" w:sz="8" w:space="0" w:color="auto"/>
              <w:right w:val="single" w:sz="8" w:space="0" w:color="auto"/>
            </w:tcBorders>
            <w:shd w:val="clear" w:color="auto" w:fill="auto"/>
            <w:vAlign w:val="center"/>
            <w:hideMark/>
          </w:tcPr>
          <w:p w14:paraId="499B9954" w14:textId="77777777" w:rsidR="00F82A5B" w:rsidRPr="00791465" w:rsidRDefault="00F82A5B" w:rsidP="00F82A5B">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78D28BE7" w14:textId="481786CF" w:rsidR="00F82A5B" w:rsidRPr="00791465" w:rsidRDefault="00F82A5B" w:rsidP="00F82A5B">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Párrafos 86 a 87.</w:t>
            </w:r>
          </w:p>
        </w:tc>
        <w:tc>
          <w:tcPr>
            <w:tcW w:w="2075" w:type="dxa"/>
            <w:tcBorders>
              <w:top w:val="nil"/>
              <w:left w:val="nil"/>
              <w:bottom w:val="single" w:sz="8" w:space="0" w:color="auto"/>
              <w:right w:val="single" w:sz="8" w:space="0" w:color="auto"/>
            </w:tcBorders>
            <w:shd w:val="clear" w:color="auto" w:fill="auto"/>
            <w:vAlign w:val="center"/>
            <w:hideMark/>
          </w:tcPr>
          <w:p w14:paraId="404E2643"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r>
      <w:tr w:rsidR="00F02F9D" w:rsidRPr="00791465" w14:paraId="0FD96D2F" w14:textId="77777777" w:rsidTr="00F82A5B">
        <w:trPr>
          <w:trHeight w:val="462"/>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615BA3BE"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13A5A7D6"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206</w:t>
            </w:r>
          </w:p>
        </w:tc>
        <w:tc>
          <w:tcPr>
            <w:tcW w:w="539" w:type="dxa"/>
            <w:tcBorders>
              <w:top w:val="nil"/>
              <w:left w:val="nil"/>
              <w:bottom w:val="single" w:sz="8" w:space="0" w:color="auto"/>
              <w:right w:val="single" w:sz="8" w:space="0" w:color="auto"/>
            </w:tcBorders>
            <w:shd w:val="clear" w:color="auto" w:fill="auto"/>
            <w:vAlign w:val="center"/>
            <w:hideMark/>
          </w:tcPr>
          <w:p w14:paraId="5524813A"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w:t>
            </w:r>
          </w:p>
        </w:tc>
        <w:tc>
          <w:tcPr>
            <w:tcW w:w="3162" w:type="dxa"/>
            <w:tcBorders>
              <w:top w:val="nil"/>
              <w:left w:val="nil"/>
              <w:bottom w:val="single" w:sz="8" w:space="0" w:color="auto"/>
              <w:right w:val="single" w:sz="8" w:space="0" w:color="auto"/>
            </w:tcBorders>
            <w:shd w:val="clear" w:color="auto" w:fill="auto"/>
            <w:vAlign w:val="center"/>
            <w:hideMark/>
          </w:tcPr>
          <w:p w14:paraId="747E68A8" w14:textId="77777777" w:rsidR="00F82A5B" w:rsidRPr="00791465" w:rsidRDefault="00F82A5B" w:rsidP="00F82A5B">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Agrupamiento con otros activos y pasivos</w:t>
            </w:r>
          </w:p>
        </w:tc>
        <w:tc>
          <w:tcPr>
            <w:tcW w:w="2328" w:type="dxa"/>
            <w:tcBorders>
              <w:top w:val="nil"/>
              <w:left w:val="nil"/>
              <w:bottom w:val="single" w:sz="8" w:space="0" w:color="auto"/>
              <w:right w:val="single" w:sz="8" w:space="0" w:color="auto"/>
            </w:tcBorders>
            <w:shd w:val="clear" w:color="auto" w:fill="auto"/>
            <w:vAlign w:val="center"/>
            <w:hideMark/>
          </w:tcPr>
          <w:p w14:paraId="403B9031" w14:textId="77777777" w:rsidR="00F82A5B" w:rsidRPr="00791465" w:rsidRDefault="00F82A5B" w:rsidP="00F82A5B">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3081E606" w14:textId="4F63BC4C" w:rsidR="00F82A5B" w:rsidRPr="00791465" w:rsidRDefault="00F82A5B" w:rsidP="00F82A5B">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Párrafos 88 y 90.</w:t>
            </w:r>
          </w:p>
        </w:tc>
        <w:tc>
          <w:tcPr>
            <w:tcW w:w="2075" w:type="dxa"/>
            <w:tcBorders>
              <w:top w:val="nil"/>
              <w:left w:val="nil"/>
              <w:bottom w:val="single" w:sz="8" w:space="0" w:color="auto"/>
              <w:right w:val="single" w:sz="8" w:space="0" w:color="auto"/>
            </w:tcBorders>
            <w:shd w:val="clear" w:color="auto" w:fill="auto"/>
            <w:vAlign w:val="center"/>
            <w:hideMark/>
          </w:tcPr>
          <w:p w14:paraId="02624ABA"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r>
      <w:tr w:rsidR="00F02F9D" w:rsidRPr="00791465" w14:paraId="3D19CABE" w14:textId="77777777" w:rsidTr="00F82A5B">
        <w:trPr>
          <w:trHeight w:val="462"/>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233E4C9D"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lastRenderedPageBreak/>
              <w:t>1</w:t>
            </w:r>
          </w:p>
        </w:tc>
        <w:tc>
          <w:tcPr>
            <w:tcW w:w="550" w:type="dxa"/>
            <w:tcBorders>
              <w:top w:val="nil"/>
              <w:left w:val="nil"/>
              <w:bottom w:val="single" w:sz="8" w:space="0" w:color="auto"/>
              <w:right w:val="single" w:sz="8" w:space="0" w:color="auto"/>
            </w:tcBorders>
            <w:shd w:val="clear" w:color="auto" w:fill="auto"/>
            <w:noWrap/>
            <w:vAlign w:val="center"/>
            <w:hideMark/>
          </w:tcPr>
          <w:p w14:paraId="280DF7C8"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206</w:t>
            </w:r>
          </w:p>
        </w:tc>
        <w:tc>
          <w:tcPr>
            <w:tcW w:w="539" w:type="dxa"/>
            <w:tcBorders>
              <w:top w:val="nil"/>
              <w:left w:val="nil"/>
              <w:bottom w:val="single" w:sz="8" w:space="0" w:color="auto"/>
              <w:right w:val="single" w:sz="8" w:space="0" w:color="auto"/>
            </w:tcBorders>
            <w:shd w:val="clear" w:color="auto" w:fill="auto"/>
            <w:vAlign w:val="center"/>
            <w:hideMark/>
          </w:tcPr>
          <w:p w14:paraId="3AE777D7"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3</w:t>
            </w:r>
          </w:p>
        </w:tc>
        <w:tc>
          <w:tcPr>
            <w:tcW w:w="3162" w:type="dxa"/>
            <w:tcBorders>
              <w:top w:val="nil"/>
              <w:left w:val="nil"/>
              <w:bottom w:val="single" w:sz="8" w:space="0" w:color="auto"/>
              <w:right w:val="single" w:sz="8" w:space="0" w:color="auto"/>
            </w:tcBorders>
            <w:shd w:val="clear" w:color="auto" w:fill="auto"/>
            <w:vAlign w:val="center"/>
            <w:hideMark/>
          </w:tcPr>
          <w:p w14:paraId="5CED582F" w14:textId="77777777" w:rsidR="00F82A5B" w:rsidRPr="00791465" w:rsidRDefault="00F82A5B" w:rsidP="00F82A5B">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Pasivos reconocidos</w:t>
            </w:r>
          </w:p>
        </w:tc>
        <w:tc>
          <w:tcPr>
            <w:tcW w:w="2328" w:type="dxa"/>
            <w:tcBorders>
              <w:top w:val="nil"/>
              <w:left w:val="nil"/>
              <w:bottom w:val="single" w:sz="8" w:space="0" w:color="auto"/>
              <w:right w:val="single" w:sz="8" w:space="0" w:color="auto"/>
            </w:tcBorders>
            <w:shd w:val="clear" w:color="auto" w:fill="auto"/>
            <w:vAlign w:val="center"/>
            <w:hideMark/>
          </w:tcPr>
          <w:p w14:paraId="661504BD" w14:textId="77777777" w:rsidR="00F82A5B" w:rsidRPr="00791465" w:rsidRDefault="00F82A5B" w:rsidP="00F82A5B">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 xml:space="preserve">NICSP Nº 26, </w:t>
            </w:r>
          </w:p>
          <w:p w14:paraId="185CDE31" w14:textId="10A35C35" w:rsidR="00F82A5B" w:rsidRPr="00791465" w:rsidRDefault="00F82A5B" w:rsidP="00F82A5B">
            <w:pPr>
              <w:jc w:val="both"/>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Párrafo 89.</w:t>
            </w:r>
          </w:p>
        </w:tc>
        <w:tc>
          <w:tcPr>
            <w:tcW w:w="2075" w:type="dxa"/>
            <w:tcBorders>
              <w:top w:val="nil"/>
              <w:left w:val="nil"/>
              <w:bottom w:val="single" w:sz="8" w:space="0" w:color="auto"/>
              <w:right w:val="single" w:sz="8" w:space="0" w:color="auto"/>
            </w:tcBorders>
            <w:shd w:val="clear" w:color="auto" w:fill="auto"/>
            <w:vAlign w:val="center"/>
            <w:hideMark/>
          </w:tcPr>
          <w:p w14:paraId="3DC4AC7B" w14:textId="77777777" w:rsidR="00F82A5B" w:rsidRPr="00791465" w:rsidRDefault="00F82A5B" w:rsidP="00F82A5B">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xml:space="preserve"> </w:t>
            </w:r>
          </w:p>
        </w:tc>
      </w:tr>
    </w:tbl>
    <w:p w14:paraId="2EC5DB06" w14:textId="77777777" w:rsidR="003227B5" w:rsidRDefault="003227B5" w:rsidP="00791465">
      <w:pPr>
        <w:spacing w:line="238" w:lineRule="auto"/>
        <w:ind w:right="260"/>
        <w:jc w:val="both"/>
        <w:rPr>
          <w:rFonts w:ascii="Arial" w:eastAsia="Arial" w:hAnsi="Arial"/>
          <w:bCs/>
          <w:sz w:val="22"/>
          <w:szCs w:val="22"/>
          <w:lang w:val="es-CR"/>
        </w:rPr>
      </w:pPr>
    </w:p>
    <w:p w14:paraId="726AAD36" w14:textId="0183E057" w:rsidR="006808DF" w:rsidRPr="00F02F9D" w:rsidRDefault="006808DF" w:rsidP="00791465">
      <w:pPr>
        <w:spacing w:line="238" w:lineRule="auto"/>
        <w:ind w:right="260"/>
        <w:jc w:val="both"/>
        <w:rPr>
          <w:rFonts w:ascii="Arial" w:eastAsia="Arial" w:hAnsi="Arial"/>
          <w:bCs/>
          <w:sz w:val="22"/>
          <w:szCs w:val="22"/>
          <w:lang w:val="es-CR"/>
        </w:rPr>
      </w:pPr>
      <w:r w:rsidRPr="00F02F9D">
        <w:rPr>
          <w:rFonts w:ascii="Arial" w:eastAsia="Arial" w:hAnsi="Arial"/>
          <w:b/>
          <w:sz w:val="22"/>
          <w:szCs w:val="22"/>
        </w:rPr>
        <w:t>Políticas Contables</w:t>
      </w:r>
    </w:p>
    <w:p w14:paraId="2154921A" w14:textId="77777777" w:rsidR="006808DF" w:rsidRDefault="006808DF" w:rsidP="008D1D1C">
      <w:pPr>
        <w:spacing w:line="237" w:lineRule="auto"/>
        <w:ind w:left="1134" w:right="260" w:hanging="1134"/>
        <w:jc w:val="both"/>
        <w:rPr>
          <w:rFonts w:ascii="Arial" w:eastAsia="Arial" w:hAnsi="Arial"/>
          <w:bCs/>
          <w:sz w:val="22"/>
          <w:szCs w:val="22"/>
          <w:lang w:val="es-CR"/>
        </w:rPr>
      </w:pPr>
    </w:p>
    <w:p w14:paraId="390C0156" w14:textId="2F49126C" w:rsidR="008D1D1C" w:rsidRDefault="008D1D1C" w:rsidP="008D1D1C">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1.206.0.01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importe recuperable de una unidad generadora de efectivo es el mayor entre el valor razonable menos los costos de venta y el valor en uso de los activos que conforman la unidad.</w:t>
      </w:r>
    </w:p>
    <w:p w14:paraId="23D65037" w14:textId="77777777" w:rsidR="00791465" w:rsidRPr="00F02F9D" w:rsidRDefault="00791465" w:rsidP="008D1D1C">
      <w:pPr>
        <w:spacing w:line="237" w:lineRule="auto"/>
        <w:ind w:left="1134" w:right="260" w:hanging="1134"/>
        <w:jc w:val="both"/>
        <w:rPr>
          <w:rFonts w:ascii="Arial" w:eastAsia="Arial" w:hAnsi="Arial"/>
          <w:bCs/>
          <w:sz w:val="22"/>
          <w:szCs w:val="22"/>
          <w:lang w:val="es-CR"/>
        </w:rPr>
      </w:pPr>
    </w:p>
    <w:p w14:paraId="767FE7F3" w14:textId="77777777" w:rsidR="008D1D1C" w:rsidRPr="00F02F9D" w:rsidRDefault="008D1D1C" w:rsidP="008D1D1C">
      <w:pPr>
        <w:spacing w:line="9" w:lineRule="exact"/>
        <w:rPr>
          <w:rFonts w:ascii="Arial" w:eastAsia="Arial" w:hAnsi="Arial"/>
          <w:bCs/>
          <w:sz w:val="22"/>
          <w:szCs w:val="22"/>
          <w:lang w:val="es-CR"/>
        </w:rPr>
      </w:pPr>
    </w:p>
    <w:p w14:paraId="23F25B07" w14:textId="079F3403" w:rsidR="008D1D1C" w:rsidRDefault="008D1D1C" w:rsidP="008D1D1C">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1.2061.01</w:t>
      </w:r>
      <w:r w:rsidRPr="00F02F9D">
        <w:rPr>
          <w:rFonts w:ascii="Arial" w:eastAsia="Arial" w:hAnsi="Arial"/>
          <w:bCs/>
          <w:sz w:val="22"/>
          <w:szCs w:val="22"/>
          <w:lang w:val="es-CR"/>
        </w:rPr>
        <w:tab/>
        <w:t>A efectos de la comparación, el importe en libros de una unidad generadora de efectivo se determinará de manera coherente con la forma en que se calcule el importe recuperable de la misma, por lo que:</w:t>
      </w:r>
    </w:p>
    <w:p w14:paraId="1BF6DE9B" w14:textId="77777777" w:rsidR="00791465" w:rsidRPr="00F02F9D" w:rsidRDefault="00791465" w:rsidP="008D1D1C">
      <w:pPr>
        <w:spacing w:line="237" w:lineRule="auto"/>
        <w:ind w:left="1134" w:right="260" w:hanging="1134"/>
        <w:jc w:val="both"/>
        <w:rPr>
          <w:rFonts w:ascii="Arial" w:eastAsia="Arial" w:hAnsi="Arial"/>
          <w:bCs/>
          <w:sz w:val="22"/>
          <w:szCs w:val="22"/>
          <w:lang w:val="es-CR"/>
        </w:rPr>
      </w:pPr>
    </w:p>
    <w:p w14:paraId="239AD7DD" w14:textId="77777777" w:rsidR="008D1D1C" w:rsidRPr="00F02F9D" w:rsidRDefault="008D1D1C" w:rsidP="008D1D1C">
      <w:pPr>
        <w:spacing w:line="10" w:lineRule="exact"/>
        <w:rPr>
          <w:rFonts w:ascii="Arial" w:eastAsia="Arial" w:hAnsi="Arial"/>
          <w:bCs/>
          <w:sz w:val="22"/>
          <w:szCs w:val="22"/>
          <w:lang w:val="es-CR"/>
        </w:rPr>
      </w:pPr>
    </w:p>
    <w:p w14:paraId="0657F53B" w14:textId="77777777" w:rsidR="008D1D1C" w:rsidRPr="00F02F9D" w:rsidRDefault="008D1D1C">
      <w:pPr>
        <w:pStyle w:val="Prrafodelista"/>
        <w:numPr>
          <w:ilvl w:val="0"/>
          <w:numId w:val="77"/>
        </w:numPr>
        <w:spacing w:after="120"/>
        <w:ind w:left="1418"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Se incluirá el importe en libros sólo de aquellos activos que puedan ser atribuidos directamente, o distribuidos según un criterio razonable y coherente, a la unidad generadora de efectivo y que generarán las entradas futuras de efectivo utilizadas en la determinación del valor en uso de la citada unidad; y</w:t>
      </w:r>
    </w:p>
    <w:p w14:paraId="776797E5" w14:textId="77777777" w:rsidR="008D1D1C" w:rsidRPr="00F02F9D" w:rsidRDefault="008D1D1C" w:rsidP="008D1D1C">
      <w:pPr>
        <w:spacing w:line="11" w:lineRule="exact"/>
        <w:ind w:left="1418" w:hanging="284"/>
        <w:rPr>
          <w:rFonts w:ascii="Arial" w:eastAsia="Arial" w:hAnsi="Arial"/>
          <w:bCs/>
          <w:sz w:val="22"/>
          <w:szCs w:val="22"/>
          <w:lang w:val="es-CR"/>
        </w:rPr>
      </w:pPr>
    </w:p>
    <w:p w14:paraId="5C3B269F" w14:textId="77777777" w:rsidR="008D1D1C" w:rsidRDefault="008D1D1C">
      <w:pPr>
        <w:pStyle w:val="Prrafodelista"/>
        <w:numPr>
          <w:ilvl w:val="0"/>
          <w:numId w:val="77"/>
        </w:numPr>
        <w:spacing w:line="237"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No se incluirá el importe en libros de ningún pasivo reconocido, a menos que el importe recuperable de la unidad generadora de efectivo no pudiera ser determinado sin tener en cuenta este pasivo.</w:t>
      </w:r>
    </w:p>
    <w:p w14:paraId="529EF9E2" w14:textId="77777777" w:rsidR="006808DF" w:rsidRPr="006808DF" w:rsidRDefault="006808DF" w:rsidP="006808DF">
      <w:pPr>
        <w:spacing w:line="237" w:lineRule="auto"/>
        <w:ind w:right="260"/>
        <w:jc w:val="both"/>
        <w:rPr>
          <w:rFonts w:ascii="Arial" w:eastAsia="Arial" w:hAnsi="Arial"/>
          <w:bCs/>
          <w:sz w:val="22"/>
          <w:szCs w:val="22"/>
          <w:lang w:val="es-CR"/>
        </w:rPr>
      </w:pPr>
    </w:p>
    <w:p w14:paraId="7AD80925" w14:textId="6A9B9241" w:rsidR="008D1D1C" w:rsidRDefault="008D1D1C" w:rsidP="008D1D1C">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1.206.2.01</w:t>
      </w:r>
      <w:r w:rsidRPr="00F02F9D">
        <w:rPr>
          <w:rFonts w:ascii="Arial" w:eastAsia="Arial" w:hAnsi="Arial"/>
          <w:bCs/>
          <w:sz w:val="22"/>
          <w:szCs w:val="22"/>
          <w:lang w:val="es-CR"/>
        </w:rPr>
        <w:tab/>
        <w:t>Cuando se agrupen los activos para evaluar su recuperabilidad, es importante incluir en la unidad generadora de efectivo todos los activos que generan o son empleados para generar la corriente de entradas de efectivo. De otro modo, la unidad generadora de efectivo podría aparecer como plenamente recuperable, cuando de hecho se ha producido una pérdida por deterioro del valor. El importe recuperable de una unidad generadora de efectivo se determina, en ocasiones, después de tener en consideración:</w:t>
      </w:r>
    </w:p>
    <w:p w14:paraId="2CEDD842" w14:textId="77777777" w:rsidR="00791465" w:rsidRPr="00F02F9D" w:rsidRDefault="00791465" w:rsidP="008D1D1C">
      <w:pPr>
        <w:spacing w:line="237" w:lineRule="auto"/>
        <w:ind w:left="1134" w:right="260" w:hanging="1134"/>
        <w:jc w:val="both"/>
        <w:rPr>
          <w:rFonts w:ascii="Arial" w:eastAsia="Arial" w:hAnsi="Arial"/>
          <w:bCs/>
          <w:sz w:val="22"/>
          <w:szCs w:val="22"/>
          <w:lang w:val="es-CR"/>
        </w:rPr>
      </w:pPr>
    </w:p>
    <w:p w14:paraId="4CE3C973" w14:textId="7622988C" w:rsidR="008D1D1C" w:rsidRPr="00F02F9D" w:rsidRDefault="00270D71">
      <w:pPr>
        <w:pStyle w:val="Prrafodelista"/>
        <w:numPr>
          <w:ilvl w:val="0"/>
          <w:numId w:val="78"/>
        </w:numPr>
        <w:spacing w:after="120"/>
        <w:ind w:left="1418" w:right="261" w:hanging="284"/>
        <w:contextualSpacing w:val="0"/>
        <w:rPr>
          <w:rFonts w:ascii="Arial" w:eastAsia="Arial" w:hAnsi="Arial"/>
          <w:bCs/>
          <w:sz w:val="22"/>
          <w:szCs w:val="22"/>
          <w:lang w:val="es-CR"/>
        </w:rPr>
      </w:pPr>
      <w:r w:rsidRPr="00F02F9D">
        <w:rPr>
          <w:rFonts w:ascii="Arial" w:eastAsia="Arial" w:hAnsi="Arial"/>
          <w:bCs/>
          <w:sz w:val="22"/>
          <w:szCs w:val="22"/>
          <w:lang w:val="es-CR"/>
        </w:rPr>
        <w:t>L</w:t>
      </w:r>
      <w:r w:rsidR="008D1D1C" w:rsidRPr="00F02F9D">
        <w:rPr>
          <w:rFonts w:ascii="Arial" w:eastAsia="Arial" w:hAnsi="Arial"/>
          <w:bCs/>
          <w:sz w:val="22"/>
          <w:szCs w:val="22"/>
          <w:lang w:val="es-CR"/>
        </w:rPr>
        <w:t>os activos que no son parte de la propia unidad (por ejemplo, cuentas por cobrar u otros activos financieros); o</w:t>
      </w:r>
    </w:p>
    <w:p w14:paraId="59B4281A" w14:textId="77777777" w:rsidR="008D1D1C" w:rsidRPr="00F02F9D" w:rsidRDefault="008D1D1C" w:rsidP="00270D71">
      <w:pPr>
        <w:spacing w:line="9" w:lineRule="exact"/>
        <w:ind w:left="1418" w:hanging="284"/>
        <w:rPr>
          <w:rFonts w:ascii="Arial" w:eastAsia="Arial" w:hAnsi="Arial"/>
          <w:bCs/>
          <w:sz w:val="22"/>
          <w:szCs w:val="22"/>
          <w:lang w:val="es-CR"/>
        </w:rPr>
      </w:pPr>
    </w:p>
    <w:p w14:paraId="6F7359CA" w14:textId="341669A1" w:rsidR="008D1D1C" w:rsidRDefault="00270D71">
      <w:pPr>
        <w:pStyle w:val="Prrafodelista"/>
        <w:numPr>
          <w:ilvl w:val="0"/>
          <w:numId w:val="78"/>
        </w:numPr>
        <w:spacing w:line="236" w:lineRule="auto"/>
        <w:ind w:left="1418" w:right="280" w:hanging="284"/>
        <w:rPr>
          <w:rFonts w:ascii="Arial" w:eastAsia="Arial" w:hAnsi="Arial"/>
          <w:bCs/>
          <w:sz w:val="22"/>
          <w:szCs w:val="22"/>
          <w:lang w:val="es-CR"/>
        </w:rPr>
      </w:pPr>
      <w:r w:rsidRPr="00F02F9D">
        <w:rPr>
          <w:rFonts w:ascii="Arial" w:eastAsia="Arial" w:hAnsi="Arial"/>
          <w:bCs/>
          <w:sz w:val="22"/>
          <w:szCs w:val="22"/>
          <w:lang w:val="es-CR"/>
        </w:rPr>
        <w:t>L</w:t>
      </w:r>
      <w:r w:rsidR="008D1D1C" w:rsidRPr="00F02F9D">
        <w:rPr>
          <w:rFonts w:ascii="Arial" w:eastAsia="Arial" w:hAnsi="Arial"/>
          <w:bCs/>
          <w:sz w:val="22"/>
          <w:szCs w:val="22"/>
          <w:lang w:val="es-CR"/>
        </w:rPr>
        <w:t>os pasivos que se hayan reconocido (por ejemplo, cuentas por pagar, pensiones y otras provisiones).</w:t>
      </w:r>
    </w:p>
    <w:p w14:paraId="4A05B4B2" w14:textId="77777777" w:rsidR="00791465" w:rsidRPr="00791465" w:rsidRDefault="00791465" w:rsidP="00791465">
      <w:pPr>
        <w:spacing w:line="236" w:lineRule="auto"/>
        <w:ind w:right="280"/>
        <w:rPr>
          <w:rFonts w:ascii="Arial" w:eastAsia="Arial" w:hAnsi="Arial"/>
          <w:bCs/>
          <w:sz w:val="22"/>
          <w:szCs w:val="22"/>
          <w:lang w:val="es-CR"/>
        </w:rPr>
      </w:pPr>
    </w:p>
    <w:p w14:paraId="38361654" w14:textId="0806FB37" w:rsidR="008D1D1C" w:rsidRPr="00F02F9D" w:rsidRDefault="00270D71" w:rsidP="00270D71">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1.206.3.01</w:t>
      </w:r>
      <w:r w:rsidRPr="00F02F9D">
        <w:rPr>
          <w:rFonts w:ascii="Arial" w:eastAsia="Arial" w:hAnsi="Arial"/>
          <w:bCs/>
          <w:sz w:val="22"/>
          <w:szCs w:val="22"/>
          <w:lang w:val="es-CR"/>
        </w:rPr>
        <w:tab/>
        <w:t>E</w:t>
      </w:r>
      <w:r w:rsidR="008D1D1C" w:rsidRPr="00F02F9D">
        <w:rPr>
          <w:rFonts w:ascii="Arial" w:eastAsia="Arial" w:hAnsi="Arial"/>
          <w:bCs/>
          <w:sz w:val="22"/>
          <w:szCs w:val="22"/>
          <w:lang w:val="es-CR"/>
        </w:rPr>
        <w:t>n caso de que la disposición de una unidad generadora de efectivo, obligase al comprador a asumir el pasivo, el valor razonable menos los costos de venta (o el flujo de efectivo estimado procedente de la venta, o disposición por otra vía, al final de su vida útil) de la unidad generadora de efectivo será el precio de venta estimado de los activos de la unidad generadora de efectivo y del pasivo, de forma conjunta, menos los costos correspondientes a la disposición. Para llevar a cabo una adecuada comparación, entre el importe en libros de la unidad generadora de efectivo y su importe recuperable, será preciso deducir el importe en libros del pasivo al calcular tanto el valor en uso de la unidad, como su importe en libros.</w:t>
      </w:r>
    </w:p>
    <w:p w14:paraId="2A46A7FB" w14:textId="77777777" w:rsidR="003227B5" w:rsidRPr="00F02F9D" w:rsidRDefault="003227B5" w:rsidP="008D1D1C">
      <w:pPr>
        <w:spacing w:line="238" w:lineRule="auto"/>
        <w:ind w:right="260"/>
        <w:jc w:val="both"/>
        <w:rPr>
          <w:rFonts w:ascii="Arial" w:eastAsia="Arial" w:hAnsi="Arial"/>
          <w:bCs/>
          <w:sz w:val="22"/>
          <w:szCs w:val="22"/>
          <w:lang w:val="es-CR"/>
        </w:rPr>
      </w:pPr>
    </w:p>
    <w:p w14:paraId="6D301917" w14:textId="77777777" w:rsidR="003227B5" w:rsidRPr="00F02F9D" w:rsidRDefault="003227B5" w:rsidP="00A351C9">
      <w:pPr>
        <w:spacing w:line="238" w:lineRule="auto"/>
        <w:ind w:left="1134" w:right="260" w:hanging="1134"/>
        <w:jc w:val="both"/>
        <w:rPr>
          <w:rFonts w:ascii="Arial" w:eastAsia="Arial" w:hAnsi="Arial"/>
          <w:bCs/>
          <w:sz w:val="22"/>
          <w:szCs w:val="22"/>
          <w:lang w:val="es-CR"/>
        </w:rPr>
      </w:pPr>
    </w:p>
    <w:p w14:paraId="285DE53A" w14:textId="77777777" w:rsidR="004741D6" w:rsidRPr="005968BE" w:rsidRDefault="004741D6" w:rsidP="005968BE">
      <w:pPr>
        <w:pStyle w:val="Ttulo4"/>
        <w:rPr>
          <w:rFonts w:ascii="Arial" w:eastAsia="Arial" w:hAnsi="Arial" w:cs="Arial"/>
          <w:b/>
          <w:bCs/>
          <w:sz w:val="22"/>
          <w:szCs w:val="22"/>
          <w:lang w:val="es-CR"/>
        </w:rPr>
        <w:sectPr w:rsidR="004741D6" w:rsidRPr="005968BE" w:rsidSect="006D026E">
          <w:type w:val="continuous"/>
          <w:pgSz w:w="12240" w:h="15840"/>
          <w:pgMar w:top="1440" w:right="1440" w:bottom="168" w:left="1440" w:header="0" w:footer="0" w:gutter="0"/>
          <w:cols w:space="0" w:equalWidth="0">
            <w:col w:w="9360"/>
          </w:cols>
          <w:docGrid w:linePitch="360"/>
        </w:sectPr>
      </w:pPr>
    </w:p>
    <w:p w14:paraId="018D8CB0" w14:textId="77777777" w:rsidR="00791465" w:rsidRPr="00791465" w:rsidRDefault="00791465" w:rsidP="00791465">
      <w:pPr>
        <w:pStyle w:val="Ttulo2"/>
        <w:ind w:left="284"/>
        <w:rPr>
          <w:rFonts w:ascii="Arial" w:eastAsia="Arial" w:hAnsi="Arial" w:cs="Arial"/>
          <w:b/>
          <w:bCs/>
          <w:sz w:val="20"/>
          <w:szCs w:val="20"/>
          <w:lang w:val="es-CR"/>
        </w:rPr>
      </w:pPr>
      <w:bookmarkStart w:id="70" w:name="_Toc172726218"/>
      <w:r w:rsidRPr="00791465">
        <w:rPr>
          <w:rFonts w:ascii="Arial" w:eastAsia="Arial" w:hAnsi="Arial" w:cs="Arial"/>
          <w:b/>
          <w:bCs/>
          <w:sz w:val="20"/>
          <w:szCs w:val="20"/>
          <w:lang w:val="es-CR"/>
        </w:rPr>
        <w:t>Activos no generadores de efectivo</w:t>
      </w:r>
      <w:bookmarkEnd w:id="70"/>
    </w:p>
    <w:p w14:paraId="2E5AE0F4" w14:textId="77777777" w:rsidR="00791465" w:rsidRPr="00F02F9D" w:rsidRDefault="00791465" w:rsidP="00791465">
      <w:pPr>
        <w:spacing w:line="238" w:lineRule="auto"/>
        <w:ind w:left="1134" w:right="260" w:hanging="1134"/>
        <w:jc w:val="both"/>
        <w:rPr>
          <w:rFonts w:ascii="Arial" w:eastAsia="Arial" w:hAnsi="Arial"/>
          <w:bCs/>
          <w:sz w:val="22"/>
          <w:szCs w:val="22"/>
          <w:lang w:val="es-CR"/>
        </w:rPr>
      </w:pPr>
    </w:p>
    <w:tbl>
      <w:tblPr>
        <w:tblW w:w="8880" w:type="dxa"/>
        <w:tblLook w:val="04A0" w:firstRow="1" w:lastRow="0" w:firstColumn="1" w:lastColumn="0" w:noHBand="0" w:noVBand="1"/>
      </w:tblPr>
      <w:tblGrid>
        <w:gridCol w:w="562"/>
        <w:gridCol w:w="517"/>
        <w:gridCol w:w="540"/>
        <w:gridCol w:w="2836"/>
        <w:gridCol w:w="2336"/>
        <w:gridCol w:w="2089"/>
      </w:tblGrid>
      <w:tr w:rsidR="00791465" w:rsidRPr="006808DF" w14:paraId="411CFA3F" w14:textId="77777777" w:rsidTr="009D13CC">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F74C023"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286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CFBFFB4"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460" w:type="dxa"/>
            <w:gridSpan w:val="2"/>
            <w:tcBorders>
              <w:top w:val="single" w:sz="8" w:space="0" w:color="auto"/>
              <w:left w:val="nil"/>
              <w:bottom w:val="single" w:sz="8" w:space="0" w:color="auto"/>
              <w:right w:val="single" w:sz="8" w:space="0" w:color="000000"/>
            </w:tcBorders>
            <w:shd w:val="clear" w:color="000000" w:fill="203764"/>
            <w:vAlign w:val="center"/>
            <w:hideMark/>
          </w:tcPr>
          <w:p w14:paraId="1A8D7DBA"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791465" w:rsidRPr="0071104F" w14:paraId="00DBD65D" w14:textId="77777777" w:rsidTr="009D13CC">
        <w:trPr>
          <w:trHeight w:val="320"/>
        </w:trPr>
        <w:tc>
          <w:tcPr>
            <w:tcW w:w="1560" w:type="dxa"/>
            <w:gridSpan w:val="3"/>
            <w:vMerge/>
            <w:tcBorders>
              <w:top w:val="single" w:sz="8" w:space="0" w:color="auto"/>
              <w:left w:val="single" w:sz="8" w:space="0" w:color="auto"/>
              <w:bottom w:val="nil"/>
              <w:right w:val="single" w:sz="8" w:space="0" w:color="000000"/>
            </w:tcBorders>
            <w:vAlign w:val="center"/>
            <w:hideMark/>
          </w:tcPr>
          <w:p w14:paraId="0FB92D23" w14:textId="77777777" w:rsidR="00791465" w:rsidRPr="006808DF" w:rsidRDefault="00791465" w:rsidP="009D13CC">
            <w:pPr>
              <w:rPr>
                <w:rFonts w:ascii="Arial Narrow" w:eastAsia="Times New Roman" w:hAnsi="Arial Narrow"/>
                <w:b/>
                <w:bCs/>
                <w:color w:val="FFFFFF"/>
                <w:sz w:val="22"/>
                <w:szCs w:val="22"/>
              </w:rPr>
            </w:pPr>
          </w:p>
        </w:tc>
        <w:tc>
          <w:tcPr>
            <w:tcW w:w="2860" w:type="dxa"/>
            <w:vMerge/>
            <w:tcBorders>
              <w:top w:val="single" w:sz="8" w:space="0" w:color="auto"/>
              <w:left w:val="single" w:sz="8" w:space="0" w:color="auto"/>
              <w:bottom w:val="nil"/>
              <w:right w:val="single" w:sz="8" w:space="0" w:color="auto"/>
            </w:tcBorders>
            <w:vAlign w:val="center"/>
            <w:hideMark/>
          </w:tcPr>
          <w:p w14:paraId="4E0560EB" w14:textId="77777777" w:rsidR="00791465" w:rsidRPr="006808DF" w:rsidRDefault="00791465" w:rsidP="009D13CC">
            <w:pPr>
              <w:rPr>
                <w:rFonts w:ascii="Arial Narrow" w:eastAsia="Times New Roman" w:hAnsi="Arial Narrow"/>
                <w:b/>
                <w:bCs/>
                <w:color w:val="FFFFFF"/>
                <w:sz w:val="22"/>
                <w:szCs w:val="22"/>
              </w:rPr>
            </w:pPr>
          </w:p>
        </w:tc>
        <w:tc>
          <w:tcPr>
            <w:tcW w:w="2360" w:type="dxa"/>
            <w:tcBorders>
              <w:top w:val="nil"/>
              <w:left w:val="nil"/>
              <w:bottom w:val="nil"/>
              <w:right w:val="single" w:sz="8" w:space="0" w:color="auto"/>
            </w:tcBorders>
            <w:shd w:val="clear" w:color="000000" w:fill="203764"/>
            <w:vAlign w:val="center"/>
            <w:hideMark/>
          </w:tcPr>
          <w:p w14:paraId="3F6402F8"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7AD2B7A3" w14:textId="4427BBCE" w:rsidR="00791465" w:rsidRPr="0071104F" w:rsidRDefault="0071104F" w:rsidP="009D13C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91465" w:rsidRPr="006808DF" w14:paraId="1E2F511D" w14:textId="77777777" w:rsidTr="009D13CC">
        <w:trPr>
          <w:trHeight w:val="479"/>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B61DD"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451" w:type="dxa"/>
            <w:tcBorders>
              <w:top w:val="single" w:sz="8" w:space="0" w:color="auto"/>
              <w:left w:val="nil"/>
              <w:bottom w:val="single" w:sz="8" w:space="0" w:color="auto"/>
              <w:right w:val="single" w:sz="8" w:space="0" w:color="auto"/>
            </w:tcBorders>
            <w:shd w:val="clear" w:color="auto" w:fill="auto"/>
            <w:noWrap/>
            <w:vAlign w:val="center"/>
            <w:hideMark/>
          </w:tcPr>
          <w:p w14:paraId="0BA617FB"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207</w:t>
            </w:r>
          </w:p>
        </w:tc>
        <w:tc>
          <w:tcPr>
            <w:tcW w:w="544" w:type="dxa"/>
            <w:tcBorders>
              <w:top w:val="single" w:sz="8" w:space="0" w:color="auto"/>
              <w:left w:val="nil"/>
              <w:bottom w:val="single" w:sz="8" w:space="0" w:color="auto"/>
              <w:right w:val="single" w:sz="8" w:space="0" w:color="auto"/>
            </w:tcBorders>
            <w:shd w:val="clear" w:color="auto" w:fill="auto"/>
            <w:vAlign w:val="center"/>
            <w:hideMark/>
          </w:tcPr>
          <w:p w14:paraId="7DF2BC1A"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0 </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642737AD"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 Valor en uso de activos no generadores de efectivo</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4F8FE49A" w14:textId="77777777" w:rsidR="00791465" w:rsidRPr="006808DF" w:rsidRDefault="00791465" w:rsidP="009D13CC">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NICSP Nº 21, Párrafo 44.</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5E41D258"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bl>
    <w:p w14:paraId="18478288" w14:textId="77777777" w:rsidR="00791465" w:rsidRPr="00F02F9D" w:rsidRDefault="00791465" w:rsidP="00791465">
      <w:pPr>
        <w:spacing w:line="238" w:lineRule="auto"/>
        <w:ind w:left="1134" w:right="260" w:hanging="1134"/>
        <w:jc w:val="both"/>
        <w:rPr>
          <w:rFonts w:ascii="Arial" w:eastAsia="Arial" w:hAnsi="Arial"/>
          <w:bCs/>
          <w:sz w:val="22"/>
          <w:szCs w:val="22"/>
          <w:lang w:val="es-CR"/>
        </w:rPr>
      </w:pPr>
    </w:p>
    <w:p w14:paraId="0A674957" w14:textId="74BBE3A6" w:rsidR="00791465" w:rsidRDefault="006808DF" w:rsidP="00791465">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lastRenderedPageBreak/>
        <w:t>Política Contable</w:t>
      </w:r>
    </w:p>
    <w:p w14:paraId="32B21427" w14:textId="77777777" w:rsidR="006808DF" w:rsidRPr="00F02F9D" w:rsidRDefault="006808DF" w:rsidP="00791465">
      <w:pPr>
        <w:spacing w:line="238" w:lineRule="auto"/>
        <w:ind w:left="1134" w:right="260" w:hanging="1134"/>
        <w:jc w:val="both"/>
        <w:rPr>
          <w:rFonts w:ascii="Arial" w:eastAsia="Arial" w:hAnsi="Arial"/>
          <w:bCs/>
          <w:sz w:val="22"/>
          <w:szCs w:val="22"/>
          <w:lang w:val="es-CR"/>
        </w:rPr>
      </w:pPr>
    </w:p>
    <w:p w14:paraId="37754F58" w14:textId="6A46924F" w:rsidR="00791465" w:rsidRPr="00F02F9D" w:rsidRDefault="00791465" w:rsidP="00791465">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1.207.0.01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valor en uso se establece como el valor presente del activo</w:t>
      </w:r>
      <w:r w:rsidRPr="00F02F9D">
        <w:rPr>
          <w:rFonts w:ascii="Arial" w:eastAsia="Arial" w:hAnsi="Arial"/>
          <w:b/>
          <w:sz w:val="22"/>
          <w:szCs w:val="22"/>
          <w:lang w:val="es-CR"/>
        </w:rPr>
        <w:t xml:space="preserve"> </w:t>
      </w:r>
      <w:r w:rsidRPr="00F02F9D">
        <w:rPr>
          <w:rFonts w:ascii="Arial" w:eastAsia="Arial" w:hAnsi="Arial"/>
          <w:bCs/>
          <w:sz w:val="22"/>
          <w:szCs w:val="22"/>
          <w:lang w:val="es-CR"/>
        </w:rPr>
        <w:t>atendiendo su potencial de servicio.</w:t>
      </w:r>
    </w:p>
    <w:p w14:paraId="2A71BA69" w14:textId="77777777" w:rsidR="00791465" w:rsidRPr="00F02F9D" w:rsidRDefault="00791465" w:rsidP="00791465">
      <w:pPr>
        <w:spacing w:line="238" w:lineRule="auto"/>
        <w:ind w:left="1134" w:right="260" w:hanging="1134"/>
        <w:jc w:val="both"/>
        <w:rPr>
          <w:rFonts w:ascii="Arial" w:eastAsia="Arial" w:hAnsi="Arial"/>
          <w:bCs/>
          <w:sz w:val="22"/>
          <w:szCs w:val="22"/>
          <w:lang w:val="es-CR"/>
        </w:rPr>
      </w:pPr>
    </w:p>
    <w:p w14:paraId="68092702" w14:textId="77777777" w:rsidR="00791465" w:rsidRPr="00F02F9D" w:rsidRDefault="00791465" w:rsidP="00791465">
      <w:pPr>
        <w:spacing w:line="238" w:lineRule="auto"/>
        <w:ind w:left="1134" w:right="260" w:hanging="1134"/>
        <w:jc w:val="both"/>
        <w:rPr>
          <w:rFonts w:ascii="Arial" w:eastAsia="Arial" w:hAnsi="Arial"/>
          <w:bCs/>
          <w:sz w:val="22"/>
          <w:szCs w:val="22"/>
          <w:lang w:val="es-CR"/>
        </w:rPr>
      </w:pPr>
    </w:p>
    <w:tbl>
      <w:tblPr>
        <w:tblW w:w="9215" w:type="dxa"/>
        <w:tblLook w:val="04A0" w:firstRow="1" w:lastRow="0" w:firstColumn="1" w:lastColumn="0" w:noHBand="0" w:noVBand="1"/>
      </w:tblPr>
      <w:tblGrid>
        <w:gridCol w:w="558"/>
        <w:gridCol w:w="584"/>
        <w:gridCol w:w="537"/>
        <w:gridCol w:w="3150"/>
        <w:gridCol w:w="2319"/>
        <w:gridCol w:w="2067"/>
      </w:tblGrid>
      <w:tr w:rsidR="00791465" w:rsidRPr="0071104F" w14:paraId="063967B7" w14:textId="77777777" w:rsidTr="006808DF">
        <w:trPr>
          <w:trHeight w:val="320"/>
        </w:trPr>
        <w:tc>
          <w:tcPr>
            <w:tcW w:w="167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22A61E6" w14:textId="77777777" w:rsidR="00791465" w:rsidRPr="0071104F" w:rsidRDefault="00791465" w:rsidP="009D13CC">
            <w:pPr>
              <w:jc w:val="center"/>
              <w:rPr>
                <w:rFonts w:ascii="Arial Narrow" w:eastAsia="Times New Roman" w:hAnsi="Arial Narrow"/>
                <w:b/>
                <w:bCs/>
                <w:color w:val="FFFFFF"/>
                <w:sz w:val="22"/>
                <w:szCs w:val="22"/>
              </w:rPr>
            </w:pPr>
            <w:r w:rsidRPr="0071104F">
              <w:rPr>
                <w:rFonts w:ascii="Arial Narrow" w:eastAsia="Times New Roman" w:hAnsi="Arial Narrow"/>
                <w:b/>
                <w:bCs/>
                <w:color w:val="FFFFFF"/>
                <w:sz w:val="22"/>
                <w:szCs w:val="22"/>
              </w:rPr>
              <w:t>Norma / Política</w:t>
            </w:r>
          </w:p>
        </w:tc>
        <w:tc>
          <w:tcPr>
            <w:tcW w:w="315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EFA9D27" w14:textId="77777777" w:rsidR="00791465" w:rsidRPr="0071104F" w:rsidRDefault="00791465" w:rsidP="009D13CC">
            <w:pPr>
              <w:jc w:val="center"/>
              <w:rPr>
                <w:rFonts w:ascii="Arial Narrow" w:eastAsia="Times New Roman" w:hAnsi="Arial Narrow"/>
                <w:b/>
                <w:bCs/>
                <w:color w:val="FFFFFF"/>
                <w:sz w:val="22"/>
                <w:szCs w:val="22"/>
              </w:rPr>
            </w:pPr>
            <w:r w:rsidRPr="0071104F">
              <w:rPr>
                <w:rFonts w:ascii="Arial Narrow" w:eastAsia="Times New Roman" w:hAnsi="Arial Narrow"/>
                <w:b/>
                <w:bCs/>
                <w:color w:val="FFFFFF"/>
                <w:sz w:val="22"/>
                <w:szCs w:val="22"/>
              </w:rPr>
              <w:t>Concepto</w:t>
            </w:r>
          </w:p>
        </w:tc>
        <w:tc>
          <w:tcPr>
            <w:tcW w:w="4386" w:type="dxa"/>
            <w:gridSpan w:val="2"/>
            <w:tcBorders>
              <w:top w:val="single" w:sz="8" w:space="0" w:color="auto"/>
              <w:left w:val="nil"/>
              <w:bottom w:val="single" w:sz="8" w:space="0" w:color="auto"/>
              <w:right w:val="single" w:sz="8" w:space="0" w:color="000000"/>
            </w:tcBorders>
            <w:shd w:val="clear" w:color="000000" w:fill="203764"/>
            <w:vAlign w:val="center"/>
            <w:hideMark/>
          </w:tcPr>
          <w:p w14:paraId="1F6BD0E3" w14:textId="77777777" w:rsidR="00791465" w:rsidRPr="0071104F" w:rsidRDefault="00791465" w:rsidP="009D13CC">
            <w:pPr>
              <w:jc w:val="center"/>
              <w:rPr>
                <w:rFonts w:ascii="Arial Narrow" w:eastAsia="Times New Roman" w:hAnsi="Arial Narrow"/>
                <w:b/>
                <w:bCs/>
                <w:color w:val="FFFFFF"/>
                <w:sz w:val="22"/>
                <w:szCs w:val="22"/>
              </w:rPr>
            </w:pPr>
            <w:r w:rsidRPr="0071104F">
              <w:rPr>
                <w:rFonts w:ascii="Arial Narrow" w:eastAsia="Times New Roman" w:hAnsi="Arial Narrow"/>
                <w:b/>
                <w:bCs/>
                <w:color w:val="FFFFFF"/>
                <w:sz w:val="22"/>
                <w:szCs w:val="22"/>
              </w:rPr>
              <w:t>Referencia</w:t>
            </w:r>
          </w:p>
        </w:tc>
      </w:tr>
      <w:tr w:rsidR="00791465" w:rsidRPr="0071104F" w14:paraId="31655B73" w14:textId="77777777" w:rsidTr="006808DF">
        <w:trPr>
          <w:trHeight w:val="320"/>
        </w:trPr>
        <w:tc>
          <w:tcPr>
            <w:tcW w:w="1679" w:type="dxa"/>
            <w:gridSpan w:val="3"/>
            <w:vMerge/>
            <w:tcBorders>
              <w:top w:val="single" w:sz="8" w:space="0" w:color="auto"/>
              <w:left w:val="single" w:sz="8" w:space="0" w:color="auto"/>
              <w:bottom w:val="nil"/>
              <w:right w:val="single" w:sz="8" w:space="0" w:color="000000"/>
            </w:tcBorders>
            <w:vAlign w:val="center"/>
            <w:hideMark/>
          </w:tcPr>
          <w:p w14:paraId="634C8363" w14:textId="77777777" w:rsidR="00791465" w:rsidRPr="0071104F" w:rsidRDefault="00791465" w:rsidP="009D13CC">
            <w:pPr>
              <w:rPr>
                <w:rFonts w:ascii="Arial Narrow" w:eastAsia="Times New Roman" w:hAnsi="Arial Narrow"/>
                <w:b/>
                <w:bCs/>
                <w:color w:val="FFFFFF"/>
                <w:sz w:val="22"/>
                <w:szCs w:val="22"/>
              </w:rPr>
            </w:pPr>
          </w:p>
        </w:tc>
        <w:tc>
          <w:tcPr>
            <w:tcW w:w="3150" w:type="dxa"/>
            <w:vMerge/>
            <w:tcBorders>
              <w:top w:val="single" w:sz="8" w:space="0" w:color="auto"/>
              <w:left w:val="single" w:sz="8" w:space="0" w:color="auto"/>
              <w:bottom w:val="nil"/>
              <w:right w:val="single" w:sz="8" w:space="0" w:color="auto"/>
            </w:tcBorders>
            <w:vAlign w:val="center"/>
            <w:hideMark/>
          </w:tcPr>
          <w:p w14:paraId="095957BE" w14:textId="77777777" w:rsidR="00791465" w:rsidRPr="0071104F" w:rsidRDefault="00791465" w:rsidP="009D13CC">
            <w:pPr>
              <w:rPr>
                <w:rFonts w:ascii="Arial Narrow" w:eastAsia="Times New Roman" w:hAnsi="Arial Narrow"/>
                <w:b/>
                <w:bCs/>
                <w:color w:val="FFFFFF"/>
                <w:sz w:val="22"/>
                <w:szCs w:val="22"/>
              </w:rPr>
            </w:pPr>
          </w:p>
        </w:tc>
        <w:tc>
          <w:tcPr>
            <w:tcW w:w="2319" w:type="dxa"/>
            <w:tcBorders>
              <w:top w:val="nil"/>
              <w:left w:val="nil"/>
              <w:bottom w:val="nil"/>
              <w:right w:val="single" w:sz="8" w:space="0" w:color="auto"/>
            </w:tcBorders>
            <w:shd w:val="clear" w:color="000000" w:fill="203764"/>
            <w:vAlign w:val="center"/>
            <w:hideMark/>
          </w:tcPr>
          <w:p w14:paraId="4387C148" w14:textId="77777777" w:rsidR="00791465" w:rsidRPr="0071104F" w:rsidRDefault="00791465" w:rsidP="009D13CC">
            <w:pPr>
              <w:jc w:val="center"/>
              <w:rPr>
                <w:rFonts w:ascii="Arial Narrow" w:eastAsia="Times New Roman" w:hAnsi="Arial Narrow"/>
                <w:b/>
                <w:bCs/>
                <w:color w:val="FFFFFF"/>
                <w:sz w:val="22"/>
                <w:szCs w:val="22"/>
              </w:rPr>
            </w:pPr>
            <w:r w:rsidRPr="0071104F">
              <w:rPr>
                <w:rFonts w:ascii="Arial Narrow" w:eastAsia="Times New Roman" w:hAnsi="Arial Narrow"/>
                <w:b/>
                <w:bCs/>
                <w:color w:val="FFFFFF"/>
                <w:sz w:val="22"/>
                <w:szCs w:val="22"/>
              </w:rPr>
              <w:t>Norma</w:t>
            </w:r>
          </w:p>
        </w:tc>
        <w:tc>
          <w:tcPr>
            <w:tcW w:w="2067" w:type="dxa"/>
            <w:tcBorders>
              <w:top w:val="nil"/>
              <w:left w:val="nil"/>
              <w:bottom w:val="nil"/>
              <w:right w:val="single" w:sz="8" w:space="0" w:color="auto"/>
            </w:tcBorders>
            <w:shd w:val="clear" w:color="000000" w:fill="203764"/>
            <w:vAlign w:val="center"/>
            <w:hideMark/>
          </w:tcPr>
          <w:p w14:paraId="4A0EB5E8" w14:textId="086B45B9" w:rsidR="00791465" w:rsidRPr="0071104F" w:rsidRDefault="0071104F" w:rsidP="009D13C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91465" w:rsidRPr="0071104F" w14:paraId="36AD9A32" w14:textId="77777777" w:rsidTr="006808DF">
        <w:trPr>
          <w:trHeight w:val="854"/>
        </w:trPr>
        <w:tc>
          <w:tcPr>
            <w:tcW w:w="5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722046" w14:textId="77777777" w:rsidR="00791465" w:rsidRPr="0071104F" w:rsidRDefault="00791465" w:rsidP="009D13CC">
            <w:pPr>
              <w:jc w:val="center"/>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lang w:val="es-CR"/>
              </w:rPr>
              <w:t>1</w:t>
            </w:r>
          </w:p>
        </w:tc>
        <w:tc>
          <w:tcPr>
            <w:tcW w:w="584" w:type="dxa"/>
            <w:tcBorders>
              <w:top w:val="single" w:sz="8" w:space="0" w:color="auto"/>
              <w:left w:val="nil"/>
              <w:bottom w:val="single" w:sz="8" w:space="0" w:color="auto"/>
              <w:right w:val="single" w:sz="8" w:space="0" w:color="auto"/>
            </w:tcBorders>
            <w:shd w:val="clear" w:color="auto" w:fill="auto"/>
            <w:noWrap/>
            <w:vAlign w:val="center"/>
            <w:hideMark/>
          </w:tcPr>
          <w:p w14:paraId="6D4CDA92" w14:textId="77777777" w:rsidR="00791465" w:rsidRPr="0071104F" w:rsidRDefault="00791465" w:rsidP="009D13CC">
            <w:pPr>
              <w:jc w:val="center"/>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rPr>
              <w:t>208</w:t>
            </w:r>
          </w:p>
        </w:tc>
        <w:tc>
          <w:tcPr>
            <w:tcW w:w="537" w:type="dxa"/>
            <w:tcBorders>
              <w:top w:val="single" w:sz="8" w:space="0" w:color="auto"/>
              <w:left w:val="nil"/>
              <w:bottom w:val="single" w:sz="8" w:space="0" w:color="auto"/>
              <w:right w:val="single" w:sz="8" w:space="0" w:color="auto"/>
            </w:tcBorders>
            <w:shd w:val="clear" w:color="auto" w:fill="auto"/>
            <w:vAlign w:val="center"/>
            <w:hideMark/>
          </w:tcPr>
          <w:p w14:paraId="3869F545" w14:textId="77777777" w:rsidR="00791465" w:rsidRPr="0071104F" w:rsidRDefault="00791465" w:rsidP="009D13CC">
            <w:pPr>
              <w:jc w:val="center"/>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rPr>
              <w:t xml:space="preserve">0 </w:t>
            </w:r>
          </w:p>
        </w:tc>
        <w:tc>
          <w:tcPr>
            <w:tcW w:w="3150" w:type="dxa"/>
            <w:tcBorders>
              <w:top w:val="single" w:sz="8" w:space="0" w:color="auto"/>
              <w:left w:val="nil"/>
              <w:bottom w:val="single" w:sz="8" w:space="0" w:color="auto"/>
              <w:right w:val="single" w:sz="8" w:space="0" w:color="auto"/>
            </w:tcBorders>
            <w:shd w:val="clear" w:color="auto" w:fill="auto"/>
            <w:vAlign w:val="center"/>
            <w:hideMark/>
          </w:tcPr>
          <w:p w14:paraId="53F33700" w14:textId="77777777" w:rsidR="00791465" w:rsidRPr="0071104F" w:rsidRDefault="00791465" w:rsidP="009D13CC">
            <w:pPr>
              <w:jc w:val="both"/>
              <w:rPr>
                <w:rFonts w:ascii="Arial Narrow" w:eastAsia="Times New Roman" w:hAnsi="Arial Narrow"/>
                <w:b/>
                <w:bCs/>
                <w:color w:val="000000"/>
                <w:sz w:val="22"/>
                <w:szCs w:val="22"/>
                <w:lang w:val="es-CR"/>
              </w:rPr>
            </w:pPr>
            <w:r w:rsidRPr="0071104F">
              <w:rPr>
                <w:rFonts w:ascii="Arial Narrow" w:eastAsia="Times New Roman" w:hAnsi="Arial Narrow"/>
                <w:b/>
                <w:bCs/>
                <w:color w:val="000000"/>
                <w:sz w:val="22"/>
                <w:szCs w:val="22"/>
                <w:lang w:val="es-CR"/>
              </w:rPr>
              <w:t>Alternativas para determinar el valor presente del activo manteniendo su potencial de servicio</w:t>
            </w:r>
          </w:p>
        </w:tc>
        <w:tc>
          <w:tcPr>
            <w:tcW w:w="2319" w:type="dxa"/>
            <w:tcBorders>
              <w:top w:val="single" w:sz="8" w:space="0" w:color="auto"/>
              <w:left w:val="nil"/>
              <w:bottom w:val="single" w:sz="8" w:space="0" w:color="auto"/>
              <w:right w:val="single" w:sz="8" w:space="0" w:color="auto"/>
            </w:tcBorders>
            <w:shd w:val="clear" w:color="auto" w:fill="auto"/>
            <w:vAlign w:val="center"/>
            <w:hideMark/>
          </w:tcPr>
          <w:p w14:paraId="3491DA29" w14:textId="77777777" w:rsidR="00791465" w:rsidRPr="0071104F" w:rsidRDefault="00791465" w:rsidP="009D13CC">
            <w:pPr>
              <w:jc w:val="both"/>
              <w:rPr>
                <w:rFonts w:ascii="Arial Narrow" w:eastAsia="Times New Roman" w:hAnsi="Arial Narrow"/>
                <w:b/>
                <w:bCs/>
                <w:color w:val="000000"/>
                <w:sz w:val="22"/>
                <w:szCs w:val="22"/>
                <w:lang w:val="es-CR"/>
              </w:rPr>
            </w:pPr>
            <w:r w:rsidRPr="0071104F">
              <w:rPr>
                <w:rFonts w:ascii="Arial Narrow" w:eastAsia="Times New Roman" w:hAnsi="Arial Narrow"/>
                <w:b/>
                <w:bCs/>
                <w:color w:val="000000"/>
                <w:sz w:val="22"/>
                <w:szCs w:val="22"/>
                <w:lang w:val="es-CR"/>
              </w:rPr>
              <w:t xml:space="preserve">NICSP Nº 21, </w:t>
            </w:r>
          </w:p>
          <w:p w14:paraId="5A6B2498" w14:textId="77777777" w:rsidR="00791465" w:rsidRPr="0071104F" w:rsidRDefault="00791465" w:rsidP="009D13CC">
            <w:pPr>
              <w:jc w:val="both"/>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lang w:val="es-CR"/>
              </w:rPr>
              <w:t>Párrafos 45 a 49.</w:t>
            </w:r>
          </w:p>
        </w:tc>
        <w:tc>
          <w:tcPr>
            <w:tcW w:w="2067" w:type="dxa"/>
            <w:tcBorders>
              <w:top w:val="single" w:sz="8" w:space="0" w:color="auto"/>
              <w:left w:val="nil"/>
              <w:bottom w:val="single" w:sz="8" w:space="0" w:color="auto"/>
              <w:right w:val="single" w:sz="8" w:space="0" w:color="auto"/>
            </w:tcBorders>
            <w:shd w:val="clear" w:color="auto" w:fill="auto"/>
            <w:vAlign w:val="center"/>
            <w:hideMark/>
          </w:tcPr>
          <w:p w14:paraId="5B67C2EB" w14:textId="77777777" w:rsidR="00791465" w:rsidRPr="0071104F" w:rsidRDefault="00791465" w:rsidP="009D13CC">
            <w:pPr>
              <w:jc w:val="center"/>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rPr>
              <w:t>DGCN</w:t>
            </w:r>
          </w:p>
        </w:tc>
      </w:tr>
      <w:tr w:rsidR="00791465" w:rsidRPr="0071104F" w14:paraId="36FE68F4" w14:textId="77777777" w:rsidTr="006808DF">
        <w:trPr>
          <w:trHeight w:val="531"/>
        </w:trPr>
        <w:tc>
          <w:tcPr>
            <w:tcW w:w="558" w:type="dxa"/>
            <w:tcBorders>
              <w:top w:val="nil"/>
              <w:left w:val="single" w:sz="8" w:space="0" w:color="auto"/>
              <w:bottom w:val="single" w:sz="8" w:space="0" w:color="auto"/>
              <w:right w:val="single" w:sz="8" w:space="0" w:color="auto"/>
            </w:tcBorders>
            <w:shd w:val="clear" w:color="auto" w:fill="auto"/>
            <w:vAlign w:val="center"/>
            <w:hideMark/>
          </w:tcPr>
          <w:p w14:paraId="3D014E6D" w14:textId="77777777" w:rsidR="00791465" w:rsidRPr="0071104F" w:rsidRDefault="00791465" w:rsidP="009D13CC">
            <w:pPr>
              <w:jc w:val="center"/>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lang w:val="es-CR"/>
              </w:rPr>
              <w:t>1</w:t>
            </w:r>
          </w:p>
        </w:tc>
        <w:tc>
          <w:tcPr>
            <w:tcW w:w="584" w:type="dxa"/>
            <w:tcBorders>
              <w:top w:val="nil"/>
              <w:left w:val="nil"/>
              <w:bottom w:val="single" w:sz="8" w:space="0" w:color="auto"/>
              <w:right w:val="single" w:sz="8" w:space="0" w:color="auto"/>
            </w:tcBorders>
            <w:shd w:val="clear" w:color="auto" w:fill="auto"/>
            <w:noWrap/>
            <w:vAlign w:val="center"/>
            <w:hideMark/>
          </w:tcPr>
          <w:p w14:paraId="762A7267" w14:textId="77777777" w:rsidR="00791465" w:rsidRPr="0071104F" w:rsidRDefault="00791465" w:rsidP="009D13CC">
            <w:pPr>
              <w:jc w:val="center"/>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rPr>
              <w:t>208</w:t>
            </w:r>
          </w:p>
        </w:tc>
        <w:tc>
          <w:tcPr>
            <w:tcW w:w="537" w:type="dxa"/>
            <w:tcBorders>
              <w:top w:val="nil"/>
              <w:left w:val="nil"/>
              <w:bottom w:val="single" w:sz="8" w:space="0" w:color="auto"/>
              <w:right w:val="single" w:sz="8" w:space="0" w:color="auto"/>
            </w:tcBorders>
            <w:shd w:val="clear" w:color="auto" w:fill="auto"/>
            <w:vAlign w:val="center"/>
            <w:hideMark/>
          </w:tcPr>
          <w:p w14:paraId="5573CC35" w14:textId="77777777" w:rsidR="00791465" w:rsidRPr="0071104F" w:rsidRDefault="00791465" w:rsidP="009D13CC">
            <w:pPr>
              <w:jc w:val="center"/>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rPr>
              <w:t>1</w:t>
            </w:r>
          </w:p>
        </w:tc>
        <w:tc>
          <w:tcPr>
            <w:tcW w:w="3150" w:type="dxa"/>
            <w:tcBorders>
              <w:top w:val="nil"/>
              <w:left w:val="nil"/>
              <w:bottom w:val="single" w:sz="8" w:space="0" w:color="auto"/>
              <w:right w:val="single" w:sz="8" w:space="0" w:color="auto"/>
            </w:tcBorders>
            <w:shd w:val="clear" w:color="auto" w:fill="auto"/>
            <w:vAlign w:val="center"/>
            <w:hideMark/>
          </w:tcPr>
          <w:p w14:paraId="566DF195" w14:textId="77777777" w:rsidR="00791465" w:rsidRPr="0071104F" w:rsidRDefault="00791465" w:rsidP="009D13CC">
            <w:pPr>
              <w:jc w:val="both"/>
              <w:rPr>
                <w:rFonts w:ascii="Arial Narrow" w:eastAsia="Times New Roman" w:hAnsi="Arial Narrow"/>
                <w:b/>
                <w:bCs/>
                <w:color w:val="000000"/>
                <w:sz w:val="22"/>
                <w:szCs w:val="22"/>
                <w:lang w:val="es-CR"/>
              </w:rPr>
            </w:pPr>
            <w:r w:rsidRPr="0071104F">
              <w:rPr>
                <w:rFonts w:ascii="Arial Narrow" w:eastAsia="Times New Roman" w:hAnsi="Arial Narrow"/>
                <w:b/>
                <w:bCs/>
                <w:color w:val="000000"/>
                <w:sz w:val="22"/>
                <w:szCs w:val="22"/>
                <w:lang w:val="es-CR"/>
              </w:rPr>
              <w:t>Elección del enfoque más adecuado</w:t>
            </w:r>
          </w:p>
        </w:tc>
        <w:tc>
          <w:tcPr>
            <w:tcW w:w="2319" w:type="dxa"/>
            <w:tcBorders>
              <w:top w:val="nil"/>
              <w:left w:val="nil"/>
              <w:bottom w:val="single" w:sz="8" w:space="0" w:color="auto"/>
              <w:right w:val="single" w:sz="8" w:space="0" w:color="auto"/>
            </w:tcBorders>
            <w:shd w:val="clear" w:color="auto" w:fill="auto"/>
            <w:vAlign w:val="center"/>
            <w:hideMark/>
          </w:tcPr>
          <w:p w14:paraId="52D9C349" w14:textId="77777777" w:rsidR="00791465" w:rsidRPr="0071104F" w:rsidRDefault="00791465" w:rsidP="009D13CC">
            <w:pPr>
              <w:jc w:val="both"/>
              <w:rPr>
                <w:rFonts w:ascii="Arial Narrow" w:eastAsia="Times New Roman" w:hAnsi="Arial Narrow"/>
                <w:b/>
                <w:bCs/>
                <w:color w:val="000000"/>
                <w:sz w:val="22"/>
                <w:szCs w:val="22"/>
                <w:lang w:val="es-CR"/>
              </w:rPr>
            </w:pPr>
            <w:r w:rsidRPr="0071104F">
              <w:rPr>
                <w:rFonts w:ascii="Arial Narrow" w:eastAsia="Times New Roman" w:hAnsi="Arial Narrow"/>
                <w:b/>
                <w:bCs/>
                <w:color w:val="000000"/>
                <w:sz w:val="22"/>
                <w:szCs w:val="22"/>
                <w:lang w:val="es-CR"/>
              </w:rPr>
              <w:t xml:space="preserve">NICSP Nº 21,  </w:t>
            </w:r>
          </w:p>
          <w:p w14:paraId="07259F6A" w14:textId="77777777" w:rsidR="00791465" w:rsidRPr="0071104F" w:rsidRDefault="00791465" w:rsidP="009D13CC">
            <w:pPr>
              <w:jc w:val="both"/>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lang w:val="es-CR"/>
              </w:rPr>
              <w:t>Párrafo 50.</w:t>
            </w:r>
          </w:p>
        </w:tc>
        <w:tc>
          <w:tcPr>
            <w:tcW w:w="2067" w:type="dxa"/>
            <w:tcBorders>
              <w:top w:val="nil"/>
              <w:left w:val="nil"/>
              <w:bottom w:val="single" w:sz="8" w:space="0" w:color="auto"/>
              <w:right w:val="single" w:sz="8" w:space="0" w:color="auto"/>
            </w:tcBorders>
            <w:shd w:val="clear" w:color="auto" w:fill="auto"/>
            <w:vAlign w:val="center"/>
            <w:hideMark/>
          </w:tcPr>
          <w:p w14:paraId="49615B75" w14:textId="77777777" w:rsidR="00791465" w:rsidRPr="0071104F" w:rsidRDefault="00791465" w:rsidP="009D13CC">
            <w:pPr>
              <w:jc w:val="center"/>
              <w:rPr>
                <w:rFonts w:ascii="Arial Narrow" w:eastAsia="Times New Roman" w:hAnsi="Arial Narrow"/>
                <w:b/>
                <w:bCs/>
                <w:color w:val="000000"/>
                <w:sz w:val="22"/>
                <w:szCs w:val="22"/>
              </w:rPr>
            </w:pPr>
            <w:r w:rsidRPr="0071104F">
              <w:rPr>
                <w:rFonts w:ascii="Arial Narrow" w:eastAsia="Times New Roman" w:hAnsi="Arial Narrow"/>
                <w:b/>
                <w:bCs/>
                <w:color w:val="000000"/>
                <w:sz w:val="22"/>
                <w:szCs w:val="22"/>
              </w:rPr>
              <w:t>DGCN</w:t>
            </w:r>
          </w:p>
        </w:tc>
      </w:tr>
    </w:tbl>
    <w:p w14:paraId="590D1D20" w14:textId="67193C15" w:rsidR="00791465" w:rsidRDefault="006808DF" w:rsidP="00791465">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67B564A3" w14:textId="77777777" w:rsidR="006808DF" w:rsidRPr="00F02F9D" w:rsidRDefault="006808DF" w:rsidP="00791465">
      <w:pPr>
        <w:spacing w:line="238" w:lineRule="auto"/>
        <w:ind w:left="1134" w:right="260" w:hanging="1134"/>
        <w:jc w:val="both"/>
        <w:rPr>
          <w:rFonts w:ascii="Arial" w:eastAsia="Arial" w:hAnsi="Arial"/>
          <w:b/>
          <w:sz w:val="22"/>
          <w:szCs w:val="22"/>
          <w:lang w:val="es-CR"/>
        </w:rPr>
      </w:pPr>
    </w:p>
    <w:p w14:paraId="67232F36" w14:textId="77777777" w:rsidR="00791465" w:rsidRDefault="00791465" w:rsidP="00791465">
      <w:pPr>
        <w:spacing w:line="236" w:lineRule="auto"/>
        <w:ind w:left="1134" w:right="260" w:hanging="1134"/>
        <w:rPr>
          <w:rFonts w:ascii="Arial" w:eastAsia="Arial" w:hAnsi="Arial"/>
          <w:bCs/>
          <w:sz w:val="22"/>
          <w:szCs w:val="22"/>
          <w:lang w:val="es-CR"/>
        </w:rPr>
      </w:pPr>
      <w:r w:rsidRPr="00F02F9D">
        <w:rPr>
          <w:rFonts w:ascii="Arial" w:eastAsia="Arial" w:hAnsi="Arial"/>
          <w:bCs/>
          <w:sz w:val="22"/>
          <w:szCs w:val="22"/>
          <w:lang w:val="es-CR"/>
        </w:rPr>
        <w:t>1.208.0.01</w:t>
      </w:r>
      <w:r w:rsidRPr="00F02F9D">
        <w:rPr>
          <w:rFonts w:ascii="Arial" w:eastAsia="Arial" w:hAnsi="Arial"/>
          <w:bCs/>
          <w:sz w:val="22"/>
          <w:szCs w:val="22"/>
          <w:lang w:val="es-CR"/>
        </w:rPr>
        <w:tab/>
        <w:t>Podrán utilizarse los siguientes enfoques alternativos para determinar el valor presente del activo manteniendo su potencial de servicio, a saber:</w:t>
      </w:r>
    </w:p>
    <w:p w14:paraId="761DE5D7" w14:textId="77777777" w:rsidR="006808DF" w:rsidRPr="00F02F9D" w:rsidRDefault="006808DF" w:rsidP="00791465">
      <w:pPr>
        <w:spacing w:line="236" w:lineRule="auto"/>
        <w:ind w:left="1134" w:right="260" w:hanging="1134"/>
        <w:rPr>
          <w:rFonts w:ascii="Arial" w:eastAsia="Arial" w:hAnsi="Arial"/>
          <w:bCs/>
          <w:sz w:val="22"/>
          <w:szCs w:val="22"/>
          <w:lang w:val="es-CR"/>
        </w:rPr>
      </w:pPr>
    </w:p>
    <w:p w14:paraId="4BD71B9C" w14:textId="77777777" w:rsidR="00791465" w:rsidRPr="00F02F9D" w:rsidRDefault="00791465" w:rsidP="00791465">
      <w:pPr>
        <w:spacing w:line="9" w:lineRule="exact"/>
        <w:rPr>
          <w:rFonts w:ascii="Arial" w:eastAsia="Times New Roman" w:hAnsi="Arial"/>
          <w:bCs/>
          <w:sz w:val="22"/>
          <w:szCs w:val="22"/>
          <w:lang w:val="es-CR"/>
        </w:rPr>
      </w:pPr>
    </w:p>
    <w:p w14:paraId="164B0638" w14:textId="46AC1BC6" w:rsidR="00791465" w:rsidRDefault="00791465">
      <w:pPr>
        <w:numPr>
          <w:ilvl w:val="0"/>
          <w:numId w:val="79"/>
        </w:numPr>
        <w:spacing w:line="263"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 xml:space="preserve">Enfoque del costo de reposición depreciado del activo: es el monto total que insumiría, a través de una reposición, reponer el potencial de servicio bruto del activo, y se mide como el costo de reproducción o el costo de reposición del activo, el menor de </w:t>
      </w:r>
      <w:r w:rsidR="00AA22E2" w:rsidRPr="00F02F9D">
        <w:rPr>
          <w:rFonts w:ascii="Arial" w:eastAsia="Arial" w:hAnsi="Arial"/>
          <w:bCs/>
          <w:sz w:val="22"/>
          <w:szCs w:val="22"/>
          <w:lang w:val="es-CR"/>
        </w:rPr>
        <w:t>a</w:t>
      </w:r>
      <w:r w:rsidR="00AA22E2">
        <w:rPr>
          <w:rFonts w:ascii="Arial" w:eastAsia="Arial" w:hAnsi="Arial"/>
          <w:bCs/>
          <w:sz w:val="22"/>
          <w:szCs w:val="22"/>
          <w:lang w:val="es-CR"/>
        </w:rPr>
        <w:t>mbo</w:t>
      </w:r>
      <w:r w:rsidR="00AA22E2" w:rsidRPr="00F02F9D">
        <w:rPr>
          <w:rFonts w:ascii="Arial" w:eastAsia="Arial" w:hAnsi="Arial"/>
          <w:bCs/>
          <w:sz w:val="22"/>
          <w:szCs w:val="22"/>
          <w:lang w:val="es-CR"/>
        </w:rPr>
        <w:t>s</w:t>
      </w:r>
      <w:r w:rsidRPr="00F02F9D">
        <w:rPr>
          <w:rFonts w:ascii="Arial" w:eastAsia="Arial" w:hAnsi="Arial"/>
          <w:bCs/>
          <w:sz w:val="22"/>
          <w:szCs w:val="22"/>
          <w:lang w:val="es-CR"/>
        </w:rPr>
        <w:t>, menos la depreciación acumulada calculada sobre la base de tal costo, para reflejar la parte ya consumida o potencial de servicio agotado del activo. A efectos de identificar el servicio bruto a reponer debe prestarse atención al servicio efectivamente prestado con el activo (en los casos que se subutilice el potencial de servicio del activo), así como a la eventual necesidad de mantener permanentemente un potencial de servicio mayor al realmente prestado, como ser contar con equipos adicionales al efectivamente utilizado, para atender imponderables de ausencia de funcionamiento del equipo principal.</w:t>
      </w:r>
    </w:p>
    <w:p w14:paraId="582F722C" w14:textId="77777777" w:rsidR="006808DF" w:rsidRPr="00F02F9D" w:rsidRDefault="006808DF" w:rsidP="006808DF">
      <w:pPr>
        <w:spacing w:line="263" w:lineRule="auto"/>
        <w:ind w:left="1418" w:right="260"/>
        <w:jc w:val="both"/>
        <w:rPr>
          <w:rFonts w:ascii="Arial" w:eastAsia="Arial" w:hAnsi="Arial"/>
          <w:bCs/>
          <w:sz w:val="22"/>
          <w:szCs w:val="22"/>
          <w:lang w:val="es-CR"/>
        </w:rPr>
      </w:pPr>
    </w:p>
    <w:p w14:paraId="573A3DF3" w14:textId="47D7F298" w:rsidR="00791465" w:rsidRDefault="00791465" w:rsidP="006808DF">
      <w:pPr>
        <w:numPr>
          <w:ilvl w:val="0"/>
          <w:numId w:val="79"/>
        </w:numPr>
        <w:spacing w:line="238"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Enfoque del costo de rehabilitación del activo: es el costo de devolver el potencial de servicio de un activo al nivel anterior al deterioro, y se mide como el menor entre el costo de reposición o el costo de reproducción del activo medido antes del deterioro, menos el costo estimado de rehabilitación del activo</w:t>
      </w:r>
      <w:r w:rsidRPr="006808DF">
        <w:rPr>
          <w:rFonts w:ascii="Arial" w:eastAsia="Arial" w:hAnsi="Arial"/>
          <w:bCs/>
          <w:sz w:val="22"/>
          <w:szCs w:val="22"/>
          <w:lang w:val="es-CR"/>
        </w:rPr>
        <w:t>.</w:t>
      </w:r>
    </w:p>
    <w:p w14:paraId="2296CD39" w14:textId="77777777" w:rsidR="006808DF" w:rsidRPr="006808DF" w:rsidRDefault="006808DF" w:rsidP="006808DF">
      <w:pPr>
        <w:spacing w:line="238" w:lineRule="auto"/>
        <w:ind w:right="260"/>
        <w:jc w:val="both"/>
        <w:rPr>
          <w:rFonts w:ascii="Arial" w:eastAsia="Arial" w:hAnsi="Arial"/>
          <w:bCs/>
          <w:sz w:val="22"/>
          <w:szCs w:val="22"/>
          <w:lang w:val="es-CR"/>
        </w:rPr>
      </w:pPr>
    </w:p>
    <w:p w14:paraId="7067888A" w14:textId="77777777" w:rsidR="00791465" w:rsidRPr="00F02F9D" w:rsidRDefault="00791465">
      <w:pPr>
        <w:numPr>
          <w:ilvl w:val="0"/>
          <w:numId w:val="79"/>
        </w:numPr>
        <w:spacing w:line="238" w:lineRule="auto"/>
        <w:ind w:left="1418" w:right="260" w:hanging="284"/>
        <w:jc w:val="both"/>
        <w:rPr>
          <w:rFonts w:ascii="Arial" w:eastAsia="Arial" w:hAnsi="Arial"/>
          <w:bCs/>
          <w:sz w:val="22"/>
          <w:szCs w:val="22"/>
          <w:lang w:val="es-CR"/>
        </w:rPr>
      </w:pPr>
      <w:bookmarkStart w:id="71" w:name="page73"/>
      <w:bookmarkEnd w:id="71"/>
      <w:r w:rsidRPr="00F02F9D">
        <w:rPr>
          <w:rFonts w:ascii="Arial" w:eastAsia="Arial" w:hAnsi="Arial"/>
          <w:bCs/>
          <w:sz w:val="22"/>
          <w:szCs w:val="22"/>
          <w:lang w:val="es-CR"/>
        </w:rPr>
        <w:t>Enfoque de las unidades de servicio: es el valor corriente del potencial de servicio restante de un activo, y se mide como el menor entre el costo de reposición o el costo de reproducción del activo medido antes del deterioro, ajustado al número reducido de unidades de servicio esperadas del mismo en su estado de deterioro.</w:t>
      </w:r>
    </w:p>
    <w:p w14:paraId="4EEDFA3D" w14:textId="77777777" w:rsidR="00791465" w:rsidRPr="00F02F9D" w:rsidRDefault="00791465" w:rsidP="00791465">
      <w:pPr>
        <w:spacing w:line="278" w:lineRule="exact"/>
        <w:rPr>
          <w:rFonts w:ascii="Arial" w:eastAsia="Times New Roman" w:hAnsi="Arial"/>
          <w:bCs/>
          <w:sz w:val="22"/>
          <w:szCs w:val="22"/>
          <w:lang w:val="es-CR"/>
        </w:rPr>
      </w:pPr>
    </w:p>
    <w:p w14:paraId="1AA5C36A" w14:textId="77777777" w:rsidR="00791465" w:rsidRPr="00B5026F" w:rsidRDefault="00791465" w:rsidP="00791465">
      <w:pPr>
        <w:spacing w:line="9" w:lineRule="exact"/>
        <w:rPr>
          <w:rFonts w:ascii="Arial" w:eastAsia="Arial" w:hAnsi="Arial"/>
          <w:bCs/>
          <w:sz w:val="22"/>
          <w:szCs w:val="22"/>
          <w:lang w:val="es-CR"/>
        </w:rPr>
      </w:pPr>
    </w:p>
    <w:p w14:paraId="64467766" w14:textId="77777777" w:rsidR="00791465" w:rsidRDefault="00791465" w:rsidP="00791465">
      <w:pPr>
        <w:spacing w:line="236" w:lineRule="auto"/>
        <w:ind w:left="1134" w:right="260" w:hanging="1134"/>
        <w:rPr>
          <w:rFonts w:ascii="Arial" w:eastAsia="Arial" w:hAnsi="Arial"/>
          <w:bCs/>
          <w:sz w:val="22"/>
          <w:szCs w:val="22"/>
          <w:lang w:val="es-CR"/>
        </w:rPr>
      </w:pPr>
      <w:r w:rsidRPr="00F02F9D">
        <w:rPr>
          <w:rFonts w:ascii="Arial" w:eastAsia="Arial" w:hAnsi="Arial"/>
          <w:bCs/>
          <w:sz w:val="22"/>
          <w:szCs w:val="22"/>
          <w:lang w:val="es-CR"/>
        </w:rPr>
        <w:t>1.208.1.01</w:t>
      </w:r>
      <w:r w:rsidRPr="00F02F9D">
        <w:rPr>
          <w:rFonts w:ascii="Arial" w:eastAsia="Arial" w:hAnsi="Arial"/>
          <w:bCs/>
          <w:sz w:val="22"/>
          <w:szCs w:val="22"/>
          <w:lang w:val="es-CR"/>
        </w:rPr>
        <w:tab/>
        <w:t>La elección del enfoque más adecuado para determinar el valor en uso depende de los datos disponibles y de la naturaleza del deterioro:</w:t>
      </w:r>
    </w:p>
    <w:p w14:paraId="39162C2D" w14:textId="77777777" w:rsidR="006808DF" w:rsidRPr="00F02F9D" w:rsidRDefault="006808DF" w:rsidP="00791465">
      <w:pPr>
        <w:spacing w:line="236" w:lineRule="auto"/>
        <w:ind w:left="1134" w:right="260" w:hanging="1134"/>
        <w:rPr>
          <w:rFonts w:ascii="Arial" w:eastAsia="Arial" w:hAnsi="Arial"/>
          <w:bCs/>
          <w:sz w:val="22"/>
          <w:szCs w:val="22"/>
          <w:lang w:val="es-CR"/>
        </w:rPr>
      </w:pPr>
    </w:p>
    <w:p w14:paraId="7E5F5F3D" w14:textId="77777777" w:rsidR="00791465" w:rsidRDefault="00791465" w:rsidP="00791465">
      <w:pPr>
        <w:spacing w:line="9" w:lineRule="exact"/>
        <w:rPr>
          <w:rFonts w:ascii="Arial" w:eastAsia="Arial" w:hAnsi="Arial"/>
          <w:bCs/>
          <w:sz w:val="22"/>
          <w:szCs w:val="22"/>
          <w:lang w:val="es-CR"/>
        </w:rPr>
      </w:pPr>
    </w:p>
    <w:p w14:paraId="2F3F467F" w14:textId="77777777" w:rsidR="006808DF" w:rsidRPr="00F02F9D" w:rsidRDefault="006808DF" w:rsidP="00791465">
      <w:pPr>
        <w:spacing w:line="9" w:lineRule="exact"/>
        <w:rPr>
          <w:rFonts w:ascii="Arial" w:eastAsia="Arial" w:hAnsi="Arial"/>
          <w:bCs/>
          <w:sz w:val="22"/>
          <w:szCs w:val="22"/>
          <w:lang w:val="es-CR"/>
        </w:rPr>
      </w:pPr>
    </w:p>
    <w:p w14:paraId="2BD5A989" w14:textId="6A99FC1C" w:rsidR="00791465" w:rsidRPr="00F02F9D" w:rsidRDefault="00791465" w:rsidP="006808DF">
      <w:pPr>
        <w:pStyle w:val="Prrafodelista"/>
        <w:numPr>
          <w:ilvl w:val="0"/>
          <w:numId w:val="80"/>
        </w:numPr>
        <w:spacing w:after="120"/>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 xml:space="preserve">Los deterioros de valor identificados por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os</w:t>
      </w:r>
      <w:r w:rsidRPr="00F02F9D">
        <w:rPr>
          <w:rFonts w:ascii="Arial" w:eastAsia="Arial" w:hAnsi="Arial"/>
          <w:bCs/>
          <w:sz w:val="22"/>
          <w:szCs w:val="22"/>
          <w:lang w:val="es-CR"/>
        </w:rPr>
        <w:t xml:space="preserve"> significativos de efectos a largo plazo en el entorno tecnológico, legal o político, generalmente se miden utilizando un enfoque de costo de reposición depreciado o un enfoque de unidades de servicio.</w:t>
      </w:r>
    </w:p>
    <w:p w14:paraId="2A819CB9" w14:textId="13D2AE2A" w:rsidR="00791465" w:rsidRPr="006808DF" w:rsidRDefault="00791465" w:rsidP="006808DF">
      <w:pPr>
        <w:pStyle w:val="Prrafodelista"/>
        <w:numPr>
          <w:ilvl w:val="0"/>
          <w:numId w:val="80"/>
        </w:numPr>
        <w:spacing w:after="120"/>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lastRenderedPageBreak/>
        <w:t xml:space="preserve">Los deterioros de valor identificados por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os</w:t>
      </w:r>
      <w:r w:rsidRPr="00F02F9D">
        <w:rPr>
          <w:rFonts w:ascii="Arial" w:eastAsia="Arial" w:hAnsi="Arial"/>
          <w:bCs/>
          <w:sz w:val="22"/>
          <w:szCs w:val="22"/>
          <w:lang w:val="es-CR"/>
        </w:rPr>
        <w:t xml:space="preserve"> significativos de efectos a largo plazo sobre el grado de utilización o forma de uso, incluyendo la identificación del cese o casi cese de la demanda, generalmente se miden utilizando un enfoque de costo de reposición depreciado o un enfoque de las unidades de servicio.</w:t>
      </w:r>
    </w:p>
    <w:p w14:paraId="49663E4C" w14:textId="77777777" w:rsidR="00791465" w:rsidRPr="00F02F9D" w:rsidRDefault="00791465" w:rsidP="006808DF">
      <w:pPr>
        <w:pStyle w:val="Prrafodelista"/>
        <w:numPr>
          <w:ilvl w:val="0"/>
          <w:numId w:val="80"/>
        </w:numPr>
        <w:spacing w:after="120"/>
        <w:ind w:left="1418" w:hanging="284"/>
        <w:contextualSpacing w:val="0"/>
        <w:rPr>
          <w:rFonts w:ascii="Arial" w:eastAsia="Arial" w:hAnsi="Arial"/>
          <w:bCs/>
          <w:sz w:val="22"/>
          <w:szCs w:val="22"/>
          <w:lang w:val="es-CR"/>
        </w:rPr>
      </w:pPr>
      <w:r w:rsidRPr="00F02F9D">
        <w:rPr>
          <w:rFonts w:ascii="Arial" w:eastAsia="Arial" w:hAnsi="Arial"/>
          <w:bCs/>
          <w:sz w:val="22"/>
          <w:szCs w:val="22"/>
          <w:lang w:val="es-CR"/>
        </w:rPr>
        <w:t>Los deterioros de valor debidos a un daño físico se determinan generalmente utilizando un enfoque de costo de rehabilitación o de costo de reposición depreciado.</w:t>
      </w:r>
    </w:p>
    <w:p w14:paraId="7270C252" w14:textId="77777777" w:rsidR="00791465" w:rsidRPr="00F02F9D" w:rsidRDefault="00791465" w:rsidP="00791465">
      <w:pPr>
        <w:spacing w:line="9" w:lineRule="exact"/>
        <w:ind w:left="1418" w:hanging="284"/>
        <w:rPr>
          <w:rFonts w:ascii="Arial" w:eastAsia="Times New Roman" w:hAnsi="Arial"/>
          <w:bCs/>
          <w:sz w:val="22"/>
          <w:szCs w:val="22"/>
          <w:lang w:val="es-CR"/>
        </w:rPr>
      </w:pPr>
    </w:p>
    <w:p w14:paraId="6ADBC663" w14:textId="77777777" w:rsidR="00791465" w:rsidRPr="00F02F9D" w:rsidRDefault="00791465">
      <w:pPr>
        <w:pStyle w:val="Prrafodelista"/>
        <w:numPr>
          <w:ilvl w:val="0"/>
          <w:numId w:val="80"/>
        </w:numPr>
        <w:spacing w:line="237"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Sin perjuicio de las alternativas de enfoques posibles a aplicar, con carácter general se utilizará el enfoque del costo de reposición depreciado, excepto en los casos de activos deteriorados físicamente, para los que se utilizará el enfoque del costo de rehabilitación.</w:t>
      </w:r>
    </w:p>
    <w:p w14:paraId="0C56B4E3" w14:textId="77777777" w:rsidR="00791465" w:rsidRPr="00F02F9D" w:rsidRDefault="00791465" w:rsidP="00791465">
      <w:pPr>
        <w:spacing w:line="238" w:lineRule="auto"/>
        <w:ind w:left="1418" w:right="260" w:hanging="284"/>
        <w:jc w:val="both"/>
        <w:rPr>
          <w:rFonts w:ascii="Arial" w:eastAsia="Arial" w:hAnsi="Arial"/>
          <w:b/>
          <w:sz w:val="22"/>
          <w:szCs w:val="22"/>
          <w:lang w:val="es-CR"/>
        </w:rPr>
      </w:pPr>
    </w:p>
    <w:p w14:paraId="756611BF" w14:textId="77777777" w:rsidR="00791465" w:rsidRDefault="00791465" w:rsidP="00791465">
      <w:pPr>
        <w:spacing w:line="238" w:lineRule="auto"/>
        <w:ind w:left="1134" w:right="260" w:hanging="1134"/>
        <w:jc w:val="both"/>
        <w:rPr>
          <w:rFonts w:ascii="Arial" w:eastAsia="Arial" w:hAnsi="Arial"/>
          <w:b/>
          <w:sz w:val="22"/>
          <w:szCs w:val="22"/>
          <w:lang w:val="es-CR"/>
        </w:rPr>
      </w:pPr>
    </w:p>
    <w:p w14:paraId="5DC3B153" w14:textId="77777777" w:rsidR="006808DF" w:rsidRPr="00F02F9D" w:rsidRDefault="006808DF" w:rsidP="00791465">
      <w:pPr>
        <w:spacing w:line="238" w:lineRule="auto"/>
        <w:ind w:left="1134" w:right="260" w:hanging="1134"/>
        <w:jc w:val="both"/>
        <w:rPr>
          <w:rFonts w:ascii="Arial" w:eastAsia="Arial" w:hAnsi="Arial"/>
          <w:b/>
          <w:sz w:val="22"/>
          <w:szCs w:val="22"/>
          <w:lang w:val="es-CR"/>
        </w:rPr>
      </w:pPr>
    </w:p>
    <w:p w14:paraId="67C3CFCF" w14:textId="77777777" w:rsidR="00791465" w:rsidRPr="005968BE" w:rsidRDefault="00791465" w:rsidP="00791465">
      <w:pPr>
        <w:pStyle w:val="Ttulo4"/>
        <w:rPr>
          <w:rFonts w:ascii="Arial" w:eastAsia="Arial" w:hAnsi="Arial" w:cs="Arial"/>
          <w:b/>
          <w:bCs/>
          <w:sz w:val="22"/>
          <w:szCs w:val="22"/>
          <w:lang w:val="es-CR"/>
        </w:rPr>
      </w:pPr>
      <w:r w:rsidRPr="005968BE">
        <w:rPr>
          <w:rFonts w:ascii="Arial" w:eastAsia="Arial" w:hAnsi="Arial" w:cs="Arial"/>
          <w:b/>
          <w:bCs/>
          <w:sz w:val="22"/>
          <w:szCs w:val="22"/>
          <w:lang w:val="es-CR"/>
        </w:rPr>
        <w:t>Pérdidas por deterioro</w:t>
      </w:r>
    </w:p>
    <w:p w14:paraId="5E08291D"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p w14:paraId="7A1E3378"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tbl>
      <w:tblPr>
        <w:tblW w:w="9210" w:type="dxa"/>
        <w:tblLook w:val="04A0" w:firstRow="1" w:lastRow="0" w:firstColumn="1" w:lastColumn="0" w:noHBand="0" w:noVBand="1"/>
      </w:tblPr>
      <w:tblGrid>
        <w:gridCol w:w="559"/>
        <w:gridCol w:w="550"/>
        <w:gridCol w:w="539"/>
        <w:gridCol w:w="3162"/>
        <w:gridCol w:w="2326"/>
        <w:gridCol w:w="2074"/>
      </w:tblGrid>
      <w:tr w:rsidR="00791465" w:rsidRPr="006808DF" w14:paraId="2E31C935" w14:textId="77777777" w:rsidTr="009D13CC">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3A97F0C"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31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87BE452"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400" w:type="dxa"/>
            <w:gridSpan w:val="2"/>
            <w:tcBorders>
              <w:top w:val="single" w:sz="8" w:space="0" w:color="auto"/>
              <w:left w:val="nil"/>
              <w:bottom w:val="single" w:sz="8" w:space="0" w:color="auto"/>
              <w:right w:val="single" w:sz="8" w:space="0" w:color="000000"/>
            </w:tcBorders>
            <w:shd w:val="clear" w:color="000000" w:fill="203764"/>
            <w:vAlign w:val="center"/>
            <w:hideMark/>
          </w:tcPr>
          <w:p w14:paraId="53F30C75"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791465" w:rsidRPr="0071104F" w14:paraId="62EDB1E8" w14:textId="77777777" w:rsidTr="009D13CC">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4700D4E3" w14:textId="77777777" w:rsidR="00791465" w:rsidRPr="006808DF" w:rsidRDefault="00791465" w:rsidP="009D13CC">
            <w:pPr>
              <w:rPr>
                <w:rFonts w:ascii="Arial Narrow" w:eastAsia="Times New Roman" w:hAnsi="Arial Narrow"/>
                <w:b/>
                <w:bCs/>
                <w:color w:val="FFFFFF"/>
                <w:sz w:val="22"/>
                <w:szCs w:val="22"/>
              </w:rPr>
            </w:pPr>
          </w:p>
        </w:tc>
        <w:tc>
          <w:tcPr>
            <w:tcW w:w="3162" w:type="dxa"/>
            <w:vMerge/>
            <w:tcBorders>
              <w:top w:val="single" w:sz="8" w:space="0" w:color="auto"/>
              <w:left w:val="single" w:sz="8" w:space="0" w:color="auto"/>
              <w:bottom w:val="nil"/>
              <w:right w:val="single" w:sz="8" w:space="0" w:color="auto"/>
            </w:tcBorders>
            <w:vAlign w:val="center"/>
            <w:hideMark/>
          </w:tcPr>
          <w:p w14:paraId="05F3F21E" w14:textId="77777777" w:rsidR="00791465" w:rsidRPr="006808DF" w:rsidRDefault="00791465" w:rsidP="009D13CC">
            <w:pPr>
              <w:rPr>
                <w:rFonts w:ascii="Arial Narrow" w:eastAsia="Times New Roman" w:hAnsi="Arial Narrow"/>
                <w:b/>
                <w:bCs/>
                <w:color w:val="FFFFFF"/>
                <w:sz w:val="22"/>
                <w:szCs w:val="22"/>
              </w:rPr>
            </w:pPr>
          </w:p>
        </w:tc>
        <w:tc>
          <w:tcPr>
            <w:tcW w:w="2326" w:type="dxa"/>
            <w:tcBorders>
              <w:top w:val="nil"/>
              <w:left w:val="nil"/>
              <w:bottom w:val="nil"/>
              <w:right w:val="single" w:sz="8" w:space="0" w:color="auto"/>
            </w:tcBorders>
            <w:shd w:val="clear" w:color="000000" w:fill="203764"/>
            <w:vAlign w:val="center"/>
            <w:hideMark/>
          </w:tcPr>
          <w:p w14:paraId="7A9C20B7"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2074" w:type="dxa"/>
            <w:tcBorders>
              <w:top w:val="nil"/>
              <w:left w:val="nil"/>
              <w:bottom w:val="nil"/>
              <w:right w:val="single" w:sz="8" w:space="0" w:color="auto"/>
            </w:tcBorders>
            <w:shd w:val="clear" w:color="000000" w:fill="203764"/>
            <w:vAlign w:val="center"/>
            <w:hideMark/>
          </w:tcPr>
          <w:p w14:paraId="52A0190C" w14:textId="2AF399B5" w:rsidR="00791465" w:rsidRPr="0071104F" w:rsidRDefault="0071104F" w:rsidP="009D13C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91465" w:rsidRPr="006808DF" w14:paraId="1152F9A1" w14:textId="77777777" w:rsidTr="009D13CC">
        <w:trPr>
          <w:trHeight w:val="922"/>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CEF53C"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45A2E479"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209</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1523E275"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0 </w:t>
            </w:r>
          </w:p>
        </w:tc>
        <w:tc>
          <w:tcPr>
            <w:tcW w:w="3162" w:type="dxa"/>
            <w:tcBorders>
              <w:top w:val="single" w:sz="8" w:space="0" w:color="auto"/>
              <w:left w:val="nil"/>
              <w:bottom w:val="single" w:sz="8" w:space="0" w:color="auto"/>
              <w:right w:val="single" w:sz="8" w:space="0" w:color="auto"/>
            </w:tcBorders>
            <w:shd w:val="clear" w:color="auto" w:fill="auto"/>
            <w:vAlign w:val="center"/>
            <w:hideMark/>
          </w:tcPr>
          <w:p w14:paraId="1CB35695"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Reconocimiento de pérdidas por deterioro</w:t>
            </w:r>
          </w:p>
        </w:tc>
        <w:tc>
          <w:tcPr>
            <w:tcW w:w="2326" w:type="dxa"/>
            <w:tcBorders>
              <w:top w:val="single" w:sz="8" w:space="0" w:color="auto"/>
              <w:left w:val="nil"/>
              <w:bottom w:val="single" w:sz="8" w:space="0" w:color="auto"/>
              <w:right w:val="single" w:sz="8" w:space="0" w:color="auto"/>
            </w:tcBorders>
            <w:shd w:val="clear" w:color="auto" w:fill="auto"/>
            <w:vAlign w:val="center"/>
            <w:hideMark/>
          </w:tcPr>
          <w:p w14:paraId="270D4ED3"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21, </w:t>
            </w:r>
          </w:p>
          <w:p w14:paraId="5ECA92D3" w14:textId="77777777" w:rsidR="006808DF" w:rsidRDefault="00791465" w:rsidP="006808DF">
            <w:pPr>
              <w:spacing w:after="120"/>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Párrafos 52 y 54.  </w:t>
            </w:r>
          </w:p>
          <w:p w14:paraId="4495AD13" w14:textId="420BEE8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3D1D8320"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Párrafos 72 y 73.</w:t>
            </w:r>
          </w:p>
        </w:tc>
        <w:tc>
          <w:tcPr>
            <w:tcW w:w="2074" w:type="dxa"/>
            <w:tcBorders>
              <w:top w:val="single" w:sz="8" w:space="0" w:color="auto"/>
              <w:left w:val="nil"/>
              <w:bottom w:val="single" w:sz="8" w:space="0" w:color="auto"/>
              <w:right w:val="single" w:sz="8" w:space="0" w:color="auto"/>
            </w:tcBorders>
            <w:shd w:val="clear" w:color="auto" w:fill="auto"/>
            <w:vAlign w:val="center"/>
            <w:hideMark/>
          </w:tcPr>
          <w:p w14:paraId="303C3892" w14:textId="77777777" w:rsidR="00791465" w:rsidRPr="006808DF" w:rsidRDefault="00791465" w:rsidP="009D13CC">
            <w:pPr>
              <w:jc w:val="cente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 </w:t>
            </w:r>
          </w:p>
        </w:tc>
      </w:tr>
      <w:tr w:rsidR="00791465" w:rsidRPr="006808DF" w14:paraId="53F9D832" w14:textId="77777777" w:rsidTr="009D13CC">
        <w:trPr>
          <w:trHeight w:val="836"/>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373F5EFE"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152C1762"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209</w:t>
            </w:r>
          </w:p>
        </w:tc>
        <w:tc>
          <w:tcPr>
            <w:tcW w:w="539" w:type="dxa"/>
            <w:tcBorders>
              <w:top w:val="nil"/>
              <w:left w:val="nil"/>
              <w:bottom w:val="single" w:sz="8" w:space="0" w:color="auto"/>
              <w:right w:val="single" w:sz="8" w:space="0" w:color="auto"/>
            </w:tcBorders>
            <w:shd w:val="clear" w:color="auto" w:fill="auto"/>
            <w:vAlign w:val="center"/>
            <w:hideMark/>
          </w:tcPr>
          <w:p w14:paraId="5789CDA9"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1</w:t>
            </w:r>
          </w:p>
        </w:tc>
        <w:tc>
          <w:tcPr>
            <w:tcW w:w="3162" w:type="dxa"/>
            <w:tcBorders>
              <w:top w:val="nil"/>
              <w:left w:val="nil"/>
              <w:bottom w:val="single" w:sz="8" w:space="0" w:color="auto"/>
              <w:right w:val="single" w:sz="8" w:space="0" w:color="auto"/>
            </w:tcBorders>
            <w:shd w:val="clear" w:color="auto" w:fill="auto"/>
            <w:vAlign w:val="center"/>
            <w:hideMark/>
          </w:tcPr>
          <w:p w14:paraId="5CA3BC09"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Pérdida por deterioro mayor al importe en libros de un activo</w:t>
            </w:r>
          </w:p>
        </w:tc>
        <w:tc>
          <w:tcPr>
            <w:tcW w:w="2326" w:type="dxa"/>
            <w:tcBorders>
              <w:top w:val="nil"/>
              <w:left w:val="nil"/>
              <w:bottom w:val="single" w:sz="8" w:space="0" w:color="auto"/>
              <w:right w:val="single" w:sz="8" w:space="0" w:color="auto"/>
            </w:tcBorders>
            <w:shd w:val="clear" w:color="auto" w:fill="auto"/>
            <w:vAlign w:val="center"/>
            <w:hideMark/>
          </w:tcPr>
          <w:p w14:paraId="107197D7"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21,  </w:t>
            </w:r>
          </w:p>
          <w:p w14:paraId="62FEDF42" w14:textId="77777777" w:rsidR="006808DF" w:rsidRDefault="00791465" w:rsidP="006808DF">
            <w:pPr>
              <w:spacing w:after="120"/>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Párrafos 55 y 56. </w:t>
            </w:r>
          </w:p>
          <w:p w14:paraId="70DABC2A" w14:textId="4731F7DE"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127185C8"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 74.</w:t>
            </w:r>
          </w:p>
        </w:tc>
        <w:tc>
          <w:tcPr>
            <w:tcW w:w="2074" w:type="dxa"/>
            <w:tcBorders>
              <w:top w:val="nil"/>
              <w:left w:val="nil"/>
              <w:bottom w:val="single" w:sz="8" w:space="0" w:color="auto"/>
              <w:right w:val="single" w:sz="8" w:space="0" w:color="auto"/>
            </w:tcBorders>
            <w:shd w:val="clear" w:color="auto" w:fill="auto"/>
            <w:vAlign w:val="center"/>
            <w:hideMark/>
          </w:tcPr>
          <w:p w14:paraId="2825FA23"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DGCN</w:t>
            </w:r>
          </w:p>
        </w:tc>
      </w:tr>
    </w:tbl>
    <w:p w14:paraId="32E7DAF2"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p w14:paraId="03C73528" w14:textId="09B8CE88" w:rsidR="00791465" w:rsidRDefault="006808DF" w:rsidP="00791465">
      <w:pPr>
        <w:spacing w:line="236" w:lineRule="auto"/>
        <w:ind w:left="1134" w:right="260" w:hanging="1134"/>
        <w:rPr>
          <w:rFonts w:ascii="Arial" w:eastAsia="Arial" w:hAnsi="Arial"/>
          <w:b/>
          <w:sz w:val="22"/>
          <w:szCs w:val="22"/>
        </w:rPr>
      </w:pPr>
      <w:r w:rsidRPr="00F02F9D">
        <w:rPr>
          <w:rFonts w:ascii="Arial" w:eastAsia="Arial" w:hAnsi="Arial"/>
          <w:b/>
          <w:sz w:val="22"/>
          <w:szCs w:val="22"/>
        </w:rPr>
        <w:t>Políticas Contables</w:t>
      </w:r>
    </w:p>
    <w:p w14:paraId="79B425B8" w14:textId="77777777" w:rsidR="006808DF" w:rsidRPr="00F02F9D" w:rsidRDefault="006808DF" w:rsidP="00791465">
      <w:pPr>
        <w:spacing w:line="236" w:lineRule="auto"/>
        <w:ind w:left="1134" w:right="260" w:hanging="1134"/>
        <w:rPr>
          <w:rFonts w:ascii="Arial" w:eastAsia="Arial" w:hAnsi="Arial"/>
          <w:bCs/>
          <w:sz w:val="22"/>
          <w:szCs w:val="22"/>
          <w:lang w:val="es-CR"/>
        </w:rPr>
      </w:pPr>
    </w:p>
    <w:p w14:paraId="0C4EFEB3" w14:textId="3EF3E1F7" w:rsidR="00791465" w:rsidRPr="00F02F9D" w:rsidRDefault="00791465" w:rsidP="00791465">
      <w:pPr>
        <w:spacing w:line="236"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1.209.0.01</w:t>
      </w:r>
      <w:r w:rsidRPr="00F02F9D">
        <w:rPr>
          <w:rFonts w:ascii="Arial" w:eastAsia="Arial" w:hAnsi="Arial"/>
          <w:bCs/>
          <w:sz w:val="22"/>
          <w:szCs w:val="22"/>
          <w:lang w:val="es-CR"/>
        </w:rPr>
        <w:tab/>
        <w:t xml:space="preserve">En caso de que 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monto recuperable de un activo sea inferior a su importe en libros, éste debe disminuirse hasta alcanzar aquel monto, recociéndose la diferencia en el resultado del ejercicio, con carácter de pérdida por deterioro.</w:t>
      </w:r>
    </w:p>
    <w:p w14:paraId="4D8DD139" w14:textId="77777777" w:rsidR="00791465" w:rsidRPr="00F02F9D" w:rsidRDefault="00791465" w:rsidP="00791465">
      <w:pPr>
        <w:spacing w:line="247" w:lineRule="exact"/>
        <w:rPr>
          <w:rFonts w:ascii="Arial" w:eastAsia="Times New Roman" w:hAnsi="Arial"/>
          <w:bCs/>
          <w:sz w:val="22"/>
          <w:szCs w:val="22"/>
          <w:lang w:val="es-CR"/>
        </w:rPr>
      </w:pPr>
    </w:p>
    <w:p w14:paraId="54A05A63" w14:textId="77777777" w:rsidR="00791465" w:rsidRDefault="00791465" w:rsidP="0030399E">
      <w:pPr>
        <w:ind w:left="1134" w:right="261" w:hanging="1134"/>
        <w:jc w:val="both"/>
        <w:rPr>
          <w:rFonts w:ascii="Arial" w:eastAsia="Arial" w:hAnsi="Arial"/>
          <w:bCs/>
          <w:sz w:val="22"/>
          <w:szCs w:val="22"/>
          <w:lang w:val="es-CR"/>
        </w:rPr>
      </w:pPr>
      <w:r w:rsidRPr="00F02F9D">
        <w:rPr>
          <w:rFonts w:ascii="Arial" w:eastAsia="Arial" w:hAnsi="Arial"/>
          <w:bCs/>
          <w:sz w:val="22"/>
          <w:szCs w:val="22"/>
          <w:lang w:val="es-CR"/>
        </w:rPr>
        <w:t>1.209.1.01</w:t>
      </w:r>
      <w:r w:rsidRPr="00F02F9D">
        <w:rPr>
          <w:rFonts w:ascii="Arial" w:eastAsia="Arial" w:hAnsi="Arial"/>
          <w:bCs/>
          <w:sz w:val="22"/>
          <w:szCs w:val="22"/>
          <w:lang w:val="es-CR"/>
        </w:rPr>
        <w:tab/>
        <w:t>En caso de que la pérdida por deterioro supere el importe en libros de un activo:</w:t>
      </w:r>
    </w:p>
    <w:p w14:paraId="5FE36B32" w14:textId="77777777" w:rsidR="0030399E" w:rsidRPr="00F02F9D" w:rsidRDefault="0030399E" w:rsidP="0030399E">
      <w:pPr>
        <w:ind w:left="1134" w:right="261" w:hanging="1134"/>
        <w:jc w:val="both"/>
        <w:rPr>
          <w:rFonts w:ascii="Arial" w:eastAsia="Arial" w:hAnsi="Arial"/>
          <w:bCs/>
          <w:sz w:val="22"/>
          <w:szCs w:val="22"/>
          <w:lang w:val="es-CR"/>
        </w:rPr>
      </w:pPr>
    </w:p>
    <w:p w14:paraId="0BD1BEE6" w14:textId="277706DD" w:rsidR="00791465" w:rsidRPr="0030399E" w:rsidRDefault="00791465" w:rsidP="0030399E">
      <w:pPr>
        <w:pStyle w:val="Prrafodelista"/>
        <w:numPr>
          <w:ilvl w:val="0"/>
          <w:numId w:val="81"/>
        </w:numPr>
        <w:spacing w:after="120"/>
        <w:ind w:left="1418" w:hanging="284"/>
        <w:contextualSpacing w:val="0"/>
        <w:rPr>
          <w:rFonts w:ascii="Arial" w:eastAsia="Arial" w:hAnsi="Arial"/>
          <w:bCs/>
          <w:sz w:val="22"/>
          <w:szCs w:val="22"/>
          <w:lang w:val="es-CR"/>
        </w:rPr>
      </w:pPr>
      <w:r w:rsidRPr="00F02F9D">
        <w:rPr>
          <w:rFonts w:ascii="Arial" w:eastAsia="Arial" w:hAnsi="Arial"/>
          <w:bCs/>
          <w:sz w:val="22"/>
          <w:szCs w:val="22"/>
          <w:lang w:val="es-CR"/>
        </w:rPr>
        <w:t>El importe en libros del activo se reducirá a cero.</w:t>
      </w:r>
    </w:p>
    <w:p w14:paraId="5DA97B89" w14:textId="0A7280BA" w:rsidR="00791465" w:rsidRPr="0030399E" w:rsidRDefault="00791465" w:rsidP="0030399E">
      <w:pPr>
        <w:pStyle w:val="Prrafodelista"/>
        <w:numPr>
          <w:ilvl w:val="0"/>
          <w:numId w:val="81"/>
        </w:numPr>
        <w:spacing w:after="120"/>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En la medida que la pérdida por deterioro exceda al importe en libros del activo, se reconocerá un pasivo, siempre y cuando se cumplan los criterios para su reconocimiento como tal;</w:t>
      </w:r>
    </w:p>
    <w:p w14:paraId="49F51A93" w14:textId="77777777" w:rsidR="00791465" w:rsidRPr="00F02F9D" w:rsidRDefault="00791465" w:rsidP="0030399E">
      <w:pPr>
        <w:pStyle w:val="Prrafodelista"/>
        <w:numPr>
          <w:ilvl w:val="0"/>
          <w:numId w:val="81"/>
        </w:numPr>
        <w:spacing w:after="120"/>
        <w:ind w:left="1418" w:right="260"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La pérdida por deterioro a reconocer en los resultados del ejercicio será igual a la reducción del activo a cero más el monto del pasivo reconocido, si correspondiera.</w:t>
      </w:r>
    </w:p>
    <w:p w14:paraId="5B095124"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p w14:paraId="0F7AC6D2"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tbl>
      <w:tblPr>
        <w:tblW w:w="9214" w:type="dxa"/>
        <w:tblLook w:val="04A0" w:firstRow="1" w:lastRow="0" w:firstColumn="1" w:lastColumn="0" w:noHBand="0" w:noVBand="1"/>
      </w:tblPr>
      <w:tblGrid>
        <w:gridCol w:w="559"/>
        <w:gridCol w:w="550"/>
        <w:gridCol w:w="539"/>
        <w:gridCol w:w="3162"/>
        <w:gridCol w:w="2328"/>
        <w:gridCol w:w="2076"/>
      </w:tblGrid>
      <w:tr w:rsidR="00791465" w:rsidRPr="006808DF" w14:paraId="65143C05" w14:textId="77777777" w:rsidTr="009D13CC">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42A199D"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31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0E258623"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404" w:type="dxa"/>
            <w:gridSpan w:val="2"/>
            <w:tcBorders>
              <w:top w:val="single" w:sz="8" w:space="0" w:color="auto"/>
              <w:left w:val="nil"/>
              <w:bottom w:val="single" w:sz="8" w:space="0" w:color="auto"/>
              <w:right w:val="single" w:sz="8" w:space="0" w:color="000000"/>
            </w:tcBorders>
            <w:shd w:val="clear" w:color="000000" w:fill="203764"/>
            <w:vAlign w:val="center"/>
            <w:hideMark/>
          </w:tcPr>
          <w:p w14:paraId="5097A7FC"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791465" w:rsidRPr="0071104F" w14:paraId="02AC8D19" w14:textId="77777777" w:rsidTr="009D13CC">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544F84F9" w14:textId="77777777" w:rsidR="00791465" w:rsidRPr="006808DF" w:rsidRDefault="00791465" w:rsidP="009D13CC">
            <w:pPr>
              <w:rPr>
                <w:rFonts w:ascii="Arial Narrow" w:eastAsia="Times New Roman" w:hAnsi="Arial Narrow"/>
                <w:b/>
                <w:bCs/>
                <w:color w:val="FFFFFF"/>
                <w:sz w:val="22"/>
                <w:szCs w:val="22"/>
              </w:rPr>
            </w:pPr>
          </w:p>
        </w:tc>
        <w:tc>
          <w:tcPr>
            <w:tcW w:w="3162" w:type="dxa"/>
            <w:vMerge/>
            <w:tcBorders>
              <w:top w:val="single" w:sz="8" w:space="0" w:color="auto"/>
              <w:left w:val="single" w:sz="8" w:space="0" w:color="auto"/>
              <w:bottom w:val="nil"/>
              <w:right w:val="single" w:sz="8" w:space="0" w:color="auto"/>
            </w:tcBorders>
            <w:vAlign w:val="center"/>
            <w:hideMark/>
          </w:tcPr>
          <w:p w14:paraId="09AD39A6" w14:textId="77777777" w:rsidR="00791465" w:rsidRPr="006808DF" w:rsidRDefault="00791465" w:rsidP="009D13CC">
            <w:pPr>
              <w:rPr>
                <w:rFonts w:ascii="Arial Narrow" w:eastAsia="Times New Roman" w:hAnsi="Arial Narrow"/>
                <w:b/>
                <w:bCs/>
                <w:color w:val="FFFFFF"/>
                <w:sz w:val="22"/>
                <w:szCs w:val="22"/>
              </w:rPr>
            </w:pPr>
          </w:p>
        </w:tc>
        <w:tc>
          <w:tcPr>
            <w:tcW w:w="2328" w:type="dxa"/>
            <w:tcBorders>
              <w:top w:val="nil"/>
              <w:left w:val="nil"/>
              <w:bottom w:val="nil"/>
              <w:right w:val="single" w:sz="8" w:space="0" w:color="auto"/>
            </w:tcBorders>
            <w:shd w:val="clear" w:color="000000" w:fill="203764"/>
            <w:vAlign w:val="center"/>
            <w:hideMark/>
          </w:tcPr>
          <w:p w14:paraId="55894C14"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2076" w:type="dxa"/>
            <w:tcBorders>
              <w:top w:val="nil"/>
              <w:left w:val="nil"/>
              <w:bottom w:val="nil"/>
              <w:right w:val="single" w:sz="8" w:space="0" w:color="auto"/>
            </w:tcBorders>
            <w:shd w:val="clear" w:color="000000" w:fill="203764"/>
            <w:vAlign w:val="center"/>
            <w:hideMark/>
          </w:tcPr>
          <w:p w14:paraId="0F386CA4" w14:textId="12BF640A" w:rsidR="00791465" w:rsidRPr="0071104F" w:rsidRDefault="0071104F" w:rsidP="009D13C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91465" w:rsidRPr="006808DF" w14:paraId="6E83EF4E" w14:textId="77777777" w:rsidTr="009D13CC">
        <w:trPr>
          <w:trHeight w:val="704"/>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ADB06E"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12563638"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210</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106ACD0D"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0 </w:t>
            </w:r>
          </w:p>
        </w:tc>
        <w:tc>
          <w:tcPr>
            <w:tcW w:w="3162" w:type="dxa"/>
            <w:tcBorders>
              <w:top w:val="single" w:sz="8" w:space="0" w:color="auto"/>
              <w:left w:val="nil"/>
              <w:bottom w:val="single" w:sz="8" w:space="0" w:color="auto"/>
              <w:right w:val="single" w:sz="8" w:space="0" w:color="auto"/>
            </w:tcBorders>
            <w:shd w:val="clear" w:color="auto" w:fill="auto"/>
            <w:vAlign w:val="center"/>
            <w:hideMark/>
          </w:tcPr>
          <w:p w14:paraId="6C4922DE"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Pérdidas por deterioro para unidades generadoras de efectivo</w:t>
            </w:r>
          </w:p>
        </w:tc>
        <w:tc>
          <w:tcPr>
            <w:tcW w:w="2328" w:type="dxa"/>
            <w:tcBorders>
              <w:top w:val="single" w:sz="8" w:space="0" w:color="auto"/>
              <w:left w:val="nil"/>
              <w:bottom w:val="single" w:sz="8" w:space="0" w:color="auto"/>
              <w:right w:val="single" w:sz="8" w:space="0" w:color="auto"/>
            </w:tcBorders>
            <w:shd w:val="clear" w:color="auto" w:fill="auto"/>
            <w:vAlign w:val="center"/>
            <w:hideMark/>
          </w:tcPr>
          <w:p w14:paraId="4CCB92DD"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38CDF7A3" w14:textId="77777777" w:rsidR="00791465" w:rsidRPr="006808DF" w:rsidRDefault="00791465" w:rsidP="009D13CC">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Párrafos 91, 92 y 97.</w:t>
            </w:r>
          </w:p>
        </w:tc>
        <w:tc>
          <w:tcPr>
            <w:tcW w:w="2076" w:type="dxa"/>
            <w:tcBorders>
              <w:top w:val="single" w:sz="8" w:space="0" w:color="auto"/>
              <w:left w:val="nil"/>
              <w:bottom w:val="single" w:sz="8" w:space="0" w:color="auto"/>
              <w:right w:val="single" w:sz="8" w:space="0" w:color="auto"/>
            </w:tcBorders>
            <w:shd w:val="clear" w:color="auto" w:fill="auto"/>
            <w:vAlign w:val="center"/>
            <w:hideMark/>
          </w:tcPr>
          <w:p w14:paraId="50A1E967"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r w:rsidR="00791465" w:rsidRPr="006808DF" w14:paraId="6811DD19" w14:textId="77777777" w:rsidTr="009D13CC">
        <w:trPr>
          <w:trHeight w:val="402"/>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568069D6"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1769232B"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210</w:t>
            </w:r>
          </w:p>
        </w:tc>
        <w:tc>
          <w:tcPr>
            <w:tcW w:w="539" w:type="dxa"/>
            <w:tcBorders>
              <w:top w:val="nil"/>
              <w:left w:val="nil"/>
              <w:bottom w:val="single" w:sz="8" w:space="0" w:color="auto"/>
              <w:right w:val="single" w:sz="8" w:space="0" w:color="auto"/>
            </w:tcBorders>
            <w:shd w:val="clear" w:color="auto" w:fill="auto"/>
            <w:vAlign w:val="center"/>
            <w:hideMark/>
          </w:tcPr>
          <w:p w14:paraId="3776D5BB"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1</w:t>
            </w:r>
          </w:p>
        </w:tc>
        <w:tc>
          <w:tcPr>
            <w:tcW w:w="3162" w:type="dxa"/>
            <w:tcBorders>
              <w:top w:val="nil"/>
              <w:left w:val="nil"/>
              <w:bottom w:val="single" w:sz="8" w:space="0" w:color="auto"/>
              <w:right w:val="single" w:sz="8" w:space="0" w:color="auto"/>
            </w:tcBorders>
            <w:shd w:val="clear" w:color="auto" w:fill="auto"/>
            <w:vAlign w:val="center"/>
            <w:hideMark/>
          </w:tcPr>
          <w:p w14:paraId="64F227BF"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Impacto de la pérdida por deterioro en un activo no generador de efectivo</w:t>
            </w:r>
          </w:p>
        </w:tc>
        <w:tc>
          <w:tcPr>
            <w:tcW w:w="2328" w:type="dxa"/>
            <w:tcBorders>
              <w:top w:val="nil"/>
              <w:left w:val="nil"/>
              <w:bottom w:val="single" w:sz="8" w:space="0" w:color="auto"/>
              <w:right w:val="single" w:sz="8" w:space="0" w:color="auto"/>
            </w:tcBorders>
            <w:shd w:val="clear" w:color="auto" w:fill="auto"/>
            <w:vAlign w:val="center"/>
            <w:hideMark/>
          </w:tcPr>
          <w:p w14:paraId="38EBA8CC"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43B76EDA" w14:textId="77777777" w:rsidR="00791465" w:rsidRPr="006808DF" w:rsidRDefault="00791465" w:rsidP="009D13CC">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Párrafos 93 y 95.</w:t>
            </w:r>
          </w:p>
        </w:tc>
        <w:tc>
          <w:tcPr>
            <w:tcW w:w="2076" w:type="dxa"/>
            <w:tcBorders>
              <w:top w:val="nil"/>
              <w:left w:val="nil"/>
              <w:bottom w:val="single" w:sz="8" w:space="0" w:color="auto"/>
              <w:right w:val="single" w:sz="8" w:space="0" w:color="auto"/>
            </w:tcBorders>
            <w:shd w:val="clear" w:color="auto" w:fill="auto"/>
            <w:vAlign w:val="center"/>
            <w:hideMark/>
          </w:tcPr>
          <w:p w14:paraId="6F248BBE"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r w:rsidR="00791465" w:rsidRPr="006808DF" w14:paraId="3B43EB28" w14:textId="77777777" w:rsidTr="009D13CC">
        <w:trPr>
          <w:trHeight w:val="398"/>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105C09A3"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35EA67DD"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210</w:t>
            </w:r>
          </w:p>
        </w:tc>
        <w:tc>
          <w:tcPr>
            <w:tcW w:w="539" w:type="dxa"/>
            <w:tcBorders>
              <w:top w:val="nil"/>
              <w:left w:val="nil"/>
              <w:bottom w:val="single" w:sz="8" w:space="0" w:color="auto"/>
              <w:right w:val="single" w:sz="8" w:space="0" w:color="auto"/>
            </w:tcBorders>
            <w:shd w:val="clear" w:color="auto" w:fill="auto"/>
            <w:vAlign w:val="center"/>
            <w:hideMark/>
          </w:tcPr>
          <w:p w14:paraId="7C9F6538"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w:t>
            </w:r>
          </w:p>
        </w:tc>
        <w:tc>
          <w:tcPr>
            <w:tcW w:w="3162" w:type="dxa"/>
            <w:tcBorders>
              <w:top w:val="nil"/>
              <w:left w:val="nil"/>
              <w:bottom w:val="single" w:sz="8" w:space="0" w:color="auto"/>
              <w:right w:val="single" w:sz="8" w:space="0" w:color="auto"/>
            </w:tcBorders>
            <w:shd w:val="clear" w:color="auto" w:fill="auto"/>
            <w:vAlign w:val="center"/>
            <w:hideMark/>
          </w:tcPr>
          <w:p w14:paraId="09FB10AE"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Imposibilidad de identificar el importe recuperable de un activo individual</w:t>
            </w:r>
          </w:p>
        </w:tc>
        <w:tc>
          <w:tcPr>
            <w:tcW w:w="2328" w:type="dxa"/>
            <w:tcBorders>
              <w:top w:val="nil"/>
              <w:left w:val="nil"/>
              <w:bottom w:val="single" w:sz="8" w:space="0" w:color="auto"/>
              <w:right w:val="single" w:sz="8" w:space="0" w:color="auto"/>
            </w:tcBorders>
            <w:shd w:val="clear" w:color="auto" w:fill="auto"/>
            <w:vAlign w:val="center"/>
            <w:hideMark/>
          </w:tcPr>
          <w:p w14:paraId="7FBB9615"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5A79B0A5" w14:textId="77777777" w:rsidR="00791465" w:rsidRPr="006808DF" w:rsidRDefault="00791465" w:rsidP="009D13CC">
            <w:pPr>
              <w:jc w:val="both"/>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Párrafo 94.</w:t>
            </w:r>
          </w:p>
        </w:tc>
        <w:tc>
          <w:tcPr>
            <w:tcW w:w="2076" w:type="dxa"/>
            <w:tcBorders>
              <w:top w:val="nil"/>
              <w:left w:val="nil"/>
              <w:bottom w:val="single" w:sz="8" w:space="0" w:color="auto"/>
              <w:right w:val="single" w:sz="8" w:space="0" w:color="auto"/>
            </w:tcBorders>
            <w:shd w:val="clear" w:color="auto" w:fill="auto"/>
            <w:vAlign w:val="center"/>
            <w:hideMark/>
          </w:tcPr>
          <w:p w14:paraId="097A7E17"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bl>
    <w:p w14:paraId="37A13D37"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p w14:paraId="3FB63F19" w14:textId="2818EDA7" w:rsidR="00791465" w:rsidRDefault="006808DF" w:rsidP="00791465">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36EEFC61" w14:textId="77777777" w:rsidR="006808DF" w:rsidRPr="00F02F9D" w:rsidRDefault="006808DF" w:rsidP="00791465">
      <w:pPr>
        <w:spacing w:line="238" w:lineRule="auto"/>
        <w:ind w:left="1134" w:right="260" w:hanging="1134"/>
        <w:jc w:val="both"/>
        <w:rPr>
          <w:rFonts w:ascii="Arial" w:eastAsia="Arial" w:hAnsi="Arial"/>
          <w:bCs/>
          <w:sz w:val="22"/>
          <w:szCs w:val="22"/>
          <w:lang w:val="es-CR"/>
        </w:rPr>
      </w:pPr>
    </w:p>
    <w:p w14:paraId="4D9F6CEF" w14:textId="3A733E0F" w:rsidR="00791465" w:rsidRPr="00F02F9D" w:rsidRDefault="00791465" w:rsidP="00791465">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1.210.0.01</w:t>
      </w:r>
      <w:r w:rsidRPr="00F02F9D">
        <w:rPr>
          <w:rFonts w:ascii="Arial" w:eastAsia="Arial" w:hAnsi="Arial"/>
          <w:bCs/>
          <w:sz w:val="22"/>
          <w:szCs w:val="22"/>
          <w:lang w:val="es-CR"/>
        </w:rPr>
        <w:tab/>
        <w:t xml:space="preserve">Cuando 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importe recuperable de una unidad generadora de efectivo sea inferior al importe en libros de los activos que integran dicha unidad, todos los importes en libros deberán reducirse hasta alcanzar en conjunto el referido importe recuperable, y la distribución de la reducción a cada activo se efectuará proporcionalmente al importe en libros de cada uno.</w:t>
      </w:r>
    </w:p>
    <w:p w14:paraId="7822F845" w14:textId="77777777" w:rsidR="00791465" w:rsidRPr="00F02F9D" w:rsidRDefault="00791465" w:rsidP="00791465">
      <w:pPr>
        <w:spacing w:line="279" w:lineRule="exact"/>
        <w:rPr>
          <w:rFonts w:ascii="Arial" w:eastAsia="Times New Roman" w:hAnsi="Arial"/>
          <w:bCs/>
          <w:sz w:val="22"/>
          <w:szCs w:val="22"/>
          <w:lang w:val="es-CR"/>
        </w:rPr>
      </w:pPr>
    </w:p>
    <w:p w14:paraId="709B5B09" w14:textId="77777777" w:rsidR="00791465" w:rsidRPr="00F02F9D" w:rsidRDefault="00791465" w:rsidP="00791465">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1.210.0.02</w:t>
      </w:r>
      <w:r w:rsidRPr="00F02F9D">
        <w:rPr>
          <w:rFonts w:ascii="Arial" w:eastAsia="Arial" w:hAnsi="Arial"/>
          <w:bCs/>
          <w:sz w:val="22"/>
          <w:szCs w:val="22"/>
          <w:lang w:val="es-CR"/>
        </w:rPr>
        <w:tab/>
        <w:t>El importe en libros de cada activo individual que integra la unidad generadora de efectivo, en ningún caso se reducirá por debajo de su importe recuperable</w:t>
      </w:r>
      <w:bookmarkStart w:id="72" w:name="page75"/>
      <w:bookmarkEnd w:id="72"/>
      <w:r w:rsidRPr="00F02F9D">
        <w:rPr>
          <w:rFonts w:ascii="Arial" w:eastAsia="Arial" w:hAnsi="Arial"/>
          <w:bCs/>
          <w:sz w:val="22"/>
          <w:szCs w:val="22"/>
          <w:lang w:val="es-CR"/>
        </w:rPr>
        <w:t xml:space="preserve"> individual (si se pudiese determinar) o de cero, lo que fuere mayor. La porción de la pérdida por deterioro de la unidad generadora de efectivo que no pueda ser distribuida a un activo como consecuencia de ello, se distribuirá entre los restantes activos que integran la unidad, en la misma proporción indicada en el párrafo anterior.</w:t>
      </w:r>
    </w:p>
    <w:p w14:paraId="13005EBC" w14:textId="77777777" w:rsidR="00791465" w:rsidRPr="00F02F9D" w:rsidRDefault="00791465" w:rsidP="00791465">
      <w:pPr>
        <w:spacing w:line="288" w:lineRule="exact"/>
        <w:rPr>
          <w:rFonts w:ascii="Arial" w:eastAsia="Times New Roman" w:hAnsi="Arial"/>
          <w:bCs/>
          <w:sz w:val="22"/>
          <w:szCs w:val="22"/>
          <w:lang w:val="es-CR"/>
        </w:rPr>
      </w:pPr>
    </w:p>
    <w:p w14:paraId="103F0C85" w14:textId="77777777" w:rsidR="00791465" w:rsidRPr="00F02F9D" w:rsidRDefault="00791465" w:rsidP="00791465">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1.210.0.03</w:t>
      </w:r>
      <w:r w:rsidRPr="00F02F9D">
        <w:rPr>
          <w:rFonts w:ascii="Arial" w:eastAsia="Arial" w:hAnsi="Arial"/>
          <w:bCs/>
          <w:sz w:val="22"/>
          <w:szCs w:val="22"/>
          <w:lang w:val="es-CR"/>
        </w:rPr>
        <w:tab/>
        <w:t>Una vez aplicada la distribución anterior, el importe restante de una pérdida por deterioro será reconocida como un pasivo, siempre y cuando se cumplan los criterios para su reconocimiento como tal.</w:t>
      </w:r>
    </w:p>
    <w:p w14:paraId="5DD002F6" w14:textId="77777777" w:rsidR="00791465" w:rsidRPr="00F02F9D" w:rsidRDefault="00791465" w:rsidP="00791465">
      <w:pPr>
        <w:spacing w:line="277" w:lineRule="exact"/>
        <w:rPr>
          <w:rFonts w:ascii="Arial" w:eastAsia="Times New Roman" w:hAnsi="Arial"/>
          <w:bCs/>
          <w:sz w:val="22"/>
          <w:szCs w:val="22"/>
          <w:lang w:val="es-CR"/>
        </w:rPr>
      </w:pPr>
    </w:p>
    <w:p w14:paraId="100E7D7F" w14:textId="77777777" w:rsidR="00791465" w:rsidRPr="00F02F9D" w:rsidRDefault="00791465" w:rsidP="00791465">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1.210.1.01</w:t>
      </w:r>
      <w:r w:rsidRPr="00F02F9D">
        <w:rPr>
          <w:rFonts w:ascii="Arial" w:eastAsia="Arial" w:hAnsi="Arial"/>
          <w:bCs/>
          <w:sz w:val="22"/>
          <w:szCs w:val="22"/>
          <w:lang w:val="es-CR"/>
        </w:rPr>
        <w:tab/>
        <w:t>Impacto de la pérdida por deterioro en un activo no generador de efectivo Ante la existencia de una pérdida por deterior se deberá distribuir la misma en función de la proporción asignada en el importe en libro tanto a la proporción de un activo generador de efectivo o no generador de efectivo.</w:t>
      </w:r>
    </w:p>
    <w:p w14:paraId="16F13AB8" w14:textId="77777777" w:rsidR="00791465" w:rsidRPr="00F02F9D" w:rsidRDefault="00791465" w:rsidP="00791465">
      <w:pPr>
        <w:spacing w:line="273" w:lineRule="exact"/>
        <w:rPr>
          <w:rFonts w:ascii="Arial" w:eastAsia="Arial" w:hAnsi="Arial"/>
          <w:bCs/>
          <w:sz w:val="22"/>
          <w:szCs w:val="22"/>
          <w:lang w:val="es-CR"/>
        </w:rPr>
      </w:pPr>
    </w:p>
    <w:p w14:paraId="3F66668E" w14:textId="77777777" w:rsidR="00791465" w:rsidRDefault="00791465" w:rsidP="00791465">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1.210.2.01</w:t>
      </w:r>
      <w:r w:rsidRPr="00F02F9D">
        <w:rPr>
          <w:rFonts w:ascii="Arial" w:eastAsia="Arial" w:hAnsi="Arial"/>
          <w:bCs/>
          <w:sz w:val="22"/>
          <w:szCs w:val="22"/>
          <w:lang w:val="es-CR"/>
        </w:rPr>
        <w:tab/>
        <w:t>Imposibilidad de identificar el importe recuperable de un activo individual Si no se pudiera determinar el monto recuperable de un activo:</w:t>
      </w:r>
    </w:p>
    <w:p w14:paraId="56793AE3" w14:textId="77777777" w:rsidR="00791465" w:rsidRPr="00F02F9D" w:rsidRDefault="00791465" w:rsidP="00791465">
      <w:pPr>
        <w:spacing w:line="250" w:lineRule="auto"/>
        <w:ind w:left="1134" w:right="260" w:hanging="1134"/>
        <w:jc w:val="both"/>
        <w:rPr>
          <w:rFonts w:ascii="Arial" w:eastAsia="Arial" w:hAnsi="Arial"/>
          <w:bCs/>
          <w:sz w:val="22"/>
          <w:szCs w:val="22"/>
          <w:lang w:val="es-CR"/>
        </w:rPr>
      </w:pPr>
    </w:p>
    <w:p w14:paraId="03D5067D" w14:textId="77777777" w:rsidR="00791465" w:rsidRPr="00F02F9D" w:rsidRDefault="00791465">
      <w:pPr>
        <w:pStyle w:val="Prrafodelista"/>
        <w:numPr>
          <w:ilvl w:val="0"/>
          <w:numId w:val="82"/>
        </w:numPr>
        <w:spacing w:after="120"/>
        <w:ind w:left="1418" w:right="261" w:hanging="284"/>
        <w:contextualSpacing w:val="0"/>
        <w:jc w:val="both"/>
        <w:rPr>
          <w:rFonts w:ascii="Arial" w:eastAsia="Arial" w:hAnsi="Arial"/>
          <w:bCs/>
          <w:sz w:val="22"/>
          <w:szCs w:val="22"/>
          <w:lang w:val="es-CR"/>
        </w:rPr>
      </w:pPr>
      <w:r w:rsidRPr="00F02F9D">
        <w:rPr>
          <w:rFonts w:ascii="Arial" w:eastAsia="Arial" w:hAnsi="Arial"/>
          <w:bCs/>
          <w:sz w:val="22"/>
          <w:szCs w:val="22"/>
          <w:lang w:val="es-CR"/>
        </w:rPr>
        <w:t>Se reconocerá una pérdida por deterioro del valor para el activo siempre que su importe en libros fuera superior al mayor importe entre su valor razonable menos los costos de venta y los resultados de los procedimientos de distribución descritos precedentemente; y</w:t>
      </w:r>
    </w:p>
    <w:p w14:paraId="1E668BBB" w14:textId="77777777" w:rsidR="00791465" w:rsidRPr="00F02F9D" w:rsidRDefault="00791465" w:rsidP="00791465">
      <w:pPr>
        <w:spacing w:line="2" w:lineRule="exact"/>
        <w:ind w:left="1418" w:hanging="284"/>
        <w:rPr>
          <w:rFonts w:ascii="Arial" w:eastAsia="Arial" w:hAnsi="Arial"/>
          <w:bCs/>
          <w:sz w:val="22"/>
          <w:szCs w:val="22"/>
          <w:lang w:val="es-CR"/>
        </w:rPr>
      </w:pPr>
    </w:p>
    <w:p w14:paraId="5F0B3FC0" w14:textId="77777777" w:rsidR="00791465" w:rsidRPr="00F02F9D" w:rsidRDefault="00791465">
      <w:pPr>
        <w:pStyle w:val="Prrafodelista"/>
        <w:numPr>
          <w:ilvl w:val="0"/>
          <w:numId w:val="82"/>
        </w:numPr>
        <w:spacing w:line="238" w:lineRule="auto"/>
        <w:ind w:left="1418" w:right="260" w:hanging="284"/>
        <w:jc w:val="both"/>
        <w:rPr>
          <w:rFonts w:ascii="Arial" w:eastAsia="Arial" w:hAnsi="Arial"/>
          <w:bCs/>
          <w:sz w:val="22"/>
          <w:szCs w:val="22"/>
          <w:lang w:val="es-CR"/>
        </w:rPr>
      </w:pPr>
      <w:r w:rsidRPr="00F02F9D">
        <w:rPr>
          <w:rFonts w:ascii="Arial" w:eastAsia="Arial" w:hAnsi="Arial"/>
          <w:bCs/>
          <w:sz w:val="22"/>
          <w:szCs w:val="22"/>
          <w:lang w:val="es-CR"/>
        </w:rPr>
        <w:t>No se reconocerá ninguna pérdida por deterioro del valor para el activo si la unidad generadora de efectivo en la que está incluido no hubiera sufrido ninguna pérdida por deterioro del valor. Esto será de aplicación incluso cuando el valor razonable menos los costos de venta del activo fueran inferior a su importe en libros.</w:t>
      </w:r>
    </w:p>
    <w:p w14:paraId="4D999924" w14:textId="77777777" w:rsidR="00791465" w:rsidRDefault="00791465" w:rsidP="00791465">
      <w:pPr>
        <w:spacing w:line="238" w:lineRule="auto"/>
        <w:ind w:left="1134" w:right="260" w:hanging="1134"/>
        <w:jc w:val="both"/>
        <w:rPr>
          <w:rFonts w:ascii="Arial" w:eastAsia="Arial" w:hAnsi="Arial"/>
          <w:b/>
          <w:sz w:val="22"/>
          <w:szCs w:val="22"/>
          <w:lang w:val="es-CR"/>
        </w:rPr>
      </w:pPr>
    </w:p>
    <w:p w14:paraId="1894E59A" w14:textId="77777777" w:rsidR="00791465" w:rsidRDefault="00791465" w:rsidP="00791465">
      <w:pPr>
        <w:spacing w:line="238" w:lineRule="auto"/>
        <w:ind w:left="1134" w:right="260" w:hanging="1134"/>
        <w:jc w:val="both"/>
        <w:rPr>
          <w:rFonts w:ascii="Arial" w:eastAsia="Arial" w:hAnsi="Arial"/>
          <w:b/>
          <w:sz w:val="22"/>
          <w:szCs w:val="22"/>
          <w:lang w:val="es-CR"/>
        </w:rPr>
      </w:pPr>
    </w:p>
    <w:p w14:paraId="23391186"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60"/>
        <w:gridCol w:w="550"/>
        <w:gridCol w:w="537"/>
        <w:gridCol w:w="3305"/>
        <w:gridCol w:w="2328"/>
        <w:gridCol w:w="1782"/>
      </w:tblGrid>
      <w:tr w:rsidR="00791465" w:rsidRPr="006808DF" w14:paraId="5DC4677B" w14:textId="77777777" w:rsidTr="009D13CC">
        <w:trPr>
          <w:trHeight w:val="320"/>
        </w:trPr>
        <w:tc>
          <w:tcPr>
            <w:tcW w:w="164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F620D95"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lastRenderedPageBreak/>
              <w:t>Norma / Política</w:t>
            </w:r>
          </w:p>
        </w:tc>
        <w:tc>
          <w:tcPr>
            <w:tcW w:w="3305" w:type="dxa"/>
            <w:vMerge w:val="restart"/>
            <w:tcBorders>
              <w:top w:val="single" w:sz="8" w:space="0" w:color="auto"/>
              <w:left w:val="single" w:sz="8" w:space="0" w:color="auto"/>
              <w:bottom w:val="nil"/>
              <w:right w:val="single" w:sz="8" w:space="0" w:color="auto"/>
            </w:tcBorders>
            <w:shd w:val="clear" w:color="000000" w:fill="203764"/>
            <w:vAlign w:val="center"/>
            <w:hideMark/>
          </w:tcPr>
          <w:p w14:paraId="4FAFE70B"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110" w:type="dxa"/>
            <w:gridSpan w:val="2"/>
            <w:tcBorders>
              <w:top w:val="single" w:sz="8" w:space="0" w:color="auto"/>
              <w:left w:val="nil"/>
              <w:bottom w:val="single" w:sz="8" w:space="0" w:color="auto"/>
              <w:right w:val="single" w:sz="8" w:space="0" w:color="000000"/>
            </w:tcBorders>
            <w:shd w:val="clear" w:color="000000" w:fill="203764"/>
            <w:vAlign w:val="center"/>
            <w:hideMark/>
          </w:tcPr>
          <w:p w14:paraId="2A3F69A3"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791465" w:rsidRPr="0071104F" w14:paraId="2AB454AD" w14:textId="77777777" w:rsidTr="009D13CC">
        <w:trPr>
          <w:trHeight w:val="320"/>
        </w:trPr>
        <w:tc>
          <w:tcPr>
            <w:tcW w:w="1647" w:type="dxa"/>
            <w:gridSpan w:val="3"/>
            <w:vMerge/>
            <w:tcBorders>
              <w:top w:val="single" w:sz="8" w:space="0" w:color="auto"/>
              <w:left w:val="single" w:sz="8" w:space="0" w:color="auto"/>
              <w:bottom w:val="nil"/>
              <w:right w:val="single" w:sz="8" w:space="0" w:color="000000"/>
            </w:tcBorders>
            <w:vAlign w:val="center"/>
            <w:hideMark/>
          </w:tcPr>
          <w:p w14:paraId="52C2CEA5" w14:textId="77777777" w:rsidR="00791465" w:rsidRPr="006808DF" w:rsidRDefault="00791465" w:rsidP="009D13CC">
            <w:pPr>
              <w:rPr>
                <w:rFonts w:ascii="Arial Narrow" w:eastAsia="Times New Roman" w:hAnsi="Arial Narrow"/>
                <w:b/>
                <w:bCs/>
                <w:color w:val="FFFFFF"/>
                <w:sz w:val="22"/>
                <w:szCs w:val="22"/>
              </w:rPr>
            </w:pPr>
          </w:p>
        </w:tc>
        <w:tc>
          <w:tcPr>
            <w:tcW w:w="3305" w:type="dxa"/>
            <w:vMerge/>
            <w:tcBorders>
              <w:top w:val="single" w:sz="8" w:space="0" w:color="auto"/>
              <w:left w:val="single" w:sz="8" w:space="0" w:color="auto"/>
              <w:bottom w:val="nil"/>
              <w:right w:val="single" w:sz="8" w:space="0" w:color="auto"/>
            </w:tcBorders>
            <w:vAlign w:val="center"/>
            <w:hideMark/>
          </w:tcPr>
          <w:p w14:paraId="167E7E8A" w14:textId="77777777" w:rsidR="00791465" w:rsidRPr="006808DF" w:rsidRDefault="00791465" w:rsidP="009D13CC">
            <w:pPr>
              <w:rPr>
                <w:rFonts w:ascii="Arial Narrow" w:eastAsia="Times New Roman" w:hAnsi="Arial Narrow"/>
                <w:b/>
                <w:bCs/>
                <w:color w:val="FFFFFF"/>
                <w:sz w:val="22"/>
                <w:szCs w:val="22"/>
              </w:rPr>
            </w:pPr>
          </w:p>
        </w:tc>
        <w:tc>
          <w:tcPr>
            <w:tcW w:w="2328" w:type="dxa"/>
            <w:tcBorders>
              <w:top w:val="nil"/>
              <w:left w:val="nil"/>
              <w:bottom w:val="nil"/>
              <w:right w:val="single" w:sz="8" w:space="0" w:color="auto"/>
            </w:tcBorders>
            <w:shd w:val="clear" w:color="000000" w:fill="203764"/>
            <w:vAlign w:val="center"/>
            <w:hideMark/>
          </w:tcPr>
          <w:p w14:paraId="0DC92B82" w14:textId="77777777" w:rsidR="00791465" w:rsidRPr="006808DF" w:rsidRDefault="00791465" w:rsidP="009D13CC">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1782" w:type="dxa"/>
            <w:tcBorders>
              <w:top w:val="nil"/>
              <w:left w:val="nil"/>
              <w:bottom w:val="nil"/>
              <w:right w:val="single" w:sz="8" w:space="0" w:color="auto"/>
            </w:tcBorders>
            <w:shd w:val="clear" w:color="000000" w:fill="203764"/>
            <w:vAlign w:val="center"/>
            <w:hideMark/>
          </w:tcPr>
          <w:p w14:paraId="7996D69E" w14:textId="461FBA2C" w:rsidR="00791465" w:rsidRPr="0071104F" w:rsidRDefault="0071104F" w:rsidP="009D13CC">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791465" w:rsidRPr="006808DF" w14:paraId="64B20398" w14:textId="77777777" w:rsidTr="009D13CC">
        <w:trPr>
          <w:trHeight w:val="870"/>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212C44"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0AAC081F"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211</w:t>
            </w:r>
          </w:p>
        </w:tc>
        <w:tc>
          <w:tcPr>
            <w:tcW w:w="537" w:type="dxa"/>
            <w:tcBorders>
              <w:top w:val="single" w:sz="8" w:space="0" w:color="auto"/>
              <w:left w:val="nil"/>
              <w:bottom w:val="single" w:sz="8" w:space="0" w:color="auto"/>
              <w:right w:val="single" w:sz="8" w:space="0" w:color="auto"/>
            </w:tcBorders>
            <w:shd w:val="clear" w:color="auto" w:fill="auto"/>
            <w:vAlign w:val="center"/>
            <w:hideMark/>
          </w:tcPr>
          <w:p w14:paraId="04C03175" w14:textId="77777777" w:rsidR="00791465" w:rsidRPr="006808DF" w:rsidRDefault="00791465" w:rsidP="009D13CC">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0 </w:t>
            </w:r>
          </w:p>
        </w:tc>
        <w:tc>
          <w:tcPr>
            <w:tcW w:w="3305" w:type="dxa"/>
            <w:tcBorders>
              <w:top w:val="single" w:sz="8" w:space="0" w:color="auto"/>
              <w:left w:val="nil"/>
              <w:bottom w:val="single" w:sz="8" w:space="0" w:color="auto"/>
              <w:right w:val="single" w:sz="8" w:space="0" w:color="auto"/>
            </w:tcBorders>
            <w:shd w:val="clear" w:color="auto" w:fill="auto"/>
            <w:vAlign w:val="center"/>
            <w:hideMark/>
          </w:tcPr>
          <w:p w14:paraId="5C35FEB7"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Ajuste de los cargos por depreciación (o amortización) del activo.</w:t>
            </w:r>
          </w:p>
        </w:tc>
        <w:tc>
          <w:tcPr>
            <w:tcW w:w="2328" w:type="dxa"/>
            <w:tcBorders>
              <w:top w:val="single" w:sz="8" w:space="0" w:color="auto"/>
              <w:left w:val="nil"/>
              <w:bottom w:val="single" w:sz="8" w:space="0" w:color="auto"/>
              <w:right w:val="single" w:sz="8" w:space="0" w:color="auto"/>
            </w:tcBorders>
            <w:shd w:val="clear" w:color="auto" w:fill="auto"/>
            <w:vAlign w:val="center"/>
            <w:hideMark/>
          </w:tcPr>
          <w:p w14:paraId="1E798893"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21, </w:t>
            </w:r>
          </w:p>
          <w:p w14:paraId="37793DEE"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 57.</w:t>
            </w:r>
          </w:p>
          <w:p w14:paraId="414994B9"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3EDB5F10" w14:textId="77777777" w:rsidR="00791465" w:rsidRPr="006808DF" w:rsidRDefault="00791465" w:rsidP="009D13CC">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 75.</w:t>
            </w:r>
          </w:p>
        </w:tc>
        <w:tc>
          <w:tcPr>
            <w:tcW w:w="1782" w:type="dxa"/>
            <w:tcBorders>
              <w:top w:val="single" w:sz="8" w:space="0" w:color="auto"/>
              <w:left w:val="nil"/>
              <w:bottom w:val="single" w:sz="8" w:space="0" w:color="auto"/>
              <w:right w:val="single" w:sz="8" w:space="0" w:color="auto"/>
            </w:tcBorders>
            <w:shd w:val="clear" w:color="auto" w:fill="auto"/>
            <w:vAlign w:val="center"/>
            <w:hideMark/>
          </w:tcPr>
          <w:p w14:paraId="00DACB33" w14:textId="77777777" w:rsidR="00791465" w:rsidRPr="006808DF" w:rsidRDefault="00791465" w:rsidP="009D13CC">
            <w:pPr>
              <w:jc w:val="cente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 </w:t>
            </w:r>
          </w:p>
        </w:tc>
      </w:tr>
    </w:tbl>
    <w:p w14:paraId="1C40D489" w14:textId="77777777" w:rsidR="00791465" w:rsidRDefault="00791465" w:rsidP="00791465">
      <w:pPr>
        <w:spacing w:line="238" w:lineRule="auto"/>
        <w:ind w:left="1134" w:right="260" w:hanging="1134"/>
        <w:jc w:val="both"/>
        <w:rPr>
          <w:rFonts w:ascii="Arial" w:eastAsia="Arial" w:hAnsi="Arial"/>
          <w:b/>
          <w:sz w:val="22"/>
          <w:szCs w:val="22"/>
          <w:lang w:val="es-CR"/>
        </w:rPr>
      </w:pPr>
    </w:p>
    <w:p w14:paraId="1AA9A0D6" w14:textId="733054BE" w:rsidR="006808DF" w:rsidRDefault="006808DF" w:rsidP="00791465">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6971CA14" w14:textId="77777777" w:rsidR="006808DF" w:rsidRPr="00F02F9D" w:rsidRDefault="006808DF" w:rsidP="00791465">
      <w:pPr>
        <w:spacing w:line="238" w:lineRule="auto"/>
        <w:ind w:left="1134" w:right="260" w:hanging="1134"/>
        <w:jc w:val="both"/>
        <w:rPr>
          <w:rFonts w:ascii="Arial" w:eastAsia="Arial" w:hAnsi="Arial"/>
          <w:b/>
          <w:sz w:val="22"/>
          <w:szCs w:val="22"/>
          <w:lang w:val="es-CR"/>
        </w:rPr>
      </w:pPr>
    </w:p>
    <w:p w14:paraId="7E264370" w14:textId="68CAE8B5" w:rsidR="00791465" w:rsidRPr="00F02F9D" w:rsidRDefault="00791465" w:rsidP="00791465">
      <w:pPr>
        <w:spacing w:line="251"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1.211.0.01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los cargos por depreciación o amortización de un activo objeto de deterioro</w:t>
      </w:r>
      <w:r>
        <w:rPr>
          <w:rFonts w:ascii="Arial" w:eastAsia="Arial" w:hAnsi="Arial"/>
          <w:bCs/>
          <w:sz w:val="22"/>
          <w:szCs w:val="22"/>
          <w:lang w:val="es-CR"/>
        </w:rPr>
        <w:t>,</w:t>
      </w:r>
      <w:r w:rsidRPr="00F02F9D">
        <w:rPr>
          <w:rFonts w:ascii="Arial" w:eastAsia="Arial" w:hAnsi="Arial"/>
          <w:bCs/>
          <w:sz w:val="22"/>
          <w:szCs w:val="22"/>
          <w:lang w:val="es-CR"/>
        </w:rPr>
        <w:t xml:space="preserve"> deberán ajustarse a efectos de distribuir, durante su vida útil restante, su importe en libros ajustado por la pérdida por deterioro reconocida.</w:t>
      </w:r>
    </w:p>
    <w:p w14:paraId="1CF61E52"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p w14:paraId="28F5E25E" w14:textId="77777777" w:rsidR="00791465" w:rsidRPr="00F02F9D" w:rsidRDefault="00791465" w:rsidP="00791465">
      <w:pPr>
        <w:spacing w:line="238" w:lineRule="auto"/>
        <w:ind w:left="1134" w:right="260" w:hanging="1134"/>
        <w:jc w:val="both"/>
        <w:rPr>
          <w:rFonts w:ascii="Arial" w:eastAsia="Arial" w:hAnsi="Arial"/>
          <w:b/>
          <w:sz w:val="22"/>
          <w:szCs w:val="22"/>
          <w:lang w:val="es-CR"/>
        </w:rPr>
      </w:pPr>
    </w:p>
    <w:p w14:paraId="7BF9FAEC" w14:textId="77777777" w:rsidR="00791465" w:rsidRPr="005968BE" w:rsidRDefault="00791465" w:rsidP="00791465">
      <w:pPr>
        <w:pStyle w:val="Ttulo4"/>
        <w:rPr>
          <w:rFonts w:ascii="Arial" w:eastAsia="Arial" w:hAnsi="Arial" w:cs="Arial"/>
          <w:b/>
          <w:bCs/>
          <w:sz w:val="22"/>
          <w:szCs w:val="22"/>
          <w:lang w:val="es-CR"/>
        </w:rPr>
      </w:pPr>
      <w:r w:rsidRPr="005968BE">
        <w:rPr>
          <w:rFonts w:ascii="Arial" w:eastAsia="Arial" w:hAnsi="Arial" w:cs="Arial"/>
          <w:b/>
          <w:bCs/>
          <w:sz w:val="22"/>
          <w:szCs w:val="22"/>
          <w:lang w:val="es-CR"/>
        </w:rPr>
        <w:t>Reversión de pérdidas por deterioro</w:t>
      </w:r>
    </w:p>
    <w:p w14:paraId="352FB28B"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9"/>
        <w:gridCol w:w="550"/>
        <w:gridCol w:w="539"/>
        <w:gridCol w:w="3162"/>
        <w:gridCol w:w="2330"/>
        <w:gridCol w:w="1922"/>
      </w:tblGrid>
      <w:tr w:rsidR="004741D6" w:rsidRPr="006808DF" w14:paraId="4DFE64CC" w14:textId="77777777" w:rsidTr="00D16719">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1E15B7C"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31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7F677C"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5BB1C5CE"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4741D6" w:rsidRPr="0071104F" w14:paraId="3111D24C" w14:textId="77777777" w:rsidTr="00D16719">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336DD4B4" w14:textId="77777777" w:rsidR="004741D6" w:rsidRPr="006808DF" w:rsidRDefault="004741D6" w:rsidP="00D16719">
            <w:pPr>
              <w:rPr>
                <w:rFonts w:ascii="Arial Narrow" w:eastAsia="Times New Roman" w:hAnsi="Arial Narrow"/>
                <w:b/>
                <w:bCs/>
                <w:color w:val="FFFFFF"/>
                <w:sz w:val="22"/>
                <w:szCs w:val="22"/>
              </w:rPr>
            </w:pPr>
          </w:p>
        </w:tc>
        <w:tc>
          <w:tcPr>
            <w:tcW w:w="3162" w:type="dxa"/>
            <w:vMerge/>
            <w:tcBorders>
              <w:top w:val="single" w:sz="8" w:space="0" w:color="auto"/>
              <w:left w:val="single" w:sz="8" w:space="0" w:color="auto"/>
              <w:bottom w:val="nil"/>
              <w:right w:val="single" w:sz="8" w:space="0" w:color="auto"/>
            </w:tcBorders>
            <w:vAlign w:val="center"/>
            <w:hideMark/>
          </w:tcPr>
          <w:p w14:paraId="1785DB21" w14:textId="77777777" w:rsidR="004741D6" w:rsidRPr="006808DF" w:rsidRDefault="004741D6" w:rsidP="00D16719">
            <w:pPr>
              <w:rPr>
                <w:rFonts w:ascii="Arial Narrow" w:eastAsia="Times New Roman" w:hAnsi="Arial Narrow"/>
                <w:b/>
                <w:bCs/>
                <w:color w:val="FFFFFF"/>
                <w:sz w:val="22"/>
                <w:szCs w:val="22"/>
              </w:rPr>
            </w:pPr>
          </w:p>
        </w:tc>
        <w:tc>
          <w:tcPr>
            <w:tcW w:w="2330" w:type="dxa"/>
            <w:tcBorders>
              <w:top w:val="nil"/>
              <w:left w:val="nil"/>
              <w:bottom w:val="nil"/>
              <w:right w:val="single" w:sz="8" w:space="0" w:color="auto"/>
            </w:tcBorders>
            <w:shd w:val="clear" w:color="000000" w:fill="203764"/>
            <w:vAlign w:val="center"/>
            <w:hideMark/>
          </w:tcPr>
          <w:p w14:paraId="05343D62"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1922" w:type="dxa"/>
            <w:tcBorders>
              <w:top w:val="nil"/>
              <w:left w:val="nil"/>
              <w:bottom w:val="nil"/>
              <w:right w:val="single" w:sz="8" w:space="0" w:color="auto"/>
            </w:tcBorders>
            <w:shd w:val="clear" w:color="000000" w:fill="203764"/>
            <w:vAlign w:val="center"/>
            <w:hideMark/>
          </w:tcPr>
          <w:p w14:paraId="40239B83" w14:textId="2CF472FA" w:rsidR="004741D6" w:rsidRPr="0071104F" w:rsidRDefault="0071104F"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6808DF" w14:paraId="6C605A4D" w14:textId="77777777" w:rsidTr="00D16719">
        <w:trPr>
          <w:trHeight w:val="710"/>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BD820E"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683321C2"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212</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0CA3050B" w14:textId="3FA16BAA" w:rsidR="004741D6" w:rsidRPr="006808DF" w:rsidRDefault="004741D6" w:rsidP="00D16719">
            <w:pPr>
              <w:jc w:val="center"/>
              <w:rPr>
                <w:rFonts w:ascii="Arial Narrow" w:eastAsia="Times New Roman" w:hAnsi="Arial Narrow"/>
                <w:b/>
                <w:bCs/>
                <w:color w:val="000000"/>
                <w:sz w:val="22"/>
                <w:szCs w:val="22"/>
              </w:rPr>
            </w:pPr>
          </w:p>
        </w:tc>
        <w:tc>
          <w:tcPr>
            <w:tcW w:w="3162" w:type="dxa"/>
            <w:tcBorders>
              <w:top w:val="single" w:sz="8" w:space="0" w:color="auto"/>
              <w:left w:val="nil"/>
              <w:bottom w:val="single" w:sz="8" w:space="0" w:color="auto"/>
              <w:right w:val="single" w:sz="8" w:space="0" w:color="auto"/>
            </w:tcBorders>
            <w:shd w:val="clear" w:color="auto" w:fill="auto"/>
            <w:vAlign w:val="center"/>
            <w:hideMark/>
          </w:tcPr>
          <w:p w14:paraId="65052A3F"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Evaluación de reversión de una pérdida por deterioro</w:t>
            </w:r>
          </w:p>
        </w:tc>
        <w:tc>
          <w:tcPr>
            <w:tcW w:w="2330" w:type="dxa"/>
            <w:tcBorders>
              <w:top w:val="single" w:sz="8" w:space="0" w:color="auto"/>
              <w:left w:val="nil"/>
              <w:bottom w:val="single" w:sz="8" w:space="0" w:color="auto"/>
              <w:right w:val="single" w:sz="8" w:space="0" w:color="auto"/>
            </w:tcBorders>
            <w:shd w:val="clear" w:color="auto" w:fill="auto"/>
            <w:vAlign w:val="center"/>
            <w:hideMark/>
          </w:tcPr>
          <w:p w14:paraId="12329605" w14:textId="77777777" w:rsidR="004741D6" w:rsidRPr="006808DF" w:rsidRDefault="004741D6" w:rsidP="00D16719">
            <w:pP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21, </w:t>
            </w:r>
          </w:p>
          <w:p w14:paraId="39B1FD35" w14:textId="77777777" w:rsidR="004741D6" w:rsidRPr="006808DF" w:rsidRDefault="004741D6" w:rsidP="006808DF">
            <w:pPr>
              <w:spacing w:after="120"/>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Párrafos 59 a 62 y 66. NICSP Nº 26, </w:t>
            </w:r>
          </w:p>
          <w:p w14:paraId="7C4BA75A" w14:textId="77777777" w:rsidR="004741D6" w:rsidRPr="006808DF" w:rsidRDefault="004741D6" w:rsidP="00D16719">
            <w:pP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Párrafos 99 a 101.</w:t>
            </w:r>
          </w:p>
        </w:tc>
        <w:tc>
          <w:tcPr>
            <w:tcW w:w="1922" w:type="dxa"/>
            <w:tcBorders>
              <w:top w:val="single" w:sz="8" w:space="0" w:color="auto"/>
              <w:left w:val="nil"/>
              <w:bottom w:val="single" w:sz="8" w:space="0" w:color="auto"/>
              <w:right w:val="single" w:sz="8" w:space="0" w:color="auto"/>
            </w:tcBorders>
            <w:shd w:val="clear" w:color="auto" w:fill="auto"/>
            <w:vAlign w:val="center"/>
            <w:hideMark/>
          </w:tcPr>
          <w:p w14:paraId="7D60245F" w14:textId="77777777" w:rsidR="004741D6" w:rsidRPr="006808DF" w:rsidRDefault="004741D6" w:rsidP="00D16719">
            <w:pPr>
              <w:jc w:val="cente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 </w:t>
            </w:r>
          </w:p>
        </w:tc>
      </w:tr>
      <w:tr w:rsidR="004741D6" w:rsidRPr="006808DF" w14:paraId="380E683A" w14:textId="77777777" w:rsidTr="00D16719">
        <w:trPr>
          <w:trHeight w:val="536"/>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47753DAC"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77CBD981"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212</w:t>
            </w:r>
          </w:p>
        </w:tc>
        <w:tc>
          <w:tcPr>
            <w:tcW w:w="539" w:type="dxa"/>
            <w:tcBorders>
              <w:top w:val="nil"/>
              <w:left w:val="nil"/>
              <w:bottom w:val="single" w:sz="8" w:space="0" w:color="auto"/>
              <w:right w:val="single" w:sz="8" w:space="0" w:color="auto"/>
            </w:tcBorders>
            <w:shd w:val="clear" w:color="auto" w:fill="auto"/>
            <w:vAlign w:val="center"/>
            <w:hideMark/>
          </w:tcPr>
          <w:p w14:paraId="62642AE3"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1</w:t>
            </w:r>
          </w:p>
        </w:tc>
        <w:tc>
          <w:tcPr>
            <w:tcW w:w="3162" w:type="dxa"/>
            <w:tcBorders>
              <w:top w:val="nil"/>
              <w:left w:val="nil"/>
              <w:bottom w:val="single" w:sz="8" w:space="0" w:color="auto"/>
              <w:right w:val="single" w:sz="8" w:space="0" w:color="auto"/>
            </w:tcBorders>
            <w:shd w:val="clear" w:color="auto" w:fill="auto"/>
            <w:vAlign w:val="center"/>
            <w:hideMark/>
          </w:tcPr>
          <w:p w14:paraId="37CE3E93"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Efectos adicionales de la evaluación de reversión</w:t>
            </w:r>
          </w:p>
        </w:tc>
        <w:tc>
          <w:tcPr>
            <w:tcW w:w="2330" w:type="dxa"/>
            <w:tcBorders>
              <w:top w:val="nil"/>
              <w:left w:val="nil"/>
              <w:bottom w:val="single" w:sz="8" w:space="0" w:color="auto"/>
              <w:right w:val="single" w:sz="8" w:space="0" w:color="auto"/>
            </w:tcBorders>
            <w:shd w:val="clear" w:color="auto" w:fill="auto"/>
            <w:vAlign w:val="center"/>
            <w:hideMark/>
          </w:tcPr>
          <w:p w14:paraId="7E436DC2"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21, </w:t>
            </w:r>
          </w:p>
          <w:p w14:paraId="7BD69BF1" w14:textId="77777777" w:rsidR="004741D6" w:rsidRPr="006808DF" w:rsidRDefault="004741D6" w:rsidP="006808DF">
            <w:pPr>
              <w:spacing w:after="120"/>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Párrafo 64. </w:t>
            </w:r>
          </w:p>
          <w:p w14:paraId="73295F1D"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1532D166"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 102.</w:t>
            </w:r>
          </w:p>
        </w:tc>
        <w:tc>
          <w:tcPr>
            <w:tcW w:w="1922" w:type="dxa"/>
            <w:tcBorders>
              <w:top w:val="nil"/>
              <w:left w:val="nil"/>
              <w:bottom w:val="single" w:sz="8" w:space="0" w:color="auto"/>
              <w:right w:val="single" w:sz="8" w:space="0" w:color="auto"/>
            </w:tcBorders>
            <w:shd w:val="clear" w:color="auto" w:fill="auto"/>
            <w:vAlign w:val="center"/>
            <w:hideMark/>
          </w:tcPr>
          <w:p w14:paraId="59980541"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DGCN</w:t>
            </w:r>
          </w:p>
        </w:tc>
      </w:tr>
    </w:tbl>
    <w:p w14:paraId="1BC15C34"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p w14:paraId="75AA9A4F" w14:textId="2CEEB94F" w:rsidR="006808DF" w:rsidRDefault="006808DF" w:rsidP="004741D6">
      <w:pPr>
        <w:spacing w:line="250"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795CFB69" w14:textId="77777777" w:rsidR="006808DF" w:rsidRDefault="006808DF" w:rsidP="004741D6">
      <w:pPr>
        <w:spacing w:line="250" w:lineRule="auto"/>
        <w:ind w:left="1134" w:right="260" w:hanging="1134"/>
        <w:jc w:val="both"/>
        <w:rPr>
          <w:rFonts w:ascii="Arial" w:eastAsia="Arial" w:hAnsi="Arial"/>
          <w:bCs/>
          <w:sz w:val="22"/>
          <w:szCs w:val="22"/>
          <w:lang w:val="es-CR"/>
        </w:rPr>
      </w:pPr>
    </w:p>
    <w:p w14:paraId="63FAF647" w14:textId="08F68DCD" w:rsidR="004741D6" w:rsidRPr="00F02F9D" w:rsidRDefault="004741D6" w:rsidP="004741D6">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1.212.0.01</w:t>
      </w:r>
      <w:r w:rsidRPr="00F02F9D">
        <w:rPr>
          <w:rFonts w:ascii="Arial" w:eastAsia="Arial" w:hAnsi="Arial"/>
          <w:bCs/>
          <w:sz w:val="22"/>
          <w:szCs w:val="22"/>
          <w:lang w:val="es-CR"/>
        </w:rPr>
        <w:tab/>
        <w:t xml:space="preserve">En cada fecha sobre la que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informa, deberá evaluarse si existe algún indicio referido a que la pérdida por deterioro del valor de un activo reconocida en un ejercicio anterior haya disminuido o incluso desaparecido. A tales efectos, constituirán indicios la desaparición o mejora en las “Circunstancias que pueden determinar el indicio de deterioro”, según lo establecido en la presente normativa, respecto de las consideradas al momento de la evaluación de deterioro del activo en cuestión. Sólo en caso de existir tales indicios, deberá estimarse nuevamente el monto recuperable del activo.</w:t>
      </w:r>
    </w:p>
    <w:p w14:paraId="2DC6F542" w14:textId="77777777" w:rsidR="004741D6" w:rsidRPr="00F02F9D" w:rsidRDefault="004741D6" w:rsidP="004741D6">
      <w:pPr>
        <w:spacing w:line="344" w:lineRule="exact"/>
        <w:rPr>
          <w:rFonts w:ascii="Arial" w:eastAsia="Times New Roman" w:hAnsi="Arial"/>
          <w:bCs/>
          <w:sz w:val="22"/>
          <w:szCs w:val="22"/>
          <w:lang w:val="es-CR"/>
        </w:rPr>
      </w:pPr>
    </w:p>
    <w:p w14:paraId="44BBBB4B" w14:textId="77777777" w:rsidR="004741D6" w:rsidRPr="00F02F9D" w:rsidRDefault="004741D6" w:rsidP="004741D6">
      <w:pPr>
        <w:spacing w:line="9" w:lineRule="exact"/>
        <w:rPr>
          <w:rFonts w:ascii="Arial" w:eastAsia="Arial" w:hAnsi="Arial"/>
          <w:bCs/>
          <w:sz w:val="22"/>
          <w:szCs w:val="22"/>
          <w:lang w:val="es-CR"/>
        </w:rPr>
      </w:pPr>
      <w:r w:rsidRPr="00F02F9D">
        <w:rPr>
          <w:rFonts w:ascii="Arial" w:eastAsia="Arial" w:hAnsi="Arial"/>
          <w:bCs/>
          <w:sz w:val="22"/>
          <w:szCs w:val="22"/>
          <w:lang w:val="es-CR"/>
        </w:rPr>
        <w:t>1.21</w:t>
      </w:r>
    </w:p>
    <w:p w14:paraId="710D0FAC" w14:textId="24CF2483" w:rsidR="004741D6" w:rsidRPr="00F02F9D" w:rsidRDefault="004741D6" w:rsidP="004741D6">
      <w:pPr>
        <w:spacing w:line="238"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1.212.1.01</w:t>
      </w:r>
      <w:r w:rsidRPr="00F02F9D">
        <w:rPr>
          <w:rFonts w:ascii="Arial" w:eastAsia="Arial" w:hAnsi="Arial"/>
          <w:bCs/>
          <w:sz w:val="22"/>
          <w:szCs w:val="22"/>
          <w:lang w:val="es-CR"/>
        </w:rPr>
        <w:tab/>
        <w:t xml:space="preserve">La existencia de indicios de disminución o desaparición de una pérdida por deterioro, incluso en el caso que finalmente no genere una reversión de dicha pérdida, indica la necesidad de revisar la vida útil del activo, el método de depreciación o amortización y el valor residual, tratándose sus eventuales </w:t>
      </w:r>
      <w:r w:rsidR="00AA22E2" w:rsidRPr="00F02F9D">
        <w:rPr>
          <w:rFonts w:ascii="Arial" w:eastAsia="Arial" w:hAnsi="Arial"/>
          <w:bCs/>
          <w:sz w:val="22"/>
          <w:szCs w:val="22"/>
          <w:lang w:val="es-CR"/>
        </w:rPr>
        <w:t>ca</w:t>
      </w:r>
      <w:r w:rsidR="00AA22E2">
        <w:rPr>
          <w:rFonts w:ascii="Arial" w:eastAsia="Arial" w:hAnsi="Arial"/>
          <w:bCs/>
          <w:sz w:val="22"/>
          <w:szCs w:val="22"/>
          <w:lang w:val="es-CR"/>
        </w:rPr>
        <w:t>mbi</w:t>
      </w:r>
      <w:r w:rsidR="00AA22E2" w:rsidRPr="00F02F9D">
        <w:rPr>
          <w:rFonts w:ascii="Arial" w:eastAsia="Arial" w:hAnsi="Arial"/>
          <w:bCs/>
          <w:sz w:val="22"/>
          <w:szCs w:val="22"/>
          <w:lang w:val="es-CR"/>
        </w:rPr>
        <w:t>os</w:t>
      </w:r>
      <w:r w:rsidRPr="00F02F9D">
        <w:rPr>
          <w:rFonts w:ascii="Arial" w:eastAsia="Arial" w:hAnsi="Arial"/>
          <w:bCs/>
          <w:sz w:val="22"/>
          <w:szCs w:val="22"/>
          <w:lang w:val="es-CR"/>
        </w:rPr>
        <w:t xml:space="preserve"> conforme lo estipulado para cada rubro en la presente normativa</w:t>
      </w:r>
    </w:p>
    <w:p w14:paraId="1D1F3B1D" w14:textId="77777777" w:rsidR="004741D6" w:rsidRPr="00F02F9D" w:rsidRDefault="004741D6" w:rsidP="004741D6">
      <w:pPr>
        <w:spacing w:line="238" w:lineRule="auto"/>
        <w:ind w:left="1134" w:right="260" w:hanging="1134"/>
        <w:jc w:val="both"/>
        <w:rPr>
          <w:rFonts w:ascii="Arial" w:eastAsia="Arial" w:hAnsi="Arial"/>
          <w:bCs/>
          <w:sz w:val="22"/>
          <w:szCs w:val="22"/>
          <w:lang w:val="es-CR"/>
        </w:rPr>
      </w:pPr>
    </w:p>
    <w:p w14:paraId="522B844D"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9"/>
        <w:gridCol w:w="550"/>
        <w:gridCol w:w="539"/>
        <w:gridCol w:w="3162"/>
        <w:gridCol w:w="2326"/>
        <w:gridCol w:w="1926"/>
      </w:tblGrid>
      <w:tr w:rsidR="004741D6" w:rsidRPr="006808DF" w14:paraId="141A42E8" w14:textId="77777777" w:rsidTr="00D16719">
        <w:trPr>
          <w:trHeight w:val="320"/>
        </w:trPr>
        <w:tc>
          <w:tcPr>
            <w:tcW w:w="164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A7F63B9"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31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421A3AC"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0990D3CE"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4741D6" w:rsidRPr="0071104F" w14:paraId="333B3818" w14:textId="77777777" w:rsidTr="00D16719">
        <w:trPr>
          <w:trHeight w:val="320"/>
        </w:trPr>
        <w:tc>
          <w:tcPr>
            <w:tcW w:w="1648" w:type="dxa"/>
            <w:gridSpan w:val="3"/>
            <w:vMerge/>
            <w:tcBorders>
              <w:top w:val="single" w:sz="8" w:space="0" w:color="auto"/>
              <w:left w:val="single" w:sz="8" w:space="0" w:color="auto"/>
              <w:bottom w:val="nil"/>
              <w:right w:val="single" w:sz="8" w:space="0" w:color="000000"/>
            </w:tcBorders>
            <w:vAlign w:val="center"/>
            <w:hideMark/>
          </w:tcPr>
          <w:p w14:paraId="4E85732E" w14:textId="77777777" w:rsidR="004741D6" w:rsidRPr="006808DF" w:rsidRDefault="004741D6" w:rsidP="00D16719">
            <w:pPr>
              <w:rPr>
                <w:rFonts w:ascii="Arial Narrow" w:eastAsia="Times New Roman" w:hAnsi="Arial Narrow"/>
                <w:b/>
                <w:bCs/>
                <w:color w:val="FFFFFF"/>
                <w:sz w:val="22"/>
                <w:szCs w:val="22"/>
              </w:rPr>
            </w:pPr>
          </w:p>
        </w:tc>
        <w:tc>
          <w:tcPr>
            <w:tcW w:w="3162" w:type="dxa"/>
            <w:vMerge/>
            <w:tcBorders>
              <w:top w:val="single" w:sz="8" w:space="0" w:color="auto"/>
              <w:left w:val="single" w:sz="8" w:space="0" w:color="auto"/>
              <w:bottom w:val="nil"/>
              <w:right w:val="single" w:sz="8" w:space="0" w:color="auto"/>
            </w:tcBorders>
            <w:vAlign w:val="center"/>
            <w:hideMark/>
          </w:tcPr>
          <w:p w14:paraId="70A08EB0" w14:textId="77777777" w:rsidR="004741D6" w:rsidRPr="006808DF" w:rsidRDefault="004741D6" w:rsidP="00D16719">
            <w:pPr>
              <w:rPr>
                <w:rFonts w:ascii="Arial Narrow" w:eastAsia="Times New Roman" w:hAnsi="Arial Narrow"/>
                <w:b/>
                <w:bCs/>
                <w:color w:val="FFFFFF"/>
                <w:sz w:val="22"/>
                <w:szCs w:val="22"/>
              </w:rPr>
            </w:pPr>
          </w:p>
        </w:tc>
        <w:tc>
          <w:tcPr>
            <w:tcW w:w="2326" w:type="dxa"/>
            <w:tcBorders>
              <w:top w:val="nil"/>
              <w:left w:val="nil"/>
              <w:bottom w:val="nil"/>
              <w:right w:val="single" w:sz="8" w:space="0" w:color="auto"/>
            </w:tcBorders>
            <w:shd w:val="clear" w:color="000000" w:fill="203764"/>
            <w:vAlign w:val="center"/>
            <w:hideMark/>
          </w:tcPr>
          <w:p w14:paraId="5A8EF41E"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1926" w:type="dxa"/>
            <w:tcBorders>
              <w:top w:val="nil"/>
              <w:left w:val="nil"/>
              <w:bottom w:val="nil"/>
              <w:right w:val="single" w:sz="8" w:space="0" w:color="auto"/>
            </w:tcBorders>
            <w:shd w:val="clear" w:color="000000" w:fill="203764"/>
            <w:vAlign w:val="center"/>
            <w:hideMark/>
          </w:tcPr>
          <w:p w14:paraId="3937F83E" w14:textId="25C91DCB" w:rsidR="004741D6" w:rsidRPr="0071104F" w:rsidRDefault="0071104F"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6808DF" w14:paraId="4DF392A2" w14:textId="77777777" w:rsidTr="00D16719">
        <w:trPr>
          <w:trHeight w:val="864"/>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E3B4D5"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179D0721"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213</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7E2735DC" w14:textId="2EAC213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c>
          <w:tcPr>
            <w:tcW w:w="3162" w:type="dxa"/>
            <w:tcBorders>
              <w:top w:val="single" w:sz="8" w:space="0" w:color="auto"/>
              <w:left w:val="nil"/>
              <w:bottom w:val="single" w:sz="8" w:space="0" w:color="auto"/>
              <w:right w:val="single" w:sz="8" w:space="0" w:color="auto"/>
            </w:tcBorders>
            <w:shd w:val="clear" w:color="auto" w:fill="auto"/>
            <w:vAlign w:val="center"/>
            <w:hideMark/>
          </w:tcPr>
          <w:p w14:paraId="414A2498"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Reconocimiento de reversiones de pérdidas por deterioro</w:t>
            </w:r>
          </w:p>
        </w:tc>
        <w:tc>
          <w:tcPr>
            <w:tcW w:w="2326" w:type="dxa"/>
            <w:tcBorders>
              <w:top w:val="single" w:sz="8" w:space="0" w:color="auto"/>
              <w:left w:val="nil"/>
              <w:bottom w:val="single" w:sz="8" w:space="0" w:color="auto"/>
              <w:right w:val="single" w:sz="8" w:space="0" w:color="auto"/>
            </w:tcBorders>
            <w:shd w:val="clear" w:color="auto" w:fill="auto"/>
            <w:vAlign w:val="center"/>
            <w:hideMark/>
          </w:tcPr>
          <w:p w14:paraId="546AB5CE" w14:textId="77777777" w:rsidR="004741D6" w:rsidRPr="006808DF" w:rsidRDefault="004741D6" w:rsidP="00D16719">
            <w:pP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21, </w:t>
            </w:r>
          </w:p>
          <w:p w14:paraId="1CCD90D5" w14:textId="77777777" w:rsidR="004741D6" w:rsidRPr="006808DF" w:rsidRDefault="004741D6" w:rsidP="006808DF">
            <w:pPr>
              <w:spacing w:after="120"/>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Párrafos 65 y 69.   NICSP Nº 26, </w:t>
            </w:r>
          </w:p>
          <w:p w14:paraId="1539EB90" w14:textId="77777777" w:rsidR="004741D6" w:rsidRPr="006808DF" w:rsidRDefault="004741D6" w:rsidP="00D16719">
            <w:pP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Párrafos 103 y</w:t>
            </w:r>
            <w:r w:rsidRPr="006808DF">
              <w:rPr>
                <w:rFonts w:ascii="Arial Narrow" w:eastAsia="Times New Roman" w:hAnsi="Arial Narrow"/>
                <w:b/>
                <w:bCs/>
                <w:color w:val="000000"/>
                <w:sz w:val="22"/>
                <w:szCs w:val="22"/>
                <w:lang w:val="es-CR"/>
              </w:rPr>
              <w:br/>
              <w:t>108.</w:t>
            </w:r>
          </w:p>
        </w:tc>
        <w:tc>
          <w:tcPr>
            <w:tcW w:w="1926" w:type="dxa"/>
            <w:tcBorders>
              <w:top w:val="single" w:sz="8" w:space="0" w:color="auto"/>
              <w:left w:val="nil"/>
              <w:bottom w:val="single" w:sz="8" w:space="0" w:color="auto"/>
              <w:right w:val="single" w:sz="8" w:space="0" w:color="auto"/>
            </w:tcBorders>
            <w:shd w:val="clear" w:color="auto" w:fill="auto"/>
            <w:vAlign w:val="center"/>
            <w:hideMark/>
          </w:tcPr>
          <w:p w14:paraId="6A0E9EEB" w14:textId="77777777" w:rsidR="004741D6" w:rsidRPr="006808DF" w:rsidRDefault="004741D6" w:rsidP="00D16719">
            <w:pPr>
              <w:jc w:val="cente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 </w:t>
            </w:r>
          </w:p>
        </w:tc>
      </w:tr>
      <w:tr w:rsidR="004741D6" w:rsidRPr="006808DF" w14:paraId="534D1269" w14:textId="77777777" w:rsidTr="00D16719">
        <w:trPr>
          <w:trHeight w:val="122"/>
        </w:trPr>
        <w:tc>
          <w:tcPr>
            <w:tcW w:w="559" w:type="dxa"/>
            <w:tcBorders>
              <w:top w:val="nil"/>
              <w:left w:val="single" w:sz="8" w:space="0" w:color="auto"/>
              <w:bottom w:val="single" w:sz="8" w:space="0" w:color="auto"/>
              <w:right w:val="single" w:sz="8" w:space="0" w:color="auto"/>
            </w:tcBorders>
            <w:shd w:val="clear" w:color="auto" w:fill="auto"/>
            <w:vAlign w:val="center"/>
            <w:hideMark/>
          </w:tcPr>
          <w:p w14:paraId="144D34F5"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50" w:type="dxa"/>
            <w:tcBorders>
              <w:top w:val="nil"/>
              <w:left w:val="nil"/>
              <w:bottom w:val="single" w:sz="8" w:space="0" w:color="auto"/>
              <w:right w:val="single" w:sz="8" w:space="0" w:color="auto"/>
            </w:tcBorders>
            <w:shd w:val="clear" w:color="auto" w:fill="auto"/>
            <w:noWrap/>
            <w:vAlign w:val="center"/>
            <w:hideMark/>
          </w:tcPr>
          <w:p w14:paraId="70F56841"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213</w:t>
            </w:r>
          </w:p>
        </w:tc>
        <w:tc>
          <w:tcPr>
            <w:tcW w:w="539" w:type="dxa"/>
            <w:tcBorders>
              <w:top w:val="nil"/>
              <w:left w:val="nil"/>
              <w:bottom w:val="single" w:sz="8" w:space="0" w:color="auto"/>
              <w:right w:val="single" w:sz="8" w:space="0" w:color="auto"/>
            </w:tcBorders>
            <w:shd w:val="clear" w:color="auto" w:fill="auto"/>
            <w:vAlign w:val="center"/>
            <w:hideMark/>
          </w:tcPr>
          <w:p w14:paraId="11AD69DF"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1</w:t>
            </w:r>
          </w:p>
        </w:tc>
        <w:tc>
          <w:tcPr>
            <w:tcW w:w="3162" w:type="dxa"/>
            <w:tcBorders>
              <w:top w:val="nil"/>
              <w:left w:val="nil"/>
              <w:bottom w:val="single" w:sz="8" w:space="0" w:color="auto"/>
              <w:right w:val="single" w:sz="8" w:space="0" w:color="auto"/>
            </w:tcBorders>
            <w:shd w:val="clear" w:color="auto" w:fill="auto"/>
            <w:vAlign w:val="center"/>
            <w:hideMark/>
          </w:tcPr>
          <w:p w14:paraId="44C344FC"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Monto recuperable mayor al importe en libros del activo</w:t>
            </w:r>
          </w:p>
        </w:tc>
        <w:tc>
          <w:tcPr>
            <w:tcW w:w="2326" w:type="dxa"/>
            <w:tcBorders>
              <w:top w:val="nil"/>
              <w:left w:val="nil"/>
              <w:bottom w:val="single" w:sz="8" w:space="0" w:color="auto"/>
              <w:right w:val="single" w:sz="8" w:space="0" w:color="auto"/>
            </w:tcBorders>
            <w:shd w:val="clear" w:color="auto" w:fill="auto"/>
            <w:vAlign w:val="center"/>
            <w:hideMark/>
          </w:tcPr>
          <w:p w14:paraId="123A6180"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21, </w:t>
            </w:r>
          </w:p>
          <w:p w14:paraId="64BB18D4" w14:textId="77777777" w:rsidR="004741D6" w:rsidRPr="006808DF" w:rsidRDefault="004741D6" w:rsidP="006808DF">
            <w:pPr>
              <w:spacing w:after="120"/>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Párrafo 68. </w:t>
            </w:r>
          </w:p>
          <w:p w14:paraId="78B47918"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NICSP Nº 26, </w:t>
            </w:r>
          </w:p>
          <w:p w14:paraId="3E968621"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Párrafo 106.</w:t>
            </w:r>
          </w:p>
        </w:tc>
        <w:tc>
          <w:tcPr>
            <w:tcW w:w="1926" w:type="dxa"/>
            <w:tcBorders>
              <w:top w:val="nil"/>
              <w:left w:val="nil"/>
              <w:bottom w:val="single" w:sz="8" w:space="0" w:color="auto"/>
              <w:right w:val="single" w:sz="8" w:space="0" w:color="auto"/>
            </w:tcBorders>
            <w:shd w:val="clear" w:color="auto" w:fill="auto"/>
            <w:vAlign w:val="center"/>
            <w:hideMark/>
          </w:tcPr>
          <w:p w14:paraId="2FA475EF"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DGCN</w:t>
            </w:r>
          </w:p>
        </w:tc>
      </w:tr>
    </w:tbl>
    <w:p w14:paraId="4EC83603" w14:textId="77777777" w:rsidR="004741D6" w:rsidRDefault="004741D6" w:rsidP="004741D6">
      <w:pPr>
        <w:spacing w:line="238" w:lineRule="auto"/>
        <w:ind w:left="1134" w:right="260" w:hanging="1134"/>
        <w:jc w:val="both"/>
        <w:rPr>
          <w:rFonts w:ascii="Arial" w:eastAsia="Arial" w:hAnsi="Arial"/>
          <w:b/>
          <w:sz w:val="22"/>
          <w:szCs w:val="22"/>
          <w:lang w:val="es-CR"/>
        </w:rPr>
      </w:pPr>
    </w:p>
    <w:p w14:paraId="43232B74" w14:textId="3746CD6B" w:rsidR="006808DF" w:rsidRDefault="006808DF"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5BF5760A" w14:textId="77777777" w:rsidR="006808DF" w:rsidRPr="00F02F9D" w:rsidRDefault="006808DF" w:rsidP="004741D6">
      <w:pPr>
        <w:spacing w:line="238" w:lineRule="auto"/>
        <w:ind w:left="1134" w:right="260" w:hanging="1134"/>
        <w:jc w:val="both"/>
        <w:rPr>
          <w:rFonts w:ascii="Arial" w:eastAsia="Arial" w:hAnsi="Arial"/>
          <w:b/>
          <w:sz w:val="22"/>
          <w:szCs w:val="22"/>
          <w:lang w:val="es-CR"/>
        </w:rPr>
      </w:pPr>
    </w:p>
    <w:p w14:paraId="71CCF232" w14:textId="3A1DF0C9" w:rsidR="004741D6" w:rsidRPr="00F02F9D" w:rsidRDefault="004741D6" w:rsidP="004741D6">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1.213.0.01</w:t>
      </w:r>
      <w:r w:rsidRPr="00F02F9D">
        <w:rPr>
          <w:rFonts w:ascii="Arial" w:eastAsia="Arial" w:hAnsi="Arial"/>
          <w:bCs/>
          <w:sz w:val="22"/>
          <w:szCs w:val="22"/>
          <w:lang w:val="es-CR"/>
        </w:rPr>
        <w:tab/>
        <w:t xml:space="preserve">En caso de que 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el monto recuperable de un activo sea superior a su importe en libros, neto de la pérdida por deterioro acumulada reconocida, dicho importe en libros debe incrementarse (mediante una disminución de la pérdida por deterioro acumulada) hasta alcanzar aquel monto o hasta eliminar totalmente la pérdida por deterioro acumulada, lo que ocurra primero. El importe por el que se reduce la pérdida por deterioro, se reconocerá en el resultado del ejercicio, con carácter de reversión de pérdida por deterioro.</w:t>
      </w:r>
    </w:p>
    <w:p w14:paraId="5E745196" w14:textId="77777777" w:rsidR="004741D6" w:rsidRPr="00B5026F" w:rsidRDefault="004741D6" w:rsidP="004741D6">
      <w:pPr>
        <w:spacing w:line="276" w:lineRule="exact"/>
        <w:rPr>
          <w:rFonts w:ascii="Arial" w:eastAsia="Times New Roman" w:hAnsi="Arial"/>
          <w:bCs/>
          <w:sz w:val="22"/>
          <w:szCs w:val="22"/>
          <w:lang w:val="es-CR"/>
        </w:rPr>
      </w:pPr>
    </w:p>
    <w:p w14:paraId="2F6AD736" w14:textId="77777777" w:rsidR="004741D6" w:rsidRPr="00F02F9D" w:rsidRDefault="004741D6" w:rsidP="004741D6">
      <w:pPr>
        <w:spacing w:line="9" w:lineRule="exact"/>
        <w:rPr>
          <w:rFonts w:ascii="Arial" w:eastAsia="Arial" w:hAnsi="Arial"/>
          <w:bCs/>
          <w:sz w:val="22"/>
          <w:szCs w:val="22"/>
          <w:lang w:val="es-CR"/>
        </w:rPr>
      </w:pPr>
    </w:p>
    <w:p w14:paraId="30CF05CA" w14:textId="77777777" w:rsidR="004741D6" w:rsidRPr="00F02F9D" w:rsidRDefault="004741D6" w:rsidP="004741D6">
      <w:pPr>
        <w:spacing w:line="250"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1.213.1.01</w:t>
      </w:r>
      <w:r w:rsidRPr="00F02F9D">
        <w:rPr>
          <w:rFonts w:ascii="Arial" w:eastAsia="Arial" w:hAnsi="Arial"/>
          <w:bCs/>
          <w:sz w:val="22"/>
          <w:szCs w:val="22"/>
          <w:lang w:val="es-CR"/>
        </w:rPr>
        <w:tab/>
        <w:t>En ningún caso el importe en libros del activo, después de revertir la pérdida por deterioro, podrá exceder al importe en libros que se hubiera obtenido, neto de depreciaciones o amortizaciones acumuladas, de no haberse reconocido ninguna pérdida por deterioro en ejercicios anteriores.</w:t>
      </w:r>
    </w:p>
    <w:p w14:paraId="111DE1B0" w14:textId="77777777" w:rsidR="004741D6" w:rsidRDefault="004741D6" w:rsidP="004741D6">
      <w:pPr>
        <w:spacing w:line="238" w:lineRule="auto"/>
        <w:ind w:left="1134" w:right="260" w:hanging="1134"/>
        <w:jc w:val="both"/>
        <w:rPr>
          <w:rFonts w:ascii="Arial" w:eastAsia="Arial" w:hAnsi="Arial"/>
          <w:b/>
          <w:sz w:val="22"/>
          <w:szCs w:val="22"/>
          <w:lang w:val="es-CR"/>
        </w:rPr>
      </w:pPr>
    </w:p>
    <w:p w14:paraId="1DB270C8" w14:textId="77777777" w:rsidR="006808DF" w:rsidRPr="00F02F9D" w:rsidRDefault="006808DF" w:rsidP="004741D6">
      <w:pPr>
        <w:spacing w:line="238" w:lineRule="auto"/>
        <w:ind w:left="1134" w:right="260" w:hanging="1134"/>
        <w:jc w:val="both"/>
        <w:rPr>
          <w:rFonts w:ascii="Arial" w:eastAsia="Arial" w:hAnsi="Arial"/>
          <w:b/>
          <w:sz w:val="22"/>
          <w:szCs w:val="22"/>
          <w:lang w:val="es-CR"/>
        </w:rPr>
      </w:pPr>
    </w:p>
    <w:p w14:paraId="4267E578"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tbl>
      <w:tblPr>
        <w:tblW w:w="8880" w:type="dxa"/>
        <w:tblLook w:val="04A0" w:firstRow="1" w:lastRow="0" w:firstColumn="1" w:lastColumn="0" w:noHBand="0" w:noVBand="1"/>
      </w:tblPr>
      <w:tblGrid>
        <w:gridCol w:w="561"/>
        <w:gridCol w:w="517"/>
        <w:gridCol w:w="539"/>
        <w:gridCol w:w="2836"/>
        <w:gridCol w:w="2338"/>
        <w:gridCol w:w="2089"/>
      </w:tblGrid>
      <w:tr w:rsidR="004741D6" w:rsidRPr="006808DF" w14:paraId="14BC81ED" w14:textId="77777777" w:rsidTr="00D16719">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6DAFFD7"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286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A95AD61"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460" w:type="dxa"/>
            <w:gridSpan w:val="2"/>
            <w:tcBorders>
              <w:top w:val="single" w:sz="8" w:space="0" w:color="auto"/>
              <w:left w:val="nil"/>
              <w:bottom w:val="single" w:sz="8" w:space="0" w:color="auto"/>
              <w:right w:val="single" w:sz="8" w:space="0" w:color="000000"/>
            </w:tcBorders>
            <w:shd w:val="clear" w:color="000000" w:fill="203764"/>
            <w:vAlign w:val="center"/>
            <w:hideMark/>
          </w:tcPr>
          <w:p w14:paraId="1B2926A6"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4741D6" w:rsidRPr="0071104F" w14:paraId="78DF7A05" w14:textId="77777777" w:rsidTr="00D16719">
        <w:trPr>
          <w:trHeight w:val="320"/>
        </w:trPr>
        <w:tc>
          <w:tcPr>
            <w:tcW w:w="1560" w:type="dxa"/>
            <w:gridSpan w:val="3"/>
            <w:vMerge/>
            <w:tcBorders>
              <w:top w:val="single" w:sz="8" w:space="0" w:color="auto"/>
              <w:left w:val="single" w:sz="8" w:space="0" w:color="auto"/>
              <w:bottom w:val="nil"/>
              <w:right w:val="single" w:sz="8" w:space="0" w:color="000000"/>
            </w:tcBorders>
            <w:vAlign w:val="center"/>
            <w:hideMark/>
          </w:tcPr>
          <w:p w14:paraId="1ED12FDA" w14:textId="77777777" w:rsidR="004741D6" w:rsidRPr="006808DF" w:rsidRDefault="004741D6" w:rsidP="00D16719">
            <w:pPr>
              <w:rPr>
                <w:rFonts w:ascii="Arial Narrow" w:eastAsia="Times New Roman" w:hAnsi="Arial Narrow"/>
                <w:b/>
                <w:bCs/>
                <w:color w:val="FFFFFF"/>
                <w:sz w:val="22"/>
                <w:szCs w:val="22"/>
              </w:rPr>
            </w:pPr>
          </w:p>
        </w:tc>
        <w:tc>
          <w:tcPr>
            <w:tcW w:w="2860" w:type="dxa"/>
            <w:vMerge/>
            <w:tcBorders>
              <w:top w:val="single" w:sz="8" w:space="0" w:color="auto"/>
              <w:left w:val="single" w:sz="8" w:space="0" w:color="auto"/>
              <w:bottom w:val="nil"/>
              <w:right w:val="single" w:sz="8" w:space="0" w:color="auto"/>
            </w:tcBorders>
            <w:vAlign w:val="center"/>
            <w:hideMark/>
          </w:tcPr>
          <w:p w14:paraId="5A256E00" w14:textId="77777777" w:rsidR="004741D6" w:rsidRPr="006808DF" w:rsidRDefault="004741D6" w:rsidP="00D16719">
            <w:pPr>
              <w:rPr>
                <w:rFonts w:ascii="Arial Narrow" w:eastAsia="Times New Roman" w:hAnsi="Arial Narrow"/>
                <w:b/>
                <w:bCs/>
                <w:color w:val="FFFFFF"/>
                <w:sz w:val="22"/>
                <w:szCs w:val="22"/>
              </w:rPr>
            </w:pPr>
          </w:p>
        </w:tc>
        <w:tc>
          <w:tcPr>
            <w:tcW w:w="2360" w:type="dxa"/>
            <w:tcBorders>
              <w:top w:val="nil"/>
              <w:left w:val="nil"/>
              <w:bottom w:val="nil"/>
              <w:right w:val="single" w:sz="8" w:space="0" w:color="auto"/>
            </w:tcBorders>
            <w:shd w:val="clear" w:color="000000" w:fill="203764"/>
            <w:vAlign w:val="center"/>
            <w:hideMark/>
          </w:tcPr>
          <w:p w14:paraId="68F9CB7E"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52008447" w14:textId="06C7F3A0" w:rsidR="004741D6" w:rsidRPr="0071104F" w:rsidRDefault="0071104F"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6808DF" w14:paraId="3BDE452D" w14:textId="77777777" w:rsidTr="00D16719">
        <w:trPr>
          <w:trHeight w:val="776"/>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59170A"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451" w:type="dxa"/>
            <w:tcBorders>
              <w:top w:val="single" w:sz="8" w:space="0" w:color="auto"/>
              <w:left w:val="nil"/>
              <w:bottom w:val="single" w:sz="8" w:space="0" w:color="auto"/>
              <w:right w:val="single" w:sz="8" w:space="0" w:color="auto"/>
            </w:tcBorders>
            <w:shd w:val="clear" w:color="auto" w:fill="auto"/>
            <w:noWrap/>
            <w:vAlign w:val="center"/>
            <w:hideMark/>
          </w:tcPr>
          <w:p w14:paraId="64D5B2F9"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214</w:t>
            </w:r>
          </w:p>
        </w:tc>
        <w:tc>
          <w:tcPr>
            <w:tcW w:w="544" w:type="dxa"/>
            <w:tcBorders>
              <w:top w:val="single" w:sz="8" w:space="0" w:color="auto"/>
              <w:left w:val="nil"/>
              <w:bottom w:val="single" w:sz="8" w:space="0" w:color="auto"/>
              <w:right w:val="single" w:sz="8" w:space="0" w:color="auto"/>
            </w:tcBorders>
            <w:shd w:val="clear" w:color="auto" w:fill="auto"/>
            <w:vAlign w:val="center"/>
            <w:hideMark/>
          </w:tcPr>
          <w:p w14:paraId="753FDA36" w14:textId="1C830743"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2DA34F11"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Reversión de pérdidas por deterioro para unidades generadoras de efectivo</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6D1D05FB" w14:textId="77777777" w:rsidR="004741D6" w:rsidRPr="006808DF" w:rsidRDefault="004741D6" w:rsidP="00D16719">
            <w:pP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NICSP Nº 26, </w:t>
            </w:r>
          </w:p>
          <w:p w14:paraId="0D7B60FA" w14:textId="77777777" w:rsidR="004741D6" w:rsidRPr="006808DF" w:rsidRDefault="004741D6" w:rsidP="00D16719">
            <w:pP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Párrafos 110 y 111.</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514414C9"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 xml:space="preserve"> </w:t>
            </w:r>
          </w:p>
        </w:tc>
      </w:tr>
    </w:tbl>
    <w:p w14:paraId="5910A73D" w14:textId="77777777" w:rsidR="004741D6" w:rsidRDefault="004741D6" w:rsidP="004741D6">
      <w:pPr>
        <w:spacing w:line="238" w:lineRule="auto"/>
        <w:ind w:left="1134" w:right="260" w:hanging="1134"/>
        <w:jc w:val="both"/>
        <w:rPr>
          <w:rFonts w:ascii="Arial" w:eastAsia="Arial" w:hAnsi="Arial"/>
          <w:b/>
          <w:sz w:val="22"/>
          <w:szCs w:val="22"/>
          <w:lang w:val="es-CR"/>
        </w:rPr>
      </w:pPr>
    </w:p>
    <w:p w14:paraId="31140286" w14:textId="67B19B41" w:rsidR="006808DF" w:rsidRDefault="006808DF"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6C58745D" w14:textId="77777777" w:rsidR="006808DF" w:rsidRPr="00F02F9D" w:rsidRDefault="006808DF" w:rsidP="004741D6">
      <w:pPr>
        <w:spacing w:line="238" w:lineRule="auto"/>
        <w:ind w:left="1134" w:right="260" w:hanging="1134"/>
        <w:jc w:val="both"/>
        <w:rPr>
          <w:rFonts w:ascii="Arial" w:eastAsia="Arial" w:hAnsi="Arial"/>
          <w:b/>
          <w:sz w:val="22"/>
          <w:szCs w:val="22"/>
          <w:lang w:val="es-CR"/>
        </w:rPr>
      </w:pPr>
    </w:p>
    <w:p w14:paraId="6EECAB78" w14:textId="25319E45" w:rsidR="004741D6" w:rsidRPr="00F02F9D" w:rsidRDefault="004741D6" w:rsidP="004741D6">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1.214.0.01</w:t>
      </w:r>
      <w:r w:rsidRPr="00F02F9D">
        <w:rPr>
          <w:rFonts w:ascii="Arial" w:eastAsia="Arial" w:hAnsi="Arial"/>
          <w:bCs/>
          <w:sz w:val="22"/>
          <w:szCs w:val="22"/>
          <w:lang w:val="es-CR"/>
        </w:rPr>
        <w:tab/>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la reversión de pérdidas por deterioro del valor de una unidad generadora de efectivo se distribuirá entre los activos que integran dicha unidad, proporcionalmente al importe en libros de cada uno.</w:t>
      </w:r>
    </w:p>
    <w:p w14:paraId="087B1268" w14:textId="77777777" w:rsidR="004741D6" w:rsidRPr="00F02F9D" w:rsidRDefault="004741D6" w:rsidP="004741D6">
      <w:pPr>
        <w:spacing w:line="286" w:lineRule="exact"/>
        <w:rPr>
          <w:rFonts w:ascii="Arial" w:eastAsia="Times New Roman" w:hAnsi="Arial"/>
          <w:bCs/>
          <w:sz w:val="22"/>
          <w:szCs w:val="22"/>
          <w:lang w:val="es-CR"/>
        </w:rPr>
      </w:pPr>
    </w:p>
    <w:p w14:paraId="747DE456" w14:textId="1874FF9C" w:rsidR="004741D6" w:rsidRDefault="004741D6" w:rsidP="006808DF">
      <w:pPr>
        <w:spacing w:line="237" w:lineRule="auto"/>
        <w:ind w:left="1134" w:right="260" w:hanging="1134"/>
        <w:jc w:val="both"/>
        <w:rPr>
          <w:rFonts w:ascii="Arial" w:eastAsia="Arial" w:hAnsi="Arial"/>
          <w:bCs/>
          <w:sz w:val="22"/>
          <w:szCs w:val="22"/>
          <w:lang w:val="es-CR"/>
        </w:rPr>
      </w:pPr>
      <w:r w:rsidRPr="00F02F9D">
        <w:rPr>
          <w:rFonts w:ascii="Arial" w:eastAsia="Arial" w:hAnsi="Arial"/>
          <w:bCs/>
          <w:sz w:val="22"/>
          <w:szCs w:val="22"/>
          <w:lang w:val="es-CR"/>
        </w:rPr>
        <w:t>1.214.0.02</w:t>
      </w:r>
      <w:r w:rsidRPr="00F02F9D">
        <w:rPr>
          <w:rFonts w:ascii="Arial" w:eastAsia="Arial" w:hAnsi="Arial"/>
          <w:bCs/>
          <w:sz w:val="22"/>
          <w:szCs w:val="22"/>
          <w:lang w:val="es-CR"/>
        </w:rPr>
        <w:tab/>
        <w:t>El importe en libros de cada activo individual que integra la unidad generadora de efectivo, en ningún caso se incrementará por encima de su importe recuperable individual (si se pudiese determinar) o del importe en libros que se hubiera obtenido, neto de depreciaciones o amortizaciones acumuladas, de no haberse reconocido ninguna pérdida por deterioro en ejercicios anteriores. La porción de la reversión de pérdidas por deterioro de la unidad generadora de efectivo que no pueda ser distribuida a un activo como consecuencia de ello, se distribuirá entre</w:t>
      </w:r>
      <w:bookmarkStart w:id="73" w:name="page78"/>
      <w:bookmarkEnd w:id="73"/>
      <w:r w:rsidRPr="00F02F9D">
        <w:rPr>
          <w:rFonts w:ascii="Arial" w:eastAsia="Arial" w:hAnsi="Arial"/>
          <w:bCs/>
          <w:sz w:val="22"/>
          <w:szCs w:val="22"/>
          <w:lang w:val="es-CR"/>
        </w:rPr>
        <w:t xml:space="preserve"> los restantes activos que integran la unidad, en la misma proporción indicada en el párrafo anterior.</w:t>
      </w:r>
    </w:p>
    <w:p w14:paraId="29786521" w14:textId="77777777" w:rsidR="006808DF" w:rsidRPr="00F02F9D" w:rsidRDefault="006808DF" w:rsidP="006808DF">
      <w:pPr>
        <w:spacing w:line="237" w:lineRule="auto"/>
        <w:ind w:left="1134" w:right="260" w:hanging="1134"/>
        <w:jc w:val="both"/>
        <w:rPr>
          <w:rFonts w:ascii="Arial" w:eastAsia="Arial" w:hAnsi="Arial"/>
          <w:bCs/>
          <w:sz w:val="22"/>
          <w:szCs w:val="22"/>
          <w:lang w:val="es-CR"/>
        </w:rPr>
      </w:pPr>
    </w:p>
    <w:p w14:paraId="1CADBF2A"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8"/>
        <w:gridCol w:w="584"/>
        <w:gridCol w:w="537"/>
        <w:gridCol w:w="3149"/>
        <w:gridCol w:w="2317"/>
        <w:gridCol w:w="1917"/>
      </w:tblGrid>
      <w:tr w:rsidR="004741D6" w:rsidRPr="006808DF" w14:paraId="7785382D" w14:textId="77777777" w:rsidTr="00D16719">
        <w:trPr>
          <w:trHeight w:val="320"/>
        </w:trPr>
        <w:tc>
          <w:tcPr>
            <w:tcW w:w="167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08B74EA"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 / Política</w:t>
            </w:r>
          </w:p>
        </w:tc>
        <w:tc>
          <w:tcPr>
            <w:tcW w:w="3149" w:type="dxa"/>
            <w:vMerge w:val="restart"/>
            <w:tcBorders>
              <w:top w:val="single" w:sz="8" w:space="0" w:color="auto"/>
              <w:left w:val="single" w:sz="8" w:space="0" w:color="auto"/>
              <w:bottom w:val="nil"/>
              <w:right w:val="single" w:sz="8" w:space="0" w:color="auto"/>
            </w:tcBorders>
            <w:shd w:val="clear" w:color="000000" w:fill="203764"/>
            <w:vAlign w:val="center"/>
            <w:hideMark/>
          </w:tcPr>
          <w:p w14:paraId="111119DD"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Concepto</w:t>
            </w:r>
          </w:p>
        </w:tc>
        <w:tc>
          <w:tcPr>
            <w:tcW w:w="4234" w:type="dxa"/>
            <w:gridSpan w:val="2"/>
            <w:tcBorders>
              <w:top w:val="single" w:sz="8" w:space="0" w:color="auto"/>
              <w:left w:val="nil"/>
              <w:bottom w:val="single" w:sz="8" w:space="0" w:color="auto"/>
              <w:right w:val="single" w:sz="8" w:space="0" w:color="000000"/>
            </w:tcBorders>
            <w:shd w:val="clear" w:color="000000" w:fill="203764"/>
            <w:vAlign w:val="center"/>
            <w:hideMark/>
          </w:tcPr>
          <w:p w14:paraId="5819F97E"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Referencia</w:t>
            </w:r>
          </w:p>
        </w:tc>
      </w:tr>
      <w:tr w:rsidR="004741D6" w:rsidRPr="0071104F" w14:paraId="4EB7F82E" w14:textId="77777777" w:rsidTr="00D16719">
        <w:trPr>
          <w:trHeight w:val="320"/>
        </w:trPr>
        <w:tc>
          <w:tcPr>
            <w:tcW w:w="1679" w:type="dxa"/>
            <w:gridSpan w:val="3"/>
            <w:vMerge/>
            <w:tcBorders>
              <w:top w:val="single" w:sz="8" w:space="0" w:color="auto"/>
              <w:left w:val="single" w:sz="8" w:space="0" w:color="auto"/>
              <w:bottom w:val="nil"/>
              <w:right w:val="single" w:sz="8" w:space="0" w:color="000000"/>
            </w:tcBorders>
            <w:vAlign w:val="center"/>
            <w:hideMark/>
          </w:tcPr>
          <w:p w14:paraId="4CC91BA5" w14:textId="77777777" w:rsidR="004741D6" w:rsidRPr="006808DF" w:rsidRDefault="004741D6" w:rsidP="00D16719">
            <w:pPr>
              <w:rPr>
                <w:rFonts w:ascii="Arial Narrow" w:eastAsia="Times New Roman" w:hAnsi="Arial Narrow"/>
                <w:b/>
                <w:bCs/>
                <w:color w:val="FFFFFF"/>
                <w:sz w:val="22"/>
                <w:szCs w:val="22"/>
              </w:rPr>
            </w:pPr>
          </w:p>
        </w:tc>
        <w:tc>
          <w:tcPr>
            <w:tcW w:w="3149" w:type="dxa"/>
            <w:vMerge/>
            <w:tcBorders>
              <w:top w:val="single" w:sz="8" w:space="0" w:color="auto"/>
              <w:left w:val="single" w:sz="8" w:space="0" w:color="auto"/>
              <w:bottom w:val="nil"/>
              <w:right w:val="single" w:sz="8" w:space="0" w:color="auto"/>
            </w:tcBorders>
            <w:vAlign w:val="center"/>
            <w:hideMark/>
          </w:tcPr>
          <w:p w14:paraId="5A36682D" w14:textId="77777777" w:rsidR="004741D6" w:rsidRPr="006808DF" w:rsidRDefault="004741D6" w:rsidP="00D16719">
            <w:pPr>
              <w:rPr>
                <w:rFonts w:ascii="Arial Narrow" w:eastAsia="Times New Roman" w:hAnsi="Arial Narrow"/>
                <w:b/>
                <w:bCs/>
                <w:color w:val="FFFFFF"/>
                <w:sz w:val="22"/>
                <w:szCs w:val="22"/>
              </w:rPr>
            </w:pPr>
          </w:p>
        </w:tc>
        <w:tc>
          <w:tcPr>
            <w:tcW w:w="2317" w:type="dxa"/>
            <w:tcBorders>
              <w:top w:val="nil"/>
              <w:left w:val="nil"/>
              <w:bottom w:val="nil"/>
              <w:right w:val="single" w:sz="8" w:space="0" w:color="auto"/>
            </w:tcBorders>
            <w:shd w:val="clear" w:color="000000" w:fill="203764"/>
            <w:vAlign w:val="center"/>
            <w:hideMark/>
          </w:tcPr>
          <w:p w14:paraId="74475B04" w14:textId="77777777" w:rsidR="004741D6" w:rsidRPr="006808DF" w:rsidRDefault="004741D6" w:rsidP="00D16719">
            <w:pPr>
              <w:jc w:val="center"/>
              <w:rPr>
                <w:rFonts w:ascii="Arial Narrow" w:eastAsia="Times New Roman" w:hAnsi="Arial Narrow"/>
                <w:b/>
                <w:bCs/>
                <w:color w:val="FFFFFF"/>
                <w:sz w:val="22"/>
                <w:szCs w:val="22"/>
              </w:rPr>
            </w:pPr>
            <w:r w:rsidRPr="006808DF">
              <w:rPr>
                <w:rFonts w:ascii="Arial Narrow" w:eastAsia="Times New Roman" w:hAnsi="Arial Narrow"/>
                <w:b/>
                <w:bCs/>
                <w:color w:val="FFFFFF"/>
                <w:sz w:val="22"/>
                <w:szCs w:val="22"/>
              </w:rPr>
              <w:t>Norma</w:t>
            </w:r>
          </w:p>
        </w:tc>
        <w:tc>
          <w:tcPr>
            <w:tcW w:w="1917" w:type="dxa"/>
            <w:tcBorders>
              <w:top w:val="nil"/>
              <w:left w:val="nil"/>
              <w:bottom w:val="nil"/>
              <w:right w:val="single" w:sz="8" w:space="0" w:color="auto"/>
            </w:tcBorders>
            <w:shd w:val="clear" w:color="000000" w:fill="203764"/>
            <w:vAlign w:val="center"/>
            <w:hideMark/>
          </w:tcPr>
          <w:p w14:paraId="707B8C08" w14:textId="55C616D0" w:rsidR="004741D6" w:rsidRPr="0071104F" w:rsidRDefault="0071104F"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6808DF" w14:paraId="5111C2CB" w14:textId="77777777" w:rsidTr="00D16719">
        <w:trPr>
          <w:trHeight w:val="507"/>
        </w:trPr>
        <w:tc>
          <w:tcPr>
            <w:tcW w:w="5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B8DE7F"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lang w:val="es-CR"/>
              </w:rPr>
              <w:t>1</w:t>
            </w:r>
          </w:p>
        </w:tc>
        <w:tc>
          <w:tcPr>
            <w:tcW w:w="584" w:type="dxa"/>
            <w:tcBorders>
              <w:top w:val="single" w:sz="8" w:space="0" w:color="auto"/>
              <w:left w:val="nil"/>
              <w:bottom w:val="single" w:sz="8" w:space="0" w:color="auto"/>
              <w:right w:val="single" w:sz="8" w:space="0" w:color="auto"/>
            </w:tcBorders>
            <w:shd w:val="clear" w:color="auto" w:fill="auto"/>
            <w:noWrap/>
            <w:vAlign w:val="center"/>
            <w:hideMark/>
          </w:tcPr>
          <w:p w14:paraId="093C6331" w14:textId="77777777" w:rsidR="004741D6" w:rsidRPr="006808DF" w:rsidRDefault="004741D6" w:rsidP="00D16719">
            <w:pPr>
              <w:jc w:val="center"/>
              <w:rPr>
                <w:rFonts w:ascii="Arial Narrow" w:eastAsia="Times New Roman" w:hAnsi="Arial Narrow"/>
                <w:b/>
                <w:bCs/>
                <w:color w:val="000000"/>
                <w:sz w:val="22"/>
                <w:szCs w:val="22"/>
              </w:rPr>
            </w:pPr>
            <w:r w:rsidRPr="006808DF">
              <w:rPr>
                <w:rFonts w:ascii="Arial Narrow" w:eastAsia="Times New Roman" w:hAnsi="Arial Narrow"/>
                <w:b/>
                <w:bCs/>
                <w:color w:val="000000"/>
                <w:sz w:val="22"/>
                <w:szCs w:val="22"/>
              </w:rPr>
              <w:t>215</w:t>
            </w:r>
          </w:p>
        </w:tc>
        <w:tc>
          <w:tcPr>
            <w:tcW w:w="537" w:type="dxa"/>
            <w:tcBorders>
              <w:top w:val="single" w:sz="8" w:space="0" w:color="auto"/>
              <w:left w:val="nil"/>
              <w:bottom w:val="single" w:sz="8" w:space="0" w:color="auto"/>
              <w:right w:val="single" w:sz="8" w:space="0" w:color="auto"/>
            </w:tcBorders>
            <w:shd w:val="clear" w:color="auto" w:fill="auto"/>
            <w:vAlign w:val="center"/>
            <w:hideMark/>
          </w:tcPr>
          <w:p w14:paraId="6CB5F2FE" w14:textId="2A04118C" w:rsidR="004741D6" w:rsidRPr="006808DF" w:rsidRDefault="004741D6" w:rsidP="00D16719">
            <w:pPr>
              <w:jc w:val="center"/>
              <w:rPr>
                <w:rFonts w:ascii="Arial Narrow" w:eastAsia="Times New Roman" w:hAnsi="Arial Narrow"/>
                <w:b/>
                <w:bCs/>
                <w:color w:val="000000"/>
                <w:sz w:val="22"/>
                <w:szCs w:val="22"/>
              </w:rPr>
            </w:pPr>
          </w:p>
        </w:tc>
        <w:tc>
          <w:tcPr>
            <w:tcW w:w="3149" w:type="dxa"/>
            <w:tcBorders>
              <w:top w:val="single" w:sz="8" w:space="0" w:color="auto"/>
              <w:left w:val="nil"/>
              <w:bottom w:val="single" w:sz="8" w:space="0" w:color="auto"/>
              <w:right w:val="single" w:sz="8" w:space="0" w:color="auto"/>
            </w:tcBorders>
            <w:shd w:val="clear" w:color="auto" w:fill="auto"/>
            <w:vAlign w:val="center"/>
            <w:hideMark/>
          </w:tcPr>
          <w:p w14:paraId="1B37E0D8"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Ajuste de los cargos por depreciación (o amortización) del activo</w:t>
            </w:r>
          </w:p>
        </w:tc>
        <w:tc>
          <w:tcPr>
            <w:tcW w:w="2317" w:type="dxa"/>
            <w:tcBorders>
              <w:top w:val="single" w:sz="8" w:space="0" w:color="auto"/>
              <w:left w:val="nil"/>
              <w:bottom w:val="single" w:sz="8" w:space="0" w:color="auto"/>
              <w:right w:val="single" w:sz="8" w:space="0" w:color="auto"/>
            </w:tcBorders>
            <w:shd w:val="clear" w:color="auto" w:fill="auto"/>
            <w:vAlign w:val="center"/>
            <w:hideMark/>
          </w:tcPr>
          <w:p w14:paraId="49B97C49" w14:textId="77777777" w:rsidR="004741D6" w:rsidRPr="006808DF" w:rsidRDefault="004741D6" w:rsidP="00D16719">
            <w:pPr>
              <w:jc w:val="both"/>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NICSP Nº 21, Párrafo 70. NICSP Nº 26, Párrafo 106.</w:t>
            </w:r>
          </w:p>
        </w:tc>
        <w:tc>
          <w:tcPr>
            <w:tcW w:w="1917" w:type="dxa"/>
            <w:tcBorders>
              <w:top w:val="single" w:sz="8" w:space="0" w:color="auto"/>
              <w:left w:val="nil"/>
              <w:bottom w:val="single" w:sz="8" w:space="0" w:color="auto"/>
              <w:right w:val="single" w:sz="8" w:space="0" w:color="auto"/>
            </w:tcBorders>
            <w:shd w:val="clear" w:color="auto" w:fill="auto"/>
            <w:vAlign w:val="center"/>
            <w:hideMark/>
          </w:tcPr>
          <w:p w14:paraId="6BE1D0BD" w14:textId="77777777" w:rsidR="004741D6" w:rsidRPr="006808DF" w:rsidRDefault="004741D6" w:rsidP="00D16719">
            <w:pPr>
              <w:jc w:val="center"/>
              <w:rPr>
                <w:rFonts w:ascii="Arial Narrow" w:eastAsia="Times New Roman" w:hAnsi="Arial Narrow"/>
                <w:b/>
                <w:bCs/>
                <w:color w:val="000000"/>
                <w:sz w:val="22"/>
                <w:szCs w:val="22"/>
                <w:lang w:val="es-CR"/>
              </w:rPr>
            </w:pPr>
            <w:r w:rsidRPr="006808DF">
              <w:rPr>
                <w:rFonts w:ascii="Arial Narrow" w:eastAsia="Times New Roman" w:hAnsi="Arial Narrow"/>
                <w:b/>
                <w:bCs/>
                <w:color w:val="000000"/>
                <w:sz w:val="22"/>
                <w:szCs w:val="22"/>
                <w:lang w:val="es-CR"/>
              </w:rPr>
              <w:t xml:space="preserve"> </w:t>
            </w:r>
          </w:p>
        </w:tc>
      </w:tr>
    </w:tbl>
    <w:p w14:paraId="316AC162"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p w14:paraId="6789AC0F" w14:textId="188E3407" w:rsidR="004741D6" w:rsidRPr="00F02F9D" w:rsidRDefault="004741D6" w:rsidP="004741D6">
      <w:pPr>
        <w:spacing w:line="238"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1.215.0.01</w:t>
      </w:r>
      <w:r>
        <w:rPr>
          <w:rFonts w:ascii="Arial" w:eastAsia="Arial" w:hAnsi="Arial"/>
          <w:bCs/>
          <w:sz w:val="22"/>
          <w:szCs w:val="22"/>
          <w:lang w:val="es-CR"/>
        </w:rPr>
        <w:tab/>
      </w:r>
      <w:r w:rsidRPr="00F02F9D">
        <w:rPr>
          <w:rFonts w:ascii="Arial" w:eastAsia="Arial" w:hAnsi="Arial"/>
          <w:bCs/>
          <w:sz w:val="22"/>
          <w:szCs w:val="22"/>
          <w:lang w:val="es-CR"/>
        </w:rPr>
        <w:t xml:space="preserve">En 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después de haber reconocido una reversión de la pérdida por deterioro, los cargos por depreciación o amortización del activo serán objeto del ajuste correspondiente, con el fin de distribuir el importe revisado del activo en libros, menos su eventual valor residual, de una forma sistemática a lo largo de su vida útil restante.</w:t>
      </w:r>
    </w:p>
    <w:p w14:paraId="279AA506" w14:textId="77777777" w:rsidR="004741D6" w:rsidRDefault="004741D6" w:rsidP="004741D6">
      <w:pPr>
        <w:spacing w:line="238" w:lineRule="auto"/>
        <w:ind w:left="1134" w:right="260" w:hanging="1134"/>
        <w:jc w:val="both"/>
        <w:rPr>
          <w:rFonts w:ascii="Arial" w:eastAsia="Arial" w:hAnsi="Arial"/>
          <w:b/>
          <w:sz w:val="22"/>
          <w:szCs w:val="22"/>
          <w:lang w:val="es-CR"/>
        </w:rPr>
      </w:pPr>
    </w:p>
    <w:p w14:paraId="11BD1170" w14:textId="77777777" w:rsidR="006808DF" w:rsidRPr="00F02F9D" w:rsidRDefault="006808DF" w:rsidP="004741D6">
      <w:pPr>
        <w:spacing w:line="238" w:lineRule="auto"/>
        <w:ind w:left="1134" w:right="260" w:hanging="1134"/>
        <w:jc w:val="both"/>
        <w:rPr>
          <w:rFonts w:ascii="Arial" w:eastAsia="Arial" w:hAnsi="Arial"/>
          <w:b/>
          <w:sz w:val="22"/>
          <w:szCs w:val="22"/>
          <w:lang w:val="es-CR"/>
        </w:rPr>
      </w:pPr>
    </w:p>
    <w:p w14:paraId="72B9AE65" w14:textId="274C525A" w:rsidR="004741D6" w:rsidRPr="005968BE" w:rsidRDefault="004741D6" w:rsidP="005968BE">
      <w:pPr>
        <w:pStyle w:val="Ttulo4"/>
        <w:rPr>
          <w:rFonts w:ascii="Arial" w:eastAsia="Arial" w:hAnsi="Arial" w:cs="Arial"/>
          <w:b/>
          <w:bCs/>
          <w:sz w:val="22"/>
          <w:szCs w:val="22"/>
          <w:lang w:val="es-CR"/>
        </w:rPr>
      </w:pPr>
      <w:r w:rsidRPr="005968BE">
        <w:rPr>
          <w:rFonts w:ascii="Arial" w:eastAsia="Arial" w:hAnsi="Arial" w:cs="Arial"/>
          <w:b/>
          <w:bCs/>
          <w:sz w:val="22"/>
          <w:szCs w:val="22"/>
          <w:lang w:val="es-CR"/>
        </w:rPr>
        <w:t>Información a Revelar</w:t>
      </w:r>
      <w:r w:rsidR="005968BE">
        <w:rPr>
          <w:rFonts w:ascii="Arial" w:eastAsia="Arial" w:hAnsi="Arial" w:cs="Arial"/>
          <w:b/>
          <w:bCs/>
          <w:sz w:val="22"/>
          <w:szCs w:val="22"/>
          <w:lang w:val="es-CR"/>
        </w:rPr>
        <w:t xml:space="preserve"> sobre deterioro de activos</w:t>
      </w:r>
    </w:p>
    <w:p w14:paraId="196BC0B4"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tbl>
      <w:tblPr>
        <w:tblW w:w="9073" w:type="dxa"/>
        <w:tblLook w:val="04A0" w:firstRow="1" w:lastRow="0" w:firstColumn="1" w:lastColumn="0" w:noHBand="0" w:noVBand="1"/>
      </w:tblPr>
      <w:tblGrid>
        <w:gridCol w:w="560"/>
        <w:gridCol w:w="550"/>
        <w:gridCol w:w="539"/>
        <w:gridCol w:w="3019"/>
        <w:gridCol w:w="2329"/>
        <w:gridCol w:w="2076"/>
      </w:tblGrid>
      <w:tr w:rsidR="004741D6" w:rsidRPr="0030399E" w14:paraId="662CF3B2" w14:textId="77777777" w:rsidTr="006808DF">
        <w:trPr>
          <w:trHeight w:val="320"/>
        </w:trPr>
        <w:tc>
          <w:tcPr>
            <w:tcW w:w="164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5CC8178"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Norma / Política</w:t>
            </w:r>
          </w:p>
        </w:tc>
        <w:tc>
          <w:tcPr>
            <w:tcW w:w="3019" w:type="dxa"/>
            <w:vMerge w:val="restart"/>
            <w:tcBorders>
              <w:top w:val="single" w:sz="8" w:space="0" w:color="auto"/>
              <w:left w:val="single" w:sz="8" w:space="0" w:color="auto"/>
              <w:bottom w:val="nil"/>
              <w:right w:val="single" w:sz="8" w:space="0" w:color="auto"/>
            </w:tcBorders>
            <w:shd w:val="clear" w:color="000000" w:fill="203764"/>
            <w:vAlign w:val="center"/>
            <w:hideMark/>
          </w:tcPr>
          <w:p w14:paraId="218FCEC2"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Concepto</w:t>
            </w:r>
          </w:p>
        </w:tc>
        <w:tc>
          <w:tcPr>
            <w:tcW w:w="4405" w:type="dxa"/>
            <w:gridSpan w:val="2"/>
            <w:tcBorders>
              <w:top w:val="single" w:sz="8" w:space="0" w:color="auto"/>
              <w:left w:val="nil"/>
              <w:bottom w:val="single" w:sz="8" w:space="0" w:color="auto"/>
              <w:right w:val="single" w:sz="8" w:space="0" w:color="000000"/>
            </w:tcBorders>
            <w:shd w:val="clear" w:color="000000" w:fill="203764"/>
            <w:vAlign w:val="center"/>
            <w:hideMark/>
          </w:tcPr>
          <w:p w14:paraId="24FBAD1D"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Referencia</w:t>
            </w:r>
          </w:p>
        </w:tc>
      </w:tr>
      <w:tr w:rsidR="004741D6" w:rsidRPr="0071104F" w14:paraId="466F6672" w14:textId="77777777" w:rsidTr="006808DF">
        <w:trPr>
          <w:trHeight w:val="320"/>
        </w:trPr>
        <w:tc>
          <w:tcPr>
            <w:tcW w:w="1649" w:type="dxa"/>
            <w:gridSpan w:val="3"/>
            <w:vMerge/>
            <w:tcBorders>
              <w:top w:val="single" w:sz="8" w:space="0" w:color="auto"/>
              <w:left w:val="single" w:sz="8" w:space="0" w:color="auto"/>
              <w:bottom w:val="nil"/>
              <w:right w:val="single" w:sz="8" w:space="0" w:color="000000"/>
            </w:tcBorders>
            <w:vAlign w:val="center"/>
            <w:hideMark/>
          </w:tcPr>
          <w:p w14:paraId="658DDC69" w14:textId="77777777" w:rsidR="004741D6" w:rsidRPr="0030399E" w:rsidRDefault="004741D6" w:rsidP="00D16719">
            <w:pPr>
              <w:rPr>
                <w:rFonts w:ascii="Arial Narrow" w:eastAsia="Times New Roman" w:hAnsi="Arial Narrow"/>
                <w:b/>
                <w:bCs/>
                <w:color w:val="FFFFFF"/>
                <w:sz w:val="22"/>
                <w:szCs w:val="22"/>
              </w:rPr>
            </w:pPr>
          </w:p>
        </w:tc>
        <w:tc>
          <w:tcPr>
            <w:tcW w:w="3019" w:type="dxa"/>
            <w:vMerge/>
            <w:tcBorders>
              <w:top w:val="single" w:sz="8" w:space="0" w:color="auto"/>
              <w:left w:val="single" w:sz="8" w:space="0" w:color="auto"/>
              <w:bottom w:val="nil"/>
              <w:right w:val="single" w:sz="8" w:space="0" w:color="auto"/>
            </w:tcBorders>
            <w:vAlign w:val="center"/>
            <w:hideMark/>
          </w:tcPr>
          <w:p w14:paraId="0E4DA5CD" w14:textId="77777777" w:rsidR="004741D6" w:rsidRPr="0030399E" w:rsidRDefault="004741D6" w:rsidP="00D16719">
            <w:pPr>
              <w:rPr>
                <w:rFonts w:ascii="Arial Narrow" w:eastAsia="Times New Roman" w:hAnsi="Arial Narrow"/>
                <w:b/>
                <w:bCs/>
                <w:color w:val="FFFFFF"/>
                <w:sz w:val="22"/>
                <w:szCs w:val="22"/>
              </w:rPr>
            </w:pPr>
          </w:p>
        </w:tc>
        <w:tc>
          <w:tcPr>
            <w:tcW w:w="2329" w:type="dxa"/>
            <w:tcBorders>
              <w:top w:val="nil"/>
              <w:left w:val="nil"/>
              <w:bottom w:val="nil"/>
              <w:right w:val="single" w:sz="8" w:space="0" w:color="auto"/>
            </w:tcBorders>
            <w:shd w:val="clear" w:color="000000" w:fill="203764"/>
            <w:vAlign w:val="center"/>
            <w:hideMark/>
          </w:tcPr>
          <w:p w14:paraId="53DE7466"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Norma</w:t>
            </w:r>
          </w:p>
        </w:tc>
        <w:tc>
          <w:tcPr>
            <w:tcW w:w="2076" w:type="dxa"/>
            <w:tcBorders>
              <w:top w:val="nil"/>
              <w:left w:val="nil"/>
              <w:bottom w:val="nil"/>
              <w:right w:val="single" w:sz="8" w:space="0" w:color="auto"/>
            </w:tcBorders>
            <w:shd w:val="clear" w:color="000000" w:fill="203764"/>
            <w:vAlign w:val="center"/>
            <w:hideMark/>
          </w:tcPr>
          <w:p w14:paraId="18245F79" w14:textId="58A3ED45" w:rsidR="004741D6" w:rsidRPr="0071104F" w:rsidRDefault="0071104F"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30399E" w14:paraId="754AC8E1" w14:textId="77777777" w:rsidTr="006808DF">
        <w:trPr>
          <w:trHeight w:val="1399"/>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B9F3D0" w14:textId="77777777" w:rsidR="004741D6" w:rsidRPr="0030399E" w:rsidRDefault="004741D6" w:rsidP="00D16719">
            <w:pPr>
              <w:jc w:val="center"/>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0ACB4895" w14:textId="77777777" w:rsidR="004741D6" w:rsidRPr="0030399E" w:rsidRDefault="004741D6" w:rsidP="00D16719">
            <w:pPr>
              <w:jc w:val="center"/>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rPr>
              <w:t>216</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33AC43B0" w14:textId="7921FEFF" w:rsidR="004741D6" w:rsidRPr="0030399E" w:rsidRDefault="004741D6" w:rsidP="00D16719">
            <w:pPr>
              <w:jc w:val="center"/>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rPr>
              <w:t xml:space="preserve"> </w:t>
            </w:r>
          </w:p>
        </w:tc>
        <w:tc>
          <w:tcPr>
            <w:tcW w:w="3019" w:type="dxa"/>
            <w:tcBorders>
              <w:top w:val="single" w:sz="8" w:space="0" w:color="auto"/>
              <w:left w:val="nil"/>
              <w:bottom w:val="single" w:sz="8" w:space="0" w:color="auto"/>
              <w:right w:val="single" w:sz="8" w:space="0" w:color="auto"/>
            </w:tcBorders>
            <w:shd w:val="clear" w:color="auto" w:fill="auto"/>
            <w:vAlign w:val="center"/>
            <w:hideMark/>
          </w:tcPr>
          <w:p w14:paraId="72AD7C51" w14:textId="77777777" w:rsidR="004741D6" w:rsidRPr="0030399E" w:rsidRDefault="004741D6" w:rsidP="00D16719">
            <w:pPr>
              <w:jc w:val="both"/>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lang w:val="es-CR"/>
              </w:rPr>
              <w:t>Información a revelar general</w:t>
            </w:r>
          </w:p>
        </w:tc>
        <w:tc>
          <w:tcPr>
            <w:tcW w:w="2329" w:type="dxa"/>
            <w:tcBorders>
              <w:top w:val="single" w:sz="8" w:space="0" w:color="auto"/>
              <w:left w:val="nil"/>
              <w:bottom w:val="single" w:sz="8" w:space="0" w:color="auto"/>
              <w:right w:val="single" w:sz="8" w:space="0" w:color="auto"/>
            </w:tcBorders>
            <w:shd w:val="clear" w:color="auto" w:fill="auto"/>
            <w:vAlign w:val="center"/>
            <w:hideMark/>
          </w:tcPr>
          <w:p w14:paraId="04873746" w14:textId="77777777" w:rsidR="004741D6" w:rsidRPr="0030399E" w:rsidRDefault="004741D6" w:rsidP="00D16719">
            <w:pPr>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 xml:space="preserve">NICSP Nº 21, </w:t>
            </w:r>
          </w:p>
          <w:p w14:paraId="5260380B" w14:textId="77777777" w:rsidR="004741D6" w:rsidRPr="0030399E" w:rsidRDefault="004741D6" w:rsidP="006808DF">
            <w:pPr>
              <w:spacing w:after="120"/>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 xml:space="preserve">Párrafos 72A, 73, </w:t>
            </w:r>
            <w:r w:rsidRPr="0030399E">
              <w:rPr>
                <w:rFonts w:ascii="Arial Narrow" w:eastAsia="Arial" w:hAnsi="Arial Narrow"/>
                <w:b/>
                <w:sz w:val="22"/>
                <w:szCs w:val="22"/>
                <w:lang w:val="es-CR"/>
              </w:rPr>
              <w:t>73A y 75 a 78</w:t>
            </w:r>
            <w:r w:rsidRPr="0030399E">
              <w:rPr>
                <w:rFonts w:ascii="Arial Narrow" w:eastAsia="Times New Roman" w:hAnsi="Arial Narrow"/>
                <w:b/>
                <w:bCs/>
                <w:color w:val="000000"/>
                <w:sz w:val="22"/>
                <w:szCs w:val="22"/>
                <w:lang w:val="es-CR"/>
              </w:rPr>
              <w:t xml:space="preserve"> </w:t>
            </w:r>
          </w:p>
          <w:p w14:paraId="5052E000" w14:textId="77777777" w:rsidR="004741D6" w:rsidRPr="0030399E" w:rsidRDefault="004741D6" w:rsidP="00D16719">
            <w:pPr>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 xml:space="preserve">NICSP Nº 26, </w:t>
            </w:r>
          </w:p>
          <w:p w14:paraId="16685052" w14:textId="77777777" w:rsidR="004741D6" w:rsidRPr="0030399E" w:rsidRDefault="004741D6" w:rsidP="00D16719">
            <w:pPr>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Párrafos 114, 115 y 118 a 121.</w:t>
            </w:r>
          </w:p>
        </w:tc>
        <w:tc>
          <w:tcPr>
            <w:tcW w:w="2076" w:type="dxa"/>
            <w:tcBorders>
              <w:top w:val="single" w:sz="8" w:space="0" w:color="auto"/>
              <w:left w:val="nil"/>
              <w:bottom w:val="single" w:sz="8" w:space="0" w:color="auto"/>
              <w:right w:val="single" w:sz="8" w:space="0" w:color="auto"/>
            </w:tcBorders>
            <w:shd w:val="clear" w:color="auto" w:fill="auto"/>
            <w:vAlign w:val="center"/>
            <w:hideMark/>
          </w:tcPr>
          <w:p w14:paraId="3ADE17FB" w14:textId="77777777" w:rsidR="004741D6" w:rsidRPr="0030399E" w:rsidRDefault="004741D6" w:rsidP="00D16719">
            <w:pPr>
              <w:jc w:val="center"/>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lang w:val="es-CR"/>
              </w:rPr>
              <w:t>DGCN</w:t>
            </w:r>
          </w:p>
        </w:tc>
      </w:tr>
    </w:tbl>
    <w:p w14:paraId="510951A1" w14:textId="77777777" w:rsidR="004741D6" w:rsidRDefault="004741D6" w:rsidP="004741D6">
      <w:pPr>
        <w:spacing w:line="238" w:lineRule="auto"/>
        <w:ind w:left="1134" w:right="260" w:hanging="1134"/>
        <w:jc w:val="both"/>
        <w:rPr>
          <w:rFonts w:ascii="Arial" w:eastAsia="Arial" w:hAnsi="Arial"/>
          <w:b/>
          <w:sz w:val="22"/>
          <w:szCs w:val="22"/>
          <w:lang w:val="es-CR"/>
        </w:rPr>
      </w:pPr>
    </w:p>
    <w:p w14:paraId="7E54AE14" w14:textId="11A73E2A" w:rsidR="00D535E1" w:rsidRDefault="00D535E1"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B311BC7" w14:textId="77777777" w:rsidR="00D535E1" w:rsidRPr="00F02F9D" w:rsidRDefault="00D535E1" w:rsidP="004741D6">
      <w:pPr>
        <w:spacing w:line="238" w:lineRule="auto"/>
        <w:ind w:left="1134" w:right="260" w:hanging="1134"/>
        <w:jc w:val="both"/>
        <w:rPr>
          <w:rFonts w:ascii="Arial" w:eastAsia="Arial" w:hAnsi="Arial"/>
          <w:b/>
          <w:sz w:val="22"/>
          <w:szCs w:val="22"/>
          <w:lang w:val="es-CR"/>
        </w:rPr>
      </w:pPr>
    </w:p>
    <w:p w14:paraId="6D8D6AEC" w14:textId="0D3A7B97" w:rsidR="004741D6" w:rsidRDefault="004741D6" w:rsidP="004741D6">
      <w:pPr>
        <w:spacing w:line="250"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1.216.0.01</w:t>
      </w:r>
      <w:r>
        <w:rPr>
          <w:rFonts w:ascii="Arial" w:eastAsia="Arial" w:hAnsi="Arial"/>
          <w:bCs/>
          <w:sz w:val="22"/>
          <w:szCs w:val="22"/>
          <w:lang w:val="es-CR"/>
        </w:rPr>
        <w:tab/>
      </w:r>
      <w:r w:rsidRPr="00B10C4D">
        <w:rPr>
          <w:rFonts w:ascii="Arial" w:eastAsia="Arial" w:hAnsi="Arial"/>
          <w:bCs/>
          <w:sz w:val="22"/>
          <w:szCs w:val="22"/>
          <w:lang w:val="es-CR"/>
        </w:rPr>
        <w:t xml:space="preserve">La </w:t>
      </w:r>
      <w:r w:rsidR="000F29DC">
        <w:rPr>
          <w:rFonts w:ascii="Arial" w:eastAsia="Arial" w:hAnsi="Arial"/>
          <w:bCs/>
          <w:sz w:val="22"/>
          <w:szCs w:val="22"/>
          <w:lang w:val="es-CR"/>
        </w:rPr>
        <w:t>MBA</w:t>
      </w:r>
      <w:r w:rsidRPr="00B10C4D">
        <w:rPr>
          <w:rFonts w:ascii="Arial" w:eastAsia="Arial" w:hAnsi="Arial"/>
          <w:bCs/>
          <w:sz w:val="22"/>
          <w:szCs w:val="22"/>
          <w:lang w:val="es-CR"/>
        </w:rPr>
        <w:t xml:space="preserve"> revelará en los EEFF, además de la información requerida para cada activo en particular, la que se detalla a continuación en materia de deterioro:</w:t>
      </w:r>
    </w:p>
    <w:p w14:paraId="39DB18AB" w14:textId="77777777" w:rsidR="006808DF" w:rsidRPr="00B10C4D" w:rsidRDefault="006808DF" w:rsidP="004741D6">
      <w:pPr>
        <w:spacing w:line="250" w:lineRule="auto"/>
        <w:ind w:left="1134" w:right="260" w:hanging="1134"/>
        <w:jc w:val="both"/>
        <w:rPr>
          <w:rFonts w:ascii="Arial" w:eastAsia="Arial" w:hAnsi="Arial"/>
          <w:bCs/>
          <w:sz w:val="22"/>
          <w:szCs w:val="22"/>
          <w:lang w:val="es-CR"/>
        </w:rPr>
      </w:pPr>
    </w:p>
    <w:p w14:paraId="654BCCFA" w14:textId="77777777" w:rsidR="004741D6" w:rsidRPr="00B10C4D" w:rsidRDefault="004741D6" w:rsidP="004741D6">
      <w:pPr>
        <w:spacing w:line="1" w:lineRule="exact"/>
        <w:jc w:val="both"/>
        <w:rPr>
          <w:rFonts w:ascii="Times New Roman" w:eastAsia="Times New Roman" w:hAnsi="Times New Roman"/>
          <w:bCs/>
          <w:sz w:val="22"/>
          <w:szCs w:val="22"/>
          <w:lang w:val="es-CR"/>
        </w:rPr>
      </w:pPr>
    </w:p>
    <w:p w14:paraId="2B3AA9B7" w14:textId="564A2AD5" w:rsidR="004741D6" w:rsidRPr="00D535E1" w:rsidRDefault="004741D6" w:rsidP="00D535E1">
      <w:pPr>
        <w:pStyle w:val="Prrafodelista"/>
        <w:numPr>
          <w:ilvl w:val="0"/>
          <w:numId w:val="83"/>
        </w:numPr>
        <w:spacing w:after="120"/>
        <w:ind w:left="1560" w:right="260" w:hanging="426"/>
        <w:contextualSpacing w:val="0"/>
        <w:jc w:val="both"/>
        <w:rPr>
          <w:rFonts w:ascii="Arial" w:eastAsia="Arial" w:hAnsi="Arial"/>
          <w:bCs/>
          <w:sz w:val="22"/>
          <w:szCs w:val="22"/>
          <w:lang w:val="es-CR"/>
        </w:rPr>
      </w:pPr>
      <w:r w:rsidRPr="007E1643">
        <w:rPr>
          <w:rFonts w:ascii="Arial" w:eastAsia="Arial" w:hAnsi="Arial"/>
          <w:bCs/>
          <w:sz w:val="22"/>
          <w:szCs w:val="22"/>
          <w:lang w:val="es-CR"/>
        </w:rPr>
        <w:t>Los criterios desarrollados para distinguir los activos no generadores de efectivo de los activos generadores de efectivo.</w:t>
      </w:r>
    </w:p>
    <w:p w14:paraId="4A0379AF" w14:textId="6B63CFD1" w:rsidR="004741D6" w:rsidRPr="00D535E1" w:rsidRDefault="004741D6" w:rsidP="00D535E1">
      <w:pPr>
        <w:pStyle w:val="Prrafodelista"/>
        <w:numPr>
          <w:ilvl w:val="0"/>
          <w:numId w:val="83"/>
        </w:numPr>
        <w:spacing w:after="120"/>
        <w:ind w:left="1560" w:right="260" w:hanging="426"/>
        <w:contextualSpacing w:val="0"/>
        <w:jc w:val="both"/>
        <w:rPr>
          <w:rFonts w:ascii="Arial" w:eastAsia="Arial" w:hAnsi="Arial"/>
          <w:bCs/>
          <w:sz w:val="22"/>
          <w:szCs w:val="22"/>
          <w:lang w:val="es-CR"/>
        </w:rPr>
      </w:pPr>
      <w:r w:rsidRPr="007E1643">
        <w:rPr>
          <w:rFonts w:ascii="Arial" w:eastAsia="Arial" w:hAnsi="Arial"/>
          <w:bCs/>
          <w:sz w:val="22"/>
          <w:szCs w:val="22"/>
          <w:lang w:val="es-CR"/>
        </w:rPr>
        <w:t xml:space="preserve">Los criterios aplicados para definir las unidades generadoras de efectivo, y el detalle de su conformación, identificando los </w:t>
      </w:r>
      <w:r w:rsidR="00AA22E2" w:rsidRPr="007E1643">
        <w:rPr>
          <w:rFonts w:ascii="Arial" w:eastAsia="Arial" w:hAnsi="Arial"/>
          <w:bCs/>
          <w:sz w:val="22"/>
          <w:szCs w:val="22"/>
          <w:lang w:val="es-CR"/>
        </w:rPr>
        <w:t>ca</w:t>
      </w:r>
      <w:r w:rsidR="00AA22E2">
        <w:rPr>
          <w:rFonts w:ascii="Arial" w:eastAsia="Arial" w:hAnsi="Arial"/>
          <w:bCs/>
          <w:sz w:val="22"/>
          <w:szCs w:val="22"/>
          <w:lang w:val="es-CR"/>
        </w:rPr>
        <w:t>mbi</w:t>
      </w:r>
      <w:r w:rsidR="00AA22E2" w:rsidRPr="007E1643">
        <w:rPr>
          <w:rFonts w:ascii="Arial" w:eastAsia="Arial" w:hAnsi="Arial"/>
          <w:bCs/>
          <w:sz w:val="22"/>
          <w:szCs w:val="22"/>
          <w:lang w:val="es-CR"/>
        </w:rPr>
        <w:t>os</w:t>
      </w:r>
      <w:r w:rsidRPr="007E1643">
        <w:rPr>
          <w:rFonts w:ascii="Arial" w:eastAsia="Arial" w:hAnsi="Arial"/>
          <w:bCs/>
          <w:sz w:val="22"/>
          <w:szCs w:val="22"/>
          <w:lang w:val="es-CR"/>
        </w:rPr>
        <w:t xml:space="preserve"> producidos en dicha conformación con respecto al ejercicio anterior;</w:t>
      </w:r>
    </w:p>
    <w:p w14:paraId="3B29856B" w14:textId="01EACDC5" w:rsidR="004741D6" w:rsidRPr="00D535E1" w:rsidRDefault="004741D6" w:rsidP="00D535E1">
      <w:pPr>
        <w:pStyle w:val="Prrafodelista"/>
        <w:numPr>
          <w:ilvl w:val="0"/>
          <w:numId w:val="83"/>
        </w:numPr>
        <w:spacing w:after="120"/>
        <w:ind w:left="1560" w:right="260" w:hanging="426"/>
        <w:contextualSpacing w:val="0"/>
        <w:jc w:val="both"/>
        <w:rPr>
          <w:rFonts w:ascii="Arial" w:eastAsia="Arial" w:hAnsi="Arial"/>
          <w:bCs/>
          <w:sz w:val="22"/>
          <w:szCs w:val="22"/>
          <w:lang w:val="es-CR"/>
        </w:rPr>
      </w:pPr>
      <w:r w:rsidRPr="007E1643">
        <w:rPr>
          <w:rFonts w:ascii="Arial" w:eastAsia="Arial" w:hAnsi="Arial"/>
          <w:bCs/>
          <w:sz w:val="22"/>
          <w:szCs w:val="22"/>
          <w:lang w:val="es-CR"/>
        </w:rPr>
        <w:t>Para cada clase de activo, distinguiendo los generadores de los no generadores de efectivo:</w:t>
      </w:r>
    </w:p>
    <w:p w14:paraId="42F036DC" w14:textId="77777777" w:rsidR="004741D6" w:rsidRPr="007E1643" w:rsidRDefault="004741D6" w:rsidP="006808DF">
      <w:pPr>
        <w:pStyle w:val="Prrafodelista"/>
        <w:numPr>
          <w:ilvl w:val="0"/>
          <w:numId w:val="83"/>
        </w:numPr>
        <w:spacing w:after="120"/>
        <w:ind w:left="1560" w:right="260" w:hanging="426"/>
        <w:contextualSpacing w:val="0"/>
        <w:jc w:val="both"/>
        <w:rPr>
          <w:rFonts w:ascii="Arial" w:eastAsia="Arial" w:hAnsi="Arial"/>
          <w:bCs/>
          <w:sz w:val="22"/>
          <w:szCs w:val="22"/>
          <w:lang w:val="es-CR"/>
        </w:rPr>
      </w:pPr>
      <w:r w:rsidRPr="007E1643">
        <w:rPr>
          <w:rFonts w:ascii="Arial" w:eastAsia="Arial" w:hAnsi="Arial"/>
          <w:bCs/>
          <w:sz w:val="22"/>
          <w:szCs w:val="22"/>
          <w:lang w:val="es-CR"/>
        </w:rPr>
        <w:t>El importe total de las pérdidas por deterioro reconocidas en el resultado durante el período, así como las cuentas en las que están expuestas en el ERF.</w:t>
      </w:r>
    </w:p>
    <w:p w14:paraId="78645C79" w14:textId="365C30BD" w:rsidR="004741D6" w:rsidRPr="00D535E1" w:rsidRDefault="004741D6" w:rsidP="00D535E1">
      <w:pPr>
        <w:pStyle w:val="Prrafodelista"/>
        <w:numPr>
          <w:ilvl w:val="0"/>
          <w:numId w:val="83"/>
        </w:numPr>
        <w:spacing w:after="120"/>
        <w:ind w:left="1560" w:right="260" w:hanging="426"/>
        <w:contextualSpacing w:val="0"/>
        <w:jc w:val="both"/>
        <w:rPr>
          <w:rFonts w:ascii="Arial" w:eastAsia="Arial" w:hAnsi="Arial"/>
          <w:bCs/>
          <w:sz w:val="22"/>
          <w:szCs w:val="22"/>
          <w:lang w:val="es-CR"/>
        </w:rPr>
      </w:pPr>
      <w:bookmarkStart w:id="74" w:name="page79"/>
      <w:bookmarkEnd w:id="74"/>
      <w:r w:rsidRPr="007E1643">
        <w:rPr>
          <w:rFonts w:ascii="Arial" w:eastAsia="Arial" w:hAnsi="Arial"/>
          <w:bCs/>
          <w:sz w:val="22"/>
          <w:szCs w:val="22"/>
          <w:lang w:val="es-CR"/>
        </w:rPr>
        <w:t>El importe total de las reversiones de anteriores pérdidas por deterioro que se han reconocido en el resultado durante el período, así como las cuentas en las que están expuestas en el ERF.</w:t>
      </w:r>
    </w:p>
    <w:p w14:paraId="3D3C931B" w14:textId="77777777" w:rsidR="004741D6" w:rsidRDefault="004741D6" w:rsidP="006808DF">
      <w:pPr>
        <w:pStyle w:val="Prrafodelista"/>
        <w:numPr>
          <w:ilvl w:val="0"/>
          <w:numId w:val="83"/>
        </w:numPr>
        <w:spacing w:after="120"/>
        <w:ind w:left="1559" w:right="261" w:hanging="425"/>
        <w:contextualSpacing w:val="0"/>
        <w:jc w:val="both"/>
        <w:rPr>
          <w:rFonts w:ascii="Arial" w:eastAsia="Arial" w:hAnsi="Arial"/>
          <w:bCs/>
          <w:sz w:val="22"/>
          <w:szCs w:val="22"/>
          <w:lang w:val="es-CR"/>
        </w:rPr>
      </w:pPr>
      <w:r w:rsidRPr="007E1643">
        <w:rPr>
          <w:rFonts w:ascii="Arial" w:eastAsia="Arial" w:hAnsi="Arial"/>
          <w:bCs/>
          <w:sz w:val="22"/>
          <w:szCs w:val="22"/>
          <w:lang w:val="es-CR"/>
        </w:rPr>
        <w:t>Los sucesos y circunstancias más importantes que han llevado al reconocimiento o reversión de pérdidas por deterioro;</w:t>
      </w:r>
    </w:p>
    <w:p w14:paraId="57E4441B" w14:textId="77777777" w:rsidR="004741D6" w:rsidRDefault="004741D6">
      <w:pPr>
        <w:pStyle w:val="Prrafodelista"/>
        <w:numPr>
          <w:ilvl w:val="0"/>
          <w:numId w:val="83"/>
        </w:numPr>
        <w:ind w:left="1559" w:right="261" w:hanging="425"/>
        <w:jc w:val="both"/>
        <w:rPr>
          <w:rFonts w:ascii="Arial" w:eastAsia="Arial" w:hAnsi="Arial"/>
          <w:bCs/>
          <w:sz w:val="22"/>
          <w:szCs w:val="22"/>
          <w:lang w:val="es-CR"/>
        </w:rPr>
      </w:pPr>
      <w:r>
        <w:rPr>
          <w:rFonts w:ascii="Arial" w:eastAsia="Arial" w:hAnsi="Arial"/>
          <w:bCs/>
          <w:sz w:val="22"/>
          <w:szCs w:val="22"/>
          <w:lang w:val="es-CR"/>
        </w:rPr>
        <w:t>Cualquier</w:t>
      </w:r>
      <w:r w:rsidRPr="007E1643">
        <w:rPr>
          <w:rFonts w:ascii="Arial" w:eastAsia="Arial" w:hAnsi="Arial"/>
          <w:bCs/>
          <w:sz w:val="22"/>
          <w:szCs w:val="22"/>
          <w:lang w:val="es-CR"/>
        </w:rPr>
        <w:t xml:space="preserve"> otra información que se requiera incluir</w:t>
      </w:r>
      <w:r>
        <w:rPr>
          <w:rFonts w:ascii="Arial" w:eastAsia="Arial" w:hAnsi="Arial"/>
          <w:bCs/>
          <w:sz w:val="22"/>
          <w:szCs w:val="22"/>
          <w:lang w:val="es-CR"/>
        </w:rPr>
        <w:t xml:space="preserve"> por su importancia relativa</w:t>
      </w:r>
      <w:r w:rsidRPr="007E1643">
        <w:rPr>
          <w:rFonts w:ascii="Arial" w:eastAsia="Arial" w:hAnsi="Arial"/>
          <w:bCs/>
          <w:sz w:val="22"/>
          <w:szCs w:val="22"/>
          <w:lang w:val="es-CR"/>
        </w:rPr>
        <w:t>.</w:t>
      </w:r>
    </w:p>
    <w:p w14:paraId="53E7D593" w14:textId="77777777" w:rsidR="006808DF" w:rsidRPr="007E1643" w:rsidRDefault="006808DF" w:rsidP="006808DF">
      <w:pPr>
        <w:pStyle w:val="Prrafodelista"/>
        <w:ind w:left="1559" w:right="261"/>
        <w:jc w:val="both"/>
        <w:rPr>
          <w:rFonts w:ascii="Arial" w:eastAsia="Arial" w:hAnsi="Arial"/>
          <w:bCs/>
          <w:sz w:val="22"/>
          <w:szCs w:val="22"/>
          <w:lang w:val="es-CR"/>
        </w:rPr>
      </w:pPr>
    </w:p>
    <w:p w14:paraId="6B159CB8" w14:textId="77777777" w:rsidR="004741D6" w:rsidRPr="00B10C4D" w:rsidRDefault="004741D6" w:rsidP="004741D6">
      <w:pPr>
        <w:spacing w:line="250"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1.216.0.02</w:t>
      </w:r>
      <w:r>
        <w:rPr>
          <w:rFonts w:ascii="Arial" w:eastAsia="Arial" w:hAnsi="Arial"/>
          <w:bCs/>
          <w:sz w:val="22"/>
          <w:szCs w:val="22"/>
          <w:lang w:val="es-CR"/>
        </w:rPr>
        <w:tab/>
      </w:r>
      <w:r w:rsidRPr="00B10C4D">
        <w:rPr>
          <w:rFonts w:ascii="Arial" w:eastAsia="Arial" w:hAnsi="Arial"/>
          <w:bCs/>
          <w:sz w:val="22"/>
          <w:szCs w:val="22"/>
          <w:lang w:val="es-CR"/>
        </w:rPr>
        <w:t>La información de carácter cuantitativo requerida por los puntos c) 1. y c) 2. se incluirá dentro de la información a presentar como Anexo a los EEFF en forma de cuadro, conforme lo establecido en esta Normativa para los rubros respectivos.</w:t>
      </w:r>
    </w:p>
    <w:p w14:paraId="372A21AD"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p w14:paraId="665AB3CD"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tbl>
      <w:tblPr>
        <w:tblW w:w="11307" w:type="dxa"/>
        <w:tblInd w:w="-142" w:type="dxa"/>
        <w:tblLayout w:type="fixed"/>
        <w:tblCellMar>
          <w:left w:w="0" w:type="dxa"/>
          <w:right w:w="0" w:type="dxa"/>
        </w:tblCellMar>
        <w:tblLook w:val="0000" w:firstRow="0" w:lastRow="0" w:firstColumn="0" w:lastColumn="0" w:noHBand="0" w:noVBand="0"/>
      </w:tblPr>
      <w:tblGrid>
        <w:gridCol w:w="2127"/>
        <w:gridCol w:w="2780"/>
        <w:gridCol w:w="2780"/>
        <w:gridCol w:w="1960"/>
        <w:gridCol w:w="1660"/>
      </w:tblGrid>
      <w:tr w:rsidR="004741D6" w:rsidRPr="005968BE" w14:paraId="66F003B0" w14:textId="77777777" w:rsidTr="00D16719">
        <w:trPr>
          <w:trHeight w:val="276"/>
        </w:trPr>
        <w:tc>
          <w:tcPr>
            <w:tcW w:w="2127" w:type="dxa"/>
            <w:shd w:val="clear" w:color="auto" w:fill="auto"/>
            <w:vAlign w:val="bottom"/>
          </w:tcPr>
          <w:p w14:paraId="40B0A407" w14:textId="77777777" w:rsidR="004741D6" w:rsidRPr="005968BE" w:rsidRDefault="004741D6" w:rsidP="005968BE">
            <w:pPr>
              <w:pStyle w:val="Ttulo4"/>
              <w:rPr>
                <w:rFonts w:ascii="Arial" w:eastAsia="Arial" w:hAnsi="Arial" w:cs="Arial"/>
                <w:b/>
                <w:bCs/>
                <w:sz w:val="22"/>
                <w:szCs w:val="22"/>
                <w:lang w:val="es-CR"/>
              </w:rPr>
            </w:pPr>
            <w:r w:rsidRPr="005968BE">
              <w:rPr>
                <w:rFonts w:ascii="Arial" w:eastAsia="Arial" w:hAnsi="Arial" w:cs="Arial"/>
                <w:b/>
                <w:bCs/>
                <w:sz w:val="22"/>
                <w:szCs w:val="22"/>
                <w:lang w:val="es-CR"/>
              </w:rPr>
              <w:t>Depreciaciones</w:t>
            </w:r>
          </w:p>
        </w:tc>
        <w:tc>
          <w:tcPr>
            <w:tcW w:w="2780" w:type="dxa"/>
          </w:tcPr>
          <w:p w14:paraId="5391713D" w14:textId="77777777" w:rsidR="004741D6" w:rsidRPr="005968BE" w:rsidRDefault="004741D6" w:rsidP="005968BE">
            <w:pPr>
              <w:pStyle w:val="Ttulo4"/>
              <w:rPr>
                <w:rFonts w:ascii="Arial" w:eastAsia="Arial" w:hAnsi="Arial" w:cs="Arial"/>
                <w:b/>
                <w:bCs/>
                <w:sz w:val="22"/>
                <w:szCs w:val="22"/>
                <w:lang w:val="es-CR"/>
              </w:rPr>
            </w:pPr>
          </w:p>
        </w:tc>
        <w:tc>
          <w:tcPr>
            <w:tcW w:w="2780" w:type="dxa"/>
            <w:shd w:val="clear" w:color="auto" w:fill="auto"/>
            <w:vAlign w:val="bottom"/>
          </w:tcPr>
          <w:p w14:paraId="0DB2230E" w14:textId="77777777" w:rsidR="004741D6" w:rsidRPr="005968BE" w:rsidRDefault="004741D6" w:rsidP="005968BE">
            <w:pPr>
              <w:pStyle w:val="Ttulo4"/>
              <w:rPr>
                <w:rFonts w:ascii="Arial" w:eastAsia="Arial" w:hAnsi="Arial" w:cs="Arial"/>
                <w:b/>
                <w:bCs/>
                <w:sz w:val="22"/>
                <w:szCs w:val="22"/>
                <w:lang w:val="es-CR"/>
              </w:rPr>
            </w:pPr>
          </w:p>
        </w:tc>
        <w:tc>
          <w:tcPr>
            <w:tcW w:w="1960" w:type="dxa"/>
            <w:shd w:val="clear" w:color="auto" w:fill="auto"/>
            <w:vAlign w:val="bottom"/>
          </w:tcPr>
          <w:p w14:paraId="05F78729" w14:textId="77777777" w:rsidR="004741D6" w:rsidRPr="005968BE" w:rsidRDefault="004741D6" w:rsidP="005968BE">
            <w:pPr>
              <w:pStyle w:val="Ttulo4"/>
              <w:rPr>
                <w:rFonts w:ascii="Arial" w:eastAsia="Arial" w:hAnsi="Arial" w:cs="Arial"/>
                <w:b/>
                <w:bCs/>
                <w:sz w:val="22"/>
                <w:szCs w:val="22"/>
                <w:lang w:val="es-CR"/>
              </w:rPr>
            </w:pPr>
          </w:p>
        </w:tc>
        <w:tc>
          <w:tcPr>
            <w:tcW w:w="1660" w:type="dxa"/>
            <w:shd w:val="clear" w:color="auto" w:fill="auto"/>
            <w:vAlign w:val="bottom"/>
          </w:tcPr>
          <w:p w14:paraId="0408F6C8" w14:textId="77777777" w:rsidR="004741D6" w:rsidRPr="005968BE" w:rsidRDefault="004741D6" w:rsidP="005968BE">
            <w:pPr>
              <w:pStyle w:val="Ttulo4"/>
              <w:rPr>
                <w:rFonts w:ascii="Arial" w:eastAsia="Arial" w:hAnsi="Arial" w:cs="Arial"/>
                <w:b/>
                <w:bCs/>
                <w:sz w:val="22"/>
                <w:szCs w:val="22"/>
                <w:lang w:val="es-CR"/>
              </w:rPr>
            </w:pPr>
          </w:p>
        </w:tc>
      </w:tr>
    </w:tbl>
    <w:p w14:paraId="20CA5726"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8880" w:type="dxa"/>
        <w:tblLook w:val="04A0" w:firstRow="1" w:lastRow="0" w:firstColumn="1" w:lastColumn="0" w:noHBand="0" w:noVBand="1"/>
      </w:tblPr>
      <w:tblGrid>
        <w:gridCol w:w="562"/>
        <w:gridCol w:w="490"/>
        <w:gridCol w:w="542"/>
        <w:gridCol w:w="2847"/>
        <w:gridCol w:w="2345"/>
        <w:gridCol w:w="2094"/>
      </w:tblGrid>
      <w:tr w:rsidR="004741D6" w:rsidRPr="0030399E" w14:paraId="23C7D488" w14:textId="77777777" w:rsidTr="00D16719">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D7E08FA"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Norma / Política</w:t>
            </w:r>
          </w:p>
        </w:tc>
        <w:tc>
          <w:tcPr>
            <w:tcW w:w="286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2B0CD4"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Concepto</w:t>
            </w:r>
          </w:p>
        </w:tc>
        <w:tc>
          <w:tcPr>
            <w:tcW w:w="4460" w:type="dxa"/>
            <w:gridSpan w:val="2"/>
            <w:tcBorders>
              <w:top w:val="single" w:sz="8" w:space="0" w:color="auto"/>
              <w:left w:val="nil"/>
              <w:bottom w:val="single" w:sz="8" w:space="0" w:color="auto"/>
              <w:right w:val="single" w:sz="8" w:space="0" w:color="000000"/>
            </w:tcBorders>
            <w:shd w:val="clear" w:color="000000" w:fill="203764"/>
            <w:vAlign w:val="center"/>
            <w:hideMark/>
          </w:tcPr>
          <w:p w14:paraId="0997E8BA"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Referencia</w:t>
            </w:r>
          </w:p>
        </w:tc>
      </w:tr>
      <w:tr w:rsidR="004741D6" w:rsidRPr="0071104F" w14:paraId="15A5D242" w14:textId="77777777" w:rsidTr="00D16719">
        <w:trPr>
          <w:trHeight w:val="320"/>
        </w:trPr>
        <w:tc>
          <w:tcPr>
            <w:tcW w:w="1560" w:type="dxa"/>
            <w:gridSpan w:val="3"/>
            <w:vMerge/>
            <w:tcBorders>
              <w:top w:val="single" w:sz="8" w:space="0" w:color="auto"/>
              <w:left w:val="single" w:sz="8" w:space="0" w:color="auto"/>
              <w:bottom w:val="nil"/>
              <w:right w:val="single" w:sz="8" w:space="0" w:color="000000"/>
            </w:tcBorders>
            <w:vAlign w:val="center"/>
            <w:hideMark/>
          </w:tcPr>
          <w:p w14:paraId="44311848" w14:textId="77777777" w:rsidR="004741D6" w:rsidRPr="00A743F0" w:rsidRDefault="004741D6" w:rsidP="00D16719">
            <w:pPr>
              <w:rPr>
                <w:rFonts w:ascii="Arial" w:eastAsia="Times New Roman" w:hAnsi="Arial"/>
                <w:b/>
                <w:bCs/>
                <w:color w:val="FFFFFF"/>
                <w:sz w:val="24"/>
                <w:szCs w:val="24"/>
              </w:rPr>
            </w:pPr>
          </w:p>
        </w:tc>
        <w:tc>
          <w:tcPr>
            <w:tcW w:w="2860" w:type="dxa"/>
            <w:vMerge/>
            <w:tcBorders>
              <w:top w:val="single" w:sz="8" w:space="0" w:color="auto"/>
              <w:left w:val="single" w:sz="8" w:space="0" w:color="auto"/>
              <w:bottom w:val="nil"/>
              <w:right w:val="single" w:sz="8" w:space="0" w:color="auto"/>
            </w:tcBorders>
            <w:vAlign w:val="center"/>
            <w:hideMark/>
          </w:tcPr>
          <w:p w14:paraId="2A7D68CF" w14:textId="77777777" w:rsidR="004741D6" w:rsidRPr="00A743F0" w:rsidRDefault="004741D6" w:rsidP="00D16719">
            <w:pPr>
              <w:rPr>
                <w:rFonts w:ascii="Arial" w:eastAsia="Times New Roman" w:hAnsi="Arial"/>
                <w:b/>
                <w:bCs/>
                <w:color w:val="FFFFFF"/>
                <w:sz w:val="24"/>
                <w:szCs w:val="24"/>
              </w:rPr>
            </w:pPr>
          </w:p>
        </w:tc>
        <w:tc>
          <w:tcPr>
            <w:tcW w:w="2360" w:type="dxa"/>
            <w:tcBorders>
              <w:top w:val="nil"/>
              <w:left w:val="nil"/>
              <w:bottom w:val="nil"/>
              <w:right w:val="single" w:sz="8" w:space="0" w:color="auto"/>
            </w:tcBorders>
            <w:shd w:val="clear" w:color="000000" w:fill="203764"/>
            <w:vAlign w:val="center"/>
            <w:hideMark/>
          </w:tcPr>
          <w:p w14:paraId="282AA132"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0676C665" w14:textId="1EDC011C" w:rsidR="004741D6" w:rsidRPr="0071104F" w:rsidRDefault="0071104F"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30399E" w14:paraId="1188013E" w14:textId="77777777" w:rsidTr="00D16719">
        <w:trPr>
          <w:trHeight w:val="250"/>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7FDEFC"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lang w:val="es-CR"/>
              </w:rPr>
              <w:t>1</w:t>
            </w:r>
          </w:p>
        </w:tc>
        <w:tc>
          <w:tcPr>
            <w:tcW w:w="451" w:type="dxa"/>
            <w:tcBorders>
              <w:top w:val="single" w:sz="8" w:space="0" w:color="auto"/>
              <w:left w:val="nil"/>
              <w:bottom w:val="single" w:sz="8" w:space="0" w:color="auto"/>
              <w:right w:val="single" w:sz="8" w:space="0" w:color="auto"/>
            </w:tcBorders>
            <w:shd w:val="clear" w:color="auto" w:fill="auto"/>
            <w:noWrap/>
            <w:vAlign w:val="center"/>
            <w:hideMark/>
          </w:tcPr>
          <w:p w14:paraId="659A1514"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219</w:t>
            </w:r>
          </w:p>
        </w:tc>
        <w:tc>
          <w:tcPr>
            <w:tcW w:w="544" w:type="dxa"/>
            <w:tcBorders>
              <w:top w:val="single" w:sz="8" w:space="0" w:color="auto"/>
              <w:left w:val="nil"/>
              <w:bottom w:val="single" w:sz="8" w:space="0" w:color="auto"/>
              <w:right w:val="single" w:sz="8" w:space="0" w:color="auto"/>
            </w:tcBorders>
            <w:shd w:val="clear" w:color="auto" w:fill="auto"/>
            <w:vAlign w:val="center"/>
            <w:hideMark/>
          </w:tcPr>
          <w:p w14:paraId="63278E8F" w14:textId="42FEDF03"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 xml:space="preserve"> </w:t>
            </w:r>
            <w:r w:rsidR="002B7D8C" w:rsidRPr="0030399E">
              <w:rPr>
                <w:rFonts w:ascii="Arial Narrow" w:eastAsia="Times New Roman" w:hAnsi="Arial Narrow"/>
                <w:b/>
                <w:bCs/>
                <w:color w:val="000000"/>
              </w:rPr>
              <w:t>0</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7F94EC2C"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Depreciaciones de bienes</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0F35473A"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 xml:space="preserve">NICSP N° 17, </w:t>
            </w:r>
          </w:p>
          <w:p w14:paraId="09FA3DA3"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Párrafo 59.</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601B4737"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lang w:val="es-CR"/>
              </w:rPr>
              <w:t>DGCN</w:t>
            </w:r>
          </w:p>
        </w:tc>
      </w:tr>
      <w:tr w:rsidR="004741D6" w:rsidRPr="0030399E" w14:paraId="08380C6B" w14:textId="77777777" w:rsidTr="00D16719">
        <w:trPr>
          <w:trHeight w:val="303"/>
        </w:trPr>
        <w:tc>
          <w:tcPr>
            <w:tcW w:w="565" w:type="dxa"/>
            <w:tcBorders>
              <w:top w:val="nil"/>
              <w:left w:val="single" w:sz="8" w:space="0" w:color="auto"/>
              <w:bottom w:val="single" w:sz="8" w:space="0" w:color="auto"/>
              <w:right w:val="single" w:sz="8" w:space="0" w:color="auto"/>
            </w:tcBorders>
            <w:shd w:val="clear" w:color="auto" w:fill="auto"/>
            <w:vAlign w:val="center"/>
            <w:hideMark/>
          </w:tcPr>
          <w:p w14:paraId="29A46F75"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lang w:val="es-CR"/>
              </w:rPr>
              <w:t>1</w:t>
            </w:r>
          </w:p>
        </w:tc>
        <w:tc>
          <w:tcPr>
            <w:tcW w:w="451" w:type="dxa"/>
            <w:tcBorders>
              <w:top w:val="nil"/>
              <w:left w:val="nil"/>
              <w:bottom w:val="single" w:sz="8" w:space="0" w:color="auto"/>
              <w:right w:val="single" w:sz="8" w:space="0" w:color="auto"/>
            </w:tcBorders>
            <w:shd w:val="clear" w:color="auto" w:fill="auto"/>
            <w:noWrap/>
            <w:vAlign w:val="center"/>
            <w:hideMark/>
          </w:tcPr>
          <w:p w14:paraId="24549D5E"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219</w:t>
            </w:r>
          </w:p>
        </w:tc>
        <w:tc>
          <w:tcPr>
            <w:tcW w:w="544" w:type="dxa"/>
            <w:tcBorders>
              <w:top w:val="nil"/>
              <w:left w:val="nil"/>
              <w:bottom w:val="single" w:sz="8" w:space="0" w:color="auto"/>
              <w:right w:val="single" w:sz="8" w:space="0" w:color="auto"/>
            </w:tcBorders>
            <w:shd w:val="clear" w:color="auto" w:fill="auto"/>
            <w:vAlign w:val="center"/>
            <w:hideMark/>
          </w:tcPr>
          <w:p w14:paraId="5D25EC06"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1</w:t>
            </w:r>
          </w:p>
        </w:tc>
        <w:tc>
          <w:tcPr>
            <w:tcW w:w="2860" w:type="dxa"/>
            <w:tcBorders>
              <w:top w:val="nil"/>
              <w:left w:val="nil"/>
              <w:bottom w:val="single" w:sz="8" w:space="0" w:color="auto"/>
              <w:right w:val="single" w:sz="8" w:space="0" w:color="auto"/>
            </w:tcBorders>
            <w:shd w:val="clear" w:color="auto" w:fill="auto"/>
            <w:vAlign w:val="center"/>
            <w:hideMark/>
          </w:tcPr>
          <w:p w14:paraId="12DC89F5"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Distribución inicial</w:t>
            </w:r>
          </w:p>
        </w:tc>
        <w:tc>
          <w:tcPr>
            <w:tcW w:w="2360" w:type="dxa"/>
            <w:tcBorders>
              <w:top w:val="nil"/>
              <w:left w:val="nil"/>
              <w:bottom w:val="single" w:sz="8" w:space="0" w:color="auto"/>
              <w:right w:val="single" w:sz="8" w:space="0" w:color="auto"/>
            </w:tcBorders>
            <w:shd w:val="clear" w:color="auto" w:fill="auto"/>
            <w:vAlign w:val="center"/>
            <w:hideMark/>
          </w:tcPr>
          <w:p w14:paraId="31A5456F"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 xml:space="preserve">NICSP N° 17, </w:t>
            </w:r>
          </w:p>
          <w:p w14:paraId="2C658D77"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Párrafo 60.</w:t>
            </w:r>
          </w:p>
        </w:tc>
        <w:tc>
          <w:tcPr>
            <w:tcW w:w="2100" w:type="dxa"/>
            <w:tcBorders>
              <w:top w:val="nil"/>
              <w:left w:val="nil"/>
              <w:bottom w:val="single" w:sz="8" w:space="0" w:color="auto"/>
              <w:right w:val="single" w:sz="8" w:space="0" w:color="auto"/>
            </w:tcBorders>
            <w:shd w:val="clear" w:color="auto" w:fill="auto"/>
            <w:vAlign w:val="center"/>
            <w:hideMark/>
          </w:tcPr>
          <w:p w14:paraId="4EF0D569"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 xml:space="preserve"> </w:t>
            </w:r>
          </w:p>
        </w:tc>
      </w:tr>
      <w:tr w:rsidR="004741D6" w:rsidRPr="0030399E" w14:paraId="784821D3" w14:textId="77777777" w:rsidTr="00D16719">
        <w:trPr>
          <w:trHeight w:val="355"/>
        </w:trPr>
        <w:tc>
          <w:tcPr>
            <w:tcW w:w="565" w:type="dxa"/>
            <w:tcBorders>
              <w:top w:val="nil"/>
              <w:left w:val="single" w:sz="8" w:space="0" w:color="auto"/>
              <w:bottom w:val="single" w:sz="8" w:space="0" w:color="auto"/>
              <w:right w:val="single" w:sz="8" w:space="0" w:color="auto"/>
            </w:tcBorders>
            <w:shd w:val="clear" w:color="auto" w:fill="auto"/>
            <w:vAlign w:val="center"/>
            <w:hideMark/>
          </w:tcPr>
          <w:p w14:paraId="69410E3B"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lang w:val="es-CR"/>
              </w:rPr>
              <w:t>1</w:t>
            </w:r>
          </w:p>
        </w:tc>
        <w:tc>
          <w:tcPr>
            <w:tcW w:w="451" w:type="dxa"/>
            <w:tcBorders>
              <w:top w:val="nil"/>
              <w:left w:val="nil"/>
              <w:bottom w:val="single" w:sz="8" w:space="0" w:color="auto"/>
              <w:right w:val="single" w:sz="8" w:space="0" w:color="auto"/>
            </w:tcBorders>
            <w:shd w:val="clear" w:color="auto" w:fill="auto"/>
            <w:noWrap/>
            <w:vAlign w:val="center"/>
            <w:hideMark/>
          </w:tcPr>
          <w:p w14:paraId="7FCBD176"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219</w:t>
            </w:r>
          </w:p>
        </w:tc>
        <w:tc>
          <w:tcPr>
            <w:tcW w:w="544" w:type="dxa"/>
            <w:tcBorders>
              <w:top w:val="nil"/>
              <w:left w:val="nil"/>
              <w:bottom w:val="single" w:sz="8" w:space="0" w:color="auto"/>
              <w:right w:val="single" w:sz="8" w:space="0" w:color="auto"/>
            </w:tcBorders>
            <w:shd w:val="clear" w:color="auto" w:fill="auto"/>
            <w:vAlign w:val="center"/>
            <w:hideMark/>
          </w:tcPr>
          <w:p w14:paraId="492F8883"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2</w:t>
            </w:r>
          </w:p>
        </w:tc>
        <w:tc>
          <w:tcPr>
            <w:tcW w:w="2860" w:type="dxa"/>
            <w:tcBorders>
              <w:top w:val="nil"/>
              <w:left w:val="nil"/>
              <w:bottom w:val="single" w:sz="8" w:space="0" w:color="auto"/>
              <w:right w:val="single" w:sz="8" w:space="0" w:color="auto"/>
            </w:tcBorders>
            <w:shd w:val="clear" w:color="auto" w:fill="auto"/>
            <w:vAlign w:val="center"/>
            <w:hideMark/>
          </w:tcPr>
          <w:p w14:paraId="3F94F21D"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Grado de materialidad</w:t>
            </w:r>
          </w:p>
        </w:tc>
        <w:tc>
          <w:tcPr>
            <w:tcW w:w="2360" w:type="dxa"/>
            <w:tcBorders>
              <w:top w:val="nil"/>
              <w:left w:val="nil"/>
              <w:bottom w:val="single" w:sz="8" w:space="0" w:color="auto"/>
              <w:right w:val="single" w:sz="8" w:space="0" w:color="auto"/>
            </w:tcBorders>
            <w:shd w:val="clear" w:color="auto" w:fill="auto"/>
            <w:vAlign w:val="center"/>
            <w:hideMark/>
          </w:tcPr>
          <w:p w14:paraId="50192B49"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 xml:space="preserve">NICSP N° 17, </w:t>
            </w:r>
          </w:p>
          <w:p w14:paraId="709E66CF"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Párrafo 61.</w:t>
            </w:r>
          </w:p>
        </w:tc>
        <w:tc>
          <w:tcPr>
            <w:tcW w:w="2100" w:type="dxa"/>
            <w:tcBorders>
              <w:top w:val="nil"/>
              <w:left w:val="nil"/>
              <w:bottom w:val="single" w:sz="8" w:space="0" w:color="auto"/>
              <w:right w:val="single" w:sz="8" w:space="0" w:color="auto"/>
            </w:tcBorders>
            <w:shd w:val="clear" w:color="auto" w:fill="auto"/>
            <w:vAlign w:val="center"/>
            <w:hideMark/>
          </w:tcPr>
          <w:p w14:paraId="07DB047F"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 xml:space="preserve">DGCN </w:t>
            </w:r>
          </w:p>
        </w:tc>
      </w:tr>
      <w:tr w:rsidR="004741D6" w:rsidRPr="0030399E" w14:paraId="041CD272" w14:textId="77777777" w:rsidTr="00D16719">
        <w:trPr>
          <w:trHeight w:val="846"/>
        </w:trPr>
        <w:tc>
          <w:tcPr>
            <w:tcW w:w="565" w:type="dxa"/>
            <w:tcBorders>
              <w:top w:val="nil"/>
              <w:left w:val="single" w:sz="8" w:space="0" w:color="auto"/>
              <w:bottom w:val="single" w:sz="8" w:space="0" w:color="auto"/>
              <w:right w:val="single" w:sz="8" w:space="0" w:color="auto"/>
            </w:tcBorders>
            <w:shd w:val="clear" w:color="auto" w:fill="auto"/>
            <w:vAlign w:val="center"/>
            <w:hideMark/>
          </w:tcPr>
          <w:p w14:paraId="02468382"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lang w:val="es-CR"/>
              </w:rPr>
              <w:t>1</w:t>
            </w:r>
          </w:p>
        </w:tc>
        <w:tc>
          <w:tcPr>
            <w:tcW w:w="451" w:type="dxa"/>
            <w:tcBorders>
              <w:top w:val="nil"/>
              <w:left w:val="nil"/>
              <w:bottom w:val="single" w:sz="8" w:space="0" w:color="auto"/>
              <w:right w:val="single" w:sz="8" w:space="0" w:color="auto"/>
            </w:tcBorders>
            <w:shd w:val="clear" w:color="auto" w:fill="auto"/>
            <w:noWrap/>
            <w:vAlign w:val="center"/>
            <w:hideMark/>
          </w:tcPr>
          <w:p w14:paraId="662FBC69"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219</w:t>
            </w:r>
          </w:p>
        </w:tc>
        <w:tc>
          <w:tcPr>
            <w:tcW w:w="544" w:type="dxa"/>
            <w:tcBorders>
              <w:top w:val="nil"/>
              <w:left w:val="nil"/>
              <w:bottom w:val="single" w:sz="8" w:space="0" w:color="auto"/>
              <w:right w:val="single" w:sz="8" w:space="0" w:color="auto"/>
            </w:tcBorders>
            <w:shd w:val="clear" w:color="auto" w:fill="auto"/>
            <w:vAlign w:val="center"/>
            <w:hideMark/>
          </w:tcPr>
          <w:p w14:paraId="505BEC1A" w14:textId="77777777" w:rsidR="004741D6" w:rsidRPr="0030399E" w:rsidRDefault="004741D6" w:rsidP="00D16719">
            <w:pPr>
              <w:jc w:val="center"/>
              <w:rPr>
                <w:rFonts w:ascii="Arial Narrow" w:eastAsia="Times New Roman" w:hAnsi="Arial Narrow"/>
                <w:b/>
                <w:bCs/>
                <w:color w:val="000000"/>
              </w:rPr>
            </w:pPr>
            <w:r w:rsidRPr="0030399E">
              <w:rPr>
                <w:rFonts w:ascii="Arial Narrow" w:eastAsia="Times New Roman" w:hAnsi="Arial Narrow"/>
                <w:b/>
                <w:bCs/>
                <w:color w:val="000000"/>
              </w:rPr>
              <w:t>3</w:t>
            </w:r>
          </w:p>
        </w:tc>
        <w:tc>
          <w:tcPr>
            <w:tcW w:w="2860" w:type="dxa"/>
            <w:tcBorders>
              <w:top w:val="nil"/>
              <w:left w:val="nil"/>
              <w:bottom w:val="single" w:sz="8" w:space="0" w:color="auto"/>
              <w:right w:val="single" w:sz="8" w:space="0" w:color="auto"/>
            </w:tcBorders>
            <w:shd w:val="clear" w:color="auto" w:fill="auto"/>
            <w:vAlign w:val="center"/>
            <w:hideMark/>
          </w:tcPr>
          <w:p w14:paraId="717D77C3"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rPr>
              <w:t xml:space="preserve"> Excepciones</w:t>
            </w:r>
          </w:p>
        </w:tc>
        <w:tc>
          <w:tcPr>
            <w:tcW w:w="2360" w:type="dxa"/>
            <w:tcBorders>
              <w:top w:val="nil"/>
              <w:left w:val="nil"/>
              <w:bottom w:val="single" w:sz="8" w:space="0" w:color="auto"/>
              <w:right w:val="single" w:sz="8" w:space="0" w:color="auto"/>
            </w:tcBorders>
            <w:shd w:val="clear" w:color="auto" w:fill="auto"/>
            <w:vAlign w:val="center"/>
            <w:hideMark/>
          </w:tcPr>
          <w:p w14:paraId="75685744" w14:textId="77777777" w:rsidR="004741D6" w:rsidRPr="0030399E" w:rsidRDefault="004741D6" w:rsidP="00D16719">
            <w:pPr>
              <w:jc w:val="both"/>
              <w:rPr>
                <w:rFonts w:ascii="Arial Narrow" w:eastAsia="Times New Roman" w:hAnsi="Arial Narrow"/>
                <w:b/>
                <w:bCs/>
                <w:color w:val="000000"/>
              </w:rPr>
            </w:pPr>
            <w:r w:rsidRPr="0030399E">
              <w:rPr>
                <w:rFonts w:ascii="Arial Narrow" w:eastAsia="Times New Roman" w:hAnsi="Arial Narrow"/>
                <w:b/>
                <w:bCs/>
                <w:color w:val="000000"/>
                <w:lang w:val="es-CR"/>
              </w:rPr>
              <w:t xml:space="preserve"> </w:t>
            </w:r>
          </w:p>
        </w:tc>
        <w:tc>
          <w:tcPr>
            <w:tcW w:w="2100" w:type="dxa"/>
            <w:tcBorders>
              <w:top w:val="nil"/>
              <w:left w:val="nil"/>
              <w:bottom w:val="single" w:sz="8" w:space="0" w:color="auto"/>
              <w:right w:val="single" w:sz="8" w:space="0" w:color="auto"/>
            </w:tcBorders>
            <w:shd w:val="clear" w:color="auto" w:fill="auto"/>
            <w:vAlign w:val="center"/>
            <w:hideMark/>
          </w:tcPr>
          <w:p w14:paraId="3EE8CD68" w14:textId="77777777" w:rsidR="004741D6" w:rsidRPr="0030399E" w:rsidRDefault="004741D6" w:rsidP="00D16719">
            <w:pPr>
              <w:jc w:val="both"/>
              <w:rPr>
                <w:rFonts w:ascii="Arial Narrow" w:eastAsia="Times New Roman" w:hAnsi="Arial Narrow"/>
                <w:b/>
                <w:bCs/>
                <w:color w:val="000000"/>
                <w:lang w:val="es-CR"/>
              </w:rPr>
            </w:pPr>
            <w:r w:rsidRPr="0030399E">
              <w:rPr>
                <w:rFonts w:ascii="Arial Narrow" w:eastAsia="Times New Roman" w:hAnsi="Arial Narrow"/>
                <w:b/>
                <w:bCs/>
                <w:color w:val="000000"/>
                <w:lang w:val="es-CR"/>
              </w:rPr>
              <w:t xml:space="preserve"> Reglamento para la Administración de los Bienes</w:t>
            </w:r>
            <w:r w:rsidRPr="0030399E">
              <w:rPr>
                <w:rFonts w:ascii="Arial Narrow" w:eastAsia="Times New Roman" w:hAnsi="Arial Narrow"/>
                <w:b/>
                <w:bCs/>
                <w:color w:val="000000"/>
                <w:lang w:val="es-CR"/>
              </w:rPr>
              <w:br/>
              <w:t>de la Municipalidad de Buenos Aires</w:t>
            </w:r>
          </w:p>
        </w:tc>
      </w:tr>
    </w:tbl>
    <w:p w14:paraId="60C213B6" w14:textId="77777777" w:rsidR="004741D6" w:rsidRDefault="004741D6" w:rsidP="004741D6">
      <w:pPr>
        <w:spacing w:line="238" w:lineRule="auto"/>
        <w:ind w:left="1134" w:right="260" w:hanging="1134"/>
        <w:jc w:val="both"/>
        <w:rPr>
          <w:rFonts w:ascii="Arial" w:eastAsia="Arial" w:hAnsi="Arial"/>
          <w:b/>
          <w:sz w:val="22"/>
          <w:szCs w:val="22"/>
          <w:lang w:val="es-CR"/>
        </w:rPr>
      </w:pPr>
    </w:p>
    <w:p w14:paraId="79EA3D73" w14:textId="2A444FDA" w:rsidR="00D535E1" w:rsidRPr="0030399E" w:rsidRDefault="00D535E1" w:rsidP="004741D6">
      <w:pPr>
        <w:spacing w:line="238" w:lineRule="auto"/>
        <w:ind w:left="1134" w:right="260" w:hanging="1134"/>
        <w:jc w:val="both"/>
        <w:rPr>
          <w:rFonts w:ascii="Arial" w:eastAsia="Arial" w:hAnsi="Arial"/>
          <w:b/>
          <w:sz w:val="22"/>
          <w:szCs w:val="22"/>
          <w:lang w:val="es-CR"/>
        </w:rPr>
      </w:pPr>
      <w:r w:rsidRPr="0030399E">
        <w:rPr>
          <w:rFonts w:ascii="Arial" w:eastAsia="Arial" w:hAnsi="Arial"/>
          <w:b/>
          <w:sz w:val="22"/>
          <w:szCs w:val="22"/>
          <w:lang w:val="es-CR"/>
        </w:rPr>
        <w:t>Políticas Contables</w:t>
      </w:r>
    </w:p>
    <w:p w14:paraId="131E4B86" w14:textId="77777777" w:rsidR="00D535E1" w:rsidRDefault="00D535E1" w:rsidP="004741D6">
      <w:pPr>
        <w:spacing w:line="238" w:lineRule="auto"/>
        <w:ind w:left="1134" w:right="260" w:hanging="1134"/>
        <w:jc w:val="both"/>
        <w:rPr>
          <w:rFonts w:ascii="Arial" w:eastAsia="Arial" w:hAnsi="Arial"/>
          <w:b/>
          <w:sz w:val="22"/>
          <w:szCs w:val="22"/>
          <w:lang w:val="es-CR"/>
        </w:rPr>
      </w:pPr>
    </w:p>
    <w:p w14:paraId="107B2515" w14:textId="60102752" w:rsidR="004741D6" w:rsidRPr="00CC0043" w:rsidRDefault="004741D6" w:rsidP="004741D6">
      <w:pPr>
        <w:spacing w:line="237"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1.219.0.01</w:t>
      </w:r>
      <w:r>
        <w:rPr>
          <w:rFonts w:ascii="Arial" w:eastAsia="Arial" w:hAnsi="Arial"/>
          <w:bCs/>
          <w:sz w:val="22"/>
          <w:szCs w:val="22"/>
          <w:lang w:val="es-CR"/>
        </w:rPr>
        <w:tab/>
      </w:r>
      <w:r w:rsidRPr="00CC0043">
        <w:rPr>
          <w:rFonts w:ascii="Arial" w:eastAsia="Arial" w:hAnsi="Arial"/>
          <w:bCs/>
          <w:sz w:val="22"/>
          <w:szCs w:val="22"/>
          <w:lang w:val="es-CR"/>
        </w:rPr>
        <w:t xml:space="preserve">La </w:t>
      </w:r>
      <w:r w:rsidR="000F29DC">
        <w:rPr>
          <w:rFonts w:ascii="Arial" w:eastAsia="Arial" w:hAnsi="Arial"/>
          <w:bCs/>
          <w:sz w:val="22"/>
          <w:szCs w:val="22"/>
          <w:lang w:val="es-CR"/>
        </w:rPr>
        <w:t>MBA</w:t>
      </w:r>
      <w:r w:rsidRPr="00CC0043">
        <w:rPr>
          <w:rFonts w:ascii="Arial" w:eastAsia="Arial" w:hAnsi="Arial"/>
          <w:bCs/>
          <w:sz w:val="22"/>
          <w:szCs w:val="22"/>
          <w:lang w:val="es-CR"/>
        </w:rPr>
        <w:t xml:space="preserve"> depreciará de forma separada cada parte de un elemento que tenga un costo significativo, con relación al costo total de los bienes comprendidos en las siguientes cuentas del activo fijo</w:t>
      </w:r>
      <w:r>
        <w:rPr>
          <w:rFonts w:ascii="Arial" w:eastAsia="Arial" w:hAnsi="Arial"/>
          <w:bCs/>
          <w:sz w:val="22"/>
          <w:szCs w:val="22"/>
          <w:lang w:val="es-CR"/>
        </w:rPr>
        <w:t xml:space="preserve"> </w:t>
      </w:r>
      <w:r w:rsidRPr="00CC0043">
        <w:rPr>
          <w:rFonts w:ascii="Arial" w:eastAsia="Arial" w:hAnsi="Arial"/>
          <w:bCs/>
          <w:sz w:val="22"/>
          <w:szCs w:val="22"/>
          <w:lang w:val="es-CR"/>
        </w:rPr>
        <w:t>Propiedades, planta y equipos explotados (excluidos las tierras y terrenos libres de mejoras).</w:t>
      </w:r>
    </w:p>
    <w:p w14:paraId="5F4A42AF" w14:textId="77777777" w:rsidR="004741D6" w:rsidRPr="00CC0043" w:rsidRDefault="004741D6" w:rsidP="004741D6">
      <w:pPr>
        <w:spacing w:line="276" w:lineRule="exact"/>
        <w:rPr>
          <w:rFonts w:ascii="Times New Roman" w:eastAsia="Times New Roman" w:hAnsi="Times New Roman"/>
          <w:bCs/>
          <w:sz w:val="22"/>
          <w:szCs w:val="22"/>
          <w:lang w:val="es-CR"/>
        </w:rPr>
      </w:pPr>
    </w:p>
    <w:p w14:paraId="3EED2C49" w14:textId="77777777" w:rsidR="004741D6" w:rsidRPr="00B5026F" w:rsidRDefault="004741D6" w:rsidP="004741D6">
      <w:pPr>
        <w:spacing w:line="9" w:lineRule="exact"/>
        <w:rPr>
          <w:rFonts w:ascii="Arial" w:eastAsia="Arial" w:hAnsi="Arial"/>
          <w:bCs/>
          <w:sz w:val="22"/>
          <w:szCs w:val="22"/>
          <w:lang w:val="es-CR"/>
        </w:rPr>
      </w:pPr>
    </w:p>
    <w:p w14:paraId="2BC8B7E6" w14:textId="20F807E7" w:rsidR="004741D6" w:rsidRPr="00CC0043" w:rsidRDefault="004741D6" w:rsidP="004741D6">
      <w:pPr>
        <w:spacing w:line="237"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1.219.1.01</w:t>
      </w:r>
      <w:r>
        <w:rPr>
          <w:rFonts w:ascii="Arial" w:eastAsia="Arial" w:hAnsi="Arial"/>
          <w:bCs/>
          <w:sz w:val="22"/>
          <w:szCs w:val="22"/>
          <w:lang w:val="es-CR"/>
        </w:rPr>
        <w:tab/>
      </w:r>
      <w:r w:rsidRPr="00CC0043">
        <w:rPr>
          <w:rFonts w:ascii="Arial" w:eastAsia="Arial" w:hAnsi="Arial"/>
          <w:bCs/>
          <w:sz w:val="22"/>
          <w:szCs w:val="22"/>
          <w:lang w:val="es-CR"/>
        </w:rPr>
        <w:t xml:space="preserve">La </w:t>
      </w:r>
      <w:r w:rsidR="000F29DC">
        <w:rPr>
          <w:rFonts w:ascii="Arial" w:eastAsia="Arial" w:hAnsi="Arial"/>
          <w:bCs/>
          <w:sz w:val="22"/>
          <w:szCs w:val="22"/>
          <w:lang w:val="es-CR"/>
        </w:rPr>
        <w:t>MBA</w:t>
      </w:r>
      <w:r w:rsidRPr="00CC0043">
        <w:rPr>
          <w:rFonts w:ascii="Arial" w:eastAsia="Arial" w:hAnsi="Arial"/>
          <w:bCs/>
          <w:sz w:val="22"/>
          <w:szCs w:val="22"/>
          <w:lang w:val="es-CR"/>
        </w:rPr>
        <w:t xml:space="preserve"> distribuirá el importe inicialmente reconocido en cada una de las cuentas de los bienes depreciables, en partes significativas, y depreciará cada una de dichas partes en forma separada.</w:t>
      </w:r>
    </w:p>
    <w:p w14:paraId="4E43C20E" w14:textId="77777777" w:rsidR="004741D6" w:rsidRPr="00CC0043" w:rsidRDefault="004741D6" w:rsidP="004741D6">
      <w:pPr>
        <w:spacing w:line="277" w:lineRule="exact"/>
        <w:rPr>
          <w:rFonts w:ascii="Arial" w:eastAsia="Arial" w:hAnsi="Arial"/>
          <w:bCs/>
          <w:sz w:val="22"/>
          <w:szCs w:val="22"/>
          <w:lang w:val="es-CR"/>
        </w:rPr>
      </w:pPr>
    </w:p>
    <w:p w14:paraId="18786237" w14:textId="77777777" w:rsidR="004741D6" w:rsidRPr="00A743F0" w:rsidRDefault="004741D6" w:rsidP="004741D6">
      <w:pPr>
        <w:spacing w:line="9" w:lineRule="exact"/>
        <w:rPr>
          <w:rFonts w:ascii="Arial" w:eastAsia="Arial" w:hAnsi="Arial"/>
          <w:bCs/>
          <w:sz w:val="22"/>
          <w:szCs w:val="22"/>
          <w:lang w:val="es-CR"/>
        </w:rPr>
      </w:pPr>
    </w:p>
    <w:p w14:paraId="5D5C8443" w14:textId="73E908CB" w:rsidR="004741D6" w:rsidRPr="00CC0043" w:rsidRDefault="004741D6" w:rsidP="004741D6">
      <w:pPr>
        <w:spacing w:line="237"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1.219.2.01</w:t>
      </w:r>
      <w:r>
        <w:rPr>
          <w:rFonts w:ascii="Arial" w:eastAsia="Arial" w:hAnsi="Arial"/>
          <w:bCs/>
          <w:sz w:val="22"/>
          <w:szCs w:val="22"/>
          <w:lang w:val="es-CR"/>
        </w:rPr>
        <w:tab/>
      </w:r>
      <w:r w:rsidRPr="00CC0043">
        <w:rPr>
          <w:rFonts w:ascii="Arial" w:eastAsia="Arial" w:hAnsi="Arial"/>
          <w:bCs/>
          <w:sz w:val="22"/>
          <w:szCs w:val="22"/>
          <w:lang w:val="es-CR"/>
        </w:rPr>
        <w:t xml:space="preserve">Una parte significativa de un elemento de los bienes puede tener una vida útil y un método de depreciación que coincidan con la vida y el método utilizados para otra parte significativa del mismo elemento. En tal caso, </w:t>
      </w:r>
      <w:r w:rsidR="00AA22E2" w:rsidRPr="00CC0043">
        <w:rPr>
          <w:rFonts w:ascii="Arial" w:eastAsia="Arial" w:hAnsi="Arial"/>
          <w:bCs/>
          <w:sz w:val="22"/>
          <w:szCs w:val="22"/>
          <w:lang w:val="es-CR"/>
        </w:rPr>
        <w:t>a</w:t>
      </w:r>
      <w:r w:rsidR="00AA22E2">
        <w:rPr>
          <w:rFonts w:ascii="Arial" w:eastAsia="Arial" w:hAnsi="Arial"/>
          <w:bCs/>
          <w:sz w:val="22"/>
          <w:szCs w:val="22"/>
          <w:lang w:val="es-CR"/>
        </w:rPr>
        <w:t>mba</w:t>
      </w:r>
      <w:r w:rsidR="00AA22E2" w:rsidRPr="00CC0043">
        <w:rPr>
          <w:rFonts w:ascii="Arial" w:eastAsia="Arial" w:hAnsi="Arial"/>
          <w:bCs/>
          <w:sz w:val="22"/>
          <w:szCs w:val="22"/>
          <w:lang w:val="es-CR"/>
        </w:rPr>
        <w:t>s</w:t>
      </w:r>
      <w:r w:rsidRPr="00CC0043">
        <w:rPr>
          <w:rFonts w:ascii="Arial" w:eastAsia="Arial" w:hAnsi="Arial"/>
          <w:bCs/>
          <w:sz w:val="22"/>
          <w:szCs w:val="22"/>
          <w:lang w:val="es-CR"/>
        </w:rPr>
        <w:t xml:space="preserve"> partes</w:t>
      </w:r>
      <w:bookmarkStart w:id="75" w:name="page80"/>
      <w:bookmarkEnd w:id="75"/>
      <w:r w:rsidRPr="00CC0043">
        <w:rPr>
          <w:rFonts w:ascii="Arial" w:eastAsia="Arial" w:hAnsi="Arial"/>
          <w:bCs/>
          <w:sz w:val="22"/>
          <w:szCs w:val="22"/>
          <w:lang w:val="es-CR"/>
        </w:rPr>
        <w:t xml:space="preserve"> podrían agruparse para determinar el cargo por depreciación. La </w:t>
      </w:r>
      <w:r w:rsidR="000F29DC">
        <w:rPr>
          <w:rFonts w:ascii="Arial" w:eastAsia="Arial" w:hAnsi="Arial"/>
          <w:bCs/>
          <w:sz w:val="22"/>
          <w:szCs w:val="22"/>
          <w:lang w:val="es-CR"/>
        </w:rPr>
        <w:t>MBA</w:t>
      </w:r>
      <w:r w:rsidRPr="00CC0043">
        <w:rPr>
          <w:rFonts w:ascii="Arial" w:eastAsia="Arial" w:hAnsi="Arial"/>
          <w:bCs/>
          <w:sz w:val="22"/>
          <w:szCs w:val="22"/>
          <w:lang w:val="es-CR"/>
        </w:rPr>
        <w:t>, establecerá los lineamientos porcentuales para determinar el grado de materialidad de los costos dentro del costo total del bien, a efectos de la separación para el cálculo de la depreciación.</w:t>
      </w:r>
    </w:p>
    <w:p w14:paraId="414AE597" w14:textId="77777777" w:rsidR="004741D6" w:rsidRPr="00CC0043" w:rsidRDefault="004741D6" w:rsidP="004741D6">
      <w:pPr>
        <w:spacing w:line="276" w:lineRule="exact"/>
        <w:rPr>
          <w:rFonts w:ascii="Times New Roman" w:eastAsia="Times New Roman" w:hAnsi="Times New Roman"/>
          <w:bCs/>
          <w:sz w:val="22"/>
          <w:szCs w:val="22"/>
          <w:lang w:val="es-CR"/>
        </w:rPr>
      </w:pPr>
    </w:p>
    <w:p w14:paraId="7156B73B" w14:textId="77777777" w:rsidR="004741D6" w:rsidRPr="00A743F0" w:rsidRDefault="004741D6" w:rsidP="004741D6">
      <w:pPr>
        <w:spacing w:line="9" w:lineRule="exact"/>
        <w:rPr>
          <w:rFonts w:ascii="Arial" w:eastAsia="Arial" w:hAnsi="Arial"/>
          <w:bCs/>
          <w:sz w:val="22"/>
          <w:szCs w:val="22"/>
          <w:lang w:val="es-CR"/>
        </w:rPr>
      </w:pPr>
    </w:p>
    <w:p w14:paraId="26C0496C" w14:textId="1B93EA3E" w:rsidR="004741D6" w:rsidRPr="00CC0043" w:rsidRDefault="004741D6" w:rsidP="004741D6">
      <w:pPr>
        <w:spacing w:line="237"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1.210.3.01</w:t>
      </w:r>
      <w:r>
        <w:rPr>
          <w:rFonts w:ascii="Arial" w:eastAsia="Arial" w:hAnsi="Arial"/>
          <w:bCs/>
          <w:sz w:val="22"/>
          <w:szCs w:val="22"/>
          <w:lang w:val="es-CR"/>
        </w:rPr>
        <w:tab/>
      </w:r>
      <w:r w:rsidRPr="00CC0043">
        <w:rPr>
          <w:rFonts w:ascii="Arial" w:eastAsia="Arial" w:hAnsi="Arial"/>
          <w:bCs/>
          <w:sz w:val="22"/>
          <w:szCs w:val="22"/>
          <w:lang w:val="es-CR"/>
        </w:rPr>
        <w:t xml:space="preserve">La </w:t>
      </w:r>
      <w:r w:rsidR="000F29DC">
        <w:rPr>
          <w:rFonts w:ascii="Arial" w:eastAsia="Arial" w:hAnsi="Arial"/>
          <w:bCs/>
          <w:sz w:val="22"/>
          <w:szCs w:val="22"/>
          <w:lang w:val="es-CR"/>
        </w:rPr>
        <w:t>MBA</w:t>
      </w:r>
      <w:r w:rsidRPr="00CC0043">
        <w:rPr>
          <w:rFonts w:ascii="Arial" w:eastAsia="Arial" w:hAnsi="Arial"/>
          <w:bCs/>
          <w:sz w:val="22"/>
          <w:szCs w:val="22"/>
          <w:lang w:val="es-CR"/>
        </w:rPr>
        <w:t xml:space="preserve">, no depreciará los activos de la partida Equipo Educacional, porque considera impracticable determinar una vida útil uniforme, lo anterior debido a su naturaleza (CD, libros impresos, libros electrónicos, revistas impresas y electrónicas, entre otros. Para estos activos, la </w:t>
      </w:r>
      <w:r w:rsidR="000F29DC">
        <w:rPr>
          <w:rFonts w:ascii="Arial" w:eastAsia="Arial" w:hAnsi="Arial"/>
          <w:bCs/>
          <w:sz w:val="22"/>
          <w:szCs w:val="22"/>
          <w:lang w:val="es-CR"/>
        </w:rPr>
        <w:t>MBA</w:t>
      </w:r>
      <w:r w:rsidRPr="00CC0043">
        <w:rPr>
          <w:rFonts w:ascii="Arial" w:eastAsia="Arial" w:hAnsi="Arial"/>
          <w:bCs/>
          <w:sz w:val="22"/>
          <w:szCs w:val="22"/>
          <w:lang w:val="es-CR"/>
        </w:rPr>
        <w:t xml:space="preserve"> revisará, al menos una vez al año, o cuando existan indicadores internos o externos, si los activos pueden tener deterioro, siguiendo los requerimientos de la NICSP 21 Deterioro del valor de activos no generadores de efectivo.</w:t>
      </w:r>
    </w:p>
    <w:p w14:paraId="39CD78CB" w14:textId="77777777" w:rsidR="004741D6" w:rsidRDefault="004741D6" w:rsidP="004741D6">
      <w:pPr>
        <w:spacing w:line="238" w:lineRule="auto"/>
        <w:ind w:left="1134" w:right="260" w:hanging="1134"/>
        <w:jc w:val="both"/>
        <w:rPr>
          <w:rFonts w:ascii="Arial" w:eastAsia="Arial" w:hAnsi="Arial"/>
          <w:b/>
          <w:sz w:val="22"/>
          <w:szCs w:val="22"/>
          <w:lang w:val="es-CR"/>
        </w:rPr>
      </w:pPr>
    </w:p>
    <w:p w14:paraId="1A9FE54E"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9"/>
        <w:gridCol w:w="550"/>
        <w:gridCol w:w="537"/>
        <w:gridCol w:w="3164"/>
        <w:gridCol w:w="2330"/>
        <w:gridCol w:w="1922"/>
      </w:tblGrid>
      <w:tr w:rsidR="004741D6" w:rsidRPr="0030399E" w14:paraId="67764E2B" w14:textId="77777777" w:rsidTr="00D16719">
        <w:trPr>
          <w:trHeight w:val="320"/>
        </w:trPr>
        <w:tc>
          <w:tcPr>
            <w:tcW w:w="164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32CA7D9"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Norma / Política</w:t>
            </w:r>
          </w:p>
        </w:tc>
        <w:tc>
          <w:tcPr>
            <w:tcW w:w="3164" w:type="dxa"/>
            <w:vMerge w:val="restart"/>
            <w:tcBorders>
              <w:top w:val="single" w:sz="8" w:space="0" w:color="auto"/>
              <w:left w:val="single" w:sz="8" w:space="0" w:color="auto"/>
              <w:bottom w:val="nil"/>
              <w:right w:val="single" w:sz="8" w:space="0" w:color="auto"/>
            </w:tcBorders>
            <w:shd w:val="clear" w:color="000000" w:fill="203764"/>
            <w:vAlign w:val="center"/>
            <w:hideMark/>
          </w:tcPr>
          <w:p w14:paraId="632FE062"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3EC0046B"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Referencia</w:t>
            </w:r>
          </w:p>
        </w:tc>
      </w:tr>
      <w:tr w:rsidR="004741D6" w:rsidRPr="0071104F" w14:paraId="75C21829" w14:textId="77777777" w:rsidTr="00D16719">
        <w:trPr>
          <w:trHeight w:val="320"/>
        </w:trPr>
        <w:tc>
          <w:tcPr>
            <w:tcW w:w="1646" w:type="dxa"/>
            <w:gridSpan w:val="3"/>
            <w:vMerge/>
            <w:tcBorders>
              <w:top w:val="single" w:sz="8" w:space="0" w:color="auto"/>
              <w:left w:val="single" w:sz="8" w:space="0" w:color="auto"/>
              <w:bottom w:val="nil"/>
              <w:right w:val="single" w:sz="8" w:space="0" w:color="000000"/>
            </w:tcBorders>
            <w:vAlign w:val="center"/>
            <w:hideMark/>
          </w:tcPr>
          <w:p w14:paraId="40A1A488" w14:textId="77777777" w:rsidR="004741D6" w:rsidRPr="0030399E" w:rsidRDefault="004741D6" w:rsidP="00D16719">
            <w:pPr>
              <w:rPr>
                <w:rFonts w:ascii="Arial Narrow" w:eastAsia="Times New Roman" w:hAnsi="Arial Narrow"/>
                <w:b/>
                <w:bCs/>
                <w:color w:val="FFFFFF"/>
                <w:sz w:val="22"/>
                <w:szCs w:val="22"/>
              </w:rPr>
            </w:pPr>
          </w:p>
        </w:tc>
        <w:tc>
          <w:tcPr>
            <w:tcW w:w="3164" w:type="dxa"/>
            <w:vMerge/>
            <w:tcBorders>
              <w:top w:val="single" w:sz="8" w:space="0" w:color="auto"/>
              <w:left w:val="single" w:sz="8" w:space="0" w:color="auto"/>
              <w:bottom w:val="nil"/>
              <w:right w:val="single" w:sz="8" w:space="0" w:color="auto"/>
            </w:tcBorders>
            <w:vAlign w:val="center"/>
            <w:hideMark/>
          </w:tcPr>
          <w:p w14:paraId="1431D83D" w14:textId="77777777" w:rsidR="004741D6" w:rsidRPr="0030399E" w:rsidRDefault="004741D6" w:rsidP="00D16719">
            <w:pPr>
              <w:rPr>
                <w:rFonts w:ascii="Arial Narrow" w:eastAsia="Times New Roman" w:hAnsi="Arial Narrow"/>
                <w:b/>
                <w:bCs/>
                <w:color w:val="FFFFFF"/>
                <w:sz w:val="22"/>
                <w:szCs w:val="22"/>
              </w:rPr>
            </w:pPr>
          </w:p>
        </w:tc>
        <w:tc>
          <w:tcPr>
            <w:tcW w:w="2330" w:type="dxa"/>
            <w:tcBorders>
              <w:top w:val="nil"/>
              <w:left w:val="nil"/>
              <w:bottom w:val="nil"/>
              <w:right w:val="single" w:sz="8" w:space="0" w:color="auto"/>
            </w:tcBorders>
            <w:shd w:val="clear" w:color="000000" w:fill="203764"/>
            <w:vAlign w:val="center"/>
            <w:hideMark/>
          </w:tcPr>
          <w:p w14:paraId="5741660A"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Norma</w:t>
            </w:r>
          </w:p>
        </w:tc>
        <w:tc>
          <w:tcPr>
            <w:tcW w:w="1922" w:type="dxa"/>
            <w:tcBorders>
              <w:top w:val="nil"/>
              <w:left w:val="nil"/>
              <w:bottom w:val="nil"/>
              <w:right w:val="single" w:sz="8" w:space="0" w:color="auto"/>
            </w:tcBorders>
            <w:shd w:val="clear" w:color="000000" w:fill="203764"/>
            <w:vAlign w:val="center"/>
            <w:hideMark/>
          </w:tcPr>
          <w:p w14:paraId="02F46B39" w14:textId="5AFC7507" w:rsidR="004741D6" w:rsidRPr="0071104F" w:rsidRDefault="0071104F"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30399E" w14:paraId="55A811F2" w14:textId="77777777" w:rsidTr="00D16719">
        <w:trPr>
          <w:trHeight w:val="630"/>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25CE6A" w14:textId="77777777" w:rsidR="004741D6" w:rsidRPr="0030399E" w:rsidRDefault="004741D6" w:rsidP="00D16719">
            <w:pPr>
              <w:jc w:val="center"/>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lang w:val="es-CR"/>
              </w:rPr>
              <w:t>1</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14:paraId="6F6C8A1A" w14:textId="77777777" w:rsidR="004741D6" w:rsidRPr="0030399E" w:rsidRDefault="004741D6" w:rsidP="00D16719">
            <w:pPr>
              <w:jc w:val="center"/>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rPr>
              <w:t>220</w:t>
            </w:r>
          </w:p>
        </w:tc>
        <w:tc>
          <w:tcPr>
            <w:tcW w:w="537" w:type="dxa"/>
            <w:tcBorders>
              <w:top w:val="single" w:sz="8" w:space="0" w:color="auto"/>
              <w:left w:val="nil"/>
              <w:bottom w:val="single" w:sz="8" w:space="0" w:color="auto"/>
              <w:right w:val="single" w:sz="8" w:space="0" w:color="auto"/>
            </w:tcBorders>
            <w:shd w:val="clear" w:color="auto" w:fill="auto"/>
            <w:vAlign w:val="center"/>
            <w:hideMark/>
          </w:tcPr>
          <w:p w14:paraId="31FB003B" w14:textId="46BE5087" w:rsidR="004741D6" w:rsidRPr="0030399E" w:rsidRDefault="004741D6" w:rsidP="00D16719">
            <w:pPr>
              <w:jc w:val="center"/>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rPr>
              <w:t xml:space="preserve"> </w:t>
            </w:r>
            <w:r w:rsidR="002B7D8C" w:rsidRPr="0030399E">
              <w:rPr>
                <w:rFonts w:ascii="Arial Narrow" w:eastAsia="Times New Roman" w:hAnsi="Arial Narrow"/>
                <w:b/>
                <w:bCs/>
                <w:color w:val="000000"/>
                <w:sz w:val="22"/>
                <w:szCs w:val="22"/>
              </w:rPr>
              <w:t>0</w:t>
            </w:r>
          </w:p>
        </w:tc>
        <w:tc>
          <w:tcPr>
            <w:tcW w:w="3164" w:type="dxa"/>
            <w:tcBorders>
              <w:top w:val="single" w:sz="8" w:space="0" w:color="auto"/>
              <w:left w:val="nil"/>
              <w:bottom w:val="single" w:sz="8" w:space="0" w:color="auto"/>
              <w:right w:val="single" w:sz="8" w:space="0" w:color="auto"/>
            </w:tcBorders>
            <w:shd w:val="clear" w:color="auto" w:fill="auto"/>
            <w:vAlign w:val="center"/>
            <w:hideMark/>
          </w:tcPr>
          <w:p w14:paraId="0544A9C9" w14:textId="77777777" w:rsidR="004741D6" w:rsidRPr="0030399E" w:rsidRDefault="004741D6" w:rsidP="00D16719">
            <w:pPr>
              <w:jc w:val="both"/>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lang w:val="es-CR"/>
              </w:rPr>
              <w:t>Cargo por depreciación</w:t>
            </w:r>
          </w:p>
        </w:tc>
        <w:tc>
          <w:tcPr>
            <w:tcW w:w="2330" w:type="dxa"/>
            <w:tcBorders>
              <w:top w:val="single" w:sz="8" w:space="0" w:color="auto"/>
              <w:left w:val="nil"/>
              <w:bottom w:val="single" w:sz="8" w:space="0" w:color="auto"/>
              <w:right w:val="single" w:sz="8" w:space="0" w:color="auto"/>
            </w:tcBorders>
            <w:shd w:val="clear" w:color="auto" w:fill="auto"/>
            <w:vAlign w:val="center"/>
            <w:hideMark/>
          </w:tcPr>
          <w:p w14:paraId="36322909" w14:textId="77777777" w:rsidR="004741D6" w:rsidRPr="0030399E" w:rsidRDefault="004741D6" w:rsidP="00D16719">
            <w:pPr>
              <w:jc w:val="both"/>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rPr>
              <w:t xml:space="preserve">NICSP N° 17, </w:t>
            </w:r>
          </w:p>
          <w:p w14:paraId="3D5D0DC5" w14:textId="77777777" w:rsidR="004741D6" w:rsidRPr="0030399E" w:rsidRDefault="004741D6" w:rsidP="00D16719">
            <w:pPr>
              <w:jc w:val="both"/>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rPr>
              <w:t>Párrafos 64 y 65.</w:t>
            </w:r>
          </w:p>
        </w:tc>
        <w:tc>
          <w:tcPr>
            <w:tcW w:w="1922" w:type="dxa"/>
            <w:tcBorders>
              <w:top w:val="single" w:sz="8" w:space="0" w:color="auto"/>
              <w:left w:val="nil"/>
              <w:bottom w:val="single" w:sz="8" w:space="0" w:color="auto"/>
              <w:right w:val="single" w:sz="8" w:space="0" w:color="auto"/>
            </w:tcBorders>
            <w:shd w:val="clear" w:color="auto" w:fill="auto"/>
            <w:vAlign w:val="center"/>
            <w:hideMark/>
          </w:tcPr>
          <w:p w14:paraId="35E60DB1" w14:textId="77777777" w:rsidR="004741D6" w:rsidRPr="0030399E" w:rsidRDefault="004741D6" w:rsidP="00D16719">
            <w:pPr>
              <w:jc w:val="center"/>
              <w:rPr>
                <w:rFonts w:ascii="Arial Narrow" w:eastAsia="Times New Roman" w:hAnsi="Arial Narrow"/>
                <w:b/>
                <w:bCs/>
                <w:color w:val="000000"/>
                <w:sz w:val="22"/>
                <w:szCs w:val="22"/>
              </w:rPr>
            </w:pPr>
            <w:r w:rsidRPr="0030399E">
              <w:rPr>
                <w:rFonts w:ascii="Arial Narrow" w:eastAsia="Times New Roman" w:hAnsi="Arial Narrow"/>
                <w:b/>
                <w:bCs/>
                <w:color w:val="000000"/>
                <w:sz w:val="22"/>
                <w:szCs w:val="22"/>
                <w:lang w:val="es-CR"/>
              </w:rPr>
              <w:t xml:space="preserve"> </w:t>
            </w:r>
          </w:p>
        </w:tc>
      </w:tr>
    </w:tbl>
    <w:p w14:paraId="2BC5582B" w14:textId="77777777" w:rsidR="004741D6" w:rsidRDefault="004741D6" w:rsidP="004741D6">
      <w:pPr>
        <w:spacing w:line="238" w:lineRule="auto"/>
        <w:ind w:left="1134" w:right="260" w:hanging="1134"/>
        <w:jc w:val="both"/>
        <w:rPr>
          <w:rFonts w:ascii="Arial" w:eastAsia="Arial" w:hAnsi="Arial"/>
          <w:b/>
          <w:sz w:val="22"/>
          <w:szCs w:val="22"/>
          <w:lang w:val="es-CR"/>
        </w:rPr>
      </w:pPr>
    </w:p>
    <w:p w14:paraId="4CD428A3" w14:textId="6498CB63" w:rsidR="004741D6" w:rsidRDefault="00D535E1"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5AA041E2" w14:textId="77777777" w:rsidR="00D535E1" w:rsidRDefault="00D535E1" w:rsidP="004741D6">
      <w:pPr>
        <w:spacing w:line="238" w:lineRule="auto"/>
        <w:ind w:left="1134" w:right="260" w:hanging="1134"/>
        <w:jc w:val="both"/>
        <w:rPr>
          <w:rFonts w:ascii="Arial" w:eastAsia="Arial" w:hAnsi="Arial"/>
          <w:b/>
          <w:sz w:val="22"/>
          <w:szCs w:val="22"/>
          <w:lang w:val="es-CR"/>
        </w:rPr>
      </w:pPr>
    </w:p>
    <w:p w14:paraId="0227C5D7" w14:textId="29043642" w:rsidR="004741D6" w:rsidRPr="00AD02E0" w:rsidRDefault="004741D6" w:rsidP="004741D6">
      <w:pPr>
        <w:spacing w:line="237" w:lineRule="auto"/>
        <w:ind w:left="1134" w:right="260" w:hanging="1134"/>
        <w:jc w:val="both"/>
        <w:rPr>
          <w:rFonts w:ascii="Arial" w:eastAsia="Arial" w:hAnsi="Arial"/>
          <w:bCs/>
          <w:sz w:val="22"/>
          <w:szCs w:val="22"/>
          <w:lang w:val="es-CR"/>
        </w:rPr>
      </w:pPr>
      <w:r>
        <w:rPr>
          <w:rFonts w:ascii="Arial" w:eastAsia="Arial" w:hAnsi="Arial"/>
          <w:bCs/>
          <w:sz w:val="22"/>
          <w:szCs w:val="22"/>
          <w:lang w:val="es-CR"/>
        </w:rPr>
        <w:t>1.220.0.01</w:t>
      </w:r>
      <w:r>
        <w:rPr>
          <w:rFonts w:ascii="Arial" w:eastAsia="Arial" w:hAnsi="Arial"/>
          <w:bCs/>
          <w:sz w:val="22"/>
          <w:szCs w:val="22"/>
          <w:lang w:val="es-CR"/>
        </w:rPr>
        <w:tab/>
      </w:r>
      <w:r w:rsidRPr="00AD02E0">
        <w:rPr>
          <w:rFonts w:ascii="Arial" w:eastAsia="Arial" w:hAnsi="Arial"/>
          <w:bCs/>
          <w:sz w:val="22"/>
          <w:szCs w:val="22"/>
          <w:lang w:val="es-CR"/>
        </w:rPr>
        <w:t xml:space="preserve">En la </w:t>
      </w:r>
      <w:r w:rsidR="000F29DC">
        <w:rPr>
          <w:rFonts w:ascii="Arial" w:eastAsia="Arial" w:hAnsi="Arial"/>
          <w:bCs/>
          <w:sz w:val="22"/>
          <w:szCs w:val="22"/>
          <w:lang w:val="es-CR"/>
        </w:rPr>
        <w:t>MBA</w:t>
      </w:r>
      <w:r w:rsidRPr="00AD02E0">
        <w:rPr>
          <w:rFonts w:ascii="Arial" w:eastAsia="Arial" w:hAnsi="Arial"/>
          <w:bCs/>
          <w:sz w:val="22"/>
          <w:szCs w:val="22"/>
          <w:lang w:val="es-CR"/>
        </w:rPr>
        <w:t xml:space="preserve"> el cargo por depreciación de cada período se reconocerá en el resultado, salvo que se haya incluido el importe en la producción de otros activos. En este caso, el cargo por depreciación formará parte del costo del otro activo y se incluirá en su importe en libros. De forma similar, la depreciación de los elementos del Activo Fijo utilizados para actividades de desarrollo puede incluirse en el costo de un activo intangible que se reconoce de acuerdo con la NICSP 31 “Activos intangibles”.</w:t>
      </w:r>
    </w:p>
    <w:p w14:paraId="4ADD8DAA" w14:textId="77777777" w:rsidR="004741D6" w:rsidRPr="00627673" w:rsidRDefault="004741D6" w:rsidP="004741D6">
      <w:pPr>
        <w:spacing w:line="200" w:lineRule="exact"/>
        <w:rPr>
          <w:rFonts w:ascii="Times New Roman" w:eastAsia="Times New Roman" w:hAnsi="Times New Roman"/>
          <w:lang w:val="es-CR"/>
        </w:rPr>
      </w:pPr>
    </w:p>
    <w:p w14:paraId="30909451"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60"/>
        <w:gridCol w:w="550"/>
        <w:gridCol w:w="538"/>
        <w:gridCol w:w="3020"/>
        <w:gridCol w:w="2552"/>
        <w:gridCol w:w="1842"/>
      </w:tblGrid>
      <w:tr w:rsidR="004741D6" w:rsidRPr="0030399E" w14:paraId="45C37C03" w14:textId="77777777" w:rsidTr="00D16719">
        <w:trPr>
          <w:trHeight w:val="320"/>
        </w:trPr>
        <w:tc>
          <w:tcPr>
            <w:tcW w:w="1648" w:type="dxa"/>
            <w:gridSpan w:val="3"/>
            <w:vMerge w:val="restart"/>
            <w:tcBorders>
              <w:top w:val="single" w:sz="8" w:space="0" w:color="auto"/>
              <w:left w:val="single" w:sz="8" w:space="0" w:color="auto"/>
              <w:bottom w:val="single" w:sz="4" w:space="0" w:color="auto"/>
              <w:right w:val="single" w:sz="8" w:space="0" w:color="000000"/>
            </w:tcBorders>
            <w:shd w:val="clear" w:color="000000" w:fill="203764"/>
            <w:vAlign w:val="center"/>
            <w:hideMark/>
          </w:tcPr>
          <w:p w14:paraId="3596C4F0"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Norma / Política</w:t>
            </w:r>
          </w:p>
        </w:tc>
        <w:tc>
          <w:tcPr>
            <w:tcW w:w="3020" w:type="dxa"/>
            <w:vMerge w:val="restart"/>
            <w:tcBorders>
              <w:top w:val="single" w:sz="8" w:space="0" w:color="auto"/>
              <w:left w:val="single" w:sz="8" w:space="0" w:color="auto"/>
              <w:bottom w:val="single" w:sz="4" w:space="0" w:color="auto"/>
              <w:right w:val="single" w:sz="8" w:space="0" w:color="auto"/>
            </w:tcBorders>
            <w:shd w:val="clear" w:color="000000" w:fill="203764"/>
            <w:vAlign w:val="center"/>
            <w:hideMark/>
          </w:tcPr>
          <w:p w14:paraId="740DF909"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4" w:space="0" w:color="auto"/>
              <w:right w:val="single" w:sz="8" w:space="0" w:color="000000"/>
            </w:tcBorders>
            <w:shd w:val="clear" w:color="000000" w:fill="203764"/>
            <w:vAlign w:val="center"/>
            <w:hideMark/>
          </w:tcPr>
          <w:p w14:paraId="5717C3E8"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Referencia</w:t>
            </w:r>
          </w:p>
        </w:tc>
      </w:tr>
      <w:tr w:rsidR="004741D6" w:rsidRPr="0071104F" w14:paraId="6A6A9BFC" w14:textId="77777777" w:rsidTr="00D16719">
        <w:trPr>
          <w:trHeight w:val="320"/>
        </w:trPr>
        <w:tc>
          <w:tcPr>
            <w:tcW w:w="1648" w:type="dxa"/>
            <w:gridSpan w:val="3"/>
            <w:vMerge/>
            <w:tcBorders>
              <w:top w:val="single" w:sz="4" w:space="0" w:color="auto"/>
              <w:left w:val="single" w:sz="4" w:space="0" w:color="auto"/>
              <w:bottom w:val="single" w:sz="4" w:space="0" w:color="auto"/>
              <w:right w:val="single" w:sz="4" w:space="0" w:color="auto"/>
            </w:tcBorders>
            <w:vAlign w:val="center"/>
            <w:hideMark/>
          </w:tcPr>
          <w:p w14:paraId="77796C08" w14:textId="77777777" w:rsidR="004741D6" w:rsidRPr="0030399E" w:rsidRDefault="004741D6" w:rsidP="00D16719">
            <w:pPr>
              <w:rPr>
                <w:rFonts w:ascii="Arial Narrow" w:eastAsia="Times New Roman" w:hAnsi="Arial Narrow"/>
                <w:b/>
                <w:bCs/>
                <w:color w:val="FFFFFF"/>
                <w:sz w:val="22"/>
                <w:szCs w:val="22"/>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08327329" w14:textId="77777777" w:rsidR="004741D6" w:rsidRPr="0030399E" w:rsidRDefault="004741D6" w:rsidP="00D16719">
            <w:pPr>
              <w:rPr>
                <w:rFonts w:ascii="Arial Narrow" w:eastAsia="Times New Roman" w:hAnsi="Arial Narrow"/>
                <w:b/>
                <w:bCs/>
                <w:color w:val="FFFFFF"/>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12788FF0" w14:textId="77777777" w:rsidR="004741D6" w:rsidRPr="0030399E" w:rsidRDefault="004741D6" w:rsidP="00D16719">
            <w:pPr>
              <w:jc w:val="center"/>
              <w:rPr>
                <w:rFonts w:ascii="Arial Narrow" w:eastAsia="Times New Roman" w:hAnsi="Arial Narrow"/>
                <w:b/>
                <w:bCs/>
                <w:color w:val="FFFFFF"/>
                <w:sz w:val="22"/>
                <w:szCs w:val="22"/>
              </w:rPr>
            </w:pPr>
            <w:r w:rsidRPr="0030399E">
              <w:rPr>
                <w:rFonts w:ascii="Arial Narrow" w:eastAsia="Times New Roman" w:hAnsi="Arial Narrow"/>
                <w:b/>
                <w:bCs/>
                <w:color w:val="FFFFFF"/>
                <w:sz w:val="22"/>
                <w:szCs w:val="22"/>
              </w:rPr>
              <w:t>Norma</w:t>
            </w:r>
          </w:p>
        </w:tc>
        <w:tc>
          <w:tcPr>
            <w:tcW w:w="184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3636ABD3" w14:textId="6C0117E9" w:rsidR="004741D6" w:rsidRPr="0071104F" w:rsidRDefault="0071104F"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30399E" w14:paraId="7245727E" w14:textId="77777777" w:rsidTr="00D16719">
        <w:trPr>
          <w:trHeight w:val="44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F06B0" w14:textId="77777777" w:rsidR="004741D6" w:rsidRPr="0030399E" w:rsidRDefault="004741D6" w:rsidP="00D16719">
            <w:pPr>
              <w:jc w:val="center"/>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0563E" w14:textId="77777777" w:rsidR="004741D6" w:rsidRPr="0030399E" w:rsidRDefault="004741D6" w:rsidP="00D16719">
            <w:pPr>
              <w:jc w:val="center"/>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221</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6D3A" w14:textId="0E242E1A" w:rsidR="004741D6" w:rsidRPr="0030399E" w:rsidRDefault="004741D6" w:rsidP="00D16719">
            <w:pPr>
              <w:jc w:val="center"/>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 </w:t>
            </w:r>
            <w:r w:rsidR="002B7D8C" w:rsidRPr="0030399E">
              <w:rPr>
                <w:rFonts w:ascii="Arial Narrow" w:eastAsia="Times New Roman" w:hAnsi="Arial Narrow"/>
                <w:b/>
                <w:bCs/>
                <w:color w:val="000000"/>
                <w:sz w:val="22"/>
                <w:szCs w:val="22"/>
                <w:lang w:val="es-CR"/>
              </w:rPr>
              <w:t>0</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28B4" w14:textId="77777777" w:rsidR="004741D6" w:rsidRPr="0030399E" w:rsidRDefault="004741D6" w:rsidP="00D16719">
            <w:pPr>
              <w:spacing w:after="120"/>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Distribución del importe sujeto a depreciación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66B0B" w14:textId="77777777" w:rsidR="004741D6" w:rsidRPr="0030399E" w:rsidRDefault="004741D6" w:rsidP="00D16719">
            <w:pPr>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NICSP N° 17,</w:t>
            </w:r>
          </w:p>
          <w:p w14:paraId="20A53CF8" w14:textId="77777777" w:rsidR="004741D6" w:rsidRPr="0030399E" w:rsidRDefault="004741D6" w:rsidP="00D16719">
            <w:pPr>
              <w:spacing w:after="120"/>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Párrafo 66.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0C3DE" w14:textId="77777777" w:rsidR="004741D6" w:rsidRPr="0030399E" w:rsidRDefault="004741D6" w:rsidP="00D16719">
            <w:pPr>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NICSP N° 13,</w:t>
            </w:r>
          </w:p>
          <w:p w14:paraId="4A070A51" w14:textId="77777777" w:rsidR="004741D6" w:rsidRPr="0030399E" w:rsidRDefault="004741D6" w:rsidP="00D16719">
            <w:pPr>
              <w:jc w:val="both"/>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Párrafo 36,</w:t>
            </w:r>
          </w:p>
          <w:p w14:paraId="0B23AA35" w14:textId="77777777" w:rsidR="004741D6" w:rsidRPr="0030399E" w:rsidRDefault="004741D6" w:rsidP="00D16719">
            <w:pPr>
              <w:rPr>
                <w:rFonts w:ascii="Arial Narrow" w:eastAsia="Times New Roman" w:hAnsi="Arial Narrow"/>
                <w:b/>
                <w:bCs/>
                <w:color w:val="000000"/>
                <w:sz w:val="22"/>
                <w:szCs w:val="22"/>
                <w:lang w:val="es-CR"/>
              </w:rPr>
            </w:pPr>
            <w:r w:rsidRPr="0030399E">
              <w:rPr>
                <w:rFonts w:ascii="Arial Narrow" w:eastAsia="Times New Roman" w:hAnsi="Arial Narrow"/>
                <w:b/>
                <w:bCs/>
                <w:color w:val="000000"/>
                <w:sz w:val="22"/>
                <w:szCs w:val="22"/>
                <w:lang w:val="es-CR"/>
              </w:rPr>
              <w:t>DGCN</w:t>
            </w:r>
          </w:p>
        </w:tc>
      </w:tr>
    </w:tbl>
    <w:p w14:paraId="6D46314D" w14:textId="77777777" w:rsidR="004741D6" w:rsidRDefault="004741D6" w:rsidP="004741D6">
      <w:pPr>
        <w:spacing w:line="238" w:lineRule="auto"/>
        <w:ind w:left="1134" w:right="260" w:hanging="1134"/>
        <w:jc w:val="both"/>
        <w:rPr>
          <w:rFonts w:ascii="Arial" w:eastAsia="Arial" w:hAnsi="Arial"/>
          <w:b/>
          <w:sz w:val="22"/>
          <w:szCs w:val="22"/>
          <w:lang w:val="es-CR"/>
        </w:rPr>
      </w:pPr>
    </w:p>
    <w:p w14:paraId="543AAAC2" w14:textId="37266EFB" w:rsidR="00D535E1" w:rsidRDefault="00D535E1" w:rsidP="004741D6">
      <w:pPr>
        <w:spacing w:line="238" w:lineRule="auto"/>
        <w:ind w:left="1134" w:right="260" w:hanging="1134"/>
        <w:jc w:val="both"/>
        <w:rPr>
          <w:rFonts w:ascii="Arial" w:eastAsia="Arial" w:hAnsi="Arial"/>
          <w:b/>
          <w:sz w:val="22"/>
          <w:szCs w:val="22"/>
          <w:lang w:val="es-CR"/>
        </w:rPr>
      </w:pPr>
      <w:r w:rsidRPr="00F02F9D">
        <w:rPr>
          <w:rFonts w:ascii="Arial" w:eastAsia="Arial" w:hAnsi="Arial"/>
          <w:b/>
          <w:sz w:val="22"/>
          <w:szCs w:val="22"/>
        </w:rPr>
        <w:t>Política Contable</w:t>
      </w:r>
    </w:p>
    <w:p w14:paraId="38DE359C" w14:textId="77777777" w:rsidR="004741D6" w:rsidRDefault="004741D6" w:rsidP="004741D6">
      <w:pPr>
        <w:spacing w:line="238" w:lineRule="auto"/>
        <w:ind w:left="1134" w:right="260" w:hanging="1134"/>
        <w:jc w:val="both"/>
        <w:rPr>
          <w:rFonts w:ascii="Arial" w:eastAsia="Arial" w:hAnsi="Arial"/>
          <w:b/>
          <w:sz w:val="22"/>
          <w:szCs w:val="22"/>
          <w:lang w:val="es-CR"/>
        </w:rPr>
      </w:pPr>
    </w:p>
    <w:p w14:paraId="3FBB6508" w14:textId="13C5A303" w:rsidR="004741D6" w:rsidRPr="005574F9" w:rsidRDefault="004741D6" w:rsidP="004741D6">
      <w:pPr>
        <w:spacing w:line="236" w:lineRule="auto"/>
        <w:ind w:left="1134" w:right="280" w:hanging="1276"/>
        <w:jc w:val="both"/>
        <w:rPr>
          <w:rFonts w:ascii="Arial" w:eastAsia="Arial" w:hAnsi="Arial"/>
          <w:bCs/>
          <w:sz w:val="22"/>
          <w:szCs w:val="22"/>
          <w:lang w:val="es-CR"/>
        </w:rPr>
      </w:pPr>
      <w:r>
        <w:rPr>
          <w:rFonts w:ascii="Arial" w:eastAsia="Arial" w:hAnsi="Arial"/>
          <w:bCs/>
          <w:sz w:val="22"/>
          <w:szCs w:val="22"/>
          <w:lang w:val="es-CR"/>
        </w:rPr>
        <w:t xml:space="preserve">1.221.0.01 </w:t>
      </w:r>
      <w:r>
        <w:rPr>
          <w:rFonts w:ascii="Arial" w:eastAsia="Arial" w:hAnsi="Arial"/>
          <w:bCs/>
          <w:sz w:val="22"/>
          <w:szCs w:val="22"/>
          <w:lang w:val="es-CR"/>
        </w:rPr>
        <w:tab/>
      </w:r>
      <w:r w:rsidRPr="005574F9">
        <w:rPr>
          <w:rFonts w:ascii="Arial" w:eastAsia="Arial" w:hAnsi="Arial"/>
          <w:bCs/>
          <w:sz w:val="22"/>
          <w:szCs w:val="22"/>
          <w:lang w:val="es-CR"/>
        </w:rPr>
        <w:t xml:space="preserve">En la </w:t>
      </w:r>
      <w:r w:rsidR="000F29DC">
        <w:rPr>
          <w:rFonts w:ascii="Arial" w:eastAsia="Arial" w:hAnsi="Arial"/>
          <w:bCs/>
          <w:sz w:val="22"/>
          <w:szCs w:val="22"/>
          <w:lang w:val="es-CR"/>
        </w:rPr>
        <w:t>MBA</w:t>
      </w:r>
      <w:r w:rsidRPr="005574F9">
        <w:rPr>
          <w:rFonts w:ascii="Arial" w:eastAsia="Arial" w:hAnsi="Arial"/>
          <w:bCs/>
          <w:sz w:val="22"/>
          <w:szCs w:val="22"/>
          <w:lang w:val="es-CR"/>
        </w:rPr>
        <w:t xml:space="preserve"> el importe sujeto a depreciación se distribuirá a lo largo de la vida útil del bien</w:t>
      </w:r>
      <w:r>
        <w:rPr>
          <w:rFonts w:ascii="Arial" w:eastAsia="Arial" w:hAnsi="Arial"/>
          <w:bCs/>
          <w:sz w:val="22"/>
          <w:szCs w:val="22"/>
          <w:lang w:val="es-CR"/>
        </w:rPr>
        <w:t xml:space="preserve">, la cual se establecerá de acuerdo con lo establecido en la Directriz CN-001-2009 del 23 de </w:t>
      </w:r>
      <w:r w:rsidR="00AA22E2">
        <w:rPr>
          <w:rFonts w:ascii="Arial" w:eastAsia="Arial" w:hAnsi="Arial"/>
          <w:bCs/>
          <w:sz w:val="22"/>
          <w:szCs w:val="22"/>
          <w:lang w:val="es-CR"/>
        </w:rPr>
        <w:t>noviembre</w:t>
      </w:r>
      <w:r>
        <w:rPr>
          <w:rFonts w:ascii="Arial" w:eastAsia="Arial" w:hAnsi="Arial"/>
          <w:bCs/>
          <w:sz w:val="22"/>
          <w:szCs w:val="22"/>
          <w:lang w:val="es-CR"/>
        </w:rPr>
        <w:t xml:space="preserve"> del 2009, “Valoración, Revaluación, Depreciación de Propiedad Planta y Equipo”, emitida por la Dirección General de Contabilidad Nacional. Para aquellos bienes no contemplados en la mencionada directriz, la Administración establecerá su vida útil con base en un criterio lógico bien sustentado.</w:t>
      </w:r>
    </w:p>
    <w:p w14:paraId="131FC910" w14:textId="77777777" w:rsidR="004741D6" w:rsidRDefault="004741D6" w:rsidP="004741D6">
      <w:pPr>
        <w:spacing w:line="238" w:lineRule="auto"/>
        <w:ind w:left="1134" w:right="260" w:hanging="1134"/>
        <w:jc w:val="both"/>
        <w:rPr>
          <w:rFonts w:ascii="Arial" w:eastAsia="Arial" w:hAnsi="Arial"/>
          <w:b/>
          <w:sz w:val="22"/>
          <w:szCs w:val="22"/>
          <w:lang w:val="es-CR"/>
        </w:rPr>
      </w:pPr>
    </w:p>
    <w:p w14:paraId="381BF49A" w14:textId="77777777" w:rsidR="00D535E1" w:rsidRDefault="00D535E1" w:rsidP="004741D6">
      <w:pPr>
        <w:spacing w:line="238" w:lineRule="auto"/>
        <w:ind w:left="1134" w:right="260" w:hanging="1134"/>
        <w:jc w:val="both"/>
        <w:rPr>
          <w:rFonts w:ascii="Arial" w:eastAsia="Arial" w:hAnsi="Arial"/>
          <w:b/>
          <w:sz w:val="22"/>
          <w:szCs w:val="22"/>
          <w:lang w:val="es-CR"/>
        </w:rPr>
      </w:pPr>
    </w:p>
    <w:p w14:paraId="0A14F6D7" w14:textId="77777777" w:rsidR="00D535E1" w:rsidRDefault="00D535E1" w:rsidP="004741D6">
      <w:pPr>
        <w:spacing w:line="238" w:lineRule="auto"/>
        <w:ind w:left="1134" w:right="260" w:hanging="1134"/>
        <w:jc w:val="both"/>
        <w:rPr>
          <w:rFonts w:ascii="Arial" w:eastAsia="Arial" w:hAnsi="Arial"/>
          <w:b/>
          <w:sz w:val="22"/>
          <w:szCs w:val="22"/>
          <w:lang w:val="es-CR"/>
        </w:rPr>
      </w:pPr>
    </w:p>
    <w:p w14:paraId="151BB747" w14:textId="77777777" w:rsidR="00D535E1" w:rsidRDefault="00D535E1" w:rsidP="004741D6">
      <w:pPr>
        <w:spacing w:line="238" w:lineRule="auto"/>
        <w:ind w:left="1134" w:right="260" w:hanging="1134"/>
        <w:jc w:val="both"/>
        <w:rPr>
          <w:rFonts w:ascii="Arial" w:eastAsia="Arial" w:hAnsi="Arial"/>
          <w:b/>
          <w:sz w:val="22"/>
          <w:szCs w:val="22"/>
          <w:lang w:val="es-CR"/>
        </w:rPr>
      </w:pPr>
    </w:p>
    <w:p w14:paraId="7A036220" w14:textId="77777777" w:rsidR="00D535E1" w:rsidRDefault="00D535E1" w:rsidP="004741D6">
      <w:pPr>
        <w:spacing w:line="238" w:lineRule="auto"/>
        <w:ind w:left="1134" w:right="260" w:hanging="1134"/>
        <w:jc w:val="both"/>
        <w:rPr>
          <w:rFonts w:ascii="Arial" w:eastAsia="Arial" w:hAnsi="Arial"/>
          <w:b/>
          <w:sz w:val="22"/>
          <w:szCs w:val="22"/>
          <w:lang w:val="es-CR"/>
        </w:rPr>
      </w:pPr>
    </w:p>
    <w:p w14:paraId="7D76F6F7" w14:textId="77777777" w:rsidR="00D535E1" w:rsidRDefault="00D535E1" w:rsidP="004741D6">
      <w:pPr>
        <w:spacing w:line="238" w:lineRule="auto"/>
        <w:ind w:left="1134" w:right="260" w:hanging="1134"/>
        <w:jc w:val="both"/>
        <w:rPr>
          <w:rFonts w:ascii="Arial" w:eastAsia="Arial" w:hAnsi="Arial"/>
          <w:b/>
          <w:sz w:val="22"/>
          <w:szCs w:val="22"/>
          <w:lang w:val="es-CR"/>
        </w:rPr>
      </w:pPr>
    </w:p>
    <w:p w14:paraId="45712688" w14:textId="77777777" w:rsidR="004741D6" w:rsidRDefault="004741D6" w:rsidP="004741D6">
      <w:pPr>
        <w:spacing w:line="238" w:lineRule="auto"/>
        <w:ind w:left="1134" w:right="260" w:hanging="1134"/>
        <w:jc w:val="both"/>
        <w:rPr>
          <w:rFonts w:ascii="Arial" w:eastAsia="Arial" w:hAnsi="Arial"/>
          <w:b/>
          <w:sz w:val="22"/>
          <w:szCs w:val="22"/>
          <w:lang w:val="es-CR"/>
        </w:rPr>
      </w:pPr>
    </w:p>
    <w:p w14:paraId="20E00055" w14:textId="77777777" w:rsidR="004741D6" w:rsidRDefault="004741D6" w:rsidP="004741D6">
      <w:pPr>
        <w:spacing w:line="238" w:lineRule="auto"/>
        <w:ind w:left="1134" w:right="260" w:hanging="1134"/>
        <w:jc w:val="both"/>
        <w:rPr>
          <w:rFonts w:ascii="Arial" w:eastAsia="Arial" w:hAnsi="Arial"/>
          <w:b/>
          <w:sz w:val="22"/>
          <w:szCs w:val="22"/>
          <w:lang w:val="es-CR"/>
        </w:rPr>
      </w:pPr>
    </w:p>
    <w:p w14:paraId="4C7976F3"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2"/>
        <w:gridCol w:w="617"/>
        <w:gridCol w:w="533"/>
        <w:gridCol w:w="2966"/>
        <w:gridCol w:w="2552"/>
        <w:gridCol w:w="1842"/>
      </w:tblGrid>
      <w:tr w:rsidR="004741D6" w:rsidRPr="0071104F" w14:paraId="73DA8E55" w14:textId="77777777" w:rsidTr="00D16719">
        <w:trPr>
          <w:trHeight w:val="320"/>
        </w:trPr>
        <w:tc>
          <w:tcPr>
            <w:tcW w:w="170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AD51959" w14:textId="77777777" w:rsidR="004741D6" w:rsidRPr="0071104F" w:rsidRDefault="004741D6" w:rsidP="00D16719">
            <w:pPr>
              <w:jc w:val="center"/>
              <w:rPr>
                <w:rFonts w:ascii="Arial Narrow" w:eastAsia="Times New Roman" w:hAnsi="Arial Narrow"/>
                <w:b/>
                <w:bCs/>
                <w:color w:val="FFFFFF"/>
                <w:sz w:val="22"/>
                <w:szCs w:val="22"/>
              </w:rPr>
            </w:pPr>
            <w:r w:rsidRPr="0071104F">
              <w:rPr>
                <w:rFonts w:ascii="Arial Narrow" w:eastAsia="Times New Roman" w:hAnsi="Arial Narrow"/>
                <w:b/>
                <w:bCs/>
                <w:color w:val="FFFFFF"/>
                <w:sz w:val="22"/>
                <w:szCs w:val="22"/>
              </w:rPr>
              <w:t>Norma / Política</w:t>
            </w:r>
          </w:p>
        </w:tc>
        <w:tc>
          <w:tcPr>
            <w:tcW w:w="2966" w:type="dxa"/>
            <w:vMerge w:val="restart"/>
            <w:tcBorders>
              <w:top w:val="single" w:sz="8" w:space="0" w:color="auto"/>
              <w:left w:val="single" w:sz="8" w:space="0" w:color="auto"/>
              <w:bottom w:val="nil"/>
              <w:right w:val="single" w:sz="8" w:space="0" w:color="auto"/>
            </w:tcBorders>
            <w:shd w:val="clear" w:color="000000" w:fill="203764"/>
            <w:vAlign w:val="center"/>
            <w:hideMark/>
          </w:tcPr>
          <w:p w14:paraId="0C3A59B4" w14:textId="77777777" w:rsidR="004741D6" w:rsidRPr="0071104F" w:rsidRDefault="004741D6" w:rsidP="00D16719">
            <w:pPr>
              <w:jc w:val="center"/>
              <w:rPr>
                <w:rFonts w:ascii="Arial Narrow" w:eastAsia="Times New Roman" w:hAnsi="Arial Narrow"/>
                <w:b/>
                <w:bCs/>
                <w:color w:val="FFFFFF"/>
                <w:sz w:val="22"/>
                <w:szCs w:val="22"/>
              </w:rPr>
            </w:pPr>
            <w:r w:rsidRPr="0071104F">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3590174C" w14:textId="77777777" w:rsidR="004741D6" w:rsidRPr="0071104F" w:rsidRDefault="004741D6" w:rsidP="00D16719">
            <w:pPr>
              <w:jc w:val="center"/>
              <w:rPr>
                <w:rFonts w:ascii="Arial Narrow" w:eastAsia="Times New Roman" w:hAnsi="Arial Narrow"/>
                <w:b/>
                <w:bCs/>
                <w:color w:val="FFFFFF"/>
                <w:sz w:val="22"/>
                <w:szCs w:val="22"/>
              </w:rPr>
            </w:pPr>
            <w:r w:rsidRPr="0071104F">
              <w:rPr>
                <w:rFonts w:ascii="Arial Narrow" w:eastAsia="Times New Roman" w:hAnsi="Arial Narrow"/>
                <w:b/>
                <w:bCs/>
                <w:color w:val="FFFFFF"/>
                <w:sz w:val="22"/>
                <w:szCs w:val="22"/>
              </w:rPr>
              <w:t>Referencia</w:t>
            </w:r>
          </w:p>
        </w:tc>
      </w:tr>
      <w:tr w:rsidR="004741D6" w:rsidRPr="0071104F" w14:paraId="4D38934D" w14:textId="77777777" w:rsidTr="0071104F">
        <w:trPr>
          <w:trHeight w:val="892"/>
        </w:trPr>
        <w:tc>
          <w:tcPr>
            <w:tcW w:w="1702" w:type="dxa"/>
            <w:gridSpan w:val="3"/>
            <w:vMerge/>
            <w:tcBorders>
              <w:top w:val="single" w:sz="8" w:space="0" w:color="auto"/>
              <w:left w:val="single" w:sz="8" w:space="0" w:color="auto"/>
              <w:bottom w:val="nil"/>
              <w:right w:val="single" w:sz="8" w:space="0" w:color="000000"/>
            </w:tcBorders>
            <w:vAlign w:val="center"/>
            <w:hideMark/>
          </w:tcPr>
          <w:p w14:paraId="229336E9" w14:textId="77777777" w:rsidR="004741D6" w:rsidRPr="0071104F" w:rsidRDefault="004741D6" w:rsidP="00D16719">
            <w:pPr>
              <w:rPr>
                <w:rFonts w:ascii="Arial Narrow" w:eastAsia="Times New Roman" w:hAnsi="Arial Narrow"/>
                <w:b/>
                <w:bCs/>
                <w:color w:val="FFFFFF"/>
                <w:sz w:val="22"/>
                <w:szCs w:val="22"/>
              </w:rPr>
            </w:pPr>
          </w:p>
        </w:tc>
        <w:tc>
          <w:tcPr>
            <w:tcW w:w="2966" w:type="dxa"/>
            <w:vMerge/>
            <w:tcBorders>
              <w:top w:val="single" w:sz="8" w:space="0" w:color="auto"/>
              <w:left w:val="single" w:sz="8" w:space="0" w:color="auto"/>
              <w:bottom w:val="nil"/>
              <w:right w:val="single" w:sz="8" w:space="0" w:color="auto"/>
            </w:tcBorders>
            <w:vAlign w:val="center"/>
            <w:hideMark/>
          </w:tcPr>
          <w:p w14:paraId="04AE4F02" w14:textId="77777777" w:rsidR="004741D6" w:rsidRPr="0071104F"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2E19A258" w14:textId="77777777" w:rsidR="004741D6" w:rsidRPr="0071104F" w:rsidRDefault="004741D6" w:rsidP="00D16719">
            <w:pPr>
              <w:jc w:val="center"/>
              <w:rPr>
                <w:rFonts w:ascii="Arial Narrow" w:eastAsia="Times New Roman" w:hAnsi="Arial Narrow"/>
                <w:b/>
                <w:bCs/>
                <w:color w:val="FFFFFF"/>
                <w:sz w:val="22"/>
                <w:szCs w:val="22"/>
              </w:rPr>
            </w:pPr>
            <w:r w:rsidRPr="0071104F">
              <w:rPr>
                <w:rFonts w:ascii="Arial Narrow" w:eastAsia="Times New Roman" w:hAnsi="Arial Narrow"/>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2875E0AA" w14:textId="77777777" w:rsidR="004741D6" w:rsidRPr="0071104F" w:rsidRDefault="004741D6" w:rsidP="00D16719">
            <w:pPr>
              <w:jc w:val="center"/>
              <w:rPr>
                <w:rFonts w:ascii="Arial Narrow" w:eastAsia="Times New Roman" w:hAnsi="Arial Narrow"/>
                <w:b/>
                <w:bCs/>
                <w:color w:val="FFFFFF"/>
                <w:sz w:val="22"/>
                <w:szCs w:val="22"/>
                <w:lang w:val="es-CR"/>
              </w:rPr>
            </w:pPr>
            <w:r w:rsidRPr="0071104F">
              <w:rPr>
                <w:rFonts w:ascii="Arial Narrow" w:eastAsia="Times New Roman" w:hAnsi="Arial Narrow"/>
                <w:b/>
                <w:bCs/>
                <w:color w:val="FFFFFF"/>
                <w:sz w:val="22"/>
                <w:szCs w:val="22"/>
                <w:lang w:val="es-CR"/>
              </w:rPr>
              <w:t>Normativa técnica y disposiciones adicionales</w:t>
            </w:r>
          </w:p>
        </w:tc>
      </w:tr>
      <w:tr w:rsidR="004741D6" w:rsidRPr="00D60A0C" w14:paraId="1D1EFE1A" w14:textId="77777777" w:rsidTr="00D535E1">
        <w:trPr>
          <w:trHeight w:val="640"/>
        </w:trPr>
        <w:tc>
          <w:tcPr>
            <w:tcW w:w="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77DDFF" w14:textId="77777777" w:rsidR="004741D6" w:rsidRPr="00D60A0C" w:rsidRDefault="004741D6" w:rsidP="00D16719">
            <w:pPr>
              <w:jc w:val="center"/>
              <w:rPr>
                <w:rFonts w:ascii="Arial" w:eastAsia="Times New Roman" w:hAnsi="Arial"/>
                <w:b/>
                <w:bCs/>
                <w:color w:val="000000"/>
              </w:rPr>
            </w:pPr>
            <w:r w:rsidRPr="00D60A0C">
              <w:rPr>
                <w:rFonts w:ascii="Arial" w:eastAsia="Times New Roman" w:hAnsi="Arial"/>
                <w:b/>
                <w:bCs/>
                <w:color w:val="000000"/>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278C3E21" w14:textId="77777777" w:rsidR="004741D6" w:rsidRPr="00D60A0C" w:rsidRDefault="004741D6" w:rsidP="00D16719">
            <w:pPr>
              <w:jc w:val="center"/>
              <w:rPr>
                <w:rFonts w:ascii="Arial" w:eastAsia="Times New Roman" w:hAnsi="Arial"/>
                <w:b/>
                <w:bCs/>
                <w:color w:val="000000"/>
              </w:rPr>
            </w:pPr>
            <w:r w:rsidRPr="00D60A0C">
              <w:rPr>
                <w:rFonts w:ascii="Arial" w:eastAsia="Times New Roman" w:hAnsi="Arial"/>
                <w:b/>
                <w:bCs/>
                <w:color w:val="000000"/>
              </w:rPr>
              <w:t>222</w:t>
            </w:r>
          </w:p>
        </w:tc>
        <w:tc>
          <w:tcPr>
            <w:tcW w:w="533" w:type="dxa"/>
            <w:tcBorders>
              <w:top w:val="single" w:sz="8" w:space="0" w:color="auto"/>
              <w:left w:val="nil"/>
              <w:bottom w:val="single" w:sz="8" w:space="0" w:color="auto"/>
              <w:right w:val="single" w:sz="8" w:space="0" w:color="auto"/>
            </w:tcBorders>
            <w:shd w:val="clear" w:color="auto" w:fill="auto"/>
            <w:vAlign w:val="center"/>
            <w:hideMark/>
          </w:tcPr>
          <w:p w14:paraId="4A383E32" w14:textId="1D0953DE" w:rsidR="004741D6" w:rsidRPr="00D60A0C" w:rsidRDefault="002B7D8C" w:rsidP="00D16719">
            <w:pPr>
              <w:jc w:val="center"/>
              <w:rPr>
                <w:rFonts w:ascii="Arial" w:eastAsia="Times New Roman" w:hAnsi="Arial"/>
                <w:b/>
                <w:bCs/>
                <w:color w:val="000000"/>
              </w:rPr>
            </w:pPr>
            <w:r>
              <w:rPr>
                <w:rFonts w:ascii="Arial" w:eastAsia="Times New Roman" w:hAnsi="Arial"/>
                <w:b/>
                <w:bCs/>
                <w:color w:val="000000"/>
                <w:lang w:val="es-CR"/>
              </w:rPr>
              <w:t>0</w:t>
            </w:r>
            <w:r w:rsidR="004741D6" w:rsidRPr="00D60A0C">
              <w:rPr>
                <w:rFonts w:ascii="Arial" w:eastAsia="Times New Roman" w:hAnsi="Arial"/>
                <w:b/>
                <w:bCs/>
                <w:color w:val="000000"/>
                <w:lang w:val="es-CR"/>
              </w:rPr>
              <w:t> </w:t>
            </w:r>
          </w:p>
        </w:tc>
        <w:tc>
          <w:tcPr>
            <w:tcW w:w="2966" w:type="dxa"/>
            <w:tcBorders>
              <w:top w:val="single" w:sz="8" w:space="0" w:color="auto"/>
              <w:left w:val="nil"/>
              <w:bottom w:val="single" w:sz="8" w:space="0" w:color="auto"/>
              <w:right w:val="single" w:sz="8" w:space="0" w:color="auto"/>
            </w:tcBorders>
            <w:shd w:val="clear" w:color="auto" w:fill="auto"/>
            <w:vAlign w:val="center"/>
            <w:hideMark/>
          </w:tcPr>
          <w:p w14:paraId="6AB6E592" w14:textId="77777777" w:rsidR="004741D6" w:rsidRPr="00D60A0C" w:rsidRDefault="004741D6" w:rsidP="00D16719">
            <w:pPr>
              <w:jc w:val="both"/>
              <w:rPr>
                <w:rFonts w:ascii="Arial" w:eastAsia="Times New Roman" w:hAnsi="Arial"/>
                <w:b/>
                <w:bCs/>
                <w:color w:val="000000"/>
                <w:lang w:val="es-CR"/>
              </w:rPr>
            </w:pPr>
            <w:r w:rsidRPr="00D60A0C">
              <w:rPr>
                <w:rFonts w:ascii="Arial" w:eastAsia="Times New Roman" w:hAnsi="Arial"/>
                <w:b/>
                <w:bCs/>
                <w:color w:val="000000"/>
                <w:lang w:val="es-CR"/>
              </w:rPr>
              <w:t>Revisión anual del valor residual y los años de vida útil</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21D738C6" w14:textId="77777777" w:rsidR="00D535E1" w:rsidRDefault="004741D6" w:rsidP="00D16719">
            <w:pPr>
              <w:jc w:val="both"/>
              <w:rPr>
                <w:rFonts w:ascii="Arial" w:eastAsia="Times New Roman" w:hAnsi="Arial"/>
                <w:b/>
                <w:bCs/>
                <w:color w:val="000000"/>
                <w:lang w:val="es-CR"/>
              </w:rPr>
            </w:pPr>
            <w:r w:rsidRPr="00D60A0C">
              <w:rPr>
                <w:rFonts w:ascii="Arial" w:eastAsia="Times New Roman" w:hAnsi="Arial"/>
                <w:b/>
                <w:bCs/>
                <w:color w:val="000000"/>
                <w:lang w:val="es-CR"/>
              </w:rPr>
              <w:t>NICSP N° 17,</w:t>
            </w:r>
          </w:p>
          <w:p w14:paraId="0591F0FA" w14:textId="485FE4BE" w:rsidR="004741D6" w:rsidRPr="00D60A0C" w:rsidRDefault="004741D6" w:rsidP="00D16719">
            <w:pPr>
              <w:jc w:val="both"/>
              <w:rPr>
                <w:rFonts w:ascii="Arial" w:eastAsia="Times New Roman" w:hAnsi="Arial"/>
                <w:b/>
                <w:bCs/>
                <w:color w:val="000000"/>
              </w:rPr>
            </w:pPr>
            <w:r w:rsidRPr="00D60A0C">
              <w:rPr>
                <w:rFonts w:ascii="Arial" w:eastAsia="Times New Roman" w:hAnsi="Arial"/>
                <w:b/>
                <w:bCs/>
                <w:color w:val="000000"/>
                <w:lang w:val="es-CR"/>
              </w:rPr>
              <w:t>Párrafos 67.</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4AD65F9E" w14:textId="77777777" w:rsidR="004741D6" w:rsidRPr="00D60A0C" w:rsidRDefault="004741D6" w:rsidP="00D16719">
            <w:pPr>
              <w:jc w:val="center"/>
              <w:rPr>
                <w:rFonts w:ascii="Arial" w:eastAsia="Times New Roman" w:hAnsi="Arial"/>
                <w:b/>
                <w:bCs/>
                <w:color w:val="000000"/>
              </w:rPr>
            </w:pPr>
            <w:r w:rsidRPr="00D60A0C">
              <w:rPr>
                <w:rFonts w:ascii="Arial" w:eastAsia="Times New Roman" w:hAnsi="Arial"/>
                <w:b/>
                <w:bCs/>
                <w:color w:val="000000"/>
              </w:rPr>
              <w:t> </w:t>
            </w:r>
          </w:p>
        </w:tc>
      </w:tr>
      <w:tr w:rsidR="004741D6" w:rsidRPr="00D60A0C" w14:paraId="353969DE" w14:textId="77777777" w:rsidTr="00D535E1">
        <w:trPr>
          <w:trHeight w:val="495"/>
        </w:trPr>
        <w:tc>
          <w:tcPr>
            <w:tcW w:w="552" w:type="dxa"/>
            <w:tcBorders>
              <w:top w:val="nil"/>
              <w:left w:val="single" w:sz="8" w:space="0" w:color="auto"/>
              <w:bottom w:val="single" w:sz="8" w:space="0" w:color="auto"/>
              <w:right w:val="single" w:sz="8" w:space="0" w:color="auto"/>
            </w:tcBorders>
            <w:shd w:val="clear" w:color="auto" w:fill="auto"/>
            <w:vAlign w:val="center"/>
            <w:hideMark/>
          </w:tcPr>
          <w:p w14:paraId="4906ECC8" w14:textId="77777777" w:rsidR="004741D6" w:rsidRPr="00D60A0C" w:rsidRDefault="004741D6" w:rsidP="00D16719">
            <w:pPr>
              <w:jc w:val="center"/>
              <w:rPr>
                <w:rFonts w:ascii="Arial" w:eastAsia="Times New Roman" w:hAnsi="Arial"/>
                <w:b/>
                <w:bCs/>
                <w:color w:val="000000"/>
              </w:rPr>
            </w:pPr>
            <w:r w:rsidRPr="00D60A0C">
              <w:rPr>
                <w:rFonts w:ascii="Arial" w:eastAsia="Times New Roman" w:hAnsi="Arial"/>
                <w:b/>
                <w:bCs/>
                <w:color w:val="000000"/>
                <w:lang w:val="es-CR"/>
              </w:rPr>
              <w:t>1</w:t>
            </w:r>
          </w:p>
        </w:tc>
        <w:tc>
          <w:tcPr>
            <w:tcW w:w="617" w:type="dxa"/>
            <w:tcBorders>
              <w:top w:val="nil"/>
              <w:left w:val="nil"/>
              <w:bottom w:val="single" w:sz="8" w:space="0" w:color="auto"/>
              <w:right w:val="single" w:sz="8" w:space="0" w:color="auto"/>
            </w:tcBorders>
            <w:shd w:val="clear" w:color="auto" w:fill="auto"/>
            <w:noWrap/>
            <w:vAlign w:val="center"/>
            <w:hideMark/>
          </w:tcPr>
          <w:p w14:paraId="29B69D7C" w14:textId="77777777" w:rsidR="004741D6" w:rsidRPr="00D60A0C" w:rsidRDefault="004741D6" w:rsidP="00D16719">
            <w:pPr>
              <w:jc w:val="center"/>
              <w:rPr>
                <w:rFonts w:ascii="Arial" w:eastAsia="Times New Roman" w:hAnsi="Arial"/>
                <w:b/>
                <w:bCs/>
                <w:color w:val="000000"/>
              </w:rPr>
            </w:pPr>
            <w:r w:rsidRPr="00D60A0C">
              <w:rPr>
                <w:rFonts w:ascii="Arial" w:eastAsia="Times New Roman" w:hAnsi="Arial"/>
                <w:b/>
                <w:bCs/>
                <w:color w:val="000000"/>
                <w:lang w:val="es-CR"/>
              </w:rPr>
              <w:t>222</w:t>
            </w:r>
          </w:p>
        </w:tc>
        <w:tc>
          <w:tcPr>
            <w:tcW w:w="533" w:type="dxa"/>
            <w:tcBorders>
              <w:top w:val="nil"/>
              <w:left w:val="nil"/>
              <w:bottom w:val="single" w:sz="8" w:space="0" w:color="auto"/>
              <w:right w:val="single" w:sz="8" w:space="0" w:color="auto"/>
            </w:tcBorders>
            <w:shd w:val="clear" w:color="auto" w:fill="auto"/>
            <w:vAlign w:val="center"/>
            <w:hideMark/>
          </w:tcPr>
          <w:p w14:paraId="5DC455F1" w14:textId="77777777" w:rsidR="004741D6" w:rsidRPr="00D60A0C" w:rsidRDefault="004741D6" w:rsidP="00D16719">
            <w:pPr>
              <w:jc w:val="center"/>
              <w:rPr>
                <w:rFonts w:ascii="Arial" w:eastAsia="Times New Roman" w:hAnsi="Arial"/>
                <w:b/>
                <w:bCs/>
                <w:color w:val="000000"/>
              </w:rPr>
            </w:pPr>
            <w:r w:rsidRPr="00D60A0C">
              <w:rPr>
                <w:rFonts w:ascii="Arial" w:eastAsia="Times New Roman" w:hAnsi="Arial"/>
                <w:b/>
                <w:bCs/>
                <w:color w:val="000000"/>
              </w:rPr>
              <w:t>1</w:t>
            </w:r>
          </w:p>
        </w:tc>
        <w:tc>
          <w:tcPr>
            <w:tcW w:w="2966" w:type="dxa"/>
            <w:tcBorders>
              <w:top w:val="nil"/>
              <w:left w:val="nil"/>
              <w:bottom w:val="single" w:sz="8" w:space="0" w:color="auto"/>
              <w:right w:val="single" w:sz="8" w:space="0" w:color="auto"/>
            </w:tcBorders>
            <w:shd w:val="clear" w:color="auto" w:fill="auto"/>
            <w:vAlign w:val="center"/>
            <w:hideMark/>
          </w:tcPr>
          <w:p w14:paraId="5021EBB8" w14:textId="77777777" w:rsidR="004741D6" w:rsidRPr="00D60A0C" w:rsidRDefault="004741D6" w:rsidP="00D16719">
            <w:pPr>
              <w:jc w:val="both"/>
              <w:rPr>
                <w:rFonts w:ascii="Arial" w:eastAsia="Times New Roman" w:hAnsi="Arial"/>
                <w:b/>
                <w:bCs/>
                <w:color w:val="000000"/>
              </w:rPr>
            </w:pPr>
            <w:r w:rsidRPr="00D60A0C">
              <w:rPr>
                <w:rFonts w:ascii="Arial" w:eastAsia="Times New Roman" w:hAnsi="Arial"/>
                <w:b/>
                <w:bCs/>
                <w:color w:val="000000"/>
              </w:rPr>
              <w:t>Determinación de Valores Razonables</w:t>
            </w:r>
          </w:p>
        </w:tc>
        <w:tc>
          <w:tcPr>
            <w:tcW w:w="2552" w:type="dxa"/>
            <w:tcBorders>
              <w:top w:val="nil"/>
              <w:left w:val="nil"/>
              <w:bottom w:val="single" w:sz="8" w:space="0" w:color="auto"/>
              <w:right w:val="single" w:sz="8" w:space="0" w:color="auto"/>
            </w:tcBorders>
            <w:shd w:val="clear" w:color="auto" w:fill="auto"/>
            <w:vAlign w:val="center"/>
            <w:hideMark/>
          </w:tcPr>
          <w:p w14:paraId="405CE4A2" w14:textId="77777777" w:rsidR="004741D6" w:rsidRPr="00D60A0C" w:rsidRDefault="004741D6" w:rsidP="00D16719">
            <w:pPr>
              <w:jc w:val="both"/>
              <w:rPr>
                <w:rFonts w:ascii="Arial" w:eastAsia="Times New Roman" w:hAnsi="Arial"/>
                <w:b/>
                <w:bCs/>
                <w:color w:val="000000"/>
              </w:rPr>
            </w:pPr>
            <w:r w:rsidRPr="00D60A0C">
              <w:rPr>
                <w:rFonts w:ascii="Arial" w:eastAsia="Times New Roman" w:hAnsi="Arial"/>
                <w:b/>
                <w:bCs/>
                <w:color w:val="000000"/>
              </w:rPr>
              <w:t> </w:t>
            </w:r>
          </w:p>
        </w:tc>
        <w:tc>
          <w:tcPr>
            <w:tcW w:w="1842" w:type="dxa"/>
            <w:tcBorders>
              <w:top w:val="nil"/>
              <w:left w:val="nil"/>
              <w:bottom w:val="single" w:sz="8" w:space="0" w:color="auto"/>
              <w:right w:val="single" w:sz="8" w:space="0" w:color="auto"/>
            </w:tcBorders>
            <w:shd w:val="clear" w:color="auto" w:fill="auto"/>
            <w:vAlign w:val="center"/>
            <w:hideMark/>
          </w:tcPr>
          <w:p w14:paraId="46BBFF2E" w14:textId="77777777" w:rsidR="004741D6" w:rsidRPr="00D60A0C" w:rsidRDefault="004741D6" w:rsidP="00D16719">
            <w:pPr>
              <w:jc w:val="center"/>
              <w:rPr>
                <w:rFonts w:ascii="Arial" w:eastAsia="Times New Roman" w:hAnsi="Arial"/>
                <w:b/>
                <w:bCs/>
                <w:color w:val="000000"/>
              </w:rPr>
            </w:pPr>
            <w:r w:rsidRPr="00D60A0C">
              <w:rPr>
                <w:rFonts w:ascii="Arial" w:eastAsia="Times New Roman" w:hAnsi="Arial"/>
                <w:b/>
                <w:bCs/>
                <w:color w:val="000000"/>
              </w:rPr>
              <w:t>DGCN</w:t>
            </w:r>
          </w:p>
        </w:tc>
      </w:tr>
    </w:tbl>
    <w:p w14:paraId="769F4189" w14:textId="77777777" w:rsidR="004741D6" w:rsidRDefault="004741D6" w:rsidP="004741D6">
      <w:pPr>
        <w:spacing w:line="238" w:lineRule="auto"/>
        <w:ind w:left="1134" w:right="260" w:hanging="1134"/>
        <w:jc w:val="both"/>
        <w:rPr>
          <w:rFonts w:ascii="Arial" w:eastAsia="Arial" w:hAnsi="Arial"/>
          <w:b/>
          <w:sz w:val="22"/>
          <w:szCs w:val="22"/>
          <w:lang w:val="es-CR"/>
        </w:rPr>
      </w:pPr>
    </w:p>
    <w:p w14:paraId="56A22772" w14:textId="7371DEE3" w:rsidR="004741D6" w:rsidRDefault="00D535E1"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40D48E4" w14:textId="77777777" w:rsidR="00D535E1" w:rsidRDefault="00D535E1" w:rsidP="004741D6">
      <w:pPr>
        <w:spacing w:line="238" w:lineRule="auto"/>
        <w:ind w:left="1134" w:right="260" w:hanging="1134"/>
        <w:jc w:val="both"/>
        <w:rPr>
          <w:rFonts w:ascii="Arial" w:eastAsia="Arial" w:hAnsi="Arial"/>
          <w:b/>
          <w:sz w:val="22"/>
          <w:szCs w:val="22"/>
          <w:lang w:val="es-CR"/>
        </w:rPr>
      </w:pPr>
    </w:p>
    <w:p w14:paraId="25D011DD" w14:textId="3FC17D9D"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1.222.0.01</w:t>
      </w:r>
      <w:r>
        <w:rPr>
          <w:rFonts w:ascii="Arial" w:eastAsia="Arial" w:hAnsi="Arial"/>
          <w:bCs/>
          <w:sz w:val="22"/>
          <w:szCs w:val="22"/>
          <w:lang w:val="es-CR"/>
        </w:rPr>
        <w:tab/>
      </w:r>
      <w:r w:rsidRPr="00D60A0C">
        <w:rPr>
          <w:rFonts w:ascii="Arial" w:eastAsia="Arial" w:hAnsi="Arial"/>
          <w:bCs/>
          <w:sz w:val="22"/>
          <w:szCs w:val="22"/>
          <w:lang w:val="es-CR"/>
        </w:rPr>
        <w:t xml:space="preserve">La </w:t>
      </w:r>
      <w:r w:rsidR="000F29DC">
        <w:rPr>
          <w:rFonts w:ascii="Arial" w:eastAsia="Arial" w:hAnsi="Arial"/>
          <w:bCs/>
          <w:sz w:val="22"/>
          <w:szCs w:val="22"/>
          <w:lang w:val="es-CR"/>
        </w:rPr>
        <w:t>MBA</w:t>
      </w:r>
      <w:r w:rsidRPr="00D60A0C">
        <w:rPr>
          <w:rFonts w:ascii="Arial" w:eastAsia="Arial" w:hAnsi="Arial"/>
          <w:bCs/>
          <w:sz w:val="22"/>
          <w:szCs w:val="22"/>
          <w:lang w:val="es-CR"/>
        </w:rPr>
        <w:t xml:space="preserve"> revisará </w:t>
      </w:r>
      <w:r>
        <w:rPr>
          <w:rFonts w:ascii="Arial" w:eastAsia="Arial" w:hAnsi="Arial"/>
          <w:bCs/>
          <w:sz w:val="22"/>
          <w:szCs w:val="22"/>
          <w:lang w:val="es-CR"/>
        </w:rPr>
        <w:t xml:space="preserve">al menos </w:t>
      </w:r>
      <w:r w:rsidRPr="00D60A0C">
        <w:rPr>
          <w:rFonts w:ascii="Arial" w:eastAsia="Arial" w:hAnsi="Arial"/>
          <w:bCs/>
          <w:sz w:val="22"/>
          <w:szCs w:val="22"/>
          <w:lang w:val="es-CR"/>
        </w:rPr>
        <w:t xml:space="preserve">anualmente </w:t>
      </w:r>
      <w:r>
        <w:rPr>
          <w:rFonts w:ascii="Arial" w:eastAsia="Arial" w:hAnsi="Arial"/>
          <w:bCs/>
          <w:sz w:val="22"/>
          <w:szCs w:val="22"/>
          <w:lang w:val="es-CR"/>
        </w:rPr>
        <w:t xml:space="preserve">(al 31 de </w:t>
      </w:r>
      <w:r w:rsidR="00AA22E2">
        <w:rPr>
          <w:rFonts w:ascii="Arial" w:eastAsia="Arial" w:hAnsi="Arial"/>
          <w:bCs/>
          <w:sz w:val="22"/>
          <w:szCs w:val="22"/>
          <w:lang w:val="es-CR"/>
        </w:rPr>
        <w:t>diciembre</w:t>
      </w:r>
      <w:r>
        <w:rPr>
          <w:rFonts w:ascii="Arial" w:eastAsia="Arial" w:hAnsi="Arial"/>
          <w:bCs/>
          <w:sz w:val="22"/>
          <w:szCs w:val="22"/>
          <w:lang w:val="es-CR"/>
        </w:rPr>
        <w:t xml:space="preserve">) </w:t>
      </w:r>
      <w:r w:rsidRPr="00D60A0C">
        <w:rPr>
          <w:rFonts w:ascii="Arial" w:eastAsia="Arial" w:hAnsi="Arial"/>
          <w:bCs/>
          <w:sz w:val="22"/>
          <w:szCs w:val="22"/>
          <w:lang w:val="es-CR"/>
        </w:rPr>
        <w:t xml:space="preserve">el valor residual y los años de vida útil de los bienes y </w:t>
      </w:r>
      <w:r>
        <w:rPr>
          <w:rFonts w:ascii="Arial" w:eastAsia="Arial" w:hAnsi="Arial"/>
          <w:bCs/>
          <w:sz w:val="22"/>
          <w:szCs w:val="22"/>
          <w:lang w:val="es-CR"/>
        </w:rPr>
        <w:t>revelará</w:t>
      </w:r>
      <w:r w:rsidRPr="00D60A0C">
        <w:rPr>
          <w:rFonts w:ascii="Arial" w:eastAsia="Arial" w:hAnsi="Arial"/>
          <w:bCs/>
          <w:sz w:val="22"/>
          <w:szCs w:val="22"/>
          <w:lang w:val="es-CR"/>
        </w:rPr>
        <w:t xml:space="preserve"> cualquier </w:t>
      </w:r>
      <w:r w:rsidR="00AA22E2" w:rsidRPr="00D60A0C">
        <w:rPr>
          <w:rFonts w:ascii="Arial" w:eastAsia="Arial" w:hAnsi="Arial"/>
          <w:bCs/>
          <w:sz w:val="22"/>
          <w:szCs w:val="22"/>
          <w:lang w:val="es-CR"/>
        </w:rPr>
        <w:t>ca</w:t>
      </w:r>
      <w:r w:rsidR="00AA22E2">
        <w:rPr>
          <w:rFonts w:ascii="Arial" w:eastAsia="Arial" w:hAnsi="Arial"/>
          <w:bCs/>
          <w:sz w:val="22"/>
          <w:szCs w:val="22"/>
          <w:lang w:val="es-CR"/>
        </w:rPr>
        <w:t>mbi</w:t>
      </w:r>
      <w:r w:rsidR="00AA22E2" w:rsidRPr="00D60A0C">
        <w:rPr>
          <w:rFonts w:ascii="Arial" w:eastAsia="Arial" w:hAnsi="Arial"/>
          <w:bCs/>
          <w:sz w:val="22"/>
          <w:szCs w:val="22"/>
          <w:lang w:val="es-CR"/>
        </w:rPr>
        <w:t>o</w:t>
      </w:r>
      <w:r w:rsidRPr="00D60A0C">
        <w:rPr>
          <w:rFonts w:ascii="Arial" w:eastAsia="Arial" w:hAnsi="Arial"/>
          <w:bCs/>
          <w:sz w:val="22"/>
          <w:szCs w:val="22"/>
          <w:lang w:val="es-CR"/>
        </w:rPr>
        <w:t xml:space="preserve"> en las estimaciones realizadas</w:t>
      </w:r>
      <w:r>
        <w:rPr>
          <w:rFonts w:ascii="Arial" w:eastAsia="Arial" w:hAnsi="Arial"/>
          <w:bCs/>
          <w:sz w:val="22"/>
          <w:szCs w:val="22"/>
          <w:lang w:val="es-CR"/>
        </w:rPr>
        <w:t xml:space="preserve"> en las notas a los EEFF correspondientes. </w:t>
      </w:r>
    </w:p>
    <w:p w14:paraId="388E2322"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3A4A0FC5" w14:textId="1AEB75E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1.222.0.02</w:t>
      </w:r>
      <w:r>
        <w:rPr>
          <w:rFonts w:ascii="Arial" w:eastAsia="Arial" w:hAnsi="Arial"/>
          <w:bCs/>
          <w:sz w:val="22"/>
          <w:szCs w:val="22"/>
          <w:lang w:val="es-CR"/>
        </w:rPr>
        <w:tab/>
        <w:t>El</w:t>
      </w:r>
      <w:r w:rsidRPr="00D60A0C">
        <w:rPr>
          <w:rFonts w:ascii="Arial" w:eastAsia="Arial" w:hAnsi="Arial"/>
          <w:bCs/>
          <w:sz w:val="22"/>
          <w:szCs w:val="22"/>
          <w:lang w:val="es-CR"/>
        </w:rPr>
        <w:t xml:space="preserve"> </w:t>
      </w:r>
      <w:r w:rsidR="00AA22E2">
        <w:rPr>
          <w:rFonts w:ascii="Arial" w:eastAsia="Arial" w:hAnsi="Arial"/>
          <w:bCs/>
          <w:sz w:val="22"/>
          <w:szCs w:val="22"/>
          <w:lang w:val="es-CR"/>
        </w:rPr>
        <w:t>c</w:t>
      </w:r>
      <w:r w:rsidR="00AA22E2" w:rsidRPr="00D60A0C">
        <w:rPr>
          <w:rFonts w:ascii="Arial" w:eastAsia="Arial" w:hAnsi="Arial"/>
          <w:bCs/>
          <w:sz w:val="22"/>
          <w:szCs w:val="22"/>
          <w:lang w:val="es-CR"/>
        </w:rPr>
        <w:t>a</w:t>
      </w:r>
      <w:r w:rsidR="00AA22E2">
        <w:rPr>
          <w:rFonts w:ascii="Arial" w:eastAsia="Arial" w:hAnsi="Arial"/>
          <w:bCs/>
          <w:sz w:val="22"/>
          <w:szCs w:val="22"/>
          <w:lang w:val="es-CR"/>
        </w:rPr>
        <w:t>mbi</w:t>
      </w:r>
      <w:r w:rsidR="00AA22E2" w:rsidRPr="00D60A0C">
        <w:rPr>
          <w:rFonts w:ascii="Arial" w:eastAsia="Arial" w:hAnsi="Arial"/>
          <w:bCs/>
          <w:sz w:val="22"/>
          <w:szCs w:val="22"/>
          <w:lang w:val="es-CR"/>
        </w:rPr>
        <w:t>o</w:t>
      </w:r>
      <w:r w:rsidRPr="00D60A0C">
        <w:rPr>
          <w:rFonts w:ascii="Arial" w:eastAsia="Arial" w:hAnsi="Arial"/>
          <w:bCs/>
          <w:sz w:val="22"/>
          <w:szCs w:val="22"/>
          <w:lang w:val="es-CR"/>
        </w:rPr>
        <w:t xml:space="preserve"> en las estimaciones</w:t>
      </w:r>
      <w:r>
        <w:rPr>
          <w:rFonts w:ascii="Arial" w:eastAsia="Arial" w:hAnsi="Arial"/>
          <w:bCs/>
          <w:sz w:val="22"/>
          <w:szCs w:val="22"/>
          <w:lang w:val="es-CR"/>
        </w:rPr>
        <w:t xml:space="preserve"> implicará una variación en los montos</w:t>
      </w:r>
      <w:r w:rsidRPr="00D60A0C">
        <w:rPr>
          <w:rFonts w:ascii="Arial" w:eastAsia="Arial" w:hAnsi="Arial"/>
          <w:bCs/>
          <w:sz w:val="22"/>
          <w:szCs w:val="22"/>
          <w:lang w:val="es-CR"/>
        </w:rPr>
        <w:t xml:space="preserve">, por lo que deberá realizarse el ajuste correspondiente </w:t>
      </w:r>
      <w:r>
        <w:rPr>
          <w:rFonts w:ascii="Arial" w:eastAsia="Arial" w:hAnsi="Arial"/>
          <w:bCs/>
          <w:sz w:val="22"/>
          <w:szCs w:val="22"/>
          <w:lang w:val="es-CR"/>
        </w:rPr>
        <w:t xml:space="preserve">conforme lo establece la NICSP 3 </w:t>
      </w:r>
      <w:r w:rsidRPr="00D60A0C">
        <w:rPr>
          <w:rFonts w:ascii="Arial" w:eastAsia="Arial" w:hAnsi="Arial"/>
          <w:bCs/>
          <w:sz w:val="22"/>
          <w:szCs w:val="22"/>
          <w:lang w:val="es-CR"/>
        </w:rPr>
        <w:t xml:space="preserve">y </w:t>
      </w:r>
      <w:r>
        <w:rPr>
          <w:rFonts w:ascii="Arial" w:eastAsia="Arial" w:hAnsi="Arial"/>
          <w:bCs/>
          <w:sz w:val="22"/>
          <w:szCs w:val="22"/>
          <w:lang w:val="es-CR"/>
        </w:rPr>
        <w:t xml:space="preserve">deberán </w:t>
      </w:r>
      <w:r w:rsidRPr="00D60A0C">
        <w:rPr>
          <w:rFonts w:ascii="Arial" w:eastAsia="Arial" w:hAnsi="Arial"/>
          <w:bCs/>
          <w:sz w:val="22"/>
          <w:szCs w:val="22"/>
          <w:lang w:val="es-CR"/>
        </w:rPr>
        <w:t>revelar</w:t>
      </w:r>
      <w:r>
        <w:rPr>
          <w:rFonts w:ascii="Arial" w:eastAsia="Arial" w:hAnsi="Arial"/>
          <w:bCs/>
          <w:sz w:val="22"/>
          <w:szCs w:val="22"/>
          <w:lang w:val="es-CR"/>
        </w:rPr>
        <w:t>se</w:t>
      </w:r>
      <w:r w:rsidRPr="00D60A0C">
        <w:rPr>
          <w:rFonts w:ascii="Arial" w:eastAsia="Arial" w:hAnsi="Arial"/>
          <w:bCs/>
          <w:sz w:val="22"/>
          <w:szCs w:val="22"/>
          <w:lang w:val="es-CR"/>
        </w:rPr>
        <w:t xml:space="preserve"> dichos </w:t>
      </w:r>
      <w:r w:rsidR="00AA22E2" w:rsidRPr="00D60A0C">
        <w:rPr>
          <w:rFonts w:ascii="Arial" w:eastAsia="Arial" w:hAnsi="Arial"/>
          <w:bCs/>
          <w:sz w:val="22"/>
          <w:szCs w:val="22"/>
          <w:lang w:val="es-CR"/>
        </w:rPr>
        <w:t>ca</w:t>
      </w:r>
      <w:r w:rsidR="00AA22E2">
        <w:rPr>
          <w:rFonts w:ascii="Arial" w:eastAsia="Arial" w:hAnsi="Arial"/>
          <w:bCs/>
          <w:sz w:val="22"/>
          <w:szCs w:val="22"/>
          <w:lang w:val="es-CR"/>
        </w:rPr>
        <w:t>mbi</w:t>
      </w:r>
      <w:r w:rsidR="00AA22E2" w:rsidRPr="00D60A0C">
        <w:rPr>
          <w:rFonts w:ascii="Arial" w:eastAsia="Arial" w:hAnsi="Arial"/>
          <w:bCs/>
          <w:sz w:val="22"/>
          <w:szCs w:val="22"/>
          <w:lang w:val="es-CR"/>
        </w:rPr>
        <w:t>os</w:t>
      </w:r>
      <w:r w:rsidRPr="00D60A0C">
        <w:rPr>
          <w:rFonts w:ascii="Arial" w:eastAsia="Arial" w:hAnsi="Arial"/>
          <w:bCs/>
          <w:sz w:val="22"/>
          <w:szCs w:val="22"/>
          <w:lang w:val="es-CR"/>
        </w:rPr>
        <w:t xml:space="preserve"> en Notas a los EEFF.</w:t>
      </w:r>
    </w:p>
    <w:p w14:paraId="0D4F017D" w14:textId="77777777" w:rsidR="00D535E1" w:rsidRPr="00D60A0C" w:rsidRDefault="00D535E1" w:rsidP="004741D6">
      <w:pPr>
        <w:spacing w:line="236" w:lineRule="auto"/>
        <w:ind w:left="1134" w:right="280" w:hanging="1134"/>
        <w:jc w:val="both"/>
        <w:rPr>
          <w:rFonts w:ascii="Arial" w:eastAsia="Arial" w:hAnsi="Arial"/>
          <w:bCs/>
          <w:sz w:val="22"/>
          <w:szCs w:val="22"/>
          <w:lang w:val="es-CR"/>
        </w:rPr>
      </w:pPr>
    </w:p>
    <w:p w14:paraId="464BD328" w14:textId="77777777" w:rsidR="004741D6" w:rsidRPr="00DA0AB4" w:rsidRDefault="004741D6" w:rsidP="004741D6">
      <w:pPr>
        <w:spacing w:line="9" w:lineRule="exact"/>
        <w:ind w:hanging="1134"/>
        <w:rPr>
          <w:rFonts w:ascii="Times New Roman" w:eastAsia="Times New Roman" w:hAnsi="Times New Roman"/>
          <w:lang w:val="es-CR"/>
        </w:rPr>
      </w:pPr>
    </w:p>
    <w:p w14:paraId="65F07028" w14:textId="054CB35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1.222.1.01</w:t>
      </w:r>
      <w:r>
        <w:rPr>
          <w:rFonts w:ascii="Arial" w:eastAsia="Arial" w:hAnsi="Arial"/>
          <w:bCs/>
          <w:sz w:val="22"/>
          <w:szCs w:val="22"/>
          <w:lang w:val="es-CR"/>
        </w:rPr>
        <w:tab/>
      </w:r>
      <w:r w:rsidRPr="00D60A0C">
        <w:rPr>
          <w:rFonts w:ascii="Arial" w:eastAsia="Arial" w:hAnsi="Arial"/>
          <w:bCs/>
          <w:sz w:val="22"/>
          <w:szCs w:val="22"/>
          <w:lang w:val="es-CR"/>
        </w:rPr>
        <w:t xml:space="preserve">La </w:t>
      </w:r>
      <w:r w:rsidR="000F29DC">
        <w:rPr>
          <w:rFonts w:ascii="Arial" w:eastAsia="Arial" w:hAnsi="Arial"/>
          <w:bCs/>
          <w:sz w:val="22"/>
          <w:szCs w:val="22"/>
          <w:lang w:val="es-CR"/>
        </w:rPr>
        <w:t>MBA</w:t>
      </w:r>
      <w:r w:rsidRPr="00D60A0C">
        <w:rPr>
          <w:rFonts w:ascii="Arial" w:eastAsia="Arial" w:hAnsi="Arial"/>
          <w:bCs/>
          <w:sz w:val="22"/>
          <w:szCs w:val="22"/>
          <w:lang w:val="es-CR"/>
        </w:rPr>
        <w:t xml:space="preserve"> determinará los criterios</w:t>
      </w:r>
      <w:r>
        <w:rPr>
          <w:rFonts w:ascii="Arial" w:eastAsia="Arial" w:hAnsi="Arial"/>
          <w:bCs/>
          <w:sz w:val="22"/>
          <w:szCs w:val="22"/>
          <w:lang w:val="es-CR"/>
        </w:rPr>
        <w:t xml:space="preserve"> pertinentes</w:t>
      </w:r>
      <w:r w:rsidRPr="00D60A0C">
        <w:rPr>
          <w:rFonts w:ascii="Arial" w:eastAsia="Arial" w:hAnsi="Arial"/>
          <w:bCs/>
          <w:sz w:val="22"/>
          <w:szCs w:val="22"/>
          <w:lang w:val="es-CR"/>
        </w:rPr>
        <w:t xml:space="preserve"> para </w:t>
      </w:r>
      <w:r>
        <w:rPr>
          <w:rFonts w:ascii="Arial" w:eastAsia="Arial" w:hAnsi="Arial"/>
          <w:bCs/>
          <w:sz w:val="22"/>
          <w:szCs w:val="22"/>
          <w:lang w:val="es-CR"/>
        </w:rPr>
        <w:t>revisar</w:t>
      </w:r>
      <w:r w:rsidRPr="00D60A0C">
        <w:rPr>
          <w:rFonts w:ascii="Arial" w:eastAsia="Arial" w:hAnsi="Arial"/>
          <w:bCs/>
          <w:sz w:val="22"/>
          <w:szCs w:val="22"/>
          <w:lang w:val="es-CR"/>
        </w:rPr>
        <w:t xml:space="preserve"> y determinar valores residuales y años de vida útil de los bienes, para cada clase de bienes</w:t>
      </w:r>
      <w:r>
        <w:rPr>
          <w:rFonts w:ascii="Arial" w:eastAsia="Arial" w:hAnsi="Arial"/>
          <w:bCs/>
          <w:sz w:val="22"/>
          <w:szCs w:val="22"/>
          <w:lang w:val="es-CR"/>
        </w:rPr>
        <w:t>, así como</w:t>
      </w:r>
      <w:r w:rsidRPr="00D60A0C">
        <w:rPr>
          <w:rFonts w:ascii="Arial" w:eastAsia="Arial" w:hAnsi="Arial"/>
          <w:bCs/>
          <w:sz w:val="22"/>
          <w:szCs w:val="22"/>
          <w:lang w:val="es-CR"/>
        </w:rPr>
        <w:t xml:space="preserve"> para</w:t>
      </w:r>
      <w:r>
        <w:rPr>
          <w:rFonts w:ascii="Arial" w:eastAsia="Arial" w:hAnsi="Arial"/>
          <w:bCs/>
          <w:sz w:val="22"/>
          <w:szCs w:val="22"/>
          <w:lang w:val="es-CR"/>
        </w:rPr>
        <w:t xml:space="preserve"> cada</w:t>
      </w:r>
      <w:r w:rsidRPr="00D60A0C">
        <w:rPr>
          <w:rFonts w:ascii="Arial" w:eastAsia="Arial" w:hAnsi="Arial"/>
          <w:bCs/>
          <w:sz w:val="22"/>
          <w:szCs w:val="22"/>
          <w:lang w:val="es-CR"/>
        </w:rPr>
        <w:t xml:space="preserve"> bien específico dentro de cada clase</w:t>
      </w:r>
      <w:r>
        <w:rPr>
          <w:rFonts w:ascii="Arial" w:eastAsia="Arial" w:hAnsi="Arial"/>
          <w:bCs/>
          <w:sz w:val="22"/>
          <w:szCs w:val="22"/>
          <w:lang w:val="es-CR"/>
        </w:rPr>
        <w:t>, con base en la normativa técnica emitida por la DGCN al respecto</w:t>
      </w:r>
      <w:r w:rsidRPr="00D60A0C">
        <w:rPr>
          <w:rFonts w:ascii="Arial" w:eastAsia="Arial" w:hAnsi="Arial"/>
          <w:bCs/>
          <w:sz w:val="22"/>
          <w:szCs w:val="22"/>
          <w:lang w:val="es-CR"/>
        </w:rPr>
        <w:t>.</w:t>
      </w:r>
    </w:p>
    <w:p w14:paraId="246DC3C1"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540BAB70" w14:textId="1D471AC0"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1.222.1.01</w:t>
      </w:r>
      <w:r>
        <w:rPr>
          <w:rFonts w:ascii="Arial" w:eastAsia="Arial" w:hAnsi="Arial"/>
          <w:bCs/>
          <w:sz w:val="22"/>
          <w:szCs w:val="22"/>
          <w:lang w:val="es-CR"/>
        </w:rPr>
        <w:tab/>
        <w:t xml:space="preserve">La </w:t>
      </w:r>
      <w:r w:rsidR="000F29DC">
        <w:rPr>
          <w:rFonts w:ascii="Arial" w:eastAsia="Arial" w:hAnsi="Arial"/>
          <w:bCs/>
          <w:sz w:val="22"/>
          <w:szCs w:val="22"/>
          <w:lang w:val="es-CR"/>
        </w:rPr>
        <w:t>MBA</w:t>
      </w:r>
      <w:r>
        <w:rPr>
          <w:rFonts w:ascii="Arial" w:eastAsia="Arial" w:hAnsi="Arial"/>
          <w:bCs/>
          <w:sz w:val="22"/>
          <w:szCs w:val="22"/>
          <w:lang w:val="es-CR"/>
        </w:rPr>
        <w:t xml:space="preserve"> realizará la revisión de los valores residuales y años de vida de los bienes, en apego al procedimiento definido para el efecto y aplicando los criterios establecidos, en concordancia con la normativa técnica emitida por la DGCN.</w:t>
      </w:r>
    </w:p>
    <w:p w14:paraId="5EBCB9A8" w14:textId="77777777" w:rsidR="004741D6" w:rsidRDefault="004741D6" w:rsidP="004741D6">
      <w:pPr>
        <w:spacing w:line="236" w:lineRule="auto"/>
        <w:ind w:left="1134" w:right="280" w:hanging="1276"/>
        <w:jc w:val="both"/>
        <w:rPr>
          <w:rFonts w:ascii="Arial" w:eastAsia="Arial" w:hAnsi="Arial"/>
          <w:bCs/>
          <w:sz w:val="22"/>
          <w:szCs w:val="22"/>
          <w:lang w:val="es-CR"/>
        </w:rPr>
      </w:pPr>
    </w:p>
    <w:p w14:paraId="47BC281F" w14:textId="77777777" w:rsidR="00D535E1" w:rsidRDefault="00D535E1" w:rsidP="004741D6">
      <w:pPr>
        <w:spacing w:line="236" w:lineRule="auto"/>
        <w:ind w:left="1134" w:right="280" w:hanging="1276"/>
        <w:jc w:val="both"/>
        <w:rPr>
          <w:rFonts w:ascii="Arial" w:eastAsia="Arial" w:hAnsi="Arial"/>
          <w:bCs/>
          <w:sz w:val="22"/>
          <w:szCs w:val="22"/>
          <w:lang w:val="es-CR"/>
        </w:rPr>
      </w:pPr>
    </w:p>
    <w:tbl>
      <w:tblPr>
        <w:tblW w:w="9062" w:type="dxa"/>
        <w:tblLook w:val="04A0" w:firstRow="1" w:lastRow="0" w:firstColumn="1" w:lastColumn="0" w:noHBand="0" w:noVBand="1"/>
      </w:tblPr>
      <w:tblGrid>
        <w:gridCol w:w="555"/>
        <w:gridCol w:w="617"/>
        <w:gridCol w:w="531"/>
        <w:gridCol w:w="2965"/>
        <w:gridCol w:w="2552"/>
        <w:gridCol w:w="1842"/>
      </w:tblGrid>
      <w:tr w:rsidR="004741D6" w:rsidRPr="00D535E1" w14:paraId="4EB3492B" w14:textId="77777777" w:rsidTr="00D16719">
        <w:trPr>
          <w:trHeight w:val="320"/>
        </w:trPr>
        <w:tc>
          <w:tcPr>
            <w:tcW w:w="170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92B574C" w14:textId="77777777" w:rsidR="004741D6" w:rsidRPr="00D535E1" w:rsidRDefault="004741D6" w:rsidP="00D16719">
            <w:pPr>
              <w:jc w:val="center"/>
              <w:rPr>
                <w:rFonts w:ascii="Arial Narrow" w:eastAsia="Times New Roman" w:hAnsi="Arial Narrow"/>
                <w:b/>
                <w:bCs/>
                <w:color w:val="FFFFFF"/>
                <w:sz w:val="22"/>
                <w:szCs w:val="22"/>
              </w:rPr>
            </w:pPr>
            <w:r w:rsidRPr="00D535E1">
              <w:rPr>
                <w:rFonts w:ascii="Arial Narrow" w:eastAsia="Times New Roman" w:hAnsi="Arial Narrow"/>
                <w:b/>
                <w:bCs/>
                <w:color w:val="FFFFFF"/>
                <w:sz w:val="22"/>
                <w:szCs w:val="22"/>
              </w:rPr>
              <w:t>Norma / Política</w:t>
            </w:r>
          </w:p>
        </w:tc>
        <w:tc>
          <w:tcPr>
            <w:tcW w:w="296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C0BC59" w14:textId="77777777" w:rsidR="004741D6" w:rsidRPr="00D535E1" w:rsidRDefault="004741D6" w:rsidP="00D16719">
            <w:pPr>
              <w:jc w:val="center"/>
              <w:rPr>
                <w:rFonts w:ascii="Arial Narrow" w:eastAsia="Times New Roman" w:hAnsi="Arial Narrow"/>
                <w:b/>
                <w:bCs/>
                <w:color w:val="FFFFFF"/>
                <w:sz w:val="22"/>
                <w:szCs w:val="22"/>
              </w:rPr>
            </w:pPr>
            <w:r w:rsidRPr="00D535E1">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230695F3" w14:textId="77777777" w:rsidR="004741D6" w:rsidRPr="00D535E1" w:rsidRDefault="004741D6" w:rsidP="00D16719">
            <w:pPr>
              <w:jc w:val="center"/>
              <w:rPr>
                <w:rFonts w:ascii="Arial Narrow" w:eastAsia="Times New Roman" w:hAnsi="Arial Narrow"/>
                <w:b/>
                <w:bCs/>
                <w:color w:val="FFFFFF"/>
                <w:sz w:val="22"/>
                <w:szCs w:val="22"/>
              </w:rPr>
            </w:pPr>
            <w:r w:rsidRPr="00D535E1">
              <w:rPr>
                <w:rFonts w:ascii="Arial Narrow" w:eastAsia="Times New Roman" w:hAnsi="Arial Narrow"/>
                <w:b/>
                <w:bCs/>
                <w:color w:val="FFFFFF"/>
                <w:sz w:val="22"/>
                <w:szCs w:val="22"/>
              </w:rPr>
              <w:t>Referencia</w:t>
            </w:r>
          </w:p>
        </w:tc>
      </w:tr>
      <w:tr w:rsidR="004741D6" w:rsidRPr="00D535E1" w14:paraId="5319FD9F" w14:textId="77777777" w:rsidTr="00D535E1">
        <w:trPr>
          <w:trHeight w:val="894"/>
        </w:trPr>
        <w:tc>
          <w:tcPr>
            <w:tcW w:w="1703" w:type="dxa"/>
            <w:gridSpan w:val="3"/>
            <w:vMerge/>
            <w:tcBorders>
              <w:top w:val="single" w:sz="8" w:space="0" w:color="auto"/>
              <w:left w:val="single" w:sz="8" w:space="0" w:color="auto"/>
              <w:bottom w:val="nil"/>
              <w:right w:val="single" w:sz="8" w:space="0" w:color="000000"/>
            </w:tcBorders>
            <w:vAlign w:val="center"/>
            <w:hideMark/>
          </w:tcPr>
          <w:p w14:paraId="4F0AD1CF" w14:textId="77777777" w:rsidR="004741D6" w:rsidRPr="00D535E1" w:rsidRDefault="004741D6" w:rsidP="00D16719">
            <w:pPr>
              <w:rPr>
                <w:rFonts w:ascii="Arial Narrow" w:eastAsia="Times New Roman" w:hAnsi="Arial Narrow"/>
                <w:b/>
                <w:bCs/>
                <w:color w:val="FFFFFF"/>
                <w:sz w:val="22"/>
                <w:szCs w:val="22"/>
              </w:rPr>
            </w:pPr>
          </w:p>
        </w:tc>
        <w:tc>
          <w:tcPr>
            <w:tcW w:w="2965" w:type="dxa"/>
            <w:vMerge/>
            <w:tcBorders>
              <w:top w:val="single" w:sz="8" w:space="0" w:color="auto"/>
              <w:left w:val="single" w:sz="8" w:space="0" w:color="auto"/>
              <w:bottom w:val="nil"/>
              <w:right w:val="single" w:sz="8" w:space="0" w:color="auto"/>
            </w:tcBorders>
            <w:vAlign w:val="center"/>
            <w:hideMark/>
          </w:tcPr>
          <w:p w14:paraId="6D1FCE35" w14:textId="77777777" w:rsidR="004741D6" w:rsidRPr="00D535E1"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7836C98D" w14:textId="77777777" w:rsidR="004741D6" w:rsidRPr="00D535E1" w:rsidRDefault="004741D6" w:rsidP="00D16719">
            <w:pPr>
              <w:jc w:val="center"/>
              <w:rPr>
                <w:rFonts w:ascii="Arial Narrow" w:eastAsia="Times New Roman" w:hAnsi="Arial Narrow"/>
                <w:b/>
                <w:bCs/>
                <w:color w:val="FFFFFF"/>
                <w:sz w:val="22"/>
                <w:szCs w:val="22"/>
              </w:rPr>
            </w:pPr>
            <w:r w:rsidRPr="00D535E1">
              <w:rPr>
                <w:rFonts w:ascii="Arial Narrow" w:eastAsia="Times New Roman" w:hAnsi="Arial Narrow"/>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68DF21A1" w14:textId="77777777" w:rsidR="004741D6" w:rsidRPr="00D535E1" w:rsidRDefault="004741D6" w:rsidP="00D16719">
            <w:pPr>
              <w:jc w:val="center"/>
              <w:rPr>
                <w:rFonts w:ascii="Arial Narrow" w:eastAsia="Times New Roman" w:hAnsi="Arial Narrow"/>
                <w:b/>
                <w:bCs/>
                <w:color w:val="FFFFFF"/>
                <w:sz w:val="22"/>
                <w:szCs w:val="22"/>
                <w:lang w:val="es-CR"/>
              </w:rPr>
            </w:pPr>
            <w:r w:rsidRPr="00D535E1">
              <w:rPr>
                <w:rFonts w:ascii="Arial Narrow" w:eastAsia="Times New Roman" w:hAnsi="Arial Narrow"/>
                <w:b/>
                <w:bCs/>
                <w:color w:val="FFFFFF"/>
                <w:sz w:val="22"/>
                <w:szCs w:val="22"/>
                <w:lang w:val="es-CR"/>
              </w:rPr>
              <w:t>Normativa técnica y disposiciones adicionales</w:t>
            </w:r>
          </w:p>
        </w:tc>
      </w:tr>
      <w:tr w:rsidR="004741D6" w:rsidRPr="00D535E1" w14:paraId="6D8920D6" w14:textId="77777777" w:rsidTr="00D535E1">
        <w:trPr>
          <w:trHeight w:val="345"/>
        </w:trPr>
        <w:tc>
          <w:tcPr>
            <w:tcW w:w="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239853" w14:textId="77777777" w:rsidR="004741D6" w:rsidRPr="00D535E1" w:rsidRDefault="004741D6" w:rsidP="00D16719">
            <w:pPr>
              <w:jc w:val="center"/>
              <w:rPr>
                <w:rFonts w:ascii="Arial Narrow" w:eastAsia="Times New Roman" w:hAnsi="Arial Narrow"/>
                <w:b/>
                <w:bCs/>
                <w:color w:val="000000"/>
                <w:sz w:val="22"/>
                <w:szCs w:val="22"/>
              </w:rPr>
            </w:pPr>
            <w:r w:rsidRPr="00D535E1">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1B9780A5" w14:textId="77777777" w:rsidR="004741D6" w:rsidRPr="00D535E1" w:rsidRDefault="004741D6" w:rsidP="00D16719">
            <w:pPr>
              <w:jc w:val="center"/>
              <w:rPr>
                <w:rFonts w:ascii="Arial Narrow" w:eastAsia="Times New Roman" w:hAnsi="Arial Narrow"/>
                <w:b/>
                <w:bCs/>
                <w:color w:val="000000"/>
                <w:sz w:val="22"/>
                <w:szCs w:val="22"/>
              </w:rPr>
            </w:pPr>
            <w:r w:rsidRPr="00D535E1">
              <w:rPr>
                <w:rFonts w:ascii="Arial Narrow" w:eastAsia="Times New Roman" w:hAnsi="Arial Narrow"/>
                <w:b/>
                <w:bCs/>
                <w:color w:val="000000"/>
                <w:sz w:val="22"/>
                <w:szCs w:val="22"/>
              </w:rPr>
              <w:t>223</w:t>
            </w:r>
          </w:p>
        </w:tc>
        <w:tc>
          <w:tcPr>
            <w:tcW w:w="531" w:type="dxa"/>
            <w:tcBorders>
              <w:top w:val="single" w:sz="8" w:space="0" w:color="auto"/>
              <w:left w:val="nil"/>
              <w:bottom w:val="single" w:sz="8" w:space="0" w:color="auto"/>
              <w:right w:val="single" w:sz="8" w:space="0" w:color="auto"/>
            </w:tcBorders>
            <w:shd w:val="clear" w:color="auto" w:fill="auto"/>
            <w:vAlign w:val="center"/>
            <w:hideMark/>
          </w:tcPr>
          <w:p w14:paraId="1E2F0147" w14:textId="09E33CE0" w:rsidR="004741D6" w:rsidRPr="00D535E1" w:rsidRDefault="004741D6" w:rsidP="00D16719">
            <w:pPr>
              <w:jc w:val="center"/>
              <w:rPr>
                <w:rFonts w:ascii="Arial Narrow" w:eastAsia="Times New Roman" w:hAnsi="Arial Narrow"/>
                <w:b/>
                <w:bCs/>
                <w:color w:val="000000"/>
                <w:sz w:val="22"/>
                <w:szCs w:val="22"/>
              </w:rPr>
            </w:pPr>
            <w:r w:rsidRPr="00D535E1">
              <w:rPr>
                <w:rFonts w:ascii="Arial Narrow" w:eastAsia="Times New Roman" w:hAnsi="Arial Narrow"/>
                <w:b/>
                <w:bCs/>
                <w:color w:val="000000"/>
                <w:sz w:val="22"/>
                <w:szCs w:val="22"/>
                <w:lang w:val="es-CR"/>
              </w:rPr>
              <w:t> </w:t>
            </w:r>
            <w:r w:rsidR="002B7D8C" w:rsidRPr="00D535E1">
              <w:rPr>
                <w:rFonts w:ascii="Arial Narrow" w:eastAsia="Times New Roman" w:hAnsi="Arial Narrow"/>
                <w:b/>
                <w:bCs/>
                <w:color w:val="000000"/>
                <w:sz w:val="22"/>
                <w:szCs w:val="22"/>
                <w:lang w:val="es-CR"/>
              </w:rPr>
              <w:t>0</w:t>
            </w:r>
          </w:p>
        </w:tc>
        <w:tc>
          <w:tcPr>
            <w:tcW w:w="2965" w:type="dxa"/>
            <w:tcBorders>
              <w:top w:val="single" w:sz="8" w:space="0" w:color="auto"/>
              <w:left w:val="nil"/>
              <w:bottom w:val="single" w:sz="8" w:space="0" w:color="auto"/>
              <w:right w:val="single" w:sz="8" w:space="0" w:color="auto"/>
            </w:tcBorders>
            <w:shd w:val="clear" w:color="auto" w:fill="auto"/>
            <w:vAlign w:val="center"/>
            <w:hideMark/>
          </w:tcPr>
          <w:p w14:paraId="0C50B146" w14:textId="77777777" w:rsidR="004741D6" w:rsidRPr="00D535E1" w:rsidRDefault="004741D6" w:rsidP="00D16719">
            <w:pPr>
              <w:jc w:val="both"/>
              <w:rPr>
                <w:rFonts w:ascii="Arial Narrow" w:eastAsia="Times New Roman" w:hAnsi="Arial Narrow"/>
                <w:b/>
                <w:bCs/>
                <w:color w:val="000000"/>
                <w:sz w:val="22"/>
                <w:szCs w:val="22"/>
                <w:lang w:val="es-CR"/>
              </w:rPr>
            </w:pPr>
            <w:r w:rsidRPr="00D535E1">
              <w:rPr>
                <w:rFonts w:ascii="Arial Narrow" w:eastAsia="Times New Roman" w:hAnsi="Arial Narrow"/>
                <w:b/>
                <w:bCs/>
                <w:color w:val="000000"/>
                <w:sz w:val="22"/>
                <w:szCs w:val="22"/>
                <w:lang w:val="es-CR"/>
              </w:rPr>
              <w:t>Valor razonable del activo que excede a su importe en libros</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0EAD91EA" w14:textId="77777777" w:rsidR="004741D6" w:rsidRPr="00D535E1" w:rsidRDefault="004741D6" w:rsidP="00D16719">
            <w:pPr>
              <w:jc w:val="both"/>
              <w:rPr>
                <w:rFonts w:ascii="Arial Narrow" w:eastAsia="Times New Roman" w:hAnsi="Arial Narrow"/>
                <w:b/>
                <w:bCs/>
                <w:color w:val="000000"/>
                <w:sz w:val="22"/>
                <w:szCs w:val="22"/>
              </w:rPr>
            </w:pPr>
            <w:r w:rsidRPr="00D535E1">
              <w:rPr>
                <w:rFonts w:ascii="Arial Narrow" w:eastAsia="Times New Roman" w:hAnsi="Arial Narrow"/>
                <w:b/>
                <w:bCs/>
                <w:color w:val="000000"/>
                <w:sz w:val="22"/>
                <w:szCs w:val="22"/>
                <w:lang w:val="es-CR"/>
              </w:rPr>
              <w:t>NICSP N° 17,</w:t>
            </w:r>
            <w:r w:rsidRPr="00D535E1">
              <w:rPr>
                <w:rFonts w:ascii="Arial Narrow" w:eastAsia="Times New Roman" w:hAnsi="Arial Narrow"/>
                <w:b/>
                <w:bCs/>
                <w:color w:val="000000"/>
                <w:sz w:val="22"/>
                <w:szCs w:val="22"/>
                <w:lang w:val="es-CR"/>
              </w:rPr>
              <w:br/>
              <w:t>Párrafo 68.</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33C37C6D" w14:textId="77777777" w:rsidR="004741D6" w:rsidRPr="00D535E1" w:rsidRDefault="004741D6" w:rsidP="00D16719">
            <w:pPr>
              <w:jc w:val="center"/>
              <w:rPr>
                <w:rFonts w:ascii="Arial Narrow" w:eastAsia="Times New Roman" w:hAnsi="Arial Narrow"/>
                <w:b/>
                <w:bCs/>
                <w:color w:val="000000"/>
                <w:sz w:val="22"/>
                <w:szCs w:val="22"/>
              </w:rPr>
            </w:pPr>
            <w:r w:rsidRPr="00D535E1">
              <w:rPr>
                <w:rFonts w:ascii="Arial Narrow" w:eastAsia="Times New Roman" w:hAnsi="Arial Narrow"/>
                <w:b/>
                <w:bCs/>
                <w:color w:val="000000"/>
                <w:sz w:val="22"/>
                <w:szCs w:val="22"/>
              </w:rPr>
              <w:t> </w:t>
            </w:r>
          </w:p>
        </w:tc>
      </w:tr>
    </w:tbl>
    <w:p w14:paraId="40BD9745" w14:textId="77777777" w:rsidR="004741D6" w:rsidRDefault="004741D6" w:rsidP="004741D6">
      <w:pPr>
        <w:spacing w:line="236" w:lineRule="auto"/>
        <w:ind w:left="1134" w:right="280" w:hanging="1276"/>
        <w:jc w:val="both"/>
        <w:rPr>
          <w:rFonts w:ascii="Arial" w:eastAsia="Arial" w:hAnsi="Arial"/>
          <w:bCs/>
          <w:sz w:val="22"/>
          <w:szCs w:val="22"/>
          <w:lang w:val="es-CR"/>
        </w:rPr>
      </w:pPr>
    </w:p>
    <w:p w14:paraId="6F5936CA" w14:textId="4C97DA4B" w:rsidR="00D535E1" w:rsidRDefault="00D535E1" w:rsidP="004741D6">
      <w:pPr>
        <w:spacing w:line="236" w:lineRule="auto"/>
        <w:ind w:left="1134" w:right="280" w:hanging="1276"/>
        <w:jc w:val="both"/>
        <w:rPr>
          <w:rFonts w:ascii="Arial" w:eastAsia="Arial" w:hAnsi="Arial"/>
          <w:b/>
          <w:sz w:val="22"/>
          <w:szCs w:val="22"/>
        </w:rPr>
      </w:pPr>
      <w:r w:rsidRPr="00F02F9D">
        <w:rPr>
          <w:rFonts w:ascii="Arial" w:eastAsia="Arial" w:hAnsi="Arial"/>
          <w:b/>
          <w:sz w:val="22"/>
          <w:szCs w:val="22"/>
        </w:rPr>
        <w:t>Políticas Contables</w:t>
      </w:r>
    </w:p>
    <w:p w14:paraId="19890E8B" w14:textId="77777777" w:rsidR="00D535E1" w:rsidRPr="00D60A0C" w:rsidRDefault="00D535E1" w:rsidP="004741D6">
      <w:pPr>
        <w:spacing w:line="236" w:lineRule="auto"/>
        <w:ind w:left="1134" w:right="280" w:hanging="1276"/>
        <w:jc w:val="both"/>
        <w:rPr>
          <w:rFonts w:ascii="Arial" w:eastAsia="Arial" w:hAnsi="Arial"/>
          <w:bCs/>
          <w:sz w:val="22"/>
          <w:szCs w:val="22"/>
          <w:lang w:val="es-CR"/>
        </w:rPr>
      </w:pPr>
    </w:p>
    <w:p w14:paraId="446110B3" w14:textId="038091F8"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1.223.0.01</w:t>
      </w:r>
      <w:r>
        <w:rPr>
          <w:rFonts w:ascii="Arial" w:eastAsia="Arial" w:hAnsi="Arial"/>
          <w:bCs/>
          <w:sz w:val="22"/>
          <w:szCs w:val="22"/>
          <w:lang w:val="es-CR"/>
        </w:rPr>
        <w:tab/>
      </w:r>
      <w:r w:rsidRPr="001A3295">
        <w:rPr>
          <w:rFonts w:ascii="Arial" w:eastAsia="Arial" w:hAnsi="Arial"/>
          <w:bCs/>
          <w:sz w:val="22"/>
          <w:szCs w:val="22"/>
          <w:lang w:val="es-CR"/>
        </w:rPr>
        <w:t xml:space="preserve">En la </w:t>
      </w:r>
      <w:r w:rsidR="000F29DC">
        <w:rPr>
          <w:rFonts w:ascii="Arial" w:eastAsia="Arial" w:hAnsi="Arial"/>
          <w:bCs/>
          <w:sz w:val="22"/>
          <w:szCs w:val="22"/>
          <w:lang w:val="es-CR"/>
        </w:rPr>
        <w:t>MBA</w:t>
      </w:r>
      <w:r w:rsidRPr="001A3295">
        <w:rPr>
          <w:rFonts w:ascii="Arial" w:eastAsia="Arial" w:hAnsi="Arial"/>
          <w:bCs/>
          <w:sz w:val="22"/>
          <w:szCs w:val="22"/>
          <w:lang w:val="es-CR"/>
        </w:rPr>
        <w:t xml:space="preserve"> la depreciación se contabilizará incluso si el valor razonable del activo excede a su importe en libros, siempre y cuando el valor residual del activo no supere al importe en libros de este. Las operaciones de reparación y mantenimiento de un activo no evitan realizar la depreciación.</w:t>
      </w:r>
    </w:p>
    <w:p w14:paraId="1E3F6C6D"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5ACA8CAD" w14:textId="77777777" w:rsidR="004741D6" w:rsidRPr="00745571"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1.223.0.02</w:t>
      </w:r>
      <w:r>
        <w:rPr>
          <w:rFonts w:ascii="Arial" w:eastAsia="Arial" w:hAnsi="Arial"/>
          <w:bCs/>
          <w:sz w:val="22"/>
          <w:szCs w:val="22"/>
          <w:lang w:val="es-CR"/>
        </w:rPr>
        <w:tab/>
      </w:r>
      <w:r w:rsidRPr="00745571">
        <w:rPr>
          <w:rFonts w:ascii="Arial" w:eastAsia="Arial" w:hAnsi="Arial"/>
          <w:bCs/>
          <w:sz w:val="22"/>
          <w:szCs w:val="22"/>
          <w:lang w:val="es-CR"/>
        </w:rPr>
        <w:t xml:space="preserve">Cuando </w:t>
      </w:r>
      <w:r>
        <w:rPr>
          <w:rFonts w:ascii="Arial" w:eastAsia="Arial" w:hAnsi="Arial"/>
          <w:bCs/>
          <w:sz w:val="22"/>
          <w:szCs w:val="22"/>
          <w:lang w:val="es-CR"/>
        </w:rPr>
        <w:t xml:space="preserve">producto de la </w:t>
      </w:r>
      <w:r w:rsidRPr="00745571">
        <w:rPr>
          <w:rFonts w:ascii="Arial" w:eastAsia="Arial" w:hAnsi="Arial"/>
          <w:bCs/>
          <w:sz w:val="22"/>
          <w:szCs w:val="22"/>
          <w:lang w:val="es-CR"/>
        </w:rPr>
        <w:t xml:space="preserve">gestión de activos </w:t>
      </w:r>
      <w:r>
        <w:rPr>
          <w:rFonts w:ascii="Arial" w:eastAsia="Arial" w:hAnsi="Arial"/>
          <w:bCs/>
          <w:sz w:val="22"/>
          <w:szCs w:val="22"/>
          <w:lang w:val="es-CR"/>
        </w:rPr>
        <w:t xml:space="preserve">existente </w:t>
      </w:r>
      <w:r w:rsidRPr="00745571">
        <w:rPr>
          <w:rFonts w:ascii="Arial" w:eastAsia="Arial" w:hAnsi="Arial"/>
          <w:bCs/>
          <w:sz w:val="22"/>
          <w:szCs w:val="22"/>
          <w:lang w:val="es-CR"/>
        </w:rPr>
        <w:t>(mantenimiento inadecuado o la ausencia de mantenimiento)</w:t>
      </w:r>
      <w:r>
        <w:rPr>
          <w:rFonts w:ascii="Arial" w:eastAsia="Arial" w:hAnsi="Arial"/>
          <w:bCs/>
          <w:sz w:val="22"/>
          <w:szCs w:val="22"/>
          <w:lang w:val="es-CR"/>
        </w:rPr>
        <w:t>,</w:t>
      </w:r>
      <w:r w:rsidRPr="00745571">
        <w:rPr>
          <w:rFonts w:ascii="Arial" w:eastAsia="Arial" w:hAnsi="Arial"/>
          <w:bCs/>
          <w:sz w:val="22"/>
          <w:szCs w:val="22"/>
          <w:lang w:val="es-CR"/>
        </w:rPr>
        <w:t xml:space="preserve"> o por el uso de los activos</w:t>
      </w:r>
      <w:r>
        <w:rPr>
          <w:rFonts w:ascii="Arial" w:eastAsia="Arial" w:hAnsi="Arial"/>
          <w:bCs/>
          <w:sz w:val="22"/>
          <w:szCs w:val="22"/>
          <w:lang w:val="es-CR"/>
        </w:rPr>
        <w:t>,</w:t>
      </w:r>
      <w:r w:rsidRPr="00745571">
        <w:rPr>
          <w:rFonts w:ascii="Arial" w:eastAsia="Arial" w:hAnsi="Arial"/>
          <w:bCs/>
          <w:sz w:val="22"/>
          <w:szCs w:val="22"/>
          <w:lang w:val="es-CR"/>
        </w:rPr>
        <w:t xml:space="preserve"> se acelere el desgaste</w:t>
      </w:r>
      <w:r>
        <w:rPr>
          <w:rFonts w:ascii="Arial" w:eastAsia="Arial" w:hAnsi="Arial"/>
          <w:bCs/>
          <w:sz w:val="22"/>
          <w:szCs w:val="22"/>
          <w:lang w:val="es-CR"/>
        </w:rPr>
        <w:t xml:space="preserve"> de los mimos</w:t>
      </w:r>
      <w:r w:rsidRPr="00745571">
        <w:rPr>
          <w:rFonts w:ascii="Arial" w:eastAsia="Arial" w:hAnsi="Arial"/>
          <w:bCs/>
          <w:sz w:val="22"/>
          <w:szCs w:val="22"/>
          <w:lang w:val="es-CR"/>
        </w:rPr>
        <w:t>, su vida útil debería estimarse nuevamente y reajustarse según proceda.</w:t>
      </w:r>
    </w:p>
    <w:p w14:paraId="2783A709"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00ABC41D"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6AD5B76F"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0B438A77"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2AFC3509" w14:textId="77777777" w:rsidR="00D535E1" w:rsidRDefault="00D535E1" w:rsidP="004741D6">
      <w:pPr>
        <w:spacing w:line="236" w:lineRule="auto"/>
        <w:ind w:left="1134" w:right="280" w:hanging="1134"/>
        <w:jc w:val="both"/>
        <w:rPr>
          <w:rFonts w:ascii="Arial" w:eastAsia="Arial" w:hAnsi="Arial"/>
          <w:bCs/>
          <w:sz w:val="22"/>
          <w:szCs w:val="22"/>
          <w:lang w:val="es-CR"/>
        </w:rPr>
      </w:pPr>
    </w:p>
    <w:tbl>
      <w:tblPr>
        <w:tblW w:w="9062" w:type="dxa"/>
        <w:tblLook w:val="04A0" w:firstRow="1" w:lastRow="0" w:firstColumn="1" w:lastColumn="0" w:noHBand="0" w:noVBand="1"/>
      </w:tblPr>
      <w:tblGrid>
        <w:gridCol w:w="553"/>
        <w:gridCol w:w="617"/>
        <w:gridCol w:w="530"/>
        <w:gridCol w:w="2968"/>
        <w:gridCol w:w="2552"/>
        <w:gridCol w:w="1842"/>
      </w:tblGrid>
      <w:tr w:rsidR="004741D6" w:rsidRPr="00731D51" w14:paraId="4A35C6BB" w14:textId="77777777" w:rsidTr="00D16719">
        <w:trPr>
          <w:trHeight w:val="320"/>
        </w:trPr>
        <w:tc>
          <w:tcPr>
            <w:tcW w:w="170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88F36B8" w14:textId="77777777" w:rsidR="004741D6" w:rsidRPr="00731D51" w:rsidRDefault="004741D6" w:rsidP="00D16719">
            <w:pPr>
              <w:jc w:val="center"/>
              <w:rPr>
                <w:rFonts w:ascii="Arial Narrow" w:eastAsia="Times New Roman" w:hAnsi="Arial Narrow"/>
                <w:b/>
                <w:bCs/>
                <w:color w:val="FFFFFF"/>
              </w:rPr>
            </w:pPr>
            <w:r w:rsidRPr="00731D51">
              <w:rPr>
                <w:rFonts w:ascii="Arial Narrow" w:eastAsia="Times New Roman" w:hAnsi="Arial Narrow"/>
                <w:b/>
                <w:bCs/>
                <w:color w:val="FFFFFF"/>
              </w:rPr>
              <w:t>Norma / Política</w:t>
            </w:r>
          </w:p>
        </w:tc>
        <w:tc>
          <w:tcPr>
            <w:tcW w:w="2968" w:type="dxa"/>
            <w:vMerge w:val="restart"/>
            <w:tcBorders>
              <w:top w:val="single" w:sz="8" w:space="0" w:color="auto"/>
              <w:left w:val="single" w:sz="8" w:space="0" w:color="auto"/>
              <w:bottom w:val="nil"/>
              <w:right w:val="single" w:sz="8" w:space="0" w:color="auto"/>
            </w:tcBorders>
            <w:shd w:val="clear" w:color="000000" w:fill="203764"/>
            <w:vAlign w:val="center"/>
            <w:hideMark/>
          </w:tcPr>
          <w:p w14:paraId="093314CE" w14:textId="77777777" w:rsidR="004741D6" w:rsidRPr="00731D51" w:rsidRDefault="004741D6" w:rsidP="00D16719">
            <w:pPr>
              <w:jc w:val="center"/>
              <w:rPr>
                <w:rFonts w:ascii="Arial Narrow" w:eastAsia="Times New Roman" w:hAnsi="Arial Narrow"/>
                <w:b/>
                <w:bCs/>
                <w:color w:val="FFFFFF"/>
              </w:rPr>
            </w:pPr>
            <w:r w:rsidRPr="00731D51">
              <w:rPr>
                <w:rFonts w:ascii="Arial Narrow" w:eastAsia="Times New Roman" w:hAnsi="Arial Narrow"/>
                <w:b/>
                <w:bCs/>
                <w:color w:val="FFFFFF"/>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07B1C741" w14:textId="77777777" w:rsidR="004741D6" w:rsidRPr="00731D51" w:rsidRDefault="004741D6" w:rsidP="00D16719">
            <w:pPr>
              <w:jc w:val="center"/>
              <w:rPr>
                <w:rFonts w:ascii="Arial Narrow" w:eastAsia="Times New Roman" w:hAnsi="Arial Narrow"/>
                <w:b/>
                <w:bCs/>
                <w:color w:val="FFFFFF"/>
              </w:rPr>
            </w:pPr>
            <w:r w:rsidRPr="00731D51">
              <w:rPr>
                <w:rFonts w:ascii="Arial Narrow" w:eastAsia="Times New Roman" w:hAnsi="Arial Narrow"/>
                <w:b/>
                <w:bCs/>
                <w:color w:val="FFFFFF"/>
              </w:rPr>
              <w:t>Referencia</w:t>
            </w:r>
          </w:p>
        </w:tc>
      </w:tr>
      <w:tr w:rsidR="004741D6" w:rsidRPr="006E5442" w14:paraId="5E971703" w14:textId="77777777" w:rsidTr="00D535E1">
        <w:trPr>
          <w:trHeight w:val="907"/>
        </w:trPr>
        <w:tc>
          <w:tcPr>
            <w:tcW w:w="1700" w:type="dxa"/>
            <w:gridSpan w:val="3"/>
            <w:vMerge/>
            <w:tcBorders>
              <w:top w:val="single" w:sz="8" w:space="0" w:color="auto"/>
              <w:left w:val="single" w:sz="8" w:space="0" w:color="auto"/>
              <w:bottom w:val="nil"/>
              <w:right w:val="single" w:sz="8" w:space="0" w:color="000000"/>
            </w:tcBorders>
            <w:vAlign w:val="center"/>
            <w:hideMark/>
          </w:tcPr>
          <w:p w14:paraId="0C15BDAB" w14:textId="77777777" w:rsidR="004741D6" w:rsidRPr="00731D51" w:rsidRDefault="004741D6" w:rsidP="00D16719">
            <w:pPr>
              <w:rPr>
                <w:rFonts w:ascii="Arial Narrow" w:eastAsia="Times New Roman" w:hAnsi="Arial Narrow"/>
                <w:b/>
                <w:bCs/>
                <w:color w:val="FFFFFF"/>
              </w:rPr>
            </w:pPr>
          </w:p>
        </w:tc>
        <w:tc>
          <w:tcPr>
            <w:tcW w:w="2968" w:type="dxa"/>
            <w:vMerge/>
            <w:tcBorders>
              <w:top w:val="single" w:sz="8" w:space="0" w:color="auto"/>
              <w:left w:val="single" w:sz="8" w:space="0" w:color="auto"/>
              <w:bottom w:val="nil"/>
              <w:right w:val="single" w:sz="8" w:space="0" w:color="auto"/>
            </w:tcBorders>
            <w:vAlign w:val="center"/>
            <w:hideMark/>
          </w:tcPr>
          <w:p w14:paraId="3919F268" w14:textId="77777777" w:rsidR="004741D6" w:rsidRPr="00731D51" w:rsidRDefault="004741D6" w:rsidP="00D16719">
            <w:pPr>
              <w:rPr>
                <w:rFonts w:ascii="Arial Narrow" w:eastAsia="Times New Roman" w:hAnsi="Arial Narrow"/>
                <w:b/>
                <w:bCs/>
                <w:color w:val="FFFFFF"/>
              </w:rPr>
            </w:pPr>
          </w:p>
        </w:tc>
        <w:tc>
          <w:tcPr>
            <w:tcW w:w="2552" w:type="dxa"/>
            <w:tcBorders>
              <w:top w:val="nil"/>
              <w:left w:val="nil"/>
              <w:bottom w:val="nil"/>
              <w:right w:val="single" w:sz="8" w:space="0" w:color="auto"/>
            </w:tcBorders>
            <w:shd w:val="clear" w:color="000000" w:fill="203764"/>
            <w:vAlign w:val="center"/>
            <w:hideMark/>
          </w:tcPr>
          <w:p w14:paraId="33755CD8" w14:textId="77777777" w:rsidR="004741D6" w:rsidRPr="00731D51" w:rsidRDefault="004741D6" w:rsidP="00D16719">
            <w:pPr>
              <w:jc w:val="center"/>
              <w:rPr>
                <w:rFonts w:ascii="Arial Narrow" w:eastAsia="Times New Roman" w:hAnsi="Arial Narrow"/>
                <w:b/>
                <w:bCs/>
                <w:color w:val="FFFFFF"/>
              </w:rPr>
            </w:pPr>
            <w:r w:rsidRPr="00731D51">
              <w:rPr>
                <w:rFonts w:ascii="Arial Narrow" w:eastAsia="Times New Roman" w:hAnsi="Arial Narrow"/>
                <w:b/>
                <w:bCs/>
                <w:color w:val="FFFFFF"/>
              </w:rPr>
              <w:t>Norma</w:t>
            </w:r>
          </w:p>
        </w:tc>
        <w:tc>
          <w:tcPr>
            <w:tcW w:w="1842" w:type="dxa"/>
            <w:tcBorders>
              <w:top w:val="nil"/>
              <w:left w:val="nil"/>
              <w:bottom w:val="nil"/>
              <w:right w:val="single" w:sz="8" w:space="0" w:color="auto"/>
            </w:tcBorders>
            <w:shd w:val="clear" w:color="000000" w:fill="203764"/>
            <w:vAlign w:val="center"/>
            <w:hideMark/>
          </w:tcPr>
          <w:p w14:paraId="387794E0" w14:textId="77777777" w:rsidR="004741D6" w:rsidRPr="00731D51" w:rsidRDefault="004741D6" w:rsidP="00D16719">
            <w:pPr>
              <w:jc w:val="center"/>
              <w:rPr>
                <w:rFonts w:ascii="Arial Narrow" w:eastAsia="Times New Roman" w:hAnsi="Arial Narrow"/>
                <w:b/>
                <w:bCs/>
                <w:color w:val="FFFFFF"/>
                <w:lang w:val="es-CR"/>
              </w:rPr>
            </w:pPr>
            <w:r w:rsidRPr="00731D51">
              <w:rPr>
                <w:rFonts w:ascii="Arial Narrow" w:eastAsia="Times New Roman" w:hAnsi="Arial Narrow"/>
                <w:b/>
                <w:bCs/>
                <w:color w:val="FFFFFF"/>
                <w:lang w:val="es-CR"/>
              </w:rPr>
              <w:t>Normativa técnica y disposiciones adicionales</w:t>
            </w:r>
          </w:p>
        </w:tc>
      </w:tr>
      <w:tr w:rsidR="004741D6" w:rsidRPr="00731D51" w14:paraId="79A4B79F" w14:textId="77777777" w:rsidTr="00D535E1">
        <w:trPr>
          <w:trHeight w:val="282"/>
        </w:trPr>
        <w:tc>
          <w:tcPr>
            <w:tcW w:w="5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5AAC6C" w14:textId="77777777" w:rsidR="004741D6" w:rsidRPr="00731D51" w:rsidRDefault="004741D6" w:rsidP="00D16719">
            <w:pPr>
              <w:jc w:val="center"/>
              <w:rPr>
                <w:rFonts w:ascii="Arial Narrow" w:eastAsia="Times New Roman" w:hAnsi="Arial Narrow"/>
                <w:b/>
                <w:bCs/>
                <w:color w:val="000000"/>
              </w:rPr>
            </w:pPr>
            <w:r w:rsidRPr="00731D51">
              <w:rPr>
                <w:rFonts w:ascii="Arial Narrow" w:eastAsia="Times New Roman" w:hAnsi="Arial Narrow"/>
                <w:b/>
                <w:bCs/>
                <w:color w:val="000000"/>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62959F5F" w14:textId="77777777" w:rsidR="004741D6" w:rsidRPr="00731D51" w:rsidRDefault="004741D6" w:rsidP="00D16719">
            <w:pPr>
              <w:jc w:val="center"/>
              <w:rPr>
                <w:rFonts w:ascii="Arial Narrow" w:eastAsia="Times New Roman" w:hAnsi="Arial Narrow"/>
                <w:b/>
                <w:bCs/>
                <w:color w:val="000000"/>
              </w:rPr>
            </w:pPr>
            <w:r w:rsidRPr="00731D51">
              <w:rPr>
                <w:rFonts w:ascii="Arial Narrow" w:eastAsia="Times New Roman" w:hAnsi="Arial Narrow"/>
                <w:b/>
                <w:bCs/>
                <w:color w:val="000000"/>
              </w:rPr>
              <w:t>224</w:t>
            </w:r>
          </w:p>
        </w:tc>
        <w:tc>
          <w:tcPr>
            <w:tcW w:w="530" w:type="dxa"/>
            <w:tcBorders>
              <w:top w:val="single" w:sz="8" w:space="0" w:color="auto"/>
              <w:left w:val="nil"/>
              <w:bottom w:val="single" w:sz="8" w:space="0" w:color="auto"/>
              <w:right w:val="single" w:sz="8" w:space="0" w:color="auto"/>
            </w:tcBorders>
            <w:shd w:val="clear" w:color="auto" w:fill="auto"/>
            <w:vAlign w:val="center"/>
            <w:hideMark/>
          </w:tcPr>
          <w:p w14:paraId="210FEE2F" w14:textId="64BD743D" w:rsidR="002B7D8C" w:rsidRPr="002B7D8C" w:rsidRDefault="004741D6" w:rsidP="002B7D8C">
            <w:pPr>
              <w:jc w:val="center"/>
              <w:rPr>
                <w:rFonts w:ascii="Arial Narrow" w:eastAsia="Times New Roman" w:hAnsi="Arial Narrow"/>
                <w:b/>
                <w:bCs/>
                <w:color w:val="000000"/>
                <w:lang w:val="es-CR"/>
              </w:rPr>
            </w:pPr>
            <w:r w:rsidRPr="00731D51">
              <w:rPr>
                <w:rFonts w:ascii="Arial Narrow" w:eastAsia="Times New Roman" w:hAnsi="Arial Narrow"/>
                <w:b/>
                <w:bCs/>
                <w:color w:val="000000"/>
                <w:lang w:val="es-CR"/>
              </w:rPr>
              <w:t> </w:t>
            </w:r>
            <w:r w:rsidR="002B7D8C">
              <w:rPr>
                <w:rFonts w:ascii="Arial Narrow" w:eastAsia="Times New Roman" w:hAnsi="Arial Narrow"/>
                <w:b/>
                <w:bCs/>
                <w:color w:val="000000"/>
                <w:lang w:val="es-CR"/>
              </w:rPr>
              <w:t>0</w:t>
            </w:r>
          </w:p>
        </w:tc>
        <w:tc>
          <w:tcPr>
            <w:tcW w:w="2968" w:type="dxa"/>
            <w:tcBorders>
              <w:top w:val="single" w:sz="8" w:space="0" w:color="auto"/>
              <w:left w:val="nil"/>
              <w:bottom w:val="single" w:sz="8" w:space="0" w:color="auto"/>
              <w:right w:val="single" w:sz="8" w:space="0" w:color="auto"/>
            </w:tcBorders>
            <w:shd w:val="clear" w:color="auto" w:fill="auto"/>
            <w:vAlign w:val="center"/>
            <w:hideMark/>
          </w:tcPr>
          <w:p w14:paraId="7B313F69" w14:textId="77777777" w:rsidR="004741D6" w:rsidRPr="00731D51" w:rsidRDefault="004741D6" w:rsidP="00D16719">
            <w:pPr>
              <w:jc w:val="both"/>
              <w:rPr>
                <w:rFonts w:ascii="Arial Narrow" w:eastAsia="Times New Roman" w:hAnsi="Arial Narrow"/>
                <w:b/>
                <w:bCs/>
                <w:color w:val="000000"/>
              </w:rPr>
            </w:pPr>
            <w:r w:rsidRPr="00731D51">
              <w:rPr>
                <w:rFonts w:ascii="Arial Narrow" w:eastAsia="Times New Roman" w:hAnsi="Arial Narrow"/>
                <w:b/>
                <w:bCs/>
                <w:color w:val="000000"/>
                <w:lang w:val="es-CR"/>
              </w:rPr>
              <w:t>Valor residual y Depreciación</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0DCBC35D" w14:textId="77777777" w:rsidR="00D535E1" w:rsidRDefault="004741D6" w:rsidP="00D16719">
            <w:pPr>
              <w:jc w:val="both"/>
              <w:rPr>
                <w:rFonts w:ascii="Arial Narrow" w:eastAsia="Times New Roman" w:hAnsi="Arial Narrow"/>
                <w:b/>
                <w:bCs/>
                <w:color w:val="000000"/>
                <w:lang w:val="es-CR"/>
              </w:rPr>
            </w:pPr>
            <w:r w:rsidRPr="00731D51">
              <w:rPr>
                <w:rFonts w:ascii="Arial Narrow" w:eastAsia="Times New Roman" w:hAnsi="Arial Narrow"/>
                <w:b/>
                <w:bCs/>
                <w:color w:val="000000"/>
                <w:lang w:val="es-CR"/>
              </w:rPr>
              <w:t>NICSP N° 17,</w:t>
            </w:r>
          </w:p>
          <w:p w14:paraId="2B5AA425" w14:textId="3DBCC484" w:rsidR="004741D6" w:rsidRPr="00731D51" w:rsidRDefault="004741D6" w:rsidP="00D16719">
            <w:pPr>
              <w:jc w:val="both"/>
              <w:rPr>
                <w:rFonts w:ascii="Arial Narrow" w:eastAsia="Times New Roman" w:hAnsi="Arial Narrow"/>
                <w:b/>
                <w:bCs/>
                <w:color w:val="000000"/>
              </w:rPr>
            </w:pPr>
            <w:r w:rsidRPr="00731D51">
              <w:rPr>
                <w:rFonts w:ascii="Arial Narrow" w:eastAsia="Times New Roman" w:hAnsi="Arial Narrow"/>
                <w:b/>
                <w:bCs/>
                <w:color w:val="000000"/>
                <w:lang w:val="es-CR"/>
              </w:rPr>
              <w:t>Párrafo 7</w:t>
            </w:r>
            <w:r>
              <w:rPr>
                <w:rFonts w:ascii="Arial Narrow" w:eastAsia="Times New Roman" w:hAnsi="Arial Narrow"/>
                <w:b/>
                <w:bCs/>
                <w:color w:val="000000"/>
                <w:lang w:val="es-CR"/>
              </w:rPr>
              <w:t>1</w:t>
            </w:r>
            <w:r w:rsidRPr="00731D51">
              <w:rPr>
                <w:rFonts w:ascii="Arial Narrow" w:eastAsia="Times New Roman" w:hAnsi="Arial Narrow"/>
                <w:b/>
                <w:bCs/>
                <w:color w:val="000000"/>
                <w:lang w:val="es-CR"/>
              </w:rPr>
              <w:t>.</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4F57E2CD" w14:textId="77777777" w:rsidR="004741D6" w:rsidRPr="00731D51" w:rsidRDefault="004741D6" w:rsidP="00D16719">
            <w:pPr>
              <w:jc w:val="center"/>
              <w:rPr>
                <w:rFonts w:ascii="Arial Narrow" w:eastAsia="Times New Roman" w:hAnsi="Arial Narrow"/>
                <w:b/>
                <w:bCs/>
                <w:color w:val="000000"/>
              </w:rPr>
            </w:pPr>
            <w:r w:rsidRPr="00731D51">
              <w:rPr>
                <w:rFonts w:ascii="Arial Narrow" w:eastAsia="Times New Roman" w:hAnsi="Arial Narrow"/>
                <w:b/>
                <w:bCs/>
                <w:color w:val="000000"/>
              </w:rPr>
              <w:t> </w:t>
            </w:r>
          </w:p>
        </w:tc>
      </w:tr>
    </w:tbl>
    <w:p w14:paraId="3F255735"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29818729" w14:textId="692AEEAF" w:rsidR="00D535E1" w:rsidRDefault="00D535E1" w:rsidP="004741D6">
      <w:pPr>
        <w:spacing w:line="236" w:lineRule="auto"/>
        <w:ind w:left="1134" w:right="280" w:hanging="1134"/>
        <w:jc w:val="both"/>
        <w:rPr>
          <w:rFonts w:ascii="Arial" w:eastAsia="Arial" w:hAnsi="Arial"/>
          <w:b/>
          <w:sz w:val="22"/>
          <w:szCs w:val="22"/>
        </w:rPr>
      </w:pPr>
      <w:r w:rsidRPr="00F02F9D">
        <w:rPr>
          <w:rFonts w:ascii="Arial" w:eastAsia="Arial" w:hAnsi="Arial"/>
          <w:b/>
          <w:sz w:val="22"/>
          <w:szCs w:val="22"/>
        </w:rPr>
        <w:t>Políticas Contables</w:t>
      </w:r>
    </w:p>
    <w:p w14:paraId="546A26C0"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168F5D41" w14:textId="3C605C79"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1.224.0.01</w:t>
      </w:r>
      <w:r>
        <w:rPr>
          <w:rFonts w:ascii="Arial" w:eastAsia="Arial" w:hAnsi="Arial"/>
          <w:bCs/>
          <w:sz w:val="22"/>
          <w:szCs w:val="22"/>
          <w:lang w:val="es-CR"/>
        </w:rPr>
        <w:tab/>
        <w:t xml:space="preserve">En la </w:t>
      </w:r>
      <w:r w:rsidR="000F29DC">
        <w:rPr>
          <w:rFonts w:ascii="Arial" w:eastAsia="Arial" w:hAnsi="Arial"/>
          <w:bCs/>
          <w:sz w:val="22"/>
          <w:szCs w:val="22"/>
          <w:lang w:val="es-CR"/>
        </w:rPr>
        <w:t>MBA</w:t>
      </w:r>
      <w:r>
        <w:rPr>
          <w:rFonts w:ascii="Arial" w:eastAsia="Arial" w:hAnsi="Arial"/>
          <w:bCs/>
          <w:sz w:val="22"/>
          <w:szCs w:val="22"/>
          <w:lang w:val="es-CR"/>
        </w:rPr>
        <w:t xml:space="preserve"> el valor residual se establecerá </w:t>
      </w:r>
      <w:r w:rsidRPr="00731D51">
        <w:rPr>
          <w:rFonts w:ascii="Arial" w:eastAsia="Arial" w:hAnsi="Arial"/>
          <w:bCs/>
          <w:sz w:val="22"/>
          <w:szCs w:val="22"/>
          <w:lang w:val="es-CR"/>
        </w:rPr>
        <w:t>a través de un criterio técnico</w:t>
      </w:r>
      <w:r>
        <w:rPr>
          <w:rFonts w:ascii="Arial" w:eastAsia="Arial" w:hAnsi="Arial"/>
          <w:bCs/>
          <w:sz w:val="22"/>
          <w:szCs w:val="22"/>
          <w:lang w:val="es-CR"/>
        </w:rPr>
        <w:t xml:space="preserve"> como un porcentaje del Costo de los activos y será revisado, en aquellos casos en que se efectúen revaluaciones se podrá realizar un ajuste del mismo.</w:t>
      </w:r>
      <w:r>
        <w:rPr>
          <w:rFonts w:ascii="Arial" w:eastAsia="Arial" w:hAnsi="Arial"/>
          <w:bCs/>
          <w:sz w:val="22"/>
          <w:szCs w:val="22"/>
          <w:lang w:val="es-CR"/>
        </w:rPr>
        <w:tab/>
      </w:r>
    </w:p>
    <w:p w14:paraId="27981C24"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14F947A7" w14:textId="3B06F40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1.224.0.02</w:t>
      </w:r>
      <w:r>
        <w:rPr>
          <w:rFonts w:ascii="Arial" w:eastAsia="Arial" w:hAnsi="Arial"/>
          <w:bCs/>
          <w:sz w:val="22"/>
          <w:szCs w:val="22"/>
          <w:lang w:val="es-CR"/>
        </w:rPr>
        <w:tab/>
      </w:r>
      <w:r w:rsidRPr="00731D51">
        <w:rPr>
          <w:rFonts w:ascii="Arial" w:eastAsia="Arial" w:hAnsi="Arial"/>
          <w:bCs/>
          <w:sz w:val="22"/>
          <w:szCs w:val="22"/>
          <w:lang w:val="es-CR"/>
        </w:rPr>
        <w:t xml:space="preserve">En la </w:t>
      </w:r>
      <w:r w:rsidR="000F29DC">
        <w:rPr>
          <w:rFonts w:ascii="Arial" w:eastAsia="Arial" w:hAnsi="Arial"/>
          <w:bCs/>
          <w:sz w:val="22"/>
          <w:szCs w:val="22"/>
          <w:lang w:val="es-CR"/>
        </w:rPr>
        <w:t>MBA</w:t>
      </w:r>
      <w:r w:rsidRPr="00731D51">
        <w:rPr>
          <w:rFonts w:ascii="Arial" w:eastAsia="Arial" w:hAnsi="Arial"/>
          <w:bCs/>
          <w:sz w:val="22"/>
          <w:szCs w:val="22"/>
          <w:lang w:val="es-CR"/>
        </w:rPr>
        <w:t xml:space="preserve"> </w:t>
      </w:r>
      <w:r>
        <w:rPr>
          <w:rFonts w:ascii="Arial" w:eastAsia="Arial" w:hAnsi="Arial"/>
          <w:bCs/>
          <w:sz w:val="22"/>
          <w:szCs w:val="22"/>
          <w:lang w:val="es-CR"/>
        </w:rPr>
        <w:t xml:space="preserve">el monto a </w:t>
      </w:r>
      <w:r w:rsidRPr="00731D51">
        <w:rPr>
          <w:rFonts w:ascii="Arial" w:eastAsia="Arial" w:hAnsi="Arial"/>
          <w:bCs/>
          <w:sz w:val="22"/>
          <w:szCs w:val="22"/>
          <w:lang w:val="es-CR"/>
        </w:rPr>
        <w:t>deprecia</w:t>
      </w:r>
      <w:r>
        <w:rPr>
          <w:rFonts w:ascii="Arial" w:eastAsia="Arial" w:hAnsi="Arial"/>
          <w:bCs/>
          <w:sz w:val="22"/>
          <w:szCs w:val="22"/>
          <w:lang w:val="es-CR"/>
        </w:rPr>
        <w:t>r</w:t>
      </w:r>
      <w:r w:rsidRPr="00731D51">
        <w:rPr>
          <w:rFonts w:ascii="Arial" w:eastAsia="Arial" w:hAnsi="Arial"/>
          <w:bCs/>
          <w:sz w:val="22"/>
          <w:szCs w:val="22"/>
          <w:lang w:val="es-CR"/>
        </w:rPr>
        <w:t xml:space="preserve"> de un activo se determinará después de deducir su valor residual.</w:t>
      </w:r>
    </w:p>
    <w:p w14:paraId="688C9FAD"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3A3E9E9F"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1.224.0.03</w:t>
      </w:r>
      <w:r>
        <w:rPr>
          <w:rFonts w:ascii="Arial" w:eastAsia="Arial" w:hAnsi="Arial"/>
          <w:bCs/>
          <w:sz w:val="22"/>
          <w:szCs w:val="22"/>
          <w:lang w:val="es-CR"/>
        </w:rPr>
        <w:tab/>
        <w:t>Los activos sujetos a depreciación o amortización se comenzarán a depreciar o amortizar a partir del mes siguiente al de su puesta en operación.</w:t>
      </w:r>
    </w:p>
    <w:p w14:paraId="468067AA"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0F580225" w14:textId="05786831"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1.224.0.04</w:t>
      </w:r>
      <w:r>
        <w:rPr>
          <w:rFonts w:ascii="Arial" w:eastAsia="Arial" w:hAnsi="Arial"/>
          <w:bCs/>
          <w:sz w:val="22"/>
          <w:szCs w:val="22"/>
          <w:lang w:val="es-CR"/>
        </w:rPr>
        <w:tab/>
        <w:t xml:space="preserve">El método de depreciación que se utilizará para la totalidad de los activos de PPyE en la </w:t>
      </w:r>
      <w:r w:rsidR="000F29DC">
        <w:rPr>
          <w:rFonts w:ascii="Arial" w:eastAsia="Arial" w:hAnsi="Arial"/>
          <w:bCs/>
          <w:sz w:val="22"/>
          <w:szCs w:val="22"/>
          <w:lang w:val="es-CR"/>
        </w:rPr>
        <w:t>MBA</w:t>
      </w:r>
      <w:r>
        <w:rPr>
          <w:rFonts w:ascii="Arial" w:eastAsia="Arial" w:hAnsi="Arial"/>
          <w:bCs/>
          <w:sz w:val="22"/>
          <w:szCs w:val="22"/>
          <w:lang w:val="es-CR"/>
        </w:rPr>
        <w:t xml:space="preserve"> será el de Línea Recta. Este puede variarse por el de suma de dígitos previa autorización de la DGCN.</w:t>
      </w:r>
    </w:p>
    <w:p w14:paraId="28380584"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3E570AC0" w14:textId="77777777" w:rsidR="004741D6" w:rsidRPr="00731D51"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1.224.0.05</w:t>
      </w:r>
      <w:r>
        <w:rPr>
          <w:rFonts w:ascii="Arial" w:eastAsia="Arial" w:hAnsi="Arial"/>
          <w:bCs/>
          <w:sz w:val="22"/>
          <w:szCs w:val="22"/>
          <w:lang w:val="es-CR"/>
        </w:rPr>
        <w:tab/>
        <w:t>Si e</w:t>
      </w:r>
      <w:r w:rsidRPr="00731D51">
        <w:rPr>
          <w:rFonts w:ascii="Arial" w:eastAsia="Arial" w:hAnsi="Arial"/>
          <w:bCs/>
          <w:sz w:val="22"/>
          <w:szCs w:val="22"/>
          <w:lang w:val="es-CR"/>
        </w:rPr>
        <w:t>l valor residual iguala el importe en libros del activo, el cargo por depreciación del activo será nulo, a menos que, y hasta que, ese valor residual disminuya posteriormente y se haga menor que el importe en libros del activo.</w:t>
      </w:r>
    </w:p>
    <w:p w14:paraId="2C444244" w14:textId="77777777" w:rsidR="004741D6" w:rsidRPr="00731D51" w:rsidRDefault="004741D6" w:rsidP="004741D6">
      <w:pPr>
        <w:spacing w:line="236" w:lineRule="auto"/>
        <w:ind w:left="1134" w:right="280" w:hanging="1134"/>
        <w:jc w:val="both"/>
        <w:rPr>
          <w:rFonts w:ascii="Arial" w:eastAsia="Arial" w:hAnsi="Arial"/>
          <w:bCs/>
          <w:sz w:val="22"/>
          <w:szCs w:val="22"/>
          <w:lang w:val="es-CR"/>
        </w:rPr>
        <w:sectPr w:rsidR="004741D6" w:rsidRPr="00731D51" w:rsidSect="006D026E">
          <w:type w:val="continuous"/>
          <w:pgSz w:w="12240" w:h="15840"/>
          <w:pgMar w:top="1440" w:right="1440" w:bottom="168" w:left="1440" w:header="0" w:footer="0" w:gutter="0"/>
          <w:cols w:space="0" w:equalWidth="0">
            <w:col w:w="9360"/>
          </w:cols>
          <w:docGrid w:linePitch="360"/>
        </w:sectPr>
      </w:pPr>
    </w:p>
    <w:p w14:paraId="51AEEE5D" w14:textId="77777777" w:rsidR="004741D6" w:rsidRPr="00627673" w:rsidRDefault="004741D6" w:rsidP="004741D6">
      <w:pPr>
        <w:spacing w:line="200" w:lineRule="exact"/>
        <w:rPr>
          <w:rFonts w:ascii="Times New Roman" w:eastAsia="Times New Roman" w:hAnsi="Times New Roman"/>
          <w:lang w:val="es-CR"/>
        </w:rPr>
      </w:pPr>
    </w:p>
    <w:p w14:paraId="3EFB4073" w14:textId="77777777" w:rsidR="004741D6" w:rsidRPr="00731D51" w:rsidRDefault="004741D6" w:rsidP="004741D6">
      <w:pPr>
        <w:spacing w:line="236" w:lineRule="auto"/>
        <w:ind w:left="1134" w:right="280" w:hanging="1134"/>
        <w:jc w:val="both"/>
        <w:rPr>
          <w:rFonts w:ascii="Arial" w:eastAsia="Arial" w:hAnsi="Arial"/>
          <w:bCs/>
          <w:sz w:val="22"/>
          <w:szCs w:val="22"/>
          <w:lang w:val="es-CR"/>
        </w:rPr>
      </w:pPr>
      <w:r w:rsidRPr="00731D51">
        <w:rPr>
          <w:rFonts w:ascii="Arial" w:eastAsia="Arial" w:hAnsi="Arial"/>
          <w:bCs/>
          <w:sz w:val="22"/>
          <w:szCs w:val="22"/>
          <w:lang w:val="es-CR"/>
        </w:rPr>
        <w:t>.</w:t>
      </w:r>
    </w:p>
    <w:tbl>
      <w:tblPr>
        <w:tblW w:w="9062" w:type="dxa"/>
        <w:tblLook w:val="04A0" w:firstRow="1" w:lastRow="0" w:firstColumn="1" w:lastColumn="0" w:noHBand="0" w:noVBand="1"/>
      </w:tblPr>
      <w:tblGrid>
        <w:gridCol w:w="560"/>
        <w:gridCol w:w="517"/>
        <w:gridCol w:w="541"/>
        <w:gridCol w:w="3063"/>
        <w:gridCol w:w="2542"/>
        <w:gridCol w:w="1839"/>
      </w:tblGrid>
      <w:tr w:rsidR="004741D6" w:rsidRPr="00791465" w14:paraId="2EF5E162" w14:textId="77777777" w:rsidTr="00D16719">
        <w:trPr>
          <w:trHeight w:val="320"/>
        </w:trPr>
        <w:tc>
          <w:tcPr>
            <w:tcW w:w="159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7E44D60" w14:textId="77777777" w:rsidR="004741D6" w:rsidRPr="00791465" w:rsidRDefault="004741D6" w:rsidP="00D1671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 / Política</w:t>
            </w:r>
          </w:p>
        </w:tc>
        <w:tc>
          <w:tcPr>
            <w:tcW w:w="3074" w:type="dxa"/>
            <w:vMerge w:val="restart"/>
            <w:tcBorders>
              <w:top w:val="single" w:sz="8" w:space="0" w:color="auto"/>
              <w:left w:val="single" w:sz="8" w:space="0" w:color="auto"/>
              <w:bottom w:val="nil"/>
              <w:right w:val="single" w:sz="8" w:space="0" w:color="auto"/>
            </w:tcBorders>
            <w:shd w:val="clear" w:color="000000" w:fill="203764"/>
            <w:vAlign w:val="center"/>
            <w:hideMark/>
          </w:tcPr>
          <w:p w14:paraId="1C792E4C" w14:textId="77777777" w:rsidR="004741D6" w:rsidRPr="00791465" w:rsidRDefault="004741D6" w:rsidP="00D1671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6FF1EBF4" w14:textId="77777777" w:rsidR="004741D6" w:rsidRPr="00791465" w:rsidRDefault="004741D6" w:rsidP="00D1671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Referencia</w:t>
            </w:r>
          </w:p>
        </w:tc>
      </w:tr>
      <w:tr w:rsidR="004741D6" w:rsidRPr="006E5442" w14:paraId="4826DDC5" w14:textId="77777777" w:rsidTr="00D535E1">
        <w:trPr>
          <w:trHeight w:val="951"/>
        </w:trPr>
        <w:tc>
          <w:tcPr>
            <w:tcW w:w="1594" w:type="dxa"/>
            <w:gridSpan w:val="3"/>
            <w:vMerge/>
            <w:tcBorders>
              <w:top w:val="single" w:sz="8" w:space="0" w:color="auto"/>
              <w:left w:val="single" w:sz="8" w:space="0" w:color="auto"/>
              <w:bottom w:val="nil"/>
              <w:right w:val="single" w:sz="8" w:space="0" w:color="000000"/>
            </w:tcBorders>
            <w:vAlign w:val="center"/>
            <w:hideMark/>
          </w:tcPr>
          <w:p w14:paraId="29D43C41" w14:textId="77777777" w:rsidR="004741D6" w:rsidRPr="00791465" w:rsidRDefault="004741D6" w:rsidP="00D16719">
            <w:pPr>
              <w:rPr>
                <w:rFonts w:ascii="Arial Narrow" w:eastAsia="Times New Roman" w:hAnsi="Arial Narrow"/>
                <w:b/>
                <w:bCs/>
                <w:color w:val="FFFFFF"/>
                <w:sz w:val="22"/>
                <w:szCs w:val="22"/>
              </w:rPr>
            </w:pPr>
          </w:p>
        </w:tc>
        <w:tc>
          <w:tcPr>
            <w:tcW w:w="3074" w:type="dxa"/>
            <w:vMerge/>
            <w:tcBorders>
              <w:top w:val="single" w:sz="8" w:space="0" w:color="auto"/>
              <w:left w:val="single" w:sz="8" w:space="0" w:color="auto"/>
              <w:bottom w:val="nil"/>
              <w:right w:val="single" w:sz="8" w:space="0" w:color="auto"/>
            </w:tcBorders>
            <w:vAlign w:val="center"/>
            <w:hideMark/>
          </w:tcPr>
          <w:p w14:paraId="4E18404F" w14:textId="77777777" w:rsidR="004741D6" w:rsidRPr="00791465"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13680778" w14:textId="77777777" w:rsidR="004741D6" w:rsidRPr="00791465" w:rsidRDefault="004741D6" w:rsidP="00D16719">
            <w:pPr>
              <w:jc w:val="center"/>
              <w:rPr>
                <w:rFonts w:ascii="Arial Narrow" w:eastAsia="Times New Roman" w:hAnsi="Arial Narrow"/>
                <w:b/>
                <w:bCs/>
                <w:color w:val="FFFFFF"/>
                <w:sz w:val="22"/>
                <w:szCs w:val="22"/>
              </w:rPr>
            </w:pPr>
            <w:r w:rsidRPr="00791465">
              <w:rPr>
                <w:rFonts w:ascii="Arial Narrow" w:eastAsia="Times New Roman" w:hAnsi="Arial Narrow"/>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18F3483C" w14:textId="77777777" w:rsidR="004741D6" w:rsidRPr="00791465" w:rsidRDefault="004741D6" w:rsidP="00D16719">
            <w:pPr>
              <w:jc w:val="center"/>
              <w:rPr>
                <w:rFonts w:ascii="Arial Narrow" w:eastAsia="Times New Roman" w:hAnsi="Arial Narrow"/>
                <w:b/>
                <w:bCs/>
                <w:color w:val="FFFFFF"/>
                <w:sz w:val="22"/>
                <w:szCs w:val="22"/>
                <w:lang w:val="es-CR"/>
              </w:rPr>
            </w:pPr>
            <w:r w:rsidRPr="00791465">
              <w:rPr>
                <w:rFonts w:ascii="Arial Narrow" w:eastAsia="Times New Roman" w:hAnsi="Arial Narrow"/>
                <w:b/>
                <w:bCs/>
                <w:color w:val="FFFFFF"/>
                <w:sz w:val="22"/>
                <w:szCs w:val="22"/>
                <w:lang w:val="es-CR"/>
              </w:rPr>
              <w:t>Normativa técnica y disposiciones adicionales</w:t>
            </w:r>
          </w:p>
        </w:tc>
      </w:tr>
      <w:tr w:rsidR="004741D6" w:rsidRPr="00791465" w14:paraId="32D92189" w14:textId="77777777" w:rsidTr="00D535E1">
        <w:trPr>
          <w:trHeight w:val="413"/>
        </w:trPr>
        <w:tc>
          <w:tcPr>
            <w:tcW w:w="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169C58" w14:textId="77777777" w:rsidR="004741D6" w:rsidRPr="00791465" w:rsidRDefault="004741D6" w:rsidP="00D1671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1</w:t>
            </w:r>
          </w:p>
        </w:tc>
        <w:tc>
          <w:tcPr>
            <w:tcW w:w="490" w:type="dxa"/>
            <w:tcBorders>
              <w:top w:val="single" w:sz="8" w:space="0" w:color="auto"/>
              <w:left w:val="nil"/>
              <w:bottom w:val="single" w:sz="8" w:space="0" w:color="auto"/>
              <w:right w:val="single" w:sz="8" w:space="0" w:color="auto"/>
            </w:tcBorders>
            <w:shd w:val="clear" w:color="auto" w:fill="auto"/>
            <w:noWrap/>
            <w:vAlign w:val="center"/>
            <w:hideMark/>
          </w:tcPr>
          <w:p w14:paraId="7C78A445" w14:textId="77777777" w:rsidR="004741D6" w:rsidRPr="00791465" w:rsidRDefault="004741D6" w:rsidP="00D1671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225</w:t>
            </w:r>
          </w:p>
        </w:tc>
        <w:tc>
          <w:tcPr>
            <w:tcW w:w="542" w:type="dxa"/>
            <w:tcBorders>
              <w:top w:val="single" w:sz="8" w:space="0" w:color="auto"/>
              <w:left w:val="nil"/>
              <w:bottom w:val="single" w:sz="8" w:space="0" w:color="auto"/>
              <w:right w:val="single" w:sz="8" w:space="0" w:color="auto"/>
            </w:tcBorders>
            <w:shd w:val="clear" w:color="auto" w:fill="auto"/>
            <w:vAlign w:val="center"/>
            <w:hideMark/>
          </w:tcPr>
          <w:p w14:paraId="3B42F622" w14:textId="53213B19" w:rsidR="004741D6" w:rsidRPr="00791465" w:rsidRDefault="004741D6" w:rsidP="00D1671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lang w:val="es-CR"/>
              </w:rPr>
              <w:t> </w:t>
            </w:r>
            <w:r w:rsidR="002B7D8C" w:rsidRPr="00791465">
              <w:rPr>
                <w:rFonts w:ascii="Arial Narrow" w:eastAsia="Times New Roman" w:hAnsi="Arial Narrow"/>
                <w:b/>
                <w:bCs/>
                <w:color w:val="000000"/>
                <w:sz w:val="22"/>
                <w:szCs w:val="22"/>
                <w:lang w:val="es-CR"/>
              </w:rPr>
              <w:t>0</w:t>
            </w:r>
          </w:p>
        </w:tc>
        <w:tc>
          <w:tcPr>
            <w:tcW w:w="3074" w:type="dxa"/>
            <w:tcBorders>
              <w:top w:val="single" w:sz="8" w:space="0" w:color="auto"/>
              <w:left w:val="nil"/>
              <w:bottom w:val="single" w:sz="8" w:space="0" w:color="auto"/>
              <w:right w:val="single" w:sz="8" w:space="0" w:color="auto"/>
            </w:tcBorders>
            <w:shd w:val="clear" w:color="auto" w:fill="auto"/>
            <w:vAlign w:val="center"/>
            <w:hideMark/>
          </w:tcPr>
          <w:p w14:paraId="12E954FD" w14:textId="77777777" w:rsidR="004741D6" w:rsidRPr="00791465" w:rsidRDefault="004741D6" w:rsidP="00D16719">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Inicio y finalización de la Depreciación</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21B33DAD" w14:textId="77777777" w:rsidR="00791465" w:rsidRDefault="004741D6" w:rsidP="00D16719">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NICSP N° 17,</w:t>
            </w:r>
          </w:p>
          <w:p w14:paraId="1C6E3133" w14:textId="7451E80B" w:rsidR="004741D6" w:rsidRPr="00791465" w:rsidRDefault="004741D6" w:rsidP="00D16719">
            <w:pPr>
              <w:jc w:val="both"/>
              <w:rPr>
                <w:rFonts w:ascii="Arial Narrow" w:eastAsia="Times New Roman" w:hAnsi="Arial Narrow"/>
                <w:b/>
                <w:bCs/>
                <w:color w:val="000000"/>
                <w:sz w:val="22"/>
                <w:szCs w:val="22"/>
                <w:lang w:val="es-CR"/>
              </w:rPr>
            </w:pPr>
            <w:r w:rsidRPr="00791465">
              <w:rPr>
                <w:rFonts w:ascii="Arial Narrow" w:eastAsia="Times New Roman" w:hAnsi="Arial Narrow"/>
                <w:b/>
                <w:bCs/>
                <w:color w:val="000000"/>
                <w:sz w:val="22"/>
                <w:szCs w:val="22"/>
                <w:lang w:val="es-CR"/>
              </w:rPr>
              <w:t>Párrafos 69 y 70.</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4A622959" w14:textId="77777777" w:rsidR="004741D6" w:rsidRPr="00791465" w:rsidRDefault="004741D6" w:rsidP="00D16719">
            <w:pPr>
              <w:jc w:val="center"/>
              <w:rPr>
                <w:rFonts w:ascii="Arial Narrow" w:eastAsia="Times New Roman" w:hAnsi="Arial Narrow"/>
                <w:b/>
                <w:bCs/>
                <w:color w:val="000000"/>
                <w:sz w:val="22"/>
                <w:szCs w:val="22"/>
              </w:rPr>
            </w:pPr>
            <w:r w:rsidRPr="00791465">
              <w:rPr>
                <w:rFonts w:ascii="Arial Narrow" w:eastAsia="Times New Roman" w:hAnsi="Arial Narrow"/>
                <w:b/>
                <w:bCs/>
                <w:color w:val="000000"/>
                <w:sz w:val="22"/>
                <w:szCs w:val="22"/>
              </w:rPr>
              <w:t> </w:t>
            </w:r>
          </w:p>
        </w:tc>
      </w:tr>
    </w:tbl>
    <w:p w14:paraId="4EE85551"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4060AF9D" w14:textId="583DFFF0" w:rsidR="00D535E1" w:rsidRDefault="00D535E1" w:rsidP="004741D6">
      <w:pPr>
        <w:spacing w:line="236" w:lineRule="auto"/>
        <w:ind w:left="1134" w:right="280" w:hanging="1134"/>
        <w:jc w:val="both"/>
        <w:rPr>
          <w:rFonts w:ascii="Arial" w:eastAsia="Arial" w:hAnsi="Arial"/>
          <w:b/>
          <w:sz w:val="22"/>
          <w:szCs w:val="22"/>
        </w:rPr>
      </w:pPr>
      <w:r w:rsidRPr="00F02F9D">
        <w:rPr>
          <w:rFonts w:ascii="Arial" w:eastAsia="Arial" w:hAnsi="Arial"/>
          <w:b/>
          <w:sz w:val="22"/>
          <w:szCs w:val="22"/>
        </w:rPr>
        <w:t>Políticas Contables</w:t>
      </w:r>
    </w:p>
    <w:p w14:paraId="35E744E6" w14:textId="77777777" w:rsidR="00D535E1" w:rsidRDefault="00D535E1" w:rsidP="004741D6">
      <w:pPr>
        <w:spacing w:line="236" w:lineRule="auto"/>
        <w:ind w:left="1134" w:right="280" w:hanging="1134"/>
        <w:jc w:val="both"/>
        <w:rPr>
          <w:rFonts w:ascii="Arial" w:eastAsia="Arial" w:hAnsi="Arial"/>
          <w:bCs/>
          <w:sz w:val="22"/>
          <w:szCs w:val="22"/>
          <w:lang w:val="es-CR"/>
        </w:rPr>
      </w:pPr>
    </w:p>
    <w:p w14:paraId="421DE861" w14:textId="33BA97CF"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1.225.0.01</w:t>
      </w:r>
      <w:r>
        <w:rPr>
          <w:rFonts w:ascii="Arial" w:eastAsia="Arial" w:hAnsi="Arial"/>
          <w:bCs/>
          <w:sz w:val="22"/>
          <w:szCs w:val="22"/>
          <w:lang w:val="es-CR"/>
        </w:rPr>
        <w:tab/>
      </w:r>
      <w:r w:rsidRPr="00A87B25">
        <w:rPr>
          <w:rFonts w:ascii="Arial" w:eastAsia="Arial" w:hAnsi="Arial"/>
          <w:bCs/>
          <w:sz w:val="22"/>
          <w:szCs w:val="22"/>
          <w:lang w:val="es-CR"/>
        </w:rPr>
        <w:t xml:space="preserve">En la </w:t>
      </w:r>
      <w:r w:rsidR="000F29DC">
        <w:rPr>
          <w:rFonts w:ascii="Arial" w:eastAsia="Arial" w:hAnsi="Arial"/>
          <w:bCs/>
          <w:sz w:val="22"/>
          <w:szCs w:val="22"/>
          <w:lang w:val="es-CR"/>
        </w:rPr>
        <w:t>MBA</w:t>
      </w:r>
      <w:r w:rsidRPr="00A87B25">
        <w:rPr>
          <w:rFonts w:ascii="Arial" w:eastAsia="Arial" w:hAnsi="Arial"/>
          <w:bCs/>
          <w:sz w:val="22"/>
          <w:szCs w:val="22"/>
          <w:lang w:val="es-CR"/>
        </w:rPr>
        <w:t xml:space="preserve"> la depreciación de un activo comenzará cuando esté disponible para su uso, esto es, cuando se encuentre en la ubicación y en las condiciones necesarias para ser capaz de operar de la forma prevista por la administración.</w:t>
      </w:r>
    </w:p>
    <w:p w14:paraId="6A855833" w14:textId="77777777" w:rsidR="00791465" w:rsidRPr="00A87B25" w:rsidRDefault="00791465" w:rsidP="004741D6">
      <w:pPr>
        <w:spacing w:line="236" w:lineRule="auto"/>
        <w:ind w:left="1134" w:right="280" w:hanging="1134"/>
        <w:jc w:val="both"/>
        <w:rPr>
          <w:rFonts w:ascii="Arial" w:eastAsia="Arial" w:hAnsi="Arial"/>
          <w:bCs/>
          <w:sz w:val="22"/>
          <w:szCs w:val="22"/>
          <w:lang w:val="es-CR"/>
        </w:rPr>
      </w:pPr>
    </w:p>
    <w:p w14:paraId="1068B6EB"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1.225.0.02</w:t>
      </w:r>
      <w:r>
        <w:rPr>
          <w:rFonts w:ascii="Arial" w:eastAsia="Arial" w:hAnsi="Arial"/>
          <w:bCs/>
          <w:sz w:val="22"/>
          <w:szCs w:val="22"/>
          <w:lang w:val="es-CR"/>
        </w:rPr>
        <w:tab/>
      </w:r>
      <w:r w:rsidRPr="00A87B25">
        <w:rPr>
          <w:rFonts w:ascii="Arial" w:eastAsia="Arial" w:hAnsi="Arial"/>
          <w:bCs/>
          <w:sz w:val="22"/>
          <w:szCs w:val="22"/>
          <w:lang w:val="es-CR"/>
        </w:rPr>
        <w:t>La depreciación cesará cuando el activo sea dado de baja</w:t>
      </w:r>
      <w:r>
        <w:rPr>
          <w:rFonts w:ascii="Arial" w:eastAsia="Arial" w:hAnsi="Arial"/>
          <w:bCs/>
          <w:sz w:val="22"/>
          <w:szCs w:val="22"/>
          <w:lang w:val="es-CR"/>
        </w:rPr>
        <w:t xml:space="preserve"> o porque se encuentre depreciado completamente (el valor depreciable)</w:t>
      </w:r>
      <w:r w:rsidRPr="00A87B25">
        <w:rPr>
          <w:rFonts w:ascii="Arial" w:eastAsia="Arial" w:hAnsi="Arial"/>
          <w:bCs/>
          <w:sz w:val="22"/>
          <w:szCs w:val="22"/>
          <w:lang w:val="es-CR"/>
        </w:rPr>
        <w:t>.</w:t>
      </w:r>
    </w:p>
    <w:p w14:paraId="3C7CDCB2" w14:textId="77777777" w:rsidR="00791465" w:rsidRPr="00A87B25" w:rsidRDefault="00791465" w:rsidP="004741D6">
      <w:pPr>
        <w:spacing w:line="236" w:lineRule="auto"/>
        <w:ind w:left="1134" w:right="280" w:hanging="1134"/>
        <w:jc w:val="both"/>
        <w:rPr>
          <w:rFonts w:ascii="Arial" w:eastAsia="Arial" w:hAnsi="Arial"/>
          <w:bCs/>
          <w:sz w:val="22"/>
          <w:szCs w:val="22"/>
          <w:lang w:val="es-CR"/>
        </w:rPr>
      </w:pPr>
    </w:p>
    <w:p w14:paraId="1C3E1B82"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1.225.0.03</w:t>
      </w:r>
      <w:r>
        <w:rPr>
          <w:rFonts w:ascii="Arial" w:eastAsia="Arial" w:hAnsi="Arial"/>
          <w:bCs/>
          <w:sz w:val="22"/>
          <w:szCs w:val="22"/>
          <w:lang w:val="es-CR"/>
        </w:rPr>
        <w:tab/>
      </w:r>
      <w:r w:rsidRPr="00A87B25">
        <w:rPr>
          <w:rFonts w:ascii="Arial" w:eastAsia="Arial" w:hAnsi="Arial"/>
          <w:bCs/>
          <w:sz w:val="22"/>
          <w:szCs w:val="22"/>
          <w:lang w:val="es-CR"/>
        </w:rPr>
        <w:t>La depreciación no cesará cuando el activo esté sin utilizar o se haya retirado de uso y siempre que no se utilice el método de depreciación en función del uso, en cuyo caso el cargo por depreciación será nulo.</w:t>
      </w:r>
    </w:p>
    <w:p w14:paraId="2F6ED854" w14:textId="77777777" w:rsidR="00791465" w:rsidRDefault="00791465" w:rsidP="004741D6">
      <w:pPr>
        <w:spacing w:line="236" w:lineRule="auto"/>
        <w:ind w:left="1134" w:right="280" w:hanging="1134"/>
        <w:jc w:val="both"/>
        <w:rPr>
          <w:rFonts w:ascii="Arial" w:eastAsia="Arial" w:hAnsi="Arial"/>
          <w:bCs/>
          <w:sz w:val="22"/>
          <w:szCs w:val="22"/>
          <w:lang w:val="es-CR"/>
        </w:rPr>
      </w:pPr>
    </w:p>
    <w:p w14:paraId="7369B465" w14:textId="77777777" w:rsidR="00791465" w:rsidRDefault="00791465" w:rsidP="004741D6">
      <w:pPr>
        <w:spacing w:line="236" w:lineRule="auto"/>
        <w:ind w:left="1134" w:right="280" w:hanging="1134"/>
        <w:jc w:val="both"/>
        <w:rPr>
          <w:rFonts w:ascii="Arial" w:eastAsia="Arial" w:hAnsi="Arial"/>
          <w:bCs/>
          <w:sz w:val="22"/>
          <w:szCs w:val="22"/>
          <w:lang w:val="es-CR"/>
        </w:rPr>
      </w:pPr>
    </w:p>
    <w:p w14:paraId="134D886D" w14:textId="77777777" w:rsidR="00791465" w:rsidRDefault="00791465" w:rsidP="004741D6">
      <w:pPr>
        <w:spacing w:line="236" w:lineRule="auto"/>
        <w:ind w:left="1134" w:right="280" w:hanging="1134"/>
        <w:jc w:val="both"/>
        <w:rPr>
          <w:rFonts w:ascii="Arial" w:eastAsia="Arial" w:hAnsi="Arial"/>
          <w:bCs/>
          <w:sz w:val="22"/>
          <w:szCs w:val="22"/>
          <w:lang w:val="es-CR"/>
        </w:rPr>
      </w:pPr>
    </w:p>
    <w:p w14:paraId="200BE528" w14:textId="77777777" w:rsidR="00791465" w:rsidRDefault="00791465" w:rsidP="004741D6">
      <w:pPr>
        <w:spacing w:line="236" w:lineRule="auto"/>
        <w:ind w:left="1134" w:right="280" w:hanging="1134"/>
        <w:jc w:val="both"/>
        <w:rPr>
          <w:rFonts w:ascii="Arial" w:eastAsia="Arial" w:hAnsi="Arial"/>
          <w:bCs/>
          <w:sz w:val="22"/>
          <w:szCs w:val="22"/>
          <w:lang w:val="es-CR"/>
        </w:rPr>
      </w:pPr>
    </w:p>
    <w:p w14:paraId="053563AF" w14:textId="77777777" w:rsidR="00791465" w:rsidRDefault="00791465" w:rsidP="004741D6">
      <w:pPr>
        <w:spacing w:line="236" w:lineRule="auto"/>
        <w:ind w:left="1134" w:right="280" w:hanging="1134"/>
        <w:jc w:val="both"/>
        <w:rPr>
          <w:rFonts w:ascii="Arial" w:eastAsia="Arial" w:hAnsi="Arial"/>
          <w:bCs/>
          <w:sz w:val="22"/>
          <w:szCs w:val="22"/>
          <w:lang w:val="es-CR"/>
        </w:rPr>
      </w:pPr>
    </w:p>
    <w:p w14:paraId="1EF2266C" w14:textId="77777777" w:rsidR="00791465" w:rsidRDefault="00791465" w:rsidP="004741D6">
      <w:pPr>
        <w:spacing w:line="236" w:lineRule="auto"/>
        <w:ind w:left="1134" w:right="280" w:hanging="1134"/>
        <w:jc w:val="both"/>
        <w:rPr>
          <w:rFonts w:ascii="Arial" w:eastAsia="Arial" w:hAnsi="Arial"/>
          <w:bCs/>
          <w:sz w:val="22"/>
          <w:szCs w:val="22"/>
          <w:lang w:val="es-CR"/>
        </w:rPr>
      </w:pPr>
    </w:p>
    <w:p w14:paraId="15B1FE4E" w14:textId="77777777" w:rsidR="004741D6" w:rsidRPr="00A87B25" w:rsidRDefault="004741D6" w:rsidP="004741D6">
      <w:pPr>
        <w:spacing w:line="236" w:lineRule="auto"/>
        <w:ind w:left="1134" w:right="280" w:hanging="1134"/>
        <w:jc w:val="both"/>
        <w:rPr>
          <w:rFonts w:ascii="Arial" w:eastAsia="Arial" w:hAnsi="Arial"/>
          <w:bCs/>
          <w:sz w:val="22"/>
          <w:szCs w:val="22"/>
          <w:lang w:val="es-CR"/>
        </w:rPr>
      </w:pPr>
    </w:p>
    <w:p w14:paraId="6875B307" w14:textId="77777777" w:rsidR="004741D6" w:rsidRDefault="004741D6" w:rsidP="004741D6">
      <w:pPr>
        <w:spacing w:line="236" w:lineRule="auto"/>
        <w:ind w:left="1134" w:right="280" w:hanging="1134"/>
        <w:jc w:val="both"/>
        <w:rPr>
          <w:rFonts w:ascii="Arial" w:eastAsia="Arial" w:hAnsi="Arial"/>
          <w:bCs/>
          <w:sz w:val="22"/>
          <w:szCs w:val="22"/>
          <w:lang w:val="es-CR"/>
        </w:rPr>
      </w:pPr>
    </w:p>
    <w:tbl>
      <w:tblPr>
        <w:tblW w:w="9062" w:type="dxa"/>
        <w:tblLook w:val="04A0" w:firstRow="1" w:lastRow="0" w:firstColumn="1" w:lastColumn="0" w:noHBand="0" w:noVBand="1"/>
      </w:tblPr>
      <w:tblGrid>
        <w:gridCol w:w="546"/>
        <w:gridCol w:w="617"/>
        <w:gridCol w:w="522"/>
        <w:gridCol w:w="2983"/>
        <w:gridCol w:w="2552"/>
        <w:gridCol w:w="1842"/>
      </w:tblGrid>
      <w:tr w:rsidR="004741D6" w:rsidRPr="00636C3C" w14:paraId="10FE1BFA" w14:textId="77777777" w:rsidTr="00D16719">
        <w:trPr>
          <w:trHeight w:val="320"/>
        </w:trPr>
        <w:tc>
          <w:tcPr>
            <w:tcW w:w="168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661F255" w14:textId="77777777" w:rsidR="004741D6" w:rsidRPr="00636C3C" w:rsidRDefault="004741D6" w:rsidP="00D16719">
            <w:pPr>
              <w:jc w:val="center"/>
              <w:rPr>
                <w:rFonts w:ascii="Arial Narrow" w:eastAsia="Times New Roman" w:hAnsi="Arial Narrow"/>
                <w:b/>
                <w:bCs/>
                <w:color w:val="FFFFFF"/>
              </w:rPr>
            </w:pPr>
            <w:r w:rsidRPr="00636C3C">
              <w:rPr>
                <w:rFonts w:ascii="Arial Narrow" w:eastAsia="Times New Roman" w:hAnsi="Arial Narrow"/>
                <w:b/>
                <w:bCs/>
                <w:color w:val="FFFFFF"/>
              </w:rPr>
              <w:t>Norma / Política</w:t>
            </w:r>
          </w:p>
        </w:tc>
        <w:tc>
          <w:tcPr>
            <w:tcW w:w="2983" w:type="dxa"/>
            <w:vMerge w:val="restart"/>
            <w:tcBorders>
              <w:top w:val="single" w:sz="8" w:space="0" w:color="auto"/>
              <w:left w:val="single" w:sz="8" w:space="0" w:color="auto"/>
              <w:bottom w:val="nil"/>
              <w:right w:val="single" w:sz="8" w:space="0" w:color="auto"/>
            </w:tcBorders>
            <w:shd w:val="clear" w:color="000000" w:fill="203764"/>
            <w:vAlign w:val="center"/>
            <w:hideMark/>
          </w:tcPr>
          <w:p w14:paraId="769A51BC" w14:textId="77777777" w:rsidR="004741D6" w:rsidRPr="00636C3C" w:rsidRDefault="004741D6" w:rsidP="00D16719">
            <w:pPr>
              <w:jc w:val="center"/>
              <w:rPr>
                <w:rFonts w:ascii="Arial Narrow" w:eastAsia="Times New Roman" w:hAnsi="Arial Narrow"/>
                <w:b/>
                <w:bCs/>
                <w:color w:val="FFFFFF"/>
              </w:rPr>
            </w:pPr>
            <w:r w:rsidRPr="00636C3C">
              <w:rPr>
                <w:rFonts w:ascii="Arial Narrow" w:eastAsia="Times New Roman" w:hAnsi="Arial Narrow"/>
                <w:b/>
                <w:bCs/>
                <w:color w:val="FFFFFF"/>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193E959B" w14:textId="77777777" w:rsidR="004741D6" w:rsidRPr="00636C3C" w:rsidRDefault="004741D6" w:rsidP="00D16719">
            <w:pPr>
              <w:jc w:val="center"/>
              <w:rPr>
                <w:rFonts w:ascii="Arial Narrow" w:eastAsia="Times New Roman" w:hAnsi="Arial Narrow"/>
                <w:b/>
                <w:bCs/>
                <w:color w:val="FFFFFF"/>
              </w:rPr>
            </w:pPr>
            <w:r w:rsidRPr="00636C3C">
              <w:rPr>
                <w:rFonts w:ascii="Arial Narrow" w:eastAsia="Times New Roman" w:hAnsi="Arial Narrow"/>
                <w:b/>
                <w:bCs/>
                <w:color w:val="FFFFFF"/>
              </w:rPr>
              <w:t>Referencia</w:t>
            </w:r>
          </w:p>
        </w:tc>
      </w:tr>
      <w:tr w:rsidR="004741D6" w:rsidRPr="006E5442" w14:paraId="759DAA82" w14:textId="77777777" w:rsidTr="00791465">
        <w:trPr>
          <w:trHeight w:val="779"/>
        </w:trPr>
        <w:tc>
          <w:tcPr>
            <w:tcW w:w="1685" w:type="dxa"/>
            <w:gridSpan w:val="3"/>
            <w:vMerge/>
            <w:tcBorders>
              <w:top w:val="single" w:sz="8" w:space="0" w:color="auto"/>
              <w:left w:val="single" w:sz="8" w:space="0" w:color="auto"/>
              <w:bottom w:val="nil"/>
              <w:right w:val="single" w:sz="8" w:space="0" w:color="000000"/>
            </w:tcBorders>
            <w:vAlign w:val="center"/>
            <w:hideMark/>
          </w:tcPr>
          <w:p w14:paraId="7F83EFED" w14:textId="77777777" w:rsidR="004741D6" w:rsidRPr="00636C3C" w:rsidRDefault="004741D6" w:rsidP="00D16719">
            <w:pPr>
              <w:rPr>
                <w:rFonts w:ascii="Arial Narrow" w:eastAsia="Times New Roman" w:hAnsi="Arial Narrow"/>
                <w:b/>
                <w:bCs/>
                <w:color w:val="FFFFFF"/>
              </w:rPr>
            </w:pPr>
          </w:p>
        </w:tc>
        <w:tc>
          <w:tcPr>
            <w:tcW w:w="2983" w:type="dxa"/>
            <w:vMerge/>
            <w:tcBorders>
              <w:top w:val="single" w:sz="8" w:space="0" w:color="auto"/>
              <w:left w:val="single" w:sz="8" w:space="0" w:color="auto"/>
              <w:bottom w:val="nil"/>
              <w:right w:val="single" w:sz="8" w:space="0" w:color="auto"/>
            </w:tcBorders>
            <w:vAlign w:val="center"/>
            <w:hideMark/>
          </w:tcPr>
          <w:p w14:paraId="03985A73" w14:textId="77777777" w:rsidR="004741D6" w:rsidRPr="00636C3C" w:rsidRDefault="004741D6" w:rsidP="00D16719">
            <w:pPr>
              <w:rPr>
                <w:rFonts w:ascii="Arial Narrow" w:eastAsia="Times New Roman" w:hAnsi="Arial Narrow"/>
                <w:b/>
                <w:bCs/>
                <w:color w:val="FFFFFF"/>
              </w:rPr>
            </w:pPr>
          </w:p>
        </w:tc>
        <w:tc>
          <w:tcPr>
            <w:tcW w:w="2552" w:type="dxa"/>
            <w:tcBorders>
              <w:top w:val="nil"/>
              <w:left w:val="nil"/>
              <w:bottom w:val="nil"/>
              <w:right w:val="single" w:sz="8" w:space="0" w:color="auto"/>
            </w:tcBorders>
            <w:shd w:val="clear" w:color="000000" w:fill="203764"/>
            <w:vAlign w:val="center"/>
            <w:hideMark/>
          </w:tcPr>
          <w:p w14:paraId="06D2B14B" w14:textId="77777777" w:rsidR="004741D6" w:rsidRPr="00636C3C" w:rsidRDefault="004741D6" w:rsidP="00D16719">
            <w:pPr>
              <w:jc w:val="center"/>
              <w:rPr>
                <w:rFonts w:ascii="Arial Narrow" w:eastAsia="Times New Roman" w:hAnsi="Arial Narrow"/>
                <w:b/>
                <w:bCs/>
                <w:color w:val="FFFFFF"/>
              </w:rPr>
            </w:pPr>
            <w:r w:rsidRPr="00636C3C">
              <w:rPr>
                <w:rFonts w:ascii="Arial Narrow" w:eastAsia="Times New Roman" w:hAnsi="Arial Narrow"/>
                <w:b/>
                <w:bCs/>
                <w:color w:val="FFFFFF"/>
              </w:rPr>
              <w:t>Norma</w:t>
            </w:r>
          </w:p>
        </w:tc>
        <w:tc>
          <w:tcPr>
            <w:tcW w:w="1842" w:type="dxa"/>
            <w:tcBorders>
              <w:top w:val="nil"/>
              <w:left w:val="nil"/>
              <w:bottom w:val="nil"/>
              <w:right w:val="single" w:sz="8" w:space="0" w:color="auto"/>
            </w:tcBorders>
            <w:shd w:val="clear" w:color="000000" w:fill="203764"/>
            <w:vAlign w:val="center"/>
            <w:hideMark/>
          </w:tcPr>
          <w:p w14:paraId="5BE8309C" w14:textId="77777777" w:rsidR="004741D6" w:rsidRPr="00636C3C" w:rsidRDefault="004741D6" w:rsidP="00D16719">
            <w:pPr>
              <w:jc w:val="center"/>
              <w:rPr>
                <w:rFonts w:ascii="Arial Narrow" w:eastAsia="Times New Roman" w:hAnsi="Arial Narrow"/>
                <w:b/>
                <w:bCs/>
                <w:color w:val="FFFFFF"/>
                <w:lang w:val="es-CR"/>
              </w:rPr>
            </w:pPr>
            <w:r w:rsidRPr="00636C3C">
              <w:rPr>
                <w:rFonts w:ascii="Arial Narrow" w:eastAsia="Times New Roman" w:hAnsi="Arial Narrow"/>
                <w:b/>
                <w:bCs/>
                <w:color w:val="FFFFFF"/>
                <w:lang w:val="es-CR"/>
              </w:rPr>
              <w:t>Normativa técnica y disposiciones adicionales</w:t>
            </w:r>
          </w:p>
        </w:tc>
      </w:tr>
      <w:tr w:rsidR="004741D6" w:rsidRPr="00636C3C" w14:paraId="631086DB" w14:textId="77777777" w:rsidTr="00651532">
        <w:trPr>
          <w:trHeight w:val="156"/>
        </w:trPr>
        <w:tc>
          <w:tcPr>
            <w:tcW w:w="5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A33543" w14:textId="77777777" w:rsidR="004741D6" w:rsidRPr="00636C3C" w:rsidRDefault="004741D6" w:rsidP="00D16719">
            <w:pPr>
              <w:jc w:val="center"/>
              <w:rPr>
                <w:rFonts w:ascii="Arial Narrow" w:eastAsia="Times New Roman" w:hAnsi="Arial Narrow"/>
                <w:b/>
                <w:bCs/>
                <w:color w:val="000000"/>
              </w:rPr>
            </w:pPr>
            <w:r w:rsidRPr="00636C3C">
              <w:rPr>
                <w:rFonts w:ascii="Arial Narrow" w:eastAsia="Times New Roman" w:hAnsi="Arial Narrow"/>
                <w:b/>
                <w:bCs/>
                <w:color w:val="000000"/>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5C3F24E1" w14:textId="77777777" w:rsidR="004741D6" w:rsidRPr="00636C3C" w:rsidRDefault="004741D6" w:rsidP="00D16719">
            <w:pPr>
              <w:jc w:val="center"/>
              <w:rPr>
                <w:rFonts w:ascii="Arial Narrow" w:eastAsia="Times New Roman" w:hAnsi="Arial Narrow"/>
                <w:b/>
                <w:bCs/>
                <w:color w:val="000000"/>
              </w:rPr>
            </w:pPr>
            <w:r w:rsidRPr="00636C3C">
              <w:rPr>
                <w:rFonts w:ascii="Arial Narrow" w:eastAsia="Times New Roman" w:hAnsi="Arial Narrow"/>
                <w:b/>
                <w:bCs/>
                <w:color w:val="000000"/>
              </w:rPr>
              <w:t>226</w:t>
            </w:r>
          </w:p>
        </w:tc>
        <w:tc>
          <w:tcPr>
            <w:tcW w:w="522" w:type="dxa"/>
            <w:tcBorders>
              <w:top w:val="single" w:sz="8" w:space="0" w:color="auto"/>
              <w:left w:val="nil"/>
              <w:bottom w:val="single" w:sz="8" w:space="0" w:color="auto"/>
              <w:right w:val="single" w:sz="8" w:space="0" w:color="auto"/>
            </w:tcBorders>
            <w:shd w:val="clear" w:color="auto" w:fill="auto"/>
            <w:vAlign w:val="center"/>
            <w:hideMark/>
          </w:tcPr>
          <w:p w14:paraId="7D76A7E6" w14:textId="3CE52059" w:rsidR="004741D6" w:rsidRPr="00636C3C" w:rsidRDefault="004741D6" w:rsidP="00D16719">
            <w:pPr>
              <w:jc w:val="center"/>
              <w:rPr>
                <w:rFonts w:ascii="Arial Narrow" w:eastAsia="Times New Roman" w:hAnsi="Arial Narrow"/>
                <w:b/>
                <w:bCs/>
                <w:color w:val="000000"/>
              </w:rPr>
            </w:pPr>
            <w:r w:rsidRPr="00636C3C">
              <w:rPr>
                <w:rFonts w:ascii="Arial Narrow" w:eastAsia="Times New Roman" w:hAnsi="Arial Narrow"/>
                <w:b/>
                <w:bCs/>
                <w:color w:val="000000"/>
                <w:lang w:val="es-CR"/>
              </w:rPr>
              <w:t> </w:t>
            </w:r>
            <w:r w:rsidR="002B7D8C">
              <w:rPr>
                <w:rFonts w:ascii="Arial Narrow" w:eastAsia="Times New Roman" w:hAnsi="Arial Narrow"/>
                <w:b/>
                <w:bCs/>
                <w:color w:val="000000"/>
                <w:lang w:val="es-CR"/>
              </w:rPr>
              <w:t>0</w:t>
            </w:r>
          </w:p>
        </w:tc>
        <w:tc>
          <w:tcPr>
            <w:tcW w:w="2983" w:type="dxa"/>
            <w:tcBorders>
              <w:top w:val="single" w:sz="8" w:space="0" w:color="auto"/>
              <w:left w:val="nil"/>
              <w:bottom w:val="single" w:sz="8" w:space="0" w:color="auto"/>
              <w:right w:val="single" w:sz="8" w:space="0" w:color="auto"/>
            </w:tcBorders>
            <w:shd w:val="clear" w:color="auto" w:fill="auto"/>
            <w:noWrap/>
            <w:vAlign w:val="center"/>
            <w:hideMark/>
          </w:tcPr>
          <w:p w14:paraId="4C140C6E" w14:textId="77777777" w:rsidR="004741D6" w:rsidRPr="00636C3C" w:rsidRDefault="004741D6" w:rsidP="00D16719">
            <w:pPr>
              <w:rPr>
                <w:rFonts w:ascii="Arial Narrow" w:eastAsia="Times New Roman" w:hAnsi="Arial Narrow"/>
                <w:b/>
                <w:bCs/>
                <w:color w:val="000000"/>
              </w:rPr>
            </w:pPr>
            <w:r w:rsidRPr="00636C3C">
              <w:rPr>
                <w:rFonts w:ascii="Arial Narrow" w:eastAsia="Times New Roman" w:hAnsi="Arial Narrow"/>
                <w:b/>
                <w:bCs/>
                <w:color w:val="000000"/>
                <w:lang w:val="es-CR"/>
              </w:rPr>
              <w:t>Vida útil</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02218420" w14:textId="6D8B35BF" w:rsidR="00791465" w:rsidRDefault="004741D6" w:rsidP="00D16719">
            <w:pPr>
              <w:jc w:val="both"/>
              <w:rPr>
                <w:rFonts w:ascii="Arial Narrow" w:eastAsia="Times New Roman" w:hAnsi="Arial Narrow"/>
                <w:b/>
                <w:bCs/>
                <w:color w:val="000000"/>
                <w:lang w:val="es-CR"/>
              </w:rPr>
            </w:pPr>
            <w:r w:rsidRPr="00636C3C">
              <w:rPr>
                <w:rFonts w:ascii="Arial Narrow" w:eastAsia="Times New Roman" w:hAnsi="Arial Narrow"/>
                <w:b/>
                <w:bCs/>
                <w:color w:val="000000"/>
                <w:lang w:val="es-CR"/>
              </w:rPr>
              <w:t>NICSP 17,</w:t>
            </w:r>
          </w:p>
          <w:p w14:paraId="382DA4C3" w14:textId="5AD67FC3" w:rsidR="004741D6" w:rsidRPr="00791465" w:rsidRDefault="004741D6" w:rsidP="00D16719">
            <w:pPr>
              <w:jc w:val="both"/>
              <w:rPr>
                <w:rFonts w:ascii="Arial Narrow" w:eastAsia="Times New Roman" w:hAnsi="Arial Narrow"/>
                <w:b/>
                <w:bCs/>
                <w:color w:val="000000"/>
                <w:lang w:val="es-CR"/>
              </w:rPr>
            </w:pPr>
            <w:r w:rsidRPr="00636C3C">
              <w:rPr>
                <w:rFonts w:ascii="Arial Narrow" w:eastAsia="Times New Roman" w:hAnsi="Arial Narrow"/>
                <w:b/>
                <w:bCs/>
                <w:color w:val="000000"/>
                <w:lang w:val="es-CR"/>
              </w:rPr>
              <w:t>Párrafos 72 y 73.</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4A16ADA6" w14:textId="77777777" w:rsidR="004741D6" w:rsidRPr="00636C3C" w:rsidRDefault="004741D6" w:rsidP="00D16719">
            <w:pPr>
              <w:jc w:val="center"/>
              <w:rPr>
                <w:rFonts w:ascii="Arial Narrow" w:eastAsia="Times New Roman" w:hAnsi="Arial Narrow"/>
                <w:b/>
                <w:bCs/>
                <w:color w:val="000000"/>
              </w:rPr>
            </w:pPr>
            <w:r w:rsidRPr="00636C3C">
              <w:rPr>
                <w:rFonts w:ascii="Arial Narrow" w:eastAsia="Times New Roman" w:hAnsi="Arial Narrow"/>
                <w:b/>
                <w:bCs/>
                <w:color w:val="000000"/>
              </w:rPr>
              <w:t> </w:t>
            </w:r>
          </w:p>
        </w:tc>
      </w:tr>
    </w:tbl>
    <w:p w14:paraId="0C125954"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7FEA01E1" w14:textId="4F5717DD" w:rsidR="00651532" w:rsidRDefault="00651532" w:rsidP="004741D6">
      <w:pPr>
        <w:spacing w:line="236" w:lineRule="auto"/>
        <w:ind w:left="1134" w:right="280" w:hanging="1134"/>
        <w:jc w:val="both"/>
        <w:rPr>
          <w:rFonts w:ascii="Arial" w:eastAsia="Arial" w:hAnsi="Arial"/>
          <w:b/>
          <w:sz w:val="22"/>
          <w:szCs w:val="22"/>
        </w:rPr>
      </w:pPr>
      <w:r w:rsidRPr="00F02F9D">
        <w:rPr>
          <w:rFonts w:ascii="Arial" w:eastAsia="Arial" w:hAnsi="Arial"/>
          <w:b/>
          <w:sz w:val="22"/>
          <w:szCs w:val="22"/>
        </w:rPr>
        <w:t>Políticas Contables</w:t>
      </w:r>
    </w:p>
    <w:p w14:paraId="2650AE4E" w14:textId="77777777" w:rsidR="00651532" w:rsidRDefault="00651532" w:rsidP="004741D6">
      <w:pPr>
        <w:spacing w:line="236" w:lineRule="auto"/>
        <w:ind w:left="1134" w:right="280" w:hanging="1134"/>
        <w:jc w:val="both"/>
        <w:rPr>
          <w:rFonts w:ascii="Arial" w:eastAsia="Arial" w:hAnsi="Arial"/>
          <w:bCs/>
          <w:sz w:val="22"/>
          <w:szCs w:val="22"/>
          <w:lang w:val="es-CR"/>
        </w:rPr>
      </w:pPr>
    </w:p>
    <w:p w14:paraId="36F98FDB" w14:textId="05CBDB08"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1.226.0.01</w:t>
      </w:r>
      <w:r>
        <w:rPr>
          <w:rFonts w:ascii="Arial" w:eastAsia="Arial" w:hAnsi="Arial"/>
          <w:bCs/>
          <w:sz w:val="22"/>
          <w:szCs w:val="22"/>
          <w:lang w:val="es-CR"/>
        </w:rPr>
        <w:tab/>
        <w:t>L</w:t>
      </w:r>
      <w:r w:rsidRPr="00636C3C">
        <w:rPr>
          <w:rFonts w:ascii="Arial" w:eastAsia="Arial" w:hAnsi="Arial"/>
          <w:bCs/>
          <w:sz w:val="22"/>
          <w:szCs w:val="22"/>
          <w:lang w:val="es-CR"/>
        </w:rPr>
        <w:t>a estimación de la vida útil de un activo e</w:t>
      </w:r>
      <w:r>
        <w:rPr>
          <w:rFonts w:ascii="Arial" w:eastAsia="Arial" w:hAnsi="Arial"/>
          <w:bCs/>
          <w:sz w:val="22"/>
          <w:szCs w:val="22"/>
          <w:lang w:val="es-CR"/>
        </w:rPr>
        <w:t xml:space="preserve">n </w:t>
      </w:r>
      <w:r w:rsidRPr="00636C3C">
        <w:rPr>
          <w:rFonts w:ascii="Arial" w:eastAsia="Arial" w:hAnsi="Arial"/>
          <w:bCs/>
          <w:sz w:val="22"/>
          <w:szCs w:val="22"/>
          <w:lang w:val="es-CR"/>
        </w:rPr>
        <w:t xml:space="preserve">la </w:t>
      </w:r>
      <w:r w:rsidR="000F29DC">
        <w:rPr>
          <w:rFonts w:ascii="Arial" w:eastAsia="Arial" w:hAnsi="Arial"/>
          <w:bCs/>
          <w:sz w:val="22"/>
          <w:szCs w:val="22"/>
          <w:lang w:val="es-CR"/>
        </w:rPr>
        <w:t>MBA</w:t>
      </w:r>
      <w:r w:rsidRPr="00636C3C">
        <w:rPr>
          <w:rFonts w:ascii="Arial" w:eastAsia="Arial" w:hAnsi="Arial"/>
          <w:bCs/>
          <w:sz w:val="22"/>
          <w:szCs w:val="22"/>
          <w:lang w:val="es-CR"/>
        </w:rPr>
        <w:t xml:space="preserve"> </w:t>
      </w:r>
      <w:r>
        <w:rPr>
          <w:rFonts w:ascii="Arial" w:eastAsia="Arial" w:hAnsi="Arial"/>
          <w:bCs/>
          <w:sz w:val="22"/>
          <w:szCs w:val="22"/>
          <w:lang w:val="es-CR"/>
        </w:rPr>
        <w:t>se establece</w:t>
      </w:r>
      <w:r w:rsidRPr="00636C3C">
        <w:rPr>
          <w:rFonts w:ascii="Arial" w:eastAsia="Arial" w:hAnsi="Arial"/>
          <w:bCs/>
          <w:sz w:val="22"/>
          <w:szCs w:val="22"/>
          <w:lang w:val="es-CR"/>
        </w:rPr>
        <w:t xml:space="preserve">rá </w:t>
      </w:r>
      <w:r>
        <w:rPr>
          <w:rFonts w:ascii="Arial" w:eastAsia="Arial" w:hAnsi="Arial"/>
          <w:bCs/>
          <w:sz w:val="22"/>
          <w:szCs w:val="22"/>
          <w:lang w:val="es-CR"/>
        </w:rPr>
        <w:t>de la siguiente manera:</w:t>
      </w:r>
    </w:p>
    <w:p w14:paraId="517864F7" w14:textId="77777777" w:rsidR="00F7162E" w:rsidRDefault="00F7162E" w:rsidP="00F7162E">
      <w:pPr>
        <w:spacing w:line="236" w:lineRule="auto"/>
        <w:ind w:left="1134" w:right="280" w:hanging="1134"/>
        <w:jc w:val="both"/>
        <w:rPr>
          <w:rFonts w:ascii="Arial" w:eastAsia="Arial" w:hAnsi="Arial"/>
          <w:bCs/>
          <w:sz w:val="22"/>
          <w:szCs w:val="22"/>
          <w:lang w:val="es-CR"/>
        </w:rPr>
      </w:pPr>
    </w:p>
    <w:p w14:paraId="1F10A212" w14:textId="1B921239" w:rsidR="004741D6" w:rsidRPr="00F7162E" w:rsidRDefault="00F7162E">
      <w:pPr>
        <w:pStyle w:val="Prrafodelista"/>
        <w:numPr>
          <w:ilvl w:val="0"/>
          <w:numId w:val="290"/>
        </w:numPr>
        <w:spacing w:line="236" w:lineRule="auto"/>
        <w:ind w:left="1418" w:right="280" w:hanging="284"/>
        <w:jc w:val="both"/>
        <w:rPr>
          <w:rFonts w:ascii="Arial" w:eastAsia="Arial" w:hAnsi="Arial"/>
          <w:bCs/>
          <w:sz w:val="22"/>
          <w:szCs w:val="22"/>
          <w:lang w:val="es-CR"/>
        </w:rPr>
      </w:pPr>
      <w:r w:rsidRPr="00F7162E">
        <w:rPr>
          <w:rFonts w:ascii="Arial" w:eastAsia="Arial" w:hAnsi="Arial"/>
          <w:bCs/>
          <w:sz w:val="22"/>
          <w:szCs w:val="22"/>
          <w:lang w:val="es-CR"/>
        </w:rPr>
        <w:lastRenderedPageBreak/>
        <w:t>B</w:t>
      </w:r>
      <w:r w:rsidR="004741D6" w:rsidRPr="00F7162E">
        <w:rPr>
          <w:rFonts w:ascii="Arial" w:eastAsia="Arial" w:hAnsi="Arial"/>
          <w:bCs/>
          <w:sz w:val="22"/>
          <w:szCs w:val="22"/>
          <w:lang w:val="es-CR"/>
        </w:rPr>
        <w:t>asada en la experiencia que tenga con activos similares, dado que la misma se define en términos de la utilidad esperada del activo. Actualmente la vida útil a aplicar es la siguiente:</w:t>
      </w:r>
    </w:p>
    <w:p w14:paraId="5C265A63" w14:textId="77777777" w:rsidR="004741D6" w:rsidRPr="00636C3C" w:rsidRDefault="004741D6" w:rsidP="00F7162E">
      <w:pPr>
        <w:spacing w:line="236" w:lineRule="auto"/>
        <w:ind w:left="1418" w:right="280" w:hanging="284"/>
        <w:jc w:val="both"/>
        <w:rPr>
          <w:rFonts w:ascii="Arial" w:eastAsia="Arial" w:hAnsi="Arial"/>
          <w:bCs/>
          <w:sz w:val="22"/>
          <w:szCs w:val="22"/>
          <w:lang w:val="es-CR"/>
        </w:rPr>
      </w:pPr>
    </w:p>
    <w:p w14:paraId="46667D9A" w14:textId="03855A90" w:rsidR="004741D6" w:rsidRPr="00F7162E" w:rsidRDefault="004741D6">
      <w:pPr>
        <w:pStyle w:val="Prrafodelista"/>
        <w:numPr>
          <w:ilvl w:val="0"/>
          <w:numId w:val="290"/>
        </w:numPr>
        <w:spacing w:line="236" w:lineRule="auto"/>
        <w:ind w:left="1418" w:right="280" w:hanging="284"/>
        <w:jc w:val="both"/>
        <w:rPr>
          <w:rFonts w:ascii="Arial" w:eastAsia="Arial" w:hAnsi="Arial"/>
          <w:bCs/>
          <w:sz w:val="22"/>
          <w:szCs w:val="22"/>
          <w:lang w:val="es-CR"/>
        </w:rPr>
      </w:pPr>
      <w:r w:rsidRPr="00F7162E">
        <w:rPr>
          <w:rFonts w:ascii="Arial" w:eastAsia="Arial" w:hAnsi="Arial"/>
          <w:bCs/>
          <w:sz w:val="22"/>
          <w:szCs w:val="22"/>
          <w:lang w:val="es-CR"/>
        </w:rPr>
        <w:t>La vida útil para los terrenos, edificios e infraestructura vial existentes al momento de la implementación de las NICSP, se establecerá con base en los informes de avalúos que realicen los profesionales especializados de la institución o contratados por esta, las cuales deben estar sustentan técnicamente.</w:t>
      </w:r>
    </w:p>
    <w:p w14:paraId="59E8AEBD" w14:textId="77777777" w:rsidR="00F7162E" w:rsidRDefault="00F7162E" w:rsidP="00F7162E">
      <w:pPr>
        <w:spacing w:line="236" w:lineRule="auto"/>
        <w:ind w:left="1418" w:right="280" w:hanging="284"/>
        <w:jc w:val="both"/>
        <w:rPr>
          <w:rFonts w:ascii="Arial" w:eastAsia="Arial" w:hAnsi="Arial"/>
          <w:bCs/>
          <w:sz w:val="22"/>
          <w:szCs w:val="22"/>
          <w:lang w:val="es-CR"/>
        </w:rPr>
      </w:pPr>
    </w:p>
    <w:p w14:paraId="64ED5D87" w14:textId="6C8A9251" w:rsidR="004741D6" w:rsidRPr="00F7162E" w:rsidRDefault="004741D6">
      <w:pPr>
        <w:pStyle w:val="Prrafodelista"/>
        <w:numPr>
          <w:ilvl w:val="0"/>
          <w:numId w:val="290"/>
        </w:numPr>
        <w:spacing w:line="236" w:lineRule="auto"/>
        <w:ind w:left="1418" w:right="280" w:hanging="284"/>
        <w:jc w:val="both"/>
        <w:rPr>
          <w:rFonts w:ascii="Arial" w:eastAsia="Arial" w:hAnsi="Arial"/>
          <w:bCs/>
          <w:sz w:val="22"/>
          <w:szCs w:val="22"/>
          <w:lang w:val="es-CR"/>
        </w:rPr>
      </w:pPr>
      <w:r w:rsidRPr="00F7162E">
        <w:rPr>
          <w:rFonts w:ascii="Arial" w:eastAsia="Arial" w:hAnsi="Arial"/>
          <w:bCs/>
          <w:sz w:val="22"/>
          <w:szCs w:val="22"/>
          <w:lang w:val="es-CR"/>
        </w:rPr>
        <w:t>La vida útil de los terrenos, edificios e infraestructura vial nuevos de establecerá conforme a los estándares establecidos por el Colegio de ingenieros y Arquitectos de Costa Rica respecto a la infraestructura vial y a los edificios se lesestablecerá su vida útil de acuerdo con lo establecido en la Directriz de la Dirección General de contabilidad Nacional DGCN No. 001-2009 “Valoración, Revaluación, Depreciación de Propiedad Planta y Equipo”.</w:t>
      </w:r>
    </w:p>
    <w:p w14:paraId="47703DEC" w14:textId="77777777" w:rsidR="00F7162E" w:rsidRPr="00636C3C" w:rsidRDefault="00F7162E" w:rsidP="00F7162E">
      <w:pPr>
        <w:spacing w:line="236" w:lineRule="auto"/>
        <w:ind w:left="1418" w:right="280" w:hanging="284"/>
        <w:jc w:val="both"/>
        <w:rPr>
          <w:rFonts w:ascii="Arial" w:eastAsia="Arial" w:hAnsi="Arial"/>
          <w:bCs/>
          <w:sz w:val="22"/>
          <w:szCs w:val="22"/>
          <w:lang w:val="es-CR"/>
        </w:rPr>
      </w:pPr>
    </w:p>
    <w:p w14:paraId="0129E30E" w14:textId="72B0BAC5" w:rsidR="004741D6" w:rsidRPr="00F7162E" w:rsidRDefault="004741D6">
      <w:pPr>
        <w:pStyle w:val="Prrafodelista"/>
        <w:numPr>
          <w:ilvl w:val="0"/>
          <w:numId w:val="290"/>
        </w:numPr>
        <w:spacing w:line="236" w:lineRule="auto"/>
        <w:ind w:left="1418" w:right="280" w:hanging="284"/>
        <w:jc w:val="both"/>
        <w:rPr>
          <w:rFonts w:ascii="Arial" w:eastAsia="Arial" w:hAnsi="Arial"/>
          <w:bCs/>
          <w:sz w:val="22"/>
          <w:szCs w:val="22"/>
          <w:lang w:val="es-CR"/>
        </w:rPr>
      </w:pPr>
      <w:r w:rsidRPr="00F7162E">
        <w:rPr>
          <w:rFonts w:ascii="Arial" w:eastAsia="Arial" w:hAnsi="Arial"/>
          <w:bCs/>
          <w:sz w:val="22"/>
          <w:szCs w:val="22"/>
          <w:lang w:val="es-CR"/>
        </w:rPr>
        <w:t xml:space="preserve">Para los demás activos de PPE, la vida útil en la </w:t>
      </w:r>
      <w:r w:rsidR="000F29DC">
        <w:rPr>
          <w:rFonts w:ascii="Arial" w:eastAsia="Arial" w:hAnsi="Arial"/>
          <w:bCs/>
          <w:sz w:val="22"/>
          <w:szCs w:val="22"/>
          <w:lang w:val="es-CR"/>
        </w:rPr>
        <w:t>MBA</w:t>
      </w:r>
      <w:r w:rsidRPr="00F7162E">
        <w:rPr>
          <w:rFonts w:ascii="Arial" w:eastAsia="Arial" w:hAnsi="Arial"/>
          <w:bCs/>
          <w:sz w:val="22"/>
          <w:szCs w:val="22"/>
          <w:lang w:val="es-CR"/>
        </w:rPr>
        <w:t xml:space="preserve"> se ajustará conforme a lo establecido en la Directriz de la Dirección General de contabilidad Nacional DGCN No. 001-2009 “Valoración, Revaluación, Depreciación de Propiedad Planta y Equipo”.</w:t>
      </w:r>
    </w:p>
    <w:p w14:paraId="3EF84FDA"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571C27C6"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6E2ECA77" w14:textId="77777777" w:rsidR="004741D6" w:rsidRPr="005968BE" w:rsidRDefault="004741D6" w:rsidP="00791465">
      <w:pPr>
        <w:pStyle w:val="Ttulo2"/>
        <w:ind w:left="284"/>
        <w:rPr>
          <w:rFonts w:ascii="Arial" w:eastAsia="Arial" w:hAnsi="Arial" w:cs="Arial"/>
          <w:b/>
          <w:bCs/>
          <w:sz w:val="22"/>
          <w:szCs w:val="22"/>
          <w:lang w:val="es-CR"/>
        </w:rPr>
      </w:pPr>
      <w:bookmarkStart w:id="76" w:name="_Toc172726219"/>
      <w:r w:rsidRPr="00791465">
        <w:rPr>
          <w:rFonts w:ascii="Arial" w:eastAsia="Arial" w:hAnsi="Arial" w:cs="Arial"/>
          <w:b/>
          <w:bCs/>
          <w:sz w:val="20"/>
          <w:szCs w:val="20"/>
          <w:lang w:val="es-CR"/>
        </w:rPr>
        <w:t>Activos</w:t>
      </w:r>
      <w:r w:rsidRPr="005968BE">
        <w:rPr>
          <w:rFonts w:ascii="Arial" w:eastAsia="Arial" w:hAnsi="Arial" w:cs="Arial"/>
          <w:b/>
          <w:bCs/>
          <w:sz w:val="22"/>
          <w:szCs w:val="22"/>
          <w:lang w:val="es-CR"/>
        </w:rPr>
        <w:t xml:space="preserve"> Intangibles</w:t>
      </w:r>
      <w:bookmarkEnd w:id="76"/>
    </w:p>
    <w:p w14:paraId="141A3AE2" w14:textId="77777777" w:rsidR="004741D6" w:rsidRPr="001A3295" w:rsidRDefault="004741D6" w:rsidP="004741D6">
      <w:pPr>
        <w:spacing w:line="236" w:lineRule="auto"/>
        <w:ind w:left="1134" w:right="280" w:hanging="1134"/>
        <w:jc w:val="both"/>
        <w:rPr>
          <w:rFonts w:ascii="Arial" w:eastAsia="Arial" w:hAnsi="Arial"/>
          <w:bCs/>
          <w:sz w:val="22"/>
          <w:szCs w:val="22"/>
          <w:lang w:val="es-CR"/>
        </w:rPr>
      </w:pPr>
    </w:p>
    <w:tbl>
      <w:tblPr>
        <w:tblW w:w="9062" w:type="dxa"/>
        <w:tblLook w:val="04A0" w:firstRow="1" w:lastRow="0" w:firstColumn="1" w:lastColumn="0" w:noHBand="0" w:noVBand="1"/>
      </w:tblPr>
      <w:tblGrid>
        <w:gridCol w:w="559"/>
        <w:gridCol w:w="517"/>
        <w:gridCol w:w="538"/>
        <w:gridCol w:w="3076"/>
        <w:gridCol w:w="2533"/>
        <w:gridCol w:w="1839"/>
      </w:tblGrid>
      <w:tr w:rsidR="004741D6" w:rsidRPr="00F7162E" w14:paraId="579C3C7F" w14:textId="77777777" w:rsidTr="00651532">
        <w:trPr>
          <w:trHeight w:val="320"/>
        </w:trPr>
        <w:tc>
          <w:tcPr>
            <w:tcW w:w="161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D51A91F"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 / Política</w:t>
            </w:r>
          </w:p>
        </w:tc>
        <w:tc>
          <w:tcPr>
            <w:tcW w:w="3076" w:type="dxa"/>
            <w:vMerge w:val="restart"/>
            <w:tcBorders>
              <w:top w:val="single" w:sz="8" w:space="0" w:color="auto"/>
              <w:left w:val="single" w:sz="8" w:space="0" w:color="auto"/>
              <w:bottom w:val="nil"/>
              <w:right w:val="single" w:sz="8" w:space="0" w:color="auto"/>
            </w:tcBorders>
            <w:shd w:val="clear" w:color="000000" w:fill="203764"/>
            <w:vAlign w:val="center"/>
            <w:hideMark/>
          </w:tcPr>
          <w:p w14:paraId="50D1ECDE"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Concepto</w:t>
            </w:r>
          </w:p>
        </w:tc>
        <w:tc>
          <w:tcPr>
            <w:tcW w:w="4372" w:type="dxa"/>
            <w:gridSpan w:val="2"/>
            <w:tcBorders>
              <w:top w:val="single" w:sz="8" w:space="0" w:color="auto"/>
              <w:left w:val="nil"/>
              <w:bottom w:val="single" w:sz="8" w:space="0" w:color="auto"/>
              <w:right w:val="single" w:sz="8" w:space="0" w:color="000000"/>
            </w:tcBorders>
            <w:shd w:val="clear" w:color="000000" w:fill="203764"/>
            <w:vAlign w:val="center"/>
            <w:hideMark/>
          </w:tcPr>
          <w:p w14:paraId="2078DBFD"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Referencia</w:t>
            </w:r>
          </w:p>
        </w:tc>
      </w:tr>
      <w:tr w:rsidR="004741D6" w:rsidRPr="006E5442" w14:paraId="45B5F18B" w14:textId="77777777" w:rsidTr="00651532">
        <w:trPr>
          <w:trHeight w:val="808"/>
        </w:trPr>
        <w:tc>
          <w:tcPr>
            <w:tcW w:w="1614" w:type="dxa"/>
            <w:gridSpan w:val="3"/>
            <w:vMerge/>
            <w:tcBorders>
              <w:top w:val="single" w:sz="8" w:space="0" w:color="auto"/>
              <w:left w:val="single" w:sz="8" w:space="0" w:color="auto"/>
              <w:bottom w:val="nil"/>
              <w:right w:val="single" w:sz="8" w:space="0" w:color="000000"/>
            </w:tcBorders>
            <w:vAlign w:val="center"/>
            <w:hideMark/>
          </w:tcPr>
          <w:p w14:paraId="1FC9A7D5" w14:textId="77777777" w:rsidR="004741D6" w:rsidRPr="00F7162E" w:rsidRDefault="004741D6" w:rsidP="00D16719">
            <w:pPr>
              <w:rPr>
                <w:rFonts w:ascii="Arial Narrow" w:eastAsia="Times New Roman" w:hAnsi="Arial Narrow"/>
                <w:b/>
                <w:bCs/>
                <w:color w:val="FFFFFF"/>
                <w:sz w:val="22"/>
                <w:szCs w:val="22"/>
              </w:rPr>
            </w:pPr>
          </w:p>
        </w:tc>
        <w:tc>
          <w:tcPr>
            <w:tcW w:w="3076" w:type="dxa"/>
            <w:vMerge/>
            <w:tcBorders>
              <w:top w:val="single" w:sz="8" w:space="0" w:color="auto"/>
              <w:left w:val="single" w:sz="8" w:space="0" w:color="auto"/>
              <w:bottom w:val="nil"/>
              <w:right w:val="single" w:sz="8" w:space="0" w:color="auto"/>
            </w:tcBorders>
            <w:vAlign w:val="center"/>
            <w:hideMark/>
          </w:tcPr>
          <w:p w14:paraId="16386C1A" w14:textId="77777777" w:rsidR="004741D6" w:rsidRPr="00F7162E" w:rsidRDefault="004741D6" w:rsidP="00D16719">
            <w:pPr>
              <w:rPr>
                <w:rFonts w:ascii="Arial Narrow" w:eastAsia="Times New Roman" w:hAnsi="Arial Narrow"/>
                <w:b/>
                <w:bCs/>
                <w:color w:val="FFFFFF"/>
                <w:sz w:val="22"/>
                <w:szCs w:val="22"/>
              </w:rPr>
            </w:pPr>
          </w:p>
        </w:tc>
        <w:tc>
          <w:tcPr>
            <w:tcW w:w="2533" w:type="dxa"/>
            <w:tcBorders>
              <w:top w:val="nil"/>
              <w:left w:val="nil"/>
              <w:bottom w:val="nil"/>
              <w:right w:val="single" w:sz="8" w:space="0" w:color="auto"/>
            </w:tcBorders>
            <w:shd w:val="clear" w:color="000000" w:fill="203764"/>
            <w:vAlign w:val="center"/>
            <w:hideMark/>
          </w:tcPr>
          <w:p w14:paraId="0D97CD22"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w:t>
            </w:r>
          </w:p>
        </w:tc>
        <w:tc>
          <w:tcPr>
            <w:tcW w:w="1839" w:type="dxa"/>
            <w:tcBorders>
              <w:top w:val="nil"/>
              <w:left w:val="nil"/>
              <w:bottom w:val="nil"/>
              <w:right w:val="single" w:sz="8" w:space="0" w:color="auto"/>
            </w:tcBorders>
            <w:shd w:val="clear" w:color="000000" w:fill="203764"/>
            <w:vAlign w:val="center"/>
            <w:hideMark/>
          </w:tcPr>
          <w:p w14:paraId="13A540DC" w14:textId="77777777" w:rsidR="004741D6" w:rsidRPr="00F7162E" w:rsidRDefault="004741D6" w:rsidP="00D16719">
            <w:pPr>
              <w:jc w:val="center"/>
              <w:rPr>
                <w:rFonts w:ascii="Arial Narrow" w:eastAsia="Times New Roman" w:hAnsi="Arial Narrow"/>
                <w:b/>
                <w:bCs/>
                <w:color w:val="FFFFFF"/>
                <w:sz w:val="22"/>
                <w:szCs w:val="22"/>
                <w:lang w:val="es-CR"/>
              </w:rPr>
            </w:pPr>
            <w:r w:rsidRPr="00F7162E">
              <w:rPr>
                <w:rFonts w:ascii="Arial Narrow" w:eastAsia="Times New Roman" w:hAnsi="Arial Narrow"/>
                <w:b/>
                <w:bCs/>
                <w:color w:val="FFFFFF"/>
                <w:sz w:val="22"/>
                <w:szCs w:val="22"/>
                <w:lang w:val="es-CR"/>
              </w:rPr>
              <w:t>Normativa técnica y disposiciones adicionales</w:t>
            </w:r>
          </w:p>
        </w:tc>
      </w:tr>
      <w:tr w:rsidR="004741D6" w:rsidRPr="006E5442" w14:paraId="502731D6" w14:textId="77777777" w:rsidTr="00651532">
        <w:trPr>
          <w:trHeight w:val="692"/>
        </w:trPr>
        <w:tc>
          <w:tcPr>
            <w:tcW w:w="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002F1F" w14:textId="77777777" w:rsidR="004741D6" w:rsidRPr="00F7162E" w:rsidRDefault="004741D6" w:rsidP="00D16719">
            <w:pPr>
              <w:jc w:val="center"/>
              <w:rPr>
                <w:rFonts w:ascii="Arial Narrow" w:eastAsia="Times New Roman" w:hAnsi="Arial Narrow"/>
                <w:b/>
                <w:bCs/>
                <w:color w:val="000000"/>
                <w:sz w:val="22"/>
                <w:szCs w:val="22"/>
              </w:rPr>
            </w:pPr>
            <w:r w:rsidRPr="00F7162E">
              <w:rPr>
                <w:rFonts w:ascii="Arial Narrow" w:eastAsia="Times New Roman" w:hAnsi="Arial Narrow"/>
                <w:b/>
                <w:bCs/>
                <w:color w:val="000000"/>
                <w:sz w:val="22"/>
                <w:szCs w:val="22"/>
                <w:lang w:val="es-CR"/>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521C98FE" w14:textId="77777777" w:rsidR="004741D6" w:rsidRPr="00F7162E" w:rsidRDefault="004741D6" w:rsidP="00D16719">
            <w:pPr>
              <w:jc w:val="center"/>
              <w:rPr>
                <w:rFonts w:ascii="Arial Narrow" w:eastAsia="Times New Roman" w:hAnsi="Arial Narrow"/>
                <w:b/>
                <w:bCs/>
                <w:color w:val="000000"/>
                <w:sz w:val="22"/>
                <w:szCs w:val="22"/>
              </w:rPr>
            </w:pPr>
            <w:r w:rsidRPr="00F7162E">
              <w:rPr>
                <w:rFonts w:ascii="Arial Narrow" w:eastAsia="Times New Roman" w:hAnsi="Arial Narrow"/>
                <w:b/>
                <w:bCs/>
                <w:color w:val="000000"/>
                <w:sz w:val="22"/>
                <w:szCs w:val="22"/>
              </w:rPr>
              <w:t>227</w:t>
            </w:r>
          </w:p>
        </w:tc>
        <w:tc>
          <w:tcPr>
            <w:tcW w:w="538" w:type="dxa"/>
            <w:tcBorders>
              <w:top w:val="single" w:sz="8" w:space="0" w:color="auto"/>
              <w:left w:val="nil"/>
              <w:bottom w:val="single" w:sz="8" w:space="0" w:color="auto"/>
              <w:right w:val="single" w:sz="8" w:space="0" w:color="auto"/>
            </w:tcBorders>
            <w:shd w:val="clear" w:color="auto" w:fill="auto"/>
            <w:vAlign w:val="center"/>
            <w:hideMark/>
          </w:tcPr>
          <w:p w14:paraId="2E26354C" w14:textId="3D16D03F" w:rsidR="004741D6" w:rsidRPr="00F7162E" w:rsidRDefault="004741D6" w:rsidP="00D16719">
            <w:pPr>
              <w:jc w:val="center"/>
              <w:rPr>
                <w:rFonts w:ascii="Arial Narrow" w:eastAsia="Times New Roman" w:hAnsi="Arial Narrow"/>
                <w:b/>
                <w:bCs/>
                <w:color w:val="000000"/>
                <w:sz w:val="22"/>
                <w:szCs w:val="22"/>
              </w:rPr>
            </w:pPr>
            <w:r w:rsidRPr="00F7162E">
              <w:rPr>
                <w:rFonts w:ascii="Arial Narrow" w:eastAsia="Times New Roman" w:hAnsi="Arial Narrow"/>
                <w:b/>
                <w:bCs/>
                <w:color w:val="000000"/>
                <w:sz w:val="22"/>
                <w:szCs w:val="22"/>
                <w:lang w:val="es-CR"/>
              </w:rPr>
              <w:t> </w:t>
            </w:r>
            <w:r w:rsidR="002B7D8C" w:rsidRPr="00F7162E">
              <w:rPr>
                <w:rFonts w:ascii="Arial Narrow" w:eastAsia="Times New Roman" w:hAnsi="Arial Narrow"/>
                <w:b/>
                <w:bCs/>
                <w:color w:val="000000"/>
                <w:sz w:val="22"/>
                <w:szCs w:val="22"/>
                <w:lang w:val="es-CR"/>
              </w:rPr>
              <w:t>0</w:t>
            </w:r>
          </w:p>
        </w:tc>
        <w:tc>
          <w:tcPr>
            <w:tcW w:w="3076" w:type="dxa"/>
            <w:tcBorders>
              <w:top w:val="single" w:sz="8" w:space="0" w:color="auto"/>
              <w:left w:val="nil"/>
              <w:bottom w:val="single" w:sz="8" w:space="0" w:color="auto"/>
              <w:right w:val="single" w:sz="8" w:space="0" w:color="auto"/>
            </w:tcBorders>
            <w:shd w:val="clear" w:color="auto" w:fill="auto"/>
            <w:noWrap/>
            <w:vAlign w:val="center"/>
            <w:hideMark/>
          </w:tcPr>
          <w:p w14:paraId="0AD7631A" w14:textId="77777777" w:rsidR="004741D6" w:rsidRPr="00F7162E" w:rsidRDefault="004741D6" w:rsidP="00D16719">
            <w:pPr>
              <w:rPr>
                <w:rFonts w:ascii="Arial Narrow" w:eastAsia="Times New Roman" w:hAnsi="Arial Narrow"/>
                <w:b/>
                <w:bCs/>
                <w:color w:val="000000"/>
                <w:sz w:val="22"/>
                <w:szCs w:val="22"/>
              </w:rPr>
            </w:pPr>
            <w:r w:rsidRPr="00F7162E">
              <w:rPr>
                <w:rFonts w:ascii="Arial Narrow" w:eastAsia="Times New Roman" w:hAnsi="Arial Narrow"/>
                <w:b/>
                <w:bCs/>
                <w:color w:val="000000"/>
                <w:sz w:val="22"/>
                <w:szCs w:val="22"/>
                <w:lang w:val="es-CR"/>
              </w:rPr>
              <w:t>Alcance</w:t>
            </w:r>
          </w:p>
        </w:tc>
        <w:tc>
          <w:tcPr>
            <w:tcW w:w="2533" w:type="dxa"/>
            <w:tcBorders>
              <w:top w:val="single" w:sz="8" w:space="0" w:color="auto"/>
              <w:left w:val="nil"/>
              <w:bottom w:val="single" w:sz="8" w:space="0" w:color="auto"/>
              <w:right w:val="single" w:sz="8" w:space="0" w:color="auto"/>
            </w:tcBorders>
            <w:shd w:val="clear" w:color="auto" w:fill="auto"/>
            <w:vAlign w:val="center"/>
            <w:hideMark/>
          </w:tcPr>
          <w:p w14:paraId="76CFDACF" w14:textId="77777777" w:rsidR="00F7162E" w:rsidRPr="00F7162E" w:rsidRDefault="004741D6" w:rsidP="00D16719">
            <w:pPr>
              <w:jc w:val="both"/>
              <w:rPr>
                <w:rFonts w:ascii="Arial Narrow" w:eastAsia="Times New Roman" w:hAnsi="Arial Narrow"/>
                <w:b/>
                <w:bCs/>
                <w:color w:val="000000"/>
                <w:sz w:val="22"/>
                <w:szCs w:val="22"/>
                <w:lang w:val="es-CR"/>
              </w:rPr>
            </w:pPr>
            <w:r w:rsidRPr="00F7162E">
              <w:rPr>
                <w:rFonts w:ascii="Arial Narrow" w:eastAsia="Times New Roman" w:hAnsi="Arial Narrow"/>
                <w:b/>
                <w:bCs/>
                <w:color w:val="000000"/>
                <w:sz w:val="22"/>
                <w:szCs w:val="22"/>
                <w:lang w:val="es-CR"/>
              </w:rPr>
              <w:t>NICSP N° 31,</w:t>
            </w:r>
          </w:p>
          <w:p w14:paraId="0401A2A8" w14:textId="1F0A4172" w:rsidR="004741D6" w:rsidRPr="00F7162E" w:rsidRDefault="004741D6" w:rsidP="00D16719">
            <w:pPr>
              <w:jc w:val="both"/>
              <w:rPr>
                <w:rFonts w:ascii="Arial Narrow" w:eastAsia="Times New Roman" w:hAnsi="Arial Narrow"/>
                <w:b/>
                <w:bCs/>
                <w:color w:val="000000"/>
                <w:sz w:val="22"/>
                <w:szCs w:val="22"/>
                <w:lang w:val="es-CR"/>
              </w:rPr>
            </w:pPr>
            <w:r w:rsidRPr="00F7162E">
              <w:rPr>
                <w:rFonts w:ascii="Arial Narrow" w:eastAsia="Times New Roman" w:hAnsi="Arial Narrow"/>
                <w:b/>
                <w:bCs/>
                <w:color w:val="000000"/>
                <w:sz w:val="22"/>
                <w:szCs w:val="22"/>
                <w:lang w:val="es-CR"/>
              </w:rPr>
              <w:t>Párrafos 7 a 10 y</w:t>
            </w:r>
            <w:r w:rsidRPr="00F7162E">
              <w:rPr>
                <w:rFonts w:ascii="Arial Narrow" w:eastAsia="Times New Roman" w:hAnsi="Arial Narrow"/>
                <w:b/>
                <w:bCs/>
                <w:color w:val="000000"/>
                <w:sz w:val="22"/>
                <w:szCs w:val="22"/>
                <w:lang w:val="es-CR"/>
              </w:rPr>
              <w:br/>
              <w:t>12 a 17</w:t>
            </w:r>
          </w:p>
        </w:tc>
        <w:tc>
          <w:tcPr>
            <w:tcW w:w="1839" w:type="dxa"/>
            <w:tcBorders>
              <w:top w:val="single" w:sz="8" w:space="0" w:color="auto"/>
              <w:left w:val="nil"/>
              <w:bottom w:val="single" w:sz="8" w:space="0" w:color="auto"/>
              <w:right w:val="single" w:sz="8" w:space="0" w:color="auto"/>
            </w:tcBorders>
            <w:shd w:val="clear" w:color="auto" w:fill="auto"/>
            <w:vAlign w:val="center"/>
            <w:hideMark/>
          </w:tcPr>
          <w:p w14:paraId="4DC9C213" w14:textId="77777777" w:rsidR="004741D6" w:rsidRPr="00F7162E" w:rsidRDefault="004741D6" w:rsidP="00D16719">
            <w:pPr>
              <w:jc w:val="center"/>
              <w:rPr>
                <w:rFonts w:ascii="Arial Narrow" w:eastAsia="Times New Roman" w:hAnsi="Arial Narrow"/>
                <w:b/>
                <w:bCs/>
                <w:color w:val="000000"/>
                <w:sz w:val="22"/>
                <w:szCs w:val="22"/>
                <w:lang w:val="es-CR"/>
              </w:rPr>
            </w:pPr>
            <w:r w:rsidRPr="00F7162E">
              <w:rPr>
                <w:rFonts w:ascii="Arial Narrow" w:eastAsia="Times New Roman" w:hAnsi="Arial Narrow"/>
                <w:b/>
                <w:bCs/>
                <w:color w:val="000000"/>
                <w:sz w:val="22"/>
                <w:szCs w:val="22"/>
                <w:lang w:val="es-CR"/>
              </w:rPr>
              <w:t> </w:t>
            </w:r>
          </w:p>
        </w:tc>
      </w:tr>
    </w:tbl>
    <w:p w14:paraId="0AAFBDE8" w14:textId="77777777" w:rsidR="004741D6" w:rsidRDefault="004741D6" w:rsidP="004741D6">
      <w:pPr>
        <w:spacing w:line="238" w:lineRule="auto"/>
        <w:ind w:left="1134" w:right="260" w:hanging="1134"/>
        <w:jc w:val="both"/>
        <w:rPr>
          <w:rFonts w:ascii="Arial" w:eastAsia="Arial" w:hAnsi="Arial"/>
          <w:b/>
          <w:sz w:val="22"/>
          <w:szCs w:val="22"/>
          <w:lang w:val="es-CR"/>
        </w:rPr>
      </w:pPr>
    </w:p>
    <w:p w14:paraId="0D3487F3" w14:textId="2C6254A6" w:rsidR="00651532" w:rsidRPr="0030399E" w:rsidRDefault="00651532" w:rsidP="004741D6">
      <w:pPr>
        <w:spacing w:line="238" w:lineRule="auto"/>
        <w:ind w:left="1134" w:right="260" w:hanging="1134"/>
        <w:jc w:val="both"/>
        <w:rPr>
          <w:rFonts w:ascii="Arial" w:eastAsia="Arial" w:hAnsi="Arial"/>
          <w:b/>
          <w:sz w:val="22"/>
          <w:szCs w:val="22"/>
          <w:lang w:val="es-CR"/>
        </w:rPr>
      </w:pPr>
      <w:r w:rsidRPr="0030399E">
        <w:rPr>
          <w:rFonts w:ascii="Arial" w:eastAsia="Arial" w:hAnsi="Arial"/>
          <w:b/>
          <w:sz w:val="22"/>
          <w:szCs w:val="22"/>
          <w:lang w:val="es-CR"/>
        </w:rPr>
        <w:t>Política Contable</w:t>
      </w:r>
    </w:p>
    <w:p w14:paraId="273B8126" w14:textId="77777777" w:rsidR="00651532" w:rsidRDefault="00651532" w:rsidP="004741D6">
      <w:pPr>
        <w:spacing w:line="238" w:lineRule="auto"/>
        <w:ind w:left="1134" w:right="260" w:hanging="1134"/>
        <w:jc w:val="both"/>
        <w:rPr>
          <w:rFonts w:ascii="Arial" w:eastAsia="Arial" w:hAnsi="Arial"/>
          <w:b/>
          <w:sz w:val="22"/>
          <w:szCs w:val="22"/>
          <w:lang w:val="es-CR"/>
        </w:rPr>
      </w:pPr>
    </w:p>
    <w:p w14:paraId="1315149F" w14:textId="140A425A"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1.227.0.01</w:t>
      </w:r>
      <w:r>
        <w:rPr>
          <w:rFonts w:ascii="Arial" w:eastAsia="Arial" w:hAnsi="Arial"/>
          <w:bCs/>
          <w:sz w:val="22"/>
          <w:szCs w:val="22"/>
          <w:lang w:val="es-CR"/>
        </w:rPr>
        <w:tab/>
      </w:r>
      <w:r w:rsidRPr="00DA0AB4">
        <w:rPr>
          <w:rFonts w:ascii="Arial" w:eastAsia="Arial" w:hAnsi="Arial"/>
          <w:bCs/>
          <w:sz w:val="22"/>
          <w:szCs w:val="22"/>
          <w:lang w:val="es-CR"/>
        </w:rPr>
        <w:t xml:space="preserve">En la </w:t>
      </w:r>
      <w:r w:rsidR="000F29DC">
        <w:rPr>
          <w:rFonts w:ascii="Arial" w:eastAsia="Arial" w:hAnsi="Arial"/>
          <w:bCs/>
          <w:sz w:val="22"/>
          <w:szCs w:val="22"/>
          <w:lang w:val="es-CR"/>
        </w:rPr>
        <w:t>MBA</w:t>
      </w:r>
      <w:r w:rsidRPr="00DA0AB4">
        <w:rPr>
          <w:rFonts w:ascii="Arial" w:eastAsia="Arial" w:hAnsi="Arial"/>
          <w:bCs/>
          <w:sz w:val="22"/>
          <w:szCs w:val="22"/>
          <w:lang w:val="es-CR"/>
        </w:rPr>
        <w:t xml:space="preserve"> los activos intangibles, pueden ser adquiridos, producidos o recibidos a través de transacciones </w:t>
      </w:r>
      <w:r>
        <w:rPr>
          <w:rFonts w:ascii="Arial" w:eastAsia="Arial" w:hAnsi="Arial"/>
          <w:bCs/>
          <w:sz w:val="22"/>
          <w:szCs w:val="22"/>
          <w:lang w:val="es-CR"/>
        </w:rPr>
        <w:t xml:space="preserve">con o </w:t>
      </w:r>
      <w:r w:rsidRPr="00DA0AB4">
        <w:rPr>
          <w:rFonts w:ascii="Arial" w:eastAsia="Arial" w:hAnsi="Arial"/>
          <w:bCs/>
          <w:sz w:val="22"/>
          <w:szCs w:val="22"/>
          <w:lang w:val="es-CR"/>
        </w:rPr>
        <w:t>sin contraprestación, entre otros</w:t>
      </w:r>
      <w:r>
        <w:rPr>
          <w:rFonts w:ascii="Arial" w:eastAsia="Arial" w:hAnsi="Arial"/>
          <w:bCs/>
          <w:sz w:val="22"/>
          <w:szCs w:val="22"/>
          <w:lang w:val="es-CR"/>
        </w:rPr>
        <w:t xml:space="preserve"> se incluyen</w:t>
      </w:r>
      <w:r w:rsidRPr="00DA0AB4">
        <w:rPr>
          <w:rFonts w:ascii="Arial" w:eastAsia="Arial" w:hAnsi="Arial"/>
          <w:bCs/>
          <w:sz w:val="22"/>
          <w:szCs w:val="22"/>
          <w:lang w:val="es-CR"/>
        </w:rPr>
        <w:t>:</w:t>
      </w:r>
    </w:p>
    <w:p w14:paraId="2AC4D91A" w14:textId="77777777" w:rsidR="004741D6" w:rsidRPr="00DA0AB4" w:rsidRDefault="004741D6" w:rsidP="004741D6">
      <w:pPr>
        <w:spacing w:line="236" w:lineRule="auto"/>
        <w:ind w:left="1134" w:right="280" w:hanging="1134"/>
        <w:jc w:val="both"/>
        <w:rPr>
          <w:rFonts w:ascii="Arial" w:eastAsia="Arial" w:hAnsi="Arial"/>
          <w:bCs/>
          <w:sz w:val="22"/>
          <w:szCs w:val="22"/>
          <w:lang w:val="es-CR"/>
        </w:rPr>
      </w:pPr>
    </w:p>
    <w:p w14:paraId="5CC97CE8" w14:textId="77777777" w:rsidR="004741D6" w:rsidRPr="00DA0AB4" w:rsidRDefault="004741D6">
      <w:pPr>
        <w:pStyle w:val="Prrafodelista"/>
        <w:numPr>
          <w:ilvl w:val="0"/>
          <w:numId w:val="89"/>
        </w:numPr>
        <w:spacing w:after="120"/>
        <w:ind w:left="1418" w:right="278" w:hanging="284"/>
        <w:contextualSpacing w:val="0"/>
        <w:jc w:val="both"/>
        <w:rPr>
          <w:rFonts w:ascii="Arial" w:eastAsia="Arial" w:hAnsi="Arial"/>
          <w:bCs/>
          <w:sz w:val="22"/>
          <w:szCs w:val="22"/>
          <w:lang w:val="es-CR"/>
        </w:rPr>
      </w:pPr>
      <w:r w:rsidRPr="00DA0AB4">
        <w:rPr>
          <w:rFonts w:ascii="Arial" w:eastAsia="Arial" w:hAnsi="Arial"/>
          <w:bCs/>
          <w:sz w:val="22"/>
          <w:szCs w:val="22"/>
          <w:lang w:val="es-CR"/>
        </w:rPr>
        <w:t>Los programas o licencias informáticos (excepto los sistemas operativos de los equipos).</w:t>
      </w:r>
    </w:p>
    <w:p w14:paraId="38C9AE8B" w14:textId="77777777" w:rsidR="004741D6" w:rsidRPr="00DA0AB4" w:rsidRDefault="004741D6">
      <w:pPr>
        <w:pStyle w:val="Prrafodelista"/>
        <w:numPr>
          <w:ilvl w:val="0"/>
          <w:numId w:val="89"/>
        </w:numPr>
        <w:spacing w:after="120"/>
        <w:ind w:left="1418" w:right="278" w:hanging="284"/>
        <w:contextualSpacing w:val="0"/>
        <w:jc w:val="both"/>
        <w:rPr>
          <w:rFonts w:ascii="Arial" w:eastAsia="Arial" w:hAnsi="Arial"/>
          <w:bCs/>
          <w:sz w:val="22"/>
          <w:szCs w:val="22"/>
          <w:lang w:val="es-CR"/>
        </w:rPr>
      </w:pPr>
      <w:r w:rsidRPr="00DA0AB4">
        <w:rPr>
          <w:rFonts w:ascii="Arial" w:eastAsia="Arial" w:hAnsi="Arial"/>
          <w:bCs/>
          <w:sz w:val="22"/>
          <w:szCs w:val="22"/>
          <w:lang w:val="es-CR"/>
        </w:rPr>
        <w:t>El diseño e implementación de nuevos sistemas.</w:t>
      </w:r>
    </w:p>
    <w:p w14:paraId="2C39D14E" w14:textId="77777777" w:rsidR="004741D6" w:rsidRPr="00DA0AB4" w:rsidRDefault="004741D6">
      <w:pPr>
        <w:pStyle w:val="Prrafodelista"/>
        <w:numPr>
          <w:ilvl w:val="0"/>
          <w:numId w:val="89"/>
        </w:numPr>
        <w:spacing w:line="236" w:lineRule="auto"/>
        <w:ind w:left="1418" w:right="280" w:hanging="284"/>
        <w:jc w:val="both"/>
        <w:rPr>
          <w:rFonts w:ascii="Arial" w:eastAsia="Arial" w:hAnsi="Arial"/>
          <w:bCs/>
          <w:sz w:val="22"/>
          <w:szCs w:val="22"/>
          <w:lang w:val="es-CR"/>
        </w:rPr>
      </w:pPr>
      <w:r w:rsidRPr="00DA0AB4">
        <w:rPr>
          <w:rFonts w:ascii="Arial" w:eastAsia="Arial" w:hAnsi="Arial"/>
          <w:bCs/>
          <w:sz w:val="22"/>
          <w:szCs w:val="22"/>
          <w:lang w:val="es-CR"/>
        </w:rPr>
        <w:t>La propiedad intelectual.</w:t>
      </w:r>
    </w:p>
    <w:p w14:paraId="411F69C3" w14:textId="77777777" w:rsidR="004741D6" w:rsidRPr="00E948E8" w:rsidRDefault="004741D6">
      <w:pPr>
        <w:pStyle w:val="Prrafodelista"/>
        <w:numPr>
          <w:ilvl w:val="0"/>
          <w:numId w:val="90"/>
        </w:numPr>
        <w:spacing w:after="20" w:line="236" w:lineRule="auto"/>
        <w:ind w:left="1418" w:right="280"/>
        <w:jc w:val="both"/>
        <w:rPr>
          <w:sz w:val="23"/>
          <w:szCs w:val="23"/>
          <w:lang w:val="es-CR"/>
        </w:rPr>
      </w:pPr>
      <w:r w:rsidRPr="00E948E8">
        <w:rPr>
          <w:rFonts w:ascii="Arial" w:eastAsia="Arial" w:hAnsi="Arial"/>
          <w:bCs/>
          <w:sz w:val="22"/>
          <w:szCs w:val="22"/>
          <w:lang w:val="es-CR"/>
        </w:rPr>
        <w:t>Los activos intangibles de patrimonio histórico-artístico y/o cultural, como por ejemplo</w:t>
      </w:r>
      <w:r>
        <w:rPr>
          <w:rFonts w:ascii="Arial" w:eastAsia="Arial" w:hAnsi="Arial"/>
          <w:bCs/>
          <w:sz w:val="22"/>
          <w:szCs w:val="22"/>
          <w:lang w:val="es-CR"/>
        </w:rPr>
        <w:t xml:space="preserve"> l</w:t>
      </w:r>
      <w:r w:rsidRPr="00E948E8">
        <w:rPr>
          <w:sz w:val="23"/>
          <w:szCs w:val="23"/>
          <w:lang w:val="es-CR"/>
        </w:rPr>
        <w:t>as grabaciones de acontecimientos históricos importantes</w:t>
      </w:r>
      <w:r>
        <w:rPr>
          <w:sz w:val="23"/>
          <w:szCs w:val="23"/>
          <w:lang w:val="es-CR"/>
        </w:rPr>
        <w:t>.</w:t>
      </w:r>
      <w:r w:rsidRPr="00E948E8">
        <w:rPr>
          <w:sz w:val="23"/>
          <w:szCs w:val="23"/>
          <w:lang w:val="es-CR"/>
        </w:rPr>
        <w:t xml:space="preserve"> </w:t>
      </w:r>
    </w:p>
    <w:p w14:paraId="62DC4DC6"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8921" w:type="dxa"/>
        <w:tblLook w:val="04A0" w:firstRow="1" w:lastRow="0" w:firstColumn="1" w:lastColumn="0" w:noHBand="0" w:noVBand="1"/>
      </w:tblPr>
      <w:tblGrid>
        <w:gridCol w:w="562"/>
        <w:gridCol w:w="517"/>
        <w:gridCol w:w="539"/>
        <w:gridCol w:w="3063"/>
        <w:gridCol w:w="2541"/>
        <w:gridCol w:w="1699"/>
      </w:tblGrid>
      <w:tr w:rsidR="004741D6" w:rsidRPr="00F7162E" w14:paraId="56318066" w14:textId="77777777" w:rsidTr="00D16719">
        <w:trPr>
          <w:trHeight w:val="320"/>
        </w:trPr>
        <w:tc>
          <w:tcPr>
            <w:tcW w:w="159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8A0A356"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 / Política</w:t>
            </w:r>
          </w:p>
        </w:tc>
        <w:tc>
          <w:tcPr>
            <w:tcW w:w="3074" w:type="dxa"/>
            <w:vMerge w:val="restart"/>
            <w:tcBorders>
              <w:top w:val="single" w:sz="8" w:space="0" w:color="auto"/>
              <w:left w:val="single" w:sz="8" w:space="0" w:color="auto"/>
              <w:bottom w:val="nil"/>
              <w:right w:val="single" w:sz="8" w:space="0" w:color="auto"/>
            </w:tcBorders>
            <w:shd w:val="clear" w:color="000000" w:fill="203764"/>
            <w:vAlign w:val="center"/>
            <w:hideMark/>
          </w:tcPr>
          <w:p w14:paraId="05A6DE22"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Concepto</w:t>
            </w:r>
          </w:p>
        </w:tc>
        <w:tc>
          <w:tcPr>
            <w:tcW w:w="4253" w:type="dxa"/>
            <w:gridSpan w:val="2"/>
            <w:tcBorders>
              <w:top w:val="single" w:sz="8" w:space="0" w:color="auto"/>
              <w:left w:val="nil"/>
              <w:bottom w:val="single" w:sz="8" w:space="0" w:color="auto"/>
              <w:right w:val="single" w:sz="8" w:space="0" w:color="000000"/>
            </w:tcBorders>
            <w:shd w:val="clear" w:color="000000" w:fill="203764"/>
            <w:vAlign w:val="center"/>
            <w:hideMark/>
          </w:tcPr>
          <w:p w14:paraId="6DA46131"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Referencia</w:t>
            </w:r>
          </w:p>
        </w:tc>
      </w:tr>
      <w:tr w:rsidR="004741D6" w:rsidRPr="006E5442" w14:paraId="5483C3A9" w14:textId="77777777" w:rsidTr="00D16719">
        <w:trPr>
          <w:trHeight w:val="790"/>
        </w:trPr>
        <w:tc>
          <w:tcPr>
            <w:tcW w:w="1594" w:type="dxa"/>
            <w:gridSpan w:val="3"/>
            <w:vMerge/>
            <w:tcBorders>
              <w:top w:val="single" w:sz="8" w:space="0" w:color="auto"/>
              <w:left w:val="single" w:sz="8" w:space="0" w:color="auto"/>
              <w:bottom w:val="nil"/>
              <w:right w:val="single" w:sz="8" w:space="0" w:color="000000"/>
            </w:tcBorders>
            <w:vAlign w:val="center"/>
            <w:hideMark/>
          </w:tcPr>
          <w:p w14:paraId="44179C9A" w14:textId="77777777" w:rsidR="004741D6" w:rsidRPr="00F7162E" w:rsidRDefault="004741D6" w:rsidP="00D16719">
            <w:pPr>
              <w:rPr>
                <w:rFonts w:ascii="Arial Narrow" w:eastAsia="Times New Roman" w:hAnsi="Arial Narrow"/>
                <w:b/>
                <w:bCs/>
                <w:color w:val="FFFFFF"/>
                <w:sz w:val="22"/>
                <w:szCs w:val="22"/>
              </w:rPr>
            </w:pPr>
          </w:p>
        </w:tc>
        <w:tc>
          <w:tcPr>
            <w:tcW w:w="3074" w:type="dxa"/>
            <w:vMerge/>
            <w:tcBorders>
              <w:top w:val="single" w:sz="8" w:space="0" w:color="auto"/>
              <w:left w:val="single" w:sz="8" w:space="0" w:color="auto"/>
              <w:bottom w:val="nil"/>
              <w:right w:val="single" w:sz="8" w:space="0" w:color="auto"/>
            </w:tcBorders>
            <w:vAlign w:val="center"/>
            <w:hideMark/>
          </w:tcPr>
          <w:p w14:paraId="58DF87BA" w14:textId="77777777" w:rsidR="004741D6" w:rsidRPr="00F7162E"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1266C4DD"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w:t>
            </w:r>
          </w:p>
        </w:tc>
        <w:tc>
          <w:tcPr>
            <w:tcW w:w="1701" w:type="dxa"/>
            <w:tcBorders>
              <w:top w:val="nil"/>
              <w:left w:val="nil"/>
              <w:bottom w:val="nil"/>
              <w:right w:val="single" w:sz="8" w:space="0" w:color="auto"/>
            </w:tcBorders>
            <w:shd w:val="clear" w:color="000000" w:fill="203764"/>
            <w:vAlign w:val="center"/>
            <w:hideMark/>
          </w:tcPr>
          <w:p w14:paraId="0B9B010B" w14:textId="77777777" w:rsidR="004741D6" w:rsidRPr="00F7162E" w:rsidRDefault="004741D6" w:rsidP="00D16719">
            <w:pPr>
              <w:jc w:val="center"/>
              <w:rPr>
                <w:rFonts w:ascii="Arial Narrow" w:eastAsia="Times New Roman" w:hAnsi="Arial Narrow"/>
                <w:b/>
                <w:bCs/>
                <w:color w:val="FFFFFF"/>
                <w:sz w:val="22"/>
                <w:szCs w:val="22"/>
                <w:lang w:val="es-CR"/>
              </w:rPr>
            </w:pPr>
            <w:r w:rsidRPr="00F7162E">
              <w:rPr>
                <w:rFonts w:ascii="Arial Narrow" w:eastAsia="Times New Roman" w:hAnsi="Arial Narrow"/>
                <w:b/>
                <w:bCs/>
                <w:color w:val="FFFFFF"/>
                <w:sz w:val="22"/>
                <w:szCs w:val="22"/>
                <w:lang w:val="es-CR"/>
              </w:rPr>
              <w:t>Normativa técnica y disposiciones adicionales</w:t>
            </w:r>
          </w:p>
        </w:tc>
      </w:tr>
      <w:tr w:rsidR="004741D6" w:rsidRPr="006E5442" w14:paraId="26545ECD" w14:textId="77777777" w:rsidTr="00D16719">
        <w:trPr>
          <w:trHeight w:val="569"/>
        </w:trPr>
        <w:tc>
          <w:tcPr>
            <w:tcW w:w="56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F5FADE" w14:textId="77777777" w:rsidR="004741D6" w:rsidRPr="00F7162E" w:rsidRDefault="004741D6" w:rsidP="00D16719">
            <w:pPr>
              <w:jc w:val="center"/>
              <w:rPr>
                <w:rFonts w:ascii="Arial Narrow" w:eastAsia="Times New Roman" w:hAnsi="Arial Narrow"/>
                <w:b/>
                <w:bCs/>
                <w:color w:val="000000"/>
                <w:sz w:val="22"/>
                <w:szCs w:val="22"/>
              </w:rPr>
            </w:pPr>
            <w:r w:rsidRPr="00F7162E">
              <w:rPr>
                <w:rFonts w:ascii="Arial Narrow" w:eastAsia="Times New Roman" w:hAnsi="Arial Narrow"/>
                <w:b/>
                <w:bCs/>
                <w:color w:val="000000"/>
                <w:sz w:val="22"/>
                <w:szCs w:val="22"/>
                <w:lang w:val="es-CR"/>
              </w:rPr>
              <w:t>1</w:t>
            </w:r>
          </w:p>
        </w:tc>
        <w:tc>
          <w:tcPr>
            <w:tcW w:w="490" w:type="dxa"/>
            <w:tcBorders>
              <w:top w:val="single" w:sz="8" w:space="0" w:color="auto"/>
              <w:left w:val="nil"/>
              <w:bottom w:val="single" w:sz="8" w:space="0" w:color="auto"/>
              <w:right w:val="single" w:sz="8" w:space="0" w:color="auto"/>
            </w:tcBorders>
            <w:shd w:val="clear" w:color="auto" w:fill="auto"/>
            <w:noWrap/>
            <w:vAlign w:val="center"/>
            <w:hideMark/>
          </w:tcPr>
          <w:p w14:paraId="40A5F3A2" w14:textId="77777777" w:rsidR="004741D6" w:rsidRPr="00F7162E" w:rsidRDefault="004741D6" w:rsidP="00D16719">
            <w:pPr>
              <w:jc w:val="center"/>
              <w:rPr>
                <w:rFonts w:ascii="Arial Narrow" w:eastAsia="Times New Roman" w:hAnsi="Arial Narrow"/>
                <w:b/>
                <w:bCs/>
                <w:color w:val="000000"/>
                <w:sz w:val="22"/>
                <w:szCs w:val="22"/>
              </w:rPr>
            </w:pPr>
            <w:r w:rsidRPr="00F7162E">
              <w:rPr>
                <w:rFonts w:ascii="Arial Narrow" w:eastAsia="Times New Roman" w:hAnsi="Arial Narrow"/>
                <w:b/>
                <w:bCs/>
                <w:color w:val="000000"/>
                <w:sz w:val="22"/>
                <w:szCs w:val="22"/>
              </w:rPr>
              <w:t>228</w:t>
            </w:r>
          </w:p>
        </w:tc>
        <w:tc>
          <w:tcPr>
            <w:tcW w:w="541" w:type="dxa"/>
            <w:tcBorders>
              <w:top w:val="single" w:sz="8" w:space="0" w:color="auto"/>
              <w:left w:val="nil"/>
              <w:bottom w:val="single" w:sz="8" w:space="0" w:color="auto"/>
              <w:right w:val="single" w:sz="8" w:space="0" w:color="auto"/>
            </w:tcBorders>
            <w:shd w:val="clear" w:color="auto" w:fill="auto"/>
            <w:vAlign w:val="center"/>
            <w:hideMark/>
          </w:tcPr>
          <w:p w14:paraId="398077A7" w14:textId="77777777" w:rsidR="004741D6" w:rsidRPr="00F7162E" w:rsidRDefault="004741D6" w:rsidP="00D16719">
            <w:pPr>
              <w:jc w:val="center"/>
              <w:rPr>
                <w:rFonts w:ascii="Arial Narrow" w:eastAsia="Times New Roman" w:hAnsi="Arial Narrow"/>
                <w:b/>
                <w:bCs/>
                <w:color w:val="000000"/>
                <w:sz w:val="22"/>
                <w:szCs w:val="22"/>
              </w:rPr>
            </w:pPr>
            <w:r w:rsidRPr="00F7162E">
              <w:rPr>
                <w:rFonts w:ascii="Arial Narrow" w:eastAsia="Times New Roman" w:hAnsi="Arial Narrow"/>
                <w:b/>
                <w:bCs/>
                <w:color w:val="000000"/>
                <w:sz w:val="22"/>
                <w:szCs w:val="22"/>
                <w:lang w:val="es-CR"/>
              </w:rPr>
              <w:t> </w:t>
            </w:r>
          </w:p>
        </w:tc>
        <w:tc>
          <w:tcPr>
            <w:tcW w:w="3074" w:type="dxa"/>
            <w:tcBorders>
              <w:top w:val="single" w:sz="8" w:space="0" w:color="auto"/>
              <w:left w:val="nil"/>
              <w:bottom w:val="single" w:sz="8" w:space="0" w:color="auto"/>
              <w:right w:val="single" w:sz="8" w:space="0" w:color="auto"/>
            </w:tcBorders>
            <w:shd w:val="clear" w:color="auto" w:fill="auto"/>
            <w:vAlign w:val="center"/>
            <w:hideMark/>
          </w:tcPr>
          <w:p w14:paraId="107B076E" w14:textId="77777777" w:rsidR="004741D6" w:rsidRPr="00F7162E" w:rsidRDefault="004741D6" w:rsidP="00D16719">
            <w:pPr>
              <w:rPr>
                <w:rFonts w:ascii="Arial Narrow" w:eastAsia="Times New Roman" w:hAnsi="Arial Narrow"/>
                <w:b/>
                <w:bCs/>
                <w:color w:val="000000"/>
                <w:sz w:val="22"/>
                <w:szCs w:val="22"/>
              </w:rPr>
            </w:pPr>
            <w:r w:rsidRPr="00F7162E">
              <w:rPr>
                <w:rFonts w:ascii="Arial Narrow" w:eastAsia="Times New Roman" w:hAnsi="Arial Narrow"/>
                <w:b/>
                <w:bCs/>
                <w:color w:val="000000"/>
                <w:sz w:val="22"/>
                <w:szCs w:val="22"/>
                <w:lang w:val="es-CR"/>
              </w:rPr>
              <w:t>Activos no comprendidos</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681196A6" w14:textId="77777777" w:rsidR="00F7162E" w:rsidRDefault="004741D6" w:rsidP="00D16719">
            <w:pPr>
              <w:jc w:val="both"/>
              <w:rPr>
                <w:rFonts w:ascii="Arial Narrow" w:eastAsia="Times New Roman" w:hAnsi="Arial Narrow"/>
                <w:b/>
                <w:bCs/>
                <w:color w:val="000000"/>
                <w:sz w:val="22"/>
                <w:szCs w:val="22"/>
                <w:lang w:val="es-CR"/>
              </w:rPr>
            </w:pPr>
            <w:r w:rsidRPr="00F7162E">
              <w:rPr>
                <w:rFonts w:ascii="Arial Narrow" w:eastAsia="Times New Roman" w:hAnsi="Arial Narrow"/>
                <w:b/>
                <w:bCs/>
                <w:color w:val="000000"/>
                <w:sz w:val="22"/>
                <w:szCs w:val="22"/>
                <w:lang w:val="es-CR"/>
              </w:rPr>
              <w:t>NICSP N° 31,</w:t>
            </w:r>
          </w:p>
          <w:p w14:paraId="5AD8BE8E" w14:textId="05CD4EED" w:rsidR="004741D6" w:rsidRPr="00F7162E" w:rsidRDefault="004741D6" w:rsidP="00D16719">
            <w:pPr>
              <w:jc w:val="both"/>
              <w:rPr>
                <w:rFonts w:ascii="Arial Narrow" w:eastAsia="Times New Roman" w:hAnsi="Arial Narrow"/>
                <w:b/>
                <w:bCs/>
                <w:color w:val="000000"/>
                <w:sz w:val="22"/>
                <w:szCs w:val="22"/>
                <w:lang w:val="es-CR"/>
              </w:rPr>
            </w:pPr>
            <w:r w:rsidRPr="00F7162E">
              <w:rPr>
                <w:rFonts w:ascii="Arial Narrow" w:eastAsia="Times New Roman" w:hAnsi="Arial Narrow"/>
                <w:b/>
                <w:bCs/>
                <w:color w:val="000000"/>
                <w:sz w:val="22"/>
                <w:szCs w:val="22"/>
                <w:lang w:val="es-CR"/>
              </w:rPr>
              <w:t>Párrafos 3 a 18 y 61.</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813453F" w14:textId="77777777" w:rsidR="004741D6" w:rsidRPr="00F7162E" w:rsidRDefault="004741D6" w:rsidP="00D16719">
            <w:pPr>
              <w:jc w:val="center"/>
              <w:rPr>
                <w:rFonts w:ascii="Arial Narrow" w:eastAsia="Times New Roman" w:hAnsi="Arial Narrow"/>
                <w:b/>
                <w:bCs/>
                <w:color w:val="000000"/>
                <w:sz w:val="22"/>
                <w:szCs w:val="22"/>
                <w:lang w:val="es-CR"/>
              </w:rPr>
            </w:pPr>
            <w:r w:rsidRPr="00F7162E">
              <w:rPr>
                <w:rFonts w:ascii="Arial Narrow" w:eastAsia="Times New Roman" w:hAnsi="Arial Narrow"/>
                <w:b/>
                <w:bCs/>
                <w:color w:val="000000"/>
                <w:sz w:val="22"/>
                <w:szCs w:val="22"/>
                <w:lang w:val="es-CR"/>
              </w:rPr>
              <w:t> </w:t>
            </w:r>
          </w:p>
        </w:tc>
      </w:tr>
    </w:tbl>
    <w:p w14:paraId="0DC59AF1" w14:textId="77777777" w:rsidR="004741D6" w:rsidRDefault="004741D6" w:rsidP="00651532">
      <w:pPr>
        <w:rPr>
          <w:rFonts w:ascii="Times New Roman" w:eastAsia="Times New Roman" w:hAnsi="Times New Roman"/>
          <w:lang w:val="es-CR"/>
        </w:rPr>
      </w:pPr>
    </w:p>
    <w:p w14:paraId="2DBAAD34" w14:textId="6D936573" w:rsidR="00651532" w:rsidRPr="0030399E" w:rsidRDefault="00651532" w:rsidP="00651532">
      <w:pPr>
        <w:rPr>
          <w:rFonts w:ascii="Arial" w:eastAsia="Arial" w:hAnsi="Arial"/>
          <w:b/>
          <w:sz w:val="22"/>
          <w:szCs w:val="22"/>
          <w:lang w:val="es-CR"/>
        </w:rPr>
      </w:pPr>
      <w:r w:rsidRPr="0030399E">
        <w:rPr>
          <w:rFonts w:ascii="Arial" w:eastAsia="Arial" w:hAnsi="Arial"/>
          <w:b/>
          <w:sz w:val="22"/>
          <w:szCs w:val="22"/>
          <w:lang w:val="es-CR"/>
        </w:rPr>
        <w:lastRenderedPageBreak/>
        <w:t>Políticas Contables</w:t>
      </w:r>
    </w:p>
    <w:p w14:paraId="7627EDD6" w14:textId="77777777" w:rsidR="00651532" w:rsidRPr="00627673" w:rsidRDefault="00651532" w:rsidP="00651532">
      <w:pPr>
        <w:rPr>
          <w:rFonts w:ascii="Times New Roman" w:eastAsia="Times New Roman" w:hAnsi="Times New Roman"/>
          <w:lang w:val="es-CR"/>
        </w:rPr>
      </w:pPr>
    </w:p>
    <w:p w14:paraId="70D5D96D" w14:textId="665036B2"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1.228.0.01</w:t>
      </w:r>
      <w:r>
        <w:rPr>
          <w:rFonts w:ascii="Arial" w:eastAsia="Arial" w:hAnsi="Arial"/>
          <w:bCs/>
          <w:sz w:val="22"/>
          <w:szCs w:val="22"/>
          <w:lang w:val="es-CR"/>
        </w:rPr>
        <w:tab/>
      </w:r>
      <w:r w:rsidRPr="005604C1">
        <w:rPr>
          <w:rFonts w:ascii="Arial" w:eastAsia="Arial" w:hAnsi="Arial"/>
          <w:bCs/>
          <w:sz w:val="22"/>
          <w:szCs w:val="22"/>
          <w:lang w:val="es-CR"/>
        </w:rPr>
        <w:t xml:space="preserve">En la </w:t>
      </w:r>
      <w:r w:rsidR="000F29DC">
        <w:rPr>
          <w:rFonts w:ascii="Arial" w:eastAsia="Arial" w:hAnsi="Arial"/>
          <w:bCs/>
          <w:sz w:val="22"/>
          <w:szCs w:val="22"/>
          <w:lang w:val="es-CR"/>
        </w:rPr>
        <w:t>MBA</w:t>
      </w:r>
      <w:r w:rsidRPr="005604C1">
        <w:rPr>
          <w:rFonts w:ascii="Arial" w:eastAsia="Arial" w:hAnsi="Arial"/>
          <w:bCs/>
          <w:sz w:val="22"/>
          <w:szCs w:val="22"/>
          <w:lang w:val="es-CR"/>
        </w:rPr>
        <w:t xml:space="preserve"> no se incluirá dentro de los activos intangibles</w:t>
      </w:r>
      <w:r w:rsidR="00F7162E">
        <w:rPr>
          <w:rFonts w:ascii="Arial" w:eastAsia="Arial" w:hAnsi="Arial"/>
          <w:bCs/>
          <w:sz w:val="22"/>
          <w:szCs w:val="22"/>
          <w:lang w:val="es-CR"/>
        </w:rPr>
        <w:t>:</w:t>
      </w:r>
    </w:p>
    <w:p w14:paraId="5C95C814" w14:textId="77777777" w:rsidR="00F7162E" w:rsidRPr="005604C1" w:rsidRDefault="00F7162E" w:rsidP="004741D6">
      <w:pPr>
        <w:spacing w:line="236" w:lineRule="auto"/>
        <w:ind w:left="1134" w:right="280" w:hanging="1134"/>
        <w:jc w:val="both"/>
        <w:rPr>
          <w:rFonts w:ascii="Arial" w:eastAsia="Arial" w:hAnsi="Arial"/>
          <w:bCs/>
          <w:sz w:val="22"/>
          <w:szCs w:val="22"/>
          <w:lang w:val="es-CR"/>
        </w:rPr>
      </w:pPr>
    </w:p>
    <w:p w14:paraId="57032E8C" w14:textId="77777777" w:rsidR="004741D6" w:rsidRPr="005604C1" w:rsidRDefault="004741D6">
      <w:pPr>
        <w:pStyle w:val="Prrafodelista"/>
        <w:numPr>
          <w:ilvl w:val="0"/>
          <w:numId w:val="91"/>
        </w:numPr>
        <w:spacing w:after="120"/>
        <w:ind w:left="1418" w:hanging="284"/>
        <w:contextualSpacing w:val="0"/>
        <w:rPr>
          <w:rFonts w:ascii="Arial" w:eastAsia="Arial" w:hAnsi="Arial"/>
          <w:bCs/>
          <w:sz w:val="22"/>
          <w:szCs w:val="22"/>
          <w:lang w:val="es-CR"/>
        </w:rPr>
      </w:pPr>
      <w:r w:rsidRPr="005604C1">
        <w:rPr>
          <w:rFonts w:ascii="Arial" w:eastAsia="Arial" w:hAnsi="Arial"/>
          <w:bCs/>
          <w:sz w:val="22"/>
          <w:szCs w:val="22"/>
          <w:lang w:val="es-CR"/>
        </w:rPr>
        <w:t xml:space="preserve">Los poderes y derechos conferidos por la legislación, </w:t>
      </w:r>
    </w:p>
    <w:p w14:paraId="301D85C1" w14:textId="77777777" w:rsidR="004741D6" w:rsidRPr="005604C1" w:rsidRDefault="004741D6">
      <w:pPr>
        <w:pStyle w:val="Prrafodelista"/>
        <w:numPr>
          <w:ilvl w:val="0"/>
          <w:numId w:val="91"/>
        </w:numPr>
        <w:spacing w:after="120"/>
        <w:ind w:left="1418" w:hanging="284"/>
        <w:contextualSpacing w:val="0"/>
        <w:rPr>
          <w:rFonts w:ascii="Arial" w:eastAsia="Arial" w:hAnsi="Arial"/>
          <w:bCs/>
          <w:sz w:val="22"/>
          <w:szCs w:val="22"/>
          <w:lang w:val="es-CR"/>
        </w:rPr>
      </w:pPr>
      <w:r w:rsidRPr="005604C1">
        <w:rPr>
          <w:rFonts w:ascii="Arial" w:eastAsia="Arial" w:hAnsi="Arial"/>
          <w:bCs/>
          <w:sz w:val="22"/>
          <w:szCs w:val="22"/>
          <w:lang w:val="es-CR"/>
        </w:rPr>
        <w:t>Los Costos de adquisición diferidos.</w:t>
      </w:r>
    </w:p>
    <w:p w14:paraId="77A10F3B" w14:textId="77777777" w:rsidR="004741D6" w:rsidRPr="005604C1" w:rsidRDefault="004741D6" w:rsidP="004741D6">
      <w:pPr>
        <w:spacing w:line="9" w:lineRule="exact"/>
        <w:ind w:left="1418" w:hanging="284"/>
        <w:rPr>
          <w:rFonts w:ascii="Arial" w:eastAsia="Arial" w:hAnsi="Arial"/>
          <w:bCs/>
          <w:sz w:val="22"/>
          <w:szCs w:val="22"/>
          <w:lang w:val="es-CR"/>
        </w:rPr>
      </w:pPr>
    </w:p>
    <w:p w14:paraId="78D24DA1" w14:textId="77777777" w:rsidR="004741D6" w:rsidRPr="005604C1" w:rsidRDefault="004741D6" w:rsidP="004741D6">
      <w:pPr>
        <w:spacing w:line="9" w:lineRule="exact"/>
        <w:ind w:left="1418" w:hanging="284"/>
        <w:rPr>
          <w:rFonts w:ascii="Arial" w:eastAsia="Arial" w:hAnsi="Arial"/>
          <w:bCs/>
          <w:sz w:val="22"/>
          <w:szCs w:val="22"/>
          <w:lang w:val="es-CR"/>
        </w:rPr>
      </w:pPr>
    </w:p>
    <w:p w14:paraId="36F91BCA" w14:textId="77777777" w:rsidR="004741D6" w:rsidRPr="005604C1" w:rsidRDefault="004741D6">
      <w:pPr>
        <w:pStyle w:val="Prrafodelista"/>
        <w:numPr>
          <w:ilvl w:val="0"/>
          <w:numId w:val="91"/>
        </w:numPr>
        <w:tabs>
          <w:tab w:val="left" w:pos="1099"/>
        </w:tabs>
        <w:spacing w:line="237" w:lineRule="auto"/>
        <w:ind w:left="1418" w:right="260" w:hanging="284"/>
        <w:jc w:val="both"/>
        <w:rPr>
          <w:rFonts w:ascii="Arial" w:eastAsia="Arial" w:hAnsi="Arial"/>
          <w:bCs/>
          <w:sz w:val="22"/>
          <w:szCs w:val="22"/>
          <w:lang w:val="es-CR"/>
        </w:rPr>
      </w:pPr>
      <w:r w:rsidRPr="005604C1">
        <w:rPr>
          <w:rFonts w:ascii="Arial" w:eastAsia="Arial" w:hAnsi="Arial"/>
          <w:bCs/>
          <w:sz w:val="22"/>
          <w:szCs w:val="22"/>
          <w:lang w:val="es-CR"/>
        </w:rPr>
        <w:t>Los activos intangibles que no cumplan con los requisitos de identificabilidad, control sobre el recurso en cuestión y existencia de beneficios económicos o potencial de servicios futuros.</w:t>
      </w:r>
    </w:p>
    <w:p w14:paraId="1726DAA9" w14:textId="77777777" w:rsidR="004741D6" w:rsidRDefault="004741D6" w:rsidP="004741D6">
      <w:pPr>
        <w:spacing w:line="238" w:lineRule="auto"/>
        <w:ind w:left="1134" w:right="260" w:hanging="1134"/>
        <w:jc w:val="both"/>
        <w:rPr>
          <w:rFonts w:ascii="Arial" w:eastAsia="Arial" w:hAnsi="Arial"/>
          <w:b/>
          <w:sz w:val="22"/>
          <w:szCs w:val="22"/>
          <w:lang w:val="es-CR"/>
        </w:rPr>
      </w:pPr>
    </w:p>
    <w:p w14:paraId="489F33A0"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8921" w:type="dxa"/>
        <w:tblLook w:val="04A0" w:firstRow="1" w:lastRow="0" w:firstColumn="1" w:lastColumn="0" w:noHBand="0" w:noVBand="1"/>
      </w:tblPr>
      <w:tblGrid>
        <w:gridCol w:w="561"/>
        <w:gridCol w:w="517"/>
        <w:gridCol w:w="540"/>
        <w:gridCol w:w="3050"/>
        <w:gridCol w:w="2552"/>
        <w:gridCol w:w="1701"/>
      </w:tblGrid>
      <w:tr w:rsidR="004741D6" w:rsidRPr="0029501F" w14:paraId="1D9891EE" w14:textId="77777777" w:rsidTr="00D16719">
        <w:trPr>
          <w:trHeight w:val="320"/>
        </w:trPr>
        <w:tc>
          <w:tcPr>
            <w:tcW w:w="161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E8C5DBD" w14:textId="77777777" w:rsidR="004741D6" w:rsidRPr="0029501F" w:rsidRDefault="004741D6" w:rsidP="00D16719">
            <w:pPr>
              <w:jc w:val="center"/>
              <w:rPr>
                <w:rFonts w:ascii="Arial Narrow" w:eastAsia="Times New Roman" w:hAnsi="Arial Narrow"/>
                <w:b/>
                <w:bCs/>
                <w:color w:val="FFFFFF"/>
                <w:sz w:val="22"/>
                <w:szCs w:val="22"/>
              </w:rPr>
            </w:pPr>
            <w:r w:rsidRPr="0029501F">
              <w:rPr>
                <w:rFonts w:ascii="Arial Narrow" w:eastAsia="Times New Roman" w:hAnsi="Arial Narrow"/>
                <w:b/>
                <w:bCs/>
                <w:color w:val="FFFFFF"/>
                <w:sz w:val="22"/>
                <w:szCs w:val="22"/>
              </w:rPr>
              <w:t>Norma / Política</w:t>
            </w:r>
          </w:p>
        </w:tc>
        <w:tc>
          <w:tcPr>
            <w:tcW w:w="305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9F4E29F" w14:textId="77777777" w:rsidR="004741D6" w:rsidRPr="0029501F" w:rsidRDefault="004741D6" w:rsidP="00D16719">
            <w:pPr>
              <w:jc w:val="center"/>
              <w:rPr>
                <w:rFonts w:ascii="Arial Narrow" w:eastAsia="Times New Roman" w:hAnsi="Arial Narrow"/>
                <w:b/>
                <w:bCs/>
                <w:color w:val="FFFFFF"/>
                <w:sz w:val="22"/>
                <w:szCs w:val="22"/>
              </w:rPr>
            </w:pPr>
            <w:r w:rsidRPr="0029501F">
              <w:rPr>
                <w:rFonts w:ascii="Arial Narrow" w:eastAsia="Times New Roman" w:hAnsi="Arial Narrow"/>
                <w:b/>
                <w:bCs/>
                <w:color w:val="FFFFFF"/>
                <w:sz w:val="22"/>
                <w:szCs w:val="22"/>
              </w:rPr>
              <w:t>Concepto</w:t>
            </w:r>
          </w:p>
        </w:tc>
        <w:tc>
          <w:tcPr>
            <w:tcW w:w="4253" w:type="dxa"/>
            <w:gridSpan w:val="2"/>
            <w:tcBorders>
              <w:top w:val="single" w:sz="8" w:space="0" w:color="auto"/>
              <w:left w:val="nil"/>
              <w:bottom w:val="single" w:sz="8" w:space="0" w:color="auto"/>
              <w:right w:val="single" w:sz="8" w:space="0" w:color="000000"/>
            </w:tcBorders>
            <w:shd w:val="clear" w:color="000000" w:fill="203764"/>
            <w:vAlign w:val="center"/>
            <w:hideMark/>
          </w:tcPr>
          <w:p w14:paraId="12A6A1C4" w14:textId="77777777" w:rsidR="004741D6" w:rsidRPr="0029501F" w:rsidRDefault="004741D6" w:rsidP="00D16719">
            <w:pPr>
              <w:jc w:val="center"/>
              <w:rPr>
                <w:rFonts w:ascii="Arial Narrow" w:eastAsia="Times New Roman" w:hAnsi="Arial Narrow"/>
                <w:b/>
                <w:bCs/>
                <w:color w:val="FFFFFF"/>
                <w:sz w:val="22"/>
                <w:szCs w:val="22"/>
              </w:rPr>
            </w:pPr>
            <w:r w:rsidRPr="0029501F">
              <w:rPr>
                <w:rFonts w:ascii="Arial Narrow" w:eastAsia="Times New Roman" w:hAnsi="Arial Narrow"/>
                <w:b/>
                <w:bCs/>
                <w:color w:val="FFFFFF"/>
                <w:sz w:val="22"/>
                <w:szCs w:val="22"/>
              </w:rPr>
              <w:t>Referencia</w:t>
            </w:r>
          </w:p>
        </w:tc>
      </w:tr>
      <w:tr w:rsidR="004741D6" w:rsidRPr="006E5442" w14:paraId="21146480" w14:textId="77777777" w:rsidTr="00D16719">
        <w:trPr>
          <w:trHeight w:val="992"/>
        </w:trPr>
        <w:tc>
          <w:tcPr>
            <w:tcW w:w="1618" w:type="dxa"/>
            <w:gridSpan w:val="3"/>
            <w:vMerge/>
            <w:tcBorders>
              <w:top w:val="single" w:sz="8" w:space="0" w:color="auto"/>
              <w:left w:val="single" w:sz="8" w:space="0" w:color="auto"/>
              <w:bottom w:val="nil"/>
              <w:right w:val="single" w:sz="8" w:space="0" w:color="000000"/>
            </w:tcBorders>
            <w:vAlign w:val="center"/>
            <w:hideMark/>
          </w:tcPr>
          <w:p w14:paraId="01231402" w14:textId="77777777" w:rsidR="004741D6" w:rsidRPr="0029501F" w:rsidRDefault="004741D6" w:rsidP="00D16719">
            <w:pPr>
              <w:rPr>
                <w:rFonts w:ascii="Arial Narrow" w:eastAsia="Times New Roman" w:hAnsi="Arial Narrow"/>
                <w:b/>
                <w:bCs/>
                <w:color w:val="FFFFFF"/>
                <w:sz w:val="22"/>
                <w:szCs w:val="22"/>
              </w:rPr>
            </w:pPr>
          </w:p>
        </w:tc>
        <w:tc>
          <w:tcPr>
            <w:tcW w:w="3050" w:type="dxa"/>
            <w:vMerge/>
            <w:tcBorders>
              <w:top w:val="single" w:sz="8" w:space="0" w:color="auto"/>
              <w:left w:val="single" w:sz="8" w:space="0" w:color="auto"/>
              <w:bottom w:val="nil"/>
              <w:right w:val="single" w:sz="8" w:space="0" w:color="auto"/>
            </w:tcBorders>
            <w:vAlign w:val="center"/>
            <w:hideMark/>
          </w:tcPr>
          <w:p w14:paraId="39C33B36" w14:textId="77777777" w:rsidR="004741D6" w:rsidRPr="0029501F"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11C36016" w14:textId="77777777" w:rsidR="004741D6" w:rsidRPr="0029501F" w:rsidRDefault="004741D6" w:rsidP="00D16719">
            <w:pPr>
              <w:jc w:val="center"/>
              <w:rPr>
                <w:rFonts w:ascii="Arial Narrow" w:eastAsia="Times New Roman" w:hAnsi="Arial Narrow"/>
                <w:b/>
                <w:bCs/>
                <w:color w:val="FFFFFF"/>
                <w:sz w:val="22"/>
                <w:szCs w:val="22"/>
              </w:rPr>
            </w:pPr>
            <w:r w:rsidRPr="0029501F">
              <w:rPr>
                <w:rFonts w:ascii="Arial Narrow" w:eastAsia="Times New Roman" w:hAnsi="Arial Narrow"/>
                <w:b/>
                <w:bCs/>
                <w:color w:val="FFFFFF"/>
                <w:sz w:val="22"/>
                <w:szCs w:val="22"/>
              </w:rPr>
              <w:t>Norma</w:t>
            </w:r>
          </w:p>
        </w:tc>
        <w:tc>
          <w:tcPr>
            <w:tcW w:w="1701" w:type="dxa"/>
            <w:tcBorders>
              <w:top w:val="nil"/>
              <w:left w:val="nil"/>
              <w:bottom w:val="nil"/>
              <w:right w:val="single" w:sz="8" w:space="0" w:color="auto"/>
            </w:tcBorders>
            <w:shd w:val="clear" w:color="000000" w:fill="203764"/>
            <w:vAlign w:val="center"/>
            <w:hideMark/>
          </w:tcPr>
          <w:p w14:paraId="0F49E64A" w14:textId="77777777" w:rsidR="004741D6" w:rsidRPr="0029501F" w:rsidRDefault="004741D6" w:rsidP="00D16719">
            <w:pPr>
              <w:jc w:val="center"/>
              <w:rPr>
                <w:rFonts w:ascii="Arial Narrow" w:eastAsia="Times New Roman" w:hAnsi="Arial Narrow"/>
                <w:b/>
                <w:bCs/>
                <w:color w:val="FFFFFF"/>
                <w:sz w:val="22"/>
                <w:szCs w:val="22"/>
                <w:lang w:val="es-CR"/>
              </w:rPr>
            </w:pPr>
            <w:r w:rsidRPr="0029501F">
              <w:rPr>
                <w:rFonts w:ascii="Arial Narrow" w:eastAsia="Times New Roman" w:hAnsi="Arial Narrow"/>
                <w:b/>
                <w:bCs/>
                <w:color w:val="FFFFFF"/>
                <w:sz w:val="22"/>
                <w:szCs w:val="22"/>
                <w:lang w:val="es-CR"/>
              </w:rPr>
              <w:t>Normativa técnica y disposiciones adicionales</w:t>
            </w:r>
          </w:p>
        </w:tc>
      </w:tr>
      <w:tr w:rsidR="004741D6" w:rsidRPr="0029501F" w14:paraId="41CB3E7F" w14:textId="77777777" w:rsidTr="00D16719">
        <w:trPr>
          <w:trHeight w:val="712"/>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603E25" w14:textId="77777777" w:rsidR="004741D6" w:rsidRPr="0029501F" w:rsidRDefault="004741D6" w:rsidP="00D16719">
            <w:pPr>
              <w:jc w:val="center"/>
              <w:rPr>
                <w:rFonts w:ascii="Arial Narrow" w:eastAsia="Times New Roman" w:hAnsi="Arial Narrow"/>
                <w:b/>
                <w:bCs/>
                <w:color w:val="000000"/>
                <w:sz w:val="22"/>
                <w:szCs w:val="22"/>
              </w:rPr>
            </w:pPr>
            <w:r w:rsidRPr="0029501F">
              <w:rPr>
                <w:rFonts w:ascii="Arial Narrow" w:eastAsia="Times New Roman" w:hAnsi="Arial Narrow"/>
                <w:b/>
                <w:bCs/>
                <w:color w:val="000000"/>
                <w:sz w:val="22"/>
                <w:szCs w:val="22"/>
                <w:lang w:val="es-CR"/>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553CDB65" w14:textId="77777777" w:rsidR="004741D6" w:rsidRPr="0029501F" w:rsidRDefault="004741D6" w:rsidP="00D16719">
            <w:pPr>
              <w:jc w:val="center"/>
              <w:rPr>
                <w:rFonts w:ascii="Arial Narrow" w:eastAsia="Times New Roman" w:hAnsi="Arial Narrow"/>
                <w:b/>
                <w:bCs/>
                <w:color w:val="000000"/>
                <w:sz w:val="22"/>
                <w:szCs w:val="22"/>
              </w:rPr>
            </w:pPr>
            <w:r w:rsidRPr="0029501F">
              <w:rPr>
                <w:rFonts w:ascii="Arial Narrow" w:eastAsia="Times New Roman" w:hAnsi="Arial Narrow"/>
                <w:b/>
                <w:bCs/>
                <w:color w:val="000000"/>
                <w:sz w:val="22"/>
                <w:szCs w:val="22"/>
              </w:rPr>
              <w:t>229</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1AB9963F" w14:textId="77777777" w:rsidR="004741D6" w:rsidRPr="0029501F" w:rsidRDefault="004741D6" w:rsidP="00D16719">
            <w:pPr>
              <w:jc w:val="center"/>
              <w:rPr>
                <w:rFonts w:ascii="Arial Narrow" w:eastAsia="Times New Roman" w:hAnsi="Arial Narrow"/>
                <w:b/>
                <w:bCs/>
                <w:color w:val="000000"/>
                <w:sz w:val="22"/>
                <w:szCs w:val="22"/>
              </w:rPr>
            </w:pPr>
            <w:r w:rsidRPr="0029501F">
              <w:rPr>
                <w:rFonts w:ascii="Arial Narrow" w:eastAsia="Times New Roman" w:hAnsi="Arial Narrow"/>
                <w:b/>
                <w:bCs/>
                <w:color w:val="000000"/>
                <w:sz w:val="22"/>
                <w:szCs w:val="22"/>
                <w:lang w:val="es-CR"/>
              </w:rPr>
              <w:t> </w:t>
            </w:r>
          </w:p>
        </w:tc>
        <w:tc>
          <w:tcPr>
            <w:tcW w:w="3050" w:type="dxa"/>
            <w:tcBorders>
              <w:top w:val="single" w:sz="8" w:space="0" w:color="auto"/>
              <w:left w:val="nil"/>
              <w:bottom w:val="single" w:sz="8" w:space="0" w:color="auto"/>
              <w:right w:val="single" w:sz="8" w:space="0" w:color="auto"/>
            </w:tcBorders>
            <w:shd w:val="clear" w:color="auto" w:fill="auto"/>
            <w:vAlign w:val="center"/>
            <w:hideMark/>
          </w:tcPr>
          <w:p w14:paraId="5CC5BF95" w14:textId="77777777" w:rsidR="004741D6" w:rsidRPr="0029501F" w:rsidRDefault="004741D6" w:rsidP="00D16719">
            <w:pPr>
              <w:rPr>
                <w:rFonts w:ascii="Arial Narrow" w:eastAsia="Times New Roman" w:hAnsi="Arial Narrow"/>
                <w:b/>
                <w:bCs/>
                <w:color w:val="000000"/>
                <w:sz w:val="22"/>
                <w:szCs w:val="22"/>
                <w:lang w:val="es-CR"/>
              </w:rPr>
            </w:pPr>
            <w:r w:rsidRPr="0029501F">
              <w:rPr>
                <w:rFonts w:ascii="Arial Narrow" w:eastAsia="Times New Roman" w:hAnsi="Arial Narrow"/>
                <w:b/>
                <w:bCs/>
                <w:color w:val="000000"/>
                <w:sz w:val="22"/>
                <w:szCs w:val="22"/>
                <w:lang w:val="es-CR"/>
              </w:rPr>
              <w:t>Activos Intangibles tratados por otras Normas</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20ACE236" w14:textId="77777777" w:rsidR="00F7162E" w:rsidRDefault="004741D6" w:rsidP="00F7162E">
            <w:pPr>
              <w:jc w:val="both"/>
              <w:rPr>
                <w:rFonts w:ascii="Arial Narrow" w:eastAsia="Times New Roman" w:hAnsi="Arial Narrow"/>
                <w:b/>
                <w:bCs/>
                <w:color w:val="000000"/>
                <w:sz w:val="22"/>
                <w:szCs w:val="22"/>
                <w:lang w:val="es-CR"/>
              </w:rPr>
            </w:pPr>
            <w:r w:rsidRPr="0029501F">
              <w:rPr>
                <w:rFonts w:ascii="Arial Narrow" w:eastAsia="Times New Roman" w:hAnsi="Arial Narrow"/>
                <w:b/>
                <w:bCs/>
                <w:color w:val="000000"/>
                <w:sz w:val="22"/>
                <w:szCs w:val="22"/>
                <w:lang w:val="es-CR"/>
              </w:rPr>
              <w:t>NICSP N° 31,</w:t>
            </w:r>
          </w:p>
          <w:p w14:paraId="2953A906" w14:textId="236EFF19" w:rsidR="004741D6" w:rsidRPr="0029501F" w:rsidRDefault="004741D6" w:rsidP="00F7162E">
            <w:pPr>
              <w:jc w:val="both"/>
              <w:rPr>
                <w:rFonts w:ascii="Arial Narrow" w:eastAsia="Times New Roman" w:hAnsi="Arial Narrow"/>
                <w:b/>
                <w:bCs/>
                <w:color w:val="000000"/>
                <w:sz w:val="22"/>
                <w:szCs w:val="22"/>
              </w:rPr>
            </w:pPr>
            <w:r w:rsidRPr="0029501F">
              <w:rPr>
                <w:rFonts w:ascii="Arial Narrow" w:eastAsia="Times New Roman" w:hAnsi="Arial Narrow"/>
                <w:b/>
                <w:bCs/>
                <w:color w:val="000000"/>
                <w:sz w:val="22"/>
                <w:szCs w:val="22"/>
                <w:lang w:val="es-CR"/>
              </w:rPr>
              <w:t>Párrafos 3 y 8.</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9880241" w14:textId="77777777" w:rsidR="004741D6" w:rsidRPr="0029501F" w:rsidRDefault="004741D6" w:rsidP="00D16719">
            <w:pPr>
              <w:jc w:val="center"/>
              <w:rPr>
                <w:rFonts w:ascii="Arial Narrow" w:eastAsia="Times New Roman" w:hAnsi="Arial Narrow"/>
                <w:b/>
                <w:bCs/>
                <w:color w:val="000000"/>
                <w:sz w:val="22"/>
                <w:szCs w:val="22"/>
              </w:rPr>
            </w:pPr>
            <w:r w:rsidRPr="0029501F">
              <w:rPr>
                <w:rFonts w:ascii="Arial Narrow" w:eastAsia="Times New Roman" w:hAnsi="Arial Narrow"/>
                <w:b/>
                <w:bCs/>
                <w:color w:val="000000"/>
                <w:sz w:val="22"/>
                <w:szCs w:val="22"/>
              </w:rPr>
              <w:t> </w:t>
            </w:r>
          </w:p>
        </w:tc>
      </w:tr>
    </w:tbl>
    <w:p w14:paraId="2D296189" w14:textId="77777777" w:rsidR="004741D6" w:rsidRDefault="004741D6" w:rsidP="004741D6">
      <w:pPr>
        <w:spacing w:line="238" w:lineRule="auto"/>
        <w:ind w:left="1134" w:right="260" w:hanging="1134"/>
        <w:jc w:val="both"/>
        <w:rPr>
          <w:rFonts w:ascii="Arial" w:eastAsia="Arial" w:hAnsi="Arial"/>
          <w:b/>
          <w:sz w:val="22"/>
          <w:szCs w:val="22"/>
          <w:lang w:val="es-CR"/>
        </w:rPr>
      </w:pPr>
    </w:p>
    <w:p w14:paraId="6EFDB0F3" w14:textId="54958366" w:rsidR="00651532" w:rsidRDefault="00651532"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287D4427" w14:textId="77777777" w:rsidR="00651532" w:rsidRDefault="00651532" w:rsidP="004741D6">
      <w:pPr>
        <w:spacing w:line="238" w:lineRule="auto"/>
        <w:ind w:left="1134" w:right="260" w:hanging="1134"/>
        <w:jc w:val="both"/>
        <w:rPr>
          <w:rFonts w:ascii="Arial" w:eastAsia="Arial" w:hAnsi="Arial"/>
          <w:b/>
          <w:sz w:val="22"/>
          <w:szCs w:val="22"/>
          <w:lang w:val="es-CR"/>
        </w:rPr>
      </w:pPr>
    </w:p>
    <w:p w14:paraId="278F7E9E" w14:textId="2F90FF82"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1.229.0.01</w:t>
      </w:r>
      <w:r>
        <w:rPr>
          <w:rFonts w:ascii="Arial" w:eastAsia="Arial" w:hAnsi="Arial"/>
          <w:bCs/>
          <w:sz w:val="22"/>
          <w:szCs w:val="22"/>
          <w:lang w:val="es-CR"/>
        </w:rPr>
        <w:tab/>
      </w:r>
      <w:r w:rsidRPr="008B0DB2">
        <w:rPr>
          <w:rFonts w:ascii="Arial" w:eastAsia="Arial" w:hAnsi="Arial"/>
          <w:bCs/>
          <w:sz w:val="22"/>
          <w:szCs w:val="22"/>
          <w:lang w:val="es-CR"/>
        </w:rPr>
        <w:t xml:space="preserve">En el caso de que la </w:t>
      </w:r>
      <w:r w:rsidR="000F29DC">
        <w:rPr>
          <w:rFonts w:ascii="Arial" w:eastAsia="Arial" w:hAnsi="Arial"/>
          <w:bCs/>
          <w:sz w:val="22"/>
          <w:szCs w:val="22"/>
          <w:lang w:val="es-CR"/>
        </w:rPr>
        <w:t>MBA</w:t>
      </w:r>
      <w:r w:rsidRPr="008B0DB2">
        <w:rPr>
          <w:rFonts w:ascii="Arial" w:eastAsia="Arial" w:hAnsi="Arial"/>
          <w:bCs/>
          <w:sz w:val="22"/>
          <w:szCs w:val="22"/>
          <w:lang w:val="es-CR"/>
        </w:rPr>
        <w:t xml:space="preserve"> tenga un activo intangible cubierto por otra NICSP</w:t>
      </w:r>
      <w:r>
        <w:rPr>
          <w:rFonts w:ascii="Arial" w:eastAsia="Arial" w:hAnsi="Arial"/>
          <w:bCs/>
          <w:sz w:val="22"/>
          <w:szCs w:val="22"/>
          <w:lang w:val="es-CR"/>
        </w:rPr>
        <w:t>,</w:t>
      </w:r>
      <w:r w:rsidRPr="008B0DB2">
        <w:rPr>
          <w:rFonts w:ascii="Arial" w:eastAsia="Arial" w:hAnsi="Arial"/>
          <w:bCs/>
          <w:sz w:val="22"/>
          <w:szCs w:val="22"/>
          <w:lang w:val="es-CR"/>
        </w:rPr>
        <w:t xml:space="preserve"> no se aplicará esta Norma,</w:t>
      </w:r>
      <w:r>
        <w:rPr>
          <w:rFonts w:ascii="Arial" w:eastAsia="Arial" w:hAnsi="Arial"/>
          <w:bCs/>
          <w:sz w:val="22"/>
          <w:szCs w:val="22"/>
          <w:lang w:val="es-CR"/>
        </w:rPr>
        <w:t xml:space="preserve"> sino la que corresponda de acuerdo con el tema de que se trate, por ejemplo:</w:t>
      </w:r>
    </w:p>
    <w:p w14:paraId="671BE8ED" w14:textId="77777777" w:rsidR="00F7162E" w:rsidRDefault="00F7162E" w:rsidP="004741D6">
      <w:pPr>
        <w:spacing w:line="236" w:lineRule="auto"/>
        <w:ind w:left="1134" w:right="280" w:hanging="1134"/>
        <w:jc w:val="both"/>
        <w:rPr>
          <w:rFonts w:ascii="Arial" w:eastAsia="Arial" w:hAnsi="Arial"/>
          <w:bCs/>
          <w:sz w:val="22"/>
          <w:szCs w:val="22"/>
          <w:lang w:val="es-CR"/>
        </w:rPr>
      </w:pPr>
    </w:p>
    <w:p w14:paraId="46F92F91" w14:textId="51517364" w:rsidR="004741D6" w:rsidRPr="00252724" w:rsidRDefault="004741D6">
      <w:pPr>
        <w:pStyle w:val="Prrafodelista"/>
        <w:numPr>
          <w:ilvl w:val="0"/>
          <w:numId w:val="92"/>
        </w:numPr>
        <w:spacing w:after="120"/>
        <w:ind w:left="1418" w:right="278" w:hanging="284"/>
        <w:contextualSpacing w:val="0"/>
        <w:jc w:val="both"/>
        <w:rPr>
          <w:rFonts w:ascii="Arial" w:eastAsia="Arial" w:hAnsi="Arial"/>
          <w:bCs/>
          <w:sz w:val="22"/>
          <w:szCs w:val="22"/>
          <w:lang w:val="es-CR"/>
        </w:rPr>
      </w:pPr>
      <w:r w:rsidRPr="00252724">
        <w:rPr>
          <w:rFonts w:ascii="Arial" w:eastAsia="Arial" w:hAnsi="Arial"/>
          <w:bCs/>
          <w:sz w:val="22"/>
          <w:szCs w:val="22"/>
          <w:lang w:val="es-CR"/>
        </w:rPr>
        <w:t xml:space="preserve">Un activo intangible </w:t>
      </w:r>
      <w:r>
        <w:rPr>
          <w:rFonts w:ascii="Arial" w:eastAsia="Arial" w:hAnsi="Arial"/>
          <w:bCs/>
          <w:sz w:val="22"/>
          <w:szCs w:val="22"/>
          <w:lang w:val="es-CR"/>
        </w:rPr>
        <w:t xml:space="preserve">recibido </w:t>
      </w:r>
      <w:r w:rsidRPr="00252724">
        <w:rPr>
          <w:rFonts w:ascii="Arial" w:eastAsia="Arial" w:hAnsi="Arial"/>
          <w:bCs/>
          <w:sz w:val="22"/>
          <w:szCs w:val="22"/>
          <w:lang w:val="es-CR"/>
        </w:rPr>
        <w:t>para ser traspasado a otra entidad</w:t>
      </w:r>
      <w:r w:rsidR="00F7162E">
        <w:rPr>
          <w:rFonts w:ascii="Arial" w:eastAsia="Arial" w:hAnsi="Arial"/>
          <w:bCs/>
          <w:sz w:val="22"/>
          <w:szCs w:val="22"/>
          <w:lang w:val="es-CR"/>
        </w:rPr>
        <w:t xml:space="preserve"> </w:t>
      </w:r>
      <w:r w:rsidRPr="00252724">
        <w:rPr>
          <w:rFonts w:ascii="Arial" w:eastAsia="Arial" w:hAnsi="Arial"/>
          <w:bCs/>
          <w:sz w:val="22"/>
          <w:szCs w:val="22"/>
          <w:lang w:val="es-CR"/>
        </w:rPr>
        <w:t xml:space="preserve">NICSP </w:t>
      </w:r>
      <w:r>
        <w:rPr>
          <w:rFonts w:ascii="Arial" w:eastAsia="Arial" w:hAnsi="Arial"/>
          <w:bCs/>
          <w:sz w:val="22"/>
          <w:szCs w:val="22"/>
          <w:lang w:val="es-CR"/>
        </w:rPr>
        <w:t>23</w:t>
      </w:r>
    </w:p>
    <w:p w14:paraId="60A2A20B" w14:textId="4171E584" w:rsidR="004741D6" w:rsidRPr="00252724" w:rsidRDefault="004741D6">
      <w:pPr>
        <w:pStyle w:val="Prrafodelista"/>
        <w:numPr>
          <w:ilvl w:val="0"/>
          <w:numId w:val="92"/>
        </w:numPr>
        <w:spacing w:line="236" w:lineRule="auto"/>
        <w:ind w:left="1418" w:right="280" w:hanging="284"/>
        <w:jc w:val="both"/>
        <w:rPr>
          <w:rFonts w:ascii="Arial" w:eastAsia="Arial" w:hAnsi="Arial"/>
          <w:bCs/>
          <w:sz w:val="22"/>
          <w:szCs w:val="22"/>
          <w:lang w:val="es-CR"/>
        </w:rPr>
      </w:pPr>
      <w:r w:rsidRPr="00252724">
        <w:rPr>
          <w:rFonts w:ascii="Arial" w:eastAsia="Arial" w:hAnsi="Arial"/>
          <w:bCs/>
          <w:sz w:val="22"/>
          <w:szCs w:val="22"/>
          <w:lang w:val="es-CR"/>
        </w:rPr>
        <w:t>Un activo intangible bajo arrendamiento operativo</w:t>
      </w:r>
      <w:r w:rsidR="00F7162E">
        <w:rPr>
          <w:rFonts w:ascii="Arial" w:eastAsia="Arial" w:hAnsi="Arial"/>
          <w:bCs/>
          <w:sz w:val="22"/>
          <w:szCs w:val="22"/>
          <w:lang w:val="es-CR"/>
        </w:rPr>
        <w:t xml:space="preserve"> </w:t>
      </w:r>
      <w:r w:rsidRPr="00252724">
        <w:rPr>
          <w:rFonts w:ascii="Arial" w:eastAsia="Arial" w:hAnsi="Arial"/>
          <w:bCs/>
          <w:sz w:val="22"/>
          <w:szCs w:val="22"/>
          <w:lang w:val="es-CR"/>
        </w:rPr>
        <w:t>NICSP 13</w:t>
      </w:r>
    </w:p>
    <w:p w14:paraId="5A2F6E11" w14:textId="77777777" w:rsidR="004741D6" w:rsidRDefault="004741D6" w:rsidP="004741D6">
      <w:pPr>
        <w:spacing w:line="238" w:lineRule="auto"/>
        <w:ind w:left="1134" w:right="260" w:hanging="1134"/>
        <w:jc w:val="both"/>
        <w:rPr>
          <w:rFonts w:ascii="Arial" w:eastAsia="Arial" w:hAnsi="Arial"/>
          <w:b/>
          <w:sz w:val="22"/>
          <w:szCs w:val="22"/>
          <w:lang w:val="es-CR"/>
        </w:rPr>
      </w:pPr>
    </w:p>
    <w:p w14:paraId="689E557E" w14:textId="77777777" w:rsidR="004741D6" w:rsidRPr="00F02F9D" w:rsidRDefault="004741D6" w:rsidP="004741D6">
      <w:pPr>
        <w:spacing w:line="238" w:lineRule="auto"/>
        <w:ind w:right="260"/>
        <w:jc w:val="both"/>
        <w:rPr>
          <w:rFonts w:ascii="Arial" w:eastAsia="Arial" w:hAnsi="Arial"/>
          <w:b/>
          <w:sz w:val="22"/>
          <w:szCs w:val="22"/>
          <w:lang w:val="es-CR"/>
        </w:rPr>
      </w:pPr>
    </w:p>
    <w:tbl>
      <w:tblPr>
        <w:tblW w:w="9062" w:type="dxa"/>
        <w:tblLook w:val="04A0" w:firstRow="1" w:lastRow="0" w:firstColumn="1" w:lastColumn="0" w:noHBand="0" w:noVBand="1"/>
      </w:tblPr>
      <w:tblGrid>
        <w:gridCol w:w="538"/>
        <w:gridCol w:w="552"/>
        <w:gridCol w:w="517"/>
        <w:gridCol w:w="3061"/>
        <w:gridCol w:w="2552"/>
        <w:gridCol w:w="1842"/>
      </w:tblGrid>
      <w:tr w:rsidR="004741D6" w:rsidRPr="00F55851" w14:paraId="6279D8DC" w14:textId="77777777" w:rsidTr="00D16719">
        <w:trPr>
          <w:trHeight w:val="320"/>
        </w:trPr>
        <w:tc>
          <w:tcPr>
            <w:tcW w:w="160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D42C261" w14:textId="77777777" w:rsidR="004741D6" w:rsidRPr="00F55851" w:rsidRDefault="004741D6" w:rsidP="00D16719">
            <w:pPr>
              <w:jc w:val="center"/>
              <w:rPr>
                <w:rFonts w:ascii="Arial Narrow" w:eastAsia="Times New Roman" w:hAnsi="Arial Narrow"/>
                <w:b/>
                <w:bCs/>
                <w:color w:val="FFFFFF"/>
                <w:sz w:val="22"/>
                <w:szCs w:val="22"/>
              </w:rPr>
            </w:pPr>
            <w:r w:rsidRPr="00F55851">
              <w:rPr>
                <w:rFonts w:ascii="Arial Narrow" w:eastAsia="Times New Roman" w:hAnsi="Arial Narrow"/>
                <w:b/>
                <w:bCs/>
                <w:color w:val="FFFFFF"/>
                <w:sz w:val="22"/>
                <w:szCs w:val="22"/>
              </w:rPr>
              <w:t>Norma / Política</w:t>
            </w:r>
          </w:p>
        </w:tc>
        <w:tc>
          <w:tcPr>
            <w:tcW w:w="3061" w:type="dxa"/>
            <w:vMerge w:val="restart"/>
            <w:tcBorders>
              <w:top w:val="single" w:sz="8" w:space="0" w:color="auto"/>
              <w:left w:val="single" w:sz="8" w:space="0" w:color="auto"/>
              <w:bottom w:val="nil"/>
              <w:right w:val="single" w:sz="8" w:space="0" w:color="auto"/>
            </w:tcBorders>
            <w:shd w:val="clear" w:color="000000" w:fill="203764"/>
            <w:vAlign w:val="center"/>
            <w:hideMark/>
          </w:tcPr>
          <w:p w14:paraId="2527C387" w14:textId="77777777" w:rsidR="004741D6" w:rsidRPr="00F55851" w:rsidRDefault="004741D6" w:rsidP="00D16719">
            <w:pPr>
              <w:jc w:val="center"/>
              <w:rPr>
                <w:rFonts w:ascii="Arial Narrow" w:eastAsia="Times New Roman" w:hAnsi="Arial Narrow"/>
                <w:b/>
                <w:bCs/>
                <w:color w:val="FFFFFF"/>
                <w:sz w:val="22"/>
                <w:szCs w:val="22"/>
              </w:rPr>
            </w:pPr>
            <w:r w:rsidRPr="00F55851">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0184E60B" w14:textId="77777777" w:rsidR="004741D6" w:rsidRPr="00F55851" w:rsidRDefault="004741D6" w:rsidP="00D16719">
            <w:pPr>
              <w:jc w:val="center"/>
              <w:rPr>
                <w:rFonts w:ascii="Arial Narrow" w:eastAsia="Times New Roman" w:hAnsi="Arial Narrow"/>
                <w:b/>
                <w:bCs/>
                <w:color w:val="FFFFFF"/>
                <w:sz w:val="22"/>
                <w:szCs w:val="22"/>
              </w:rPr>
            </w:pPr>
            <w:r w:rsidRPr="00F55851">
              <w:rPr>
                <w:rFonts w:ascii="Arial Narrow" w:eastAsia="Times New Roman" w:hAnsi="Arial Narrow"/>
                <w:b/>
                <w:bCs/>
                <w:color w:val="FFFFFF"/>
                <w:sz w:val="22"/>
                <w:szCs w:val="22"/>
              </w:rPr>
              <w:t>Referencia</w:t>
            </w:r>
          </w:p>
        </w:tc>
      </w:tr>
      <w:tr w:rsidR="004741D6" w:rsidRPr="006E5442" w14:paraId="5C6F7E55" w14:textId="77777777" w:rsidTr="00D16719">
        <w:trPr>
          <w:trHeight w:val="1240"/>
        </w:trPr>
        <w:tc>
          <w:tcPr>
            <w:tcW w:w="1607" w:type="dxa"/>
            <w:gridSpan w:val="3"/>
            <w:vMerge/>
            <w:tcBorders>
              <w:top w:val="single" w:sz="8" w:space="0" w:color="auto"/>
              <w:left w:val="single" w:sz="8" w:space="0" w:color="auto"/>
              <w:bottom w:val="nil"/>
              <w:right w:val="single" w:sz="8" w:space="0" w:color="000000"/>
            </w:tcBorders>
            <w:vAlign w:val="center"/>
            <w:hideMark/>
          </w:tcPr>
          <w:p w14:paraId="778157D8" w14:textId="77777777" w:rsidR="004741D6" w:rsidRPr="00F55851" w:rsidRDefault="004741D6" w:rsidP="00D16719">
            <w:pPr>
              <w:rPr>
                <w:rFonts w:ascii="Arial Narrow" w:eastAsia="Times New Roman" w:hAnsi="Arial Narrow"/>
                <w:b/>
                <w:bCs/>
                <w:color w:val="FFFFFF"/>
                <w:sz w:val="22"/>
                <w:szCs w:val="22"/>
              </w:rPr>
            </w:pPr>
          </w:p>
        </w:tc>
        <w:tc>
          <w:tcPr>
            <w:tcW w:w="3061" w:type="dxa"/>
            <w:vMerge/>
            <w:tcBorders>
              <w:top w:val="single" w:sz="8" w:space="0" w:color="auto"/>
              <w:left w:val="single" w:sz="8" w:space="0" w:color="auto"/>
              <w:bottom w:val="nil"/>
              <w:right w:val="single" w:sz="8" w:space="0" w:color="auto"/>
            </w:tcBorders>
            <w:vAlign w:val="center"/>
            <w:hideMark/>
          </w:tcPr>
          <w:p w14:paraId="381402AA" w14:textId="77777777" w:rsidR="004741D6" w:rsidRPr="00F55851"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72B6FDB6" w14:textId="77777777" w:rsidR="004741D6" w:rsidRPr="00F55851" w:rsidRDefault="004741D6" w:rsidP="00D16719">
            <w:pPr>
              <w:jc w:val="center"/>
              <w:rPr>
                <w:rFonts w:ascii="Arial Narrow" w:eastAsia="Times New Roman" w:hAnsi="Arial Narrow"/>
                <w:b/>
                <w:bCs/>
                <w:color w:val="FFFFFF"/>
                <w:sz w:val="22"/>
                <w:szCs w:val="22"/>
              </w:rPr>
            </w:pPr>
            <w:r w:rsidRPr="00F55851">
              <w:rPr>
                <w:rFonts w:ascii="Arial Narrow" w:eastAsia="Times New Roman" w:hAnsi="Arial Narrow"/>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713013AB" w14:textId="77777777" w:rsidR="004741D6" w:rsidRPr="00F55851" w:rsidRDefault="004741D6" w:rsidP="00D16719">
            <w:pPr>
              <w:jc w:val="center"/>
              <w:rPr>
                <w:rFonts w:ascii="Arial Narrow" w:eastAsia="Times New Roman" w:hAnsi="Arial Narrow"/>
                <w:b/>
                <w:bCs/>
                <w:color w:val="FFFFFF"/>
                <w:sz w:val="22"/>
                <w:szCs w:val="22"/>
                <w:lang w:val="es-CR"/>
              </w:rPr>
            </w:pPr>
            <w:r w:rsidRPr="00F55851">
              <w:rPr>
                <w:rFonts w:ascii="Arial Narrow" w:eastAsia="Times New Roman" w:hAnsi="Arial Narrow"/>
                <w:b/>
                <w:bCs/>
                <w:color w:val="FFFFFF"/>
                <w:sz w:val="22"/>
                <w:szCs w:val="22"/>
                <w:lang w:val="es-CR"/>
              </w:rPr>
              <w:t>Normativa técnica y disposiciones adicionales</w:t>
            </w:r>
          </w:p>
        </w:tc>
      </w:tr>
      <w:tr w:rsidR="004741D6" w:rsidRPr="00F55851" w14:paraId="1A1495C0" w14:textId="77777777" w:rsidTr="00D16719">
        <w:trPr>
          <w:trHeight w:val="310"/>
        </w:trPr>
        <w:tc>
          <w:tcPr>
            <w:tcW w:w="538"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3C4E5C6B" w14:textId="77777777" w:rsidR="004741D6" w:rsidRPr="00F55851" w:rsidRDefault="004741D6" w:rsidP="00D16719">
            <w:pPr>
              <w:jc w:val="right"/>
              <w:rPr>
                <w:rFonts w:ascii="Arial Narrow" w:eastAsia="Times New Roman" w:hAnsi="Arial Narrow" w:cs="Calibri"/>
                <w:b/>
                <w:bCs/>
                <w:color w:val="000000"/>
                <w:sz w:val="22"/>
                <w:szCs w:val="22"/>
              </w:rPr>
            </w:pPr>
            <w:r w:rsidRPr="00F55851">
              <w:rPr>
                <w:rFonts w:ascii="Arial Narrow" w:eastAsia="Times New Roman" w:hAnsi="Arial Narrow" w:cs="Arial Narrow"/>
                <w:b/>
                <w:bCs/>
                <w:color w:val="000000"/>
                <w:spacing w:val="-10"/>
                <w:sz w:val="22"/>
                <w:szCs w:val="22"/>
              </w:rPr>
              <w:t>1</w:t>
            </w:r>
          </w:p>
        </w:tc>
        <w:tc>
          <w:tcPr>
            <w:tcW w:w="552"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253C5109" w14:textId="77777777" w:rsidR="004741D6" w:rsidRPr="00F55851" w:rsidRDefault="004741D6" w:rsidP="00D16719">
            <w:pPr>
              <w:rPr>
                <w:rFonts w:ascii="Arial Narrow" w:eastAsia="Times New Roman" w:hAnsi="Arial Narrow" w:cs="Calibri"/>
                <w:b/>
                <w:bCs/>
                <w:color w:val="000000"/>
                <w:sz w:val="22"/>
                <w:szCs w:val="22"/>
              </w:rPr>
            </w:pPr>
            <w:r w:rsidRPr="00F55851">
              <w:rPr>
                <w:rFonts w:ascii="Arial Narrow" w:eastAsia="Times New Roman" w:hAnsi="Arial Narrow" w:cs="Arial Narrow"/>
                <w:b/>
                <w:bCs/>
                <w:color w:val="000000"/>
                <w:spacing w:val="-4"/>
                <w:sz w:val="22"/>
                <w:szCs w:val="22"/>
              </w:rPr>
              <w:t>230.</w:t>
            </w:r>
          </w:p>
        </w:tc>
        <w:tc>
          <w:tcPr>
            <w:tcW w:w="517"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15FD89C8" w14:textId="77777777" w:rsidR="004741D6" w:rsidRPr="00F55851" w:rsidRDefault="004741D6" w:rsidP="00D16719">
            <w:pPr>
              <w:rPr>
                <w:rFonts w:ascii="Arial Narrow" w:eastAsia="Times New Roman" w:hAnsi="Arial Narrow" w:cs="Times New Roman"/>
                <w:color w:val="000000"/>
                <w:sz w:val="22"/>
                <w:szCs w:val="22"/>
              </w:rPr>
            </w:pPr>
            <w:r w:rsidRPr="00F55851">
              <w:rPr>
                <w:rFonts w:ascii="Arial Narrow" w:eastAsia="Times New Roman" w:hAnsi="Arial Narrow" w:cs="Times New Roman"/>
                <w:color w:val="000000"/>
                <w:sz w:val="22"/>
                <w:szCs w:val="22"/>
              </w:rPr>
              <w:t> </w:t>
            </w:r>
          </w:p>
        </w:tc>
        <w:tc>
          <w:tcPr>
            <w:tcW w:w="3061"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3A9B8A62" w14:textId="77777777" w:rsidR="004741D6" w:rsidRPr="00F55851" w:rsidRDefault="004741D6" w:rsidP="00D16719">
            <w:pPr>
              <w:rPr>
                <w:rFonts w:ascii="Arial Narrow" w:eastAsia="Times New Roman" w:hAnsi="Arial Narrow" w:cs="Calibri"/>
                <w:b/>
                <w:bCs/>
                <w:color w:val="000000"/>
                <w:sz w:val="22"/>
                <w:szCs w:val="22"/>
              </w:rPr>
            </w:pPr>
            <w:r w:rsidRPr="00F55851">
              <w:rPr>
                <w:rFonts w:ascii="Arial Narrow" w:eastAsia="Times New Roman" w:hAnsi="Arial Narrow" w:cs="Arial Narrow"/>
                <w:b/>
                <w:bCs/>
                <w:color w:val="000000"/>
                <w:sz w:val="22"/>
                <w:szCs w:val="22"/>
              </w:rPr>
              <w:t>Formación del personal</w:t>
            </w:r>
          </w:p>
        </w:tc>
        <w:tc>
          <w:tcPr>
            <w:tcW w:w="2552" w:type="dxa"/>
            <w:tcBorders>
              <w:top w:val="nil"/>
              <w:left w:val="nil"/>
              <w:bottom w:val="nil"/>
              <w:right w:val="single" w:sz="8" w:space="0" w:color="000080"/>
            </w:tcBorders>
            <w:shd w:val="clear" w:color="auto" w:fill="auto"/>
            <w:vAlign w:val="center"/>
            <w:hideMark/>
          </w:tcPr>
          <w:p w14:paraId="7C18AB70" w14:textId="77777777" w:rsidR="004741D6" w:rsidRPr="00F55851" w:rsidRDefault="004741D6" w:rsidP="00D16719">
            <w:pPr>
              <w:rPr>
                <w:rFonts w:ascii="Arial Narrow" w:eastAsia="Times New Roman" w:hAnsi="Arial Narrow" w:cs="Calibri"/>
                <w:b/>
                <w:bCs/>
                <w:color w:val="000000"/>
                <w:sz w:val="22"/>
                <w:szCs w:val="22"/>
              </w:rPr>
            </w:pPr>
            <w:r w:rsidRPr="00F55851">
              <w:rPr>
                <w:rFonts w:ascii="Arial Narrow" w:eastAsia="Times New Roman" w:hAnsi="Arial Narrow" w:cs="Arial Narrow"/>
                <w:b/>
                <w:bCs/>
                <w:color w:val="000000"/>
                <w:sz w:val="22"/>
                <w:szCs w:val="22"/>
              </w:rPr>
              <w:t>NICSP N° 31,</w:t>
            </w:r>
          </w:p>
        </w:tc>
        <w:tc>
          <w:tcPr>
            <w:tcW w:w="1842"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5975DFB9" w14:textId="77777777" w:rsidR="004741D6" w:rsidRPr="00F55851" w:rsidRDefault="004741D6" w:rsidP="00D16719">
            <w:pPr>
              <w:rPr>
                <w:rFonts w:ascii="Arial Narrow" w:eastAsia="Times New Roman" w:hAnsi="Arial Narrow" w:cs="Calibri"/>
                <w:b/>
                <w:bCs/>
                <w:color w:val="000000"/>
                <w:sz w:val="22"/>
                <w:szCs w:val="22"/>
              </w:rPr>
            </w:pPr>
            <w:r w:rsidRPr="00F55851">
              <w:rPr>
                <w:rFonts w:ascii="Arial Narrow" w:eastAsia="Times New Roman" w:hAnsi="Arial Narrow" w:cs="Arial Narrow"/>
                <w:b/>
                <w:bCs/>
                <w:color w:val="000000"/>
                <w:spacing w:val="-4"/>
                <w:sz w:val="22"/>
                <w:szCs w:val="22"/>
              </w:rPr>
              <w:t>DGCN</w:t>
            </w:r>
          </w:p>
        </w:tc>
      </w:tr>
      <w:tr w:rsidR="004741D6" w:rsidRPr="00F55851" w14:paraId="1DAF8834" w14:textId="77777777" w:rsidTr="00D16719">
        <w:trPr>
          <w:trHeight w:val="320"/>
        </w:trPr>
        <w:tc>
          <w:tcPr>
            <w:tcW w:w="538" w:type="dxa"/>
            <w:vMerge/>
            <w:tcBorders>
              <w:top w:val="nil"/>
              <w:left w:val="single" w:sz="8" w:space="0" w:color="000080"/>
              <w:bottom w:val="single" w:sz="8" w:space="0" w:color="000000"/>
              <w:right w:val="single" w:sz="8" w:space="0" w:color="000080"/>
            </w:tcBorders>
            <w:vAlign w:val="center"/>
            <w:hideMark/>
          </w:tcPr>
          <w:p w14:paraId="22C19C8D" w14:textId="77777777" w:rsidR="004741D6" w:rsidRPr="00F55851" w:rsidRDefault="004741D6" w:rsidP="00D16719">
            <w:pPr>
              <w:rPr>
                <w:rFonts w:ascii="Arial Narrow" w:eastAsia="Times New Roman" w:hAnsi="Arial Narrow" w:cs="Calibri"/>
                <w:b/>
                <w:bCs/>
                <w:color w:val="000000"/>
              </w:rPr>
            </w:pPr>
          </w:p>
        </w:tc>
        <w:tc>
          <w:tcPr>
            <w:tcW w:w="552" w:type="dxa"/>
            <w:vMerge/>
            <w:tcBorders>
              <w:top w:val="nil"/>
              <w:left w:val="single" w:sz="8" w:space="0" w:color="000080"/>
              <w:bottom w:val="single" w:sz="8" w:space="0" w:color="000000"/>
              <w:right w:val="single" w:sz="8" w:space="0" w:color="000080"/>
            </w:tcBorders>
            <w:vAlign w:val="center"/>
            <w:hideMark/>
          </w:tcPr>
          <w:p w14:paraId="789F90BB" w14:textId="77777777" w:rsidR="004741D6" w:rsidRPr="00F55851" w:rsidRDefault="004741D6" w:rsidP="00D16719">
            <w:pPr>
              <w:rPr>
                <w:rFonts w:ascii="Arial Narrow" w:eastAsia="Times New Roman" w:hAnsi="Arial Narrow" w:cs="Calibri"/>
                <w:b/>
                <w:bCs/>
                <w:color w:val="000000"/>
              </w:rPr>
            </w:pPr>
          </w:p>
        </w:tc>
        <w:tc>
          <w:tcPr>
            <w:tcW w:w="517" w:type="dxa"/>
            <w:vMerge/>
            <w:tcBorders>
              <w:top w:val="nil"/>
              <w:left w:val="single" w:sz="8" w:space="0" w:color="000080"/>
              <w:bottom w:val="single" w:sz="8" w:space="0" w:color="000000"/>
              <w:right w:val="single" w:sz="8" w:space="0" w:color="000080"/>
            </w:tcBorders>
            <w:vAlign w:val="center"/>
            <w:hideMark/>
          </w:tcPr>
          <w:p w14:paraId="1C804907" w14:textId="77777777" w:rsidR="004741D6" w:rsidRPr="00F55851" w:rsidRDefault="004741D6" w:rsidP="00D16719">
            <w:pPr>
              <w:rPr>
                <w:rFonts w:ascii="Times New Roman" w:eastAsia="Times New Roman" w:hAnsi="Times New Roman" w:cs="Times New Roman"/>
                <w:color w:val="000000"/>
              </w:rPr>
            </w:pPr>
          </w:p>
        </w:tc>
        <w:tc>
          <w:tcPr>
            <w:tcW w:w="3061" w:type="dxa"/>
            <w:vMerge/>
            <w:tcBorders>
              <w:top w:val="nil"/>
              <w:left w:val="single" w:sz="8" w:space="0" w:color="000080"/>
              <w:bottom w:val="single" w:sz="8" w:space="0" w:color="000000"/>
              <w:right w:val="single" w:sz="8" w:space="0" w:color="000080"/>
            </w:tcBorders>
            <w:vAlign w:val="center"/>
            <w:hideMark/>
          </w:tcPr>
          <w:p w14:paraId="007E4506" w14:textId="77777777" w:rsidR="004741D6" w:rsidRPr="00F55851" w:rsidRDefault="004741D6" w:rsidP="00D16719">
            <w:pPr>
              <w:rPr>
                <w:rFonts w:ascii="Arial Narrow" w:eastAsia="Times New Roman" w:hAnsi="Arial Narrow" w:cs="Calibri"/>
                <w:b/>
                <w:bCs/>
                <w:color w:val="000000"/>
              </w:rPr>
            </w:pPr>
          </w:p>
        </w:tc>
        <w:tc>
          <w:tcPr>
            <w:tcW w:w="2552" w:type="dxa"/>
            <w:tcBorders>
              <w:top w:val="nil"/>
              <w:left w:val="nil"/>
              <w:bottom w:val="single" w:sz="8" w:space="0" w:color="000080"/>
              <w:right w:val="single" w:sz="8" w:space="0" w:color="000080"/>
            </w:tcBorders>
            <w:shd w:val="clear" w:color="auto" w:fill="auto"/>
            <w:vAlign w:val="center"/>
            <w:hideMark/>
          </w:tcPr>
          <w:p w14:paraId="072AA27E" w14:textId="77777777" w:rsidR="004741D6" w:rsidRPr="00F55851" w:rsidRDefault="004741D6" w:rsidP="00D16719">
            <w:pPr>
              <w:rPr>
                <w:rFonts w:ascii="Arial Narrow" w:eastAsia="Times New Roman" w:hAnsi="Arial Narrow" w:cs="Calibri"/>
                <w:b/>
                <w:bCs/>
                <w:color w:val="000000"/>
              </w:rPr>
            </w:pPr>
            <w:r w:rsidRPr="00F55851">
              <w:rPr>
                <w:rFonts w:ascii="Arial Narrow" w:eastAsia="Times New Roman" w:hAnsi="Arial Narrow" w:cs="Arial Narrow"/>
                <w:b/>
                <w:bCs/>
                <w:color w:val="000000"/>
              </w:rPr>
              <w:t>Párrafos 8 y 23.</w:t>
            </w:r>
          </w:p>
        </w:tc>
        <w:tc>
          <w:tcPr>
            <w:tcW w:w="1842" w:type="dxa"/>
            <w:vMerge/>
            <w:tcBorders>
              <w:top w:val="nil"/>
              <w:left w:val="single" w:sz="8" w:space="0" w:color="000080"/>
              <w:bottom w:val="single" w:sz="8" w:space="0" w:color="000000"/>
              <w:right w:val="single" w:sz="8" w:space="0" w:color="000080"/>
            </w:tcBorders>
            <w:vAlign w:val="center"/>
            <w:hideMark/>
          </w:tcPr>
          <w:p w14:paraId="09A86ECE" w14:textId="77777777" w:rsidR="004741D6" w:rsidRPr="00F55851" w:rsidRDefault="004741D6" w:rsidP="00D16719">
            <w:pPr>
              <w:rPr>
                <w:rFonts w:ascii="Arial Narrow" w:eastAsia="Times New Roman" w:hAnsi="Arial Narrow" w:cs="Calibri"/>
                <w:b/>
                <w:bCs/>
                <w:color w:val="000000"/>
              </w:rPr>
            </w:pPr>
          </w:p>
        </w:tc>
      </w:tr>
    </w:tbl>
    <w:p w14:paraId="7208E6ED" w14:textId="77777777" w:rsidR="004741D6" w:rsidRDefault="004741D6" w:rsidP="004741D6">
      <w:pPr>
        <w:spacing w:line="238" w:lineRule="auto"/>
        <w:ind w:left="1134" w:right="260" w:hanging="1134"/>
        <w:jc w:val="both"/>
        <w:rPr>
          <w:rFonts w:ascii="Arial" w:eastAsia="Arial" w:hAnsi="Arial"/>
          <w:b/>
          <w:sz w:val="22"/>
          <w:szCs w:val="22"/>
          <w:lang w:val="es-CR"/>
        </w:rPr>
      </w:pPr>
    </w:p>
    <w:p w14:paraId="39A4448F" w14:textId="77777777" w:rsidR="00651532" w:rsidRPr="00F02F9D" w:rsidRDefault="00651532" w:rsidP="004741D6">
      <w:pPr>
        <w:spacing w:line="238" w:lineRule="auto"/>
        <w:ind w:left="1134" w:right="260" w:hanging="1134"/>
        <w:jc w:val="both"/>
        <w:rPr>
          <w:rFonts w:ascii="Arial" w:eastAsia="Arial" w:hAnsi="Arial"/>
          <w:b/>
          <w:sz w:val="22"/>
          <w:szCs w:val="22"/>
          <w:lang w:val="es-CR"/>
        </w:rPr>
      </w:pPr>
    </w:p>
    <w:p w14:paraId="342F01D0" w14:textId="7510EE78" w:rsidR="00651532" w:rsidRDefault="00651532" w:rsidP="004741D6">
      <w:pPr>
        <w:spacing w:line="236" w:lineRule="auto"/>
        <w:ind w:left="1134" w:right="280" w:hanging="1134"/>
        <w:jc w:val="both"/>
        <w:rPr>
          <w:rFonts w:ascii="Arial" w:eastAsia="Arial" w:hAnsi="Arial"/>
          <w:b/>
          <w:sz w:val="22"/>
          <w:szCs w:val="22"/>
        </w:rPr>
      </w:pPr>
      <w:r w:rsidRPr="00F02F9D">
        <w:rPr>
          <w:rFonts w:ascii="Arial" w:eastAsia="Arial" w:hAnsi="Arial"/>
          <w:b/>
          <w:sz w:val="22"/>
          <w:szCs w:val="22"/>
        </w:rPr>
        <w:t>Política Contable</w:t>
      </w:r>
    </w:p>
    <w:p w14:paraId="52A976CB" w14:textId="77777777" w:rsidR="00651532" w:rsidRDefault="00651532" w:rsidP="004741D6">
      <w:pPr>
        <w:spacing w:line="236" w:lineRule="auto"/>
        <w:ind w:left="1134" w:right="280" w:hanging="1134"/>
        <w:jc w:val="both"/>
        <w:rPr>
          <w:rFonts w:ascii="Arial" w:eastAsia="Arial" w:hAnsi="Arial"/>
          <w:bCs/>
          <w:sz w:val="22"/>
          <w:szCs w:val="22"/>
          <w:lang w:val="es-CR"/>
        </w:rPr>
      </w:pPr>
    </w:p>
    <w:p w14:paraId="5A9004D9" w14:textId="68AC470F" w:rsidR="004741D6" w:rsidRDefault="004741D6" w:rsidP="004741D6">
      <w:pPr>
        <w:spacing w:line="236" w:lineRule="auto"/>
        <w:ind w:left="1134" w:right="280" w:hanging="1134"/>
        <w:jc w:val="both"/>
        <w:rPr>
          <w:rFonts w:ascii="Arial" w:eastAsia="Arial" w:hAnsi="Arial"/>
          <w:bCs/>
          <w:sz w:val="22"/>
          <w:szCs w:val="22"/>
          <w:lang w:val="es-CR"/>
        </w:rPr>
      </w:pPr>
      <w:r w:rsidRPr="00D0264E">
        <w:rPr>
          <w:rFonts w:ascii="Arial" w:eastAsia="Arial" w:hAnsi="Arial"/>
          <w:bCs/>
          <w:sz w:val="22"/>
          <w:szCs w:val="22"/>
          <w:lang w:val="es-CR"/>
        </w:rPr>
        <w:t>1.230.0.01</w:t>
      </w:r>
      <w:r w:rsidRPr="00D0264E">
        <w:rPr>
          <w:rFonts w:ascii="Arial" w:eastAsia="Arial" w:hAnsi="Arial"/>
          <w:bCs/>
          <w:sz w:val="22"/>
          <w:szCs w:val="22"/>
          <w:lang w:val="es-CR"/>
        </w:rPr>
        <w:tab/>
      </w:r>
      <w:r>
        <w:rPr>
          <w:rFonts w:ascii="Arial" w:eastAsia="Arial" w:hAnsi="Arial"/>
          <w:bCs/>
          <w:sz w:val="22"/>
          <w:szCs w:val="22"/>
          <w:lang w:val="es-CR"/>
        </w:rPr>
        <w:t>L</w:t>
      </w:r>
      <w:r w:rsidRPr="00D0264E">
        <w:rPr>
          <w:rFonts w:ascii="Arial" w:eastAsia="Arial" w:hAnsi="Arial"/>
          <w:bCs/>
          <w:sz w:val="22"/>
          <w:szCs w:val="22"/>
          <w:lang w:val="es-CR"/>
        </w:rPr>
        <w:t xml:space="preserve">os importes dedicados a la formación </w:t>
      </w:r>
      <w:r>
        <w:rPr>
          <w:rFonts w:ascii="Arial" w:eastAsia="Arial" w:hAnsi="Arial"/>
          <w:bCs/>
          <w:sz w:val="22"/>
          <w:szCs w:val="22"/>
          <w:lang w:val="es-CR"/>
        </w:rPr>
        <w:t xml:space="preserve">del personal no </w:t>
      </w:r>
      <w:r w:rsidRPr="00D0264E">
        <w:rPr>
          <w:rFonts w:ascii="Arial" w:eastAsia="Arial" w:hAnsi="Arial"/>
          <w:bCs/>
          <w:sz w:val="22"/>
          <w:szCs w:val="22"/>
          <w:lang w:val="es-CR"/>
        </w:rPr>
        <w:t>cumplen la definición de activo intangible</w:t>
      </w:r>
      <w:r>
        <w:rPr>
          <w:rFonts w:ascii="Arial" w:eastAsia="Arial" w:hAnsi="Arial"/>
          <w:bCs/>
          <w:sz w:val="22"/>
          <w:szCs w:val="22"/>
          <w:lang w:val="es-CR"/>
        </w:rPr>
        <w:t xml:space="preserve"> (por la </w:t>
      </w:r>
      <w:r w:rsidR="00AA22E2">
        <w:rPr>
          <w:rFonts w:ascii="Arial" w:eastAsia="Arial" w:hAnsi="Arial"/>
          <w:bCs/>
          <w:sz w:val="22"/>
          <w:szCs w:val="22"/>
          <w:lang w:val="es-CR"/>
        </w:rPr>
        <w:t>incertidumbre</w:t>
      </w:r>
      <w:r>
        <w:rPr>
          <w:rFonts w:ascii="Arial" w:eastAsia="Arial" w:hAnsi="Arial"/>
          <w:bCs/>
          <w:sz w:val="22"/>
          <w:szCs w:val="22"/>
          <w:lang w:val="es-CR"/>
        </w:rPr>
        <w:t xml:space="preserve"> de los beneficios futuros que estos generarán a la entidad)</w:t>
      </w:r>
      <w:r w:rsidRPr="00D0264E">
        <w:rPr>
          <w:rFonts w:ascii="Arial" w:eastAsia="Arial" w:hAnsi="Arial"/>
          <w:bCs/>
          <w:sz w:val="22"/>
          <w:szCs w:val="22"/>
          <w:lang w:val="es-CR"/>
        </w:rPr>
        <w:t xml:space="preserve">, por lo que los </w:t>
      </w:r>
      <w:r w:rsidR="00AA22E2" w:rsidRPr="00D0264E">
        <w:rPr>
          <w:rFonts w:ascii="Arial" w:eastAsia="Arial" w:hAnsi="Arial"/>
          <w:bCs/>
          <w:sz w:val="22"/>
          <w:szCs w:val="22"/>
          <w:lang w:val="es-CR"/>
        </w:rPr>
        <w:t>dese</w:t>
      </w:r>
      <w:r w:rsidR="00AA22E2">
        <w:rPr>
          <w:rFonts w:ascii="Arial" w:eastAsia="Arial" w:hAnsi="Arial"/>
          <w:bCs/>
          <w:sz w:val="22"/>
          <w:szCs w:val="22"/>
          <w:lang w:val="es-CR"/>
        </w:rPr>
        <w:t>mbo</w:t>
      </w:r>
      <w:r w:rsidR="00AA22E2" w:rsidRPr="00D0264E">
        <w:rPr>
          <w:rFonts w:ascii="Arial" w:eastAsia="Arial" w:hAnsi="Arial"/>
          <w:bCs/>
          <w:sz w:val="22"/>
          <w:szCs w:val="22"/>
          <w:lang w:val="es-CR"/>
        </w:rPr>
        <w:t>lsos</w:t>
      </w:r>
      <w:r w:rsidRPr="00D0264E">
        <w:rPr>
          <w:rFonts w:ascii="Arial" w:eastAsia="Arial" w:hAnsi="Arial"/>
          <w:bCs/>
          <w:sz w:val="22"/>
          <w:szCs w:val="22"/>
          <w:lang w:val="es-CR"/>
        </w:rPr>
        <w:t xml:space="preserve"> incurridos </w:t>
      </w:r>
      <w:r>
        <w:rPr>
          <w:rFonts w:ascii="Arial" w:eastAsia="Arial" w:hAnsi="Arial"/>
          <w:bCs/>
          <w:sz w:val="22"/>
          <w:szCs w:val="22"/>
          <w:lang w:val="es-CR"/>
        </w:rPr>
        <w:t xml:space="preserve">por este concepto </w:t>
      </w:r>
      <w:r w:rsidRPr="00D0264E">
        <w:rPr>
          <w:rFonts w:ascii="Arial" w:eastAsia="Arial" w:hAnsi="Arial"/>
          <w:bCs/>
          <w:sz w:val="22"/>
          <w:szCs w:val="22"/>
          <w:lang w:val="es-CR"/>
        </w:rPr>
        <w:t>serán tratados como gastos.</w:t>
      </w:r>
    </w:p>
    <w:p w14:paraId="01A87533" w14:textId="77777777" w:rsidR="00F7162E" w:rsidRDefault="00F7162E" w:rsidP="004741D6">
      <w:pPr>
        <w:spacing w:line="236" w:lineRule="auto"/>
        <w:ind w:left="1134" w:right="280" w:hanging="1134"/>
        <w:jc w:val="both"/>
        <w:rPr>
          <w:rFonts w:ascii="Arial" w:eastAsia="Arial" w:hAnsi="Arial"/>
          <w:bCs/>
          <w:sz w:val="22"/>
          <w:szCs w:val="22"/>
          <w:lang w:val="es-CR"/>
        </w:rPr>
      </w:pPr>
    </w:p>
    <w:p w14:paraId="6216ECE5" w14:textId="77777777" w:rsidR="004741D6" w:rsidRPr="00D0264E" w:rsidRDefault="004741D6" w:rsidP="004741D6">
      <w:pPr>
        <w:spacing w:line="236" w:lineRule="auto"/>
        <w:ind w:left="1134" w:right="280" w:hanging="1134"/>
        <w:jc w:val="both"/>
        <w:rPr>
          <w:rFonts w:ascii="Arial" w:eastAsia="Arial" w:hAnsi="Arial"/>
          <w:bCs/>
          <w:sz w:val="22"/>
          <w:szCs w:val="22"/>
          <w:lang w:val="es-CR"/>
        </w:rPr>
      </w:pPr>
    </w:p>
    <w:tbl>
      <w:tblPr>
        <w:tblW w:w="9062" w:type="dxa"/>
        <w:tblLook w:val="04A0" w:firstRow="1" w:lastRow="0" w:firstColumn="1" w:lastColumn="0" w:noHBand="0" w:noVBand="1"/>
      </w:tblPr>
      <w:tblGrid>
        <w:gridCol w:w="557"/>
        <w:gridCol w:w="584"/>
        <w:gridCol w:w="409"/>
        <w:gridCol w:w="3118"/>
        <w:gridCol w:w="2552"/>
        <w:gridCol w:w="1842"/>
      </w:tblGrid>
      <w:tr w:rsidR="004741D6" w:rsidRPr="008F5FBC" w14:paraId="3F1FF445" w14:textId="77777777" w:rsidTr="00D16719">
        <w:trPr>
          <w:trHeight w:val="29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48AF4E5" w14:textId="77777777" w:rsidR="004741D6" w:rsidRPr="008F5FBC" w:rsidRDefault="004741D6" w:rsidP="00D16719">
            <w:pPr>
              <w:jc w:val="center"/>
              <w:rPr>
                <w:rFonts w:ascii="Arial Narrow" w:eastAsia="Times New Roman" w:hAnsi="Arial Narrow"/>
                <w:b/>
                <w:bCs/>
                <w:color w:val="FFFFFF"/>
                <w:sz w:val="22"/>
                <w:szCs w:val="22"/>
              </w:rPr>
            </w:pPr>
            <w:r w:rsidRPr="008F5FBC">
              <w:rPr>
                <w:rFonts w:ascii="Arial Narrow" w:eastAsia="Times New Roman" w:hAnsi="Arial Narrow"/>
                <w:b/>
                <w:bCs/>
                <w:color w:val="FFFFFF"/>
                <w:sz w:val="22"/>
                <w:szCs w:val="22"/>
              </w:rPr>
              <w:t>Norma / Política</w:t>
            </w:r>
          </w:p>
        </w:tc>
        <w:tc>
          <w:tcPr>
            <w:tcW w:w="3118" w:type="dxa"/>
            <w:vMerge w:val="restart"/>
            <w:tcBorders>
              <w:top w:val="nil"/>
              <w:left w:val="single" w:sz="8" w:space="0" w:color="auto"/>
              <w:bottom w:val="nil"/>
              <w:right w:val="single" w:sz="8" w:space="0" w:color="auto"/>
            </w:tcBorders>
            <w:shd w:val="clear" w:color="000000" w:fill="203764"/>
            <w:vAlign w:val="center"/>
            <w:hideMark/>
          </w:tcPr>
          <w:p w14:paraId="01E1B7A8" w14:textId="77777777" w:rsidR="004741D6" w:rsidRPr="008F5FBC" w:rsidRDefault="004741D6" w:rsidP="00D16719">
            <w:pPr>
              <w:jc w:val="center"/>
              <w:rPr>
                <w:rFonts w:ascii="Arial Narrow" w:eastAsia="Times New Roman" w:hAnsi="Arial Narrow"/>
                <w:b/>
                <w:bCs/>
                <w:color w:val="FFFFFF"/>
                <w:sz w:val="22"/>
                <w:szCs w:val="22"/>
              </w:rPr>
            </w:pPr>
            <w:r w:rsidRPr="008F5FBC">
              <w:rPr>
                <w:rFonts w:ascii="Arial Narrow" w:eastAsia="Times New Roman" w:hAnsi="Arial Narrow"/>
                <w:b/>
                <w:bCs/>
                <w:color w:val="FFFFFF"/>
                <w:sz w:val="22"/>
                <w:szCs w:val="22"/>
              </w:rPr>
              <w:t>Concepto</w:t>
            </w:r>
          </w:p>
        </w:tc>
        <w:tc>
          <w:tcPr>
            <w:tcW w:w="4394" w:type="dxa"/>
            <w:gridSpan w:val="2"/>
            <w:tcBorders>
              <w:top w:val="nil"/>
              <w:left w:val="nil"/>
              <w:bottom w:val="single" w:sz="8" w:space="0" w:color="auto"/>
              <w:right w:val="single" w:sz="8" w:space="0" w:color="000000"/>
            </w:tcBorders>
            <w:shd w:val="clear" w:color="000000" w:fill="203764"/>
            <w:vAlign w:val="center"/>
            <w:hideMark/>
          </w:tcPr>
          <w:p w14:paraId="4B4F5FED" w14:textId="77777777" w:rsidR="004741D6" w:rsidRPr="008F5FBC" w:rsidRDefault="004741D6" w:rsidP="00D16719">
            <w:pPr>
              <w:jc w:val="center"/>
              <w:rPr>
                <w:rFonts w:ascii="Arial Narrow" w:eastAsia="Times New Roman" w:hAnsi="Arial Narrow"/>
                <w:b/>
                <w:bCs/>
                <w:color w:val="FFFFFF"/>
                <w:sz w:val="22"/>
                <w:szCs w:val="22"/>
              </w:rPr>
            </w:pPr>
            <w:r w:rsidRPr="008F5FBC">
              <w:rPr>
                <w:rFonts w:ascii="Arial Narrow" w:eastAsia="Times New Roman" w:hAnsi="Arial Narrow"/>
                <w:b/>
                <w:bCs/>
                <w:color w:val="FFFFFF"/>
                <w:sz w:val="22"/>
                <w:szCs w:val="22"/>
              </w:rPr>
              <w:t>Referencia</w:t>
            </w:r>
          </w:p>
        </w:tc>
      </w:tr>
      <w:tr w:rsidR="004741D6" w:rsidRPr="006E5442" w14:paraId="74212755" w14:textId="77777777" w:rsidTr="00D16719">
        <w:trPr>
          <w:trHeight w:val="934"/>
        </w:trPr>
        <w:tc>
          <w:tcPr>
            <w:tcW w:w="1550" w:type="dxa"/>
            <w:gridSpan w:val="3"/>
            <w:vMerge/>
            <w:tcBorders>
              <w:top w:val="single" w:sz="8" w:space="0" w:color="auto"/>
              <w:left w:val="single" w:sz="8" w:space="0" w:color="auto"/>
              <w:bottom w:val="nil"/>
              <w:right w:val="single" w:sz="8" w:space="0" w:color="000000"/>
            </w:tcBorders>
            <w:vAlign w:val="center"/>
            <w:hideMark/>
          </w:tcPr>
          <w:p w14:paraId="47EADE7F" w14:textId="77777777" w:rsidR="004741D6" w:rsidRPr="008F5FBC" w:rsidRDefault="004741D6" w:rsidP="00D16719">
            <w:pPr>
              <w:rPr>
                <w:rFonts w:ascii="Arial Narrow" w:eastAsia="Times New Roman" w:hAnsi="Arial Narrow"/>
                <w:b/>
                <w:bCs/>
                <w:color w:val="FFFFFF"/>
                <w:sz w:val="22"/>
                <w:szCs w:val="22"/>
              </w:rPr>
            </w:pPr>
          </w:p>
        </w:tc>
        <w:tc>
          <w:tcPr>
            <w:tcW w:w="3118" w:type="dxa"/>
            <w:vMerge/>
            <w:tcBorders>
              <w:top w:val="nil"/>
              <w:left w:val="single" w:sz="8" w:space="0" w:color="auto"/>
              <w:bottom w:val="nil"/>
              <w:right w:val="single" w:sz="8" w:space="0" w:color="auto"/>
            </w:tcBorders>
            <w:vAlign w:val="center"/>
            <w:hideMark/>
          </w:tcPr>
          <w:p w14:paraId="18668967" w14:textId="77777777" w:rsidR="004741D6" w:rsidRPr="008F5FBC"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30B1F109" w14:textId="77777777" w:rsidR="004741D6" w:rsidRPr="008F5FBC" w:rsidRDefault="004741D6" w:rsidP="00D16719">
            <w:pPr>
              <w:jc w:val="center"/>
              <w:rPr>
                <w:rFonts w:ascii="Arial Narrow" w:eastAsia="Times New Roman" w:hAnsi="Arial Narrow"/>
                <w:b/>
                <w:bCs/>
                <w:color w:val="FFFFFF"/>
                <w:sz w:val="22"/>
                <w:szCs w:val="22"/>
              </w:rPr>
            </w:pPr>
            <w:r w:rsidRPr="008F5FBC">
              <w:rPr>
                <w:rFonts w:ascii="Arial Narrow" w:eastAsia="Times New Roman" w:hAnsi="Arial Narrow"/>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3578BE16" w14:textId="77777777" w:rsidR="004741D6" w:rsidRPr="008F5FBC" w:rsidRDefault="004741D6" w:rsidP="00D16719">
            <w:pPr>
              <w:jc w:val="center"/>
              <w:rPr>
                <w:rFonts w:ascii="Arial Narrow" w:eastAsia="Times New Roman" w:hAnsi="Arial Narrow"/>
                <w:b/>
                <w:bCs/>
                <w:color w:val="FFFFFF"/>
                <w:sz w:val="22"/>
                <w:szCs w:val="22"/>
                <w:lang w:val="es-CR"/>
              </w:rPr>
            </w:pPr>
            <w:r w:rsidRPr="008F5FBC">
              <w:rPr>
                <w:rFonts w:ascii="Arial Narrow" w:eastAsia="Times New Roman" w:hAnsi="Arial Narrow"/>
                <w:b/>
                <w:bCs/>
                <w:color w:val="FFFFFF"/>
                <w:sz w:val="22"/>
                <w:szCs w:val="22"/>
                <w:lang w:val="es-CR"/>
              </w:rPr>
              <w:t>Normativa técnica y disposiciones adicionales</w:t>
            </w:r>
          </w:p>
        </w:tc>
      </w:tr>
      <w:tr w:rsidR="004741D6" w:rsidRPr="008F5FBC" w14:paraId="1DCF7F4F" w14:textId="77777777" w:rsidTr="00D16719">
        <w:trPr>
          <w:trHeight w:val="547"/>
        </w:trPr>
        <w:tc>
          <w:tcPr>
            <w:tcW w:w="557" w:type="dxa"/>
            <w:tcBorders>
              <w:top w:val="nil"/>
              <w:left w:val="single" w:sz="4" w:space="0" w:color="000080"/>
              <w:bottom w:val="single" w:sz="4" w:space="0" w:color="000080"/>
              <w:right w:val="single" w:sz="4" w:space="0" w:color="000080"/>
            </w:tcBorders>
            <w:shd w:val="clear" w:color="auto" w:fill="auto"/>
            <w:noWrap/>
            <w:hideMark/>
          </w:tcPr>
          <w:p w14:paraId="36EEE3D0" w14:textId="77777777" w:rsidR="004741D6" w:rsidRPr="008F5FBC" w:rsidRDefault="004741D6" w:rsidP="00D16719">
            <w:pPr>
              <w:jc w:val="cente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lastRenderedPageBreak/>
              <w:t>1</w:t>
            </w:r>
          </w:p>
        </w:tc>
        <w:tc>
          <w:tcPr>
            <w:tcW w:w="584" w:type="dxa"/>
            <w:tcBorders>
              <w:top w:val="nil"/>
              <w:left w:val="nil"/>
              <w:bottom w:val="single" w:sz="4" w:space="0" w:color="000080"/>
              <w:right w:val="single" w:sz="4" w:space="0" w:color="000080"/>
            </w:tcBorders>
            <w:shd w:val="clear" w:color="auto" w:fill="auto"/>
            <w:noWrap/>
            <w:hideMark/>
          </w:tcPr>
          <w:p w14:paraId="05A666D3" w14:textId="77777777" w:rsidR="004741D6" w:rsidRPr="008F5FBC" w:rsidRDefault="004741D6" w:rsidP="00D16719">
            <w:pPr>
              <w:jc w:val="cente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231</w:t>
            </w:r>
          </w:p>
        </w:tc>
        <w:tc>
          <w:tcPr>
            <w:tcW w:w="409" w:type="dxa"/>
            <w:tcBorders>
              <w:top w:val="nil"/>
              <w:left w:val="nil"/>
              <w:bottom w:val="single" w:sz="4" w:space="0" w:color="000080"/>
              <w:right w:val="single" w:sz="4" w:space="0" w:color="000080"/>
            </w:tcBorders>
            <w:shd w:val="clear" w:color="auto" w:fill="auto"/>
            <w:hideMark/>
          </w:tcPr>
          <w:p w14:paraId="5BC37256" w14:textId="26B2DB0F" w:rsidR="004741D6" w:rsidRPr="008F5FBC" w:rsidRDefault="004741D6" w:rsidP="00D16719">
            <w:pPr>
              <w:rPr>
                <w:rFonts w:ascii="Arial Narrow" w:eastAsia="Times New Roman" w:hAnsi="Arial Narrow" w:cs="Times New Roman"/>
                <w:sz w:val="22"/>
                <w:szCs w:val="22"/>
              </w:rPr>
            </w:pPr>
            <w:r w:rsidRPr="008F5FBC">
              <w:rPr>
                <w:rFonts w:ascii="Arial Narrow" w:eastAsia="Times New Roman" w:hAnsi="Arial Narrow" w:cs="Times New Roman"/>
                <w:sz w:val="22"/>
                <w:szCs w:val="22"/>
              </w:rPr>
              <w:t> </w:t>
            </w:r>
            <w:r w:rsidR="002B7D8C">
              <w:rPr>
                <w:rFonts w:ascii="Arial Narrow" w:eastAsia="Times New Roman" w:hAnsi="Arial Narrow" w:cs="Times New Roman"/>
                <w:sz w:val="22"/>
                <w:szCs w:val="22"/>
              </w:rPr>
              <w:t>0</w:t>
            </w:r>
          </w:p>
        </w:tc>
        <w:tc>
          <w:tcPr>
            <w:tcW w:w="3118" w:type="dxa"/>
            <w:tcBorders>
              <w:top w:val="nil"/>
              <w:left w:val="nil"/>
              <w:bottom w:val="single" w:sz="4" w:space="0" w:color="000080"/>
              <w:right w:val="single" w:sz="4" w:space="0" w:color="000080"/>
            </w:tcBorders>
            <w:shd w:val="clear" w:color="auto" w:fill="auto"/>
            <w:hideMark/>
          </w:tcPr>
          <w:p w14:paraId="7406243B" w14:textId="6D591CA1" w:rsidR="004741D6" w:rsidRPr="008F5FBC" w:rsidRDefault="004741D6" w:rsidP="00D16719">
            <w:pPr>
              <w:rPr>
                <w:rFonts w:ascii="Arial Narrow" w:eastAsia="Times New Roman" w:hAnsi="Arial Narrow" w:cs="Calibri"/>
                <w:b/>
                <w:bCs/>
                <w:color w:val="000000"/>
                <w:sz w:val="22"/>
                <w:szCs w:val="22"/>
                <w:lang w:val="es-CR"/>
              </w:rPr>
            </w:pPr>
            <w:r w:rsidRPr="008F5FBC">
              <w:rPr>
                <w:rFonts w:ascii="Arial Narrow" w:eastAsia="Times New Roman" w:hAnsi="Arial Narrow" w:cs="Calibri"/>
                <w:b/>
                <w:bCs/>
                <w:color w:val="000000"/>
                <w:sz w:val="22"/>
                <w:szCs w:val="22"/>
                <w:lang w:val="es-CR"/>
              </w:rPr>
              <w:t>Bienes intangibles del patrimonio histórico-artístico y/o cultural</w:t>
            </w:r>
          </w:p>
        </w:tc>
        <w:tc>
          <w:tcPr>
            <w:tcW w:w="2552" w:type="dxa"/>
            <w:tcBorders>
              <w:top w:val="nil"/>
              <w:left w:val="nil"/>
              <w:bottom w:val="single" w:sz="4" w:space="0" w:color="000080"/>
              <w:right w:val="single" w:sz="4" w:space="0" w:color="000080"/>
            </w:tcBorders>
            <w:shd w:val="clear" w:color="auto" w:fill="auto"/>
            <w:hideMark/>
          </w:tcPr>
          <w:p w14:paraId="2AA8E737" w14:textId="77777777" w:rsidR="004741D6" w:rsidRPr="008F5FBC" w:rsidRDefault="004741D6" w:rsidP="00D16719">
            <w:pPr>
              <w:rPr>
                <w:rFonts w:ascii="Arial Narrow" w:eastAsia="Times New Roman" w:hAnsi="Arial Narrow" w:cs="Calibri"/>
                <w:b/>
                <w:bCs/>
                <w:color w:val="000000"/>
                <w:sz w:val="22"/>
                <w:szCs w:val="22"/>
              </w:rPr>
            </w:pPr>
            <w:r w:rsidRPr="008F5FBC">
              <w:rPr>
                <w:rFonts w:ascii="Arial Narrow" w:eastAsia="Times New Roman" w:hAnsi="Arial Narrow" w:cs="Calibri"/>
                <w:b/>
                <w:bCs/>
                <w:color w:val="000000"/>
                <w:sz w:val="22"/>
                <w:szCs w:val="22"/>
              </w:rPr>
              <w:t>NICSP N° 31,</w:t>
            </w:r>
            <w:r w:rsidRPr="008F5FBC">
              <w:rPr>
                <w:rFonts w:ascii="Arial Narrow" w:eastAsia="Times New Roman" w:hAnsi="Arial Narrow" w:cs="Calibri"/>
                <w:b/>
                <w:bCs/>
                <w:color w:val="000000"/>
                <w:sz w:val="22"/>
                <w:szCs w:val="22"/>
              </w:rPr>
              <w:br/>
              <w:t>Párrafo 11.</w:t>
            </w:r>
          </w:p>
        </w:tc>
        <w:tc>
          <w:tcPr>
            <w:tcW w:w="1842" w:type="dxa"/>
            <w:tcBorders>
              <w:top w:val="nil"/>
              <w:left w:val="nil"/>
              <w:bottom w:val="single" w:sz="4" w:space="0" w:color="000080"/>
              <w:right w:val="single" w:sz="4" w:space="0" w:color="000080"/>
            </w:tcBorders>
            <w:shd w:val="clear" w:color="auto" w:fill="auto"/>
            <w:hideMark/>
          </w:tcPr>
          <w:p w14:paraId="2CBB0585" w14:textId="77777777" w:rsidR="004741D6" w:rsidRPr="008F5FBC" w:rsidRDefault="004741D6" w:rsidP="00D16719">
            <w:pPr>
              <w:rPr>
                <w:rFonts w:ascii="Arial Narrow" w:eastAsia="Times New Roman" w:hAnsi="Arial Narrow" w:cs="Times New Roman"/>
                <w:sz w:val="22"/>
                <w:szCs w:val="22"/>
              </w:rPr>
            </w:pPr>
            <w:r w:rsidRPr="008F5FBC">
              <w:rPr>
                <w:rFonts w:ascii="Arial Narrow" w:eastAsia="Times New Roman" w:hAnsi="Arial Narrow" w:cs="Times New Roman"/>
                <w:sz w:val="22"/>
                <w:szCs w:val="22"/>
              </w:rPr>
              <w:t> </w:t>
            </w:r>
          </w:p>
        </w:tc>
      </w:tr>
      <w:tr w:rsidR="004741D6" w:rsidRPr="008F5FBC" w14:paraId="33675B6C" w14:textId="77777777" w:rsidTr="00D16719">
        <w:trPr>
          <w:trHeight w:val="290"/>
        </w:trPr>
        <w:tc>
          <w:tcPr>
            <w:tcW w:w="557" w:type="dxa"/>
            <w:tcBorders>
              <w:top w:val="nil"/>
              <w:left w:val="single" w:sz="4" w:space="0" w:color="000080"/>
              <w:bottom w:val="single" w:sz="4" w:space="0" w:color="000080"/>
              <w:right w:val="single" w:sz="4" w:space="0" w:color="000080"/>
            </w:tcBorders>
            <w:shd w:val="clear" w:color="auto" w:fill="auto"/>
            <w:noWrap/>
            <w:hideMark/>
          </w:tcPr>
          <w:p w14:paraId="3C53B1D2" w14:textId="77777777" w:rsidR="004741D6" w:rsidRPr="008F5FBC" w:rsidRDefault="004741D6" w:rsidP="00D16719">
            <w:pPr>
              <w:jc w:val="cente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1</w:t>
            </w:r>
          </w:p>
        </w:tc>
        <w:tc>
          <w:tcPr>
            <w:tcW w:w="584" w:type="dxa"/>
            <w:tcBorders>
              <w:top w:val="nil"/>
              <w:left w:val="nil"/>
              <w:bottom w:val="single" w:sz="4" w:space="0" w:color="000080"/>
              <w:right w:val="single" w:sz="4" w:space="0" w:color="000080"/>
            </w:tcBorders>
            <w:shd w:val="clear" w:color="auto" w:fill="auto"/>
            <w:noWrap/>
            <w:hideMark/>
          </w:tcPr>
          <w:p w14:paraId="71D9A100" w14:textId="77777777" w:rsidR="004741D6" w:rsidRPr="008F5FBC" w:rsidRDefault="004741D6" w:rsidP="00D16719">
            <w:pPr>
              <w:jc w:val="cente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231</w:t>
            </w:r>
          </w:p>
        </w:tc>
        <w:tc>
          <w:tcPr>
            <w:tcW w:w="409" w:type="dxa"/>
            <w:tcBorders>
              <w:top w:val="nil"/>
              <w:left w:val="nil"/>
              <w:bottom w:val="single" w:sz="4" w:space="0" w:color="000080"/>
              <w:right w:val="single" w:sz="4" w:space="0" w:color="000080"/>
            </w:tcBorders>
            <w:shd w:val="clear" w:color="auto" w:fill="auto"/>
            <w:noWrap/>
            <w:hideMark/>
          </w:tcPr>
          <w:p w14:paraId="4502636D" w14:textId="77777777" w:rsidR="004741D6" w:rsidRPr="008F5FBC" w:rsidRDefault="004741D6" w:rsidP="00D16719">
            <w:pP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1</w:t>
            </w:r>
          </w:p>
        </w:tc>
        <w:tc>
          <w:tcPr>
            <w:tcW w:w="3118" w:type="dxa"/>
            <w:tcBorders>
              <w:top w:val="nil"/>
              <w:left w:val="nil"/>
              <w:bottom w:val="single" w:sz="4" w:space="0" w:color="000080"/>
              <w:right w:val="single" w:sz="4" w:space="0" w:color="000080"/>
            </w:tcBorders>
            <w:shd w:val="clear" w:color="auto" w:fill="auto"/>
            <w:hideMark/>
          </w:tcPr>
          <w:p w14:paraId="07AD3221" w14:textId="77777777" w:rsidR="004741D6" w:rsidRPr="008F5FBC" w:rsidRDefault="004741D6" w:rsidP="00D16719">
            <w:pPr>
              <w:rPr>
                <w:rFonts w:ascii="Arial Narrow" w:eastAsia="Times New Roman" w:hAnsi="Arial Narrow" w:cs="Calibri"/>
                <w:b/>
                <w:bCs/>
                <w:color w:val="000000"/>
                <w:sz w:val="22"/>
                <w:szCs w:val="22"/>
              </w:rPr>
            </w:pPr>
            <w:r w:rsidRPr="008F5FBC">
              <w:rPr>
                <w:rFonts w:ascii="Arial Narrow" w:eastAsia="Times New Roman" w:hAnsi="Arial Narrow" w:cs="Calibri"/>
                <w:b/>
                <w:bCs/>
                <w:color w:val="000000"/>
                <w:sz w:val="22"/>
                <w:szCs w:val="22"/>
              </w:rPr>
              <w:t>Reconocimiento</w:t>
            </w:r>
          </w:p>
        </w:tc>
        <w:tc>
          <w:tcPr>
            <w:tcW w:w="2552" w:type="dxa"/>
            <w:tcBorders>
              <w:top w:val="nil"/>
              <w:left w:val="nil"/>
              <w:bottom w:val="single" w:sz="4" w:space="0" w:color="000080"/>
              <w:right w:val="single" w:sz="4" w:space="0" w:color="000080"/>
            </w:tcBorders>
            <w:shd w:val="clear" w:color="auto" w:fill="auto"/>
            <w:vAlign w:val="center"/>
            <w:hideMark/>
          </w:tcPr>
          <w:p w14:paraId="1A68D430" w14:textId="77777777" w:rsidR="004741D6" w:rsidRPr="008F5FBC" w:rsidRDefault="004741D6" w:rsidP="00D16719">
            <w:pPr>
              <w:rPr>
                <w:rFonts w:ascii="Arial Narrow" w:eastAsia="Times New Roman" w:hAnsi="Arial Narrow" w:cs="Times New Roman"/>
                <w:sz w:val="22"/>
                <w:szCs w:val="22"/>
              </w:rPr>
            </w:pPr>
            <w:r w:rsidRPr="008F5FBC">
              <w:rPr>
                <w:rFonts w:ascii="Arial Narrow" w:eastAsia="Times New Roman" w:hAnsi="Arial Narrow" w:cs="Times New Roman"/>
                <w:sz w:val="22"/>
                <w:szCs w:val="22"/>
              </w:rPr>
              <w:t> </w:t>
            </w:r>
          </w:p>
        </w:tc>
        <w:tc>
          <w:tcPr>
            <w:tcW w:w="1842" w:type="dxa"/>
            <w:tcBorders>
              <w:top w:val="nil"/>
              <w:left w:val="nil"/>
              <w:bottom w:val="single" w:sz="4" w:space="0" w:color="000080"/>
              <w:right w:val="single" w:sz="4" w:space="0" w:color="000080"/>
            </w:tcBorders>
            <w:shd w:val="clear" w:color="auto" w:fill="auto"/>
            <w:hideMark/>
          </w:tcPr>
          <w:p w14:paraId="42A0F1C1" w14:textId="77777777" w:rsidR="004741D6" w:rsidRPr="008F5FBC" w:rsidRDefault="004741D6" w:rsidP="00D16719">
            <w:pPr>
              <w:rPr>
                <w:rFonts w:ascii="Arial Narrow" w:eastAsia="Times New Roman" w:hAnsi="Arial Narrow" w:cs="Calibri"/>
                <w:b/>
                <w:bCs/>
                <w:color w:val="000000"/>
                <w:sz w:val="22"/>
                <w:szCs w:val="22"/>
              </w:rPr>
            </w:pPr>
            <w:r w:rsidRPr="008F5FBC">
              <w:rPr>
                <w:rFonts w:ascii="Arial Narrow" w:eastAsia="Times New Roman" w:hAnsi="Arial Narrow" w:cs="Calibri"/>
                <w:b/>
                <w:bCs/>
                <w:color w:val="000000"/>
                <w:sz w:val="22"/>
                <w:szCs w:val="22"/>
              </w:rPr>
              <w:t>DGCN</w:t>
            </w:r>
          </w:p>
        </w:tc>
      </w:tr>
      <w:tr w:rsidR="004741D6" w:rsidRPr="008F5FBC" w14:paraId="23EE9BBC" w14:textId="77777777" w:rsidTr="00D16719">
        <w:trPr>
          <w:trHeight w:val="560"/>
        </w:trPr>
        <w:tc>
          <w:tcPr>
            <w:tcW w:w="557" w:type="dxa"/>
            <w:tcBorders>
              <w:top w:val="nil"/>
              <w:left w:val="single" w:sz="4" w:space="0" w:color="000080"/>
              <w:bottom w:val="single" w:sz="4" w:space="0" w:color="000080"/>
              <w:right w:val="single" w:sz="4" w:space="0" w:color="000080"/>
            </w:tcBorders>
            <w:shd w:val="clear" w:color="auto" w:fill="auto"/>
            <w:noWrap/>
            <w:hideMark/>
          </w:tcPr>
          <w:p w14:paraId="1F2AFDB3" w14:textId="77777777" w:rsidR="004741D6" w:rsidRPr="008F5FBC" w:rsidRDefault="004741D6" w:rsidP="00D16719">
            <w:pPr>
              <w:jc w:val="cente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1</w:t>
            </w:r>
          </w:p>
        </w:tc>
        <w:tc>
          <w:tcPr>
            <w:tcW w:w="584" w:type="dxa"/>
            <w:tcBorders>
              <w:top w:val="nil"/>
              <w:left w:val="nil"/>
              <w:bottom w:val="single" w:sz="4" w:space="0" w:color="000080"/>
              <w:right w:val="single" w:sz="4" w:space="0" w:color="000080"/>
            </w:tcBorders>
            <w:shd w:val="clear" w:color="auto" w:fill="auto"/>
            <w:noWrap/>
            <w:hideMark/>
          </w:tcPr>
          <w:p w14:paraId="4F539019" w14:textId="77777777" w:rsidR="004741D6" w:rsidRPr="008F5FBC" w:rsidRDefault="004741D6" w:rsidP="00D16719">
            <w:pPr>
              <w:jc w:val="cente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231</w:t>
            </w:r>
          </w:p>
        </w:tc>
        <w:tc>
          <w:tcPr>
            <w:tcW w:w="409" w:type="dxa"/>
            <w:tcBorders>
              <w:top w:val="nil"/>
              <w:left w:val="nil"/>
              <w:bottom w:val="single" w:sz="4" w:space="0" w:color="000080"/>
              <w:right w:val="single" w:sz="4" w:space="0" w:color="000080"/>
            </w:tcBorders>
            <w:shd w:val="clear" w:color="auto" w:fill="auto"/>
            <w:noWrap/>
            <w:hideMark/>
          </w:tcPr>
          <w:p w14:paraId="53CBE147" w14:textId="77777777" w:rsidR="004741D6" w:rsidRPr="008F5FBC" w:rsidRDefault="004741D6" w:rsidP="00D16719">
            <w:pP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2</w:t>
            </w:r>
          </w:p>
        </w:tc>
        <w:tc>
          <w:tcPr>
            <w:tcW w:w="3118" w:type="dxa"/>
            <w:tcBorders>
              <w:top w:val="nil"/>
              <w:left w:val="nil"/>
              <w:bottom w:val="single" w:sz="4" w:space="0" w:color="000080"/>
              <w:right w:val="single" w:sz="4" w:space="0" w:color="000080"/>
            </w:tcBorders>
            <w:shd w:val="clear" w:color="auto" w:fill="auto"/>
            <w:hideMark/>
          </w:tcPr>
          <w:p w14:paraId="4F8E4499" w14:textId="77777777" w:rsidR="004741D6" w:rsidRPr="008F5FBC" w:rsidRDefault="004741D6" w:rsidP="00D16719">
            <w:pPr>
              <w:rPr>
                <w:rFonts w:ascii="Arial Narrow" w:eastAsia="Times New Roman" w:hAnsi="Arial Narrow" w:cs="Calibri"/>
                <w:b/>
                <w:bCs/>
                <w:color w:val="000000"/>
                <w:sz w:val="22"/>
                <w:szCs w:val="22"/>
              </w:rPr>
            </w:pPr>
            <w:r w:rsidRPr="008F5FBC">
              <w:rPr>
                <w:rFonts w:ascii="Arial Narrow" w:eastAsia="Times New Roman" w:hAnsi="Arial Narrow" w:cs="Calibri"/>
                <w:b/>
                <w:bCs/>
                <w:color w:val="000000"/>
                <w:sz w:val="22"/>
                <w:szCs w:val="22"/>
              </w:rPr>
              <w:t>Características de los bienes</w:t>
            </w:r>
          </w:p>
        </w:tc>
        <w:tc>
          <w:tcPr>
            <w:tcW w:w="2552" w:type="dxa"/>
            <w:tcBorders>
              <w:top w:val="nil"/>
              <w:left w:val="nil"/>
              <w:bottom w:val="single" w:sz="4" w:space="0" w:color="000080"/>
              <w:right w:val="single" w:sz="4" w:space="0" w:color="000080"/>
            </w:tcBorders>
            <w:shd w:val="clear" w:color="auto" w:fill="auto"/>
            <w:hideMark/>
          </w:tcPr>
          <w:p w14:paraId="1FEA7953" w14:textId="77777777" w:rsidR="004741D6" w:rsidRPr="008F5FBC" w:rsidRDefault="004741D6" w:rsidP="00D16719">
            <w:pPr>
              <w:rPr>
                <w:rFonts w:ascii="Arial Narrow" w:eastAsia="Times New Roman" w:hAnsi="Arial Narrow" w:cs="Calibri"/>
                <w:b/>
                <w:bCs/>
                <w:color w:val="000000"/>
                <w:sz w:val="22"/>
                <w:szCs w:val="22"/>
              </w:rPr>
            </w:pPr>
            <w:r w:rsidRPr="008F5FBC">
              <w:rPr>
                <w:rFonts w:ascii="Arial Narrow" w:eastAsia="Times New Roman" w:hAnsi="Arial Narrow" w:cs="Calibri"/>
                <w:b/>
                <w:bCs/>
                <w:color w:val="000000"/>
                <w:sz w:val="22"/>
                <w:szCs w:val="22"/>
              </w:rPr>
              <w:t>NICSP N° 31,</w:t>
            </w:r>
            <w:r w:rsidRPr="008F5FBC">
              <w:rPr>
                <w:rFonts w:ascii="Arial Narrow" w:eastAsia="Times New Roman" w:hAnsi="Arial Narrow" w:cs="Calibri"/>
                <w:b/>
                <w:bCs/>
                <w:color w:val="000000"/>
                <w:sz w:val="22"/>
                <w:szCs w:val="22"/>
              </w:rPr>
              <w:br/>
              <w:t>Párrafo 12.</w:t>
            </w:r>
          </w:p>
        </w:tc>
        <w:tc>
          <w:tcPr>
            <w:tcW w:w="1842" w:type="dxa"/>
            <w:tcBorders>
              <w:top w:val="nil"/>
              <w:left w:val="nil"/>
              <w:bottom w:val="single" w:sz="4" w:space="0" w:color="000080"/>
              <w:right w:val="single" w:sz="4" w:space="0" w:color="000080"/>
            </w:tcBorders>
            <w:shd w:val="clear" w:color="auto" w:fill="auto"/>
            <w:hideMark/>
          </w:tcPr>
          <w:p w14:paraId="013D3388" w14:textId="77777777" w:rsidR="004741D6" w:rsidRPr="008F5FBC" w:rsidRDefault="004741D6" w:rsidP="00D16719">
            <w:pPr>
              <w:rPr>
                <w:rFonts w:ascii="Arial Narrow" w:eastAsia="Times New Roman" w:hAnsi="Arial Narrow" w:cs="Times New Roman"/>
                <w:sz w:val="22"/>
                <w:szCs w:val="22"/>
              </w:rPr>
            </w:pPr>
            <w:r w:rsidRPr="008F5FBC">
              <w:rPr>
                <w:rFonts w:ascii="Arial Narrow" w:eastAsia="Times New Roman" w:hAnsi="Arial Narrow" w:cs="Times New Roman"/>
                <w:sz w:val="22"/>
                <w:szCs w:val="22"/>
              </w:rPr>
              <w:t> </w:t>
            </w:r>
          </w:p>
        </w:tc>
      </w:tr>
      <w:tr w:rsidR="004741D6" w:rsidRPr="008F5FBC" w14:paraId="6841F17F" w14:textId="77777777" w:rsidTr="00D16719">
        <w:trPr>
          <w:trHeight w:val="560"/>
        </w:trPr>
        <w:tc>
          <w:tcPr>
            <w:tcW w:w="557" w:type="dxa"/>
            <w:tcBorders>
              <w:top w:val="nil"/>
              <w:left w:val="single" w:sz="4" w:space="0" w:color="000080"/>
              <w:bottom w:val="single" w:sz="4" w:space="0" w:color="000080"/>
              <w:right w:val="single" w:sz="4" w:space="0" w:color="000080"/>
            </w:tcBorders>
            <w:shd w:val="clear" w:color="auto" w:fill="auto"/>
            <w:noWrap/>
            <w:hideMark/>
          </w:tcPr>
          <w:p w14:paraId="13D93F09" w14:textId="77777777" w:rsidR="004741D6" w:rsidRPr="008F5FBC" w:rsidRDefault="004741D6" w:rsidP="00D16719">
            <w:pPr>
              <w:jc w:val="cente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1</w:t>
            </w:r>
          </w:p>
        </w:tc>
        <w:tc>
          <w:tcPr>
            <w:tcW w:w="584" w:type="dxa"/>
            <w:tcBorders>
              <w:top w:val="nil"/>
              <w:left w:val="nil"/>
              <w:bottom w:val="single" w:sz="4" w:space="0" w:color="000080"/>
              <w:right w:val="single" w:sz="4" w:space="0" w:color="000080"/>
            </w:tcBorders>
            <w:shd w:val="clear" w:color="auto" w:fill="auto"/>
            <w:noWrap/>
            <w:hideMark/>
          </w:tcPr>
          <w:p w14:paraId="1054030B" w14:textId="77777777" w:rsidR="004741D6" w:rsidRPr="008F5FBC" w:rsidRDefault="004741D6" w:rsidP="00D16719">
            <w:pPr>
              <w:jc w:val="cente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231</w:t>
            </w:r>
          </w:p>
        </w:tc>
        <w:tc>
          <w:tcPr>
            <w:tcW w:w="409" w:type="dxa"/>
            <w:tcBorders>
              <w:top w:val="nil"/>
              <w:left w:val="nil"/>
              <w:bottom w:val="single" w:sz="4" w:space="0" w:color="000080"/>
              <w:right w:val="single" w:sz="4" w:space="0" w:color="000080"/>
            </w:tcBorders>
            <w:shd w:val="clear" w:color="auto" w:fill="auto"/>
            <w:noWrap/>
            <w:hideMark/>
          </w:tcPr>
          <w:p w14:paraId="020572C3" w14:textId="77777777" w:rsidR="004741D6" w:rsidRPr="008F5FBC" w:rsidRDefault="004741D6" w:rsidP="00D16719">
            <w:pPr>
              <w:rPr>
                <w:rFonts w:ascii="Arial Narrow" w:eastAsia="Times New Roman" w:hAnsi="Arial Narrow"/>
                <w:b/>
                <w:bCs/>
                <w:color w:val="000000"/>
                <w:sz w:val="22"/>
                <w:szCs w:val="22"/>
              </w:rPr>
            </w:pPr>
            <w:r w:rsidRPr="008F5FBC">
              <w:rPr>
                <w:rFonts w:ascii="Arial Narrow" w:eastAsia="Times New Roman" w:hAnsi="Arial Narrow"/>
                <w:b/>
                <w:bCs/>
                <w:color w:val="000000"/>
                <w:sz w:val="22"/>
                <w:szCs w:val="22"/>
              </w:rPr>
              <w:t>3</w:t>
            </w:r>
          </w:p>
        </w:tc>
        <w:tc>
          <w:tcPr>
            <w:tcW w:w="3118" w:type="dxa"/>
            <w:tcBorders>
              <w:top w:val="nil"/>
              <w:left w:val="nil"/>
              <w:bottom w:val="single" w:sz="4" w:space="0" w:color="000080"/>
              <w:right w:val="single" w:sz="4" w:space="0" w:color="000080"/>
            </w:tcBorders>
            <w:shd w:val="clear" w:color="auto" w:fill="auto"/>
            <w:hideMark/>
          </w:tcPr>
          <w:p w14:paraId="26104FB0" w14:textId="77777777" w:rsidR="004741D6" w:rsidRPr="008F5FBC" w:rsidRDefault="004741D6" w:rsidP="00D16719">
            <w:pPr>
              <w:rPr>
                <w:rFonts w:ascii="Arial Narrow" w:eastAsia="Times New Roman" w:hAnsi="Arial Narrow" w:cs="Calibri"/>
                <w:b/>
                <w:bCs/>
                <w:color w:val="000000"/>
                <w:sz w:val="22"/>
                <w:szCs w:val="22"/>
              </w:rPr>
            </w:pPr>
            <w:r w:rsidRPr="008F5FBC">
              <w:rPr>
                <w:rFonts w:ascii="Arial Narrow" w:eastAsia="Times New Roman" w:hAnsi="Arial Narrow" w:cs="Calibri"/>
                <w:b/>
                <w:bCs/>
                <w:color w:val="000000"/>
                <w:sz w:val="22"/>
                <w:szCs w:val="22"/>
              </w:rPr>
              <w:t>Capacidad de generar efectivo</w:t>
            </w:r>
          </w:p>
        </w:tc>
        <w:tc>
          <w:tcPr>
            <w:tcW w:w="2552" w:type="dxa"/>
            <w:tcBorders>
              <w:top w:val="nil"/>
              <w:left w:val="nil"/>
              <w:bottom w:val="single" w:sz="4" w:space="0" w:color="000080"/>
              <w:right w:val="single" w:sz="4" w:space="0" w:color="000080"/>
            </w:tcBorders>
            <w:shd w:val="clear" w:color="auto" w:fill="auto"/>
            <w:hideMark/>
          </w:tcPr>
          <w:p w14:paraId="5ACDCE8B" w14:textId="77777777" w:rsidR="004741D6" w:rsidRPr="008F5FBC" w:rsidRDefault="004741D6" w:rsidP="00D16719">
            <w:pPr>
              <w:rPr>
                <w:rFonts w:ascii="Arial Narrow" w:eastAsia="Times New Roman" w:hAnsi="Arial Narrow" w:cs="Calibri"/>
                <w:b/>
                <w:bCs/>
                <w:color w:val="000000"/>
                <w:sz w:val="22"/>
                <w:szCs w:val="22"/>
              </w:rPr>
            </w:pPr>
            <w:r w:rsidRPr="008F5FBC">
              <w:rPr>
                <w:rFonts w:ascii="Arial Narrow" w:eastAsia="Times New Roman" w:hAnsi="Arial Narrow" w:cs="Calibri"/>
                <w:b/>
                <w:bCs/>
                <w:color w:val="000000"/>
                <w:sz w:val="22"/>
                <w:szCs w:val="22"/>
              </w:rPr>
              <w:t>NICSP N° 31,</w:t>
            </w:r>
            <w:r w:rsidRPr="008F5FBC">
              <w:rPr>
                <w:rFonts w:ascii="Arial Narrow" w:eastAsia="Times New Roman" w:hAnsi="Arial Narrow" w:cs="Calibri"/>
                <w:b/>
                <w:bCs/>
                <w:color w:val="000000"/>
                <w:sz w:val="22"/>
                <w:szCs w:val="22"/>
              </w:rPr>
              <w:br/>
              <w:t>Párrafos 13 y 14.</w:t>
            </w:r>
          </w:p>
        </w:tc>
        <w:tc>
          <w:tcPr>
            <w:tcW w:w="1842" w:type="dxa"/>
            <w:tcBorders>
              <w:top w:val="nil"/>
              <w:left w:val="nil"/>
              <w:bottom w:val="single" w:sz="4" w:space="0" w:color="000080"/>
              <w:right w:val="single" w:sz="4" w:space="0" w:color="000080"/>
            </w:tcBorders>
            <w:shd w:val="clear" w:color="auto" w:fill="auto"/>
            <w:hideMark/>
          </w:tcPr>
          <w:p w14:paraId="24799B27" w14:textId="77777777" w:rsidR="004741D6" w:rsidRPr="008F5FBC" w:rsidRDefault="004741D6" w:rsidP="00D16719">
            <w:pPr>
              <w:rPr>
                <w:rFonts w:ascii="Arial Narrow" w:eastAsia="Times New Roman" w:hAnsi="Arial Narrow" w:cs="Calibri"/>
                <w:b/>
                <w:bCs/>
                <w:color w:val="000000"/>
                <w:sz w:val="22"/>
                <w:szCs w:val="22"/>
              </w:rPr>
            </w:pPr>
            <w:r w:rsidRPr="008F5FBC">
              <w:rPr>
                <w:rFonts w:ascii="Arial Narrow" w:eastAsia="Times New Roman" w:hAnsi="Arial Narrow" w:cs="Calibri"/>
                <w:b/>
                <w:bCs/>
                <w:color w:val="000000"/>
                <w:sz w:val="22"/>
                <w:szCs w:val="22"/>
              </w:rPr>
              <w:t>DGCN</w:t>
            </w:r>
          </w:p>
        </w:tc>
      </w:tr>
    </w:tbl>
    <w:p w14:paraId="0BF43215"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098A3E0D" w14:textId="177B3112" w:rsidR="00651532" w:rsidRDefault="00651532" w:rsidP="004741D6">
      <w:pPr>
        <w:spacing w:line="236" w:lineRule="auto"/>
        <w:ind w:left="1134" w:right="280" w:hanging="1134"/>
        <w:jc w:val="both"/>
        <w:rPr>
          <w:rFonts w:ascii="Arial" w:eastAsia="Arial" w:hAnsi="Arial"/>
          <w:b/>
          <w:sz w:val="22"/>
          <w:szCs w:val="22"/>
        </w:rPr>
      </w:pPr>
      <w:r w:rsidRPr="00F02F9D">
        <w:rPr>
          <w:rFonts w:ascii="Arial" w:eastAsia="Arial" w:hAnsi="Arial"/>
          <w:b/>
          <w:sz w:val="22"/>
          <w:szCs w:val="22"/>
        </w:rPr>
        <w:t>Políticas Contables</w:t>
      </w:r>
    </w:p>
    <w:p w14:paraId="17A78131" w14:textId="77777777" w:rsidR="00651532" w:rsidRPr="00E948E8" w:rsidRDefault="00651532" w:rsidP="004741D6">
      <w:pPr>
        <w:spacing w:line="236" w:lineRule="auto"/>
        <w:ind w:left="1134" w:right="280" w:hanging="1134"/>
        <w:jc w:val="both"/>
        <w:rPr>
          <w:rFonts w:ascii="Arial" w:eastAsia="Arial" w:hAnsi="Arial"/>
          <w:bCs/>
          <w:sz w:val="22"/>
          <w:szCs w:val="22"/>
          <w:lang w:val="es-CR"/>
        </w:rPr>
      </w:pPr>
    </w:p>
    <w:p w14:paraId="3231F6AB"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1.231.0.01</w:t>
      </w:r>
      <w:r>
        <w:rPr>
          <w:rFonts w:ascii="Arial" w:eastAsia="Arial" w:hAnsi="Arial"/>
          <w:bCs/>
          <w:sz w:val="22"/>
          <w:szCs w:val="22"/>
          <w:lang w:val="es-CR"/>
        </w:rPr>
        <w:tab/>
      </w:r>
      <w:r w:rsidRPr="00780508">
        <w:rPr>
          <w:rFonts w:ascii="Arial" w:eastAsia="Arial" w:hAnsi="Arial"/>
          <w:bCs/>
          <w:sz w:val="22"/>
          <w:szCs w:val="22"/>
          <w:lang w:val="es-CR"/>
        </w:rPr>
        <w:t>El Patrimonio Intangible </w:t>
      </w:r>
      <w:r w:rsidRPr="007F7CCE">
        <w:rPr>
          <w:rFonts w:ascii="Arial" w:eastAsia="Arial" w:hAnsi="Arial"/>
          <w:bCs/>
          <w:sz w:val="22"/>
          <w:szCs w:val="22"/>
          <w:lang w:val="es-CR"/>
        </w:rPr>
        <w:t>estará conformado por aquellos</w:t>
      </w:r>
      <w:r w:rsidRPr="00780508">
        <w:rPr>
          <w:rFonts w:ascii="Arial" w:eastAsia="Arial" w:hAnsi="Arial"/>
          <w:bCs/>
          <w:sz w:val="22"/>
          <w:szCs w:val="22"/>
          <w:lang w:val="es-CR"/>
        </w:rPr>
        <w:t xml:space="preserve"> elementos sin sustancia física, que procede de una cultura tradicional, popular o indígena, y a los que se les concede un valor excepcional. Se transmite oralmente o mediante gestos y se modifica con el transcurso del tiempo a través de un proceso de recreación colectiva. Son las manifestaciones no materiales que emanan de una cultura en forma de:</w:t>
      </w:r>
    </w:p>
    <w:p w14:paraId="3FD01155" w14:textId="77777777" w:rsidR="00F7162E" w:rsidRPr="00780508" w:rsidRDefault="00F7162E" w:rsidP="004741D6">
      <w:pPr>
        <w:spacing w:line="236" w:lineRule="auto"/>
        <w:ind w:left="1134" w:right="280" w:hanging="1134"/>
        <w:jc w:val="both"/>
        <w:rPr>
          <w:rFonts w:ascii="Arial" w:eastAsia="Arial" w:hAnsi="Arial"/>
          <w:bCs/>
          <w:sz w:val="22"/>
          <w:szCs w:val="22"/>
          <w:lang w:val="es-CR"/>
        </w:rPr>
      </w:pPr>
    </w:p>
    <w:p w14:paraId="41D0C9F3" w14:textId="019144DD" w:rsidR="004741D6" w:rsidRPr="00780508" w:rsidRDefault="00F7162E">
      <w:pPr>
        <w:numPr>
          <w:ilvl w:val="0"/>
          <w:numId w:val="93"/>
        </w:numPr>
        <w:shd w:val="clear" w:color="auto" w:fill="FFFFFF"/>
        <w:tabs>
          <w:tab w:val="clear" w:pos="720"/>
        </w:tabs>
        <w:spacing w:after="120"/>
        <w:ind w:left="1418" w:hanging="284"/>
        <w:rPr>
          <w:rFonts w:ascii="Arial" w:eastAsia="Times New Roman" w:hAnsi="Arial"/>
          <w:color w:val="212529"/>
          <w:sz w:val="22"/>
          <w:szCs w:val="22"/>
          <w:lang w:val="es-CR"/>
        </w:rPr>
      </w:pPr>
      <w:r>
        <w:rPr>
          <w:rFonts w:ascii="Arial" w:eastAsia="Times New Roman" w:hAnsi="Arial"/>
          <w:color w:val="212529"/>
          <w:sz w:val="22"/>
          <w:szCs w:val="22"/>
          <w:lang w:val="es-CR"/>
        </w:rPr>
        <w:t>S</w:t>
      </w:r>
      <w:r w:rsidR="004741D6" w:rsidRPr="00780508">
        <w:rPr>
          <w:rFonts w:ascii="Arial" w:eastAsia="Times New Roman" w:hAnsi="Arial"/>
          <w:color w:val="212529"/>
          <w:sz w:val="22"/>
          <w:szCs w:val="22"/>
          <w:lang w:val="es-CR"/>
        </w:rPr>
        <w:t>aberes (conocimientos y modos de hacer enraizados en la vida cotidiana de las comunidades),</w:t>
      </w:r>
    </w:p>
    <w:p w14:paraId="01E0423A" w14:textId="7EDDB296" w:rsidR="004741D6" w:rsidRPr="00780508" w:rsidRDefault="00F7162E">
      <w:pPr>
        <w:numPr>
          <w:ilvl w:val="0"/>
          <w:numId w:val="93"/>
        </w:numPr>
        <w:shd w:val="clear" w:color="auto" w:fill="FFFFFF"/>
        <w:tabs>
          <w:tab w:val="clear" w:pos="720"/>
        </w:tabs>
        <w:spacing w:after="120"/>
        <w:ind w:left="1418" w:hanging="284"/>
        <w:rPr>
          <w:rFonts w:ascii="Arial" w:eastAsia="Times New Roman" w:hAnsi="Arial"/>
          <w:color w:val="212529"/>
          <w:sz w:val="22"/>
          <w:szCs w:val="22"/>
          <w:lang w:val="es-CR"/>
        </w:rPr>
      </w:pPr>
      <w:r>
        <w:rPr>
          <w:rFonts w:ascii="Arial" w:eastAsia="Times New Roman" w:hAnsi="Arial"/>
          <w:color w:val="212529"/>
          <w:sz w:val="22"/>
          <w:szCs w:val="22"/>
          <w:lang w:val="es-CR"/>
        </w:rPr>
        <w:t>C</w:t>
      </w:r>
      <w:r w:rsidR="004741D6" w:rsidRPr="00780508">
        <w:rPr>
          <w:rFonts w:ascii="Arial" w:eastAsia="Times New Roman" w:hAnsi="Arial"/>
          <w:color w:val="212529"/>
          <w:sz w:val="22"/>
          <w:szCs w:val="22"/>
          <w:lang w:val="es-CR"/>
        </w:rPr>
        <w:t>elebraciones (rituales, festividades, y prácticas de la vida social),</w:t>
      </w:r>
    </w:p>
    <w:p w14:paraId="13596179" w14:textId="77777777" w:rsidR="004741D6" w:rsidRDefault="004741D6">
      <w:pPr>
        <w:numPr>
          <w:ilvl w:val="0"/>
          <w:numId w:val="93"/>
        </w:numPr>
        <w:shd w:val="clear" w:color="auto" w:fill="FFFFFF"/>
        <w:tabs>
          <w:tab w:val="clear" w:pos="720"/>
        </w:tabs>
        <w:spacing w:after="120"/>
        <w:ind w:left="1418" w:hanging="284"/>
        <w:rPr>
          <w:rFonts w:ascii="Arial" w:eastAsia="Times New Roman" w:hAnsi="Arial"/>
          <w:color w:val="212529"/>
          <w:sz w:val="22"/>
          <w:szCs w:val="22"/>
          <w:lang w:val="es-CR"/>
        </w:rPr>
      </w:pPr>
      <w:r w:rsidRPr="00780508">
        <w:rPr>
          <w:rFonts w:ascii="Arial" w:eastAsia="Times New Roman" w:hAnsi="Arial"/>
          <w:color w:val="212529"/>
          <w:sz w:val="22"/>
          <w:szCs w:val="22"/>
          <w:lang w:val="es-CR"/>
        </w:rPr>
        <w:t>formas de expresión (manifestaciones literarias, musicales, plásticas, escénicas, lúdicas, entre otras)</w:t>
      </w:r>
      <w:r>
        <w:rPr>
          <w:rFonts w:ascii="Arial" w:eastAsia="Times New Roman" w:hAnsi="Arial"/>
          <w:color w:val="212529"/>
          <w:sz w:val="22"/>
          <w:szCs w:val="22"/>
          <w:lang w:val="es-CR"/>
        </w:rPr>
        <w:t>,</w:t>
      </w:r>
    </w:p>
    <w:p w14:paraId="66FD0D7D" w14:textId="50E99AB0" w:rsidR="004741D6" w:rsidRPr="00E948E8" w:rsidRDefault="00F7162E">
      <w:pPr>
        <w:numPr>
          <w:ilvl w:val="0"/>
          <w:numId w:val="93"/>
        </w:numPr>
        <w:shd w:val="clear" w:color="auto" w:fill="FFFFFF"/>
        <w:tabs>
          <w:tab w:val="clear" w:pos="720"/>
        </w:tabs>
        <w:spacing w:before="100" w:beforeAutospacing="1" w:after="100" w:afterAutospacing="1"/>
        <w:ind w:left="1418" w:hanging="284"/>
        <w:rPr>
          <w:rFonts w:ascii="Arial" w:eastAsia="Times New Roman" w:hAnsi="Arial"/>
          <w:color w:val="212529"/>
          <w:sz w:val="22"/>
          <w:szCs w:val="22"/>
          <w:lang w:val="es-CR"/>
        </w:rPr>
      </w:pPr>
      <w:r>
        <w:rPr>
          <w:rFonts w:ascii="Arial" w:eastAsia="Times New Roman" w:hAnsi="Arial"/>
          <w:color w:val="212529"/>
          <w:sz w:val="22"/>
          <w:szCs w:val="22"/>
          <w:lang w:val="es-CR"/>
        </w:rPr>
        <w:t>L</w:t>
      </w:r>
      <w:r w:rsidR="004741D6" w:rsidRPr="00780508">
        <w:rPr>
          <w:rFonts w:ascii="Arial" w:eastAsia="Times New Roman" w:hAnsi="Arial"/>
          <w:color w:val="212529"/>
          <w:sz w:val="22"/>
          <w:szCs w:val="22"/>
          <w:lang w:val="es-CR"/>
        </w:rPr>
        <w:t>ugares (mercados, ferias, santuarios, plazas y demás espacios donde tienen lugar prácticas culturales).</w:t>
      </w:r>
    </w:p>
    <w:p w14:paraId="14FB5D8A" w14:textId="43FE27EB" w:rsidR="004741D6" w:rsidRDefault="004741D6" w:rsidP="004741D6">
      <w:pPr>
        <w:spacing w:line="236" w:lineRule="auto"/>
        <w:ind w:left="1134" w:right="280" w:hanging="1134"/>
        <w:jc w:val="both"/>
        <w:rPr>
          <w:rFonts w:ascii="Arial" w:eastAsia="Arial" w:hAnsi="Arial"/>
          <w:bCs/>
          <w:sz w:val="22"/>
          <w:szCs w:val="22"/>
          <w:lang w:val="es-CR"/>
        </w:rPr>
      </w:pPr>
      <w:r w:rsidRPr="008F5FBC">
        <w:rPr>
          <w:rFonts w:ascii="Arial" w:eastAsia="Arial" w:hAnsi="Arial"/>
          <w:bCs/>
          <w:sz w:val="22"/>
          <w:szCs w:val="22"/>
          <w:lang w:val="es-CR"/>
        </w:rPr>
        <w:t>1.</w:t>
      </w:r>
      <w:r>
        <w:rPr>
          <w:rFonts w:ascii="Arial" w:eastAsia="Arial" w:hAnsi="Arial"/>
          <w:bCs/>
          <w:sz w:val="22"/>
          <w:szCs w:val="22"/>
          <w:lang w:val="es-CR"/>
        </w:rPr>
        <w:t>231.0.01</w:t>
      </w:r>
      <w:r>
        <w:rPr>
          <w:rFonts w:ascii="Arial" w:eastAsia="Arial" w:hAnsi="Arial"/>
          <w:bCs/>
          <w:sz w:val="22"/>
          <w:szCs w:val="22"/>
          <w:lang w:val="es-CR"/>
        </w:rPr>
        <w:tab/>
      </w:r>
      <w:r w:rsidRPr="008F5FBC">
        <w:rPr>
          <w:rFonts w:ascii="Arial" w:eastAsia="Arial" w:hAnsi="Arial"/>
          <w:bCs/>
          <w:sz w:val="22"/>
          <w:szCs w:val="22"/>
          <w:lang w:val="es-CR"/>
        </w:rPr>
        <w:t>Los bienes intangibles del patrimonio histórico-artístico y/o cultural</w:t>
      </w:r>
      <w:r>
        <w:rPr>
          <w:rFonts w:ascii="Arial" w:eastAsia="Arial" w:hAnsi="Arial"/>
          <w:bCs/>
          <w:sz w:val="22"/>
          <w:szCs w:val="22"/>
          <w:lang w:val="es-CR"/>
        </w:rPr>
        <w:t xml:space="preserve"> que mantenga la </w:t>
      </w:r>
      <w:r w:rsidR="000F29DC">
        <w:rPr>
          <w:rFonts w:ascii="Arial" w:eastAsia="Arial" w:hAnsi="Arial"/>
          <w:bCs/>
          <w:sz w:val="22"/>
          <w:szCs w:val="22"/>
          <w:lang w:val="es-CR"/>
        </w:rPr>
        <w:t>MBA</w:t>
      </w:r>
      <w:r w:rsidRPr="008F5FBC">
        <w:rPr>
          <w:rFonts w:ascii="Arial" w:eastAsia="Arial" w:hAnsi="Arial"/>
          <w:bCs/>
          <w:sz w:val="22"/>
          <w:szCs w:val="22"/>
          <w:lang w:val="es-CR"/>
        </w:rPr>
        <w:t>, aun cumpliendo con la definición de activos intangibles, no serán reconocidos en los EEFF.</w:t>
      </w:r>
    </w:p>
    <w:p w14:paraId="252F40B1" w14:textId="77777777" w:rsidR="00F7162E" w:rsidRDefault="00F7162E" w:rsidP="004741D6">
      <w:pPr>
        <w:spacing w:line="236" w:lineRule="auto"/>
        <w:ind w:left="1134" w:right="280" w:hanging="1134"/>
        <w:jc w:val="both"/>
        <w:rPr>
          <w:rFonts w:ascii="Arial" w:eastAsia="Arial" w:hAnsi="Arial"/>
          <w:bCs/>
          <w:sz w:val="22"/>
          <w:szCs w:val="22"/>
          <w:lang w:val="es-CR"/>
        </w:rPr>
      </w:pPr>
    </w:p>
    <w:p w14:paraId="0A40248B" w14:textId="20D184B8"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1.231.0.02</w:t>
      </w:r>
      <w:r>
        <w:rPr>
          <w:rFonts w:ascii="Arial" w:eastAsia="Arial" w:hAnsi="Arial"/>
          <w:bCs/>
          <w:sz w:val="22"/>
          <w:szCs w:val="22"/>
          <w:lang w:val="es-CR"/>
        </w:rPr>
        <w:tab/>
        <w:t>L</w:t>
      </w:r>
      <w:r w:rsidRPr="008F5FBC">
        <w:rPr>
          <w:rFonts w:ascii="Arial" w:eastAsia="Arial" w:hAnsi="Arial"/>
          <w:bCs/>
          <w:sz w:val="22"/>
          <w:szCs w:val="22"/>
          <w:lang w:val="es-CR"/>
        </w:rPr>
        <w:t xml:space="preserve">os </w:t>
      </w:r>
      <w:r>
        <w:rPr>
          <w:rFonts w:ascii="Arial" w:eastAsia="Arial" w:hAnsi="Arial"/>
          <w:bCs/>
          <w:sz w:val="22"/>
          <w:szCs w:val="22"/>
          <w:lang w:val="es-CR"/>
        </w:rPr>
        <w:t xml:space="preserve">aspectos importantes relacionados con los </w:t>
      </w:r>
      <w:r w:rsidRPr="008F5FBC">
        <w:rPr>
          <w:rFonts w:ascii="Arial" w:eastAsia="Arial" w:hAnsi="Arial"/>
          <w:bCs/>
          <w:sz w:val="22"/>
          <w:szCs w:val="22"/>
          <w:lang w:val="es-CR"/>
        </w:rPr>
        <w:t xml:space="preserve">bienes intangibles del patrimonio histórico-artístico y/o cultural, deberán </w:t>
      </w:r>
      <w:r>
        <w:rPr>
          <w:rFonts w:ascii="Arial" w:eastAsia="Arial" w:hAnsi="Arial"/>
          <w:bCs/>
          <w:sz w:val="22"/>
          <w:szCs w:val="22"/>
          <w:lang w:val="es-CR"/>
        </w:rPr>
        <w:t xml:space="preserve">ser objeto de </w:t>
      </w:r>
      <w:r w:rsidRPr="008F5FBC">
        <w:rPr>
          <w:rFonts w:ascii="Arial" w:eastAsia="Arial" w:hAnsi="Arial"/>
          <w:bCs/>
          <w:sz w:val="22"/>
          <w:szCs w:val="22"/>
          <w:lang w:val="es-CR"/>
        </w:rPr>
        <w:t xml:space="preserve">revelación </w:t>
      </w:r>
      <w:r>
        <w:rPr>
          <w:rFonts w:ascii="Arial" w:eastAsia="Arial" w:hAnsi="Arial"/>
          <w:bCs/>
          <w:sz w:val="22"/>
          <w:szCs w:val="22"/>
          <w:lang w:val="es-CR"/>
        </w:rPr>
        <w:t>en las Notas a los EEFF</w:t>
      </w:r>
      <w:r w:rsidRPr="008F5FBC">
        <w:rPr>
          <w:rFonts w:ascii="Arial" w:eastAsia="Arial" w:hAnsi="Arial"/>
          <w:bCs/>
          <w:sz w:val="22"/>
          <w:szCs w:val="22"/>
          <w:lang w:val="es-CR"/>
        </w:rPr>
        <w:t>.</w:t>
      </w:r>
    </w:p>
    <w:p w14:paraId="63D67928" w14:textId="77777777" w:rsidR="00F7162E" w:rsidRPr="008F5FBC" w:rsidRDefault="00F7162E" w:rsidP="004741D6">
      <w:pPr>
        <w:spacing w:line="236" w:lineRule="auto"/>
        <w:ind w:left="1134" w:right="280" w:hanging="1134"/>
        <w:jc w:val="both"/>
        <w:rPr>
          <w:rFonts w:ascii="Arial" w:eastAsia="Arial" w:hAnsi="Arial"/>
          <w:bCs/>
          <w:sz w:val="22"/>
          <w:szCs w:val="22"/>
          <w:lang w:val="es-CR"/>
        </w:rPr>
      </w:pPr>
    </w:p>
    <w:p w14:paraId="3F729F09" w14:textId="77777777" w:rsidR="00F7162E"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1.231.1.01</w:t>
      </w:r>
      <w:r>
        <w:rPr>
          <w:rFonts w:ascii="Arial" w:eastAsia="Arial" w:hAnsi="Arial"/>
          <w:bCs/>
          <w:sz w:val="22"/>
          <w:szCs w:val="22"/>
          <w:lang w:val="es-CR"/>
        </w:rPr>
        <w:tab/>
      </w:r>
      <w:r w:rsidRPr="008F5FBC">
        <w:rPr>
          <w:rFonts w:ascii="Arial" w:eastAsia="Arial" w:hAnsi="Arial"/>
          <w:bCs/>
          <w:sz w:val="22"/>
          <w:szCs w:val="22"/>
          <w:lang w:val="es-CR"/>
        </w:rPr>
        <w:t>Los bienes del patrimonio histórico-artístico y/o cultural presentan, en general, determinadas características, incluyendo las siguientes:</w:t>
      </w:r>
    </w:p>
    <w:p w14:paraId="59C69ED1" w14:textId="35F2D217" w:rsidR="004741D6" w:rsidRPr="008F5FBC" w:rsidRDefault="004741D6" w:rsidP="004741D6">
      <w:pPr>
        <w:spacing w:line="236" w:lineRule="auto"/>
        <w:ind w:left="1134" w:right="280" w:hanging="1134"/>
        <w:jc w:val="both"/>
        <w:rPr>
          <w:rFonts w:ascii="Arial" w:eastAsia="Arial" w:hAnsi="Arial"/>
          <w:bCs/>
          <w:sz w:val="22"/>
          <w:szCs w:val="22"/>
          <w:lang w:val="es-CR"/>
        </w:rPr>
      </w:pPr>
      <w:r w:rsidRPr="008F5FBC">
        <w:rPr>
          <w:rFonts w:ascii="Arial" w:eastAsia="Arial" w:hAnsi="Arial"/>
          <w:bCs/>
          <w:sz w:val="22"/>
          <w:szCs w:val="22"/>
          <w:lang w:val="es-CR"/>
        </w:rPr>
        <w:t xml:space="preserve"> </w:t>
      </w:r>
    </w:p>
    <w:p w14:paraId="33C7AC37" w14:textId="67BF5031" w:rsidR="004741D6" w:rsidRPr="008F5FBC" w:rsidRDefault="004741D6" w:rsidP="00F7162E">
      <w:pPr>
        <w:spacing w:after="120"/>
        <w:ind w:left="1418" w:right="278" w:hanging="284"/>
        <w:jc w:val="both"/>
        <w:rPr>
          <w:rFonts w:ascii="Arial" w:eastAsia="Arial" w:hAnsi="Arial"/>
          <w:bCs/>
          <w:sz w:val="22"/>
          <w:szCs w:val="22"/>
          <w:lang w:val="es-CR"/>
        </w:rPr>
      </w:pPr>
      <w:r w:rsidRPr="008F5FBC">
        <w:rPr>
          <w:rFonts w:ascii="Arial" w:eastAsia="Arial" w:hAnsi="Arial"/>
          <w:bCs/>
          <w:sz w:val="22"/>
          <w:szCs w:val="22"/>
          <w:lang w:val="es-CR"/>
        </w:rPr>
        <w:t xml:space="preserve">a) </w:t>
      </w:r>
      <w:r w:rsidR="00F7162E">
        <w:rPr>
          <w:rFonts w:ascii="Arial" w:eastAsia="Arial" w:hAnsi="Arial"/>
          <w:bCs/>
          <w:sz w:val="22"/>
          <w:szCs w:val="22"/>
          <w:lang w:val="es-CR"/>
        </w:rPr>
        <w:t>E</w:t>
      </w:r>
      <w:r w:rsidRPr="008F5FBC">
        <w:rPr>
          <w:rFonts w:ascii="Arial" w:eastAsia="Arial" w:hAnsi="Arial"/>
          <w:bCs/>
          <w:sz w:val="22"/>
          <w:szCs w:val="22"/>
          <w:lang w:val="es-CR"/>
        </w:rPr>
        <w:t xml:space="preserve">s poco probable que su valor en términos culturales, </w:t>
      </w:r>
      <w:r w:rsidR="00AA22E2" w:rsidRPr="008F5FBC">
        <w:rPr>
          <w:rFonts w:ascii="Arial" w:eastAsia="Arial" w:hAnsi="Arial"/>
          <w:bCs/>
          <w:sz w:val="22"/>
          <w:szCs w:val="22"/>
          <w:lang w:val="es-CR"/>
        </w:rPr>
        <w:t>medioa</w:t>
      </w:r>
      <w:r w:rsidR="00AA22E2">
        <w:rPr>
          <w:rFonts w:ascii="Arial" w:eastAsia="Arial" w:hAnsi="Arial"/>
          <w:bCs/>
          <w:sz w:val="22"/>
          <w:szCs w:val="22"/>
          <w:lang w:val="es-CR"/>
        </w:rPr>
        <w:t>mbi</w:t>
      </w:r>
      <w:r w:rsidR="00AA22E2" w:rsidRPr="008F5FBC">
        <w:rPr>
          <w:rFonts w:ascii="Arial" w:eastAsia="Arial" w:hAnsi="Arial"/>
          <w:bCs/>
          <w:sz w:val="22"/>
          <w:szCs w:val="22"/>
          <w:lang w:val="es-CR"/>
        </w:rPr>
        <w:t>entales</w:t>
      </w:r>
      <w:r w:rsidRPr="008F5FBC">
        <w:rPr>
          <w:rFonts w:ascii="Arial" w:eastAsia="Arial" w:hAnsi="Arial"/>
          <w:bCs/>
          <w:sz w:val="22"/>
          <w:szCs w:val="22"/>
          <w:lang w:val="es-CR"/>
        </w:rPr>
        <w:t xml:space="preserve"> e histórico-artísticos quede perfectamente reflejado en un valor financiero basado puramente en un precio de mercado; </w:t>
      </w:r>
    </w:p>
    <w:p w14:paraId="0E26903A" w14:textId="1EE9A270" w:rsidR="004741D6" w:rsidRPr="008F5FBC" w:rsidRDefault="004741D6" w:rsidP="00F7162E">
      <w:pPr>
        <w:spacing w:after="120"/>
        <w:ind w:left="1418" w:right="278" w:hanging="284"/>
        <w:jc w:val="both"/>
        <w:rPr>
          <w:rFonts w:ascii="Arial" w:eastAsia="Arial" w:hAnsi="Arial"/>
          <w:bCs/>
          <w:sz w:val="22"/>
          <w:szCs w:val="22"/>
          <w:lang w:val="es-CR"/>
        </w:rPr>
      </w:pPr>
      <w:r w:rsidRPr="008F5FBC">
        <w:rPr>
          <w:rFonts w:ascii="Arial" w:eastAsia="Arial" w:hAnsi="Arial"/>
          <w:bCs/>
          <w:sz w:val="22"/>
          <w:szCs w:val="22"/>
          <w:lang w:val="es-CR"/>
        </w:rPr>
        <w:t xml:space="preserve">b) </w:t>
      </w:r>
      <w:r w:rsidR="00F7162E">
        <w:rPr>
          <w:rFonts w:ascii="Arial" w:eastAsia="Arial" w:hAnsi="Arial"/>
          <w:bCs/>
          <w:sz w:val="22"/>
          <w:szCs w:val="22"/>
          <w:lang w:val="es-CR"/>
        </w:rPr>
        <w:t>L</w:t>
      </w:r>
      <w:r w:rsidRPr="008F5FBC">
        <w:rPr>
          <w:rFonts w:ascii="Arial" w:eastAsia="Arial" w:hAnsi="Arial"/>
          <w:bCs/>
          <w:sz w:val="22"/>
          <w:szCs w:val="22"/>
          <w:lang w:val="es-CR"/>
        </w:rPr>
        <w:t xml:space="preserve">as obligaciones legales y/o reglamentarias pueden imponer prohibiciones o severas restricciones a su disposición por venta; </w:t>
      </w:r>
    </w:p>
    <w:p w14:paraId="7877B72A" w14:textId="75359B2F" w:rsidR="004741D6" w:rsidRPr="008F5FBC" w:rsidRDefault="004741D6" w:rsidP="00F7162E">
      <w:pPr>
        <w:spacing w:after="120"/>
        <w:ind w:left="1418" w:right="278" w:hanging="284"/>
        <w:jc w:val="both"/>
        <w:rPr>
          <w:rFonts w:ascii="Arial" w:eastAsia="Arial" w:hAnsi="Arial"/>
          <w:bCs/>
          <w:sz w:val="22"/>
          <w:szCs w:val="22"/>
          <w:lang w:val="es-CR"/>
        </w:rPr>
      </w:pPr>
      <w:r w:rsidRPr="008F5FBC">
        <w:rPr>
          <w:rFonts w:ascii="Arial" w:eastAsia="Arial" w:hAnsi="Arial"/>
          <w:bCs/>
          <w:sz w:val="22"/>
          <w:szCs w:val="22"/>
          <w:lang w:val="es-CR"/>
        </w:rPr>
        <w:t xml:space="preserve">c) </w:t>
      </w:r>
      <w:r w:rsidR="00F7162E">
        <w:rPr>
          <w:rFonts w:ascii="Arial" w:eastAsia="Arial" w:hAnsi="Arial"/>
          <w:bCs/>
          <w:sz w:val="22"/>
          <w:szCs w:val="22"/>
          <w:lang w:val="es-CR"/>
        </w:rPr>
        <w:t>S</w:t>
      </w:r>
      <w:r w:rsidRPr="008F5FBC">
        <w:rPr>
          <w:rFonts w:ascii="Arial" w:eastAsia="Arial" w:hAnsi="Arial"/>
          <w:bCs/>
          <w:sz w:val="22"/>
          <w:szCs w:val="22"/>
          <w:lang w:val="es-CR"/>
        </w:rPr>
        <w:t xml:space="preserve">u valor puede incrementarse con el tiempo; y </w:t>
      </w:r>
    </w:p>
    <w:p w14:paraId="23BACC02" w14:textId="2BB21A17" w:rsidR="004741D6" w:rsidRDefault="004741D6" w:rsidP="004741D6">
      <w:pPr>
        <w:spacing w:line="236" w:lineRule="auto"/>
        <w:ind w:left="1418" w:right="280" w:hanging="284"/>
        <w:jc w:val="both"/>
        <w:rPr>
          <w:rFonts w:ascii="Arial" w:eastAsia="Arial" w:hAnsi="Arial"/>
          <w:bCs/>
          <w:sz w:val="22"/>
          <w:szCs w:val="22"/>
          <w:lang w:val="es-CR"/>
        </w:rPr>
      </w:pPr>
      <w:r w:rsidRPr="008F5FBC">
        <w:rPr>
          <w:rFonts w:ascii="Arial" w:eastAsia="Arial" w:hAnsi="Arial"/>
          <w:bCs/>
          <w:sz w:val="22"/>
          <w:szCs w:val="22"/>
          <w:lang w:val="es-CR"/>
        </w:rPr>
        <w:t xml:space="preserve">d) </w:t>
      </w:r>
      <w:r w:rsidR="00F7162E">
        <w:rPr>
          <w:rFonts w:ascii="Arial" w:eastAsia="Arial" w:hAnsi="Arial"/>
          <w:bCs/>
          <w:sz w:val="22"/>
          <w:szCs w:val="22"/>
          <w:lang w:val="es-CR"/>
        </w:rPr>
        <w:t>P</w:t>
      </w:r>
      <w:r w:rsidRPr="008F5FBC">
        <w:rPr>
          <w:rFonts w:ascii="Arial" w:eastAsia="Arial" w:hAnsi="Arial"/>
          <w:bCs/>
          <w:sz w:val="22"/>
          <w:szCs w:val="22"/>
          <w:lang w:val="es-CR"/>
        </w:rPr>
        <w:t>uede ser difícil estimar su vida útil, la cual en algunos casos puede ser de cientos de años.</w:t>
      </w:r>
    </w:p>
    <w:p w14:paraId="41243281" w14:textId="77777777" w:rsidR="00F7162E" w:rsidRPr="008F5FBC" w:rsidRDefault="00F7162E" w:rsidP="004741D6">
      <w:pPr>
        <w:spacing w:line="236" w:lineRule="auto"/>
        <w:ind w:left="1418" w:right="280" w:hanging="284"/>
        <w:jc w:val="both"/>
        <w:rPr>
          <w:rFonts w:ascii="Arial" w:eastAsia="Arial" w:hAnsi="Arial"/>
          <w:bCs/>
          <w:sz w:val="22"/>
          <w:szCs w:val="22"/>
          <w:lang w:val="es-CR"/>
        </w:rPr>
      </w:pPr>
    </w:p>
    <w:p w14:paraId="5031250B" w14:textId="77777777" w:rsidR="004741D6" w:rsidRPr="008F5FBC"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1.231.2</w:t>
      </w:r>
      <w:r w:rsidRPr="008F5FBC">
        <w:rPr>
          <w:rFonts w:ascii="Arial" w:eastAsia="Arial" w:hAnsi="Arial"/>
          <w:bCs/>
          <w:sz w:val="22"/>
          <w:szCs w:val="22"/>
          <w:lang w:val="es-CR"/>
        </w:rPr>
        <w:t>.</w:t>
      </w:r>
      <w:r>
        <w:rPr>
          <w:rFonts w:ascii="Arial" w:eastAsia="Arial" w:hAnsi="Arial"/>
          <w:bCs/>
          <w:sz w:val="22"/>
          <w:szCs w:val="22"/>
          <w:lang w:val="es-CR"/>
        </w:rPr>
        <w:t>01</w:t>
      </w:r>
      <w:r>
        <w:rPr>
          <w:rFonts w:ascii="Arial" w:eastAsia="Arial" w:hAnsi="Arial"/>
          <w:bCs/>
          <w:sz w:val="22"/>
          <w:szCs w:val="22"/>
          <w:lang w:val="es-CR"/>
        </w:rPr>
        <w:tab/>
      </w:r>
      <w:r w:rsidRPr="008F5FBC">
        <w:rPr>
          <w:rFonts w:ascii="Arial" w:eastAsia="Arial" w:hAnsi="Arial"/>
          <w:bCs/>
          <w:sz w:val="22"/>
          <w:szCs w:val="22"/>
          <w:lang w:val="es-CR"/>
        </w:rPr>
        <w:t>Los beneficios económicos o potencial de servicio futuros,</w:t>
      </w:r>
      <w:r>
        <w:rPr>
          <w:rFonts w:ascii="Arial" w:eastAsia="Arial" w:hAnsi="Arial"/>
          <w:bCs/>
          <w:sz w:val="22"/>
          <w:szCs w:val="22"/>
          <w:lang w:val="es-CR"/>
        </w:rPr>
        <w:t xml:space="preserve"> que pudieran generar los </w:t>
      </w:r>
      <w:r w:rsidRPr="008F5FBC">
        <w:rPr>
          <w:rFonts w:ascii="Arial" w:eastAsia="Arial" w:hAnsi="Arial"/>
          <w:bCs/>
          <w:sz w:val="22"/>
          <w:szCs w:val="22"/>
          <w:lang w:val="es-CR"/>
        </w:rPr>
        <w:t>bienes del patrimonio histórico-artístico y/o cultural</w:t>
      </w:r>
      <w:r>
        <w:rPr>
          <w:rFonts w:ascii="Arial" w:eastAsia="Arial" w:hAnsi="Arial"/>
          <w:bCs/>
          <w:sz w:val="22"/>
          <w:szCs w:val="22"/>
          <w:lang w:val="es-CR"/>
        </w:rPr>
        <w:t xml:space="preserve">, </w:t>
      </w:r>
      <w:r w:rsidRPr="008F5FBC">
        <w:rPr>
          <w:rFonts w:ascii="Arial" w:eastAsia="Arial" w:hAnsi="Arial"/>
          <w:bCs/>
          <w:sz w:val="22"/>
          <w:szCs w:val="22"/>
          <w:lang w:val="es-CR"/>
        </w:rPr>
        <w:t>distintos de su valor histórico-artístico y/o cultural (por ejemplo: obtención de regalías por el uso de una grabación histórica)</w:t>
      </w:r>
      <w:r>
        <w:rPr>
          <w:rFonts w:ascii="Arial" w:eastAsia="Arial" w:hAnsi="Arial"/>
          <w:bCs/>
          <w:sz w:val="22"/>
          <w:szCs w:val="22"/>
          <w:lang w:val="es-CR"/>
        </w:rPr>
        <w:t>,</w:t>
      </w:r>
      <w:r w:rsidRPr="008F5FBC">
        <w:rPr>
          <w:rFonts w:ascii="Arial" w:eastAsia="Arial" w:hAnsi="Arial"/>
          <w:bCs/>
          <w:sz w:val="22"/>
          <w:szCs w:val="22"/>
          <w:lang w:val="es-CR"/>
        </w:rPr>
        <w:t xml:space="preserve"> </w:t>
      </w:r>
      <w:r>
        <w:rPr>
          <w:rFonts w:ascii="Arial" w:eastAsia="Arial" w:hAnsi="Arial"/>
          <w:bCs/>
          <w:sz w:val="22"/>
          <w:szCs w:val="22"/>
          <w:lang w:val="es-CR"/>
        </w:rPr>
        <w:t>se</w:t>
      </w:r>
      <w:r w:rsidRPr="008F5FBC">
        <w:rPr>
          <w:rFonts w:ascii="Arial" w:eastAsia="Arial" w:hAnsi="Arial"/>
          <w:bCs/>
          <w:sz w:val="22"/>
          <w:szCs w:val="22"/>
          <w:lang w:val="es-CR"/>
        </w:rPr>
        <w:t xml:space="preserve"> reconocer</w:t>
      </w:r>
      <w:r>
        <w:rPr>
          <w:rFonts w:ascii="Arial" w:eastAsia="Arial" w:hAnsi="Arial"/>
          <w:bCs/>
          <w:sz w:val="22"/>
          <w:szCs w:val="22"/>
          <w:lang w:val="es-CR"/>
        </w:rPr>
        <w:t>án</w:t>
      </w:r>
      <w:r w:rsidRPr="008F5FBC">
        <w:rPr>
          <w:rFonts w:ascii="Arial" w:eastAsia="Arial" w:hAnsi="Arial"/>
          <w:bCs/>
          <w:sz w:val="22"/>
          <w:szCs w:val="22"/>
          <w:lang w:val="es-CR"/>
        </w:rPr>
        <w:t xml:space="preserve"> y medir</w:t>
      </w:r>
      <w:r>
        <w:rPr>
          <w:rFonts w:ascii="Arial" w:eastAsia="Arial" w:hAnsi="Arial"/>
          <w:bCs/>
          <w:sz w:val="22"/>
          <w:szCs w:val="22"/>
          <w:lang w:val="es-CR"/>
        </w:rPr>
        <w:t>án</w:t>
      </w:r>
      <w:r w:rsidRPr="008F5FBC">
        <w:rPr>
          <w:rFonts w:ascii="Arial" w:eastAsia="Arial" w:hAnsi="Arial"/>
          <w:bCs/>
          <w:sz w:val="22"/>
          <w:szCs w:val="22"/>
          <w:lang w:val="es-CR"/>
        </w:rPr>
        <w:t xml:space="preserve"> de la misma forma que otras partidas de activos intangibles generadores de efectivo. </w:t>
      </w:r>
    </w:p>
    <w:p w14:paraId="0866F94E" w14:textId="77777777" w:rsidR="004741D6" w:rsidRDefault="004741D6" w:rsidP="004741D6">
      <w:pPr>
        <w:spacing w:line="236" w:lineRule="auto"/>
        <w:ind w:left="1134" w:right="280" w:hanging="1134"/>
        <w:jc w:val="both"/>
        <w:rPr>
          <w:rFonts w:ascii="Arial" w:eastAsia="Arial" w:hAnsi="Arial"/>
          <w:bCs/>
          <w:sz w:val="22"/>
          <w:szCs w:val="22"/>
          <w:lang w:val="es-CR"/>
        </w:rPr>
      </w:pPr>
    </w:p>
    <w:p w14:paraId="7176E4CC" w14:textId="77777777" w:rsidR="004741D6" w:rsidRPr="00F02F9D" w:rsidRDefault="004741D6" w:rsidP="004741D6">
      <w:pPr>
        <w:spacing w:line="238" w:lineRule="auto"/>
        <w:ind w:left="1134" w:right="260" w:hanging="1134"/>
        <w:jc w:val="both"/>
        <w:rPr>
          <w:rFonts w:ascii="Arial" w:eastAsia="Arial" w:hAnsi="Arial"/>
          <w:b/>
          <w:sz w:val="22"/>
          <w:szCs w:val="22"/>
          <w:lang w:val="es-CR"/>
        </w:rPr>
      </w:pPr>
    </w:p>
    <w:tbl>
      <w:tblPr>
        <w:tblW w:w="9285" w:type="dxa"/>
        <w:tblCellMar>
          <w:top w:w="15" w:type="dxa"/>
        </w:tblCellMar>
        <w:tblLook w:val="04A0" w:firstRow="1" w:lastRow="0" w:firstColumn="1" w:lastColumn="0" w:noHBand="0" w:noVBand="1"/>
      </w:tblPr>
      <w:tblGrid>
        <w:gridCol w:w="521"/>
        <w:gridCol w:w="552"/>
        <w:gridCol w:w="502"/>
        <w:gridCol w:w="3250"/>
        <w:gridCol w:w="2398"/>
        <w:gridCol w:w="1840"/>
        <w:gridCol w:w="222"/>
      </w:tblGrid>
      <w:tr w:rsidR="004741D6" w:rsidRPr="00F7162E" w14:paraId="16AD4F34" w14:textId="77777777" w:rsidTr="00D16719">
        <w:trPr>
          <w:gridAfter w:val="1"/>
          <w:wAfter w:w="222" w:type="dxa"/>
          <w:trHeight w:val="320"/>
        </w:trPr>
        <w:tc>
          <w:tcPr>
            <w:tcW w:w="154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934608A"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lastRenderedPageBreak/>
              <w:t>Norma / Política</w:t>
            </w:r>
          </w:p>
        </w:tc>
        <w:tc>
          <w:tcPr>
            <w:tcW w:w="3263" w:type="dxa"/>
            <w:vMerge w:val="restart"/>
            <w:tcBorders>
              <w:top w:val="single" w:sz="8" w:space="0" w:color="auto"/>
              <w:left w:val="single" w:sz="8" w:space="0" w:color="auto"/>
              <w:bottom w:val="nil"/>
              <w:right w:val="single" w:sz="8" w:space="0" w:color="auto"/>
            </w:tcBorders>
            <w:shd w:val="clear" w:color="000000" w:fill="203764"/>
            <w:vAlign w:val="center"/>
            <w:hideMark/>
          </w:tcPr>
          <w:p w14:paraId="696886D7"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Concepto</w:t>
            </w:r>
          </w:p>
        </w:tc>
        <w:tc>
          <w:tcPr>
            <w:tcW w:w="4253" w:type="dxa"/>
            <w:gridSpan w:val="2"/>
            <w:tcBorders>
              <w:top w:val="single" w:sz="8" w:space="0" w:color="auto"/>
              <w:left w:val="nil"/>
              <w:bottom w:val="single" w:sz="8" w:space="0" w:color="auto"/>
              <w:right w:val="single" w:sz="8" w:space="0" w:color="000000"/>
            </w:tcBorders>
            <w:shd w:val="clear" w:color="000000" w:fill="203764"/>
            <w:vAlign w:val="center"/>
            <w:hideMark/>
          </w:tcPr>
          <w:p w14:paraId="6A09D7EB"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Referencia</w:t>
            </w:r>
          </w:p>
        </w:tc>
      </w:tr>
      <w:tr w:rsidR="004741D6" w:rsidRPr="006E5442" w14:paraId="5D65984E" w14:textId="77777777" w:rsidTr="00F7162E">
        <w:trPr>
          <w:gridAfter w:val="1"/>
          <w:wAfter w:w="222" w:type="dxa"/>
          <w:trHeight w:val="1019"/>
        </w:trPr>
        <w:tc>
          <w:tcPr>
            <w:tcW w:w="1547" w:type="dxa"/>
            <w:gridSpan w:val="3"/>
            <w:vMerge/>
            <w:tcBorders>
              <w:top w:val="single" w:sz="8" w:space="0" w:color="auto"/>
              <w:left w:val="single" w:sz="8" w:space="0" w:color="auto"/>
              <w:bottom w:val="nil"/>
              <w:right w:val="single" w:sz="8" w:space="0" w:color="000000"/>
            </w:tcBorders>
            <w:vAlign w:val="center"/>
            <w:hideMark/>
          </w:tcPr>
          <w:p w14:paraId="11C448E6" w14:textId="77777777" w:rsidR="004741D6" w:rsidRPr="00F7162E" w:rsidRDefault="004741D6" w:rsidP="00D16719">
            <w:pPr>
              <w:rPr>
                <w:rFonts w:ascii="Arial Narrow" w:eastAsia="Times New Roman" w:hAnsi="Arial Narrow"/>
                <w:b/>
                <w:bCs/>
                <w:color w:val="FFFFFF"/>
                <w:sz w:val="22"/>
                <w:szCs w:val="22"/>
              </w:rPr>
            </w:pPr>
          </w:p>
        </w:tc>
        <w:tc>
          <w:tcPr>
            <w:tcW w:w="3263" w:type="dxa"/>
            <w:vMerge/>
            <w:tcBorders>
              <w:top w:val="single" w:sz="8" w:space="0" w:color="auto"/>
              <w:left w:val="single" w:sz="8" w:space="0" w:color="auto"/>
              <w:bottom w:val="nil"/>
              <w:right w:val="single" w:sz="8" w:space="0" w:color="auto"/>
            </w:tcBorders>
            <w:vAlign w:val="center"/>
            <w:hideMark/>
          </w:tcPr>
          <w:p w14:paraId="322D4C37" w14:textId="77777777" w:rsidR="004741D6" w:rsidRPr="00F7162E" w:rsidRDefault="004741D6" w:rsidP="00D16719">
            <w:pPr>
              <w:rPr>
                <w:rFonts w:ascii="Arial Narrow" w:eastAsia="Times New Roman" w:hAnsi="Arial Narrow"/>
                <w:b/>
                <w:bCs/>
                <w:color w:val="FFFFFF"/>
                <w:sz w:val="22"/>
                <w:szCs w:val="22"/>
              </w:rPr>
            </w:pPr>
          </w:p>
        </w:tc>
        <w:tc>
          <w:tcPr>
            <w:tcW w:w="2410" w:type="dxa"/>
            <w:tcBorders>
              <w:top w:val="nil"/>
              <w:left w:val="nil"/>
              <w:bottom w:val="nil"/>
              <w:right w:val="single" w:sz="8" w:space="0" w:color="auto"/>
            </w:tcBorders>
            <w:shd w:val="clear" w:color="000000" w:fill="203764"/>
            <w:vAlign w:val="center"/>
            <w:hideMark/>
          </w:tcPr>
          <w:p w14:paraId="0ED1975A"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19A8021B" w14:textId="77777777" w:rsidR="004741D6" w:rsidRPr="00F7162E" w:rsidRDefault="004741D6" w:rsidP="00D16719">
            <w:pPr>
              <w:jc w:val="center"/>
              <w:rPr>
                <w:rFonts w:ascii="Arial Narrow" w:eastAsia="Times New Roman" w:hAnsi="Arial Narrow"/>
                <w:b/>
                <w:bCs/>
                <w:color w:val="FFFFFF"/>
                <w:sz w:val="22"/>
                <w:szCs w:val="22"/>
                <w:lang w:val="es-CR"/>
              </w:rPr>
            </w:pPr>
            <w:r w:rsidRPr="00F7162E">
              <w:rPr>
                <w:rFonts w:ascii="Arial Narrow" w:eastAsia="Times New Roman" w:hAnsi="Arial Narrow"/>
                <w:b/>
                <w:bCs/>
                <w:color w:val="FFFFFF"/>
                <w:sz w:val="22"/>
                <w:szCs w:val="22"/>
                <w:lang w:val="es-CR"/>
              </w:rPr>
              <w:t>Normativa técnica y disposiciones adicionales</w:t>
            </w:r>
          </w:p>
        </w:tc>
      </w:tr>
      <w:tr w:rsidR="004741D6" w:rsidRPr="00F7162E" w14:paraId="0C8A4D90" w14:textId="77777777" w:rsidTr="00D16719">
        <w:trPr>
          <w:gridAfter w:val="1"/>
          <w:wAfter w:w="222" w:type="dxa"/>
          <w:trHeight w:val="310"/>
        </w:trPr>
        <w:tc>
          <w:tcPr>
            <w:tcW w:w="524"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1D90C1A7" w14:textId="77777777" w:rsidR="004741D6" w:rsidRPr="00F7162E" w:rsidRDefault="004741D6" w:rsidP="00D16719">
            <w:pPr>
              <w:jc w:val="right"/>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10"/>
                <w:sz w:val="22"/>
                <w:szCs w:val="22"/>
              </w:rPr>
              <w:t>1</w:t>
            </w:r>
          </w:p>
        </w:tc>
        <w:tc>
          <w:tcPr>
            <w:tcW w:w="520"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5561EAEC"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4"/>
                <w:sz w:val="22"/>
                <w:szCs w:val="22"/>
              </w:rPr>
              <w:t>232.</w:t>
            </w:r>
          </w:p>
        </w:tc>
        <w:tc>
          <w:tcPr>
            <w:tcW w:w="503"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287E55F9" w14:textId="368AA1D8" w:rsidR="004741D6" w:rsidRPr="00F7162E" w:rsidRDefault="004741D6" w:rsidP="00D16719">
            <w:pPr>
              <w:rPr>
                <w:rFonts w:ascii="Arial Narrow" w:eastAsia="Times New Roman" w:hAnsi="Arial Narrow" w:cs="Times New Roman"/>
                <w:color w:val="000000"/>
                <w:sz w:val="22"/>
                <w:szCs w:val="22"/>
              </w:rPr>
            </w:pPr>
            <w:r w:rsidRPr="00F7162E">
              <w:rPr>
                <w:rFonts w:ascii="Arial Narrow" w:eastAsia="Times New Roman" w:hAnsi="Arial Narrow" w:cs="Times New Roman"/>
                <w:color w:val="000000"/>
                <w:sz w:val="22"/>
                <w:szCs w:val="22"/>
              </w:rPr>
              <w:t> </w:t>
            </w:r>
            <w:r w:rsidR="002B7D8C" w:rsidRPr="00F7162E">
              <w:rPr>
                <w:rFonts w:ascii="Arial Narrow" w:eastAsia="Times New Roman" w:hAnsi="Arial Narrow" w:cs="Times New Roman"/>
                <w:color w:val="000000"/>
                <w:sz w:val="22"/>
                <w:szCs w:val="22"/>
              </w:rPr>
              <w:t>0</w:t>
            </w:r>
          </w:p>
        </w:tc>
        <w:tc>
          <w:tcPr>
            <w:tcW w:w="3263"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11B4FD10"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z w:val="22"/>
                <w:szCs w:val="22"/>
              </w:rPr>
              <w:t>Condiciones previas de reconocimiento</w:t>
            </w:r>
          </w:p>
        </w:tc>
        <w:tc>
          <w:tcPr>
            <w:tcW w:w="2410"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0DB7E2A0" w14:textId="77777777" w:rsidR="00DB64CF" w:rsidRDefault="004741D6" w:rsidP="00DB64CF">
            <w:pPr>
              <w:jc w:val="both"/>
              <w:rPr>
                <w:rFonts w:ascii="Arial Narrow" w:eastAsia="Times New Roman" w:hAnsi="Arial Narrow" w:cs="Arial Narrow"/>
                <w:b/>
                <w:bCs/>
                <w:color w:val="000000"/>
                <w:sz w:val="22"/>
                <w:szCs w:val="22"/>
              </w:rPr>
            </w:pPr>
            <w:r w:rsidRPr="00F7162E">
              <w:rPr>
                <w:rFonts w:ascii="Arial Narrow" w:eastAsia="Times New Roman" w:hAnsi="Arial Narrow" w:cs="Arial Narrow"/>
                <w:b/>
                <w:bCs/>
                <w:color w:val="000000"/>
                <w:sz w:val="22"/>
                <w:szCs w:val="22"/>
              </w:rPr>
              <w:t>NICSP N° 31,</w:t>
            </w:r>
          </w:p>
          <w:p w14:paraId="675D0CDA" w14:textId="627DCE91" w:rsidR="004741D6" w:rsidRPr="00F7162E" w:rsidRDefault="004741D6" w:rsidP="00DB64CF">
            <w:pPr>
              <w:jc w:val="both"/>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z w:val="22"/>
                <w:szCs w:val="22"/>
              </w:rPr>
              <w:t>Párrafo 18</w:t>
            </w:r>
          </w:p>
        </w:tc>
        <w:tc>
          <w:tcPr>
            <w:tcW w:w="1843"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77C2F051"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4"/>
                <w:sz w:val="22"/>
                <w:szCs w:val="22"/>
              </w:rPr>
              <w:t xml:space="preserve"> </w:t>
            </w:r>
          </w:p>
        </w:tc>
      </w:tr>
      <w:tr w:rsidR="004741D6" w:rsidRPr="00E948E8" w14:paraId="043A007A" w14:textId="77777777" w:rsidTr="00D16719">
        <w:trPr>
          <w:trHeight w:val="320"/>
        </w:trPr>
        <w:tc>
          <w:tcPr>
            <w:tcW w:w="524" w:type="dxa"/>
            <w:vMerge/>
            <w:tcBorders>
              <w:top w:val="nil"/>
              <w:left w:val="single" w:sz="8" w:space="0" w:color="000080"/>
              <w:bottom w:val="single" w:sz="8" w:space="0" w:color="000000"/>
              <w:right w:val="single" w:sz="8" w:space="0" w:color="000080"/>
            </w:tcBorders>
            <w:vAlign w:val="center"/>
            <w:hideMark/>
          </w:tcPr>
          <w:p w14:paraId="30CE43C9" w14:textId="77777777" w:rsidR="004741D6" w:rsidRPr="00E948E8" w:rsidRDefault="004741D6" w:rsidP="00D16719">
            <w:pPr>
              <w:rPr>
                <w:rFonts w:ascii="Arial Narrow" w:eastAsia="Times New Roman" w:hAnsi="Arial Narrow" w:cs="Calibri"/>
                <w:b/>
                <w:bCs/>
                <w:color w:val="000000"/>
              </w:rPr>
            </w:pPr>
          </w:p>
        </w:tc>
        <w:tc>
          <w:tcPr>
            <w:tcW w:w="520" w:type="dxa"/>
            <w:vMerge/>
            <w:tcBorders>
              <w:top w:val="nil"/>
              <w:left w:val="single" w:sz="8" w:space="0" w:color="000080"/>
              <w:bottom w:val="single" w:sz="8" w:space="0" w:color="000000"/>
              <w:right w:val="single" w:sz="8" w:space="0" w:color="000080"/>
            </w:tcBorders>
            <w:vAlign w:val="center"/>
            <w:hideMark/>
          </w:tcPr>
          <w:p w14:paraId="740B51E1" w14:textId="77777777" w:rsidR="004741D6" w:rsidRPr="00E948E8" w:rsidRDefault="004741D6" w:rsidP="00D16719">
            <w:pPr>
              <w:rPr>
                <w:rFonts w:ascii="Arial Narrow" w:eastAsia="Times New Roman" w:hAnsi="Arial Narrow" w:cs="Calibri"/>
                <w:b/>
                <w:bCs/>
                <w:color w:val="000000"/>
              </w:rPr>
            </w:pPr>
          </w:p>
        </w:tc>
        <w:tc>
          <w:tcPr>
            <w:tcW w:w="503" w:type="dxa"/>
            <w:vMerge/>
            <w:tcBorders>
              <w:top w:val="nil"/>
              <w:left w:val="single" w:sz="8" w:space="0" w:color="000080"/>
              <w:bottom w:val="single" w:sz="8" w:space="0" w:color="000000"/>
              <w:right w:val="single" w:sz="8" w:space="0" w:color="000080"/>
            </w:tcBorders>
            <w:vAlign w:val="center"/>
            <w:hideMark/>
          </w:tcPr>
          <w:p w14:paraId="71511919" w14:textId="77777777" w:rsidR="004741D6" w:rsidRPr="00E948E8" w:rsidRDefault="004741D6" w:rsidP="00D16719">
            <w:pPr>
              <w:rPr>
                <w:rFonts w:ascii="Times New Roman" w:eastAsia="Times New Roman" w:hAnsi="Times New Roman" w:cs="Times New Roman"/>
                <w:color w:val="000000"/>
              </w:rPr>
            </w:pPr>
          </w:p>
        </w:tc>
        <w:tc>
          <w:tcPr>
            <w:tcW w:w="3263" w:type="dxa"/>
            <w:vMerge/>
            <w:tcBorders>
              <w:top w:val="nil"/>
              <w:left w:val="single" w:sz="8" w:space="0" w:color="000080"/>
              <w:bottom w:val="single" w:sz="8" w:space="0" w:color="000000"/>
              <w:right w:val="single" w:sz="8" w:space="0" w:color="000080"/>
            </w:tcBorders>
            <w:vAlign w:val="center"/>
            <w:hideMark/>
          </w:tcPr>
          <w:p w14:paraId="4F3CD7BB" w14:textId="77777777" w:rsidR="004741D6" w:rsidRPr="00E948E8" w:rsidRDefault="004741D6" w:rsidP="00D16719">
            <w:pPr>
              <w:rPr>
                <w:rFonts w:ascii="Arial Narrow" w:eastAsia="Times New Roman" w:hAnsi="Arial Narrow" w:cs="Calibri"/>
                <w:b/>
                <w:bCs/>
                <w:color w:val="000000"/>
              </w:rPr>
            </w:pPr>
          </w:p>
        </w:tc>
        <w:tc>
          <w:tcPr>
            <w:tcW w:w="2410" w:type="dxa"/>
            <w:vMerge/>
            <w:tcBorders>
              <w:top w:val="nil"/>
              <w:left w:val="single" w:sz="8" w:space="0" w:color="000080"/>
              <w:bottom w:val="single" w:sz="8" w:space="0" w:color="000000"/>
              <w:right w:val="single" w:sz="8" w:space="0" w:color="000080"/>
            </w:tcBorders>
            <w:vAlign w:val="center"/>
            <w:hideMark/>
          </w:tcPr>
          <w:p w14:paraId="6C2D0051" w14:textId="77777777" w:rsidR="004741D6" w:rsidRPr="00E948E8" w:rsidRDefault="004741D6" w:rsidP="00D16719">
            <w:pPr>
              <w:rPr>
                <w:rFonts w:ascii="Arial Narrow" w:eastAsia="Times New Roman" w:hAnsi="Arial Narrow" w:cs="Calibri"/>
                <w:b/>
                <w:bCs/>
                <w:color w:val="000000"/>
              </w:rPr>
            </w:pPr>
          </w:p>
        </w:tc>
        <w:tc>
          <w:tcPr>
            <w:tcW w:w="1843" w:type="dxa"/>
            <w:vMerge/>
            <w:tcBorders>
              <w:top w:val="nil"/>
              <w:left w:val="single" w:sz="8" w:space="0" w:color="000080"/>
              <w:bottom w:val="single" w:sz="8" w:space="0" w:color="000000"/>
              <w:right w:val="single" w:sz="8" w:space="0" w:color="000080"/>
            </w:tcBorders>
            <w:vAlign w:val="center"/>
            <w:hideMark/>
          </w:tcPr>
          <w:p w14:paraId="15720609" w14:textId="77777777" w:rsidR="004741D6" w:rsidRPr="00E948E8" w:rsidRDefault="004741D6" w:rsidP="00D16719">
            <w:pPr>
              <w:rPr>
                <w:rFonts w:ascii="Arial Narrow" w:eastAsia="Times New Roman" w:hAnsi="Arial Narrow" w:cs="Calibri"/>
                <w:b/>
                <w:bCs/>
                <w:color w:val="000000"/>
              </w:rPr>
            </w:pPr>
          </w:p>
        </w:tc>
        <w:tc>
          <w:tcPr>
            <w:tcW w:w="222" w:type="dxa"/>
            <w:tcBorders>
              <w:top w:val="nil"/>
              <w:left w:val="nil"/>
              <w:bottom w:val="nil"/>
              <w:right w:val="nil"/>
            </w:tcBorders>
            <w:shd w:val="clear" w:color="auto" w:fill="auto"/>
            <w:noWrap/>
            <w:vAlign w:val="bottom"/>
            <w:hideMark/>
          </w:tcPr>
          <w:p w14:paraId="525E3C3E" w14:textId="77777777" w:rsidR="004741D6" w:rsidRPr="00E948E8" w:rsidRDefault="004741D6" w:rsidP="00D16719">
            <w:pPr>
              <w:rPr>
                <w:rFonts w:ascii="Arial Narrow" w:eastAsia="Times New Roman" w:hAnsi="Arial Narrow" w:cs="Calibri"/>
                <w:b/>
                <w:bCs/>
                <w:color w:val="000000"/>
              </w:rPr>
            </w:pPr>
          </w:p>
        </w:tc>
      </w:tr>
    </w:tbl>
    <w:p w14:paraId="4030F5A7" w14:textId="77777777" w:rsidR="004741D6" w:rsidRDefault="004741D6" w:rsidP="004741D6">
      <w:pPr>
        <w:spacing w:line="238" w:lineRule="auto"/>
        <w:ind w:left="1134" w:right="260" w:hanging="1134"/>
        <w:jc w:val="both"/>
        <w:rPr>
          <w:rFonts w:ascii="Arial" w:eastAsia="Arial" w:hAnsi="Arial"/>
          <w:b/>
          <w:sz w:val="22"/>
          <w:szCs w:val="22"/>
          <w:lang w:val="es-CR"/>
        </w:rPr>
      </w:pPr>
    </w:p>
    <w:p w14:paraId="66472306" w14:textId="0A964898" w:rsidR="00651532" w:rsidRDefault="00651532"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3958554A" w14:textId="77777777" w:rsidR="00651532" w:rsidRDefault="00651532" w:rsidP="004741D6">
      <w:pPr>
        <w:spacing w:line="238" w:lineRule="auto"/>
        <w:ind w:left="1134" w:right="260" w:hanging="1134"/>
        <w:jc w:val="both"/>
        <w:rPr>
          <w:rFonts w:ascii="Arial" w:eastAsia="Arial" w:hAnsi="Arial"/>
          <w:b/>
          <w:sz w:val="22"/>
          <w:szCs w:val="22"/>
          <w:lang w:val="es-CR"/>
        </w:rPr>
      </w:pPr>
    </w:p>
    <w:p w14:paraId="314CDD63" w14:textId="36EE404E" w:rsidR="004741D6" w:rsidRPr="00E948E8"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1.232.0.01</w:t>
      </w:r>
      <w:r>
        <w:rPr>
          <w:rFonts w:ascii="Arial" w:eastAsia="Arial" w:hAnsi="Arial"/>
          <w:bCs/>
          <w:sz w:val="22"/>
          <w:szCs w:val="22"/>
          <w:lang w:val="es-CR"/>
        </w:rPr>
        <w:tab/>
      </w:r>
      <w:r w:rsidRPr="00E948E8">
        <w:rPr>
          <w:rFonts w:ascii="Arial" w:eastAsia="Arial" w:hAnsi="Arial"/>
          <w:bCs/>
          <w:sz w:val="22"/>
          <w:szCs w:val="22"/>
          <w:lang w:val="es-CR"/>
        </w:rPr>
        <w:t xml:space="preserve">Para que un activo intangible en la </w:t>
      </w:r>
      <w:r w:rsidR="000F29DC">
        <w:rPr>
          <w:rFonts w:ascii="Arial" w:eastAsia="Arial" w:hAnsi="Arial"/>
          <w:bCs/>
          <w:sz w:val="22"/>
          <w:szCs w:val="22"/>
          <w:lang w:val="es-CR"/>
        </w:rPr>
        <w:t>MBA</w:t>
      </w:r>
      <w:r w:rsidRPr="00E948E8">
        <w:rPr>
          <w:rFonts w:ascii="Arial" w:eastAsia="Arial" w:hAnsi="Arial"/>
          <w:bCs/>
          <w:sz w:val="22"/>
          <w:szCs w:val="22"/>
          <w:lang w:val="es-CR"/>
        </w:rPr>
        <w:t xml:space="preserve"> pueda ser considerado como tal, deben cumplirse las siguientes condiciones:</w:t>
      </w:r>
    </w:p>
    <w:p w14:paraId="6CD5F102" w14:textId="77777777" w:rsidR="004741D6" w:rsidRPr="00627673" w:rsidRDefault="004741D6" w:rsidP="004741D6">
      <w:pPr>
        <w:spacing w:line="276" w:lineRule="exact"/>
        <w:rPr>
          <w:rFonts w:ascii="Times New Roman" w:eastAsia="Times New Roman" w:hAnsi="Times New Roman"/>
          <w:lang w:val="es-CR"/>
        </w:rPr>
      </w:pPr>
    </w:p>
    <w:p w14:paraId="668BD5F5" w14:textId="77777777" w:rsidR="004741D6" w:rsidRPr="00E948E8" w:rsidRDefault="004741D6">
      <w:pPr>
        <w:pStyle w:val="Prrafodelista"/>
        <w:numPr>
          <w:ilvl w:val="0"/>
          <w:numId w:val="94"/>
        </w:numPr>
        <w:spacing w:after="120"/>
        <w:ind w:left="1559" w:hanging="357"/>
        <w:contextualSpacing w:val="0"/>
        <w:rPr>
          <w:rFonts w:ascii="Arial" w:eastAsia="Arial" w:hAnsi="Arial"/>
          <w:bCs/>
          <w:sz w:val="22"/>
          <w:szCs w:val="22"/>
          <w:lang w:val="es-CR"/>
        </w:rPr>
      </w:pPr>
      <w:r w:rsidRPr="00E948E8">
        <w:rPr>
          <w:rFonts w:ascii="Arial" w:eastAsia="Arial" w:hAnsi="Arial"/>
          <w:bCs/>
          <w:sz w:val="22"/>
          <w:szCs w:val="22"/>
          <w:lang w:val="es-CR"/>
        </w:rPr>
        <w:t>El activo debe ser identificable.</w:t>
      </w:r>
    </w:p>
    <w:p w14:paraId="1D9BF824" w14:textId="77777777" w:rsidR="004741D6" w:rsidRPr="00E948E8" w:rsidRDefault="004741D6">
      <w:pPr>
        <w:pStyle w:val="Prrafodelista"/>
        <w:numPr>
          <w:ilvl w:val="0"/>
          <w:numId w:val="94"/>
        </w:numPr>
        <w:spacing w:after="120"/>
        <w:ind w:left="1559" w:hanging="357"/>
        <w:contextualSpacing w:val="0"/>
        <w:rPr>
          <w:rFonts w:ascii="Arial" w:eastAsia="Arial" w:hAnsi="Arial"/>
          <w:bCs/>
          <w:sz w:val="22"/>
          <w:szCs w:val="22"/>
          <w:lang w:val="es-CR"/>
        </w:rPr>
      </w:pPr>
      <w:r w:rsidRPr="00E948E8">
        <w:rPr>
          <w:rFonts w:ascii="Arial" w:eastAsia="Arial" w:hAnsi="Arial"/>
          <w:bCs/>
          <w:sz w:val="22"/>
          <w:szCs w:val="22"/>
          <w:lang w:val="es-CR"/>
        </w:rPr>
        <w:t>La Institución debe tener el control del mismo.</w:t>
      </w:r>
    </w:p>
    <w:p w14:paraId="038B3248" w14:textId="77777777" w:rsidR="004741D6" w:rsidRPr="00E948E8" w:rsidRDefault="004741D6">
      <w:pPr>
        <w:pStyle w:val="Prrafodelista"/>
        <w:numPr>
          <w:ilvl w:val="0"/>
          <w:numId w:val="94"/>
        </w:numPr>
        <w:spacing w:line="236" w:lineRule="auto"/>
        <w:ind w:left="1560" w:right="260"/>
        <w:rPr>
          <w:rFonts w:ascii="Arial" w:eastAsia="Arial" w:hAnsi="Arial"/>
          <w:bCs/>
          <w:sz w:val="22"/>
          <w:szCs w:val="22"/>
          <w:lang w:val="es-CR"/>
        </w:rPr>
      </w:pPr>
      <w:r w:rsidRPr="00E948E8">
        <w:rPr>
          <w:rFonts w:ascii="Arial" w:eastAsia="Arial" w:hAnsi="Arial"/>
          <w:bCs/>
          <w:sz w:val="22"/>
          <w:szCs w:val="22"/>
          <w:lang w:val="es-CR"/>
        </w:rPr>
        <w:t>El activo debe ser capaz de generar beneficios económicos o potencial de servicios futuros.</w:t>
      </w:r>
    </w:p>
    <w:p w14:paraId="7C7FBE60" w14:textId="77777777" w:rsidR="002B7D8C" w:rsidRDefault="002B7D8C" w:rsidP="004741D6">
      <w:pPr>
        <w:spacing w:line="238" w:lineRule="auto"/>
        <w:ind w:left="1134" w:right="260" w:hanging="1134"/>
        <w:jc w:val="both"/>
        <w:rPr>
          <w:rFonts w:ascii="Arial" w:eastAsia="Arial" w:hAnsi="Arial"/>
          <w:b/>
          <w:sz w:val="22"/>
          <w:szCs w:val="22"/>
          <w:lang w:val="es-CR"/>
        </w:rPr>
      </w:pPr>
    </w:p>
    <w:p w14:paraId="27E16007" w14:textId="77777777" w:rsidR="00651532" w:rsidRDefault="00651532" w:rsidP="004741D6">
      <w:pPr>
        <w:spacing w:line="238" w:lineRule="auto"/>
        <w:ind w:left="1134" w:right="260" w:hanging="1134"/>
        <w:jc w:val="both"/>
        <w:rPr>
          <w:rFonts w:ascii="Arial" w:eastAsia="Arial" w:hAnsi="Arial"/>
          <w:b/>
          <w:sz w:val="22"/>
          <w:szCs w:val="22"/>
          <w:lang w:val="es-CR"/>
        </w:rPr>
      </w:pPr>
    </w:p>
    <w:tbl>
      <w:tblPr>
        <w:tblW w:w="9284" w:type="dxa"/>
        <w:tblCellMar>
          <w:top w:w="15" w:type="dxa"/>
        </w:tblCellMar>
        <w:tblLook w:val="04A0" w:firstRow="1" w:lastRow="0" w:firstColumn="1" w:lastColumn="0" w:noHBand="0" w:noVBand="1"/>
      </w:tblPr>
      <w:tblGrid>
        <w:gridCol w:w="523"/>
        <w:gridCol w:w="552"/>
        <w:gridCol w:w="502"/>
        <w:gridCol w:w="3248"/>
        <w:gridCol w:w="2538"/>
        <w:gridCol w:w="1699"/>
        <w:gridCol w:w="222"/>
      </w:tblGrid>
      <w:tr w:rsidR="004741D6" w:rsidRPr="00F7162E" w14:paraId="0C8169AB" w14:textId="77777777" w:rsidTr="00DB64CF">
        <w:trPr>
          <w:gridAfter w:val="1"/>
          <w:wAfter w:w="222" w:type="dxa"/>
          <w:trHeight w:val="320"/>
        </w:trPr>
        <w:tc>
          <w:tcPr>
            <w:tcW w:w="157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EB9530A"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 / Política</w:t>
            </w:r>
          </w:p>
        </w:tc>
        <w:tc>
          <w:tcPr>
            <w:tcW w:w="3248"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B36E1D"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Concepto</w:t>
            </w:r>
          </w:p>
        </w:tc>
        <w:tc>
          <w:tcPr>
            <w:tcW w:w="4237" w:type="dxa"/>
            <w:gridSpan w:val="2"/>
            <w:tcBorders>
              <w:top w:val="single" w:sz="8" w:space="0" w:color="auto"/>
              <w:left w:val="nil"/>
              <w:bottom w:val="single" w:sz="8" w:space="0" w:color="auto"/>
              <w:right w:val="single" w:sz="8" w:space="0" w:color="000000"/>
            </w:tcBorders>
            <w:shd w:val="clear" w:color="000000" w:fill="203764"/>
            <w:vAlign w:val="center"/>
            <w:hideMark/>
          </w:tcPr>
          <w:p w14:paraId="6C943350"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Referencia</w:t>
            </w:r>
          </w:p>
        </w:tc>
      </w:tr>
      <w:tr w:rsidR="004741D6" w:rsidRPr="006E5442" w14:paraId="52CE902C" w14:textId="77777777" w:rsidTr="00DB64CF">
        <w:trPr>
          <w:gridAfter w:val="1"/>
          <w:wAfter w:w="222" w:type="dxa"/>
          <w:trHeight w:val="1240"/>
        </w:trPr>
        <w:tc>
          <w:tcPr>
            <w:tcW w:w="1577" w:type="dxa"/>
            <w:gridSpan w:val="3"/>
            <w:vMerge/>
            <w:tcBorders>
              <w:top w:val="single" w:sz="8" w:space="0" w:color="auto"/>
              <w:left w:val="single" w:sz="8" w:space="0" w:color="auto"/>
              <w:bottom w:val="nil"/>
              <w:right w:val="single" w:sz="8" w:space="0" w:color="000000"/>
            </w:tcBorders>
            <w:vAlign w:val="center"/>
            <w:hideMark/>
          </w:tcPr>
          <w:p w14:paraId="5BBF8449" w14:textId="77777777" w:rsidR="004741D6" w:rsidRPr="00F7162E" w:rsidRDefault="004741D6" w:rsidP="00D16719">
            <w:pPr>
              <w:rPr>
                <w:rFonts w:ascii="Arial Narrow" w:eastAsia="Times New Roman" w:hAnsi="Arial Narrow"/>
                <w:b/>
                <w:bCs/>
                <w:color w:val="FFFFFF"/>
                <w:sz w:val="22"/>
                <w:szCs w:val="22"/>
              </w:rPr>
            </w:pPr>
          </w:p>
        </w:tc>
        <w:tc>
          <w:tcPr>
            <w:tcW w:w="3248" w:type="dxa"/>
            <w:vMerge/>
            <w:tcBorders>
              <w:top w:val="single" w:sz="8" w:space="0" w:color="auto"/>
              <w:left w:val="single" w:sz="8" w:space="0" w:color="auto"/>
              <w:bottom w:val="nil"/>
              <w:right w:val="single" w:sz="8" w:space="0" w:color="auto"/>
            </w:tcBorders>
            <w:vAlign w:val="center"/>
            <w:hideMark/>
          </w:tcPr>
          <w:p w14:paraId="5D42C314" w14:textId="77777777" w:rsidR="004741D6" w:rsidRPr="00F7162E" w:rsidRDefault="004741D6" w:rsidP="00D16719">
            <w:pPr>
              <w:rPr>
                <w:rFonts w:ascii="Arial Narrow" w:eastAsia="Times New Roman" w:hAnsi="Arial Narrow"/>
                <w:b/>
                <w:bCs/>
                <w:color w:val="FFFFFF"/>
                <w:sz w:val="22"/>
                <w:szCs w:val="22"/>
              </w:rPr>
            </w:pPr>
          </w:p>
        </w:tc>
        <w:tc>
          <w:tcPr>
            <w:tcW w:w="2538" w:type="dxa"/>
            <w:tcBorders>
              <w:top w:val="nil"/>
              <w:left w:val="nil"/>
              <w:bottom w:val="nil"/>
              <w:right w:val="single" w:sz="8" w:space="0" w:color="auto"/>
            </w:tcBorders>
            <w:shd w:val="clear" w:color="000000" w:fill="203764"/>
            <w:vAlign w:val="center"/>
            <w:hideMark/>
          </w:tcPr>
          <w:p w14:paraId="6542B8F2"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w:t>
            </w:r>
          </w:p>
        </w:tc>
        <w:tc>
          <w:tcPr>
            <w:tcW w:w="1699" w:type="dxa"/>
            <w:tcBorders>
              <w:top w:val="nil"/>
              <w:left w:val="nil"/>
              <w:bottom w:val="nil"/>
              <w:right w:val="single" w:sz="8" w:space="0" w:color="auto"/>
            </w:tcBorders>
            <w:shd w:val="clear" w:color="000000" w:fill="203764"/>
            <w:vAlign w:val="center"/>
            <w:hideMark/>
          </w:tcPr>
          <w:p w14:paraId="4BBDFE38" w14:textId="77777777" w:rsidR="004741D6" w:rsidRPr="00F7162E" w:rsidRDefault="004741D6" w:rsidP="00D16719">
            <w:pPr>
              <w:jc w:val="center"/>
              <w:rPr>
                <w:rFonts w:ascii="Arial Narrow" w:eastAsia="Times New Roman" w:hAnsi="Arial Narrow"/>
                <w:b/>
                <w:bCs/>
                <w:color w:val="FFFFFF"/>
                <w:sz w:val="22"/>
                <w:szCs w:val="22"/>
                <w:lang w:val="es-CR"/>
              </w:rPr>
            </w:pPr>
            <w:r w:rsidRPr="00F7162E">
              <w:rPr>
                <w:rFonts w:ascii="Arial Narrow" w:eastAsia="Times New Roman" w:hAnsi="Arial Narrow"/>
                <w:b/>
                <w:bCs/>
                <w:color w:val="FFFFFF"/>
                <w:sz w:val="22"/>
                <w:szCs w:val="22"/>
                <w:lang w:val="es-CR"/>
              </w:rPr>
              <w:t>Normativa técnica y disposiciones adicionales</w:t>
            </w:r>
          </w:p>
        </w:tc>
      </w:tr>
      <w:tr w:rsidR="004741D6" w:rsidRPr="00F7162E" w14:paraId="6B6CF220" w14:textId="77777777" w:rsidTr="00DB64CF">
        <w:trPr>
          <w:gridAfter w:val="1"/>
          <w:wAfter w:w="222" w:type="dxa"/>
          <w:trHeight w:val="310"/>
        </w:trPr>
        <w:tc>
          <w:tcPr>
            <w:tcW w:w="523"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597DBC0D" w14:textId="77777777" w:rsidR="004741D6" w:rsidRPr="00F7162E" w:rsidRDefault="004741D6" w:rsidP="00D16719">
            <w:pPr>
              <w:jc w:val="right"/>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10"/>
                <w:sz w:val="22"/>
                <w:szCs w:val="22"/>
              </w:rPr>
              <w:t>1</w:t>
            </w:r>
          </w:p>
        </w:tc>
        <w:tc>
          <w:tcPr>
            <w:tcW w:w="552"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47A43748"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4"/>
                <w:sz w:val="22"/>
                <w:szCs w:val="22"/>
              </w:rPr>
              <w:t>233.</w:t>
            </w:r>
          </w:p>
        </w:tc>
        <w:tc>
          <w:tcPr>
            <w:tcW w:w="502"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01E9A8F7" w14:textId="778AE951" w:rsidR="004741D6" w:rsidRPr="00F7162E" w:rsidRDefault="004741D6" w:rsidP="00D16719">
            <w:pPr>
              <w:rPr>
                <w:rFonts w:ascii="Arial Narrow" w:eastAsia="Times New Roman" w:hAnsi="Arial Narrow" w:cs="Times New Roman"/>
                <w:color w:val="000000"/>
                <w:sz w:val="22"/>
                <w:szCs w:val="22"/>
              </w:rPr>
            </w:pPr>
            <w:r w:rsidRPr="00F7162E">
              <w:rPr>
                <w:rFonts w:ascii="Arial Narrow" w:eastAsia="Times New Roman" w:hAnsi="Arial Narrow" w:cs="Times New Roman"/>
                <w:color w:val="000000"/>
                <w:sz w:val="22"/>
                <w:szCs w:val="22"/>
              </w:rPr>
              <w:t> </w:t>
            </w:r>
            <w:r w:rsidR="002B7D8C" w:rsidRPr="00F7162E">
              <w:rPr>
                <w:rFonts w:ascii="Arial Narrow" w:eastAsia="Times New Roman" w:hAnsi="Arial Narrow" w:cs="Times New Roman"/>
                <w:color w:val="000000"/>
                <w:sz w:val="22"/>
                <w:szCs w:val="22"/>
              </w:rPr>
              <w:t>0</w:t>
            </w:r>
          </w:p>
        </w:tc>
        <w:tc>
          <w:tcPr>
            <w:tcW w:w="3248"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7C03BD1B"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z w:val="22"/>
                <w:szCs w:val="22"/>
              </w:rPr>
              <w:t>Activo identificable</w:t>
            </w:r>
          </w:p>
        </w:tc>
        <w:tc>
          <w:tcPr>
            <w:tcW w:w="2538"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108EAB84" w14:textId="77777777" w:rsidR="00DB64CF" w:rsidRDefault="004741D6" w:rsidP="00DB64CF">
            <w:pPr>
              <w:jc w:val="both"/>
              <w:rPr>
                <w:rFonts w:ascii="Arial Narrow" w:eastAsia="Times New Roman" w:hAnsi="Arial Narrow" w:cs="Arial Narrow"/>
                <w:b/>
                <w:bCs/>
                <w:color w:val="000000"/>
                <w:sz w:val="22"/>
                <w:szCs w:val="22"/>
              </w:rPr>
            </w:pPr>
            <w:r w:rsidRPr="00F7162E">
              <w:rPr>
                <w:rFonts w:ascii="Arial Narrow" w:eastAsia="Times New Roman" w:hAnsi="Arial Narrow" w:cs="Arial Narrow"/>
                <w:b/>
                <w:bCs/>
                <w:color w:val="000000"/>
                <w:sz w:val="22"/>
                <w:szCs w:val="22"/>
              </w:rPr>
              <w:t>NICSP N° 31,</w:t>
            </w:r>
          </w:p>
          <w:p w14:paraId="367AA98D" w14:textId="4C56A5D1" w:rsidR="004741D6" w:rsidRPr="00F7162E" w:rsidRDefault="004741D6" w:rsidP="00DB64CF">
            <w:pPr>
              <w:jc w:val="both"/>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z w:val="22"/>
                <w:szCs w:val="22"/>
              </w:rPr>
              <w:t>Párrafo 19.</w:t>
            </w:r>
          </w:p>
        </w:tc>
        <w:tc>
          <w:tcPr>
            <w:tcW w:w="1699" w:type="dxa"/>
            <w:vMerge w:val="restart"/>
            <w:tcBorders>
              <w:top w:val="nil"/>
              <w:left w:val="single" w:sz="8" w:space="0" w:color="000080"/>
              <w:bottom w:val="single" w:sz="8" w:space="0" w:color="000000"/>
              <w:right w:val="single" w:sz="8" w:space="0" w:color="000080"/>
            </w:tcBorders>
            <w:shd w:val="clear" w:color="auto" w:fill="auto"/>
            <w:vAlign w:val="center"/>
            <w:hideMark/>
          </w:tcPr>
          <w:p w14:paraId="1AC750A1"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4"/>
                <w:sz w:val="22"/>
                <w:szCs w:val="22"/>
              </w:rPr>
              <w:t xml:space="preserve"> </w:t>
            </w:r>
          </w:p>
        </w:tc>
      </w:tr>
      <w:tr w:rsidR="004741D6" w:rsidRPr="00EC3D07" w14:paraId="7F67F2B4" w14:textId="77777777" w:rsidTr="00DB64CF">
        <w:trPr>
          <w:trHeight w:val="320"/>
        </w:trPr>
        <w:tc>
          <w:tcPr>
            <w:tcW w:w="523" w:type="dxa"/>
            <w:vMerge/>
            <w:tcBorders>
              <w:top w:val="nil"/>
              <w:left w:val="single" w:sz="8" w:space="0" w:color="000080"/>
              <w:bottom w:val="single" w:sz="8" w:space="0" w:color="000000"/>
              <w:right w:val="single" w:sz="8" w:space="0" w:color="000080"/>
            </w:tcBorders>
            <w:vAlign w:val="center"/>
            <w:hideMark/>
          </w:tcPr>
          <w:p w14:paraId="4D9193F6" w14:textId="77777777" w:rsidR="004741D6" w:rsidRPr="00EC3D07" w:rsidRDefault="004741D6" w:rsidP="00D16719">
            <w:pPr>
              <w:rPr>
                <w:rFonts w:ascii="Arial Narrow" w:eastAsia="Times New Roman" w:hAnsi="Arial Narrow" w:cs="Calibri"/>
                <w:b/>
                <w:bCs/>
                <w:color w:val="000000"/>
              </w:rPr>
            </w:pPr>
          </w:p>
        </w:tc>
        <w:tc>
          <w:tcPr>
            <w:tcW w:w="552" w:type="dxa"/>
            <w:vMerge/>
            <w:tcBorders>
              <w:top w:val="nil"/>
              <w:left w:val="single" w:sz="8" w:space="0" w:color="000080"/>
              <w:bottom w:val="single" w:sz="8" w:space="0" w:color="000000"/>
              <w:right w:val="single" w:sz="8" w:space="0" w:color="000080"/>
            </w:tcBorders>
            <w:vAlign w:val="center"/>
            <w:hideMark/>
          </w:tcPr>
          <w:p w14:paraId="64E61237" w14:textId="77777777" w:rsidR="004741D6" w:rsidRPr="00EC3D07" w:rsidRDefault="004741D6" w:rsidP="00D16719">
            <w:pPr>
              <w:rPr>
                <w:rFonts w:ascii="Arial Narrow" w:eastAsia="Times New Roman" w:hAnsi="Arial Narrow" w:cs="Calibri"/>
                <w:b/>
                <w:bCs/>
                <w:color w:val="000000"/>
              </w:rPr>
            </w:pPr>
          </w:p>
        </w:tc>
        <w:tc>
          <w:tcPr>
            <w:tcW w:w="502" w:type="dxa"/>
            <w:vMerge/>
            <w:tcBorders>
              <w:top w:val="nil"/>
              <w:left w:val="single" w:sz="8" w:space="0" w:color="000080"/>
              <w:bottom w:val="single" w:sz="8" w:space="0" w:color="000000"/>
              <w:right w:val="single" w:sz="8" w:space="0" w:color="000080"/>
            </w:tcBorders>
            <w:vAlign w:val="center"/>
            <w:hideMark/>
          </w:tcPr>
          <w:p w14:paraId="6955BD9E" w14:textId="77777777" w:rsidR="004741D6" w:rsidRPr="00EC3D07" w:rsidRDefault="004741D6" w:rsidP="00D16719">
            <w:pPr>
              <w:rPr>
                <w:rFonts w:ascii="Times New Roman" w:eastAsia="Times New Roman" w:hAnsi="Times New Roman" w:cs="Times New Roman"/>
                <w:color w:val="000000"/>
              </w:rPr>
            </w:pPr>
          </w:p>
        </w:tc>
        <w:tc>
          <w:tcPr>
            <w:tcW w:w="3248" w:type="dxa"/>
            <w:vMerge/>
            <w:tcBorders>
              <w:top w:val="nil"/>
              <w:left w:val="single" w:sz="8" w:space="0" w:color="000080"/>
              <w:bottom w:val="single" w:sz="8" w:space="0" w:color="000000"/>
              <w:right w:val="single" w:sz="8" w:space="0" w:color="000080"/>
            </w:tcBorders>
            <w:vAlign w:val="center"/>
            <w:hideMark/>
          </w:tcPr>
          <w:p w14:paraId="195836FC" w14:textId="77777777" w:rsidR="004741D6" w:rsidRPr="00EC3D07" w:rsidRDefault="004741D6" w:rsidP="00D16719">
            <w:pPr>
              <w:rPr>
                <w:rFonts w:ascii="Arial Narrow" w:eastAsia="Times New Roman" w:hAnsi="Arial Narrow" w:cs="Calibri"/>
                <w:b/>
                <w:bCs/>
                <w:color w:val="000000"/>
              </w:rPr>
            </w:pPr>
          </w:p>
        </w:tc>
        <w:tc>
          <w:tcPr>
            <w:tcW w:w="2538" w:type="dxa"/>
            <w:vMerge/>
            <w:tcBorders>
              <w:top w:val="nil"/>
              <w:left w:val="single" w:sz="8" w:space="0" w:color="000080"/>
              <w:bottom w:val="single" w:sz="8" w:space="0" w:color="000000"/>
              <w:right w:val="single" w:sz="8" w:space="0" w:color="000080"/>
            </w:tcBorders>
            <w:vAlign w:val="center"/>
            <w:hideMark/>
          </w:tcPr>
          <w:p w14:paraId="68421A31" w14:textId="77777777" w:rsidR="004741D6" w:rsidRPr="00EC3D07" w:rsidRDefault="004741D6" w:rsidP="00D16719">
            <w:pPr>
              <w:rPr>
                <w:rFonts w:ascii="Arial Narrow" w:eastAsia="Times New Roman" w:hAnsi="Arial Narrow" w:cs="Calibri"/>
                <w:b/>
                <w:bCs/>
                <w:color w:val="000000"/>
              </w:rPr>
            </w:pPr>
          </w:p>
        </w:tc>
        <w:tc>
          <w:tcPr>
            <w:tcW w:w="1699" w:type="dxa"/>
            <w:vMerge/>
            <w:tcBorders>
              <w:top w:val="nil"/>
              <w:left w:val="single" w:sz="8" w:space="0" w:color="000080"/>
              <w:bottom w:val="single" w:sz="8" w:space="0" w:color="000000"/>
              <w:right w:val="single" w:sz="8" w:space="0" w:color="000080"/>
            </w:tcBorders>
            <w:vAlign w:val="center"/>
            <w:hideMark/>
          </w:tcPr>
          <w:p w14:paraId="4AF3AFED" w14:textId="77777777" w:rsidR="004741D6" w:rsidRPr="00EC3D07" w:rsidRDefault="004741D6" w:rsidP="00D16719">
            <w:pPr>
              <w:rPr>
                <w:rFonts w:ascii="Arial Narrow" w:eastAsia="Times New Roman" w:hAnsi="Arial Narrow" w:cs="Calibri"/>
                <w:b/>
                <w:bCs/>
                <w:color w:val="000000"/>
              </w:rPr>
            </w:pPr>
          </w:p>
        </w:tc>
        <w:tc>
          <w:tcPr>
            <w:tcW w:w="222" w:type="dxa"/>
            <w:tcBorders>
              <w:top w:val="nil"/>
              <w:left w:val="nil"/>
              <w:bottom w:val="nil"/>
              <w:right w:val="nil"/>
            </w:tcBorders>
            <w:shd w:val="clear" w:color="auto" w:fill="auto"/>
            <w:noWrap/>
            <w:vAlign w:val="bottom"/>
            <w:hideMark/>
          </w:tcPr>
          <w:p w14:paraId="01B1070B" w14:textId="77777777" w:rsidR="004741D6" w:rsidRPr="00EC3D07" w:rsidRDefault="004741D6" w:rsidP="00D16719">
            <w:pPr>
              <w:rPr>
                <w:rFonts w:ascii="Arial Narrow" w:eastAsia="Times New Roman" w:hAnsi="Arial Narrow" w:cs="Calibri"/>
                <w:b/>
                <w:bCs/>
                <w:color w:val="000000"/>
              </w:rPr>
            </w:pPr>
          </w:p>
        </w:tc>
      </w:tr>
    </w:tbl>
    <w:p w14:paraId="51D6EF0F" w14:textId="77777777" w:rsidR="004741D6" w:rsidRDefault="004741D6" w:rsidP="004741D6">
      <w:pPr>
        <w:spacing w:line="238" w:lineRule="auto"/>
        <w:ind w:left="1134" w:right="260" w:hanging="1134"/>
        <w:jc w:val="both"/>
        <w:rPr>
          <w:rFonts w:ascii="Arial" w:eastAsia="Arial" w:hAnsi="Arial"/>
          <w:b/>
          <w:sz w:val="22"/>
          <w:szCs w:val="22"/>
          <w:lang w:val="es-CR"/>
        </w:rPr>
      </w:pPr>
    </w:p>
    <w:p w14:paraId="51B91F70" w14:textId="45F7F57C" w:rsidR="00651532" w:rsidRDefault="00651532"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974D820" w14:textId="77777777" w:rsidR="00651532" w:rsidRDefault="00651532" w:rsidP="004741D6">
      <w:pPr>
        <w:spacing w:line="238" w:lineRule="auto"/>
        <w:ind w:left="1134" w:right="260" w:hanging="1134"/>
        <w:jc w:val="both"/>
        <w:rPr>
          <w:rFonts w:ascii="Arial" w:eastAsia="Arial" w:hAnsi="Arial"/>
          <w:b/>
          <w:sz w:val="22"/>
          <w:szCs w:val="22"/>
          <w:lang w:val="es-CR"/>
        </w:rPr>
      </w:pPr>
    </w:p>
    <w:p w14:paraId="3D9DF32F" w14:textId="5D37589D" w:rsidR="004741D6" w:rsidRPr="00EC3D07"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1.233.0.01</w:t>
      </w:r>
      <w:r>
        <w:rPr>
          <w:rFonts w:ascii="Arial" w:eastAsia="Arial" w:hAnsi="Arial"/>
          <w:bCs/>
          <w:sz w:val="22"/>
          <w:szCs w:val="22"/>
          <w:lang w:val="es-CR"/>
        </w:rPr>
        <w:tab/>
      </w:r>
      <w:r w:rsidRPr="00EC3D07">
        <w:rPr>
          <w:rFonts w:ascii="Arial" w:eastAsia="Arial" w:hAnsi="Arial"/>
          <w:bCs/>
          <w:sz w:val="22"/>
          <w:szCs w:val="22"/>
          <w:lang w:val="es-CR"/>
        </w:rPr>
        <w:t xml:space="preserve">En la </w:t>
      </w:r>
      <w:r w:rsidR="000F29DC">
        <w:rPr>
          <w:rFonts w:ascii="Arial" w:eastAsia="Arial" w:hAnsi="Arial"/>
          <w:bCs/>
          <w:sz w:val="22"/>
          <w:szCs w:val="22"/>
          <w:lang w:val="es-CR"/>
        </w:rPr>
        <w:t>MBA</w:t>
      </w:r>
      <w:r w:rsidRPr="00EC3D07">
        <w:rPr>
          <w:rFonts w:ascii="Arial" w:eastAsia="Arial" w:hAnsi="Arial"/>
          <w:bCs/>
          <w:sz w:val="22"/>
          <w:szCs w:val="22"/>
          <w:lang w:val="es-CR"/>
        </w:rPr>
        <w:t xml:space="preserve"> un activo intangible satisface el criterio de identificabilidad cuando:</w:t>
      </w:r>
    </w:p>
    <w:p w14:paraId="6F8718A7" w14:textId="77777777" w:rsidR="004741D6" w:rsidRPr="00627673" w:rsidRDefault="004741D6" w:rsidP="004741D6">
      <w:pPr>
        <w:spacing w:line="288" w:lineRule="exact"/>
        <w:jc w:val="both"/>
        <w:rPr>
          <w:rFonts w:ascii="Times New Roman" w:eastAsia="Times New Roman" w:hAnsi="Times New Roman"/>
          <w:lang w:val="es-CR"/>
        </w:rPr>
      </w:pPr>
    </w:p>
    <w:p w14:paraId="2CC9C2EB" w14:textId="520E5894" w:rsidR="004741D6" w:rsidRPr="00EC3D07" w:rsidRDefault="004741D6">
      <w:pPr>
        <w:pStyle w:val="Prrafodelista"/>
        <w:numPr>
          <w:ilvl w:val="0"/>
          <w:numId w:val="95"/>
        </w:numPr>
        <w:spacing w:after="120"/>
        <w:ind w:left="1559" w:hanging="357"/>
        <w:contextualSpacing w:val="0"/>
        <w:jc w:val="both"/>
        <w:rPr>
          <w:rFonts w:ascii="Arial" w:eastAsia="Arial" w:hAnsi="Arial"/>
          <w:bCs/>
          <w:sz w:val="22"/>
          <w:szCs w:val="22"/>
          <w:lang w:val="es-CR"/>
        </w:rPr>
      </w:pPr>
      <w:r w:rsidRPr="00EC3D07">
        <w:rPr>
          <w:rFonts w:ascii="Arial" w:eastAsia="Arial" w:hAnsi="Arial"/>
          <w:bCs/>
          <w:sz w:val="22"/>
          <w:szCs w:val="22"/>
          <w:lang w:val="es-CR"/>
        </w:rPr>
        <w:t xml:space="preserve">Es separable, o sea es susceptible de ser separado de la entidad y vendido, cedido, dado en operaciones, arrendado o </w:t>
      </w:r>
      <w:r w:rsidR="00AA22E2" w:rsidRPr="00EC3D07">
        <w:rPr>
          <w:rFonts w:ascii="Arial" w:eastAsia="Arial" w:hAnsi="Arial"/>
          <w:bCs/>
          <w:sz w:val="22"/>
          <w:szCs w:val="22"/>
          <w:lang w:val="es-CR"/>
        </w:rPr>
        <w:t>interca</w:t>
      </w:r>
      <w:r w:rsidR="00AA22E2">
        <w:rPr>
          <w:rFonts w:ascii="Arial" w:eastAsia="Arial" w:hAnsi="Arial"/>
          <w:bCs/>
          <w:sz w:val="22"/>
          <w:szCs w:val="22"/>
          <w:lang w:val="es-CR"/>
        </w:rPr>
        <w:t>mbi</w:t>
      </w:r>
      <w:r w:rsidR="00AA22E2" w:rsidRPr="00EC3D07">
        <w:rPr>
          <w:rFonts w:ascii="Arial" w:eastAsia="Arial" w:hAnsi="Arial"/>
          <w:bCs/>
          <w:sz w:val="22"/>
          <w:szCs w:val="22"/>
          <w:lang w:val="es-CR"/>
        </w:rPr>
        <w:t>ado</w:t>
      </w:r>
      <w:r w:rsidRPr="00EC3D07">
        <w:rPr>
          <w:rFonts w:ascii="Arial" w:eastAsia="Arial" w:hAnsi="Arial"/>
          <w:bCs/>
          <w:sz w:val="22"/>
          <w:szCs w:val="22"/>
          <w:lang w:val="es-CR"/>
        </w:rPr>
        <w:t>, ya sea individualmente o junto con el contrato, activo o pasivo, con los que guarde relación.</w:t>
      </w:r>
    </w:p>
    <w:p w14:paraId="53477BC6" w14:textId="77777777" w:rsidR="004741D6" w:rsidRPr="00EC3D07" w:rsidRDefault="004741D6">
      <w:pPr>
        <w:pStyle w:val="Prrafodelista"/>
        <w:numPr>
          <w:ilvl w:val="0"/>
          <w:numId w:val="95"/>
        </w:numPr>
        <w:spacing w:line="0" w:lineRule="atLeast"/>
        <w:ind w:left="1560"/>
        <w:jc w:val="both"/>
        <w:rPr>
          <w:rFonts w:ascii="Arial" w:eastAsia="Arial" w:hAnsi="Arial"/>
          <w:bCs/>
          <w:sz w:val="22"/>
          <w:szCs w:val="22"/>
          <w:lang w:val="es-CR"/>
        </w:rPr>
      </w:pPr>
      <w:r w:rsidRPr="00EC3D07">
        <w:rPr>
          <w:rFonts w:ascii="Arial" w:eastAsia="Arial" w:hAnsi="Arial"/>
          <w:bCs/>
          <w:sz w:val="22"/>
          <w:szCs w:val="22"/>
          <w:lang w:val="es-CR"/>
        </w:rPr>
        <w:t>Es producto de derechos contractuales o de otros derechos legales, con independencia de que estos derechos sean transferibles o separables de la Institución o de otros derechos y obligaciones.</w:t>
      </w:r>
    </w:p>
    <w:p w14:paraId="396882CC"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306" w:type="dxa"/>
        <w:tblLayout w:type="fixed"/>
        <w:tblCellMar>
          <w:top w:w="15" w:type="dxa"/>
        </w:tblCellMar>
        <w:tblLook w:val="04A0" w:firstRow="1" w:lastRow="0" w:firstColumn="1" w:lastColumn="0" w:noHBand="0" w:noVBand="1"/>
      </w:tblPr>
      <w:tblGrid>
        <w:gridCol w:w="414"/>
        <w:gridCol w:w="533"/>
        <w:gridCol w:w="460"/>
        <w:gridCol w:w="142"/>
        <w:gridCol w:w="3118"/>
        <w:gridCol w:w="2551"/>
        <w:gridCol w:w="1844"/>
        <w:gridCol w:w="244"/>
      </w:tblGrid>
      <w:tr w:rsidR="004741D6" w:rsidRPr="00F7162E" w14:paraId="4298F0A5" w14:textId="77777777" w:rsidTr="00D16719">
        <w:trPr>
          <w:gridAfter w:val="1"/>
          <w:wAfter w:w="244" w:type="dxa"/>
          <w:trHeight w:val="320"/>
        </w:trPr>
        <w:tc>
          <w:tcPr>
            <w:tcW w:w="140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96E99F5"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 / Política</w:t>
            </w:r>
          </w:p>
        </w:tc>
        <w:tc>
          <w:tcPr>
            <w:tcW w:w="326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231541A5"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Concepto</w:t>
            </w:r>
          </w:p>
        </w:tc>
        <w:tc>
          <w:tcPr>
            <w:tcW w:w="4395" w:type="dxa"/>
            <w:gridSpan w:val="2"/>
            <w:tcBorders>
              <w:top w:val="single" w:sz="8" w:space="0" w:color="auto"/>
              <w:left w:val="nil"/>
              <w:bottom w:val="single" w:sz="8" w:space="0" w:color="auto"/>
              <w:right w:val="single" w:sz="8" w:space="0" w:color="000000"/>
            </w:tcBorders>
            <w:shd w:val="clear" w:color="000000" w:fill="203764"/>
            <w:vAlign w:val="center"/>
            <w:hideMark/>
          </w:tcPr>
          <w:p w14:paraId="01841151"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Referencia</w:t>
            </w:r>
          </w:p>
        </w:tc>
      </w:tr>
      <w:tr w:rsidR="004741D6" w:rsidRPr="006E5442" w14:paraId="7DFEE12B" w14:textId="77777777" w:rsidTr="00DB64CF">
        <w:trPr>
          <w:gridAfter w:val="1"/>
          <w:wAfter w:w="244" w:type="dxa"/>
          <w:trHeight w:val="714"/>
        </w:trPr>
        <w:tc>
          <w:tcPr>
            <w:tcW w:w="1407" w:type="dxa"/>
            <w:gridSpan w:val="3"/>
            <w:vMerge/>
            <w:tcBorders>
              <w:top w:val="single" w:sz="8" w:space="0" w:color="auto"/>
              <w:left w:val="single" w:sz="8" w:space="0" w:color="auto"/>
              <w:bottom w:val="single" w:sz="4" w:space="0" w:color="auto"/>
              <w:right w:val="single" w:sz="8" w:space="0" w:color="000000"/>
            </w:tcBorders>
            <w:vAlign w:val="center"/>
            <w:hideMark/>
          </w:tcPr>
          <w:p w14:paraId="0054C7D5" w14:textId="77777777" w:rsidR="004741D6" w:rsidRPr="00F7162E" w:rsidRDefault="004741D6" w:rsidP="00D16719">
            <w:pPr>
              <w:rPr>
                <w:rFonts w:ascii="Arial Narrow" w:eastAsia="Times New Roman" w:hAnsi="Arial Narrow"/>
                <w:b/>
                <w:bCs/>
                <w:color w:val="FFFFFF"/>
                <w:sz w:val="22"/>
                <w:szCs w:val="22"/>
              </w:rPr>
            </w:pPr>
          </w:p>
        </w:tc>
        <w:tc>
          <w:tcPr>
            <w:tcW w:w="3260" w:type="dxa"/>
            <w:gridSpan w:val="2"/>
            <w:vMerge/>
            <w:tcBorders>
              <w:top w:val="single" w:sz="8" w:space="0" w:color="auto"/>
              <w:left w:val="single" w:sz="8" w:space="0" w:color="auto"/>
              <w:bottom w:val="single" w:sz="4" w:space="0" w:color="auto"/>
              <w:right w:val="single" w:sz="8" w:space="0" w:color="auto"/>
            </w:tcBorders>
            <w:vAlign w:val="center"/>
            <w:hideMark/>
          </w:tcPr>
          <w:p w14:paraId="4F82E5CF" w14:textId="77777777" w:rsidR="004741D6" w:rsidRPr="00F7162E" w:rsidRDefault="004741D6" w:rsidP="00D16719">
            <w:pPr>
              <w:rPr>
                <w:rFonts w:ascii="Arial Narrow" w:eastAsia="Times New Roman" w:hAnsi="Arial Narrow"/>
                <w:b/>
                <w:bCs/>
                <w:color w:val="FFFFFF"/>
                <w:sz w:val="22"/>
                <w:szCs w:val="22"/>
              </w:rPr>
            </w:pPr>
          </w:p>
        </w:tc>
        <w:tc>
          <w:tcPr>
            <w:tcW w:w="2551" w:type="dxa"/>
            <w:tcBorders>
              <w:top w:val="nil"/>
              <w:left w:val="nil"/>
              <w:bottom w:val="single" w:sz="4" w:space="0" w:color="auto"/>
              <w:right w:val="single" w:sz="8" w:space="0" w:color="auto"/>
            </w:tcBorders>
            <w:shd w:val="clear" w:color="000000" w:fill="203764"/>
            <w:vAlign w:val="center"/>
            <w:hideMark/>
          </w:tcPr>
          <w:p w14:paraId="6BB70F37" w14:textId="77777777" w:rsidR="004741D6" w:rsidRPr="00F7162E" w:rsidRDefault="004741D6" w:rsidP="00D16719">
            <w:pPr>
              <w:jc w:val="center"/>
              <w:rPr>
                <w:rFonts w:ascii="Arial Narrow" w:eastAsia="Times New Roman" w:hAnsi="Arial Narrow"/>
                <w:b/>
                <w:bCs/>
                <w:color w:val="FFFFFF"/>
                <w:sz w:val="22"/>
                <w:szCs w:val="22"/>
              </w:rPr>
            </w:pPr>
            <w:r w:rsidRPr="00F7162E">
              <w:rPr>
                <w:rFonts w:ascii="Arial Narrow" w:eastAsia="Times New Roman" w:hAnsi="Arial Narrow"/>
                <w:b/>
                <w:bCs/>
                <w:color w:val="FFFFFF"/>
                <w:sz w:val="22"/>
                <w:szCs w:val="22"/>
              </w:rPr>
              <w:t>Norma</w:t>
            </w:r>
          </w:p>
        </w:tc>
        <w:tc>
          <w:tcPr>
            <w:tcW w:w="1844" w:type="dxa"/>
            <w:tcBorders>
              <w:top w:val="nil"/>
              <w:left w:val="nil"/>
              <w:bottom w:val="single" w:sz="4" w:space="0" w:color="auto"/>
              <w:right w:val="single" w:sz="8" w:space="0" w:color="auto"/>
            </w:tcBorders>
            <w:shd w:val="clear" w:color="000000" w:fill="203764"/>
            <w:vAlign w:val="center"/>
            <w:hideMark/>
          </w:tcPr>
          <w:p w14:paraId="68CF911C" w14:textId="77777777" w:rsidR="004741D6" w:rsidRPr="00F7162E" w:rsidRDefault="004741D6" w:rsidP="00D16719">
            <w:pPr>
              <w:jc w:val="center"/>
              <w:rPr>
                <w:rFonts w:ascii="Arial Narrow" w:eastAsia="Times New Roman" w:hAnsi="Arial Narrow"/>
                <w:b/>
                <w:bCs/>
                <w:color w:val="FFFFFF"/>
                <w:sz w:val="22"/>
                <w:szCs w:val="22"/>
                <w:lang w:val="es-CR"/>
              </w:rPr>
            </w:pPr>
            <w:r w:rsidRPr="00F7162E">
              <w:rPr>
                <w:rFonts w:ascii="Arial Narrow" w:eastAsia="Times New Roman" w:hAnsi="Arial Narrow"/>
                <w:b/>
                <w:bCs/>
                <w:color w:val="FFFFFF"/>
                <w:sz w:val="22"/>
                <w:szCs w:val="22"/>
                <w:lang w:val="es-CR"/>
              </w:rPr>
              <w:t>Normativa técnica y disposiciones adicionales</w:t>
            </w:r>
          </w:p>
        </w:tc>
      </w:tr>
      <w:tr w:rsidR="004741D6" w:rsidRPr="00F7162E" w14:paraId="010BDC41" w14:textId="77777777" w:rsidTr="00D16719">
        <w:trPr>
          <w:gridAfter w:val="1"/>
          <w:wAfter w:w="244" w:type="dxa"/>
          <w:trHeight w:val="310"/>
        </w:trPr>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13472" w14:textId="77777777" w:rsidR="004741D6" w:rsidRPr="00F7162E" w:rsidRDefault="004741D6" w:rsidP="00D16719">
            <w:pPr>
              <w:jc w:val="right"/>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10"/>
                <w:sz w:val="22"/>
                <w:szCs w:val="22"/>
              </w:rPr>
              <w:t>1</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5BCC6" w14:textId="22942209"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4"/>
                <w:sz w:val="22"/>
                <w:szCs w:val="22"/>
              </w:rPr>
              <w:t>234</w:t>
            </w:r>
          </w:p>
        </w:tc>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7DD15" w14:textId="7BD84E7F" w:rsidR="004741D6" w:rsidRPr="00651532" w:rsidRDefault="002B7D8C" w:rsidP="00651532">
            <w:pPr>
              <w:jc w:val="center"/>
              <w:rPr>
                <w:rFonts w:ascii="Arial Narrow" w:eastAsia="Times New Roman" w:hAnsi="Arial Narrow" w:cs="Arial Narrow"/>
                <w:b/>
                <w:bCs/>
                <w:color w:val="000000"/>
                <w:spacing w:val="-4"/>
                <w:sz w:val="22"/>
                <w:szCs w:val="22"/>
              </w:rPr>
            </w:pPr>
            <w:r w:rsidRPr="00651532">
              <w:rPr>
                <w:rFonts w:ascii="Arial Narrow" w:eastAsia="Times New Roman" w:hAnsi="Arial Narrow" w:cs="Arial Narrow"/>
                <w:b/>
                <w:bCs/>
                <w:color w:val="000000"/>
                <w:spacing w:val="-4"/>
                <w:sz w:val="22"/>
                <w:szCs w:val="22"/>
              </w:rPr>
              <w:t>0</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950B6"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z w:val="22"/>
                <w:szCs w:val="22"/>
              </w:rPr>
              <w:t>Control de un Activo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E4E3C" w14:textId="77777777" w:rsidR="00DB64CF" w:rsidRDefault="004741D6" w:rsidP="00DB64CF">
            <w:pPr>
              <w:jc w:val="both"/>
              <w:rPr>
                <w:rFonts w:ascii="Arial Narrow" w:eastAsia="Times New Roman" w:hAnsi="Arial Narrow" w:cs="Arial Narrow"/>
                <w:b/>
                <w:bCs/>
                <w:color w:val="000000"/>
                <w:sz w:val="22"/>
                <w:szCs w:val="22"/>
              </w:rPr>
            </w:pPr>
            <w:r w:rsidRPr="00F7162E">
              <w:rPr>
                <w:rFonts w:ascii="Arial Narrow" w:eastAsia="Times New Roman" w:hAnsi="Arial Narrow" w:cs="Arial Narrow"/>
                <w:b/>
                <w:bCs/>
                <w:color w:val="000000"/>
                <w:sz w:val="22"/>
                <w:szCs w:val="22"/>
              </w:rPr>
              <w:t>NICSP N° 31,</w:t>
            </w:r>
          </w:p>
          <w:p w14:paraId="31CA270A" w14:textId="639C3E1E" w:rsidR="004741D6" w:rsidRPr="00DB64CF" w:rsidRDefault="004741D6" w:rsidP="00DB64CF">
            <w:pPr>
              <w:jc w:val="both"/>
              <w:rPr>
                <w:rFonts w:ascii="Arial Narrow" w:eastAsia="Times New Roman" w:hAnsi="Arial Narrow" w:cs="Arial Narrow"/>
                <w:b/>
                <w:bCs/>
                <w:color w:val="000000"/>
                <w:sz w:val="22"/>
                <w:szCs w:val="22"/>
              </w:rPr>
            </w:pPr>
            <w:r w:rsidRPr="00F7162E">
              <w:rPr>
                <w:rFonts w:ascii="Arial Narrow" w:eastAsia="Times New Roman" w:hAnsi="Arial Narrow" w:cs="Arial Narrow"/>
                <w:b/>
                <w:bCs/>
                <w:color w:val="000000"/>
                <w:sz w:val="22"/>
                <w:szCs w:val="22"/>
              </w:rPr>
              <w:t>Párrafo 21.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88B11"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4"/>
                <w:sz w:val="22"/>
                <w:szCs w:val="22"/>
              </w:rPr>
              <w:t xml:space="preserve"> </w:t>
            </w:r>
          </w:p>
        </w:tc>
      </w:tr>
      <w:tr w:rsidR="004741D6" w:rsidRPr="00F7162E" w14:paraId="5CCE2247" w14:textId="77777777" w:rsidTr="00DB64CF">
        <w:trPr>
          <w:trHeight w:val="3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3F0D4B42" w14:textId="77777777" w:rsidR="004741D6" w:rsidRPr="00F7162E" w:rsidRDefault="004741D6" w:rsidP="00D16719">
            <w:pPr>
              <w:rPr>
                <w:rFonts w:ascii="Arial Narrow" w:eastAsia="Times New Roman" w:hAnsi="Arial Narrow" w:cs="Calibri"/>
                <w:b/>
                <w:bCs/>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14:paraId="7C0CEBCE" w14:textId="77777777" w:rsidR="004741D6" w:rsidRPr="00F7162E" w:rsidRDefault="004741D6" w:rsidP="00D16719">
            <w:pPr>
              <w:rPr>
                <w:rFonts w:ascii="Arial Narrow" w:eastAsia="Times New Roman" w:hAnsi="Arial Narrow" w:cs="Calibri"/>
                <w:b/>
                <w:bCs/>
                <w:color w:val="000000"/>
                <w:sz w:val="22"/>
                <w:szCs w:val="22"/>
              </w:rPr>
            </w:pPr>
          </w:p>
        </w:tc>
        <w:tc>
          <w:tcPr>
            <w:tcW w:w="602" w:type="dxa"/>
            <w:gridSpan w:val="2"/>
            <w:vMerge/>
            <w:tcBorders>
              <w:top w:val="single" w:sz="4" w:space="0" w:color="auto"/>
              <w:left w:val="single" w:sz="4" w:space="0" w:color="auto"/>
              <w:bottom w:val="single" w:sz="4" w:space="0" w:color="auto"/>
              <w:right w:val="single" w:sz="4" w:space="0" w:color="auto"/>
            </w:tcBorders>
            <w:vAlign w:val="center"/>
            <w:hideMark/>
          </w:tcPr>
          <w:p w14:paraId="16BF386C" w14:textId="77777777" w:rsidR="004741D6" w:rsidRPr="00F7162E" w:rsidRDefault="004741D6" w:rsidP="00D16719">
            <w:pPr>
              <w:rPr>
                <w:rFonts w:ascii="Arial Narrow" w:eastAsia="Times New Roman" w:hAnsi="Arial Narrow" w:cs="Times New Roman"/>
                <w:color w:val="000000"/>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0E44101" w14:textId="77777777" w:rsidR="004741D6" w:rsidRPr="00F7162E" w:rsidRDefault="004741D6" w:rsidP="00D16719">
            <w:pPr>
              <w:rPr>
                <w:rFonts w:ascii="Arial Narrow" w:eastAsia="Times New Roman" w:hAnsi="Arial Narrow" w:cs="Calibri"/>
                <w:b/>
                <w:bCs/>
                <w:color w:val="000000"/>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F9E9EEE" w14:textId="77777777" w:rsidR="004741D6" w:rsidRPr="00F7162E" w:rsidRDefault="004741D6" w:rsidP="00DB64CF">
            <w:pPr>
              <w:jc w:val="both"/>
              <w:rPr>
                <w:rFonts w:ascii="Arial Narrow" w:eastAsia="Times New Roman" w:hAnsi="Arial Narrow" w:cs="Calibri"/>
                <w:b/>
                <w:bCs/>
                <w:color w:val="000000"/>
                <w:sz w:val="22"/>
                <w:szCs w:val="22"/>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343C296" w14:textId="77777777" w:rsidR="004741D6" w:rsidRPr="00F7162E" w:rsidRDefault="004741D6" w:rsidP="00D16719">
            <w:pPr>
              <w:rPr>
                <w:rFonts w:ascii="Arial Narrow" w:eastAsia="Times New Roman" w:hAnsi="Arial Narrow" w:cs="Calibri"/>
                <w:b/>
                <w:bCs/>
                <w:color w:val="000000"/>
                <w:sz w:val="22"/>
                <w:szCs w:val="22"/>
              </w:rPr>
            </w:pPr>
          </w:p>
        </w:tc>
        <w:tc>
          <w:tcPr>
            <w:tcW w:w="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E22F" w14:textId="77777777" w:rsidR="004741D6" w:rsidRPr="00F7162E" w:rsidRDefault="004741D6" w:rsidP="00D16719">
            <w:pPr>
              <w:rPr>
                <w:rFonts w:ascii="Arial Narrow" w:eastAsia="Times New Roman" w:hAnsi="Arial Narrow" w:cs="Calibri"/>
                <w:b/>
                <w:bCs/>
                <w:color w:val="000000"/>
                <w:sz w:val="22"/>
                <w:szCs w:val="22"/>
              </w:rPr>
            </w:pPr>
          </w:p>
        </w:tc>
      </w:tr>
      <w:tr w:rsidR="004741D6" w:rsidRPr="00F7162E" w14:paraId="6307F7AC" w14:textId="77777777" w:rsidTr="00DB64CF">
        <w:trPr>
          <w:gridAfter w:val="1"/>
          <w:wAfter w:w="244" w:type="dxa"/>
          <w:trHeight w:val="318"/>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5EBA3" w14:textId="77777777" w:rsidR="004741D6" w:rsidRPr="00F7162E" w:rsidRDefault="004741D6" w:rsidP="00D16719">
            <w:pPr>
              <w:jc w:val="right"/>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10"/>
                <w:sz w:val="22"/>
                <w:szCs w:val="22"/>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DB0FE" w14:textId="605AE34B"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4"/>
                <w:sz w:val="22"/>
                <w:szCs w:val="22"/>
              </w:rPr>
              <w:t>23</w:t>
            </w:r>
            <w:r w:rsidR="00651532">
              <w:rPr>
                <w:rFonts w:ascii="Arial Narrow" w:eastAsia="Times New Roman" w:hAnsi="Arial Narrow" w:cs="Arial Narrow"/>
                <w:b/>
                <w:bCs/>
                <w:color w:val="000000"/>
                <w:spacing w:val="-4"/>
                <w:sz w:val="22"/>
                <w:szCs w:val="22"/>
              </w:rPr>
              <w:t>4</w:t>
            </w:r>
          </w:p>
        </w:tc>
        <w:tc>
          <w:tcPr>
            <w:tcW w:w="6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EBE5F4" w14:textId="34486203" w:rsidR="004741D6" w:rsidRPr="00F7162E" w:rsidRDefault="004741D6" w:rsidP="00651532">
            <w:pPr>
              <w:jc w:val="center"/>
              <w:rPr>
                <w:rFonts w:ascii="Arial Narrow" w:eastAsia="Times New Roman" w:hAnsi="Arial Narrow" w:cs="Arial Narrow"/>
                <w:b/>
                <w:bCs/>
                <w:color w:val="000000"/>
                <w:spacing w:val="-4"/>
                <w:sz w:val="22"/>
                <w:szCs w:val="22"/>
              </w:rPr>
            </w:pPr>
            <w:r w:rsidRPr="00F7162E">
              <w:rPr>
                <w:rFonts w:ascii="Arial Narrow" w:eastAsia="Times New Roman" w:hAnsi="Arial Narrow" w:cs="Arial Narrow"/>
                <w:b/>
                <w:bCs/>
                <w:color w:val="000000"/>
                <w:spacing w:val="-4"/>
                <w:sz w:val="22"/>
                <w:szCs w:val="22"/>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187C6" w14:textId="77777777" w:rsidR="004741D6" w:rsidRPr="00F7162E" w:rsidRDefault="004741D6" w:rsidP="00D16719">
            <w:pPr>
              <w:spacing w:after="120"/>
              <w:rPr>
                <w:rFonts w:ascii="Arial Narrow" w:eastAsia="Times New Roman" w:hAnsi="Arial Narrow" w:cs="Arial Narrow"/>
                <w:b/>
                <w:bCs/>
                <w:color w:val="000000"/>
                <w:sz w:val="22"/>
                <w:szCs w:val="22"/>
              </w:rPr>
            </w:pPr>
            <w:r w:rsidRPr="00F7162E">
              <w:rPr>
                <w:rFonts w:ascii="Arial Narrow" w:eastAsia="Times New Roman" w:hAnsi="Arial Narrow" w:cs="Arial Narrow"/>
                <w:b/>
                <w:bCs/>
                <w:color w:val="000000"/>
                <w:sz w:val="22"/>
                <w:szCs w:val="22"/>
              </w:rPr>
              <w:t>Control y titularidad legal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898AB" w14:textId="77777777" w:rsidR="00DB64CF" w:rsidRDefault="004741D6" w:rsidP="00DB64CF">
            <w:pPr>
              <w:jc w:val="both"/>
              <w:rPr>
                <w:rFonts w:ascii="Arial Narrow" w:eastAsia="Times New Roman" w:hAnsi="Arial Narrow" w:cs="Arial Narrow"/>
                <w:b/>
                <w:bCs/>
                <w:color w:val="000000"/>
                <w:sz w:val="22"/>
                <w:szCs w:val="22"/>
              </w:rPr>
            </w:pPr>
            <w:r w:rsidRPr="00F7162E">
              <w:rPr>
                <w:rFonts w:ascii="Arial Narrow" w:eastAsia="Times New Roman" w:hAnsi="Arial Narrow" w:cs="Arial Narrow"/>
                <w:b/>
                <w:bCs/>
                <w:color w:val="000000"/>
                <w:sz w:val="22"/>
                <w:szCs w:val="22"/>
              </w:rPr>
              <w:t>NICSP N° 31,</w:t>
            </w:r>
          </w:p>
          <w:p w14:paraId="2722915F" w14:textId="5115CE6F" w:rsidR="004741D6" w:rsidRPr="00F7162E" w:rsidRDefault="004741D6" w:rsidP="00DB64CF">
            <w:pPr>
              <w:jc w:val="both"/>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z w:val="22"/>
                <w:szCs w:val="22"/>
              </w:rPr>
              <w:t>Párrafo 21.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FA633" w14:textId="77777777" w:rsidR="004741D6" w:rsidRPr="00F7162E" w:rsidRDefault="004741D6" w:rsidP="00D16719">
            <w:pPr>
              <w:rPr>
                <w:rFonts w:ascii="Arial Narrow" w:eastAsia="Times New Roman" w:hAnsi="Arial Narrow" w:cs="Calibri"/>
                <w:b/>
                <w:bCs/>
                <w:color w:val="000000"/>
                <w:sz w:val="22"/>
                <w:szCs w:val="22"/>
              </w:rPr>
            </w:pPr>
            <w:r w:rsidRPr="00F7162E">
              <w:rPr>
                <w:rFonts w:ascii="Arial Narrow" w:eastAsia="Times New Roman" w:hAnsi="Arial Narrow" w:cs="Arial Narrow"/>
                <w:b/>
                <w:bCs/>
                <w:color w:val="000000"/>
                <w:spacing w:val="-4"/>
                <w:sz w:val="22"/>
                <w:szCs w:val="22"/>
              </w:rPr>
              <w:t xml:space="preserve"> DGCN</w:t>
            </w:r>
          </w:p>
        </w:tc>
      </w:tr>
      <w:tr w:rsidR="004741D6" w:rsidRPr="00F7162E" w14:paraId="131E20D4" w14:textId="77777777" w:rsidTr="00DB64CF">
        <w:trPr>
          <w:gridAfter w:val="1"/>
          <w:wAfter w:w="244" w:type="dxa"/>
          <w:trHeight w:val="212"/>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14:paraId="43B57925" w14:textId="77777777" w:rsidR="004741D6" w:rsidRPr="00F7162E" w:rsidRDefault="004741D6" w:rsidP="00D16719">
            <w:pPr>
              <w:jc w:val="center"/>
              <w:rPr>
                <w:rFonts w:ascii="Arial Narrow" w:eastAsia="Times New Roman" w:hAnsi="Arial Narrow" w:cs="Arial Narrow"/>
                <w:b/>
                <w:bCs/>
                <w:color w:val="000000"/>
                <w:spacing w:val="-10"/>
                <w:sz w:val="22"/>
                <w:szCs w:val="22"/>
              </w:rPr>
            </w:pPr>
            <w:r w:rsidRPr="00F7162E">
              <w:rPr>
                <w:rFonts w:ascii="Arial Narrow" w:eastAsia="Times New Roman" w:hAnsi="Arial Narrow" w:cs="Arial Narrow"/>
                <w:b/>
                <w:bCs/>
                <w:color w:val="000000"/>
                <w:spacing w:val="-10"/>
                <w:sz w:val="22"/>
                <w:szCs w:val="22"/>
              </w:rPr>
              <w:t>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14:paraId="23F55D5B" w14:textId="77777777" w:rsidR="004741D6" w:rsidRPr="00F7162E" w:rsidRDefault="004741D6" w:rsidP="00D16719">
            <w:pPr>
              <w:rPr>
                <w:rFonts w:ascii="Arial Narrow" w:eastAsia="Times New Roman" w:hAnsi="Arial Narrow" w:cs="Arial Narrow"/>
                <w:b/>
                <w:bCs/>
                <w:color w:val="000000"/>
                <w:spacing w:val="-4"/>
                <w:sz w:val="22"/>
                <w:szCs w:val="22"/>
              </w:rPr>
            </w:pPr>
            <w:r w:rsidRPr="00F7162E">
              <w:rPr>
                <w:rFonts w:ascii="Arial Narrow" w:eastAsia="Times New Roman" w:hAnsi="Arial Narrow" w:cs="Arial Narrow"/>
                <w:b/>
                <w:bCs/>
                <w:color w:val="000000"/>
                <w:spacing w:val="-4"/>
                <w:sz w:val="22"/>
                <w:szCs w:val="22"/>
              </w:rPr>
              <w:t>234</w:t>
            </w:r>
          </w:p>
        </w:tc>
        <w:tc>
          <w:tcPr>
            <w:tcW w:w="6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B2887" w14:textId="77777777" w:rsidR="004741D6" w:rsidRPr="00F7162E" w:rsidRDefault="004741D6" w:rsidP="00651532">
            <w:pPr>
              <w:jc w:val="center"/>
              <w:rPr>
                <w:rFonts w:ascii="Arial Narrow" w:eastAsia="Times New Roman" w:hAnsi="Arial Narrow" w:cs="Arial Narrow"/>
                <w:b/>
                <w:bCs/>
                <w:color w:val="000000"/>
                <w:spacing w:val="-4"/>
                <w:sz w:val="22"/>
                <w:szCs w:val="22"/>
              </w:rPr>
            </w:pPr>
            <w:r w:rsidRPr="00F7162E">
              <w:rPr>
                <w:rFonts w:ascii="Arial Narrow" w:eastAsia="Times New Roman" w:hAnsi="Arial Narrow" w:cs="Arial Narrow"/>
                <w:b/>
                <w:bCs/>
                <w:color w:val="000000"/>
                <w:spacing w:val="-4"/>
                <w:sz w:val="22"/>
                <w:szCs w:val="22"/>
              </w:rPr>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221E8CED" w14:textId="77777777" w:rsidR="004741D6" w:rsidRPr="00F7162E" w:rsidRDefault="004741D6" w:rsidP="00D16719">
            <w:pPr>
              <w:jc w:val="both"/>
              <w:rPr>
                <w:rFonts w:ascii="Arial Narrow" w:eastAsia="Times New Roman" w:hAnsi="Arial Narrow" w:cs="Arial Narrow"/>
                <w:b/>
                <w:bCs/>
                <w:color w:val="000000"/>
                <w:sz w:val="22"/>
                <w:szCs w:val="22"/>
                <w:lang w:val="es-CR"/>
              </w:rPr>
            </w:pPr>
            <w:r w:rsidRPr="00F7162E">
              <w:rPr>
                <w:rFonts w:ascii="Arial Narrow" w:eastAsia="Times New Roman" w:hAnsi="Arial Narrow" w:cs="Arial Narrow"/>
                <w:b/>
                <w:bCs/>
                <w:color w:val="000000"/>
                <w:sz w:val="22"/>
                <w:szCs w:val="22"/>
                <w:lang w:val="es-CR"/>
              </w:rPr>
              <w:t>Beneficios económicos o potencial de servicio futuros relacionados con el activo intangible.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021AE45" w14:textId="77777777" w:rsidR="00DB64CF" w:rsidRDefault="004741D6" w:rsidP="00DB64CF">
            <w:pPr>
              <w:jc w:val="both"/>
              <w:rPr>
                <w:rFonts w:ascii="Arial Narrow" w:eastAsia="Times New Roman" w:hAnsi="Arial Narrow" w:cs="Arial Narrow"/>
                <w:b/>
                <w:bCs/>
                <w:color w:val="000000"/>
                <w:sz w:val="22"/>
                <w:szCs w:val="22"/>
              </w:rPr>
            </w:pPr>
            <w:r w:rsidRPr="00F7162E">
              <w:rPr>
                <w:rFonts w:ascii="Arial Narrow" w:eastAsia="Times New Roman" w:hAnsi="Arial Narrow" w:cs="Arial Narrow"/>
                <w:b/>
                <w:bCs/>
                <w:color w:val="000000"/>
                <w:sz w:val="22"/>
                <w:szCs w:val="22"/>
              </w:rPr>
              <w:t>NICSP N° 31,</w:t>
            </w:r>
          </w:p>
          <w:p w14:paraId="09111753" w14:textId="672763D5" w:rsidR="004741D6" w:rsidRPr="00DB64CF" w:rsidRDefault="004741D6" w:rsidP="00DB64CF">
            <w:pPr>
              <w:jc w:val="both"/>
              <w:rPr>
                <w:rFonts w:ascii="Arial Narrow" w:eastAsia="Times New Roman" w:hAnsi="Arial Narrow" w:cs="Arial Narrow"/>
                <w:b/>
                <w:bCs/>
                <w:color w:val="000000"/>
                <w:sz w:val="22"/>
                <w:szCs w:val="22"/>
              </w:rPr>
            </w:pPr>
            <w:r w:rsidRPr="00F7162E">
              <w:rPr>
                <w:rFonts w:ascii="Arial Narrow" w:eastAsia="Times New Roman" w:hAnsi="Arial Narrow" w:cs="Arial Narrow"/>
                <w:b/>
                <w:bCs/>
                <w:color w:val="000000"/>
                <w:sz w:val="22"/>
                <w:szCs w:val="22"/>
              </w:rPr>
              <w:t>Párrafo 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FB8799B" w14:textId="77777777" w:rsidR="004741D6" w:rsidRPr="00F7162E" w:rsidRDefault="004741D6" w:rsidP="00D16719">
            <w:pPr>
              <w:rPr>
                <w:rFonts w:ascii="Arial Narrow" w:eastAsia="Times New Roman" w:hAnsi="Arial Narrow" w:cs="Arial Narrow"/>
                <w:b/>
                <w:bCs/>
                <w:color w:val="000000"/>
                <w:spacing w:val="-4"/>
                <w:sz w:val="22"/>
                <w:szCs w:val="22"/>
                <w:lang w:val="es-CR"/>
              </w:rPr>
            </w:pPr>
          </w:p>
        </w:tc>
      </w:tr>
    </w:tbl>
    <w:p w14:paraId="05DE1FB0" w14:textId="77777777" w:rsidR="004741D6" w:rsidRDefault="004741D6" w:rsidP="004741D6">
      <w:pPr>
        <w:spacing w:line="238" w:lineRule="auto"/>
        <w:ind w:left="1134" w:right="260" w:hanging="1134"/>
        <w:jc w:val="both"/>
        <w:rPr>
          <w:rFonts w:ascii="Arial" w:eastAsia="Arial" w:hAnsi="Arial"/>
          <w:b/>
          <w:sz w:val="22"/>
          <w:szCs w:val="22"/>
          <w:lang w:val="es-CR"/>
        </w:rPr>
      </w:pPr>
    </w:p>
    <w:p w14:paraId="01B01ED4" w14:textId="5C9B653C" w:rsidR="00651532" w:rsidRDefault="00651532"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7978B34" w14:textId="77777777" w:rsidR="00651532" w:rsidRDefault="00651532" w:rsidP="004741D6">
      <w:pPr>
        <w:spacing w:line="238" w:lineRule="auto"/>
        <w:ind w:left="1134" w:right="260" w:hanging="1134"/>
        <w:jc w:val="both"/>
        <w:rPr>
          <w:rFonts w:ascii="Arial" w:eastAsia="Arial" w:hAnsi="Arial"/>
          <w:b/>
          <w:sz w:val="22"/>
          <w:szCs w:val="22"/>
          <w:lang w:val="es-CR"/>
        </w:rPr>
      </w:pPr>
    </w:p>
    <w:p w14:paraId="35725F08" w14:textId="185428A4"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1.234.0.01</w:t>
      </w:r>
      <w:r>
        <w:rPr>
          <w:rFonts w:ascii="Arial" w:eastAsia="Arial" w:hAnsi="Arial"/>
          <w:bCs/>
          <w:sz w:val="22"/>
          <w:szCs w:val="22"/>
          <w:lang w:val="es-CR"/>
        </w:rPr>
        <w:tab/>
      </w:r>
      <w:r w:rsidRPr="00AA2BD1">
        <w:rPr>
          <w:rFonts w:ascii="Arial" w:eastAsia="Arial" w:hAnsi="Arial"/>
          <w:bCs/>
          <w:sz w:val="22"/>
          <w:szCs w:val="22"/>
          <w:lang w:val="es-CR"/>
        </w:rPr>
        <w:t xml:space="preserve">La </w:t>
      </w:r>
      <w:r w:rsidR="000F29DC">
        <w:rPr>
          <w:rFonts w:ascii="Arial" w:eastAsia="Arial" w:hAnsi="Arial"/>
          <w:bCs/>
          <w:sz w:val="22"/>
          <w:szCs w:val="22"/>
          <w:lang w:val="es-CR"/>
        </w:rPr>
        <w:t>MBA</w:t>
      </w:r>
      <w:r w:rsidRPr="00AA2BD1">
        <w:rPr>
          <w:rFonts w:ascii="Arial" w:eastAsia="Arial" w:hAnsi="Arial"/>
          <w:bCs/>
          <w:sz w:val="22"/>
          <w:szCs w:val="22"/>
          <w:lang w:val="es-CR"/>
        </w:rPr>
        <w:t xml:space="preserve"> tendrá control sobre un activo intangible cuando:</w:t>
      </w:r>
    </w:p>
    <w:p w14:paraId="592A7A4A" w14:textId="77777777" w:rsidR="00DB64CF" w:rsidRPr="00AA2BD1" w:rsidRDefault="00DB64CF" w:rsidP="004741D6">
      <w:pPr>
        <w:spacing w:line="236" w:lineRule="auto"/>
        <w:ind w:left="1134" w:right="280" w:hanging="1134"/>
        <w:jc w:val="both"/>
        <w:rPr>
          <w:rFonts w:ascii="Arial" w:eastAsia="Arial" w:hAnsi="Arial"/>
          <w:bCs/>
          <w:sz w:val="22"/>
          <w:szCs w:val="22"/>
          <w:lang w:val="es-CR"/>
        </w:rPr>
      </w:pPr>
    </w:p>
    <w:p w14:paraId="7FB4834E" w14:textId="77777777" w:rsidR="004741D6" w:rsidRPr="00AA2BD1" w:rsidRDefault="004741D6" w:rsidP="004741D6">
      <w:pPr>
        <w:spacing w:line="9" w:lineRule="exact"/>
        <w:rPr>
          <w:rFonts w:ascii="Times New Roman" w:eastAsia="Times New Roman" w:hAnsi="Times New Roman"/>
          <w:bCs/>
          <w:lang w:val="es-CR"/>
        </w:rPr>
      </w:pPr>
    </w:p>
    <w:p w14:paraId="4B1E3987" w14:textId="77777777" w:rsidR="004741D6" w:rsidRPr="00AA2BD1" w:rsidRDefault="004741D6">
      <w:pPr>
        <w:numPr>
          <w:ilvl w:val="0"/>
          <w:numId w:val="96"/>
        </w:numPr>
        <w:spacing w:after="120"/>
        <w:ind w:left="1559" w:right="261" w:hanging="425"/>
        <w:rPr>
          <w:rFonts w:ascii="Arial" w:eastAsia="Arial" w:hAnsi="Arial"/>
          <w:bCs/>
          <w:sz w:val="22"/>
          <w:szCs w:val="22"/>
          <w:lang w:val="es-CR"/>
        </w:rPr>
      </w:pPr>
      <w:r w:rsidRPr="00AA2BD1">
        <w:rPr>
          <w:rFonts w:ascii="Arial" w:eastAsia="Arial" w:hAnsi="Arial"/>
          <w:bCs/>
          <w:sz w:val="22"/>
          <w:szCs w:val="22"/>
          <w:lang w:val="es-CR"/>
        </w:rPr>
        <w:t>Se tenga el poder de obtener beneficios económicos o potencial de servicios futuros de los mismos.</w:t>
      </w:r>
    </w:p>
    <w:p w14:paraId="6191C2FD" w14:textId="77777777" w:rsidR="004741D6" w:rsidRPr="00AA2BD1" w:rsidRDefault="004741D6" w:rsidP="004741D6">
      <w:pPr>
        <w:spacing w:line="9" w:lineRule="exact"/>
        <w:ind w:left="1418" w:hanging="284"/>
        <w:rPr>
          <w:rFonts w:ascii="Arial" w:eastAsia="Arial" w:hAnsi="Arial"/>
          <w:bCs/>
          <w:sz w:val="22"/>
          <w:szCs w:val="22"/>
          <w:lang w:val="es-CR"/>
        </w:rPr>
      </w:pPr>
    </w:p>
    <w:p w14:paraId="2FF240AC" w14:textId="77777777" w:rsidR="004741D6" w:rsidRDefault="004741D6">
      <w:pPr>
        <w:numPr>
          <w:ilvl w:val="0"/>
          <w:numId w:val="96"/>
        </w:numPr>
        <w:spacing w:line="236" w:lineRule="auto"/>
        <w:ind w:left="1560" w:right="280" w:hanging="426"/>
        <w:rPr>
          <w:rFonts w:ascii="Arial" w:eastAsia="Arial" w:hAnsi="Arial"/>
          <w:bCs/>
          <w:sz w:val="22"/>
          <w:szCs w:val="22"/>
          <w:lang w:val="es-CR"/>
        </w:rPr>
      </w:pPr>
      <w:r w:rsidRPr="00AA2BD1">
        <w:rPr>
          <w:rFonts w:ascii="Arial" w:eastAsia="Arial" w:hAnsi="Arial"/>
          <w:bCs/>
          <w:sz w:val="22"/>
          <w:szCs w:val="22"/>
          <w:lang w:val="es-CR"/>
        </w:rPr>
        <w:t>Se pueda restringir el acceso de terceros a dichos beneficios o potencial de servicios.</w:t>
      </w:r>
    </w:p>
    <w:p w14:paraId="00655F34" w14:textId="77777777" w:rsidR="00DB64CF" w:rsidRPr="00AA2BD1" w:rsidRDefault="00DB64CF" w:rsidP="00DB64CF">
      <w:pPr>
        <w:spacing w:line="236" w:lineRule="auto"/>
        <w:ind w:right="280"/>
        <w:rPr>
          <w:rFonts w:ascii="Arial" w:eastAsia="Arial" w:hAnsi="Arial"/>
          <w:bCs/>
          <w:sz w:val="22"/>
          <w:szCs w:val="22"/>
          <w:lang w:val="es-CR"/>
        </w:rPr>
      </w:pPr>
    </w:p>
    <w:p w14:paraId="7BA7DB60"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1.234.1.01</w:t>
      </w:r>
      <w:r>
        <w:rPr>
          <w:rFonts w:ascii="Arial" w:eastAsia="Arial" w:hAnsi="Arial"/>
          <w:bCs/>
          <w:sz w:val="22"/>
          <w:szCs w:val="22"/>
          <w:lang w:val="es-CR"/>
        </w:rPr>
        <w:tab/>
      </w:r>
      <w:r w:rsidRPr="00AA2BD1">
        <w:rPr>
          <w:rFonts w:ascii="Arial" w:eastAsia="Arial" w:hAnsi="Arial"/>
          <w:bCs/>
          <w:sz w:val="22"/>
          <w:szCs w:val="22"/>
          <w:lang w:val="es-CR"/>
        </w:rPr>
        <w:t>Si bien la capacidad para controlar los beneficios económicos o potencial de servicio futuros de un activo intangible normalmente surge de derechos de tipo legal, la existencia de estos no es una condición necesaria para la existencia de control, puesto que éste puede ejercerse de alguna otra manera. Por ende, aun no teniendo la titularidad legal del activo intangible identificable y capaz de generar beneficios económicos o potencial de servicio futuros, el mismo será susceptible de reconocimiento en caso de cumplirse las condiciones de control respecto de este.</w:t>
      </w:r>
    </w:p>
    <w:p w14:paraId="7F6298C5" w14:textId="77777777" w:rsidR="00DB64CF" w:rsidRPr="00AA2BD1" w:rsidRDefault="00DB64CF" w:rsidP="004741D6">
      <w:pPr>
        <w:spacing w:line="236" w:lineRule="auto"/>
        <w:ind w:left="1134" w:right="280" w:hanging="1134"/>
        <w:jc w:val="both"/>
        <w:rPr>
          <w:rFonts w:ascii="Arial" w:eastAsia="Arial" w:hAnsi="Arial"/>
          <w:bCs/>
          <w:sz w:val="22"/>
          <w:szCs w:val="22"/>
          <w:lang w:val="es-CR"/>
        </w:rPr>
      </w:pPr>
    </w:p>
    <w:p w14:paraId="7197EA5B" w14:textId="173475EE"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1.234.2.01</w:t>
      </w:r>
      <w:r>
        <w:rPr>
          <w:rFonts w:ascii="Arial" w:eastAsia="Arial" w:hAnsi="Arial"/>
          <w:bCs/>
          <w:sz w:val="22"/>
          <w:szCs w:val="22"/>
          <w:lang w:val="es-CR"/>
        </w:rPr>
        <w:tab/>
      </w:r>
      <w:r w:rsidRPr="00AA2BD1">
        <w:rPr>
          <w:rFonts w:ascii="Arial" w:eastAsia="Arial" w:hAnsi="Arial"/>
          <w:bCs/>
          <w:sz w:val="22"/>
          <w:szCs w:val="22"/>
          <w:lang w:val="es-CR"/>
        </w:rPr>
        <w:t xml:space="preserve">Dentro de los beneficios económicos o potencial de servicios futuros que recibe la </w:t>
      </w:r>
      <w:r w:rsidR="000F29DC">
        <w:rPr>
          <w:rFonts w:ascii="Arial" w:eastAsia="Arial" w:hAnsi="Arial"/>
          <w:bCs/>
          <w:sz w:val="22"/>
          <w:szCs w:val="22"/>
          <w:lang w:val="es-CR"/>
        </w:rPr>
        <w:t>MBA</w:t>
      </w:r>
      <w:r w:rsidRPr="00AA2BD1">
        <w:rPr>
          <w:rFonts w:ascii="Arial" w:eastAsia="Arial" w:hAnsi="Arial"/>
          <w:bCs/>
          <w:sz w:val="22"/>
          <w:szCs w:val="22"/>
          <w:lang w:val="es-CR"/>
        </w:rPr>
        <w:t>, procedentes de un activo intangible se incluyen:</w:t>
      </w:r>
    </w:p>
    <w:p w14:paraId="02159399" w14:textId="77777777" w:rsidR="00DB64CF" w:rsidRPr="00AA2BD1" w:rsidRDefault="00DB64CF" w:rsidP="004741D6">
      <w:pPr>
        <w:spacing w:line="236" w:lineRule="auto"/>
        <w:ind w:left="1134" w:right="280" w:hanging="1134"/>
        <w:jc w:val="both"/>
        <w:rPr>
          <w:rFonts w:ascii="Arial" w:eastAsia="Arial" w:hAnsi="Arial"/>
          <w:bCs/>
          <w:sz w:val="22"/>
          <w:szCs w:val="22"/>
          <w:lang w:val="es-CR"/>
        </w:rPr>
      </w:pPr>
    </w:p>
    <w:p w14:paraId="6C06A841" w14:textId="77777777" w:rsidR="004741D6" w:rsidRPr="00AA2BD1" w:rsidRDefault="004741D6">
      <w:pPr>
        <w:pStyle w:val="Prrafodelista"/>
        <w:numPr>
          <w:ilvl w:val="0"/>
          <w:numId w:val="97"/>
        </w:numPr>
        <w:spacing w:after="120"/>
        <w:ind w:left="1559" w:right="289" w:hanging="425"/>
        <w:contextualSpacing w:val="0"/>
        <w:jc w:val="both"/>
        <w:rPr>
          <w:rFonts w:ascii="Arial" w:eastAsia="Arial" w:hAnsi="Arial"/>
          <w:bCs/>
          <w:sz w:val="22"/>
          <w:szCs w:val="22"/>
          <w:lang w:val="es-CR"/>
        </w:rPr>
      </w:pPr>
      <w:r w:rsidRPr="00AA2BD1">
        <w:rPr>
          <w:rFonts w:ascii="Arial" w:eastAsia="Arial" w:hAnsi="Arial"/>
          <w:bCs/>
          <w:sz w:val="22"/>
          <w:szCs w:val="22"/>
          <w:lang w:val="es-CR"/>
        </w:rPr>
        <w:t>Los ingresos procedentes de la venta de productos o servicios.</w:t>
      </w:r>
    </w:p>
    <w:p w14:paraId="5671C7EA" w14:textId="77777777" w:rsidR="004741D6" w:rsidRPr="00AA2BD1" w:rsidRDefault="004741D6" w:rsidP="004741D6">
      <w:pPr>
        <w:spacing w:line="9" w:lineRule="exact"/>
        <w:ind w:left="1560" w:right="288" w:hanging="426"/>
        <w:jc w:val="both"/>
        <w:rPr>
          <w:rFonts w:ascii="Arial" w:eastAsia="Arial" w:hAnsi="Arial"/>
          <w:bCs/>
          <w:sz w:val="22"/>
          <w:szCs w:val="22"/>
          <w:lang w:val="es-CR"/>
        </w:rPr>
      </w:pPr>
    </w:p>
    <w:p w14:paraId="660F310D" w14:textId="77777777" w:rsidR="004741D6" w:rsidRDefault="004741D6">
      <w:pPr>
        <w:pStyle w:val="Prrafodelista"/>
        <w:numPr>
          <w:ilvl w:val="0"/>
          <w:numId w:val="97"/>
        </w:numPr>
        <w:spacing w:line="236" w:lineRule="auto"/>
        <w:ind w:left="1560" w:right="288" w:hanging="426"/>
        <w:jc w:val="both"/>
        <w:rPr>
          <w:rFonts w:ascii="Arial" w:eastAsia="Arial" w:hAnsi="Arial"/>
          <w:bCs/>
          <w:sz w:val="22"/>
          <w:szCs w:val="22"/>
          <w:lang w:val="es-CR"/>
        </w:rPr>
      </w:pPr>
      <w:r w:rsidRPr="00AA2BD1">
        <w:rPr>
          <w:rFonts w:ascii="Arial" w:eastAsia="Arial" w:hAnsi="Arial"/>
          <w:bCs/>
          <w:sz w:val="22"/>
          <w:szCs w:val="22"/>
          <w:lang w:val="es-CR"/>
        </w:rPr>
        <w:t>Los ahorros de costos y otros rendimientos diferentes que se deriven del uso del activo por parte de la Institución.</w:t>
      </w:r>
    </w:p>
    <w:p w14:paraId="6FD99FC7" w14:textId="4563C8EA" w:rsidR="004741D6" w:rsidRPr="00221F8E" w:rsidRDefault="004741D6">
      <w:pPr>
        <w:pStyle w:val="Prrafodelista"/>
        <w:numPr>
          <w:ilvl w:val="0"/>
          <w:numId w:val="97"/>
        </w:numPr>
        <w:spacing w:line="236" w:lineRule="auto"/>
        <w:ind w:left="1560" w:right="288" w:hanging="426"/>
        <w:jc w:val="both"/>
        <w:rPr>
          <w:rFonts w:ascii="Arial" w:eastAsia="Arial" w:hAnsi="Arial"/>
          <w:bCs/>
          <w:sz w:val="22"/>
          <w:szCs w:val="22"/>
          <w:lang w:val="es-CR"/>
        </w:rPr>
        <w:sectPr w:rsidR="004741D6" w:rsidRPr="00221F8E" w:rsidSect="006D026E">
          <w:type w:val="continuous"/>
          <w:pgSz w:w="12240" w:h="15840"/>
          <w:pgMar w:top="1440" w:right="1440" w:bottom="168" w:left="1440" w:header="0" w:footer="0" w:gutter="0"/>
          <w:cols w:space="0" w:equalWidth="0">
            <w:col w:w="9360"/>
          </w:cols>
          <w:docGrid w:linePitch="360"/>
        </w:sectPr>
      </w:pPr>
    </w:p>
    <w:p w14:paraId="0AD39041" w14:textId="77777777" w:rsidR="004741D6" w:rsidRDefault="004741D6" w:rsidP="004741D6">
      <w:pPr>
        <w:spacing w:line="238" w:lineRule="auto"/>
        <w:ind w:left="1134" w:right="260" w:hanging="1134"/>
        <w:jc w:val="both"/>
        <w:rPr>
          <w:rFonts w:ascii="Arial" w:eastAsia="Arial" w:hAnsi="Arial"/>
          <w:b/>
          <w:sz w:val="22"/>
          <w:szCs w:val="22"/>
          <w:lang w:val="es-CR"/>
        </w:rPr>
      </w:pPr>
    </w:p>
    <w:p w14:paraId="7151C3EF"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8921" w:type="dxa"/>
        <w:tblLook w:val="04A0" w:firstRow="1" w:lastRow="0" w:firstColumn="1" w:lastColumn="0" w:noHBand="0" w:noVBand="1"/>
      </w:tblPr>
      <w:tblGrid>
        <w:gridCol w:w="534"/>
        <w:gridCol w:w="668"/>
        <w:gridCol w:w="514"/>
        <w:gridCol w:w="3094"/>
        <w:gridCol w:w="2551"/>
        <w:gridCol w:w="1560"/>
      </w:tblGrid>
      <w:tr w:rsidR="004741D6" w:rsidRPr="00221F8E" w14:paraId="5B032B7F" w14:textId="77777777" w:rsidTr="00D16719">
        <w:trPr>
          <w:trHeight w:val="320"/>
        </w:trPr>
        <w:tc>
          <w:tcPr>
            <w:tcW w:w="171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8D69C1C" w14:textId="77777777" w:rsidR="004741D6" w:rsidRPr="00221F8E" w:rsidRDefault="004741D6" w:rsidP="00D16719">
            <w:pPr>
              <w:jc w:val="center"/>
              <w:rPr>
                <w:rFonts w:ascii="Arial Narrow" w:eastAsia="Times New Roman" w:hAnsi="Arial Narrow"/>
                <w:b/>
                <w:bCs/>
                <w:color w:val="FFFFFF"/>
                <w:sz w:val="22"/>
                <w:szCs w:val="22"/>
              </w:rPr>
            </w:pPr>
            <w:r w:rsidRPr="00221F8E">
              <w:rPr>
                <w:rFonts w:ascii="Arial Narrow" w:eastAsia="Times New Roman" w:hAnsi="Arial Narrow"/>
                <w:b/>
                <w:bCs/>
                <w:color w:val="FFFFFF"/>
                <w:sz w:val="22"/>
                <w:szCs w:val="22"/>
              </w:rPr>
              <w:t>Norma / Política</w:t>
            </w:r>
          </w:p>
        </w:tc>
        <w:tc>
          <w:tcPr>
            <w:tcW w:w="3094" w:type="dxa"/>
            <w:vMerge w:val="restart"/>
            <w:tcBorders>
              <w:top w:val="single" w:sz="8" w:space="0" w:color="auto"/>
              <w:left w:val="single" w:sz="8" w:space="0" w:color="auto"/>
              <w:bottom w:val="nil"/>
              <w:right w:val="single" w:sz="8" w:space="0" w:color="auto"/>
            </w:tcBorders>
            <w:shd w:val="clear" w:color="000000" w:fill="203764"/>
            <w:vAlign w:val="center"/>
            <w:hideMark/>
          </w:tcPr>
          <w:p w14:paraId="0C2FDAC8" w14:textId="77777777" w:rsidR="004741D6" w:rsidRPr="00221F8E" w:rsidRDefault="004741D6" w:rsidP="00D16719">
            <w:pPr>
              <w:jc w:val="center"/>
              <w:rPr>
                <w:rFonts w:ascii="Arial Narrow" w:eastAsia="Times New Roman" w:hAnsi="Arial Narrow"/>
                <w:b/>
                <w:bCs/>
                <w:color w:val="FFFFFF"/>
                <w:sz w:val="22"/>
                <w:szCs w:val="22"/>
              </w:rPr>
            </w:pPr>
            <w:r w:rsidRPr="00221F8E">
              <w:rPr>
                <w:rFonts w:ascii="Arial Narrow" w:eastAsia="Times New Roman" w:hAnsi="Arial Narrow"/>
                <w:b/>
                <w:bCs/>
                <w:color w:val="FFFFFF"/>
                <w:sz w:val="22"/>
                <w:szCs w:val="22"/>
              </w:rPr>
              <w:t>Concepto</w:t>
            </w:r>
          </w:p>
        </w:tc>
        <w:tc>
          <w:tcPr>
            <w:tcW w:w="4111" w:type="dxa"/>
            <w:gridSpan w:val="2"/>
            <w:tcBorders>
              <w:top w:val="single" w:sz="8" w:space="0" w:color="auto"/>
              <w:left w:val="nil"/>
              <w:bottom w:val="single" w:sz="8" w:space="0" w:color="auto"/>
              <w:right w:val="single" w:sz="8" w:space="0" w:color="000000"/>
            </w:tcBorders>
            <w:shd w:val="clear" w:color="000000" w:fill="203764"/>
            <w:vAlign w:val="center"/>
            <w:hideMark/>
          </w:tcPr>
          <w:p w14:paraId="22E8E0C2" w14:textId="77777777" w:rsidR="004741D6" w:rsidRPr="00221F8E" w:rsidRDefault="004741D6" w:rsidP="00D16719">
            <w:pPr>
              <w:jc w:val="center"/>
              <w:rPr>
                <w:rFonts w:ascii="Arial Narrow" w:eastAsia="Times New Roman" w:hAnsi="Arial Narrow"/>
                <w:b/>
                <w:bCs/>
                <w:color w:val="FFFFFF"/>
                <w:sz w:val="22"/>
                <w:szCs w:val="22"/>
              </w:rPr>
            </w:pPr>
            <w:r w:rsidRPr="00221F8E">
              <w:rPr>
                <w:rFonts w:ascii="Arial Narrow" w:eastAsia="Times New Roman" w:hAnsi="Arial Narrow"/>
                <w:b/>
                <w:bCs/>
                <w:color w:val="FFFFFF"/>
                <w:sz w:val="22"/>
                <w:szCs w:val="22"/>
              </w:rPr>
              <w:t>Referencia</w:t>
            </w:r>
          </w:p>
        </w:tc>
      </w:tr>
      <w:tr w:rsidR="004741D6" w:rsidRPr="006E5442" w14:paraId="1C8C9EF9" w14:textId="77777777" w:rsidTr="00D16719">
        <w:trPr>
          <w:trHeight w:val="1094"/>
        </w:trPr>
        <w:tc>
          <w:tcPr>
            <w:tcW w:w="1716" w:type="dxa"/>
            <w:gridSpan w:val="3"/>
            <w:vMerge/>
            <w:tcBorders>
              <w:top w:val="single" w:sz="8" w:space="0" w:color="auto"/>
              <w:left w:val="single" w:sz="8" w:space="0" w:color="auto"/>
              <w:bottom w:val="nil"/>
              <w:right w:val="single" w:sz="8" w:space="0" w:color="000000"/>
            </w:tcBorders>
            <w:vAlign w:val="center"/>
            <w:hideMark/>
          </w:tcPr>
          <w:p w14:paraId="23A889BF" w14:textId="77777777" w:rsidR="004741D6" w:rsidRPr="00221F8E" w:rsidRDefault="004741D6" w:rsidP="00D16719">
            <w:pPr>
              <w:rPr>
                <w:rFonts w:ascii="Arial Narrow" w:eastAsia="Times New Roman" w:hAnsi="Arial Narrow"/>
                <w:b/>
                <w:bCs/>
                <w:color w:val="FFFFFF"/>
                <w:sz w:val="22"/>
                <w:szCs w:val="22"/>
              </w:rPr>
            </w:pPr>
          </w:p>
        </w:tc>
        <w:tc>
          <w:tcPr>
            <w:tcW w:w="3094" w:type="dxa"/>
            <w:vMerge/>
            <w:tcBorders>
              <w:top w:val="single" w:sz="8" w:space="0" w:color="auto"/>
              <w:left w:val="single" w:sz="8" w:space="0" w:color="auto"/>
              <w:bottom w:val="nil"/>
              <w:right w:val="single" w:sz="8" w:space="0" w:color="auto"/>
            </w:tcBorders>
            <w:vAlign w:val="center"/>
            <w:hideMark/>
          </w:tcPr>
          <w:p w14:paraId="13B9195D" w14:textId="77777777" w:rsidR="004741D6" w:rsidRPr="00221F8E" w:rsidRDefault="004741D6" w:rsidP="00D16719">
            <w:pPr>
              <w:rPr>
                <w:rFonts w:ascii="Arial Narrow" w:eastAsia="Times New Roman" w:hAnsi="Arial Narrow"/>
                <w:b/>
                <w:bCs/>
                <w:color w:val="FFFFFF"/>
                <w:sz w:val="22"/>
                <w:szCs w:val="22"/>
              </w:rPr>
            </w:pPr>
          </w:p>
        </w:tc>
        <w:tc>
          <w:tcPr>
            <w:tcW w:w="2551" w:type="dxa"/>
            <w:tcBorders>
              <w:top w:val="nil"/>
              <w:left w:val="nil"/>
              <w:bottom w:val="nil"/>
              <w:right w:val="single" w:sz="8" w:space="0" w:color="auto"/>
            </w:tcBorders>
            <w:shd w:val="clear" w:color="000000" w:fill="203764"/>
            <w:vAlign w:val="center"/>
            <w:hideMark/>
          </w:tcPr>
          <w:p w14:paraId="3F0EC85F" w14:textId="77777777" w:rsidR="004741D6" w:rsidRPr="00221F8E" w:rsidRDefault="004741D6" w:rsidP="00D16719">
            <w:pPr>
              <w:jc w:val="center"/>
              <w:rPr>
                <w:rFonts w:ascii="Arial Narrow" w:eastAsia="Times New Roman" w:hAnsi="Arial Narrow"/>
                <w:b/>
                <w:bCs/>
                <w:color w:val="FFFFFF"/>
                <w:sz w:val="22"/>
                <w:szCs w:val="22"/>
              </w:rPr>
            </w:pPr>
            <w:r w:rsidRPr="00221F8E">
              <w:rPr>
                <w:rFonts w:ascii="Arial Narrow" w:eastAsia="Times New Roman" w:hAnsi="Arial Narrow"/>
                <w:b/>
                <w:bCs/>
                <w:color w:val="FFFFFF"/>
                <w:sz w:val="22"/>
                <w:szCs w:val="22"/>
              </w:rPr>
              <w:t>Norma</w:t>
            </w:r>
          </w:p>
        </w:tc>
        <w:tc>
          <w:tcPr>
            <w:tcW w:w="1560" w:type="dxa"/>
            <w:tcBorders>
              <w:top w:val="nil"/>
              <w:left w:val="nil"/>
              <w:bottom w:val="nil"/>
              <w:right w:val="single" w:sz="8" w:space="0" w:color="auto"/>
            </w:tcBorders>
            <w:shd w:val="clear" w:color="000000" w:fill="203764"/>
            <w:vAlign w:val="center"/>
            <w:hideMark/>
          </w:tcPr>
          <w:p w14:paraId="3529B835" w14:textId="77777777" w:rsidR="004741D6" w:rsidRPr="00221F8E" w:rsidRDefault="004741D6" w:rsidP="00D16719">
            <w:pPr>
              <w:jc w:val="center"/>
              <w:rPr>
                <w:rFonts w:ascii="Arial Narrow" w:eastAsia="Times New Roman" w:hAnsi="Arial Narrow"/>
                <w:b/>
                <w:bCs/>
                <w:color w:val="FFFFFF"/>
                <w:sz w:val="22"/>
                <w:szCs w:val="22"/>
                <w:lang w:val="es-CR"/>
              </w:rPr>
            </w:pPr>
            <w:r w:rsidRPr="00221F8E">
              <w:rPr>
                <w:rFonts w:ascii="Arial Narrow" w:eastAsia="Times New Roman" w:hAnsi="Arial Narrow"/>
                <w:b/>
                <w:bCs/>
                <w:color w:val="FFFFFF"/>
                <w:sz w:val="22"/>
                <w:szCs w:val="22"/>
                <w:lang w:val="es-CR"/>
              </w:rPr>
              <w:t>Normativa técnica y disposiciones adicionales</w:t>
            </w:r>
          </w:p>
        </w:tc>
      </w:tr>
      <w:tr w:rsidR="004741D6" w:rsidRPr="00221F8E" w14:paraId="5B6FCFC1" w14:textId="77777777" w:rsidTr="00D16719">
        <w:trPr>
          <w:trHeight w:val="630"/>
        </w:trPr>
        <w:tc>
          <w:tcPr>
            <w:tcW w:w="5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BB8881"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cs="Arial Narrow"/>
                <w:b/>
                <w:bCs/>
                <w:color w:val="000000"/>
                <w:spacing w:val="-10"/>
                <w:sz w:val="22"/>
                <w:szCs w:val="22"/>
              </w:rPr>
              <w:t>1</w:t>
            </w:r>
          </w:p>
        </w:tc>
        <w:tc>
          <w:tcPr>
            <w:tcW w:w="668" w:type="dxa"/>
            <w:tcBorders>
              <w:top w:val="single" w:sz="8" w:space="0" w:color="auto"/>
              <w:left w:val="nil"/>
              <w:bottom w:val="single" w:sz="8" w:space="0" w:color="auto"/>
              <w:right w:val="single" w:sz="8" w:space="0" w:color="auto"/>
            </w:tcBorders>
            <w:shd w:val="clear" w:color="auto" w:fill="auto"/>
            <w:noWrap/>
            <w:vAlign w:val="center"/>
            <w:hideMark/>
          </w:tcPr>
          <w:p w14:paraId="0A7092BC"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cs="Arial Narrow"/>
                <w:b/>
                <w:bCs/>
                <w:color w:val="000000"/>
                <w:spacing w:val="-4"/>
                <w:sz w:val="22"/>
                <w:szCs w:val="22"/>
              </w:rPr>
              <w:t>235.</w:t>
            </w:r>
          </w:p>
        </w:tc>
        <w:tc>
          <w:tcPr>
            <w:tcW w:w="514" w:type="dxa"/>
            <w:tcBorders>
              <w:top w:val="single" w:sz="8" w:space="0" w:color="auto"/>
              <w:left w:val="nil"/>
              <w:bottom w:val="single" w:sz="8" w:space="0" w:color="auto"/>
              <w:right w:val="single" w:sz="8" w:space="0" w:color="auto"/>
            </w:tcBorders>
            <w:shd w:val="clear" w:color="auto" w:fill="auto"/>
            <w:vAlign w:val="center"/>
            <w:hideMark/>
          </w:tcPr>
          <w:p w14:paraId="1BB9EFEB" w14:textId="6EE7E1BC"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 </w:t>
            </w:r>
            <w:r w:rsidR="002B7D8C">
              <w:rPr>
                <w:rFonts w:ascii="Arial Narrow" w:eastAsia="Times New Roman" w:hAnsi="Arial Narrow"/>
                <w:b/>
                <w:bCs/>
                <w:color w:val="000000"/>
                <w:sz w:val="22"/>
                <w:szCs w:val="22"/>
              </w:rPr>
              <w:t>0</w:t>
            </w:r>
          </w:p>
        </w:tc>
        <w:tc>
          <w:tcPr>
            <w:tcW w:w="3094" w:type="dxa"/>
            <w:tcBorders>
              <w:top w:val="single" w:sz="8" w:space="0" w:color="auto"/>
              <w:left w:val="nil"/>
              <w:bottom w:val="single" w:sz="8" w:space="0" w:color="auto"/>
              <w:right w:val="single" w:sz="8" w:space="0" w:color="auto"/>
            </w:tcBorders>
            <w:shd w:val="clear" w:color="auto" w:fill="auto"/>
            <w:vAlign w:val="center"/>
            <w:hideMark/>
          </w:tcPr>
          <w:p w14:paraId="4735D7FF" w14:textId="77777777" w:rsidR="004741D6" w:rsidRPr="00221F8E" w:rsidRDefault="004741D6" w:rsidP="00D16719">
            <w:pPr>
              <w:jc w:val="both"/>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lang w:val="es-CR"/>
              </w:rPr>
              <w:t>Condiciones para el reconocimiento</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046D6EA0" w14:textId="77777777" w:rsidR="00DB64CF" w:rsidRDefault="004741D6" w:rsidP="00DB64CF">
            <w:pPr>
              <w:jc w:val="both"/>
              <w:rPr>
                <w:rFonts w:ascii="Arial Narrow" w:eastAsia="Times New Roman" w:hAnsi="Arial Narrow" w:cs="Arial Narrow"/>
                <w:b/>
                <w:bCs/>
                <w:color w:val="000000"/>
                <w:sz w:val="22"/>
                <w:szCs w:val="22"/>
              </w:rPr>
            </w:pPr>
            <w:r w:rsidRPr="00221F8E">
              <w:rPr>
                <w:rFonts w:ascii="Arial Narrow" w:eastAsia="Times New Roman" w:hAnsi="Arial Narrow" w:cs="Arial Narrow"/>
                <w:b/>
                <w:bCs/>
                <w:color w:val="000000"/>
                <w:sz w:val="22"/>
                <w:szCs w:val="22"/>
              </w:rPr>
              <w:t>NICSP N° 31,</w:t>
            </w:r>
          </w:p>
          <w:p w14:paraId="77AC325E" w14:textId="75399476" w:rsidR="004741D6" w:rsidRPr="00221F8E" w:rsidRDefault="004741D6" w:rsidP="00DB64CF">
            <w:pPr>
              <w:jc w:val="both"/>
              <w:rPr>
                <w:rFonts w:ascii="Arial Narrow" w:eastAsia="Times New Roman" w:hAnsi="Arial Narrow"/>
                <w:b/>
                <w:bCs/>
                <w:color w:val="000000"/>
                <w:sz w:val="22"/>
                <w:szCs w:val="22"/>
              </w:rPr>
            </w:pPr>
            <w:r w:rsidRPr="00221F8E">
              <w:rPr>
                <w:rFonts w:ascii="Arial Narrow" w:eastAsia="Times New Roman" w:hAnsi="Arial Narrow" w:cs="Arial Narrow"/>
                <w:b/>
                <w:bCs/>
                <w:color w:val="000000"/>
                <w:sz w:val="22"/>
                <w:szCs w:val="22"/>
              </w:rPr>
              <w:t>Párrafos 26 y 28.</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24152D19"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cs="Arial Narrow"/>
                <w:b/>
                <w:bCs/>
                <w:color w:val="000000"/>
                <w:spacing w:val="-4"/>
                <w:sz w:val="22"/>
                <w:szCs w:val="22"/>
              </w:rPr>
              <w:t xml:space="preserve"> </w:t>
            </w:r>
          </w:p>
        </w:tc>
      </w:tr>
      <w:tr w:rsidR="004741D6" w:rsidRPr="00221F8E" w14:paraId="7DC7FC66" w14:textId="77777777" w:rsidTr="00D16719">
        <w:trPr>
          <w:trHeight w:val="630"/>
        </w:trPr>
        <w:tc>
          <w:tcPr>
            <w:tcW w:w="534" w:type="dxa"/>
            <w:tcBorders>
              <w:top w:val="nil"/>
              <w:left w:val="single" w:sz="8" w:space="0" w:color="auto"/>
              <w:bottom w:val="single" w:sz="8" w:space="0" w:color="auto"/>
              <w:right w:val="single" w:sz="8" w:space="0" w:color="auto"/>
            </w:tcBorders>
            <w:shd w:val="clear" w:color="auto" w:fill="auto"/>
            <w:vAlign w:val="center"/>
            <w:hideMark/>
          </w:tcPr>
          <w:p w14:paraId="6B81F760"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lang w:val="es-CR"/>
              </w:rPr>
              <w:t>1</w:t>
            </w:r>
          </w:p>
        </w:tc>
        <w:tc>
          <w:tcPr>
            <w:tcW w:w="668" w:type="dxa"/>
            <w:tcBorders>
              <w:top w:val="nil"/>
              <w:left w:val="nil"/>
              <w:bottom w:val="single" w:sz="8" w:space="0" w:color="auto"/>
              <w:right w:val="single" w:sz="8" w:space="0" w:color="auto"/>
            </w:tcBorders>
            <w:shd w:val="clear" w:color="auto" w:fill="auto"/>
            <w:noWrap/>
            <w:vAlign w:val="center"/>
            <w:hideMark/>
          </w:tcPr>
          <w:p w14:paraId="73FC1D07"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lang w:val="es-CR"/>
              </w:rPr>
              <w:t>235</w:t>
            </w:r>
          </w:p>
        </w:tc>
        <w:tc>
          <w:tcPr>
            <w:tcW w:w="514" w:type="dxa"/>
            <w:tcBorders>
              <w:top w:val="nil"/>
              <w:left w:val="nil"/>
              <w:bottom w:val="single" w:sz="8" w:space="0" w:color="auto"/>
              <w:right w:val="single" w:sz="8" w:space="0" w:color="auto"/>
            </w:tcBorders>
            <w:shd w:val="clear" w:color="auto" w:fill="auto"/>
            <w:vAlign w:val="center"/>
            <w:hideMark/>
          </w:tcPr>
          <w:p w14:paraId="29F278D3"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1</w:t>
            </w:r>
          </w:p>
        </w:tc>
        <w:tc>
          <w:tcPr>
            <w:tcW w:w="3094" w:type="dxa"/>
            <w:tcBorders>
              <w:top w:val="nil"/>
              <w:left w:val="nil"/>
              <w:bottom w:val="single" w:sz="8" w:space="0" w:color="auto"/>
              <w:right w:val="single" w:sz="8" w:space="0" w:color="auto"/>
            </w:tcBorders>
            <w:shd w:val="clear" w:color="auto" w:fill="auto"/>
            <w:vAlign w:val="center"/>
            <w:hideMark/>
          </w:tcPr>
          <w:p w14:paraId="5612040D" w14:textId="77777777" w:rsidR="004741D6" w:rsidRPr="00221F8E" w:rsidRDefault="004741D6" w:rsidP="00D16719">
            <w:pPr>
              <w:jc w:val="both"/>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Estimaciones razonables y fundadas</w:t>
            </w:r>
          </w:p>
        </w:tc>
        <w:tc>
          <w:tcPr>
            <w:tcW w:w="2551" w:type="dxa"/>
            <w:tcBorders>
              <w:top w:val="nil"/>
              <w:left w:val="nil"/>
              <w:bottom w:val="single" w:sz="8" w:space="0" w:color="auto"/>
              <w:right w:val="single" w:sz="8" w:space="0" w:color="auto"/>
            </w:tcBorders>
            <w:shd w:val="clear" w:color="auto" w:fill="auto"/>
            <w:vAlign w:val="center"/>
            <w:hideMark/>
          </w:tcPr>
          <w:p w14:paraId="7C3524DF" w14:textId="77777777" w:rsidR="00DB64CF" w:rsidRDefault="004741D6" w:rsidP="00DB64CF">
            <w:pPr>
              <w:jc w:val="both"/>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NICSP N° 31,</w:t>
            </w:r>
          </w:p>
          <w:p w14:paraId="0C3258EB" w14:textId="7A8BE509" w:rsidR="004741D6" w:rsidRPr="00221F8E" w:rsidRDefault="004741D6" w:rsidP="00DB64CF">
            <w:pPr>
              <w:jc w:val="both"/>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Párrafo 29.</w:t>
            </w:r>
          </w:p>
        </w:tc>
        <w:tc>
          <w:tcPr>
            <w:tcW w:w="1560" w:type="dxa"/>
            <w:tcBorders>
              <w:top w:val="nil"/>
              <w:left w:val="nil"/>
              <w:bottom w:val="single" w:sz="8" w:space="0" w:color="auto"/>
              <w:right w:val="single" w:sz="8" w:space="0" w:color="auto"/>
            </w:tcBorders>
            <w:shd w:val="clear" w:color="auto" w:fill="auto"/>
            <w:vAlign w:val="center"/>
            <w:hideMark/>
          </w:tcPr>
          <w:p w14:paraId="0289DBF5"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DGCN</w:t>
            </w:r>
          </w:p>
        </w:tc>
      </w:tr>
      <w:tr w:rsidR="004741D6" w:rsidRPr="00221F8E" w14:paraId="770AB8CB" w14:textId="77777777" w:rsidTr="00D16719">
        <w:trPr>
          <w:trHeight w:val="595"/>
        </w:trPr>
        <w:tc>
          <w:tcPr>
            <w:tcW w:w="534" w:type="dxa"/>
            <w:tcBorders>
              <w:top w:val="nil"/>
              <w:left w:val="single" w:sz="8" w:space="0" w:color="auto"/>
              <w:bottom w:val="single" w:sz="8" w:space="0" w:color="auto"/>
              <w:right w:val="single" w:sz="8" w:space="0" w:color="auto"/>
            </w:tcBorders>
            <w:shd w:val="clear" w:color="auto" w:fill="auto"/>
            <w:vAlign w:val="center"/>
            <w:hideMark/>
          </w:tcPr>
          <w:p w14:paraId="7C2AD050"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lang w:val="es-CR"/>
              </w:rPr>
              <w:t>1</w:t>
            </w:r>
          </w:p>
        </w:tc>
        <w:tc>
          <w:tcPr>
            <w:tcW w:w="668" w:type="dxa"/>
            <w:tcBorders>
              <w:top w:val="nil"/>
              <w:left w:val="nil"/>
              <w:bottom w:val="single" w:sz="8" w:space="0" w:color="auto"/>
              <w:right w:val="single" w:sz="8" w:space="0" w:color="auto"/>
            </w:tcBorders>
            <w:shd w:val="clear" w:color="auto" w:fill="auto"/>
            <w:noWrap/>
            <w:vAlign w:val="center"/>
            <w:hideMark/>
          </w:tcPr>
          <w:p w14:paraId="11867631"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235</w:t>
            </w:r>
          </w:p>
        </w:tc>
        <w:tc>
          <w:tcPr>
            <w:tcW w:w="514" w:type="dxa"/>
            <w:tcBorders>
              <w:top w:val="nil"/>
              <w:left w:val="nil"/>
              <w:bottom w:val="single" w:sz="8" w:space="0" w:color="auto"/>
              <w:right w:val="single" w:sz="8" w:space="0" w:color="auto"/>
            </w:tcBorders>
            <w:shd w:val="clear" w:color="auto" w:fill="auto"/>
            <w:vAlign w:val="center"/>
            <w:hideMark/>
          </w:tcPr>
          <w:p w14:paraId="6E70E348"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2</w:t>
            </w:r>
          </w:p>
        </w:tc>
        <w:tc>
          <w:tcPr>
            <w:tcW w:w="3094" w:type="dxa"/>
            <w:tcBorders>
              <w:top w:val="nil"/>
              <w:left w:val="nil"/>
              <w:bottom w:val="single" w:sz="8" w:space="0" w:color="auto"/>
              <w:right w:val="single" w:sz="8" w:space="0" w:color="auto"/>
            </w:tcBorders>
            <w:shd w:val="clear" w:color="auto" w:fill="auto"/>
            <w:vAlign w:val="center"/>
            <w:hideMark/>
          </w:tcPr>
          <w:p w14:paraId="7BCC24CF" w14:textId="1829E2A5" w:rsidR="004741D6" w:rsidRPr="00221F8E" w:rsidRDefault="00AA22E2" w:rsidP="00D16719">
            <w:pPr>
              <w:jc w:val="both"/>
              <w:rPr>
                <w:rFonts w:ascii="Arial Narrow" w:eastAsia="Times New Roman" w:hAnsi="Arial Narrow"/>
                <w:b/>
                <w:bCs/>
                <w:color w:val="000000"/>
                <w:sz w:val="22"/>
                <w:szCs w:val="22"/>
                <w:lang w:val="es-CR"/>
              </w:rPr>
            </w:pPr>
            <w:r w:rsidRPr="00221F8E">
              <w:rPr>
                <w:rFonts w:ascii="Arial Narrow" w:eastAsia="Times New Roman" w:hAnsi="Arial Narrow"/>
                <w:b/>
                <w:bCs/>
                <w:color w:val="000000"/>
                <w:sz w:val="22"/>
                <w:szCs w:val="22"/>
                <w:lang w:val="es-CR"/>
              </w:rPr>
              <w:t>Certidu</w:t>
            </w:r>
            <w:r>
              <w:rPr>
                <w:rFonts w:ascii="Arial Narrow" w:eastAsia="Times New Roman" w:hAnsi="Arial Narrow"/>
                <w:b/>
                <w:bCs/>
                <w:color w:val="000000"/>
                <w:sz w:val="22"/>
                <w:szCs w:val="22"/>
                <w:lang w:val="es-CR"/>
              </w:rPr>
              <w:t>mbr</w:t>
            </w:r>
            <w:r w:rsidRPr="00221F8E">
              <w:rPr>
                <w:rFonts w:ascii="Arial Narrow" w:eastAsia="Times New Roman" w:hAnsi="Arial Narrow"/>
                <w:b/>
                <w:bCs/>
                <w:color w:val="000000"/>
                <w:sz w:val="22"/>
                <w:szCs w:val="22"/>
                <w:lang w:val="es-CR"/>
              </w:rPr>
              <w:t>e</w:t>
            </w:r>
            <w:r w:rsidR="004741D6" w:rsidRPr="00221F8E">
              <w:rPr>
                <w:rFonts w:ascii="Arial Narrow" w:eastAsia="Times New Roman" w:hAnsi="Arial Narrow"/>
                <w:b/>
                <w:bCs/>
                <w:color w:val="000000"/>
                <w:sz w:val="22"/>
                <w:szCs w:val="22"/>
                <w:lang w:val="es-CR"/>
              </w:rPr>
              <w:t xml:space="preserve"> asociada al flujo de beneficios económicos o potencial de servicio futuros</w:t>
            </w:r>
          </w:p>
        </w:tc>
        <w:tc>
          <w:tcPr>
            <w:tcW w:w="2551" w:type="dxa"/>
            <w:tcBorders>
              <w:top w:val="nil"/>
              <w:left w:val="nil"/>
              <w:bottom w:val="single" w:sz="8" w:space="0" w:color="auto"/>
              <w:right w:val="single" w:sz="8" w:space="0" w:color="auto"/>
            </w:tcBorders>
            <w:shd w:val="clear" w:color="auto" w:fill="auto"/>
            <w:vAlign w:val="center"/>
            <w:hideMark/>
          </w:tcPr>
          <w:p w14:paraId="68905703" w14:textId="77777777" w:rsidR="00DB64CF" w:rsidRDefault="004741D6" w:rsidP="00DB64CF">
            <w:pPr>
              <w:jc w:val="both"/>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NICSP N° 31,</w:t>
            </w:r>
          </w:p>
          <w:p w14:paraId="61AD0984" w14:textId="005FC7A3" w:rsidR="004741D6" w:rsidRPr="00221F8E" w:rsidRDefault="004741D6" w:rsidP="00DB64CF">
            <w:pPr>
              <w:jc w:val="both"/>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Párrafo 30.</w:t>
            </w:r>
          </w:p>
        </w:tc>
        <w:tc>
          <w:tcPr>
            <w:tcW w:w="1560" w:type="dxa"/>
            <w:tcBorders>
              <w:top w:val="nil"/>
              <w:left w:val="nil"/>
              <w:bottom w:val="single" w:sz="8" w:space="0" w:color="auto"/>
              <w:right w:val="single" w:sz="8" w:space="0" w:color="auto"/>
            </w:tcBorders>
            <w:shd w:val="clear" w:color="auto" w:fill="auto"/>
            <w:vAlign w:val="center"/>
            <w:hideMark/>
          </w:tcPr>
          <w:p w14:paraId="4652F195" w14:textId="77777777" w:rsidR="004741D6" w:rsidRPr="00221F8E" w:rsidRDefault="004741D6" w:rsidP="00D16719">
            <w:pPr>
              <w:jc w:val="center"/>
              <w:rPr>
                <w:rFonts w:ascii="Arial Narrow" w:eastAsia="Times New Roman" w:hAnsi="Arial Narrow"/>
                <w:b/>
                <w:bCs/>
                <w:color w:val="000000"/>
                <w:sz w:val="22"/>
                <w:szCs w:val="22"/>
              </w:rPr>
            </w:pPr>
            <w:r w:rsidRPr="00221F8E">
              <w:rPr>
                <w:rFonts w:ascii="Arial Narrow" w:eastAsia="Times New Roman" w:hAnsi="Arial Narrow"/>
                <w:b/>
                <w:bCs/>
                <w:color w:val="000000"/>
                <w:sz w:val="22"/>
                <w:szCs w:val="22"/>
              </w:rPr>
              <w:t> </w:t>
            </w:r>
          </w:p>
        </w:tc>
      </w:tr>
    </w:tbl>
    <w:p w14:paraId="71603183" w14:textId="1BC41618" w:rsidR="004741D6" w:rsidRDefault="00651532"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2AA64200" w14:textId="77777777" w:rsidR="00651532" w:rsidRDefault="00651532" w:rsidP="004741D6">
      <w:pPr>
        <w:spacing w:line="238" w:lineRule="auto"/>
        <w:ind w:left="1134" w:right="260" w:hanging="1134"/>
        <w:jc w:val="both"/>
        <w:rPr>
          <w:rFonts w:ascii="Arial" w:eastAsia="Arial" w:hAnsi="Arial"/>
          <w:b/>
          <w:sz w:val="22"/>
          <w:szCs w:val="22"/>
          <w:lang w:val="es-CR"/>
        </w:rPr>
      </w:pPr>
    </w:p>
    <w:p w14:paraId="125872D7" w14:textId="62EA0C8E" w:rsidR="004741D6" w:rsidRPr="00B63898"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1.235.0.01</w:t>
      </w:r>
      <w:r>
        <w:rPr>
          <w:rFonts w:ascii="Arial" w:eastAsia="Arial" w:hAnsi="Arial"/>
          <w:bCs/>
          <w:sz w:val="22"/>
          <w:szCs w:val="22"/>
          <w:lang w:val="es-CR"/>
        </w:rPr>
        <w:tab/>
        <w:t>E</w:t>
      </w:r>
      <w:r w:rsidRPr="00B63898">
        <w:rPr>
          <w:rFonts w:ascii="Arial" w:eastAsia="Arial" w:hAnsi="Arial"/>
          <w:bCs/>
          <w:sz w:val="22"/>
          <w:szCs w:val="22"/>
          <w:lang w:val="es-CR"/>
        </w:rPr>
        <w:t xml:space="preserve">n la </w:t>
      </w:r>
      <w:r w:rsidR="000F29DC">
        <w:rPr>
          <w:rFonts w:ascii="Arial" w:eastAsia="Arial" w:hAnsi="Arial"/>
          <w:bCs/>
          <w:sz w:val="22"/>
          <w:szCs w:val="22"/>
          <w:lang w:val="es-CR"/>
        </w:rPr>
        <w:t>MBA</w:t>
      </w:r>
      <w:r w:rsidRPr="00B63898">
        <w:rPr>
          <w:rFonts w:ascii="Arial" w:eastAsia="Arial" w:hAnsi="Arial"/>
          <w:bCs/>
          <w:sz w:val="22"/>
          <w:szCs w:val="22"/>
          <w:lang w:val="es-CR"/>
        </w:rPr>
        <w:t xml:space="preserve"> </w:t>
      </w:r>
      <w:r>
        <w:rPr>
          <w:rFonts w:ascii="Arial" w:eastAsia="Arial" w:hAnsi="Arial"/>
          <w:bCs/>
          <w:sz w:val="22"/>
          <w:szCs w:val="22"/>
          <w:lang w:val="es-CR"/>
        </w:rPr>
        <w:t xml:space="preserve">se reconocerá </w:t>
      </w:r>
      <w:r w:rsidRPr="00B63898">
        <w:rPr>
          <w:rFonts w:ascii="Arial" w:eastAsia="Arial" w:hAnsi="Arial"/>
          <w:bCs/>
          <w:sz w:val="22"/>
          <w:szCs w:val="22"/>
          <w:lang w:val="es-CR"/>
        </w:rPr>
        <w:t>como activo intangible</w:t>
      </w:r>
      <w:r>
        <w:rPr>
          <w:rFonts w:ascii="Arial" w:eastAsia="Arial" w:hAnsi="Arial"/>
          <w:bCs/>
          <w:sz w:val="22"/>
          <w:szCs w:val="22"/>
          <w:lang w:val="es-CR"/>
        </w:rPr>
        <w:t xml:space="preserve"> todo aquel que</w:t>
      </w:r>
      <w:r w:rsidRPr="00B63898">
        <w:rPr>
          <w:rFonts w:ascii="Arial" w:eastAsia="Arial" w:hAnsi="Arial"/>
          <w:bCs/>
          <w:sz w:val="22"/>
          <w:szCs w:val="22"/>
          <w:lang w:val="es-CR"/>
        </w:rPr>
        <w:t xml:space="preserve"> cumpl</w:t>
      </w:r>
      <w:r>
        <w:rPr>
          <w:rFonts w:ascii="Arial" w:eastAsia="Arial" w:hAnsi="Arial"/>
          <w:bCs/>
          <w:sz w:val="22"/>
          <w:szCs w:val="22"/>
          <w:lang w:val="es-CR"/>
        </w:rPr>
        <w:t>a</w:t>
      </w:r>
      <w:r w:rsidRPr="00B63898">
        <w:rPr>
          <w:rFonts w:ascii="Arial" w:eastAsia="Arial" w:hAnsi="Arial"/>
          <w:bCs/>
          <w:sz w:val="22"/>
          <w:szCs w:val="22"/>
          <w:lang w:val="es-CR"/>
        </w:rPr>
        <w:t xml:space="preserve"> con:</w:t>
      </w:r>
    </w:p>
    <w:p w14:paraId="663A6C82" w14:textId="77777777" w:rsidR="004741D6" w:rsidRPr="00627673" w:rsidRDefault="004741D6" w:rsidP="004741D6">
      <w:pPr>
        <w:spacing w:line="285" w:lineRule="exact"/>
        <w:rPr>
          <w:rFonts w:ascii="Times New Roman" w:eastAsia="Times New Roman" w:hAnsi="Times New Roman"/>
          <w:lang w:val="es-CR"/>
        </w:rPr>
      </w:pPr>
    </w:p>
    <w:p w14:paraId="3E265268" w14:textId="1C95F8A2" w:rsidR="004741D6" w:rsidRPr="00651532" w:rsidRDefault="004741D6" w:rsidP="00651532">
      <w:pPr>
        <w:pStyle w:val="Prrafodelista"/>
        <w:numPr>
          <w:ilvl w:val="0"/>
          <w:numId w:val="98"/>
        </w:numPr>
        <w:spacing w:after="120"/>
        <w:ind w:left="1418" w:hanging="284"/>
        <w:contextualSpacing w:val="0"/>
        <w:rPr>
          <w:rFonts w:ascii="Arial" w:eastAsia="Arial" w:hAnsi="Arial"/>
          <w:bCs/>
          <w:sz w:val="22"/>
          <w:szCs w:val="22"/>
          <w:lang w:val="es-CR"/>
        </w:rPr>
      </w:pPr>
      <w:r w:rsidRPr="00B63898">
        <w:rPr>
          <w:rFonts w:ascii="Arial" w:eastAsia="Arial" w:hAnsi="Arial"/>
          <w:bCs/>
          <w:sz w:val="22"/>
          <w:szCs w:val="22"/>
          <w:lang w:val="es-CR"/>
        </w:rPr>
        <w:t>La definición de activo intangible (condiciones previas al reconocimiento).</w:t>
      </w:r>
    </w:p>
    <w:p w14:paraId="6FC48F41" w14:textId="501AFBFF" w:rsidR="004741D6" w:rsidRPr="00651532" w:rsidRDefault="004741D6" w:rsidP="00651532">
      <w:pPr>
        <w:pStyle w:val="Prrafodelista"/>
        <w:numPr>
          <w:ilvl w:val="0"/>
          <w:numId w:val="98"/>
        </w:numPr>
        <w:spacing w:after="120"/>
        <w:ind w:left="1418" w:hanging="284"/>
        <w:contextualSpacing w:val="0"/>
        <w:rPr>
          <w:rFonts w:ascii="Arial" w:eastAsia="Arial" w:hAnsi="Arial"/>
          <w:bCs/>
          <w:sz w:val="22"/>
          <w:szCs w:val="22"/>
          <w:lang w:val="es-CR"/>
        </w:rPr>
      </w:pPr>
      <w:r w:rsidRPr="00B63898">
        <w:rPr>
          <w:rFonts w:ascii="Arial" w:eastAsia="Arial" w:hAnsi="Arial"/>
          <w:bCs/>
          <w:sz w:val="22"/>
          <w:szCs w:val="22"/>
          <w:lang w:val="es-CR"/>
        </w:rPr>
        <w:t>Los criterios para su reconocimiento, a saber:</w:t>
      </w:r>
    </w:p>
    <w:p w14:paraId="62B89551" w14:textId="77777777" w:rsidR="004741D6" w:rsidRPr="00B63898" w:rsidRDefault="004741D6" w:rsidP="00651532">
      <w:pPr>
        <w:pStyle w:val="Prrafodelista"/>
        <w:numPr>
          <w:ilvl w:val="0"/>
          <w:numId w:val="98"/>
        </w:numPr>
        <w:tabs>
          <w:tab w:val="left" w:pos="1439"/>
        </w:tabs>
        <w:spacing w:after="120"/>
        <w:ind w:left="1418" w:right="1120" w:hanging="284"/>
        <w:contextualSpacing w:val="0"/>
        <w:rPr>
          <w:rFonts w:ascii="Arial" w:eastAsia="Arial" w:hAnsi="Arial"/>
          <w:bCs/>
          <w:sz w:val="22"/>
          <w:szCs w:val="22"/>
          <w:lang w:val="es-CR"/>
        </w:rPr>
      </w:pPr>
      <w:r w:rsidRPr="00B63898">
        <w:rPr>
          <w:rFonts w:ascii="Arial" w:eastAsia="Arial" w:hAnsi="Arial"/>
          <w:bCs/>
          <w:sz w:val="22"/>
          <w:szCs w:val="22"/>
          <w:lang w:val="es-CR"/>
        </w:rPr>
        <w:t>Que sea probable que los beneficios económicos o potencial de servicio futuros inherentes al activo fluyan a la entidad; y</w:t>
      </w:r>
    </w:p>
    <w:p w14:paraId="5E45230F" w14:textId="77777777" w:rsidR="004741D6" w:rsidRPr="00B63898" w:rsidRDefault="004741D6" w:rsidP="004741D6">
      <w:pPr>
        <w:spacing w:line="1" w:lineRule="exact"/>
        <w:ind w:left="1418" w:hanging="284"/>
        <w:rPr>
          <w:rFonts w:ascii="Arial" w:eastAsia="Arial" w:hAnsi="Arial"/>
          <w:bCs/>
          <w:sz w:val="22"/>
          <w:szCs w:val="22"/>
          <w:lang w:val="es-CR"/>
        </w:rPr>
      </w:pPr>
    </w:p>
    <w:p w14:paraId="1D5EE01A" w14:textId="77777777" w:rsidR="004741D6" w:rsidRDefault="004741D6">
      <w:pPr>
        <w:pStyle w:val="Prrafodelista"/>
        <w:numPr>
          <w:ilvl w:val="0"/>
          <w:numId w:val="98"/>
        </w:numPr>
        <w:tabs>
          <w:tab w:val="left" w:pos="1440"/>
        </w:tabs>
        <w:spacing w:line="236" w:lineRule="auto"/>
        <w:ind w:left="1418" w:right="760" w:hanging="284"/>
        <w:rPr>
          <w:rFonts w:ascii="Arial" w:eastAsia="Arial" w:hAnsi="Arial"/>
          <w:bCs/>
          <w:sz w:val="22"/>
          <w:szCs w:val="22"/>
          <w:lang w:val="es-CR"/>
        </w:rPr>
      </w:pPr>
      <w:r w:rsidRPr="00B63898">
        <w:rPr>
          <w:rFonts w:ascii="Arial" w:eastAsia="Arial" w:hAnsi="Arial"/>
          <w:bCs/>
          <w:sz w:val="22"/>
          <w:szCs w:val="22"/>
          <w:lang w:val="es-CR"/>
        </w:rPr>
        <w:t>Que el valor razonable o el costo del activo puedan ser medidos de forma fiable.</w:t>
      </w:r>
    </w:p>
    <w:p w14:paraId="28CEA2DF" w14:textId="77777777" w:rsidR="00651532" w:rsidRPr="00651532" w:rsidRDefault="00651532" w:rsidP="00651532">
      <w:pPr>
        <w:tabs>
          <w:tab w:val="left" w:pos="1440"/>
        </w:tabs>
        <w:spacing w:line="236" w:lineRule="auto"/>
        <w:ind w:right="760"/>
        <w:rPr>
          <w:rFonts w:ascii="Arial" w:eastAsia="Arial" w:hAnsi="Arial"/>
          <w:bCs/>
          <w:sz w:val="22"/>
          <w:szCs w:val="22"/>
          <w:lang w:val="es-CR"/>
        </w:rPr>
      </w:pPr>
    </w:p>
    <w:p w14:paraId="5BC7FD44" w14:textId="77777777" w:rsidR="004741D6" w:rsidRPr="00B63898" w:rsidRDefault="004741D6" w:rsidP="004741D6">
      <w:pPr>
        <w:spacing w:line="9" w:lineRule="exact"/>
        <w:rPr>
          <w:rFonts w:ascii="Arial" w:eastAsia="Arial" w:hAnsi="Arial"/>
          <w:b/>
          <w:sz w:val="24"/>
          <w:lang w:val="es-CR"/>
        </w:rPr>
      </w:pPr>
    </w:p>
    <w:p w14:paraId="224BFFE8"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1.235.1.01</w:t>
      </w:r>
      <w:r>
        <w:rPr>
          <w:rFonts w:ascii="Arial" w:eastAsia="Arial" w:hAnsi="Arial"/>
          <w:bCs/>
          <w:sz w:val="22"/>
          <w:szCs w:val="22"/>
          <w:lang w:val="es-CR"/>
        </w:rPr>
        <w:tab/>
      </w:r>
      <w:r w:rsidRPr="00B63898">
        <w:rPr>
          <w:rFonts w:ascii="Arial" w:eastAsia="Arial" w:hAnsi="Arial"/>
          <w:bCs/>
          <w:sz w:val="22"/>
          <w:szCs w:val="22"/>
          <w:lang w:val="es-CR"/>
        </w:rPr>
        <w:t xml:space="preserve">Los beneficios económicos o potencial de servicios futuros deberán estar sustentados en </w:t>
      </w:r>
      <w:r>
        <w:rPr>
          <w:rFonts w:ascii="Arial" w:eastAsia="Arial" w:hAnsi="Arial"/>
          <w:bCs/>
          <w:sz w:val="22"/>
          <w:szCs w:val="22"/>
          <w:lang w:val="es-CR"/>
        </w:rPr>
        <w:t>criterios y estimaciones</w:t>
      </w:r>
      <w:r w:rsidRPr="00B63898">
        <w:rPr>
          <w:rFonts w:ascii="Arial" w:eastAsia="Arial" w:hAnsi="Arial"/>
          <w:bCs/>
          <w:sz w:val="22"/>
          <w:szCs w:val="22"/>
          <w:lang w:val="es-CR"/>
        </w:rPr>
        <w:t xml:space="preserve"> razonables y fundadas que representen la </w:t>
      </w:r>
      <w:r w:rsidRPr="00B63898">
        <w:rPr>
          <w:rFonts w:ascii="Arial" w:eastAsia="Arial" w:hAnsi="Arial"/>
          <w:bCs/>
          <w:sz w:val="22"/>
          <w:szCs w:val="22"/>
          <w:lang w:val="es-CR"/>
        </w:rPr>
        <w:lastRenderedPageBreak/>
        <w:t xml:space="preserve">mejor estimación de la entidad respecto al conjunto de condiciones económicas que existirán durante la vida útil del activo. </w:t>
      </w:r>
    </w:p>
    <w:p w14:paraId="495D1286" w14:textId="77777777" w:rsidR="00651532" w:rsidRDefault="00651532" w:rsidP="004741D6">
      <w:pPr>
        <w:spacing w:line="236" w:lineRule="auto"/>
        <w:ind w:left="1134" w:right="280" w:hanging="1134"/>
        <w:jc w:val="both"/>
        <w:rPr>
          <w:rFonts w:ascii="Arial" w:eastAsia="Arial" w:hAnsi="Arial"/>
          <w:bCs/>
          <w:sz w:val="22"/>
          <w:szCs w:val="22"/>
          <w:lang w:val="es-CR"/>
        </w:rPr>
      </w:pPr>
    </w:p>
    <w:p w14:paraId="58A537D4"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1.235.1.02</w:t>
      </w:r>
      <w:r>
        <w:rPr>
          <w:rFonts w:ascii="Arial" w:eastAsia="Arial" w:hAnsi="Arial"/>
          <w:bCs/>
          <w:sz w:val="22"/>
          <w:szCs w:val="22"/>
          <w:lang w:val="es-CR"/>
        </w:rPr>
        <w:tab/>
      </w:r>
      <w:r w:rsidRPr="00B63898">
        <w:rPr>
          <w:rFonts w:ascii="Arial" w:eastAsia="Arial" w:hAnsi="Arial"/>
          <w:bCs/>
          <w:sz w:val="22"/>
          <w:szCs w:val="22"/>
          <w:lang w:val="es-CR"/>
        </w:rPr>
        <w:t xml:space="preserve">Los criterios para la elaboración de dichas estimaciones deberán </w:t>
      </w:r>
      <w:r>
        <w:rPr>
          <w:rFonts w:ascii="Arial" w:eastAsia="Arial" w:hAnsi="Arial"/>
          <w:bCs/>
          <w:sz w:val="22"/>
          <w:szCs w:val="22"/>
          <w:lang w:val="es-CR"/>
        </w:rPr>
        <w:t>revelarse</w:t>
      </w:r>
      <w:r w:rsidRPr="00B63898">
        <w:rPr>
          <w:rFonts w:ascii="Arial" w:eastAsia="Arial" w:hAnsi="Arial"/>
          <w:bCs/>
          <w:sz w:val="22"/>
          <w:szCs w:val="22"/>
          <w:lang w:val="es-CR"/>
        </w:rPr>
        <w:t xml:space="preserve"> </w:t>
      </w:r>
      <w:r>
        <w:rPr>
          <w:rFonts w:ascii="Arial" w:eastAsia="Arial" w:hAnsi="Arial"/>
          <w:bCs/>
          <w:sz w:val="22"/>
          <w:szCs w:val="22"/>
          <w:lang w:val="es-CR"/>
        </w:rPr>
        <w:t xml:space="preserve">con claridad </w:t>
      </w:r>
      <w:r w:rsidRPr="00B63898">
        <w:rPr>
          <w:rFonts w:ascii="Arial" w:eastAsia="Arial" w:hAnsi="Arial"/>
          <w:bCs/>
          <w:sz w:val="22"/>
          <w:szCs w:val="22"/>
          <w:lang w:val="es-CR"/>
        </w:rPr>
        <w:t xml:space="preserve">en </w:t>
      </w:r>
      <w:r>
        <w:rPr>
          <w:rFonts w:ascii="Arial" w:eastAsia="Arial" w:hAnsi="Arial"/>
          <w:bCs/>
          <w:sz w:val="22"/>
          <w:szCs w:val="22"/>
          <w:lang w:val="es-CR"/>
        </w:rPr>
        <w:t xml:space="preserve">las </w:t>
      </w:r>
      <w:r w:rsidRPr="00B63898">
        <w:rPr>
          <w:rFonts w:ascii="Arial" w:eastAsia="Arial" w:hAnsi="Arial"/>
          <w:bCs/>
          <w:sz w:val="22"/>
          <w:szCs w:val="22"/>
          <w:lang w:val="es-CR"/>
        </w:rPr>
        <w:t>Notas a los EEFF de la Institución.</w:t>
      </w:r>
    </w:p>
    <w:p w14:paraId="156CB326" w14:textId="77777777" w:rsidR="00651532" w:rsidRPr="00B63898" w:rsidRDefault="00651532" w:rsidP="004741D6">
      <w:pPr>
        <w:spacing w:line="236" w:lineRule="auto"/>
        <w:ind w:left="1134" w:right="280" w:hanging="1134"/>
        <w:jc w:val="both"/>
        <w:rPr>
          <w:rFonts w:ascii="Arial" w:eastAsia="Arial" w:hAnsi="Arial"/>
          <w:bCs/>
          <w:sz w:val="22"/>
          <w:szCs w:val="22"/>
          <w:lang w:val="es-CR"/>
        </w:rPr>
      </w:pPr>
    </w:p>
    <w:p w14:paraId="555BA3F8" w14:textId="483C5ABC" w:rsidR="004741D6" w:rsidRPr="00B63898"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1.235.2.01</w:t>
      </w:r>
      <w:r>
        <w:rPr>
          <w:rFonts w:ascii="Arial" w:eastAsia="Arial" w:hAnsi="Arial"/>
          <w:bCs/>
          <w:sz w:val="22"/>
          <w:szCs w:val="22"/>
          <w:lang w:val="es-CR"/>
        </w:rPr>
        <w:tab/>
        <w:t>E</w:t>
      </w:r>
      <w:r w:rsidRPr="00B63898">
        <w:rPr>
          <w:rFonts w:ascii="Arial" w:eastAsia="Arial" w:hAnsi="Arial"/>
          <w:bCs/>
          <w:sz w:val="22"/>
          <w:szCs w:val="22"/>
          <w:lang w:val="es-CR"/>
        </w:rPr>
        <w:t xml:space="preserve">l grado de </w:t>
      </w:r>
      <w:r w:rsidR="00AA22E2" w:rsidRPr="00B63898">
        <w:rPr>
          <w:rFonts w:ascii="Arial" w:eastAsia="Arial" w:hAnsi="Arial"/>
          <w:bCs/>
          <w:sz w:val="22"/>
          <w:szCs w:val="22"/>
          <w:lang w:val="es-CR"/>
        </w:rPr>
        <w:t>certidu</w:t>
      </w:r>
      <w:r w:rsidR="00AA22E2">
        <w:rPr>
          <w:rFonts w:ascii="Arial" w:eastAsia="Arial" w:hAnsi="Arial"/>
          <w:bCs/>
          <w:sz w:val="22"/>
          <w:szCs w:val="22"/>
          <w:lang w:val="es-CR"/>
        </w:rPr>
        <w:t>mbr</w:t>
      </w:r>
      <w:r w:rsidR="00AA22E2" w:rsidRPr="00B63898">
        <w:rPr>
          <w:rFonts w:ascii="Arial" w:eastAsia="Arial" w:hAnsi="Arial"/>
          <w:bCs/>
          <w:sz w:val="22"/>
          <w:szCs w:val="22"/>
          <w:lang w:val="es-CR"/>
        </w:rPr>
        <w:t>e</w:t>
      </w:r>
      <w:r w:rsidRPr="00B63898">
        <w:rPr>
          <w:rFonts w:ascii="Arial" w:eastAsia="Arial" w:hAnsi="Arial"/>
          <w:bCs/>
          <w:sz w:val="22"/>
          <w:szCs w:val="22"/>
          <w:lang w:val="es-CR"/>
        </w:rPr>
        <w:t xml:space="preserve"> asociado al flujo de beneficios económicos o potencial de servicio futuros</w:t>
      </w:r>
      <w:r>
        <w:rPr>
          <w:rFonts w:ascii="Arial" w:eastAsia="Arial" w:hAnsi="Arial"/>
          <w:bCs/>
          <w:sz w:val="22"/>
          <w:szCs w:val="22"/>
          <w:lang w:val="es-CR"/>
        </w:rPr>
        <w:t>,</w:t>
      </w:r>
      <w:r w:rsidRPr="00B63898">
        <w:rPr>
          <w:rFonts w:ascii="Arial" w:eastAsia="Arial" w:hAnsi="Arial"/>
          <w:bCs/>
          <w:sz w:val="22"/>
          <w:szCs w:val="22"/>
          <w:lang w:val="es-CR"/>
        </w:rPr>
        <w:t xml:space="preserve"> que se atribu</w:t>
      </w:r>
      <w:r>
        <w:rPr>
          <w:rFonts w:ascii="Arial" w:eastAsia="Arial" w:hAnsi="Arial"/>
          <w:bCs/>
          <w:sz w:val="22"/>
          <w:szCs w:val="22"/>
          <w:lang w:val="es-CR"/>
        </w:rPr>
        <w:t>yan</w:t>
      </w:r>
      <w:r w:rsidRPr="00B63898">
        <w:rPr>
          <w:rFonts w:ascii="Arial" w:eastAsia="Arial" w:hAnsi="Arial"/>
          <w:bCs/>
          <w:sz w:val="22"/>
          <w:szCs w:val="22"/>
          <w:lang w:val="es-CR"/>
        </w:rPr>
        <w:t xml:space="preserve"> a la utilización del activo</w:t>
      </w:r>
      <w:r>
        <w:rPr>
          <w:rFonts w:ascii="Arial" w:eastAsia="Arial" w:hAnsi="Arial"/>
          <w:bCs/>
          <w:sz w:val="22"/>
          <w:szCs w:val="22"/>
          <w:lang w:val="es-CR"/>
        </w:rPr>
        <w:t xml:space="preserve"> intangible</w:t>
      </w:r>
      <w:r w:rsidRPr="00B63898">
        <w:rPr>
          <w:rFonts w:ascii="Arial" w:eastAsia="Arial" w:hAnsi="Arial"/>
          <w:bCs/>
          <w:sz w:val="22"/>
          <w:szCs w:val="22"/>
          <w:lang w:val="es-CR"/>
        </w:rPr>
        <w:t>,</w:t>
      </w:r>
      <w:r>
        <w:rPr>
          <w:rFonts w:ascii="Arial" w:eastAsia="Arial" w:hAnsi="Arial"/>
          <w:bCs/>
          <w:sz w:val="22"/>
          <w:szCs w:val="22"/>
          <w:lang w:val="es-CR"/>
        </w:rPr>
        <w:t xml:space="preserve"> d</w:t>
      </w:r>
      <w:r w:rsidRPr="00B63898">
        <w:rPr>
          <w:rFonts w:ascii="Arial" w:eastAsia="Arial" w:hAnsi="Arial"/>
          <w:bCs/>
          <w:sz w:val="22"/>
          <w:szCs w:val="22"/>
          <w:lang w:val="es-CR"/>
        </w:rPr>
        <w:t xml:space="preserve">eberá </w:t>
      </w:r>
      <w:r>
        <w:rPr>
          <w:rFonts w:ascii="Arial" w:eastAsia="Arial" w:hAnsi="Arial"/>
          <w:bCs/>
          <w:sz w:val="22"/>
          <w:szCs w:val="22"/>
          <w:lang w:val="es-CR"/>
        </w:rPr>
        <w:t xml:space="preserve">establecerse con base en </w:t>
      </w:r>
      <w:r w:rsidRPr="00B63898">
        <w:rPr>
          <w:rFonts w:ascii="Arial" w:eastAsia="Arial" w:hAnsi="Arial"/>
          <w:bCs/>
          <w:sz w:val="22"/>
          <w:szCs w:val="22"/>
          <w:lang w:val="es-CR"/>
        </w:rPr>
        <w:t>el juicio profesional sobre la base de la evidencia disponible en el momento del reconocimiento inicial, otorgando un peso mayor a la evidencia procedente de fuentes externas.</w:t>
      </w:r>
    </w:p>
    <w:p w14:paraId="37AE46C6" w14:textId="77777777" w:rsidR="004741D6" w:rsidRDefault="004741D6" w:rsidP="004741D6">
      <w:pPr>
        <w:spacing w:line="238" w:lineRule="auto"/>
        <w:ind w:left="1134" w:right="260" w:hanging="1134"/>
        <w:jc w:val="both"/>
        <w:rPr>
          <w:rFonts w:ascii="Arial" w:eastAsia="Arial" w:hAnsi="Arial"/>
          <w:b/>
          <w:sz w:val="22"/>
          <w:szCs w:val="22"/>
          <w:lang w:val="es-CR"/>
        </w:rPr>
      </w:pPr>
    </w:p>
    <w:p w14:paraId="33DDE010"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8782" w:type="dxa"/>
        <w:tblLook w:val="04A0" w:firstRow="1" w:lastRow="0" w:firstColumn="1" w:lastColumn="0" w:noHBand="0" w:noVBand="1"/>
      </w:tblPr>
      <w:tblGrid>
        <w:gridCol w:w="543"/>
        <w:gridCol w:w="552"/>
        <w:gridCol w:w="522"/>
        <w:gridCol w:w="3192"/>
        <w:gridCol w:w="2552"/>
        <w:gridCol w:w="1421"/>
      </w:tblGrid>
      <w:tr w:rsidR="004741D6" w:rsidRPr="00E81BC6" w14:paraId="497F537C" w14:textId="77777777" w:rsidTr="00D16719">
        <w:trPr>
          <w:trHeight w:val="320"/>
        </w:trPr>
        <w:tc>
          <w:tcPr>
            <w:tcW w:w="161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1E9A040" w14:textId="77777777" w:rsidR="004741D6" w:rsidRPr="00E81BC6" w:rsidRDefault="004741D6" w:rsidP="00D16719">
            <w:pPr>
              <w:jc w:val="center"/>
              <w:rPr>
                <w:rFonts w:ascii="Arial Narrow" w:eastAsia="Times New Roman" w:hAnsi="Arial Narrow"/>
                <w:b/>
                <w:bCs/>
                <w:color w:val="FFFFFF"/>
                <w:sz w:val="22"/>
                <w:szCs w:val="22"/>
              </w:rPr>
            </w:pPr>
            <w:r w:rsidRPr="00E81BC6">
              <w:rPr>
                <w:rFonts w:ascii="Arial Narrow" w:eastAsia="Times New Roman" w:hAnsi="Arial Narrow"/>
                <w:b/>
                <w:bCs/>
                <w:color w:val="FFFFFF"/>
                <w:sz w:val="22"/>
                <w:szCs w:val="22"/>
              </w:rPr>
              <w:t>Norma / Política</w:t>
            </w:r>
          </w:p>
        </w:tc>
        <w:tc>
          <w:tcPr>
            <w:tcW w:w="31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5AB59A4E" w14:textId="77777777" w:rsidR="004741D6" w:rsidRPr="00E81BC6" w:rsidRDefault="004741D6" w:rsidP="00D16719">
            <w:pPr>
              <w:jc w:val="center"/>
              <w:rPr>
                <w:rFonts w:ascii="Arial Narrow" w:eastAsia="Times New Roman" w:hAnsi="Arial Narrow"/>
                <w:b/>
                <w:bCs/>
                <w:color w:val="FFFFFF"/>
                <w:sz w:val="22"/>
                <w:szCs w:val="22"/>
              </w:rPr>
            </w:pPr>
            <w:r w:rsidRPr="00E81BC6">
              <w:rPr>
                <w:rFonts w:ascii="Arial Narrow" w:eastAsia="Times New Roman" w:hAnsi="Arial Narrow"/>
                <w:b/>
                <w:bCs/>
                <w:color w:val="FFFFFF"/>
                <w:sz w:val="22"/>
                <w:szCs w:val="22"/>
              </w:rPr>
              <w:t>Concepto</w:t>
            </w:r>
          </w:p>
        </w:tc>
        <w:tc>
          <w:tcPr>
            <w:tcW w:w="3973" w:type="dxa"/>
            <w:gridSpan w:val="2"/>
            <w:tcBorders>
              <w:top w:val="single" w:sz="8" w:space="0" w:color="auto"/>
              <w:left w:val="nil"/>
              <w:bottom w:val="single" w:sz="8" w:space="0" w:color="auto"/>
              <w:right w:val="single" w:sz="8" w:space="0" w:color="000000"/>
            </w:tcBorders>
            <w:shd w:val="clear" w:color="000000" w:fill="203764"/>
            <w:vAlign w:val="center"/>
            <w:hideMark/>
          </w:tcPr>
          <w:p w14:paraId="03ED8120" w14:textId="77777777" w:rsidR="004741D6" w:rsidRPr="00E81BC6" w:rsidRDefault="004741D6" w:rsidP="00D16719">
            <w:pPr>
              <w:jc w:val="center"/>
              <w:rPr>
                <w:rFonts w:ascii="Arial Narrow" w:eastAsia="Times New Roman" w:hAnsi="Arial Narrow"/>
                <w:b/>
                <w:bCs/>
                <w:color w:val="FFFFFF"/>
                <w:sz w:val="22"/>
                <w:szCs w:val="22"/>
              </w:rPr>
            </w:pPr>
            <w:r w:rsidRPr="00E81BC6">
              <w:rPr>
                <w:rFonts w:ascii="Arial Narrow" w:eastAsia="Times New Roman" w:hAnsi="Arial Narrow"/>
                <w:b/>
                <w:bCs/>
                <w:color w:val="FFFFFF"/>
                <w:sz w:val="22"/>
                <w:szCs w:val="22"/>
              </w:rPr>
              <w:t>Referencia</w:t>
            </w:r>
          </w:p>
        </w:tc>
      </w:tr>
      <w:tr w:rsidR="004741D6" w:rsidRPr="006E5442" w14:paraId="1DA342D6" w14:textId="77777777" w:rsidTr="00D16719">
        <w:trPr>
          <w:trHeight w:val="850"/>
        </w:trPr>
        <w:tc>
          <w:tcPr>
            <w:tcW w:w="1617" w:type="dxa"/>
            <w:gridSpan w:val="3"/>
            <w:vMerge/>
            <w:tcBorders>
              <w:top w:val="single" w:sz="8" w:space="0" w:color="auto"/>
              <w:left w:val="single" w:sz="8" w:space="0" w:color="auto"/>
              <w:bottom w:val="nil"/>
              <w:right w:val="single" w:sz="8" w:space="0" w:color="000000"/>
            </w:tcBorders>
            <w:vAlign w:val="center"/>
            <w:hideMark/>
          </w:tcPr>
          <w:p w14:paraId="34B291FE" w14:textId="77777777" w:rsidR="004741D6" w:rsidRPr="00E81BC6" w:rsidRDefault="004741D6" w:rsidP="00D16719">
            <w:pPr>
              <w:rPr>
                <w:rFonts w:ascii="Arial Narrow" w:eastAsia="Times New Roman" w:hAnsi="Arial Narrow"/>
                <w:b/>
                <w:bCs/>
                <w:color w:val="FFFFFF"/>
                <w:sz w:val="22"/>
                <w:szCs w:val="22"/>
              </w:rPr>
            </w:pPr>
          </w:p>
        </w:tc>
        <w:tc>
          <w:tcPr>
            <w:tcW w:w="3192" w:type="dxa"/>
            <w:vMerge/>
            <w:tcBorders>
              <w:top w:val="single" w:sz="8" w:space="0" w:color="auto"/>
              <w:left w:val="single" w:sz="8" w:space="0" w:color="auto"/>
              <w:bottom w:val="nil"/>
              <w:right w:val="single" w:sz="8" w:space="0" w:color="auto"/>
            </w:tcBorders>
            <w:vAlign w:val="center"/>
            <w:hideMark/>
          </w:tcPr>
          <w:p w14:paraId="41977DDD" w14:textId="77777777" w:rsidR="004741D6" w:rsidRPr="00E81BC6"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6BC450CA" w14:textId="77777777" w:rsidR="004741D6" w:rsidRPr="00E81BC6" w:rsidRDefault="004741D6" w:rsidP="00D16719">
            <w:pPr>
              <w:jc w:val="center"/>
              <w:rPr>
                <w:rFonts w:ascii="Arial Narrow" w:eastAsia="Times New Roman" w:hAnsi="Arial Narrow"/>
                <w:b/>
                <w:bCs/>
                <w:color w:val="FFFFFF"/>
                <w:sz w:val="22"/>
                <w:szCs w:val="22"/>
              </w:rPr>
            </w:pPr>
            <w:r w:rsidRPr="00E81BC6">
              <w:rPr>
                <w:rFonts w:ascii="Arial Narrow" w:eastAsia="Times New Roman" w:hAnsi="Arial Narrow"/>
                <w:b/>
                <w:bCs/>
                <w:color w:val="FFFFFF"/>
                <w:sz w:val="22"/>
                <w:szCs w:val="22"/>
              </w:rPr>
              <w:t>Norma</w:t>
            </w:r>
          </w:p>
        </w:tc>
        <w:tc>
          <w:tcPr>
            <w:tcW w:w="1420" w:type="dxa"/>
            <w:tcBorders>
              <w:top w:val="nil"/>
              <w:left w:val="nil"/>
              <w:bottom w:val="nil"/>
              <w:right w:val="single" w:sz="8" w:space="0" w:color="auto"/>
            </w:tcBorders>
            <w:shd w:val="clear" w:color="000000" w:fill="203764"/>
            <w:vAlign w:val="center"/>
            <w:hideMark/>
          </w:tcPr>
          <w:p w14:paraId="655C367D" w14:textId="77777777" w:rsidR="004741D6" w:rsidRPr="00E81BC6" w:rsidRDefault="004741D6" w:rsidP="00D16719">
            <w:pPr>
              <w:jc w:val="center"/>
              <w:rPr>
                <w:rFonts w:ascii="Arial Narrow" w:eastAsia="Times New Roman" w:hAnsi="Arial Narrow"/>
                <w:b/>
                <w:bCs/>
                <w:color w:val="FFFFFF"/>
                <w:sz w:val="22"/>
                <w:szCs w:val="22"/>
                <w:lang w:val="es-CR"/>
              </w:rPr>
            </w:pPr>
            <w:r w:rsidRPr="00E81BC6">
              <w:rPr>
                <w:rFonts w:ascii="Arial Narrow" w:eastAsia="Times New Roman" w:hAnsi="Arial Narrow"/>
                <w:b/>
                <w:bCs/>
                <w:color w:val="FFFFFF"/>
                <w:sz w:val="22"/>
                <w:szCs w:val="22"/>
                <w:lang w:val="es-CR"/>
              </w:rPr>
              <w:t>Normativa técnica y disposiciones adicionales</w:t>
            </w:r>
          </w:p>
        </w:tc>
      </w:tr>
      <w:tr w:rsidR="004741D6" w:rsidRPr="00E81BC6" w14:paraId="01E0A1AA" w14:textId="77777777" w:rsidTr="00D16719">
        <w:trPr>
          <w:trHeight w:val="380"/>
        </w:trPr>
        <w:tc>
          <w:tcPr>
            <w:tcW w:w="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47D506" w14:textId="77777777" w:rsidR="004741D6" w:rsidRPr="00E81BC6" w:rsidRDefault="004741D6" w:rsidP="00D16719">
            <w:pPr>
              <w:jc w:val="center"/>
              <w:rPr>
                <w:rFonts w:ascii="Arial Narrow" w:eastAsia="Times New Roman" w:hAnsi="Arial Narrow"/>
                <w:b/>
                <w:bCs/>
                <w:color w:val="000000"/>
                <w:sz w:val="22"/>
                <w:szCs w:val="22"/>
              </w:rPr>
            </w:pPr>
            <w:r w:rsidRPr="00E81BC6">
              <w:rPr>
                <w:rFonts w:ascii="Arial Narrow" w:eastAsia="Times New Roman" w:hAnsi="Arial Narrow" w:cs="Arial Narrow"/>
                <w:b/>
                <w:bCs/>
                <w:color w:val="000000"/>
                <w:spacing w:val="-10"/>
                <w:sz w:val="22"/>
                <w:szCs w:val="22"/>
              </w:rPr>
              <w:t>1</w:t>
            </w:r>
          </w:p>
        </w:tc>
        <w:tc>
          <w:tcPr>
            <w:tcW w:w="552" w:type="dxa"/>
            <w:tcBorders>
              <w:top w:val="single" w:sz="8" w:space="0" w:color="auto"/>
              <w:left w:val="nil"/>
              <w:bottom w:val="single" w:sz="8" w:space="0" w:color="auto"/>
              <w:right w:val="single" w:sz="8" w:space="0" w:color="auto"/>
            </w:tcBorders>
            <w:shd w:val="clear" w:color="auto" w:fill="auto"/>
            <w:noWrap/>
            <w:vAlign w:val="center"/>
            <w:hideMark/>
          </w:tcPr>
          <w:p w14:paraId="2DC41362" w14:textId="77777777" w:rsidR="004741D6" w:rsidRPr="00E81BC6" w:rsidRDefault="004741D6" w:rsidP="00D16719">
            <w:pPr>
              <w:jc w:val="center"/>
              <w:rPr>
                <w:rFonts w:ascii="Arial Narrow" w:eastAsia="Times New Roman" w:hAnsi="Arial Narrow"/>
                <w:b/>
                <w:bCs/>
                <w:color w:val="000000"/>
                <w:sz w:val="22"/>
                <w:szCs w:val="22"/>
              </w:rPr>
            </w:pPr>
            <w:r w:rsidRPr="00E81BC6">
              <w:rPr>
                <w:rFonts w:ascii="Arial Narrow" w:eastAsia="Times New Roman" w:hAnsi="Arial Narrow" w:cs="Arial Narrow"/>
                <w:b/>
                <w:bCs/>
                <w:color w:val="000000"/>
                <w:spacing w:val="-4"/>
                <w:sz w:val="22"/>
                <w:szCs w:val="22"/>
              </w:rPr>
              <w:t>236.</w:t>
            </w:r>
          </w:p>
        </w:tc>
        <w:tc>
          <w:tcPr>
            <w:tcW w:w="522" w:type="dxa"/>
            <w:tcBorders>
              <w:top w:val="single" w:sz="8" w:space="0" w:color="auto"/>
              <w:left w:val="nil"/>
              <w:bottom w:val="single" w:sz="8" w:space="0" w:color="auto"/>
              <w:right w:val="single" w:sz="8" w:space="0" w:color="auto"/>
            </w:tcBorders>
            <w:shd w:val="clear" w:color="auto" w:fill="auto"/>
            <w:vAlign w:val="center"/>
            <w:hideMark/>
          </w:tcPr>
          <w:p w14:paraId="56286606" w14:textId="50CBD27F" w:rsidR="004741D6" w:rsidRPr="00E81BC6" w:rsidRDefault="002B7D8C" w:rsidP="00D16719">
            <w:pPr>
              <w:jc w:val="center"/>
              <w:rPr>
                <w:rFonts w:ascii="Arial Narrow" w:eastAsia="Times New Roman" w:hAnsi="Arial Narrow"/>
                <w:b/>
                <w:bCs/>
                <w:color w:val="000000"/>
                <w:sz w:val="22"/>
                <w:szCs w:val="22"/>
              </w:rPr>
            </w:pPr>
            <w:r>
              <w:rPr>
                <w:rFonts w:ascii="Arial Narrow" w:eastAsia="Times New Roman" w:hAnsi="Arial Narrow"/>
                <w:b/>
                <w:bCs/>
                <w:color w:val="000000"/>
                <w:sz w:val="22"/>
                <w:szCs w:val="22"/>
              </w:rPr>
              <w:t>0</w:t>
            </w:r>
            <w:r w:rsidR="004741D6" w:rsidRPr="00E81BC6">
              <w:rPr>
                <w:rFonts w:ascii="Arial Narrow" w:eastAsia="Times New Roman" w:hAnsi="Arial Narrow"/>
                <w:b/>
                <w:bCs/>
                <w:color w:val="000000"/>
                <w:sz w:val="22"/>
                <w:szCs w:val="22"/>
              </w:rPr>
              <w:t> </w:t>
            </w:r>
          </w:p>
        </w:tc>
        <w:tc>
          <w:tcPr>
            <w:tcW w:w="3192" w:type="dxa"/>
            <w:tcBorders>
              <w:top w:val="single" w:sz="8" w:space="0" w:color="auto"/>
              <w:left w:val="nil"/>
              <w:bottom w:val="single" w:sz="8" w:space="0" w:color="auto"/>
              <w:right w:val="single" w:sz="8" w:space="0" w:color="auto"/>
            </w:tcBorders>
            <w:shd w:val="clear" w:color="auto" w:fill="auto"/>
            <w:vAlign w:val="center"/>
            <w:hideMark/>
          </w:tcPr>
          <w:p w14:paraId="66DEE2B2" w14:textId="77777777" w:rsidR="004741D6" w:rsidRPr="00E81BC6" w:rsidRDefault="004741D6" w:rsidP="00D16719">
            <w:pPr>
              <w:jc w:val="both"/>
              <w:rPr>
                <w:rFonts w:ascii="Arial Narrow" w:eastAsia="Times New Roman" w:hAnsi="Arial Narrow"/>
                <w:b/>
                <w:bCs/>
                <w:color w:val="000000"/>
                <w:sz w:val="22"/>
                <w:szCs w:val="22"/>
              </w:rPr>
            </w:pPr>
            <w:r w:rsidRPr="00E81BC6">
              <w:rPr>
                <w:rFonts w:ascii="Arial Narrow" w:eastAsia="Times New Roman" w:hAnsi="Arial Narrow"/>
                <w:b/>
                <w:bCs/>
                <w:color w:val="000000"/>
                <w:sz w:val="22"/>
                <w:szCs w:val="22"/>
                <w:lang w:val="es-CR"/>
              </w:rPr>
              <w:t>Medición inicial</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0FABC3CC" w14:textId="77777777" w:rsidR="004741D6" w:rsidRPr="00E81BC6" w:rsidRDefault="004741D6" w:rsidP="00D16719">
            <w:pPr>
              <w:jc w:val="center"/>
              <w:rPr>
                <w:rFonts w:ascii="Arial Narrow" w:eastAsia="Times New Roman" w:hAnsi="Arial Narrow"/>
                <w:b/>
                <w:bCs/>
                <w:color w:val="000000"/>
                <w:sz w:val="22"/>
                <w:szCs w:val="22"/>
              </w:rPr>
            </w:pPr>
            <w:r w:rsidRPr="00E81BC6">
              <w:rPr>
                <w:rFonts w:ascii="Arial Narrow" w:eastAsia="Times New Roman" w:hAnsi="Arial Narrow"/>
                <w:b/>
                <w:bCs/>
                <w:color w:val="000000"/>
                <w:sz w:val="22"/>
                <w:szCs w:val="22"/>
              </w:rPr>
              <w:t xml:space="preserve">NICSP N° 31, </w:t>
            </w:r>
            <w:r w:rsidRPr="00E81BC6">
              <w:rPr>
                <w:rFonts w:ascii="Arial Narrow" w:eastAsia="Times New Roman" w:hAnsi="Arial Narrow"/>
                <w:b/>
                <w:bCs/>
                <w:color w:val="000000"/>
                <w:sz w:val="22"/>
                <w:szCs w:val="22"/>
              </w:rPr>
              <w:br/>
              <w:t>Párrafo 31.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4B83299F" w14:textId="77777777" w:rsidR="004741D6" w:rsidRPr="00E81BC6" w:rsidRDefault="004741D6" w:rsidP="00D16719">
            <w:pPr>
              <w:jc w:val="center"/>
              <w:rPr>
                <w:rFonts w:ascii="Arial Narrow" w:eastAsia="Times New Roman" w:hAnsi="Arial Narrow"/>
                <w:b/>
                <w:bCs/>
                <w:color w:val="000000"/>
                <w:sz w:val="22"/>
                <w:szCs w:val="22"/>
              </w:rPr>
            </w:pPr>
            <w:r w:rsidRPr="00E81BC6">
              <w:rPr>
                <w:rFonts w:ascii="Arial Narrow" w:eastAsia="Times New Roman" w:hAnsi="Arial Narrow" w:cs="Arial Narrow"/>
                <w:b/>
                <w:bCs/>
                <w:color w:val="000000"/>
                <w:spacing w:val="-4"/>
                <w:sz w:val="22"/>
                <w:szCs w:val="22"/>
              </w:rPr>
              <w:t xml:space="preserve"> </w:t>
            </w:r>
          </w:p>
        </w:tc>
      </w:tr>
    </w:tbl>
    <w:p w14:paraId="21A6B5A0" w14:textId="77777777" w:rsidR="004741D6" w:rsidRDefault="004741D6" w:rsidP="004741D6">
      <w:pPr>
        <w:spacing w:line="238" w:lineRule="auto"/>
        <w:ind w:left="1134" w:right="260" w:hanging="1134"/>
        <w:jc w:val="both"/>
        <w:rPr>
          <w:rFonts w:ascii="Arial" w:eastAsia="Arial" w:hAnsi="Arial"/>
          <w:b/>
          <w:sz w:val="22"/>
          <w:szCs w:val="22"/>
          <w:lang w:val="es-CR"/>
        </w:rPr>
      </w:pPr>
    </w:p>
    <w:p w14:paraId="4E68B39E" w14:textId="3510FE3D" w:rsidR="00651532" w:rsidRDefault="00651532"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14F7BF5A" w14:textId="77777777" w:rsidR="00651532" w:rsidRDefault="00651532" w:rsidP="004741D6">
      <w:pPr>
        <w:spacing w:line="238" w:lineRule="auto"/>
        <w:ind w:left="1134" w:right="260" w:hanging="1134"/>
        <w:jc w:val="both"/>
        <w:rPr>
          <w:rFonts w:ascii="Arial" w:eastAsia="Arial" w:hAnsi="Arial"/>
          <w:b/>
          <w:sz w:val="22"/>
          <w:szCs w:val="22"/>
          <w:lang w:val="es-CR"/>
        </w:rPr>
      </w:pPr>
    </w:p>
    <w:p w14:paraId="13927DD1" w14:textId="5EAA1ADC" w:rsidR="004741D6" w:rsidRPr="00E81BC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1.236.0.01</w:t>
      </w:r>
      <w:r>
        <w:rPr>
          <w:rFonts w:ascii="Arial" w:eastAsia="Arial" w:hAnsi="Arial"/>
          <w:bCs/>
          <w:sz w:val="22"/>
          <w:szCs w:val="22"/>
          <w:lang w:val="es-CR"/>
        </w:rPr>
        <w:tab/>
      </w:r>
      <w:r w:rsidRPr="00E81BC6">
        <w:rPr>
          <w:rFonts w:ascii="Arial" w:eastAsia="Arial" w:hAnsi="Arial"/>
          <w:bCs/>
          <w:sz w:val="22"/>
          <w:szCs w:val="22"/>
          <w:lang w:val="es-CR"/>
        </w:rPr>
        <w:t xml:space="preserve">En la </w:t>
      </w:r>
      <w:r w:rsidR="000F29DC">
        <w:rPr>
          <w:rFonts w:ascii="Arial" w:eastAsia="Arial" w:hAnsi="Arial"/>
          <w:bCs/>
          <w:sz w:val="22"/>
          <w:szCs w:val="22"/>
          <w:lang w:val="es-CR"/>
        </w:rPr>
        <w:t>MBA</w:t>
      </w:r>
      <w:r w:rsidRPr="00E81BC6">
        <w:rPr>
          <w:rFonts w:ascii="Arial" w:eastAsia="Arial" w:hAnsi="Arial"/>
          <w:bCs/>
          <w:sz w:val="22"/>
          <w:szCs w:val="22"/>
          <w:lang w:val="es-CR"/>
        </w:rPr>
        <w:t xml:space="preserve"> un activo intangible se medirá inicialmente por su costo. Cuando la adquisición de un activo intangible fuera a través de una transacción sin contraprestación, su costo inicial en la fecha de adquisición se medirá </w:t>
      </w:r>
      <w:r>
        <w:rPr>
          <w:rFonts w:ascii="Arial" w:eastAsia="Arial" w:hAnsi="Arial"/>
          <w:bCs/>
          <w:sz w:val="22"/>
          <w:szCs w:val="22"/>
          <w:lang w:val="es-CR"/>
        </w:rPr>
        <w:t>por</w:t>
      </w:r>
      <w:r w:rsidRPr="00E81BC6">
        <w:rPr>
          <w:rFonts w:ascii="Arial" w:eastAsia="Arial" w:hAnsi="Arial"/>
          <w:bCs/>
          <w:sz w:val="22"/>
          <w:szCs w:val="22"/>
          <w:lang w:val="es-CR"/>
        </w:rPr>
        <w:t xml:space="preserve"> su valor razonable en esa fecha</w:t>
      </w:r>
      <w:r>
        <w:rPr>
          <w:rFonts w:ascii="Arial" w:eastAsia="Arial" w:hAnsi="Arial"/>
          <w:bCs/>
          <w:sz w:val="22"/>
          <w:szCs w:val="22"/>
          <w:lang w:val="es-CR"/>
        </w:rPr>
        <w:t xml:space="preserve"> definido por un experto en la materia de que se trate</w:t>
      </w:r>
      <w:r w:rsidRPr="00E81BC6">
        <w:rPr>
          <w:rFonts w:ascii="Arial" w:eastAsia="Arial" w:hAnsi="Arial"/>
          <w:bCs/>
          <w:sz w:val="22"/>
          <w:szCs w:val="22"/>
          <w:lang w:val="es-CR"/>
        </w:rPr>
        <w:t>.</w:t>
      </w:r>
    </w:p>
    <w:p w14:paraId="41650A11" w14:textId="77777777" w:rsidR="002B7D8C" w:rsidRDefault="002B7D8C" w:rsidP="004741D6">
      <w:pPr>
        <w:spacing w:line="238" w:lineRule="auto"/>
        <w:ind w:left="1134" w:right="260" w:hanging="1134"/>
        <w:jc w:val="both"/>
        <w:rPr>
          <w:rFonts w:ascii="Arial" w:eastAsia="Arial" w:hAnsi="Arial"/>
          <w:b/>
          <w:sz w:val="22"/>
          <w:szCs w:val="22"/>
          <w:lang w:val="es-CR"/>
        </w:rPr>
      </w:pPr>
    </w:p>
    <w:p w14:paraId="4BA385E4" w14:textId="77777777" w:rsidR="004741D6" w:rsidRDefault="004741D6" w:rsidP="00651532">
      <w:pPr>
        <w:spacing w:line="238" w:lineRule="auto"/>
        <w:ind w:right="260"/>
        <w:jc w:val="both"/>
        <w:rPr>
          <w:rFonts w:ascii="Arial" w:eastAsia="Arial" w:hAnsi="Arial"/>
          <w:b/>
          <w:sz w:val="22"/>
          <w:szCs w:val="22"/>
          <w:lang w:val="es-CR"/>
        </w:rPr>
      </w:pPr>
    </w:p>
    <w:tbl>
      <w:tblPr>
        <w:tblW w:w="9062" w:type="dxa"/>
        <w:tblLook w:val="04A0" w:firstRow="1" w:lastRow="0" w:firstColumn="1" w:lastColumn="0" w:noHBand="0" w:noVBand="1"/>
      </w:tblPr>
      <w:tblGrid>
        <w:gridCol w:w="553"/>
        <w:gridCol w:w="617"/>
        <w:gridCol w:w="533"/>
        <w:gridCol w:w="3106"/>
        <w:gridCol w:w="2550"/>
        <w:gridCol w:w="1703"/>
      </w:tblGrid>
      <w:tr w:rsidR="004741D6" w:rsidRPr="00215F99" w14:paraId="2C61E11F" w14:textId="77777777" w:rsidTr="00D16719">
        <w:trPr>
          <w:trHeight w:val="320"/>
        </w:trPr>
        <w:tc>
          <w:tcPr>
            <w:tcW w:w="170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B544A47" w14:textId="77777777" w:rsidR="004741D6" w:rsidRPr="00215F99" w:rsidRDefault="004741D6" w:rsidP="00D16719">
            <w:pPr>
              <w:jc w:val="center"/>
              <w:rPr>
                <w:rFonts w:ascii="Arial Narrow" w:eastAsia="Times New Roman" w:hAnsi="Arial Narrow"/>
                <w:b/>
                <w:bCs/>
                <w:color w:val="FFFFFF"/>
                <w:sz w:val="22"/>
                <w:szCs w:val="22"/>
              </w:rPr>
            </w:pPr>
            <w:r w:rsidRPr="00215F99">
              <w:rPr>
                <w:rFonts w:ascii="Arial Narrow" w:eastAsia="Times New Roman" w:hAnsi="Arial Narrow"/>
                <w:b/>
                <w:bCs/>
                <w:color w:val="FFFFFF"/>
                <w:sz w:val="22"/>
                <w:szCs w:val="22"/>
              </w:rPr>
              <w:t>Norma / Política</w:t>
            </w:r>
          </w:p>
        </w:tc>
        <w:tc>
          <w:tcPr>
            <w:tcW w:w="3106" w:type="dxa"/>
            <w:vMerge w:val="restart"/>
            <w:tcBorders>
              <w:top w:val="single" w:sz="8" w:space="0" w:color="auto"/>
              <w:left w:val="single" w:sz="8" w:space="0" w:color="auto"/>
              <w:bottom w:val="nil"/>
              <w:right w:val="single" w:sz="8" w:space="0" w:color="auto"/>
            </w:tcBorders>
            <w:shd w:val="clear" w:color="000000" w:fill="203764"/>
            <w:vAlign w:val="center"/>
            <w:hideMark/>
          </w:tcPr>
          <w:p w14:paraId="4BB26673" w14:textId="77777777" w:rsidR="004741D6" w:rsidRPr="00215F99" w:rsidRDefault="004741D6" w:rsidP="00D16719">
            <w:pPr>
              <w:jc w:val="center"/>
              <w:rPr>
                <w:rFonts w:ascii="Arial Narrow" w:eastAsia="Times New Roman" w:hAnsi="Arial Narrow"/>
                <w:b/>
                <w:bCs/>
                <w:color w:val="FFFFFF"/>
                <w:sz w:val="22"/>
                <w:szCs w:val="22"/>
              </w:rPr>
            </w:pPr>
            <w:r w:rsidRPr="00215F99">
              <w:rPr>
                <w:rFonts w:ascii="Arial Narrow" w:eastAsia="Times New Roman" w:hAnsi="Arial Narrow"/>
                <w:b/>
                <w:bCs/>
                <w:color w:val="FFFFFF"/>
                <w:sz w:val="22"/>
                <w:szCs w:val="22"/>
              </w:rPr>
              <w:t>Concepto</w:t>
            </w:r>
          </w:p>
        </w:tc>
        <w:tc>
          <w:tcPr>
            <w:tcW w:w="4253" w:type="dxa"/>
            <w:gridSpan w:val="2"/>
            <w:tcBorders>
              <w:top w:val="single" w:sz="8" w:space="0" w:color="auto"/>
              <w:left w:val="nil"/>
              <w:bottom w:val="single" w:sz="8" w:space="0" w:color="auto"/>
              <w:right w:val="single" w:sz="8" w:space="0" w:color="000000"/>
            </w:tcBorders>
            <w:shd w:val="clear" w:color="000000" w:fill="203764"/>
            <w:vAlign w:val="center"/>
            <w:hideMark/>
          </w:tcPr>
          <w:p w14:paraId="16112FC2" w14:textId="77777777" w:rsidR="004741D6" w:rsidRPr="00215F99" w:rsidRDefault="004741D6" w:rsidP="00D16719">
            <w:pPr>
              <w:jc w:val="center"/>
              <w:rPr>
                <w:rFonts w:ascii="Arial Narrow" w:eastAsia="Times New Roman" w:hAnsi="Arial Narrow"/>
                <w:b/>
                <w:bCs/>
                <w:color w:val="FFFFFF"/>
                <w:sz w:val="22"/>
                <w:szCs w:val="22"/>
              </w:rPr>
            </w:pPr>
            <w:r w:rsidRPr="00215F99">
              <w:rPr>
                <w:rFonts w:ascii="Arial Narrow" w:eastAsia="Times New Roman" w:hAnsi="Arial Narrow"/>
                <w:b/>
                <w:bCs/>
                <w:color w:val="FFFFFF"/>
                <w:sz w:val="22"/>
                <w:szCs w:val="22"/>
              </w:rPr>
              <w:t>Referencia</w:t>
            </w:r>
          </w:p>
        </w:tc>
      </w:tr>
      <w:tr w:rsidR="004741D6" w:rsidRPr="006E5442" w14:paraId="0CA792B4" w14:textId="77777777" w:rsidTr="00D16719">
        <w:trPr>
          <w:trHeight w:val="1250"/>
        </w:trPr>
        <w:tc>
          <w:tcPr>
            <w:tcW w:w="1703" w:type="dxa"/>
            <w:gridSpan w:val="3"/>
            <w:vMerge/>
            <w:tcBorders>
              <w:top w:val="single" w:sz="8" w:space="0" w:color="auto"/>
              <w:left w:val="single" w:sz="8" w:space="0" w:color="auto"/>
              <w:bottom w:val="nil"/>
              <w:right w:val="single" w:sz="8" w:space="0" w:color="000000"/>
            </w:tcBorders>
            <w:vAlign w:val="center"/>
            <w:hideMark/>
          </w:tcPr>
          <w:p w14:paraId="42062C37" w14:textId="77777777" w:rsidR="004741D6" w:rsidRPr="00215F99" w:rsidRDefault="004741D6" w:rsidP="00D16719">
            <w:pPr>
              <w:rPr>
                <w:rFonts w:ascii="Arial Narrow" w:eastAsia="Times New Roman" w:hAnsi="Arial Narrow"/>
                <w:b/>
                <w:bCs/>
                <w:color w:val="FFFFFF"/>
                <w:sz w:val="22"/>
                <w:szCs w:val="22"/>
              </w:rPr>
            </w:pPr>
          </w:p>
        </w:tc>
        <w:tc>
          <w:tcPr>
            <w:tcW w:w="3106" w:type="dxa"/>
            <w:vMerge/>
            <w:tcBorders>
              <w:top w:val="single" w:sz="8" w:space="0" w:color="auto"/>
              <w:left w:val="single" w:sz="8" w:space="0" w:color="auto"/>
              <w:bottom w:val="nil"/>
              <w:right w:val="single" w:sz="8" w:space="0" w:color="auto"/>
            </w:tcBorders>
            <w:vAlign w:val="center"/>
            <w:hideMark/>
          </w:tcPr>
          <w:p w14:paraId="01DB1E8A" w14:textId="77777777" w:rsidR="004741D6" w:rsidRPr="00215F99" w:rsidRDefault="004741D6" w:rsidP="00D16719">
            <w:pPr>
              <w:rPr>
                <w:rFonts w:ascii="Arial Narrow" w:eastAsia="Times New Roman" w:hAnsi="Arial Narrow"/>
                <w:b/>
                <w:bCs/>
                <w:color w:val="FFFFFF"/>
                <w:sz w:val="22"/>
                <w:szCs w:val="22"/>
              </w:rPr>
            </w:pPr>
          </w:p>
        </w:tc>
        <w:tc>
          <w:tcPr>
            <w:tcW w:w="2550" w:type="dxa"/>
            <w:tcBorders>
              <w:top w:val="nil"/>
              <w:left w:val="nil"/>
              <w:bottom w:val="nil"/>
              <w:right w:val="single" w:sz="8" w:space="0" w:color="auto"/>
            </w:tcBorders>
            <w:shd w:val="clear" w:color="000000" w:fill="203764"/>
            <w:vAlign w:val="center"/>
            <w:hideMark/>
          </w:tcPr>
          <w:p w14:paraId="4E2F3E77" w14:textId="77777777" w:rsidR="004741D6" w:rsidRPr="00215F99" w:rsidRDefault="004741D6" w:rsidP="00D16719">
            <w:pPr>
              <w:jc w:val="center"/>
              <w:rPr>
                <w:rFonts w:ascii="Arial Narrow" w:eastAsia="Times New Roman" w:hAnsi="Arial Narrow"/>
                <w:b/>
                <w:bCs/>
                <w:color w:val="FFFFFF"/>
                <w:sz w:val="22"/>
                <w:szCs w:val="22"/>
              </w:rPr>
            </w:pPr>
            <w:r w:rsidRPr="00215F99">
              <w:rPr>
                <w:rFonts w:ascii="Arial Narrow" w:eastAsia="Times New Roman" w:hAnsi="Arial Narrow"/>
                <w:b/>
                <w:bCs/>
                <w:color w:val="FFFFFF"/>
                <w:sz w:val="22"/>
                <w:szCs w:val="22"/>
              </w:rPr>
              <w:t>Norma</w:t>
            </w:r>
          </w:p>
        </w:tc>
        <w:tc>
          <w:tcPr>
            <w:tcW w:w="1703" w:type="dxa"/>
            <w:tcBorders>
              <w:top w:val="nil"/>
              <w:left w:val="nil"/>
              <w:bottom w:val="nil"/>
              <w:right w:val="single" w:sz="8" w:space="0" w:color="auto"/>
            </w:tcBorders>
            <w:shd w:val="clear" w:color="000000" w:fill="203764"/>
            <w:vAlign w:val="center"/>
            <w:hideMark/>
          </w:tcPr>
          <w:p w14:paraId="057C4D21" w14:textId="77777777" w:rsidR="004741D6" w:rsidRPr="00215F99" w:rsidRDefault="004741D6" w:rsidP="00D16719">
            <w:pPr>
              <w:jc w:val="center"/>
              <w:rPr>
                <w:rFonts w:ascii="Arial Narrow" w:eastAsia="Times New Roman" w:hAnsi="Arial Narrow"/>
                <w:b/>
                <w:bCs/>
                <w:color w:val="FFFFFF"/>
                <w:sz w:val="22"/>
                <w:szCs w:val="22"/>
                <w:lang w:val="es-CR"/>
              </w:rPr>
            </w:pPr>
            <w:r w:rsidRPr="00215F99">
              <w:rPr>
                <w:rFonts w:ascii="Arial Narrow" w:eastAsia="Times New Roman" w:hAnsi="Arial Narrow"/>
                <w:b/>
                <w:bCs/>
                <w:color w:val="FFFFFF"/>
                <w:sz w:val="22"/>
                <w:szCs w:val="22"/>
                <w:lang w:val="es-CR"/>
              </w:rPr>
              <w:t>Normativa técnica y disposiciones adicionales</w:t>
            </w:r>
          </w:p>
        </w:tc>
      </w:tr>
      <w:tr w:rsidR="004741D6" w:rsidRPr="00215F99" w14:paraId="62C62971" w14:textId="77777777" w:rsidTr="00651532">
        <w:trPr>
          <w:trHeight w:val="548"/>
        </w:trPr>
        <w:tc>
          <w:tcPr>
            <w:tcW w:w="5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B3C136"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cs="Arial Narrow"/>
                <w:b/>
                <w:bCs/>
                <w:color w:val="000000"/>
                <w:spacing w:val="-10"/>
                <w:sz w:val="22"/>
                <w:szCs w:val="22"/>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7207E278"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cs="Arial Narrow"/>
                <w:b/>
                <w:bCs/>
                <w:color w:val="000000"/>
                <w:spacing w:val="-4"/>
                <w:sz w:val="22"/>
                <w:szCs w:val="22"/>
              </w:rPr>
              <w:t>237</w:t>
            </w:r>
          </w:p>
        </w:tc>
        <w:tc>
          <w:tcPr>
            <w:tcW w:w="533" w:type="dxa"/>
            <w:tcBorders>
              <w:top w:val="single" w:sz="8" w:space="0" w:color="auto"/>
              <w:left w:val="nil"/>
              <w:bottom w:val="single" w:sz="8" w:space="0" w:color="auto"/>
              <w:right w:val="single" w:sz="8" w:space="0" w:color="auto"/>
            </w:tcBorders>
            <w:shd w:val="clear" w:color="auto" w:fill="auto"/>
            <w:vAlign w:val="center"/>
            <w:hideMark/>
          </w:tcPr>
          <w:p w14:paraId="33881C17" w14:textId="5C400218"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 </w:t>
            </w:r>
            <w:r w:rsidR="002B7D8C">
              <w:rPr>
                <w:rFonts w:ascii="Arial Narrow" w:eastAsia="Times New Roman" w:hAnsi="Arial Narrow"/>
                <w:b/>
                <w:bCs/>
                <w:color w:val="000000"/>
                <w:sz w:val="22"/>
                <w:szCs w:val="22"/>
              </w:rPr>
              <w:t>0</w:t>
            </w:r>
          </w:p>
        </w:tc>
        <w:tc>
          <w:tcPr>
            <w:tcW w:w="3106" w:type="dxa"/>
            <w:tcBorders>
              <w:top w:val="single" w:sz="8" w:space="0" w:color="auto"/>
              <w:left w:val="nil"/>
              <w:bottom w:val="single" w:sz="8" w:space="0" w:color="auto"/>
              <w:right w:val="single" w:sz="8" w:space="0" w:color="auto"/>
            </w:tcBorders>
            <w:shd w:val="clear" w:color="auto" w:fill="auto"/>
            <w:vAlign w:val="center"/>
            <w:hideMark/>
          </w:tcPr>
          <w:p w14:paraId="07AA79FF" w14:textId="77777777" w:rsidR="004741D6" w:rsidRPr="00215F99" w:rsidRDefault="004741D6" w:rsidP="00D16719">
            <w:pPr>
              <w:jc w:val="both"/>
              <w:rPr>
                <w:rFonts w:ascii="Arial Narrow" w:eastAsia="Times New Roman" w:hAnsi="Arial Narrow"/>
                <w:b/>
                <w:bCs/>
                <w:color w:val="000000"/>
                <w:sz w:val="22"/>
                <w:szCs w:val="22"/>
                <w:lang w:val="es-CR"/>
              </w:rPr>
            </w:pPr>
            <w:r w:rsidRPr="00215F99">
              <w:rPr>
                <w:rFonts w:ascii="Arial Narrow" w:eastAsia="Times New Roman" w:hAnsi="Arial Narrow"/>
                <w:b/>
                <w:bCs/>
                <w:color w:val="000000"/>
                <w:sz w:val="22"/>
                <w:szCs w:val="22"/>
                <w:lang w:val="es-CR"/>
              </w:rPr>
              <w:t>Costo de un activo intangible adquirido de forma separada</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14:paraId="03922C2F" w14:textId="77777777" w:rsidR="00651532" w:rsidRDefault="004741D6" w:rsidP="00651532">
            <w:pPr>
              <w:jc w:val="both"/>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 xml:space="preserve">NICSP N° 31, </w:t>
            </w:r>
          </w:p>
          <w:p w14:paraId="3216E4BC" w14:textId="2A5E6D41" w:rsidR="004741D6" w:rsidRPr="00215F99" w:rsidRDefault="004741D6" w:rsidP="00651532">
            <w:pPr>
              <w:jc w:val="both"/>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Párrafos 34, 35 y 37.</w:t>
            </w:r>
          </w:p>
        </w:tc>
        <w:tc>
          <w:tcPr>
            <w:tcW w:w="1703" w:type="dxa"/>
            <w:tcBorders>
              <w:top w:val="single" w:sz="8" w:space="0" w:color="auto"/>
              <w:left w:val="nil"/>
              <w:bottom w:val="single" w:sz="8" w:space="0" w:color="auto"/>
              <w:right w:val="single" w:sz="8" w:space="0" w:color="auto"/>
            </w:tcBorders>
            <w:shd w:val="clear" w:color="auto" w:fill="auto"/>
            <w:vAlign w:val="center"/>
            <w:hideMark/>
          </w:tcPr>
          <w:p w14:paraId="3351C382"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cs="Arial Narrow"/>
                <w:b/>
                <w:bCs/>
                <w:color w:val="000000"/>
                <w:spacing w:val="-4"/>
                <w:sz w:val="22"/>
                <w:szCs w:val="22"/>
              </w:rPr>
              <w:t xml:space="preserve"> </w:t>
            </w:r>
          </w:p>
        </w:tc>
      </w:tr>
      <w:tr w:rsidR="004741D6" w:rsidRPr="00215F99" w14:paraId="1A26657F" w14:textId="77777777" w:rsidTr="00651532">
        <w:trPr>
          <w:trHeight w:val="264"/>
        </w:trPr>
        <w:tc>
          <w:tcPr>
            <w:tcW w:w="553" w:type="dxa"/>
            <w:tcBorders>
              <w:top w:val="nil"/>
              <w:left w:val="single" w:sz="8" w:space="0" w:color="auto"/>
              <w:bottom w:val="single" w:sz="8" w:space="0" w:color="auto"/>
              <w:right w:val="single" w:sz="8" w:space="0" w:color="auto"/>
            </w:tcBorders>
            <w:shd w:val="clear" w:color="auto" w:fill="auto"/>
            <w:vAlign w:val="center"/>
            <w:hideMark/>
          </w:tcPr>
          <w:p w14:paraId="6730BE5F"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lang w:val="es-CR"/>
              </w:rPr>
              <w:t>1</w:t>
            </w:r>
          </w:p>
        </w:tc>
        <w:tc>
          <w:tcPr>
            <w:tcW w:w="617" w:type="dxa"/>
            <w:tcBorders>
              <w:top w:val="nil"/>
              <w:left w:val="nil"/>
              <w:bottom w:val="single" w:sz="8" w:space="0" w:color="auto"/>
              <w:right w:val="single" w:sz="8" w:space="0" w:color="auto"/>
            </w:tcBorders>
            <w:shd w:val="clear" w:color="auto" w:fill="auto"/>
            <w:noWrap/>
            <w:vAlign w:val="center"/>
            <w:hideMark/>
          </w:tcPr>
          <w:p w14:paraId="5404390C"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lang w:val="es-CR"/>
              </w:rPr>
              <w:t>237</w:t>
            </w:r>
          </w:p>
        </w:tc>
        <w:tc>
          <w:tcPr>
            <w:tcW w:w="533" w:type="dxa"/>
            <w:tcBorders>
              <w:top w:val="nil"/>
              <w:left w:val="nil"/>
              <w:bottom w:val="single" w:sz="8" w:space="0" w:color="auto"/>
              <w:right w:val="single" w:sz="8" w:space="0" w:color="auto"/>
            </w:tcBorders>
            <w:shd w:val="clear" w:color="auto" w:fill="auto"/>
            <w:vAlign w:val="center"/>
            <w:hideMark/>
          </w:tcPr>
          <w:p w14:paraId="410D68D6"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1</w:t>
            </w:r>
          </w:p>
        </w:tc>
        <w:tc>
          <w:tcPr>
            <w:tcW w:w="3106" w:type="dxa"/>
            <w:tcBorders>
              <w:top w:val="nil"/>
              <w:left w:val="nil"/>
              <w:bottom w:val="single" w:sz="8" w:space="0" w:color="auto"/>
              <w:right w:val="single" w:sz="8" w:space="0" w:color="auto"/>
            </w:tcBorders>
            <w:shd w:val="clear" w:color="auto" w:fill="auto"/>
            <w:vAlign w:val="center"/>
            <w:hideMark/>
          </w:tcPr>
          <w:p w14:paraId="3A7BADAA" w14:textId="2CC06C7E" w:rsidR="004741D6" w:rsidRPr="00215F99" w:rsidRDefault="00AA22E2" w:rsidP="00D16719">
            <w:pPr>
              <w:jc w:val="both"/>
              <w:rPr>
                <w:rFonts w:ascii="Arial Narrow" w:eastAsia="Times New Roman" w:hAnsi="Arial Narrow"/>
                <w:b/>
                <w:bCs/>
                <w:color w:val="000000"/>
                <w:sz w:val="22"/>
                <w:szCs w:val="22"/>
                <w:lang w:val="es-CR"/>
              </w:rPr>
            </w:pPr>
            <w:r w:rsidRPr="00215F99">
              <w:rPr>
                <w:rFonts w:ascii="Arial Narrow" w:eastAsia="Times New Roman" w:hAnsi="Arial Narrow"/>
                <w:b/>
                <w:bCs/>
                <w:color w:val="000000"/>
                <w:sz w:val="22"/>
                <w:szCs w:val="22"/>
                <w:lang w:val="es-CR"/>
              </w:rPr>
              <w:t>Dese</w:t>
            </w:r>
            <w:r>
              <w:rPr>
                <w:rFonts w:ascii="Arial Narrow" w:eastAsia="Times New Roman" w:hAnsi="Arial Narrow"/>
                <w:b/>
                <w:bCs/>
                <w:color w:val="000000"/>
                <w:sz w:val="22"/>
                <w:szCs w:val="22"/>
                <w:lang w:val="es-CR"/>
              </w:rPr>
              <w:t>mbo</w:t>
            </w:r>
            <w:r w:rsidRPr="00215F99">
              <w:rPr>
                <w:rFonts w:ascii="Arial Narrow" w:eastAsia="Times New Roman" w:hAnsi="Arial Narrow"/>
                <w:b/>
                <w:bCs/>
                <w:color w:val="000000"/>
                <w:sz w:val="22"/>
                <w:szCs w:val="22"/>
                <w:lang w:val="es-CR"/>
              </w:rPr>
              <w:t>lsos</w:t>
            </w:r>
            <w:r w:rsidR="004741D6" w:rsidRPr="00215F99">
              <w:rPr>
                <w:rFonts w:ascii="Arial Narrow" w:eastAsia="Times New Roman" w:hAnsi="Arial Narrow"/>
                <w:b/>
                <w:bCs/>
                <w:color w:val="000000"/>
                <w:sz w:val="22"/>
                <w:szCs w:val="22"/>
                <w:lang w:val="es-CR"/>
              </w:rPr>
              <w:t xml:space="preserve"> que no forman parte del costo</w:t>
            </w:r>
          </w:p>
        </w:tc>
        <w:tc>
          <w:tcPr>
            <w:tcW w:w="2550" w:type="dxa"/>
            <w:tcBorders>
              <w:top w:val="nil"/>
              <w:left w:val="nil"/>
              <w:bottom w:val="single" w:sz="8" w:space="0" w:color="auto"/>
              <w:right w:val="single" w:sz="8" w:space="0" w:color="auto"/>
            </w:tcBorders>
            <w:shd w:val="clear" w:color="auto" w:fill="auto"/>
            <w:vAlign w:val="center"/>
            <w:hideMark/>
          </w:tcPr>
          <w:p w14:paraId="4180F24F" w14:textId="77777777" w:rsidR="00651532" w:rsidRDefault="004741D6" w:rsidP="00651532">
            <w:pPr>
              <w:jc w:val="both"/>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 xml:space="preserve">NICSP N° 31, </w:t>
            </w:r>
          </w:p>
          <w:p w14:paraId="35C21705" w14:textId="6E40A82F" w:rsidR="004741D6" w:rsidRPr="00215F99" w:rsidRDefault="004741D6" w:rsidP="00651532">
            <w:pPr>
              <w:jc w:val="both"/>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Párrafo 36.</w:t>
            </w:r>
          </w:p>
        </w:tc>
        <w:tc>
          <w:tcPr>
            <w:tcW w:w="1703" w:type="dxa"/>
            <w:tcBorders>
              <w:top w:val="nil"/>
              <w:left w:val="nil"/>
              <w:bottom w:val="single" w:sz="8" w:space="0" w:color="auto"/>
              <w:right w:val="single" w:sz="8" w:space="0" w:color="auto"/>
            </w:tcBorders>
            <w:shd w:val="clear" w:color="auto" w:fill="auto"/>
            <w:vAlign w:val="center"/>
            <w:hideMark/>
          </w:tcPr>
          <w:p w14:paraId="71F9E07F"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 xml:space="preserve"> </w:t>
            </w:r>
          </w:p>
        </w:tc>
      </w:tr>
      <w:tr w:rsidR="004741D6" w:rsidRPr="00215F99" w14:paraId="4A8AAA9E" w14:textId="77777777" w:rsidTr="00651532">
        <w:trPr>
          <w:trHeight w:val="611"/>
        </w:trPr>
        <w:tc>
          <w:tcPr>
            <w:tcW w:w="553" w:type="dxa"/>
            <w:tcBorders>
              <w:top w:val="nil"/>
              <w:left w:val="single" w:sz="8" w:space="0" w:color="auto"/>
              <w:bottom w:val="single" w:sz="8" w:space="0" w:color="auto"/>
              <w:right w:val="single" w:sz="8" w:space="0" w:color="auto"/>
            </w:tcBorders>
            <w:shd w:val="clear" w:color="auto" w:fill="auto"/>
            <w:vAlign w:val="center"/>
            <w:hideMark/>
          </w:tcPr>
          <w:p w14:paraId="4E106844"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lang w:val="es-CR"/>
              </w:rPr>
              <w:t>1</w:t>
            </w:r>
          </w:p>
        </w:tc>
        <w:tc>
          <w:tcPr>
            <w:tcW w:w="617" w:type="dxa"/>
            <w:tcBorders>
              <w:top w:val="nil"/>
              <w:left w:val="nil"/>
              <w:bottom w:val="single" w:sz="8" w:space="0" w:color="auto"/>
              <w:right w:val="single" w:sz="8" w:space="0" w:color="auto"/>
            </w:tcBorders>
            <w:shd w:val="clear" w:color="auto" w:fill="auto"/>
            <w:noWrap/>
            <w:vAlign w:val="center"/>
            <w:hideMark/>
          </w:tcPr>
          <w:p w14:paraId="667CDC35"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237</w:t>
            </w:r>
          </w:p>
        </w:tc>
        <w:tc>
          <w:tcPr>
            <w:tcW w:w="533" w:type="dxa"/>
            <w:tcBorders>
              <w:top w:val="nil"/>
              <w:left w:val="nil"/>
              <w:bottom w:val="single" w:sz="8" w:space="0" w:color="auto"/>
              <w:right w:val="single" w:sz="8" w:space="0" w:color="auto"/>
            </w:tcBorders>
            <w:shd w:val="clear" w:color="auto" w:fill="auto"/>
            <w:vAlign w:val="center"/>
            <w:hideMark/>
          </w:tcPr>
          <w:p w14:paraId="5F18BF7C"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2</w:t>
            </w:r>
          </w:p>
        </w:tc>
        <w:tc>
          <w:tcPr>
            <w:tcW w:w="3106" w:type="dxa"/>
            <w:tcBorders>
              <w:top w:val="nil"/>
              <w:left w:val="nil"/>
              <w:bottom w:val="single" w:sz="8" w:space="0" w:color="auto"/>
              <w:right w:val="single" w:sz="8" w:space="0" w:color="auto"/>
            </w:tcBorders>
            <w:shd w:val="clear" w:color="auto" w:fill="auto"/>
            <w:vAlign w:val="center"/>
            <w:hideMark/>
          </w:tcPr>
          <w:p w14:paraId="5376D6E8" w14:textId="77777777" w:rsidR="004741D6" w:rsidRPr="00215F99" w:rsidRDefault="004741D6" w:rsidP="00D16719">
            <w:pPr>
              <w:jc w:val="both"/>
              <w:rPr>
                <w:rFonts w:ascii="Arial Narrow" w:eastAsia="Times New Roman" w:hAnsi="Arial Narrow"/>
                <w:b/>
                <w:bCs/>
                <w:color w:val="000000"/>
                <w:sz w:val="22"/>
                <w:szCs w:val="22"/>
                <w:lang w:val="es-CR"/>
              </w:rPr>
            </w:pPr>
            <w:r w:rsidRPr="00215F99">
              <w:rPr>
                <w:rFonts w:ascii="Arial Narrow" w:eastAsia="Times New Roman" w:hAnsi="Arial Narrow"/>
                <w:b/>
                <w:bCs/>
                <w:color w:val="000000"/>
                <w:sz w:val="22"/>
                <w:szCs w:val="22"/>
                <w:lang w:val="es-CR"/>
              </w:rPr>
              <w:t>Transacciones accesorias a la adquisición del activo.</w:t>
            </w:r>
          </w:p>
        </w:tc>
        <w:tc>
          <w:tcPr>
            <w:tcW w:w="2550" w:type="dxa"/>
            <w:tcBorders>
              <w:top w:val="nil"/>
              <w:left w:val="nil"/>
              <w:bottom w:val="single" w:sz="8" w:space="0" w:color="auto"/>
              <w:right w:val="single" w:sz="8" w:space="0" w:color="auto"/>
            </w:tcBorders>
            <w:shd w:val="clear" w:color="auto" w:fill="auto"/>
            <w:vAlign w:val="center"/>
            <w:hideMark/>
          </w:tcPr>
          <w:p w14:paraId="6F63A4A8" w14:textId="77777777" w:rsidR="00651532" w:rsidRDefault="004741D6" w:rsidP="00651532">
            <w:pPr>
              <w:jc w:val="both"/>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 xml:space="preserve">NICSP N° 31, </w:t>
            </w:r>
          </w:p>
          <w:p w14:paraId="111F5A7A" w14:textId="4B5DFA99" w:rsidR="004741D6" w:rsidRPr="00215F99" w:rsidRDefault="004741D6" w:rsidP="00651532">
            <w:pPr>
              <w:jc w:val="both"/>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Párrafos 37 y 38.</w:t>
            </w:r>
          </w:p>
        </w:tc>
        <w:tc>
          <w:tcPr>
            <w:tcW w:w="1703" w:type="dxa"/>
            <w:tcBorders>
              <w:top w:val="nil"/>
              <w:left w:val="nil"/>
              <w:bottom w:val="single" w:sz="8" w:space="0" w:color="auto"/>
              <w:right w:val="single" w:sz="8" w:space="0" w:color="auto"/>
            </w:tcBorders>
            <w:shd w:val="clear" w:color="auto" w:fill="auto"/>
            <w:vAlign w:val="center"/>
            <w:hideMark/>
          </w:tcPr>
          <w:p w14:paraId="7ADEA5C7" w14:textId="77777777" w:rsidR="004741D6" w:rsidRPr="00215F99" w:rsidRDefault="004741D6" w:rsidP="00D16719">
            <w:pPr>
              <w:jc w:val="center"/>
              <w:rPr>
                <w:rFonts w:ascii="Arial Narrow" w:eastAsia="Times New Roman" w:hAnsi="Arial Narrow"/>
                <w:b/>
                <w:bCs/>
                <w:color w:val="000000"/>
                <w:sz w:val="22"/>
                <w:szCs w:val="22"/>
              </w:rPr>
            </w:pPr>
            <w:r w:rsidRPr="00215F99">
              <w:rPr>
                <w:rFonts w:ascii="Arial Narrow" w:eastAsia="Times New Roman" w:hAnsi="Arial Narrow"/>
                <w:b/>
                <w:bCs/>
                <w:color w:val="000000"/>
                <w:sz w:val="22"/>
                <w:szCs w:val="22"/>
              </w:rPr>
              <w:t> </w:t>
            </w:r>
          </w:p>
        </w:tc>
      </w:tr>
    </w:tbl>
    <w:p w14:paraId="44C05BD2" w14:textId="77777777" w:rsidR="004741D6" w:rsidRPr="00215F99" w:rsidRDefault="004741D6" w:rsidP="004741D6">
      <w:pPr>
        <w:spacing w:line="238" w:lineRule="auto"/>
        <w:ind w:left="1134" w:right="260" w:hanging="1134"/>
        <w:jc w:val="both"/>
        <w:rPr>
          <w:rFonts w:ascii="Arial Narrow" w:eastAsia="Arial" w:hAnsi="Arial Narrow"/>
          <w:b/>
          <w:sz w:val="22"/>
          <w:szCs w:val="22"/>
          <w:lang w:val="es-CR"/>
        </w:rPr>
      </w:pPr>
    </w:p>
    <w:p w14:paraId="228F5AC3" w14:textId="729DAFF9" w:rsidR="004741D6" w:rsidRDefault="00651532"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A894D5F" w14:textId="77777777" w:rsidR="00651532" w:rsidRDefault="00651532" w:rsidP="004741D6">
      <w:pPr>
        <w:spacing w:line="238" w:lineRule="auto"/>
        <w:ind w:left="1134" w:right="260" w:hanging="1134"/>
        <w:jc w:val="both"/>
        <w:rPr>
          <w:rFonts w:ascii="Arial" w:eastAsia="Arial" w:hAnsi="Arial"/>
          <w:b/>
          <w:sz w:val="22"/>
          <w:szCs w:val="22"/>
          <w:lang w:val="es-CR"/>
        </w:rPr>
      </w:pPr>
    </w:p>
    <w:p w14:paraId="7099ABA6" w14:textId="06B9742F"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1.237.0.01</w:t>
      </w:r>
      <w:r>
        <w:rPr>
          <w:rFonts w:ascii="Arial" w:eastAsia="Arial" w:hAnsi="Arial"/>
          <w:bCs/>
          <w:sz w:val="22"/>
          <w:szCs w:val="22"/>
          <w:lang w:val="es-CR"/>
        </w:rPr>
        <w:tab/>
      </w:r>
      <w:r w:rsidRPr="006D6F7B">
        <w:rPr>
          <w:rFonts w:ascii="Arial" w:eastAsia="Arial" w:hAnsi="Arial"/>
          <w:bCs/>
          <w:sz w:val="22"/>
          <w:szCs w:val="22"/>
          <w:lang w:val="es-CR"/>
        </w:rPr>
        <w:t xml:space="preserve">En la </w:t>
      </w:r>
      <w:r w:rsidR="000F29DC">
        <w:rPr>
          <w:rFonts w:ascii="Arial" w:eastAsia="Arial" w:hAnsi="Arial"/>
          <w:bCs/>
          <w:sz w:val="22"/>
          <w:szCs w:val="22"/>
          <w:lang w:val="es-CR"/>
        </w:rPr>
        <w:t>MBA</w:t>
      </w:r>
      <w:r w:rsidRPr="006D6F7B">
        <w:rPr>
          <w:rFonts w:ascii="Arial" w:eastAsia="Arial" w:hAnsi="Arial"/>
          <w:bCs/>
          <w:sz w:val="22"/>
          <w:szCs w:val="22"/>
          <w:lang w:val="es-CR"/>
        </w:rPr>
        <w:t xml:space="preserve"> el costo de un activo intangible incluye:</w:t>
      </w:r>
    </w:p>
    <w:p w14:paraId="0422CA46" w14:textId="77777777" w:rsidR="00651532" w:rsidRPr="006D6F7B" w:rsidRDefault="00651532" w:rsidP="004741D6">
      <w:pPr>
        <w:spacing w:line="236" w:lineRule="auto"/>
        <w:ind w:left="1134" w:right="280" w:hanging="1134"/>
        <w:jc w:val="both"/>
        <w:rPr>
          <w:rFonts w:ascii="Arial" w:eastAsia="Arial" w:hAnsi="Arial"/>
          <w:bCs/>
          <w:sz w:val="22"/>
          <w:szCs w:val="22"/>
          <w:lang w:val="es-CR"/>
        </w:rPr>
      </w:pPr>
    </w:p>
    <w:p w14:paraId="525B0414" w14:textId="77777777" w:rsidR="004741D6" w:rsidRPr="00627673" w:rsidRDefault="004741D6" w:rsidP="004741D6">
      <w:pPr>
        <w:spacing w:line="9" w:lineRule="exact"/>
        <w:rPr>
          <w:rFonts w:ascii="Times New Roman" w:eastAsia="Times New Roman" w:hAnsi="Times New Roman"/>
          <w:lang w:val="es-CR"/>
        </w:rPr>
      </w:pPr>
    </w:p>
    <w:p w14:paraId="20AF5F47" w14:textId="12FF00FE" w:rsidR="004741D6" w:rsidRPr="00651532" w:rsidRDefault="004741D6" w:rsidP="00651532">
      <w:pPr>
        <w:numPr>
          <w:ilvl w:val="0"/>
          <w:numId w:val="99"/>
        </w:numPr>
        <w:tabs>
          <w:tab w:val="left" w:pos="1099"/>
        </w:tabs>
        <w:spacing w:after="120"/>
        <w:ind w:right="260"/>
        <w:jc w:val="both"/>
        <w:rPr>
          <w:rFonts w:ascii="Arial" w:eastAsia="Arial" w:hAnsi="Arial"/>
          <w:bCs/>
          <w:sz w:val="22"/>
          <w:szCs w:val="22"/>
          <w:lang w:val="es-CR"/>
        </w:rPr>
      </w:pPr>
      <w:r w:rsidRPr="006D6F7B">
        <w:rPr>
          <w:rFonts w:ascii="Arial" w:eastAsia="Arial" w:hAnsi="Arial"/>
          <w:bCs/>
          <w:sz w:val="22"/>
          <w:szCs w:val="22"/>
          <w:lang w:val="es-CR"/>
        </w:rPr>
        <w:t>El precio de adquisición, incluidos los aranceles de importación y los impuestos no recuperables que recaigan sobre la adquisición, después de deducir los descuentos comerciales y las rebajas.</w:t>
      </w:r>
    </w:p>
    <w:p w14:paraId="02E6E583" w14:textId="77777777" w:rsidR="004741D6" w:rsidRPr="006D6F7B" w:rsidRDefault="004741D6" w:rsidP="00651532">
      <w:pPr>
        <w:numPr>
          <w:ilvl w:val="0"/>
          <w:numId w:val="99"/>
        </w:numPr>
        <w:tabs>
          <w:tab w:val="left" w:pos="1099"/>
        </w:tabs>
        <w:spacing w:after="120"/>
        <w:ind w:right="260"/>
        <w:jc w:val="both"/>
        <w:rPr>
          <w:rFonts w:ascii="Arial" w:eastAsia="Arial" w:hAnsi="Arial"/>
          <w:bCs/>
          <w:sz w:val="22"/>
          <w:szCs w:val="22"/>
          <w:lang w:val="es-CR"/>
        </w:rPr>
      </w:pPr>
      <w:r w:rsidRPr="006D6F7B">
        <w:rPr>
          <w:rFonts w:ascii="Arial" w:eastAsia="Arial" w:hAnsi="Arial"/>
          <w:bCs/>
          <w:sz w:val="22"/>
          <w:szCs w:val="22"/>
          <w:lang w:val="es-CR"/>
        </w:rPr>
        <w:t>Cualquier costo directamente atribuible a la preparación y ubicación del activo en el lugar y condiciones necesarias para su uso previsto, tales como:</w:t>
      </w:r>
    </w:p>
    <w:p w14:paraId="5BF7E9A6" w14:textId="7A3207F3" w:rsidR="004741D6" w:rsidRPr="00651532" w:rsidRDefault="004741D6" w:rsidP="00651532">
      <w:pPr>
        <w:pStyle w:val="Prrafodelista"/>
        <w:numPr>
          <w:ilvl w:val="0"/>
          <w:numId w:val="100"/>
        </w:numPr>
        <w:spacing w:after="120"/>
        <w:ind w:left="1843" w:right="260" w:hanging="142"/>
        <w:contextualSpacing w:val="0"/>
        <w:jc w:val="both"/>
        <w:rPr>
          <w:rFonts w:ascii="Arial" w:eastAsia="Arial" w:hAnsi="Arial"/>
          <w:bCs/>
          <w:sz w:val="22"/>
          <w:szCs w:val="22"/>
          <w:lang w:val="es-CR"/>
        </w:rPr>
      </w:pPr>
      <w:r w:rsidRPr="006D6F7B">
        <w:rPr>
          <w:rFonts w:ascii="Arial" w:eastAsia="Arial" w:hAnsi="Arial"/>
          <w:bCs/>
          <w:sz w:val="22"/>
          <w:szCs w:val="22"/>
          <w:lang w:val="es-CR"/>
        </w:rPr>
        <w:t>Los costos de las remuneraciones a los empleados, derivados directamente de poner el activo en sus condiciones de uso;</w:t>
      </w:r>
    </w:p>
    <w:p w14:paraId="50CB7C5D" w14:textId="77777777" w:rsidR="004741D6" w:rsidRPr="006D6F7B" w:rsidRDefault="004741D6" w:rsidP="00651532">
      <w:pPr>
        <w:pStyle w:val="Prrafodelista"/>
        <w:numPr>
          <w:ilvl w:val="0"/>
          <w:numId w:val="100"/>
        </w:numPr>
        <w:spacing w:after="120"/>
        <w:ind w:left="1843" w:right="280" w:hanging="142"/>
        <w:contextualSpacing w:val="0"/>
        <w:rPr>
          <w:rFonts w:ascii="Arial" w:eastAsia="Arial" w:hAnsi="Arial"/>
          <w:bCs/>
          <w:sz w:val="22"/>
          <w:szCs w:val="22"/>
          <w:lang w:val="es-CR"/>
        </w:rPr>
      </w:pPr>
      <w:r w:rsidRPr="006D6F7B">
        <w:rPr>
          <w:rFonts w:ascii="Arial" w:eastAsia="Arial" w:hAnsi="Arial"/>
          <w:bCs/>
          <w:sz w:val="22"/>
          <w:szCs w:val="22"/>
          <w:lang w:val="es-CR"/>
        </w:rPr>
        <w:lastRenderedPageBreak/>
        <w:t>Honorarios profesionales surgidos directamente de poner el activo en sus condiciones de uso.</w:t>
      </w:r>
    </w:p>
    <w:p w14:paraId="296EEDAE" w14:textId="77777777" w:rsidR="004741D6" w:rsidRPr="006D6F7B" w:rsidRDefault="004741D6" w:rsidP="004741D6">
      <w:pPr>
        <w:spacing w:line="9" w:lineRule="exact"/>
        <w:ind w:left="1843" w:hanging="142"/>
        <w:rPr>
          <w:rFonts w:ascii="Arial" w:eastAsia="Arial" w:hAnsi="Arial"/>
          <w:bCs/>
          <w:sz w:val="22"/>
          <w:szCs w:val="22"/>
          <w:lang w:val="es-CR"/>
        </w:rPr>
      </w:pPr>
    </w:p>
    <w:p w14:paraId="1FA0E349" w14:textId="77777777" w:rsidR="004741D6" w:rsidRDefault="004741D6">
      <w:pPr>
        <w:pStyle w:val="Prrafodelista"/>
        <w:numPr>
          <w:ilvl w:val="0"/>
          <w:numId w:val="100"/>
        </w:numPr>
        <w:spacing w:line="0" w:lineRule="atLeast"/>
        <w:ind w:left="1843" w:hanging="142"/>
        <w:rPr>
          <w:rFonts w:ascii="Arial" w:eastAsia="Arial" w:hAnsi="Arial"/>
          <w:bCs/>
          <w:sz w:val="22"/>
          <w:szCs w:val="22"/>
          <w:lang w:val="es-CR"/>
        </w:rPr>
      </w:pPr>
      <w:r w:rsidRPr="006D6F7B">
        <w:rPr>
          <w:rFonts w:ascii="Arial" w:eastAsia="Arial" w:hAnsi="Arial"/>
          <w:bCs/>
          <w:sz w:val="22"/>
          <w:szCs w:val="22"/>
          <w:lang w:val="es-CR"/>
        </w:rPr>
        <w:t>Los costos de comprobación de que el activo funciona adecuadamente.</w:t>
      </w:r>
    </w:p>
    <w:p w14:paraId="6CBF9027" w14:textId="77777777" w:rsidR="00651532" w:rsidRPr="00651532" w:rsidRDefault="00651532" w:rsidP="00651532">
      <w:pPr>
        <w:spacing w:line="0" w:lineRule="atLeast"/>
        <w:rPr>
          <w:rFonts w:ascii="Arial" w:eastAsia="Arial" w:hAnsi="Arial"/>
          <w:bCs/>
          <w:sz w:val="22"/>
          <w:szCs w:val="22"/>
          <w:lang w:val="es-CR"/>
        </w:rPr>
      </w:pPr>
    </w:p>
    <w:p w14:paraId="7A3C2E66" w14:textId="77777777" w:rsidR="004741D6" w:rsidRPr="00627673" w:rsidRDefault="004741D6" w:rsidP="004741D6">
      <w:pPr>
        <w:spacing w:line="9" w:lineRule="exact"/>
        <w:rPr>
          <w:rFonts w:ascii="Arial" w:eastAsia="Arial" w:hAnsi="Arial"/>
          <w:b/>
          <w:sz w:val="24"/>
          <w:lang w:val="es-CR"/>
        </w:rPr>
      </w:pPr>
    </w:p>
    <w:p w14:paraId="71CCF8CF" w14:textId="185EBABD"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1.237.1.01</w:t>
      </w:r>
      <w:r>
        <w:rPr>
          <w:rFonts w:ascii="Arial" w:eastAsia="Arial" w:hAnsi="Arial"/>
          <w:bCs/>
          <w:sz w:val="22"/>
          <w:szCs w:val="22"/>
          <w:lang w:val="es-CR"/>
        </w:rPr>
        <w:tab/>
      </w:r>
      <w:r w:rsidRPr="006D6F7B">
        <w:rPr>
          <w:rFonts w:ascii="Arial" w:eastAsia="Arial" w:hAnsi="Arial"/>
          <w:bCs/>
          <w:sz w:val="22"/>
          <w:szCs w:val="22"/>
          <w:lang w:val="es-CR"/>
        </w:rPr>
        <w:t xml:space="preserve">En la </w:t>
      </w:r>
      <w:r w:rsidR="000F29DC">
        <w:rPr>
          <w:rFonts w:ascii="Arial" w:eastAsia="Arial" w:hAnsi="Arial"/>
          <w:bCs/>
          <w:sz w:val="22"/>
          <w:szCs w:val="22"/>
          <w:lang w:val="es-CR"/>
        </w:rPr>
        <w:t>MBA</w:t>
      </w:r>
      <w:r w:rsidRPr="006D6F7B">
        <w:rPr>
          <w:rFonts w:ascii="Arial" w:eastAsia="Arial" w:hAnsi="Arial"/>
          <w:bCs/>
          <w:sz w:val="22"/>
          <w:szCs w:val="22"/>
          <w:lang w:val="es-CR"/>
        </w:rPr>
        <w:t xml:space="preserve"> no serán contemplados como parte del costo de un activo intangible, entre otros, los siguientes </w:t>
      </w:r>
      <w:r w:rsidR="00AA22E2" w:rsidRPr="006D6F7B">
        <w:rPr>
          <w:rFonts w:ascii="Arial" w:eastAsia="Arial" w:hAnsi="Arial"/>
          <w:bCs/>
          <w:sz w:val="22"/>
          <w:szCs w:val="22"/>
          <w:lang w:val="es-CR"/>
        </w:rPr>
        <w:t>dese</w:t>
      </w:r>
      <w:r w:rsidR="00AA22E2">
        <w:rPr>
          <w:rFonts w:ascii="Arial" w:eastAsia="Arial" w:hAnsi="Arial"/>
          <w:bCs/>
          <w:sz w:val="22"/>
          <w:szCs w:val="22"/>
          <w:lang w:val="es-CR"/>
        </w:rPr>
        <w:t>mbo</w:t>
      </w:r>
      <w:r w:rsidR="00AA22E2" w:rsidRPr="006D6F7B">
        <w:rPr>
          <w:rFonts w:ascii="Arial" w:eastAsia="Arial" w:hAnsi="Arial"/>
          <w:bCs/>
          <w:sz w:val="22"/>
          <w:szCs w:val="22"/>
          <w:lang w:val="es-CR"/>
        </w:rPr>
        <w:t>lsos</w:t>
      </w:r>
      <w:r w:rsidRPr="006D6F7B">
        <w:rPr>
          <w:rFonts w:ascii="Arial" w:eastAsia="Arial" w:hAnsi="Arial"/>
          <w:bCs/>
          <w:sz w:val="22"/>
          <w:szCs w:val="22"/>
          <w:lang w:val="es-CR"/>
        </w:rPr>
        <w:t>:</w:t>
      </w:r>
    </w:p>
    <w:p w14:paraId="62CE03C8" w14:textId="77777777" w:rsidR="00651532" w:rsidRPr="006D6F7B" w:rsidRDefault="00651532" w:rsidP="004741D6">
      <w:pPr>
        <w:spacing w:line="236" w:lineRule="auto"/>
        <w:ind w:left="1134" w:right="280" w:hanging="1134"/>
        <w:jc w:val="both"/>
        <w:rPr>
          <w:rFonts w:ascii="Arial" w:eastAsia="Arial" w:hAnsi="Arial"/>
          <w:bCs/>
          <w:sz w:val="22"/>
          <w:szCs w:val="22"/>
          <w:lang w:val="es-CR"/>
        </w:rPr>
      </w:pPr>
    </w:p>
    <w:p w14:paraId="5F7223D8" w14:textId="77777777" w:rsidR="004741D6" w:rsidRPr="00627673" w:rsidRDefault="004741D6" w:rsidP="004741D6">
      <w:pPr>
        <w:spacing w:line="9" w:lineRule="exact"/>
        <w:rPr>
          <w:rFonts w:ascii="Arial" w:eastAsia="Arial" w:hAnsi="Arial"/>
          <w:b/>
          <w:sz w:val="24"/>
          <w:lang w:val="es-CR"/>
        </w:rPr>
      </w:pPr>
    </w:p>
    <w:p w14:paraId="04A62037" w14:textId="05473D1B" w:rsidR="004741D6" w:rsidRPr="00651532" w:rsidRDefault="004741D6" w:rsidP="00651532">
      <w:pPr>
        <w:pStyle w:val="Prrafodelista"/>
        <w:numPr>
          <w:ilvl w:val="0"/>
          <w:numId w:val="101"/>
        </w:numPr>
        <w:spacing w:after="120"/>
        <w:ind w:left="1418" w:right="260" w:hanging="284"/>
        <w:contextualSpacing w:val="0"/>
        <w:jc w:val="both"/>
        <w:rPr>
          <w:rFonts w:ascii="Arial" w:eastAsia="Arial" w:hAnsi="Arial"/>
          <w:bCs/>
          <w:sz w:val="22"/>
          <w:szCs w:val="22"/>
          <w:lang w:val="es-CR"/>
        </w:rPr>
      </w:pPr>
      <w:r w:rsidRPr="006D6F7B">
        <w:rPr>
          <w:rFonts w:ascii="Arial" w:eastAsia="Arial" w:hAnsi="Arial"/>
          <w:bCs/>
          <w:sz w:val="22"/>
          <w:szCs w:val="22"/>
          <w:lang w:val="es-CR"/>
        </w:rPr>
        <w:t>Los costos de introducción de un nuevo producto o servicio (incluyendo los costos de actividades publicitarias y promocionales);</w:t>
      </w:r>
    </w:p>
    <w:p w14:paraId="742EA1F0" w14:textId="77777777" w:rsidR="004741D6" w:rsidRPr="006D6F7B" w:rsidRDefault="004741D6" w:rsidP="00651532">
      <w:pPr>
        <w:pStyle w:val="Prrafodelista"/>
        <w:numPr>
          <w:ilvl w:val="0"/>
          <w:numId w:val="101"/>
        </w:numPr>
        <w:spacing w:after="120"/>
        <w:ind w:left="1418" w:right="260" w:hanging="284"/>
        <w:contextualSpacing w:val="0"/>
        <w:jc w:val="both"/>
        <w:rPr>
          <w:rFonts w:ascii="Arial" w:eastAsia="Arial" w:hAnsi="Arial"/>
          <w:bCs/>
          <w:sz w:val="22"/>
          <w:szCs w:val="22"/>
          <w:lang w:val="es-CR"/>
        </w:rPr>
      </w:pPr>
      <w:r w:rsidRPr="006D6F7B">
        <w:rPr>
          <w:rFonts w:ascii="Arial" w:eastAsia="Arial" w:hAnsi="Arial"/>
          <w:bCs/>
          <w:sz w:val="22"/>
          <w:szCs w:val="22"/>
          <w:lang w:val="es-CR"/>
        </w:rPr>
        <w:t>Los costos de llevar a cabo operaciones en una nueva localización o con un nuevo segmento de usuarios de un servicio (incluyendo los costos de formación del personal).</w:t>
      </w:r>
    </w:p>
    <w:p w14:paraId="3C076ABA" w14:textId="77777777" w:rsidR="004741D6" w:rsidRPr="006D6F7B" w:rsidRDefault="004741D6" w:rsidP="004741D6">
      <w:pPr>
        <w:spacing w:line="10" w:lineRule="exact"/>
        <w:ind w:left="1418" w:hanging="284"/>
        <w:rPr>
          <w:rFonts w:ascii="Arial" w:eastAsia="Arial" w:hAnsi="Arial"/>
          <w:bCs/>
          <w:sz w:val="22"/>
          <w:szCs w:val="22"/>
          <w:lang w:val="es-CR"/>
        </w:rPr>
      </w:pPr>
    </w:p>
    <w:p w14:paraId="039622D6" w14:textId="77777777" w:rsidR="004741D6" w:rsidRDefault="004741D6">
      <w:pPr>
        <w:pStyle w:val="Prrafodelista"/>
        <w:numPr>
          <w:ilvl w:val="0"/>
          <w:numId w:val="101"/>
        </w:numPr>
        <w:spacing w:line="0" w:lineRule="atLeast"/>
        <w:ind w:left="1418" w:hanging="284"/>
        <w:rPr>
          <w:rFonts w:ascii="Arial" w:eastAsia="Arial" w:hAnsi="Arial"/>
          <w:bCs/>
          <w:sz w:val="22"/>
          <w:szCs w:val="22"/>
          <w:lang w:val="es-CR"/>
        </w:rPr>
      </w:pPr>
      <w:r w:rsidRPr="006D6F7B">
        <w:rPr>
          <w:rFonts w:ascii="Arial" w:eastAsia="Arial" w:hAnsi="Arial"/>
          <w:bCs/>
          <w:sz w:val="22"/>
          <w:szCs w:val="22"/>
          <w:lang w:val="es-CR"/>
        </w:rPr>
        <w:t>Los costos de administración y otros costos indirectos generales.</w:t>
      </w:r>
    </w:p>
    <w:p w14:paraId="2A658260" w14:textId="77777777" w:rsidR="00651532" w:rsidRPr="00651532" w:rsidRDefault="00651532" w:rsidP="00651532">
      <w:pPr>
        <w:spacing w:line="0" w:lineRule="atLeast"/>
        <w:rPr>
          <w:rFonts w:ascii="Arial" w:eastAsia="Arial" w:hAnsi="Arial"/>
          <w:bCs/>
          <w:sz w:val="22"/>
          <w:szCs w:val="22"/>
          <w:lang w:val="es-CR"/>
        </w:rPr>
      </w:pPr>
    </w:p>
    <w:p w14:paraId="31C3273D" w14:textId="77777777" w:rsidR="004741D6" w:rsidRPr="00627673" w:rsidRDefault="004741D6" w:rsidP="004741D6">
      <w:pPr>
        <w:spacing w:line="9" w:lineRule="exact"/>
        <w:rPr>
          <w:rFonts w:ascii="Arial" w:eastAsia="Arial" w:hAnsi="Arial"/>
          <w:b/>
          <w:sz w:val="24"/>
          <w:lang w:val="es-CR"/>
        </w:rPr>
      </w:pPr>
    </w:p>
    <w:p w14:paraId="26C50B2E"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1.237.2.01</w:t>
      </w:r>
      <w:r>
        <w:rPr>
          <w:rFonts w:ascii="Arial" w:eastAsia="Arial" w:hAnsi="Arial"/>
          <w:bCs/>
          <w:sz w:val="22"/>
          <w:szCs w:val="22"/>
          <w:lang w:val="es-CR"/>
        </w:rPr>
        <w:tab/>
      </w:r>
      <w:r w:rsidRPr="006D6F7B">
        <w:rPr>
          <w:rFonts w:ascii="Arial" w:eastAsia="Arial" w:hAnsi="Arial"/>
          <w:bCs/>
          <w:sz w:val="22"/>
          <w:szCs w:val="22"/>
          <w:lang w:val="es-CR"/>
        </w:rPr>
        <w:t xml:space="preserve">Los ingresos y gastos relacionados con los activos intangibles pero que no son imprescindibles para que el activo pueda operar de la forma prevista, que pueden tener lugar antes o durante las actividades de desarrollo de un activo intangible, no formarán parte del costo del activo, sino que deberán reconocerse </w:t>
      </w:r>
      <w:r>
        <w:rPr>
          <w:rFonts w:ascii="Arial" w:eastAsia="Arial" w:hAnsi="Arial"/>
          <w:bCs/>
          <w:sz w:val="22"/>
          <w:szCs w:val="22"/>
          <w:lang w:val="es-CR"/>
        </w:rPr>
        <w:t xml:space="preserve">como gastos </w:t>
      </w:r>
      <w:r w:rsidRPr="006D6F7B">
        <w:rPr>
          <w:rFonts w:ascii="Arial" w:eastAsia="Arial" w:hAnsi="Arial"/>
          <w:bCs/>
          <w:sz w:val="22"/>
          <w:szCs w:val="22"/>
          <w:lang w:val="es-CR"/>
        </w:rPr>
        <w:t xml:space="preserve">en el resultado del ejercicio en el que se generen. </w:t>
      </w:r>
    </w:p>
    <w:p w14:paraId="12FB0257" w14:textId="77777777" w:rsidR="00651532" w:rsidRDefault="00651532" w:rsidP="004741D6">
      <w:pPr>
        <w:spacing w:line="236" w:lineRule="auto"/>
        <w:ind w:left="1134" w:right="280" w:hanging="1134"/>
        <w:jc w:val="both"/>
        <w:rPr>
          <w:rFonts w:ascii="Arial" w:eastAsia="Arial" w:hAnsi="Arial"/>
          <w:bCs/>
          <w:sz w:val="22"/>
          <w:szCs w:val="22"/>
          <w:lang w:val="es-CR"/>
        </w:rPr>
      </w:pPr>
    </w:p>
    <w:p w14:paraId="704AAA24" w14:textId="1E49477A" w:rsidR="004741D6" w:rsidRPr="006D6F7B"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1.237.2.02</w:t>
      </w:r>
      <w:r>
        <w:rPr>
          <w:rFonts w:ascii="Arial" w:eastAsia="Arial" w:hAnsi="Arial"/>
          <w:bCs/>
          <w:sz w:val="22"/>
          <w:szCs w:val="22"/>
          <w:lang w:val="es-CR"/>
        </w:rPr>
        <w:tab/>
        <w:t xml:space="preserve">Los </w:t>
      </w:r>
      <w:r w:rsidRPr="006D6F7B">
        <w:rPr>
          <w:rFonts w:ascii="Arial" w:eastAsia="Arial" w:hAnsi="Arial"/>
          <w:bCs/>
          <w:sz w:val="22"/>
          <w:szCs w:val="22"/>
          <w:lang w:val="es-CR"/>
        </w:rPr>
        <w:t>costos soportados p</w:t>
      </w:r>
      <w:r>
        <w:rPr>
          <w:rFonts w:ascii="Arial" w:eastAsia="Arial" w:hAnsi="Arial"/>
          <w:bCs/>
          <w:sz w:val="22"/>
          <w:szCs w:val="22"/>
          <w:lang w:val="es-CR"/>
        </w:rPr>
        <w:t>a</w:t>
      </w:r>
      <w:r w:rsidRPr="006D6F7B">
        <w:rPr>
          <w:rFonts w:ascii="Arial" w:eastAsia="Arial" w:hAnsi="Arial"/>
          <w:bCs/>
          <w:sz w:val="22"/>
          <w:szCs w:val="22"/>
          <w:lang w:val="es-CR"/>
        </w:rPr>
        <w:t>r</w:t>
      </w:r>
      <w:r>
        <w:rPr>
          <w:rFonts w:ascii="Arial" w:eastAsia="Arial" w:hAnsi="Arial"/>
          <w:bCs/>
          <w:sz w:val="22"/>
          <w:szCs w:val="22"/>
          <w:lang w:val="es-CR"/>
        </w:rPr>
        <w:t>a</w:t>
      </w:r>
      <w:r w:rsidRPr="006D6F7B">
        <w:rPr>
          <w:rFonts w:ascii="Arial" w:eastAsia="Arial" w:hAnsi="Arial"/>
          <w:bCs/>
          <w:sz w:val="22"/>
          <w:szCs w:val="22"/>
          <w:lang w:val="es-CR"/>
        </w:rPr>
        <w:t xml:space="preserve"> la utilización del activo y por la reprogramación de su uso una vez alcanzadas las condiciones para operar según la forma originalmente prevista</w:t>
      </w:r>
      <w:r>
        <w:rPr>
          <w:rFonts w:ascii="Arial" w:eastAsia="Arial" w:hAnsi="Arial"/>
          <w:bCs/>
          <w:sz w:val="22"/>
          <w:szCs w:val="22"/>
          <w:lang w:val="es-CR"/>
        </w:rPr>
        <w:t xml:space="preserve">, </w:t>
      </w:r>
      <w:r w:rsidR="00AA22E2">
        <w:rPr>
          <w:rFonts w:ascii="Arial" w:eastAsia="Arial" w:hAnsi="Arial"/>
          <w:bCs/>
          <w:sz w:val="22"/>
          <w:szCs w:val="22"/>
          <w:lang w:val="es-CR"/>
        </w:rPr>
        <w:t>también</w:t>
      </w:r>
      <w:r>
        <w:rPr>
          <w:rFonts w:ascii="Arial" w:eastAsia="Arial" w:hAnsi="Arial"/>
          <w:bCs/>
          <w:sz w:val="22"/>
          <w:szCs w:val="22"/>
          <w:lang w:val="es-CR"/>
        </w:rPr>
        <w:t xml:space="preserve"> se reconocerán como gasto en el ejercicio en que se generen</w:t>
      </w:r>
      <w:r w:rsidRPr="006D6F7B">
        <w:rPr>
          <w:rFonts w:ascii="Arial" w:eastAsia="Arial" w:hAnsi="Arial"/>
          <w:bCs/>
          <w:sz w:val="22"/>
          <w:szCs w:val="22"/>
          <w:lang w:val="es-CR"/>
        </w:rPr>
        <w:t>.</w:t>
      </w:r>
    </w:p>
    <w:p w14:paraId="7B6E1D63" w14:textId="77777777" w:rsidR="004741D6" w:rsidRDefault="004741D6" w:rsidP="004741D6">
      <w:pPr>
        <w:spacing w:line="238" w:lineRule="auto"/>
        <w:ind w:left="1134" w:right="260" w:hanging="1134"/>
        <w:jc w:val="both"/>
        <w:rPr>
          <w:rFonts w:ascii="Arial" w:eastAsia="Arial" w:hAnsi="Arial"/>
          <w:b/>
          <w:sz w:val="22"/>
          <w:szCs w:val="22"/>
          <w:lang w:val="es-CR"/>
        </w:rPr>
      </w:pPr>
    </w:p>
    <w:p w14:paraId="4A6A57F9"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62"/>
        <w:gridCol w:w="517"/>
        <w:gridCol w:w="540"/>
        <w:gridCol w:w="3191"/>
        <w:gridCol w:w="2693"/>
        <w:gridCol w:w="1559"/>
      </w:tblGrid>
      <w:tr w:rsidR="004741D6" w:rsidRPr="00904358" w14:paraId="37579A53" w14:textId="77777777" w:rsidTr="00D16719">
        <w:trPr>
          <w:trHeight w:val="320"/>
        </w:trPr>
        <w:tc>
          <w:tcPr>
            <w:tcW w:w="161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CBDD2C8" w14:textId="77777777" w:rsidR="004741D6" w:rsidRPr="00904358" w:rsidRDefault="004741D6" w:rsidP="00D16719">
            <w:pPr>
              <w:jc w:val="center"/>
              <w:rPr>
                <w:rFonts w:ascii="Arial Narrow" w:eastAsia="Times New Roman" w:hAnsi="Arial Narrow"/>
                <w:b/>
                <w:bCs/>
                <w:color w:val="FFFFFF"/>
                <w:sz w:val="22"/>
                <w:szCs w:val="22"/>
              </w:rPr>
            </w:pPr>
            <w:r w:rsidRPr="00904358">
              <w:rPr>
                <w:rFonts w:ascii="Arial Narrow" w:eastAsia="Times New Roman" w:hAnsi="Arial Narrow"/>
                <w:b/>
                <w:bCs/>
                <w:color w:val="FFFFFF"/>
                <w:sz w:val="22"/>
                <w:szCs w:val="22"/>
              </w:rPr>
              <w:t>Norma / Política</w:t>
            </w:r>
          </w:p>
        </w:tc>
        <w:tc>
          <w:tcPr>
            <w:tcW w:w="31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494C2F01" w14:textId="77777777" w:rsidR="004741D6" w:rsidRPr="00904358" w:rsidRDefault="004741D6" w:rsidP="00D16719">
            <w:pPr>
              <w:jc w:val="center"/>
              <w:rPr>
                <w:rFonts w:ascii="Arial Narrow" w:eastAsia="Times New Roman" w:hAnsi="Arial Narrow"/>
                <w:b/>
                <w:bCs/>
                <w:color w:val="FFFFFF"/>
                <w:sz w:val="22"/>
                <w:szCs w:val="22"/>
              </w:rPr>
            </w:pPr>
            <w:r w:rsidRPr="00904358">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0AB40605" w14:textId="77777777" w:rsidR="004741D6" w:rsidRPr="00904358" w:rsidRDefault="004741D6" w:rsidP="00D16719">
            <w:pPr>
              <w:jc w:val="center"/>
              <w:rPr>
                <w:rFonts w:ascii="Arial Narrow" w:eastAsia="Times New Roman" w:hAnsi="Arial Narrow"/>
                <w:b/>
                <w:bCs/>
                <w:color w:val="FFFFFF"/>
                <w:sz w:val="22"/>
                <w:szCs w:val="22"/>
              </w:rPr>
            </w:pPr>
            <w:r w:rsidRPr="00904358">
              <w:rPr>
                <w:rFonts w:ascii="Arial Narrow" w:eastAsia="Times New Roman" w:hAnsi="Arial Narrow"/>
                <w:b/>
                <w:bCs/>
                <w:color w:val="FFFFFF"/>
                <w:sz w:val="22"/>
                <w:szCs w:val="22"/>
              </w:rPr>
              <w:t>Referencia</w:t>
            </w:r>
          </w:p>
        </w:tc>
      </w:tr>
      <w:tr w:rsidR="004741D6" w:rsidRPr="006E5442" w14:paraId="52C30D23" w14:textId="77777777" w:rsidTr="00D16719">
        <w:trPr>
          <w:trHeight w:val="737"/>
        </w:trPr>
        <w:tc>
          <w:tcPr>
            <w:tcW w:w="1619" w:type="dxa"/>
            <w:gridSpan w:val="3"/>
            <w:vMerge/>
            <w:tcBorders>
              <w:top w:val="single" w:sz="8" w:space="0" w:color="auto"/>
              <w:left w:val="single" w:sz="8" w:space="0" w:color="auto"/>
              <w:bottom w:val="nil"/>
              <w:right w:val="single" w:sz="8" w:space="0" w:color="000000"/>
            </w:tcBorders>
            <w:vAlign w:val="center"/>
            <w:hideMark/>
          </w:tcPr>
          <w:p w14:paraId="36C837F2" w14:textId="77777777" w:rsidR="004741D6" w:rsidRPr="00904358" w:rsidRDefault="004741D6" w:rsidP="00D16719">
            <w:pPr>
              <w:rPr>
                <w:rFonts w:ascii="Arial Narrow" w:eastAsia="Times New Roman" w:hAnsi="Arial Narrow"/>
                <w:b/>
                <w:bCs/>
                <w:color w:val="FFFFFF"/>
                <w:sz w:val="22"/>
                <w:szCs w:val="22"/>
              </w:rPr>
            </w:pPr>
          </w:p>
        </w:tc>
        <w:tc>
          <w:tcPr>
            <w:tcW w:w="3191" w:type="dxa"/>
            <w:vMerge/>
            <w:tcBorders>
              <w:top w:val="single" w:sz="8" w:space="0" w:color="auto"/>
              <w:left w:val="single" w:sz="8" w:space="0" w:color="auto"/>
              <w:bottom w:val="nil"/>
              <w:right w:val="single" w:sz="8" w:space="0" w:color="auto"/>
            </w:tcBorders>
            <w:vAlign w:val="center"/>
            <w:hideMark/>
          </w:tcPr>
          <w:p w14:paraId="3A1717EE" w14:textId="77777777" w:rsidR="004741D6" w:rsidRPr="00904358" w:rsidRDefault="004741D6" w:rsidP="00D16719">
            <w:pPr>
              <w:rPr>
                <w:rFonts w:ascii="Arial Narrow" w:eastAsia="Times New Roman" w:hAnsi="Arial Narrow"/>
                <w:b/>
                <w:bCs/>
                <w:color w:val="FFFFFF"/>
                <w:sz w:val="22"/>
                <w:szCs w:val="22"/>
              </w:rPr>
            </w:pPr>
          </w:p>
        </w:tc>
        <w:tc>
          <w:tcPr>
            <w:tcW w:w="2693" w:type="dxa"/>
            <w:tcBorders>
              <w:top w:val="nil"/>
              <w:left w:val="nil"/>
              <w:bottom w:val="nil"/>
              <w:right w:val="single" w:sz="8" w:space="0" w:color="auto"/>
            </w:tcBorders>
            <w:shd w:val="clear" w:color="000000" w:fill="203764"/>
            <w:vAlign w:val="center"/>
            <w:hideMark/>
          </w:tcPr>
          <w:p w14:paraId="22FDD736" w14:textId="77777777" w:rsidR="004741D6" w:rsidRPr="00904358" w:rsidRDefault="004741D6" w:rsidP="00D16719">
            <w:pPr>
              <w:jc w:val="center"/>
              <w:rPr>
                <w:rFonts w:ascii="Arial Narrow" w:eastAsia="Times New Roman" w:hAnsi="Arial Narrow"/>
                <w:b/>
                <w:bCs/>
                <w:color w:val="FFFFFF"/>
                <w:sz w:val="22"/>
                <w:szCs w:val="22"/>
              </w:rPr>
            </w:pPr>
            <w:r w:rsidRPr="00904358">
              <w:rPr>
                <w:rFonts w:ascii="Arial Narrow" w:eastAsia="Times New Roman" w:hAnsi="Arial Narrow"/>
                <w:b/>
                <w:bCs/>
                <w:color w:val="FFFFFF"/>
                <w:sz w:val="22"/>
                <w:szCs w:val="22"/>
              </w:rPr>
              <w:t>Norma</w:t>
            </w:r>
          </w:p>
        </w:tc>
        <w:tc>
          <w:tcPr>
            <w:tcW w:w="1559" w:type="dxa"/>
            <w:tcBorders>
              <w:top w:val="nil"/>
              <w:left w:val="nil"/>
              <w:bottom w:val="nil"/>
              <w:right w:val="single" w:sz="8" w:space="0" w:color="auto"/>
            </w:tcBorders>
            <w:shd w:val="clear" w:color="000000" w:fill="203764"/>
            <w:vAlign w:val="center"/>
            <w:hideMark/>
          </w:tcPr>
          <w:p w14:paraId="7F35EC9C" w14:textId="77777777" w:rsidR="004741D6" w:rsidRPr="00904358" w:rsidRDefault="004741D6" w:rsidP="00D16719">
            <w:pPr>
              <w:jc w:val="center"/>
              <w:rPr>
                <w:rFonts w:ascii="Arial Narrow" w:eastAsia="Times New Roman" w:hAnsi="Arial Narrow"/>
                <w:b/>
                <w:bCs/>
                <w:color w:val="FFFFFF"/>
                <w:sz w:val="22"/>
                <w:szCs w:val="22"/>
                <w:lang w:val="es-CR"/>
              </w:rPr>
            </w:pPr>
            <w:r w:rsidRPr="00904358">
              <w:rPr>
                <w:rFonts w:ascii="Arial Narrow" w:eastAsia="Times New Roman" w:hAnsi="Arial Narrow"/>
                <w:b/>
                <w:bCs/>
                <w:color w:val="FFFFFF"/>
                <w:sz w:val="22"/>
                <w:szCs w:val="22"/>
                <w:lang w:val="es-CR"/>
              </w:rPr>
              <w:t>Normativa técnica y disposiciones adicionales</w:t>
            </w:r>
          </w:p>
        </w:tc>
      </w:tr>
      <w:tr w:rsidR="004741D6" w:rsidRPr="00904358" w14:paraId="64379803" w14:textId="77777777" w:rsidTr="00D16719">
        <w:trPr>
          <w:trHeight w:val="599"/>
        </w:trPr>
        <w:tc>
          <w:tcPr>
            <w:tcW w:w="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DBEA48"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cs="Arial Narrow"/>
                <w:b/>
                <w:bCs/>
                <w:color w:val="000000"/>
                <w:spacing w:val="-10"/>
                <w:sz w:val="22"/>
                <w:szCs w:val="22"/>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52B79B94"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cs="Arial Narrow"/>
                <w:b/>
                <w:bCs/>
                <w:color w:val="000000"/>
                <w:spacing w:val="-4"/>
                <w:sz w:val="22"/>
                <w:szCs w:val="22"/>
              </w:rPr>
              <w:t>238</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68D86B48" w14:textId="1E9D3D58" w:rsidR="004741D6" w:rsidRPr="00904358" w:rsidRDefault="002B7D8C" w:rsidP="00D16719">
            <w:pPr>
              <w:jc w:val="center"/>
              <w:rPr>
                <w:rFonts w:ascii="Arial Narrow" w:eastAsia="Times New Roman" w:hAnsi="Arial Narrow"/>
                <w:b/>
                <w:bCs/>
                <w:color w:val="000000"/>
                <w:sz w:val="22"/>
                <w:szCs w:val="22"/>
              </w:rPr>
            </w:pPr>
            <w:r>
              <w:rPr>
                <w:rFonts w:ascii="Arial Narrow" w:eastAsia="Times New Roman" w:hAnsi="Arial Narrow"/>
                <w:b/>
                <w:bCs/>
                <w:color w:val="000000"/>
                <w:sz w:val="22"/>
                <w:szCs w:val="22"/>
              </w:rPr>
              <w:t>0</w:t>
            </w:r>
            <w:r w:rsidR="004741D6" w:rsidRPr="00904358">
              <w:rPr>
                <w:rFonts w:ascii="Arial Narrow" w:eastAsia="Times New Roman" w:hAnsi="Arial Narrow"/>
                <w:b/>
                <w:bCs/>
                <w:color w:val="000000"/>
                <w:sz w:val="22"/>
                <w:szCs w:val="22"/>
              </w:rPr>
              <w:t> </w:t>
            </w:r>
          </w:p>
        </w:tc>
        <w:tc>
          <w:tcPr>
            <w:tcW w:w="3191" w:type="dxa"/>
            <w:tcBorders>
              <w:top w:val="single" w:sz="8" w:space="0" w:color="auto"/>
              <w:left w:val="nil"/>
              <w:bottom w:val="single" w:sz="8" w:space="0" w:color="auto"/>
              <w:right w:val="single" w:sz="8" w:space="0" w:color="auto"/>
            </w:tcBorders>
            <w:shd w:val="clear" w:color="auto" w:fill="auto"/>
            <w:vAlign w:val="center"/>
            <w:hideMark/>
          </w:tcPr>
          <w:p w14:paraId="5198A649" w14:textId="77777777" w:rsidR="004741D6" w:rsidRPr="00904358" w:rsidRDefault="004741D6" w:rsidP="00D16719">
            <w:pPr>
              <w:jc w:val="both"/>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Costos por préstamos</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68302565" w14:textId="77777777" w:rsidR="004741D6" w:rsidRDefault="004741D6" w:rsidP="00D16719">
            <w:pPr>
              <w:rPr>
                <w:rFonts w:ascii="Arial Narrow" w:eastAsia="Times New Roman" w:hAnsi="Arial Narrow"/>
                <w:b/>
                <w:bCs/>
                <w:color w:val="000000"/>
                <w:sz w:val="22"/>
                <w:szCs w:val="22"/>
                <w:lang w:val="es-CR"/>
              </w:rPr>
            </w:pPr>
            <w:r w:rsidRPr="00904358">
              <w:rPr>
                <w:rFonts w:ascii="Arial Narrow" w:eastAsia="Times New Roman" w:hAnsi="Arial Narrow"/>
                <w:b/>
                <w:bCs/>
                <w:color w:val="000000"/>
                <w:sz w:val="22"/>
                <w:szCs w:val="22"/>
                <w:lang w:val="es-CR"/>
              </w:rPr>
              <w:t xml:space="preserve">NICSP Nº 31, </w:t>
            </w:r>
          </w:p>
          <w:p w14:paraId="07488ED8" w14:textId="77777777" w:rsidR="00651532" w:rsidRDefault="004741D6" w:rsidP="00651532">
            <w:pPr>
              <w:spacing w:after="120"/>
              <w:rPr>
                <w:rFonts w:ascii="Arial Narrow" w:eastAsia="Times New Roman" w:hAnsi="Arial Narrow"/>
                <w:b/>
                <w:bCs/>
                <w:color w:val="000000"/>
                <w:sz w:val="22"/>
                <w:szCs w:val="22"/>
                <w:lang w:val="es-CR"/>
              </w:rPr>
            </w:pPr>
            <w:r w:rsidRPr="00904358">
              <w:rPr>
                <w:rFonts w:ascii="Arial Narrow" w:eastAsia="Times New Roman" w:hAnsi="Arial Narrow"/>
                <w:b/>
                <w:bCs/>
                <w:color w:val="000000"/>
                <w:sz w:val="22"/>
                <w:szCs w:val="22"/>
                <w:lang w:val="es-CR"/>
              </w:rPr>
              <w:t>Párrafo 39.</w:t>
            </w:r>
          </w:p>
          <w:p w14:paraId="1A177C98" w14:textId="0640C8E4" w:rsidR="004741D6" w:rsidRDefault="004741D6" w:rsidP="00651532">
            <w:pPr>
              <w:rPr>
                <w:rFonts w:ascii="Arial Narrow" w:eastAsia="Times New Roman" w:hAnsi="Arial Narrow"/>
                <w:b/>
                <w:bCs/>
                <w:color w:val="000000"/>
                <w:sz w:val="22"/>
                <w:szCs w:val="22"/>
                <w:lang w:val="es-CR"/>
              </w:rPr>
            </w:pPr>
            <w:r w:rsidRPr="00904358">
              <w:rPr>
                <w:rFonts w:ascii="Arial Narrow" w:eastAsia="Times New Roman" w:hAnsi="Arial Narrow"/>
                <w:b/>
                <w:bCs/>
                <w:color w:val="000000"/>
                <w:sz w:val="22"/>
                <w:szCs w:val="22"/>
                <w:lang w:val="es-CR"/>
              </w:rPr>
              <w:t xml:space="preserve">NICSP N° 5, </w:t>
            </w:r>
          </w:p>
          <w:p w14:paraId="12139216" w14:textId="77777777" w:rsidR="004741D6" w:rsidRPr="00904358" w:rsidRDefault="004741D6" w:rsidP="00D16719">
            <w:pPr>
              <w:rPr>
                <w:rFonts w:ascii="Arial Narrow" w:eastAsia="Times New Roman" w:hAnsi="Arial Narrow"/>
                <w:b/>
                <w:bCs/>
                <w:color w:val="000000"/>
                <w:sz w:val="22"/>
                <w:szCs w:val="22"/>
                <w:lang w:val="es-CR"/>
              </w:rPr>
            </w:pPr>
            <w:r w:rsidRPr="00904358">
              <w:rPr>
                <w:rFonts w:ascii="Arial Narrow" w:eastAsia="Times New Roman" w:hAnsi="Arial Narrow"/>
                <w:b/>
                <w:bCs/>
                <w:color w:val="000000"/>
                <w:sz w:val="22"/>
                <w:szCs w:val="22"/>
                <w:lang w:val="es-CR"/>
              </w:rPr>
              <w:t xml:space="preserve">Párrafos 17 y 18.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3D818AE" w14:textId="77777777" w:rsidR="004741D6" w:rsidRPr="00904358" w:rsidRDefault="004741D6" w:rsidP="00D16719">
            <w:pPr>
              <w:jc w:val="center"/>
              <w:rPr>
                <w:rFonts w:ascii="Arial Narrow" w:eastAsia="Times New Roman" w:hAnsi="Arial Narrow"/>
                <w:b/>
                <w:bCs/>
                <w:color w:val="000000"/>
                <w:sz w:val="22"/>
                <w:szCs w:val="22"/>
                <w:lang w:val="es-CR"/>
              </w:rPr>
            </w:pPr>
            <w:r w:rsidRPr="00904358">
              <w:rPr>
                <w:rFonts w:ascii="Arial Narrow" w:eastAsia="Times New Roman" w:hAnsi="Arial Narrow" w:cs="Arial Narrow"/>
                <w:b/>
                <w:bCs/>
                <w:color w:val="000000"/>
                <w:spacing w:val="-4"/>
                <w:sz w:val="22"/>
                <w:szCs w:val="22"/>
                <w:lang w:val="es-CR"/>
              </w:rPr>
              <w:t xml:space="preserve"> </w:t>
            </w:r>
          </w:p>
        </w:tc>
      </w:tr>
      <w:tr w:rsidR="004741D6" w:rsidRPr="00904358" w14:paraId="554831DA" w14:textId="77777777" w:rsidTr="00D16719">
        <w:trPr>
          <w:trHeight w:val="319"/>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43CF8BE6"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lang w:val="es-CR"/>
              </w:rPr>
              <w:t>1</w:t>
            </w:r>
          </w:p>
        </w:tc>
        <w:tc>
          <w:tcPr>
            <w:tcW w:w="517" w:type="dxa"/>
            <w:tcBorders>
              <w:top w:val="nil"/>
              <w:left w:val="nil"/>
              <w:bottom w:val="single" w:sz="8" w:space="0" w:color="auto"/>
              <w:right w:val="single" w:sz="8" w:space="0" w:color="auto"/>
            </w:tcBorders>
            <w:shd w:val="clear" w:color="auto" w:fill="auto"/>
            <w:noWrap/>
            <w:vAlign w:val="center"/>
            <w:hideMark/>
          </w:tcPr>
          <w:p w14:paraId="0C36C41C"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lang w:val="es-CR"/>
              </w:rPr>
              <w:t>238</w:t>
            </w:r>
          </w:p>
        </w:tc>
        <w:tc>
          <w:tcPr>
            <w:tcW w:w="540" w:type="dxa"/>
            <w:tcBorders>
              <w:top w:val="nil"/>
              <w:left w:val="nil"/>
              <w:bottom w:val="single" w:sz="8" w:space="0" w:color="auto"/>
              <w:right w:val="single" w:sz="8" w:space="0" w:color="auto"/>
            </w:tcBorders>
            <w:shd w:val="clear" w:color="auto" w:fill="auto"/>
            <w:vAlign w:val="center"/>
            <w:hideMark/>
          </w:tcPr>
          <w:p w14:paraId="2C0E1993"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1</w:t>
            </w:r>
          </w:p>
        </w:tc>
        <w:tc>
          <w:tcPr>
            <w:tcW w:w="3191" w:type="dxa"/>
            <w:tcBorders>
              <w:top w:val="nil"/>
              <w:left w:val="nil"/>
              <w:bottom w:val="single" w:sz="8" w:space="0" w:color="auto"/>
              <w:right w:val="single" w:sz="8" w:space="0" w:color="auto"/>
            </w:tcBorders>
            <w:shd w:val="clear" w:color="auto" w:fill="auto"/>
            <w:vAlign w:val="center"/>
            <w:hideMark/>
          </w:tcPr>
          <w:p w14:paraId="33F7E71B" w14:textId="77777777" w:rsidR="004741D6" w:rsidRPr="00904358" w:rsidRDefault="004741D6" w:rsidP="00D16719">
            <w:pPr>
              <w:jc w:val="both"/>
              <w:rPr>
                <w:rFonts w:ascii="Arial Narrow" w:eastAsia="Times New Roman" w:hAnsi="Arial Narrow"/>
                <w:b/>
                <w:bCs/>
                <w:color w:val="000000"/>
                <w:sz w:val="22"/>
                <w:szCs w:val="22"/>
                <w:lang w:val="es-CR"/>
              </w:rPr>
            </w:pPr>
            <w:r w:rsidRPr="00904358">
              <w:rPr>
                <w:rFonts w:ascii="Arial Narrow" w:eastAsia="Times New Roman" w:hAnsi="Arial Narrow"/>
                <w:b/>
                <w:bCs/>
                <w:color w:val="000000"/>
                <w:sz w:val="22"/>
                <w:szCs w:val="22"/>
                <w:lang w:val="es-CR"/>
              </w:rPr>
              <w:t>Prohibición de capitalizar costos por préstamos</w:t>
            </w:r>
          </w:p>
        </w:tc>
        <w:tc>
          <w:tcPr>
            <w:tcW w:w="2693" w:type="dxa"/>
            <w:tcBorders>
              <w:top w:val="nil"/>
              <w:left w:val="nil"/>
              <w:bottom w:val="single" w:sz="8" w:space="0" w:color="auto"/>
              <w:right w:val="single" w:sz="8" w:space="0" w:color="auto"/>
            </w:tcBorders>
            <w:shd w:val="clear" w:color="auto" w:fill="auto"/>
            <w:vAlign w:val="center"/>
            <w:hideMark/>
          </w:tcPr>
          <w:p w14:paraId="4869D452" w14:textId="77777777" w:rsidR="004741D6" w:rsidRPr="00904358" w:rsidRDefault="004741D6" w:rsidP="00D16719">
            <w:pPr>
              <w:jc w:val="center"/>
              <w:rPr>
                <w:rFonts w:ascii="Arial Narrow" w:eastAsia="Times New Roman" w:hAnsi="Arial Narrow"/>
                <w:b/>
                <w:bCs/>
                <w:color w:val="000000"/>
                <w:sz w:val="22"/>
                <w:szCs w:val="22"/>
                <w:lang w:val="es-CR"/>
              </w:rPr>
            </w:pPr>
            <w:r w:rsidRPr="00904358">
              <w:rPr>
                <w:rFonts w:ascii="Arial Narrow" w:eastAsia="Times New Roman" w:hAnsi="Arial Narrow"/>
                <w:b/>
                <w:bCs/>
                <w:color w:val="000000"/>
                <w:sz w:val="22"/>
                <w:szCs w:val="22"/>
                <w:lang w:val="es-CR"/>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F031BA4"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DGCN</w:t>
            </w:r>
          </w:p>
        </w:tc>
      </w:tr>
    </w:tbl>
    <w:p w14:paraId="4DAD58C7" w14:textId="77777777" w:rsidR="004741D6" w:rsidRDefault="004741D6" w:rsidP="004741D6">
      <w:pPr>
        <w:spacing w:line="238" w:lineRule="auto"/>
        <w:ind w:left="1134" w:right="260" w:hanging="1134"/>
        <w:jc w:val="both"/>
        <w:rPr>
          <w:rFonts w:ascii="Arial" w:eastAsia="Arial" w:hAnsi="Arial"/>
          <w:b/>
          <w:sz w:val="22"/>
          <w:szCs w:val="22"/>
          <w:lang w:val="es-CR"/>
        </w:rPr>
      </w:pPr>
    </w:p>
    <w:p w14:paraId="1BB052CF" w14:textId="566590FC" w:rsidR="00B46BBC" w:rsidRDefault="00B46BBC" w:rsidP="004741D6">
      <w:pPr>
        <w:spacing w:line="236" w:lineRule="auto"/>
        <w:ind w:left="1134" w:right="280" w:hanging="1134"/>
        <w:jc w:val="both"/>
        <w:rPr>
          <w:rFonts w:ascii="Arial" w:eastAsia="Arial" w:hAnsi="Arial"/>
          <w:b/>
          <w:sz w:val="22"/>
          <w:szCs w:val="22"/>
        </w:rPr>
      </w:pPr>
      <w:r w:rsidRPr="00F02F9D">
        <w:rPr>
          <w:rFonts w:ascii="Arial" w:eastAsia="Arial" w:hAnsi="Arial"/>
          <w:b/>
          <w:sz w:val="22"/>
          <w:szCs w:val="22"/>
        </w:rPr>
        <w:t>Políticas Contables</w:t>
      </w:r>
    </w:p>
    <w:p w14:paraId="0FFF368A" w14:textId="77777777" w:rsidR="00B46BBC" w:rsidRDefault="00B46BBC" w:rsidP="004741D6">
      <w:pPr>
        <w:spacing w:line="236" w:lineRule="auto"/>
        <w:ind w:left="1134" w:right="280" w:hanging="1134"/>
        <w:jc w:val="both"/>
        <w:rPr>
          <w:rFonts w:ascii="Arial" w:eastAsia="Arial" w:hAnsi="Arial"/>
          <w:bCs/>
          <w:sz w:val="22"/>
          <w:szCs w:val="22"/>
          <w:lang w:val="es-CR"/>
        </w:rPr>
      </w:pPr>
    </w:p>
    <w:p w14:paraId="0E33A94E" w14:textId="571D5770"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1.238.0.01</w:t>
      </w:r>
      <w:r>
        <w:rPr>
          <w:rFonts w:ascii="Arial" w:eastAsia="Arial" w:hAnsi="Arial"/>
          <w:bCs/>
          <w:sz w:val="22"/>
          <w:szCs w:val="22"/>
          <w:lang w:val="es-CR"/>
        </w:rPr>
        <w:tab/>
      </w:r>
      <w:r w:rsidRPr="006D3FC4">
        <w:rPr>
          <w:rFonts w:ascii="Arial" w:eastAsia="Arial" w:hAnsi="Arial"/>
          <w:bCs/>
          <w:sz w:val="22"/>
          <w:szCs w:val="22"/>
          <w:lang w:val="es-CR"/>
        </w:rPr>
        <w:t>Cuando el pago por un activo intangible se aplace más allá de los términos normales de las operaciones a crédito, su costo será el equivalente al precio de contado. La diferencia entre este importe y el total de pagos a efectuar se reconocerá como un gasto financiero a lo largo del período del aplazamiento, a menos que se considere dichos gastos directamente atribuibles al costo del activo y se opte por su capitalización.</w:t>
      </w:r>
    </w:p>
    <w:p w14:paraId="27D01AC6" w14:textId="77777777" w:rsidR="00651532" w:rsidRPr="006D3FC4" w:rsidRDefault="00651532" w:rsidP="004741D6">
      <w:pPr>
        <w:spacing w:line="236" w:lineRule="auto"/>
        <w:ind w:left="1134" w:right="280" w:hanging="1134"/>
        <w:jc w:val="both"/>
        <w:rPr>
          <w:rFonts w:ascii="Arial" w:eastAsia="Arial" w:hAnsi="Arial"/>
          <w:bCs/>
          <w:sz w:val="22"/>
          <w:szCs w:val="22"/>
          <w:lang w:val="es-CR"/>
        </w:rPr>
      </w:pPr>
    </w:p>
    <w:p w14:paraId="6EF2D519" w14:textId="77777777" w:rsidR="004741D6" w:rsidRPr="006D3FC4"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1.238.1.01</w:t>
      </w:r>
      <w:r>
        <w:rPr>
          <w:rFonts w:ascii="Arial" w:eastAsia="Arial" w:hAnsi="Arial"/>
          <w:bCs/>
          <w:sz w:val="22"/>
          <w:szCs w:val="22"/>
          <w:lang w:val="es-CR"/>
        </w:rPr>
        <w:tab/>
        <w:t>E</w:t>
      </w:r>
      <w:r w:rsidRPr="006D3FC4">
        <w:rPr>
          <w:rFonts w:ascii="Arial" w:eastAsia="Arial" w:hAnsi="Arial"/>
          <w:bCs/>
          <w:sz w:val="22"/>
          <w:szCs w:val="22"/>
          <w:lang w:val="es-CR"/>
        </w:rPr>
        <w:t xml:space="preserve">n ningún caso se procederá a capitalizar costos por préstamos, por lo que se afectarán íntegramente a los resultados del ejercicio en que se incurran. </w:t>
      </w:r>
    </w:p>
    <w:p w14:paraId="74E61006" w14:textId="77777777" w:rsidR="004741D6" w:rsidRDefault="004741D6" w:rsidP="004741D6">
      <w:pPr>
        <w:spacing w:line="238" w:lineRule="auto"/>
        <w:ind w:left="1134" w:right="260" w:hanging="1134"/>
        <w:jc w:val="both"/>
        <w:rPr>
          <w:rFonts w:ascii="Arial" w:eastAsia="Arial" w:hAnsi="Arial"/>
          <w:b/>
          <w:sz w:val="22"/>
          <w:szCs w:val="22"/>
          <w:lang w:val="es-CR"/>
        </w:rPr>
      </w:pPr>
    </w:p>
    <w:p w14:paraId="39019E68"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61"/>
        <w:gridCol w:w="517"/>
        <w:gridCol w:w="540"/>
        <w:gridCol w:w="3192"/>
        <w:gridCol w:w="2551"/>
        <w:gridCol w:w="1701"/>
      </w:tblGrid>
      <w:tr w:rsidR="004741D6" w:rsidRPr="00904358" w14:paraId="429ABCD5" w14:textId="77777777" w:rsidTr="00D16719">
        <w:trPr>
          <w:trHeight w:val="320"/>
        </w:trPr>
        <w:tc>
          <w:tcPr>
            <w:tcW w:w="161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E26C8BC" w14:textId="77777777" w:rsidR="004741D6" w:rsidRPr="00904358" w:rsidRDefault="004741D6" w:rsidP="00D16719">
            <w:pPr>
              <w:jc w:val="center"/>
              <w:rPr>
                <w:rFonts w:ascii="Arial Narrow" w:eastAsia="Times New Roman" w:hAnsi="Arial Narrow"/>
                <w:b/>
                <w:bCs/>
                <w:color w:val="FFFFFF"/>
                <w:sz w:val="22"/>
                <w:szCs w:val="22"/>
              </w:rPr>
            </w:pPr>
            <w:r w:rsidRPr="00904358">
              <w:rPr>
                <w:rFonts w:ascii="Arial Narrow" w:eastAsia="Times New Roman" w:hAnsi="Arial Narrow"/>
                <w:b/>
                <w:bCs/>
                <w:color w:val="FFFFFF"/>
                <w:sz w:val="22"/>
                <w:szCs w:val="22"/>
              </w:rPr>
              <w:t>Norma / Política</w:t>
            </w:r>
          </w:p>
        </w:tc>
        <w:tc>
          <w:tcPr>
            <w:tcW w:w="31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00EF9CAF" w14:textId="77777777" w:rsidR="004741D6" w:rsidRPr="00904358" w:rsidRDefault="004741D6" w:rsidP="00D16719">
            <w:pPr>
              <w:jc w:val="center"/>
              <w:rPr>
                <w:rFonts w:ascii="Arial Narrow" w:eastAsia="Times New Roman" w:hAnsi="Arial Narrow"/>
                <w:b/>
                <w:bCs/>
                <w:color w:val="FFFFFF"/>
                <w:sz w:val="22"/>
                <w:szCs w:val="22"/>
              </w:rPr>
            </w:pPr>
            <w:r w:rsidRPr="00904358">
              <w:rPr>
                <w:rFonts w:ascii="Arial Narrow" w:eastAsia="Times New Roman" w:hAnsi="Arial Narrow"/>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035A8486" w14:textId="77777777" w:rsidR="004741D6" w:rsidRPr="00904358" w:rsidRDefault="004741D6" w:rsidP="00D16719">
            <w:pPr>
              <w:jc w:val="center"/>
              <w:rPr>
                <w:rFonts w:ascii="Arial Narrow" w:eastAsia="Times New Roman" w:hAnsi="Arial Narrow"/>
                <w:b/>
                <w:bCs/>
                <w:color w:val="FFFFFF"/>
                <w:sz w:val="22"/>
                <w:szCs w:val="22"/>
              </w:rPr>
            </w:pPr>
            <w:r w:rsidRPr="00904358">
              <w:rPr>
                <w:rFonts w:ascii="Arial Narrow" w:eastAsia="Times New Roman" w:hAnsi="Arial Narrow"/>
                <w:b/>
                <w:bCs/>
                <w:color w:val="FFFFFF"/>
                <w:sz w:val="22"/>
                <w:szCs w:val="22"/>
              </w:rPr>
              <w:t>Referencia</w:t>
            </w:r>
          </w:p>
        </w:tc>
      </w:tr>
      <w:tr w:rsidR="004741D6" w:rsidRPr="006E5442" w14:paraId="11A0CEF1" w14:textId="77777777" w:rsidTr="00D16719">
        <w:trPr>
          <w:trHeight w:val="988"/>
        </w:trPr>
        <w:tc>
          <w:tcPr>
            <w:tcW w:w="1618" w:type="dxa"/>
            <w:gridSpan w:val="3"/>
            <w:vMerge/>
            <w:tcBorders>
              <w:top w:val="single" w:sz="8" w:space="0" w:color="auto"/>
              <w:left w:val="single" w:sz="8" w:space="0" w:color="auto"/>
              <w:bottom w:val="nil"/>
              <w:right w:val="single" w:sz="8" w:space="0" w:color="000000"/>
            </w:tcBorders>
            <w:vAlign w:val="center"/>
            <w:hideMark/>
          </w:tcPr>
          <w:p w14:paraId="454B0689" w14:textId="77777777" w:rsidR="004741D6" w:rsidRPr="00904358" w:rsidRDefault="004741D6" w:rsidP="00D16719">
            <w:pPr>
              <w:rPr>
                <w:rFonts w:ascii="Arial Narrow" w:eastAsia="Times New Roman" w:hAnsi="Arial Narrow"/>
                <w:b/>
                <w:bCs/>
                <w:color w:val="FFFFFF"/>
                <w:sz w:val="22"/>
                <w:szCs w:val="22"/>
              </w:rPr>
            </w:pPr>
          </w:p>
        </w:tc>
        <w:tc>
          <w:tcPr>
            <w:tcW w:w="3192" w:type="dxa"/>
            <w:vMerge/>
            <w:tcBorders>
              <w:top w:val="single" w:sz="8" w:space="0" w:color="auto"/>
              <w:left w:val="single" w:sz="8" w:space="0" w:color="auto"/>
              <w:bottom w:val="nil"/>
              <w:right w:val="single" w:sz="8" w:space="0" w:color="auto"/>
            </w:tcBorders>
            <w:vAlign w:val="center"/>
            <w:hideMark/>
          </w:tcPr>
          <w:p w14:paraId="6A469779" w14:textId="77777777" w:rsidR="004741D6" w:rsidRPr="00904358" w:rsidRDefault="004741D6" w:rsidP="00D16719">
            <w:pPr>
              <w:rPr>
                <w:rFonts w:ascii="Arial Narrow" w:eastAsia="Times New Roman" w:hAnsi="Arial Narrow"/>
                <w:b/>
                <w:bCs/>
                <w:color w:val="FFFFFF"/>
                <w:sz w:val="22"/>
                <w:szCs w:val="22"/>
              </w:rPr>
            </w:pPr>
          </w:p>
        </w:tc>
        <w:tc>
          <w:tcPr>
            <w:tcW w:w="2551" w:type="dxa"/>
            <w:tcBorders>
              <w:top w:val="nil"/>
              <w:left w:val="nil"/>
              <w:bottom w:val="nil"/>
              <w:right w:val="single" w:sz="8" w:space="0" w:color="auto"/>
            </w:tcBorders>
            <w:shd w:val="clear" w:color="000000" w:fill="203764"/>
            <w:vAlign w:val="center"/>
            <w:hideMark/>
          </w:tcPr>
          <w:p w14:paraId="312DF7C4" w14:textId="77777777" w:rsidR="004741D6" w:rsidRPr="00904358" w:rsidRDefault="004741D6" w:rsidP="00D16719">
            <w:pPr>
              <w:jc w:val="center"/>
              <w:rPr>
                <w:rFonts w:ascii="Arial Narrow" w:eastAsia="Times New Roman" w:hAnsi="Arial Narrow"/>
                <w:b/>
                <w:bCs/>
                <w:color w:val="FFFFFF"/>
                <w:sz w:val="22"/>
                <w:szCs w:val="22"/>
              </w:rPr>
            </w:pPr>
            <w:r w:rsidRPr="00904358">
              <w:rPr>
                <w:rFonts w:ascii="Arial Narrow" w:eastAsia="Times New Roman" w:hAnsi="Arial Narrow"/>
                <w:b/>
                <w:bCs/>
                <w:color w:val="FFFFFF"/>
                <w:sz w:val="22"/>
                <w:szCs w:val="22"/>
              </w:rPr>
              <w:t>Norma</w:t>
            </w:r>
          </w:p>
        </w:tc>
        <w:tc>
          <w:tcPr>
            <w:tcW w:w="1701" w:type="dxa"/>
            <w:tcBorders>
              <w:top w:val="nil"/>
              <w:left w:val="nil"/>
              <w:bottom w:val="nil"/>
              <w:right w:val="single" w:sz="8" w:space="0" w:color="auto"/>
            </w:tcBorders>
            <w:shd w:val="clear" w:color="000000" w:fill="203764"/>
            <w:vAlign w:val="center"/>
            <w:hideMark/>
          </w:tcPr>
          <w:p w14:paraId="4B86E8E1" w14:textId="77777777" w:rsidR="004741D6" w:rsidRPr="00904358" w:rsidRDefault="004741D6" w:rsidP="00D16719">
            <w:pPr>
              <w:jc w:val="center"/>
              <w:rPr>
                <w:rFonts w:ascii="Arial Narrow" w:eastAsia="Times New Roman" w:hAnsi="Arial Narrow"/>
                <w:b/>
                <w:bCs/>
                <w:color w:val="FFFFFF"/>
                <w:sz w:val="22"/>
                <w:szCs w:val="22"/>
                <w:lang w:val="es-CR"/>
              </w:rPr>
            </w:pPr>
            <w:r w:rsidRPr="00904358">
              <w:rPr>
                <w:rFonts w:ascii="Arial Narrow" w:eastAsia="Times New Roman" w:hAnsi="Arial Narrow"/>
                <w:b/>
                <w:bCs/>
                <w:color w:val="FFFFFF"/>
                <w:sz w:val="22"/>
                <w:szCs w:val="22"/>
                <w:lang w:val="es-CR"/>
              </w:rPr>
              <w:t>Normativa técnica y disposiciones adicionales</w:t>
            </w:r>
          </w:p>
        </w:tc>
      </w:tr>
      <w:tr w:rsidR="004741D6" w:rsidRPr="00904358" w14:paraId="328385BB" w14:textId="77777777" w:rsidTr="00D16719">
        <w:trPr>
          <w:trHeight w:val="567"/>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2FA6CD"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cs="Arial Narrow"/>
                <w:b/>
                <w:bCs/>
                <w:color w:val="000000"/>
                <w:spacing w:val="-10"/>
                <w:sz w:val="22"/>
                <w:szCs w:val="22"/>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7C1EE999"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cs="Arial Narrow"/>
                <w:b/>
                <w:bCs/>
                <w:color w:val="000000"/>
                <w:spacing w:val="-4"/>
                <w:sz w:val="22"/>
                <w:szCs w:val="22"/>
              </w:rPr>
              <w:t>23</w:t>
            </w:r>
            <w:r>
              <w:rPr>
                <w:rFonts w:ascii="Arial Narrow" w:eastAsia="Times New Roman" w:hAnsi="Arial Narrow" w:cs="Arial Narrow"/>
                <w:b/>
                <w:bCs/>
                <w:color w:val="000000"/>
                <w:spacing w:val="-4"/>
                <w:sz w:val="22"/>
                <w:szCs w:val="22"/>
              </w:rPr>
              <w:t>9</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8F49EB3"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 </w:t>
            </w:r>
          </w:p>
        </w:tc>
        <w:tc>
          <w:tcPr>
            <w:tcW w:w="3192" w:type="dxa"/>
            <w:tcBorders>
              <w:top w:val="single" w:sz="8" w:space="0" w:color="auto"/>
              <w:left w:val="nil"/>
              <w:bottom w:val="single" w:sz="8" w:space="0" w:color="auto"/>
              <w:right w:val="single" w:sz="8" w:space="0" w:color="auto"/>
            </w:tcBorders>
            <w:shd w:val="clear" w:color="auto" w:fill="auto"/>
            <w:vAlign w:val="center"/>
            <w:hideMark/>
          </w:tcPr>
          <w:p w14:paraId="6B790647" w14:textId="77777777" w:rsidR="004741D6" w:rsidRPr="00904358" w:rsidRDefault="004741D6" w:rsidP="00D16719">
            <w:pPr>
              <w:jc w:val="both"/>
              <w:rPr>
                <w:rFonts w:ascii="Arial Narrow" w:eastAsia="Times New Roman" w:hAnsi="Arial Narrow"/>
                <w:b/>
                <w:bCs/>
                <w:color w:val="000000"/>
                <w:sz w:val="22"/>
                <w:szCs w:val="22"/>
                <w:lang w:val="es-CR"/>
              </w:rPr>
            </w:pPr>
            <w:r w:rsidRPr="00904358">
              <w:rPr>
                <w:rFonts w:ascii="Arial Narrow" w:eastAsia="Times New Roman" w:hAnsi="Arial Narrow"/>
                <w:b/>
                <w:bCs/>
                <w:color w:val="000000"/>
                <w:sz w:val="22"/>
                <w:szCs w:val="22"/>
                <w:lang w:val="es-CR"/>
              </w:rPr>
              <w:t>Costo de un activo intangible generado internamente.</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1CF2B60D" w14:textId="77777777" w:rsidR="004741D6" w:rsidRDefault="004741D6" w:rsidP="00651532">
            <w:pPr>
              <w:jc w:val="both"/>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NICSP Nº 31</w:t>
            </w:r>
            <w:r>
              <w:rPr>
                <w:rFonts w:ascii="Arial Narrow" w:eastAsia="Times New Roman" w:hAnsi="Arial Narrow"/>
                <w:b/>
                <w:bCs/>
                <w:color w:val="000000"/>
                <w:sz w:val="22"/>
                <w:szCs w:val="22"/>
              </w:rPr>
              <w:t>,</w:t>
            </w:r>
          </w:p>
          <w:p w14:paraId="263EC5B3" w14:textId="77777777" w:rsidR="004741D6" w:rsidRPr="00904358" w:rsidRDefault="004741D6" w:rsidP="00651532">
            <w:pPr>
              <w:jc w:val="both"/>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Párrafos 63 y 64.</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133279D"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cs="Arial Narrow"/>
                <w:b/>
                <w:bCs/>
                <w:color w:val="000000"/>
                <w:spacing w:val="-4"/>
                <w:sz w:val="22"/>
                <w:szCs w:val="22"/>
              </w:rPr>
              <w:t xml:space="preserve"> </w:t>
            </w:r>
          </w:p>
        </w:tc>
      </w:tr>
      <w:tr w:rsidR="004741D6" w:rsidRPr="00904358" w14:paraId="6C4F63C8" w14:textId="77777777" w:rsidTr="00D16719">
        <w:trPr>
          <w:trHeight w:val="40"/>
        </w:trPr>
        <w:tc>
          <w:tcPr>
            <w:tcW w:w="561" w:type="dxa"/>
            <w:tcBorders>
              <w:top w:val="nil"/>
              <w:left w:val="single" w:sz="8" w:space="0" w:color="auto"/>
              <w:bottom w:val="single" w:sz="8" w:space="0" w:color="auto"/>
              <w:right w:val="single" w:sz="8" w:space="0" w:color="auto"/>
            </w:tcBorders>
            <w:shd w:val="clear" w:color="auto" w:fill="auto"/>
            <w:vAlign w:val="center"/>
            <w:hideMark/>
          </w:tcPr>
          <w:p w14:paraId="7AAE2CA6"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lang w:val="es-CR"/>
              </w:rPr>
              <w:t>1</w:t>
            </w:r>
          </w:p>
        </w:tc>
        <w:tc>
          <w:tcPr>
            <w:tcW w:w="517" w:type="dxa"/>
            <w:tcBorders>
              <w:top w:val="nil"/>
              <w:left w:val="nil"/>
              <w:bottom w:val="single" w:sz="8" w:space="0" w:color="auto"/>
              <w:right w:val="single" w:sz="8" w:space="0" w:color="auto"/>
            </w:tcBorders>
            <w:shd w:val="clear" w:color="auto" w:fill="auto"/>
            <w:noWrap/>
            <w:vAlign w:val="center"/>
            <w:hideMark/>
          </w:tcPr>
          <w:p w14:paraId="06F3D4B8"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lang w:val="es-CR"/>
              </w:rPr>
              <w:t>23</w:t>
            </w:r>
            <w:r>
              <w:rPr>
                <w:rFonts w:ascii="Arial Narrow" w:eastAsia="Times New Roman" w:hAnsi="Arial Narrow"/>
                <w:b/>
                <w:bCs/>
                <w:color w:val="000000"/>
                <w:sz w:val="22"/>
                <w:szCs w:val="22"/>
                <w:lang w:val="es-CR"/>
              </w:rPr>
              <w:t>9</w:t>
            </w:r>
          </w:p>
        </w:tc>
        <w:tc>
          <w:tcPr>
            <w:tcW w:w="540" w:type="dxa"/>
            <w:tcBorders>
              <w:top w:val="nil"/>
              <w:left w:val="nil"/>
              <w:bottom w:val="single" w:sz="8" w:space="0" w:color="auto"/>
              <w:right w:val="single" w:sz="8" w:space="0" w:color="auto"/>
            </w:tcBorders>
            <w:shd w:val="clear" w:color="auto" w:fill="auto"/>
            <w:vAlign w:val="center"/>
            <w:hideMark/>
          </w:tcPr>
          <w:p w14:paraId="5334466C"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1</w:t>
            </w:r>
          </w:p>
        </w:tc>
        <w:tc>
          <w:tcPr>
            <w:tcW w:w="3192" w:type="dxa"/>
            <w:tcBorders>
              <w:top w:val="nil"/>
              <w:left w:val="nil"/>
              <w:bottom w:val="single" w:sz="8" w:space="0" w:color="auto"/>
              <w:right w:val="single" w:sz="8" w:space="0" w:color="auto"/>
            </w:tcBorders>
            <w:shd w:val="clear" w:color="auto" w:fill="auto"/>
            <w:vAlign w:val="center"/>
            <w:hideMark/>
          </w:tcPr>
          <w:p w14:paraId="177E8430" w14:textId="77777777" w:rsidR="004741D6" w:rsidRPr="00904358" w:rsidRDefault="004741D6" w:rsidP="00D16719">
            <w:pPr>
              <w:jc w:val="both"/>
              <w:rPr>
                <w:rFonts w:ascii="Arial Narrow" w:eastAsia="Times New Roman" w:hAnsi="Arial Narrow"/>
                <w:b/>
                <w:bCs/>
                <w:color w:val="000000"/>
                <w:sz w:val="22"/>
                <w:szCs w:val="22"/>
                <w:lang w:val="es-CR"/>
              </w:rPr>
            </w:pPr>
            <w:r w:rsidRPr="00904358">
              <w:rPr>
                <w:rFonts w:ascii="Arial Narrow" w:eastAsia="Times New Roman" w:hAnsi="Arial Narrow"/>
                <w:b/>
                <w:bCs/>
                <w:color w:val="000000"/>
                <w:sz w:val="22"/>
                <w:szCs w:val="22"/>
                <w:lang w:val="es-CR"/>
              </w:rPr>
              <w:t>Conceptos que no forman parte del costo</w:t>
            </w:r>
          </w:p>
        </w:tc>
        <w:tc>
          <w:tcPr>
            <w:tcW w:w="2551" w:type="dxa"/>
            <w:tcBorders>
              <w:top w:val="nil"/>
              <w:left w:val="nil"/>
              <w:bottom w:val="single" w:sz="8" w:space="0" w:color="auto"/>
              <w:right w:val="single" w:sz="8" w:space="0" w:color="auto"/>
            </w:tcBorders>
            <w:shd w:val="clear" w:color="auto" w:fill="auto"/>
            <w:vAlign w:val="center"/>
            <w:hideMark/>
          </w:tcPr>
          <w:p w14:paraId="6BA1EEF1" w14:textId="77777777" w:rsidR="004741D6" w:rsidRDefault="004741D6" w:rsidP="00651532">
            <w:pPr>
              <w:jc w:val="both"/>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 xml:space="preserve">NICSP Nº 31, </w:t>
            </w:r>
          </w:p>
          <w:p w14:paraId="3E5874A9" w14:textId="77777777" w:rsidR="004741D6" w:rsidRPr="00904358" w:rsidRDefault="004741D6" w:rsidP="00651532">
            <w:pPr>
              <w:jc w:val="both"/>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 xml:space="preserve">Párrafo 65. </w:t>
            </w:r>
          </w:p>
        </w:tc>
        <w:tc>
          <w:tcPr>
            <w:tcW w:w="1701" w:type="dxa"/>
            <w:tcBorders>
              <w:top w:val="nil"/>
              <w:left w:val="nil"/>
              <w:bottom w:val="single" w:sz="8" w:space="0" w:color="auto"/>
              <w:right w:val="single" w:sz="8" w:space="0" w:color="auto"/>
            </w:tcBorders>
            <w:shd w:val="clear" w:color="auto" w:fill="auto"/>
            <w:vAlign w:val="center"/>
            <w:hideMark/>
          </w:tcPr>
          <w:p w14:paraId="62803A74" w14:textId="77777777" w:rsidR="004741D6" w:rsidRPr="00904358" w:rsidRDefault="004741D6" w:rsidP="00D16719">
            <w:pPr>
              <w:jc w:val="center"/>
              <w:rPr>
                <w:rFonts w:ascii="Arial Narrow" w:eastAsia="Times New Roman" w:hAnsi="Arial Narrow"/>
                <w:b/>
                <w:bCs/>
                <w:color w:val="000000"/>
                <w:sz w:val="22"/>
                <w:szCs w:val="22"/>
              </w:rPr>
            </w:pPr>
            <w:r w:rsidRPr="00904358">
              <w:rPr>
                <w:rFonts w:ascii="Arial Narrow" w:eastAsia="Times New Roman" w:hAnsi="Arial Narrow"/>
                <w:b/>
                <w:bCs/>
                <w:color w:val="000000"/>
                <w:sz w:val="22"/>
                <w:szCs w:val="22"/>
              </w:rPr>
              <w:t xml:space="preserve"> </w:t>
            </w:r>
          </w:p>
        </w:tc>
      </w:tr>
    </w:tbl>
    <w:p w14:paraId="3CB3E239" w14:textId="77777777" w:rsidR="004741D6" w:rsidRDefault="004741D6" w:rsidP="004741D6">
      <w:pPr>
        <w:spacing w:line="238" w:lineRule="auto"/>
        <w:ind w:left="1134" w:right="260" w:hanging="1134"/>
        <w:jc w:val="both"/>
        <w:rPr>
          <w:rFonts w:ascii="Arial" w:eastAsia="Arial" w:hAnsi="Arial"/>
          <w:b/>
          <w:sz w:val="22"/>
          <w:szCs w:val="22"/>
          <w:lang w:val="es-CR"/>
        </w:rPr>
      </w:pPr>
    </w:p>
    <w:p w14:paraId="312B9B5A" w14:textId="70F38E61" w:rsidR="00B46BBC" w:rsidRDefault="00B46BBC"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227CB32A" w14:textId="77777777" w:rsidR="00B46BBC" w:rsidRDefault="00B46BBC" w:rsidP="004741D6">
      <w:pPr>
        <w:spacing w:line="238" w:lineRule="auto"/>
        <w:ind w:left="1134" w:right="260" w:hanging="1134"/>
        <w:jc w:val="both"/>
        <w:rPr>
          <w:rFonts w:ascii="Arial" w:eastAsia="Arial" w:hAnsi="Arial"/>
          <w:b/>
          <w:sz w:val="22"/>
          <w:szCs w:val="22"/>
          <w:lang w:val="es-CR"/>
        </w:rPr>
      </w:pPr>
    </w:p>
    <w:p w14:paraId="5BFA7434" w14:textId="347D9F8F"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1.239.0.01</w:t>
      </w:r>
      <w:r>
        <w:rPr>
          <w:rFonts w:ascii="Arial" w:eastAsia="Arial" w:hAnsi="Arial"/>
          <w:bCs/>
          <w:sz w:val="22"/>
          <w:szCs w:val="22"/>
          <w:lang w:val="es-CR"/>
        </w:rPr>
        <w:tab/>
      </w:r>
      <w:r w:rsidRPr="00A87887">
        <w:rPr>
          <w:rFonts w:ascii="Arial" w:eastAsia="Arial" w:hAnsi="Arial"/>
          <w:bCs/>
          <w:sz w:val="22"/>
          <w:szCs w:val="22"/>
          <w:lang w:val="es-CR"/>
        </w:rPr>
        <w:t xml:space="preserve">En la </w:t>
      </w:r>
      <w:r w:rsidR="000F29DC">
        <w:rPr>
          <w:rFonts w:ascii="Arial" w:eastAsia="Arial" w:hAnsi="Arial"/>
          <w:bCs/>
          <w:sz w:val="22"/>
          <w:szCs w:val="22"/>
          <w:lang w:val="es-CR"/>
        </w:rPr>
        <w:t>MBA</w:t>
      </w:r>
      <w:r w:rsidRPr="00A87887">
        <w:rPr>
          <w:rFonts w:ascii="Arial" w:eastAsia="Arial" w:hAnsi="Arial"/>
          <w:bCs/>
          <w:sz w:val="22"/>
          <w:szCs w:val="22"/>
          <w:lang w:val="es-CR"/>
        </w:rPr>
        <w:t xml:space="preserve"> el costo de un activo intangible generado internamente será la suma de los </w:t>
      </w:r>
      <w:r w:rsidR="0021354A" w:rsidRPr="00A87887">
        <w:rPr>
          <w:rFonts w:ascii="Arial" w:eastAsia="Arial" w:hAnsi="Arial"/>
          <w:bCs/>
          <w:sz w:val="22"/>
          <w:szCs w:val="22"/>
          <w:lang w:val="es-CR"/>
        </w:rPr>
        <w:t>dese</w:t>
      </w:r>
      <w:r w:rsidR="0021354A">
        <w:rPr>
          <w:rFonts w:ascii="Arial" w:eastAsia="Arial" w:hAnsi="Arial"/>
          <w:bCs/>
          <w:sz w:val="22"/>
          <w:szCs w:val="22"/>
          <w:lang w:val="es-CR"/>
        </w:rPr>
        <w:t>mbo</w:t>
      </w:r>
      <w:r w:rsidR="0021354A" w:rsidRPr="00A87887">
        <w:rPr>
          <w:rFonts w:ascii="Arial" w:eastAsia="Arial" w:hAnsi="Arial"/>
          <w:bCs/>
          <w:sz w:val="22"/>
          <w:szCs w:val="22"/>
          <w:lang w:val="es-CR"/>
        </w:rPr>
        <w:t>lsos</w:t>
      </w:r>
      <w:r w:rsidRPr="00A87887">
        <w:rPr>
          <w:rFonts w:ascii="Arial" w:eastAsia="Arial" w:hAnsi="Arial"/>
          <w:bCs/>
          <w:sz w:val="22"/>
          <w:szCs w:val="22"/>
          <w:lang w:val="es-CR"/>
        </w:rPr>
        <w:t xml:space="preserve"> incurridos </w:t>
      </w:r>
      <w:r>
        <w:rPr>
          <w:rFonts w:ascii="Arial" w:eastAsia="Arial" w:hAnsi="Arial"/>
          <w:bCs/>
          <w:sz w:val="22"/>
          <w:szCs w:val="22"/>
          <w:lang w:val="es-CR"/>
        </w:rPr>
        <w:t>hasta</w:t>
      </w:r>
      <w:r w:rsidRPr="00A87887">
        <w:rPr>
          <w:rFonts w:ascii="Arial" w:eastAsia="Arial" w:hAnsi="Arial"/>
          <w:bCs/>
          <w:sz w:val="22"/>
          <w:szCs w:val="22"/>
          <w:lang w:val="es-CR"/>
        </w:rPr>
        <w:t xml:space="preserve"> la fecha en que el activo intangible cumple las condiciones para su reconocimiento, comprendiendo todos los costos directamente atribuibles necesarios para crear, producir y preparar el activo para que pueda operar de la forma prevista, como son:</w:t>
      </w:r>
    </w:p>
    <w:p w14:paraId="74EF622A" w14:textId="77777777" w:rsidR="00B46BBC" w:rsidRPr="00A87887" w:rsidRDefault="00B46BBC" w:rsidP="004741D6">
      <w:pPr>
        <w:spacing w:line="236" w:lineRule="auto"/>
        <w:ind w:left="1134" w:right="280" w:hanging="1134"/>
        <w:jc w:val="both"/>
        <w:rPr>
          <w:rFonts w:ascii="Arial" w:eastAsia="Arial" w:hAnsi="Arial"/>
          <w:bCs/>
          <w:sz w:val="22"/>
          <w:szCs w:val="22"/>
          <w:lang w:val="es-CR"/>
        </w:rPr>
      </w:pPr>
    </w:p>
    <w:p w14:paraId="3248E461" w14:textId="77777777" w:rsidR="004741D6" w:rsidRPr="00A87887" w:rsidRDefault="004741D6" w:rsidP="00B46BBC">
      <w:pPr>
        <w:numPr>
          <w:ilvl w:val="0"/>
          <w:numId w:val="102"/>
        </w:numPr>
        <w:spacing w:after="120"/>
        <w:ind w:left="1418" w:right="260" w:hanging="284"/>
        <w:jc w:val="both"/>
        <w:rPr>
          <w:rFonts w:ascii="Arial" w:eastAsia="Arial" w:hAnsi="Arial"/>
          <w:bCs/>
          <w:sz w:val="22"/>
          <w:szCs w:val="22"/>
          <w:lang w:val="es-CR"/>
        </w:rPr>
      </w:pPr>
      <w:r w:rsidRPr="00A87887">
        <w:rPr>
          <w:rFonts w:ascii="Arial" w:eastAsia="Arial" w:hAnsi="Arial"/>
          <w:bCs/>
          <w:sz w:val="22"/>
          <w:szCs w:val="22"/>
          <w:lang w:val="es-CR"/>
        </w:rPr>
        <w:t>Los costos de materiales y servicios utilizados o consumidos en la generación del activo intangible.</w:t>
      </w:r>
    </w:p>
    <w:p w14:paraId="316E2FE3" w14:textId="77777777" w:rsidR="004741D6" w:rsidRPr="00A87887" w:rsidRDefault="004741D6" w:rsidP="00B46BBC">
      <w:pPr>
        <w:numPr>
          <w:ilvl w:val="0"/>
          <w:numId w:val="102"/>
        </w:numPr>
        <w:spacing w:after="120"/>
        <w:ind w:left="1418" w:hanging="284"/>
        <w:jc w:val="both"/>
        <w:rPr>
          <w:rFonts w:ascii="Arial" w:eastAsia="Arial" w:hAnsi="Arial"/>
          <w:bCs/>
          <w:sz w:val="22"/>
          <w:szCs w:val="22"/>
          <w:lang w:val="es-CR"/>
        </w:rPr>
      </w:pPr>
      <w:r w:rsidRPr="00A87887">
        <w:rPr>
          <w:rFonts w:ascii="Arial" w:eastAsia="Arial" w:hAnsi="Arial"/>
          <w:bCs/>
          <w:sz w:val="22"/>
          <w:szCs w:val="22"/>
          <w:lang w:val="es-CR"/>
        </w:rPr>
        <w:t>Los honorarios para registrar los derechos legales.</w:t>
      </w:r>
    </w:p>
    <w:p w14:paraId="6B2FD85A" w14:textId="77777777" w:rsidR="004741D6" w:rsidRPr="00A87887" w:rsidRDefault="004741D6" w:rsidP="004741D6">
      <w:pPr>
        <w:spacing w:line="9" w:lineRule="exact"/>
        <w:ind w:left="1418" w:hanging="284"/>
        <w:rPr>
          <w:rFonts w:ascii="Arial" w:eastAsia="Arial" w:hAnsi="Arial"/>
          <w:bCs/>
          <w:sz w:val="22"/>
          <w:szCs w:val="22"/>
          <w:lang w:val="es-CR"/>
        </w:rPr>
      </w:pPr>
    </w:p>
    <w:p w14:paraId="258BDA13" w14:textId="77777777" w:rsidR="004741D6" w:rsidRPr="00A87887" w:rsidRDefault="004741D6">
      <w:pPr>
        <w:numPr>
          <w:ilvl w:val="0"/>
          <w:numId w:val="102"/>
        </w:numPr>
        <w:spacing w:line="236" w:lineRule="auto"/>
        <w:ind w:left="1418" w:right="280" w:hanging="284"/>
        <w:jc w:val="both"/>
        <w:rPr>
          <w:rFonts w:ascii="Arial" w:eastAsia="Arial" w:hAnsi="Arial"/>
          <w:bCs/>
          <w:sz w:val="22"/>
          <w:szCs w:val="22"/>
          <w:lang w:val="es-CR"/>
        </w:rPr>
      </w:pPr>
      <w:r w:rsidRPr="00A87887">
        <w:rPr>
          <w:rFonts w:ascii="Arial" w:eastAsia="Arial" w:hAnsi="Arial"/>
          <w:bCs/>
          <w:sz w:val="22"/>
          <w:szCs w:val="22"/>
          <w:lang w:val="es-CR"/>
        </w:rPr>
        <w:t>La amortización de patentes y licencias que se utilizan para generar activos intangibles.</w:t>
      </w:r>
    </w:p>
    <w:p w14:paraId="0139DB9B" w14:textId="77777777" w:rsidR="004741D6" w:rsidRPr="00955DCE" w:rsidRDefault="004741D6" w:rsidP="004741D6">
      <w:pPr>
        <w:spacing w:line="0" w:lineRule="atLeast"/>
        <w:ind w:left="740"/>
        <w:rPr>
          <w:rFonts w:ascii="Times New Roman" w:eastAsia="Times New Roman" w:hAnsi="Times New Roman"/>
          <w:lang w:val="es-CR"/>
        </w:rPr>
      </w:pPr>
    </w:p>
    <w:p w14:paraId="23AA6E7A"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1.239.1.01</w:t>
      </w:r>
      <w:r>
        <w:rPr>
          <w:rFonts w:ascii="Arial" w:eastAsia="Arial" w:hAnsi="Arial"/>
          <w:bCs/>
          <w:sz w:val="22"/>
          <w:szCs w:val="22"/>
          <w:lang w:val="es-CR"/>
        </w:rPr>
        <w:tab/>
      </w:r>
      <w:r w:rsidRPr="00A87887">
        <w:rPr>
          <w:rFonts w:ascii="Arial" w:eastAsia="Arial" w:hAnsi="Arial"/>
          <w:bCs/>
          <w:sz w:val="22"/>
          <w:szCs w:val="22"/>
          <w:lang w:val="es-CR"/>
        </w:rPr>
        <w:t>No formarán parte del costo de los activos intangibles generados internamente:</w:t>
      </w:r>
    </w:p>
    <w:p w14:paraId="2711B6AE" w14:textId="77777777" w:rsidR="00B46BBC" w:rsidRPr="00A87887" w:rsidRDefault="00B46BBC" w:rsidP="004741D6">
      <w:pPr>
        <w:spacing w:line="236" w:lineRule="auto"/>
        <w:ind w:left="1134" w:right="280" w:hanging="1134"/>
        <w:jc w:val="both"/>
        <w:rPr>
          <w:rFonts w:ascii="Arial" w:eastAsia="Arial" w:hAnsi="Arial"/>
          <w:bCs/>
          <w:sz w:val="22"/>
          <w:szCs w:val="22"/>
          <w:lang w:val="es-CR"/>
        </w:rPr>
      </w:pPr>
    </w:p>
    <w:p w14:paraId="753EF612" w14:textId="12586DBE" w:rsidR="004741D6" w:rsidRPr="00B46BBC" w:rsidRDefault="004741D6" w:rsidP="00B46BBC">
      <w:pPr>
        <w:pStyle w:val="Prrafodelista"/>
        <w:numPr>
          <w:ilvl w:val="0"/>
          <w:numId w:val="103"/>
        </w:numPr>
        <w:spacing w:after="120"/>
        <w:ind w:left="1418" w:right="260" w:hanging="284"/>
        <w:contextualSpacing w:val="0"/>
        <w:jc w:val="both"/>
        <w:rPr>
          <w:rFonts w:ascii="Arial" w:eastAsia="Arial" w:hAnsi="Arial"/>
          <w:bCs/>
          <w:sz w:val="22"/>
          <w:szCs w:val="22"/>
          <w:lang w:val="es-CR"/>
        </w:rPr>
      </w:pPr>
      <w:r w:rsidRPr="00A87887">
        <w:rPr>
          <w:rFonts w:ascii="Arial" w:eastAsia="Arial" w:hAnsi="Arial"/>
          <w:bCs/>
          <w:sz w:val="22"/>
          <w:szCs w:val="22"/>
          <w:lang w:val="es-CR"/>
        </w:rPr>
        <w:t xml:space="preserve">Los </w:t>
      </w:r>
      <w:r w:rsidR="0021354A" w:rsidRPr="00A87887">
        <w:rPr>
          <w:rFonts w:ascii="Arial" w:eastAsia="Arial" w:hAnsi="Arial"/>
          <w:bCs/>
          <w:sz w:val="22"/>
          <w:szCs w:val="22"/>
          <w:lang w:val="es-CR"/>
        </w:rPr>
        <w:t>dese</w:t>
      </w:r>
      <w:r w:rsidR="0021354A">
        <w:rPr>
          <w:rFonts w:ascii="Arial" w:eastAsia="Arial" w:hAnsi="Arial"/>
          <w:bCs/>
          <w:sz w:val="22"/>
          <w:szCs w:val="22"/>
          <w:lang w:val="es-CR"/>
        </w:rPr>
        <w:t>mbo</w:t>
      </w:r>
      <w:r w:rsidR="0021354A" w:rsidRPr="00A87887">
        <w:rPr>
          <w:rFonts w:ascii="Arial" w:eastAsia="Arial" w:hAnsi="Arial"/>
          <w:bCs/>
          <w:sz w:val="22"/>
          <w:szCs w:val="22"/>
          <w:lang w:val="es-CR"/>
        </w:rPr>
        <w:t>lsos</w:t>
      </w:r>
      <w:r w:rsidRPr="00A87887">
        <w:rPr>
          <w:rFonts w:ascii="Arial" w:eastAsia="Arial" w:hAnsi="Arial"/>
          <w:bCs/>
          <w:sz w:val="22"/>
          <w:szCs w:val="22"/>
          <w:lang w:val="es-CR"/>
        </w:rPr>
        <w:t xml:space="preserve"> administrativos, de venta u otros gastos indirectos de carácter general, que </w:t>
      </w:r>
      <w:r>
        <w:rPr>
          <w:rFonts w:ascii="Arial" w:eastAsia="Arial" w:hAnsi="Arial"/>
          <w:bCs/>
          <w:sz w:val="22"/>
          <w:szCs w:val="22"/>
          <w:lang w:val="es-CR"/>
        </w:rPr>
        <w:t xml:space="preserve">no sean </w:t>
      </w:r>
      <w:r w:rsidRPr="00A87887">
        <w:rPr>
          <w:rFonts w:ascii="Arial" w:eastAsia="Arial" w:hAnsi="Arial"/>
          <w:bCs/>
          <w:sz w:val="22"/>
          <w:szCs w:val="22"/>
          <w:lang w:val="es-CR"/>
        </w:rPr>
        <w:t>directamente atribuido</w:t>
      </w:r>
      <w:r>
        <w:rPr>
          <w:rFonts w:ascii="Arial" w:eastAsia="Arial" w:hAnsi="Arial"/>
          <w:bCs/>
          <w:sz w:val="22"/>
          <w:szCs w:val="22"/>
          <w:lang w:val="es-CR"/>
        </w:rPr>
        <w:t>s</w:t>
      </w:r>
      <w:r w:rsidRPr="00A87887">
        <w:rPr>
          <w:rFonts w:ascii="Arial" w:eastAsia="Arial" w:hAnsi="Arial"/>
          <w:bCs/>
          <w:sz w:val="22"/>
          <w:szCs w:val="22"/>
          <w:lang w:val="es-CR"/>
        </w:rPr>
        <w:t xml:space="preserve"> a la preparación del activo para su uso.</w:t>
      </w:r>
    </w:p>
    <w:p w14:paraId="0B7318E9" w14:textId="77777777" w:rsidR="004741D6" w:rsidRPr="00A87887" w:rsidRDefault="004741D6" w:rsidP="00B46BBC">
      <w:pPr>
        <w:pStyle w:val="Prrafodelista"/>
        <w:numPr>
          <w:ilvl w:val="0"/>
          <w:numId w:val="103"/>
        </w:numPr>
        <w:spacing w:after="120"/>
        <w:ind w:left="1418" w:right="280" w:hanging="284"/>
        <w:contextualSpacing w:val="0"/>
        <w:jc w:val="both"/>
        <w:rPr>
          <w:rFonts w:ascii="Arial" w:eastAsia="Arial" w:hAnsi="Arial"/>
          <w:bCs/>
          <w:sz w:val="22"/>
          <w:szCs w:val="22"/>
          <w:lang w:val="es-CR"/>
        </w:rPr>
      </w:pPr>
      <w:r w:rsidRPr="00A87887">
        <w:rPr>
          <w:rFonts w:ascii="Arial" w:eastAsia="Arial" w:hAnsi="Arial"/>
          <w:bCs/>
          <w:sz w:val="22"/>
          <w:szCs w:val="22"/>
          <w:lang w:val="es-CR"/>
        </w:rPr>
        <w:t>Las ineficiencias identificadas, y los resultados operativos negativos iniciales incurridos antes de que el activo alcance el rendimiento esperado.</w:t>
      </w:r>
      <w:bookmarkStart w:id="77" w:name="page89"/>
      <w:bookmarkEnd w:id="77"/>
    </w:p>
    <w:p w14:paraId="598F6C99" w14:textId="47981697" w:rsidR="004741D6" w:rsidRPr="00A87887" w:rsidRDefault="004741D6">
      <w:pPr>
        <w:pStyle w:val="Prrafodelista"/>
        <w:numPr>
          <w:ilvl w:val="0"/>
          <w:numId w:val="103"/>
        </w:numPr>
        <w:spacing w:line="274" w:lineRule="auto"/>
        <w:ind w:left="1418" w:right="280" w:hanging="284"/>
        <w:jc w:val="both"/>
        <w:rPr>
          <w:rFonts w:ascii="Arial" w:eastAsia="Arial" w:hAnsi="Arial"/>
          <w:bCs/>
          <w:sz w:val="22"/>
          <w:szCs w:val="22"/>
          <w:lang w:val="es-CR"/>
        </w:rPr>
      </w:pPr>
      <w:r w:rsidRPr="00A87887">
        <w:rPr>
          <w:rFonts w:ascii="Arial" w:eastAsia="Arial" w:hAnsi="Arial"/>
          <w:bCs/>
          <w:sz w:val="22"/>
          <w:szCs w:val="22"/>
          <w:lang w:val="es-CR"/>
        </w:rPr>
        <w:t xml:space="preserve">Los </w:t>
      </w:r>
      <w:r w:rsidR="0021354A" w:rsidRPr="00A87887">
        <w:rPr>
          <w:rFonts w:ascii="Arial" w:eastAsia="Arial" w:hAnsi="Arial"/>
          <w:bCs/>
          <w:sz w:val="22"/>
          <w:szCs w:val="22"/>
          <w:lang w:val="es-CR"/>
        </w:rPr>
        <w:t>dese</w:t>
      </w:r>
      <w:r w:rsidR="0021354A">
        <w:rPr>
          <w:rFonts w:ascii="Arial" w:eastAsia="Arial" w:hAnsi="Arial"/>
          <w:bCs/>
          <w:sz w:val="22"/>
          <w:szCs w:val="22"/>
          <w:lang w:val="es-CR"/>
        </w:rPr>
        <w:t>mbo</w:t>
      </w:r>
      <w:r w:rsidR="0021354A" w:rsidRPr="00A87887">
        <w:rPr>
          <w:rFonts w:ascii="Arial" w:eastAsia="Arial" w:hAnsi="Arial"/>
          <w:bCs/>
          <w:sz w:val="22"/>
          <w:szCs w:val="22"/>
          <w:lang w:val="es-CR"/>
        </w:rPr>
        <w:t>lsos</w:t>
      </w:r>
      <w:r w:rsidRPr="00A87887">
        <w:rPr>
          <w:rFonts w:ascii="Arial" w:eastAsia="Arial" w:hAnsi="Arial"/>
          <w:bCs/>
          <w:sz w:val="22"/>
          <w:szCs w:val="22"/>
          <w:lang w:val="es-CR"/>
        </w:rPr>
        <w:t xml:space="preserve"> de formación del personal que ha de trabajar con el activo.</w:t>
      </w:r>
    </w:p>
    <w:p w14:paraId="6E460E22" w14:textId="77777777" w:rsidR="004741D6" w:rsidRDefault="004741D6" w:rsidP="004741D6">
      <w:pPr>
        <w:spacing w:line="238" w:lineRule="auto"/>
        <w:ind w:left="1134" w:right="260" w:hanging="1134"/>
        <w:jc w:val="both"/>
        <w:rPr>
          <w:rFonts w:ascii="Arial" w:eastAsia="Arial" w:hAnsi="Arial"/>
          <w:b/>
          <w:sz w:val="22"/>
          <w:szCs w:val="22"/>
          <w:lang w:val="es-CR"/>
        </w:rPr>
      </w:pPr>
    </w:p>
    <w:p w14:paraId="1977E62F" w14:textId="77777777" w:rsidR="00B46BBC" w:rsidRDefault="00B46BBC" w:rsidP="004741D6">
      <w:pPr>
        <w:spacing w:line="238" w:lineRule="auto"/>
        <w:ind w:left="1134" w:right="260" w:hanging="1134"/>
        <w:jc w:val="both"/>
        <w:rPr>
          <w:rFonts w:ascii="Arial" w:eastAsia="Arial" w:hAnsi="Arial"/>
          <w:b/>
          <w:sz w:val="22"/>
          <w:szCs w:val="22"/>
          <w:lang w:val="es-CR"/>
        </w:rPr>
      </w:pPr>
    </w:p>
    <w:p w14:paraId="7CA1B855" w14:textId="77777777" w:rsidR="00B46BBC" w:rsidRDefault="00B46BBC" w:rsidP="004741D6">
      <w:pPr>
        <w:spacing w:line="238" w:lineRule="auto"/>
        <w:ind w:left="1134" w:right="260" w:hanging="1134"/>
        <w:jc w:val="both"/>
        <w:rPr>
          <w:rFonts w:ascii="Arial" w:eastAsia="Arial" w:hAnsi="Arial"/>
          <w:b/>
          <w:sz w:val="22"/>
          <w:szCs w:val="22"/>
          <w:lang w:val="es-CR"/>
        </w:rPr>
      </w:pPr>
    </w:p>
    <w:p w14:paraId="4C4F038D" w14:textId="77777777" w:rsidR="00B46BBC" w:rsidRDefault="00B46BBC" w:rsidP="004741D6">
      <w:pPr>
        <w:spacing w:line="238" w:lineRule="auto"/>
        <w:ind w:left="1134" w:right="260" w:hanging="1134"/>
        <w:jc w:val="both"/>
        <w:rPr>
          <w:rFonts w:ascii="Arial" w:eastAsia="Arial" w:hAnsi="Arial"/>
          <w:b/>
          <w:sz w:val="22"/>
          <w:szCs w:val="22"/>
          <w:lang w:val="es-CR"/>
        </w:rPr>
      </w:pPr>
    </w:p>
    <w:p w14:paraId="7FD54B5E" w14:textId="77777777" w:rsidR="00B46BBC" w:rsidRDefault="00B46BBC" w:rsidP="004741D6">
      <w:pPr>
        <w:spacing w:line="238" w:lineRule="auto"/>
        <w:ind w:left="1134" w:right="260" w:hanging="1134"/>
        <w:jc w:val="both"/>
        <w:rPr>
          <w:rFonts w:ascii="Arial" w:eastAsia="Arial" w:hAnsi="Arial"/>
          <w:b/>
          <w:sz w:val="22"/>
          <w:szCs w:val="22"/>
          <w:lang w:val="es-CR"/>
        </w:rPr>
      </w:pPr>
    </w:p>
    <w:p w14:paraId="42DBA896" w14:textId="77777777" w:rsidR="00B46BBC" w:rsidRDefault="00B46BBC" w:rsidP="004741D6">
      <w:pPr>
        <w:spacing w:line="238" w:lineRule="auto"/>
        <w:ind w:left="1134" w:right="260" w:hanging="1134"/>
        <w:jc w:val="both"/>
        <w:rPr>
          <w:rFonts w:ascii="Arial" w:eastAsia="Arial" w:hAnsi="Arial"/>
          <w:b/>
          <w:sz w:val="22"/>
          <w:szCs w:val="22"/>
          <w:lang w:val="es-CR"/>
        </w:rPr>
      </w:pPr>
    </w:p>
    <w:p w14:paraId="36871ED2" w14:textId="77777777" w:rsidR="00B46BBC" w:rsidRDefault="00B46BBC" w:rsidP="004741D6">
      <w:pPr>
        <w:spacing w:line="238" w:lineRule="auto"/>
        <w:ind w:left="1134" w:right="260" w:hanging="1134"/>
        <w:jc w:val="both"/>
        <w:rPr>
          <w:rFonts w:ascii="Arial" w:eastAsia="Arial" w:hAnsi="Arial"/>
          <w:b/>
          <w:sz w:val="22"/>
          <w:szCs w:val="22"/>
          <w:lang w:val="es-CR"/>
        </w:rPr>
      </w:pPr>
    </w:p>
    <w:p w14:paraId="1099256A"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8921" w:type="dxa"/>
        <w:tblLook w:val="04A0" w:firstRow="1" w:lastRow="0" w:firstColumn="1" w:lastColumn="0" w:noHBand="0" w:noVBand="1"/>
      </w:tblPr>
      <w:tblGrid>
        <w:gridCol w:w="562"/>
        <w:gridCol w:w="517"/>
        <w:gridCol w:w="540"/>
        <w:gridCol w:w="3333"/>
        <w:gridCol w:w="2551"/>
        <w:gridCol w:w="1418"/>
      </w:tblGrid>
      <w:tr w:rsidR="004741D6" w:rsidRPr="00731D28" w14:paraId="12841FD1" w14:textId="77777777" w:rsidTr="00D16719">
        <w:trPr>
          <w:trHeight w:val="320"/>
        </w:trPr>
        <w:tc>
          <w:tcPr>
            <w:tcW w:w="161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E3D1F1C" w14:textId="77777777" w:rsidR="004741D6" w:rsidRPr="00731D28" w:rsidRDefault="004741D6" w:rsidP="00D16719">
            <w:pPr>
              <w:jc w:val="center"/>
              <w:rPr>
                <w:rFonts w:ascii="Arial Narrow" w:eastAsia="Times New Roman" w:hAnsi="Arial Narrow"/>
                <w:color w:val="FFFFFF"/>
                <w:sz w:val="22"/>
                <w:szCs w:val="22"/>
              </w:rPr>
            </w:pPr>
            <w:r w:rsidRPr="00731D28">
              <w:rPr>
                <w:rFonts w:ascii="Arial Narrow" w:eastAsia="Times New Roman" w:hAnsi="Arial Narrow"/>
                <w:color w:val="FFFFFF"/>
                <w:sz w:val="22"/>
                <w:szCs w:val="22"/>
              </w:rPr>
              <w:t>Norma / Política</w:t>
            </w:r>
          </w:p>
        </w:tc>
        <w:tc>
          <w:tcPr>
            <w:tcW w:w="3333" w:type="dxa"/>
            <w:vMerge w:val="restart"/>
            <w:tcBorders>
              <w:top w:val="single" w:sz="8" w:space="0" w:color="auto"/>
              <w:left w:val="single" w:sz="8" w:space="0" w:color="auto"/>
              <w:bottom w:val="nil"/>
              <w:right w:val="single" w:sz="8" w:space="0" w:color="auto"/>
            </w:tcBorders>
            <w:shd w:val="clear" w:color="000000" w:fill="203764"/>
            <w:vAlign w:val="center"/>
            <w:hideMark/>
          </w:tcPr>
          <w:p w14:paraId="69DF5993" w14:textId="77777777" w:rsidR="004741D6" w:rsidRPr="00731D28" w:rsidRDefault="004741D6" w:rsidP="00D16719">
            <w:pPr>
              <w:jc w:val="center"/>
              <w:rPr>
                <w:rFonts w:ascii="Arial Narrow" w:eastAsia="Times New Roman" w:hAnsi="Arial Narrow"/>
                <w:color w:val="FFFFFF"/>
                <w:sz w:val="22"/>
                <w:szCs w:val="22"/>
              </w:rPr>
            </w:pPr>
            <w:r w:rsidRPr="00731D28">
              <w:rPr>
                <w:rFonts w:ascii="Arial Narrow" w:eastAsia="Times New Roman" w:hAnsi="Arial Narrow"/>
                <w:color w:val="FFFFFF"/>
                <w:sz w:val="22"/>
                <w:szCs w:val="22"/>
              </w:rPr>
              <w:t>Concepto</w:t>
            </w:r>
          </w:p>
        </w:tc>
        <w:tc>
          <w:tcPr>
            <w:tcW w:w="3969" w:type="dxa"/>
            <w:gridSpan w:val="2"/>
            <w:tcBorders>
              <w:top w:val="single" w:sz="8" w:space="0" w:color="auto"/>
              <w:left w:val="nil"/>
              <w:bottom w:val="single" w:sz="8" w:space="0" w:color="auto"/>
              <w:right w:val="single" w:sz="8" w:space="0" w:color="000000"/>
            </w:tcBorders>
            <w:shd w:val="clear" w:color="000000" w:fill="203764"/>
            <w:vAlign w:val="center"/>
            <w:hideMark/>
          </w:tcPr>
          <w:p w14:paraId="387C4587" w14:textId="77777777" w:rsidR="004741D6" w:rsidRPr="00731D28" w:rsidRDefault="004741D6" w:rsidP="00D16719">
            <w:pPr>
              <w:jc w:val="center"/>
              <w:rPr>
                <w:rFonts w:ascii="Arial Narrow" w:eastAsia="Times New Roman" w:hAnsi="Arial Narrow"/>
                <w:color w:val="FFFFFF"/>
                <w:sz w:val="22"/>
                <w:szCs w:val="22"/>
              </w:rPr>
            </w:pPr>
            <w:r w:rsidRPr="00731D28">
              <w:rPr>
                <w:rFonts w:ascii="Arial Narrow" w:eastAsia="Times New Roman" w:hAnsi="Arial Narrow"/>
                <w:color w:val="FFFFFF"/>
                <w:sz w:val="22"/>
                <w:szCs w:val="22"/>
              </w:rPr>
              <w:t>Referencia</w:t>
            </w:r>
          </w:p>
        </w:tc>
      </w:tr>
      <w:tr w:rsidR="004741D6" w:rsidRPr="006E5442" w14:paraId="46C5D3CF" w14:textId="77777777" w:rsidTr="00D16719">
        <w:trPr>
          <w:trHeight w:val="984"/>
        </w:trPr>
        <w:tc>
          <w:tcPr>
            <w:tcW w:w="1619" w:type="dxa"/>
            <w:gridSpan w:val="3"/>
            <w:vMerge/>
            <w:tcBorders>
              <w:top w:val="single" w:sz="8" w:space="0" w:color="auto"/>
              <w:left w:val="single" w:sz="8" w:space="0" w:color="auto"/>
              <w:bottom w:val="nil"/>
              <w:right w:val="single" w:sz="8" w:space="0" w:color="000000"/>
            </w:tcBorders>
            <w:vAlign w:val="center"/>
            <w:hideMark/>
          </w:tcPr>
          <w:p w14:paraId="71C54B3F" w14:textId="77777777" w:rsidR="004741D6" w:rsidRPr="00731D28" w:rsidRDefault="004741D6" w:rsidP="00D16719">
            <w:pPr>
              <w:rPr>
                <w:rFonts w:ascii="Arial Narrow" w:eastAsia="Times New Roman" w:hAnsi="Arial Narrow"/>
                <w:color w:val="FFFFFF"/>
                <w:sz w:val="22"/>
                <w:szCs w:val="22"/>
              </w:rPr>
            </w:pPr>
          </w:p>
        </w:tc>
        <w:tc>
          <w:tcPr>
            <w:tcW w:w="3333" w:type="dxa"/>
            <w:vMerge/>
            <w:tcBorders>
              <w:top w:val="single" w:sz="8" w:space="0" w:color="auto"/>
              <w:left w:val="single" w:sz="8" w:space="0" w:color="auto"/>
              <w:bottom w:val="nil"/>
              <w:right w:val="single" w:sz="8" w:space="0" w:color="auto"/>
            </w:tcBorders>
            <w:vAlign w:val="center"/>
            <w:hideMark/>
          </w:tcPr>
          <w:p w14:paraId="38E4A42D" w14:textId="77777777" w:rsidR="004741D6" w:rsidRPr="00731D28" w:rsidRDefault="004741D6" w:rsidP="00D16719">
            <w:pPr>
              <w:rPr>
                <w:rFonts w:ascii="Arial Narrow" w:eastAsia="Times New Roman" w:hAnsi="Arial Narrow"/>
                <w:color w:val="FFFFFF"/>
                <w:sz w:val="22"/>
                <w:szCs w:val="22"/>
              </w:rPr>
            </w:pPr>
          </w:p>
        </w:tc>
        <w:tc>
          <w:tcPr>
            <w:tcW w:w="2551" w:type="dxa"/>
            <w:tcBorders>
              <w:top w:val="nil"/>
              <w:left w:val="nil"/>
              <w:bottom w:val="nil"/>
              <w:right w:val="single" w:sz="8" w:space="0" w:color="auto"/>
            </w:tcBorders>
            <w:shd w:val="clear" w:color="000000" w:fill="203764"/>
            <w:vAlign w:val="center"/>
            <w:hideMark/>
          </w:tcPr>
          <w:p w14:paraId="367B2897" w14:textId="77777777" w:rsidR="004741D6" w:rsidRPr="00731D28" w:rsidRDefault="004741D6" w:rsidP="00D16719">
            <w:pPr>
              <w:jc w:val="center"/>
              <w:rPr>
                <w:rFonts w:ascii="Arial Narrow" w:eastAsia="Times New Roman" w:hAnsi="Arial Narrow"/>
                <w:color w:val="FFFFFF"/>
                <w:sz w:val="22"/>
                <w:szCs w:val="22"/>
              </w:rPr>
            </w:pPr>
            <w:r w:rsidRPr="00731D28">
              <w:rPr>
                <w:rFonts w:ascii="Arial Narrow" w:eastAsia="Times New Roman" w:hAnsi="Arial Narrow"/>
                <w:color w:val="FFFFFF"/>
                <w:sz w:val="22"/>
                <w:szCs w:val="22"/>
              </w:rPr>
              <w:t>Norma</w:t>
            </w:r>
          </w:p>
        </w:tc>
        <w:tc>
          <w:tcPr>
            <w:tcW w:w="1418" w:type="dxa"/>
            <w:tcBorders>
              <w:top w:val="nil"/>
              <w:left w:val="nil"/>
              <w:bottom w:val="nil"/>
              <w:right w:val="single" w:sz="8" w:space="0" w:color="auto"/>
            </w:tcBorders>
            <w:shd w:val="clear" w:color="000000" w:fill="203764"/>
            <w:vAlign w:val="center"/>
            <w:hideMark/>
          </w:tcPr>
          <w:p w14:paraId="2DD10552" w14:textId="77777777" w:rsidR="004741D6" w:rsidRPr="00731D28" w:rsidRDefault="004741D6" w:rsidP="00D16719">
            <w:pPr>
              <w:jc w:val="center"/>
              <w:rPr>
                <w:rFonts w:ascii="Arial Narrow" w:eastAsia="Times New Roman" w:hAnsi="Arial Narrow"/>
                <w:color w:val="FFFFFF"/>
                <w:sz w:val="22"/>
                <w:szCs w:val="22"/>
                <w:lang w:val="es-CR"/>
              </w:rPr>
            </w:pPr>
            <w:r w:rsidRPr="00731D28">
              <w:rPr>
                <w:rFonts w:ascii="Arial Narrow" w:eastAsia="Times New Roman" w:hAnsi="Arial Narrow"/>
                <w:color w:val="FFFFFF"/>
                <w:sz w:val="22"/>
                <w:szCs w:val="22"/>
                <w:lang w:val="es-CR"/>
              </w:rPr>
              <w:t>Normativa técnica y disposiciones adicionales</w:t>
            </w:r>
          </w:p>
        </w:tc>
      </w:tr>
      <w:tr w:rsidR="004741D6" w:rsidRPr="00731D28" w14:paraId="52F94A3A" w14:textId="77777777" w:rsidTr="00D16719">
        <w:trPr>
          <w:trHeight w:val="718"/>
        </w:trPr>
        <w:tc>
          <w:tcPr>
            <w:tcW w:w="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5B8ECE" w14:textId="77777777" w:rsidR="004741D6" w:rsidRPr="00731D28" w:rsidRDefault="004741D6" w:rsidP="00D16719">
            <w:pPr>
              <w:jc w:val="center"/>
              <w:rPr>
                <w:rFonts w:ascii="Arial Narrow" w:eastAsia="Times New Roman" w:hAnsi="Arial Narrow"/>
                <w:b/>
                <w:bCs/>
                <w:color w:val="000000"/>
                <w:sz w:val="22"/>
                <w:szCs w:val="22"/>
              </w:rPr>
            </w:pPr>
            <w:r w:rsidRPr="00731D28">
              <w:rPr>
                <w:rFonts w:ascii="Arial Narrow" w:eastAsia="Times New Roman" w:hAnsi="Arial Narrow" w:cs="Arial Narrow"/>
                <w:b/>
                <w:bCs/>
                <w:color w:val="000000"/>
                <w:spacing w:val="-10"/>
                <w:sz w:val="22"/>
                <w:szCs w:val="22"/>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0982502D" w14:textId="77777777" w:rsidR="004741D6" w:rsidRPr="00731D28" w:rsidRDefault="004741D6" w:rsidP="00D16719">
            <w:pPr>
              <w:jc w:val="center"/>
              <w:rPr>
                <w:rFonts w:ascii="Arial Narrow" w:eastAsia="Times New Roman" w:hAnsi="Arial Narrow"/>
                <w:b/>
                <w:bCs/>
                <w:color w:val="000000"/>
                <w:sz w:val="22"/>
                <w:szCs w:val="22"/>
              </w:rPr>
            </w:pPr>
            <w:r w:rsidRPr="00731D28">
              <w:rPr>
                <w:rFonts w:ascii="Arial Narrow" w:eastAsia="Times New Roman" w:hAnsi="Arial Narrow" w:cs="Arial Narrow"/>
                <w:b/>
                <w:bCs/>
                <w:color w:val="000000"/>
                <w:spacing w:val="-4"/>
                <w:sz w:val="22"/>
                <w:szCs w:val="22"/>
              </w:rPr>
              <w:t>240</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674A91EE" w14:textId="77777777" w:rsidR="004741D6" w:rsidRPr="00731D28" w:rsidRDefault="004741D6" w:rsidP="00D16719">
            <w:pPr>
              <w:jc w:val="center"/>
              <w:rPr>
                <w:rFonts w:ascii="Arial Narrow" w:eastAsia="Times New Roman" w:hAnsi="Arial Narrow"/>
                <w:b/>
                <w:bCs/>
                <w:color w:val="000000"/>
                <w:sz w:val="22"/>
                <w:szCs w:val="22"/>
              </w:rPr>
            </w:pPr>
            <w:r w:rsidRPr="00731D28">
              <w:rPr>
                <w:rFonts w:ascii="Arial Narrow" w:eastAsia="Times New Roman" w:hAnsi="Arial Narrow"/>
                <w:b/>
                <w:bCs/>
                <w:color w:val="000000"/>
                <w:sz w:val="22"/>
                <w:szCs w:val="22"/>
              </w:rPr>
              <w:t> </w:t>
            </w:r>
          </w:p>
        </w:tc>
        <w:tc>
          <w:tcPr>
            <w:tcW w:w="3333" w:type="dxa"/>
            <w:tcBorders>
              <w:top w:val="single" w:sz="8" w:space="0" w:color="auto"/>
              <w:left w:val="nil"/>
              <w:bottom w:val="single" w:sz="8" w:space="0" w:color="auto"/>
              <w:right w:val="single" w:sz="8" w:space="0" w:color="auto"/>
            </w:tcBorders>
            <w:shd w:val="clear" w:color="auto" w:fill="auto"/>
            <w:vAlign w:val="center"/>
            <w:hideMark/>
          </w:tcPr>
          <w:p w14:paraId="32CD5185" w14:textId="77777777" w:rsidR="004741D6" w:rsidRPr="00731D28" w:rsidRDefault="004741D6" w:rsidP="00D16719">
            <w:pPr>
              <w:jc w:val="both"/>
              <w:rPr>
                <w:rFonts w:ascii="Arial Narrow" w:eastAsia="Times New Roman" w:hAnsi="Arial Narrow"/>
                <w:b/>
                <w:bCs/>
                <w:color w:val="000000"/>
                <w:sz w:val="22"/>
                <w:szCs w:val="22"/>
                <w:lang w:val="es-CR"/>
              </w:rPr>
            </w:pPr>
            <w:r w:rsidRPr="00731D28">
              <w:rPr>
                <w:rFonts w:ascii="Arial Narrow" w:eastAsia="Times New Roman" w:hAnsi="Arial Narrow"/>
                <w:b/>
                <w:bCs/>
                <w:color w:val="000000"/>
                <w:sz w:val="22"/>
                <w:szCs w:val="22"/>
                <w:lang w:val="es-CR"/>
              </w:rPr>
              <w:t>Activos intangibles adquiridos a través de una transacción sin contraprestación</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09BD310A" w14:textId="77777777" w:rsidR="004741D6" w:rsidRDefault="004741D6" w:rsidP="00B46BBC">
            <w:pPr>
              <w:jc w:val="both"/>
              <w:rPr>
                <w:rFonts w:ascii="Arial Narrow" w:eastAsia="Times New Roman" w:hAnsi="Arial Narrow"/>
                <w:b/>
                <w:bCs/>
                <w:color w:val="000000"/>
                <w:sz w:val="22"/>
                <w:szCs w:val="22"/>
              </w:rPr>
            </w:pPr>
            <w:r w:rsidRPr="00731D28">
              <w:rPr>
                <w:rFonts w:ascii="Arial Narrow" w:eastAsia="Times New Roman" w:hAnsi="Arial Narrow"/>
                <w:b/>
                <w:bCs/>
                <w:color w:val="000000"/>
                <w:sz w:val="22"/>
                <w:szCs w:val="22"/>
              </w:rPr>
              <w:t xml:space="preserve">NICSP Nº 31, </w:t>
            </w:r>
          </w:p>
          <w:p w14:paraId="3A0EF851" w14:textId="77777777" w:rsidR="004741D6" w:rsidRPr="00731D28" w:rsidRDefault="004741D6" w:rsidP="00B46BBC">
            <w:pPr>
              <w:jc w:val="both"/>
              <w:rPr>
                <w:rFonts w:ascii="Arial Narrow" w:eastAsia="Times New Roman" w:hAnsi="Arial Narrow"/>
                <w:b/>
                <w:bCs/>
                <w:color w:val="000000"/>
                <w:sz w:val="22"/>
                <w:szCs w:val="22"/>
              </w:rPr>
            </w:pPr>
            <w:r>
              <w:rPr>
                <w:rFonts w:ascii="Arial Narrow" w:eastAsia="Times New Roman" w:hAnsi="Arial Narrow"/>
                <w:b/>
                <w:bCs/>
                <w:color w:val="000000"/>
                <w:sz w:val="22"/>
                <w:szCs w:val="22"/>
              </w:rPr>
              <w:t xml:space="preserve">Párrafo </w:t>
            </w:r>
            <w:r w:rsidRPr="00731D28">
              <w:rPr>
                <w:rFonts w:ascii="Arial Narrow" w:eastAsia="Times New Roman" w:hAnsi="Arial Narrow"/>
                <w:b/>
                <w:bCs/>
                <w:color w:val="000000"/>
                <w:sz w:val="22"/>
                <w:szCs w:val="22"/>
              </w:rPr>
              <w:t>4</w:t>
            </w:r>
            <w:r>
              <w:rPr>
                <w:rFonts w:ascii="Arial Narrow" w:eastAsia="Times New Roman" w:hAnsi="Arial Narrow"/>
                <w:b/>
                <w:bCs/>
                <w:color w:val="000000"/>
                <w:sz w:val="22"/>
                <w:szCs w:val="22"/>
              </w:rPr>
              <w:t>4</w:t>
            </w:r>
            <w:r w:rsidRPr="00731D28">
              <w:rPr>
                <w:rFonts w:ascii="Arial Narrow" w:eastAsia="Times New Roman" w:hAnsi="Arial Narrow"/>
                <w:b/>
                <w:bCs/>
                <w:color w:val="000000"/>
                <w:sz w:val="22"/>
                <w:szCs w:val="22"/>
              </w:rPr>
              <w:t xml:space="preserve">.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6B59114B" w14:textId="77777777" w:rsidR="004741D6" w:rsidRPr="00731D28" w:rsidRDefault="004741D6" w:rsidP="00D16719">
            <w:pPr>
              <w:jc w:val="center"/>
              <w:rPr>
                <w:rFonts w:ascii="Arial Narrow" w:eastAsia="Times New Roman" w:hAnsi="Arial Narrow"/>
                <w:b/>
                <w:bCs/>
                <w:color w:val="000000"/>
                <w:sz w:val="22"/>
                <w:szCs w:val="22"/>
              </w:rPr>
            </w:pPr>
            <w:r w:rsidRPr="00731D28">
              <w:rPr>
                <w:rFonts w:ascii="Arial Narrow" w:eastAsia="Times New Roman" w:hAnsi="Arial Narrow" w:cs="Arial Narrow"/>
                <w:b/>
                <w:bCs/>
                <w:color w:val="000000"/>
                <w:spacing w:val="-4"/>
                <w:sz w:val="22"/>
                <w:szCs w:val="22"/>
              </w:rPr>
              <w:t xml:space="preserve"> </w:t>
            </w:r>
          </w:p>
        </w:tc>
      </w:tr>
      <w:tr w:rsidR="004741D6" w:rsidRPr="00731D28" w14:paraId="2B7FB110" w14:textId="77777777" w:rsidTr="00D16719">
        <w:trPr>
          <w:trHeight w:val="439"/>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40A18722" w14:textId="77777777" w:rsidR="004741D6" w:rsidRPr="00731D28" w:rsidRDefault="004741D6" w:rsidP="00D16719">
            <w:pPr>
              <w:jc w:val="center"/>
              <w:rPr>
                <w:rFonts w:ascii="Arial Narrow" w:eastAsia="Times New Roman" w:hAnsi="Arial Narrow"/>
                <w:b/>
                <w:bCs/>
                <w:color w:val="000000"/>
                <w:sz w:val="22"/>
                <w:szCs w:val="22"/>
              </w:rPr>
            </w:pPr>
            <w:r w:rsidRPr="00731D28">
              <w:rPr>
                <w:rFonts w:ascii="Arial Narrow" w:eastAsia="Times New Roman" w:hAnsi="Arial Narrow"/>
                <w:b/>
                <w:bCs/>
                <w:color w:val="000000"/>
                <w:sz w:val="22"/>
                <w:szCs w:val="22"/>
                <w:lang w:val="es-CR"/>
              </w:rPr>
              <w:t>1</w:t>
            </w:r>
          </w:p>
        </w:tc>
        <w:tc>
          <w:tcPr>
            <w:tcW w:w="517" w:type="dxa"/>
            <w:tcBorders>
              <w:top w:val="nil"/>
              <w:left w:val="nil"/>
              <w:bottom w:val="single" w:sz="8" w:space="0" w:color="auto"/>
              <w:right w:val="single" w:sz="8" w:space="0" w:color="auto"/>
            </w:tcBorders>
            <w:shd w:val="clear" w:color="auto" w:fill="auto"/>
            <w:noWrap/>
            <w:vAlign w:val="center"/>
            <w:hideMark/>
          </w:tcPr>
          <w:p w14:paraId="0FCA0B0E" w14:textId="77777777" w:rsidR="004741D6" w:rsidRPr="00731D28" w:rsidRDefault="004741D6" w:rsidP="00D16719">
            <w:pPr>
              <w:jc w:val="center"/>
              <w:rPr>
                <w:rFonts w:ascii="Arial Narrow" w:eastAsia="Times New Roman" w:hAnsi="Arial Narrow"/>
                <w:b/>
                <w:bCs/>
                <w:color w:val="000000"/>
                <w:sz w:val="22"/>
                <w:szCs w:val="22"/>
              </w:rPr>
            </w:pPr>
            <w:r w:rsidRPr="00731D28">
              <w:rPr>
                <w:rFonts w:ascii="Arial Narrow" w:eastAsia="Times New Roman" w:hAnsi="Arial Narrow"/>
                <w:b/>
                <w:bCs/>
                <w:color w:val="000000"/>
                <w:sz w:val="22"/>
                <w:szCs w:val="22"/>
                <w:lang w:val="es-CR"/>
              </w:rPr>
              <w:t>24</w:t>
            </w:r>
            <w:r>
              <w:rPr>
                <w:rFonts w:ascii="Arial Narrow" w:eastAsia="Times New Roman" w:hAnsi="Arial Narrow"/>
                <w:b/>
                <w:bCs/>
                <w:color w:val="000000"/>
                <w:sz w:val="22"/>
                <w:szCs w:val="22"/>
                <w:lang w:val="es-CR"/>
              </w:rPr>
              <w:t>0</w:t>
            </w:r>
          </w:p>
        </w:tc>
        <w:tc>
          <w:tcPr>
            <w:tcW w:w="540" w:type="dxa"/>
            <w:tcBorders>
              <w:top w:val="nil"/>
              <w:left w:val="nil"/>
              <w:bottom w:val="single" w:sz="8" w:space="0" w:color="auto"/>
              <w:right w:val="single" w:sz="8" w:space="0" w:color="auto"/>
            </w:tcBorders>
            <w:shd w:val="clear" w:color="auto" w:fill="auto"/>
            <w:vAlign w:val="center"/>
            <w:hideMark/>
          </w:tcPr>
          <w:p w14:paraId="5516DA8C" w14:textId="77777777" w:rsidR="004741D6" w:rsidRPr="00731D28" w:rsidRDefault="004741D6" w:rsidP="00D16719">
            <w:pPr>
              <w:jc w:val="center"/>
              <w:rPr>
                <w:rFonts w:ascii="Arial Narrow" w:eastAsia="Times New Roman" w:hAnsi="Arial Narrow"/>
                <w:b/>
                <w:bCs/>
                <w:color w:val="000000"/>
                <w:sz w:val="22"/>
                <w:szCs w:val="22"/>
              </w:rPr>
            </w:pPr>
            <w:r w:rsidRPr="00731D28">
              <w:rPr>
                <w:rFonts w:ascii="Arial Narrow" w:eastAsia="Times New Roman" w:hAnsi="Arial Narrow"/>
                <w:b/>
                <w:bCs/>
                <w:color w:val="000000"/>
                <w:sz w:val="22"/>
                <w:szCs w:val="22"/>
              </w:rPr>
              <w:t>1</w:t>
            </w:r>
          </w:p>
        </w:tc>
        <w:tc>
          <w:tcPr>
            <w:tcW w:w="3333" w:type="dxa"/>
            <w:tcBorders>
              <w:top w:val="nil"/>
              <w:left w:val="nil"/>
              <w:bottom w:val="single" w:sz="8" w:space="0" w:color="auto"/>
              <w:right w:val="single" w:sz="8" w:space="0" w:color="auto"/>
            </w:tcBorders>
            <w:shd w:val="clear" w:color="auto" w:fill="auto"/>
            <w:vAlign w:val="center"/>
            <w:hideMark/>
          </w:tcPr>
          <w:p w14:paraId="68CB0B1E" w14:textId="77777777" w:rsidR="004741D6" w:rsidRPr="00731D28" w:rsidRDefault="004741D6" w:rsidP="00D16719">
            <w:pPr>
              <w:jc w:val="both"/>
              <w:rPr>
                <w:rFonts w:ascii="Arial Narrow" w:eastAsia="Times New Roman" w:hAnsi="Arial Narrow"/>
                <w:b/>
                <w:bCs/>
                <w:color w:val="000000"/>
                <w:sz w:val="22"/>
                <w:szCs w:val="22"/>
                <w:lang w:val="es-CR"/>
              </w:rPr>
            </w:pPr>
            <w:r w:rsidRPr="00731D28">
              <w:rPr>
                <w:rFonts w:ascii="Arial Narrow" w:eastAsia="Times New Roman" w:hAnsi="Arial Narrow"/>
                <w:b/>
                <w:bCs/>
                <w:color w:val="000000"/>
                <w:sz w:val="22"/>
                <w:szCs w:val="22"/>
                <w:lang w:val="es-CR"/>
              </w:rPr>
              <w:t>Transferencias de activos intangibles entre entidades</w:t>
            </w:r>
          </w:p>
        </w:tc>
        <w:tc>
          <w:tcPr>
            <w:tcW w:w="2551" w:type="dxa"/>
            <w:tcBorders>
              <w:top w:val="nil"/>
              <w:left w:val="nil"/>
              <w:bottom w:val="single" w:sz="8" w:space="0" w:color="auto"/>
              <w:right w:val="single" w:sz="8" w:space="0" w:color="auto"/>
            </w:tcBorders>
            <w:shd w:val="clear" w:color="auto" w:fill="auto"/>
            <w:vAlign w:val="center"/>
            <w:hideMark/>
          </w:tcPr>
          <w:p w14:paraId="50766B11" w14:textId="77777777" w:rsidR="004741D6" w:rsidRPr="00731D28" w:rsidRDefault="004741D6" w:rsidP="00D16719">
            <w:pPr>
              <w:jc w:val="center"/>
              <w:rPr>
                <w:rFonts w:ascii="Arial Narrow" w:eastAsia="Times New Roman" w:hAnsi="Arial Narrow"/>
                <w:b/>
                <w:bCs/>
                <w:color w:val="000000"/>
                <w:sz w:val="22"/>
                <w:szCs w:val="22"/>
                <w:lang w:val="es-CR"/>
              </w:rPr>
            </w:pPr>
            <w:r w:rsidRPr="00731D28">
              <w:rPr>
                <w:rFonts w:ascii="Arial Narrow" w:eastAsia="Times New Roman" w:hAnsi="Arial Narrow"/>
                <w:b/>
                <w:bCs/>
                <w:color w:val="000000"/>
                <w:sz w:val="22"/>
                <w:szCs w:val="22"/>
                <w:lang w:val="es-CR"/>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9F65DF7" w14:textId="77777777" w:rsidR="004741D6" w:rsidRPr="00731D28" w:rsidRDefault="004741D6" w:rsidP="00D16719">
            <w:pPr>
              <w:jc w:val="center"/>
              <w:rPr>
                <w:rFonts w:ascii="Arial Narrow" w:eastAsia="Times New Roman" w:hAnsi="Arial Narrow"/>
                <w:b/>
                <w:bCs/>
                <w:color w:val="000000"/>
                <w:sz w:val="22"/>
                <w:szCs w:val="22"/>
              </w:rPr>
            </w:pPr>
            <w:r w:rsidRPr="00731D28">
              <w:rPr>
                <w:rFonts w:ascii="Arial Narrow" w:eastAsia="Times New Roman" w:hAnsi="Arial Narrow"/>
                <w:b/>
                <w:bCs/>
                <w:color w:val="000000"/>
                <w:sz w:val="22"/>
                <w:szCs w:val="22"/>
              </w:rPr>
              <w:t>DGCN</w:t>
            </w:r>
          </w:p>
        </w:tc>
      </w:tr>
    </w:tbl>
    <w:p w14:paraId="5CB86E9B" w14:textId="77777777" w:rsidR="004741D6" w:rsidRDefault="004741D6" w:rsidP="004741D6">
      <w:pPr>
        <w:spacing w:line="238" w:lineRule="auto"/>
        <w:ind w:left="1134" w:right="260" w:hanging="1134"/>
        <w:jc w:val="both"/>
        <w:rPr>
          <w:rFonts w:ascii="Arial" w:eastAsia="Arial" w:hAnsi="Arial"/>
          <w:b/>
          <w:sz w:val="22"/>
          <w:szCs w:val="22"/>
          <w:lang w:val="es-CR"/>
        </w:rPr>
      </w:pPr>
    </w:p>
    <w:p w14:paraId="7EE7FA70" w14:textId="247F89CF" w:rsidR="00B46BBC" w:rsidRDefault="00B46BBC"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0221549D" w14:textId="77777777" w:rsidR="00B46BBC" w:rsidRDefault="00B46BBC" w:rsidP="004741D6">
      <w:pPr>
        <w:spacing w:line="238" w:lineRule="auto"/>
        <w:ind w:left="1134" w:right="260" w:hanging="1134"/>
        <w:jc w:val="both"/>
        <w:rPr>
          <w:rFonts w:ascii="Arial" w:eastAsia="Arial" w:hAnsi="Arial"/>
          <w:b/>
          <w:sz w:val="22"/>
          <w:szCs w:val="22"/>
          <w:lang w:val="es-CR"/>
        </w:rPr>
      </w:pPr>
    </w:p>
    <w:p w14:paraId="2A780833" w14:textId="1B7F8FB4"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lastRenderedPageBreak/>
        <w:t>1.240.0.01</w:t>
      </w:r>
      <w:r>
        <w:rPr>
          <w:rFonts w:ascii="Arial" w:eastAsia="Arial" w:hAnsi="Arial"/>
          <w:bCs/>
          <w:sz w:val="22"/>
          <w:szCs w:val="22"/>
          <w:lang w:val="es-CR"/>
        </w:rPr>
        <w:tab/>
      </w:r>
      <w:r w:rsidRPr="00731D28">
        <w:rPr>
          <w:rFonts w:ascii="Arial" w:eastAsia="Arial" w:hAnsi="Arial"/>
          <w:bCs/>
          <w:sz w:val="22"/>
          <w:szCs w:val="22"/>
          <w:lang w:val="es-CR"/>
        </w:rPr>
        <w:t xml:space="preserve">Cuando la </w:t>
      </w:r>
      <w:r w:rsidR="000F29DC">
        <w:rPr>
          <w:rFonts w:ascii="Arial" w:eastAsia="Arial" w:hAnsi="Arial"/>
          <w:bCs/>
          <w:sz w:val="22"/>
          <w:szCs w:val="22"/>
          <w:lang w:val="es-CR"/>
        </w:rPr>
        <w:t>MBA</w:t>
      </w:r>
      <w:r w:rsidRPr="00731D28">
        <w:rPr>
          <w:rFonts w:ascii="Arial" w:eastAsia="Arial" w:hAnsi="Arial"/>
          <w:bCs/>
          <w:sz w:val="22"/>
          <w:szCs w:val="22"/>
          <w:lang w:val="es-CR"/>
        </w:rPr>
        <w:t xml:space="preserve"> adquiere un activo a través de una transacción sin contraprestación, o a un costo insignificante o nulo, su costo se medirá inicialmente a su valor razonable a la fecha de adquisición, no considerándose dicha medición inicial una revaluación.</w:t>
      </w:r>
    </w:p>
    <w:p w14:paraId="4A4E2230" w14:textId="77777777" w:rsidR="00B46BBC" w:rsidRPr="00731D28" w:rsidRDefault="00B46BBC" w:rsidP="004741D6">
      <w:pPr>
        <w:spacing w:line="236" w:lineRule="auto"/>
        <w:ind w:left="1134" w:right="280" w:hanging="1134"/>
        <w:jc w:val="both"/>
        <w:rPr>
          <w:rFonts w:ascii="Arial" w:eastAsia="Arial" w:hAnsi="Arial"/>
          <w:bCs/>
          <w:sz w:val="22"/>
          <w:szCs w:val="22"/>
          <w:lang w:val="es-CR"/>
        </w:rPr>
      </w:pPr>
    </w:p>
    <w:p w14:paraId="59DF68D6" w14:textId="77777777" w:rsidR="004741D6" w:rsidRPr="00627673" w:rsidRDefault="004741D6" w:rsidP="004741D6">
      <w:pPr>
        <w:spacing w:line="9" w:lineRule="exact"/>
        <w:rPr>
          <w:rFonts w:ascii="Arial" w:eastAsia="Arial" w:hAnsi="Arial"/>
          <w:b/>
          <w:sz w:val="24"/>
          <w:lang w:val="es-CR"/>
        </w:rPr>
      </w:pPr>
    </w:p>
    <w:p w14:paraId="6AC5D18D" w14:textId="5440D222" w:rsidR="004741D6" w:rsidRPr="00731D28"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1.240.1.01</w:t>
      </w:r>
      <w:r>
        <w:rPr>
          <w:rFonts w:ascii="Arial" w:eastAsia="Arial" w:hAnsi="Arial"/>
          <w:bCs/>
          <w:sz w:val="22"/>
          <w:szCs w:val="22"/>
          <w:lang w:val="es-CR"/>
        </w:rPr>
        <w:tab/>
        <w:t>Los activos intangibles que</w:t>
      </w:r>
      <w:r w:rsidRPr="00731D28">
        <w:rPr>
          <w:rFonts w:ascii="Arial" w:eastAsia="Arial" w:hAnsi="Arial"/>
          <w:bCs/>
          <w:sz w:val="22"/>
          <w:szCs w:val="22"/>
          <w:lang w:val="es-CR"/>
        </w:rPr>
        <w:t xml:space="preserve"> la </w:t>
      </w:r>
      <w:r w:rsidR="000F29DC">
        <w:rPr>
          <w:rFonts w:ascii="Arial" w:eastAsia="Arial" w:hAnsi="Arial"/>
          <w:bCs/>
          <w:sz w:val="22"/>
          <w:szCs w:val="22"/>
          <w:lang w:val="es-CR"/>
        </w:rPr>
        <w:t>MBA</w:t>
      </w:r>
      <w:r>
        <w:rPr>
          <w:rFonts w:ascii="Arial" w:eastAsia="Arial" w:hAnsi="Arial"/>
          <w:bCs/>
          <w:sz w:val="22"/>
          <w:szCs w:val="22"/>
          <w:lang w:val="es-CR"/>
        </w:rPr>
        <w:t xml:space="preserve"> reciba como transferencia de una </w:t>
      </w:r>
      <w:r w:rsidRPr="00731D28">
        <w:rPr>
          <w:rFonts w:ascii="Arial" w:eastAsia="Arial" w:hAnsi="Arial"/>
          <w:bCs/>
          <w:sz w:val="22"/>
          <w:szCs w:val="22"/>
          <w:lang w:val="es-CR"/>
        </w:rPr>
        <w:t xml:space="preserve">entidad pública no empresarial costarricense, </w:t>
      </w:r>
      <w:r>
        <w:rPr>
          <w:rFonts w:ascii="Arial" w:eastAsia="Arial" w:hAnsi="Arial"/>
          <w:bCs/>
          <w:sz w:val="22"/>
          <w:szCs w:val="22"/>
          <w:lang w:val="es-CR"/>
        </w:rPr>
        <w:t>se reconocerán y</w:t>
      </w:r>
      <w:r w:rsidRPr="00731D28">
        <w:rPr>
          <w:rFonts w:ascii="Arial" w:eastAsia="Arial" w:hAnsi="Arial"/>
          <w:bCs/>
          <w:sz w:val="22"/>
          <w:szCs w:val="22"/>
          <w:lang w:val="es-CR"/>
        </w:rPr>
        <w:t xml:space="preserve"> medirá</w:t>
      </w:r>
      <w:r>
        <w:rPr>
          <w:rFonts w:ascii="Arial" w:eastAsia="Arial" w:hAnsi="Arial"/>
          <w:bCs/>
          <w:sz w:val="22"/>
          <w:szCs w:val="22"/>
          <w:lang w:val="es-CR"/>
        </w:rPr>
        <w:t xml:space="preserve"> inicialmente</w:t>
      </w:r>
      <w:r w:rsidRPr="00731D28">
        <w:rPr>
          <w:rFonts w:ascii="Arial" w:eastAsia="Arial" w:hAnsi="Arial"/>
          <w:bCs/>
          <w:sz w:val="22"/>
          <w:szCs w:val="22"/>
          <w:lang w:val="es-CR"/>
        </w:rPr>
        <w:t xml:space="preserve"> al valor en libros </w:t>
      </w:r>
      <w:r>
        <w:rPr>
          <w:rFonts w:ascii="Arial" w:eastAsia="Arial" w:hAnsi="Arial"/>
          <w:bCs/>
          <w:sz w:val="22"/>
          <w:szCs w:val="22"/>
          <w:lang w:val="es-CR"/>
        </w:rPr>
        <w:t xml:space="preserve">que tuviera en </w:t>
      </w:r>
      <w:r w:rsidRPr="00731D28">
        <w:rPr>
          <w:rFonts w:ascii="Arial" w:eastAsia="Arial" w:hAnsi="Arial"/>
          <w:bCs/>
          <w:sz w:val="22"/>
          <w:szCs w:val="22"/>
          <w:lang w:val="es-CR"/>
        </w:rPr>
        <w:t>aquella entidad al momento de la transferencia</w:t>
      </w:r>
      <w:r>
        <w:rPr>
          <w:rFonts w:ascii="Arial" w:eastAsia="Arial" w:hAnsi="Arial"/>
          <w:bCs/>
          <w:sz w:val="22"/>
          <w:szCs w:val="22"/>
          <w:lang w:val="es-CR"/>
        </w:rPr>
        <w:t>.</w:t>
      </w:r>
    </w:p>
    <w:p w14:paraId="4204F912" w14:textId="77777777" w:rsidR="004741D6" w:rsidRDefault="004741D6" w:rsidP="004741D6">
      <w:pPr>
        <w:spacing w:line="238" w:lineRule="auto"/>
        <w:ind w:left="1134" w:right="260" w:hanging="1134"/>
        <w:jc w:val="both"/>
        <w:rPr>
          <w:rFonts w:ascii="Arial" w:eastAsia="Arial" w:hAnsi="Arial"/>
          <w:b/>
          <w:sz w:val="22"/>
          <w:szCs w:val="22"/>
          <w:lang w:val="es-CR"/>
        </w:rPr>
      </w:pPr>
    </w:p>
    <w:p w14:paraId="43FA35B9"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8880" w:type="dxa"/>
        <w:tblLook w:val="04A0" w:firstRow="1" w:lastRow="0" w:firstColumn="1" w:lastColumn="0" w:noHBand="0" w:noVBand="1"/>
      </w:tblPr>
      <w:tblGrid>
        <w:gridCol w:w="562"/>
        <w:gridCol w:w="517"/>
        <w:gridCol w:w="540"/>
        <w:gridCol w:w="2834"/>
        <w:gridCol w:w="2338"/>
        <w:gridCol w:w="2089"/>
      </w:tblGrid>
      <w:tr w:rsidR="004741D6" w:rsidRPr="00845217" w14:paraId="6506DC71" w14:textId="77777777" w:rsidTr="00D16719">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0EBCCED" w14:textId="77777777" w:rsidR="004741D6" w:rsidRPr="00845217" w:rsidRDefault="004741D6" w:rsidP="00D16719">
            <w:pPr>
              <w:jc w:val="center"/>
              <w:rPr>
                <w:rFonts w:ascii="Arial Narrow" w:eastAsia="Times New Roman" w:hAnsi="Arial Narrow"/>
                <w:b/>
                <w:bCs/>
                <w:color w:val="FFFFFF"/>
                <w:sz w:val="22"/>
                <w:szCs w:val="22"/>
              </w:rPr>
            </w:pPr>
            <w:r w:rsidRPr="00845217">
              <w:rPr>
                <w:rFonts w:ascii="Arial Narrow" w:eastAsia="Times New Roman" w:hAnsi="Arial Narrow"/>
                <w:b/>
                <w:bCs/>
                <w:color w:val="FFFFFF"/>
                <w:sz w:val="22"/>
                <w:szCs w:val="22"/>
              </w:rPr>
              <w:t>Norma / Política</w:t>
            </w:r>
          </w:p>
        </w:tc>
        <w:tc>
          <w:tcPr>
            <w:tcW w:w="286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1218E52" w14:textId="77777777" w:rsidR="004741D6" w:rsidRPr="00845217" w:rsidRDefault="004741D6" w:rsidP="00D16719">
            <w:pPr>
              <w:jc w:val="center"/>
              <w:rPr>
                <w:rFonts w:ascii="Arial Narrow" w:eastAsia="Times New Roman" w:hAnsi="Arial Narrow"/>
                <w:b/>
                <w:bCs/>
                <w:color w:val="FFFFFF"/>
                <w:sz w:val="22"/>
                <w:szCs w:val="22"/>
              </w:rPr>
            </w:pPr>
            <w:r w:rsidRPr="00845217">
              <w:rPr>
                <w:rFonts w:ascii="Arial Narrow" w:eastAsia="Times New Roman" w:hAnsi="Arial Narrow"/>
                <w:b/>
                <w:bCs/>
                <w:color w:val="FFFFFF"/>
                <w:sz w:val="22"/>
                <w:szCs w:val="22"/>
              </w:rPr>
              <w:t>Concepto</w:t>
            </w:r>
          </w:p>
        </w:tc>
        <w:tc>
          <w:tcPr>
            <w:tcW w:w="4460" w:type="dxa"/>
            <w:gridSpan w:val="2"/>
            <w:tcBorders>
              <w:top w:val="single" w:sz="8" w:space="0" w:color="auto"/>
              <w:left w:val="nil"/>
              <w:bottom w:val="single" w:sz="8" w:space="0" w:color="auto"/>
              <w:right w:val="single" w:sz="8" w:space="0" w:color="000000"/>
            </w:tcBorders>
            <w:shd w:val="clear" w:color="000000" w:fill="203764"/>
            <w:vAlign w:val="center"/>
            <w:hideMark/>
          </w:tcPr>
          <w:p w14:paraId="1F5D9AC3" w14:textId="77777777" w:rsidR="004741D6" w:rsidRPr="00845217" w:rsidRDefault="004741D6" w:rsidP="00D16719">
            <w:pPr>
              <w:jc w:val="center"/>
              <w:rPr>
                <w:rFonts w:ascii="Arial Narrow" w:eastAsia="Times New Roman" w:hAnsi="Arial Narrow"/>
                <w:b/>
                <w:bCs/>
                <w:color w:val="FFFFFF"/>
                <w:sz w:val="22"/>
                <w:szCs w:val="22"/>
              </w:rPr>
            </w:pPr>
            <w:r w:rsidRPr="00845217">
              <w:rPr>
                <w:rFonts w:ascii="Arial Narrow" w:eastAsia="Times New Roman" w:hAnsi="Arial Narrow"/>
                <w:b/>
                <w:bCs/>
                <w:color w:val="FFFFFF"/>
                <w:sz w:val="22"/>
                <w:szCs w:val="22"/>
              </w:rPr>
              <w:t>Referencia</w:t>
            </w:r>
          </w:p>
        </w:tc>
      </w:tr>
      <w:tr w:rsidR="004741D6" w:rsidRPr="006E5442" w14:paraId="0A0CB956" w14:textId="77777777" w:rsidTr="00D16719">
        <w:trPr>
          <w:trHeight w:val="761"/>
        </w:trPr>
        <w:tc>
          <w:tcPr>
            <w:tcW w:w="1560" w:type="dxa"/>
            <w:gridSpan w:val="3"/>
            <w:vMerge/>
            <w:tcBorders>
              <w:top w:val="single" w:sz="8" w:space="0" w:color="auto"/>
              <w:left w:val="single" w:sz="8" w:space="0" w:color="auto"/>
              <w:bottom w:val="nil"/>
              <w:right w:val="single" w:sz="8" w:space="0" w:color="000000"/>
            </w:tcBorders>
            <w:vAlign w:val="center"/>
            <w:hideMark/>
          </w:tcPr>
          <w:p w14:paraId="5343BE54" w14:textId="77777777" w:rsidR="004741D6" w:rsidRPr="00845217" w:rsidRDefault="004741D6" w:rsidP="00D16719">
            <w:pPr>
              <w:rPr>
                <w:rFonts w:ascii="Arial Narrow" w:eastAsia="Times New Roman" w:hAnsi="Arial Narrow"/>
                <w:b/>
                <w:bCs/>
                <w:color w:val="FFFFFF"/>
                <w:sz w:val="22"/>
                <w:szCs w:val="22"/>
              </w:rPr>
            </w:pPr>
          </w:p>
        </w:tc>
        <w:tc>
          <w:tcPr>
            <w:tcW w:w="2860" w:type="dxa"/>
            <w:vMerge/>
            <w:tcBorders>
              <w:top w:val="single" w:sz="8" w:space="0" w:color="auto"/>
              <w:left w:val="single" w:sz="8" w:space="0" w:color="auto"/>
              <w:bottom w:val="nil"/>
              <w:right w:val="single" w:sz="8" w:space="0" w:color="auto"/>
            </w:tcBorders>
            <w:vAlign w:val="center"/>
            <w:hideMark/>
          </w:tcPr>
          <w:p w14:paraId="68E99034" w14:textId="77777777" w:rsidR="004741D6" w:rsidRPr="00845217" w:rsidRDefault="004741D6" w:rsidP="00D16719">
            <w:pPr>
              <w:rPr>
                <w:rFonts w:ascii="Arial Narrow" w:eastAsia="Times New Roman" w:hAnsi="Arial Narrow"/>
                <w:b/>
                <w:bCs/>
                <w:color w:val="FFFFFF"/>
                <w:sz w:val="22"/>
                <w:szCs w:val="22"/>
              </w:rPr>
            </w:pPr>
          </w:p>
        </w:tc>
        <w:tc>
          <w:tcPr>
            <w:tcW w:w="2360" w:type="dxa"/>
            <w:tcBorders>
              <w:top w:val="nil"/>
              <w:left w:val="nil"/>
              <w:bottom w:val="nil"/>
              <w:right w:val="single" w:sz="8" w:space="0" w:color="auto"/>
            </w:tcBorders>
            <w:shd w:val="clear" w:color="000000" w:fill="203764"/>
            <w:vAlign w:val="center"/>
            <w:hideMark/>
          </w:tcPr>
          <w:p w14:paraId="634E061C" w14:textId="77777777" w:rsidR="004741D6" w:rsidRPr="00845217" w:rsidRDefault="004741D6" w:rsidP="00D16719">
            <w:pPr>
              <w:jc w:val="center"/>
              <w:rPr>
                <w:rFonts w:ascii="Arial Narrow" w:eastAsia="Times New Roman" w:hAnsi="Arial Narrow"/>
                <w:b/>
                <w:bCs/>
                <w:color w:val="FFFFFF"/>
                <w:sz w:val="22"/>
                <w:szCs w:val="22"/>
              </w:rPr>
            </w:pPr>
            <w:r w:rsidRPr="00845217">
              <w:rPr>
                <w:rFonts w:ascii="Arial Narrow" w:eastAsia="Times New Roman" w:hAnsi="Arial Narrow"/>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434D5D9A" w14:textId="77777777" w:rsidR="004741D6" w:rsidRPr="00845217" w:rsidRDefault="004741D6" w:rsidP="00D16719">
            <w:pPr>
              <w:jc w:val="center"/>
              <w:rPr>
                <w:rFonts w:ascii="Arial Narrow" w:eastAsia="Times New Roman" w:hAnsi="Arial Narrow"/>
                <w:b/>
                <w:bCs/>
                <w:color w:val="FFFFFF"/>
                <w:sz w:val="22"/>
                <w:szCs w:val="22"/>
                <w:lang w:val="es-CR"/>
              </w:rPr>
            </w:pPr>
            <w:r w:rsidRPr="00845217">
              <w:rPr>
                <w:rFonts w:ascii="Arial Narrow" w:eastAsia="Times New Roman" w:hAnsi="Arial Narrow"/>
                <w:b/>
                <w:bCs/>
                <w:color w:val="FFFFFF"/>
                <w:sz w:val="22"/>
                <w:szCs w:val="22"/>
                <w:lang w:val="es-CR"/>
              </w:rPr>
              <w:t>Normativa técnica y disposiciones adicionales</w:t>
            </w:r>
          </w:p>
        </w:tc>
      </w:tr>
      <w:tr w:rsidR="004741D6" w:rsidRPr="00845217" w14:paraId="1CC7263E" w14:textId="77777777" w:rsidTr="00D16719">
        <w:trPr>
          <w:trHeight w:val="765"/>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2ECA4C" w14:textId="77777777" w:rsidR="004741D6" w:rsidRPr="00845217" w:rsidRDefault="004741D6" w:rsidP="00D16719">
            <w:pPr>
              <w:jc w:val="center"/>
              <w:rPr>
                <w:rFonts w:ascii="Arial Narrow" w:eastAsia="Times New Roman" w:hAnsi="Arial Narrow"/>
                <w:b/>
                <w:bCs/>
                <w:color w:val="000000"/>
                <w:sz w:val="22"/>
                <w:szCs w:val="22"/>
              </w:rPr>
            </w:pPr>
            <w:r w:rsidRPr="00845217">
              <w:rPr>
                <w:rFonts w:ascii="Arial Narrow" w:eastAsia="Times New Roman" w:hAnsi="Arial Narrow" w:cs="Arial Narrow"/>
                <w:b/>
                <w:bCs/>
                <w:color w:val="000000"/>
                <w:spacing w:val="-10"/>
                <w:sz w:val="22"/>
                <w:szCs w:val="22"/>
              </w:rPr>
              <w:t>1</w:t>
            </w:r>
          </w:p>
        </w:tc>
        <w:tc>
          <w:tcPr>
            <w:tcW w:w="451" w:type="dxa"/>
            <w:tcBorders>
              <w:top w:val="single" w:sz="8" w:space="0" w:color="auto"/>
              <w:left w:val="nil"/>
              <w:bottom w:val="single" w:sz="8" w:space="0" w:color="auto"/>
              <w:right w:val="single" w:sz="8" w:space="0" w:color="auto"/>
            </w:tcBorders>
            <w:shd w:val="clear" w:color="auto" w:fill="auto"/>
            <w:noWrap/>
            <w:vAlign w:val="center"/>
            <w:hideMark/>
          </w:tcPr>
          <w:p w14:paraId="0F1385FA" w14:textId="77777777" w:rsidR="004741D6" w:rsidRPr="00845217" w:rsidRDefault="004741D6" w:rsidP="00D16719">
            <w:pPr>
              <w:jc w:val="center"/>
              <w:rPr>
                <w:rFonts w:ascii="Arial Narrow" w:eastAsia="Times New Roman" w:hAnsi="Arial Narrow"/>
                <w:b/>
                <w:bCs/>
                <w:color w:val="000000"/>
                <w:sz w:val="22"/>
                <w:szCs w:val="22"/>
              </w:rPr>
            </w:pPr>
            <w:r w:rsidRPr="00845217">
              <w:rPr>
                <w:rFonts w:ascii="Arial Narrow" w:eastAsia="Times New Roman" w:hAnsi="Arial Narrow" w:cs="Arial Narrow"/>
                <w:b/>
                <w:bCs/>
                <w:color w:val="000000"/>
                <w:spacing w:val="-4"/>
                <w:sz w:val="22"/>
                <w:szCs w:val="22"/>
              </w:rPr>
              <w:t>241</w:t>
            </w:r>
          </w:p>
        </w:tc>
        <w:tc>
          <w:tcPr>
            <w:tcW w:w="544" w:type="dxa"/>
            <w:tcBorders>
              <w:top w:val="single" w:sz="8" w:space="0" w:color="auto"/>
              <w:left w:val="nil"/>
              <w:bottom w:val="single" w:sz="8" w:space="0" w:color="auto"/>
              <w:right w:val="single" w:sz="8" w:space="0" w:color="auto"/>
            </w:tcBorders>
            <w:shd w:val="clear" w:color="auto" w:fill="auto"/>
            <w:vAlign w:val="center"/>
            <w:hideMark/>
          </w:tcPr>
          <w:p w14:paraId="7B077C6B" w14:textId="77777777" w:rsidR="004741D6" w:rsidRPr="00845217" w:rsidRDefault="004741D6" w:rsidP="00D16719">
            <w:pPr>
              <w:jc w:val="center"/>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rPr>
              <w:t> </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693D0257" w14:textId="059D5064" w:rsidR="004741D6" w:rsidRPr="00845217" w:rsidRDefault="004741D6" w:rsidP="00D16719">
            <w:pPr>
              <w:jc w:val="both"/>
              <w:rPr>
                <w:rFonts w:ascii="Arial Narrow" w:eastAsia="Times New Roman" w:hAnsi="Arial Narrow"/>
                <w:b/>
                <w:bCs/>
                <w:color w:val="000000"/>
                <w:sz w:val="22"/>
                <w:szCs w:val="22"/>
                <w:lang w:val="es-CR"/>
              </w:rPr>
            </w:pPr>
            <w:r w:rsidRPr="00845217">
              <w:rPr>
                <w:rFonts w:ascii="Arial Narrow" w:eastAsia="Times New Roman" w:hAnsi="Arial Narrow"/>
                <w:b/>
                <w:bCs/>
                <w:color w:val="000000"/>
                <w:sz w:val="22"/>
                <w:szCs w:val="22"/>
                <w:lang w:val="es-CR"/>
              </w:rPr>
              <w:t xml:space="preserve">Activos intangibles adquiridos a través de una transacción de </w:t>
            </w:r>
            <w:r w:rsidR="0021354A" w:rsidRPr="00845217">
              <w:rPr>
                <w:rFonts w:ascii="Arial Narrow" w:eastAsia="Times New Roman" w:hAnsi="Arial Narrow"/>
                <w:b/>
                <w:bCs/>
                <w:color w:val="000000"/>
                <w:sz w:val="22"/>
                <w:szCs w:val="22"/>
                <w:lang w:val="es-CR"/>
              </w:rPr>
              <w:t>interca</w:t>
            </w:r>
            <w:r w:rsidR="0021354A">
              <w:rPr>
                <w:rFonts w:ascii="Arial Narrow" w:eastAsia="Times New Roman" w:hAnsi="Arial Narrow"/>
                <w:b/>
                <w:bCs/>
                <w:color w:val="000000"/>
                <w:sz w:val="22"/>
                <w:szCs w:val="22"/>
                <w:lang w:val="es-CR"/>
              </w:rPr>
              <w:t>mbi</w:t>
            </w:r>
            <w:r w:rsidR="0021354A" w:rsidRPr="00845217">
              <w:rPr>
                <w:rFonts w:ascii="Arial Narrow" w:eastAsia="Times New Roman" w:hAnsi="Arial Narrow"/>
                <w:b/>
                <w:bCs/>
                <w:color w:val="000000"/>
                <w:sz w:val="22"/>
                <w:szCs w:val="22"/>
                <w:lang w:val="es-CR"/>
              </w:rPr>
              <w:t>o</w:t>
            </w:r>
            <w:r w:rsidRPr="00845217">
              <w:rPr>
                <w:rFonts w:ascii="Arial Narrow" w:eastAsia="Times New Roman" w:hAnsi="Arial Narrow"/>
                <w:b/>
                <w:bCs/>
                <w:color w:val="000000"/>
                <w:sz w:val="22"/>
                <w:szCs w:val="22"/>
                <w:lang w:val="es-CR"/>
              </w:rPr>
              <w:t xml:space="preserve"> (permuta) por otros activos</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648FABFB" w14:textId="77777777" w:rsidR="004741D6" w:rsidRDefault="004741D6" w:rsidP="00B46BBC">
            <w:pPr>
              <w:jc w:val="both"/>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rPr>
              <w:t xml:space="preserve">NICSP Nº 31, </w:t>
            </w:r>
          </w:p>
          <w:p w14:paraId="76C596FE" w14:textId="77777777" w:rsidR="004741D6" w:rsidRPr="00845217" w:rsidRDefault="004741D6" w:rsidP="00B46BBC">
            <w:pPr>
              <w:jc w:val="both"/>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rPr>
              <w:t xml:space="preserve">Párrafos 42 y 43. </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153E942C" w14:textId="77777777" w:rsidR="004741D6" w:rsidRPr="00845217" w:rsidRDefault="004741D6" w:rsidP="00D16719">
            <w:pPr>
              <w:jc w:val="center"/>
              <w:rPr>
                <w:rFonts w:ascii="Arial Narrow" w:eastAsia="Times New Roman" w:hAnsi="Arial Narrow"/>
                <w:b/>
                <w:bCs/>
                <w:color w:val="000000"/>
                <w:sz w:val="22"/>
                <w:szCs w:val="22"/>
              </w:rPr>
            </w:pPr>
            <w:r w:rsidRPr="00845217">
              <w:rPr>
                <w:rFonts w:ascii="Arial Narrow" w:eastAsia="Times New Roman" w:hAnsi="Arial Narrow" w:cs="Arial Narrow"/>
                <w:b/>
                <w:bCs/>
                <w:color w:val="000000"/>
                <w:spacing w:val="-4"/>
                <w:sz w:val="22"/>
                <w:szCs w:val="22"/>
              </w:rPr>
              <w:t xml:space="preserve"> </w:t>
            </w:r>
          </w:p>
        </w:tc>
      </w:tr>
      <w:tr w:rsidR="004741D6" w:rsidRPr="00845217" w14:paraId="149DF02E" w14:textId="77777777" w:rsidTr="00D16719">
        <w:trPr>
          <w:trHeight w:val="461"/>
        </w:trPr>
        <w:tc>
          <w:tcPr>
            <w:tcW w:w="565" w:type="dxa"/>
            <w:tcBorders>
              <w:top w:val="nil"/>
              <w:left w:val="single" w:sz="8" w:space="0" w:color="auto"/>
              <w:bottom w:val="single" w:sz="8" w:space="0" w:color="auto"/>
              <w:right w:val="single" w:sz="8" w:space="0" w:color="auto"/>
            </w:tcBorders>
            <w:shd w:val="clear" w:color="auto" w:fill="auto"/>
            <w:vAlign w:val="center"/>
            <w:hideMark/>
          </w:tcPr>
          <w:p w14:paraId="1F12CC3A" w14:textId="77777777" w:rsidR="004741D6" w:rsidRPr="00845217" w:rsidRDefault="004741D6" w:rsidP="00D16719">
            <w:pPr>
              <w:jc w:val="center"/>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lang w:val="es-CR"/>
              </w:rPr>
              <w:t>1</w:t>
            </w:r>
          </w:p>
        </w:tc>
        <w:tc>
          <w:tcPr>
            <w:tcW w:w="451" w:type="dxa"/>
            <w:tcBorders>
              <w:top w:val="nil"/>
              <w:left w:val="nil"/>
              <w:bottom w:val="single" w:sz="8" w:space="0" w:color="auto"/>
              <w:right w:val="single" w:sz="8" w:space="0" w:color="auto"/>
            </w:tcBorders>
            <w:shd w:val="clear" w:color="auto" w:fill="auto"/>
            <w:noWrap/>
            <w:vAlign w:val="center"/>
            <w:hideMark/>
          </w:tcPr>
          <w:p w14:paraId="2F318D49" w14:textId="77777777" w:rsidR="004741D6" w:rsidRPr="00845217" w:rsidRDefault="004741D6" w:rsidP="00D16719">
            <w:pPr>
              <w:jc w:val="center"/>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lang w:val="es-CR"/>
              </w:rPr>
              <w:t>241</w:t>
            </w:r>
          </w:p>
        </w:tc>
        <w:tc>
          <w:tcPr>
            <w:tcW w:w="544" w:type="dxa"/>
            <w:tcBorders>
              <w:top w:val="nil"/>
              <w:left w:val="nil"/>
              <w:bottom w:val="single" w:sz="8" w:space="0" w:color="auto"/>
              <w:right w:val="single" w:sz="8" w:space="0" w:color="auto"/>
            </w:tcBorders>
            <w:shd w:val="clear" w:color="auto" w:fill="auto"/>
            <w:vAlign w:val="center"/>
            <w:hideMark/>
          </w:tcPr>
          <w:p w14:paraId="1B05F68C" w14:textId="77777777" w:rsidR="004741D6" w:rsidRPr="00845217" w:rsidRDefault="004741D6" w:rsidP="00D16719">
            <w:pPr>
              <w:jc w:val="center"/>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rPr>
              <w:t>1</w:t>
            </w:r>
          </w:p>
        </w:tc>
        <w:tc>
          <w:tcPr>
            <w:tcW w:w="2860" w:type="dxa"/>
            <w:tcBorders>
              <w:top w:val="nil"/>
              <w:left w:val="nil"/>
              <w:bottom w:val="single" w:sz="8" w:space="0" w:color="auto"/>
              <w:right w:val="single" w:sz="8" w:space="0" w:color="auto"/>
            </w:tcBorders>
            <w:shd w:val="clear" w:color="auto" w:fill="auto"/>
            <w:vAlign w:val="center"/>
            <w:hideMark/>
          </w:tcPr>
          <w:p w14:paraId="4ED02835" w14:textId="77777777" w:rsidR="004741D6" w:rsidRPr="00845217" w:rsidRDefault="004741D6" w:rsidP="00D16719">
            <w:pPr>
              <w:jc w:val="both"/>
              <w:rPr>
                <w:rFonts w:ascii="Arial Narrow" w:eastAsia="Times New Roman" w:hAnsi="Arial Narrow"/>
                <w:b/>
                <w:bCs/>
                <w:color w:val="000000"/>
                <w:sz w:val="22"/>
                <w:szCs w:val="22"/>
                <w:lang w:val="es-CR"/>
              </w:rPr>
            </w:pPr>
            <w:r w:rsidRPr="00845217">
              <w:rPr>
                <w:rFonts w:ascii="Arial Narrow" w:eastAsia="Times New Roman" w:hAnsi="Arial Narrow"/>
                <w:b/>
                <w:bCs/>
                <w:color w:val="000000"/>
                <w:sz w:val="22"/>
                <w:szCs w:val="22"/>
                <w:lang w:val="es-CR"/>
              </w:rPr>
              <w:t>Medición inicial de los activos intangibles adquiridos</w:t>
            </w:r>
          </w:p>
        </w:tc>
        <w:tc>
          <w:tcPr>
            <w:tcW w:w="2360" w:type="dxa"/>
            <w:tcBorders>
              <w:top w:val="nil"/>
              <w:left w:val="nil"/>
              <w:bottom w:val="single" w:sz="8" w:space="0" w:color="auto"/>
              <w:right w:val="single" w:sz="8" w:space="0" w:color="auto"/>
            </w:tcBorders>
            <w:shd w:val="clear" w:color="auto" w:fill="auto"/>
            <w:vAlign w:val="center"/>
            <w:hideMark/>
          </w:tcPr>
          <w:p w14:paraId="22A360CF" w14:textId="77777777" w:rsidR="004741D6" w:rsidRDefault="004741D6" w:rsidP="00B46BBC">
            <w:pPr>
              <w:jc w:val="both"/>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rPr>
              <w:t xml:space="preserve">NICSP N° 31, </w:t>
            </w:r>
          </w:p>
          <w:p w14:paraId="70C599B9" w14:textId="77777777" w:rsidR="004741D6" w:rsidRPr="00845217" w:rsidRDefault="004741D6" w:rsidP="00B46BBC">
            <w:pPr>
              <w:jc w:val="both"/>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rPr>
              <w:t>Párrafos 44 y 45.</w:t>
            </w:r>
          </w:p>
        </w:tc>
        <w:tc>
          <w:tcPr>
            <w:tcW w:w="2100" w:type="dxa"/>
            <w:tcBorders>
              <w:top w:val="nil"/>
              <w:left w:val="nil"/>
              <w:bottom w:val="single" w:sz="8" w:space="0" w:color="auto"/>
              <w:right w:val="single" w:sz="8" w:space="0" w:color="auto"/>
            </w:tcBorders>
            <w:shd w:val="clear" w:color="auto" w:fill="auto"/>
            <w:vAlign w:val="center"/>
            <w:hideMark/>
          </w:tcPr>
          <w:p w14:paraId="67A734B5" w14:textId="77777777" w:rsidR="004741D6" w:rsidRPr="00845217" w:rsidRDefault="004741D6" w:rsidP="00D16719">
            <w:pPr>
              <w:jc w:val="center"/>
              <w:rPr>
                <w:rFonts w:ascii="Arial Narrow" w:eastAsia="Times New Roman" w:hAnsi="Arial Narrow"/>
                <w:b/>
                <w:bCs/>
                <w:color w:val="000000"/>
                <w:sz w:val="22"/>
                <w:szCs w:val="22"/>
              </w:rPr>
            </w:pPr>
            <w:r w:rsidRPr="00845217">
              <w:rPr>
                <w:rFonts w:ascii="Arial Narrow" w:eastAsia="Times New Roman" w:hAnsi="Arial Narrow"/>
                <w:b/>
                <w:bCs/>
                <w:color w:val="000000"/>
                <w:sz w:val="22"/>
                <w:szCs w:val="22"/>
              </w:rPr>
              <w:t>DGCN</w:t>
            </w:r>
          </w:p>
        </w:tc>
      </w:tr>
    </w:tbl>
    <w:p w14:paraId="0A13C1D2" w14:textId="77777777" w:rsidR="004741D6" w:rsidRDefault="004741D6" w:rsidP="004741D6">
      <w:pPr>
        <w:spacing w:line="238" w:lineRule="auto"/>
        <w:ind w:left="1134" w:right="260" w:hanging="1134"/>
        <w:jc w:val="both"/>
        <w:rPr>
          <w:rFonts w:ascii="Arial" w:eastAsia="Arial" w:hAnsi="Arial"/>
          <w:b/>
          <w:sz w:val="22"/>
          <w:szCs w:val="22"/>
          <w:lang w:val="es-CR"/>
        </w:rPr>
      </w:pPr>
    </w:p>
    <w:p w14:paraId="4F742677" w14:textId="35F47C9F" w:rsidR="00B46BBC" w:rsidRDefault="00B46BBC"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5A9963F" w14:textId="77777777" w:rsidR="00B46BBC" w:rsidRDefault="00B46BBC" w:rsidP="004741D6">
      <w:pPr>
        <w:spacing w:line="238" w:lineRule="auto"/>
        <w:ind w:left="1134" w:right="260" w:hanging="1134"/>
        <w:jc w:val="both"/>
        <w:rPr>
          <w:rFonts w:ascii="Arial" w:eastAsia="Arial" w:hAnsi="Arial"/>
          <w:b/>
          <w:sz w:val="22"/>
          <w:szCs w:val="22"/>
          <w:lang w:val="es-CR"/>
        </w:rPr>
      </w:pPr>
    </w:p>
    <w:p w14:paraId="32FF561A" w14:textId="3929D258"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1.241.0.01</w:t>
      </w:r>
      <w:r>
        <w:rPr>
          <w:rFonts w:ascii="Arial" w:eastAsia="Arial" w:hAnsi="Arial"/>
          <w:bCs/>
          <w:sz w:val="22"/>
          <w:szCs w:val="22"/>
          <w:lang w:val="es-CR"/>
        </w:rPr>
        <w:tab/>
      </w:r>
      <w:r w:rsidRPr="00845217">
        <w:rPr>
          <w:rFonts w:ascii="Arial" w:eastAsia="Arial" w:hAnsi="Arial"/>
          <w:bCs/>
          <w:sz w:val="22"/>
          <w:szCs w:val="22"/>
          <w:lang w:val="es-CR"/>
        </w:rPr>
        <w:t xml:space="preserve">Cuando un activo intangible </w:t>
      </w:r>
      <w:r>
        <w:rPr>
          <w:rFonts w:ascii="Arial" w:eastAsia="Arial" w:hAnsi="Arial"/>
          <w:bCs/>
          <w:sz w:val="22"/>
          <w:szCs w:val="22"/>
          <w:lang w:val="es-CR"/>
        </w:rPr>
        <w:t>se adquiera</w:t>
      </w:r>
      <w:r w:rsidRPr="00845217">
        <w:rPr>
          <w:rFonts w:ascii="Arial" w:eastAsia="Arial" w:hAnsi="Arial"/>
          <w:bCs/>
          <w:sz w:val="22"/>
          <w:szCs w:val="22"/>
          <w:lang w:val="es-CR"/>
        </w:rPr>
        <w:t xml:space="preserve"> a </w:t>
      </w:r>
      <w:r w:rsidR="0021354A" w:rsidRPr="00845217">
        <w:rPr>
          <w:rFonts w:ascii="Arial" w:eastAsia="Arial" w:hAnsi="Arial"/>
          <w:bCs/>
          <w:sz w:val="22"/>
          <w:szCs w:val="22"/>
          <w:lang w:val="es-CR"/>
        </w:rPr>
        <w:t>ca</w:t>
      </w:r>
      <w:r w:rsidR="0021354A">
        <w:rPr>
          <w:rFonts w:ascii="Arial" w:eastAsia="Arial" w:hAnsi="Arial"/>
          <w:bCs/>
          <w:sz w:val="22"/>
          <w:szCs w:val="22"/>
          <w:lang w:val="es-CR"/>
        </w:rPr>
        <w:t>mbi</w:t>
      </w:r>
      <w:r w:rsidR="0021354A" w:rsidRPr="00845217">
        <w:rPr>
          <w:rFonts w:ascii="Arial" w:eastAsia="Arial" w:hAnsi="Arial"/>
          <w:bCs/>
          <w:sz w:val="22"/>
          <w:szCs w:val="22"/>
          <w:lang w:val="es-CR"/>
        </w:rPr>
        <w:t>o</w:t>
      </w:r>
      <w:r w:rsidRPr="00845217">
        <w:rPr>
          <w:rFonts w:ascii="Arial" w:eastAsia="Arial" w:hAnsi="Arial"/>
          <w:bCs/>
          <w:sz w:val="22"/>
          <w:szCs w:val="22"/>
          <w:lang w:val="es-CR"/>
        </w:rPr>
        <w:t xml:space="preserve"> de uno o varios activos no monetarios, o de una </w:t>
      </w:r>
      <w:r w:rsidR="0021354A" w:rsidRPr="00845217">
        <w:rPr>
          <w:rFonts w:ascii="Arial" w:eastAsia="Arial" w:hAnsi="Arial"/>
          <w:bCs/>
          <w:sz w:val="22"/>
          <w:szCs w:val="22"/>
          <w:lang w:val="es-CR"/>
        </w:rPr>
        <w:t>co</w:t>
      </w:r>
      <w:r w:rsidR="0021354A">
        <w:rPr>
          <w:rFonts w:ascii="Arial" w:eastAsia="Arial" w:hAnsi="Arial"/>
          <w:bCs/>
          <w:sz w:val="22"/>
          <w:szCs w:val="22"/>
          <w:lang w:val="es-CR"/>
        </w:rPr>
        <w:t>mbi</w:t>
      </w:r>
      <w:r w:rsidR="0021354A" w:rsidRPr="00845217">
        <w:rPr>
          <w:rFonts w:ascii="Arial" w:eastAsia="Arial" w:hAnsi="Arial"/>
          <w:bCs/>
          <w:sz w:val="22"/>
          <w:szCs w:val="22"/>
          <w:lang w:val="es-CR"/>
        </w:rPr>
        <w:t>nación</w:t>
      </w:r>
      <w:r w:rsidRPr="00845217">
        <w:rPr>
          <w:rFonts w:ascii="Arial" w:eastAsia="Arial" w:hAnsi="Arial"/>
          <w:bCs/>
          <w:sz w:val="22"/>
          <w:szCs w:val="22"/>
          <w:lang w:val="es-CR"/>
        </w:rPr>
        <w:t xml:space="preserve"> de activos monetarios y no monetarios, el costo de este se medirá por su valor razonable, a menos que no pueda medirse con fiabilidad el valor razonable del activo recibido</w:t>
      </w:r>
      <w:r>
        <w:rPr>
          <w:rFonts w:ascii="Arial" w:eastAsia="Arial" w:hAnsi="Arial"/>
          <w:bCs/>
          <w:sz w:val="22"/>
          <w:szCs w:val="22"/>
          <w:lang w:val="es-CR"/>
        </w:rPr>
        <w:t>,</w:t>
      </w:r>
      <w:r w:rsidRPr="00845217">
        <w:rPr>
          <w:rFonts w:ascii="Arial" w:eastAsia="Arial" w:hAnsi="Arial"/>
          <w:bCs/>
          <w:sz w:val="22"/>
          <w:szCs w:val="22"/>
          <w:lang w:val="es-CR"/>
        </w:rPr>
        <w:t xml:space="preserve"> ni el del activo</w:t>
      </w:r>
      <w:r>
        <w:rPr>
          <w:rFonts w:ascii="Arial" w:eastAsia="Arial" w:hAnsi="Arial"/>
          <w:bCs/>
          <w:sz w:val="22"/>
          <w:szCs w:val="22"/>
          <w:lang w:val="es-CR"/>
        </w:rPr>
        <w:t xml:space="preserve"> o activos </w:t>
      </w:r>
      <w:r w:rsidRPr="00845217">
        <w:rPr>
          <w:rFonts w:ascii="Arial" w:eastAsia="Arial" w:hAnsi="Arial"/>
          <w:bCs/>
          <w:sz w:val="22"/>
          <w:szCs w:val="22"/>
          <w:lang w:val="es-CR"/>
        </w:rPr>
        <w:t>entregado</w:t>
      </w:r>
      <w:r>
        <w:rPr>
          <w:rFonts w:ascii="Arial" w:eastAsia="Arial" w:hAnsi="Arial"/>
          <w:bCs/>
          <w:sz w:val="22"/>
          <w:szCs w:val="22"/>
          <w:lang w:val="es-CR"/>
        </w:rPr>
        <w:t>s</w:t>
      </w:r>
      <w:r w:rsidRPr="00845217">
        <w:rPr>
          <w:rFonts w:ascii="Arial" w:eastAsia="Arial" w:hAnsi="Arial"/>
          <w:bCs/>
          <w:sz w:val="22"/>
          <w:szCs w:val="22"/>
          <w:lang w:val="es-CR"/>
        </w:rPr>
        <w:t>.</w:t>
      </w:r>
    </w:p>
    <w:p w14:paraId="5B1ABEB0" w14:textId="77777777" w:rsidR="00B46BBC" w:rsidRPr="00845217" w:rsidRDefault="00B46BBC" w:rsidP="004741D6">
      <w:pPr>
        <w:spacing w:line="236" w:lineRule="auto"/>
        <w:ind w:left="1134" w:right="280" w:hanging="1134"/>
        <w:jc w:val="both"/>
        <w:rPr>
          <w:rFonts w:ascii="Arial" w:eastAsia="Arial" w:hAnsi="Arial"/>
          <w:bCs/>
          <w:sz w:val="22"/>
          <w:szCs w:val="22"/>
          <w:lang w:val="es-CR"/>
        </w:rPr>
      </w:pPr>
    </w:p>
    <w:p w14:paraId="089701DC" w14:textId="18B0EC82"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1.241.1.01</w:t>
      </w:r>
      <w:r>
        <w:rPr>
          <w:rFonts w:ascii="Arial" w:eastAsia="Arial" w:hAnsi="Arial"/>
          <w:bCs/>
          <w:sz w:val="22"/>
          <w:szCs w:val="22"/>
          <w:lang w:val="es-CR"/>
        </w:rPr>
        <w:tab/>
        <w:t>E</w:t>
      </w:r>
      <w:r w:rsidRPr="00845217">
        <w:rPr>
          <w:rFonts w:ascii="Arial" w:eastAsia="Arial" w:hAnsi="Arial"/>
          <w:bCs/>
          <w:sz w:val="22"/>
          <w:szCs w:val="22"/>
          <w:lang w:val="es-CR"/>
        </w:rPr>
        <w:t xml:space="preserve">l valor razonable de </w:t>
      </w:r>
      <w:r>
        <w:rPr>
          <w:rFonts w:ascii="Arial" w:eastAsia="Arial" w:hAnsi="Arial"/>
          <w:bCs/>
          <w:sz w:val="22"/>
          <w:szCs w:val="22"/>
          <w:lang w:val="es-CR"/>
        </w:rPr>
        <w:t>un activo ad</w:t>
      </w:r>
      <w:r w:rsidRPr="00845217">
        <w:rPr>
          <w:rFonts w:ascii="Arial" w:eastAsia="Arial" w:hAnsi="Arial"/>
          <w:bCs/>
          <w:sz w:val="22"/>
          <w:szCs w:val="22"/>
          <w:lang w:val="es-CR"/>
        </w:rPr>
        <w:t>quirid</w:t>
      </w:r>
      <w:r>
        <w:rPr>
          <w:rFonts w:ascii="Arial" w:eastAsia="Arial" w:hAnsi="Arial"/>
          <w:bCs/>
          <w:sz w:val="22"/>
          <w:szCs w:val="22"/>
          <w:lang w:val="es-CR"/>
        </w:rPr>
        <w:t>o</w:t>
      </w:r>
      <w:r w:rsidRPr="00845217">
        <w:rPr>
          <w:rFonts w:ascii="Arial" w:eastAsia="Arial" w:hAnsi="Arial"/>
          <w:bCs/>
          <w:sz w:val="22"/>
          <w:szCs w:val="22"/>
          <w:lang w:val="es-CR"/>
        </w:rPr>
        <w:t xml:space="preserve"> a través de una transacción de </w:t>
      </w:r>
      <w:r w:rsidR="0021354A" w:rsidRPr="00845217">
        <w:rPr>
          <w:rFonts w:ascii="Arial" w:eastAsia="Arial" w:hAnsi="Arial"/>
          <w:bCs/>
          <w:sz w:val="22"/>
          <w:szCs w:val="22"/>
          <w:lang w:val="es-CR"/>
        </w:rPr>
        <w:t>interca</w:t>
      </w:r>
      <w:r w:rsidR="0021354A">
        <w:rPr>
          <w:rFonts w:ascii="Arial" w:eastAsia="Arial" w:hAnsi="Arial"/>
          <w:bCs/>
          <w:sz w:val="22"/>
          <w:szCs w:val="22"/>
          <w:lang w:val="es-CR"/>
        </w:rPr>
        <w:t>mbi</w:t>
      </w:r>
      <w:r w:rsidR="0021354A" w:rsidRPr="00845217">
        <w:rPr>
          <w:rFonts w:ascii="Arial" w:eastAsia="Arial" w:hAnsi="Arial"/>
          <w:bCs/>
          <w:sz w:val="22"/>
          <w:szCs w:val="22"/>
          <w:lang w:val="es-CR"/>
        </w:rPr>
        <w:t>o</w:t>
      </w:r>
      <w:r w:rsidRPr="00845217">
        <w:rPr>
          <w:rFonts w:ascii="Arial" w:eastAsia="Arial" w:hAnsi="Arial"/>
          <w:bCs/>
          <w:sz w:val="22"/>
          <w:szCs w:val="22"/>
          <w:lang w:val="es-CR"/>
        </w:rPr>
        <w:t xml:space="preserve"> estará dado por el acuerdo de las partes intervinientes, es decir, por el precio de la transacción. </w:t>
      </w:r>
    </w:p>
    <w:p w14:paraId="57053A59" w14:textId="77777777" w:rsidR="00B46BBC" w:rsidRDefault="00B46BBC" w:rsidP="004741D6">
      <w:pPr>
        <w:spacing w:line="236" w:lineRule="auto"/>
        <w:ind w:left="1134" w:right="280" w:hanging="1134"/>
        <w:jc w:val="both"/>
        <w:rPr>
          <w:rFonts w:ascii="Arial" w:eastAsia="Arial" w:hAnsi="Arial"/>
          <w:bCs/>
          <w:sz w:val="22"/>
          <w:szCs w:val="22"/>
          <w:lang w:val="es-CR"/>
        </w:rPr>
      </w:pPr>
    </w:p>
    <w:p w14:paraId="242F034E"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1.241.1.02</w:t>
      </w:r>
      <w:r>
        <w:rPr>
          <w:rFonts w:ascii="Arial" w:eastAsia="Arial" w:hAnsi="Arial"/>
          <w:bCs/>
          <w:sz w:val="22"/>
          <w:szCs w:val="22"/>
          <w:lang w:val="es-CR"/>
        </w:rPr>
        <w:tab/>
        <w:t xml:space="preserve">Cuando </w:t>
      </w:r>
      <w:r w:rsidRPr="00845217">
        <w:rPr>
          <w:rFonts w:ascii="Arial" w:eastAsia="Arial" w:hAnsi="Arial"/>
          <w:bCs/>
          <w:sz w:val="22"/>
          <w:szCs w:val="22"/>
          <w:lang w:val="es-CR"/>
        </w:rPr>
        <w:t xml:space="preserve">no </w:t>
      </w:r>
      <w:r>
        <w:rPr>
          <w:rFonts w:ascii="Arial" w:eastAsia="Arial" w:hAnsi="Arial"/>
          <w:bCs/>
          <w:sz w:val="22"/>
          <w:szCs w:val="22"/>
          <w:lang w:val="es-CR"/>
        </w:rPr>
        <w:t>se cuente</w:t>
      </w:r>
      <w:r w:rsidRPr="00845217">
        <w:rPr>
          <w:rFonts w:ascii="Arial" w:eastAsia="Arial" w:hAnsi="Arial"/>
          <w:bCs/>
          <w:sz w:val="22"/>
          <w:szCs w:val="22"/>
          <w:lang w:val="es-CR"/>
        </w:rPr>
        <w:t xml:space="preserve"> con un precio o acuerdo de partes</w:t>
      </w:r>
      <w:r>
        <w:rPr>
          <w:rFonts w:ascii="Arial" w:eastAsia="Arial" w:hAnsi="Arial"/>
          <w:bCs/>
          <w:sz w:val="22"/>
          <w:szCs w:val="22"/>
          <w:lang w:val="es-CR"/>
        </w:rPr>
        <w:t xml:space="preserve"> explícito</w:t>
      </w:r>
      <w:r w:rsidRPr="00845217">
        <w:rPr>
          <w:rFonts w:ascii="Arial" w:eastAsia="Arial" w:hAnsi="Arial"/>
          <w:bCs/>
          <w:sz w:val="22"/>
          <w:szCs w:val="22"/>
          <w:lang w:val="es-CR"/>
        </w:rPr>
        <w:t xml:space="preserve">, </w:t>
      </w:r>
      <w:r>
        <w:rPr>
          <w:rFonts w:ascii="Arial" w:eastAsia="Arial" w:hAnsi="Arial"/>
          <w:bCs/>
          <w:sz w:val="22"/>
          <w:szCs w:val="22"/>
          <w:lang w:val="es-CR"/>
        </w:rPr>
        <w:t xml:space="preserve">y </w:t>
      </w:r>
      <w:r w:rsidRPr="00845217">
        <w:rPr>
          <w:rFonts w:ascii="Arial" w:eastAsia="Arial" w:hAnsi="Arial"/>
          <w:bCs/>
          <w:sz w:val="22"/>
          <w:szCs w:val="22"/>
          <w:lang w:val="es-CR"/>
        </w:rPr>
        <w:t xml:space="preserve">no </w:t>
      </w:r>
      <w:r>
        <w:rPr>
          <w:rFonts w:ascii="Arial" w:eastAsia="Arial" w:hAnsi="Arial"/>
          <w:bCs/>
          <w:sz w:val="22"/>
          <w:szCs w:val="22"/>
          <w:lang w:val="es-CR"/>
        </w:rPr>
        <w:t xml:space="preserve">se </w:t>
      </w:r>
      <w:r w:rsidRPr="00845217">
        <w:rPr>
          <w:rFonts w:ascii="Arial" w:eastAsia="Arial" w:hAnsi="Arial"/>
          <w:bCs/>
          <w:sz w:val="22"/>
          <w:szCs w:val="22"/>
          <w:lang w:val="es-CR"/>
        </w:rPr>
        <w:t>p</w:t>
      </w:r>
      <w:r>
        <w:rPr>
          <w:rFonts w:ascii="Arial" w:eastAsia="Arial" w:hAnsi="Arial"/>
          <w:bCs/>
          <w:sz w:val="22"/>
          <w:szCs w:val="22"/>
          <w:lang w:val="es-CR"/>
        </w:rPr>
        <w:t>u</w:t>
      </w:r>
      <w:r w:rsidRPr="00845217">
        <w:rPr>
          <w:rFonts w:ascii="Arial" w:eastAsia="Arial" w:hAnsi="Arial"/>
          <w:bCs/>
          <w:sz w:val="22"/>
          <w:szCs w:val="22"/>
          <w:lang w:val="es-CR"/>
        </w:rPr>
        <w:t>d</w:t>
      </w:r>
      <w:r>
        <w:rPr>
          <w:rFonts w:ascii="Arial" w:eastAsia="Arial" w:hAnsi="Arial"/>
          <w:bCs/>
          <w:sz w:val="22"/>
          <w:szCs w:val="22"/>
          <w:lang w:val="es-CR"/>
        </w:rPr>
        <w:t>i</w:t>
      </w:r>
      <w:r w:rsidRPr="00845217">
        <w:rPr>
          <w:rFonts w:ascii="Arial" w:eastAsia="Arial" w:hAnsi="Arial"/>
          <w:bCs/>
          <w:sz w:val="22"/>
          <w:szCs w:val="22"/>
          <w:lang w:val="es-CR"/>
        </w:rPr>
        <w:t>er</w:t>
      </w:r>
      <w:r>
        <w:rPr>
          <w:rFonts w:ascii="Arial" w:eastAsia="Arial" w:hAnsi="Arial"/>
          <w:bCs/>
          <w:sz w:val="22"/>
          <w:szCs w:val="22"/>
          <w:lang w:val="es-CR"/>
        </w:rPr>
        <w:t>a</w:t>
      </w:r>
      <w:r w:rsidRPr="00845217">
        <w:rPr>
          <w:rFonts w:ascii="Arial" w:eastAsia="Arial" w:hAnsi="Arial"/>
          <w:bCs/>
          <w:sz w:val="22"/>
          <w:szCs w:val="22"/>
          <w:lang w:val="es-CR"/>
        </w:rPr>
        <w:t xml:space="preserve"> realizar una estimación fiable del mismo, </w:t>
      </w:r>
      <w:r>
        <w:rPr>
          <w:rFonts w:ascii="Arial" w:eastAsia="Arial" w:hAnsi="Arial"/>
          <w:bCs/>
          <w:sz w:val="22"/>
          <w:szCs w:val="22"/>
          <w:lang w:val="es-CR"/>
        </w:rPr>
        <w:t>el</w:t>
      </w:r>
      <w:r w:rsidRPr="00845217">
        <w:rPr>
          <w:rFonts w:ascii="Arial" w:eastAsia="Arial" w:hAnsi="Arial"/>
          <w:bCs/>
          <w:sz w:val="22"/>
          <w:szCs w:val="22"/>
          <w:lang w:val="es-CR"/>
        </w:rPr>
        <w:t xml:space="preserve"> valor de adquisición</w:t>
      </w:r>
      <w:r>
        <w:rPr>
          <w:rFonts w:ascii="Arial" w:eastAsia="Arial" w:hAnsi="Arial"/>
          <w:bCs/>
          <w:sz w:val="22"/>
          <w:szCs w:val="22"/>
          <w:lang w:val="es-CR"/>
        </w:rPr>
        <w:t xml:space="preserve"> se establecerá como</w:t>
      </w:r>
      <w:r w:rsidRPr="00845217">
        <w:rPr>
          <w:rFonts w:ascii="Arial" w:eastAsia="Arial" w:hAnsi="Arial"/>
          <w:bCs/>
          <w:sz w:val="22"/>
          <w:szCs w:val="22"/>
          <w:lang w:val="es-CR"/>
        </w:rPr>
        <w:t xml:space="preserve"> la sumatoria del valor razonable de los activos entregados. Si esto </w:t>
      </w:r>
      <w:r>
        <w:rPr>
          <w:rFonts w:ascii="Arial" w:eastAsia="Arial" w:hAnsi="Arial"/>
          <w:bCs/>
          <w:sz w:val="22"/>
          <w:szCs w:val="22"/>
          <w:lang w:val="es-CR"/>
        </w:rPr>
        <w:t xml:space="preserve">no fuera </w:t>
      </w:r>
      <w:r w:rsidRPr="00845217">
        <w:rPr>
          <w:rFonts w:ascii="Arial" w:eastAsia="Arial" w:hAnsi="Arial"/>
          <w:bCs/>
          <w:sz w:val="22"/>
          <w:szCs w:val="22"/>
          <w:lang w:val="es-CR"/>
        </w:rPr>
        <w:t xml:space="preserve">factible, entonces </w:t>
      </w:r>
      <w:r>
        <w:rPr>
          <w:rFonts w:ascii="Arial" w:eastAsia="Arial" w:hAnsi="Arial"/>
          <w:bCs/>
          <w:sz w:val="22"/>
          <w:szCs w:val="22"/>
          <w:lang w:val="es-CR"/>
        </w:rPr>
        <w:t>el activo</w:t>
      </w:r>
      <w:r w:rsidRPr="00845217">
        <w:rPr>
          <w:rFonts w:ascii="Arial" w:eastAsia="Arial" w:hAnsi="Arial"/>
          <w:bCs/>
          <w:sz w:val="22"/>
          <w:szCs w:val="22"/>
          <w:lang w:val="es-CR"/>
        </w:rPr>
        <w:t xml:space="preserve"> adquirid</w:t>
      </w:r>
      <w:r>
        <w:rPr>
          <w:rFonts w:ascii="Arial" w:eastAsia="Arial" w:hAnsi="Arial"/>
          <w:bCs/>
          <w:sz w:val="22"/>
          <w:szCs w:val="22"/>
          <w:lang w:val="es-CR"/>
        </w:rPr>
        <w:t>o</w:t>
      </w:r>
      <w:r w:rsidRPr="00845217">
        <w:rPr>
          <w:rFonts w:ascii="Arial" w:eastAsia="Arial" w:hAnsi="Arial"/>
          <w:bCs/>
          <w:sz w:val="22"/>
          <w:szCs w:val="22"/>
          <w:lang w:val="es-CR"/>
        </w:rPr>
        <w:t xml:space="preserve"> se medirá por el importe en libros de los activos entregados.</w:t>
      </w:r>
    </w:p>
    <w:p w14:paraId="4B390871" w14:textId="77777777" w:rsidR="00B46BBC" w:rsidRPr="00845217" w:rsidRDefault="00B46BBC" w:rsidP="004741D6">
      <w:pPr>
        <w:spacing w:line="236" w:lineRule="auto"/>
        <w:ind w:left="1134" w:right="280" w:hanging="1134"/>
        <w:jc w:val="both"/>
        <w:rPr>
          <w:rFonts w:ascii="Arial" w:eastAsia="Arial" w:hAnsi="Arial"/>
          <w:bCs/>
          <w:sz w:val="22"/>
          <w:szCs w:val="22"/>
          <w:lang w:val="es-CR"/>
        </w:rPr>
      </w:pPr>
    </w:p>
    <w:p w14:paraId="3A9E8B85" w14:textId="77777777" w:rsidR="004741D6" w:rsidRPr="00A7448B"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1.241.1.03</w:t>
      </w:r>
      <w:r>
        <w:rPr>
          <w:rFonts w:ascii="Arial" w:eastAsia="Arial" w:hAnsi="Arial"/>
          <w:bCs/>
          <w:sz w:val="22"/>
          <w:szCs w:val="22"/>
          <w:lang w:val="es-CR"/>
        </w:rPr>
        <w:tab/>
        <w:t>En caso d</w:t>
      </w:r>
      <w:r w:rsidRPr="00A7448B">
        <w:rPr>
          <w:rFonts w:ascii="Arial" w:eastAsia="Arial" w:hAnsi="Arial"/>
          <w:bCs/>
          <w:sz w:val="22"/>
          <w:szCs w:val="22"/>
          <w:lang w:val="es-CR"/>
        </w:rPr>
        <w:t xml:space="preserve">e no </w:t>
      </w:r>
      <w:r>
        <w:rPr>
          <w:rFonts w:ascii="Arial" w:eastAsia="Arial" w:hAnsi="Arial"/>
          <w:bCs/>
          <w:sz w:val="22"/>
          <w:szCs w:val="22"/>
          <w:lang w:val="es-CR"/>
        </w:rPr>
        <w:t xml:space="preserve">poder establecerse </w:t>
      </w:r>
      <w:r w:rsidRPr="00A7448B">
        <w:rPr>
          <w:rFonts w:ascii="Arial" w:eastAsia="Arial" w:hAnsi="Arial"/>
          <w:bCs/>
          <w:sz w:val="22"/>
          <w:szCs w:val="22"/>
          <w:lang w:val="es-CR"/>
        </w:rPr>
        <w:t xml:space="preserve">un precio </w:t>
      </w:r>
      <w:r>
        <w:rPr>
          <w:rFonts w:ascii="Arial" w:eastAsia="Arial" w:hAnsi="Arial"/>
          <w:bCs/>
          <w:sz w:val="22"/>
          <w:szCs w:val="22"/>
          <w:lang w:val="es-CR"/>
        </w:rPr>
        <w:t>según los métodos anteriores</w:t>
      </w:r>
      <w:r w:rsidRPr="00A7448B">
        <w:rPr>
          <w:rFonts w:ascii="Arial" w:eastAsia="Arial" w:hAnsi="Arial"/>
          <w:bCs/>
          <w:sz w:val="22"/>
          <w:szCs w:val="22"/>
          <w:lang w:val="es-CR"/>
        </w:rPr>
        <w:t xml:space="preserve">, se deberá determinar el valor razonable de la propiedad adquirida </w:t>
      </w:r>
      <w:r>
        <w:rPr>
          <w:rFonts w:ascii="Arial" w:eastAsia="Arial" w:hAnsi="Arial"/>
          <w:bCs/>
          <w:sz w:val="22"/>
          <w:szCs w:val="22"/>
          <w:lang w:val="es-CR"/>
        </w:rPr>
        <w:t>acudiendo a un método fiable y debe quedar debidamente sustentado como se determinó el valor del activo.</w:t>
      </w:r>
    </w:p>
    <w:p w14:paraId="6F5B5264" w14:textId="77777777" w:rsidR="004741D6" w:rsidRDefault="004741D6" w:rsidP="004741D6">
      <w:pPr>
        <w:spacing w:line="238" w:lineRule="auto"/>
        <w:ind w:left="1134" w:right="260" w:hanging="1134"/>
        <w:jc w:val="both"/>
        <w:rPr>
          <w:rFonts w:ascii="Arial" w:eastAsia="Arial" w:hAnsi="Arial"/>
          <w:b/>
          <w:sz w:val="22"/>
          <w:szCs w:val="22"/>
          <w:lang w:val="es-CR"/>
        </w:rPr>
      </w:pPr>
    </w:p>
    <w:p w14:paraId="1D74C7CF"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65"/>
        <w:gridCol w:w="505"/>
        <w:gridCol w:w="544"/>
        <w:gridCol w:w="2771"/>
        <w:gridCol w:w="2409"/>
        <w:gridCol w:w="2268"/>
      </w:tblGrid>
      <w:tr w:rsidR="004741D6" w:rsidRPr="00EB1107" w14:paraId="6E396900" w14:textId="77777777" w:rsidTr="00D16719">
        <w:trPr>
          <w:trHeight w:val="320"/>
        </w:trPr>
        <w:tc>
          <w:tcPr>
            <w:tcW w:w="161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421FEE2" w14:textId="77777777" w:rsidR="004741D6" w:rsidRPr="00EB1107" w:rsidRDefault="004741D6" w:rsidP="00D16719">
            <w:pPr>
              <w:jc w:val="center"/>
              <w:rPr>
                <w:rFonts w:ascii="Arial Narrow" w:eastAsia="Times New Roman" w:hAnsi="Arial Narrow"/>
                <w:b/>
                <w:bCs/>
                <w:color w:val="FFFFFF"/>
                <w:sz w:val="22"/>
                <w:szCs w:val="22"/>
              </w:rPr>
            </w:pPr>
            <w:r w:rsidRPr="00EB1107">
              <w:rPr>
                <w:rFonts w:ascii="Arial Narrow" w:eastAsia="Times New Roman" w:hAnsi="Arial Narrow"/>
                <w:b/>
                <w:bCs/>
                <w:color w:val="FFFFFF"/>
                <w:sz w:val="22"/>
                <w:szCs w:val="22"/>
              </w:rPr>
              <w:t>Norma / Política</w:t>
            </w:r>
          </w:p>
        </w:tc>
        <w:tc>
          <w:tcPr>
            <w:tcW w:w="2771" w:type="dxa"/>
            <w:vMerge w:val="restart"/>
            <w:tcBorders>
              <w:top w:val="single" w:sz="8" w:space="0" w:color="auto"/>
              <w:left w:val="single" w:sz="8" w:space="0" w:color="auto"/>
              <w:bottom w:val="nil"/>
              <w:right w:val="single" w:sz="8" w:space="0" w:color="auto"/>
            </w:tcBorders>
            <w:shd w:val="clear" w:color="000000" w:fill="203764"/>
            <w:vAlign w:val="center"/>
            <w:hideMark/>
          </w:tcPr>
          <w:p w14:paraId="473BDDCC" w14:textId="77777777" w:rsidR="004741D6" w:rsidRPr="00EB1107" w:rsidRDefault="004741D6" w:rsidP="00D16719">
            <w:pPr>
              <w:jc w:val="center"/>
              <w:rPr>
                <w:rFonts w:ascii="Arial Narrow" w:eastAsia="Times New Roman" w:hAnsi="Arial Narrow"/>
                <w:b/>
                <w:bCs/>
                <w:color w:val="FFFFFF"/>
                <w:sz w:val="22"/>
                <w:szCs w:val="22"/>
              </w:rPr>
            </w:pPr>
            <w:r w:rsidRPr="00EB1107">
              <w:rPr>
                <w:rFonts w:ascii="Arial Narrow" w:eastAsia="Times New Roman" w:hAnsi="Arial Narrow"/>
                <w:b/>
                <w:bCs/>
                <w:color w:val="FFFFFF"/>
                <w:sz w:val="22"/>
                <w:szCs w:val="22"/>
              </w:rPr>
              <w:t>Concepto</w:t>
            </w:r>
          </w:p>
        </w:tc>
        <w:tc>
          <w:tcPr>
            <w:tcW w:w="4677" w:type="dxa"/>
            <w:gridSpan w:val="2"/>
            <w:tcBorders>
              <w:top w:val="single" w:sz="8" w:space="0" w:color="auto"/>
              <w:left w:val="nil"/>
              <w:bottom w:val="single" w:sz="8" w:space="0" w:color="auto"/>
              <w:right w:val="single" w:sz="8" w:space="0" w:color="000000"/>
            </w:tcBorders>
            <w:shd w:val="clear" w:color="000000" w:fill="203764"/>
            <w:vAlign w:val="center"/>
            <w:hideMark/>
          </w:tcPr>
          <w:p w14:paraId="5EB8AFB4" w14:textId="77777777" w:rsidR="004741D6" w:rsidRPr="00EB1107" w:rsidRDefault="004741D6" w:rsidP="00D16719">
            <w:pPr>
              <w:jc w:val="center"/>
              <w:rPr>
                <w:rFonts w:ascii="Arial Narrow" w:eastAsia="Times New Roman" w:hAnsi="Arial Narrow"/>
                <w:b/>
                <w:bCs/>
                <w:color w:val="FFFFFF"/>
                <w:sz w:val="22"/>
                <w:szCs w:val="22"/>
              </w:rPr>
            </w:pPr>
            <w:r w:rsidRPr="00EB1107">
              <w:rPr>
                <w:rFonts w:ascii="Arial Narrow" w:eastAsia="Times New Roman" w:hAnsi="Arial Narrow"/>
                <w:b/>
                <w:bCs/>
                <w:color w:val="FFFFFF"/>
                <w:sz w:val="22"/>
                <w:szCs w:val="22"/>
              </w:rPr>
              <w:t>Referencia</w:t>
            </w:r>
          </w:p>
        </w:tc>
      </w:tr>
      <w:tr w:rsidR="004741D6" w:rsidRPr="006E5442" w14:paraId="00C0E95F" w14:textId="77777777" w:rsidTr="00D16719">
        <w:trPr>
          <w:trHeight w:val="819"/>
        </w:trPr>
        <w:tc>
          <w:tcPr>
            <w:tcW w:w="1614" w:type="dxa"/>
            <w:gridSpan w:val="3"/>
            <w:vMerge/>
            <w:tcBorders>
              <w:top w:val="single" w:sz="8" w:space="0" w:color="auto"/>
              <w:left w:val="single" w:sz="8" w:space="0" w:color="auto"/>
              <w:bottom w:val="nil"/>
              <w:right w:val="single" w:sz="8" w:space="0" w:color="000000"/>
            </w:tcBorders>
            <w:vAlign w:val="center"/>
            <w:hideMark/>
          </w:tcPr>
          <w:p w14:paraId="2B7E1252" w14:textId="77777777" w:rsidR="004741D6" w:rsidRPr="00EB1107" w:rsidRDefault="004741D6" w:rsidP="00D16719">
            <w:pPr>
              <w:rPr>
                <w:rFonts w:ascii="Arial Narrow" w:eastAsia="Times New Roman" w:hAnsi="Arial Narrow"/>
                <w:b/>
                <w:bCs/>
                <w:color w:val="FFFFFF"/>
                <w:sz w:val="22"/>
                <w:szCs w:val="22"/>
              </w:rPr>
            </w:pPr>
          </w:p>
        </w:tc>
        <w:tc>
          <w:tcPr>
            <w:tcW w:w="2771" w:type="dxa"/>
            <w:vMerge/>
            <w:tcBorders>
              <w:top w:val="single" w:sz="8" w:space="0" w:color="auto"/>
              <w:left w:val="single" w:sz="8" w:space="0" w:color="auto"/>
              <w:bottom w:val="nil"/>
              <w:right w:val="single" w:sz="8" w:space="0" w:color="auto"/>
            </w:tcBorders>
            <w:vAlign w:val="center"/>
            <w:hideMark/>
          </w:tcPr>
          <w:p w14:paraId="1E91AE3B" w14:textId="77777777" w:rsidR="004741D6" w:rsidRPr="00EB1107" w:rsidRDefault="004741D6" w:rsidP="00D16719">
            <w:pPr>
              <w:rPr>
                <w:rFonts w:ascii="Arial Narrow" w:eastAsia="Times New Roman" w:hAnsi="Arial Narrow"/>
                <w:b/>
                <w:bCs/>
                <w:color w:val="FFFFFF"/>
                <w:sz w:val="22"/>
                <w:szCs w:val="22"/>
              </w:rPr>
            </w:pPr>
          </w:p>
        </w:tc>
        <w:tc>
          <w:tcPr>
            <w:tcW w:w="2409" w:type="dxa"/>
            <w:tcBorders>
              <w:top w:val="nil"/>
              <w:left w:val="nil"/>
              <w:bottom w:val="nil"/>
              <w:right w:val="single" w:sz="8" w:space="0" w:color="auto"/>
            </w:tcBorders>
            <w:shd w:val="clear" w:color="000000" w:fill="203764"/>
            <w:vAlign w:val="center"/>
            <w:hideMark/>
          </w:tcPr>
          <w:p w14:paraId="55D5CA20" w14:textId="77777777" w:rsidR="004741D6" w:rsidRPr="00EB1107" w:rsidRDefault="004741D6" w:rsidP="00D16719">
            <w:pPr>
              <w:jc w:val="center"/>
              <w:rPr>
                <w:rFonts w:ascii="Arial Narrow" w:eastAsia="Times New Roman" w:hAnsi="Arial Narrow"/>
                <w:b/>
                <w:bCs/>
                <w:color w:val="FFFFFF"/>
                <w:sz w:val="22"/>
                <w:szCs w:val="22"/>
              </w:rPr>
            </w:pPr>
            <w:r w:rsidRPr="00EB1107">
              <w:rPr>
                <w:rFonts w:ascii="Arial Narrow" w:eastAsia="Times New Roman" w:hAnsi="Arial Narrow"/>
                <w:b/>
                <w:bCs/>
                <w:color w:val="FFFFFF"/>
                <w:sz w:val="22"/>
                <w:szCs w:val="22"/>
              </w:rPr>
              <w:t>Norma</w:t>
            </w:r>
          </w:p>
        </w:tc>
        <w:tc>
          <w:tcPr>
            <w:tcW w:w="2268" w:type="dxa"/>
            <w:tcBorders>
              <w:top w:val="nil"/>
              <w:left w:val="nil"/>
              <w:bottom w:val="nil"/>
              <w:right w:val="single" w:sz="8" w:space="0" w:color="auto"/>
            </w:tcBorders>
            <w:shd w:val="clear" w:color="000000" w:fill="203764"/>
            <w:vAlign w:val="center"/>
            <w:hideMark/>
          </w:tcPr>
          <w:p w14:paraId="05B80C6A" w14:textId="77777777" w:rsidR="004741D6" w:rsidRPr="00EB1107" w:rsidRDefault="004741D6" w:rsidP="00D16719">
            <w:pPr>
              <w:jc w:val="center"/>
              <w:rPr>
                <w:rFonts w:ascii="Arial Narrow" w:eastAsia="Times New Roman" w:hAnsi="Arial Narrow"/>
                <w:b/>
                <w:bCs/>
                <w:color w:val="FFFFFF"/>
                <w:sz w:val="22"/>
                <w:szCs w:val="22"/>
                <w:lang w:val="es-CR"/>
              </w:rPr>
            </w:pPr>
            <w:r w:rsidRPr="00EB1107">
              <w:rPr>
                <w:rFonts w:ascii="Arial Narrow" w:eastAsia="Times New Roman" w:hAnsi="Arial Narrow"/>
                <w:b/>
                <w:bCs/>
                <w:color w:val="FFFFFF"/>
                <w:sz w:val="22"/>
                <w:szCs w:val="22"/>
                <w:lang w:val="es-CR"/>
              </w:rPr>
              <w:t>Normativa técnica y disposiciones adicionales</w:t>
            </w:r>
          </w:p>
        </w:tc>
      </w:tr>
      <w:tr w:rsidR="004741D6" w:rsidRPr="00EB1107" w14:paraId="6D4D566A" w14:textId="77777777" w:rsidTr="00D16719">
        <w:trPr>
          <w:trHeight w:val="630"/>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C59118"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cs="Arial Narrow"/>
                <w:b/>
                <w:bCs/>
                <w:color w:val="000000"/>
                <w:spacing w:val="-10"/>
                <w:sz w:val="22"/>
                <w:szCs w:val="22"/>
              </w:rPr>
              <w:t>1</w:t>
            </w:r>
          </w:p>
        </w:tc>
        <w:tc>
          <w:tcPr>
            <w:tcW w:w="505" w:type="dxa"/>
            <w:tcBorders>
              <w:top w:val="single" w:sz="8" w:space="0" w:color="auto"/>
              <w:left w:val="nil"/>
              <w:bottom w:val="single" w:sz="8" w:space="0" w:color="auto"/>
              <w:right w:val="single" w:sz="8" w:space="0" w:color="auto"/>
            </w:tcBorders>
            <w:shd w:val="clear" w:color="auto" w:fill="auto"/>
            <w:noWrap/>
            <w:vAlign w:val="center"/>
            <w:hideMark/>
          </w:tcPr>
          <w:p w14:paraId="4D5C064F"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cs="Arial Narrow"/>
                <w:b/>
                <w:bCs/>
                <w:color w:val="000000"/>
                <w:spacing w:val="-4"/>
                <w:sz w:val="22"/>
                <w:szCs w:val="22"/>
              </w:rPr>
              <w:t>242</w:t>
            </w:r>
          </w:p>
        </w:tc>
        <w:tc>
          <w:tcPr>
            <w:tcW w:w="544" w:type="dxa"/>
            <w:tcBorders>
              <w:top w:val="single" w:sz="8" w:space="0" w:color="auto"/>
              <w:left w:val="nil"/>
              <w:bottom w:val="single" w:sz="8" w:space="0" w:color="auto"/>
              <w:right w:val="single" w:sz="8" w:space="0" w:color="auto"/>
            </w:tcBorders>
            <w:shd w:val="clear" w:color="auto" w:fill="auto"/>
            <w:vAlign w:val="center"/>
            <w:hideMark/>
          </w:tcPr>
          <w:p w14:paraId="5E6AD9B3"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b/>
                <w:bCs/>
                <w:color w:val="000000"/>
                <w:sz w:val="22"/>
                <w:szCs w:val="22"/>
              </w:rPr>
              <w:t> </w:t>
            </w:r>
          </w:p>
        </w:tc>
        <w:tc>
          <w:tcPr>
            <w:tcW w:w="2771" w:type="dxa"/>
            <w:tcBorders>
              <w:top w:val="single" w:sz="8" w:space="0" w:color="auto"/>
              <w:left w:val="nil"/>
              <w:bottom w:val="single" w:sz="8" w:space="0" w:color="auto"/>
              <w:right w:val="single" w:sz="8" w:space="0" w:color="auto"/>
            </w:tcBorders>
            <w:shd w:val="clear" w:color="auto" w:fill="auto"/>
            <w:vAlign w:val="center"/>
            <w:hideMark/>
          </w:tcPr>
          <w:p w14:paraId="442E902E" w14:textId="77777777" w:rsidR="004741D6" w:rsidRPr="00EB1107" w:rsidRDefault="004741D6" w:rsidP="00D16719">
            <w:pPr>
              <w:jc w:val="both"/>
              <w:rPr>
                <w:rFonts w:ascii="Arial Narrow" w:eastAsia="Times New Roman" w:hAnsi="Arial Narrow"/>
                <w:b/>
                <w:bCs/>
                <w:color w:val="000000"/>
                <w:sz w:val="22"/>
                <w:szCs w:val="22"/>
              </w:rPr>
            </w:pPr>
            <w:r w:rsidRPr="00EB1107">
              <w:rPr>
                <w:rFonts w:ascii="Arial Narrow" w:eastAsia="Times New Roman" w:hAnsi="Arial Narrow"/>
                <w:b/>
                <w:bCs/>
                <w:color w:val="000000"/>
                <w:sz w:val="22"/>
                <w:szCs w:val="22"/>
              </w:rPr>
              <w:t>Plusvalías generadas internamente</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14:paraId="495DFA9E" w14:textId="77777777" w:rsidR="004741D6" w:rsidRDefault="004741D6" w:rsidP="00B46BBC">
            <w:pPr>
              <w:jc w:val="both"/>
              <w:rPr>
                <w:rFonts w:ascii="Arial Narrow" w:eastAsia="Times New Roman" w:hAnsi="Arial Narrow"/>
                <w:b/>
                <w:bCs/>
                <w:color w:val="000000"/>
                <w:sz w:val="22"/>
                <w:szCs w:val="22"/>
              </w:rPr>
            </w:pPr>
            <w:r w:rsidRPr="00EB1107">
              <w:rPr>
                <w:rFonts w:ascii="Arial Narrow" w:eastAsia="Times New Roman" w:hAnsi="Arial Narrow"/>
                <w:b/>
                <w:bCs/>
                <w:color w:val="000000"/>
                <w:sz w:val="22"/>
                <w:szCs w:val="22"/>
              </w:rPr>
              <w:t xml:space="preserve">NICSP Nº 31, </w:t>
            </w:r>
          </w:p>
          <w:p w14:paraId="35646B4C" w14:textId="77777777" w:rsidR="004741D6" w:rsidRPr="00EB1107" w:rsidRDefault="004741D6" w:rsidP="00B46BBC">
            <w:pPr>
              <w:jc w:val="both"/>
              <w:rPr>
                <w:rFonts w:ascii="Arial Narrow" w:eastAsia="Times New Roman" w:hAnsi="Arial Narrow"/>
                <w:b/>
                <w:bCs/>
                <w:color w:val="000000"/>
                <w:sz w:val="22"/>
                <w:szCs w:val="22"/>
              </w:rPr>
            </w:pPr>
            <w:r w:rsidRPr="00EB1107">
              <w:rPr>
                <w:rFonts w:ascii="Arial Narrow" w:eastAsia="Times New Roman" w:hAnsi="Arial Narrow"/>
                <w:b/>
                <w:bCs/>
                <w:color w:val="000000"/>
                <w:sz w:val="22"/>
                <w:szCs w:val="22"/>
              </w:rPr>
              <w:t xml:space="preserve">Párrafos 46.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8750BAA"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cs="Arial Narrow"/>
                <w:b/>
                <w:bCs/>
                <w:color w:val="000000"/>
                <w:spacing w:val="-4"/>
                <w:sz w:val="22"/>
                <w:szCs w:val="22"/>
              </w:rPr>
              <w:t xml:space="preserve"> </w:t>
            </w:r>
          </w:p>
        </w:tc>
      </w:tr>
    </w:tbl>
    <w:p w14:paraId="4AF922A8" w14:textId="77777777" w:rsidR="004741D6" w:rsidRDefault="004741D6" w:rsidP="004741D6">
      <w:pPr>
        <w:spacing w:line="238" w:lineRule="auto"/>
        <w:ind w:left="1134" w:right="260" w:hanging="1134"/>
        <w:jc w:val="both"/>
        <w:rPr>
          <w:rFonts w:ascii="Arial" w:eastAsia="Arial" w:hAnsi="Arial"/>
          <w:b/>
          <w:sz w:val="22"/>
          <w:szCs w:val="22"/>
          <w:lang w:val="es-CR"/>
        </w:rPr>
      </w:pPr>
    </w:p>
    <w:p w14:paraId="52B37480" w14:textId="108C5D5A" w:rsidR="004741D6" w:rsidRDefault="00B46BBC"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6DF76432" w14:textId="77777777" w:rsidR="00B46BBC" w:rsidRDefault="00B46BBC" w:rsidP="004741D6">
      <w:pPr>
        <w:spacing w:line="238" w:lineRule="auto"/>
        <w:ind w:left="1134" w:right="260" w:hanging="1134"/>
        <w:jc w:val="both"/>
        <w:rPr>
          <w:rFonts w:ascii="Arial" w:eastAsia="Arial" w:hAnsi="Arial"/>
          <w:b/>
          <w:sz w:val="22"/>
          <w:szCs w:val="22"/>
          <w:lang w:val="es-CR"/>
        </w:rPr>
      </w:pPr>
    </w:p>
    <w:p w14:paraId="49893ACD" w14:textId="77777777" w:rsidR="004741D6" w:rsidRPr="00EB1107"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lastRenderedPageBreak/>
        <w:t>1.242.0.01</w:t>
      </w:r>
      <w:r>
        <w:rPr>
          <w:rFonts w:ascii="Arial" w:eastAsia="Arial" w:hAnsi="Arial"/>
          <w:bCs/>
          <w:sz w:val="22"/>
          <w:szCs w:val="22"/>
          <w:lang w:val="es-CR"/>
        </w:rPr>
        <w:tab/>
        <w:t>L</w:t>
      </w:r>
      <w:r w:rsidRPr="00EB1107">
        <w:rPr>
          <w:rFonts w:ascii="Arial" w:eastAsia="Arial" w:hAnsi="Arial"/>
          <w:bCs/>
          <w:sz w:val="22"/>
          <w:szCs w:val="22"/>
          <w:lang w:val="es-CR"/>
        </w:rPr>
        <w:t xml:space="preserve">as plusvalías generadas internamente por </w:t>
      </w:r>
      <w:r>
        <w:rPr>
          <w:rFonts w:ascii="Arial" w:eastAsia="Arial" w:hAnsi="Arial"/>
          <w:bCs/>
          <w:sz w:val="22"/>
          <w:szCs w:val="22"/>
          <w:lang w:val="es-CR"/>
        </w:rPr>
        <w:t xml:space="preserve">la Municipalidad no </w:t>
      </w:r>
      <w:r w:rsidRPr="00EB1107">
        <w:rPr>
          <w:rFonts w:ascii="Arial" w:eastAsia="Arial" w:hAnsi="Arial"/>
          <w:bCs/>
          <w:sz w:val="22"/>
          <w:szCs w:val="22"/>
          <w:lang w:val="es-CR"/>
        </w:rPr>
        <w:t>se reconocerá</w:t>
      </w:r>
      <w:r>
        <w:rPr>
          <w:rFonts w:ascii="Arial" w:eastAsia="Arial" w:hAnsi="Arial"/>
          <w:bCs/>
          <w:sz w:val="22"/>
          <w:szCs w:val="22"/>
          <w:lang w:val="es-CR"/>
        </w:rPr>
        <w:t>n</w:t>
      </w:r>
      <w:r w:rsidRPr="00EB1107">
        <w:rPr>
          <w:rFonts w:ascii="Arial" w:eastAsia="Arial" w:hAnsi="Arial"/>
          <w:bCs/>
          <w:sz w:val="22"/>
          <w:szCs w:val="22"/>
          <w:lang w:val="es-CR"/>
        </w:rPr>
        <w:t xml:space="preserve"> como activos intangibles.</w:t>
      </w:r>
    </w:p>
    <w:p w14:paraId="30A19E52" w14:textId="77777777" w:rsidR="004741D6" w:rsidRDefault="004741D6" w:rsidP="004741D6">
      <w:pPr>
        <w:spacing w:line="238" w:lineRule="auto"/>
        <w:ind w:left="1134" w:right="260" w:hanging="1134"/>
        <w:jc w:val="both"/>
        <w:rPr>
          <w:rFonts w:ascii="Arial" w:eastAsia="Arial" w:hAnsi="Arial"/>
          <w:b/>
          <w:sz w:val="22"/>
          <w:szCs w:val="22"/>
          <w:lang w:val="es-CR"/>
        </w:rPr>
      </w:pPr>
    </w:p>
    <w:p w14:paraId="43436D15"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65"/>
        <w:gridCol w:w="505"/>
        <w:gridCol w:w="544"/>
        <w:gridCol w:w="2837"/>
        <w:gridCol w:w="2339"/>
        <w:gridCol w:w="2272"/>
      </w:tblGrid>
      <w:tr w:rsidR="004741D6" w:rsidRPr="00EB1107" w14:paraId="7616EA8D" w14:textId="77777777" w:rsidTr="00D16719">
        <w:trPr>
          <w:trHeight w:val="320"/>
        </w:trPr>
        <w:tc>
          <w:tcPr>
            <w:tcW w:w="161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CBC8870" w14:textId="77777777" w:rsidR="004741D6" w:rsidRPr="00EB1107" w:rsidRDefault="004741D6" w:rsidP="00D16719">
            <w:pPr>
              <w:jc w:val="center"/>
              <w:rPr>
                <w:rFonts w:ascii="Arial Narrow" w:eastAsia="Times New Roman" w:hAnsi="Arial Narrow"/>
                <w:b/>
                <w:bCs/>
                <w:color w:val="FFFFFF"/>
                <w:sz w:val="22"/>
                <w:szCs w:val="22"/>
              </w:rPr>
            </w:pPr>
            <w:r w:rsidRPr="00EB1107">
              <w:rPr>
                <w:rFonts w:ascii="Arial Narrow" w:eastAsia="Times New Roman" w:hAnsi="Arial Narrow"/>
                <w:b/>
                <w:bCs/>
                <w:color w:val="FFFFFF"/>
                <w:sz w:val="22"/>
                <w:szCs w:val="22"/>
              </w:rPr>
              <w:t>Norma / Política</w:t>
            </w:r>
          </w:p>
        </w:tc>
        <w:tc>
          <w:tcPr>
            <w:tcW w:w="2837"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CAE0F1" w14:textId="77777777" w:rsidR="004741D6" w:rsidRPr="00EB1107" w:rsidRDefault="004741D6" w:rsidP="00D16719">
            <w:pPr>
              <w:jc w:val="center"/>
              <w:rPr>
                <w:rFonts w:ascii="Arial Narrow" w:eastAsia="Times New Roman" w:hAnsi="Arial Narrow"/>
                <w:b/>
                <w:bCs/>
                <w:color w:val="FFFFFF"/>
                <w:sz w:val="22"/>
                <w:szCs w:val="22"/>
              </w:rPr>
            </w:pPr>
            <w:r w:rsidRPr="00EB1107">
              <w:rPr>
                <w:rFonts w:ascii="Arial Narrow" w:eastAsia="Times New Roman" w:hAnsi="Arial Narrow"/>
                <w:b/>
                <w:bCs/>
                <w:color w:val="FFFFFF"/>
                <w:sz w:val="22"/>
                <w:szCs w:val="22"/>
              </w:rPr>
              <w:t>Concepto</w:t>
            </w:r>
          </w:p>
        </w:tc>
        <w:tc>
          <w:tcPr>
            <w:tcW w:w="4611" w:type="dxa"/>
            <w:gridSpan w:val="2"/>
            <w:tcBorders>
              <w:top w:val="single" w:sz="8" w:space="0" w:color="auto"/>
              <w:left w:val="nil"/>
              <w:bottom w:val="single" w:sz="8" w:space="0" w:color="auto"/>
              <w:right w:val="single" w:sz="8" w:space="0" w:color="000000"/>
            </w:tcBorders>
            <w:shd w:val="clear" w:color="000000" w:fill="203764"/>
            <w:vAlign w:val="center"/>
            <w:hideMark/>
          </w:tcPr>
          <w:p w14:paraId="7D24567D" w14:textId="77777777" w:rsidR="004741D6" w:rsidRPr="00EB1107" w:rsidRDefault="004741D6" w:rsidP="00D16719">
            <w:pPr>
              <w:jc w:val="center"/>
              <w:rPr>
                <w:rFonts w:ascii="Arial Narrow" w:eastAsia="Times New Roman" w:hAnsi="Arial Narrow"/>
                <w:b/>
                <w:bCs/>
                <w:color w:val="FFFFFF"/>
                <w:sz w:val="22"/>
                <w:szCs w:val="22"/>
              </w:rPr>
            </w:pPr>
            <w:r w:rsidRPr="00EB1107">
              <w:rPr>
                <w:rFonts w:ascii="Arial Narrow" w:eastAsia="Times New Roman" w:hAnsi="Arial Narrow"/>
                <w:b/>
                <w:bCs/>
                <w:color w:val="FFFFFF"/>
                <w:sz w:val="22"/>
                <w:szCs w:val="22"/>
              </w:rPr>
              <w:t>Referencia</w:t>
            </w:r>
          </w:p>
        </w:tc>
      </w:tr>
      <w:tr w:rsidR="004741D6" w:rsidRPr="006E5442" w14:paraId="4DE9CE2C" w14:textId="77777777" w:rsidTr="00D16719">
        <w:trPr>
          <w:trHeight w:val="725"/>
        </w:trPr>
        <w:tc>
          <w:tcPr>
            <w:tcW w:w="1614" w:type="dxa"/>
            <w:gridSpan w:val="3"/>
            <w:vMerge/>
            <w:tcBorders>
              <w:top w:val="single" w:sz="8" w:space="0" w:color="auto"/>
              <w:left w:val="single" w:sz="8" w:space="0" w:color="auto"/>
              <w:bottom w:val="nil"/>
              <w:right w:val="single" w:sz="8" w:space="0" w:color="000000"/>
            </w:tcBorders>
            <w:vAlign w:val="center"/>
            <w:hideMark/>
          </w:tcPr>
          <w:p w14:paraId="683107D9" w14:textId="77777777" w:rsidR="004741D6" w:rsidRPr="00EB1107" w:rsidRDefault="004741D6" w:rsidP="00D16719">
            <w:pPr>
              <w:rPr>
                <w:rFonts w:ascii="Arial Narrow" w:eastAsia="Times New Roman" w:hAnsi="Arial Narrow"/>
                <w:b/>
                <w:bCs/>
                <w:color w:val="FFFFFF"/>
                <w:sz w:val="22"/>
                <w:szCs w:val="22"/>
              </w:rPr>
            </w:pPr>
          </w:p>
        </w:tc>
        <w:tc>
          <w:tcPr>
            <w:tcW w:w="2837" w:type="dxa"/>
            <w:vMerge/>
            <w:tcBorders>
              <w:top w:val="single" w:sz="8" w:space="0" w:color="auto"/>
              <w:left w:val="single" w:sz="8" w:space="0" w:color="auto"/>
              <w:bottom w:val="nil"/>
              <w:right w:val="single" w:sz="8" w:space="0" w:color="auto"/>
            </w:tcBorders>
            <w:vAlign w:val="center"/>
            <w:hideMark/>
          </w:tcPr>
          <w:p w14:paraId="3C070DF0" w14:textId="77777777" w:rsidR="004741D6" w:rsidRPr="00EB1107" w:rsidRDefault="004741D6" w:rsidP="00D16719">
            <w:pPr>
              <w:rPr>
                <w:rFonts w:ascii="Arial Narrow" w:eastAsia="Times New Roman" w:hAnsi="Arial Narrow"/>
                <w:b/>
                <w:bCs/>
                <w:color w:val="FFFFFF"/>
                <w:sz w:val="22"/>
                <w:szCs w:val="22"/>
              </w:rPr>
            </w:pPr>
          </w:p>
        </w:tc>
        <w:tc>
          <w:tcPr>
            <w:tcW w:w="2339" w:type="dxa"/>
            <w:tcBorders>
              <w:top w:val="nil"/>
              <w:left w:val="nil"/>
              <w:bottom w:val="nil"/>
              <w:right w:val="single" w:sz="8" w:space="0" w:color="auto"/>
            </w:tcBorders>
            <w:shd w:val="clear" w:color="000000" w:fill="203764"/>
            <w:vAlign w:val="center"/>
            <w:hideMark/>
          </w:tcPr>
          <w:p w14:paraId="75AE7E8F" w14:textId="77777777" w:rsidR="004741D6" w:rsidRPr="00EB1107" w:rsidRDefault="004741D6" w:rsidP="00D16719">
            <w:pPr>
              <w:jc w:val="center"/>
              <w:rPr>
                <w:rFonts w:ascii="Arial Narrow" w:eastAsia="Times New Roman" w:hAnsi="Arial Narrow"/>
                <w:b/>
                <w:bCs/>
                <w:color w:val="FFFFFF"/>
                <w:sz w:val="22"/>
                <w:szCs w:val="22"/>
              </w:rPr>
            </w:pPr>
            <w:r w:rsidRPr="00EB1107">
              <w:rPr>
                <w:rFonts w:ascii="Arial Narrow" w:eastAsia="Times New Roman" w:hAnsi="Arial Narrow"/>
                <w:b/>
                <w:bCs/>
                <w:color w:val="FFFFFF"/>
                <w:sz w:val="22"/>
                <w:szCs w:val="22"/>
              </w:rPr>
              <w:t>Norma</w:t>
            </w:r>
          </w:p>
        </w:tc>
        <w:tc>
          <w:tcPr>
            <w:tcW w:w="2272" w:type="dxa"/>
            <w:tcBorders>
              <w:top w:val="nil"/>
              <w:left w:val="nil"/>
              <w:bottom w:val="nil"/>
              <w:right w:val="single" w:sz="8" w:space="0" w:color="auto"/>
            </w:tcBorders>
            <w:shd w:val="clear" w:color="000000" w:fill="203764"/>
            <w:vAlign w:val="center"/>
            <w:hideMark/>
          </w:tcPr>
          <w:p w14:paraId="423A3400" w14:textId="77777777" w:rsidR="004741D6" w:rsidRPr="00EB1107" w:rsidRDefault="004741D6" w:rsidP="00D16719">
            <w:pPr>
              <w:jc w:val="center"/>
              <w:rPr>
                <w:rFonts w:ascii="Arial Narrow" w:eastAsia="Times New Roman" w:hAnsi="Arial Narrow"/>
                <w:b/>
                <w:bCs/>
                <w:color w:val="FFFFFF"/>
                <w:sz w:val="22"/>
                <w:szCs w:val="22"/>
                <w:lang w:val="es-CR"/>
              </w:rPr>
            </w:pPr>
            <w:r w:rsidRPr="00EB1107">
              <w:rPr>
                <w:rFonts w:ascii="Arial Narrow" w:eastAsia="Times New Roman" w:hAnsi="Arial Narrow"/>
                <w:b/>
                <w:bCs/>
                <w:color w:val="FFFFFF"/>
                <w:sz w:val="22"/>
                <w:szCs w:val="22"/>
                <w:lang w:val="es-CR"/>
              </w:rPr>
              <w:t>Normativa técnica y disposiciones adicionales</w:t>
            </w:r>
          </w:p>
        </w:tc>
      </w:tr>
      <w:tr w:rsidR="004741D6" w:rsidRPr="00EB1107" w14:paraId="258B5A5B" w14:textId="77777777" w:rsidTr="00D16719">
        <w:trPr>
          <w:trHeight w:val="601"/>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975696"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cs="Arial Narrow"/>
                <w:b/>
                <w:bCs/>
                <w:color w:val="000000"/>
                <w:spacing w:val="-10"/>
                <w:sz w:val="22"/>
                <w:szCs w:val="22"/>
              </w:rPr>
              <w:t>1</w:t>
            </w:r>
          </w:p>
        </w:tc>
        <w:tc>
          <w:tcPr>
            <w:tcW w:w="505" w:type="dxa"/>
            <w:tcBorders>
              <w:top w:val="single" w:sz="8" w:space="0" w:color="auto"/>
              <w:left w:val="nil"/>
              <w:bottom w:val="single" w:sz="8" w:space="0" w:color="auto"/>
              <w:right w:val="single" w:sz="8" w:space="0" w:color="auto"/>
            </w:tcBorders>
            <w:shd w:val="clear" w:color="auto" w:fill="auto"/>
            <w:noWrap/>
            <w:vAlign w:val="center"/>
            <w:hideMark/>
          </w:tcPr>
          <w:p w14:paraId="51E181D9"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cs="Arial Narrow"/>
                <w:b/>
                <w:bCs/>
                <w:color w:val="000000"/>
                <w:spacing w:val="-4"/>
                <w:sz w:val="22"/>
                <w:szCs w:val="22"/>
              </w:rPr>
              <w:t>243</w:t>
            </w:r>
          </w:p>
        </w:tc>
        <w:tc>
          <w:tcPr>
            <w:tcW w:w="544" w:type="dxa"/>
            <w:tcBorders>
              <w:top w:val="single" w:sz="8" w:space="0" w:color="auto"/>
              <w:left w:val="nil"/>
              <w:bottom w:val="single" w:sz="8" w:space="0" w:color="auto"/>
              <w:right w:val="single" w:sz="8" w:space="0" w:color="auto"/>
            </w:tcBorders>
            <w:shd w:val="clear" w:color="auto" w:fill="auto"/>
            <w:vAlign w:val="center"/>
            <w:hideMark/>
          </w:tcPr>
          <w:p w14:paraId="533F3500"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b/>
                <w:bCs/>
                <w:color w:val="000000"/>
                <w:sz w:val="22"/>
                <w:szCs w:val="22"/>
              </w:rPr>
              <w:t> </w:t>
            </w:r>
          </w:p>
        </w:tc>
        <w:tc>
          <w:tcPr>
            <w:tcW w:w="2837" w:type="dxa"/>
            <w:tcBorders>
              <w:top w:val="single" w:sz="8" w:space="0" w:color="auto"/>
              <w:left w:val="nil"/>
              <w:bottom w:val="single" w:sz="8" w:space="0" w:color="auto"/>
              <w:right w:val="single" w:sz="8" w:space="0" w:color="auto"/>
            </w:tcBorders>
            <w:shd w:val="clear" w:color="auto" w:fill="auto"/>
            <w:vAlign w:val="center"/>
            <w:hideMark/>
          </w:tcPr>
          <w:p w14:paraId="3AE132AB" w14:textId="77777777" w:rsidR="004741D6" w:rsidRPr="00EB1107" w:rsidRDefault="004741D6" w:rsidP="00D16719">
            <w:pPr>
              <w:jc w:val="both"/>
              <w:rPr>
                <w:rFonts w:ascii="Arial Narrow" w:eastAsia="Times New Roman" w:hAnsi="Arial Narrow"/>
                <w:b/>
                <w:bCs/>
                <w:color w:val="000000"/>
                <w:sz w:val="22"/>
                <w:szCs w:val="22"/>
                <w:lang w:val="es-CR"/>
              </w:rPr>
            </w:pPr>
            <w:r w:rsidRPr="00EB1107">
              <w:rPr>
                <w:rFonts w:ascii="Arial Narrow" w:eastAsia="Times New Roman" w:hAnsi="Arial Narrow"/>
                <w:b/>
                <w:bCs/>
                <w:color w:val="000000"/>
                <w:sz w:val="22"/>
                <w:szCs w:val="22"/>
                <w:lang w:val="es-CR"/>
              </w:rPr>
              <w:t>Otros activos intangibles generados internamente</w:t>
            </w:r>
          </w:p>
        </w:tc>
        <w:tc>
          <w:tcPr>
            <w:tcW w:w="2339" w:type="dxa"/>
            <w:tcBorders>
              <w:top w:val="single" w:sz="8" w:space="0" w:color="auto"/>
              <w:left w:val="nil"/>
              <w:bottom w:val="single" w:sz="8" w:space="0" w:color="auto"/>
              <w:right w:val="single" w:sz="8" w:space="0" w:color="auto"/>
            </w:tcBorders>
            <w:shd w:val="clear" w:color="auto" w:fill="auto"/>
            <w:vAlign w:val="center"/>
            <w:hideMark/>
          </w:tcPr>
          <w:p w14:paraId="6C6192A6"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b/>
                <w:bCs/>
                <w:color w:val="000000"/>
                <w:sz w:val="22"/>
                <w:szCs w:val="22"/>
              </w:rPr>
              <w:t xml:space="preserve">NICSP Nº 31, Párrafos 49 y 51. </w:t>
            </w:r>
          </w:p>
        </w:tc>
        <w:tc>
          <w:tcPr>
            <w:tcW w:w="2272" w:type="dxa"/>
            <w:tcBorders>
              <w:top w:val="single" w:sz="8" w:space="0" w:color="auto"/>
              <w:left w:val="nil"/>
              <w:bottom w:val="single" w:sz="8" w:space="0" w:color="auto"/>
              <w:right w:val="single" w:sz="8" w:space="0" w:color="auto"/>
            </w:tcBorders>
            <w:shd w:val="clear" w:color="auto" w:fill="auto"/>
            <w:vAlign w:val="center"/>
            <w:hideMark/>
          </w:tcPr>
          <w:p w14:paraId="7643E3E9" w14:textId="77777777" w:rsidR="004741D6" w:rsidRPr="00EB1107" w:rsidRDefault="004741D6" w:rsidP="00D16719">
            <w:pPr>
              <w:jc w:val="center"/>
              <w:rPr>
                <w:rFonts w:ascii="Arial Narrow" w:eastAsia="Times New Roman" w:hAnsi="Arial Narrow"/>
                <w:b/>
                <w:bCs/>
                <w:color w:val="000000"/>
                <w:sz w:val="22"/>
                <w:szCs w:val="22"/>
              </w:rPr>
            </w:pPr>
            <w:r w:rsidRPr="00EB1107">
              <w:rPr>
                <w:rFonts w:ascii="Arial Narrow" w:eastAsia="Times New Roman" w:hAnsi="Arial Narrow" w:cs="Arial Narrow"/>
                <w:b/>
                <w:bCs/>
                <w:color w:val="000000"/>
                <w:spacing w:val="-4"/>
                <w:sz w:val="22"/>
                <w:szCs w:val="22"/>
              </w:rPr>
              <w:t xml:space="preserve"> </w:t>
            </w:r>
          </w:p>
        </w:tc>
      </w:tr>
    </w:tbl>
    <w:p w14:paraId="6E162082" w14:textId="77777777" w:rsidR="004741D6" w:rsidRDefault="004741D6" w:rsidP="004741D6">
      <w:pPr>
        <w:spacing w:line="238" w:lineRule="auto"/>
        <w:ind w:left="1134" w:right="260" w:hanging="1134"/>
        <w:jc w:val="both"/>
        <w:rPr>
          <w:rFonts w:ascii="Arial" w:eastAsia="Arial" w:hAnsi="Arial"/>
          <w:b/>
          <w:sz w:val="22"/>
          <w:szCs w:val="22"/>
          <w:lang w:val="es-CR"/>
        </w:rPr>
      </w:pPr>
    </w:p>
    <w:p w14:paraId="5A18ED32" w14:textId="095083BD" w:rsidR="00B46BBC" w:rsidRDefault="00B46BBC"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08BC895F" w14:textId="77777777" w:rsidR="00B46BBC" w:rsidRDefault="00B46BBC" w:rsidP="004741D6">
      <w:pPr>
        <w:spacing w:line="238" w:lineRule="auto"/>
        <w:ind w:left="1134" w:right="260" w:hanging="1134"/>
        <w:jc w:val="both"/>
        <w:rPr>
          <w:rFonts w:ascii="Arial" w:eastAsia="Arial" w:hAnsi="Arial"/>
          <w:b/>
          <w:sz w:val="22"/>
          <w:szCs w:val="22"/>
          <w:lang w:val="es-CR"/>
        </w:rPr>
      </w:pPr>
    </w:p>
    <w:p w14:paraId="61EA180E" w14:textId="4DA48792"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1.243.0.01</w:t>
      </w:r>
      <w:r>
        <w:rPr>
          <w:rFonts w:ascii="Arial" w:eastAsia="Arial" w:hAnsi="Arial"/>
          <w:bCs/>
          <w:sz w:val="22"/>
          <w:szCs w:val="22"/>
          <w:lang w:val="es-CR"/>
        </w:rPr>
        <w:tab/>
      </w:r>
      <w:r w:rsidRPr="00EB1107">
        <w:rPr>
          <w:rFonts w:ascii="Arial" w:eastAsia="Arial" w:hAnsi="Arial"/>
          <w:bCs/>
          <w:sz w:val="22"/>
          <w:szCs w:val="22"/>
          <w:lang w:val="es-CR"/>
        </w:rPr>
        <w:t xml:space="preserve">En la </w:t>
      </w:r>
      <w:r w:rsidR="000F29DC">
        <w:rPr>
          <w:rFonts w:ascii="Arial" w:eastAsia="Arial" w:hAnsi="Arial"/>
          <w:bCs/>
          <w:sz w:val="22"/>
          <w:szCs w:val="22"/>
          <w:lang w:val="es-CR"/>
        </w:rPr>
        <w:t>MBA</w:t>
      </w:r>
      <w:r w:rsidRPr="00EB1107">
        <w:rPr>
          <w:rFonts w:ascii="Arial" w:eastAsia="Arial" w:hAnsi="Arial"/>
          <w:bCs/>
          <w:sz w:val="22"/>
          <w:szCs w:val="22"/>
          <w:lang w:val="es-CR"/>
        </w:rPr>
        <w:t xml:space="preserve"> a efectos de determinar si un activo intangible generado internamente cumple con los criterios para ser reconocido y medido como tal, deberá clasificarse y separarse la generación del activo en:</w:t>
      </w:r>
    </w:p>
    <w:p w14:paraId="058391D1" w14:textId="77777777" w:rsidR="00B46BBC" w:rsidRDefault="00B46BBC" w:rsidP="004741D6">
      <w:pPr>
        <w:spacing w:line="236" w:lineRule="auto"/>
        <w:ind w:left="1134" w:right="280" w:hanging="1134"/>
        <w:jc w:val="both"/>
        <w:rPr>
          <w:rFonts w:ascii="Arial" w:eastAsia="Arial" w:hAnsi="Arial"/>
          <w:bCs/>
          <w:sz w:val="22"/>
          <w:szCs w:val="22"/>
          <w:lang w:val="es-CR"/>
        </w:rPr>
      </w:pPr>
    </w:p>
    <w:p w14:paraId="6CA9C29A" w14:textId="77777777" w:rsidR="004741D6" w:rsidRPr="00627673" w:rsidRDefault="004741D6" w:rsidP="004741D6">
      <w:pPr>
        <w:spacing w:line="1" w:lineRule="exact"/>
        <w:rPr>
          <w:rFonts w:ascii="Times New Roman" w:eastAsia="Times New Roman" w:hAnsi="Times New Roman"/>
          <w:lang w:val="es-CR"/>
        </w:rPr>
      </w:pPr>
    </w:p>
    <w:p w14:paraId="479B6EE7" w14:textId="77777777" w:rsidR="004741D6" w:rsidRPr="00842652" w:rsidRDefault="004741D6" w:rsidP="00B46BBC">
      <w:pPr>
        <w:numPr>
          <w:ilvl w:val="0"/>
          <w:numId w:val="104"/>
        </w:numPr>
        <w:spacing w:after="120"/>
        <w:ind w:left="1418" w:hanging="284"/>
        <w:rPr>
          <w:rFonts w:ascii="Arial" w:eastAsia="Arial" w:hAnsi="Arial"/>
          <w:bCs/>
          <w:sz w:val="22"/>
          <w:szCs w:val="22"/>
        </w:rPr>
      </w:pPr>
      <w:r w:rsidRPr="00842652">
        <w:rPr>
          <w:rFonts w:ascii="Arial" w:eastAsia="Arial" w:hAnsi="Arial"/>
          <w:bCs/>
          <w:sz w:val="22"/>
          <w:szCs w:val="22"/>
        </w:rPr>
        <w:t>Fase de investigación.</w:t>
      </w:r>
    </w:p>
    <w:p w14:paraId="30FA6F8E" w14:textId="77777777" w:rsidR="004741D6" w:rsidRPr="00842652" w:rsidRDefault="004741D6">
      <w:pPr>
        <w:numPr>
          <w:ilvl w:val="0"/>
          <w:numId w:val="104"/>
        </w:numPr>
        <w:spacing w:line="0" w:lineRule="atLeast"/>
        <w:ind w:left="1418" w:hanging="284"/>
        <w:rPr>
          <w:rFonts w:ascii="Arial" w:eastAsia="Arial" w:hAnsi="Arial"/>
          <w:bCs/>
          <w:sz w:val="22"/>
          <w:szCs w:val="22"/>
        </w:rPr>
      </w:pPr>
      <w:r w:rsidRPr="00842652">
        <w:rPr>
          <w:rFonts w:ascii="Arial" w:eastAsia="Arial" w:hAnsi="Arial"/>
          <w:bCs/>
          <w:sz w:val="22"/>
          <w:szCs w:val="22"/>
        </w:rPr>
        <w:t>Fase de desarrollo.</w:t>
      </w:r>
    </w:p>
    <w:p w14:paraId="12967A0C" w14:textId="77777777" w:rsidR="004741D6" w:rsidRDefault="004741D6" w:rsidP="004741D6">
      <w:pPr>
        <w:spacing w:line="9" w:lineRule="exact"/>
        <w:rPr>
          <w:rFonts w:ascii="Times New Roman" w:eastAsia="Times New Roman" w:hAnsi="Times New Roman"/>
        </w:rPr>
      </w:pPr>
    </w:p>
    <w:p w14:paraId="37ECDC38" w14:textId="77777777" w:rsidR="00B46BBC" w:rsidRDefault="00B46BBC" w:rsidP="004741D6">
      <w:pPr>
        <w:spacing w:line="236" w:lineRule="auto"/>
        <w:ind w:left="1134" w:right="280" w:hanging="1134"/>
        <w:jc w:val="both"/>
        <w:rPr>
          <w:rFonts w:ascii="Arial" w:eastAsia="Arial" w:hAnsi="Arial"/>
          <w:bCs/>
          <w:sz w:val="22"/>
          <w:szCs w:val="22"/>
          <w:lang w:val="es-CR"/>
        </w:rPr>
      </w:pPr>
    </w:p>
    <w:p w14:paraId="31D4E192" w14:textId="43EEB6F0" w:rsidR="004741D6" w:rsidRPr="00842652"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1.243.0.02</w:t>
      </w:r>
      <w:r>
        <w:rPr>
          <w:rFonts w:ascii="Arial" w:eastAsia="Arial" w:hAnsi="Arial"/>
          <w:bCs/>
          <w:sz w:val="22"/>
          <w:szCs w:val="22"/>
          <w:lang w:val="es-CR"/>
        </w:rPr>
        <w:tab/>
      </w:r>
      <w:r w:rsidRPr="00842652">
        <w:rPr>
          <w:rFonts w:ascii="Arial" w:eastAsia="Arial" w:hAnsi="Arial"/>
          <w:bCs/>
          <w:sz w:val="22"/>
          <w:szCs w:val="22"/>
          <w:lang w:val="es-CR"/>
        </w:rPr>
        <w:t xml:space="preserve">Si no fuera posible distinguir en un proyecto interno, las fases </w:t>
      </w:r>
      <w:r>
        <w:rPr>
          <w:rFonts w:ascii="Arial" w:eastAsia="Arial" w:hAnsi="Arial"/>
          <w:bCs/>
          <w:sz w:val="22"/>
          <w:szCs w:val="22"/>
          <w:lang w:val="es-CR"/>
        </w:rPr>
        <w:t>de investigación y desarrollo</w:t>
      </w:r>
      <w:r w:rsidRPr="00842652">
        <w:rPr>
          <w:rFonts w:ascii="Arial" w:eastAsia="Arial" w:hAnsi="Arial"/>
          <w:bCs/>
          <w:sz w:val="22"/>
          <w:szCs w:val="22"/>
          <w:lang w:val="es-CR"/>
        </w:rPr>
        <w:t xml:space="preserve">, se tratarán los </w:t>
      </w:r>
      <w:r w:rsidR="0021354A" w:rsidRPr="00842652">
        <w:rPr>
          <w:rFonts w:ascii="Arial" w:eastAsia="Arial" w:hAnsi="Arial"/>
          <w:bCs/>
          <w:sz w:val="22"/>
          <w:szCs w:val="22"/>
          <w:lang w:val="es-CR"/>
        </w:rPr>
        <w:t>dese</w:t>
      </w:r>
      <w:r w:rsidR="0021354A">
        <w:rPr>
          <w:rFonts w:ascii="Arial" w:eastAsia="Arial" w:hAnsi="Arial"/>
          <w:bCs/>
          <w:sz w:val="22"/>
          <w:szCs w:val="22"/>
          <w:lang w:val="es-CR"/>
        </w:rPr>
        <w:t>mbo</w:t>
      </w:r>
      <w:r w:rsidR="0021354A" w:rsidRPr="00842652">
        <w:rPr>
          <w:rFonts w:ascii="Arial" w:eastAsia="Arial" w:hAnsi="Arial"/>
          <w:bCs/>
          <w:sz w:val="22"/>
          <w:szCs w:val="22"/>
          <w:lang w:val="es-CR"/>
        </w:rPr>
        <w:t>lsos</w:t>
      </w:r>
      <w:r w:rsidRPr="00842652">
        <w:rPr>
          <w:rFonts w:ascii="Arial" w:eastAsia="Arial" w:hAnsi="Arial"/>
          <w:bCs/>
          <w:sz w:val="22"/>
          <w:szCs w:val="22"/>
          <w:lang w:val="es-CR"/>
        </w:rPr>
        <w:t xml:space="preserve"> que ocasione dicho proyecto como si hubiesen sido soportados sólo en la fase de investigación.</w:t>
      </w:r>
    </w:p>
    <w:p w14:paraId="4EDE7541" w14:textId="77777777" w:rsidR="004741D6" w:rsidRDefault="004741D6" w:rsidP="004741D6">
      <w:pPr>
        <w:spacing w:line="238" w:lineRule="auto"/>
        <w:ind w:left="1134" w:right="260" w:hanging="1134"/>
        <w:jc w:val="both"/>
        <w:rPr>
          <w:rFonts w:ascii="Arial" w:eastAsia="Arial" w:hAnsi="Arial"/>
          <w:b/>
          <w:sz w:val="22"/>
          <w:szCs w:val="22"/>
          <w:lang w:val="es-CR"/>
        </w:rPr>
      </w:pPr>
    </w:p>
    <w:p w14:paraId="474528F0"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7"/>
        <w:gridCol w:w="605"/>
        <w:gridCol w:w="534"/>
        <w:gridCol w:w="2801"/>
        <w:gridCol w:w="2298"/>
        <w:gridCol w:w="2267"/>
      </w:tblGrid>
      <w:tr w:rsidR="004741D6" w:rsidRPr="00B64256" w14:paraId="774D0694" w14:textId="77777777" w:rsidTr="00D16719">
        <w:trPr>
          <w:trHeight w:val="320"/>
        </w:trPr>
        <w:tc>
          <w:tcPr>
            <w:tcW w:w="169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3404F5C" w14:textId="77777777" w:rsidR="004741D6" w:rsidRPr="00B64256" w:rsidRDefault="004741D6" w:rsidP="00D16719">
            <w:pPr>
              <w:jc w:val="center"/>
              <w:rPr>
                <w:rFonts w:ascii="Arial Narrow" w:eastAsia="Times New Roman" w:hAnsi="Arial Narrow"/>
                <w:b/>
                <w:bCs/>
                <w:color w:val="FFFFFF"/>
                <w:sz w:val="22"/>
                <w:szCs w:val="22"/>
              </w:rPr>
            </w:pPr>
            <w:r w:rsidRPr="00B64256">
              <w:rPr>
                <w:rFonts w:ascii="Arial Narrow" w:eastAsia="Times New Roman" w:hAnsi="Arial Narrow"/>
                <w:b/>
                <w:bCs/>
                <w:color w:val="FFFFFF"/>
                <w:sz w:val="22"/>
                <w:szCs w:val="22"/>
              </w:rPr>
              <w:t>Norma / Política</w:t>
            </w:r>
          </w:p>
        </w:tc>
        <w:tc>
          <w:tcPr>
            <w:tcW w:w="2801" w:type="dxa"/>
            <w:vMerge w:val="restart"/>
            <w:tcBorders>
              <w:top w:val="single" w:sz="8" w:space="0" w:color="auto"/>
              <w:left w:val="single" w:sz="8" w:space="0" w:color="auto"/>
              <w:bottom w:val="nil"/>
              <w:right w:val="single" w:sz="8" w:space="0" w:color="auto"/>
            </w:tcBorders>
            <w:shd w:val="clear" w:color="000000" w:fill="203764"/>
            <w:vAlign w:val="center"/>
            <w:hideMark/>
          </w:tcPr>
          <w:p w14:paraId="153163E7" w14:textId="77777777" w:rsidR="004741D6" w:rsidRPr="00B64256" w:rsidRDefault="004741D6" w:rsidP="00D16719">
            <w:pPr>
              <w:jc w:val="center"/>
              <w:rPr>
                <w:rFonts w:ascii="Arial Narrow" w:eastAsia="Times New Roman" w:hAnsi="Arial Narrow"/>
                <w:b/>
                <w:bCs/>
                <w:color w:val="FFFFFF"/>
                <w:sz w:val="22"/>
                <w:szCs w:val="22"/>
              </w:rPr>
            </w:pPr>
            <w:r w:rsidRPr="00B64256">
              <w:rPr>
                <w:rFonts w:ascii="Arial Narrow" w:eastAsia="Times New Roman" w:hAnsi="Arial Narrow"/>
                <w:b/>
                <w:bCs/>
                <w:color w:val="FFFFFF"/>
                <w:sz w:val="22"/>
                <w:szCs w:val="22"/>
              </w:rPr>
              <w:t>Concepto</w:t>
            </w:r>
          </w:p>
        </w:tc>
        <w:tc>
          <w:tcPr>
            <w:tcW w:w="4565" w:type="dxa"/>
            <w:gridSpan w:val="2"/>
            <w:tcBorders>
              <w:top w:val="single" w:sz="8" w:space="0" w:color="auto"/>
              <w:left w:val="nil"/>
              <w:bottom w:val="single" w:sz="8" w:space="0" w:color="auto"/>
              <w:right w:val="single" w:sz="8" w:space="0" w:color="000000"/>
            </w:tcBorders>
            <w:shd w:val="clear" w:color="000000" w:fill="203764"/>
            <w:vAlign w:val="center"/>
            <w:hideMark/>
          </w:tcPr>
          <w:p w14:paraId="22D2427A" w14:textId="77777777" w:rsidR="004741D6" w:rsidRPr="00B64256" w:rsidRDefault="004741D6" w:rsidP="00D16719">
            <w:pPr>
              <w:jc w:val="center"/>
              <w:rPr>
                <w:rFonts w:ascii="Arial Narrow" w:eastAsia="Times New Roman" w:hAnsi="Arial Narrow"/>
                <w:b/>
                <w:bCs/>
                <w:color w:val="FFFFFF"/>
                <w:sz w:val="22"/>
                <w:szCs w:val="22"/>
              </w:rPr>
            </w:pPr>
            <w:r w:rsidRPr="00B64256">
              <w:rPr>
                <w:rFonts w:ascii="Arial Narrow" w:eastAsia="Times New Roman" w:hAnsi="Arial Narrow"/>
                <w:b/>
                <w:bCs/>
                <w:color w:val="FFFFFF"/>
                <w:sz w:val="22"/>
                <w:szCs w:val="22"/>
              </w:rPr>
              <w:t>Referencia</w:t>
            </w:r>
          </w:p>
        </w:tc>
      </w:tr>
      <w:tr w:rsidR="004741D6" w:rsidRPr="006E5442" w14:paraId="10D87E51" w14:textId="77777777" w:rsidTr="00D16719">
        <w:trPr>
          <w:trHeight w:val="900"/>
        </w:trPr>
        <w:tc>
          <w:tcPr>
            <w:tcW w:w="1696" w:type="dxa"/>
            <w:gridSpan w:val="3"/>
            <w:vMerge/>
            <w:tcBorders>
              <w:top w:val="single" w:sz="8" w:space="0" w:color="auto"/>
              <w:left w:val="single" w:sz="8" w:space="0" w:color="auto"/>
              <w:bottom w:val="nil"/>
              <w:right w:val="single" w:sz="8" w:space="0" w:color="000000"/>
            </w:tcBorders>
            <w:vAlign w:val="center"/>
            <w:hideMark/>
          </w:tcPr>
          <w:p w14:paraId="610247CF" w14:textId="77777777" w:rsidR="004741D6" w:rsidRPr="00B64256" w:rsidRDefault="004741D6" w:rsidP="00D16719">
            <w:pPr>
              <w:rPr>
                <w:rFonts w:ascii="Arial Narrow" w:eastAsia="Times New Roman" w:hAnsi="Arial Narrow"/>
                <w:b/>
                <w:bCs/>
                <w:color w:val="FFFFFF"/>
                <w:sz w:val="22"/>
                <w:szCs w:val="22"/>
              </w:rPr>
            </w:pPr>
          </w:p>
        </w:tc>
        <w:tc>
          <w:tcPr>
            <w:tcW w:w="2801" w:type="dxa"/>
            <w:vMerge/>
            <w:tcBorders>
              <w:top w:val="single" w:sz="8" w:space="0" w:color="auto"/>
              <w:left w:val="single" w:sz="8" w:space="0" w:color="auto"/>
              <w:bottom w:val="nil"/>
              <w:right w:val="single" w:sz="8" w:space="0" w:color="auto"/>
            </w:tcBorders>
            <w:vAlign w:val="center"/>
            <w:hideMark/>
          </w:tcPr>
          <w:p w14:paraId="2F89CDB5" w14:textId="77777777" w:rsidR="004741D6" w:rsidRPr="00B64256" w:rsidRDefault="004741D6" w:rsidP="00D16719">
            <w:pPr>
              <w:rPr>
                <w:rFonts w:ascii="Arial Narrow" w:eastAsia="Times New Roman" w:hAnsi="Arial Narrow"/>
                <w:b/>
                <w:bCs/>
                <w:color w:val="FFFFFF"/>
                <w:sz w:val="22"/>
                <w:szCs w:val="22"/>
              </w:rPr>
            </w:pPr>
          </w:p>
        </w:tc>
        <w:tc>
          <w:tcPr>
            <w:tcW w:w="2298" w:type="dxa"/>
            <w:tcBorders>
              <w:top w:val="nil"/>
              <w:left w:val="nil"/>
              <w:bottom w:val="nil"/>
              <w:right w:val="single" w:sz="8" w:space="0" w:color="auto"/>
            </w:tcBorders>
            <w:shd w:val="clear" w:color="000000" w:fill="203764"/>
            <w:vAlign w:val="center"/>
            <w:hideMark/>
          </w:tcPr>
          <w:p w14:paraId="54A555BF" w14:textId="77777777" w:rsidR="004741D6" w:rsidRPr="00B64256" w:rsidRDefault="004741D6" w:rsidP="00D16719">
            <w:pPr>
              <w:jc w:val="center"/>
              <w:rPr>
                <w:rFonts w:ascii="Arial Narrow" w:eastAsia="Times New Roman" w:hAnsi="Arial Narrow"/>
                <w:b/>
                <w:bCs/>
                <w:color w:val="FFFFFF"/>
                <w:sz w:val="22"/>
                <w:szCs w:val="22"/>
              </w:rPr>
            </w:pPr>
            <w:r w:rsidRPr="00B64256">
              <w:rPr>
                <w:rFonts w:ascii="Arial Narrow" w:eastAsia="Times New Roman" w:hAnsi="Arial Narrow"/>
                <w:b/>
                <w:bCs/>
                <w:color w:val="FFFFFF"/>
                <w:sz w:val="22"/>
                <w:szCs w:val="22"/>
              </w:rPr>
              <w:t>Norma</w:t>
            </w:r>
          </w:p>
        </w:tc>
        <w:tc>
          <w:tcPr>
            <w:tcW w:w="2267" w:type="dxa"/>
            <w:tcBorders>
              <w:top w:val="nil"/>
              <w:left w:val="nil"/>
              <w:bottom w:val="nil"/>
              <w:right w:val="single" w:sz="8" w:space="0" w:color="auto"/>
            </w:tcBorders>
            <w:shd w:val="clear" w:color="000000" w:fill="203764"/>
            <w:vAlign w:val="center"/>
            <w:hideMark/>
          </w:tcPr>
          <w:p w14:paraId="65D754AE" w14:textId="77777777" w:rsidR="004741D6" w:rsidRPr="00B64256" w:rsidRDefault="004741D6" w:rsidP="00D16719">
            <w:pPr>
              <w:jc w:val="center"/>
              <w:rPr>
                <w:rFonts w:ascii="Arial Narrow" w:eastAsia="Times New Roman" w:hAnsi="Arial Narrow"/>
                <w:b/>
                <w:bCs/>
                <w:color w:val="FFFFFF"/>
                <w:sz w:val="22"/>
                <w:szCs w:val="22"/>
                <w:lang w:val="es-CR"/>
              </w:rPr>
            </w:pPr>
            <w:r w:rsidRPr="00B64256">
              <w:rPr>
                <w:rFonts w:ascii="Arial Narrow" w:eastAsia="Times New Roman" w:hAnsi="Arial Narrow"/>
                <w:b/>
                <w:bCs/>
                <w:color w:val="FFFFFF"/>
                <w:sz w:val="22"/>
                <w:szCs w:val="22"/>
                <w:lang w:val="es-CR"/>
              </w:rPr>
              <w:t>Normativa técnica y disposiciones adicionales</w:t>
            </w:r>
          </w:p>
        </w:tc>
      </w:tr>
      <w:tr w:rsidR="004741D6" w:rsidRPr="00B64256" w14:paraId="4C9321B5" w14:textId="77777777" w:rsidTr="00D16719">
        <w:trPr>
          <w:trHeight w:val="63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729A81"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cs="Arial Narrow"/>
                <w:b/>
                <w:bCs/>
                <w:color w:val="000000"/>
                <w:spacing w:val="-10"/>
                <w:sz w:val="22"/>
                <w:szCs w:val="22"/>
              </w:rPr>
              <w:t>1</w:t>
            </w:r>
          </w:p>
        </w:tc>
        <w:tc>
          <w:tcPr>
            <w:tcW w:w="605" w:type="dxa"/>
            <w:tcBorders>
              <w:top w:val="single" w:sz="8" w:space="0" w:color="auto"/>
              <w:left w:val="nil"/>
              <w:bottom w:val="single" w:sz="8" w:space="0" w:color="auto"/>
              <w:right w:val="single" w:sz="8" w:space="0" w:color="auto"/>
            </w:tcBorders>
            <w:shd w:val="clear" w:color="auto" w:fill="auto"/>
            <w:noWrap/>
            <w:vAlign w:val="center"/>
            <w:hideMark/>
          </w:tcPr>
          <w:p w14:paraId="339E1FBB"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cs="Arial Narrow"/>
                <w:b/>
                <w:bCs/>
                <w:color w:val="000000"/>
                <w:spacing w:val="-4"/>
                <w:sz w:val="22"/>
                <w:szCs w:val="22"/>
              </w:rPr>
              <w:t>244</w:t>
            </w:r>
          </w:p>
        </w:tc>
        <w:tc>
          <w:tcPr>
            <w:tcW w:w="534" w:type="dxa"/>
            <w:tcBorders>
              <w:top w:val="single" w:sz="8" w:space="0" w:color="auto"/>
              <w:left w:val="nil"/>
              <w:bottom w:val="single" w:sz="8" w:space="0" w:color="auto"/>
              <w:right w:val="single" w:sz="8" w:space="0" w:color="auto"/>
            </w:tcBorders>
            <w:shd w:val="clear" w:color="auto" w:fill="auto"/>
            <w:vAlign w:val="center"/>
            <w:hideMark/>
          </w:tcPr>
          <w:p w14:paraId="54340CBE"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 </w:t>
            </w:r>
          </w:p>
        </w:tc>
        <w:tc>
          <w:tcPr>
            <w:tcW w:w="2801" w:type="dxa"/>
            <w:tcBorders>
              <w:top w:val="single" w:sz="8" w:space="0" w:color="auto"/>
              <w:left w:val="nil"/>
              <w:bottom w:val="single" w:sz="8" w:space="0" w:color="auto"/>
              <w:right w:val="single" w:sz="8" w:space="0" w:color="auto"/>
            </w:tcBorders>
            <w:shd w:val="clear" w:color="auto" w:fill="auto"/>
            <w:vAlign w:val="center"/>
            <w:hideMark/>
          </w:tcPr>
          <w:p w14:paraId="6BD9BD9F" w14:textId="77777777" w:rsidR="004741D6" w:rsidRPr="00B64256" w:rsidRDefault="004741D6" w:rsidP="00D16719">
            <w:pPr>
              <w:jc w:val="both"/>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Fase de Investigación</w:t>
            </w:r>
          </w:p>
        </w:tc>
        <w:tc>
          <w:tcPr>
            <w:tcW w:w="2298" w:type="dxa"/>
            <w:tcBorders>
              <w:top w:val="single" w:sz="8" w:space="0" w:color="auto"/>
              <w:left w:val="nil"/>
              <w:bottom w:val="single" w:sz="8" w:space="0" w:color="auto"/>
              <w:right w:val="single" w:sz="8" w:space="0" w:color="auto"/>
            </w:tcBorders>
            <w:shd w:val="clear" w:color="auto" w:fill="auto"/>
            <w:vAlign w:val="center"/>
            <w:hideMark/>
          </w:tcPr>
          <w:p w14:paraId="1B4C6C7B"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 xml:space="preserve">NICSP Nº 31, </w:t>
            </w:r>
          </w:p>
          <w:p w14:paraId="5DEA7DED"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 xml:space="preserve">Párrafos 52 y 54. </w:t>
            </w:r>
          </w:p>
        </w:tc>
        <w:tc>
          <w:tcPr>
            <w:tcW w:w="2267" w:type="dxa"/>
            <w:tcBorders>
              <w:top w:val="single" w:sz="8" w:space="0" w:color="auto"/>
              <w:left w:val="nil"/>
              <w:bottom w:val="single" w:sz="8" w:space="0" w:color="auto"/>
              <w:right w:val="single" w:sz="8" w:space="0" w:color="auto"/>
            </w:tcBorders>
            <w:shd w:val="clear" w:color="auto" w:fill="auto"/>
            <w:vAlign w:val="center"/>
            <w:hideMark/>
          </w:tcPr>
          <w:p w14:paraId="07EDE5BC"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cs="Arial Narrow"/>
                <w:b/>
                <w:bCs/>
                <w:color w:val="000000"/>
                <w:spacing w:val="-4"/>
                <w:sz w:val="22"/>
                <w:szCs w:val="22"/>
              </w:rPr>
              <w:t xml:space="preserve"> </w:t>
            </w:r>
          </w:p>
        </w:tc>
      </w:tr>
    </w:tbl>
    <w:p w14:paraId="4380F060" w14:textId="77777777" w:rsidR="004741D6" w:rsidRDefault="004741D6" w:rsidP="004741D6">
      <w:pPr>
        <w:spacing w:line="238" w:lineRule="auto"/>
        <w:ind w:left="1134" w:right="260" w:hanging="1134"/>
        <w:jc w:val="both"/>
        <w:rPr>
          <w:rFonts w:ascii="Arial" w:eastAsia="Arial" w:hAnsi="Arial"/>
          <w:b/>
          <w:sz w:val="22"/>
          <w:szCs w:val="22"/>
          <w:lang w:val="es-CR"/>
        </w:rPr>
      </w:pPr>
    </w:p>
    <w:p w14:paraId="449261A0" w14:textId="1C9965BE" w:rsidR="004741D6" w:rsidRDefault="00B46BBC"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2C9EAB85" w14:textId="77777777" w:rsidR="00B46BBC" w:rsidRDefault="00B46BBC" w:rsidP="004741D6">
      <w:pPr>
        <w:spacing w:line="238" w:lineRule="auto"/>
        <w:ind w:left="1134" w:right="260" w:hanging="1134"/>
        <w:jc w:val="both"/>
        <w:rPr>
          <w:rFonts w:ascii="Arial" w:eastAsia="Arial" w:hAnsi="Arial"/>
          <w:b/>
          <w:sz w:val="22"/>
          <w:szCs w:val="22"/>
          <w:lang w:val="es-CR"/>
        </w:rPr>
      </w:pPr>
    </w:p>
    <w:p w14:paraId="3EB80D4B" w14:textId="775CFB6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1.244.0.01</w:t>
      </w:r>
      <w:r>
        <w:rPr>
          <w:rFonts w:ascii="Arial" w:eastAsia="Arial" w:hAnsi="Arial"/>
          <w:bCs/>
          <w:sz w:val="22"/>
          <w:szCs w:val="22"/>
          <w:lang w:val="es-CR"/>
        </w:rPr>
        <w:tab/>
      </w:r>
      <w:r w:rsidRPr="00CE5468">
        <w:rPr>
          <w:rFonts w:ascii="Arial" w:eastAsia="Arial" w:hAnsi="Arial"/>
          <w:bCs/>
          <w:sz w:val="22"/>
          <w:szCs w:val="22"/>
          <w:lang w:val="es-CR"/>
        </w:rPr>
        <w:t xml:space="preserve">En la </w:t>
      </w:r>
      <w:r w:rsidR="000F29DC">
        <w:rPr>
          <w:rFonts w:ascii="Arial" w:eastAsia="Arial" w:hAnsi="Arial"/>
          <w:bCs/>
          <w:sz w:val="22"/>
          <w:szCs w:val="22"/>
          <w:lang w:val="es-CR"/>
        </w:rPr>
        <w:t>MBA</w:t>
      </w:r>
      <w:r w:rsidRPr="00CE5468">
        <w:rPr>
          <w:rFonts w:ascii="Arial" w:eastAsia="Arial" w:hAnsi="Arial"/>
          <w:bCs/>
          <w:sz w:val="22"/>
          <w:szCs w:val="22"/>
          <w:lang w:val="es-CR"/>
        </w:rPr>
        <w:t xml:space="preserve">, si en la fase de investigación no puede demostrarse que exista un activo intangible que pueda generar beneficios económicos o potencial de servicios futuros, los </w:t>
      </w:r>
      <w:r w:rsidR="0021354A" w:rsidRPr="00CE5468">
        <w:rPr>
          <w:rFonts w:ascii="Arial" w:eastAsia="Arial" w:hAnsi="Arial"/>
          <w:bCs/>
          <w:sz w:val="22"/>
          <w:szCs w:val="22"/>
          <w:lang w:val="es-CR"/>
        </w:rPr>
        <w:t>dese</w:t>
      </w:r>
      <w:r w:rsidR="0021354A">
        <w:rPr>
          <w:rFonts w:ascii="Arial" w:eastAsia="Arial" w:hAnsi="Arial"/>
          <w:bCs/>
          <w:sz w:val="22"/>
          <w:szCs w:val="22"/>
          <w:lang w:val="es-CR"/>
        </w:rPr>
        <w:t>mbo</w:t>
      </w:r>
      <w:r w:rsidR="0021354A" w:rsidRPr="00CE5468">
        <w:rPr>
          <w:rFonts w:ascii="Arial" w:eastAsia="Arial" w:hAnsi="Arial"/>
          <w:bCs/>
          <w:sz w:val="22"/>
          <w:szCs w:val="22"/>
          <w:lang w:val="es-CR"/>
        </w:rPr>
        <w:t>lsos</w:t>
      </w:r>
      <w:r w:rsidRPr="00CE5468">
        <w:rPr>
          <w:rFonts w:ascii="Arial" w:eastAsia="Arial" w:hAnsi="Arial"/>
          <w:bCs/>
          <w:sz w:val="22"/>
          <w:szCs w:val="22"/>
          <w:lang w:val="es-CR"/>
        </w:rPr>
        <w:t xml:space="preserve"> en que se incurra durante dicha fase no deberán reconocerse como activos intangibles, sino que se reconocerán como gastos del período en el que se incurran.</w:t>
      </w:r>
    </w:p>
    <w:p w14:paraId="13093787" w14:textId="77777777" w:rsidR="00B46BBC" w:rsidRPr="00CE5468" w:rsidRDefault="00B46BBC" w:rsidP="004741D6">
      <w:pPr>
        <w:spacing w:line="236" w:lineRule="auto"/>
        <w:ind w:left="1134" w:right="280" w:hanging="1134"/>
        <w:jc w:val="both"/>
        <w:rPr>
          <w:rFonts w:ascii="Arial" w:eastAsia="Arial" w:hAnsi="Arial"/>
          <w:bCs/>
          <w:sz w:val="22"/>
          <w:szCs w:val="22"/>
          <w:lang w:val="es-CR"/>
        </w:rPr>
      </w:pPr>
    </w:p>
    <w:p w14:paraId="35E2CBBD" w14:textId="77777777"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1.244.0.01</w:t>
      </w:r>
      <w:r>
        <w:rPr>
          <w:rFonts w:ascii="Arial" w:eastAsia="Arial" w:hAnsi="Arial"/>
          <w:bCs/>
          <w:sz w:val="22"/>
          <w:szCs w:val="22"/>
          <w:lang w:val="es-CR"/>
        </w:rPr>
        <w:tab/>
      </w:r>
      <w:r w:rsidRPr="00CE5468">
        <w:rPr>
          <w:rFonts w:ascii="Arial" w:eastAsia="Arial" w:hAnsi="Arial"/>
          <w:bCs/>
          <w:sz w:val="22"/>
          <w:szCs w:val="22"/>
          <w:lang w:val="es-CR"/>
        </w:rPr>
        <w:t>Dentro de las actividades de investigación se pueden contemplar:</w:t>
      </w:r>
    </w:p>
    <w:p w14:paraId="253662FA" w14:textId="77777777" w:rsidR="00B46BBC" w:rsidRPr="00CE5468" w:rsidRDefault="00B46BBC" w:rsidP="004741D6">
      <w:pPr>
        <w:spacing w:line="236" w:lineRule="auto"/>
        <w:ind w:left="1134" w:right="280" w:hanging="1134"/>
        <w:jc w:val="both"/>
        <w:rPr>
          <w:rFonts w:ascii="Arial" w:eastAsia="Arial" w:hAnsi="Arial"/>
          <w:bCs/>
          <w:sz w:val="22"/>
          <w:szCs w:val="22"/>
          <w:lang w:val="es-CR"/>
        </w:rPr>
      </w:pPr>
    </w:p>
    <w:p w14:paraId="4B002E7D" w14:textId="63D667FA" w:rsidR="004741D6" w:rsidRPr="00B46BBC" w:rsidRDefault="004741D6" w:rsidP="00B46BBC">
      <w:pPr>
        <w:pStyle w:val="Prrafodelista"/>
        <w:numPr>
          <w:ilvl w:val="0"/>
          <w:numId w:val="105"/>
        </w:numPr>
        <w:spacing w:after="120"/>
        <w:ind w:left="1418" w:hanging="284"/>
        <w:contextualSpacing w:val="0"/>
        <w:rPr>
          <w:rFonts w:ascii="Arial" w:eastAsia="Arial" w:hAnsi="Arial"/>
          <w:bCs/>
          <w:sz w:val="22"/>
          <w:szCs w:val="22"/>
          <w:lang w:val="es-CR"/>
        </w:rPr>
      </w:pPr>
      <w:bookmarkStart w:id="78" w:name="page91"/>
      <w:bookmarkEnd w:id="78"/>
      <w:r w:rsidRPr="00CE5468">
        <w:rPr>
          <w:rFonts w:ascii="Arial" w:eastAsia="Arial" w:hAnsi="Arial"/>
          <w:bCs/>
          <w:sz w:val="22"/>
          <w:szCs w:val="22"/>
          <w:lang w:val="es-CR"/>
        </w:rPr>
        <w:t>Actividades dirigidas a obtener nuevos conocimientos.</w:t>
      </w:r>
    </w:p>
    <w:p w14:paraId="7D883F41" w14:textId="32D88AD1" w:rsidR="004741D6" w:rsidRPr="00B46BBC" w:rsidRDefault="004741D6" w:rsidP="00B46BBC">
      <w:pPr>
        <w:pStyle w:val="Prrafodelista"/>
        <w:numPr>
          <w:ilvl w:val="0"/>
          <w:numId w:val="105"/>
        </w:numPr>
        <w:spacing w:after="120"/>
        <w:ind w:left="1418" w:right="278" w:hanging="284"/>
        <w:contextualSpacing w:val="0"/>
        <w:rPr>
          <w:rFonts w:ascii="Arial" w:eastAsia="Arial" w:hAnsi="Arial"/>
          <w:bCs/>
          <w:sz w:val="22"/>
          <w:szCs w:val="22"/>
          <w:lang w:val="es-CR"/>
        </w:rPr>
      </w:pPr>
      <w:r w:rsidRPr="00CE5468">
        <w:rPr>
          <w:rFonts w:ascii="Arial" w:eastAsia="Arial" w:hAnsi="Arial"/>
          <w:bCs/>
          <w:sz w:val="22"/>
          <w:szCs w:val="22"/>
          <w:lang w:val="es-CR"/>
        </w:rPr>
        <w:t>La búsqueda, evaluación y selección final de aplicaciones de resultados de la investigación u otro tipo de conocimientos.</w:t>
      </w:r>
    </w:p>
    <w:p w14:paraId="78C5B16F" w14:textId="66F47D42" w:rsidR="004741D6" w:rsidRPr="00B46BBC" w:rsidRDefault="004741D6" w:rsidP="00B46BBC">
      <w:pPr>
        <w:pStyle w:val="Prrafodelista"/>
        <w:numPr>
          <w:ilvl w:val="0"/>
          <w:numId w:val="105"/>
        </w:numPr>
        <w:spacing w:after="120"/>
        <w:ind w:left="1418" w:right="260" w:hanging="284"/>
        <w:contextualSpacing w:val="0"/>
        <w:rPr>
          <w:rFonts w:ascii="Arial" w:eastAsia="Arial" w:hAnsi="Arial"/>
          <w:bCs/>
          <w:sz w:val="22"/>
          <w:szCs w:val="22"/>
          <w:lang w:val="es-CR"/>
        </w:rPr>
      </w:pPr>
      <w:r w:rsidRPr="00CE5468">
        <w:rPr>
          <w:rFonts w:ascii="Arial" w:eastAsia="Arial" w:hAnsi="Arial"/>
          <w:bCs/>
          <w:sz w:val="22"/>
          <w:szCs w:val="22"/>
          <w:lang w:val="es-CR"/>
        </w:rPr>
        <w:t>La búsqueda de alternativas para materiales, aparatos, productos, procesos, sistemas o servicios.</w:t>
      </w:r>
    </w:p>
    <w:p w14:paraId="5334DBBF" w14:textId="77777777" w:rsidR="004741D6" w:rsidRPr="00CE5468" w:rsidRDefault="004741D6" w:rsidP="00B46BBC">
      <w:pPr>
        <w:pStyle w:val="Prrafodelista"/>
        <w:numPr>
          <w:ilvl w:val="0"/>
          <w:numId w:val="105"/>
        </w:numPr>
        <w:spacing w:after="120"/>
        <w:ind w:left="1418" w:right="260" w:hanging="284"/>
        <w:contextualSpacing w:val="0"/>
        <w:jc w:val="both"/>
        <w:rPr>
          <w:rFonts w:ascii="Arial" w:eastAsia="Arial" w:hAnsi="Arial"/>
          <w:bCs/>
          <w:sz w:val="22"/>
          <w:szCs w:val="22"/>
          <w:lang w:val="es-CR"/>
        </w:rPr>
      </w:pPr>
      <w:r w:rsidRPr="00CE5468">
        <w:rPr>
          <w:rFonts w:ascii="Arial" w:eastAsia="Arial" w:hAnsi="Arial"/>
          <w:bCs/>
          <w:sz w:val="22"/>
          <w:szCs w:val="22"/>
          <w:lang w:val="es-CR"/>
        </w:rPr>
        <w:t>La formulación, diseño, evaluación y selección final, de posibles alternativas para materiales, dispositivos, productos, procesos, sistemas o servicios que sean nuevos o se hayan mejorado</w:t>
      </w:r>
    </w:p>
    <w:p w14:paraId="2DDF01EF" w14:textId="77777777" w:rsidR="004741D6" w:rsidRPr="00CE5468" w:rsidRDefault="004741D6" w:rsidP="004741D6">
      <w:pPr>
        <w:spacing w:line="238" w:lineRule="auto"/>
        <w:ind w:left="1134" w:right="260" w:hanging="1134"/>
        <w:jc w:val="both"/>
        <w:rPr>
          <w:rFonts w:ascii="Arial" w:eastAsia="Arial" w:hAnsi="Arial"/>
          <w:bCs/>
          <w:sz w:val="22"/>
          <w:szCs w:val="22"/>
          <w:lang w:val="es-CR"/>
        </w:rPr>
      </w:pPr>
    </w:p>
    <w:p w14:paraId="5F59F59B" w14:textId="77777777" w:rsidR="004741D6"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7"/>
        <w:gridCol w:w="517"/>
        <w:gridCol w:w="514"/>
        <w:gridCol w:w="2938"/>
        <w:gridCol w:w="2410"/>
        <w:gridCol w:w="2126"/>
      </w:tblGrid>
      <w:tr w:rsidR="004741D6" w:rsidRPr="00100862" w14:paraId="2EBF368F" w14:textId="77777777" w:rsidTr="00D16719">
        <w:trPr>
          <w:trHeight w:val="330"/>
        </w:trPr>
        <w:tc>
          <w:tcPr>
            <w:tcW w:w="158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930159A" w14:textId="77777777" w:rsidR="004741D6" w:rsidRPr="00100862" w:rsidRDefault="004741D6" w:rsidP="00D16719">
            <w:pPr>
              <w:jc w:val="center"/>
              <w:rPr>
                <w:rFonts w:ascii="Arial Narrow" w:eastAsia="Times New Roman" w:hAnsi="Arial Narrow"/>
                <w:b/>
                <w:bCs/>
                <w:color w:val="FFFFFF"/>
                <w:sz w:val="22"/>
                <w:szCs w:val="22"/>
              </w:rPr>
            </w:pPr>
            <w:r w:rsidRPr="00100862">
              <w:rPr>
                <w:rFonts w:ascii="Arial Narrow" w:eastAsia="Times New Roman" w:hAnsi="Arial Narrow"/>
                <w:b/>
                <w:bCs/>
                <w:color w:val="FFFFFF"/>
                <w:sz w:val="22"/>
                <w:szCs w:val="22"/>
              </w:rPr>
              <w:t>Norma / Política</w:t>
            </w:r>
          </w:p>
        </w:tc>
        <w:tc>
          <w:tcPr>
            <w:tcW w:w="2938" w:type="dxa"/>
            <w:vMerge w:val="restart"/>
            <w:tcBorders>
              <w:top w:val="single" w:sz="8" w:space="0" w:color="auto"/>
              <w:left w:val="single" w:sz="8" w:space="0" w:color="auto"/>
              <w:bottom w:val="nil"/>
              <w:right w:val="single" w:sz="8" w:space="0" w:color="auto"/>
            </w:tcBorders>
            <w:shd w:val="clear" w:color="000000" w:fill="203764"/>
            <w:vAlign w:val="center"/>
            <w:hideMark/>
          </w:tcPr>
          <w:p w14:paraId="64B963B3" w14:textId="77777777" w:rsidR="004741D6" w:rsidRPr="00100862" w:rsidRDefault="004741D6" w:rsidP="00D16719">
            <w:pPr>
              <w:jc w:val="center"/>
              <w:rPr>
                <w:rFonts w:ascii="Arial Narrow" w:eastAsia="Times New Roman" w:hAnsi="Arial Narrow"/>
                <w:b/>
                <w:bCs/>
                <w:color w:val="FFFFFF"/>
                <w:sz w:val="22"/>
                <w:szCs w:val="22"/>
              </w:rPr>
            </w:pPr>
            <w:r w:rsidRPr="00100862">
              <w:rPr>
                <w:rFonts w:ascii="Arial Narrow" w:eastAsia="Times New Roman" w:hAnsi="Arial Narrow"/>
                <w:b/>
                <w:bCs/>
                <w:color w:val="FFFFFF"/>
                <w:sz w:val="22"/>
                <w:szCs w:val="22"/>
              </w:rPr>
              <w:t>Concepto</w:t>
            </w:r>
          </w:p>
        </w:tc>
        <w:tc>
          <w:tcPr>
            <w:tcW w:w="4536" w:type="dxa"/>
            <w:gridSpan w:val="2"/>
            <w:tcBorders>
              <w:top w:val="single" w:sz="8" w:space="0" w:color="auto"/>
              <w:left w:val="nil"/>
              <w:bottom w:val="single" w:sz="8" w:space="0" w:color="auto"/>
              <w:right w:val="single" w:sz="8" w:space="0" w:color="000000"/>
            </w:tcBorders>
            <w:shd w:val="clear" w:color="000000" w:fill="203764"/>
            <w:vAlign w:val="center"/>
            <w:hideMark/>
          </w:tcPr>
          <w:p w14:paraId="3732B10E" w14:textId="77777777" w:rsidR="004741D6" w:rsidRPr="00100862" w:rsidRDefault="004741D6" w:rsidP="00D16719">
            <w:pPr>
              <w:jc w:val="center"/>
              <w:rPr>
                <w:rFonts w:ascii="Arial Narrow" w:eastAsia="Times New Roman" w:hAnsi="Arial Narrow"/>
                <w:b/>
                <w:bCs/>
                <w:color w:val="FFFFFF"/>
                <w:sz w:val="22"/>
                <w:szCs w:val="22"/>
              </w:rPr>
            </w:pPr>
            <w:r w:rsidRPr="00100862">
              <w:rPr>
                <w:rFonts w:ascii="Arial Narrow" w:eastAsia="Times New Roman" w:hAnsi="Arial Narrow"/>
                <w:b/>
                <w:bCs/>
                <w:color w:val="FFFFFF"/>
                <w:sz w:val="22"/>
                <w:szCs w:val="22"/>
              </w:rPr>
              <w:t>Referencia</w:t>
            </w:r>
          </w:p>
        </w:tc>
      </w:tr>
      <w:tr w:rsidR="004741D6" w:rsidRPr="006E5442" w14:paraId="5D83841C" w14:textId="77777777" w:rsidTr="00D16719">
        <w:trPr>
          <w:trHeight w:val="950"/>
        </w:trPr>
        <w:tc>
          <w:tcPr>
            <w:tcW w:w="1588" w:type="dxa"/>
            <w:gridSpan w:val="3"/>
            <w:vMerge/>
            <w:tcBorders>
              <w:top w:val="single" w:sz="8" w:space="0" w:color="auto"/>
              <w:left w:val="single" w:sz="8" w:space="0" w:color="auto"/>
              <w:bottom w:val="nil"/>
              <w:right w:val="single" w:sz="8" w:space="0" w:color="000000"/>
            </w:tcBorders>
            <w:vAlign w:val="center"/>
            <w:hideMark/>
          </w:tcPr>
          <w:p w14:paraId="789CE8EF" w14:textId="77777777" w:rsidR="004741D6" w:rsidRPr="00100862" w:rsidRDefault="004741D6" w:rsidP="00D16719">
            <w:pPr>
              <w:rPr>
                <w:rFonts w:ascii="Arial Narrow" w:eastAsia="Times New Roman" w:hAnsi="Arial Narrow"/>
                <w:b/>
                <w:bCs/>
                <w:color w:val="FFFFFF"/>
                <w:sz w:val="22"/>
                <w:szCs w:val="22"/>
              </w:rPr>
            </w:pPr>
          </w:p>
        </w:tc>
        <w:tc>
          <w:tcPr>
            <w:tcW w:w="2938" w:type="dxa"/>
            <w:vMerge/>
            <w:tcBorders>
              <w:top w:val="single" w:sz="8" w:space="0" w:color="auto"/>
              <w:left w:val="single" w:sz="8" w:space="0" w:color="auto"/>
              <w:bottom w:val="nil"/>
              <w:right w:val="single" w:sz="8" w:space="0" w:color="auto"/>
            </w:tcBorders>
            <w:vAlign w:val="center"/>
            <w:hideMark/>
          </w:tcPr>
          <w:p w14:paraId="36A102A0" w14:textId="77777777" w:rsidR="004741D6" w:rsidRPr="00100862" w:rsidRDefault="004741D6" w:rsidP="00D16719">
            <w:pPr>
              <w:rPr>
                <w:rFonts w:ascii="Arial Narrow" w:eastAsia="Times New Roman" w:hAnsi="Arial Narrow"/>
                <w:b/>
                <w:bCs/>
                <w:color w:val="FFFFFF"/>
                <w:sz w:val="22"/>
                <w:szCs w:val="22"/>
              </w:rPr>
            </w:pPr>
          </w:p>
        </w:tc>
        <w:tc>
          <w:tcPr>
            <w:tcW w:w="2410" w:type="dxa"/>
            <w:tcBorders>
              <w:top w:val="nil"/>
              <w:left w:val="nil"/>
              <w:bottom w:val="nil"/>
              <w:right w:val="single" w:sz="8" w:space="0" w:color="auto"/>
            </w:tcBorders>
            <w:shd w:val="clear" w:color="000000" w:fill="203764"/>
            <w:vAlign w:val="center"/>
            <w:hideMark/>
          </w:tcPr>
          <w:p w14:paraId="59EE79E2" w14:textId="77777777" w:rsidR="004741D6" w:rsidRPr="00100862" w:rsidRDefault="004741D6" w:rsidP="00D16719">
            <w:pPr>
              <w:jc w:val="center"/>
              <w:rPr>
                <w:rFonts w:ascii="Arial Narrow" w:eastAsia="Times New Roman" w:hAnsi="Arial Narrow"/>
                <w:b/>
                <w:bCs/>
                <w:color w:val="FFFFFF"/>
                <w:sz w:val="22"/>
                <w:szCs w:val="22"/>
              </w:rPr>
            </w:pPr>
            <w:r w:rsidRPr="00100862">
              <w:rPr>
                <w:rFonts w:ascii="Arial Narrow" w:eastAsia="Times New Roman" w:hAnsi="Arial Narrow"/>
                <w:b/>
                <w:bCs/>
                <w:color w:val="FFFFFF"/>
                <w:sz w:val="22"/>
                <w:szCs w:val="22"/>
              </w:rPr>
              <w:t>Norma</w:t>
            </w:r>
          </w:p>
        </w:tc>
        <w:tc>
          <w:tcPr>
            <w:tcW w:w="2126" w:type="dxa"/>
            <w:tcBorders>
              <w:top w:val="nil"/>
              <w:left w:val="nil"/>
              <w:bottom w:val="nil"/>
              <w:right w:val="single" w:sz="8" w:space="0" w:color="auto"/>
            </w:tcBorders>
            <w:shd w:val="clear" w:color="000000" w:fill="203764"/>
            <w:vAlign w:val="center"/>
            <w:hideMark/>
          </w:tcPr>
          <w:p w14:paraId="2CC6B110" w14:textId="77777777" w:rsidR="004741D6" w:rsidRPr="00100862" w:rsidRDefault="004741D6" w:rsidP="00D16719">
            <w:pPr>
              <w:jc w:val="center"/>
              <w:rPr>
                <w:rFonts w:ascii="Arial Narrow" w:eastAsia="Times New Roman" w:hAnsi="Arial Narrow"/>
                <w:b/>
                <w:bCs/>
                <w:color w:val="FFFFFF"/>
                <w:sz w:val="22"/>
                <w:szCs w:val="22"/>
                <w:lang w:val="es-CR"/>
              </w:rPr>
            </w:pPr>
            <w:r w:rsidRPr="00100862">
              <w:rPr>
                <w:rFonts w:ascii="Arial Narrow" w:eastAsia="Times New Roman" w:hAnsi="Arial Narrow"/>
                <w:b/>
                <w:bCs/>
                <w:color w:val="FFFFFF"/>
                <w:sz w:val="22"/>
                <w:szCs w:val="22"/>
                <w:lang w:val="es-CR"/>
              </w:rPr>
              <w:t>Normativa técnica y disposiciones adicionales</w:t>
            </w:r>
          </w:p>
        </w:tc>
      </w:tr>
      <w:tr w:rsidR="004741D6" w:rsidRPr="00100862" w14:paraId="4A3FF648" w14:textId="77777777" w:rsidTr="00D16719">
        <w:trPr>
          <w:trHeight w:val="411"/>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700316" w14:textId="77777777" w:rsidR="004741D6" w:rsidRPr="00100862" w:rsidRDefault="004741D6" w:rsidP="00D16719">
            <w:pPr>
              <w:jc w:val="center"/>
              <w:rPr>
                <w:rFonts w:ascii="Arial Narrow" w:eastAsia="Times New Roman" w:hAnsi="Arial Narrow"/>
                <w:b/>
                <w:bCs/>
                <w:color w:val="000000"/>
                <w:sz w:val="22"/>
                <w:szCs w:val="22"/>
              </w:rPr>
            </w:pPr>
            <w:r w:rsidRPr="00100862">
              <w:rPr>
                <w:rFonts w:ascii="Arial Narrow" w:eastAsia="Times New Roman" w:hAnsi="Arial Narrow"/>
                <w:b/>
                <w:bCs/>
                <w:color w:val="000000"/>
                <w:sz w:val="22"/>
                <w:szCs w:val="22"/>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79331F75" w14:textId="77777777" w:rsidR="004741D6" w:rsidRPr="00100862" w:rsidRDefault="004741D6" w:rsidP="00D16719">
            <w:pPr>
              <w:jc w:val="center"/>
              <w:rPr>
                <w:rFonts w:ascii="Arial Narrow" w:eastAsia="Times New Roman" w:hAnsi="Arial Narrow"/>
                <w:b/>
                <w:bCs/>
                <w:color w:val="000000"/>
                <w:sz w:val="22"/>
                <w:szCs w:val="22"/>
              </w:rPr>
            </w:pPr>
            <w:r w:rsidRPr="00100862">
              <w:rPr>
                <w:rFonts w:ascii="Arial Narrow" w:eastAsia="Times New Roman" w:hAnsi="Arial Narrow"/>
                <w:b/>
                <w:bCs/>
                <w:color w:val="000000"/>
                <w:sz w:val="22"/>
                <w:szCs w:val="22"/>
              </w:rPr>
              <w:t>245</w:t>
            </w:r>
          </w:p>
        </w:tc>
        <w:tc>
          <w:tcPr>
            <w:tcW w:w="514" w:type="dxa"/>
            <w:tcBorders>
              <w:top w:val="single" w:sz="8" w:space="0" w:color="auto"/>
              <w:left w:val="nil"/>
              <w:bottom w:val="single" w:sz="8" w:space="0" w:color="auto"/>
              <w:right w:val="single" w:sz="8" w:space="0" w:color="auto"/>
            </w:tcBorders>
            <w:shd w:val="clear" w:color="auto" w:fill="auto"/>
            <w:vAlign w:val="center"/>
            <w:hideMark/>
          </w:tcPr>
          <w:p w14:paraId="394ABBBF" w14:textId="77777777" w:rsidR="004741D6" w:rsidRPr="00100862" w:rsidRDefault="004741D6" w:rsidP="00D16719">
            <w:pPr>
              <w:jc w:val="center"/>
              <w:rPr>
                <w:rFonts w:ascii="Arial Narrow" w:eastAsia="Times New Roman" w:hAnsi="Arial Narrow"/>
                <w:b/>
                <w:bCs/>
                <w:color w:val="000000"/>
                <w:sz w:val="22"/>
                <w:szCs w:val="22"/>
              </w:rPr>
            </w:pPr>
            <w:r w:rsidRPr="00100862">
              <w:rPr>
                <w:rFonts w:ascii="Arial Narrow" w:eastAsia="Times New Roman" w:hAnsi="Arial Narrow"/>
                <w:b/>
                <w:bCs/>
                <w:color w:val="000000"/>
                <w:sz w:val="22"/>
                <w:szCs w:val="22"/>
              </w:rPr>
              <w:t> </w:t>
            </w:r>
          </w:p>
        </w:tc>
        <w:tc>
          <w:tcPr>
            <w:tcW w:w="2938" w:type="dxa"/>
            <w:tcBorders>
              <w:top w:val="single" w:sz="8" w:space="0" w:color="auto"/>
              <w:left w:val="nil"/>
              <w:bottom w:val="single" w:sz="8" w:space="0" w:color="auto"/>
              <w:right w:val="single" w:sz="8" w:space="0" w:color="auto"/>
            </w:tcBorders>
            <w:shd w:val="clear" w:color="auto" w:fill="auto"/>
            <w:vAlign w:val="center"/>
            <w:hideMark/>
          </w:tcPr>
          <w:p w14:paraId="03116C20" w14:textId="77777777" w:rsidR="004741D6" w:rsidRPr="00100862" w:rsidRDefault="004741D6" w:rsidP="00D16719">
            <w:pPr>
              <w:jc w:val="both"/>
              <w:rPr>
                <w:rFonts w:ascii="Arial Narrow" w:eastAsia="Times New Roman" w:hAnsi="Arial Narrow"/>
                <w:b/>
                <w:bCs/>
                <w:color w:val="000000"/>
                <w:sz w:val="22"/>
                <w:szCs w:val="22"/>
              </w:rPr>
            </w:pPr>
            <w:r w:rsidRPr="00100862">
              <w:rPr>
                <w:rFonts w:ascii="Arial Narrow" w:eastAsia="Times New Roman" w:hAnsi="Arial Narrow"/>
                <w:b/>
                <w:bCs/>
                <w:color w:val="000000"/>
                <w:sz w:val="22"/>
                <w:szCs w:val="22"/>
              </w:rPr>
              <w:t>Fase de Desarrollo</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4AB05231" w14:textId="77777777" w:rsidR="00B46BBC" w:rsidRDefault="004741D6" w:rsidP="00B46BBC">
            <w:pPr>
              <w:jc w:val="both"/>
              <w:rPr>
                <w:rFonts w:ascii="Arial Narrow" w:eastAsia="Times New Roman" w:hAnsi="Arial Narrow"/>
                <w:b/>
                <w:bCs/>
                <w:color w:val="000000"/>
                <w:sz w:val="22"/>
                <w:szCs w:val="22"/>
              </w:rPr>
            </w:pPr>
            <w:r w:rsidRPr="00100862">
              <w:rPr>
                <w:rFonts w:ascii="Arial Narrow" w:eastAsia="Times New Roman" w:hAnsi="Arial Narrow"/>
                <w:b/>
                <w:bCs/>
                <w:color w:val="000000"/>
                <w:sz w:val="22"/>
                <w:szCs w:val="22"/>
              </w:rPr>
              <w:t>NICSP Nº 31,</w:t>
            </w:r>
          </w:p>
          <w:p w14:paraId="4E6DC404" w14:textId="694DFC89" w:rsidR="004741D6" w:rsidRPr="00100862" w:rsidRDefault="004741D6" w:rsidP="00B46BBC">
            <w:pPr>
              <w:jc w:val="both"/>
              <w:rPr>
                <w:rFonts w:ascii="Arial Narrow" w:eastAsia="Times New Roman" w:hAnsi="Arial Narrow"/>
                <w:b/>
                <w:bCs/>
                <w:color w:val="000000"/>
                <w:sz w:val="22"/>
                <w:szCs w:val="22"/>
              </w:rPr>
            </w:pPr>
            <w:r w:rsidRPr="00100862">
              <w:rPr>
                <w:rFonts w:ascii="Arial Narrow" w:eastAsia="Times New Roman" w:hAnsi="Arial Narrow"/>
                <w:b/>
                <w:bCs/>
                <w:color w:val="000000"/>
                <w:sz w:val="22"/>
                <w:szCs w:val="22"/>
              </w:rPr>
              <w:t xml:space="preserve">Párrafos 55 a 57. </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6405B6BA" w14:textId="77777777" w:rsidR="004741D6" w:rsidRPr="00100862" w:rsidRDefault="004741D6" w:rsidP="00D16719">
            <w:pPr>
              <w:jc w:val="center"/>
              <w:rPr>
                <w:rFonts w:ascii="Arial Narrow" w:eastAsia="Times New Roman" w:hAnsi="Arial Narrow"/>
                <w:b/>
                <w:bCs/>
                <w:color w:val="000000"/>
                <w:sz w:val="22"/>
                <w:szCs w:val="22"/>
              </w:rPr>
            </w:pPr>
            <w:r w:rsidRPr="00100862">
              <w:rPr>
                <w:rFonts w:ascii="Arial Narrow" w:eastAsia="Times New Roman" w:hAnsi="Arial Narrow"/>
                <w:b/>
                <w:bCs/>
                <w:color w:val="000000"/>
                <w:sz w:val="22"/>
                <w:szCs w:val="22"/>
              </w:rPr>
              <w:t xml:space="preserve"> </w:t>
            </w:r>
          </w:p>
        </w:tc>
      </w:tr>
    </w:tbl>
    <w:p w14:paraId="12D7F38A" w14:textId="77777777" w:rsidR="004741D6" w:rsidRDefault="004741D6" w:rsidP="004741D6">
      <w:pPr>
        <w:spacing w:line="238" w:lineRule="auto"/>
        <w:ind w:left="1134" w:right="260" w:hanging="1134"/>
        <w:jc w:val="both"/>
        <w:rPr>
          <w:rFonts w:ascii="Arial" w:eastAsia="Arial" w:hAnsi="Arial"/>
          <w:b/>
          <w:sz w:val="22"/>
          <w:szCs w:val="22"/>
          <w:lang w:val="es-CR"/>
        </w:rPr>
      </w:pPr>
    </w:p>
    <w:p w14:paraId="01A69E46" w14:textId="4C762DDC" w:rsidR="004741D6" w:rsidRDefault="00B46BBC"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AED5DA3" w14:textId="77777777" w:rsidR="00B46BBC" w:rsidRDefault="00B46BBC" w:rsidP="004741D6">
      <w:pPr>
        <w:spacing w:line="238" w:lineRule="auto"/>
        <w:ind w:left="1134" w:right="260" w:hanging="1134"/>
        <w:jc w:val="both"/>
        <w:rPr>
          <w:rFonts w:ascii="Arial" w:eastAsia="Arial" w:hAnsi="Arial"/>
          <w:b/>
          <w:sz w:val="22"/>
          <w:szCs w:val="22"/>
          <w:lang w:val="es-CR"/>
        </w:rPr>
      </w:pPr>
    </w:p>
    <w:p w14:paraId="70128C30" w14:textId="4B92A4BA" w:rsidR="004741D6" w:rsidRDefault="004741D6" w:rsidP="00B46BBC">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1.245.0.01</w:t>
      </w:r>
      <w:r>
        <w:rPr>
          <w:rFonts w:ascii="Arial" w:eastAsia="Arial" w:hAnsi="Arial"/>
          <w:bCs/>
          <w:sz w:val="22"/>
          <w:szCs w:val="22"/>
          <w:lang w:val="es-CR"/>
        </w:rPr>
        <w:tab/>
      </w:r>
      <w:r w:rsidRPr="00670F69">
        <w:rPr>
          <w:rFonts w:ascii="Arial" w:eastAsia="Arial" w:hAnsi="Arial"/>
          <w:bCs/>
          <w:sz w:val="22"/>
          <w:szCs w:val="22"/>
          <w:lang w:val="es-CR"/>
        </w:rPr>
        <w:t xml:space="preserve">En la </w:t>
      </w:r>
      <w:r w:rsidR="000F29DC">
        <w:rPr>
          <w:rFonts w:ascii="Arial" w:eastAsia="Arial" w:hAnsi="Arial"/>
          <w:bCs/>
          <w:sz w:val="22"/>
          <w:szCs w:val="22"/>
          <w:lang w:val="es-CR"/>
        </w:rPr>
        <w:t>MBA</w:t>
      </w:r>
      <w:r w:rsidRPr="00670F69">
        <w:rPr>
          <w:rFonts w:ascii="Arial" w:eastAsia="Arial" w:hAnsi="Arial"/>
          <w:bCs/>
          <w:sz w:val="22"/>
          <w:szCs w:val="22"/>
          <w:lang w:val="es-CR"/>
        </w:rPr>
        <w:t xml:space="preserve"> un activo intangible surgido </w:t>
      </w:r>
      <w:r>
        <w:rPr>
          <w:rFonts w:ascii="Arial" w:eastAsia="Arial" w:hAnsi="Arial"/>
          <w:bCs/>
          <w:sz w:val="22"/>
          <w:szCs w:val="22"/>
          <w:lang w:val="es-CR"/>
        </w:rPr>
        <w:t>de la investigación</w:t>
      </w:r>
      <w:r w:rsidRPr="00670F69">
        <w:rPr>
          <w:rFonts w:ascii="Arial" w:eastAsia="Arial" w:hAnsi="Arial"/>
          <w:bCs/>
          <w:sz w:val="22"/>
          <w:szCs w:val="22"/>
          <w:lang w:val="es-CR"/>
        </w:rPr>
        <w:t xml:space="preserve"> se reconocerá si, y solo si, se demuestra lo siguiente: </w:t>
      </w:r>
    </w:p>
    <w:p w14:paraId="44687736" w14:textId="77777777" w:rsidR="00B46BBC" w:rsidRPr="00670F69" w:rsidRDefault="00B46BBC" w:rsidP="00B46BBC">
      <w:pPr>
        <w:spacing w:line="236" w:lineRule="auto"/>
        <w:ind w:left="1134" w:right="280" w:hanging="1134"/>
        <w:jc w:val="both"/>
        <w:rPr>
          <w:rFonts w:ascii="Arial" w:eastAsia="Arial" w:hAnsi="Arial"/>
          <w:bCs/>
          <w:sz w:val="22"/>
          <w:szCs w:val="22"/>
          <w:lang w:val="es-CR"/>
        </w:rPr>
      </w:pPr>
    </w:p>
    <w:p w14:paraId="12990673" w14:textId="77777777" w:rsidR="004741D6" w:rsidRPr="00670F69" w:rsidRDefault="004741D6" w:rsidP="00B46BBC">
      <w:pPr>
        <w:pStyle w:val="Prrafodelista"/>
        <w:numPr>
          <w:ilvl w:val="0"/>
          <w:numId w:val="106"/>
        </w:numPr>
        <w:spacing w:after="120"/>
        <w:ind w:left="1418" w:right="261" w:hanging="284"/>
        <w:contextualSpacing w:val="0"/>
        <w:jc w:val="both"/>
        <w:rPr>
          <w:rFonts w:ascii="Arial" w:eastAsia="Arial" w:hAnsi="Arial"/>
          <w:bCs/>
          <w:sz w:val="22"/>
          <w:szCs w:val="22"/>
          <w:lang w:val="es-CR"/>
        </w:rPr>
      </w:pPr>
      <w:r>
        <w:rPr>
          <w:rFonts w:ascii="Arial" w:eastAsia="Arial" w:hAnsi="Arial"/>
          <w:bCs/>
          <w:sz w:val="22"/>
          <w:szCs w:val="22"/>
          <w:lang w:val="es-CR"/>
        </w:rPr>
        <w:t>L</w:t>
      </w:r>
      <w:r w:rsidRPr="00670F69">
        <w:rPr>
          <w:rFonts w:ascii="Arial" w:eastAsia="Arial" w:hAnsi="Arial"/>
          <w:bCs/>
          <w:sz w:val="22"/>
          <w:szCs w:val="22"/>
          <w:lang w:val="es-CR"/>
        </w:rPr>
        <w:t xml:space="preserve">a viabilidad técnica de completar el activo intangible de forma que pueda estar disponible para su utilización o transferencia; </w:t>
      </w:r>
    </w:p>
    <w:p w14:paraId="13993648" w14:textId="77777777" w:rsidR="004741D6" w:rsidRPr="00670F69" w:rsidRDefault="004741D6" w:rsidP="00B46BBC">
      <w:pPr>
        <w:pStyle w:val="Prrafodelista"/>
        <w:numPr>
          <w:ilvl w:val="0"/>
          <w:numId w:val="106"/>
        </w:numPr>
        <w:spacing w:after="120"/>
        <w:ind w:left="1418" w:right="261" w:hanging="284"/>
        <w:contextualSpacing w:val="0"/>
        <w:jc w:val="both"/>
        <w:rPr>
          <w:rFonts w:ascii="Arial" w:eastAsia="Arial" w:hAnsi="Arial"/>
          <w:bCs/>
          <w:sz w:val="22"/>
          <w:szCs w:val="22"/>
          <w:lang w:val="es-CR"/>
        </w:rPr>
      </w:pPr>
      <w:r>
        <w:rPr>
          <w:rFonts w:ascii="Arial" w:eastAsia="Arial" w:hAnsi="Arial"/>
          <w:bCs/>
          <w:sz w:val="22"/>
          <w:szCs w:val="22"/>
          <w:lang w:val="es-CR"/>
        </w:rPr>
        <w:t>L</w:t>
      </w:r>
      <w:r w:rsidRPr="00670F69">
        <w:rPr>
          <w:rFonts w:ascii="Arial" w:eastAsia="Arial" w:hAnsi="Arial"/>
          <w:bCs/>
          <w:sz w:val="22"/>
          <w:szCs w:val="22"/>
          <w:lang w:val="es-CR"/>
        </w:rPr>
        <w:t>a</w:t>
      </w:r>
      <w:r>
        <w:rPr>
          <w:rFonts w:ascii="Arial" w:eastAsia="Arial" w:hAnsi="Arial"/>
          <w:bCs/>
          <w:sz w:val="22"/>
          <w:szCs w:val="22"/>
          <w:lang w:val="es-CR"/>
        </w:rPr>
        <w:t xml:space="preserve"> imperiosa</w:t>
      </w:r>
      <w:r w:rsidRPr="00670F69">
        <w:rPr>
          <w:rFonts w:ascii="Arial" w:eastAsia="Arial" w:hAnsi="Arial"/>
          <w:bCs/>
          <w:sz w:val="22"/>
          <w:szCs w:val="22"/>
          <w:lang w:val="es-CR"/>
        </w:rPr>
        <w:t xml:space="preserve"> </w:t>
      </w:r>
      <w:r>
        <w:rPr>
          <w:rFonts w:ascii="Arial" w:eastAsia="Arial" w:hAnsi="Arial"/>
          <w:bCs/>
          <w:sz w:val="22"/>
          <w:szCs w:val="22"/>
          <w:lang w:val="es-CR"/>
        </w:rPr>
        <w:t>necesidad</w:t>
      </w:r>
      <w:r w:rsidRPr="00670F69">
        <w:rPr>
          <w:rFonts w:ascii="Arial" w:eastAsia="Arial" w:hAnsi="Arial"/>
          <w:bCs/>
          <w:sz w:val="22"/>
          <w:szCs w:val="22"/>
          <w:lang w:val="es-CR"/>
        </w:rPr>
        <w:t xml:space="preserve"> de completar el activo intangible y usarlo o transferirlo; </w:t>
      </w:r>
    </w:p>
    <w:p w14:paraId="77C42D16" w14:textId="77777777" w:rsidR="004741D6" w:rsidRPr="00670F69" w:rsidRDefault="004741D6" w:rsidP="00B46BBC">
      <w:pPr>
        <w:pStyle w:val="Prrafodelista"/>
        <w:numPr>
          <w:ilvl w:val="0"/>
          <w:numId w:val="106"/>
        </w:numPr>
        <w:spacing w:after="120"/>
        <w:ind w:left="1418" w:right="261" w:hanging="284"/>
        <w:contextualSpacing w:val="0"/>
        <w:jc w:val="both"/>
        <w:rPr>
          <w:rFonts w:ascii="Arial" w:eastAsia="Arial" w:hAnsi="Arial"/>
          <w:bCs/>
          <w:sz w:val="22"/>
          <w:szCs w:val="22"/>
          <w:lang w:val="es-CR"/>
        </w:rPr>
      </w:pPr>
      <w:r>
        <w:rPr>
          <w:rFonts w:ascii="Arial" w:eastAsia="Arial" w:hAnsi="Arial"/>
          <w:bCs/>
          <w:sz w:val="22"/>
          <w:szCs w:val="22"/>
          <w:lang w:val="es-CR"/>
        </w:rPr>
        <w:t>L</w:t>
      </w:r>
      <w:r w:rsidRPr="00670F69">
        <w:rPr>
          <w:rFonts w:ascii="Arial" w:eastAsia="Arial" w:hAnsi="Arial"/>
          <w:bCs/>
          <w:sz w:val="22"/>
          <w:szCs w:val="22"/>
          <w:lang w:val="es-CR"/>
        </w:rPr>
        <w:t xml:space="preserve">a capacidad </w:t>
      </w:r>
      <w:r>
        <w:rPr>
          <w:rFonts w:ascii="Arial" w:eastAsia="Arial" w:hAnsi="Arial"/>
          <w:bCs/>
          <w:sz w:val="22"/>
          <w:szCs w:val="22"/>
          <w:lang w:val="es-CR"/>
        </w:rPr>
        <w:t xml:space="preserve">legal y técnica </w:t>
      </w:r>
      <w:r w:rsidRPr="00670F69">
        <w:rPr>
          <w:rFonts w:ascii="Arial" w:eastAsia="Arial" w:hAnsi="Arial"/>
          <w:bCs/>
          <w:sz w:val="22"/>
          <w:szCs w:val="22"/>
          <w:lang w:val="es-CR"/>
        </w:rPr>
        <w:t xml:space="preserve">de la entidad para utilizar o transferir el activo intangible; </w:t>
      </w:r>
    </w:p>
    <w:p w14:paraId="3C02A964" w14:textId="77777777" w:rsidR="004741D6" w:rsidRPr="00670F69" w:rsidRDefault="004741D6" w:rsidP="00B46BBC">
      <w:pPr>
        <w:pStyle w:val="Prrafodelista"/>
        <w:numPr>
          <w:ilvl w:val="0"/>
          <w:numId w:val="106"/>
        </w:numPr>
        <w:spacing w:after="120"/>
        <w:ind w:left="1418" w:right="261" w:hanging="284"/>
        <w:contextualSpacing w:val="0"/>
        <w:jc w:val="both"/>
        <w:rPr>
          <w:rFonts w:ascii="Arial" w:eastAsia="Arial" w:hAnsi="Arial"/>
          <w:bCs/>
          <w:sz w:val="22"/>
          <w:szCs w:val="22"/>
          <w:lang w:val="es-CR"/>
        </w:rPr>
      </w:pPr>
      <w:r>
        <w:rPr>
          <w:rFonts w:ascii="Arial" w:eastAsia="Arial" w:hAnsi="Arial"/>
          <w:bCs/>
          <w:sz w:val="22"/>
          <w:szCs w:val="22"/>
          <w:lang w:val="es-CR"/>
        </w:rPr>
        <w:t>L</w:t>
      </w:r>
      <w:r w:rsidRPr="00670F69">
        <w:rPr>
          <w:rFonts w:ascii="Arial" w:eastAsia="Arial" w:hAnsi="Arial"/>
          <w:bCs/>
          <w:sz w:val="22"/>
          <w:szCs w:val="22"/>
          <w:lang w:val="es-CR"/>
        </w:rPr>
        <w:t xml:space="preserve">a forma en que el activo intangible vaya a generar beneficios económicos o potencial de servicios futuros. Entre otras cosas, deberá demostrarse </w:t>
      </w:r>
      <w:r>
        <w:rPr>
          <w:rFonts w:ascii="Arial" w:eastAsia="Arial" w:hAnsi="Arial"/>
          <w:bCs/>
          <w:sz w:val="22"/>
          <w:szCs w:val="22"/>
          <w:lang w:val="es-CR"/>
        </w:rPr>
        <w:t xml:space="preserve">que el activo </w:t>
      </w:r>
      <w:r w:rsidRPr="00670F69">
        <w:rPr>
          <w:rFonts w:ascii="Arial" w:eastAsia="Arial" w:hAnsi="Arial"/>
          <w:bCs/>
          <w:sz w:val="22"/>
          <w:szCs w:val="22"/>
          <w:lang w:val="es-CR"/>
        </w:rPr>
        <w:t>si va a ser utilizado internamente</w:t>
      </w:r>
      <w:r>
        <w:rPr>
          <w:rFonts w:ascii="Arial" w:eastAsia="Arial" w:hAnsi="Arial"/>
          <w:bCs/>
          <w:sz w:val="22"/>
          <w:szCs w:val="22"/>
          <w:lang w:val="es-CR"/>
        </w:rPr>
        <w:t xml:space="preserve"> y</w:t>
      </w:r>
      <w:r w:rsidRPr="00670F69">
        <w:rPr>
          <w:rFonts w:ascii="Arial" w:eastAsia="Arial" w:hAnsi="Arial"/>
          <w:bCs/>
          <w:sz w:val="22"/>
          <w:szCs w:val="22"/>
          <w:lang w:val="es-CR"/>
        </w:rPr>
        <w:t xml:space="preserve"> la utilidad de este para la Municipalidad</w:t>
      </w:r>
      <w:r>
        <w:rPr>
          <w:rFonts w:ascii="Arial" w:eastAsia="Arial" w:hAnsi="Arial"/>
          <w:bCs/>
          <w:sz w:val="22"/>
          <w:szCs w:val="22"/>
          <w:lang w:val="es-CR"/>
        </w:rPr>
        <w:t xml:space="preserve">, o en su defecto </w:t>
      </w:r>
      <w:r w:rsidRPr="00670F69">
        <w:rPr>
          <w:rFonts w:ascii="Arial" w:eastAsia="Arial" w:hAnsi="Arial"/>
          <w:bCs/>
          <w:sz w:val="22"/>
          <w:szCs w:val="22"/>
          <w:lang w:val="es-CR"/>
        </w:rPr>
        <w:t>la existencia de un</w:t>
      </w:r>
      <w:r>
        <w:rPr>
          <w:rFonts w:ascii="Arial" w:eastAsia="Arial" w:hAnsi="Arial"/>
          <w:bCs/>
          <w:sz w:val="22"/>
          <w:szCs w:val="22"/>
          <w:lang w:val="es-CR"/>
        </w:rPr>
        <w:t xml:space="preserve"> convenio o acuerdo con otra entidad </w:t>
      </w:r>
      <w:r w:rsidRPr="00670F69">
        <w:rPr>
          <w:rFonts w:ascii="Arial" w:eastAsia="Arial" w:hAnsi="Arial"/>
          <w:bCs/>
          <w:sz w:val="22"/>
          <w:szCs w:val="22"/>
          <w:lang w:val="es-CR"/>
        </w:rPr>
        <w:t xml:space="preserve">para </w:t>
      </w:r>
      <w:r>
        <w:rPr>
          <w:rFonts w:ascii="Arial" w:eastAsia="Arial" w:hAnsi="Arial"/>
          <w:bCs/>
          <w:sz w:val="22"/>
          <w:szCs w:val="22"/>
          <w:lang w:val="es-CR"/>
        </w:rPr>
        <w:t>d</w:t>
      </w:r>
      <w:r w:rsidRPr="00670F69">
        <w:rPr>
          <w:rFonts w:ascii="Arial" w:eastAsia="Arial" w:hAnsi="Arial"/>
          <w:bCs/>
          <w:sz w:val="22"/>
          <w:szCs w:val="22"/>
          <w:lang w:val="es-CR"/>
        </w:rPr>
        <w:t>e</w:t>
      </w:r>
      <w:r>
        <w:rPr>
          <w:rFonts w:ascii="Arial" w:eastAsia="Arial" w:hAnsi="Arial"/>
          <w:bCs/>
          <w:sz w:val="22"/>
          <w:szCs w:val="22"/>
          <w:lang w:val="es-CR"/>
        </w:rPr>
        <w:t>sarro</w:t>
      </w:r>
      <w:r w:rsidRPr="00670F69">
        <w:rPr>
          <w:rFonts w:ascii="Arial" w:eastAsia="Arial" w:hAnsi="Arial"/>
          <w:bCs/>
          <w:sz w:val="22"/>
          <w:szCs w:val="22"/>
          <w:lang w:val="es-CR"/>
        </w:rPr>
        <w:t>l</w:t>
      </w:r>
      <w:r>
        <w:rPr>
          <w:rFonts w:ascii="Arial" w:eastAsia="Arial" w:hAnsi="Arial"/>
          <w:bCs/>
          <w:sz w:val="22"/>
          <w:szCs w:val="22"/>
          <w:lang w:val="es-CR"/>
        </w:rPr>
        <w:t>lar el</w:t>
      </w:r>
      <w:r w:rsidRPr="00670F69">
        <w:rPr>
          <w:rFonts w:ascii="Arial" w:eastAsia="Arial" w:hAnsi="Arial"/>
          <w:bCs/>
          <w:sz w:val="22"/>
          <w:szCs w:val="22"/>
          <w:lang w:val="es-CR"/>
        </w:rPr>
        <w:t xml:space="preserve"> activo intangible </w:t>
      </w:r>
      <w:r>
        <w:rPr>
          <w:rFonts w:ascii="Arial" w:eastAsia="Arial" w:hAnsi="Arial"/>
          <w:bCs/>
          <w:sz w:val="22"/>
          <w:szCs w:val="22"/>
          <w:lang w:val="es-CR"/>
        </w:rPr>
        <w:t>para su utilización</w:t>
      </w:r>
      <w:r w:rsidRPr="00670F69">
        <w:rPr>
          <w:rFonts w:ascii="Arial" w:eastAsia="Arial" w:hAnsi="Arial"/>
          <w:bCs/>
          <w:sz w:val="22"/>
          <w:szCs w:val="22"/>
          <w:lang w:val="es-CR"/>
        </w:rPr>
        <w:t xml:space="preserve">; </w:t>
      </w:r>
    </w:p>
    <w:p w14:paraId="4D2939AB" w14:textId="77777777" w:rsidR="004741D6" w:rsidRPr="00670F69" w:rsidRDefault="004741D6" w:rsidP="00B46BBC">
      <w:pPr>
        <w:pStyle w:val="Prrafodelista"/>
        <w:numPr>
          <w:ilvl w:val="0"/>
          <w:numId w:val="106"/>
        </w:numPr>
        <w:spacing w:after="120"/>
        <w:ind w:left="1418" w:right="261" w:hanging="284"/>
        <w:contextualSpacing w:val="0"/>
        <w:jc w:val="both"/>
        <w:rPr>
          <w:rFonts w:ascii="Arial" w:eastAsia="Arial" w:hAnsi="Arial"/>
          <w:bCs/>
          <w:sz w:val="22"/>
          <w:szCs w:val="22"/>
          <w:lang w:val="es-CR"/>
        </w:rPr>
      </w:pPr>
      <w:r>
        <w:rPr>
          <w:rFonts w:ascii="Arial" w:eastAsia="Arial" w:hAnsi="Arial"/>
          <w:bCs/>
          <w:sz w:val="22"/>
          <w:szCs w:val="22"/>
          <w:lang w:val="es-CR"/>
        </w:rPr>
        <w:t>L</w:t>
      </w:r>
      <w:r w:rsidRPr="00670F69">
        <w:rPr>
          <w:rFonts w:ascii="Arial" w:eastAsia="Arial" w:hAnsi="Arial"/>
          <w:bCs/>
          <w:sz w:val="22"/>
          <w:szCs w:val="22"/>
          <w:lang w:val="es-CR"/>
        </w:rPr>
        <w:t xml:space="preserve">a disponibilidad de los recursos técnicos, financieros o de otro tipo adecuados, para completar el desarrollo y para utilizar o transferir el activo intangible; y </w:t>
      </w:r>
    </w:p>
    <w:p w14:paraId="419634E1" w14:textId="7936FB6C" w:rsidR="004741D6" w:rsidRPr="00670F69" w:rsidRDefault="004741D6" w:rsidP="00B46BBC">
      <w:pPr>
        <w:pStyle w:val="Prrafodelista"/>
        <w:numPr>
          <w:ilvl w:val="0"/>
          <w:numId w:val="106"/>
        </w:numPr>
        <w:spacing w:line="238" w:lineRule="auto"/>
        <w:ind w:left="1418" w:right="260" w:hanging="284"/>
        <w:contextualSpacing w:val="0"/>
        <w:jc w:val="both"/>
        <w:rPr>
          <w:rFonts w:ascii="Arial" w:eastAsia="Arial" w:hAnsi="Arial"/>
          <w:bCs/>
          <w:sz w:val="22"/>
          <w:szCs w:val="22"/>
          <w:lang w:val="es-CR"/>
        </w:rPr>
      </w:pPr>
      <w:r>
        <w:rPr>
          <w:rFonts w:ascii="Arial" w:eastAsia="Arial" w:hAnsi="Arial"/>
          <w:bCs/>
          <w:sz w:val="22"/>
          <w:szCs w:val="22"/>
          <w:lang w:val="es-CR"/>
        </w:rPr>
        <w:t>L</w:t>
      </w:r>
      <w:r w:rsidRPr="00670F69">
        <w:rPr>
          <w:rFonts w:ascii="Arial" w:eastAsia="Arial" w:hAnsi="Arial"/>
          <w:bCs/>
          <w:sz w:val="22"/>
          <w:szCs w:val="22"/>
          <w:lang w:val="es-CR"/>
        </w:rPr>
        <w:t xml:space="preserve">a capacidad de la entidad para medir, de forma fiable, el </w:t>
      </w:r>
      <w:r w:rsidR="0021354A" w:rsidRPr="00670F69">
        <w:rPr>
          <w:rFonts w:ascii="Arial" w:eastAsia="Arial" w:hAnsi="Arial"/>
          <w:bCs/>
          <w:sz w:val="22"/>
          <w:szCs w:val="22"/>
          <w:lang w:val="es-CR"/>
        </w:rPr>
        <w:t>dese</w:t>
      </w:r>
      <w:r w:rsidR="0021354A">
        <w:rPr>
          <w:rFonts w:ascii="Arial" w:eastAsia="Arial" w:hAnsi="Arial"/>
          <w:bCs/>
          <w:sz w:val="22"/>
          <w:szCs w:val="22"/>
          <w:lang w:val="es-CR"/>
        </w:rPr>
        <w:t>mbo</w:t>
      </w:r>
      <w:r w:rsidR="0021354A" w:rsidRPr="00670F69">
        <w:rPr>
          <w:rFonts w:ascii="Arial" w:eastAsia="Arial" w:hAnsi="Arial"/>
          <w:bCs/>
          <w:sz w:val="22"/>
          <w:szCs w:val="22"/>
          <w:lang w:val="es-CR"/>
        </w:rPr>
        <w:t>lso</w:t>
      </w:r>
      <w:r w:rsidRPr="00670F69">
        <w:rPr>
          <w:rFonts w:ascii="Arial" w:eastAsia="Arial" w:hAnsi="Arial"/>
          <w:bCs/>
          <w:sz w:val="22"/>
          <w:szCs w:val="22"/>
          <w:lang w:val="es-CR"/>
        </w:rPr>
        <w:t xml:space="preserve"> atribuible al activo intangible durante su desarrollo. </w:t>
      </w:r>
    </w:p>
    <w:p w14:paraId="3A777AD3" w14:textId="77777777" w:rsidR="004741D6" w:rsidRPr="00670F69" w:rsidRDefault="004741D6" w:rsidP="00B46BBC">
      <w:pPr>
        <w:pStyle w:val="Default"/>
        <w:rPr>
          <w:sz w:val="23"/>
          <w:szCs w:val="23"/>
          <w:lang w:val="es-CR"/>
        </w:rPr>
      </w:pPr>
    </w:p>
    <w:p w14:paraId="14AFB763" w14:textId="77777777" w:rsidR="004741D6" w:rsidRPr="00670F69"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1.245.0.02</w:t>
      </w:r>
      <w:r>
        <w:rPr>
          <w:rFonts w:ascii="Arial" w:eastAsia="Arial" w:hAnsi="Arial"/>
          <w:bCs/>
          <w:sz w:val="22"/>
          <w:szCs w:val="22"/>
          <w:lang w:val="es-CR"/>
        </w:rPr>
        <w:tab/>
        <w:t>L</w:t>
      </w:r>
      <w:r w:rsidRPr="00670F69">
        <w:rPr>
          <w:rFonts w:ascii="Arial" w:eastAsia="Arial" w:hAnsi="Arial"/>
          <w:bCs/>
          <w:sz w:val="22"/>
          <w:szCs w:val="22"/>
          <w:lang w:val="es-CR"/>
        </w:rPr>
        <w:t xml:space="preserve">a etapa de desarrollo puede </w:t>
      </w:r>
      <w:r>
        <w:rPr>
          <w:rFonts w:ascii="Arial" w:eastAsia="Arial" w:hAnsi="Arial"/>
          <w:bCs/>
          <w:sz w:val="22"/>
          <w:szCs w:val="22"/>
          <w:lang w:val="es-CR"/>
        </w:rPr>
        <w:t>incluir</w:t>
      </w:r>
      <w:r w:rsidRPr="00670F69">
        <w:rPr>
          <w:rFonts w:ascii="Arial" w:eastAsia="Arial" w:hAnsi="Arial"/>
          <w:bCs/>
          <w:sz w:val="22"/>
          <w:szCs w:val="22"/>
          <w:lang w:val="es-CR"/>
        </w:rPr>
        <w:t>:</w:t>
      </w:r>
    </w:p>
    <w:p w14:paraId="341B166D" w14:textId="77777777" w:rsidR="004741D6" w:rsidRPr="00670F69" w:rsidRDefault="004741D6" w:rsidP="004741D6">
      <w:pPr>
        <w:pStyle w:val="Default"/>
        <w:ind w:right="280"/>
        <w:rPr>
          <w:lang w:val="es-CR"/>
        </w:rPr>
      </w:pPr>
    </w:p>
    <w:p w14:paraId="0E3815B0" w14:textId="77777777" w:rsidR="004741D6" w:rsidRPr="00670F69" w:rsidRDefault="004741D6" w:rsidP="00B46BBC">
      <w:pPr>
        <w:pStyle w:val="Default"/>
        <w:numPr>
          <w:ilvl w:val="0"/>
          <w:numId w:val="107"/>
        </w:numPr>
        <w:spacing w:after="120"/>
        <w:ind w:left="1418" w:right="278" w:hanging="284"/>
        <w:jc w:val="both"/>
        <w:rPr>
          <w:sz w:val="22"/>
          <w:szCs w:val="22"/>
          <w:lang w:val="es-CR"/>
        </w:rPr>
      </w:pPr>
      <w:r>
        <w:rPr>
          <w:sz w:val="22"/>
          <w:szCs w:val="22"/>
          <w:lang w:val="es-CR"/>
        </w:rPr>
        <w:t>E</w:t>
      </w:r>
      <w:r w:rsidRPr="00670F69">
        <w:rPr>
          <w:sz w:val="22"/>
          <w:szCs w:val="22"/>
          <w:lang w:val="es-CR"/>
        </w:rPr>
        <w:t xml:space="preserve">l diseño, construcción y prueba, anterior a la producción o utilización, de modelos y prototipos; </w:t>
      </w:r>
    </w:p>
    <w:p w14:paraId="18A4BC5C" w14:textId="77777777" w:rsidR="004741D6" w:rsidRPr="00670F69" w:rsidRDefault="004741D6" w:rsidP="00B46BBC">
      <w:pPr>
        <w:pStyle w:val="Default"/>
        <w:numPr>
          <w:ilvl w:val="0"/>
          <w:numId w:val="107"/>
        </w:numPr>
        <w:spacing w:after="120"/>
        <w:ind w:left="1418" w:right="278" w:hanging="284"/>
        <w:jc w:val="both"/>
        <w:rPr>
          <w:sz w:val="22"/>
          <w:szCs w:val="22"/>
          <w:lang w:val="es-CR"/>
        </w:rPr>
      </w:pPr>
      <w:r>
        <w:rPr>
          <w:sz w:val="22"/>
          <w:szCs w:val="22"/>
          <w:lang w:val="es-CR"/>
        </w:rPr>
        <w:t>El</w:t>
      </w:r>
      <w:r w:rsidRPr="00670F69">
        <w:rPr>
          <w:sz w:val="22"/>
          <w:szCs w:val="22"/>
          <w:lang w:val="es-CR"/>
        </w:rPr>
        <w:t xml:space="preserve"> diseño de herramientas, troqueles, moldes y plantillas que impliquen tecnología nueva; </w:t>
      </w:r>
    </w:p>
    <w:p w14:paraId="02DACA7A" w14:textId="77777777" w:rsidR="004741D6" w:rsidRPr="00670F69" w:rsidRDefault="004741D6" w:rsidP="00B46BBC">
      <w:pPr>
        <w:pStyle w:val="Default"/>
        <w:numPr>
          <w:ilvl w:val="0"/>
          <w:numId w:val="107"/>
        </w:numPr>
        <w:spacing w:after="120"/>
        <w:ind w:left="1418" w:right="278" w:hanging="284"/>
        <w:jc w:val="both"/>
        <w:rPr>
          <w:sz w:val="22"/>
          <w:szCs w:val="22"/>
          <w:lang w:val="es-CR"/>
        </w:rPr>
      </w:pPr>
      <w:r>
        <w:rPr>
          <w:sz w:val="22"/>
          <w:szCs w:val="22"/>
          <w:lang w:val="es-CR"/>
        </w:rPr>
        <w:t>E</w:t>
      </w:r>
      <w:r w:rsidRPr="00670F69">
        <w:rPr>
          <w:sz w:val="22"/>
          <w:szCs w:val="22"/>
          <w:lang w:val="es-CR"/>
        </w:rPr>
        <w:t xml:space="preserve">l diseño, construcción y operación de una planta piloto o actuación que no tenga una escala económicamente viable para la producción comercial o para el uso en la prestación de servicios; </w:t>
      </w:r>
    </w:p>
    <w:p w14:paraId="1E964E83" w14:textId="77777777" w:rsidR="004741D6" w:rsidRPr="00670F69" w:rsidRDefault="004741D6" w:rsidP="00B46BBC">
      <w:pPr>
        <w:pStyle w:val="Default"/>
        <w:numPr>
          <w:ilvl w:val="0"/>
          <w:numId w:val="107"/>
        </w:numPr>
        <w:spacing w:after="120"/>
        <w:ind w:left="1418" w:right="278" w:hanging="284"/>
        <w:jc w:val="both"/>
        <w:rPr>
          <w:sz w:val="22"/>
          <w:szCs w:val="22"/>
          <w:lang w:val="es-CR"/>
        </w:rPr>
      </w:pPr>
      <w:r>
        <w:rPr>
          <w:sz w:val="22"/>
          <w:szCs w:val="22"/>
          <w:lang w:val="es-CR"/>
        </w:rPr>
        <w:t>E</w:t>
      </w:r>
      <w:r w:rsidRPr="00670F69">
        <w:rPr>
          <w:sz w:val="22"/>
          <w:szCs w:val="22"/>
          <w:lang w:val="es-CR"/>
        </w:rPr>
        <w:t xml:space="preserve">l diseño, construcción y prueba de una alternativa elegida para materiales, dispositivos, productos, procesos, sistemas o servicios que sean nuevos o se hayan mejorado; y </w:t>
      </w:r>
    </w:p>
    <w:p w14:paraId="074EC72B" w14:textId="77777777" w:rsidR="004741D6" w:rsidRPr="00670F69" w:rsidRDefault="004741D6" w:rsidP="00B46BBC">
      <w:pPr>
        <w:pStyle w:val="Default"/>
        <w:numPr>
          <w:ilvl w:val="0"/>
          <w:numId w:val="107"/>
        </w:numPr>
        <w:ind w:left="1418" w:right="278" w:hanging="284"/>
        <w:jc w:val="both"/>
        <w:rPr>
          <w:sz w:val="22"/>
          <w:szCs w:val="22"/>
          <w:lang w:val="es-CR"/>
        </w:rPr>
      </w:pPr>
      <w:r>
        <w:rPr>
          <w:sz w:val="22"/>
          <w:szCs w:val="22"/>
          <w:lang w:val="es-CR"/>
        </w:rPr>
        <w:t>L</w:t>
      </w:r>
      <w:r w:rsidRPr="00670F69">
        <w:rPr>
          <w:sz w:val="22"/>
          <w:szCs w:val="22"/>
          <w:lang w:val="es-CR"/>
        </w:rPr>
        <w:t xml:space="preserve">os costos de sitios web y de desarrollo de aplicaciones informáticas. </w:t>
      </w:r>
    </w:p>
    <w:p w14:paraId="743B835A" w14:textId="77777777" w:rsidR="004741D6" w:rsidRDefault="004741D6" w:rsidP="004741D6">
      <w:pPr>
        <w:spacing w:line="238" w:lineRule="auto"/>
        <w:ind w:left="1134" w:right="260" w:hanging="1134"/>
        <w:jc w:val="both"/>
        <w:rPr>
          <w:rFonts w:ascii="Arial" w:eastAsia="Arial" w:hAnsi="Arial"/>
          <w:b/>
          <w:sz w:val="22"/>
          <w:szCs w:val="22"/>
          <w:lang w:val="es-CR"/>
        </w:rPr>
      </w:pPr>
    </w:p>
    <w:p w14:paraId="2A2AFF85" w14:textId="77777777" w:rsidR="004741D6" w:rsidRPr="00670F69" w:rsidRDefault="004741D6" w:rsidP="004741D6">
      <w:pPr>
        <w:spacing w:line="238" w:lineRule="auto"/>
        <w:ind w:left="1134" w:right="260" w:hanging="1134"/>
        <w:jc w:val="both"/>
        <w:rPr>
          <w:rFonts w:ascii="Arial" w:eastAsia="Arial" w:hAnsi="Arial"/>
          <w:b/>
          <w:sz w:val="22"/>
          <w:szCs w:val="22"/>
          <w:lang w:val="es-CR"/>
        </w:rPr>
      </w:pPr>
    </w:p>
    <w:tbl>
      <w:tblPr>
        <w:tblW w:w="9062" w:type="dxa"/>
        <w:tblLook w:val="04A0" w:firstRow="1" w:lastRow="0" w:firstColumn="1" w:lastColumn="0" w:noHBand="0" w:noVBand="1"/>
      </w:tblPr>
      <w:tblGrid>
        <w:gridCol w:w="557"/>
        <w:gridCol w:w="517"/>
        <w:gridCol w:w="513"/>
        <w:gridCol w:w="3081"/>
        <w:gridCol w:w="2551"/>
        <w:gridCol w:w="1843"/>
      </w:tblGrid>
      <w:tr w:rsidR="004741D6" w:rsidRPr="00DA1E70" w14:paraId="5AA89361" w14:textId="77777777" w:rsidTr="00D16719">
        <w:trPr>
          <w:trHeight w:val="330"/>
        </w:trPr>
        <w:tc>
          <w:tcPr>
            <w:tcW w:w="158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E99537A" w14:textId="77777777" w:rsidR="004741D6" w:rsidRPr="00DA1E70" w:rsidRDefault="004741D6" w:rsidP="00D16719">
            <w:pPr>
              <w:jc w:val="center"/>
              <w:rPr>
                <w:rFonts w:ascii="Arial Narrow" w:eastAsia="Times New Roman" w:hAnsi="Arial Narrow"/>
                <w:b/>
                <w:bCs/>
                <w:color w:val="FFFFFF"/>
                <w:sz w:val="22"/>
                <w:szCs w:val="22"/>
              </w:rPr>
            </w:pPr>
            <w:r w:rsidRPr="00DA1E70">
              <w:rPr>
                <w:rFonts w:ascii="Arial Narrow" w:eastAsia="Times New Roman" w:hAnsi="Arial Narrow"/>
                <w:b/>
                <w:bCs/>
                <w:color w:val="FFFFFF"/>
                <w:sz w:val="22"/>
                <w:szCs w:val="22"/>
              </w:rPr>
              <w:t>Norma / Política</w:t>
            </w:r>
          </w:p>
        </w:tc>
        <w:tc>
          <w:tcPr>
            <w:tcW w:w="30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6B245811" w14:textId="77777777" w:rsidR="004741D6" w:rsidRPr="00DA1E70" w:rsidRDefault="004741D6" w:rsidP="00D16719">
            <w:pPr>
              <w:jc w:val="center"/>
              <w:rPr>
                <w:rFonts w:ascii="Arial Narrow" w:eastAsia="Times New Roman" w:hAnsi="Arial Narrow"/>
                <w:b/>
                <w:bCs/>
                <w:color w:val="FFFFFF"/>
                <w:sz w:val="22"/>
                <w:szCs w:val="22"/>
              </w:rPr>
            </w:pPr>
            <w:r w:rsidRPr="00DA1E70">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6C5381D4" w14:textId="77777777" w:rsidR="004741D6" w:rsidRPr="00DA1E70" w:rsidRDefault="004741D6" w:rsidP="00D16719">
            <w:pPr>
              <w:jc w:val="center"/>
              <w:rPr>
                <w:rFonts w:ascii="Arial Narrow" w:eastAsia="Times New Roman" w:hAnsi="Arial Narrow"/>
                <w:b/>
                <w:bCs/>
                <w:color w:val="FFFFFF"/>
                <w:sz w:val="22"/>
                <w:szCs w:val="22"/>
              </w:rPr>
            </w:pPr>
            <w:r w:rsidRPr="00DA1E70">
              <w:rPr>
                <w:rFonts w:ascii="Arial Narrow" w:eastAsia="Times New Roman" w:hAnsi="Arial Narrow"/>
                <w:b/>
                <w:bCs/>
                <w:color w:val="FFFFFF"/>
                <w:sz w:val="22"/>
                <w:szCs w:val="22"/>
              </w:rPr>
              <w:t>Referencia</w:t>
            </w:r>
          </w:p>
        </w:tc>
      </w:tr>
      <w:tr w:rsidR="004741D6" w:rsidRPr="006E5442" w14:paraId="24345ABE" w14:textId="77777777" w:rsidTr="00D16719">
        <w:trPr>
          <w:trHeight w:val="718"/>
        </w:trPr>
        <w:tc>
          <w:tcPr>
            <w:tcW w:w="1587" w:type="dxa"/>
            <w:gridSpan w:val="3"/>
            <w:vMerge/>
            <w:tcBorders>
              <w:top w:val="single" w:sz="8" w:space="0" w:color="auto"/>
              <w:left w:val="single" w:sz="8" w:space="0" w:color="auto"/>
              <w:bottom w:val="nil"/>
              <w:right w:val="single" w:sz="8" w:space="0" w:color="000000"/>
            </w:tcBorders>
            <w:vAlign w:val="center"/>
            <w:hideMark/>
          </w:tcPr>
          <w:p w14:paraId="102AE9B3" w14:textId="77777777" w:rsidR="004741D6" w:rsidRPr="00DA1E70" w:rsidRDefault="004741D6" w:rsidP="00D16719">
            <w:pPr>
              <w:rPr>
                <w:rFonts w:ascii="Arial Narrow" w:eastAsia="Times New Roman" w:hAnsi="Arial Narrow"/>
                <w:b/>
                <w:bCs/>
                <w:color w:val="FFFFFF"/>
                <w:sz w:val="22"/>
                <w:szCs w:val="22"/>
              </w:rPr>
            </w:pPr>
          </w:p>
        </w:tc>
        <w:tc>
          <w:tcPr>
            <w:tcW w:w="3081" w:type="dxa"/>
            <w:vMerge/>
            <w:tcBorders>
              <w:top w:val="single" w:sz="8" w:space="0" w:color="auto"/>
              <w:left w:val="single" w:sz="8" w:space="0" w:color="auto"/>
              <w:bottom w:val="nil"/>
              <w:right w:val="single" w:sz="8" w:space="0" w:color="auto"/>
            </w:tcBorders>
            <w:vAlign w:val="center"/>
            <w:hideMark/>
          </w:tcPr>
          <w:p w14:paraId="59543C5C" w14:textId="77777777" w:rsidR="004741D6" w:rsidRPr="00DA1E70" w:rsidRDefault="004741D6" w:rsidP="00D16719">
            <w:pPr>
              <w:rPr>
                <w:rFonts w:ascii="Arial Narrow" w:eastAsia="Times New Roman" w:hAnsi="Arial Narrow"/>
                <w:b/>
                <w:bCs/>
                <w:color w:val="FFFFFF"/>
                <w:sz w:val="22"/>
                <w:szCs w:val="22"/>
              </w:rPr>
            </w:pPr>
          </w:p>
        </w:tc>
        <w:tc>
          <w:tcPr>
            <w:tcW w:w="2551" w:type="dxa"/>
            <w:tcBorders>
              <w:top w:val="nil"/>
              <w:left w:val="nil"/>
              <w:bottom w:val="nil"/>
              <w:right w:val="single" w:sz="8" w:space="0" w:color="auto"/>
            </w:tcBorders>
            <w:shd w:val="clear" w:color="000000" w:fill="203764"/>
            <w:vAlign w:val="center"/>
            <w:hideMark/>
          </w:tcPr>
          <w:p w14:paraId="0F9C8871" w14:textId="77777777" w:rsidR="004741D6" w:rsidRPr="00DA1E70" w:rsidRDefault="004741D6" w:rsidP="00D16719">
            <w:pPr>
              <w:jc w:val="center"/>
              <w:rPr>
                <w:rFonts w:ascii="Arial Narrow" w:eastAsia="Times New Roman" w:hAnsi="Arial Narrow"/>
                <w:b/>
                <w:bCs/>
                <w:color w:val="FFFFFF"/>
                <w:sz w:val="22"/>
                <w:szCs w:val="22"/>
              </w:rPr>
            </w:pPr>
            <w:r w:rsidRPr="00DA1E70">
              <w:rPr>
                <w:rFonts w:ascii="Arial Narrow" w:eastAsia="Times New Roman" w:hAnsi="Arial Narrow"/>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032B0390" w14:textId="77777777" w:rsidR="004741D6" w:rsidRPr="00DA1E70" w:rsidRDefault="004741D6" w:rsidP="00D16719">
            <w:pPr>
              <w:jc w:val="center"/>
              <w:rPr>
                <w:rFonts w:ascii="Arial Narrow" w:eastAsia="Times New Roman" w:hAnsi="Arial Narrow"/>
                <w:b/>
                <w:bCs/>
                <w:color w:val="FFFFFF"/>
                <w:sz w:val="22"/>
                <w:szCs w:val="22"/>
                <w:lang w:val="es-CR"/>
              </w:rPr>
            </w:pPr>
            <w:r w:rsidRPr="00DA1E70">
              <w:rPr>
                <w:rFonts w:ascii="Arial Narrow" w:eastAsia="Times New Roman" w:hAnsi="Arial Narrow"/>
                <w:b/>
                <w:bCs/>
                <w:color w:val="FFFFFF"/>
                <w:sz w:val="22"/>
                <w:szCs w:val="22"/>
                <w:lang w:val="es-CR"/>
              </w:rPr>
              <w:t>Normativa técnica y disposiciones adicionales</w:t>
            </w:r>
          </w:p>
        </w:tc>
      </w:tr>
      <w:tr w:rsidR="004741D6" w:rsidRPr="00DA1E70" w14:paraId="4378C7E0" w14:textId="77777777" w:rsidTr="00D16719">
        <w:trPr>
          <w:trHeight w:val="823"/>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8A040B" w14:textId="77777777" w:rsidR="004741D6" w:rsidRPr="00DA1E70" w:rsidRDefault="004741D6" w:rsidP="00D16719">
            <w:pPr>
              <w:jc w:val="center"/>
              <w:rPr>
                <w:rFonts w:ascii="Arial Narrow" w:eastAsia="Times New Roman" w:hAnsi="Arial Narrow"/>
                <w:b/>
                <w:bCs/>
                <w:color w:val="000000"/>
                <w:sz w:val="22"/>
                <w:szCs w:val="22"/>
              </w:rPr>
            </w:pPr>
            <w:r w:rsidRPr="00DA1E70">
              <w:rPr>
                <w:rFonts w:ascii="Arial Narrow" w:eastAsia="Times New Roman" w:hAnsi="Arial Narrow"/>
                <w:b/>
                <w:bCs/>
                <w:color w:val="000000"/>
                <w:sz w:val="22"/>
                <w:szCs w:val="22"/>
              </w:rPr>
              <w:lastRenderedPageBreak/>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54C9DC62" w14:textId="77777777" w:rsidR="004741D6" w:rsidRPr="00DA1E70" w:rsidRDefault="004741D6" w:rsidP="00D16719">
            <w:pPr>
              <w:jc w:val="center"/>
              <w:rPr>
                <w:rFonts w:ascii="Arial Narrow" w:eastAsia="Times New Roman" w:hAnsi="Arial Narrow"/>
                <w:b/>
                <w:bCs/>
                <w:color w:val="000000"/>
                <w:sz w:val="22"/>
                <w:szCs w:val="22"/>
              </w:rPr>
            </w:pPr>
            <w:r w:rsidRPr="00DA1E70">
              <w:rPr>
                <w:rFonts w:ascii="Arial Narrow" w:eastAsia="Times New Roman" w:hAnsi="Arial Narrow"/>
                <w:b/>
                <w:bCs/>
                <w:color w:val="000000"/>
                <w:sz w:val="22"/>
                <w:szCs w:val="22"/>
              </w:rPr>
              <w:t>246</w:t>
            </w:r>
          </w:p>
        </w:tc>
        <w:tc>
          <w:tcPr>
            <w:tcW w:w="513" w:type="dxa"/>
            <w:tcBorders>
              <w:top w:val="single" w:sz="8" w:space="0" w:color="auto"/>
              <w:left w:val="nil"/>
              <w:bottom w:val="single" w:sz="8" w:space="0" w:color="auto"/>
              <w:right w:val="single" w:sz="8" w:space="0" w:color="auto"/>
            </w:tcBorders>
            <w:shd w:val="clear" w:color="auto" w:fill="auto"/>
            <w:vAlign w:val="center"/>
            <w:hideMark/>
          </w:tcPr>
          <w:p w14:paraId="5F1872E4" w14:textId="77777777" w:rsidR="004741D6" w:rsidRPr="00DA1E70" w:rsidRDefault="004741D6" w:rsidP="00D16719">
            <w:pPr>
              <w:jc w:val="center"/>
              <w:rPr>
                <w:rFonts w:ascii="Arial Narrow" w:eastAsia="Times New Roman" w:hAnsi="Arial Narrow"/>
                <w:b/>
                <w:bCs/>
                <w:color w:val="000000"/>
                <w:sz w:val="22"/>
                <w:szCs w:val="22"/>
              </w:rPr>
            </w:pPr>
            <w:r w:rsidRPr="00DA1E70">
              <w:rPr>
                <w:rFonts w:ascii="Arial Narrow" w:eastAsia="Times New Roman" w:hAnsi="Arial Narrow"/>
                <w:b/>
                <w:bCs/>
                <w:color w:val="000000"/>
                <w:sz w:val="22"/>
                <w:szCs w:val="22"/>
              </w:rPr>
              <w:t> </w:t>
            </w:r>
          </w:p>
        </w:tc>
        <w:tc>
          <w:tcPr>
            <w:tcW w:w="3081" w:type="dxa"/>
            <w:tcBorders>
              <w:top w:val="single" w:sz="8" w:space="0" w:color="auto"/>
              <w:left w:val="nil"/>
              <w:bottom w:val="single" w:sz="8" w:space="0" w:color="auto"/>
              <w:right w:val="single" w:sz="8" w:space="0" w:color="auto"/>
            </w:tcBorders>
            <w:shd w:val="clear" w:color="auto" w:fill="auto"/>
            <w:vAlign w:val="center"/>
            <w:hideMark/>
          </w:tcPr>
          <w:p w14:paraId="47FC861F" w14:textId="75E651B0" w:rsidR="004741D6" w:rsidRPr="00DA1E70" w:rsidRDefault="0021354A" w:rsidP="00D16719">
            <w:pPr>
              <w:jc w:val="both"/>
              <w:rPr>
                <w:rFonts w:ascii="Arial Narrow" w:eastAsia="Times New Roman" w:hAnsi="Arial Narrow"/>
                <w:b/>
                <w:bCs/>
                <w:color w:val="000000"/>
                <w:sz w:val="22"/>
                <w:szCs w:val="22"/>
                <w:lang w:val="es-CR"/>
              </w:rPr>
            </w:pPr>
            <w:r w:rsidRPr="00DA1E70">
              <w:rPr>
                <w:rFonts w:ascii="Arial Narrow" w:eastAsia="Times New Roman" w:hAnsi="Arial Narrow"/>
                <w:b/>
                <w:bCs/>
                <w:color w:val="000000"/>
                <w:sz w:val="22"/>
                <w:szCs w:val="22"/>
                <w:lang w:val="es-CR"/>
              </w:rPr>
              <w:t>Dese</w:t>
            </w:r>
            <w:r>
              <w:rPr>
                <w:rFonts w:ascii="Arial Narrow" w:eastAsia="Times New Roman" w:hAnsi="Arial Narrow"/>
                <w:b/>
                <w:bCs/>
                <w:color w:val="000000"/>
                <w:sz w:val="22"/>
                <w:szCs w:val="22"/>
                <w:lang w:val="es-CR"/>
              </w:rPr>
              <w:t>mbo</w:t>
            </w:r>
            <w:r w:rsidRPr="00DA1E70">
              <w:rPr>
                <w:rFonts w:ascii="Arial Narrow" w:eastAsia="Times New Roman" w:hAnsi="Arial Narrow"/>
                <w:b/>
                <w:bCs/>
                <w:color w:val="000000"/>
                <w:sz w:val="22"/>
                <w:szCs w:val="22"/>
                <w:lang w:val="es-CR"/>
              </w:rPr>
              <w:t>lsos</w:t>
            </w:r>
            <w:r w:rsidR="004741D6" w:rsidRPr="00DA1E70">
              <w:rPr>
                <w:rFonts w:ascii="Arial Narrow" w:eastAsia="Times New Roman" w:hAnsi="Arial Narrow"/>
                <w:b/>
                <w:bCs/>
                <w:color w:val="000000"/>
                <w:sz w:val="22"/>
                <w:szCs w:val="22"/>
                <w:lang w:val="es-CR"/>
              </w:rPr>
              <w:t xml:space="preserve"> posteriores en un proyecto adquirido de investigación y desarrollo en proceso</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3DB21F50" w14:textId="77777777" w:rsidR="004741D6" w:rsidRDefault="004741D6" w:rsidP="00B46BBC">
            <w:pPr>
              <w:jc w:val="both"/>
              <w:rPr>
                <w:rFonts w:ascii="Arial Narrow" w:eastAsia="Times New Roman" w:hAnsi="Arial Narrow"/>
                <w:b/>
                <w:bCs/>
                <w:color w:val="000000"/>
                <w:sz w:val="22"/>
                <w:szCs w:val="22"/>
              </w:rPr>
            </w:pPr>
            <w:r w:rsidRPr="00DA1E70">
              <w:rPr>
                <w:rFonts w:ascii="Arial Narrow" w:eastAsia="Times New Roman" w:hAnsi="Arial Narrow"/>
                <w:b/>
                <w:bCs/>
                <w:color w:val="000000"/>
                <w:sz w:val="22"/>
                <w:szCs w:val="22"/>
              </w:rPr>
              <w:t xml:space="preserve">NICSP Nº 31, </w:t>
            </w:r>
          </w:p>
          <w:p w14:paraId="756827E9" w14:textId="77777777" w:rsidR="004741D6" w:rsidRPr="00DA1E70" w:rsidRDefault="004741D6" w:rsidP="00B46BBC">
            <w:pPr>
              <w:jc w:val="both"/>
              <w:rPr>
                <w:rFonts w:ascii="Arial Narrow" w:eastAsia="Times New Roman" w:hAnsi="Arial Narrow"/>
                <w:b/>
                <w:bCs/>
                <w:color w:val="000000"/>
                <w:sz w:val="22"/>
                <w:szCs w:val="22"/>
              </w:rPr>
            </w:pPr>
            <w:r w:rsidRPr="00DA1E70">
              <w:rPr>
                <w:rFonts w:ascii="Arial Narrow" w:eastAsia="Times New Roman" w:hAnsi="Arial Narrow"/>
                <w:b/>
                <w:bCs/>
                <w:color w:val="000000"/>
                <w:sz w:val="22"/>
                <w:szCs w:val="22"/>
              </w:rPr>
              <w:t xml:space="preserve">Párrafos 40 y 41.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7D00C68" w14:textId="77777777" w:rsidR="004741D6" w:rsidRPr="00DA1E70" w:rsidRDefault="004741D6" w:rsidP="00D16719">
            <w:pPr>
              <w:jc w:val="center"/>
              <w:rPr>
                <w:rFonts w:ascii="Arial Narrow" w:eastAsia="Times New Roman" w:hAnsi="Arial Narrow"/>
                <w:b/>
                <w:bCs/>
                <w:color w:val="000000"/>
                <w:sz w:val="22"/>
                <w:szCs w:val="22"/>
              </w:rPr>
            </w:pPr>
            <w:r w:rsidRPr="00DA1E70">
              <w:rPr>
                <w:rFonts w:ascii="Arial Narrow" w:eastAsia="Times New Roman" w:hAnsi="Arial Narrow"/>
                <w:b/>
                <w:bCs/>
                <w:color w:val="000000"/>
                <w:sz w:val="22"/>
                <w:szCs w:val="22"/>
              </w:rPr>
              <w:t xml:space="preserve"> </w:t>
            </w:r>
          </w:p>
        </w:tc>
      </w:tr>
    </w:tbl>
    <w:p w14:paraId="0B98AAE7" w14:textId="77777777" w:rsidR="004741D6" w:rsidRDefault="004741D6" w:rsidP="004741D6">
      <w:pPr>
        <w:spacing w:line="238" w:lineRule="auto"/>
        <w:ind w:left="1134" w:right="260" w:hanging="1134"/>
        <w:jc w:val="both"/>
        <w:rPr>
          <w:rFonts w:ascii="Arial" w:eastAsia="Arial" w:hAnsi="Arial"/>
          <w:b/>
          <w:sz w:val="22"/>
          <w:szCs w:val="22"/>
          <w:lang w:val="es-CR"/>
        </w:rPr>
      </w:pPr>
    </w:p>
    <w:p w14:paraId="35802B54" w14:textId="110B0851" w:rsidR="00B46BBC" w:rsidRDefault="00B46BBC"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311FFB93" w14:textId="77777777" w:rsidR="00B46BBC" w:rsidRDefault="00B46BBC" w:rsidP="004741D6">
      <w:pPr>
        <w:spacing w:line="238" w:lineRule="auto"/>
        <w:ind w:left="1134" w:right="260" w:hanging="1134"/>
        <w:jc w:val="both"/>
        <w:rPr>
          <w:rFonts w:ascii="Arial" w:eastAsia="Arial" w:hAnsi="Arial"/>
          <w:b/>
          <w:sz w:val="22"/>
          <w:szCs w:val="22"/>
          <w:lang w:val="es-CR"/>
        </w:rPr>
      </w:pPr>
    </w:p>
    <w:p w14:paraId="7AE1212D" w14:textId="4B25B092"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1.246.0.01</w:t>
      </w:r>
      <w:r>
        <w:rPr>
          <w:rFonts w:ascii="Arial" w:eastAsia="Arial" w:hAnsi="Arial"/>
          <w:bCs/>
          <w:sz w:val="22"/>
          <w:szCs w:val="22"/>
          <w:lang w:val="es-CR"/>
        </w:rPr>
        <w:tab/>
      </w:r>
      <w:r w:rsidRPr="00DA1E70">
        <w:rPr>
          <w:rFonts w:ascii="Arial" w:eastAsia="Arial" w:hAnsi="Arial"/>
          <w:bCs/>
          <w:sz w:val="22"/>
          <w:szCs w:val="22"/>
          <w:lang w:val="es-CR"/>
        </w:rPr>
        <w:t xml:space="preserve">Los </w:t>
      </w:r>
      <w:r w:rsidR="0021354A">
        <w:rPr>
          <w:rFonts w:ascii="Arial" w:eastAsia="Arial" w:hAnsi="Arial"/>
          <w:bCs/>
          <w:sz w:val="22"/>
          <w:szCs w:val="22"/>
          <w:lang w:val="es-CR"/>
        </w:rPr>
        <w:t>desembolsos</w:t>
      </w:r>
      <w:r>
        <w:rPr>
          <w:rFonts w:ascii="Arial" w:eastAsia="Arial" w:hAnsi="Arial"/>
          <w:bCs/>
          <w:sz w:val="22"/>
          <w:szCs w:val="22"/>
          <w:lang w:val="es-CR"/>
        </w:rPr>
        <w:t xml:space="preserve"> que se realicen en la</w:t>
      </w:r>
      <w:r w:rsidRPr="00DA1E70">
        <w:rPr>
          <w:rFonts w:ascii="Arial" w:eastAsia="Arial" w:hAnsi="Arial"/>
          <w:bCs/>
          <w:sz w:val="22"/>
          <w:szCs w:val="22"/>
          <w:lang w:val="es-CR"/>
        </w:rPr>
        <w:t xml:space="preserve"> investigación o desarrollo</w:t>
      </w:r>
      <w:r>
        <w:rPr>
          <w:rFonts w:ascii="Arial" w:eastAsia="Arial" w:hAnsi="Arial"/>
          <w:bCs/>
          <w:sz w:val="22"/>
          <w:szCs w:val="22"/>
          <w:lang w:val="es-CR"/>
        </w:rPr>
        <w:t>,</w:t>
      </w:r>
      <w:r w:rsidRPr="00DA1E70">
        <w:rPr>
          <w:rFonts w:ascii="Arial" w:eastAsia="Arial" w:hAnsi="Arial"/>
          <w:bCs/>
          <w:sz w:val="22"/>
          <w:szCs w:val="22"/>
          <w:lang w:val="es-CR"/>
        </w:rPr>
        <w:t xml:space="preserve"> que estén asociados con un proyecto de investigación y desarrollo en curso, adquirido de forma independiente y reconocido como un activo intangible, y se hayan generado después de la adquisición del citado proyecto, se contabilizarán de acuerdo con lo establecido para otros activos intangibles generados internamente, de </w:t>
      </w:r>
      <w:r>
        <w:rPr>
          <w:rFonts w:ascii="Arial" w:eastAsia="Arial" w:hAnsi="Arial"/>
          <w:bCs/>
          <w:sz w:val="22"/>
          <w:szCs w:val="22"/>
          <w:lang w:val="es-CR"/>
        </w:rPr>
        <w:t xml:space="preserve">la siguiente </w:t>
      </w:r>
      <w:r w:rsidRPr="00DA1E70">
        <w:rPr>
          <w:rFonts w:ascii="Arial" w:eastAsia="Arial" w:hAnsi="Arial"/>
          <w:bCs/>
          <w:sz w:val="22"/>
          <w:szCs w:val="22"/>
          <w:lang w:val="es-CR"/>
        </w:rPr>
        <w:t>man</w:t>
      </w:r>
      <w:r>
        <w:rPr>
          <w:rFonts w:ascii="Arial" w:eastAsia="Arial" w:hAnsi="Arial"/>
          <w:bCs/>
          <w:sz w:val="22"/>
          <w:szCs w:val="22"/>
          <w:lang w:val="es-CR"/>
        </w:rPr>
        <w:t>era</w:t>
      </w:r>
      <w:r w:rsidRPr="00DA1E70">
        <w:rPr>
          <w:rFonts w:ascii="Arial" w:eastAsia="Arial" w:hAnsi="Arial"/>
          <w:bCs/>
          <w:sz w:val="22"/>
          <w:szCs w:val="22"/>
          <w:lang w:val="es-CR"/>
        </w:rPr>
        <w:t>:</w:t>
      </w:r>
    </w:p>
    <w:p w14:paraId="448D0D47" w14:textId="77777777" w:rsidR="00374E87" w:rsidRPr="00DA1E70" w:rsidRDefault="00374E87" w:rsidP="004741D6">
      <w:pPr>
        <w:spacing w:line="236" w:lineRule="auto"/>
        <w:ind w:left="1134" w:right="280" w:hanging="1134"/>
        <w:jc w:val="both"/>
        <w:rPr>
          <w:rFonts w:ascii="Arial" w:eastAsia="Arial" w:hAnsi="Arial"/>
          <w:bCs/>
          <w:sz w:val="22"/>
          <w:szCs w:val="22"/>
          <w:lang w:val="es-CR"/>
        </w:rPr>
      </w:pPr>
    </w:p>
    <w:p w14:paraId="29C2C392" w14:textId="0FAD726E" w:rsidR="004741D6" w:rsidRDefault="004741D6" w:rsidP="00374E87">
      <w:pPr>
        <w:pStyle w:val="Prrafodelista"/>
        <w:numPr>
          <w:ilvl w:val="0"/>
          <w:numId w:val="108"/>
        </w:numPr>
        <w:spacing w:after="120"/>
        <w:ind w:left="1418" w:right="278" w:hanging="284"/>
        <w:contextualSpacing w:val="0"/>
        <w:jc w:val="both"/>
        <w:rPr>
          <w:rFonts w:ascii="Arial" w:eastAsia="Arial" w:hAnsi="Arial"/>
          <w:bCs/>
          <w:sz w:val="22"/>
          <w:szCs w:val="22"/>
          <w:lang w:val="es-CR"/>
        </w:rPr>
      </w:pPr>
      <w:r>
        <w:rPr>
          <w:rFonts w:ascii="Arial" w:eastAsia="Arial" w:hAnsi="Arial"/>
          <w:bCs/>
          <w:sz w:val="22"/>
          <w:szCs w:val="22"/>
          <w:lang w:val="es-CR"/>
        </w:rPr>
        <w:t>L</w:t>
      </w:r>
      <w:r w:rsidRPr="00DA1E70">
        <w:rPr>
          <w:rFonts w:ascii="Arial" w:eastAsia="Arial" w:hAnsi="Arial"/>
          <w:bCs/>
          <w:sz w:val="22"/>
          <w:szCs w:val="22"/>
          <w:lang w:val="es-CR"/>
        </w:rPr>
        <w:t xml:space="preserve">os </w:t>
      </w:r>
      <w:r w:rsidR="0021354A" w:rsidRPr="00DA1E70">
        <w:rPr>
          <w:rFonts w:ascii="Arial" w:eastAsia="Arial" w:hAnsi="Arial"/>
          <w:bCs/>
          <w:sz w:val="22"/>
          <w:szCs w:val="22"/>
          <w:lang w:val="es-CR"/>
        </w:rPr>
        <w:t>dese</w:t>
      </w:r>
      <w:r w:rsidR="0021354A">
        <w:rPr>
          <w:rFonts w:ascii="Arial" w:eastAsia="Arial" w:hAnsi="Arial"/>
          <w:bCs/>
          <w:sz w:val="22"/>
          <w:szCs w:val="22"/>
          <w:lang w:val="es-CR"/>
        </w:rPr>
        <w:t>mbo</w:t>
      </w:r>
      <w:r w:rsidR="0021354A" w:rsidRPr="00DA1E70">
        <w:rPr>
          <w:rFonts w:ascii="Arial" w:eastAsia="Arial" w:hAnsi="Arial"/>
          <w:bCs/>
          <w:sz w:val="22"/>
          <w:szCs w:val="22"/>
          <w:lang w:val="es-CR"/>
        </w:rPr>
        <w:t>lsos</w:t>
      </w:r>
      <w:r w:rsidRPr="00DA1E70">
        <w:rPr>
          <w:rFonts w:ascii="Arial" w:eastAsia="Arial" w:hAnsi="Arial"/>
          <w:bCs/>
          <w:sz w:val="22"/>
          <w:szCs w:val="22"/>
          <w:lang w:val="es-CR"/>
        </w:rPr>
        <w:t xml:space="preserve"> de investigación serán reconocidos como un gasto cuando se incurra en ellos; </w:t>
      </w:r>
    </w:p>
    <w:p w14:paraId="2FD57435" w14:textId="4F869184" w:rsidR="004741D6" w:rsidRPr="00D25F49" w:rsidRDefault="004741D6" w:rsidP="00374E87">
      <w:pPr>
        <w:pStyle w:val="Prrafodelista"/>
        <w:numPr>
          <w:ilvl w:val="0"/>
          <w:numId w:val="108"/>
        </w:numPr>
        <w:spacing w:after="120"/>
        <w:ind w:left="1418" w:right="278" w:hanging="284"/>
        <w:contextualSpacing w:val="0"/>
        <w:jc w:val="both"/>
        <w:rPr>
          <w:rFonts w:ascii="Arial" w:eastAsia="Arial" w:hAnsi="Arial"/>
          <w:bCs/>
          <w:sz w:val="22"/>
          <w:szCs w:val="22"/>
          <w:lang w:val="es-CR"/>
        </w:rPr>
      </w:pPr>
      <w:r w:rsidRPr="00D25F49">
        <w:rPr>
          <w:rFonts w:ascii="Arial" w:hAnsi="Arial"/>
          <w:sz w:val="22"/>
          <w:szCs w:val="22"/>
          <w:lang w:val="es-CR"/>
        </w:rPr>
        <w:t xml:space="preserve">Los </w:t>
      </w:r>
      <w:r w:rsidR="0021354A" w:rsidRPr="00D25F49">
        <w:rPr>
          <w:rFonts w:ascii="Arial" w:hAnsi="Arial"/>
          <w:sz w:val="22"/>
          <w:szCs w:val="22"/>
          <w:lang w:val="es-CR"/>
        </w:rPr>
        <w:t>dese</w:t>
      </w:r>
      <w:r w:rsidR="0021354A">
        <w:rPr>
          <w:rFonts w:ascii="Arial" w:hAnsi="Arial"/>
          <w:sz w:val="22"/>
          <w:szCs w:val="22"/>
          <w:lang w:val="es-CR"/>
        </w:rPr>
        <w:t>mbo</w:t>
      </w:r>
      <w:r w:rsidR="0021354A" w:rsidRPr="00D25F49">
        <w:rPr>
          <w:rFonts w:ascii="Arial" w:hAnsi="Arial"/>
          <w:sz w:val="22"/>
          <w:szCs w:val="22"/>
          <w:lang w:val="es-CR"/>
        </w:rPr>
        <w:t>lsos</w:t>
      </w:r>
      <w:r w:rsidRPr="00D25F49">
        <w:rPr>
          <w:rFonts w:ascii="Arial" w:hAnsi="Arial"/>
          <w:sz w:val="22"/>
          <w:szCs w:val="22"/>
          <w:lang w:val="es-CR"/>
        </w:rPr>
        <w:t xml:space="preserve"> de desarrollo serán reconocidos: 1. como un gasto cuando se incurra en ellos, en caso de que no cumplan los requisitos para ser considerado un gasto de desarrollo;</w:t>
      </w:r>
    </w:p>
    <w:p w14:paraId="2AD7E9A0" w14:textId="77777777" w:rsidR="004741D6" w:rsidRPr="00D25F49" w:rsidRDefault="004741D6">
      <w:pPr>
        <w:pStyle w:val="Prrafodelista"/>
        <w:numPr>
          <w:ilvl w:val="0"/>
          <w:numId w:val="108"/>
        </w:numPr>
        <w:spacing w:line="236" w:lineRule="auto"/>
        <w:ind w:left="1418" w:right="280" w:hanging="284"/>
        <w:jc w:val="both"/>
        <w:rPr>
          <w:rFonts w:ascii="Arial" w:eastAsia="Arial" w:hAnsi="Arial"/>
          <w:bCs/>
          <w:sz w:val="22"/>
          <w:szCs w:val="22"/>
          <w:lang w:val="es-CR"/>
        </w:rPr>
      </w:pPr>
      <w:r>
        <w:rPr>
          <w:rFonts w:ascii="Arial" w:hAnsi="Arial"/>
          <w:sz w:val="22"/>
          <w:szCs w:val="22"/>
          <w:lang w:val="es-CR"/>
        </w:rPr>
        <w:t>C</w:t>
      </w:r>
      <w:r w:rsidRPr="00D25F49">
        <w:rPr>
          <w:rFonts w:ascii="Arial" w:hAnsi="Arial"/>
          <w:sz w:val="22"/>
          <w:szCs w:val="22"/>
          <w:lang w:val="es-CR"/>
        </w:rPr>
        <w:t xml:space="preserve">omo un mayor importe en libros del proyecto de investigación o desarrollo en proceso adquirido, en casos que cumplan los criterios de reconocimiento como tal. </w:t>
      </w:r>
    </w:p>
    <w:p w14:paraId="382A66D5" w14:textId="77777777" w:rsidR="004741D6" w:rsidRDefault="004741D6" w:rsidP="004741D6">
      <w:pPr>
        <w:spacing w:line="236" w:lineRule="auto"/>
        <w:ind w:right="280"/>
        <w:jc w:val="both"/>
        <w:rPr>
          <w:rFonts w:ascii="Arial" w:eastAsia="Arial" w:hAnsi="Arial"/>
          <w:bCs/>
          <w:sz w:val="22"/>
          <w:szCs w:val="22"/>
          <w:lang w:val="es-CR"/>
        </w:rPr>
      </w:pPr>
    </w:p>
    <w:p w14:paraId="4DB7CCB3" w14:textId="77777777" w:rsidR="004741D6" w:rsidRDefault="004741D6" w:rsidP="004741D6">
      <w:pPr>
        <w:spacing w:line="236" w:lineRule="auto"/>
        <w:ind w:right="280"/>
        <w:jc w:val="both"/>
        <w:rPr>
          <w:rFonts w:ascii="Arial" w:eastAsia="Arial" w:hAnsi="Arial"/>
          <w:bCs/>
          <w:sz w:val="22"/>
          <w:szCs w:val="22"/>
          <w:lang w:val="es-CR"/>
        </w:rPr>
      </w:pPr>
    </w:p>
    <w:tbl>
      <w:tblPr>
        <w:tblW w:w="9062" w:type="dxa"/>
        <w:tblLook w:val="04A0" w:firstRow="1" w:lastRow="0" w:firstColumn="1" w:lastColumn="0" w:noHBand="0" w:noVBand="1"/>
      </w:tblPr>
      <w:tblGrid>
        <w:gridCol w:w="555"/>
        <w:gridCol w:w="517"/>
        <w:gridCol w:w="514"/>
        <w:gridCol w:w="3082"/>
        <w:gridCol w:w="2551"/>
        <w:gridCol w:w="1843"/>
      </w:tblGrid>
      <w:tr w:rsidR="004741D6" w:rsidRPr="00D25F49" w14:paraId="0BBA1651" w14:textId="77777777" w:rsidTr="00D16719">
        <w:trPr>
          <w:trHeight w:val="330"/>
        </w:trPr>
        <w:tc>
          <w:tcPr>
            <w:tcW w:w="158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F34C845" w14:textId="77777777" w:rsidR="004741D6" w:rsidRPr="00D25F49" w:rsidRDefault="004741D6" w:rsidP="00D16719">
            <w:pPr>
              <w:jc w:val="center"/>
              <w:rPr>
                <w:rFonts w:ascii="Arial Narrow" w:eastAsia="Times New Roman" w:hAnsi="Arial Narrow"/>
                <w:b/>
                <w:bCs/>
                <w:color w:val="FFFFFF"/>
                <w:sz w:val="22"/>
                <w:szCs w:val="22"/>
              </w:rPr>
            </w:pPr>
            <w:r w:rsidRPr="00D25F49">
              <w:rPr>
                <w:rFonts w:ascii="Arial Narrow" w:eastAsia="Times New Roman" w:hAnsi="Arial Narrow"/>
                <w:b/>
                <w:bCs/>
                <w:color w:val="FFFFFF"/>
                <w:sz w:val="22"/>
                <w:szCs w:val="22"/>
              </w:rPr>
              <w:t>orma / Política</w:t>
            </w:r>
          </w:p>
        </w:tc>
        <w:tc>
          <w:tcPr>
            <w:tcW w:w="308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F3BF5B" w14:textId="77777777" w:rsidR="004741D6" w:rsidRPr="00D25F49" w:rsidRDefault="004741D6" w:rsidP="00D16719">
            <w:pPr>
              <w:jc w:val="center"/>
              <w:rPr>
                <w:rFonts w:ascii="Arial Narrow" w:eastAsia="Times New Roman" w:hAnsi="Arial Narrow"/>
                <w:b/>
                <w:bCs/>
                <w:color w:val="FFFFFF"/>
                <w:sz w:val="22"/>
                <w:szCs w:val="22"/>
              </w:rPr>
            </w:pPr>
            <w:r w:rsidRPr="00D25F49">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1000DA0E" w14:textId="77777777" w:rsidR="004741D6" w:rsidRPr="00D25F49" w:rsidRDefault="004741D6" w:rsidP="00D16719">
            <w:pPr>
              <w:jc w:val="center"/>
              <w:rPr>
                <w:rFonts w:ascii="Arial Narrow" w:eastAsia="Times New Roman" w:hAnsi="Arial Narrow"/>
                <w:b/>
                <w:bCs/>
                <w:color w:val="FFFFFF"/>
                <w:sz w:val="22"/>
                <w:szCs w:val="22"/>
              </w:rPr>
            </w:pPr>
            <w:r w:rsidRPr="00D25F49">
              <w:rPr>
                <w:rFonts w:ascii="Arial Narrow" w:eastAsia="Times New Roman" w:hAnsi="Arial Narrow"/>
                <w:b/>
                <w:bCs/>
                <w:color w:val="FFFFFF"/>
                <w:sz w:val="22"/>
                <w:szCs w:val="22"/>
              </w:rPr>
              <w:t>Referencia</w:t>
            </w:r>
          </w:p>
        </w:tc>
      </w:tr>
      <w:tr w:rsidR="004741D6" w:rsidRPr="006E5442" w14:paraId="688C0D70" w14:textId="77777777" w:rsidTr="00D16719">
        <w:trPr>
          <w:trHeight w:val="939"/>
        </w:trPr>
        <w:tc>
          <w:tcPr>
            <w:tcW w:w="1586" w:type="dxa"/>
            <w:gridSpan w:val="3"/>
            <w:vMerge/>
            <w:tcBorders>
              <w:top w:val="single" w:sz="8" w:space="0" w:color="auto"/>
              <w:left w:val="single" w:sz="8" w:space="0" w:color="auto"/>
              <w:bottom w:val="nil"/>
              <w:right w:val="single" w:sz="8" w:space="0" w:color="000000"/>
            </w:tcBorders>
            <w:vAlign w:val="center"/>
            <w:hideMark/>
          </w:tcPr>
          <w:p w14:paraId="7CF6E2FC" w14:textId="77777777" w:rsidR="004741D6" w:rsidRPr="00D25F49" w:rsidRDefault="004741D6" w:rsidP="00D16719">
            <w:pPr>
              <w:rPr>
                <w:rFonts w:ascii="Arial Narrow" w:eastAsia="Times New Roman" w:hAnsi="Arial Narrow"/>
                <w:b/>
                <w:bCs/>
                <w:color w:val="FFFFFF"/>
                <w:sz w:val="22"/>
                <w:szCs w:val="22"/>
              </w:rPr>
            </w:pPr>
          </w:p>
        </w:tc>
        <w:tc>
          <w:tcPr>
            <w:tcW w:w="3082" w:type="dxa"/>
            <w:vMerge/>
            <w:tcBorders>
              <w:top w:val="single" w:sz="8" w:space="0" w:color="auto"/>
              <w:left w:val="single" w:sz="8" w:space="0" w:color="auto"/>
              <w:bottom w:val="nil"/>
              <w:right w:val="single" w:sz="8" w:space="0" w:color="auto"/>
            </w:tcBorders>
            <w:vAlign w:val="center"/>
            <w:hideMark/>
          </w:tcPr>
          <w:p w14:paraId="266EDB47" w14:textId="77777777" w:rsidR="004741D6" w:rsidRPr="00D25F49" w:rsidRDefault="004741D6" w:rsidP="00D16719">
            <w:pPr>
              <w:rPr>
                <w:rFonts w:ascii="Arial Narrow" w:eastAsia="Times New Roman" w:hAnsi="Arial Narrow"/>
                <w:b/>
                <w:bCs/>
                <w:color w:val="FFFFFF"/>
                <w:sz w:val="22"/>
                <w:szCs w:val="22"/>
              </w:rPr>
            </w:pPr>
          </w:p>
        </w:tc>
        <w:tc>
          <w:tcPr>
            <w:tcW w:w="2551" w:type="dxa"/>
            <w:tcBorders>
              <w:top w:val="nil"/>
              <w:left w:val="nil"/>
              <w:bottom w:val="nil"/>
              <w:right w:val="single" w:sz="8" w:space="0" w:color="auto"/>
            </w:tcBorders>
            <w:shd w:val="clear" w:color="000000" w:fill="203764"/>
            <w:vAlign w:val="center"/>
            <w:hideMark/>
          </w:tcPr>
          <w:p w14:paraId="05DF04D8" w14:textId="77777777" w:rsidR="004741D6" w:rsidRPr="00D25F49" w:rsidRDefault="004741D6" w:rsidP="00D16719">
            <w:pPr>
              <w:jc w:val="center"/>
              <w:rPr>
                <w:rFonts w:ascii="Arial Narrow" w:eastAsia="Times New Roman" w:hAnsi="Arial Narrow"/>
                <w:b/>
                <w:bCs/>
                <w:color w:val="FFFFFF"/>
                <w:sz w:val="22"/>
                <w:szCs w:val="22"/>
              </w:rPr>
            </w:pPr>
            <w:r w:rsidRPr="00D25F49">
              <w:rPr>
                <w:rFonts w:ascii="Arial Narrow" w:eastAsia="Times New Roman" w:hAnsi="Arial Narrow"/>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57C981F9" w14:textId="77777777" w:rsidR="004741D6" w:rsidRPr="00D25F49" w:rsidRDefault="004741D6" w:rsidP="00D16719">
            <w:pPr>
              <w:jc w:val="center"/>
              <w:rPr>
                <w:rFonts w:ascii="Arial Narrow" w:eastAsia="Times New Roman" w:hAnsi="Arial Narrow"/>
                <w:b/>
                <w:bCs/>
                <w:color w:val="FFFFFF"/>
                <w:sz w:val="22"/>
                <w:szCs w:val="22"/>
                <w:lang w:val="es-CR"/>
              </w:rPr>
            </w:pPr>
            <w:r w:rsidRPr="00D25F49">
              <w:rPr>
                <w:rFonts w:ascii="Arial Narrow" w:eastAsia="Times New Roman" w:hAnsi="Arial Narrow"/>
                <w:b/>
                <w:bCs/>
                <w:color w:val="FFFFFF"/>
                <w:sz w:val="22"/>
                <w:szCs w:val="22"/>
                <w:lang w:val="es-CR"/>
              </w:rPr>
              <w:t>Normativa técnica y disposiciones adicionales</w:t>
            </w:r>
          </w:p>
        </w:tc>
      </w:tr>
      <w:tr w:rsidR="004741D6" w:rsidRPr="00D25F49" w14:paraId="5F73F696" w14:textId="77777777" w:rsidTr="00D16719">
        <w:trPr>
          <w:trHeight w:val="630"/>
        </w:trPr>
        <w:tc>
          <w:tcPr>
            <w:tcW w:w="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EC75AD" w14:textId="77777777" w:rsidR="004741D6" w:rsidRPr="00D25F49" w:rsidRDefault="004741D6" w:rsidP="00D16719">
            <w:pPr>
              <w:jc w:val="center"/>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0D6B4E95" w14:textId="77777777" w:rsidR="004741D6" w:rsidRPr="00D25F49" w:rsidRDefault="004741D6" w:rsidP="00D16719">
            <w:pPr>
              <w:jc w:val="center"/>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247</w:t>
            </w:r>
          </w:p>
        </w:tc>
        <w:tc>
          <w:tcPr>
            <w:tcW w:w="514" w:type="dxa"/>
            <w:tcBorders>
              <w:top w:val="single" w:sz="8" w:space="0" w:color="auto"/>
              <w:left w:val="nil"/>
              <w:bottom w:val="single" w:sz="8" w:space="0" w:color="auto"/>
              <w:right w:val="single" w:sz="8" w:space="0" w:color="auto"/>
            </w:tcBorders>
            <w:shd w:val="clear" w:color="auto" w:fill="auto"/>
            <w:vAlign w:val="center"/>
            <w:hideMark/>
          </w:tcPr>
          <w:p w14:paraId="68B270B6" w14:textId="77777777" w:rsidR="004741D6" w:rsidRPr="00D25F49" w:rsidRDefault="004741D6" w:rsidP="00D16719">
            <w:pPr>
              <w:jc w:val="center"/>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 </w:t>
            </w:r>
          </w:p>
        </w:tc>
        <w:tc>
          <w:tcPr>
            <w:tcW w:w="3082" w:type="dxa"/>
            <w:tcBorders>
              <w:top w:val="single" w:sz="8" w:space="0" w:color="auto"/>
              <w:left w:val="nil"/>
              <w:bottom w:val="single" w:sz="8" w:space="0" w:color="auto"/>
              <w:right w:val="single" w:sz="8" w:space="0" w:color="auto"/>
            </w:tcBorders>
            <w:shd w:val="clear" w:color="auto" w:fill="auto"/>
            <w:vAlign w:val="center"/>
            <w:hideMark/>
          </w:tcPr>
          <w:p w14:paraId="209AD401" w14:textId="77777777" w:rsidR="004741D6" w:rsidRPr="00D25F49" w:rsidRDefault="004741D6" w:rsidP="00D16719">
            <w:pPr>
              <w:jc w:val="both"/>
              <w:rPr>
                <w:rFonts w:ascii="Arial Narrow" w:eastAsia="Times New Roman" w:hAnsi="Arial Narrow"/>
                <w:b/>
                <w:bCs/>
                <w:color w:val="000000"/>
                <w:sz w:val="22"/>
                <w:szCs w:val="22"/>
                <w:lang w:val="es-CR"/>
              </w:rPr>
            </w:pPr>
            <w:r w:rsidRPr="00D25F49">
              <w:rPr>
                <w:rFonts w:ascii="Arial Narrow" w:eastAsia="Times New Roman" w:hAnsi="Arial Narrow"/>
                <w:b/>
                <w:bCs/>
                <w:color w:val="000000"/>
                <w:sz w:val="22"/>
                <w:szCs w:val="22"/>
                <w:lang w:val="es-CR"/>
              </w:rPr>
              <w:t>Reconocimiento de gastos no atribuibles al costo</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6EC3F4B1" w14:textId="77777777" w:rsidR="004741D6" w:rsidRDefault="004741D6" w:rsidP="005E1D63">
            <w:pPr>
              <w:jc w:val="both"/>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 xml:space="preserve">NICSP Nº 31, </w:t>
            </w:r>
          </w:p>
          <w:p w14:paraId="6E8F0B55" w14:textId="77777777" w:rsidR="004741D6" w:rsidRPr="00D25F49" w:rsidRDefault="004741D6" w:rsidP="005E1D63">
            <w:pPr>
              <w:jc w:val="both"/>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 xml:space="preserve">Párrafos 66 y 67.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00B29E6A" w14:textId="77777777" w:rsidR="004741D6" w:rsidRPr="00D25F49" w:rsidRDefault="004741D6" w:rsidP="00D16719">
            <w:pPr>
              <w:jc w:val="center"/>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 xml:space="preserve"> </w:t>
            </w:r>
          </w:p>
        </w:tc>
      </w:tr>
      <w:tr w:rsidR="004741D6" w:rsidRPr="00D25F49" w14:paraId="374799E9" w14:textId="77777777" w:rsidTr="00D16719">
        <w:trPr>
          <w:trHeight w:val="336"/>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7EC7CD87" w14:textId="77777777" w:rsidR="004741D6" w:rsidRPr="00D25F49" w:rsidRDefault="004741D6" w:rsidP="00D16719">
            <w:pPr>
              <w:jc w:val="center"/>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noWrap/>
            <w:vAlign w:val="center"/>
            <w:hideMark/>
          </w:tcPr>
          <w:p w14:paraId="5224B512" w14:textId="77777777" w:rsidR="004741D6" w:rsidRPr="00D25F49" w:rsidRDefault="004741D6" w:rsidP="00D16719">
            <w:pPr>
              <w:jc w:val="center"/>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247</w:t>
            </w:r>
          </w:p>
        </w:tc>
        <w:tc>
          <w:tcPr>
            <w:tcW w:w="514" w:type="dxa"/>
            <w:tcBorders>
              <w:top w:val="nil"/>
              <w:left w:val="nil"/>
              <w:bottom w:val="single" w:sz="8" w:space="0" w:color="auto"/>
              <w:right w:val="single" w:sz="8" w:space="0" w:color="auto"/>
            </w:tcBorders>
            <w:shd w:val="clear" w:color="auto" w:fill="auto"/>
            <w:vAlign w:val="center"/>
            <w:hideMark/>
          </w:tcPr>
          <w:p w14:paraId="65434549" w14:textId="77777777" w:rsidR="004741D6" w:rsidRPr="00D25F49" w:rsidRDefault="004741D6" w:rsidP="00D16719">
            <w:pPr>
              <w:jc w:val="center"/>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1</w:t>
            </w:r>
          </w:p>
        </w:tc>
        <w:tc>
          <w:tcPr>
            <w:tcW w:w="3082" w:type="dxa"/>
            <w:tcBorders>
              <w:top w:val="nil"/>
              <w:left w:val="nil"/>
              <w:bottom w:val="single" w:sz="8" w:space="0" w:color="auto"/>
              <w:right w:val="single" w:sz="8" w:space="0" w:color="auto"/>
            </w:tcBorders>
            <w:shd w:val="clear" w:color="auto" w:fill="auto"/>
            <w:vAlign w:val="center"/>
            <w:hideMark/>
          </w:tcPr>
          <w:p w14:paraId="60C5E1E0" w14:textId="77777777" w:rsidR="004741D6" w:rsidRPr="00D25F49" w:rsidRDefault="004741D6" w:rsidP="00D16719">
            <w:pPr>
              <w:jc w:val="both"/>
              <w:rPr>
                <w:rFonts w:ascii="Arial Narrow" w:eastAsia="Times New Roman" w:hAnsi="Arial Narrow"/>
                <w:b/>
                <w:bCs/>
                <w:color w:val="000000"/>
                <w:sz w:val="22"/>
                <w:szCs w:val="22"/>
                <w:lang w:val="es-CR"/>
              </w:rPr>
            </w:pPr>
            <w:r w:rsidRPr="00D25F49">
              <w:rPr>
                <w:rFonts w:ascii="Arial Narrow" w:eastAsia="Times New Roman" w:hAnsi="Arial Narrow"/>
                <w:b/>
                <w:bCs/>
                <w:color w:val="000000"/>
                <w:sz w:val="22"/>
                <w:szCs w:val="22"/>
                <w:lang w:val="es-CR"/>
              </w:rPr>
              <w:t>Gastos pasados que no deben reconocerse como un activo</w:t>
            </w:r>
          </w:p>
        </w:tc>
        <w:tc>
          <w:tcPr>
            <w:tcW w:w="2551" w:type="dxa"/>
            <w:tcBorders>
              <w:top w:val="nil"/>
              <w:left w:val="nil"/>
              <w:bottom w:val="single" w:sz="8" w:space="0" w:color="auto"/>
              <w:right w:val="single" w:sz="8" w:space="0" w:color="auto"/>
            </w:tcBorders>
            <w:shd w:val="clear" w:color="auto" w:fill="auto"/>
            <w:vAlign w:val="center"/>
            <w:hideMark/>
          </w:tcPr>
          <w:p w14:paraId="22773ED8" w14:textId="77777777" w:rsidR="004741D6" w:rsidRDefault="004741D6" w:rsidP="005E1D63">
            <w:pPr>
              <w:jc w:val="both"/>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 xml:space="preserve">NICSP Nº 31, </w:t>
            </w:r>
          </w:p>
          <w:p w14:paraId="53B2B098" w14:textId="77777777" w:rsidR="004741D6" w:rsidRPr="00D25F49" w:rsidRDefault="004741D6" w:rsidP="005E1D63">
            <w:pPr>
              <w:jc w:val="both"/>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 xml:space="preserve">Párrafo 70. </w:t>
            </w:r>
          </w:p>
        </w:tc>
        <w:tc>
          <w:tcPr>
            <w:tcW w:w="1843" w:type="dxa"/>
            <w:tcBorders>
              <w:top w:val="nil"/>
              <w:left w:val="nil"/>
              <w:bottom w:val="single" w:sz="8" w:space="0" w:color="auto"/>
              <w:right w:val="single" w:sz="8" w:space="0" w:color="auto"/>
            </w:tcBorders>
            <w:shd w:val="clear" w:color="auto" w:fill="auto"/>
            <w:vAlign w:val="center"/>
            <w:hideMark/>
          </w:tcPr>
          <w:p w14:paraId="092DA60B" w14:textId="77777777" w:rsidR="004741D6" w:rsidRPr="00D25F49" w:rsidRDefault="004741D6" w:rsidP="00D16719">
            <w:pPr>
              <w:jc w:val="center"/>
              <w:rPr>
                <w:rFonts w:ascii="Arial Narrow" w:eastAsia="Times New Roman" w:hAnsi="Arial Narrow"/>
                <w:b/>
                <w:bCs/>
                <w:color w:val="000000"/>
                <w:sz w:val="22"/>
                <w:szCs w:val="22"/>
              </w:rPr>
            </w:pPr>
            <w:r w:rsidRPr="00D25F49">
              <w:rPr>
                <w:rFonts w:ascii="Arial Narrow" w:eastAsia="Times New Roman" w:hAnsi="Arial Narrow"/>
                <w:b/>
                <w:bCs/>
                <w:color w:val="000000"/>
                <w:sz w:val="22"/>
                <w:szCs w:val="22"/>
              </w:rPr>
              <w:t xml:space="preserve"> </w:t>
            </w:r>
          </w:p>
        </w:tc>
      </w:tr>
    </w:tbl>
    <w:p w14:paraId="50E85609" w14:textId="77777777" w:rsidR="004741D6" w:rsidRDefault="004741D6" w:rsidP="004741D6">
      <w:pPr>
        <w:spacing w:line="238" w:lineRule="auto"/>
        <w:ind w:left="1134" w:right="260" w:hanging="1134"/>
        <w:jc w:val="both"/>
        <w:rPr>
          <w:rFonts w:ascii="Arial Narrow" w:eastAsia="Arial" w:hAnsi="Arial Narrow"/>
          <w:b/>
          <w:sz w:val="22"/>
          <w:szCs w:val="22"/>
          <w:lang w:val="es-CR"/>
        </w:rPr>
      </w:pPr>
    </w:p>
    <w:p w14:paraId="0289D0A4" w14:textId="7C15E61C" w:rsidR="005E1D63" w:rsidRDefault="005E1D63"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C863713" w14:textId="77777777" w:rsidR="005E1D63" w:rsidRPr="00D25F49" w:rsidRDefault="005E1D63" w:rsidP="004741D6">
      <w:pPr>
        <w:spacing w:line="238" w:lineRule="auto"/>
        <w:ind w:left="1134" w:right="260" w:hanging="1134"/>
        <w:jc w:val="both"/>
        <w:rPr>
          <w:rFonts w:ascii="Arial Narrow" w:eastAsia="Arial" w:hAnsi="Arial Narrow"/>
          <w:b/>
          <w:sz w:val="22"/>
          <w:szCs w:val="22"/>
          <w:lang w:val="es-CR"/>
        </w:rPr>
      </w:pPr>
    </w:p>
    <w:p w14:paraId="7C3981AA" w14:textId="13F237C8" w:rsidR="004741D6" w:rsidRPr="00D25F49"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1.247.0.01</w:t>
      </w:r>
      <w:r>
        <w:rPr>
          <w:rFonts w:ascii="Arial" w:eastAsia="Arial" w:hAnsi="Arial"/>
          <w:bCs/>
          <w:sz w:val="22"/>
          <w:szCs w:val="22"/>
          <w:lang w:val="es-CR"/>
        </w:rPr>
        <w:tab/>
      </w:r>
      <w:r w:rsidRPr="00D25F49">
        <w:rPr>
          <w:rFonts w:ascii="Arial" w:eastAsia="Arial" w:hAnsi="Arial"/>
          <w:bCs/>
          <w:sz w:val="22"/>
          <w:szCs w:val="22"/>
          <w:lang w:val="es-CR"/>
        </w:rPr>
        <w:t xml:space="preserve">La </w:t>
      </w:r>
      <w:r w:rsidR="000F29DC">
        <w:rPr>
          <w:rFonts w:ascii="Arial" w:eastAsia="Arial" w:hAnsi="Arial"/>
          <w:bCs/>
          <w:sz w:val="22"/>
          <w:szCs w:val="22"/>
          <w:lang w:val="es-CR"/>
        </w:rPr>
        <w:t>MBA</w:t>
      </w:r>
      <w:r w:rsidRPr="00D25F49">
        <w:rPr>
          <w:rFonts w:ascii="Arial" w:eastAsia="Arial" w:hAnsi="Arial"/>
          <w:bCs/>
          <w:sz w:val="22"/>
          <w:szCs w:val="22"/>
          <w:lang w:val="es-CR"/>
        </w:rPr>
        <w:t xml:space="preserve"> reconocerá los </w:t>
      </w:r>
      <w:r w:rsidR="0021354A" w:rsidRPr="00D25F49">
        <w:rPr>
          <w:rFonts w:ascii="Arial" w:eastAsia="Arial" w:hAnsi="Arial"/>
          <w:bCs/>
          <w:sz w:val="22"/>
          <w:szCs w:val="22"/>
          <w:lang w:val="es-CR"/>
        </w:rPr>
        <w:t>dese</w:t>
      </w:r>
      <w:r w:rsidR="0021354A">
        <w:rPr>
          <w:rFonts w:ascii="Arial" w:eastAsia="Arial" w:hAnsi="Arial"/>
          <w:bCs/>
          <w:sz w:val="22"/>
          <w:szCs w:val="22"/>
          <w:lang w:val="es-CR"/>
        </w:rPr>
        <w:t>mbo</w:t>
      </w:r>
      <w:r w:rsidR="0021354A" w:rsidRPr="00D25F49">
        <w:rPr>
          <w:rFonts w:ascii="Arial" w:eastAsia="Arial" w:hAnsi="Arial"/>
          <w:bCs/>
          <w:sz w:val="22"/>
          <w:szCs w:val="22"/>
          <w:lang w:val="es-CR"/>
        </w:rPr>
        <w:t>lsos</w:t>
      </w:r>
      <w:r w:rsidRPr="00D25F49">
        <w:rPr>
          <w:rFonts w:ascii="Arial" w:eastAsia="Arial" w:hAnsi="Arial"/>
          <w:bCs/>
          <w:sz w:val="22"/>
          <w:szCs w:val="22"/>
          <w:lang w:val="es-CR"/>
        </w:rPr>
        <w:t xml:space="preserve"> sobre una partida intangible cuando se incurra en ellos. En tal sentido, y a menos que formen parte del costo de un activo intangible que cumpla los criterios de reconocimiento, o bien que formen parte del costo de otro activo, deberán reconocerse como gastos del período, entre otros, los siguientes:</w:t>
      </w:r>
    </w:p>
    <w:p w14:paraId="45305443" w14:textId="77777777" w:rsidR="004741D6" w:rsidRPr="00D25F49" w:rsidRDefault="004741D6" w:rsidP="004741D6">
      <w:pPr>
        <w:spacing w:line="236" w:lineRule="auto"/>
        <w:ind w:left="1134" w:right="280" w:hanging="1134"/>
        <w:jc w:val="both"/>
        <w:rPr>
          <w:rFonts w:ascii="Arial" w:eastAsia="Arial" w:hAnsi="Arial"/>
          <w:bCs/>
          <w:sz w:val="22"/>
          <w:szCs w:val="22"/>
          <w:lang w:val="es-CR"/>
        </w:rPr>
        <w:sectPr w:rsidR="004741D6" w:rsidRPr="00D25F49" w:rsidSect="006D026E">
          <w:type w:val="continuous"/>
          <w:pgSz w:w="12240" w:h="15840"/>
          <w:pgMar w:top="1440" w:right="1440" w:bottom="168" w:left="1440" w:header="0" w:footer="0" w:gutter="0"/>
          <w:cols w:space="0" w:equalWidth="0">
            <w:col w:w="9360"/>
          </w:cols>
          <w:docGrid w:linePitch="360"/>
        </w:sectPr>
      </w:pPr>
    </w:p>
    <w:p w14:paraId="6A1D71C4" w14:textId="77777777" w:rsidR="004741D6" w:rsidRPr="00627673" w:rsidRDefault="004741D6" w:rsidP="004741D6">
      <w:pPr>
        <w:spacing w:line="200" w:lineRule="exact"/>
        <w:rPr>
          <w:rFonts w:ascii="Times New Roman" w:eastAsia="Times New Roman" w:hAnsi="Times New Roman"/>
          <w:lang w:val="es-CR"/>
        </w:rPr>
      </w:pPr>
    </w:p>
    <w:p w14:paraId="06A26DD5" w14:textId="660A21EF" w:rsidR="004741D6" w:rsidRPr="007D2BFE" w:rsidRDefault="004741D6" w:rsidP="005E1D63">
      <w:pPr>
        <w:numPr>
          <w:ilvl w:val="0"/>
          <w:numId w:val="109"/>
        </w:numPr>
        <w:spacing w:after="120"/>
        <w:ind w:left="1418" w:hanging="284"/>
        <w:jc w:val="both"/>
        <w:rPr>
          <w:rFonts w:ascii="Arial" w:eastAsia="Arial" w:hAnsi="Arial"/>
          <w:bCs/>
          <w:sz w:val="22"/>
          <w:szCs w:val="22"/>
        </w:rPr>
      </w:pPr>
      <w:bookmarkStart w:id="79" w:name="page93"/>
      <w:bookmarkEnd w:id="79"/>
      <w:r w:rsidRPr="007D2BFE">
        <w:rPr>
          <w:rFonts w:ascii="Arial" w:eastAsia="Arial" w:hAnsi="Arial"/>
          <w:bCs/>
          <w:sz w:val="22"/>
          <w:szCs w:val="22"/>
        </w:rPr>
        <w:t>Dese</w:t>
      </w:r>
      <w:r w:rsidR="0021354A">
        <w:rPr>
          <w:rFonts w:ascii="Arial" w:eastAsia="Arial" w:hAnsi="Arial"/>
          <w:bCs/>
          <w:sz w:val="22"/>
          <w:szCs w:val="22"/>
        </w:rPr>
        <w:t>mb</w:t>
      </w:r>
      <w:r w:rsidRPr="007D2BFE">
        <w:rPr>
          <w:rFonts w:ascii="Arial" w:eastAsia="Arial" w:hAnsi="Arial"/>
          <w:bCs/>
          <w:sz w:val="22"/>
          <w:szCs w:val="22"/>
        </w:rPr>
        <w:t>olsos para investigación.</w:t>
      </w:r>
    </w:p>
    <w:p w14:paraId="205C4100" w14:textId="08D4C0FC" w:rsidR="004741D6" w:rsidRPr="007D2BFE" w:rsidRDefault="0021354A" w:rsidP="005E1D63">
      <w:pPr>
        <w:numPr>
          <w:ilvl w:val="0"/>
          <w:numId w:val="109"/>
        </w:numPr>
        <w:spacing w:after="120"/>
        <w:ind w:left="1418" w:hanging="284"/>
        <w:jc w:val="both"/>
        <w:rPr>
          <w:rFonts w:ascii="Arial" w:eastAsia="Arial" w:hAnsi="Arial"/>
          <w:bCs/>
          <w:sz w:val="22"/>
          <w:szCs w:val="22"/>
          <w:lang w:val="es-CR"/>
        </w:rPr>
      </w:pPr>
      <w:r w:rsidRPr="007D2BFE">
        <w:rPr>
          <w:rFonts w:ascii="Arial" w:eastAsia="Arial" w:hAnsi="Arial"/>
          <w:bCs/>
          <w:sz w:val="22"/>
          <w:szCs w:val="22"/>
          <w:lang w:val="es-CR"/>
        </w:rPr>
        <w:t>Dese</w:t>
      </w:r>
      <w:r>
        <w:rPr>
          <w:rFonts w:ascii="Arial" w:eastAsia="Arial" w:hAnsi="Arial"/>
          <w:bCs/>
          <w:sz w:val="22"/>
          <w:szCs w:val="22"/>
          <w:lang w:val="es-CR"/>
        </w:rPr>
        <w:t>mbo</w:t>
      </w:r>
      <w:r w:rsidRPr="007D2BFE">
        <w:rPr>
          <w:rFonts w:ascii="Arial" w:eastAsia="Arial" w:hAnsi="Arial"/>
          <w:bCs/>
          <w:sz w:val="22"/>
          <w:szCs w:val="22"/>
          <w:lang w:val="es-CR"/>
        </w:rPr>
        <w:t>lsos</w:t>
      </w:r>
      <w:r w:rsidR="004741D6" w:rsidRPr="007D2BFE">
        <w:rPr>
          <w:rFonts w:ascii="Arial" w:eastAsia="Arial" w:hAnsi="Arial"/>
          <w:bCs/>
          <w:sz w:val="22"/>
          <w:szCs w:val="22"/>
          <w:lang w:val="es-CR"/>
        </w:rPr>
        <w:t xml:space="preserve"> de establecimiento, entendiendo como tal:</w:t>
      </w:r>
    </w:p>
    <w:p w14:paraId="0E364E75" w14:textId="77777777" w:rsidR="004741D6" w:rsidRPr="007D2BFE" w:rsidRDefault="004741D6" w:rsidP="005E1D63">
      <w:pPr>
        <w:pStyle w:val="Prrafodelista"/>
        <w:numPr>
          <w:ilvl w:val="0"/>
          <w:numId w:val="110"/>
        </w:numPr>
        <w:spacing w:after="120"/>
        <w:ind w:left="1843" w:hanging="142"/>
        <w:contextualSpacing w:val="0"/>
        <w:jc w:val="both"/>
        <w:rPr>
          <w:rFonts w:ascii="Arial" w:eastAsia="Arial" w:hAnsi="Arial"/>
          <w:bCs/>
          <w:sz w:val="22"/>
          <w:szCs w:val="22"/>
          <w:lang w:val="es-CR"/>
        </w:rPr>
      </w:pPr>
      <w:r w:rsidRPr="007D2BFE">
        <w:rPr>
          <w:rFonts w:ascii="Arial" w:eastAsia="Arial" w:hAnsi="Arial"/>
          <w:bCs/>
          <w:sz w:val="22"/>
          <w:szCs w:val="22"/>
          <w:lang w:val="es-CR"/>
        </w:rPr>
        <w:t>Costos de puesta en marcha.</w:t>
      </w:r>
    </w:p>
    <w:p w14:paraId="546C8D7C" w14:textId="77777777" w:rsidR="004741D6" w:rsidRPr="007D2BFE" w:rsidRDefault="004741D6" w:rsidP="005E1D63">
      <w:pPr>
        <w:spacing w:after="120"/>
        <w:ind w:left="1701" w:hanging="142"/>
        <w:jc w:val="both"/>
        <w:rPr>
          <w:rFonts w:ascii="Times New Roman" w:eastAsia="Times New Roman" w:hAnsi="Times New Roman"/>
          <w:bCs/>
          <w:sz w:val="22"/>
          <w:szCs w:val="22"/>
          <w:lang w:val="es-CR"/>
        </w:rPr>
      </w:pPr>
    </w:p>
    <w:p w14:paraId="637CA39D" w14:textId="77777777" w:rsidR="004741D6" w:rsidRPr="007D2BFE" w:rsidRDefault="004741D6" w:rsidP="005E1D63">
      <w:pPr>
        <w:pStyle w:val="Prrafodelista"/>
        <w:numPr>
          <w:ilvl w:val="0"/>
          <w:numId w:val="110"/>
        </w:numPr>
        <w:spacing w:after="120"/>
        <w:ind w:left="1843" w:right="288" w:hanging="142"/>
        <w:contextualSpacing w:val="0"/>
        <w:jc w:val="both"/>
        <w:rPr>
          <w:rFonts w:ascii="Arial" w:eastAsia="Arial" w:hAnsi="Arial"/>
          <w:bCs/>
          <w:sz w:val="22"/>
          <w:szCs w:val="22"/>
          <w:lang w:val="es-CR"/>
        </w:rPr>
      </w:pPr>
      <w:r w:rsidRPr="007D2BFE">
        <w:rPr>
          <w:rFonts w:ascii="Arial" w:eastAsia="Arial" w:hAnsi="Arial"/>
          <w:bCs/>
          <w:sz w:val="22"/>
          <w:szCs w:val="22"/>
          <w:lang w:val="es-CR"/>
        </w:rPr>
        <w:t>Costos legales y administrativos soportados en la creación de una entidad con personalidad jurídica.</w:t>
      </w:r>
    </w:p>
    <w:p w14:paraId="3F9DA882" w14:textId="77777777" w:rsidR="004741D6" w:rsidRPr="007D2BFE" w:rsidRDefault="004741D6" w:rsidP="005E1D63">
      <w:pPr>
        <w:pStyle w:val="Prrafodelista"/>
        <w:numPr>
          <w:ilvl w:val="0"/>
          <w:numId w:val="110"/>
        </w:numPr>
        <w:spacing w:after="120"/>
        <w:ind w:left="1843" w:hanging="142"/>
        <w:contextualSpacing w:val="0"/>
        <w:jc w:val="both"/>
        <w:rPr>
          <w:rFonts w:ascii="Arial" w:eastAsia="Arial" w:hAnsi="Arial"/>
          <w:bCs/>
          <w:sz w:val="22"/>
          <w:szCs w:val="22"/>
          <w:lang w:val="es-CR"/>
        </w:rPr>
      </w:pPr>
      <w:r w:rsidRPr="007D2BFE">
        <w:rPr>
          <w:rFonts w:ascii="Arial" w:eastAsia="Arial" w:hAnsi="Arial"/>
          <w:bCs/>
          <w:sz w:val="22"/>
          <w:szCs w:val="22"/>
          <w:lang w:val="es-CR"/>
        </w:rPr>
        <w:t>Costos de preapertura.</w:t>
      </w:r>
    </w:p>
    <w:p w14:paraId="1E566157" w14:textId="77777777" w:rsidR="004741D6" w:rsidRPr="007D2BFE" w:rsidRDefault="004741D6" w:rsidP="005E1D63">
      <w:pPr>
        <w:pStyle w:val="Prrafodelista"/>
        <w:numPr>
          <w:ilvl w:val="0"/>
          <w:numId w:val="110"/>
        </w:numPr>
        <w:spacing w:after="120"/>
        <w:ind w:left="1843" w:hanging="142"/>
        <w:contextualSpacing w:val="0"/>
        <w:jc w:val="both"/>
        <w:rPr>
          <w:rFonts w:ascii="Arial" w:eastAsia="Arial" w:hAnsi="Arial"/>
          <w:bCs/>
          <w:sz w:val="22"/>
          <w:szCs w:val="22"/>
          <w:lang w:val="es-CR"/>
        </w:rPr>
      </w:pPr>
      <w:r w:rsidRPr="007D2BFE">
        <w:rPr>
          <w:rFonts w:ascii="Arial" w:eastAsia="Arial" w:hAnsi="Arial"/>
          <w:bCs/>
          <w:sz w:val="22"/>
          <w:szCs w:val="22"/>
          <w:lang w:val="es-CR"/>
        </w:rPr>
        <w:t>Costos previos a la operación.</w:t>
      </w:r>
    </w:p>
    <w:p w14:paraId="72E0FF79" w14:textId="09DA7771" w:rsidR="004741D6" w:rsidRPr="007D2BFE" w:rsidRDefault="0021354A" w:rsidP="005E1D63">
      <w:pPr>
        <w:numPr>
          <w:ilvl w:val="0"/>
          <w:numId w:val="109"/>
        </w:numPr>
        <w:spacing w:after="120"/>
        <w:ind w:left="1418" w:hanging="284"/>
        <w:jc w:val="both"/>
        <w:rPr>
          <w:rFonts w:ascii="Arial" w:eastAsia="Arial" w:hAnsi="Arial"/>
          <w:bCs/>
          <w:sz w:val="22"/>
          <w:szCs w:val="22"/>
          <w:lang w:val="es-CR"/>
        </w:rPr>
      </w:pPr>
      <w:r w:rsidRPr="007D2BFE">
        <w:rPr>
          <w:rFonts w:ascii="Arial" w:eastAsia="Arial" w:hAnsi="Arial"/>
          <w:bCs/>
          <w:sz w:val="22"/>
          <w:szCs w:val="22"/>
          <w:lang w:val="es-CR"/>
        </w:rPr>
        <w:t>Dese</w:t>
      </w:r>
      <w:r>
        <w:rPr>
          <w:rFonts w:ascii="Arial" w:eastAsia="Arial" w:hAnsi="Arial"/>
          <w:bCs/>
          <w:sz w:val="22"/>
          <w:szCs w:val="22"/>
          <w:lang w:val="es-CR"/>
        </w:rPr>
        <w:t>mbo</w:t>
      </w:r>
      <w:r w:rsidRPr="007D2BFE">
        <w:rPr>
          <w:rFonts w:ascii="Arial" w:eastAsia="Arial" w:hAnsi="Arial"/>
          <w:bCs/>
          <w:sz w:val="22"/>
          <w:szCs w:val="22"/>
          <w:lang w:val="es-CR"/>
        </w:rPr>
        <w:t>lsos</w:t>
      </w:r>
      <w:r w:rsidR="004741D6" w:rsidRPr="007D2BFE">
        <w:rPr>
          <w:rFonts w:ascii="Arial" w:eastAsia="Arial" w:hAnsi="Arial"/>
          <w:bCs/>
          <w:sz w:val="22"/>
          <w:szCs w:val="22"/>
          <w:lang w:val="es-CR"/>
        </w:rPr>
        <w:t xml:space="preserve"> por actividades formativas (capacitación y </w:t>
      </w:r>
      <w:r w:rsidR="004741D6">
        <w:rPr>
          <w:rFonts w:ascii="Arial" w:eastAsia="Arial" w:hAnsi="Arial"/>
          <w:bCs/>
          <w:sz w:val="22"/>
          <w:szCs w:val="22"/>
          <w:lang w:val="es-CR"/>
        </w:rPr>
        <w:t>entrenamiento)</w:t>
      </w:r>
      <w:r w:rsidR="004741D6" w:rsidRPr="007D2BFE">
        <w:rPr>
          <w:rFonts w:ascii="Arial" w:eastAsia="Arial" w:hAnsi="Arial"/>
          <w:bCs/>
          <w:sz w:val="22"/>
          <w:szCs w:val="22"/>
          <w:lang w:val="es-CR"/>
        </w:rPr>
        <w:t>.</w:t>
      </w:r>
    </w:p>
    <w:p w14:paraId="3CB5BFFD" w14:textId="77777777" w:rsidR="004741D6" w:rsidRPr="007D2BFE" w:rsidRDefault="004741D6" w:rsidP="004741D6">
      <w:pPr>
        <w:spacing w:line="9" w:lineRule="exact"/>
        <w:ind w:left="1418" w:hanging="284"/>
        <w:jc w:val="both"/>
        <w:rPr>
          <w:rFonts w:ascii="Arial" w:eastAsia="Arial" w:hAnsi="Arial"/>
          <w:bCs/>
          <w:sz w:val="22"/>
          <w:szCs w:val="22"/>
          <w:lang w:val="es-CR"/>
        </w:rPr>
      </w:pPr>
    </w:p>
    <w:p w14:paraId="239330A4" w14:textId="0C3D9698" w:rsidR="004741D6" w:rsidRPr="007D2BFE" w:rsidRDefault="0021354A">
      <w:pPr>
        <w:numPr>
          <w:ilvl w:val="0"/>
          <w:numId w:val="109"/>
        </w:numPr>
        <w:spacing w:line="236" w:lineRule="auto"/>
        <w:ind w:left="1418" w:right="260" w:hanging="284"/>
        <w:jc w:val="both"/>
        <w:rPr>
          <w:rFonts w:ascii="Arial" w:eastAsia="Arial" w:hAnsi="Arial"/>
          <w:bCs/>
          <w:sz w:val="22"/>
          <w:szCs w:val="22"/>
          <w:lang w:val="es-CR"/>
        </w:rPr>
      </w:pPr>
      <w:r w:rsidRPr="007D2BFE">
        <w:rPr>
          <w:rFonts w:ascii="Arial" w:eastAsia="Arial" w:hAnsi="Arial"/>
          <w:bCs/>
          <w:sz w:val="22"/>
          <w:szCs w:val="22"/>
          <w:lang w:val="es-CR"/>
        </w:rPr>
        <w:t>Dese</w:t>
      </w:r>
      <w:r>
        <w:rPr>
          <w:rFonts w:ascii="Arial" w:eastAsia="Arial" w:hAnsi="Arial"/>
          <w:bCs/>
          <w:sz w:val="22"/>
          <w:szCs w:val="22"/>
          <w:lang w:val="es-CR"/>
        </w:rPr>
        <w:t>mbo</w:t>
      </w:r>
      <w:r w:rsidRPr="007D2BFE">
        <w:rPr>
          <w:rFonts w:ascii="Arial" w:eastAsia="Arial" w:hAnsi="Arial"/>
          <w:bCs/>
          <w:sz w:val="22"/>
          <w:szCs w:val="22"/>
          <w:lang w:val="es-CR"/>
        </w:rPr>
        <w:t>lsos</w:t>
      </w:r>
      <w:r w:rsidR="004741D6" w:rsidRPr="007D2BFE">
        <w:rPr>
          <w:rFonts w:ascii="Arial" w:eastAsia="Arial" w:hAnsi="Arial"/>
          <w:bCs/>
          <w:sz w:val="22"/>
          <w:szCs w:val="22"/>
          <w:lang w:val="es-CR"/>
        </w:rPr>
        <w:t xml:space="preserve"> por publicidad y actividades de promoción (incluyendo los catálogos para pedidos por correo panfletos informativos).</w:t>
      </w:r>
    </w:p>
    <w:p w14:paraId="60BDD459" w14:textId="77777777" w:rsidR="004741D6" w:rsidRPr="00627673" w:rsidRDefault="004741D6" w:rsidP="004741D6">
      <w:pPr>
        <w:spacing w:line="276" w:lineRule="exact"/>
        <w:rPr>
          <w:rFonts w:ascii="Times New Roman" w:eastAsia="Times New Roman" w:hAnsi="Times New Roman"/>
          <w:lang w:val="es-CR"/>
        </w:rPr>
      </w:pPr>
    </w:p>
    <w:p w14:paraId="6D885330" w14:textId="4F439210" w:rsidR="004741D6" w:rsidRDefault="004741D6" w:rsidP="004741D6">
      <w:pPr>
        <w:spacing w:line="236" w:lineRule="auto"/>
        <w:ind w:left="1134" w:right="280" w:hanging="1134"/>
        <w:jc w:val="both"/>
        <w:rPr>
          <w:rFonts w:ascii="Arial" w:eastAsia="Arial" w:hAnsi="Arial"/>
          <w:bCs/>
          <w:sz w:val="22"/>
          <w:szCs w:val="22"/>
          <w:lang w:val="es-CR"/>
        </w:rPr>
      </w:pPr>
      <w:r>
        <w:rPr>
          <w:rFonts w:ascii="Arial" w:eastAsia="Arial" w:hAnsi="Arial"/>
          <w:bCs/>
          <w:sz w:val="22"/>
          <w:szCs w:val="22"/>
          <w:lang w:val="es-CR"/>
        </w:rPr>
        <w:t>1.247.1.01</w:t>
      </w:r>
      <w:r>
        <w:rPr>
          <w:rFonts w:ascii="Arial" w:eastAsia="Arial" w:hAnsi="Arial"/>
          <w:bCs/>
          <w:sz w:val="22"/>
          <w:szCs w:val="22"/>
          <w:lang w:val="es-CR"/>
        </w:rPr>
        <w:tab/>
      </w:r>
      <w:r w:rsidRPr="007D2BFE">
        <w:rPr>
          <w:rFonts w:ascii="Arial" w:eastAsia="Arial" w:hAnsi="Arial"/>
          <w:bCs/>
          <w:sz w:val="22"/>
          <w:szCs w:val="22"/>
          <w:lang w:val="es-CR"/>
        </w:rPr>
        <w:t xml:space="preserve">Los </w:t>
      </w:r>
      <w:r w:rsidR="0021354A" w:rsidRPr="007D2BFE">
        <w:rPr>
          <w:rFonts w:ascii="Arial" w:eastAsia="Arial" w:hAnsi="Arial"/>
          <w:bCs/>
          <w:sz w:val="22"/>
          <w:szCs w:val="22"/>
          <w:lang w:val="es-CR"/>
        </w:rPr>
        <w:t>dese</w:t>
      </w:r>
      <w:r w:rsidR="0021354A">
        <w:rPr>
          <w:rFonts w:ascii="Arial" w:eastAsia="Arial" w:hAnsi="Arial"/>
          <w:bCs/>
          <w:sz w:val="22"/>
          <w:szCs w:val="22"/>
          <w:lang w:val="es-CR"/>
        </w:rPr>
        <w:t>mbo</w:t>
      </w:r>
      <w:r w:rsidR="0021354A" w:rsidRPr="007D2BFE">
        <w:rPr>
          <w:rFonts w:ascii="Arial" w:eastAsia="Arial" w:hAnsi="Arial"/>
          <w:bCs/>
          <w:sz w:val="22"/>
          <w:szCs w:val="22"/>
          <w:lang w:val="es-CR"/>
        </w:rPr>
        <w:t>lsos</w:t>
      </w:r>
      <w:r w:rsidRPr="007D2BFE">
        <w:rPr>
          <w:rFonts w:ascii="Arial" w:eastAsia="Arial" w:hAnsi="Arial"/>
          <w:bCs/>
          <w:sz w:val="22"/>
          <w:szCs w:val="22"/>
          <w:lang w:val="es-CR"/>
        </w:rPr>
        <w:t xml:space="preserve"> </w:t>
      </w:r>
      <w:r>
        <w:rPr>
          <w:rFonts w:ascii="Arial" w:eastAsia="Arial" w:hAnsi="Arial"/>
          <w:bCs/>
          <w:sz w:val="22"/>
          <w:szCs w:val="22"/>
          <w:lang w:val="es-CR"/>
        </w:rPr>
        <w:t>relacionados con</w:t>
      </w:r>
      <w:r w:rsidRPr="007D2BFE">
        <w:rPr>
          <w:rFonts w:ascii="Arial" w:eastAsia="Arial" w:hAnsi="Arial"/>
          <w:bCs/>
          <w:sz w:val="22"/>
          <w:szCs w:val="22"/>
          <w:lang w:val="es-CR"/>
        </w:rPr>
        <w:t xml:space="preserve"> una partida intangible reconocidos inicialmente como un gasto, no se podrán reconocer posteriormente como parte del costo de un activo intangible.</w:t>
      </w:r>
    </w:p>
    <w:p w14:paraId="421424A6" w14:textId="77777777" w:rsidR="004741D6" w:rsidRPr="007D2BFE" w:rsidRDefault="004741D6" w:rsidP="004741D6">
      <w:pPr>
        <w:spacing w:line="236" w:lineRule="auto"/>
        <w:ind w:left="1134" w:right="280" w:hanging="1134"/>
        <w:jc w:val="both"/>
        <w:rPr>
          <w:rFonts w:ascii="Arial" w:eastAsia="Arial" w:hAnsi="Arial"/>
          <w:bCs/>
          <w:sz w:val="22"/>
          <w:szCs w:val="22"/>
          <w:lang w:val="es-CR"/>
        </w:rPr>
      </w:pPr>
    </w:p>
    <w:p w14:paraId="21EC581E" w14:textId="77777777" w:rsidR="004741D6" w:rsidRPr="00627673" w:rsidRDefault="004741D6" w:rsidP="004741D6">
      <w:pPr>
        <w:spacing w:line="292" w:lineRule="exact"/>
        <w:rPr>
          <w:rFonts w:ascii="Times New Roman" w:eastAsia="Times New Roman" w:hAnsi="Times New Roman"/>
          <w:lang w:val="es-CR"/>
        </w:rPr>
      </w:pPr>
    </w:p>
    <w:tbl>
      <w:tblPr>
        <w:tblW w:w="9062" w:type="dxa"/>
        <w:tblLook w:val="04A0" w:firstRow="1" w:lastRow="0" w:firstColumn="1" w:lastColumn="0" w:noHBand="0" w:noVBand="1"/>
      </w:tblPr>
      <w:tblGrid>
        <w:gridCol w:w="549"/>
        <w:gridCol w:w="617"/>
        <w:gridCol w:w="505"/>
        <w:gridCol w:w="2997"/>
        <w:gridCol w:w="2552"/>
        <w:gridCol w:w="1842"/>
      </w:tblGrid>
      <w:tr w:rsidR="004741D6" w:rsidRPr="00B64256" w14:paraId="020CDC03" w14:textId="77777777" w:rsidTr="00D16719">
        <w:trPr>
          <w:trHeight w:val="330"/>
        </w:trPr>
        <w:tc>
          <w:tcPr>
            <w:tcW w:w="167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2FD3E29" w14:textId="77777777" w:rsidR="004741D6" w:rsidRPr="00B64256" w:rsidRDefault="004741D6" w:rsidP="00D16719">
            <w:pPr>
              <w:jc w:val="center"/>
              <w:rPr>
                <w:rFonts w:ascii="Arial Narrow" w:eastAsia="Times New Roman" w:hAnsi="Arial Narrow"/>
                <w:b/>
                <w:bCs/>
                <w:color w:val="FFFFFF"/>
                <w:sz w:val="22"/>
                <w:szCs w:val="22"/>
              </w:rPr>
            </w:pPr>
            <w:r w:rsidRPr="00B64256">
              <w:rPr>
                <w:rFonts w:ascii="Arial Narrow" w:eastAsia="Times New Roman" w:hAnsi="Arial Narrow"/>
                <w:b/>
                <w:bCs/>
                <w:color w:val="FFFFFF"/>
                <w:sz w:val="22"/>
                <w:szCs w:val="22"/>
              </w:rPr>
              <w:t>Norma / Política</w:t>
            </w:r>
          </w:p>
        </w:tc>
        <w:tc>
          <w:tcPr>
            <w:tcW w:w="2997" w:type="dxa"/>
            <w:vMerge w:val="restart"/>
            <w:tcBorders>
              <w:top w:val="single" w:sz="8" w:space="0" w:color="auto"/>
              <w:left w:val="single" w:sz="8" w:space="0" w:color="auto"/>
              <w:bottom w:val="nil"/>
              <w:right w:val="single" w:sz="8" w:space="0" w:color="auto"/>
            </w:tcBorders>
            <w:shd w:val="clear" w:color="000000" w:fill="203764"/>
            <w:vAlign w:val="center"/>
            <w:hideMark/>
          </w:tcPr>
          <w:p w14:paraId="48465468" w14:textId="77777777" w:rsidR="004741D6" w:rsidRPr="00B64256" w:rsidRDefault="004741D6" w:rsidP="00D16719">
            <w:pPr>
              <w:jc w:val="center"/>
              <w:rPr>
                <w:rFonts w:ascii="Arial Narrow" w:eastAsia="Times New Roman" w:hAnsi="Arial Narrow"/>
                <w:b/>
                <w:bCs/>
                <w:color w:val="FFFFFF"/>
                <w:sz w:val="22"/>
                <w:szCs w:val="22"/>
              </w:rPr>
            </w:pPr>
            <w:r w:rsidRPr="00B64256">
              <w:rPr>
                <w:rFonts w:ascii="Arial Narrow" w:eastAsia="Times New Roman" w:hAnsi="Arial Narrow"/>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4D20E563" w14:textId="77777777" w:rsidR="004741D6" w:rsidRPr="00B64256" w:rsidRDefault="004741D6" w:rsidP="00D16719">
            <w:pPr>
              <w:jc w:val="center"/>
              <w:rPr>
                <w:rFonts w:ascii="Arial Narrow" w:eastAsia="Times New Roman" w:hAnsi="Arial Narrow"/>
                <w:b/>
                <w:bCs/>
                <w:color w:val="FFFFFF"/>
                <w:sz w:val="22"/>
                <w:szCs w:val="22"/>
              </w:rPr>
            </w:pPr>
            <w:r w:rsidRPr="00B64256">
              <w:rPr>
                <w:rFonts w:ascii="Arial Narrow" w:eastAsia="Times New Roman" w:hAnsi="Arial Narrow"/>
                <w:b/>
                <w:bCs/>
                <w:color w:val="FFFFFF"/>
                <w:sz w:val="22"/>
                <w:szCs w:val="22"/>
              </w:rPr>
              <w:t>Referencia</w:t>
            </w:r>
          </w:p>
        </w:tc>
      </w:tr>
      <w:tr w:rsidR="004741D6" w:rsidRPr="006E5442" w14:paraId="77439E22" w14:textId="77777777" w:rsidTr="00D16719">
        <w:trPr>
          <w:trHeight w:val="712"/>
        </w:trPr>
        <w:tc>
          <w:tcPr>
            <w:tcW w:w="1671" w:type="dxa"/>
            <w:gridSpan w:val="3"/>
            <w:vMerge/>
            <w:tcBorders>
              <w:top w:val="single" w:sz="8" w:space="0" w:color="auto"/>
              <w:left w:val="single" w:sz="8" w:space="0" w:color="auto"/>
              <w:bottom w:val="nil"/>
              <w:right w:val="single" w:sz="8" w:space="0" w:color="000000"/>
            </w:tcBorders>
            <w:vAlign w:val="center"/>
            <w:hideMark/>
          </w:tcPr>
          <w:p w14:paraId="426118C9" w14:textId="77777777" w:rsidR="004741D6" w:rsidRPr="00B64256" w:rsidRDefault="004741D6" w:rsidP="00D16719">
            <w:pPr>
              <w:rPr>
                <w:rFonts w:ascii="Arial Narrow" w:eastAsia="Times New Roman" w:hAnsi="Arial Narrow"/>
                <w:b/>
                <w:bCs/>
                <w:color w:val="FFFFFF"/>
                <w:sz w:val="22"/>
                <w:szCs w:val="22"/>
              </w:rPr>
            </w:pPr>
          </w:p>
        </w:tc>
        <w:tc>
          <w:tcPr>
            <w:tcW w:w="2997" w:type="dxa"/>
            <w:vMerge/>
            <w:tcBorders>
              <w:top w:val="single" w:sz="8" w:space="0" w:color="auto"/>
              <w:left w:val="single" w:sz="8" w:space="0" w:color="auto"/>
              <w:bottom w:val="nil"/>
              <w:right w:val="single" w:sz="8" w:space="0" w:color="auto"/>
            </w:tcBorders>
            <w:vAlign w:val="center"/>
            <w:hideMark/>
          </w:tcPr>
          <w:p w14:paraId="2200AB9E" w14:textId="77777777" w:rsidR="004741D6" w:rsidRPr="00B64256" w:rsidRDefault="004741D6" w:rsidP="00D16719">
            <w:pPr>
              <w:rPr>
                <w:rFonts w:ascii="Arial Narrow" w:eastAsia="Times New Roman" w:hAnsi="Arial Narrow"/>
                <w:b/>
                <w:bCs/>
                <w:color w:val="FFFFFF"/>
                <w:sz w:val="22"/>
                <w:szCs w:val="22"/>
              </w:rPr>
            </w:pPr>
          </w:p>
        </w:tc>
        <w:tc>
          <w:tcPr>
            <w:tcW w:w="2552" w:type="dxa"/>
            <w:tcBorders>
              <w:top w:val="nil"/>
              <w:left w:val="nil"/>
              <w:bottom w:val="nil"/>
              <w:right w:val="single" w:sz="8" w:space="0" w:color="auto"/>
            </w:tcBorders>
            <w:shd w:val="clear" w:color="000000" w:fill="203764"/>
            <w:vAlign w:val="center"/>
            <w:hideMark/>
          </w:tcPr>
          <w:p w14:paraId="0EC499A7" w14:textId="77777777" w:rsidR="004741D6" w:rsidRPr="00B64256" w:rsidRDefault="004741D6" w:rsidP="00D16719">
            <w:pPr>
              <w:jc w:val="center"/>
              <w:rPr>
                <w:rFonts w:ascii="Arial Narrow" w:eastAsia="Times New Roman" w:hAnsi="Arial Narrow"/>
                <w:b/>
                <w:bCs/>
                <w:color w:val="FFFFFF"/>
                <w:sz w:val="22"/>
                <w:szCs w:val="22"/>
              </w:rPr>
            </w:pPr>
            <w:r w:rsidRPr="00B64256">
              <w:rPr>
                <w:rFonts w:ascii="Arial Narrow" w:eastAsia="Times New Roman" w:hAnsi="Arial Narrow"/>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27475990" w14:textId="77777777" w:rsidR="004741D6" w:rsidRPr="00B64256" w:rsidRDefault="004741D6" w:rsidP="00D16719">
            <w:pPr>
              <w:jc w:val="center"/>
              <w:rPr>
                <w:rFonts w:ascii="Arial Narrow" w:eastAsia="Times New Roman" w:hAnsi="Arial Narrow"/>
                <w:b/>
                <w:bCs/>
                <w:color w:val="FFFFFF"/>
                <w:sz w:val="22"/>
                <w:szCs w:val="22"/>
                <w:lang w:val="es-CR"/>
              </w:rPr>
            </w:pPr>
            <w:r w:rsidRPr="00B64256">
              <w:rPr>
                <w:rFonts w:ascii="Arial Narrow" w:eastAsia="Times New Roman" w:hAnsi="Arial Narrow"/>
                <w:b/>
                <w:bCs/>
                <w:color w:val="FFFFFF"/>
                <w:sz w:val="22"/>
                <w:szCs w:val="22"/>
                <w:lang w:val="es-CR"/>
              </w:rPr>
              <w:t>Normativa técnica y disposiciones adicionales</w:t>
            </w:r>
          </w:p>
        </w:tc>
      </w:tr>
      <w:tr w:rsidR="004741D6" w:rsidRPr="00B64256" w14:paraId="799BDB22" w14:textId="77777777" w:rsidTr="00D16719">
        <w:trPr>
          <w:trHeight w:val="496"/>
        </w:trPr>
        <w:tc>
          <w:tcPr>
            <w:tcW w:w="5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1680B9"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12553B83"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248</w:t>
            </w:r>
          </w:p>
        </w:tc>
        <w:tc>
          <w:tcPr>
            <w:tcW w:w="505" w:type="dxa"/>
            <w:tcBorders>
              <w:top w:val="single" w:sz="8" w:space="0" w:color="auto"/>
              <w:left w:val="nil"/>
              <w:bottom w:val="single" w:sz="8" w:space="0" w:color="auto"/>
              <w:right w:val="single" w:sz="8" w:space="0" w:color="auto"/>
            </w:tcBorders>
            <w:shd w:val="clear" w:color="auto" w:fill="auto"/>
            <w:vAlign w:val="center"/>
            <w:hideMark/>
          </w:tcPr>
          <w:p w14:paraId="6AD8BF45"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 </w:t>
            </w:r>
          </w:p>
        </w:tc>
        <w:tc>
          <w:tcPr>
            <w:tcW w:w="2997" w:type="dxa"/>
            <w:tcBorders>
              <w:top w:val="single" w:sz="8" w:space="0" w:color="auto"/>
              <w:left w:val="nil"/>
              <w:bottom w:val="single" w:sz="8" w:space="0" w:color="auto"/>
              <w:right w:val="single" w:sz="8" w:space="0" w:color="auto"/>
            </w:tcBorders>
            <w:shd w:val="clear" w:color="auto" w:fill="auto"/>
            <w:vAlign w:val="center"/>
            <w:hideMark/>
          </w:tcPr>
          <w:p w14:paraId="182E9A21" w14:textId="77777777" w:rsidR="004741D6" w:rsidRPr="00B64256" w:rsidRDefault="004741D6" w:rsidP="00D16719">
            <w:pPr>
              <w:jc w:val="both"/>
              <w:rPr>
                <w:rFonts w:ascii="Arial Narrow" w:eastAsia="Times New Roman" w:hAnsi="Arial Narrow"/>
                <w:b/>
                <w:bCs/>
                <w:color w:val="000000"/>
                <w:sz w:val="22"/>
                <w:szCs w:val="22"/>
                <w:lang w:val="es-CR"/>
              </w:rPr>
            </w:pPr>
            <w:r w:rsidRPr="00B64256">
              <w:rPr>
                <w:rFonts w:ascii="Arial Narrow" w:eastAsia="Times New Roman" w:hAnsi="Arial Narrow"/>
                <w:b/>
                <w:bCs/>
                <w:color w:val="000000"/>
                <w:sz w:val="22"/>
                <w:szCs w:val="22"/>
                <w:lang w:val="es-CR"/>
              </w:rPr>
              <w:t>Anticipos vinculados a activos intangibles</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4EDB925E" w14:textId="77777777" w:rsidR="004741D6" w:rsidRPr="00B64256" w:rsidRDefault="004741D6" w:rsidP="005E1D63">
            <w:pPr>
              <w:jc w:val="both"/>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 xml:space="preserve">NICSP Nº 31, </w:t>
            </w:r>
          </w:p>
          <w:p w14:paraId="588B0AB2" w14:textId="77777777" w:rsidR="004741D6" w:rsidRPr="00B64256" w:rsidRDefault="004741D6" w:rsidP="005E1D63">
            <w:pPr>
              <w:jc w:val="both"/>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 xml:space="preserve">Párrafos 66, 67 y 69. </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692633BD" w14:textId="77777777" w:rsidR="004741D6" w:rsidRPr="00B64256" w:rsidRDefault="004741D6" w:rsidP="00D16719">
            <w:pPr>
              <w:jc w:val="center"/>
              <w:rPr>
                <w:rFonts w:ascii="Arial Narrow" w:eastAsia="Times New Roman" w:hAnsi="Arial Narrow"/>
                <w:b/>
                <w:bCs/>
                <w:color w:val="000000"/>
                <w:sz w:val="22"/>
                <w:szCs w:val="22"/>
              </w:rPr>
            </w:pPr>
            <w:r w:rsidRPr="00B64256">
              <w:rPr>
                <w:rFonts w:ascii="Arial Narrow" w:eastAsia="Times New Roman" w:hAnsi="Arial Narrow"/>
                <w:b/>
                <w:bCs/>
                <w:color w:val="000000"/>
                <w:sz w:val="22"/>
                <w:szCs w:val="22"/>
              </w:rPr>
              <w:t xml:space="preserve"> </w:t>
            </w:r>
          </w:p>
        </w:tc>
      </w:tr>
    </w:tbl>
    <w:p w14:paraId="6B32A2C2" w14:textId="77777777" w:rsidR="004741D6" w:rsidRDefault="004741D6" w:rsidP="004741D6">
      <w:pPr>
        <w:spacing w:line="238" w:lineRule="auto"/>
        <w:ind w:left="1134" w:right="260" w:hanging="1134"/>
        <w:jc w:val="both"/>
        <w:rPr>
          <w:rFonts w:ascii="Arial Narrow" w:eastAsia="Arial" w:hAnsi="Arial Narrow"/>
          <w:b/>
          <w:sz w:val="22"/>
          <w:szCs w:val="22"/>
          <w:lang w:val="es-CR"/>
        </w:rPr>
      </w:pPr>
    </w:p>
    <w:p w14:paraId="580BABA4" w14:textId="10A88CC0" w:rsidR="005E1D63" w:rsidRDefault="005E1D63" w:rsidP="004741D6">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386625F2" w14:textId="77777777" w:rsidR="005E1D63" w:rsidRDefault="005E1D63" w:rsidP="004741D6">
      <w:pPr>
        <w:spacing w:line="238" w:lineRule="auto"/>
        <w:ind w:left="1134" w:right="260" w:hanging="1134"/>
        <w:jc w:val="both"/>
        <w:rPr>
          <w:rFonts w:ascii="Arial Narrow" w:eastAsia="Arial" w:hAnsi="Arial Narrow"/>
          <w:b/>
          <w:sz w:val="22"/>
          <w:szCs w:val="22"/>
          <w:lang w:val="es-CR"/>
        </w:rPr>
      </w:pPr>
    </w:p>
    <w:p w14:paraId="109ACC9D" w14:textId="77777777" w:rsidR="004741D6" w:rsidRPr="00B64256" w:rsidRDefault="004741D6" w:rsidP="004741D6">
      <w:pPr>
        <w:spacing w:line="238" w:lineRule="auto"/>
        <w:ind w:left="1134" w:right="260" w:hanging="1134"/>
        <w:jc w:val="both"/>
        <w:rPr>
          <w:rFonts w:ascii="Arial" w:eastAsia="Arial" w:hAnsi="Arial"/>
          <w:b/>
          <w:sz w:val="22"/>
          <w:szCs w:val="22"/>
          <w:lang w:val="es-CR"/>
        </w:rPr>
      </w:pPr>
      <w:r>
        <w:rPr>
          <w:rFonts w:ascii="Arial" w:hAnsi="Arial"/>
          <w:sz w:val="22"/>
          <w:szCs w:val="22"/>
          <w:lang w:val="es-CR"/>
        </w:rPr>
        <w:t>1.248.0.01</w:t>
      </w:r>
      <w:r>
        <w:rPr>
          <w:rFonts w:ascii="Arial" w:hAnsi="Arial"/>
          <w:sz w:val="22"/>
          <w:szCs w:val="22"/>
          <w:lang w:val="es-CR"/>
        </w:rPr>
        <w:tab/>
      </w:r>
      <w:r w:rsidRPr="00B64256">
        <w:rPr>
          <w:rFonts w:ascii="Arial" w:hAnsi="Arial"/>
          <w:sz w:val="22"/>
          <w:szCs w:val="22"/>
          <w:lang w:val="es-CR"/>
        </w:rPr>
        <w:t>Los pagos anticipados por bienes y/o servicios aún no recibidos, relacionados con activos intangibles, se reconocerán como activos</w:t>
      </w:r>
      <w:r>
        <w:rPr>
          <w:rFonts w:ascii="Arial" w:hAnsi="Arial"/>
          <w:sz w:val="22"/>
          <w:szCs w:val="22"/>
          <w:lang w:val="es-CR"/>
        </w:rPr>
        <w:t xml:space="preserve"> -Cuentas por cobrar a corto plazo-</w:t>
      </w:r>
      <w:r w:rsidRPr="00B64256">
        <w:rPr>
          <w:rFonts w:ascii="Arial" w:hAnsi="Arial"/>
          <w:sz w:val="22"/>
          <w:szCs w:val="22"/>
          <w:lang w:val="es-CR"/>
        </w:rPr>
        <w:t xml:space="preserve"> (</w:t>
      </w:r>
      <w:r w:rsidRPr="00EE186B">
        <w:rPr>
          <w:rFonts w:ascii="Arial" w:hAnsi="Arial"/>
          <w:sz w:val="22"/>
          <w:szCs w:val="22"/>
          <w:lang w:val="es-CR"/>
        </w:rPr>
        <w:t>Anticipos a proveedores y contratistas del país c/p</w:t>
      </w:r>
      <w:r>
        <w:rPr>
          <w:rFonts w:ascii="Arial" w:hAnsi="Arial"/>
          <w:sz w:val="22"/>
          <w:szCs w:val="22"/>
          <w:lang w:val="es-CR"/>
        </w:rPr>
        <w:t xml:space="preserve"> o </w:t>
      </w:r>
      <w:r w:rsidRPr="00EE186B">
        <w:rPr>
          <w:rFonts w:ascii="Arial" w:hAnsi="Arial"/>
          <w:sz w:val="22"/>
          <w:szCs w:val="22"/>
          <w:lang w:val="es-CR"/>
        </w:rPr>
        <w:t>del exterior</w:t>
      </w:r>
      <w:r>
        <w:rPr>
          <w:rFonts w:ascii="Arial" w:hAnsi="Arial"/>
          <w:sz w:val="22"/>
          <w:szCs w:val="22"/>
          <w:lang w:val="es-CR"/>
        </w:rPr>
        <w:t>, según corresponda</w:t>
      </w:r>
      <w:r w:rsidRPr="00B64256">
        <w:rPr>
          <w:rFonts w:ascii="Arial" w:hAnsi="Arial"/>
          <w:sz w:val="22"/>
          <w:szCs w:val="22"/>
          <w:lang w:val="es-CR"/>
        </w:rPr>
        <w:t>)</w:t>
      </w:r>
      <w:r>
        <w:rPr>
          <w:rFonts w:ascii="Arial" w:hAnsi="Arial"/>
          <w:sz w:val="22"/>
          <w:szCs w:val="22"/>
          <w:lang w:val="es-CR"/>
        </w:rPr>
        <w:t>,</w:t>
      </w:r>
      <w:r w:rsidRPr="00B64256">
        <w:rPr>
          <w:rFonts w:ascii="Arial" w:hAnsi="Arial"/>
          <w:sz w:val="22"/>
          <w:szCs w:val="22"/>
          <w:lang w:val="es-CR"/>
        </w:rPr>
        <w:t xml:space="preserve"> hasta tanto se reciban los bienes y/o servicios contratados, en cuyo momento pasarán a formar parte del costo de los activos intangibles</w:t>
      </w:r>
      <w:r>
        <w:rPr>
          <w:rFonts w:ascii="Arial" w:hAnsi="Arial"/>
          <w:sz w:val="22"/>
          <w:szCs w:val="22"/>
          <w:lang w:val="es-CR"/>
        </w:rPr>
        <w:t>. Aquellos que n</w:t>
      </w:r>
      <w:r w:rsidRPr="00B64256">
        <w:rPr>
          <w:rFonts w:ascii="Arial" w:hAnsi="Arial"/>
          <w:sz w:val="22"/>
          <w:szCs w:val="22"/>
          <w:lang w:val="es-CR"/>
        </w:rPr>
        <w:t xml:space="preserve">o </w:t>
      </w:r>
      <w:r>
        <w:rPr>
          <w:rFonts w:ascii="Arial" w:hAnsi="Arial"/>
          <w:sz w:val="22"/>
          <w:szCs w:val="22"/>
          <w:lang w:val="es-CR"/>
        </w:rPr>
        <w:t xml:space="preserve">cumplan con los criterios para ser reconocidos como parte del activo </w:t>
      </w:r>
      <w:r w:rsidRPr="00B64256">
        <w:rPr>
          <w:rFonts w:ascii="Arial" w:hAnsi="Arial"/>
          <w:sz w:val="22"/>
          <w:szCs w:val="22"/>
          <w:lang w:val="es-CR"/>
        </w:rPr>
        <w:t xml:space="preserve">se </w:t>
      </w:r>
      <w:r>
        <w:rPr>
          <w:rFonts w:ascii="Arial" w:hAnsi="Arial"/>
          <w:sz w:val="22"/>
          <w:szCs w:val="22"/>
          <w:lang w:val="es-CR"/>
        </w:rPr>
        <w:t>regis</w:t>
      </w:r>
      <w:r w:rsidRPr="00B64256">
        <w:rPr>
          <w:rFonts w:ascii="Arial" w:hAnsi="Arial"/>
          <w:sz w:val="22"/>
          <w:szCs w:val="22"/>
          <w:lang w:val="es-CR"/>
        </w:rPr>
        <w:t>t</w:t>
      </w:r>
      <w:r>
        <w:rPr>
          <w:rFonts w:ascii="Arial" w:hAnsi="Arial"/>
          <w:sz w:val="22"/>
          <w:szCs w:val="22"/>
          <w:lang w:val="es-CR"/>
        </w:rPr>
        <w:t>r</w:t>
      </w:r>
      <w:r w:rsidRPr="00B64256">
        <w:rPr>
          <w:rFonts w:ascii="Arial" w:hAnsi="Arial"/>
          <w:sz w:val="22"/>
          <w:szCs w:val="22"/>
          <w:lang w:val="es-CR"/>
        </w:rPr>
        <w:t xml:space="preserve">arán </w:t>
      </w:r>
      <w:r>
        <w:rPr>
          <w:rFonts w:ascii="Arial" w:hAnsi="Arial"/>
          <w:sz w:val="22"/>
          <w:szCs w:val="22"/>
          <w:lang w:val="es-CR"/>
        </w:rPr>
        <w:t>como</w:t>
      </w:r>
      <w:r w:rsidRPr="00B64256">
        <w:rPr>
          <w:rFonts w:ascii="Arial" w:hAnsi="Arial"/>
          <w:sz w:val="22"/>
          <w:szCs w:val="22"/>
          <w:lang w:val="es-CR"/>
        </w:rPr>
        <w:t xml:space="preserve"> gastos del período.</w:t>
      </w:r>
    </w:p>
    <w:p w14:paraId="23D6E79B" w14:textId="77777777" w:rsidR="00FD3B47" w:rsidRDefault="00FD3B47" w:rsidP="00FD3B47">
      <w:pPr>
        <w:spacing w:line="238" w:lineRule="auto"/>
        <w:ind w:right="260"/>
        <w:jc w:val="both"/>
        <w:rPr>
          <w:rFonts w:ascii="Arial Narrow" w:eastAsia="Arial" w:hAnsi="Arial Narrow"/>
          <w:b/>
          <w:sz w:val="22"/>
          <w:szCs w:val="22"/>
          <w:lang w:val="es-CR"/>
        </w:rPr>
      </w:pPr>
    </w:p>
    <w:p w14:paraId="067FF14A"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tbl>
      <w:tblPr>
        <w:tblW w:w="8880" w:type="dxa"/>
        <w:tblLook w:val="04A0" w:firstRow="1" w:lastRow="0" w:firstColumn="1" w:lastColumn="0" w:noHBand="0" w:noVBand="1"/>
      </w:tblPr>
      <w:tblGrid>
        <w:gridCol w:w="562"/>
        <w:gridCol w:w="517"/>
        <w:gridCol w:w="541"/>
        <w:gridCol w:w="2837"/>
        <w:gridCol w:w="2340"/>
        <w:gridCol w:w="2083"/>
      </w:tblGrid>
      <w:tr w:rsidR="00FD3B47" w:rsidRPr="004C1A1D" w14:paraId="2C004375" w14:textId="77777777" w:rsidTr="00D16719">
        <w:trPr>
          <w:trHeight w:val="320"/>
        </w:trPr>
        <w:tc>
          <w:tcPr>
            <w:tcW w:w="162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5585E66" w14:textId="77777777" w:rsidR="00FD3B47" w:rsidRPr="004C1A1D" w:rsidRDefault="00FD3B47" w:rsidP="00D16719">
            <w:pPr>
              <w:jc w:val="center"/>
              <w:rPr>
                <w:rFonts w:ascii="Arial Narrow" w:eastAsia="Times New Roman" w:hAnsi="Arial Narrow"/>
                <w:b/>
                <w:bCs/>
                <w:color w:val="FFFFFF"/>
                <w:sz w:val="22"/>
                <w:szCs w:val="22"/>
              </w:rPr>
            </w:pPr>
            <w:r w:rsidRPr="004C1A1D">
              <w:rPr>
                <w:rFonts w:ascii="Arial Narrow" w:eastAsia="Times New Roman" w:hAnsi="Arial Narrow"/>
                <w:b/>
                <w:bCs/>
                <w:color w:val="FFFFFF"/>
                <w:sz w:val="22"/>
                <w:szCs w:val="22"/>
              </w:rPr>
              <w:t>Norma / Política</w:t>
            </w:r>
          </w:p>
        </w:tc>
        <w:tc>
          <w:tcPr>
            <w:tcW w:w="2837" w:type="dxa"/>
            <w:vMerge w:val="restart"/>
            <w:tcBorders>
              <w:top w:val="single" w:sz="8" w:space="0" w:color="auto"/>
              <w:left w:val="single" w:sz="8" w:space="0" w:color="auto"/>
              <w:bottom w:val="nil"/>
              <w:right w:val="single" w:sz="8" w:space="0" w:color="auto"/>
            </w:tcBorders>
            <w:shd w:val="clear" w:color="000000" w:fill="203764"/>
            <w:vAlign w:val="center"/>
            <w:hideMark/>
          </w:tcPr>
          <w:p w14:paraId="5A2A69F0" w14:textId="77777777" w:rsidR="00FD3B47" w:rsidRPr="004C1A1D" w:rsidRDefault="00FD3B47" w:rsidP="00D16719">
            <w:pPr>
              <w:jc w:val="center"/>
              <w:rPr>
                <w:rFonts w:ascii="Arial Narrow" w:eastAsia="Times New Roman" w:hAnsi="Arial Narrow"/>
                <w:b/>
                <w:bCs/>
                <w:color w:val="FFFFFF"/>
                <w:sz w:val="22"/>
                <w:szCs w:val="22"/>
              </w:rPr>
            </w:pPr>
            <w:r w:rsidRPr="004C1A1D">
              <w:rPr>
                <w:rFonts w:ascii="Arial Narrow" w:eastAsia="Times New Roman" w:hAnsi="Arial Narrow"/>
                <w:b/>
                <w:bCs/>
                <w:color w:val="FFFFFF"/>
                <w:sz w:val="22"/>
                <w:szCs w:val="22"/>
              </w:rPr>
              <w:t>Concepto</w:t>
            </w:r>
          </w:p>
        </w:tc>
        <w:tc>
          <w:tcPr>
            <w:tcW w:w="4423" w:type="dxa"/>
            <w:gridSpan w:val="2"/>
            <w:tcBorders>
              <w:top w:val="single" w:sz="8" w:space="0" w:color="auto"/>
              <w:left w:val="nil"/>
              <w:bottom w:val="single" w:sz="8" w:space="0" w:color="auto"/>
              <w:right w:val="single" w:sz="8" w:space="0" w:color="000000"/>
            </w:tcBorders>
            <w:shd w:val="clear" w:color="000000" w:fill="203764"/>
            <w:vAlign w:val="center"/>
            <w:hideMark/>
          </w:tcPr>
          <w:p w14:paraId="282EF1D5" w14:textId="77777777" w:rsidR="00FD3B47" w:rsidRPr="004C1A1D" w:rsidRDefault="00FD3B47" w:rsidP="00D16719">
            <w:pPr>
              <w:jc w:val="center"/>
              <w:rPr>
                <w:rFonts w:ascii="Arial Narrow" w:eastAsia="Times New Roman" w:hAnsi="Arial Narrow"/>
                <w:b/>
                <w:bCs/>
                <w:color w:val="FFFFFF"/>
                <w:sz w:val="22"/>
                <w:szCs w:val="22"/>
              </w:rPr>
            </w:pPr>
            <w:r w:rsidRPr="004C1A1D">
              <w:rPr>
                <w:rFonts w:ascii="Arial Narrow" w:eastAsia="Times New Roman" w:hAnsi="Arial Narrow"/>
                <w:b/>
                <w:bCs/>
                <w:color w:val="FFFFFF"/>
                <w:sz w:val="22"/>
                <w:szCs w:val="22"/>
              </w:rPr>
              <w:t>Referencia</w:t>
            </w:r>
          </w:p>
        </w:tc>
      </w:tr>
      <w:tr w:rsidR="00FD3B47" w:rsidRPr="006E5442" w14:paraId="3967B648" w14:textId="77777777" w:rsidTr="00D16719">
        <w:trPr>
          <w:trHeight w:val="320"/>
        </w:trPr>
        <w:tc>
          <w:tcPr>
            <w:tcW w:w="1620" w:type="dxa"/>
            <w:gridSpan w:val="3"/>
            <w:vMerge/>
            <w:tcBorders>
              <w:top w:val="single" w:sz="8" w:space="0" w:color="auto"/>
              <w:left w:val="single" w:sz="8" w:space="0" w:color="auto"/>
              <w:bottom w:val="nil"/>
              <w:right w:val="single" w:sz="8" w:space="0" w:color="000000"/>
            </w:tcBorders>
            <w:vAlign w:val="center"/>
            <w:hideMark/>
          </w:tcPr>
          <w:p w14:paraId="2128B97F" w14:textId="77777777" w:rsidR="00FD3B47" w:rsidRPr="004C1A1D" w:rsidRDefault="00FD3B47" w:rsidP="00D16719">
            <w:pPr>
              <w:rPr>
                <w:rFonts w:ascii="Arial Narrow" w:eastAsia="Times New Roman" w:hAnsi="Arial Narrow"/>
                <w:b/>
                <w:bCs/>
                <w:color w:val="FFFFFF"/>
                <w:sz w:val="22"/>
                <w:szCs w:val="22"/>
              </w:rPr>
            </w:pPr>
          </w:p>
        </w:tc>
        <w:tc>
          <w:tcPr>
            <w:tcW w:w="2837" w:type="dxa"/>
            <w:vMerge/>
            <w:tcBorders>
              <w:top w:val="single" w:sz="8" w:space="0" w:color="auto"/>
              <w:left w:val="single" w:sz="8" w:space="0" w:color="auto"/>
              <w:bottom w:val="nil"/>
              <w:right w:val="single" w:sz="8" w:space="0" w:color="auto"/>
            </w:tcBorders>
            <w:vAlign w:val="center"/>
            <w:hideMark/>
          </w:tcPr>
          <w:p w14:paraId="3260F662" w14:textId="77777777" w:rsidR="00FD3B47" w:rsidRPr="004C1A1D" w:rsidRDefault="00FD3B47" w:rsidP="00D16719">
            <w:pPr>
              <w:rPr>
                <w:rFonts w:ascii="Arial Narrow" w:eastAsia="Times New Roman" w:hAnsi="Arial Narrow"/>
                <w:b/>
                <w:bCs/>
                <w:color w:val="FFFFFF"/>
                <w:sz w:val="22"/>
                <w:szCs w:val="22"/>
              </w:rPr>
            </w:pPr>
          </w:p>
        </w:tc>
        <w:tc>
          <w:tcPr>
            <w:tcW w:w="2340" w:type="dxa"/>
            <w:tcBorders>
              <w:top w:val="nil"/>
              <w:left w:val="nil"/>
              <w:bottom w:val="nil"/>
              <w:right w:val="single" w:sz="8" w:space="0" w:color="auto"/>
            </w:tcBorders>
            <w:shd w:val="clear" w:color="000000" w:fill="203764"/>
            <w:vAlign w:val="center"/>
            <w:hideMark/>
          </w:tcPr>
          <w:p w14:paraId="4CD8DEC0" w14:textId="77777777" w:rsidR="00FD3B47" w:rsidRPr="004C1A1D" w:rsidRDefault="00FD3B47" w:rsidP="00D16719">
            <w:pPr>
              <w:jc w:val="center"/>
              <w:rPr>
                <w:rFonts w:ascii="Arial Narrow" w:eastAsia="Times New Roman" w:hAnsi="Arial Narrow"/>
                <w:b/>
                <w:bCs/>
                <w:color w:val="FFFFFF"/>
                <w:sz w:val="22"/>
                <w:szCs w:val="22"/>
              </w:rPr>
            </w:pPr>
            <w:r w:rsidRPr="004C1A1D">
              <w:rPr>
                <w:rFonts w:ascii="Arial Narrow" w:eastAsia="Times New Roman" w:hAnsi="Arial Narrow"/>
                <w:b/>
                <w:bCs/>
                <w:color w:val="FFFFFF"/>
                <w:sz w:val="22"/>
                <w:szCs w:val="22"/>
              </w:rPr>
              <w:t>Norma</w:t>
            </w:r>
          </w:p>
        </w:tc>
        <w:tc>
          <w:tcPr>
            <w:tcW w:w="2083" w:type="dxa"/>
            <w:tcBorders>
              <w:top w:val="nil"/>
              <w:left w:val="nil"/>
              <w:bottom w:val="nil"/>
              <w:right w:val="single" w:sz="8" w:space="0" w:color="auto"/>
            </w:tcBorders>
            <w:shd w:val="clear" w:color="000000" w:fill="203764"/>
            <w:vAlign w:val="center"/>
            <w:hideMark/>
          </w:tcPr>
          <w:p w14:paraId="36E63ABA" w14:textId="77777777" w:rsidR="00FD3B47" w:rsidRPr="004C1A1D" w:rsidRDefault="00FD3B47" w:rsidP="00D16719">
            <w:pPr>
              <w:jc w:val="center"/>
              <w:rPr>
                <w:rFonts w:ascii="Arial Narrow" w:eastAsia="Times New Roman" w:hAnsi="Arial Narrow"/>
                <w:b/>
                <w:bCs/>
                <w:color w:val="FFFFFF"/>
                <w:sz w:val="22"/>
                <w:szCs w:val="22"/>
                <w:lang w:val="es-CR"/>
              </w:rPr>
            </w:pPr>
            <w:r w:rsidRPr="00B64256">
              <w:rPr>
                <w:rFonts w:ascii="Arial Narrow" w:eastAsia="Times New Roman" w:hAnsi="Arial Narrow"/>
                <w:b/>
                <w:bCs/>
                <w:color w:val="FFFFFF"/>
                <w:sz w:val="22"/>
                <w:szCs w:val="22"/>
                <w:lang w:val="es-CR"/>
              </w:rPr>
              <w:t>Normativa técnica y disposiciones adicionales</w:t>
            </w:r>
          </w:p>
        </w:tc>
      </w:tr>
      <w:tr w:rsidR="00FD3B47" w:rsidRPr="004C1A1D" w14:paraId="5BBE1177" w14:textId="77777777" w:rsidTr="00D16719">
        <w:trPr>
          <w:trHeight w:val="630"/>
        </w:trPr>
        <w:tc>
          <w:tcPr>
            <w:tcW w:w="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C8B149" w14:textId="77777777" w:rsidR="00FD3B47" w:rsidRPr="004C1A1D" w:rsidRDefault="00FD3B47" w:rsidP="00D16719">
            <w:pPr>
              <w:jc w:val="center"/>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60462226" w14:textId="77777777" w:rsidR="00FD3B47" w:rsidRPr="004C1A1D" w:rsidRDefault="00FD3B47" w:rsidP="00D16719">
            <w:pPr>
              <w:jc w:val="center"/>
              <w:rPr>
                <w:rFonts w:ascii="Arial Narrow" w:eastAsia="Times New Roman" w:hAnsi="Arial Narrow"/>
                <w:b/>
                <w:bCs/>
                <w:color w:val="000000"/>
                <w:sz w:val="22"/>
                <w:szCs w:val="22"/>
              </w:rPr>
            </w:pPr>
            <w:bookmarkStart w:id="80" w:name="RANGE!D13"/>
            <w:r w:rsidRPr="004C1A1D">
              <w:rPr>
                <w:rFonts w:ascii="Arial Narrow" w:eastAsia="Times New Roman" w:hAnsi="Arial Narrow"/>
                <w:b/>
                <w:bCs/>
                <w:color w:val="000000"/>
                <w:sz w:val="22"/>
                <w:szCs w:val="22"/>
              </w:rPr>
              <w:t>249</w:t>
            </w:r>
            <w:bookmarkEnd w:id="80"/>
          </w:p>
        </w:tc>
        <w:tc>
          <w:tcPr>
            <w:tcW w:w="541" w:type="dxa"/>
            <w:tcBorders>
              <w:top w:val="single" w:sz="8" w:space="0" w:color="auto"/>
              <w:left w:val="nil"/>
              <w:bottom w:val="single" w:sz="8" w:space="0" w:color="auto"/>
              <w:right w:val="single" w:sz="8" w:space="0" w:color="auto"/>
            </w:tcBorders>
            <w:shd w:val="clear" w:color="auto" w:fill="auto"/>
            <w:vAlign w:val="center"/>
            <w:hideMark/>
          </w:tcPr>
          <w:p w14:paraId="7D98E378" w14:textId="38A6D188" w:rsidR="00FD3B47" w:rsidRPr="004C1A1D" w:rsidRDefault="00FD3B47" w:rsidP="00D16719">
            <w:pPr>
              <w:jc w:val="center"/>
              <w:rPr>
                <w:rFonts w:ascii="Arial Narrow" w:eastAsia="Times New Roman" w:hAnsi="Arial Narrow"/>
                <w:b/>
                <w:bCs/>
                <w:color w:val="000000"/>
                <w:sz w:val="22"/>
                <w:szCs w:val="22"/>
              </w:rPr>
            </w:pPr>
          </w:p>
        </w:tc>
        <w:tc>
          <w:tcPr>
            <w:tcW w:w="2837" w:type="dxa"/>
            <w:tcBorders>
              <w:top w:val="single" w:sz="8" w:space="0" w:color="auto"/>
              <w:left w:val="nil"/>
              <w:bottom w:val="single" w:sz="8" w:space="0" w:color="auto"/>
              <w:right w:val="single" w:sz="8" w:space="0" w:color="auto"/>
            </w:tcBorders>
            <w:shd w:val="clear" w:color="auto" w:fill="auto"/>
            <w:vAlign w:val="center"/>
            <w:hideMark/>
          </w:tcPr>
          <w:p w14:paraId="6D5B605C" w14:textId="77777777" w:rsidR="00FD3B47" w:rsidRPr="004C1A1D" w:rsidRDefault="00FD3B47" w:rsidP="00D16719">
            <w:pPr>
              <w:jc w:val="both"/>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Medición posterior al inicio</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2780230D" w14:textId="77777777" w:rsidR="005E1D63" w:rsidRDefault="00FD3B47" w:rsidP="00D16719">
            <w:pPr>
              <w:jc w:val="both"/>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NICSP N° 31,</w:t>
            </w:r>
          </w:p>
          <w:p w14:paraId="658CADAB" w14:textId="1733563D" w:rsidR="00FD3B47" w:rsidRPr="004C1A1D" w:rsidRDefault="00FD3B47" w:rsidP="00D16719">
            <w:pPr>
              <w:jc w:val="both"/>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Párrafo 71.</w:t>
            </w:r>
          </w:p>
        </w:tc>
        <w:tc>
          <w:tcPr>
            <w:tcW w:w="2083" w:type="dxa"/>
            <w:tcBorders>
              <w:top w:val="single" w:sz="8" w:space="0" w:color="auto"/>
              <w:left w:val="nil"/>
              <w:bottom w:val="single" w:sz="8" w:space="0" w:color="auto"/>
              <w:right w:val="single" w:sz="8" w:space="0" w:color="auto"/>
            </w:tcBorders>
            <w:shd w:val="clear" w:color="auto" w:fill="auto"/>
            <w:vAlign w:val="center"/>
            <w:hideMark/>
          </w:tcPr>
          <w:p w14:paraId="60EF69E3" w14:textId="77777777" w:rsidR="00FD3B47" w:rsidRPr="004C1A1D" w:rsidRDefault="00FD3B47" w:rsidP="00D16719">
            <w:pPr>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 </w:t>
            </w:r>
          </w:p>
        </w:tc>
      </w:tr>
      <w:tr w:rsidR="00FD3B47" w:rsidRPr="004C1A1D" w14:paraId="131E2F46" w14:textId="77777777" w:rsidTr="00D16719">
        <w:trPr>
          <w:trHeight w:val="63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5B0E091" w14:textId="77777777" w:rsidR="00FD3B47" w:rsidRPr="004C1A1D" w:rsidRDefault="00FD3B47" w:rsidP="00D16719">
            <w:pPr>
              <w:jc w:val="center"/>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noWrap/>
            <w:vAlign w:val="center"/>
            <w:hideMark/>
          </w:tcPr>
          <w:p w14:paraId="0DA3E874" w14:textId="77777777" w:rsidR="00FD3B47" w:rsidRPr="004C1A1D" w:rsidRDefault="00FD3B47" w:rsidP="00D16719">
            <w:pPr>
              <w:jc w:val="center"/>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249</w:t>
            </w:r>
          </w:p>
        </w:tc>
        <w:tc>
          <w:tcPr>
            <w:tcW w:w="541" w:type="dxa"/>
            <w:tcBorders>
              <w:top w:val="nil"/>
              <w:left w:val="nil"/>
              <w:bottom w:val="single" w:sz="8" w:space="0" w:color="auto"/>
              <w:right w:val="single" w:sz="8" w:space="0" w:color="auto"/>
            </w:tcBorders>
            <w:shd w:val="clear" w:color="auto" w:fill="auto"/>
            <w:vAlign w:val="center"/>
            <w:hideMark/>
          </w:tcPr>
          <w:p w14:paraId="64197272" w14:textId="77777777" w:rsidR="00FD3B47" w:rsidRPr="004C1A1D" w:rsidRDefault="00FD3B47" w:rsidP="00D16719">
            <w:pPr>
              <w:jc w:val="center"/>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1</w:t>
            </w:r>
          </w:p>
        </w:tc>
        <w:tc>
          <w:tcPr>
            <w:tcW w:w="2837" w:type="dxa"/>
            <w:tcBorders>
              <w:top w:val="nil"/>
              <w:left w:val="nil"/>
              <w:bottom w:val="single" w:sz="8" w:space="0" w:color="auto"/>
              <w:right w:val="single" w:sz="8" w:space="0" w:color="auto"/>
            </w:tcBorders>
            <w:shd w:val="clear" w:color="auto" w:fill="auto"/>
            <w:vAlign w:val="center"/>
            <w:hideMark/>
          </w:tcPr>
          <w:p w14:paraId="3F48641E" w14:textId="77777777" w:rsidR="00FD3B47" w:rsidRPr="004C1A1D" w:rsidRDefault="00FD3B47" w:rsidP="00D16719">
            <w:pPr>
              <w:jc w:val="both"/>
              <w:rPr>
                <w:rFonts w:ascii="Arial Narrow" w:eastAsia="Times New Roman" w:hAnsi="Arial Narrow"/>
                <w:b/>
                <w:bCs/>
                <w:color w:val="000000"/>
                <w:sz w:val="22"/>
                <w:szCs w:val="22"/>
                <w:lang w:val="es-CR"/>
              </w:rPr>
            </w:pPr>
            <w:r w:rsidRPr="004C1A1D">
              <w:rPr>
                <w:rFonts w:ascii="Arial Narrow" w:eastAsia="Times New Roman" w:hAnsi="Arial Narrow"/>
                <w:b/>
                <w:bCs/>
                <w:color w:val="000000"/>
                <w:sz w:val="22"/>
                <w:szCs w:val="22"/>
                <w:lang w:val="es-CR"/>
              </w:rPr>
              <w:t>Criterio general</w:t>
            </w:r>
            <w:r w:rsidRPr="00E42919">
              <w:rPr>
                <w:rFonts w:ascii="Arial Narrow" w:eastAsia="Times New Roman" w:hAnsi="Arial Narrow"/>
                <w:b/>
                <w:bCs/>
                <w:color w:val="000000"/>
                <w:sz w:val="22"/>
                <w:szCs w:val="22"/>
                <w:lang w:val="es-CR"/>
              </w:rPr>
              <w:t xml:space="preserve"> </w:t>
            </w:r>
            <w:r>
              <w:rPr>
                <w:rFonts w:ascii="Arial Narrow" w:eastAsia="Times New Roman" w:hAnsi="Arial Narrow"/>
                <w:b/>
                <w:bCs/>
                <w:color w:val="000000"/>
                <w:sz w:val="22"/>
                <w:szCs w:val="22"/>
                <w:lang w:val="es-CR"/>
              </w:rPr>
              <w:t xml:space="preserve">- </w:t>
            </w:r>
            <w:r w:rsidRPr="00E42919">
              <w:rPr>
                <w:rFonts w:ascii="Arial Narrow" w:eastAsia="Times New Roman" w:hAnsi="Arial Narrow"/>
                <w:b/>
                <w:bCs/>
                <w:color w:val="000000"/>
                <w:sz w:val="22"/>
                <w:szCs w:val="22"/>
                <w:lang w:val="es-CR"/>
              </w:rPr>
              <w:t>Modelo de C</w:t>
            </w:r>
            <w:r>
              <w:rPr>
                <w:rFonts w:ascii="Arial Narrow" w:eastAsia="Times New Roman" w:hAnsi="Arial Narrow"/>
                <w:b/>
                <w:bCs/>
                <w:color w:val="000000"/>
                <w:sz w:val="22"/>
                <w:szCs w:val="22"/>
                <w:lang w:val="es-CR"/>
              </w:rPr>
              <w:t>osto</w:t>
            </w:r>
          </w:p>
        </w:tc>
        <w:tc>
          <w:tcPr>
            <w:tcW w:w="2340" w:type="dxa"/>
            <w:tcBorders>
              <w:top w:val="nil"/>
              <w:left w:val="nil"/>
              <w:bottom w:val="single" w:sz="8" w:space="0" w:color="auto"/>
              <w:right w:val="single" w:sz="8" w:space="0" w:color="auto"/>
            </w:tcBorders>
            <w:shd w:val="clear" w:color="auto" w:fill="auto"/>
            <w:vAlign w:val="center"/>
            <w:hideMark/>
          </w:tcPr>
          <w:p w14:paraId="744A1413" w14:textId="77777777" w:rsidR="005E1D63" w:rsidRDefault="00FD3B47" w:rsidP="00D16719">
            <w:pPr>
              <w:jc w:val="both"/>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NICSP N° 31,</w:t>
            </w:r>
          </w:p>
          <w:p w14:paraId="5735B188" w14:textId="5837EB48" w:rsidR="00FD3B47" w:rsidRPr="004C1A1D" w:rsidRDefault="00FD3B47" w:rsidP="00D16719">
            <w:pPr>
              <w:jc w:val="both"/>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Párrafo 71.</w:t>
            </w:r>
          </w:p>
        </w:tc>
        <w:tc>
          <w:tcPr>
            <w:tcW w:w="2083" w:type="dxa"/>
            <w:tcBorders>
              <w:top w:val="nil"/>
              <w:left w:val="nil"/>
              <w:bottom w:val="single" w:sz="8" w:space="0" w:color="auto"/>
              <w:right w:val="single" w:sz="8" w:space="0" w:color="auto"/>
            </w:tcBorders>
            <w:shd w:val="clear" w:color="auto" w:fill="auto"/>
            <w:vAlign w:val="center"/>
            <w:hideMark/>
          </w:tcPr>
          <w:p w14:paraId="41E8980E" w14:textId="77777777" w:rsidR="00FD3B47" w:rsidRPr="004C1A1D" w:rsidRDefault="00FD3B47" w:rsidP="00D16719">
            <w:pPr>
              <w:jc w:val="center"/>
              <w:rPr>
                <w:rFonts w:ascii="Arial Narrow" w:eastAsia="Times New Roman" w:hAnsi="Arial Narrow"/>
                <w:b/>
                <w:bCs/>
                <w:color w:val="000000"/>
                <w:sz w:val="22"/>
                <w:szCs w:val="22"/>
              </w:rPr>
            </w:pPr>
            <w:r w:rsidRPr="004C1A1D">
              <w:rPr>
                <w:rFonts w:ascii="Arial Narrow" w:eastAsia="Times New Roman" w:hAnsi="Arial Narrow"/>
                <w:b/>
                <w:bCs/>
                <w:color w:val="000000"/>
                <w:sz w:val="22"/>
                <w:szCs w:val="22"/>
              </w:rPr>
              <w:t>DGCN</w:t>
            </w:r>
          </w:p>
        </w:tc>
      </w:tr>
    </w:tbl>
    <w:p w14:paraId="08085046"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41FC379D" w14:textId="58F124D2" w:rsidR="00FD3B47" w:rsidRDefault="005E1D63"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64DDFBEC" w14:textId="77777777" w:rsidR="005E1D63" w:rsidRDefault="005E1D63" w:rsidP="00FD3B47">
      <w:pPr>
        <w:spacing w:line="238" w:lineRule="auto"/>
        <w:ind w:left="1134" w:right="260" w:hanging="1134"/>
        <w:jc w:val="both"/>
        <w:rPr>
          <w:rFonts w:ascii="Arial Narrow" w:eastAsia="Arial" w:hAnsi="Arial Narrow"/>
          <w:b/>
          <w:sz w:val="22"/>
          <w:szCs w:val="22"/>
          <w:lang w:val="es-CR"/>
        </w:rPr>
      </w:pPr>
    </w:p>
    <w:p w14:paraId="03EE65FE" w14:textId="5A027572"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 xml:space="preserve">1.249.0.01 </w:t>
      </w:r>
      <w:r w:rsidRPr="004C1A1D">
        <w:rPr>
          <w:rFonts w:ascii="Arial" w:hAnsi="Arial"/>
          <w:sz w:val="22"/>
          <w:szCs w:val="22"/>
          <w:lang w:val="es-CR"/>
        </w:rPr>
        <w:t xml:space="preserve">La </w:t>
      </w:r>
      <w:r w:rsidR="000F29DC">
        <w:rPr>
          <w:rFonts w:ascii="Arial" w:hAnsi="Arial"/>
          <w:sz w:val="22"/>
          <w:szCs w:val="22"/>
          <w:lang w:val="es-CR"/>
        </w:rPr>
        <w:t>MBA</w:t>
      </w:r>
      <w:r w:rsidRPr="004C1A1D">
        <w:rPr>
          <w:rFonts w:ascii="Arial" w:hAnsi="Arial"/>
          <w:sz w:val="22"/>
          <w:szCs w:val="22"/>
          <w:lang w:val="es-CR"/>
        </w:rPr>
        <w:t xml:space="preserve"> posterior a la</w:t>
      </w:r>
      <w:r>
        <w:rPr>
          <w:rFonts w:ascii="Arial" w:hAnsi="Arial"/>
          <w:sz w:val="22"/>
          <w:szCs w:val="22"/>
          <w:lang w:val="es-CR"/>
        </w:rPr>
        <w:t xml:space="preserve"> medición</w:t>
      </w:r>
      <w:r w:rsidRPr="004C1A1D">
        <w:rPr>
          <w:rFonts w:ascii="Arial" w:hAnsi="Arial"/>
          <w:sz w:val="22"/>
          <w:szCs w:val="22"/>
          <w:lang w:val="es-CR"/>
        </w:rPr>
        <w:t xml:space="preserve"> inicial </w:t>
      </w:r>
      <w:r>
        <w:rPr>
          <w:rFonts w:ascii="Arial" w:hAnsi="Arial"/>
          <w:sz w:val="22"/>
          <w:szCs w:val="22"/>
          <w:lang w:val="es-CR"/>
        </w:rPr>
        <w:t xml:space="preserve">medirá los </w:t>
      </w:r>
      <w:r w:rsidRPr="004C1A1D">
        <w:rPr>
          <w:rFonts w:ascii="Arial" w:hAnsi="Arial"/>
          <w:sz w:val="22"/>
          <w:szCs w:val="22"/>
          <w:lang w:val="es-CR"/>
        </w:rPr>
        <w:t>activos intangibles aplicando el modelo de cost</w:t>
      </w:r>
      <w:r>
        <w:rPr>
          <w:rFonts w:ascii="Arial" w:hAnsi="Arial"/>
          <w:sz w:val="22"/>
          <w:szCs w:val="22"/>
          <w:lang w:val="es-CR"/>
        </w:rPr>
        <w:t>o,</w:t>
      </w:r>
      <w:r w:rsidRPr="004C692A">
        <w:rPr>
          <w:rFonts w:ascii="Arial" w:hAnsi="Arial"/>
          <w:sz w:val="22"/>
          <w:szCs w:val="22"/>
          <w:lang w:val="es-CR"/>
        </w:rPr>
        <w:t xml:space="preserve"> hayan sido adquiridos</w:t>
      </w:r>
      <w:r>
        <w:rPr>
          <w:rFonts w:ascii="Arial" w:hAnsi="Arial"/>
          <w:sz w:val="22"/>
          <w:szCs w:val="22"/>
          <w:lang w:val="es-CR"/>
        </w:rPr>
        <w:t xml:space="preserve"> o</w:t>
      </w:r>
      <w:r w:rsidRPr="004C692A">
        <w:rPr>
          <w:rFonts w:ascii="Arial" w:hAnsi="Arial"/>
          <w:sz w:val="22"/>
          <w:szCs w:val="22"/>
          <w:lang w:val="es-CR"/>
        </w:rPr>
        <w:t xml:space="preserve"> recibidos </w:t>
      </w:r>
      <w:r>
        <w:rPr>
          <w:rFonts w:ascii="Arial" w:hAnsi="Arial"/>
          <w:sz w:val="22"/>
          <w:szCs w:val="22"/>
          <w:lang w:val="es-CR"/>
        </w:rPr>
        <w:t>en una transacción con</w:t>
      </w:r>
      <w:r w:rsidRPr="004C692A">
        <w:rPr>
          <w:rFonts w:ascii="Arial" w:hAnsi="Arial"/>
          <w:sz w:val="22"/>
          <w:szCs w:val="22"/>
          <w:lang w:val="es-CR"/>
        </w:rPr>
        <w:t xml:space="preserve"> </w:t>
      </w:r>
      <w:r w:rsidRPr="004C692A">
        <w:rPr>
          <w:rFonts w:ascii="Arial" w:hAnsi="Arial"/>
          <w:sz w:val="22"/>
          <w:szCs w:val="22"/>
          <w:lang w:val="es-CR"/>
        </w:rPr>
        <w:lastRenderedPageBreak/>
        <w:t xml:space="preserve">contraprestación o </w:t>
      </w:r>
      <w:r>
        <w:rPr>
          <w:rFonts w:ascii="Arial" w:hAnsi="Arial"/>
          <w:sz w:val="22"/>
          <w:szCs w:val="22"/>
          <w:lang w:val="es-CR"/>
        </w:rPr>
        <w:t>sin</w:t>
      </w:r>
      <w:r w:rsidRPr="004C692A">
        <w:rPr>
          <w:rFonts w:ascii="Arial" w:hAnsi="Arial"/>
          <w:sz w:val="22"/>
          <w:szCs w:val="22"/>
          <w:lang w:val="es-CR"/>
        </w:rPr>
        <w:t xml:space="preserve"> contraprestación </w:t>
      </w:r>
      <w:r>
        <w:rPr>
          <w:rFonts w:ascii="Arial" w:hAnsi="Arial"/>
          <w:sz w:val="22"/>
          <w:szCs w:val="22"/>
          <w:lang w:val="es-CR"/>
        </w:rPr>
        <w:t xml:space="preserve">o por una contraprestación </w:t>
      </w:r>
      <w:r w:rsidR="0021354A">
        <w:rPr>
          <w:rFonts w:ascii="Arial" w:hAnsi="Arial"/>
          <w:sz w:val="22"/>
          <w:szCs w:val="22"/>
          <w:lang w:val="es-CR"/>
        </w:rPr>
        <w:t>simbólica</w:t>
      </w:r>
      <w:r>
        <w:rPr>
          <w:rFonts w:ascii="Arial" w:hAnsi="Arial"/>
          <w:sz w:val="22"/>
          <w:szCs w:val="22"/>
          <w:lang w:val="es-CR"/>
        </w:rPr>
        <w:t xml:space="preserve"> o </w:t>
      </w:r>
      <w:r w:rsidRPr="004C692A">
        <w:rPr>
          <w:rFonts w:ascii="Arial" w:hAnsi="Arial"/>
          <w:sz w:val="22"/>
          <w:szCs w:val="22"/>
          <w:lang w:val="es-CR"/>
        </w:rPr>
        <w:t>nula.</w:t>
      </w:r>
    </w:p>
    <w:p w14:paraId="6BCB8096" w14:textId="77777777" w:rsidR="00FD3B47" w:rsidRDefault="00FD3B47" w:rsidP="00FD3B47">
      <w:pPr>
        <w:spacing w:line="238" w:lineRule="auto"/>
        <w:ind w:left="1134" w:right="260" w:hanging="1134"/>
        <w:jc w:val="both"/>
        <w:rPr>
          <w:rFonts w:ascii="Arial" w:hAnsi="Arial"/>
          <w:sz w:val="22"/>
          <w:szCs w:val="22"/>
          <w:lang w:val="es-CR"/>
        </w:rPr>
      </w:pPr>
    </w:p>
    <w:p w14:paraId="7910E6FC" w14:textId="77777777" w:rsidR="00FD3B47" w:rsidRPr="004C692A"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1.249.1.01</w:t>
      </w:r>
      <w:r>
        <w:rPr>
          <w:rFonts w:ascii="Arial" w:hAnsi="Arial"/>
          <w:sz w:val="22"/>
          <w:szCs w:val="22"/>
          <w:lang w:val="es-CR"/>
        </w:rPr>
        <w:tab/>
      </w:r>
      <w:r w:rsidRPr="004C692A">
        <w:rPr>
          <w:rFonts w:ascii="Arial" w:hAnsi="Arial"/>
          <w:sz w:val="22"/>
          <w:szCs w:val="22"/>
          <w:lang w:val="es-CR"/>
        </w:rPr>
        <w:t>Con posterioridad a su reconocimiento inicial, un activo intangible se contabilizará por su costo menos la amortización y el importe acumulados de las pérdidas por deterioro del valor</w:t>
      </w:r>
      <w:r>
        <w:rPr>
          <w:rFonts w:ascii="Arial" w:hAnsi="Arial"/>
          <w:sz w:val="22"/>
          <w:szCs w:val="22"/>
          <w:lang w:val="es-CR"/>
        </w:rPr>
        <w:t>.</w:t>
      </w:r>
    </w:p>
    <w:p w14:paraId="187A525A"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27B60377"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tbl>
      <w:tblPr>
        <w:tblW w:w="9062" w:type="dxa"/>
        <w:tblLook w:val="04A0" w:firstRow="1" w:lastRow="0" w:firstColumn="1" w:lastColumn="0" w:noHBand="0" w:noVBand="1"/>
      </w:tblPr>
      <w:tblGrid>
        <w:gridCol w:w="539"/>
        <w:gridCol w:w="517"/>
        <w:gridCol w:w="519"/>
        <w:gridCol w:w="2854"/>
        <w:gridCol w:w="2354"/>
        <w:gridCol w:w="2279"/>
      </w:tblGrid>
      <w:tr w:rsidR="00FD3B47" w:rsidRPr="00E42919" w14:paraId="74F5925F" w14:textId="77777777" w:rsidTr="00FD3B47">
        <w:trPr>
          <w:trHeight w:val="320"/>
        </w:trPr>
        <w:tc>
          <w:tcPr>
            <w:tcW w:w="157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CAFABA0" w14:textId="77777777" w:rsidR="00FD3B47" w:rsidRPr="00E42919" w:rsidRDefault="00FD3B47" w:rsidP="00D16719">
            <w:pPr>
              <w:jc w:val="center"/>
              <w:rPr>
                <w:rFonts w:ascii="Arial Narrow" w:eastAsia="Times New Roman" w:hAnsi="Arial Narrow"/>
                <w:b/>
                <w:bCs/>
                <w:color w:val="FFFFFF"/>
                <w:sz w:val="22"/>
                <w:szCs w:val="22"/>
              </w:rPr>
            </w:pPr>
            <w:r w:rsidRPr="00E42919">
              <w:rPr>
                <w:rFonts w:ascii="Arial Narrow" w:eastAsia="Times New Roman" w:hAnsi="Arial Narrow"/>
                <w:b/>
                <w:bCs/>
                <w:color w:val="FFFFFF"/>
                <w:sz w:val="22"/>
                <w:szCs w:val="22"/>
              </w:rPr>
              <w:t>Norma / Política</w:t>
            </w:r>
          </w:p>
        </w:tc>
        <w:tc>
          <w:tcPr>
            <w:tcW w:w="2854" w:type="dxa"/>
            <w:vMerge w:val="restart"/>
            <w:tcBorders>
              <w:top w:val="nil"/>
              <w:left w:val="single" w:sz="8" w:space="0" w:color="auto"/>
              <w:bottom w:val="nil"/>
              <w:right w:val="single" w:sz="8" w:space="0" w:color="auto"/>
            </w:tcBorders>
            <w:shd w:val="clear" w:color="000000" w:fill="203764"/>
            <w:vAlign w:val="center"/>
            <w:hideMark/>
          </w:tcPr>
          <w:p w14:paraId="4A57BFDD" w14:textId="77777777" w:rsidR="00FD3B47" w:rsidRPr="00E42919" w:rsidRDefault="00FD3B47" w:rsidP="00D16719">
            <w:pPr>
              <w:jc w:val="center"/>
              <w:rPr>
                <w:rFonts w:ascii="Arial Narrow" w:eastAsia="Times New Roman" w:hAnsi="Arial Narrow"/>
                <w:b/>
                <w:bCs/>
                <w:color w:val="FFFFFF"/>
                <w:sz w:val="22"/>
                <w:szCs w:val="22"/>
              </w:rPr>
            </w:pPr>
            <w:r w:rsidRPr="00E42919">
              <w:rPr>
                <w:rFonts w:ascii="Arial Narrow" w:eastAsia="Times New Roman" w:hAnsi="Arial Narrow"/>
                <w:b/>
                <w:bCs/>
                <w:color w:val="FFFFFF"/>
                <w:sz w:val="22"/>
                <w:szCs w:val="22"/>
              </w:rPr>
              <w:t>Concepto</w:t>
            </w:r>
          </w:p>
        </w:tc>
        <w:tc>
          <w:tcPr>
            <w:tcW w:w="4633" w:type="dxa"/>
            <w:gridSpan w:val="2"/>
            <w:tcBorders>
              <w:top w:val="nil"/>
              <w:left w:val="nil"/>
              <w:bottom w:val="single" w:sz="8" w:space="0" w:color="auto"/>
              <w:right w:val="single" w:sz="8" w:space="0" w:color="000000"/>
            </w:tcBorders>
            <w:shd w:val="clear" w:color="000000" w:fill="203764"/>
            <w:vAlign w:val="center"/>
            <w:hideMark/>
          </w:tcPr>
          <w:p w14:paraId="2368579B" w14:textId="77777777" w:rsidR="00FD3B47" w:rsidRPr="00E42919" w:rsidRDefault="00FD3B47" w:rsidP="00D16719">
            <w:pPr>
              <w:jc w:val="center"/>
              <w:rPr>
                <w:rFonts w:ascii="Arial Narrow" w:eastAsia="Times New Roman" w:hAnsi="Arial Narrow"/>
                <w:b/>
                <w:bCs/>
                <w:color w:val="FFFFFF"/>
                <w:sz w:val="22"/>
                <w:szCs w:val="22"/>
              </w:rPr>
            </w:pPr>
            <w:r w:rsidRPr="00E42919">
              <w:rPr>
                <w:rFonts w:ascii="Arial Narrow" w:eastAsia="Times New Roman" w:hAnsi="Arial Narrow"/>
                <w:b/>
                <w:bCs/>
                <w:color w:val="FFFFFF"/>
                <w:sz w:val="22"/>
                <w:szCs w:val="22"/>
              </w:rPr>
              <w:t>Referencia</w:t>
            </w:r>
          </w:p>
        </w:tc>
      </w:tr>
      <w:tr w:rsidR="00FD3B47" w:rsidRPr="006E5442" w14:paraId="30774785" w14:textId="77777777" w:rsidTr="00FD3B47">
        <w:trPr>
          <w:trHeight w:val="320"/>
        </w:trPr>
        <w:tc>
          <w:tcPr>
            <w:tcW w:w="1575" w:type="dxa"/>
            <w:gridSpan w:val="3"/>
            <w:vMerge/>
            <w:tcBorders>
              <w:top w:val="single" w:sz="8" w:space="0" w:color="auto"/>
              <w:left w:val="single" w:sz="8" w:space="0" w:color="auto"/>
              <w:bottom w:val="nil"/>
              <w:right w:val="single" w:sz="8" w:space="0" w:color="000000"/>
            </w:tcBorders>
            <w:vAlign w:val="center"/>
            <w:hideMark/>
          </w:tcPr>
          <w:p w14:paraId="0BFD4824" w14:textId="77777777" w:rsidR="00FD3B47" w:rsidRPr="00E42919" w:rsidRDefault="00FD3B47" w:rsidP="00D16719">
            <w:pPr>
              <w:rPr>
                <w:rFonts w:ascii="Arial Narrow" w:eastAsia="Times New Roman" w:hAnsi="Arial Narrow"/>
                <w:b/>
                <w:bCs/>
                <w:color w:val="FFFFFF"/>
                <w:sz w:val="22"/>
                <w:szCs w:val="22"/>
              </w:rPr>
            </w:pPr>
          </w:p>
        </w:tc>
        <w:tc>
          <w:tcPr>
            <w:tcW w:w="2854" w:type="dxa"/>
            <w:vMerge/>
            <w:tcBorders>
              <w:top w:val="nil"/>
              <w:left w:val="single" w:sz="8" w:space="0" w:color="auto"/>
              <w:bottom w:val="nil"/>
              <w:right w:val="single" w:sz="8" w:space="0" w:color="auto"/>
            </w:tcBorders>
            <w:vAlign w:val="center"/>
            <w:hideMark/>
          </w:tcPr>
          <w:p w14:paraId="0EC549D9" w14:textId="77777777" w:rsidR="00FD3B47" w:rsidRPr="00E42919" w:rsidRDefault="00FD3B47" w:rsidP="00D16719">
            <w:pPr>
              <w:rPr>
                <w:rFonts w:ascii="Arial Narrow" w:eastAsia="Times New Roman" w:hAnsi="Arial Narrow"/>
                <w:b/>
                <w:bCs/>
                <w:color w:val="FFFFFF"/>
                <w:sz w:val="22"/>
                <w:szCs w:val="22"/>
              </w:rPr>
            </w:pPr>
          </w:p>
        </w:tc>
        <w:tc>
          <w:tcPr>
            <w:tcW w:w="2354" w:type="dxa"/>
            <w:tcBorders>
              <w:top w:val="nil"/>
              <w:left w:val="nil"/>
              <w:bottom w:val="nil"/>
              <w:right w:val="single" w:sz="8" w:space="0" w:color="auto"/>
            </w:tcBorders>
            <w:shd w:val="clear" w:color="000000" w:fill="203764"/>
            <w:vAlign w:val="center"/>
            <w:hideMark/>
          </w:tcPr>
          <w:p w14:paraId="41AEC939" w14:textId="77777777" w:rsidR="00FD3B47" w:rsidRPr="00E42919" w:rsidRDefault="00FD3B47" w:rsidP="00D16719">
            <w:pPr>
              <w:jc w:val="center"/>
              <w:rPr>
                <w:rFonts w:ascii="Arial Narrow" w:eastAsia="Times New Roman" w:hAnsi="Arial Narrow"/>
                <w:b/>
                <w:bCs/>
                <w:color w:val="FFFFFF"/>
                <w:sz w:val="22"/>
                <w:szCs w:val="22"/>
              </w:rPr>
            </w:pPr>
            <w:r w:rsidRPr="00E42919">
              <w:rPr>
                <w:rFonts w:ascii="Arial Narrow" w:eastAsia="Times New Roman" w:hAnsi="Arial Narrow"/>
                <w:b/>
                <w:bCs/>
                <w:color w:val="FFFFFF"/>
                <w:sz w:val="22"/>
                <w:szCs w:val="22"/>
              </w:rPr>
              <w:t>Norma</w:t>
            </w:r>
          </w:p>
        </w:tc>
        <w:tc>
          <w:tcPr>
            <w:tcW w:w="2279" w:type="dxa"/>
            <w:tcBorders>
              <w:top w:val="nil"/>
              <w:left w:val="nil"/>
              <w:bottom w:val="nil"/>
              <w:right w:val="single" w:sz="8" w:space="0" w:color="auto"/>
            </w:tcBorders>
            <w:shd w:val="clear" w:color="000000" w:fill="203764"/>
            <w:vAlign w:val="center"/>
            <w:hideMark/>
          </w:tcPr>
          <w:p w14:paraId="696A5CCE" w14:textId="77777777" w:rsidR="00FD3B47" w:rsidRPr="00E42919" w:rsidRDefault="00FD3B47" w:rsidP="00D16719">
            <w:pPr>
              <w:jc w:val="center"/>
              <w:rPr>
                <w:rFonts w:ascii="Arial Narrow" w:eastAsia="Times New Roman" w:hAnsi="Arial Narrow"/>
                <w:b/>
                <w:bCs/>
                <w:color w:val="FFFFFF"/>
                <w:sz w:val="22"/>
                <w:szCs w:val="22"/>
                <w:lang w:val="es-CR"/>
              </w:rPr>
            </w:pPr>
            <w:r w:rsidRPr="00B64256">
              <w:rPr>
                <w:rFonts w:ascii="Arial Narrow" w:eastAsia="Times New Roman" w:hAnsi="Arial Narrow"/>
                <w:b/>
                <w:bCs/>
                <w:color w:val="FFFFFF"/>
                <w:sz w:val="22"/>
                <w:szCs w:val="22"/>
                <w:lang w:val="es-CR"/>
              </w:rPr>
              <w:t>Normativa técnica y disposiciones adicionales</w:t>
            </w:r>
          </w:p>
        </w:tc>
      </w:tr>
      <w:tr w:rsidR="00FD3B47" w:rsidRPr="00E42919" w14:paraId="7499BB07" w14:textId="77777777" w:rsidTr="00FD3B47">
        <w:trPr>
          <w:trHeight w:val="602"/>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6AFF7661"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vAlign w:val="center"/>
            <w:hideMark/>
          </w:tcPr>
          <w:p w14:paraId="656D68DD"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256</w:t>
            </w:r>
          </w:p>
        </w:tc>
        <w:tc>
          <w:tcPr>
            <w:tcW w:w="519" w:type="dxa"/>
            <w:tcBorders>
              <w:top w:val="nil"/>
              <w:left w:val="nil"/>
              <w:bottom w:val="single" w:sz="8" w:space="0" w:color="auto"/>
              <w:right w:val="single" w:sz="8" w:space="0" w:color="auto"/>
            </w:tcBorders>
            <w:shd w:val="clear" w:color="auto" w:fill="auto"/>
            <w:vAlign w:val="center"/>
            <w:hideMark/>
          </w:tcPr>
          <w:p w14:paraId="315CC96B" w14:textId="47FFBA9C" w:rsidR="00FD3B47" w:rsidRPr="00E42919" w:rsidRDefault="00FD3B47" w:rsidP="00D16719">
            <w:pPr>
              <w:jc w:val="center"/>
              <w:rPr>
                <w:rFonts w:ascii="Arial Narrow" w:eastAsia="Times New Roman" w:hAnsi="Arial Narrow"/>
                <w:b/>
                <w:bCs/>
                <w:color w:val="000000"/>
                <w:sz w:val="22"/>
                <w:szCs w:val="22"/>
              </w:rPr>
            </w:pPr>
          </w:p>
        </w:tc>
        <w:tc>
          <w:tcPr>
            <w:tcW w:w="2854" w:type="dxa"/>
            <w:tcBorders>
              <w:top w:val="nil"/>
              <w:left w:val="nil"/>
              <w:bottom w:val="nil"/>
              <w:right w:val="nil"/>
            </w:tcBorders>
            <w:shd w:val="clear" w:color="auto" w:fill="auto"/>
            <w:vAlign w:val="center"/>
            <w:hideMark/>
          </w:tcPr>
          <w:p w14:paraId="4FA7CD43" w14:textId="77777777" w:rsidR="00FD3B47" w:rsidRPr="00E42919" w:rsidRDefault="00FD3B47" w:rsidP="00D16719">
            <w:pPr>
              <w:ind w:firstLineChars="4" w:firstLine="9"/>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Vida útil y amortización</w:t>
            </w:r>
          </w:p>
        </w:tc>
        <w:tc>
          <w:tcPr>
            <w:tcW w:w="23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7A5070" w14:textId="77777777" w:rsidR="00FD3B47"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 xml:space="preserve">NICSP N° 31, </w:t>
            </w:r>
          </w:p>
          <w:p w14:paraId="366CD55E" w14:textId="77777777" w:rsidR="00FD3B47" w:rsidRPr="00E42919"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Párrafos 87, 88 y 106.</w:t>
            </w:r>
          </w:p>
        </w:tc>
        <w:tc>
          <w:tcPr>
            <w:tcW w:w="2279" w:type="dxa"/>
            <w:tcBorders>
              <w:top w:val="single" w:sz="8" w:space="0" w:color="auto"/>
              <w:left w:val="nil"/>
              <w:bottom w:val="single" w:sz="8" w:space="0" w:color="auto"/>
              <w:right w:val="single" w:sz="8" w:space="0" w:color="auto"/>
            </w:tcBorders>
            <w:shd w:val="clear" w:color="auto" w:fill="auto"/>
            <w:vAlign w:val="center"/>
            <w:hideMark/>
          </w:tcPr>
          <w:p w14:paraId="08425A95" w14:textId="77777777" w:rsidR="00FD3B47" w:rsidRPr="00E42919" w:rsidRDefault="00FD3B47" w:rsidP="00D16719">
            <w:pPr>
              <w:rPr>
                <w:rFonts w:ascii="Arial Narrow" w:eastAsia="Times New Roman" w:hAnsi="Arial Narrow" w:cs="Times New Roman"/>
                <w:color w:val="000000"/>
                <w:sz w:val="22"/>
                <w:szCs w:val="22"/>
              </w:rPr>
            </w:pPr>
            <w:r w:rsidRPr="00E42919">
              <w:rPr>
                <w:rFonts w:ascii="Arial Narrow" w:eastAsia="Times New Roman" w:hAnsi="Arial Narrow" w:cs="Times New Roman"/>
                <w:color w:val="000000"/>
                <w:sz w:val="22"/>
                <w:szCs w:val="22"/>
              </w:rPr>
              <w:t> </w:t>
            </w:r>
          </w:p>
        </w:tc>
      </w:tr>
      <w:tr w:rsidR="00FD3B47" w:rsidRPr="00E42919" w14:paraId="0D301539" w14:textId="77777777" w:rsidTr="00FD3B47">
        <w:trPr>
          <w:trHeight w:val="554"/>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48A8DE86"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vAlign w:val="center"/>
            <w:hideMark/>
          </w:tcPr>
          <w:p w14:paraId="116D9293"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256</w:t>
            </w:r>
          </w:p>
        </w:tc>
        <w:tc>
          <w:tcPr>
            <w:tcW w:w="519" w:type="dxa"/>
            <w:tcBorders>
              <w:top w:val="nil"/>
              <w:left w:val="nil"/>
              <w:bottom w:val="single" w:sz="8" w:space="0" w:color="auto"/>
              <w:right w:val="single" w:sz="8" w:space="0" w:color="auto"/>
            </w:tcBorders>
            <w:shd w:val="clear" w:color="auto" w:fill="auto"/>
            <w:vAlign w:val="center"/>
            <w:hideMark/>
          </w:tcPr>
          <w:p w14:paraId="339CC75A"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1</w:t>
            </w:r>
          </w:p>
        </w:tc>
        <w:tc>
          <w:tcPr>
            <w:tcW w:w="2854" w:type="dxa"/>
            <w:tcBorders>
              <w:top w:val="single" w:sz="8" w:space="0" w:color="auto"/>
              <w:left w:val="nil"/>
              <w:bottom w:val="single" w:sz="8" w:space="0" w:color="auto"/>
              <w:right w:val="single" w:sz="8" w:space="0" w:color="auto"/>
            </w:tcBorders>
            <w:shd w:val="clear" w:color="auto" w:fill="auto"/>
            <w:vAlign w:val="center"/>
            <w:hideMark/>
          </w:tcPr>
          <w:p w14:paraId="20989925" w14:textId="77777777" w:rsidR="00FD3B47" w:rsidRPr="00E42919" w:rsidRDefault="00FD3B47" w:rsidP="00D16719">
            <w:pPr>
              <w:jc w:val="both"/>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Factores a tener en cuenta para determinar la vida útil</w:t>
            </w:r>
          </w:p>
        </w:tc>
        <w:tc>
          <w:tcPr>
            <w:tcW w:w="2354" w:type="dxa"/>
            <w:tcBorders>
              <w:top w:val="nil"/>
              <w:left w:val="nil"/>
              <w:bottom w:val="single" w:sz="8" w:space="0" w:color="auto"/>
              <w:right w:val="single" w:sz="8" w:space="0" w:color="auto"/>
            </w:tcBorders>
            <w:shd w:val="clear" w:color="auto" w:fill="auto"/>
            <w:vAlign w:val="center"/>
            <w:hideMark/>
          </w:tcPr>
          <w:p w14:paraId="1937E4EE" w14:textId="77777777" w:rsidR="00FD3B47"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 xml:space="preserve">NICSP N° 31, </w:t>
            </w:r>
          </w:p>
          <w:p w14:paraId="105632B0" w14:textId="77777777" w:rsidR="00FD3B47" w:rsidRPr="00E42919"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Párrafo 89.</w:t>
            </w:r>
          </w:p>
        </w:tc>
        <w:tc>
          <w:tcPr>
            <w:tcW w:w="2279" w:type="dxa"/>
            <w:tcBorders>
              <w:top w:val="nil"/>
              <w:left w:val="nil"/>
              <w:bottom w:val="single" w:sz="8" w:space="0" w:color="auto"/>
              <w:right w:val="single" w:sz="8" w:space="0" w:color="auto"/>
            </w:tcBorders>
            <w:shd w:val="clear" w:color="auto" w:fill="auto"/>
            <w:vAlign w:val="center"/>
            <w:hideMark/>
          </w:tcPr>
          <w:p w14:paraId="55E35491"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DGCN</w:t>
            </w:r>
          </w:p>
        </w:tc>
      </w:tr>
      <w:tr w:rsidR="00FD3B47" w:rsidRPr="00E42919" w14:paraId="2332608A" w14:textId="77777777" w:rsidTr="00FD3B47">
        <w:trPr>
          <w:trHeight w:val="250"/>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08AAD752"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vAlign w:val="center"/>
            <w:hideMark/>
          </w:tcPr>
          <w:p w14:paraId="1D130D54"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256</w:t>
            </w:r>
          </w:p>
        </w:tc>
        <w:tc>
          <w:tcPr>
            <w:tcW w:w="519" w:type="dxa"/>
            <w:tcBorders>
              <w:top w:val="nil"/>
              <w:left w:val="nil"/>
              <w:bottom w:val="single" w:sz="8" w:space="0" w:color="auto"/>
              <w:right w:val="single" w:sz="8" w:space="0" w:color="auto"/>
            </w:tcBorders>
            <w:shd w:val="clear" w:color="auto" w:fill="auto"/>
            <w:vAlign w:val="center"/>
            <w:hideMark/>
          </w:tcPr>
          <w:p w14:paraId="7EF30D41"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2</w:t>
            </w:r>
          </w:p>
        </w:tc>
        <w:tc>
          <w:tcPr>
            <w:tcW w:w="2854" w:type="dxa"/>
            <w:tcBorders>
              <w:top w:val="nil"/>
              <w:left w:val="nil"/>
              <w:bottom w:val="single" w:sz="8" w:space="0" w:color="auto"/>
              <w:right w:val="single" w:sz="8" w:space="0" w:color="auto"/>
            </w:tcBorders>
            <w:shd w:val="clear" w:color="auto" w:fill="auto"/>
            <w:vAlign w:val="center"/>
            <w:hideMark/>
          </w:tcPr>
          <w:p w14:paraId="4D506A3A" w14:textId="77777777" w:rsidR="00FD3B47" w:rsidRPr="00E42919" w:rsidRDefault="00FD3B47" w:rsidP="00D16719">
            <w:pPr>
              <w:jc w:val="both"/>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Determinación de la vida útil finita</w:t>
            </w:r>
          </w:p>
        </w:tc>
        <w:tc>
          <w:tcPr>
            <w:tcW w:w="2354" w:type="dxa"/>
            <w:tcBorders>
              <w:top w:val="nil"/>
              <w:left w:val="nil"/>
              <w:bottom w:val="single" w:sz="8" w:space="0" w:color="auto"/>
              <w:right w:val="single" w:sz="8" w:space="0" w:color="auto"/>
            </w:tcBorders>
            <w:shd w:val="clear" w:color="auto" w:fill="auto"/>
            <w:vAlign w:val="center"/>
            <w:hideMark/>
          </w:tcPr>
          <w:p w14:paraId="21081767" w14:textId="77777777" w:rsidR="00FD3B47" w:rsidRDefault="00FD3B47" w:rsidP="00D16719">
            <w:pPr>
              <w:jc w:val="both"/>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 </w:t>
            </w:r>
            <w:r>
              <w:rPr>
                <w:rFonts w:ascii="Arial Narrow" w:eastAsia="Times New Roman" w:hAnsi="Arial Narrow"/>
                <w:b/>
                <w:bCs/>
                <w:color w:val="000000"/>
                <w:sz w:val="22"/>
                <w:szCs w:val="22"/>
                <w:lang w:val="es-CR"/>
              </w:rPr>
              <w:t>NICSP 31,</w:t>
            </w:r>
          </w:p>
          <w:p w14:paraId="4E768636" w14:textId="77777777" w:rsidR="00FD3B47" w:rsidRPr="00E42919" w:rsidRDefault="00FD3B47" w:rsidP="00D16719">
            <w:pPr>
              <w:jc w:val="both"/>
              <w:rPr>
                <w:rFonts w:ascii="Arial Narrow" w:eastAsia="Times New Roman" w:hAnsi="Arial Narrow"/>
                <w:b/>
                <w:bCs/>
                <w:color w:val="000000"/>
                <w:sz w:val="22"/>
                <w:szCs w:val="22"/>
                <w:lang w:val="es-CR"/>
              </w:rPr>
            </w:pPr>
            <w:r>
              <w:rPr>
                <w:rFonts w:ascii="Arial Narrow" w:eastAsia="Times New Roman" w:hAnsi="Arial Narrow"/>
                <w:b/>
                <w:bCs/>
                <w:color w:val="000000"/>
                <w:sz w:val="22"/>
                <w:szCs w:val="22"/>
                <w:lang w:val="es-CR"/>
              </w:rPr>
              <w:t>Párrafo 87.</w:t>
            </w:r>
          </w:p>
        </w:tc>
        <w:tc>
          <w:tcPr>
            <w:tcW w:w="2279" w:type="dxa"/>
            <w:tcBorders>
              <w:top w:val="nil"/>
              <w:left w:val="nil"/>
              <w:bottom w:val="single" w:sz="8" w:space="0" w:color="auto"/>
              <w:right w:val="single" w:sz="8" w:space="0" w:color="auto"/>
            </w:tcBorders>
            <w:shd w:val="clear" w:color="auto" w:fill="auto"/>
            <w:vAlign w:val="center"/>
            <w:hideMark/>
          </w:tcPr>
          <w:p w14:paraId="34079D82"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DGCN</w:t>
            </w:r>
          </w:p>
        </w:tc>
      </w:tr>
      <w:tr w:rsidR="00FD3B47" w:rsidRPr="00E42919" w14:paraId="76F8E471" w14:textId="77777777" w:rsidTr="00FD3B47">
        <w:trPr>
          <w:trHeight w:val="442"/>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5EAE5F94"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vAlign w:val="center"/>
            <w:hideMark/>
          </w:tcPr>
          <w:p w14:paraId="62959B9D"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256</w:t>
            </w:r>
          </w:p>
        </w:tc>
        <w:tc>
          <w:tcPr>
            <w:tcW w:w="519" w:type="dxa"/>
            <w:tcBorders>
              <w:top w:val="nil"/>
              <w:left w:val="nil"/>
              <w:bottom w:val="single" w:sz="8" w:space="0" w:color="auto"/>
              <w:right w:val="single" w:sz="8" w:space="0" w:color="auto"/>
            </w:tcBorders>
            <w:shd w:val="clear" w:color="auto" w:fill="auto"/>
            <w:vAlign w:val="center"/>
            <w:hideMark/>
          </w:tcPr>
          <w:p w14:paraId="207FB0A0"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3</w:t>
            </w:r>
          </w:p>
        </w:tc>
        <w:tc>
          <w:tcPr>
            <w:tcW w:w="2854" w:type="dxa"/>
            <w:tcBorders>
              <w:top w:val="nil"/>
              <w:left w:val="nil"/>
              <w:bottom w:val="single" w:sz="8" w:space="0" w:color="auto"/>
              <w:right w:val="single" w:sz="8" w:space="0" w:color="auto"/>
            </w:tcBorders>
            <w:shd w:val="clear" w:color="auto" w:fill="auto"/>
            <w:vAlign w:val="center"/>
            <w:hideMark/>
          </w:tcPr>
          <w:p w14:paraId="5DA7B4C1" w14:textId="77777777" w:rsidR="00FD3B47" w:rsidRPr="00E42919" w:rsidRDefault="00FD3B47" w:rsidP="00D16719">
            <w:pPr>
              <w:jc w:val="both"/>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Determinación de la vida útil indefinida</w:t>
            </w:r>
          </w:p>
        </w:tc>
        <w:tc>
          <w:tcPr>
            <w:tcW w:w="2354" w:type="dxa"/>
            <w:tcBorders>
              <w:top w:val="nil"/>
              <w:left w:val="nil"/>
              <w:bottom w:val="single" w:sz="8" w:space="0" w:color="auto"/>
              <w:right w:val="single" w:sz="8" w:space="0" w:color="auto"/>
            </w:tcBorders>
            <w:shd w:val="clear" w:color="auto" w:fill="auto"/>
            <w:vAlign w:val="center"/>
            <w:hideMark/>
          </w:tcPr>
          <w:p w14:paraId="05CE26A9" w14:textId="77777777" w:rsidR="00FD3B47" w:rsidRDefault="00FD3B47" w:rsidP="00D16719">
            <w:pPr>
              <w:jc w:val="both"/>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 </w:t>
            </w:r>
            <w:r>
              <w:rPr>
                <w:rFonts w:ascii="Arial Narrow" w:eastAsia="Times New Roman" w:hAnsi="Arial Narrow"/>
                <w:b/>
                <w:bCs/>
                <w:color w:val="000000"/>
                <w:sz w:val="22"/>
                <w:szCs w:val="22"/>
                <w:lang w:val="es-CR"/>
              </w:rPr>
              <w:t>NICSP 31,</w:t>
            </w:r>
          </w:p>
          <w:p w14:paraId="50ADCD01" w14:textId="77777777" w:rsidR="00FD3B47" w:rsidRPr="00E42919" w:rsidRDefault="00FD3B47" w:rsidP="00D16719">
            <w:pPr>
              <w:jc w:val="both"/>
              <w:rPr>
                <w:rFonts w:ascii="Arial Narrow" w:eastAsia="Times New Roman" w:hAnsi="Arial Narrow"/>
                <w:b/>
                <w:bCs/>
                <w:color w:val="000000"/>
                <w:sz w:val="22"/>
                <w:szCs w:val="22"/>
                <w:lang w:val="es-CR"/>
              </w:rPr>
            </w:pPr>
            <w:r>
              <w:rPr>
                <w:rFonts w:ascii="Arial Narrow" w:eastAsia="Times New Roman" w:hAnsi="Arial Narrow"/>
                <w:b/>
                <w:bCs/>
                <w:color w:val="000000"/>
                <w:sz w:val="22"/>
                <w:szCs w:val="22"/>
                <w:lang w:val="es-CR"/>
              </w:rPr>
              <w:t>Párrafo 87</w:t>
            </w:r>
          </w:p>
        </w:tc>
        <w:tc>
          <w:tcPr>
            <w:tcW w:w="2279" w:type="dxa"/>
            <w:tcBorders>
              <w:top w:val="nil"/>
              <w:left w:val="nil"/>
              <w:bottom w:val="single" w:sz="8" w:space="0" w:color="auto"/>
              <w:right w:val="single" w:sz="8" w:space="0" w:color="auto"/>
            </w:tcBorders>
            <w:shd w:val="clear" w:color="auto" w:fill="auto"/>
            <w:vAlign w:val="center"/>
            <w:hideMark/>
          </w:tcPr>
          <w:p w14:paraId="369E6E44" w14:textId="77777777" w:rsidR="00FD3B47" w:rsidRPr="00E42919" w:rsidRDefault="00FD3B47" w:rsidP="00D16719">
            <w:pPr>
              <w:ind w:firstLineChars="100" w:firstLine="220"/>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 </w:t>
            </w:r>
          </w:p>
        </w:tc>
      </w:tr>
      <w:tr w:rsidR="00FD3B47" w:rsidRPr="00E42919" w14:paraId="296F65AF" w14:textId="77777777" w:rsidTr="00FD3B47">
        <w:trPr>
          <w:trHeight w:val="478"/>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4560B6AA"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vAlign w:val="center"/>
            <w:hideMark/>
          </w:tcPr>
          <w:p w14:paraId="2A4C7C17"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256</w:t>
            </w:r>
          </w:p>
        </w:tc>
        <w:tc>
          <w:tcPr>
            <w:tcW w:w="519" w:type="dxa"/>
            <w:tcBorders>
              <w:top w:val="nil"/>
              <w:left w:val="nil"/>
              <w:bottom w:val="single" w:sz="8" w:space="0" w:color="auto"/>
              <w:right w:val="single" w:sz="8" w:space="0" w:color="auto"/>
            </w:tcBorders>
            <w:shd w:val="clear" w:color="auto" w:fill="auto"/>
            <w:vAlign w:val="center"/>
            <w:hideMark/>
          </w:tcPr>
          <w:p w14:paraId="53413A26"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4</w:t>
            </w:r>
          </w:p>
        </w:tc>
        <w:tc>
          <w:tcPr>
            <w:tcW w:w="2854" w:type="dxa"/>
            <w:tcBorders>
              <w:top w:val="nil"/>
              <w:left w:val="nil"/>
              <w:bottom w:val="single" w:sz="8" w:space="0" w:color="auto"/>
              <w:right w:val="single" w:sz="8" w:space="0" w:color="auto"/>
            </w:tcBorders>
            <w:shd w:val="clear" w:color="auto" w:fill="auto"/>
            <w:vAlign w:val="center"/>
            <w:hideMark/>
          </w:tcPr>
          <w:p w14:paraId="08609BB3" w14:textId="77777777" w:rsidR="00FD3B47" w:rsidRPr="00E42919" w:rsidRDefault="00FD3B47" w:rsidP="00D16719">
            <w:pPr>
              <w:jc w:val="both"/>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Revisión de la vida útil</w:t>
            </w:r>
          </w:p>
        </w:tc>
        <w:tc>
          <w:tcPr>
            <w:tcW w:w="2354" w:type="dxa"/>
            <w:tcBorders>
              <w:top w:val="nil"/>
              <w:left w:val="nil"/>
              <w:bottom w:val="single" w:sz="8" w:space="0" w:color="auto"/>
              <w:right w:val="single" w:sz="8" w:space="0" w:color="auto"/>
            </w:tcBorders>
            <w:shd w:val="clear" w:color="auto" w:fill="auto"/>
            <w:vAlign w:val="center"/>
            <w:hideMark/>
          </w:tcPr>
          <w:p w14:paraId="7D41D7F9" w14:textId="77777777" w:rsidR="00FD3B47"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 xml:space="preserve">NICSP N° 31, </w:t>
            </w:r>
          </w:p>
          <w:p w14:paraId="62076344" w14:textId="77777777" w:rsidR="00FD3B47" w:rsidRPr="00E42919"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Párrafo 103.</w:t>
            </w:r>
          </w:p>
        </w:tc>
        <w:tc>
          <w:tcPr>
            <w:tcW w:w="2279" w:type="dxa"/>
            <w:tcBorders>
              <w:top w:val="nil"/>
              <w:left w:val="nil"/>
              <w:bottom w:val="single" w:sz="8" w:space="0" w:color="auto"/>
              <w:right w:val="single" w:sz="8" w:space="0" w:color="auto"/>
            </w:tcBorders>
            <w:shd w:val="clear" w:color="auto" w:fill="auto"/>
            <w:vAlign w:val="center"/>
            <w:hideMark/>
          </w:tcPr>
          <w:p w14:paraId="507812A0" w14:textId="77777777" w:rsidR="00FD3B47" w:rsidRPr="00E42919" w:rsidRDefault="00FD3B47" w:rsidP="00D16719">
            <w:pPr>
              <w:ind w:firstLineChars="100" w:firstLine="220"/>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DGCN</w:t>
            </w:r>
          </w:p>
        </w:tc>
      </w:tr>
      <w:tr w:rsidR="00FD3B47" w:rsidRPr="00E42919" w14:paraId="3DB20336" w14:textId="77777777" w:rsidTr="00FD3B47">
        <w:trPr>
          <w:trHeight w:val="528"/>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319CB115"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vAlign w:val="center"/>
            <w:hideMark/>
          </w:tcPr>
          <w:p w14:paraId="6342498B"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256</w:t>
            </w:r>
          </w:p>
        </w:tc>
        <w:tc>
          <w:tcPr>
            <w:tcW w:w="519" w:type="dxa"/>
            <w:tcBorders>
              <w:top w:val="nil"/>
              <w:left w:val="nil"/>
              <w:bottom w:val="single" w:sz="8" w:space="0" w:color="auto"/>
              <w:right w:val="single" w:sz="8" w:space="0" w:color="auto"/>
            </w:tcBorders>
            <w:shd w:val="clear" w:color="auto" w:fill="auto"/>
            <w:vAlign w:val="center"/>
            <w:hideMark/>
          </w:tcPr>
          <w:p w14:paraId="010C4E50"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5</w:t>
            </w:r>
          </w:p>
        </w:tc>
        <w:tc>
          <w:tcPr>
            <w:tcW w:w="2854" w:type="dxa"/>
            <w:tcBorders>
              <w:top w:val="nil"/>
              <w:left w:val="nil"/>
              <w:bottom w:val="single" w:sz="8" w:space="0" w:color="auto"/>
              <w:right w:val="single" w:sz="8" w:space="0" w:color="auto"/>
            </w:tcBorders>
            <w:shd w:val="clear" w:color="auto" w:fill="auto"/>
            <w:vAlign w:val="center"/>
            <w:hideMark/>
          </w:tcPr>
          <w:p w14:paraId="50250D5B" w14:textId="77777777" w:rsidR="00FD3B47" w:rsidRPr="00E42919" w:rsidRDefault="00FD3B47" w:rsidP="00D16719">
            <w:pPr>
              <w:jc w:val="both"/>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Revisión de la vida útil indefinida</w:t>
            </w:r>
          </w:p>
        </w:tc>
        <w:tc>
          <w:tcPr>
            <w:tcW w:w="2354" w:type="dxa"/>
            <w:tcBorders>
              <w:top w:val="nil"/>
              <w:left w:val="nil"/>
              <w:bottom w:val="single" w:sz="8" w:space="0" w:color="auto"/>
              <w:right w:val="single" w:sz="8" w:space="0" w:color="auto"/>
            </w:tcBorders>
            <w:shd w:val="clear" w:color="auto" w:fill="auto"/>
            <w:vAlign w:val="center"/>
            <w:hideMark/>
          </w:tcPr>
          <w:p w14:paraId="387E420A" w14:textId="77777777" w:rsidR="00FD3B47"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 xml:space="preserve">NICSP N° 31, </w:t>
            </w:r>
          </w:p>
          <w:p w14:paraId="5EB840BD" w14:textId="77777777" w:rsidR="00FD3B47" w:rsidRPr="00E42919"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Párrafo 108.</w:t>
            </w:r>
          </w:p>
        </w:tc>
        <w:tc>
          <w:tcPr>
            <w:tcW w:w="2279" w:type="dxa"/>
            <w:tcBorders>
              <w:top w:val="nil"/>
              <w:left w:val="nil"/>
              <w:bottom w:val="single" w:sz="8" w:space="0" w:color="auto"/>
              <w:right w:val="single" w:sz="8" w:space="0" w:color="auto"/>
            </w:tcBorders>
            <w:shd w:val="clear" w:color="auto" w:fill="auto"/>
            <w:vAlign w:val="center"/>
            <w:hideMark/>
          </w:tcPr>
          <w:p w14:paraId="5D987AF5" w14:textId="77777777" w:rsidR="00FD3B47" w:rsidRPr="00E42919" w:rsidRDefault="00FD3B47" w:rsidP="00D16719">
            <w:pPr>
              <w:ind w:firstLineChars="100" w:firstLine="220"/>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 xml:space="preserve"> </w:t>
            </w:r>
          </w:p>
        </w:tc>
      </w:tr>
      <w:tr w:rsidR="00FD3B47" w:rsidRPr="00E42919" w14:paraId="3C92B9E9" w14:textId="77777777" w:rsidTr="00FD3B47">
        <w:trPr>
          <w:trHeight w:val="536"/>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71321245"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1</w:t>
            </w:r>
          </w:p>
        </w:tc>
        <w:tc>
          <w:tcPr>
            <w:tcW w:w="517" w:type="dxa"/>
            <w:tcBorders>
              <w:top w:val="nil"/>
              <w:left w:val="nil"/>
              <w:bottom w:val="single" w:sz="8" w:space="0" w:color="auto"/>
              <w:right w:val="single" w:sz="8" w:space="0" w:color="auto"/>
            </w:tcBorders>
            <w:shd w:val="clear" w:color="auto" w:fill="auto"/>
            <w:vAlign w:val="center"/>
            <w:hideMark/>
          </w:tcPr>
          <w:p w14:paraId="28F3D13C"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256</w:t>
            </w:r>
          </w:p>
        </w:tc>
        <w:tc>
          <w:tcPr>
            <w:tcW w:w="519" w:type="dxa"/>
            <w:tcBorders>
              <w:top w:val="nil"/>
              <w:left w:val="nil"/>
              <w:bottom w:val="single" w:sz="8" w:space="0" w:color="auto"/>
              <w:right w:val="single" w:sz="8" w:space="0" w:color="auto"/>
            </w:tcBorders>
            <w:shd w:val="clear" w:color="auto" w:fill="auto"/>
            <w:vAlign w:val="center"/>
            <w:hideMark/>
          </w:tcPr>
          <w:p w14:paraId="2CAEC17E" w14:textId="77777777" w:rsidR="00FD3B47" w:rsidRPr="00E42919" w:rsidRDefault="00FD3B47" w:rsidP="00D16719">
            <w:pPr>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6</w:t>
            </w:r>
          </w:p>
        </w:tc>
        <w:tc>
          <w:tcPr>
            <w:tcW w:w="2854" w:type="dxa"/>
            <w:tcBorders>
              <w:top w:val="nil"/>
              <w:left w:val="nil"/>
              <w:bottom w:val="single" w:sz="8" w:space="0" w:color="auto"/>
              <w:right w:val="single" w:sz="8" w:space="0" w:color="auto"/>
            </w:tcBorders>
            <w:shd w:val="clear" w:color="auto" w:fill="auto"/>
            <w:vAlign w:val="center"/>
            <w:hideMark/>
          </w:tcPr>
          <w:p w14:paraId="4741B851" w14:textId="77777777" w:rsidR="00FD3B47" w:rsidRPr="00E42919" w:rsidRDefault="00FD3B47" w:rsidP="00D16719">
            <w:pPr>
              <w:jc w:val="both"/>
              <w:rPr>
                <w:rFonts w:ascii="Arial Narrow" w:eastAsia="Times New Roman" w:hAnsi="Arial Narrow"/>
                <w:b/>
                <w:bCs/>
                <w:color w:val="000000"/>
                <w:sz w:val="22"/>
                <w:szCs w:val="22"/>
                <w:lang w:val="es-CR"/>
              </w:rPr>
            </w:pPr>
            <w:r w:rsidRPr="00E42919">
              <w:rPr>
                <w:rFonts w:ascii="Arial Narrow" w:eastAsia="Times New Roman" w:hAnsi="Arial Narrow"/>
                <w:b/>
                <w:bCs/>
                <w:color w:val="000000"/>
                <w:sz w:val="22"/>
                <w:szCs w:val="22"/>
                <w:lang w:val="es-CR"/>
              </w:rPr>
              <w:t>Amortización y uso del activo</w:t>
            </w:r>
          </w:p>
        </w:tc>
        <w:tc>
          <w:tcPr>
            <w:tcW w:w="2354" w:type="dxa"/>
            <w:tcBorders>
              <w:top w:val="nil"/>
              <w:left w:val="nil"/>
              <w:bottom w:val="single" w:sz="8" w:space="0" w:color="auto"/>
              <w:right w:val="single" w:sz="8" w:space="0" w:color="auto"/>
            </w:tcBorders>
            <w:shd w:val="clear" w:color="auto" w:fill="auto"/>
            <w:vAlign w:val="center"/>
            <w:hideMark/>
          </w:tcPr>
          <w:p w14:paraId="3F48E872" w14:textId="77777777" w:rsidR="00FD3B47"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 xml:space="preserve">NICSP N° 31, </w:t>
            </w:r>
          </w:p>
          <w:p w14:paraId="6B0A4244" w14:textId="77777777" w:rsidR="00FD3B47" w:rsidRPr="00E42919" w:rsidRDefault="00FD3B47" w:rsidP="00D16719">
            <w:pPr>
              <w:jc w:val="both"/>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Párrafo 116.</w:t>
            </w:r>
          </w:p>
        </w:tc>
        <w:tc>
          <w:tcPr>
            <w:tcW w:w="2279" w:type="dxa"/>
            <w:tcBorders>
              <w:top w:val="nil"/>
              <w:left w:val="nil"/>
              <w:bottom w:val="single" w:sz="8" w:space="0" w:color="auto"/>
              <w:right w:val="single" w:sz="8" w:space="0" w:color="auto"/>
            </w:tcBorders>
            <w:shd w:val="clear" w:color="auto" w:fill="auto"/>
            <w:vAlign w:val="center"/>
            <w:hideMark/>
          </w:tcPr>
          <w:p w14:paraId="039D1747" w14:textId="77777777" w:rsidR="00FD3B47" w:rsidRPr="00E42919" w:rsidRDefault="00FD3B47" w:rsidP="00D16719">
            <w:pPr>
              <w:ind w:firstLineChars="100" w:firstLine="220"/>
              <w:jc w:val="center"/>
              <w:rPr>
                <w:rFonts w:ascii="Arial Narrow" w:eastAsia="Times New Roman" w:hAnsi="Arial Narrow"/>
                <w:b/>
                <w:bCs/>
                <w:color w:val="000000"/>
                <w:sz w:val="22"/>
                <w:szCs w:val="22"/>
              </w:rPr>
            </w:pPr>
            <w:r w:rsidRPr="00E42919">
              <w:rPr>
                <w:rFonts w:ascii="Arial Narrow" w:eastAsia="Times New Roman" w:hAnsi="Arial Narrow"/>
                <w:b/>
                <w:bCs/>
                <w:color w:val="000000"/>
                <w:sz w:val="22"/>
                <w:szCs w:val="22"/>
              </w:rPr>
              <w:t>DGCN</w:t>
            </w:r>
          </w:p>
        </w:tc>
      </w:tr>
    </w:tbl>
    <w:p w14:paraId="63F3058C"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7D28A6E5" w14:textId="331687FE" w:rsidR="00FD3B47" w:rsidRDefault="005E1D63" w:rsidP="00FD3B47">
      <w:pPr>
        <w:spacing w:line="290" w:lineRule="exact"/>
        <w:rPr>
          <w:rFonts w:ascii="Arial" w:eastAsia="Arial" w:hAnsi="Arial"/>
          <w:b/>
          <w:sz w:val="22"/>
          <w:szCs w:val="22"/>
        </w:rPr>
      </w:pPr>
      <w:r w:rsidRPr="00F02F9D">
        <w:rPr>
          <w:rFonts w:ascii="Arial" w:eastAsia="Arial" w:hAnsi="Arial"/>
          <w:b/>
          <w:sz w:val="22"/>
          <w:szCs w:val="22"/>
        </w:rPr>
        <w:t>Políticas Contables</w:t>
      </w:r>
    </w:p>
    <w:p w14:paraId="4EB5C237" w14:textId="77777777" w:rsidR="005E1D63" w:rsidRDefault="005E1D63" w:rsidP="00FD3B47">
      <w:pPr>
        <w:spacing w:line="290" w:lineRule="exact"/>
        <w:rPr>
          <w:rFonts w:ascii="Times New Roman" w:eastAsia="Times New Roman" w:hAnsi="Times New Roman"/>
        </w:rPr>
      </w:pPr>
    </w:p>
    <w:p w14:paraId="1B9793A2" w14:textId="271162FF" w:rsidR="00FD3B47" w:rsidRPr="008A71CB"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1.256.0.01</w:t>
      </w:r>
      <w:r>
        <w:rPr>
          <w:rFonts w:ascii="Arial" w:hAnsi="Arial"/>
          <w:sz w:val="22"/>
          <w:szCs w:val="22"/>
          <w:lang w:val="es-CR"/>
        </w:rPr>
        <w:tab/>
      </w:r>
      <w:r w:rsidRPr="008A71CB">
        <w:rPr>
          <w:rFonts w:ascii="Arial" w:hAnsi="Arial"/>
          <w:sz w:val="22"/>
          <w:szCs w:val="22"/>
          <w:lang w:val="es-CR"/>
        </w:rPr>
        <w:t xml:space="preserve">En la </w:t>
      </w:r>
      <w:r w:rsidR="000F29DC">
        <w:rPr>
          <w:rFonts w:ascii="Arial" w:hAnsi="Arial"/>
          <w:sz w:val="22"/>
          <w:szCs w:val="22"/>
          <w:lang w:val="es-CR"/>
        </w:rPr>
        <w:t>MBA</w:t>
      </w:r>
      <w:r w:rsidRPr="008A71CB">
        <w:rPr>
          <w:rFonts w:ascii="Arial" w:hAnsi="Arial"/>
          <w:sz w:val="22"/>
          <w:szCs w:val="22"/>
          <w:lang w:val="es-CR"/>
        </w:rPr>
        <w:t xml:space="preserve"> la vida útil de un activo intangible puede ser finita o indefinida, y en caso de aquellos activos que tengan vida útil finita se debe amortizar el costo del activo durante la vida útil establecida.</w:t>
      </w:r>
    </w:p>
    <w:p w14:paraId="21076BD2" w14:textId="77777777" w:rsidR="00FD3B47" w:rsidRPr="00627673" w:rsidRDefault="00FD3B47" w:rsidP="00FD3B47">
      <w:pPr>
        <w:spacing w:line="285" w:lineRule="exact"/>
        <w:rPr>
          <w:rFonts w:ascii="Times New Roman" w:eastAsia="Times New Roman" w:hAnsi="Times New Roman"/>
          <w:lang w:val="es-CR"/>
        </w:rPr>
      </w:pPr>
    </w:p>
    <w:p w14:paraId="34C01315" w14:textId="77777777"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1.256.1.01</w:t>
      </w:r>
      <w:r>
        <w:rPr>
          <w:rFonts w:ascii="Arial" w:hAnsi="Arial"/>
          <w:sz w:val="22"/>
          <w:szCs w:val="22"/>
          <w:lang w:val="es-CR"/>
        </w:rPr>
        <w:tab/>
      </w:r>
      <w:r w:rsidRPr="008A71CB">
        <w:rPr>
          <w:rFonts w:ascii="Arial" w:hAnsi="Arial"/>
          <w:sz w:val="22"/>
          <w:szCs w:val="22"/>
          <w:lang w:val="es-CR"/>
        </w:rPr>
        <w:t xml:space="preserve">Para determinar la vida útil de un activo entre otros se tomarán en consideración los siguientes factores: </w:t>
      </w:r>
    </w:p>
    <w:p w14:paraId="47A8E485" w14:textId="77777777" w:rsidR="00FD3B47" w:rsidRPr="008A71CB" w:rsidRDefault="00FD3B47" w:rsidP="00FD3B47">
      <w:pPr>
        <w:spacing w:line="238" w:lineRule="auto"/>
        <w:ind w:left="1134" w:right="260" w:hanging="1134"/>
        <w:jc w:val="both"/>
        <w:rPr>
          <w:rFonts w:ascii="Arial" w:hAnsi="Arial"/>
          <w:sz w:val="22"/>
          <w:szCs w:val="22"/>
          <w:lang w:val="es-CR"/>
        </w:rPr>
      </w:pPr>
    </w:p>
    <w:p w14:paraId="35539EA1" w14:textId="77777777" w:rsidR="00FD3B47" w:rsidRPr="008A71CB" w:rsidRDefault="00FD3B47">
      <w:pPr>
        <w:pStyle w:val="Default"/>
        <w:numPr>
          <w:ilvl w:val="0"/>
          <w:numId w:val="111"/>
        </w:numPr>
        <w:spacing w:after="120"/>
        <w:ind w:left="1417" w:hanging="357"/>
        <w:jc w:val="both"/>
        <w:rPr>
          <w:sz w:val="23"/>
          <w:szCs w:val="23"/>
          <w:lang w:val="es-CR"/>
        </w:rPr>
      </w:pPr>
      <w:r>
        <w:rPr>
          <w:sz w:val="23"/>
          <w:szCs w:val="23"/>
          <w:lang w:val="es-CR"/>
        </w:rPr>
        <w:t>L</w:t>
      </w:r>
      <w:r w:rsidRPr="008A71CB">
        <w:rPr>
          <w:sz w:val="23"/>
          <w:szCs w:val="23"/>
          <w:lang w:val="es-CR"/>
        </w:rPr>
        <w:t>a utilización esperada del activo por parte de la entidad, así como si el activo pu</w:t>
      </w:r>
      <w:r>
        <w:rPr>
          <w:sz w:val="23"/>
          <w:szCs w:val="23"/>
          <w:lang w:val="es-CR"/>
        </w:rPr>
        <w:t>e</w:t>
      </w:r>
      <w:r w:rsidRPr="008A71CB">
        <w:rPr>
          <w:sz w:val="23"/>
          <w:szCs w:val="23"/>
          <w:lang w:val="es-CR"/>
        </w:rPr>
        <w:t xml:space="preserve">de ser gestionado de forma eficiente por otro equipo directivo distinto; </w:t>
      </w:r>
    </w:p>
    <w:p w14:paraId="63F957EF" w14:textId="77777777" w:rsidR="00FD3B47" w:rsidRPr="008A71CB" w:rsidRDefault="00FD3B47">
      <w:pPr>
        <w:pStyle w:val="Default"/>
        <w:numPr>
          <w:ilvl w:val="0"/>
          <w:numId w:val="111"/>
        </w:numPr>
        <w:spacing w:after="120"/>
        <w:ind w:left="1417" w:hanging="357"/>
        <w:jc w:val="both"/>
        <w:rPr>
          <w:sz w:val="23"/>
          <w:szCs w:val="23"/>
          <w:lang w:val="es-CR"/>
        </w:rPr>
      </w:pPr>
      <w:r>
        <w:rPr>
          <w:sz w:val="23"/>
          <w:szCs w:val="23"/>
          <w:lang w:val="es-CR"/>
        </w:rPr>
        <w:t>L</w:t>
      </w:r>
      <w:r w:rsidRPr="008A71CB">
        <w:rPr>
          <w:sz w:val="23"/>
          <w:szCs w:val="23"/>
          <w:lang w:val="es-CR"/>
        </w:rPr>
        <w:t xml:space="preserve">os ciclos típicos de vida del producto y la información pública sobre estimaciones de la vida útil, para tipos similares de activos que tengan una utilización parecida; </w:t>
      </w:r>
    </w:p>
    <w:p w14:paraId="6FAF56AB" w14:textId="77777777" w:rsidR="00FD3B47" w:rsidRPr="008A71CB" w:rsidRDefault="00FD3B47">
      <w:pPr>
        <w:pStyle w:val="Default"/>
        <w:numPr>
          <w:ilvl w:val="0"/>
          <w:numId w:val="111"/>
        </w:numPr>
        <w:spacing w:after="120"/>
        <w:ind w:left="1417" w:hanging="357"/>
        <w:rPr>
          <w:sz w:val="23"/>
          <w:szCs w:val="23"/>
          <w:lang w:val="es-CR"/>
        </w:rPr>
      </w:pPr>
      <w:r>
        <w:rPr>
          <w:sz w:val="23"/>
          <w:szCs w:val="23"/>
          <w:lang w:val="es-CR"/>
        </w:rPr>
        <w:t>L</w:t>
      </w:r>
      <w:r w:rsidRPr="008A71CB">
        <w:rPr>
          <w:sz w:val="23"/>
          <w:szCs w:val="23"/>
          <w:lang w:val="es-CR"/>
        </w:rPr>
        <w:t xml:space="preserve">a obsolescencia técnica, tecnológica, comercial o de otro tipo; </w:t>
      </w:r>
    </w:p>
    <w:p w14:paraId="349CDF13" w14:textId="5633B826" w:rsidR="00FD3B47" w:rsidRPr="008A71CB" w:rsidRDefault="00FD3B47">
      <w:pPr>
        <w:pStyle w:val="Default"/>
        <w:numPr>
          <w:ilvl w:val="0"/>
          <w:numId w:val="111"/>
        </w:numPr>
        <w:spacing w:after="120"/>
        <w:ind w:left="1417" w:hanging="357"/>
        <w:jc w:val="both"/>
        <w:rPr>
          <w:sz w:val="23"/>
          <w:szCs w:val="23"/>
          <w:lang w:val="es-CR"/>
        </w:rPr>
      </w:pPr>
      <w:r>
        <w:rPr>
          <w:sz w:val="23"/>
          <w:szCs w:val="23"/>
          <w:lang w:val="es-CR"/>
        </w:rPr>
        <w:t>L</w:t>
      </w:r>
      <w:r w:rsidRPr="008A71CB">
        <w:rPr>
          <w:sz w:val="23"/>
          <w:szCs w:val="23"/>
          <w:lang w:val="es-CR"/>
        </w:rPr>
        <w:t xml:space="preserve">a estabilidad de la industria en la que opere el activo, así como los </w:t>
      </w:r>
      <w:r w:rsidR="0021354A" w:rsidRPr="008A71CB">
        <w:rPr>
          <w:sz w:val="23"/>
          <w:szCs w:val="23"/>
          <w:lang w:val="es-CR"/>
        </w:rPr>
        <w:t>ca</w:t>
      </w:r>
      <w:r w:rsidR="0021354A">
        <w:rPr>
          <w:sz w:val="23"/>
          <w:szCs w:val="23"/>
          <w:lang w:val="es-CR"/>
        </w:rPr>
        <w:t>mbi</w:t>
      </w:r>
      <w:r w:rsidR="0021354A" w:rsidRPr="008A71CB">
        <w:rPr>
          <w:sz w:val="23"/>
          <w:szCs w:val="23"/>
          <w:lang w:val="es-CR"/>
        </w:rPr>
        <w:t>os</w:t>
      </w:r>
      <w:r w:rsidRPr="008A71CB">
        <w:rPr>
          <w:sz w:val="23"/>
          <w:szCs w:val="23"/>
          <w:lang w:val="es-CR"/>
        </w:rPr>
        <w:t xml:space="preserve"> en la demanda de mercado para los productos o servicios fabricados con el activo; </w:t>
      </w:r>
    </w:p>
    <w:p w14:paraId="0126A69C" w14:textId="77777777" w:rsidR="00FD3B47" w:rsidRDefault="00FD3B47">
      <w:pPr>
        <w:pStyle w:val="Default"/>
        <w:numPr>
          <w:ilvl w:val="0"/>
          <w:numId w:val="111"/>
        </w:numPr>
        <w:spacing w:after="120"/>
        <w:ind w:left="1417" w:hanging="357"/>
        <w:jc w:val="both"/>
        <w:rPr>
          <w:sz w:val="23"/>
          <w:szCs w:val="23"/>
          <w:lang w:val="es-CR"/>
        </w:rPr>
      </w:pPr>
      <w:r>
        <w:rPr>
          <w:sz w:val="23"/>
          <w:szCs w:val="23"/>
          <w:lang w:val="es-CR"/>
        </w:rPr>
        <w:t>L</w:t>
      </w:r>
      <w:r w:rsidRPr="008A71CB">
        <w:rPr>
          <w:sz w:val="23"/>
          <w:szCs w:val="23"/>
          <w:lang w:val="es-CR"/>
        </w:rPr>
        <w:t>as actuaciones esperadas de los competidores ya sean actuales o potenciales;</w:t>
      </w:r>
    </w:p>
    <w:p w14:paraId="42D265D2" w14:textId="39A4FA5C" w:rsidR="00FD3B47" w:rsidRDefault="00FD3B47">
      <w:pPr>
        <w:pStyle w:val="Default"/>
        <w:numPr>
          <w:ilvl w:val="0"/>
          <w:numId w:val="111"/>
        </w:numPr>
        <w:spacing w:after="120"/>
        <w:ind w:left="1417" w:hanging="357"/>
        <w:jc w:val="both"/>
        <w:rPr>
          <w:sz w:val="23"/>
          <w:szCs w:val="23"/>
          <w:lang w:val="es-CR"/>
        </w:rPr>
      </w:pPr>
      <w:r>
        <w:rPr>
          <w:color w:val="auto"/>
          <w:sz w:val="23"/>
          <w:szCs w:val="23"/>
          <w:lang w:val="es-CR"/>
        </w:rPr>
        <w:t>E</w:t>
      </w:r>
      <w:r w:rsidRPr="00EE4739">
        <w:rPr>
          <w:color w:val="auto"/>
          <w:sz w:val="23"/>
          <w:szCs w:val="23"/>
          <w:lang w:val="es-CR"/>
        </w:rPr>
        <w:t xml:space="preserve">l nivel de los </w:t>
      </w:r>
      <w:r w:rsidR="0021354A" w:rsidRPr="00EE4739">
        <w:rPr>
          <w:color w:val="auto"/>
          <w:sz w:val="23"/>
          <w:szCs w:val="23"/>
          <w:lang w:val="es-CR"/>
        </w:rPr>
        <w:t>dese</w:t>
      </w:r>
      <w:r w:rsidR="0021354A">
        <w:rPr>
          <w:color w:val="auto"/>
          <w:sz w:val="23"/>
          <w:szCs w:val="23"/>
          <w:lang w:val="es-CR"/>
        </w:rPr>
        <w:t>mbo</w:t>
      </w:r>
      <w:r w:rsidR="0021354A" w:rsidRPr="00EE4739">
        <w:rPr>
          <w:color w:val="auto"/>
          <w:sz w:val="23"/>
          <w:szCs w:val="23"/>
          <w:lang w:val="es-CR"/>
        </w:rPr>
        <w:t>lsos</w:t>
      </w:r>
      <w:r w:rsidRPr="00EE4739">
        <w:rPr>
          <w:color w:val="auto"/>
          <w:sz w:val="23"/>
          <w:szCs w:val="23"/>
          <w:lang w:val="es-CR"/>
        </w:rPr>
        <w:t xml:space="preserve"> por mantenimiento necesarios para conseguir los beneficios económicos o potencial de servicio futuros esperados del activo, así como la capacidad y voluntad de la entidad para alcanzar ese nivel; </w:t>
      </w:r>
    </w:p>
    <w:p w14:paraId="1C98F725" w14:textId="77777777" w:rsidR="00FD3B47" w:rsidRDefault="00FD3B47">
      <w:pPr>
        <w:pStyle w:val="Default"/>
        <w:numPr>
          <w:ilvl w:val="0"/>
          <w:numId w:val="111"/>
        </w:numPr>
        <w:spacing w:after="120"/>
        <w:ind w:left="1417" w:hanging="357"/>
        <w:jc w:val="both"/>
        <w:rPr>
          <w:sz w:val="23"/>
          <w:szCs w:val="23"/>
          <w:lang w:val="es-CR"/>
        </w:rPr>
      </w:pPr>
      <w:r>
        <w:rPr>
          <w:color w:val="auto"/>
          <w:sz w:val="23"/>
          <w:szCs w:val="23"/>
          <w:lang w:val="es-CR"/>
        </w:rPr>
        <w:lastRenderedPageBreak/>
        <w:t>E</w:t>
      </w:r>
      <w:r w:rsidRPr="00EE4739">
        <w:rPr>
          <w:color w:val="auto"/>
          <w:sz w:val="23"/>
          <w:szCs w:val="23"/>
          <w:lang w:val="es-CR"/>
        </w:rPr>
        <w:t xml:space="preserve">l período de control sobre el activo así como los límites, ya sean legales o de otro tipo, sobre el uso del activo, tales como las fechas de caducidad de los arrendamientos relacionados con él; y </w:t>
      </w:r>
    </w:p>
    <w:p w14:paraId="334DFAD1" w14:textId="77777777" w:rsidR="00FD3B47" w:rsidRPr="00EE4739" w:rsidRDefault="00FD3B47">
      <w:pPr>
        <w:pStyle w:val="Default"/>
        <w:numPr>
          <w:ilvl w:val="0"/>
          <w:numId w:val="111"/>
        </w:numPr>
        <w:ind w:left="1417" w:hanging="357"/>
        <w:jc w:val="both"/>
        <w:rPr>
          <w:sz w:val="23"/>
          <w:szCs w:val="23"/>
          <w:lang w:val="es-CR"/>
        </w:rPr>
      </w:pPr>
      <w:r>
        <w:rPr>
          <w:sz w:val="23"/>
          <w:szCs w:val="23"/>
          <w:lang w:val="es-CR"/>
        </w:rPr>
        <w:t>S</w:t>
      </w:r>
      <w:r w:rsidRPr="00EE4739">
        <w:rPr>
          <w:color w:val="auto"/>
          <w:sz w:val="23"/>
          <w:szCs w:val="23"/>
          <w:lang w:val="es-CR"/>
        </w:rPr>
        <w:t xml:space="preserve">i la vida útil del activo depende de las vidas útiles de otros activos poseídos por la entidad. </w:t>
      </w:r>
    </w:p>
    <w:p w14:paraId="519BFC7E" w14:textId="77777777" w:rsidR="00FD3B47" w:rsidRPr="008A71CB" w:rsidRDefault="00FD3B47" w:rsidP="00FD3B47">
      <w:pPr>
        <w:pStyle w:val="Default"/>
        <w:rPr>
          <w:color w:val="auto"/>
          <w:sz w:val="23"/>
          <w:szCs w:val="23"/>
          <w:lang w:val="es-CR"/>
        </w:rPr>
      </w:pPr>
    </w:p>
    <w:p w14:paraId="68323C12" w14:textId="455FF163"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1.256.2.01</w:t>
      </w:r>
      <w:r>
        <w:rPr>
          <w:rFonts w:ascii="Arial" w:hAnsi="Arial"/>
          <w:sz w:val="22"/>
          <w:szCs w:val="22"/>
          <w:lang w:val="es-CR"/>
        </w:rPr>
        <w:tab/>
      </w:r>
      <w:r w:rsidRPr="004F2056">
        <w:rPr>
          <w:rFonts w:ascii="Arial" w:hAnsi="Arial"/>
          <w:sz w:val="22"/>
          <w:szCs w:val="22"/>
          <w:lang w:val="es-CR"/>
        </w:rPr>
        <w:t xml:space="preserve">La </w:t>
      </w:r>
      <w:r w:rsidR="000F29DC">
        <w:rPr>
          <w:rFonts w:ascii="Arial" w:hAnsi="Arial"/>
          <w:sz w:val="22"/>
          <w:szCs w:val="22"/>
          <w:lang w:val="es-CR"/>
        </w:rPr>
        <w:t>MBA</w:t>
      </w:r>
      <w:r w:rsidRPr="004F2056">
        <w:rPr>
          <w:rFonts w:ascii="Arial" w:hAnsi="Arial"/>
          <w:sz w:val="22"/>
          <w:szCs w:val="22"/>
          <w:lang w:val="es-CR"/>
        </w:rPr>
        <w:t>, determinará los años de vida útil posible para los activos intangibles de vida finita (evaluará la duración, o el número de unidades productivas o su potencial de servicio), de acuerdo con de las características de los activos, los informes producidos por quien los desarrolle, los documentos de quien lo provea, o lo establecido en la normativa contable emitida por la DGCN.</w:t>
      </w:r>
    </w:p>
    <w:p w14:paraId="6A37779F" w14:textId="77777777" w:rsidR="00FD3B47" w:rsidRDefault="00FD3B47" w:rsidP="00FD3B47">
      <w:pPr>
        <w:spacing w:line="238" w:lineRule="auto"/>
        <w:ind w:left="1134" w:right="260" w:hanging="1134"/>
        <w:jc w:val="both"/>
        <w:rPr>
          <w:rFonts w:ascii="Arial" w:hAnsi="Arial"/>
          <w:sz w:val="22"/>
          <w:szCs w:val="22"/>
          <w:lang w:val="es-CR"/>
        </w:rPr>
      </w:pPr>
    </w:p>
    <w:p w14:paraId="6CF4FCFB" w14:textId="77869506"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1.256.2.02</w:t>
      </w:r>
      <w:r>
        <w:rPr>
          <w:rFonts w:ascii="Arial" w:hAnsi="Arial"/>
          <w:sz w:val="22"/>
          <w:szCs w:val="22"/>
          <w:lang w:val="es-CR"/>
        </w:rPr>
        <w:tab/>
        <w:t xml:space="preserve">La </w:t>
      </w:r>
      <w:r w:rsidR="000F29DC">
        <w:rPr>
          <w:rFonts w:ascii="Arial" w:hAnsi="Arial"/>
          <w:sz w:val="22"/>
          <w:szCs w:val="22"/>
          <w:lang w:val="es-CR"/>
        </w:rPr>
        <w:t>MBA</w:t>
      </w:r>
      <w:r>
        <w:rPr>
          <w:rFonts w:ascii="Arial" w:hAnsi="Arial"/>
          <w:sz w:val="22"/>
          <w:szCs w:val="22"/>
          <w:lang w:val="es-CR"/>
        </w:rPr>
        <w:t xml:space="preserve"> establece la vida útil del Software y Programas en 5 años y en caso de otros derechos la vida útil será de 10 años de acuerdo con lo establecido por la DGCN en la Directriz Nº CN-001-2009 del 23 de </w:t>
      </w:r>
      <w:r w:rsidR="0021354A">
        <w:rPr>
          <w:rFonts w:ascii="Arial" w:hAnsi="Arial"/>
          <w:sz w:val="22"/>
          <w:szCs w:val="22"/>
          <w:lang w:val="es-CR"/>
        </w:rPr>
        <w:t>noviembre</w:t>
      </w:r>
      <w:r>
        <w:rPr>
          <w:rFonts w:ascii="Arial" w:hAnsi="Arial"/>
          <w:sz w:val="22"/>
          <w:szCs w:val="22"/>
          <w:lang w:val="es-CR"/>
        </w:rPr>
        <w:t xml:space="preserve"> de 2009 “Valoración, Revaluación, depreciación de Propiedad, Planta y Equipo”.</w:t>
      </w:r>
    </w:p>
    <w:p w14:paraId="0D9A0A72" w14:textId="77777777" w:rsidR="00FD3B47" w:rsidRDefault="00FD3B47" w:rsidP="00FD3B47">
      <w:pPr>
        <w:spacing w:line="238" w:lineRule="auto"/>
        <w:ind w:left="1134" w:right="260" w:hanging="1134"/>
        <w:jc w:val="both"/>
        <w:rPr>
          <w:rFonts w:ascii="Arial" w:hAnsi="Arial"/>
          <w:sz w:val="22"/>
          <w:szCs w:val="22"/>
          <w:lang w:val="es-CR"/>
        </w:rPr>
      </w:pPr>
    </w:p>
    <w:p w14:paraId="698F6232" w14:textId="77777777"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1.256.2.01</w:t>
      </w:r>
      <w:r>
        <w:rPr>
          <w:rFonts w:ascii="Arial" w:hAnsi="Arial"/>
          <w:sz w:val="22"/>
          <w:szCs w:val="22"/>
          <w:lang w:val="es-CR"/>
        </w:rPr>
        <w:tab/>
        <w:t>Los activos de vida útil finita se amortizarán durante el periodo de vida útil determinado.</w:t>
      </w:r>
    </w:p>
    <w:p w14:paraId="3CB70D81" w14:textId="77777777" w:rsidR="00FD3B47" w:rsidRDefault="00FD3B47" w:rsidP="00FD3B47">
      <w:pPr>
        <w:spacing w:line="238" w:lineRule="auto"/>
        <w:ind w:left="1134" w:right="260" w:hanging="1134"/>
        <w:jc w:val="both"/>
        <w:rPr>
          <w:rFonts w:ascii="Arial" w:hAnsi="Arial"/>
          <w:sz w:val="22"/>
          <w:szCs w:val="22"/>
          <w:lang w:val="es-CR"/>
        </w:rPr>
      </w:pPr>
    </w:p>
    <w:p w14:paraId="558DD292" w14:textId="3918FB93" w:rsidR="00FD3B47" w:rsidRPr="004F2056"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1.256.3.01</w:t>
      </w:r>
      <w:r>
        <w:rPr>
          <w:rFonts w:ascii="Arial" w:hAnsi="Arial"/>
          <w:sz w:val="22"/>
          <w:szCs w:val="22"/>
          <w:lang w:val="es-CR"/>
        </w:rPr>
        <w:tab/>
        <w:t xml:space="preserve">La </w:t>
      </w:r>
      <w:r w:rsidR="000F29DC">
        <w:rPr>
          <w:rFonts w:ascii="Arial" w:hAnsi="Arial"/>
          <w:sz w:val="22"/>
          <w:szCs w:val="22"/>
          <w:lang w:val="es-CR"/>
        </w:rPr>
        <w:t>MBA</w:t>
      </w:r>
      <w:r>
        <w:rPr>
          <w:rFonts w:ascii="Arial" w:hAnsi="Arial"/>
          <w:sz w:val="22"/>
          <w:szCs w:val="22"/>
          <w:lang w:val="es-CR"/>
        </w:rPr>
        <w:t xml:space="preserve"> clasificará un activo como de vida útil indefinida cuando habiendo analizado todos lo</w:t>
      </w:r>
      <w:r w:rsidR="0021354A">
        <w:rPr>
          <w:rFonts w:ascii="Arial" w:hAnsi="Arial"/>
          <w:sz w:val="22"/>
          <w:szCs w:val="22"/>
          <w:lang w:val="es-CR"/>
        </w:rPr>
        <w:t>s</w:t>
      </w:r>
      <w:r>
        <w:rPr>
          <w:rFonts w:ascii="Arial" w:hAnsi="Arial"/>
          <w:sz w:val="22"/>
          <w:szCs w:val="22"/>
          <w:lang w:val="es-CR"/>
        </w:rPr>
        <w:t xml:space="preserve"> </w:t>
      </w:r>
      <w:r w:rsidR="005E1D63">
        <w:rPr>
          <w:rFonts w:ascii="Arial" w:hAnsi="Arial"/>
          <w:sz w:val="22"/>
          <w:szCs w:val="22"/>
          <w:lang w:val="es-CR"/>
        </w:rPr>
        <w:t>factores relevantes</w:t>
      </w:r>
      <w:r>
        <w:rPr>
          <w:rFonts w:ascii="Arial" w:hAnsi="Arial"/>
          <w:sz w:val="22"/>
          <w:szCs w:val="22"/>
          <w:lang w:val="es-CR"/>
        </w:rPr>
        <w:t xml:space="preserve">, no existe un periodo previsible de tiempo en el cual se espera que el activo genere entradas de flujos de efectivo o proporcione potencial de servicio a la Municipalidad. </w:t>
      </w:r>
    </w:p>
    <w:p w14:paraId="3CD41A88" w14:textId="77777777" w:rsidR="00FD3B47" w:rsidRPr="008A71CB" w:rsidRDefault="00FD3B47" w:rsidP="00FD3B47">
      <w:pPr>
        <w:pStyle w:val="Default"/>
        <w:rPr>
          <w:color w:val="auto"/>
          <w:sz w:val="23"/>
          <w:szCs w:val="23"/>
          <w:lang w:val="es-CR"/>
        </w:rPr>
      </w:pPr>
    </w:p>
    <w:p w14:paraId="300AB809" w14:textId="4387A35D" w:rsidR="00FD3B47" w:rsidRDefault="00FD3B47" w:rsidP="00FD3B47">
      <w:pPr>
        <w:spacing w:line="238" w:lineRule="auto"/>
        <w:ind w:left="1134" w:right="260" w:hanging="1134"/>
        <w:jc w:val="both"/>
        <w:rPr>
          <w:rFonts w:ascii="Arial" w:hAnsi="Arial"/>
          <w:sz w:val="22"/>
          <w:szCs w:val="22"/>
          <w:lang w:val="es-CR"/>
        </w:rPr>
      </w:pPr>
      <w:r w:rsidRPr="00AC6414">
        <w:rPr>
          <w:rFonts w:ascii="Arial" w:hAnsi="Arial"/>
          <w:sz w:val="22"/>
          <w:szCs w:val="22"/>
          <w:lang w:val="es-CR"/>
        </w:rPr>
        <w:t>1.256.3</w:t>
      </w:r>
      <w:r w:rsidRPr="008A33B7">
        <w:rPr>
          <w:rFonts w:ascii="Arial" w:hAnsi="Arial"/>
          <w:sz w:val="22"/>
          <w:szCs w:val="22"/>
          <w:lang w:val="es-CR"/>
        </w:rPr>
        <w:t>.</w:t>
      </w:r>
      <w:r>
        <w:rPr>
          <w:rFonts w:ascii="Arial" w:hAnsi="Arial"/>
          <w:sz w:val="22"/>
          <w:szCs w:val="22"/>
          <w:lang w:val="es-CR"/>
        </w:rPr>
        <w:t>02</w:t>
      </w:r>
      <w:r>
        <w:rPr>
          <w:rFonts w:ascii="Arial" w:hAnsi="Arial"/>
          <w:sz w:val="22"/>
          <w:szCs w:val="22"/>
          <w:lang w:val="es-CR"/>
        </w:rPr>
        <w:tab/>
        <w:t>L</w:t>
      </w:r>
      <w:r w:rsidRPr="008A33B7">
        <w:rPr>
          <w:rFonts w:ascii="Arial" w:hAnsi="Arial"/>
          <w:sz w:val="22"/>
          <w:szCs w:val="22"/>
          <w:lang w:val="es-CR"/>
        </w:rPr>
        <w:t xml:space="preserve">os activos intangibles con vida útil indefinida deberán ser evaluados y autorizados a tener tal carácter por la </w:t>
      </w:r>
      <w:r>
        <w:rPr>
          <w:rFonts w:ascii="Arial" w:hAnsi="Arial"/>
          <w:sz w:val="22"/>
          <w:szCs w:val="22"/>
          <w:lang w:val="es-CR"/>
        </w:rPr>
        <w:t xml:space="preserve">Contabilidad Municipal y en caso de existir </w:t>
      </w:r>
      <w:r w:rsidR="0021354A">
        <w:rPr>
          <w:rFonts w:ascii="Arial" w:hAnsi="Arial"/>
          <w:sz w:val="22"/>
          <w:szCs w:val="22"/>
          <w:lang w:val="es-CR"/>
        </w:rPr>
        <w:t>incertidumbre</w:t>
      </w:r>
      <w:r>
        <w:rPr>
          <w:rFonts w:ascii="Arial" w:hAnsi="Arial"/>
          <w:sz w:val="22"/>
          <w:szCs w:val="22"/>
          <w:lang w:val="es-CR"/>
        </w:rPr>
        <w:t xml:space="preserve"> sobre su clasificación se consultará a la DGCN, con el fin de realizar una estimación prudente de la vida útil del activo intangible</w:t>
      </w:r>
      <w:r w:rsidRPr="008A33B7">
        <w:rPr>
          <w:rFonts w:ascii="Arial" w:hAnsi="Arial"/>
          <w:sz w:val="22"/>
          <w:szCs w:val="22"/>
          <w:lang w:val="es-CR"/>
        </w:rPr>
        <w:t>.</w:t>
      </w:r>
    </w:p>
    <w:p w14:paraId="264308F0" w14:textId="77777777" w:rsidR="00FD3B47" w:rsidRDefault="00FD3B47" w:rsidP="00FD3B47">
      <w:pPr>
        <w:spacing w:line="238" w:lineRule="auto"/>
        <w:ind w:left="1134" w:right="260" w:hanging="1134"/>
        <w:jc w:val="both"/>
        <w:rPr>
          <w:rFonts w:ascii="Arial" w:hAnsi="Arial"/>
          <w:sz w:val="22"/>
          <w:szCs w:val="22"/>
          <w:lang w:val="es-CR"/>
        </w:rPr>
      </w:pPr>
    </w:p>
    <w:p w14:paraId="74BAA697" w14:textId="3FDC8A86" w:rsidR="00FD3B47" w:rsidRPr="008A33B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1.256.3.03</w:t>
      </w:r>
      <w:r>
        <w:rPr>
          <w:rFonts w:ascii="Arial" w:hAnsi="Arial"/>
          <w:sz w:val="22"/>
          <w:szCs w:val="22"/>
          <w:lang w:val="es-CR"/>
        </w:rPr>
        <w:tab/>
        <w:t>Los activos de vida útil indefinida debido a esa característica (</w:t>
      </w:r>
      <w:r w:rsidR="0021354A">
        <w:rPr>
          <w:rFonts w:ascii="Arial" w:hAnsi="Arial"/>
          <w:sz w:val="22"/>
          <w:szCs w:val="22"/>
          <w:lang w:val="es-CR"/>
        </w:rPr>
        <w:t>incertidumbre</w:t>
      </w:r>
      <w:r>
        <w:rPr>
          <w:rFonts w:ascii="Arial" w:hAnsi="Arial"/>
          <w:sz w:val="22"/>
          <w:szCs w:val="22"/>
          <w:lang w:val="es-CR"/>
        </w:rPr>
        <w:t xml:space="preserve"> sobre el nivel de </w:t>
      </w:r>
      <w:r w:rsidR="0021354A">
        <w:rPr>
          <w:rFonts w:ascii="Arial" w:hAnsi="Arial"/>
          <w:sz w:val="22"/>
          <w:szCs w:val="22"/>
          <w:lang w:val="es-CR"/>
        </w:rPr>
        <w:t>desembolsos</w:t>
      </w:r>
      <w:r>
        <w:rPr>
          <w:rFonts w:ascii="Arial" w:hAnsi="Arial"/>
          <w:sz w:val="22"/>
          <w:szCs w:val="22"/>
          <w:lang w:val="es-CR"/>
        </w:rPr>
        <w:t xml:space="preserve"> futuros necesarios para preservar el activo en su nivel normal de rendimiento), no se amortizan.</w:t>
      </w:r>
    </w:p>
    <w:p w14:paraId="3795F308" w14:textId="77777777" w:rsidR="00FD3B47" w:rsidRPr="008A33B7" w:rsidRDefault="00FD3B47" w:rsidP="00FD3B47">
      <w:pPr>
        <w:spacing w:line="238" w:lineRule="auto"/>
        <w:ind w:left="1134" w:right="260" w:hanging="1134"/>
        <w:jc w:val="both"/>
        <w:rPr>
          <w:rFonts w:ascii="Arial" w:hAnsi="Arial"/>
          <w:sz w:val="22"/>
          <w:szCs w:val="22"/>
          <w:lang w:val="es-CR"/>
        </w:rPr>
      </w:pPr>
    </w:p>
    <w:p w14:paraId="0E993D45" w14:textId="43EBF3ED" w:rsidR="00FD3B47" w:rsidRPr="008A33B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w:t>
      </w:r>
      <w:r w:rsidRPr="008A33B7">
        <w:rPr>
          <w:rFonts w:ascii="Arial" w:hAnsi="Arial"/>
          <w:sz w:val="22"/>
          <w:szCs w:val="22"/>
          <w:lang w:val="es-CR"/>
        </w:rPr>
        <w:t>4.</w:t>
      </w:r>
      <w:r>
        <w:rPr>
          <w:rFonts w:ascii="Arial" w:hAnsi="Arial"/>
          <w:sz w:val="22"/>
          <w:szCs w:val="22"/>
          <w:lang w:val="es-CR"/>
        </w:rPr>
        <w:t>01</w:t>
      </w:r>
      <w:r>
        <w:rPr>
          <w:rFonts w:ascii="Arial" w:hAnsi="Arial"/>
          <w:sz w:val="22"/>
          <w:szCs w:val="22"/>
          <w:lang w:val="es-CR"/>
        </w:rPr>
        <w:tab/>
      </w:r>
      <w:r w:rsidRPr="008A33B7">
        <w:rPr>
          <w:rFonts w:ascii="Arial" w:hAnsi="Arial"/>
          <w:sz w:val="22"/>
          <w:szCs w:val="22"/>
          <w:lang w:val="es-CR"/>
        </w:rPr>
        <w:t xml:space="preserve">La vida útil de un activo intangible con vida útil finita se revisará, como mínimo, en cada fecha de presentación, cuando exista evidencia de que han </w:t>
      </w:r>
      <w:r w:rsidR="0021354A" w:rsidRPr="008A33B7">
        <w:rPr>
          <w:rFonts w:ascii="Arial" w:hAnsi="Arial"/>
          <w:sz w:val="22"/>
          <w:szCs w:val="22"/>
          <w:lang w:val="es-CR"/>
        </w:rPr>
        <w:t>ca</w:t>
      </w:r>
      <w:r w:rsidR="0021354A">
        <w:rPr>
          <w:rFonts w:ascii="Arial" w:hAnsi="Arial"/>
          <w:sz w:val="22"/>
          <w:szCs w:val="22"/>
          <w:lang w:val="es-CR"/>
        </w:rPr>
        <w:t>mbi</w:t>
      </w:r>
      <w:r w:rsidR="0021354A" w:rsidRPr="008A33B7">
        <w:rPr>
          <w:rFonts w:ascii="Arial" w:hAnsi="Arial"/>
          <w:sz w:val="22"/>
          <w:szCs w:val="22"/>
          <w:lang w:val="es-CR"/>
        </w:rPr>
        <w:t>ado</w:t>
      </w:r>
      <w:r w:rsidRPr="008A33B7">
        <w:rPr>
          <w:rFonts w:ascii="Arial" w:hAnsi="Arial"/>
          <w:sz w:val="22"/>
          <w:szCs w:val="22"/>
          <w:lang w:val="es-CR"/>
        </w:rPr>
        <w:t xml:space="preserve"> sus condiciones. Si la nueva vida útil esperada del activo difiere de las estimaciones anteriores, se </w:t>
      </w:r>
      <w:r w:rsidR="0021354A" w:rsidRPr="008A33B7">
        <w:rPr>
          <w:rFonts w:ascii="Arial" w:hAnsi="Arial"/>
          <w:sz w:val="22"/>
          <w:szCs w:val="22"/>
          <w:lang w:val="es-CR"/>
        </w:rPr>
        <w:t>ca</w:t>
      </w:r>
      <w:r w:rsidR="0021354A">
        <w:rPr>
          <w:rFonts w:ascii="Arial" w:hAnsi="Arial"/>
          <w:sz w:val="22"/>
          <w:szCs w:val="22"/>
          <w:lang w:val="es-CR"/>
        </w:rPr>
        <w:t>mbi</w:t>
      </w:r>
      <w:r w:rsidR="0021354A" w:rsidRPr="008A33B7">
        <w:rPr>
          <w:rFonts w:ascii="Arial" w:hAnsi="Arial"/>
          <w:sz w:val="22"/>
          <w:szCs w:val="22"/>
          <w:lang w:val="es-CR"/>
        </w:rPr>
        <w:t>ará</w:t>
      </w:r>
      <w:r w:rsidRPr="008A33B7">
        <w:rPr>
          <w:rFonts w:ascii="Arial" w:hAnsi="Arial"/>
          <w:sz w:val="22"/>
          <w:szCs w:val="22"/>
          <w:lang w:val="es-CR"/>
        </w:rPr>
        <w:t xml:space="preserve"> en consecuencia el período de amortización. Estos </w:t>
      </w:r>
      <w:r w:rsidR="0021354A" w:rsidRPr="008A33B7">
        <w:rPr>
          <w:rFonts w:ascii="Arial" w:hAnsi="Arial"/>
          <w:sz w:val="22"/>
          <w:szCs w:val="22"/>
          <w:lang w:val="es-CR"/>
        </w:rPr>
        <w:t>ca</w:t>
      </w:r>
      <w:r w:rsidR="0021354A">
        <w:rPr>
          <w:rFonts w:ascii="Arial" w:hAnsi="Arial"/>
          <w:sz w:val="22"/>
          <w:szCs w:val="22"/>
          <w:lang w:val="es-CR"/>
        </w:rPr>
        <w:t>mbi</w:t>
      </w:r>
      <w:r w:rsidR="0021354A" w:rsidRPr="008A33B7">
        <w:rPr>
          <w:rFonts w:ascii="Arial" w:hAnsi="Arial"/>
          <w:sz w:val="22"/>
          <w:szCs w:val="22"/>
          <w:lang w:val="es-CR"/>
        </w:rPr>
        <w:t>os</w:t>
      </w:r>
      <w:r w:rsidRPr="008A33B7">
        <w:rPr>
          <w:rFonts w:ascii="Arial" w:hAnsi="Arial"/>
          <w:sz w:val="22"/>
          <w:szCs w:val="22"/>
          <w:lang w:val="es-CR"/>
        </w:rPr>
        <w:t xml:space="preserve"> se contabilizarán como </w:t>
      </w:r>
      <w:r w:rsidR="0021354A" w:rsidRPr="008A33B7">
        <w:rPr>
          <w:rFonts w:ascii="Arial" w:hAnsi="Arial"/>
          <w:sz w:val="22"/>
          <w:szCs w:val="22"/>
          <w:lang w:val="es-CR"/>
        </w:rPr>
        <w:t>ca</w:t>
      </w:r>
      <w:r w:rsidR="0021354A">
        <w:rPr>
          <w:rFonts w:ascii="Arial" w:hAnsi="Arial"/>
          <w:sz w:val="22"/>
          <w:szCs w:val="22"/>
          <w:lang w:val="es-CR"/>
        </w:rPr>
        <w:t>mbi</w:t>
      </w:r>
      <w:r w:rsidR="0021354A" w:rsidRPr="008A33B7">
        <w:rPr>
          <w:rFonts w:ascii="Arial" w:hAnsi="Arial"/>
          <w:sz w:val="22"/>
          <w:szCs w:val="22"/>
          <w:lang w:val="es-CR"/>
        </w:rPr>
        <w:t>os</w:t>
      </w:r>
      <w:r w:rsidRPr="008A33B7">
        <w:rPr>
          <w:rFonts w:ascii="Arial" w:hAnsi="Arial"/>
          <w:sz w:val="22"/>
          <w:szCs w:val="22"/>
          <w:lang w:val="es-CR"/>
        </w:rPr>
        <w:t xml:space="preserve"> en las estimaciones contables, según lo establecido en la NICSP 3. </w:t>
      </w:r>
    </w:p>
    <w:p w14:paraId="27D03EDC" w14:textId="77777777" w:rsidR="00FD3B47" w:rsidRPr="008A33B7" w:rsidRDefault="00FD3B47" w:rsidP="00FD3B47">
      <w:pPr>
        <w:spacing w:line="238" w:lineRule="auto"/>
        <w:ind w:left="1134" w:right="260" w:hanging="1134"/>
        <w:jc w:val="both"/>
        <w:rPr>
          <w:rFonts w:ascii="Arial" w:hAnsi="Arial"/>
          <w:sz w:val="22"/>
          <w:szCs w:val="22"/>
          <w:lang w:val="es-CR"/>
        </w:rPr>
      </w:pPr>
    </w:p>
    <w:p w14:paraId="7B0839A3" w14:textId="0E78066E" w:rsidR="00FD3B47" w:rsidRPr="008A33B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1.256.5.01</w:t>
      </w:r>
      <w:r w:rsidRPr="008A33B7">
        <w:rPr>
          <w:rFonts w:ascii="Arial" w:hAnsi="Arial"/>
          <w:sz w:val="22"/>
          <w:szCs w:val="22"/>
          <w:lang w:val="es-CR"/>
        </w:rPr>
        <w:t xml:space="preserve"> La vida útil de un activo intangible que no está siendo amortizado (por haberse determinado con anterioridad que su vida útil era indefinida) se revisará en cada período si existe evidencia del </w:t>
      </w:r>
      <w:r w:rsidR="0021354A" w:rsidRPr="008A33B7">
        <w:rPr>
          <w:rFonts w:ascii="Arial" w:hAnsi="Arial"/>
          <w:sz w:val="22"/>
          <w:szCs w:val="22"/>
          <w:lang w:val="es-CR"/>
        </w:rPr>
        <w:t>ca</w:t>
      </w:r>
      <w:r w:rsidR="0021354A">
        <w:rPr>
          <w:rFonts w:ascii="Arial" w:hAnsi="Arial"/>
          <w:sz w:val="22"/>
          <w:szCs w:val="22"/>
          <w:lang w:val="es-CR"/>
        </w:rPr>
        <w:t>mbi</w:t>
      </w:r>
      <w:r w:rsidR="0021354A" w:rsidRPr="008A33B7">
        <w:rPr>
          <w:rFonts w:ascii="Arial" w:hAnsi="Arial"/>
          <w:sz w:val="22"/>
          <w:szCs w:val="22"/>
          <w:lang w:val="es-CR"/>
        </w:rPr>
        <w:t>o</w:t>
      </w:r>
      <w:r w:rsidRPr="008A33B7">
        <w:rPr>
          <w:rFonts w:ascii="Arial" w:hAnsi="Arial"/>
          <w:sz w:val="22"/>
          <w:szCs w:val="22"/>
          <w:lang w:val="es-CR"/>
        </w:rPr>
        <w:t xml:space="preserve"> en las condiciones, sobre el que se informa para determinar si existen hechos y circunstancias que permitan seguir manteniendo una vida útil indefinida para ese activo. Si no existen esas circunstancias, en el marco de lo que oportunamente determine la DGCN, el </w:t>
      </w:r>
      <w:r w:rsidR="0021354A" w:rsidRPr="008A33B7">
        <w:rPr>
          <w:rFonts w:ascii="Arial" w:hAnsi="Arial"/>
          <w:sz w:val="22"/>
          <w:szCs w:val="22"/>
          <w:lang w:val="es-CR"/>
        </w:rPr>
        <w:t>ca</w:t>
      </w:r>
      <w:r w:rsidR="0021354A">
        <w:rPr>
          <w:rFonts w:ascii="Arial" w:hAnsi="Arial"/>
          <w:sz w:val="22"/>
          <w:szCs w:val="22"/>
          <w:lang w:val="es-CR"/>
        </w:rPr>
        <w:t>mbi</w:t>
      </w:r>
      <w:r w:rsidR="0021354A" w:rsidRPr="008A33B7">
        <w:rPr>
          <w:rFonts w:ascii="Arial" w:hAnsi="Arial"/>
          <w:sz w:val="22"/>
          <w:szCs w:val="22"/>
          <w:lang w:val="es-CR"/>
        </w:rPr>
        <w:t>o</w:t>
      </w:r>
      <w:r w:rsidRPr="008A33B7">
        <w:rPr>
          <w:rFonts w:ascii="Arial" w:hAnsi="Arial"/>
          <w:sz w:val="22"/>
          <w:szCs w:val="22"/>
          <w:lang w:val="es-CR"/>
        </w:rPr>
        <w:t xml:space="preserve"> en la vida útil de indefinida a finita se contabilizará como un </w:t>
      </w:r>
      <w:r w:rsidR="0021354A" w:rsidRPr="008A33B7">
        <w:rPr>
          <w:rFonts w:ascii="Arial" w:hAnsi="Arial"/>
          <w:sz w:val="22"/>
          <w:szCs w:val="22"/>
          <w:lang w:val="es-CR"/>
        </w:rPr>
        <w:t>ca</w:t>
      </w:r>
      <w:r w:rsidR="0021354A">
        <w:rPr>
          <w:rFonts w:ascii="Arial" w:hAnsi="Arial"/>
          <w:sz w:val="22"/>
          <w:szCs w:val="22"/>
          <w:lang w:val="es-CR"/>
        </w:rPr>
        <w:t>mbi</w:t>
      </w:r>
      <w:r w:rsidR="0021354A" w:rsidRPr="008A33B7">
        <w:rPr>
          <w:rFonts w:ascii="Arial" w:hAnsi="Arial"/>
          <w:sz w:val="22"/>
          <w:szCs w:val="22"/>
          <w:lang w:val="es-CR"/>
        </w:rPr>
        <w:t>o</w:t>
      </w:r>
      <w:r w:rsidRPr="008A33B7">
        <w:rPr>
          <w:rFonts w:ascii="Arial" w:hAnsi="Arial"/>
          <w:sz w:val="22"/>
          <w:szCs w:val="22"/>
          <w:lang w:val="es-CR"/>
        </w:rPr>
        <w:t xml:space="preserve"> en una estimación contable, de acuerdo con la NICSP N° 3. </w:t>
      </w:r>
    </w:p>
    <w:p w14:paraId="05981981" w14:textId="77777777" w:rsidR="00FD3B47" w:rsidRPr="008A33B7" w:rsidRDefault="00FD3B47" w:rsidP="00FD3B47">
      <w:pPr>
        <w:spacing w:line="238" w:lineRule="auto"/>
        <w:ind w:left="1134" w:right="260" w:hanging="1134"/>
        <w:jc w:val="both"/>
        <w:rPr>
          <w:rFonts w:ascii="Arial" w:hAnsi="Arial"/>
          <w:sz w:val="22"/>
          <w:szCs w:val="22"/>
          <w:lang w:val="es-CR"/>
        </w:rPr>
      </w:pPr>
    </w:p>
    <w:p w14:paraId="371723EF" w14:textId="77777777" w:rsidR="00FD3B47" w:rsidRPr="008A33B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1.256.</w:t>
      </w:r>
      <w:r w:rsidRPr="008A33B7">
        <w:rPr>
          <w:rFonts w:ascii="Arial" w:hAnsi="Arial"/>
          <w:sz w:val="22"/>
          <w:szCs w:val="22"/>
          <w:lang w:val="es-CR"/>
        </w:rPr>
        <w:t>6</w:t>
      </w:r>
      <w:r>
        <w:rPr>
          <w:rFonts w:ascii="Arial" w:hAnsi="Arial"/>
          <w:sz w:val="22"/>
          <w:szCs w:val="22"/>
          <w:lang w:val="es-CR"/>
        </w:rPr>
        <w:t>.01</w:t>
      </w:r>
      <w:r>
        <w:rPr>
          <w:rFonts w:ascii="Arial" w:hAnsi="Arial"/>
          <w:sz w:val="22"/>
          <w:szCs w:val="22"/>
          <w:lang w:val="es-CR"/>
        </w:rPr>
        <w:tab/>
      </w:r>
      <w:r w:rsidRPr="008A33B7">
        <w:rPr>
          <w:rFonts w:ascii="Arial" w:hAnsi="Arial"/>
          <w:sz w:val="22"/>
          <w:szCs w:val="22"/>
          <w:lang w:val="es-CR"/>
        </w:rPr>
        <w:t xml:space="preserve">La amortización de un activo intangible con vida útil finita terminará cuando el activo intangible el </w:t>
      </w:r>
      <w:r>
        <w:rPr>
          <w:rFonts w:ascii="Arial" w:hAnsi="Arial"/>
          <w:sz w:val="22"/>
          <w:szCs w:val="22"/>
          <w:lang w:val="es-CR"/>
        </w:rPr>
        <w:t>mismo</w:t>
      </w:r>
      <w:r w:rsidRPr="008A33B7">
        <w:rPr>
          <w:rFonts w:ascii="Arial" w:hAnsi="Arial"/>
          <w:sz w:val="22"/>
          <w:szCs w:val="22"/>
          <w:lang w:val="es-CR"/>
        </w:rPr>
        <w:t xml:space="preserve"> haya sido completamente amortizado o se clasifique como mantenido para la venta, y siempre que no se utilice el método de amortización en función del uso, en cuyo caso el cargo por amortización será nulo. </w:t>
      </w:r>
    </w:p>
    <w:p w14:paraId="3640A356"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68C6DFC6"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tbl>
      <w:tblPr>
        <w:tblW w:w="8880" w:type="dxa"/>
        <w:tblLook w:val="04A0" w:firstRow="1" w:lastRow="0" w:firstColumn="1" w:lastColumn="0" w:noHBand="0" w:noVBand="1"/>
      </w:tblPr>
      <w:tblGrid>
        <w:gridCol w:w="539"/>
        <w:gridCol w:w="517"/>
        <w:gridCol w:w="519"/>
        <w:gridCol w:w="2855"/>
        <w:gridCol w:w="2353"/>
        <w:gridCol w:w="2097"/>
      </w:tblGrid>
      <w:tr w:rsidR="00FD3B47" w:rsidRPr="0036006B" w14:paraId="37D209D8" w14:textId="77777777" w:rsidTr="00D16719">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0839E59" w14:textId="77777777" w:rsidR="00FD3B47" w:rsidRPr="0036006B" w:rsidRDefault="00FD3B47" w:rsidP="00D16719">
            <w:pPr>
              <w:jc w:val="center"/>
              <w:rPr>
                <w:rFonts w:ascii="Arial Narrow" w:eastAsia="Times New Roman" w:hAnsi="Arial Narrow"/>
                <w:b/>
                <w:bCs/>
                <w:color w:val="FFFFFF"/>
                <w:sz w:val="22"/>
                <w:szCs w:val="22"/>
              </w:rPr>
            </w:pPr>
            <w:r w:rsidRPr="0036006B">
              <w:rPr>
                <w:rFonts w:ascii="Arial Narrow" w:eastAsia="Times New Roman" w:hAnsi="Arial Narrow"/>
                <w:b/>
                <w:bCs/>
                <w:color w:val="FFFFFF"/>
                <w:sz w:val="22"/>
                <w:szCs w:val="22"/>
              </w:rPr>
              <w:t>Norma / Política</w:t>
            </w:r>
          </w:p>
        </w:tc>
        <w:tc>
          <w:tcPr>
            <w:tcW w:w="2860" w:type="dxa"/>
            <w:vMerge w:val="restart"/>
            <w:tcBorders>
              <w:top w:val="nil"/>
              <w:left w:val="single" w:sz="8" w:space="0" w:color="auto"/>
              <w:bottom w:val="nil"/>
              <w:right w:val="single" w:sz="8" w:space="0" w:color="auto"/>
            </w:tcBorders>
            <w:shd w:val="clear" w:color="000000" w:fill="203764"/>
            <w:vAlign w:val="center"/>
            <w:hideMark/>
          </w:tcPr>
          <w:p w14:paraId="445E99FE" w14:textId="77777777" w:rsidR="00FD3B47" w:rsidRPr="0036006B" w:rsidRDefault="00FD3B47" w:rsidP="00D16719">
            <w:pPr>
              <w:jc w:val="center"/>
              <w:rPr>
                <w:rFonts w:ascii="Arial Narrow" w:eastAsia="Times New Roman" w:hAnsi="Arial Narrow"/>
                <w:b/>
                <w:bCs/>
                <w:color w:val="FFFFFF"/>
                <w:sz w:val="22"/>
                <w:szCs w:val="22"/>
              </w:rPr>
            </w:pPr>
            <w:r w:rsidRPr="0036006B">
              <w:rPr>
                <w:rFonts w:ascii="Arial Narrow" w:eastAsia="Times New Roman" w:hAnsi="Arial Narrow"/>
                <w:b/>
                <w:bCs/>
                <w:color w:val="FFFFFF"/>
                <w:sz w:val="22"/>
                <w:szCs w:val="22"/>
              </w:rPr>
              <w:t>Concepto</w:t>
            </w:r>
          </w:p>
        </w:tc>
        <w:tc>
          <w:tcPr>
            <w:tcW w:w="4460" w:type="dxa"/>
            <w:gridSpan w:val="2"/>
            <w:tcBorders>
              <w:top w:val="nil"/>
              <w:left w:val="nil"/>
              <w:bottom w:val="single" w:sz="8" w:space="0" w:color="auto"/>
              <w:right w:val="single" w:sz="8" w:space="0" w:color="000000"/>
            </w:tcBorders>
            <w:shd w:val="clear" w:color="000000" w:fill="203764"/>
            <w:vAlign w:val="center"/>
            <w:hideMark/>
          </w:tcPr>
          <w:p w14:paraId="7C46810F" w14:textId="77777777" w:rsidR="00FD3B47" w:rsidRPr="0036006B" w:rsidRDefault="00FD3B47" w:rsidP="00D16719">
            <w:pPr>
              <w:jc w:val="center"/>
              <w:rPr>
                <w:rFonts w:ascii="Arial Narrow" w:eastAsia="Times New Roman" w:hAnsi="Arial Narrow"/>
                <w:b/>
                <w:bCs/>
                <w:color w:val="FFFFFF"/>
                <w:sz w:val="22"/>
                <w:szCs w:val="22"/>
              </w:rPr>
            </w:pPr>
            <w:r w:rsidRPr="0036006B">
              <w:rPr>
                <w:rFonts w:ascii="Arial Narrow" w:eastAsia="Times New Roman" w:hAnsi="Arial Narrow"/>
                <w:b/>
                <w:bCs/>
                <w:color w:val="FFFFFF"/>
                <w:sz w:val="22"/>
                <w:szCs w:val="22"/>
              </w:rPr>
              <w:t>Referencia</w:t>
            </w:r>
          </w:p>
        </w:tc>
      </w:tr>
      <w:tr w:rsidR="00FD3B47" w:rsidRPr="006E5442" w14:paraId="3C298618" w14:textId="77777777" w:rsidTr="00D16719">
        <w:trPr>
          <w:trHeight w:val="320"/>
        </w:trPr>
        <w:tc>
          <w:tcPr>
            <w:tcW w:w="1560" w:type="dxa"/>
            <w:gridSpan w:val="3"/>
            <w:vMerge/>
            <w:tcBorders>
              <w:top w:val="single" w:sz="8" w:space="0" w:color="auto"/>
              <w:left w:val="single" w:sz="8" w:space="0" w:color="auto"/>
              <w:bottom w:val="nil"/>
              <w:right w:val="single" w:sz="8" w:space="0" w:color="000000"/>
            </w:tcBorders>
            <w:vAlign w:val="center"/>
            <w:hideMark/>
          </w:tcPr>
          <w:p w14:paraId="0FD084CE" w14:textId="77777777" w:rsidR="00FD3B47" w:rsidRPr="0036006B" w:rsidRDefault="00FD3B47" w:rsidP="00D16719">
            <w:pPr>
              <w:rPr>
                <w:rFonts w:ascii="Arial Narrow" w:eastAsia="Times New Roman" w:hAnsi="Arial Narrow"/>
                <w:b/>
                <w:bCs/>
                <w:color w:val="FFFFFF"/>
                <w:sz w:val="22"/>
                <w:szCs w:val="22"/>
              </w:rPr>
            </w:pPr>
          </w:p>
        </w:tc>
        <w:tc>
          <w:tcPr>
            <w:tcW w:w="2860" w:type="dxa"/>
            <w:vMerge/>
            <w:tcBorders>
              <w:top w:val="nil"/>
              <w:left w:val="single" w:sz="8" w:space="0" w:color="auto"/>
              <w:bottom w:val="nil"/>
              <w:right w:val="single" w:sz="8" w:space="0" w:color="auto"/>
            </w:tcBorders>
            <w:vAlign w:val="center"/>
            <w:hideMark/>
          </w:tcPr>
          <w:p w14:paraId="4D838470" w14:textId="77777777" w:rsidR="00FD3B47" w:rsidRPr="0036006B" w:rsidRDefault="00FD3B47" w:rsidP="00D16719">
            <w:pPr>
              <w:rPr>
                <w:rFonts w:ascii="Arial Narrow" w:eastAsia="Times New Roman" w:hAnsi="Arial Narrow"/>
                <w:b/>
                <w:bCs/>
                <w:color w:val="FFFFFF"/>
                <w:sz w:val="22"/>
                <w:szCs w:val="22"/>
              </w:rPr>
            </w:pPr>
          </w:p>
        </w:tc>
        <w:tc>
          <w:tcPr>
            <w:tcW w:w="2360" w:type="dxa"/>
            <w:tcBorders>
              <w:top w:val="nil"/>
              <w:left w:val="nil"/>
              <w:bottom w:val="nil"/>
              <w:right w:val="single" w:sz="8" w:space="0" w:color="auto"/>
            </w:tcBorders>
            <w:shd w:val="clear" w:color="000000" w:fill="203764"/>
            <w:vAlign w:val="center"/>
            <w:hideMark/>
          </w:tcPr>
          <w:p w14:paraId="497C9FF8" w14:textId="77777777" w:rsidR="00FD3B47" w:rsidRPr="0036006B" w:rsidRDefault="00FD3B47" w:rsidP="00D16719">
            <w:pPr>
              <w:jc w:val="center"/>
              <w:rPr>
                <w:rFonts w:ascii="Arial Narrow" w:eastAsia="Times New Roman" w:hAnsi="Arial Narrow"/>
                <w:b/>
                <w:bCs/>
                <w:color w:val="FFFFFF"/>
                <w:sz w:val="22"/>
                <w:szCs w:val="22"/>
              </w:rPr>
            </w:pPr>
            <w:r w:rsidRPr="0036006B">
              <w:rPr>
                <w:rFonts w:ascii="Arial Narrow" w:eastAsia="Times New Roman" w:hAnsi="Arial Narrow"/>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4D11BA6B" w14:textId="77777777" w:rsidR="00FD3B47" w:rsidRPr="0036006B" w:rsidRDefault="00FD3B47" w:rsidP="00D16719">
            <w:pPr>
              <w:jc w:val="center"/>
              <w:rPr>
                <w:rFonts w:ascii="Arial Narrow" w:eastAsia="Times New Roman" w:hAnsi="Arial Narrow"/>
                <w:b/>
                <w:bCs/>
                <w:color w:val="FFFFFF"/>
                <w:sz w:val="22"/>
                <w:szCs w:val="22"/>
                <w:lang w:val="es-CR"/>
              </w:rPr>
            </w:pPr>
            <w:r w:rsidRPr="0078076A">
              <w:rPr>
                <w:rFonts w:ascii="Arial Narrow" w:eastAsia="Times New Roman" w:hAnsi="Arial Narrow"/>
                <w:b/>
                <w:bCs/>
                <w:color w:val="FFFFFF"/>
                <w:sz w:val="22"/>
                <w:szCs w:val="22"/>
                <w:lang w:val="es-CR"/>
              </w:rPr>
              <w:t>Normativa técnica y disposiciones adicionales</w:t>
            </w:r>
          </w:p>
        </w:tc>
      </w:tr>
      <w:tr w:rsidR="00FD3B47" w:rsidRPr="0078076A" w14:paraId="1B95603D" w14:textId="77777777" w:rsidTr="00D16719">
        <w:trPr>
          <w:trHeight w:val="343"/>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00A1DCA"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3F258468"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258</w:t>
            </w:r>
          </w:p>
        </w:tc>
        <w:tc>
          <w:tcPr>
            <w:tcW w:w="520" w:type="dxa"/>
            <w:tcBorders>
              <w:top w:val="nil"/>
              <w:left w:val="nil"/>
              <w:bottom w:val="single" w:sz="8" w:space="0" w:color="auto"/>
              <w:right w:val="single" w:sz="8" w:space="0" w:color="auto"/>
            </w:tcBorders>
            <w:shd w:val="clear" w:color="auto" w:fill="auto"/>
            <w:vAlign w:val="center"/>
            <w:hideMark/>
          </w:tcPr>
          <w:p w14:paraId="1D556233" w14:textId="4975D1D5" w:rsidR="00FD3B47" w:rsidRPr="0036006B" w:rsidRDefault="00FD3B47" w:rsidP="00D16719">
            <w:pPr>
              <w:jc w:val="center"/>
              <w:rPr>
                <w:rFonts w:ascii="Arial Narrow" w:eastAsia="Times New Roman" w:hAnsi="Arial Narrow"/>
                <w:b/>
                <w:bCs/>
                <w:color w:val="000000"/>
                <w:sz w:val="22"/>
                <w:szCs w:val="22"/>
              </w:rPr>
            </w:pP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6FA4FEE3" w14:textId="77777777" w:rsidR="00FD3B47" w:rsidRPr="0036006B" w:rsidRDefault="00FD3B47" w:rsidP="00D16719">
            <w:pPr>
              <w:jc w:val="both"/>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Amortización</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662974F8" w14:textId="77777777" w:rsidR="005E1D63" w:rsidRDefault="00FD3B47" w:rsidP="00D16719">
            <w:pP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 xml:space="preserve">NICSP Nº 31, </w:t>
            </w:r>
          </w:p>
          <w:p w14:paraId="27D34BCB" w14:textId="4EC13C0C" w:rsidR="00FD3B47" w:rsidRPr="0036006B" w:rsidRDefault="00FD3B47" w:rsidP="00D16719">
            <w:pP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Párrafo 96.</w:t>
            </w:r>
          </w:p>
        </w:tc>
        <w:tc>
          <w:tcPr>
            <w:tcW w:w="2100" w:type="dxa"/>
            <w:tcBorders>
              <w:top w:val="nil"/>
              <w:left w:val="nil"/>
              <w:bottom w:val="single" w:sz="8" w:space="0" w:color="auto"/>
              <w:right w:val="single" w:sz="8" w:space="0" w:color="auto"/>
            </w:tcBorders>
            <w:shd w:val="clear" w:color="auto" w:fill="auto"/>
            <w:vAlign w:val="center"/>
            <w:hideMark/>
          </w:tcPr>
          <w:p w14:paraId="700F7200" w14:textId="77777777" w:rsidR="00FD3B47" w:rsidRPr="0036006B" w:rsidRDefault="00FD3B47" w:rsidP="00D16719">
            <w:pPr>
              <w:ind w:firstLineChars="100" w:firstLine="220"/>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 </w:t>
            </w:r>
          </w:p>
        </w:tc>
      </w:tr>
      <w:tr w:rsidR="00FD3B47" w:rsidRPr="0078076A" w14:paraId="1DFC995C" w14:textId="77777777" w:rsidTr="00D16719">
        <w:trPr>
          <w:trHeight w:val="409"/>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C99CFEA"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43CA0FFC"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258</w:t>
            </w:r>
          </w:p>
        </w:tc>
        <w:tc>
          <w:tcPr>
            <w:tcW w:w="520" w:type="dxa"/>
            <w:tcBorders>
              <w:top w:val="nil"/>
              <w:left w:val="nil"/>
              <w:bottom w:val="single" w:sz="8" w:space="0" w:color="auto"/>
              <w:right w:val="single" w:sz="8" w:space="0" w:color="auto"/>
            </w:tcBorders>
            <w:shd w:val="clear" w:color="auto" w:fill="auto"/>
            <w:vAlign w:val="center"/>
            <w:hideMark/>
          </w:tcPr>
          <w:p w14:paraId="39D4176E"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1</w:t>
            </w:r>
          </w:p>
        </w:tc>
        <w:tc>
          <w:tcPr>
            <w:tcW w:w="2860" w:type="dxa"/>
            <w:tcBorders>
              <w:top w:val="nil"/>
              <w:left w:val="nil"/>
              <w:bottom w:val="single" w:sz="8" w:space="0" w:color="auto"/>
              <w:right w:val="single" w:sz="8" w:space="0" w:color="auto"/>
            </w:tcBorders>
            <w:shd w:val="clear" w:color="auto" w:fill="auto"/>
            <w:vAlign w:val="center"/>
            <w:hideMark/>
          </w:tcPr>
          <w:p w14:paraId="1893AB7C" w14:textId="77777777" w:rsidR="00FD3B47" w:rsidRPr="0036006B" w:rsidRDefault="00FD3B47" w:rsidP="00D16719">
            <w:pPr>
              <w:jc w:val="both"/>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Método de amortización</w:t>
            </w:r>
          </w:p>
        </w:tc>
        <w:tc>
          <w:tcPr>
            <w:tcW w:w="2360" w:type="dxa"/>
            <w:tcBorders>
              <w:top w:val="nil"/>
              <w:left w:val="nil"/>
              <w:bottom w:val="single" w:sz="8" w:space="0" w:color="auto"/>
              <w:right w:val="single" w:sz="8" w:space="0" w:color="auto"/>
            </w:tcBorders>
            <w:shd w:val="clear" w:color="auto" w:fill="auto"/>
            <w:vAlign w:val="center"/>
            <w:hideMark/>
          </w:tcPr>
          <w:p w14:paraId="48E92BDF" w14:textId="77777777" w:rsidR="005E1D63" w:rsidRDefault="00FD3B47" w:rsidP="00D16719">
            <w:pP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 xml:space="preserve">NICSP N° 31, </w:t>
            </w:r>
          </w:p>
          <w:p w14:paraId="74266353" w14:textId="5F793B6A" w:rsidR="00FD3B47" w:rsidRPr="0036006B" w:rsidRDefault="00FD3B47" w:rsidP="00D16719">
            <w:pP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Párrafo 97.</w:t>
            </w:r>
          </w:p>
        </w:tc>
        <w:tc>
          <w:tcPr>
            <w:tcW w:w="2100" w:type="dxa"/>
            <w:tcBorders>
              <w:top w:val="nil"/>
              <w:left w:val="nil"/>
              <w:bottom w:val="single" w:sz="8" w:space="0" w:color="auto"/>
              <w:right w:val="single" w:sz="8" w:space="0" w:color="auto"/>
            </w:tcBorders>
            <w:shd w:val="clear" w:color="auto" w:fill="auto"/>
            <w:vAlign w:val="center"/>
            <w:hideMark/>
          </w:tcPr>
          <w:p w14:paraId="7FBD5897" w14:textId="77777777" w:rsidR="00FD3B47" w:rsidRPr="0036006B" w:rsidRDefault="00FD3B47" w:rsidP="00D16719">
            <w:pPr>
              <w:ind w:firstLineChars="100" w:firstLine="220"/>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 xml:space="preserve"> </w:t>
            </w:r>
          </w:p>
        </w:tc>
      </w:tr>
      <w:tr w:rsidR="00FD3B47" w:rsidRPr="0078076A" w14:paraId="65FC5F2A" w14:textId="77777777" w:rsidTr="00D16719">
        <w:trPr>
          <w:trHeight w:val="46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E9425AD"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14765416"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258</w:t>
            </w:r>
          </w:p>
        </w:tc>
        <w:tc>
          <w:tcPr>
            <w:tcW w:w="520" w:type="dxa"/>
            <w:tcBorders>
              <w:top w:val="nil"/>
              <w:left w:val="nil"/>
              <w:bottom w:val="single" w:sz="8" w:space="0" w:color="auto"/>
              <w:right w:val="single" w:sz="8" w:space="0" w:color="auto"/>
            </w:tcBorders>
            <w:shd w:val="clear" w:color="auto" w:fill="auto"/>
            <w:vAlign w:val="center"/>
            <w:hideMark/>
          </w:tcPr>
          <w:p w14:paraId="1A849BBF"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2</w:t>
            </w:r>
          </w:p>
        </w:tc>
        <w:tc>
          <w:tcPr>
            <w:tcW w:w="2860" w:type="dxa"/>
            <w:tcBorders>
              <w:top w:val="nil"/>
              <w:left w:val="nil"/>
              <w:bottom w:val="single" w:sz="8" w:space="0" w:color="auto"/>
              <w:right w:val="single" w:sz="8" w:space="0" w:color="auto"/>
            </w:tcBorders>
            <w:shd w:val="clear" w:color="auto" w:fill="auto"/>
            <w:vAlign w:val="center"/>
            <w:hideMark/>
          </w:tcPr>
          <w:p w14:paraId="6C57BA5D" w14:textId="77777777" w:rsidR="00FD3B47" w:rsidRPr="0036006B" w:rsidRDefault="00FD3B47" w:rsidP="00D16719">
            <w:pPr>
              <w:jc w:val="both"/>
              <w:rPr>
                <w:rFonts w:ascii="Arial Narrow" w:eastAsia="Times New Roman" w:hAnsi="Arial Narrow"/>
                <w:b/>
                <w:bCs/>
                <w:color w:val="000000"/>
                <w:sz w:val="22"/>
                <w:szCs w:val="22"/>
                <w:lang w:val="es-CR"/>
              </w:rPr>
            </w:pPr>
            <w:r w:rsidRPr="0036006B">
              <w:rPr>
                <w:rFonts w:ascii="Arial Narrow" w:eastAsia="Times New Roman" w:hAnsi="Arial Narrow"/>
                <w:b/>
                <w:bCs/>
                <w:color w:val="000000"/>
                <w:sz w:val="22"/>
                <w:szCs w:val="22"/>
                <w:lang w:val="es-CR"/>
              </w:rPr>
              <w:t>Uniformidad en la aplicación del método de amortización</w:t>
            </w:r>
          </w:p>
        </w:tc>
        <w:tc>
          <w:tcPr>
            <w:tcW w:w="2360" w:type="dxa"/>
            <w:tcBorders>
              <w:top w:val="nil"/>
              <w:left w:val="nil"/>
              <w:bottom w:val="single" w:sz="8" w:space="0" w:color="auto"/>
              <w:right w:val="single" w:sz="8" w:space="0" w:color="auto"/>
            </w:tcBorders>
            <w:shd w:val="clear" w:color="auto" w:fill="auto"/>
            <w:vAlign w:val="center"/>
            <w:hideMark/>
          </w:tcPr>
          <w:p w14:paraId="7C9562AA" w14:textId="77777777" w:rsidR="00FD3B47" w:rsidRPr="0036006B" w:rsidRDefault="00FD3B47" w:rsidP="00D16719">
            <w:pPr>
              <w:rPr>
                <w:rFonts w:ascii="Arial Narrow" w:eastAsia="Times New Roman" w:hAnsi="Arial Narrow"/>
                <w:b/>
                <w:bCs/>
                <w:color w:val="000000"/>
                <w:sz w:val="22"/>
                <w:szCs w:val="22"/>
                <w:lang w:val="es-CR"/>
              </w:rPr>
            </w:pPr>
            <w:r w:rsidRPr="0036006B">
              <w:rPr>
                <w:rFonts w:ascii="Arial Narrow" w:eastAsia="Times New Roman" w:hAnsi="Arial Narrow"/>
                <w:b/>
                <w:bCs/>
                <w:color w:val="000000"/>
                <w:sz w:val="22"/>
                <w:szCs w:val="22"/>
                <w:lang w:val="es-CR"/>
              </w:rPr>
              <w:t xml:space="preserve"> </w:t>
            </w:r>
          </w:p>
        </w:tc>
        <w:tc>
          <w:tcPr>
            <w:tcW w:w="2100" w:type="dxa"/>
            <w:tcBorders>
              <w:top w:val="nil"/>
              <w:left w:val="nil"/>
              <w:bottom w:val="single" w:sz="8" w:space="0" w:color="auto"/>
              <w:right w:val="single" w:sz="8" w:space="0" w:color="auto"/>
            </w:tcBorders>
            <w:shd w:val="clear" w:color="auto" w:fill="auto"/>
            <w:vAlign w:val="center"/>
            <w:hideMark/>
          </w:tcPr>
          <w:p w14:paraId="09F70EB8" w14:textId="77777777" w:rsidR="00FD3B47" w:rsidRPr="0036006B" w:rsidRDefault="00FD3B47" w:rsidP="00D16719">
            <w:pPr>
              <w:ind w:firstLineChars="100" w:firstLine="220"/>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DGCN</w:t>
            </w:r>
          </w:p>
        </w:tc>
      </w:tr>
      <w:tr w:rsidR="00FD3B47" w:rsidRPr="0078076A" w14:paraId="0774B94A" w14:textId="77777777" w:rsidTr="00D16719">
        <w:trPr>
          <w:trHeight w:val="511"/>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1DDBC28D"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12C34B1B"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258</w:t>
            </w:r>
          </w:p>
        </w:tc>
        <w:tc>
          <w:tcPr>
            <w:tcW w:w="520" w:type="dxa"/>
            <w:tcBorders>
              <w:top w:val="nil"/>
              <w:left w:val="nil"/>
              <w:bottom w:val="single" w:sz="8" w:space="0" w:color="auto"/>
              <w:right w:val="single" w:sz="8" w:space="0" w:color="auto"/>
            </w:tcBorders>
            <w:shd w:val="clear" w:color="auto" w:fill="auto"/>
            <w:vAlign w:val="center"/>
            <w:hideMark/>
          </w:tcPr>
          <w:p w14:paraId="692500E8"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3</w:t>
            </w:r>
          </w:p>
        </w:tc>
        <w:tc>
          <w:tcPr>
            <w:tcW w:w="2860" w:type="dxa"/>
            <w:tcBorders>
              <w:top w:val="nil"/>
              <w:left w:val="nil"/>
              <w:bottom w:val="single" w:sz="8" w:space="0" w:color="auto"/>
              <w:right w:val="single" w:sz="8" w:space="0" w:color="auto"/>
            </w:tcBorders>
            <w:shd w:val="clear" w:color="auto" w:fill="auto"/>
            <w:vAlign w:val="center"/>
            <w:hideMark/>
          </w:tcPr>
          <w:p w14:paraId="4BA0A3AA" w14:textId="77777777" w:rsidR="00FD3B47" w:rsidRPr="0036006B" w:rsidRDefault="00FD3B47" w:rsidP="00D16719">
            <w:pPr>
              <w:jc w:val="both"/>
              <w:rPr>
                <w:rFonts w:ascii="Arial Narrow" w:eastAsia="Times New Roman" w:hAnsi="Arial Narrow"/>
                <w:b/>
                <w:bCs/>
                <w:color w:val="000000"/>
                <w:sz w:val="22"/>
                <w:szCs w:val="22"/>
                <w:lang w:val="es-CR"/>
              </w:rPr>
            </w:pPr>
            <w:r w:rsidRPr="0078076A">
              <w:rPr>
                <w:rFonts w:ascii="Arial Narrow" w:eastAsia="Times New Roman" w:hAnsi="Arial Narrow"/>
                <w:b/>
                <w:bCs/>
                <w:color w:val="000000"/>
                <w:sz w:val="22"/>
                <w:szCs w:val="22"/>
                <w:lang w:val="es-CR"/>
              </w:rPr>
              <w:t>Reconocimiento de la amortización</w:t>
            </w:r>
          </w:p>
        </w:tc>
        <w:tc>
          <w:tcPr>
            <w:tcW w:w="2360" w:type="dxa"/>
            <w:tcBorders>
              <w:top w:val="nil"/>
              <w:left w:val="nil"/>
              <w:bottom w:val="single" w:sz="8" w:space="0" w:color="auto"/>
              <w:right w:val="single" w:sz="8" w:space="0" w:color="auto"/>
            </w:tcBorders>
            <w:shd w:val="clear" w:color="auto" w:fill="auto"/>
            <w:vAlign w:val="center"/>
            <w:hideMark/>
          </w:tcPr>
          <w:p w14:paraId="523C2FFD" w14:textId="77777777" w:rsidR="005E1D63" w:rsidRDefault="00FD3B47" w:rsidP="00D16719">
            <w:pP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 xml:space="preserve">NICSP N° 31, </w:t>
            </w:r>
          </w:p>
          <w:p w14:paraId="6CB3935C" w14:textId="3444E61A" w:rsidR="00FD3B47" w:rsidRPr="0036006B" w:rsidRDefault="00FD3B47" w:rsidP="00D16719">
            <w:pP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Párrafo 98.</w:t>
            </w:r>
          </w:p>
        </w:tc>
        <w:tc>
          <w:tcPr>
            <w:tcW w:w="2100" w:type="dxa"/>
            <w:tcBorders>
              <w:top w:val="nil"/>
              <w:left w:val="nil"/>
              <w:bottom w:val="single" w:sz="8" w:space="0" w:color="auto"/>
              <w:right w:val="single" w:sz="8" w:space="0" w:color="auto"/>
            </w:tcBorders>
            <w:shd w:val="clear" w:color="auto" w:fill="auto"/>
            <w:vAlign w:val="center"/>
            <w:hideMark/>
          </w:tcPr>
          <w:p w14:paraId="40293220" w14:textId="77777777" w:rsidR="00FD3B47" w:rsidRPr="0036006B" w:rsidRDefault="00FD3B47" w:rsidP="00D16719">
            <w:pPr>
              <w:ind w:firstLineChars="100" w:firstLine="220"/>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 xml:space="preserve"> </w:t>
            </w:r>
          </w:p>
        </w:tc>
      </w:tr>
      <w:tr w:rsidR="00FD3B47" w:rsidRPr="0078076A" w14:paraId="0512E11A" w14:textId="77777777" w:rsidTr="00D16719">
        <w:trPr>
          <w:trHeight w:val="63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3F5002F"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0914DCAD"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258</w:t>
            </w:r>
          </w:p>
        </w:tc>
        <w:tc>
          <w:tcPr>
            <w:tcW w:w="520" w:type="dxa"/>
            <w:tcBorders>
              <w:top w:val="nil"/>
              <w:left w:val="nil"/>
              <w:bottom w:val="single" w:sz="8" w:space="0" w:color="auto"/>
              <w:right w:val="single" w:sz="8" w:space="0" w:color="auto"/>
            </w:tcBorders>
            <w:shd w:val="clear" w:color="auto" w:fill="auto"/>
            <w:vAlign w:val="center"/>
            <w:hideMark/>
          </w:tcPr>
          <w:p w14:paraId="006284E9" w14:textId="77777777" w:rsidR="00FD3B47" w:rsidRPr="0036006B" w:rsidRDefault="00FD3B47" w:rsidP="00D16719">
            <w:pPr>
              <w:jc w:val="cente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4</w:t>
            </w:r>
          </w:p>
        </w:tc>
        <w:tc>
          <w:tcPr>
            <w:tcW w:w="2860" w:type="dxa"/>
            <w:tcBorders>
              <w:top w:val="nil"/>
              <w:left w:val="nil"/>
              <w:bottom w:val="single" w:sz="8" w:space="0" w:color="auto"/>
              <w:right w:val="single" w:sz="8" w:space="0" w:color="auto"/>
            </w:tcBorders>
            <w:shd w:val="clear" w:color="auto" w:fill="auto"/>
            <w:vAlign w:val="center"/>
            <w:hideMark/>
          </w:tcPr>
          <w:p w14:paraId="5E918AA0" w14:textId="77777777" w:rsidR="00FD3B47" w:rsidRPr="0036006B" w:rsidRDefault="00FD3B47" w:rsidP="00D16719">
            <w:pPr>
              <w:jc w:val="both"/>
              <w:rPr>
                <w:rFonts w:ascii="Arial Narrow" w:eastAsia="Times New Roman" w:hAnsi="Arial Narrow"/>
                <w:b/>
                <w:bCs/>
                <w:color w:val="000000"/>
                <w:sz w:val="22"/>
                <w:szCs w:val="22"/>
                <w:lang w:val="es-CR"/>
              </w:rPr>
            </w:pPr>
            <w:r w:rsidRPr="0036006B">
              <w:rPr>
                <w:rFonts w:ascii="Arial Narrow" w:eastAsia="Times New Roman" w:hAnsi="Arial Narrow"/>
                <w:b/>
                <w:bCs/>
                <w:color w:val="000000"/>
                <w:sz w:val="22"/>
                <w:szCs w:val="22"/>
                <w:lang w:val="es-CR"/>
              </w:rPr>
              <w:t>Revisión del método de amortización</w:t>
            </w:r>
          </w:p>
        </w:tc>
        <w:tc>
          <w:tcPr>
            <w:tcW w:w="2360" w:type="dxa"/>
            <w:tcBorders>
              <w:top w:val="nil"/>
              <w:left w:val="nil"/>
              <w:bottom w:val="single" w:sz="8" w:space="0" w:color="auto"/>
              <w:right w:val="single" w:sz="8" w:space="0" w:color="auto"/>
            </w:tcBorders>
            <w:shd w:val="clear" w:color="auto" w:fill="auto"/>
            <w:vAlign w:val="center"/>
            <w:hideMark/>
          </w:tcPr>
          <w:p w14:paraId="10800DDF" w14:textId="77777777" w:rsidR="00FD3B47" w:rsidRPr="0036006B" w:rsidRDefault="00FD3B47" w:rsidP="00D16719">
            <w:pPr>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NICSP N° 31,</w:t>
            </w:r>
            <w:r w:rsidRPr="0036006B">
              <w:rPr>
                <w:rFonts w:ascii="Arial Narrow" w:eastAsia="Times New Roman" w:hAnsi="Arial Narrow"/>
                <w:b/>
                <w:bCs/>
                <w:color w:val="000000"/>
                <w:sz w:val="22"/>
                <w:szCs w:val="22"/>
              </w:rPr>
              <w:br/>
              <w:t>Párrafo 103.</w:t>
            </w:r>
          </w:p>
        </w:tc>
        <w:tc>
          <w:tcPr>
            <w:tcW w:w="2100" w:type="dxa"/>
            <w:tcBorders>
              <w:top w:val="nil"/>
              <w:left w:val="nil"/>
              <w:bottom w:val="single" w:sz="8" w:space="0" w:color="auto"/>
              <w:right w:val="single" w:sz="8" w:space="0" w:color="auto"/>
            </w:tcBorders>
            <w:shd w:val="clear" w:color="auto" w:fill="auto"/>
            <w:vAlign w:val="center"/>
            <w:hideMark/>
          </w:tcPr>
          <w:p w14:paraId="1BA0DB89" w14:textId="77777777" w:rsidR="00FD3B47" w:rsidRPr="0036006B" w:rsidRDefault="00FD3B47" w:rsidP="00D16719">
            <w:pPr>
              <w:ind w:firstLineChars="100" w:firstLine="220"/>
              <w:rPr>
                <w:rFonts w:ascii="Arial Narrow" w:eastAsia="Times New Roman" w:hAnsi="Arial Narrow"/>
                <w:b/>
                <w:bCs/>
                <w:color w:val="000000"/>
                <w:sz w:val="22"/>
                <w:szCs w:val="22"/>
              </w:rPr>
            </w:pPr>
            <w:r w:rsidRPr="0036006B">
              <w:rPr>
                <w:rFonts w:ascii="Arial Narrow" w:eastAsia="Times New Roman" w:hAnsi="Arial Narrow"/>
                <w:b/>
                <w:bCs/>
                <w:color w:val="000000"/>
                <w:sz w:val="22"/>
                <w:szCs w:val="22"/>
              </w:rPr>
              <w:t xml:space="preserve"> </w:t>
            </w:r>
          </w:p>
        </w:tc>
      </w:tr>
    </w:tbl>
    <w:p w14:paraId="40525D1D"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32CB03FE" w14:textId="2D9B5D23" w:rsidR="00FD3B47" w:rsidRDefault="005E1D63"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1EA2604" w14:textId="77777777" w:rsidR="005E1D63" w:rsidRDefault="005E1D63" w:rsidP="00FD3B47">
      <w:pPr>
        <w:spacing w:line="238" w:lineRule="auto"/>
        <w:ind w:left="1134" w:right="260" w:hanging="1134"/>
        <w:jc w:val="both"/>
        <w:rPr>
          <w:rFonts w:ascii="Arial Narrow" w:eastAsia="Arial" w:hAnsi="Arial Narrow"/>
          <w:b/>
          <w:sz w:val="22"/>
          <w:szCs w:val="22"/>
          <w:lang w:val="es-CR"/>
        </w:rPr>
      </w:pPr>
    </w:p>
    <w:p w14:paraId="3164F4AD" w14:textId="367E1196" w:rsidR="00FD3B47" w:rsidRPr="0036006B"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1.258.0.01</w:t>
      </w:r>
      <w:r>
        <w:rPr>
          <w:rFonts w:ascii="Arial" w:hAnsi="Arial"/>
          <w:sz w:val="22"/>
          <w:szCs w:val="22"/>
          <w:lang w:val="es-CR"/>
        </w:rPr>
        <w:tab/>
      </w:r>
      <w:r w:rsidRPr="0036006B">
        <w:rPr>
          <w:rFonts w:ascii="Arial" w:hAnsi="Arial"/>
          <w:sz w:val="22"/>
          <w:szCs w:val="22"/>
          <w:lang w:val="es-CR"/>
        </w:rPr>
        <w:t xml:space="preserve">En la </w:t>
      </w:r>
      <w:r w:rsidR="000F29DC">
        <w:rPr>
          <w:rFonts w:ascii="Arial" w:hAnsi="Arial"/>
          <w:sz w:val="22"/>
          <w:szCs w:val="22"/>
          <w:lang w:val="es-CR"/>
        </w:rPr>
        <w:t>MBA</w:t>
      </w:r>
      <w:r w:rsidRPr="0036006B">
        <w:rPr>
          <w:rFonts w:ascii="Arial" w:hAnsi="Arial"/>
          <w:sz w:val="22"/>
          <w:szCs w:val="22"/>
          <w:lang w:val="es-CR"/>
        </w:rPr>
        <w:t xml:space="preserve"> el importe amortizable de un activo intangible con una vida útil finita se distribuirá sobre una base sistemática a lo largo de su vida útil, por lo que la amortización:</w:t>
      </w:r>
    </w:p>
    <w:p w14:paraId="090B5CAE" w14:textId="77777777" w:rsidR="00FD3B47" w:rsidRPr="0036006B" w:rsidRDefault="00FD3B47" w:rsidP="00FD3B47">
      <w:pPr>
        <w:spacing w:line="238" w:lineRule="auto"/>
        <w:ind w:left="1134" w:right="260" w:hanging="1134"/>
        <w:jc w:val="both"/>
        <w:rPr>
          <w:rFonts w:ascii="Arial" w:hAnsi="Arial"/>
          <w:sz w:val="22"/>
          <w:szCs w:val="22"/>
          <w:lang w:val="es-CR"/>
        </w:rPr>
      </w:pPr>
    </w:p>
    <w:p w14:paraId="596FE782" w14:textId="654AEE75" w:rsidR="00FD3B47" w:rsidRPr="005E1D63" w:rsidRDefault="00FD3B47" w:rsidP="005E1D63">
      <w:pPr>
        <w:pStyle w:val="Prrafodelista"/>
        <w:numPr>
          <w:ilvl w:val="0"/>
          <w:numId w:val="112"/>
        </w:numPr>
        <w:spacing w:after="120"/>
        <w:ind w:left="1418" w:right="261" w:hanging="284"/>
        <w:contextualSpacing w:val="0"/>
        <w:jc w:val="both"/>
        <w:rPr>
          <w:rFonts w:ascii="Arial" w:hAnsi="Arial"/>
          <w:sz w:val="22"/>
          <w:szCs w:val="22"/>
          <w:lang w:val="es-CR"/>
        </w:rPr>
      </w:pPr>
      <w:r w:rsidRPr="0036006B">
        <w:rPr>
          <w:rFonts w:ascii="Arial" w:hAnsi="Arial"/>
          <w:sz w:val="22"/>
          <w:szCs w:val="22"/>
          <w:lang w:val="es-CR"/>
        </w:rPr>
        <w:t>Comenzará cuando el activo esté disponible para su utilización, es decir, cuando se encuentre en la ubicación y condiciones necesarias para que pueda operar de la forma prevista y el reconocimiento inicial se hará el mes siguiente al que se dio esa condición.</w:t>
      </w:r>
    </w:p>
    <w:p w14:paraId="35113B1F" w14:textId="77777777" w:rsidR="00FD3B47" w:rsidRPr="0036006B" w:rsidRDefault="00FD3B47">
      <w:pPr>
        <w:pStyle w:val="Prrafodelista"/>
        <w:numPr>
          <w:ilvl w:val="0"/>
          <w:numId w:val="112"/>
        </w:numPr>
        <w:spacing w:line="238" w:lineRule="auto"/>
        <w:ind w:left="1418" w:right="260" w:hanging="284"/>
        <w:jc w:val="both"/>
        <w:rPr>
          <w:rFonts w:ascii="Arial" w:hAnsi="Arial"/>
          <w:sz w:val="22"/>
          <w:szCs w:val="22"/>
          <w:lang w:val="es-CR"/>
        </w:rPr>
      </w:pPr>
      <w:r w:rsidRPr="0036006B">
        <w:rPr>
          <w:rFonts w:ascii="Arial" w:hAnsi="Arial"/>
          <w:sz w:val="22"/>
          <w:szCs w:val="22"/>
          <w:lang w:val="es-CR"/>
        </w:rPr>
        <w:t>Finalizará en la fecha más temprana de la siguiente en que el activo sea dado de baja en cuentas.</w:t>
      </w:r>
    </w:p>
    <w:p w14:paraId="7115E661" w14:textId="77777777" w:rsidR="00FD3B47" w:rsidRPr="00627673" w:rsidRDefault="00FD3B47" w:rsidP="00FD3B47">
      <w:pPr>
        <w:spacing w:line="285" w:lineRule="exact"/>
        <w:rPr>
          <w:rFonts w:ascii="Times New Roman" w:eastAsia="Times New Roman" w:hAnsi="Times New Roman"/>
          <w:lang w:val="es-CR"/>
        </w:rPr>
      </w:pPr>
    </w:p>
    <w:p w14:paraId="70341A6F" w14:textId="77777777"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1.258.1.01</w:t>
      </w:r>
      <w:r>
        <w:rPr>
          <w:rFonts w:ascii="Arial" w:hAnsi="Arial"/>
          <w:sz w:val="22"/>
          <w:szCs w:val="22"/>
          <w:lang w:val="es-CR"/>
        </w:rPr>
        <w:tab/>
      </w:r>
      <w:r w:rsidRPr="0036006B">
        <w:rPr>
          <w:rFonts w:ascii="Arial" w:hAnsi="Arial"/>
          <w:sz w:val="22"/>
          <w:szCs w:val="22"/>
          <w:lang w:val="es-CR"/>
        </w:rPr>
        <w:t>El método de amortización reflejará el patrón con arreglo al cual se espera que sean consumidos, por parte de la Municipalidad, los beneficios económicos o el potencial de servicio futuros del activo</w:t>
      </w:r>
      <w:r>
        <w:rPr>
          <w:rFonts w:ascii="Arial" w:hAnsi="Arial"/>
          <w:sz w:val="22"/>
          <w:szCs w:val="22"/>
          <w:lang w:val="es-CR"/>
        </w:rPr>
        <w:t xml:space="preserve"> durante su vida útil, el cual</w:t>
      </w:r>
      <w:r w:rsidRPr="0036006B">
        <w:rPr>
          <w:rFonts w:ascii="Arial" w:hAnsi="Arial"/>
          <w:sz w:val="22"/>
          <w:szCs w:val="22"/>
          <w:lang w:val="es-CR"/>
        </w:rPr>
        <w:t xml:space="preserve">, </w:t>
      </w:r>
      <w:r>
        <w:rPr>
          <w:rFonts w:ascii="Arial" w:hAnsi="Arial"/>
          <w:sz w:val="22"/>
          <w:szCs w:val="22"/>
          <w:lang w:val="es-CR"/>
        </w:rPr>
        <w:t xml:space="preserve">de acuerdo con lo dispuesto por la DGCN </w:t>
      </w:r>
      <w:r w:rsidRPr="0036006B">
        <w:rPr>
          <w:rFonts w:ascii="Arial" w:hAnsi="Arial"/>
          <w:sz w:val="22"/>
          <w:szCs w:val="22"/>
          <w:lang w:val="es-CR"/>
        </w:rPr>
        <w:t>se adopta el método lineal de amortización.</w:t>
      </w:r>
    </w:p>
    <w:p w14:paraId="19E716A1" w14:textId="77777777" w:rsidR="00FD3B47" w:rsidRDefault="00FD3B47" w:rsidP="00FD3B47">
      <w:pPr>
        <w:spacing w:line="238" w:lineRule="auto"/>
        <w:ind w:left="1134" w:right="260" w:hanging="1134"/>
        <w:jc w:val="both"/>
        <w:rPr>
          <w:rFonts w:ascii="Arial" w:hAnsi="Arial"/>
          <w:sz w:val="22"/>
          <w:szCs w:val="22"/>
          <w:lang w:val="es-CR"/>
        </w:rPr>
      </w:pPr>
    </w:p>
    <w:p w14:paraId="515BCD2B" w14:textId="77777777"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1.258.2.01</w:t>
      </w:r>
      <w:r>
        <w:rPr>
          <w:rFonts w:ascii="Arial" w:hAnsi="Arial"/>
          <w:sz w:val="22"/>
          <w:szCs w:val="22"/>
          <w:lang w:val="es-CR"/>
        </w:rPr>
        <w:tab/>
        <w:t>El método de amortización de línea recta se aplicará de forma uniforme en todos los periodos, y variará solo en caso de que se produzca una modificación en los patrones esperados de consumo de los beneficios futuros o potencial de servicio del activo.</w:t>
      </w:r>
    </w:p>
    <w:p w14:paraId="49DACAAE" w14:textId="77777777" w:rsidR="00FD3B47" w:rsidRDefault="00FD3B47" w:rsidP="00FD3B47">
      <w:pPr>
        <w:spacing w:line="238" w:lineRule="auto"/>
        <w:ind w:left="1134" w:right="260" w:hanging="1134"/>
        <w:jc w:val="both"/>
        <w:rPr>
          <w:rFonts w:ascii="Arial" w:hAnsi="Arial"/>
          <w:sz w:val="22"/>
          <w:szCs w:val="22"/>
          <w:lang w:val="es-CR"/>
        </w:rPr>
      </w:pPr>
    </w:p>
    <w:p w14:paraId="699E49CE" w14:textId="19E55775" w:rsidR="00FD3B47" w:rsidRPr="0036006B"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1.258.3.01</w:t>
      </w:r>
      <w:r>
        <w:rPr>
          <w:rFonts w:ascii="Arial" w:hAnsi="Arial"/>
          <w:sz w:val="22"/>
          <w:szCs w:val="22"/>
          <w:lang w:val="es-CR"/>
        </w:rPr>
        <w:tab/>
        <w:t xml:space="preserve">La amortización se reconocerá en el resultado del periodo. Sin </w:t>
      </w:r>
      <w:r w:rsidR="0021354A">
        <w:rPr>
          <w:rFonts w:ascii="Arial" w:hAnsi="Arial"/>
          <w:sz w:val="22"/>
          <w:szCs w:val="22"/>
          <w:lang w:val="es-CR"/>
        </w:rPr>
        <w:t>embargo</w:t>
      </w:r>
      <w:r>
        <w:rPr>
          <w:rFonts w:ascii="Arial" w:hAnsi="Arial"/>
          <w:sz w:val="22"/>
          <w:szCs w:val="22"/>
          <w:lang w:val="es-CR"/>
        </w:rPr>
        <w:t>, en caso de que los beneficios económicos o potencial de servicios futuros se incorporen en la producción de otro activo, el cargo por amortización formará parte del costo de ese otro activo.</w:t>
      </w:r>
    </w:p>
    <w:p w14:paraId="78824072" w14:textId="77777777" w:rsidR="00FD3B47" w:rsidRPr="00627673" w:rsidRDefault="00FD3B47" w:rsidP="00FD3B47">
      <w:pPr>
        <w:spacing w:line="276" w:lineRule="exact"/>
        <w:rPr>
          <w:rFonts w:ascii="Times New Roman" w:eastAsia="Times New Roman" w:hAnsi="Times New Roman"/>
          <w:lang w:val="es-CR"/>
        </w:rPr>
      </w:pPr>
    </w:p>
    <w:p w14:paraId="37EF42BC" w14:textId="77777777" w:rsidR="00FD3B47" w:rsidRPr="00A75486" w:rsidRDefault="00FD3B47" w:rsidP="00FD3B47">
      <w:pPr>
        <w:spacing w:line="9" w:lineRule="exact"/>
        <w:rPr>
          <w:rFonts w:ascii="Arial" w:eastAsia="Arial" w:hAnsi="Arial"/>
          <w:b/>
          <w:sz w:val="24"/>
          <w:lang w:val="es-CR"/>
        </w:rPr>
      </w:pPr>
    </w:p>
    <w:p w14:paraId="70E000BC" w14:textId="0C4956DF"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1.258.4.01</w:t>
      </w:r>
      <w:r>
        <w:rPr>
          <w:rFonts w:ascii="Arial" w:hAnsi="Arial"/>
          <w:sz w:val="22"/>
          <w:szCs w:val="22"/>
          <w:lang w:val="es-CR"/>
        </w:rPr>
        <w:tab/>
      </w:r>
      <w:r w:rsidRPr="00A75486">
        <w:rPr>
          <w:rFonts w:ascii="Arial" w:hAnsi="Arial"/>
          <w:sz w:val="22"/>
          <w:szCs w:val="22"/>
          <w:lang w:val="es-CR"/>
        </w:rPr>
        <w:t>El método de amortización utilizado para un activo intangible con vida útil finita se revisará</w:t>
      </w:r>
      <w:r>
        <w:rPr>
          <w:rFonts w:ascii="Arial" w:hAnsi="Arial"/>
          <w:sz w:val="22"/>
          <w:szCs w:val="22"/>
          <w:lang w:val="es-CR"/>
        </w:rPr>
        <w:t xml:space="preserve"> en cada fecha de presentación o al menos una vez al año (al cierre del ejercicio económico cada 31 de </w:t>
      </w:r>
      <w:r w:rsidR="0021354A">
        <w:rPr>
          <w:rFonts w:ascii="Arial" w:hAnsi="Arial"/>
          <w:sz w:val="22"/>
          <w:szCs w:val="22"/>
          <w:lang w:val="es-CR"/>
        </w:rPr>
        <w:t>diciembre</w:t>
      </w:r>
      <w:r>
        <w:rPr>
          <w:rFonts w:ascii="Arial" w:hAnsi="Arial"/>
          <w:sz w:val="22"/>
          <w:szCs w:val="22"/>
          <w:lang w:val="es-CR"/>
        </w:rPr>
        <w:t xml:space="preserve">). En caso de identificarse un </w:t>
      </w:r>
      <w:r w:rsidR="0021354A">
        <w:rPr>
          <w:rFonts w:ascii="Arial" w:hAnsi="Arial"/>
          <w:sz w:val="22"/>
          <w:szCs w:val="22"/>
          <w:lang w:val="es-CR"/>
        </w:rPr>
        <w:t>cambio</w:t>
      </w:r>
      <w:r>
        <w:rPr>
          <w:rFonts w:ascii="Arial" w:hAnsi="Arial"/>
          <w:sz w:val="22"/>
          <w:szCs w:val="22"/>
          <w:lang w:val="es-CR"/>
        </w:rPr>
        <w:t xml:space="preserve"> en el patrón esperado de consumo de los beneficios económicos o potencial de servicios el método de amortización se modificará con el fin de reflejar estos </w:t>
      </w:r>
      <w:r w:rsidR="0021354A">
        <w:rPr>
          <w:rFonts w:ascii="Arial" w:hAnsi="Arial"/>
          <w:sz w:val="22"/>
          <w:szCs w:val="22"/>
          <w:lang w:val="es-CR"/>
        </w:rPr>
        <w:t>cambios</w:t>
      </w:r>
      <w:r>
        <w:rPr>
          <w:rFonts w:ascii="Arial" w:hAnsi="Arial"/>
          <w:sz w:val="22"/>
          <w:szCs w:val="22"/>
          <w:lang w:val="es-CR"/>
        </w:rPr>
        <w:t xml:space="preserve">, observando lo establecido en la NICSP 3 “Políticas Contables, </w:t>
      </w:r>
      <w:r w:rsidR="0021354A">
        <w:rPr>
          <w:rFonts w:ascii="Arial" w:hAnsi="Arial"/>
          <w:sz w:val="22"/>
          <w:szCs w:val="22"/>
          <w:lang w:val="es-CR"/>
        </w:rPr>
        <w:t>cambios</w:t>
      </w:r>
      <w:r>
        <w:rPr>
          <w:rFonts w:ascii="Arial" w:hAnsi="Arial"/>
          <w:sz w:val="22"/>
          <w:szCs w:val="22"/>
          <w:lang w:val="es-CR"/>
        </w:rPr>
        <w:t xml:space="preserve"> en las Estimaciones Contables y Errores”.</w:t>
      </w:r>
    </w:p>
    <w:p w14:paraId="5C890F5A" w14:textId="77777777" w:rsidR="00FD3B47" w:rsidRDefault="00FD3B47" w:rsidP="00FD3B47">
      <w:pPr>
        <w:spacing w:line="238" w:lineRule="auto"/>
        <w:ind w:left="1134" w:right="260" w:hanging="1134"/>
        <w:jc w:val="both"/>
        <w:rPr>
          <w:rFonts w:ascii="Arial" w:hAnsi="Arial"/>
          <w:sz w:val="22"/>
          <w:szCs w:val="22"/>
          <w:lang w:val="es-CR"/>
        </w:rPr>
      </w:pPr>
    </w:p>
    <w:p w14:paraId="111ECEA2" w14:textId="77777777" w:rsidR="00FD3B47" w:rsidRDefault="00FD3B47" w:rsidP="00FD3B47">
      <w:pPr>
        <w:spacing w:line="238" w:lineRule="auto"/>
        <w:ind w:left="1134" w:right="260" w:hanging="1134"/>
        <w:jc w:val="both"/>
        <w:rPr>
          <w:rFonts w:ascii="Arial" w:hAnsi="Arial"/>
          <w:sz w:val="22"/>
          <w:szCs w:val="22"/>
          <w:lang w:val="es-CR"/>
        </w:rPr>
      </w:pPr>
    </w:p>
    <w:p w14:paraId="65E9D5A5" w14:textId="77777777" w:rsidR="00FD3B47" w:rsidRDefault="00FD3B47" w:rsidP="00FD3B47">
      <w:pPr>
        <w:spacing w:line="238" w:lineRule="auto"/>
        <w:ind w:left="1134" w:right="260" w:hanging="1134"/>
        <w:jc w:val="both"/>
        <w:rPr>
          <w:rFonts w:ascii="Arial" w:hAnsi="Arial"/>
          <w:sz w:val="22"/>
          <w:szCs w:val="22"/>
          <w:lang w:val="es-CR"/>
        </w:rPr>
      </w:pPr>
    </w:p>
    <w:tbl>
      <w:tblPr>
        <w:tblW w:w="8880" w:type="dxa"/>
        <w:tblLook w:val="04A0" w:firstRow="1" w:lastRow="0" w:firstColumn="1" w:lastColumn="0" w:noHBand="0" w:noVBand="1"/>
      </w:tblPr>
      <w:tblGrid>
        <w:gridCol w:w="539"/>
        <w:gridCol w:w="517"/>
        <w:gridCol w:w="519"/>
        <w:gridCol w:w="2854"/>
        <w:gridCol w:w="2354"/>
        <w:gridCol w:w="2097"/>
      </w:tblGrid>
      <w:tr w:rsidR="00FD3B47" w:rsidRPr="00890624" w14:paraId="5224EA79" w14:textId="77777777" w:rsidTr="00D16719">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6B60F01" w14:textId="77777777" w:rsidR="00FD3B47" w:rsidRPr="00890624" w:rsidRDefault="00FD3B47" w:rsidP="00D16719">
            <w:pPr>
              <w:jc w:val="center"/>
              <w:rPr>
                <w:rFonts w:ascii="Arial Narrow" w:eastAsia="Times New Roman" w:hAnsi="Arial Narrow"/>
                <w:b/>
                <w:bCs/>
                <w:color w:val="FFFFFF"/>
                <w:sz w:val="22"/>
                <w:szCs w:val="22"/>
              </w:rPr>
            </w:pPr>
            <w:r w:rsidRPr="00890624">
              <w:rPr>
                <w:rFonts w:ascii="Arial Narrow" w:eastAsia="Times New Roman" w:hAnsi="Arial Narrow"/>
                <w:b/>
                <w:bCs/>
                <w:color w:val="FFFFFF"/>
                <w:sz w:val="22"/>
                <w:szCs w:val="22"/>
              </w:rPr>
              <w:lastRenderedPageBreak/>
              <w:t>Norma / Política</w:t>
            </w:r>
          </w:p>
        </w:tc>
        <w:tc>
          <w:tcPr>
            <w:tcW w:w="2860" w:type="dxa"/>
            <w:vMerge w:val="restart"/>
            <w:tcBorders>
              <w:top w:val="nil"/>
              <w:left w:val="single" w:sz="8" w:space="0" w:color="auto"/>
              <w:bottom w:val="nil"/>
              <w:right w:val="single" w:sz="8" w:space="0" w:color="auto"/>
            </w:tcBorders>
            <w:shd w:val="clear" w:color="000000" w:fill="203764"/>
            <w:vAlign w:val="center"/>
            <w:hideMark/>
          </w:tcPr>
          <w:p w14:paraId="216A8111" w14:textId="77777777" w:rsidR="00FD3B47" w:rsidRPr="00890624" w:rsidRDefault="00FD3B47" w:rsidP="00D16719">
            <w:pPr>
              <w:jc w:val="center"/>
              <w:rPr>
                <w:rFonts w:ascii="Arial Narrow" w:eastAsia="Times New Roman" w:hAnsi="Arial Narrow"/>
                <w:b/>
                <w:bCs/>
                <w:color w:val="FFFFFF"/>
                <w:sz w:val="22"/>
                <w:szCs w:val="22"/>
              </w:rPr>
            </w:pPr>
            <w:r w:rsidRPr="00890624">
              <w:rPr>
                <w:rFonts w:ascii="Arial Narrow" w:eastAsia="Times New Roman" w:hAnsi="Arial Narrow"/>
                <w:b/>
                <w:bCs/>
                <w:color w:val="FFFFFF"/>
                <w:sz w:val="22"/>
                <w:szCs w:val="22"/>
              </w:rPr>
              <w:t>Concepto</w:t>
            </w:r>
          </w:p>
        </w:tc>
        <w:tc>
          <w:tcPr>
            <w:tcW w:w="4460" w:type="dxa"/>
            <w:gridSpan w:val="2"/>
            <w:tcBorders>
              <w:top w:val="nil"/>
              <w:left w:val="nil"/>
              <w:bottom w:val="single" w:sz="8" w:space="0" w:color="auto"/>
              <w:right w:val="single" w:sz="8" w:space="0" w:color="000000"/>
            </w:tcBorders>
            <w:shd w:val="clear" w:color="000000" w:fill="203764"/>
            <w:vAlign w:val="center"/>
            <w:hideMark/>
          </w:tcPr>
          <w:p w14:paraId="0DE62BA4" w14:textId="77777777" w:rsidR="00FD3B47" w:rsidRPr="00890624" w:rsidRDefault="00FD3B47" w:rsidP="00D16719">
            <w:pPr>
              <w:jc w:val="center"/>
              <w:rPr>
                <w:rFonts w:ascii="Arial Narrow" w:eastAsia="Times New Roman" w:hAnsi="Arial Narrow"/>
                <w:b/>
                <w:bCs/>
                <w:color w:val="FFFFFF"/>
                <w:sz w:val="22"/>
                <w:szCs w:val="22"/>
              </w:rPr>
            </w:pPr>
            <w:r w:rsidRPr="00890624">
              <w:rPr>
                <w:rFonts w:ascii="Arial Narrow" w:eastAsia="Times New Roman" w:hAnsi="Arial Narrow"/>
                <w:b/>
                <w:bCs/>
                <w:color w:val="FFFFFF"/>
                <w:sz w:val="22"/>
                <w:szCs w:val="22"/>
              </w:rPr>
              <w:t>Referencia</w:t>
            </w:r>
          </w:p>
        </w:tc>
      </w:tr>
      <w:tr w:rsidR="00FD3B47" w:rsidRPr="006E5442" w14:paraId="1D8CA373" w14:textId="77777777" w:rsidTr="00D16719">
        <w:trPr>
          <w:trHeight w:val="320"/>
        </w:trPr>
        <w:tc>
          <w:tcPr>
            <w:tcW w:w="1560" w:type="dxa"/>
            <w:gridSpan w:val="3"/>
            <w:vMerge/>
            <w:tcBorders>
              <w:top w:val="single" w:sz="8" w:space="0" w:color="auto"/>
              <w:left w:val="single" w:sz="8" w:space="0" w:color="auto"/>
              <w:bottom w:val="nil"/>
              <w:right w:val="single" w:sz="8" w:space="0" w:color="000000"/>
            </w:tcBorders>
            <w:vAlign w:val="center"/>
            <w:hideMark/>
          </w:tcPr>
          <w:p w14:paraId="6D441120" w14:textId="77777777" w:rsidR="00FD3B47" w:rsidRPr="00890624" w:rsidRDefault="00FD3B47" w:rsidP="00D16719">
            <w:pPr>
              <w:rPr>
                <w:rFonts w:ascii="Arial Narrow" w:eastAsia="Times New Roman" w:hAnsi="Arial Narrow"/>
                <w:b/>
                <w:bCs/>
                <w:color w:val="FFFFFF"/>
                <w:sz w:val="22"/>
                <w:szCs w:val="22"/>
              </w:rPr>
            </w:pPr>
          </w:p>
        </w:tc>
        <w:tc>
          <w:tcPr>
            <w:tcW w:w="2860" w:type="dxa"/>
            <w:vMerge/>
            <w:tcBorders>
              <w:top w:val="nil"/>
              <w:left w:val="single" w:sz="8" w:space="0" w:color="auto"/>
              <w:bottom w:val="nil"/>
              <w:right w:val="single" w:sz="8" w:space="0" w:color="auto"/>
            </w:tcBorders>
            <w:vAlign w:val="center"/>
            <w:hideMark/>
          </w:tcPr>
          <w:p w14:paraId="6751EB6A" w14:textId="77777777" w:rsidR="00FD3B47" w:rsidRPr="00890624" w:rsidRDefault="00FD3B47" w:rsidP="00D16719">
            <w:pPr>
              <w:rPr>
                <w:rFonts w:ascii="Arial Narrow" w:eastAsia="Times New Roman" w:hAnsi="Arial Narrow"/>
                <w:b/>
                <w:bCs/>
                <w:color w:val="FFFFFF"/>
                <w:sz w:val="22"/>
                <w:szCs w:val="22"/>
              </w:rPr>
            </w:pPr>
          </w:p>
        </w:tc>
        <w:tc>
          <w:tcPr>
            <w:tcW w:w="2360" w:type="dxa"/>
            <w:tcBorders>
              <w:top w:val="nil"/>
              <w:left w:val="nil"/>
              <w:bottom w:val="nil"/>
              <w:right w:val="single" w:sz="8" w:space="0" w:color="auto"/>
            </w:tcBorders>
            <w:shd w:val="clear" w:color="000000" w:fill="203764"/>
            <w:vAlign w:val="center"/>
            <w:hideMark/>
          </w:tcPr>
          <w:p w14:paraId="4CC125D6" w14:textId="77777777" w:rsidR="00FD3B47" w:rsidRPr="00890624" w:rsidRDefault="00FD3B47" w:rsidP="00D16719">
            <w:pPr>
              <w:jc w:val="center"/>
              <w:rPr>
                <w:rFonts w:ascii="Arial Narrow" w:eastAsia="Times New Roman" w:hAnsi="Arial Narrow"/>
                <w:b/>
                <w:bCs/>
                <w:color w:val="FFFFFF"/>
                <w:sz w:val="22"/>
                <w:szCs w:val="22"/>
              </w:rPr>
            </w:pPr>
            <w:r w:rsidRPr="00890624">
              <w:rPr>
                <w:rFonts w:ascii="Arial Narrow" w:eastAsia="Times New Roman" w:hAnsi="Arial Narrow"/>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28D564E6" w14:textId="77777777" w:rsidR="00FD3B47" w:rsidRPr="00890624" w:rsidRDefault="00FD3B47" w:rsidP="00D16719">
            <w:pPr>
              <w:jc w:val="center"/>
              <w:rPr>
                <w:rFonts w:ascii="Arial Narrow" w:eastAsia="Times New Roman" w:hAnsi="Arial Narrow"/>
                <w:b/>
                <w:bCs/>
                <w:color w:val="FFFFFF"/>
                <w:sz w:val="22"/>
                <w:szCs w:val="22"/>
                <w:lang w:val="es-CR"/>
              </w:rPr>
            </w:pPr>
            <w:r w:rsidRPr="0078076A">
              <w:rPr>
                <w:rFonts w:ascii="Arial Narrow" w:eastAsia="Times New Roman" w:hAnsi="Arial Narrow"/>
                <w:b/>
                <w:bCs/>
                <w:color w:val="FFFFFF"/>
                <w:sz w:val="22"/>
                <w:szCs w:val="22"/>
                <w:lang w:val="es-CR"/>
              </w:rPr>
              <w:t>Normativa técnica y disposiciones adicionales</w:t>
            </w:r>
          </w:p>
        </w:tc>
      </w:tr>
      <w:tr w:rsidR="00FD3B47" w:rsidRPr="00890624" w14:paraId="72717669" w14:textId="77777777" w:rsidTr="00D16719">
        <w:trPr>
          <w:trHeight w:val="422"/>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376728BA"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0B923905"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259</w:t>
            </w:r>
          </w:p>
        </w:tc>
        <w:tc>
          <w:tcPr>
            <w:tcW w:w="520" w:type="dxa"/>
            <w:tcBorders>
              <w:top w:val="nil"/>
              <w:left w:val="nil"/>
              <w:bottom w:val="single" w:sz="8" w:space="0" w:color="auto"/>
              <w:right w:val="single" w:sz="8" w:space="0" w:color="auto"/>
            </w:tcBorders>
            <w:shd w:val="clear" w:color="auto" w:fill="auto"/>
            <w:vAlign w:val="center"/>
            <w:hideMark/>
          </w:tcPr>
          <w:p w14:paraId="03A2394E" w14:textId="505B4A5C" w:rsidR="00FD3B47" w:rsidRPr="00890624" w:rsidRDefault="00FD3B47" w:rsidP="00D16719">
            <w:pPr>
              <w:jc w:val="center"/>
              <w:rPr>
                <w:rFonts w:ascii="Arial Narrow" w:eastAsia="Times New Roman" w:hAnsi="Arial Narrow"/>
                <w:b/>
                <w:bCs/>
                <w:color w:val="000000"/>
                <w:sz w:val="22"/>
                <w:szCs w:val="22"/>
              </w:rPr>
            </w:pP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017D1991" w14:textId="77777777" w:rsidR="00FD3B47" w:rsidRPr="00890624" w:rsidRDefault="00FD3B47" w:rsidP="00D16719">
            <w:pPr>
              <w:jc w:val="both"/>
              <w:rPr>
                <w:rFonts w:ascii="Arial Narrow" w:eastAsia="Times New Roman" w:hAnsi="Arial Narrow"/>
                <w:b/>
                <w:bCs/>
                <w:color w:val="000000"/>
                <w:sz w:val="22"/>
                <w:szCs w:val="22"/>
                <w:lang w:val="es-CR"/>
              </w:rPr>
            </w:pPr>
            <w:r w:rsidRPr="00890624">
              <w:rPr>
                <w:rFonts w:ascii="Arial Narrow" w:eastAsia="Times New Roman" w:hAnsi="Arial Narrow"/>
                <w:b/>
                <w:bCs/>
                <w:color w:val="000000"/>
                <w:sz w:val="22"/>
                <w:szCs w:val="22"/>
                <w:lang w:val="es-CR"/>
              </w:rPr>
              <w:t>Valor residual e importe amortizable</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374A73F1" w14:textId="77777777" w:rsidR="00FD3B47" w:rsidRDefault="00FD3B47" w:rsidP="00D16719">
            <w:pP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 xml:space="preserve">NICSP Nº 31, </w:t>
            </w:r>
          </w:p>
          <w:p w14:paraId="3E4EBB18" w14:textId="77777777" w:rsidR="00FD3B47" w:rsidRPr="00890624" w:rsidRDefault="00FD3B47" w:rsidP="00D16719">
            <w:pP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Párrafos 99 y 100.</w:t>
            </w:r>
          </w:p>
        </w:tc>
        <w:tc>
          <w:tcPr>
            <w:tcW w:w="2100" w:type="dxa"/>
            <w:tcBorders>
              <w:top w:val="nil"/>
              <w:left w:val="nil"/>
              <w:bottom w:val="single" w:sz="8" w:space="0" w:color="auto"/>
              <w:right w:val="single" w:sz="8" w:space="0" w:color="auto"/>
            </w:tcBorders>
            <w:shd w:val="clear" w:color="auto" w:fill="auto"/>
            <w:vAlign w:val="center"/>
            <w:hideMark/>
          </w:tcPr>
          <w:p w14:paraId="6D6C6527" w14:textId="77777777" w:rsidR="00FD3B47" w:rsidRPr="00890624" w:rsidRDefault="00FD3B47" w:rsidP="00D16719">
            <w:pPr>
              <w:ind w:firstLineChars="100" w:firstLine="220"/>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 </w:t>
            </w:r>
          </w:p>
        </w:tc>
      </w:tr>
      <w:tr w:rsidR="00FD3B47" w:rsidRPr="00890624" w14:paraId="73C65051" w14:textId="77777777" w:rsidTr="00D16719">
        <w:trPr>
          <w:trHeight w:val="471"/>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5D8940F"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60B4A4F1"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259</w:t>
            </w:r>
          </w:p>
        </w:tc>
        <w:tc>
          <w:tcPr>
            <w:tcW w:w="520" w:type="dxa"/>
            <w:tcBorders>
              <w:top w:val="nil"/>
              <w:left w:val="nil"/>
              <w:bottom w:val="single" w:sz="8" w:space="0" w:color="auto"/>
              <w:right w:val="single" w:sz="8" w:space="0" w:color="auto"/>
            </w:tcBorders>
            <w:shd w:val="clear" w:color="auto" w:fill="auto"/>
            <w:vAlign w:val="center"/>
            <w:hideMark/>
          </w:tcPr>
          <w:p w14:paraId="0D2892D0"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1</w:t>
            </w:r>
          </w:p>
        </w:tc>
        <w:tc>
          <w:tcPr>
            <w:tcW w:w="2860" w:type="dxa"/>
            <w:tcBorders>
              <w:top w:val="nil"/>
              <w:left w:val="nil"/>
              <w:bottom w:val="single" w:sz="8" w:space="0" w:color="auto"/>
              <w:right w:val="single" w:sz="8" w:space="0" w:color="auto"/>
            </w:tcBorders>
            <w:shd w:val="clear" w:color="auto" w:fill="auto"/>
            <w:vAlign w:val="center"/>
            <w:hideMark/>
          </w:tcPr>
          <w:p w14:paraId="6894E032" w14:textId="77777777" w:rsidR="00FD3B47" w:rsidRPr="00890624" w:rsidRDefault="00FD3B47" w:rsidP="00D16719">
            <w:pPr>
              <w:jc w:val="both"/>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Estimación del valor residual</w:t>
            </w:r>
          </w:p>
        </w:tc>
        <w:tc>
          <w:tcPr>
            <w:tcW w:w="2360" w:type="dxa"/>
            <w:tcBorders>
              <w:top w:val="nil"/>
              <w:left w:val="nil"/>
              <w:bottom w:val="single" w:sz="8" w:space="0" w:color="auto"/>
              <w:right w:val="single" w:sz="8" w:space="0" w:color="auto"/>
            </w:tcBorders>
            <w:shd w:val="clear" w:color="auto" w:fill="auto"/>
            <w:vAlign w:val="center"/>
            <w:hideMark/>
          </w:tcPr>
          <w:p w14:paraId="3269C591" w14:textId="77777777" w:rsidR="00FD3B47" w:rsidRDefault="00FD3B47" w:rsidP="00D16719">
            <w:pP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NICSP N° 31,</w:t>
            </w:r>
          </w:p>
          <w:p w14:paraId="1ECD18A1" w14:textId="77777777" w:rsidR="00FD3B47" w:rsidRPr="00890624" w:rsidRDefault="00FD3B47" w:rsidP="00D16719">
            <w:pP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 xml:space="preserve"> Párrafo 101.</w:t>
            </w:r>
          </w:p>
        </w:tc>
        <w:tc>
          <w:tcPr>
            <w:tcW w:w="2100" w:type="dxa"/>
            <w:tcBorders>
              <w:top w:val="nil"/>
              <w:left w:val="nil"/>
              <w:bottom w:val="single" w:sz="8" w:space="0" w:color="auto"/>
              <w:right w:val="single" w:sz="8" w:space="0" w:color="auto"/>
            </w:tcBorders>
            <w:shd w:val="clear" w:color="auto" w:fill="auto"/>
            <w:vAlign w:val="center"/>
            <w:hideMark/>
          </w:tcPr>
          <w:p w14:paraId="3D36A0DF" w14:textId="77777777" w:rsidR="00FD3B47" w:rsidRPr="00890624" w:rsidRDefault="00FD3B47" w:rsidP="00D16719">
            <w:pPr>
              <w:ind w:firstLineChars="100" w:firstLine="220"/>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 xml:space="preserve"> </w:t>
            </w:r>
          </w:p>
        </w:tc>
      </w:tr>
      <w:tr w:rsidR="00FD3B47" w:rsidRPr="00890624" w14:paraId="05442CED" w14:textId="77777777" w:rsidTr="00D16719">
        <w:trPr>
          <w:trHeight w:val="395"/>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1A04344E"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2E5757FF"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259</w:t>
            </w:r>
          </w:p>
        </w:tc>
        <w:tc>
          <w:tcPr>
            <w:tcW w:w="520" w:type="dxa"/>
            <w:tcBorders>
              <w:top w:val="nil"/>
              <w:left w:val="nil"/>
              <w:bottom w:val="single" w:sz="8" w:space="0" w:color="auto"/>
              <w:right w:val="single" w:sz="8" w:space="0" w:color="auto"/>
            </w:tcBorders>
            <w:shd w:val="clear" w:color="auto" w:fill="auto"/>
            <w:vAlign w:val="center"/>
            <w:hideMark/>
          </w:tcPr>
          <w:p w14:paraId="67D7AC4C"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2</w:t>
            </w:r>
          </w:p>
        </w:tc>
        <w:tc>
          <w:tcPr>
            <w:tcW w:w="2860" w:type="dxa"/>
            <w:tcBorders>
              <w:top w:val="nil"/>
              <w:left w:val="nil"/>
              <w:bottom w:val="single" w:sz="8" w:space="0" w:color="auto"/>
              <w:right w:val="single" w:sz="8" w:space="0" w:color="auto"/>
            </w:tcBorders>
            <w:shd w:val="clear" w:color="auto" w:fill="auto"/>
            <w:vAlign w:val="center"/>
            <w:hideMark/>
          </w:tcPr>
          <w:p w14:paraId="57F9D792" w14:textId="77777777" w:rsidR="00FD3B47" w:rsidRPr="00890624" w:rsidRDefault="00FD3B47" w:rsidP="00D16719">
            <w:pPr>
              <w:jc w:val="both"/>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Revisión del valor residual</w:t>
            </w:r>
          </w:p>
        </w:tc>
        <w:tc>
          <w:tcPr>
            <w:tcW w:w="2360" w:type="dxa"/>
            <w:tcBorders>
              <w:top w:val="nil"/>
              <w:left w:val="nil"/>
              <w:bottom w:val="single" w:sz="8" w:space="0" w:color="auto"/>
              <w:right w:val="single" w:sz="8" w:space="0" w:color="auto"/>
            </w:tcBorders>
            <w:shd w:val="clear" w:color="auto" w:fill="auto"/>
            <w:vAlign w:val="center"/>
            <w:hideMark/>
          </w:tcPr>
          <w:p w14:paraId="26CFCE76" w14:textId="77777777" w:rsidR="00FD3B47" w:rsidRDefault="00FD3B47" w:rsidP="00D16719">
            <w:pP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 xml:space="preserve"> NICSP N° 31,</w:t>
            </w:r>
          </w:p>
          <w:p w14:paraId="0D305738" w14:textId="77777777" w:rsidR="00FD3B47" w:rsidRPr="00890624" w:rsidRDefault="00FD3B47" w:rsidP="00D16719">
            <w:pP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 xml:space="preserve"> Párrafo 101.</w:t>
            </w:r>
          </w:p>
        </w:tc>
        <w:tc>
          <w:tcPr>
            <w:tcW w:w="2100" w:type="dxa"/>
            <w:tcBorders>
              <w:top w:val="nil"/>
              <w:left w:val="nil"/>
              <w:bottom w:val="single" w:sz="8" w:space="0" w:color="auto"/>
              <w:right w:val="single" w:sz="8" w:space="0" w:color="auto"/>
            </w:tcBorders>
            <w:shd w:val="clear" w:color="auto" w:fill="auto"/>
            <w:vAlign w:val="center"/>
            <w:hideMark/>
          </w:tcPr>
          <w:p w14:paraId="128EA45D" w14:textId="77777777" w:rsidR="00FD3B47" w:rsidRPr="00890624" w:rsidRDefault="00FD3B47" w:rsidP="00D16719">
            <w:pPr>
              <w:ind w:firstLineChars="100" w:firstLine="220"/>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DGCN</w:t>
            </w:r>
          </w:p>
        </w:tc>
      </w:tr>
      <w:tr w:rsidR="00FD3B47" w:rsidRPr="00890624" w14:paraId="0B0ADC34" w14:textId="77777777" w:rsidTr="00D16719">
        <w:trPr>
          <w:trHeight w:val="415"/>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37C28DC"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1</w:t>
            </w:r>
          </w:p>
        </w:tc>
        <w:tc>
          <w:tcPr>
            <w:tcW w:w="500" w:type="dxa"/>
            <w:tcBorders>
              <w:top w:val="nil"/>
              <w:left w:val="nil"/>
              <w:bottom w:val="single" w:sz="8" w:space="0" w:color="auto"/>
              <w:right w:val="single" w:sz="8" w:space="0" w:color="auto"/>
            </w:tcBorders>
            <w:shd w:val="clear" w:color="auto" w:fill="auto"/>
            <w:vAlign w:val="center"/>
            <w:hideMark/>
          </w:tcPr>
          <w:p w14:paraId="6D385291"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259</w:t>
            </w:r>
          </w:p>
        </w:tc>
        <w:tc>
          <w:tcPr>
            <w:tcW w:w="520" w:type="dxa"/>
            <w:tcBorders>
              <w:top w:val="nil"/>
              <w:left w:val="nil"/>
              <w:bottom w:val="single" w:sz="8" w:space="0" w:color="auto"/>
              <w:right w:val="single" w:sz="8" w:space="0" w:color="auto"/>
            </w:tcBorders>
            <w:shd w:val="clear" w:color="auto" w:fill="auto"/>
            <w:vAlign w:val="center"/>
            <w:hideMark/>
          </w:tcPr>
          <w:p w14:paraId="24C46BEE" w14:textId="77777777" w:rsidR="00FD3B47" w:rsidRPr="00890624" w:rsidRDefault="00FD3B47" w:rsidP="00D16719">
            <w:pPr>
              <w:jc w:val="cente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3</w:t>
            </w:r>
          </w:p>
        </w:tc>
        <w:tc>
          <w:tcPr>
            <w:tcW w:w="2860" w:type="dxa"/>
            <w:tcBorders>
              <w:top w:val="nil"/>
              <w:left w:val="nil"/>
              <w:bottom w:val="single" w:sz="8" w:space="0" w:color="auto"/>
              <w:right w:val="single" w:sz="8" w:space="0" w:color="auto"/>
            </w:tcBorders>
            <w:shd w:val="clear" w:color="auto" w:fill="auto"/>
            <w:vAlign w:val="center"/>
            <w:hideMark/>
          </w:tcPr>
          <w:p w14:paraId="1E6D48A1" w14:textId="77777777" w:rsidR="00FD3B47" w:rsidRPr="00890624" w:rsidRDefault="00FD3B47" w:rsidP="00D16719">
            <w:pPr>
              <w:jc w:val="both"/>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Limitación a la amortización</w:t>
            </w:r>
          </w:p>
        </w:tc>
        <w:tc>
          <w:tcPr>
            <w:tcW w:w="2360" w:type="dxa"/>
            <w:tcBorders>
              <w:top w:val="nil"/>
              <w:left w:val="nil"/>
              <w:bottom w:val="single" w:sz="8" w:space="0" w:color="auto"/>
              <w:right w:val="single" w:sz="8" w:space="0" w:color="auto"/>
            </w:tcBorders>
            <w:shd w:val="clear" w:color="auto" w:fill="auto"/>
            <w:vAlign w:val="center"/>
            <w:hideMark/>
          </w:tcPr>
          <w:p w14:paraId="618800AF" w14:textId="77777777" w:rsidR="00FD3B47" w:rsidRDefault="00FD3B47" w:rsidP="00D16719">
            <w:pP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 xml:space="preserve">NICSP N° 31, </w:t>
            </w:r>
          </w:p>
          <w:p w14:paraId="398F1C41" w14:textId="77777777" w:rsidR="00FD3B47" w:rsidRPr="00890624" w:rsidRDefault="00FD3B47" w:rsidP="00D16719">
            <w:pPr>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Párrafo 102.</w:t>
            </w:r>
          </w:p>
        </w:tc>
        <w:tc>
          <w:tcPr>
            <w:tcW w:w="2100" w:type="dxa"/>
            <w:tcBorders>
              <w:top w:val="nil"/>
              <w:left w:val="nil"/>
              <w:bottom w:val="single" w:sz="8" w:space="0" w:color="auto"/>
              <w:right w:val="single" w:sz="8" w:space="0" w:color="auto"/>
            </w:tcBorders>
            <w:shd w:val="clear" w:color="auto" w:fill="auto"/>
            <w:vAlign w:val="center"/>
            <w:hideMark/>
          </w:tcPr>
          <w:p w14:paraId="423BCBEB" w14:textId="77777777" w:rsidR="00FD3B47" w:rsidRPr="00890624" w:rsidRDefault="00FD3B47" w:rsidP="00D16719">
            <w:pPr>
              <w:ind w:firstLineChars="100" w:firstLine="220"/>
              <w:rPr>
                <w:rFonts w:ascii="Arial Narrow" w:eastAsia="Times New Roman" w:hAnsi="Arial Narrow"/>
                <w:b/>
                <w:bCs/>
                <w:color w:val="000000"/>
                <w:sz w:val="22"/>
                <w:szCs w:val="22"/>
              </w:rPr>
            </w:pPr>
            <w:r w:rsidRPr="00890624">
              <w:rPr>
                <w:rFonts w:ascii="Arial Narrow" w:eastAsia="Times New Roman" w:hAnsi="Arial Narrow"/>
                <w:b/>
                <w:bCs/>
                <w:color w:val="000000"/>
                <w:sz w:val="22"/>
                <w:szCs w:val="22"/>
              </w:rPr>
              <w:t xml:space="preserve"> </w:t>
            </w:r>
          </w:p>
        </w:tc>
      </w:tr>
    </w:tbl>
    <w:p w14:paraId="3AAE6499" w14:textId="77777777" w:rsidR="00FD3B47" w:rsidRPr="00A75486" w:rsidRDefault="00FD3B47" w:rsidP="00FD3B47">
      <w:pPr>
        <w:spacing w:line="238" w:lineRule="auto"/>
        <w:ind w:left="1134" w:right="260" w:hanging="1134"/>
        <w:jc w:val="both"/>
        <w:rPr>
          <w:rFonts w:ascii="Arial" w:hAnsi="Arial"/>
          <w:sz w:val="22"/>
          <w:szCs w:val="22"/>
          <w:lang w:val="es-CR"/>
        </w:rPr>
      </w:pPr>
    </w:p>
    <w:p w14:paraId="4F5613C7" w14:textId="72C12698" w:rsidR="00FD3B47" w:rsidRDefault="005E1D63"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0682509D" w14:textId="77777777" w:rsidR="005E1D63" w:rsidRDefault="005E1D63" w:rsidP="00FD3B47">
      <w:pPr>
        <w:spacing w:line="238" w:lineRule="auto"/>
        <w:ind w:left="1134" w:right="260" w:hanging="1134"/>
        <w:jc w:val="both"/>
        <w:rPr>
          <w:rFonts w:ascii="Arial Narrow" w:eastAsia="Arial" w:hAnsi="Arial Narrow"/>
          <w:b/>
          <w:sz w:val="22"/>
          <w:szCs w:val="22"/>
          <w:lang w:val="es-CR"/>
        </w:rPr>
      </w:pPr>
    </w:p>
    <w:p w14:paraId="34419D19" w14:textId="77777777" w:rsidR="00FD3B47" w:rsidRPr="00890624"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1.259.0.01</w:t>
      </w:r>
      <w:r>
        <w:rPr>
          <w:rFonts w:ascii="Arial" w:hAnsi="Arial"/>
          <w:sz w:val="22"/>
          <w:szCs w:val="22"/>
          <w:lang w:val="es-CR"/>
        </w:rPr>
        <w:tab/>
      </w:r>
      <w:r w:rsidRPr="00890624">
        <w:rPr>
          <w:rFonts w:ascii="Arial" w:hAnsi="Arial"/>
          <w:sz w:val="22"/>
          <w:szCs w:val="22"/>
          <w:lang w:val="es-CR"/>
        </w:rPr>
        <w:t xml:space="preserve">El valor residual de un activo intangible es nulo a menos que: </w:t>
      </w:r>
    </w:p>
    <w:p w14:paraId="54349FD2" w14:textId="77777777" w:rsidR="00FD3B47" w:rsidRPr="00AE4086" w:rsidRDefault="00FD3B47">
      <w:pPr>
        <w:pStyle w:val="Prrafodelista"/>
        <w:numPr>
          <w:ilvl w:val="0"/>
          <w:numId w:val="113"/>
        </w:numPr>
        <w:spacing w:line="238" w:lineRule="auto"/>
        <w:ind w:left="1418" w:right="260" w:hanging="284"/>
        <w:jc w:val="both"/>
        <w:rPr>
          <w:rFonts w:ascii="Arial" w:hAnsi="Arial"/>
          <w:sz w:val="22"/>
          <w:szCs w:val="22"/>
          <w:lang w:val="es-CR"/>
        </w:rPr>
      </w:pPr>
      <w:r w:rsidRPr="00AE4086">
        <w:rPr>
          <w:rFonts w:ascii="Arial" w:hAnsi="Arial"/>
          <w:sz w:val="22"/>
          <w:szCs w:val="22"/>
          <w:lang w:val="es-CR"/>
        </w:rPr>
        <w:t xml:space="preserve">Haya un compromiso, por parte de un tercero, de adquirir el activo al final de su vida útil; o </w:t>
      </w:r>
    </w:p>
    <w:p w14:paraId="01E43008" w14:textId="77777777" w:rsidR="00FD3B47" w:rsidRPr="00AE4086" w:rsidRDefault="00FD3B47">
      <w:pPr>
        <w:pStyle w:val="Prrafodelista"/>
        <w:numPr>
          <w:ilvl w:val="0"/>
          <w:numId w:val="113"/>
        </w:numPr>
        <w:spacing w:line="238" w:lineRule="auto"/>
        <w:ind w:left="1418" w:right="260" w:hanging="284"/>
        <w:jc w:val="both"/>
        <w:rPr>
          <w:rFonts w:ascii="Arial" w:hAnsi="Arial"/>
          <w:sz w:val="22"/>
          <w:szCs w:val="22"/>
          <w:lang w:val="es-CR"/>
        </w:rPr>
      </w:pPr>
      <w:r w:rsidRPr="00AE4086">
        <w:rPr>
          <w:rFonts w:ascii="Arial" w:hAnsi="Arial"/>
          <w:sz w:val="22"/>
          <w:szCs w:val="22"/>
          <w:lang w:val="es-CR"/>
        </w:rPr>
        <w:t xml:space="preserve">Exista un mercado activo para el activo, y: </w:t>
      </w:r>
    </w:p>
    <w:p w14:paraId="2A13563C" w14:textId="77777777" w:rsidR="00FD3B47" w:rsidRPr="00890624" w:rsidRDefault="00FD3B47" w:rsidP="00FD3B47">
      <w:pPr>
        <w:spacing w:line="238" w:lineRule="auto"/>
        <w:ind w:left="1560" w:right="260" w:hanging="142"/>
        <w:jc w:val="both"/>
        <w:rPr>
          <w:rFonts w:ascii="Arial" w:hAnsi="Arial"/>
          <w:sz w:val="22"/>
          <w:szCs w:val="22"/>
          <w:lang w:val="es-CR"/>
        </w:rPr>
      </w:pPr>
      <w:r w:rsidRPr="00890624">
        <w:rPr>
          <w:rFonts w:ascii="Arial" w:hAnsi="Arial"/>
          <w:sz w:val="22"/>
          <w:szCs w:val="22"/>
          <w:lang w:val="es-CR"/>
        </w:rPr>
        <w:t xml:space="preserve">i. </w:t>
      </w:r>
      <w:r>
        <w:rPr>
          <w:rFonts w:ascii="Arial" w:hAnsi="Arial"/>
          <w:sz w:val="22"/>
          <w:szCs w:val="22"/>
          <w:lang w:val="es-CR"/>
        </w:rPr>
        <w:t>P</w:t>
      </w:r>
      <w:r w:rsidRPr="00890624">
        <w:rPr>
          <w:rFonts w:ascii="Arial" w:hAnsi="Arial"/>
          <w:sz w:val="22"/>
          <w:szCs w:val="22"/>
          <w:lang w:val="es-CR"/>
        </w:rPr>
        <w:t xml:space="preserve">ueda determinarse el valor residual con referencia a este mercado; y </w:t>
      </w:r>
    </w:p>
    <w:p w14:paraId="42DFFF89" w14:textId="77777777" w:rsidR="00FD3B47" w:rsidRPr="00890624" w:rsidRDefault="00FD3B47" w:rsidP="00FD3B47">
      <w:pPr>
        <w:spacing w:line="238" w:lineRule="auto"/>
        <w:ind w:left="1560" w:right="260" w:hanging="142"/>
        <w:jc w:val="both"/>
        <w:rPr>
          <w:rFonts w:ascii="Arial" w:hAnsi="Arial"/>
          <w:sz w:val="22"/>
          <w:szCs w:val="22"/>
          <w:lang w:val="es-CR"/>
        </w:rPr>
      </w:pPr>
      <w:r w:rsidRPr="00890624">
        <w:rPr>
          <w:rFonts w:ascii="Arial" w:hAnsi="Arial"/>
          <w:sz w:val="22"/>
          <w:szCs w:val="22"/>
          <w:lang w:val="es-CR"/>
        </w:rPr>
        <w:t xml:space="preserve">ii. </w:t>
      </w:r>
      <w:r>
        <w:rPr>
          <w:rFonts w:ascii="Arial" w:hAnsi="Arial"/>
          <w:sz w:val="22"/>
          <w:szCs w:val="22"/>
          <w:lang w:val="es-CR"/>
        </w:rPr>
        <w:t>S</w:t>
      </w:r>
      <w:r w:rsidRPr="00890624">
        <w:rPr>
          <w:rFonts w:ascii="Arial" w:hAnsi="Arial"/>
          <w:sz w:val="22"/>
          <w:szCs w:val="22"/>
          <w:lang w:val="es-CR"/>
        </w:rPr>
        <w:t xml:space="preserve">ea probable que este mercado existirá al final de la vida útil del activo. </w:t>
      </w:r>
    </w:p>
    <w:p w14:paraId="265AFD0B" w14:textId="77777777" w:rsidR="00FD3B47" w:rsidRPr="00890624" w:rsidRDefault="00FD3B47" w:rsidP="00FD3B47">
      <w:pPr>
        <w:pStyle w:val="Default"/>
        <w:rPr>
          <w:sz w:val="23"/>
          <w:szCs w:val="23"/>
          <w:lang w:val="es-CR"/>
        </w:rPr>
      </w:pPr>
    </w:p>
    <w:p w14:paraId="0BAA5369" w14:textId="77777777" w:rsidR="00FD3B47" w:rsidRPr="00EE456E"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1.259.0.02</w:t>
      </w:r>
      <w:r>
        <w:rPr>
          <w:rFonts w:ascii="Arial" w:hAnsi="Arial"/>
          <w:sz w:val="22"/>
          <w:szCs w:val="22"/>
          <w:lang w:val="es-CR"/>
        </w:rPr>
        <w:tab/>
      </w:r>
      <w:r w:rsidRPr="00EE456E">
        <w:rPr>
          <w:rFonts w:ascii="Arial" w:hAnsi="Arial"/>
          <w:sz w:val="22"/>
          <w:szCs w:val="22"/>
          <w:lang w:val="es-CR"/>
        </w:rPr>
        <w:t>E</w:t>
      </w:r>
      <w:r>
        <w:rPr>
          <w:rFonts w:ascii="Arial" w:hAnsi="Arial"/>
          <w:sz w:val="22"/>
          <w:szCs w:val="22"/>
          <w:lang w:val="es-CR"/>
        </w:rPr>
        <w:t>n caso de establecer valor residual a un activo intangible de vida finita e</w:t>
      </w:r>
      <w:r w:rsidRPr="00EE456E">
        <w:rPr>
          <w:rFonts w:ascii="Arial" w:hAnsi="Arial"/>
          <w:sz w:val="22"/>
          <w:szCs w:val="22"/>
          <w:lang w:val="es-CR"/>
        </w:rPr>
        <w:t xml:space="preserve">l importe amortizable se determinará después de deducir su valor residual. </w:t>
      </w:r>
    </w:p>
    <w:p w14:paraId="204E9067" w14:textId="77777777" w:rsidR="00FD3B47" w:rsidRPr="00EE456E" w:rsidRDefault="00FD3B47" w:rsidP="00FD3B47">
      <w:pPr>
        <w:pStyle w:val="Default"/>
        <w:rPr>
          <w:lang w:val="es-CR"/>
        </w:rPr>
      </w:pPr>
    </w:p>
    <w:p w14:paraId="01068E2C" w14:textId="77777777" w:rsidR="00FD3B47" w:rsidRPr="00EE456E"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1.259.1.01</w:t>
      </w:r>
      <w:r>
        <w:rPr>
          <w:rFonts w:ascii="Arial" w:hAnsi="Arial"/>
          <w:sz w:val="22"/>
          <w:szCs w:val="22"/>
          <w:lang w:val="es-CR"/>
        </w:rPr>
        <w:tab/>
        <w:t>E</w:t>
      </w:r>
      <w:r w:rsidRPr="00EE456E">
        <w:rPr>
          <w:rFonts w:ascii="Arial" w:hAnsi="Arial"/>
          <w:sz w:val="22"/>
          <w:szCs w:val="22"/>
          <w:lang w:val="es-CR"/>
        </w:rPr>
        <w:t xml:space="preserve">l valor residual de un </w:t>
      </w:r>
      <w:r>
        <w:rPr>
          <w:rFonts w:ascii="Arial" w:hAnsi="Arial"/>
          <w:sz w:val="22"/>
          <w:szCs w:val="22"/>
          <w:lang w:val="es-CR"/>
        </w:rPr>
        <w:t xml:space="preserve">activo intangible de vida finita </w:t>
      </w:r>
      <w:r w:rsidRPr="00EE456E">
        <w:rPr>
          <w:rFonts w:ascii="Arial" w:hAnsi="Arial"/>
          <w:sz w:val="22"/>
          <w:szCs w:val="22"/>
          <w:lang w:val="es-CR"/>
        </w:rPr>
        <w:t>se basa</w:t>
      </w:r>
      <w:r>
        <w:rPr>
          <w:rFonts w:ascii="Arial" w:hAnsi="Arial"/>
          <w:sz w:val="22"/>
          <w:szCs w:val="22"/>
          <w:lang w:val="es-CR"/>
        </w:rPr>
        <w:t>rá</w:t>
      </w:r>
      <w:r w:rsidRPr="00EE456E">
        <w:rPr>
          <w:rFonts w:ascii="Arial" w:hAnsi="Arial"/>
          <w:sz w:val="22"/>
          <w:szCs w:val="22"/>
          <w:lang w:val="es-CR"/>
        </w:rPr>
        <w:t xml:space="preserve"> en el importe recuperable a través de la disposición, utilizando los precios existentes en la fecha de la estimación de la venta para un activo similar que haya alcanzado el término de su vida útil y haya operado en condiciones similares a aquellas en las que se utilizará el activo.</w:t>
      </w:r>
    </w:p>
    <w:p w14:paraId="7388DDC9" w14:textId="77777777" w:rsidR="00FD3B47" w:rsidRPr="00890624" w:rsidRDefault="00FD3B47" w:rsidP="00FD3B47">
      <w:pPr>
        <w:spacing w:line="238" w:lineRule="auto"/>
        <w:ind w:left="1134" w:right="260" w:hanging="1134"/>
        <w:jc w:val="both"/>
        <w:rPr>
          <w:lang w:val="es-CR"/>
        </w:rPr>
      </w:pPr>
      <w:r w:rsidRPr="00EE456E">
        <w:rPr>
          <w:rFonts w:ascii="Arial" w:hAnsi="Arial"/>
          <w:sz w:val="22"/>
          <w:szCs w:val="22"/>
          <w:lang w:val="es-CR"/>
        </w:rPr>
        <w:t xml:space="preserve"> </w:t>
      </w:r>
    </w:p>
    <w:p w14:paraId="64B163E0" w14:textId="0CCE61FE" w:rsidR="00FD3B47" w:rsidRPr="00EE456E" w:rsidRDefault="00FD3B47" w:rsidP="00FD3B47">
      <w:pPr>
        <w:spacing w:line="238" w:lineRule="auto"/>
        <w:ind w:left="1134" w:right="260" w:hanging="1134"/>
        <w:jc w:val="both"/>
        <w:rPr>
          <w:rFonts w:ascii="Arial" w:hAnsi="Arial"/>
          <w:sz w:val="22"/>
          <w:szCs w:val="22"/>
          <w:lang w:val="es-CR"/>
        </w:rPr>
      </w:pPr>
      <w:r w:rsidRPr="00EE456E">
        <w:rPr>
          <w:rFonts w:ascii="Arial" w:hAnsi="Arial"/>
          <w:sz w:val="22"/>
          <w:szCs w:val="22"/>
          <w:lang w:val="es-CR"/>
        </w:rPr>
        <w:t>1.259.2.01</w:t>
      </w:r>
      <w:r w:rsidRPr="00EE456E">
        <w:rPr>
          <w:rFonts w:ascii="Arial" w:hAnsi="Arial"/>
          <w:sz w:val="22"/>
          <w:szCs w:val="22"/>
          <w:lang w:val="es-CR"/>
        </w:rPr>
        <w:tab/>
        <w:t xml:space="preserve">El valor residual se revisará </w:t>
      </w:r>
      <w:r w:rsidRPr="00A75486">
        <w:rPr>
          <w:rFonts w:ascii="Arial" w:hAnsi="Arial"/>
          <w:sz w:val="22"/>
          <w:szCs w:val="22"/>
          <w:lang w:val="es-CR"/>
        </w:rPr>
        <w:t>finita se revisará</w:t>
      </w:r>
      <w:r>
        <w:rPr>
          <w:rFonts w:ascii="Arial" w:hAnsi="Arial"/>
          <w:sz w:val="22"/>
          <w:szCs w:val="22"/>
          <w:lang w:val="es-CR"/>
        </w:rPr>
        <w:t xml:space="preserve"> en cada fecha de presentación o al menos una vez al año (al cierre del ejercicio económico cada 31 de </w:t>
      </w:r>
      <w:r w:rsidR="0021354A">
        <w:rPr>
          <w:rFonts w:ascii="Arial" w:hAnsi="Arial"/>
          <w:sz w:val="22"/>
          <w:szCs w:val="22"/>
          <w:lang w:val="es-CR"/>
        </w:rPr>
        <w:t>diciembre</w:t>
      </w:r>
      <w:r>
        <w:rPr>
          <w:rFonts w:ascii="Arial" w:hAnsi="Arial"/>
          <w:sz w:val="22"/>
          <w:szCs w:val="22"/>
          <w:lang w:val="es-CR"/>
        </w:rPr>
        <w:t>).</w:t>
      </w:r>
      <w:r w:rsidRPr="00EE456E">
        <w:rPr>
          <w:rFonts w:ascii="Arial" w:hAnsi="Arial"/>
          <w:sz w:val="22"/>
          <w:szCs w:val="22"/>
          <w:lang w:val="es-CR"/>
        </w:rPr>
        <w:t xml:space="preserve"> Un </w:t>
      </w:r>
      <w:r w:rsidR="0021354A" w:rsidRPr="00EE456E">
        <w:rPr>
          <w:rFonts w:ascii="Arial" w:hAnsi="Arial"/>
          <w:sz w:val="22"/>
          <w:szCs w:val="22"/>
          <w:lang w:val="es-CR"/>
        </w:rPr>
        <w:t>ca</w:t>
      </w:r>
      <w:r w:rsidR="0021354A">
        <w:rPr>
          <w:rFonts w:ascii="Arial" w:hAnsi="Arial"/>
          <w:sz w:val="22"/>
          <w:szCs w:val="22"/>
          <w:lang w:val="es-CR"/>
        </w:rPr>
        <w:t>mbi</w:t>
      </w:r>
      <w:r w:rsidR="0021354A" w:rsidRPr="00EE456E">
        <w:rPr>
          <w:rFonts w:ascii="Arial" w:hAnsi="Arial"/>
          <w:sz w:val="22"/>
          <w:szCs w:val="22"/>
          <w:lang w:val="es-CR"/>
        </w:rPr>
        <w:t>o</w:t>
      </w:r>
      <w:r w:rsidRPr="00EE456E">
        <w:rPr>
          <w:rFonts w:ascii="Arial" w:hAnsi="Arial"/>
          <w:sz w:val="22"/>
          <w:szCs w:val="22"/>
          <w:lang w:val="es-CR"/>
        </w:rPr>
        <w:t xml:space="preserve"> en el valor residual del activo se contabilizará como un </w:t>
      </w:r>
      <w:r w:rsidR="0021354A" w:rsidRPr="00EE456E">
        <w:rPr>
          <w:rFonts w:ascii="Arial" w:hAnsi="Arial"/>
          <w:sz w:val="22"/>
          <w:szCs w:val="22"/>
          <w:lang w:val="es-CR"/>
        </w:rPr>
        <w:t>ca</w:t>
      </w:r>
      <w:r w:rsidR="0021354A">
        <w:rPr>
          <w:rFonts w:ascii="Arial" w:hAnsi="Arial"/>
          <w:sz w:val="22"/>
          <w:szCs w:val="22"/>
          <w:lang w:val="es-CR"/>
        </w:rPr>
        <w:t>mbi</w:t>
      </w:r>
      <w:r w:rsidR="0021354A" w:rsidRPr="00EE456E">
        <w:rPr>
          <w:rFonts w:ascii="Arial" w:hAnsi="Arial"/>
          <w:sz w:val="22"/>
          <w:szCs w:val="22"/>
          <w:lang w:val="es-CR"/>
        </w:rPr>
        <w:t>o</w:t>
      </w:r>
      <w:r w:rsidRPr="00EE456E">
        <w:rPr>
          <w:rFonts w:ascii="Arial" w:hAnsi="Arial"/>
          <w:sz w:val="22"/>
          <w:szCs w:val="22"/>
          <w:lang w:val="es-CR"/>
        </w:rPr>
        <w:t xml:space="preserve"> en una estimación, de acuerdo con la NICSP 3. </w:t>
      </w:r>
    </w:p>
    <w:p w14:paraId="0451777F" w14:textId="77777777" w:rsidR="00FD3B47" w:rsidRPr="00EE456E" w:rsidRDefault="00FD3B47" w:rsidP="00FD3B47">
      <w:pPr>
        <w:spacing w:line="238" w:lineRule="auto"/>
        <w:ind w:left="1134" w:right="260" w:hanging="1134"/>
        <w:jc w:val="both"/>
        <w:rPr>
          <w:rFonts w:ascii="Arial" w:hAnsi="Arial"/>
          <w:sz w:val="22"/>
          <w:szCs w:val="22"/>
          <w:lang w:val="es-CR"/>
        </w:rPr>
      </w:pPr>
    </w:p>
    <w:p w14:paraId="446204EC" w14:textId="77777777" w:rsidR="00FD3B47" w:rsidRPr="00EE456E"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1.259.</w:t>
      </w:r>
      <w:r w:rsidRPr="00EE456E">
        <w:rPr>
          <w:rFonts w:ascii="Arial" w:hAnsi="Arial"/>
          <w:sz w:val="22"/>
          <w:szCs w:val="22"/>
          <w:lang w:val="es-CR"/>
        </w:rPr>
        <w:t>3.</w:t>
      </w:r>
      <w:r>
        <w:rPr>
          <w:rFonts w:ascii="Arial" w:hAnsi="Arial"/>
          <w:sz w:val="22"/>
          <w:szCs w:val="22"/>
          <w:lang w:val="es-CR"/>
        </w:rPr>
        <w:t>01</w:t>
      </w:r>
      <w:r>
        <w:rPr>
          <w:rFonts w:ascii="Arial" w:hAnsi="Arial"/>
          <w:sz w:val="22"/>
          <w:szCs w:val="22"/>
          <w:lang w:val="es-CR"/>
        </w:rPr>
        <w:tab/>
      </w:r>
      <w:r w:rsidRPr="00EE456E">
        <w:rPr>
          <w:rFonts w:ascii="Arial" w:hAnsi="Arial"/>
          <w:sz w:val="22"/>
          <w:szCs w:val="22"/>
          <w:lang w:val="es-CR"/>
        </w:rPr>
        <w:t xml:space="preserve">El valor residual de un activo intangible podría aumentar hasta un importe igual o mayor que el importe en libros del activo. En ese caso, el cargo por amortización del activo será nulo, a menos y hasta que su valor residual disminuya posteriormente hasta un importe inferior al importe en libros del activo. </w:t>
      </w:r>
    </w:p>
    <w:p w14:paraId="7F63BE01"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307D1843"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tbl>
      <w:tblPr>
        <w:tblW w:w="9037" w:type="dxa"/>
        <w:tblLook w:val="04A0" w:firstRow="1" w:lastRow="0" w:firstColumn="1" w:lastColumn="0" w:noHBand="0" w:noVBand="1"/>
      </w:tblPr>
      <w:tblGrid>
        <w:gridCol w:w="558"/>
        <w:gridCol w:w="617"/>
        <w:gridCol w:w="536"/>
        <w:gridCol w:w="2957"/>
        <w:gridCol w:w="2309"/>
        <w:gridCol w:w="2060"/>
      </w:tblGrid>
      <w:tr w:rsidR="00FD3B47" w:rsidRPr="0022117B" w14:paraId="01D00B15" w14:textId="77777777" w:rsidTr="00D16719">
        <w:trPr>
          <w:trHeight w:val="320"/>
        </w:trPr>
        <w:tc>
          <w:tcPr>
            <w:tcW w:w="171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A188B65" w14:textId="77777777" w:rsidR="00FD3B47" w:rsidRPr="0022117B" w:rsidRDefault="00FD3B47" w:rsidP="00D16719">
            <w:pPr>
              <w:jc w:val="center"/>
              <w:rPr>
                <w:rFonts w:ascii="Arial Narrow" w:eastAsia="Times New Roman" w:hAnsi="Arial Narrow"/>
                <w:b/>
                <w:bCs/>
                <w:color w:val="FFFFFF"/>
                <w:sz w:val="22"/>
                <w:szCs w:val="22"/>
              </w:rPr>
            </w:pPr>
            <w:r w:rsidRPr="0022117B">
              <w:rPr>
                <w:rFonts w:ascii="Arial Narrow" w:eastAsia="Times New Roman" w:hAnsi="Arial Narrow"/>
                <w:b/>
                <w:bCs/>
                <w:color w:val="FFFFFF"/>
                <w:sz w:val="22"/>
                <w:szCs w:val="22"/>
              </w:rPr>
              <w:t>Norma / Política</w:t>
            </w:r>
          </w:p>
        </w:tc>
        <w:tc>
          <w:tcPr>
            <w:tcW w:w="2957" w:type="dxa"/>
            <w:vMerge w:val="restart"/>
            <w:tcBorders>
              <w:top w:val="single" w:sz="8" w:space="0" w:color="auto"/>
              <w:left w:val="single" w:sz="8" w:space="0" w:color="auto"/>
              <w:bottom w:val="nil"/>
              <w:right w:val="single" w:sz="8" w:space="0" w:color="auto"/>
            </w:tcBorders>
            <w:shd w:val="clear" w:color="000000" w:fill="203764"/>
            <w:vAlign w:val="center"/>
            <w:hideMark/>
          </w:tcPr>
          <w:p w14:paraId="2AA87F5A" w14:textId="77777777" w:rsidR="00FD3B47" w:rsidRPr="0022117B" w:rsidRDefault="00FD3B47" w:rsidP="00D16719">
            <w:pPr>
              <w:jc w:val="center"/>
              <w:rPr>
                <w:rFonts w:ascii="Arial Narrow" w:eastAsia="Times New Roman" w:hAnsi="Arial Narrow"/>
                <w:b/>
                <w:bCs/>
                <w:color w:val="FFFFFF"/>
                <w:sz w:val="22"/>
                <w:szCs w:val="22"/>
              </w:rPr>
            </w:pPr>
            <w:r w:rsidRPr="0022117B">
              <w:rPr>
                <w:rFonts w:ascii="Arial Narrow" w:eastAsia="Times New Roman" w:hAnsi="Arial Narrow"/>
                <w:b/>
                <w:bCs/>
                <w:color w:val="FFFFFF"/>
                <w:sz w:val="22"/>
                <w:szCs w:val="22"/>
              </w:rPr>
              <w:t>Concepto</w:t>
            </w:r>
          </w:p>
        </w:tc>
        <w:tc>
          <w:tcPr>
            <w:tcW w:w="4369" w:type="dxa"/>
            <w:gridSpan w:val="2"/>
            <w:tcBorders>
              <w:top w:val="single" w:sz="8" w:space="0" w:color="auto"/>
              <w:left w:val="nil"/>
              <w:bottom w:val="single" w:sz="8" w:space="0" w:color="auto"/>
              <w:right w:val="single" w:sz="8" w:space="0" w:color="000000"/>
            </w:tcBorders>
            <w:shd w:val="clear" w:color="000000" w:fill="203764"/>
            <w:vAlign w:val="center"/>
            <w:hideMark/>
          </w:tcPr>
          <w:p w14:paraId="1D2A7B7C" w14:textId="77777777" w:rsidR="00FD3B47" w:rsidRPr="0022117B" w:rsidRDefault="00FD3B47" w:rsidP="00D16719">
            <w:pPr>
              <w:jc w:val="center"/>
              <w:rPr>
                <w:rFonts w:ascii="Arial Narrow" w:eastAsia="Times New Roman" w:hAnsi="Arial Narrow"/>
                <w:b/>
                <w:bCs/>
                <w:color w:val="FFFFFF"/>
                <w:sz w:val="22"/>
                <w:szCs w:val="22"/>
              </w:rPr>
            </w:pPr>
            <w:r w:rsidRPr="0022117B">
              <w:rPr>
                <w:rFonts w:ascii="Arial Narrow" w:eastAsia="Times New Roman" w:hAnsi="Arial Narrow"/>
                <w:b/>
                <w:bCs/>
                <w:color w:val="FFFFFF"/>
                <w:sz w:val="22"/>
                <w:szCs w:val="22"/>
              </w:rPr>
              <w:t>Referencia</w:t>
            </w:r>
          </w:p>
        </w:tc>
      </w:tr>
      <w:tr w:rsidR="00FD3B47" w:rsidRPr="006E5442" w14:paraId="1671B714" w14:textId="77777777" w:rsidTr="00D16719">
        <w:trPr>
          <w:trHeight w:val="320"/>
        </w:trPr>
        <w:tc>
          <w:tcPr>
            <w:tcW w:w="1711" w:type="dxa"/>
            <w:gridSpan w:val="3"/>
            <w:vMerge/>
            <w:tcBorders>
              <w:top w:val="single" w:sz="8" w:space="0" w:color="auto"/>
              <w:left w:val="single" w:sz="8" w:space="0" w:color="auto"/>
              <w:bottom w:val="nil"/>
              <w:right w:val="single" w:sz="8" w:space="0" w:color="000000"/>
            </w:tcBorders>
            <w:vAlign w:val="center"/>
            <w:hideMark/>
          </w:tcPr>
          <w:p w14:paraId="2545DF99" w14:textId="77777777" w:rsidR="00FD3B47" w:rsidRPr="0022117B" w:rsidRDefault="00FD3B47" w:rsidP="00D16719">
            <w:pPr>
              <w:rPr>
                <w:rFonts w:ascii="Arial Narrow" w:eastAsia="Times New Roman" w:hAnsi="Arial Narrow"/>
                <w:b/>
                <w:bCs/>
                <w:color w:val="FFFFFF"/>
                <w:sz w:val="22"/>
                <w:szCs w:val="22"/>
              </w:rPr>
            </w:pPr>
          </w:p>
        </w:tc>
        <w:tc>
          <w:tcPr>
            <w:tcW w:w="2957" w:type="dxa"/>
            <w:vMerge/>
            <w:tcBorders>
              <w:top w:val="single" w:sz="8" w:space="0" w:color="auto"/>
              <w:left w:val="single" w:sz="8" w:space="0" w:color="auto"/>
              <w:bottom w:val="nil"/>
              <w:right w:val="single" w:sz="8" w:space="0" w:color="auto"/>
            </w:tcBorders>
            <w:vAlign w:val="center"/>
            <w:hideMark/>
          </w:tcPr>
          <w:p w14:paraId="049FC88E" w14:textId="77777777" w:rsidR="00FD3B47" w:rsidRPr="0022117B" w:rsidRDefault="00FD3B47" w:rsidP="00D16719">
            <w:pPr>
              <w:rPr>
                <w:rFonts w:ascii="Arial Narrow" w:eastAsia="Times New Roman" w:hAnsi="Arial Narrow"/>
                <w:b/>
                <w:bCs/>
                <w:color w:val="FFFFFF"/>
                <w:sz w:val="22"/>
                <w:szCs w:val="22"/>
              </w:rPr>
            </w:pPr>
          </w:p>
        </w:tc>
        <w:tc>
          <w:tcPr>
            <w:tcW w:w="2309" w:type="dxa"/>
            <w:tcBorders>
              <w:top w:val="nil"/>
              <w:left w:val="nil"/>
              <w:bottom w:val="nil"/>
              <w:right w:val="single" w:sz="8" w:space="0" w:color="auto"/>
            </w:tcBorders>
            <w:shd w:val="clear" w:color="000000" w:fill="203764"/>
            <w:vAlign w:val="center"/>
            <w:hideMark/>
          </w:tcPr>
          <w:p w14:paraId="00DD9D26" w14:textId="77777777" w:rsidR="00FD3B47" w:rsidRPr="0022117B" w:rsidRDefault="00FD3B47" w:rsidP="00D16719">
            <w:pPr>
              <w:jc w:val="center"/>
              <w:rPr>
                <w:rFonts w:ascii="Arial Narrow" w:eastAsia="Times New Roman" w:hAnsi="Arial Narrow"/>
                <w:b/>
                <w:bCs/>
                <w:color w:val="FFFFFF"/>
                <w:sz w:val="22"/>
                <w:szCs w:val="22"/>
              </w:rPr>
            </w:pPr>
            <w:r w:rsidRPr="0022117B">
              <w:rPr>
                <w:rFonts w:ascii="Arial Narrow" w:eastAsia="Times New Roman" w:hAnsi="Arial Narrow"/>
                <w:b/>
                <w:bCs/>
                <w:color w:val="FFFFFF"/>
                <w:sz w:val="22"/>
                <w:szCs w:val="22"/>
              </w:rPr>
              <w:t>Norma</w:t>
            </w:r>
          </w:p>
        </w:tc>
        <w:tc>
          <w:tcPr>
            <w:tcW w:w="2060" w:type="dxa"/>
            <w:tcBorders>
              <w:top w:val="nil"/>
              <w:left w:val="nil"/>
              <w:bottom w:val="nil"/>
              <w:right w:val="single" w:sz="8" w:space="0" w:color="auto"/>
            </w:tcBorders>
            <w:shd w:val="clear" w:color="000000" w:fill="203764"/>
            <w:vAlign w:val="center"/>
            <w:hideMark/>
          </w:tcPr>
          <w:p w14:paraId="50E258B3" w14:textId="77777777" w:rsidR="00FD3B47" w:rsidRPr="0022117B" w:rsidRDefault="00FD3B47" w:rsidP="00D16719">
            <w:pPr>
              <w:jc w:val="center"/>
              <w:rPr>
                <w:rFonts w:ascii="Arial Narrow" w:eastAsia="Times New Roman" w:hAnsi="Arial Narrow"/>
                <w:b/>
                <w:bCs/>
                <w:color w:val="FFFFFF"/>
                <w:sz w:val="22"/>
                <w:szCs w:val="22"/>
                <w:lang w:val="es-CR"/>
              </w:rPr>
            </w:pPr>
            <w:r w:rsidRPr="0078076A">
              <w:rPr>
                <w:rFonts w:ascii="Arial Narrow" w:eastAsia="Times New Roman" w:hAnsi="Arial Narrow"/>
                <w:b/>
                <w:bCs/>
                <w:color w:val="FFFFFF"/>
                <w:sz w:val="22"/>
                <w:szCs w:val="22"/>
                <w:lang w:val="es-CR"/>
              </w:rPr>
              <w:t>Normativa técnica y disposiciones adicionales</w:t>
            </w:r>
          </w:p>
        </w:tc>
      </w:tr>
      <w:tr w:rsidR="00FD3B47" w:rsidRPr="0022117B" w14:paraId="0F6B3191" w14:textId="77777777" w:rsidTr="00D16719">
        <w:trPr>
          <w:trHeight w:val="630"/>
        </w:trPr>
        <w:tc>
          <w:tcPr>
            <w:tcW w:w="5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89365C" w14:textId="77777777" w:rsidR="00FD3B47" w:rsidRPr="0022117B" w:rsidRDefault="00FD3B47" w:rsidP="00D16719">
            <w:pPr>
              <w:jc w:val="center"/>
              <w:rPr>
                <w:rFonts w:ascii="Arial Narrow" w:eastAsia="Times New Roman" w:hAnsi="Arial Narrow"/>
                <w:b/>
                <w:bCs/>
                <w:color w:val="000000"/>
                <w:sz w:val="22"/>
                <w:szCs w:val="22"/>
              </w:rPr>
            </w:pPr>
            <w:r w:rsidRPr="0022117B">
              <w:rPr>
                <w:rFonts w:ascii="Arial Narrow" w:eastAsia="Times New Roman" w:hAnsi="Arial Narrow"/>
                <w:b/>
                <w:bCs/>
                <w:color w:val="000000"/>
                <w:sz w:val="22"/>
                <w:szCs w:val="22"/>
                <w:lang w:val="es-CR"/>
              </w:rPr>
              <w:t>1</w:t>
            </w:r>
          </w:p>
        </w:tc>
        <w:tc>
          <w:tcPr>
            <w:tcW w:w="617" w:type="dxa"/>
            <w:tcBorders>
              <w:top w:val="single" w:sz="8" w:space="0" w:color="auto"/>
              <w:left w:val="nil"/>
              <w:bottom w:val="single" w:sz="8" w:space="0" w:color="auto"/>
              <w:right w:val="single" w:sz="8" w:space="0" w:color="auto"/>
            </w:tcBorders>
            <w:shd w:val="clear" w:color="auto" w:fill="auto"/>
            <w:noWrap/>
            <w:vAlign w:val="center"/>
            <w:hideMark/>
          </w:tcPr>
          <w:p w14:paraId="61F734D2" w14:textId="77777777" w:rsidR="00FD3B47" w:rsidRPr="0022117B" w:rsidRDefault="00FD3B47" w:rsidP="00D16719">
            <w:pPr>
              <w:jc w:val="center"/>
              <w:rPr>
                <w:rFonts w:ascii="Arial Narrow" w:eastAsia="Times New Roman" w:hAnsi="Arial Narrow"/>
                <w:b/>
                <w:bCs/>
                <w:color w:val="000000"/>
                <w:sz w:val="22"/>
                <w:szCs w:val="22"/>
              </w:rPr>
            </w:pPr>
            <w:r w:rsidRPr="0022117B">
              <w:rPr>
                <w:rFonts w:ascii="Arial Narrow" w:eastAsia="Times New Roman" w:hAnsi="Arial Narrow"/>
                <w:b/>
                <w:bCs/>
                <w:color w:val="000000"/>
                <w:sz w:val="22"/>
                <w:szCs w:val="22"/>
              </w:rPr>
              <w:t>260</w:t>
            </w:r>
          </w:p>
        </w:tc>
        <w:tc>
          <w:tcPr>
            <w:tcW w:w="536" w:type="dxa"/>
            <w:tcBorders>
              <w:top w:val="single" w:sz="8" w:space="0" w:color="auto"/>
              <w:left w:val="nil"/>
              <w:bottom w:val="single" w:sz="8" w:space="0" w:color="auto"/>
              <w:right w:val="single" w:sz="8" w:space="0" w:color="auto"/>
            </w:tcBorders>
            <w:shd w:val="clear" w:color="auto" w:fill="auto"/>
            <w:vAlign w:val="center"/>
            <w:hideMark/>
          </w:tcPr>
          <w:p w14:paraId="63B24E7A" w14:textId="59409585" w:rsidR="00FD3B47" w:rsidRPr="0022117B" w:rsidRDefault="00FD3B47" w:rsidP="00D16719">
            <w:pPr>
              <w:jc w:val="center"/>
              <w:rPr>
                <w:rFonts w:ascii="Arial Narrow" w:eastAsia="Times New Roman" w:hAnsi="Arial Narrow"/>
                <w:b/>
                <w:bCs/>
                <w:color w:val="000000"/>
                <w:sz w:val="22"/>
                <w:szCs w:val="22"/>
              </w:rPr>
            </w:pPr>
          </w:p>
        </w:tc>
        <w:tc>
          <w:tcPr>
            <w:tcW w:w="2957" w:type="dxa"/>
            <w:tcBorders>
              <w:top w:val="single" w:sz="8" w:space="0" w:color="auto"/>
              <w:left w:val="nil"/>
              <w:bottom w:val="single" w:sz="8" w:space="0" w:color="auto"/>
              <w:right w:val="single" w:sz="8" w:space="0" w:color="auto"/>
            </w:tcBorders>
            <w:shd w:val="clear" w:color="auto" w:fill="auto"/>
            <w:vAlign w:val="center"/>
            <w:hideMark/>
          </w:tcPr>
          <w:p w14:paraId="4A7997A1" w14:textId="77777777" w:rsidR="00FD3B47" w:rsidRPr="0022117B" w:rsidRDefault="00FD3B47" w:rsidP="00D16719">
            <w:pPr>
              <w:jc w:val="both"/>
              <w:rPr>
                <w:rFonts w:ascii="Arial Narrow" w:eastAsia="Times New Roman" w:hAnsi="Arial Narrow"/>
                <w:b/>
                <w:bCs/>
                <w:color w:val="000000"/>
                <w:sz w:val="22"/>
                <w:szCs w:val="22"/>
              </w:rPr>
            </w:pPr>
            <w:r w:rsidRPr="0022117B">
              <w:rPr>
                <w:rFonts w:ascii="Arial Narrow" w:eastAsia="Times New Roman" w:hAnsi="Arial Narrow"/>
                <w:b/>
                <w:bCs/>
                <w:color w:val="000000"/>
                <w:sz w:val="22"/>
                <w:szCs w:val="22"/>
                <w:lang w:val="es-CR"/>
              </w:rPr>
              <w:t>Deterioro</w:t>
            </w:r>
          </w:p>
        </w:tc>
        <w:tc>
          <w:tcPr>
            <w:tcW w:w="2309" w:type="dxa"/>
            <w:tcBorders>
              <w:top w:val="single" w:sz="8" w:space="0" w:color="auto"/>
              <w:left w:val="nil"/>
              <w:bottom w:val="single" w:sz="8" w:space="0" w:color="auto"/>
              <w:right w:val="single" w:sz="8" w:space="0" w:color="auto"/>
            </w:tcBorders>
            <w:shd w:val="clear" w:color="auto" w:fill="auto"/>
            <w:vAlign w:val="center"/>
            <w:hideMark/>
          </w:tcPr>
          <w:p w14:paraId="35BAD840" w14:textId="77777777" w:rsidR="00FD3B47" w:rsidRPr="0022117B" w:rsidRDefault="00FD3B47" w:rsidP="00D16719">
            <w:pPr>
              <w:rPr>
                <w:rFonts w:ascii="Arial Narrow" w:eastAsia="Times New Roman" w:hAnsi="Arial Narrow"/>
                <w:b/>
                <w:bCs/>
                <w:color w:val="000000"/>
                <w:sz w:val="22"/>
                <w:szCs w:val="22"/>
              </w:rPr>
            </w:pPr>
            <w:r w:rsidRPr="0022117B">
              <w:rPr>
                <w:rFonts w:ascii="Arial Narrow" w:eastAsia="Times New Roman" w:hAnsi="Arial Narrow"/>
                <w:b/>
                <w:bCs/>
                <w:color w:val="000000"/>
                <w:sz w:val="22"/>
                <w:szCs w:val="22"/>
                <w:lang w:val="es-CR"/>
              </w:rPr>
              <w:t>NICSP N° 31,</w:t>
            </w:r>
            <w:r w:rsidRPr="0022117B">
              <w:rPr>
                <w:rFonts w:ascii="Arial Narrow" w:eastAsia="Times New Roman" w:hAnsi="Arial Narrow"/>
                <w:b/>
                <w:bCs/>
                <w:color w:val="000000"/>
                <w:sz w:val="22"/>
                <w:szCs w:val="22"/>
                <w:lang w:val="es-CR"/>
              </w:rPr>
              <w:br/>
              <w:t>Párrafo 110.</w:t>
            </w:r>
          </w:p>
        </w:tc>
        <w:tc>
          <w:tcPr>
            <w:tcW w:w="2060" w:type="dxa"/>
            <w:tcBorders>
              <w:top w:val="single" w:sz="8" w:space="0" w:color="auto"/>
              <w:left w:val="nil"/>
              <w:bottom w:val="single" w:sz="8" w:space="0" w:color="auto"/>
              <w:right w:val="single" w:sz="8" w:space="0" w:color="auto"/>
            </w:tcBorders>
            <w:shd w:val="clear" w:color="auto" w:fill="auto"/>
            <w:vAlign w:val="center"/>
            <w:hideMark/>
          </w:tcPr>
          <w:p w14:paraId="5C06E424" w14:textId="77777777" w:rsidR="00FD3B47" w:rsidRPr="0022117B" w:rsidRDefault="00FD3B47" w:rsidP="00D16719">
            <w:pPr>
              <w:jc w:val="center"/>
              <w:rPr>
                <w:rFonts w:ascii="Arial Narrow" w:eastAsia="Times New Roman" w:hAnsi="Arial Narrow"/>
                <w:b/>
                <w:bCs/>
                <w:color w:val="000000"/>
                <w:sz w:val="22"/>
                <w:szCs w:val="22"/>
              </w:rPr>
            </w:pPr>
            <w:r w:rsidRPr="0022117B">
              <w:rPr>
                <w:rFonts w:ascii="Arial Narrow" w:eastAsia="Times New Roman" w:hAnsi="Arial Narrow"/>
                <w:b/>
                <w:bCs/>
                <w:color w:val="000000"/>
                <w:sz w:val="22"/>
                <w:szCs w:val="22"/>
              </w:rPr>
              <w:t xml:space="preserve"> </w:t>
            </w:r>
          </w:p>
        </w:tc>
      </w:tr>
    </w:tbl>
    <w:p w14:paraId="1E593E27" w14:textId="77777777" w:rsidR="00FD3B47" w:rsidRPr="0078076A" w:rsidRDefault="00FD3B47" w:rsidP="00FD3B47">
      <w:pPr>
        <w:spacing w:line="238" w:lineRule="auto"/>
        <w:ind w:left="1134" w:right="260" w:hanging="1134"/>
        <w:jc w:val="both"/>
        <w:rPr>
          <w:rFonts w:ascii="Arial Narrow" w:eastAsia="Arial" w:hAnsi="Arial Narrow"/>
          <w:b/>
          <w:sz w:val="22"/>
          <w:szCs w:val="22"/>
          <w:lang w:val="es-CR"/>
        </w:rPr>
      </w:pPr>
    </w:p>
    <w:p w14:paraId="60B213AA" w14:textId="1DB4F0F3" w:rsidR="00FD3B47" w:rsidRDefault="005E1D63"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0C8062AB" w14:textId="77777777" w:rsidR="005E1D63" w:rsidRDefault="005E1D63" w:rsidP="00FD3B47">
      <w:pPr>
        <w:spacing w:line="238" w:lineRule="auto"/>
        <w:ind w:left="1134" w:right="260" w:hanging="1134"/>
        <w:jc w:val="both"/>
        <w:rPr>
          <w:rFonts w:ascii="Arial Narrow" w:eastAsia="Arial" w:hAnsi="Arial Narrow"/>
          <w:b/>
          <w:sz w:val="22"/>
          <w:szCs w:val="22"/>
          <w:lang w:val="es-CR"/>
        </w:rPr>
      </w:pPr>
    </w:p>
    <w:p w14:paraId="2AA95520" w14:textId="065BA4D3"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1.260.0.01</w:t>
      </w:r>
      <w:r>
        <w:rPr>
          <w:rFonts w:ascii="Arial" w:hAnsi="Arial"/>
          <w:sz w:val="22"/>
          <w:szCs w:val="22"/>
          <w:lang w:val="es-CR"/>
        </w:rPr>
        <w:tab/>
      </w:r>
      <w:r w:rsidRPr="00FE161C">
        <w:rPr>
          <w:rFonts w:ascii="Arial" w:hAnsi="Arial"/>
          <w:sz w:val="22"/>
          <w:szCs w:val="22"/>
          <w:lang w:val="es-CR"/>
        </w:rPr>
        <w:t xml:space="preserve">En la </w:t>
      </w:r>
      <w:r w:rsidR="000F29DC">
        <w:rPr>
          <w:rFonts w:ascii="Arial" w:hAnsi="Arial"/>
          <w:sz w:val="22"/>
          <w:szCs w:val="22"/>
          <w:lang w:val="es-CR"/>
        </w:rPr>
        <w:t>MBA</w:t>
      </w:r>
      <w:r w:rsidRPr="00FE161C">
        <w:rPr>
          <w:rFonts w:ascii="Arial" w:hAnsi="Arial"/>
          <w:sz w:val="22"/>
          <w:szCs w:val="22"/>
          <w:lang w:val="es-CR"/>
        </w:rPr>
        <w:t xml:space="preserve"> la evaluación de deterioro de activos intangibles se realizará de acuerdo con las normas aplicables a deterioro de activos generadores</w:t>
      </w:r>
      <w:r>
        <w:rPr>
          <w:rFonts w:ascii="Arial" w:hAnsi="Arial"/>
          <w:sz w:val="22"/>
          <w:szCs w:val="22"/>
          <w:lang w:val="es-CR"/>
        </w:rPr>
        <w:t xml:space="preserve"> (NICSP 26)</w:t>
      </w:r>
      <w:r w:rsidRPr="00FE161C">
        <w:rPr>
          <w:rFonts w:ascii="Arial" w:hAnsi="Arial"/>
          <w:sz w:val="22"/>
          <w:szCs w:val="22"/>
          <w:lang w:val="es-CR"/>
        </w:rPr>
        <w:t xml:space="preserve"> y no generadores de efectivo</w:t>
      </w:r>
      <w:r>
        <w:rPr>
          <w:rFonts w:ascii="Arial" w:hAnsi="Arial"/>
          <w:sz w:val="22"/>
          <w:szCs w:val="22"/>
          <w:lang w:val="es-CR"/>
        </w:rPr>
        <w:t xml:space="preserve"> (NICSP 21)</w:t>
      </w:r>
      <w:r w:rsidRPr="00FE161C">
        <w:rPr>
          <w:rFonts w:ascii="Arial" w:hAnsi="Arial"/>
          <w:sz w:val="22"/>
          <w:szCs w:val="22"/>
          <w:lang w:val="es-CR"/>
        </w:rPr>
        <w:t xml:space="preserve">, con su importe en libros, y reconociendo </w:t>
      </w:r>
      <w:r w:rsidRPr="00FE161C">
        <w:rPr>
          <w:rFonts w:ascii="Arial" w:hAnsi="Arial"/>
          <w:sz w:val="22"/>
          <w:szCs w:val="22"/>
          <w:lang w:val="es-CR"/>
        </w:rPr>
        <w:lastRenderedPageBreak/>
        <w:t>cualquier exceso del importe en libros sobre el importe de servicio o el importe recuperables como una pérdida por deterioro del valor.</w:t>
      </w:r>
    </w:p>
    <w:p w14:paraId="777BF14B" w14:textId="77777777" w:rsidR="00FD3B47" w:rsidRDefault="00FD3B47" w:rsidP="00FD3B47">
      <w:pPr>
        <w:spacing w:line="238" w:lineRule="auto"/>
        <w:ind w:left="1134" w:right="260" w:hanging="1134"/>
        <w:jc w:val="both"/>
        <w:rPr>
          <w:rFonts w:ascii="Arial" w:hAnsi="Arial"/>
          <w:sz w:val="22"/>
          <w:szCs w:val="22"/>
          <w:lang w:val="es-CR"/>
        </w:rPr>
      </w:pPr>
    </w:p>
    <w:p w14:paraId="68E4D05E" w14:textId="0F038150" w:rsidR="00FD3B47" w:rsidRDefault="00FD3B47" w:rsidP="00FD3B47">
      <w:pPr>
        <w:spacing w:line="237" w:lineRule="auto"/>
        <w:ind w:left="1134" w:right="260" w:hanging="1134"/>
        <w:jc w:val="both"/>
        <w:rPr>
          <w:rFonts w:ascii="Arial" w:eastAsia="Arial" w:hAnsi="Arial"/>
          <w:bCs/>
          <w:sz w:val="22"/>
          <w:szCs w:val="22"/>
          <w:lang w:val="es-CR"/>
        </w:rPr>
      </w:pPr>
      <w:r>
        <w:rPr>
          <w:rFonts w:ascii="Arial" w:hAnsi="Arial"/>
          <w:sz w:val="22"/>
          <w:szCs w:val="22"/>
          <w:lang w:val="es-CR"/>
        </w:rPr>
        <w:t xml:space="preserve">1.260.0.02 </w:t>
      </w:r>
      <w:r w:rsidRPr="00F02F9D">
        <w:rPr>
          <w:rFonts w:ascii="Arial" w:eastAsia="Arial" w:hAnsi="Arial"/>
          <w:bCs/>
          <w:sz w:val="22"/>
          <w:szCs w:val="22"/>
          <w:lang w:val="es-CR"/>
        </w:rPr>
        <w:t xml:space="preserve">La </w:t>
      </w:r>
      <w:r w:rsidR="000F29DC">
        <w:rPr>
          <w:rFonts w:ascii="Arial" w:eastAsia="Arial" w:hAnsi="Arial"/>
          <w:bCs/>
          <w:sz w:val="22"/>
          <w:szCs w:val="22"/>
          <w:lang w:val="es-CR"/>
        </w:rPr>
        <w:t>MBA</w:t>
      </w:r>
      <w:r w:rsidRPr="00F02F9D">
        <w:rPr>
          <w:rFonts w:ascii="Arial" w:eastAsia="Arial" w:hAnsi="Arial"/>
          <w:bCs/>
          <w:sz w:val="22"/>
          <w:szCs w:val="22"/>
          <w:lang w:val="es-CR"/>
        </w:rPr>
        <w:t xml:space="preserve"> en cada fecha sobre la que se informa, evaluará si existe algún indicio de deterioro del valor de los activos</w:t>
      </w:r>
      <w:r>
        <w:rPr>
          <w:rFonts w:ascii="Arial" w:eastAsia="Arial" w:hAnsi="Arial"/>
          <w:bCs/>
          <w:sz w:val="22"/>
          <w:szCs w:val="22"/>
          <w:lang w:val="es-CR"/>
        </w:rPr>
        <w:t xml:space="preserve"> intangibles de vida finita, tal como se instruye en las políticas </w:t>
      </w:r>
      <w:r w:rsidRPr="00F02F9D">
        <w:rPr>
          <w:rFonts w:ascii="Arial" w:eastAsia="Arial" w:hAnsi="Arial"/>
          <w:bCs/>
          <w:sz w:val="22"/>
          <w:szCs w:val="22"/>
          <w:lang w:val="es-CR"/>
        </w:rPr>
        <w:t>1.194.0</w:t>
      </w:r>
      <w:r>
        <w:rPr>
          <w:rFonts w:ascii="Arial" w:eastAsia="Arial" w:hAnsi="Arial"/>
          <w:bCs/>
          <w:sz w:val="22"/>
          <w:szCs w:val="22"/>
          <w:lang w:val="es-CR"/>
        </w:rPr>
        <w:t xml:space="preserve"> a </w:t>
      </w:r>
      <w:r w:rsidRPr="00F02F9D">
        <w:rPr>
          <w:rFonts w:ascii="Arial" w:eastAsia="Arial" w:hAnsi="Arial"/>
          <w:bCs/>
          <w:sz w:val="22"/>
          <w:szCs w:val="22"/>
          <w:lang w:val="es-CR"/>
        </w:rPr>
        <w:t>1.194.</w:t>
      </w:r>
      <w:r>
        <w:rPr>
          <w:rFonts w:ascii="Arial" w:eastAsia="Arial" w:hAnsi="Arial"/>
          <w:bCs/>
          <w:sz w:val="22"/>
          <w:szCs w:val="22"/>
          <w:lang w:val="es-CR"/>
        </w:rPr>
        <w:t>2 de este Manual.</w:t>
      </w:r>
    </w:p>
    <w:p w14:paraId="2D1A8562" w14:textId="77777777" w:rsidR="00FD3B47" w:rsidRDefault="00FD3B47" w:rsidP="00FD3B47">
      <w:pPr>
        <w:spacing w:line="237" w:lineRule="auto"/>
        <w:ind w:left="1134" w:right="260" w:hanging="1134"/>
        <w:jc w:val="both"/>
        <w:rPr>
          <w:rFonts w:ascii="Arial" w:eastAsia="Arial" w:hAnsi="Arial"/>
          <w:bCs/>
          <w:sz w:val="22"/>
          <w:szCs w:val="22"/>
          <w:lang w:val="es-CR"/>
        </w:rPr>
      </w:pPr>
    </w:p>
    <w:p w14:paraId="6088ACBE" w14:textId="77777777" w:rsidR="005E1D63" w:rsidRDefault="005E1D63" w:rsidP="00FD3B47">
      <w:pPr>
        <w:spacing w:line="237" w:lineRule="auto"/>
        <w:ind w:left="1134" w:right="260" w:hanging="1134"/>
        <w:jc w:val="both"/>
        <w:rPr>
          <w:rFonts w:ascii="Arial" w:eastAsia="Arial" w:hAnsi="Arial"/>
          <w:bCs/>
          <w:sz w:val="22"/>
          <w:szCs w:val="22"/>
          <w:lang w:val="es-CR"/>
        </w:rPr>
      </w:pPr>
    </w:p>
    <w:p w14:paraId="42B19BA5" w14:textId="4AACA4D8" w:rsidR="00FD3B47" w:rsidRDefault="00FD3B47" w:rsidP="00FD3B47">
      <w:pPr>
        <w:spacing w:line="238" w:lineRule="auto"/>
        <w:ind w:left="1134" w:right="260" w:hanging="1134"/>
        <w:jc w:val="both"/>
        <w:rPr>
          <w:rFonts w:ascii="Arial" w:hAnsi="Arial"/>
          <w:sz w:val="22"/>
          <w:szCs w:val="22"/>
          <w:lang w:val="es-CR"/>
        </w:rPr>
      </w:pPr>
      <w:r>
        <w:rPr>
          <w:rFonts w:ascii="Arial" w:hAnsi="Arial"/>
          <w:sz w:val="22"/>
          <w:szCs w:val="22"/>
          <w:lang w:val="es-CR"/>
        </w:rPr>
        <w:tab/>
      </w:r>
    </w:p>
    <w:tbl>
      <w:tblPr>
        <w:tblW w:w="8921" w:type="dxa"/>
        <w:tblLook w:val="04A0" w:firstRow="1" w:lastRow="0" w:firstColumn="1" w:lastColumn="0" w:noHBand="0" w:noVBand="1"/>
      </w:tblPr>
      <w:tblGrid>
        <w:gridCol w:w="587"/>
        <w:gridCol w:w="545"/>
        <w:gridCol w:w="566"/>
        <w:gridCol w:w="2828"/>
        <w:gridCol w:w="2268"/>
        <w:gridCol w:w="2127"/>
      </w:tblGrid>
      <w:tr w:rsidR="00FD3B47" w:rsidRPr="008354A4" w14:paraId="56FA7346" w14:textId="77777777" w:rsidTr="00D16719">
        <w:trPr>
          <w:trHeight w:val="320"/>
        </w:trPr>
        <w:tc>
          <w:tcPr>
            <w:tcW w:w="169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2ACF237" w14:textId="77777777" w:rsidR="00FD3B47" w:rsidRPr="008354A4" w:rsidRDefault="00FD3B47" w:rsidP="00D16719">
            <w:pPr>
              <w:jc w:val="center"/>
              <w:rPr>
                <w:rFonts w:ascii="Arial Narrow" w:eastAsia="Times New Roman" w:hAnsi="Arial Narrow" w:cs="Calibri"/>
                <w:b/>
                <w:bCs/>
                <w:color w:val="FFFFFF"/>
                <w:sz w:val="22"/>
                <w:szCs w:val="22"/>
              </w:rPr>
            </w:pPr>
            <w:r w:rsidRPr="008354A4">
              <w:rPr>
                <w:rFonts w:ascii="Arial Narrow" w:eastAsia="Times New Roman" w:hAnsi="Arial Narrow" w:cs="Calibri"/>
                <w:b/>
                <w:bCs/>
                <w:color w:val="FFFFFF"/>
                <w:sz w:val="22"/>
                <w:szCs w:val="22"/>
              </w:rPr>
              <w:t>Norma / Política</w:t>
            </w:r>
          </w:p>
        </w:tc>
        <w:tc>
          <w:tcPr>
            <w:tcW w:w="2828" w:type="dxa"/>
            <w:vMerge w:val="restart"/>
            <w:tcBorders>
              <w:top w:val="single" w:sz="8" w:space="0" w:color="auto"/>
              <w:left w:val="single" w:sz="8" w:space="0" w:color="auto"/>
              <w:bottom w:val="nil"/>
              <w:right w:val="single" w:sz="8" w:space="0" w:color="auto"/>
            </w:tcBorders>
            <w:shd w:val="clear" w:color="000000" w:fill="203764"/>
            <w:vAlign w:val="center"/>
            <w:hideMark/>
          </w:tcPr>
          <w:p w14:paraId="2FD509B0" w14:textId="77777777" w:rsidR="00FD3B47" w:rsidRPr="008354A4" w:rsidRDefault="00FD3B47" w:rsidP="00D16719">
            <w:pPr>
              <w:jc w:val="center"/>
              <w:rPr>
                <w:rFonts w:ascii="Arial Narrow" w:eastAsia="Times New Roman" w:hAnsi="Arial Narrow" w:cs="Calibri"/>
                <w:b/>
                <w:bCs/>
                <w:color w:val="FFFFFF"/>
                <w:sz w:val="22"/>
                <w:szCs w:val="22"/>
              </w:rPr>
            </w:pPr>
            <w:r w:rsidRPr="008354A4">
              <w:rPr>
                <w:rFonts w:ascii="Arial Narrow" w:eastAsia="Times New Roman" w:hAnsi="Arial Narrow" w:cs="Calibri"/>
                <w:b/>
                <w:bCs/>
                <w:color w:val="FFFFFF"/>
                <w:sz w:val="22"/>
                <w:szCs w:val="22"/>
              </w:rPr>
              <w:t>Concepto</w:t>
            </w:r>
          </w:p>
        </w:tc>
        <w:tc>
          <w:tcPr>
            <w:tcW w:w="4395" w:type="dxa"/>
            <w:gridSpan w:val="2"/>
            <w:tcBorders>
              <w:top w:val="single" w:sz="8" w:space="0" w:color="auto"/>
              <w:left w:val="nil"/>
              <w:bottom w:val="single" w:sz="8" w:space="0" w:color="auto"/>
              <w:right w:val="single" w:sz="8" w:space="0" w:color="000000"/>
            </w:tcBorders>
            <w:shd w:val="clear" w:color="000000" w:fill="203764"/>
            <w:vAlign w:val="center"/>
            <w:hideMark/>
          </w:tcPr>
          <w:p w14:paraId="1AE17962" w14:textId="77777777" w:rsidR="00FD3B47" w:rsidRPr="008354A4" w:rsidRDefault="00FD3B47" w:rsidP="00D16719">
            <w:pPr>
              <w:jc w:val="center"/>
              <w:rPr>
                <w:rFonts w:ascii="Arial Narrow" w:eastAsia="Times New Roman" w:hAnsi="Arial Narrow" w:cs="Calibri"/>
                <w:b/>
                <w:bCs/>
                <w:color w:val="FFFFFF"/>
                <w:sz w:val="22"/>
                <w:szCs w:val="22"/>
              </w:rPr>
            </w:pPr>
            <w:r w:rsidRPr="008354A4">
              <w:rPr>
                <w:rFonts w:ascii="Arial Narrow" w:eastAsia="Times New Roman" w:hAnsi="Arial Narrow" w:cs="Calibri"/>
                <w:b/>
                <w:bCs/>
                <w:color w:val="FFFFFF"/>
                <w:sz w:val="22"/>
                <w:szCs w:val="22"/>
              </w:rPr>
              <w:t>Referencia</w:t>
            </w:r>
          </w:p>
        </w:tc>
      </w:tr>
      <w:tr w:rsidR="00FD3B47" w:rsidRPr="006E5442" w14:paraId="5669EE6E" w14:textId="77777777" w:rsidTr="00D16719">
        <w:trPr>
          <w:trHeight w:val="940"/>
        </w:trPr>
        <w:tc>
          <w:tcPr>
            <w:tcW w:w="1698" w:type="dxa"/>
            <w:gridSpan w:val="3"/>
            <w:vMerge/>
            <w:tcBorders>
              <w:top w:val="single" w:sz="8" w:space="0" w:color="auto"/>
              <w:left w:val="single" w:sz="8" w:space="0" w:color="auto"/>
              <w:bottom w:val="nil"/>
              <w:right w:val="single" w:sz="8" w:space="0" w:color="000000"/>
            </w:tcBorders>
            <w:vAlign w:val="center"/>
            <w:hideMark/>
          </w:tcPr>
          <w:p w14:paraId="612539FE" w14:textId="77777777" w:rsidR="00FD3B47" w:rsidRPr="008354A4" w:rsidRDefault="00FD3B47" w:rsidP="00D16719">
            <w:pPr>
              <w:rPr>
                <w:rFonts w:ascii="Arial Narrow" w:eastAsia="Times New Roman" w:hAnsi="Arial Narrow" w:cs="Calibri"/>
                <w:b/>
                <w:bCs/>
                <w:color w:val="FFFFFF"/>
                <w:sz w:val="22"/>
                <w:szCs w:val="22"/>
              </w:rPr>
            </w:pPr>
          </w:p>
        </w:tc>
        <w:tc>
          <w:tcPr>
            <w:tcW w:w="2828" w:type="dxa"/>
            <w:vMerge/>
            <w:tcBorders>
              <w:top w:val="single" w:sz="8" w:space="0" w:color="auto"/>
              <w:left w:val="single" w:sz="8" w:space="0" w:color="auto"/>
              <w:bottom w:val="nil"/>
              <w:right w:val="single" w:sz="8" w:space="0" w:color="auto"/>
            </w:tcBorders>
            <w:vAlign w:val="center"/>
            <w:hideMark/>
          </w:tcPr>
          <w:p w14:paraId="6C2E9EE3" w14:textId="77777777" w:rsidR="00FD3B47" w:rsidRPr="008354A4" w:rsidRDefault="00FD3B47" w:rsidP="00D16719">
            <w:pPr>
              <w:rPr>
                <w:rFonts w:ascii="Arial Narrow" w:eastAsia="Times New Roman" w:hAnsi="Arial Narrow" w:cs="Calibri"/>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53924D98" w14:textId="77777777" w:rsidR="00FD3B47" w:rsidRPr="008354A4" w:rsidRDefault="00FD3B47" w:rsidP="00D16719">
            <w:pPr>
              <w:jc w:val="center"/>
              <w:rPr>
                <w:rFonts w:ascii="Arial Narrow" w:eastAsia="Times New Roman" w:hAnsi="Arial Narrow" w:cs="Calibri"/>
                <w:b/>
                <w:bCs/>
                <w:color w:val="FFFFFF"/>
                <w:sz w:val="22"/>
                <w:szCs w:val="22"/>
              </w:rPr>
            </w:pPr>
            <w:r w:rsidRPr="008354A4">
              <w:rPr>
                <w:rFonts w:ascii="Arial Narrow" w:eastAsia="Times New Roman" w:hAnsi="Arial Narrow" w:cs="Calibri"/>
                <w:b/>
                <w:bCs/>
                <w:color w:val="FFFFFF"/>
                <w:sz w:val="22"/>
                <w:szCs w:val="22"/>
              </w:rPr>
              <w:t>Norma</w:t>
            </w:r>
          </w:p>
        </w:tc>
        <w:tc>
          <w:tcPr>
            <w:tcW w:w="2127" w:type="dxa"/>
            <w:tcBorders>
              <w:top w:val="nil"/>
              <w:left w:val="nil"/>
              <w:bottom w:val="nil"/>
              <w:right w:val="single" w:sz="8" w:space="0" w:color="auto"/>
            </w:tcBorders>
            <w:shd w:val="clear" w:color="000000" w:fill="203764"/>
            <w:vAlign w:val="center"/>
            <w:hideMark/>
          </w:tcPr>
          <w:p w14:paraId="2EB7A60C" w14:textId="77777777" w:rsidR="00FD3B47" w:rsidRPr="008354A4" w:rsidRDefault="00FD3B47" w:rsidP="00D16719">
            <w:pPr>
              <w:jc w:val="center"/>
              <w:rPr>
                <w:rFonts w:ascii="Arial Narrow" w:eastAsia="Times New Roman" w:hAnsi="Arial Narrow" w:cs="Calibri"/>
                <w:b/>
                <w:bCs/>
                <w:color w:val="FFFFFF"/>
                <w:sz w:val="22"/>
                <w:szCs w:val="22"/>
                <w:lang w:val="es-CR"/>
              </w:rPr>
            </w:pPr>
            <w:r w:rsidRPr="008354A4">
              <w:rPr>
                <w:rFonts w:ascii="Arial Narrow" w:eastAsia="Times New Roman" w:hAnsi="Arial Narrow" w:cs="Calibri"/>
                <w:b/>
                <w:bCs/>
                <w:color w:val="FFFFFF"/>
                <w:sz w:val="22"/>
                <w:szCs w:val="22"/>
                <w:lang w:val="es-CR"/>
              </w:rPr>
              <w:t>Normativa técnica y disposiciones adicionales</w:t>
            </w:r>
          </w:p>
        </w:tc>
      </w:tr>
      <w:tr w:rsidR="00FD3B47" w:rsidRPr="008354A4" w14:paraId="4558A99B" w14:textId="77777777" w:rsidTr="00D16719">
        <w:trPr>
          <w:trHeight w:val="630"/>
        </w:trPr>
        <w:tc>
          <w:tcPr>
            <w:tcW w:w="58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ECC428" w14:textId="77777777" w:rsidR="00FD3B47" w:rsidRPr="008354A4" w:rsidRDefault="00FD3B47" w:rsidP="00D16719">
            <w:pPr>
              <w:jc w:val="cente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lang w:val="es-CR"/>
              </w:rPr>
              <w:t>1</w:t>
            </w:r>
          </w:p>
        </w:tc>
        <w:tc>
          <w:tcPr>
            <w:tcW w:w="545" w:type="dxa"/>
            <w:tcBorders>
              <w:top w:val="single" w:sz="8" w:space="0" w:color="auto"/>
              <w:left w:val="nil"/>
              <w:bottom w:val="single" w:sz="8" w:space="0" w:color="auto"/>
              <w:right w:val="single" w:sz="8" w:space="0" w:color="auto"/>
            </w:tcBorders>
            <w:shd w:val="clear" w:color="auto" w:fill="auto"/>
            <w:noWrap/>
            <w:vAlign w:val="center"/>
            <w:hideMark/>
          </w:tcPr>
          <w:p w14:paraId="6E2E1655" w14:textId="77777777" w:rsidR="00FD3B47" w:rsidRPr="008354A4" w:rsidRDefault="00FD3B47" w:rsidP="00D16719">
            <w:pPr>
              <w:jc w:val="cente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rPr>
              <w:t>26</w:t>
            </w:r>
            <w:r w:rsidRPr="0078076A">
              <w:rPr>
                <w:rFonts w:ascii="Arial Narrow" w:eastAsia="Times New Roman" w:hAnsi="Arial Narrow" w:cs="Calibri"/>
                <w:b/>
                <w:bCs/>
                <w:color w:val="000000"/>
                <w:sz w:val="22"/>
                <w:szCs w:val="22"/>
              </w:rPr>
              <w:t>1</w:t>
            </w:r>
          </w:p>
        </w:tc>
        <w:tc>
          <w:tcPr>
            <w:tcW w:w="566" w:type="dxa"/>
            <w:tcBorders>
              <w:top w:val="single" w:sz="8" w:space="0" w:color="auto"/>
              <w:left w:val="nil"/>
              <w:bottom w:val="single" w:sz="8" w:space="0" w:color="auto"/>
              <w:right w:val="single" w:sz="8" w:space="0" w:color="auto"/>
            </w:tcBorders>
            <w:shd w:val="clear" w:color="auto" w:fill="auto"/>
            <w:vAlign w:val="center"/>
            <w:hideMark/>
          </w:tcPr>
          <w:p w14:paraId="791BB8FB" w14:textId="7657DF45" w:rsidR="00FD3B47" w:rsidRPr="008354A4" w:rsidRDefault="00FD3B47" w:rsidP="00D16719">
            <w:pPr>
              <w:jc w:val="center"/>
              <w:rPr>
                <w:rFonts w:ascii="Arial Narrow" w:eastAsia="Times New Roman" w:hAnsi="Arial Narrow" w:cs="Calibri"/>
                <w:b/>
                <w:bCs/>
                <w:color w:val="000000"/>
                <w:sz w:val="22"/>
                <w:szCs w:val="22"/>
              </w:rPr>
            </w:pPr>
          </w:p>
        </w:tc>
        <w:tc>
          <w:tcPr>
            <w:tcW w:w="2828" w:type="dxa"/>
            <w:tcBorders>
              <w:top w:val="single" w:sz="8" w:space="0" w:color="auto"/>
              <w:left w:val="nil"/>
              <w:bottom w:val="single" w:sz="8" w:space="0" w:color="auto"/>
              <w:right w:val="single" w:sz="8" w:space="0" w:color="auto"/>
            </w:tcBorders>
            <w:shd w:val="clear" w:color="auto" w:fill="auto"/>
            <w:vAlign w:val="center"/>
            <w:hideMark/>
          </w:tcPr>
          <w:p w14:paraId="379469FF" w14:textId="77777777" w:rsidR="00FD3B47" w:rsidRPr="008354A4" w:rsidRDefault="00FD3B47" w:rsidP="00D16719">
            <w:pPr>
              <w:jc w:val="both"/>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lang w:val="es-CR"/>
              </w:rPr>
              <w:t>Baja en cuentas</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53B33C5E" w14:textId="77777777" w:rsidR="00FD3B47" w:rsidRPr="008354A4" w:rsidRDefault="00FD3B47" w:rsidP="00D16719">
            <w:pP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lang w:val="es-CR"/>
              </w:rPr>
              <w:t>NICSP N° 31,</w:t>
            </w:r>
            <w:r w:rsidRPr="008354A4">
              <w:rPr>
                <w:rFonts w:ascii="Arial Narrow" w:eastAsia="Times New Roman" w:hAnsi="Arial Narrow" w:cs="Calibri"/>
                <w:b/>
                <w:bCs/>
                <w:color w:val="000000"/>
                <w:sz w:val="22"/>
                <w:szCs w:val="22"/>
                <w:lang w:val="es-CR"/>
              </w:rPr>
              <w:br/>
              <w:t>Párrafo 111.</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1E1FCF19" w14:textId="77777777" w:rsidR="00FD3B47" w:rsidRPr="008354A4" w:rsidRDefault="00FD3B47" w:rsidP="00D16719">
            <w:pPr>
              <w:jc w:val="cente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rPr>
              <w:t xml:space="preserve"> </w:t>
            </w:r>
          </w:p>
        </w:tc>
      </w:tr>
      <w:tr w:rsidR="00FD3B47" w:rsidRPr="008354A4" w14:paraId="6FBC345A" w14:textId="77777777" w:rsidTr="00D16719">
        <w:trPr>
          <w:trHeight w:val="630"/>
        </w:trPr>
        <w:tc>
          <w:tcPr>
            <w:tcW w:w="587" w:type="dxa"/>
            <w:tcBorders>
              <w:top w:val="nil"/>
              <w:left w:val="single" w:sz="8" w:space="0" w:color="auto"/>
              <w:bottom w:val="single" w:sz="8" w:space="0" w:color="auto"/>
              <w:right w:val="single" w:sz="8" w:space="0" w:color="auto"/>
            </w:tcBorders>
            <w:shd w:val="clear" w:color="auto" w:fill="auto"/>
            <w:vAlign w:val="center"/>
            <w:hideMark/>
          </w:tcPr>
          <w:p w14:paraId="756F69A2" w14:textId="77777777" w:rsidR="00FD3B47" w:rsidRPr="008354A4" w:rsidRDefault="00FD3B47" w:rsidP="00D16719">
            <w:pPr>
              <w:jc w:val="cente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rPr>
              <w:t>1</w:t>
            </w:r>
          </w:p>
        </w:tc>
        <w:tc>
          <w:tcPr>
            <w:tcW w:w="545" w:type="dxa"/>
            <w:tcBorders>
              <w:top w:val="nil"/>
              <w:left w:val="nil"/>
              <w:bottom w:val="single" w:sz="8" w:space="0" w:color="auto"/>
              <w:right w:val="single" w:sz="8" w:space="0" w:color="auto"/>
            </w:tcBorders>
            <w:shd w:val="clear" w:color="auto" w:fill="auto"/>
            <w:noWrap/>
            <w:vAlign w:val="center"/>
            <w:hideMark/>
          </w:tcPr>
          <w:p w14:paraId="4E34733F" w14:textId="77777777" w:rsidR="00FD3B47" w:rsidRPr="008354A4" w:rsidRDefault="00FD3B47" w:rsidP="00D16719">
            <w:pPr>
              <w:jc w:val="cente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rPr>
              <w:t>26</w:t>
            </w:r>
            <w:r w:rsidRPr="0078076A">
              <w:rPr>
                <w:rFonts w:ascii="Arial Narrow" w:eastAsia="Times New Roman" w:hAnsi="Arial Narrow" w:cs="Calibri"/>
                <w:b/>
                <w:bCs/>
                <w:color w:val="000000"/>
                <w:sz w:val="22"/>
                <w:szCs w:val="22"/>
              </w:rPr>
              <w:t>1</w:t>
            </w:r>
          </w:p>
        </w:tc>
        <w:tc>
          <w:tcPr>
            <w:tcW w:w="566" w:type="dxa"/>
            <w:tcBorders>
              <w:top w:val="nil"/>
              <w:left w:val="nil"/>
              <w:bottom w:val="single" w:sz="8" w:space="0" w:color="auto"/>
              <w:right w:val="single" w:sz="8" w:space="0" w:color="auto"/>
            </w:tcBorders>
            <w:shd w:val="clear" w:color="auto" w:fill="auto"/>
            <w:vAlign w:val="center"/>
            <w:hideMark/>
          </w:tcPr>
          <w:p w14:paraId="4D361A6B" w14:textId="77777777" w:rsidR="00FD3B47" w:rsidRPr="008354A4" w:rsidRDefault="00FD3B47" w:rsidP="00D16719">
            <w:pPr>
              <w:jc w:val="cente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rPr>
              <w:t>1</w:t>
            </w:r>
          </w:p>
        </w:tc>
        <w:tc>
          <w:tcPr>
            <w:tcW w:w="2828" w:type="dxa"/>
            <w:tcBorders>
              <w:top w:val="nil"/>
              <w:left w:val="nil"/>
              <w:bottom w:val="single" w:sz="8" w:space="0" w:color="auto"/>
              <w:right w:val="single" w:sz="8" w:space="0" w:color="auto"/>
            </w:tcBorders>
            <w:shd w:val="clear" w:color="auto" w:fill="auto"/>
            <w:vAlign w:val="center"/>
            <w:hideMark/>
          </w:tcPr>
          <w:p w14:paraId="2FA04F3E" w14:textId="77777777" w:rsidR="00FD3B47" w:rsidRPr="008354A4" w:rsidRDefault="00FD3B47" w:rsidP="00D16719">
            <w:pPr>
              <w:jc w:val="both"/>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rPr>
              <w:t>Baja de parte susti</w:t>
            </w:r>
            <w:r w:rsidRPr="0078076A">
              <w:rPr>
                <w:rFonts w:ascii="Arial Narrow" w:eastAsia="Times New Roman" w:hAnsi="Arial Narrow" w:cs="Calibri"/>
                <w:b/>
                <w:bCs/>
                <w:color w:val="000000"/>
                <w:sz w:val="22"/>
                <w:szCs w:val="22"/>
              </w:rPr>
              <w:t>t</w:t>
            </w:r>
            <w:r w:rsidRPr="008354A4">
              <w:rPr>
                <w:rFonts w:ascii="Arial Narrow" w:eastAsia="Times New Roman" w:hAnsi="Arial Narrow" w:cs="Calibri"/>
                <w:b/>
                <w:bCs/>
                <w:color w:val="000000"/>
                <w:sz w:val="22"/>
                <w:szCs w:val="22"/>
              </w:rPr>
              <w:t>uida</w:t>
            </w:r>
          </w:p>
        </w:tc>
        <w:tc>
          <w:tcPr>
            <w:tcW w:w="2268" w:type="dxa"/>
            <w:tcBorders>
              <w:top w:val="nil"/>
              <w:left w:val="nil"/>
              <w:bottom w:val="single" w:sz="8" w:space="0" w:color="auto"/>
              <w:right w:val="single" w:sz="8" w:space="0" w:color="auto"/>
            </w:tcBorders>
            <w:shd w:val="clear" w:color="auto" w:fill="auto"/>
            <w:vAlign w:val="center"/>
            <w:hideMark/>
          </w:tcPr>
          <w:p w14:paraId="340CC53B" w14:textId="77777777" w:rsidR="00FD3B47" w:rsidRPr="008354A4" w:rsidRDefault="00FD3B47" w:rsidP="00D16719">
            <w:pP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lang w:val="es-CR"/>
              </w:rPr>
              <w:t>NICSP N° 31,</w:t>
            </w:r>
            <w:r w:rsidRPr="008354A4">
              <w:rPr>
                <w:rFonts w:ascii="Arial Narrow" w:eastAsia="Times New Roman" w:hAnsi="Arial Narrow" w:cs="Calibri"/>
                <w:b/>
                <w:bCs/>
                <w:color w:val="000000"/>
                <w:sz w:val="22"/>
                <w:szCs w:val="22"/>
                <w:lang w:val="es-CR"/>
              </w:rPr>
              <w:br/>
              <w:t>Párrafo 114.</w:t>
            </w:r>
          </w:p>
        </w:tc>
        <w:tc>
          <w:tcPr>
            <w:tcW w:w="2127" w:type="dxa"/>
            <w:tcBorders>
              <w:top w:val="nil"/>
              <w:left w:val="nil"/>
              <w:bottom w:val="single" w:sz="8" w:space="0" w:color="auto"/>
              <w:right w:val="single" w:sz="8" w:space="0" w:color="auto"/>
            </w:tcBorders>
            <w:shd w:val="clear" w:color="auto" w:fill="auto"/>
            <w:vAlign w:val="center"/>
            <w:hideMark/>
          </w:tcPr>
          <w:p w14:paraId="68F73BC0" w14:textId="77777777" w:rsidR="00FD3B47" w:rsidRPr="008354A4" w:rsidRDefault="00FD3B47" w:rsidP="00D16719">
            <w:pPr>
              <w:jc w:val="center"/>
              <w:rPr>
                <w:rFonts w:ascii="Arial Narrow" w:eastAsia="Times New Roman" w:hAnsi="Arial Narrow" w:cs="Calibri"/>
                <w:b/>
                <w:bCs/>
                <w:color w:val="000000"/>
                <w:sz w:val="22"/>
                <w:szCs w:val="22"/>
              </w:rPr>
            </w:pPr>
            <w:r w:rsidRPr="008354A4">
              <w:rPr>
                <w:rFonts w:ascii="Arial Narrow" w:eastAsia="Times New Roman" w:hAnsi="Arial Narrow" w:cs="Calibri"/>
                <w:b/>
                <w:bCs/>
                <w:color w:val="000000"/>
                <w:sz w:val="22"/>
                <w:szCs w:val="22"/>
              </w:rPr>
              <w:t> </w:t>
            </w:r>
          </w:p>
        </w:tc>
      </w:tr>
    </w:tbl>
    <w:p w14:paraId="22314759" w14:textId="77777777" w:rsidR="00FD3B47" w:rsidRDefault="00FD3B47" w:rsidP="00FD3B47">
      <w:pPr>
        <w:spacing w:line="238" w:lineRule="auto"/>
        <w:ind w:left="1134" w:right="260" w:hanging="1134"/>
        <w:jc w:val="both"/>
        <w:rPr>
          <w:rFonts w:ascii="Arial" w:hAnsi="Arial"/>
          <w:sz w:val="22"/>
          <w:szCs w:val="22"/>
          <w:lang w:val="es-CR"/>
        </w:rPr>
      </w:pPr>
    </w:p>
    <w:p w14:paraId="578AF57A" w14:textId="241D49A3" w:rsidR="00FD3B47" w:rsidRDefault="005E1D63" w:rsidP="00FD3B47">
      <w:pPr>
        <w:spacing w:line="237"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FACBFFC" w14:textId="77777777" w:rsidR="005E1D63" w:rsidRDefault="005E1D63" w:rsidP="00FD3B47">
      <w:pPr>
        <w:spacing w:line="237" w:lineRule="auto"/>
        <w:ind w:left="1134" w:right="260" w:hanging="1134"/>
        <w:jc w:val="both"/>
        <w:rPr>
          <w:rFonts w:ascii="Arial" w:hAnsi="Arial"/>
          <w:sz w:val="22"/>
          <w:szCs w:val="22"/>
          <w:lang w:val="es-CR"/>
        </w:rPr>
      </w:pPr>
    </w:p>
    <w:p w14:paraId="08F8227D" w14:textId="77777777" w:rsidR="00FD3B47" w:rsidRDefault="00FD3B47" w:rsidP="00FD3B47">
      <w:pPr>
        <w:spacing w:line="237" w:lineRule="auto"/>
        <w:ind w:left="1134" w:right="260" w:hanging="1134"/>
        <w:jc w:val="both"/>
        <w:rPr>
          <w:rFonts w:ascii="Arial" w:hAnsi="Arial"/>
          <w:sz w:val="22"/>
          <w:szCs w:val="22"/>
          <w:lang w:val="es-CR"/>
        </w:rPr>
      </w:pPr>
      <w:r w:rsidRPr="008354A4">
        <w:rPr>
          <w:rFonts w:ascii="Arial" w:hAnsi="Arial"/>
          <w:sz w:val="22"/>
          <w:szCs w:val="22"/>
          <w:lang w:val="es-CR"/>
        </w:rPr>
        <w:t>1.26</w:t>
      </w:r>
      <w:r>
        <w:rPr>
          <w:rFonts w:ascii="Arial" w:hAnsi="Arial"/>
          <w:sz w:val="22"/>
          <w:szCs w:val="22"/>
          <w:lang w:val="es-CR"/>
        </w:rPr>
        <w:t>1</w:t>
      </w:r>
      <w:r w:rsidRPr="008354A4">
        <w:rPr>
          <w:rFonts w:ascii="Arial" w:hAnsi="Arial"/>
          <w:sz w:val="22"/>
          <w:szCs w:val="22"/>
          <w:lang w:val="es-CR"/>
        </w:rPr>
        <w:t>.0.01</w:t>
      </w:r>
      <w:r>
        <w:rPr>
          <w:rFonts w:ascii="Arial" w:hAnsi="Arial"/>
          <w:sz w:val="22"/>
          <w:szCs w:val="22"/>
          <w:lang w:val="es-CR"/>
        </w:rPr>
        <w:tab/>
      </w:r>
      <w:r w:rsidRPr="008354A4">
        <w:rPr>
          <w:rFonts w:ascii="Arial" w:hAnsi="Arial"/>
          <w:sz w:val="22"/>
          <w:szCs w:val="22"/>
          <w:lang w:val="es-CR"/>
        </w:rPr>
        <w:t>Un activo intangible se dará de baja en cuentas:</w:t>
      </w:r>
    </w:p>
    <w:p w14:paraId="324FCEBB" w14:textId="77777777" w:rsidR="00FD3B47" w:rsidRPr="008354A4" w:rsidRDefault="00FD3B47" w:rsidP="00FD3B47">
      <w:pPr>
        <w:spacing w:line="237" w:lineRule="auto"/>
        <w:ind w:left="1134" w:right="260" w:hanging="1134"/>
        <w:jc w:val="both"/>
        <w:rPr>
          <w:rFonts w:ascii="Arial" w:hAnsi="Arial"/>
          <w:sz w:val="22"/>
          <w:szCs w:val="22"/>
          <w:lang w:val="es-CR"/>
        </w:rPr>
      </w:pPr>
    </w:p>
    <w:p w14:paraId="3ABAB40D" w14:textId="77777777" w:rsidR="00FD3B47" w:rsidRPr="002D469C" w:rsidRDefault="00FD3B47">
      <w:pPr>
        <w:pStyle w:val="Default"/>
        <w:numPr>
          <w:ilvl w:val="0"/>
          <w:numId w:val="114"/>
        </w:numPr>
        <w:spacing w:after="120"/>
        <w:ind w:left="1418" w:hanging="284"/>
        <w:rPr>
          <w:sz w:val="22"/>
          <w:szCs w:val="22"/>
          <w:lang w:val="es-CR"/>
        </w:rPr>
      </w:pPr>
      <w:r w:rsidRPr="002D469C">
        <w:rPr>
          <w:sz w:val="22"/>
          <w:szCs w:val="22"/>
          <w:lang w:val="es-CR"/>
        </w:rPr>
        <w:t xml:space="preserve">Por su disposición (incluyendo la disposición a través de una transacción sin contraprestación); </w:t>
      </w:r>
    </w:p>
    <w:p w14:paraId="279A2194" w14:textId="77777777" w:rsidR="00FD3B47" w:rsidRDefault="00FD3B47">
      <w:pPr>
        <w:pStyle w:val="Default"/>
        <w:numPr>
          <w:ilvl w:val="0"/>
          <w:numId w:val="114"/>
        </w:numPr>
        <w:ind w:left="1418" w:hanging="284"/>
        <w:rPr>
          <w:sz w:val="22"/>
          <w:szCs w:val="22"/>
          <w:lang w:val="es-CR"/>
        </w:rPr>
      </w:pPr>
      <w:r w:rsidRPr="002D469C">
        <w:rPr>
          <w:sz w:val="22"/>
          <w:szCs w:val="22"/>
          <w:lang w:val="es-CR"/>
        </w:rPr>
        <w:t>Cuando no se espere obtener ningún beneficio futuro o potencial de servicio por su uso o disposición.</w:t>
      </w:r>
    </w:p>
    <w:p w14:paraId="5F06EFD9" w14:textId="77777777" w:rsidR="00FD3B47" w:rsidRPr="002D469C" w:rsidRDefault="00FD3B47" w:rsidP="00FD3B47">
      <w:pPr>
        <w:pStyle w:val="Default"/>
        <w:rPr>
          <w:sz w:val="22"/>
          <w:szCs w:val="22"/>
          <w:lang w:val="es-CR"/>
        </w:rPr>
      </w:pPr>
    </w:p>
    <w:p w14:paraId="282C43CE" w14:textId="77777777" w:rsidR="00FD3B47" w:rsidRDefault="00FD3B47" w:rsidP="00FD3B47">
      <w:pPr>
        <w:spacing w:line="237" w:lineRule="auto"/>
        <w:ind w:left="1134" w:right="260" w:hanging="1134"/>
        <w:jc w:val="both"/>
        <w:rPr>
          <w:rFonts w:ascii="Arial" w:hAnsi="Arial"/>
          <w:sz w:val="22"/>
          <w:szCs w:val="22"/>
          <w:lang w:val="es-CR"/>
        </w:rPr>
      </w:pPr>
      <w:r w:rsidRPr="008354A4">
        <w:rPr>
          <w:rFonts w:ascii="Arial" w:hAnsi="Arial"/>
          <w:sz w:val="22"/>
          <w:szCs w:val="22"/>
          <w:lang w:val="es-CR"/>
        </w:rPr>
        <w:t>1.26</w:t>
      </w:r>
      <w:r>
        <w:rPr>
          <w:rFonts w:ascii="Arial" w:hAnsi="Arial"/>
          <w:sz w:val="22"/>
          <w:szCs w:val="22"/>
          <w:lang w:val="es-CR"/>
        </w:rPr>
        <w:t>1</w:t>
      </w:r>
      <w:r w:rsidRPr="008354A4">
        <w:rPr>
          <w:rFonts w:ascii="Arial" w:hAnsi="Arial"/>
          <w:sz w:val="22"/>
          <w:szCs w:val="22"/>
          <w:lang w:val="es-CR"/>
        </w:rPr>
        <w:t>.</w:t>
      </w:r>
      <w:r>
        <w:rPr>
          <w:rFonts w:ascii="Arial" w:hAnsi="Arial"/>
          <w:sz w:val="22"/>
          <w:szCs w:val="22"/>
          <w:lang w:val="es-CR"/>
        </w:rPr>
        <w:t>1</w:t>
      </w:r>
      <w:r w:rsidRPr="008354A4">
        <w:rPr>
          <w:rFonts w:ascii="Arial" w:hAnsi="Arial"/>
          <w:sz w:val="22"/>
          <w:szCs w:val="22"/>
          <w:lang w:val="es-CR"/>
        </w:rPr>
        <w:t xml:space="preserve">.01 Si se reconoce en el importe en libros de la sustitución de parte </w:t>
      </w:r>
      <w:r>
        <w:rPr>
          <w:rFonts w:ascii="Arial" w:hAnsi="Arial"/>
          <w:sz w:val="22"/>
          <w:szCs w:val="22"/>
          <w:lang w:val="es-CR"/>
        </w:rPr>
        <w:t>un</w:t>
      </w:r>
      <w:r w:rsidRPr="008354A4">
        <w:rPr>
          <w:rFonts w:ascii="Arial" w:hAnsi="Arial"/>
          <w:sz w:val="22"/>
          <w:szCs w:val="22"/>
          <w:lang w:val="es-CR"/>
        </w:rPr>
        <w:t xml:space="preserve"> activo intangible, se dará de baja el importe en libros de la parte sustituida. Si no fuera practicable la determinación del importe en libros de la parte sustituida, se podrá utilizar el costo de la sustitución como indicativo de cuál fue el costo de la parte sustituida, en la fecha en la que fue adquirido o generado internamente. </w:t>
      </w:r>
    </w:p>
    <w:p w14:paraId="453205DC" w14:textId="77777777" w:rsidR="00FD3B47" w:rsidRDefault="00FD3B47" w:rsidP="00FD3B47">
      <w:pPr>
        <w:spacing w:line="237" w:lineRule="auto"/>
        <w:ind w:left="1134" w:right="260" w:hanging="1134"/>
        <w:jc w:val="both"/>
        <w:rPr>
          <w:rFonts w:ascii="Arial" w:hAnsi="Arial"/>
          <w:sz w:val="22"/>
          <w:szCs w:val="22"/>
          <w:lang w:val="es-CR"/>
        </w:rPr>
      </w:pPr>
    </w:p>
    <w:p w14:paraId="44C06507"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127297E3"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tbl>
      <w:tblPr>
        <w:tblW w:w="9062" w:type="dxa"/>
        <w:tblLook w:val="04A0" w:firstRow="1" w:lastRow="0" w:firstColumn="1" w:lastColumn="0" w:noHBand="0" w:noVBand="1"/>
      </w:tblPr>
      <w:tblGrid>
        <w:gridCol w:w="588"/>
        <w:gridCol w:w="545"/>
        <w:gridCol w:w="565"/>
        <w:gridCol w:w="2970"/>
        <w:gridCol w:w="2126"/>
        <w:gridCol w:w="2268"/>
      </w:tblGrid>
      <w:tr w:rsidR="00FD3B47" w:rsidRPr="00FD3B47" w14:paraId="1FB5CBE9" w14:textId="77777777" w:rsidTr="00FD3B47">
        <w:trPr>
          <w:trHeight w:val="320"/>
        </w:trPr>
        <w:tc>
          <w:tcPr>
            <w:tcW w:w="169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3F0A76B" w14:textId="77777777" w:rsidR="00FD3B47" w:rsidRPr="00FD3B47" w:rsidRDefault="00FD3B47" w:rsidP="00D16719">
            <w:pPr>
              <w:jc w:val="center"/>
              <w:rPr>
                <w:rFonts w:ascii="Arial Narrow" w:eastAsia="Times New Roman" w:hAnsi="Arial Narrow" w:cs="Calibri"/>
                <w:b/>
                <w:bCs/>
                <w:color w:val="FFFFFF"/>
                <w:sz w:val="22"/>
                <w:szCs w:val="22"/>
              </w:rPr>
            </w:pPr>
            <w:r w:rsidRPr="00FD3B47">
              <w:rPr>
                <w:rFonts w:ascii="Arial Narrow" w:eastAsia="Times New Roman" w:hAnsi="Arial Narrow" w:cs="Calibri"/>
                <w:b/>
                <w:bCs/>
                <w:color w:val="FFFFFF"/>
                <w:sz w:val="22"/>
                <w:szCs w:val="22"/>
              </w:rPr>
              <w:t>Norma / Política</w:t>
            </w:r>
          </w:p>
        </w:tc>
        <w:tc>
          <w:tcPr>
            <w:tcW w:w="297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2538099" w14:textId="77777777" w:rsidR="00FD3B47" w:rsidRPr="00FD3B47" w:rsidRDefault="00FD3B47" w:rsidP="00D16719">
            <w:pPr>
              <w:jc w:val="center"/>
              <w:rPr>
                <w:rFonts w:ascii="Arial Narrow" w:eastAsia="Times New Roman" w:hAnsi="Arial Narrow" w:cs="Calibri"/>
                <w:b/>
                <w:bCs/>
                <w:color w:val="FFFFFF"/>
                <w:sz w:val="22"/>
                <w:szCs w:val="22"/>
              </w:rPr>
            </w:pPr>
            <w:r w:rsidRPr="00FD3B47">
              <w:rPr>
                <w:rFonts w:ascii="Arial Narrow" w:eastAsia="Times New Roman" w:hAnsi="Arial Narrow" w:cs="Calibri"/>
                <w:b/>
                <w:bCs/>
                <w:color w:val="FFFFFF"/>
                <w:sz w:val="22"/>
                <w:szCs w:val="22"/>
              </w:rPr>
              <w:t>Concepto</w:t>
            </w:r>
          </w:p>
        </w:tc>
        <w:tc>
          <w:tcPr>
            <w:tcW w:w="4394" w:type="dxa"/>
            <w:gridSpan w:val="2"/>
            <w:tcBorders>
              <w:top w:val="single" w:sz="8" w:space="0" w:color="auto"/>
              <w:left w:val="nil"/>
              <w:bottom w:val="single" w:sz="8" w:space="0" w:color="auto"/>
              <w:right w:val="single" w:sz="8" w:space="0" w:color="000000"/>
            </w:tcBorders>
            <w:shd w:val="clear" w:color="000000" w:fill="203764"/>
            <w:vAlign w:val="center"/>
            <w:hideMark/>
          </w:tcPr>
          <w:p w14:paraId="3879476C" w14:textId="77777777" w:rsidR="00FD3B47" w:rsidRPr="00FD3B47" w:rsidRDefault="00FD3B47" w:rsidP="00D16719">
            <w:pPr>
              <w:jc w:val="center"/>
              <w:rPr>
                <w:rFonts w:ascii="Arial Narrow" w:eastAsia="Times New Roman" w:hAnsi="Arial Narrow" w:cs="Calibri"/>
                <w:b/>
                <w:bCs/>
                <w:color w:val="FFFFFF"/>
                <w:sz w:val="22"/>
                <w:szCs w:val="22"/>
              </w:rPr>
            </w:pPr>
            <w:r w:rsidRPr="00FD3B47">
              <w:rPr>
                <w:rFonts w:ascii="Arial Narrow" w:eastAsia="Times New Roman" w:hAnsi="Arial Narrow" w:cs="Calibri"/>
                <w:b/>
                <w:bCs/>
                <w:color w:val="FFFFFF"/>
                <w:sz w:val="22"/>
                <w:szCs w:val="22"/>
              </w:rPr>
              <w:t>Referencia</w:t>
            </w:r>
          </w:p>
        </w:tc>
      </w:tr>
      <w:tr w:rsidR="00FD3B47" w:rsidRPr="006E5442" w14:paraId="64CEC1CA" w14:textId="77777777" w:rsidTr="00FD3B47">
        <w:trPr>
          <w:trHeight w:val="940"/>
        </w:trPr>
        <w:tc>
          <w:tcPr>
            <w:tcW w:w="1698" w:type="dxa"/>
            <w:gridSpan w:val="3"/>
            <w:vMerge/>
            <w:tcBorders>
              <w:top w:val="single" w:sz="8" w:space="0" w:color="auto"/>
              <w:left w:val="single" w:sz="8" w:space="0" w:color="auto"/>
              <w:bottom w:val="nil"/>
              <w:right w:val="single" w:sz="8" w:space="0" w:color="000000"/>
            </w:tcBorders>
            <w:vAlign w:val="center"/>
            <w:hideMark/>
          </w:tcPr>
          <w:p w14:paraId="1C5C5CAC" w14:textId="77777777" w:rsidR="00FD3B47" w:rsidRPr="00FD3B47" w:rsidRDefault="00FD3B47" w:rsidP="00D16719">
            <w:pPr>
              <w:rPr>
                <w:rFonts w:ascii="Arial Narrow" w:eastAsia="Times New Roman" w:hAnsi="Arial Narrow" w:cs="Calibri"/>
                <w:b/>
                <w:bCs/>
                <w:color w:val="FFFFFF"/>
                <w:sz w:val="22"/>
                <w:szCs w:val="22"/>
              </w:rPr>
            </w:pPr>
          </w:p>
        </w:tc>
        <w:tc>
          <w:tcPr>
            <w:tcW w:w="2970" w:type="dxa"/>
            <w:vMerge/>
            <w:tcBorders>
              <w:top w:val="single" w:sz="8" w:space="0" w:color="auto"/>
              <w:left w:val="single" w:sz="8" w:space="0" w:color="auto"/>
              <w:bottom w:val="nil"/>
              <w:right w:val="single" w:sz="8" w:space="0" w:color="auto"/>
            </w:tcBorders>
            <w:vAlign w:val="center"/>
            <w:hideMark/>
          </w:tcPr>
          <w:p w14:paraId="1E5C00B6" w14:textId="77777777" w:rsidR="00FD3B47" w:rsidRPr="00FD3B47" w:rsidRDefault="00FD3B47" w:rsidP="00D16719">
            <w:pPr>
              <w:rPr>
                <w:rFonts w:ascii="Arial Narrow" w:eastAsia="Times New Roman" w:hAnsi="Arial Narrow" w:cs="Calibri"/>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4A9411DF" w14:textId="77777777" w:rsidR="00FD3B47" w:rsidRPr="00FD3B47" w:rsidRDefault="00FD3B47" w:rsidP="00D16719">
            <w:pPr>
              <w:jc w:val="center"/>
              <w:rPr>
                <w:rFonts w:ascii="Arial Narrow" w:eastAsia="Times New Roman" w:hAnsi="Arial Narrow" w:cs="Calibri"/>
                <w:b/>
                <w:bCs/>
                <w:color w:val="FFFFFF"/>
                <w:sz w:val="22"/>
                <w:szCs w:val="22"/>
              </w:rPr>
            </w:pPr>
            <w:r w:rsidRPr="00FD3B47">
              <w:rPr>
                <w:rFonts w:ascii="Arial Narrow" w:eastAsia="Times New Roman" w:hAnsi="Arial Narrow" w:cs="Calibri"/>
                <w:b/>
                <w:bCs/>
                <w:color w:val="FFFFFF"/>
                <w:sz w:val="22"/>
                <w:szCs w:val="22"/>
              </w:rPr>
              <w:t>Norma</w:t>
            </w:r>
          </w:p>
        </w:tc>
        <w:tc>
          <w:tcPr>
            <w:tcW w:w="2268" w:type="dxa"/>
            <w:tcBorders>
              <w:top w:val="nil"/>
              <w:left w:val="nil"/>
              <w:bottom w:val="nil"/>
              <w:right w:val="single" w:sz="8" w:space="0" w:color="auto"/>
            </w:tcBorders>
            <w:shd w:val="clear" w:color="000000" w:fill="203764"/>
            <w:vAlign w:val="center"/>
            <w:hideMark/>
          </w:tcPr>
          <w:p w14:paraId="2D7E63FE" w14:textId="77777777" w:rsidR="00FD3B47" w:rsidRPr="00FD3B47" w:rsidRDefault="00FD3B47" w:rsidP="00D16719">
            <w:pPr>
              <w:jc w:val="center"/>
              <w:rPr>
                <w:rFonts w:ascii="Arial Narrow" w:eastAsia="Times New Roman" w:hAnsi="Arial Narrow" w:cs="Calibri"/>
                <w:b/>
                <w:bCs/>
                <w:color w:val="FFFFFF"/>
                <w:sz w:val="22"/>
                <w:szCs w:val="22"/>
                <w:lang w:val="es-CR"/>
              </w:rPr>
            </w:pPr>
            <w:r w:rsidRPr="00FD3B47">
              <w:rPr>
                <w:rFonts w:ascii="Arial Narrow" w:eastAsia="Times New Roman" w:hAnsi="Arial Narrow" w:cs="Calibri"/>
                <w:b/>
                <w:bCs/>
                <w:color w:val="FFFFFF"/>
                <w:sz w:val="22"/>
                <w:szCs w:val="22"/>
                <w:lang w:val="es-CR"/>
              </w:rPr>
              <w:t>Normativa técnica y disposiciones adicionales</w:t>
            </w:r>
          </w:p>
        </w:tc>
      </w:tr>
      <w:tr w:rsidR="00FD3B47" w:rsidRPr="00FD3B47" w14:paraId="7D75E913" w14:textId="77777777" w:rsidTr="00FD3B47">
        <w:trPr>
          <w:trHeight w:val="264"/>
        </w:trPr>
        <w:tc>
          <w:tcPr>
            <w:tcW w:w="5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ED5D43" w14:textId="77777777" w:rsidR="00FD3B47" w:rsidRPr="00FD3B47" w:rsidRDefault="00FD3B47" w:rsidP="00D16719">
            <w:pPr>
              <w:jc w:val="center"/>
              <w:rPr>
                <w:rFonts w:ascii="Arial Narrow" w:eastAsia="Times New Roman" w:hAnsi="Arial Narrow" w:cs="Calibri"/>
                <w:b/>
                <w:bCs/>
                <w:color w:val="000000"/>
                <w:sz w:val="22"/>
                <w:szCs w:val="22"/>
              </w:rPr>
            </w:pPr>
            <w:r w:rsidRPr="00FD3B47">
              <w:rPr>
                <w:rFonts w:ascii="Arial Narrow" w:eastAsia="Times New Roman" w:hAnsi="Arial Narrow" w:cs="Calibri"/>
                <w:b/>
                <w:bCs/>
                <w:color w:val="000000"/>
                <w:sz w:val="22"/>
                <w:szCs w:val="22"/>
                <w:lang w:val="es-CR"/>
              </w:rPr>
              <w:t>1</w:t>
            </w:r>
          </w:p>
        </w:tc>
        <w:tc>
          <w:tcPr>
            <w:tcW w:w="545" w:type="dxa"/>
            <w:tcBorders>
              <w:top w:val="single" w:sz="8" w:space="0" w:color="auto"/>
              <w:left w:val="nil"/>
              <w:bottom w:val="single" w:sz="8" w:space="0" w:color="auto"/>
              <w:right w:val="single" w:sz="8" w:space="0" w:color="auto"/>
            </w:tcBorders>
            <w:shd w:val="clear" w:color="auto" w:fill="auto"/>
            <w:noWrap/>
            <w:vAlign w:val="center"/>
            <w:hideMark/>
          </w:tcPr>
          <w:p w14:paraId="2F1FCF59" w14:textId="77777777" w:rsidR="00FD3B47" w:rsidRPr="00FD3B47" w:rsidRDefault="00FD3B47" w:rsidP="00D16719">
            <w:pPr>
              <w:jc w:val="center"/>
              <w:rPr>
                <w:rFonts w:ascii="Arial Narrow" w:eastAsia="Times New Roman" w:hAnsi="Arial Narrow" w:cs="Calibri"/>
                <w:b/>
                <w:bCs/>
                <w:color w:val="000000"/>
                <w:sz w:val="22"/>
                <w:szCs w:val="22"/>
              </w:rPr>
            </w:pPr>
            <w:r w:rsidRPr="00FD3B47">
              <w:rPr>
                <w:rFonts w:ascii="Arial Narrow" w:eastAsia="Times New Roman" w:hAnsi="Arial Narrow" w:cs="Calibri"/>
                <w:b/>
                <w:bCs/>
                <w:color w:val="000000"/>
                <w:sz w:val="22"/>
                <w:szCs w:val="22"/>
              </w:rPr>
              <w:t>262</w:t>
            </w:r>
          </w:p>
        </w:tc>
        <w:tc>
          <w:tcPr>
            <w:tcW w:w="565" w:type="dxa"/>
            <w:tcBorders>
              <w:top w:val="single" w:sz="8" w:space="0" w:color="auto"/>
              <w:left w:val="nil"/>
              <w:bottom w:val="single" w:sz="8" w:space="0" w:color="auto"/>
              <w:right w:val="single" w:sz="8" w:space="0" w:color="auto"/>
            </w:tcBorders>
            <w:shd w:val="clear" w:color="auto" w:fill="auto"/>
            <w:vAlign w:val="center"/>
            <w:hideMark/>
          </w:tcPr>
          <w:p w14:paraId="7262547B" w14:textId="414DEE67" w:rsidR="00FD3B47" w:rsidRPr="00FD3B47" w:rsidRDefault="00FD3B47" w:rsidP="00D16719">
            <w:pPr>
              <w:jc w:val="center"/>
              <w:rPr>
                <w:rFonts w:ascii="Arial Narrow" w:eastAsia="Times New Roman" w:hAnsi="Arial Narrow" w:cs="Calibri"/>
                <w:b/>
                <w:bCs/>
                <w:color w:val="000000"/>
                <w:sz w:val="22"/>
                <w:szCs w:val="22"/>
              </w:rPr>
            </w:pPr>
          </w:p>
        </w:tc>
        <w:tc>
          <w:tcPr>
            <w:tcW w:w="2970" w:type="dxa"/>
            <w:tcBorders>
              <w:top w:val="single" w:sz="8" w:space="0" w:color="auto"/>
              <w:left w:val="nil"/>
              <w:bottom w:val="single" w:sz="8" w:space="0" w:color="auto"/>
              <w:right w:val="single" w:sz="8" w:space="0" w:color="auto"/>
            </w:tcBorders>
            <w:shd w:val="clear" w:color="auto" w:fill="auto"/>
            <w:vAlign w:val="center"/>
            <w:hideMark/>
          </w:tcPr>
          <w:p w14:paraId="414FFA01" w14:textId="77777777" w:rsidR="00FD3B47" w:rsidRPr="00FD3B47" w:rsidRDefault="00FD3B47" w:rsidP="00D16719">
            <w:pPr>
              <w:jc w:val="both"/>
              <w:rPr>
                <w:rFonts w:ascii="Arial Narrow" w:eastAsia="Times New Roman" w:hAnsi="Arial Narrow" w:cs="Calibri"/>
                <w:b/>
                <w:bCs/>
                <w:color w:val="000000"/>
                <w:sz w:val="22"/>
                <w:szCs w:val="22"/>
              </w:rPr>
            </w:pPr>
            <w:r w:rsidRPr="00FD3B47">
              <w:rPr>
                <w:rFonts w:ascii="Arial Narrow" w:eastAsia="Times New Roman" w:hAnsi="Arial Narrow" w:cs="Calibri"/>
                <w:b/>
                <w:bCs/>
                <w:color w:val="000000"/>
                <w:sz w:val="22"/>
                <w:szCs w:val="22"/>
                <w:lang w:val="es-CR"/>
              </w:rPr>
              <w:t>Información a revelar</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3436D400" w14:textId="77777777" w:rsidR="00FD3B47" w:rsidRPr="00FD3B47" w:rsidRDefault="00FD3B47" w:rsidP="00D16719">
            <w:pPr>
              <w:rPr>
                <w:rFonts w:ascii="Arial Narrow" w:eastAsia="Times New Roman" w:hAnsi="Arial Narrow" w:cs="Calibri"/>
                <w:b/>
                <w:bCs/>
                <w:color w:val="000000"/>
                <w:sz w:val="22"/>
                <w:szCs w:val="22"/>
                <w:lang w:val="es-CR"/>
              </w:rPr>
            </w:pPr>
            <w:r w:rsidRPr="00FD3B47">
              <w:rPr>
                <w:rFonts w:ascii="Arial Narrow" w:eastAsia="Times New Roman" w:hAnsi="Arial Narrow" w:cs="Calibri"/>
                <w:b/>
                <w:bCs/>
                <w:color w:val="000000"/>
                <w:sz w:val="22"/>
                <w:szCs w:val="22"/>
                <w:lang w:val="es-CR"/>
              </w:rPr>
              <w:t>NICSP N° 31,</w:t>
            </w:r>
            <w:r w:rsidRPr="00FD3B47">
              <w:rPr>
                <w:rFonts w:ascii="Arial Narrow" w:eastAsia="Times New Roman" w:hAnsi="Arial Narrow" w:cs="Calibri"/>
                <w:b/>
                <w:bCs/>
                <w:color w:val="000000"/>
                <w:sz w:val="22"/>
                <w:szCs w:val="22"/>
                <w:lang w:val="es-CR"/>
              </w:rPr>
              <w:br/>
              <w:t>Párrafo 117 a 122 y 127.</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366FE376" w14:textId="77777777" w:rsidR="00FD3B47" w:rsidRPr="00FD3B47" w:rsidRDefault="00FD3B47" w:rsidP="00D16719">
            <w:pPr>
              <w:jc w:val="center"/>
              <w:rPr>
                <w:rFonts w:ascii="Arial Narrow" w:eastAsia="Times New Roman" w:hAnsi="Arial Narrow" w:cs="Calibri"/>
                <w:b/>
                <w:bCs/>
                <w:color w:val="000000"/>
                <w:sz w:val="22"/>
                <w:szCs w:val="22"/>
              </w:rPr>
            </w:pPr>
            <w:r w:rsidRPr="00FD3B47">
              <w:rPr>
                <w:rFonts w:ascii="Arial Narrow" w:eastAsia="Times New Roman" w:hAnsi="Arial Narrow" w:cs="Calibri"/>
                <w:b/>
                <w:bCs/>
                <w:color w:val="000000"/>
                <w:sz w:val="22"/>
                <w:szCs w:val="22"/>
              </w:rPr>
              <w:t>DGCN</w:t>
            </w:r>
          </w:p>
        </w:tc>
      </w:tr>
    </w:tbl>
    <w:p w14:paraId="2F7B7B7C"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0935ABD9" w14:textId="6B0E64DE" w:rsidR="005E1D63" w:rsidRDefault="005E1D63"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5BED6582" w14:textId="77777777" w:rsidR="005E1D63" w:rsidRDefault="005E1D63" w:rsidP="00FD3B47">
      <w:pPr>
        <w:spacing w:line="238" w:lineRule="auto"/>
        <w:ind w:left="1134" w:right="260" w:hanging="1134"/>
        <w:jc w:val="both"/>
        <w:rPr>
          <w:rFonts w:ascii="Arial Narrow" w:eastAsia="Arial" w:hAnsi="Arial Narrow"/>
          <w:b/>
          <w:sz w:val="22"/>
          <w:szCs w:val="22"/>
          <w:lang w:val="es-CR"/>
        </w:rPr>
      </w:pPr>
    </w:p>
    <w:p w14:paraId="7EEDD307" w14:textId="60D46B66" w:rsidR="00FD3B47" w:rsidRDefault="00FD3B47" w:rsidP="005E1D63">
      <w:pPr>
        <w:spacing w:line="237" w:lineRule="auto"/>
        <w:ind w:left="1134" w:right="260" w:hanging="1134"/>
        <w:jc w:val="both"/>
        <w:rPr>
          <w:rFonts w:ascii="Arial" w:hAnsi="Arial"/>
          <w:sz w:val="22"/>
          <w:szCs w:val="22"/>
          <w:lang w:val="es-CR"/>
        </w:rPr>
      </w:pPr>
      <w:r>
        <w:rPr>
          <w:rFonts w:ascii="Arial" w:hAnsi="Arial"/>
          <w:sz w:val="22"/>
          <w:szCs w:val="22"/>
          <w:lang w:val="es-CR"/>
        </w:rPr>
        <w:t>1.262.0.01</w:t>
      </w:r>
      <w:r>
        <w:rPr>
          <w:rFonts w:ascii="Arial" w:hAnsi="Arial"/>
          <w:sz w:val="22"/>
          <w:szCs w:val="22"/>
          <w:lang w:val="es-CR"/>
        </w:rPr>
        <w:tab/>
      </w:r>
      <w:r w:rsidRPr="00990BAF">
        <w:rPr>
          <w:rFonts w:ascii="Arial" w:hAnsi="Arial"/>
          <w:sz w:val="22"/>
          <w:szCs w:val="22"/>
          <w:lang w:val="es-CR"/>
        </w:rPr>
        <w:t xml:space="preserve">En los EEFF deberá revelarse la siguiente información, </w:t>
      </w:r>
      <w:r>
        <w:rPr>
          <w:rFonts w:ascii="Arial" w:hAnsi="Arial"/>
          <w:sz w:val="22"/>
          <w:szCs w:val="22"/>
          <w:lang w:val="es-CR"/>
        </w:rPr>
        <w:t>clasificada</w:t>
      </w:r>
      <w:r w:rsidRPr="00990BAF">
        <w:rPr>
          <w:rFonts w:ascii="Arial" w:hAnsi="Arial"/>
          <w:sz w:val="22"/>
          <w:szCs w:val="22"/>
          <w:lang w:val="es-CR"/>
        </w:rPr>
        <w:t xml:space="preserve"> por </w:t>
      </w:r>
      <w:r>
        <w:rPr>
          <w:rFonts w:ascii="Arial" w:hAnsi="Arial"/>
          <w:sz w:val="22"/>
          <w:szCs w:val="22"/>
          <w:lang w:val="es-CR"/>
        </w:rPr>
        <w:t>tipos</w:t>
      </w:r>
      <w:r w:rsidRPr="00990BAF">
        <w:rPr>
          <w:rFonts w:ascii="Arial" w:hAnsi="Arial"/>
          <w:sz w:val="22"/>
          <w:szCs w:val="22"/>
          <w:lang w:val="es-CR"/>
        </w:rPr>
        <w:t xml:space="preserve"> de activos intangibles (marcas, programas y aplicaciones informáticas, licencias, derechos de propiedad intelectual, entre otros), distinguiendo entre los activos que se hayan generado internamente y los demás</w:t>
      </w:r>
      <w:r w:rsidR="005E1D63">
        <w:rPr>
          <w:rFonts w:ascii="Arial" w:hAnsi="Arial"/>
          <w:sz w:val="22"/>
          <w:szCs w:val="22"/>
          <w:lang w:val="es-CR"/>
        </w:rPr>
        <w:t xml:space="preserve">. </w:t>
      </w:r>
      <w:r w:rsidR="005E1D63" w:rsidRPr="005E1D63">
        <w:rPr>
          <w:rFonts w:ascii="Arial" w:hAnsi="Arial"/>
          <w:sz w:val="22"/>
          <w:szCs w:val="22"/>
          <w:lang w:val="es-CR"/>
        </w:rPr>
        <w:t>Si las</w:t>
      </w:r>
      <w:r w:rsidRPr="005E1D63">
        <w:rPr>
          <w:rFonts w:ascii="Arial" w:hAnsi="Arial"/>
          <w:sz w:val="22"/>
          <w:szCs w:val="22"/>
          <w:lang w:val="es-CR"/>
        </w:rPr>
        <w:t xml:space="preserve"> vidas útiles son indefinidas o finitas, indicando, además:</w:t>
      </w:r>
    </w:p>
    <w:p w14:paraId="0B78BE9B" w14:textId="77777777" w:rsidR="005E1D63" w:rsidRPr="005E1D63" w:rsidRDefault="005E1D63" w:rsidP="005E1D63">
      <w:pPr>
        <w:spacing w:line="237" w:lineRule="auto"/>
        <w:ind w:left="1134" w:right="260" w:hanging="1134"/>
        <w:jc w:val="both"/>
        <w:rPr>
          <w:rFonts w:ascii="Arial" w:hAnsi="Arial"/>
          <w:sz w:val="22"/>
          <w:szCs w:val="22"/>
          <w:lang w:val="es-CR"/>
        </w:rPr>
      </w:pPr>
    </w:p>
    <w:p w14:paraId="2EAA6247" w14:textId="30C8B561" w:rsidR="00FD3B47" w:rsidRPr="00990BAF" w:rsidRDefault="00FD3B47" w:rsidP="005E1D63">
      <w:pPr>
        <w:pStyle w:val="Default"/>
        <w:numPr>
          <w:ilvl w:val="0"/>
          <w:numId w:val="115"/>
        </w:numPr>
        <w:spacing w:after="120"/>
        <w:ind w:left="1418" w:hanging="284"/>
        <w:jc w:val="both"/>
        <w:rPr>
          <w:sz w:val="22"/>
          <w:szCs w:val="22"/>
          <w:lang w:val="es-CR"/>
        </w:rPr>
      </w:pPr>
      <w:r>
        <w:rPr>
          <w:sz w:val="22"/>
          <w:szCs w:val="22"/>
          <w:lang w:val="es-CR"/>
        </w:rPr>
        <w:lastRenderedPageBreak/>
        <w:t>Los de vida indefinida</w:t>
      </w:r>
      <w:r w:rsidRPr="00990BAF">
        <w:rPr>
          <w:sz w:val="22"/>
          <w:szCs w:val="22"/>
          <w:lang w:val="es-CR"/>
        </w:rPr>
        <w:t xml:space="preserve">, el o los factores que han jugado un papel importante en la determinación de que el activo intangible tiene una vida útil indefinida; </w:t>
      </w:r>
    </w:p>
    <w:p w14:paraId="5989037A" w14:textId="77777777" w:rsidR="00FD3B47" w:rsidRDefault="00FD3B47" w:rsidP="005E1D63">
      <w:pPr>
        <w:pStyle w:val="Default"/>
        <w:numPr>
          <w:ilvl w:val="0"/>
          <w:numId w:val="115"/>
        </w:numPr>
        <w:spacing w:after="120"/>
        <w:ind w:left="1418" w:hanging="284"/>
        <w:jc w:val="both"/>
        <w:rPr>
          <w:sz w:val="22"/>
          <w:szCs w:val="22"/>
          <w:lang w:val="es-CR"/>
        </w:rPr>
      </w:pPr>
      <w:r>
        <w:rPr>
          <w:sz w:val="22"/>
          <w:szCs w:val="22"/>
          <w:lang w:val="es-CR"/>
        </w:rPr>
        <w:t>Los de vida finita</w:t>
      </w:r>
      <w:r w:rsidRPr="00990BAF">
        <w:rPr>
          <w:sz w:val="22"/>
          <w:szCs w:val="22"/>
          <w:lang w:val="es-CR"/>
        </w:rPr>
        <w:t xml:space="preserve">, las vidas útiles o las tasas de amortización utilizadas; </w:t>
      </w:r>
    </w:p>
    <w:p w14:paraId="44CB707B" w14:textId="77777777" w:rsidR="00FD3B47" w:rsidRDefault="00FD3B47" w:rsidP="005E1D63">
      <w:pPr>
        <w:pStyle w:val="Default"/>
        <w:numPr>
          <w:ilvl w:val="0"/>
          <w:numId w:val="115"/>
        </w:numPr>
        <w:spacing w:after="120"/>
        <w:ind w:left="1418" w:hanging="284"/>
        <w:jc w:val="both"/>
        <w:rPr>
          <w:sz w:val="22"/>
          <w:szCs w:val="22"/>
          <w:lang w:val="es-CR"/>
        </w:rPr>
      </w:pPr>
      <w:r>
        <w:rPr>
          <w:sz w:val="22"/>
          <w:szCs w:val="22"/>
          <w:lang w:val="es-CR"/>
        </w:rPr>
        <w:t>L</w:t>
      </w:r>
      <w:r w:rsidRPr="00990BAF">
        <w:rPr>
          <w:sz w:val="22"/>
          <w:szCs w:val="22"/>
          <w:lang w:val="es-CR"/>
        </w:rPr>
        <w:t>os métodos de amortización utilizados para los activos intangibles con vidas útiles finitas;</w:t>
      </w:r>
    </w:p>
    <w:p w14:paraId="600079B2" w14:textId="77777777" w:rsidR="00FD3B47" w:rsidRDefault="00FD3B47" w:rsidP="005E1D63">
      <w:pPr>
        <w:pStyle w:val="Default"/>
        <w:numPr>
          <w:ilvl w:val="0"/>
          <w:numId w:val="115"/>
        </w:numPr>
        <w:spacing w:after="120"/>
        <w:ind w:left="1418" w:hanging="284"/>
        <w:jc w:val="both"/>
        <w:rPr>
          <w:sz w:val="22"/>
          <w:szCs w:val="22"/>
          <w:lang w:val="es-CR"/>
        </w:rPr>
      </w:pPr>
      <w:r w:rsidRPr="0078076A">
        <w:rPr>
          <w:sz w:val="22"/>
          <w:szCs w:val="22"/>
          <w:lang w:val="es-CR"/>
        </w:rPr>
        <w:t>El importe en libros bruto y la amortización acumulada (junto con el importe acumulado de las pérdidas por deterioro del valor), tanto al principio como al final de cada período;</w:t>
      </w:r>
    </w:p>
    <w:p w14:paraId="57C60D84" w14:textId="77777777" w:rsidR="00FD3B47" w:rsidRDefault="00FD3B47" w:rsidP="005E1D63">
      <w:pPr>
        <w:pStyle w:val="Default"/>
        <w:numPr>
          <w:ilvl w:val="0"/>
          <w:numId w:val="115"/>
        </w:numPr>
        <w:spacing w:after="120"/>
        <w:ind w:left="1418" w:hanging="284"/>
        <w:jc w:val="both"/>
        <w:rPr>
          <w:sz w:val="22"/>
          <w:szCs w:val="22"/>
          <w:lang w:val="es-CR"/>
        </w:rPr>
      </w:pPr>
      <w:r w:rsidRPr="0078076A">
        <w:rPr>
          <w:sz w:val="22"/>
          <w:szCs w:val="22"/>
          <w:lang w:val="es-CR"/>
        </w:rPr>
        <w:t>La partida o partidas del EEFF, en las que está incluida la amortización de los activos intangibles;</w:t>
      </w:r>
    </w:p>
    <w:p w14:paraId="24E7D9B1" w14:textId="77777777" w:rsidR="00FD3B47" w:rsidRDefault="00FD3B47" w:rsidP="005E1D63">
      <w:pPr>
        <w:pStyle w:val="Default"/>
        <w:numPr>
          <w:ilvl w:val="0"/>
          <w:numId w:val="115"/>
        </w:numPr>
        <w:spacing w:after="120"/>
        <w:ind w:left="1418" w:hanging="284"/>
        <w:jc w:val="both"/>
        <w:rPr>
          <w:sz w:val="22"/>
          <w:szCs w:val="22"/>
          <w:lang w:val="es-CR"/>
        </w:rPr>
      </w:pPr>
      <w:r w:rsidRPr="0078076A">
        <w:rPr>
          <w:sz w:val="22"/>
          <w:szCs w:val="22"/>
          <w:lang w:val="es-CR"/>
        </w:rPr>
        <w:t>Una conciliación entre los valores en libros al principio y al final del período, mostrando:</w:t>
      </w:r>
    </w:p>
    <w:p w14:paraId="5C883BA1" w14:textId="77777777" w:rsidR="00FD3B47" w:rsidRPr="00990BAF" w:rsidRDefault="00FD3B47">
      <w:pPr>
        <w:pStyle w:val="Default"/>
        <w:numPr>
          <w:ilvl w:val="0"/>
          <w:numId w:val="117"/>
        </w:numPr>
        <w:spacing w:after="120"/>
        <w:ind w:left="1843" w:hanging="142"/>
        <w:jc w:val="both"/>
        <w:rPr>
          <w:sz w:val="22"/>
          <w:szCs w:val="22"/>
          <w:lang w:val="es-CR"/>
        </w:rPr>
      </w:pPr>
      <w:r>
        <w:rPr>
          <w:sz w:val="22"/>
          <w:szCs w:val="22"/>
          <w:lang w:val="es-CR"/>
        </w:rPr>
        <w:t>L</w:t>
      </w:r>
      <w:r w:rsidRPr="00990BAF">
        <w:rPr>
          <w:sz w:val="22"/>
          <w:szCs w:val="22"/>
          <w:lang w:val="es-CR"/>
        </w:rPr>
        <w:t xml:space="preserve">os incrementos, con indicación separada de los que procedan de desarrollos internos y de aquéllos adquiridos por separado; </w:t>
      </w:r>
    </w:p>
    <w:p w14:paraId="7164716B" w14:textId="77777777" w:rsidR="00FD3B47" w:rsidRPr="00990BAF" w:rsidRDefault="00FD3B47">
      <w:pPr>
        <w:pStyle w:val="Default"/>
        <w:numPr>
          <w:ilvl w:val="0"/>
          <w:numId w:val="117"/>
        </w:numPr>
        <w:spacing w:after="120"/>
        <w:ind w:left="1843" w:hanging="142"/>
        <w:jc w:val="both"/>
        <w:rPr>
          <w:sz w:val="22"/>
          <w:szCs w:val="22"/>
          <w:lang w:val="es-CR"/>
        </w:rPr>
      </w:pPr>
      <w:r>
        <w:rPr>
          <w:sz w:val="22"/>
          <w:szCs w:val="22"/>
          <w:lang w:val="es-CR"/>
        </w:rPr>
        <w:t>L</w:t>
      </w:r>
      <w:r w:rsidRPr="00990BAF">
        <w:rPr>
          <w:sz w:val="22"/>
          <w:szCs w:val="22"/>
          <w:lang w:val="es-CR"/>
        </w:rPr>
        <w:t xml:space="preserve">os activos clasificados como mantenidos para la venta o incluidos en un grupo de activos para su disposición clasificado como mantenido para la venta, de acuerdo con la normativa contable nacional e internacional aplicable que trate de los activos no corrientes mantenidos para la venta y operaciones discontinuadas, así como otras disposiciones; </w:t>
      </w:r>
    </w:p>
    <w:p w14:paraId="355FFF39" w14:textId="77777777" w:rsidR="00FD3B47" w:rsidRPr="00990BAF" w:rsidRDefault="00FD3B47">
      <w:pPr>
        <w:pStyle w:val="Default"/>
        <w:numPr>
          <w:ilvl w:val="0"/>
          <w:numId w:val="117"/>
        </w:numPr>
        <w:spacing w:after="120"/>
        <w:ind w:left="1843" w:hanging="142"/>
        <w:jc w:val="both"/>
        <w:rPr>
          <w:sz w:val="22"/>
          <w:szCs w:val="22"/>
          <w:lang w:val="es-CR"/>
        </w:rPr>
      </w:pPr>
      <w:r>
        <w:rPr>
          <w:sz w:val="22"/>
          <w:szCs w:val="22"/>
          <w:lang w:val="es-CR"/>
        </w:rPr>
        <w:t>L</w:t>
      </w:r>
      <w:r w:rsidRPr="00990BAF">
        <w:rPr>
          <w:sz w:val="22"/>
          <w:szCs w:val="22"/>
          <w:lang w:val="es-CR"/>
        </w:rPr>
        <w:t xml:space="preserve">os incrementos o disminuciones, durante el período, procedentes de revaluaciones efectuadas; </w:t>
      </w:r>
    </w:p>
    <w:p w14:paraId="3ECEF02B" w14:textId="77777777" w:rsidR="00FD3B47" w:rsidRPr="00990BAF" w:rsidRDefault="00FD3B47">
      <w:pPr>
        <w:pStyle w:val="Default"/>
        <w:numPr>
          <w:ilvl w:val="0"/>
          <w:numId w:val="117"/>
        </w:numPr>
        <w:spacing w:after="120"/>
        <w:ind w:left="1843" w:hanging="142"/>
        <w:jc w:val="both"/>
        <w:rPr>
          <w:sz w:val="22"/>
          <w:szCs w:val="22"/>
          <w:lang w:val="es-CR"/>
        </w:rPr>
      </w:pPr>
      <w:r>
        <w:rPr>
          <w:sz w:val="22"/>
          <w:szCs w:val="22"/>
          <w:lang w:val="es-CR"/>
        </w:rPr>
        <w:t>L</w:t>
      </w:r>
      <w:r w:rsidRPr="00990BAF">
        <w:rPr>
          <w:sz w:val="22"/>
          <w:szCs w:val="22"/>
          <w:lang w:val="es-CR"/>
        </w:rPr>
        <w:t xml:space="preserve">as pérdidas por deterioro del valor reconocidas en el resultado, identificando los activos afectados y si los mismos son o no generadores de efectivo; </w:t>
      </w:r>
    </w:p>
    <w:p w14:paraId="23E07FE2" w14:textId="77777777" w:rsidR="00FD3B47" w:rsidRPr="00990BAF" w:rsidRDefault="00FD3B47">
      <w:pPr>
        <w:pStyle w:val="Default"/>
        <w:numPr>
          <w:ilvl w:val="0"/>
          <w:numId w:val="117"/>
        </w:numPr>
        <w:spacing w:after="120"/>
        <w:ind w:left="1843" w:hanging="142"/>
        <w:jc w:val="both"/>
        <w:rPr>
          <w:sz w:val="22"/>
          <w:szCs w:val="22"/>
          <w:lang w:val="es-CR"/>
        </w:rPr>
      </w:pPr>
      <w:r>
        <w:rPr>
          <w:sz w:val="22"/>
          <w:szCs w:val="22"/>
          <w:lang w:val="es-CR"/>
        </w:rPr>
        <w:t>L</w:t>
      </w:r>
      <w:r w:rsidRPr="00990BAF">
        <w:rPr>
          <w:sz w:val="22"/>
          <w:szCs w:val="22"/>
          <w:lang w:val="es-CR"/>
        </w:rPr>
        <w:t xml:space="preserve">as reversiones de deterioros reconocidas durante el período en el resultado; </w:t>
      </w:r>
    </w:p>
    <w:p w14:paraId="7696C7E8" w14:textId="77777777" w:rsidR="00FD3B47" w:rsidRPr="00990BAF" w:rsidRDefault="00FD3B47">
      <w:pPr>
        <w:pStyle w:val="Default"/>
        <w:numPr>
          <w:ilvl w:val="0"/>
          <w:numId w:val="117"/>
        </w:numPr>
        <w:spacing w:after="120"/>
        <w:ind w:left="1843" w:hanging="142"/>
        <w:jc w:val="both"/>
        <w:rPr>
          <w:sz w:val="22"/>
          <w:szCs w:val="22"/>
          <w:lang w:val="es-CR"/>
        </w:rPr>
      </w:pPr>
      <w:r>
        <w:rPr>
          <w:sz w:val="22"/>
          <w:szCs w:val="22"/>
          <w:lang w:val="es-CR"/>
        </w:rPr>
        <w:t>E</w:t>
      </w:r>
      <w:r w:rsidRPr="00990BAF">
        <w:rPr>
          <w:sz w:val="22"/>
          <w:szCs w:val="22"/>
          <w:lang w:val="es-CR"/>
        </w:rPr>
        <w:t xml:space="preserve">l importe de la amortización reconocida durante el período; </w:t>
      </w:r>
    </w:p>
    <w:p w14:paraId="11800213" w14:textId="45AC93A0" w:rsidR="00FD3B47" w:rsidRDefault="00FD3B47">
      <w:pPr>
        <w:pStyle w:val="Default"/>
        <w:numPr>
          <w:ilvl w:val="0"/>
          <w:numId w:val="117"/>
        </w:numPr>
        <w:spacing w:after="120"/>
        <w:ind w:left="1843" w:hanging="142"/>
        <w:jc w:val="both"/>
        <w:rPr>
          <w:sz w:val="22"/>
          <w:szCs w:val="22"/>
          <w:lang w:val="es-CR"/>
        </w:rPr>
      </w:pPr>
      <w:r>
        <w:rPr>
          <w:sz w:val="22"/>
          <w:szCs w:val="22"/>
          <w:lang w:val="es-CR"/>
        </w:rPr>
        <w:t>L</w:t>
      </w:r>
      <w:r w:rsidRPr="00990BAF">
        <w:rPr>
          <w:sz w:val="22"/>
          <w:szCs w:val="22"/>
          <w:lang w:val="es-CR"/>
        </w:rPr>
        <w:t xml:space="preserve">as diferencias netas de </w:t>
      </w:r>
      <w:r w:rsidR="0021354A" w:rsidRPr="00990BAF">
        <w:rPr>
          <w:sz w:val="22"/>
          <w:szCs w:val="22"/>
          <w:lang w:val="es-CR"/>
        </w:rPr>
        <w:t>ca</w:t>
      </w:r>
      <w:r w:rsidR="0021354A">
        <w:rPr>
          <w:sz w:val="22"/>
          <w:szCs w:val="22"/>
          <w:lang w:val="es-CR"/>
        </w:rPr>
        <w:t>mbi</w:t>
      </w:r>
      <w:r w:rsidR="0021354A" w:rsidRPr="00990BAF">
        <w:rPr>
          <w:sz w:val="22"/>
          <w:szCs w:val="22"/>
          <w:lang w:val="es-CR"/>
        </w:rPr>
        <w:t>o</w:t>
      </w:r>
      <w:r w:rsidRPr="00990BAF">
        <w:rPr>
          <w:sz w:val="22"/>
          <w:szCs w:val="22"/>
          <w:lang w:val="es-CR"/>
        </w:rPr>
        <w:t xml:space="preserve"> derivadas de la conversión de EEFF a la moneda de presentación, y de la conversión de un negocio en el extranjero a la moneda de presentación de la entidad; y</w:t>
      </w:r>
    </w:p>
    <w:p w14:paraId="7D1736CD" w14:textId="1A450978" w:rsidR="00FD3B47" w:rsidRPr="00DB64CF" w:rsidRDefault="00FD3B47">
      <w:pPr>
        <w:pStyle w:val="Default"/>
        <w:numPr>
          <w:ilvl w:val="0"/>
          <w:numId w:val="117"/>
        </w:numPr>
        <w:spacing w:after="120"/>
        <w:ind w:left="1843" w:hanging="142"/>
        <w:jc w:val="both"/>
        <w:rPr>
          <w:sz w:val="22"/>
          <w:szCs w:val="22"/>
          <w:lang w:val="es-CR"/>
        </w:rPr>
      </w:pPr>
      <w:r w:rsidRPr="0021756A">
        <w:rPr>
          <w:color w:val="auto"/>
          <w:sz w:val="22"/>
          <w:szCs w:val="22"/>
          <w:lang w:val="es-CR"/>
        </w:rPr>
        <w:t xml:space="preserve">Otros </w:t>
      </w:r>
      <w:r w:rsidR="0021354A" w:rsidRPr="0021756A">
        <w:rPr>
          <w:color w:val="auto"/>
          <w:sz w:val="22"/>
          <w:szCs w:val="22"/>
          <w:lang w:val="es-CR"/>
        </w:rPr>
        <w:t>ca</w:t>
      </w:r>
      <w:r w:rsidR="0021354A">
        <w:rPr>
          <w:color w:val="auto"/>
          <w:sz w:val="22"/>
          <w:szCs w:val="22"/>
          <w:lang w:val="es-CR"/>
        </w:rPr>
        <w:t>mbi</w:t>
      </w:r>
      <w:r w:rsidR="0021354A" w:rsidRPr="0021756A">
        <w:rPr>
          <w:color w:val="auto"/>
          <w:sz w:val="22"/>
          <w:szCs w:val="22"/>
          <w:lang w:val="es-CR"/>
        </w:rPr>
        <w:t>os</w:t>
      </w:r>
      <w:r w:rsidRPr="0021756A">
        <w:rPr>
          <w:color w:val="auto"/>
          <w:sz w:val="22"/>
          <w:szCs w:val="22"/>
          <w:lang w:val="es-CR"/>
        </w:rPr>
        <w:t xml:space="preserve"> en el importe en libros durante el período; </w:t>
      </w:r>
    </w:p>
    <w:p w14:paraId="1B2AFFB3" w14:textId="4B05EFA8" w:rsidR="00FD3B47" w:rsidRPr="00DB64CF" w:rsidRDefault="00FD3B47" w:rsidP="005E1D63">
      <w:pPr>
        <w:pStyle w:val="Default"/>
        <w:numPr>
          <w:ilvl w:val="0"/>
          <w:numId w:val="115"/>
        </w:numPr>
        <w:spacing w:after="120"/>
        <w:ind w:left="1418" w:hanging="284"/>
        <w:jc w:val="both"/>
        <w:rPr>
          <w:color w:val="auto"/>
          <w:sz w:val="22"/>
          <w:szCs w:val="22"/>
          <w:lang w:val="es-CR"/>
        </w:rPr>
      </w:pPr>
      <w:r w:rsidRPr="0021756A">
        <w:rPr>
          <w:color w:val="auto"/>
          <w:sz w:val="22"/>
          <w:szCs w:val="22"/>
          <w:lang w:val="es-CR"/>
        </w:rPr>
        <w:t xml:space="preserve">Revelará </w:t>
      </w:r>
      <w:r w:rsidRPr="005E1D63">
        <w:rPr>
          <w:sz w:val="22"/>
          <w:szCs w:val="22"/>
          <w:lang w:val="es-CR"/>
        </w:rPr>
        <w:t>información</w:t>
      </w:r>
      <w:r w:rsidRPr="0021756A">
        <w:rPr>
          <w:color w:val="auto"/>
          <w:sz w:val="22"/>
          <w:szCs w:val="22"/>
          <w:lang w:val="es-CR"/>
        </w:rPr>
        <w:t xml:space="preserve"> sobre la naturaleza y efecto de un </w:t>
      </w:r>
      <w:r w:rsidR="0021354A" w:rsidRPr="0021756A">
        <w:rPr>
          <w:color w:val="auto"/>
          <w:sz w:val="22"/>
          <w:szCs w:val="22"/>
          <w:lang w:val="es-CR"/>
        </w:rPr>
        <w:t>ca</w:t>
      </w:r>
      <w:r w:rsidR="0021354A">
        <w:rPr>
          <w:color w:val="auto"/>
          <w:sz w:val="22"/>
          <w:szCs w:val="22"/>
          <w:lang w:val="es-CR"/>
        </w:rPr>
        <w:t>mbi</w:t>
      </w:r>
      <w:r w:rsidR="0021354A" w:rsidRPr="0021756A">
        <w:rPr>
          <w:color w:val="auto"/>
          <w:sz w:val="22"/>
          <w:szCs w:val="22"/>
          <w:lang w:val="es-CR"/>
        </w:rPr>
        <w:t>o</w:t>
      </w:r>
      <w:r w:rsidRPr="0021756A">
        <w:rPr>
          <w:color w:val="auto"/>
          <w:sz w:val="22"/>
          <w:szCs w:val="22"/>
          <w:lang w:val="es-CR"/>
        </w:rPr>
        <w:t xml:space="preserve"> en las estimaciones contables que tengan un efecto significativo en el período corriente, o que se espera que tengan repercusión significativa en períodos futuros. Esta información por revelar puede surgir por </w:t>
      </w:r>
      <w:r w:rsidR="0021354A" w:rsidRPr="0021756A">
        <w:rPr>
          <w:color w:val="auto"/>
          <w:sz w:val="22"/>
          <w:szCs w:val="22"/>
          <w:lang w:val="es-CR"/>
        </w:rPr>
        <w:t>ca</w:t>
      </w:r>
      <w:r w:rsidR="0021354A">
        <w:rPr>
          <w:color w:val="auto"/>
          <w:sz w:val="22"/>
          <w:szCs w:val="22"/>
          <w:lang w:val="es-CR"/>
        </w:rPr>
        <w:t>mbi</w:t>
      </w:r>
      <w:r w:rsidR="0021354A" w:rsidRPr="0021756A">
        <w:rPr>
          <w:color w:val="auto"/>
          <w:sz w:val="22"/>
          <w:szCs w:val="22"/>
          <w:lang w:val="es-CR"/>
        </w:rPr>
        <w:t>os</w:t>
      </w:r>
      <w:r w:rsidRPr="0021756A">
        <w:rPr>
          <w:color w:val="auto"/>
          <w:sz w:val="22"/>
          <w:szCs w:val="22"/>
          <w:lang w:val="es-CR"/>
        </w:rPr>
        <w:t xml:space="preserve"> en:</w:t>
      </w:r>
    </w:p>
    <w:p w14:paraId="5BA04646" w14:textId="77777777" w:rsidR="00FD3B47" w:rsidRPr="0021756A" w:rsidRDefault="00FD3B47">
      <w:pPr>
        <w:pStyle w:val="Default"/>
        <w:numPr>
          <w:ilvl w:val="0"/>
          <w:numId w:val="118"/>
        </w:numPr>
        <w:spacing w:after="120"/>
        <w:ind w:left="1843" w:hanging="142"/>
        <w:jc w:val="both"/>
        <w:rPr>
          <w:color w:val="auto"/>
          <w:sz w:val="22"/>
          <w:szCs w:val="22"/>
          <w:lang w:val="es-CR"/>
        </w:rPr>
      </w:pPr>
      <w:r w:rsidRPr="0021756A">
        <w:rPr>
          <w:color w:val="auto"/>
          <w:sz w:val="22"/>
          <w:szCs w:val="22"/>
          <w:lang w:val="es-CR"/>
        </w:rPr>
        <w:t xml:space="preserve">La evaluación de la vida útil de un activo intangible; </w:t>
      </w:r>
    </w:p>
    <w:p w14:paraId="2EB4D9E0" w14:textId="77777777" w:rsidR="00FD3B47" w:rsidRPr="0021756A" w:rsidRDefault="00FD3B47">
      <w:pPr>
        <w:pStyle w:val="Default"/>
        <w:numPr>
          <w:ilvl w:val="0"/>
          <w:numId w:val="118"/>
        </w:numPr>
        <w:spacing w:after="120"/>
        <w:ind w:left="1843" w:hanging="142"/>
        <w:jc w:val="both"/>
        <w:rPr>
          <w:color w:val="auto"/>
          <w:sz w:val="22"/>
          <w:szCs w:val="22"/>
          <w:lang w:val="es-CR"/>
        </w:rPr>
      </w:pPr>
      <w:r w:rsidRPr="0021756A">
        <w:rPr>
          <w:color w:val="auto"/>
          <w:sz w:val="22"/>
          <w:szCs w:val="22"/>
          <w:lang w:val="es-CR"/>
        </w:rPr>
        <w:t xml:space="preserve">El método de amortización; o </w:t>
      </w:r>
    </w:p>
    <w:p w14:paraId="6B17362C" w14:textId="77777777" w:rsidR="00FD3B47" w:rsidRPr="0021756A" w:rsidRDefault="00FD3B47">
      <w:pPr>
        <w:pStyle w:val="Default"/>
        <w:numPr>
          <w:ilvl w:val="0"/>
          <w:numId w:val="118"/>
        </w:numPr>
        <w:spacing w:after="120"/>
        <w:ind w:left="1843" w:hanging="142"/>
        <w:jc w:val="both"/>
        <w:rPr>
          <w:color w:val="auto"/>
          <w:sz w:val="22"/>
          <w:szCs w:val="22"/>
          <w:lang w:val="es-CR"/>
        </w:rPr>
      </w:pPr>
      <w:r w:rsidRPr="0021756A">
        <w:rPr>
          <w:color w:val="auto"/>
          <w:sz w:val="22"/>
          <w:szCs w:val="22"/>
          <w:lang w:val="es-CR"/>
        </w:rPr>
        <w:t>Valores residuales;</w:t>
      </w:r>
    </w:p>
    <w:p w14:paraId="5F2F7994" w14:textId="63589E19" w:rsidR="00FD3B47" w:rsidRPr="00DB64CF" w:rsidRDefault="00FD3B47" w:rsidP="005E1D63">
      <w:pPr>
        <w:pStyle w:val="Default"/>
        <w:numPr>
          <w:ilvl w:val="0"/>
          <w:numId w:val="115"/>
        </w:numPr>
        <w:spacing w:after="120"/>
        <w:ind w:left="1418" w:hanging="284"/>
        <w:jc w:val="both"/>
        <w:rPr>
          <w:color w:val="auto"/>
          <w:sz w:val="22"/>
          <w:szCs w:val="22"/>
          <w:lang w:val="es-CR"/>
        </w:rPr>
      </w:pPr>
      <w:r w:rsidRPr="0021756A">
        <w:rPr>
          <w:color w:val="auto"/>
          <w:sz w:val="22"/>
          <w:szCs w:val="22"/>
          <w:lang w:val="es-CR"/>
        </w:rPr>
        <w:t>Si se cuenta con la información, se podrá exponer la siguiente información:</w:t>
      </w:r>
    </w:p>
    <w:p w14:paraId="3B580107" w14:textId="77777777" w:rsidR="00FD3B47" w:rsidRPr="0021756A" w:rsidRDefault="00FD3B47">
      <w:pPr>
        <w:pStyle w:val="Default"/>
        <w:numPr>
          <w:ilvl w:val="0"/>
          <w:numId w:val="119"/>
        </w:numPr>
        <w:spacing w:after="120"/>
        <w:ind w:left="1843" w:hanging="142"/>
        <w:jc w:val="both"/>
        <w:rPr>
          <w:color w:val="auto"/>
          <w:sz w:val="22"/>
          <w:szCs w:val="22"/>
          <w:lang w:val="es-CR"/>
        </w:rPr>
      </w:pPr>
      <w:r w:rsidRPr="0021756A">
        <w:rPr>
          <w:color w:val="auto"/>
          <w:sz w:val="22"/>
          <w:szCs w:val="22"/>
          <w:lang w:val="es-CR"/>
        </w:rPr>
        <w:t xml:space="preserve">Una descripción de los activos intangibles completamente amortizados que se encuentren todavía en uso: y </w:t>
      </w:r>
    </w:p>
    <w:p w14:paraId="4C47B91F" w14:textId="166C7754" w:rsidR="00FD3B47" w:rsidRPr="00DB64CF" w:rsidRDefault="00FD3B47">
      <w:pPr>
        <w:pStyle w:val="Default"/>
        <w:numPr>
          <w:ilvl w:val="0"/>
          <w:numId w:val="119"/>
        </w:numPr>
        <w:spacing w:after="120"/>
        <w:ind w:left="1843" w:hanging="142"/>
        <w:jc w:val="both"/>
        <w:rPr>
          <w:color w:val="auto"/>
          <w:sz w:val="22"/>
          <w:szCs w:val="22"/>
          <w:lang w:val="es-CR"/>
        </w:rPr>
      </w:pPr>
      <w:r w:rsidRPr="0021756A">
        <w:rPr>
          <w:color w:val="auto"/>
          <w:sz w:val="22"/>
          <w:szCs w:val="22"/>
          <w:lang w:val="es-CR"/>
        </w:rPr>
        <w:t>Una breve descripción de los activos intangibles significativos controlados por la entidad, pero que no se reconozcan como activos por no cumplir los criterios de reconocimiento fijados en esta Norma;</w:t>
      </w:r>
    </w:p>
    <w:p w14:paraId="69BD8902" w14:textId="0C83F287" w:rsidR="00FD3B47" w:rsidRPr="00DB64CF" w:rsidRDefault="00FD3B47" w:rsidP="005E1D63">
      <w:pPr>
        <w:pStyle w:val="Default"/>
        <w:numPr>
          <w:ilvl w:val="0"/>
          <w:numId w:val="115"/>
        </w:numPr>
        <w:spacing w:after="120"/>
        <w:ind w:left="1418" w:hanging="284"/>
        <w:jc w:val="both"/>
        <w:rPr>
          <w:color w:val="auto"/>
          <w:sz w:val="22"/>
          <w:szCs w:val="22"/>
          <w:lang w:val="es-CR"/>
        </w:rPr>
      </w:pPr>
      <w:r>
        <w:rPr>
          <w:color w:val="auto"/>
          <w:sz w:val="22"/>
          <w:szCs w:val="22"/>
          <w:lang w:val="es-CR"/>
        </w:rPr>
        <w:t>S</w:t>
      </w:r>
      <w:r w:rsidRPr="0021756A">
        <w:rPr>
          <w:color w:val="auto"/>
          <w:sz w:val="22"/>
          <w:szCs w:val="22"/>
          <w:lang w:val="es-CR"/>
        </w:rPr>
        <w:t xml:space="preserve">obre los </w:t>
      </w:r>
      <w:r w:rsidR="0021354A" w:rsidRPr="0021756A">
        <w:rPr>
          <w:color w:val="auto"/>
          <w:sz w:val="22"/>
          <w:szCs w:val="22"/>
          <w:lang w:val="es-CR"/>
        </w:rPr>
        <w:t>dese</w:t>
      </w:r>
      <w:r w:rsidR="0021354A">
        <w:rPr>
          <w:color w:val="auto"/>
          <w:sz w:val="22"/>
          <w:szCs w:val="22"/>
          <w:lang w:val="es-CR"/>
        </w:rPr>
        <w:t>mbo</w:t>
      </w:r>
      <w:r w:rsidR="0021354A" w:rsidRPr="0021756A">
        <w:rPr>
          <w:color w:val="auto"/>
          <w:sz w:val="22"/>
          <w:szCs w:val="22"/>
          <w:lang w:val="es-CR"/>
        </w:rPr>
        <w:t>lsos</w:t>
      </w:r>
      <w:r w:rsidRPr="0021756A">
        <w:rPr>
          <w:color w:val="auto"/>
          <w:sz w:val="22"/>
          <w:szCs w:val="22"/>
          <w:lang w:val="es-CR"/>
        </w:rPr>
        <w:t xml:space="preserve"> por investigación y desarrollo:</w:t>
      </w:r>
    </w:p>
    <w:p w14:paraId="273E1022" w14:textId="3954C29F" w:rsidR="00FD3B47" w:rsidRPr="0021756A" w:rsidRDefault="00FD3B47">
      <w:pPr>
        <w:pStyle w:val="Default"/>
        <w:numPr>
          <w:ilvl w:val="0"/>
          <w:numId w:val="120"/>
        </w:numPr>
        <w:spacing w:after="120"/>
        <w:ind w:left="1843" w:hanging="142"/>
        <w:jc w:val="both"/>
        <w:rPr>
          <w:color w:val="auto"/>
          <w:sz w:val="22"/>
          <w:szCs w:val="22"/>
          <w:lang w:val="es-CR"/>
        </w:rPr>
      </w:pPr>
      <w:r w:rsidRPr="0021756A">
        <w:rPr>
          <w:color w:val="auto"/>
          <w:sz w:val="22"/>
          <w:szCs w:val="22"/>
          <w:lang w:val="es-CR"/>
        </w:rPr>
        <w:t xml:space="preserve">El importe agregado de los </w:t>
      </w:r>
      <w:r w:rsidR="0021354A" w:rsidRPr="0021756A">
        <w:rPr>
          <w:color w:val="auto"/>
          <w:sz w:val="22"/>
          <w:szCs w:val="22"/>
          <w:lang w:val="es-CR"/>
        </w:rPr>
        <w:t>dese</w:t>
      </w:r>
      <w:r w:rsidR="0021354A">
        <w:rPr>
          <w:color w:val="auto"/>
          <w:sz w:val="22"/>
          <w:szCs w:val="22"/>
          <w:lang w:val="es-CR"/>
        </w:rPr>
        <w:t>mbo</w:t>
      </w:r>
      <w:r w:rsidR="0021354A" w:rsidRPr="0021756A">
        <w:rPr>
          <w:color w:val="auto"/>
          <w:sz w:val="22"/>
          <w:szCs w:val="22"/>
          <w:lang w:val="es-CR"/>
        </w:rPr>
        <w:t>lsos</w:t>
      </w:r>
      <w:r w:rsidRPr="0021756A">
        <w:rPr>
          <w:color w:val="auto"/>
          <w:sz w:val="22"/>
          <w:szCs w:val="22"/>
          <w:lang w:val="es-CR"/>
        </w:rPr>
        <w:t xml:space="preserve"> por investigación y desarrollo reconocidos como gastos durante el período; y </w:t>
      </w:r>
    </w:p>
    <w:p w14:paraId="12FDAC3D" w14:textId="77777777" w:rsidR="00FD3B47" w:rsidRPr="0021756A" w:rsidRDefault="00FD3B47">
      <w:pPr>
        <w:pStyle w:val="Default"/>
        <w:numPr>
          <w:ilvl w:val="0"/>
          <w:numId w:val="120"/>
        </w:numPr>
        <w:spacing w:after="120"/>
        <w:ind w:left="1843" w:hanging="142"/>
        <w:jc w:val="both"/>
        <w:rPr>
          <w:color w:val="auto"/>
          <w:sz w:val="22"/>
          <w:szCs w:val="22"/>
          <w:lang w:val="es-CR"/>
        </w:rPr>
      </w:pPr>
      <w:r w:rsidRPr="0021756A">
        <w:rPr>
          <w:color w:val="auto"/>
          <w:sz w:val="22"/>
          <w:szCs w:val="22"/>
          <w:lang w:val="es-CR"/>
        </w:rPr>
        <w:lastRenderedPageBreak/>
        <w:t>Discriminar los que sean directamente atribuibles a las actividades de investigación y a la actividad de desarrollo;</w:t>
      </w:r>
    </w:p>
    <w:p w14:paraId="08E38326" w14:textId="14200565" w:rsidR="00FD3B47" w:rsidRPr="00DB64CF" w:rsidRDefault="00FD3B47" w:rsidP="005E1D63">
      <w:pPr>
        <w:pStyle w:val="Default"/>
        <w:numPr>
          <w:ilvl w:val="0"/>
          <w:numId w:val="115"/>
        </w:numPr>
        <w:spacing w:after="120"/>
        <w:ind w:left="1418" w:hanging="284"/>
        <w:jc w:val="both"/>
        <w:rPr>
          <w:color w:val="auto"/>
          <w:sz w:val="22"/>
          <w:szCs w:val="22"/>
          <w:lang w:val="es-CR"/>
        </w:rPr>
      </w:pPr>
      <w:r w:rsidRPr="0021756A">
        <w:rPr>
          <w:color w:val="auto"/>
          <w:sz w:val="22"/>
          <w:szCs w:val="22"/>
          <w:lang w:val="es-CR"/>
        </w:rPr>
        <w:t>Una descripción, el importe en libros y el período restante de amortización de cualquier activo intangible individual que sea significativo en los EEFF de la entidad;</w:t>
      </w:r>
    </w:p>
    <w:p w14:paraId="5E2824C7" w14:textId="78BF3AC1" w:rsidR="00FD3B47" w:rsidRPr="00DB64CF" w:rsidRDefault="00FD3B47" w:rsidP="005E1D63">
      <w:pPr>
        <w:pStyle w:val="Default"/>
        <w:numPr>
          <w:ilvl w:val="0"/>
          <w:numId w:val="115"/>
        </w:numPr>
        <w:spacing w:after="120"/>
        <w:ind w:left="1418" w:hanging="284"/>
        <w:jc w:val="both"/>
        <w:rPr>
          <w:color w:val="auto"/>
          <w:sz w:val="22"/>
          <w:szCs w:val="22"/>
          <w:lang w:val="es-CR"/>
        </w:rPr>
      </w:pPr>
      <w:r w:rsidRPr="0021756A">
        <w:rPr>
          <w:color w:val="auto"/>
          <w:sz w:val="22"/>
          <w:szCs w:val="22"/>
          <w:lang w:val="es-CR"/>
        </w:rPr>
        <w:t>Para los activos intangibles adquiridos a través de una transacción sin contraprestación y que se han registrado inicialmente por su valor razonabl</w:t>
      </w:r>
      <w:r w:rsidR="00DB64CF">
        <w:rPr>
          <w:color w:val="auto"/>
          <w:sz w:val="22"/>
          <w:szCs w:val="22"/>
          <w:lang w:val="es-CR"/>
        </w:rPr>
        <w:t>e;</w:t>
      </w:r>
    </w:p>
    <w:p w14:paraId="4517E1C6" w14:textId="77777777" w:rsidR="00FD3B47" w:rsidRPr="0021756A" w:rsidRDefault="00FD3B47">
      <w:pPr>
        <w:pStyle w:val="Default"/>
        <w:numPr>
          <w:ilvl w:val="0"/>
          <w:numId w:val="116"/>
        </w:numPr>
        <w:spacing w:after="120"/>
        <w:ind w:left="1843" w:hanging="142"/>
        <w:jc w:val="both"/>
        <w:rPr>
          <w:color w:val="auto"/>
          <w:sz w:val="22"/>
          <w:szCs w:val="22"/>
          <w:lang w:val="es-CR"/>
        </w:rPr>
      </w:pPr>
      <w:r w:rsidRPr="0021756A">
        <w:rPr>
          <w:color w:val="auto"/>
          <w:sz w:val="22"/>
          <w:szCs w:val="22"/>
          <w:lang w:val="es-CR"/>
        </w:rPr>
        <w:t xml:space="preserve">El valor razonable por el que se han reconocido inicialmente esos activos; </w:t>
      </w:r>
    </w:p>
    <w:p w14:paraId="403D4FF5" w14:textId="77777777" w:rsidR="00FD3B47" w:rsidRPr="0021756A" w:rsidRDefault="00FD3B47">
      <w:pPr>
        <w:pStyle w:val="Default"/>
        <w:numPr>
          <w:ilvl w:val="0"/>
          <w:numId w:val="116"/>
        </w:numPr>
        <w:spacing w:after="120"/>
        <w:ind w:left="1843" w:hanging="142"/>
        <w:jc w:val="both"/>
        <w:rPr>
          <w:color w:val="auto"/>
          <w:sz w:val="22"/>
          <w:szCs w:val="22"/>
          <w:lang w:val="es-CR"/>
        </w:rPr>
      </w:pPr>
      <w:r w:rsidRPr="0021756A">
        <w:rPr>
          <w:color w:val="auto"/>
          <w:sz w:val="22"/>
          <w:szCs w:val="22"/>
          <w:lang w:val="es-CR"/>
        </w:rPr>
        <w:t xml:space="preserve">Su importe en libros; y </w:t>
      </w:r>
    </w:p>
    <w:p w14:paraId="7A9D374E" w14:textId="7F0967BB" w:rsidR="00FD3B47" w:rsidRPr="00DB64CF" w:rsidRDefault="00FD3B47">
      <w:pPr>
        <w:pStyle w:val="Default"/>
        <w:numPr>
          <w:ilvl w:val="0"/>
          <w:numId w:val="116"/>
        </w:numPr>
        <w:spacing w:after="120"/>
        <w:ind w:left="1843" w:hanging="142"/>
        <w:jc w:val="both"/>
        <w:rPr>
          <w:color w:val="auto"/>
          <w:sz w:val="22"/>
          <w:szCs w:val="22"/>
          <w:lang w:val="es-CR"/>
        </w:rPr>
      </w:pPr>
      <w:r w:rsidRPr="0021756A">
        <w:rPr>
          <w:color w:val="auto"/>
          <w:sz w:val="22"/>
          <w:szCs w:val="22"/>
          <w:lang w:val="es-CR"/>
        </w:rPr>
        <w:t xml:space="preserve">Si la medición posterior al reconocimiento se realiza utilizando el modelo del costo o el modelo de revaluación; </w:t>
      </w:r>
    </w:p>
    <w:p w14:paraId="79E92578" w14:textId="20309E0C" w:rsidR="00FD3B47" w:rsidRPr="00DB64CF" w:rsidRDefault="00FD3B47" w:rsidP="005E1D63">
      <w:pPr>
        <w:pStyle w:val="Default"/>
        <w:numPr>
          <w:ilvl w:val="0"/>
          <w:numId w:val="115"/>
        </w:numPr>
        <w:spacing w:after="120"/>
        <w:ind w:left="1418" w:hanging="284"/>
        <w:jc w:val="both"/>
        <w:rPr>
          <w:color w:val="auto"/>
          <w:sz w:val="22"/>
          <w:szCs w:val="22"/>
          <w:lang w:val="es-CR"/>
        </w:rPr>
      </w:pPr>
      <w:r>
        <w:rPr>
          <w:color w:val="auto"/>
          <w:sz w:val="22"/>
          <w:szCs w:val="22"/>
          <w:lang w:val="es-CR"/>
        </w:rPr>
        <w:t>L</w:t>
      </w:r>
      <w:r w:rsidRPr="0021756A">
        <w:rPr>
          <w:color w:val="auto"/>
          <w:sz w:val="22"/>
          <w:szCs w:val="22"/>
          <w:lang w:val="es-CR"/>
        </w:rPr>
        <w:t>a existencia y el importe en libros de los activos intangibles cuya titularidad tiene alguna restricción, así como el importe en libros de los activos intangibles que sirven como garantías de deudas;</w:t>
      </w:r>
    </w:p>
    <w:p w14:paraId="02AE989E" w14:textId="19752C81" w:rsidR="00FD3B47" w:rsidRPr="00DB64CF" w:rsidRDefault="00FD3B47" w:rsidP="005E1D63">
      <w:pPr>
        <w:pStyle w:val="Default"/>
        <w:numPr>
          <w:ilvl w:val="0"/>
          <w:numId w:val="115"/>
        </w:numPr>
        <w:spacing w:after="120"/>
        <w:ind w:left="1418" w:hanging="284"/>
        <w:jc w:val="both"/>
        <w:rPr>
          <w:color w:val="auto"/>
          <w:sz w:val="22"/>
          <w:szCs w:val="22"/>
          <w:lang w:val="es-CR"/>
        </w:rPr>
      </w:pPr>
      <w:r w:rsidRPr="0021756A">
        <w:rPr>
          <w:color w:val="auto"/>
          <w:sz w:val="22"/>
          <w:szCs w:val="22"/>
          <w:lang w:val="es-CR"/>
        </w:rPr>
        <w:t>El importe de los compromisos contractuales para la adquisición de activos intangibles; y</w:t>
      </w:r>
    </w:p>
    <w:p w14:paraId="7F219ECB" w14:textId="77777777" w:rsidR="00FD3B47" w:rsidRDefault="00FD3B47" w:rsidP="005E1D63">
      <w:pPr>
        <w:pStyle w:val="Default"/>
        <w:numPr>
          <w:ilvl w:val="0"/>
          <w:numId w:val="115"/>
        </w:numPr>
        <w:spacing w:after="120"/>
        <w:ind w:left="1418" w:hanging="284"/>
        <w:jc w:val="both"/>
        <w:rPr>
          <w:color w:val="auto"/>
          <w:sz w:val="22"/>
          <w:szCs w:val="22"/>
          <w:lang w:val="es-CR"/>
        </w:rPr>
      </w:pPr>
      <w:r w:rsidRPr="0021756A">
        <w:rPr>
          <w:color w:val="auto"/>
          <w:sz w:val="22"/>
          <w:szCs w:val="22"/>
          <w:lang w:val="es-CR"/>
        </w:rPr>
        <w:t>Toda otra información que oportunamente, con carácter permanente o específico para un ejercicio en particular, requer</w:t>
      </w:r>
      <w:r>
        <w:rPr>
          <w:color w:val="auto"/>
          <w:sz w:val="22"/>
          <w:szCs w:val="22"/>
          <w:lang w:val="es-CR"/>
        </w:rPr>
        <w:t>id</w:t>
      </w:r>
      <w:r w:rsidRPr="0021756A">
        <w:rPr>
          <w:color w:val="auto"/>
          <w:sz w:val="22"/>
          <w:szCs w:val="22"/>
          <w:lang w:val="es-CR"/>
        </w:rPr>
        <w:t xml:space="preserve">a </w:t>
      </w:r>
      <w:r>
        <w:rPr>
          <w:color w:val="auto"/>
          <w:sz w:val="22"/>
          <w:szCs w:val="22"/>
          <w:lang w:val="es-CR"/>
        </w:rPr>
        <w:t xml:space="preserve">por </w:t>
      </w:r>
      <w:r w:rsidRPr="0021756A">
        <w:rPr>
          <w:color w:val="auto"/>
          <w:sz w:val="22"/>
          <w:szCs w:val="22"/>
          <w:lang w:val="es-CR"/>
        </w:rPr>
        <w:t>la DGCN</w:t>
      </w:r>
      <w:r>
        <w:rPr>
          <w:color w:val="auto"/>
          <w:sz w:val="22"/>
          <w:szCs w:val="22"/>
          <w:lang w:val="es-CR"/>
        </w:rPr>
        <w:t xml:space="preserve"> para efectos de los estados financieros consolidados del Sector Público</w:t>
      </w:r>
      <w:r w:rsidRPr="0021756A">
        <w:rPr>
          <w:color w:val="auto"/>
          <w:sz w:val="22"/>
          <w:szCs w:val="22"/>
          <w:lang w:val="es-CR"/>
        </w:rPr>
        <w:t xml:space="preserve">. </w:t>
      </w:r>
    </w:p>
    <w:p w14:paraId="342CE3B8" w14:textId="77777777" w:rsidR="005E1D63" w:rsidRPr="0021756A" w:rsidRDefault="005E1D63" w:rsidP="005E1D63">
      <w:pPr>
        <w:pStyle w:val="Default"/>
        <w:spacing w:after="120"/>
        <w:jc w:val="both"/>
        <w:rPr>
          <w:color w:val="auto"/>
          <w:sz w:val="22"/>
          <w:szCs w:val="22"/>
          <w:lang w:val="es-CR"/>
        </w:rPr>
      </w:pPr>
    </w:p>
    <w:p w14:paraId="3A09C942"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tbl>
      <w:tblPr>
        <w:tblW w:w="9305" w:type="dxa"/>
        <w:tblLook w:val="04A0" w:firstRow="1" w:lastRow="0" w:firstColumn="1" w:lastColumn="0" w:noHBand="0" w:noVBand="1"/>
      </w:tblPr>
      <w:tblGrid>
        <w:gridCol w:w="588"/>
        <w:gridCol w:w="517"/>
        <w:gridCol w:w="567"/>
        <w:gridCol w:w="3421"/>
        <w:gridCol w:w="2127"/>
        <w:gridCol w:w="2085"/>
      </w:tblGrid>
      <w:tr w:rsidR="00FD3B47" w:rsidRPr="005A7BFC" w14:paraId="697F4B31" w14:textId="77777777" w:rsidTr="00FD3B47">
        <w:trPr>
          <w:trHeight w:val="320"/>
        </w:trPr>
        <w:tc>
          <w:tcPr>
            <w:tcW w:w="167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47AC06B" w14:textId="77777777" w:rsidR="00FD3B47" w:rsidRPr="005A7BFC" w:rsidRDefault="00FD3B47" w:rsidP="00D16719">
            <w:pPr>
              <w:jc w:val="center"/>
              <w:rPr>
                <w:rFonts w:ascii="Arial Narrow" w:eastAsia="Times New Roman" w:hAnsi="Arial Narrow" w:cs="Calibri"/>
                <w:b/>
                <w:bCs/>
                <w:color w:val="FFFFFF"/>
                <w:sz w:val="22"/>
                <w:szCs w:val="22"/>
              </w:rPr>
            </w:pPr>
            <w:r w:rsidRPr="005A7BFC">
              <w:rPr>
                <w:rFonts w:ascii="Arial Narrow" w:eastAsia="Times New Roman" w:hAnsi="Arial Narrow" w:cs="Calibri"/>
                <w:b/>
                <w:bCs/>
                <w:color w:val="FFFFFF"/>
                <w:sz w:val="22"/>
                <w:szCs w:val="22"/>
              </w:rPr>
              <w:t>Norma / Política</w:t>
            </w:r>
          </w:p>
        </w:tc>
        <w:tc>
          <w:tcPr>
            <w:tcW w:w="3421" w:type="dxa"/>
            <w:vMerge w:val="restart"/>
            <w:tcBorders>
              <w:top w:val="single" w:sz="8" w:space="0" w:color="auto"/>
              <w:left w:val="single" w:sz="8" w:space="0" w:color="auto"/>
              <w:bottom w:val="nil"/>
              <w:right w:val="single" w:sz="8" w:space="0" w:color="auto"/>
            </w:tcBorders>
            <w:shd w:val="clear" w:color="000000" w:fill="203764"/>
            <w:vAlign w:val="center"/>
            <w:hideMark/>
          </w:tcPr>
          <w:p w14:paraId="1434A1BD" w14:textId="77777777" w:rsidR="00FD3B47" w:rsidRPr="005A7BFC" w:rsidRDefault="00FD3B47" w:rsidP="00D16719">
            <w:pPr>
              <w:jc w:val="center"/>
              <w:rPr>
                <w:rFonts w:ascii="Arial Narrow" w:eastAsia="Times New Roman" w:hAnsi="Arial Narrow" w:cs="Calibri"/>
                <w:b/>
                <w:bCs/>
                <w:color w:val="FFFFFF"/>
                <w:sz w:val="22"/>
                <w:szCs w:val="22"/>
              </w:rPr>
            </w:pPr>
            <w:r w:rsidRPr="005A7BFC">
              <w:rPr>
                <w:rFonts w:ascii="Arial Narrow" w:eastAsia="Times New Roman" w:hAnsi="Arial Narrow" w:cs="Calibri"/>
                <w:b/>
                <w:bCs/>
                <w:color w:val="FFFFFF"/>
                <w:sz w:val="22"/>
                <w:szCs w:val="22"/>
              </w:rPr>
              <w:t>Concepto</w:t>
            </w:r>
          </w:p>
        </w:tc>
        <w:tc>
          <w:tcPr>
            <w:tcW w:w="4212" w:type="dxa"/>
            <w:gridSpan w:val="2"/>
            <w:tcBorders>
              <w:top w:val="single" w:sz="8" w:space="0" w:color="auto"/>
              <w:left w:val="nil"/>
              <w:bottom w:val="single" w:sz="8" w:space="0" w:color="auto"/>
              <w:right w:val="single" w:sz="8" w:space="0" w:color="000000"/>
            </w:tcBorders>
            <w:shd w:val="clear" w:color="000000" w:fill="203764"/>
            <w:vAlign w:val="center"/>
            <w:hideMark/>
          </w:tcPr>
          <w:p w14:paraId="422D9378" w14:textId="77777777" w:rsidR="00FD3B47" w:rsidRPr="005A7BFC" w:rsidRDefault="00FD3B47" w:rsidP="00D16719">
            <w:pPr>
              <w:jc w:val="center"/>
              <w:rPr>
                <w:rFonts w:ascii="Arial Narrow" w:eastAsia="Times New Roman" w:hAnsi="Arial Narrow" w:cs="Calibri"/>
                <w:b/>
                <w:bCs/>
                <w:color w:val="FFFFFF"/>
                <w:sz w:val="22"/>
                <w:szCs w:val="22"/>
              </w:rPr>
            </w:pPr>
            <w:r w:rsidRPr="005A7BFC">
              <w:rPr>
                <w:rFonts w:ascii="Arial Narrow" w:eastAsia="Times New Roman" w:hAnsi="Arial Narrow" w:cs="Calibri"/>
                <w:b/>
                <w:bCs/>
                <w:color w:val="FFFFFF"/>
                <w:sz w:val="22"/>
                <w:szCs w:val="22"/>
              </w:rPr>
              <w:t>Referencia</w:t>
            </w:r>
          </w:p>
        </w:tc>
      </w:tr>
      <w:tr w:rsidR="00FD3B47" w:rsidRPr="006E5442" w14:paraId="71ABE855" w14:textId="77777777" w:rsidTr="00FD3B47">
        <w:trPr>
          <w:trHeight w:val="940"/>
        </w:trPr>
        <w:tc>
          <w:tcPr>
            <w:tcW w:w="1672" w:type="dxa"/>
            <w:gridSpan w:val="3"/>
            <w:vMerge/>
            <w:tcBorders>
              <w:top w:val="single" w:sz="8" w:space="0" w:color="auto"/>
              <w:left w:val="single" w:sz="8" w:space="0" w:color="auto"/>
              <w:bottom w:val="nil"/>
              <w:right w:val="single" w:sz="8" w:space="0" w:color="000000"/>
            </w:tcBorders>
            <w:vAlign w:val="center"/>
            <w:hideMark/>
          </w:tcPr>
          <w:p w14:paraId="53748685" w14:textId="77777777" w:rsidR="00FD3B47" w:rsidRPr="005A7BFC" w:rsidRDefault="00FD3B47" w:rsidP="00D16719">
            <w:pPr>
              <w:rPr>
                <w:rFonts w:ascii="Arial Narrow" w:eastAsia="Times New Roman" w:hAnsi="Arial Narrow" w:cs="Calibri"/>
                <w:b/>
                <w:bCs/>
                <w:color w:val="FFFFFF"/>
                <w:sz w:val="22"/>
                <w:szCs w:val="22"/>
              </w:rPr>
            </w:pPr>
          </w:p>
        </w:tc>
        <w:tc>
          <w:tcPr>
            <w:tcW w:w="3421" w:type="dxa"/>
            <w:vMerge/>
            <w:tcBorders>
              <w:top w:val="single" w:sz="8" w:space="0" w:color="auto"/>
              <w:left w:val="single" w:sz="8" w:space="0" w:color="auto"/>
              <w:bottom w:val="nil"/>
              <w:right w:val="single" w:sz="8" w:space="0" w:color="auto"/>
            </w:tcBorders>
            <w:vAlign w:val="center"/>
            <w:hideMark/>
          </w:tcPr>
          <w:p w14:paraId="38596F7D" w14:textId="77777777" w:rsidR="00FD3B47" w:rsidRPr="005A7BFC" w:rsidRDefault="00FD3B47" w:rsidP="00D16719">
            <w:pPr>
              <w:rPr>
                <w:rFonts w:ascii="Arial Narrow" w:eastAsia="Times New Roman" w:hAnsi="Arial Narrow" w:cs="Calibri"/>
                <w:b/>
                <w:bCs/>
                <w:color w:val="FFFFFF"/>
                <w:sz w:val="22"/>
                <w:szCs w:val="22"/>
              </w:rPr>
            </w:pPr>
          </w:p>
        </w:tc>
        <w:tc>
          <w:tcPr>
            <w:tcW w:w="2127" w:type="dxa"/>
            <w:tcBorders>
              <w:top w:val="nil"/>
              <w:left w:val="nil"/>
              <w:bottom w:val="nil"/>
              <w:right w:val="single" w:sz="8" w:space="0" w:color="auto"/>
            </w:tcBorders>
            <w:shd w:val="clear" w:color="000000" w:fill="203764"/>
            <w:vAlign w:val="center"/>
            <w:hideMark/>
          </w:tcPr>
          <w:p w14:paraId="5A16D9B6" w14:textId="77777777" w:rsidR="00FD3B47" w:rsidRPr="005A7BFC" w:rsidRDefault="00FD3B47" w:rsidP="00D16719">
            <w:pPr>
              <w:jc w:val="center"/>
              <w:rPr>
                <w:rFonts w:ascii="Arial Narrow" w:eastAsia="Times New Roman" w:hAnsi="Arial Narrow" w:cs="Calibri"/>
                <w:b/>
                <w:bCs/>
                <w:color w:val="FFFFFF"/>
                <w:sz w:val="22"/>
                <w:szCs w:val="22"/>
              </w:rPr>
            </w:pPr>
            <w:r w:rsidRPr="005A7BFC">
              <w:rPr>
                <w:rFonts w:ascii="Arial Narrow" w:eastAsia="Times New Roman" w:hAnsi="Arial Narrow" w:cs="Calibri"/>
                <w:b/>
                <w:bCs/>
                <w:color w:val="FFFFFF"/>
                <w:sz w:val="22"/>
                <w:szCs w:val="22"/>
              </w:rPr>
              <w:t>Norma</w:t>
            </w:r>
          </w:p>
        </w:tc>
        <w:tc>
          <w:tcPr>
            <w:tcW w:w="2085" w:type="dxa"/>
            <w:tcBorders>
              <w:top w:val="nil"/>
              <w:left w:val="nil"/>
              <w:bottom w:val="nil"/>
              <w:right w:val="single" w:sz="8" w:space="0" w:color="auto"/>
            </w:tcBorders>
            <w:shd w:val="clear" w:color="000000" w:fill="203764"/>
            <w:vAlign w:val="center"/>
            <w:hideMark/>
          </w:tcPr>
          <w:p w14:paraId="39AB0A03" w14:textId="77777777" w:rsidR="00FD3B47" w:rsidRPr="005A7BFC" w:rsidRDefault="00FD3B47" w:rsidP="00D16719">
            <w:pPr>
              <w:jc w:val="center"/>
              <w:rPr>
                <w:rFonts w:ascii="Arial Narrow" w:eastAsia="Times New Roman" w:hAnsi="Arial Narrow" w:cs="Calibri"/>
                <w:b/>
                <w:bCs/>
                <w:color w:val="FFFFFF"/>
                <w:sz w:val="22"/>
                <w:szCs w:val="22"/>
                <w:lang w:val="es-CR"/>
              </w:rPr>
            </w:pPr>
            <w:r w:rsidRPr="005A7BFC">
              <w:rPr>
                <w:rFonts w:ascii="Arial Narrow" w:eastAsia="Times New Roman" w:hAnsi="Arial Narrow" w:cs="Calibri"/>
                <w:b/>
                <w:bCs/>
                <w:color w:val="FFFFFF"/>
                <w:sz w:val="22"/>
                <w:szCs w:val="22"/>
                <w:lang w:val="es-CR"/>
              </w:rPr>
              <w:t>Normativa técnica y disposiciones adicionales</w:t>
            </w:r>
          </w:p>
        </w:tc>
      </w:tr>
      <w:tr w:rsidR="00FD3B47" w:rsidRPr="005A7BFC" w14:paraId="1AD024E1" w14:textId="77777777" w:rsidTr="00FD3B47">
        <w:trPr>
          <w:trHeight w:val="676"/>
        </w:trPr>
        <w:tc>
          <w:tcPr>
            <w:tcW w:w="5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FCFD83" w14:textId="77777777" w:rsidR="00FD3B47" w:rsidRPr="005A7BFC" w:rsidRDefault="00FD3B47" w:rsidP="00D16719">
            <w:pPr>
              <w:jc w:val="center"/>
              <w:rPr>
                <w:rFonts w:ascii="Arial Narrow" w:eastAsia="Times New Roman" w:hAnsi="Arial Narrow" w:cs="Calibri"/>
                <w:b/>
                <w:bCs/>
                <w:color w:val="000000"/>
                <w:sz w:val="22"/>
                <w:szCs w:val="22"/>
              </w:rPr>
            </w:pPr>
            <w:r w:rsidRPr="005A7BFC">
              <w:rPr>
                <w:rFonts w:ascii="Arial Narrow" w:eastAsia="Times New Roman" w:hAnsi="Arial Narrow" w:cs="Calibri"/>
                <w:b/>
                <w:bCs/>
                <w:color w:val="000000"/>
                <w:sz w:val="22"/>
                <w:szCs w:val="22"/>
                <w:lang w:val="es-CR"/>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06967584" w14:textId="77777777" w:rsidR="00FD3B47" w:rsidRPr="005A7BFC" w:rsidRDefault="00FD3B47" w:rsidP="00D16719">
            <w:pPr>
              <w:jc w:val="center"/>
              <w:rPr>
                <w:rFonts w:ascii="Arial Narrow" w:eastAsia="Times New Roman" w:hAnsi="Arial Narrow" w:cs="Calibri"/>
                <w:b/>
                <w:bCs/>
                <w:color w:val="000000"/>
                <w:sz w:val="22"/>
                <w:szCs w:val="22"/>
              </w:rPr>
            </w:pPr>
            <w:r w:rsidRPr="005A7BFC">
              <w:rPr>
                <w:rFonts w:ascii="Arial Narrow" w:eastAsia="Times New Roman" w:hAnsi="Arial Narrow" w:cs="Calibri"/>
                <w:b/>
                <w:bCs/>
                <w:color w:val="000000"/>
                <w:sz w:val="22"/>
                <w:szCs w:val="22"/>
              </w:rPr>
              <w:t>264</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5270438" w14:textId="3928EACD" w:rsidR="00FD3B47" w:rsidRPr="005A7BFC" w:rsidRDefault="00FD3B47" w:rsidP="00D16719">
            <w:pPr>
              <w:jc w:val="center"/>
              <w:rPr>
                <w:rFonts w:ascii="Arial Narrow" w:eastAsia="Times New Roman" w:hAnsi="Arial Narrow" w:cs="Calibri"/>
                <w:b/>
                <w:bCs/>
                <w:color w:val="000000"/>
                <w:sz w:val="22"/>
                <w:szCs w:val="22"/>
              </w:rPr>
            </w:pPr>
          </w:p>
        </w:tc>
        <w:tc>
          <w:tcPr>
            <w:tcW w:w="3421" w:type="dxa"/>
            <w:tcBorders>
              <w:top w:val="single" w:sz="8" w:space="0" w:color="auto"/>
              <w:left w:val="nil"/>
              <w:bottom w:val="single" w:sz="8" w:space="0" w:color="auto"/>
              <w:right w:val="single" w:sz="8" w:space="0" w:color="auto"/>
            </w:tcBorders>
            <w:shd w:val="clear" w:color="auto" w:fill="auto"/>
            <w:vAlign w:val="center"/>
            <w:hideMark/>
          </w:tcPr>
          <w:p w14:paraId="54D9CC2F" w14:textId="77777777" w:rsidR="00FD3B47" w:rsidRPr="005A7BFC" w:rsidRDefault="00FD3B47" w:rsidP="00D16719">
            <w:pPr>
              <w:jc w:val="both"/>
              <w:rPr>
                <w:rFonts w:ascii="Arial Narrow" w:eastAsia="Times New Roman" w:hAnsi="Arial Narrow" w:cs="Calibri"/>
                <w:b/>
                <w:bCs/>
                <w:sz w:val="22"/>
                <w:szCs w:val="22"/>
                <w:lang w:val="es-CR"/>
              </w:rPr>
            </w:pPr>
            <w:r w:rsidRPr="005A7BFC">
              <w:rPr>
                <w:rFonts w:ascii="Arial Narrow" w:eastAsia="Times New Roman" w:hAnsi="Arial Narrow" w:cs="Calibri"/>
                <w:b/>
                <w:bCs/>
                <w:color w:val="000000"/>
                <w:sz w:val="22"/>
                <w:szCs w:val="22"/>
                <w:lang w:val="es-CR"/>
              </w:rPr>
              <w:t>Información a revelar</w:t>
            </w:r>
            <w:r>
              <w:rPr>
                <w:rFonts w:ascii="Arial Narrow" w:eastAsia="Times New Roman" w:hAnsi="Arial Narrow" w:cs="Calibri"/>
                <w:b/>
                <w:bCs/>
                <w:color w:val="000000"/>
                <w:sz w:val="22"/>
                <w:szCs w:val="22"/>
                <w:lang w:val="es-CR"/>
              </w:rPr>
              <w:t xml:space="preserve"> </w:t>
            </w:r>
            <w:r w:rsidRPr="005A7BFC">
              <w:rPr>
                <w:rFonts w:ascii="Arial Narrow" w:eastAsia="Times New Roman" w:hAnsi="Arial Narrow" w:cs="Calibri"/>
                <w:b/>
                <w:bCs/>
                <w:sz w:val="22"/>
                <w:szCs w:val="22"/>
                <w:lang w:val="es-CR"/>
              </w:rPr>
              <w:t xml:space="preserve">sobre bienes intangibles del patrimonio histórico-artístico y/o cultural </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427AF9DF" w14:textId="77777777" w:rsidR="00FD3B47" w:rsidRPr="005A7BFC" w:rsidRDefault="00FD3B47" w:rsidP="00D16719">
            <w:pPr>
              <w:rPr>
                <w:rFonts w:ascii="Arial Narrow" w:eastAsia="Times New Roman" w:hAnsi="Arial Narrow" w:cs="Calibri"/>
                <w:b/>
                <w:bCs/>
                <w:color w:val="000000"/>
                <w:sz w:val="22"/>
                <w:szCs w:val="22"/>
              </w:rPr>
            </w:pPr>
            <w:r w:rsidRPr="005A7BFC">
              <w:rPr>
                <w:rFonts w:ascii="Arial Narrow" w:eastAsia="Times New Roman" w:hAnsi="Arial Narrow" w:cs="Calibri"/>
                <w:b/>
                <w:bCs/>
                <w:color w:val="000000"/>
                <w:sz w:val="22"/>
                <w:szCs w:val="22"/>
                <w:lang w:val="es-CR"/>
              </w:rPr>
              <w:t>NICSP N° 31,</w:t>
            </w:r>
            <w:r w:rsidRPr="005A7BFC">
              <w:rPr>
                <w:rFonts w:ascii="Arial Narrow" w:eastAsia="Times New Roman" w:hAnsi="Arial Narrow" w:cs="Calibri"/>
                <w:b/>
                <w:bCs/>
                <w:color w:val="000000"/>
                <w:sz w:val="22"/>
                <w:szCs w:val="22"/>
                <w:lang w:val="es-CR"/>
              </w:rPr>
              <w:br/>
              <w:t>Párrafos 15 y 117.</w:t>
            </w:r>
          </w:p>
        </w:tc>
        <w:tc>
          <w:tcPr>
            <w:tcW w:w="2085" w:type="dxa"/>
            <w:tcBorders>
              <w:top w:val="single" w:sz="8" w:space="0" w:color="auto"/>
              <w:left w:val="nil"/>
              <w:bottom w:val="single" w:sz="8" w:space="0" w:color="auto"/>
              <w:right w:val="single" w:sz="8" w:space="0" w:color="auto"/>
            </w:tcBorders>
            <w:shd w:val="clear" w:color="auto" w:fill="auto"/>
            <w:vAlign w:val="center"/>
            <w:hideMark/>
          </w:tcPr>
          <w:p w14:paraId="02D0AED7" w14:textId="77777777" w:rsidR="00FD3B47" w:rsidRPr="005A7BFC" w:rsidRDefault="00FD3B47" w:rsidP="00D16719">
            <w:pPr>
              <w:jc w:val="center"/>
              <w:rPr>
                <w:rFonts w:ascii="Arial Narrow" w:eastAsia="Times New Roman" w:hAnsi="Arial Narrow" w:cs="Calibri"/>
                <w:b/>
                <w:bCs/>
                <w:color w:val="000000"/>
                <w:sz w:val="22"/>
                <w:szCs w:val="22"/>
              </w:rPr>
            </w:pPr>
            <w:r w:rsidRPr="005A7BFC">
              <w:rPr>
                <w:rFonts w:ascii="Arial Narrow" w:eastAsia="Times New Roman" w:hAnsi="Arial Narrow" w:cs="Calibri"/>
                <w:b/>
                <w:bCs/>
                <w:color w:val="000000"/>
                <w:sz w:val="22"/>
                <w:szCs w:val="22"/>
              </w:rPr>
              <w:t>DGCN</w:t>
            </w:r>
          </w:p>
        </w:tc>
      </w:tr>
    </w:tbl>
    <w:p w14:paraId="774F360D" w14:textId="77777777" w:rsidR="00FD3B47" w:rsidRDefault="00FD3B47" w:rsidP="00FD3B47">
      <w:pPr>
        <w:spacing w:line="238" w:lineRule="auto"/>
        <w:ind w:right="260"/>
        <w:jc w:val="both"/>
        <w:rPr>
          <w:rFonts w:ascii="Arial Narrow" w:eastAsia="Arial" w:hAnsi="Arial Narrow"/>
          <w:b/>
          <w:sz w:val="22"/>
          <w:szCs w:val="22"/>
          <w:lang w:val="es-CR"/>
        </w:rPr>
      </w:pPr>
    </w:p>
    <w:p w14:paraId="17FA347B" w14:textId="685CCAD4" w:rsidR="00723E6B" w:rsidRDefault="00723E6B" w:rsidP="00FD3B47">
      <w:pPr>
        <w:spacing w:line="238" w:lineRule="auto"/>
        <w:ind w:right="260"/>
        <w:jc w:val="both"/>
        <w:rPr>
          <w:rFonts w:ascii="Arial" w:eastAsia="Arial" w:hAnsi="Arial"/>
          <w:b/>
          <w:sz w:val="22"/>
          <w:szCs w:val="22"/>
        </w:rPr>
      </w:pPr>
      <w:r w:rsidRPr="00F02F9D">
        <w:rPr>
          <w:rFonts w:ascii="Arial" w:eastAsia="Arial" w:hAnsi="Arial"/>
          <w:b/>
          <w:sz w:val="22"/>
          <w:szCs w:val="22"/>
        </w:rPr>
        <w:t>Política Contable</w:t>
      </w:r>
    </w:p>
    <w:p w14:paraId="44BC21BC" w14:textId="77777777" w:rsidR="00723E6B" w:rsidRDefault="00723E6B" w:rsidP="00FD3B47">
      <w:pPr>
        <w:spacing w:line="238" w:lineRule="auto"/>
        <w:ind w:right="260"/>
        <w:jc w:val="both"/>
        <w:rPr>
          <w:rFonts w:ascii="Arial Narrow" w:eastAsia="Arial" w:hAnsi="Arial Narrow"/>
          <w:b/>
          <w:sz w:val="22"/>
          <w:szCs w:val="22"/>
          <w:lang w:val="es-CR"/>
        </w:rPr>
      </w:pPr>
    </w:p>
    <w:p w14:paraId="34D98CBB" w14:textId="77777777" w:rsidR="00FD3B47"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1.264.0.01</w:t>
      </w:r>
      <w:r>
        <w:rPr>
          <w:rFonts w:ascii="Arial" w:hAnsi="Arial"/>
          <w:sz w:val="22"/>
          <w:szCs w:val="22"/>
          <w:lang w:val="es-CR"/>
        </w:rPr>
        <w:tab/>
      </w:r>
      <w:r w:rsidRPr="005A7BFC">
        <w:rPr>
          <w:rFonts w:ascii="Arial" w:hAnsi="Arial"/>
          <w:sz w:val="22"/>
          <w:szCs w:val="22"/>
          <w:lang w:val="es-CR"/>
        </w:rPr>
        <w:t xml:space="preserve">En las Notas a los EEFF, deberá informarse lo siguiente respecto de los bienes intangibles del Patrimonio Histórico, Artístico y Cultural: </w:t>
      </w:r>
    </w:p>
    <w:p w14:paraId="18F8AD17" w14:textId="77777777" w:rsidR="00FD3B47" w:rsidRPr="005A7BFC" w:rsidRDefault="00FD3B47" w:rsidP="00FD3B47">
      <w:pPr>
        <w:spacing w:line="237" w:lineRule="auto"/>
        <w:ind w:left="1134" w:right="260" w:hanging="1134"/>
        <w:jc w:val="both"/>
        <w:rPr>
          <w:rFonts w:ascii="Arial" w:hAnsi="Arial"/>
          <w:sz w:val="22"/>
          <w:szCs w:val="22"/>
          <w:lang w:val="es-CR"/>
        </w:rPr>
      </w:pPr>
    </w:p>
    <w:p w14:paraId="171505F4" w14:textId="77777777" w:rsidR="00FD3B47" w:rsidRPr="005A7BFC" w:rsidRDefault="00FD3B47">
      <w:pPr>
        <w:pStyle w:val="Default"/>
        <w:numPr>
          <w:ilvl w:val="0"/>
          <w:numId w:val="121"/>
        </w:numPr>
        <w:spacing w:after="120"/>
        <w:ind w:left="1276" w:hanging="142"/>
        <w:rPr>
          <w:sz w:val="23"/>
          <w:szCs w:val="23"/>
          <w:lang w:val="es-CR"/>
        </w:rPr>
      </w:pPr>
      <w:r>
        <w:rPr>
          <w:sz w:val="23"/>
          <w:szCs w:val="23"/>
          <w:lang w:val="es-CR"/>
        </w:rPr>
        <w:t>L</w:t>
      </w:r>
      <w:r w:rsidRPr="005A7BFC">
        <w:rPr>
          <w:sz w:val="23"/>
          <w:szCs w:val="23"/>
          <w:lang w:val="es-CR"/>
        </w:rPr>
        <w:t xml:space="preserve">a base de medición utilizada; </w:t>
      </w:r>
    </w:p>
    <w:p w14:paraId="1C9216C4" w14:textId="77777777" w:rsidR="00FD3B47" w:rsidRPr="005A7BFC" w:rsidRDefault="00FD3B47">
      <w:pPr>
        <w:pStyle w:val="Default"/>
        <w:numPr>
          <w:ilvl w:val="0"/>
          <w:numId w:val="121"/>
        </w:numPr>
        <w:spacing w:after="120"/>
        <w:ind w:left="1276" w:hanging="142"/>
        <w:rPr>
          <w:sz w:val="23"/>
          <w:szCs w:val="23"/>
          <w:lang w:val="es-CR"/>
        </w:rPr>
      </w:pPr>
      <w:r>
        <w:rPr>
          <w:sz w:val="23"/>
          <w:szCs w:val="23"/>
          <w:lang w:val="es-CR"/>
        </w:rPr>
        <w:t>E</w:t>
      </w:r>
      <w:r w:rsidRPr="005A7BFC">
        <w:rPr>
          <w:sz w:val="23"/>
          <w:szCs w:val="23"/>
          <w:lang w:val="es-CR"/>
        </w:rPr>
        <w:t xml:space="preserve">l método de amortización utilizado, si lo hubiere; </w:t>
      </w:r>
    </w:p>
    <w:p w14:paraId="2B802EBA" w14:textId="77777777" w:rsidR="00FD3B47" w:rsidRPr="005A7BFC" w:rsidRDefault="00FD3B47">
      <w:pPr>
        <w:pStyle w:val="Default"/>
        <w:numPr>
          <w:ilvl w:val="0"/>
          <w:numId w:val="121"/>
        </w:numPr>
        <w:spacing w:after="120"/>
        <w:ind w:left="1276" w:hanging="142"/>
        <w:rPr>
          <w:sz w:val="23"/>
          <w:szCs w:val="23"/>
          <w:lang w:val="es-CR"/>
        </w:rPr>
      </w:pPr>
      <w:r>
        <w:rPr>
          <w:sz w:val="23"/>
          <w:szCs w:val="23"/>
          <w:lang w:val="es-CR"/>
        </w:rPr>
        <w:t>E</w:t>
      </w:r>
      <w:r w:rsidRPr="005A7BFC">
        <w:rPr>
          <w:sz w:val="23"/>
          <w:szCs w:val="23"/>
          <w:lang w:val="es-CR"/>
        </w:rPr>
        <w:t xml:space="preserve">l valor en libros bruto; </w:t>
      </w:r>
    </w:p>
    <w:p w14:paraId="6F8D6105" w14:textId="77777777" w:rsidR="00FD3B47" w:rsidRPr="005A7BFC" w:rsidRDefault="00FD3B47">
      <w:pPr>
        <w:pStyle w:val="Default"/>
        <w:numPr>
          <w:ilvl w:val="0"/>
          <w:numId w:val="121"/>
        </w:numPr>
        <w:spacing w:after="120"/>
        <w:ind w:left="1276" w:hanging="142"/>
        <w:rPr>
          <w:sz w:val="23"/>
          <w:szCs w:val="23"/>
          <w:lang w:val="es-CR"/>
        </w:rPr>
      </w:pPr>
      <w:r>
        <w:rPr>
          <w:sz w:val="23"/>
          <w:szCs w:val="23"/>
          <w:lang w:val="es-CR"/>
        </w:rPr>
        <w:t>L</w:t>
      </w:r>
      <w:r w:rsidRPr="005A7BFC">
        <w:rPr>
          <w:sz w:val="23"/>
          <w:szCs w:val="23"/>
          <w:lang w:val="es-CR"/>
        </w:rPr>
        <w:t xml:space="preserve">a amortización acumulada al final del período, si la hubiere; </w:t>
      </w:r>
    </w:p>
    <w:p w14:paraId="1DCFF9A6" w14:textId="77777777" w:rsidR="00FD3B47" w:rsidRPr="005A7BFC" w:rsidRDefault="00FD3B47">
      <w:pPr>
        <w:pStyle w:val="Default"/>
        <w:numPr>
          <w:ilvl w:val="0"/>
          <w:numId w:val="121"/>
        </w:numPr>
        <w:spacing w:after="120"/>
        <w:ind w:left="1418" w:hanging="284"/>
        <w:rPr>
          <w:sz w:val="23"/>
          <w:szCs w:val="23"/>
          <w:lang w:val="es-CR"/>
        </w:rPr>
      </w:pPr>
      <w:r>
        <w:rPr>
          <w:sz w:val="23"/>
          <w:szCs w:val="23"/>
          <w:lang w:val="es-CR"/>
        </w:rPr>
        <w:t>U</w:t>
      </w:r>
      <w:r w:rsidRPr="005A7BFC">
        <w:rPr>
          <w:sz w:val="23"/>
          <w:szCs w:val="23"/>
          <w:lang w:val="es-CR"/>
        </w:rPr>
        <w:t xml:space="preserve">na conciliación entre el valor en libros al comienzo y al final del período mostrando determinados componentes de esta; y </w:t>
      </w:r>
    </w:p>
    <w:p w14:paraId="4EA92075" w14:textId="77777777" w:rsidR="00FD3B47" w:rsidRPr="005A7BFC" w:rsidRDefault="00FD3B47">
      <w:pPr>
        <w:pStyle w:val="Default"/>
        <w:numPr>
          <w:ilvl w:val="0"/>
          <w:numId w:val="121"/>
        </w:numPr>
        <w:ind w:left="1418" w:hanging="284"/>
        <w:rPr>
          <w:sz w:val="23"/>
          <w:szCs w:val="23"/>
          <w:lang w:val="es-CR"/>
        </w:rPr>
      </w:pPr>
      <w:r>
        <w:rPr>
          <w:sz w:val="23"/>
          <w:szCs w:val="23"/>
          <w:lang w:val="es-CR"/>
        </w:rPr>
        <w:t>T</w:t>
      </w:r>
      <w:r w:rsidRPr="005A7BFC">
        <w:rPr>
          <w:sz w:val="23"/>
          <w:szCs w:val="23"/>
          <w:lang w:val="es-CR"/>
        </w:rPr>
        <w:t xml:space="preserve">oda otra información que oportunamente, con carácter permanente o específico para un ejercicio en particular, requiera incluir la DGCN. </w:t>
      </w:r>
    </w:p>
    <w:p w14:paraId="494F0976"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1D61A795" w14:textId="77777777" w:rsidR="00FD3B47" w:rsidRDefault="00FD3B47" w:rsidP="00FD3B47">
      <w:pPr>
        <w:spacing w:line="238" w:lineRule="auto"/>
        <w:ind w:left="1134" w:right="260" w:hanging="1134"/>
        <w:jc w:val="both"/>
        <w:rPr>
          <w:rFonts w:ascii="Arial Narrow" w:eastAsia="Arial" w:hAnsi="Arial Narrow"/>
          <w:b/>
          <w:sz w:val="22"/>
          <w:szCs w:val="22"/>
          <w:lang w:val="es-CR"/>
        </w:rPr>
      </w:pPr>
    </w:p>
    <w:p w14:paraId="3CDCF907" w14:textId="77777777" w:rsidR="00723E6B" w:rsidRDefault="00723E6B" w:rsidP="00FD3B47">
      <w:pPr>
        <w:spacing w:line="238" w:lineRule="auto"/>
        <w:ind w:left="1134" w:right="260" w:hanging="1134"/>
        <w:jc w:val="both"/>
        <w:rPr>
          <w:rFonts w:ascii="Arial Narrow" w:eastAsia="Arial" w:hAnsi="Arial Narrow"/>
          <w:b/>
          <w:sz w:val="22"/>
          <w:szCs w:val="22"/>
          <w:lang w:val="es-CR"/>
        </w:rPr>
      </w:pPr>
    </w:p>
    <w:p w14:paraId="331F3618" w14:textId="77777777" w:rsidR="00723E6B" w:rsidRDefault="00723E6B" w:rsidP="00FD3B47">
      <w:pPr>
        <w:spacing w:line="238" w:lineRule="auto"/>
        <w:ind w:left="1134" w:right="260" w:hanging="1134"/>
        <w:jc w:val="both"/>
        <w:rPr>
          <w:rFonts w:ascii="Arial Narrow" w:eastAsia="Arial" w:hAnsi="Arial Narrow"/>
          <w:b/>
          <w:sz w:val="22"/>
          <w:szCs w:val="22"/>
          <w:lang w:val="es-CR"/>
        </w:rPr>
      </w:pPr>
    </w:p>
    <w:p w14:paraId="43C9F371" w14:textId="77777777" w:rsidR="00723E6B" w:rsidRDefault="00723E6B" w:rsidP="00723E6B">
      <w:pPr>
        <w:spacing w:line="238" w:lineRule="auto"/>
        <w:ind w:right="260"/>
        <w:jc w:val="both"/>
        <w:rPr>
          <w:rFonts w:ascii="Arial Narrow" w:eastAsia="Arial" w:hAnsi="Arial Narrow"/>
          <w:b/>
          <w:sz w:val="22"/>
          <w:szCs w:val="22"/>
          <w:lang w:val="es-CR"/>
        </w:rPr>
      </w:pPr>
    </w:p>
    <w:p w14:paraId="4666CA95" w14:textId="77777777" w:rsidR="00FD3B47" w:rsidRPr="00DB64CF" w:rsidRDefault="00FD3B47" w:rsidP="00DB64CF">
      <w:pPr>
        <w:pStyle w:val="Ttulo2"/>
        <w:ind w:left="284"/>
        <w:rPr>
          <w:rFonts w:ascii="Arial" w:eastAsia="Arial" w:hAnsi="Arial" w:cs="Arial"/>
          <w:b/>
          <w:bCs/>
          <w:sz w:val="20"/>
          <w:szCs w:val="20"/>
          <w:lang w:val="es-CR"/>
        </w:rPr>
      </w:pPr>
      <w:bookmarkStart w:id="81" w:name="_Toc172726220"/>
      <w:r w:rsidRPr="00DB64CF">
        <w:rPr>
          <w:rFonts w:ascii="Arial" w:eastAsia="Arial" w:hAnsi="Arial" w:cs="Arial"/>
          <w:b/>
          <w:bCs/>
          <w:sz w:val="20"/>
          <w:szCs w:val="20"/>
          <w:lang w:val="es-CR"/>
        </w:rPr>
        <w:lastRenderedPageBreak/>
        <w:t>Otros activos</w:t>
      </w:r>
      <w:bookmarkEnd w:id="81"/>
    </w:p>
    <w:p w14:paraId="0EFC9497" w14:textId="77777777" w:rsidR="00FD3B47" w:rsidRDefault="00FD3B47" w:rsidP="00FD3B47">
      <w:pPr>
        <w:spacing w:line="238" w:lineRule="auto"/>
        <w:ind w:left="1134" w:right="260" w:hanging="1134"/>
        <w:jc w:val="both"/>
        <w:rPr>
          <w:b/>
          <w:bCs/>
          <w:sz w:val="23"/>
          <w:szCs w:val="23"/>
        </w:rPr>
      </w:pPr>
    </w:p>
    <w:tbl>
      <w:tblPr>
        <w:tblW w:w="9062" w:type="dxa"/>
        <w:tblLook w:val="04A0" w:firstRow="1" w:lastRow="0" w:firstColumn="1" w:lastColumn="0" w:noHBand="0" w:noVBand="1"/>
      </w:tblPr>
      <w:tblGrid>
        <w:gridCol w:w="416"/>
        <w:gridCol w:w="517"/>
        <w:gridCol w:w="567"/>
        <w:gridCol w:w="3593"/>
        <w:gridCol w:w="1985"/>
        <w:gridCol w:w="1984"/>
      </w:tblGrid>
      <w:tr w:rsidR="00FD3B47" w:rsidRPr="00F8767B" w14:paraId="28BBEB03" w14:textId="77777777" w:rsidTr="00FD3B47">
        <w:trPr>
          <w:trHeight w:val="320"/>
        </w:trPr>
        <w:tc>
          <w:tcPr>
            <w:tcW w:w="150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ADD1197" w14:textId="77777777" w:rsidR="00FD3B47" w:rsidRPr="00F8767B" w:rsidRDefault="00FD3B47" w:rsidP="00D16719">
            <w:pPr>
              <w:jc w:val="center"/>
              <w:rPr>
                <w:rFonts w:ascii="Arial Narrow" w:eastAsia="Times New Roman" w:hAnsi="Arial Narrow" w:cs="Calibri"/>
                <w:b/>
                <w:bCs/>
                <w:color w:val="FFFFFF"/>
                <w:sz w:val="22"/>
                <w:szCs w:val="22"/>
              </w:rPr>
            </w:pPr>
            <w:r w:rsidRPr="00F8767B">
              <w:rPr>
                <w:rFonts w:ascii="Arial Narrow" w:eastAsia="Times New Roman" w:hAnsi="Arial Narrow" w:cs="Calibri"/>
                <w:b/>
                <w:bCs/>
                <w:color w:val="FFFFFF"/>
                <w:sz w:val="22"/>
                <w:szCs w:val="22"/>
              </w:rPr>
              <w:t>Norma / Política</w:t>
            </w:r>
          </w:p>
        </w:tc>
        <w:tc>
          <w:tcPr>
            <w:tcW w:w="35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5DF89230" w14:textId="77777777" w:rsidR="00FD3B47" w:rsidRPr="00F8767B" w:rsidRDefault="00FD3B47" w:rsidP="00D16719">
            <w:pPr>
              <w:jc w:val="center"/>
              <w:rPr>
                <w:rFonts w:ascii="Arial Narrow" w:eastAsia="Times New Roman" w:hAnsi="Arial Narrow" w:cs="Calibri"/>
                <w:b/>
                <w:bCs/>
                <w:color w:val="FFFFFF"/>
                <w:sz w:val="22"/>
                <w:szCs w:val="22"/>
              </w:rPr>
            </w:pPr>
            <w:r w:rsidRPr="00F8767B">
              <w:rPr>
                <w:rFonts w:ascii="Arial Narrow" w:eastAsia="Times New Roman" w:hAnsi="Arial Narrow" w:cs="Calibri"/>
                <w:b/>
                <w:bCs/>
                <w:color w:val="FFFFFF"/>
                <w:sz w:val="22"/>
                <w:szCs w:val="22"/>
              </w:rPr>
              <w:t>Concepto</w:t>
            </w:r>
          </w:p>
        </w:tc>
        <w:tc>
          <w:tcPr>
            <w:tcW w:w="3969" w:type="dxa"/>
            <w:gridSpan w:val="2"/>
            <w:tcBorders>
              <w:top w:val="single" w:sz="8" w:space="0" w:color="auto"/>
              <w:left w:val="nil"/>
              <w:bottom w:val="single" w:sz="8" w:space="0" w:color="auto"/>
              <w:right w:val="single" w:sz="8" w:space="0" w:color="000000"/>
            </w:tcBorders>
            <w:shd w:val="clear" w:color="000000" w:fill="203764"/>
            <w:vAlign w:val="center"/>
            <w:hideMark/>
          </w:tcPr>
          <w:p w14:paraId="240D2E74" w14:textId="77777777" w:rsidR="00FD3B47" w:rsidRPr="00F8767B" w:rsidRDefault="00FD3B47" w:rsidP="00D16719">
            <w:pPr>
              <w:jc w:val="center"/>
              <w:rPr>
                <w:rFonts w:ascii="Arial Narrow" w:eastAsia="Times New Roman" w:hAnsi="Arial Narrow" w:cs="Calibri"/>
                <w:b/>
                <w:bCs/>
                <w:color w:val="FFFFFF"/>
                <w:sz w:val="22"/>
                <w:szCs w:val="22"/>
              </w:rPr>
            </w:pPr>
            <w:r w:rsidRPr="00F8767B">
              <w:rPr>
                <w:rFonts w:ascii="Arial Narrow" w:eastAsia="Times New Roman" w:hAnsi="Arial Narrow" w:cs="Calibri"/>
                <w:b/>
                <w:bCs/>
                <w:color w:val="FFFFFF"/>
                <w:sz w:val="22"/>
                <w:szCs w:val="22"/>
              </w:rPr>
              <w:t>Referencia</w:t>
            </w:r>
          </w:p>
        </w:tc>
      </w:tr>
      <w:tr w:rsidR="00FD3B47" w:rsidRPr="006E5442" w14:paraId="7F85E005" w14:textId="77777777" w:rsidTr="00FD3B47">
        <w:trPr>
          <w:trHeight w:val="940"/>
        </w:trPr>
        <w:tc>
          <w:tcPr>
            <w:tcW w:w="1500" w:type="dxa"/>
            <w:gridSpan w:val="3"/>
            <w:vMerge/>
            <w:tcBorders>
              <w:top w:val="single" w:sz="8" w:space="0" w:color="auto"/>
              <w:left w:val="single" w:sz="8" w:space="0" w:color="auto"/>
              <w:bottom w:val="nil"/>
              <w:right w:val="single" w:sz="8" w:space="0" w:color="000000"/>
            </w:tcBorders>
            <w:vAlign w:val="center"/>
            <w:hideMark/>
          </w:tcPr>
          <w:p w14:paraId="4C33A7E2" w14:textId="77777777" w:rsidR="00FD3B47" w:rsidRPr="00F8767B" w:rsidRDefault="00FD3B47" w:rsidP="00D16719">
            <w:pPr>
              <w:rPr>
                <w:rFonts w:ascii="Arial Narrow" w:eastAsia="Times New Roman" w:hAnsi="Arial Narrow" w:cs="Calibri"/>
                <w:b/>
                <w:bCs/>
                <w:color w:val="FFFFFF"/>
                <w:sz w:val="22"/>
                <w:szCs w:val="22"/>
              </w:rPr>
            </w:pPr>
          </w:p>
        </w:tc>
        <w:tc>
          <w:tcPr>
            <w:tcW w:w="3593" w:type="dxa"/>
            <w:vMerge/>
            <w:tcBorders>
              <w:top w:val="single" w:sz="8" w:space="0" w:color="auto"/>
              <w:left w:val="single" w:sz="8" w:space="0" w:color="auto"/>
              <w:bottom w:val="nil"/>
              <w:right w:val="single" w:sz="8" w:space="0" w:color="auto"/>
            </w:tcBorders>
            <w:vAlign w:val="center"/>
            <w:hideMark/>
          </w:tcPr>
          <w:p w14:paraId="74BC621D" w14:textId="77777777" w:rsidR="00FD3B47" w:rsidRPr="00F8767B" w:rsidRDefault="00FD3B47" w:rsidP="00D16719">
            <w:pPr>
              <w:rPr>
                <w:rFonts w:ascii="Arial Narrow" w:eastAsia="Times New Roman" w:hAnsi="Arial Narrow" w:cs="Calibri"/>
                <w:b/>
                <w:bCs/>
                <w:color w:val="FFFFFF"/>
                <w:sz w:val="22"/>
                <w:szCs w:val="22"/>
              </w:rPr>
            </w:pPr>
          </w:p>
        </w:tc>
        <w:tc>
          <w:tcPr>
            <w:tcW w:w="1985" w:type="dxa"/>
            <w:tcBorders>
              <w:top w:val="nil"/>
              <w:left w:val="nil"/>
              <w:bottom w:val="nil"/>
              <w:right w:val="single" w:sz="8" w:space="0" w:color="auto"/>
            </w:tcBorders>
            <w:shd w:val="clear" w:color="000000" w:fill="203764"/>
            <w:vAlign w:val="center"/>
            <w:hideMark/>
          </w:tcPr>
          <w:p w14:paraId="7A0CEAA4" w14:textId="77777777" w:rsidR="00FD3B47" w:rsidRPr="00F8767B" w:rsidRDefault="00FD3B47" w:rsidP="00D16719">
            <w:pPr>
              <w:jc w:val="center"/>
              <w:rPr>
                <w:rFonts w:ascii="Arial Narrow" w:eastAsia="Times New Roman" w:hAnsi="Arial Narrow" w:cs="Calibri"/>
                <w:b/>
                <w:bCs/>
                <w:color w:val="FFFFFF"/>
                <w:sz w:val="22"/>
                <w:szCs w:val="22"/>
              </w:rPr>
            </w:pPr>
            <w:r w:rsidRPr="00F8767B">
              <w:rPr>
                <w:rFonts w:ascii="Arial Narrow" w:eastAsia="Times New Roman" w:hAnsi="Arial Narrow" w:cs="Calibri"/>
                <w:b/>
                <w:bCs/>
                <w:color w:val="FFFFFF"/>
                <w:sz w:val="22"/>
                <w:szCs w:val="22"/>
              </w:rPr>
              <w:t>Norma</w:t>
            </w:r>
          </w:p>
        </w:tc>
        <w:tc>
          <w:tcPr>
            <w:tcW w:w="1984" w:type="dxa"/>
            <w:tcBorders>
              <w:top w:val="nil"/>
              <w:left w:val="nil"/>
              <w:bottom w:val="nil"/>
              <w:right w:val="single" w:sz="8" w:space="0" w:color="auto"/>
            </w:tcBorders>
            <w:shd w:val="clear" w:color="000000" w:fill="203764"/>
            <w:vAlign w:val="center"/>
            <w:hideMark/>
          </w:tcPr>
          <w:p w14:paraId="5C929C5F" w14:textId="77777777" w:rsidR="00FD3B47" w:rsidRPr="00F8767B" w:rsidRDefault="00FD3B47" w:rsidP="00D16719">
            <w:pPr>
              <w:jc w:val="center"/>
              <w:rPr>
                <w:rFonts w:ascii="Arial Narrow" w:eastAsia="Times New Roman" w:hAnsi="Arial Narrow" w:cs="Calibri"/>
                <w:b/>
                <w:bCs/>
                <w:color w:val="FFFFFF"/>
                <w:sz w:val="22"/>
                <w:szCs w:val="22"/>
                <w:lang w:val="es-CR"/>
              </w:rPr>
            </w:pPr>
            <w:r w:rsidRPr="00F8767B">
              <w:rPr>
                <w:rFonts w:ascii="Arial Narrow" w:eastAsia="Times New Roman" w:hAnsi="Arial Narrow" w:cs="Calibri"/>
                <w:b/>
                <w:bCs/>
                <w:color w:val="FFFFFF"/>
                <w:sz w:val="22"/>
                <w:szCs w:val="22"/>
                <w:lang w:val="es-CR"/>
              </w:rPr>
              <w:t>Normativa técnica y disposiciones adicionales</w:t>
            </w:r>
          </w:p>
        </w:tc>
      </w:tr>
      <w:tr w:rsidR="00FD3B47" w:rsidRPr="00F8767B" w14:paraId="5AEEE826" w14:textId="77777777" w:rsidTr="00FD3B47">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F01527"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1</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0E686465"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265</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5E02765"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0</w:t>
            </w:r>
          </w:p>
        </w:tc>
        <w:tc>
          <w:tcPr>
            <w:tcW w:w="3593" w:type="dxa"/>
            <w:tcBorders>
              <w:top w:val="single" w:sz="8" w:space="0" w:color="auto"/>
              <w:left w:val="nil"/>
              <w:bottom w:val="single" w:sz="8" w:space="0" w:color="auto"/>
              <w:right w:val="single" w:sz="8" w:space="0" w:color="auto"/>
            </w:tcBorders>
            <w:shd w:val="clear" w:color="auto" w:fill="auto"/>
            <w:vAlign w:val="center"/>
            <w:hideMark/>
          </w:tcPr>
          <w:p w14:paraId="13542A15" w14:textId="77777777" w:rsidR="00FD3B47" w:rsidRPr="00F8767B" w:rsidRDefault="00FD3B47" w:rsidP="00D16719">
            <w:pPr>
              <w:jc w:val="both"/>
              <w:rPr>
                <w:rFonts w:ascii="Arial Narrow" w:eastAsia="Times New Roman" w:hAnsi="Arial Narrow" w:cs="Calibri"/>
                <w:b/>
                <w:bCs/>
                <w:color w:val="000000"/>
                <w:sz w:val="22"/>
                <w:szCs w:val="22"/>
                <w:lang w:val="es-CR"/>
              </w:rPr>
            </w:pPr>
            <w:r w:rsidRPr="00F8767B">
              <w:rPr>
                <w:rFonts w:ascii="Arial Narrow" w:eastAsia="Times New Roman" w:hAnsi="Arial Narrow" w:cs="Calibri"/>
                <w:b/>
                <w:bCs/>
                <w:color w:val="000000"/>
                <w:sz w:val="22"/>
                <w:szCs w:val="22"/>
                <w:lang w:val="es-CR"/>
              </w:rPr>
              <w:t>Activos sujetos a depuración contable</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1EDF19AF" w14:textId="77777777" w:rsidR="00FD3B47" w:rsidRPr="00F8767B" w:rsidRDefault="00FD3B47" w:rsidP="00D16719">
            <w:pPr>
              <w:jc w:val="both"/>
              <w:rPr>
                <w:rFonts w:ascii="Arial Narrow" w:eastAsia="Times New Roman" w:hAnsi="Arial Narrow" w:cs="Calibri"/>
                <w:b/>
                <w:bCs/>
                <w:color w:val="000000"/>
                <w:sz w:val="22"/>
                <w:szCs w:val="22"/>
                <w:lang w:val="es-CR"/>
              </w:rPr>
            </w:pPr>
            <w:r w:rsidRPr="00F8767B">
              <w:rPr>
                <w:rFonts w:ascii="Arial Narrow" w:eastAsia="Times New Roman" w:hAnsi="Arial Narrow" w:cs="Calibri"/>
                <w:b/>
                <w:bCs/>
                <w:color w:val="000000"/>
                <w:sz w:val="22"/>
                <w:szCs w:val="22"/>
                <w:lang w:val="es-CR"/>
              </w:rPr>
              <w:t xml:space="preserve">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6FE90EEF"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DGCN</w:t>
            </w:r>
          </w:p>
        </w:tc>
      </w:tr>
      <w:tr w:rsidR="00FD3B47" w:rsidRPr="00F8767B" w14:paraId="076BCC03" w14:textId="77777777" w:rsidTr="00FD3B47">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A4CE76D"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1</w:t>
            </w:r>
          </w:p>
        </w:tc>
        <w:tc>
          <w:tcPr>
            <w:tcW w:w="517" w:type="dxa"/>
            <w:tcBorders>
              <w:top w:val="nil"/>
              <w:left w:val="nil"/>
              <w:bottom w:val="single" w:sz="8" w:space="0" w:color="auto"/>
              <w:right w:val="single" w:sz="8" w:space="0" w:color="auto"/>
            </w:tcBorders>
            <w:shd w:val="clear" w:color="auto" w:fill="auto"/>
            <w:noWrap/>
            <w:vAlign w:val="center"/>
            <w:hideMark/>
          </w:tcPr>
          <w:p w14:paraId="13571079"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265</w:t>
            </w:r>
          </w:p>
        </w:tc>
        <w:tc>
          <w:tcPr>
            <w:tcW w:w="567" w:type="dxa"/>
            <w:tcBorders>
              <w:top w:val="nil"/>
              <w:left w:val="nil"/>
              <w:bottom w:val="single" w:sz="8" w:space="0" w:color="auto"/>
              <w:right w:val="single" w:sz="8" w:space="0" w:color="auto"/>
            </w:tcBorders>
            <w:shd w:val="clear" w:color="auto" w:fill="auto"/>
            <w:vAlign w:val="center"/>
            <w:hideMark/>
          </w:tcPr>
          <w:p w14:paraId="0E1FBD90"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1</w:t>
            </w:r>
          </w:p>
        </w:tc>
        <w:tc>
          <w:tcPr>
            <w:tcW w:w="3593" w:type="dxa"/>
            <w:tcBorders>
              <w:top w:val="nil"/>
              <w:left w:val="nil"/>
              <w:bottom w:val="single" w:sz="8" w:space="0" w:color="auto"/>
              <w:right w:val="single" w:sz="8" w:space="0" w:color="auto"/>
            </w:tcBorders>
            <w:shd w:val="clear" w:color="auto" w:fill="auto"/>
            <w:vAlign w:val="center"/>
            <w:hideMark/>
          </w:tcPr>
          <w:p w14:paraId="72B7FB5A" w14:textId="77777777" w:rsidR="00FD3B47" w:rsidRPr="00F8767B" w:rsidRDefault="00FD3B47" w:rsidP="00D16719">
            <w:pPr>
              <w:jc w:val="both"/>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Tiempo que se mantendrán</w:t>
            </w:r>
          </w:p>
        </w:tc>
        <w:tc>
          <w:tcPr>
            <w:tcW w:w="1985" w:type="dxa"/>
            <w:tcBorders>
              <w:top w:val="nil"/>
              <w:left w:val="nil"/>
              <w:bottom w:val="single" w:sz="8" w:space="0" w:color="auto"/>
              <w:right w:val="single" w:sz="8" w:space="0" w:color="auto"/>
            </w:tcBorders>
            <w:shd w:val="clear" w:color="auto" w:fill="auto"/>
            <w:vAlign w:val="center"/>
            <w:hideMark/>
          </w:tcPr>
          <w:p w14:paraId="173294D3" w14:textId="77777777" w:rsidR="00FD3B47" w:rsidRPr="00F8767B" w:rsidRDefault="00FD3B47" w:rsidP="00D16719">
            <w:pPr>
              <w:jc w:val="both"/>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 xml:space="preserve"> </w:t>
            </w:r>
          </w:p>
        </w:tc>
        <w:tc>
          <w:tcPr>
            <w:tcW w:w="1984" w:type="dxa"/>
            <w:tcBorders>
              <w:top w:val="nil"/>
              <w:left w:val="nil"/>
              <w:bottom w:val="single" w:sz="8" w:space="0" w:color="auto"/>
              <w:right w:val="single" w:sz="8" w:space="0" w:color="auto"/>
            </w:tcBorders>
            <w:shd w:val="clear" w:color="auto" w:fill="auto"/>
            <w:vAlign w:val="center"/>
            <w:hideMark/>
          </w:tcPr>
          <w:p w14:paraId="0A841023"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DGCN</w:t>
            </w:r>
          </w:p>
        </w:tc>
      </w:tr>
      <w:tr w:rsidR="00FD3B47" w:rsidRPr="00F8767B" w14:paraId="1486078F" w14:textId="77777777" w:rsidTr="00FD3B47">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D7E3288"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1</w:t>
            </w:r>
          </w:p>
        </w:tc>
        <w:tc>
          <w:tcPr>
            <w:tcW w:w="517" w:type="dxa"/>
            <w:tcBorders>
              <w:top w:val="nil"/>
              <w:left w:val="nil"/>
              <w:bottom w:val="single" w:sz="8" w:space="0" w:color="auto"/>
              <w:right w:val="single" w:sz="8" w:space="0" w:color="auto"/>
            </w:tcBorders>
            <w:shd w:val="clear" w:color="auto" w:fill="auto"/>
            <w:noWrap/>
            <w:vAlign w:val="center"/>
            <w:hideMark/>
          </w:tcPr>
          <w:p w14:paraId="7D656205"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265</w:t>
            </w:r>
          </w:p>
        </w:tc>
        <w:tc>
          <w:tcPr>
            <w:tcW w:w="567" w:type="dxa"/>
            <w:tcBorders>
              <w:top w:val="nil"/>
              <w:left w:val="nil"/>
              <w:bottom w:val="single" w:sz="8" w:space="0" w:color="auto"/>
              <w:right w:val="single" w:sz="8" w:space="0" w:color="auto"/>
            </w:tcBorders>
            <w:shd w:val="clear" w:color="auto" w:fill="auto"/>
            <w:vAlign w:val="center"/>
            <w:hideMark/>
          </w:tcPr>
          <w:p w14:paraId="356E591F"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2</w:t>
            </w:r>
          </w:p>
        </w:tc>
        <w:tc>
          <w:tcPr>
            <w:tcW w:w="3593" w:type="dxa"/>
            <w:tcBorders>
              <w:top w:val="nil"/>
              <w:left w:val="nil"/>
              <w:bottom w:val="single" w:sz="8" w:space="0" w:color="auto"/>
              <w:right w:val="single" w:sz="8" w:space="0" w:color="auto"/>
            </w:tcBorders>
            <w:shd w:val="clear" w:color="auto" w:fill="auto"/>
            <w:vAlign w:val="center"/>
            <w:hideMark/>
          </w:tcPr>
          <w:p w14:paraId="655DC51D" w14:textId="77777777" w:rsidR="00FD3B47" w:rsidRPr="00F8767B" w:rsidRDefault="00FD3B47" w:rsidP="00D16719">
            <w:pPr>
              <w:jc w:val="both"/>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Revelación</w:t>
            </w:r>
          </w:p>
        </w:tc>
        <w:tc>
          <w:tcPr>
            <w:tcW w:w="1985" w:type="dxa"/>
            <w:tcBorders>
              <w:top w:val="nil"/>
              <w:left w:val="nil"/>
              <w:bottom w:val="single" w:sz="8" w:space="0" w:color="auto"/>
              <w:right w:val="single" w:sz="8" w:space="0" w:color="auto"/>
            </w:tcBorders>
            <w:shd w:val="clear" w:color="auto" w:fill="auto"/>
            <w:vAlign w:val="center"/>
            <w:hideMark/>
          </w:tcPr>
          <w:p w14:paraId="595FD4FB" w14:textId="77777777" w:rsidR="00FD3B47" w:rsidRPr="00F8767B" w:rsidRDefault="00FD3B47" w:rsidP="00D16719">
            <w:pPr>
              <w:jc w:val="both"/>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 xml:space="preserve"> </w:t>
            </w:r>
          </w:p>
        </w:tc>
        <w:tc>
          <w:tcPr>
            <w:tcW w:w="1984" w:type="dxa"/>
            <w:tcBorders>
              <w:top w:val="nil"/>
              <w:left w:val="nil"/>
              <w:bottom w:val="single" w:sz="8" w:space="0" w:color="auto"/>
              <w:right w:val="single" w:sz="8" w:space="0" w:color="auto"/>
            </w:tcBorders>
            <w:shd w:val="clear" w:color="auto" w:fill="auto"/>
            <w:vAlign w:val="center"/>
            <w:hideMark/>
          </w:tcPr>
          <w:p w14:paraId="4C7A8D28" w14:textId="77777777" w:rsidR="00FD3B47" w:rsidRPr="00F8767B" w:rsidRDefault="00FD3B47" w:rsidP="00D16719">
            <w:pPr>
              <w:jc w:val="center"/>
              <w:rPr>
                <w:rFonts w:ascii="Arial Narrow" w:eastAsia="Times New Roman" w:hAnsi="Arial Narrow" w:cs="Calibri"/>
                <w:b/>
                <w:bCs/>
                <w:color w:val="000000"/>
                <w:sz w:val="22"/>
                <w:szCs w:val="22"/>
              </w:rPr>
            </w:pPr>
            <w:r w:rsidRPr="00F8767B">
              <w:rPr>
                <w:rFonts w:ascii="Arial Narrow" w:eastAsia="Times New Roman" w:hAnsi="Arial Narrow" w:cs="Calibri"/>
                <w:b/>
                <w:bCs/>
                <w:color w:val="000000"/>
                <w:sz w:val="22"/>
                <w:szCs w:val="22"/>
              </w:rPr>
              <w:t>DGCN</w:t>
            </w:r>
          </w:p>
        </w:tc>
      </w:tr>
    </w:tbl>
    <w:p w14:paraId="434B8AC0" w14:textId="77777777" w:rsidR="00723E6B" w:rsidRDefault="00723E6B" w:rsidP="00FD3B47">
      <w:pPr>
        <w:spacing w:line="238" w:lineRule="auto"/>
        <w:ind w:left="1134" w:right="260" w:hanging="1134"/>
        <w:jc w:val="both"/>
        <w:rPr>
          <w:rFonts w:ascii="Arial" w:eastAsia="Arial" w:hAnsi="Arial"/>
          <w:b/>
          <w:sz w:val="22"/>
          <w:szCs w:val="22"/>
        </w:rPr>
      </w:pPr>
    </w:p>
    <w:p w14:paraId="50C423C9" w14:textId="589ABCD8" w:rsidR="00FD3B47" w:rsidRDefault="00723E6B"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3A665480" w14:textId="77777777" w:rsidR="00723E6B" w:rsidRPr="00D25F49" w:rsidRDefault="00723E6B" w:rsidP="00FD3B47">
      <w:pPr>
        <w:spacing w:line="238" w:lineRule="auto"/>
        <w:ind w:left="1134" w:right="260" w:hanging="1134"/>
        <w:jc w:val="both"/>
        <w:rPr>
          <w:rFonts w:ascii="Arial Narrow" w:eastAsia="Arial" w:hAnsi="Arial Narrow"/>
          <w:b/>
          <w:sz w:val="22"/>
          <w:szCs w:val="22"/>
          <w:lang w:val="es-CR"/>
        </w:rPr>
      </w:pPr>
    </w:p>
    <w:p w14:paraId="0F9DC00C" w14:textId="77777777" w:rsidR="00FD3B47" w:rsidRPr="00F8767B"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1.265.0.01</w:t>
      </w:r>
      <w:r>
        <w:rPr>
          <w:rFonts w:ascii="Arial" w:hAnsi="Arial"/>
          <w:sz w:val="22"/>
          <w:szCs w:val="22"/>
          <w:lang w:val="es-CR"/>
        </w:rPr>
        <w:tab/>
        <w:t>D</w:t>
      </w:r>
      <w:r w:rsidRPr="00F8767B">
        <w:rPr>
          <w:rFonts w:ascii="Arial" w:hAnsi="Arial"/>
          <w:sz w:val="22"/>
          <w:szCs w:val="22"/>
          <w:lang w:val="es-CR"/>
        </w:rPr>
        <w:t xml:space="preserve">urante el periodo de transición </w:t>
      </w:r>
      <w:r>
        <w:rPr>
          <w:rFonts w:ascii="Arial" w:hAnsi="Arial"/>
          <w:sz w:val="22"/>
          <w:szCs w:val="22"/>
          <w:lang w:val="es-CR"/>
        </w:rPr>
        <w:t xml:space="preserve">cuando la </w:t>
      </w:r>
      <w:r w:rsidRPr="00F8767B">
        <w:rPr>
          <w:rFonts w:ascii="Arial" w:hAnsi="Arial"/>
          <w:sz w:val="22"/>
          <w:szCs w:val="22"/>
          <w:lang w:val="es-CR"/>
        </w:rPr>
        <w:t xml:space="preserve">Municipalidad </w:t>
      </w:r>
      <w:r>
        <w:rPr>
          <w:rFonts w:ascii="Arial" w:hAnsi="Arial"/>
          <w:sz w:val="22"/>
          <w:szCs w:val="22"/>
          <w:lang w:val="es-CR"/>
        </w:rPr>
        <w:t xml:space="preserve">de Buenos Aires </w:t>
      </w:r>
      <w:r w:rsidRPr="00F8767B">
        <w:rPr>
          <w:rFonts w:ascii="Arial" w:hAnsi="Arial"/>
          <w:sz w:val="22"/>
          <w:szCs w:val="22"/>
          <w:lang w:val="es-CR"/>
        </w:rPr>
        <w:t xml:space="preserve">establezca la existencia de saldos en el activo respecto de los cuales no se tengan los elementos necesarios para asignar con certeza su clasificación, asignación, modificación y/o depuración, podrá imputarlos en los activos sujetos a depuración contable, hasta tanto obtengan la correspondiente certeza o inicie el ejercicio 2024, lo que suceda primero. </w:t>
      </w:r>
    </w:p>
    <w:p w14:paraId="31DD40A9" w14:textId="77777777" w:rsidR="00FD3B47" w:rsidRDefault="00FD3B47" w:rsidP="00FD3B47">
      <w:pPr>
        <w:spacing w:line="237" w:lineRule="auto"/>
        <w:ind w:left="1134" w:right="260" w:hanging="1134"/>
        <w:jc w:val="both"/>
        <w:rPr>
          <w:rFonts w:ascii="Arial" w:hAnsi="Arial"/>
          <w:sz w:val="22"/>
          <w:szCs w:val="22"/>
          <w:lang w:val="es-CR"/>
        </w:rPr>
      </w:pPr>
    </w:p>
    <w:p w14:paraId="100664FF" w14:textId="41961DC6" w:rsidR="00FD3B47" w:rsidRPr="00F8767B"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1.265.</w:t>
      </w:r>
      <w:r w:rsidRPr="00F8767B">
        <w:rPr>
          <w:rFonts w:ascii="Arial" w:hAnsi="Arial"/>
          <w:sz w:val="22"/>
          <w:szCs w:val="22"/>
          <w:lang w:val="es-CR"/>
        </w:rPr>
        <w:t>1.</w:t>
      </w:r>
      <w:r>
        <w:rPr>
          <w:rFonts w:ascii="Arial" w:hAnsi="Arial"/>
          <w:sz w:val="22"/>
          <w:szCs w:val="22"/>
          <w:lang w:val="es-CR"/>
        </w:rPr>
        <w:t>01</w:t>
      </w:r>
      <w:r>
        <w:rPr>
          <w:rFonts w:ascii="Arial" w:hAnsi="Arial"/>
          <w:sz w:val="22"/>
          <w:szCs w:val="22"/>
          <w:lang w:val="es-CR"/>
        </w:rPr>
        <w:tab/>
        <w:t>L</w:t>
      </w:r>
      <w:r w:rsidRPr="00F8767B">
        <w:rPr>
          <w:rFonts w:ascii="Arial" w:hAnsi="Arial"/>
          <w:sz w:val="22"/>
          <w:szCs w:val="22"/>
          <w:lang w:val="es-CR"/>
        </w:rPr>
        <w:t xml:space="preserve">os saldos expuestos en activos sujetos a depuración contable no podrán permanecer más allá del 31 de </w:t>
      </w:r>
      <w:r w:rsidR="0021354A" w:rsidRPr="00F8767B">
        <w:rPr>
          <w:rFonts w:ascii="Arial" w:hAnsi="Arial"/>
          <w:sz w:val="22"/>
          <w:szCs w:val="22"/>
          <w:lang w:val="es-CR"/>
        </w:rPr>
        <w:t>dicie</w:t>
      </w:r>
      <w:r w:rsidR="0021354A">
        <w:rPr>
          <w:rFonts w:ascii="Arial" w:hAnsi="Arial"/>
          <w:sz w:val="22"/>
          <w:szCs w:val="22"/>
          <w:lang w:val="es-CR"/>
        </w:rPr>
        <w:t>mbr</w:t>
      </w:r>
      <w:r w:rsidR="0021354A" w:rsidRPr="00F8767B">
        <w:rPr>
          <w:rFonts w:ascii="Arial" w:hAnsi="Arial"/>
          <w:sz w:val="22"/>
          <w:szCs w:val="22"/>
          <w:lang w:val="es-CR"/>
        </w:rPr>
        <w:t>e</w:t>
      </w:r>
      <w:r w:rsidRPr="00F8767B">
        <w:rPr>
          <w:rFonts w:ascii="Arial" w:hAnsi="Arial"/>
          <w:sz w:val="22"/>
          <w:szCs w:val="22"/>
          <w:lang w:val="es-CR"/>
        </w:rPr>
        <w:t xml:space="preserve"> de 202</w:t>
      </w:r>
      <w:r>
        <w:rPr>
          <w:rFonts w:ascii="Arial" w:hAnsi="Arial"/>
          <w:sz w:val="22"/>
          <w:szCs w:val="22"/>
          <w:lang w:val="es-CR"/>
        </w:rPr>
        <w:t>4</w:t>
      </w:r>
      <w:r w:rsidRPr="00F8767B">
        <w:rPr>
          <w:rFonts w:ascii="Arial" w:hAnsi="Arial"/>
          <w:sz w:val="22"/>
          <w:szCs w:val="22"/>
          <w:lang w:val="es-CR"/>
        </w:rPr>
        <w:t xml:space="preserve"> sin la asignación cierta correspondiente. </w:t>
      </w:r>
    </w:p>
    <w:p w14:paraId="605D36B1" w14:textId="77777777" w:rsidR="00FD3B47" w:rsidRPr="00F8767B" w:rsidRDefault="00FD3B47" w:rsidP="00FD3B47">
      <w:pPr>
        <w:spacing w:line="237" w:lineRule="auto"/>
        <w:ind w:left="1134" w:right="260" w:hanging="1134"/>
        <w:jc w:val="both"/>
        <w:rPr>
          <w:rFonts w:ascii="Arial" w:hAnsi="Arial"/>
          <w:sz w:val="22"/>
          <w:szCs w:val="22"/>
          <w:lang w:val="es-CR"/>
        </w:rPr>
      </w:pPr>
    </w:p>
    <w:p w14:paraId="73081D02" w14:textId="782F7A6C" w:rsidR="00FD3B47" w:rsidRPr="00F8767B"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1.265.</w:t>
      </w:r>
      <w:r w:rsidRPr="00F8767B">
        <w:rPr>
          <w:rFonts w:ascii="Arial" w:hAnsi="Arial"/>
          <w:sz w:val="22"/>
          <w:szCs w:val="22"/>
          <w:lang w:val="es-CR"/>
        </w:rPr>
        <w:t>2.</w:t>
      </w:r>
      <w:r>
        <w:rPr>
          <w:rFonts w:ascii="Arial" w:hAnsi="Arial"/>
          <w:sz w:val="22"/>
          <w:szCs w:val="22"/>
          <w:lang w:val="es-CR"/>
        </w:rPr>
        <w:t>01</w:t>
      </w:r>
      <w:r>
        <w:rPr>
          <w:rFonts w:ascii="Arial" w:hAnsi="Arial"/>
          <w:sz w:val="22"/>
          <w:szCs w:val="22"/>
          <w:lang w:val="es-CR"/>
        </w:rPr>
        <w:tab/>
      </w:r>
      <w:r w:rsidRPr="00F8767B">
        <w:rPr>
          <w:rFonts w:ascii="Arial" w:hAnsi="Arial"/>
          <w:sz w:val="22"/>
          <w:szCs w:val="22"/>
          <w:lang w:val="es-CR"/>
        </w:rPr>
        <w:t xml:space="preserve">En Nota a los EEFF deberán detallarse los saldos imputados a activos sujetos a depuración contable y exponer el problema que los mismos han presentado para su imputación definitiva, como así </w:t>
      </w:r>
      <w:r w:rsidR="0021354A" w:rsidRPr="00F8767B">
        <w:rPr>
          <w:rFonts w:ascii="Arial" w:hAnsi="Arial"/>
          <w:sz w:val="22"/>
          <w:szCs w:val="22"/>
          <w:lang w:val="es-CR"/>
        </w:rPr>
        <w:t>ta</w:t>
      </w:r>
      <w:r w:rsidR="0021354A">
        <w:rPr>
          <w:rFonts w:ascii="Arial" w:hAnsi="Arial"/>
          <w:sz w:val="22"/>
          <w:szCs w:val="22"/>
          <w:lang w:val="es-CR"/>
        </w:rPr>
        <w:t>mbi</w:t>
      </w:r>
      <w:r w:rsidR="0021354A" w:rsidRPr="00F8767B">
        <w:rPr>
          <w:rFonts w:ascii="Arial" w:hAnsi="Arial"/>
          <w:sz w:val="22"/>
          <w:szCs w:val="22"/>
          <w:lang w:val="es-CR"/>
        </w:rPr>
        <w:t>én</w:t>
      </w:r>
      <w:r w:rsidRPr="00F8767B">
        <w:rPr>
          <w:rFonts w:ascii="Arial" w:hAnsi="Arial"/>
          <w:sz w:val="22"/>
          <w:szCs w:val="22"/>
          <w:lang w:val="es-CR"/>
        </w:rPr>
        <w:t xml:space="preserve"> las tareas realizadas y a realizar para determinar la misma. </w:t>
      </w:r>
    </w:p>
    <w:p w14:paraId="194DC778" w14:textId="77777777" w:rsidR="00FD3B47" w:rsidRDefault="00FD3B47" w:rsidP="00FD3B47">
      <w:pPr>
        <w:spacing w:line="238" w:lineRule="auto"/>
        <w:ind w:left="1134" w:right="260" w:hanging="1134"/>
        <w:jc w:val="both"/>
        <w:rPr>
          <w:rFonts w:ascii="Arial" w:eastAsia="Arial" w:hAnsi="Arial"/>
          <w:b/>
          <w:sz w:val="22"/>
          <w:szCs w:val="22"/>
          <w:lang w:val="es-CR"/>
        </w:rPr>
      </w:pPr>
    </w:p>
    <w:p w14:paraId="37471F9A" w14:textId="77777777" w:rsidR="00DB64CF" w:rsidRDefault="00DB64CF" w:rsidP="00DB64CF">
      <w:pPr>
        <w:ind w:left="1134" w:right="261" w:hanging="1134"/>
        <w:jc w:val="both"/>
        <w:rPr>
          <w:rFonts w:ascii="Arial" w:eastAsia="Arial" w:hAnsi="Arial"/>
          <w:b/>
          <w:sz w:val="22"/>
          <w:szCs w:val="22"/>
          <w:lang w:val="es-CR"/>
        </w:rPr>
      </w:pPr>
    </w:p>
    <w:p w14:paraId="7F02B5E4" w14:textId="77777777" w:rsidR="00FD3B47" w:rsidRPr="00DB64CF" w:rsidRDefault="00FD3B47" w:rsidP="00DB64CF">
      <w:pPr>
        <w:pStyle w:val="Ttulo2"/>
        <w:ind w:left="284"/>
        <w:rPr>
          <w:rFonts w:ascii="Arial" w:eastAsia="Arial" w:hAnsi="Arial" w:cs="Arial"/>
          <w:b/>
          <w:bCs/>
          <w:sz w:val="20"/>
          <w:szCs w:val="20"/>
          <w:lang w:val="es-CR"/>
        </w:rPr>
      </w:pPr>
      <w:bookmarkStart w:id="82" w:name="_Toc172726221"/>
      <w:r w:rsidRPr="00DB64CF">
        <w:rPr>
          <w:rFonts w:ascii="Arial" w:eastAsia="Arial" w:hAnsi="Arial" w:cs="Arial"/>
          <w:b/>
          <w:bCs/>
          <w:sz w:val="20"/>
          <w:szCs w:val="20"/>
          <w:lang w:val="es-CR"/>
        </w:rPr>
        <w:t>Activos Contingentes</w:t>
      </w:r>
      <w:bookmarkEnd w:id="82"/>
    </w:p>
    <w:p w14:paraId="41730823" w14:textId="77777777" w:rsidR="00FD3B47" w:rsidRDefault="00FD3B47" w:rsidP="00DB64CF">
      <w:pPr>
        <w:spacing w:line="238" w:lineRule="auto"/>
        <w:ind w:right="260"/>
        <w:jc w:val="both"/>
        <w:rPr>
          <w:rFonts w:ascii="Arial" w:eastAsia="Arial" w:hAnsi="Arial"/>
          <w:b/>
          <w:sz w:val="22"/>
          <w:szCs w:val="22"/>
          <w:lang w:val="es-CR"/>
        </w:rPr>
      </w:pPr>
    </w:p>
    <w:tbl>
      <w:tblPr>
        <w:tblW w:w="9062" w:type="dxa"/>
        <w:tblLook w:val="04A0" w:firstRow="1" w:lastRow="0" w:firstColumn="1" w:lastColumn="0" w:noHBand="0" w:noVBand="1"/>
      </w:tblPr>
      <w:tblGrid>
        <w:gridCol w:w="416"/>
        <w:gridCol w:w="545"/>
        <w:gridCol w:w="565"/>
        <w:gridCol w:w="3284"/>
        <w:gridCol w:w="2268"/>
        <w:gridCol w:w="1984"/>
      </w:tblGrid>
      <w:tr w:rsidR="00FD3B47" w:rsidRPr="00472140" w14:paraId="09E69D9A" w14:textId="77777777" w:rsidTr="00D16719">
        <w:trPr>
          <w:trHeight w:val="320"/>
        </w:trPr>
        <w:tc>
          <w:tcPr>
            <w:tcW w:w="152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50BF47D"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Norma / Política</w:t>
            </w:r>
          </w:p>
        </w:tc>
        <w:tc>
          <w:tcPr>
            <w:tcW w:w="3284" w:type="dxa"/>
            <w:vMerge w:val="restart"/>
            <w:tcBorders>
              <w:top w:val="single" w:sz="8" w:space="0" w:color="auto"/>
              <w:left w:val="single" w:sz="8" w:space="0" w:color="auto"/>
              <w:bottom w:val="nil"/>
              <w:right w:val="single" w:sz="8" w:space="0" w:color="auto"/>
            </w:tcBorders>
            <w:shd w:val="clear" w:color="000000" w:fill="203764"/>
            <w:vAlign w:val="center"/>
            <w:hideMark/>
          </w:tcPr>
          <w:p w14:paraId="66AF4E14"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6E533A0B"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Referencia</w:t>
            </w:r>
          </w:p>
        </w:tc>
      </w:tr>
      <w:tr w:rsidR="00FD3B47" w:rsidRPr="006E5442" w14:paraId="13A4DC2A" w14:textId="77777777" w:rsidTr="00D16719">
        <w:trPr>
          <w:trHeight w:val="940"/>
        </w:trPr>
        <w:tc>
          <w:tcPr>
            <w:tcW w:w="1526" w:type="dxa"/>
            <w:gridSpan w:val="3"/>
            <w:vMerge/>
            <w:tcBorders>
              <w:top w:val="single" w:sz="8" w:space="0" w:color="auto"/>
              <w:left w:val="single" w:sz="8" w:space="0" w:color="auto"/>
              <w:bottom w:val="nil"/>
              <w:right w:val="single" w:sz="8" w:space="0" w:color="000000"/>
            </w:tcBorders>
            <w:vAlign w:val="center"/>
            <w:hideMark/>
          </w:tcPr>
          <w:p w14:paraId="6F38DC1B" w14:textId="77777777" w:rsidR="00FD3B47" w:rsidRPr="00472140" w:rsidRDefault="00FD3B47" w:rsidP="00D16719">
            <w:pPr>
              <w:rPr>
                <w:rFonts w:ascii="Arial Narrow" w:eastAsia="Times New Roman" w:hAnsi="Arial Narrow" w:cs="Calibri"/>
                <w:b/>
                <w:bCs/>
                <w:color w:val="FFFFFF"/>
                <w:sz w:val="22"/>
                <w:szCs w:val="22"/>
              </w:rPr>
            </w:pPr>
          </w:p>
        </w:tc>
        <w:tc>
          <w:tcPr>
            <w:tcW w:w="3284" w:type="dxa"/>
            <w:vMerge/>
            <w:tcBorders>
              <w:top w:val="single" w:sz="8" w:space="0" w:color="auto"/>
              <w:left w:val="single" w:sz="8" w:space="0" w:color="auto"/>
              <w:bottom w:val="nil"/>
              <w:right w:val="single" w:sz="8" w:space="0" w:color="auto"/>
            </w:tcBorders>
            <w:vAlign w:val="center"/>
            <w:hideMark/>
          </w:tcPr>
          <w:p w14:paraId="7360FCBB" w14:textId="77777777" w:rsidR="00FD3B47" w:rsidRPr="00472140" w:rsidRDefault="00FD3B47" w:rsidP="00D16719">
            <w:pPr>
              <w:rPr>
                <w:rFonts w:ascii="Arial Narrow" w:eastAsia="Times New Roman" w:hAnsi="Arial Narrow" w:cs="Calibri"/>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6ACC74C3"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Norma</w:t>
            </w:r>
          </w:p>
        </w:tc>
        <w:tc>
          <w:tcPr>
            <w:tcW w:w="1984" w:type="dxa"/>
            <w:tcBorders>
              <w:top w:val="nil"/>
              <w:left w:val="nil"/>
              <w:bottom w:val="nil"/>
              <w:right w:val="single" w:sz="8" w:space="0" w:color="auto"/>
            </w:tcBorders>
            <w:shd w:val="clear" w:color="000000" w:fill="203764"/>
            <w:vAlign w:val="center"/>
            <w:hideMark/>
          </w:tcPr>
          <w:p w14:paraId="40A84D28" w14:textId="77777777" w:rsidR="00FD3B47" w:rsidRPr="00472140" w:rsidRDefault="00FD3B47" w:rsidP="00D16719">
            <w:pPr>
              <w:jc w:val="center"/>
              <w:rPr>
                <w:rFonts w:ascii="Arial Narrow" w:eastAsia="Times New Roman" w:hAnsi="Arial Narrow" w:cs="Calibri"/>
                <w:b/>
                <w:bCs/>
                <w:color w:val="FFFFFF"/>
                <w:sz w:val="22"/>
                <w:szCs w:val="22"/>
                <w:lang w:val="es-CR"/>
              </w:rPr>
            </w:pPr>
            <w:r w:rsidRPr="00472140">
              <w:rPr>
                <w:rFonts w:ascii="Arial Narrow" w:eastAsia="Times New Roman" w:hAnsi="Arial Narrow" w:cs="Calibri"/>
                <w:b/>
                <w:bCs/>
                <w:color w:val="FFFFFF"/>
                <w:sz w:val="22"/>
                <w:szCs w:val="22"/>
                <w:lang w:val="es-CR"/>
              </w:rPr>
              <w:t>Normativa técnica y disposiciones adicionales</w:t>
            </w:r>
          </w:p>
        </w:tc>
      </w:tr>
      <w:tr w:rsidR="00FD3B47" w:rsidRPr="00472140" w14:paraId="7268AFDD" w14:textId="77777777" w:rsidTr="00DB64CF">
        <w:trPr>
          <w:trHeight w:val="774"/>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9EE890"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lang w:val="es-CR"/>
              </w:rPr>
              <w:t>1</w:t>
            </w:r>
          </w:p>
        </w:tc>
        <w:tc>
          <w:tcPr>
            <w:tcW w:w="545" w:type="dxa"/>
            <w:tcBorders>
              <w:top w:val="single" w:sz="8" w:space="0" w:color="auto"/>
              <w:left w:val="nil"/>
              <w:bottom w:val="single" w:sz="8" w:space="0" w:color="auto"/>
              <w:right w:val="single" w:sz="8" w:space="0" w:color="auto"/>
            </w:tcBorders>
            <w:shd w:val="clear" w:color="auto" w:fill="auto"/>
            <w:noWrap/>
            <w:vAlign w:val="center"/>
            <w:hideMark/>
          </w:tcPr>
          <w:p w14:paraId="094CA3B9"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270</w:t>
            </w:r>
          </w:p>
        </w:tc>
        <w:tc>
          <w:tcPr>
            <w:tcW w:w="565" w:type="dxa"/>
            <w:tcBorders>
              <w:top w:val="single" w:sz="8" w:space="0" w:color="auto"/>
              <w:left w:val="nil"/>
              <w:bottom w:val="single" w:sz="8" w:space="0" w:color="auto"/>
              <w:right w:val="single" w:sz="8" w:space="0" w:color="auto"/>
            </w:tcBorders>
            <w:shd w:val="clear" w:color="auto" w:fill="auto"/>
            <w:vAlign w:val="center"/>
            <w:hideMark/>
          </w:tcPr>
          <w:p w14:paraId="5C31A7A7"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0</w:t>
            </w:r>
          </w:p>
        </w:tc>
        <w:tc>
          <w:tcPr>
            <w:tcW w:w="3284" w:type="dxa"/>
            <w:tcBorders>
              <w:top w:val="single" w:sz="8" w:space="0" w:color="auto"/>
              <w:left w:val="nil"/>
              <w:bottom w:val="single" w:sz="8" w:space="0" w:color="auto"/>
              <w:right w:val="single" w:sz="8" w:space="0" w:color="auto"/>
            </w:tcBorders>
            <w:shd w:val="clear" w:color="auto" w:fill="auto"/>
            <w:vAlign w:val="center"/>
            <w:hideMark/>
          </w:tcPr>
          <w:p w14:paraId="77F99B64" w14:textId="77777777" w:rsidR="00FD3B47" w:rsidRPr="00472140" w:rsidRDefault="00FD3B47" w:rsidP="00D16719">
            <w:pPr>
              <w:jc w:val="both"/>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Identificación de activos contingentes</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3DCB307B" w14:textId="77777777" w:rsidR="00FD3B47" w:rsidRPr="00472140" w:rsidRDefault="00FD3B47" w:rsidP="00D16719">
            <w:pPr>
              <w:rPr>
                <w:rFonts w:ascii="Arial Narrow" w:eastAsia="Times New Roman" w:hAnsi="Arial Narrow" w:cs="Calibri"/>
                <w:b/>
                <w:bCs/>
                <w:color w:val="000000"/>
                <w:sz w:val="22"/>
                <w:szCs w:val="22"/>
                <w:lang w:val="es-CR"/>
              </w:rPr>
            </w:pPr>
            <w:r w:rsidRPr="00472140">
              <w:rPr>
                <w:rFonts w:ascii="Arial Narrow" w:eastAsia="Times New Roman" w:hAnsi="Arial Narrow" w:cs="Calibri"/>
                <w:b/>
                <w:bCs/>
                <w:color w:val="000000"/>
                <w:sz w:val="22"/>
                <w:szCs w:val="22"/>
                <w:lang w:val="es-CR"/>
              </w:rPr>
              <w:t>NICSP Nº 19,</w:t>
            </w:r>
            <w:r w:rsidRPr="00472140">
              <w:rPr>
                <w:rFonts w:ascii="Arial Narrow" w:eastAsia="Times New Roman" w:hAnsi="Arial Narrow" w:cs="Calibri"/>
                <w:b/>
                <w:bCs/>
                <w:color w:val="000000"/>
                <w:sz w:val="22"/>
                <w:szCs w:val="22"/>
                <w:lang w:val="es-CR"/>
              </w:rPr>
              <w:br/>
              <w:t>Párrafos 18 y 20 y Apéndice A.</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370FC0EA"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DGCN</w:t>
            </w:r>
          </w:p>
        </w:tc>
      </w:tr>
    </w:tbl>
    <w:p w14:paraId="352FAFD7" w14:textId="77777777" w:rsidR="00FD3B47" w:rsidRDefault="00FD3B47" w:rsidP="00FD3B47">
      <w:pPr>
        <w:spacing w:line="238" w:lineRule="auto"/>
        <w:ind w:left="1134" w:right="260" w:hanging="1134"/>
        <w:jc w:val="both"/>
        <w:rPr>
          <w:rFonts w:ascii="Arial" w:eastAsia="Arial" w:hAnsi="Arial"/>
          <w:b/>
          <w:sz w:val="22"/>
          <w:szCs w:val="22"/>
          <w:lang w:val="es-CR"/>
        </w:rPr>
      </w:pPr>
    </w:p>
    <w:p w14:paraId="387140BE" w14:textId="025208A3" w:rsidR="00723E6B" w:rsidRDefault="00723E6B"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087E0D38" w14:textId="77777777" w:rsidR="00723E6B" w:rsidRDefault="00723E6B" w:rsidP="00FD3B47">
      <w:pPr>
        <w:spacing w:line="238" w:lineRule="auto"/>
        <w:ind w:left="1134" w:right="260" w:hanging="1134"/>
        <w:jc w:val="both"/>
        <w:rPr>
          <w:rFonts w:ascii="Arial" w:eastAsia="Arial" w:hAnsi="Arial"/>
          <w:b/>
          <w:sz w:val="22"/>
          <w:szCs w:val="22"/>
          <w:lang w:val="es-CR"/>
        </w:rPr>
      </w:pPr>
    </w:p>
    <w:p w14:paraId="01799D02" w14:textId="4C7905BB" w:rsidR="00FD3B47" w:rsidRPr="00E515ED"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1.270.0.01</w:t>
      </w:r>
      <w:r>
        <w:rPr>
          <w:rFonts w:ascii="Arial" w:hAnsi="Arial"/>
          <w:sz w:val="22"/>
          <w:szCs w:val="22"/>
          <w:lang w:val="es-CR"/>
        </w:rPr>
        <w:tab/>
        <w:t>U</w:t>
      </w:r>
      <w:r w:rsidRPr="00E515ED">
        <w:rPr>
          <w:rFonts w:ascii="Arial" w:hAnsi="Arial"/>
          <w:sz w:val="22"/>
          <w:szCs w:val="22"/>
          <w:lang w:val="es-CR"/>
        </w:rPr>
        <w:t xml:space="preserve">n activo contingente es un activo de naturaleza posible, surgido a raíz sucesos pasados, cuya existencia ha de ser confirmada sólo cuando sucedan, o en su caso no sucedan uno o más sucesos inciertos en el futuro, que no están enteramente bajo el control de la </w:t>
      </w:r>
      <w:r w:rsidR="000F29DC">
        <w:rPr>
          <w:rFonts w:ascii="Arial" w:hAnsi="Arial"/>
          <w:sz w:val="22"/>
          <w:szCs w:val="22"/>
          <w:lang w:val="es-CR"/>
        </w:rPr>
        <w:t>MBA</w:t>
      </w:r>
      <w:r w:rsidRPr="00E515ED">
        <w:rPr>
          <w:rFonts w:ascii="Arial" w:hAnsi="Arial"/>
          <w:sz w:val="22"/>
          <w:szCs w:val="22"/>
          <w:lang w:val="es-CR"/>
        </w:rPr>
        <w:t>. Por lo tanto, la identificación y tratamiento a aplicar a un posible activo se basa en la evaluación de la probabilidad de ocurrencia de un futuro flujo de ingresos de beneficios económicos o potencial de servicio, a saber:</w:t>
      </w:r>
    </w:p>
    <w:p w14:paraId="6E83E078" w14:textId="77777777" w:rsidR="00FD3B47" w:rsidRPr="00627673" w:rsidRDefault="00FD3B47" w:rsidP="00FD3B47">
      <w:pPr>
        <w:spacing w:line="200" w:lineRule="exact"/>
        <w:rPr>
          <w:rFonts w:ascii="Times New Roman" w:eastAsia="Times New Roman" w:hAnsi="Times New Roman"/>
          <w:lang w:val="es-CR"/>
        </w:rPr>
      </w:pPr>
    </w:p>
    <w:p w14:paraId="54475A56" w14:textId="77777777" w:rsidR="00FD3B47" w:rsidRPr="00E515ED" w:rsidRDefault="00FD3B47">
      <w:pPr>
        <w:pStyle w:val="Prrafodelista"/>
        <w:numPr>
          <w:ilvl w:val="0"/>
          <w:numId w:val="122"/>
        </w:numPr>
        <w:spacing w:after="120"/>
        <w:ind w:left="1418" w:right="261" w:hanging="284"/>
        <w:contextualSpacing w:val="0"/>
        <w:jc w:val="both"/>
        <w:rPr>
          <w:rFonts w:ascii="Arial" w:eastAsia="Arial" w:hAnsi="Arial"/>
          <w:bCs/>
          <w:sz w:val="22"/>
          <w:szCs w:val="22"/>
          <w:lang w:val="es-CR"/>
        </w:rPr>
      </w:pPr>
      <w:bookmarkStart w:id="83" w:name="page100"/>
      <w:bookmarkEnd w:id="83"/>
      <w:r w:rsidRPr="00E515ED">
        <w:rPr>
          <w:rFonts w:ascii="Arial" w:eastAsia="Arial" w:hAnsi="Arial"/>
          <w:bCs/>
          <w:sz w:val="22"/>
          <w:szCs w:val="22"/>
          <w:lang w:val="es-CR"/>
        </w:rPr>
        <w:t>Si la realización del ingreso es prácticamente cierta: se trata de un activo que es objeto de reconocimiento;</w:t>
      </w:r>
    </w:p>
    <w:p w14:paraId="50616557" w14:textId="77777777" w:rsidR="00FD3B47" w:rsidRPr="00E515ED" w:rsidRDefault="00FD3B47">
      <w:pPr>
        <w:pStyle w:val="Prrafodelista"/>
        <w:numPr>
          <w:ilvl w:val="0"/>
          <w:numId w:val="122"/>
        </w:numPr>
        <w:spacing w:after="120"/>
        <w:ind w:left="1418" w:right="261" w:hanging="284"/>
        <w:contextualSpacing w:val="0"/>
        <w:jc w:val="both"/>
        <w:rPr>
          <w:rFonts w:ascii="Arial" w:eastAsia="Arial" w:hAnsi="Arial"/>
          <w:bCs/>
          <w:sz w:val="22"/>
          <w:szCs w:val="22"/>
          <w:lang w:val="es-CR"/>
        </w:rPr>
      </w:pPr>
      <w:r w:rsidRPr="00E515ED">
        <w:rPr>
          <w:rFonts w:ascii="Arial" w:eastAsia="Arial" w:hAnsi="Arial"/>
          <w:bCs/>
          <w:sz w:val="22"/>
          <w:szCs w:val="22"/>
          <w:lang w:val="es-CR"/>
        </w:rPr>
        <w:t>Si es probable: se trata de un activo contingente que está sujeto a los requerimientos del presente capítulo;</w:t>
      </w:r>
    </w:p>
    <w:p w14:paraId="43799B1D" w14:textId="77777777" w:rsidR="00FD3B47" w:rsidRPr="00E515ED" w:rsidRDefault="00FD3B47" w:rsidP="00FD3B47">
      <w:pPr>
        <w:spacing w:line="9" w:lineRule="exact"/>
        <w:ind w:left="1418" w:hanging="284"/>
        <w:jc w:val="both"/>
        <w:rPr>
          <w:rFonts w:ascii="Arial" w:eastAsia="Arial" w:hAnsi="Arial"/>
          <w:bCs/>
          <w:sz w:val="22"/>
          <w:szCs w:val="22"/>
          <w:lang w:val="es-CR"/>
        </w:rPr>
      </w:pPr>
    </w:p>
    <w:p w14:paraId="2B407F94" w14:textId="77777777" w:rsidR="00FD3B47" w:rsidRDefault="00FD3B47">
      <w:pPr>
        <w:pStyle w:val="Prrafodelista"/>
        <w:numPr>
          <w:ilvl w:val="0"/>
          <w:numId w:val="122"/>
        </w:numPr>
        <w:spacing w:line="235" w:lineRule="auto"/>
        <w:ind w:left="1418" w:right="261" w:hanging="284"/>
        <w:contextualSpacing w:val="0"/>
        <w:jc w:val="both"/>
        <w:rPr>
          <w:rFonts w:ascii="Arial" w:eastAsia="Arial" w:hAnsi="Arial"/>
          <w:bCs/>
          <w:sz w:val="22"/>
          <w:szCs w:val="22"/>
          <w:lang w:val="es-CR"/>
        </w:rPr>
      </w:pPr>
      <w:r w:rsidRPr="00E515ED">
        <w:rPr>
          <w:rFonts w:ascii="Arial" w:eastAsia="Arial" w:hAnsi="Arial"/>
          <w:bCs/>
          <w:sz w:val="22"/>
          <w:szCs w:val="22"/>
          <w:lang w:val="es-CR"/>
        </w:rPr>
        <w:lastRenderedPageBreak/>
        <w:t>Si no es probable: no cumple ninguna de las condiciones de los dos puntos anteriores.</w:t>
      </w:r>
    </w:p>
    <w:p w14:paraId="525E5AE0" w14:textId="77777777" w:rsidR="00723E6B" w:rsidRPr="00723E6B" w:rsidRDefault="00723E6B" w:rsidP="00723E6B">
      <w:pPr>
        <w:spacing w:line="235" w:lineRule="auto"/>
        <w:ind w:right="261"/>
        <w:jc w:val="both"/>
        <w:rPr>
          <w:rFonts w:ascii="Arial" w:eastAsia="Arial" w:hAnsi="Arial"/>
          <w:bCs/>
          <w:sz w:val="22"/>
          <w:szCs w:val="22"/>
          <w:lang w:val="es-CR"/>
        </w:rPr>
      </w:pPr>
    </w:p>
    <w:p w14:paraId="667B3D9B" w14:textId="77777777" w:rsidR="00FD3B47" w:rsidRDefault="00FD3B47" w:rsidP="00FD3B47">
      <w:pPr>
        <w:spacing w:line="238" w:lineRule="auto"/>
        <w:ind w:left="1134" w:right="260" w:hanging="1134"/>
        <w:jc w:val="both"/>
        <w:rPr>
          <w:rFonts w:ascii="Arial" w:eastAsia="Arial" w:hAnsi="Arial"/>
          <w:b/>
          <w:sz w:val="22"/>
          <w:szCs w:val="22"/>
          <w:lang w:val="es-CR"/>
        </w:rPr>
      </w:pPr>
    </w:p>
    <w:tbl>
      <w:tblPr>
        <w:tblW w:w="9063" w:type="dxa"/>
        <w:tblLook w:val="04A0" w:firstRow="1" w:lastRow="0" w:firstColumn="1" w:lastColumn="0" w:noHBand="0" w:noVBand="1"/>
      </w:tblPr>
      <w:tblGrid>
        <w:gridCol w:w="585"/>
        <w:gridCol w:w="545"/>
        <w:gridCol w:w="565"/>
        <w:gridCol w:w="3257"/>
        <w:gridCol w:w="2126"/>
        <w:gridCol w:w="1985"/>
      </w:tblGrid>
      <w:tr w:rsidR="00FD3B47" w:rsidRPr="00472140" w14:paraId="54AF3420" w14:textId="77777777" w:rsidTr="00D16719">
        <w:trPr>
          <w:trHeight w:val="320"/>
        </w:trPr>
        <w:tc>
          <w:tcPr>
            <w:tcW w:w="169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0F75D38"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Norma / Política</w:t>
            </w:r>
          </w:p>
        </w:tc>
        <w:tc>
          <w:tcPr>
            <w:tcW w:w="3257" w:type="dxa"/>
            <w:vMerge w:val="restart"/>
            <w:tcBorders>
              <w:top w:val="single" w:sz="8" w:space="0" w:color="auto"/>
              <w:left w:val="single" w:sz="8" w:space="0" w:color="auto"/>
              <w:bottom w:val="nil"/>
              <w:right w:val="single" w:sz="8" w:space="0" w:color="auto"/>
            </w:tcBorders>
            <w:shd w:val="clear" w:color="000000" w:fill="203764"/>
            <w:vAlign w:val="center"/>
            <w:hideMark/>
          </w:tcPr>
          <w:p w14:paraId="4CBFF520"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7B2BA6E9"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Referencia</w:t>
            </w:r>
          </w:p>
        </w:tc>
      </w:tr>
      <w:tr w:rsidR="00FD3B47" w:rsidRPr="006E5442" w14:paraId="5CA67ACB" w14:textId="77777777" w:rsidTr="00D16719">
        <w:trPr>
          <w:trHeight w:val="940"/>
        </w:trPr>
        <w:tc>
          <w:tcPr>
            <w:tcW w:w="1695" w:type="dxa"/>
            <w:gridSpan w:val="3"/>
            <w:vMerge/>
            <w:tcBorders>
              <w:top w:val="single" w:sz="8" w:space="0" w:color="auto"/>
              <w:left w:val="single" w:sz="8" w:space="0" w:color="auto"/>
              <w:bottom w:val="nil"/>
              <w:right w:val="single" w:sz="8" w:space="0" w:color="000000"/>
            </w:tcBorders>
            <w:vAlign w:val="center"/>
            <w:hideMark/>
          </w:tcPr>
          <w:p w14:paraId="606F96A6" w14:textId="77777777" w:rsidR="00FD3B47" w:rsidRPr="00472140" w:rsidRDefault="00FD3B47" w:rsidP="00D16719">
            <w:pPr>
              <w:rPr>
                <w:rFonts w:ascii="Arial Narrow" w:eastAsia="Times New Roman" w:hAnsi="Arial Narrow" w:cs="Calibri"/>
                <w:b/>
                <w:bCs/>
                <w:color w:val="FFFFFF"/>
                <w:sz w:val="22"/>
                <w:szCs w:val="22"/>
              </w:rPr>
            </w:pPr>
          </w:p>
        </w:tc>
        <w:tc>
          <w:tcPr>
            <w:tcW w:w="3257" w:type="dxa"/>
            <w:vMerge/>
            <w:tcBorders>
              <w:top w:val="single" w:sz="8" w:space="0" w:color="auto"/>
              <w:left w:val="single" w:sz="8" w:space="0" w:color="auto"/>
              <w:bottom w:val="nil"/>
              <w:right w:val="single" w:sz="8" w:space="0" w:color="auto"/>
            </w:tcBorders>
            <w:vAlign w:val="center"/>
            <w:hideMark/>
          </w:tcPr>
          <w:p w14:paraId="33F35524" w14:textId="77777777" w:rsidR="00FD3B47" w:rsidRPr="00472140" w:rsidRDefault="00FD3B47" w:rsidP="00D16719">
            <w:pPr>
              <w:rPr>
                <w:rFonts w:ascii="Arial Narrow" w:eastAsia="Times New Roman" w:hAnsi="Arial Narrow" w:cs="Calibri"/>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19162311"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Norma</w:t>
            </w:r>
          </w:p>
        </w:tc>
        <w:tc>
          <w:tcPr>
            <w:tcW w:w="1985" w:type="dxa"/>
            <w:tcBorders>
              <w:top w:val="nil"/>
              <w:left w:val="nil"/>
              <w:bottom w:val="nil"/>
              <w:right w:val="single" w:sz="8" w:space="0" w:color="auto"/>
            </w:tcBorders>
            <w:shd w:val="clear" w:color="000000" w:fill="203764"/>
            <w:vAlign w:val="center"/>
            <w:hideMark/>
          </w:tcPr>
          <w:p w14:paraId="014C069E" w14:textId="77777777" w:rsidR="00FD3B47" w:rsidRPr="00472140" w:rsidRDefault="00FD3B47" w:rsidP="00D16719">
            <w:pPr>
              <w:jc w:val="center"/>
              <w:rPr>
                <w:rFonts w:ascii="Arial Narrow" w:eastAsia="Times New Roman" w:hAnsi="Arial Narrow" w:cs="Calibri"/>
                <w:b/>
                <w:bCs/>
                <w:color w:val="FFFFFF"/>
                <w:sz w:val="22"/>
                <w:szCs w:val="22"/>
                <w:lang w:val="es-CR"/>
              </w:rPr>
            </w:pPr>
            <w:r w:rsidRPr="00472140">
              <w:rPr>
                <w:rFonts w:ascii="Arial Narrow" w:eastAsia="Times New Roman" w:hAnsi="Arial Narrow" w:cs="Calibri"/>
                <w:b/>
                <w:bCs/>
                <w:color w:val="FFFFFF"/>
                <w:sz w:val="22"/>
                <w:szCs w:val="22"/>
                <w:lang w:val="es-CR"/>
              </w:rPr>
              <w:t>Normativa técnica y disposiciones adicionales</w:t>
            </w:r>
          </w:p>
        </w:tc>
      </w:tr>
      <w:tr w:rsidR="00FD3B47" w:rsidRPr="00472140" w14:paraId="67A7A9CF" w14:textId="77777777" w:rsidTr="00D16719">
        <w:trPr>
          <w:trHeight w:val="630"/>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C19BB4"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lang w:val="es-CR"/>
              </w:rPr>
              <w:t>1</w:t>
            </w:r>
          </w:p>
        </w:tc>
        <w:tc>
          <w:tcPr>
            <w:tcW w:w="545" w:type="dxa"/>
            <w:tcBorders>
              <w:top w:val="single" w:sz="8" w:space="0" w:color="auto"/>
              <w:left w:val="nil"/>
              <w:bottom w:val="single" w:sz="8" w:space="0" w:color="auto"/>
              <w:right w:val="single" w:sz="8" w:space="0" w:color="auto"/>
            </w:tcBorders>
            <w:shd w:val="clear" w:color="auto" w:fill="auto"/>
            <w:noWrap/>
            <w:vAlign w:val="center"/>
            <w:hideMark/>
          </w:tcPr>
          <w:p w14:paraId="137F4B85"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271</w:t>
            </w:r>
          </w:p>
        </w:tc>
        <w:tc>
          <w:tcPr>
            <w:tcW w:w="565" w:type="dxa"/>
            <w:tcBorders>
              <w:top w:val="single" w:sz="8" w:space="0" w:color="auto"/>
              <w:left w:val="nil"/>
              <w:bottom w:val="single" w:sz="8" w:space="0" w:color="auto"/>
              <w:right w:val="single" w:sz="8" w:space="0" w:color="auto"/>
            </w:tcBorders>
            <w:shd w:val="clear" w:color="auto" w:fill="auto"/>
            <w:vAlign w:val="center"/>
            <w:hideMark/>
          </w:tcPr>
          <w:p w14:paraId="1580DC00"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0</w:t>
            </w:r>
          </w:p>
        </w:tc>
        <w:tc>
          <w:tcPr>
            <w:tcW w:w="3257" w:type="dxa"/>
            <w:tcBorders>
              <w:top w:val="single" w:sz="8" w:space="0" w:color="auto"/>
              <w:left w:val="nil"/>
              <w:bottom w:val="single" w:sz="8" w:space="0" w:color="auto"/>
              <w:right w:val="single" w:sz="8" w:space="0" w:color="auto"/>
            </w:tcBorders>
            <w:shd w:val="clear" w:color="auto" w:fill="auto"/>
            <w:vAlign w:val="center"/>
            <w:hideMark/>
          </w:tcPr>
          <w:p w14:paraId="0B84A5B3" w14:textId="77777777" w:rsidR="00FD3B47" w:rsidRPr="00472140" w:rsidRDefault="00FD3B47" w:rsidP="00D16719">
            <w:pPr>
              <w:jc w:val="both"/>
              <w:rPr>
                <w:rFonts w:ascii="Arial Narrow" w:eastAsia="Times New Roman" w:hAnsi="Arial Narrow" w:cs="Calibri"/>
                <w:b/>
                <w:bCs/>
                <w:color w:val="000000"/>
                <w:sz w:val="22"/>
                <w:szCs w:val="22"/>
                <w:lang w:val="es-CR"/>
              </w:rPr>
            </w:pPr>
            <w:r w:rsidRPr="00472140">
              <w:rPr>
                <w:rFonts w:ascii="Arial Narrow" w:eastAsia="Times New Roman" w:hAnsi="Arial Narrow" w:cs="Calibri"/>
                <w:b/>
                <w:bCs/>
                <w:color w:val="000000"/>
                <w:sz w:val="22"/>
                <w:szCs w:val="22"/>
                <w:lang w:val="es-CR"/>
              </w:rPr>
              <w:t>Reconocimiento de un activo Contingente</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7AD57241" w14:textId="77777777" w:rsidR="00FD3B47" w:rsidRPr="00472140" w:rsidRDefault="00FD3B47" w:rsidP="00D16719">
            <w:pPr>
              <w:rPr>
                <w:rFonts w:ascii="Arial Narrow" w:eastAsia="Times New Roman" w:hAnsi="Arial Narrow" w:cs="Calibri"/>
                <w:b/>
                <w:bCs/>
                <w:color w:val="000000"/>
                <w:sz w:val="22"/>
                <w:szCs w:val="22"/>
                <w:lang w:val="es-CR"/>
              </w:rPr>
            </w:pPr>
            <w:r w:rsidRPr="00472140">
              <w:rPr>
                <w:rFonts w:ascii="Arial Narrow" w:eastAsia="Times New Roman" w:hAnsi="Arial Narrow" w:cs="Calibri"/>
                <w:b/>
                <w:bCs/>
                <w:color w:val="000000"/>
                <w:sz w:val="22"/>
                <w:szCs w:val="22"/>
                <w:lang w:val="es-CR"/>
              </w:rPr>
              <w:t>NICSP Nº 19,</w:t>
            </w:r>
            <w:r w:rsidRPr="00472140">
              <w:rPr>
                <w:rFonts w:ascii="Arial Narrow" w:eastAsia="Times New Roman" w:hAnsi="Arial Narrow" w:cs="Calibri"/>
                <w:b/>
                <w:bCs/>
                <w:color w:val="000000"/>
                <w:sz w:val="22"/>
                <w:szCs w:val="22"/>
                <w:lang w:val="es-CR"/>
              </w:rPr>
              <w:br/>
              <w:t>Párrafos 39 y 41 a 43.</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698D2A96"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DGCN</w:t>
            </w:r>
          </w:p>
        </w:tc>
      </w:tr>
      <w:tr w:rsidR="00FD3B47" w:rsidRPr="00472140" w14:paraId="157F5D63" w14:textId="77777777" w:rsidTr="00D16719">
        <w:trPr>
          <w:trHeight w:val="630"/>
        </w:trPr>
        <w:tc>
          <w:tcPr>
            <w:tcW w:w="585" w:type="dxa"/>
            <w:tcBorders>
              <w:top w:val="nil"/>
              <w:left w:val="single" w:sz="8" w:space="0" w:color="auto"/>
              <w:bottom w:val="single" w:sz="8" w:space="0" w:color="auto"/>
              <w:right w:val="single" w:sz="8" w:space="0" w:color="auto"/>
            </w:tcBorders>
            <w:shd w:val="clear" w:color="auto" w:fill="auto"/>
            <w:vAlign w:val="center"/>
            <w:hideMark/>
          </w:tcPr>
          <w:p w14:paraId="262A6AEE"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lang w:val="es-CR"/>
              </w:rPr>
              <w:t>1</w:t>
            </w:r>
          </w:p>
        </w:tc>
        <w:tc>
          <w:tcPr>
            <w:tcW w:w="545" w:type="dxa"/>
            <w:tcBorders>
              <w:top w:val="nil"/>
              <w:left w:val="nil"/>
              <w:bottom w:val="single" w:sz="8" w:space="0" w:color="auto"/>
              <w:right w:val="single" w:sz="8" w:space="0" w:color="auto"/>
            </w:tcBorders>
            <w:shd w:val="clear" w:color="auto" w:fill="auto"/>
            <w:noWrap/>
            <w:vAlign w:val="center"/>
            <w:hideMark/>
          </w:tcPr>
          <w:p w14:paraId="4454E22F"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271</w:t>
            </w:r>
          </w:p>
        </w:tc>
        <w:tc>
          <w:tcPr>
            <w:tcW w:w="565" w:type="dxa"/>
            <w:tcBorders>
              <w:top w:val="nil"/>
              <w:left w:val="nil"/>
              <w:bottom w:val="single" w:sz="8" w:space="0" w:color="auto"/>
              <w:right w:val="single" w:sz="8" w:space="0" w:color="auto"/>
            </w:tcBorders>
            <w:shd w:val="clear" w:color="auto" w:fill="auto"/>
            <w:vAlign w:val="center"/>
            <w:hideMark/>
          </w:tcPr>
          <w:p w14:paraId="077607FC"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1</w:t>
            </w:r>
          </w:p>
        </w:tc>
        <w:tc>
          <w:tcPr>
            <w:tcW w:w="3257" w:type="dxa"/>
            <w:tcBorders>
              <w:top w:val="nil"/>
              <w:left w:val="nil"/>
              <w:bottom w:val="single" w:sz="8" w:space="0" w:color="auto"/>
              <w:right w:val="single" w:sz="8" w:space="0" w:color="auto"/>
            </w:tcBorders>
            <w:shd w:val="clear" w:color="auto" w:fill="auto"/>
            <w:vAlign w:val="center"/>
            <w:hideMark/>
          </w:tcPr>
          <w:p w14:paraId="561CF908" w14:textId="77777777" w:rsidR="00FD3B47" w:rsidRPr="00472140" w:rsidRDefault="00FD3B47" w:rsidP="00D16719">
            <w:pPr>
              <w:jc w:val="both"/>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Compromisos de Donaciones</w:t>
            </w:r>
          </w:p>
        </w:tc>
        <w:tc>
          <w:tcPr>
            <w:tcW w:w="2126" w:type="dxa"/>
            <w:tcBorders>
              <w:top w:val="nil"/>
              <w:left w:val="nil"/>
              <w:bottom w:val="single" w:sz="8" w:space="0" w:color="auto"/>
              <w:right w:val="single" w:sz="8" w:space="0" w:color="auto"/>
            </w:tcBorders>
            <w:shd w:val="clear" w:color="auto" w:fill="auto"/>
            <w:vAlign w:val="center"/>
            <w:hideMark/>
          </w:tcPr>
          <w:p w14:paraId="308A815F" w14:textId="77777777" w:rsidR="00FD3B47" w:rsidRPr="00472140" w:rsidRDefault="00FD3B47" w:rsidP="00D16719">
            <w:pP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NICSP Nº 23,</w:t>
            </w:r>
            <w:r w:rsidRPr="00472140">
              <w:rPr>
                <w:rFonts w:ascii="Arial Narrow" w:eastAsia="Times New Roman" w:hAnsi="Arial Narrow" w:cs="Calibri"/>
                <w:b/>
                <w:bCs/>
                <w:color w:val="000000"/>
                <w:sz w:val="22"/>
                <w:szCs w:val="22"/>
              </w:rPr>
              <w:br/>
              <w:t>Párrafo 104.</w:t>
            </w:r>
          </w:p>
        </w:tc>
        <w:tc>
          <w:tcPr>
            <w:tcW w:w="1985" w:type="dxa"/>
            <w:tcBorders>
              <w:top w:val="nil"/>
              <w:left w:val="nil"/>
              <w:bottom w:val="single" w:sz="8" w:space="0" w:color="auto"/>
              <w:right w:val="single" w:sz="8" w:space="0" w:color="auto"/>
            </w:tcBorders>
            <w:shd w:val="clear" w:color="auto" w:fill="auto"/>
            <w:vAlign w:val="center"/>
            <w:hideMark/>
          </w:tcPr>
          <w:p w14:paraId="4C91EEB4"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DGCN</w:t>
            </w:r>
          </w:p>
        </w:tc>
      </w:tr>
    </w:tbl>
    <w:p w14:paraId="522E6B51" w14:textId="77777777" w:rsidR="00FD3B47" w:rsidRDefault="00FD3B47" w:rsidP="00FD3B47">
      <w:pPr>
        <w:spacing w:line="238" w:lineRule="auto"/>
        <w:ind w:right="260"/>
        <w:jc w:val="both"/>
        <w:rPr>
          <w:rFonts w:ascii="Arial" w:eastAsia="Arial" w:hAnsi="Arial"/>
          <w:b/>
          <w:sz w:val="22"/>
          <w:szCs w:val="22"/>
          <w:lang w:val="es-CR"/>
        </w:rPr>
      </w:pPr>
    </w:p>
    <w:p w14:paraId="7DB78222" w14:textId="04083C61" w:rsidR="00723E6B" w:rsidRDefault="00723E6B" w:rsidP="00FD3B47">
      <w:pPr>
        <w:spacing w:line="238" w:lineRule="auto"/>
        <w:ind w:right="260"/>
        <w:jc w:val="both"/>
        <w:rPr>
          <w:rFonts w:ascii="Arial" w:eastAsia="Arial" w:hAnsi="Arial"/>
          <w:b/>
          <w:sz w:val="22"/>
          <w:szCs w:val="22"/>
        </w:rPr>
      </w:pPr>
      <w:r w:rsidRPr="00F02F9D">
        <w:rPr>
          <w:rFonts w:ascii="Arial" w:eastAsia="Arial" w:hAnsi="Arial"/>
          <w:b/>
          <w:sz w:val="22"/>
          <w:szCs w:val="22"/>
        </w:rPr>
        <w:t>Políticas Contables</w:t>
      </w:r>
    </w:p>
    <w:p w14:paraId="1A9F4F8D" w14:textId="77777777" w:rsidR="00723E6B" w:rsidRDefault="00723E6B" w:rsidP="00FD3B47">
      <w:pPr>
        <w:spacing w:line="238" w:lineRule="auto"/>
        <w:ind w:right="260"/>
        <w:jc w:val="both"/>
        <w:rPr>
          <w:rFonts w:ascii="Arial" w:eastAsia="Arial" w:hAnsi="Arial"/>
          <w:b/>
          <w:sz w:val="22"/>
          <w:szCs w:val="22"/>
          <w:lang w:val="es-CR"/>
        </w:rPr>
      </w:pPr>
    </w:p>
    <w:p w14:paraId="59D7DFC9" w14:textId="77777777" w:rsidR="00FD3B47" w:rsidRPr="00AF3B95"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1.271.0.01</w:t>
      </w:r>
      <w:r>
        <w:rPr>
          <w:rFonts w:ascii="Arial" w:hAnsi="Arial"/>
          <w:sz w:val="22"/>
          <w:szCs w:val="22"/>
          <w:lang w:val="es-CR"/>
        </w:rPr>
        <w:tab/>
      </w:r>
      <w:r w:rsidRPr="00AF3B95">
        <w:rPr>
          <w:rFonts w:ascii="Arial" w:hAnsi="Arial"/>
          <w:sz w:val="22"/>
          <w:szCs w:val="22"/>
          <w:lang w:val="es-CR"/>
        </w:rPr>
        <w:t>Los activos contingentes sólo son objeto de revelación en las Notas y nunca deben reconocerse en los EEFF, ya que de lo contrario se daría lugar al reconocimiento de ingresos que podrían no realizarse nunca. No obstante, cuando la realización del ingreso sea prácticamente cierta, el activo correspondiente no es de carácter contingente y, por lo tanto, es apropiado reconocerlo.</w:t>
      </w:r>
    </w:p>
    <w:p w14:paraId="49B1084C" w14:textId="77777777" w:rsidR="00FD3B47" w:rsidRPr="00AF3B95" w:rsidRDefault="00FD3B47" w:rsidP="00FD3B47">
      <w:pPr>
        <w:spacing w:line="237" w:lineRule="auto"/>
        <w:ind w:left="1134" w:right="260" w:hanging="1134"/>
        <w:jc w:val="both"/>
        <w:rPr>
          <w:rFonts w:ascii="Arial" w:hAnsi="Arial"/>
          <w:sz w:val="22"/>
          <w:szCs w:val="22"/>
          <w:lang w:val="es-CR"/>
        </w:rPr>
      </w:pPr>
    </w:p>
    <w:p w14:paraId="27982321" w14:textId="77777777" w:rsidR="00FD3B47" w:rsidRPr="00AF3B95"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1.271.0.02</w:t>
      </w:r>
      <w:r>
        <w:rPr>
          <w:rFonts w:ascii="Arial" w:hAnsi="Arial"/>
          <w:sz w:val="22"/>
          <w:szCs w:val="22"/>
          <w:lang w:val="es-CR"/>
        </w:rPr>
        <w:tab/>
        <w:t>U</w:t>
      </w:r>
      <w:r w:rsidRPr="00AF3B95">
        <w:rPr>
          <w:rFonts w:ascii="Arial" w:hAnsi="Arial"/>
          <w:sz w:val="22"/>
          <w:szCs w:val="22"/>
          <w:lang w:val="es-CR"/>
        </w:rPr>
        <w:t>n activo contingente debe evaluarse de manera continuada para asegurar que su evolución está reflejada adecuadamente en los EEFF, pudiendo en algún momento pasar a tener carácter de activo cierto y, como consecuencia ser objeto de reconocimiento o, en el otro extremo, dejar de ser relevante y obligatorio revelar información en Notas a los EEFF.</w:t>
      </w:r>
    </w:p>
    <w:p w14:paraId="12886276" w14:textId="77777777" w:rsidR="00FD3B47" w:rsidRPr="00AF3B95" w:rsidRDefault="00FD3B47" w:rsidP="00FD3B47">
      <w:pPr>
        <w:spacing w:line="237" w:lineRule="auto"/>
        <w:ind w:left="1134" w:right="260" w:hanging="1134"/>
        <w:jc w:val="both"/>
        <w:rPr>
          <w:rFonts w:ascii="Arial" w:hAnsi="Arial"/>
          <w:sz w:val="22"/>
          <w:szCs w:val="22"/>
          <w:lang w:val="es-CR"/>
        </w:rPr>
      </w:pPr>
    </w:p>
    <w:p w14:paraId="1536088F" w14:textId="77777777" w:rsidR="00FD3B47" w:rsidRPr="00AF3B95"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1.271.1.01</w:t>
      </w:r>
      <w:r>
        <w:rPr>
          <w:rFonts w:ascii="Arial" w:hAnsi="Arial"/>
          <w:sz w:val="22"/>
          <w:szCs w:val="22"/>
          <w:lang w:val="es-CR"/>
        </w:rPr>
        <w:tab/>
      </w:r>
      <w:r w:rsidRPr="00AF3B95">
        <w:rPr>
          <w:rFonts w:ascii="Arial" w:hAnsi="Arial"/>
          <w:sz w:val="22"/>
          <w:szCs w:val="22"/>
          <w:lang w:val="es-CR"/>
        </w:rPr>
        <w:t>Los compromisos de donaciones, en caso de ser probable su ocurrencia, son objeto de ser revelados justificadamente como activos contingentes. A efectos de evaluar la probabilidad de ocurrencia y, por lo tanto, considerar o no la revelación de información, deberán considerarse los antecedentes de compromisos similares en ejercicios anteriores y el grado en el cual dichos compromisos han sido cumplidos, así como las entidades involucradas en los mismos.</w:t>
      </w:r>
    </w:p>
    <w:p w14:paraId="1D444AAA" w14:textId="77777777" w:rsidR="00FD3B47" w:rsidRDefault="00FD3B47" w:rsidP="00DB64CF">
      <w:pPr>
        <w:spacing w:line="237" w:lineRule="auto"/>
        <w:ind w:right="260"/>
        <w:jc w:val="both"/>
        <w:rPr>
          <w:rFonts w:ascii="Arial" w:hAnsi="Arial"/>
          <w:sz w:val="22"/>
          <w:szCs w:val="22"/>
          <w:lang w:val="es-CR"/>
        </w:rPr>
      </w:pPr>
    </w:p>
    <w:p w14:paraId="5FF12AE1" w14:textId="77777777" w:rsidR="00FD3B47" w:rsidRDefault="00FD3B47" w:rsidP="00FD3B47">
      <w:pPr>
        <w:spacing w:line="238" w:lineRule="auto"/>
        <w:ind w:left="1134" w:right="260" w:hanging="1134"/>
        <w:jc w:val="both"/>
        <w:rPr>
          <w:rFonts w:ascii="Arial" w:eastAsia="Arial" w:hAnsi="Arial"/>
          <w:b/>
          <w:sz w:val="22"/>
          <w:szCs w:val="22"/>
          <w:lang w:val="es-CR"/>
        </w:rPr>
      </w:pPr>
    </w:p>
    <w:tbl>
      <w:tblPr>
        <w:tblW w:w="9204" w:type="dxa"/>
        <w:tblLook w:val="04A0" w:firstRow="1" w:lastRow="0" w:firstColumn="1" w:lastColumn="0" w:noHBand="0" w:noVBand="1"/>
      </w:tblPr>
      <w:tblGrid>
        <w:gridCol w:w="587"/>
        <w:gridCol w:w="545"/>
        <w:gridCol w:w="564"/>
        <w:gridCol w:w="3256"/>
        <w:gridCol w:w="2239"/>
        <w:gridCol w:w="2013"/>
      </w:tblGrid>
      <w:tr w:rsidR="00FD3B47" w:rsidRPr="006825D8" w14:paraId="249951D8" w14:textId="77777777" w:rsidTr="00D16719">
        <w:trPr>
          <w:trHeight w:val="320"/>
        </w:trPr>
        <w:tc>
          <w:tcPr>
            <w:tcW w:w="169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206F2BF" w14:textId="77777777" w:rsidR="00FD3B47" w:rsidRPr="006825D8" w:rsidRDefault="00FD3B47" w:rsidP="00D16719">
            <w:pPr>
              <w:jc w:val="center"/>
              <w:rPr>
                <w:rFonts w:ascii="Arial Narrow" w:eastAsia="Times New Roman" w:hAnsi="Arial Narrow" w:cs="Calibri"/>
                <w:b/>
                <w:bCs/>
                <w:color w:val="FFFFFF"/>
                <w:sz w:val="24"/>
                <w:szCs w:val="24"/>
              </w:rPr>
            </w:pPr>
            <w:r w:rsidRPr="006825D8">
              <w:rPr>
                <w:rFonts w:ascii="Arial Narrow" w:eastAsia="Times New Roman" w:hAnsi="Arial Narrow" w:cs="Calibri"/>
                <w:b/>
                <w:bCs/>
                <w:color w:val="FFFFFF"/>
                <w:sz w:val="24"/>
                <w:szCs w:val="24"/>
              </w:rPr>
              <w:t>Norma / Política</w:t>
            </w:r>
          </w:p>
        </w:tc>
        <w:tc>
          <w:tcPr>
            <w:tcW w:w="3256" w:type="dxa"/>
            <w:vMerge w:val="restart"/>
            <w:tcBorders>
              <w:top w:val="single" w:sz="8" w:space="0" w:color="auto"/>
              <w:left w:val="single" w:sz="8" w:space="0" w:color="auto"/>
              <w:bottom w:val="nil"/>
              <w:right w:val="single" w:sz="8" w:space="0" w:color="auto"/>
            </w:tcBorders>
            <w:shd w:val="clear" w:color="000000" w:fill="203764"/>
            <w:vAlign w:val="center"/>
            <w:hideMark/>
          </w:tcPr>
          <w:p w14:paraId="1F9B70A4" w14:textId="77777777" w:rsidR="00FD3B47" w:rsidRPr="006825D8" w:rsidRDefault="00FD3B47" w:rsidP="00D16719">
            <w:pPr>
              <w:jc w:val="center"/>
              <w:rPr>
                <w:rFonts w:ascii="Arial Narrow" w:eastAsia="Times New Roman" w:hAnsi="Arial Narrow" w:cs="Calibri"/>
                <w:b/>
                <w:bCs/>
                <w:color w:val="FFFFFF"/>
                <w:sz w:val="24"/>
                <w:szCs w:val="24"/>
              </w:rPr>
            </w:pPr>
            <w:r w:rsidRPr="006825D8">
              <w:rPr>
                <w:rFonts w:ascii="Arial Narrow" w:eastAsia="Times New Roman" w:hAnsi="Arial Narrow" w:cs="Calibri"/>
                <w:b/>
                <w:bCs/>
                <w:color w:val="FFFFFF"/>
                <w:sz w:val="24"/>
                <w:szCs w:val="24"/>
              </w:rPr>
              <w:t>Concepto</w:t>
            </w:r>
          </w:p>
        </w:tc>
        <w:tc>
          <w:tcPr>
            <w:tcW w:w="4252" w:type="dxa"/>
            <w:gridSpan w:val="2"/>
            <w:tcBorders>
              <w:top w:val="single" w:sz="8" w:space="0" w:color="auto"/>
              <w:left w:val="nil"/>
              <w:bottom w:val="single" w:sz="8" w:space="0" w:color="auto"/>
              <w:right w:val="single" w:sz="8" w:space="0" w:color="000000"/>
            </w:tcBorders>
            <w:shd w:val="clear" w:color="000000" w:fill="203764"/>
            <w:vAlign w:val="center"/>
            <w:hideMark/>
          </w:tcPr>
          <w:p w14:paraId="293D0298" w14:textId="77777777" w:rsidR="00FD3B47" w:rsidRPr="006825D8" w:rsidRDefault="00FD3B47" w:rsidP="00D16719">
            <w:pPr>
              <w:jc w:val="center"/>
              <w:rPr>
                <w:rFonts w:ascii="Arial Narrow" w:eastAsia="Times New Roman" w:hAnsi="Arial Narrow" w:cs="Calibri"/>
                <w:b/>
                <w:bCs/>
                <w:color w:val="FFFFFF"/>
                <w:sz w:val="24"/>
                <w:szCs w:val="24"/>
              </w:rPr>
            </w:pPr>
            <w:r w:rsidRPr="006825D8">
              <w:rPr>
                <w:rFonts w:ascii="Arial Narrow" w:eastAsia="Times New Roman" w:hAnsi="Arial Narrow" w:cs="Calibri"/>
                <w:b/>
                <w:bCs/>
                <w:color w:val="FFFFFF"/>
                <w:sz w:val="24"/>
                <w:szCs w:val="24"/>
              </w:rPr>
              <w:t>Referencia</w:t>
            </w:r>
          </w:p>
        </w:tc>
      </w:tr>
      <w:tr w:rsidR="00FD3B47" w:rsidRPr="006E5442" w14:paraId="48442066" w14:textId="77777777" w:rsidTr="00D16719">
        <w:trPr>
          <w:trHeight w:val="872"/>
        </w:trPr>
        <w:tc>
          <w:tcPr>
            <w:tcW w:w="1696" w:type="dxa"/>
            <w:gridSpan w:val="3"/>
            <w:vMerge/>
            <w:tcBorders>
              <w:top w:val="single" w:sz="8" w:space="0" w:color="auto"/>
              <w:left w:val="single" w:sz="8" w:space="0" w:color="auto"/>
              <w:bottom w:val="nil"/>
              <w:right w:val="single" w:sz="8" w:space="0" w:color="000000"/>
            </w:tcBorders>
            <w:vAlign w:val="center"/>
            <w:hideMark/>
          </w:tcPr>
          <w:p w14:paraId="28E59008" w14:textId="77777777" w:rsidR="00FD3B47" w:rsidRPr="006825D8" w:rsidRDefault="00FD3B47" w:rsidP="00D16719">
            <w:pPr>
              <w:rPr>
                <w:rFonts w:ascii="Arial Narrow" w:eastAsia="Times New Roman" w:hAnsi="Arial Narrow" w:cs="Calibri"/>
                <w:b/>
                <w:bCs/>
                <w:color w:val="FFFFFF"/>
                <w:sz w:val="24"/>
                <w:szCs w:val="24"/>
              </w:rPr>
            </w:pPr>
          </w:p>
        </w:tc>
        <w:tc>
          <w:tcPr>
            <w:tcW w:w="3256" w:type="dxa"/>
            <w:vMerge/>
            <w:tcBorders>
              <w:top w:val="single" w:sz="8" w:space="0" w:color="auto"/>
              <w:left w:val="single" w:sz="8" w:space="0" w:color="auto"/>
              <w:bottom w:val="nil"/>
              <w:right w:val="single" w:sz="8" w:space="0" w:color="auto"/>
            </w:tcBorders>
            <w:vAlign w:val="center"/>
            <w:hideMark/>
          </w:tcPr>
          <w:p w14:paraId="09D33E1A" w14:textId="77777777" w:rsidR="00FD3B47" w:rsidRPr="006825D8" w:rsidRDefault="00FD3B47" w:rsidP="00D16719">
            <w:pPr>
              <w:rPr>
                <w:rFonts w:ascii="Arial Narrow" w:eastAsia="Times New Roman" w:hAnsi="Arial Narrow" w:cs="Calibri"/>
                <w:b/>
                <w:bCs/>
                <w:color w:val="FFFFFF"/>
                <w:sz w:val="24"/>
                <w:szCs w:val="24"/>
              </w:rPr>
            </w:pPr>
          </w:p>
        </w:tc>
        <w:tc>
          <w:tcPr>
            <w:tcW w:w="2239" w:type="dxa"/>
            <w:tcBorders>
              <w:top w:val="nil"/>
              <w:left w:val="nil"/>
              <w:bottom w:val="nil"/>
              <w:right w:val="single" w:sz="8" w:space="0" w:color="auto"/>
            </w:tcBorders>
            <w:shd w:val="clear" w:color="000000" w:fill="203764"/>
            <w:vAlign w:val="center"/>
            <w:hideMark/>
          </w:tcPr>
          <w:p w14:paraId="080231F5" w14:textId="77777777" w:rsidR="00FD3B47" w:rsidRPr="006825D8" w:rsidRDefault="00FD3B47" w:rsidP="00D16719">
            <w:pPr>
              <w:jc w:val="center"/>
              <w:rPr>
                <w:rFonts w:ascii="Arial Narrow" w:eastAsia="Times New Roman" w:hAnsi="Arial Narrow" w:cs="Calibri"/>
                <w:b/>
                <w:bCs/>
                <w:color w:val="FFFFFF"/>
                <w:sz w:val="24"/>
                <w:szCs w:val="24"/>
              </w:rPr>
            </w:pPr>
            <w:r w:rsidRPr="006825D8">
              <w:rPr>
                <w:rFonts w:ascii="Arial Narrow" w:eastAsia="Times New Roman" w:hAnsi="Arial Narrow" w:cs="Calibri"/>
                <w:b/>
                <w:bCs/>
                <w:color w:val="FFFFFF"/>
                <w:sz w:val="24"/>
                <w:szCs w:val="24"/>
              </w:rPr>
              <w:t>Norma</w:t>
            </w:r>
          </w:p>
        </w:tc>
        <w:tc>
          <w:tcPr>
            <w:tcW w:w="2013" w:type="dxa"/>
            <w:tcBorders>
              <w:top w:val="nil"/>
              <w:left w:val="nil"/>
              <w:bottom w:val="nil"/>
              <w:right w:val="single" w:sz="8" w:space="0" w:color="auto"/>
            </w:tcBorders>
            <w:shd w:val="clear" w:color="000000" w:fill="203764"/>
            <w:vAlign w:val="center"/>
            <w:hideMark/>
          </w:tcPr>
          <w:p w14:paraId="5743348E" w14:textId="77777777" w:rsidR="00FD3B47" w:rsidRPr="006825D8" w:rsidRDefault="00FD3B47" w:rsidP="00D16719">
            <w:pPr>
              <w:jc w:val="center"/>
              <w:rPr>
                <w:rFonts w:ascii="Arial Narrow" w:eastAsia="Times New Roman" w:hAnsi="Arial Narrow" w:cs="Calibri"/>
                <w:b/>
                <w:bCs/>
                <w:color w:val="FFFFFF"/>
                <w:sz w:val="24"/>
                <w:szCs w:val="24"/>
                <w:lang w:val="es-CR"/>
              </w:rPr>
            </w:pPr>
            <w:r w:rsidRPr="006825D8">
              <w:rPr>
                <w:rFonts w:ascii="Arial Narrow" w:eastAsia="Times New Roman" w:hAnsi="Arial Narrow" w:cs="Calibri"/>
                <w:b/>
                <w:bCs/>
                <w:color w:val="FFFFFF"/>
                <w:sz w:val="24"/>
                <w:szCs w:val="24"/>
                <w:lang w:val="es-CR"/>
              </w:rPr>
              <w:t>Normativa técnica y disposiciones adicionales</w:t>
            </w:r>
          </w:p>
        </w:tc>
      </w:tr>
      <w:tr w:rsidR="00FD3B47" w:rsidRPr="006825D8" w14:paraId="056025E8" w14:textId="77777777" w:rsidTr="00D16719">
        <w:trPr>
          <w:trHeight w:val="505"/>
        </w:trPr>
        <w:tc>
          <w:tcPr>
            <w:tcW w:w="58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9BC9B6"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1</w:t>
            </w:r>
          </w:p>
        </w:tc>
        <w:tc>
          <w:tcPr>
            <w:tcW w:w="545" w:type="dxa"/>
            <w:tcBorders>
              <w:top w:val="single" w:sz="8" w:space="0" w:color="auto"/>
              <w:left w:val="nil"/>
              <w:bottom w:val="single" w:sz="8" w:space="0" w:color="auto"/>
              <w:right w:val="single" w:sz="8" w:space="0" w:color="auto"/>
            </w:tcBorders>
            <w:shd w:val="clear" w:color="auto" w:fill="auto"/>
            <w:noWrap/>
            <w:vAlign w:val="center"/>
            <w:hideMark/>
          </w:tcPr>
          <w:p w14:paraId="0B963119"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272</w:t>
            </w:r>
          </w:p>
        </w:tc>
        <w:tc>
          <w:tcPr>
            <w:tcW w:w="564" w:type="dxa"/>
            <w:tcBorders>
              <w:top w:val="single" w:sz="8" w:space="0" w:color="auto"/>
              <w:left w:val="nil"/>
              <w:bottom w:val="single" w:sz="8" w:space="0" w:color="auto"/>
              <w:right w:val="single" w:sz="8" w:space="0" w:color="auto"/>
            </w:tcBorders>
            <w:shd w:val="clear" w:color="auto" w:fill="auto"/>
            <w:vAlign w:val="center"/>
            <w:hideMark/>
          </w:tcPr>
          <w:p w14:paraId="1BE647CD"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0</w:t>
            </w:r>
          </w:p>
        </w:tc>
        <w:tc>
          <w:tcPr>
            <w:tcW w:w="3256" w:type="dxa"/>
            <w:tcBorders>
              <w:top w:val="single" w:sz="8" w:space="0" w:color="auto"/>
              <w:left w:val="nil"/>
              <w:bottom w:val="single" w:sz="8" w:space="0" w:color="auto"/>
              <w:right w:val="single" w:sz="8" w:space="0" w:color="auto"/>
            </w:tcBorders>
            <w:shd w:val="clear" w:color="auto" w:fill="auto"/>
            <w:vAlign w:val="center"/>
            <w:hideMark/>
          </w:tcPr>
          <w:p w14:paraId="6C5D5465" w14:textId="77777777" w:rsidR="00FD3B47" w:rsidRPr="006825D8" w:rsidRDefault="00FD3B47" w:rsidP="00D16719">
            <w:pPr>
              <w:jc w:val="both"/>
              <w:rPr>
                <w:rFonts w:ascii="Arial Narrow" w:eastAsia="Times New Roman" w:hAnsi="Arial Narrow" w:cs="Calibri"/>
                <w:b/>
                <w:bCs/>
                <w:color w:val="000000"/>
                <w:sz w:val="22"/>
                <w:szCs w:val="22"/>
              </w:rPr>
            </w:pPr>
            <w:r w:rsidRPr="006825D8">
              <w:rPr>
                <w:rFonts w:ascii="Arial Narrow" w:eastAsia="Times New Roman" w:hAnsi="Arial Narrow" w:cs="Calibri"/>
                <w:b/>
                <w:bCs/>
                <w:color w:val="000000"/>
                <w:sz w:val="22"/>
                <w:szCs w:val="22"/>
              </w:rPr>
              <w:t>Información a revelar general</w:t>
            </w:r>
          </w:p>
        </w:tc>
        <w:tc>
          <w:tcPr>
            <w:tcW w:w="2239" w:type="dxa"/>
            <w:tcBorders>
              <w:top w:val="nil"/>
              <w:left w:val="nil"/>
              <w:bottom w:val="nil"/>
              <w:right w:val="nil"/>
            </w:tcBorders>
            <w:shd w:val="clear" w:color="auto" w:fill="auto"/>
            <w:vAlign w:val="center"/>
            <w:hideMark/>
          </w:tcPr>
          <w:p w14:paraId="537B8720" w14:textId="77777777" w:rsidR="00FD3B47" w:rsidRPr="006825D8" w:rsidRDefault="00FD3B47" w:rsidP="00D16719">
            <w:pPr>
              <w:rPr>
                <w:rFonts w:ascii="Arial Narrow" w:eastAsia="Times New Roman" w:hAnsi="Arial Narrow" w:cs="Calibri"/>
                <w:b/>
                <w:bCs/>
                <w:color w:val="000000"/>
                <w:sz w:val="22"/>
                <w:szCs w:val="22"/>
              </w:rPr>
            </w:pPr>
            <w:r w:rsidRPr="006825D8">
              <w:rPr>
                <w:rFonts w:ascii="Arial Narrow" w:eastAsia="Times New Roman" w:hAnsi="Arial Narrow" w:cs="Calibri"/>
                <w:b/>
                <w:bCs/>
                <w:color w:val="000000"/>
                <w:sz w:val="22"/>
                <w:szCs w:val="22"/>
              </w:rPr>
              <w:t>NICSP Nº 19, Párrafos 105, 106, 108 y 109.</w:t>
            </w:r>
          </w:p>
        </w:tc>
        <w:tc>
          <w:tcPr>
            <w:tcW w:w="20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FBA7C6" w14:textId="77777777" w:rsidR="00FD3B47" w:rsidRPr="006825D8" w:rsidRDefault="00FD3B47" w:rsidP="00D16719">
            <w:pPr>
              <w:jc w:val="center"/>
              <w:rPr>
                <w:rFonts w:ascii="Arial Narrow" w:eastAsia="Times New Roman" w:hAnsi="Arial Narrow" w:cs="Calibri"/>
                <w:b/>
                <w:bCs/>
                <w:color w:val="000000"/>
                <w:sz w:val="22"/>
                <w:szCs w:val="22"/>
              </w:rPr>
            </w:pPr>
            <w:r w:rsidRPr="006825D8">
              <w:rPr>
                <w:rFonts w:ascii="Arial Narrow" w:eastAsia="Times New Roman" w:hAnsi="Arial Narrow" w:cs="Calibri"/>
                <w:b/>
                <w:bCs/>
                <w:color w:val="000000"/>
                <w:sz w:val="22"/>
                <w:szCs w:val="22"/>
              </w:rPr>
              <w:t>DGCN</w:t>
            </w:r>
          </w:p>
        </w:tc>
      </w:tr>
      <w:tr w:rsidR="00FD3B47" w:rsidRPr="006825D8" w14:paraId="658006B7" w14:textId="77777777" w:rsidTr="00D16719">
        <w:trPr>
          <w:trHeight w:val="340"/>
        </w:trPr>
        <w:tc>
          <w:tcPr>
            <w:tcW w:w="587" w:type="dxa"/>
            <w:tcBorders>
              <w:top w:val="nil"/>
              <w:left w:val="single" w:sz="8" w:space="0" w:color="auto"/>
              <w:bottom w:val="single" w:sz="8" w:space="0" w:color="auto"/>
              <w:right w:val="single" w:sz="8" w:space="0" w:color="auto"/>
            </w:tcBorders>
            <w:shd w:val="clear" w:color="auto" w:fill="auto"/>
            <w:vAlign w:val="center"/>
            <w:hideMark/>
          </w:tcPr>
          <w:p w14:paraId="549AF9FD"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1</w:t>
            </w:r>
          </w:p>
        </w:tc>
        <w:tc>
          <w:tcPr>
            <w:tcW w:w="545" w:type="dxa"/>
            <w:tcBorders>
              <w:top w:val="nil"/>
              <w:left w:val="nil"/>
              <w:bottom w:val="single" w:sz="8" w:space="0" w:color="auto"/>
              <w:right w:val="single" w:sz="8" w:space="0" w:color="auto"/>
            </w:tcBorders>
            <w:shd w:val="clear" w:color="auto" w:fill="auto"/>
            <w:noWrap/>
            <w:vAlign w:val="center"/>
            <w:hideMark/>
          </w:tcPr>
          <w:p w14:paraId="58754E67"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272</w:t>
            </w:r>
          </w:p>
        </w:tc>
        <w:tc>
          <w:tcPr>
            <w:tcW w:w="564" w:type="dxa"/>
            <w:tcBorders>
              <w:top w:val="nil"/>
              <w:left w:val="nil"/>
              <w:bottom w:val="single" w:sz="8" w:space="0" w:color="auto"/>
              <w:right w:val="single" w:sz="8" w:space="0" w:color="auto"/>
            </w:tcBorders>
            <w:shd w:val="clear" w:color="auto" w:fill="auto"/>
            <w:vAlign w:val="center"/>
            <w:hideMark/>
          </w:tcPr>
          <w:p w14:paraId="274DAA0C"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1</w:t>
            </w:r>
          </w:p>
        </w:tc>
        <w:tc>
          <w:tcPr>
            <w:tcW w:w="3256" w:type="dxa"/>
            <w:tcBorders>
              <w:top w:val="nil"/>
              <w:left w:val="nil"/>
              <w:bottom w:val="single" w:sz="8" w:space="0" w:color="auto"/>
              <w:right w:val="single" w:sz="8" w:space="0" w:color="auto"/>
            </w:tcBorders>
            <w:shd w:val="clear" w:color="auto" w:fill="auto"/>
            <w:vAlign w:val="center"/>
            <w:hideMark/>
          </w:tcPr>
          <w:p w14:paraId="69816606" w14:textId="77777777" w:rsidR="00FD3B47" w:rsidRPr="006825D8" w:rsidRDefault="00FD3B47" w:rsidP="00D16719">
            <w:pPr>
              <w:jc w:val="both"/>
              <w:rPr>
                <w:rFonts w:ascii="Arial Narrow" w:eastAsia="Times New Roman" w:hAnsi="Arial Narrow" w:cs="Calibri"/>
                <w:b/>
                <w:bCs/>
                <w:color w:val="000000"/>
                <w:sz w:val="22"/>
                <w:szCs w:val="22"/>
              </w:rPr>
            </w:pPr>
            <w:r w:rsidRPr="006825D8">
              <w:rPr>
                <w:rFonts w:ascii="Arial Narrow" w:eastAsia="Times New Roman" w:hAnsi="Arial Narrow" w:cs="Calibri"/>
                <w:b/>
                <w:bCs/>
                <w:color w:val="000000"/>
                <w:sz w:val="22"/>
                <w:szCs w:val="22"/>
              </w:rPr>
              <w:t>Demandas judiciales</w:t>
            </w:r>
          </w:p>
        </w:tc>
        <w:tc>
          <w:tcPr>
            <w:tcW w:w="2239" w:type="dxa"/>
            <w:tcBorders>
              <w:top w:val="single" w:sz="8" w:space="0" w:color="auto"/>
              <w:left w:val="nil"/>
              <w:bottom w:val="single" w:sz="8" w:space="0" w:color="auto"/>
              <w:right w:val="single" w:sz="8" w:space="0" w:color="auto"/>
            </w:tcBorders>
            <w:shd w:val="clear" w:color="auto" w:fill="auto"/>
            <w:vAlign w:val="center"/>
            <w:hideMark/>
          </w:tcPr>
          <w:p w14:paraId="2433E1F4" w14:textId="77777777" w:rsidR="00FD3B47" w:rsidRPr="006825D8" w:rsidRDefault="00FD3B47" w:rsidP="00D16719">
            <w:pPr>
              <w:rPr>
                <w:rFonts w:ascii="Arial Narrow" w:eastAsia="Times New Roman" w:hAnsi="Arial Narrow" w:cs="Calibri"/>
                <w:b/>
                <w:bCs/>
                <w:color w:val="000000"/>
                <w:sz w:val="22"/>
                <w:szCs w:val="22"/>
              </w:rPr>
            </w:pPr>
            <w:r w:rsidRPr="006825D8">
              <w:rPr>
                <w:rFonts w:ascii="Arial Narrow" w:eastAsia="Times New Roman" w:hAnsi="Arial Narrow" w:cs="Calibri"/>
                <w:b/>
                <w:bCs/>
                <w:color w:val="000000"/>
                <w:sz w:val="22"/>
                <w:szCs w:val="22"/>
              </w:rPr>
              <w:t xml:space="preserve"> </w:t>
            </w:r>
          </w:p>
        </w:tc>
        <w:tc>
          <w:tcPr>
            <w:tcW w:w="2013" w:type="dxa"/>
            <w:tcBorders>
              <w:top w:val="nil"/>
              <w:left w:val="nil"/>
              <w:bottom w:val="single" w:sz="8" w:space="0" w:color="auto"/>
              <w:right w:val="single" w:sz="8" w:space="0" w:color="auto"/>
            </w:tcBorders>
            <w:shd w:val="clear" w:color="auto" w:fill="auto"/>
            <w:vAlign w:val="center"/>
            <w:hideMark/>
          </w:tcPr>
          <w:p w14:paraId="75700516" w14:textId="77777777" w:rsidR="00FD3B47" w:rsidRPr="006825D8" w:rsidRDefault="00FD3B47" w:rsidP="00D16719">
            <w:pPr>
              <w:jc w:val="center"/>
              <w:rPr>
                <w:rFonts w:ascii="Arial Narrow" w:eastAsia="Times New Roman" w:hAnsi="Arial Narrow" w:cs="Calibri"/>
                <w:b/>
                <w:bCs/>
                <w:color w:val="000000"/>
                <w:sz w:val="22"/>
                <w:szCs w:val="22"/>
              </w:rPr>
            </w:pPr>
            <w:r w:rsidRPr="006825D8">
              <w:rPr>
                <w:rFonts w:ascii="Arial Narrow" w:eastAsia="Times New Roman" w:hAnsi="Arial Narrow" w:cs="Calibri"/>
                <w:b/>
                <w:bCs/>
                <w:color w:val="000000"/>
                <w:sz w:val="22"/>
                <w:szCs w:val="22"/>
              </w:rPr>
              <w:t>DGCN</w:t>
            </w:r>
          </w:p>
        </w:tc>
      </w:tr>
      <w:tr w:rsidR="00FD3B47" w:rsidRPr="006825D8" w14:paraId="636CCA78" w14:textId="77777777" w:rsidTr="00D16719">
        <w:trPr>
          <w:trHeight w:val="570"/>
        </w:trPr>
        <w:tc>
          <w:tcPr>
            <w:tcW w:w="587" w:type="dxa"/>
            <w:tcBorders>
              <w:top w:val="nil"/>
              <w:left w:val="single" w:sz="8" w:space="0" w:color="auto"/>
              <w:bottom w:val="single" w:sz="8" w:space="0" w:color="auto"/>
              <w:right w:val="single" w:sz="8" w:space="0" w:color="auto"/>
            </w:tcBorders>
            <w:shd w:val="clear" w:color="auto" w:fill="auto"/>
            <w:vAlign w:val="center"/>
            <w:hideMark/>
          </w:tcPr>
          <w:p w14:paraId="7B8E7FB5"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1</w:t>
            </w:r>
          </w:p>
        </w:tc>
        <w:tc>
          <w:tcPr>
            <w:tcW w:w="545" w:type="dxa"/>
            <w:tcBorders>
              <w:top w:val="nil"/>
              <w:left w:val="nil"/>
              <w:bottom w:val="single" w:sz="8" w:space="0" w:color="auto"/>
              <w:right w:val="single" w:sz="8" w:space="0" w:color="auto"/>
            </w:tcBorders>
            <w:shd w:val="clear" w:color="auto" w:fill="auto"/>
            <w:noWrap/>
            <w:vAlign w:val="center"/>
            <w:hideMark/>
          </w:tcPr>
          <w:p w14:paraId="24C62BCE"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272</w:t>
            </w:r>
          </w:p>
        </w:tc>
        <w:tc>
          <w:tcPr>
            <w:tcW w:w="564" w:type="dxa"/>
            <w:tcBorders>
              <w:top w:val="nil"/>
              <w:left w:val="nil"/>
              <w:bottom w:val="single" w:sz="8" w:space="0" w:color="auto"/>
              <w:right w:val="single" w:sz="8" w:space="0" w:color="auto"/>
            </w:tcBorders>
            <w:shd w:val="clear" w:color="auto" w:fill="auto"/>
            <w:vAlign w:val="center"/>
            <w:hideMark/>
          </w:tcPr>
          <w:p w14:paraId="618B4AC9" w14:textId="77777777" w:rsidR="00FD3B47" w:rsidRPr="006825D8" w:rsidRDefault="00FD3B47" w:rsidP="00D16719">
            <w:pPr>
              <w:jc w:val="center"/>
              <w:rPr>
                <w:rFonts w:ascii="Arial Narrow" w:eastAsia="Times New Roman" w:hAnsi="Arial Narrow" w:cs="Calibri"/>
                <w:b/>
                <w:bCs/>
                <w:color w:val="000000"/>
                <w:sz w:val="24"/>
                <w:szCs w:val="24"/>
              </w:rPr>
            </w:pPr>
            <w:r w:rsidRPr="006825D8">
              <w:rPr>
                <w:rFonts w:ascii="Arial Narrow" w:eastAsia="Times New Roman" w:hAnsi="Arial Narrow" w:cs="Calibri"/>
                <w:b/>
                <w:bCs/>
                <w:color w:val="000000"/>
                <w:sz w:val="24"/>
                <w:szCs w:val="24"/>
              </w:rPr>
              <w:t>2</w:t>
            </w:r>
          </w:p>
        </w:tc>
        <w:tc>
          <w:tcPr>
            <w:tcW w:w="3256" w:type="dxa"/>
            <w:tcBorders>
              <w:top w:val="nil"/>
              <w:left w:val="nil"/>
              <w:bottom w:val="single" w:sz="8" w:space="0" w:color="auto"/>
              <w:right w:val="single" w:sz="8" w:space="0" w:color="auto"/>
            </w:tcBorders>
            <w:shd w:val="clear" w:color="auto" w:fill="auto"/>
            <w:vAlign w:val="center"/>
            <w:hideMark/>
          </w:tcPr>
          <w:p w14:paraId="37C0EFC4" w14:textId="77777777" w:rsidR="00FD3B47" w:rsidRPr="006825D8" w:rsidRDefault="00FD3B47" w:rsidP="00D16719">
            <w:pPr>
              <w:jc w:val="both"/>
              <w:rPr>
                <w:rFonts w:ascii="Arial Narrow" w:eastAsia="Times New Roman" w:hAnsi="Arial Narrow" w:cs="Calibri"/>
                <w:b/>
                <w:bCs/>
                <w:color w:val="000000"/>
                <w:sz w:val="22"/>
                <w:szCs w:val="22"/>
                <w:lang w:val="es-CR"/>
              </w:rPr>
            </w:pPr>
            <w:r w:rsidRPr="006825D8">
              <w:rPr>
                <w:rFonts w:ascii="Arial Narrow" w:eastAsia="Times New Roman" w:hAnsi="Arial Narrow" w:cs="Calibri"/>
                <w:b/>
                <w:bCs/>
                <w:color w:val="000000"/>
                <w:sz w:val="22"/>
                <w:szCs w:val="22"/>
                <w:lang w:val="es-CR"/>
              </w:rPr>
              <w:t>Garantías recibidas distintas de efectivo</w:t>
            </w:r>
          </w:p>
        </w:tc>
        <w:tc>
          <w:tcPr>
            <w:tcW w:w="2239" w:type="dxa"/>
            <w:tcBorders>
              <w:top w:val="nil"/>
              <w:left w:val="nil"/>
              <w:bottom w:val="single" w:sz="8" w:space="0" w:color="auto"/>
              <w:right w:val="single" w:sz="8" w:space="0" w:color="auto"/>
            </w:tcBorders>
            <w:shd w:val="clear" w:color="auto" w:fill="auto"/>
            <w:vAlign w:val="center"/>
            <w:hideMark/>
          </w:tcPr>
          <w:p w14:paraId="7FBAF782" w14:textId="77777777" w:rsidR="00FD3B47" w:rsidRPr="006825D8" w:rsidRDefault="00FD3B47" w:rsidP="00D16719">
            <w:pPr>
              <w:rPr>
                <w:rFonts w:ascii="Arial Narrow" w:eastAsia="Times New Roman" w:hAnsi="Arial Narrow" w:cs="Calibri"/>
                <w:b/>
                <w:bCs/>
                <w:color w:val="000000"/>
                <w:sz w:val="22"/>
                <w:szCs w:val="22"/>
              </w:rPr>
            </w:pPr>
            <w:r w:rsidRPr="006825D8">
              <w:rPr>
                <w:rFonts w:ascii="Arial Narrow" w:eastAsia="Times New Roman" w:hAnsi="Arial Narrow" w:cs="Calibri"/>
                <w:b/>
                <w:bCs/>
                <w:color w:val="000000"/>
                <w:sz w:val="22"/>
                <w:szCs w:val="22"/>
              </w:rPr>
              <w:t xml:space="preserve">NICSP N° 19, </w:t>
            </w:r>
            <w:r w:rsidRPr="006825D8">
              <w:rPr>
                <w:rFonts w:ascii="Arial Narrow" w:eastAsia="Times New Roman" w:hAnsi="Arial Narrow" w:cs="Calibri"/>
                <w:b/>
                <w:bCs/>
                <w:color w:val="000000"/>
                <w:sz w:val="22"/>
                <w:szCs w:val="22"/>
              </w:rPr>
              <w:br/>
              <w:t>Párrafo 4.</w:t>
            </w:r>
          </w:p>
        </w:tc>
        <w:tc>
          <w:tcPr>
            <w:tcW w:w="2013" w:type="dxa"/>
            <w:tcBorders>
              <w:top w:val="nil"/>
              <w:left w:val="nil"/>
              <w:bottom w:val="single" w:sz="8" w:space="0" w:color="auto"/>
              <w:right w:val="single" w:sz="8" w:space="0" w:color="auto"/>
            </w:tcBorders>
            <w:shd w:val="clear" w:color="auto" w:fill="auto"/>
            <w:vAlign w:val="center"/>
            <w:hideMark/>
          </w:tcPr>
          <w:p w14:paraId="42B6371A" w14:textId="77777777" w:rsidR="00FD3B47" w:rsidRPr="006825D8" w:rsidRDefault="00FD3B47" w:rsidP="00D16719">
            <w:pPr>
              <w:jc w:val="center"/>
              <w:rPr>
                <w:rFonts w:ascii="Arial Narrow" w:eastAsia="Times New Roman" w:hAnsi="Arial Narrow" w:cs="Calibri"/>
                <w:b/>
                <w:bCs/>
                <w:color w:val="000000"/>
                <w:sz w:val="22"/>
                <w:szCs w:val="22"/>
              </w:rPr>
            </w:pPr>
            <w:r w:rsidRPr="006825D8">
              <w:rPr>
                <w:rFonts w:ascii="Arial Narrow" w:eastAsia="Times New Roman" w:hAnsi="Arial Narrow" w:cs="Calibri"/>
                <w:b/>
                <w:bCs/>
                <w:color w:val="000000"/>
                <w:sz w:val="22"/>
                <w:szCs w:val="22"/>
              </w:rPr>
              <w:t>DGCN</w:t>
            </w:r>
          </w:p>
        </w:tc>
      </w:tr>
    </w:tbl>
    <w:p w14:paraId="209B0D93" w14:textId="77777777" w:rsidR="00FD3B47" w:rsidRDefault="00FD3B47" w:rsidP="00FD3B47">
      <w:pPr>
        <w:spacing w:line="238" w:lineRule="auto"/>
        <w:ind w:left="1134" w:right="260" w:hanging="1134"/>
        <w:jc w:val="both"/>
        <w:rPr>
          <w:rFonts w:ascii="Arial" w:eastAsia="Arial" w:hAnsi="Arial"/>
          <w:b/>
          <w:sz w:val="22"/>
          <w:szCs w:val="22"/>
          <w:lang w:val="es-CR"/>
        </w:rPr>
      </w:pPr>
    </w:p>
    <w:p w14:paraId="73D87299" w14:textId="51B150E4" w:rsidR="00723E6B" w:rsidRDefault="00723E6B"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09258E33" w14:textId="77777777" w:rsidR="00723E6B" w:rsidRDefault="00723E6B" w:rsidP="00FD3B47">
      <w:pPr>
        <w:spacing w:line="238" w:lineRule="auto"/>
        <w:ind w:left="1134" w:right="260" w:hanging="1134"/>
        <w:jc w:val="both"/>
        <w:rPr>
          <w:rFonts w:ascii="Arial" w:eastAsia="Arial" w:hAnsi="Arial"/>
          <w:b/>
          <w:sz w:val="22"/>
          <w:szCs w:val="22"/>
          <w:lang w:val="es-CR"/>
        </w:rPr>
      </w:pPr>
    </w:p>
    <w:p w14:paraId="776492D2" w14:textId="77777777" w:rsidR="00FD3B47"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1.272.0.01</w:t>
      </w:r>
      <w:r>
        <w:rPr>
          <w:rFonts w:ascii="Arial" w:hAnsi="Arial"/>
          <w:sz w:val="22"/>
          <w:szCs w:val="22"/>
          <w:lang w:val="es-CR"/>
        </w:rPr>
        <w:tab/>
      </w:r>
      <w:r w:rsidRPr="006825D8">
        <w:rPr>
          <w:rFonts w:ascii="Arial" w:hAnsi="Arial"/>
          <w:sz w:val="22"/>
          <w:szCs w:val="22"/>
          <w:lang w:val="es-CR"/>
        </w:rPr>
        <w:t>Cuando sea probable y haya una razonable expectativa que exista un flujo de entrada de beneficios económicos o potencial de servicio futuros, deberá revelarse la siguiente información en los EEFF:</w:t>
      </w:r>
    </w:p>
    <w:p w14:paraId="68617AFF" w14:textId="77777777" w:rsidR="00FD3B47" w:rsidRPr="006825D8" w:rsidRDefault="00FD3B47" w:rsidP="00FD3B47">
      <w:pPr>
        <w:spacing w:line="237" w:lineRule="auto"/>
        <w:ind w:left="1134" w:right="260" w:hanging="1134"/>
        <w:jc w:val="both"/>
        <w:rPr>
          <w:rFonts w:ascii="Arial" w:hAnsi="Arial"/>
          <w:sz w:val="22"/>
          <w:szCs w:val="22"/>
          <w:lang w:val="es-CR"/>
        </w:rPr>
      </w:pPr>
    </w:p>
    <w:p w14:paraId="7EB87A73" w14:textId="77777777" w:rsidR="00FD3B47" w:rsidRPr="00627673" w:rsidRDefault="00FD3B47" w:rsidP="00FD3B47">
      <w:pPr>
        <w:spacing w:line="10" w:lineRule="exact"/>
        <w:rPr>
          <w:rFonts w:ascii="Times New Roman" w:eastAsia="Times New Roman" w:hAnsi="Times New Roman"/>
          <w:lang w:val="es-CR"/>
        </w:rPr>
      </w:pPr>
    </w:p>
    <w:p w14:paraId="28584DD4" w14:textId="49F566EC" w:rsidR="00FD3B47" w:rsidRPr="00723E6B" w:rsidRDefault="00FD3B47" w:rsidP="00723E6B">
      <w:pPr>
        <w:numPr>
          <w:ilvl w:val="0"/>
          <w:numId w:val="123"/>
        </w:numPr>
        <w:spacing w:after="120"/>
        <w:ind w:left="1418" w:right="260" w:hanging="335"/>
        <w:rPr>
          <w:rFonts w:ascii="Arial" w:eastAsia="Arial" w:hAnsi="Arial"/>
          <w:bCs/>
          <w:sz w:val="22"/>
          <w:szCs w:val="22"/>
          <w:lang w:val="es-CR"/>
        </w:rPr>
      </w:pPr>
      <w:r>
        <w:rPr>
          <w:rFonts w:ascii="Arial" w:eastAsia="Arial" w:hAnsi="Arial"/>
          <w:bCs/>
          <w:sz w:val="22"/>
          <w:szCs w:val="22"/>
          <w:lang w:val="es-CR"/>
        </w:rPr>
        <w:lastRenderedPageBreak/>
        <w:t>U</w:t>
      </w:r>
      <w:r w:rsidRPr="006825D8">
        <w:rPr>
          <w:rFonts w:ascii="Arial" w:eastAsia="Arial" w:hAnsi="Arial"/>
          <w:bCs/>
          <w:sz w:val="22"/>
          <w:szCs w:val="22"/>
          <w:lang w:val="es-CR"/>
        </w:rPr>
        <w:t>na breve descripción de la naturaleza de los activos contingentes en la fecha sobre la que se informa;</w:t>
      </w:r>
    </w:p>
    <w:p w14:paraId="6655D428" w14:textId="40E88411" w:rsidR="00FD3B47" w:rsidRPr="00723E6B" w:rsidRDefault="00FD3B47" w:rsidP="00723E6B">
      <w:pPr>
        <w:numPr>
          <w:ilvl w:val="0"/>
          <w:numId w:val="123"/>
        </w:numPr>
        <w:spacing w:after="120"/>
        <w:ind w:left="1418" w:right="260" w:hanging="335"/>
        <w:rPr>
          <w:rFonts w:ascii="Arial" w:eastAsia="Arial" w:hAnsi="Arial"/>
          <w:bCs/>
          <w:sz w:val="22"/>
          <w:szCs w:val="22"/>
          <w:lang w:val="es-CR"/>
        </w:rPr>
      </w:pPr>
      <w:r>
        <w:rPr>
          <w:rFonts w:ascii="Arial" w:eastAsia="Arial" w:hAnsi="Arial"/>
          <w:bCs/>
          <w:sz w:val="22"/>
          <w:szCs w:val="22"/>
          <w:lang w:val="es-CR"/>
        </w:rPr>
        <w:t>D</w:t>
      </w:r>
      <w:r w:rsidRPr="006825D8">
        <w:rPr>
          <w:rFonts w:ascii="Arial" w:eastAsia="Arial" w:hAnsi="Arial"/>
          <w:bCs/>
          <w:sz w:val="22"/>
          <w:szCs w:val="22"/>
          <w:lang w:val="es-CR"/>
        </w:rPr>
        <w:t>e resultar factible, una estimación de sus efectos financieros, medidos según las estipulaciones aplicables a provisiones;</w:t>
      </w:r>
    </w:p>
    <w:p w14:paraId="246BA653" w14:textId="29B3E9DC" w:rsidR="00FD3B47" w:rsidRPr="00723E6B" w:rsidRDefault="00FD3B47" w:rsidP="00723E6B">
      <w:pPr>
        <w:numPr>
          <w:ilvl w:val="0"/>
          <w:numId w:val="123"/>
        </w:numPr>
        <w:spacing w:after="120"/>
        <w:ind w:left="1418" w:right="260" w:hanging="335"/>
        <w:jc w:val="both"/>
        <w:rPr>
          <w:rFonts w:ascii="Arial" w:eastAsia="Arial" w:hAnsi="Arial"/>
          <w:bCs/>
          <w:sz w:val="22"/>
          <w:szCs w:val="22"/>
          <w:lang w:val="es-CR"/>
        </w:rPr>
      </w:pPr>
      <w:r>
        <w:rPr>
          <w:rFonts w:ascii="Arial" w:eastAsia="Arial" w:hAnsi="Arial"/>
          <w:bCs/>
          <w:sz w:val="22"/>
          <w:szCs w:val="22"/>
          <w:lang w:val="es-CR"/>
        </w:rPr>
        <w:t>L</w:t>
      </w:r>
      <w:r w:rsidRPr="006825D8">
        <w:rPr>
          <w:rFonts w:ascii="Arial" w:eastAsia="Arial" w:hAnsi="Arial"/>
          <w:bCs/>
          <w:sz w:val="22"/>
          <w:szCs w:val="22"/>
          <w:lang w:val="es-CR"/>
        </w:rPr>
        <w:t>a naturaleza del acuerdo que sustente el activo contingente objeto de revelación y los juicios aplicados para determinar la probabilidad de ingreso futuro a la entidad;</w:t>
      </w:r>
    </w:p>
    <w:p w14:paraId="1FCA62C4" w14:textId="0FB78B28" w:rsidR="00FD3B47" w:rsidRPr="00723E6B" w:rsidRDefault="00FD3B47" w:rsidP="00723E6B">
      <w:pPr>
        <w:numPr>
          <w:ilvl w:val="0"/>
          <w:numId w:val="123"/>
        </w:numPr>
        <w:spacing w:after="120"/>
        <w:ind w:left="1418" w:right="260" w:hanging="335"/>
        <w:jc w:val="both"/>
        <w:rPr>
          <w:rFonts w:ascii="Arial" w:eastAsia="Arial" w:hAnsi="Arial"/>
          <w:bCs/>
          <w:sz w:val="22"/>
          <w:szCs w:val="22"/>
          <w:lang w:val="es-CR"/>
        </w:rPr>
      </w:pPr>
      <w:r>
        <w:rPr>
          <w:rFonts w:ascii="Arial" w:eastAsia="Arial" w:hAnsi="Arial"/>
          <w:bCs/>
          <w:sz w:val="22"/>
          <w:szCs w:val="22"/>
          <w:lang w:val="es-CR"/>
        </w:rPr>
        <w:t>E</w:t>
      </w:r>
      <w:r w:rsidRPr="006825D8">
        <w:rPr>
          <w:rFonts w:ascii="Arial" w:eastAsia="Arial" w:hAnsi="Arial"/>
          <w:bCs/>
          <w:sz w:val="22"/>
          <w:szCs w:val="22"/>
          <w:lang w:val="es-CR"/>
        </w:rPr>
        <w:t>n caso de que la revelación de información pudiera comprometer la posición de la entidad en un litigio con terceros, la naturaleza del litigio y las razones que justifican la ausencia de revelación;</w:t>
      </w:r>
    </w:p>
    <w:p w14:paraId="3B168A70" w14:textId="6F749255" w:rsidR="00FD3B47" w:rsidRPr="00723E6B" w:rsidRDefault="00FD3B47" w:rsidP="00723E6B">
      <w:pPr>
        <w:numPr>
          <w:ilvl w:val="0"/>
          <w:numId w:val="123"/>
        </w:numPr>
        <w:spacing w:after="120"/>
        <w:ind w:left="1418" w:right="260" w:hanging="335"/>
        <w:rPr>
          <w:rFonts w:ascii="Arial" w:eastAsia="Arial" w:hAnsi="Arial"/>
          <w:bCs/>
          <w:sz w:val="22"/>
          <w:szCs w:val="22"/>
          <w:lang w:val="es-CR"/>
        </w:rPr>
      </w:pPr>
      <w:r>
        <w:rPr>
          <w:rFonts w:ascii="Arial" w:eastAsia="Arial" w:hAnsi="Arial"/>
          <w:bCs/>
          <w:sz w:val="22"/>
          <w:szCs w:val="22"/>
          <w:lang w:val="es-CR"/>
        </w:rPr>
        <w:t>O</w:t>
      </w:r>
      <w:r w:rsidRPr="006825D8">
        <w:rPr>
          <w:rFonts w:ascii="Arial" w:eastAsia="Arial" w:hAnsi="Arial"/>
          <w:bCs/>
          <w:sz w:val="22"/>
          <w:szCs w:val="22"/>
          <w:lang w:val="es-CR"/>
        </w:rPr>
        <w:t>tras razones por las cuales no resulte factible revelar alguno de los requerimientos de información anteriores; y</w:t>
      </w:r>
    </w:p>
    <w:p w14:paraId="5829705D" w14:textId="750ACA99" w:rsidR="00FD3B47" w:rsidRDefault="00FD3B47" w:rsidP="00723E6B">
      <w:pPr>
        <w:numPr>
          <w:ilvl w:val="0"/>
          <w:numId w:val="123"/>
        </w:numPr>
        <w:ind w:left="1418" w:right="261" w:hanging="335"/>
        <w:rPr>
          <w:rFonts w:ascii="Arial" w:eastAsia="Arial" w:hAnsi="Arial"/>
          <w:bCs/>
          <w:sz w:val="22"/>
          <w:szCs w:val="22"/>
          <w:lang w:val="es-CR"/>
        </w:rPr>
      </w:pPr>
      <w:r>
        <w:rPr>
          <w:rFonts w:ascii="Arial" w:eastAsia="Arial" w:hAnsi="Arial"/>
          <w:bCs/>
          <w:sz w:val="22"/>
          <w:szCs w:val="22"/>
          <w:lang w:val="es-CR"/>
        </w:rPr>
        <w:t>T</w:t>
      </w:r>
      <w:r w:rsidRPr="006825D8">
        <w:rPr>
          <w:rFonts w:ascii="Arial" w:eastAsia="Arial" w:hAnsi="Arial"/>
          <w:bCs/>
          <w:sz w:val="22"/>
          <w:szCs w:val="22"/>
          <w:lang w:val="es-CR"/>
        </w:rPr>
        <w:t xml:space="preserve">oda otra información que oportunamente, con carácter permanente o específico para un ejercicio en particular, requiera incluir la </w:t>
      </w:r>
      <w:r w:rsidR="000F29DC">
        <w:rPr>
          <w:rFonts w:ascii="Arial" w:eastAsia="Arial" w:hAnsi="Arial"/>
          <w:bCs/>
          <w:sz w:val="22"/>
          <w:szCs w:val="22"/>
          <w:lang w:val="es-CR"/>
        </w:rPr>
        <w:t>MBA</w:t>
      </w:r>
      <w:r w:rsidR="00723E6B">
        <w:rPr>
          <w:rFonts w:ascii="Arial" w:eastAsia="Arial" w:hAnsi="Arial"/>
          <w:bCs/>
          <w:sz w:val="22"/>
          <w:szCs w:val="22"/>
          <w:lang w:val="es-CR"/>
        </w:rPr>
        <w:t>.</w:t>
      </w:r>
    </w:p>
    <w:p w14:paraId="5BDBC7FA" w14:textId="77777777" w:rsidR="00723E6B" w:rsidRPr="00723E6B" w:rsidRDefault="00723E6B" w:rsidP="00723E6B">
      <w:pPr>
        <w:ind w:right="261"/>
        <w:rPr>
          <w:rFonts w:ascii="Arial" w:eastAsia="Arial" w:hAnsi="Arial"/>
          <w:bCs/>
          <w:sz w:val="22"/>
          <w:szCs w:val="22"/>
          <w:lang w:val="es-CR"/>
        </w:rPr>
      </w:pPr>
    </w:p>
    <w:p w14:paraId="48C8792D" w14:textId="77777777" w:rsidR="00FD3B47"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1.272.1.01</w:t>
      </w:r>
      <w:r>
        <w:rPr>
          <w:rFonts w:ascii="Arial" w:hAnsi="Arial"/>
          <w:sz w:val="22"/>
          <w:szCs w:val="22"/>
          <w:lang w:val="es-CR"/>
        </w:rPr>
        <w:tab/>
      </w:r>
      <w:r w:rsidRPr="006825D8">
        <w:rPr>
          <w:rFonts w:ascii="Arial" w:hAnsi="Arial"/>
          <w:sz w:val="22"/>
          <w:szCs w:val="22"/>
          <w:lang w:val="es-CR"/>
        </w:rPr>
        <w:t>Independientemente de la probabilidad de ingreso de beneficios económicos o potencial de servicio futuros a la entidad, deberá revelarse como mínimo la siguiente información respecto de litigios (demandas o juicios) en los que la entidad tenga carácter de actora o demandante:</w:t>
      </w:r>
    </w:p>
    <w:p w14:paraId="4DDD8193" w14:textId="77777777" w:rsidR="00FD3B47" w:rsidRPr="006825D8" w:rsidRDefault="00FD3B47" w:rsidP="00FD3B47">
      <w:pPr>
        <w:spacing w:line="237" w:lineRule="auto"/>
        <w:ind w:left="1134" w:right="260" w:hanging="1134"/>
        <w:jc w:val="both"/>
        <w:rPr>
          <w:rFonts w:ascii="Arial" w:hAnsi="Arial"/>
          <w:sz w:val="22"/>
          <w:szCs w:val="22"/>
          <w:lang w:val="es-CR"/>
        </w:rPr>
      </w:pPr>
    </w:p>
    <w:p w14:paraId="45C0B028" w14:textId="77777777" w:rsidR="00FD3B47" w:rsidRPr="006825D8" w:rsidRDefault="00FD3B47">
      <w:pPr>
        <w:pStyle w:val="Prrafodelista"/>
        <w:numPr>
          <w:ilvl w:val="0"/>
          <w:numId w:val="124"/>
        </w:numPr>
        <w:tabs>
          <w:tab w:val="left" w:pos="1100"/>
        </w:tabs>
        <w:spacing w:after="120"/>
        <w:ind w:left="1418"/>
        <w:contextualSpacing w:val="0"/>
        <w:rPr>
          <w:rFonts w:ascii="Arial" w:eastAsia="Arial" w:hAnsi="Arial"/>
          <w:bCs/>
          <w:sz w:val="24"/>
          <w:lang w:val="es-CR"/>
        </w:rPr>
      </w:pPr>
      <w:r w:rsidRPr="006825D8">
        <w:rPr>
          <w:rFonts w:ascii="Arial" w:eastAsia="Arial" w:hAnsi="Arial"/>
          <w:bCs/>
          <w:sz w:val="24"/>
          <w:lang w:val="es-CR"/>
        </w:rPr>
        <w:t>La naturaleza general del litigio;</w:t>
      </w:r>
    </w:p>
    <w:p w14:paraId="0C32BA83" w14:textId="77777777" w:rsidR="00FD3B47" w:rsidRPr="006825D8" w:rsidRDefault="00FD3B47">
      <w:pPr>
        <w:pStyle w:val="Prrafodelista"/>
        <w:numPr>
          <w:ilvl w:val="0"/>
          <w:numId w:val="124"/>
        </w:numPr>
        <w:tabs>
          <w:tab w:val="left" w:pos="1100"/>
        </w:tabs>
        <w:spacing w:after="120"/>
        <w:ind w:left="1418"/>
        <w:contextualSpacing w:val="0"/>
        <w:rPr>
          <w:rFonts w:ascii="Arial" w:eastAsia="Arial" w:hAnsi="Arial"/>
          <w:bCs/>
          <w:sz w:val="24"/>
          <w:lang w:val="es-CR"/>
        </w:rPr>
      </w:pPr>
      <w:r w:rsidRPr="006825D8">
        <w:rPr>
          <w:rFonts w:ascii="Arial" w:eastAsia="Arial" w:hAnsi="Arial"/>
          <w:bCs/>
          <w:sz w:val="24"/>
          <w:lang w:val="es-CR"/>
        </w:rPr>
        <w:t>El monto demandado;</w:t>
      </w:r>
    </w:p>
    <w:p w14:paraId="1129EE1D" w14:textId="77777777" w:rsidR="00FD3B47" w:rsidRPr="006825D8" w:rsidRDefault="00FD3B47">
      <w:pPr>
        <w:pStyle w:val="Prrafodelista"/>
        <w:numPr>
          <w:ilvl w:val="0"/>
          <w:numId w:val="124"/>
        </w:numPr>
        <w:tabs>
          <w:tab w:val="left" w:pos="1100"/>
        </w:tabs>
        <w:spacing w:after="120"/>
        <w:ind w:left="1418" w:right="280"/>
        <w:contextualSpacing w:val="0"/>
        <w:rPr>
          <w:rFonts w:ascii="Arial" w:eastAsia="Arial" w:hAnsi="Arial"/>
          <w:bCs/>
          <w:sz w:val="24"/>
          <w:lang w:val="es-CR"/>
        </w:rPr>
      </w:pPr>
      <w:r w:rsidRPr="006825D8">
        <w:rPr>
          <w:rFonts w:ascii="Arial" w:eastAsia="Arial" w:hAnsi="Arial"/>
          <w:bCs/>
          <w:sz w:val="24"/>
          <w:lang w:val="es-CR"/>
        </w:rPr>
        <w:t>La probabilidad de obtener una resolución favorable, el monto posible a obtener y el plazo posible para su realización; y</w:t>
      </w:r>
    </w:p>
    <w:p w14:paraId="10A07CB2" w14:textId="77777777" w:rsidR="00FD3B47" w:rsidRDefault="00FD3B47">
      <w:pPr>
        <w:pStyle w:val="Prrafodelista"/>
        <w:numPr>
          <w:ilvl w:val="0"/>
          <w:numId w:val="124"/>
        </w:numPr>
        <w:tabs>
          <w:tab w:val="left" w:pos="1100"/>
        </w:tabs>
        <w:spacing w:line="0" w:lineRule="atLeast"/>
        <w:ind w:left="1418"/>
        <w:rPr>
          <w:rFonts w:ascii="Arial" w:eastAsia="Arial" w:hAnsi="Arial"/>
          <w:bCs/>
          <w:sz w:val="24"/>
          <w:lang w:val="es-CR"/>
        </w:rPr>
      </w:pPr>
      <w:r w:rsidRPr="006825D8">
        <w:rPr>
          <w:rFonts w:ascii="Arial" w:eastAsia="Arial" w:hAnsi="Arial"/>
          <w:bCs/>
          <w:sz w:val="24"/>
          <w:lang w:val="es-CR"/>
        </w:rPr>
        <w:t>El estado procesal en el que se encuentra el litigio.</w:t>
      </w:r>
    </w:p>
    <w:p w14:paraId="77DC67F1" w14:textId="77777777" w:rsidR="00FD3B47" w:rsidRPr="00987F93" w:rsidRDefault="00FD3B47" w:rsidP="00FD3B47">
      <w:pPr>
        <w:spacing w:line="270" w:lineRule="exact"/>
        <w:rPr>
          <w:rFonts w:ascii="Times New Roman" w:eastAsia="Times New Roman" w:hAnsi="Times New Roman"/>
          <w:lang w:val="es-CR"/>
        </w:rPr>
      </w:pPr>
      <w:bookmarkStart w:id="84" w:name="page102"/>
      <w:bookmarkEnd w:id="84"/>
    </w:p>
    <w:p w14:paraId="5D8C79FE" w14:textId="77777777" w:rsidR="00FD3B47"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1.272.2.01</w:t>
      </w:r>
      <w:r>
        <w:rPr>
          <w:rFonts w:ascii="Arial" w:hAnsi="Arial"/>
          <w:sz w:val="22"/>
          <w:szCs w:val="22"/>
          <w:lang w:val="es-CR"/>
        </w:rPr>
        <w:tab/>
      </w:r>
      <w:r w:rsidRPr="006825D8">
        <w:rPr>
          <w:rFonts w:ascii="Arial" w:hAnsi="Arial"/>
          <w:sz w:val="22"/>
          <w:szCs w:val="22"/>
          <w:lang w:val="es-CR"/>
        </w:rPr>
        <w:t>Serán asimismo objeto de revelación de información en los EEFF, las garantías recibidas de parte de proveedores, contribuyentes y otros terceros ajenos a la entidad, diferentes de efectivo y de equivalentes al efectivo, referidas al cumplimiento de contratos en los que la entidad sea contratante y a la cancelación de deudas a favor de la entidad, indicando como mínimo:</w:t>
      </w:r>
    </w:p>
    <w:p w14:paraId="7130DF69" w14:textId="77777777" w:rsidR="00FD3B47" w:rsidRPr="006825D8" w:rsidRDefault="00FD3B47" w:rsidP="00FD3B47">
      <w:pPr>
        <w:spacing w:line="237" w:lineRule="auto"/>
        <w:ind w:left="1134" w:right="260" w:hanging="1134"/>
        <w:jc w:val="both"/>
        <w:rPr>
          <w:rFonts w:ascii="Arial" w:hAnsi="Arial"/>
          <w:sz w:val="22"/>
          <w:szCs w:val="22"/>
          <w:lang w:val="es-CR"/>
        </w:rPr>
      </w:pPr>
    </w:p>
    <w:p w14:paraId="7AF7ACB0" w14:textId="77777777" w:rsidR="00FD3B47" w:rsidRPr="00627673" w:rsidRDefault="00FD3B47" w:rsidP="00FD3B47">
      <w:pPr>
        <w:spacing w:line="4" w:lineRule="exact"/>
        <w:rPr>
          <w:rFonts w:ascii="Arial" w:eastAsia="Arial" w:hAnsi="Arial"/>
          <w:b/>
          <w:sz w:val="22"/>
          <w:lang w:val="es-CR"/>
        </w:rPr>
      </w:pPr>
    </w:p>
    <w:p w14:paraId="0AA8CB5C" w14:textId="77777777" w:rsidR="00FD3B47" w:rsidRPr="00987F93" w:rsidRDefault="00FD3B47">
      <w:pPr>
        <w:pStyle w:val="Prrafodelista"/>
        <w:numPr>
          <w:ilvl w:val="0"/>
          <w:numId w:val="125"/>
        </w:numPr>
        <w:tabs>
          <w:tab w:val="left" w:pos="1099"/>
        </w:tabs>
        <w:spacing w:after="120"/>
        <w:ind w:left="1417" w:right="280" w:hanging="357"/>
        <w:contextualSpacing w:val="0"/>
        <w:rPr>
          <w:rFonts w:ascii="Arial" w:eastAsia="Arial" w:hAnsi="Arial"/>
          <w:bCs/>
          <w:sz w:val="22"/>
          <w:szCs w:val="22"/>
          <w:lang w:val="es-CR"/>
        </w:rPr>
      </w:pPr>
      <w:r w:rsidRPr="00987F93">
        <w:rPr>
          <w:rFonts w:ascii="Arial" w:eastAsia="Arial" w:hAnsi="Arial"/>
          <w:bCs/>
          <w:sz w:val="22"/>
          <w:szCs w:val="22"/>
          <w:lang w:val="es-CR"/>
        </w:rPr>
        <w:t>La naturaleza del contrato o de la deuda a favor de la entidad que sustenta la garantía;</w:t>
      </w:r>
    </w:p>
    <w:p w14:paraId="088E3FCC" w14:textId="77777777" w:rsidR="00FD3B47" w:rsidRPr="00987F93" w:rsidRDefault="00FD3B47">
      <w:pPr>
        <w:pStyle w:val="Prrafodelista"/>
        <w:numPr>
          <w:ilvl w:val="0"/>
          <w:numId w:val="125"/>
        </w:numPr>
        <w:tabs>
          <w:tab w:val="left" w:pos="1099"/>
        </w:tabs>
        <w:spacing w:after="120"/>
        <w:ind w:left="1417" w:right="260" w:hanging="357"/>
        <w:contextualSpacing w:val="0"/>
        <w:rPr>
          <w:rFonts w:ascii="Arial" w:eastAsia="Arial" w:hAnsi="Arial"/>
          <w:bCs/>
          <w:sz w:val="22"/>
          <w:szCs w:val="22"/>
          <w:lang w:val="es-CR"/>
        </w:rPr>
      </w:pPr>
      <w:r w:rsidRPr="00987F93">
        <w:rPr>
          <w:rFonts w:ascii="Arial" w:eastAsia="Arial" w:hAnsi="Arial"/>
          <w:bCs/>
          <w:sz w:val="22"/>
          <w:szCs w:val="22"/>
          <w:lang w:val="es-CR"/>
        </w:rPr>
        <w:t>En el caso de contratos, su plazo de ejecución, y en el caso de deudas, su vencimiento;</w:t>
      </w:r>
    </w:p>
    <w:p w14:paraId="54323180" w14:textId="77777777" w:rsidR="00FD3B47" w:rsidRPr="00987F93" w:rsidRDefault="00FD3B47">
      <w:pPr>
        <w:pStyle w:val="Prrafodelista"/>
        <w:numPr>
          <w:ilvl w:val="0"/>
          <w:numId w:val="125"/>
        </w:numPr>
        <w:tabs>
          <w:tab w:val="left" w:pos="1100"/>
        </w:tabs>
        <w:spacing w:after="120"/>
        <w:ind w:left="1417" w:right="280" w:hanging="357"/>
        <w:contextualSpacing w:val="0"/>
        <w:rPr>
          <w:rFonts w:ascii="Arial" w:eastAsia="Arial" w:hAnsi="Arial"/>
          <w:bCs/>
          <w:sz w:val="22"/>
          <w:szCs w:val="22"/>
          <w:lang w:val="es-CR"/>
        </w:rPr>
      </w:pPr>
      <w:r w:rsidRPr="00987F93">
        <w:rPr>
          <w:rFonts w:ascii="Arial" w:eastAsia="Arial" w:hAnsi="Arial"/>
          <w:bCs/>
          <w:sz w:val="22"/>
          <w:szCs w:val="22"/>
          <w:lang w:val="es-CR"/>
        </w:rPr>
        <w:t>La forma de instrumentación de la garantía (pagaré, título público o privado, etc.) y su monto; y</w:t>
      </w:r>
    </w:p>
    <w:p w14:paraId="24A1E4C7" w14:textId="77777777" w:rsidR="00FD3B47" w:rsidRPr="00987F93" w:rsidRDefault="00FD3B47">
      <w:pPr>
        <w:pStyle w:val="Prrafodelista"/>
        <w:numPr>
          <w:ilvl w:val="0"/>
          <w:numId w:val="125"/>
        </w:numPr>
        <w:tabs>
          <w:tab w:val="left" w:pos="1099"/>
        </w:tabs>
        <w:ind w:left="1418" w:right="260"/>
        <w:rPr>
          <w:rFonts w:ascii="Arial" w:eastAsia="Arial" w:hAnsi="Arial"/>
          <w:b/>
          <w:sz w:val="24"/>
          <w:lang w:val="es-CR"/>
        </w:rPr>
      </w:pPr>
      <w:r w:rsidRPr="00987F93">
        <w:rPr>
          <w:rFonts w:ascii="Arial" w:eastAsia="Arial" w:hAnsi="Arial"/>
          <w:bCs/>
          <w:sz w:val="22"/>
          <w:szCs w:val="22"/>
          <w:lang w:val="es-CR"/>
        </w:rPr>
        <w:t>Las eventuales restricciones que pueda tener la entidad para ejecutar o efectivizar la garantía</w:t>
      </w:r>
      <w:r w:rsidRPr="00987F93">
        <w:rPr>
          <w:rFonts w:ascii="Arial" w:eastAsia="Arial" w:hAnsi="Arial"/>
          <w:b/>
          <w:sz w:val="24"/>
          <w:lang w:val="es-CR"/>
        </w:rPr>
        <w:t>.</w:t>
      </w:r>
    </w:p>
    <w:p w14:paraId="71D261A2" w14:textId="77777777" w:rsidR="00FD3B47" w:rsidRPr="00627673" w:rsidRDefault="00FD3B47" w:rsidP="00FD3B47">
      <w:pPr>
        <w:tabs>
          <w:tab w:val="left" w:pos="1099"/>
        </w:tabs>
        <w:spacing w:line="236" w:lineRule="auto"/>
        <w:ind w:left="1100" w:right="260" w:hanging="366"/>
        <w:rPr>
          <w:rFonts w:ascii="Arial" w:eastAsia="Arial" w:hAnsi="Arial"/>
          <w:b/>
          <w:sz w:val="24"/>
          <w:lang w:val="es-CR"/>
        </w:rPr>
        <w:sectPr w:rsidR="00FD3B47" w:rsidRPr="00627673" w:rsidSect="006D026E">
          <w:pgSz w:w="12240" w:h="15840"/>
          <w:pgMar w:top="1440" w:right="1440" w:bottom="168" w:left="1440" w:header="0" w:footer="0" w:gutter="0"/>
          <w:cols w:space="0" w:equalWidth="0">
            <w:col w:w="9360"/>
          </w:cols>
          <w:docGrid w:linePitch="360"/>
        </w:sectPr>
      </w:pPr>
    </w:p>
    <w:p w14:paraId="2EF87EA9" w14:textId="77777777" w:rsidR="00FD3B47" w:rsidRPr="00627673" w:rsidRDefault="00FD3B47" w:rsidP="00FD3B47">
      <w:pPr>
        <w:spacing w:line="200" w:lineRule="exact"/>
        <w:rPr>
          <w:rFonts w:ascii="Times New Roman" w:eastAsia="Times New Roman" w:hAnsi="Times New Roman"/>
          <w:lang w:val="es-CR"/>
        </w:rPr>
      </w:pPr>
    </w:p>
    <w:p w14:paraId="0E1FE826" w14:textId="77777777" w:rsidR="00FD3B47" w:rsidRDefault="00FD3B47" w:rsidP="00FD3B47">
      <w:pPr>
        <w:spacing w:line="238" w:lineRule="auto"/>
        <w:ind w:left="1134" w:right="260" w:hanging="1134"/>
        <w:jc w:val="both"/>
        <w:rPr>
          <w:rFonts w:ascii="Arial" w:eastAsia="Arial" w:hAnsi="Arial"/>
          <w:b/>
          <w:sz w:val="22"/>
          <w:szCs w:val="22"/>
          <w:lang w:val="es-CR"/>
        </w:rPr>
      </w:pPr>
    </w:p>
    <w:p w14:paraId="7919A99B" w14:textId="77777777" w:rsidR="00FD3B47" w:rsidRDefault="00FD3B47" w:rsidP="00FD3B47">
      <w:pPr>
        <w:spacing w:line="238" w:lineRule="auto"/>
        <w:ind w:left="1134" w:right="260" w:hanging="1134"/>
        <w:jc w:val="both"/>
        <w:rPr>
          <w:rFonts w:ascii="Arial" w:eastAsia="Arial" w:hAnsi="Arial"/>
          <w:b/>
          <w:sz w:val="22"/>
          <w:szCs w:val="22"/>
          <w:lang w:val="es-CR"/>
        </w:rPr>
      </w:pPr>
    </w:p>
    <w:p w14:paraId="688C9B2A" w14:textId="77777777" w:rsidR="00FD3B47" w:rsidRDefault="00FD3B47" w:rsidP="00FD3B47">
      <w:pPr>
        <w:spacing w:line="238" w:lineRule="auto"/>
        <w:ind w:left="1134" w:right="260" w:hanging="1134"/>
        <w:jc w:val="both"/>
        <w:rPr>
          <w:rFonts w:ascii="Arial" w:eastAsia="Arial" w:hAnsi="Arial"/>
          <w:b/>
          <w:sz w:val="22"/>
          <w:szCs w:val="22"/>
          <w:lang w:val="es-CR"/>
        </w:rPr>
      </w:pPr>
    </w:p>
    <w:p w14:paraId="75297DD6" w14:textId="77777777" w:rsidR="00FD3B47" w:rsidRDefault="00FD3B47" w:rsidP="00FD3B47">
      <w:pPr>
        <w:spacing w:line="0" w:lineRule="atLeast"/>
        <w:ind w:left="380"/>
        <w:rPr>
          <w:rFonts w:ascii="Arial" w:eastAsia="Arial" w:hAnsi="Arial"/>
          <w:b/>
          <w:sz w:val="32"/>
          <w:lang w:val="es-CR"/>
        </w:rPr>
      </w:pPr>
    </w:p>
    <w:p w14:paraId="5131825D" w14:textId="77777777" w:rsidR="00DB64CF" w:rsidRDefault="00DB64CF" w:rsidP="00FD3B47">
      <w:pPr>
        <w:spacing w:line="0" w:lineRule="atLeast"/>
        <w:ind w:left="380"/>
        <w:rPr>
          <w:rFonts w:ascii="Arial" w:eastAsia="Arial" w:hAnsi="Arial"/>
          <w:b/>
          <w:sz w:val="32"/>
          <w:lang w:val="es-CR"/>
        </w:rPr>
      </w:pPr>
    </w:p>
    <w:p w14:paraId="37B74C7F" w14:textId="77777777" w:rsidR="00DB64CF" w:rsidRDefault="00DB64CF" w:rsidP="00FD3B47">
      <w:pPr>
        <w:spacing w:line="0" w:lineRule="atLeast"/>
        <w:ind w:left="380"/>
        <w:rPr>
          <w:rFonts w:ascii="Arial" w:eastAsia="Arial" w:hAnsi="Arial"/>
          <w:b/>
          <w:sz w:val="32"/>
          <w:lang w:val="es-CR"/>
        </w:rPr>
      </w:pPr>
    </w:p>
    <w:p w14:paraId="4D8835F5" w14:textId="77777777" w:rsidR="00DB64CF" w:rsidRDefault="00DB64CF" w:rsidP="00723E6B">
      <w:pPr>
        <w:spacing w:line="0" w:lineRule="atLeast"/>
        <w:rPr>
          <w:rFonts w:ascii="Arial" w:eastAsia="Arial" w:hAnsi="Arial"/>
          <w:b/>
          <w:sz w:val="32"/>
          <w:lang w:val="es-CR"/>
        </w:rPr>
      </w:pPr>
    </w:p>
    <w:p w14:paraId="53CD63F1" w14:textId="46614C3D" w:rsidR="00FD3B47" w:rsidRPr="00425974" w:rsidRDefault="006609F0" w:rsidP="006609F0">
      <w:pPr>
        <w:pStyle w:val="Ttulo1"/>
        <w:rPr>
          <w:rFonts w:ascii="Arial Narrow" w:eastAsia="Arial" w:hAnsi="Arial Narrow"/>
          <w:b/>
          <w:bCs/>
          <w:lang w:val="es-CR"/>
        </w:rPr>
      </w:pPr>
      <w:bookmarkStart w:id="85" w:name="_Toc172726222"/>
      <w:r w:rsidRPr="00425974">
        <w:rPr>
          <w:rFonts w:ascii="Arial Narrow" w:eastAsia="Arial" w:hAnsi="Arial Narrow"/>
          <w:b/>
          <w:bCs/>
          <w:lang w:val="es-CR"/>
        </w:rPr>
        <w:lastRenderedPageBreak/>
        <w:t>CAPÍTULO II</w:t>
      </w:r>
      <w:bookmarkEnd w:id="85"/>
    </w:p>
    <w:p w14:paraId="097FEF4B" w14:textId="77777777" w:rsidR="00FD3B47" w:rsidRPr="00627673" w:rsidRDefault="00FD3B47" w:rsidP="00FD3B47">
      <w:pPr>
        <w:spacing w:line="253" w:lineRule="exact"/>
        <w:rPr>
          <w:rFonts w:ascii="Times New Roman" w:eastAsia="Times New Roman" w:hAnsi="Times New Roman"/>
          <w:lang w:val="es-CR"/>
        </w:rPr>
      </w:pPr>
    </w:p>
    <w:p w14:paraId="0C0BC274" w14:textId="77777777" w:rsidR="00FD3B47" w:rsidRDefault="00FD3B47" w:rsidP="00FD3B47">
      <w:pPr>
        <w:spacing w:line="235" w:lineRule="auto"/>
        <w:ind w:left="380" w:right="280"/>
        <w:jc w:val="both"/>
        <w:rPr>
          <w:rFonts w:ascii="Arial" w:eastAsia="Arial" w:hAnsi="Arial"/>
          <w:b/>
          <w:sz w:val="32"/>
          <w:lang w:val="es-CR"/>
        </w:rPr>
      </w:pPr>
    </w:p>
    <w:p w14:paraId="3A2F8414" w14:textId="54139A8F" w:rsidR="00FD3B47" w:rsidRPr="00425974" w:rsidRDefault="00FD3B47" w:rsidP="00425974">
      <w:pPr>
        <w:pStyle w:val="Ttulo2"/>
        <w:rPr>
          <w:rFonts w:ascii="Arial" w:eastAsia="Arial" w:hAnsi="Arial" w:cs="Arial"/>
          <w:b/>
          <w:bCs/>
          <w:sz w:val="28"/>
          <w:szCs w:val="28"/>
          <w:lang w:val="es-CR"/>
        </w:rPr>
      </w:pPr>
      <w:bookmarkStart w:id="86" w:name="_Toc172726223"/>
      <w:r w:rsidRPr="00425974">
        <w:rPr>
          <w:rFonts w:ascii="Arial" w:eastAsia="Arial" w:hAnsi="Arial" w:cs="Arial"/>
          <w:b/>
          <w:bCs/>
          <w:sz w:val="28"/>
          <w:szCs w:val="28"/>
          <w:lang w:val="es-CR"/>
        </w:rPr>
        <w:t xml:space="preserve">Políticas Contables </w:t>
      </w:r>
      <w:r w:rsidR="00425974" w:rsidRPr="00425974">
        <w:rPr>
          <w:rFonts w:ascii="Arial" w:eastAsia="Arial" w:hAnsi="Arial" w:cs="Arial"/>
          <w:b/>
          <w:bCs/>
          <w:sz w:val="28"/>
          <w:szCs w:val="28"/>
          <w:lang w:val="es-CR"/>
        </w:rPr>
        <w:t xml:space="preserve">Generales y Particulares </w:t>
      </w:r>
      <w:r w:rsidRPr="00425974">
        <w:rPr>
          <w:rFonts w:ascii="Arial" w:eastAsia="Arial" w:hAnsi="Arial" w:cs="Arial"/>
          <w:b/>
          <w:bCs/>
          <w:sz w:val="28"/>
          <w:szCs w:val="28"/>
          <w:lang w:val="es-CR"/>
        </w:rPr>
        <w:t xml:space="preserve">para </w:t>
      </w:r>
      <w:r w:rsidR="00425974">
        <w:rPr>
          <w:rFonts w:ascii="Arial" w:eastAsia="Arial" w:hAnsi="Arial" w:cs="Arial"/>
          <w:b/>
          <w:bCs/>
          <w:sz w:val="28"/>
          <w:szCs w:val="28"/>
          <w:lang w:val="es-CR"/>
        </w:rPr>
        <w:t xml:space="preserve">el </w:t>
      </w:r>
      <w:r w:rsidRPr="00425974">
        <w:rPr>
          <w:rFonts w:ascii="Arial" w:eastAsia="Arial" w:hAnsi="Arial" w:cs="Arial"/>
          <w:b/>
          <w:bCs/>
          <w:sz w:val="28"/>
          <w:szCs w:val="28"/>
          <w:lang w:val="es-CR"/>
        </w:rPr>
        <w:t>Pasivo</w:t>
      </w:r>
      <w:bookmarkEnd w:id="86"/>
    </w:p>
    <w:p w14:paraId="4BEAC5FC" w14:textId="77777777" w:rsidR="00FD3B47" w:rsidRPr="00627673" w:rsidRDefault="00FD3B47" w:rsidP="00FD3B47">
      <w:pPr>
        <w:spacing w:line="235" w:lineRule="auto"/>
        <w:ind w:left="380" w:right="280"/>
        <w:jc w:val="both"/>
        <w:rPr>
          <w:rFonts w:ascii="Arial" w:eastAsia="Arial" w:hAnsi="Arial"/>
          <w:b/>
          <w:sz w:val="32"/>
          <w:lang w:val="es-CR"/>
        </w:rPr>
      </w:pPr>
    </w:p>
    <w:p w14:paraId="08BA42C5" w14:textId="77777777" w:rsidR="00FD3B47" w:rsidRPr="00627673" w:rsidRDefault="00FD3B47" w:rsidP="00FD3B47">
      <w:pPr>
        <w:spacing w:line="242" w:lineRule="exact"/>
        <w:rPr>
          <w:rFonts w:ascii="Times New Roman" w:eastAsia="Times New Roman" w:hAnsi="Times New Roman"/>
          <w:lang w:val="es-CR"/>
        </w:rPr>
      </w:pPr>
    </w:p>
    <w:p w14:paraId="6CA03A75" w14:textId="77777777" w:rsidR="00FD3B47" w:rsidRPr="005968BE" w:rsidRDefault="00FD3B47" w:rsidP="005968BE">
      <w:pPr>
        <w:pStyle w:val="Ttulo2"/>
        <w:rPr>
          <w:rFonts w:ascii="Arial" w:eastAsia="Arial" w:hAnsi="Arial" w:cs="Arial"/>
          <w:b/>
          <w:bCs/>
          <w:sz w:val="28"/>
          <w:szCs w:val="28"/>
          <w:lang w:val="es-CR"/>
        </w:rPr>
      </w:pPr>
      <w:bookmarkStart w:id="87" w:name="_Toc172726224"/>
      <w:r w:rsidRPr="005968BE">
        <w:rPr>
          <w:rFonts w:ascii="Arial" w:eastAsia="Arial" w:hAnsi="Arial" w:cs="Arial"/>
          <w:b/>
          <w:bCs/>
          <w:sz w:val="28"/>
          <w:szCs w:val="28"/>
          <w:lang w:val="es-CR"/>
        </w:rPr>
        <w:t>2. Pasivo</w:t>
      </w:r>
      <w:bookmarkEnd w:id="87"/>
    </w:p>
    <w:p w14:paraId="59EF91DD" w14:textId="77777777" w:rsidR="00FD3B47" w:rsidRDefault="00FD3B47" w:rsidP="00FD3B47">
      <w:pPr>
        <w:spacing w:line="338" w:lineRule="exact"/>
        <w:rPr>
          <w:rFonts w:ascii="Times New Roman" w:eastAsia="Times New Roman" w:hAnsi="Times New Roman"/>
        </w:rPr>
      </w:pPr>
    </w:p>
    <w:p w14:paraId="56BBB2C3" w14:textId="5EB59E35" w:rsidR="00FD3B47" w:rsidRPr="00DB64CF" w:rsidRDefault="00FD3B47" w:rsidP="00DB64CF">
      <w:pPr>
        <w:pStyle w:val="Ttulo2"/>
        <w:ind w:left="284"/>
        <w:rPr>
          <w:rFonts w:ascii="Arial" w:eastAsia="Arial" w:hAnsi="Arial" w:cs="Arial"/>
          <w:b/>
          <w:bCs/>
          <w:sz w:val="20"/>
          <w:szCs w:val="20"/>
          <w:lang w:val="es-CR"/>
        </w:rPr>
      </w:pPr>
      <w:bookmarkStart w:id="88" w:name="_Toc172726225"/>
      <w:r w:rsidRPr="00DB64CF">
        <w:rPr>
          <w:rFonts w:ascii="Arial" w:eastAsia="Arial" w:hAnsi="Arial" w:cs="Arial"/>
          <w:b/>
          <w:bCs/>
          <w:sz w:val="20"/>
          <w:szCs w:val="20"/>
          <w:lang w:val="es-CR"/>
        </w:rPr>
        <w:t>Reconocimiento</w:t>
      </w:r>
      <w:bookmarkEnd w:id="88"/>
    </w:p>
    <w:p w14:paraId="79C5B6C2" w14:textId="77777777" w:rsidR="00FD3B47" w:rsidRDefault="00FD3B47" w:rsidP="00FD3B47">
      <w:pPr>
        <w:spacing w:line="300" w:lineRule="exact"/>
        <w:rPr>
          <w:rFonts w:ascii="Times New Roman" w:eastAsia="Times New Roman" w:hAnsi="Times New Roman"/>
        </w:rPr>
      </w:pPr>
    </w:p>
    <w:tbl>
      <w:tblPr>
        <w:tblW w:w="9122" w:type="dxa"/>
        <w:tblLayout w:type="fixed"/>
        <w:tblLook w:val="04A0" w:firstRow="1" w:lastRow="0" w:firstColumn="1" w:lastColumn="0" w:noHBand="0" w:noVBand="1"/>
      </w:tblPr>
      <w:tblGrid>
        <w:gridCol w:w="557"/>
        <w:gridCol w:w="567"/>
        <w:gridCol w:w="567"/>
        <w:gridCol w:w="3119"/>
        <w:gridCol w:w="2233"/>
        <w:gridCol w:w="2079"/>
      </w:tblGrid>
      <w:tr w:rsidR="00FD3B47" w:rsidRPr="00987F93" w14:paraId="39114E7E" w14:textId="77777777" w:rsidTr="00D16719">
        <w:trPr>
          <w:trHeight w:val="32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1011B1A"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Norma / Política</w:t>
            </w:r>
          </w:p>
        </w:tc>
        <w:tc>
          <w:tcPr>
            <w:tcW w:w="3119" w:type="dxa"/>
            <w:vMerge w:val="restart"/>
            <w:tcBorders>
              <w:top w:val="single" w:sz="8" w:space="0" w:color="auto"/>
              <w:left w:val="single" w:sz="8" w:space="0" w:color="auto"/>
              <w:bottom w:val="nil"/>
              <w:right w:val="single" w:sz="8" w:space="0" w:color="auto"/>
            </w:tcBorders>
            <w:shd w:val="clear" w:color="000000" w:fill="203764"/>
            <w:vAlign w:val="center"/>
            <w:hideMark/>
          </w:tcPr>
          <w:p w14:paraId="12797A35"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Concepto</w:t>
            </w:r>
          </w:p>
        </w:tc>
        <w:tc>
          <w:tcPr>
            <w:tcW w:w="4312" w:type="dxa"/>
            <w:gridSpan w:val="2"/>
            <w:tcBorders>
              <w:top w:val="single" w:sz="8" w:space="0" w:color="auto"/>
              <w:left w:val="nil"/>
              <w:bottom w:val="single" w:sz="8" w:space="0" w:color="auto"/>
              <w:right w:val="single" w:sz="8" w:space="0" w:color="000000"/>
            </w:tcBorders>
            <w:shd w:val="clear" w:color="000000" w:fill="203764"/>
            <w:vAlign w:val="center"/>
            <w:hideMark/>
          </w:tcPr>
          <w:p w14:paraId="5951FAD9"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Referencia</w:t>
            </w:r>
          </w:p>
        </w:tc>
      </w:tr>
      <w:tr w:rsidR="00FD3B47" w:rsidRPr="006E5442" w14:paraId="21EE18BF" w14:textId="77777777" w:rsidTr="00D16719">
        <w:trPr>
          <w:trHeight w:val="940"/>
        </w:trPr>
        <w:tc>
          <w:tcPr>
            <w:tcW w:w="1691" w:type="dxa"/>
            <w:gridSpan w:val="3"/>
            <w:vMerge/>
            <w:tcBorders>
              <w:top w:val="single" w:sz="8" w:space="0" w:color="auto"/>
              <w:left w:val="single" w:sz="8" w:space="0" w:color="auto"/>
              <w:bottom w:val="nil"/>
              <w:right w:val="single" w:sz="8" w:space="0" w:color="000000"/>
            </w:tcBorders>
            <w:vAlign w:val="center"/>
            <w:hideMark/>
          </w:tcPr>
          <w:p w14:paraId="67FD14AF" w14:textId="77777777" w:rsidR="00FD3B47" w:rsidRPr="00472140" w:rsidRDefault="00FD3B47" w:rsidP="00D16719">
            <w:pPr>
              <w:rPr>
                <w:rFonts w:ascii="Arial Narrow" w:eastAsia="Times New Roman" w:hAnsi="Arial Narrow" w:cs="Calibri"/>
                <w:b/>
                <w:bCs/>
                <w:color w:val="FFFFFF"/>
                <w:sz w:val="22"/>
                <w:szCs w:val="22"/>
              </w:rPr>
            </w:pPr>
          </w:p>
        </w:tc>
        <w:tc>
          <w:tcPr>
            <w:tcW w:w="3119" w:type="dxa"/>
            <w:vMerge/>
            <w:tcBorders>
              <w:top w:val="single" w:sz="8" w:space="0" w:color="auto"/>
              <w:left w:val="single" w:sz="8" w:space="0" w:color="auto"/>
              <w:bottom w:val="nil"/>
              <w:right w:val="single" w:sz="8" w:space="0" w:color="auto"/>
            </w:tcBorders>
            <w:vAlign w:val="center"/>
            <w:hideMark/>
          </w:tcPr>
          <w:p w14:paraId="730F6067" w14:textId="77777777" w:rsidR="00FD3B47" w:rsidRPr="00472140" w:rsidRDefault="00FD3B47" w:rsidP="00D16719">
            <w:pPr>
              <w:rPr>
                <w:rFonts w:ascii="Arial Narrow" w:eastAsia="Times New Roman" w:hAnsi="Arial Narrow" w:cs="Calibri"/>
                <w:b/>
                <w:bCs/>
                <w:color w:val="FFFFFF"/>
                <w:sz w:val="22"/>
                <w:szCs w:val="22"/>
              </w:rPr>
            </w:pPr>
          </w:p>
        </w:tc>
        <w:tc>
          <w:tcPr>
            <w:tcW w:w="2233" w:type="dxa"/>
            <w:tcBorders>
              <w:top w:val="nil"/>
              <w:left w:val="nil"/>
              <w:bottom w:val="nil"/>
              <w:right w:val="single" w:sz="8" w:space="0" w:color="auto"/>
            </w:tcBorders>
            <w:shd w:val="clear" w:color="000000" w:fill="203764"/>
            <w:vAlign w:val="center"/>
            <w:hideMark/>
          </w:tcPr>
          <w:p w14:paraId="2FF23FA9" w14:textId="77777777" w:rsidR="00FD3B47" w:rsidRPr="00472140" w:rsidRDefault="00FD3B47" w:rsidP="00D16719">
            <w:pPr>
              <w:jc w:val="center"/>
              <w:rPr>
                <w:rFonts w:ascii="Arial Narrow" w:eastAsia="Times New Roman" w:hAnsi="Arial Narrow" w:cs="Calibri"/>
                <w:b/>
                <w:bCs/>
                <w:color w:val="FFFFFF"/>
                <w:sz w:val="22"/>
                <w:szCs w:val="22"/>
              </w:rPr>
            </w:pPr>
            <w:r w:rsidRPr="00472140">
              <w:rPr>
                <w:rFonts w:ascii="Arial Narrow" w:eastAsia="Times New Roman" w:hAnsi="Arial Narrow" w:cs="Calibri"/>
                <w:b/>
                <w:bCs/>
                <w:color w:val="FFFFFF"/>
                <w:sz w:val="22"/>
                <w:szCs w:val="22"/>
              </w:rPr>
              <w:t>Norma</w:t>
            </w:r>
          </w:p>
        </w:tc>
        <w:tc>
          <w:tcPr>
            <w:tcW w:w="2079" w:type="dxa"/>
            <w:tcBorders>
              <w:top w:val="nil"/>
              <w:left w:val="nil"/>
              <w:bottom w:val="nil"/>
              <w:right w:val="single" w:sz="8" w:space="0" w:color="auto"/>
            </w:tcBorders>
            <w:shd w:val="clear" w:color="000000" w:fill="203764"/>
            <w:vAlign w:val="center"/>
            <w:hideMark/>
          </w:tcPr>
          <w:p w14:paraId="7B811420" w14:textId="77777777" w:rsidR="00FD3B47" w:rsidRPr="00472140" w:rsidRDefault="00FD3B47" w:rsidP="00D16719">
            <w:pPr>
              <w:jc w:val="center"/>
              <w:rPr>
                <w:rFonts w:ascii="Arial Narrow" w:eastAsia="Times New Roman" w:hAnsi="Arial Narrow" w:cs="Calibri"/>
                <w:b/>
                <w:bCs/>
                <w:color w:val="FFFFFF"/>
                <w:sz w:val="22"/>
                <w:szCs w:val="22"/>
                <w:lang w:val="es-CR"/>
              </w:rPr>
            </w:pPr>
            <w:r w:rsidRPr="00472140">
              <w:rPr>
                <w:rFonts w:ascii="Arial Narrow" w:eastAsia="Times New Roman" w:hAnsi="Arial Narrow" w:cs="Calibri"/>
                <w:b/>
                <w:bCs/>
                <w:color w:val="FFFFFF"/>
                <w:sz w:val="22"/>
                <w:szCs w:val="22"/>
                <w:lang w:val="es-CR"/>
              </w:rPr>
              <w:t>Normativa técnica y disposiciones adicionales</w:t>
            </w:r>
          </w:p>
        </w:tc>
      </w:tr>
      <w:tr w:rsidR="00FD3B47" w:rsidRPr="00987F93" w14:paraId="55191828" w14:textId="77777777" w:rsidTr="00D16719">
        <w:trPr>
          <w:trHeight w:val="63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381A73"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lang w:val="es-CR"/>
              </w:rPr>
              <w:t>2</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715B770E"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1.</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CF346A6" w14:textId="1B20B6C6" w:rsidR="00FD3B47" w:rsidRPr="00472140" w:rsidRDefault="00FD3B47" w:rsidP="00C55377">
            <w:pP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 xml:space="preserve"> </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14:paraId="7BEA442A" w14:textId="77777777" w:rsidR="00FD3B47" w:rsidRPr="00472140" w:rsidRDefault="00FD3B47" w:rsidP="00D16719">
            <w:pPr>
              <w:jc w:val="both"/>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Reconocimiento de un pasivo</w:t>
            </w:r>
          </w:p>
        </w:tc>
        <w:tc>
          <w:tcPr>
            <w:tcW w:w="2233" w:type="dxa"/>
            <w:tcBorders>
              <w:top w:val="single" w:sz="8" w:space="0" w:color="auto"/>
              <w:left w:val="nil"/>
              <w:bottom w:val="single" w:sz="8" w:space="0" w:color="auto"/>
              <w:right w:val="single" w:sz="8" w:space="0" w:color="auto"/>
            </w:tcBorders>
            <w:shd w:val="clear" w:color="auto" w:fill="auto"/>
            <w:vAlign w:val="center"/>
            <w:hideMark/>
          </w:tcPr>
          <w:p w14:paraId="6545F4BE" w14:textId="77777777" w:rsidR="00FD3B47" w:rsidRPr="00472140" w:rsidRDefault="00FD3B47" w:rsidP="00D16719">
            <w:pP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NICSP Nº 19,</w:t>
            </w:r>
            <w:r w:rsidRPr="00472140">
              <w:rPr>
                <w:rFonts w:ascii="Arial Narrow" w:eastAsia="Times New Roman" w:hAnsi="Arial Narrow" w:cs="Calibri"/>
                <w:b/>
                <w:bCs/>
                <w:color w:val="000000"/>
                <w:sz w:val="22"/>
                <w:szCs w:val="22"/>
              </w:rPr>
              <w:br/>
              <w:t>Párrafos 23 y 31.</w:t>
            </w:r>
          </w:p>
        </w:tc>
        <w:tc>
          <w:tcPr>
            <w:tcW w:w="2079" w:type="dxa"/>
            <w:tcBorders>
              <w:top w:val="single" w:sz="8" w:space="0" w:color="auto"/>
              <w:left w:val="nil"/>
              <w:bottom w:val="single" w:sz="8" w:space="0" w:color="auto"/>
              <w:right w:val="single" w:sz="8" w:space="0" w:color="auto"/>
            </w:tcBorders>
            <w:shd w:val="clear" w:color="auto" w:fill="auto"/>
            <w:vAlign w:val="center"/>
            <w:hideMark/>
          </w:tcPr>
          <w:p w14:paraId="47CB1608"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 xml:space="preserve"> </w:t>
            </w:r>
          </w:p>
        </w:tc>
      </w:tr>
      <w:tr w:rsidR="00FD3B47" w:rsidRPr="00987F93" w14:paraId="0516F955" w14:textId="77777777" w:rsidTr="00D16719">
        <w:trPr>
          <w:trHeight w:val="6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EC09BE9"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 xml:space="preserve"> 2</w:t>
            </w:r>
          </w:p>
        </w:tc>
        <w:tc>
          <w:tcPr>
            <w:tcW w:w="567" w:type="dxa"/>
            <w:tcBorders>
              <w:top w:val="nil"/>
              <w:left w:val="nil"/>
              <w:bottom w:val="single" w:sz="8" w:space="0" w:color="auto"/>
              <w:right w:val="single" w:sz="8" w:space="0" w:color="auto"/>
            </w:tcBorders>
            <w:shd w:val="clear" w:color="auto" w:fill="auto"/>
            <w:noWrap/>
            <w:vAlign w:val="center"/>
            <w:hideMark/>
          </w:tcPr>
          <w:p w14:paraId="7E2A0A44"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1.</w:t>
            </w:r>
          </w:p>
        </w:tc>
        <w:tc>
          <w:tcPr>
            <w:tcW w:w="567" w:type="dxa"/>
            <w:tcBorders>
              <w:top w:val="nil"/>
              <w:left w:val="nil"/>
              <w:bottom w:val="single" w:sz="8" w:space="0" w:color="auto"/>
              <w:right w:val="single" w:sz="8" w:space="0" w:color="auto"/>
            </w:tcBorders>
            <w:shd w:val="clear" w:color="auto" w:fill="auto"/>
            <w:vAlign w:val="center"/>
            <w:hideMark/>
          </w:tcPr>
          <w:p w14:paraId="2DD8BDA1"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 xml:space="preserve">1 </w:t>
            </w:r>
          </w:p>
        </w:tc>
        <w:tc>
          <w:tcPr>
            <w:tcW w:w="3119" w:type="dxa"/>
            <w:tcBorders>
              <w:top w:val="nil"/>
              <w:left w:val="nil"/>
              <w:bottom w:val="single" w:sz="8" w:space="0" w:color="auto"/>
              <w:right w:val="single" w:sz="8" w:space="0" w:color="auto"/>
            </w:tcBorders>
            <w:shd w:val="clear" w:color="auto" w:fill="auto"/>
            <w:vAlign w:val="center"/>
            <w:hideMark/>
          </w:tcPr>
          <w:p w14:paraId="6EEF84C1" w14:textId="77777777" w:rsidR="00FD3B47" w:rsidRPr="00472140" w:rsidRDefault="00FD3B47" w:rsidP="00D16719">
            <w:pPr>
              <w:jc w:val="both"/>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Obligación presente</w:t>
            </w:r>
          </w:p>
        </w:tc>
        <w:tc>
          <w:tcPr>
            <w:tcW w:w="2233" w:type="dxa"/>
            <w:tcBorders>
              <w:top w:val="nil"/>
              <w:left w:val="nil"/>
              <w:bottom w:val="single" w:sz="8" w:space="0" w:color="auto"/>
              <w:right w:val="single" w:sz="8" w:space="0" w:color="auto"/>
            </w:tcBorders>
            <w:shd w:val="clear" w:color="auto" w:fill="auto"/>
            <w:vAlign w:val="center"/>
            <w:hideMark/>
          </w:tcPr>
          <w:p w14:paraId="75C4D3F3" w14:textId="77777777" w:rsidR="00FD3B47" w:rsidRPr="00472140" w:rsidRDefault="00FD3B47" w:rsidP="00D16719">
            <w:pP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NICSP Nº 19,</w:t>
            </w:r>
            <w:r w:rsidRPr="00472140">
              <w:rPr>
                <w:rFonts w:ascii="Arial Narrow" w:eastAsia="Times New Roman" w:hAnsi="Arial Narrow" w:cs="Calibri"/>
                <w:b/>
                <w:bCs/>
                <w:color w:val="000000"/>
                <w:sz w:val="22"/>
                <w:szCs w:val="22"/>
              </w:rPr>
              <w:br/>
              <w:t>Párrafos 23.</w:t>
            </w:r>
          </w:p>
        </w:tc>
        <w:tc>
          <w:tcPr>
            <w:tcW w:w="2079" w:type="dxa"/>
            <w:tcBorders>
              <w:top w:val="nil"/>
              <w:left w:val="nil"/>
              <w:bottom w:val="single" w:sz="8" w:space="0" w:color="auto"/>
              <w:right w:val="single" w:sz="8" w:space="0" w:color="auto"/>
            </w:tcBorders>
            <w:shd w:val="clear" w:color="auto" w:fill="auto"/>
            <w:vAlign w:val="center"/>
            <w:hideMark/>
          </w:tcPr>
          <w:p w14:paraId="1B040A97" w14:textId="77777777" w:rsidR="00FD3B47" w:rsidRPr="00472140" w:rsidRDefault="00FD3B47" w:rsidP="00D16719">
            <w:pPr>
              <w:jc w:val="center"/>
              <w:rPr>
                <w:rFonts w:ascii="Arial Narrow" w:eastAsia="Times New Roman" w:hAnsi="Arial Narrow" w:cs="Calibri"/>
                <w:b/>
                <w:bCs/>
                <w:color w:val="000000"/>
                <w:sz w:val="22"/>
                <w:szCs w:val="22"/>
              </w:rPr>
            </w:pPr>
            <w:r w:rsidRPr="00472140">
              <w:rPr>
                <w:rFonts w:ascii="Arial Narrow" w:eastAsia="Times New Roman" w:hAnsi="Arial Narrow" w:cs="Calibri"/>
                <w:b/>
                <w:bCs/>
                <w:color w:val="000000"/>
                <w:sz w:val="22"/>
                <w:szCs w:val="22"/>
              </w:rPr>
              <w:t xml:space="preserve"> </w:t>
            </w:r>
          </w:p>
        </w:tc>
      </w:tr>
    </w:tbl>
    <w:p w14:paraId="5F804BD0" w14:textId="77777777" w:rsidR="00723E6B" w:rsidRDefault="00723E6B" w:rsidP="00FD3B47">
      <w:pPr>
        <w:spacing w:line="300" w:lineRule="exact"/>
        <w:rPr>
          <w:rFonts w:ascii="Arial" w:eastAsia="Arial" w:hAnsi="Arial"/>
          <w:b/>
          <w:sz w:val="22"/>
          <w:szCs w:val="22"/>
        </w:rPr>
      </w:pPr>
    </w:p>
    <w:p w14:paraId="5D67E760" w14:textId="4D7A14E4" w:rsidR="00FD3B47" w:rsidRDefault="00723E6B" w:rsidP="00FD3B47">
      <w:pPr>
        <w:spacing w:line="300" w:lineRule="exact"/>
        <w:rPr>
          <w:rFonts w:ascii="Arial" w:eastAsia="Arial" w:hAnsi="Arial"/>
          <w:b/>
          <w:sz w:val="22"/>
          <w:szCs w:val="22"/>
        </w:rPr>
      </w:pPr>
      <w:r w:rsidRPr="00F02F9D">
        <w:rPr>
          <w:rFonts w:ascii="Arial" w:eastAsia="Arial" w:hAnsi="Arial"/>
          <w:b/>
          <w:sz w:val="22"/>
          <w:szCs w:val="22"/>
        </w:rPr>
        <w:t>Políticas Contables</w:t>
      </w:r>
    </w:p>
    <w:p w14:paraId="2D56398B" w14:textId="77777777" w:rsidR="00723E6B" w:rsidRDefault="00723E6B" w:rsidP="00FD3B47">
      <w:pPr>
        <w:spacing w:line="300" w:lineRule="exact"/>
        <w:rPr>
          <w:rFonts w:ascii="Times New Roman" w:eastAsia="Times New Roman" w:hAnsi="Times New Roman"/>
        </w:rPr>
      </w:pPr>
    </w:p>
    <w:p w14:paraId="7624423C" w14:textId="0252CBE0" w:rsidR="00FD3B47" w:rsidRPr="00987F93"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2.1.0.01</w:t>
      </w:r>
      <w:r>
        <w:rPr>
          <w:rFonts w:ascii="Arial" w:hAnsi="Arial"/>
          <w:sz w:val="22"/>
          <w:szCs w:val="22"/>
          <w:lang w:val="es-CR"/>
        </w:rPr>
        <w:tab/>
      </w:r>
      <w:r w:rsidRPr="00987F93">
        <w:rPr>
          <w:rFonts w:ascii="Arial" w:hAnsi="Arial"/>
          <w:sz w:val="22"/>
          <w:szCs w:val="22"/>
          <w:lang w:val="es-CR"/>
        </w:rPr>
        <w:t>Para que un pasivo cumpla con los requisitos de reconocimiento como tal, deben cumplirse las siguientes condiciones:</w:t>
      </w:r>
    </w:p>
    <w:p w14:paraId="680DFB5E" w14:textId="77777777" w:rsidR="00FD3B47" w:rsidRPr="00987F93" w:rsidRDefault="00FD3B47" w:rsidP="00FD3B47">
      <w:pPr>
        <w:spacing w:line="285" w:lineRule="exact"/>
        <w:rPr>
          <w:rFonts w:ascii="Times New Roman" w:eastAsia="Times New Roman" w:hAnsi="Times New Roman"/>
          <w:bCs/>
          <w:sz w:val="22"/>
          <w:szCs w:val="22"/>
          <w:lang w:val="es-CR"/>
        </w:rPr>
      </w:pPr>
    </w:p>
    <w:p w14:paraId="7B7143D9" w14:textId="77777777" w:rsidR="00FD3B47" w:rsidRPr="00C1729C" w:rsidRDefault="00FD3B47">
      <w:pPr>
        <w:pStyle w:val="Prrafodelista"/>
        <w:numPr>
          <w:ilvl w:val="0"/>
          <w:numId w:val="126"/>
        </w:numPr>
        <w:spacing w:after="120"/>
        <w:ind w:left="1418" w:right="260" w:hanging="284"/>
        <w:contextualSpacing w:val="0"/>
        <w:jc w:val="both"/>
        <w:rPr>
          <w:rFonts w:ascii="Arial" w:eastAsia="Arial" w:hAnsi="Arial"/>
          <w:bCs/>
          <w:sz w:val="22"/>
          <w:szCs w:val="22"/>
          <w:lang w:val="es-CR"/>
        </w:rPr>
      </w:pPr>
      <w:r w:rsidRPr="00987F93">
        <w:rPr>
          <w:rFonts w:ascii="Arial" w:eastAsia="Arial" w:hAnsi="Arial"/>
          <w:bCs/>
          <w:sz w:val="22"/>
          <w:szCs w:val="22"/>
          <w:lang w:val="es-CR"/>
        </w:rPr>
        <w:t>Debe existir una obligación presente originada en un suceso ocurrido en el pasado;</w:t>
      </w:r>
    </w:p>
    <w:p w14:paraId="4344E1F4" w14:textId="77777777" w:rsidR="00FD3B47" w:rsidRDefault="00FD3B47">
      <w:pPr>
        <w:pStyle w:val="Prrafodelista"/>
        <w:numPr>
          <w:ilvl w:val="0"/>
          <w:numId w:val="126"/>
        </w:numPr>
        <w:ind w:left="1418" w:right="261" w:hanging="284"/>
        <w:contextualSpacing w:val="0"/>
        <w:jc w:val="both"/>
        <w:rPr>
          <w:rFonts w:ascii="Arial" w:eastAsia="Arial" w:hAnsi="Arial"/>
          <w:bCs/>
          <w:sz w:val="22"/>
          <w:szCs w:val="22"/>
          <w:lang w:val="es-CR"/>
        </w:rPr>
      </w:pPr>
      <w:r w:rsidRPr="00987F93">
        <w:rPr>
          <w:rFonts w:ascii="Arial" w:eastAsia="Arial" w:hAnsi="Arial"/>
          <w:bCs/>
          <w:sz w:val="22"/>
          <w:szCs w:val="22"/>
          <w:lang w:val="es-CR"/>
        </w:rPr>
        <w:t>Para liquidar dicha obligación, debe existir la probabilidad de un flujo de salida de recursos que incorporen beneficios económicos o un potencial de servicio. En caso de duda al momento de evaluar la futura salida de recursos, se concluirá que ello es así cuando su ocurrencia sea más probable</w:t>
      </w:r>
      <w:r w:rsidRPr="00987F93">
        <w:rPr>
          <w:rFonts w:ascii="Arial" w:eastAsia="Arial" w:hAnsi="Arial"/>
          <w:bCs/>
          <w:sz w:val="22"/>
          <w:szCs w:val="22"/>
          <w:vertAlign w:val="superscript"/>
          <w:lang w:val="es-CR"/>
        </w:rPr>
        <w:t>9</w:t>
      </w:r>
      <w:r w:rsidRPr="00987F93">
        <w:rPr>
          <w:rFonts w:ascii="Arial" w:eastAsia="Arial" w:hAnsi="Arial"/>
          <w:bCs/>
          <w:sz w:val="22"/>
          <w:szCs w:val="22"/>
          <w:lang w:val="es-CR"/>
        </w:rPr>
        <w:t xml:space="preserve"> que improbable.</w:t>
      </w:r>
    </w:p>
    <w:p w14:paraId="449D2CE0" w14:textId="77777777" w:rsidR="00FD3B47" w:rsidRPr="00987F93" w:rsidRDefault="00FD3B47" w:rsidP="00FD3B47">
      <w:pPr>
        <w:pStyle w:val="Prrafodelista"/>
        <w:ind w:left="1418" w:right="261"/>
        <w:contextualSpacing w:val="0"/>
        <w:jc w:val="both"/>
        <w:rPr>
          <w:rFonts w:ascii="Arial" w:eastAsia="Arial" w:hAnsi="Arial"/>
          <w:bCs/>
          <w:sz w:val="22"/>
          <w:szCs w:val="22"/>
          <w:lang w:val="es-CR"/>
        </w:rPr>
      </w:pPr>
    </w:p>
    <w:p w14:paraId="5CCF620B" w14:textId="77777777" w:rsidR="00FD3B47" w:rsidRPr="00987F93" w:rsidRDefault="00FD3B47" w:rsidP="00FD3B47">
      <w:pPr>
        <w:spacing w:line="237" w:lineRule="auto"/>
        <w:ind w:left="1134" w:right="260" w:hanging="1134"/>
        <w:jc w:val="both"/>
        <w:rPr>
          <w:rFonts w:ascii="Arial" w:hAnsi="Arial"/>
          <w:sz w:val="22"/>
          <w:szCs w:val="22"/>
          <w:lang w:val="es-CR"/>
        </w:rPr>
      </w:pPr>
      <w:r>
        <w:rPr>
          <w:rFonts w:ascii="Arial" w:hAnsi="Arial"/>
          <w:sz w:val="22"/>
          <w:szCs w:val="22"/>
          <w:lang w:val="es-CR"/>
        </w:rPr>
        <w:t>2.1.2.01</w:t>
      </w:r>
      <w:r>
        <w:rPr>
          <w:rFonts w:ascii="Arial" w:hAnsi="Arial"/>
          <w:sz w:val="22"/>
          <w:szCs w:val="22"/>
          <w:lang w:val="es-CR"/>
        </w:rPr>
        <w:tab/>
      </w:r>
      <w:r w:rsidRPr="00987F93">
        <w:rPr>
          <w:rFonts w:ascii="Arial" w:hAnsi="Arial"/>
          <w:sz w:val="22"/>
          <w:szCs w:val="22"/>
          <w:lang w:val="es-CR"/>
        </w:rPr>
        <w:t>Se considera que un suceso ocurrido en el pasado ha dado origen a una obligación presente si, teniendo en cuenta toda la evidencia disponible, existe una probabilidad mayor de que se haya incurrido en la obligación, en la fecha sobre la que se informa.</w:t>
      </w:r>
    </w:p>
    <w:p w14:paraId="1AF12394" w14:textId="77777777" w:rsidR="00FD3B47" w:rsidRPr="00627673" w:rsidRDefault="00FD3B47" w:rsidP="00FD3B47">
      <w:pPr>
        <w:spacing w:line="200" w:lineRule="exact"/>
        <w:rPr>
          <w:rFonts w:ascii="Times New Roman" w:eastAsia="Times New Roman" w:hAnsi="Times New Roman"/>
          <w:lang w:val="es-CR"/>
        </w:rPr>
      </w:pPr>
    </w:p>
    <w:p w14:paraId="2FEEA79A" w14:textId="77777777" w:rsidR="00FD3B47" w:rsidRPr="00627673" w:rsidRDefault="00FD3B47" w:rsidP="00FD3B47">
      <w:pPr>
        <w:spacing w:line="316" w:lineRule="exact"/>
        <w:rPr>
          <w:rFonts w:ascii="Times New Roman" w:eastAsia="Times New Roman" w:hAnsi="Times New Roman"/>
          <w:lang w:val="es-CR"/>
        </w:rPr>
      </w:pPr>
    </w:p>
    <w:tbl>
      <w:tblPr>
        <w:tblW w:w="9110" w:type="dxa"/>
        <w:tblLook w:val="04A0" w:firstRow="1" w:lastRow="0" w:firstColumn="1" w:lastColumn="0" w:noHBand="0" w:noVBand="1"/>
      </w:tblPr>
      <w:tblGrid>
        <w:gridCol w:w="527"/>
        <w:gridCol w:w="456"/>
        <w:gridCol w:w="507"/>
        <w:gridCol w:w="3320"/>
        <w:gridCol w:w="2226"/>
        <w:gridCol w:w="2074"/>
      </w:tblGrid>
      <w:tr w:rsidR="00FD3B47" w:rsidRPr="0074192E" w14:paraId="06F1C1B4" w14:textId="77777777" w:rsidTr="00D16719">
        <w:trPr>
          <w:trHeight w:val="320"/>
        </w:trPr>
        <w:tc>
          <w:tcPr>
            <w:tcW w:w="149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1A099AE" w14:textId="77777777" w:rsidR="00FD3B47" w:rsidRPr="0074192E" w:rsidRDefault="00FD3B47" w:rsidP="00D16719">
            <w:pPr>
              <w:jc w:val="center"/>
              <w:rPr>
                <w:rFonts w:ascii="Arial Narrow" w:eastAsia="Times New Roman" w:hAnsi="Arial Narrow" w:cs="Calibri"/>
                <w:b/>
                <w:bCs/>
                <w:color w:val="FFFFFF"/>
                <w:sz w:val="22"/>
                <w:szCs w:val="22"/>
              </w:rPr>
            </w:pPr>
            <w:r w:rsidRPr="0074192E">
              <w:rPr>
                <w:rFonts w:ascii="Arial Narrow" w:eastAsia="Times New Roman" w:hAnsi="Arial Narrow" w:cs="Calibri"/>
                <w:b/>
                <w:bCs/>
                <w:color w:val="FFFFFF"/>
                <w:sz w:val="22"/>
                <w:szCs w:val="22"/>
              </w:rPr>
              <w:t>Norma / Política</w:t>
            </w:r>
          </w:p>
        </w:tc>
        <w:tc>
          <w:tcPr>
            <w:tcW w:w="332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934A724" w14:textId="77777777" w:rsidR="00FD3B47" w:rsidRPr="0074192E" w:rsidRDefault="00FD3B47" w:rsidP="00D16719">
            <w:pPr>
              <w:jc w:val="center"/>
              <w:rPr>
                <w:rFonts w:ascii="Arial Narrow" w:eastAsia="Times New Roman" w:hAnsi="Arial Narrow" w:cs="Calibri"/>
                <w:b/>
                <w:bCs/>
                <w:color w:val="FFFFFF"/>
                <w:sz w:val="22"/>
                <w:szCs w:val="22"/>
              </w:rPr>
            </w:pPr>
            <w:r w:rsidRPr="0074192E">
              <w:rPr>
                <w:rFonts w:ascii="Arial Narrow" w:eastAsia="Times New Roman" w:hAnsi="Arial Narrow" w:cs="Calibri"/>
                <w:b/>
                <w:bCs/>
                <w:color w:val="FFFFFF"/>
                <w:sz w:val="22"/>
                <w:szCs w:val="22"/>
              </w:rPr>
              <w:t>Concepto</w:t>
            </w:r>
          </w:p>
        </w:tc>
        <w:tc>
          <w:tcPr>
            <w:tcW w:w="4300" w:type="dxa"/>
            <w:gridSpan w:val="2"/>
            <w:tcBorders>
              <w:top w:val="single" w:sz="8" w:space="0" w:color="auto"/>
              <w:left w:val="nil"/>
              <w:bottom w:val="single" w:sz="8" w:space="0" w:color="auto"/>
              <w:right w:val="single" w:sz="8" w:space="0" w:color="000000"/>
            </w:tcBorders>
            <w:shd w:val="clear" w:color="000000" w:fill="203764"/>
            <w:vAlign w:val="center"/>
            <w:hideMark/>
          </w:tcPr>
          <w:p w14:paraId="33FCDE87" w14:textId="77777777" w:rsidR="00FD3B47" w:rsidRPr="0074192E" w:rsidRDefault="00FD3B47" w:rsidP="00D16719">
            <w:pPr>
              <w:jc w:val="center"/>
              <w:rPr>
                <w:rFonts w:ascii="Arial Narrow" w:eastAsia="Times New Roman" w:hAnsi="Arial Narrow" w:cs="Calibri"/>
                <w:b/>
                <w:bCs/>
                <w:color w:val="FFFFFF"/>
                <w:sz w:val="22"/>
                <w:szCs w:val="22"/>
              </w:rPr>
            </w:pPr>
            <w:r w:rsidRPr="0074192E">
              <w:rPr>
                <w:rFonts w:ascii="Arial Narrow" w:eastAsia="Times New Roman" w:hAnsi="Arial Narrow" w:cs="Calibri"/>
                <w:b/>
                <w:bCs/>
                <w:color w:val="FFFFFF"/>
                <w:sz w:val="22"/>
                <w:szCs w:val="22"/>
              </w:rPr>
              <w:t>Referencia</w:t>
            </w:r>
          </w:p>
        </w:tc>
      </w:tr>
      <w:tr w:rsidR="00FD3B47" w:rsidRPr="006E5442" w14:paraId="7459B8B7" w14:textId="77777777" w:rsidTr="00D16719">
        <w:trPr>
          <w:trHeight w:val="940"/>
        </w:trPr>
        <w:tc>
          <w:tcPr>
            <w:tcW w:w="1490" w:type="dxa"/>
            <w:gridSpan w:val="3"/>
            <w:vMerge/>
            <w:tcBorders>
              <w:top w:val="single" w:sz="8" w:space="0" w:color="auto"/>
              <w:left w:val="single" w:sz="8" w:space="0" w:color="auto"/>
              <w:bottom w:val="nil"/>
              <w:right w:val="single" w:sz="8" w:space="0" w:color="000000"/>
            </w:tcBorders>
            <w:vAlign w:val="center"/>
            <w:hideMark/>
          </w:tcPr>
          <w:p w14:paraId="03A0D602" w14:textId="77777777" w:rsidR="00FD3B47" w:rsidRPr="0074192E" w:rsidRDefault="00FD3B47" w:rsidP="00D16719">
            <w:pPr>
              <w:rPr>
                <w:rFonts w:ascii="Arial Narrow" w:eastAsia="Times New Roman" w:hAnsi="Arial Narrow" w:cs="Calibri"/>
                <w:b/>
                <w:bCs/>
                <w:color w:val="FFFFFF"/>
                <w:sz w:val="22"/>
                <w:szCs w:val="22"/>
              </w:rPr>
            </w:pPr>
          </w:p>
        </w:tc>
        <w:tc>
          <w:tcPr>
            <w:tcW w:w="3320" w:type="dxa"/>
            <w:vMerge/>
            <w:tcBorders>
              <w:top w:val="single" w:sz="8" w:space="0" w:color="auto"/>
              <w:left w:val="single" w:sz="8" w:space="0" w:color="auto"/>
              <w:bottom w:val="nil"/>
              <w:right w:val="single" w:sz="8" w:space="0" w:color="auto"/>
            </w:tcBorders>
            <w:vAlign w:val="center"/>
            <w:hideMark/>
          </w:tcPr>
          <w:p w14:paraId="4C3EC65E" w14:textId="77777777" w:rsidR="00FD3B47" w:rsidRPr="0074192E" w:rsidRDefault="00FD3B47" w:rsidP="00D16719">
            <w:pPr>
              <w:rPr>
                <w:rFonts w:ascii="Arial Narrow" w:eastAsia="Times New Roman" w:hAnsi="Arial Narrow" w:cs="Calibri"/>
                <w:b/>
                <w:bCs/>
                <w:color w:val="FFFFFF"/>
                <w:sz w:val="22"/>
                <w:szCs w:val="22"/>
              </w:rPr>
            </w:pPr>
          </w:p>
        </w:tc>
        <w:tc>
          <w:tcPr>
            <w:tcW w:w="2226" w:type="dxa"/>
            <w:tcBorders>
              <w:top w:val="nil"/>
              <w:left w:val="nil"/>
              <w:bottom w:val="nil"/>
              <w:right w:val="single" w:sz="8" w:space="0" w:color="auto"/>
            </w:tcBorders>
            <w:shd w:val="clear" w:color="000000" w:fill="203764"/>
            <w:vAlign w:val="center"/>
            <w:hideMark/>
          </w:tcPr>
          <w:p w14:paraId="1F4CF478" w14:textId="77777777" w:rsidR="00FD3B47" w:rsidRPr="0074192E" w:rsidRDefault="00FD3B47" w:rsidP="00D16719">
            <w:pPr>
              <w:jc w:val="center"/>
              <w:rPr>
                <w:rFonts w:ascii="Arial Narrow" w:eastAsia="Times New Roman" w:hAnsi="Arial Narrow" w:cs="Calibri"/>
                <w:b/>
                <w:bCs/>
                <w:color w:val="FFFFFF"/>
                <w:sz w:val="22"/>
                <w:szCs w:val="22"/>
              </w:rPr>
            </w:pPr>
            <w:r w:rsidRPr="0074192E">
              <w:rPr>
                <w:rFonts w:ascii="Arial Narrow" w:eastAsia="Times New Roman" w:hAnsi="Arial Narrow" w:cs="Calibri"/>
                <w:b/>
                <w:bCs/>
                <w:color w:val="FFFFFF"/>
                <w:sz w:val="22"/>
                <w:szCs w:val="22"/>
              </w:rPr>
              <w:t>Norma</w:t>
            </w:r>
          </w:p>
        </w:tc>
        <w:tc>
          <w:tcPr>
            <w:tcW w:w="2074" w:type="dxa"/>
            <w:tcBorders>
              <w:top w:val="nil"/>
              <w:left w:val="nil"/>
              <w:bottom w:val="nil"/>
              <w:right w:val="single" w:sz="8" w:space="0" w:color="auto"/>
            </w:tcBorders>
            <w:shd w:val="clear" w:color="000000" w:fill="203764"/>
            <w:vAlign w:val="center"/>
            <w:hideMark/>
          </w:tcPr>
          <w:p w14:paraId="664B5DC8" w14:textId="77777777" w:rsidR="00FD3B47" w:rsidRPr="0074192E" w:rsidRDefault="00FD3B47" w:rsidP="00D16719">
            <w:pPr>
              <w:jc w:val="center"/>
              <w:rPr>
                <w:rFonts w:ascii="Arial Narrow" w:eastAsia="Times New Roman" w:hAnsi="Arial Narrow" w:cs="Calibri"/>
                <w:b/>
                <w:bCs/>
                <w:color w:val="FFFFFF"/>
                <w:sz w:val="22"/>
                <w:szCs w:val="22"/>
                <w:lang w:val="es-CR"/>
              </w:rPr>
            </w:pPr>
            <w:r w:rsidRPr="0074192E">
              <w:rPr>
                <w:rFonts w:ascii="Arial Narrow" w:eastAsia="Times New Roman" w:hAnsi="Arial Narrow" w:cs="Calibri"/>
                <w:b/>
                <w:bCs/>
                <w:color w:val="FFFFFF"/>
                <w:sz w:val="22"/>
                <w:szCs w:val="22"/>
                <w:lang w:val="es-CR"/>
              </w:rPr>
              <w:t>Normativa técnica y disposiciones adicionales</w:t>
            </w:r>
          </w:p>
        </w:tc>
      </w:tr>
      <w:tr w:rsidR="00FD3B47" w:rsidRPr="0074192E" w14:paraId="7CA78FD5" w14:textId="77777777" w:rsidTr="00723E6B">
        <w:trPr>
          <w:trHeight w:val="555"/>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10365F" w14:textId="77777777" w:rsidR="00FD3B47" w:rsidRPr="0074192E" w:rsidRDefault="00FD3B47" w:rsidP="00D16719">
            <w:pPr>
              <w:jc w:val="right"/>
              <w:rPr>
                <w:rFonts w:ascii="Arial Narrow" w:eastAsia="Times New Roman" w:hAnsi="Arial Narrow"/>
                <w:b/>
                <w:bCs/>
                <w:color w:val="000000"/>
                <w:sz w:val="22"/>
                <w:szCs w:val="22"/>
              </w:rPr>
            </w:pPr>
            <w:r w:rsidRPr="0074192E">
              <w:rPr>
                <w:rFonts w:ascii="Arial Narrow" w:eastAsia="Times New Roman" w:hAnsi="Arial Narrow"/>
                <w:b/>
                <w:bCs/>
                <w:color w:val="000000"/>
                <w:sz w:val="22"/>
                <w:szCs w:val="22"/>
              </w:rPr>
              <w:t>2</w:t>
            </w:r>
          </w:p>
        </w:tc>
        <w:tc>
          <w:tcPr>
            <w:tcW w:w="456" w:type="dxa"/>
            <w:tcBorders>
              <w:top w:val="single" w:sz="8" w:space="0" w:color="auto"/>
              <w:left w:val="nil"/>
              <w:bottom w:val="single" w:sz="8" w:space="0" w:color="auto"/>
              <w:right w:val="single" w:sz="8" w:space="0" w:color="auto"/>
            </w:tcBorders>
            <w:shd w:val="clear" w:color="auto" w:fill="auto"/>
            <w:vAlign w:val="center"/>
            <w:hideMark/>
          </w:tcPr>
          <w:p w14:paraId="5602B7F2" w14:textId="77777777" w:rsidR="00FD3B47" w:rsidRPr="0074192E" w:rsidRDefault="00FD3B47" w:rsidP="00D16719">
            <w:pPr>
              <w:ind w:firstLineChars="24" w:firstLine="53"/>
              <w:rPr>
                <w:rFonts w:ascii="Arial Narrow" w:eastAsia="Times New Roman" w:hAnsi="Arial Narrow"/>
                <w:b/>
                <w:bCs/>
                <w:color w:val="000000"/>
                <w:sz w:val="22"/>
                <w:szCs w:val="22"/>
              </w:rPr>
            </w:pPr>
            <w:r w:rsidRPr="0074192E">
              <w:rPr>
                <w:rFonts w:ascii="Arial Narrow" w:eastAsia="Times New Roman" w:hAnsi="Arial Narrow"/>
                <w:b/>
                <w:bCs/>
                <w:color w:val="000000"/>
                <w:sz w:val="22"/>
                <w:szCs w:val="22"/>
              </w:rPr>
              <w:t>2.</w:t>
            </w:r>
          </w:p>
        </w:tc>
        <w:tc>
          <w:tcPr>
            <w:tcW w:w="507" w:type="dxa"/>
            <w:tcBorders>
              <w:top w:val="single" w:sz="8" w:space="0" w:color="auto"/>
              <w:left w:val="nil"/>
              <w:bottom w:val="single" w:sz="8" w:space="0" w:color="auto"/>
              <w:right w:val="single" w:sz="8" w:space="0" w:color="auto"/>
            </w:tcBorders>
            <w:shd w:val="clear" w:color="auto" w:fill="auto"/>
            <w:vAlign w:val="center"/>
            <w:hideMark/>
          </w:tcPr>
          <w:p w14:paraId="56191C63" w14:textId="77777777" w:rsidR="00C55377" w:rsidRDefault="00C55377" w:rsidP="00D16719">
            <w:pPr>
              <w:jc w:val="center"/>
              <w:rPr>
                <w:rFonts w:ascii="Arial Narrow" w:eastAsia="Times New Roman" w:hAnsi="Arial Narrow" w:cs="Calibri"/>
                <w:b/>
                <w:bCs/>
                <w:color w:val="000000"/>
                <w:sz w:val="22"/>
                <w:szCs w:val="22"/>
              </w:rPr>
            </w:pPr>
          </w:p>
          <w:p w14:paraId="4157AC29" w14:textId="36B197CB" w:rsidR="00FD3B47" w:rsidRPr="0074192E" w:rsidRDefault="00FD3B47" w:rsidP="00D16719">
            <w:pPr>
              <w:jc w:val="center"/>
              <w:rPr>
                <w:rFonts w:ascii="Arial Narrow" w:eastAsia="Times New Roman" w:hAnsi="Arial Narrow" w:cs="Calibri"/>
                <w:b/>
                <w:bCs/>
                <w:color w:val="000000"/>
                <w:sz w:val="22"/>
                <w:szCs w:val="22"/>
              </w:rPr>
            </w:pPr>
            <w:r w:rsidRPr="0074192E">
              <w:rPr>
                <w:rFonts w:ascii="Arial Narrow" w:eastAsia="Times New Roman" w:hAnsi="Arial Narrow" w:cs="Calibri"/>
                <w:b/>
                <w:bCs/>
                <w:color w:val="000000"/>
                <w:sz w:val="22"/>
                <w:szCs w:val="22"/>
              </w:rPr>
              <w:t> </w:t>
            </w:r>
          </w:p>
        </w:tc>
        <w:tc>
          <w:tcPr>
            <w:tcW w:w="3320" w:type="dxa"/>
            <w:tcBorders>
              <w:top w:val="single" w:sz="8" w:space="0" w:color="auto"/>
              <w:left w:val="nil"/>
              <w:bottom w:val="nil"/>
              <w:right w:val="nil"/>
            </w:tcBorders>
            <w:shd w:val="clear" w:color="auto" w:fill="auto"/>
            <w:vAlign w:val="center"/>
            <w:hideMark/>
          </w:tcPr>
          <w:p w14:paraId="5B74744A" w14:textId="77777777" w:rsidR="00FD3B47" w:rsidRPr="0074192E" w:rsidRDefault="00FD3B47" w:rsidP="00D16719">
            <w:pPr>
              <w:ind w:firstLineChars="5" w:firstLine="11"/>
              <w:rPr>
                <w:rFonts w:ascii="Arial Narrow" w:eastAsia="Times New Roman" w:hAnsi="Arial Narrow"/>
                <w:b/>
                <w:bCs/>
                <w:color w:val="000000"/>
                <w:sz w:val="22"/>
                <w:szCs w:val="22"/>
              </w:rPr>
            </w:pPr>
            <w:r w:rsidRPr="0074192E">
              <w:rPr>
                <w:rFonts w:ascii="Arial Narrow" w:eastAsia="Times New Roman" w:hAnsi="Arial Narrow"/>
                <w:b/>
                <w:bCs/>
                <w:color w:val="000000"/>
                <w:sz w:val="22"/>
                <w:szCs w:val="22"/>
              </w:rPr>
              <w:t>Pasivo financiero</w:t>
            </w:r>
          </w:p>
        </w:tc>
        <w:tc>
          <w:tcPr>
            <w:tcW w:w="22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9E1B18" w14:textId="77777777" w:rsidR="00FD3B47" w:rsidRPr="0074192E" w:rsidRDefault="00FD3B47" w:rsidP="00D16719">
            <w:pPr>
              <w:rPr>
                <w:rFonts w:ascii="Arial Narrow" w:eastAsia="Times New Roman" w:hAnsi="Arial Narrow" w:cs="Calibri"/>
                <w:b/>
                <w:bCs/>
                <w:color w:val="000000"/>
                <w:sz w:val="22"/>
                <w:szCs w:val="22"/>
              </w:rPr>
            </w:pPr>
            <w:r w:rsidRPr="0074192E">
              <w:rPr>
                <w:rFonts w:ascii="Arial Narrow" w:eastAsia="Times New Roman" w:hAnsi="Arial Narrow" w:cs="Calibri"/>
                <w:b/>
                <w:bCs/>
                <w:color w:val="000000"/>
                <w:sz w:val="22"/>
                <w:szCs w:val="22"/>
              </w:rPr>
              <w:t>NICSP Nº 28,</w:t>
            </w:r>
            <w:r w:rsidRPr="0074192E">
              <w:rPr>
                <w:rFonts w:ascii="Arial Narrow" w:eastAsia="Times New Roman" w:hAnsi="Arial Narrow" w:cs="Calibri"/>
                <w:b/>
                <w:bCs/>
                <w:color w:val="000000"/>
                <w:sz w:val="22"/>
                <w:szCs w:val="22"/>
              </w:rPr>
              <w:br/>
              <w:t>Párrafo 9.</w:t>
            </w:r>
          </w:p>
        </w:tc>
        <w:tc>
          <w:tcPr>
            <w:tcW w:w="2074" w:type="dxa"/>
            <w:tcBorders>
              <w:top w:val="single" w:sz="8" w:space="0" w:color="auto"/>
              <w:left w:val="nil"/>
              <w:bottom w:val="single" w:sz="8" w:space="0" w:color="auto"/>
              <w:right w:val="single" w:sz="8" w:space="0" w:color="auto"/>
            </w:tcBorders>
            <w:shd w:val="clear" w:color="auto" w:fill="auto"/>
            <w:vAlign w:val="center"/>
            <w:hideMark/>
          </w:tcPr>
          <w:p w14:paraId="558223E3" w14:textId="77777777" w:rsidR="00FD3B47" w:rsidRPr="0074192E" w:rsidRDefault="00FD3B47" w:rsidP="00D16719">
            <w:pPr>
              <w:jc w:val="center"/>
              <w:rPr>
                <w:rFonts w:ascii="Arial Narrow" w:eastAsia="Times New Roman" w:hAnsi="Arial Narrow" w:cs="Calibri"/>
                <w:b/>
                <w:bCs/>
                <w:color w:val="000000"/>
                <w:sz w:val="22"/>
                <w:szCs w:val="22"/>
              </w:rPr>
            </w:pPr>
            <w:r w:rsidRPr="0074192E">
              <w:rPr>
                <w:rFonts w:ascii="Arial Narrow" w:eastAsia="Times New Roman" w:hAnsi="Arial Narrow" w:cs="Calibri"/>
                <w:b/>
                <w:bCs/>
                <w:color w:val="000000"/>
                <w:sz w:val="22"/>
                <w:szCs w:val="22"/>
              </w:rPr>
              <w:t xml:space="preserve"> </w:t>
            </w:r>
          </w:p>
        </w:tc>
      </w:tr>
      <w:tr w:rsidR="00FD3B47" w:rsidRPr="0074192E" w14:paraId="3EF9BC29" w14:textId="77777777" w:rsidTr="00D16719">
        <w:trPr>
          <w:trHeight w:val="329"/>
        </w:trPr>
        <w:tc>
          <w:tcPr>
            <w:tcW w:w="527" w:type="dxa"/>
            <w:tcBorders>
              <w:top w:val="nil"/>
              <w:left w:val="single" w:sz="8" w:space="0" w:color="auto"/>
              <w:bottom w:val="single" w:sz="8" w:space="0" w:color="auto"/>
              <w:right w:val="single" w:sz="8" w:space="0" w:color="auto"/>
            </w:tcBorders>
            <w:shd w:val="clear" w:color="auto" w:fill="auto"/>
            <w:vAlign w:val="center"/>
            <w:hideMark/>
          </w:tcPr>
          <w:p w14:paraId="4345CC73" w14:textId="77777777" w:rsidR="00FD3B47" w:rsidRPr="0074192E" w:rsidRDefault="00FD3B47" w:rsidP="00D16719">
            <w:pPr>
              <w:jc w:val="right"/>
              <w:rPr>
                <w:rFonts w:ascii="Arial Narrow" w:eastAsia="Times New Roman" w:hAnsi="Arial Narrow"/>
                <w:b/>
                <w:bCs/>
                <w:color w:val="000000"/>
                <w:sz w:val="22"/>
                <w:szCs w:val="22"/>
              </w:rPr>
            </w:pPr>
            <w:r w:rsidRPr="0074192E">
              <w:rPr>
                <w:rFonts w:ascii="Arial Narrow" w:eastAsia="Times New Roman" w:hAnsi="Arial Narrow"/>
                <w:b/>
                <w:bCs/>
                <w:color w:val="000000"/>
                <w:sz w:val="22"/>
                <w:szCs w:val="22"/>
              </w:rPr>
              <w:t>2</w:t>
            </w:r>
          </w:p>
        </w:tc>
        <w:tc>
          <w:tcPr>
            <w:tcW w:w="456" w:type="dxa"/>
            <w:tcBorders>
              <w:top w:val="nil"/>
              <w:left w:val="nil"/>
              <w:bottom w:val="single" w:sz="8" w:space="0" w:color="auto"/>
              <w:right w:val="single" w:sz="8" w:space="0" w:color="auto"/>
            </w:tcBorders>
            <w:shd w:val="clear" w:color="auto" w:fill="auto"/>
            <w:vAlign w:val="center"/>
            <w:hideMark/>
          </w:tcPr>
          <w:p w14:paraId="67C12B2C" w14:textId="77777777" w:rsidR="00FD3B47" w:rsidRPr="0074192E" w:rsidRDefault="00FD3B47" w:rsidP="00D16719">
            <w:pPr>
              <w:rPr>
                <w:rFonts w:ascii="Arial Narrow" w:eastAsia="Times New Roman" w:hAnsi="Arial Narrow"/>
                <w:b/>
                <w:bCs/>
                <w:color w:val="000000"/>
                <w:sz w:val="22"/>
                <w:szCs w:val="22"/>
              </w:rPr>
            </w:pPr>
            <w:r w:rsidRPr="0074192E">
              <w:rPr>
                <w:rFonts w:ascii="Arial Narrow" w:eastAsia="Times New Roman" w:hAnsi="Arial Narrow"/>
                <w:b/>
                <w:bCs/>
                <w:color w:val="000000"/>
                <w:sz w:val="22"/>
                <w:szCs w:val="22"/>
              </w:rPr>
              <w:t>2.</w:t>
            </w:r>
          </w:p>
        </w:tc>
        <w:tc>
          <w:tcPr>
            <w:tcW w:w="507" w:type="dxa"/>
            <w:tcBorders>
              <w:top w:val="nil"/>
              <w:left w:val="nil"/>
              <w:bottom w:val="single" w:sz="8" w:space="0" w:color="auto"/>
              <w:right w:val="single" w:sz="8" w:space="0" w:color="auto"/>
            </w:tcBorders>
            <w:shd w:val="clear" w:color="auto" w:fill="auto"/>
            <w:vAlign w:val="center"/>
            <w:hideMark/>
          </w:tcPr>
          <w:p w14:paraId="78A21730" w14:textId="77777777" w:rsidR="00FD3B47" w:rsidRPr="0074192E" w:rsidRDefault="00FD3B47" w:rsidP="00D16719">
            <w:pPr>
              <w:jc w:val="center"/>
              <w:rPr>
                <w:rFonts w:ascii="Arial Narrow" w:eastAsia="Times New Roman" w:hAnsi="Arial Narrow" w:cs="Calibri"/>
                <w:b/>
                <w:bCs/>
                <w:color w:val="000000"/>
                <w:sz w:val="22"/>
                <w:szCs w:val="22"/>
              </w:rPr>
            </w:pPr>
            <w:r w:rsidRPr="0074192E">
              <w:rPr>
                <w:rFonts w:ascii="Arial Narrow" w:eastAsia="Times New Roman" w:hAnsi="Arial Narrow" w:cs="Calibri"/>
                <w:b/>
                <w:bCs/>
                <w:color w:val="000000"/>
                <w:sz w:val="22"/>
                <w:szCs w:val="22"/>
              </w:rPr>
              <w:t>1</w:t>
            </w:r>
          </w:p>
        </w:tc>
        <w:tc>
          <w:tcPr>
            <w:tcW w:w="3320" w:type="dxa"/>
            <w:tcBorders>
              <w:top w:val="single" w:sz="8" w:space="0" w:color="auto"/>
              <w:left w:val="nil"/>
              <w:bottom w:val="single" w:sz="8" w:space="0" w:color="auto"/>
              <w:right w:val="single" w:sz="8" w:space="0" w:color="auto"/>
            </w:tcBorders>
            <w:shd w:val="clear" w:color="auto" w:fill="auto"/>
            <w:vAlign w:val="center"/>
            <w:hideMark/>
          </w:tcPr>
          <w:p w14:paraId="7D609554" w14:textId="77777777" w:rsidR="00FD3B47" w:rsidRPr="0074192E" w:rsidRDefault="00FD3B47" w:rsidP="00D16719">
            <w:pPr>
              <w:ind w:firstLineChars="5" w:firstLine="11"/>
              <w:rPr>
                <w:rFonts w:ascii="Arial Narrow" w:eastAsia="Times New Roman" w:hAnsi="Arial Narrow"/>
                <w:b/>
                <w:bCs/>
                <w:color w:val="000000"/>
                <w:sz w:val="22"/>
                <w:szCs w:val="22"/>
              </w:rPr>
            </w:pPr>
            <w:r w:rsidRPr="0074192E">
              <w:rPr>
                <w:rFonts w:ascii="Arial Narrow" w:eastAsia="Times New Roman" w:hAnsi="Arial Narrow"/>
                <w:b/>
                <w:bCs/>
                <w:color w:val="000000"/>
                <w:sz w:val="22"/>
                <w:szCs w:val="22"/>
              </w:rPr>
              <w:t>Relación con activos financieros</w:t>
            </w:r>
          </w:p>
        </w:tc>
        <w:tc>
          <w:tcPr>
            <w:tcW w:w="2226" w:type="dxa"/>
            <w:tcBorders>
              <w:top w:val="nil"/>
              <w:left w:val="nil"/>
              <w:bottom w:val="single" w:sz="8" w:space="0" w:color="auto"/>
              <w:right w:val="single" w:sz="8" w:space="0" w:color="auto"/>
            </w:tcBorders>
            <w:shd w:val="clear" w:color="auto" w:fill="auto"/>
            <w:vAlign w:val="center"/>
            <w:hideMark/>
          </w:tcPr>
          <w:p w14:paraId="7D4DB252" w14:textId="77777777" w:rsidR="00FD3B47" w:rsidRPr="0074192E" w:rsidRDefault="00FD3B47" w:rsidP="00D16719">
            <w:pPr>
              <w:rPr>
                <w:rFonts w:ascii="Arial Narrow" w:eastAsia="Times New Roman" w:hAnsi="Arial Narrow" w:cs="Calibri"/>
                <w:b/>
                <w:bCs/>
                <w:color w:val="000000"/>
                <w:sz w:val="22"/>
                <w:szCs w:val="22"/>
              </w:rPr>
            </w:pPr>
            <w:r w:rsidRPr="0074192E">
              <w:rPr>
                <w:rFonts w:ascii="Arial Narrow" w:eastAsia="Times New Roman" w:hAnsi="Arial Narrow" w:cs="Calibri"/>
                <w:b/>
                <w:bCs/>
                <w:color w:val="000000"/>
                <w:sz w:val="22"/>
                <w:szCs w:val="22"/>
              </w:rPr>
              <w:t> </w:t>
            </w:r>
          </w:p>
        </w:tc>
        <w:tc>
          <w:tcPr>
            <w:tcW w:w="2074" w:type="dxa"/>
            <w:tcBorders>
              <w:top w:val="nil"/>
              <w:left w:val="nil"/>
              <w:bottom w:val="single" w:sz="8" w:space="0" w:color="auto"/>
              <w:right w:val="single" w:sz="8" w:space="0" w:color="auto"/>
            </w:tcBorders>
            <w:shd w:val="clear" w:color="auto" w:fill="auto"/>
            <w:vAlign w:val="center"/>
            <w:hideMark/>
          </w:tcPr>
          <w:p w14:paraId="28BEE8E7" w14:textId="77777777" w:rsidR="00FD3B47" w:rsidRPr="0074192E" w:rsidRDefault="00FD3B47" w:rsidP="00D16719">
            <w:pPr>
              <w:jc w:val="center"/>
              <w:rPr>
                <w:rFonts w:ascii="Arial Narrow" w:eastAsia="Times New Roman" w:hAnsi="Arial Narrow" w:cs="Calibri"/>
                <w:b/>
                <w:bCs/>
                <w:color w:val="000000"/>
                <w:sz w:val="22"/>
                <w:szCs w:val="22"/>
              </w:rPr>
            </w:pPr>
            <w:r w:rsidRPr="0074192E">
              <w:rPr>
                <w:rFonts w:ascii="Arial Narrow" w:eastAsia="Times New Roman" w:hAnsi="Arial Narrow" w:cs="Calibri"/>
                <w:b/>
                <w:bCs/>
                <w:color w:val="000000"/>
                <w:sz w:val="22"/>
                <w:szCs w:val="22"/>
              </w:rPr>
              <w:t xml:space="preserve"> </w:t>
            </w:r>
          </w:p>
        </w:tc>
      </w:tr>
    </w:tbl>
    <w:p w14:paraId="59087B71" w14:textId="77777777" w:rsidR="00FD3B47" w:rsidRDefault="00FD3B47" w:rsidP="00FD3B47">
      <w:pPr>
        <w:spacing w:line="238" w:lineRule="auto"/>
        <w:ind w:left="1134" w:right="260" w:hanging="1134"/>
        <w:jc w:val="both"/>
        <w:rPr>
          <w:rFonts w:ascii="Arial" w:eastAsia="Arial" w:hAnsi="Arial"/>
          <w:b/>
          <w:sz w:val="22"/>
          <w:szCs w:val="22"/>
          <w:lang w:val="es-CR"/>
        </w:rPr>
      </w:pPr>
    </w:p>
    <w:p w14:paraId="4474CC43" w14:textId="77777777" w:rsidR="00723E6B" w:rsidRDefault="00723E6B" w:rsidP="00FD3B47">
      <w:pPr>
        <w:spacing w:line="238" w:lineRule="auto"/>
        <w:ind w:left="1134" w:right="260" w:hanging="1134"/>
        <w:jc w:val="both"/>
        <w:rPr>
          <w:rFonts w:ascii="Arial" w:eastAsia="Arial" w:hAnsi="Arial"/>
          <w:b/>
          <w:sz w:val="22"/>
          <w:szCs w:val="22"/>
          <w:lang w:val="es-CR"/>
        </w:rPr>
      </w:pPr>
    </w:p>
    <w:p w14:paraId="0550849D" w14:textId="77777777" w:rsidR="00723E6B" w:rsidRDefault="00723E6B" w:rsidP="00FD3B47">
      <w:pPr>
        <w:spacing w:line="238" w:lineRule="auto"/>
        <w:ind w:left="1134" w:right="260" w:hanging="1134"/>
        <w:jc w:val="both"/>
        <w:rPr>
          <w:rFonts w:ascii="Arial" w:eastAsia="Arial" w:hAnsi="Arial"/>
          <w:b/>
          <w:sz w:val="22"/>
          <w:szCs w:val="22"/>
          <w:lang w:val="es-CR"/>
        </w:rPr>
      </w:pPr>
    </w:p>
    <w:p w14:paraId="7ABCD802" w14:textId="39B7CCCC" w:rsidR="00723E6B" w:rsidRDefault="00723E6B"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lastRenderedPageBreak/>
        <w:t>Políticas Contables</w:t>
      </w:r>
    </w:p>
    <w:p w14:paraId="7071B631" w14:textId="77777777" w:rsidR="00723E6B" w:rsidRDefault="00723E6B" w:rsidP="00FD3B47">
      <w:pPr>
        <w:spacing w:line="238" w:lineRule="auto"/>
        <w:ind w:left="1134" w:right="260" w:hanging="1134"/>
        <w:jc w:val="both"/>
        <w:rPr>
          <w:rFonts w:ascii="Arial" w:eastAsia="Arial" w:hAnsi="Arial"/>
          <w:b/>
          <w:sz w:val="22"/>
          <w:szCs w:val="22"/>
          <w:lang w:val="es-CR"/>
        </w:rPr>
      </w:pPr>
    </w:p>
    <w:p w14:paraId="357480A8" w14:textId="5246D389" w:rsidR="00FD3B47" w:rsidRPr="00C55377" w:rsidRDefault="00C55377" w:rsidP="00C55377">
      <w:pPr>
        <w:spacing w:line="238" w:lineRule="auto"/>
        <w:ind w:left="1134" w:right="260" w:hanging="1134"/>
        <w:jc w:val="both"/>
        <w:rPr>
          <w:rFonts w:ascii="Arial" w:hAnsi="Arial"/>
          <w:sz w:val="22"/>
          <w:szCs w:val="22"/>
          <w:lang w:val="es-CR"/>
        </w:rPr>
      </w:pPr>
      <w:r>
        <w:rPr>
          <w:rFonts w:ascii="Arial" w:hAnsi="Arial"/>
          <w:sz w:val="22"/>
          <w:szCs w:val="22"/>
          <w:lang w:val="es-CR"/>
        </w:rPr>
        <w:t>2.2.0.01</w:t>
      </w:r>
      <w:r>
        <w:rPr>
          <w:rFonts w:ascii="Arial" w:hAnsi="Arial"/>
          <w:sz w:val="22"/>
          <w:szCs w:val="22"/>
          <w:lang w:val="es-CR"/>
        </w:rPr>
        <w:tab/>
      </w:r>
      <w:r w:rsidR="00FD3B47" w:rsidRPr="00C55377">
        <w:rPr>
          <w:rFonts w:ascii="Arial" w:hAnsi="Arial"/>
          <w:sz w:val="22"/>
          <w:szCs w:val="22"/>
          <w:lang w:val="es-CR"/>
        </w:rPr>
        <w:t xml:space="preserve">Un pasivo financiero es el pasivo originado en una obligación contractual de entregar efectivo u otro activo financiero a otra entidad (o persona física); o </w:t>
      </w:r>
      <w:r w:rsidR="0021354A" w:rsidRPr="00C55377">
        <w:rPr>
          <w:rFonts w:ascii="Arial" w:hAnsi="Arial"/>
          <w:sz w:val="22"/>
          <w:szCs w:val="22"/>
          <w:lang w:val="es-CR"/>
        </w:rPr>
        <w:t>interca</w:t>
      </w:r>
      <w:r w:rsidR="0021354A">
        <w:rPr>
          <w:rFonts w:ascii="Arial" w:hAnsi="Arial"/>
          <w:sz w:val="22"/>
          <w:szCs w:val="22"/>
          <w:lang w:val="es-CR"/>
        </w:rPr>
        <w:t>mbi</w:t>
      </w:r>
      <w:r w:rsidR="0021354A" w:rsidRPr="00C55377">
        <w:rPr>
          <w:rFonts w:ascii="Arial" w:hAnsi="Arial"/>
          <w:sz w:val="22"/>
          <w:szCs w:val="22"/>
          <w:lang w:val="es-CR"/>
        </w:rPr>
        <w:t>ar</w:t>
      </w:r>
      <w:r w:rsidR="00FD3B47" w:rsidRPr="00C55377">
        <w:rPr>
          <w:rFonts w:ascii="Arial" w:hAnsi="Arial"/>
          <w:sz w:val="22"/>
          <w:szCs w:val="22"/>
          <w:lang w:val="es-CR"/>
        </w:rPr>
        <w:t xml:space="preserve"> activos o pasivos financieros con otra entidad en condiciones que sean potencialmente desfavorables.</w:t>
      </w:r>
    </w:p>
    <w:p w14:paraId="5178885E" w14:textId="77777777" w:rsidR="00FD3B47" w:rsidRPr="007043A6" w:rsidRDefault="00FD3B47" w:rsidP="00FD3B47">
      <w:pPr>
        <w:pStyle w:val="Prrafodelista"/>
        <w:spacing w:line="238" w:lineRule="auto"/>
        <w:ind w:left="1134" w:right="260"/>
        <w:jc w:val="both"/>
        <w:rPr>
          <w:rFonts w:ascii="Arial" w:hAnsi="Arial"/>
          <w:sz w:val="22"/>
          <w:szCs w:val="22"/>
          <w:lang w:val="es-CR"/>
        </w:rPr>
      </w:pPr>
    </w:p>
    <w:p w14:paraId="1814681A" w14:textId="77777777" w:rsidR="00FD3B47" w:rsidRPr="007043A6" w:rsidRDefault="00FD3B47">
      <w:pPr>
        <w:pStyle w:val="Prrafodelista"/>
        <w:numPr>
          <w:ilvl w:val="3"/>
          <w:numId w:val="127"/>
        </w:numPr>
        <w:spacing w:line="238" w:lineRule="auto"/>
        <w:ind w:left="1134" w:right="260" w:hanging="1134"/>
        <w:jc w:val="both"/>
        <w:rPr>
          <w:rFonts w:ascii="Arial" w:hAnsi="Arial"/>
          <w:sz w:val="22"/>
          <w:szCs w:val="22"/>
          <w:lang w:val="es-CR"/>
        </w:rPr>
      </w:pPr>
      <w:r w:rsidRPr="007043A6">
        <w:rPr>
          <w:rFonts w:ascii="Arial" w:hAnsi="Arial"/>
          <w:sz w:val="22"/>
          <w:szCs w:val="22"/>
          <w:lang w:val="es-CR"/>
        </w:rPr>
        <w:t>Las normas y políticas sobre pasivos financieros desarrolladas a continuación se complementan con las desarrolladas en el Capítulo “Activo” del presente documento.</w:t>
      </w:r>
    </w:p>
    <w:p w14:paraId="61EA5AC6" w14:textId="77777777" w:rsidR="00FD3B47" w:rsidRDefault="00FD3B47" w:rsidP="00FD3B47">
      <w:pPr>
        <w:spacing w:line="238" w:lineRule="auto"/>
        <w:ind w:left="1134" w:right="260" w:hanging="1134"/>
        <w:jc w:val="both"/>
        <w:rPr>
          <w:rFonts w:ascii="Arial" w:eastAsia="Arial" w:hAnsi="Arial"/>
          <w:b/>
          <w:sz w:val="22"/>
          <w:szCs w:val="22"/>
          <w:lang w:val="es-CR"/>
        </w:rPr>
      </w:pPr>
    </w:p>
    <w:p w14:paraId="76A95A02" w14:textId="77777777" w:rsidR="00FD3B47" w:rsidRDefault="00FD3B47" w:rsidP="00FD3B47">
      <w:pPr>
        <w:spacing w:line="238" w:lineRule="auto"/>
        <w:ind w:left="1134" w:right="260" w:hanging="1134"/>
        <w:jc w:val="both"/>
        <w:rPr>
          <w:rFonts w:ascii="Arial" w:eastAsia="Arial" w:hAnsi="Arial"/>
          <w:b/>
          <w:sz w:val="22"/>
          <w:szCs w:val="22"/>
          <w:lang w:val="es-CR"/>
        </w:rPr>
      </w:pPr>
    </w:p>
    <w:tbl>
      <w:tblPr>
        <w:tblW w:w="9149" w:type="dxa"/>
        <w:tblLayout w:type="fixed"/>
        <w:tblLook w:val="04A0" w:firstRow="1" w:lastRow="0" w:firstColumn="1" w:lastColumn="0" w:noHBand="0" w:noVBand="1"/>
      </w:tblPr>
      <w:tblGrid>
        <w:gridCol w:w="416"/>
        <w:gridCol w:w="457"/>
        <w:gridCol w:w="509"/>
        <w:gridCol w:w="3672"/>
        <w:gridCol w:w="2024"/>
        <w:gridCol w:w="2071"/>
      </w:tblGrid>
      <w:tr w:rsidR="00FD3B47" w:rsidRPr="003867A4" w14:paraId="2C71FB0E" w14:textId="77777777" w:rsidTr="00D16719">
        <w:trPr>
          <w:trHeight w:val="320"/>
        </w:trPr>
        <w:tc>
          <w:tcPr>
            <w:tcW w:w="138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9EEF723" w14:textId="77777777" w:rsidR="00FD3B47" w:rsidRPr="003867A4" w:rsidRDefault="00FD3B47" w:rsidP="00D16719">
            <w:pPr>
              <w:jc w:val="center"/>
              <w:rPr>
                <w:rFonts w:ascii="Arial Narrow" w:eastAsia="Times New Roman" w:hAnsi="Arial Narrow" w:cs="Calibri"/>
                <w:b/>
                <w:bCs/>
                <w:color w:val="FFFFFF"/>
                <w:sz w:val="22"/>
                <w:szCs w:val="22"/>
              </w:rPr>
            </w:pPr>
            <w:r w:rsidRPr="003867A4">
              <w:rPr>
                <w:rFonts w:ascii="Arial Narrow" w:eastAsia="Times New Roman" w:hAnsi="Arial Narrow" w:cs="Calibri"/>
                <w:b/>
                <w:bCs/>
                <w:color w:val="FFFFFF"/>
                <w:sz w:val="22"/>
                <w:szCs w:val="22"/>
              </w:rPr>
              <w:t>Norma / Política</w:t>
            </w:r>
          </w:p>
        </w:tc>
        <w:tc>
          <w:tcPr>
            <w:tcW w:w="367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F8BCFA8" w14:textId="77777777" w:rsidR="00FD3B47" w:rsidRPr="003867A4" w:rsidRDefault="00FD3B47" w:rsidP="00D16719">
            <w:pPr>
              <w:jc w:val="center"/>
              <w:rPr>
                <w:rFonts w:ascii="Arial Narrow" w:eastAsia="Times New Roman" w:hAnsi="Arial Narrow" w:cs="Calibri"/>
                <w:b/>
                <w:bCs/>
                <w:color w:val="FFFFFF"/>
                <w:sz w:val="22"/>
                <w:szCs w:val="22"/>
              </w:rPr>
            </w:pPr>
            <w:r w:rsidRPr="003867A4">
              <w:rPr>
                <w:rFonts w:ascii="Arial Narrow" w:eastAsia="Times New Roman" w:hAnsi="Arial Narrow" w:cs="Calibri"/>
                <w:b/>
                <w:bCs/>
                <w:color w:val="FFFFFF"/>
                <w:sz w:val="22"/>
                <w:szCs w:val="22"/>
              </w:rPr>
              <w:t>Concepto</w:t>
            </w:r>
          </w:p>
        </w:tc>
        <w:tc>
          <w:tcPr>
            <w:tcW w:w="4093" w:type="dxa"/>
            <w:gridSpan w:val="2"/>
            <w:tcBorders>
              <w:top w:val="single" w:sz="8" w:space="0" w:color="auto"/>
              <w:left w:val="nil"/>
              <w:bottom w:val="single" w:sz="8" w:space="0" w:color="auto"/>
              <w:right w:val="single" w:sz="8" w:space="0" w:color="000000"/>
            </w:tcBorders>
            <w:shd w:val="clear" w:color="000000" w:fill="203764"/>
            <w:vAlign w:val="center"/>
            <w:hideMark/>
          </w:tcPr>
          <w:p w14:paraId="71AA46FB" w14:textId="77777777" w:rsidR="00FD3B47" w:rsidRPr="003867A4" w:rsidRDefault="00FD3B47" w:rsidP="00D16719">
            <w:pPr>
              <w:jc w:val="center"/>
              <w:rPr>
                <w:rFonts w:ascii="Arial Narrow" w:eastAsia="Times New Roman" w:hAnsi="Arial Narrow" w:cs="Calibri"/>
                <w:b/>
                <w:bCs/>
                <w:color w:val="FFFFFF"/>
                <w:sz w:val="22"/>
                <w:szCs w:val="22"/>
              </w:rPr>
            </w:pPr>
            <w:r w:rsidRPr="003867A4">
              <w:rPr>
                <w:rFonts w:ascii="Arial Narrow" w:eastAsia="Times New Roman" w:hAnsi="Arial Narrow" w:cs="Calibri"/>
                <w:b/>
                <w:bCs/>
                <w:color w:val="FFFFFF"/>
                <w:sz w:val="22"/>
                <w:szCs w:val="22"/>
              </w:rPr>
              <w:t>Referencia</w:t>
            </w:r>
          </w:p>
        </w:tc>
      </w:tr>
      <w:tr w:rsidR="00FD3B47" w:rsidRPr="006E5442" w14:paraId="0325F15F" w14:textId="77777777" w:rsidTr="00D16719">
        <w:trPr>
          <w:trHeight w:val="940"/>
        </w:trPr>
        <w:tc>
          <w:tcPr>
            <w:tcW w:w="1382" w:type="dxa"/>
            <w:gridSpan w:val="3"/>
            <w:vMerge/>
            <w:tcBorders>
              <w:top w:val="single" w:sz="8" w:space="0" w:color="auto"/>
              <w:left w:val="single" w:sz="8" w:space="0" w:color="auto"/>
              <w:bottom w:val="nil"/>
              <w:right w:val="single" w:sz="8" w:space="0" w:color="000000"/>
            </w:tcBorders>
            <w:vAlign w:val="center"/>
            <w:hideMark/>
          </w:tcPr>
          <w:p w14:paraId="2BB902E8" w14:textId="77777777" w:rsidR="00FD3B47" w:rsidRPr="003867A4" w:rsidRDefault="00FD3B47" w:rsidP="00D16719">
            <w:pPr>
              <w:rPr>
                <w:rFonts w:ascii="Arial Narrow" w:eastAsia="Times New Roman" w:hAnsi="Arial Narrow" w:cs="Calibri"/>
                <w:b/>
                <w:bCs/>
                <w:color w:val="FFFFFF"/>
                <w:sz w:val="22"/>
                <w:szCs w:val="22"/>
              </w:rPr>
            </w:pPr>
          </w:p>
        </w:tc>
        <w:tc>
          <w:tcPr>
            <w:tcW w:w="3672" w:type="dxa"/>
            <w:vMerge/>
            <w:tcBorders>
              <w:top w:val="single" w:sz="8" w:space="0" w:color="auto"/>
              <w:left w:val="single" w:sz="8" w:space="0" w:color="auto"/>
              <w:bottom w:val="nil"/>
              <w:right w:val="single" w:sz="8" w:space="0" w:color="auto"/>
            </w:tcBorders>
            <w:vAlign w:val="center"/>
            <w:hideMark/>
          </w:tcPr>
          <w:p w14:paraId="73B1484F" w14:textId="77777777" w:rsidR="00FD3B47" w:rsidRPr="003867A4" w:rsidRDefault="00FD3B47" w:rsidP="00D16719">
            <w:pPr>
              <w:rPr>
                <w:rFonts w:ascii="Arial Narrow" w:eastAsia="Times New Roman" w:hAnsi="Arial Narrow" w:cs="Calibri"/>
                <w:b/>
                <w:bCs/>
                <w:color w:val="FFFFFF"/>
                <w:sz w:val="22"/>
                <w:szCs w:val="22"/>
              </w:rPr>
            </w:pPr>
          </w:p>
        </w:tc>
        <w:tc>
          <w:tcPr>
            <w:tcW w:w="2024" w:type="dxa"/>
            <w:tcBorders>
              <w:top w:val="nil"/>
              <w:left w:val="nil"/>
              <w:bottom w:val="nil"/>
              <w:right w:val="single" w:sz="8" w:space="0" w:color="auto"/>
            </w:tcBorders>
            <w:shd w:val="clear" w:color="000000" w:fill="203764"/>
            <w:vAlign w:val="center"/>
            <w:hideMark/>
          </w:tcPr>
          <w:p w14:paraId="732FEA38" w14:textId="77777777" w:rsidR="00FD3B47" w:rsidRPr="003867A4" w:rsidRDefault="00FD3B47" w:rsidP="00D16719">
            <w:pPr>
              <w:jc w:val="center"/>
              <w:rPr>
                <w:rFonts w:ascii="Arial Narrow" w:eastAsia="Times New Roman" w:hAnsi="Arial Narrow" w:cs="Calibri"/>
                <w:b/>
                <w:bCs/>
                <w:color w:val="FFFFFF"/>
                <w:sz w:val="22"/>
                <w:szCs w:val="22"/>
              </w:rPr>
            </w:pPr>
            <w:r w:rsidRPr="003867A4">
              <w:rPr>
                <w:rFonts w:ascii="Arial Narrow" w:eastAsia="Times New Roman" w:hAnsi="Arial Narrow" w:cs="Calibri"/>
                <w:b/>
                <w:bCs/>
                <w:color w:val="FFFFFF"/>
                <w:sz w:val="22"/>
                <w:szCs w:val="22"/>
              </w:rPr>
              <w:t>Norma</w:t>
            </w:r>
          </w:p>
        </w:tc>
        <w:tc>
          <w:tcPr>
            <w:tcW w:w="2071" w:type="dxa"/>
            <w:tcBorders>
              <w:top w:val="nil"/>
              <w:left w:val="nil"/>
              <w:bottom w:val="nil"/>
              <w:right w:val="single" w:sz="8" w:space="0" w:color="auto"/>
            </w:tcBorders>
            <w:shd w:val="clear" w:color="000000" w:fill="203764"/>
            <w:vAlign w:val="center"/>
            <w:hideMark/>
          </w:tcPr>
          <w:p w14:paraId="1039595D" w14:textId="77777777" w:rsidR="00FD3B47" w:rsidRPr="003867A4" w:rsidRDefault="00FD3B47" w:rsidP="00D16719">
            <w:pPr>
              <w:jc w:val="center"/>
              <w:rPr>
                <w:rFonts w:ascii="Arial Narrow" w:eastAsia="Times New Roman" w:hAnsi="Arial Narrow" w:cs="Calibri"/>
                <w:b/>
                <w:bCs/>
                <w:color w:val="FFFFFF"/>
                <w:sz w:val="22"/>
                <w:szCs w:val="22"/>
                <w:lang w:val="es-CR"/>
              </w:rPr>
            </w:pPr>
            <w:r w:rsidRPr="003867A4">
              <w:rPr>
                <w:rFonts w:ascii="Arial Narrow" w:eastAsia="Times New Roman" w:hAnsi="Arial Narrow" w:cs="Calibri"/>
                <w:b/>
                <w:bCs/>
                <w:color w:val="FFFFFF"/>
                <w:sz w:val="22"/>
                <w:szCs w:val="22"/>
                <w:lang w:val="es-CR"/>
              </w:rPr>
              <w:t>Normativa técnica y disposiciones adicionales</w:t>
            </w:r>
          </w:p>
        </w:tc>
      </w:tr>
      <w:tr w:rsidR="00FD3B47" w:rsidRPr="003867A4" w14:paraId="296A5943" w14:textId="77777777" w:rsidTr="00D16719">
        <w:trPr>
          <w:trHeight w:val="63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A97FE8" w14:textId="77777777" w:rsidR="00FD3B47" w:rsidRPr="003867A4" w:rsidRDefault="00FD3B47" w:rsidP="00D16719">
            <w:pPr>
              <w:jc w:val="right"/>
              <w:rPr>
                <w:rFonts w:ascii="Arial Narrow" w:eastAsia="Times New Roman" w:hAnsi="Arial Narrow"/>
                <w:b/>
                <w:bCs/>
                <w:color w:val="000000"/>
                <w:sz w:val="24"/>
                <w:szCs w:val="24"/>
              </w:rPr>
            </w:pPr>
            <w:r w:rsidRPr="003867A4">
              <w:rPr>
                <w:rFonts w:ascii="Arial Narrow" w:eastAsia="Times New Roman" w:hAnsi="Arial Narrow"/>
                <w:b/>
                <w:bCs/>
                <w:color w:val="000000"/>
                <w:sz w:val="24"/>
                <w:szCs w:val="24"/>
              </w:rPr>
              <w:t>2</w:t>
            </w:r>
          </w:p>
        </w:tc>
        <w:tc>
          <w:tcPr>
            <w:tcW w:w="457" w:type="dxa"/>
            <w:tcBorders>
              <w:top w:val="single" w:sz="8" w:space="0" w:color="auto"/>
              <w:left w:val="nil"/>
              <w:bottom w:val="single" w:sz="8" w:space="0" w:color="auto"/>
              <w:right w:val="single" w:sz="8" w:space="0" w:color="auto"/>
            </w:tcBorders>
            <w:shd w:val="clear" w:color="auto" w:fill="auto"/>
            <w:vAlign w:val="center"/>
            <w:hideMark/>
          </w:tcPr>
          <w:p w14:paraId="3E9CE28B" w14:textId="77777777" w:rsidR="00FD3B47" w:rsidRPr="003867A4" w:rsidRDefault="00FD3B47" w:rsidP="00D16719">
            <w:pPr>
              <w:rPr>
                <w:rFonts w:ascii="Arial Narrow" w:eastAsia="Times New Roman" w:hAnsi="Arial Narrow"/>
                <w:b/>
                <w:bCs/>
                <w:color w:val="000000"/>
                <w:sz w:val="24"/>
                <w:szCs w:val="24"/>
              </w:rPr>
            </w:pPr>
            <w:r w:rsidRPr="003867A4">
              <w:rPr>
                <w:rFonts w:ascii="Arial Narrow" w:eastAsia="Times New Roman" w:hAnsi="Arial Narrow"/>
                <w:b/>
                <w:bCs/>
                <w:color w:val="000000"/>
                <w:sz w:val="24"/>
                <w:szCs w:val="24"/>
              </w:rPr>
              <w:t>3.</w:t>
            </w:r>
          </w:p>
        </w:tc>
        <w:tc>
          <w:tcPr>
            <w:tcW w:w="509" w:type="dxa"/>
            <w:tcBorders>
              <w:top w:val="single" w:sz="8" w:space="0" w:color="auto"/>
              <w:left w:val="nil"/>
              <w:bottom w:val="single" w:sz="8" w:space="0" w:color="auto"/>
              <w:right w:val="single" w:sz="8" w:space="0" w:color="auto"/>
            </w:tcBorders>
            <w:shd w:val="clear" w:color="auto" w:fill="auto"/>
            <w:vAlign w:val="center"/>
            <w:hideMark/>
          </w:tcPr>
          <w:p w14:paraId="23ABB142" w14:textId="01852680" w:rsidR="00FD3B47" w:rsidRPr="003867A4" w:rsidRDefault="00FD3B47" w:rsidP="00D16719">
            <w:pPr>
              <w:jc w:val="center"/>
              <w:rPr>
                <w:rFonts w:ascii="Arial Narrow" w:eastAsia="Times New Roman" w:hAnsi="Arial Narrow" w:cs="Calibri"/>
                <w:b/>
                <w:bCs/>
                <w:color w:val="000000"/>
                <w:sz w:val="24"/>
                <w:szCs w:val="24"/>
              </w:rPr>
            </w:pPr>
            <w:r w:rsidRPr="003867A4">
              <w:rPr>
                <w:rFonts w:ascii="Arial Narrow" w:eastAsia="Times New Roman" w:hAnsi="Arial Narrow" w:cs="Calibri"/>
                <w:b/>
                <w:bCs/>
                <w:color w:val="000000"/>
                <w:sz w:val="24"/>
                <w:szCs w:val="24"/>
              </w:rPr>
              <w:t> </w:t>
            </w:r>
          </w:p>
        </w:tc>
        <w:tc>
          <w:tcPr>
            <w:tcW w:w="3672" w:type="dxa"/>
            <w:tcBorders>
              <w:top w:val="single" w:sz="8" w:space="0" w:color="auto"/>
              <w:left w:val="nil"/>
              <w:bottom w:val="nil"/>
              <w:right w:val="nil"/>
            </w:tcBorders>
            <w:shd w:val="clear" w:color="auto" w:fill="auto"/>
            <w:vAlign w:val="center"/>
            <w:hideMark/>
          </w:tcPr>
          <w:p w14:paraId="0CBC04C0" w14:textId="77777777" w:rsidR="00FD3B47" w:rsidRPr="003867A4" w:rsidRDefault="00FD3B47" w:rsidP="00D16719">
            <w:pPr>
              <w:rPr>
                <w:rFonts w:ascii="Arial Narrow" w:eastAsia="Times New Roman" w:hAnsi="Arial Narrow"/>
                <w:b/>
                <w:bCs/>
                <w:color w:val="000000"/>
                <w:sz w:val="24"/>
                <w:szCs w:val="24"/>
                <w:lang w:val="es-CR"/>
              </w:rPr>
            </w:pPr>
            <w:r w:rsidRPr="003867A4">
              <w:rPr>
                <w:rFonts w:ascii="Arial Narrow" w:eastAsia="Times New Roman" w:hAnsi="Arial Narrow"/>
                <w:b/>
                <w:bCs/>
                <w:color w:val="000000"/>
                <w:sz w:val="24"/>
                <w:szCs w:val="24"/>
                <w:lang w:val="es-CR"/>
              </w:rPr>
              <w:t>Clasificación de instrumentos financieros para el emisor.</w:t>
            </w:r>
          </w:p>
        </w:tc>
        <w:tc>
          <w:tcPr>
            <w:tcW w:w="20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0EF013" w14:textId="77777777" w:rsidR="00FD3B47" w:rsidRPr="003867A4" w:rsidRDefault="00FD3B47" w:rsidP="00D16719">
            <w:pPr>
              <w:rPr>
                <w:rFonts w:ascii="Arial Narrow" w:eastAsia="Times New Roman" w:hAnsi="Arial Narrow" w:cs="Calibri"/>
                <w:b/>
                <w:bCs/>
                <w:color w:val="000000"/>
                <w:sz w:val="24"/>
                <w:szCs w:val="24"/>
              </w:rPr>
            </w:pPr>
            <w:r w:rsidRPr="003867A4">
              <w:rPr>
                <w:rFonts w:ascii="Arial Narrow" w:eastAsia="Times New Roman" w:hAnsi="Arial Narrow" w:cs="Calibri"/>
                <w:b/>
                <w:bCs/>
                <w:color w:val="000000"/>
                <w:sz w:val="24"/>
                <w:szCs w:val="24"/>
              </w:rPr>
              <w:t>NICSP Nº 28,</w:t>
            </w:r>
            <w:r w:rsidRPr="003867A4">
              <w:rPr>
                <w:rFonts w:ascii="Arial Narrow" w:eastAsia="Times New Roman" w:hAnsi="Arial Narrow" w:cs="Calibri"/>
                <w:b/>
                <w:bCs/>
                <w:color w:val="000000"/>
                <w:sz w:val="24"/>
                <w:szCs w:val="24"/>
              </w:rPr>
              <w:br/>
              <w:t>Párrafos 13 y 33.</w:t>
            </w:r>
          </w:p>
        </w:tc>
        <w:tc>
          <w:tcPr>
            <w:tcW w:w="2071" w:type="dxa"/>
            <w:tcBorders>
              <w:top w:val="single" w:sz="8" w:space="0" w:color="auto"/>
              <w:left w:val="nil"/>
              <w:bottom w:val="single" w:sz="8" w:space="0" w:color="auto"/>
              <w:right w:val="single" w:sz="8" w:space="0" w:color="auto"/>
            </w:tcBorders>
            <w:shd w:val="clear" w:color="auto" w:fill="auto"/>
            <w:vAlign w:val="center"/>
            <w:hideMark/>
          </w:tcPr>
          <w:p w14:paraId="6C1CD6D3" w14:textId="77777777" w:rsidR="00FD3B47" w:rsidRPr="003867A4" w:rsidRDefault="00FD3B47" w:rsidP="00D16719">
            <w:pPr>
              <w:jc w:val="center"/>
              <w:rPr>
                <w:rFonts w:ascii="Arial Narrow" w:eastAsia="Times New Roman" w:hAnsi="Arial Narrow" w:cs="Calibri"/>
                <w:b/>
                <w:bCs/>
                <w:color w:val="000000"/>
                <w:sz w:val="24"/>
                <w:szCs w:val="24"/>
              </w:rPr>
            </w:pPr>
            <w:r w:rsidRPr="003867A4">
              <w:rPr>
                <w:rFonts w:ascii="Arial Narrow" w:eastAsia="Times New Roman" w:hAnsi="Arial Narrow" w:cs="Calibri"/>
                <w:b/>
                <w:bCs/>
                <w:color w:val="000000"/>
                <w:sz w:val="24"/>
                <w:szCs w:val="24"/>
              </w:rPr>
              <w:t xml:space="preserve"> </w:t>
            </w:r>
          </w:p>
        </w:tc>
      </w:tr>
      <w:tr w:rsidR="00FD3B47" w:rsidRPr="006E5442" w14:paraId="083762F5" w14:textId="77777777" w:rsidTr="00D16719">
        <w:trPr>
          <w:trHeight w:val="120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FEF1583" w14:textId="77777777" w:rsidR="00FD3B47" w:rsidRPr="003867A4" w:rsidRDefault="00FD3B47" w:rsidP="00D16719">
            <w:pPr>
              <w:jc w:val="right"/>
              <w:rPr>
                <w:rFonts w:ascii="Arial Narrow" w:eastAsia="Times New Roman" w:hAnsi="Arial Narrow"/>
                <w:b/>
                <w:bCs/>
                <w:color w:val="000000"/>
                <w:sz w:val="24"/>
                <w:szCs w:val="24"/>
              </w:rPr>
            </w:pPr>
            <w:r w:rsidRPr="003867A4">
              <w:rPr>
                <w:rFonts w:ascii="Arial Narrow" w:eastAsia="Times New Roman" w:hAnsi="Arial Narrow"/>
                <w:b/>
                <w:bCs/>
                <w:color w:val="000000"/>
                <w:sz w:val="24"/>
                <w:szCs w:val="24"/>
              </w:rPr>
              <w:t>2</w:t>
            </w:r>
          </w:p>
        </w:tc>
        <w:tc>
          <w:tcPr>
            <w:tcW w:w="457" w:type="dxa"/>
            <w:tcBorders>
              <w:top w:val="nil"/>
              <w:left w:val="nil"/>
              <w:bottom w:val="single" w:sz="8" w:space="0" w:color="auto"/>
              <w:right w:val="single" w:sz="8" w:space="0" w:color="auto"/>
            </w:tcBorders>
            <w:shd w:val="clear" w:color="auto" w:fill="auto"/>
            <w:vAlign w:val="center"/>
            <w:hideMark/>
          </w:tcPr>
          <w:p w14:paraId="421928F1" w14:textId="77777777" w:rsidR="00FD3B47" w:rsidRPr="003867A4" w:rsidRDefault="00FD3B47" w:rsidP="00D16719">
            <w:pPr>
              <w:rPr>
                <w:rFonts w:ascii="Arial Narrow" w:eastAsia="Times New Roman" w:hAnsi="Arial Narrow"/>
                <w:b/>
                <w:bCs/>
                <w:color w:val="000000"/>
                <w:sz w:val="24"/>
                <w:szCs w:val="24"/>
              </w:rPr>
            </w:pPr>
            <w:r w:rsidRPr="003867A4">
              <w:rPr>
                <w:rFonts w:ascii="Arial Narrow" w:eastAsia="Times New Roman" w:hAnsi="Arial Narrow"/>
                <w:b/>
                <w:bCs/>
                <w:color w:val="000000"/>
                <w:sz w:val="24"/>
                <w:szCs w:val="24"/>
              </w:rPr>
              <w:t>3.</w:t>
            </w:r>
          </w:p>
        </w:tc>
        <w:tc>
          <w:tcPr>
            <w:tcW w:w="509" w:type="dxa"/>
            <w:tcBorders>
              <w:top w:val="nil"/>
              <w:left w:val="nil"/>
              <w:bottom w:val="single" w:sz="8" w:space="0" w:color="auto"/>
              <w:right w:val="single" w:sz="8" w:space="0" w:color="auto"/>
            </w:tcBorders>
            <w:shd w:val="clear" w:color="auto" w:fill="auto"/>
            <w:vAlign w:val="center"/>
            <w:hideMark/>
          </w:tcPr>
          <w:p w14:paraId="5A44842F" w14:textId="77777777" w:rsidR="00FD3B47" w:rsidRPr="003867A4" w:rsidRDefault="00FD3B47" w:rsidP="00D16719">
            <w:pPr>
              <w:jc w:val="center"/>
              <w:rPr>
                <w:rFonts w:ascii="Arial Narrow" w:eastAsia="Times New Roman" w:hAnsi="Arial Narrow" w:cs="Calibri"/>
                <w:b/>
                <w:bCs/>
                <w:color w:val="000000"/>
                <w:sz w:val="24"/>
                <w:szCs w:val="24"/>
              </w:rPr>
            </w:pPr>
            <w:r w:rsidRPr="003867A4">
              <w:rPr>
                <w:rFonts w:ascii="Arial Narrow" w:eastAsia="Times New Roman" w:hAnsi="Arial Narrow" w:cs="Calibri"/>
                <w:b/>
                <w:bCs/>
                <w:color w:val="000000"/>
                <w:sz w:val="24"/>
                <w:szCs w:val="24"/>
              </w:rPr>
              <w:t>1</w:t>
            </w:r>
          </w:p>
        </w:tc>
        <w:tc>
          <w:tcPr>
            <w:tcW w:w="3672" w:type="dxa"/>
            <w:tcBorders>
              <w:top w:val="single" w:sz="8" w:space="0" w:color="auto"/>
              <w:left w:val="nil"/>
              <w:bottom w:val="single" w:sz="8" w:space="0" w:color="auto"/>
              <w:right w:val="single" w:sz="8" w:space="0" w:color="auto"/>
            </w:tcBorders>
            <w:shd w:val="clear" w:color="auto" w:fill="auto"/>
            <w:vAlign w:val="center"/>
            <w:hideMark/>
          </w:tcPr>
          <w:p w14:paraId="118FE8BA" w14:textId="77777777" w:rsidR="00FD3B47" w:rsidRPr="003867A4" w:rsidRDefault="00FD3B47" w:rsidP="00D16719">
            <w:pPr>
              <w:rPr>
                <w:rFonts w:ascii="Arial Narrow" w:eastAsia="Times New Roman" w:hAnsi="Arial Narrow"/>
                <w:b/>
                <w:bCs/>
                <w:color w:val="000000"/>
                <w:sz w:val="24"/>
                <w:szCs w:val="24"/>
                <w:lang w:val="es-CR"/>
              </w:rPr>
            </w:pPr>
            <w:r w:rsidRPr="003867A4">
              <w:rPr>
                <w:rFonts w:ascii="Arial Narrow" w:eastAsia="Times New Roman" w:hAnsi="Arial Narrow"/>
                <w:b/>
                <w:bCs/>
                <w:color w:val="000000"/>
                <w:sz w:val="24"/>
                <w:szCs w:val="24"/>
                <w:lang w:val="es-CR"/>
              </w:rPr>
              <w:t>Clasificación de instrumentos deuda y de patrimonio.</w:t>
            </w:r>
          </w:p>
        </w:tc>
        <w:tc>
          <w:tcPr>
            <w:tcW w:w="2024" w:type="dxa"/>
            <w:tcBorders>
              <w:top w:val="nil"/>
              <w:left w:val="nil"/>
              <w:bottom w:val="single" w:sz="8" w:space="0" w:color="auto"/>
              <w:right w:val="single" w:sz="8" w:space="0" w:color="auto"/>
            </w:tcBorders>
            <w:shd w:val="clear" w:color="auto" w:fill="auto"/>
            <w:vAlign w:val="center"/>
            <w:hideMark/>
          </w:tcPr>
          <w:p w14:paraId="58DFDF64" w14:textId="77777777" w:rsidR="00FD3B47" w:rsidRPr="003867A4" w:rsidRDefault="00FD3B47" w:rsidP="00D16719">
            <w:pPr>
              <w:rPr>
                <w:rFonts w:ascii="Arial Narrow" w:eastAsia="Times New Roman" w:hAnsi="Arial Narrow" w:cs="Calibri"/>
                <w:b/>
                <w:bCs/>
                <w:color w:val="000000"/>
                <w:sz w:val="24"/>
                <w:szCs w:val="24"/>
                <w:lang w:val="es-CR"/>
              </w:rPr>
            </w:pPr>
            <w:r w:rsidRPr="003867A4">
              <w:rPr>
                <w:rFonts w:ascii="Arial Narrow" w:eastAsia="Times New Roman" w:hAnsi="Arial Narrow" w:cs="Calibri"/>
                <w:b/>
                <w:bCs/>
                <w:color w:val="000000"/>
                <w:sz w:val="24"/>
                <w:szCs w:val="24"/>
                <w:lang w:val="es-CR"/>
              </w:rPr>
              <w:t>NICSP Nº 28,</w:t>
            </w:r>
            <w:r w:rsidRPr="003867A4">
              <w:rPr>
                <w:rFonts w:ascii="Arial Narrow" w:eastAsia="Times New Roman" w:hAnsi="Arial Narrow" w:cs="Calibri"/>
                <w:b/>
                <w:bCs/>
                <w:color w:val="000000"/>
                <w:sz w:val="24"/>
                <w:szCs w:val="24"/>
                <w:lang w:val="es-CR"/>
              </w:rPr>
              <w:br/>
              <w:t>Párrafo 14.</w:t>
            </w:r>
            <w:r w:rsidRPr="003867A4">
              <w:rPr>
                <w:rFonts w:ascii="Arial Narrow" w:eastAsia="Times New Roman" w:hAnsi="Arial Narrow" w:cs="Calibri"/>
                <w:b/>
                <w:bCs/>
                <w:color w:val="000000"/>
                <w:sz w:val="24"/>
                <w:szCs w:val="24"/>
                <w:lang w:val="es-CR"/>
              </w:rPr>
              <w:br/>
              <w:t>GA11, 13, 15, 25, 26 y 27.</w:t>
            </w:r>
          </w:p>
        </w:tc>
        <w:tc>
          <w:tcPr>
            <w:tcW w:w="2071" w:type="dxa"/>
            <w:tcBorders>
              <w:top w:val="nil"/>
              <w:left w:val="nil"/>
              <w:bottom w:val="single" w:sz="8" w:space="0" w:color="auto"/>
              <w:right w:val="single" w:sz="8" w:space="0" w:color="auto"/>
            </w:tcBorders>
            <w:shd w:val="clear" w:color="auto" w:fill="auto"/>
            <w:vAlign w:val="center"/>
            <w:hideMark/>
          </w:tcPr>
          <w:p w14:paraId="1F89E588" w14:textId="77777777" w:rsidR="00FD3B47" w:rsidRPr="003867A4" w:rsidRDefault="00FD3B47" w:rsidP="00D16719">
            <w:pPr>
              <w:jc w:val="center"/>
              <w:rPr>
                <w:rFonts w:ascii="Arial Narrow" w:eastAsia="Times New Roman" w:hAnsi="Arial Narrow" w:cs="Calibri"/>
                <w:b/>
                <w:bCs/>
                <w:color w:val="000000"/>
                <w:sz w:val="24"/>
                <w:szCs w:val="24"/>
                <w:lang w:val="es-CR"/>
              </w:rPr>
            </w:pPr>
            <w:r w:rsidRPr="003867A4">
              <w:rPr>
                <w:rFonts w:ascii="Arial Narrow" w:eastAsia="Times New Roman" w:hAnsi="Arial Narrow" w:cs="Calibri"/>
                <w:b/>
                <w:bCs/>
                <w:color w:val="000000"/>
                <w:sz w:val="24"/>
                <w:szCs w:val="24"/>
                <w:lang w:val="es-CR"/>
              </w:rPr>
              <w:t xml:space="preserve"> </w:t>
            </w:r>
          </w:p>
        </w:tc>
      </w:tr>
    </w:tbl>
    <w:p w14:paraId="4828C2E5" w14:textId="77777777" w:rsidR="00FD3B47" w:rsidRDefault="00FD3B47" w:rsidP="00FD3B47">
      <w:pPr>
        <w:spacing w:line="238" w:lineRule="auto"/>
        <w:ind w:left="1134" w:right="260" w:hanging="1134"/>
        <w:jc w:val="both"/>
        <w:rPr>
          <w:rFonts w:ascii="Arial" w:eastAsia="Arial" w:hAnsi="Arial"/>
          <w:b/>
          <w:sz w:val="22"/>
          <w:szCs w:val="22"/>
          <w:lang w:val="es-CR"/>
        </w:rPr>
      </w:pPr>
    </w:p>
    <w:p w14:paraId="7B9FE7B2" w14:textId="40888F66" w:rsidR="00723E6B" w:rsidRDefault="00723E6B" w:rsidP="00FD3B47">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74463F8" w14:textId="77777777" w:rsidR="00723E6B" w:rsidRDefault="00723E6B" w:rsidP="00FD3B47">
      <w:pPr>
        <w:spacing w:line="238" w:lineRule="auto"/>
        <w:ind w:left="1134" w:right="260" w:hanging="1134"/>
        <w:jc w:val="both"/>
        <w:rPr>
          <w:rFonts w:ascii="Arial" w:eastAsia="Arial" w:hAnsi="Arial"/>
          <w:b/>
          <w:sz w:val="22"/>
          <w:szCs w:val="22"/>
          <w:lang w:val="es-CR"/>
        </w:rPr>
      </w:pPr>
    </w:p>
    <w:p w14:paraId="5EC9B7B0" w14:textId="77777777" w:rsidR="00FD3B47" w:rsidRPr="003867A4" w:rsidRDefault="00FD3B47">
      <w:pPr>
        <w:pStyle w:val="Prrafodelista"/>
        <w:numPr>
          <w:ilvl w:val="3"/>
          <w:numId w:val="128"/>
        </w:numPr>
        <w:spacing w:line="238" w:lineRule="auto"/>
        <w:ind w:left="1134" w:right="260" w:hanging="1134"/>
        <w:jc w:val="both"/>
        <w:rPr>
          <w:rFonts w:ascii="Arial" w:hAnsi="Arial"/>
          <w:sz w:val="22"/>
          <w:szCs w:val="22"/>
          <w:lang w:val="es-CR"/>
        </w:rPr>
      </w:pPr>
      <w:r w:rsidRPr="003867A4">
        <w:rPr>
          <w:rFonts w:ascii="Arial" w:hAnsi="Arial"/>
          <w:sz w:val="22"/>
          <w:szCs w:val="22"/>
          <w:lang w:val="es-CR"/>
        </w:rPr>
        <w:t xml:space="preserve">El emisor de un instrumento financiero debe clasificarlo, desde el momento </w:t>
      </w:r>
      <w:r>
        <w:rPr>
          <w:rFonts w:ascii="Arial" w:hAnsi="Arial"/>
          <w:sz w:val="22"/>
          <w:szCs w:val="22"/>
          <w:lang w:val="es-CR"/>
        </w:rPr>
        <w:t>d</w:t>
      </w:r>
      <w:r w:rsidRPr="003867A4">
        <w:rPr>
          <w:rFonts w:ascii="Arial" w:hAnsi="Arial"/>
          <w:sz w:val="22"/>
          <w:szCs w:val="22"/>
          <w:lang w:val="es-CR"/>
        </w:rPr>
        <w:t xml:space="preserve">e </w:t>
      </w:r>
      <w:r>
        <w:rPr>
          <w:rFonts w:ascii="Arial" w:hAnsi="Arial"/>
          <w:sz w:val="22"/>
          <w:szCs w:val="22"/>
          <w:lang w:val="es-CR"/>
        </w:rPr>
        <w:t xml:space="preserve">su </w:t>
      </w:r>
      <w:r w:rsidRPr="003867A4">
        <w:rPr>
          <w:rFonts w:ascii="Arial" w:hAnsi="Arial"/>
          <w:sz w:val="22"/>
          <w:szCs w:val="22"/>
          <w:lang w:val="es-CR"/>
        </w:rPr>
        <w:t>reconoc</w:t>
      </w:r>
      <w:r>
        <w:rPr>
          <w:rFonts w:ascii="Arial" w:hAnsi="Arial"/>
          <w:sz w:val="22"/>
          <w:szCs w:val="22"/>
          <w:lang w:val="es-CR"/>
        </w:rPr>
        <w:t>imiento inicial como un pasivo financiero, activo financiero o instrumento de patrimonio</w:t>
      </w:r>
      <w:r w:rsidRPr="003867A4">
        <w:rPr>
          <w:rFonts w:ascii="Arial" w:hAnsi="Arial"/>
          <w:sz w:val="22"/>
          <w:szCs w:val="22"/>
          <w:lang w:val="es-CR"/>
        </w:rPr>
        <w:t xml:space="preserve">, </w:t>
      </w:r>
      <w:r>
        <w:rPr>
          <w:rFonts w:ascii="Arial" w:hAnsi="Arial"/>
          <w:sz w:val="22"/>
          <w:szCs w:val="22"/>
          <w:lang w:val="es-CR"/>
        </w:rPr>
        <w:t>de conformidad con la esencia económica del acuerdo contractual y las definiciones de activo y pasivo financiero, y de instrumento de patrimonio (ver</w:t>
      </w:r>
      <w:r w:rsidRPr="003867A4">
        <w:rPr>
          <w:rFonts w:ascii="Arial" w:hAnsi="Arial"/>
          <w:sz w:val="22"/>
          <w:szCs w:val="22"/>
          <w:lang w:val="es-CR"/>
        </w:rPr>
        <w:t xml:space="preserve"> Capítulo “Activo” del presente documento</w:t>
      </w:r>
      <w:r>
        <w:rPr>
          <w:rFonts w:ascii="Arial" w:hAnsi="Arial"/>
          <w:sz w:val="22"/>
          <w:szCs w:val="22"/>
          <w:lang w:val="es-CR"/>
        </w:rPr>
        <w:t>)</w:t>
      </w:r>
      <w:r w:rsidRPr="003867A4">
        <w:rPr>
          <w:rFonts w:ascii="Arial" w:hAnsi="Arial"/>
          <w:sz w:val="22"/>
          <w:szCs w:val="22"/>
          <w:lang w:val="es-CR"/>
        </w:rPr>
        <w:t>.</w:t>
      </w:r>
    </w:p>
    <w:p w14:paraId="7B98B55F" w14:textId="77777777" w:rsidR="00FD3B47" w:rsidRPr="00627673" w:rsidRDefault="00FD3B47" w:rsidP="00FD3B47">
      <w:pPr>
        <w:spacing w:line="277" w:lineRule="exact"/>
        <w:rPr>
          <w:rFonts w:ascii="Times New Roman" w:eastAsia="Times New Roman" w:hAnsi="Times New Roman"/>
          <w:lang w:val="es-CR"/>
        </w:rPr>
      </w:pPr>
    </w:p>
    <w:p w14:paraId="2C7306EF" w14:textId="29DCBDDB" w:rsidR="00FD3B47" w:rsidRDefault="00FD3B47">
      <w:pPr>
        <w:pStyle w:val="Prrafodelista"/>
        <w:numPr>
          <w:ilvl w:val="3"/>
          <w:numId w:val="128"/>
        </w:numPr>
        <w:spacing w:line="238" w:lineRule="auto"/>
        <w:ind w:left="1134" w:right="260" w:hanging="1134"/>
        <w:jc w:val="both"/>
        <w:rPr>
          <w:rFonts w:ascii="Arial" w:hAnsi="Arial"/>
          <w:sz w:val="22"/>
          <w:szCs w:val="22"/>
          <w:lang w:val="es-CR"/>
        </w:rPr>
      </w:pPr>
      <w:r>
        <w:rPr>
          <w:rFonts w:ascii="Arial" w:hAnsi="Arial"/>
          <w:sz w:val="22"/>
          <w:szCs w:val="22"/>
          <w:lang w:val="es-CR"/>
        </w:rPr>
        <w:t xml:space="preserve">La </w:t>
      </w:r>
      <w:r w:rsidR="000F29DC">
        <w:rPr>
          <w:rFonts w:ascii="Arial" w:hAnsi="Arial"/>
          <w:sz w:val="22"/>
          <w:szCs w:val="22"/>
          <w:lang w:val="es-CR"/>
        </w:rPr>
        <w:t>MBA</w:t>
      </w:r>
      <w:r>
        <w:rPr>
          <w:rFonts w:ascii="Arial" w:hAnsi="Arial"/>
          <w:sz w:val="22"/>
          <w:szCs w:val="22"/>
          <w:lang w:val="es-CR"/>
        </w:rPr>
        <w:t xml:space="preserve"> cuenta con algunos </w:t>
      </w:r>
      <w:r w:rsidRPr="003867A4">
        <w:rPr>
          <w:rFonts w:ascii="Arial" w:hAnsi="Arial"/>
          <w:sz w:val="22"/>
          <w:szCs w:val="22"/>
          <w:lang w:val="es-CR"/>
        </w:rPr>
        <w:t>instrumento</w:t>
      </w:r>
      <w:r>
        <w:rPr>
          <w:rFonts w:ascii="Arial" w:hAnsi="Arial"/>
          <w:sz w:val="22"/>
          <w:szCs w:val="22"/>
          <w:lang w:val="es-CR"/>
        </w:rPr>
        <w:t>s</w:t>
      </w:r>
      <w:r w:rsidRPr="003867A4">
        <w:rPr>
          <w:rFonts w:ascii="Arial" w:hAnsi="Arial"/>
          <w:sz w:val="22"/>
          <w:szCs w:val="22"/>
          <w:lang w:val="es-CR"/>
        </w:rPr>
        <w:t xml:space="preserve"> </w:t>
      </w:r>
      <w:r>
        <w:rPr>
          <w:rFonts w:ascii="Arial" w:hAnsi="Arial"/>
          <w:sz w:val="22"/>
          <w:szCs w:val="22"/>
          <w:lang w:val="es-CR"/>
        </w:rPr>
        <w:t xml:space="preserve">financieros </w:t>
      </w:r>
      <w:r w:rsidRPr="003867A4">
        <w:rPr>
          <w:rFonts w:ascii="Arial" w:hAnsi="Arial"/>
          <w:sz w:val="22"/>
          <w:szCs w:val="22"/>
          <w:lang w:val="es-CR"/>
        </w:rPr>
        <w:t xml:space="preserve">de pasivo, </w:t>
      </w:r>
      <w:r>
        <w:rPr>
          <w:rFonts w:ascii="Arial" w:hAnsi="Arial"/>
          <w:sz w:val="22"/>
          <w:szCs w:val="22"/>
          <w:lang w:val="es-CR"/>
        </w:rPr>
        <w:t>como los que se consignan a continuación entre otros</w:t>
      </w:r>
      <w:r w:rsidRPr="003867A4">
        <w:rPr>
          <w:rFonts w:ascii="Arial" w:hAnsi="Arial"/>
          <w:sz w:val="22"/>
          <w:szCs w:val="22"/>
          <w:lang w:val="es-CR"/>
        </w:rPr>
        <w:t>:</w:t>
      </w:r>
    </w:p>
    <w:p w14:paraId="53DDB765" w14:textId="77777777" w:rsidR="00FD3B47" w:rsidRPr="003867A4" w:rsidRDefault="00FD3B47" w:rsidP="00FD3B47">
      <w:pPr>
        <w:pStyle w:val="Prrafodelista"/>
        <w:spacing w:line="238" w:lineRule="auto"/>
        <w:ind w:left="780" w:right="260"/>
        <w:jc w:val="both"/>
        <w:rPr>
          <w:rFonts w:ascii="Arial" w:hAnsi="Arial"/>
          <w:sz w:val="22"/>
          <w:szCs w:val="22"/>
          <w:lang w:val="es-CR"/>
        </w:rPr>
      </w:pPr>
    </w:p>
    <w:p w14:paraId="7BD17CD9" w14:textId="77777777" w:rsidR="00FD3B47" w:rsidRDefault="00FD3B47">
      <w:pPr>
        <w:pStyle w:val="Prrafodelista"/>
        <w:numPr>
          <w:ilvl w:val="0"/>
          <w:numId w:val="129"/>
        </w:numPr>
        <w:spacing w:after="120"/>
        <w:ind w:left="1418" w:right="261"/>
        <w:contextualSpacing w:val="0"/>
        <w:jc w:val="both"/>
        <w:rPr>
          <w:rFonts w:ascii="Arial" w:hAnsi="Arial"/>
          <w:sz w:val="22"/>
          <w:szCs w:val="22"/>
          <w:lang w:val="es-CR"/>
        </w:rPr>
      </w:pPr>
      <w:r>
        <w:rPr>
          <w:rFonts w:ascii="Arial" w:hAnsi="Arial"/>
          <w:sz w:val="22"/>
          <w:szCs w:val="22"/>
          <w:lang w:val="es-CR"/>
        </w:rPr>
        <w:t>C</w:t>
      </w:r>
      <w:r w:rsidRPr="003867A4">
        <w:rPr>
          <w:rFonts w:ascii="Arial" w:hAnsi="Arial"/>
          <w:sz w:val="22"/>
          <w:szCs w:val="22"/>
          <w:lang w:val="es-CR"/>
        </w:rPr>
        <w:t>uentas por pagar;</w:t>
      </w:r>
    </w:p>
    <w:p w14:paraId="2EAF84E6" w14:textId="77777777" w:rsidR="00FD3B47" w:rsidRPr="00DF4147" w:rsidRDefault="00FD3B47">
      <w:pPr>
        <w:pStyle w:val="Prrafodelista"/>
        <w:numPr>
          <w:ilvl w:val="0"/>
          <w:numId w:val="130"/>
        </w:numPr>
        <w:spacing w:after="120"/>
        <w:ind w:left="1701" w:right="261" w:hanging="141"/>
        <w:contextualSpacing w:val="0"/>
        <w:jc w:val="both"/>
        <w:rPr>
          <w:rFonts w:ascii="Arial Narrow" w:eastAsia="Times New Roman" w:hAnsi="Arial Narrow" w:cs="Calibri"/>
          <w:sz w:val="24"/>
          <w:szCs w:val="24"/>
          <w:lang w:val="es-CR"/>
        </w:rPr>
      </w:pPr>
      <w:r w:rsidRPr="007720A2">
        <w:rPr>
          <w:rFonts w:ascii="Arial Narrow" w:eastAsia="Times New Roman" w:hAnsi="Arial Narrow" w:cs="Calibri"/>
          <w:sz w:val="24"/>
          <w:szCs w:val="24"/>
          <w:lang w:val="es-CR"/>
        </w:rPr>
        <w:t>Deudas comerciales a corto plazo</w:t>
      </w:r>
    </w:p>
    <w:p w14:paraId="1E8A2CF8" w14:textId="77777777" w:rsidR="00FD3B47" w:rsidRPr="00DF4147" w:rsidRDefault="00FD3B47">
      <w:pPr>
        <w:pStyle w:val="Prrafodelista"/>
        <w:numPr>
          <w:ilvl w:val="0"/>
          <w:numId w:val="130"/>
        </w:numPr>
        <w:spacing w:after="120"/>
        <w:ind w:left="1701" w:right="261" w:hanging="141"/>
        <w:contextualSpacing w:val="0"/>
        <w:jc w:val="both"/>
        <w:rPr>
          <w:rFonts w:ascii="Arial Narrow" w:eastAsia="Times New Roman" w:hAnsi="Arial Narrow" w:cs="Calibri"/>
          <w:sz w:val="24"/>
          <w:szCs w:val="24"/>
          <w:lang w:val="es-CR"/>
        </w:rPr>
      </w:pPr>
      <w:r w:rsidRPr="007720A2">
        <w:rPr>
          <w:rFonts w:ascii="Arial Narrow" w:eastAsia="Times New Roman" w:hAnsi="Arial Narrow" w:cs="Calibri"/>
          <w:sz w:val="24"/>
          <w:szCs w:val="24"/>
          <w:lang w:val="es-CR"/>
        </w:rPr>
        <w:t>Deudas sociales y fiscales a corto plazo</w:t>
      </w:r>
    </w:p>
    <w:p w14:paraId="35EBEF86" w14:textId="77777777" w:rsidR="00FD3B47" w:rsidRPr="00DE3D33" w:rsidRDefault="00FD3B47">
      <w:pPr>
        <w:pStyle w:val="Prrafodelista"/>
        <w:numPr>
          <w:ilvl w:val="0"/>
          <w:numId w:val="129"/>
        </w:numPr>
        <w:spacing w:after="120"/>
        <w:ind w:left="1418" w:right="261"/>
        <w:contextualSpacing w:val="0"/>
        <w:jc w:val="both"/>
        <w:rPr>
          <w:rFonts w:ascii="Arial" w:hAnsi="Arial"/>
          <w:sz w:val="22"/>
          <w:szCs w:val="22"/>
          <w:lang w:val="es-CR"/>
        </w:rPr>
      </w:pPr>
      <w:r w:rsidRPr="00DE3D33">
        <w:rPr>
          <w:rFonts w:ascii="Arial" w:hAnsi="Arial"/>
          <w:sz w:val="22"/>
          <w:szCs w:val="22"/>
          <w:lang w:val="es-CR"/>
        </w:rPr>
        <w:t>Transferencias a pagar a corto plazo</w:t>
      </w:r>
    </w:p>
    <w:p w14:paraId="3750C1D2" w14:textId="77777777" w:rsidR="00FD3B47" w:rsidRPr="003867A4" w:rsidRDefault="00FD3B47">
      <w:pPr>
        <w:pStyle w:val="Prrafodelista"/>
        <w:numPr>
          <w:ilvl w:val="0"/>
          <w:numId w:val="129"/>
        </w:numPr>
        <w:spacing w:after="120"/>
        <w:ind w:left="1418" w:right="261"/>
        <w:contextualSpacing w:val="0"/>
        <w:jc w:val="both"/>
        <w:rPr>
          <w:rFonts w:ascii="Arial" w:hAnsi="Arial"/>
          <w:sz w:val="22"/>
          <w:szCs w:val="22"/>
          <w:lang w:val="es-CR"/>
        </w:rPr>
      </w:pPr>
      <w:r>
        <w:rPr>
          <w:rFonts w:ascii="Arial" w:hAnsi="Arial"/>
          <w:sz w:val="22"/>
          <w:szCs w:val="22"/>
          <w:lang w:val="es-CR"/>
        </w:rPr>
        <w:t xml:space="preserve">Documentos </w:t>
      </w:r>
      <w:r w:rsidRPr="003867A4">
        <w:rPr>
          <w:rFonts w:ascii="Arial" w:hAnsi="Arial"/>
          <w:sz w:val="22"/>
          <w:szCs w:val="22"/>
          <w:lang w:val="es-CR"/>
        </w:rPr>
        <w:t>por pagar;</w:t>
      </w:r>
    </w:p>
    <w:p w14:paraId="30285C79" w14:textId="77777777" w:rsidR="00FD3B47" w:rsidRPr="003867A4" w:rsidRDefault="00FD3B47">
      <w:pPr>
        <w:pStyle w:val="Prrafodelista"/>
        <w:numPr>
          <w:ilvl w:val="0"/>
          <w:numId w:val="129"/>
        </w:numPr>
        <w:spacing w:after="120"/>
        <w:ind w:left="1418" w:right="261"/>
        <w:contextualSpacing w:val="0"/>
        <w:jc w:val="both"/>
        <w:rPr>
          <w:rFonts w:ascii="Arial" w:hAnsi="Arial"/>
          <w:sz w:val="22"/>
          <w:szCs w:val="22"/>
          <w:lang w:val="es-CR"/>
        </w:rPr>
      </w:pPr>
      <w:r>
        <w:rPr>
          <w:rFonts w:ascii="Arial" w:hAnsi="Arial"/>
          <w:sz w:val="22"/>
          <w:szCs w:val="22"/>
          <w:lang w:val="es-CR"/>
        </w:rPr>
        <w:t>P</w:t>
      </w:r>
      <w:r w:rsidRPr="003867A4">
        <w:rPr>
          <w:rFonts w:ascii="Arial" w:hAnsi="Arial"/>
          <w:sz w:val="22"/>
          <w:szCs w:val="22"/>
          <w:lang w:val="es-CR"/>
        </w:rPr>
        <w:t>réstamos por pagar; y</w:t>
      </w:r>
    </w:p>
    <w:p w14:paraId="177056DD" w14:textId="77777777" w:rsidR="00FD3B47" w:rsidRDefault="00FD3B47">
      <w:pPr>
        <w:pStyle w:val="Prrafodelista"/>
        <w:numPr>
          <w:ilvl w:val="0"/>
          <w:numId w:val="129"/>
        </w:numPr>
        <w:spacing w:after="120"/>
        <w:ind w:left="1418" w:right="261"/>
        <w:contextualSpacing w:val="0"/>
        <w:jc w:val="both"/>
        <w:rPr>
          <w:rFonts w:ascii="Arial" w:hAnsi="Arial"/>
          <w:sz w:val="22"/>
          <w:szCs w:val="22"/>
          <w:lang w:val="es-CR"/>
        </w:rPr>
      </w:pPr>
      <w:r>
        <w:rPr>
          <w:rFonts w:ascii="Arial" w:hAnsi="Arial"/>
          <w:sz w:val="22"/>
          <w:szCs w:val="22"/>
          <w:lang w:val="es-CR"/>
        </w:rPr>
        <w:t>Otras o</w:t>
      </w:r>
      <w:r w:rsidRPr="003867A4">
        <w:rPr>
          <w:rFonts w:ascii="Arial" w:hAnsi="Arial"/>
          <w:sz w:val="22"/>
          <w:szCs w:val="22"/>
          <w:lang w:val="es-CR"/>
        </w:rPr>
        <w:t>bligaciones</w:t>
      </w:r>
      <w:r>
        <w:rPr>
          <w:rFonts w:ascii="Arial" w:hAnsi="Arial"/>
          <w:sz w:val="22"/>
          <w:szCs w:val="22"/>
          <w:lang w:val="es-CR"/>
        </w:rPr>
        <w:t xml:space="preserve"> por pagar</w:t>
      </w:r>
      <w:r w:rsidRPr="003867A4">
        <w:rPr>
          <w:rFonts w:ascii="Arial" w:hAnsi="Arial"/>
          <w:sz w:val="22"/>
          <w:szCs w:val="22"/>
          <w:lang w:val="es-CR"/>
        </w:rPr>
        <w:t>.</w:t>
      </w:r>
    </w:p>
    <w:p w14:paraId="4BC12C02" w14:textId="77777777" w:rsidR="00FD3B47" w:rsidRPr="00DF4147" w:rsidRDefault="00FD3B47">
      <w:pPr>
        <w:pStyle w:val="Prrafodelista"/>
        <w:numPr>
          <w:ilvl w:val="0"/>
          <w:numId w:val="131"/>
        </w:numPr>
        <w:spacing w:after="120"/>
        <w:ind w:left="1701" w:right="261" w:hanging="141"/>
        <w:contextualSpacing w:val="0"/>
        <w:jc w:val="both"/>
        <w:rPr>
          <w:rFonts w:ascii="Arial Narrow" w:eastAsia="Times New Roman" w:hAnsi="Arial Narrow" w:cs="Calibri"/>
          <w:sz w:val="24"/>
          <w:szCs w:val="24"/>
          <w:lang w:val="es-CR"/>
        </w:rPr>
      </w:pPr>
      <w:r w:rsidRPr="007720A2">
        <w:rPr>
          <w:rFonts w:ascii="Arial Narrow" w:eastAsia="Times New Roman" w:hAnsi="Arial Narrow" w:cs="Calibri"/>
          <w:sz w:val="24"/>
          <w:szCs w:val="24"/>
          <w:lang w:val="es-CR"/>
        </w:rPr>
        <w:t>Deudas por anticipos a corto plazo</w:t>
      </w:r>
    </w:p>
    <w:p w14:paraId="4CC22CC1" w14:textId="77777777" w:rsidR="00FD3B47" w:rsidRPr="00DF4147" w:rsidRDefault="00FD3B47">
      <w:pPr>
        <w:pStyle w:val="Prrafodelista"/>
        <w:numPr>
          <w:ilvl w:val="0"/>
          <w:numId w:val="131"/>
        </w:numPr>
        <w:spacing w:after="120"/>
        <w:ind w:left="1701" w:right="261" w:hanging="141"/>
        <w:contextualSpacing w:val="0"/>
        <w:jc w:val="both"/>
        <w:rPr>
          <w:rFonts w:ascii="Arial Narrow" w:eastAsia="Times New Roman" w:hAnsi="Arial Narrow" w:cs="Calibri"/>
          <w:sz w:val="24"/>
          <w:szCs w:val="24"/>
        </w:rPr>
      </w:pPr>
      <w:r w:rsidRPr="007720A2">
        <w:rPr>
          <w:rFonts w:ascii="Arial Narrow" w:eastAsia="Times New Roman" w:hAnsi="Arial Narrow" w:cs="Calibri"/>
          <w:sz w:val="24"/>
          <w:szCs w:val="24"/>
        </w:rPr>
        <w:t>Deudas por Planillas salariales</w:t>
      </w:r>
    </w:p>
    <w:p w14:paraId="503BD4C2" w14:textId="77777777" w:rsidR="00FD3B47" w:rsidRPr="00DF4147" w:rsidRDefault="00FD3B47">
      <w:pPr>
        <w:pStyle w:val="Prrafodelista"/>
        <w:numPr>
          <w:ilvl w:val="0"/>
          <w:numId w:val="131"/>
        </w:numPr>
        <w:spacing w:after="120"/>
        <w:ind w:left="1701" w:right="261" w:hanging="141"/>
        <w:contextualSpacing w:val="0"/>
        <w:jc w:val="both"/>
        <w:rPr>
          <w:rFonts w:ascii="Arial Narrow" w:eastAsia="Times New Roman" w:hAnsi="Arial Narrow" w:cs="Calibri"/>
          <w:sz w:val="24"/>
          <w:szCs w:val="24"/>
          <w:lang w:val="es-CR"/>
        </w:rPr>
      </w:pPr>
      <w:r w:rsidRPr="007720A2">
        <w:rPr>
          <w:rFonts w:ascii="Arial Narrow" w:eastAsia="Times New Roman" w:hAnsi="Arial Narrow" w:cs="Calibri"/>
          <w:sz w:val="24"/>
          <w:szCs w:val="24"/>
          <w:lang w:val="es-CR"/>
        </w:rPr>
        <w:t>Deudas por Creditos Fiscales a favor de terceros</w:t>
      </w:r>
    </w:p>
    <w:p w14:paraId="225DFEDB" w14:textId="77777777" w:rsidR="00FD3B47" w:rsidRPr="00DF4147" w:rsidRDefault="00FD3B47">
      <w:pPr>
        <w:pStyle w:val="Prrafodelista"/>
        <w:numPr>
          <w:ilvl w:val="0"/>
          <w:numId w:val="131"/>
        </w:numPr>
        <w:spacing w:after="120"/>
        <w:ind w:left="1701" w:right="261" w:hanging="141"/>
        <w:contextualSpacing w:val="0"/>
        <w:jc w:val="both"/>
        <w:rPr>
          <w:rFonts w:ascii="Arial Narrow" w:eastAsia="Times New Roman" w:hAnsi="Arial Narrow" w:cs="Calibri"/>
          <w:sz w:val="24"/>
          <w:szCs w:val="24"/>
          <w:lang w:val="es-CR"/>
        </w:rPr>
      </w:pPr>
      <w:r w:rsidRPr="007720A2">
        <w:rPr>
          <w:rFonts w:ascii="Arial Narrow" w:eastAsia="Times New Roman" w:hAnsi="Arial Narrow" w:cs="Calibri"/>
          <w:sz w:val="24"/>
          <w:szCs w:val="24"/>
        </w:rPr>
        <w:t>Depósitos en garantía</w:t>
      </w:r>
    </w:p>
    <w:p w14:paraId="0B06CC03" w14:textId="77777777" w:rsidR="00FD3B47" w:rsidRPr="00DF4147" w:rsidRDefault="00FD3B47">
      <w:pPr>
        <w:pStyle w:val="Prrafodelista"/>
        <w:numPr>
          <w:ilvl w:val="0"/>
          <w:numId w:val="131"/>
        </w:numPr>
        <w:spacing w:line="238" w:lineRule="auto"/>
        <w:ind w:left="1701" w:right="260" w:hanging="141"/>
        <w:jc w:val="both"/>
        <w:rPr>
          <w:rFonts w:ascii="Arial Narrow" w:eastAsia="Times New Roman" w:hAnsi="Arial Narrow" w:cs="Calibri"/>
          <w:sz w:val="24"/>
          <w:szCs w:val="24"/>
          <w:lang w:val="es-CR"/>
        </w:rPr>
      </w:pPr>
      <w:r w:rsidRPr="007720A2">
        <w:rPr>
          <w:rFonts w:ascii="Arial Narrow" w:eastAsia="Times New Roman" w:hAnsi="Arial Narrow" w:cs="Calibri"/>
          <w:sz w:val="24"/>
          <w:szCs w:val="24"/>
          <w:lang w:val="es-CR"/>
        </w:rPr>
        <w:t>Otras deudas a corto plazo</w:t>
      </w:r>
    </w:p>
    <w:p w14:paraId="4B394D69" w14:textId="77777777" w:rsidR="00FD3B47" w:rsidRDefault="00FD3B47" w:rsidP="009A2270">
      <w:pPr>
        <w:spacing w:line="238" w:lineRule="auto"/>
        <w:ind w:right="260"/>
        <w:jc w:val="both"/>
        <w:rPr>
          <w:rFonts w:ascii="Arial" w:eastAsia="Arial" w:hAnsi="Arial"/>
          <w:b/>
          <w:sz w:val="22"/>
          <w:szCs w:val="22"/>
          <w:lang w:val="es-CR"/>
        </w:rPr>
      </w:pPr>
    </w:p>
    <w:p w14:paraId="705B9FD7" w14:textId="76557608" w:rsidR="00FD3B47" w:rsidRPr="009A2270" w:rsidRDefault="009A2270" w:rsidP="00C55377">
      <w:pPr>
        <w:spacing w:line="238" w:lineRule="auto"/>
        <w:ind w:left="1134" w:right="260"/>
        <w:jc w:val="both"/>
        <w:rPr>
          <w:rFonts w:ascii="Arial" w:hAnsi="Arial"/>
          <w:sz w:val="22"/>
          <w:szCs w:val="22"/>
          <w:lang w:val="es-CR"/>
        </w:rPr>
      </w:pPr>
      <w:r w:rsidRPr="009A2270">
        <w:rPr>
          <w:rFonts w:ascii="Arial" w:hAnsi="Arial"/>
          <w:sz w:val="22"/>
          <w:szCs w:val="22"/>
          <w:lang w:val="es-CR"/>
        </w:rPr>
        <w:lastRenderedPageBreak/>
        <w:t>Los lineamientos precedentes, deberán ser analizados en forma conjunta con el resto de las prescripciones del presente PGCN, al momento de su aplicación a la evaluación de cada instrumento en particular.</w:t>
      </w:r>
    </w:p>
    <w:p w14:paraId="6774A5AE" w14:textId="77777777" w:rsidR="009A2270" w:rsidRDefault="009A2270" w:rsidP="00FD3B47">
      <w:pPr>
        <w:spacing w:line="238" w:lineRule="auto"/>
        <w:ind w:left="1134" w:right="260" w:hanging="1134"/>
        <w:jc w:val="both"/>
        <w:rPr>
          <w:rFonts w:ascii="Arial" w:eastAsia="Arial" w:hAnsi="Arial"/>
          <w:b/>
          <w:sz w:val="22"/>
          <w:szCs w:val="22"/>
          <w:lang w:val="es-CR"/>
        </w:rPr>
      </w:pPr>
    </w:p>
    <w:p w14:paraId="5877FC1A" w14:textId="58DDB0C8" w:rsidR="009A2270" w:rsidRDefault="009A2270" w:rsidP="009A2270">
      <w:pPr>
        <w:spacing w:line="238" w:lineRule="auto"/>
        <w:ind w:left="1134" w:right="260" w:hanging="1134"/>
        <w:jc w:val="both"/>
        <w:rPr>
          <w:rFonts w:ascii="Arial" w:eastAsia="Arial" w:hAnsi="Arial"/>
          <w:b/>
          <w:sz w:val="22"/>
          <w:szCs w:val="22"/>
          <w:lang w:val="es-CR"/>
        </w:rPr>
      </w:pPr>
    </w:p>
    <w:tbl>
      <w:tblPr>
        <w:tblW w:w="9062" w:type="dxa"/>
        <w:tblLayout w:type="fixed"/>
        <w:tblLook w:val="04A0" w:firstRow="1" w:lastRow="0" w:firstColumn="1" w:lastColumn="0" w:noHBand="0" w:noVBand="1"/>
      </w:tblPr>
      <w:tblGrid>
        <w:gridCol w:w="521"/>
        <w:gridCol w:w="462"/>
        <w:gridCol w:w="506"/>
        <w:gridCol w:w="3591"/>
        <w:gridCol w:w="2195"/>
        <w:gridCol w:w="1787"/>
      </w:tblGrid>
      <w:tr w:rsidR="009A2270" w:rsidRPr="009A2270" w14:paraId="4E9F87DE" w14:textId="77777777" w:rsidTr="009A2270">
        <w:trPr>
          <w:trHeight w:val="320"/>
        </w:trPr>
        <w:tc>
          <w:tcPr>
            <w:tcW w:w="148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AC3816F" w14:textId="77777777" w:rsidR="009A2270" w:rsidRPr="009A2270" w:rsidRDefault="009A2270" w:rsidP="009A2270">
            <w:pPr>
              <w:jc w:val="center"/>
              <w:rPr>
                <w:rFonts w:ascii="Arial Narrow" w:eastAsia="Times New Roman" w:hAnsi="Arial Narrow" w:cs="Calibri"/>
                <w:b/>
                <w:bCs/>
                <w:color w:val="FFFFFF"/>
                <w:sz w:val="22"/>
                <w:szCs w:val="22"/>
              </w:rPr>
            </w:pPr>
            <w:r w:rsidRPr="009A2270">
              <w:rPr>
                <w:rFonts w:ascii="Arial Narrow" w:eastAsia="Times New Roman" w:hAnsi="Arial Narrow" w:cs="Calibri"/>
                <w:b/>
                <w:bCs/>
                <w:color w:val="FFFFFF"/>
                <w:sz w:val="22"/>
                <w:szCs w:val="22"/>
              </w:rPr>
              <w:t>Norma / Política</w:t>
            </w:r>
          </w:p>
        </w:tc>
        <w:tc>
          <w:tcPr>
            <w:tcW w:w="35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39498020" w14:textId="77777777" w:rsidR="009A2270" w:rsidRPr="009A2270" w:rsidRDefault="009A2270" w:rsidP="009A2270">
            <w:pPr>
              <w:jc w:val="center"/>
              <w:rPr>
                <w:rFonts w:ascii="Arial Narrow" w:eastAsia="Times New Roman" w:hAnsi="Arial Narrow" w:cs="Calibri"/>
                <w:b/>
                <w:bCs/>
                <w:color w:val="FFFFFF"/>
                <w:sz w:val="22"/>
                <w:szCs w:val="22"/>
              </w:rPr>
            </w:pPr>
            <w:r w:rsidRPr="009A2270">
              <w:rPr>
                <w:rFonts w:ascii="Arial Narrow" w:eastAsia="Times New Roman" w:hAnsi="Arial Narrow" w:cs="Calibri"/>
                <w:b/>
                <w:bCs/>
                <w:color w:val="FFFFFF"/>
                <w:sz w:val="22"/>
                <w:szCs w:val="22"/>
              </w:rPr>
              <w:t>Concepto</w:t>
            </w:r>
          </w:p>
        </w:tc>
        <w:tc>
          <w:tcPr>
            <w:tcW w:w="3982" w:type="dxa"/>
            <w:gridSpan w:val="2"/>
            <w:tcBorders>
              <w:top w:val="single" w:sz="8" w:space="0" w:color="auto"/>
              <w:left w:val="nil"/>
              <w:bottom w:val="single" w:sz="8" w:space="0" w:color="auto"/>
              <w:right w:val="single" w:sz="8" w:space="0" w:color="000000"/>
            </w:tcBorders>
            <w:shd w:val="clear" w:color="000000" w:fill="203764"/>
            <w:vAlign w:val="center"/>
            <w:hideMark/>
          </w:tcPr>
          <w:p w14:paraId="53C52EC1" w14:textId="77777777" w:rsidR="009A2270" w:rsidRPr="009A2270" w:rsidRDefault="009A2270" w:rsidP="009A2270">
            <w:pPr>
              <w:jc w:val="center"/>
              <w:rPr>
                <w:rFonts w:ascii="Arial Narrow" w:eastAsia="Times New Roman" w:hAnsi="Arial Narrow" w:cs="Calibri"/>
                <w:b/>
                <w:bCs/>
                <w:color w:val="FFFFFF"/>
                <w:sz w:val="22"/>
                <w:szCs w:val="22"/>
              </w:rPr>
            </w:pPr>
            <w:r w:rsidRPr="009A2270">
              <w:rPr>
                <w:rFonts w:ascii="Arial Narrow" w:eastAsia="Times New Roman" w:hAnsi="Arial Narrow" w:cs="Calibri"/>
                <w:b/>
                <w:bCs/>
                <w:color w:val="FFFFFF"/>
                <w:sz w:val="22"/>
                <w:szCs w:val="22"/>
              </w:rPr>
              <w:t>Referencia</w:t>
            </w:r>
          </w:p>
        </w:tc>
      </w:tr>
      <w:tr w:rsidR="009A2270" w:rsidRPr="006E5442" w14:paraId="71647404" w14:textId="77777777" w:rsidTr="009A2270">
        <w:trPr>
          <w:trHeight w:val="940"/>
        </w:trPr>
        <w:tc>
          <w:tcPr>
            <w:tcW w:w="1489" w:type="dxa"/>
            <w:gridSpan w:val="3"/>
            <w:vMerge/>
            <w:tcBorders>
              <w:top w:val="single" w:sz="8" w:space="0" w:color="auto"/>
              <w:left w:val="single" w:sz="8" w:space="0" w:color="auto"/>
              <w:bottom w:val="nil"/>
              <w:right w:val="single" w:sz="8" w:space="0" w:color="000000"/>
            </w:tcBorders>
            <w:vAlign w:val="center"/>
            <w:hideMark/>
          </w:tcPr>
          <w:p w14:paraId="592C1CC0" w14:textId="77777777" w:rsidR="009A2270" w:rsidRPr="009A2270" w:rsidRDefault="009A2270" w:rsidP="009A2270">
            <w:pPr>
              <w:rPr>
                <w:rFonts w:ascii="Arial Narrow" w:eastAsia="Times New Roman" w:hAnsi="Arial Narrow" w:cs="Calibri"/>
                <w:b/>
                <w:bCs/>
                <w:color w:val="FFFFFF"/>
                <w:sz w:val="22"/>
                <w:szCs w:val="22"/>
              </w:rPr>
            </w:pPr>
          </w:p>
        </w:tc>
        <w:tc>
          <w:tcPr>
            <w:tcW w:w="3591" w:type="dxa"/>
            <w:vMerge/>
            <w:tcBorders>
              <w:top w:val="single" w:sz="8" w:space="0" w:color="auto"/>
              <w:left w:val="single" w:sz="8" w:space="0" w:color="auto"/>
              <w:bottom w:val="nil"/>
              <w:right w:val="single" w:sz="8" w:space="0" w:color="auto"/>
            </w:tcBorders>
            <w:vAlign w:val="center"/>
            <w:hideMark/>
          </w:tcPr>
          <w:p w14:paraId="0C57C812" w14:textId="77777777" w:rsidR="009A2270" w:rsidRPr="009A2270" w:rsidRDefault="009A2270" w:rsidP="009A2270">
            <w:pPr>
              <w:rPr>
                <w:rFonts w:ascii="Arial Narrow" w:eastAsia="Times New Roman" w:hAnsi="Arial Narrow" w:cs="Calibri"/>
                <w:b/>
                <w:bCs/>
                <w:color w:val="FFFFFF"/>
                <w:sz w:val="22"/>
                <w:szCs w:val="22"/>
              </w:rPr>
            </w:pPr>
          </w:p>
        </w:tc>
        <w:tc>
          <w:tcPr>
            <w:tcW w:w="2195" w:type="dxa"/>
            <w:tcBorders>
              <w:top w:val="nil"/>
              <w:left w:val="nil"/>
              <w:bottom w:val="nil"/>
              <w:right w:val="single" w:sz="8" w:space="0" w:color="auto"/>
            </w:tcBorders>
            <w:shd w:val="clear" w:color="000000" w:fill="203764"/>
            <w:vAlign w:val="center"/>
            <w:hideMark/>
          </w:tcPr>
          <w:p w14:paraId="1EA3179C" w14:textId="77777777" w:rsidR="009A2270" w:rsidRPr="009A2270" w:rsidRDefault="009A2270" w:rsidP="009A2270">
            <w:pPr>
              <w:jc w:val="center"/>
              <w:rPr>
                <w:rFonts w:ascii="Arial Narrow" w:eastAsia="Times New Roman" w:hAnsi="Arial Narrow" w:cs="Calibri"/>
                <w:b/>
                <w:bCs/>
                <w:color w:val="FFFFFF"/>
                <w:sz w:val="22"/>
                <w:szCs w:val="22"/>
              </w:rPr>
            </w:pPr>
            <w:r w:rsidRPr="009A2270">
              <w:rPr>
                <w:rFonts w:ascii="Arial Narrow" w:eastAsia="Times New Roman" w:hAnsi="Arial Narrow" w:cs="Calibri"/>
                <w:b/>
                <w:bCs/>
                <w:color w:val="FFFFFF"/>
                <w:sz w:val="22"/>
                <w:szCs w:val="22"/>
              </w:rPr>
              <w:t>Norma</w:t>
            </w:r>
          </w:p>
        </w:tc>
        <w:tc>
          <w:tcPr>
            <w:tcW w:w="1787" w:type="dxa"/>
            <w:tcBorders>
              <w:top w:val="nil"/>
              <w:left w:val="nil"/>
              <w:bottom w:val="nil"/>
              <w:right w:val="single" w:sz="8" w:space="0" w:color="auto"/>
            </w:tcBorders>
            <w:shd w:val="clear" w:color="000000" w:fill="203764"/>
            <w:vAlign w:val="center"/>
            <w:hideMark/>
          </w:tcPr>
          <w:p w14:paraId="71CD7092" w14:textId="77777777" w:rsidR="009A2270" w:rsidRPr="009A2270" w:rsidRDefault="009A2270" w:rsidP="009A2270">
            <w:pPr>
              <w:jc w:val="center"/>
              <w:rPr>
                <w:rFonts w:ascii="Arial Narrow" w:eastAsia="Times New Roman" w:hAnsi="Arial Narrow" w:cs="Calibri"/>
                <w:b/>
                <w:bCs/>
                <w:color w:val="FFFFFF"/>
                <w:sz w:val="22"/>
                <w:szCs w:val="22"/>
                <w:lang w:val="es-CR"/>
              </w:rPr>
            </w:pPr>
            <w:r w:rsidRPr="009A2270">
              <w:rPr>
                <w:rFonts w:ascii="Arial Narrow" w:eastAsia="Times New Roman" w:hAnsi="Arial Narrow" w:cs="Calibri"/>
                <w:b/>
                <w:bCs/>
                <w:color w:val="FFFFFF"/>
                <w:sz w:val="22"/>
                <w:szCs w:val="22"/>
                <w:lang w:val="es-CR"/>
              </w:rPr>
              <w:t>Normativa técnica y disposiciones adicionales</w:t>
            </w:r>
          </w:p>
        </w:tc>
      </w:tr>
      <w:tr w:rsidR="009A2270" w:rsidRPr="009A2270" w14:paraId="269BCC8B" w14:textId="77777777" w:rsidTr="009A2270">
        <w:trPr>
          <w:trHeight w:val="630"/>
        </w:trPr>
        <w:tc>
          <w:tcPr>
            <w:tcW w:w="5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C3BBB5" w14:textId="77777777" w:rsidR="009A2270" w:rsidRPr="009A2270" w:rsidRDefault="009A2270" w:rsidP="009A2270">
            <w:pPr>
              <w:jc w:val="right"/>
              <w:rPr>
                <w:rFonts w:ascii="Arial Narrow" w:eastAsia="Times New Roman" w:hAnsi="Arial Narrow"/>
                <w:b/>
                <w:bCs/>
                <w:color w:val="000000"/>
                <w:sz w:val="22"/>
                <w:szCs w:val="22"/>
              </w:rPr>
            </w:pPr>
            <w:r w:rsidRPr="009A2270">
              <w:rPr>
                <w:rFonts w:ascii="Arial Narrow" w:eastAsia="Times New Roman" w:hAnsi="Arial Narrow"/>
                <w:b/>
                <w:bCs/>
                <w:color w:val="000000"/>
                <w:sz w:val="22"/>
                <w:szCs w:val="22"/>
              </w:rPr>
              <w:t>2</w:t>
            </w:r>
          </w:p>
        </w:tc>
        <w:tc>
          <w:tcPr>
            <w:tcW w:w="462" w:type="dxa"/>
            <w:tcBorders>
              <w:top w:val="single" w:sz="8" w:space="0" w:color="auto"/>
              <w:left w:val="nil"/>
              <w:bottom w:val="single" w:sz="8" w:space="0" w:color="auto"/>
              <w:right w:val="single" w:sz="8" w:space="0" w:color="auto"/>
            </w:tcBorders>
            <w:shd w:val="clear" w:color="auto" w:fill="auto"/>
            <w:vAlign w:val="center"/>
            <w:hideMark/>
          </w:tcPr>
          <w:p w14:paraId="3104EB24" w14:textId="77777777" w:rsidR="009A2270" w:rsidRPr="009A2270" w:rsidRDefault="009A2270" w:rsidP="009A2270">
            <w:pPr>
              <w:jc w:val="right"/>
              <w:rPr>
                <w:rFonts w:ascii="Arial Narrow" w:eastAsia="Times New Roman" w:hAnsi="Arial Narrow"/>
                <w:b/>
                <w:bCs/>
                <w:color w:val="000000"/>
                <w:sz w:val="22"/>
                <w:szCs w:val="22"/>
              </w:rPr>
            </w:pPr>
            <w:r w:rsidRPr="009A2270">
              <w:rPr>
                <w:rFonts w:ascii="Arial Narrow" w:eastAsia="Times New Roman" w:hAnsi="Arial Narrow"/>
                <w:b/>
                <w:bCs/>
                <w:color w:val="000000"/>
                <w:sz w:val="22"/>
                <w:szCs w:val="22"/>
              </w:rPr>
              <w:t>7.</w:t>
            </w:r>
          </w:p>
        </w:tc>
        <w:tc>
          <w:tcPr>
            <w:tcW w:w="506" w:type="dxa"/>
            <w:tcBorders>
              <w:top w:val="single" w:sz="8" w:space="0" w:color="auto"/>
              <w:left w:val="nil"/>
              <w:bottom w:val="single" w:sz="8" w:space="0" w:color="auto"/>
              <w:right w:val="single" w:sz="8" w:space="0" w:color="auto"/>
            </w:tcBorders>
            <w:shd w:val="clear" w:color="auto" w:fill="auto"/>
            <w:vAlign w:val="center"/>
            <w:hideMark/>
          </w:tcPr>
          <w:p w14:paraId="24BD9C7F" w14:textId="77777777" w:rsidR="009A2270" w:rsidRPr="009A2270" w:rsidRDefault="009A2270" w:rsidP="009A2270">
            <w:pPr>
              <w:jc w:val="center"/>
              <w:rPr>
                <w:rFonts w:ascii="Arial Narrow" w:eastAsia="Times New Roman" w:hAnsi="Arial Narrow" w:cs="Calibri"/>
                <w:b/>
                <w:bCs/>
                <w:color w:val="000000"/>
                <w:sz w:val="22"/>
                <w:szCs w:val="22"/>
              </w:rPr>
            </w:pPr>
            <w:r w:rsidRPr="009A2270">
              <w:rPr>
                <w:rFonts w:ascii="Arial Narrow" w:eastAsia="Times New Roman" w:hAnsi="Arial Narrow" w:cs="Calibri"/>
                <w:b/>
                <w:bCs/>
                <w:color w:val="000000"/>
                <w:sz w:val="22"/>
                <w:szCs w:val="22"/>
              </w:rPr>
              <w:t>0</w:t>
            </w:r>
          </w:p>
        </w:tc>
        <w:tc>
          <w:tcPr>
            <w:tcW w:w="3591" w:type="dxa"/>
            <w:tcBorders>
              <w:top w:val="single" w:sz="8" w:space="0" w:color="auto"/>
              <w:left w:val="nil"/>
              <w:bottom w:val="single" w:sz="8" w:space="0" w:color="auto"/>
              <w:right w:val="single" w:sz="8" w:space="0" w:color="auto"/>
            </w:tcBorders>
            <w:shd w:val="clear" w:color="auto" w:fill="auto"/>
            <w:vAlign w:val="center"/>
            <w:hideMark/>
          </w:tcPr>
          <w:p w14:paraId="19297481" w14:textId="77777777" w:rsidR="009A2270" w:rsidRPr="009A2270" w:rsidRDefault="009A2270" w:rsidP="009A2270">
            <w:pPr>
              <w:rPr>
                <w:rFonts w:ascii="Arial Narrow" w:eastAsia="Times New Roman" w:hAnsi="Arial Narrow"/>
                <w:b/>
                <w:bCs/>
                <w:color w:val="000000"/>
                <w:sz w:val="22"/>
                <w:szCs w:val="22"/>
                <w:lang w:val="es-CR"/>
              </w:rPr>
            </w:pPr>
            <w:r w:rsidRPr="009A2270">
              <w:rPr>
                <w:rFonts w:ascii="Arial Narrow" w:eastAsia="Times New Roman" w:hAnsi="Arial Narrow"/>
                <w:b/>
                <w:bCs/>
                <w:color w:val="000000"/>
                <w:sz w:val="22"/>
                <w:szCs w:val="22"/>
                <w:lang w:val="es-CR"/>
              </w:rPr>
              <w:t xml:space="preserve">Elementos clave para identificar un instrumento de pasivo </w:t>
            </w:r>
          </w:p>
        </w:tc>
        <w:tc>
          <w:tcPr>
            <w:tcW w:w="2195" w:type="dxa"/>
            <w:tcBorders>
              <w:top w:val="single" w:sz="8" w:space="0" w:color="auto"/>
              <w:left w:val="nil"/>
              <w:bottom w:val="single" w:sz="8" w:space="0" w:color="auto"/>
              <w:right w:val="single" w:sz="8" w:space="0" w:color="auto"/>
            </w:tcBorders>
            <w:shd w:val="clear" w:color="auto" w:fill="auto"/>
            <w:vAlign w:val="center"/>
            <w:hideMark/>
          </w:tcPr>
          <w:p w14:paraId="66672D76" w14:textId="77777777" w:rsidR="009A2270" w:rsidRPr="009A2270" w:rsidRDefault="009A2270" w:rsidP="009A2270">
            <w:pPr>
              <w:rPr>
                <w:rFonts w:ascii="Arial Narrow" w:eastAsia="Times New Roman" w:hAnsi="Arial Narrow" w:cs="Calibri"/>
                <w:b/>
                <w:bCs/>
                <w:color w:val="000000"/>
                <w:sz w:val="22"/>
                <w:szCs w:val="22"/>
              </w:rPr>
            </w:pPr>
            <w:r w:rsidRPr="009A2270">
              <w:rPr>
                <w:rFonts w:ascii="Arial Narrow" w:eastAsia="Times New Roman" w:hAnsi="Arial Narrow" w:cs="Calibri"/>
                <w:b/>
                <w:bCs/>
                <w:color w:val="000000"/>
                <w:sz w:val="22"/>
                <w:szCs w:val="22"/>
              </w:rPr>
              <w:t>NICSP Nº 28,</w:t>
            </w:r>
            <w:r w:rsidRPr="009A2270">
              <w:rPr>
                <w:rFonts w:ascii="Arial Narrow" w:eastAsia="Times New Roman" w:hAnsi="Arial Narrow" w:cs="Calibri"/>
                <w:b/>
                <w:bCs/>
                <w:color w:val="000000"/>
                <w:sz w:val="22"/>
                <w:szCs w:val="22"/>
              </w:rPr>
              <w:br/>
              <w:t>Párrafos 21 y 22.</w:t>
            </w:r>
          </w:p>
        </w:tc>
        <w:tc>
          <w:tcPr>
            <w:tcW w:w="1787" w:type="dxa"/>
            <w:tcBorders>
              <w:top w:val="single" w:sz="8" w:space="0" w:color="auto"/>
              <w:left w:val="nil"/>
              <w:bottom w:val="single" w:sz="8" w:space="0" w:color="auto"/>
              <w:right w:val="single" w:sz="8" w:space="0" w:color="auto"/>
            </w:tcBorders>
            <w:shd w:val="clear" w:color="auto" w:fill="auto"/>
            <w:vAlign w:val="center"/>
            <w:hideMark/>
          </w:tcPr>
          <w:p w14:paraId="1F47F557" w14:textId="77777777" w:rsidR="009A2270" w:rsidRPr="009A2270" w:rsidRDefault="009A2270" w:rsidP="009A2270">
            <w:pPr>
              <w:jc w:val="center"/>
              <w:rPr>
                <w:rFonts w:ascii="Arial Narrow" w:eastAsia="Times New Roman" w:hAnsi="Arial Narrow" w:cs="Calibri"/>
                <w:b/>
                <w:bCs/>
                <w:color w:val="000000"/>
                <w:sz w:val="22"/>
                <w:szCs w:val="22"/>
              </w:rPr>
            </w:pPr>
            <w:r w:rsidRPr="009A2270">
              <w:rPr>
                <w:rFonts w:ascii="Arial Narrow" w:eastAsia="Times New Roman" w:hAnsi="Arial Narrow" w:cs="Calibri"/>
                <w:b/>
                <w:bCs/>
                <w:color w:val="000000"/>
                <w:sz w:val="22"/>
                <w:szCs w:val="22"/>
              </w:rPr>
              <w:t xml:space="preserve"> </w:t>
            </w:r>
          </w:p>
        </w:tc>
      </w:tr>
      <w:tr w:rsidR="009A2270" w:rsidRPr="009A2270" w14:paraId="15FCEE7E" w14:textId="77777777" w:rsidTr="009A2270">
        <w:trPr>
          <w:trHeight w:val="630"/>
        </w:trPr>
        <w:tc>
          <w:tcPr>
            <w:tcW w:w="521" w:type="dxa"/>
            <w:tcBorders>
              <w:top w:val="nil"/>
              <w:left w:val="single" w:sz="8" w:space="0" w:color="auto"/>
              <w:bottom w:val="single" w:sz="8" w:space="0" w:color="auto"/>
              <w:right w:val="single" w:sz="8" w:space="0" w:color="auto"/>
            </w:tcBorders>
            <w:shd w:val="clear" w:color="auto" w:fill="auto"/>
            <w:vAlign w:val="center"/>
            <w:hideMark/>
          </w:tcPr>
          <w:p w14:paraId="4202C457" w14:textId="77777777" w:rsidR="009A2270" w:rsidRPr="009A2270" w:rsidRDefault="009A2270" w:rsidP="009A2270">
            <w:pPr>
              <w:jc w:val="right"/>
              <w:rPr>
                <w:rFonts w:ascii="Arial Narrow" w:eastAsia="Times New Roman" w:hAnsi="Arial Narrow"/>
                <w:b/>
                <w:bCs/>
                <w:color w:val="000000"/>
                <w:sz w:val="22"/>
                <w:szCs w:val="22"/>
              </w:rPr>
            </w:pPr>
            <w:r w:rsidRPr="009A2270">
              <w:rPr>
                <w:rFonts w:ascii="Arial Narrow" w:eastAsia="Times New Roman" w:hAnsi="Arial Narrow"/>
                <w:b/>
                <w:bCs/>
                <w:color w:val="000000"/>
                <w:sz w:val="22"/>
                <w:szCs w:val="22"/>
              </w:rPr>
              <w:t>2</w:t>
            </w:r>
          </w:p>
        </w:tc>
        <w:tc>
          <w:tcPr>
            <w:tcW w:w="462" w:type="dxa"/>
            <w:tcBorders>
              <w:top w:val="nil"/>
              <w:left w:val="nil"/>
              <w:bottom w:val="single" w:sz="8" w:space="0" w:color="auto"/>
              <w:right w:val="single" w:sz="8" w:space="0" w:color="auto"/>
            </w:tcBorders>
            <w:shd w:val="clear" w:color="auto" w:fill="auto"/>
            <w:vAlign w:val="center"/>
            <w:hideMark/>
          </w:tcPr>
          <w:p w14:paraId="7F332142" w14:textId="77777777" w:rsidR="009A2270" w:rsidRPr="009A2270" w:rsidRDefault="009A2270" w:rsidP="009A2270">
            <w:pPr>
              <w:jc w:val="right"/>
              <w:rPr>
                <w:rFonts w:ascii="Arial Narrow" w:eastAsia="Times New Roman" w:hAnsi="Arial Narrow"/>
                <w:b/>
                <w:bCs/>
                <w:color w:val="000000"/>
                <w:sz w:val="22"/>
                <w:szCs w:val="22"/>
              </w:rPr>
            </w:pPr>
            <w:r w:rsidRPr="009A2270">
              <w:rPr>
                <w:rFonts w:ascii="Arial Narrow" w:eastAsia="Times New Roman" w:hAnsi="Arial Narrow"/>
                <w:b/>
                <w:bCs/>
                <w:color w:val="000000"/>
                <w:sz w:val="22"/>
                <w:szCs w:val="22"/>
              </w:rPr>
              <w:t>7.</w:t>
            </w:r>
          </w:p>
        </w:tc>
        <w:tc>
          <w:tcPr>
            <w:tcW w:w="506" w:type="dxa"/>
            <w:tcBorders>
              <w:top w:val="nil"/>
              <w:left w:val="nil"/>
              <w:bottom w:val="single" w:sz="8" w:space="0" w:color="auto"/>
              <w:right w:val="nil"/>
            </w:tcBorders>
            <w:shd w:val="clear" w:color="auto" w:fill="auto"/>
            <w:vAlign w:val="center"/>
            <w:hideMark/>
          </w:tcPr>
          <w:p w14:paraId="678FD124" w14:textId="77777777" w:rsidR="009A2270" w:rsidRPr="009A2270" w:rsidRDefault="009A2270" w:rsidP="009A2270">
            <w:pPr>
              <w:jc w:val="center"/>
              <w:rPr>
                <w:rFonts w:ascii="Arial Narrow" w:eastAsia="Times New Roman" w:hAnsi="Arial Narrow" w:cs="Calibri"/>
                <w:b/>
                <w:bCs/>
                <w:color w:val="000000"/>
                <w:sz w:val="22"/>
                <w:szCs w:val="22"/>
              </w:rPr>
            </w:pPr>
            <w:r w:rsidRPr="009A2270">
              <w:rPr>
                <w:rFonts w:ascii="Arial Narrow" w:eastAsia="Times New Roman" w:hAnsi="Arial Narrow" w:cs="Calibri"/>
                <w:b/>
                <w:bCs/>
                <w:color w:val="000000"/>
                <w:sz w:val="22"/>
                <w:szCs w:val="22"/>
              </w:rPr>
              <w:t>1</w:t>
            </w:r>
          </w:p>
        </w:tc>
        <w:tc>
          <w:tcPr>
            <w:tcW w:w="3591" w:type="dxa"/>
            <w:tcBorders>
              <w:top w:val="nil"/>
              <w:left w:val="single" w:sz="8" w:space="0" w:color="auto"/>
              <w:bottom w:val="single" w:sz="8" w:space="0" w:color="auto"/>
              <w:right w:val="single" w:sz="8" w:space="0" w:color="auto"/>
            </w:tcBorders>
            <w:shd w:val="clear" w:color="auto" w:fill="auto"/>
            <w:vAlign w:val="center"/>
            <w:hideMark/>
          </w:tcPr>
          <w:p w14:paraId="13574F23" w14:textId="77777777" w:rsidR="009A2270" w:rsidRPr="009A2270" w:rsidRDefault="009A2270" w:rsidP="009A2270">
            <w:pPr>
              <w:rPr>
                <w:rFonts w:ascii="Arial Narrow" w:eastAsia="Times New Roman" w:hAnsi="Arial Narrow"/>
                <w:b/>
                <w:bCs/>
                <w:color w:val="000000"/>
                <w:sz w:val="22"/>
                <w:szCs w:val="22"/>
              </w:rPr>
            </w:pPr>
            <w:r w:rsidRPr="009A2270">
              <w:rPr>
                <w:rFonts w:ascii="Arial Narrow" w:eastAsia="Times New Roman" w:hAnsi="Arial Narrow"/>
                <w:b/>
                <w:bCs/>
                <w:color w:val="000000"/>
                <w:sz w:val="22"/>
                <w:szCs w:val="22"/>
              </w:rPr>
              <w:t xml:space="preserve">Alcance </w:t>
            </w:r>
          </w:p>
        </w:tc>
        <w:tc>
          <w:tcPr>
            <w:tcW w:w="2195" w:type="dxa"/>
            <w:tcBorders>
              <w:top w:val="nil"/>
              <w:left w:val="nil"/>
              <w:bottom w:val="single" w:sz="8" w:space="0" w:color="auto"/>
              <w:right w:val="single" w:sz="8" w:space="0" w:color="auto"/>
            </w:tcBorders>
            <w:shd w:val="clear" w:color="auto" w:fill="auto"/>
            <w:vAlign w:val="center"/>
            <w:hideMark/>
          </w:tcPr>
          <w:p w14:paraId="1783AB43" w14:textId="77777777" w:rsidR="009A2270" w:rsidRPr="009A2270" w:rsidRDefault="009A2270" w:rsidP="009A2270">
            <w:pPr>
              <w:rPr>
                <w:rFonts w:ascii="Arial Narrow" w:eastAsia="Times New Roman" w:hAnsi="Arial Narrow" w:cs="Calibri"/>
                <w:b/>
                <w:bCs/>
                <w:color w:val="000000"/>
                <w:sz w:val="22"/>
                <w:szCs w:val="22"/>
              </w:rPr>
            </w:pPr>
            <w:r w:rsidRPr="009A2270">
              <w:rPr>
                <w:rFonts w:ascii="Arial Narrow" w:eastAsia="Times New Roman" w:hAnsi="Arial Narrow" w:cs="Calibri"/>
                <w:b/>
                <w:bCs/>
                <w:color w:val="000000"/>
                <w:sz w:val="22"/>
                <w:szCs w:val="22"/>
              </w:rPr>
              <w:t>NICSP Nº 28,</w:t>
            </w:r>
            <w:r w:rsidRPr="009A2270">
              <w:rPr>
                <w:rFonts w:ascii="Arial Narrow" w:eastAsia="Times New Roman" w:hAnsi="Arial Narrow" w:cs="Calibri"/>
                <w:b/>
                <w:bCs/>
                <w:color w:val="000000"/>
                <w:sz w:val="22"/>
                <w:szCs w:val="22"/>
              </w:rPr>
              <w:br/>
              <w:t>Párrafos 23 y 24.</w:t>
            </w:r>
          </w:p>
        </w:tc>
        <w:tc>
          <w:tcPr>
            <w:tcW w:w="1787" w:type="dxa"/>
            <w:tcBorders>
              <w:top w:val="nil"/>
              <w:left w:val="nil"/>
              <w:bottom w:val="single" w:sz="8" w:space="0" w:color="auto"/>
              <w:right w:val="single" w:sz="8" w:space="0" w:color="auto"/>
            </w:tcBorders>
            <w:shd w:val="clear" w:color="auto" w:fill="auto"/>
            <w:vAlign w:val="center"/>
            <w:hideMark/>
          </w:tcPr>
          <w:p w14:paraId="314DF000" w14:textId="77777777" w:rsidR="009A2270" w:rsidRPr="009A2270" w:rsidRDefault="009A2270" w:rsidP="009A2270">
            <w:pPr>
              <w:jc w:val="center"/>
              <w:rPr>
                <w:rFonts w:ascii="Arial Narrow" w:eastAsia="Times New Roman" w:hAnsi="Arial Narrow" w:cs="Calibri"/>
                <w:b/>
                <w:bCs/>
                <w:color w:val="000000"/>
                <w:sz w:val="22"/>
                <w:szCs w:val="22"/>
              </w:rPr>
            </w:pPr>
            <w:r w:rsidRPr="009A2270">
              <w:rPr>
                <w:rFonts w:ascii="Arial Narrow" w:eastAsia="Times New Roman" w:hAnsi="Arial Narrow" w:cs="Calibri"/>
                <w:b/>
                <w:bCs/>
                <w:color w:val="000000"/>
                <w:sz w:val="22"/>
                <w:szCs w:val="22"/>
              </w:rPr>
              <w:t xml:space="preserve"> </w:t>
            </w:r>
          </w:p>
        </w:tc>
      </w:tr>
    </w:tbl>
    <w:p w14:paraId="2C2EEE35" w14:textId="77777777" w:rsidR="00FD3B47" w:rsidRDefault="00FD3B47" w:rsidP="009A2270">
      <w:pPr>
        <w:spacing w:line="238" w:lineRule="auto"/>
        <w:ind w:left="1134" w:right="260" w:hanging="1134"/>
        <w:jc w:val="both"/>
        <w:rPr>
          <w:rFonts w:ascii="Arial" w:eastAsia="Arial" w:hAnsi="Arial"/>
          <w:b/>
          <w:sz w:val="22"/>
          <w:szCs w:val="22"/>
          <w:lang w:val="es-CR"/>
        </w:rPr>
      </w:pPr>
    </w:p>
    <w:p w14:paraId="024111EE" w14:textId="15598B77" w:rsidR="00723E6B" w:rsidRDefault="00723E6B" w:rsidP="009A2270">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28D454D" w14:textId="77777777" w:rsidR="00723E6B" w:rsidRDefault="00723E6B" w:rsidP="009A2270">
      <w:pPr>
        <w:spacing w:line="238" w:lineRule="auto"/>
        <w:ind w:left="1134" w:right="260" w:hanging="1134"/>
        <w:jc w:val="both"/>
        <w:rPr>
          <w:rFonts w:ascii="Arial" w:eastAsia="Arial" w:hAnsi="Arial"/>
          <w:b/>
          <w:sz w:val="22"/>
          <w:szCs w:val="22"/>
          <w:lang w:val="es-CR"/>
        </w:rPr>
      </w:pPr>
    </w:p>
    <w:p w14:paraId="7E856F33" w14:textId="53ABDE90" w:rsidR="009A2270" w:rsidRPr="00DF7307" w:rsidRDefault="00C522E2">
      <w:pPr>
        <w:pStyle w:val="Prrafodelista"/>
        <w:numPr>
          <w:ilvl w:val="3"/>
          <w:numId w:val="133"/>
        </w:numPr>
        <w:spacing w:line="238" w:lineRule="auto"/>
        <w:ind w:left="1134" w:right="260" w:hanging="1134"/>
        <w:jc w:val="both"/>
        <w:rPr>
          <w:rFonts w:ascii="Arial" w:hAnsi="Arial"/>
          <w:sz w:val="22"/>
          <w:szCs w:val="22"/>
          <w:lang w:val="es-CR"/>
        </w:rPr>
      </w:pPr>
      <w:r w:rsidRPr="00DF7307">
        <w:rPr>
          <w:rFonts w:ascii="Arial" w:hAnsi="Arial"/>
          <w:sz w:val="22"/>
          <w:szCs w:val="22"/>
          <w:lang w:val="es-CR"/>
        </w:rPr>
        <w:t xml:space="preserve">La Municipalidad de </w:t>
      </w:r>
      <w:r w:rsidR="008C25B1">
        <w:rPr>
          <w:rFonts w:ascii="Arial" w:hAnsi="Arial"/>
          <w:sz w:val="22"/>
          <w:szCs w:val="22"/>
          <w:lang w:val="es-CR"/>
        </w:rPr>
        <w:t>Buenos Aires</w:t>
      </w:r>
      <w:r w:rsidRPr="00DF7307">
        <w:rPr>
          <w:rFonts w:ascii="Arial" w:hAnsi="Arial"/>
          <w:sz w:val="22"/>
          <w:szCs w:val="22"/>
          <w:lang w:val="es-CR"/>
        </w:rPr>
        <w:t xml:space="preserve"> considerará</w:t>
      </w:r>
      <w:r w:rsidR="00DF7307" w:rsidRPr="00DF7307">
        <w:rPr>
          <w:rFonts w:ascii="Arial" w:hAnsi="Arial"/>
          <w:sz w:val="22"/>
          <w:szCs w:val="22"/>
          <w:lang w:val="es-CR"/>
        </w:rPr>
        <w:t xml:space="preserve"> se está ante un instrumento de pasivo financiero</w:t>
      </w:r>
      <w:r w:rsidRPr="00DF7307">
        <w:rPr>
          <w:rFonts w:ascii="Arial" w:hAnsi="Arial"/>
          <w:sz w:val="22"/>
          <w:szCs w:val="22"/>
          <w:lang w:val="es-CR"/>
        </w:rPr>
        <w:t xml:space="preserve"> </w:t>
      </w:r>
      <w:r w:rsidR="00DF7307" w:rsidRPr="00DF7307">
        <w:rPr>
          <w:rFonts w:ascii="Arial" w:hAnsi="Arial"/>
          <w:sz w:val="22"/>
          <w:szCs w:val="22"/>
          <w:lang w:val="es-CR"/>
        </w:rPr>
        <w:t>c</w:t>
      </w:r>
      <w:r w:rsidR="009A2270" w:rsidRPr="00DF7307">
        <w:rPr>
          <w:rFonts w:ascii="Arial" w:hAnsi="Arial"/>
          <w:sz w:val="22"/>
          <w:szCs w:val="22"/>
          <w:lang w:val="es-CR"/>
        </w:rPr>
        <w:t>uando exist</w:t>
      </w:r>
      <w:r w:rsidR="00DF7307" w:rsidRPr="00DF7307">
        <w:rPr>
          <w:rFonts w:ascii="Arial" w:hAnsi="Arial"/>
          <w:sz w:val="22"/>
          <w:szCs w:val="22"/>
          <w:lang w:val="es-CR"/>
        </w:rPr>
        <w:t>a</w:t>
      </w:r>
      <w:r w:rsidR="009A2270" w:rsidRPr="00DF7307">
        <w:rPr>
          <w:rFonts w:ascii="Arial" w:hAnsi="Arial"/>
          <w:sz w:val="22"/>
          <w:szCs w:val="22"/>
          <w:lang w:val="es-CR"/>
        </w:rPr>
        <w:t xml:space="preserve"> una obligación contractual de</w:t>
      </w:r>
      <w:r w:rsidR="00DF7307" w:rsidRPr="00DF7307">
        <w:rPr>
          <w:rFonts w:ascii="Arial" w:hAnsi="Arial"/>
          <w:sz w:val="22"/>
          <w:szCs w:val="22"/>
          <w:lang w:val="es-CR"/>
        </w:rPr>
        <w:t xml:space="preserve">l </w:t>
      </w:r>
      <w:r w:rsidR="009A2270" w:rsidRPr="00DF7307">
        <w:rPr>
          <w:rFonts w:ascii="Arial" w:hAnsi="Arial"/>
          <w:sz w:val="22"/>
          <w:szCs w:val="22"/>
          <w:lang w:val="es-CR"/>
        </w:rPr>
        <w:t>emisor, de:</w:t>
      </w:r>
    </w:p>
    <w:p w14:paraId="25CC9F8C" w14:textId="2531B1F9" w:rsidR="009A2270" w:rsidRPr="009A2270" w:rsidRDefault="009A2270" w:rsidP="00C522E2">
      <w:pPr>
        <w:pStyle w:val="Default"/>
        <w:jc w:val="both"/>
        <w:rPr>
          <w:sz w:val="22"/>
          <w:szCs w:val="22"/>
          <w:lang w:val="es-CR"/>
        </w:rPr>
      </w:pPr>
      <w:r w:rsidRPr="009A2270">
        <w:rPr>
          <w:sz w:val="22"/>
          <w:szCs w:val="22"/>
          <w:lang w:val="es-CR"/>
        </w:rPr>
        <w:t xml:space="preserve"> </w:t>
      </w:r>
    </w:p>
    <w:p w14:paraId="42AA509B" w14:textId="48FDF0A5" w:rsidR="00DF7307" w:rsidRDefault="00DF7307">
      <w:pPr>
        <w:pStyle w:val="Prrafodelista"/>
        <w:numPr>
          <w:ilvl w:val="0"/>
          <w:numId w:val="132"/>
        </w:numPr>
        <w:spacing w:after="120" w:line="238" w:lineRule="auto"/>
        <w:ind w:left="1418" w:right="261" w:hanging="284"/>
        <w:contextualSpacing w:val="0"/>
        <w:jc w:val="both"/>
        <w:rPr>
          <w:rFonts w:ascii="Arial" w:hAnsi="Arial"/>
          <w:sz w:val="22"/>
          <w:szCs w:val="22"/>
          <w:lang w:val="es-CR"/>
        </w:rPr>
      </w:pPr>
      <w:r w:rsidRPr="00DF7307">
        <w:rPr>
          <w:rFonts w:ascii="Arial" w:hAnsi="Arial"/>
          <w:sz w:val="22"/>
          <w:szCs w:val="22"/>
          <w:lang w:val="es-CR"/>
        </w:rPr>
        <w:t>E</w:t>
      </w:r>
      <w:r w:rsidR="009A2270" w:rsidRPr="00DF7307">
        <w:rPr>
          <w:rFonts w:ascii="Arial" w:hAnsi="Arial"/>
          <w:sz w:val="22"/>
          <w:szCs w:val="22"/>
          <w:lang w:val="es-CR"/>
        </w:rPr>
        <w:t xml:space="preserve">ntregar efectivo u otro activo financiero a la otra parte (el tenedor), </w:t>
      </w:r>
    </w:p>
    <w:p w14:paraId="56E51A06" w14:textId="487D8227" w:rsidR="009A2270" w:rsidRPr="00DF7307" w:rsidRDefault="0021354A">
      <w:pPr>
        <w:pStyle w:val="Prrafodelista"/>
        <w:numPr>
          <w:ilvl w:val="0"/>
          <w:numId w:val="132"/>
        </w:numPr>
        <w:spacing w:line="238" w:lineRule="auto"/>
        <w:ind w:left="1418" w:right="260" w:hanging="284"/>
        <w:jc w:val="both"/>
        <w:rPr>
          <w:rFonts w:ascii="Arial" w:hAnsi="Arial"/>
          <w:sz w:val="22"/>
          <w:szCs w:val="22"/>
          <w:lang w:val="es-CR"/>
        </w:rPr>
      </w:pPr>
      <w:r w:rsidRPr="00DF7307">
        <w:rPr>
          <w:rFonts w:ascii="Arial" w:hAnsi="Arial"/>
          <w:sz w:val="22"/>
          <w:szCs w:val="22"/>
          <w:lang w:val="es-CR"/>
        </w:rPr>
        <w:t>Interca</w:t>
      </w:r>
      <w:r>
        <w:rPr>
          <w:rFonts w:ascii="Arial" w:hAnsi="Arial"/>
          <w:sz w:val="22"/>
          <w:szCs w:val="22"/>
          <w:lang w:val="es-CR"/>
        </w:rPr>
        <w:t>mbi</w:t>
      </w:r>
      <w:r w:rsidRPr="00DF7307">
        <w:rPr>
          <w:rFonts w:ascii="Arial" w:hAnsi="Arial"/>
          <w:sz w:val="22"/>
          <w:szCs w:val="22"/>
          <w:lang w:val="es-CR"/>
        </w:rPr>
        <w:t>ar</w:t>
      </w:r>
      <w:r w:rsidR="009A2270" w:rsidRPr="00DF7307">
        <w:rPr>
          <w:rFonts w:ascii="Arial" w:hAnsi="Arial"/>
          <w:sz w:val="22"/>
          <w:szCs w:val="22"/>
          <w:lang w:val="es-CR"/>
        </w:rPr>
        <w:t xml:space="preserve"> </w:t>
      </w:r>
      <w:r w:rsidR="00C522E2" w:rsidRPr="00DF7307">
        <w:rPr>
          <w:rFonts w:ascii="Arial" w:hAnsi="Arial"/>
          <w:sz w:val="22"/>
          <w:szCs w:val="22"/>
          <w:lang w:val="es-CR"/>
        </w:rPr>
        <w:t>activos o pasivos financieros,</w:t>
      </w:r>
      <w:r w:rsidR="009A2270" w:rsidRPr="00DF7307">
        <w:rPr>
          <w:rFonts w:ascii="Arial" w:hAnsi="Arial"/>
          <w:sz w:val="22"/>
          <w:szCs w:val="22"/>
          <w:lang w:val="es-CR"/>
        </w:rPr>
        <w:t xml:space="preserve"> con el tenedor en condiciones que sean potencialmente desfavorables para el emisor. </w:t>
      </w:r>
    </w:p>
    <w:p w14:paraId="2E2442BB" w14:textId="77777777" w:rsidR="009A2270" w:rsidRPr="009A2270" w:rsidRDefault="009A2270" w:rsidP="00C522E2">
      <w:pPr>
        <w:pStyle w:val="Default"/>
        <w:jc w:val="both"/>
        <w:rPr>
          <w:sz w:val="22"/>
          <w:szCs w:val="22"/>
          <w:lang w:val="es-CR"/>
        </w:rPr>
      </w:pPr>
    </w:p>
    <w:p w14:paraId="4020BEA6" w14:textId="2EC7CB4A" w:rsidR="009A2270" w:rsidRPr="009A2270" w:rsidRDefault="009A2270" w:rsidP="00DF7307">
      <w:pPr>
        <w:pStyle w:val="Default"/>
        <w:ind w:left="1134"/>
        <w:jc w:val="both"/>
        <w:rPr>
          <w:sz w:val="22"/>
          <w:szCs w:val="22"/>
          <w:lang w:val="es-CR"/>
        </w:rPr>
      </w:pPr>
      <w:r w:rsidRPr="009A2270">
        <w:rPr>
          <w:sz w:val="22"/>
          <w:szCs w:val="22"/>
          <w:lang w:val="es-CR"/>
        </w:rPr>
        <w:t xml:space="preserve">Deberá considerarse que se está ante un instrumento de pasivo financiero, </w:t>
      </w:r>
      <w:r w:rsidR="00C522E2">
        <w:rPr>
          <w:sz w:val="22"/>
          <w:szCs w:val="22"/>
          <w:lang w:val="es-CR"/>
        </w:rPr>
        <w:t>i</w:t>
      </w:r>
      <w:r w:rsidRPr="009A2270">
        <w:rPr>
          <w:sz w:val="22"/>
          <w:szCs w:val="22"/>
          <w:lang w:val="es-CR"/>
        </w:rPr>
        <w:t xml:space="preserve">ndependientemente de la forma legal que éste tenga. Es la esencia económica de un instrumento financiero, por encima de su forma legal, la que ha de guiar la clasificación que el emisor debe darle en el ESF. </w:t>
      </w:r>
    </w:p>
    <w:p w14:paraId="639E6D82" w14:textId="77777777" w:rsidR="00DF7307" w:rsidRDefault="00DF7307" w:rsidP="00DF7307">
      <w:pPr>
        <w:spacing w:line="238" w:lineRule="auto"/>
        <w:ind w:right="260"/>
        <w:jc w:val="both"/>
        <w:rPr>
          <w:rFonts w:ascii="Arial" w:hAnsi="Arial"/>
          <w:sz w:val="22"/>
          <w:szCs w:val="22"/>
          <w:lang w:val="es-CR"/>
        </w:rPr>
      </w:pPr>
    </w:p>
    <w:p w14:paraId="598EFAEA" w14:textId="054575DB" w:rsidR="009A2270" w:rsidRPr="00DF7307" w:rsidRDefault="00DF7307" w:rsidP="00DF7307">
      <w:pPr>
        <w:spacing w:line="238" w:lineRule="auto"/>
        <w:ind w:left="1134" w:right="260" w:hanging="1134"/>
        <w:jc w:val="both"/>
        <w:rPr>
          <w:rFonts w:ascii="Arial" w:hAnsi="Arial"/>
          <w:sz w:val="22"/>
          <w:szCs w:val="22"/>
          <w:lang w:val="es-CR"/>
        </w:rPr>
      </w:pPr>
      <w:r>
        <w:rPr>
          <w:rFonts w:ascii="Arial" w:hAnsi="Arial"/>
          <w:sz w:val="22"/>
          <w:szCs w:val="22"/>
          <w:lang w:val="es-CR"/>
        </w:rPr>
        <w:t>2.7.1.01</w:t>
      </w:r>
      <w:r>
        <w:rPr>
          <w:rFonts w:ascii="Arial" w:hAnsi="Arial"/>
          <w:sz w:val="22"/>
          <w:szCs w:val="22"/>
          <w:lang w:val="es-CR"/>
        </w:rPr>
        <w:tab/>
      </w:r>
      <w:r w:rsidR="009A2270" w:rsidRPr="00DF7307">
        <w:rPr>
          <w:rFonts w:ascii="Arial" w:hAnsi="Arial"/>
          <w:sz w:val="22"/>
          <w:szCs w:val="22"/>
          <w:lang w:val="es-CR"/>
        </w:rPr>
        <w:t xml:space="preserve">Además de las condiciones que debe cumplir un pasivo financiero, deberá considerarse que se está ante tal instrumento en los siguientes casos: </w:t>
      </w:r>
    </w:p>
    <w:p w14:paraId="5D3CC310" w14:textId="77777777" w:rsidR="009A2270" w:rsidRPr="009A2270" w:rsidRDefault="009A2270" w:rsidP="00C522E2">
      <w:pPr>
        <w:pStyle w:val="Default"/>
        <w:jc w:val="both"/>
        <w:rPr>
          <w:sz w:val="22"/>
          <w:szCs w:val="22"/>
          <w:lang w:val="es-CR"/>
        </w:rPr>
      </w:pPr>
    </w:p>
    <w:p w14:paraId="0B3A5C1A" w14:textId="77777777" w:rsidR="006965AB" w:rsidRDefault="006965AB">
      <w:pPr>
        <w:pStyle w:val="Prrafodelista"/>
        <w:numPr>
          <w:ilvl w:val="2"/>
          <w:numId w:val="110"/>
        </w:numPr>
        <w:spacing w:after="120"/>
        <w:ind w:left="1418" w:right="261" w:hanging="284"/>
        <w:contextualSpacing w:val="0"/>
        <w:jc w:val="both"/>
        <w:rPr>
          <w:rFonts w:ascii="Arial" w:hAnsi="Arial"/>
          <w:sz w:val="22"/>
          <w:szCs w:val="22"/>
          <w:lang w:val="es-CR"/>
        </w:rPr>
      </w:pPr>
      <w:r w:rsidRPr="006965AB">
        <w:rPr>
          <w:rFonts w:ascii="Arial" w:hAnsi="Arial"/>
          <w:sz w:val="22"/>
          <w:szCs w:val="22"/>
          <w:lang w:val="es-CR"/>
        </w:rPr>
        <w:t>S</w:t>
      </w:r>
      <w:r w:rsidR="009A2270" w:rsidRPr="006965AB">
        <w:rPr>
          <w:rFonts w:ascii="Arial" w:hAnsi="Arial"/>
          <w:sz w:val="22"/>
          <w:szCs w:val="22"/>
          <w:lang w:val="es-CR"/>
        </w:rPr>
        <w:t>i la entidad no tiene un derecho incondicional de evitar la entrega de efectivo u otro activo financiero para liquidar una obligación contractual;</w:t>
      </w:r>
    </w:p>
    <w:p w14:paraId="7409866F" w14:textId="77777777" w:rsidR="006965AB" w:rsidRDefault="006965AB">
      <w:pPr>
        <w:pStyle w:val="Prrafodelista"/>
        <w:numPr>
          <w:ilvl w:val="2"/>
          <w:numId w:val="110"/>
        </w:numPr>
        <w:spacing w:after="120"/>
        <w:ind w:left="1418" w:right="261" w:hanging="284"/>
        <w:contextualSpacing w:val="0"/>
        <w:jc w:val="both"/>
        <w:rPr>
          <w:rFonts w:ascii="Arial" w:hAnsi="Arial"/>
          <w:sz w:val="22"/>
          <w:szCs w:val="22"/>
          <w:lang w:val="es-CR"/>
        </w:rPr>
      </w:pPr>
      <w:r w:rsidRPr="006965AB">
        <w:rPr>
          <w:rFonts w:ascii="Arial" w:hAnsi="Arial"/>
          <w:sz w:val="22"/>
          <w:szCs w:val="22"/>
          <w:lang w:val="es-CR"/>
        </w:rPr>
        <w:t>S</w:t>
      </w:r>
      <w:r w:rsidR="009A2270" w:rsidRPr="006965AB">
        <w:rPr>
          <w:rFonts w:ascii="Arial" w:hAnsi="Arial"/>
          <w:sz w:val="22"/>
          <w:szCs w:val="22"/>
          <w:lang w:val="es-CR"/>
        </w:rPr>
        <w:t xml:space="preserve">í un instrumento financiero no estableciera de forma explícita, una obligación contractual de entregar efectivo u otro activo financiero, pero estableciera esa obligación de una forma indirecta, a través de sus plazos y condiciones, como, por ejemplo: </w:t>
      </w:r>
    </w:p>
    <w:p w14:paraId="749750E3" w14:textId="19240663" w:rsidR="006965AB" w:rsidRPr="006965AB" w:rsidRDefault="009A2270">
      <w:pPr>
        <w:pStyle w:val="Prrafodelista"/>
        <w:numPr>
          <w:ilvl w:val="0"/>
          <w:numId w:val="134"/>
        </w:numPr>
        <w:spacing w:after="120"/>
        <w:ind w:left="1560" w:right="261" w:hanging="77"/>
        <w:contextualSpacing w:val="0"/>
        <w:jc w:val="both"/>
        <w:rPr>
          <w:rFonts w:ascii="Arial" w:hAnsi="Arial"/>
          <w:sz w:val="22"/>
          <w:szCs w:val="22"/>
          <w:lang w:val="es-CR"/>
        </w:rPr>
      </w:pPr>
      <w:r w:rsidRPr="006965AB">
        <w:rPr>
          <w:rFonts w:ascii="Arial" w:hAnsi="Arial"/>
          <w:sz w:val="22"/>
          <w:szCs w:val="22"/>
          <w:lang w:val="es-CR"/>
        </w:rPr>
        <w:t xml:space="preserve">instrumentos financieros que contengan una obligación no financiera que se liquidará si, y sólo si, la entidad deja de realizar distribuciones o si incumple el compromiso de </w:t>
      </w:r>
      <w:r w:rsidR="0021354A" w:rsidRPr="006965AB">
        <w:rPr>
          <w:rFonts w:ascii="Arial" w:hAnsi="Arial"/>
          <w:sz w:val="22"/>
          <w:szCs w:val="22"/>
          <w:lang w:val="es-CR"/>
        </w:rPr>
        <w:t>ree</w:t>
      </w:r>
      <w:r w:rsidR="0021354A">
        <w:rPr>
          <w:rFonts w:ascii="Arial" w:hAnsi="Arial"/>
          <w:sz w:val="22"/>
          <w:szCs w:val="22"/>
          <w:lang w:val="es-CR"/>
        </w:rPr>
        <w:t>mbo</w:t>
      </w:r>
      <w:r w:rsidR="0021354A" w:rsidRPr="006965AB">
        <w:rPr>
          <w:rFonts w:ascii="Arial" w:hAnsi="Arial"/>
          <w:sz w:val="22"/>
          <w:szCs w:val="22"/>
          <w:lang w:val="es-CR"/>
        </w:rPr>
        <w:t>lsar</w:t>
      </w:r>
      <w:r w:rsidRPr="006965AB">
        <w:rPr>
          <w:rFonts w:ascii="Arial" w:hAnsi="Arial"/>
          <w:sz w:val="22"/>
          <w:szCs w:val="22"/>
          <w:lang w:val="es-CR"/>
        </w:rPr>
        <w:t xml:space="preserve"> el instrumento;</w:t>
      </w:r>
    </w:p>
    <w:p w14:paraId="007F74AC" w14:textId="47DFED16" w:rsidR="009A2270" w:rsidRPr="006965AB" w:rsidRDefault="006965AB">
      <w:pPr>
        <w:pStyle w:val="Prrafodelista"/>
        <w:numPr>
          <w:ilvl w:val="0"/>
          <w:numId w:val="134"/>
        </w:numPr>
        <w:spacing w:after="120"/>
        <w:ind w:left="1560" w:right="261" w:hanging="77"/>
        <w:contextualSpacing w:val="0"/>
        <w:jc w:val="both"/>
        <w:rPr>
          <w:rFonts w:ascii="Arial" w:hAnsi="Arial"/>
          <w:sz w:val="22"/>
          <w:szCs w:val="22"/>
          <w:lang w:val="es-CR"/>
        </w:rPr>
      </w:pPr>
      <w:r w:rsidRPr="006965AB">
        <w:rPr>
          <w:sz w:val="22"/>
          <w:szCs w:val="22"/>
          <w:lang w:val="es-CR"/>
        </w:rPr>
        <w:t>I</w:t>
      </w:r>
      <w:r w:rsidR="009A2270" w:rsidRPr="006965AB">
        <w:rPr>
          <w:rFonts w:ascii="Arial" w:hAnsi="Arial"/>
          <w:sz w:val="22"/>
          <w:szCs w:val="22"/>
          <w:lang w:val="es-CR"/>
        </w:rPr>
        <w:t xml:space="preserve">nstrumentos financieros que establecieran que, para su liquidación, la entidad entregará: i. efectivo u otro activo financiero; o </w:t>
      </w:r>
    </w:p>
    <w:p w14:paraId="36EBD723" w14:textId="739EAE50" w:rsidR="009A2270" w:rsidRPr="009A2270" w:rsidRDefault="006965AB">
      <w:pPr>
        <w:pStyle w:val="Default"/>
        <w:numPr>
          <w:ilvl w:val="0"/>
          <w:numId w:val="134"/>
        </w:numPr>
        <w:ind w:left="1560" w:right="288" w:hanging="77"/>
        <w:jc w:val="both"/>
        <w:rPr>
          <w:sz w:val="22"/>
          <w:szCs w:val="22"/>
          <w:lang w:val="es-CR"/>
        </w:rPr>
      </w:pPr>
      <w:r>
        <w:rPr>
          <w:sz w:val="22"/>
          <w:szCs w:val="22"/>
          <w:lang w:val="es-CR"/>
        </w:rPr>
        <w:t>S</w:t>
      </w:r>
      <w:r w:rsidR="009A2270" w:rsidRPr="009A2270">
        <w:rPr>
          <w:sz w:val="22"/>
          <w:szCs w:val="22"/>
          <w:lang w:val="es-CR"/>
        </w:rPr>
        <w:t xml:space="preserve">us propias acciones, cuyo valor sea sustancialmente superior al del efectivo o al del otro activo financiero. </w:t>
      </w:r>
    </w:p>
    <w:p w14:paraId="4380EEEF" w14:textId="77777777" w:rsidR="009A2270" w:rsidRPr="009A2270" w:rsidRDefault="009A2270" w:rsidP="00C522E2">
      <w:pPr>
        <w:pStyle w:val="Default"/>
        <w:jc w:val="both"/>
        <w:rPr>
          <w:sz w:val="22"/>
          <w:szCs w:val="22"/>
          <w:lang w:val="es-CR"/>
        </w:rPr>
      </w:pPr>
    </w:p>
    <w:p w14:paraId="7B7D5E77" w14:textId="40A87B55" w:rsidR="006965AB" w:rsidRPr="00723E6B" w:rsidRDefault="006965AB" w:rsidP="00723E6B">
      <w:pPr>
        <w:spacing w:line="238" w:lineRule="auto"/>
        <w:ind w:left="1134" w:right="260" w:hanging="1134"/>
        <w:jc w:val="both"/>
        <w:rPr>
          <w:rFonts w:ascii="Arial" w:hAnsi="Arial"/>
          <w:sz w:val="22"/>
          <w:szCs w:val="22"/>
          <w:lang w:val="es-CR"/>
        </w:rPr>
      </w:pPr>
      <w:r>
        <w:rPr>
          <w:rFonts w:ascii="Arial" w:hAnsi="Arial"/>
          <w:sz w:val="22"/>
          <w:szCs w:val="22"/>
          <w:lang w:val="es-CR"/>
        </w:rPr>
        <w:t>2.7.1.02</w:t>
      </w:r>
      <w:r>
        <w:rPr>
          <w:rFonts w:ascii="Arial" w:hAnsi="Arial"/>
          <w:sz w:val="22"/>
          <w:szCs w:val="22"/>
          <w:lang w:val="es-CR"/>
        </w:rPr>
        <w:tab/>
      </w:r>
      <w:r w:rsidR="009A2270" w:rsidRPr="009A2270">
        <w:rPr>
          <w:rFonts w:ascii="Arial" w:hAnsi="Arial"/>
          <w:sz w:val="22"/>
          <w:szCs w:val="22"/>
          <w:lang w:val="es-CR"/>
        </w:rPr>
        <w:t xml:space="preserve">Un contrato que contenga una obligación de comprar los instrumentos de patrimonio de la propia entidad, a </w:t>
      </w:r>
      <w:r w:rsidR="0021354A" w:rsidRPr="009A2270">
        <w:rPr>
          <w:rFonts w:ascii="Arial" w:hAnsi="Arial"/>
          <w:sz w:val="22"/>
          <w:szCs w:val="22"/>
          <w:lang w:val="es-CR"/>
        </w:rPr>
        <w:t>ca</w:t>
      </w:r>
      <w:r w:rsidR="0021354A">
        <w:rPr>
          <w:rFonts w:ascii="Arial" w:hAnsi="Arial"/>
          <w:sz w:val="22"/>
          <w:szCs w:val="22"/>
          <w:lang w:val="es-CR"/>
        </w:rPr>
        <w:t>mbi</w:t>
      </w:r>
      <w:r w:rsidR="0021354A" w:rsidRPr="009A2270">
        <w:rPr>
          <w:rFonts w:ascii="Arial" w:hAnsi="Arial"/>
          <w:sz w:val="22"/>
          <w:szCs w:val="22"/>
          <w:lang w:val="es-CR"/>
        </w:rPr>
        <w:t>o</w:t>
      </w:r>
      <w:r w:rsidR="009A2270" w:rsidRPr="009A2270">
        <w:rPr>
          <w:rFonts w:ascii="Arial" w:hAnsi="Arial"/>
          <w:sz w:val="22"/>
          <w:szCs w:val="22"/>
          <w:lang w:val="es-CR"/>
        </w:rPr>
        <w:t xml:space="preserve"> de efectivo o de otro activo financiero, dará lugar a un pasivo financiero por el valor presente del importe a </w:t>
      </w:r>
      <w:r w:rsidR="0021354A" w:rsidRPr="009A2270">
        <w:rPr>
          <w:rFonts w:ascii="Arial" w:hAnsi="Arial"/>
          <w:sz w:val="22"/>
          <w:szCs w:val="22"/>
          <w:lang w:val="es-CR"/>
        </w:rPr>
        <w:t>ree</w:t>
      </w:r>
      <w:r w:rsidR="0021354A">
        <w:rPr>
          <w:rFonts w:ascii="Arial" w:hAnsi="Arial"/>
          <w:sz w:val="22"/>
          <w:szCs w:val="22"/>
          <w:lang w:val="es-CR"/>
        </w:rPr>
        <w:t>mbo</w:t>
      </w:r>
      <w:r w:rsidR="0021354A" w:rsidRPr="009A2270">
        <w:rPr>
          <w:rFonts w:ascii="Arial" w:hAnsi="Arial"/>
          <w:sz w:val="22"/>
          <w:szCs w:val="22"/>
          <w:lang w:val="es-CR"/>
        </w:rPr>
        <w:t>lsar</w:t>
      </w:r>
      <w:r w:rsidR="009A2270" w:rsidRPr="009A2270">
        <w:rPr>
          <w:rFonts w:ascii="Arial" w:hAnsi="Arial"/>
          <w:sz w:val="22"/>
          <w:szCs w:val="22"/>
          <w:lang w:val="es-CR"/>
        </w:rPr>
        <w:t xml:space="preserve"> con cargo a activos netos/patrimonio, aun cuando el contrato sea un instrumento de patrimonio. </w:t>
      </w:r>
      <w:r w:rsidRPr="009A2270">
        <w:rPr>
          <w:rFonts w:ascii="Arial" w:hAnsi="Arial"/>
          <w:sz w:val="22"/>
          <w:szCs w:val="22"/>
          <w:lang w:val="es-CR"/>
        </w:rPr>
        <w:t>En caso de que</w:t>
      </w:r>
      <w:r w:rsidR="009A2270" w:rsidRPr="009A2270">
        <w:rPr>
          <w:rFonts w:ascii="Arial" w:hAnsi="Arial"/>
          <w:sz w:val="22"/>
          <w:szCs w:val="22"/>
          <w:lang w:val="es-CR"/>
        </w:rPr>
        <w:t xml:space="preserve"> al vencimiento no se produjera ninguna entrega de </w:t>
      </w:r>
      <w:r w:rsidR="009A2270" w:rsidRPr="009A2270">
        <w:rPr>
          <w:rFonts w:ascii="Arial" w:hAnsi="Arial"/>
          <w:sz w:val="22"/>
          <w:szCs w:val="22"/>
          <w:lang w:val="es-CR"/>
        </w:rPr>
        <w:lastRenderedPageBreak/>
        <w:t xml:space="preserve">efectivo u otros activos financieros, el importe en libros del pasivo financiero se reclasificará nuevamente al patrimonio. </w:t>
      </w:r>
    </w:p>
    <w:p w14:paraId="0C8DE4BB" w14:textId="77777777" w:rsidR="006965AB" w:rsidRPr="009A2270" w:rsidRDefault="006965AB" w:rsidP="00C55377">
      <w:pPr>
        <w:spacing w:line="238" w:lineRule="auto"/>
        <w:ind w:right="260"/>
        <w:jc w:val="both"/>
        <w:rPr>
          <w:rFonts w:ascii="Arial" w:eastAsia="Arial" w:hAnsi="Arial"/>
          <w:b/>
          <w:sz w:val="22"/>
          <w:szCs w:val="22"/>
          <w:lang w:val="es-CR"/>
        </w:rPr>
      </w:pPr>
    </w:p>
    <w:p w14:paraId="0C0F5D83" w14:textId="77777777" w:rsidR="009A2270" w:rsidRDefault="009A2270" w:rsidP="00C522E2">
      <w:pPr>
        <w:spacing w:line="238" w:lineRule="auto"/>
        <w:ind w:left="1134" w:right="260" w:hanging="1134"/>
        <w:jc w:val="both"/>
        <w:rPr>
          <w:rFonts w:ascii="Arial" w:eastAsia="Arial" w:hAnsi="Arial"/>
          <w:b/>
          <w:sz w:val="22"/>
          <w:szCs w:val="22"/>
          <w:lang w:val="es-CR"/>
        </w:rPr>
      </w:pPr>
    </w:p>
    <w:tbl>
      <w:tblPr>
        <w:tblW w:w="9680" w:type="dxa"/>
        <w:tblLook w:val="04A0" w:firstRow="1" w:lastRow="0" w:firstColumn="1" w:lastColumn="0" w:noHBand="0" w:noVBand="1"/>
      </w:tblPr>
      <w:tblGrid>
        <w:gridCol w:w="663"/>
        <w:gridCol w:w="367"/>
        <w:gridCol w:w="638"/>
        <w:gridCol w:w="3679"/>
        <w:gridCol w:w="2247"/>
        <w:gridCol w:w="2086"/>
      </w:tblGrid>
      <w:tr w:rsidR="006965AB" w:rsidRPr="006965AB" w14:paraId="2048A285" w14:textId="77777777" w:rsidTr="006965AB">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2431552" w14:textId="77777777" w:rsidR="006965AB" w:rsidRPr="006965AB" w:rsidRDefault="006965AB" w:rsidP="006965AB">
            <w:pPr>
              <w:jc w:val="center"/>
              <w:rPr>
                <w:rFonts w:ascii="Arial Narrow" w:eastAsia="Times New Roman" w:hAnsi="Arial Narrow" w:cs="Calibri"/>
                <w:b/>
                <w:bCs/>
                <w:color w:val="FFFFFF"/>
                <w:sz w:val="22"/>
                <w:szCs w:val="22"/>
              </w:rPr>
            </w:pPr>
            <w:r w:rsidRPr="006965AB">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2959F78" w14:textId="77777777" w:rsidR="006965AB" w:rsidRPr="006965AB" w:rsidRDefault="006965AB" w:rsidP="006965AB">
            <w:pPr>
              <w:jc w:val="center"/>
              <w:rPr>
                <w:rFonts w:ascii="Arial Narrow" w:eastAsia="Times New Roman" w:hAnsi="Arial Narrow" w:cs="Calibri"/>
                <w:b/>
                <w:bCs/>
                <w:color w:val="FFFFFF"/>
                <w:sz w:val="22"/>
                <w:szCs w:val="22"/>
              </w:rPr>
            </w:pPr>
            <w:r w:rsidRPr="006965AB">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4113664E" w14:textId="77777777" w:rsidR="006965AB" w:rsidRPr="006965AB" w:rsidRDefault="006965AB" w:rsidP="006965AB">
            <w:pPr>
              <w:jc w:val="center"/>
              <w:rPr>
                <w:rFonts w:ascii="Arial Narrow" w:eastAsia="Times New Roman" w:hAnsi="Arial Narrow" w:cs="Calibri"/>
                <w:b/>
                <w:bCs/>
                <w:color w:val="FFFFFF"/>
                <w:sz w:val="22"/>
                <w:szCs w:val="22"/>
              </w:rPr>
            </w:pPr>
            <w:r w:rsidRPr="006965AB">
              <w:rPr>
                <w:rFonts w:ascii="Arial Narrow" w:eastAsia="Times New Roman" w:hAnsi="Arial Narrow" w:cs="Calibri"/>
                <w:b/>
                <w:bCs/>
                <w:color w:val="FFFFFF"/>
                <w:sz w:val="22"/>
                <w:szCs w:val="22"/>
              </w:rPr>
              <w:t>Referencia</w:t>
            </w:r>
          </w:p>
        </w:tc>
      </w:tr>
      <w:tr w:rsidR="006965AB" w:rsidRPr="006E5442" w14:paraId="65EA3A09" w14:textId="77777777" w:rsidTr="006965AB">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1D8F8D2E" w14:textId="77777777" w:rsidR="006965AB" w:rsidRPr="006965AB" w:rsidRDefault="006965AB" w:rsidP="006965AB">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2727CE6B" w14:textId="77777777" w:rsidR="006965AB" w:rsidRPr="006965AB" w:rsidRDefault="006965AB" w:rsidP="006965AB">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3D2694E5" w14:textId="77777777" w:rsidR="006965AB" w:rsidRPr="006965AB" w:rsidRDefault="006965AB" w:rsidP="006965AB">
            <w:pPr>
              <w:jc w:val="center"/>
              <w:rPr>
                <w:rFonts w:ascii="Arial Narrow" w:eastAsia="Times New Roman" w:hAnsi="Arial Narrow" w:cs="Calibri"/>
                <w:b/>
                <w:bCs/>
                <w:color w:val="FFFFFF"/>
                <w:sz w:val="22"/>
                <w:szCs w:val="22"/>
              </w:rPr>
            </w:pPr>
            <w:r w:rsidRPr="006965AB">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0C2AED9C" w14:textId="77777777" w:rsidR="006965AB" w:rsidRPr="006965AB" w:rsidRDefault="006965AB" w:rsidP="006965AB">
            <w:pPr>
              <w:jc w:val="center"/>
              <w:rPr>
                <w:rFonts w:ascii="Arial Narrow" w:eastAsia="Times New Roman" w:hAnsi="Arial Narrow" w:cs="Calibri"/>
                <w:b/>
                <w:bCs/>
                <w:color w:val="FFFFFF"/>
                <w:sz w:val="24"/>
                <w:szCs w:val="24"/>
                <w:lang w:val="es-CR"/>
              </w:rPr>
            </w:pPr>
            <w:r w:rsidRPr="006965AB">
              <w:rPr>
                <w:rFonts w:ascii="Arial Narrow" w:eastAsia="Times New Roman" w:hAnsi="Arial Narrow" w:cs="Calibri"/>
                <w:b/>
                <w:bCs/>
                <w:color w:val="FFFFFF"/>
                <w:sz w:val="24"/>
                <w:szCs w:val="24"/>
                <w:lang w:val="es-CR"/>
              </w:rPr>
              <w:t>Normativa técnica y disposiciones adicionales</w:t>
            </w:r>
          </w:p>
        </w:tc>
      </w:tr>
      <w:tr w:rsidR="006965AB" w:rsidRPr="006965AB" w14:paraId="7FE3342F" w14:textId="77777777" w:rsidTr="006965AB">
        <w:trPr>
          <w:trHeight w:val="630"/>
        </w:trPr>
        <w:tc>
          <w:tcPr>
            <w:tcW w:w="6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C1463B" w14:textId="77777777" w:rsidR="006965AB" w:rsidRPr="006965AB" w:rsidRDefault="006965AB" w:rsidP="006965AB">
            <w:pPr>
              <w:jc w:val="center"/>
              <w:rPr>
                <w:rFonts w:ascii="Arial Narrow" w:eastAsia="Times New Roman" w:hAnsi="Arial Narrow" w:cs="Calibri"/>
                <w:b/>
                <w:bCs/>
                <w:color w:val="000000"/>
                <w:sz w:val="22"/>
                <w:szCs w:val="22"/>
              </w:rPr>
            </w:pPr>
            <w:r w:rsidRPr="006965AB">
              <w:rPr>
                <w:rFonts w:ascii="Arial Narrow" w:eastAsia="Times New Roman" w:hAnsi="Arial Narrow" w:cs="Calibri"/>
                <w:b/>
                <w:bCs/>
                <w:color w:val="000000"/>
                <w:sz w:val="22"/>
                <w:szCs w:val="22"/>
              </w:rPr>
              <w:t>2</w:t>
            </w:r>
          </w:p>
        </w:tc>
        <w:tc>
          <w:tcPr>
            <w:tcW w:w="242" w:type="dxa"/>
            <w:tcBorders>
              <w:top w:val="single" w:sz="8" w:space="0" w:color="auto"/>
              <w:left w:val="nil"/>
              <w:bottom w:val="single" w:sz="8" w:space="0" w:color="auto"/>
              <w:right w:val="single" w:sz="8" w:space="0" w:color="auto"/>
            </w:tcBorders>
            <w:shd w:val="clear" w:color="auto" w:fill="auto"/>
            <w:noWrap/>
            <w:vAlign w:val="center"/>
            <w:hideMark/>
          </w:tcPr>
          <w:p w14:paraId="42B032E7" w14:textId="77777777" w:rsidR="006965AB" w:rsidRPr="006965AB" w:rsidRDefault="006965AB" w:rsidP="006965AB">
            <w:pPr>
              <w:jc w:val="center"/>
              <w:rPr>
                <w:rFonts w:ascii="Arial Narrow" w:eastAsia="Times New Roman" w:hAnsi="Arial Narrow" w:cs="Calibri"/>
                <w:b/>
                <w:bCs/>
                <w:color w:val="000000"/>
                <w:sz w:val="22"/>
                <w:szCs w:val="22"/>
              </w:rPr>
            </w:pPr>
            <w:r w:rsidRPr="006965AB">
              <w:rPr>
                <w:rFonts w:ascii="Arial Narrow" w:eastAsia="Times New Roman" w:hAnsi="Arial Narrow" w:cs="Calibri"/>
                <w:b/>
                <w:bCs/>
                <w:color w:val="000000"/>
                <w:sz w:val="22"/>
                <w:szCs w:val="22"/>
              </w:rPr>
              <w:t>8.</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7C9DB037" w14:textId="77777777" w:rsidR="006965AB" w:rsidRPr="006965AB" w:rsidRDefault="006965AB" w:rsidP="006965AB">
            <w:pPr>
              <w:jc w:val="center"/>
              <w:rPr>
                <w:rFonts w:ascii="Arial Narrow" w:eastAsia="Times New Roman" w:hAnsi="Arial Narrow" w:cs="Calibri"/>
                <w:b/>
                <w:bCs/>
                <w:color w:val="000000"/>
                <w:sz w:val="22"/>
                <w:szCs w:val="22"/>
              </w:rPr>
            </w:pPr>
            <w:r w:rsidRPr="006965AB">
              <w:rPr>
                <w:rFonts w:ascii="Arial Narrow" w:eastAsia="Times New Roman" w:hAnsi="Arial Narrow" w:cs="Calibri"/>
                <w:b/>
                <w:bCs/>
                <w:color w:val="000000"/>
                <w:sz w:val="22"/>
                <w:szCs w:val="22"/>
              </w:rPr>
              <w:t>0</w:t>
            </w: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487E2830" w14:textId="77777777" w:rsidR="006965AB" w:rsidRPr="006965AB" w:rsidRDefault="006965AB" w:rsidP="006965AB">
            <w:pPr>
              <w:jc w:val="both"/>
              <w:rPr>
                <w:rFonts w:ascii="Arial Narrow" w:eastAsia="Times New Roman" w:hAnsi="Arial Narrow" w:cs="Calibri"/>
                <w:b/>
                <w:bCs/>
                <w:color w:val="000000"/>
                <w:sz w:val="22"/>
                <w:szCs w:val="22"/>
              </w:rPr>
            </w:pPr>
            <w:r w:rsidRPr="006965AB">
              <w:rPr>
                <w:rFonts w:ascii="Arial Narrow" w:eastAsia="Times New Roman" w:hAnsi="Arial Narrow" w:cs="Calibri"/>
                <w:b/>
                <w:bCs/>
                <w:color w:val="000000"/>
                <w:sz w:val="22"/>
                <w:szCs w:val="22"/>
              </w:rPr>
              <w:t>Cláusulas de liquidación contingente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2AD89D2B" w14:textId="77777777" w:rsidR="006965AB" w:rsidRPr="006965AB" w:rsidRDefault="006965AB" w:rsidP="006965AB">
            <w:pPr>
              <w:jc w:val="both"/>
              <w:rPr>
                <w:rFonts w:ascii="Arial Narrow" w:eastAsia="Times New Roman" w:hAnsi="Arial Narrow" w:cs="Calibri"/>
                <w:b/>
                <w:bCs/>
                <w:color w:val="000000"/>
                <w:sz w:val="22"/>
                <w:szCs w:val="22"/>
              </w:rPr>
            </w:pPr>
            <w:r w:rsidRPr="006965AB">
              <w:rPr>
                <w:rFonts w:ascii="Arial Narrow" w:eastAsia="Times New Roman" w:hAnsi="Arial Narrow" w:cs="Calibri"/>
                <w:b/>
                <w:bCs/>
                <w:color w:val="000000"/>
                <w:sz w:val="22"/>
                <w:szCs w:val="22"/>
              </w:rPr>
              <w:t>NICSP Nº 28,</w:t>
            </w:r>
            <w:r w:rsidRPr="006965AB">
              <w:rPr>
                <w:rFonts w:ascii="Arial Narrow" w:eastAsia="Times New Roman" w:hAnsi="Arial Narrow" w:cs="Calibri"/>
                <w:b/>
                <w:bCs/>
                <w:color w:val="000000"/>
                <w:sz w:val="22"/>
                <w:szCs w:val="22"/>
              </w:rPr>
              <w:br/>
              <w:t>Párrafos 30.</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53124B65" w14:textId="77777777" w:rsidR="006965AB" w:rsidRPr="006965AB" w:rsidRDefault="006965AB" w:rsidP="006965AB">
            <w:pPr>
              <w:jc w:val="center"/>
              <w:rPr>
                <w:rFonts w:ascii="Arial Narrow" w:eastAsia="Times New Roman" w:hAnsi="Arial Narrow" w:cs="Calibri"/>
                <w:b/>
                <w:bCs/>
                <w:color w:val="000000"/>
                <w:sz w:val="24"/>
                <w:szCs w:val="24"/>
              </w:rPr>
            </w:pPr>
            <w:r w:rsidRPr="006965AB">
              <w:rPr>
                <w:rFonts w:ascii="Arial Narrow" w:eastAsia="Times New Roman" w:hAnsi="Arial Narrow" w:cs="Calibri"/>
                <w:b/>
                <w:bCs/>
                <w:color w:val="000000"/>
                <w:sz w:val="24"/>
                <w:szCs w:val="24"/>
              </w:rPr>
              <w:t xml:space="preserve"> </w:t>
            </w:r>
          </w:p>
        </w:tc>
      </w:tr>
    </w:tbl>
    <w:p w14:paraId="037C5FA7" w14:textId="77777777" w:rsidR="009A2270" w:rsidRDefault="009A2270" w:rsidP="00C522E2">
      <w:pPr>
        <w:spacing w:line="238" w:lineRule="auto"/>
        <w:ind w:left="1134" w:right="260" w:hanging="1134"/>
        <w:jc w:val="both"/>
        <w:rPr>
          <w:rFonts w:ascii="Arial" w:eastAsia="Arial" w:hAnsi="Arial"/>
          <w:b/>
          <w:sz w:val="22"/>
          <w:szCs w:val="22"/>
          <w:lang w:val="es-CR"/>
        </w:rPr>
      </w:pPr>
    </w:p>
    <w:p w14:paraId="2973D0AD" w14:textId="5B19454D" w:rsidR="00723E6B" w:rsidRDefault="00723E6B"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5B0C1B27" w14:textId="77777777" w:rsidR="00723E6B" w:rsidRDefault="00723E6B" w:rsidP="00C522E2">
      <w:pPr>
        <w:spacing w:line="238" w:lineRule="auto"/>
        <w:ind w:left="1134" w:right="260" w:hanging="1134"/>
        <w:jc w:val="both"/>
        <w:rPr>
          <w:rFonts w:ascii="Arial" w:eastAsia="Arial" w:hAnsi="Arial"/>
          <w:b/>
          <w:sz w:val="22"/>
          <w:szCs w:val="22"/>
          <w:lang w:val="es-CR"/>
        </w:rPr>
      </w:pPr>
    </w:p>
    <w:p w14:paraId="0BB331C9" w14:textId="34FE795D" w:rsidR="00915596" w:rsidRDefault="00915596" w:rsidP="00915596">
      <w:pPr>
        <w:pStyle w:val="Default"/>
        <w:ind w:left="1134" w:hanging="1134"/>
        <w:jc w:val="both"/>
        <w:rPr>
          <w:sz w:val="22"/>
          <w:szCs w:val="22"/>
          <w:lang w:val="es-CR"/>
        </w:rPr>
      </w:pPr>
      <w:r>
        <w:rPr>
          <w:sz w:val="22"/>
          <w:szCs w:val="22"/>
          <w:lang w:val="es-CR"/>
        </w:rPr>
        <w:t>2.8.0.01</w:t>
      </w:r>
      <w:r>
        <w:rPr>
          <w:sz w:val="22"/>
          <w:szCs w:val="22"/>
          <w:lang w:val="es-CR"/>
        </w:rPr>
        <w:tab/>
        <w:t xml:space="preserve">La </w:t>
      </w:r>
      <w:r w:rsidR="000F29DC">
        <w:rPr>
          <w:sz w:val="22"/>
          <w:szCs w:val="22"/>
          <w:lang w:val="es-CR"/>
        </w:rPr>
        <w:t>MBA</w:t>
      </w:r>
      <w:r>
        <w:rPr>
          <w:sz w:val="22"/>
          <w:szCs w:val="22"/>
          <w:lang w:val="es-CR"/>
        </w:rPr>
        <w:t xml:space="preserve"> considerará que u</w:t>
      </w:r>
      <w:r w:rsidRPr="00915596">
        <w:rPr>
          <w:sz w:val="22"/>
          <w:szCs w:val="22"/>
          <w:lang w:val="es-CR"/>
        </w:rPr>
        <w:t xml:space="preserve">n instrumento financiero </w:t>
      </w:r>
      <w:r>
        <w:rPr>
          <w:sz w:val="22"/>
          <w:szCs w:val="22"/>
          <w:lang w:val="es-CR"/>
        </w:rPr>
        <w:t>tiene cláusulas de liquidación contingente que</w:t>
      </w:r>
      <w:r w:rsidRPr="00915596">
        <w:rPr>
          <w:sz w:val="22"/>
          <w:szCs w:val="22"/>
          <w:lang w:val="es-CR"/>
        </w:rPr>
        <w:t xml:space="preserve"> oblig</w:t>
      </w:r>
      <w:r>
        <w:rPr>
          <w:sz w:val="22"/>
          <w:szCs w:val="22"/>
          <w:lang w:val="es-CR"/>
        </w:rPr>
        <w:t>uen</w:t>
      </w:r>
      <w:r w:rsidRPr="00915596">
        <w:rPr>
          <w:sz w:val="22"/>
          <w:szCs w:val="22"/>
          <w:lang w:val="es-CR"/>
        </w:rPr>
        <w:t xml:space="preserve"> a la </w:t>
      </w:r>
      <w:r>
        <w:rPr>
          <w:sz w:val="22"/>
          <w:szCs w:val="22"/>
          <w:lang w:val="es-CR"/>
        </w:rPr>
        <w:t>Municipalidad</w:t>
      </w:r>
      <w:r w:rsidRPr="00915596">
        <w:rPr>
          <w:sz w:val="22"/>
          <w:szCs w:val="22"/>
          <w:lang w:val="es-CR"/>
        </w:rPr>
        <w:t xml:space="preserve"> a entregar efectivo u otro activo financiero, o bien a liquidarlo como si fuera un pasivo financiero, en el caso de que ocurra o no ocurra algún hecho futuro incierto (o en función del resultado de circunstancias inciertas)</w:t>
      </w:r>
      <w:r>
        <w:rPr>
          <w:sz w:val="22"/>
          <w:szCs w:val="22"/>
          <w:lang w:val="es-CR"/>
        </w:rPr>
        <w:t>,</w:t>
      </w:r>
      <w:r w:rsidRPr="00915596">
        <w:rPr>
          <w:sz w:val="22"/>
          <w:szCs w:val="22"/>
          <w:lang w:val="es-CR"/>
        </w:rPr>
        <w:t xml:space="preserve"> que esté fuera del control tanto del emisor como del tenedor del instrumento (</w:t>
      </w:r>
      <w:r w:rsidR="0021354A" w:rsidRPr="00915596">
        <w:rPr>
          <w:sz w:val="22"/>
          <w:szCs w:val="22"/>
          <w:lang w:val="es-CR"/>
        </w:rPr>
        <w:t>ca</w:t>
      </w:r>
      <w:r w:rsidR="0021354A">
        <w:rPr>
          <w:sz w:val="22"/>
          <w:szCs w:val="22"/>
          <w:lang w:val="es-CR"/>
        </w:rPr>
        <w:t>mbi</w:t>
      </w:r>
      <w:r w:rsidR="0021354A" w:rsidRPr="00915596">
        <w:rPr>
          <w:sz w:val="22"/>
          <w:szCs w:val="22"/>
          <w:lang w:val="es-CR"/>
        </w:rPr>
        <w:t>os</w:t>
      </w:r>
      <w:r w:rsidRPr="00915596">
        <w:rPr>
          <w:sz w:val="22"/>
          <w:szCs w:val="22"/>
          <w:lang w:val="es-CR"/>
        </w:rPr>
        <w:t xml:space="preserve"> en </w:t>
      </w:r>
      <w:r>
        <w:rPr>
          <w:sz w:val="22"/>
          <w:szCs w:val="22"/>
          <w:lang w:val="es-CR"/>
        </w:rPr>
        <w:t>el</w:t>
      </w:r>
      <w:r w:rsidRPr="00915596">
        <w:rPr>
          <w:sz w:val="22"/>
          <w:szCs w:val="22"/>
          <w:lang w:val="es-CR"/>
        </w:rPr>
        <w:t xml:space="preserve"> índice de precios al consumidor, en una tasa de interés o en determinados requerimientos fiscales)</w:t>
      </w:r>
      <w:r>
        <w:rPr>
          <w:sz w:val="22"/>
          <w:szCs w:val="22"/>
          <w:lang w:val="es-CR"/>
        </w:rPr>
        <w:t>,</w:t>
      </w:r>
      <w:r w:rsidRPr="00915596">
        <w:rPr>
          <w:sz w:val="22"/>
          <w:szCs w:val="22"/>
          <w:lang w:val="es-CR"/>
        </w:rPr>
        <w:t xml:space="preserve"> o bien en los niveles futuros que alcancen los ingresos del emisor, su resultado (ahorro o desahorro)</w:t>
      </w:r>
      <w:r>
        <w:rPr>
          <w:sz w:val="22"/>
          <w:szCs w:val="22"/>
          <w:lang w:val="es-CR"/>
        </w:rPr>
        <w:t>,</w:t>
      </w:r>
      <w:r w:rsidRPr="00915596">
        <w:rPr>
          <w:sz w:val="22"/>
          <w:szCs w:val="22"/>
          <w:lang w:val="es-CR"/>
        </w:rPr>
        <w:t xml:space="preserve"> o su relación de deuda con respecto al patrimonio.</w:t>
      </w:r>
    </w:p>
    <w:p w14:paraId="69652637" w14:textId="77777777" w:rsidR="00915596" w:rsidRPr="00915596" w:rsidRDefault="00915596" w:rsidP="00915596">
      <w:pPr>
        <w:pStyle w:val="Default"/>
        <w:jc w:val="both"/>
        <w:rPr>
          <w:sz w:val="22"/>
          <w:szCs w:val="22"/>
          <w:lang w:val="es-CR"/>
        </w:rPr>
      </w:pPr>
    </w:p>
    <w:p w14:paraId="74899ED1" w14:textId="2FBC922A" w:rsidR="00915596" w:rsidRDefault="00915596" w:rsidP="00915596">
      <w:pPr>
        <w:pStyle w:val="Default"/>
        <w:ind w:left="1134" w:hanging="1134"/>
        <w:jc w:val="both"/>
        <w:rPr>
          <w:sz w:val="22"/>
          <w:szCs w:val="22"/>
          <w:lang w:val="es-CR"/>
        </w:rPr>
      </w:pPr>
      <w:r>
        <w:rPr>
          <w:sz w:val="22"/>
          <w:szCs w:val="22"/>
          <w:lang w:val="es-CR"/>
        </w:rPr>
        <w:t>2.8.0.02</w:t>
      </w:r>
      <w:r>
        <w:rPr>
          <w:sz w:val="22"/>
          <w:szCs w:val="22"/>
          <w:lang w:val="es-CR"/>
        </w:rPr>
        <w:tab/>
      </w:r>
      <w:r w:rsidRPr="00915596">
        <w:rPr>
          <w:sz w:val="22"/>
          <w:szCs w:val="22"/>
          <w:lang w:val="es-CR"/>
        </w:rPr>
        <w:t>El emisor de</w:t>
      </w:r>
      <w:r>
        <w:rPr>
          <w:sz w:val="22"/>
          <w:szCs w:val="22"/>
          <w:lang w:val="es-CR"/>
        </w:rPr>
        <w:t>l</w:t>
      </w:r>
      <w:r w:rsidRPr="00915596">
        <w:rPr>
          <w:sz w:val="22"/>
          <w:szCs w:val="22"/>
          <w:lang w:val="es-CR"/>
        </w:rPr>
        <w:t xml:space="preserve"> instrumento financiero no tiene el derecho incondicional de evitar la entrega de efectivo u otro activo financiero (ni la liquidación del instrumento tal como si fuera un pasivo financiero), se considerará que existe un pasivo financiero para el emisor, a menos que:</w:t>
      </w:r>
    </w:p>
    <w:p w14:paraId="6A139B7A" w14:textId="77777777" w:rsidR="00915596" w:rsidRPr="00915596" w:rsidRDefault="00915596" w:rsidP="00915596">
      <w:pPr>
        <w:pStyle w:val="Default"/>
        <w:ind w:left="1134" w:hanging="1134"/>
        <w:jc w:val="both"/>
        <w:rPr>
          <w:sz w:val="22"/>
          <w:szCs w:val="22"/>
          <w:lang w:val="es-CR"/>
        </w:rPr>
      </w:pPr>
    </w:p>
    <w:p w14:paraId="3C8B4536" w14:textId="45EAEE3A" w:rsidR="00915596" w:rsidRDefault="00915596">
      <w:pPr>
        <w:pStyle w:val="Default"/>
        <w:numPr>
          <w:ilvl w:val="0"/>
          <w:numId w:val="135"/>
        </w:numPr>
        <w:spacing w:after="120"/>
        <w:ind w:left="1418" w:hanging="284"/>
        <w:jc w:val="both"/>
        <w:rPr>
          <w:sz w:val="22"/>
          <w:szCs w:val="22"/>
          <w:lang w:val="es-CR"/>
        </w:rPr>
      </w:pPr>
      <w:r>
        <w:rPr>
          <w:sz w:val="22"/>
          <w:szCs w:val="22"/>
          <w:lang w:val="es-CR"/>
        </w:rPr>
        <w:t>L</w:t>
      </w:r>
      <w:r w:rsidRPr="00915596">
        <w:rPr>
          <w:sz w:val="22"/>
          <w:szCs w:val="22"/>
          <w:lang w:val="es-CR"/>
        </w:rPr>
        <w:t>a parte de la cláusula de liquidación contingente, que pudiera requerir la liquidación en efectivo o en otro activo financiero (o, en otro caso, de una forma similar a como si fuera un pasivo financiero) no fuera auténtica;</w:t>
      </w:r>
    </w:p>
    <w:p w14:paraId="1C1E6FEB" w14:textId="77777777" w:rsidR="00915596" w:rsidRDefault="00915596">
      <w:pPr>
        <w:pStyle w:val="Default"/>
        <w:numPr>
          <w:ilvl w:val="0"/>
          <w:numId w:val="135"/>
        </w:numPr>
        <w:spacing w:after="120"/>
        <w:ind w:left="1418" w:hanging="284"/>
        <w:jc w:val="both"/>
        <w:rPr>
          <w:sz w:val="22"/>
          <w:szCs w:val="22"/>
          <w:lang w:val="es-CR"/>
        </w:rPr>
      </w:pPr>
      <w:r>
        <w:rPr>
          <w:sz w:val="22"/>
          <w:szCs w:val="22"/>
          <w:lang w:val="es-CR"/>
        </w:rPr>
        <w:t>E</w:t>
      </w:r>
      <w:r w:rsidRPr="00915596">
        <w:rPr>
          <w:sz w:val="22"/>
          <w:szCs w:val="22"/>
          <w:lang w:val="es-CR"/>
        </w:rPr>
        <w:t xml:space="preserve">l emisor pudiera ser requerido para que liquide la obligación en efectivo o con otro activo financiero (o, en otro caso, de una forma similar a como si fuera un pasivo financiero), sólo en caso de liquidación del emisor; o </w:t>
      </w:r>
    </w:p>
    <w:p w14:paraId="6D799F20" w14:textId="0882C724" w:rsidR="00915596" w:rsidRPr="00915596" w:rsidRDefault="00915596">
      <w:pPr>
        <w:pStyle w:val="Default"/>
        <w:numPr>
          <w:ilvl w:val="0"/>
          <w:numId w:val="135"/>
        </w:numPr>
        <w:spacing w:after="120"/>
        <w:ind w:left="1418" w:hanging="284"/>
        <w:jc w:val="both"/>
        <w:rPr>
          <w:sz w:val="22"/>
          <w:szCs w:val="22"/>
          <w:lang w:val="es-CR"/>
        </w:rPr>
      </w:pPr>
      <w:r w:rsidRPr="00915596">
        <w:rPr>
          <w:sz w:val="22"/>
          <w:szCs w:val="22"/>
          <w:lang w:val="es-CR"/>
        </w:rPr>
        <w:t xml:space="preserve">El instrumento reúna todas las características y cumpla con las condiciones para ser considerado un instrumento de patrimonio. </w:t>
      </w:r>
    </w:p>
    <w:p w14:paraId="1923EB2B" w14:textId="77777777" w:rsidR="009A2270" w:rsidRDefault="009A2270" w:rsidP="00C55377">
      <w:pPr>
        <w:spacing w:line="238" w:lineRule="auto"/>
        <w:ind w:right="260"/>
        <w:jc w:val="both"/>
        <w:rPr>
          <w:rFonts w:ascii="Arial" w:eastAsia="Arial" w:hAnsi="Arial"/>
          <w:b/>
          <w:sz w:val="22"/>
          <w:szCs w:val="22"/>
          <w:lang w:val="es-CR"/>
        </w:rPr>
      </w:pPr>
    </w:p>
    <w:p w14:paraId="4D0F4938" w14:textId="77777777" w:rsidR="00723E6B" w:rsidRDefault="00723E6B" w:rsidP="00C55377">
      <w:pPr>
        <w:spacing w:line="238" w:lineRule="auto"/>
        <w:ind w:right="260"/>
        <w:jc w:val="both"/>
        <w:rPr>
          <w:rFonts w:ascii="Arial" w:eastAsia="Arial" w:hAnsi="Arial"/>
          <w:b/>
          <w:sz w:val="22"/>
          <w:szCs w:val="22"/>
          <w:lang w:val="es-CR"/>
        </w:rPr>
      </w:pPr>
    </w:p>
    <w:tbl>
      <w:tblPr>
        <w:tblW w:w="9346" w:type="dxa"/>
        <w:tblLook w:val="04A0" w:firstRow="1" w:lastRow="0" w:firstColumn="1" w:lastColumn="0" w:noHBand="0" w:noVBand="1"/>
      </w:tblPr>
      <w:tblGrid>
        <w:gridCol w:w="416"/>
        <w:gridCol w:w="490"/>
        <w:gridCol w:w="587"/>
        <w:gridCol w:w="3671"/>
        <w:gridCol w:w="2240"/>
        <w:gridCol w:w="1942"/>
      </w:tblGrid>
      <w:tr w:rsidR="006C5DC8" w:rsidRPr="006C5DC8" w14:paraId="6A11B2D4" w14:textId="77777777" w:rsidTr="006C5DC8">
        <w:trPr>
          <w:trHeight w:val="320"/>
        </w:trPr>
        <w:tc>
          <w:tcPr>
            <w:tcW w:w="149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84694D0" w14:textId="77777777" w:rsidR="006C5DC8" w:rsidRPr="006C5DC8" w:rsidRDefault="006C5DC8" w:rsidP="006C5DC8">
            <w:pPr>
              <w:jc w:val="center"/>
              <w:rPr>
                <w:rFonts w:ascii="Arial Narrow" w:eastAsia="Times New Roman" w:hAnsi="Arial Narrow" w:cs="Calibri"/>
                <w:b/>
                <w:bCs/>
                <w:color w:val="FFFFFF"/>
                <w:sz w:val="24"/>
                <w:szCs w:val="24"/>
              </w:rPr>
            </w:pPr>
            <w:r w:rsidRPr="006C5DC8">
              <w:rPr>
                <w:rFonts w:ascii="Arial Narrow" w:eastAsia="Times New Roman" w:hAnsi="Arial Narrow" w:cs="Calibri"/>
                <w:b/>
                <w:bCs/>
                <w:color w:val="FFFFFF"/>
                <w:sz w:val="24"/>
                <w:szCs w:val="24"/>
              </w:rPr>
              <w:t>Norma / Política</w:t>
            </w:r>
          </w:p>
        </w:tc>
        <w:tc>
          <w:tcPr>
            <w:tcW w:w="3671" w:type="dxa"/>
            <w:vMerge w:val="restart"/>
            <w:tcBorders>
              <w:top w:val="single" w:sz="8" w:space="0" w:color="auto"/>
              <w:left w:val="single" w:sz="8" w:space="0" w:color="auto"/>
              <w:bottom w:val="nil"/>
              <w:right w:val="single" w:sz="8" w:space="0" w:color="auto"/>
            </w:tcBorders>
            <w:shd w:val="clear" w:color="000000" w:fill="203764"/>
            <w:vAlign w:val="center"/>
            <w:hideMark/>
          </w:tcPr>
          <w:p w14:paraId="16C7B579" w14:textId="77777777" w:rsidR="006C5DC8" w:rsidRPr="006C5DC8" w:rsidRDefault="006C5DC8" w:rsidP="006C5DC8">
            <w:pPr>
              <w:jc w:val="center"/>
              <w:rPr>
                <w:rFonts w:ascii="Arial Narrow" w:eastAsia="Times New Roman" w:hAnsi="Arial Narrow" w:cs="Calibri"/>
                <w:b/>
                <w:bCs/>
                <w:color w:val="FFFFFF"/>
                <w:sz w:val="24"/>
                <w:szCs w:val="24"/>
              </w:rPr>
            </w:pPr>
            <w:r w:rsidRPr="006C5DC8">
              <w:rPr>
                <w:rFonts w:ascii="Arial Narrow" w:eastAsia="Times New Roman" w:hAnsi="Arial Narrow" w:cs="Calibri"/>
                <w:b/>
                <w:bCs/>
                <w:color w:val="FFFFFF"/>
                <w:sz w:val="24"/>
                <w:szCs w:val="24"/>
              </w:rPr>
              <w:t>Concepto</w:t>
            </w:r>
          </w:p>
        </w:tc>
        <w:tc>
          <w:tcPr>
            <w:tcW w:w="4182" w:type="dxa"/>
            <w:gridSpan w:val="2"/>
            <w:tcBorders>
              <w:top w:val="single" w:sz="8" w:space="0" w:color="auto"/>
              <w:left w:val="nil"/>
              <w:bottom w:val="single" w:sz="8" w:space="0" w:color="auto"/>
              <w:right w:val="single" w:sz="8" w:space="0" w:color="000000"/>
            </w:tcBorders>
            <w:shd w:val="clear" w:color="000000" w:fill="203764"/>
            <w:vAlign w:val="center"/>
            <w:hideMark/>
          </w:tcPr>
          <w:p w14:paraId="0689A87F" w14:textId="77777777" w:rsidR="006C5DC8" w:rsidRPr="006C5DC8" w:rsidRDefault="006C5DC8" w:rsidP="006C5DC8">
            <w:pPr>
              <w:jc w:val="center"/>
              <w:rPr>
                <w:rFonts w:ascii="Arial Narrow" w:eastAsia="Times New Roman" w:hAnsi="Arial Narrow" w:cs="Calibri"/>
                <w:b/>
                <w:bCs/>
                <w:color w:val="FFFFFF"/>
                <w:sz w:val="24"/>
                <w:szCs w:val="24"/>
              </w:rPr>
            </w:pPr>
            <w:r w:rsidRPr="006C5DC8">
              <w:rPr>
                <w:rFonts w:ascii="Arial Narrow" w:eastAsia="Times New Roman" w:hAnsi="Arial Narrow" w:cs="Calibri"/>
                <w:b/>
                <w:bCs/>
                <w:color w:val="FFFFFF"/>
                <w:sz w:val="24"/>
                <w:szCs w:val="24"/>
              </w:rPr>
              <w:t>Referencia</w:t>
            </w:r>
          </w:p>
        </w:tc>
      </w:tr>
      <w:tr w:rsidR="006C5DC8" w:rsidRPr="006E5442" w14:paraId="13B0CE63" w14:textId="77777777" w:rsidTr="006C5DC8">
        <w:trPr>
          <w:trHeight w:val="1320"/>
        </w:trPr>
        <w:tc>
          <w:tcPr>
            <w:tcW w:w="1493" w:type="dxa"/>
            <w:gridSpan w:val="3"/>
            <w:vMerge/>
            <w:tcBorders>
              <w:top w:val="single" w:sz="8" w:space="0" w:color="auto"/>
              <w:left w:val="single" w:sz="8" w:space="0" w:color="auto"/>
              <w:bottom w:val="nil"/>
              <w:right w:val="single" w:sz="8" w:space="0" w:color="000000"/>
            </w:tcBorders>
            <w:vAlign w:val="center"/>
            <w:hideMark/>
          </w:tcPr>
          <w:p w14:paraId="44064CAD" w14:textId="77777777" w:rsidR="006C5DC8" w:rsidRPr="006C5DC8" w:rsidRDefault="006C5DC8" w:rsidP="006C5DC8">
            <w:pPr>
              <w:rPr>
                <w:rFonts w:ascii="Arial Narrow" w:eastAsia="Times New Roman" w:hAnsi="Arial Narrow" w:cs="Calibri"/>
                <w:b/>
                <w:bCs/>
                <w:color w:val="FFFFFF"/>
                <w:sz w:val="24"/>
                <w:szCs w:val="24"/>
              </w:rPr>
            </w:pPr>
          </w:p>
        </w:tc>
        <w:tc>
          <w:tcPr>
            <w:tcW w:w="3671" w:type="dxa"/>
            <w:vMerge/>
            <w:tcBorders>
              <w:top w:val="single" w:sz="8" w:space="0" w:color="auto"/>
              <w:left w:val="single" w:sz="8" w:space="0" w:color="auto"/>
              <w:bottom w:val="nil"/>
              <w:right w:val="single" w:sz="8" w:space="0" w:color="auto"/>
            </w:tcBorders>
            <w:vAlign w:val="center"/>
            <w:hideMark/>
          </w:tcPr>
          <w:p w14:paraId="40B864A3" w14:textId="77777777" w:rsidR="006C5DC8" w:rsidRPr="006C5DC8" w:rsidRDefault="006C5DC8" w:rsidP="006C5DC8">
            <w:pPr>
              <w:rPr>
                <w:rFonts w:ascii="Arial Narrow" w:eastAsia="Times New Roman" w:hAnsi="Arial Narrow" w:cs="Calibri"/>
                <w:b/>
                <w:bCs/>
                <w:color w:val="FFFFFF"/>
                <w:sz w:val="24"/>
                <w:szCs w:val="24"/>
              </w:rPr>
            </w:pPr>
          </w:p>
        </w:tc>
        <w:tc>
          <w:tcPr>
            <w:tcW w:w="2240" w:type="dxa"/>
            <w:tcBorders>
              <w:top w:val="nil"/>
              <w:left w:val="nil"/>
              <w:bottom w:val="nil"/>
              <w:right w:val="single" w:sz="8" w:space="0" w:color="auto"/>
            </w:tcBorders>
            <w:shd w:val="clear" w:color="000000" w:fill="203764"/>
            <w:vAlign w:val="center"/>
            <w:hideMark/>
          </w:tcPr>
          <w:p w14:paraId="7CF9883E" w14:textId="77777777" w:rsidR="006C5DC8" w:rsidRPr="006C5DC8" w:rsidRDefault="006C5DC8" w:rsidP="006C5DC8">
            <w:pPr>
              <w:jc w:val="center"/>
              <w:rPr>
                <w:rFonts w:ascii="Arial Narrow" w:eastAsia="Times New Roman" w:hAnsi="Arial Narrow" w:cs="Calibri"/>
                <w:b/>
                <w:bCs/>
                <w:color w:val="FFFFFF"/>
                <w:sz w:val="24"/>
                <w:szCs w:val="24"/>
              </w:rPr>
            </w:pPr>
            <w:r w:rsidRPr="006C5DC8">
              <w:rPr>
                <w:rFonts w:ascii="Arial Narrow" w:eastAsia="Times New Roman" w:hAnsi="Arial Narrow" w:cs="Calibri"/>
                <w:b/>
                <w:bCs/>
                <w:color w:val="FFFFFF"/>
                <w:sz w:val="24"/>
                <w:szCs w:val="24"/>
              </w:rPr>
              <w:t>Norma</w:t>
            </w:r>
          </w:p>
        </w:tc>
        <w:tc>
          <w:tcPr>
            <w:tcW w:w="1942" w:type="dxa"/>
            <w:tcBorders>
              <w:top w:val="nil"/>
              <w:left w:val="nil"/>
              <w:bottom w:val="nil"/>
              <w:right w:val="single" w:sz="8" w:space="0" w:color="auto"/>
            </w:tcBorders>
            <w:shd w:val="clear" w:color="000000" w:fill="203764"/>
            <w:vAlign w:val="center"/>
            <w:hideMark/>
          </w:tcPr>
          <w:p w14:paraId="0BECBA39" w14:textId="77777777" w:rsidR="006C5DC8" w:rsidRPr="006C5DC8" w:rsidRDefault="006C5DC8" w:rsidP="006C5DC8">
            <w:pPr>
              <w:jc w:val="center"/>
              <w:rPr>
                <w:rFonts w:ascii="Arial Narrow" w:eastAsia="Times New Roman" w:hAnsi="Arial Narrow" w:cs="Calibri"/>
                <w:b/>
                <w:bCs/>
                <w:color w:val="FFFFFF"/>
                <w:sz w:val="24"/>
                <w:szCs w:val="24"/>
                <w:lang w:val="es-CR"/>
              </w:rPr>
            </w:pPr>
            <w:r w:rsidRPr="006C5DC8">
              <w:rPr>
                <w:rFonts w:ascii="Arial Narrow" w:eastAsia="Times New Roman" w:hAnsi="Arial Narrow" w:cs="Calibri"/>
                <w:b/>
                <w:bCs/>
                <w:color w:val="FFFFFF"/>
                <w:sz w:val="24"/>
                <w:szCs w:val="24"/>
                <w:lang w:val="es-CR"/>
              </w:rPr>
              <w:t>Normativa técnica y disposiciones adicionales</w:t>
            </w:r>
          </w:p>
        </w:tc>
      </w:tr>
      <w:tr w:rsidR="006C5DC8" w:rsidRPr="006C5DC8" w14:paraId="15537B22" w14:textId="77777777" w:rsidTr="006C5DC8">
        <w:trPr>
          <w:trHeight w:val="561"/>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A6FDB"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2</w:t>
            </w:r>
          </w:p>
        </w:tc>
        <w:tc>
          <w:tcPr>
            <w:tcW w:w="490" w:type="dxa"/>
            <w:tcBorders>
              <w:top w:val="single" w:sz="8" w:space="0" w:color="auto"/>
              <w:left w:val="nil"/>
              <w:bottom w:val="single" w:sz="8" w:space="0" w:color="auto"/>
              <w:right w:val="single" w:sz="8" w:space="0" w:color="auto"/>
            </w:tcBorders>
            <w:shd w:val="clear" w:color="auto" w:fill="auto"/>
            <w:noWrap/>
            <w:vAlign w:val="center"/>
            <w:hideMark/>
          </w:tcPr>
          <w:p w14:paraId="3CD1C767"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11.</w:t>
            </w:r>
          </w:p>
        </w:tc>
        <w:tc>
          <w:tcPr>
            <w:tcW w:w="587" w:type="dxa"/>
            <w:tcBorders>
              <w:top w:val="single" w:sz="8" w:space="0" w:color="auto"/>
              <w:left w:val="nil"/>
              <w:bottom w:val="single" w:sz="8" w:space="0" w:color="auto"/>
              <w:right w:val="single" w:sz="8" w:space="0" w:color="auto"/>
            </w:tcBorders>
            <w:shd w:val="clear" w:color="auto" w:fill="auto"/>
            <w:vAlign w:val="center"/>
            <w:hideMark/>
          </w:tcPr>
          <w:p w14:paraId="56DB7FA7"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0</w:t>
            </w:r>
          </w:p>
        </w:tc>
        <w:tc>
          <w:tcPr>
            <w:tcW w:w="3671" w:type="dxa"/>
            <w:tcBorders>
              <w:top w:val="single" w:sz="8" w:space="0" w:color="auto"/>
              <w:left w:val="nil"/>
              <w:bottom w:val="single" w:sz="8" w:space="0" w:color="auto"/>
              <w:right w:val="single" w:sz="8" w:space="0" w:color="auto"/>
            </w:tcBorders>
            <w:shd w:val="clear" w:color="auto" w:fill="auto"/>
            <w:vAlign w:val="center"/>
            <w:hideMark/>
          </w:tcPr>
          <w:p w14:paraId="3DBD08AD" w14:textId="77777777" w:rsidR="006C5DC8" w:rsidRPr="006C5DC8" w:rsidRDefault="006C5DC8" w:rsidP="006C5DC8">
            <w:pPr>
              <w:jc w:val="both"/>
              <w:rPr>
                <w:rFonts w:ascii="Arial Narrow" w:eastAsia="Times New Roman" w:hAnsi="Arial Narrow" w:cs="Calibri"/>
                <w:b/>
                <w:bCs/>
                <w:color w:val="000000"/>
                <w:sz w:val="22"/>
                <w:szCs w:val="22"/>
                <w:lang w:val="es-CR"/>
              </w:rPr>
            </w:pPr>
            <w:r w:rsidRPr="006C5DC8">
              <w:rPr>
                <w:rFonts w:ascii="Arial Narrow" w:eastAsia="Times New Roman" w:hAnsi="Arial Narrow" w:cs="Calibri"/>
                <w:b/>
                <w:bCs/>
                <w:color w:val="000000"/>
                <w:sz w:val="22"/>
                <w:szCs w:val="22"/>
                <w:lang w:val="es-CR"/>
              </w:rPr>
              <w:t>Compensación de pasivos financieros con activos financieros</w:t>
            </w:r>
          </w:p>
        </w:tc>
        <w:tc>
          <w:tcPr>
            <w:tcW w:w="2240" w:type="dxa"/>
            <w:tcBorders>
              <w:top w:val="nil"/>
              <w:left w:val="nil"/>
              <w:bottom w:val="nil"/>
              <w:right w:val="nil"/>
            </w:tcBorders>
            <w:shd w:val="clear" w:color="auto" w:fill="auto"/>
            <w:vAlign w:val="center"/>
            <w:hideMark/>
          </w:tcPr>
          <w:p w14:paraId="7200DF81" w14:textId="77777777" w:rsidR="00C55377" w:rsidRDefault="006C5DC8" w:rsidP="00C55377">
            <w:pPr>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 xml:space="preserve">NICSP N° 28. </w:t>
            </w:r>
          </w:p>
          <w:p w14:paraId="1802BAFA" w14:textId="3A47DD48" w:rsidR="006C5DC8" w:rsidRPr="006C5DC8" w:rsidRDefault="006C5DC8" w:rsidP="00C55377">
            <w:pPr>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Párrafos 47 y 49.</w:t>
            </w:r>
          </w:p>
        </w:tc>
        <w:tc>
          <w:tcPr>
            <w:tcW w:w="19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CBD267" w14:textId="6BE2339F" w:rsidR="006C5DC8" w:rsidRPr="006C5DC8" w:rsidRDefault="006C5DC8" w:rsidP="006C5DC8">
            <w:pPr>
              <w:rPr>
                <w:rFonts w:ascii="Arial Narrow" w:eastAsia="Times New Roman" w:hAnsi="Arial Narrow" w:cs="Calibri"/>
                <w:b/>
                <w:bCs/>
                <w:color w:val="000000"/>
                <w:sz w:val="22"/>
                <w:szCs w:val="22"/>
              </w:rPr>
            </w:pPr>
          </w:p>
        </w:tc>
      </w:tr>
      <w:tr w:rsidR="006C5DC8" w:rsidRPr="006C5DC8" w14:paraId="2D851E95" w14:textId="77777777" w:rsidTr="006C5DC8">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EA7864B"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2</w:t>
            </w:r>
          </w:p>
        </w:tc>
        <w:tc>
          <w:tcPr>
            <w:tcW w:w="490" w:type="dxa"/>
            <w:tcBorders>
              <w:top w:val="nil"/>
              <w:left w:val="nil"/>
              <w:bottom w:val="single" w:sz="8" w:space="0" w:color="auto"/>
              <w:right w:val="single" w:sz="8" w:space="0" w:color="auto"/>
            </w:tcBorders>
            <w:shd w:val="clear" w:color="auto" w:fill="auto"/>
            <w:noWrap/>
            <w:vAlign w:val="center"/>
            <w:hideMark/>
          </w:tcPr>
          <w:p w14:paraId="3BD7B4E7"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11.</w:t>
            </w:r>
          </w:p>
        </w:tc>
        <w:tc>
          <w:tcPr>
            <w:tcW w:w="587" w:type="dxa"/>
            <w:tcBorders>
              <w:top w:val="nil"/>
              <w:left w:val="nil"/>
              <w:bottom w:val="single" w:sz="8" w:space="0" w:color="auto"/>
              <w:right w:val="single" w:sz="8" w:space="0" w:color="auto"/>
            </w:tcBorders>
            <w:shd w:val="clear" w:color="auto" w:fill="auto"/>
            <w:vAlign w:val="center"/>
            <w:hideMark/>
          </w:tcPr>
          <w:p w14:paraId="5D43CA99"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1</w:t>
            </w:r>
          </w:p>
        </w:tc>
        <w:tc>
          <w:tcPr>
            <w:tcW w:w="3671" w:type="dxa"/>
            <w:tcBorders>
              <w:top w:val="nil"/>
              <w:left w:val="nil"/>
              <w:bottom w:val="single" w:sz="8" w:space="0" w:color="auto"/>
              <w:right w:val="single" w:sz="8" w:space="0" w:color="auto"/>
            </w:tcBorders>
            <w:shd w:val="clear" w:color="auto" w:fill="auto"/>
            <w:vAlign w:val="center"/>
            <w:hideMark/>
          </w:tcPr>
          <w:p w14:paraId="0CC030C4" w14:textId="77777777" w:rsidR="006C5DC8" w:rsidRPr="006C5DC8" w:rsidRDefault="006C5DC8" w:rsidP="006C5DC8">
            <w:pPr>
              <w:jc w:val="both"/>
              <w:rPr>
                <w:rFonts w:ascii="Arial Narrow" w:eastAsia="Times New Roman" w:hAnsi="Arial Narrow" w:cs="Calibri"/>
                <w:b/>
                <w:bCs/>
                <w:color w:val="000000"/>
                <w:sz w:val="22"/>
                <w:szCs w:val="22"/>
                <w:lang w:val="es-CR"/>
              </w:rPr>
            </w:pPr>
            <w:r w:rsidRPr="006C5DC8">
              <w:rPr>
                <w:rFonts w:ascii="Arial Narrow" w:eastAsia="Times New Roman" w:hAnsi="Arial Narrow" w:cs="Calibri"/>
                <w:b/>
                <w:bCs/>
                <w:color w:val="000000"/>
                <w:sz w:val="22"/>
                <w:szCs w:val="22"/>
                <w:lang w:val="es-CR"/>
              </w:rPr>
              <w:t>Derecho legal de compensación e intención firme</w:t>
            </w:r>
          </w:p>
        </w:tc>
        <w:tc>
          <w:tcPr>
            <w:tcW w:w="2240" w:type="dxa"/>
            <w:tcBorders>
              <w:top w:val="single" w:sz="8" w:space="0" w:color="auto"/>
              <w:left w:val="nil"/>
              <w:bottom w:val="single" w:sz="8" w:space="0" w:color="auto"/>
              <w:right w:val="single" w:sz="8" w:space="0" w:color="auto"/>
            </w:tcBorders>
            <w:shd w:val="clear" w:color="auto" w:fill="auto"/>
            <w:vAlign w:val="center"/>
            <w:hideMark/>
          </w:tcPr>
          <w:p w14:paraId="3B030967" w14:textId="77777777" w:rsidR="006C5DC8" w:rsidRDefault="006C5DC8" w:rsidP="006C5DC8">
            <w:pPr>
              <w:jc w:val="both"/>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 xml:space="preserve">NICSP N° 28, </w:t>
            </w:r>
          </w:p>
          <w:p w14:paraId="441B993B" w14:textId="2C224D7A" w:rsidR="006C5DC8" w:rsidRPr="006C5DC8" w:rsidRDefault="006C5DC8" w:rsidP="006C5DC8">
            <w:pPr>
              <w:jc w:val="both"/>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Párrafos 50 y 51.</w:t>
            </w:r>
          </w:p>
        </w:tc>
        <w:tc>
          <w:tcPr>
            <w:tcW w:w="1942" w:type="dxa"/>
            <w:tcBorders>
              <w:top w:val="nil"/>
              <w:left w:val="nil"/>
              <w:bottom w:val="single" w:sz="8" w:space="0" w:color="auto"/>
              <w:right w:val="single" w:sz="8" w:space="0" w:color="auto"/>
            </w:tcBorders>
            <w:shd w:val="clear" w:color="auto" w:fill="auto"/>
            <w:vAlign w:val="center"/>
            <w:hideMark/>
          </w:tcPr>
          <w:p w14:paraId="71D257F4" w14:textId="77777777" w:rsidR="006C5DC8" w:rsidRPr="006C5DC8" w:rsidRDefault="006C5DC8" w:rsidP="006C5DC8">
            <w:pPr>
              <w:jc w:val="center"/>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 xml:space="preserve"> </w:t>
            </w:r>
          </w:p>
        </w:tc>
      </w:tr>
      <w:tr w:rsidR="006C5DC8" w:rsidRPr="006C5DC8" w14:paraId="42BA3EFD" w14:textId="77777777" w:rsidTr="005A4C96">
        <w:trPr>
          <w:trHeight w:val="122"/>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6F3062E"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2</w:t>
            </w:r>
          </w:p>
        </w:tc>
        <w:tc>
          <w:tcPr>
            <w:tcW w:w="490" w:type="dxa"/>
            <w:tcBorders>
              <w:top w:val="nil"/>
              <w:left w:val="nil"/>
              <w:bottom w:val="single" w:sz="8" w:space="0" w:color="auto"/>
              <w:right w:val="single" w:sz="8" w:space="0" w:color="auto"/>
            </w:tcBorders>
            <w:shd w:val="clear" w:color="auto" w:fill="auto"/>
            <w:noWrap/>
            <w:vAlign w:val="center"/>
            <w:hideMark/>
          </w:tcPr>
          <w:p w14:paraId="1440FA91"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11.</w:t>
            </w:r>
          </w:p>
        </w:tc>
        <w:tc>
          <w:tcPr>
            <w:tcW w:w="587" w:type="dxa"/>
            <w:tcBorders>
              <w:top w:val="nil"/>
              <w:left w:val="nil"/>
              <w:bottom w:val="single" w:sz="8" w:space="0" w:color="auto"/>
              <w:right w:val="single" w:sz="8" w:space="0" w:color="auto"/>
            </w:tcBorders>
            <w:shd w:val="clear" w:color="auto" w:fill="auto"/>
            <w:vAlign w:val="center"/>
            <w:hideMark/>
          </w:tcPr>
          <w:p w14:paraId="1BD936B7"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2</w:t>
            </w:r>
          </w:p>
        </w:tc>
        <w:tc>
          <w:tcPr>
            <w:tcW w:w="3671" w:type="dxa"/>
            <w:tcBorders>
              <w:top w:val="nil"/>
              <w:left w:val="nil"/>
              <w:bottom w:val="single" w:sz="8" w:space="0" w:color="auto"/>
              <w:right w:val="single" w:sz="8" w:space="0" w:color="auto"/>
            </w:tcBorders>
            <w:shd w:val="clear" w:color="auto" w:fill="auto"/>
            <w:vAlign w:val="center"/>
            <w:hideMark/>
          </w:tcPr>
          <w:p w14:paraId="7714BA22" w14:textId="77777777" w:rsidR="006C5DC8" w:rsidRPr="006C5DC8" w:rsidRDefault="006C5DC8" w:rsidP="006C5DC8">
            <w:pPr>
              <w:jc w:val="both"/>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Compensación no permitida</w:t>
            </w:r>
          </w:p>
        </w:tc>
        <w:tc>
          <w:tcPr>
            <w:tcW w:w="2240" w:type="dxa"/>
            <w:tcBorders>
              <w:top w:val="nil"/>
              <w:left w:val="nil"/>
              <w:bottom w:val="single" w:sz="8" w:space="0" w:color="auto"/>
              <w:right w:val="single" w:sz="8" w:space="0" w:color="auto"/>
            </w:tcBorders>
            <w:shd w:val="clear" w:color="auto" w:fill="auto"/>
            <w:vAlign w:val="center"/>
            <w:hideMark/>
          </w:tcPr>
          <w:p w14:paraId="2E1D522D" w14:textId="77777777" w:rsidR="006C5DC8" w:rsidRDefault="006C5DC8" w:rsidP="006C5DC8">
            <w:pPr>
              <w:jc w:val="both"/>
              <w:rPr>
                <w:rFonts w:ascii="Arial Narrow" w:eastAsia="Times New Roman" w:hAnsi="Arial Narrow" w:cs="Calibri"/>
                <w:b/>
                <w:bCs/>
                <w:color w:val="000000"/>
                <w:sz w:val="22"/>
                <w:szCs w:val="22"/>
                <w:lang w:val="es-CR"/>
              </w:rPr>
            </w:pPr>
            <w:r w:rsidRPr="006C5DC8">
              <w:rPr>
                <w:rFonts w:ascii="Arial Narrow" w:eastAsia="Times New Roman" w:hAnsi="Arial Narrow" w:cs="Calibri"/>
                <w:b/>
                <w:bCs/>
                <w:color w:val="000000"/>
                <w:sz w:val="22"/>
                <w:szCs w:val="22"/>
                <w:lang w:val="es-CR"/>
              </w:rPr>
              <w:t xml:space="preserve">NICSP N° 28, </w:t>
            </w:r>
          </w:p>
          <w:p w14:paraId="5D891433" w14:textId="77777777" w:rsidR="006C5DC8" w:rsidRDefault="006C5DC8" w:rsidP="005A4C96">
            <w:pPr>
              <w:spacing w:after="120"/>
              <w:jc w:val="both"/>
              <w:rPr>
                <w:rFonts w:ascii="Arial Narrow" w:eastAsia="Times New Roman" w:hAnsi="Arial Narrow" w:cs="Calibri"/>
                <w:b/>
                <w:bCs/>
                <w:color w:val="000000"/>
                <w:sz w:val="22"/>
                <w:szCs w:val="22"/>
                <w:lang w:val="es-CR"/>
              </w:rPr>
            </w:pPr>
            <w:r w:rsidRPr="006C5DC8">
              <w:rPr>
                <w:rFonts w:ascii="Arial Narrow" w:eastAsia="Times New Roman" w:hAnsi="Arial Narrow" w:cs="Calibri"/>
                <w:b/>
                <w:bCs/>
                <w:color w:val="000000"/>
                <w:sz w:val="22"/>
                <w:szCs w:val="22"/>
                <w:lang w:val="es-CR"/>
              </w:rPr>
              <w:t>Párrafo 47.</w:t>
            </w:r>
          </w:p>
          <w:p w14:paraId="294564D8" w14:textId="77777777" w:rsidR="006C5DC8" w:rsidRDefault="006C5DC8" w:rsidP="006C5DC8">
            <w:pPr>
              <w:jc w:val="both"/>
              <w:rPr>
                <w:rFonts w:ascii="Arial Narrow" w:eastAsia="Times New Roman" w:hAnsi="Arial Narrow" w:cs="Calibri"/>
                <w:b/>
                <w:bCs/>
                <w:color w:val="000000"/>
                <w:sz w:val="22"/>
                <w:szCs w:val="22"/>
                <w:lang w:val="es-CR"/>
              </w:rPr>
            </w:pPr>
            <w:r w:rsidRPr="006C5DC8">
              <w:rPr>
                <w:rFonts w:ascii="Arial Narrow" w:eastAsia="Times New Roman" w:hAnsi="Arial Narrow" w:cs="Calibri"/>
                <w:b/>
                <w:bCs/>
                <w:color w:val="000000"/>
                <w:sz w:val="22"/>
                <w:szCs w:val="22"/>
                <w:lang w:val="es-CR"/>
              </w:rPr>
              <w:t xml:space="preserve">NICSP N° 29, </w:t>
            </w:r>
          </w:p>
          <w:p w14:paraId="71359845" w14:textId="10F5302A" w:rsidR="006C5DC8" w:rsidRPr="006C5DC8" w:rsidRDefault="006C5DC8" w:rsidP="006C5DC8">
            <w:pPr>
              <w:jc w:val="both"/>
              <w:rPr>
                <w:rFonts w:ascii="Arial Narrow" w:eastAsia="Times New Roman" w:hAnsi="Arial Narrow" w:cs="Calibri"/>
                <w:b/>
                <w:bCs/>
                <w:color w:val="000000"/>
                <w:sz w:val="22"/>
                <w:szCs w:val="22"/>
                <w:lang w:val="es-CR"/>
              </w:rPr>
            </w:pPr>
            <w:r w:rsidRPr="006C5DC8">
              <w:rPr>
                <w:rFonts w:ascii="Arial Narrow" w:eastAsia="Times New Roman" w:hAnsi="Arial Narrow" w:cs="Calibri"/>
                <w:b/>
                <w:bCs/>
                <w:color w:val="000000"/>
                <w:sz w:val="22"/>
                <w:szCs w:val="22"/>
                <w:lang w:val="es-CR"/>
              </w:rPr>
              <w:lastRenderedPageBreak/>
              <w:t>Párrafos 38 y 31.</w:t>
            </w:r>
          </w:p>
        </w:tc>
        <w:tc>
          <w:tcPr>
            <w:tcW w:w="1942" w:type="dxa"/>
            <w:tcBorders>
              <w:top w:val="nil"/>
              <w:left w:val="nil"/>
              <w:bottom w:val="single" w:sz="8" w:space="0" w:color="auto"/>
              <w:right w:val="single" w:sz="8" w:space="0" w:color="auto"/>
            </w:tcBorders>
            <w:shd w:val="clear" w:color="auto" w:fill="auto"/>
            <w:vAlign w:val="center"/>
            <w:hideMark/>
          </w:tcPr>
          <w:p w14:paraId="301F7AE4" w14:textId="77777777" w:rsidR="006C5DC8" w:rsidRPr="006C5DC8" w:rsidRDefault="006C5DC8" w:rsidP="006C5DC8">
            <w:pPr>
              <w:jc w:val="center"/>
              <w:rPr>
                <w:rFonts w:ascii="Arial Narrow" w:eastAsia="Times New Roman" w:hAnsi="Arial Narrow" w:cs="Calibri"/>
                <w:b/>
                <w:bCs/>
                <w:color w:val="000000"/>
                <w:sz w:val="22"/>
                <w:szCs w:val="22"/>
                <w:lang w:val="es-CR"/>
              </w:rPr>
            </w:pPr>
            <w:r w:rsidRPr="006C5DC8">
              <w:rPr>
                <w:rFonts w:ascii="Arial Narrow" w:eastAsia="Times New Roman" w:hAnsi="Arial Narrow" w:cs="Calibri"/>
                <w:b/>
                <w:bCs/>
                <w:color w:val="000000"/>
                <w:sz w:val="22"/>
                <w:szCs w:val="22"/>
                <w:lang w:val="es-CR"/>
              </w:rPr>
              <w:lastRenderedPageBreak/>
              <w:t xml:space="preserve"> </w:t>
            </w:r>
          </w:p>
        </w:tc>
      </w:tr>
      <w:tr w:rsidR="006C5DC8" w:rsidRPr="006C5DC8" w14:paraId="6BBF7219" w14:textId="77777777" w:rsidTr="006C5DC8">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E0F58A8"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2</w:t>
            </w:r>
          </w:p>
        </w:tc>
        <w:tc>
          <w:tcPr>
            <w:tcW w:w="490" w:type="dxa"/>
            <w:tcBorders>
              <w:top w:val="nil"/>
              <w:left w:val="nil"/>
              <w:bottom w:val="single" w:sz="8" w:space="0" w:color="auto"/>
              <w:right w:val="single" w:sz="8" w:space="0" w:color="auto"/>
            </w:tcBorders>
            <w:shd w:val="clear" w:color="auto" w:fill="auto"/>
            <w:noWrap/>
            <w:vAlign w:val="center"/>
            <w:hideMark/>
          </w:tcPr>
          <w:p w14:paraId="2DC922B0"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11.</w:t>
            </w:r>
          </w:p>
        </w:tc>
        <w:tc>
          <w:tcPr>
            <w:tcW w:w="587" w:type="dxa"/>
            <w:tcBorders>
              <w:top w:val="nil"/>
              <w:left w:val="nil"/>
              <w:bottom w:val="single" w:sz="8" w:space="0" w:color="auto"/>
              <w:right w:val="single" w:sz="8" w:space="0" w:color="auto"/>
            </w:tcBorders>
            <w:shd w:val="clear" w:color="auto" w:fill="auto"/>
            <w:vAlign w:val="center"/>
            <w:hideMark/>
          </w:tcPr>
          <w:p w14:paraId="184484F2" w14:textId="77777777" w:rsidR="006C5DC8" w:rsidRPr="006C5DC8" w:rsidRDefault="006C5DC8" w:rsidP="006C5DC8">
            <w:pPr>
              <w:jc w:val="center"/>
              <w:rPr>
                <w:rFonts w:ascii="Arial Narrow" w:eastAsia="Times New Roman" w:hAnsi="Arial Narrow" w:cs="Calibri"/>
                <w:b/>
                <w:bCs/>
                <w:color w:val="000000"/>
                <w:sz w:val="24"/>
                <w:szCs w:val="24"/>
              </w:rPr>
            </w:pPr>
            <w:r w:rsidRPr="006C5DC8">
              <w:rPr>
                <w:rFonts w:ascii="Arial Narrow" w:eastAsia="Times New Roman" w:hAnsi="Arial Narrow" w:cs="Calibri"/>
                <w:b/>
                <w:bCs/>
                <w:color w:val="000000"/>
                <w:sz w:val="24"/>
                <w:szCs w:val="24"/>
              </w:rPr>
              <w:t>3</w:t>
            </w:r>
          </w:p>
        </w:tc>
        <w:tc>
          <w:tcPr>
            <w:tcW w:w="3671" w:type="dxa"/>
            <w:tcBorders>
              <w:top w:val="nil"/>
              <w:left w:val="nil"/>
              <w:bottom w:val="single" w:sz="8" w:space="0" w:color="auto"/>
              <w:right w:val="single" w:sz="8" w:space="0" w:color="auto"/>
            </w:tcBorders>
            <w:shd w:val="clear" w:color="auto" w:fill="auto"/>
            <w:vAlign w:val="center"/>
            <w:hideMark/>
          </w:tcPr>
          <w:p w14:paraId="17ACE493" w14:textId="77777777" w:rsidR="006C5DC8" w:rsidRPr="006C5DC8" w:rsidRDefault="006C5DC8" w:rsidP="006C5DC8">
            <w:pPr>
              <w:jc w:val="both"/>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Improcedencia de compensación</w:t>
            </w:r>
          </w:p>
        </w:tc>
        <w:tc>
          <w:tcPr>
            <w:tcW w:w="2240" w:type="dxa"/>
            <w:tcBorders>
              <w:top w:val="nil"/>
              <w:left w:val="nil"/>
              <w:bottom w:val="single" w:sz="8" w:space="0" w:color="auto"/>
              <w:right w:val="single" w:sz="8" w:space="0" w:color="auto"/>
            </w:tcBorders>
            <w:shd w:val="clear" w:color="auto" w:fill="auto"/>
            <w:vAlign w:val="center"/>
            <w:hideMark/>
          </w:tcPr>
          <w:p w14:paraId="6E0EB0EA" w14:textId="77777777" w:rsidR="006C5DC8" w:rsidRDefault="006C5DC8" w:rsidP="006C5DC8">
            <w:pPr>
              <w:jc w:val="both"/>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 xml:space="preserve">NICSP N° 28, </w:t>
            </w:r>
          </w:p>
          <w:p w14:paraId="5EC998C4" w14:textId="44A5EA82" w:rsidR="006C5DC8" w:rsidRPr="006C5DC8" w:rsidRDefault="006C5DC8" w:rsidP="006C5DC8">
            <w:pPr>
              <w:jc w:val="both"/>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Párrafo</w:t>
            </w:r>
            <w:r>
              <w:rPr>
                <w:rFonts w:ascii="Arial Narrow" w:eastAsia="Times New Roman" w:hAnsi="Arial Narrow" w:cs="Calibri"/>
                <w:b/>
                <w:bCs/>
                <w:color w:val="000000"/>
                <w:sz w:val="22"/>
                <w:szCs w:val="22"/>
              </w:rPr>
              <w:t>s</w:t>
            </w:r>
            <w:r w:rsidRPr="006C5DC8">
              <w:rPr>
                <w:rFonts w:ascii="Arial Narrow" w:eastAsia="Times New Roman" w:hAnsi="Arial Narrow" w:cs="Calibri"/>
                <w:b/>
                <w:bCs/>
                <w:color w:val="000000"/>
                <w:sz w:val="22"/>
                <w:szCs w:val="22"/>
              </w:rPr>
              <w:t xml:space="preserve"> 54 y 55.</w:t>
            </w:r>
          </w:p>
        </w:tc>
        <w:tc>
          <w:tcPr>
            <w:tcW w:w="1942" w:type="dxa"/>
            <w:tcBorders>
              <w:top w:val="nil"/>
              <w:left w:val="nil"/>
              <w:bottom w:val="single" w:sz="8" w:space="0" w:color="auto"/>
              <w:right w:val="single" w:sz="8" w:space="0" w:color="auto"/>
            </w:tcBorders>
            <w:shd w:val="clear" w:color="auto" w:fill="auto"/>
            <w:vAlign w:val="center"/>
            <w:hideMark/>
          </w:tcPr>
          <w:p w14:paraId="76F68E56" w14:textId="77777777" w:rsidR="006C5DC8" w:rsidRPr="006C5DC8" w:rsidRDefault="006C5DC8" w:rsidP="006C5DC8">
            <w:pPr>
              <w:jc w:val="center"/>
              <w:rPr>
                <w:rFonts w:ascii="Arial Narrow" w:eastAsia="Times New Roman" w:hAnsi="Arial Narrow" w:cs="Calibri"/>
                <w:b/>
                <w:bCs/>
                <w:color w:val="000000"/>
                <w:sz w:val="22"/>
                <w:szCs w:val="22"/>
              </w:rPr>
            </w:pPr>
            <w:r w:rsidRPr="006C5DC8">
              <w:rPr>
                <w:rFonts w:ascii="Arial Narrow" w:eastAsia="Times New Roman" w:hAnsi="Arial Narrow" w:cs="Calibri"/>
                <w:b/>
                <w:bCs/>
                <w:color w:val="000000"/>
                <w:sz w:val="22"/>
                <w:szCs w:val="22"/>
              </w:rPr>
              <w:t> </w:t>
            </w:r>
          </w:p>
        </w:tc>
      </w:tr>
    </w:tbl>
    <w:p w14:paraId="61F00553" w14:textId="77777777" w:rsidR="009A2270" w:rsidRDefault="009A2270" w:rsidP="00C522E2">
      <w:pPr>
        <w:spacing w:line="238" w:lineRule="auto"/>
        <w:ind w:left="1134" w:right="260" w:hanging="1134"/>
        <w:jc w:val="both"/>
        <w:rPr>
          <w:rFonts w:ascii="Arial" w:eastAsia="Arial" w:hAnsi="Arial"/>
          <w:b/>
          <w:sz w:val="22"/>
          <w:szCs w:val="22"/>
          <w:lang w:val="es-CR"/>
        </w:rPr>
      </w:pPr>
    </w:p>
    <w:p w14:paraId="2FD50B1A" w14:textId="623B0EBC" w:rsidR="006C5DC8" w:rsidRDefault="005A4C96" w:rsidP="00C522E2">
      <w:pPr>
        <w:spacing w:line="238" w:lineRule="auto"/>
        <w:ind w:left="1134" w:right="260" w:hanging="1134"/>
        <w:jc w:val="both"/>
        <w:rPr>
          <w:rFonts w:ascii="Arial" w:eastAsia="Arial" w:hAnsi="Arial"/>
          <w:b/>
          <w:sz w:val="22"/>
          <w:szCs w:val="22"/>
          <w:lang w:val="es-CR"/>
        </w:rPr>
      </w:pPr>
      <w:r w:rsidRPr="00F02F9D">
        <w:rPr>
          <w:rFonts w:ascii="Arial" w:eastAsia="Arial" w:hAnsi="Arial"/>
          <w:b/>
          <w:sz w:val="22"/>
          <w:szCs w:val="22"/>
        </w:rPr>
        <w:t>Políticas Contables</w:t>
      </w:r>
    </w:p>
    <w:p w14:paraId="3FF815A9" w14:textId="77777777" w:rsidR="006C5DC8" w:rsidRDefault="006C5DC8" w:rsidP="00C522E2">
      <w:pPr>
        <w:spacing w:line="238" w:lineRule="auto"/>
        <w:ind w:left="1134" w:right="260" w:hanging="1134"/>
        <w:jc w:val="both"/>
        <w:rPr>
          <w:rFonts w:ascii="Arial" w:eastAsia="Arial" w:hAnsi="Arial"/>
          <w:b/>
          <w:sz w:val="22"/>
          <w:szCs w:val="22"/>
          <w:lang w:val="es-CR"/>
        </w:rPr>
      </w:pPr>
    </w:p>
    <w:p w14:paraId="2399D050" w14:textId="506D8D29" w:rsidR="006C5DC8" w:rsidRDefault="006C5DC8" w:rsidP="006C5DC8">
      <w:pPr>
        <w:pStyle w:val="Default"/>
        <w:ind w:left="1134" w:hanging="1134"/>
        <w:jc w:val="both"/>
        <w:rPr>
          <w:sz w:val="22"/>
          <w:szCs w:val="22"/>
          <w:lang w:val="es-CR"/>
        </w:rPr>
      </w:pPr>
      <w:r>
        <w:rPr>
          <w:sz w:val="22"/>
          <w:szCs w:val="22"/>
          <w:lang w:val="es-CR"/>
        </w:rPr>
        <w:t>2.11.0.01</w:t>
      </w:r>
      <w:r>
        <w:rPr>
          <w:sz w:val="22"/>
          <w:szCs w:val="22"/>
          <w:lang w:val="es-CR"/>
        </w:rPr>
        <w:tab/>
      </w:r>
      <w:r w:rsidRPr="006C5DC8">
        <w:rPr>
          <w:sz w:val="22"/>
          <w:szCs w:val="22"/>
          <w:lang w:val="es-CR"/>
        </w:rPr>
        <w:t>Un activo y un pasivo financieros serán objeto de compensación sólo a efectos de revelación, sin implicar baja en cuentas y al sólo a efecto que se presente en el ESF su importe neto, cuando y sólo cuando la entidad:</w:t>
      </w:r>
    </w:p>
    <w:p w14:paraId="7B112DC9" w14:textId="77777777" w:rsidR="006C5DC8" w:rsidRPr="006C5DC8" w:rsidRDefault="006C5DC8" w:rsidP="006C5DC8">
      <w:pPr>
        <w:pStyle w:val="Default"/>
        <w:ind w:left="1134" w:hanging="1134"/>
        <w:jc w:val="both"/>
        <w:rPr>
          <w:sz w:val="22"/>
          <w:szCs w:val="22"/>
          <w:lang w:val="es-CR"/>
        </w:rPr>
      </w:pPr>
    </w:p>
    <w:p w14:paraId="5ED95CA3" w14:textId="7CE0B4B6" w:rsidR="006C5DC8" w:rsidRPr="006C5DC8" w:rsidRDefault="006C5DC8">
      <w:pPr>
        <w:pStyle w:val="Default"/>
        <w:numPr>
          <w:ilvl w:val="0"/>
          <w:numId w:val="136"/>
        </w:numPr>
        <w:spacing w:after="120"/>
        <w:ind w:left="1418" w:hanging="284"/>
        <w:jc w:val="both"/>
        <w:rPr>
          <w:sz w:val="22"/>
          <w:szCs w:val="22"/>
          <w:lang w:val="es-CR"/>
        </w:rPr>
      </w:pPr>
      <w:r>
        <w:rPr>
          <w:sz w:val="22"/>
          <w:szCs w:val="22"/>
          <w:lang w:val="es-CR"/>
        </w:rPr>
        <w:t>T</w:t>
      </w:r>
      <w:r w:rsidRPr="006C5DC8">
        <w:rPr>
          <w:sz w:val="22"/>
          <w:szCs w:val="22"/>
          <w:lang w:val="es-CR"/>
        </w:rPr>
        <w:t xml:space="preserve">enga, en el momento actual, el derecho, exigible legalmente, de compensar los importes reconocidos; y </w:t>
      </w:r>
    </w:p>
    <w:p w14:paraId="53C3AF4E" w14:textId="18EFA8DD" w:rsidR="006C5DC8" w:rsidRPr="006C5DC8" w:rsidRDefault="006C5DC8">
      <w:pPr>
        <w:pStyle w:val="Default"/>
        <w:numPr>
          <w:ilvl w:val="0"/>
          <w:numId w:val="136"/>
        </w:numPr>
        <w:ind w:left="1418" w:hanging="284"/>
        <w:jc w:val="both"/>
        <w:rPr>
          <w:sz w:val="22"/>
          <w:szCs w:val="22"/>
          <w:lang w:val="es-CR"/>
        </w:rPr>
      </w:pPr>
      <w:r>
        <w:rPr>
          <w:sz w:val="22"/>
          <w:szCs w:val="22"/>
          <w:lang w:val="es-CR"/>
        </w:rPr>
        <w:t>T</w:t>
      </w:r>
      <w:r w:rsidRPr="006C5DC8">
        <w:rPr>
          <w:sz w:val="22"/>
          <w:szCs w:val="22"/>
          <w:lang w:val="es-CR"/>
        </w:rPr>
        <w:t xml:space="preserve">enga la intención de liquidar la cantidad neta, o de realizar el activo y, de forma simultánea, proceder al pago del pasivo. </w:t>
      </w:r>
    </w:p>
    <w:p w14:paraId="695ECA55" w14:textId="275A4753" w:rsidR="006C5DC8" w:rsidRPr="006C5DC8" w:rsidRDefault="006C5DC8" w:rsidP="006C5DC8">
      <w:pPr>
        <w:pStyle w:val="Default"/>
        <w:jc w:val="both"/>
        <w:rPr>
          <w:sz w:val="22"/>
          <w:szCs w:val="22"/>
          <w:lang w:val="es-CR"/>
        </w:rPr>
      </w:pPr>
    </w:p>
    <w:p w14:paraId="6DEA6822" w14:textId="32417CC3" w:rsidR="006C5DC8" w:rsidRDefault="006C5DC8" w:rsidP="006C5DC8">
      <w:pPr>
        <w:pStyle w:val="Default"/>
        <w:ind w:left="1134" w:hanging="1134"/>
        <w:jc w:val="both"/>
        <w:rPr>
          <w:sz w:val="22"/>
          <w:szCs w:val="22"/>
          <w:lang w:val="es-CR"/>
        </w:rPr>
      </w:pPr>
      <w:r>
        <w:rPr>
          <w:sz w:val="22"/>
          <w:szCs w:val="22"/>
          <w:lang w:val="es-CR"/>
        </w:rPr>
        <w:t>2.11.1.01</w:t>
      </w:r>
      <w:r>
        <w:rPr>
          <w:sz w:val="22"/>
          <w:szCs w:val="22"/>
          <w:lang w:val="es-CR"/>
        </w:rPr>
        <w:tab/>
      </w:r>
      <w:r w:rsidRPr="006C5DC8">
        <w:rPr>
          <w:sz w:val="22"/>
          <w:szCs w:val="22"/>
          <w:lang w:val="es-CR"/>
        </w:rPr>
        <w:t xml:space="preserve">La posibilidad de compensar es un derecho que la ley puede otorgar al deudor, que lo adquiere por contrato o por otro medio distinto, y que le faculta a pagar, o eliminar de otra forma, la totalidad o una parte de la cantidad debida al acreedor, mediante reducción del importe que éste le adeuda. La existencia de dicho derecho afectará al conjunto de derechos y obligaciones asociados con los activos y los pasivos financieros correspondientes, y podrá afectar al nivel de exposición de la entidad a los riesgos de crédito y de liquidez. No obstante, la existencia de tal derecho, por sí misma, no es una causa suficiente para la compensación. Si se carece de la intención de ejercer el derecho o de liquidar simultáneamente </w:t>
      </w:r>
      <w:r w:rsidR="0021354A" w:rsidRPr="006C5DC8">
        <w:rPr>
          <w:sz w:val="22"/>
          <w:szCs w:val="22"/>
          <w:lang w:val="es-CR"/>
        </w:rPr>
        <w:t>a</w:t>
      </w:r>
      <w:r w:rsidR="0021354A">
        <w:rPr>
          <w:sz w:val="22"/>
          <w:szCs w:val="22"/>
          <w:lang w:val="es-CR"/>
        </w:rPr>
        <w:t>mba</w:t>
      </w:r>
      <w:r w:rsidR="0021354A" w:rsidRPr="006C5DC8">
        <w:rPr>
          <w:sz w:val="22"/>
          <w:szCs w:val="22"/>
          <w:lang w:val="es-CR"/>
        </w:rPr>
        <w:t>s</w:t>
      </w:r>
      <w:r w:rsidRPr="006C5DC8">
        <w:rPr>
          <w:sz w:val="22"/>
          <w:szCs w:val="22"/>
          <w:lang w:val="es-CR"/>
        </w:rPr>
        <w:t xml:space="preserve"> posiciones, no resultarán afectados ni el importe ni el calendario de los futuros flujos de efectivo de la entidad. </w:t>
      </w:r>
    </w:p>
    <w:p w14:paraId="2A97A3E1" w14:textId="77777777" w:rsidR="006C5DC8" w:rsidRDefault="006C5DC8" w:rsidP="006C5DC8">
      <w:pPr>
        <w:pStyle w:val="Default"/>
        <w:ind w:left="1134" w:hanging="1134"/>
        <w:jc w:val="both"/>
        <w:rPr>
          <w:sz w:val="22"/>
          <w:szCs w:val="22"/>
          <w:lang w:val="es-CR"/>
        </w:rPr>
      </w:pPr>
    </w:p>
    <w:p w14:paraId="1096CB37" w14:textId="77777777" w:rsidR="006C5DC8" w:rsidRDefault="006C5DC8" w:rsidP="006C5DC8">
      <w:pPr>
        <w:pStyle w:val="Default"/>
        <w:ind w:left="1134" w:hanging="1134"/>
        <w:jc w:val="both"/>
        <w:rPr>
          <w:sz w:val="22"/>
          <w:szCs w:val="22"/>
          <w:lang w:val="es-CR"/>
        </w:rPr>
      </w:pPr>
      <w:r>
        <w:rPr>
          <w:sz w:val="22"/>
          <w:szCs w:val="22"/>
          <w:lang w:val="es-CR"/>
        </w:rPr>
        <w:t>2.11.2.01</w:t>
      </w:r>
      <w:r>
        <w:rPr>
          <w:sz w:val="22"/>
          <w:szCs w:val="22"/>
          <w:lang w:val="es-CR"/>
        </w:rPr>
        <w:tab/>
      </w:r>
      <w:r w:rsidRPr="006C5DC8">
        <w:rPr>
          <w:sz w:val="22"/>
          <w:szCs w:val="22"/>
          <w:lang w:val="es-CR"/>
        </w:rPr>
        <w:t xml:space="preserve">No se compensará un activo transferido con el pasivo asociado como así tampoco se podrá compensar ningún ingreso que surja del activo transferido con ningún gasto incurrido por causa del pasivo asociado, cuando la contabilización de una transferencia de un activo financiero no cumpla las condiciones para su baja en cuentas (porque la entidad ha conservado todos los riesgos y ventajas inherentes a la propiedad del activo transferido y por ende continúa reconociendo dicho activo transferido en su integridad y un pasivo financiero por la contraprestación recibida). </w:t>
      </w:r>
    </w:p>
    <w:p w14:paraId="5C798D89" w14:textId="77777777" w:rsidR="006C5DC8" w:rsidRDefault="006C5DC8" w:rsidP="006C5DC8">
      <w:pPr>
        <w:pStyle w:val="Default"/>
        <w:ind w:left="1134" w:hanging="1134"/>
        <w:jc w:val="both"/>
        <w:rPr>
          <w:sz w:val="22"/>
          <w:szCs w:val="22"/>
          <w:lang w:val="es-CR"/>
        </w:rPr>
      </w:pPr>
    </w:p>
    <w:p w14:paraId="2775D34B" w14:textId="33AFF413" w:rsidR="006C5DC8" w:rsidRDefault="006C5DC8" w:rsidP="006C5DC8">
      <w:pPr>
        <w:pStyle w:val="Default"/>
        <w:ind w:left="1134" w:hanging="1134"/>
        <w:jc w:val="both"/>
        <w:rPr>
          <w:sz w:val="22"/>
          <w:szCs w:val="22"/>
          <w:lang w:val="es-CR"/>
        </w:rPr>
      </w:pPr>
      <w:r>
        <w:rPr>
          <w:sz w:val="22"/>
          <w:szCs w:val="22"/>
          <w:lang w:val="es-CR"/>
        </w:rPr>
        <w:t>2.11.3.01</w:t>
      </w:r>
      <w:r>
        <w:rPr>
          <w:sz w:val="22"/>
          <w:szCs w:val="22"/>
          <w:lang w:val="es-CR"/>
        </w:rPr>
        <w:tab/>
      </w:r>
      <w:r w:rsidRPr="006C5DC8">
        <w:rPr>
          <w:sz w:val="22"/>
          <w:szCs w:val="22"/>
          <w:lang w:val="es-CR"/>
        </w:rPr>
        <w:t xml:space="preserve">No será procedente la compensación, cuando: </w:t>
      </w:r>
    </w:p>
    <w:p w14:paraId="21DA2F48" w14:textId="77777777" w:rsidR="00D709B2" w:rsidRPr="006C5DC8" w:rsidRDefault="00D709B2" w:rsidP="00FB4CAF">
      <w:pPr>
        <w:pStyle w:val="Ttulo2"/>
        <w:rPr>
          <w:sz w:val="22"/>
          <w:szCs w:val="22"/>
          <w:lang w:val="es-CR"/>
        </w:rPr>
      </w:pPr>
    </w:p>
    <w:p w14:paraId="6E379E9D" w14:textId="1B2A67E9" w:rsidR="006C5DC8" w:rsidRPr="006C5DC8" w:rsidRDefault="00D709B2">
      <w:pPr>
        <w:pStyle w:val="Default"/>
        <w:numPr>
          <w:ilvl w:val="1"/>
          <w:numId w:val="137"/>
        </w:numPr>
        <w:spacing w:after="120"/>
        <w:ind w:left="1418" w:hanging="284"/>
        <w:jc w:val="both"/>
        <w:rPr>
          <w:sz w:val="22"/>
          <w:szCs w:val="22"/>
          <w:lang w:val="es-CR"/>
        </w:rPr>
      </w:pPr>
      <w:r>
        <w:rPr>
          <w:sz w:val="22"/>
          <w:szCs w:val="22"/>
          <w:lang w:val="es-CR"/>
        </w:rPr>
        <w:t>S</w:t>
      </w:r>
      <w:r w:rsidR="006C5DC8" w:rsidRPr="006C5DC8">
        <w:rPr>
          <w:sz w:val="22"/>
          <w:szCs w:val="22"/>
          <w:lang w:val="es-CR"/>
        </w:rPr>
        <w:t xml:space="preserve">e empleen varios instrumentos financieros diferentes para emular las características de un único instrumento financiero (dando lugar a un “instrumento sintético”); </w:t>
      </w:r>
    </w:p>
    <w:p w14:paraId="66CCD9FB" w14:textId="1774407C" w:rsidR="006C5DC8" w:rsidRPr="006C5DC8" w:rsidRDefault="00D709B2">
      <w:pPr>
        <w:pStyle w:val="Default"/>
        <w:numPr>
          <w:ilvl w:val="1"/>
          <w:numId w:val="137"/>
        </w:numPr>
        <w:spacing w:after="120"/>
        <w:ind w:left="1418" w:hanging="284"/>
        <w:jc w:val="both"/>
        <w:rPr>
          <w:sz w:val="22"/>
          <w:szCs w:val="22"/>
          <w:lang w:val="es-CR"/>
        </w:rPr>
      </w:pPr>
      <w:r>
        <w:rPr>
          <w:sz w:val="22"/>
          <w:szCs w:val="22"/>
          <w:lang w:val="es-CR"/>
        </w:rPr>
        <w:t>L</w:t>
      </w:r>
      <w:r w:rsidR="006C5DC8" w:rsidRPr="006C5DC8">
        <w:rPr>
          <w:sz w:val="22"/>
          <w:szCs w:val="22"/>
          <w:lang w:val="es-CR"/>
        </w:rPr>
        <w:t xml:space="preserve">os activos y los pasivos financieros surjan de instrumentos financieros que tengan, básicamente, la misma exposición al riesgo (por ejemplo, activos y pasivos dentro de una misma cartera de contratos a término u otros instrumentos derivados) pero involucren a diferentes contrapartes; </w:t>
      </w:r>
    </w:p>
    <w:p w14:paraId="5BD35038" w14:textId="61DA9ED9" w:rsidR="006C5DC8" w:rsidRPr="006C5DC8" w:rsidRDefault="00D709B2">
      <w:pPr>
        <w:pStyle w:val="Default"/>
        <w:numPr>
          <w:ilvl w:val="1"/>
          <w:numId w:val="137"/>
        </w:numPr>
        <w:spacing w:after="120"/>
        <w:ind w:left="1418" w:hanging="284"/>
        <w:jc w:val="both"/>
        <w:rPr>
          <w:sz w:val="22"/>
          <w:szCs w:val="22"/>
          <w:lang w:val="es-CR"/>
        </w:rPr>
      </w:pPr>
      <w:r>
        <w:rPr>
          <w:sz w:val="22"/>
          <w:szCs w:val="22"/>
          <w:lang w:val="es-CR"/>
        </w:rPr>
        <w:t>L</w:t>
      </w:r>
      <w:r w:rsidR="006C5DC8" w:rsidRPr="006C5DC8">
        <w:rPr>
          <w:sz w:val="22"/>
          <w:szCs w:val="22"/>
          <w:lang w:val="es-CR"/>
        </w:rPr>
        <w:t xml:space="preserve">os activos, financieros u otros, se hubieren pignorados como garantías otorgadas de pasivos financieros que son obligaciones sin recurso; </w:t>
      </w:r>
    </w:p>
    <w:p w14:paraId="54B94C9C" w14:textId="1B0CE7D1" w:rsidR="006C5DC8" w:rsidRPr="006C5DC8" w:rsidRDefault="00D709B2">
      <w:pPr>
        <w:pStyle w:val="Default"/>
        <w:numPr>
          <w:ilvl w:val="1"/>
          <w:numId w:val="137"/>
        </w:numPr>
        <w:spacing w:after="120"/>
        <w:ind w:left="1418" w:hanging="284"/>
        <w:jc w:val="both"/>
        <w:rPr>
          <w:sz w:val="22"/>
          <w:szCs w:val="22"/>
          <w:lang w:val="es-CR"/>
        </w:rPr>
      </w:pPr>
      <w:r>
        <w:rPr>
          <w:sz w:val="22"/>
          <w:szCs w:val="22"/>
          <w:lang w:val="es-CR"/>
        </w:rPr>
        <w:t>L</w:t>
      </w:r>
      <w:r w:rsidR="006C5DC8" w:rsidRPr="006C5DC8">
        <w:rPr>
          <w:sz w:val="22"/>
          <w:szCs w:val="22"/>
          <w:lang w:val="es-CR"/>
        </w:rPr>
        <w:t xml:space="preserve">os activos financieros hayan sido asignados por el deudor a un fideicomiso para liberarse de una obligación, pero aún no hayan sido aceptados por el acreedor en cancelación de la misma (por ejemplo, un fondo de amortización); </w:t>
      </w:r>
    </w:p>
    <w:p w14:paraId="18D7EBC9" w14:textId="77777777" w:rsidR="00D709B2" w:rsidRDefault="00D709B2">
      <w:pPr>
        <w:pStyle w:val="Default"/>
        <w:numPr>
          <w:ilvl w:val="1"/>
          <w:numId w:val="137"/>
        </w:numPr>
        <w:spacing w:after="120"/>
        <w:ind w:left="1418" w:hanging="284"/>
        <w:jc w:val="both"/>
        <w:rPr>
          <w:sz w:val="22"/>
          <w:szCs w:val="22"/>
          <w:lang w:val="es-CR"/>
        </w:rPr>
      </w:pPr>
      <w:r>
        <w:rPr>
          <w:sz w:val="22"/>
          <w:szCs w:val="22"/>
          <w:lang w:val="es-CR"/>
        </w:rPr>
        <w:t>S</w:t>
      </w:r>
      <w:r w:rsidR="006C5DC8" w:rsidRPr="006C5DC8">
        <w:rPr>
          <w:sz w:val="22"/>
          <w:szCs w:val="22"/>
          <w:lang w:val="es-CR"/>
        </w:rPr>
        <w:t xml:space="preserve">ean obligaciones incurridas como resultado de eventos que han dado lugar a pérdidas, cuyos importes se esperen recuperar de un tercero, como consecuencia de una reclamación hecha en virtud de una póliza de seguro. o </w:t>
      </w:r>
    </w:p>
    <w:p w14:paraId="04E25D7C" w14:textId="0878AED6" w:rsidR="006C5DC8" w:rsidRPr="00D709B2" w:rsidRDefault="00D709B2">
      <w:pPr>
        <w:pStyle w:val="Default"/>
        <w:numPr>
          <w:ilvl w:val="1"/>
          <w:numId w:val="137"/>
        </w:numPr>
        <w:ind w:left="1418" w:hanging="284"/>
        <w:jc w:val="both"/>
        <w:rPr>
          <w:sz w:val="22"/>
          <w:szCs w:val="22"/>
          <w:lang w:val="es-CR"/>
        </w:rPr>
      </w:pPr>
      <w:r w:rsidRPr="00D709B2">
        <w:rPr>
          <w:color w:val="auto"/>
          <w:sz w:val="22"/>
          <w:szCs w:val="22"/>
          <w:lang w:val="es-CR"/>
        </w:rPr>
        <w:lastRenderedPageBreak/>
        <w:t>S</w:t>
      </w:r>
      <w:r w:rsidR="006C5DC8" w:rsidRPr="00D709B2">
        <w:rPr>
          <w:color w:val="auto"/>
          <w:sz w:val="22"/>
          <w:szCs w:val="22"/>
          <w:lang w:val="es-CR"/>
        </w:rPr>
        <w:t xml:space="preserve">e suscriban acuerdos maestros de compensación contractual con una contraparte para protegerse de pérdidas, ya sea en caso de quiebra o en otras situaciones concursales, o en situaciones no esperadas dentro del curso ordinario de las operaciones, que imposibiliten a esa otra parte el cumplimiento de sus obligaciones. </w:t>
      </w:r>
    </w:p>
    <w:p w14:paraId="3086B2FA" w14:textId="77777777" w:rsidR="006C5DC8" w:rsidRDefault="006C5DC8" w:rsidP="00C522E2">
      <w:pPr>
        <w:spacing w:line="238" w:lineRule="auto"/>
        <w:ind w:left="1134" w:right="260" w:hanging="1134"/>
        <w:jc w:val="both"/>
        <w:rPr>
          <w:rFonts w:ascii="Arial" w:eastAsia="Arial" w:hAnsi="Arial"/>
          <w:b/>
          <w:sz w:val="22"/>
          <w:szCs w:val="22"/>
          <w:lang w:val="es-CR"/>
        </w:rPr>
      </w:pPr>
    </w:p>
    <w:p w14:paraId="63664EB3" w14:textId="77777777" w:rsidR="005A4C96" w:rsidRDefault="005A4C96" w:rsidP="00C522E2">
      <w:pPr>
        <w:spacing w:line="238" w:lineRule="auto"/>
        <w:ind w:left="1134" w:right="260" w:hanging="1134"/>
        <w:jc w:val="both"/>
        <w:rPr>
          <w:rFonts w:ascii="Arial" w:eastAsia="Arial" w:hAnsi="Arial"/>
          <w:b/>
          <w:sz w:val="22"/>
          <w:szCs w:val="22"/>
          <w:lang w:val="es-CR"/>
        </w:rPr>
      </w:pPr>
    </w:p>
    <w:tbl>
      <w:tblPr>
        <w:tblW w:w="9346" w:type="dxa"/>
        <w:tblLook w:val="04A0" w:firstRow="1" w:lastRow="0" w:firstColumn="1" w:lastColumn="0" w:noHBand="0" w:noVBand="1"/>
      </w:tblPr>
      <w:tblGrid>
        <w:gridCol w:w="416"/>
        <w:gridCol w:w="467"/>
        <w:gridCol w:w="589"/>
        <w:gridCol w:w="3687"/>
        <w:gridCol w:w="2244"/>
        <w:gridCol w:w="1943"/>
      </w:tblGrid>
      <w:tr w:rsidR="00D709B2" w:rsidRPr="00D709B2" w14:paraId="0650B7D4" w14:textId="77777777" w:rsidTr="00D709B2">
        <w:trPr>
          <w:trHeight w:val="320"/>
        </w:trPr>
        <w:tc>
          <w:tcPr>
            <w:tcW w:w="147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F68EA6C" w14:textId="77777777" w:rsidR="00D709B2" w:rsidRPr="00D709B2" w:rsidRDefault="00D709B2" w:rsidP="00D709B2">
            <w:pPr>
              <w:jc w:val="center"/>
              <w:rPr>
                <w:rFonts w:ascii="Arial Narrow" w:eastAsia="Times New Roman" w:hAnsi="Arial Narrow" w:cs="Calibri"/>
                <w:b/>
                <w:bCs/>
                <w:color w:val="FFFFFF"/>
                <w:sz w:val="22"/>
                <w:szCs w:val="22"/>
              </w:rPr>
            </w:pPr>
            <w:r w:rsidRPr="00D709B2">
              <w:rPr>
                <w:rFonts w:ascii="Arial Narrow" w:eastAsia="Times New Roman" w:hAnsi="Arial Narrow" w:cs="Calibri"/>
                <w:b/>
                <w:bCs/>
                <w:color w:val="FFFFFF"/>
                <w:sz w:val="22"/>
                <w:szCs w:val="22"/>
              </w:rPr>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36F60C6C" w14:textId="77777777" w:rsidR="00D709B2" w:rsidRPr="00D709B2" w:rsidRDefault="00D709B2" w:rsidP="00D709B2">
            <w:pPr>
              <w:jc w:val="center"/>
              <w:rPr>
                <w:rFonts w:ascii="Arial Narrow" w:eastAsia="Times New Roman" w:hAnsi="Arial Narrow" w:cs="Calibri"/>
                <w:b/>
                <w:bCs/>
                <w:color w:val="FFFFFF"/>
                <w:sz w:val="22"/>
                <w:szCs w:val="22"/>
              </w:rPr>
            </w:pPr>
            <w:r w:rsidRPr="00D709B2">
              <w:rPr>
                <w:rFonts w:ascii="Arial Narrow" w:eastAsia="Times New Roman" w:hAnsi="Arial Narrow" w:cs="Calibri"/>
                <w:b/>
                <w:bCs/>
                <w:color w:val="FFFFFF"/>
                <w:sz w:val="22"/>
                <w:szCs w:val="22"/>
              </w:rPr>
              <w:t>Concepto</w:t>
            </w:r>
          </w:p>
        </w:tc>
        <w:tc>
          <w:tcPr>
            <w:tcW w:w="4187" w:type="dxa"/>
            <w:gridSpan w:val="2"/>
            <w:tcBorders>
              <w:top w:val="single" w:sz="8" w:space="0" w:color="auto"/>
              <w:left w:val="nil"/>
              <w:bottom w:val="single" w:sz="8" w:space="0" w:color="auto"/>
              <w:right w:val="single" w:sz="8" w:space="0" w:color="000000"/>
            </w:tcBorders>
            <w:shd w:val="clear" w:color="000000" w:fill="203764"/>
            <w:vAlign w:val="center"/>
            <w:hideMark/>
          </w:tcPr>
          <w:p w14:paraId="18476740" w14:textId="77777777" w:rsidR="00D709B2" w:rsidRPr="00D709B2" w:rsidRDefault="00D709B2" w:rsidP="00D709B2">
            <w:pPr>
              <w:jc w:val="center"/>
              <w:rPr>
                <w:rFonts w:ascii="Arial Narrow" w:eastAsia="Times New Roman" w:hAnsi="Arial Narrow" w:cs="Calibri"/>
                <w:b/>
                <w:bCs/>
                <w:color w:val="FFFFFF"/>
                <w:sz w:val="22"/>
                <w:szCs w:val="22"/>
              </w:rPr>
            </w:pPr>
            <w:r w:rsidRPr="00D709B2">
              <w:rPr>
                <w:rFonts w:ascii="Arial Narrow" w:eastAsia="Times New Roman" w:hAnsi="Arial Narrow" w:cs="Calibri"/>
                <w:b/>
                <w:bCs/>
                <w:color w:val="FFFFFF"/>
                <w:sz w:val="22"/>
                <w:szCs w:val="22"/>
              </w:rPr>
              <w:t>Referencia</w:t>
            </w:r>
          </w:p>
        </w:tc>
      </w:tr>
      <w:tr w:rsidR="00D709B2" w:rsidRPr="006E5442" w14:paraId="25241B95" w14:textId="77777777" w:rsidTr="00D709B2">
        <w:trPr>
          <w:trHeight w:val="940"/>
        </w:trPr>
        <w:tc>
          <w:tcPr>
            <w:tcW w:w="1472" w:type="dxa"/>
            <w:gridSpan w:val="3"/>
            <w:vMerge/>
            <w:tcBorders>
              <w:top w:val="single" w:sz="8" w:space="0" w:color="auto"/>
              <w:left w:val="single" w:sz="8" w:space="0" w:color="auto"/>
              <w:bottom w:val="nil"/>
              <w:right w:val="single" w:sz="8" w:space="0" w:color="000000"/>
            </w:tcBorders>
            <w:vAlign w:val="center"/>
            <w:hideMark/>
          </w:tcPr>
          <w:p w14:paraId="61A8EE9F" w14:textId="77777777" w:rsidR="00D709B2" w:rsidRPr="00D709B2" w:rsidRDefault="00D709B2" w:rsidP="00D709B2">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28D722DA" w14:textId="77777777" w:rsidR="00D709B2" w:rsidRPr="00D709B2" w:rsidRDefault="00D709B2" w:rsidP="00D709B2">
            <w:pPr>
              <w:rPr>
                <w:rFonts w:ascii="Arial Narrow" w:eastAsia="Times New Roman" w:hAnsi="Arial Narrow" w:cs="Calibri"/>
                <w:b/>
                <w:bCs/>
                <w:color w:val="FFFFFF"/>
                <w:sz w:val="22"/>
                <w:szCs w:val="22"/>
              </w:rPr>
            </w:pPr>
          </w:p>
        </w:tc>
        <w:tc>
          <w:tcPr>
            <w:tcW w:w="2244" w:type="dxa"/>
            <w:tcBorders>
              <w:top w:val="nil"/>
              <w:left w:val="nil"/>
              <w:bottom w:val="nil"/>
              <w:right w:val="single" w:sz="8" w:space="0" w:color="auto"/>
            </w:tcBorders>
            <w:shd w:val="clear" w:color="000000" w:fill="203764"/>
            <w:vAlign w:val="center"/>
            <w:hideMark/>
          </w:tcPr>
          <w:p w14:paraId="6060DDE9" w14:textId="77777777" w:rsidR="00D709B2" w:rsidRPr="00D709B2" w:rsidRDefault="00D709B2" w:rsidP="00D709B2">
            <w:pPr>
              <w:jc w:val="center"/>
              <w:rPr>
                <w:rFonts w:ascii="Arial Narrow" w:eastAsia="Times New Roman" w:hAnsi="Arial Narrow" w:cs="Calibri"/>
                <w:b/>
                <w:bCs/>
                <w:color w:val="FFFFFF"/>
                <w:sz w:val="22"/>
                <w:szCs w:val="22"/>
              </w:rPr>
            </w:pPr>
            <w:r w:rsidRPr="00D709B2">
              <w:rPr>
                <w:rFonts w:ascii="Arial Narrow" w:eastAsia="Times New Roman" w:hAnsi="Arial Narrow" w:cs="Calibri"/>
                <w:b/>
                <w:bCs/>
                <w:color w:val="FFFFFF"/>
                <w:sz w:val="22"/>
                <w:szCs w:val="22"/>
              </w:rPr>
              <w:t>Norma</w:t>
            </w:r>
          </w:p>
        </w:tc>
        <w:tc>
          <w:tcPr>
            <w:tcW w:w="1943" w:type="dxa"/>
            <w:tcBorders>
              <w:top w:val="nil"/>
              <w:left w:val="nil"/>
              <w:bottom w:val="nil"/>
              <w:right w:val="single" w:sz="8" w:space="0" w:color="auto"/>
            </w:tcBorders>
            <w:shd w:val="clear" w:color="000000" w:fill="203764"/>
            <w:vAlign w:val="center"/>
            <w:hideMark/>
          </w:tcPr>
          <w:p w14:paraId="7F2E0FE1" w14:textId="77777777" w:rsidR="00D709B2" w:rsidRPr="00D709B2" w:rsidRDefault="00D709B2" w:rsidP="00D709B2">
            <w:pPr>
              <w:jc w:val="center"/>
              <w:rPr>
                <w:rFonts w:ascii="Arial Narrow" w:eastAsia="Times New Roman" w:hAnsi="Arial Narrow" w:cs="Calibri"/>
                <w:b/>
                <w:bCs/>
                <w:color w:val="FFFFFF"/>
                <w:sz w:val="22"/>
                <w:szCs w:val="22"/>
                <w:lang w:val="es-CR"/>
              </w:rPr>
            </w:pPr>
            <w:r w:rsidRPr="00D709B2">
              <w:rPr>
                <w:rFonts w:ascii="Arial Narrow" w:eastAsia="Times New Roman" w:hAnsi="Arial Narrow" w:cs="Calibri"/>
                <w:b/>
                <w:bCs/>
                <w:color w:val="FFFFFF"/>
                <w:sz w:val="22"/>
                <w:szCs w:val="22"/>
                <w:lang w:val="es-CR"/>
              </w:rPr>
              <w:t>Normativa técnica y disposiciones adicionales</w:t>
            </w:r>
          </w:p>
        </w:tc>
      </w:tr>
      <w:tr w:rsidR="00D709B2" w:rsidRPr="00D709B2" w14:paraId="0885C7FD" w14:textId="77777777" w:rsidTr="005A4C96">
        <w:trPr>
          <w:trHeight w:val="462"/>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42EBE2" w14:textId="77777777" w:rsidR="00D709B2" w:rsidRPr="00D709B2" w:rsidRDefault="00D709B2" w:rsidP="00D709B2">
            <w:pPr>
              <w:jc w:val="center"/>
              <w:rPr>
                <w:rFonts w:ascii="Arial Narrow" w:eastAsia="Times New Roman" w:hAnsi="Arial Narrow" w:cs="Calibri"/>
                <w:b/>
                <w:bCs/>
                <w:color w:val="000000"/>
                <w:sz w:val="22"/>
                <w:szCs w:val="22"/>
              </w:rPr>
            </w:pPr>
            <w:r w:rsidRPr="00D709B2">
              <w:rPr>
                <w:rFonts w:ascii="Arial Narrow" w:eastAsia="Times New Roman" w:hAnsi="Arial Narrow" w:cs="Calibri"/>
                <w:b/>
                <w:bCs/>
                <w:color w:val="000000"/>
                <w:sz w:val="22"/>
                <w:szCs w:val="22"/>
              </w:rPr>
              <w:t>2</w:t>
            </w:r>
          </w:p>
        </w:tc>
        <w:tc>
          <w:tcPr>
            <w:tcW w:w="467" w:type="dxa"/>
            <w:tcBorders>
              <w:top w:val="single" w:sz="8" w:space="0" w:color="auto"/>
              <w:left w:val="nil"/>
              <w:bottom w:val="single" w:sz="8" w:space="0" w:color="auto"/>
              <w:right w:val="single" w:sz="8" w:space="0" w:color="auto"/>
            </w:tcBorders>
            <w:shd w:val="clear" w:color="auto" w:fill="auto"/>
            <w:noWrap/>
            <w:vAlign w:val="center"/>
            <w:hideMark/>
          </w:tcPr>
          <w:p w14:paraId="23602541" w14:textId="77777777" w:rsidR="00D709B2" w:rsidRPr="00D709B2" w:rsidRDefault="00D709B2" w:rsidP="00D709B2">
            <w:pPr>
              <w:jc w:val="center"/>
              <w:rPr>
                <w:rFonts w:ascii="Arial Narrow" w:eastAsia="Times New Roman" w:hAnsi="Arial Narrow" w:cs="Calibri"/>
                <w:b/>
                <w:bCs/>
                <w:color w:val="000000"/>
                <w:sz w:val="22"/>
                <w:szCs w:val="22"/>
              </w:rPr>
            </w:pPr>
            <w:r w:rsidRPr="00D709B2">
              <w:rPr>
                <w:rFonts w:ascii="Arial Narrow" w:eastAsia="Times New Roman" w:hAnsi="Arial Narrow" w:cs="Calibri"/>
                <w:b/>
                <w:bCs/>
                <w:color w:val="000000"/>
                <w:sz w:val="22"/>
                <w:szCs w:val="22"/>
              </w:rPr>
              <w:t>13.</w:t>
            </w:r>
          </w:p>
        </w:tc>
        <w:tc>
          <w:tcPr>
            <w:tcW w:w="589" w:type="dxa"/>
            <w:tcBorders>
              <w:top w:val="single" w:sz="8" w:space="0" w:color="auto"/>
              <w:left w:val="nil"/>
              <w:bottom w:val="single" w:sz="8" w:space="0" w:color="auto"/>
              <w:right w:val="single" w:sz="8" w:space="0" w:color="auto"/>
            </w:tcBorders>
            <w:shd w:val="clear" w:color="auto" w:fill="auto"/>
            <w:vAlign w:val="center"/>
            <w:hideMark/>
          </w:tcPr>
          <w:p w14:paraId="3A81F4AC" w14:textId="77777777" w:rsidR="00D709B2" w:rsidRPr="00D709B2" w:rsidRDefault="00D709B2" w:rsidP="00D709B2">
            <w:pPr>
              <w:jc w:val="center"/>
              <w:rPr>
                <w:rFonts w:ascii="Arial Narrow" w:eastAsia="Times New Roman" w:hAnsi="Arial Narrow" w:cs="Calibri"/>
                <w:b/>
                <w:bCs/>
                <w:color w:val="000000"/>
                <w:sz w:val="22"/>
                <w:szCs w:val="22"/>
              </w:rPr>
            </w:pPr>
            <w:r w:rsidRPr="00D709B2">
              <w:rPr>
                <w:rFonts w:ascii="Arial Narrow" w:eastAsia="Times New Roman" w:hAnsi="Arial Narrow" w:cs="Calibri"/>
                <w:b/>
                <w:bCs/>
                <w:color w:val="000000"/>
                <w:sz w:val="22"/>
                <w:szCs w:val="22"/>
              </w:rPr>
              <w:t>0</w:t>
            </w: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26943DF5" w14:textId="77777777" w:rsidR="00D709B2" w:rsidRPr="00D709B2" w:rsidRDefault="00D709B2" w:rsidP="00D709B2">
            <w:pPr>
              <w:jc w:val="both"/>
              <w:rPr>
                <w:rFonts w:ascii="Arial Narrow" w:eastAsia="Times New Roman" w:hAnsi="Arial Narrow" w:cs="Calibri"/>
                <w:b/>
                <w:bCs/>
                <w:color w:val="000000"/>
                <w:sz w:val="22"/>
                <w:szCs w:val="22"/>
                <w:lang w:val="es-CR"/>
              </w:rPr>
            </w:pPr>
            <w:r w:rsidRPr="00D709B2">
              <w:rPr>
                <w:rFonts w:ascii="Arial Narrow" w:eastAsia="Times New Roman" w:hAnsi="Arial Narrow" w:cs="Calibri"/>
                <w:b/>
                <w:bCs/>
                <w:color w:val="000000"/>
                <w:sz w:val="22"/>
                <w:szCs w:val="22"/>
                <w:lang w:val="es-CR"/>
              </w:rPr>
              <w:t>Reconocimiento inicial de pasivos financieros</w:t>
            </w:r>
          </w:p>
        </w:tc>
        <w:tc>
          <w:tcPr>
            <w:tcW w:w="2244" w:type="dxa"/>
            <w:tcBorders>
              <w:top w:val="single" w:sz="8" w:space="0" w:color="auto"/>
              <w:left w:val="nil"/>
              <w:bottom w:val="single" w:sz="8" w:space="0" w:color="auto"/>
              <w:right w:val="single" w:sz="8" w:space="0" w:color="auto"/>
            </w:tcBorders>
            <w:shd w:val="clear" w:color="auto" w:fill="auto"/>
            <w:vAlign w:val="center"/>
            <w:hideMark/>
          </w:tcPr>
          <w:p w14:paraId="1453189B" w14:textId="77777777" w:rsidR="006C35CE" w:rsidRDefault="00D709B2" w:rsidP="00D709B2">
            <w:pPr>
              <w:jc w:val="both"/>
              <w:rPr>
                <w:rFonts w:ascii="Arial Narrow" w:eastAsia="Times New Roman" w:hAnsi="Arial Narrow" w:cs="Calibri"/>
                <w:b/>
                <w:bCs/>
                <w:color w:val="000000"/>
                <w:sz w:val="22"/>
                <w:szCs w:val="22"/>
              </w:rPr>
            </w:pPr>
            <w:r w:rsidRPr="00D709B2">
              <w:rPr>
                <w:rFonts w:ascii="Arial Narrow" w:eastAsia="Times New Roman" w:hAnsi="Arial Narrow" w:cs="Calibri"/>
                <w:b/>
                <w:bCs/>
                <w:color w:val="000000"/>
                <w:sz w:val="22"/>
                <w:szCs w:val="22"/>
              </w:rPr>
              <w:t>NICSP N° 29,</w:t>
            </w:r>
          </w:p>
          <w:p w14:paraId="2019A0D2" w14:textId="0497E7F6" w:rsidR="00D709B2" w:rsidRPr="00D709B2" w:rsidRDefault="00D709B2" w:rsidP="00D709B2">
            <w:pPr>
              <w:jc w:val="both"/>
              <w:rPr>
                <w:rFonts w:ascii="Arial Narrow" w:eastAsia="Times New Roman" w:hAnsi="Arial Narrow" w:cs="Calibri"/>
                <w:b/>
                <w:bCs/>
                <w:color w:val="000000"/>
                <w:sz w:val="22"/>
                <w:szCs w:val="22"/>
              </w:rPr>
            </w:pPr>
            <w:r w:rsidRPr="00D709B2">
              <w:rPr>
                <w:rFonts w:ascii="Arial Narrow" w:eastAsia="Times New Roman" w:hAnsi="Arial Narrow" w:cs="Calibri"/>
                <w:b/>
                <w:bCs/>
                <w:color w:val="000000"/>
                <w:sz w:val="22"/>
                <w:szCs w:val="22"/>
              </w:rPr>
              <w:t>Párrafo 16.</w:t>
            </w:r>
          </w:p>
        </w:tc>
        <w:tc>
          <w:tcPr>
            <w:tcW w:w="1943" w:type="dxa"/>
            <w:tcBorders>
              <w:top w:val="single" w:sz="8" w:space="0" w:color="auto"/>
              <w:left w:val="nil"/>
              <w:bottom w:val="single" w:sz="8" w:space="0" w:color="auto"/>
              <w:right w:val="single" w:sz="8" w:space="0" w:color="auto"/>
            </w:tcBorders>
            <w:shd w:val="clear" w:color="auto" w:fill="auto"/>
            <w:vAlign w:val="center"/>
            <w:hideMark/>
          </w:tcPr>
          <w:p w14:paraId="123B5057" w14:textId="77777777" w:rsidR="00D709B2" w:rsidRPr="00D709B2" w:rsidRDefault="00D709B2" w:rsidP="00D709B2">
            <w:pPr>
              <w:jc w:val="center"/>
              <w:rPr>
                <w:rFonts w:ascii="Arial Narrow" w:eastAsia="Times New Roman" w:hAnsi="Arial Narrow" w:cs="Calibri"/>
                <w:b/>
                <w:bCs/>
                <w:color w:val="000000"/>
                <w:sz w:val="22"/>
                <w:szCs w:val="22"/>
              </w:rPr>
            </w:pPr>
            <w:r w:rsidRPr="00D709B2">
              <w:rPr>
                <w:rFonts w:ascii="Arial Narrow" w:eastAsia="Times New Roman" w:hAnsi="Arial Narrow" w:cs="Calibri"/>
                <w:b/>
                <w:bCs/>
                <w:color w:val="000000"/>
                <w:sz w:val="22"/>
                <w:szCs w:val="22"/>
              </w:rPr>
              <w:t xml:space="preserve"> </w:t>
            </w:r>
          </w:p>
        </w:tc>
      </w:tr>
    </w:tbl>
    <w:p w14:paraId="1DB438E9" w14:textId="77777777" w:rsidR="00D709B2" w:rsidRDefault="00D709B2" w:rsidP="00C522E2">
      <w:pPr>
        <w:spacing w:line="238" w:lineRule="auto"/>
        <w:ind w:left="1134" w:right="260" w:hanging="1134"/>
        <w:jc w:val="both"/>
        <w:rPr>
          <w:rFonts w:ascii="Arial" w:eastAsia="Arial" w:hAnsi="Arial"/>
          <w:b/>
          <w:sz w:val="22"/>
          <w:szCs w:val="22"/>
          <w:lang w:val="es-CR"/>
        </w:rPr>
      </w:pPr>
    </w:p>
    <w:p w14:paraId="789DD487" w14:textId="1336EC8C"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7D25683B" w14:textId="77777777" w:rsidR="005A4C96" w:rsidRDefault="005A4C96" w:rsidP="00C522E2">
      <w:pPr>
        <w:spacing w:line="238" w:lineRule="auto"/>
        <w:ind w:left="1134" w:right="260" w:hanging="1134"/>
        <w:jc w:val="both"/>
        <w:rPr>
          <w:rFonts w:ascii="Arial" w:eastAsia="Arial" w:hAnsi="Arial"/>
          <w:b/>
          <w:sz w:val="22"/>
          <w:szCs w:val="22"/>
          <w:lang w:val="es-CR"/>
        </w:rPr>
      </w:pPr>
    </w:p>
    <w:p w14:paraId="2CC1C9EA" w14:textId="7A97B7FB" w:rsidR="006C35CE" w:rsidRPr="006C35CE" w:rsidRDefault="006C35CE" w:rsidP="006C35CE">
      <w:pPr>
        <w:pStyle w:val="Default"/>
        <w:ind w:left="1134" w:hanging="1134"/>
        <w:jc w:val="both"/>
        <w:rPr>
          <w:sz w:val="22"/>
          <w:szCs w:val="22"/>
          <w:lang w:val="es-CR"/>
        </w:rPr>
      </w:pPr>
      <w:r>
        <w:rPr>
          <w:sz w:val="22"/>
          <w:szCs w:val="22"/>
          <w:lang w:val="es-CR"/>
        </w:rPr>
        <w:t>2.13.0.01</w:t>
      </w:r>
      <w:r>
        <w:rPr>
          <w:sz w:val="22"/>
          <w:szCs w:val="22"/>
          <w:lang w:val="es-CR"/>
        </w:rPr>
        <w:tab/>
      </w:r>
      <w:r w:rsidR="00290007">
        <w:rPr>
          <w:sz w:val="22"/>
          <w:szCs w:val="22"/>
          <w:lang w:val="es-CR"/>
        </w:rPr>
        <w:t xml:space="preserve">En la </w:t>
      </w:r>
      <w:r w:rsidR="000F29DC">
        <w:rPr>
          <w:sz w:val="22"/>
          <w:szCs w:val="22"/>
          <w:lang w:val="es-CR"/>
        </w:rPr>
        <w:t>MBA</w:t>
      </w:r>
      <w:r w:rsidR="00290007">
        <w:rPr>
          <w:sz w:val="22"/>
          <w:szCs w:val="22"/>
          <w:lang w:val="es-CR"/>
        </w:rPr>
        <w:t xml:space="preserve"> u</w:t>
      </w:r>
      <w:r w:rsidRPr="006C35CE">
        <w:rPr>
          <w:sz w:val="22"/>
          <w:szCs w:val="22"/>
          <w:lang w:val="es-CR"/>
        </w:rPr>
        <w:t xml:space="preserve">n pasivo financiero se reconocerá en el ESF sólo cuando la </w:t>
      </w:r>
      <w:r w:rsidR="00290007">
        <w:rPr>
          <w:sz w:val="22"/>
          <w:szCs w:val="22"/>
          <w:lang w:val="es-CR"/>
        </w:rPr>
        <w:t>esta</w:t>
      </w:r>
      <w:r w:rsidRPr="006C35CE">
        <w:rPr>
          <w:sz w:val="22"/>
          <w:szCs w:val="22"/>
          <w:lang w:val="es-CR"/>
        </w:rPr>
        <w:t xml:space="preserve"> se convierta en parte obligada, según las cláusulas contractuales del instrumento </w:t>
      </w:r>
      <w:r w:rsidR="00290007">
        <w:rPr>
          <w:sz w:val="22"/>
          <w:szCs w:val="22"/>
          <w:lang w:val="es-CR"/>
        </w:rPr>
        <w:t>que se trate</w:t>
      </w:r>
      <w:r w:rsidRPr="006C35CE">
        <w:rPr>
          <w:sz w:val="22"/>
          <w:szCs w:val="22"/>
          <w:lang w:val="es-CR"/>
        </w:rPr>
        <w:t>.</w:t>
      </w:r>
    </w:p>
    <w:p w14:paraId="62320D9D" w14:textId="285E7F60" w:rsidR="00D709B2" w:rsidRDefault="00D709B2" w:rsidP="00C522E2">
      <w:pPr>
        <w:spacing w:line="238" w:lineRule="auto"/>
        <w:ind w:left="1134" w:right="260" w:hanging="1134"/>
        <w:jc w:val="both"/>
        <w:rPr>
          <w:rFonts w:ascii="Arial" w:eastAsia="Arial" w:hAnsi="Arial"/>
          <w:b/>
          <w:sz w:val="22"/>
          <w:szCs w:val="22"/>
          <w:lang w:val="es-CR"/>
        </w:rPr>
      </w:pPr>
    </w:p>
    <w:p w14:paraId="36095FBB" w14:textId="77777777" w:rsidR="005A4C96" w:rsidRDefault="005A4C96" w:rsidP="00C522E2">
      <w:pPr>
        <w:spacing w:line="238" w:lineRule="auto"/>
        <w:ind w:left="1134" w:right="260" w:hanging="1134"/>
        <w:jc w:val="both"/>
        <w:rPr>
          <w:rFonts w:ascii="Arial" w:eastAsia="Arial" w:hAnsi="Arial"/>
          <w:b/>
          <w:sz w:val="22"/>
          <w:szCs w:val="22"/>
          <w:lang w:val="es-CR"/>
        </w:rPr>
      </w:pPr>
    </w:p>
    <w:p w14:paraId="7E4CDABE" w14:textId="77777777" w:rsidR="00290007" w:rsidRDefault="00290007" w:rsidP="00C522E2">
      <w:pPr>
        <w:spacing w:line="238" w:lineRule="auto"/>
        <w:ind w:left="1134" w:right="260" w:hanging="1134"/>
        <w:jc w:val="both"/>
        <w:rPr>
          <w:rFonts w:ascii="Arial" w:eastAsia="Arial" w:hAnsi="Arial"/>
          <w:b/>
          <w:sz w:val="22"/>
          <w:szCs w:val="22"/>
          <w:lang w:val="es-CR"/>
        </w:rPr>
      </w:pPr>
    </w:p>
    <w:tbl>
      <w:tblPr>
        <w:tblW w:w="9488" w:type="dxa"/>
        <w:tblLook w:val="04A0" w:firstRow="1" w:lastRow="0" w:firstColumn="1" w:lastColumn="0" w:noHBand="0" w:noVBand="1"/>
      </w:tblPr>
      <w:tblGrid>
        <w:gridCol w:w="416"/>
        <w:gridCol w:w="490"/>
        <w:gridCol w:w="589"/>
        <w:gridCol w:w="3666"/>
        <w:gridCol w:w="2241"/>
        <w:gridCol w:w="2086"/>
      </w:tblGrid>
      <w:tr w:rsidR="006C35CE" w:rsidRPr="006C35CE" w14:paraId="66119BFB" w14:textId="77777777" w:rsidTr="006C35CE">
        <w:trPr>
          <w:trHeight w:val="320"/>
        </w:trPr>
        <w:tc>
          <w:tcPr>
            <w:tcW w:w="149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346400A" w14:textId="77777777" w:rsidR="006C35CE" w:rsidRPr="006C35CE" w:rsidRDefault="006C35CE" w:rsidP="006C35CE">
            <w:pPr>
              <w:jc w:val="center"/>
              <w:rPr>
                <w:rFonts w:ascii="Arial Narrow" w:eastAsia="Times New Roman" w:hAnsi="Arial Narrow" w:cs="Calibri"/>
                <w:b/>
                <w:bCs/>
                <w:color w:val="FFFFFF"/>
                <w:sz w:val="22"/>
                <w:szCs w:val="22"/>
              </w:rPr>
            </w:pPr>
            <w:r w:rsidRPr="006C35CE">
              <w:rPr>
                <w:rFonts w:ascii="Arial Narrow" w:eastAsia="Times New Roman" w:hAnsi="Arial Narrow" w:cs="Calibri"/>
                <w:b/>
                <w:bCs/>
                <w:color w:val="FFFFFF"/>
                <w:sz w:val="22"/>
                <w:szCs w:val="22"/>
              </w:rPr>
              <w:t>Norma / Política</w:t>
            </w:r>
          </w:p>
        </w:tc>
        <w:tc>
          <w:tcPr>
            <w:tcW w:w="3666" w:type="dxa"/>
            <w:vMerge w:val="restart"/>
            <w:tcBorders>
              <w:top w:val="single" w:sz="8" w:space="0" w:color="auto"/>
              <w:left w:val="single" w:sz="8" w:space="0" w:color="auto"/>
              <w:bottom w:val="nil"/>
              <w:right w:val="single" w:sz="8" w:space="0" w:color="auto"/>
            </w:tcBorders>
            <w:shd w:val="clear" w:color="000000" w:fill="203764"/>
            <w:vAlign w:val="center"/>
            <w:hideMark/>
          </w:tcPr>
          <w:p w14:paraId="1913B0B4" w14:textId="77777777" w:rsidR="006C35CE" w:rsidRPr="006C35CE" w:rsidRDefault="006C35CE" w:rsidP="006C35CE">
            <w:pPr>
              <w:jc w:val="center"/>
              <w:rPr>
                <w:rFonts w:ascii="Arial Narrow" w:eastAsia="Times New Roman" w:hAnsi="Arial Narrow" w:cs="Calibri"/>
                <w:b/>
                <w:bCs/>
                <w:color w:val="FFFFFF"/>
                <w:sz w:val="22"/>
                <w:szCs w:val="22"/>
              </w:rPr>
            </w:pPr>
            <w:r w:rsidRPr="006C35CE">
              <w:rPr>
                <w:rFonts w:ascii="Arial Narrow" w:eastAsia="Times New Roman" w:hAnsi="Arial Narrow" w:cs="Calibri"/>
                <w:b/>
                <w:bCs/>
                <w:color w:val="FFFFFF"/>
                <w:sz w:val="22"/>
                <w:szCs w:val="22"/>
              </w:rPr>
              <w:t>Concepto</w:t>
            </w:r>
          </w:p>
        </w:tc>
        <w:tc>
          <w:tcPr>
            <w:tcW w:w="4327" w:type="dxa"/>
            <w:gridSpan w:val="2"/>
            <w:tcBorders>
              <w:top w:val="single" w:sz="8" w:space="0" w:color="auto"/>
              <w:left w:val="nil"/>
              <w:bottom w:val="single" w:sz="8" w:space="0" w:color="auto"/>
              <w:right w:val="single" w:sz="8" w:space="0" w:color="000000"/>
            </w:tcBorders>
            <w:shd w:val="clear" w:color="000000" w:fill="203764"/>
            <w:vAlign w:val="center"/>
            <w:hideMark/>
          </w:tcPr>
          <w:p w14:paraId="236EA08A" w14:textId="77777777" w:rsidR="006C35CE" w:rsidRPr="006C35CE" w:rsidRDefault="006C35CE" w:rsidP="006C35CE">
            <w:pPr>
              <w:jc w:val="center"/>
              <w:rPr>
                <w:rFonts w:ascii="Arial Narrow" w:eastAsia="Times New Roman" w:hAnsi="Arial Narrow" w:cs="Calibri"/>
                <w:b/>
                <w:bCs/>
                <w:color w:val="FFFFFF"/>
                <w:sz w:val="22"/>
                <w:szCs w:val="22"/>
              </w:rPr>
            </w:pPr>
            <w:r w:rsidRPr="006C35CE">
              <w:rPr>
                <w:rFonts w:ascii="Arial Narrow" w:eastAsia="Times New Roman" w:hAnsi="Arial Narrow" w:cs="Calibri"/>
                <w:b/>
                <w:bCs/>
                <w:color w:val="FFFFFF"/>
                <w:sz w:val="22"/>
                <w:szCs w:val="22"/>
              </w:rPr>
              <w:t>Referencia</w:t>
            </w:r>
          </w:p>
        </w:tc>
      </w:tr>
      <w:tr w:rsidR="006C35CE" w:rsidRPr="006E5442" w14:paraId="7763817E" w14:textId="77777777" w:rsidTr="006C35CE">
        <w:trPr>
          <w:trHeight w:val="940"/>
        </w:trPr>
        <w:tc>
          <w:tcPr>
            <w:tcW w:w="1495" w:type="dxa"/>
            <w:gridSpan w:val="3"/>
            <w:vMerge/>
            <w:tcBorders>
              <w:top w:val="single" w:sz="8" w:space="0" w:color="auto"/>
              <w:left w:val="single" w:sz="8" w:space="0" w:color="auto"/>
              <w:bottom w:val="nil"/>
              <w:right w:val="single" w:sz="8" w:space="0" w:color="000000"/>
            </w:tcBorders>
            <w:vAlign w:val="center"/>
            <w:hideMark/>
          </w:tcPr>
          <w:p w14:paraId="4C99E1D2" w14:textId="77777777" w:rsidR="006C35CE" w:rsidRPr="006C35CE" w:rsidRDefault="006C35CE" w:rsidP="006C35CE">
            <w:pPr>
              <w:rPr>
                <w:rFonts w:ascii="Arial Narrow" w:eastAsia="Times New Roman" w:hAnsi="Arial Narrow" w:cs="Calibri"/>
                <w:b/>
                <w:bCs/>
                <w:color w:val="FFFFFF"/>
                <w:sz w:val="22"/>
                <w:szCs w:val="22"/>
              </w:rPr>
            </w:pPr>
          </w:p>
        </w:tc>
        <w:tc>
          <w:tcPr>
            <w:tcW w:w="3666" w:type="dxa"/>
            <w:vMerge/>
            <w:tcBorders>
              <w:top w:val="single" w:sz="8" w:space="0" w:color="auto"/>
              <w:left w:val="single" w:sz="8" w:space="0" w:color="auto"/>
              <w:bottom w:val="nil"/>
              <w:right w:val="single" w:sz="8" w:space="0" w:color="auto"/>
            </w:tcBorders>
            <w:vAlign w:val="center"/>
            <w:hideMark/>
          </w:tcPr>
          <w:p w14:paraId="467915DF" w14:textId="77777777" w:rsidR="006C35CE" w:rsidRPr="006C35CE" w:rsidRDefault="006C35CE" w:rsidP="006C35CE">
            <w:pPr>
              <w:rPr>
                <w:rFonts w:ascii="Arial Narrow" w:eastAsia="Times New Roman" w:hAnsi="Arial Narrow" w:cs="Calibri"/>
                <w:b/>
                <w:bCs/>
                <w:color w:val="FFFFFF"/>
                <w:sz w:val="22"/>
                <w:szCs w:val="22"/>
              </w:rPr>
            </w:pPr>
          </w:p>
        </w:tc>
        <w:tc>
          <w:tcPr>
            <w:tcW w:w="2241" w:type="dxa"/>
            <w:tcBorders>
              <w:top w:val="nil"/>
              <w:left w:val="nil"/>
              <w:bottom w:val="nil"/>
              <w:right w:val="single" w:sz="8" w:space="0" w:color="auto"/>
            </w:tcBorders>
            <w:shd w:val="clear" w:color="000000" w:fill="203764"/>
            <w:vAlign w:val="center"/>
            <w:hideMark/>
          </w:tcPr>
          <w:p w14:paraId="2E48EB06" w14:textId="77777777" w:rsidR="006C35CE" w:rsidRPr="006C35CE" w:rsidRDefault="006C35CE" w:rsidP="006C35CE">
            <w:pPr>
              <w:jc w:val="center"/>
              <w:rPr>
                <w:rFonts w:ascii="Arial Narrow" w:eastAsia="Times New Roman" w:hAnsi="Arial Narrow" w:cs="Calibri"/>
                <w:b/>
                <w:bCs/>
                <w:color w:val="FFFFFF"/>
                <w:sz w:val="22"/>
                <w:szCs w:val="22"/>
              </w:rPr>
            </w:pPr>
            <w:r w:rsidRPr="006C35CE">
              <w:rPr>
                <w:rFonts w:ascii="Arial Narrow" w:eastAsia="Times New Roman" w:hAnsi="Arial Narrow" w:cs="Calibri"/>
                <w:b/>
                <w:bCs/>
                <w:color w:val="FFFFFF"/>
                <w:sz w:val="22"/>
                <w:szCs w:val="22"/>
              </w:rPr>
              <w:t>Norma</w:t>
            </w:r>
          </w:p>
        </w:tc>
        <w:tc>
          <w:tcPr>
            <w:tcW w:w="2086" w:type="dxa"/>
            <w:tcBorders>
              <w:top w:val="nil"/>
              <w:left w:val="nil"/>
              <w:bottom w:val="nil"/>
              <w:right w:val="single" w:sz="8" w:space="0" w:color="auto"/>
            </w:tcBorders>
            <w:shd w:val="clear" w:color="000000" w:fill="203764"/>
            <w:vAlign w:val="center"/>
            <w:hideMark/>
          </w:tcPr>
          <w:p w14:paraId="3E6D04F2" w14:textId="77777777" w:rsidR="006C35CE" w:rsidRPr="006C35CE" w:rsidRDefault="006C35CE" w:rsidP="006C35CE">
            <w:pPr>
              <w:jc w:val="center"/>
              <w:rPr>
                <w:rFonts w:ascii="Arial Narrow" w:eastAsia="Times New Roman" w:hAnsi="Arial Narrow" w:cs="Calibri"/>
                <w:b/>
                <w:bCs/>
                <w:color w:val="FFFFFF"/>
                <w:sz w:val="22"/>
                <w:szCs w:val="22"/>
                <w:lang w:val="es-CR"/>
              </w:rPr>
            </w:pPr>
            <w:r w:rsidRPr="006C35CE">
              <w:rPr>
                <w:rFonts w:ascii="Arial Narrow" w:eastAsia="Times New Roman" w:hAnsi="Arial Narrow" w:cs="Calibri"/>
                <w:b/>
                <w:bCs/>
                <w:color w:val="FFFFFF"/>
                <w:sz w:val="22"/>
                <w:szCs w:val="22"/>
                <w:lang w:val="es-CR"/>
              </w:rPr>
              <w:t>Normativa técnica y disposiciones adicionales</w:t>
            </w:r>
          </w:p>
        </w:tc>
      </w:tr>
      <w:tr w:rsidR="006C35CE" w:rsidRPr="006C35CE" w14:paraId="50B25FD5" w14:textId="77777777" w:rsidTr="006C35CE">
        <w:trPr>
          <w:trHeight w:val="63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6BA6D9" w14:textId="77777777" w:rsidR="006C35CE" w:rsidRPr="006C35CE" w:rsidRDefault="006C35CE" w:rsidP="006C35CE">
            <w:pPr>
              <w:jc w:val="center"/>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2.</w:t>
            </w:r>
          </w:p>
        </w:tc>
        <w:tc>
          <w:tcPr>
            <w:tcW w:w="490" w:type="dxa"/>
            <w:tcBorders>
              <w:top w:val="single" w:sz="8" w:space="0" w:color="auto"/>
              <w:left w:val="nil"/>
              <w:bottom w:val="single" w:sz="8" w:space="0" w:color="auto"/>
              <w:right w:val="single" w:sz="8" w:space="0" w:color="auto"/>
            </w:tcBorders>
            <w:shd w:val="clear" w:color="auto" w:fill="auto"/>
            <w:noWrap/>
            <w:vAlign w:val="center"/>
            <w:hideMark/>
          </w:tcPr>
          <w:p w14:paraId="1FECB836" w14:textId="77777777" w:rsidR="006C35CE" w:rsidRPr="006C35CE" w:rsidRDefault="006C35CE" w:rsidP="006C35CE">
            <w:pPr>
              <w:jc w:val="center"/>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15.</w:t>
            </w:r>
          </w:p>
        </w:tc>
        <w:tc>
          <w:tcPr>
            <w:tcW w:w="589" w:type="dxa"/>
            <w:tcBorders>
              <w:top w:val="single" w:sz="8" w:space="0" w:color="auto"/>
              <w:left w:val="nil"/>
              <w:bottom w:val="single" w:sz="8" w:space="0" w:color="auto"/>
              <w:right w:val="single" w:sz="8" w:space="0" w:color="auto"/>
            </w:tcBorders>
            <w:shd w:val="clear" w:color="auto" w:fill="auto"/>
            <w:vAlign w:val="center"/>
            <w:hideMark/>
          </w:tcPr>
          <w:p w14:paraId="5763C03D" w14:textId="77777777" w:rsidR="006C35CE" w:rsidRPr="006C35CE" w:rsidRDefault="006C35CE" w:rsidP="006C35CE">
            <w:pPr>
              <w:jc w:val="center"/>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0</w:t>
            </w:r>
          </w:p>
        </w:tc>
        <w:tc>
          <w:tcPr>
            <w:tcW w:w="3666" w:type="dxa"/>
            <w:tcBorders>
              <w:top w:val="single" w:sz="8" w:space="0" w:color="auto"/>
              <w:left w:val="nil"/>
              <w:bottom w:val="single" w:sz="8" w:space="0" w:color="auto"/>
              <w:right w:val="single" w:sz="8" w:space="0" w:color="auto"/>
            </w:tcBorders>
            <w:shd w:val="clear" w:color="auto" w:fill="auto"/>
            <w:vAlign w:val="center"/>
            <w:hideMark/>
          </w:tcPr>
          <w:p w14:paraId="28D2CF16" w14:textId="77777777" w:rsidR="006C35CE" w:rsidRPr="006C35CE" w:rsidRDefault="006C35CE" w:rsidP="006C35CE">
            <w:pPr>
              <w:jc w:val="both"/>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Medición inicial</w:t>
            </w:r>
          </w:p>
        </w:tc>
        <w:tc>
          <w:tcPr>
            <w:tcW w:w="2241" w:type="dxa"/>
            <w:tcBorders>
              <w:top w:val="single" w:sz="8" w:space="0" w:color="auto"/>
              <w:left w:val="nil"/>
              <w:bottom w:val="single" w:sz="8" w:space="0" w:color="auto"/>
              <w:right w:val="single" w:sz="8" w:space="0" w:color="auto"/>
            </w:tcBorders>
            <w:shd w:val="clear" w:color="auto" w:fill="auto"/>
            <w:vAlign w:val="center"/>
            <w:hideMark/>
          </w:tcPr>
          <w:p w14:paraId="6F21D8E0" w14:textId="77777777" w:rsidR="006C35CE" w:rsidRPr="006C35CE" w:rsidRDefault="006C35CE" w:rsidP="006C35CE">
            <w:pPr>
              <w:jc w:val="both"/>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NICSP N° 29,</w:t>
            </w:r>
          </w:p>
          <w:p w14:paraId="3A5F3A30" w14:textId="46F80E9E" w:rsidR="006C35CE" w:rsidRPr="006C35CE" w:rsidRDefault="006C35CE" w:rsidP="006C35CE">
            <w:pPr>
              <w:jc w:val="both"/>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Párrafo 45.</w:t>
            </w:r>
          </w:p>
        </w:tc>
        <w:tc>
          <w:tcPr>
            <w:tcW w:w="2086" w:type="dxa"/>
            <w:tcBorders>
              <w:top w:val="single" w:sz="8" w:space="0" w:color="auto"/>
              <w:left w:val="nil"/>
              <w:bottom w:val="single" w:sz="8" w:space="0" w:color="auto"/>
              <w:right w:val="single" w:sz="8" w:space="0" w:color="auto"/>
            </w:tcBorders>
            <w:shd w:val="clear" w:color="auto" w:fill="auto"/>
            <w:vAlign w:val="center"/>
            <w:hideMark/>
          </w:tcPr>
          <w:p w14:paraId="724809F1" w14:textId="77777777" w:rsidR="006C35CE" w:rsidRPr="006C35CE" w:rsidRDefault="006C35CE" w:rsidP="006C35CE">
            <w:pPr>
              <w:jc w:val="center"/>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 xml:space="preserve"> </w:t>
            </w:r>
          </w:p>
        </w:tc>
      </w:tr>
    </w:tbl>
    <w:p w14:paraId="301D6DF5" w14:textId="77777777" w:rsidR="00290007" w:rsidRDefault="00290007" w:rsidP="00C55377">
      <w:pPr>
        <w:spacing w:line="238" w:lineRule="auto"/>
        <w:ind w:right="260"/>
        <w:jc w:val="both"/>
        <w:rPr>
          <w:rFonts w:ascii="Arial" w:eastAsia="Arial" w:hAnsi="Arial"/>
          <w:b/>
          <w:sz w:val="22"/>
          <w:szCs w:val="22"/>
          <w:lang w:val="es-CR"/>
        </w:rPr>
      </w:pPr>
    </w:p>
    <w:p w14:paraId="427F8468" w14:textId="31075529" w:rsidR="005A4C96" w:rsidRDefault="005A4C96" w:rsidP="00C55377">
      <w:pPr>
        <w:spacing w:line="238" w:lineRule="auto"/>
        <w:ind w:right="260"/>
        <w:jc w:val="both"/>
        <w:rPr>
          <w:rFonts w:ascii="Arial" w:eastAsia="Arial" w:hAnsi="Arial"/>
          <w:b/>
          <w:sz w:val="22"/>
          <w:szCs w:val="22"/>
        </w:rPr>
      </w:pPr>
      <w:r w:rsidRPr="00F02F9D">
        <w:rPr>
          <w:rFonts w:ascii="Arial" w:eastAsia="Arial" w:hAnsi="Arial"/>
          <w:b/>
          <w:sz w:val="22"/>
          <w:szCs w:val="22"/>
        </w:rPr>
        <w:t>Políticas Contables</w:t>
      </w:r>
    </w:p>
    <w:p w14:paraId="27725B9A" w14:textId="77777777" w:rsidR="005A4C96" w:rsidRDefault="005A4C96" w:rsidP="00C55377">
      <w:pPr>
        <w:spacing w:line="238" w:lineRule="auto"/>
        <w:ind w:right="260"/>
        <w:jc w:val="both"/>
        <w:rPr>
          <w:rFonts w:ascii="Arial" w:eastAsia="Arial" w:hAnsi="Arial"/>
          <w:b/>
          <w:sz w:val="22"/>
          <w:szCs w:val="22"/>
          <w:lang w:val="es-CR"/>
        </w:rPr>
      </w:pPr>
    </w:p>
    <w:p w14:paraId="21C6274B" w14:textId="7596C1C0" w:rsidR="00D709B2" w:rsidRPr="006C35CE" w:rsidRDefault="006C35CE" w:rsidP="006C35CE">
      <w:pPr>
        <w:pStyle w:val="Default"/>
        <w:ind w:left="1134" w:hanging="1134"/>
        <w:jc w:val="both"/>
        <w:rPr>
          <w:sz w:val="22"/>
          <w:szCs w:val="22"/>
          <w:lang w:val="es-CR"/>
        </w:rPr>
      </w:pPr>
      <w:r>
        <w:rPr>
          <w:sz w:val="22"/>
          <w:szCs w:val="22"/>
          <w:lang w:val="es-CR"/>
        </w:rPr>
        <w:t>2.15.0.01</w:t>
      </w:r>
      <w:r>
        <w:rPr>
          <w:sz w:val="22"/>
          <w:szCs w:val="22"/>
          <w:lang w:val="es-CR"/>
        </w:rPr>
        <w:tab/>
      </w:r>
      <w:r w:rsidRPr="006C35CE">
        <w:rPr>
          <w:sz w:val="22"/>
          <w:szCs w:val="22"/>
          <w:lang w:val="es-CR"/>
        </w:rPr>
        <w:t xml:space="preserve">Al reconocer inicialmente un pasivo financiero, </w:t>
      </w:r>
      <w:r>
        <w:rPr>
          <w:sz w:val="22"/>
          <w:szCs w:val="22"/>
          <w:lang w:val="es-CR"/>
        </w:rPr>
        <w:t>l</w:t>
      </w:r>
      <w:r w:rsidRPr="006C35CE">
        <w:rPr>
          <w:sz w:val="22"/>
          <w:szCs w:val="22"/>
          <w:lang w:val="es-CR"/>
        </w:rPr>
        <w:t xml:space="preserve">a </w:t>
      </w:r>
      <w:r>
        <w:rPr>
          <w:sz w:val="22"/>
          <w:szCs w:val="22"/>
          <w:lang w:val="es-CR"/>
        </w:rPr>
        <w:t>Municipalidad</w:t>
      </w:r>
      <w:r w:rsidRPr="006C35CE">
        <w:rPr>
          <w:sz w:val="22"/>
          <w:szCs w:val="22"/>
          <w:lang w:val="es-CR"/>
        </w:rPr>
        <w:t xml:space="preserve"> lo medirá por su valor razonable más los costos que sean directamente atribuibles a la transacción, excepto en el caso de un pasivo financiero que se contabilice al valor razonable con </w:t>
      </w:r>
      <w:r w:rsidR="0021354A" w:rsidRPr="006C35CE">
        <w:rPr>
          <w:sz w:val="22"/>
          <w:szCs w:val="22"/>
          <w:lang w:val="es-CR"/>
        </w:rPr>
        <w:t>ca</w:t>
      </w:r>
      <w:r w:rsidR="0021354A">
        <w:rPr>
          <w:sz w:val="22"/>
          <w:szCs w:val="22"/>
          <w:lang w:val="es-CR"/>
        </w:rPr>
        <w:t>mbi</w:t>
      </w:r>
      <w:r w:rsidR="0021354A" w:rsidRPr="006C35CE">
        <w:rPr>
          <w:sz w:val="22"/>
          <w:szCs w:val="22"/>
          <w:lang w:val="es-CR"/>
        </w:rPr>
        <w:t>os</w:t>
      </w:r>
      <w:r w:rsidRPr="006C35CE">
        <w:rPr>
          <w:sz w:val="22"/>
          <w:szCs w:val="22"/>
          <w:lang w:val="es-CR"/>
        </w:rPr>
        <w:t xml:space="preserve"> en resultados.</w:t>
      </w:r>
    </w:p>
    <w:p w14:paraId="6BABD96A" w14:textId="77777777" w:rsidR="00D709B2" w:rsidRDefault="00D709B2" w:rsidP="00C522E2">
      <w:pPr>
        <w:spacing w:line="238" w:lineRule="auto"/>
        <w:ind w:left="1134" w:right="260" w:hanging="1134"/>
        <w:jc w:val="both"/>
        <w:rPr>
          <w:rFonts w:ascii="Arial" w:eastAsia="Arial" w:hAnsi="Arial"/>
          <w:b/>
          <w:sz w:val="22"/>
          <w:szCs w:val="22"/>
          <w:lang w:val="es-CR"/>
        </w:rPr>
      </w:pPr>
    </w:p>
    <w:p w14:paraId="288FD2C2" w14:textId="77777777" w:rsidR="00290007" w:rsidRDefault="00290007" w:rsidP="00C522E2">
      <w:pPr>
        <w:spacing w:line="238" w:lineRule="auto"/>
        <w:ind w:left="1134" w:right="260" w:hanging="1134"/>
        <w:jc w:val="both"/>
        <w:rPr>
          <w:rFonts w:ascii="Arial" w:eastAsia="Arial" w:hAnsi="Arial"/>
          <w:b/>
          <w:sz w:val="22"/>
          <w:szCs w:val="22"/>
          <w:lang w:val="es-CR"/>
        </w:rPr>
      </w:pPr>
    </w:p>
    <w:p w14:paraId="0E79F11C" w14:textId="77777777" w:rsidR="00D709B2" w:rsidRDefault="00D709B2" w:rsidP="00C522E2">
      <w:pPr>
        <w:spacing w:line="238" w:lineRule="auto"/>
        <w:ind w:left="1134" w:right="260" w:hanging="1134"/>
        <w:jc w:val="both"/>
        <w:rPr>
          <w:rFonts w:ascii="Arial" w:eastAsia="Arial" w:hAnsi="Arial"/>
          <w:b/>
          <w:sz w:val="22"/>
          <w:szCs w:val="22"/>
          <w:lang w:val="es-CR"/>
        </w:rPr>
      </w:pPr>
    </w:p>
    <w:tbl>
      <w:tblPr>
        <w:tblW w:w="9346" w:type="dxa"/>
        <w:tblLook w:val="04A0" w:firstRow="1" w:lastRow="0" w:firstColumn="1" w:lastColumn="0" w:noHBand="0" w:noVBand="1"/>
      </w:tblPr>
      <w:tblGrid>
        <w:gridCol w:w="612"/>
        <w:gridCol w:w="467"/>
        <w:gridCol w:w="589"/>
        <w:gridCol w:w="3567"/>
        <w:gridCol w:w="2247"/>
        <w:gridCol w:w="1864"/>
      </w:tblGrid>
      <w:tr w:rsidR="006C35CE" w:rsidRPr="006C35CE" w14:paraId="69D41474" w14:textId="77777777" w:rsidTr="0064345E">
        <w:trPr>
          <w:trHeight w:val="320"/>
        </w:trPr>
        <w:tc>
          <w:tcPr>
            <w:tcW w:w="166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C2C7441" w14:textId="77777777" w:rsidR="006C35CE" w:rsidRPr="006C35CE" w:rsidRDefault="006C35CE" w:rsidP="006C35CE">
            <w:pPr>
              <w:jc w:val="center"/>
              <w:rPr>
                <w:rFonts w:ascii="Arial Narrow" w:eastAsia="Times New Roman" w:hAnsi="Arial Narrow" w:cs="Calibri"/>
                <w:b/>
                <w:bCs/>
                <w:color w:val="FFFFFF"/>
                <w:sz w:val="22"/>
                <w:szCs w:val="22"/>
              </w:rPr>
            </w:pPr>
            <w:r w:rsidRPr="006C35CE">
              <w:rPr>
                <w:rFonts w:ascii="Arial Narrow" w:eastAsia="Times New Roman" w:hAnsi="Arial Narrow" w:cs="Calibri"/>
                <w:b/>
                <w:bCs/>
                <w:color w:val="FFFFFF"/>
                <w:sz w:val="22"/>
                <w:szCs w:val="22"/>
              </w:rPr>
              <w:t>Norma / Política</w:t>
            </w:r>
          </w:p>
        </w:tc>
        <w:tc>
          <w:tcPr>
            <w:tcW w:w="3567" w:type="dxa"/>
            <w:vMerge w:val="restart"/>
            <w:tcBorders>
              <w:top w:val="single" w:sz="8" w:space="0" w:color="auto"/>
              <w:left w:val="single" w:sz="8" w:space="0" w:color="auto"/>
              <w:bottom w:val="nil"/>
              <w:right w:val="single" w:sz="8" w:space="0" w:color="auto"/>
            </w:tcBorders>
            <w:shd w:val="clear" w:color="000000" w:fill="203764"/>
            <w:vAlign w:val="center"/>
            <w:hideMark/>
          </w:tcPr>
          <w:p w14:paraId="1074C2A6" w14:textId="77777777" w:rsidR="006C35CE" w:rsidRPr="006C35CE" w:rsidRDefault="006C35CE" w:rsidP="006C35CE">
            <w:pPr>
              <w:jc w:val="center"/>
              <w:rPr>
                <w:rFonts w:ascii="Arial Narrow" w:eastAsia="Times New Roman" w:hAnsi="Arial Narrow" w:cs="Calibri"/>
                <w:b/>
                <w:bCs/>
                <w:color w:val="FFFFFF"/>
                <w:sz w:val="22"/>
                <w:szCs w:val="22"/>
              </w:rPr>
            </w:pPr>
            <w:r w:rsidRPr="006C35CE">
              <w:rPr>
                <w:rFonts w:ascii="Arial Narrow" w:eastAsia="Times New Roman" w:hAnsi="Arial Narrow" w:cs="Calibri"/>
                <w:b/>
                <w:bCs/>
                <w:color w:val="FFFFFF"/>
                <w:sz w:val="22"/>
                <w:szCs w:val="22"/>
              </w:rPr>
              <w:t>Concepto</w:t>
            </w:r>
          </w:p>
        </w:tc>
        <w:tc>
          <w:tcPr>
            <w:tcW w:w="4111" w:type="dxa"/>
            <w:gridSpan w:val="2"/>
            <w:tcBorders>
              <w:top w:val="single" w:sz="8" w:space="0" w:color="auto"/>
              <w:left w:val="nil"/>
              <w:bottom w:val="single" w:sz="8" w:space="0" w:color="auto"/>
              <w:right w:val="single" w:sz="8" w:space="0" w:color="000000"/>
            </w:tcBorders>
            <w:shd w:val="clear" w:color="000000" w:fill="203764"/>
            <w:vAlign w:val="center"/>
            <w:hideMark/>
          </w:tcPr>
          <w:p w14:paraId="6A5C1665" w14:textId="77777777" w:rsidR="006C35CE" w:rsidRPr="006C35CE" w:rsidRDefault="006C35CE" w:rsidP="006C35CE">
            <w:pPr>
              <w:jc w:val="center"/>
              <w:rPr>
                <w:rFonts w:ascii="Arial Narrow" w:eastAsia="Times New Roman" w:hAnsi="Arial Narrow" w:cs="Calibri"/>
                <w:b/>
                <w:bCs/>
                <w:color w:val="FFFFFF"/>
                <w:sz w:val="22"/>
                <w:szCs w:val="22"/>
              </w:rPr>
            </w:pPr>
            <w:r w:rsidRPr="006C35CE">
              <w:rPr>
                <w:rFonts w:ascii="Arial Narrow" w:eastAsia="Times New Roman" w:hAnsi="Arial Narrow" w:cs="Calibri"/>
                <w:b/>
                <w:bCs/>
                <w:color w:val="FFFFFF"/>
                <w:sz w:val="22"/>
                <w:szCs w:val="22"/>
              </w:rPr>
              <w:t>Referencia</w:t>
            </w:r>
          </w:p>
        </w:tc>
      </w:tr>
      <w:tr w:rsidR="006C35CE" w:rsidRPr="006E5442" w14:paraId="2D3D328A" w14:textId="77777777" w:rsidTr="0064345E">
        <w:trPr>
          <w:trHeight w:val="940"/>
        </w:trPr>
        <w:tc>
          <w:tcPr>
            <w:tcW w:w="1668" w:type="dxa"/>
            <w:gridSpan w:val="3"/>
            <w:vMerge/>
            <w:tcBorders>
              <w:top w:val="single" w:sz="8" w:space="0" w:color="auto"/>
              <w:left w:val="single" w:sz="8" w:space="0" w:color="auto"/>
              <w:bottom w:val="nil"/>
              <w:right w:val="single" w:sz="8" w:space="0" w:color="000000"/>
            </w:tcBorders>
            <w:vAlign w:val="center"/>
            <w:hideMark/>
          </w:tcPr>
          <w:p w14:paraId="08219856" w14:textId="77777777" w:rsidR="006C35CE" w:rsidRPr="006C35CE" w:rsidRDefault="006C35CE" w:rsidP="006C35CE">
            <w:pPr>
              <w:rPr>
                <w:rFonts w:ascii="Arial Narrow" w:eastAsia="Times New Roman" w:hAnsi="Arial Narrow" w:cs="Calibri"/>
                <w:b/>
                <w:bCs/>
                <w:color w:val="FFFFFF"/>
                <w:sz w:val="22"/>
                <w:szCs w:val="22"/>
              </w:rPr>
            </w:pPr>
          </w:p>
        </w:tc>
        <w:tc>
          <w:tcPr>
            <w:tcW w:w="3567" w:type="dxa"/>
            <w:vMerge/>
            <w:tcBorders>
              <w:top w:val="single" w:sz="8" w:space="0" w:color="auto"/>
              <w:left w:val="single" w:sz="8" w:space="0" w:color="auto"/>
              <w:bottom w:val="nil"/>
              <w:right w:val="single" w:sz="8" w:space="0" w:color="auto"/>
            </w:tcBorders>
            <w:vAlign w:val="center"/>
            <w:hideMark/>
          </w:tcPr>
          <w:p w14:paraId="0BDDC7D4" w14:textId="77777777" w:rsidR="006C35CE" w:rsidRPr="006C35CE" w:rsidRDefault="006C35CE" w:rsidP="006C35CE">
            <w:pPr>
              <w:rPr>
                <w:rFonts w:ascii="Arial Narrow" w:eastAsia="Times New Roman" w:hAnsi="Arial Narrow" w:cs="Calibri"/>
                <w:b/>
                <w:bCs/>
                <w:color w:val="FFFFFF"/>
                <w:sz w:val="22"/>
                <w:szCs w:val="22"/>
              </w:rPr>
            </w:pPr>
          </w:p>
        </w:tc>
        <w:tc>
          <w:tcPr>
            <w:tcW w:w="2247" w:type="dxa"/>
            <w:tcBorders>
              <w:top w:val="nil"/>
              <w:left w:val="nil"/>
              <w:bottom w:val="nil"/>
              <w:right w:val="single" w:sz="8" w:space="0" w:color="auto"/>
            </w:tcBorders>
            <w:shd w:val="clear" w:color="000000" w:fill="203764"/>
            <w:vAlign w:val="center"/>
            <w:hideMark/>
          </w:tcPr>
          <w:p w14:paraId="5647C66A" w14:textId="77777777" w:rsidR="006C35CE" w:rsidRPr="006C35CE" w:rsidRDefault="006C35CE" w:rsidP="006C35CE">
            <w:pPr>
              <w:jc w:val="center"/>
              <w:rPr>
                <w:rFonts w:ascii="Arial Narrow" w:eastAsia="Times New Roman" w:hAnsi="Arial Narrow" w:cs="Calibri"/>
                <w:b/>
                <w:bCs/>
                <w:color w:val="FFFFFF"/>
                <w:sz w:val="22"/>
                <w:szCs w:val="22"/>
              </w:rPr>
            </w:pPr>
            <w:r w:rsidRPr="006C35CE">
              <w:rPr>
                <w:rFonts w:ascii="Arial Narrow" w:eastAsia="Times New Roman" w:hAnsi="Arial Narrow" w:cs="Calibri"/>
                <w:b/>
                <w:bCs/>
                <w:color w:val="FFFFFF"/>
                <w:sz w:val="22"/>
                <w:szCs w:val="22"/>
              </w:rPr>
              <w:t>Norma</w:t>
            </w:r>
          </w:p>
        </w:tc>
        <w:tc>
          <w:tcPr>
            <w:tcW w:w="1864" w:type="dxa"/>
            <w:tcBorders>
              <w:top w:val="nil"/>
              <w:left w:val="nil"/>
              <w:bottom w:val="nil"/>
              <w:right w:val="single" w:sz="8" w:space="0" w:color="auto"/>
            </w:tcBorders>
            <w:shd w:val="clear" w:color="000000" w:fill="203764"/>
            <w:vAlign w:val="center"/>
            <w:hideMark/>
          </w:tcPr>
          <w:p w14:paraId="1A93A567" w14:textId="77777777" w:rsidR="006C35CE" w:rsidRPr="006C35CE" w:rsidRDefault="006C35CE" w:rsidP="006C35CE">
            <w:pPr>
              <w:jc w:val="center"/>
              <w:rPr>
                <w:rFonts w:ascii="Arial Narrow" w:eastAsia="Times New Roman" w:hAnsi="Arial Narrow" w:cs="Calibri"/>
                <w:b/>
                <w:bCs/>
                <w:color w:val="FFFFFF"/>
                <w:sz w:val="22"/>
                <w:szCs w:val="22"/>
                <w:lang w:val="es-CR"/>
              </w:rPr>
            </w:pPr>
            <w:r w:rsidRPr="006C35CE">
              <w:rPr>
                <w:rFonts w:ascii="Arial Narrow" w:eastAsia="Times New Roman" w:hAnsi="Arial Narrow" w:cs="Calibri"/>
                <w:b/>
                <w:bCs/>
                <w:color w:val="FFFFFF"/>
                <w:sz w:val="22"/>
                <w:szCs w:val="22"/>
                <w:lang w:val="es-CR"/>
              </w:rPr>
              <w:t>Normativa técnica y disposiciones adicionales</w:t>
            </w:r>
          </w:p>
        </w:tc>
      </w:tr>
      <w:tr w:rsidR="0064345E" w:rsidRPr="006C35CE" w14:paraId="77EE1004" w14:textId="77777777" w:rsidTr="0064345E">
        <w:trPr>
          <w:trHeight w:val="630"/>
        </w:trPr>
        <w:tc>
          <w:tcPr>
            <w:tcW w:w="6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C8B4F9" w14:textId="77777777" w:rsidR="006C35CE" w:rsidRPr="006C35CE" w:rsidRDefault="006C35CE" w:rsidP="006C35CE">
            <w:pPr>
              <w:jc w:val="center"/>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2.</w:t>
            </w:r>
          </w:p>
        </w:tc>
        <w:tc>
          <w:tcPr>
            <w:tcW w:w="467" w:type="dxa"/>
            <w:tcBorders>
              <w:top w:val="single" w:sz="8" w:space="0" w:color="auto"/>
              <w:left w:val="nil"/>
              <w:bottom w:val="single" w:sz="8" w:space="0" w:color="auto"/>
              <w:right w:val="single" w:sz="8" w:space="0" w:color="auto"/>
            </w:tcBorders>
            <w:shd w:val="clear" w:color="auto" w:fill="auto"/>
            <w:noWrap/>
            <w:vAlign w:val="center"/>
            <w:hideMark/>
          </w:tcPr>
          <w:p w14:paraId="71D369F4" w14:textId="77777777" w:rsidR="006C35CE" w:rsidRPr="006C35CE" w:rsidRDefault="006C35CE" w:rsidP="006C35CE">
            <w:pPr>
              <w:jc w:val="center"/>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16.</w:t>
            </w:r>
          </w:p>
        </w:tc>
        <w:tc>
          <w:tcPr>
            <w:tcW w:w="589" w:type="dxa"/>
            <w:tcBorders>
              <w:top w:val="single" w:sz="8" w:space="0" w:color="auto"/>
              <w:left w:val="nil"/>
              <w:bottom w:val="single" w:sz="8" w:space="0" w:color="auto"/>
              <w:right w:val="single" w:sz="8" w:space="0" w:color="auto"/>
            </w:tcBorders>
            <w:shd w:val="clear" w:color="auto" w:fill="auto"/>
            <w:vAlign w:val="center"/>
            <w:hideMark/>
          </w:tcPr>
          <w:p w14:paraId="5694AA01" w14:textId="77777777" w:rsidR="006C35CE" w:rsidRPr="006C35CE" w:rsidRDefault="006C35CE" w:rsidP="006C35CE">
            <w:pPr>
              <w:jc w:val="center"/>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0</w:t>
            </w:r>
          </w:p>
        </w:tc>
        <w:tc>
          <w:tcPr>
            <w:tcW w:w="3567" w:type="dxa"/>
            <w:tcBorders>
              <w:top w:val="single" w:sz="8" w:space="0" w:color="auto"/>
              <w:left w:val="nil"/>
              <w:bottom w:val="single" w:sz="8" w:space="0" w:color="auto"/>
              <w:right w:val="single" w:sz="8" w:space="0" w:color="auto"/>
            </w:tcBorders>
            <w:shd w:val="clear" w:color="auto" w:fill="auto"/>
            <w:vAlign w:val="center"/>
            <w:hideMark/>
          </w:tcPr>
          <w:p w14:paraId="204AC5A7" w14:textId="77777777" w:rsidR="006C35CE" w:rsidRPr="006C35CE" w:rsidRDefault="006C35CE" w:rsidP="006C35CE">
            <w:pPr>
              <w:jc w:val="both"/>
              <w:rPr>
                <w:rFonts w:ascii="Arial Narrow" w:eastAsia="Times New Roman" w:hAnsi="Arial Narrow" w:cs="Calibri"/>
                <w:b/>
                <w:bCs/>
                <w:color w:val="000000"/>
                <w:sz w:val="22"/>
                <w:szCs w:val="22"/>
                <w:lang w:val="es-CR"/>
              </w:rPr>
            </w:pPr>
            <w:r w:rsidRPr="006C35CE">
              <w:rPr>
                <w:rFonts w:ascii="Arial Narrow" w:eastAsia="Times New Roman" w:hAnsi="Arial Narrow" w:cs="Calibri"/>
                <w:b/>
                <w:bCs/>
                <w:color w:val="000000"/>
                <w:sz w:val="22"/>
                <w:szCs w:val="22"/>
                <w:lang w:val="es-CR"/>
              </w:rPr>
              <w:t>Medición posterior de pasivos financieros</w:t>
            </w:r>
          </w:p>
        </w:tc>
        <w:tc>
          <w:tcPr>
            <w:tcW w:w="2247" w:type="dxa"/>
            <w:tcBorders>
              <w:top w:val="single" w:sz="8" w:space="0" w:color="auto"/>
              <w:left w:val="nil"/>
              <w:bottom w:val="single" w:sz="8" w:space="0" w:color="auto"/>
              <w:right w:val="single" w:sz="8" w:space="0" w:color="auto"/>
            </w:tcBorders>
            <w:shd w:val="clear" w:color="auto" w:fill="auto"/>
            <w:vAlign w:val="center"/>
            <w:hideMark/>
          </w:tcPr>
          <w:p w14:paraId="7D5E9905" w14:textId="77777777" w:rsidR="006C35CE" w:rsidRDefault="006C35CE" w:rsidP="006C35CE">
            <w:pPr>
              <w:jc w:val="both"/>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NICSP N° 29,</w:t>
            </w:r>
          </w:p>
          <w:p w14:paraId="6F8D509C" w14:textId="646EADAA" w:rsidR="006C35CE" w:rsidRPr="006C35CE" w:rsidRDefault="006C35CE" w:rsidP="006C35CE">
            <w:pPr>
              <w:jc w:val="both"/>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Párrafo 49.</w:t>
            </w:r>
          </w:p>
        </w:tc>
        <w:tc>
          <w:tcPr>
            <w:tcW w:w="1864" w:type="dxa"/>
            <w:tcBorders>
              <w:top w:val="single" w:sz="8" w:space="0" w:color="auto"/>
              <w:left w:val="nil"/>
              <w:bottom w:val="single" w:sz="8" w:space="0" w:color="auto"/>
              <w:right w:val="single" w:sz="8" w:space="0" w:color="auto"/>
            </w:tcBorders>
            <w:shd w:val="clear" w:color="auto" w:fill="auto"/>
            <w:vAlign w:val="center"/>
            <w:hideMark/>
          </w:tcPr>
          <w:p w14:paraId="1B5A72AD" w14:textId="77777777" w:rsidR="006C35CE" w:rsidRPr="006C35CE" w:rsidRDefault="006C35CE" w:rsidP="006C35CE">
            <w:pPr>
              <w:jc w:val="center"/>
              <w:rPr>
                <w:rFonts w:ascii="Arial Narrow" w:eastAsia="Times New Roman" w:hAnsi="Arial Narrow" w:cs="Calibri"/>
                <w:b/>
                <w:bCs/>
                <w:color w:val="000000"/>
                <w:sz w:val="22"/>
                <w:szCs w:val="22"/>
              </w:rPr>
            </w:pPr>
            <w:r w:rsidRPr="006C35CE">
              <w:rPr>
                <w:rFonts w:ascii="Arial Narrow" w:eastAsia="Times New Roman" w:hAnsi="Arial Narrow" w:cs="Calibri"/>
                <w:b/>
                <w:bCs/>
                <w:color w:val="000000"/>
                <w:sz w:val="22"/>
                <w:szCs w:val="22"/>
              </w:rPr>
              <w:t xml:space="preserve"> </w:t>
            </w:r>
          </w:p>
        </w:tc>
      </w:tr>
    </w:tbl>
    <w:p w14:paraId="64F5EE41" w14:textId="77777777" w:rsidR="00290007" w:rsidRDefault="00290007" w:rsidP="00C522E2">
      <w:pPr>
        <w:spacing w:line="238" w:lineRule="auto"/>
        <w:ind w:left="1134" w:right="260" w:hanging="1134"/>
        <w:jc w:val="both"/>
        <w:rPr>
          <w:rFonts w:ascii="Arial" w:eastAsia="Arial" w:hAnsi="Arial"/>
          <w:b/>
          <w:sz w:val="22"/>
          <w:szCs w:val="22"/>
          <w:lang w:val="es-CR"/>
        </w:rPr>
      </w:pPr>
    </w:p>
    <w:p w14:paraId="2AFE4881" w14:textId="1DA4AF0B"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21ADA521" w14:textId="77777777" w:rsidR="005A4C96" w:rsidRDefault="005A4C96" w:rsidP="00C522E2">
      <w:pPr>
        <w:spacing w:line="238" w:lineRule="auto"/>
        <w:ind w:left="1134" w:right="260" w:hanging="1134"/>
        <w:jc w:val="both"/>
        <w:rPr>
          <w:rFonts w:ascii="Arial" w:eastAsia="Arial" w:hAnsi="Arial"/>
          <w:b/>
          <w:sz w:val="22"/>
          <w:szCs w:val="22"/>
          <w:lang w:val="es-CR"/>
        </w:rPr>
      </w:pPr>
    </w:p>
    <w:p w14:paraId="2C303B1B" w14:textId="00B701D7" w:rsidR="006C35CE" w:rsidRDefault="0064345E" w:rsidP="0064345E">
      <w:pPr>
        <w:pStyle w:val="Default"/>
        <w:ind w:left="1134" w:hanging="1134"/>
        <w:jc w:val="both"/>
        <w:rPr>
          <w:sz w:val="22"/>
          <w:szCs w:val="22"/>
          <w:lang w:val="es-CR"/>
        </w:rPr>
      </w:pPr>
      <w:r>
        <w:rPr>
          <w:sz w:val="22"/>
          <w:szCs w:val="22"/>
          <w:lang w:val="es-CR"/>
        </w:rPr>
        <w:t>2.16.0.01</w:t>
      </w:r>
      <w:r>
        <w:rPr>
          <w:sz w:val="22"/>
          <w:szCs w:val="22"/>
          <w:lang w:val="es-CR"/>
        </w:rPr>
        <w:tab/>
      </w:r>
      <w:r w:rsidR="006C35CE" w:rsidRPr="006C35CE">
        <w:rPr>
          <w:sz w:val="22"/>
          <w:szCs w:val="22"/>
          <w:lang w:val="es-CR"/>
        </w:rPr>
        <w:t xml:space="preserve">Después del reconocimiento inicial, </w:t>
      </w:r>
      <w:r w:rsidR="006C35CE">
        <w:rPr>
          <w:sz w:val="22"/>
          <w:szCs w:val="22"/>
          <w:lang w:val="es-CR"/>
        </w:rPr>
        <w:t>l</w:t>
      </w:r>
      <w:r w:rsidR="006C35CE" w:rsidRPr="006C35CE">
        <w:rPr>
          <w:sz w:val="22"/>
          <w:szCs w:val="22"/>
          <w:lang w:val="es-CR"/>
        </w:rPr>
        <w:t xml:space="preserve">a </w:t>
      </w:r>
      <w:r w:rsidR="006C35CE">
        <w:rPr>
          <w:sz w:val="22"/>
          <w:szCs w:val="22"/>
          <w:lang w:val="es-CR"/>
        </w:rPr>
        <w:t>Municipalidad</w:t>
      </w:r>
      <w:r w:rsidR="006C35CE" w:rsidRPr="006C35CE">
        <w:rPr>
          <w:sz w:val="22"/>
          <w:szCs w:val="22"/>
          <w:lang w:val="es-CR"/>
        </w:rPr>
        <w:t xml:space="preserve"> valorará todos sus pasivos financieros al costo amortizado, utilizando el método de la tasa de interés efectiva, es decir, conforme lo desarrollado en el Capítulo correspondiente al Activo del presente P</w:t>
      </w:r>
      <w:r>
        <w:rPr>
          <w:sz w:val="22"/>
          <w:szCs w:val="22"/>
          <w:lang w:val="es-CR"/>
        </w:rPr>
        <w:t>lan Contable.</w:t>
      </w:r>
    </w:p>
    <w:p w14:paraId="0FC90D8C" w14:textId="77777777" w:rsidR="0064345E" w:rsidRDefault="0064345E" w:rsidP="0064345E">
      <w:pPr>
        <w:pStyle w:val="Default"/>
        <w:ind w:left="1134" w:hanging="1134"/>
        <w:jc w:val="both"/>
        <w:rPr>
          <w:sz w:val="22"/>
          <w:szCs w:val="22"/>
          <w:lang w:val="es-CR"/>
        </w:rPr>
      </w:pPr>
    </w:p>
    <w:p w14:paraId="53D265ED" w14:textId="2A559B82" w:rsidR="006C35CE" w:rsidRPr="00C55377" w:rsidRDefault="0064345E" w:rsidP="00C55377">
      <w:pPr>
        <w:pStyle w:val="Ttulo2"/>
        <w:ind w:left="284"/>
        <w:rPr>
          <w:rFonts w:ascii="Arial" w:eastAsia="Arial" w:hAnsi="Arial" w:cs="Arial"/>
          <w:b/>
          <w:bCs/>
          <w:sz w:val="20"/>
          <w:szCs w:val="20"/>
          <w:lang w:val="es-CR"/>
        </w:rPr>
      </w:pPr>
      <w:bookmarkStart w:id="89" w:name="_Toc172726226"/>
      <w:r w:rsidRPr="00C55377">
        <w:rPr>
          <w:rFonts w:ascii="Arial" w:eastAsia="Arial" w:hAnsi="Arial" w:cs="Arial"/>
          <w:b/>
          <w:bCs/>
          <w:sz w:val="20"/>
          <w:szCs w:val="20"/>
          <w:lang w:val="es-CR"/>
        </w:rPr>
        <w:t>Baja en cuentas de un pasivo financiero</w:t>
      </w:r>
      <w:bookmarkEnd w:id="89"/>
    </w:p>
    <w:p w14:paraId="681EAC5A" w14:textId="77777777" w:rsidR="006C35CE" w:rsidRDefault="006C35CE" w:rsidP="00C522E2">
      <w:pPr>
        <w:spacing w:line="238" w:lineRule="auto"/>
        <w:ind w:left="1134" w:right="260" w:hanging="1134"/>
        <w:jc w:val="both"/>
        <w:rPr>
          <w:rFonts w:ascii="Arial" w:eastAsia="Arial" w:hAnsi="Arial"/>
          <w:b/>
          <w:sz w:val="22"/>
          <w:szCs w:val="22"/>
          <w:lang w:val="es-CR"/>
        </w:rPr>
      </w:pPr>
    </w:p>
    <w:tbl>
      <w:tblPr>
        <w:tblW w:w="9680" w:type="dxa"/>
        <w:tblLook w:val="04A0" w:firstRow="1" w:lastRow="0" w:firstColumn="1" w:lastColumn="0" w:noHBand="0" w:noVBand="1"/>
      </w:tblPr>
      <w:tblGrid>
        <w:gridCol w:w="613"/>
        <w:gridCol w:w="467"/>
        <w:gridCol w:w="589"/>
        <w:gridCol w:w="3682"/>
        <w:gridCol w:w="2244"/>
        <w:gridCol w:w="2085"/>
      </w:tblGrid>
      <w:tr w:rsidR="00290007" w:rsidRPr="00290007" w14:paraId="7AACB8E0" w14:textId="77777777" w:rsidTr="00290007">
        <w:trPr>
          <w:trHeight w:val="320"/>
        </w:trPr>
        <w:tc>
          <w:tcPr>
            <w:tcW w:w="164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12EE2AB" w14:textId="77777777" w:rsidR="00290007" w:rsidRPr="00290007" w:rsidRDefault="00290007">
            <w:pPr>
              <w:jc w:val="center"/>
              <w:rPr>
                <w:rFonts w:ascii="Arial Narrow" w:hAnsi="Arial Narrow" w:cs="Calibri"/>
                <w:b/>
                <w:bCs/>
                <w:color w:val="FFFFFF"/>
                <w:sz w:val="22"/>
                <w:szCs w:val="22"/>
              </w:rPr>
            </w:pPr>
            <w:r w:rsidRPr="00290007">
              <w:rPr>
                <w:rFonts w:ascii="Arial Narrow"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1EBA71CC" w14:textId="77777777" w:rsidR="00290007" w:rsidRPr="00290007" w:rsidRDefault="00290007">
            <w:pPr>
              <w:jc w:val="center"/>
              <w:rPr>
                <w:rFonts w:ascii="Arial Narrow" w:hAnsi="Arial Narrow" w:cs="Calibri"/>
                <w:b/>
                <w:bCs/>
                <w:color w:val="FFFFFF"/>
                <w:sz w:val="22"/>
                <w:szCs w:val="22"/>
              </w:rPr>
            </w:pPr>
            <w:r w:rsidRPr="00290007">
              <w:rPr>
                <w:rFonts w:ascii="Arial Narrow" w:hAnsi="Arial Narrow" w:cs="Calibri"/>
                <w:b/>
                <w:bCs/>
                <w:color w:val="FFFFFF"/>
                <w:sz w:val="22"/>
                <w:szCs w:val="22"/>
              </w:rPr>
              <w:t>Concepto</w:t>
            </w:r>
          </w:p>
        </w:tc>
        <w:tc>
          <w:tcPr>
            <w:tcW w:w="4339" w:type="dxa"/>
            <w:gridSpan w:val="2"/>
            <w:tcBorders>
              <w:top w:val="single" w:sz="8" w:space="0" w:color="auto"/>
              <w:left w:val="nil"/>
              <w:bottom w:val="single" w:sz="8" w:space="0" w:color="auto"/>
              <w:right w:val="single" w:sz="8" w:space="0" w:color="000000"/>
            </w:tcBorders>
            <w:shd w:val="clear" w:color="000000" w:fill="203764"/>
            <w:vAlign w:val="center"/>
            <w:hideMark/>
          </w:tcPr>
          <w:p w14:paraId="71AC5102" w14:textId="77777777" w:rsidR="00290007" w:rsidRPr="00290007" w:rsidRDefault="00290007">
            <w:pPr>
              <w:jc w:val="center"/>
              <w:rPr>
                <w:rFonts w:ascii="Arial Narrow" w:hAnsi="Arial Narrow" w:cs="Calibri"/>
                <w:b/>
                <w:bCs/>
                <w:color w:val="FFFFFF"/>
                <w:sz w:val="22"/>
                <w:szCs w:val="22"/>
              </w:rPr>
            </w:pPr>
            <w:r w:rsidRPr="00290007">
              <w:rPr>
                <w:rFonts w:ascii="Arial Narrow" w:hAnsi="Arial Narrow" w:cs="Calibri"/>
                <w:b/>
                <w:bCs/>
                <w:color w:val="FFFFFF"/>
                <w:sz w:val="22"/>
                <w:szCs w:val="22"/>
              </w:rPr>
              <w:t>Referencia</w:t>
            </w:r>
          </w:p>
        </w:tc>
      </w:tr>
      <w:tr w:rsidR="00290007" w:rsidRPr="006E5442" w14:paraId="29E85D39" w14:textId="77777777" w:rsidTr="00290007">
        <w:trPr>
          <w:trHeight w:val="940"/>
        </w:trPr>
        <w:tc>
          <w:tcPr>
            <w:tcW w:w="1649" w:type="dxa"/>
            <w:gridSpan w:val="3"/>
            <w:vMerge/>
            <w:tcBorders>
              <w:top w:val="single" w:sz="8" w:space="0" w:color="auto"/>
              <w:left w:val="single" w:sz="8" w:space="0" w:color="auto"/>
              <w:bottom w:val="nil"/>
              <w:right w:val="single" w:sz="8" w:space="0" w:color="000000"/>
            </w:tcBorders>
            <w:vAlign w:val="center"/>
            <w:hideMark/>
          </w:tcPr>
          <w:p w14:paraId="4F3D7305" w14:textId="77777777" w:rsidR="00290007" w:rsidRPr="00290007" w:rsidRDefault="00290007">
            <w:pPr>
              <w:rPr>
                <w:rFonts w:ascii="Arial Narrow"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03725439" w14:textId="77777777" w:rsidR="00290007" w:rsidRPr="00290007" w:rsidRDefault="00290007">
            <w:pPr>
              <w:rPr>
                <w:rFonts w:ascii="Arial Narrow"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5415B42C" w14:textId="77777777" w:rsidR="00290007" w:rsidRPr="00290007" w:rsidRDefault="00290007">
            <w:pPr>
              <w:jc w:val="center"/>
              <w:rPr>
                <w:rFonts w:ascii="Arial Narrow" w:hAnsi="Arial Narrow" w:cs="Calibri"/>
                <w:b/>
                <w:bCs/>
                <w:color w:val="FFFFFF"/>
                <w:sz w:val="22"/>
                <w:szCs w:val="22"/>
              </w:rPr>
            </w:pPr>
            <w:r w:rsidRPr="00290007">
              <w:rPr>
                <w:rFonts w:ascii="Arial Narrow" w:hAnsi="Arial Narrow" w:cs="Calibri"/>
                <w:b/>
                <w:bCs/>
                <w:color w:val="FFFFFF"/>
                <w:sz w:val="22"/>
                <w:szCs w:val="22"/>
              </w:rPr>
              <w:t>Norma</w:t>
            </w:r>
          </w:p>
        </w:tc>
        <w:tc>
          <w:tcPr>
            <w:tcW w:w="2088" w:type="dxa"/>
            <w:tcBorders>
              <w:top w:val="nil"/>
              <w:left w:val="nil"/>
              <w:bottom w:val="nil"/>
              <w:right w:val="single" w:sz="8" w:space="0" w:color="auto"/>
            </w:tcBorders>
            <w:shd w:val="clear" w:color="000000" w:fill="203764"/>
            <w:vAlign w:val="center"/>
            <w:hideMark/>
          </w:tcPr>
          <w:p w14:paraId="5FADCEEE" w14:textId="77777777" w:rsidR="00290007" w:rsidRPr="00290007" w:rsidRDefault="00290007">
            <w:pPr>
              <w:jc w:val="center"/>
              <w:rPr>
                <w:rFonts w:ascii="Arial Narrow" w:hAnsi="Arial Narrow" w:cs="Calibri"/>
                <w:b/>
                <w:bCs/>
                <w:color w:val="FFFFFF"/>
                <w:sz w:val="22"/>
                <w:szCs w:val="22"/>
                <w:lang w:val="es-CR"/>
              </w:rPr>
            </w:pPr>
            <w:r w:rsidRPr="00290007">
              <w:rPr>
                <w:rFonts w:ascii="Arial Narrow" w:hAnsi="Arial Narrow" w:cs="Calibri"/>
                <w:b/>
                <w:bCs/>
                <w:color w:val="FFFFFF"/>
                <w:sz w:val="22"/>
                <w:szCs w:val="22"/>
                <w:lang w:val="es-CR"/>
              </w:rPr>
              <w:t>Normativa técnica y disposiciones adicionales</w:t>
            </w:r>
          </w:p>
        </w:tc>
      </w:tr>
      <w:tr w:rsidR="00290007" w:rsidRPr="00290007" w14:paraId="6C12C0AA" w14:textId="77777777" w:rsidTr="00290007">
        <w:trPr>
          <w:trHeight w:val="630"/>
        </w:trPr>
        <w:tc>
          <w:tcPr>
            <w:tcW w:w="6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4D289A"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2.</w:t>
            </w:r>
          </w:p>
        </w:tc>
        <w:tc>
          <w:tcPr>
            <w:tcW w:w="445" w:type="dxa"/>
            <w:tcBorders>
              <w:top w:val="single" w:sz="8" w:space="0" w:color="auto"/>
              <w:left w:val="nil"/>
              <w:bottom w:val="single" w:sz="8" w:space="0" w:color="auto"/>
              <w:right w:val="single" w:sz="8" w:space="0" w:color="auto"/>
            </w:tcBorders>
            <w:shd w:val="clear" w:color="auto" w:fill="auto"/>
            <w:noWrap/>
            <w:vAlign w:val="center"/>
            <w:hideMark/>
          </w:tcPr>
          <w:p w14:paraId="751B6E10"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20.</w:t>
            </w:r>
          </w:p>
        </w:tc>
        <w:tc>
          <w:tcPr>
            <w:tcW w:w="590" w:type="dxa"/>
            <w:tcBorders>
              <w:top w:val="single" w:sz="8" w:space="0" w:color="auto"/>
              <w:left w:val="nil"/>
              <w:bottom w:val="single" w:sz="8" w:space="0" w:color="auto"/>
              <w:right w:val="single" w:sz="8" w:space="0" w:color="auto"/>
            </w:tcBorders>
            <w:shd w:val="clear" w:color="auto" w:fill="auto"/>
            <w:vAlign w:val="center"/>
            <w:hideMark/>
          </w:tcPr>
          <w:p w14:paraId="385A5F03"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0</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7DFBD206" w14:textId="77777777" w:rsidR="00290007" w:rsidRPr="00290007" w:rsidRDefault="00290007">
            <w:pPr>
              <w:jc w:val="both"/>
              <w:rPr>
                <w:rFonts w:ascii="Arial Narrow" w:hAnsi="Arial Narrow" w:cs="Calibri"/>
                <w:b/>
                <w:bCs/>
                <w:color w:val="000000"/>
                <w:sz w:val="22"/>
                <w:szCs w:val="22"/>
                <w:lang w:val="es-CR"/>
              </w:rPr>
            </w:pPr>
            <w:r w:rsidRPr="00290007">
              <w:rPr>
                <w:rFonts w:ascii="Arial Narrow" w:hAnsi="Arial Narrow" w:cs="Calibri"/>
                <w:b/>
                <w:bCs/>
                <w:color w:val="000000"/>
                <w:sz w:val="22"/>
                <w:szCs w:val="22"/>
                <w:lang w:val="es-CR"/>
              </w:rPr>
              <w:t>Hecho generador de la baja en cuentas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1B1D927B" w14:textId="77777777" w:rsidR="00290007" w:rsidRDefault="00290007">
            <w:pPr>
              <w:jc w:val="both"/>
              <w:rPr>
                <w:rFonts w:ascii="Arial Narrow" w:hAnsi="Arial Narrow" w:cs="Calibri"/>
                <w:b/>
                <w:bCs/>
                <w:color w:val="000000"/>
                <w:sz w:val="22"/>
                <w:szCs w:val="22"/>
              </w:rPr>
            </w:pPr>
            <w:r w:rsidRPr="00290007">
              <w:rPr>
                <w:rFonts w:ascii="Arial Narrow" w:hAnsi="Arial Narrow" w:cs="Calibri"/>
                <w:b/>
                <w:bCs/>
                <w:color w:val="000000"/>
                <w:sz w:val="22"/>
                <w:szCs w:val="22"/>
              </w:rPr>
              <w:t>NICSP N° 29,</w:t>
            </w:r>
          </w:p>
          <w:p w14:paraId="40B52B83" w14:textId="2383D1A5" w:rsidR="00290007" w:rsidRPr="00290007" w:rsidRDefault="00290007">
            <w:pPr>
              <w:jc w:val="both"/>
              <w:rPr>
                <w:rFonts w:ascii="Arial Narrow" w:hAnsi="Arial Narrow" w:cs="Calibri"/>
                <w:b/>
                <w:bCs/>
                <w:color w:val="000000"/>
                <w:sz w:val="22"/>
                <w:szCs w:val="22"/>
              </w:rPr>
            </w:pPr>
            <w:r w:rsidRPr="00290007">
              <w:rPr>
                <w:rFonts w:ascii="Arial Narrow" w:hAnsi="Arial Narrow" w:cs="Calibri"/>
                <w:b/>
                <w:bCs/>
                <w:color w:val="000000"/>
                <w:sz w:val="22"/>
                <w:szCs w:val="22"/>
              </w:rPr>
              <w:t>Párrafo 41.</w:t>
            </w:r>
          </w:p>
        </w:tc>
        <w:tc>
          <w:tcPr>
            <w:tcW w:w="2088" w:type="dxa"/>
            <w:tcBorders>
              <w:top w:val="single" w:sz="8" w:space="0" w:color="auto"/>
              <w:left w:val="nil"/>
              <w:bottom w:val="single" w:sz="8" w:space="0" w:color="auto"/>
              <w:right w:val="single" w:sz="8" w:space="0" w:color="auto"/>
            </w:tcBorders>
            <w:shd w:val="clear" w:color="auto" w:fill="auto"/>
            <w:vAlign w:val="center"/>
            <w:hideMark/>
          </w:tcPr>
          <w:p w14:paraId="015319D5"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 xml:space="preserve"> </w:t>
            </w:r>
          </w:p>
        </w:tc>
      </w:tr>
      <w:tr w:rsidR="00290007" w:rsidRPr="006E5442" w14:paraId="76DC87B7" w14:textId="77777777" w:rsidTr="00290007">
        <w:trPr>
          <w:trHeight w:val="630"/>
        </w:trPr>
        <w:tc>
          <w:tcPr>
            <w:tcW w:w="614" w:type="dxa"/>
            <w:tcBorders>
              <w:top w:val="nil"/>
              <w:left w:val="single" w:sz="8" w:space="0" w:color="auto"/>
              <w:bottom w:val="single" w:sz="8" w:space="0" w:color="auto"/>
              <w:right w:val="single" w:sz="8" w:space="0" w:color="auto"/>
            </w:tcBorders>
            <w:shd w:val="clear" w:color="auto" w:fill="auto"/>
            <w:vAlign w:val="center"/>
            <w:hideMark/>
          </w:tcPr>
          <w:p w14:paraId="2676341E"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2</w:t>
            </w:r>
          </w:p>
        </w:tc>
        <w:tc>
          <w:tcPr>
            <w:tcW w:w="445" w:type="dxa"/>
            <w:tcBorders>
              <w:top w:val="nil"/>
              <w:left w:val="nil"/>
              <w:bottom w:val="single" w:sz="8" w:space="0" w:color="auto"/>
              <w:right w:val="single" w:sz="8" w:space="0" w:color="auto"/>
            </w:tcBorders>
            <w:shd w:val="clear" w:color="auto" w:fill="auto"/>
            <w:noWrap/>
            <w:vAlign w:val="center"/>
            <w:hideMark/>
          </w:tcPr>
          <w:p w14:paraId="1FBA39BE"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20</w:t>
            </w:r>
          </w:p>
        </w:tc>
        <w:tc>
          <w:tcPr>
            <w:tcW w:w="590" w:type="dxa"/>
            <w:tcBorders>
              <w:top w:val="nil"/>
              <w:left w:val="nil"/>
              <w:bottom w:val="single" w:sz="8" w:space="0" w:color="auto"/>
              <w:right w:val="single" w:sz="8" w:space="0" w:color="auto"/>
            </w:tcBorders>
            <w:shd w:val="clear" w:color="auto" w:fill="auto"/>
            <w:vAlign w:val="center"/>
            <w:hideMark/>
          </w:tcPr>
          <w:p w14:paraId="4645F581"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1</w:t>
            </w:r>
          </w:p>
        </w:tc>
        <w:tc>
          <w:tcPr>
            <w:tcW w:w="3692" w:type="dxa"/>
            <w:tcBorders>
              <w:top w:val="nil"/>
              <w:left w:val="nil"/>
              <w:bottom w:val="single" w:sz="8" w:space="0" w:color="auto"/>
              <w:right w:val="single" w:sz="8" w:space="0" w:color="auto"/>
            </w:tcBorders>
            <w:shd w:val="clear" w:color="auto" w:fill="auto"/>
            <w:vAlign w:val="center"/>
            <w:hideMark/>
          </w:tcPr>
          <w:p w14:paraId="04E83AA5" w14:textId="4A6C9158" w:rsidR="00290007" w:rsidRPr="00290007" w:rsidRDefault="0021354A">
            <w:pPr>
              <w:jc w:val="both"/>
              <w:rPr>
                <w:rFonts w:ascii="Arial Narrow" w:hAnsi="Arial Narrow" w:cs="Calibri"/>
                <w:b/>
                <w:bCs/>
                <w:color w:val="000000"/>
                <w:sz w:val="22"/>
                <w:szCs w:val="22"/>
              </w:rPr>
            </w:pPr>
            <w:r w:rsidRPr="00290007">
              <w:rPr>
                <w:rFonts w:ascii="Arial Narrow" w:hAnsi="Arial Narrow" w:cs="Calibri"/>
                <w:b/>
                <w:bCs/>
                <w:color w:val="000000"/>
                <w:sz w:val="22"/>
                <w:szCs w:val="22"/>
                <w:lang w:val="es-CR"/>
              </w:rPr>
              <w:t>Interca</w:t>
            </w:r>
            <w:r>
              <w:rPr>
                <w:rFonts w:ascii="Arial Narrow" w:hAnsi="Arial Narrow" w:cs="Calibri"/>
                <w:b/>
                <w:bCs/>
                <w:color w:val="000000"/>
                <w:sz w:val="22"/>
                <w:szCs w:val="22"/>
                <w:lang w:val="es-CR"/>
              </w:rPr>
              <w:t>mbi</w:t>
            </w:r>
            <w:r w:rsidRPr="00290007">
              <w:rPr>
                <w:rFonts w:ascii="Arial Narrow" w:hAnsi="Arial Narrow" w:cs="Calibri"/>
                <w:b/>
                <w:bCs/>
                <w:color w:val="000000"/>
                <w:sz w:val="22"/>
                <w:szCs w:val="22"/>
                <w:lang w:val="es-CR"/>
              </w:rPr>
              <w:t>o</w:t>
            </w:r>
            <w:r w:rsidR="00290007" w:rsidRPr="00290007">
              <w:rPr>
                <w:rFonts w:ascii="Arial Narrow" w:hAnsi="Arial Narrow" w:cs="Calibri"/>
                <w:b/>
                <w:bCs/>
                <w:color w:val="000000"/>
                <w:sz w:val="22"/>
                <w:szCs w:val="22"/>
                <w:lang w:val="es-CR"/>
              </w:rPr>
              <w:t xml:space="preserve"> de deuda</w:t>
            </w:r>
          </w:p>
        </w:tc>
        <w:tc>
          <w:tcPr>
            <w:tcW w:w="2251" w:type="dxa"/>
            <w:tcBorders>
              <w:top w:val="nil"/>
              <w:left w:val="nil"/>
              <w:bottom w:val="single" w:sz="8" w:space="0" w:color="auto"/>
              <w:right w:val="single" w:sz="8" w:space="0" w:color="auto"/>
            </w:tcBorders>
            <w:shd w:val="clear" w:color="auto" w:fill="auto"/>
            <w:vAlign w:val="center"/>
            <w:hideMark/>
          </w:tcPr>
          <w:p w14:paraId="2DBD1259" w14:textId="77777777" w:rsidR="00290007" w:rsidRDefault="00290007">
            <w:pPr>
              <w:jc w:val="both"/>
              <w:rPr>
                <w:rFonts w:ascii="Arial Narrow" w:hAnsi="Arial Narrow" w:cs="Calibri"/>
                <w:b/>
                <w:bCs/>
                <w:color w:val="000000"/>
                <w:sz w:val="22"/>
                <w:szCs w:val="22"/>
                <w:lang w:val="es-CR"/>
              </w:rPr>
            </w:pPr>
            <w:r w:rsidRPr="00290007">
              <w:rPr>
                <w:rFonts w:ascii="Arial Narrow" w:hAnsi="Arial Narrow" w:cs="Calibri"/>
                <w:b/>
                <w:bCs/>
                <w:color w:val="000000"/>
                <w:sz w:val="22"/>
                <w:szCs w:val="22"/>
                <w:lang w:val="es-CR"/>
              </w:rPr>
              <w:t>NICSP Nº 29,</w:t>
            </w:r>
          </w:p>
          <w:p w14:paraId="5C1E8B2E" w14:textId="426E92EF" w:rsidR="00290007" w:rsidRPr="00290007" w:rsidRDefault="00290007">
            <w:pPr>
              <w:jc w:val="both"/>
              <w:rPr>
                <w:rFonts w:ascii="Arial Narrow" w:hAnsi="Arial Narrow" w:cs="Calibri"/>
                <w:b/>
                <w:bCs/>
                <w:color w:val="000000"/>
                <w:sz w:val="22"/>
                <w:szCs w:val="22"/>
                <w:lang w:val="es-CR"/>
              </w:rPr>
            </w:pPr>
            <w:r w:rsidRPr="00290007">
              <w:rPr>
                <w:rFonts w:ascii="Arial Narrow" w:hAnsi="Arial Narrow" w:cs="Calibri"/>
                <w:b/>
                <w:bCs/>
                <w:color w:val="000000"/>
                <w:sz w:val="22"/>
                <w:szCs w:val="22"/>
                <w:lang w:val="es-CR"/>
              </w:rPr>
              <w:t>Párrafo 42 y GA79.</w:t>
            </w:r>
          </w:p>
        </w:tc>
        <w:tc>
          <w:tcPr>
            <w:tcW w:w="2088" w:type="dxa"/>
            <w:tcBorders>
              <w:top w:val="nil"/>
              <w:left w:val="nil"/>
              <w:bottom w:val="single" w:sz="8" w:space="0" w:color="auto"/>
              <w:right w:val="single" w:sz="8" w:space="0" w:color="auto"/>
            </w:tcBorders>
            <w:shd w:val="clear" w:color="auto" w:fill="auto"/>
            <w:vAlign w:val="center"/>
            <w:hideMark/>
          </w:tcPr>
          <w:p w14:paraId="1ACE493E" w14:textId="77777777" w:rsidR="00290007" w:rsidRPr="00290007" w:rsidRDefault="00290007">
            <w:pPr>
              <w:jc w:val="center"/>
              <w:rPr>
                <w:rFonts w:ascii="Arial Narrow" w:hAnsi="Arial Narrow" w:cs="Calibri"/>
                <w:b/>
                <w:bCs/>
                <w:color w:val="000000"/>
                <w:sz w:val="22"/>
                <w:szCs w:val="22"/>
                <w:lang w:val="es-CR"/>
              </w:rPr>
            </w:pPr>
            <w:r w:rsidRPr="00290007">
              <w:rPr>
                <w:rFonts w:ascii="Arial Narrow" w:hAnsi="Arial Narrow" w:cs="Calibri"/>
                <w:b/>
                <w:bCs/>
                <w:color w:val="000000"/>
                <w:sz w:val="22"/>
                <w:szCs w:val="22"/>
                <w:lang w:val="es-CR"/>
              </w:rPr>
              <w:t> </w:t>
            </w:r>
          </w:p>
        </w:tc>
      </w:tr>
      <w:tr w:rsidR="00290007" w:rsidRPr="00290007" w14:paraId="67B5BD77" w14:textId="77777777" w:rsidTr="00290007">
        <w:trPr>
          <w:trHeight w:val="630"/>
        </w:trPr>
        <w:tc>
          <w:tcPr>
            <w:tcW w:w="614" w:type="dxa"/>
            <w:tcBorders>
              <w:top w:val="nil"/>
              <w:left w:val="single" w:sz="8" w:space="0" w:color="auto"/>
              <w:bottom w:val="single" w:sz="8" w:space="0" w:color="auto"/>
              <w:right w:val="single" w:sz="8" w:space="0" w:color="auto"/>
            </w:tcBorders>
            <w:shd w:val="clear" w:color="auto" w:fill="auto"/>
            <w:vAlign w:val="center"/>
            <w:hideMark/>
          </w:tcPr>
          <w:p w14:paraId="054F8087"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2</w:t>
            </w:r>
          </w:p>
        </w:tc>
        <w:tc>
          <w:tcPr>
            <w:tcW w:w="445" w:type="dxa"/>
            <w:tcBorders>
              <w:top w:val="nil"/>
              <w:left w:val="nil"/>
              <w:bottom w:val="single" w:sz="8" w:space="0" w:color="auto"/>
              <w:right w:val="single" w:sz="8" w:space="0" w:color="auto"/>
            </w:tcBorders>
            <w:shd w:val="clear" w:color="auto" w:fill="auto"/>
            <w:noWrap/>
            <w:vAlign w:val="center"/>
            <w:hideMark/>
          </w:tcPr>
          <w:p w14:paraId="5602770F"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20</w:t>
            </w:r>
          </w:p>
        </w:tc>
        <w:tc>
          <w:tcPr>
            <w:tcW w:w="590" w:type="dxa"/>
            <w:tcBorders>
              <w:top w:val="nil"/>
              <w:left w:val="nil"/>
              <w:bottom w:val="single" w:sz="8" w:space="0" w:color="auto"/>
              <w:right w:val="single" w:sz="8" w:space="0" w:color="auto"/>
            </w:tcBorders>
            <w:shd w:val="clear" w:color="auto" w:fill="auto"/>
            <w:vAlign w:val="center"/>
            <w:hideMark/>
          </w:tcPr>
          <w:p w14:paraId="379E673F"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2</w:t>
            </w:r>
          </w:p>
        </w:tc>
        <w:tc>
          <w:tcPr>
            <w:tcW w:w="3692" w:type="dxa"/>
            <w:tcBorders>
              <w:top w:val="nil"/>
              <w:left w:val="nil"/>
              <w:bottom w:val="single" w:sz="8" w:space="0" w:color="auto"/>
              <w:right w:val="single" w:sz="8" w:space="0" w:color="auto"/>
            </w:tcBorders>
            <w:shd w:val="clear" w:color="auto" w:fill="auto"/>
            <w:vAlign w:val="center"/>
            <w:hideMark/>
          </w:tcPr>
          <w:p w14:paraId="52EBABD6" w14:textId="77777777" w:rsidR="00290007" w:rsidRPr="00290007" w:rsidRDefault="00290007">
            <w:pPr>
              <w:jc w:val="both"/>
              <w:rPr>
                <w:rFonts w:ascii="Arial Narrow" w:hAnsi="Arial Narrow" w:cs="Calibri"/>
                <w:b/>
                <w:bCs/>
                <w:color w:val="000000"/>
                <w:sz w:val="22"/>
                <w:szCs w:val="22"/>
                <w:lang w:val="es-CR"/>
              </w:rPr>
            </w:pPr>
            <w:r w:rsidRPr="00290007">
              <w:rPr>
                <w:rFonts w:ascii="Arial Narrow" w:hAnsi="Arial Narrow" w:cs="Calibri"/>
                <w:b/>
                <w:bCs/>
                <w:color w:val="000000"/>
                <w:sz w:val="22"/>
                <w:szCs w:val="22"/>
                <w:lang w:val="es-CR"/>
              </w:rPr>
              <w:t>Reconocimiento en el resultado del ejercicio</w:t>
            </w:r>
          </w:p>
        </w:tc>
        <w:tc>
          <w:tcPr>
            <w:tcW w:w="2251" w:type="dxa"/>
            <w:tcBorders>
              <w:top w:val="nil"/>
              <w:left w:val="nil"/>
              <w:bottom w:val="single" w:sz="8" w:space="0" w:color="auto"/>
              <w:right w:val="single" w:sz="8" w:space="0" w:color="auto"/>
            </w:tcBorders>
            <w:shd w:val="clear" w:color="auto" w:fill="auto"/>
            <w:vAlign w:val="center"/>
            <w:hideMark/>
          </w:tcPr>
          <w:p w14:paraId="6F87D9F5" w14:textId="77777777" w:rsidR="00290007" w:rsidRDefault="00290007">
            <w:pPr>
              <w:jc w:val="both"/>
              <w:rPr>
                <w:rFonts w:ascii="Arial Narrow" w:hAnsi="Arial Narrow" w:cs="Calibri"/>
                <w:b/>
                <w:bCs/>
                <w:color w:val="000000"/>
                <w:sz w:val="22"/>
                <w:szCs w:val="22"/>
                <w:lang w:val="es-CR"/>
              </w:rPr>
            </w:pPr>
            <w:r w:rsidRPr="00290007">
              <w:rPr>
                <w:rFonts w:ascii="Arial Narrow" w:hAnsi="Arial Narrow" w:cs="Calibri"/>
                <w:b/>
                <w:bCs/>
                <w:color w:val="000000"/>
                <w:sz w:val="22"/>
                <w:szCs w:val="22"/>
                <w:lang w:val="es-CR"/>
              </w:rPr>
              <w:t>NICSP Nº 29,</w:t>
            </w:r>
          </w:p>
          <w:p w14:paraId="362C0350" w14:textId="221294A8" w:rsidR="00290007" w:rsidRPr="00290007" w:rsidRDefault="00290007">
            <w:pPr>
              <w:jc w:val="both"/>
              <w:rPr>
                <w:rFonts w:ascii="Arial Narrow" w:hAnsi="Arial Narrow" w:cs="Calibri"/>
                <w:b/>
                <w:bCs/>
                <w:color w:val="000000"/>
                <w:sz w:val="22"/>
                <w:szCs w:val="22"/>
              </w:rPr>
            </w:pPr>
            <w:r w:rsidRPr="00290007">
              <w:rPr>
                <w:rFonts w:ascii="Arial Narrow" w:hAnsi="Arial Narrow" w:cs="Calibri"/>
                <w:b/>
                <w:bCs/>
                <w:color w:val="000000"/>
                <w:sz w:val="22"/>
                <w:szCs w:val="22"/>
                <w:lang w:val="es-CR"/>
              </w:rPr>
              <w:t>Párrafo 43.</w:t>
            </w:r>
          </w:p>
        </w:tc>
        <w:tc>
          <w:tcPr>
            <w:tcW w:w="2088" w:type="dxa"/>
            <w:tcBorders>
              <w:top w:val="nil"/>
              <w:left w:val="nil"/>
              <w:bottom w:val="single" w:sz="8" w:space="0" w:color="auto"/>
              <w:right w:val="single" w:sz="8" w:space="0" w:color="auto"/>
            </w:tcBorders>
            <w:shd w:val="clear" w:color="auto" w:fill="auto"/>
            <w:vAlign w:val="center"/>
            <w:hideMark/>
          </w:tcPr>
          <w:p w14:paraId="5187F458" w14:textId="77777777" w:rsidR="00290007" w:rsidRPr="00290007" w:rsidRDefault="00290007">
            <w:pPr>
              <w:jc w:val="center"/>
              <w:rPr>
                <w:rFonts w:ascii="Arial Narrow" w:hAnsi="Arial Narrow" w:cs="Calibri"/>
                <w:b/>
                <w:bCs/>
                <w:color w:val="000000"/>
                <w:sz w:val="22"/>
                <w:szCs w:val="22"/>
              </w:rPr>
            </w:pPr>
            <w:r w:rsidRPr="00290007">
              <w:rPr>
                <w:rFonts w:ascii="Arial Narrow" w:hAnsi="Arial Narrow" w:cs="Calibri"/>
                <w:b/>
                <w:bCs/>
                <w:color w:val="000000"/>
                <w:sz w:val="22"/>
                <w:szCs w:val="22"/>
              </w:rPr>
              <w:t> </w:t>
            </w:r>
          </w:p>
        </w:tc>
      </w:tr>
    </w:tbl>
    <w:p w14:paraId="09F73000" w14:textId="77777777" w:rsidR="0064345E" w:rsidRDefault="0064345E" w:rsidP="00C522E2">
      <w:pPr>
        <w:spacing w:line="238" w:lineRule="auto"/>
        <w:ind w:left="1134" w:right="260" w:hanging="1134"/>
        <w:jc w:val="both"/>
        <w:rPr>
          <w:rFonts w:ascii="Arial" w:eastAsia="Arial" w:hAnsi="Arial"/>
          <w:b/>
          <w:sz w:val="22"/>
          <w:szCs w:val="22"/>
          <w:lang w:val="es-CR"/>
        </w:rPr>
      </w:pPr>
    </w:p>
    <w:p w14:paraId="7F253771" w14:textId="7D8F9C86"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1265350C" w14:textId="77777777" w:rsidR="005A4C96" w:rsidRDefault="005A4C96" w:rsidP="00C522E2">
      <w:pPr>
        <w:spacing w:line="238" w:lineRule="auto"/>
        <w:ind w:left="1134" w:right="260" w:hanging="1134"/>
        <w:jc w:val="both"/>
        <w:rPr>
          <w:rFonts w:ascii="Arial" w:eastAsia="Arial" w:hAnsi="Arial"/>
          <w:b/>
          <w:sz w:val="22"/>
          <w:szCs w:val="22"/>
          <w:lang w:val="es-CR"/>
        </w:rPr>
      </w:pPr>
    </w:p>
    <w:p w14:paraId="302CF635" w14:textId="453579C1" w:rsidR="00290007" w:rsidRPr="00290007" w:rsidRDefault="00290007" w:rsidP="00290007">
      <w:pPr>
        <w:pStyle w:val="Default"/>
        <w:ind w:left="1134" w:hanging="1134"/>
        <w:jc w:val="both"/>
        <w:rPr>
          <w:sz w:val="22"/>
          <w:szCs w:val="22"/>
          <w:lang w:val="es-CR"/>
        </w:rPr>
      </w:pPr>
      <w:r>
        <w:rPr>
          <w:sz w:val="22"/>
          <w:szCs w:val="22"/>
          <w:lang w:val="es-CR"/>
        </w:rPr>
        <w:t>2.20.0.01</w:t>
      </w:r>
      <w:r>
        <w:rPr>
          <w:sz w:val="22"/>
          <w:szCs w:val="22"/>
          <w:lang w:val="es-CR"/>
        </w:rPr>
        <w:tab/>
      </w:r>
      <w:r w:rsidRPr="00290007">
        <w:rPr>
          <w:sz w:val="22"/>
          <w:szCs w:val="22"/>
          <w:lang w:val="es-CR"/>
        </w:rPr>
        <w:t xml:space="preserve">En la </w:t>
      </w:r>
      <w:r w:rsidR="000F29DC">
        <w:rPr>
          <w:sz w:val="22"/>
          <w:szCs w:val="22"/>
          <w:lang w:val="es-CR"/>
        </w:rPr>
        <w:t>MBA</w:t>
      </w:r>
      <w:r w:rsidRPr="00290007">
        <w:rPr>
          <w:sz w:val="22"/>
          <w:szCs w:val="22"/>
          <w:lang w:val="es-CR"/>
        </w:rPr>
        <w:t xml:space="preserve"> la baja en cuentas de un pasivo financiero (o una parte del mismo) tendrá lugar cuando, y sólo cuando, el mismo se haya extinguido, es decir, cuando la obligación especificada en el correspondiente contrato haya sido pagada o cancelada, o bien haya expirado.</w:t>
      </w:r>
    </w:p>
    <w:p w14:paraId="29974414" w14:textId="4F61B88B" w:rsidR="00290007" w:rsidRPr="00290007" w:rsidRDefault="00290007" w:rsidP="00290007">
      <w:pPr>
        <w:pStyle w:val="Default"/>
        <w:jc w:val="both"/>
        <w:rPr>
          <w:sz w:val="22"/>
          <w:szCs w:val="22"/>
          <w:lang w:val="es-CR"/>
        </w:rPr>
      </w:pPr>
    </w:p>
    <w:p w14:paraId="01686298" w14:textId="1F2CA6D8" w:rsidR="00290007" w:rsidRDefault="00290007" w:rsidP="00290007">
      <w:pPr>
        <w:pStyle w:val="Default"/>
        <w:ind w:left="1134" w:hanging="1134"/>
        <w:jc w:val="both"/>
        <w:rPr>
          <w:sz w:val="22"/>
          <w:szCs w:val="22"/>
          <w:lang w:val="es-CR"/>
        </w:rPr>
      </w:pPr>
      <w:r>
        <w:rPr>
          <w:sz w:val="22"/>
          <w:szCs w:val="22"/>
          <w:lang w:val="es-CR"/>
        </w:rPr>
        <w:t>2.20.1.01</w:t>
      </w:r>
      <w:r>
        <w:rPr>
          <w:sz w:val="22"/>
          <w:szCs w:val="22"/>
          <w:lang w:val="es-CR"/>
        </w:rPr>
        <w:tab/>
      </w:r>
      <w:r w:rsidRPr="00290007">
        <w:rPr>
          <w:sz w:val="22"/>
          <w:szCs w:val="22"/>
          <w:lang w:val="es-CR"/>
        </w:rPr>
        <w:t xml:space="preserve">En el caso de </w:t>
      </w:r>
      <w:r w:rsidR="0021354A" w:rsidRPr="00290007">
        <w:rPr>
          <w:sz w:val="22"/>
          <w:szCs w:val="22"/>
          <w:lang w:val="es-CR"/>
        </w:rPr>
        <w:t>interca</w:t>
      </w:r>
      <w:r w:rsidR="0021354A">
        <w:rPr>
          <w:sz w:val="22"/>
          <w:szCs w:val="22"/>
          <w:lang w:val="es-CR"/>
        </w:rPr>
        <w:t>mbi</w:t>
      </w:r>
      <w:r w:rsidR="0021354A" w:rsidRPr="00290007">
        <w:rPr>
          <w:sz w:val="22"/>
          <w:szCs w:val="22"/>
          <w:lang w:val="es-CR"/>
        </w:rPr>
        <w:t>o</w:t>
      </w:r>
      <w:r w:rsidRPr="00290007">
        <w:rPr>
          <w:sz w:val="22"/>
          <w:szCs w:val="22"/>
          <w:lang w:val="es-CR"/>
        </w:rPr>
        <w:t xml:space="preserve"> de instrumentos de deuda entre un prestamista y el correspondiente prestatario y siempre que los instrumentos tengan condiciones sustancialmente diferentes, se contabilizará como una cancelación del pasivo financiero original y el consiguiente reconocimiento de un nuevo pasivo</w:t>
      </w:r>
      <w:r w:rsidRPr="00627673">
        <w:rPr>
          <w:rFonts w:eastAsia="Arial"/>
          <w:b/>
          <w:sz w:val="22"/>
          <w:lang w:val="es-CR"/>
        </w:rPr>
        <w:t xml:space="preserve"> </w:t>
      </w:r>
      <w:r w:rsidRPr="00290007">
        <w:rPr>
          <w:sz w:val="22"/>
          <w:szCs w:val="22"/>
          <w:lang w:val="es-CR"/>
        </w:rPr>
        <w:t>financiero.</w:t>
      </w:r>
    </w:p>
    <w:p w14:paraId="1D03A101" w14:textId="7D92BCF8" w:rsidR="00290007" w:rsidRDefault="00290007" w:rsidP="00290007">
      <w:pPr>
        <w:pStyle w:val="Default"/>
        <w:ind w:left="1134" w:hanging="1134"/>
        <w:jc w:val="both"/>
        <w:rPr>
          <w:sz w:val="22"/>
          <w:szCs w:val="22"/>
          <w:lang w:val="es-CR"/>
        </w:rPr>
      </w:pPr>
      <w:r w:rsidRPr="00290007">
        <w:rPr>
          <w:sz w:val="22"/>
          <w:szCs w:val="22"/>
          <w:lang w:val="es-CR"/>
        </w:rPr>
        <w:t xml:space="preserve"> </w:t>
      </w:r>
    </w:p>
    <w:p w14:paraId="2B1B6F23" w14:textId="5EDDC9C7" w:rsidR="00290007" w:rsidRPr="00290007" w:rsidRDefault="00290007" w:rsidP="00290007">
      <w:pPr>
        <w:pStyle w:val="Default"/>
        <w:ind w:left="1134" w:hanging="1134"/>
        <w:jc w:val="both"/>
        <w:rPr>
          <w:sz w:val="22"/>
          <w:szCs w:val="22"/>
          <w:lang w:val="es-CR"/>
        </w:rPr>
      </w:pPr>
      <w:r>
        <w:rPr>
          <w:sz w:val="22"/>
          <w:szCs w:val="22"/>
          <w:lang w:val="es-CR"/>
        </w:rPr>
        <w:t>2.20.1.02</w:t>
      </w:r>
      <w:r>
        <w:rPr>
          <w:sz w:val="22"/>
          <w:szCs w:val="22"/>
          <w:lang w:val="es-CR"/>
        </w:rPr>
        <w:tab/>
      </w:r>
      <w:r w:rsidRPr="00290007">
        <w:rPr>
          <w:sz w:val="22"/>
          <w:szCs w:val="22"/>
          <w:lang w:val="es-CR"/>
        </w:rPr>
        <w:t>De manera similar, una modificación sustancial de las condiciones actuales de un pasivo financiero o de parte de este (con independencia de si es atribuible o no a las dificultades financieras del deudor), se contabilizará como una cancelación del pasivo financiero original y el consiguiente reconocimiento de un nuevo pasivo financiero.</w:t>
      </w:r>
    </w:p>
    <w:p w14:paraId="56834A36" w14:textId="77777777" w:rsidR="00290007" w:rsidRPr="00627673" w:rsidRDefault="00290007" w:rsidP="00290007">
      <w:pPr>
        <w:spacing w:line="265" w:lineRule="exact"/>
        <w:rPr>
          <w:rFonts w:ascii="Arial" w:eastAsia="Arial" w:hAnsi="Arial"/>
          <w:b/>
          <w:sz w:val="22"/>
          <w:lang w:val="es-CR"/>
        </w:rPr>
      </w:pPr>
    </w:p>
    <w:p w14:paraId="05C2D1D0" w14:textId="7546F094" w:rsidR="00290007" w:rsidRPr="00290007" w:rsidRDefault="00290007" w:rsidP="00290007">
      <w:pPr>
        <w:pStyle w:val="Default"/>
        <w:ind w:left="1134" w:hanging="1134"/>
        <w:jc w:val="both"/>
        <w:rPr>
          <w:sz w:val="22"/>
          <w:szCs w:val="22"/>
          <w:lang w:val="es-CR"/>
        </w:rPr>
      </w:pPr>
      <w:r>
        <w:rPr>
          <w:sz w:val="22"/>
          <w:szCs w:val="22"/>
          <w:lang w:val="es-CR"/>
        </w:rPr>
        <w:t>2.20.2.01</w:t>
      </w:r>
      <w:r>
        <w:rPr>
          <w:sz w:val="22"/>
          <w:szCs w:val="22"/>
          <w:lang w:val="es-CR"/>
        </w:rPr>
        <w:tab/>
        <w:t>L</w:t>
      </w:r>
      <w:r w:rsidRPr="00290007">
        <w:rPr>
          <w:sz w:val="22"/>
          <w:szCs w:val="22"/>
          <w:lang w:val="es-CR"/>
        </w:rPr>
        <w:t>a diferencia entre el importe en libros del pasivo financiero objeto de la baja en cuentas y la contraprestación pagada para que proceda su baja (la cual incluirá pasivos asumidos y activos transferidos diferentes del efectivo), se reconocerá en el resultado del ejercicio.</w:t>
      </w:r>
    </w:p>
    <w:p w14:paraId="33AB3337" w14:textId="77777777" w:rsidR="0064345E" w:rsidRDefault="0064345E" w:rsidP="00C522E2">
      <w:pPr>
        <w:spacing w:line="238" w:lineRule="auto"/>
        <w:ind w:left="1134" w:right="260" w:hanging="1134"/>
        <w:jc w:val="both"/>
        <w:rPr>
          <w:rFonts w:ascii="Arial" w:eastAsia="Arial" w:hAnsi="Arial"/>
          <w:b/>
          <w:sz w:val="22"/>
          <w:szCs w:val="22"/>
          <w:lang w:val="es-CR"/>
        </w:rPr>
      </w:pPr>
    </w:p>
    <w:p w14:paraId="15A257DA" w14:textId="77777777" w:rsidR="0064345E" w:rsidRDefault="0064345E" w:rsidP="00C522E2">
      <w:pPr>
        <w:spacing w:line="238" w:lineRule="auto"/>
        <w:ind w:left="1134" w:right="260" w:hanging="1134"/>
        <w:jc w:val="both"/>
        <w:rPr>
          <w:rFonts w:ascii="Arial" w:eastAsia="Arial" w:hAnsi="Arial"/>
          <w:b/>
          <w:sz w:val="22"/>
          <w:szCs w:val="22"/>
          <w:lang w:val="es-CR"/>
        </w:rPr>
      </w:pPr>
    </w:p>
    <w:tbl>
      <w:tblPr>
        <w:tblW w:w="9680" w:type="dxa"/>
        <w:tblLook w:val="04A0" w:firstRow="1" w:lastRow="0" w:firstColumn="1" w:lastColumn="0" w:noHBand="0" w:noVBand="1"/>
      </w:tblPr>
      <w:tblGrid>
        <w:gridCol w:w="636"/>
        <w:gridCol w:w="417"/>
        <w:gridCol w:w="612"/>
        <w:gridCol w:w="3678"/>
        <w:gridCol w:w="2254"/>
        <w:gridCol w:w="2083"/>
      </w:tblGrid>
      <w:tr w:rsidR="00A72A29" w:rsidRPr="00C55377" w14:paraId="5B75D006" w14:textId="77777777" w:rsidTr="00A72A29">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8019E04" w14:textId="77777777" w:rsidR="00A72A29" w:rsidRPr="00C55377" w:rsidRDefault="00A72A29" w:rsidP="00A72A29">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117B57A" w14:textId="77777777" w:rsidR="00A72A29" w:rsidRPr="00C55377" w:rsidRDefault="00A72A29" w:rsidP="00A72A29">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6599E1BC" w14:textId="77777777" w:rsidR="00A72A29" w:rsidRPr="00C55377" w:rsidRDefault="00A72A29" w:rsidP="00A72A29">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Referencia</w:t>
            </w:r>
          </w:p>
        </w:tc>
      </w:tr>
      <w:tr w:rsidR="00A72A29" w:rsidRPr="006E5442" w14:paraId="2E2E4451" w14:textId="77777777" w:rsidTr="00A72A29">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51BA5124" w14:textId="77777777" w:rsidR="00A72A29" w:rsidRPr="00C55377" w:rsidRDefault="00A72A29" w:rsidP="00A72A29">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73C7BF8C" w14:textId="77777777" w:rsidR="00A72A29" w:rsidRPr="00C55377" w:rsidRDefault="00A72A29" w:rsidP="00A72A29">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510C4629" w14:textId="77777777" w:rsidR="00A72A29" w:rsidRPr="00C55377" w:rsidRDefault="00A72A29" w:rsidP="00A72A29">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5EEC66BD" w14:textId="77777777" w:rsidR="00A72A29" w:rsidRPr="00C55377" w:rsidRDefault="00A72A29" w:rsidP="00A72A29">
            <w:pPr>
              <w:jc w:val="center"/>
              <w:rPr>
                <w:rFonts w:ascii="Arial Narrow" w:eastAsia="Times New Roman" w:hAnsi="Arial Narrow" w:cs="Calibri"/>
                <w:b/>
                <w:bCs/>
                <w:color w:val="FFFFFF"/>
                <w:sz w:val="22"/>
                <w:szCs w:val="22"/>
                <w:lang w:val="es-CR"/>
              </w:rPr>
            </w:pPr>
            <w:r w:rsidRPr="00C55377">
              <w:rPr>
                <w:rFonts w:ascii="Arial Narrow" w:eastAsia="Times New Roman" w:hAnsi="Arial Narrow" w:cs="Calibri"/>
                <w:b/>
                <w:bCs/>
                <w:color w:val="FFFFFF"/>
                <w:sz w:val="22"/>
                <w:szCs w:val="22"/>
                <w:lang w:val="es-CR"/>
              </w:rPr>
              <w:t>Normativa técnica y disposiciones adicionales</w:t>
            </w:r>
          </w:p>
        </w:tc>
      </w:tr>
      <w:tr w:rsidR="00A72A29" w:rsidRPr="00C55377" w14:paraId="10CDF6D6" w14:textId="77777777" w:rsidTr="00A72A29">
        <w:trPr>
          <w:trHeight w:val="94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FFA13B" w14:textId="77777777" w:rsidR="00A72A29" w:rsidRPr="00C55377" w:rsidRDefault="00A72A29" w:rsidP="00A72A29">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4CD92B0D" w14:textId="77777777" w:rsidR="00A72A29" w:rsidRPr="00C55377" w:rsidRDefault="00A72A29" w:rsidP="00A72A29">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21</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42556AAA" w14:textId="77777777" w:rsidR="00A72A29" w:rsidRPr="00C55377" w:rsidRDefault="00A72A29" w:rsidP="00A72A29">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0</w:t>
            </w: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61E9C689" w14:textId="77777777" w:rsidR="00A72A29" w:rsidRPr="00C55377" w:rsidRDefault="00A72A29" w:rsidP="00A72A29">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Información a revelar</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1CC58944" w14:textId="612FBC82" w:rsidR="00C55377" w:rsidRDefault="00A72A29" w:rsidP="00A72A29">
            <w:pPr>
              <w:jc w:val="both"/>
              <w:rPr>
                <w:rFonts w:ascii="Arial Narrow" w:eastAsia="Times New Roman" w:hAnsi="Arial Narrow" w:cs="Calibri"/>
                <w:b/>
                <w:bCs/>
                <w:color w:val="000000"/>
                <w:sz w:val="22"/>
                <w:szCs w:val="22"/>
                <w:lang w:val="es-CR"/>
              </w:rPr>
            </w:pPr>
            <w:r w:rsidRPr="00C55377">
              <w:rPr>
                <w:rFonts w:ascii="Arial Narrow" w:eastAsia="Times New Roman" w:hAnsi="Arial Narrow" w:cs="Calibri"/>
                <w:b/>
                <w:bCs/>
                <w:color w:val="000000"/>
                <w:sz w:val="22"/>
                <w:szCs w:val="22"/>
                <w:lang w:val="es-CR"/>
              </w:rPr>
              <w:t xml:space="preserve">NICSP Nº 30, </w:t>
            </w:r>
          </w:p>
          <w:p w14:paraId="60725A3F" w14:textId="303C84F5" w:rsidR="00A72A29" w:rsidRPr="00C55377" w:rsidRDefault="00A72A29" w:rsidP="00A72A29">
            <w:pPr>
              <w:jc w:val="both"/>
              <w:rPr>
                <w:rFonts w:ascii="Arial Narrow" w:eastAsia="Times New Roman" w:hAnsi="Arial Narrow" w:cs="Calibri"/>
                <w:b/>
                <w:bCs/>
                <w:color w:val="000000"/>
                <w:sz w:val="22"/>
                <w:szCs w:val="22"/>
                <w:lang w:val="es-CR"/>
              </w:rPr>
            </w:pPr>
            <w:r w:rsidRPr="00C55377">
              <w:rPr>
                <w:rFonts w:ascii="Arial Narrow" w:eastAsia="Times New Roman" w:hAnsi="Arial Narrow" w:cs="Calibri"/>
                <w:b/>
                <w:bCs/>
                <w:color w:val="000000"/>
                <w:sz w:val="22"/>
                <w:szCs w:val="22"/>
                <w:lang w:val="es-CR"/>
              </w:rPr>
              <w:t>Párrafos 10,11,13,14, 17,21 y 29 a 36.</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1DFD12FB" w14:textId="77777777" w:rsidR="00A72A29" w:rsidRPr="00C55377" w:rsidRDefault="00A72A29" w:rsidP="00A72A29">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DGCN</w:t>
            </w:r>
          </w:p>
        </w:tc>
      </w:tr>
    </w:tbl>
    <w:p w14:paraId="79634954" w14:textId="77777777" w:rsidR="0064345E" w:rsidRDefault="0064345E" w:rsidP="00C522E2">
      <w:pPr>
        <w:spacing w:line="238" w:lineRule="auto"/>
        <w:ind w:left="1134" w:right="260" w:hanging="1134"/>
        <w:jc w:val="both"/>
        <w:rPr>
          <w:rFonts w:ascii="Arial" w:eastAsia="Arial" w:hAnsi="Arial"/>
          <w:b/>
          <w:sz w:val="22"/>
          <w:szCs w:val="22"/>
          <w:lang w:val="es-CR"/>
        </w:rPr>
      </w:pPr>
    </w:p>
    <w:p w14:paraId="4CA5EF1C" w14:textId="14D2E3BC"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7B13E579" w14:textId="77777777" w:rsidR="005A4C96" w:rsidRDefault="005A4C96" w:rsidP="00C522E2">
      <w:pPr>
        <w:spacing w:line="238" w:lineRule="auto"/>
        <w:ind w:left="1134" w:right="260" w:hanging="1134"/>
        <w:jc w:val="both"/>
        <w:rPr>
          <w:rFonts w:ascii="Arial" w:eastAsia="Arial" w:hAnsi="Arial"/>
          <w:b/>
          <w:sz w:val="22"/>
          <w:szCs w:val="22"/>
          <w:lang w:val="es-CR"/>
        </w:rPr>
      </w:pPr>
    </w:p>
    <w:p w14:paraId="55C8EA10" w14:textId="2250D7C9" w:rsidR="00A72A29" w:rsidRPr="00A72A29" w:rsidRDefault="00A72A29" w:rsidP="00A72A29">
      <w:pPr>
        <w:pStyle w:val="Default"/>
        <w:ind w:left="1134" w:hanging="1134"/>
        <w:jc w:val="both"/>
        <w:rPr>
          <w:sz w:val="22"/>
          <w:szCs w:val="22"/>
          <w:lang w:val="es-CR"/>
        </w:rPr>
      </w:pPr>
      <w:r>
        <w:rPr>
          <w:sz w:val="22"/>
          <w:szCs w:val="22"/>
          <w:lang w:val="es-CR"/>
        </w:rPr>
        <w:t>2.21.0.01</w:t>
      </w:r>
      <w:r>
        <w:rPr>
          <w:sz w:val="22"/>
          <w:szCs w:val="22"/>
          <w:lang w:val="es-CR"/>
        </w:rPr>
        <w:tab/>
        <w:t xml:space="preserve">Se debe </w:t>
      </w:r>
      <w:r w:rsidRPr="00A72A29">
        <w:rPr>
          <w:sz w:val="22"/>
          <w:szCs w:val="22"/>
          <w:lang w:val="es-CR"/>
        </w:rPr>
        <w:t xml:space="preserve">suministrar información que permita que los usuarios de los estados financieros </w:t>
      </w:r>
      <w:r>
        <w:rPr>
          <w:sz w:val="22"/>
          <w:szCs w:val="22"/>
          <w:lang w:val="es-CR"/>
        </w:rPr>
        <w:t xml:space="preserve">(Concejo, Administración y otros interesados), </w:t>
      </w:r>
      <w:r w:rsidRPr="00A72A29">
        <w:rPr>
          <w:sz w:val="22"/>
          <w:szCs w:val="22"/>
          <w:lang w:val="es-CR"/>
        </w:rPr>
        <w:t>evalúen la relevancia de los pasivos financieros en su situación financiera y en su rendimiento.</w:t>
      </w:r>
    </w:p>
    <w:p w14:paraId="17C84DA5" w14:textId="77777777" w:rsidR="00A72A29" w:rsidRPr="00A72A29" w:rsidRDefault="00A72A29" w:rsidP="00A72A29">
      <w:pPr>
        <w:pStyle w:val="Default"/>
        <w:ind w:left="1134" w:hanging="1134"/>
        <w:jc w:val="both"/>
        <w:rPr>
          <w:sz w:val="22"/>
          <w:szCs w:val="22"/>
          <w:lang w:val="es-CR"/>
        </w:rPr>
      </w:pPr>
    </w:p>
    <w:p w14:paraId="7A5760A5" w14:textId="5CED124B" w:rsidR="00A72A29" w:rsidRPr="00A72A29" w:rsidRDefault="00BF05C1" w:rsidP="00A72A29">
      <w:pPr>
        <w:pStyle w:val="Default"/>
        <w:ind w:left="1134" w:hanging="1134"/>
        <w:jc w:val="both"/>
        <w:rPr>
          <w:sz w:val="22"/>
          <w:szCs w:val="22"/>
          <w:lang w:val="es-CR"/>
        </w:rPr>
      </w:pPr>
      <w:r>
        <w:rPr>
          <w:sz w:val="22"/>
          <w:szCs w:val="22"/>
          <w:lang w:val="es-CR"/>
        </w:rPr>
        <w:lastRenderedPageBreak/>
        <w:t>2.21.0.02</w:t>
      </w:r>
      <w:r>
        <w:rPr>
          <w:sz w:val="22"/>
          <w:szCs w:val="22"/>
          <w:lang w:val="es-CR"/>
        </w:rPr>
        <w:tab/>
        <w:t>Se debe informar e</w:t>
      </w:r>
      <w:r w:rsidR="00A72A29" w:rsidRPr="00A72A29">
        <w:rPr>
          <w:sz w:val="22"/>
          <w:szCs w:val="22"/>
          <w:lang w:val="es-CR"/>
        </w:rPr>
        <w:t>n el estado de situación financiera o en notas, según corresponda, s</w:t>
      </w:r>
      <w:r>
        <w:rPr>
          <w:sz w:val="22"/>
          <w:szCs w:val="22"/>
          <w:lang w:val="es-CR"/>
        </w:rPr>
        <w:t xml:space="preserve">obre </w:t>
      </w:r>
      <w:r w:rsidR="00A72A29" w:rsidRPr="00A72A29">
        <w:rPr>
          <w:sz w:val="22"/>
          <w:szCs w:val="22"/>
          <w:lang w:val="es-CR"/>
        </w:rPr>
        <w:t>los importes en libros de cada una de las siguientes categorías de pasivos financieros</w:t>
      </w:r>
      <w:r w:rsidR="007350C4">
        <w:rPr>
          <w:sz w:val="22"/>
          <w:szCs w:val="22"/>
          <w:lang w:val="es-CR"/>
        </w:rPr>
        <w:t xml:space="preserve"> </w:t>
      </w:r>
      <w:r w:rsidR="007350C4">
        <w:rPr>
          <w:rFonts w:eastAsia="Arial"/>
          <w:bCs/>
          <w:sz w:val="22"/>
          <w:szCs w:val="22"/>
          <w:lang w:val="es-CR"/>
        </w:rPr>
        <w:t>L</w:t>
      </w:r>
      <w:r w:rsidR="007350C4" w:rsidRPr="00D655DD">
        <w:rPr>
          <w:rFonts w:eastAsia="Arial"/>
          <w:bCs/>
          <w:sz w:val="22"/>
          <w:szCs w:val="22"/>
          <w:lang w:val="es-CR"/>
        </w:rPr>
        <w:t>os designados como tales en el momento de su reconocimiento inicial</w:t>
      </w:r>
    </w:p>
    <w:p w14:paraId="05239281" w14:textId="77777777" w:rsidR="00A72A29" w:rsidRPr="00A72A29" w:rsidRDefault="00A72A29" w:rsidP="00A72A29">
      <w:pPr>
        <w:pStyle w:val="Default"/>
        <w:ind w:left="1134" w:hanging="1134"/>
        <w:jc w:val="both"/>
        <w:rPr>
          <w:sz w:val="22"/>
          <w:szCs w:val="22"/>
          <w:lang w:val="es-CR"/>
        </w:rPr>
      </w:pPr>
    </w:p>
    <w:p w14:paraId="3D01B904" w14:textId="14C0BE01" w:rsidR="00A72A29" w:rsidRPr="00C55377" w:rsidRDefault="00BF05C1">
      <w:pPr>
        <w:pStyle w:val="Default"/>
        <w:numPr>
          <w:ilvl w:val="1"/>
          <w:numId w:val="130"/>
        </w:numPr>
        <w:spacing w:after="120"/>
        <w:ind w:left="1560"/>
        <w:jc w:val="both"/>
        <w:rPr>
          <w:rFonts w:ascii="Times New Roman" w:eastAsia="Times New Roman" w:hAnsi="Times New Roman"/>
          <w:lang w:val="es-CR"/>
        </w:rPr>
      </w:pPr>
      <w:r w:rsidRPr="007350C4">
        <w:rPr>
          <w:sz w:val="22"/>
          <w:szCs w:val="22"/>
          <w:lang w:val="es-CR"/>
        </w:rPr>
        <w:t>P</w:t>
      </w:r>
      <w:r w:rsidR="00A72A29" w:rsidRPr="007350C4">
        <w:rPr>
          <w:sz w:val="22"/>
          <w:szCs w:val="22"/>
          <w:lang w:val="es-CR"/>
        </w:rPr>
        <w:t xml:space="preserve">asivos financieros al valor razonable con </w:t>
      </w:r>
      <w:r w:rsidR="0021354A" w:rsidRPr="007350C4">
        <w:rPr>
          <w:sz w:val="22"/>
          <w:szCs w:val="22"/>
          <w:lang w:val="es-CR"/>
        </w:rPr>
        <w:t>ca</w:t>
      </w:r>
      <w:r w:rsidR="0021354A">
        <w:rPr>
          <w:sz w:val="22"/>
          <w:szCs w:val="22"/>
          <w:lang w:val="es-CR"/>
        </w:rPr>
        <w:t>mbi</w:t>
      </w:r>
      <w:r w:rsidR="0021354A" w:rsidRPr="007350C4">
        <w:rPr>
          <w:sz w:val="22"/>
          <w:szCs w:val="22"/>
          <w:lang w:val="es-CR"/>
        </w:rPr>
        <w:t>os</w:t>
      </w:r>
      <w:r w:rsidR="00A72A29" w:rsidRPr="007350C4">
        <w:rPr>
          <w:sz w:val="22"/>
          <w:szCs w:val="22"/>
          <w:lang w:val="es-CR"/>
        </w:rPr>
        <w:t xml:space="preserve"> en resultados, mostrando por separado</w:t>
      </w:r>
      <w:bookmarkStart w:id="90" w:name="page107"/>
      <w:bookmarkEnd w:id="90"/>
      <w:r w:rsidR="007350C4" w:rsidRPr="007350C4">
        <w:rPr>
          <w:rFonts w:eastAsia="Arial"/>
          <w:bCs/>
          <w:sz w:val="22"/>
          <w:szCs w:val="22"/>
          <w:lang w:val="es-CR"/>
        </w:rPr>
        <w:t xml:space="preserve"> </w:t>
      </w:r>
      <w:r w:rsidR="007350C4">
        <w:rPr>
          <w:rFonts w:eastAsia="Arial"/>
          <w:bCs/>
          <w:sz w:val="22"/>
          <w:szCs w:val="22"/>
          <w:lang w:val="es-CR"/>
        </w:rPr>
        <w:t>l</w:t>
      </w:r>
      <w:r w:rsidR="007350C4" w:rsidRPr="00D655DD">
        <w:rPr>
          <w:rFonts w:eastAsia="Arial"/>
          <w:bCs/>
          <w:sz w:val="22"/>
          <w:szCs w:val="22"/>
          <w:lang w:val="es-CR"/>
        </w:rPr>
        <w:t>os designados como tales en el momento de su reconocimiento inicial</w:t>
      </w:r>
    </w:p>
    <w:p w14:paraId="1D3772FB" w14:textId="77777777" w:rsidR="00007CB5" w:rsidRDefault="007350C4">
      <w:pPr>
        <w:pStyle w:val="Default"/>
        <w:numPr>
          <w:ilvl w:val="1"/>
          <w:numId w:val="130"/>
        </w:numPr>
        <w:spacing w:after="120"/>
        <w:ind w:left="1559" w:hanging="357"/>
        <w:jc w:val="both"/>
        <w:rPr>
          <w:sz w:val="22"/>
          <w:szCs w:val="22"/>
          <w:lang w:val="es-CR"/>
        </w:rPr>
      </w:pPr>
      <w:r>
        <w:rPr>
          <w:sz w:val="22"/>
          <w:szCs w:val="22"/>
          <w:lang w:val="es-CR"/>
        </w:rPr>
        <w:t>Pasivos financieros medidos al costo amortizado.</w:t>
      </w:r>
    </w:p>
    <w:p w14:paraId="4A008F14" w14:textId="58C93C1B" w:rsidR="00007CB5" w:rsidRPr="00007CB5" w:rsidRDefault="00007CB5">
      <w:pPr>
        <w:pStyle w:val="Default"/>
        <w:numPr>
          <w:ilvl w:val="1"/>
          <w:numId w:val="130"/>
        </w:numPr>
        <w:spacing w:after="120"/>
        <w:ind w:left="1559" w:hanging="357"/>
        <w:jc w:val="both"/>
        <w:rPr>
          <w:sz w:val="22"/>
          <w:szCs w:val="22"/>
          <w:lang w:val="es-CR"/>
        </w:rPr>
      </w:pPr>
      <w:r w:rsidRPr="00007CB5">
        <w:rPr>
          <w:sz w:val="22"/>
          <w:szCs w:val="22"/>
          <w:lang w:val="es-CR"/>
        </w:rPr>
        <w:t xml:space="preserve">Si la entidad hubiese designado un pasivo financiero como al valor razonable con </w:t>
      </w:r>
      <w:r w:rsidR="0021354A" w:rsidRPr="00007CB5">
        <w:rPr>
          <w:sz w:val="22"/>
          <w:szCs w:val="22"/>
          <w:lang w:val="es-CR"/>
        </w:rPr>
        <w:t>ca</w:t>
      </w:r>
      <w:r w:rsidR="0021354A">
        <w:rPr>
          <w:sz w:val="22"/>
          <w:szCs w:val="22"/>
          <w:lang w:val="es-CR"/>
        </w:rPr>
        <w:t>mbi</w:t>
      </w:r>
      <w:r w:rsidR="0021354A" w:rsidRPr="00007CB5">
        <w:rPr>
          <w:sz w:val="22"/>
          <w:szCs w:val="22"/>
          <w:lang w:val="es-CR"/>
        </w:rPr>
        <w:t>os</w:t>
      </w:r>
      <w:r w:rsidRPr="00007CB5">
        <w:rPr>
          <w:sz w:val="22"/>
          <w:szCs w:val="22"/>
          <w:lang w:val="es-CR"/>
        </w:rPr>
        <w:t xml:space="preserve"> en resultados, revelará</w:t>
      </w:r>
      <w:r>
        <w:rPr>
          <w:sz w:val="22"/>
          <w:szCs w:val="22"/>
          <w:lang w:val="es-CR"/>
        </w:rPr>
        <w:t xml:space="preserve">. </w:t>
      </w:r>
      <w:r w:rsidRPr="00007CB5">
        <w:rPr>
          <w:sz w:val="22"/>
          <w:szCs w:val="22"/>
          <w:lang w:val="es-CR"/>
        </w:rPr>
        <w:t xml:space="preserve">El importe de la variación, durante el período y la acumulada, del valor razonable del pasivo financiero que sea atribuible a las variaciones en el riesgo de crédito de ese pasivo, determinado como: </w:t>
      </w:r>
    </w:p>
    <w:p w14:paraId="127DBDDF" w14:textId="72399894" w:rsidR="00007CB5" w:rsidRPr="00007CB5" w:rsidRDefault="00007CB5">
      <w:pPr>
        <w:pStyle w:val="Default"/>
        <w:numPr>
          <w:ilvl w:val="0"/>
          <w:numId w:val="143"/>
        </w:numPr>
        <w:spacing w:after="120"/>
        <w:ind w:left="1843" w:hanging="142"/>
        <w:jc w:val="both"/>
        <w:rPr>
          <w:sz w:val="22"/>
          <w:szCs w:val="22"/>
          <w:lang w:val="es-CR"/>
        </w:rPr>
      </w:pPr>
      <w:r w:rsidRPr="00007CB5">
        <w:rPr>
          <w:sz w:val="22"/>
          <w:szCs w:val="22"/>
          <w:lang w:val="es-CR"/>
        </w:rPr>
        <w:t xml:space="preserve">El importe de la variación del valor razonable que no sea atribuible a </w:t>
      </w:r>
      <w:r w:rsidR="0021354A" w:rsidRPr="00007CB5">
        <w:rPr>
          <w:sz w:val="22"/>
          <w:szCs w:val="22"/>
          <w:lang w:val="es-CR"/>
        </w:rPr>
        <w:t>ca</w:t>
      </w:r>
      <w:r w:rsidR="0021354A">
        <w:rPr>
          <w:sz w:val="22"/>
          <w:szCs w:val="22"/>
          <w:lang w:val="es-CR"/>
        </w:rPr>
        <w:t>mbi</w:t>
      </w:r>
      <w:r w:rsidR="0021354A" w:rsidRPr="00007CB5">
        <w:rPr>
          <w:sz w:val="22"/>
          <w:szCs w:val="22"/>
          <w:lang w:val="es-CR"/>
        </w:rPr>
        <w:t>os</w:t>
      </w:r>
      <w:r w:rsidRPr="00007CB5">
        <w:rPr>
          <w:sz w:val="22"/>
          <w:szCs w:val="22"/>
          <w:lang w:val="es-CR"/>
        </w:rPr>
        <w:t xml:space="preserve"> en las condiciones de mercado que dan lugar a riesgo de mercado, o </w:t>
      </w:r>
    </w:p>
    <w:p w14:paraId="7CE9D20D" w14:textId="06874307" w:rsidR="00007CB5" w:rsidRPr="00007CB5" w:rsidRDefault="00007CB5">
      <w:pPr>
        <w:pStyle w:val="Default"/>
        <w:numPr>
          <w:ilvl w:val="0"/>
          <w:numId w:val="143"/>
        </w:numPr>
        <w:spacing w:after="120"/>
        <w:ind w:left="1843" w:hanging="142"/>
        <w:jc w:val="both"/>
        <w:rPr>
          <w:sz w:val="22"/>
          <w:szCs w:val="22"/>
          <w:lang w:val="es-CR"/>
        </w:rPr>
      </w:pPr>
      <w:r w:rsidRPr="00007CB5">
        <w:rPr>
          <w:sz w:val="22"/>
          <w:szCs w:val="22"/>
          <w:lang w:val="es-CR"/>
        </w:rPr>
        <w:t xml:space="preserve">El importe que resulte de la aplicación de un método alternativo, si la entidad cree que de esta forma representa más fielmente la variación del valor razonable que sea atribuible a </w:t>
      </w:r>
      <w:r w:rsidR="0021354A" w:rsidRPr="00007CB5">
        <w:rPr>
          <w:sz w:val="22"/>
          <w:szCs w:val="22"/>
          <w:lang w:val="es-CR"/>
        </w:rPr>
        <w:t>ca</w:t>
      </w:r>
      <w:r w:rsidR="0021354A">
        <w:rPr>
          <w:sz w:val="22"/>
          <w:szCs w:val="22"/>
          <w:lang w:val="es-CR"/>
        </w:rPr>
        <w:t>mbi</w:t>
      </w:r>
      <w:r w:rsidR="0021354A" w:rsidRPr="00007CB5">
        <w:rPr>
          <w:sz w:val="22"/>
          <w:szCs w:val="22"/>
          <w:lang w:val="es-CR"/>
        </w:rPr>
        <w:t>os</w:t>
      </w:r>
      <w:r w:rsidRPr="00007CB5">
        <w:rPr>
          <w:sz w:val="22"/>
          <w:szCs w:val="22"/>
          <w:lang w:val="es-CR"/>
        </w:rPr>
        <w:t xml:space="preserve"> en el riesgo de crédito del activo; y además: </w:t>
      </w:r>
    </w:p>
    <w:p w14:paraId="312C25D9" w14:textId="66AC70AB" w:rsidR="00007CB5" w:rsidRPr="00007CB5" w:rsidRDefault="00007CB5">
      <w:pPr>
        <w:pStyle w:val="Default"/>
        <w:numPr>
          <w:ilvl w:val="0"/>
          <w:numId w:val="143"/>
        </w:numPr>
        <w:spacing w:after="120"/>
        <w:ind w:left="1843" w:hanging="142"/>
        <w:jc w:val="both"/>
        <w:rPr>
          <w:sz w:val="22"/>
          <w:szCs w:val="22"/>
          <w:lang w:val="es-CR"/>
        </w:rPr>
      </w:pPr>
      <w:r w:rsidRPr="00007CB5">
        <w:rPr>
          <w:sz w:val="22"/>
          <w:szCs w:val="22"/>
          <w:lang w:val="es-CR"/>
        </w:rPr>
        <w:t xml:space="preserve">El método utilizado para determinar la variación del valor razonable del préstamo o cuentas por cobrar, que sea atribuible a </w:t>
      </w:r>
      <w:r w:rsidR="0021354A" w:rsidRPr="00007CB5">
        <w:rPr>
          <w:sz w:val="22"/>
          <w:szCs w:val="22"/>
          <w:lang w:val="es-CR"/>
        </w:rPr>
        <w:t>ca</w:t>
      </w:r>
      <w:r w:rsidR="0021354A">
        <w:rPr>
          <w:sz w:val="22"/>
          <w:szCs w:val="22"/>
          <w:lang w:val="es-CR"/>
        </w:rPr>
        <w:t>mbi</w:t>
      </w:r>
      <w:r w:rsidR="0021354A" w:rsidRPr="00007CB5">
        <w:rPr>
          <w:sz w:val="22"/>
          <w:szCs w:val="22"/>
          <w:lang w:val="es-CR"/>
        </w:rPr>
        <w:t>o</w:t>
      </w:r>
      <w:r w:rsidRPr="00007CB5">
        <w:rPr>
          <w:sz w:val="22"/>
          <w:szCs w:val="22"/>
          <w:lang w:val="es-CR"/>
        </w:rPr>
        <w:t xml:space="preserve"> en el riesgo de crédito del activo; y </w:t>
      </w:r>
    </w:p>
    <w:p w14:paraId="05B4C9AE" w14:textId="58187A66" w:rsidR="00007CB5" w:rsidRPr="00007CB5" w:rsidRDefault="00007CB5">
      <w:pPr>
        <w:pStyle w:val="Default"/>
        <w:numPr>
          <w:ilvl w:val="0"/>
          <w:numId w:val="143"/>
        </w:numPr>
        <w:spacing w:after="120"/>
        <w:ind w:left="1843" w:hanging="142"/>
        <w:jc w:val="both"/>
        <w:rPr>
          <w:sz w:val="22"/>
          <w:szCs w:val="22"/>
          <w:lang w:val="es-CR"/>
        </w:rPr>
      </w:pPr>
      <w:r w:rsidRPr="00007CB5">
        <w:rPr>
          <w:sz w:val="22"/>
          <w:szCs w:val="22"/>
          <w:lang w:val="es-CR"/>
        </w:rPr>
        <w:t xml:space="preserve">Las razones por las que la entidad ha llegado a la conclusión, si así fuere, que la información facilitada no representa fielmente la variación del valor razonable del pasivo financiero que sea atribuible a </w:t>
      </w:r>
      <w:r w:rsidR="0021354A" w:rsidRPr="00007CB5">
        <w:rPr>
          <w:sz w:val="22"/>
          <w:szCs w:val="22"/>
          <w:lang w:val="es-CR"/>
        </w:rPr>
        <w:t>ca</w:t>
      </w:r>
      <w:r w:rsidR="0021354A">
        <w:rPr>
          <w:sz w:val="22"/>
          <w:szCs w:val="22"/>
          <w:lang w:val="es-CR"/>
        </w:rPr>
        <w:t>mbi</w:t>
      </w:r>
      <w:r w:rsidR="0021354A" w:rsidRPr="00007CB5">
        <w:rPr>
          <w:sz w:val="22"/>
          <w:szCs w:val="22"/>
          <w:lang w:val="es-CR"/>
        </w:rPr>
        <w:t>os</w:t>
      </w:r>
      <w:r w:rsidRPr="00007CB5">
        <w:rPr>
          <w:sz w:val="22"/>
          <w:szCs w:val="22"/>
          <w:lang w:val="es-CR"/>
        </w:rPr>
        <w:t xml:space="preserve"> en su riesgo de crédito y los factores que cree que son relevantes. </w:t>
      </w:r>
    </w:p>
    <w:p w14:paraId="073732B9" w14:textId="0B398947" w:rsidR="007350C4" w:rsidRPr="00007CB5" w:rsidRDefault="00007CB5">
      <w:pPr>
        <w:pStyle w:val="Default"/>
        <w:numPr>
          <w:ilvl w:val="1"/>
          <w:numId w:val="130"/>
        </w:numPr>
        <w:spacing w:after="120"/>
        <w:ind w:left="1559" w:hanging="357"/>
        <w:jc w:val="both"/>
        <w:rPr>
          <w:sz w:val="22"/>
          <w:szCs w:val="22"/>
          <w:lang w:val="es-CR"/>
        </w:rPr>
      </w:pPr>
      <w:r w:rsidRPr="00007CB5">
        <w:rPr>
          <w:sz w:val="22"/>
          <w:szCs w:val="22"/>
          <w:lang w:val="es-CR"/>
        </w:rPr>
        <w:t xml:space="preserve">Los </w:t>
      </w:r>
      <w:r w:rsidR="0021354A" w:rsidRPr="00007CB5">
        <w:rPr>
          <w:sz w:val="22"/>
          <w:szCs w:val="22"/>
          <w:lang w:val="es-CR"/>
        </w:rPr>
        <w:t>ca</w:t>
      </w:r>
      <w:r w:rsidR="0021354A">
        <w:rPr>
          <w:sz w:val="22"/>
          <w:szCs w:val="22"/>
          <w:lang w:val="es-CR"/>
        </w:rPr>
        <w:t>mbi</w:t>
      </w:r>
      <w:r w:rsidR="0021354A" w:rsidRPr="00007CB5">
        <w:rPr>
          <w:sz w:val="22"/>
          <w:szCs w:val="22"/>
          <w:lang w:val="es-CR"/>
        </w:rPr>
        <w:t>os</w:t>
      </w:r>
      <w:r w:rsidRPr="00007CB5">
        <w:rPr>
          <w:sz w:val="22"/>
          <w:szCs w:val="22"/>
          <w:lang w:val="es-CR"/>
        </w:rPr>
        <w:t xml:space="preserve"> en las condiciones de mercado que ocasionan riesgo de mercado incluyen las variaciones en una tasa de interés (de referencia) observada, en el precio de un instrumento financiero de otra entidad, en el precio de una materia prima cotizada, en una tasa de </w:t>
      </w:r>
      <w:r w:rsidR="0021354A" w:rsidRPr="00007CB5">
        <w:rPr>
          <w:sz w:val="22"/>
          <w:szCs w:val="22"/>
          <w:lang w:val="es-CR"/>
        </w:rPr>
        <w:t>ca</w:t>
      </w:r>
      <w:r w:rsidR="0021354A">
        <w:rPr>
          <w:sz w:val="22"/>
          <w:szCs w:val="22"/>
          <w:lang w:val="es-CR"/>
        </w:rPr>
        <w:t>mbi</w:t>
      </w:r>
      <w:r w:rsidR="0021354A" w:rsidRPr="00007CB5">
        <w:rPr>
          <w:sz w:val="22"/>
          <w:szCs w:val="22"/>
          <w:lang w:val="es-CR"/>
        </w:rPr>
        <w:t>o</w:t>
      </w:r>
      <w:r w:rsidRPr="00007CB5">
        <w:rPr>
          <w:sz w:val="22"/>
          <w:szCs w:val="22"/>
          <w:lang w:val="es-CR"/>
        </w:rPr>
        <w:t xml:space="preserve"> de moneda extranjera o en un índice de precios o tasas.</w:t>
      </w:r>
    </w:p>
    <w:p w14:paraId="6BA1A9CA" w14:textId="034387EC" w:rsidR="007350C4" w:rsidRPr="00007CB5" w:rsidRDefault="00007CB5">
      <w:pPr>
        <w:pStyle w:val="Default"/>
        <w:numPr>
          <w:ilvl w:val="1"/>
          <w:numId w:val="130"/>
        </w:numPr>
        <w:spacing w:after="120"/>
        <w:ind w:left="1559" w:hanging="357"/>
        <w:jc w:val="both"/>
        <w:rPr>
          <w:sz w:val="22"/>
          <w:szCs w:val="22"/>
          <w:lang w:val="es-CR"/>
        </w:rPr>
      </w:pPr>
      <w:r>
        <w:rPr>
          <w:sz w:val="22"/>
          <w:szCs w:val="22"/>
          <w:lang w:val="es-CR"/>
        </w:rPr>
        <w:t>L</w:t>
      </w:r>
      <w:r w:rsidR="007350C4" w:rsidRPr="00007CB5">
        <w:rPr>
          <w:sz w:val="22"/>
          <w:szCs w:val="22"/>
          <w:lang w:val="es-CR"/>
        </w:rPr>
        <w:t xml:space="preserve">a diferencia entre el importe en libros del pasivo financiero y el importe que la entidad estaría obligada contractualmente a pagar al tenedor de la obligación, en el momento del vencimiento; </w:t>
      </w:r>
    </w:p>
    <w:p w14:paraId="67FA6A26" w14:textId="4298AB98" w:rsidR="00007CB5" w:rsidRPr="00007CB5" w:rsidRDefault="00007CB5">
      <w:pPr>
        <w:pStyle w:val="Default"/>
        <w:numPr>
          <w:ilvl w:val="1"/>
          <w:numId w:val="130"/>
        </w:numPr>
        <w:spacing w:after="120"/>
        <w:ind w:left="1559" w:hanging="357"/>
        <w:jc w:val="both"/>
        <w:rPr>
          <w:sz w:val="22"/>
          <w:szCs w:val="22"/>
          <w:lang w:val="es-CR"/>
        </w:rPr>
      </w:pPr>
      <w:r>
        <w:rPr>
          <w:sz w:val="22"/>
          <w:szCs w:val="22"/>
          <w:lang w:val="es-CR"/>
        </w:rPr>
        <w:t>L</w:t>
      </w:r>
      <w:r w:rsidRPr="00007CB5">
        <w:rPr>
          <w:sz w:val="22"/>
          <w:szCs w:val="22"/>
          <w:lang w:val="es-CR"/>
        </w:rPr>
        <w:t xml:space="preserve">a información sobre valor razonable cuya revelación se requiere en el Capítulo 1.a., en la parte atinente a pasivos financieros. </w:t>
      </w:r>
    </w:p>
    <w:p w14:paraId="0CC72746" w14:textId="73D01A32" w:rsidR="00007CB5" w:rsidRPr="00007CB5" w:rsidRDefault="00007CB5">
      <w:pPr>
        <w:pStyle w:val="Default"/>
        <w:numPr>
          <w:ilvl w:val="1"/>
          <w:numId w:val="130"/>
        </w:numPr>
        <w:spacing w:after="120"/>
        <w:ind w:left="1559" w:hanging="357"/>
        <w:jc w:val="both"/>
        <w:rPr>
          <w:sz w:val="22"/>
          <w:szCs w:val="22"/>
          <w:lang w:val="es-CR"/>
        </w:rPr>
      </w:pPr>
      <w:r w:rsidRPr="00007CB5">
        <w:rPr>
          <w:sz w:val="22"/>
          <w:szCs w:val="22"/>
          <w:lang w:val="es-CR"/>
        </w:rPr>
        <w:t xml:space="preserve">Conjuntamente con la información relativa a activos financieros, se revelará el importe en libros de los pasivos asociados a activos financieros transferidos que se continúan reconociendo (sea en su totalidad o en la medida de su implicación continuada). </w:t>
      </w:r>
    </w:p>
    <w:p w14:paraId="4F3A5862" w14:textId="64AD121B" w:rsidR="00007CB5" w:rsidRPr="00007CB5" w:rsidRDefault="00007CB5">
      <w:pPr>
        <w:pStyle w:val="Default"/>
        <w:numPr>
          <w:ilvl w:val="1"/>
          <w:numId w:val="130"/>
        </w:numPr>
        <w:spacing w:after="120"/>
        <w:ind w:left="1559" w:hanging="357"/>
        <w:jc w:val="both"/>
        <w:rPr>
          <w:sz w:val="22"/>
          <w:szCs w:val="22"/>
          <w:lang w:val="es-CR"/>
        </w:rPr>
      </w:pPr>
      <w:r w:rsidRPr="00007CB5">
        <w:rPr>
          <w:sz w:val="22"/>
          <w:szCs w:val="22"/>
          <w:lang w:val="es-CR"/>
        </w:rPr>
        <w:t xml:space="preserve">Deberá revelarse la existencia de instrumentos financieros emitidos que, conteniendo un componente de pasivo y otro de patrimonio, incorporen varios derivados implícitos cuyos valores sean interdependientes, como puede ser el caso de un instrumento de deuda convertible con una opción de rescate. </w:t>
      </w:r>
    </w:p>
    <w:p w14:paraId="0C5D8B09" w14:textId="4DD0038F" w:rsidR="00007CB5" w:rsidRPr="00007CB5" w:rsidRDefault="00007CB5">
      <w:pPr>
        <w:pStyle w:val="Default"/>
        <w:numPr>
          <w:ilvl w:val="1"/>
          <w:numId w:val="130"/>
        </w:numPr>
        <w:spacing w:after="120"/>
        <w:ind w:left="1559" w:hanging="357"/>
        <w:jc w:val="both"/>
        <w:rPr>
          <w:sz w:val="22"/>
          <w:szCs w:val="22"/>
          <w:lang w:val="es-CR"/>
        </w:rPr>
      </w:pPr>
      <w:r w:rsidRPr="00007CB5">
        <w:rPr>
          <w:sz w:val="22"/>
          <w:szCs w:val="22"/>
          <w:lang w:val="es-CR"/>
        </w:rPr>
        <w:t xml:space="preserve">Se revelará toda aquella otra información que oportunamente, con carácter permanente o específico para un ejercicio en particular, requiera incluir la DGCN. </w:t>
      </w:r>
    </w:p>
    <w:p w14:paraId="29C5EF7B" w14:textId="77777777" w:rsidR="007350C4" w:rsidRDefault="007350C4" w:rsidP="00A72A29">
      <w:pPr>
        <w:spacing w:line="200" w:lineRule="exact"/>
        <w:rPr>
          <w:rFonts w:ascii="Times New Roman" w:eastAsia="Times New Roman" w:hAnsi="Times New Roman"/>
          <w:lang w:val="es-CR"/>
        </w:rPr>
      </w:pPr>
    </w:p>
    <w:p w14:paraId="003F5E61" w14:textId="77777777" w:rsidR="00007CB5" w:rsidRDefault="00007CB5" w:rsidP="00A72A29">
      <w:pPr>
        <w:spacing w:line="200" w:lineRule="exact"/>
        <w:rPr>
          <w:rFonts w:ascii="Times New Roman" w:eastAsia="Times New Roman" w:hAnsi="Times New Roman"/>
          <w:lang w:val="es-CR"/>
        </w:rPr>
      </w:pPr>
    </w:p>
    <w:p w14:paraId="79EC7CC8" w14:textId="77777777" w:rsidR="006D0596" w:rsidRDefault="006D0596" w:rsidP="00A72A29">
      <w:pPr>
        <w:spacing w:line="200" w:lineRule="exact"/>
        <w:rPr>
          <w:rFonts w:ascii="Times New Roman" w:eastAsia="Times New Roman" w:hAnsi="Times New Roman"/>
          <w:lang w:val="es-CR"/>
        </w:rPr>
      </w:pPr>
    </w:p>
    <w:p w14:paraId="30438423" w14:textId="77777777" w:rsidR="006D0596" w:rsidRDefault="006D0596" w:rsidP="00A72A29">
      <w:pPr>
        <w:spacing w:line="200" w:lineRule="exact"/>
        <w:rPr>
          <w:rFonts w:ascii="Times New Roman" w:eastAsia="Times New Roman" w:hAnsi="Times New Roman"/>
          <w:lang w:val="es-CR"/>
        </w:rPr>
      </w:pPr>
    </w:p>
    <w:p w14:paraId="5717FF26" w14:textId="77777777" w:rsidR="006D0596" w:rsidRDefault="006D0596" w:rsidP="00A72A29">
      <w:pPr>
        <w:spacing w:line="200" w:lineRule="exact"/>
        <w:rPr>
          <w:rFonts w:ascii="Times New Roman" w:eastAsia="Times New Roman" w:hAnsi="Times New Roman"/>
          <w:lang w:val="es-CR"/>
        </w:rPr>
      </w:pPr>
    </w:p>
    <w:tbl>
      <w:tblPr>
        <w:tblW w:w="9680" w:type="dxa"/>
        <w:tblLook w:val="04A0" w:firstRow="1" w:lastRow="0" w:firstColumn="1" w:lastColumn="0" w:noHBand="0" w:noVBand="1"/>
      </w:tblPr>
      <w:tblGrid>
        <w:gridCol w:w="637"/>
        <w:gridCol w:w="417"/>
        <w:gridCol w:w="611"/>
        <w:gridCol w:w="3681"/>
        <w:gridCol w:w="2249"/>
        <w:gridCol w:w="2085"/>
      </w:tblGrid>
      <w:tr w:rsidR="006D0596" w:rsidRPr="00C55377" w14:paraId="7E45B1E1" w14:textId="77777777" w:rsidTr="006D0596">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0A18D1D" w14:textId="77777777" w:rsidR="006D0596" w:rsidRPr="00C55377" w:rsidRDefault="006D0596" w:rsidP="006D0596">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lastRenderedPageBreak/>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0AF7CC2" w14:textId="77777777" w:rsidR="006D0596" w:rsidRPr="00C55377" w:rsidRDefault="006D0596" w:rsidP="006D0596">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5751F58B" w14:textId="77777777" w:rsidR="006D0596" w:rsidRPr="00C55377" w:rsidRDefault="006D0596" w:rsidP="006D0596">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Referencia</w:t>
            </w:r>
          </w:p>
        </w:tc>
      </w:tr>
      <w:tr w:rsidR="006D0596" w:rsidRPr="006E5442" w14:paraId="10AB5272" w14:textId="77777777" w:rsidTr="006D0596">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52C60384" w14:textId="77777777" w:rsidR="006D0596" w:rsidRPr="00C55377" w:rsidRDefault="006D0596" w:rsidP="006D0596">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1181C5AF" w14:textId="77777777" w:rsidR="006D0596" w:rsidRPr="00C55377" w:rsidRDefault="006D0596" w:rsidP="006D0596">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3A897F2D" w14:textId="77777777" w:rsidR="006D0596" w:rsidRPr="00C55377" w:rsidRDefault="006D0596" w:rsidP="006D0596">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47E0A874" w14:textId="77777777" w:rsidR="006D0596" w:rsidRPr="00C55377" w:rsidRDefault="006D0596" w:rsidP="006D0596">
            <w:pPr>
              <w:jc w:val="center"/>
              <w:rPr>
                <w:rFonts w:ascii="Arial Narrow" w:eastAsia="Times New Roman" w:hAnsi="Arial Narrow" w:cs="Calibri"/>
                <w:b/>
                <w:bCs/>
                <w:color w:val="FFFFFF"/>
                <w:sz w:val="22"/>
                <w:szCs w:val="22"/>
                <w:lang w:val="es-CR"/>
              </w:rPr>
            </w:pPr>
            <w:r w:rsidRPr="00C55377">
              <w:rPr>
                <w:rFonts w:ascii="Arial Narrow" w:eastAsia="Times New Roman" w:hAnsi="Arial Narrow" w:cs="Calibri"/>
                <w:b/>
                <w:bCs/>
                <w:color w:val="FFFFFF"/>
                <w:sz w:val="22"/>
                <w:szCs w:val="22"/>
                <w:lang w:val="es-CR"/>
              </w:rPr>
              <w:t>Normativa técnica y disposiciones adicionales</w:t>
            </w:r>
          </w:p>
        </w:tc>
      </w:tr>
      <w:tr w:rsidR="006D0596" w:rsidRPr="00C55377" w14:paraId="59489427" w14:textId="77777777" w:rsidTr="006D0596">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868CE6" w14:textId="77777777" w:rsidR="006D0596" w:rsidRPr="00C55377" w:rsidRDefault="006D0596" w:rsidP="006D0596">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1FD810D9" w14:textId="77777777" w:rsidR="006D0596" w:rsidRPr="00C55377" w:rsidRDefault="006D0596" w:rsidP="006D0596">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22</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3F0B1EA3" w14:textId="170E5BAE" w:rsidR="006D0596" w:rsidRPr="00C55377" w:rsidRDefault="006D0596" w:rsidP="006D0596">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28A329D5" w14:textId="77777777" w:rsidR="006D0596" w:rsidRPr="00C55377" w:rsidRDefault="006D0596" w:rsidP="006D0596">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Riesgo de liquidez</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415EA4F4" w14:textId="77777777" w:rsidR="006D0596" w:rsidRPr="00C55377" w:rsidRDefault="006D0596" w:rsidP="006D0596">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NICSP N° 30,</w:t>
            </w:r>
          </w:p>
          <w:p w14:paraId="1688A952" w14:textId="600F07E8" w:rsidR="006D0596" w:rsidRPr="00C55377" w:rsidRDefault="006D0596" w:rsidP="006D0596">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Párrafo 46.</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13D47992" w14:textId="77777777" w:rsidR="006D0596" w:rsidRPr="00C55377" w:rsidRDefault="006D0596" w:rsidP="006D0596">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 </w:t>
            </w:r>
          </w:p>
        </w:tc>
      </w:tr>
    </w:tbl>
    <w:p w14:paraId="0F2648E8" w14:textId="77777777" w:rsidR="006D0596" w:rsidRDefault="006D0596" w:rsidP="00A72A29">
      <w:pPr>
        <w:spacing w:line="200" w:lineRule="exact"/>
        <w:rPr>
          <w:rFonts w:ascii="Times New Roman" w:eastAsia="Times New Roman" w:hAnsi="Times New Roman"/>
          <w:lang w:val="es-CR"/>
        </w:rPr>
      </w:pPr>
    </w:p>
    <w:p w14:paraId="43B36B55" w14:textId="4988B1EA" w:rsidR="005A4C96" w:rsidRDefault="005A4C96" w:rsidP="006D0596">
      <w:pPr>
        <w:pStyle w:val="Default"/>
        <w:ind w:left="1134" w:hanging="1134"/>
        <w:jc w:val="both"/>
        <w:rPr>
          <w:rFonts w:eastAsia="Arial"/>
          <w:b/>
          <w:sz w:val="22"/>
          <w:szCs w:val="22"/>
        </w:rPr>
      </w:pPr>
      <w:r w:rsidRPr="00F02F9D">
        <w:rPr>
          <w:rFonts w:eastAsia="Arial"/>
          <w:b/>
          <w:sz w:val="22"/>
          <w:szCs w:val="22"/>
        </w:rPr>
        <w:t>Política Contable</w:t>
      </w:r>
    </w:p>
    <w:p w14:paraId="775DADDE" w14:textId="77777777" w:rsidR="005A4C96" w:rsidRDefault="005A4C96" w:rsidP="006D0596">
      <w:pPr>
        <w:pStyle w:val="Default"/>
        <w:ind w:left="1134" w:hanging="1134"/>
        <w:jc w:val="both"/>
        <w:rPr>
          <w:sz w:val="22"/>
          <w:szCs w:val="22"/>
          <w:lang w:val="es-CR"/>
        </w:rPr>
      </w:pPr>
    </w:p>
    <w:p w14:paraId="67EF5FA5" w14:textId="45575DB9" w:rsidR="006D0596" w:rsidRDefault="006D0596" w:rsidP="006D0596">
      <w:pPr>
        <w:pStyle w:val="Default"/>
        <w:ind w:left="1134" w:hanging="1134"/>
        <w:jc w:val="both"/>
        <w:rPr>
          <w:sz w:val="22"/>
          <w:szCs w:val="22"/>
          <w:lang w:val="es-CR"/>
        </w:rPr>
      </w:pPr>
      <w:r w:rsidRPr="006D0596">
        <w:rPr>
          <w:sz w:val="22"/>
          <w:szCs w:val="22"/>
          <w:lang w:val="es-CR"/>
        </w:rPr>
        <w:t>2.2</w:t>
      </w:r>
      <w:r>
        <w:rPr>
          <w:sz w:val="22"/>
          <w:szCs w:val="22"/>
          <w:lang w:val="es-CR"/>
        </w:rPr>
        <w:t>2.0.01</w:t>
      </w:r>
      <w:r>
        <w:rPr>
          <w:sz w:val="22"/>
          <w:szCs w:val="22"/>
          <w:lang w:val="es-CR"/>
        </w:rPr>
        <w:tab/>
        <w:t>En cada fecha de presentación deberá revelarse:</w:t>
      </w:r>
    </w:p>
    <w:p w14:paraId="7CDA5D11" w14:textId="77777777" w:rsidR="006D0596" w:rsidRDefault="006D0596" w:rsidP="006D0596">
      <w:pPr>
        <w:pStyle w:val="Default"/>
        <w:ind w:left="1134" w:hanging="1134"/>
        <w:jc w:val="both"/>
        <w:rPr>
          <w:sz w:val="22"/>
          <w:szCs w:val="22"/>
          <w:lang w:val="es-CR"/>
        </w:rPr>
      </w:pPr>
    </w:p>
    <w:p w14:paraId="5C07A5A0" w14:textId="46F53F82" w:rsidR="006D0596" w:rsidRDefault="006D0596">
      <w:pPr>
        <w:pStyle w:val="Default"/>
        <w:numPr>
          <w:ilvl w:val="0"/>
          <w:numId w:val="144"/>
        </w:numPr>
        <w:spacing w:after="120"/>
        <w:ind w:left="1559" w:hanging="357"/>
        <w:jc w:val="both"/>
        <w:rPr>
          <w:sz w:val="22"/>
          <w:szCs w:val="22"/>
          <w:lang w:val="es-CR"/>
        </w:rPr>
      </w:pPr>
      <w:r>
        <w:rPr>
          <w:sz w:val="22"/>
          <w:szCs w:val="22"/>
          <w:lang w:val="es-CR"/>
        </w:rPr>
        <w:t xml:space="preserve">Un análisis de vencimientos para pasivos financieros </w:t>
      </w:r>
      <w:r w:rsidR="007842BC">
        <w:rPr>
          <w:sz w:val="22"/>
          <w:szCs w:val="22"/>
          <w:lang w:val="es-CR"/>
        </w:rPr>
        <w:t>no derivados que muestre los vencimientos contractuales remanentes.</w:t>
      </w:r>
    </w:p>
    <w:p w14:paraId="098EF513" w14:textId="04006483" w:rsidR="007842BC" w:rsidRDefault="007842BC">
      <w:pPr>
        <w:pStyle w:val="Default"/>
        <w:numPr>
          <w:ilvl w:val="0"/>
          <w:numId w:val="144"/>
        </w:numPr>
        <w:spacing w:after="120"/>
        <w:ind w:left="1559" w:hanging="357"/>
        <w:jc w:val="both"/>
        <w:rPr>
          <w:sz w:val="22"/>
          <w:szCs w:val="22"/>
          <w:lang w:val="es-CR"/>
        </w:rPr>
      </w:pPr>
      <w:r>
        <w:rPr>
          <w:sz w:val="22"/>
          <w:szCs w:val="22"/>
          <w:lang w:val="es-CR"/>
        </w:rPr>
        <w:t>Un análisis de vencimientos para pasivos financieros derivados, que incluya los vencimientos contractuales remanentes que sean esenciales para comprender el calendario de los flujos de efectivo.</w:t>
      </w:r>
    </w:p>
    <w:p w14:paraId="4CD69F9D" w14:textId="2801189E" w:rsidR="007842BC" w:rsidRPr="006D0596" w:rsidRDefault="007842BC">
      <w:pPr>
        <w:pStyle w:val="Default"/>
        <w:numPr>
          <w:ilvl w:val="0"/>
          <w:numId w:val="144"/>
        </w:numPr>
        <w:spacing w:after="120"/>
        <w:ind w:left="1559" w:hanging="357"/>
        <w:jc w:val="both"/>
        <w:rPr>
          <w:sz w:val="22"/>
          <w:szCs w:val="22"/>
          <w:lang w:val="es-CR"/>
        </w:rPr>
      </w:pPr>
      <w:r>
        <w:rPr>
          <w:sz w:val="22"/>
          <w:szCs w:val="22"/>
          <w:lang w:val="es-CR"/>
        </w:rPr>
        <w:t xml:space="preserve">Una descripción de como gestiona el riesgo de liquidez inherente a </w:t>
      </w:r>
      <w:r w:rsidR="0021354A">
        <w:rPr>
          <w:sz w:val="22"/>
          <w:szCs w:val="22"/>
          <w:lang w:val="es-CR"/>
        </w:rPr>
        <w:t>ambas</w:t>
      </w:r>
      <w:r>
        <w:rPr>
          <w:sz w:val="22"/>
          <w:szCs w:val="22"/>
          <w:lang w:val="es-CR"/>
        </w:rPr>
        <w:t xml:space="preserve"> clases de pasivos financieros.</w:t>
      </w:r>
    </w:p>
    <w:p w14:paraId="57213C39" w14:textId="77777777" w:rsidR="00A72A29" w:rsidRDefault="00A72A29" w:rsidP="005A4C96">
      <w:pPr>
        <w:rPr>
          <w:rFonts w:ascii="Times New Roman" w:eastAsia="Times New Roman" w:hAnsi="Times New Roman"/>
          <w:lang w:val="es-CR"/>
        </w:rPr>
      </w:pPr>
    </w:p>
    <w:p w14:paraId="4C8E05CF" w14:textId="77777777" w:rsidR="005A4C96" w:rsidRPr="00627673" w:rsidRDefault="005A4C96" w:rsidP="005A4C96">
      <w:pPr>
        <w:rPr>
          <w:rFonts w:ascii="Times New Roman" w:eastAsia="Times New Roman" w:hAnsi="Times New Roman"/>
          <w:lang w:val="es-CR"/>
        </w:rPr>
      </w:pPr>
    </w:p>
    <w:tbl>
      <w:tblPr>
        <w:tblW w:w="9680" w:type="dxa"/>
        <w:tblLook w:val="04A0" w:firstRow="1" w:lastRow="0" w:firstColumn="1" w:lastColumn="0" w:noHBand="0" w:noVBand="1"/>
      </w:tblPr>
      <w:tblGrid>
        <w:gridCol w:w="540"/>
        <w:gridCol w:w="500"/>
        <w:gridCol w:w="520"/>
        <w:gridCol w:w="3740"/>
        <w:gridCol w:w="2280"/>
        <w:gridCol w:w="2100"/>
      </w:tblGrid>
      <w:tr w:rsidR="00A24C1F" w:rsidRPr="00C55377" w14:paraId="784C48FE" w14:textId="77777777" w:rsidTr="00A24C1F">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5725F88" w14:textId="77777777" w:rsidR="00A24C1F" w:rsidRPr="00C55377" w:rsidRDefault="00A24C1F" w:rsidP="00A24C1F">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7FC7C403" w14:textId="77777777" w:rsidR="00A24C1F" w:rsidRPr="00C55377" w:rsidRDefault="00A24C1F" w:rsidP="00A24C1F">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Concepto</w:t>
            </w:r>
          </w:p>
        </w:tc>
        <w:tc>
          <w:tcPr>
            <w:tcW w:w="4380" w:type="dxa"/>
            <w:gridSpan w:val="2"/>
            <w:tcBorders>
              <w:top w:val="nil"/>
              <w:left w:val="nil"/>
              <w:bottom w:val="single" w:sz="8" w:space="0" w:color="auto"/>
              <w:right w:val="single" w:sz="8" w:space="0" w:color="000000"/>
            </w:tcBorders>
            <w:shd w:val="clear" w:color="000000" w:fill="203764"/>
            <w:vAlign w:val="center"/>
            <w:hideMark/>
          </w:tcPr>
          <w:p w14:paraId="2DB79E9A" w14:textId="77777777" w:rsidR="00A24C1F" w:rsidRPr="00C55377" w:rsidRDefault="00A24C1F" w:rsidP="00A24C1F">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Referencia</w:t>
            </w:r>
          </w:p>
        </w:tc>
      </w:tr>
      <w:tr w:rsidR="00A24C1F" w:rsidRPr="006E5442" w14:paraId="123E200B" w14:textId="77777777" w:rsidTr="00A24C1F">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21992A51" w14:textId="77777777" w:rsidR="00A24C1F" w:rsidRPr="00C55377" w:rsidRDefault="00A24C1F" w:rsidP="00A24C1F">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0BF92A97" w14:textId="77777777" w:rsidR="00A24C1F" w:rsidRPr="00C55377" w:rsidRDefault="00A24C1F" w:rsidP="00A24C1F">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70E38911" w14:textId="77777777" w:rsidR="00A24C1F" w:rsidRPr="00C55377" w:rsidRDefault="00A24C1F" w:rsidP="00A24C1F">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640E4371" w14:textId="77777777" w:rsidR="00A24C1F" w:rsidRPr="00C55377" w:rsidRDefault="00A24C1F" w:rsidP="00A24C1F">
            <w:pPr>
              <w:jc w:val="center"/>
              <w:rPr>
                <w:rFonts w:ascii="Arial Narrow" w:eastAsia="Times New Roman" w:hAnsi="Arial Narrow" w:cs="Calibri"/>
                <w:b/>
                <w:bCs/>
                <w:color w:val="FFFFFF"/>
                <w:sz w:val="22"/>
                <w:szCs w:val="22"/>
                <w:lang w:val="es-CR"/>
              </w:rPr>
            </w:pPr>
            <w:r w:rsidRPr="00C55377">
              <w:rPr>
                <w:rFonts w:ascii="Arial Narrow" w:eastAsia="Times New Roman" w:hAnsi="Arial Narrow" w:cs="Calibri"/>
                <w:b/>
                <w:bCs/>
                <w:color w:val="FFFFFF"/>
                <w:sz w:val="22"/>
                <w:szCs w:val="22"/>
                <w:lang w:val="es-CR"/>
              </w:rPr>
              <w:t>Normativa técnica y disposiciones adicionales</w:t>
            </w:r>
          </w:p>
        </w:tc>
      </w:tr>
      <w:tr w:rsidR="00A24C1F" w:rsidRPr="00C55377" w14:paraId="17A05854" w14:textId="77777777" w:rsidTr="00C55377">
        <w:trPr>
          <w:trHeight w:val="51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45FFF3D"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500" w:type="dxa"/>
            <w:tcBorders>
              <w:top w:val="nil"/>
              <w:left w:val="nil"/>
              <w:bottom w:val="single" w:sz="8" w:space="0" w:color="auto"/>
              <w:right w:val="single" w:sz="8" w:space="0" w:color="auto"/>
            </w:tcBorders>
            <w:shd w:val="clear" w:color="auto" w:fill="auto"/>
            <w:vAlign w:val="center"/>
            <w:hideMark/>
          </w:tcPr>
          <w:p w14:paraId="21CFBEAC"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23</w:t>
            </w:r>
          </w:p>
        </w:tc>
        <w:tc>
          <w:tcPr>
            <w:tcW w:w="520" w:type="dxa"/>
            <w:tcBorders>
              <w:top w:val="nil"/>
              <w:left w:val="nil"/>
              <w:bottom w:val="single" w:sz="8" w:space="0" w:color="auto"/>
              <w:right w:val="single" w:sz="8" w:space="0" w:color="auto"/>
            </w:tcBorders>
            <w:shd w:val="clear" w:color="auto" w:fill="auto"/>
            <w:vAlign w:val="center"/>
            <w:hideMark/>
          </w:tcPr>
          <w:p w14:paraId="39D29B89" w14:textId="6B542B4F" w:rsidR="00A24C1F" w:rsidRPr="00C55377" w:rsidRDefault="00A24C1F" w:rsidP="00A24C1F">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5FA5A272" w14:textId="7777777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Cuentas por pagar</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4D5CEC03" w14:textId="7777777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NICSP Nº 19, </w:t>
            </w:r>
          </w:p>
          <w:p w14:paraId="7055DAC9" w14:textId="77532FC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Párrafo 19.</w:t>
            </w:r>
          </w:p>
        </w:tc>
        <w:tc>
          <w:tcPr>
            <w:tcW w:w="2100" w:type="dxa"/>
            <w:tcBorders>
              <w:top w:val="nil"/>
              <w:left w:val="nil"/>
              <w:bottom w:val="single" w:sz="8" w:space="0" w:color="auto"/>
              <w:right w:val="single" w:sz="8" w:space="0" w:color="auto"/>
            </w:tcBorders>
            <w:shd w:val="clear" w:color="auto" w:fill="auto"/>
            <w:vAlign w:val="center"/>
            <w:hideMark/>
          </w:tcPr>
          <w:p w14:paraId="28B73606" w14:textId="77777777" w:rsidR="00A24C1F" w:rsidRPr="00C55377" w:rsidRDefault="00A24C1F" w:rsidP="00A24C1F">
            <w:pPr>
              <w:ind w:firstLineChars="100" w:firstLine="220"/>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w:t>
            </w:r>
          </w:p>
        </w:tc>
      </w:tr>
      <w:tr w:rsidR="00A24C1F" w:rsidRPr="00C55377" w14:paraId="5494F007" w14:textId="77777777" w:rsidTr="00A24C1F">
        <w:trPr>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D694150"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500" w:type="dxa"/>
            <w:tcBorders>
              <w:top w:val="nil"/>
              <w:left w:val="nil"/>
              <w:bottom w:val="single" w:sz="8" w:space="0" w:color="auto"/>
              <w:right w:val="single" w:sz="8" w:space="0" w:color="auto"/>
            </w:tcBorders>
            <w:shd w:val="clear" w:color="auto" w:fill="auto"/>
            <w:vAlign w:val="center"/>
            <w:hideMark/>
          </w:tcPr>
          <w:p w14:paraId="49FBA01C"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23</w:t>
            </w:r>
          </w:p>
        </w:tc>
        <w:tc>
          <w:tcPr>
            <w:tcW w:w="520" w:type="dxa"/>
            <w:tcBorders>
              <w:top w:val="nil"/>
              <w:left w:val="nil"/>
              <w:bottom w:val="single" w:sz="8" w:space="0" w:color="auto"/>
              <w:right w:val="single" w:sz="8" w:space="0" w:color="auto"/>
            </w:tcBorders>
            <w:shd w:val="clear" w:color="auto" w:fill="auto"/>
            <w:vAlign w:val="center"/>
            <w:hideMark/>
          </w:tcPr>
          <w:p w14:paraId="553A2A5D"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3378039C" w14:textId="7777777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Reconocimiento y cancelación</w:t>
            </w:r>
          </w:p>
        </w:tc>
        <w:tc>
          <w:tcPr>
            <w:tcW w:w="2280" w:type="dxa"/>
            <w:tcBorders>
              <w:top w:val="nil"/>
              <w:left w:val="nil"/>
              <w:bottom w:val="single" w:sz="8" w:space="0" w:color="auto"/>
              <w:right w:val="single" w:sz="8" w:space="0" w:color="auto"/>
            </w:tcBorders>
            <w:shd w:val="clear" w:color="auto" w:fill="auto"/>
            <w:vAlign w:val="center"/>
            <w:hideMark/>
          </w:tcPr>
          <w:p w14:paraId="1E2F38A3" w14:textId="7777777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w:t>
            </w:r>
          </w:p>
        </w:tc>
        <w:tc>
          <w:tcPr>
            <w:tcW w:w="2100" w:type="dxa"/>
            <w:vMerge w:val="restart"/>
            <w:tcBorders>
              <w:top w:val="nil"/>
              <w:left w:val="single" w:sz="8" w:space="0" w:color="auto"/>
              <w:bottom w:val="single" w:sz="8" w:space="0" w:color="000000"/>
              <w:right w:val="single" w:sz="8" w:space="0" w:color="auto"/>
            </w:tcBorders>
            <w:shd w:val="clear" w:color="auto" w:fill="auto"/>
            <w:vAlign w:val="center"/>
            <w:hideMark/>
          </w:tcPr>
          <w:p w14:paraId="149C8B33" w14:textId="77777777" w:rsidR="00A24C1F" w:rsidRPr="00C55377" w:rsidRDefault="00A24C1F" w:rsidP="00A24C1F">
            <w:pPr>
              <w:jc w:val="center"/>
              <w:rPr>
                <w:rFonts w:ascii="Arial Narrow" w:eastAsia="Times New Roman" w:hAnsi="Arial Narrow"/>
                <w:b/>
                <w:bCs/>
                <w:color w:val="000000"/>
                <w:sz w:val="22"/>
                <w:szCs w:val="22"/>
              </w:rPr>
            </w:pPr>
            <w:r w:rsidRPr="00C55377">
              <w:rPr>
                <w:rFonts w:ascii="Arial Narrow" w:eastAsia="Times New Roman" w:hAnsi="Arial Narrow"/>
                <w:b/>
                <w:bCs/>
                <w:color w:val="000000"/>
                <w:sz w:val="22"/>
                <w:szCs w:val="22"/>
              </w:rPr>
              <w:t>DGCN</w:t>
            </w:r>
          </w:p>
        </w:tc>
      </w:tr>
      <w:tr w:rsidR="00A24C1F" w:rsidRPr="00C55377" w14:paraId="5A5FE360" w14:textId="77777777" w:rsidTr="00A24C1F">
        <w:trPr>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0C927D6"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500" w:type="dxa"/>
            <w:tcBorders>
              <w:top w:val="nil"/>
              <w:left w:val="nil"/>
              <w:bottom w:val="single" w:sz="8" w:space="0" w:color="auto"/>
              <w:right w:val="single" w:sz="8" w:space="0" w:color="auto"/>
            </w:tcBorders>
            <w:shd w:val="clear" w:color="auto" w:fill="auto"/>
            <w:vAlign w:val="center"/>
            <w:hideMark/>
          </w:tcPr>
          <w:p w14:paraId="700A4123"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23</w:t>
            </w:r>
          </w:p>
        </w:tc>
        <w:tc>
          <w:tcPr>
            <w:tcW w:w="520" w:type="dxa"/>
            <w:tcBorders>
              <w:top w:val="nil"/>
              <w:left w:val="nil"/>
              <w:bottom w:val="single" w:sz="8" w:space="0" w:color="auto"/>
              <w:right w:val="single" w:sz="8" w:space="0" w:color="auto"/>
            </w:tcBorders>
            <w:shd w:val="clear" w:color="auto" w:fill="auto"/>
            <w:vAlign w:val="center"/>
            <w:hideMark/>
          </w:tcPr>
          <w:p w14:paraId="5471DA6B"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2ED51AB5" w14:textId="7777777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Origen</w:t>
            </w:r>
          </w:p>
        </w:tc>
        <w:tc>
          <w:tcPr>
            <w:tcW w:w="2280" w:type="dxa"/>
            <w:tcBorders>
              <w:top w:val="nil"/>
              <w:left w:val="nil"/>
              <w:bottom w:val="single" w:sz="8" w:space="0" w:color="auto"/>
              <w:right w:val="single" w:sz="8" w:space="0" w:color="auto"/>
            </w:tcBorders>
            <w:shd w:val="clear" w:color="auto" w:fill="auto"/>
            <w:vAlign w:val="center"/>
            <w:hideMark/>
          </w:tcPr>
          <w:p w14:paraId="406E5171" w14:textId="7777777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 </w:t>
            </w:r>
          </w:p>
        </w:tc>
        <w:tc>
          <w:tcPr>
            <w:tcW w:w="2100" w:type="dxa"/>
            <w:vMerge/>
            <w:tcBorders>
              <w:top w:val="nil"/>
              <w:left w:val="single" w:sz="8" w:space="0" w:color="auto"/>
              <w:bottom w:val="single" w:sz="8" w:space="0" w:color="000000"/>
              <w:right w:val="single" w:sz="8" w:space="0" w:color="auto"/>
            </w:tcBorders>
            <w:vAlign w:val="center"/>
            <w:hideMark/>
          </w:tcPr>
          <w:p w14:paraId="63374506" w14:textId="77777777" w:rsidR="00A24C1F" w:rsidRPr="00C55377" w:rsidRDefault="00A24C1F" w:rsidP="00A24C1F">
            <w:pPr>
              <w:rPr>
                <w:rFonts w:ascii="Arial Narrow" w:eastAsia="Times New Roman" w:hAnsi="Arial Narrow"/>
                <w:b/>
                <w:bCs/>
                <w:color w:val="000000"/>
                <w:sz w:val="22"/>
                <w:szCs w:val="22"/>
              </w:rPr>
            </w:pPr>
          </w:p>
        </w:tc>
      </w:tr>
      <w:tr w:rsidR="00A24C1F" w:rsidRPr="00C55377" w14:paraId="7ACD5BF9" w14:textId="77777777" w:rsidTr="00A24C1F">
        <w:trPr>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BA2BECE"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500" w:type="dxa"/>
            <w:tcBorders>
              <w:top w:val="nil"/>
              <w:left w:val="nil"/>
              <w:bottom w:val="single" w:sz="8" w:space="0" w:color="auto"/>
              <w:right w:val="single" w:sz="8" w:space="0" w:color="auto"/>
            </w:tcBorders>
            <w:shd w:val="clear" w:color="auto" w:fill="auto"/>
            <w:vAlign w:val="center"/>
            <w:hideMark/>
          </w:tcPr>
          <w:p w14:paraId="1D7EB204"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23</w:t>
            </w:r>
          </w:p>
        </w:tc>
        <w:tc>
          <w:tcPr>
            <w:tcW w:w="520" w:type="dxa"/>
            <w:tcBorders>
              <w:top w:val="nil"/>
              <w:left w:val="nil"/>
              <w:bottom w:val="single" w:sz="8" w:space="0" w:color="auto"/>
              <w:right w:val="single" w:sz="8" w:space="0" w:color="auto"/>
            </w:tcBorders>
            <w:shd w:val="clear" w:color="auto" w:fill="auto"/>
            <w:vAlign w:val="center"/>
            <w:hideMark/>
          </w:tcPr>
          <w:p w14:paraId="207FFA61" w14:textId="77777777" w:rsidR="00A24C1F" w:rsidRPr="00C55377" w:rsidRDefault="00A24C1F" w:rsidP="00A24C1F">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68B5142E" w14:textId="7777777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Formas</w:t>
            </w:r>
          </w:p>
        </w:tc>
        <w:tc>
          <w:tcPr>
            <w:tcW w:w="2280" w:type="dxa"/>
            <w:tcBorders>
              <w:top w:val="nil"/>
              <w:left w:val="nil"/>
              <w:bottom w:val="single" w:sz="8" w:space="0" w:color="auto"/>
              <w:right w:val="single" w:sz="8" w:space="0" w:color="auto"/>
            </w:tcBorders>
            <w:shd w:val="clear" w:color="auto" w:fill="auto"/>
            <w:vAlign w:val="center"/>
            <w:hideMark/>
          </w:tcPr>
          <w:p w14:paraId="05D42AB7" w14:textId="77777777" w:rsidR="00A24C1F" w:rsidRPr="00C55377" w:rsidRDefault="00A24C1F" w:rsidP="00A24C1F">
            <w:pP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 </w:t>
            </w:r>
          </w:p>
        </w:tc>
        <w:tc>
          <w:tcPr>
            <w:tcW w:w="2100" w:type="dxa"/>
            <w:vMerge/>
            <w:tcBorders>
              <w:top w:val="nil"/>
              <w:left w:val="single" w:sz="8" w:space="0" w:color="auto"/>
              <w:bottom w:val="single" w:sz="8" w:space="0" w:color="000000"/>
              <w:right w:val="single" w:sz="8" w:space="0" w:color="auto"/>
            </w:tcBorders>
            <w:vAlign w:val="center"/>
            <w:hideMark/>
          </w:tcPr>
          <w:p w14:paraId="37776794" w14:textId="77777777" w:rsidR="00A24C1F" w:rsidRPr="00C55377" w:rsidRDefault="00A24C1F" w:rsidP="00A24C1F">
            <w:pPr>
              <w:rPr>
                <w:rFonts w:ascii="Arial Narrow" w:eastAsia="Times New Roman" w:hAnsi="Arial Narrow"/>
                <w:b/>
                <w:bCs/>
                <w:color w:val="000000"/>
                <w:sz w:val="22"/>
                <w:szCs w:val="22"/>
              </w:rPr>
            </w:pPr>
          </w:p>
        </w:tc>
      </w:tr>
    </w:tbl>
    <w:p w14:paraId="57E83CD1" w14:textId="77777777" w:rsidR="00A24C1F" w:rsidRDefault="00A24C1F" w:rsidP="00C522E2">
      <w:pPr>
        <w:spacing w:line="238" w:lineRule="auto"/>
        <w:ind w:left="1134" w:right="260" w:hanging="1134"/>
        <w:jc w:val="both"/>
        <w:rPr>
          <w:rFonts w:ascii="Arial" w:eastAsia="Arial" w:hAnsi="Arial"/>
          <w:b/>
          <w:sz w:val="22"/>
          <w:szCs w:val="22"/>
          <w:lang w:val="es-CR"/>
        </w:rPr>
      </w:pPr>
    </w:p>
    <w:p w14:paraId="256744ED" w14:textId="05CC086D"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57A54676" w14:textId="77777777" w:rsidR="005A4C96" w:rsidRDefault="005A4C96" w:rsidP="00C522E2">
      <w:pPr>
        <w:spacing w:line="238" w:lineRule="auto"/>
        <w:ind w:left="1134" w:right="260" w:hanging="1134"/>
        <w:jc w:val="both"/>
        <w:rPr>
          <w:rFonts w:ascii="Arial" w:eastAsia="Arial" w:hAnsi="Arial"/>
          <w:b/>
          <w:sz w:val="22"/>
          <w:szCs w:val="22"/>
          <w:lang w:val="es-CR"/>
        </w:rPr>
      </w:pPr>
    </w:p>
    <w:p w14:paraId="01F34892" w14:textId="30417F03" w:rsidR="00A24C1F" w:rsidRPr="00A24C1F" w:rsidRDefault="00A24C1F" w:rsidP="006D0596">
      <w:pPr>
        <w:pStyle w:val="Default"/>
        <w:ind w:left="1134" w:hanging="1134"/>
        <w:jc w:val="both"/>
        <w:rPr>
          <w:sz w:val="22"/>
          <w:szCs w:val="22"/>
          <w:lang w:val="es-CR"/>
        </w:rPr>
      </w:pPr>
      <w:r>
        <w:rPr>
          <w:sz w:val="22"/>
          <w:szCs w:val="22"/>
          <w:lang w:val="es-CR"/>
        </w:rPr>
        <w:t>2.23.0.01</w:t>
      </w:r>
      <w:r>
        <w:rPr>
          <w:sz w:val="22"/>
          <w:szCs w:val="22"/>
          <w:lang w:val="es-CR"/>
        </w:rPr>
        <w:tab/>
      </w:r>
      <w:r w:rsidRPr="00A24C1F">
        <w:rPr>
          <w:sz w:val="22"/>
          <w:szCs w:val="22"/>
          <w:lang w:val="es-CR"/>
        </w:rPr>
        <w:t xml:space="preserve">Las cuentas por pagar son pasivos originados por bienes o servicios que han sido recibidos o suministrados al </w:t>
      </w:r>
      <w:r w:rsidR="000F29DC">
        <w:rPr>
          <w:sz w:val="22"/>
          <w:szCs w:val="22"/>
          <w:lang w:val="es-CR"/>
        </w:rPr>
        <w:t>MBA</w:t>
      </w:r>
      <w:r w:rsidRPr="00A24C1F">
        <w:rPr>
          <w:sz w:val="22"/>
          <w:szCs w:val="22"/>
          <w:lang w:val="es-CR"/>
        </w:rPr>
        <w:t xml:space="preserve"> y, además, han sido facturados o formalmente acordados con el proveedor (se incluyen pagos respecto a beneficios sociales para los cuales existen acuerdos formales por cuantías específicas).</w:t>
      </w:r>
    </w:p>
    <w:p w14:paraId="57337D65" w14:textId="77777777" w:rsidR="00A24C1F" w:rsidRPr="00971698" w:rsidRDefault="00A24C1F" w:rsidP="00A24C1F">
      <w:pPr>
        <w:spacing w:line="276" w:lineRule="exact"/>
        <w:rPr>
          <w:rFonts w:ascii="Times New Roman" w:eastAsia="Times New Roman" w:hAnsi="Times New Roman"/>
          <w:lang w:val="es-CR"/>
        </w:rPr>
      </w:pPr>
    </w:p>
    <w:p w14:paraId="6D5E7291" w14:textId="373C1795" w:rsidR="00A24C1F" w:rsidRDefault="0021354A">
      <w:pPr>
        <w:pStyle w:val="Default"/>
        <w:numPr>
          <w:ilvl w:val="3"/>
          <w:numId w:val="138"/>
        </w:numPr>
        <w:jc w:val="both"/>
        <w:rPr>
          <w:sz w:val="22"/>
          <w:szCs w:val="22"/>
          <w:lang w:val="es-CR"/>
        </w:rPr>
      </w:pPr>
      <w:r>
        <w:rPr>
          <w:sz w:val="22"/>
          <w:szCs w:val="22"/>
          <w:lang w:val="es-CR"/>
        </w:rPr>
        <w:t>La</w:t>
      </w:r>
      <w:r w:rsidR="00A24C1F" w:rsidRPr="00971698">
        <w:rPr>
          <w:sz w:val="22"/>
          <w:szCs w:val="22"/>
          <w:lang w:val="es-CR"/>
        </w:rPr>
        <w:t xml:space="preserve"> </w:t>
      </w:r>
      <w:r w:rsidR="000F29DC">
        <w:rPr>
          <w:sz w:val="22"/>
          <w:szCs w:val="22"/>
          <w:lang w:val="es-CR"/>
        </w:rPr>
        <w:t>MBA</w:t>
      </w:r>
      <w:r w:rsidR="00A24C1F" w:rsidRPr="00971698">
        <w:rPr>
          <w:sz w:val="22"/>
          <w:szCs w:val="22"/>
          <w:lang w:val="es-CR"/>
        </w:rPr>
        <w:t xml:space="preserve"> tendrá una cuenta por pagar cuando:</w:t>
      </w:r>
    </w:p>
    <w:p w14:paraId="1028A9AA" w14:textId="77777777" w:rsidR="005A4C96" w:rsidRPr="00971698" w:rsidRDefault="005A4C96" w:rsidP="005A4C96">
      <w:pPr>
        <w:pStyle w:val="Default"/>
        <w:ind w:left="1080"/>
        <w:jc w:val="both"/>
        <w:rPr>
          <w:sz w:val="22"/>
          <w:szCs w:val="22"/>
          <w:lang w:val="es-CR"/>
        </w:rPr>
      </w:pPr>
    </w:p>
    <w:p w14:paraId="5B5E0D93" w14:textId="77777777" w:rsidR="00A24C1F" w:rsidRPr="00627673" w:rsidRDefault="00A24C1F" w:rsidP="00A24C1F">
      <w:pPr>
        <w:spacing w:line="9" w:lineRule="exact"/>
        <w:rPr>
          <w:rFonts w:ascii="Arial" w:eastAsia="Arial" w:hAnsi="Arial"/>
          <w:b/>
          <w:sz w:val="24"/>
          <w:lang w:val="es-CR"/>
        </w:rPr>
      </w:pPr>
    </w:p>
    <w:p w14:paraId="58FFD64D" w14:textId="77777777" w:rsidR="00820F1D" w:rsidRPr="00820F1D" w:rsidRDefault="00820F1D" w:rsidP="005A4C96">
      <w:pPr>
        <w:pStyle w:val="Prrafodelista"/>
        <w:numPr>
          <w:ilvl w:val="0"/>
          <w:numId w:val="139"/>
        </w:numPr>
        <w:tabs>
          <w:tab w:val="left" w:pos="1740"/>
        </w:tabs>
        <w:spacing w:after="120"/>
        <w:ind w:left="1417" w:right="260" w:hanging="357"/>
        <w:contextualSpacing w:val="0"/>
        <w:rPr>
          <w:rFonts w:ascii="Arial" w:eastAsia="Arial" w:hAnsi="Arial"/>
          <w:bCs/>
          <w:sz w:val="22"/>
          <w:szCs w:val="22"/>
          <w:lang w:val="es-CR"/>
        </w:rPr>
      </w:pPr>
      <w:r w:rsidRPr="00820F1D">
        <w:rPr>
          <w:rFonts w:ascii="Arial" w:eastAsia="Arial" w:hAnsi="Arial"/>
          <w:bCs/>
          <w:sz w:val="22"/>
          <w:szCs w:val="22"/>
          <w:lang w:val="es-CR"/>
        </w:rPr>
        <w:t>D</w:t>
      </w:r>
      <w:r w:rsidR="00A24C1F" w:rsidRPr="00820F1D">
        <w:rPr>
          <w:rFonts w:ascii="Arial" w:eastAsia="Arial" w:hAnsi="Arial"/>
          <w:bCs/>
          <w:sz w:val="22"/>
          <w:szCs w:val="22"/>
          <w:lang w:val="es-CR"/>
        </w:rPr>
        <w:t>ebido a un hecho ya ocurrido, tiene una obligación de entregar un activo o prestar un servicio;</w:t>
      </w:r>
    </w:p>
    <w:p w14:paraId="054DFA8B" w14:textId="69CD1B5E" w:rsidR="00A24C1F" w:rsidRPr="00820F1D" w:rsidRDefault="00820F1D" w:rsidP="005A4C96">
      <w:pPr>
        <w:pStyle w:val="Prrafodelista"/>
        <w:numPr>
          <w:ilvl w:val="0"/>
          <w:numId w:val="139"/>
        </w:numPr>
        <w:tabs>
          <w:tab w:val="left" w:pos="1740"/>
        </w:tabs>
        <w:spacing w:after="120"/>
        <w:ind w:left="1417" w:right="260" w:hanging="357"/>
        <w:contextualSpacing w:val="0"/>
        <w:rPr>
          <w:rFonts w:ascii="Arial" w:eastAsia="Arial" w:hAnsi="Arial"/>
          <w:bCs/>
          <w:sz w:val="22"/>
          <w:szCs w:val="22"/>
          <w:lang w:val="es-CR"/>
        </w:rPr>
      </w:pPr>
      <w:r w:rsidRPr="00820F1D">
        <w:rPr>
          <w:rFonts w:ascii="Arial" w:eastAsia="Arial" w:hAnsi="Arial"/>
          <w:bCs/>
          <w:sz w:val="22"/>
          <w:szCs w:val="22"/>
          <w:lang w:val="es-CR"/>
        </w:rPr>
        <w:t>L</w:t>
      </w:r>
      <w:r w:rsidR="00A24C1F" w:rsidRPr="00820F1D">
        <w:rPr>
          <w:rFonts w:ascii="Arial" w:eastAsia="Arial" w:hAnsi="Arial"/>
          <w:bCs/>
          <w:sz w:val="22"/>
          <w:szCs w:val="22"/>
          <w:lang w:val="es-CR"/>
        </w:rPr>
        <w:t>a cancelación de dicha obligación:</w:t>
      </w:r>
    </w:p>
    <w:p w14:paraId="1B914CF0" w14:textId="3A4BCE83" w:rsidR="00A24C1F" w:rsidRPr="00820F1D" w:rsidRDefault="00820F1D" w:rsidP="005A4C96">
      <w:pPr>
        <w:pStyle w:val="Prrafodelista"/>
        <w:numPr>
          <w:ilvl w:val="0"/>
          <w:numId w:val="139"/>
        </w:numPr>
        <w:tabs>
          <w:tab w:val="left" w:pos="1840"/>
        </w:tabs>
        <w:spacing w:after="120"/>
        <w:ind w:left="1417" w:hanging="357"/>
        <w:contextualSpacing w:val="0"/>
        <w:rPr>
          <w:rFonts w:ascii="Arial" w:eastAsia="Arial" w:hAnsi="Arial"/>
          <w:bCs/>
          <w:sz w:val="22"/>
          <w:szCs w:val="22"/>
          <w:lang w:val="es-CR"/>
        </w:rPr>
      </w:pPr>
      <w:r w:rsidRPr="00820F1D">
        <w:rPr>
          <w:rFonts w:ascii="Arial" w:eastAsia="Arial" w:hAnsi="Arial"/>
          <w:bCs/>
          <w:sz w:val="22"/>
          <w:szCs w:val="22"/>
          <w:lang w:val="es-CR"/>
        </w:rPr>
        <w:t>E</w:t>
      </w:r>
      <w:r w:rsidR="00A24C1F" w:rsidRPr="00820F1D">
        <w:rPr>
          <w:rFonts w:ascii="Arial" w:eastAsia="Arial" w:hAnsi="Arial"/>
          <w:bCs/>
          <w:sz w:val="22"/>
          <w:szCs w:val="22"/>
          <w:lang w:val="es-CR"/>
        </w:rPr>
        <w:t>s ineludible o probable; y</w:t>
      </w:r>
    </w:p>
    <w:p w14:paraId="30414DA2" w14:textId="77777777" w:rsidR="00A24C1F" w:rsidRPr="00820F1D" w:rsidRDefault="00A24C1F" w:rsidP="00820F1D">
      <w:pPr>
        <w:spacing w:line="9" w:lineRule="exact"/>
        <w:ind w:left="1418"/>
        <w:rPr>
          <w:rFonts w:ascii="Arial" w:eastAsia="Arial" w:hAnsi="Arial"/>
          <w:bCs/>
          <w:sz w:val="22"/>
          <w:szCs w:val="22"/>
          <w:lang w:val="es-CR"/>
        </w:rPr>
      </w:pPr>
    </w:p>
    <w:p w14:paraId="544C0D67" w14:textId="1E9EB1A7" w:rsidR="00A24C1F" w:rsidRPr="00820F1D" w:rsidRDefault="00820F1D">
      <w:pPr>
        <w:pStyle w:val="Prrafodelista"/>
        <w:numPr>
          <w:ilvl w:val="0"/>
          <w:numId w:val="139"/>
        </w:numPr>
        <w:tabs>
          <w:tab w:val="left" w:pos="1840"/>
        </w:tabs>
        <w:spacing w:line="236" w:lineRule="auto"/>
        <w:ind w:left="1418" w:right="280"/>
        <w:rPr>
          <w:rFonts w:ascii="Arial" w:eastAsia="Arial" w:hAnsi="Arial"/>
          <w:bCs/>
          <w:sz w:val="22"/>
          <w:szCs w:val="22"/>
          <w:lang w:val="es-CR"/>
        </w:rPr>
      </w:pPr>
      <w:r w:rsidRPr="00820F1D">
        <w:rPr>
          <w:rFonts w:ascii="Arial" w:eastAsia="Arial" w:hAnsi="Arial"/>
          <w:bCs/>
          <w:sz w:val="22"/>
          <w:szCs w:val="22"/>
          <w:lang w:val="es-CR"/>
        </w:rPr>
        <w:t>D</w:t>
      </w:r>
      <w:r w:rsidR="00A24C1F" w:rsidRPr="00820F1D">
        <w:rPr>
          <w:rFonts w:ascii="Arial" w:eastAsia="Arial" w:hAnsi="Arial"/>
          <w:bCs/>
          <w:sz w:val="22"/>
          <w:szCs w:val="22"/>
          <w:lang w:val="es-CR"/>
        </w:rPr>
        <w:t>eberá efectuarse en una fecha determinada o determinable debido a la ocurrencia de cierto hecho</w:t>
      </w:r>
    </w:p>
    <w:p w14:paraId="04AB0230" w14:textId="77777777" w:rsidR="00A24C1F" w:rsidRPr="00627673" w:rsidRDefault="00A24C1F" w:rsidP="00A24C1F">
      <w:pPr>
        <w:spacing w:line="282" w:lineRule="exact"/>
        <w:rPr>
          <w:rFonts w:ascii="Arial" w:eastAsia="Arial" w:hAnsi="Arial"/>
          <w:b/>
          <w:sz w:val="24"/>
          <w:lang w:val="es-CR"/>
        </w:rPr>
      </w:pPr>
    </w:p>
    <w:p w14:paraId="2F7F8FC7" w14:textId="16BBE75C" w:rsidR="00A24C1F" w:rsidRDefault="00A24C1F">
      <w:pPr>
        <w:pStyle w:val="Default"/>
        <w:numPr>
          <w:ilvl w:val="3"/>
          <w:numId w:val="140"/>
        </w:numPr>
        <w:jc w:val="both"/>
        <w:rPr>
          <w:sz w:val="22"/>
          <w:szCs w:val="22"/>
          <w:lang w:val="es-CR"/>
        </w:rPr>
      </w:pPr>
      <w:r w:rsidRPr="00971698">
        <w:rPr>
          <w:sz w:val="22"/>
          <w:szCs w:val="22"/>
          <w:lang w:val="es-CR"/>
        </w:rPr>
        <w:t>Las cuentas por pagar por parte de</w:t>
      </w:r>
      <w:r w:rsidR="000E5DF8">
        <w:rPr>
          <w:sz w:val="22"/>
          <w:szCs w:val="22"/>
          <w:lang w:val="es-CR"/>
        </w:rPr>
        <w:t xml:space="preserve"> </w:t>
      </w:r>
      <w:r w:rsidRPr="00971698">
        <w:rPr>
          <w:sz w:val="22"/>
          <w:szCs w:val="22"/>
          <w:lang w:val="es-CR"/>
        </w:rPr>
        <w:t>l</w:t>
      </w:r>
      <w:r w:rsidR="000E5DF8">
        <w:rPr>
          <w:sz w:val="22"/>
          <w:szCs w:val="22"/>
          <w:lang w:val="es-CR"/>
        </w:rPr>
        <w:t>a</w:t>
      </w:r>
      <w:r w:rsidRPr="00971698">
        <w:rPr>
          <w:sz w:val="22"/>
          <w:szCs w:val="22"/>
          <w:lang w:val="es-CR"/>
        </w:rPr>
        <w:t xml:space="preserve"> </w:t>
      </w:r>
      <w:r w:rsidR="000F29DC">
        <w:rPr>
          <w:sz w:val="22"/>
          <w:szCs w:val="22"/>
          <w:lang w:val="es-CR"/>
        </w:rPr>
        <w:t>MBA</w:t>
      </w:r>
      <w:r w:rsidRPr="00971698">
        <w:rPr>
          <w:sz w:val="22"/>
          <w:szCs w:val="22"/>
          <w:lang w:val="es-CR"/>
        </w:rPr>
        <w:t xml:space="preserve"> deben reconocerse, entre otras causales:</w:t>
      </w:r>
    </w:p>
    <w:p w14:paraId="62BC1983" w14:textId="77777777" w:rsidR="009D21EA" w:rsidRPr="00971698" w:rsidRDefault="009D21EA" w:rsidP="009D21EA">
      <w:pPr>
        <w:pStyle w:val="Default"/>
        <w:ind w:left="1080"/>
        <w:jc w:val="both"/>
        <w:rPr>
          <w:sz w:val="22"/>
          <w:szCs w:val="22"/>
          <w:lang w:val="es-CR"/>
        </w:rPr>
      </w:pPr>
    </w:p>
    <w:p w14:paraId="4BBBA2CE" w14:textId="77777777" w:rsidR="00A24C1F" w:rsidRPr="00627673" w:rsidRDefault="00A24C1F" w:rsidP="00A24C1F">
      <w:pPr>
        <w:spacing w:line="9" w:lineRule="exact"/>
        <w:rPr>
          <w:rFonts w:ascii="Arial" w:eastAsia="Arial" w:hAnsi="Arial"/>
          <w:b/>
          <w:sz w:val="24"/>
          <w:lang w:val="es-CR"/>
        </w:rPr>
      </w:pPr>
    </w:p>
    <w:p w14:paraId="5078DD36" w14:textId="514651D3" w:rsidR="00A24C1F" w:rsidRPr="009D21EA" w:rsidRDefault="00820F1D">
      <w:pPr>
        <w:pStyle w:val="Prrafodelista"/>
        <w:numPr>
          <w:ilvl w:val="0"/>
          <w:numId w:val="141"/>
        </w:numPr>
        <w:tabs>
          <w:tab w:val="left" w:pos="1659"/>
        </w:tabs>
        <w:spacing w:after="120"/>
        <w:ind w:left="1418" w:right="260"/>
        <w:contextualSpacing w:val="0"/>
        <w:jc w:val="both"/>
        <w:rPr>
          <w:rFonts w:ascii="Arial" w:eastAsia="Arial" w:hAnsi="Arial"/>
          <w:bCs/>
          <w:sz w:val="22"/>
          <w:szCs w:val="22"/>
          <w:lang w:val="es-CR"/>
        </w:rPr>
      </w:pPr>
      <w:r w:rsidRPr="00820F1D">
        <w:rPr>
          <w:rFonts w:ascii="Arial" w:eastAsia="Arial" w:hAnsi="Arial"/>
          <w:bCs/>
          <w:sz w:val="22"/>
          <w:szCs w:val="22"/>
          <w:lang w:val="es-CR"/>
        </w:rPr>
        <w:lastRenderedPageBreak/>
        <w:t>C</w:t>
      </w:r>
      <w:r w:rsidR="00A24C1F" w:rsidRPr="00820F1D">
        <w:rPr>
          <w:rFonts w:ascii="Arial" w:eastAsia="Arial" w:hAnsi="Arial"/>
          <w:bCs/>
          <w:sz w:val="22"/>
          <w:szCs w:val="22"/>
          <w:lang w:val="es-CR"/>
        </w:rPr>
        <w:t>uando existen obligaciones contraídas por l</w:t>
      </w:r>
      <w:r w:rsidR="000E5DF8">
        <w:rPr>
          <w:rFonts w:ascii="Arial" w:eastAsia="Arial" w:hAnsi="Arial"/>
          <w:bCs/>
          <w:sz w:val="22"/>
          <w:szCs w:val="22"/>
          <w:lang w:val="es-CR"/>
        </w:rPr>
        <w:t>a</w:t>
      </w:r>
      <w:r w:rsidR="00A24C1F" w:rsidRPr="00820F1D">
        <w:rPr>
          <w:rFonts w:ascii="Arial" w:eastAsia="Arial" w:hAnsi="Arial"/>
          <w:bCs/>
          <w:sz w:val="22"/>
          <w:szCs w:val="22"/>
          <w:lang w:val="es-CR"/>
        </w:rPr>
        <w:t xml:space="preserve"> </w:t>
      </w:r>
      <w:r w:rsidR="000F29DC">
        <w:rPr>
          <w:rFonts w:ascii="Arial" w:eastAsia="Arial" w:hAnsi="Arial"/>
          <w:bCs/>
          <w:sz w:val="22"/>
          <w:szCs w:val="22"/>
          <w:lang w:val="es-CR"/>
        </w:rPr>
        <w:t>MBA</w:t>
      </w:r>
      <w:r w:rsidR="00A24C1F" w:rsidRPr="00820F1D">
        <w:rPr>
          <w:rFonts w:ascii="Arial" w:eastAsia="Arial" w:hAnsi="Arial"/>
          <w:bCs/>
          <w:sz w:val="22"/>
          <w:szCs w:val="22"/>
          <w:lang w:val="es-CR"/>
        </w:rPr>
        <w:t xml:space="preserve"> en concepto de aportes y contribuciones de los sectores privado y público a los distintos regímenes de jubilación o prestación de la seguridad social, desarrollo y asistencia social;</w:t>
      </w:r>
    </w:p>
    <w:p w14:paraId="47CB4159" w14:textId="1641D2CE" w:rsidR="00A24C1F" w:rsidRPr="00820F1D" w:rsidRDefault="00820F1D">
      <w:pPr>
        <w:pStyle w:val="Prrafodelista"/>
        <w:numPr>
          <w:ilvl w:val="0"/>
          <w:numId w:val="141"/>
        </w:numPr>
        <w:tabs>
          <w:tab w:val="left" w:pos="1659"/>
        </w:tabs>
        <w:spacing w:after="120"/>
        <w:ind w:left="1418" w:right="280"/>
        <w:contextualSpacing w:val="0"/>
        <w:rPr>
          <w:rFonts w:ascii="Arial" w:eastAsia="Arial" w:hAnsi="Arial"/>
          <w:bCs/>
          <w:sz w:val="22"/>
          <w:szCs w:val="22"/>
          <w:lang w:val="es-CR"/>
        </w:rPr>
      </w:pPr>
      <w:r w:rsidRPr="00820F1D">
        <w:rPr>
          <w:rFonts w:ascii="Arial" w:eastAsia="Arial" w:hAnsi="Arial"/>
          <w:bCs/>
          <w:sz w:val="22"/>
          <w:szCs w:val="22"/>
          <w:lang w:val="es-CR"/>
        </w:rPr>
        <w:t>P</w:t>
      </w:r>
      <w:r w:rsidR="00A24C1F" w:rsidRPr="00820F1D">
        <w:rPr>
          <w:rFonts w:ascii="Arial" w:eastAsia="Arial" w:hAnsi="Arial"/>
          <w:bCs/>
          <w:sz w:val="22"/>
          <w:szCs w:val="22"/>
          <w:lang w:val="es-CR"/>
        </w:rPr>
        <w:t>or la compra de bienes y/o servicios según la Ley y Reglamento de Contratación Administrativa;</w:t>
      </w:r>
    </w:p>
    <w:p w14:paraId="5B96E047" w14:textId="32C949CB" w:rsidR="00A24C1F" w:rsidRPr="00820F1D" w:rsidRDefault="00820F1D">
      <w:pPr>
        <w:pStyle w:val="Prrafodelista"/>
        <w:numPr>
          <w:ilvl w:val="0"/>
          <w:numId w:val="141"/>
        </w:numPr>
        <w:tabs>
          <w:tab w:val="left" w:pos="1660"/>
        </w:tabs>
        <w:spacing w:after="120"/>
        <w:ind w:left="1418"/>
        <w:contextualSpacing w:val="0"/>
        <w:rPr>
          <w:rFonts w:ascii="Arial" w:eastAsia="Arial" w:hAnsi="Arial"/>
          <w:bCs/>
          <w:sz w:val="22"/>
          <w:szCs w:val="22"/>
          <w:lang w:val="es-CR"/>
        </w:rPr>
      </w:pPr>
      <w:r w:rsidRPr="00820F1D">
        <w:rPr>
          <w:rFonts w:ascii="Arial" w:eastAsia="Arial" w:hAnsi="Arial"/>
          <w:bCs/>
          <w:sz w:val="22"/>
          <w:szCs w:val="22"/>
          <w:lang w:val="es-CR"/>
        </w:rPr>
        <w:t>P</w:t>
      </w:r>
      <w:r w:rsidR="00A24C1F" w:rsidRPr="00820F1D">
        <w:rPr>
          <w:rFonts w:ascii="Arial" w:eastAsia="Arial" w:hAnsi="Arial"/>
          <w:bCs/>
          <w:sz w:val="22"/>
          <w:szCs w:val="22"/>
          <w:lang w:val="es-CR"/>
        </w:rPr>
        <w:t>or los anticipos recibidos;</w:t>
      </w:r>
    </w:p>
    <w:p w14:paraId="4626E1AE" w14:textId="77777777" w:rsidR="00A24C1F" w:rsidRPr="00820F1D" w:rsidRDefault="00A24C1F" w:rsidP="009D21EA">
      <w:pPr>
        <w:tabs>
          <w:tab w:val="left" w:pos="1660"/>
        </w:tabs>
        <w:spacing w:after="120"/>
        <w:ind w:left="1418" w:hanging="292"/>
        <w:rPr>
          <w:rFonts w:ascii="Arial" w:eastAsia="Arial" w:hAnsi="Arial"/>
          <w:bCs/>
          <w:sz w:val="22"/>
          <w:szCs w:val="22"/>
          <w:lang w:val="es-CR"/>
        </w:rPr>
        <w:sectPr w:rsidR="00A24C1F" w:rsidRPr="00820F1D" w:rsidSect="006D026E">
          <w:type w:val="continuous"/>
          <w:pgSz w:w="12240" w:h="15840"/>
          <w:pgMar w:top="1440" w:right="1440" w:bottom="168" w:left="1440" w:header="0" w:footer="0" w:gutter="0"/>
          <w:cols w:space="0" w:equalWidth="0">
            <w:col w:w="9360"/>
          </w:cols>
          <w:docGrid w:linePitch="360"/>
        </w:sectPr>
      </w:pPr>
    </w:p>
    <w:p w14:paraId="31F9BE9D" w14:textId="634B2508" w:rsidR="00A24C1F" w:rsidRPr="009D21EA" w:rsidRDefault="00820F1D">
      <w:pPr>
        <w:pStyle w:val="Prrafodelista"/>
        <w:numPr>
          <w:ilvl w:val="0"/>
          <w:numId w:val="141"/>
        </w:numPr>
        <w:tabs>
          <w:tab w:val="left" w:pos="1659"/>
        </w:tabs>
        <w:spacing w:after="120"/>
        <w:ind w:left="1418" w:right="260"/>
        <w:contextualSpacing w:val="0"/>
        <w:jc w:val="both"/>
        <w:rPr>
          <w:rFonts w:ascii="Arial" w:eastAsia="Arial" w:hAnsi="Arial"/>
          <w:bCs/>
          <w:sz w:val="22"/>
          <w:szCs w:val="22"/>
          <w:lang w:val="es-CR"/>
        </w:rPr>
      </w:pPr>
      <w:bookmarkStart w:id="91" w:name="page108"/>
      <w:bookmarkEnd w:id="91"/>
      <w:r w:rsidRPr="00820F1D">
        <w:rPr>
          <w:rFonts w:ascii="Times New Roman" w:eastAsia="Times New Roman" w:hAnsi="Times New Roman"/>
          <w:bCs/>
          <w:sz w:val="22"/>
          <w:szCs w:val="22"/>
          <w:lang w:val="es-CR"/>
        </w:rPr>
        <w:t>P</w:t>
      </w:r>
      <w:r w:rsidR="00A24C1F" w:rsidRPr="00820F1D">
        <w:rPr>
          <w:rFonts w:ascii="Arial" w:eastAsia="Arial" w:hAnsi="Arial"/>
          <w:bCs/>
          <w:sz w:val="22"/>
          <w:szCs w:val="22"/>
          <w:lang w:val="es-CR"/>
        </w:rPr>
        <w:t>or los compromisos de otras transferencias que estén firmes, sean a favor de una entidad gubernamental o de un ente privado o persona física;</w:t>
      </w:r>
    </w:p>
    <w:p w14:paraId="3E4F0D8E" w14:textId="6A00FFFF" w:rsidR="00A24C1F" w:rsidRPr="009D21EA" w:rsidRDefault="00820F1D">
      <w:pPr>
        <w:pStyle w:val="Prrafodelista"/>
        <w:numPr>
          <w:ilvl w:val="0"/>
          <w:numId w:val="141"/>
        </w:numPr>
        <w:tabs>
          <w:tab w:val="left" w:pos="1660"/>
        </w:tabs>
        <w:spacing w:after="120"/>
        <w:ind w:left="1418"/>
        <w:contextualSpacing w:val="0"/>
        <w:rPr>
          <w:rFonts w:ascii="Arial" w:eastAsia="Arial" w:hAnsi="Arial"/>
          <w:bCs/>
          <w:sz w:val="22"/>
          <w:szCs w:val="22"/>
          <w:lang w:val="es-CR"/>
        </w:rPr>
      </w:pPr>
      <w:r w:rsidRPr="00820F1D">
        <w:rPr>
          <w:rFonts w:ascii="Arial" w:eastAsia="Arial" w:hAnsi="Arial"/>
          <w:bCs/>
          <w:sz w:val="22"/>
          <w:szCs w:val="22"/>
          <w:lang w:val="es-CR"/>
        </w:rPr>
        <w:t>P</w:t>
      </w:r>
      <w:r w:rsidR="00A24C1F" w:rsidRPr="00820F1D">
        <w:rPr>
          <w:rFonts w:ascii="Arial" w:eastAsia="Arial" w:hAnsi="Arial"/>
          <w:bCs/>
          <w:sz w:val="22"/>
          <w:szCs w:val="22"/>
          <w:lang w:val="es-CR"/>
        </w:rPr>
        <w:t>or las deudas financieras contraídas;</w:t>
      </w:r>
    </w:p>
    <w:p w14:paraId="79C7DDCB" w14:textId="124CC3F4" w:rsidR="00A24C1F" w:rsidRPr="00820F1D" w:rsidRDefault="00820F1D">
      <w:pPr>
        <w:pStyle w:val="Prrafodelista"/>
        <w:numPr>
          <w:ilvl w:val="0"/>
          <w:numId w:val="141"/>
        </w:numPr>
        <w:tabs>
          <w:tab w:val="left" w:pos="1659"/>
        </w:tabs>
        <w:spacing w:after="120"/>
        <w:ind w:left="1418" w:right="260"/>
        <w:contextualSpacing w:val="0"/>
        <w:rPr>
          <w:rFonts w:ascii="Arial" w:eastAsia="Arial" w:hAnsi="Arial"/>
          <w:bCs/>
          <w:sz w:val="22"/>
          <w:szCs w:val="22"/>
          <w:lang w:val="es-CR"/>
        </w:rPr>
      </w:pPr>
      <w:r w:rsidRPr="00820F1D">
        <w:rPr>
          <w:rFonts w:ascii="Arial" w:eastAsia="Arial" w:hAnsi="Arial"/>
          <w:bCs/>
          <w:sz w:val="22"/>
          <w:szCs w:val="22"/>
          <w:lang w:val="es-CR"/>
        </w:rPr>
        <w:t>P</w:t>
      </w:r>
      <w:r w:rsidR="00A24C1F" w:rsidRPr="00820F1D">
        <w:rPr>
          <w:rFonts w:ascii="Arial" w:eastAsia="Arial" w:hAnsi="Arial"/>
          <w:bCs/>
          <w:sz w:val="22"/>
          <w:szCs w:val="22"/>
          <w:lang w:val="es-CR"/>
        </w:rPr>
        <w:t>or el alquiler de propiedades; para ser utilizado en otras sedes universitarias</w:t>
      </w:r>
    </w:p>
    <w:p w14:paraId="0394B374" w14:textId="77777777" w:rsidR="00A24C1F" w:rsidRPr="00820F1D" w:rsidRDefault="00A24C1F" w:rsidP="00820F1D">
      <w:pPr>
        <w:spacing w:line="9" w:lineRule="exact"/>
        <w:ind w:left="1418"/>
        <w:rPr>
          <w:rFonts w:ascii="Arial" w:eastAsia="Arial" w:hAnsi="Arial"/>
          <w:bCs/>
          <w:sz w:val="22"/>
          <w:szCs w:val="22"/>
          <w:lang w:val="es-CR"/>
        </w:rPr>
      </w:pPr>
    </w:p>
    <w:p w14:paraId="11FDA0BA" w14:textId="258DFD76" w:rsidR="00A24C1F" w:rsidRDefault="00820F1D">
      <w:pPr>
        <w:pStyle w:val="Prrafodelista"/>
        <w:numPr>
          <w:ilvl w:val="0"/>
          <w:numId w:val="141"/>
        </w:numPr>
        <w:tabs>
          <w:tab w:val="left" w:pos="1660"/>
        </w:tabs>
        <w:spacing w:line="236" w:lineRule="auto"/>
        <w:ind w:left="1418" w:right="260"/>
        <w:rPr>
          <w:rFonts w:ascii="Arial" w:eastAsia="Arial" w:hAnsi="Arial"/>
          <w:bCs/>
          <w:sz w:val="22"/>
          <w:szCs w:val="22"/>
          <w:lang w:val="es-CR"/>
        </w:rPr>
      </w:pPr>
      <w:r w:rsidRPr="00820F1D">
        <w:rPr>
          <w:rFonts w:ascii="Arial" w:eastAsia="Arial" w:hAnsi="Arial"/>
          <w:bCs/>
          <w:sz w:val="22"/>
          <w:szCs w:val="22"/>
          <w:lang w:val="es-CR"/>
        </w:rPr>
        <w:t>P</w:t>
      </w:r>
      <w:r w:rsidR="00A24C1F" w:rsidRPr="00820F1D">
        <w:rPr>
          <w:rFonts w:ascii="Arial" w:eastAsia="Arial" w:hAnsi="Arial"/>
          <w:bCs/>
          <w:sz w:val="22"/>
          <w:szCs w:val="22"/>
          <w:lang w:val="es-CR"/>
        </w:rPr>
        <w:t xml:space="preserve">or la obtención de nuevos plazos para el pago de obligaciones preexistentes; </w:t>
      </w:r>
      <w:r w:rsidRPr="00820F1D">
        <w:rPr>
          <w:rFonts w:ascii="Arial" w:eastAsia="Arial" w:hAnsi="Arial"/>
          <w:bCs/>
          <w:sz w:val="22"/>
          <w:szCs w:val="22"/>
          <w:lang w:val="es-CR"/>
        </w:rPr>
        <w:t>P</w:t>
      </w:r>
      <w:r w:rsidR="00A24C1F" w:rsidRPr="00820F1D">
        <w:rPr>
          <w:rFonts w:ascii="Arial" w:eastAsia="Arial" w:hAnsi="Arial"/>
          <w:bCs/>
          <w:sz w:val="22"/>
          <w:szCs w:val="22"/>
          <w:lang w:val="es-CR"/>
        </w:rPr>
        <w:t>or el devengamiento de obligaciones contractuales.</w:t>
      </w:r>
    </w:p>
    <w:p w14:paraId="35B4E63F" w14:textId="77777777" w:rsidR="00820F1D" w:rsidRPr="00820F1D" w:rsidRDefault="00820F1D" w:rsidP="00820F1D">
      <w:pPr>
        <w:pStyle w:val="Prrafodelista"/>
        <w:tabs>
          <w:tab w:val="left" w:pos="1660"/>
        </w:tabs>
        <w:spacing w:line="236" w:lineRule="auto"/>
        <w:ind w:left="1418" w:right="260"/>
        <w:rPr>
          <w:rFonts w:ascii="Arial" w:eastAsia="Arial" w:hAnsi="Arial"/>
          <w:bCs/>
          <w:sz w:val="22"/>
          <w:szCs w:val="22"/>
          <w:lang w:val="es-CR"/>
        </w:rPr>
      </w:pPr>
    </w:p>
    <w:p w14:paraId="4A0BC255" w14:textId="77777777" w:rsidR="00A24C1F" w:rsidRPr="00627673" w:rsidRDefault="00A24C1F" w:rsidP="00A24C1F">
      <w:pPr>
        <w:spacing w:line="9" w:lineRule="exact"/>
        <w:rPr>
          <w:rFonts w:ascii="Arial" w:eastAsia="Arial" w:hAnsi="Arial"/>
          <w:b/>
          <w:sz w:val="24"/>
          <w:lang w:val="es-CR"/>
        </w:rPr>
      </w:pPr>
    </w:p>
    <w:p w14:paraId="402B0AA6" w14:textId="3916E1FB" w:rsidR="00A24C1F" w:rsidRDefault="00971698" w:rsidP="00971698">
      <w:pPr>
        <w:pStyle w:val="Default"/>
        <w:ind w:left="1134" w:hanging="1134"/>
        <w:jc w:val="both"/>
        <w:rPr>
          <w:sz w:val="22"/>
          <w:szCs w:val="22"/>
          <w:lang w:val="es-CR"/>
        </w:rPr>
      </w:pPr>
      <w:r>
        <w:rPr>
          <w:sz w:val="22"/>
          <w:szCs w:val="22"/>
          <w:lang w:val="es-CR"/>
        </w:rPr>
        <w:t>2.23.3.01</w:t>
      </w:r>
      <w:r>
        <w:rPr>
          <w:sz w:val="22"/>
          <w:szCs w:val="22"/>
          <w:lang w:val="es-CR"/>
        </w:rPr>
        <w:tab/>
      </w:r>
      <w:r w:rsidR="00A24C1F" w:rsidRPr="00971698">
        <w:rPr>
          <w:sz w:val="22"/>
          <w:szCs w:val="22"/>
          <w:lang w:val="es-CR"/>
        </w:rPr>
        <w:t>Las cuentas por pagar pueden variar en cuanto al plazo, forma de cancelación, instrumentación, garantías, cargos financieros que devengan y forma contractual en que éstos aparecen, los cuales pueden ser:</w:t>
      </w:r>
    </w:p>
    <w:p w14:paraId="44D0E6D9" w14:textId="77777777" w:rsidR="009D21EA" w:rsidRPr="00971698" w:rsidRDefault="009D21EA" w:rsidP="00971698">
      <w:pPr>
        <w:pStyle w:val="Default"/>
        <w:ind w:left="1134" w:hanging="1134"/>
        <w:jc w:val="both"/>
        <w:rPr>
          <w:sz w:val="22"/>
          <w:szCs w:val="22"/>
          <w:lang w:val="es-CR"/>
        </w:rPr>
      </w:pPr>
    </w:p>
    <w:p w14:paraId="4E445EFE" w14:textId="79777FB1" w:rsidR="00A24C1F" w:rsidRPr="00820F1D" w:rsidRDefault="00820F1D">
      <w:pPr>
        <w:pStyle w:val="Prrafodelista"/>
        <w:numPr>
          <w:ilvl w:val="0"/>
          <w:numId w:val="142"/>
        </w:numPr>
        <w:tabs>
          <w:tab w:val="left" w:pos="2080"/>
        </w:tabs>
        <w:spacing w:after="120"/>
        <w:ind w:left="1417" w:hanging="357"/>
        <w:contextualSpacing w:val="0"/>
        <w:rPr>
          <w:rFonts w:ascii="Arial" w:eastAsia="Arial" w:hAnsi="Arial"/>
          <w:bCs/>
          <w:sz w:val="22"/>
          <w:szCs w:val="22"/>
          <w:lang w:val="es-CR"/>
        </w:rPr>
      </w:pPr>
      <w:r w:rsidRPr="00820F1D">
        <w:rPr>
          <w:rFonts w:ascii="Arial" w:eastAsia="Arial" w:hAnsi="Arial"/>
          <w:bCs/>
          <w:sz w:val="22"/>
          <w:szCs w:val="22"/>
          <w:lang w:val="es-CR"/>
        </w:rPr>
        <w:t>C</w:t>
      </w:r>
      <w:r w:rsidR="00A24C1F" w:rsidRPr="00820F1D">
        <w:rPr>
          <w:rFonts w:ascii="Arial" w:eastAsia="Arial" w:hAnsi="Arial"/>
          <w:bCs/>
          <w:sz w:val="22"/>
          <w:szCs w:val="22"/>
          <w:lang w:val="es-CR"/>
        </w:rPr>
        <w:t>on documentos;</w:t>
      </w:r>
    </w:p>
    <w:p w14:paraId="2FFD0433" w14:textId="2CD64421" w:rsidR="00A24C1F" w:rsidRPr="00820F1D" w:rsidRDefault="00820F1D">
      <w:pPr>
        <w:pStyle w:val="Prrafodelista"/>
        <w:numPr>
          <w:ilvl w:val="0"/>
          <w:numId w:val="142"/>
        </w:numPr>
        <w:tabs>
          <w:tab w:val="left" w:pos="2080"/>
        </w:tabs>
        <w:spacing w:after="120"/>
        <w:ind w:left="1417" w:hanging="357"/>
        <w:contextualSpacing w:val="0"/>
        <w:rPr>
          <w:rFonts w:ascii="Arial" w:eastAsia="Arial" w:hAnsi="Arial"/>
          <w:bCs/>
          <w:sz w:val="22"/>
          <w:szCs w:val="22"/>
          <w:lang w:val="es-CR"/>
        </w:rPr>
      </w:pPr>
      <w:r w:rsidRPr="00820F1D">
        <w:rPr>
          <w:rFonts w:ascii="Arial" w:eastAsia="Arial" w:hAnsi="Arial"/>
          <w:bCs/>
          <w:sz w:val="22"/>
          <w:szCs w:val="22"/>
          <w:lang w:val="es-CR"/>
        </w:rPr>
        <w:t>A</w:t>
      </w:r>
      <w:r w:rsidR="00A24C1F" w:rsidRPr="00820F1D">
        <w:rPr>
          <w:rFonts w:ascii="Arial" w:eastAsia="Arial" w:hAnsi="Arial"/>
          <w:bCs/>
          <w:sz w:val="22"/>
          <w:szCs w:val="22"/>
          <w:lang w:val="es-CR"/>
        </w:rPr>
        <w:t xml:space="preserve"> ser pagados en moneda extranjera;</w:t>
      </w:r>
    </w:p>
    <w:p w14:paraId="1896EEC6" w14:textId="333AD073" w:rsidR="00A24C1F" w:rsidRPr="00820F1D" w:rsidRDefault="00820F1D">
      <w:pPr>
        <w:pStyle w:val="Prrafodelista"/>
        <w:numPr>
          <w:ilvl w:val="0"/>
          <w:numId w:val="142"/>
        </w:numPr>
        <w:tabs>
          <w:tab w:val="left" w:pos="2080"/>
        </w:tabs>
        <w:spacing w:after="120"/>
        <w:ind w:left="1417" w:hanging="357"/>
        <w:contextualSpacing w:val="0"/>
        <w:rPr>
          <w:rFonts w:ascii="Arial" w:eastAsia="Arial" w:hAnsi="Arial"/>
          <w:bCs/>
          <w:sz w:val="22"/>
          <w:szCs w:val="22"/>
          <w:lang w:val="es-CR"/>
        </w:rPr>
      </w:pPr>
      <w:r w:rsidRPr="00820F1D">
        <w:rPr>
          <w:rFonts w:ascii="Arial" w:eastAsia="Arial" w:hAnsi="Arial"/>
          <w:bCs/>
          <w:sz w:val="22"/>
          <w:szCs w:val="22"/>
          <w:lang w:val="es-CR"/>
        </w:rPr>
        <w:t>A</w:t>
      </w:r>
      <w:r w:rsidR="00A24C1F" w:rsidRPr="00820F1D">
        <w:rPr>
          <w:rFonts w:ascii="Arial" w:eastAsia="Arial" w:hAnsi="Arial"/>
          <w:bCs/>
          <w:sz w:val="22"/>
          <w:szCs w:val="22"/>
          <w:lang w:val="es-CR"/>
        </w:rPr>
        <w:t xml:space="preserve"> ser pagados a corto o largo plazo;</w:t>
      </w:r>
    </w:p>
    <w:p w14:paraId="7152D806" w14:textId="4052370E" w:rsidR="00A24C1F" w:rsidRPr="00820F1D" w:rsidRDefault="00820F1D">
      <w:pPr>
        <w:pStyle w:val="Prrafodelista"/>
        <w:numPr>
          <w:ilvl w:val="0"/>
          <w:numId w:val="142"/>
        </w:numPr>
        <w:tabs>
          <w:tab w:val="left" w:pos="2080"/>
        </w:tabs>
        <w:spacing w:after="120"/>
        <w:ind w:left="1417" w:hanging="357"/>
        <w:contextualSpacing w:val="0"/>
        <w:rPr>
          <w:rFonts w:ascii="Arial" w:eastAsia="Arial" w:hAnsi="Arial"/>
          <w:bCs/>
          <w:sz w:val="22"/>
          <w:szCs w:val="22"/>
          <w:lang w:val="es-CR"/>
        </w:rPr>
      </w:pPr>
      <w:r w:rsidRPr="00820F1D">
        <w:rPr>
          <w:rFonts w:ascii="Arial" w:eastAsia="Arial" w:hAnsi="Arial"/>
          <w:bCs/>
          <w:sz w:val="22"/>
          <w:szCs w:val="22"/>
          <w:lang w:val="es-CR"/>
        </w:rPr>
        <w:t>A</w:t>
      </w:r>
      <w:r w:rsidR="00A24C1F" w:rsidRPr="00820F1D">
        <w:rPr>
          <w:rFonts w:ascii="Arial" w:eastAsia="Arial" w:hAnsi="Arial"/>
          <w:bCs/>
          <w:sz w:val="22"/>
          <w:szCs w:val="22"/>
          <w:lang w:val="es-CR"/>
        </w:rPr>
        <w:t xml:space="preserve"> ser pagados en un único pago o en cuotas;</w:t>
      </w:r>
    </w:p>
    <w:p w14:paraId="123663EE" w14:textId="7D330F9E" w:rsidR="00A24C1F" w:rsidRPr="00820F1D" w:rsidRDefault="00820F1D">
      <w:pPr>
        <w:pStyle w:val="Prrafodelista"/>
        <w:numPr>
          <w:ilvl w:val="0"/>
          <w:numId w:val="142"/>
        </w:numPr>
        <w:tabs>
          <w:tab w:val="left" w:pos="2080"/>
        </w:tabs>
        <w:spacing w:after="120"/>
        <w:ind w:left="1417" w:hanging="357"/>
        <w:contextualSpacing w:val="0"/>
        <w:rPr>
          <w:rFonts w:ascii="Arial" w:eastAsia="Arial" w:hAnsi="Arial"/>
          <w:bCs/>
          <w:sz w:val="24"/>
          <w:lang w:val="es-CR"/>
        </w:rPr>
      </w:pPr>
      <w:r w:rsidRPr="00820F1D">
        <w:rPr>
          <w:rFonts w:ascii="Arial" w:eastAsia="Arial" w:hAnsi="Arial"/>
          <w:bCs/>
          <w:sz w:val="22"/>
          <w:szCs w:val="22"/>
          <w:lang w:val="es-CR"/>
        </w:rPr>
        <w:t>C</w:t>
      </w:r>
      <w:r w:rsidR="00A24C1F" w:rsidRPr="00820F1D">
        <w:rPr>
          <w:rFonts w:ascii="Arial" w:eastAsia="Arial" w:hAnsi="Arial"/>
          <w:bCs/>
          <w:sz w:val="22"/>
          <w:szCs w:val="22"/>
          <w:lang w:val="es-CR"/>
        </w:rPr>
        <w:t>on</w:t>
      </w:r>
      <w:r w:rsidR="00A24C1F" w:rsidRPr="00820F1D">
        <w:rPr>
          <w:rFonts w:ascii="Arial" w:eastAsia="Arial" w:hAnsi="Arial"/>
          <w:bCs/>
          <w:sz w:val="24"/>
          <w:lang w:val="es-CR"/>
        </w:rPr>
        <w:t xml:space="preserve"> garantía o sin ella.</w:t>
      </w:r>
    </w:p>
    <w:p w14:paraId="4823A15A" w14:textId="77777777" w:rsidR="00A24C1F" w:rsidRDefault="00A24C1F" w:rsidP="00C522E2">
      <w:pPr>
        <w:spacing w:line="238" w:lineRule="auto"/>
        <w:ind w:left="1134" w:right="260" w:hanging="1134"/>
        <w:jc w:val="both"/>
        <w:rPr>
          <w:rFonts w:ascii="Arial" w:eastAsia="Arial" w:hAnsi="Arial"/>
          <w:b/>
          <w:sz w:val="22"/>
          <w:szCs w:val="22"/>
          <w:lang w:val="es-CR"/>
        </w:rPr>
      </w:pPr>
    </w:p>
    <w:p w14:paraId="7046BE2B" w14:textId="77777777" w:rsidR="00A24C1F" w:rsidRDefault="00A24C1F" w:rsidP="00C522E2">
      <w:pPr>
        <w:spacing w:line="238" w:lineRule="auto"/>
        <w:ind w:left="1134" w:right="260" w:hanging="1134"/>
        <w:jc w:val="both"/>
        <w:rPr>
          <w:rFonts w:ascii="Arial" w:eastAsia="Arial" w:hAnsi="Arial"/>
          <w:b/>
          <w:sz w:val="22"/>
          <w:szCs w:val="22"/>
          <w:lang w:val="es-CR"/>
        </w:rPr>
      </w:pPr>
    </w:p>
    <w:p w14:paraId="4AA3CE1B" w14:textId="0926D02E" w:rsidR="009D21EA" w:rsidRPr="00C55377" w:rsidRDefault="009D21EA" w:rsidP="00C55377">
      <w:pPr>
        <w:pStyle w:val="Ttulo2"/>
        <w:ind w:left="284"/>
        <w:rPr>
          <w:rFonts w:ascii="Arial" w:eastAsia="Arial" w:hAnsi="Arial" w:cs="Arial"/>
          <w:b/>
          <w:bCs/>
          <w:sz w:val="20"/>
          <w:szCs w:val="20"/>
          <w:lang w:val="es-CR"/>
        </w:rPr>
      </w:pPr>
      <w:bookmarkStart w:id="92" w:name="_Toc172726227"/>
      <w:r w:rsidRPr="00C55377">
        <w:rPr>
          <w:rFonts w:ascii="Arial" w:eastAsia="Arial" w:hAnsi="Arial" w:cs="Arial"/>
          <w:b/>
          <w:bCs/>
          <w:sz w:val="20"/>
          <w:szCs w:val="20"/>
          <w:lang w:val="es-CR"/>
        </w:rPr>
        <w:t>Arrendamientos</w:t>
      </w:r>
      <w:bookmarkEnd w:id="92"/>
    </w:p>
    <w:p w14:paraId="75136B28" w14:textId="77777777" w:rsidR="00A24C1F" w:rsidRDefault="00A24C1F" w:rsidP="00C522E2">
      <w:pPr>
        <w:spacing w:line="238" w:lineRule="auto"/>
        <w:ind w:left="1134" w:right="260" w:hanging="1134"/>
        <w:jc w:val="both"/>
        <w:rPr>
          <w:rFonts w:ascii="Arial" w:eastAsia="Arial" w:hAnsi="Arial"/>
          <w:b/>
          <w:sz w:val="22"/>
          <w:szCs w:val="22"/>
          <w:lang w:val="es-CR"/>
        </w:rPr>
      </w:pPr>
    </w:p>
    <w:tbl>
      <w:tblPr>
        <w:tblW w:w="9680" w:type="dxa"/>
        <w:tblLook w:val="04A0" w:firstRow="1" w:lastRow="0" w:firstColumn="1" w:lastColumn="0" w:noHBand="0" w:noVBand="1"/>
      </w:tblPr>
      <w:tblGrid>
        <w:gridCol w:w="636"/>
        <w:gridCol w:w="417"/>
        <w:gridCol w:w="610"/>
        <w:gridCol w:w="3687"/>
        <w:gridCol w:w="2247"/>
        <w:gridCol w:w="2083"/>
      </w:tblGrid>
      <w:tr w:rsidR="009D21EA" w:rsidRPr="00C55377" w14:paraId="55F09080" w14:textId="77777777" w:rsidTr="009D21EA">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242A9F3" w14:textId="77777777" w:rsidR="009D21EA" w:rsidRPr="00C55377" w:rsidRDefault="009D21EA" w:rsidP="009D21EA">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27E8202" w14:textId="77777777" w:rsidR="009D21EA" w:rsidRPr="00C55377" w:rsidRDefault="009D21EA" w:rsidP="009D21EA">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6A4E3913" w14:textId="77777777" w:rsidR="009D21EA" w:rsidRPr="00C55377" w:rsidRDefault="009D21EA" w:rsidP="009D21EA">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Referencia</w:t>
            </w:r>
          </w:p>
        </w:tc>
      </w:tr>
      <w:tr w:rsidR="009D21EA" w:rsidRPr="006E5442" w14:paraId="138DB503" w14:textId="77777777" w:rsidTr="009D21EA">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08E46F58" w14:textId="77777777" w:rsidR="009D21EA" w:rsidRPr="00C55377" w:rsidRDefault="009D21EA" w:rsidP="009D21EA">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3E904B93" w14:textId="77777777" w:rsidR="009D21EA" w:rsidRPr="00C55377" w:rsidRDefault="009D21EA" w:rsidP="009D21EA">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40B0209E" w14:textId="77777777" w:rsidR="009D21EA" w:rsidRPr="00C55377" w:rsidRDefault="009D21EA" w:rsidP="009D21EA">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3FE01B8D" w14:textId="77777777" w:rsidR="009D21EA" w:rsidRPr="00C55377" w:rsidRDefault="009D21EA" w:rsidP="009D21EA">
            <w:pPr>
              <w:jc w:val="center"/>
              <w:rPr>
                <w:rFonts w:ascii="Arial Narrow" w:eastAsia="Times New Roman" w:hAnsi="Arial Narrow" w:cs="Calibri"/>
                <w:b/>
                <w:bCs/>
                <w:color w:val="FFFFFF"/>
                <w:sz w:val="22"/>
                <w:szCs w:val="22"/>
                <w:lang w:val="es-CR"/>
              </w:rPr>
            </w:pPr>
            <w:r w:rsidRPr="00C55377">
              <w:rPr>
                <w:rFonts w:ascii="Arial Narrow" w:eastAsia="Times New Roman" w:hAnsi="Arial Narrow" w:cs="Calibri"/>
                <w:b/>
                <w:bCs/>
                <w:color w:val="FFFFFF"/>
                <w:sz w:val="22"/>
                <w:szCs w:val="22"/>
                <w:lang w:val="es-CR"/>
              </w:rPr>
              <w:t>Normativa técnica y disposiciones adicionales</w:t>
            </w:r>
          </w:p>
        </w:tc>
      </w:tr>
      <w:tr w:rsidR="009D21EA" w:rsidRPr="00C55377" w14:paraId="69B7E153" w14:textId="77777777" w:rsidTr="009D21EA">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65DDD3" w14:textId="77777777" w:rsidR="009D21EA" w:rsidRPr="00C55377" w:rsidRDefault="009D21EA" w:rsidP="009D21EA">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64FBC828" w14:textId="77777777" w:rsidR="009D21EA" w:rsidRPr="00C55377" w:rsidRDefault="009D21EA" w:rsidP="009D21EA">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24</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2A3AA4F0" w14:textId="21739CD4" w:rsidR="009D21EA" w:rsidRPr="00C55377" w:rsidRDefault="009D21EA" w:rsidP="009D21EA">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26D64F13" w14:textId="77777777" w:rsidR="009D21EA" w:rsidRPr="00C55377" w:rsidRDefault="009D21EA" w:rsidP="009D21EA">
            <w:pPr>
              <w:jc w:val="both"/>
              <w:rPr>
                <w:rFonts w:ascii="Arial Narrow" w:eastAsia="Times New Roman" w:hAnsi="Arial Narrow" w:cs="Calibri"/>
                <w:b/>
                <w:bCs/>
                <w:color w:val="000000"/>
                <w:sz w:val="22"/>
                <w:szCs w:val="22"/>
                <w:lang w:val="es-CR"/>
              </w:rPr>
            </w:pPr>
            <w:r w:rsidRPr="00C55377">
              <w:rPr>
                <w:rFonts w:ascii="Arial Narrow" w:eastAsia="Times New Roman" w:hAnsi="Arial Narrow" w:cs="Calibri"/>
                <w:b/>
                <w:bCs/>
                <w:color w:val="000000"/>
                <w:sz w:val="22"/>
                <w:szCs w:val="22"/>
                <w:lang w:val="es-CR"/>
              </w:rPr>
              <w:t>Reconocimiento inicial de arrendamientos financieros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768B304F" w14:textId="77777777" w:rsidR="00C55377" w:rsidRDefault="009D21EA" w:rsidP="009D21EA">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NICSP N° 13, </w:t>
            </w:r>
          </w:p>
          <w:p w14:paraId="06A4551C" w14:textId="6A310B4B" w:rsidR="009D21EA" w:rsidRPr="00C55377" w:rsidRDefault="009D21EA" w:rsidP="009D21EA">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Párrafos 28, 31 y 33.</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6961D867" w14:textId="77777777" w:rsidR="009D21EA" w:rsidRPr="00C55377" w:rsidRDefault="009D21EA" w:rsidP="009D21EA">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 </w:t>
            </w:r>
          </w:p>
        </w:tc>
      </w:tr>
    </w:tbl>
    <w:p w14:paraId="581B7CF9" w14:textId="77777777" w:rsidR="00A24C1F" w:rsidRDefault="00A24C1F" w:rsidP="00C522E2">
      <w:pPr>
        <w:spacing w:line="238" w:lineRule="auto"/>
        <w:ind w:left="1134" w:right="260" w:hanging="1134"/>
        <w:jc w:val="both"/>
        <w:rPr>
          <w:rFonts w:ascii="Arial" w:eastAsia="Arial" w:hAnsi="Arial"/>
          <w:b/>
          <w:sz w:val="22"/>
          <w:szCs w:val="22"/>
          <w:lang w:val="es-CR"/>
        </w:rPr>
      </w:pPr>
    </w:p>
    <w:p w14:paraId="5388749A" w14:textId="34EE09FE"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2BB8B9E9" w14:textId="77777777" w:rsidR="005A4C96" w:rsidRDefault="005A4C96" w:rsidP="00C522E2">
      <w:pPr>
        <w:spacing w:line="238" w:lineRule="auto"/>
        <w:ind w:left="1134" w:right="260" w:hanging="1134"/>
        <w:jc w:val="both"/>
        <w:rPr>
          <w:rFonts w:ascii="Arial" w:eastAsia="Arial" w:hAnsi="Arial"/>
          <w:b/>
          <w:sz w:val="22"/>
          <w:szCs w:val="22"/>
          <w:lang w:val="es-CR"/>
        </w:rPr>
      </w:pPr>
    </w:p>
    <w:p w14:paraId="5D7C455F" w14:textId="77777777" w:rsidR="009D21EA" w:rsidRDefault="009D21EA" w:rsidP="009D21EA">
      <w:pPr>
        <w:pStyle w:val="Default"/>
        <w:ind w:left="1134" w:hanging="1134"/>
        <w:jc w:val="both"/>
        <w:rPr>
          <w:sz w:val="22"/>
          <w:szCs w:val="22"/>
          <w:lang w:val="es-CR"/>
        </w:rPr>
      </w:pPr>
      <w:r>
        <w:rPr>
          <w:sz w:val="22"/>
          <w:szCs w:val="22"/>
          <w:lang w:val="es-CR"/>
        </w:rPr>
        <w:t>2.24.0.01</w:t>
      </w:r>
      <w:r>
        <w:rPr>
          <w:sz w:val="22"/>
          <w:szCs w:val="22"/>
          <w:lang w:val="es-CR"/>
        </w:rPr>
        <w:tab/>
      </w:r>
      <w:r w:rsidRPr="009D21EA">
        <w:rPr>
          <w:sz w:val="22"/>
          <w:szCs w:val="22"/>
          <w:lang w:val="es-CR"/>
        </w:rPr>
        <w:t>Las obligaciones por bienes adquiridos a través de un arrendamiento financiero, se reconocerán por la misma cuantía que el activo reconocido, que será al menor importe entre el valor razonable de la propiedad arrendada y el valor presente de los pagos mínimos por arrendamiento, determinados cada uno al inicio del arrendamiento.</w:t>
      </w:r>
    </w:p>
    <w:p w14:paraId="6489634C" w14:textId="1550F2B8" w:rsidR="009D21EA" w:rsidRPr="009D21EA" w:rsidRDefault="009D21EA" w:rsidP="009D21EA">
      <w:pPr>
        <w:pStyle w:val="Default"/>
        <w:ind w:left="1134" w:hanging="1134"/>
        <w:jc w:val="both"/>
        <w:rPr>
          <w:sz w:val="22"/>
          <w:szCs w:val="22"/>
          <w:lang w:val="es-CR"/>
        </w:rPr>
      </w:pPr>
      <w:r w:rsidRPr="009D21EA">
        <w:rPr>
          <w:sz w:val="22"/>
          <w:szCs w:val="22"/>
          <w:lang w:val="es-CR"/>
        </w:rPr>
        <w:t xml:space="preserve"> </w:t>
      </w:r>
    </w:p>
    <w:p w14:paraId="6D9651C9" w14:textId="6C7DA545" w:rsidR="00A24C1F" w:rsidRDefault="009D21EA" w:rsidP="009D21EA">
      <w:pPr>
        <w:pStyle w:val="Default"/>
        <w:ind w:left="1134" w:hanging="1134"/>
        <w:jc w:val="both"/>
        <w:rPr>
          <w:sz w:val="22"/>
          <w:szCs w:val="22"/>
          <w:lang w:val="es-CR"/>
        </w:rPr>
      </w:pPr>
      <w:r>
        <w:rPr>
          <w:sz w:val="22"/>
          <w:szCs w:val="22"/>
          <w:lang w:val="es-CR"/>
        </w:rPr>
        <w:t>2.24.0.01</w:t>
      </w:r>
      <w:r>
        <w:rPr>
          <w:sz w:val="22"/>
          <w:szCs w:val="22"/>
          <w:lang w:val="es-CR"/>
        </w:rPr>
        <w:tab/>
      </w:r>
      <w:r w:rsidRPr="009D21EA">
        <w:rPr>
          <w:sz w:val="22"/>
          <w:szCs w:val="22"/>
          <w:lang w:val="es-CR"/>
        </w:rPr>
        <w:t>En el caso que existan costos iniciales que sean directamente atribuibles al arrendamiento, el pasivo que se reconozca será inferior al activo reconocido, toda vez que este último incluirá dichos costos.</w:t>
      </w:r>
    </w:p>
    <w:p w14:paraId="66DF4FCF" w14:textId="77777777" w:rsidR="00C55377" w:rsidRDefault="00C55377" w:rsidP="009D21EA">
      <w:pPr>
        <w:pStyle w:val="Default"/>
        <w:ind w:left="1134" w:hanging="1134"/>
        <w:jc w:val="both"/>
        <w:rPr>
          <w:sz w:val="22"/>
          <w:szCs w:val="22"/>
          <w:lang w:val="es-CR"/>
        </w:rPr>
      </w:pPr>
    </w:p>
    <w:p w14:paraId="4DABA1AB" w14:textId="77777777" w:rsidR="005A4C96" w:rsidRDefault="005A4C96" w:rsidP="009D21EA">
      <w:pPr>
        <w:pStyle w:val="Default"/>
        <w:ind w:left="1134" w:hanging="1134"/>
        <w:jc w:val="both"/>
        <w:rPr>
          <w:sz w:val="22"/>
          <w:szCs w:val="22"/>
          <w:lang w:val="es-CR"/>
        </w:rPr>
      </w:pPr>
    </w:p>
    <w:p w14:paraId="7E5891B1" w14:textId="77777777" w:rsidR="005A4C96" w:rsidRPr="009D21EA" w:rsidRDefault="005A4C96" w:rsidP="009D21EA">
      <w:pPr>
        <w:pStyle w:val="Default"/>
        <w:ind w:left="1134" w:hanging="1134"/>
        <w:jc w:val="both"/>
        <w:rPr>
          <w:sz w:val="22"/>
          <w:szCs w:val="22"/>
          <w:lang w:val="es-CR"/>
        </w:rPr>
      </w:pPr>
    </w:p>
    <w:p w14:paraId="6E9980B6" w14:textId="77777777" w:rsidR="009D21EA" w:rsidRDefault="009D21EA" w:rsidP="00C522E2">
      <w:pPr>
        <w:spacing w:line="238" w:lineRule="auto"/>
        <w:ind w:left="1134" w:right="260" w:hanging="1134"/>
        <w:jc w:val="both"/>
        <w:rPr>
          <w:rFonts w:ascii="Arial" w:eastAsia="Arial" w:hAnsi="Arial"/>
          <w:b/>
          <w:sz w:val="22"/>
          <w:szCs w:val="22"/>
          <w:lang w:val="es-CR"/>
        </w:rPr>
      </w:pPr>
    </w:p>
    <w:tbl>
      <w:tblPr>
        <w:tblW w:w="9680" w:type="dxa"/>
        <w:tblLook w:val="04A0" w:firstRow="1" w:lastRow="0" w:firstColumn="1" w:lastColumn="0" w:noHBand="0" w:noVBand="1"/>
      </w:tblPr>
      <w:tblGrid>
        <w:gridCol w:w="636"/>
        <w:gridCol w:w="417"/>
        <w:gridCol w:w="611"/>
        <w:gridCol w:w="3686"/>
        <w:gridCol w:w="2246"/>
        <w:gridCol w:w="2084"/>
      </w:tblGrid>
      <w:tr w:rsidR="009D21EA" w:rsidRPr="00C55377" w14:paraId="01FCF1C3" w14:textId="77777777" w:rsidTr="009D21EA">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BAB8798" w14:textId="77777777" w:rsidR="009D21EA" w:rsidRPr="00C55377" w:rsidRDefault="009D21EA" w:rsidP="009D21EA">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lastRenderedPageBreak/>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7DC349" w14:textId="77777777" w:rsidR="009D21EA" w:rsidRPr="00C55377" w:rsidRDefault="009D21EA" w:rsidP="009D21EA">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19B9A508" w14:textId="77777777" w:rsidR="009D21EA" w:rsidRPr="00C55377" w:rsidRDefault="009D21EA" w:rsidP="009D21EA">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Referencia</w:t>
            </w:r>
          </w:p>
        </w:tc>
      </w:tr>
      <w:tr w:rsidR="009D21EA" w:rsidRPr="006E5442" w14:paraId="74444E3B" w14:textId="77777777" w:rsidTr="009D21EA">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5FD36EC0" w14:textId="77777777" w:rsidR="009D21EA" w:rsidRPr="00C55377" w:rsidRDefault="009D21EA" w:rsidP="009D21EA">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4D4C9C56" w14:textId="77777777" w:rsidR="009D21EA" w:rsidRPr="00C55377" w:rsidRDefault="009D21EA" w:rsidP="009D21EA">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0F165EE5" w14:textId="77777777" w:rsidR="009D21EA" w:rsidRPr="00C55377" w:rsidRDefault="009D21EA" w:rsidP="009D21EA">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68432DE3" w14:textId="77777777" w:rsidR="009D21EA" w:rsidRPr="00C55377" w:rsidRDefault="009D21EA" w:rsidP="009D21EA">
            <w:pPr>
              <w:jc w:val="center"/>
              <w:rPr>
                <w:rFonts w:ascii="Arial Narrow" w:eastAsia="Times New Roman" w:hAnsi="Arial Narrow" w:cs="Calibri"/>
                <w:b/>
                <w:bCs/>
                <w:color w:val="FFFFFF"/>
                <w:sz w:val="22"/>
                <w:szCs w:val="22"/>
                <w:lang w:val="es-CR"/>
              </w:rPr>
            </w:pPr>
            <w:r w:rsidRPr="00C55377">
              <w:rPr>
                <w:rFonts w:ascii="Arial Narrow" w:eastAsia="Times New Roman" w:hAnsi="Arial Narrow" w:cs="Calibri"/>
                <w:b/>
                <w:bCs/>
                <w:color w:val="FFFFFF"/>
                <w:sz w:val="22"/>
                <w:szCs w:val="22"/>
                <w:lang w:val="es-CR"/>
              </w:rPr>
              <w:t>Normativa técnica y disposiciones adicionales</w:t>
            </w:r>
          </w:p>
        </w:tc>
      </w:tr>
      <w:tr w:rsidR="009D21EA" w:rsidRPr="00C55377" w14:paraId="54F752A4" w14:textId="77777777" w:rsidTr="009D21EA">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7A156E" w14:textId="77777777" w:rsidR="009D21EA" w:rsidRPr="00C55377" w:rsidRDefault="009D21EA" w:rsidP="009D21EA">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159521A9" w14:textId="77777777" w:rsidR="009D21EA" w:rsidRPr="00C55377" w:rsidRDefault="009D21EA" w:rsidP="009D21EA">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25</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15391E3F" w14:textId="62EC61DF" w:rsidR="009D21EA" w:rsidRPr="00C55377" w:rsidRDefault="009D21EA" w:rsidP="009D21EA">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4B4A2629" w14:textId="77777777" w:rsidR="009D21EA" w:rsidRPr="00C55377" w:rsidRDefault="009D21EA" w:rsidP="009D21EA">
            <w:pPr>
              <w:jc w:val="both"/>
              <w:rPr>
                <w:rFonts w:ascii="Arial Narrow" w:eastAsia="Times New Roman" w:hAnsi="Arial Narrow" w:cs="Calibri"/>
                <w:b/>
                <w:bCs/>
                <w:color w:val="000000"/>
                <w:sz w:val="22"/>
                <w:szCs w:val="22"/>
                <w:lang w:val="es-CR"/>
              </w:rPr>
            </w:pPr>
            <w:r w:rsidRPr="00C55377">
              <w:rPr>
                <w:rFonts w:ascii="Arial Narrow" w:eastAsia="Times New Roman" w:hAnsi="Arial Narrow" w:cs="Calibri"/>
                <w:b/>
                <w:bCs/>
                <w:color w:val="000000"/>
                <w:sz w:val="22"/>
                <w:szCs w:val="22"/>
                <w:lang w:val="es-CR"/>
              </w:rPr>
              <w:t>Reducción del pasivo por arrendamiento financiero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669EA68D" w14:textId="77777777" w:rsidR="005A4C96" w:rsidRDefault="009D21EA" w:rsidP="009D21EA">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NICSP N° 13,</w:t>
            </w:r>
          </w:p>
          <w:p w14:paraId="76A6D379" w14:textId="11AD5B1F" w:rsidR="009D21EA" w:rsidRPr="00C55377" w:rsidRDefault="009D21EA" w:rsidP="009D21EA">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Párrafo 33.</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90BCE54" w14:textId="77777777" w:rsidR="009D21EA" w:rsidRPr="00C55377" w:rsidRDefault="009D21EA" w:rsidP="009D21EA">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 </w:t>
            </w:r>
          </w:p>
        </w:tc>
      </w:tr>
    </w:tbl>
    <w:p w14:paraId="710289B7" w14:textId="77777777" w:rsidR="009D21EA" w:rsidRDefault="009D21EA" w:rsidP="00C522E2">
      <w:pPr>
        <w:spacing w:line="238" w:lineRule="auto"/>
        <w:ind w:left="1134" w:right="260" w:hanging="1134"/>
        <w:jc w:val="both"/>
        <w:rPr>
          <w:rFonts w:ascii="Arial" w:eastAsia="Arial" w:hAnsi="Arial"/>
          <w:b/>
          <w:sz w:val="22"/>
          <w:szCs w:val="22"/>
          <w:lang w:val="es-CR"/>
        </w:rPr>
      </w:pPr>
    </w:p>
    <w:p w14:paraId="1B21F72F" w14:textId="5424CA10"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2E5ED685" w14:textId="77777777" w:rsidR="005A4C96" w:rsidRDefault="005A4C96" w:rsidP="00C522E2">
      <w:pPr>
        <w:spacing w:line="238" w:lineRule="auto"/>
        <w:ind w:left="1134" w:right="260" w:hanging="1134"/>
        <w:jc w:val="both"/>
        <w:rPr>
          <w:rFonts w:ascii="Arial" w:eastAsia="Arial" w:hAnsi="Arial"/>
          <w:b/>
          <w:sz w:val="22"/>
          <w:szCs w:val="22"/>
          <w:lang w:val="es-CR"/>
        </w:rPr>
      </w:pPr>
    </w:p>
    <w:p w14:paraId="1A35CB5E" w14:textId="65895116" w:rsidR="009D21EA" w:rsidRPr="009D21EA" w:rsidRDefault="009D21EA" w:rsidP="009D21EA">
      <w:pPr>
        <w:tabs>
          <w:tab w:val="left" w:pos="2740"/>
        </w:tabs>
        <w:spacing w:line="238" w:lineRule="auto"/>
        <w:ind w:left="1134" w:right="260" w:hanging="1134"/>
        <w:jc w:val="both"/>
        <w:rPr>
          <w:rFonts w:ascii="Arial" w:eastAsia="Arial" w:hAnsi="Arial"/>
          <w:b/>
          <w:sz w:val="22"/>
          <w:szCs w:val="22"/>
          <w:lang w:val="es-CR"/>
        </w:rPr>
      </w:pPr>
      <w:r>
        <w:rPr>
          <w:rFonts w:ascii="Arial" w:hAnsi="Arial"/>
          <w:sz w:val="22"/>
          <w:szCs w:val="22"/>
          <w:lang w:val="es-CR"/>
        </w:rPr>
        <w:t>2.25.0.01</w:t>
      </w:r>
      <w:r>
        <w:rPr>
          <w:rFonts w:ascii="Arial" w:hAnsi="Arial"/>
          <w:sz w:val="22"/>
          <w:szCs w:val="22"/>
          <w:lang w:val="es-CR"/>
        </w:rPr>
        <w:tab/>
      </w:r>
      <w:r w:rsidRPr="009D21EA">
        <w:rPr>
          <w:rFonts w:ascii="Arial" w:hAnsi="Arial"/>
          <w:sz w:val="22"/>
          <w:szCs w:val="22"/>
          <w:lang w:val="es-CR"/>
        </w:rPr>
        <w:t>Los pagos mínimos por el arrendamiento se dividirán en dos partes que representan la carga financiera y la reducción de la deuda viva. El pasivo por arrendamiento financiero se reducirá por cada una de las cuotas pactadas, en la porción que corresponde a deuda viva, mientras que el complemento para integrar la cuota total será tratado como una carga financiera que, como tal, se afectará a resultados de cada período.</w:t>
      </w:r>
      <w:r w:rsidRPr="009D21EA">
        <w:rPr>
          <w:rFonts w:ascii="Arial" w:eastAsia="Arial" w:hAnsi="Arial"/>
          <w:b/>
          <w:sz w:val="22"/>
          <w:szCs w:val="22"/>
          <w:lang w:val="es-CR"/>
        </w:rPr>
        <w:tab/>
      </w:r>
      <w:r w:rsidRPr="009D21EA">
        <w:rPr>
          <w:rFonts w:ascii="Arial" w:eastAsia="Arial" w:hAnsi="Arial"/>
          <w:b/>
          <w:sz w:val="22"/>
          <w:szCs w:val="22"/>
          <w:lang w:val="es-CR"/>
        </w:rPr>
        <w:tab/>
      </w:r>
    </w:p>
    <w:p w14:paraId="3062A447" w14:textId="77777777" w:rsidR="009D21EA" w:rsidRPr="009D21EA" w:rsidRDefault="009D21EA" w:rsidP="009D21EA">
      <w:pPr>
        <w:tabs>
          <w:tab w:val="left" w:pos="2740"/>
        </w:tabs>
        <w:spacing w:line="238" w:lineRule="auto"/>
        <w:ind w:left="1134" w:right="260" w:hanging="1134"/>
        <w:jc w:val="both"/>
        <w:rPr>
          <w:rFonts w:ascii="Arial" w:eastAsia="Arial" w:hAnsi="Arial"/>
          <w:b/>
          <w:sz w:val="22"/>
          <w:szCs w:val="22"/>
          <w:lang w:val="es-CR"/>
        </w:rPr>
      </w:pPr>
    </w:p>
    <w:p w14:paraId="300D3A10" w14:textId="77777777" w:rsidR="009D21EA" w:rsidRDefault="009D21EA" w:rsidP="009D21EA">
      <w:pPr>
        <w:spacing w:line="238" w:lineRule="auto"/>
        <w:ind w:right="260"/>
        <w:jc w:val="both"/>
        <w:rPr>
          <w:rFonts w:ascii="Arial" w:eastAsia="Arial" w:hAnsi="Arial"/>
          <w:b/>
          <w:sz w:val="22"/>
          <w:szCs w:val="22"/>
          <w:lang w:val="es-CR"/>
        </w:rPr>
      </w:pPr>
    </w:p>
    <w:tbl>
      <w:tblPr>
        <w:tblW w:w="9680" w:type="dxa"/>
        <w:tblLook w:val="04A0" w:firstRow="1" w:lastRow="0" w:firstColumn="1" w:lastColumn="0" w:noHBand="0" w:noVBand="1"/>
      </w:tblPr>
      <w:tblGrid>
        <w:gridCol w:w="636"/>
        <w:gridCol w:w="417"/>
        <w:gridCol w:w="611"/>
        <w:gridCol w:w="3686"/>
        <w:gridCol w:w="2246"/>
        <w:gridCol w:w="2084"/>
      </w:tblGrid>
      <w:tr w:rsidR="00EA3343" w:rsidRPr="00C55377" w14:paraId="2D3F7FE3" w14:textId="77777777" w:rsidTr="00EA3343">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D916C31" w14:textId="77777777" w:rsidR="00EA3343" w:rsidRPr="00C55377" w:rsidRDefault="00EA3343" w:rsidP="00EA3343">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F08158" w14:textId="77777777" w:rsidR="00EA3343" w:rsidRPr="00C55377" w:rsidRDefault="00EA3343" w:rsidP="00EA3343">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4B9EFC3D" w14:textId="77777777" w:rsidR="00EA3343" w:rsidRPr="00C55377" w:rsidRDefault="00EA3343" w:rsidP="00EA3343">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Referencia</w:t>
            </w:r>
          </w:p>
        </w:tc>
      </w:tr>
      <w:tr w:rsidR="00EA3343" w:rsidRPr="006E5442" w14:paraId="6526426A" w14:textId="77777777" w:rsidTr="00EA3343">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7819E521" w14:textId="77777777" w:rsidR="00EA3343" w:rsidRPr="00C55377" w:rsidRDefault="00EA3343" w:rsidP="00EA3343">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14780FA3" w14:textId="77777777" w:rsidR="00EA3343" w:rsidRPr="00C55377" w:rsidRDefault="00EA3343" w:rsidP="00EA3343">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5CFCA260" w14:textId="77777777" w:rsidR="00EA3343" w:rsidRPr="00C55377" w:rsidRDefault="00EA3343" w:rsidP="00EA3343">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62EE259F" w14:textId="77777777" w:rsidR="00EA3343" w:rsidRPr="00C55377" w:rsidRDefault="00EA3343" w:rsidP="00EA3343">
            <w:pPr>
              <w:jc w:val="center"/>
              <w:rPr>
                <w:rFonts w:ascii="Arial Narrow" w:eastAsia="Times New Roman" w:hAnsi="Arial Narrow" w:cs="Calibri"/>
                <w:b/>
                <w:bCs/>
                <w:color w:val="FFFFFF"/>
                <w:sz w:val="22"/>
                <w:szCs w:val="22"/>
                <w:lang w:val="es-CR"/>
              </w:rPr>
            </w:pPr>
            <w:r w:rsidRPr="00C55377">
              <w:rPr>
                <w:rFonts w:ascii="Arial Narrow" w:eastAsia="Times New Roman" w:hAnsi="Arial Narrow" w:cs="Calibri"/>
                <w:b/>
                <w:bCs/>
                <w:color w:val="FFFFFF"/>
                <w:sz w:val="22"/>
                <w:szCs w:val="22"/>
                <w:lang w:val="es-CR"/>
              </w:rPr>
              <w:t>Normativa técnica y disposiciones adicionales</w:t>
            </w:r>
          </w:p>
        </w:tc>
      </w:tr>
      <w:tr w:rsidR="00EA3343" w:rsidRPr="00C55377" w14:paraId="07C71749" w14:textId="77777777" w:rsidTr="00EA3343">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CECDCE" w14:textId="77777777" w:rsidR="00EA3343" w:rsidRPr="00C55377" w:rsidRDefault="00EA3343" w:rsidP="00EA3343">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23B9FD87" w14:textId="77777777" w:rsidR="00EA3343" w:rsidRPr="00C55377" w:rsidRDefault="00EA3343" w:rsidP="00EA3343">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26</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543A7D79" w14:textId="77777777" w:rsidR="00EA3343" w:rsidRDefault="00EA3343" w:rsidP="00EA3343">
            <w:pPr>
              <w:jc w:val="center"/>
              <w:rPr>
                <w:rFonts w:ascii="Arial Narrow" w:eastAsia="Times New Roman" w:hAnsi="Arial Narrow" w:cs="Calibri"/>
                <w:b/>
                <w:bCs/>
                <w:color w:val="000000"/>
                <w:sz w:val="22"/>
                <w:szCs w:val="22"/>
              </w:rPr>
            </w:pPr>
          </w:p>
          <w:p w14:paraId="313FE588" w14:textId="23A1DDE5" w:rsidR="000501EB" w:rsidRPr="00C55377" w:rsidRDefault="000501EB" w:rsidP="00EA3343">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7B5562CD" w14:textId="77777777" w:rsidR="00EA3343" w:rsidRPr="00C55377" w:rsidRDefault="00EA3343" w:rsidP="00EA3343">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Pasivo por arrendamiento operativo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10312017" w14:textId="77777777" w:rsidR="00C55377" w:rsidRDefault="00EA3343" w:rsidP="00EA3343">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NICSP N° 13, </w:t>
            </w:r>
          </w:p>
          <w:p w14:paraId="15BC4EDB" w14:textId="16A3423F" w:rsidR="00EA3343" w:rsidRPr="00C55377" w:rsidRDefault="00EA3343" w:rsidP="00EA3343">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Párrafo 21.</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429EF1D" w14:textId="77777777" w:rsidR="00EA3343" w:rsidRPr="00C55377" w:rsidRDefault="00EA3343" w:rsidP="00EA3343">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 </w:t>
            </w:r>
          </w:p>
        </w:tc>
      </w:tr>
    </w:tbl>
    <w:p w14:paraId="63DDF92F" w14:textId="77777777" w:rsidR="009D21EA" w:rsidRDefault="009D21EA" w:rsidP="009D21EA">
      <w:pPr>
        <w:spacing w:line="238" w:lineRule="auto"/>
        <w:ind w:right="260"/>
        <w:jc w:val="both"/>
        <w:rPr>
          <w:rFonts w:ascii="Arial" w:eastAsia="Arial" w:hAnsi="Arial"/>
          <w:b/>
          <w:sz w:val="22"/>
          <w:szCs w:val="22"/>
          <w:lang w:val="es-CR"/>
        </w:rPr>
      </w:pPr>
    </w:p>
    <w:p w14:paraId="4763FD3A" w14:textId="64D14C1B" w:rsidR="005A4C96" w:rsidRDefault="005A4C96" w:rsidP="00EA3343">
      <w:pPr>
        <w:tabs>
          <w:tab w:val="left" w:pos="2740"/>
        </w:tabs>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1687627D" w14:textId="77777777" w:rsidR="005A4C96" w:rsidRDefault="005A4C96" w:rsidP="00EA3343">
      <w:pPr>
        <w:tabs>
          <w:tab w:val="left" w:pos="2740"/>
        </w:tabs>
        <w:spacing w:line="238" w:lineRule="auto"/>
        <w:ind w:left="1134" w:right="260" w:hanging="1134"/>
        <w:jc w:val="both"/>
        <w:rPr>
          <w:rFonts w:ascii="Arial" w:hAnsi="Arial"/>
          <w:sz w:val="22"/>
          <w:szCs w:val="22"/>
          <w:lang w:val="es-CR"/>
        </w:rPr>
      </w:pPr>
    </w:p>
    <w:p w14:paraId="780E6447" w14:textId="428D723A" w:rsidR="009D21EA" w:rsidRPr="00EA3343" w:rsidRDefault="00EA3343" w:rsidP="00EA3343">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2.26.0.01</w:t>
      </w:r>
      <w:r>
        <w:rPr>
          <w:rFonts w:ascii="Arial" w:hAnsi="Arial"/>
          <w:sz w:val="22"/>
          <w:szCs w:val="22"/>
          <w:lang w:val="es-CR"/>
        </w:rPr>
        <w:tab/>
      </w:r>
      <w:r w:rsidRPr="00EA3343">
        <w:rPr>
          <w:rFonts w:ascii="Arial" w:hAnsi="Arial"/>
          <w:sz w:val="22"/>
          <w:szCs w:val="22"/>
          <w:lang w:val="es-CR"/>
        </w:rPr>
        <w:t>A medida que se reconozcan como gastos de cada período las cuotas derivadas de un arrendamiento operativo, el arrendatario se reconocerá un pasivo por la misma cuantía hasta el momento que se haga efectivo el pago a favor del proveedor.</w:t>
      </w:r>
    </w:p>
    <w:p w14:paraId="7363CBA8" w14:textId="77777777" w:rsidR="009D21EA" w:rsidRDefault="009D21EA" w:rsidP="009D21EA">
      <w:pPr>
        <w:spacing w:line="238" w:lineRule="auto"/>
        <w:ind w:right="260"/>
        <w:jc w:val="both"/>
        <w:rPr>
          <w:rFonts w:ascii="Arial" w:eastAsia="Arial" w:hAnsi="Arial"/>
          <w:b/>
          <w:sz w:val="22"/>
          <w:szCs w:val="22"/>
          <w:lang w:val="es-CR"/>
        </w:rPr>
      </w:pPr>
    </w:p>
    <w:p w14:paraId="5E1DA8A4" w14:textId="77777777" w:rsidR="009D21EA" w:rsidRDefault="009D21EA" w:rsidP="009D21EA">
      <w:pPr>
        <w:spacing w:line="238" w:lineRule="auto"/>
        <w:ind w:right="260"/>
        <w:jc w:val="both"/>
        <w:rPr>
          <w:rFonts w:ascii="Arial" w:eastAsia="Arial" w:hAnsi="Arial"/>
          <w:b/>
          <w:sz w:val="22"/>
          <w:szCs w:val="22"/>
          <w:lang w:val="es-CR"/>
        </w:rPr>
      </w:pPr>
    </w:p>
    <w:tbl>
      <w:tblPr>
        <w:tblW w:w="9680" w:type="dxa"/>
        <w:tblLook w:val="04A0" w:firstRow="1" w:lastRow="0" w:firstColumn="1" w:lastColumn="0" w:noHBand="0" w:noVBand="1"/>
      </w:tblPr>
      <w:tblGrid>
        <w:gridCol w:w="637"/>
        <w:gridCol w:w="417"/>
        <w:gridCol w:w="610"/>
        <w:gridCol w:w="3688"/>
        <w:gridCol w:w="2245"/>
        <w:gridCol w:w="2083"/>
      </w:tblGrid>
      <w:tr w:rsidR="00EA3343" w:rsidRPr="00C55377" w14:paraId="0B481687" w14:textId="77777777" w:rsidTr="00EA3343">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5DA41AA" w14:textId="77777777" w:rsidR="00EA3343" w:rsidRPr="00C55377" w:rsidRDefault="00EA3343" w:rsidP="00EA3343">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1161EC0" w14:textId="77777777" w:rsidR="00EA3343" w:rsidRPr="00C55377" w:rsidRDefault="00EA3343" w:rsidP="00EA3343">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58A69FAA" w14:textId="77777777" w:rsidR="00EA3343" w:rsidRPr="00C55377" w:rsidRDefault="00EA3343" w:rsidP="00EA3343">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Referencia</w:t>
            </w:r>
          </w:p>
        </w:tc>
      </w:tr>
      <w:tr w:rsidR="00EA3343" w:rsidRPr="006E5442" w14:paraId="2C48F9BF" w14:textId="77777777" w:rsidTr="00EA3343">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6794DD62" w14:textId="77777777" w:rsidR="00EA3343" w:rsidRPr="00C55377" w:rsidRDefault="00EA3343" w:rsidP="00EA3343">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54FDD61C" w14:textId="77777777" w:rsidR="00EA3343" w:rsidRPr="00C55377" w:rsidRDefault="00EA3343" w:rsidP="00EA3343">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290BE463" w14:textId="77777777" w:rsidR="00EA3343" w:rsidRPr="00C55377" w:rsidRDefault="00EA3343" w:rsidP="00EA3343">
            <w:pPr>
              <w:jc w:val="center"/>
              <w:rPr>
                <w:rFonts w:ascii="Arial Narrow" w:eastAsia="Times New Roman" w:hAnsi="Arial Narrow" w:cs="Calibri"/>
                <w:b/>
                <w:bCs/>
                <w:color w:val="FFFFFF"/>
                <w:sz w:val="22"/>
                <w:szCs w:val="22"/>
              </w:rPr>
            </w:pPr>
            <w:r w:rsidRPr="00C55377">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4845793D" w14:textId="77777777" w:rsidR="00EA3343" w:rsidRPr="00C55377" w:rsidRDefault="00EA3343" w:rsidP="00EA3343">
            <w:pPr>
              <w:jc w:val="center"/>
              <w:rPr>
                <w:rFonts w:ascii="Arial Narrow" w:eastAsia="Times New Roman" w:hAnsi="Arial Narrow" w:cs="Calibri"/>
                <w:b/>
                <w:bCs/>
                <w:color w:val="FFFFFF"/>
                <w:sz w:val="22"/>
                <w:szCs w:val="22"/>
                <w:lang w:val="es-CR"/>
              </w:rPr>
            </w:pPr>
            <w:r w:rsidRPr="00C55377">
              <w:rPr>
                <w:rFonts w:ascii="Arial Narrow" w:eastAsia="Times New Roman" w:hAnsi="Arial Narrow" w:cs="Calibri"/>
                <w:b/>
                <w:bCs/>
                <w:color w:val="FFFFFF"/>
                <w:sz w:val="22"/>
                <w:szCs w:val="22"/>
                <w:lang w:val="es-CR"/>
              </w:rPr>
              <w:t>Normativa técnica y disposiciones adicionales</w:t>
            </w:r>
          </w:p>
        </w:tc>
      </w:tr>
      <w:tr w:rsidR="00EA3343" w:rsidRPr="00C55377" w14:paraId="626BE77C" w14:textId="77777777" w:rsidTr="00EA3343">
        <w:trPr>
          <w:trHeight w:val="94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A1CD09" w14:textId="77777777" w:rsidR="00EA3343" w:rsidRPr="00C55377" w:rsidRDefault="00EA3343" w:rsidP="00EA3343">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0843920A" w14:textId="77777777" w:rsidR="00EA3343" w:rsidRPr="00C55377" w:rsidRDefault="00EA3343" w:rsidP="00EA3343">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27</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23462CDA" w14:textId="53CB258C" w:rsidR="00EA3343" w:rsidRPr="00C55377" w:rsidRDefault="00EA3343" w:rsidP="00EA3343">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563368E8" w14:textId="77777777" w:rsidR="00EA3343" w:rsidRPr="00C55377" w:rsidRDefault="00EA3343" w:rsidP="00EA3343">
            <w:pPr>
              <w:jc w:val="both"/>
              <w:rPr>
                <w:rFonts w:ascii="Arial Narrow" w:eastAsia="Times New Roman" w:hAnsi="Arial Narrow" w:cs="Calibri"/>
                <w:b/>
                <w:bCs/>
                <w:color w:val="000000"/>
                <w:sz w:val="22"/>
                <w:szCs w:val="22"/>
                <w:lang w:val="es-CR"/>
              </w:rPr>
            </w:pPr>
            <w:r w:rsidRPr="00C55377">
              <w:rPr>
                <w:rFonts w:ascii="Arial Narrow" w:eastAsia="Times New Roman" w:hAnsi="Arial Narrow" w:cs="Calibri"/>
                <w:b/>
                <w:bCs/>
                <w:color w:val="000000"/>
                <w:sz w:val="22"/>
                <w:szCs w:val="22"/>
                <w:lang w:val="es-CR"/>
              </w:rPr>
              <w:t>Reconocimiento de pasivos por arrendamientos conjuntos (terreno y edificio)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5E339E13" w14:textId="77777777" w:rsidR="005A4C96" w:rsidRDefault="00EA3343" w:rsidP="00EA3343">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NICSP N° 13, </w:t>
            </w:r>
          </w:p>
          <w:p w14:paraId="0D4C7196" w14:textId="62CFEFE9" w:rsidR="00EA3343" w:rsidRPr="00C55377" w:rsidRDefault="00EA3343" w:rsidP="00EA3343">
            <w:pPr>
              <w:jc w:val="both"/>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Párrafo 21.</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48AE5126" w14:textId="77777777" w:rsidR="00EA3343" w:rsidRPr="00C55377" w:rsidRDefault="00EA3343" w:rsidP="00EA3343">
            <w:pPr>
              <w:jc w:val="center"/>
              <w:rPr>
                <w:rFonts w:ascii="Arial Narrow" w:eastAsia="Times New Roman" w:hAnsi="Arial Narrow" w:cs="Calibri"/>
                <w:b/>
                <w:bCs/>
                <w:color w:val="000000"/>
                <w:sz w:val="22"/>
                <w:szCs w:val="22"/>
              </w:rPr>
            </w:pPr>
            <w:r w:rsidRPr="00C55377">
              <w:rPr>
                <w:rFonts w:ascii="Arial Narrow" w:eastAsia="Times New Roman" w:hAnsi="Arial Narrow" w:cs="Calibri"/>
                <w:b/>
                <w:bCs/>
                <w:color w:val="000000"/>
                <w:sz w:val="22"/>
                <w:szCs w:val="22"/>
              </w:rPr>
              <w:t xml:space="preserve"> </w:t>
            </w:r>
          </w:p>
        </w:tc>
      </w:tr>
    </w:tbl>
    <w:p w14:paraId="2D44C138" w14:textId="77777777" w:rsidR="009D21EA" w:rsidRDefault="009D21EA" w:rsidP="009D21EA">
      <w:pPr>
        <w:spacing w:line="238" w:lineRule="auto"/>
        <w:ind w:right="260"/>
        <w:jc w:val="both"/>
        <w:rPr>
          <w:rFonts w:ascii="Arial" w:eastAsia="Arial" w:hAnsi="Arial"/>
          <w:b/>
          <w:sz w:val="22"/>
          <w:szCs w:val="22"/>
          <w:lang w:val="es-CR"/>
        </w:rPr>
      </w:pPr>
    </w:p>
    <w:p w14:paraId="62D46A23" w14:textId="7D443656" w:rsidR="009D21EA" w:rsidRDefault="005A4C96" w:rsidP="009D21EA">
      <w:pPr>
        <w:spacing w:line="238" w:lineRule="auto"/>
        <w:ind w:right="260"/>
        <w:jc w:val="both"/>
        <w:rPr>
          <w:rFonts w:ascii="Arial" w:eastAsia="Arial" w:hAnsi="Arial"/>
          <w:b/>
          <w:sz w:val="22"/>
          <w:szCs w:val="22"/>
        </w:rPr>
      </w:pPr>
      <w:r w:rsidRPr="00F02F9D">
        <w:rPr>
          <w:rFonts w:ascii="Arial" w:eastAsia="Arial" w:hAnsi="Arial"/>
          <w:b/>
          <w:sz w:val="22"/>
          <w:szCs w:val="22"/>
        </w:rPr>
        <w:t>Políticas Contables</w:t>
      </w:r>
    </w:p>
    <w:p w14:paraId="41CC6D06" w14:textId="77777777" w:rsidR="005A4C96" w:rsidRDefault="005A4C96" w:rsidP="009D21EA">
      <w:pPr>
        <w:spacing w:line="238" w:lineRule="auto"/>
        <w:ind w:right="260"/>
        <w:jc w:val="both"/>
        <w:rPr>
          <w:rFonts w:ascii="Arial" w:eastAsia="Arial" w:hAnsi="Arial"/>
          <w:b/>
          <w:sz w:val="22"/>
          <w:szCs w:val="22"/>
          <w:lang w:val="es-CR"/>
        </w:rPr>
      </w:pPr>
    </w:p>
    <w:p w14:paraId="3F8837FD" w14:textId="410CF961" w:rsidR="00EA3343" w:rsidRDefault="00EA3343" w:rsidP="00EA3343">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2.27.0.01</w:t>
      </w:r>
      <w:r>
        <w:rPr>
          <w:rFonts w:ascii="Arial" w:hAnsi="Arial"/>
          <w:sz w:val="22"/>
          <w:szCs w:val="22"/>
          <w:lang w:val="es-CR"/>
        </w:rPr>
        <w:tab/>
        <w:t xml:space="preserve">Cuando </w:t>
      </w:r>
      <w:r w:rsidRPr="00EA3343">
        <w:rPr>
          <w:rFonts w:ascii="Arial" w:hAnsi="Arial"/>
          <w:sz w:val="22"/>
          <w:szCs w:val="22"/>
          <w:lang w:val="es-CR"/>
        </w:rPr>
        <w:t>sea necesario clasificar y contabilizar un arrendamiento de terrenos y edificios, en forma separada, los pagos mínimos por el arrendamiento se distribuirán entre los componentes de terrenos y edificio, teniendo en cuenta la proporción de los valores razonables relativos que representan los derechos de arrendamiento en los citados componentes de terrenos y edificios en el inicio del arrendamiento, reconociéndose un pasivo sólo por la porción que represente arrendamiento financiero.</w:t>
      </w:r>
    </w:p>
    <w:p w14:paraId="705DA418" w14:textId="77777777" w:rsidR="00EA3343" w:rsidRPr="00EA3343" w:rsidRDefault="00EA3343" w:rsidP="00EA3343">
      <w:pPr>
        <w:tabs>
          <w:tab w:val="left" w:pos="2740"/>
        </w:tabs>
        <w:spacing w:line="238" w:lineRule="auto"/>
        <w:ind w:left="1134" w:right="260" w:hanging="1134"/>
        <w:jc w:val="both"/>
        <w:rPr>
          <w:rFonts w:ascii="Arial" w:hAnsi="Arial"/>
          <w:sz w:val="22"/>
          <w:szCs w:val="22"/>
          <w:lang w:val="es-CR"/>
        </w:rPr>
      </w:pPr>
    </w:p>
    <w:p w14:paraId="75023F13" w14:textId="5439920C" w:rsidR="009D21EA" w:rsidRPr="00EA3343" w:rsidRDefault="00EA3343" w:rsidP="00EA3343">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lastRenderedPageBreak/>
        <w:t>2.27.0.02</w:t>
      </w:r>
      <w:r>
        <w:rPr>
          <w:rFonts w:ascii="Arial" w:hAnsi="Arial"/>
          <w:sz w:val="22"/>
          <w:szCs w:val="22"/>
          <w:lang w:val="es-CR"/>
        </w:rPr>
        <w:tab/>
      </w:r>
      <w:r w:rsidRPr="00EA3343">
        <w:rPr>
          <w:rFonts w:ascii="Arial" w:hAnsi="Arial"/>
          <w:sz w:val="22"/>
          <w:szCs w:val="22"/>
          <w:lang w:val="es-CR"/>
        </w:rPr>
        <w:t xml:space="preserve">Si los pagos por el arrendamiento no pueden repartirse fiablemente entre estos dos componentes, todo el arrendamiento se clasificará como financiero, por lo que se reconocerá un pasivo tal cual lo establece el presente PGCN (Reconocimiento inicial de arrendamientos financieros), a menos que esté claro que </w:t>
      </w:r>
      <w:r w:rsidR="000E5DF8" w:rsidRPr="00EA3343">
        <w:rPr>
          <w:rFonts w:ascii="Arial" w:hAnsi="Arial"/>
          <w:sz w:val="22"/>
          <w:szCs w:val="22"/>
          <w:lang w:val="es-CR"/>
        </w:rPr>
        <w:t>a</w:t>
      </w:r>
      <w:r w:rsidR="000E5DF8">
        <w:rPr>
          <w:rFonts w:ascii="Arial" w:hAnsi="Arial"/>
          <w:sz w:val="22"/>
          <w:szCs w:val="22"/>
          <w:lang w:val="es-CR"/>
        </w:rPr>
        <w:t>mbo</w:t>
      </w:r>
      <w:r w:rsidR="000E5DF8" w:rsidRPr="00EA3343">
        <w:rPr>
          <w:rFonts w:ascii="Arial" w:hAnsi="Arial"/>
          <w:sz w:val="22"/>
          <w:szCs w:val="22"/>
          <w:lang w:val="es-CR"/>
        </w:rPr>
        <w:t>s</w:t>
      </w:r>
      <w:r w:rsidRPr="00EA3343">
        <w:rPr>
          <w:rFonts w:ascii="Arial" w:hAnsi="Arial"/>
          <w:sz w:val="22"/>
          <w:szCs w:val="22"/>
          <w:lang w:val="es-CR"/>
        </w:rPr>
        <w:t xml:space="preserve"> componentes son arrendamientos operativos, en cuyo caso todo el arrendamiento se clasificará como operativo, y el pasivo sólo se reconocerá a medida que tenga lugar el reconocimiento del gasto de cada período, en los términos de la política establecida en el presente PGCN (Pasivo por arrendamiento operativo).</w:t>
      </w:r>
    </w:p>
    <w:p w14:paraId="1891F1B6" w14:textId="77777777" w:rsidR="000501EB" w:rsidRDefault="000501EB" w:rsidP="00C522E2">
      <w:pPr>
        <w:spacing w:line="238" w:lineRule="auto"/>
        <w:ind w:left="1134" w:right="260" w:hanging="1134"/>
        <w:jc w:val="both"/>
        <w:rPr>
          <w:rFonts w:ascii="Arial" w:eastAsia="Arial" w:hAnsi="Arial"/>
          <w:b/>
          <w:sz w:val="22"/>
          <w:szCs w:val="22"/>
          <w:lang w:val="es-CR"/>
        </w:rPr>
      </w:pPr>
    </w:p>
    <w:p w14:paraId="41B1D4EA" w14:textId="77777777" w:rsidR="000501EB" w:rsidRDefault="000501EB" w:rsidP="00C522E2">
      <w:pPr>
        <w:spacing w:line="238" w:lineRule="auto"/>
        <w:ind w:left="1134" w:right="260" w:hanging="1134"/>
        <w:jc w:val="both"/>
        <w:rPr>
          <w:rFonts w:ascii="Arial" w:eastAsia="Arial" w:hAnsi="Arial"/>
          <w:b/>
          <w:sz w:val="22"/>
          <w:szCs w:val="22"/>
          <w:lang w:val="es-CR"/>
        </w:rPr>
      </w:pPr>
    </w:p>
    <w:p w14:paraId="1BF4FC6D" w14:textId="1BC6497D" w:rsidR="009D21EA" w:rsidRPr="000501EB" w:rsidRDefault="00EA3343" w:rsidP="000501EB">
      <w:pPr>
        <w:pStyle w:val="Ttulo2"/>
        <w:ind w:left="284"/>
        <w:rPr>
          <w:rFonts w:ascii="Arial" w:eastAsia="Arial" w:hAnsi="Arial" w:cs="Arial"/>
          <w:b/>
          <w:bCs/>
          <w:sz w:val="20"/>
          <w:szCs w:val="20"/>
          <w:lang w:val="es-CR"/>
        </w:rPr>
      </w:pPr>
      <w:bookmarkStart w:id="93" w:name="_Toc172726228"/>
      <w:r w:rsidRPr="000501EB">
        <w:rPr>
          <w:rFonts w:ascii="Arial" w:eastAsia="Arial" w:hAnsi="Arial" w:cs="Arial"/>
          <w:b/>
          <w:bCs/>
          <w:sz w:val="20"/>
          <w:szCs w:val="20"/>
          <w:lang w:val="es-CR"/>
        </w:rPr>
        <w:t>Pasivos relacionados con ingresos sin contraprestación</w:t>
      </w:r>
      <w:bookmarkEnd w:id="93"/>
    </w:p>
    <w:p w14:paraId="7A3E77CF" w14:textId="77777777" w:rsidR="00EA3343" w:rsidRDefault="00EA3343" w:rsidP="00C522E2">
      <w:pPr>
        <w:spacing w:line="238" w:lineRule="auto"/>
        <w:ind w:left="1134" w:right="260" w:hanging="1134"/>
        <w:jc w:val="both"/>
        <w:rPr>
          <w:b/>
          <w:bCs/>
          <w:sz w:val="23"/>
          <w:szCs w:val="23"/>
          <w:lang w:val="es-CR"/>
        </w:rPr>
      </w:pPr>
    </w:p>
    <w:tbl>
      <w:tblPr>
        <w:tblW w:w="9680" w:type="dxa"/>
        <w:tblLook w:val="04A0" w:firstRow="1" w:lastRow="0" w:firstColumn="1" w:lastColumn="0" w:noHBand="0" w:noVBand="1"/>
      </w:tblPr>
      <w:tblGrid>
        <w:gridCol w:w="636"/>
        <w:gridCol w:w="417"/>
        <w:gridCol w:w="610"/>
        <w:gridCol w:w="3689"/>
        <w:gridCol w:w="2245"/>
        <w:gridCol w:w="2083"/>
      </w:tblGrid>
      <w:tr w:rsidR="00EA3343" w:rsidRPr="000501EB" w14:paraId="48030628" w14:textId="77777777" w:rsidTr="00EA3343">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AE86F6C" w14:textId="77777777" w:rsidR="00EA3343" w:rsidRPr="000501EB" w:rsidRDefault="00EA3343" w:rsidP="00EA3343">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207607E" w14:textId="77777777" w:rsidR="00EA3343" w:rsidRPr="000501EB" w:rsidRDefault="00EA3343" w:rsidP="00EA3343">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200DAF19" w14:textId="77777777" w:rsidR="00EA3343" w:rsidRPr="000501EB" w:rsidRDefault="00EA3343" w:rsidP="00EA3343">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Referencia</w:t>
            </w:r>
          </w:p>
        </w:tc>
      </w:tr>
      <w:tr w:rsidR="00EA3343" w:rsidRPr="006E5442" w14:paraId="19A135B8" w14:textId="77777777" w:rsidTr="00EA3343">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37100F96" w14:textId="77777777" w:rsidR="00EA3343" w:rsidRPr="000501EB" w:rsidRDefault="00EA3343" w:rsidP="00EA3343">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7E32CC46" w14:textId="77777777" w:rsidR="00EA3343" w:rsidRPr="000501EB" w:rsidRDefault="00EA3343" w:rsidP="00EA3343">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7DD39103" w14:textId="77777777" w:rsidR="00EA3343" w:rsidRPr="000501EB" w:rsidRDefault="00EA3343" w:rsidP="00EA3343">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386F1C66" w14:textId="77777777" w:rsidR="00EA3343" w:rsidRPr="000501EB" w:rsidRDefault="00EA3343" w:rsidP="00EA3343">
            <w:pPr>
              <w:jc w:val="center"/>
              <w:rPr>
                <w:rFonts w:ascii="Arial Narrow" w:eastAsia="Times New Roman" w:hAnsi="Arial Narrow" w:cs="Calibri"/>
                <w:b/>
                <w:bCs/>
                <w:color w:val="FFFFFF"/>
                <w:sz w:val="22"/>
                <w:szCs w:val="22"/>
                <w:lang w:val="es-CR"/>
              </w:rPr>
            </w:pPr>
            <w:r w:rsidRPr="000501EB">
              <w:rPr>
                <w:rFonts w:ascii="Arial Narrow" w:eastAsia="Times New Roman" w:hAnsi="Arial Narrow" w:cs="Calibri"/>
                <w:b/>
                <w:bCs/>
                <w:color w:val="FFFFFF"/>
                <w:sz w:val="22"/>
                <w:szCs w:val="22"/>
                <w:lang w:val="es-CR"/>
              </w:rPr>
              <w:t>Normativa técnica y disposiciones adicionales</w:t>
            </w:r>
          </w:p>
        </w:tc>
      </w:tr>
      <w:tr w:rsidR="00EA3343" w:rsidRPr="000501EB" w14:paraId="56715B07" w14:textId="77777777" w:rsidTr="00EA3343">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96A451" w14:textId="77777777" w:rsidR="00EA3343" w:rsidRPr="000501EB" w:rsidRDefault="00EA3343" w:rsidP="00EA3343">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262A946A" w14:textId="77777777" w:rsidR="00EA3343" w:rsidRPr="000501EB" w:rsidRDefault="00EA3343" w:rsidP="00EA3343">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28</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4A8C69F1" w14:textId="40449F59" w:rsidR="00EA3343" w:rsidRPr="000501EB" w:rsidRDefault="00EA3343" w:rsidP="00EA3343">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07C92EAD" w14:textId="77777777" w:rsidR="00EA3343" w:rsidRPr="000501EB" w:rsidRDefault="00EA3343" w:rsidP="00EA3343">
            <w:pPr>
              <w:jc w:val="both"/>
              <w:rPr>
                <w:rFonts w:ascii="Arial Narrow" w:eastAsia="Times New Roman" w:hAnsi="Arial Narrow" w:cs="Calibri"/>
                <w:b/>
                <w:bCs/>
                <w:color w:val="000000"/>
                <w:sz w:val="22"/>
                <w:szCs w:val="22"/>
                <w:lang w:val="es-CR"/>
              </w:rPr>
            </w:pPr>
            <w:r w:rsidRPr="000501EB">
              <w:rPr>
                <w:rFonts w:ascii="Arial Narrow" w:eastAsia="Times New Roman" w:hAnsi="Arial Narrow" w:cs="Calibri"/>
                <w:b/>
                <w:bCs/>
                <w:color w:val="000000"/>
                <w:sz w:val="22"/>
                <w:szCs w:val="22"/>
                <w:lang w:val="es-CR"/>
              </w:rPr>
              <w:t>Obligación presente que surge de una transacción sin contraprestación</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4C105A72" w14:textId="77777777" w:rsidR="00EA3343" w:rsidRPr="000501EB" w:rsidRDefault="00EA3343" w:rsidP="00EA3343">
            <w:pPr>
              <w:jc w:val="both"/>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 xml:space="preserve">NICSP N° 23, </w:t>
            </w:r>
            <w:r w:rsidRPr="000501EB">
              <w:rPr>
                <w:rFonts w:ascii="Arial Narrow" w:eastAsia="Times New Roman" w:hAnsi="Arial Narrow" w:cs="Calibri"/>
                <w:b/>
                <w:bCs/>
                <w:color w:val="000000"/>
                <w:sz w:val="22"/>
                <w:szCs w:val="22"/>
              </w:rPr>
              <w:br/>
              <w:t>Párrafo 50.</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2A6A98B7" w14:textId="77777777" w:rsidR="00EA3343" w:rsidRPr="000501EB" w:rsidRDefault="00EA3343" w:rsidP="00EA3343">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 xml:space="preserve"> </w:t>
            </w:r>
          </w:p>
        </w:tc>
      </w:tr>
    </w:tbl>
    <w:p w14:paraId="66792D3F" w14:textId="77777777" w:rsidR="00EA3343" w:rsidRDefault="00EA3343" w:rsidP="00C522E2">
      <w:pPr>
        <w:spacing w:line="238" w:lineRule="auto"/>
        <w:ind w:left="1134" w:right="260" w:hanging="1134"/>
        <w:jc w:val="both"/>
        <w:rPr>
          <w:rFonts w:ascii="Arial" w:eastAsia="Arial" w:hAnsi="Arial"/>
          <w:b/>
          <w:sz w:val="22"/>
          <w:szCs w:val="22"/>
          <w:lang w:val="es-CR"/>
        </w:rPr>
      </w:pPr>
    </w:p>
    <w:p w14:paraId="22845B8D" w14:textId="3FCF6AC0"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4A4E405B" w14:textId="77777777" w:rsidR="005A4C96" w:rsidRPr="00EA3343" w:rsidRDefault="005A4C96" w:rsidP="00C522E2">
      <w:pPr>
        <w:spacing w:line="238" w:lineRule="auto"/>
        <w:ind w:left="1134" w:right="260" w:hanging="1134"/>
        <w:jc w:val="both"/>
        <w:rPr>
          <w:rFonts w:ascii="Arial" w:eastAsia="Arial" w:hAnsi="Arial"/>
          <w:b/>
          <w:sz w:val="22"/>
          <w:szCs w:val="22"/>
          <w:lang w:val="es-CR"/>
        </w:rPr>
      </w:pPr>
    </w:p>
    <w:p w14:paraId="0C02B7E5" w14:textId="2E3DC81E" w:rsidR="00EA3343" w:rsidRDefault="00EA3343" w:rsidP="00EA3343">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2.28.0.01</w:t>
      </w:r>
      <w:r>
        <w:rPr>
          <w:rFonts w:ascii="Arial" w:hAnsi="Arial"/>
          <w:sz w:val="22"/>
          <w:szCs w:val="22"/>
          <w:lang w:val="es-CR"/>
        </w:rPr>
        <w:tab/>
      </w:r>
      <w:r w:rsidRPr="00EA3343">
        <w:rPr>
          <w:rFonts w:ascii="Arial" w:hAnsi="Arial"/>
          <w:sz w:val="22"/>
          <w:szCs w:val="22"/>
          <w:lang w:val="es-CR"/>
        </w:rPr>
        <w:t>Una obligación presente que surge de una transacción sin contraprestación que cumple la definición de pasivo se reconocerá como tal cuando, y sólo cuando:</w:t>
      </w:r>
    </w:p>
    <w:p w14:paraId="27625C51" w14:textId="77777777" w:rsidR="00B852DB" w:rsidRPr="00EA3343" w:rsidRDefault="00B852DB" w:rsidP="00EA3343">
      <w:pPr>
        <w:tabs>
          <w:tab w:val="left" w:pos="2740"/>
        </w:tabs>
        <w:spacing w:line="238" w:lineRule="auto"/>
        <w:ind w:left="1134" w:right="260" w:hanging="1134"/>
        <w:jc w:val="both"/>
        <w:rPr>
          <w:rFonts w:ascii="Arial" w:hAnsi="Arial"/>
          <w:sz w:val="22"/>
          <w:szCs w:val="22"/>
          <w:lang w:val="es-CR"/>
        </w:rPr>
      </w:pPr>
    </w:p>
    <w:p w14:paraId="5F557C12" w14:textId="716CDA5E" w:rsidR="00EA3343" w:rsidRPr="00EA3343" w:rsidRDefault="00EA3343">
      <w:pPr>
        <w:pStyle w:val="Default"/>
        <w:numPr>
          <w:ilvl w:val="0"/>
          <w:numId w:val="145"/>
        </w:numPr>
        <w:spacing w:after="120"/>
        <w:ind w:left="1418" w:hanging="284"/>
        <w:rPr>
          <w:sz w:val="23"/>
          <w:szCs w:val="23"/>
          <w:lang w:val="es-CR"/>
        </w:rPr>
      </w:pPr>
      <w:r w:rsidRPr="00EA3343">
        <w:rPr>
          <w:sz w:val="23"/>
          <w:szCs w:val="23"/>
          <w:lang w:val="es-CR"/>
        </w:rPr>
        <w:t xml:space="preserve">Sea probable que para cancelar la obligación se requiera una salida de recursos, incluyendo beneficios económicos futuros o potencial de servicio; y </w:t>
      </w:r>
    </w:p>
    <w:p w14:paraId="6D859B00" w14:textId="4E56A088" w:rsidR="00EA3343" w:rsidRPr="00EA3343" w:rsidRDefault="00EA3343">
      <w:pPr>
        <w:pStyle w:val="Default"/>
        <w:numPr>
          <w:ilvl w:val="0"/>
          <w:numId w:val="145"/>
        </w:numPr>
        <w:ind w:left="1418" w:hanging="284"/>
        <w:rPr>
          <w:sz w:val="23"/>
          <w:szCs w:val="23"/>
          <w:lang w:val="es-CR"/>
        </w:rPr>
      </w:pPr>
      <w:r w:rsidRPr="00EA3343">
        <w:rPr>
          <w:sz w:val="23"/>
          <w:szCs w:val="23"/>
          <w:lang w:val="es-CR"/>
        </w:rPr>
        <w:t xml:space="preserve">Pueda hacerse una estimación confiable del importe de la obligación. </w:t>
      </w:r>
    </w:p>
    <w:p w14:paraId="1B3D95B8" w14:textId="77777777" w:rsidR="009D21EA" w:rsidRDefault="009D21EA" w:rsidP="00C522E2">
      <w:pPr>
        <w:spacing w:line="238" w:lineRule="auto"/>
        <w:ind w:left="1134" w:right="260" w:hanging="1134"/>
        <w:jc w:val="both"/>
        <w:rPr>
          <w:rFonts w:ascii="Arial" w:eastAsia="Arial" w:hAnsi="Arial"/>
          <w:b/>
          <w:sz w:val="22"/>
          <w:szCs w:val="22"/>
          <w:lang w:val="es-CR"/>
        </w:rPr>
      </w:pPr>
    </w:p>
    <w:p w14:paraId="386B7B93" w14:textId="77777777" w:rsidR="00B852DB" w:rsidRDefault="00B852DB" w:rsidP="00C522E2">
      <w:pPr>
        <w:spacing w:line="238" w:lineRule="auto"/>
        <w:ind w:left="1134" w:right="260" w:hanging="1134"/>
        <w:jc w:val="both"/>
        <w:rPr>
          <w:rFonts w:ascii="Arial" w:eastAsia="Arial" w:hAnsi="Arial"/>
          <w:b/>
          <w:sz w:val="22"/>
          <w:szCs w:val="22"/>
          <w:lang w:val="es-CR"/>
        </w:rPr>
      </w:pPr>
    </w:p>
    <w:p w14:paraId="799EFC83" w14:textId="77777777" w:rsidR="005A4C96" w:rsidRDefault="005A4C96" w:rsidP="00C522E2">
      <w:pPr>
        <w:spacing w:line="238" w:lineRule="auto"/>
        <w:ind w:left="1134" w:right="260" w:hanging="1134"/>
        <w:jc w:val="both"/>
        <w:rPr>
          <w:rFonts w:ascii="Arial" w:eastAsia="Arial" w:hAnsi="Arial"/>
          <w:b/>
          <w:sz w:val="22"/>
          <w:szCs w:val="22"/>
          <w:lang w:val="es-CR"/>
        </w:rPr>
      </w:pPr>
    </w:p>
    <w:tbl>
      <w:tblPr>
        <w:tblW w:w="9680" w:type="dxa"/>
        <w:tblLook w:val="04A0" w:firstRow="1" w:lastRow="0" w:firstColumn="1" w:lastColumn="0" w:noHBand="0" w:noVBand="1"/>
      </w:tblPr>
      <w:tblGrid>
        <w:gridCol w:w="636"/>
        <w:gridCol w:w="435"/>
        <w:gridCol w:w="609"/>
        <w:gridCol w:w="3672"/>
        <w:gridCol w:w="2243"/>
        <w:gridCol w:w="2085"/>
      </w:tblGrid>
      <w:tr w:rsidR="00B852DB" w:rsidRPr="00B852DB" w14:paraId="61C7C1A7" w14:textId="77777777" w:rsidTr="00B852DB">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5B48F5F"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AECF6C5"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0FC3B371"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Referencia</w:t>
            </w:r>
          </w:p>
        </w:tc>
      </w:tr>
      <w:tr w:rsidR="00B852DB" w:rsidRPr="006E5442" w14:paraId="151532F0" w14:textId="77777777" w:rsidTr="00B852DB">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475D0812" w14:textId="77777777" w:rsidR="00B852DB" w:rsidRPr="00B852DB" w:rsidRDefault="00B852DB" w:rsidP="00B852DB">
            <w:pPr>
              <w:rPr>
                <w:rFonts w:ascii="Arial Narrow" w:eastAsia="Times New Roman" w:hAnsi="Arial Narrow" w:cs="Calibri"/>
                <w:b/>
                <w:bCs/>
                <w:color w:val="FFFFFF"/>
                <w:sz w:val="24"/>
                <w:szCs w:val="24"/>
              </w:rPr>
            </w:pPr>
          </w:p>
        </w:tc>
        <w:tc>
          <w:tcPr>
            <w:tcW w:w="3740" w:type="dxa"/>
            <w:vMerge/>
            <w:tcBorders>
              <w:top w:val="single" w:sz="8" w:space="0" w:color="auto"/>
              <w:left w:val="single" w:sz="8" w:space="0" w:color="auto"/>
              <w:bottom w:val="nil"/>
              <w:right w:val="single" w:sz="8" w:space="0" w:color="auto"/>
            </w:tcBorders>
            <w:vAlign w:val="center"/>
            <w:hideMark/>
          </w:tcPr>
          <w:p w14:paraId="570B83AA" w14:textId="77777777" w:rsidR="00B852DB" w:rsidRPr="00B852DB" w:rsidRDefault="00B852DB" w:rsidP="00B852DB">
            <w:pPr>
              <w:rPr>
                <w:rFonts w:ascii="Arial Narrow" w:eastAsia="Times New Roman" w:hAnsi="Arial Narrow" w:cs="Calibri"/>
                <w:b/>
                <w:bCs/>
                <w:color w:val="FFFFFF"/>
                <w:sz w:val="24"/>
                <w:szCs w:val="24"/>
              </w:rPr>
            </w:pPr>
          </w:p>
        </w:tc>
        <w:tc>
          <w:tcPr>
            <w:tcW w:w="2280" w:type="dxa"/>
            <w:tcBorders>
              <w:top w:val="nil"/>
              <w:left w:val="nil"/>
              <w:bottom w:val="nil"/>
              <w:right w:val="single" w:sz="8" w:space="0" w:color="auto"/>
            </w:tcBorders>
            <w:shd w:val="clear" w:color="000000" w:fill="203764"/>
            <w:vAlign w:val="center"/>
            <w:hideMark/>
          </w:tcPr>
          <w:p w14:paraId="6FC6E486"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Norma</w:t>
            </w:r>
          </w:p>
        </w:tc>
        <w:tc>
          <w:tcPr>
            <w:tcW w:w="2100" w:type="dxa"/>
            <w:tcBorders>
              <w:top w:val="nil"/>
              <w:left w:val="nil"/>
              <w:bottom w:val="nil"/>
              <w:right w:val="single" w:sz="8" w:space="0" w:color="auto"/>
            </w:tcBorders>
            <w:shd w:val="clear" w:color="000000" w:fill="203764"/>
            <w:vAlign w:val="center"/>
            <w:hideMark/>
          </w:tcPr>
          <w:p w14:paraId="3C39EBBB" w14:textId="77777777" w:rsidR="00B852DB" w:rsidRPr="00B852DB" w:rsidRDefault="00B852DB" w:rsidP="00B852DB">
            <w:pPr>
              <w:jc w:val="center"/>
              <w:rPr>
                <w:rFonts w:ascii="Arial Narrow" w:eastAsia="Times New Roman" w:hAnsi="Arial Narrow" w:cs="Calibri"/>
                <w:b/>
                <w:bCs/>
                <w:color w:val="FFFFFF"/>
                <w:sz w:val="24"/>
                <w:szCs w:val="24"/>
                <w:lang w:val="es-CR"/>
              </w:rPr>
            </w:pPr>
            <w:r w:rsidRPr="00B852DB">
              <w:rPr>
                <w:rFonts w:ascii="Arial Narrow" w:eastAsia="Times New Roman" w:hAnsi="Arial Narrow" w:cs="Calibri"/>
                <w:b/>
                <w:bCs/>
                <w:color w:val="FFFFFF"/>
                <w:sz w:val="24"/>
                <w:szCs w:val="24"/>
                <w:lang w:val="es-CR"/>
              </w:rPr>
              <w:t>Normativa técnica y disposiciones adicionales</w:t>
            </w:r>
          </w:p>
        </w:tc>
      </w:tr>
      <w:tr w:rsidR="00B852DB" w:rsidRPr="00B852DB" w14:paraId="6860B3CC" w14:textId="77777777" w:rsidTr="00B852DB">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4FD808"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371FA99C"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29</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54BAA56E" w14:textId="1CDFDDEE" w:rsidR="00B852DB" w:rsidRPr="00B852DB" w:rsidRDefault="00B852DB" w:rsidP="00B852DB">
            <w:pPr>
              <w:jc w:val="center"/>
              <w:rPr>
                <w:rFonts w:ascii="Arial Narrow" w:eastAsia="Times New Roman" w:hAnsi="Arial Narrow" w:cs="Calibri"/>
                <w:b/>
                <w:bCs/>
                <w:color w:val="000000"/>
                <w:sz w:val="24"/>
                <w:szCs w:val="24"/>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17694C0C" w14:textId="77777777" w:rsidR="00B852DB" w:rsidRPr="00B852DB" w:rsidRDefault="00B852DB" w:rsidP="00B852DB">
            <w:pPr>
              <w:jc w:val="both"/>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Anticipos de impuestos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49D35D0B" w14:textId="77777777" w:rsidR="005A4C96" w:rsidRDefault="00B852DB" w:rsidP="00B852DB">
            <w:pPr>
              <w:jc w:val="both"/>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NICSP N° 23,</w:t>
            </w:r>
          </w:p>
          <w:p w14:paraId="3D972F18" w14:textId="321E2738" w:rsidR="00B852DB" w:rsidRPr="00B852DB" w:rsidRDefault="00B852DB" w:rsidP="00B852DB">
            <w:pPr>
              <w:jc w:val="both"/>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Párrafo 66.</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6BF6712D"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 xml:space="preserve"> </w:t>
            </w:r>
          </w:p>
        </w:tc>
      </w:tr>
    </w:tbl>
    <w:p w14:paraId="0CBCAA55" w14:textId="77777777" w:rsidR="00B852DB" w:rsidRDefault="00B852DB" w:rsidP="00C522E2">
      <w:pPr>
        <w:spacing w:line="238" w:lineRule="auto"/>
        <w:ind w:left="1134" w:right="260" w:hanging="1134"/>
        <w:jc w:val="both"/>
        <w:rPr>
          <w:rFonts w:ascii="Arial" w:eastAsia="Arial" w:hAnsi="Arial"/>
          <w:b/>
          <w:sz w:val="22"/>
          <w:szCs w:val="22"/>
          <w:lang w:val="es-CR"/>
        </w:rPr>
      </w:pPr>
    </w:p>
    <w:p w14:paraId="7DFBD37C" w14:textId="0FF80EAF" w:rsidR="005A4C96" w:rsidRDefault="005A4C96"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2C337E9C" w14:textId="77777777" w:rsidR="005A4C96" w:rsidRDefault="005A4C96" w:rsidP="00C522E2">
      <w:pPr>
        <w:spacing w:line="238" w:lineRule="auto"/>
        <w:ind w:left="1134" w:right="260" w:hanging="1134"/>
        <w:jc w:val="both"/>
        <w:rPr>
          <w:rFonts w:ascii="Arial" w:eastAsia="Arial" w:hAnsi="Arial"/>
          <w:b/>
          <w:sz w:val="22"/>
          <w:szCs w:val="22"/>
          <w:lang w:val="es-CR"/>
        </w:rPr>
      </w:pPr>
    </w:p>
    <w:p w14:paraId="4B97C4D3" w14:textId="71FADF53" w:rsidR="00B852DB" w:rsidRDefault="00B852DB" w:rsidP="00B852DB">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2.29.0.01</w:t>
      </w:r>
      <w:r>
        <w:rPr>
          <w:rFonts w:ascii="Arial" w:hAnsi="Arial"/>
          <w:sz w:val="22"/>
          <w:szCs w:val="22"/>
          <w:lang w:val="es-CR"/>
        </w:rPr>
        <w:tab/>
      </w:r>
      <w:r w:rsidRPr="00B852DB">
        <w:rPr>
          <w:rFonts w:ascii="Arial" w:hAnsi="Arial"/>
          <w:sz w:val="22"/>
          <w:szCs w:val="22"/>
          <w:lang w:val="es-CR"/>
        </w:rPr>
        <w:t>Los cobros anticipados relativos a impuestos no son fundamentalmente diferentes de otros cobros similares, por cuyo motivo se reconocerá un pasivo hasta que ocurra el hecho imponible. Ocurrido el mismo, se cancelará el pasivo y se reconocerá el ingreso.</w:t>
      </w:r>
    </w:p>
    <w:p w14:paraId="20B918F8" w14:textId="77777777" w:rsidR="00B852DB" w:rsidRDefault="00B852DB" w:rsidP="00B852DB">
      <w:pPr>
        <w:tabs>
          <w:tab w:val="left" w:pos="2740"/>
        </w:tabs>
        <w:spacing w:line="238" w:lineRule="auto"/>
        <w:ind w:left="1134" w:right="260" w:hanging="1134"/>
        <w:jc w:val="both"/>
        <w:rPr>
          <w:rFonts w:ascii="Arial" w:hAnsi="Arial"/>
          <w:sz w:val="22"/>
          <w:szCs w:val="22"/>
          <w:lang w:val="es-CR"/>
        </w:rPr>
      </w:pPr>
    </w:p>
    <w:p w14:paraId="5C1B2B2C"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49A03A1E"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622E7174"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222107DB"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26771806"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01AF2A87" w14:textId="77777777" w:rsidR="005A4C96" w:rsidRPr="00B852DB" w:rsidRDefault="005A4C96" w:rsidP="00B852DB">
      <w:pPr>
        <w:tabs>
          <w:tab w:val="left" w:pos="2740"/>
        </w:tabs>
        <w:spacing w:line="238" w:lineRule="auto"/>
        <w:ind w:left="1134" w:right="260" w:hanging="1134"/>
        <w:jc w:val="both"/>
        <w:rPr>
          <w:rFonts w:ascii="Arial" w:hAnsi="Arial"/>
          <w:sz w:val="22"/>
          <w:szCs w:val="22"/>
          <w:lang w:val="es-CR"/>
        </w:rPr>
      </w:pPr>
    </w:p>
    <w:p w14:paraId="59B57D91" w14:textId="77777777" w:rsidR="00B852DB" w:rsidRDefault="00B852DB" w:rsidP="00B852DB">
      <w:pPr>
        <w:tabs>
          <w:tab w:val="left" w:pos="2740"/>
        </w:tabs>
        <w:spacing w:line="238" w:lineRule="auto"/>
        <w:ind w:left="1134" w:right="260" w:hanging="1134"/>
        <w:jc w:val="both"/>
        <w:rPr>
          <w:rFonts w:ascii="Arial" w:hAnsi="Arial"/>
          <w:sz w:val="22"/>
          <w:szCs w:val="22"/>
          <w:lang w:val="es-CR"/>
        </w:rPr>
      </w:pPr>
    </w:p>
    <w:tbl>
      <w:tblPr>
        <w:tblW w:w="9680" w:type="dxa"/>
        <w:tblLook w:val="04A0" w:firstRow="1" w:lastRow="0" w:firstColumn="1" w:lastColumn="0" w:noHBand="0" w:noVBand="1"/>
      </w:tblPr>
      <w:tblGrid>
        <w:gridCol w:w="634"/>
        <w:gridCol w:w="435"/>
        <w:gridCol w:w="609"/>
        <w:gridCol w:w="3677"/>
        <w:gridCol w:w="2241"/>
        <w:gridCol w:w="2084"/>
      </w:tblGrid>
      <w:tr w:rsidR="00B852DB" w:rsidRPr="00B852DB" w14:paraId="425A6F42" w14:textId="77777777" w:rsidTr="00B852DB">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B87799C"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lastRenderedPageBreak/>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475133DB"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113F3ED7"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Referencia</w:t>
            </w:r>
          </w:p>
        </w:tc>
      </w:tr>
      <w:tr w:rsidR="00B852DB" w:rsidRPr="006E5442" w14:paraId="7A647962" w14:textId="77777777" w:rsidTr="00B852DB">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226B16D0" w14:textId="77777777" w:rsidR="00B852DB" w:rsidRPr="00B852DB" w:rsidRDefault="00B852DB" w:rsidP="00B852DB">
            <w:pPr>
              <w:rPr>
                <w:rFonts w:ascii="Arial Narrow" w:eastAsia="Times New Roman" w:hAnsi="Arial Narrow" w:cs="Calibri"/>
                <w:b/>
                <w:bCs/>
                <w:color w:val="FFFFFF"/>
                <w:sz w:val="24"/>
                <w:szCs w:val="24"/>
              </w:rPr>
            </w:pPr>
          </w:p>
        </w:tc>
        <w:tc>
          <w:tcPr>
            <w:tcW w:w="3740" w:type="dxa"/>
            <w:vMerge/>
            <w:tcBorders>
              <w:top w:val="single" w:sz="8" w:space="0" w:color="auto"/>
              <w:left w:val="single" w:sz="8" w:space="0" w:color="auto"/>
              <w:bottom w:val="nil"/>
              <w:right w:val="single" w:sz="8" w:space="0" w:color="auto"/>
            </w:tcBorders>
            <w:vAlign w:val="center"/>
            <w:hideMark/>
          </w:tcPr>
          <w:p w14:paraId="0156E941" w14:textId="77777777" w:rsidR="00B852DB" w:rsidRPr="00B852DB" w:rsidRDefault="00B852DB" w:rsidP="00B852DB">
            <w:pPr>
              <w:rPr>
                <w:rFonts w:ascii="Arial Narrow" w:eastAsia="Times New Roman" w:hAnsi="Arial Narrow" w:cs="Calibri"/>
                <w:b/>
                <w:bCs/>
                <w:color w:val="FFFFFF"/>
                <w:sz w:val="24"/>
                <w:szCs w:val="24"/>
              </w:rPr>
            </w:pPr>
          </w:p>
        </w:tc>
        <w:tc>
          <w:tcPr>
            <w:tcW w:w="2280" w:type="dxa"/>
            <w:tcBorders>
              <w:top w:val="nil"/>
              <w:left w:val="nil"/>
              <w:bottom w:val="nil"/>
              <w:right w:val="single" w:sz="8" w:space="0" w:color="auto"/>
            </w:tcBorders>
            <w:shd w:val="clear" w:color="000000" w:fill="203764"/>
            <w:vAlign w:val="center"/>
            <w:hideMark/>
          </w:tcPr>
          <w:p w14:paraId="7E3F2539"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Norma</w:t>
            </w:r>
          </w:p>
        </w:tc>
        <w:tc>
          <w:tcPr>
            <w:tcW w:w="2100" w:type="dxa"/>
            <w:tcBorders>
              <w:top w:val="nil"/>
              <w:left w:val="nil"/>
              <w:bottom w:val="nil"/>
              <w:right w:val="single" w:sz="8" w:space="0" w:color="auto"/>
            </w:tcBorders>
            <w:shd w:val="clear" w:color="000000" w:fill="203764"/>
            <w:vAlign w:val="center"/>
            <w:hideMark/>
          </w:tcPr>
          <w:p w14:paraId="5783E7E7" w14:textId="77777777" w:rsidR="00B852DB" w:rsidRPr="00B852DB" w:rsidRDefault="00B852DB" w:rsidP="00B852DB">
            <w:pPr>
              <w:jc w:val="center"/>
              <w:rPr>
                <w:rFonts w:ascii="Arial Narrow" w:eastAsia="Times New Roman" w:hAnsi="Arial Narrow" w:cs="Calibri"/>
                <w:b/>
                <w:bCs/>
                <w:color w:val="FFFFFF"/>
                <w:sz w:val="24"/>
                <w:szCs w:val="24"/>
                <w:lang w:val="es-CR"/>
              </w:rPr>
            </w:pPr>
            <w:r w:rsidRPr="00B852DB">
              <w:rPr>
                <w:rFonts w:ascii="Arial Narrow" w:eastAsia="Times New Roman" w:hAnsi="Arial Narrow" w:cs="Calibri"/>
                <w:b/>
                <w:bCs/>
                <w:color w:val="FFFFFF"/>
                <w:sz w:val="24"/>
                <w:szCs w:val="24"/>
                <w:lang w:val="es-CR"/>
              </w:rPr>
              <w:t>Normativa técnica y disposiciones adicionales</w:t>
            </w:r>
          </w:p>
        </w:tc>
      </w:tr>
      <w:tr w:rsidR="00B852DB" w:rsidRPr="00B852DB" w14:paraId="64C4FB77" w14:textId="77777777" w:rsidTr="00B852DB">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919717"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1B5E3C2D"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30</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093756B4" w14:textId="5351C462" w:rsidR="00B852DB" w:rsidRPr="00B852DB" w:rsidRDefault="00B852DB" w:rsidP="00B852DB">
            <w:pPr>
              <w:jc w:val="center"/>
              <w:rPr>
                <w:rFonts w:ascii="Arial Narrow" w:eastAsia="Times New Roman" w:hAnsi="Arial Narrow" w:cs="Calibri"/>
                <w:b/>
                <w:bCs/>
                <w:color w:val="000000"/>
                <w:sz w:val="24"/>
                <w:szCs w:val="24"/>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2B05EE64" w14:textId="77777777" w:rsidR="00B852DB" w:rsidRPr="00B852DB" w:rsidRDefault="00B852DB" w:rsidP="00B852DB">
            <w:pPr>
              <w:jc w:val="both"/>
              <w:rPr>
                <w:rFonts w:ascii="Arial Narrow" w:eastAsia="Times New Roman" w:hAnsi="Arial Narrow" w:cs="Calibri"/>
                <w:b/>
                <w:bCs/>
                <w:color w:val="000000"/>
                <w:sz w:val="24"/>
                <w:szCs w:val="24"/>
                <w:lang w:val="es-CR"/>
              </w:rPr>
            </w:pPr>
            <w:r w:rsidRPr="00B852DB">
              <w:rPr>
                <w:rFonts w:ascii="Arial Narrow" w:eastAsia="Times New Roman" w:hAnsi="Arial Narrow" w:cs="Calibri"/>
                <w:b/>
                <w:bCs/>
                <w:color w:val="000000"/>
                <w:sz w:val="24"/>
                <w:szCs w:val="24"/>
                <w:lang w:val="es-CR"/>
              </w:rPr>
              <w:t>Cobros de transferencias por anticipado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07E21EAF" w14:textId="77777777" w:rsidR="005A4C96" w:rsidRDefault="00B852DB" w:rsidP="00B852DB">
            <w:pPr>
              <w:jc w:val="both"/>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NICSP N° 23,</w:t>
            </w:r>
          </w:p>
          <w:p w14:paraId="1D97323F" w14:textId="66CAA9D4" w:rsidR="00B852DB" w:rsidRPr="00B852DB" w:rsidRDefault="00B852DB" w:rsidP="00B852DB">
            <w:pPr>
              <w:jc w:val="both"/>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Párrafo 105.</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4C6F4C0A"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 xml:space="preserve"> </w:t>
            </w:r>
          </w:p>
        </w:tc>
      </w:tr>
    </w:tbl>
    <w:p w14:paraId="4AFC90C6" w14:textId="77777777" w:rsidR="00B852DB" w:rsidRDefault="00B852DB" w:rsidP="00B852DB">
      <w:pPr>
        <w:tabs>
          <w:tab w:val="left" w:pos="2740"/>
        </w:tabs>
        <w:spacing w:line="238" w:lineRule="auto"/>
        <w:ind w:left="1134" w:right="260" w:hanging="1134"/>
        <w:jc w:val="both"/>
        <w:rPr>
          <w:rFonts w:ascii="Arial" w:hAnsi="Arial"/>
          <w:sz w:val="22"/>
          <w:szCs w:val="22"/>
          <w:lang w:val="es-CR"/>
        </w:rPr>
      </w:pPr>
    </w:p>
    <w:p w14:paraId="40FF57AE" w14:textId="0BD329C3" w:rsidR="005A4C96" w:rsidRDefault="005A4C96" w:rsidP="00B852DB">
      <w:pPr>
        <w:tabs>
          <w:tab w:val="left" w:pos="2740"/>
        </w:tabs>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1B24291C"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119E453B" w14:textId="2980BD3B" w:rsidR="00B852DB" w:rsidRDefault="00B852DB" w:rsidP="00B852DB">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2.30.0.01</w:t>
      </w:r>
      <w:r>
        <w:rPr>
          <w:rFonts w:ascii="Arial" w:hAnsi="Arial"/>
          <w:sz w:val="22"/>
          <w:szCs w:val="22"/>
          <w:lang w:val="es-CR"/>
        </w:rPr>
        <w:tab/>
      </w:r>
      <w:r w:rsidRPr="00B852DB">
        <w:rPr>
          <w:rFonts w:ascii="Arial" w:hAnsi="Arial"/>
          <w:sz w:val="22"/>
          <w:szCs w:val="22"/>
          <w:lang w:val="es-CR"/>
        </w:rPr>
        <w:t>Los cobros anticipados de transferencias no son fundamentalmente diferentes de otros cobros anticipados, por cuyo motivo se reconocerá un pasivo hasta que el hecho que origina el acuerdo de transferencia en firme tenga lugar y se cumplan todas las demás condiciones del acuerdo.</w:t>
      </w:r>
    </w:p>
    <w:p w14:paraId="792EDA06" w14:textId="77777777" w:rsidR="00AE35D3" w:rsidRDefault="00AE35D3" w:rsidP="00B852DB">
      <w:pPr>
        <w:tabs>
          <w:tab w:val="left" w:pos="2740"/>
        </w:tabs>
        <w:spacing w:line="238" w:lineRule="auto"/>
        <w:ind w:left="1134" w:right="260" w:hanging="1134"/>
        <w:jc w:val="both"/>
        <w:rPr>
          <w:rFonts w:ascii="Arial" w:hAnsi="Arial"/>
          <w:sz w:val="22"/>
          <w:szCs w:val="22"/>
          <w:lang w:val="es-CR"/>
        </w:rPr>
      </w:pPr>
    </w:p>
    <w:p w14:paraId="4ED65E41" w14:textId="77777777" w:rsidR="00B852DB" w:rsidRDefault="00B852DB" w:rsidP="00AE35D3">
      <w:pPr>
        <w:tabs>
          <w:tab w:val="left" w:pos="2740"/>
        </w:tabs>
        <w:spacing w:line="238" w:lineRule="auto"/>
        <w:ind w:right="260"/>
        <w:jc w:val="both"/>
        <w:rPr>
          <w:rFonts w:ascii="Arial" w:hAnsi="Arial"/>
          <w:sz w:val="22"/>
          <w:szCs w:val="22"/>
          <w:lang w:val="es-CR"/>
        </w:rPr>
      </w:pPr>
    </w:p>
    <w:tbl>
      <w:tblPr>
        <w:tblW w:w="9680" w:type="dxa"/>
        <w:tblLook w:val="04A0" w:firstRow="1" w:lastRow="0" w:firstColumn="1" w:lastColumn="0" w:noHBand="0" w:noVBand="1"/>
      </w:tblPr>
      <w:tblGrid>
        <w:gridCol w:w="634"/>
        <w:gridCol w:w="435"/>
        <w:gridCol w:w="611"/>
        <w:gridCol w:w="3677"/>
        <w:gridCol w:w="2240"/>
        <w:gridCol w:w="2083"/>
      </w:tblGrid>
      <w:tr w:rsidR="00B852DB" w:rsidRPr="00B852DB" w14:paraId="54544DC8" w14:textId="77777777" w:rsidTr="005A4C96">
        <w:trPr>
          <w:trHeight w:val="320"/>
        </w:trPr>
        <w:tc>
          <w:tcPr>
            <w:tcW w:w="16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63C3722"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Norma / Política</w:t>
            </w:r>
          </w:p>
        </w:tc>
        <w:tc>
          <w:tcPr>
            <w:tcW w:w="3677" w:type="dxa"/>
            <w:vMerge w:val="restart"/>
            <w:tcBorders>
              <w:top w:val="single" w:sz="8" w:space="0" w:color="auto"/>
              <w:left w:val="single" w:sz="8" w:space="0" w:color="auto"/>
              <w:bottom w:val="nil"/>
              <w:right w:val="single" w:sz="8" w:space="0" w:color="auto"/>
            </w:tcBorders>
            <w:shd w:val="clear" w:color="000000" w:fill="203764"/>
            <w:vAlign w:val="center"/>
            <w:hideMark/>
          </w:tcPr>
          <w:p w14:paraId="5F1BECE4"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Concepto</w:t>
            </w:r>
          </w:p>
        </w:tc>
        <w:tc>
          <w:tcPr>
            <w:tcW w:w="4323" w:type="dxa"/>
            <w:gridSpan w:val="2"/>
            <w:tcBorders>
              <w:top w:val="single" w:sz="8" w:space="0" w:color="auto"/>
              <w:left w:val="nil"/>
              <w:bottom w:val="single" w:sz="8" w:space="0" w:color="auto"/>
              <w:right w:val="single" w:sz="8" w:space="0" w:color="000000"/>
            </w:tcBorders>
            <w:shd w:val="clear" w:color="000000" w:fill="203764"/>
            <w:vAlign w:val="center"/>
            <w:hideMark/>
          </w:tcPr>
          <w:p w14:paraId="4D5BC2FD"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Referencia</w:t>
            </w:r>
          </w:p>
        </w:tc>
      </w:tr>
      <w:tr w:rsidR="00B852DB" w:rsidRPr="006E5442" w14:paraId="0AAE0DD0" w14:textId="77777777" w:rsidTr="005A4C96">
        <w:trPr>
          <w:trHeight w:val="1320"/>
        </w:trPr>
        <w:tc>
          <w:tcPr>
            <w:tcW w:w="1680" w:type="dxa"/>
            <w:gridSpan w:val="3"/>
            <w:vMerge/>
            <w:tcBorders>
              <w:top w:val="single" w:sz="8" w:space="0" w:color="auto"/>
              <w:left w:val="single" w:sz="8" w:space="0" w:color="auto"/>
              <w:bottom w:val="nil"/>
              <w:right w:val="single" w:sz="8" w:space="0" w:color="000000"/>
            </w:tcBorders>
            <w:vAlign w:val="center"/>
            <w:hideMark/>
          </w:tcPr>
          <w:p w14:paraId="4138E4BF" w14:textId="77777777" w:rsidR="00B852DB" w:rsidRPr="00B852DB" w:rsidRDefault="00B852DB" w:rsidP="00B852DB">
            <w:pPr>
              <w:rPr>
                <w:rFonts w:ascii="Arial Narrow" w:eastAsia="Times New Roman" w:hAnsi="Arial Narrow" w:cs="Calibri"/>
                <w:b/>
                <w:bCs/>
                <w:color w:val="FFFFFF"/>
                <w:sz w:val="24"/>
                <w:szCs w:val="24"/>
              </w:rPr>
            </w:pPr>
          </w:p>
        </w:tc>
        <w:tc>
          <w:tcPr>
            <w:tcW w:w="3677" w:type="dxa"/>
            <w:vMerge/>
            <w:tcBorders>
              <w:top w:val="single" w:sz="8" w:space="0" w:color="auto"/>
              <w:left w:val="single" w:sz="8" w:space="0" w:color="auto"/>
              <w:bottom w:val="nil"/>
              <w:right w:val="single" w:sz="8" w:space="0" w:color="auto"/>
            </w:tcBorders>
            <w:vAlign w:val="center"/>
            <w:hideMark/>
          </w:tcPr>
          <w:p w14:paraId="3EAC4D3A" w14:textId="77777777" w:rsidR="00B852DB" w:rsidRPr="00B852DB" w:rsidRDefault="00B852DB" w:rsidP="00B852DB">
            <w:pPr>
              <w:rPr>
                <w:rFonts w:ascii="Arial Narrow" w:eastAsia="Times New Roman" w:hAnsi="Arial Narrow" w:cs="Calibri"/>
                <w:b/>
                <w:bCs/>
                <w:color w:val="FFFFFF"/>
                <w:sz w:val="24"/>
                <w:szCs w:val="24"/>
              </w:rPr>
            </w:pPr>
          </w:p>
        </w:tc>
        <w:tc>
          <w:tcPr>
            <w:tcW w:w="2240" w:type="dxa"/>
            <w:tcBorders>
              <w:top w:val="nil"/>
              <w:left w:val="nil"/>
              <w:bottom w:val="nil"/>
              <w:right w:val="single" w:sz="8" w:space="0" w:color="auto"/>
            </w:tcBorders>
            <w:shd w:val="clear" w:color="000000" w:fill="203764"/>
            <w:vAlign w:val="center"/>
            <w:hideMark/>
          </w:tcPr>
          <w:p w14:paraId="731B7BBD" w14:textId="77777777" w:rsidR="00B852DB" w:rsidRPr="00B852DB" w:rsidRDefault="00B852DB" w:rsidP="00B852DB">
            <w:pPr>
              <w:jc w:val="center"/>
              <w:rPr>
                <w:rFonts w:ascii="Arial Narrow" w:eastAsia="Times New Roman" w:hAnsi="Arial Narrow" w:cs="Calibri"/>
                <w:b/>
                <w:bCs/>
                <w:color w:val="FFFFFF"/>
                <w:sz w:val="24"/>
                <w:szCs w:val="24"/>
              </w:rPr>
            </w:pPr>
            <w:r w:rsidRPr="00B852DB">
              <w:rPr>
                <w:rFonts w:ascii="Arial Narrow" w:eastAsia="Times New Roman" w:hAnsi="Arial Narrow" w:cs="Calibri"/>
                <w:b/>
                <w:bCs/>
                <w:color w:val="FFFFFF"/>
                <w:sz w:val="24"/>
                <w:szCs w:val="24"/>
              </w:rPr>
              <w:t>Norma</w:t>
            </w:r>
          </w:p>
        </w:tc>
        <w:tc>
          <w:tcPr>
            <w:tcW w:w="2083" w:type="dxa"/>
            <w:tcBorders>
              <w:top w:val="nil"/>
              <w:left w:val="nil"/>
              <w:bottom w:val="nil"/>
              <w:right w:val="single" w:sz="8" w:space="0" w:color="auto"/>
            </w:tcBorders>
            <w:shd w:val="clear" w:color="000000" w:fill="203764"/>
            <w:vAlign w:val="center"/>
            <w:hideMark/>
          </w:tcPr>
          <w:p w14:paraId="0067016B" w14:textId="77777777" w:rsidR="00B852DB" w:rsidRPr="00B852DB" w:rsidRDefault="00B852DB" w:rsidP="00B852DB">
            <w:pPr>
              <w:jc w:val="center"/>
              <w:rPr>
                <w:rFonts w:ascii="Arial Narrow" w:eastAsia="Times New Roman" w:hAnsi="Arial Narrow" w:cs="Calibri"/>
                <w:b/>
                <w:bCs/>
                <w:color w:val="FFFFFF"/>
                <w:sz w:val="24"/>
                <w:szCs w:val="24"/>
                <w:lang w:val="es-CR"/>
              </w:rPr>
            </w:pPr>
            <w:r w:rsidRPr="00B852DB">
              <w:rPr>
                <w:rFonts w:ascii="Arial Narrow" w:eastAsia="Times New Roman" w:hAnsi="Arial Narrow" w:cs="Calibri"/>
                <w:b/>
                <w:bCs/>
                <w:color w:val="FFFFFF"/>
                <w:sz w:val="24"/>
                <w:szCs w:val="24"/>
                <w:lang w:val="es-CR"/>
              </w:rPr>
              <w:t>Normativa técnica y disposiciones adicionales</w:t>
            </w:r>
          </w:p>
        </w:tc>
      </w:tr>
      <w:tr w:rsidR="00B852DB" w:rsidRPr="00B852DB" w14:paraId="3B45C776" w14:textId="77777777" w:rsidTr="005A4C96">
        <w:trPr>
          <w:trHeight w:val="570"/>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5490EC"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2</w:t>
            </w:r>
          </w:p>
        </w:tc>
        <w:tc>
          <w:tcPr>
            <w:tcW w:w="435" w:type="dxa"/>
            <w:tcBorders>
              <w:top w:val="single" w:sz="8" w:space="0" w:color="auto"/>
              <w:left w:val="nil"/>
              <w:bottom w:val="single" w:sz="8" w:space="0" w:color="auto"/>
              <w:right w:val="single" w:sz="8" w:space="0" w:color="auto"/>
            </w:tcBorders>
            <w:shd w:val="clear" w:color="auto" w:fill="auto"/>
            <w:noWrap/>
            <w:vAlign w:val="center"/>
            <w:hideMark/>
          </w:tcPr>
          <w:p w14:paraId="114883F8"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31</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25FB8E46" w14:textId="7E2C9407" w:rsidR="00B852DB" w:rsidRPr="00B852DB" w:rsidRDefault="00B852DB" w:rsidP="00B852DB">
            <w:pPr>
              <w:jc w:val="center"/>
              <w:rPr>
                <w:rFonts w:ascii="Arial Narrow" w:eastAsia="Times New Roman" w:hAnsi="Arial Narrow" w:cs="Calibri"/>
                <w:b/>
                <w:bCs/>
                <w:color w:val="000000"/>
                <w:sz w:val="24"/>
                <w:szCs w:val="24"/>
              </w:rPr>
            </w:pPr>
          </w:p>
        </w:tc>
        <w:tc>
          <w:tcPr>
            <w:tcW w:w="3677" w:type="dxa"/>
            <w:tcBorders>
              <w:top w:val="single" w:sz="8" w:space="0" w:color="auto"/>
              <w:left w:val="nil"/>
              <w:bottom w:val="single" w:sz="8" w:space="0" w:color="auto"/>
              <w:right w:val="single" w:sz="8" w:space="0" w:color="auto"/>
            </w:tcBorders>
            <w:shd w:val="clear" w:color="auto" w:fill="auto"/>
            <w:vAlign w:val="center"/>
            <w:hideMark/>
          </w:tcPr>
          <w:p w14:paraId="3E8DCA5A" w14:textId="77777777" w:rsidR="00B852DB" w:rsidRPr="00B852DB" w:rsidRDefault="00B852DB" w:rsidP="00B852DB">
            <w:pPr>
              <w:jc w:val="both"/>
              <w:rPr>
                <w:rFonts w:ascii="Arial Narrow" w:eastAsia="Times New Roman" w:hAnsi="Arial Narrow" w:cs="Calibri"/>
                <w:b/>
                <w:bCs/>
                <w:color w:val="000000"/>
                <w:sz w:val="22"/>
                <w:szCs w:val="22"/>
                <w:lang w:val="es-CR"/>
              </w:rPr>
            </w:pPr>
            <w:r w:rsidRPr="00B852DB">
              <w:rPr>
                <w:rFonts w:ascii="Arial Narrow" w:eastAsia="Times New Roman" w:hAnsi="Arial Narrow" w:cs="Calibri"/>
                <w:b/>
                <w:bCs/>
                <w:color w:val="000000"/>
                <w:sz w:val="22"/>
                <w:szCs w:val="22"/>
                <w:lang w:val="es-CR"/>
              </w:rPr>
              <w:t>Obligaciones por impuestos y transferencias recibidos</w:t>
            </w:r>
          </w:p>
        </w:tc>
        <w:tc>
          <w:tcPr>
            <w:tcW w:w="2240" w:type="dxa"/>
            <w:tcBorders>
              <w:top w:val="nil"/>
              <w:left w:val="nil"/>
              <w:bottom w:val="nil"/>
              <w:right w:val="nil"/>
            </w:tcBorders>
            <w:shd w:val="clear" w:color="auto" w:fill="auto"/>
            <w:vAlign w:val="center"/>
            <w:hideMark/>
          </w:tcPr>
          <w:p w14:paraId="6098BE01" w14:textId="77777777" w:rsidR="00B852DB" w:rsidRPr="00B852DB" w:rsidRDefault="00B852DB" w:rsidP="00AE35D3">
            <w:pPr>
              <w:rPr>
                <w:rFonts w:ascii="Arial Narrow" w:eastAsia="Times New Roman" w:hAnsi="Arial Narrow" w:cs="Calibri"/>
                <w:b/>
                <w:bCs/>
                <w:color w:val="000000"/>
                <w:sz w:val="22"/>
                <w:szCs w:val="22"/>
              </w:rPr>
            </w:pPr>
            <w:r w:rsidRPr="00B852DB">
              <w:rPr>
                <w:rFonts w:ascii="Arial Narrow" w:eastAsia="Times New Roman" w:hAnsi="Arial Narrow" w:cs="Calibri"/>
                <w:b/>
                <w:bCs/>
                <w:color w:val="000000"/>
                <w:sz w:val="22"/>
                <w:szCs w:val="22"/>
              </w:rPr>
              <w:t>NICSP N° 23,</w:t>
            </w:r>
            <w:r w:rsidRPr="00B852DB">
              <w:rPr>
                <w:rFonts w:ascii="Arial Narrow" w:eastAsia="Times New Roman" w:hAnsi="Arial Narrow" w:cs="Calibri"/>
                <w:b/>
                <w:bCs/>
                <w:color w:val="000000"/>
                <w:sz w:val="22"/>
                <w:szCs w:val="22"/>
              </w:rPr>
              <w:br/>
              <w:t>Párrafos 51 y 52.</w:t>
            </w:r>
          </w:p>
        </w:tc>
        <w:tc>
          <w:tcPr>
            <w:tcW w:w="2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BE0800" w14:textId="77777777" w:rsidR="00B852DB" w:rsidRPr="00B852DB" w:rsidRDefault="00B852DB" w:rsidP="00B852DB">
            <w:pPr>
              <w:jc w:val="center"/>
              <w:rPr>
                <w:rFonts w:ascii="Arial Narrow" w:eastAsia="Times New Roman" w:hAnsi="Arial Narrow" w:cs="Calibri"/>
                <w:b/>
                <w:bCs/>
                <w:color w:val="000000"/>
                <w:sz w:val="22"/>
                <w:szCs w:val="22"/>
              </w:rPr>
            </w:pPr>
            <w:r w:rsidRPr="00B852DB">
              <w:rPr>
                <w:rFonts w:ascii="Arial Narrow" w:eastAsia="Times New Roman" w:hAnsi="Arial Narrow" w:cs="Calibri"/>
                <w:b/>
                <w:bCs/>
                <w:color w:val="000000"/>
                <w:sz w:val="22"/>
                <w:szCs w:val="22"/>
              </w:rPr>
              <w:t> </w:t>
            </w:r>
          </w:p>
        </w:tc>
      </w:tr>
      <w:tr w:rsidR="00B852DB" w:rsidRPr="00B852DB" w14:paraId="7DA75F8B" w14:textId="77777777" w:rsidTr="005A4C96">
        <w:trPr>
          <w:trHeight w:val="570"/>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7F01BD13"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2</w:t>
            </w:r>
          </w:p>
        </w:tc>
        <w:tc>
          <w:tcPr>
            <w:tcW w:w="435" w:type="dxa"/>
            <w:tcBorders>
              <w:top w:val="nil"/>
              <w:left w:val="nil"/>
              <w:bottom w:val="single" w:sz="8" w:space="0" w:color="auto"/>
              <w:right w:val="single" w:sz="8" w:space="0" w:color="auto"/>
            </w:tcBorders>
            <w:shd w:val="clear" w:color="auto" w:fill="auto"/>
            <w:noWrap/>
            <w:vAlign w:val="center"/>
            <w:hideMark/>
          </w:tcPr>
          <w:p w14:paraId="00BF7F7D"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31</w:t>
            </w:r>
          </w:p>
        </w:tc>
        <w:tc>
          <w:tcPr>
            <w:tcW w:w="611" w:type="dxa"/>
            <w:tcBorders>
              <w:top w:val="nil"/>
              <w:left w:val="nil"/>
              <w:bottom w:val="single" w:sz="8" w:space="0" w:color="auto"/>
              <w:right w:val="single" w:sz="8" w:space="0" w:color="auto"/>
            </w:tcBorders>
            <w:shd w:val="clear" w:color="auto" w:fill="auto"/>
            <w:vAlign w:val="center"/>
            <w:hideMark/>
          </w:tcPr>
          <w:p w14:paraId="4D8A7C02"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1</w:t>
            </w:r>
          </w:p>
        </w:tc>
        <w:tc>
          <w:tcPr>
            <w:tcW w:w="3677" w:type="dxa"/>
            <w:tcBorders>
              <w:top w:val="nil"/>
              <w:left w:val="nil"/>
              <w:bottom w:val="single" w:sz="8" w:space="0" w:color="auto"/>
              <w:right w:val="single" w:sz="8" w:space="0" w:color="auto"/>
            </w:tcBorders>
            <w:shd w:val="clear" w:color="auto" w:fill="auto"/>
            <w:vAlign w:val="center"/>
            <w:hideMark/>
          </w:tcPr>
          <w:p w14:paraId="54C428E6" w14:textId="77777777" w:rsidR="00B852DB" w:rsidRPr="00B852DB" w:rsidRDefault="00B852DB" w:rsidP="00B852DB">
            <w:pPr>
              <w:jc w:val="both"/>
              <w:rPr>
                <w:rFonts w:ascii="Arial Narrow" w:eastAsia="Times New Roman" w:hAnsi="Arial Narrow" w:cs="Calibri"/>
                <w:b/>
                <w:bCs/>
                <w:color w:val="000000"/>
                <w:sz w:val="22"/>
                <w:szCs w:val="22"/>
                <w:lang w:val="es-CR"/>
              </w:rPr>
            </w:pPr>
            <w:r w:rsidRPr="00B852DB">
              <w:rPr>
                <w:rFonts w:ascii="Arial Narrow" w:eastAsia="Times New Roman" w:hAnsi="Arial Narrow" w:cs="Calibri"/>
                <w:b/>
                <w:bCs/>
                <w:color w:val="000000"/>
                <w:sz w:val="22"/>
                <w:szCs w:val="22"/>
                <w:lang w:val="es-CR"/>
              </w:rPr>
              <w:t>Condiciones en un activo transferido</w:t>
            </w:r>
          </w:p>
        </w:tc>
        <w:tc>
          <w:tcPr>
            <w:tcW w:w="2240" w:type="dxa"/>
            <w:tcBorders>
              <w:top w:val="single" w:sz="8" w:space="0" w:color="auto"/>
              <w:left w:val="nil"/>
              <w:bottom w:val="single" w:sz="8" w:space="0" w:color="auto"/>
              <w:right w:val="single" w:sz="8" w:space="0" w:color="auto"/>
            </w:tcBorders>
            <w:shd w:val="clear" w:color="auto" w:fill="auto"/>
            <w:vAlign w:val="center"/>
            <w:hideMark/>
          </w:tcPr>
          <w:p w14:paraId="0461F280" w14:textId="77777777" w:rsidR="00B852DB" w:rsidRPr="00B852DB" w:rsidRDefault="00B852DB" w:rsidP="00B852DB">
            <w:pPr>
              <w:jc w:val="both"/>
              <w:rPr>
                <w:rFonts w:ascii="Arial Narrow" w:eastAsia="Times New Roman" w:hAnsi="Arial Narrow" w:cs="Calibri"/>
                <w:b/>
                <w:bCs/>
                <w:color w:val="000000"/>
                <w:sz w:val="22"/>
                <w:szCs w:val="22"/>
              </w:rPr>
            </w:pPr>
            <w:r w:rsidRPr="00B852DB">
              <w:rPr>
                <w:rFonts w:ascii="Arial Narrow" w:eastAsia="Times New Roman" w:hAnsi="Arial Narrow" w:cs="Calibri"/>
                <w:b/>
                <w:bCs/>
                <w:color w:val="000000"/>
                <w:sz w:val="22"/>
                <w:szCs w:val="22"/>
              </w:rPr>
              <w:t>NICSP N° 23,</w:t>
            </w:r>
            <w:r w:rsidRPr="00B852DB">
              <w:rPr>
                <w:rFonts w:ascii="Arial Narrow" w:eastAsia="Times New Roman" w:hAnsi="Arial Narrow" w:cs="Calibri"/>
                <w:b/>
                <w:bCs/>
                <w:color w:val="000000"/>
                <w:sz w:val="22"/>
                <w:szCs w:val="22"/>
              </w:rPr>
              <w:br/>
              <w:t>Párrafos 55.</w:t>
            </w:r>
          </w:p>
        </w:tc>
        <w:tc>
          <w:tcPr>
            <w:tcW w:w="2083" w:type="dxa"/>
            <w:tcBorders>
              <w:top w:val="nil"/>
              <w:left w:val="nil"/>
              <w:bottom w:val="single" w:sz="8" w:space="0" w:color="auto"/>
              <w:right w:val="single" w:sz="8" w:space="0" w:color="auto"/>
            </w:tcBorders>
            <w:shd w:val="clear" w:color="auto" w:fill="auto"/>
            <w:vAlign w:val="center"/>
            <w:hideMark/>
          </w:tcPr>
          <w:p w14:paraId="3CA0BE0A" w14:textId="77777777" w:rsidR="00B852DB" w:rsidRPr="00B852DB" w:rsidRDefault="00B852DB" w:rsidP="00B852DB">
            <w:pPr>
              <w:jc w:val="center"/>
              <w:rPr>
                <w:rFonts w:ascii="Arial Narrow" w:eastAsia="Times New Roman" w:hAnsi="Arial Narrow" w:cs="Calibri"/>
                <w:b/>
                <w:bCs/>
                <w:color w:val="000000"/>
                <w:sz w:val="22"/>
                <w:szCs w:val="22"/>
              </w:rPr>
            </w:pPr>
            <w:r w:rsidRPr="00B852DB">
              <w:rPr>
                <w:rFonts w:ascii="Arial Narrow" w:eastAsia="Times New Roman" w:hAnsi="Arial Narrow" w:cs="Calibri"/>
                <w:b/>
                <w:bCs/>
                <w:color w:val="000000"/>
                <w:sz w:val="22"/>
                <w:szCs w:val="22"/>
              </w:rPr>
              <w:t xml:space="preserve"> </w:t>
            </w:r>
          </w:p>
        </w:tc>
      </w:tr>
      <w:tr w:rsidR="00B852DB" w:rsidRPr="00B852DB" w14:paraId="6E5DB30D" w14:textId="77777777" w:rsidTr="005A4C96">
        <w:trPr>
          <w:trHeight w:val="570"/>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19095681"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2</w:t>
            </w:r>
          </w:p>
        </w:tc>
        <w:tc>
          <w:tcPr>
            <w:tcW w:w="435" w:type="dxa"/>
            <w:tcBorders>
              <w:top w:val="nil"/>
              <w:left w:val="nil"/>
              <w:bottom w:val="single" w:sz="8" w:space="0" w:color="auto"/>
              <w:right w:val="single" w:sz="8" w:space="0" w:color="auto"/>
            </w:tcBorders>
            <w:shd w:val="clear" w:color="auto" w:fill="auto"/>
            <w:noWrap/>
            <w:vAlign w:val="center"/>
            <w:hideMark/>
          </w:tcPr>
          <w:p w14:paraId="164841D9"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31</w:t>
            </w:r>
          </w:p>
        </w:tc>
        <w:tc>
          <w:tcPr>
            <w:tcW w:w="611" w:type="dxa"/>
            <w:tcBorders>
              <w:top w:val="nil"/>
              <w:left w:val="nil"/>
              <w:bottom w:val="single" w:sz="8" w:space="0" w:color="auto"/>
              <w:right w:val="single" w:sz="8" w:space="0" w:color="auto"/>
            </w:tcBorders>
            <w:shd w:val="clear" w:color="auto" w:fill="auto"/>
            <w:vAlign w:val="center"/>
            <w:hideMark/>
          </w:tcPr>
          <w:p w14:paraId="6D12D109" w14:textId="77777777" w:rsidR="00B852DB" w:rsidRPr="00B852DB" w:rsidRDefault="00B852DB" w:rsidP="00B852DB">
            <w:pPr>
              <w:jc w:val="center"/>
              <w:rPr>
                <w:rFonts w:ascii="Arial Narrow" w:eastAsia="Times New Roman" w:hAnsi="Arial Narrow" w:cs="Calibri"/>
                <w:b/>
                <w:bCs/>
                <w:color w:val="000000"/>
                <w:sz w:val="24"/>
                <w:szCs w:val="24"/>
              </w:rPr>
            </w:pPr>
            <w:r w:rsidRPr="00B852DB">
              <w:rPr>
                <w:rFonts w:ascii="Arial Narrow" w:eastAsia="Times New Roman" w:hAnsi="Arial Narrow" w:cs="Calibri"/>
                <w:b/>
                <w:bCs/>
                <w:color w:val="000000"/>
                <w:sz w:val="24"/>
                <w:szCs w:val="24"/>
              </w:rPr>
              <w:t>3</w:t>
            </w:r>
          </w:p>
        </w:tc>
        <w:tc>
          <w:tcPr>
            <w:tcW w:w="3677" w:type="dxa"/>
            <w:tcBorders>
              <w:top w:val="nil"/>
              <w:left w:val="nil"/>
              <w:bottom w:val="single" w:sz="8" w:space="0" w:color="auto"/>
              <w:right w:val="single" w:sz="8" w:space="0" w:color="auto"/>
            </w:tcBorders>
            <w:shd w:val="clear" w:color="auto" w:fill="auto"/>
            <w:vAlign w:val="center"/>
            <w:hideMark/>
          </w:tcPr>
          <w:p w14:paraId="05EA30BF" w14:textId="77777777" w:rsidR="00B852DB" w:rsidRPr="00B852DB" w:rsidRDefault="00B852DB" w:rsidP="00B852DB">
            <w:pPr>
              <w:jc w:val="both"/>
              <w:rPr>
                <w:rFonts w:ascii="Arial Narrow" w:eastAsia="Times New Roman" w:hAnsi="Arial Narrow" w:cs="Calibri"/>
                <w:b/>
                <w:bCs/>
                <w:color w:val="000000"/>
                <w:sz w:val="22"/>
                <w:szCs w:val="22"/>
                <w:lang w:val="es-CR"/>
              </w:rPr>
            </w:pPr>
            <w:r w:rsidRPr="00B852DB">
              <w:rPr>
                <w:rFonts w:ascii="Arial Narrow" w:eastAsia="Times New Roman" w:hAnsi="Arial Narrow" w:cs="Calibri"/>
                <w:b/>
                <w:bCs/>
                <w:color w:val="000000"/>
                <w:sz w:val="22"/>
                <w:szCs w:val="22"/>
                <w:lang w:val="es-CR"/>
              </w:rPr>
              <w:t>Medición de pasivos por transacciones sin contraprestación</w:t>
            </w:r>
          </w:p>
        </w:tc>
        <w:tc>
          <w:tcPr>
            <w:tcW w:w="2240" w:type="dxa"/>
            <w:tcBorders>
              <w:top w:val="nil"/>
              <w:left w:val="nil"/>
              <w:bottom w:val="single" w:sz="8" w:space="0" w:color="auto"/>
              <w:right w:val="single" w:sz="8" w:space="0" w:color="auto"/>
            </w:tcBorders>
            <w:shd w:val="clear" w:color="auto" w:fill="auto"/>
            <w:vAlign w:val="center"/>
            <w:hideMark/>
          </w:tcPr>
          <w:p w14:paraId="045CC736" w14:textId="77777777" w:rsidR="00B852DB" w:rsidRPr="00B852DB" w:rsidRDefault="00B852DB" w:rsidP="00B852DB">
            <w:pPr>
              <w:jc w:val="both"/>
              <w:rPr>
                <w:rFonts w:ascii="Arial Narrow" w:eastAsia="Times New Roman" w:hAnsi="Arial Narrow" w:cs="Calibri"/>
                <w:b/>
                <w:bCs/>
                <w:color w:val="000000"/>
                <w:sz w:val="22"/>
                <w:szCs w:val="22"/>
              </w:rPr>
            </w:pPr>
            <w:r w:rsidRPr="00B852DB">
              <w:rPr>
                <w:rFonts w:ascii="Arial Narrow" w:eastAsia="Times New Roman" w:hAnsi="Arial Narrow" w:cs="Calibri"/>
                <w:b/>
                <w:bCs/>
                <w:color w:val="000000"/>
                <w:sz w:val="22"/>
                <w:szCs w:val="22"/>
              </w:rPr>
              <w:t>NICSP N° 23,</w:t>
            </w:r>
            <w:r w:rsidRPr="00B852DB">
              <w:rPr>
                <w:rFonts w:ascii="Arial Narrow" w:eastAsia="Times New Roman" w:hAnsi="Arial Narrow" w:cs="Calibri"/>
                <w:b/>
                <w:bCs/>
                <w:color w:val="000000"/>
                <w:sz w:val="22"/>
                <w:szCs w:val="22"/>
              </w:rPr>
              <w:br/>
              <w:t>Párrafos 57.</w:t>
            </w:r>
          </w:p>
        </w:tc>
        <w:tc>
          <w:tcPr>
            <w:tcW w:w="2083" w:type="dxa"/>
            <w:tcBorders>
              <w:top w:val="nil"/>
              <w:left w:val="nil"/>
              <w:bottom w:val="single" w:sz="8" w:space="0" w:color="auto"/>
              <w:right w:val="single" w:sz="8" w:space="0" w:color="auto"/>
            </w:tcBorders>
            <w:shd w:val="clear" w:color="auto" w:fill="auto"/>
            <w:vAlign w:val="center"/>
            <w:hideMark/>
          </w:tcPr>
          <w:p w14:paraId="76532274" w14:textId="77777777" w:rsidR="00B852DB" w:rsidRPr="00B852DB" w:rsidRDefault="00B852DB" w:rsidP="00B852DB">
            <w:pPr>
              <w:jc w:val="center"/>
              <w:rPr>
                <w:rFonts w:ascii="Arial Narrow" w:eastAsia="Times New Roman" w:hAnsi="Arial Narrow" w:cs="Calibri"/>
                <w:b/>
                <w:bCs/>
                <w:color w:val="000000"/>
                <w:sz w:val="22"/>
                <w:szCs w:val="22"/>
              </w:rPr>
            </w:pPr>
            <w:r w:rsidRPr="00B852DB">
              <w:rPr>
                <w:rFonts w:ascii="Arial Narrow" w:eastAsia="Times New Roman" w:hAnsi="Arial Narrow" w:cs="Calibri"/>
                <w:b/>
                <w:bCs/>
                <w:color w:val="000000"/>
                <w:sz w:val="22"/>
                <w:szCs w:val="22"/>
              </w:rPr>
              <w:t xml:space="preserve"> </w:t>
            </w:r>
          </w:p>
        </w:tc>
      </w:tr>
    </w:tbl>
    <w:p w14:paraId="1941D381" w14:textId="77777777" w:rsidR="00B852DB" w:rsidRDefault="00B852DB" w:rsidP="00B852DB">
      <w:pPr>
        <w:tabs>
          <w:tab w:val="left" w:pos="2740"/>
        </w:tabs>
        <w:spacing w:line="238" w:lineRule="auto"/>
        <w:ind w:left="1134" w:right="260" w:hanging="1134"/>
        <w:jc w:val="both"/>
        <w:rPr>
          <w:rFonts w:ascii="Arial" w:hAnsi="Arial"/>
          <w:sz w:val="22"/>
          <w:szCs w:val="22"/>
          <w:lang w:val="es-CR"/>
        </w:rPr>
      </w:pPr>
    </w:p>
    <w:p w14:paraId="7A4EA0DC" w14:textId="357E005F" w:rsidR="005A4C96" w:rsidRDefault="005A4C96" w:rsidP="00B852DB">
      <w:pPr>
        <w:tabs>
          <w:tab w:val="left" w:pos="2740"/>
        </w:tabs>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0BB079CE"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054A4FC2" w14:textId="5394F4B2" w:rsidR="00AE35D3" w:rsidRPr="00AE35D3" w:rsidRDefault="008315E6" w:rsidP="00AE35D3">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2.31.0.01</w:t>
      </w:r>
      <w:r>
        <w:rPr>
          <w:rFonts w:ascii="Arial" w:hAnsi="Arial"/>
          <w:sz w:val="22"/>
          <w:szCs w:val="22"/>
          <w:lang w:val="es-CR"/>
        </w:rPr>
        <w:tab/>
      </w:r>
      <w:r w:rsidR="00AE35D3" w:rsidRPr="00AE35D3">
        <w:rPr>
          <w:rFonts w:ascii="Arial" w:hAnsi="Arial"/>
          <w:sz w:val="22"/>
          <w:szCs w:val="22"/>
          <w:lang w:val="es-CR"/>
        </w:rPr>
        <w:t xml:space="preserve">Cuando se recaudan impuestos o se transfieren activos a entidades del sector público en transacciones sin contraprestación con arreglo a leyes, regulaciones u otros acuerdos vinculantes que imponen estipulaciones para propósitos particulares o con afectación específica, se deberá reconocer una obligación presente, </w:t>
      </w:r>
      <w:r>
        <w:rPr>
          <w:rFonts w:ascii="Arial" w:hAnsi="Arial"/>
          <w:sz w:val="22"/>
          <w:szCs w:val="22"/>
          <w:lang w:val="es-CR"/>
        </w:rPr>
        <w:t>en</w:t>
      </w:r>
      <w:r w:rsidR="00AE35D3" w:rsidRPr="00AE35D3">
        <w:rPr>
          <w:rFonts w:ascii="Arial" w:hAnsi="Arial"/>
          <w:sz w:val="22"/>
          <w:szCs w:val="22"/>
          <w:lang w:val="es-CR"/>
        </w:rPr>
        <w:t xml:space="preserve"> la medida de la estipulación que represente una condición. </w:t>
      </w:r>
      <w:r>
        <w:rPr>
          <w:rFonts w:ascii="Arial" w:hAnsi="Arial"/>
          <w:sz w:val="22"/>
          <w:szCs w:val="22"/>
          <w:lang w:val="es-CR"/>
        </w:rPr>
        <w:t>Al respecto</w:t>
      </w:r>
      <w:r w:rsidR="00AE35D3" w:rsidRPr="00AE35D3">
        <w:rPr>
          <w:rFonts w:ascii="Arial" w:hAnsi="Arial"/>
          <w:sz w:val="22"/>
          <w:szCs w:val="22"/>
          <w:lang w:val="es-CR"/>
        </w:rPr>
        <w:t>, pueden citarse los siguientes casos:</w:t>
      </w:r>
    </w:p>
    <w:p w14:paraId="3221AC04" w14:textId="77777777" w:rsidR="00AE35D3" w:rsidRPr="00AE35D3" w:rsidRDefault="00AE35D3" w:rsidP="00AE35D3">
      <w:pPr>
        <w:tabs>
          <w:tab w:val="left" w:pos="2740"/>
        </w:tabs>
        <w:spacing w:line="238" w:lineRule="auto"/>
        <w:ind w:left="1134" w:right="260" w:hanging="1134"/>
        <w:jc w:val="both"/>
        <w:rPr>
          <w:rFonts w:ascii="Arial" w:hAnsi="Arial"/>
          <w:sz w:val="22"/>
          <w:szCs w:val="22"/>
          <w:lang w:val="es-CR"/>
        </w:rPr>
      </w:pPr>
    </w:p>
    <w:p w14:paraId="50D0F656" w14:textId="5A0E974E" w:rsidR="00AE35D3" w:rsidRPr="008315E6" w:rsidRDefault="004B3B25">
      <w:pPr>
        <w:pStyle w:val="Prrafodelista"/>
        <w:numPr>
          <w:ilvl w:val="0"/>
          <w:numId w:val="146"/>
        </w:numPr>
        <w:tabs>
          <w:tab w:val="left" w:pos="2740"/>
        </w:tabs>
        <w:spacing w:after="120"/>
        <w:ind w:left="1418" w:right="260" w:hanging="284"/>
        <w:contextualSpacing w:val="0"/>
        <w:jc w:val="both"/>
        <w:rPr>
          <w:rFonts w:ascii="Arial" w:hAnsi="Arial"/>
          <w:sz w:val="22"/>
          <w:szCs w:val="22"/>
          <w:lang w:val="es-CR"/>
        </w:rPr>
      </w:pPr>
      <w:r w:rsidRPr="008315E6">
        <w:rPr>
          <w:rFonts w:ascii="Arial" w:hAnsi="Arial"/>
          <w:sz w:val="22"/>
          <w:szCs w:val="22"/>
          <w:lang w:val="es-CR"/>
        </w:rPr>
        <w:t>I</w:t>
      </w:r>
      <w:r w:rsidR="00AE35D3" w:rsidRPr="008315E6">
        <w:rPr>
          <w:rFonts w:ascii="Arial" w:hAnsi="Arial"/>
          <w:sz w:val="22"/>
          <w:szCs w:val="22"/>
          <w:lang w:val="es-CR"/>
        </w:rPr>
        <w:t xml:space="preserve">mpuestos cuyo uso está limitado por leyes o regulaciones a propósitos específicos; </w:t>
      </w:r>
    </w:p>
    <w:p w14:paraId="3D1B4D7E" w14:textId="583655B4" w:rsidR="004B3B25" w:rsidRDefault="004B3B25">
      <w:pPr>
        <w:pStyle w:val="Default"/>
        <w:numPr>
          <w:ilvl w:val="0"/>
          <w:numId w:val="146"/>
        </w:numPr>
        <w:spacing w:after="120"/>
        <w:ind w:left="1418" w:hanging="284"/>
        <w:jc w:val="both"/>
        <w:rPr>
          <w:sz w:val="23"/>
          <w:szCs w:val="23"/>
          <w:lang w:val="es-CR"/>
        </w:rPr>
      </w:pPr>
      <w:r>
        <w:rPr>
          <w:sz w:val="23"/>
          <w:szCs w:val="23"/>
          <w:lang w:val="es-CR"/>
        </w:rPr>
        <w:t>T</w:t>
      </w:r>
      <w:r w:rsidR="00AE35D3" w:rsidRPr="00AE35D3">
        <w:rPr>
          <w:sz w:val="23"/>
          <w:szCs w:val="23"/>
          <w:lang w:val="es-CR"/>
        </w:rPr>
        <w:t xml:space="preserve">ransferencias, establecidas mediante un acuerdo vinculante: </w:t>
      </w:r>
    </w:p>
    <w:p w14:paraId="7B8715C2" w14:textId="7149634D" w:rsidR="00AE35D3" w:rsidRPr="00AE35D3" w:rsidRDefault="008315E6">
      <w:pPr>
        <w:pStyle w:val="Default"/>
        <w:numPr>
          <w:ilvl w:val="0"/>
          <w:numId w:val="147"/>
        </w:numPr>
        <w:spacing w:after="120"/>
        <w:ind w:left="1843" w:hanging="142"/>
        <w:jc w:val="both"/>
        <w:rPr>
          <w:sz w:val="23"/>
          <w:szCs w:val="23"/>
          <w:lang w:val="es-CR"/>
        </w:rPr>
      </w:pPr>
      <w:r>
        <w:rPr>
          <w:sz w:val="23"/>
          <w:szCs w:val="23"/>
          <w:lang w:val="es-CR"/>
        </w:rPr>
        <w:t>D</w:t>
      </w:r>
      <w:r w:rsidR="00AE35D3" w:rsidRPr="00AE35D3">
        <w:rPr>
          <w:sz w:val="23"/>
          <w:szCs w:val="23"/>
          <w:lang w:val="es-CR"/>
        </w:rPr>
        <w:t xml:space="preserve">el Gobierno </w:t>
      </w:r>
      <w:r>
        <w:rPr>
          <w:sz w:val="23"/>
          <w:szCs w:val="23"/>
          <w:lang w:val="es-CR"/>
        </w:rPr>
        <w:t>de la República mediante los presupuestos ordinarios y extraordinarios.</w:t>
      </w:r>
      <w:r w:rsidR="00AE35D3" w:rsidRPr="00AE35D3">
        <w:rPr>
          <w:sz w:val="23"/>
          <w:szCs w:val="23"/>
          <w:lang w:val="es-CR"/>
        </w:rPr>
        <w:t xml:space="preserve"> </w:t>
      </w:r>
    </w:p>
    <w:p w14:paraId="085AAF7D" w14:textId="483F12DE" w:rsidR="00AE35D3" w:rsidRPr="00AE35D3" w:rsidRDefault="008315E6">
      <w:pPr>
        <w:pStyle w:val="Default"/>
        <w:numPr>
          <w:ilvl w:val="0"/>
          <w:numId w:val="147"/>
        </w:numPr>
        <w:spacing w:after="120"/>
        <w:ind w:left="1843" w:hanging="142"/>
        <w:jc w:val="both"/>
        <w:rPr>
          <w:sz w:val="23"/>
          <w:szCs w:val="23"/>
          <w:lang w:val="es-CR"/>
        </w:rPr>
      </w:pPr>
      <w:r>
        <w:rPr>
          <w:sz w:val="23"/>
          <w:szCs w:val="23"/>
          <w:lang w:val="es-CR"/>
        </w:rPr>
        <w:t>D</w:t>
      </w:r>
      <w:r w:rsidR="00AE35D3" w:rsidRPr="00AE35D3">
        <w:rPr>
          <w:sz w:val="23"/>
          <w:szCs w:val="23"/>
          <w:lang w:val="es-CR"/>
        </w:rPr>
        <w:t>e otras entidades del sector público</w:t>
      </w:r>
      <w:r>
        <w:rPr>
          <w:sz w:val="23"/>
          <w:szCs w:val="23"/>
          <w:lang w:val="es-CR"/>
        </w:rPr>
        <w:t xml:space="preserve"> </w:t>
      </w:r>
      <w:r w:rsidRPr="00AE35D3">
        <w:rPr>
          <w:sz w:val="23"/>
          <w:szCs w:val="23"/>
          <w:lang w:val="es-CR"/>
        </w:rPr>
        <w:t>mediante leyes o regulaciones</w:t>
      </w:r>
      <w:r w:rsidR="00AE35D3" w:rsidRPr="00AE35D3">
        <w:rPr>
          <w:sz w:val="23"/>
          <w:szCs w:val="23"/>
          <w:lang w:val="es-CR"/>
        </w:rPr>
        <w:t xml:space="preserve">; </w:t>
      </w:r>
    </w:p>
    <w:p w14:paraId="52518C89" w14:textId="540C15A8" w:rsidR="00AE35D3" w:rsidRPr="00AE35D3" w:rsidRDefault="008315E6">
      <w:pPr>
        <w:pStyle w:val="Default"/>
        <w:numPr>
          <w:ilvl w:val="0"/>
          <w:numId w:val="147"/>
        </w:numPr>
        <w:ind w:left="1843" w:hanging="142"/>
        <w:jc w:val="both"/>
        <w:rPr>
          <w:sz w:val="23"/>
          <w:szCs w:val="23"/>
          <w:lang w:val="es-CR"/>
        </w:rPr>
      </w:pPr>
      <w:r>
        <w:rPr>
          <w:sz w:val="23"/>
          <w:szCs w:val="23"/>
          <w:lang w:val="es-CR"/>
        </w:rPr>
        <w:t>D</w:t>
      </w:r>
      <w:r w:rsidR="00AE35D3" w:rsidRPr="00AE35D3">
        <w:rPr>
          <w:sz w:val="23"/>
          <w:szCs w:val="23"/>
          <w:lang w:val="es-CR"/>
        </w:rPr>
        <w:t xml:space="preserve">e otras entidades (sector externo o sector privado interno, incluyendo personas físicas) a entidades del sector público. </w:t>
      </w:r>
    </w:p>
    <w:p w14:paraId="6DFD5C5F" w14:textId="77777777" w:rsidR="00AE35D3" w:rsidRDefault="00AE35D3" w:rsidP="00AE35D3">
      <w:pPr>
        <w:pStyle w:val="Default"/>
        <w:jc w:val="both"/>
        <w:rPr>
          <w:sz w:val="23"/>
          <w:szCs w:val="23"/>
          <w:lang w:val="es-CR"/>
        </w:rPr>
      </w:pPr>
    </w:p>
    <w:p w14:paraId="482005DC" w14:textId="6762BE18" w:rsidR="00AE35D3" w:rsidRPr="00AE35D3" w:rsidRDefault="008315E6" w:rsidP="00AE35D3">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2.31.1.01</w:t>
      </w:r>
      <w:r>
        <w:rPr>
          <w:rFonts w:ascii="Arial" w:hAnsi="Arial"/>
          <w:sz w:val="22"/>
          <w:szCs w:val="22"/>
          <w:lang w:val="es-CR"/>
        </w:rPr>
        <w:tab/>
      </w:r>
      <w:r w:rsidR="00AE35D3" w:rsidRPr="00AE35D3">
        <w:rPr>
          <w:rFonts w:ascii="Arial" w:hAnsi="Arial"/>
          <w:sz w:val="22"/>
          <w:szCs w:val="22"/>
          <w:lang w:val="es-CR"/>
        </w:rPr>
        <w:t xml:space="preserve">Las condiciones en un activo transferido dan lugar a una obligación presente en el reconocimiento inicial que, como tal, se reconocerá como un pasivo. </w:t>
      </w:r>
    </w:p>
    <w:p w14:paraId="0F8D9EB8" w14:textId="77777777" w:rsidR="00AE35D3" w:rsidRPr="00AE35D3" w:rsidRDefault="00AE35D3" w:rsidP="00AE35D3">
      <w:pPr>
        <w:tabs>
          <w:tab w:val="left" w:pos="2740"/>
        </w:tabs>
        <w:spacing w:line="238" w:lineRule="auto"/>
        <w:ind w:left="1134" w:right="260" w:hanging="1134"/>
        <w:jc w:val="both"/>
        <w:rPr>
          <w:rFonts w:ascii="Arial" w:hAnsi="Arial"/>
          <w:sz w:val="22"/>
          <w:szCs w:val="22"/>
          <w:lang w:val="es-CR"/>
        </w:rPr>
      </w:pPr>
    </w:p>
    <w:p w14:paraId="470EAB7F" w14:textId="29C88E00" w:rsidR="00AE35D3" w:rsidRPr="00AE35D3" w:rsidRDefault="008315E6" w:rsidP="00AE35D3">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lastRenderedPageBreak/>
        <w:t>2.31.2.01</w:t>
      </w:r>
      <w:r>
        <w:rPr>
          <w:rFonts w:ascii="Arial" w:hAnsi="Arial"/>
          <w:sz w:val="22"/>
          <w:szCs w:val="22"/>
          <w:lang w:val="es-CR"/>
        </w:rPr>
        <w:tab/>
      </w:r>
      <w:r w:rsidR="00AE35D3" w:rsidRPr="00AE35D3">
        <w:rPr>
          <w:rFonts w:ascii="Arial" w:hAnsi="Arial"/>
          <w:sz w:val="22"/>
          <w:szCs w:val="22"/>
          <w:lang w:val="es-CR"/>
        </w:rPr>
        <w:t xml:space="preserve">El importe reconocido como pasivo por una transacción sin contraprestación, será la mejor estimación del importe requerido para cancelar la obligación presente a la fecha del balance. </w:t>
      </w:r>
    </w:p>
    <w:p w14:paraId="051A80AD" w14:textId="77777777" w:rsidR="00AE35D3" w:rsidRPr="00AE35D3" w:rsidRDefault="00AE35D3" w:rsidP="00AE35D3">
      <w:pPr>
        <w:pStyle w:val="Default"/>
        <w:jc w:val="both"/>
        <w:rPr>
          <w:sz w:val="23"/>
          <w:szCs w:val="23"/>
          <w:lang w:val="es-CR"/>
        </w:rPr>
      </w:pPr>
    </w:p>
    <w:p w14:paraId="0C60DFB6" w14:textId="77777777" w:rsidR="00AE35D3" w:rsidRDefault="00AE35D3" w:rsidP="00B852DB">
      <w:pPr>
        <w:tabs>
          <w:tab w:val="left" w:pos="2740"/>
        </w:tabs>
        <w:spacing w:line="238" w:lineRule="auto"/>
        <w:ind w:left="1134" w:right="260" w:hanging="1134"/>
        <w:jc w:val="both"/>
        <w:rPr>
          <w:rFonts w:ascii="Arial" w:hAnsi="Arial"/>
          <w:sz w:val="22"/>
          <w:szCs w:val="22"/>
          <w:lang w:val="es-CR"/>
        </w:rPr>
      </w:pPr>
    </w:p>
    <w:tbl>
      <w:tblPr>
        <w:tblW w:w="9680" w:type="dxa"/>
        <w:tblLook w:val="04A0" w:firstRow="1" w:lastRow="0" w:firstColumn="1" w:lastColumn="0" w:noHBand="0" w:noVBand="1"/>
      </w:tblPr>
      <w:tblGrid>
        <w:gridCol w:w="636"/>
        <w:gridCol w:w="417"/>
        <w:gridCol w:w="610"/>
        <w:gridCol w:w="3689"/>
        <w:gridCol w:w="2245"/>
        <w:gridCol w:w="2083"/>
      </w:tblGrid>
      <w:tr w:rsidR="001260AB" w:rsidRPr="000501EB" w14:paraId="74A7F569" w14:textId="77777777" w:rsidTr="001260AB">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CD81951" w14:textId="77777777" w:rsidR="001260AB" w:rsidRPr="000501EB" w:rsidRDefault="001260AB" w:rsidP="001260AB">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9500108" w14:textId="77777777" w:rsidR="001260AB" w:rsidRPr="000501EB" w:rsidRDefault="001260AB" w:rsidP="001260AB">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6D446A1E" w14:textId="77777777" w:rsidR="001260AB" w:rsidRPr="000501EB" w:rsidRDefault="001260AB" w:rsidP="001260AB">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Referencia</w:t>
            </w:r>
          </w:p>
        </w:tc>
      </w:tr>
      <w:tr w:rsidR="001260AB" w:rsidRPr="006E5442" w14:paraId="02FC743F" w14:textId="77777777" w:rsidTr="001260AB">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6A7EA85D" w14:textId="77777777" w:rsidR="001260AB" w:rsidRPr="000501EB" w:rsidRDefault="001260AB" w:rsidP="001260AB">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180DF54B" w14:textId="77777777" w:rsidR="001260AB" w:rsidRPr="000501EB" w:rsidRDefault="001260AB" w:rsidP="001260AB">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6A87FB3C" w14:textId="77777777" w:rsidR="001260AB" w:rsidRPr="000501EB" w:rsidRDefault="001260AB" w:rsidP="001260AB">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7DBE2773" w14:textId="77777777" w:rsidR="001260AB" w:rsidRPr="000501EB" w:rsidRDefault="001260AB" w:rsidP="001260AB">
            <w:pPr>
              <w:jc w:val="center"/>
              <w:rPr>
                <w:rFonts w:ascii="Arial Narrow" w:eastAsia="Times New Roman" w:hAnsi="Arial Narrow" w:cs="Calibri"/>
                <w:b/>
                <w:bCs/>
                <w:color w:val="FFFFFF"/>
                <w:sz w:val="22"/>
                <w:szCs w:val="22"/>
                <w:lang w:val="es-CR"/>
              </w:rPr>
            </w:pPr>
            <w:r w:rsidRPr="000501EB">
              <w:rPr>
                <w:rFonts w:ascii="Arial Narrow" w:eastAsia="Times New Roman" w:hAnsi="Arial Narrow" w:cs="Calibri"/>
                <w:b/>
                <w:bCs/>
                <w:color w:val="FFFFFF"/>
                <w:sz w:val="22"/>
                <w:szCs w:val="22"/>
                <w:lang w:val="es-CR"/>
              </w:rPr>
              <w:t>Normativa técnica y disposiciones adicionales</w:t>
            </w:r>
          </w:p>
        </w:tc>
      </w:tr>
      <w:tr w:rsidR="001260AB" w:rsidRPr="000501EB" w14:paraId="216AF097" w14:textId="77777777" w:rsidTr="005A4C96">
        <w:trPr>
          <w:trHeight w:val="54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0445F7" w14:textId="77777777" w:rsidR="001260AB" w:rsidRPr="000501EB" w:rsidRDefault="001260AB" w:rsidP="001260AB">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00FCED9A" w14:textId="77777777" w:rsidR="001260AB" w:rsidRPr="000501EB" w:rsidRDefault="001260AB" w:rsidP="001260AB">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32</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0233E166" w14:textId="0F37D94A" w:rsidR="001260AB" w:rsidRPr="000501EB" w:rsidRDefault="001260AB" w:rsidP="001260AB">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1B5ABF3B" w14:textId="77777777" w:rsidR="001260AB" w:rsidRPr="000501EB" w:rsidRDefault="001260AB" w:rsidP="001260AB">
            <w:pPr>
              <w:jc w:val="both"/>
              <w:rPr>
                <w:rFonts w:ascii="Arial Narrow" w:eastAsia="Times New Roman" w:hAnsi="Arial Narrow" w:cs="Calibri"/>
                <w:b/>
                <w:bCs/>
                <w:color w:val="000000"/>
                <w:sz w:val="22"/>
                <w:szCs w:val="22"/>
                <w:lang w:val="es-CR"/>
              </w:rPr>
            </w:pPr>
            <w:r w:rsidRPr="000501EB">
              <w:rPr>
                <w:rFonts w:ascii="Arial Narrow" w:eastAsia="Times New Roman" w:hAnsi="Arial Narrow" w:cs="Calibri"/>
                <w:b/>
                <w:bCs/>
                <w:color w:val="000000"/>
                <w:sz w:val="22"/>
                <w:szCs w:val="22"/>
                <w:lang w:val="es-CR"/>
              </w:rPr>
              <w:t>Información a revelar sobre pasivos relacionados con transacciones sin contraprestación</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687EE8DF" w14:textId="77777777" w:rsidR="001260AB" w:rsidRPr="000501EB" w:rsidRDefault="001260AB" w:rsidP="001260AB">
            <w:pPr>
              <w:jc w:val="both"/>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NICSP N° 23,</w:t>
            </w:r>
          </w:p>
          <w:p w14:paraId="0366E9C1" w14:textId="314A92FA" w:rsidR="001260AB" w:rsidRPr="000501EB" w:rsidRDefault="001260AB" w:rsidP="001260AB">
            <w:pPr>
              <w:jc w:val="both"/>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Párrafo 106.</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1E22357E" w14:textId="77777777" w:rsidR="001260AB" w:rsidRPr="000501EB" w:rsidRDefault="001260AB" w:rsidP="001260AB">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 xml:space="preserve"> </w:t>
            </w:r>
          </w:p>
        </w:tc>
      </w:tr>
    </w:tbl>
    <w:p w14:paraId="04964D4D" w14:textId="77777777" w:rsidR="00AE35D3" w:rsidRDefault="00AE35D3" w:rsidP="00B852DB">
      <w:pPr>
        <w:tabs>
          <w:tab w:val="left" w:pos="2740"/>
        </w:tabs>
        <w:spacing w:line="238" w:lineRule="auto"/>
        <w:ind w:left="1134" w:right="260" w:hanging="1134"/>
        <w:jc w:val="both"/>
        <w:rPr>
          <w:rFonts w:ascii="Arial" w:hAnsi="Arial"/>
          <w:sz w:val="22"/>
          <w:szCs w:val="22"/>
          <w:lang w:val="es-CR"/>
        </w:rPr>
      </w:pPr>
    </w:p>
    <w:p w14:paraId="73A5C23C" w14:textId="391963C5" w:rsidR="005A4C96" w:rsidRDefault="005A4C96" w:rsidP="00B852DB">
      <w:pPr>
        <w:tabs>
          <w:tab w:val="left" w:pos="2740"/>
        </w:tabs>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616A6C31"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1C10AEC2" w14:textId="77777777" w:rsidR="001260AB" w:rsidRDefault="001260AB" w:rsidP="001260AB">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2.32.0.01</w:t>
      </w:r>
      <w:r>
        <w:rPr>
          <w:rFonts w:ascii="Arial" w:hAnsi="Arial"/>
          <w:sz w:val="22"/>
          <w:szCs w:val="22"/>
          <w:lang w:val="es-CR"/>
        </w:rPr>
        <w:tab/>
      </w:r>
      <w:r w:rsidRPr="001260AB">
        <w:rPr>
          <w:rFonts w:ascii="Arial" w:hAnsi="Arial"/>
          <w:sz w:val="22"/>
          <w:szCs w:val="22"/>
          <w:lang w:val="es-CR"/>
        </w:rPr>
        <w:t>Se revelará en los EEFF</w:t>
      </w:r>
    </w:p>
    <w:p w14:paraId="6DAF5558" w14:textId="5240D3F8" w:rsidR="001260AB" w:rsidRPr="001260AB" w:rsidRDefault="001260AB" w:rsidP="001260AB">
      <w:pPr>
        <w:tabs>
          <w:tab w:val="left" w:pos="2740"/>
        </w:tabs>
        <w:spacing w:line="238" w:lineRule="auto"/>
        <w:ind w:left="1134" w:right="260" w:hanging="1134"/>
        <w:jc w:val="both"/>
        <w:rPr>
          <w:rFonts w:ascii="Arial" w:hAnsi="Arial"/>
          <w:sz w:val="22"/>
          <w:szCs w:val="22"/>
          <w:lang w:val="es-CR"/>
        </w:rPr>
      </w:pPr>
      <w:r w:rsidRPr="001260AB">
        <w:rPr>
          <w:rFonts w:ascii="Arial" w:hAnsi="Arial"/>
          <w:sz w:val="22"/>
          <w:szCs w:val="22"/>
          <w:lang w:val="es-CR"/>
        </w:rPr>
        <w:t xml:space="preserve">: </w:t>
      </w:r>
    </w:p>
    <w:p w14:paraId="7A6A0B40" w14:textId="2C691138" w:rsidR="001260AB" w:rsidRPr="001260AB" w:rsidRDefault="001260AB">
      <w:pPr>
        <w:pStyle w:val="Default"/>
        <w:numPr>
          <w:ilvl w:val="0"/>
          <w:numId w:val="148"/>
        </w:numPr>
        <w:spacing w:after="120"/>
        <w:ind w:left="1418" w:hanging="284"/>
        <w:jc w:val="both"/>
        <w:rPr>
          <w:sz w:val="22"/>
          <w:szCs w:val="22"/>
          <w:lang w:val="es-CR"/>
        </w:rPr>
      </w:pPr>
      <w:r w:rsidRPr="001260AB">
        <w:rPr>
          <w:sz w:val="22"/>
          <w:szCs w:val="22"/>
          <w:lang w:val="es-CR"/>
        </w:rPr>
        <w:t xml:space="preserve">El importe de los pasivos reconocidos con respecto a los préstamos en condiciones favorables que están sujetos a condiciones sobre activos transferidos; </w:t>
      </w:r>
    </w:p>
    <w:p w14:paraId="513E80DF" w14:textId="09361F70" w:rsidR="001260AB" w:rsidRPr="001260AB" w:rsidRDefault="001260AB">
      <w:pPr>
        <w:pStyle w:val="Default"/>
        <w:numPr>
          <w:ilvl w:val="0"/>
          <w:numId w:val="148"/>
        </w:numPr>
        <w:spacing w:after="120"/>
        <w:ind w:left="1418" w:hanging="284"/>
        <w:jc w:val="both"/>
        <w:rPr>
          <w:sz w:val="22"/>
          <w:szCs w:val="22"/>
          <w:lang w:val="es-CR"/>
        </w:rPr>
      </w:pPr>
      <w:r w:rsidRPr="001260AB">
        <w:rPr>
          <w:sz w:val="22"/>
          <w:szCs w:val="22"/>
          <w:lang w:val="es-CR"/>
        </w:rPr>
        <w:t xml:space="preserve">La existencia e importes de cualesquiera cobros anticipados con respecto a transacciones sin contraprestación; y </w:t>
      </w:r>
    </w:p>
    <w:p w14:paraId="65E2D722" w14:textId="7C60C00F" w:rsidR="001260AB" w:rsidRPr="001260AB" w:rsidRDefault="001260AB">
      <w:pPr>
        <w:pStyle w:val="Default"/>
        <w:numPr>
          <w:ilvl w:val="0"/>
          <w:numId w:val="148"/>
        </w:numPr>
        <w:ind w:left="1418" w:hanging="284"/>
        <w:jc w:val="both"/>
        <w:rPr>
          <w:sz w:val="22"/>
          <w:szCs w:val="22"/>
          <w:lang w:val="es-CR"/>
        </w:rPr>
      </w:pPr>
      <w:r w:rsidRPr="001260AB">
        <w:rPr>
          <w:sz w:val="22"/>
          <w:szCs w:val="22"/>
          <w:lang w:val="es-CR"/>
        </w:rPr>
        <w:t xml:space="preserve">El importe de cualquier pasivo condonado. </w:t>
      </w:r>
    </w:p>
    <w:p w14:paraId="20D81745" w14:textId="77777777" w:rsidR="001260AB" w:rsidRDefault="001260AB" w:rsidP="00B852DB">
      <w:pPr>
        <w:tabs>
          <w:tab w:val="left" w:pos="2740"/>
        </w:tabs>
        <w:spacing w:line="238" w:lineRule="auto"/>
        <w:ind w:left="1134" w:right="260" w:hanging="1134"/>
        <w:jc w:val="both"/>
        <w:rPr>
          <w:rFonts w:ascii="Arial" w:hAnsi="Arial"/>
          <w:sz w:val="22"/>
          <w:szCs w:val="22"/>
          <w:lang w:val="es-CR"/>
        </w:rPr>
      </w:pPr>
    </w:p>
    <w:p w14:paraId="12648E98" w14:textId="77777777" w:rsidR="00172B42" w:rsidRDefault="00172B42" w:rsidP="00B852DB">
      <w:pPr>
        <w:tabs>
          <w:tab w:val="left" w:pos="2740"/>
        </w:tabs>
        <w:spacing w:line="238" w:lineRule="auto"/>
        <w:ind w:left="1134" w:right="260" w:hanging="1134"/>
        <w:jc w:val="both"/>
        <w:rPr>
          <w:rFonts w:ascii="Arial" w:hAnsi="Arial"/>
          <w:sz w:val="22"/>
          <w:szCs w:val="22"/>
          <w:lang w:val="es-CR"/>
        </w:rPr>
      </w:pPr>
    </w:p>
    <w:p w14:paraId="32119557" w14:textId="77777777" w:rsidR="001260AB" w:rsidRPr="000501EB" w:rsidRDefault="001260AB" w:rsidP="000501EB">
      <w:pPr>
        <w:pStyle w:val="Ttulo2"/>
        <w:ind w:left="284"/>
        <w:rPr>
          <w:rFonts w:ascii="Arial" w:eastAsia="Arial" w:hAnsi="Arial" w:cs="Arial"/>
          <w:b/>
          <w:bCs/>
          <w:sz w:val="20"/>
          <w:szCs w:val="20"/>
          <w:lang w:val="es-CR"/>
        </w:rPr>
      </w:pPr>
      <w:bookmarkStart w:id="94" w:name="_Toc172726229"/>
      <w:r w:rsidRPr="000501EB">
        <w:rPr>
          <w:rFonts w:ascii="Arial" w:eastAsia="Arial" w:hAnsi="Arial" w:cs="Arial"/>
          <w:b/>
          <w:bCs/>
          <w:sz w:val="20"/>
          <w:szCs w:val="20"/>
          <w:lang w:val="es-CR"/>
        </w:rPr>
        <w:t>Moneda Extranjera</w:t>
      </w:r>
      <w:bookmarkEnd w:id="94"/>
    </w:p>
    <w:p w14:paraId="296D688C" w14:textId="77777777" w:rsidR="001260AB" w:rsidRDefault="001260AB" w:rsidP="00B852DB">
      <w:pPr>
        <w:tabs>
          <w:tab w:val="left" w:pos="2740"/>
        </w:tabs>
        <w:spacing w:line="238" w:lineRule="auto"/>
        <w:ind w:left="1134" w:right="260" w:hanging="1134"/>
        <w:jc w:val="both"/>
        <w:rPr>
          <w:rFonts w:ascii="Arial" w:hAnsi="Arial"/>
          <w:sz w:val="22"/>
          <w:szCs w:val="22"/>
          <w:lang w:val="es-CR"/>
        </w:rPr>
      </w:pPr>
    </w:p>
    <w:tbl>
      <w:tblPr>
        <w:tblW w:w="9680" w:type="dxa"/>
        <w:tblLook w:val="04A0" w:firstRow="1" w:lastRow="0" w:firstColumn="1" w:lastColumn="0" w:noHBand="0" w:noVBand="1"/>
      </w:tblPr>
      <w:tblGrid>
        <w:gridCol w:w="637"/>
        <w:gridCol w:w="417"/>
        <w:gridCol w:w="611"/>
        <w:gridCol w:w="3680"/>
        <w:gridCol w:w="2250"/>
        <w:gridCol w:w="2085"/>
      </w:tblGrid>
      <w:tr w:rsidR="00172B42" w:rsidRPr="000501EB" w14:paraId="546B6540" w14:textId="77777777" w:rsidTr="00172B42">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5733F8A" w14:textId="77777777" w:rsidR="00172B42" w:rsidRPr="000501EB" w:rsidRDefault="00172B42" w:rsidP="00172B42">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1597097" w14:textId="77777777" w:rsidR="00172B42" w:rsidRPr="000501EB" w:rsidRDefault="00172B42" w:rsidP="00172B42">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0F413A6F" w14:textId="77777777" w:rsidR="00172B42" w:rsidRPr="000501EB" w:rsidRDefault="00172B42" w:rsidP="00172B42">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Referencia</w:t>
            </w:r>
          </w:p>
        </w:tc>
      </w:tr>
      <w:tr w:rsidR="00172B42" w:rsidRPr="006E5442" w14:paraId="61C6B6F8" w14:textId="77777777" w:rsidTr="00172B42">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3718398B" w14:textId="77777777" w:rsidR="00172B42" w:rsidRPr="000501EB" w:rsidRDefault="00172B42" w:rsidP="00172B42">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3764558D" w14:textId="77777777" w:rsidR="00172B42" w:rsidRPr="000501EB" w:rsidRDefault="00172B42" w:rsidP="00172B42">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1F32C3B6" w14:textId="77777777" w:rsidR="00172B42" w:rsidRPr="000501EB" w:rsidRDefault="00172B42" w:rsidP="00172B42">
            <w:pPr>
              <w:jc w:val="center"/>
              <w:rPr>
                <w:rFonts w:ascii="Arial Narrow" w:eastAsia="Times New Roman" w:hAnsi="Arial Narrow" w:cs="Calibri"/>
                <w:b/>
                <w:bCs/>
                <w:color w:val="FFFFFF"/>
                <w:sz w:val="22"/>
                <w:szCs w:val="22"/>
              </w:rPr>
            </w:pPr>
            <w:r w:rsidRPr="000501EB">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798AED83" w14:textId="77777777" w:rsidR="00172B42" w:rsidRPr="000501EB" w:rsidRDefault="00172B42" w:rsidP="00172B42">
            <w:pPr>
              <w:jc w:val="center"/>
              <w:rPr>
                <w:rFonts w:ascii="Arial Narrow" w:eastAsia="Times New Roman" w:hAnsi="Arial Narrow" w:cs="Calibri"/>
                <w:b/>
                <w:bCs/>
                <w:color w:val="FFFFFF"/>
                <w:sz w:val="22"/>
                <w:szCs w:val="22"/>
                <w:lang w:val="es-CR"/>
              </w:rPr>
            </w:pPr>
            <w:r w:rsidRPr="000501EB">
              <w:rPr>
                <w:rFonts w:ascii="Arial Narrow" w:eastAsia="Times New Roman" w:hAnsi="Arial Narrow" w:cs="Calibri"/>
                <w:b/>
                <w:bCs/>
                <w:color w:val="FFFFFF"/>
                <w:sz w:val="22"/>
                <w:szCs w:val="22"/>
                <w:lang w:val="es-CR"/>
              </w:rPr>
              <w:t>Normativa técnica y disposiciones adicionales</w:t>
            </w:r>
          </w:p>
        </w:tc>
      </w:tr>
      <w:tr w:rsidR="00172B42" w:rsidRPr="000501EB" w14:paraId="2742B1FB" w14:textId="77777777" w:rsidTr="005A4C96">
        <w:trPr>
          <w:trHeight w:val="469"/>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663604" w14:textId="77777777" w:rsidR="00172B42" w:rsidRPr="000501EB" w:rsidRDefault="00172B42" w:rsidP="00172B42">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2F32FCD7" w14:textId="77777777" w:rsidR="00172B42" w:rsidRPr="000501EB" w:rsidRDefault="00172B42" w:rsidP="00172B42">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33</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521A7F39" w14:textId="3799B163" w:rsidR="00172B42" w:rsidRPr="000501EB" w:rsidRDefault="00172B42" w:rsidP="00172B42">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5D8F939C" w14:textId="77777777" w:rsidR="00172B42" w:rsidRPr="000501EB" w:rsidRDefault="00172B42" w:rsidP="00172B42">
            <w:pPr>
              <w:jc w:val="both"/>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Saldos en moneda extranjera</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49B70946" w14:textId="77777777" w:rsidR="000501EB" w:rsidRDefault="00172B42" w:rsidP="00172B42">
            <w:pPr>
              <w:jc w:val="both"/>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 xml:space="preserve">NICSP N° 4, </w:t>
            </w:r>
          </w:p>
          <w:p w14:paraId="681EA2B5" w14:textId="5F07CFAD" w:rsidR="00172B42" w:rsidRPr="000501EB" w:rsidRDefault="00172B42" w:rsidP="00172B42">
            <w:pPr>
              <w:jc w:val="both"/>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Párrafos 26 y 27.</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A54EE30" w14:textId="77777777" w:rsidR="00172B42" w:rsidRPr="000501EB" w:rsidRDefault="00172B42" w:rsidP="00172B42">
            <w:pPr>
              <w:jc w:val="center"/>
              <w:rPr>
                <w:rFonts w:ascii="Arial Narrow" w:eastAsia="Times New Roman" w:hAnsi="Arial Narrow" w:cs="Calibri"/>
                <w:b/>
                <w:bCs/>
                <w:color w:val="000000"/>
                <w:sz w:val="22"/>
                <w:szCs w:val="22"/>
              </w:rPr>
            </w:pPr>
            <w:r w:rsidRPr="000501EB">
              <w:rPr>
                <w:rFonts w:ascii="Arial Narrow" w:eastAsia="Times New Roman" w:hAnsi="Arial Narrow" w:cs="Calibri"/>
                <w:b/>
                <w:bCs/>
                <w:color w:val="000000"/>
                <w:sz w:val="22"/>
                <w:szCs w:val="22"/>
              </w:rPr>
              <w:t xml:space="preserve"> Diretriz 06-2013</w:t>
            </w:r>
          </w:p>
        </w:tc>
      </w:tr>
    </w:tbl>
    <w:p w14:paraId="5F5EFECB" w14:textId="77777777" w:rsidR="001260AB" w:rsidRDefault="001260AB" w:rsidP="000501EB">
      <w:pPr>
        <w:tabs>
          <w:tab w:val="left" w:pos="2740"/>
        </w:tabs>
        <w:spacing w:line="238" w:lineRule="auto"/>
        <w:ind w:right="260"/>
        <w:jc w:val="both"/>
        <w:rPr>
          <w:rFonts w:ascii="Arial" w:hAnsi="Arial"/>
          <w:sz w:val="22"/>
          <w:szCs w:val="22"/>
          <w:lang w:val="es-CR"/>
        </w:rPr>
      </w:pPr>
    </w:p>
    <w:p w14:paraId="0664DD12" w14:textId="6681B263" w:rsidR="005A4C96" w:rsidRDefault="005A4C96" w:rsidP="000501EB">
      <w:pPr>
        <w:tabs>
          <w:tab w:val="left" w:pos="2740"/>
        </w:tabs>
        <w:spacing w:line="238" w:lineRule="auto"/>
        <w:ind w:right="260"/>
        <w:jc w:val="both"/>
        <w:rPr>
          <w:rFonts w:ascii="Arial" w:eastAsia="Arial" w:hAnsi="Arial"/>
          <w:b/>
          <w:sz w:val="22"/>
          <w:szCs w:val="22"/>
        </w:rPr>
      </w:pPr>
      <w:r w:rsidRPr="00F02F9D">
        <w:rPr>
          <w:rFonts w:ascii="Arial" w:eastAsia="Arial" w:hAnsi="Arial"/>
          <w:b/>
          <w:sz w:val="22"/>
          <w:szCs w:val="22"/>
        </w:rPr>
        <w:t>Políticas Contables</w:t>
      </w:r>
    </w:p>
    <w:p w14:paraId="0AA3456D" w14:textId="77777777" w:rsidR="005A4C96" w:rsidRDefault="005A4C96" w:rsidP="000501EB">
      <w:pPr>
        <w:tabs>
          <w:tab w:val="left" w:pos="2740"/>
        </w:tabs>
        <w:spacing w:line="238" w:lineRule="auto"/>
        <w:ind w:right="260"/>
        <w:jc w:val="both"/>
        <w:rPr>
          <w:rFonts w:ascii="Arial" w:hAnsi="Arial"/>
          <w:sz w:val="22"/>
          <w:szCs w:val="22"/>
          <w:lang w:val="es-CR"/>
        </w:rPr>
      </w:pPr>
    </w:p>
    <w:p w14:paraId="595DE071" w14:textId="7E511670" w:rsidR="00172B42" w:rsidRPr="00F92E67" w:rsidRDefault="00172B42" w:rsidP="00172B42">
      <w:pPr>
        <w:tabs>
          <w:tab w:val="left" w:pos="2740"/>
        </w:tabs>
        <w:spacing w:line="238" w:lineRule="auto"/>
        <w:ind w:left="1134" w:right="260" w:hanging="1134"/>
        <w:jc w:val="both"/>
        <w:rPr>
          <w:rFonts w:ascii="Arial" w:hAnsi="Arial"/>
          <w:sz w:val="22"/>
          <w:szCs w:val="22"/>
          <w:lang w:val="es-CR"/>
        </w:rPr>
      </w:pPr>
      <w:r w:rsidRPr="00172B42">
        <w:rPr>
          <w:rFonts w:ascii="Arial" w:hAnsi="Arial"/>
          <w:sz w:val="22"/>
          <w:szCs w:val="22"/>
          <w:lang w:val="es-CR"/>
        </w:rPr>
        <w:t>2.33.0.01</w:t>
      </w:r>
      <w:r w:rsidRPr="00172B42">
        <w:rPr>
          <w:rFonts w:ascii="Arial" w:hAnsi="Arial"/>
          <w:sz w:val="22"/>
          <w:szCs w:val="22"/>
          <w:lang w:val="es-CR"/>
        </w:rPr>
        <w:tab/>
        <w:t xml:space="preserve">Las partidas monetarias en moneda extranjera se convertirán utilizando la tasa de </w:t>
      </w:r>
      <w:r w:rsidR="000E5DF8" w:rsidRPr="00172B42">
        <w:rPr>
          <w:rFonts w:ascii="Arial" w:hAnsi="Arial"/>
          <w:sz w:val="22"/>
          <w:szCs w:val="22"/>
          <w:lang w:val="es-CR"/>
        </w:rPr>
        <w:t>ca</w:t>
      </w:r>
      <w:r w:rsidR="000E5DF8">
        <w:rPr>
          <w:rFonts w:ascii="Arial" w:hAnsi="Arial"/>
          <w:sz w:val="22"/>
          <w:szCs w:val="22"/>
          <w:lang w:val="es-CR"/>
        </w:rPr>
        <w:t>mbi</w:t>
      </w:r>
      <w:r w:rsidR="000E5DF8" w:rsidRPr="00172B42">
        <w:rPr>
          <w:rFonts w:ascii="Arial" w:hAnsi="Arial"/>
          <w:sz w:val="22"/>
          <w:szCs w:val="22"/>
          <w:lang w:val="es-CR"/>
        </w:rPr>
        <w:t>o</w:t>
      </w:r>
      <w:r w:rsidRPr="00172B42">
        <w:rPr>
          <w:rFonts w:ascii="Arial" w:hAnsi="Arial"/>
          <w:sz w:val="22"/>
          <w:szCs w:val="22"/>
          <w:lang w:val="es-CR"/>
        </w:rPr>
        <w:t xml:space="preserve"> a la fecha de presentación de los EEFF.</w:t>
      </w:r>
    </w:p>
    <w:p w14:paraId="77CDBA04" w14:textId="77777777" w:rsidR="00172B42" w:rsidRPr="00172B42" w:rsidRDefault="00172B42" w:rsidP="00172B42">
      <w:pPr>
        <w:tabs>
          <w:tab w:val="left" w:pos="2740"/>
        </w:tabs>
        <w:spacing w:line="238" w:lineRule="auto"/>
        <w:ind w:left="1134" w:right="260" w:hanging="1134"/>
        <w:jc w:val="both"/>
        <w:rPr>
          <w:rFonts w:ascii="Arial" w:hAnsi="Arial"/>
          <w:sz w:val="22"/>
          <w:szCs w:val="22"/>
          <w:lang w:val="es-CR"/>
        </w:rPr>
      </w:pPr>
    </w:p>
    <w:p w14:paraId="6F36FCFE" w14:textId="3F1FDA39" w:rsidR="001260AB" w:rsidRPr="00172B42" w:rsidRDefault="00172B42" w:rsidP="00172B42">
      <w:pPr>
        <w:tabs>
          <w:tab w:val="left" w:pos="2740"/>
        </w:tabs>
        <w:spacing w:line="238" w:lineRule="auto"/>
        <w:ind w:left="1134" w:right="260" w:hanging="1134"/>
        <w:jc w:val="both"/>
        <w:rPr>
          <w:rFonts w:ascii="Arial" w:hAnsi="Arial"/>
          <w:sz w:val="22"/>
          <w:szCs w:val="22"/>
          <w:lang w:val="es-CR"/>
        </w:rPr>
      </w:pPr>
      <w:r w:rsidRPr="00172B42">
        <w:rPr>
          <w:rFonts w:ascii="Arial" w:hAnsi="Arial"/>
          <w:sz w:val="22"/>
          <w:szCs w:val="22"/>
          <w:lang w:val="es-CR"/>
        </w:rPr>
        <w:t>2.33.0.02</w:t>
      </w:r>
      <w:r w:rsidRPr="00172B42">
        <w:rPr>
          <w:rFonts w:ascii="Arial" w:hAnsi="Arial"/>
          <w:sz w:val="22"/>
          <w:szCs w:val="22"/>
          <w:lang w:val="es-CR"/>
        </w:rPr>
        <w:tab/>
        <w:t xml:space="preserve">El tipo de </w:t>
      </w:r>
      <w:r w:rsidR="000E5DF8" w:rsidRPr="00172B42">
        <w:rPr>
          <w:rFonts w:ascii="Arial" w:hAnsi="Arial"/>
          <w:sz w:val="22"/>
          <w:szCs w:val="22"/>
          <w:lang w:val="es-CR"/>
        </w:rPr>
        <w:t>ca</w:t>
      </w:r>
      <w:r w:rsidR="000E5DF8">
        <w:rPr>
          <w:rFonts w:ascii="Arial" w:hAnsi="Arial"/>
          <w:sz w:val="22"/>
          <w:szCs w:val="22"/>
          <w:lang w:val="es-CR"/>
        </w:rPr>
        <w:t>mbi</w:t>
      </w:r>
      <w:r w:rsidR="000E5DF8" w:rsidRPr="00172B42">
        <w:rPr>
          <w:rFonts w:ascii="Arial" w:hAnsi="Arial"/>
          <w:sz w:val="22"/>
          <w:szCs w:val="22"/>
          <w:lang w:val="es-CR"/>
        </w:rPr>
        <w:t>o</w:t>
      </w:r>
      <w:r w:rsidRPr="00172B42">
        <w:rPr>
          <w:rFonts w:ascii="Arial" w:hAnsi="Arial"/>
          <w:sz w:val="22"/>
          <w:szCs w:val="22"/>
          <w:lang w:val="es-CR"/>
        </w:rPr>
        <w:t xml:space="preserve"> a utilizar para la conversión de las monedas a la moneda funcional será el siguiente: para las cuentas de activo, el tipo de </w:t>
      </w:r>
      <w:r w:rsidR="000E5DF8" w:rsidRPr="00172B42">
        <w:rPr>
          <w:rFonts w:ascii="Arial" w:hAnsi="Arial"/>
          <w:sz w:val="22"/>
          <w:szCs w:val="22"/>
          <w:lang w:val="es-CR"/>
        </w:rPr>
        <w:t>ca</w:t>
      </w:r>
      <w:r w:rsidR="000E5DF8">
        <w:rPr>
          <w:rFonts w:ascii="Arial" w:hAnsi="Arial"/>
          <w:sz w:val="22"/>
          <w:szCs w:val="22"/>
          <w:lang w:val="es-CR"/>
        </w:rPr>
        <w:t>mbi</w:t>
      </w:r>
      <w:r w:rsidR="000E5DF8" w:rsidRPr="00172B42">
        <w:rPr>
          <w:rFonts w:ascii="Arial" w:hAnsi="Arial"/>
          <w:sz w:val="22"/>
          <w:szCs w:val="22"/>
          <w:lang w:val="es-CR"/>
        </w:rPr>
        <w:t>o</w:t>
      </w:r>
      <w:r w:rsidRPr="00172B42">
        <w:rPr>
          <w:rFonts w:ascii="Arial" w:hAnsi="Arial"/>
          <w:sz w:val="22"/>
          <w:szCs w:val="22"/>
          <w:lang w:val="es-CR"/>
        </w:rPr>
        <w:t xml:space="preserve"> de compra y para las cuentas de pasivo, el tipo de </w:t>
      </w:r>
      <w:r w:rsidR="000E5DF8" w:rsidRPr="00172B42">
        <w:rPr>
          <w:rFonts w:ascii="Arial" w:hAnsi="Arial"/>
          <w:sz w:val="22"/>
          <w:szCs w:val="22"/>
          <w:lang w:val="es-CR"/>
        </w:rPr>
        <w:t>ca</w:t>
      </w:r>
      <w:r w:rsidR="000E5DF8">
        <w:rPr>
          <w:rFonts w:ascii="Arial" w:hAnsi="Arial"/>
          <w:sz w:val="22"/>
          <w:szCs w:val="22"/>
          <w:lang w:val="es-CR"/>
        </w:rPr>
        <w:t>mbi</w:t>
      </w:r>
      <w:r w:rsidR="000E5DF8" w:rsidRPr="00172B42">
        <w:rPr>
          <w:rFonts w:ascii="Arial" w:hAnsi="Arial"/>
          <w:sz w:val="22"/>
          <w:szCs w:val="22"/>
          <w:lang w:val="es-CR"/>
        </w:rPr>
        <w:t>o</w:t>
      </w:r>
      <w:r w:rsidRPr="00172B42">
        <w:rPr>
          <w:rFonts w:ascii="Arial" w:hAnsi="Arial"/>
          <w:sz w:val="22"/>
          <w:szCs w:val="22"/>
          <w:lang w:val="es-CR"/>
        </w:rPr>
        <w:t xml:space="preserve"> de venta, que emite el Banco Central de Costa Rica para las operaciones con el Sector Público no bancario. El ajuste por el diferencial </w:t>
      </w:r>
      <w:r w:rsidR="000E5DF8" w:rsidRPr="00172B42">
        <w:rPr>
          <w:rFonts w:ascii="Arial" w:hAnsi="Arial"/>
          <w:sz w:val="22"/>
          <w:szCs w:val="22"/>
          <w:lang w:val="es-CR"/>
        </w:rPr>
        <w:t>ca</w:t>
      </w:r>
      <w:r w:rsidR="000E5DF8">
        <w:rPr>
          <w:rFonts w:ascii="Arial" w:hAnsi="Arial"/>
          <w:sz w:val="22"/>
          <w:szCs w:val="22"/>
          <w:lang w:val="es-CR"/>
        </w:rPr>
        <w:t>mbi</w:t>
      </w:r>
      <w:r w:rsidR="000E5DF8" w:rsidRPr="00172B42">
        <w:rPr>
          <w:rFonts w:ascii="Arial" w:hAnsi="Arial"/>
          <w:sz w:val="22"/>
          <w:szCs w:val="22"/>
          <w:lang w:val="es-CR"/>
        </w:rPr>
        <w:t>ario</w:t>
      </w:r>
      <w:r w:rsidRPr="00172B42">
        <w:rPr>
          <w:rFonts w:ascii="Arial" w:hAnsi="Arial"/>
          <w:sz w:val="22"/>
          <w:szCs w:val="22"/>
          <w:lang w:val="es-CR"/>
        </w:rPr>
        <w:t xml:space="preserve"> se deberá realizar el último día de cada mes.</w:t>
      </w:r>
    </w:p>
    <w:p w14:paraId="7D2FFE10" w14:textId="77777777" w:rsidR="001260AB" w:rsidRDefault="001260AB" w:rsidP="00B852DB">
      <w:pPr>
        <w:tabs>
          <w:tab w:val="left" w:pos="2740"/>
        </w:tabs>
        <w:spacing w:line="238" w:lineRule="auto"/>
        <w:ind w:left="1134" w:right="260" w:hanging="1134"/>
        <w:jc w:val="both"/>
        <w:rPr>
          <w:rFonts w:ascii="Arial" w:hAnsi="Arial"/>
          <w:sz w:val="22"/>
          <w:szCs w:val="22"/>
          <w:lang w:val="es-CR"/>
        </w:rPr>
      </w:pPr>
    </w:p>
    <w:p w14:paraId="211A3356"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27157249"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0C850D10"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72C40B3D"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44B264C3"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7778D8F5"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24CDA290" w14:textId="77777777" w:rsidR="00172B42" w:rsidRDefault="00172B42" w:rsidP="00B852DB">
      <w:pPr>
        <w:tabs>
          <w:tab w:val="left" w:pos="2740"/>
        </w:tabs>
        <w:spacing w:line="238" w:lineRule="auto"/>
        <w:ind w:left="1134" w:right="260" w:hanging="1134"/>
        <w:jc w:val="both"/>
        <w:rPr>
          <w:rFonts w:ascii="Arial" w:hAnsi="Arial"/>
          <w:sz w:val="22"/>
          <w:szCs w:val="22"/>
          <w:lang w:val="es-CR"/>
        </w:rPr>
      </w:pPr>
    </w:p>
    <w:p w14:paraId="23CC3650" w14:textId="1A303C15" w:rsidR="00172B42" w:rsidRPr="000501EB" w:rsidRDefault="00F92E67" w:rsidP="000501EB">
      <w:pPr>
        <w:pStyle w:val="Ttulo2"/>
        <w:ind w:left="284"/>
        <w:rPr>
          <w:rFonts w:ascii="Arial" w:eastAsia="Arial" w:hAnsi="Arial" w:cs="Arial"/>
          <w:b/>
          <w:bCs/>
          <w:sz w:val="20"/>
          <w:szCs w:val="20"/>
          <w:lang w:val="es-CR"/>
        </w:rPr>
      </w:pPr>
      <w:bookmarkStart w:id="95" w:name="_Toc172726230"/>
      <w:r w:rsidRPr="000501EB">
        <w:rPr>
          <w:rFonts w:ascii="Arial" w:eastAsia="Arial" w:hAnsi="Arial" w:cs="Arial"/>
          <w:b/>
          <w:bCs/>
          <w:sz w:val="20"/>
          <w:szCs w:val="20"/>
          <w:lang w:val="es-CR"/>
        </w:rPr>
        <w:lastRenderedPageBreak/>
        <w:t>Beneficios a los Empleados</w:t>
      </w:r>
      <w:bookmarkEnd w:id="95"/>
    </w:p>
    <w:p w14:paraId="411B8093" w14:textId="77777777" w:rsidR="00F92E67" w:rsidRDefault="00F92E67" w:rsidP="00B852DB">
      <w:pPr>
        <w:tabs>
          <w:tab w:val="left" w:pos="2740"/>
        </w:tabs>
        <w:spacing w:line="238" w:lineRule="auto"/>
        <w:ind w:left="1134" w:right="260" w:hanging="1134"/>
        <w:jc w:val="both"/>
        <w:rPr>
          <w:b/>
          <w:bCs/>
          <w:sz w:val="23"/>
          <w:szCs w:val="23"/>
        </w:rPr>
      </w:pPr>
    </w:p>
    <w:tbl>
      <w:tblPr>
        <w:tblW w:w="9680" w:type="dxa"/>
        <w:tblLook w:val="04A0" w:firstRow="1" w:lastRow="0" w:firstColumn="1" w:lastColumn="0" w:noHBand="0" w:noVBand="1"/>
      </w:tblPr>
      <w:tblGrid>
        <w:gridCol w:w="636"/>
        <w:gridCol w:w="417"/>
        <w:gridCol w:w="611"/>
        <w:gridCol w:w="3681"/>
        <w:gridCol w:w="2250"/>
        <w:gridCol w:w="2085"/>
      </w:tblGrid>
      <w:tr w:rsidR="00F92E67" w:rsidRPr="000D0E38" w14:paraId="4FDC7B85" w14:textId="77777777" w:rsidTr="00F92E67">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1BD7A71" w14:textId="77777777" w:rsidR="00F92E67" w:rsidRPr="000D0E38" w:rsidRDefault="00F92E67" w:rsidP="00F92E67">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0F277A" w14:textId="77777777" w:rsidR="00F92E67" w:rsidRPr="000D0E38" w:rsidRDefault="00F92E67" w:rsidP="00F92E67">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096A58C7" w14:textId="77777777" w:rsidR="00F92E67" w:rsidRPr="000D0E38" w:rsidRDefault="00F92E67" w:rsidP="00F92E67">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Referencia</w:t>
            </w:r>
          </w:p>
        </w:tc>
      </w:tr>
      <w:tr w:rsidR="00F92E67" w:rsidRPr="006E5442" w14:paraId="3DC33931" w14:textId="77777777" w:rsidTr="00F92E67">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587B841E" w14:textId="77777777" w:rsidR="00F92E67" w:rsidRPr="000D0E38" w:rsidRDefault="00F92E67" w:rsidP="00F92E67">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158854D5" w14:textId="77777777" w:rsidR="00F92E67" w:rsidRPr="000D0E38" w:rsidRDefault="00F92E67" w:rsidP="00F92E67">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2A2B325E" w14:textId="77777777" w:rsidR="00F92E67" w:rsidRPr="000D0E38" w:rsidRDefault="00F92E67" w:rsidP="00F92E67">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56380275" w14:textId="77777777" w:rsidR="00F92E67" w:rsidRPr="000D0E38" w:rsidRDefault="00F92E67" w:rsidP="00F92E67">
            <w:pPr>
              <w:jc w:val="center"/>
              <w:rPr>
                <w:rFonts w:ascii="Arial Narrow" w:eastAsia="Times New Roman" w:hAnsi="Arial Narrow" w:cs="Calibri"/>
                <w:b/>
                <w:bCs/>
                <w:color w:val="FFFFFF"/>
                <w:sz w:val="22"/>
                <w:szCs w:val="22"/>
                <w:lang w:val="es-CR"/>
              </w:rPr>
            </w:pPr>
            <w:r w:rsidRPr="000D0E38">
              <w:rPr>
                <w:rFonts w:ascii="Arial Narrow" w:eastAsia="Times New Roman" w:hAnsi="Arial Narrow" w:cs="Calibri"/>
                <w:b/>
                <w:bCs/>
                <w:color w:val="FFFFFF"/>
                <w:sz w:val="22"/>
                <w:szCs w:val="22"/>
                <w:lang w:val="es-CR"/>
              </w:rPr>
              <w:t>Normativa técnica y disposiciones adicionales</w:t>
            </w:r>
          </w:p>
        </w:tc>
      </w:tr>
      <w:tr w:rsidR="00F92E67" w:rsidRPr="000D0E38" w14:paraId="474697E4" w14:textId="77777777" w:rsidTr="00F92E67">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75DBDB" w14:textId="77777777" w:rsidR="00F92E67" w:rsidRPr="000D0E38" w:rsidRDefault="00F92E67" w:rsidP="00F92E67">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158005E0" w14:textId="77777777" w:rsidR="00F92E67" w:rsidRPr="000D0E38" w:rsidRDefault="00F92E67" w:rsidP="00F92E67">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34</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6B6E2762" w14:textId="7E7708CE" w:rsidR="00F92E67" w:rsidRPr="000D0E38" w:rsidRDefault="00F92E67" w:rsidP="00F92E67">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7BE9BF9A" w14:textId="77777777" w:rsidR="00F92E67" w:rsidRPr="000D0E38" w:rsidRDefault="00F92E67" w:rsidP="00F92E67">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Beneficios a los empleados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51687174" w14:textId="77777777" w:rsidR="00F92E67" w:rsidRPr="000D0E38" w:rsidRDefault="00F92E67" w:rsidP="00F92E67">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 xml:space="preserve">NICSP N° 39, </w:t>
            </w:r>
            <w:r w:rsidRPr="000D0E38">
              <w:rPr>
                <w:rFonts w:ascii="Arial Narrow" w:eastAsia="Times New Roman" w:hAnsi="Arial Narrow" w:cs="Calibri"/>
                <w:b/>
                <w:bCs/>
                <w:color w:val="000000"/>
                <w:sz w:val="22"/>
                <w:szCs w:val="22"/>
              </w:rPr>
              <w:br/>
              <w:t>Párrafos 4 y 8.</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2ED54862" w14:textId="77777777" w:rsidR="00F92E67" w:rsidRPr="000D0E38" w:rsidRDefault="00F92E67" w:rsidP="00F92E67">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 xml:space="preserve"> </w:t>
            </w:r>
          </w:p>
        </w:tc>
      </w:tr>
    </w:tbl>
    <w:p w14:paraId="0F706283" w14:textId="77777777" w:rsidR="00F92E67" w:rsidRDefault="00F92E67" w:rsidP="00B852DB">
      <w:pPr>
        <w:tabs>
          <w:tab w:val="left" w:pos="2740"/>
        </w:tabs>
        <w:spacing w:line="238" w:lineRule="auto"/>
        <w:ind w:left="1134" w:right="260" w:hanging="1134"/>
        <w:jc w:val="both"/>
        <w:rPr>
          <w:rFonts w:ascii="Arial" w:hAnsi="Arial"/>
          <w:sz w:val="22"/>
          <w:szCs w:val="22"/>
          <w:lang w:val="es-CR"/>
        </w:rPr>
      </w:pPr>
    </w:p>
    <w:p w14:paraId="0ADE739F" w14:textId="092C0321" w:rsidR="005A4C96" w:rsidRDefault="005A4C96" w:rsidP="00B852DB">
      <w:pPr>
        <w:tabs>
          <w:tab w:val="left" w:pos="2740"/>
        </w:tabs>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40E7DC82"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5B87263B" w14:textId="75ACC9E6" w:rsidR="00F92E67" w:rsidRDefault="00F92E67" w:rsidP="00F92E67">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2.34.0.01</w:t>
      </w:r>
      <w:r>
        <w:rPr>
          <w:rFonts w:ascii="Arial" w:hAnsi="Arial"/>
          <w:sz w:val="22"/>
          <w:szCs w:val="22"/>
          <w:lang w:val="es-CR"/>
        </w:rPr>
        <w:tab/>
      </w:r>
      <w:r w:rsidRPr="00F92E67">
        <w:rPr>
          <w:rFonts w:ascii="Arial" w:hAnsi="Arial"/>
          <w:sz w:val="22"/>
          <w:szCs w:val="22"/>
          <w:lang w:val="es-CR"/>
        </w:rPr>
        <w:t xml:space="preserve">Los beneficios a los empleados comprenden todos los tipos de retribuciones que una entidad proporciona a sus trabajadores a </w:t>
      </w:r>
      <w:r w:rsidR="000E5DF8" w:rsidRPr="00F92E67">
        <w:rPr>
          <w:rFonts w:ascii="Arial" w:hAnsi="Arial"/>
          <w:sz w:val="22"/>
          <w:szCs w:val="22"/>
          <w:lang w:val="es-CR"/>
        </w:rPr>
        <w:t>ca</w:t>
      </w:r>
      <w:r w:rsidR="000E5DF8">
        <w:rPr>
          <w:rFonts w:ascii="Arial" w:hAnsi="Arial"/>
          <w:sz w:val="22"/>
          <w:szCs w:val="22"/>
          <w:lang w:val="es-CR"/>
        </w:rPr>
        <w:t>mbi</w:t>
      </w:r>
      <w:r w:rsidR="000E5DF8" w:rsidRPr="00F92E67">
        <w:rPr>
          <w:rFonts w:ascii="Arial" w:hAnsi="Arial"/>
          <w:sz w:val="22"/>
          <w:szCs w:val="22"/>
          <w:lang w:val="es-CR"/>
        </w:rPr>
        <w:t>o</w:t>
      </w:r>
      <w:r w:rsidRPr="00F92E67">
        <w:rPr>
          <w:rFonts w:ascii="Arial" w:hAnsi="Arial"/>
          <w:sz w:val="22"/>
          <w:szCs w:val="22"/>
          <w:lang w:val="es-CR"/>
        </w:rPr>
        <w:t xml:space="preserve"> de sus servicios, incluyendo:</w:t>
      </w:r>
    </w:p>
    <w:p w14:paraId="4867BB6B" w14:textId="0444B958" w:rsidR="00F92E67" w:rsidRPr="00F92E67" w:rsidRDefault="00F92E67" w:rsidP="00F92E67">
      <w:pPr>
        <w:tabs>
          <w:tab w:val="left" w:pos="2740"/>
        </w:tabs>
        <w:spacing w:line="238" w:lineRule="auto"/>
        <w:ind w:left="1134" w:right="260" w:hanging="1134"/>
        <w:jc w:val="both"/>
        <w:rPr>
          <w:rFonts w:ascii="Arial" w:hAnsi="Arial"/>
          <w:sz w:val="22"/>
          <w:szCs w:val="22"/>
          <w:lang w:val="es-CR"/>
        </w:rPr>
      </w:pPr>
      <w:r w:rsidRPr="00F92E67">
        <w:rPr>
          <w:rFonts w:ascii="Arial" w:hAnsi="Arial"/>
          <w:sz w:val="22"/>
          <w:szCs w:val="22"/>
          <w:lang w:val="es-CR"/>
        </w:rPr>
        <w:t xml:space="preserve"> </w:t>
      </w:r>
    </w:p>
    <w:p w14:paraId="4E8DDA7A" w14:textId="31F19788" w:rsidR="00F92E67" w:rsidRPr="00F92E67" w:rsidRDefault="00F92E67">
      <w:pPr>
        <w:pStyle w:val="Prrafodelista"/>
        <w:numPr>
          <w:ilvl w:val="1"/>
          <w:numId w:val="149"/>
        </w:numPr>
        <w:tabs>
          <w:tab w:val="left" w:pos="2740"/>
        </w:tabs>
        <w:spacing w:after="120" w:line="238" w:lineRule="auto"/>
        <w:ind w:left="1559" w:right="261" w:hanging="357"/>
        <w:contextualSpacing w:val="0"/>
        <w:jc w:val="both"/>
        <w:rPr>
          <w:rFonts w:ascii="Arial" w:hAnsi="Arial"/>
          <w:sz w:val="22"/>
          <w:szCs w:val="22"/>
          <w:lang w:val="es-CR"/>
        </w:rPr>
      </w:pPr>
      <w:r w:rsidRPr="00F92E67">
        <w:rPr>
          <w:rFonts w:ascii="Arial" w:hAnsi="Arial"/>
          <w:sz w:val="22"/>
          <w:szCs w:val="22"/>
          <w:lang w:val="es-CR"/>
        </w:rPr>
        <w:t xml:space="preserve">planes u otro tipo de acuerdos formales celebrados entre una entidad y sus empleados, ya sea individualmente, con grupos particulares de empleados o con sus representantes; </w:t>
      </w:r>
    </w:p>
    <w:p w14:paraId="330355A9" w14:textId="253B153F" w:rsidR="00F92E67" w:rsidRPr="00F92E67" w:rsidRDefault="00F92E67">
      <w:pPr>
        <w:pStyle w:val="Prrafodelista"/>
        <w:numPr>
          <w:ilvl w:val="1"/>
          <w:numId w:val="149"/>
        </w:numPr>
        <w:tabs>
          <w:tab w:val="left" w:pos="2740"/>
        </w:tabs>
        <w:spacing w:after="120" w:line="238" w:lineRule="auto"/>
        <w:ind w:left="1559" w:right="261" w:hanging="357"/>
        <w:contextualSpacing w:val="0"/>
        <w:jc w:val="both"/>
        <w:rPr>
          <w:rFonts w:ascii="Arial" w:hAnsi="Arial"/>
          <w:sz w:val="22"/>
          <w:szCs w:val="22"/>
          <w:lang w:val="es-CR"/>
        </w:rPr>
      </w:pPr>
      <w:r>
        <w:rPr>
          <w:rFonts w:ascii="Arial" w:hAnsi="Arial"/>
          <w:sz w:val="22"/>
          <w:szCs w:val="22"/>
          <w:lang w:val="es-CR"/>
        </w:rPr>
        <w:t>R</w:t>
      </w:r>
      <w:r w:rsidRPr="00F92E67">
        <w:rPr>
          <w:rFonts w:ascii="Arial" w:hAnsi="Arial"/>
          <w:sz w:val="22"/>
          <w:szCs w:val="22"/>
          <w:lang w:val="es-CR"/>
        </w:rPr>
        <w:t xml:space="preserve">equerimientos legalmente establecidos, o por acuerdos del sector, por los que las entidades están obligadas a contribuir a planes nacionales, gubernamentales, sectoriales u otro tipo de planes multi-patronales, o cuando las entidades están obligadas a contribuir a un programa </w:t>
      </w:r>
      <w:r w:rsidR="000E5DF8" w:rsidRPr="00F92E67">
        <w:rPr>
          <w:rFonts w:ascii="Arial" w:hAnsi="Arial"/>
          <w:sz w:val="22"/>
          <w:szCs w:val="22"/>
          <w:lang w:val="es-CR"/>
        </w:rPr>
        <w:t>co</w:t>
      </w:r>
      <w:r w:rsidR="000E5DF8">
        <w:rPr>
          <w:rFonts w:ascii="Arial" w:hAnsi="Arial"/>
          <w:sz w:val="22"/>
          <w:szCs w:val="22"/>
          <w:lang w:val="es-CR"/>
        </w:rPr>
        <w:t>mbi</w:t>
      </w:r>
      <w:r w:rsidR="000E5DF8" w:rsidRPr="00F92E67">
        <w:rPr>
          <w:rFonts w:ascii="Arial" w:hAnsi="Arial"/>
          <w:sz w:val="22"/>
          <w:szCs w:val="22"/>
          <w:lang w:val="es-CR"/>
        </w:rPr>
        <w:t>nado</w:t>
      </w:r>
      <w:r w:rsidRPr="00F92E67">
        <w:rPr>
          <w:rFonts w:ascii="Arial" w:hAnsi="Arial"/>
          <w:sz w:val="22"/>
          <w:szCs w:val="22"/>
          <w:lang w:val="es-CR"/>
        </w:rPr>
        <w:t xml:space="preserve"> de la seguridad social; y </w:t>
      </w:r>
    </w:p>
    <w:p w14:paraId="21F9F7FB" w14:textId="75B03741" w:rsidR="00F92E67" w:rsidRPr="00F92E67" w:rsidRDefault="00F92E67">
      <w:pPr>
        <w:pStyle w:val="Prrafodelista"/>
        <w:numPr>
          <w:ilvl w:val="1"/>
          <w:numId w:val="149"/>
        </w:numPr>
        <w:tabs>
          <w:tab w:val="left" w:pos="2740"/>
        </w:tabs>
        <w:spacing w:line="238" w:lineRule="auto"/>
        <w:ind w:left="1560" w:right="260"/>
        <w:jc w:val="both"/>
        <w:rPr>
          <w:rFonts w:ascii="Arial" w:hAnsi="Arial"/>
          <w:sz w:val="22"/>
          <w:szCs w:val="22"/>
          <w:lang w:val="es-CR"/>
        </w:rPr>
      </w:pPr>
      <w:r>
        <w:rPr>
          <w:rFonts w:ascii="Arial" w:hAnsi="Arial"/>
          <w:sz w:val="22"/>
          <w:szCs w:val="22"/>
          <w:lang w:val="es-CR"/>
        </w:rPr>
        <w:t>P</w:t>
      </w:r>
      <w:r w:rsidRPr="00F92E67">
        <w:rPr>
          <w:rFonts w:ascii="Arial" w:hAnsi="Arial"/>
          <w:sz w:val="22"/>
          <w:szCs w:val="22"/>
          <w:lang w:val="es-CR"/>
        </w:rPr>
        <w:t xml:space="preserve">rácticas no formalizadas que generan obligaciones implícitas, respecto de las cuales no existe una alternativa realista diferente de la de afrontar los pagos de los beneficios a los empleados. </w:t>
      </w:r>
    </w:p>
    <w:p w14:paraId="1AB669C0" w14:textId="77777777" w:rsidR="00F92E67" w:rsidRDefault="00F92E67" w:rsidP="00B852DB">
      <w:pPr>
        <w:tabs>
          <w:tab w:val="left" w:pos="2740"/>
        </w:tabs>
        <w:spacing w:line="238" w:lineRule="auto"/>
        <w:ind w:left="1134" w:right="260" w:hanging="1134"/>
        <w:jc w:val="both"/>
        <w:rPr>
          <w:rFonts w:ascii="Arial" w:hAnsi="Arial"/>
          <w:sz w:val="22"/>
          <w:szCs w:val="22"/>
          <w:lang w:val="es-CR"/>
        </w:rPr>
      </w:pPr>
    </w:p>
    <w:p w14:paraId="75487866" w14:textId="77777777" w:rsidR="001260AB" w:rsidRDefault="001260AB" w:rsidP="00B852DB">
      <w:pPr>
        <w:tabs>
          <w:tab w:val="left" w:pos="2740"/>
        </w:tabs>
        <w:spacing w:line="238" w:lineRule="auto"/>
        <w:ind w:left="1134" w:right="260" w:hanging="1134"/>
        <w:jc w:val="both"/>
        <w:rPr>
          <w:rFonts w:ascii="Arial" w:hAnsi="Arial"/>
          <w:sz w:val="22"/>
          <w:szCs w:val="22"/>
          <w:lang w:val="es-CR"/>
        </w:rPr>
      </w:pPr>
    </w:p>
    <w:p w14:paraId="45CC4FBE" w14:textId="77777777" w:rsidR="000D0E38" w:rsidRDefault="000D0E38" w:rsidP="00B852DB">
      <w:pPr>
        <w:tabs>
          <w:tab w:val="left" w:pos="2740"/>
        </w:tabs>
        <w:spacing w:line="238" w:lineRule="auto"/>
        <w:ind w:left="1134" w:right="260" w:hanging="1134"/>
        <w:jc w:val="both"/>
        <w:rPr>
          <w:rFonts w:ascii="Arial" w:hAnsi="Arial"/>
          <w:sz w:val="22"/>
          <w:szCs w:val="22"/>
          <w:lang w:val="es-CR"/>
        </w:rPr>
      </w:pPr>
    </w:p>
    <w:tbl>
      <w:tblPr>
        <w:tblW w:w="9680" w:type="dxa"/>
        <w:tblLook w:val="04A0" w:firstRow="1" w:lastRow="0" w:firstColumn="1" w:lastColumn="0" w:noHBand="0" w:noVBand="1"/>
      </w:tblPr>
      <w:tblGrid>
        <w:gridCol w:w="636"/>
        <w:gridCol w:w="435"/>
        <w:gridCol w:w="612"/>
        <w:gridCol w:w="3668"/>
        <w:gridCol w:w="2245"/>
        <w:gridCol w:w="2084"/>
      </w:tblGrid>
      <w:tr w:rsidR="00182904" w:rsidRPr="000D0E38" w14:paraId="083A0CD1" w14:textId="77777777" w:rsidTr="006D690E">
        <w:trPr>
          <w:trHeight w:val="320"/>
        </w:trPr>
        <w:tc>
          <w:tcPr>
            <w:tcW w:w="168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74EFCF0" w14:textId="77777777" w:rsidR="00182904" w:rsidRPr="000D0E38" w:rsidRDefault="00182904" w:rsidP="0018290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Norma / Política</w:t>
            </w:r>
          </w:p>
        </w:tc>
        <w:tc>
          <w:tcPr>
            <w:tcW w:w="366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C4A6651" w14:textId="77777777" w:rsidR="00182904" w:rsidRPr="000D0E38" w:rsidRDefault="00182904" w:rsidP="0018290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Concepto</w:t>
            </w:r>
          </w:p>
        </w:tc>
        <w:tc>
          <w:tcPr>
            <w:tcW w:w="4329" w:type="dxa"/>
            <w:gridSpan w:val="2"/>
            <w:tcBorders>
              <w:top w:val="single" w:sz="8" w:space="0" w:color="auto"/>
              <w:left w:val="nil"/>
              <w:bottom w:val="single" w:sz="8" w:space="0" w:color="auto"/>
              <w:right w:val="single" w:sz="8" w:space="0" w:color="000000"/>
            </w:tcBorders>
            <w:shd w:val="clear" w:color="000000" w:fill="203764"/>
            <w:vAlign w:val="center"/>
            <w:hideMark/>
          </w:tcPr>
          <w:p w14:paraId="0D44172F" w14:textId="77777777" w:rsidR="00182904" w:rsidRPr="000D0E38" w:rsidRDefault="00182904" w:rsidP="0018290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Referencia</w:t>
            </w:r>
          </w:p>
        </w:tc>
      </w:tr>
      <w:tr w:rsidR="00182904" w:rsidRPr="006E5442" w14:paraId="3CD6BA72" w14:textId="77777777" w:rsidTr="006D690E">
        <w:trPr>
          <w:trHeight w:val="940"/>
        </w:trPr>
        <w:tc>
          <w:tcPr>
            <w:tcW w:w="1683" w:type="dxa"/>
            <w:gridSpan w:val="3"/>
            <w:vMerge/>
            <w:tcBorders>
              <w:top w:val="single" w:sz="8" w:space="0" w:color="auto"/>
              <w:left w:val="single" w:sz="8" w:space="0" w:color="auto"/>
              <w:bottom w:val="nil"/>
              <w:right w:val="single" w:sz="8" w:space="0" w:color="000000"/>
            </w:tcBorders>
            <w:vAlign w:val="center"/>
            <w:hideMark/>
          </w:tcPr>
          <w:p w14:paraId="360A5DE1" w14:textId="77777777" w:rsidR="00182904" w:rsidRPr="000D0E38" w:rsidRDefault="00182904" w:rsidP="00182904">
            <w:pPr>
              <w:rPr>
                <w:rFonts w:ascii="Arial Narrow" w:eastAsia="Times New Roman" w:hAnsi="Arial Narrow" w:cs="Calibri"/>
                <w:b/>
                <w:bCs/>
                <w:color w:val="FFFFFF"/>
                <w:sz w:val="22"/>
                <w:szCs w:val="22"/>
              </w:rPr>
            </w:pPr>
          </w:p>
        </w:tc>
        <w:tc>
          <w:tcPr>
            <w:tcW w:w="3668" w:type="dxa"/>
            <w:vMerge/>
            <w:tcBorders>
              <w:top w:val="single" w:sz="8" w:space="0" w:color="auto"/>
              <w:left w:val="single" w:sz="8" w:space="0" w:color="auto"/>
              <w:bottom w:val="nil"/>
              <w:right w:val="single" w:sz="8" w:space="0" w:color="auto"/>
            </w:tcBorders>
            <w:vAlign w:val="center"/>
            <w:hideMark/>
          </w:tcPr>
          <w:p w14:paraId="46C0642B" w14:textId="77777777" w:rsidR="00182904" w:rsidRPr="000D0E38" w:rsidRDefault="00182904" w:rsidP="00182904">
            <w:pPr>
              <w:rPr>
                <w:rFonts w:ascii="Arial Narrow" w:eastAsia="Times New Roman" w:hAnsi="Arial Narrow" w:cs="Calibri"/>
                <w:b/>
                <w:bCs/>
                <w:color w:val="FFFFFF"/>
                <w:sz w:val="22"/>
                <w:szCs w:val="22"/>
              </w:rPr>
            </w:pPr>
          </w:p>
        </w:tc>
        <w:tc>
          <w:tcPr>
            <w:tcW w:w="2245" w:type="dxa"/>
            <w:tcBorders>
              <w:top w:val="nil"/>
              <w:left w:val="nil"/>
              <w:bottom w:val="nil"/>
              <w:right w:val="single" w:sz="8" w:space="0" w:color="auto"/>
            </w:tcBorders>
            <w:shd w:val="clear" w:color="000000" w:fill="203764"/>
            <w:vAlign w:val="center"/>
            <w:hideMark/>
          </w:tcPr>
          <w:p w14:paraId="5DCFA0E2" w14:textId="77777777" w:rsidR="00182904" w:rsidRPr="000D0E38" w:rsidRDefault="00182904" w:rsidP="0018290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Norma</w:t>
            </w:r>
          </w:p>
        </w:tc>
        <w:tc>
          <w:tcPr>
            <w:tcW w:w="2084" w:type="dxa"/>
            <w:tcBorders>
              <w:top w:val="nil"/>
              <w:left w:val="nil"/>
              <w:bottom w:val="nil"/>
              <w:right w:val="single" w:sz="8" w:space="0" w:color="auto"/>
            </w:tcBorders>
            <w:shd w:val="clear" w:color="000000" w:fill="203764"/>
            <w:vAlign w:val="center"/>
            <w:hideMark/>
          </w:tcPr>
          <w:p w14:paraId="015BE116" w14:textId="77777777" w:rsidR="00182904" w:rsidRPr="000D0E38" w:rsidRDefault="00182904" w:rsidP="00182904">
            <w:pPr>
              <w:jc w:val="center"/>
              <w:rPr>
                <w:rFonts w:ascii="Arial Narrow" w:eastAsia="Times New Roman" w:hAnsi="Arial Narrow" w:cs="Calibri"/>
                <w:b/>
                <w:bCs/>
                <w:color w:val="FFFFFF"/>
                <w:sz w:val="22"/>
                <w:szCs w:val="22"/>
                <w:lang w:val="es-CR"/>
              </w:rPr>
            </w:pPr>
            <w:r w:rsidRPr="000D0E38">
              <w:rPr>
                <w:rFonts w:ascii="Arial Narrow" w:eastAsia="Times New Roman" w:hAnsi="Arial Narrow" w:cs="Calibri"/>
                <w:b/>
                <w:bCs/>
                <w:color w:val="FFFFFF"/>
                <w:sz w:val="22"/>
                <w:szCs w:val="22"/>
                <w:lang w:val="es-CR"/>
              </w:rPr>
              <w:t>Normativa técnica y disposiciones adicionales</w:t>
            </w:r>
          </w:p>
        </w:tc>
      </w:tr>
      <w:tr w:rsidR="00182904" w:rsidRPr="000D0E38" w14:paraId="70CBCB28" w14:textId="77777777" w:rsidTr="006D690E">
        <w:trPr>
          <w:trHeight w:val="630"/>
        </w:trPr>
        <w:tc>
          <w:tcPr>
            <w:tcW w:w="6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BB7CC3" w14:textId="77777777" w:rsidR="00182904" w:rsidRPr="000D0E38" w:rsidRDefault="00182904" w:rsidP="0018290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2</w:t>
            </w:r>
          </w:p>
        </w:tc>
        <w:tc>
          <w:tcPr>
            <w:tcW w:w="435" w:type="dxa"/>
            <w:tcBorders>
              <w:top w:val="single" w:sz="8" w:space="0" w:color="auto"/>
              <w:left w:val="nil"/>
              <w:bottom w:val="single" w:sz="8" w:space="0" w:color="auto"/>
              <w:right w:val="single" w:sz="8" w:space="0" w:color="auto"/>
            </w:tcBorders>
            <w:shd w:val="clear" w:color="auto" w:fill="auto"/>
            <w:noWrap/>
            <w:vAlign w:val="center"/>
            <w:hideMark/>
          </w:tcPr>
          <w:p w14:paraId="77ADFF81" w14:textId="77777777" w:rsidR="00182904" w:rsidRPr="000D0E38" w:rsidRDefault="00182904" w:rsidP="0018290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35</w:t>
            </w:r>
          </w:p>
        </w:tc>
        <w:tc>
          <w:tcPr>
            <w:tcW w:w="612" w:type="dxa"/>
            <w:tcBorders>
              <w:top w:val="single" w:sz="8" w:space="0" w:color="auto"/>
              <w:left w:val="nil"/>
              <w:bottom w:val="single" w:sz="8" w:space="0" w:color="auto"/>
              <w:right w:val="single" w:sz="8" w:space="0" w:color="auto"/>
            </w:tcBorders>
            <w:shd w:val="clear" w:color="auto" w:fill="auto"/>
            <w:vAlign w:val="center"/>
            <w:hideMark/>
          </w:tcPr>
          <w:p w14:paraId="693000AE" w14:textId="45A5A350" w:rsidR="00182904" w:rsidRPr="000D0E38" w:rsidRDefault="00182904" w:rsidP="00182904">
            <w:pPr>
              <w:jc w:val="center"/>
              <w:rPr>
                <w:rFonts w:ascii="Arial Narrow" w:eastAsia="Times New Roman" w:hAnsi="Arial Narrow" w:cs="Calibri"/>
                <w:b/>
                <w:bCs/>
                <w:color w:val="000000"/>
                <w:sz w:val="22"/>
                <w:szCs w:val="22"/>
              </w:rPr>
            </w:pPr>
          </w:p>
        </w:tc>
        <w:tc>
          <w:tcPr>
            <w:tcW w:w="3668" w:type="dxa"/>
            <w:tcBorders>
              <w:top w:val="single" w:sz="8" w:space="0" w:color="auto"/>
              <w:left w:val="nil"/>
              <w:bottom w:val="single" w:sz="8" w:space="0" w:color="auto"/>
              <w:right w:val="single" w:sz="8" w:space="0" w:color="auto"/>
            </w:tcBorders>
            <w:shd w:val="clear" w:color="auto" w:fill="auto"/>
            <w:vAlign w:val="center"/>
            <w:hideMark/>
          </w:tcPr>
          <w:p w14:paraId="7197071F" w14:textId="77777777" w:rsidR="00182904" w:rsidRPr="000D0E38" w:rsidRDefault="00182904" w:rsidP="00182904">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Alcance</w:t>
            </w:r>
          </w:p>
        </w:tc>
        <w:tc>
          <w:tcPr>
            <w:tcW w:w="2245" w:type="dxa"/>
            <w:tcBorders>
              <w:top w:val="single" w:sz="8" w:space="0" w:color="auto"/>
              <w:left w:val="nil"/>
              <w:bottom w:val="single" w:sz="8" w:space="0" w:color="auto"/>
              <w:right w:val="single" w:sz="8" w:space="0" w:color="auto"/>
            </w:tcBorders>
            <w:shd w:val="clear" w:color="auto" w:fill="auto"/>
            <w:vAlign w:val="center"/>
            <w:hideMark/>
          </w:tcPr>
          <w:p w14:paraId="0BE0724D" w14:textId="77777777" w:rsidR="000501EB" w:rsidRDefault="00182904" w:rsidP="00182904">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 xml:space="preserve">NICSP N° 39, </w:t>
            </w:r>
          </w:p>
          <w:p w14:paraId="49F93064" w14:textId="49A2F6BC" w:rsidR="00182904" w:rsidRPr="000D0E38" w:rsidRDefault="00182904" w:rsidP="00182904">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Párrafos 6, 9 y 26.</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14:paraId="77C2372E" w14:textId="77777777" w:rsidR="00182904" w:rsidRPr="000D0E38" w:rsidRDefault="00182904" w:rsidP="0018290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 xml:space="preserve"> </w:t>
            </w:r>
          </w:p>
        </w:tc>
      </w:tr>
    </w:tbl>
    <w:p w14:paraId="493A4754" w14:textId="77777777" w:rsidR="00B852DB" w:rsidRDefault="00B852DB" w:rsidP="00B852DB">
      <w:pPr>
        <w:tabs>
          <w:tab w:val="left" w:pos="2740"/>
        </w:tabs>
        <w:spacing w:line="238" w:lineRule="auto"/>
        <w:ind w:left="1134" w:right="260" w:hanging="1134"/>
        <w:jc w:val="both"/>
        <w:rPr>
          <w:rFonts w:ascii="Arial" w:hAnsi="Arial"/>
          <w:sz w:val="22"/>
          <w:szCs w:val="22"/>
          <w:lang w:val="es-CR"/>
        </w:rPr>
      </w:pPr>
    </w:p>
    <w:p w14:paraId="7D01BBF4" w14:textId="46946CF6" w:rsidR="005A4C96" w:rsidRDefault="005A4C96" w:rsidP="00B852DB">
      <w:pPr>
        <w:tabs>
          <w:tab w:val="left" w:pos="2740"/>
        </w:tabs>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59727911"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3272E421" w14:textId="51025B83" w:rsidR="006D690E" w:rsidRDefault="006D690E" w:rsidP="006D690E">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2.35.0.01</w:t>
      </w:r>
      <w:r>
        <w:rPr>
          <w:rFonts w:ascii="Arial" w:hAnsi="Arial"/>
          <w:sz w:val="22"/>
          <w:szCs w:val="22"/>
          <w:lang w:val="es-CR"/>
        </w:rPr>
        <w:tab/>
      </w:r>
      <w:r w:rsidRPr="006D690E">
        <w:rPr>
          <w:rFonts w:ascii="Arial" w:hAnsi="Arial"/>
          <w:sz w:val="22"/>
          <w:szCs w:val="22"/>
          <w:lang w:val="es-CR"/>
        </w:rPr>
        <w:t xml:space="preserve">En la </w:t>
      </w:r>
      <w:r w:rsidR="000F29DC">
        <w:rPr>
          <w:rFonts w:ascii="Arial" w:hAnsi="Arial"/>
          <w:sz w:val="22"/>
          <w:szCs w:val="22"/>
          <w:lang w:val="es-CR"/>
        </w:rPr>
        <w:t>MBA</w:t>
      </w:r>
      <w:r w:rsidRPr="006D690E">
        <w:rPr>
          <w:rFonts w:ascii="Arial" w:hAnsi="Arial"/>
          <w:sz w:val="22"/>
          <w:szCs w:val="22"/>
          <w:lang w:val="es-CR"/>
        </w:rPr>
        <w:t xml:space="preserve"> incluyen los beneficios a los empleados proporcionados a los trabajadores o las personas que tienen a su cargo</w:t>
      </w:r>
      <w:r w:rsidR="00087CE6">
        <w:rPr>
          <w:rFonts w:ascii="Arial" w:hAnsi="Arial"/>
          <w:sz w:val="22"/>
          <w:szCs w:val="22"/>
          <w:lang w:val="es-CR"/>
        </w:rPr>
        <w:t xml:space="preserve">, </w:t>
      </w:r>
      <w:r w:rsidR="00087CE6" w:rsidRPr="000501EB">
        <w:rPr>
          <w:rFonts w:ascii="Arial" w:hAnsi="Arial"/>
          <w:sz w:val="22"/>
          <w:szCs w:val="22"/>
          <w:lang w:val="es-CR"/>
        </w:rPr>
        <w:t xml:space="preserve">sean a corto plazo (como remuneraciones, contribuciones a la seguridad social, ausencias remuneradas, atención médica y otras) y pueden ser satisfechos mediante pagos (o suministrando bienes y servicios previamente comprometidos) </w:t>
      </w:r>
      <w:r w:rsidRPr="006D690E">
        <w:rPr>
          <w:rFonts w:ascii="Arial" w:hAnsi="Arial"/>
          <w:sz w:val="22"/>
          <w:szCs w:val="22"/>
          <w:lang w:val="es-CR"/>
        </w:rPr>
        <w:t>y pueden ser liquidados mediante pagos (o el suministro de bienes o servicios) realizados directamente a los empleados, a sus cónyuges, hijos u otras personas dependientes de aquéllos, o a terceros, tales como compañías de seguros.</w:t>
      </w:r>
    </w:p>
    <w:p w14:paraId="607EDFCE" w14:textId="6E28E8AB" w:rsidR="006D690E" w:rsidRPr="006D690E" w:rsidRDefault="006D690E" w:rsidP="006D690E">
      <w:pPr>
        <w:tabs>
          <w:tab w:val="left" w:pos="2740"/>
        </w:tabs>
        <w:spacing w:line="238" w:lineRule="auto"/>
        <w:ind w:left="1134" w:right="260" w:hanging="1134"/>
        <w:jc w:val="both"/>
        <w:rPr>
          <w:rFonts w:ascii="Arial" w:hAnsi="Arial"/>
          <w:sz w:val="22"/>
          <w:szCs w:val="22"/>
          <w:lang w:val="es-CR"/>
        </w:rPr>
      </w:pPr>
      <w:r w:rsidRPr="006D690E">
        <w:rPr>
          <w:rFonts w:ascii="Arial" w:hAnsi="Arial"/>
          <w:sz w:val="22"/>
          <w:szCs w:val="22"/>
          <w:lang w:val="es-CR"/>
        </w:rPr>
        <w:t xml:space="preserve"> </w:t>
      </w:r>
    </w:p>
    <w:p w14:paraId="2008C201" w14:textId="77777777" w:rsidR="00087CE6" w:rsidRDefault="006D690E" w:rsidP="006D690E">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2.35.0.02</w:t>
      </w:r>
      <w:r>
        <w:rPr>
          <w:rFonts w:ascii="Arial" w:hAnsi="Arial"/>
          <w:sz w:val="22"/>
          <w:szCs w:val="22"/>
          <w:lang w:val="es-CR"/>
        </w:rPr>
        <w:tab/>
      </w:r>
      <w:r w:rsidRPr="006D690E">
        <w:rPr>
          <w:rFonts w:ascii="Arial" w:hAnsi="Arial"/>
          <w:sz w:val="22"/>
          <w:szCs w:val="22"/>
          <w:lang w:val="es-CR"/>
        </w:rPr>
        <w:t>Los beneficios a los empleados a corto plazo incluyen elementos tales como los siguientes, si se esperan liquidar totalmente antes de doce meses después del final del periodo sobre el que se informa en el que los empleados presten los servicios relacionados:</w:t>
      </w:r>
    </w:p>
    <w:p w14:paraId="0B365768" w14:textId="66513991" w:rsidR="006D690E" w:rsidRPr="00265B82" w:rsidRDefault="006D690E" w:rsidP="00265B82">
      <w:pPr>
        <w:tabs>
          <w:tab w:val="left" w:pos="2740"/>
        </w:tabs>
        <w:spacing w:line="238" w:lineRule="auto"/>
        <w:ind w:left="1134" w:right="260" w:hanging="1134"/>
        <w:jc w:val="both"/>
        <w:rPr>
          <w:rFonts w:ascii="Arial" w:hAnsi="Arial"/>
          <w:sz w:val="22"/>
          <w:szCs w:val="22"/>
          <w:lang w:val="es-CR"/>
        </w:rPr>
      </w:pPr>
      <w:r w:rsidRPr="006D690E">
        <w:rPr>
          <w:rFonts w:ascii="Arial" w:hAnsi="Arial"/>
          <w:sz w:val="22"/>
          <w:szCs w:val="22"/>
          <w:lang w:val="es-CR"/>
        </w:rPr>
        <w:t xml:space="preserve"> </w:t>
      </w:r>
      <w:r w:rsidRPr="006D690E">
        <w:rPr>
          <w:sz w:val="22"/>
          <w:szCs w:val="22"/>
          <w:lang w:val="es-CR"/>
        </w:rPr>
        <w:t xml:space="preserve"> </w:t>
      </w:r>
    </w:p>
    <w:p w14:paraId="76B16DD8" w14:textId="0EE11BE4" w:rsidR="00265B82" w:rsidRPr="00265B82" w:rsidRDefault="00265B82">
      <w:pPr>
        <w:pStyle w:val="Default"/>
        <w:numPr>
          <w:ilvl w:val="0"/>
          <w:numId w:val="150"/>
        </w:numPr>
        <w:spacing w:after="120"/>
        <w:ind w:left="1418" w:right="288" w:hanging="284"/>
        <w:jc w:val="both"/>
        <w:rPr>
          <w:sz w:val="22"/>
          <w:szCs w:val="22"/>
          <w:lang w:val="es-CR"/>
        </w:rPr>
      </w:pPr>
      <w:r>
        <w:rPr>
          <w:sz w:val="22"/>
          <w:szCs w:val="22"/>
          <w:lang w:val="es-CR"/>
        </w:rPr>
        <w:t>L</w:t>
      </w:r>
      <w:r w:rsidRPr="00265B82">
        <w:rPr>
          <w:sz w:val="22"/>
          <w:szCs w:val="22"/>
          <w:lang w:val="es-CR"/>
        </w:rPr>
        <w:t>as remuneraciones básicas y eventuales por pagar</w:t>
      </w:r>
      <w:r>
        <w:rPr>
          <w:sz w:val="22"/>
          <w:szCs w:val="22"/>
          <w:lang w:val="es-CR"/>
        </w:rPr>
        <w:t>.</w:t>
      </w:r>
    </w:p>
    <w:p w14:paraId="0FCFDF9F" w14:textId="774777C9" w:rsidR="00265B82" w:rsidRPr="00265B82" w:rsidRDefault="00265B82">
      <w:pPr>
        <w:pStyle w:val="Default"/>
        <w:numPr>
          <w:ilvl w:val="0"/>
          <w:numId w:val="150"/>
        </w:numPr>
        <w:spacing w:after="120"/>
        <w:ind w:left="1418" w:right="288" w:hanging="284"/>
        <w:jc w:val="both"/>
        <w:rPr>
          <w:sz w:val="22"/>
          <w:szCs w:val="22"/>
          <w:lang w:val="es-CR"/>
        </w:rPr>
      </w:pPr>
      <w:r>
        <w:rPr>
          <w:sz w:val="22"/>
          <w:szCs w:val="22"/>
          <w:lang w:val="es-CR"/>
        </w:rPr>
        <w:lastRenderedPageBreak/>
        <w:t>L</w:t>
      </w:r>
      <w:r w:rsidRPr="00265B82">
        <w:rPr>
          <w:sz w:val="22"/>
          <w:szCs w:val="22"/>
          <w:lang w:val="es-CR"/>
        </w:rPr>
        <w:t>os incentivos que la entidad haya otorgado a sus empleados</w:t>
      </w:r>
      <w:r>
        <w:rPr>
          <w:sz w:val="22"/>
          <w:szCs w:val="22"/>
          <w:lang w:val="es-CR"/>
        </w:rPr>
        <w:t>.</w:t>
      </w:r>
    </w:p>
    <w:p w14:paraId="2906F7C3" w14:textId="11122852" w:rsidR="00265B82" w:rsidRPr="00265B82" w:rsidRDefault="00265B82">
      <w:pPr>
        <w:pStyle w:val="Default"/>
        <w:numPr>
          <w:ilvl w:val="0"/>
          <w:numId w:val="150"/>
        </w:numPr>
        <w:spacing w:after="120"/>
        <w:ind w:left="1418" w:right="288" w:hanging="284"/>
        <w:jc w:val="both"/>
        <w:rPr>
          <w:sz w:val="22"/>
          <w:szCs w:val="22"/>
          <w:lang w:val="es-CR"/>
        </w:rPr>
      </w:pPr>
      <w:r>
        <w:rPr>
          <w:sz w:val="22"/>
          <w:szCs w:val="22"/>
          <w:lang w:val="es-CR"/>
        </w:rPr>
        <w:t>L</w:t>
      </w:r>
      <w:r w:rsidRPr="00265B82">
        <w:rPr>
          <w:sz w:val="22"/>
          <w:szCs w:val="22"/>
          <w:lang w:val="es-CR"/>
        </w:rPr>
        <w:t>a asistencia social y otros beneficios al personal</w:t>
      </w:r>
      <w:r>
        <w:rPr>
          <w:sz w:val="22"/>
          <w:szCs w:val="22"/>
          <w:lang w:val="es-CR"/>
        </w:rPr>
        <w:t>.</w:t>
      </w:r>
    </w:p>
    <w:p w14:paraId="582E4914" w14:textId="5345480D" w:rsidR="00265B82" w:rsidRPr="00265B82" w:rsidRDefault="00265B82">
      <w:pPr>
        <w:pStyle w:val="Default"/>
        <w:numPr>
          <w:ilvl w:val="0"/>
          <w:numId w:val="150"/>
        </w:numPr>
        <w:spacing w:after="120"/>
        <w:ind w:left="1418" w:right="288" w:hanging="284"/>
        <w:jc w:val="both"/>
        <w:rPr>
          <w:sz w:val="22"/>
          <w:szCs w:val="22"/>
          <w:lang w:val="es-CR"/>
        </w:rPr>
      </w:pPr>
      <w:r>
        <w:rPr>
          <w:sz w:val="22"/>
          <w:szCs w:val="22"/>
          <w:lang w:val="es-CR"/>
        </w:rPr>
        <w:t>L</w:t>
      </w:r>
      <w:r w:rsidRPr="00265B82">
        <w:rPr>
          <w:sz w:val="22"/>
          <w:szCs w:val="22"/>
          <w:lang w:val="es-CR"/>
        </w:rPr>
        <w:t>as contribuciones que la entidad debe realizar por seguridad social o a fondos de pensiones u otros fondos de capitalización</w:t>
      </w:r>
      <w:r>
        <w:rPr>
          <w:sz w:val="22"/>
          <w:szCs w:val="22"/>
          <w:lang w:val="es-CR"/>
        </w:rPr>
        <w:t>.</w:t>
      </w:r>
    </w:p>
    <w:p w14:paraId="654DDA02" w14:textId="60290BF2" w:rsidR="00265B82" w:rsidRDefault="00265B82">
      <w:pPr>
        <w:pStyle w:val="Default"/>
        <w:numPr>
          <w:ilvl w:val="0"/>
          <w:numId w:val="150"/>
        </w:numPr>
        <w:spacing w:after="120"/>
        <w:ind w:left="1418" w:right="288" w:hanging="284"/>
        <w:jc w:val="both"/>
        <w:rPr>
          <w:sz w:val="22"/>
          <w:szCs w:val="22"/>
          <w:lang w:val="es-CR"/>
        </w:rPr>
      </w:pPr>
      <w:r>
        <w:rPr>
          <w:sz w:val="22"/>
          <w:szCs w:val="22"/>
          <w:lang w:val="es-CR"/>
        </w:rPr>
        <w:t>L</w:t>
      </w:r>
      <w:r w:rsidRPr="00265B82">
        <w:rPr>
          <w:sz w:val="22"/>
          <w:szCs w:val="22"/>
          <w:lang w:val="es-CR"/>
        </w:rPr>
        <w:t>as retenciones realizadas al personal por el pago de fondos de jubilación o de capitalización, cuotas de asistencia social o sindica</w:t>
      </w:r>
      <w:r>
        <w:rPr>
          <w:sz w:val="22"/>
          <w:szCs w:val="22"/>
          <w:lang w:val="es-CR"/>
        </w:rPr>
        <w:t>.</w:t>
      </w:r>
    </w:p>
    <w:p w14:paraId="509A4C49" w14:textId="009A688D" w:rsidR="00265B82" w:rsidRDefault="00265B82">
      <w:pPr>
        <w:pStyle w:val="Default"/>
        <w:numPr>
          <w:ilvl w:val="0"/>
          <w:numId w:val="150"/>
        </w:numPr>
        <w:spacing w:after="120"/>
        <w:ind w:left="1418" w:right="288" w:hanging="284"/>
        <w:jc w:val="both"/>
        <w:rPr>
          <w:sz w:val="22"/>
          <w:szCs w:val="22"/>
          <w:lang w:val="es-CR"/>
        </w:rPr>
      </w:pPr>
      <w:r w:rsidRPr="006D690E">
        <w:rPr>
          <w:sz w:val="22"/>
          <w:szCs w:val="22"/>
          <w:lang w:val="es-CR"/>
        </w:rPr>
        <w:t>Ausencias remuneradas anuales</w:t>
      </w:r>
      <w:r>
        <w:rPr>
          <w:sz w:val="22"/>
          <w:szCs w:val="22"/>
          <w:lang w:val="es-CR"/>
        </w:rPr>
        <w:t xml:space="preserve"> (las vacaciones que por ley debe disfrutar el personal).</w:t>
      </w:r>
    </w:p>
    <w:p w14:paraId="2B7E7CC5" w14:textId="694561C6" w:rsidR="00265B82" w:rsidRPr="00265B82" w:rsidRDefault="00265B82">
      <w:pPr>
        <w:pStyle w:val="Default"/>
        <w:numPr>
          <w:ilvl w:val="0"/>
          <w:numId w:val="150"/>
        </w:numPr>
        <w:spacing w:after="120"/>
        <w:ind w:left="1418" w:right="288" w:hanging="284"/>
        <w:jc w:val="both"/>
        <w:rPr>
          <w:sz w:val="22"/>
          <w:szCs w:val="22"/>
          <w:lang w:val="es-CR"/>
        </w:rPr>
      </w:pPr>
      <w:r>
        <w:rPr>
          <w:sz w:val="22"/>
          <w:szCs w:val="22"/>
          <w:lang w:val="es-CR"/>
        </w:rPr>
        <w:t>A</w:t>
      </w:r>
      <w:r w:rsidRPr="006D690E">
        <w:rPr>
          <w:sz w:val="22"/>
          <w:szCs w:val="22"/>
          <w:lang w:val="es-CR"/>
        </w:rPr>
        <w:t>usencias remuneradas por enfermedad</w:t>
      </w:r>
      <w:r>
        <w:rPr>
          <w:sz w:val="22"/>
          <w:szCs w:val="22"/>
          <w:lang w:val="es-CR"/>
        </w:rPr>
        <w:t xml:space="preserve"> (incapacidades proporcionales según la seguridad social).</w:t>
      </w:r>
    </w:p>
    <w:p w14:paraId="3EC3D80B" w14:textId="51ED794A" w:rsidR="006D690E" w:rsidRPr="006D690E" w:rsidRDefault="006D690E" w:rsidP="006D690E">
      <w:pPr>
        <w:pStyle w:val="Default"/>
        <w:ind w:left="1418"/>
        <w:rPr>
          <w:color w:val="auto"/>
          <w:sz w:val="22"/>
          <w:szCs w:val="22"/>
          <w:lang w:val="es-CR"/>
        </w:rPr>
      </w:pPr>
    </w:p>
    <w:p w14:paraId="43BE5366" w14:textId="111D5228" w:rsidR="00265B82" w:rsidRPr="00265B82" w:rsidRDefault="006D690E" w:rsidP="00265B82">
      <w:pPr>
        <w:tabs>
          <w:tab w:val="left" w:pos="2740"/>
        </w:tabs>
        <w:spacing w:line="238" w:lineRule="auto"/>
        <w:ind w:left="1134" w:right="260" w:hanging="1134"/>
        <w:jc w:val="both"/>
        <w:rPr>
          <w:rFonts w:ascii="Arial" w:hAnsi="Arial"/>
          <w:sz w:val="22"/>
          <w:szCs w:val="22"/>
          <w:lang w:val="es-CR"/>
        </w:rPr>
      </w:pPr>
      <w:r>
        <w:rPr>
          <w:rFonts w:ascii="Arial" w:hAnsi="Arial"/>
          <w:sz w:val="22"/>
          <w:szCs w:val="22"/>
          <w:lang w:val="es-CR"/>
        </w:rPr>
        <w:t>2.35.0.03</w:t>
      </w:r>
      <w:r>
        <w:rPr>
          <w:rFonts w:ascii="Arial" w:hAnsi="Arial"/>
          <w:sz w:val="22"/>
          <w:szCs w:val="22"/>
          <w:lang w:val="es-CR"/>
        </w:rPr>
        <w:tab/>
      </w:r>
      <w:r w:rsidR="00265B82" w:rsidRPr="00265B82">
        <w:rPr>
          <w:rFonts w:ascii="Arial" w:hAnsi="Arial"/>
          <w:sz w:val="22"/>
          <w:szCs w:val="22"/>
          <w:lang w:val="es-CR"/>
        </w:rPr>
        <w:t xml:space="preserve">El alcance de </w:t>
      </w:r>
      <w:r w:rsidR="00265B82">
        <w:rPr>
          <w:rFonts w:ascii="Arial" w:hAnsi="Arial"/>
          <w:sz w:val="22"/>
          <w:szCs w:val="22"/>
          <w:lang w:val="es-CR"/>
        </w:rPr>
        <w:t>los</w:t>
      </w:r>
      <w:r w:rsidR="00265B82" w:rsidRPr="00265B82">
        <w:rPr>
          <w:rFonts w:ascii="Arial" w:hAnsi="Arial"/>
          <w:sz w:val="22"/>
          <w:szCs w:val="22"/>
          <w:lang w:val="es-CR"/>
        </w:rPr>
        <w:t xml:space="preserve"> beneficios va a estar delimitado por la</w:t>
      </w:r>
      <w:r w:rsidR="00265B82">
        <w:rPr>
          <w:rFonts w:ascii="Arial" w:hAnsi="Arial"/>
          <w:sz w:val="22"/>
          <w:szCs w:val="22"/>
          <w:lang w:val="es-CR"/>
        </w:rPr>
        <w:t>s</w:t>
      </w:r>
      <w:r w:rsidR="00265B82" w:rsidRPr="00265B82">
        <w:rPr>
          <w:rFonts w:ascii="Arial" w:hAnsi="Arial"/>
          <w:sz w:val="22"/>
          <w:szCs w:val="22"/>
          <w:lang w:val="es-CR"/>
        </w:rPr>
        <w:t xml:space="preserve"> Normas de Remuneraciones, y demás Reglamentos </w:t>
      </w:r>
      <w:r w:rsidR="00C93D64">
        <w:rPr>
          <w:rFonts w:ascii="Arial" w:hAnsi="Arial"/>
          <w:sz w:val="22"/>
          <w:szCs w:val="22"/>
          <w:lang w:val="es-CR"/>
        </w:rPr>
        <w:t xml:space="preserve">que se encuentren </w:t>
      </w:r>
      <w:r w:rsidR="00265B82" w:rsidRPr="00265B82">
        <w:rPr>
          <w:rFonts w:ascii="Arial" w:hAnsi="Arial"/>
          <w:sz w:val="22"/>
          <w:szCs w:val="22"/>
          <w:lang w:val="es-CR"/>
        </w:rPr>
        <w:t>vigentes</w:t>
      </w:r>
      <w:r w:rsidR="00C93D64">
        <w:rPr>
          <w:rFonts w:ascii="Arial" w:hAnsi="Arial"/>
          <w:sz w:val="22"/>
          <w:szCs w:val="22"/>
          <w:lang w:val="es-CR"/>
        </w:rPr>
        <w:t xml:space="preserve"> al momento del devengo de los beneficios</w:t>
      </w:r>
      <w:r w:rsidR="00265B82" w:rsidRPr="00265B82">
        <w:rPr>
          <w:rFonts w:ascii="Arial" w:hAnsi="Arial"/>
          <w:sz w:val="22"/>
          <w:szCs w:val="22"/>
          <w:lang w:val="es-CR"/>
        </w:rPr>
        <w:t>.</w:t>
      </w:r>
    </w:p>
    <w:p w14:paraId="7A43FEBA" w14:textId="7792464B" w:rsidR="006D690E" w:rsidRPr="006D690E" w:rsidRDefault="006D690E" w:rsidP="006D690E">
      <w:pPr>
        <w:tabs>
          <w:tab w:val="left" w:pos="2740"/>
        </w:tabs>
        <w:spacing w:line="238" w:lineRule="auto"/>
        <w:ind w:left="1134" w:right="260" w:hanging="1134"/>
        <w:jc w:val="both"/>
        <w:rPr>
          <w:rFonts w:ascii="Arial" w:hAnsi="Arial"/>
          <w:sz w:val="22"/>
          <w:szCs w:val="22"/>
          <w:lang w:val="es-CR"/>
        </w:rPr>
      </w:pPr>
    </w:p>
    <w:p w14:paraId="00490648" w14:textId="53243713" w:rsidR="00182904" w:rsidRDefault="00182904" w:rsidP="00182904">
      <w:pPr>
        <w:pStyle w:val="Default"/>
        <w:rPr>
          <w:sz w:val="23"/>
          <w:szCs w:val="23"/>
          <w:lang w:val="es-CR"/>
        </w:rPr>
      </w:pPr>
    </w:p>
    <w:p w14:paraId="3E7DF46F" w14:textId="77777777" w:rsidR="005A4C96" w:rsidRDefault="005A4C96" w:rsidP="00182904">
      <w:pPr>
        <w:pStyle w:val="Default"/>
        <w:rPr>
          <w:sz w:val="23"/>
          <w:szCs w:val="23"/>
          <w:lang w:val="es-CR"/>
        </w:rPr>
      </w:pPr>
    </w:p>
    <w:tbl>
      <w:tblPr>
        <w:tblW w:w="9680" w:type="dxa"/>
        <w:tblLook w:val="04A0" w:firstRow="1" w:lastRow="0" w:firstColumn="1" w:lastColumn="0" w:noHBand="0" w:noVBand="1"/>
      </w:tblPr>
      <w:tblGrid>
        <w:gridCol w:w="637"/>
        <w:gridCol w:w="417"/>
        <w:gridCol w:w="610"/>
        <w:gridCol w:w="3687"/>
        <w:gridCol w:w="2245"/>
        <w:gridCol w:w="2084"/>
      </w:tblGrid>
      <w:tr w:rsidR="00C93D64" w:rsidRPr="000D0E38" w14:paraId="5D77A24E" w14:textId="77777777" w:rsidTr="00C93D64">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4338736" w14:textId="77777777" w:rsidR="00C93D64" w:rsidRPr="000D0E38" w:rsidRDefault="00C93D64" w:rsidP="00C93D6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D6EA40" w14:textId="77777777" w:rsidR="00C93D64" w:rsidRPr="000D0E38" w:rsidRDefault="00C93D64" w:rsidP="00C93D6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4AE5659A" w14:textId="77777777" w:rsidR="00C93D64" w:rsidRPr="000D0E38" w:rsidRDefault="00C93D64" w:rsidP="00C93D6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Referencia</w:t>
            </w:r>
          </w:p>
        </w:tc>
      </w:tr>
      <w:tr w:rsidR="00C93D64" w:rsidRPr="006E5442" w14:paraId="7E19D9B0" w14:textId="77777777" w:rsidTr="00C93D64">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519A709D" w14:textId="77777777" w:rsidR="00C93D64" w:rsidRPr="000D0E38" w:rsidRDefault="00C93D64" w:rsidP="00C93D64">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2CDF0E8E" w14:textId="77777777" w:rsidR="00C93D64" w:rsidRPr="000D0E38" w:rsidRDefault="00C93D64" w:rsidP="00C93D64">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043E170F" w14:textId="77777777" w:rsidR="00C93D64" w:rsidRPr="000D0E38" w:rsidRDefault="00C93D64" w:rsidP="00C93D6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5D075A23" w14:textId="77777777" w:rsidR="00C93D64" w:rsidRPr="000D0E38" w:rsidRDefault="00C93D64" w:rsidP="00C93D64">
            <w:pPr>
              <w:jc w:val="center"/>
              <w:rPr>
                <w:rFonts w:ascii="Arial Narrow" w:eastAsia="Times New Roman" w:hAnsi="Arial Narrow" w:cs="Calibri"/>
                <w:b/>
                <w:bCs/>
                <w:color w:val="FFFFFF"/>
                <w:sz w:val="22"/>
                <w:szCs w:val="22"/>
                <w:lang w:val="es-CR"/>
              </w:rPr>
            </w:pPr>
            <w:r w:rsidRPr="000D0E38">
              <w:rPr>
                <w:rFonts w:ascii="Arial Narrow" w:eastAsia="Times New Roman" w:hAnsi="Arial Narrow" w:cs="Calibri"/>
                <w:b/>
                <w:bCs/>
                <w:color w:val="FFFFFF"/>
                <w:sz w:val="22"/>
                <w:szCs w:val="22"/>
                <w:lang w:val="es-CR"/>
              </w:rPr>
              <w:t>Normativa técnica y disposiciones adicionales</w:t>
            </w:r>
          </w:p>
        </w:tc>
      </w:tr>
      <w:tr w:rsidR="00C93D64" w:rsidRPr="000D0E38" w14:paraId="66EE0F85" w14:textId="77777777" w:rsidTr="00C93D64">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C12122" w14:textId="77777777" w:rsidR="00C93D64" w:rsidRPr="000D0E38" w:rsidRDefault="00C93D64" w:rsidP="00C93D6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4C20FA48" w14:textId="77777777" w:rsidR="00C93D64" w:rsidRPr="000D0E38" w:rsidRDefault="00C93D64" w:rsidP="00C93D6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36</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282E6956" w14:textId="770CEB23" w:rsidR="00C93D64" w:rsidRPr="000D0E38" w:rsidRDefault="00C93D64" w:rsidP="00C93D64">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178BBF2B" w14:textId="77777777" w:rsidR="00C93D64" w:rsidRPr="000D0E38" w:rsidRDefault="00C93D64" w:rsidP="00C93D64">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Criterio general de reconocimiento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431962A5" w14:textId="77777777" w:rsidR="000D0E38" w:rsidRDefault="00C93D64" w:rsidP="00C93D64">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NICSP N° 39,</w:t>
            </w:r>
          </w:p>
          <w:p w14:paraId="67318D91" w14:textId="142AB782" w:rsidR="00C93D64" w:rsidRPr="000D0E38" w:rsidRDefault="00C93D64" w:rsidP="00C93D64">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Párrafo 1.</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310CF4F" w14:textId="77777777" w:rsidR="00C93D64" w:rsidRPr="000D0E38" w:rsidRDefault="00C93D64" w:rsidP="00C93D6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 xml:space="preserve"> </w:t>
            </w:r>
          </w:p>
        </w:tc>
      </w:tr>
    </w:tbl>
    <w:p w14:paraId="11F99459" w14:textId="77777777" w:rsidR="000D0E38" w:rsidRDefault="000D0E38" w:rsidP="00182904">
      <w:pPr>
        <w:pStyle w:val="Default"/>
        <w:rPr>
          <w:sz w:val="23"/>
          <w:szCs w:val="23"/>
          <w:lang w:val="es-CR"/>
        </w:rPr>
      </w:pPr>
    </w:p>
    <w:p w14:paraId="70BAEB99" w14:textId="7B8FAF24" w:rsidR="005A4C96" w:rsidRDefault="005A4C96" w:rsidP="00182904">
      <w:pPr>
        <w:pStyle w:val="Default"/>
        <w:rPr>
          <w:rFonts w:eastAsia="Arial"/>
          <w:b/>
          <w:sz w:val="22"/>
          <w:szCs w:val="22"/>
        </w:rPr>
      </w:pPr>
      <w:r w:rsidRPr="00F02F9D">
        <w:rPr>
          <w:rFonts w:eastAsia="Arial"/>
          <w:b/>
          <w:sz w:val="22"/>
          <w:szCs w:val="22"/>
        </w:rPr>
        <w:t>Política Contable</w:t>
      </w:r>
    </w:p>
    <w:p w14:paraId="241A22A2" w14:textId="77777777" w:rsidR="005A4C96" w:rsidRPr="00182904" w:rsidRDefault="005A4C96" w:rsidP="00182904">
      <w:pPr>
        <w:pStyle w:val="Default"/>
        <w:rPr>
          <w:sz w:val="23"/>
          <w:szCs w:val="23"/>
          <w:lang w:val="es-CR"/>
        </w:rPr>
      </w:pPr>
    </w:p>
    <w:p w14:paraId="02B10FCD" w14:textId="0B0DEACE" w:rsidR="00C93D64" w:rsidRDefault="00C93D64">
      <w:pPr>
        <w:pStyle w:val="Prrafodelista"/>
        <w:numPr>
          <w:ilvl w:val="3"/>
          <w:numId w:val="152"/>
        </w:numPr>
        <w:spacing w:line="238" w:lineRule="auto"/>
        <w:ind w:left="1134" w:right="260" w:hanging="1134"/>
        <w:jc w:val="both"/>
        <w:rPr>
          <w:rFonts w:ascii="Arial" w:hAnsi="Arial"/>
          <w:sz w:val="22"/>
          <w:szCs w:val="22"/>
          <w:lang w:val="es-CR"/>
        </w:rPr>
      </w:pPr>
      <w:r w:rsidRPr="00C93D64">
        <w:rPr>
          <w:rFonts w:ascii="Arial" w:hAnsi="Arial"/>
          <w:sz w:val="22"/>
          <w:szCs w:val="22"/>
          <w:lang w:val="es-CR"/>
        </w:rPr>
        <w:t>En la Municipalidad de se deberá reconocer</w:t>
      </w:r>
      <w:r>
        <w:rPr>
          <w:rFonts w:ascii="Arial" w:hAnsi="Arial"/>
          <w:sz w:val="22"/>
          <w:szCs w:val="22"/>
          <w:lang w:val="es-CR"/>
        </w:rPr>
        <w:t xml:space="preserve"> un pasivo cuando</w:t>
      </w:r>
      <w:r w:rsidRPr="00C93D64">
        <w:rPr>
          <w:rFonts w:ascii="Arial" w:hAnsi="Arial"/>
          <w:sz w:val="22"/>
          <w:szCs w:val="22"/>
          <w:lang w:val="es-CR"/>
        </w:rPr>
        <w:t>:</w:t>
      </w:r>
    </w:p>
    <w:p w14:paraId="571E2C77" w14:textId="77777777" w:rsidR="00C93D64" w:rsidRPr="00C93D64" w:rsidRDefault="00C93D64" w:rsidP="00C93D64">
      <w:pPr>
        <w:pStyle w:val="Prrafodelista"/>
        <w:spacing w:line="238" w:lineRule="auto"/>
        <w:ind w:left="900" w:right="260"/>
        <w:jc w:val="both"/>
        <w:rPr>
          <w:rFonts w:ascii="Arial" w:hAnsi="Arial"/>
          <w:sz w:val="22"/>
          <w:szCs w:val="22"/>
          <w:lang w:val="es-CR"/>
        </w:rPr>
      </w:pPr>
    </w:p>
    <w:p w14:paraId="5DB7D6EE" w14:textId="77777777" w:rsidR="00C93D64" w:rsidRPr="00C93D64" w:rsidRDefault="00C93D64" w:rsidP="00C93D64">
      <w:pPr>
        <w:spacing w:line="9" w:lineRule="exact"/>
        <w:rPr>
          <w:rFonts w:ascii="Times New Roman" w:eastAsia="Times New Roman" w:hAnsi="Times New Roman"/>
          <w:lang w:val="es-CR"/>
        </w:rPr>
      </w:pPr>
    </w:p>
    <w:p w14:paraId="06CF65DB" w14:textId="718EB8C1" w:rsidR="00C93D64" w:rsidRDefault="00C93D64">
      <w:pPr>
        <w:pStyle w:val="Prrafodelista"/>
        <w:numPr>
          <w:ilvl w:val="0"/>
          <w:numId w:val="151"/>
        </w:numPr>
        <w:tabs>
          <w:tab w:val="left" w:pos="1099"/>
        </w:tabs>
        <w:spacing w:line="236" w:lineRule="auto"/>
        <w:ind w:left="1560" w:right="260"/>
        <w:jc w:val="both"/>
        <w:rPr>
          <w:rFonts w:ascii="Arial" w:eastAsia="Arial" w:hAnsi="Arial"/>
          <w:bCs/>
          <w:sz w:val="22"/>
          <w:szCs w:val="22"/>
          <w:lang w:val="es-CR"/>
        </w:rPr>
      </w:pPr>
      <w:r>
        <w:rPr>
          <w:rFonts w:ascii="Arial" w:eastAsia="Arial" w:hAnsi="Arial"/>
          <w:bCs/>
          <w:sz w:val="22"/>
          <w:szCs w:val="22"/>
          <w:lang w:val="es-CR"/>
        </w:rPr>
        <w:t>E</w:t>
      </w:r>
      <w:r w:rsidRPr="00C93D64">
        <w:rPr>
          <w:rFonts w:ascii="Arial" w:eastAsia="Arial" w:hAnsi="Arial"/>
          <w:bCs/>
          <w:sz w:val="22"/>
          <w:szCs w:val="22"/>
          <w:lang w:val="es-CR"/>
        </w:rPr>
        <w:t xml:space="preserve">l empleado haya prestado servicios a </w:t>
      </w:r>
      <w:r w:rsidR="000E5DF8" w:rsidRPr="00C93D64">
        <w:rPr>
          <w:rFonts w:ascii="Arial" w:eastAsia="Arial" w:hAnsi="Arial"/>
          <w:bCs/>
          <w:sz w:val="22"/>
          <w:szCs w:val="22"/>
          <w:lang w:val="es-CR"/>
        </w:rPr>
        <w:t>ca</w:t>
      </w:r>
      <w:r w:rsidR="000E5DF8">
        <w:rPr>
          <w:rFonts w:ascii="Arial" w:eastAsia="Arial" w:hAnsi="Arial"/>
          <w:bCs/>
          <w:sz w:val="22"/>
          <w:szCs w:val="22"/>
          <w:lang w:val="es-CR"/>
        </w:rPr>
        <w:t>mbi</w:t>
      </w:r>
      <w:r w:rsidR="000E5DF8" w:rsidRPr="00C93D64">
        <w:rPr>
          <w:rFonts w:ascii="Arial" w:eastAsia="Arial" w:hAnsi="Arial"/>
          <w:bCs/>
          <w:sz w:val="22"/>
          <w:szCs w:val="22"/>
          <w:lang w:val="es-CR"/>
        </w:rPr>
        <w:t>o</w:t>
      </w:r>
      <w:r w:rsidRPr="00C93D64">
        <w:rPr>
          <w:rFonts w:ascii="Arial" w:eastAsia="Arial" w:hAnsi="Arial"/>
          <w:bCs/>
          <w:sz w:val="22"/>
          <w:szCs w:val="22"/>
          <w:lang w:val="es-CR"/>
        </w:rPr>
        <w:t xml:space="preserve"> de los cuales se le crea el derecho de recibir pagos en el futur</w:t>
      </w:r>
      <w:r>
        <w:rPr>
          <w:rFonts w:ascii="Arial" w:eastAsia="Arial" w:hAnsi="Arial"/>
          <w:bCs/>
          <w:sz w:val="22"/>
          <w:szCs w:val="22"/>
          <w:lang w:val="es-CR"/>
        </w:rPr>
        <w:t>o.</w:t>
      </w:r>
    </w:p>
    <w:p w14:paraId="05A63458" w14:textId="77777777" w:rsidR="00C93D64" w:rsidRDefault="00C93D64" w:rsidP="00C93D64">
      <w:pPr>
        <w:pStyle w:val="Prrafodelista"/>
        <w:tabs>
          <w:tab w:val="left" w:pos="1099"/>
        </w:tabs>
        <w:spacing w:line="236" w:lineRule="auto"/>
        <w:ind w:left="1560" w:right="260"/>
        <w:jc w:val="both"/>
        <w:rPr>
          <w:rFonts w:ascii="Arial" w:eastAsia="Arial" w:hAnsi="Arial"/>
          <w:bCs/>
          <w:sz w:val="22"/>
          <w:szCs w:val="22"/>
          <w:lang w:val="es-CR"/>
        </w:rPr>
      </w:pPr>
    </w:p>
    <w:p w14:paraId="19C86106" w14:textId="5D0657E5" w:rsidR="00C93D64" w:rsidRPr="000D0E38" w:rsidRDefault="00C93D64">
      <w:pPr>
        <w:pStyle w:val="Prrafodelista"/>
        <w:numPr>
          <w:ilvl w:val="0"/>
          <w:numId w:val="151"/>
        </w:numPr>
        <w:tabs>
          <w:tab w:val="left" w:pos="1099"/>
        </w:tabs>
        <w:spacing w:line="236" w:lineRule="auto"/>
        <w:ind w:left="1560" w:right="260"/>
        <w:jc w:val="both"/>
        <w:rPr>
          <w:rFonts w:ascii="Arial" w:eastAsia="Arial" w:hAnsi="Arial"/>
          <w:bCs/>
          <w:sz w:val="22"/>
          <w:szCs w:val="22"/>
          <w:lang w:val="es-CR"/>
        </w:rPr>
      </w:pPr>
      <w:r>
        <w:rPr>
          <w:rFonts w:ascii="Arial" w:eastAsia="Arial" w:hAnsi="Arial"/>
          <w:bCs/>
          <w:sz w:val="22"/>
          <w:szCs w:val="22"/>
          <w:lang w:val="es-CR"/>
        </w:rPr>
        <w:t>L</w:t>
      </w:r>
      <w:r w:rsidRPr="00C93D64">
        <w:rPr>
          <w:rFonts w:ascii="Arial" w:eastAsia="Arial" w:hAnsi="Arial"/>
          <w:bCs/>
          <w:sz w:val="22"/>
          <w:szCs w:val="22"/>
          <w:lang w:val="es-CR"/>
        </w:rPr>
        <w:t xml:space="preserve">a entidad consuma los beneficios económicos o el servicio potencial procedente del servicio prestado por un empleado a </w:t>
      </w:r>
      <w:r w:rsidR="000E5DF8" w:rsidRPr="00C93D64">
        <w:rPr>
          <w:rFonts w:ascii="Arial" w:eastAsia="Arial" w:hAnsi="Arial"/>
          <w:bCs/>
          <w:sz w:val="22"/>
          <w:szCs w:val="22"/>
          <w:lang w:val="es-CR"/>
        </w:rPr>
        <w:t>ca</w:t>
      </w:r>
      <w:r w:rsidR="000E5DF8">
        <w:rPr>
          <w:rFonts w:ascii="Arial" w:eastAsia="Arial" w:hAnsi="Arial"/>
          <w:bCs/>
          <w:sz w:val="22"/>
          <w:szCs w:val="22"/>
          <w:lang w:val="es-CR"/>
        </w:rPr>
        <w:t>mbi</w:t>
      </w:r>
      <w:r w:rsidR="000E5DF8" w:rsidRPr="00C93D64">
        <w:rPr>
          <w:rFonts w:ascii="Arial" w:eastAsia="Arial" w:hAnsi="Arial"/>
          <w:bCs/>
          <w:sz w:val="22"/>
          <w:szCs w:val="22"/>
          <w:lang w:val="es-CR"/>
        </w:rPr>
        <w:t>o</w:t>
      </w:r>
      <w:r w:rsidRPr="00C93D64">
        <w:rPr>
          <w:rFonts w:ascii="Arial" w:eastAsia="Arial" w:hAnsi="Arial"/>
          <w:bCs/>
          <w:sz w:val="22"/>
          <w:szCs w:val="22"/>
          <w:lang w:val="es-CR"/>
        </w:rPr>
        <w:t xml:space="preserve"> de los beneficios a los empleados</w:t>
      </w:r>
      <w:r w:rsidRPr="00C93D64">
        <w:rPr>
          <w:rFonts w:ascii="Arial" w:eastAsia="Arial" w:hAnsi="Arial"/>
          <w:b/>
          <w:sz w:val="22"/>
          <w:szCs w:val="22"/>
          <w:lang w:val="es-CR"/>
        </w:rPr>
        <w:t>.</w:t>
      </w:r>
    </w:p>
    <w:p w14:paraId="061DA141" w14:textId="77777777" w:rsidR="000D0E38" w:rsidRDefault="000D0E38" w:rsidP="000D0E38">
      <w:pPr>
        <w:pStyle w:val="Prrafodelista"/>
        <w:rPr>
          <w:rFonts w:ascii="Arial" w:eastAsia="Arial" w:hAnsi="Arial"/>
          <w:bCs/>
          <w:sz w:val="22"/>
          <w:szCs w:val="22"/>
          <w:lang w:val="es-CR"/>
        </w:rPr>
      </w:pPr>
    </w:p>
    <w:p w14:paraId="45AFEC75" w14:textId="77777777" w:rsidR="005A4C96" w:rsidRPr="000D0E38" w:rsidRDefault="005A4C96" w:rsidP="000D0E38">
      <w:pPr>
        <w:pStyle w:val="Prrafodelista"/>
        <w:rPr>
          <w:rFonts w:ascii="Arial" w:eastAsia="Arial" w:hAnsi="Arial"/>
          <w:bCs/>
          <w:sz w:val="22"/>
          <w:szCs w:val="22"/>
          <w:lang w:val="es-CR"/>
        </w:rPr>
      </w:pPr>
    </w:p>
    <w:p w14:paraId="1E0D7A68" w14:textId="77777777" w:rsidR="000D0E38" w:rsidRPr="000D0E38" w:rsidRDefault="000D0E38" w:rsidP="000D0E38">
      <w:pPr>
        <w:tabs>
          <w:tab w:val="left" w:pos="1099"/>
        </w:tabs>
        <w:spacing w:line="236" w:lineRule="auto"/>
        <w:ind w:right="260"/>
        <w:jc w:val="both"/>
        <w:rPr>
          <w:rFonts w:ascii="Arial" w:eastAsia="Arial" w:hAnsi="Arial"/>
          <w:bCs/>
          <w:sz w:val="22"/>
          <w:szCs w:val="22"/>
          <w:lang w:val="es-CR"/>
        </w:rPr>
      </w:pPr>
    </w:p>
    <w:tbl>
      <w:tblPr>
        <w:tblW w:w="9680" w:type="dxa"/>
        <w:tblLook w:val="04A0" w:firstRow="1" w:lastRow="0" w:firstColumn="1" w:lastColumn="0" w:noHBand="0" w:noVBand="1"/>
      </w:tblPr>
      <w:tblGrid>
        <w:gridCol w:w="637"/>
        <w:gridCol w:w="417"/>
        <w:gridCol w:w="611"/>
        <w:gridCol w:w="3682"/>
        <w:gridCol w:w="2248"/>
        <w:gridCol w:w="2085"/>
      </w:tblGrid>
      <w:tr w:rsidR="00C93D64" w:rsidRPr="000D0E38" w14:paraId="7EA071ED" w14:textId="77777777" w:rsidTr="00C93D64">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1EE1521" w14:textId="77777777" w:rsidR="00C93D64" w:rsidRPr="000D0E38" w:rsidRDefault="00C93D64" w:rsidP="00C93D6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45AD5BF8" w14:textId="77777777" w:rsidR="00C93D64" w:rsidRPr="000D0E38" w:rsidRDefault="00C93D64" w:rsidP="00C93D6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26AE0FCA" w14:textId="77777777" w:rsidR="00C93D64" w:rsidRPr="000D0E38" w:rsidRDefault="00C93D64" w:rsidP="00C93D6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Referencia</w:t>
            </w:r>
          </w:p>
        </w:tc>
      </w:tr>
      <w:tr w:rsidR="00C93D64" w:rsidRPr="006E5442" w14:paraId="6C8B4530" w14:textId="77777777" w:rsidTr="00C93D64">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6C3F7E1E" w14:textId="77777777" w:rsidR="00C93D64" w:rsidRPr="000D0E38" w:rsidRDefault="00C93D64" w:rsidP="00C93D64">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5AD629D3" w14:textId="77777777" w:rsidR="00C93D64" w:rsidRPr="000D0E38" w:rsidRDefault="00C93D64" w:rsidP="00C93D64">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650F7744" w14:textId="77777777" w:rsidR="00C93D64" w:rsidRPr="000D0E38" w:rsidRDefault="00C93D64" w:rsidP="00C93D64">
            <w:pPr>
              <w:jc w:val="center"/>
              <w:rPr>
                <w:rFonts w:ascii="Arial Narrow" w:eastAsia="Times New Roman" w:hAnsi="Arial Narrow" w:cs="Calibri"/>
                <w:b/>
                <w:bCs/>
                <w:color w:val="FFFFFF"/>
                <w:sz w:val="22"/>
                <w:szCs w:val="22"/>
              </w:rPr>
            </w:pPr>
            <w:r w:rsidRPr="000D0E38">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1D5F4FF6" w14:textId="77777777" w:rsidR="00C93D64" w:rsidRPr="000D0E38" w:rsidRDefault="00C93D64" w:rsidP="00C93D64">
            <w:pPr>
              <w:jc w:val="center"/>
              <w:rPr>
                <w:rFonts w:ascii="Arial Narrow" w:eastAsia="Times New Roman" w:hAnsi="Arial Narrow" w:cs="Calibri"/>
                <w:b/>
                <w:bCs/>
                <w:color w:val="FFFFFF"/>
                <w:sz w:val="22"/>
                <w:szCs w:val="22"/>
                <w:lang w:val="es-CR"/>
              </w:rPr>
            </w:pPr>
            <w:r w:rsidRPr="000D0E38">
              <w:rPr>
                <w:rFonts w:ascii="Arial Narrow" w:eastAsia="Times New Roman" w:hAnsi="Arial Narrow" w:cs="Calibri"/>
                <w:b/>
                <w:bCs/>
                <w:color w:val="FFFFFF"/>
                <w:sz w:val="22"/>
                <w:szCs w:val="22"/>
                <w:lang w:val="es-CR"/>
              </w:rPr>
              <w:t>Normativa técnica y disposiciones adicionales</w:t>
            </w:r>
          </w:p>
        </w:tc>
      </w:tr>
      <w:tr w:rsidR="00C93D64" w:rsidRPr="000D0E38" w14:paraId="0CFF2F26" w14:textId="77777777" w:rsidTr="00C93D64">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EA44D0" w14:textId="77777777" w:rsidR="00C93D64" w:rsidRPr="000D0E38" w:rsidRDefault="00C93D64" w:rsidP="00C93D6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775EBB7F" w14:textId="77777777" w:rsidR="00C93D64" w:rsidRPr="000D0E38" w:rsidRDefault="00C93D64" w:rsidP="00C93D6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37</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084BF279" w14:textId="235460A9" w:rsidR="00C93D64" w:rsidRPr="000D0E38" w:rsidRDefault="00C93D64" w:rsidP="00C93D64">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64A1BED5" w14:textId="77777777" w:rsidR="00C93D64" w:rsidRPr="000D0E38" w:rsidRDefault="00C93D64" w:rsidP="00C93D64">
            <w:pPr>
              <w:jc w:val="both"/>
              <w:rPr>
                <w:rFonts w:ascii="Arial Narrow" w:eastAsia="Times New Roman" w:hAnsi="Arial Narrow" w:cs="Calibri"/>
                <w:b/>
                <w:bCs/>
                <w:color w:val="000000"/>
                <w:sz w:val="22"/>
                <w:szCs w:val="22"/>
                <w:lang w:val="es-CR"/>
              </w:rPr>
            </w:pPr>
            <w:r w:rsidRPr="000D0E38">
              <w:rPr>
                <w:rFonts w:ascii="Arial Narrow" w:eastAsia="Times New Roman" w:hAnsi="Arial Narrow" w:cs="Calibri"/>
                <w:b/>
                <w:bCs/>
                <w:color w:val="000000"/>
                <w:sz w:val="22"/>
                <w:szCs w:val="22"/>
                <w:lang w:val="es-CR"/>
              </w:rPr>
              <w:t>Categorías de beneficios a los empleados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0D489947" w14:textId="77777777" w:rsidR="00C93D64" w:rsidRPr="000D0E38" w:rsidRDefault="00C93D64" w:rsidP="00C93D64">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NICSP N° 39,</w:t>
            </w:r>
          </w:p>
          <w:p w14:paraId="2C22D808" w14:textId="16403273" w:rsidR="00C93D64" w:rsidRPr="000D0E38" w:rsidRDefault="00C93D64" w:rsidP="00C93D64">
            <w:pPr>
              <w:jc w:val="both"/>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Párrafo 5.</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4FC67EE6" w14:textId="77777777" w:rsidR="00C93D64" w:rsidRPr="000D0E38" w:rsidRDefault="00C93D64" w:rsidP="00C93D64">
            <w:pPr>
              <w:jc w:val="center"/>
              <w:rPr>
                <w:rFonts w:ascii="Arial Narrow" w:eastAsia="Times New Roman" w:hAnsi="Arial Narrow" w:cs="Calibri"/>
                <w:b/>
                <w:bCs/>
                <w:color w:val="000000"/>
                <w:sz w:val="22"/>
                <w:szCs w:val="22"/>
              </w:rPr>
            </w:pPr>
            <w:r w:rsidRPr="000D0E38">
              <w:rPr>
                <w:rFonts w:ascii="Arial Narrow" w:eastAsia="Times New Roman" w:hAnsi="Arial Narrow" w:cs="Calibri"/>
                <w:b/>
                <w:bCs/>
                <w:color w:val="000000"/>
                <w:sz w:val="22"/>
                <w:szCs w:val="22"/>
              </w:rPr>
              <w:t xml:space="preserve"> </w:t>
            </w:r>
          </w:p>
        </w:tc>
      </w:tr>
    </w:tbl>
    <w:p w14:paraId="0DF9D990" w14:textId="77777777" w:rsidR="00B852DB" w:rsidRDefault="00B852DB" w:rsidP="00B852DB">
      <w:pPr>
        <w:tabs>
          <w:tab w:val="left" w:pos="2740"/>
        </w:tabs>
        <w:spacing w:line="238" w:lineRule="auto"/>
        <w:ind w:left="1134" w:right="260" w:hanging="1134"/>
        <w:jc w:val="both"/>
        <w:rPr>
          <w:rFonts w:ascii="Arial" w:hAnsi="Arial"/>
          <w:sz w:val="22"/>
          <w:szCs w:val="22"/>
          <w:lang w:val="es-CR"/>
        </w:rPr>
      </w:pPr>
    </w:p>
    <w:p w14:paraId="566B6105" w14:textId="62A7639D" w:rsidR="005A4C96" w:rsidRDefault="005A4C96" w:rsidP="00B852DB">
      <w:pPr>
        <w:tabs>
          <w:tab w:val="left" w:pos="2740"/>
        </w:tabs>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60F988BB"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531B175C" w14:textId="4A2FE168" w:rsidR="00C93D64" w:rsidRPr="00C93D64" w:rsidRDefault="00C93D64">
      <w:pPr>
        <w:pStyle w:val="Prrafodelista"/>
        <w:numPr>
          <w:ilvl w:val="3"/>
          <w:numId w:val="153"/>
        </w:numPr>
        <w:spacing w:line="238" w:lineRule="auto"/>
        <w:ind w:left="1134" w:right="260" w:hanging="1134"/>
        <w:jc w:val="both"/>
        <w:rPr>
          <w:rFonts w:ascii="Arial" w:hAnsi="Arial"/>
          <w:sz w:val="22"/>
          <w:szCs w:val="22"/>
          <w:lang w:val="es-CR"/>
        </w:rPr>
      </w:pPr>
      <w:r w:rsidRPr="00C93D64">
        <w:rPr>
          <w:rFonts w:ascii="Arial" w:hAnsi="Arial"/>
          <w:sz w:val="22"/>
          <w:szCs w:val="22"/>
          <w:lang w:val="es-CR"/>
        </w:rPr>
        <w:t>En la Municipalidad los beneficios a los empleados comprenden las siguientes categorías:</w:t>
      </w:r>
    </w:p>
    <w:p w14:paraId="22630CB0" w14:textId="77777777" w:rsidR="00C93D64" w:rsidRPr="00627673" w:rsidRDefault="00C93D64" w:rsidP="00C93D64">
      <w:pPr>
        <w:spacing w:line="0" w:lineRule="atLeast"/>
        <w:ind w:left="380"/>
        <w:rPr>
          <w:rFonts w:ascii="Arial" w:eastAsia="Arial" w:hAnsi="Arial"/>
          <w:b/>
          <w:sz w:val="24"/>
          <w:lang w:val="es-CR"/>
        </w:rPr>
      </w:pPr>
    </w:p>
    <w:p w14:paraId="515C1171" w14:textId="77777777" w:rsidR="00C93D64" w:rsidRPr="00627673" w:rsidRDefault="00C93D64" w:rsidP="00C93D64">
      <w:pPr>
        <w:spacing w:line="9" w:lineRule="exact"/>
        <w:rPr>
          <w:rFonts w:ascii="Times New Roman" w:eastAsia="Times New Roman" w:hAnsi="Times New Roman"/>
          <w:lang w:val="es-CR"/>
        </w:rPr>
      </w:pPr>
    </w:p>
    <w:p w14:paraId="0351E1FB" w14:textId="623AF7FD" w:rsidR="00C42296" w:rsidRDefault="00C93D64">
      <w:pPr>
        <w:pStyle w:val="Prrafodelista"/>
        <w:numPr>
          <w:ilvl w:val="0"/>
          <w:numId w:val="154"/>
        </w:numPr>
        <w:spacing w:after="120" w:line="274" w:lineRule="auto"/>
        <w:ind w:left="1418" w:right="260" w:hanging="284"/>
        <w:contextualSpacing w:val="0"/>
        <w:jc w:val="both"/>
        <w:rPr>
          <w:rFonts w:ascii="Arial" w:eastAsia="Arial" w:hAnsi="Arial"/>
          <w:bCs/>
          <w:sz w:val="22"/>
          <w:szCs w:val="22"/>
          <w:lang w:val="es-CR"/>
        </w:rPr>
      </w:pPr>
      <w:r w:rsidRPr="00C42296">
        <w:rPr>
          <w:rFonts w:ascii="Arial" w:eastAsia="Arial" w:hAnsi="Arial"/>
          <w:bCs/>
          <w:sz w:val="22"/>
          <w:szCs w:val="22"/>
          <w:lang w:val="es-CR"/>
        </w:rPr>
        <w:lastRenderedPageBreak/>
        <w:t>Beneficios a los empleados a corto plazo: retribuciones tales como jornales, salarios (incluyendo los componentes básicos y adicionales), contribuciones a la seguridad social, vacaciones y licencias por enfermedad, e incentivos (si fueran pagaderos dentro de los doce meses del final del período) y beneficios no monetarios (tales como asistencia médica, vivienda, autos o bienes y servicios gratis o subsidiados) para los empleados activos</w:t>
      </w:r>
      <w:r w:rsidR="00C42296">
        <w:rPr>
          <w:rFonts w:ascii="Arial" w:eastAsia="Arial" w:hAnsi="Arial"/>
          <w:bCs/>
          <w:sz w:val="22"/>
          <w:szCs w:val="22"/>
          <w:lang w:val="es-CR"/>
        </w:rPr>
        <w:t>.</w:t>
      </w:r>
    </w:p>
    <w:p w14:paraId="790C7514" w14:textId="4F68D21F" w:rsidR="00C93D64" w:rsidRPr="00C42296" w:rsidRDefault="00C93D64">
      <w:pPr>
        <w:pStyle w:val="Prrafodelista"/>
        <w:numPr>
          <w:ilvl w:val="0"/>
          <w:numId w:val="154"/>
        </w:numPr>
        <w:spacing w:after="120" w:line="274" w:lineRule="auto"/>
        <w:ind w:left="1418" w:right="260" w:hanging="284"/>
        <w:contextualSpacing w:val="0"/>
        <w:jc w:val="both"/>
        <w:rPr>
          <w:rFonts w:ascii="Arial" w:eastAsia="Arial" w:hAnsi="Arial"/>
          <w:bCs/>
          <w:sz w:val="22"/>
          <w:szCs w:val="22"/>
          <w:lang w:val="es-CR"/>
        </w:rPr>
      </w:pPr>
      <w:r w:rsidRPr="00C42296">
        <w:rPr>
          <w:rFonts w:ascii="Arial" w:eastAsia="Arial" w:hAnsi="Arial"/>
          <w:bCs/>
          <w:sz w:val="22"/>
          <w:szCs w:val="22"/>
          <w:lang w:val="es-CR"/>
        </w:rPr>
        <w:t>Los beneficios por terminación: indemnizaciones por despido y compensaciones por retiro voluntario (en el marco de una oferta para incentivar la rescisión del vínculo laboral por parte de los trabajadores).</w:t>
      </w:r>
    </w:p>
    <w:p w14:paraId="6DF47454" w14:textId="77777777" w:rsidR="00C93D64" w:rsidRDefault="00C93D64" w:rsidP="00C93D64">
      <w:pPr>
        <w:spacing w:line="265" w:lineRule="exact"/>
        <w:rPr>
          <w:rFonts w:ascii="Times New Roman" w:eastAsia="Times New Roman" w:hAnsi="Times New Roman"/>
          <w:lang w:val="es-CR"/>
        </w:rPr>
      </w:pPr>
    </w:p>
    <w:p w14:paraId="26398E8E" w14:textId="77777777" w:rsidR="005A4C96" w:rsidRPr="00627673" w:rsidRDefault="005A4C96" w:rsidP="00C93D64">
      <w:pPr>
        <w:spacing w:line="265" w:lineRule="exact"/>
        <w:rPr>
          <w:rFonts w:ascii="Times New Roman" w:eastAsia="Times New Roman" w:hAnsi="Times New Roman"/>
          <w:lang w:val="es-CR"/>
        </w:rPr>
      </w:pPr>
    </w:p>
    <w:p w14:paraId="561FA24A" w14:textId="77777777" w:rsidR="00C93D64" w:rsidRPr="000501EB" w:rsidRDefault="00C93D64" w:rsidP="000501EB">
      <w:pPr>
        <w:pStyle w:val="Ttulo2"/>
        <w:ind w:left="284"/>
        <w:rPr>
          <w:rFonts w:ascii="Arial" w:eastAsia="Arial" w:hAnsi="Arial" w:cs="Arial"/>
          <w:b/>
          <w:bCs/>
          <w:sz w:val="20"/>
          <w:szCs w:val="20"/>
          <w:lang w:val="es-CR"/>
        </w:rPr>
      </w:pPr>
      <w:bookmarkStart w:id="96" w:name="_Toc172726231"/>
      <w:r w:rsidRPr="000501EB">
        <w:rPr>
          <w:rFonts w:ascii="Arial" w:eastAsia="Arial" w:hAnsi="Arial" w:cs="Arial"/>
          <w:b/>
          <w:bCs/>
          <w:sz w:val="20"/>
          <w:szCs w:val="20"/>
          <w:lang w:val="es-CR"/>
        </w:rPr>
        <w:t>Beneficios a los empleados a corto plazo</w:t>
      </w:r>
      <w:bookmarkEnd w:id="96"/>
    </w:p>
    <w:p w14:paraId="1C2E4A3C" w14:textId="77777777" w:rsidR="00B852DB" w:rsidRDefault="00B852DB" w:rsidP="00B852DB">
      <w:pPr>
        <w:tabs>
          <w:tab w:val="left" w:pos="2740"/>
        </w:tabs>
        <w:spacing w:line="238" w:lineRule="auto"/>
        <w:ind w:left="1134" w:right="260" w:hanging="1134"/>
        <w:jc w:val="both"/>
        <w:rPr>
          <w:rFonts w:ascii="Arial" w:hAnsi="Arial"/>
          <w:sz w:val="22"/>
          <w:szCs w:val="22"/>
          <w:lang w:val="es-CR"/>
        </w:rPr>
      </w:pPr>
    </w:p>
    <w:tbl>
      <w:tblPr>
        <w:tblW w:w="9180" w:type="dxa"/>
        <w:tblLook w:val="04A0" w:firstRow="1" w:lastRow="0" w:firstColumn="1" w:lastColumn="0" w:noHBand="0" w:noVBand="1"/>
      </w:tblPr>
      <w:tblGrid>
        <w:gridCol w:w="522"/>
        <w:gridCol w:w="638"/>
        <w:gridCol w:w="505"/>
        <w:gridCol w:w="3316"/>
        <w:gridCol w:w="1931"/>
        <w:gridCol w:w="2268"/>
      </w:tblGrid>
      <w:tr w:rsidR="0045779C" w:rsidRPr="0045779C" w14:paraId="64E70C99" w14:textId="77777777" w:rsidTr="000501EB">
        <w:trPr>
          <w:trHeight w:val="320"/>
        </w:trPr>
        <w:tc>
          <w:tcPr>
            <w:tcW w:w="166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B3F7C30" w14:textId="77777777" w:rsidR="0045779C" w:rsidRPr="0045779C" w:rsidRDefault="0045779C" w:rsidP="0045779C">
            <w:pPr>
              <w:jc w:val="center"/>
              <w:rPr>
                <w:rFonts w:ascii="Arial Narrow" w:eastAsia="Times New Roman" w:hAnsi="Arial Narrow" w:cs="Calibri"/>
                <w:b/>
                <w:bCs/>
                <w:color w:val="FFFFFF"/>
                <w:sz w:val="22"/>
                <w:szCs w:val="22"/>
              </w:rPr>
            </w:pPr>
            <w:r w:rsidRPr="0045779C">
              <w:rPr>
                <w:rFonts w:ascii="Arial Narrow" w:eastAsia="Times New Roman" w:hAnsi="Arial Narrow" w:cs="Calibri"/>
                <w:b/>
                <w:bCs/>
                <w:color w:val="FFFFFF"/>
                <w:sz w:val="22"/>
                <w:szCs w:val="22"/>
              </w:rPr>
              <w:t>Norma / Política</w:t>
            </w:r>
          </w:p>
        </w:tc>
        <w:tc>
          <w:tcPr>
            <w:tcW w:w="3316"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8C11CF" w14:textId="77777777" w:rsidR="0045779C" w:rsidRPr="0045779C" w:rsidRDefault="0045779C" w:rsidP="0045779C">
            <w:pPr>
              <w:jc w:val="center"/>
              <w:rPr>
                <w:rFonts w:ascii="Arial Narrow" w:eastAsia="Times New Roman" w:hAnsi="Arial Narrow" w:cs="Calibri"/>
                <w:b/>
                <w:bCs/>
                <w:color w:val="FFFFFF"/>
                <w:sz w:val="22"/>
                <w:szCs w:val="22"/>
              </w:rPr>
            </w:pPr>
            <w:r w:rsidRPr="0045779C">
              <w:rPr>
                <w:rFonts w:ascii="Arial Narrow" w:eastAsia="Times New Roman" w:hAnsi="Arial Narrow" w:cs="Calibri"/>
                <w:b/>
                <w:bCs/>
                <w:color w:val="FFFFFF"/>
                <w:sz w:val="22"/>
                <w:szCs w:val="22"/>
              </w:rPr>
              <w:t>Concepto</w:t>
            </w:r>
          </w:p>
        </w:tc>
        <w:tc>
          <w:tcPr>
            <w:tcW w:w="4199" w:type="dxa"/>
            <w:gridSpan w:val="2"/>
            <w:tcBorders>
              <w:top w:val="single" w:sz="8" w:space="0" w:color="auto"/>
              <w:left w:val="nil"/>
              <w:bottom w:val="single" w:sz="8" w:space="0" w:color="auto"/>
              <w:right w:val="single" w:sz="8" w:space="0" w:color="000000"/>
            </w:tcBorders>
            <w:shd w:val="clear" w:color="000000" w:fill="203764"/>
            <w:vAlign w:val="center"/>
            <w:hideMark/>
          </w:tcPr>
          <w:p w14:paraId="4193F9E8" w14:textId="77777777" w:rsidR="0045779C" w:rsidRPr="0045779C" w:rsidRDefault="0045779C" w:rsidP="0045779C">
            <w:pPr>
              <w:jc w:val="center"/>
              <w:rPr>
                <w:rFonts w:ascii="Arial Narrow" w:eastAsia="Times New Roman" w:hAnsi="Arial Narrow" w:cs="Calibri"/>
                <w:b/>
                <w:bCs/>
                <w:color w:val="FFFFFF"/>
                <w:sz w:val="22"/>
                <w:szCs w:val="22"/>
              </w:rPr>
            </w:pPr>
            <w:r w:rsidRPr="0045779C">
              <w:rPr>
                <w:rFonts w:ascii="Arial Narrow" w:eastAsia="Times New Roman" w:hAnsi="Arial Narrow" w:cs="Calibri"/>
                <w:b/>
                <w:bCs/>
                <w:color w:val="FFFFFF"/>
                <w:sz w:val="22"/>
                <w:szCs w:val="22"/>
              </w:rPr>
              <w:t>Referencia</w:t>
            </w:r>
          </w:p>
        </w:tc>
      </w:tr>
      <w:tr w:rsidR="0045779C" w:rsidRPr="006E5442" w14:paraId="3CA4AFD8" w14:textId="77777777" w:rsidTr="000501EB">
        <w:trPr>
          <w:trHeight w:val="940"/>
        </w:trPr>
        <w:tc>
          <w:tcPr>
            <w:tcW w:w="1665" w:type="dxa"/>
            <w:gridSpan w:val="3"/>
            <w:vMerge/>
            <w:tcBorders>
              <w:top w:val="single" w:sz="8" w:space="0" w:color="auto"/>
              <w:left w:val="single" w:sz="8" w:space="0" w:color="auto"/>
              <w:bottom w:val="nil"/>
              <w:right w:val="single" w:sz="8" w:space="0" w:color="000000"/>
            </w:tcBorders>
            <w:vAlign w:val="center"/>
            <w:hideMark/>
          </w:tcPr>
          <w:p w14:paraId="0EDB4930" w14:textId="77777777" w:rsidR="0045779C" w:rsidRPr="0045779C" w:rsidRDefault="0045779C" w:rsidP="0045779C">
            <w:pPr>
              <w:rPr>
                <w:rFonts w:ascii="Arial Narrow" w:eastAsia="Times New Roman" w:hAnsi="Arial Narrow" w:cs="Calibri"/>
                <w:b/>
                <w:bCs/>
                <w:color w:val="FFFFFF"/>
                <w:sz w:val="22"/>
                <w:szCs w:val="22"/>
              </w:rPr>
            </w:pPr>
          </w:p>
        </w:tc>
        <w:tc>
          <w:tcPr>
            <w:tcW w:w="3316" w:type="dxa"/>
            <w:vMerge/>
            <w:tcBorders>
              <w:top w:val="single" w:sz="8" w:space="0" w:color="auto"/>
              <w:left w:val="single" w:sz="8" w:space="0" w:color="auto"/>
              <w:bottom w:val="nil"/>
              <w:right w:val="single" w:sz="8" w:space="0" w:color="auto"/>
            </w:tcBorders>
            <w:vAlign w:val="center"/>
            <w:hideMark/>
          </w:tcPr>
          <w:p w14:paraId="0D9376BB" w14:textId="77777777" w:rsidR="0045779C" w:rsidRPr="0045779C" w:rsidRDefault="0045779C" w:rsidP="0045779C">
            <w:pPr>
              <w:rPr>
                <w:rFonts w:ascii="Arial Narrow" w:eastAsia="Times New Roman" w:hAnsi="Arial Narrow" w:cs="Calibri"/>
                <w:b/>
                <w:bCs/>
                <w:color w:val="FFFFFF"/>
                <w:sz w:val="22"/>
                <w:szCs w:val="22"/>
              </w:rPr>
            </w:pPr>
          </w:p>
        </w:tc>
        <w:tc>
          <w:tcPr>
            <w:tcW w:w="1931" w:type="dxa"/>
            <w:tcBorders>
              <w:top w:val="nil"/>
              <w:left w:val="nil"/>
              <w:bottom w:val="nil"/>
              <w:right w:val="single" w:sz="8" w:space="0" w:color="auto"/>
            </w:tcBorders>
            <w:shd w:val="clear" w:color="000000" w:fill="203764"/>
            <w:vAlign w:val="center"/>
            <w:hideMark/>
          </w:tcPr>
          <w:p w14:paraId="6D3E9190" w14:textId="77777777" w:rsidR="0045779C" w:rsidRPr="0045779C" w:rsidRDefault="0045779C" w:rsidP="0045779C">
            <w:pPr>
              <w:jc w:val="center"/>
              <w:rPr>
                <w:rFonts w:ascii="Arial Narrow" w:eastAsia="Times New Roman" w:hAnsi="Arial Narrow" w:cs="Calibri"/>
                <w:b/>
                <w:bCs/>
                <w:color w:val="FFFFFF"/>
                <w:sz w:val="22"/>
                <w:szCs w:val="22"/>
              </w:rPr>
            </w:pPr>
            <w:r w:rsidRPr="0045779C">
              <w:rPr>
                <w:rFonts w:ascii="Arial Narrow" w:eastAsia="Times New Roman" w:hAnsi="Arial Narrow" w:cs="Calibri"/>
                <w:b/>
                <w:bCs/>
                <w:color w:val="FFFFFF"/>
                <w:sz w:val="22"/>
                <w:szCs w:val="22"/>
              </w:rPr>
              <w:t>Norma</w:t>
            </w:r>
          </w:p>
        </w:tc>
        <w:tc>
          <w:tcPr>
            <w:tcW w:w="2268" w:type="dxa"/>
            <w:tcBorders>
              <w:top w:val="nil"/>
              <w:left w:val="nil"/>
              <w:bottom w:val="nil"/>
              <w:right w:val="single" w:sz="8" w:space="0" w:color="auto"/>
            </w:tcBorders>
            <w:shd w:val="clear" w:color="000000" w:fill="203764"/>
            <w:vAlign w:val="center"/>
            <w:hideMark/>
          </w:tcPr>
          <w:p w14:paraId="146332E8" w14:textId="77777777" w:rsidR="0045779C" w:rsidRPr="0045779C" w:rsidRDefault="0045779C" w:rsidP="0045779C">
            <w:pPr>
              <w:jc w:val="center"/>
              <w:rPr>
                <w:rFonts w:ascii="Arial Narrow" w:eastAsia="Times New Roman" w:hAnsi="Arial Narrow" w:cs="Calibri"/>
                <w:b/>
                <w:bCs/>
                <w:color w:val="FFFFFF"/>
                <w:sz w:val="22"/>
                <w:szCs w:val="22"/>
                <w:lang w:val="es-CR"/>
              </w:rPr>
            </w:pPr>
            <w:r w:rsidRPr="0045779C">
              <w:rPr>
                <w:rFonts w:ascii="Arial Narrow" w:eastAsia="Times New Roman" w:hAnsi="Arial Narrow" w:cs="Calibri"/>
                <w:b/>
                <w:bCs/>
                <w:color w:val="FFFFFF"/>
                <w:sz w:val="22"/>
                <w:szCs w:val="22"/>
                <w:lang w:val="es-CR"/>
              </w:rPr>
              <w:t>Normativa técnica y disposiciones adicionales</w:t>
            </w:r>
          </w:p>
        </w:tc>
      </w:tr>
      <w:tr w:rsidR="0045779C" w:rsidRPr="006E5442" w14:paraId="2225B7C2" w14:textId="77777777" w:rsidTr="000501EB">
        <w:trPr>
          <w:trHeight w:val="792"/>
        </w:trPr>
        <w:tc>
          <w:tcPr>
            <w:tcW w:w="5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FAC8D7" w14:textId="77777777" w:rsidR="0045779C" w:rsidRPr="0045779C" w:rsidRDefault="0045779C" w:rsidP="0045779C">
            <w:pPr>
              <w:jc w:val="right"/>
              <w:rPr>
                <w:rFonts w:ascii="Arial Narrow" w:eastAsia="Times New Roman" w:hAnsi="Arial Narrow"/>
                <w:b/>
                <w:bCs/>
                <w:color w:val="000000"/>
                <w:sz w:val="22"/>
                <w:szCs w:val="22"/>
              </w:rPr>
            </w:pPr>
            <w:r w:rsidRPr="0045779C">
              <w:rPr>
                <w:rFonts w:ascii="Arial Narrow" w:eastAsia="Times New Roman" w:hAnsi="Arial Narrow"/>
                <w:b/>
                <w:bCs/>
                <w:color w:val="000000"/>
                <w:sz w:val="22"/>
                <w:szCs w:val="22"/>
              </w:rPr>
              <w:t>2</w:t>
            </w:r>
          </w:p>
        </w:tc>
        <w:tc>
          <w:tcPr>
            <w:tcW w:w="638" w:type="dxa"/>
            <w:tcBorders>
              <w:top w:val="single" w:sz="8" w:space="0" w:color="auto"/>
              <w:left w:val="nil"/>
              <w:bottom w:val="single" w:sz="8" w:space="0" w:color="auto"/>
              <w:right w:val="single" w:sz="8" w:space="0" w:color="auto"/>
            </w:tcBorders>
            <w:shd w:val="clear" w:color="auto" w:fill="auto"/>
            <w:vAlign w:val="center"/>
            <w:hideMark/>
          </w:tcPr>
          <w:p w14:paraId="73F78BA3" w14:textId="77777777" w:rsidR="0045779C" w:rsidRPr="0045779C" w:rsidRDefault="0045779C" w:rsidP="000D0E38">
            <w:pPr>
              <w:jc w:val="center"/>
              <w:rPr>
                <w:rFonts w:ascii="Arial Narrow" w:eastAsia="Times New Roman" w:hAnsi="Arial Narrow"/>
                <w:b/>
                <w:bCs/>
                <w:color w:val="000000"/>
                <w:sz w:val="22"/>
                <w:szCs w:val="22"/>
              </w:rPr>
            </w:pPr>
            <w:r w:rsidRPr="0045779C">
              <w:rPr>
                <w:rFonts w:ascii="Arial Narrow" w:eastAsia="Times New Roman" w:hAnsi="Arial Narrow"/>
                <w:b/>
                <w:bCs/>
                <w:color w:val="000000"/>
                <w:sz w:val="22"/>
                <w:szCs w:val="22"/>
              </w:rPr>
              <w:t>38</w:t>
            </w:r>
          </w:p>
        </w:tc>
        <w:tc>
          <w:tcPr>
            <w:tcW w:w="505" w:type="dxa"/>
            <w:tcBorders>
              <w:top w:val="single" w:sz="8" w:space="0" w:color="auto"/>
              <w:left w:val="nil"/>
              <w:bottom w:val="single" w:sz="8" w:space="0" w:color="auto"/>
              <w:right w:val="single" w:sz="8" w:space="0" w:color="auto"/>
            </w:tcBorders>
            <w:shd w:val="clear" w:color="auto" w:fill="auto"/>
            <w:vAlign w:val="center"/>
            <w:hideMark/>
          </w:tcPr>
          <w:p w14:paraId="7AB4DA82" w14:textId="39B9ADFC" w:rsidR="0045779C" w:rsidRPr="0045779C" w:rsidRDefault="0045779C" w:rsidP="0045779C">
            <w:pPr>
              <w:jc w:val="center"/>
              <w:rPr>
                <w:rFonts w:ascii="Arial Narrow" w:eastAsia="Times New Roman" w:hAnsi="Arial Narrow" w:cs="Calibri"/>
                <w:b/>
                <w:bCs/>
                <w:color w:val="000000"/>
                <w:sz w:val="22"/>
                <w:szCs w:val="22"/>
              </w:rPr>
            </w:pPr>
          </w:p>
        </w:tc>
        <w:tc>
          <w:tcPr>
            <w:tcW w:w="3316" w:type="dxa"/>
            <w:tcBorders>
              <w:top w:val="single" w:sz="8" w:space="0" w:color="auto"/>
              <w:left w:val="nil"/>
              <w:bottom w:val="single" w:sz="8" w:space="0" w:color="auto"/>
              <w:right w:val="single" w:sz="8" w:space="0" w:color="auto"/>
            </w:tcBorders>
            <w:shd w:val="clear" w:color="auto" w:fill="auto"/>
            <w:vAlign w:val="center"/>
            <w:hideMark/>
          </w:tcPr>
          <w:p w14:paraId="072F9575" w14:textId="77777777" w:rsidR="0045779C" w:rsidRPr="0045779C" w:rsidRDefault="0045779C" w:rsidP="0045779C">
            <w:pPr>
              <w:rPr>
                <w:rFonts w:ascii="Arial Narrow" w:eastAsia="Times New Roman" w:hAnsi="Arial Narrow"/>
                <w:b/>
                <w:bCs/>
                <w:color w:val="000000"/>
                <w:sz w:val="22"/>
                <w:szCs w:val="22"/>
                <w:lang w:val="es-CR"/>
              </w:rPr>
            </w:pPr>
            <w:r w:rsidRPr="0045779C">
              <w:rPr>
                <w:rFonts w:ascii="Arial Narrow" w:eastAsia="Times New Roman" w:hAnsi="Arial Narrow"/>
                <w:b/>
                <w:bCs/>
                <w:color w:val="000000"/>
                <w:sz w:val="22"/>
                <w:szCs w:val="22"/>
                <w:lang w:val="es-CR"/>
              </w:rPr>
              <w:t>Cuentas por Pagar por concepto de aguinaldo</w:t>
            </w:r>
          </w:p>
        </w:tc>
        <w:tc>
          <w:tcPr>
            <w:tcW w:w="1931" w:type="dxa"/>
            <w:tcBorders>
              <w:top w:val="single" w:sz="8" w:space="0" w:color="auto"/>
              <w:left w:val="nil"/>
              <w:bottom w:val="single" w:sz="8" w:space="0" w:color="auto"/>
              <w:right w:val="single" w:sz="8" w:space="0" w:color="auto"/>
            </w:tcBorders>
            <w:shd w:val="clear" w:color="auto" w:fill="auto"/>
            <w:vAlign w:val="center"/>
            <w:hideMark/>
          </w:tcPr>
          <w:p w14:paraId="2B8CC902" w14:textId="77777777" w:rsidR="000501EB" w:rsidRDefault="0045779C" w:rsidP="000D0E38">
            <w:pPr>
              <w:ind w:right="-105"/>
              <w:rPr>
                <w:rFonts w:ascii="Arial Narrow" w:eastAsia="Times New Roman" w:hAnsi="Arial Narrow" w:cs="Calibri"/>
                <w:b/>
                <w:bCs/>
                <w:color w:val="000000"/>
                <w:sz w:val="22"/>
                <w:szCs w:val="22"/>
                <w:lang w:val="es-CR"/>
              </w:rPr>
            </w:pPr>
            <w:r w:rsidRPr="0045779C">
              <w:rPr>
                <w:rFonts w:ascii="Arial Narrow" w:eastAsia="Times New Roman" w:hAnsi="Arial Narrow" w:cs="Calibri"/>
                <w:b/>
                <w:bCs/>
                <w:color w:val="000000"/>
                <w:sz w:val="22"/>
                <w:szCs w:val="22"/>
                <w:lang w:val="es-CR"/>
              </w:rPr>
              <w:t xml:space="preserve">NICSP 39, </w:t>
            </w:r>
          </w:p>
          <w:p w14:paraId="47855018" w14:textId="758A5AA7" w:rsidR="0045779C" w:rsidRPr="0045779C" w:rsidRDefault="0045779C" w:rsidP="000D0E38">
            <w:pPr>
              <w:ind w:right="-105"/>
              <w:rPr>
                <w:rFonts w:ascii="Arial Narrow" w:eastAsia="Times New Roman" w:hAnsi="Arial Narrow" w:cs="Calibri"/>
                <w:b/>
                <w:bCs/>
                <w:color w:val="000000"/>
                <w:sz w:val="22"/>
                <w:szCs w:val="22"/>
                <w:lang w:val="es-CR"/>
              </w:rPr>
            </w:pPr>
            <w:r w:rsidRPr="0045779C">
              <w:rPr>
                <w:rFonts w:ascii="Arial Narrow" w:eastAsia="Times New Roman" w:hAnsi="Arial Narrow" w:cs="Calibri"/>
                <w:b/>
                <w:bCs/>
                <w:color w:val="000000"/>
                <w:sz w:val="22"/>
                <w:szCs w:val="22"/>
                <w:lang w:val="es-CR"/>
              </w:rPr>
              <w:t>Párrafo</w:t>
            </w:r>
            <w:r w:rsidR="000D0E38">
              <w:rPr>
                <w:rFonts w:ascii="Arial Narrow" w:eastAsia="Times New Roman" w:hAnsi="Arial Narrow" w:cs="Calibri"/>
                <w:b/>
                <w:bCs/>
                <w:color w:val="000000"/>
                <w:sz w:val="22"/>
                <w:szCs w:val="22"/>
                <w:lang w:val="es-CR"/>
              </w:rPr>
              <w:t>s</w:t>
            </w:r>
            <w:r w:rsidRPr="0045779C">
              <w:rPr>
                <w:rFonts w:ascii="Arial Narrow" w:eastAsia="Times New Roman" w:hAnsi="Arial Narrow" w:cs="Calibri"/>
                <w:b/>
                <w:bCs/>
                <w:color w:val="000000"/>
                <w:sz w:val="22"/>
                <w:szCs w:val="22"/>
                <w:lang w:val="es-CR"/>
              </w:rPr>
              <w:t xml:space="preserve"> 1 </w:t>
            </w:r>
            <w:r w:rsidR="000D0E38">
              <w:rPr>
                <w:rFonts w:ascii="Arial Narrow" w:eastAsia="Times New Roman" w:hAnsi="Arial Narrow" w:cs="Calibri"/>
                <w:b/>
                <w:bCs/>
                <w:color w:val="000000"/>
                <w:sz w:val="22"/>
                <w:szCs w:val="22"/>
                <w:lang w:val="es-CR"/>
              </w:rPr>
              <w:t>a)</w:t>
            </w:r>
            <w:r w:rsidRPr="0045779C">
              <w:rPr>
                <w:rFonts w:ascii="Arial Narrow" w:eastAsia="Times New Roman" w:hAnsi="Arial Narrow" w:cs="Calibri"/>
                <w:b/>
                <w:bCs/>
                <w:color w:val="000000"/>
                <w:sz w:val="22"/>
                <w:szCs w:val="22"/>
                <w:lang w:val="es-CR"/>
              </w:rPr>
              <w:t>,</w:t>
            </w:r>
            <w:r w:rsidR="005A4C96">
              <w:rPr>
                <w:rFonts w:ascii="Arial Narrow" w:eastAsia="Times New Roman" w:hAnsi="Arial Narrow" w:cs="Calibri"/>
                <w:b/>
                <w:bCs/>
                <w:color w:val="000000"/>
                <w:sz w:val="22"/>
                <w:szCs w:val="22"/>
                <w:lang w:val="es-CR"/>
              </w:rPr>
              <w:t xml:space="preserve"> </w:t>
            </w:r>
            <w:r w:rsidRPr="0045779C">
              <w:rPr>
                <w:rFonts w:ascii="Arial Narrow" w:eastAsia="Times New Roman" w:hAnsi="Arial Narrow" w:cs="Calibri"/>
                <w:b/>
                <w:bCs/>
                <w:color w:val="000000"/>
                <w:sz w:val="22"/>
                <w:szCs w:val="22"/>
                <w:lang w:val="es-CR"/>
              </w:rPr>
              <w:t>4 (a)</w:t>
            </w:r>
            <w:r w:rsidR="000D0E38">
              <w:rPr>
                <w:rFonts w:ascii="Arial Narrow" w:eastAsia="Times New Roman" w:hAnsi="Arial Narrow" w:cs="Calibri"/>
                <w:b/>
                <w:bCs/>
                <w:color w:val="000000"/>
                <w:sz w:val="22"/>
                <w:szCs w:val="22"/>
                <w:lang w:val="es-CR"/>
              </w:rPr>
              <w:t xml:space="preserve">, </w:t>
            </w:r>
            <w:r w:rsidRPr="0045779C">
              <w:rPr>
                <w:rFonts w:ascii="Arial Narrow" w:eastAsia="Times New Roman" w:hAnsi="Arial Narrow" w:cs="Calibri"/>
                <w:b/>
                <w:bCs/>
                <w:color w:val="000000"/>
                <w:sz w:val="22"/>
                <w:szCs w:val="22"/>
                <w:lang w:val="es-CR"/>
              </w:rPr>
              <w:t>5 (a,d)</w:t>
            </w:r>
            <w:r w:rsidR="000D0E38">
              <w:rPr>
                <w:rFonts w:ascii="Arial Narrow" w:eastAsia="Times New Roman" w:hAnsi="Arial Narrow" w:cs="Calibri"/>
                <w:b/>
                <w:bCs/>
                <w:color w:val="000000"/>
                <w:sz w:val="22"/>
                <w:szCs w:val="22"/>
                <w:lang w:val="es-CR"/>
              </w:rPr>
              <w:t xml:space="preserve">, </w:t>
            </w:r>
            <w:r w:rsidRPr="0045779C">
              <w:rPr>
                <w:rFonts w:ascii="Arial Narrow" w:eastAsia="Times New Roman" w:hAnsi="Arial Narrow" w:cs="Calibri"/>
                <w:b/>
                <w:bCs/>
                <w:color w:val="000000"/>
                <w:sz w:val="22"/>
                <w:szCs w:val="22"/>
                <w:lang w:val="es-CR"/>
              </w:rPr>
              <w:t>6</w:t>
            </w:r>
            <w:r w:rsidR="000D0E38">
              <w:rPr>
                <w:rFonts w:ascii="Arial Narrow" w:eastAsia="Times New Roman" w:hAnsi="Arial Narrow" w:cs="Calibri"/>
                <w:b/>
                <w:bCs/>
                <w:color w:val="000000"/>
                <w:sz w:val="22"/>
                <w:szCs w:val="22"/>
                <w:lang w:val="es-CR"/>
              </w:rPr>
              <w:t xml:space="preserve"> y </w:t>
            </w:r>
            <w:r w:rsidRPr="0045779C">
              <w:rPr>
                <w:rFonts w:ascii="Arial Narrow" w:eastAsia="Times New Roman" w:hAnsi="Arial Narrow" w:cs="Calibri"/>
                <w:b/>
                <w:bCs/>
                <w:color w:val="000000"/>
                <w:sz w:val="22"/>
                <w:szCs w:val="22"/>
                <w:lang w:val="es-CR"/>
              </w:rPr>
              <w:t>9(a)</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05E7119" w14:textId="77777777" w:rsidR="0045779C" w:rsidRPr="0045779C" w:rsidRDefault="0045779C" w:rsidP="0045779C">
            <w:pPr>
              <w:jc w:val="center"/>
              <w:rPr>
                <w:rFonts w:ascii="Arial Narrow" w:eastAsia="Times New Roman" w:hAnsi="Arial Narrow" w:cs="Calibri"/>
                <w:b/>
                <w:bCs/>
                <w:color w:val="000000"/>
                <w:sz w:val="22"/>
                <w:szCs w:val="22"/>
                <w:lang w:val="es-CR"/>
              </w:rPr>
            </w:pPr>
            <w:r w:rsidRPr="0045779C">
              <w:rPr>
                <w:rFonts w:ascii="Arial Narrow" w:eastAsia="Times New Roman" w:hAnsi="Arial Narrow" w:cs="Calibri"/>
                <w:b/>
                <w:bCs/>
                <w:color w:val="000000"/>
                <w:sz w:val="22"/>
                <w:szCs w:val="22"/>
                <w:lang w:val="es-CR"/>
              </w:rPr>
              <w:t xml:space="preserve"> </w:t>
            </w:r>
          </w:p>
        </w:tc>
      </w:tr>
      <w:tr w:rsidR="0045779C" w:rsidRPr="006E5442" w14:paraId="4FCD6177" w14:textId="77777777" w:rsidTr="000501EB">
        <w:trPr>
          <w:trHeight w:val="1114"/>
        </w:trPr>
        <w:tc>
          <w:tcPr>
            <w:tcW w:w="522" w:type="dxa"/>
            <w:tcBorders>
              <w:top w:val="nil"/>
              <w:left w:val="single" w:sz="8" w:space="0" w:color="auto"/>
              <w:bottom w:val="single" w:sz="8" w:space="0" w:color="auto"/>
              <w:right w:val="single" w:sz="8" w:space="0" w:color="auto"/>
            </w:tcBorders>
            <w:shd w:val="clear" w:color="auto" w:fill="auto"/>
            <w:vAlign w:val="center"/>
            <w:hideMark/>
          </w:tcPr>
          <w:p w14:paraId="1C0741A1" w14:textId="77777777" w:rsidR="0045779C" w:rsidRPr="0045779C" w:rsidRDefault="0045779C" w:rsidP="0045779C">
            <w:pPr>
              <w:jc w:val="right"/>
              <w:rPr>
                <w:rFonts w:ascii="Arial Narrow" w:eastAsia="Times New Roman" w:hAnsi="Arial Narrow"/>
                <w:b/>
                <w:bCs/>
                <w:color w:val="000000"/>
                <w:sz w:val="22"/>
                <w:szCs w:val="22"/>
              </w:rPr>
            </w:pPr>
            <w:r w:rsidRPr="0045779C">
              <w:rPr>
                <w:rFonts w:ascii="Arial Narrow" w:eastAsia="Times New Roman" w:hAnsi="Arial Narrow"/>
                <w:b/>
                <w:bCs/>
                <w:color w:val="000000"/>
                <w:sz w:val="22"/>
                <w:szCs w:val="22"/>
              </w:rPr>
              <w:t>2</w:t>
            </w:r>
          </w:p>
        </w:tc>
        <w:tc>
          <w:tcPr>
            <w:tcW w:w="638" w:type="dxa"/>
            <w:tcBorders>
              <w:top w:val="nil"/>
              <w:left w:val="nil"/>
              <w:bottom w:val="single" w:sz="8" w:space="0" w:color="auto"/>
              <w:right w:val="single" w:sz="8" w:space="0" w:color="auto"/>
            </w:tcBorders>
            <w:shd w:val="clear" w:color="auto" w:fill="auto"/>
            <w:vAlign w:val="center"/>
            <w:hideMark/>
          </w:tcPr>
          <w:p w14:paraId="5D6D8126" w14:textId="77777777" w:rsidR="0045779C" w:rsidRPr="0045779C" w:rsidRDefault="0045779C" w:rsidP="0045779C">
            <w:pPr>
              <w:ind w:firstLineChars="100" w:firstLine="220"/>
              <w:rPr>
                <w:rFonts w:ascii="Arial Narrow" w:eastAsia="Times New Roman" w:hAnsi="Arial Narrow"/>
                <w:b/>
                <w:bCs/>
                <w:color w:val="000000"/>
                <w:sz w:val="22"/>
                <w:szCs w:val="22"/>
              </w:rPr>
            </w:pPr>
            <w:r w:rsidRPr="0045779C">
              <w:rPr>
                <w:rFonts w:ascii="Arial Narrow" w:eastAsia="Times New Roman" w:hAnsi="Arial Narrow"/>
                <w:b/>
                <w:bCs/>
                <w:color w:val="000000"/>
                <w:sz w:val="22"/>
                <w:szCs w:val="22"/>
              </w:rPr>
              <w:t>38</w:t>
            </w:r>
          </w:p>
        </w:tc>
        <w:tc>
          <w:tcPr>
            <w:tcW w:w="505" w:type="dxa"/>
            <w:tcBorders>
              <w:top w:val="nil"/>
              <w:left w:val="nil"/>
              <w:bottom w:val="single" w:sz="8" w:space="0" w:color="auto"/>
              <w:right w:val="nil"/>
            </w:tcBorders>
            <w:shd w:val="clear" w:color="auto" w:fill="auto"/>
            <w:vAlign w:val="center"/>
            <w:hideMark/>
          </w:tcPr>
          <w:p w14:paraId="4D006978" w14:textId="77777777" w:rsidR="0045779C" w:rsidRPr="0045779C" w:rsidRDefault="0045779C" w:rsidP="0045779C">
            <w:pPr>
              <w:jc w:val="center"/>
              <w:rPr>
                <w:rFonts w:ascii="Arial Narrow" w:eastAsia="Times New Roman" w:hAnsi="Arial Narrow" w:cs="Calibri"/>
                <w:b/>
                <w:bCs/>
                <w:color w:val="000000"/>
                <w:sz w:val="22"/>
                <w:szCs w:val="22"/>
              </w:rPr>
            </w:pPr>
            <w:r w:rsidRPr="0045779C">
              <w:rPr>
                <w:rFonts w:ascii="Arial Narrow" w:eastAsia="Times New Roman" w:hAnsi="Arial Narrow" w:cs="Calibri"/>
                <w:b/>
                <w:bCs/>
                <w:color w:val="000000"/>
                <w:sz w:val="22"/>
                <w:szCs w:val="22"/>
              </w:rPr>
              <w:t>1</w:t>
            </w:r>
          </w:p>
        </w:tc>
        <w:tc>
          <w:tcPr>
            <w:tcW w:w="3316" w:type="dxa"/>
            <w:tcBorders>
              <w:top w:val="nil"/>
              <w:left w:val="single" w:sz="8" w:space="0" w:color="auto"/>
              <w:bottom w:val="single" w:sz="8" w:space="0" w:color="auto"/>
              <w:right w:val="single" w:sz="8" w:space="0" w:color="auto"/>
            </w:tcBorders>
            <w:shd w:val="clear" w:color="auto" w:fill="auto"/>
            <w:vAlign w:val="center"/>
            <w:hideMark/>
          </w:tcPr>
          <w:p w14:paraId="23DAF231" w14:textId="77777777" w:rsidR="0045779C" w:rsidRPr="0045779C" w:rsidRDefault="0045779C" w:rsidP="0045779C">
            <w:pPr>
              <w:rPr>
                <w:rFonts w:ascii="Arial Narrow" w:eastAsia="Times New Roman" w:hAnsi="Arial Narrow"/>
                <w:b/>
                <w:bCs/>
                <w:color w:val="000000"/>
                <w:sz w:val="22"/>
                <w:szCs w:val="22"/>
              </w:rPr>
            </w:pPr>
            <w:r w:rsidRPr="0045779C">
              <w:rPr>
                <w:rFonts w:ascii="Arial Narrow" w:eastAsia="Times New Roman" w:hAnsi="Arial Narrow"/>
                <w:b/>
                <w:bCs/>
                <w:color w:val="000000"/>
                <w:sz w:val="22"/>
                <w:szCs w:val="22"/>
              </w:rPr>
              <w:t>Reconocimiento</w:t>
            </w:r>
          </w:p>
        </w:tc>
        <w:tc>
          <w:tcPr>
            <w:tcW w:w="1931" w:type="dxa"/>
            <w:tcBorders>
              <w:top w:val="nil"/>
              <w:left w:val="nil"/>
              <w:bottom w:val="single" w:sz="8" w:space="0" w:color="auto"/>
              <w:right w:val="single" w:sz="8" w:space="0" w:color="auto"/>
            </w:tcBorders>
            <w:shd w:val="clear" w:color="auto" w:fill="auto"/>
            <w:vAlign w:val="center"/>
            <w:hideMark/>
          </w:tcPr>
          <w:p w14:paraId="218A1439" w14:textId="77777777" w:rsidR="0045779C" w:rsidRPr="0045779C" w:rsidRDefault="0045779C" w:rsidP="0045779C">
            <w:pPr>
              <w:rPr>
                <w:rFonts w:ascii="Arial Narrow" w:eastAsia="Times New Roman" w:hAnsi="Arial Narrow" w:cs="Calibri"/>
                <w:b/>
                <w:bCs/>
                <w:color w:val="000000"/>
                <w:sz w:val="22"/>
                <w:szCs w:val="22"/>
              </w:rPr>
            </w:pPr>
            <w:r w:rsidRPr="0045779C">
              <w:rPr>
                <w:rFonts w:ascii="Arial Narrow" w:eastAsia="Times New Roman" w:hAnsi="Arial Narrow" w:cs="Calibri"/>
                <w:b/>
                <w:bCs/>
                <w:color w:val="000000"/>
                <w:sz w:val="22"/>
                <w:szCs w:val="22"/>
              </w:rPr>
              <w:t xml:space="preserve"> </w:t>
            </w:r>
          </w:p>
        </w:tc>
        <w:tc>
          <w:tcPr>
            <w:tcW w:w="2268" w:type="dxa"/>
            <w:tcBorders>
              <w:top w:val="nil"/>
              <w:left w:val="nil"/>
              <w:bottom w:val="single" w:sz="8" w:space="0" w:color="auto"/>
              <w:right w:val="single" w:sz="8" w:space="0" w:color="auto"/>
            </w:tcBorders>
            <w:shd w:val="clear" w:color="auto" w:fill="auto"/>
            <w:vAlign w:val="center"/>
            <w:hideMark/>
          </w:tcPr>
          <w:p w14:paraId="3A97432E" w14:textId="27351D5E" w:rsidR="000A6F04" w:rsidRDefault="000A6F04" w:rsidP="0045779C">
            <w:pPr>
              <w:rPr>
                <w:rFonts w:ascii="Arial Narrow" w:eastAsia="Times New Roman" w:hAnsi="Arial Narrow"/>
                <w:b/>
                <w:bCs/>
                <w:color w:val="000000"/>
                <w:sz w:val="22"/>
                <w:szCs w:val="22"/>
                <w:lang w:val="es-CR"/>
              </w:rPr>
            </w:pPr>
            <w:r>
              <w:rPr>
                <w:rFonts w:ascii="Arial Narrow" w:eastAsia="Times New Roman" w:hAnsi="Arial Narrow"/>
                <w:b/>
                <w:bCs/>
                <w:color w:val="000000"/>
                <w:sz w:val="22"/>
                <w:szCs w:val="22"/>
                <w:lang w:val="es-CR"/>
              </w:rPr>
              <w:t>Artículo 155 del Código Municipal, inciso j).</w:t>
            </w:r>
          </w:p>
          <w:p w14:paraId="68717383" w14:textId="229EA11B" w:rsidR="00265B91" w:rsidRDefault="00265B91" w:rsidP="0045779C">
            <w:pPr>
              <w:rPr>
                <w:rFonts w:ascii="Arial Narrow" w:eastAsia="Times New Roman" w:hAnsi="Arial Narrow"/>
                <w:b/>
                <w:bCs/>
                <w:color w:val="000000"/>
                <w:sz w:val="22"/>
                <w:szCs w:val="22"/>
                <w:lang w:val="es-CR"/>
              </w:rPr>
            </w:pPr>
            <w:r>
              <w:rPr>
                <w:rFonts w:ascii="Arial Narrow" w:eastAsia="Times New Roman" w:hAnsi="Arial Narrow"/>
                <w:b/>
                <w:bCs/>
                <w:color w:val="000000"/>
                <w:sz w:val="22"/>
                <w:szCs w:val="22"/>
                <w:lang w:val="es-CR"/>
              </w:rPr>
              <w:t xml:space="preserve">Ley Nº 1981 </w:t>
            </w:r>
          </w:p>
          <w:p w14:paraId="20F53007" w14:textId="77777777" w:rsidR="000A6F04" w:rsidRDefault="00265B91" w:rsidP="0045779C">
            <w:pPr>
              <w:rPr>
                <w:rFonts w:ascii="Arial Narrow" w:eastAsia="Times New Roman" w:hAnsi="Arial Narrow"/>
                <w:b/>
                <w:bCs/>
                <w:color w:val="000000"/>
                <w:sz w:val="22"/>
                <w:szCs w:val="22"/>
                <w:lang w:val="es-CR"/>
              </w:rPr>
            </w:pPr>
            <w:r w:rsidRPr="00265B91">
              <w:rPr>
                <w:rFonts w:ascii="Arial Narrow" w:eastAsia="Times New Roman" w:hAnsi="Arial Narrow"/>
                <w:b/>
                <w:bCs/>
                <w:color w:val="000000"/>
                <w:sz w:val="22"/>
                <w:szCs w:val="22"/>
                <w:lang w:val="es-CR"/>
              </w:rPr>
              <w:t>Pago de Aguinaldo a Servidores de Instituciones Autónomas</w:t>
            </w:r>
          </w:p>
          <w:p w14:paraId="4936A10E" w14:textId="24AB6100" w:rsidR="00EF2584" w:rsidRPr="0045779C" w:rsidRDefault="00EF2584" w:rsidP="0045779C">
            <w:pPr>
              <w:rPr>
                <w:rFonts w:ascii="Arial Narrow" w:eastAsia="Times New Roman" w:hAnsi="Arial Narrow"/>
                <w:b/>
                <w:bCs/>
                <w:color w:val="000000"/>
                <w:sz w:val="22"/>
                <w:szCs w:val="22"/>
                <w:lang w:val="es-CR"/>
              </w:rPr>
            </w:pPr>
            <w:r>
              <w:rPr>
                <w:rFonts w:ascii="Arial Narrow" w:eastAsia="Times New Roman" w:hAnsi="Arial Narrow"/>
                <w:b/>
                <w:bCs/>
                <w:color w:val="000000"/>
                <w:sz w:val="22"/>
                <w:szCs w:val="22"/>
                <w:lang w:val="es-CR"/>
              </w:rPr>
              <w:t>Reglamento autónomo de organización y servicios Artículo 94</w:t>
            </w:r>
          </w:p>
        </w:tc>
      </w:tr>
    </w:tbl>
    <w:p w14:paraId="2CCB7B04" w14:textId="77777777" w:rsidR="00B852DB" w:rsidRDefault="00B852DB" w:rsidP="00B852DB">
      <w:pPr>
        <w:tabs>
          <w:tab w:val="left" w:pos="2740"/>
        </w:tabs>
        <w:spacing w:line="238" w:lineRule="auto"/>
        <w:ind w:left="1134" w:right="260" w:hanging="1134"/>
        <w:jc w:val="both"/>
        <w:rPr>
          <w:rFonts w:ascii="Arial" w:hAnsi="Arial"/>
          <w:sz w:val="22"/>
          <w:szCs w:val="22"/>
          <w:lang w:val="es-CR"/>
        </w:rPr>
      </w:pPr>
    </w:p>
    <w:p w14:paraId="2FF26066" w14:textId="0068FCAE" w:rsidR="005A4C96" w:rsidRDefault="005A4C96" w:rsidP="00B852DB">
      <w:pPr>
        <w:tabs>
          <w:tab w:val="left" w:pos="2740"/>
        </w:tabs>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6FA61649" w14:textId="77777777" w:rsidR="005A4C96" w:rsidRDefault="005A4C96" w:rsidP="00B852DB">
      <w:pPr>
        <w:tabs>
          <w:tab w:val="left" w:pos="2740"/>
        </w:tabs>
        <w:spacing w:line="238" w:lineRule="auto"/>
        <w:ind w:left="1134" w:right="260" w:hanging="1134"/>
        <w:jc w:val="both"/>
        <w:rPr>
          <w:rFonts w:ascii="Arial" w:hAnsi="Arial"/>
          <w:sz w:val="22"/>
          <w:szCs w:val="22"/>
          <w:lang w:val="es-CR"/>
        </w:rPr>
      </w:pPr>
    </w:p>
    <w:p w14:paraId="04BEC45D" w14:textId="2FDC7BB8" w:rsidR="00EF2584" w:rsidRPr="000501EB" w:rsidRDefault="00EF2584">
      <w:pPr>
        <w:pStyle w:val="Prrafodelista"/>
        <w:numPr>
          <w:ilvl w:val="3"/>
          <w:numId w:val="155"/>
        </w:numPr>
        <w:spacing w:line="238" w:lineRule="auto"/>
        <w:ind w:left="1134" w:right="260" w:hanging="1134"/>
        <w:jc w:val="both"/>
        <w:rPr>
          <w:rFonts w:ascii="Arial" w:hAnsi="Arial"/>
          <w:sz w:val="22"/>
          <w:szCs w:val="22"/>
          <w:lang w:val="es-CR"/>
        </w:rPr>
      </w:pPr>
      <w:r w:rsidRPr="000501EB">
        <w:rPr>
          <w:rFonts w:ascii="Arial" w:hAnsi="Arial"/>
          <w:sz w:val="22"/>
          <w:szCs w:val="22"/>
          <w:lang w:val="es-CR"/>
        </w:rPr>
        <w:t>Todo funcionario tendrá derecho a un sueldo adicional anual (Aguinaldo), equivalente a la doceava parte del total de salarios pagados durante el año.</w:t>
      </w:r>
    </w:p>
    <w:p w14:paraId="25689F72" w14:textId="77777777" w:rsidR="000501EB" w:rsidRPr="000501EB" w:rsidRDefault="000501EB" w:rsidP="000501EB">
      <w:pPr>
        <w:pStyle w:val="Prrafodelista"/>
        <w:spacing w:line="238" w:lineRule="auto"/>
        <w:ind w:left="1134" w:right="260"/>
        <w:jc w:val="both"/>
        <w:rPr>
          <w:rFonts w:ascii="Arial" w:hAnsi="Arial"/>
          <w:sz w:val="22"/>
          <w:szCs w:val="22"/>
          <w:lang w:val="es-CR"/>
        </w:rPr>
      </w:pPr>
    </w:p>
    <w:p w14:paraId="09A305B6" w14:textId="188FC677" w:rsidR="00AD0D7C" w:rsidRPr="000501EB" w:rsidRDefault="00AD0D7C">
      <w:pPr>
        <w:pStyle w:val="Prrafodelista"/>
        <w:numPr>
          <w:ilvl w:val="3"/>
          <w:numId w:val="155"/>
        </w:numPr>
        <w:spacing w:line="238" w:lineRule="auto"/>
        <w:ind w:left="1134" w:right="260" w:hanging="1134"/>
        <w:jc w:val="both"/>
        <w:rPr>
          <w:rFonts w:ascii="Arial" w:hAnsi="Arial"/>
          <w:sz w:val="22"/>
          <w:szCs w:val="22"/>
          <w:lang w:val="es-CR"/>
        </w:rPr>
      </w:pPr>
      <w:r w:rsidRPr="000501EB">
        <w:rPr>
          <w:rFonts w:ascii="Arial" w:hAnsi="Arial"/>
          <w:sz w:val="22"/>
          <w:szCs w:val="22"/>
          <w:lang w:val="es-CR"/>
        </w:rPr>
        <w:t xml:space="preserve">Deberá reconocerse una cuenta por pagar cuando la entidad consuma los beneficios económicos o el potencial de servicio procedentes de la prestación de servicios por parte de un empleado a </w:t>
      </w:r>
      <w:r w:rsidR="000E5DF8" w:rsidRPr="000501EB">
        <w:rPr>
          <w:rFonts w:ascii="Arial" w:hAnsi="Arial"/>
          <w:sz w:val="22"/>
          <w:szCs w:val="22"/>
          <w:lang w:val="es-CR"/>
        </w:rPr>
        <w:t>ca</w:t>
      </w:r>
      <w:r w:rsidR="000E5DF8">
        <w:rPr>
          <w:rFonts w:ascii="Arial" w:hAnsi="Arial"/>
          <w:sz w:val="22"/>
          <w:szCs w:val="22"/>
          <w:lang w:val="es-CR"/>
        </w:rPr>
        <w:t>mbi</w:t>
      </w:r>
      <w:r w:rsidR="000E5DF8" w:rsidRPr="000501EB">
        <w:rPr>
          <w:rFonts w:ascii="Arial" w:hAnsi="Arial"/>
          <w:sz w:val="22"/>
          <w:szCs w:val="22"/>
          <w:lang w:val="es-CR"/>
        </w:rPr>
        <w:t>o</w:t>
      </w:r>
      <w:r w:rsidRPr="000501EB">
        <w:rPr>
          <w:rFonts w:ascii="Arial" w:hAnsi="Arial"/>
          <w:sz w:val="22"/>
          <w:szCs w:val="22"/>
          <w:lang w:val="es-CR"/>
        </w:rPr>
        <w:t xml:space="preserve"> de los cuales se le crea el derecho de recibir </w:t>
      </w:r>
      <w:r w:rsidR="00EF2584" w:rsidRPr="000501EB">
        <w:rPr>
          <w:rFonts w:ascii="Arial" w:hAnsi="Arial"/>
          <w:sz w:val="22"/>
          <w:szCs w:val="22"/>
          <w:lang w:val="es-CR"/>
        </w:rPr>
        <w:t>el aguinaldo de acuerdo con la legislación</w:t>
      </w:r>
      <w:r w:rsidRPr="000501EB">
        <w:rPr>
          <w:rFonts w:ascii="Arial" w:hAnsi="Arial"/>
          <w:sz w:val="22"/>
          <w:szCs w:val="22"/>
          <w:lang w:val="es-CR"/>
        </w:rPr>
        <w:t xml:space="preserve">. </w:t>
      </w:r>
    </w:p>
    <w:p w14:paraId="5E695B04" w14:textId="77777777" w:rsidR="00AD0D7C" w:rsidRPr="000501EB" w:rsidRDefault="00AD0D7C" w:rsidP="00AD0D7C">
      <w:pPr>
        <w:pStyle w:val="Prrafodelista"/>
        <w:spacing w:line="238" w:lineRule="auto"/>
        <w:ind w:left="1134" w:right="260"/>
        <w:jc w:val="both"/>
        <w:rPr>
          <w:rFonts w:ascii="Arial" w:hAnsi="Arial"/>
          <w:sz w:val="22"/>
          <w:szCs w:val="22"/>
          <w:lang w:val="es-CR"/>
        </w:rPr>
      </w:pPr>
    </w:p>
    <w:p w14:paraId="643E94AE" w14:textId="222F76C2" w:rsidR="0096432B" w:rsidRPr="000501EB" w:rsidRDefault="0096432B">
      <w:pPr>
        <w:pStyle w:val="Prrafodelista"/>
        <w:numPr>
          <w:ilvl w:val="3"/>
          <w:numId w:val="155"/>
        </w:numPr>
        <w:spacing w:line="238" w:lineRule="auto"/>
        <w:ind w:left="1134" w:right="260" w:hanging="1134"/>
        <w:jc w:val="both"/>
        <w:rPr>
          <w:rFonts w:ascii="Arial" w:hAnsi="Arial"/>
          <w:sz w:val="22"/>
          <w:szCs w:val="22"/>
          <w:lang w:val="es-CR"/>
        </w:rPr>
      </w:pPr>
      <w:r w:rsidRPr="000501EB">
        <w:rPr>
          <w:rFonts w:ascii="Arial" w:hAnsi="Arial"/>
          <w:sz w:val="22"/>
          <w:szCs w:val="22"/>
          <w:lang w:val="es-CR"/>
        </w:rPr>
        <w:t xml:space="preserve">El beneficio del aguinaldo será cancelado en los primeros 20 días del mes de </w:t>
      </w:r>
      <w:r w:rsidR="000E5DF8" w:rsidRPr="000501EB">
        <w:rPr>
          <w:rFonts w:ascii="Arial" w:hAnsi="Arial"/>
          <w:sz w:val="22"/>
          <w:szCs w:val="22"/>
          <w:lang w:val="es-CR"/>
        </w:rPr>
        <w:t>dicie</w:t>
      </w:r>
      <w:r w:rsidR="000E5DF8">
        <w:rPr>
          <w:rFonts w:ascii="Arial" w:hAnsi="Arial"/>
          <w:sz w:val="22"/>
          <w:szCs w:val="22"/>
          <w:lang w:val="es-CR"/>
        </w:rPr>
        <w:t>mbr</w:t>
      </w:r>
      <w:r w:rsidR="000E5DF8" w:rsidRPr="000501EB">
        <w:rPr>
          <w:rFonts w:ascii="Arial" w:hAnsi="Arial"/>
          <w:sz w:val="22"/>
          <w:szCs w:val="22"/>
          <w:lang w:val="es-CR"/>
        </w:rPr>
        <w:t>e</w:t>
      </w:r>
      <w:r w:rsidRPr="000501EB">
        <w:rPr>
          <w:rFonts w:ascii="Arial" w:hAnsi="Arial"/>
          <w:sz w:val="22"/>
          <w:szCs w:val="22"/>
          <w:lang w:val="es-CR"/>
        </w:rPr>
        <w:t xml:space="preserve"> del año que se trate.</w:t>
      </w:r>
    </w:p>
    <w:p w14:paraId="4FDACA3A" w14:textId="77777777" w:rsidR="0096432B" w:rsidRPr="000501EB" w:rsidRDefault="0096432B" w:rsidP="0096432B">
      <w:pPr>
        <w:pStyle w:val="Prrafodelista"/>
        <w:rPr>
          <w:rFonts w:ascii="Arial" w:hAnsi="Arial"/>
          <w:sz w:val="22"/>
          <w:szCs w:val="22"/>
          <w:lang w:val="es-CR"/>
        </w:rPr>
      </w:pPr>
    </w:p>
    <w:p w14:paraId="5A2B0463" w14:textId="77777777" w:rsidR="0096432B" w:rsidRPr="000501EB" w:rsidRDefault="00AD0D7C">
      <w:pPr>
        <w:pStyle w:val="Prrafodelista"/>
        <w:numPr>
          <w:ilvl w:val="3"/>
          <w:numId w:val="155"/>
        </w:numPr>
        <w:spacing w:line="238" w:lineRule="auto"/>
        <w:ind w:left="1134" w:right="260" w:hanging="1134"/>
        <w:jc w:val="both"/>
        <w:rPr>
          <w:rFonts w:ascii="Arial" w:hAnsi="Arial"/>
          <w:sz w:val="22"/>
          <w:szCs w:val="22"/>
          <w:lang w:val="es-CR"/>
        </w:rPr>
      </w:pPr>
      <w:r w:rsidRPr="000501EB">
        <w:rPr>
          <w:rFonts w:ascii="Arial" w:hAnsi="Arial"/>
          <w:sz w:val="22"/>
          <w:szCs w:val="22"/>
          <w:lang w:val="es-CR"/>
        </w:rPr>
        <w:t xml:space="preserve">Cuando un funcionario ofrece sus servicios a </w:t>
      </w:r>
      <w:r w:rsidR="00B22564" w:rsidRPr="000501EB">
        <w:rPr>
          <w:rFonts w:ascii="Arial" w:hAnsi="Arial"/>
          <w:sz w:val="22"/>
          <w:szCs w:val="22"/>
          <w:lang w:val="es-CR"/>
        </w:rPr>
        <w:t>l</w:t>
      </w:r>
      <w:r w:rsidRPr="000501EB">
        <w:rPr>
          <w:rFonts w:ascii="Arial" w:hAnsi="Arial"/>
          <w:sz w:val="22"/>
          <w:szCs w:val="22"/>
          <w:lang w:val="es-CR"/>
        </w:rPr>
        <w:t xml:space="preserve">a </w:t>
      </w:r>
      <w:r w:rsidR="00B22564" w:rsidRPr="000501EB">
        <w:rPr>
          <w:rFonts w:ascii="Arial" w:hAnsi="Arial"/>
          <w:sz w:val="22"/>
          <w:szCs w:val="22"/>
          <w:lang w:val="es-CR"/>
        </w:rPr>
        <w:t>Municipalidad</w:t>
      </w:r>
      <w:r w:rsidRPr="000501EB">
        <w:rPr>
          <w:rFonts w:ascii="Arial" w:hAnsi="Arial"/>
          <w:sz w:val="22"/>
          <w:szCs w:val="22"/>
          <w:lang w:val="es-CR"/>
        </w:rPr>
        <w:t xml:space="preserve"> mediante un contrato indefinido o definido</w:t>
      </w:r>
      <w:r w:rsidR="0096432B" w:rsidRPr="000501EB">
        <w:rPr>
          <w:rFonts w:ascii="Arial" w:hAnsi="Arial"/>
          <w:sz w:val="22"/>
          <w:szCs w:val="22"/>
          <w:lang w:val="es-CR"/>
        </w:rPr>
        <w:t>,</w:t>
      </w:r>
      <w:r w:rsidRPr="000501EB">
        <w:rPr>
          <w:rFonts w:ascii="Arial" w:hAnsi="Arial"/>
          <w:sz w:val="22"/>
          <w:szCs w:val="22"/>
          <w:lang w:val="es-CR"/>
        </w:rPr>
        <w:t xml:space="preserve"> y el mismo se </w:t>
      </w:r>
      <w:r w:rsidR="0096432B" w:rsidRPr="000501EB">
        <w:rPr>
          <w:rFonts w:ascii="Arial" w:hAnsi="Arial"/>
          <w:sz w:val="22"/>
          <w:szCs w:val="22"/>
          <w:lang w:val="es-CR"/>
        </w:rPr>
        <w:t xml:space="preserve">da la terminación de la relación de servicio antes de vencerse el periodo respectivo del contrato, </w:t>
      </w:r>
      <w:r w:rsidR="00EF2584" w:rsidRPr="000501EB">
        <w:rPr>
          <w:rFonts w:ascii="Arial" w:hAnsi="Arial"/>
          <w:sz w:val="22"/>
          <w:szCs w:val="22"/>
          <w:lang w:val="es-CR"/>
        </w:rPr>
        <w:t xml:space="preserve">se </w:t>
      </w:r>
      <w:r w:rsidR="00B22564" w:rsidRPr="000501EB">
        <w:rPr>
          <w:rFonts w:ascii="Arial" w:hAnsi="Arial"/>
          <w:sz w:val="22"/>
          <w:szCs w:val="22"/>
          <w:lang w:val="es-CR"/>
        </w:rPr>
        <w:t xml:space="preserve">pagará </w:t>
      </w:r>
      <w:r w:rsidR="0096432B" w:rsidRPr="000501EB">
        <w:rPr>
          <w:rFonts w:ascii="Arial" w:hAnsi="Arial"/>
          <w:sz w:val="22"/>
          <w:szCs w:val="22"/>
          <w:lang w:val="es-CR"/>
        </w:rPr>
        <w:t xml:space="preserve">el aguinaldo </w:t>
      </w:r>
      <w:r w:rsidR="00B22564" w:rsidRPr="000501EB">
        <w:rPr>
          <w:rFonts w:ascii="Arial" w:hAnsi="Arial"/>
          <w:sz w:val="22"/>
          <w:szCs w:val="22"/>
          <w:lang w:val="es-CR"/>
        </w:rPr>
        <w:t>proporcionalmente según corresponda al tiempo efectivamente laborado en la Municipalidad</w:t>
      </w:r>
      <w:r w:rsidRPr="000501EB">
        <w:rPr>
          <w:rFonts w:ascii="Arial" w:hAnsi="Arial"/>
          <w:sz w:val="22"/>
          <w:szCs w:val="22"/>
          <w:lang w:val="es-CR"/>
        </w:rPr>
        <w:t>.</w:t>
      </w:r>
    </w:p>
    <w:p w14:paraId="2A76F7CE" w14:textId="12933352" w:rsidR="00B22564" w:rsidRPr="000501EB" w:rsidRDefault="00AD0D7C" w:rsidP="0096432B">
      <w:pPr>
        <w:spacing w:line="238" w:lineRule="auto"/>
        <w:ind w:right="260"/>
        <w:jc w:val="both"/>
        <w:rPr>
          <w:rFonts w:ascii="Arial" w:hAnsi="Arial"/>
          <w:sz w:val="22"/>
          <w:szCs w:val="22"/>
          <w:lang w:val="es-CR"/>
        </w:rPr>
      </w:pPr>
      <w:r w:rsidRPr="000501EB">
        <w:rPr>
          <w:rFonts w:ascii="Arial" w:hAnsi="Arial"/>
          <w:sz w:val="22"/>
          <w:szCs w:val="22"/>
          <w:lang w:val="es-CR"/>
        </w:rPr>
        <w:t xml:space="preserve"> </w:t>
      </w:r>
    </w:p>
    <w:p w14:paraId="29A3C121" w14:textId="0E8C27A5" w:rsidR="00B22564" w:rsidRPr="000501EB" w:rsidRDefault="00B22564">
      <w:pPr>
        <w:pStyle w:val="Prrafodelista"/>
        <w:numPr>
          <w:ilvl w:val="3"/>
          <w:numId w:val="155"/>
        </w:numPr>
        <w:spacing w:line="238" w:lineRule="auto"/>
        <w:ind w:left="1134" w:right="260" w:hanging="1134"/>
        <w:jc w:val="both"/>
        <w:rPr>
          <w:rFonts w:ascii="Arial" w:hAnsi="Arial"/>
          <w:sz w:val="22"/>
          <w:szCs w:val="22"/>
          <w:lang w:val="es-CR"/>
        </w:rPr>
      </w:pPr>
      <w:r w:rsidRPr="000501EB">
        <w:rPr>
          <w:rFonts w:ascii="Arial" w:hAnsi="Arial"/>
          <w:sz w:val="22"/>
          <w:szCs w:val="22"/>
          <w:lang w:val="es-CR"/>
        </w:rPr>
        <w:t>E</w:t>
      </w:r>
      <w:r w:rsidR="00AD0D7C" w:rsidRPr="000501EB">
        <w:rPr>
          <w:rFonts w:ascii="Arial" w:hAnsi="Arial"/>
          <w:sz w:val="22"/>
          <w:szCs w:val="22"/>
          <w:lang w:val="es-CR"/>
        </w:rPr>
        <w:t>l reconocimiento</w:t>
      </w:r>
      <w:r w:rsidRPr="000501EB">
        <w:rPr>
          <w:rFonts w:ascii="Arial" w:hAnsi="Arial"/>
          <w:sz w:val="22"/>
          <w:szCs w:val="22"/>
          <w:lang w:val="es-CR"/>
        </w:rPr>
        <w:t xml:space="preserve"> </w:t>
      </w:r>
      <w:r w:rsidR="0096432B" w:rsidRPr="000501EB">
        <w:rPr>
          <w:rFonts w:ascii="Arial" w:hAnsi="Arial"/>
          <w:sz w:val="22"/>
          <w:szCs w:val="22"/>
          <w:lang w:val="es-CR"/>
        </w:rPr>
        <w:t xml:space="preserve">del Aguinaldo de los funcionarios como pasivo y como gasto, </w:t>
      </w:r>
      <w:r w:rsidRPr="000501EB">
        <w:rPr>
          <w:rFonts w:ascii="Arial" w:hAnsi="Arial"/>
          <w:sz w:val="22"/>
          <w:szCs w:val="22"/>
          <w:lang w:val="es-CR"/>
        </w:rPr>
        <w:t>se</w:t>
      </w:r>
      <w:r w:rsidR="0096432B" w:rsidRPr="000501EB">
        <w:rPr>
          <w:rFonts w:ascii="Arial" w:hAnsi="Arial"/>
          <w:sz w:val="22"/>
          <w:szCs w:val="22"/>
          <w:lang w:val="es-CR"/>
        </w:rPr>
        <w:t xml:space="preserve"> ha</w:t>
      </w:r>
      <w:r w:rsidRPr="000501EB">
        <w:rPr>
          <w:rFonts w:ascii="Arial" w:hAnsi="Arial"/>
          <w:sz w:val="22"/>
          <w:szCs w:val="22"/>
          <w:lang w:val="es-CR"/>
        </w:rPr>
        <w:t>rá</w:t>
      </w:r>
      <w:r w:rsidR="0096432B" w:rsidRPr="000501EB">
        <w:rPr>
          <w:rFonts w:ascii="Arial" w:hAnsi="Arial"/>
          <w:sz w:val="22"/>
          <w:szCs w:val="22"/>
          <w:lang w:val="es-CR"/>
        </w:rPr>
        <w:t xml:space="preserve"> en forma</w:t>
      </w:r>
      <w:r w:rsidR="00AD0D7C" w:rsidRPr="000501EB">
        <w:rPr>
          <w:rFonts w:ascii="Arial" w:hAnsi="Arial"/>
          <w:sz w:val="22"/>
          <w:szCs w:val="22"/>
          <w:lang w:val="es-CR"/>
        </w:rPr>
        <w:t xml:space="preserve"> mensual</w:t>
      </w:r>
      <w:r w:rsidR="009439E8" w:rsidRPr="000501EB">
        <w:rPr>
          <w:rFonts w:ascii="Arial" w:hAnsi="Arial"/>
          <w:sz w:val="22"/>
          <w:szCs w:val="22"/>
          <w:lang w:val="es-CR"/>
        </w:rPr>
        <w:t xml:space="preserve">, siendo aplicados sobre el salario bruto devengado por los </w:t>
      </w:r>
      <w:r w:rsidR="009439E8" w:rsidRPr="000501EB">
        <w:rPr>
          <w:rFonts w:ascii="Arial" w:hAnsi="Arial"/>
          <w:sz w:val="22"/>
          <w:szCs w:val="22"/>
          <w:lang w:val="es-CR"/>
        </w:rPr>
        <w:lastRenderedPageBreak/>
        <w:t>funcionarios</w:t>
      </w:r>
      <w:r w:rsidR="00AD0D7C" w:rsidRPr="000501EB">
        <w:rPr>
          <w:rFonts w:ascii="Arial" w:hAnsi="Arial"/>
          <w:sz w:val="22"/>
          <w:szCs w:val="22"/>
          <w:lang w:val="es-CR"/>
        </w:rPr>
        <w:t>. Esta porción del incentivo salarial del décimo tercer mes, el cual corresponde a un 8,33% del salario total bruto de los funcionarios</w:t>
      </w:r>
      <w:r w:rsidR="00BE7829" w:rsidRPr="000501EB">
        <w:rPr>
          <w:rFonts w:ascii="Arial" w:hAnsi="Arial"/>
          <w:sz w:val="22"/>
          <w:szCs w:val="22"/>
          <w:lang w:val="es-CR"/>
        </w:rPr>
        <w:t>.</w:t>
      </w:r>
    </w:p>
    <w:p w14:paraId="04B0476D" w14:textId="77777777" w:rsidR="00BE7829" w:rsidRPr="000501EB" w:rsidRDefault="00BE7829" w:rsidP="00BE7829">
      <w:pPr>
        <w:spacing w:line="238" w:lineRule="auto"/>
        <w:ind w:right="260"/>
        <w:jc w:val="both"/>
        <w:rPr>
          <w:rFonts w:ascii="Arial" w:hAnsi="Arial"/>
          <w:sz w:val="22"/>
          <w:szCs w:val="22"/>
          <w:lang w:val="es-CR"/>
        </w:rPr>
      </w:pPr>
    </w:p>
    <w:p w14:paraId="27ECFFC7" w14:textId="376A0565" w:rsidR="00AD0D7C" w:rsidRPr="000501EB" w:rsidRDefault="00AD0D7C">
      <w:pPr>
        <w:pStyle w:val="Prrafodelista"/>
        <w:numPr>
          <w:ilvl w:val="3"/>
          <w:numId w:val="155"/>
        </w:numPr>
        <w:spacing w:line="238" w:lineRule="auto"/>
        <w:ind w:left="1134" w:right="260" w:hanging="1134"/>
        <w:jc w:val="both"/>
        <w:rPr>
          <w:rFonts w:ascii="Arial" w:hAnsi="Arial"/>
          <w:sz w:val="22"/>
          <w:szCs w:val="22"/>
          <w:lang w:val="es-CR"/>
        </w:rPr>
      </w:pPr>
      <w:r w:rsidRPr="000501EB">
        <w:rPr>
          <w:rFonts w:ascii="Arial" w:hAnsi="Arial"/>
          <w:sz w:val="22"/>
          <w:szCs w:val="22"/>
          <w:lang w:val="es-CR"/>
        </w:rPr>
        <w:t xml:space="preserve">Para dicho registro </w:t>
      </w:r>
      <w:r w:rsidR="000A6F04" w:rsidRPr="000501EB">
        <w:rPr>
          <w:rFonts w:ascii="Arial" w:hAnsi="Arial"/>
          <w:sz w:val="22"/>
          <w:szCs w:val="22"/>
          <w:lang w:val="es-CR"/>
        </w:rPr>
        <w:t xml:space="preserve">no </w:t>
      </w:r>
      <w:r w:rsidRPr="000501EB">
        <w:rPr>
          <w:rFonts w:ascii="Arial" w:hAnsi="Arial"/>
          <w:sz w:val="22"/>
          <w:szCs w:val="22"/>
          <w:lang w:val="es-CR"/>
        </w:rPr>
        <w:t xml:space="preserve">se deben de considerar las deducciones de marco legal aplicadas según las particularidades de cada institución, registrando de forma separada el monto neto de los incentivos de las deducciones correspondientes. </w:t>
      </w:r>
    </w:p>
    <w:p w14:paraId="4E1F6FD6" w14:textId="77777777" w:rsidR="00265B91" w:rsidRPr="000501EB" w:rsidRDefault="00265B91" w:rsidP="00265B91">
      <w:pPr>
        <w:spacing w:line="238" w:lineRule="auto"/>
        <w:ind w:right="260"/>
        <w:jc w:val="both"/>
        <w:rPr>
          <w:rFonts w:ascii="Arial" w:hAnsi="Arial"/>
          <w:sz w:val="22"/>
          <w:szCs w:val="22"/>
          <w:lang w:val="es-CR"/>
        </w:rPr>
      </w:pPr>
    </w:p>
    <w:p w14:paraId="4A1D4EFB" w14:textId="233F2BF2" w:rsidR="00AD0D7C" w:rsidRPr="000501EB" w:rsidRDefault="00AD0D7C">
      <w:pPr>
        <w:pStyle w:val="Prrafodelista"/>
        <w:numPr>
          <w:ilvl w:val="3"/>
          <w:numId w:val="155"/>
        </w:numPr>
        <w:spacing w:line="238" w:lineRule="auto"/>
        <w:ind w:left="1134" w:right="260" w:hanging="1134"/>
        <w:jc w:val="both"/>
        <w:rPr>
          <w:rFonts w:ascii="Arial" w:hAnsi="Arial"/>
          <w:sz w:val="22"/>
          <w:szCs w:val="22"/>
          <w:lang w:val="es-CR"/>
        </w:rPr>
      </w:pPr>
      <w:r w:rsidRPr="000501EB">
        <w:rPr>
          <w:rFonts w:ascii="Arial" w:hAnsi="Arial"/>
          <w:sz w:val="22"/>
          <w:szCs w:val="22"/>
          <w:lang w:val="es-CR"/>
        </w:rPr>
        <w:t>Cálculo de las cuentas por pagar por concepto del aguinaldo a devengar:</w:t>
      </w:r>
    </w:p>
    <w:p w14:paraId="2A00514A" w14:textId="77777777" w:rsidR="002F5C0D" w:rsidRPr="000501EB" w:rsidRDefault="002F5C0D" w:rsidP="002F5C0D">
      <w:pPr>
        <w:spacing w:line="238" w:lineRule="auto"/>
        <w:ind w:right="260"/>
        <w:jc w:val="both"/>
        <w:rPr>
          <w:rFonts w:ascii="Arial" w:hAnsi="Arial"/>
          <w:sz w:val="22"/>
          <w:szCs w:val="22"/>
          <w:lang w:val="es-CR"/>
        </w:rPr>
      </w:pPr>
    </w:p>
    <w:p w14:paraId="616BDD48" w14:textId="33FA755C" w:rsidR="00AD0D7C" w:rsidRPr="000501EB" w:rsidRDefault="00265B91">
      <w:pPr>
        <w:pStyle w:val="Default"/>
        <w:numPr>
          <w:ilvl w:val="0"/>
          <w:numId w:val="156"/>
        </w:numPr>
        <w:spacing w:after="120"/>
        <w:ind w:left="1418" w:hanging="284"/>
        <w:jc w:val="both"/>
        <w:rPr>
          <w:sz w:val="22"/>
          <w:szCs w:val="22"/>
          <w:lang w:val="es-CR"/>
        </w:rPr>
      </w:pPr>
      <w:r w:rsidRPr="000501EB">
        <w:rPr>
          <w:sz w:val="22"/>
          <w:szCs w:val="22"/>
          <w:lang w:val="es-CR"/>
        </w:rPr>
        <w:t>S</w:t>
      </w:r>
      <w:r w:rsidR="00AD0D7C" w:rsidRPr="000501EB">
        <w:rPr>
          <w:sz w:val="22"/>
          <w:szCs w:val="22"/>
          <w:lang w:val="es-CR"/>
        </w:rPr>
        <w:t>obre el salario</w:t>
      </w:r>
      <w:r w:rsidR="000A6F04" w:rsidRPr="000501EB">
        <w:rPr>
          <w:sz w:val="22"/>
          <w:szCs w:val="22"/>
          <w:lang w:val="es-CR"/>
        </w:rPr>
        <w:t xml:space="preserve"> bruto</w:t>
      </w:r>
      <w:r w:rsidR="00AD0D7C" w:rsidRPr="000501EB">
        <w:rPr>
          <w:sz w:val="22"/>
          <w:szCs w:val="22"/>
          <w:lang w:val="es-CR"/>
        </w:rPr>
        <w:t xml:space="preserve"> mensual pag</w:t>
      </w:r>
      <w:r w:rsidRPr="000501EB">
        <w:rPr>
          <w:sz w:val="22"/>
          <w:szCs w:val="22"/>
          <w:lang w:val="es-CR"/>
        </w:rPr>
        <w:t>ad</w:t>
      </w:r>
      <w:r w:rsidR="00AD0D7C" w:rsidRPr="000501EB">
        <w:rPr>
          <w:sz w:val="22"/>
          <w:szCs w:val="22"/>
          <w:lang w:val="es-CR"/>
        </w:rPr>
        <w:t>o</w:t>
      </w:r>
      <w:r w:rsidRPr="000501EB">
        <w:rPr>
          <w:sz w:val="22"/>
          <w:szCs w:val="22"/>
          <w:lang w:val="es-CR"/>
        </w:rPr>
        <w:t xml:space="preserve"> a los</w:t>
      </w:r>
      <w:r w:rsidR="00AD0D7C" w:rsidRPr="000501EB">
        <w:rPr>
          <w:sz w:val="22"/>
          <w:szCs w:val="22"/>
          <w:lang w:val="es-CR"/>
        </w:rPr>
        <w:t xml:space="preserve"> empleados. </w:t>
      </w:r>
    </w:p>
    <w:p w14:paraId="78FFB6DB" w14:textId="7807A51F" w:rsidR="00AD0D7C" w:rsidRPr="000501EB" w:rsidRDefault="00265B91">
      <w:pPr>
        <w:pStyle w:val="Default"/>
        <w:numPr>
          <w:ilvl w:val="0"/>
          <w:numId w:val="156"/>
        </w:numPr>
        <w:spacing w:after="120"/>
        <w:ind w:left="1418" w:hanging="284"/>
        <w:jc w:val="both"/>
        <w:rPr>
          <w:sz w:val="22"/>
          <w:szCs w:val="22"/>
          <w:lang w:val="es-CR"/>
        </w:rPr>
      </w:pPr>
      <w:r w:rsidRPr="000501EB">
        <w:rPr>
          <w:sz w:val="22"/>
          <w:szCs w:val="22"/>
          <w:lang w:val="es-CR"/>
        </w:rPr>
        <w:t>E</w:t>
      </w:r>
      <w:r w:rsidR="00AD0D7C" w:rsidRPr="000501EB">
        <w:rPr>
          <w:sz w:val="22"/>
          <w:szCs w:val="22"/>
          <w:lang w:val="es-CR"/>
        </w:rPr>
        <w:t xml:space="preserve">l cálculo del aguinaldo para los funcionarios que se encuentran bajo el régimen de la ley No.1981 se </w:t>
      </w:r>
      <w:r w:rsidR="000A6F04" w:rsidRPr="000501EB">
        <w:rPr>
          <w:sz w:val="22"/>
          <w:szCs w:val="22"/>
          <w:lang w:val="es-CR"/>
        </w:rPr>
        <w:t>realizará</w:t>
      </w:r>
      <w:r w:rsidR="00AD0D7C" w:rsidRPr="000501EB">
        <w:rPr>
          <w:sz w:val="22"/>
          <w:szCs w:val="22"/>
          <w:lang w:val="es-CR"/>
        </w:rPr>
        <w:t xml:space="preserve"> del 1 de </w:t>
      </w:r>
      <w:r w:rsidR="000E5DF8" w:rsidRPr="000501EB">
        <w:rPr>
          <w:sz w:val="22"/>
          <w:szCs w:val="22"/>
          <w:lang w:val="es-CR"/>
        </w:rPr>
        <w:t>dicie</w:t>
      </w:r>
      <w:r w:rsidR="000E5DF8">
        <w:rPr>
          <w:sz w:val="22"/>
          <w:szCs w:val="22"/>
          <w:lang w:val="es-CR"/>
        </w:rPr>
        <w:t>mbr</w:t>
      </w:r>
      <w:r w:rsidR="000E5DF8" w:rsidRPr="000501EB">
        <w:rPr>
          <w:sz w:val="22"/>
          <w:szCs w:val="22"/>
          <w:lang w:val="es-CR"/>
        </w:rPr>
        <w:t>e</w:t>
      </w:r>
      <w:r w:rsidR="00AD0D7C" w:rsidRPr="000501EB">
        <w:rPr>
          <w:sz w:val="22"/>
          <w:szCs w:val="22"/>
          <w:lang w:val="es-CR"/>
        </w:rPr>
        <w:t xml:space="preserve"> año uno al 30 de </w:t>
      </w:r>
      <w:r w:rsidR="000E5DF8" w:rsidRPr="000501EB">
        <w:rPr>
          <w:sz w:val="22"/>
          <w:szCs w:val="22"/>
          <w:lang w:val="es-CR"/>
        </w:rPr>
        <w:t>novie</w:t>
      </w:r>
      <w:r w:rsidR="000E5DF8">
        <w:rPr>
          <w:sz w:val="22"/>
          <w:szCs w:val="22"/>
          <w:lang w:val="es-CR"/>
        </w:rPr>
        <w:t>mbr</w:t>
      </w:r>
      <w:r w:rsidR="000E5DF8" w:rsidRPr="000501EB">
        <w:rPr>
          <w:sz w:val="22"/>
          <w:szCs w:val="22"/>
          <w:lang w:val="es-CR"/>
        </w:rPr>
        <w:t>e</w:t>
      </w:r>
      <w:r w:rsidR="00AD0D7C" w:rsidRPr="000501EB">
        <w:rPr>
          <w:sz w:val="22"/>
          <w:szCs w:val="22"/>
          <w:lang w:val="es-CR"/>
        </w:rPr>
        <w:t xml:space="preserve"> año dos</w:t>
      </w:r>
      <w:r w:rsidRPr="000501EB">
        <w:rPr>
          <w:sz w:val="22"/>
          <w:szCs w:val="22"/>
          <w:lang w:val="es-CR"/>
        </w:rPr>
        <w:t>.</w:t>
      </w:r>
    </w:p>
    <w:p w14:paraId="0516E8B9" w14:textId="75DF56ED" w:rsidR="00AD0D7C" w:rsidRPr="000501EB" w:rsidRDefault="00027F08">
      <w:pPr>
        <w:pStyle w:val="Default"/>
        <w:numPr>
          <w:ilvl w:val="0"/>
          <w:numId w:val="156"/>
        </w:numPr>
        <w:spacing w:after="120"/>
        <w:ind w:left="1418" w:hanging="284"/>
        <w:jc w:val="both"/>
        <w:rPr>
          <w:sz w:val="22"/>
          <w:szCs w:val="22"/>
          <w:lang w:val="es-CR"/>
        </w:rPr>
      </w:pPr>
      <w:r w:rsidRPr="000501EB">
        <w:rPr>
          <w:sz w:val="22"/>
          <w:szCs w:val="22"/>
          <w:lang w:val="es-CR"/>
        </w:rPr>
        <w:t>E</w:t>
      </w:r>
      <w:r w:rsidR="00AD0D7C" w:rsidRPr="000501EB">
        <w:rPr>
          <w:sz w:val="22"/>
          <w:szCs w:val="22"/>
          <w:lang w:val="es-CR"/>
        </w:rPr>
        <w:t xml:space="preserve">n el mes de </w:t>
      </w:r>
      <w:r w:rsidR="000E5DF8" w:rsidRPr="000501EB">
        <w:rPr>
          <w:sz w:val="22"/>
          <w:szCs w:val="22"/>
          <w:lang w:val="es-CR"/>
        </w:rPr>
        <w:t>dicie</w:t>
      </w:r>
      <w:r w:rsidR="000E5DF8">
        <w:rPr>
          <w:sz w:val="22"/>
          <w:szCs w:val="22"/>
          <w:lang w:val="es-CR"/>
        </w:rPr>
        <w:t>mbr</w:t>
      </w:r>
      <w:r w:rsidR="000E5DF8" w:rsidRPr="000501EB">
        <w:rPr>
          <w:sz w:val="22"/>
          <w:szCs w:val="22"/>
          <w:lang w:val="es-CR"/>
        </w:rPr>
        <w:t>e</w:t>
      </w:r>
      <w:r w:rsidR="00AD0D7C" w:rsidRPr="000501EB">
        <w:rPr>
          <w:sz w:val="22"/>
          <w:szCs w:val="22"/>
          <w:lang w:val="es-CR"/>
        </w:rPr>
        <w:t xml:space="preserve"> se debe recalcular el monto total del aguinaldo y se debe ajustar si se requiere por la diferencia entre el monto devengado total y el monto final; </w:t>
      </w:r>
    </w:p>
    <w:p w14:paraId="5AEAC0AC" w14:textId="06CFD535" w:rsidR="00AD0D7C" w:rsidRPr="000501EB" w:rsidRDefault="00027F08">
      <w:pPr>
        <w:pStyle w:val="Default"/>
        <w:numPr>
          <w:ilvl w:val="0"/>
          <w:numId w:val="156"/>
        </w:numPr>
        <w:spacing w:after="120"/>
        <w:ind w:left="1418" w:hanging="284"/>
        <w:jc w:val="both"/>
        <w:rPr>
          <w:sz w:val="22"/>
          <w:szCs w:val="22"/>
          <w:lang w:val="es-CR"/>
        </w:rPr>
      </w:pPr>
      <w:r w:rsidRPr="000501EB">
        <w:rPr>
          <w:sz w:val="22"/>
          <w:szCs w:val="22"/>
          <w:lang w:val="es-CR"/>
        </w:rPr>
        <w:t>No s</w:t>
      </w:r>
      <w:r w:rsidR="00AD0D7C" w:rsidRPr="000501EB">
        <w:rPr>
          <w:sz w:val="22"/>
          <w:szCs w:val="22"/>
          <w:lang w:val="es-CR"/>
        </w:rPr>
        <w:t xml:space="preserve">e debe aplicar las deducciones de ley al monto total del aguinaldo, </w:t>
      </w:r>
    </w:p>
    <w:p w14:paraId="7AEE5A8D" w14:textId="2E37A62A" w:rsidR="00AD0D7C" w:rsidRPr="000501EB" w:rsidRDefault="00027F08">
      <w:pPr>
        <w:pStyle w:val="Default"/>
        <w:numPr>
          <w:ilvl w:val="0"/>
          <w:numId w:val="156"/>
        </w:numPr>
        <w:spacing w:after="120"/>
        <w:ind w:left="1418" w:hanging="284"/>
        <w:jc w:val="both"/>
        <w:rPr>
          <w:sz w:val="22"/>
          <w:szCs w:val="22"/>
          <w:lang w:val="es-CR"/>
        </w:rPr>
      </w:pPr>
      <w:r w:rsidRPr="000501EB">
        <w:rPr>
          <w:sz w:val="22"/>
          <w:szCs w:val="22"/>
          <w:lang w:val="es-CR"/>
        </w:rPr>
        <w:t>E</w:t>
      </w:r>
      <w:r w:rsidR="00AD0D7C" w:rsidRPr="000501EB">
        <w:rPr>
          <w:sz w:val="22"/>
          <w:szCs w:val="22"/>
          <w:lang w:val="es-CR"/>
        </w:rPr>
        <w:t xml:space="preserve">l aguinaldo se cancela en el mes de </w:t>
      </w:r>
      <w:r w:rsidR="000E5DF8" w:rsidRPr="000501EB">
        <w:rPr>
          <w:sz w:val="22"/>
          <w:szCs w:val="22"/>
          <w:lang w:val="es-CR"/>
        </w:rPr>
        <w:t>dicie</w:t>
      </w:r>
      <w:r w:rsidR="000E5DF8">
        <w:rPr>
          <w:sz w:val="22"/>
          <w:szCs w:val="22"/>
          <w:lang w:val="es-CR"/>
        </w:rPr>
        <w:t>mbr</w:t>
      </w:r>
      <w:r w:rsidR="000E5DF8" w:rsidRPr="000501EB">
        <w:rPr>
          <w:sz w:val="22"/>
          <w:szCs w:val="22"/>
          <w:lang w:val="es-CR"/>
        </w:rPr>
        <w:t>e</w:t>
      </w:r>
      <w:r w:rsidR="00AD0D7C" w:rsidRPr="000501EB">
        <w:rPr>
          <w:sz w:val="22"/>
          <w:szCs w:val="22"/>
          <w:lang w:val="es-CR"/>
        </w:rPr>
        <w:t xml:space="preserve"> de cada año</w:t>
      </w:r>
      <w:r w:rsidR="000A6F04" w:rsidRPr="000501EB">
        <w:rPr>
          <w:sz w:val="22"/>
          <w:szCs w:val="22"/>
          <w:lang w:val="es-CR"/>
        </w:rPr>
        <w:t xml:space="preserve"> conforme la legislación vigente (Código Municipal, Art 155 inciso j)</w:t>
      </w:r>
      <w:r w:rsidR="002F5C0D" w:rsidRPr="000501EB">
        <w:rPr>
          <w:sz w:val="22"/>
          <w:szCs w:val="22"/>
          <w:lang w:val="es-CR"/>
        </w:rPr>
        <w:t>,</w:t>
      </w:r>
      <w:r w:rsidR="00AD0D7C" w:rsidRPr="000501EB">
        <w:rPr>
          <w:sz w:val="22"/>
          <w:szCs w:val="22"/>
          <w:lang w:val="es-CR"/>
        </w:rPr>
        <w:t xml:space="preserve"> </w:t>
      </w:r>
    </w:p>
    <w:p w14:paraId="2514CBC9" w14:textId="12CD1C4C" w:rsidR="00AD0D7C" w:rsidRPr="000501EB" w:rsidRDefault="00027F08">
      <w:pPr>
        <w:pStyle w:val="Default"/>
        <w:numPr>
          <w:ilvl w:val="0"/>
          <w:numId w:val="156"/>
        </w:numPr>
        <w:spacing w:after="120"/>
        <w:ind w:left="1418" w:hanging="284"/>
        <w:jc w:val="both"/>
        <w:rPr>
          <w:sz w:val="22"/>
          <w:szCs w:val="22"/>
          <w:lang w:val="es-CR"/>
        </w:rPr>
      </w:pPr>
      <w:r w:rsidRPr="000501EB">
        <w:rPr>
          <w:sz w:val="22"/>
          <w:szCs w:val="22"/>
          <w:lang w:val="es-CR"/>
        </w:rPr>
        <w:t>L</w:t>
      </w:r>
      <w:r w:rsidR="00AD0D7C" w:rsidRPr="000501EB">
        <w:rPr>
          <w:sz w:val="22"/>
          <w:szCs w:val="22"/>
          <w:lang w:val="es-CR"/>
        </w:rPr>
        <w:t xml:space="preserve">a parte proporcional del aguinaldo sobre los meses pagados por concepto de remuneraciones, se deberán cancelar, </w:t>
      </w:r>
      <w:r w:rsidR="002F5C0D" w:rsidRPr="000501EB">
        <w:rPr>
          <w:sz w:val="22"/>
          <w:szCs w:val="22"/>
          <w:lang w:val="es-CR"/>
        </w:rPr>
        <w:t xml:space="preserve">en </w:t>
      </w:r>
      <w:r w:rsidR="000E5DF8" w:rsidRPr="000501EB">
        <w:rPr>
          <w:sz w:val="22"/>
          <w:szCs w:val="22"/>
          <w:lang w:val="es-CR"/>
        </w:rPr>
        <w:t>dicie</w:t>
      </w:r>
      <w:r w:rsidR="000E5DF8">
        <w:rPr>
          <w:sz w:val="22"/>
          <w:szCs w:val="22"/>
          <w:lang w:val="es-CR"/>
        </w:rPr>
        <w:t>mbr</w:t>
      </w:r>
      <w:r w:rsidR="000E5DF8" w:rsidRPr="000501EB">
        <w:rPr>
          <w:sz w:val="22"/>
          <w:szCs w:val="22"/>
          <w:lang w:val="es-CR"/>
        </w:rPr>
        <w:t>e</w:t>
      </w:r>
      <w:r w:rsidR="002F5C0D" w:rsidRPr="000501EB">
        <w:rPr>
          <w:sz w:val="22"/>
          <w:szCs w:val="22"/>
          <w:lang w:val="es-CR"/>
        </w:rPr>
        <w:t xml:space="preserve"> de cada año o </w:t>
      </w:r>
      <w:r w:rsidR="00AD0D7C" w:rsidRPr="000501EB">
        <w:rPr>
          <w:sz w:val="22"/>
          <w:szCs w:val="22"/>
          <w:lang w:val="es-CR"/>
        </w:rPr>
        <w:t xml:space="preserve">cuando se presente el término de la relación laboral por cualquier circunstancia. La cancelación por este concepto se hará cuando se liquiden las prestaciones o </w:t>
      </w:r>
      <w:r w:rsidR="009012C3" w:rsidRPr="000501EB">
        <w:rPr>
          <w:sz w:val="22"/>
          <w:szCs w:val="22"/>
          <w:lang w:val="es-CR"/>
        </w:rPr>
        <w:t>de acuerdo con</w:t>
      </w:r>
      <w:r w:rsidR="00AD0D7C" w:rsidRPr="000501EB">
        <w:rPr>
          <w:sz w:val="22"/>
          <w:szCs w:val="22"/>
          <w:lang w:val="es-CR"/>
        </w:rPr>
        <w:t xml:space="preserve"> las políticas establecidas por la Administración Activa; </w:t>
      </w:r>
    </w:p>
    <w:p w14:paraId="428DB57B" w14:textId="7E2F0030" w:rsidR="00AD0D7C" w:rsidRPr="000501EB" w:rsidRDefault="00027F08">
      <w:pPr>
        <w:pStyle w:val="Default"/>
        <w:numPr>
          <w:ilvl w:val="0"/>
          <w:numId w:val="156"/>
        </w:numPr>
        <w:spacing w:after="120"/>
        <w:ind w:left="1418" w:hanging="284"/>
        <w:jc w:val="both"/>
        <w:rPr>
          <w:sz w:val="22"/>
          <w:szCs w:val="22"/>
          <w:lang w:val="es-CR"/>
        </w:rPr>
      </w:pPr>
      <w:r w:rsidRPr="000501EB">
        <w:rPr>
          <w:sz w:val="22"/>
          <w:szCs w:val="22"/>
          <w:lang w:val="es-CR"/>
        </w:rPr>
        <w:t>P</w:t>
      </w:r>
      <w:r w:rsidR="00AD0D7C" w:rsidRPr="000501EB">
        <w:rPr>
          <w:sz w:val="22"/>
          <w:szCs w:val="22"/>
          <w:lang w:val="es-CR"/>
        </w:rPr>
        <w:t>or concepto de aguinaldo no se realizan provisiones, excepto cuando se presentan restructuraciones organizacionales o un plan de movilidad laboral.</w:t>
      </w:r>
    </w:p>
    <w:p w14:paraId="0BDFEBD5" w14:textId="693EE320" w:rsidR="00AD0D7C" w:rsidRPr="000501EB" w:rsidRDefault="00027F08">
      <w:pPr>
        <w:pStyle w:val="Default"/>
        <w:numPr>
          <w:ilvl w:val="0"/>
          <w:numId w:val="156"/>
        </w:numPr>
        <w:ind w:left="1418" w:hanging="284"/>
        <w:jc w:val="both"/>
        <w:rPr>
          <w:color w:val="auto"/>
          <w:sz w:val="22"/>
          <w:szCs w:val="22"/>
          <w:lang w:val="es-CR"/>
        </w:rPr>
      </w:pPr>
      <w:r w:rsidRPr="000501EB">
        <w:rPr>
          <w:color w:val="auto"/>
          <w:sz w:val="22"/>
          <w:szCs w:val="22"/>
          <w:lang w:val="es-CR"/>
        </w:rPr>
        <w:t>C</w:t>
      </w:r>
      <w:r w:rsidR="00AD0D7C" w:rsidRPr="000501EB">
        <w:rPr>
          <w:color w:val="auto"/>
          <w:sz w:val="22"/>
          <w:szCs w:val="22"/>
          <w:lang w:val="es-CR"/>
        </w:rPr>
        <w:t xml:space="preserve">uando el trabajador hubiere disfrutado de licencia para no asistir a su trabajo, sin goce de salario, o hubiere sido suspendido, el </w:t>
      </w:r>
      <w:r w:rsidRPr="000501EB">
        <w:rPr>
          <w:color w:val="auto"/>
          <w:sz w:val="22"/>
          <w:szCs w:val="22"/>
          <w:lang w:val="es-CR"/>
        </w:rPr>
        <w:t>aguinaldo</w:t>
      </w:r>
      <w:r w:rsidR="00AD0D7C" w:rsidRPr="000501EB">
        <w:rPr>
          <w:color w:val="auto"/>
          <w:sz w:val="22"/>
          <w:szCs w:val="22"/>
          <w:lang w:val="es-CR"/>
        </w:rPr>
        <w:t xml:space="preserve"> se calculará con base en el promedio que resulte </w:t>
      </w:r>
      <w:r w:rsidRPr="000501EB">
        <w:rPr>
          <w:color w:val="auto"/>
          <w:sz w:val="22"/>
          <w:szCs w:val="22"/>
          <w:lang w:val="es-CR"/>
        </w:rPr>
        <w:t xml:space="preserve">del tiempo remunerado </w:t>
      </w:r>
      <w:r w:rsidR="00AD0D7C" w:rsidRPr="000501EB">
        <w:rPr>
          <w:color w:val="auto"/>
          <w:sz w:val="22"/>
          <w:szCs w:val="22"/>
          <w:lang w:val="es-CR"/>
        </w:rPr>
        <w:t xml:space="preserve">durante el respectivo año. En los demás casos de suspensión de la relación de trabajo con responsabilidad </w:t>
      </w:r>
      <w:r w:rsidRPr="000501EB">
        <w:rPr>
          <w:color w:val="auto"/>
          <w:sz w:val="22"/>
          <w:szCs w:val="22"/>
          <w:lang w:val="es-CR"/>
        </w:rPr>
        <w:t>para la Municipalidad</w:t>
      </w:r>
      <w:r w:rsidR="00AD0D7C" w:rsidRPr="000501EB">
        <w:rPr>
          <w:color w:val="auto"/>
          <w:sz w:val="22"/>
          <w:szCs w:val="22"/>
          <w:lang w:val="es-CR"/>
        </w:rPr>
        <w:t xml:space="preserve">, tales como la enfermedad del servidor, permisos con goce de salario y otros, el </w:t>
      </w:r>
      <w:r w:rsidRPr="000501EB">
        <w:rPr>
          <w:color w:val="auto"/>
          <w:sz w:val="22"/>
          <w:szCs w:val="22"/>
          <w:lang w:val="es-CR"/>
        </w:rPr>
        <w:t>aguinaldo</w:t>
      </w:r>
      <w:r w:rsidR="00AD0D7C" w:rsidRPr="000501EB">
        <w:rPr>
          <w:color w:val="auto"/>
          <w:sz w:val="22"/>
          <w:szCs w:val="22"/>
          <w:lang w:val="es-CR"/>
        </w:rPr>
        <w:t xml:space="preserve"> se reconocerá completo. </w:t>
      </w:r>
    </w:p>
    <w:p w14:paraId="31ABC65E" w14:textId="2866F10C" w:rsidR="00B852DB" w:rsidRDefault="00B852DB" w:rsidP="00AD0D7C">
      <w:pPr>
        <w:tabs>
          <w:tab w:val="left" w:pos="2740"/>
        </w:tabs>
        <w:spacing w:line="238" w:lineRule="auto"/>
        <w:ind w:left="1134" w:right="260" w:hanging="1134"/>
        <w:jc w:val="both"/>
        <w:rPr>
          <w:rFonts w:ascii="Arial" w:hAnsi="Arial"/>
          <w:sz w:val="22"/>
          <w:szCs w:val="22"/>
          <w:lang w:val="es-CR"/>
        </w:rPr>
      </w:pPr>
    </w:p>
    <w:p w14:paraId="0445DDF4" w14:textId="77777777" w:rsidR="000A6F04" w:rsidRDefault="000A6F04" w:rsidP="000A6F04">
      <w:pPr>
        <w:pStyle w:val="Default"/>
        <w:rPr>
          <w:color w:val="auto"/>
          <w:lang w:val="es-CR"/>
        </w:rPr>
      </w:pPr>
    </w:p>
    <w:p w14:paraId="2E8B0A23" w14:textId="77777777" w:rsidR="005A4C96" w:rsidRDefault="005A4C96" w:rsidP="000A6F04">
      <w:pPr>
        <w:pStyle w:val="Default"/>
        <w:rPr>
          <w:color w:val="auto"/>
          <w:lang w:val="es-CR"/>
        </w:rPr>
      </w:pPr>
    </w:p>
    <w:p w14:paraId="48902134" w14:textId="625C082D" w:rsidR="00B852DB" w:rsidRPr="004D6AF6" w:rsidRDefault="000A6F04" w:rsidP="004D6AF6">
      <w:pPr>
        <w:pStyle w:val="Ttulo2"/>
        <w:ind w:left="284"/>
        <w:rPr>
          <w:rFonts w:ascii="Arial" w:eastAsia="Arial" w:hAnsi="Arial" w:cs="Arial"/>
          <w:b/>
          <w:bCs/>
          <w:sz w:val="20"/>
          <w:szCs w:val="20"/>
          <w:lang w:val="es-CR"/>
        </w:rPr>
      </w:pPr>
      <w:bookmarkStart w:id="97" w:name="_Toc172726232"/>
      <w:r w:rsidRPr="004D6AF6">
        <w:rPr>
          <w:rFonts w:ascii="Arial" w:eastAsia="Arial" w:hAnsi="Arial" w:cs="Arial"/>
          <w:b/>
          <w:bCs/>
          <w:sz w:val="20"/>
          <w:szCs w:val="20"/>
          <w:lang w:val="es-CR"/>
        </w:rPr>
        <w:t>Cuentas por Pagar Corto Plazo por concepto de vacaciones:</w:t>
      </w:r>
      <w:bookmarkEnd w:id="97"/>
    </w:p>
    <w:p w14:paraId="016AC16A" w14:textId="77777777" w:rsidR="00B852DB" w:rsidRDefault="00B852DB" w:rsidP="00C522E2">
      <w:pPr>
        <w:spacing w:line="238" w:lineRule="auto"/>
        <w:ind w:left="1134" w:right="260" w:hanging="1134"/>
        <w:jc w:val="both"/>
        <w:rPr>
          <w:rFonts w:ascii="Arial" w:eastAsia="Arial" w:hAnsi="Arial"/>
          <w:b/>
          <w:sz w:val="22"/>
          <w:szCs w:val="22"/>
          <w:lang w:val="es-CR"/>
        </w:rPr>
      </w:pPr>
    </w:p>
    <w:tbl>
      <w:tblPr>
        <w:tblW w:w="9700" w:type="dxa"/>
        <w:tblLook w:val="04A0" w:firstRow="1" w:lastRow="0" w:firstColumn="1" w:lastColumn="0" w:noHBand="0" w:noVBand="1"/>
      </w:tblPr>
      <w:tblGrid>
        <w:gridCol w:w="523"/>
        <w:gridCol w:w="748"/>
        <w:gridCol w:w="503"/>
        <w:gridCol w:w="3648"/>
        <w:gridCol w:w="2213"/>
        <w:gridCol w:w="2065"/>
      </w:tblGrid>
      <w:tr w:rsidR="000A6F04" w:rsidRPr="004D6AF6" w14:paraId="76CAE3A3" w14:textId="77777777" w:rsidTr="000A6F04">
        <w:trPr>
          <w:trHeight w:val="320"/>
        </w:trPr>
        <w:tc>
          <w:tcPr>
            <w:tcW w:w="177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5B45601" w14:textId="77777777" w:rsidR="000A6F04" w:rsidRPr="004D6AF6" w:rsidRDefault="000A6F04" w:rsidP="000A6F04">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Norma / Política</w:t>
            </w:r>
          </w:p>
        </w:tc>
        <w:tc>
          <w:tcPr>
            <w:tcW w:w="364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2543B82" w14:textId="77777777" w:rsidR="000A6F04" w:rsidRPr="004D6AF6" w:rsidRDefault="000A6F04" w:rsidP="000A6F04">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Concepto</w:t>
            </w:r>
          </w:p>
        </w:tc>
        <w:tc>
          <w:tcPr>
            <w:tcW w:w="4278" w:type="dxa"/>
            <w:gridSpan w:val="2"/>
            <w:tcBorders>
              <w:top w:val="single" w:sz="8" w:space="0" w:color="auto"/>
              <w:left w:val="nil"/>
              <w:bottom w:val="single" w:sz="8" w:space="0" w:color="auto"/>
              <w:right w:val="single" w:sz="8" w:space="0" w:color="000000"/>
            </w:tcBorders>
            <w:shd w:val="clear" w:color="000000" w:fill="203764"/>
            <w:vAlign w:val="center"/>
            <w:hideMark/>
          </w:tcPr>
          <w:p w14:paraId="647BA737" w14:textId="77777777" w:rsidR="000A6F04" w:rsidRPr="004D6AF6" w:rsidRDefault="000A6F04" w:rsidP="000A6F04">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Referencia</w:t>
            </w:r>
          </w:p>
        </w:tc>
      </w:tr>
      <w:tr w:rsidR="000A6F04" w:rsidRPr="006E5442" w14:paraId="59DCC22E" w14:textId="77777777" w:rsidTr="000A6F04">
        <w:trPr>
          <w:trHeight w:val="940"/>
        </w:trPr>
        <w:tc>
          <w:tcPr>
            <w:tcW w:w="1774" w:type="dxa"/>
            <w:gridSpan w:val="3"/>
            <w:vMerge/>
            <w:tcBorders>
              <w:top w:val="single" w:sz="8" w:space="0" w:color="auto"/>
              <w:left w:val="single" w:sz="8" w:space="0" w:color="auto"/>
              <w:bottom w:val="nil"/>
              <w:right w:val="single" w:sz="8" w:space="0" w:color="000000"/>
            </w:tcBorders>
            <w:vAlign w:val="center"/>
            <w:hideMark/>
          </w:tcPr>
          <w:p w14:paraId="608BCB51" w14:textId="77777777" w:rsidR="000A6F04" w:rsidRPr="004D6AF6" w:rsidRDefault="000A6F04" w:rsidP="000A6F04">
            <w:pPr>
              <w:rPr>
                <w:rFonts w:ascii="Arial Narrow" w:eastAsia="Times New Roman" w:hAnsi="Arial Narrow" w:cs="Calibri"/>
                <w:b/>
                <w:bCs/>
                <w:color w:val="FFFFFF"/>
                <w:sz w:val="22"/>
                <w:szCs w:val="22"/>
              </w:rPr>
            </w:pPr>
          </w:p>
        </w:tc>
        <w:tc>
          <w:tcPr>
            <w:tcW w:w="3648" w:type="dxa"/>
            <w:vMerge/>
            <w:tcBorders>
              <w:top w:val="single" w:sz="8" w:space="0" w:color="auto"/>
              <w:left w:val="single" w:sz="8" w:space="0" w:color="auto"/>
              <w:bottom w:val="nil"/>
              <w:right w:val="single" w:sz="8" w:space="0" w:color="auto"/>
            </w:tcBorders>
            <w:vAlign w:val="center"/>
            <w:hideMark/>
          </w:tcPr>
          <w:p w14:paraId="6E03B9DD" w14:textId="77777777" w:rsidR="000A6F04" w:rsidRPr="004D6AF6" w:rsidRDefault="000A6F04" w:rsidP="000A6F04">
            <w:pPr>
              <w:rPr>
                <w:rFonts w:ascii="Arial Narrow" w:eastAsia="Times New Roman" w:hAnsi="Arial Narrow" w:cs="Calibri"/>
                <w:b/>
                <w:bCs/>
                <w:color w:val="FFFFFF"/>
                <w:sz w:val="22"/>
                <w:szCs w:val="22"/>
              </w:rPr>
            </w:pPr>
          </w:p>
        </w:tc>
        <w:tc>
          <w:tcPr>
            <w:tcW w:w="2213" w:type="dxa"/>
            <w:tcBorders>
              <w:top w:val="nil"/>
              <w:left w:val="nil"/>
              <w:bottom w:val="nil"/>
              <w:right w:val="single" w:sz="8" w:space="0" w:color="auto"/>
            </w:tcBorders>
            <w:shd w:val="clear" w:color="000000" w:fill="203764"/>
            <w:vAlign w:val="center"/>
            <w:hideMark/>
          </w:tcPr>
          <w:p w14:paraId="1FFE5284" w14:textId="77777777" w:rsidR="000A6F04" w:rsidRPr="004D6AF6" w:rsidRDefault="000A6F04" w:rsidP="000A6F04">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Norma</w:t>
            </w:r>
          </w:p>
        </w:tc>
        <w:tc>
          <w:tcPr>
            <w:tcW w:w="2065" w:type="dxa"/>
            <w:tcBorders>
              <w:top w:val="nil"/>
              <w:left w:val="nil"/>
              <w:bottom w:val="nil"/>
              <w:right w:val="single" w:sz="8" w:space="0" w:color="auto"/>
            </w:tcBorders>
            <w:shd w:val="clear" w:color="000000" w:fill="203764"/>
            <w:vAlign w:val="center"/>
            <w:hideMark/>
          </w:tcPr>
          <w:p w14:paraId="7AB055E9" w14:textId="77777777" w:rsidR="000A6F04" w:rsidRPr="004D6AF6" w:rsidRDefault="000A6F04" w:rsidP="000A6F04">
            <w:pPr>
              <w:jc w:val="center"/>
              <w:rPr>
                <w:rFonts w:ascii="Arial Narrow" w:eastAsia="Times New Roman" w:hAnsi="Arial Narrow" w:cs="Calibri"/>
                <w:b/>
                <w:bCs/>
                <w:color w:val="FFFFFF"/>
                <w:sz w:val="22"/>
                <w:szCs w:val="22"/>
                <w:lang w:val="es-CR"/>
              </w:rPr>
            </w:pPr>
            <w:r w:rsidRPr="004D6AF6">
              <w:rPr>
                <w:rFonts w:ascii="Arial Narrow" w:eastAsia="Times New Roman" w:hAnsi="Arial Narrow" w:cs="Calibri"/>
                <w:b/>
                <w:bCs/>
                <w:color w:val="FFFFFF"/>
                <w:sz w:val="22"/>
                <w:szCs w:val="22"/>
                <w:lang w:val="es-CR"/>
              </w:rPr>
              <w:t>Normativa técnica y disposiciones adicionales</w:t>
            </w:r>
          </w:p>
        </w:tc>
      </w:tr>
      <w:tr w:rsidR="000A6F04" w:rsidRPr="004D6AF6" w14:paraId="2CB83A96" w14:textId="77777777" w:rsidTr="000A6F04">
        <w:trPr>
          <w:trHeight w:val="940"/>
        </w:trPr>
        <w:tc>
          <w:tcPr>
            <w:tcW w:w="5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124657" w14:textId="77777777" w:rsidR="000A6F04" w:rsidRPr="004D6AF6" w:rsidRDefault="000A6F04" w:rsidP="000A6F04">
            <w:pPr>
              <w:jc w:val="right"/>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2</w:t>
            </w:r>
          </w:p>
        </w:tc>
        <w:tc>
          <w:tcPr>
            <w:tcW w:w="748" w:type="dxa"/>
            <w:tcBorders>
              <w:top w:val="single" w:sz="8" w:space="0" w:color="auto"/>
              <w:left w:val="nil"/>
              <w:bottom w:val="single" w:sz="8" w:space="0" w:color="auto"/>
              <w:right w:val="single" w:sz="8" w:space="0" w:color="auto"/>
            </w:tcBorders>
            <w:shd w:val="clear" w:color="auto" w:fill="auto"/>
            <w:vAlign w:val="center"/>
            <w:hideMark/>
          </w:tcPr>
          <w:p w14:paraId="2921331A" w14:textId="77777777" w:rsidR="000A6F04" w:rsidRPr="004D6AF6" w:rsidRDefault="000A6F04" w:rsidP="000A6F04">
            <w:pPr>
              <w:ind w:firstLineChars="100" w:firstLine="220"/>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40</w:t>
            </w:r>
          </w:p>
        </w:tc>
        <w:tc>
          <w:tcPr>
            <w:tcW w:w="503" w:type="dxa"/>
            <w:tcBorders>
              <w:top w:val="single" w:sz="8" w:space="0" w:color="auto"/>
              <w:left w:val="nil"/>
              <w:bottom w:val="single" w:sz="8" w:space="0" w:color="auto"/>
              <w:right w:val="single" w:sz="8" w:space="0" w:color="auto"/>
            </w:tcBorders>
            <w:shd w:val="clear" w:color="auto" w:fill="auto"/>
            <w:vAlign w:val="center"/>
            <w:hideMark/>
          </w:tcPr>
          <w:p w14:paraId="79B22876" w14:textId="1107C5AE" w:rsidR="000A6F04" w:rsidRPr="004D6AF6" w:rsidRDefault="000A6F04" w:rsidP="000A6F04">
            <w:pPr>
              <w:jc w:val="center"/>
              <w:rPr>
                <w:rFonts w:ascii="Arial Narrow" w:eastAsia="Times New Roman" w:hAnsi="Arial Narrow" w:cs="Calibri"/>
                <w:b/>
                <w:bCs/>
                <w:color w:val="000000"/>
                <w:sz w:val="22"/>
                <w:szCs w:val="22"/>
              </w:rPr>
            </w:pPr>
          </w:p>
        </w:tc>
        <w:tc>
          <w:tcPr>
            <w:tcW w:w="3648" w:type="dxa"/>
            <w:tcBorders>
              <w:top w:val="single" w:sz="8" w:space="0" w:color="auto"/>
              <w:left w:val="nil"/>
              <w:bottom w:val="single" w:sz="8" w:space="0" w:color="auto"/>
              <w:right w:val="single" w:sz="8" w:space="0" w:color="auto"/>
            </w:tcBorders>
            <w:shd w:val="clear" w:color="auto" w:fill="auto"/>
            <w:vAlign w:val="center"/>
            <w:hideMark/>
          </w:tcPr>
          <w:p w14:paraId="42C723AA" w14:textId="77777777" w:rsidR="000A6F04" w:rsidRPr="004D6AF6" w:rsidRDefault="000A6F04" w:rsidP="000A6F04">
            <w:pPr>
              <w:rPr>
                <w:rFonts w:ascii="Arial Narrow" w:eastAsia="Times New Roman" w:hAnsi="Arial Narrow"/>
                <w:b/>
                <w:bCs/>
                <w:color w:val="000000"/>
                <w:sz w:val="22"/>
                <w:szCs w:val="22"/>
                <w:lang w:val="es-CR"/>
              </w:rPr>
            </w:pPr>
            <w:r w:rsidRPr="004D6AF6">
              <w:rPr>
                <w:rFonts w:ascii="Arial Narrow" w:eastAsia="Times New Roman" w:hAnsi="Arial Narrow"/>
                <w:b/>
                <w:bCs/>
                <w:color w:val="000000"/>
                <w:sz w:val="22"/>
                <w:szCs w:val="22"/>
                <w:lang w:val="es-CR"/>
              </w:rPr>
              <w:t>Cuentas por Pagar por concepto de vacaciones</w:t>
            </w:r>
          </w:p>
        </w:tc>
        <w:tc>
          <w:tcPr>
            <w:tcW w:w="2213" w:type="dxa"/>
            <w:tcBorders>
              <w:top w:val="single" w:sz="8" w:space="0" w:color="auto"/>
              <w:left w:val="nil"/>
              <w:bottom w:val="single" w:sz="8" w:space="0" w:color="auto"/>
              <w:right w:val="single" w:sz="8" w:space="0" w:color="auto"/>
            </w:tcBorders>
            <w:shd w:val="clear" w:color="auto" w:fill="auto"/>
            <w:vAlign w:val="center"/>
            <w:hideMark/>
          </w:tcPr>
          <w:p w14:paraId="6CB000B4" w14:textId="77777777" w:rsidR="000A6F04" w:rsidRPr="004D6AF6" w:rsidRDefault="000A6F04" w:rsidP="000A6F04">
            <w:pP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 xml:space="preserve">NICSP 39, </w:t>
            </w:r>
            <w:r w:rsidRPr="004D6AF6">
              <w:rPr>
                <w:rFonts w:ascii="Arial Narrow" w:eastAsia="Times New Roman" w:hAnsi="Arial Narrow" w:cs="Calibri"/>
                <w:b/>
                <w:bCs/>
                <w:color w:val="000000"/>
                <w:sz w:val="22"/>
                <w:szCs w:val="22"/>
              </w:rPr>
              <w:br/>
              <w:t>Párrafos 11, 13, 15, 16 y 18</w:t>
            </w:r>
          </w:p>
        </w:tc>
        <w:tc>
          <w:tcPr>
            <w:tcW w:w="2065" w:type="dxa"/>
            <w:tcBorders>
              <w:top w:val="single" w:sz="8" w:space="0" w:color="auto"/>
              <w:left w:val="nil"/>
              <w:bottom w:val="single" w:sz="8" w:space="0" w:color="auto"/>
              <w:right w:val="single" w:sz="8" w:space="0" w:color="auto"/>
            </w:tcBorders>
            <w:shd w:val="clear" w:color="auto" w:fill="auto"/>
            <w:vAlign w:val="center"/>
            <w:hideMark/>
          </w:tcPr>
          <w:p w14:paraId="3717F253" w14:textId="77777777" w:rsidR="000A6F04" w:rsidRPr="004D6AF6" w:rsidRDefault="000A6F04" w:rsidP="000A6F04">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 xml:space="preserve"> </w:t>
            </w:r>
          </w:p>
        </w:tc>
      </w:tr>
      <w:tr w:rsidR="000A6F04" w:rsidRPr="004D6AF6" w14:paraId="5AEDBCC5" w14:textId="77777777" w:rsidTr="000D0E38">
        <w:trPr>
          <w:trHeight w:val="1309"/>
        </w:trPr>
        <w:tc>
          <w:tcPr>
            <w:tcW w:w="523" w:type="dxa"/>
            <w:tcBorders>
              <w:top w:val="nil"/>
              <w:left w:val="single" w:sz="8" w:space="0" w:color="auto"/>
              <w:bottom w:val="single" w:sz="8" w:space="0" w:color="auto"/>
              <w:right w:val="single" w:sz="8" w:space="0" w:color="auto"/>
            </w:tcBorders>
            <w:shd w:val="clear" w:color="auto" w:fill="auto"/>
            <w:vAlign w:val="center"/>
            <w:hideMark/>
          </w:tcPr>
          <w:p w14:paraId="32AC5D91" w14:textId="77777777" w:rsidR="000A6F04" w:rsidRPr="004D6AF6" w:rsidRDefault="000A6F04" w:rsidP="000A6F04">
            <w:pPr>
              <w:jc w:val="right"/>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2</w:t>
            </w:r>
          </w:p>
        </w:tc>
        <w:tc>
          <w:tcPr>
            <w:tcW w:w="748" w:type="dxa"/>
            <w:tcBorders>
              <w:top w:val="nil"/>
              <w:left w:val="nil"/>
              <w:bottom w:val="single" w:sz="8" w:space="0" w:color="auto"/>
              <w:right w:val="single" w:sz="8" w:space="0" w:color="auto"/>
            </w:tcBorders>
            <w:shd w:val="clear" w:color="auto" w:fill="auto"/>
            <w:vAlign w:val="center"/>
            <w:hideMark/>
          </w:tcPr>
          <w:p w14:paraId="198E4BAF" w14:textId="77777777" w:rsidR="000A6F04" w:rsidRPr="004D6AF6" w:rsidRDefault="000A6F04" w:rsidP="000A6F04">
            <w:pPr>
              <w:ind w:firstLineChars="100" w:firstLine="220"/>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40</w:t>
            </w:r>
          </w:p>
        </w:tc>
        <w:tc>
          <w:tcPr>
            <w:tcW w:w="503" w:type="dxa"/>
            <w:tcBorders>
              <w:top w:val="nil"/>
              <w:left w:val="nil"/>
              <w:bottom w:val="single" w:sz="8" w:space="0" w:color="auto"/>
              <w:right w:val="nil"/>
            </w:tcBorders>
            <w:shd w:val="clear" w:color="auto" w:fill="auto"/>
            <w:vAlign w:val="center"/>
            <w:hideMark/>
          </w:tcPr>
          <w:p w14:paraId="02FA4169" w14:textId="77777777" w:rsidR="000A6F04" w:rsidRPr="004D6AF6" w:rsidRDefault="000A6F04" w:rsidP="000A6F04">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1</w:t>
            </w:r>
          </w:p>
        </w:tc>
        <w:tc>
          <w:tcPr>
            <w:tcW w:w="3648" w:type="dxa"/>
            <w:tcBorders>
              <w:top w:val="nil"/>
              <w:left w:val="single" w:sz="8" w:space="0" w:color="auto"/>
              <w:bottom w:val="single" w:sz="8" w:space="0" w:color="auto"/>
              <w:right w:val="single" w:sz="8" w:space="0" w:color="auto"/>
            </w:tcBorders>
            <w:shd w:val="clear" w:color="auto" w:fill="auto"/>
            <w:vAlign w:val="center"/>
            <w:hideMark/>
          </w:tcPr>
          <w:p w14:paraId="55ABFB89" w14:textId="77777777" w:rsidR="000A6F04" w:rsidRPr="004D6AF6" w:rsidRDefault="000A6F04" w:rsidP="000A6F04">
            <w:pPr>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Reconocimiento</w:t>
            </w:r>
          </w:p>
        </w:tc>
        <w:tc>
          <w:tcPr>
            <w:tcW w:w="2213" w:type="dxa"/>
            <w:tcBorders>
              <w:top w:val="nil"/>
              <w:left w:val="nil"/>
              <w:bottom w:val="single" w:sz="8" w:space="0" w:color="auto"/>
              <w:right w:val="single" w:sz="8" w:space="0" w:color="auto"/>
            </w:tcBorders>
            <w:shd w:val="clear" w:color="auto" w:fill="auto"/>
            <w:vAlign w:val="center"/>
            <w:hideMark/>
          </w:tcPr>
          <w:p w14:paraId="41DD9EEC" w14:textId="77777777" w:rsidR="000A6F04" w:rsidRPr="004D6AF6" w:rsidRDefault="000A6F04" w:rsidP="000A6F04">
            <w:pP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 xml:space="preserve"> </w:t>
            </w:r>
          </w:p>
        </w:tc>
        <w:tc>
          <w:tcPr>
            <w:tcW w:w="2065" w:type="dxa"/>
            <w:tcBorders>
              <w:top w:val="nil"/>
              <w:left w:val="nil"/>
              <w:bottom w:val="single" w:sz="8" w:space="0" w:color="auto"/>
              <w:right w:val="single" w:sz="8" w:space="0" w:color="auto"/>
            </w:tcBorders>
            <w:shd w:val="clear" w:color="auto" w:fill="auto"/>
            <w:vAlign w:val="center"/>
            <w:hideMark/>
          </w:tcPr>
          <w:p w14:paraId="6E26A0A5" w14:textId="59E2662B" w:rsidR="000A6F04" w:rsidRPr="004D6AF6" w:rsidRDefault="000A6F04" w:rsidP="000A6F04">
            <w:pPr>
              <w:rPr>
                <w:rFonts w:ascii="Arial Narrow" w:eastAsia="Times New Roman" w:hAnsi="Arial Narrow"/>
                <w:b/>
                <w:bCs/>
                <w:color w:val="000000"/>
                <w:sz w:val="22"/>
                <w:szCs w:val="22"/>
                <w:lang w:val="es-CR"/>
              </w:rPr>
            </w:pPr>
            <w:r w:rsidRPr="004D6AF6">
              <w:rPr>
                <w:rFonts w:ascii="Arial Narrow" w:eastAsia="Times New Roman" w:hAnsi="Arial Narrow"/>
                <w:b/>
                <w:bCs/>
                <w:color w:val="000000"/>
                <w:sz w:val="22"/>
                <w:szCs w:val="22"/>
                <w:lang w:val="es-CR"/>
              </w:rPr>
              <w:t>Constitución Política Artículo 59.</w:t>
            </w:r>
            <w:r w:rsidRPr="004D6AF6">
              <w:rPr>
                <w:rFonts w:ascii="Arial Narrow" w:eastAsia="Times New Roman" w:hAnsi="Arial Narrow"/>
                <w:b/>
                <w:bCs/>
                <w:color w:val="000000"/>
                <w:sz w:val="22"/>
                <w:szCs w:val="22"/>
                <w:lang w:val="es-CR"/>
              </w:rPr>
              <w:br/>
              <w:t>Código Municipal, 155 del, inciso e).</w:t>
            </w:r>
            <w:r w:rsidRPr="004D6AF6">
              <w:rPr>
                <w:rFonts w:ascii="Arial Narrow" w:eastAsia="Times New Roman" w:hAnsi="Arial Narrow"/>
                <w:b/>
                <w:bCs/>
                <w:color w:val="000000"/>
                <w:sz w:val="22"/>
                <w:szCs w:val="22"/>
                <w:lang w:val="es-CR"/>
              </w:rPr>
              <w:br/>
              <w:t>Código de Trabajo, Artículo 156</w:t>
            </w:r>
          </w:p>
        </w:tc>
      </w:tr>
    </w:tbl>
    <w:p w14:paraId="62A0AF57" w14:textId="27109E02" w:rsidR="00B852DB" w:rsidRPr="0030399E" w:rsidRDefault="005A4C96" w:rsidP="003D12F6">
      <w:pPr>
        <w:spacing w:line="238" w:lineRule="auto"/>
        <w:ind w:right="260"/>
        <w:jc w:val="both"/>
        <w:rPr>
          <w:rFonts w:ascii="Arial" w:eastAsia="Arial" w:hAnsi="Arial"/>
          <w:b/>
          <w:sz w:val="22"/>
          <w:szCs w:val="22"/>
          <w:lang w:val="es-CR"/>
        </w:rPr>
      </w:pPr>
      <w:r w:rsidRPr="0030399E">
        <w:rPr>
          <w:rFonts w:ascii="Arial" w:eastAsia="Arial" w:hAnsi="Arial"/>
          <w:b/>
          <w:sz w:val="22"/>
          <w:szCs w:val="22"/>
          <w:lang w:val="es-CR"/>
        </w:rPr>
        <w:lastRenderedPageBreak/>
        <w:t>Políticas Contables</w:t>
      </w:r>
    </w:p>
    <w:p w14:paraId="46026F50" w14:textId="77777777" w:rsidR="005A4C96" w:rsidRDefault="005A4C96" w:rsidP="003D12F6">
      <w:pPr>
        <w:spacing w:line="238" w:lineRule="auto"/>
        <w:ind w:right="260"/>
        <w:jc w:val="both"/>
        <w:rPr>
          <w:rFonts w:ascii="Arial" w:eastAsia="Arial" w:hAnsi="Arial"/>
          <w:b/>
          <w:sz w:val="22"/>
          <w:szCs w:val="22"/>
          <w:lang w:val="es-CR"/>
        </w:rPr>
      </w:pPr>
    </w:p>
    <w:p w14:paraId="754F7C80" w14:textId="268D3D97" w:rsidR="00AD320D" w:rsidRPr="00AD320D" w:rsidRDefault="00961C86" w:rsidP="00AD320D">
      <w:pPr>
        <w:spacing w:line="250" w:lineRule="auto"/>
        <w:ind w:left="1134" w:right="4" w:hanging="1134"/>
        <w:jc w:val="both"/>
        <w:rPr>
          <w:rFonts w:ascii="Arial" w:eastAsia="Arial" w:hAnsi="Arial"/>
          <w:sz w:val="22"/>
          <w:szCs w:val="22"/>
          <w:lang w:val="es-CR"/>
        </w:rPr>
      </w:pPr>
      <w:r w:rsidRPr="00AD320D">
        <w:rPr>
          <w:rFonts w:ascii="Arial" w:hAnsi="Arial"/>
          <w:sz w:val="22"/>
          <w:szCs w:val="22"/>
          <w:lang w:val="es-CR"/>
        </w:rPr>
        <w:t>2.40.0.0</w:t>
      </w:r>
      <w:r w:rsidR="00A267A2" w:rsidRPr="00AD320D">
        <w:rPr>
          <w:rFonts w:ascii="Arial" w:hAnsi="Arial"/>
          <w:sz w:val="22"/>
          <w:szCs w:val="22"/>
          <w:lang w:val="es-CR"/>
        </w:rPr>
        <w:t>1</w:t>
      </w:r>
      <w:r w:rsidRPr="00AD320D">
        <w:rPr>
          <w:rFonts w:ascii="Arial" w:hAnsi="Arial"/>
          <w:sz w:val="22"/>
          <w:szCs w:val="22"/>
          <w:lang w:val="es-CR"/>
        </w:rPr>
        <w:tab/>
      </w:r>
      <w:r w:rsidR="000A6F04" w:rsidRPr="00AD320D">
        <w:rPr>
          <w:rFonts w:ascii="Arial" w:hAnsi="Arial"/>
          <w:sz w:val="22"/>
          <w:szCs w:val="22"/>
          <w:lang w:val="es-CR"/>
        </w:rPr>
        <w:t xml:space="preserve">Los beneficios al personal por ausencias </w:t>
      </w:r>
      <w:r w:rsidR="003D12F6" w:rsidRPr="00AD320D">
        <w:rPr>
          <w:rFonts w:ascii="Arial" w:hAnsi="Arial"/>
          <w:sz w:val="22"/>
          <w:szCs w:val="22"/>
          <w:lang w:val="es-CR"/>
        </w:rPr>
        <w:t>remuneradas por concepto de vacaciones</w:t>
      </w:r>
      <w:r w:rsidR="000A6F04" w:rsidRPr="00AD320D">
        <w:rPr>
          <w:rFonts w:ascii="Arial" w:hAnsi="Arial"/>
          <w:sz w:val="22"/>
          <w:szCs w:val="22"/>
          <w:lang w:val="es-CR"/>
        </w:rPr>
        <w:t xml:space="preserve"> se reconocerán </w:t>
      </w:r>
      <w:r w:rsidR="003D12F6" w:rsidRPr="00AD320D">
        <w:rPr>
          <w:rFonts w:ascii="Arial" w:hAnsi="Arial"/>
          <w:sz w:val="22"/>
          <w:szCs w:val="22"/>
          <w:lang w:val="es-CR"/>
        </w:rPr>
        <w:t>de acuerdo con el</w:t>
      </w:r>
      <w:r w:rsidR="000A6F04" w:rsidRPr="00AD320D">
        <w:rPr>
          <w:rFonts w:ascii="Arial" w:hAnsi="Arial"/>
          <w:sz w:val="22"/>
          <w:szCs w:val="22"/>
          <w:lang w:val="es-CR"/>
        </w:rPr>
        <w:t xml:space="preserve"> carácter acumulativo o no que tengan las mismas.</w:t>
      </w:r>
      <w:r w:rsidR="003D12F6" w:rsidRPr="00AD320D">
        <w:rPr>
          <w:rFonts w:ascii="Arial" w:hAnsi="Arial"/>
          <w:sz w:val="22"/>
          <w:szCs w:val="22"/>
          <w:lang w:val="es-CR"/>
        </w:rPr>
        <w:t xml:space="preserve"> </w:t>
      </w:r>
      <w:r w:rsidR="000A6F04" w:rsidRPr="00AD320D">
        <w:rPr>
          <w:rFonts w:ascii="Arial" w:hAnsi="Arial"/>
          <w:sz w:val="22"/>
          <w:szCs w:val="22"/>
          <w:lang w:val="es-CR"/>
        </w:rPr>
        <w:t xml:space="preserve">Las </w:t>
      </w:r>
      <w:r w:rsidR="003D12F6" w:rsidRPr="00AD320D">
        <w:rPr>
          <w:rFonts w:ascii="Arial" w:hAnsi="Arial"/>
          <w:sz w:val="22"/>
          <w:szCs w:val="22"/>
          <w:lang w:val="es-CR"/>
        </w:rPr>
        <w:t>vacaciones</w:t>
      </w:r>
      <w:r w:rsidR="000A6F04" w:rsidRPr="00AD320D">
        <w:rPr>
          <w:rFonts w:ascii="Arial" w:hAnsi="Arial"/>
          <w:sz w:val="22"/>
          <w:szCs w:val="22"/>
          <w:lang w:val="es-CR"/>
        </w:rPr>
        <w:t xml:space="preserve"> acumulativas son aquéllas cuyo disfrute se aplaza, de forma que pueden ser utilizadas en periodos futuros si en el periodo corriente no se ha hecho uso del derecho correspondiente.</w:t>
      </w:r>
      <w:r w:rsidR="00AD320D" w:rsidRPr="00AD320D">
        <w:rPr>
          <w:rFonts w:ascii="Arial" w:hAnsi="Arial"/>
          <w:sz w:val="22"/>
          <w:szCs w:val="22"/>
          <w:lang w:val="es-CR"/>
        </w:rPr>
        <w:t xml:space="preserve"> </w:t>
      </w:r>
      <w:r w:rsidR="00AD320D">
        <w:rPr>
          <w:rFonts w:ascii="Arial" w:eastAsia="Arial" w:hAnsi="Arial"/>
          <w:sz w:val="22"/>
          <w:szCs w:val="22"/>
          <w:lang w:val="es-CR"/>
        </w:rPr>
        <w:t xml:space="preserve">Las </w:t>
      </w:r>
      <w:r w:rsidR="00AD320D" w:rsidRPr="00AD320D">
        <w:rPr>
          <w:rFonts w:ascii="Arial" w:eastAsia="Arial" w:hAnsi="Arial"/>
          <w:sz w:val="22"/>
          <w:szCs w:val="22"/>
          <w:lang w:val="es-CR"/>
        </w:rPr>
        <w:t>no acumulativas son aquéllas cuyos derechos de usufructo no se trasladan al futuro</w:t>
      </w:r>
      <w:r w:rsidR="00AD320D">
        <w:rPr>
          <w:rFonts w:ascii="Arial" w:eastAsia="Arial" w:hAnsi="Arial"/>
          <w:sz w:val="22"/>
          <w:szCs w:val="22"/>
          <w:lang w:val="es-CR"/>
        </w:rPr>
        <w:t>.</w:t>
      </w:r>
      <w:r w:rsidR="00AD320D" w:rsidRPr="00AD320D">
        <w:rPr>
          <w:rFonts w:ascii="Arial" w:eastAsia="Arial" w:hAnsi="Arial"/>
          <w:sz w:val="22"/>
          <w:szCs w:val="22"/>
          <w:lang w:val="es-CR"/>
        </w:rPr>
        <w:t xml:space="preserve"> </w:t>
      </w:r>
    </w:p>
    <w:p w14:paraId="3C46B185" w14:textId="77777777" w:rsidR="000D062C" w:rsidRDefault="000D062C" w:rsidP="00AD320D">
      <w:pPr>
        <w:ind w:right="4"/>
        <w:jc w:val="both"/>
        <w:rPr>
          <w:rFonts w:ascii="Verdana" w:eastAsia="Times New Roman" w:hAnsi="Verdana"/>
          <w:color w:val="000000"/>
          <w:lang w:val="es-CR"/>
        </w:rPr>
      </w:pPr>
    </w:p>
    <w:p w14:paraId="1FFE6070" w14:textId="4A8C04A8" w:rsidR="000D062C" w:rsidRPr="000D062C" w:rsidRDefault="000D062C" w:rsidP="000D062C">
      <w:pPr>
        <w:pStyle w:val="Default"/>
        <w:ind w:left="1134" w:hanging="1134"/>
        <w:jc w:val="both"/>
        <w:rPr>
          <w:color w:val="auto"/>
          <w:sz w:val="22"/>
          <w:szCs w:val="22"/>
          <w:lang w:val="es-CR"/>
        </w:rPr>
      </w:pPr>
      <w:r>
        <w:rPr>
          <w:color w:val="auto"/>
          <w:sz w:val="22"/>
          <w:szCs w:val="22"/>
          <w:lang w:val="es-CR"/>
        </w:rPr>
        <w:t>2.40.0.02</w:t>
      </w:r>
      <w:r>
        <w:rPr>
          <w:color w:val="auto"/>
          <w:sz w:val="22"/>
          <w:szCs w:val="22"/>
          <w:lang w:val="es-CR"/>
        </w:rPr>
        <w:tab/>
      </w:r>
      <w:r w:rsidR="00CE16AD">
        <w:rPr>
          <w:color w:val="auto"/>
          <w:sz w:val="22"/>
          <w:szCs w:val="22"/>
          <w:lang w:val="es-CR"/>
        </w:rPr>
        <w:t>Según lo establece el artículo 156 del Código de Trabajo y 6</w:t>
      </w:r>
      <w:r w:rsidR="00386096">
        <w:rPr>
          <w:color w:val="auto"/>
          <w:sz w:val="22"/>
          <w:szCs w:val="22"/>
          <w:lang w:val="es-CR"/>
        </w:rPr>
        <w:t>5</w:t>
      </w:r>
      <w:r w:rsidR="00CE16AD">
        <w:rPr>
          <w:color w:val="auto"/>
          <w:sz w:val="22"/>
          <w:szCs w:val="22"/>
          <w:lang w:val="es-CR"/>
        </w:rPr>
        <w:t xml:space="preserve"> del </w:t>
      </w:r>
      <w:r w:rsidR="00386096" w:rsidRPr="00386096">
        <w:rPr>
          <w:color w:val="auto"/>
          <w:sz w:val="22"/>
          <w:szCs w:val="22"/>
          <w:lang w:val="es-CR"/>
        </w:rPr>
        <w:t xml:space="preserve">Reglamento autónomo de organización y servicio de la Municipalidad de </w:t>
      </w:r>
      <w:r w:rsidR="008C25B1">
        <w:rPr>
          <w:color w:val="auto"/>
          <w:sz w:val="22"/>
          <w:szCs w:val="22"/>
          <w:lang w:val="es-CR"/>
        </w:rPr>
        <w:t>Buenos Aires</w:t>
      </w:r>
      <w:r w:rsidR="00CE16AD">
        <w:rPr>
          <w:color w:val="auto"/>
          <w:sz w:val="22"/>
          <w:szCs w:val="22"/>
          <w:lang w:val="es-CR"/>
        </w:rPr>
        <w:t>, l</w:t>
      </w:r>
      <w:r w:rsidRPr="000D062C">
        <w:rPr>
          <w:color w:val="auto"/>
          <w:sz w:val="22"/>
          <w:szCs w:val="22"/>
          <w:lang w:val="es-CR"/>
        </w:rPr>
        <w:t>as vacaciones serán absolutamente incompensables, salvo las siguientes excepciones:</w:t>
      </w:r>
    </w:p>
    <w:p w14:paraId="7CC65BC9" w14:textId="77777777" w:rsidR="000D062C" w:rsidRPr="00B40685" w:rsidRDefault="000D062C" w:rsidP="000D062C">
      <w:pPr>
        <w:ind w:left="107" w:right="2258"/>
        <w:jc w:val="both"/>
        <w:rPr>
          <w:rFonts w:ascii="Verdana" w:eastAsia="Times New Roman" w:hAnsi="Verdana"/>
          <w:color w:val="000000"/>
          <w:lang w:val="es-CR"/>
        </w:rPr>
      </w:pPr>
    </w:p>
    <w:p w14:paraId="60BC2993" w14:textId="5D429BCA" w:rsidR="000D062C" w:rsidRPr="00A925AD" w:rsidRDefault="000D062C">
      <w:pPr>
        <w:pStyle w:val="Prrafodelista"/>
        <w:numPr>
          <w:ilvl w:val="0"/>
          <w:numId w:val="161"/>
        </w:numPr>
        <w:spacing w:after="120"/>
        <w:ind w:left="1418" w:right="6" w:hanging="284"/>
        <w:contextualSpacing w:val="0"/>
        <w:jc w:val="both"/>
        <w:rPr>
          <w:rFonts w:ascii="Arial" w:eastAsia="Times New Roman" w:hAnsi="Arial"/>
          <w:color w:val="000000"/>
          <w:sz w:val="22"/>
          <w:szCs w:val="22"/>
          <w:lang w:val="es-CR"/>
        </w:rPr>
      </w:pPr>
      <w:r w:rsidRPr="00A925AD">
        <w:rPr>
          <w:rFonts w:ascii="Arial" w:eastAsia="Times New Roman" w:hAnsi="Arial"/>
          <w:color w:val="000000"/>
          <w:sz w:val="22"/>
          <w:szCs w:val="22"/>
          <w:lang w:val="es-CR"/>
        </w:rPr>
        <w:t>Cuando el trabajador cese en su trabajo por cualquier causa, tendrá derecho a recibir en dinero el importe correspondiente por las vacaciones no disfrutadas.</w:t>
      </w:r>
    </w:p>
    <w:p w14:paraId="1C312748" w14:textId="04BE2853" w:rsidR="000D062C" w:rsidRPr="00A925AD" w:rsidRDefault="000D062C">
      <w:pPr>
        <w:pStyle w:val="Prrafodelista"/>
        <w:numPr>
          <w:ilvl w:val="0"/>
          <w:numId w:val="161"/>
        </w:numPr>
        <w:spacing w:after="120"/>
        <w:ind w:left="1418" w:right="6" w:hanging="284"/>
        <w:contextualSpacing w:val="0"/>
        <w:jc w:val="both"/>
        <w:rPr>
          <w:rFonts w:ascii="Arial" w:eastAsia="Times New Roman" w:hAnsi="Arial"/>
          <w:color w:val="000000"/>
          <w:sz w:val="22"/>
          <w:szCs w:val="22"/>
          <w:lang w:val="es-CR"/>
        </w:rPr>
      </w:pPr>
      <w:r w:rsidRPr="00A925AD">
        <w:rPr>
          <w:rFonts w:ascii="Arial" w:eastAsia="Times New Roman" w:hAnsi="Arial"/>
          <w:color w:val="000000"/>
          <w:sz w:val="22"/>
          <w:szCs w:val="22"/>
          <w:lang w:val="es-CR"/>
        </w:rPr>
        <w:t>Cuando el trabajo sea ocasional o a destajo.</w:t>
      </w:r>
    </w:p>
    <w:p w14:paraId="18F8E88E" w14:textId="500383C4" w:rsidR="000D062C" w:rsidRPr="00766FA5" w:rsidRDefault="000D062C">
      <w:pPr>
        <w:pStyle w:val="Default"/>
        <w:numPr>
          <w:ilvl w:val="0"/>
          <w:numId w:val="161"/>
        </w:numPr>
        <w:spacing w:after="120"/>
        <w:ind w:left="1418" w:right="6" w:hanging="284"/>
        <w:jc w:val="both"/>
        <w:rPr>
          <w:sz w:val="22"/>
          <w:szCs w:val="22"/>
          <w:lang w:val="es-CR"/>
        </w:rPr>
      </w:pPr>
      <w:r w:rsidRPr="00A925AD">
        <w:rPr>
          <w:rFonts w:eastAsia="Times New Roman"/>
          <w:sz w:val="22"/>
          <w:szCs w:val="22"/>
          <w:lang w:val="es-CR"/>
        </w:rPr>
        <w:t xml:space="preserve">Cuando por alguna circunstancia justificada el trabajador no haya disfrutado de sus vacaciones, </w:t>
      </w:r>
      <w:r w:rsidR="00CE16AD" w:rsidRPr="00A925AD">
        <w:rPr>
          <w:rFonts w:eastAsia="Times New Roman"/>
          <w:sz w:val="22"/>
          <w:szCs w:val="22"/>
          <w:lang w:val="es-CR"/>
        </w:rPr>
        <w:t>tendrá derecho a</w:t>
      </w:r>
      <w:r w:rsidRPr="00A925AD">
        <w:rPr>
          <w:rFonts w:eastAsia="Times New Roman"/>
          <w:sz w:val="22"/>
          <w:szCs w:val="22"/>
          <w:lang w:val="es-CR"/>
        </w:rPr>
        <w:t>l pago del exceso del mínimo de dos semanas de vacaciones por cada cincuenta semanas, siempre que no supere el equivalente a tres períodos acumulados. Esta compensación no podrá otorgarse, si el trabajador ha recibido este beneficio en los dos años anteriores.</w:t>
      </w:r>
    </w:p>
    <w:p w14:paraId="6C50CE0E" w14:textId="1705C8F3" w:rsidR="00766FA5" w:rsidRPr="00231F10" w:rsidRDefault="00766FA5">
      <w:pPr>
        <w:pStyle w:val="Default"/>
        <w:numPr>
          <w:ilvl w:val="0"/>
          <w:numId w:val="161"/>
        </w:numPr>
        <w:ind w:left="1418" w:right="4" w:hanging="284"/>
        <w:jc w:val="both"/>
        <w:rPr>
          <w:sz w:val="22"/>
          <w:szCs w:val="22"/>
          <w:lang w:val="es-CR"/>
        </w:rPr>
      </w:pPr>
      <w:r>
        <w:rPr>
          <w:rFonts w:eastAsia="Times New Roman"/>
          <w:sz w:val="22"/>
          <w:szCs w:val="22"/>
          <w:lang w:val="es-CR"/>
        </w:rPr>
        <w:t>Por autorización del Alcalde (sa), previa recomendación de RRHH, con base en la solicitud de la jefatura respectiva y debidamente justificada, se podrá dar la compensación en dinero efectivo de las vacaciones no disfrutadas.</w:t>
      </w:r>
    </w:p>
    <w:p w14:paraId="07AD3A7A" w14:textId="77777777" w:rsidR="00231F10" w:rsidRPr="00A925AD" w:rsidRDefault="00231F10" w:rsidP="00231F10">
      <w:pPr>
        <w:pStyle w:val="Default"/>
        <w:ind w:left="1418" w:right="4"/>
        <w:jc w:val="both"/>
        <w:rPr>
          <w:sz w:val="22"/>
          <w:szCs w:val="22"/>
          <w:lang w:val="es-CR"/>
        </w:rPr>
      </w:pPr>
    </w:p>
    <w:p w14:paraId="6EAF6092" w14:textId="01D956C3" w:rsidR="00CE16AD" w:rsidRDefault="00231F10" w:rsidP="00231F10">
      <w:pPr>
        <w:pStyle w:val="Default"/>
        <w:ind w:left="1134" w:hanging="1134"/>
        <w:jc w:val="both"/>
        <w:rPr>
          <w:color w:val="auto"/>
          <w:sz w:val="22"/>
          <w:szCs w:val="22"/>
          <w:lang w:val="es-CR"/>
        </w:rPr>
      </w:pPr>
      <w:r>
        <w:rPr>
          <w:color w:val="auto"/>
          <w:sz w:val="22"/>
          <w:szCs w:val="22"/>
          <w:lang w:val="es-CR"/>
        </w:rPr>
        <w:t>2.40.0.03</w:t>
      </w:r>
      <w:r>
        <w:rPr>
          <w:color w:val="auto"/>
          <w:sz w:val="22"/>
          <w:szCs w:val="22"/>
          <w:lang w:val="es-CR"/>
        </w:rPr>
        <w:tab/>
        <w:t>C</w:t>
      </w:r>
      <w:r w:rsidR="00386096">
        <w:rPr>
          <w:color w:val="auto"/>
          <w:sz w:val="22"/>
          <w:szCs w:val="22"/>
          <w:lang w:val="es-CR"/>
        </w:rPr>
        <w:t>onforme a</w:t>
      </w:r>
      <w:r w:rsidR="00CE16AD" w:rsidRPr="00CE16AD">
        <w:rPr>
          <w:color w:val="auto"/>
          <w:sz w:val="22"/>
          <w:szCs w:val="22"/>
          <w:lang w:val="es-CR"/>
        </w:rPr>
        <w:t>l artículo 159 del citado Código</w:t>
      </w:r>
      <w:r w:rsidR="00386096">
        <w:rPr>
          <w:color w:val="auto"/>
          <w:sz w:val="22"/>
          <w:szCs w:val="22"/>
          <w:lang w:val="es-CR"/>
        </w:rPr>
        <w:t xml:space="preserve"> y 70 del </w:t>
      </w:r>
      <w:r w:rsidR="00386096" w:rsidRPr="00386096">
        <w:rPr>
          <w:color w:val="auto"/>
          <w:sz w:val="22"/>
          <w:szCs w:val="22"/>
          <w:lang w:val="es-CR"/>
        </w:rPr>
        <w:t xml:space="preserve">Reglamento autónomo de organización y servicio de la Municipalidad de </w:t>
      </w:r>
      <w:r w:rsidR="008C25B1">
        <w:rPr>
          <w:color w:val="auto"/>
          <w:sz w:val="22"/>
          <w:szCs w:val="22"/>
          <w:lang w:val="es-CR"/>
        </w:rPr>
        <w:t>Buenos Aires</w:t>
      </w:r>
      <w:r w:rsidR="00CE16AD" w:rsidRPr="00CE16AD">
        <w:rPr>
          <w:color w:val="auto"/>
          <w:sz w:val="22"/>
          <w:szCs w:val="22"/>
          <w:lang w:val="es-CR"/>
        </w:rPr>
        <w:t xml:space="preserve">, queda prohibido acumular las vacaciones, pero podrán serlo por una sola vez cuando el </w:t>
      </w:r>
      <w:r w:rsidR="00386096" w:rsidRPr="00CE16AD">
        <w:rPr>
          <w:color w:val="auto"/>
          <w:sz w:val="22"/>
          <w:szCs w:val="22"/>
          <w:lang w:val="es-CR"/>
        </w:rPr>
        <w:t>funcionario</w:t>
      </w:r>
      <w:r w:rsidR="00CE16AD" w:rsidRPr="00CE16AD">
        <w:rPr>
          <w:color w:val="auto"/>
          <w:sz w:val="22"/>
          <w:szCs w:val="22"/>
          <w:lang w:val="es-CR"/>
        </w:rPr>
        <w:t xml:space="preserve"> desempeñare labores técnicas, de dirección, de confianza u otras análogas, que dificulten especialmente su reemplazo.</w:t>
      </w:r>
      <w:r w:rsidR="00386096" w:rsidRPr="00386096">
        <w:rPr>
          <w:color w:val="auto"/>
          <w:sz w:val="22"/>
          <w:szCs w:val="22"/>
          <w:lang w:val="es-CR"/>
        </w:rPr>
        <w:t xml:space="preserve"> Las vacaciones no podrán acumularse por más de dos periodos consecutivos.</w:t>
      </w:r>
    </w:p>
    <w:p w14:paraId="43E41EDB" w14:textId="77777777" w:rsidR="00AD320D" w:rsidRDefault="00AD320D" w:rsidP="00231F10">
      <w:pPr>
        <w:pStyle w:val="Default"/>
        <w:ind w:left="1134" w:hanging="1134"/>
        <w:jc w:val="both"/>
        <w:rPr>
          <w:color w:val="auto"/>
          <w:sz w:val="22"/>
          <w:szCs w:val="22"/>
          <w:lang w:val="es-CR"/>
        </w:rPr>
      </w:pPr>
    </w:p>
    <w:p w14:paraId="7319E451" w14:textId="73594940" w:rsidR="009012C3" w:rsidRDefault="00AD320D" w:rsidP="00BE7829">
      <w:pPr>
        <w:spacing w:line="250" w:lineRule="auto"/>
        <w:ind w:left="1134" w:right="4" w:hanging="1134"/>
        <w:jc w:val="both"/>
        <w:rPr>
          <w:rFonts w:ascii="Arial" w:eastAsia="Arial" w:hAnsi="Arial"/>
          <w:sz w:val="22"/>
          <w:szCs w:val="22"/>
          <w:lang w:val="es-CR"/>
        </w:rPr>
      </w:pPr>
      <w:r>
        <w:rPr>
          <w:rFonts w:ascii="Arial" w:eastAsia="Arial" w:hAnsi="Arial"/>
          <w:sz w:val="22"/>
          <w:szCs w:val="22"/>
          <w:lang w:val="es-CR"/>
        </w:rPr>
        <w:t>2.40.1.01</w:t>
      </w:r>
      <w:r>
        <w:rPr>
          <w:rFonts w:ascii="Arial" w:eastAsia="Arial" w:hAnsi="Arial"/>
          <w:sz w:val="22"/>
          <w:szCs w:val="22"/>
          <w:lang w:val="es-CR"/>
        </w:rPr>
        <w:tab/>
        <w:t xml:space="preserve">Las vacaciones no acumulativas se </w:t>
      </w:r>
      <w:r w:rsidR="000D0E38">
        <w:rPr>
          <w:rFonts w:ascii="Arial" w:eastAsia="Arial" w:hAnsi="Arial"/>
          <w:sz w:val="22"/>
          <w:szCs w:val="22"/>
          <w:lang w:val="es-CR"/>
        </w:rPr>
        <w:t xml:space="preserve">reconocerán </w:t>
      </w:r>
      <w:r w:rsidRPr="00AD320D">
        <w:rPr>
          <w:rFonts w:ascii="Arial" w:eastAsia="Arial" w:hAnsi="Arial"/>
          <w:sz w:val="22"/>
          <w:szCs w:val="22"/>
          <w:lang w:val="es-CR"/>
        </w:rPr>
        <w:t xml:space="preserve">como pasivos y gastos en el momento que ocurra </w:t>
      </w:r>
      <w:r>
        <w:rPr>
          <w:rFonts w:ascii="Arial" w:eastAsia="Arial" w:hAnsi="Arial"/>
          <w:sz w:val="22"/>
          <w:szCs w:val="22"/>
          <w:lang w:val="es-CR"/>
        </w:rPr>
        <w:t>e</w:t>
      </w:r>
      <w:r w:rsidR="000D0E38">
        <w:rPr>
          <w:rFonts w:ascii="Arial" w:eastAsia="Arial" w:hAnsi="Arial"/>
          <w:sz w:val="22"/>
          <w:szCs w:val="22"/>
          <w:lang w:val="es-CR"/>
        </w:rPr>
        <w:t>l</w:t>
      </w:r>
      <w:r>
        <w:rPr>
          <w:rFonts w:ascii="Arial" w:eastAsia="Arial" w:hAnsi="Arial"/>
          <w:sz w:val="22"/>
          <w:szCs w:val="22"/>
          <w:lang w:val="es-CR"/>
        </w:rPr>
        <w:t xml:space="preserve"> disfrute</w:t>
      </w:r>
      <w:r w:rsidR="009012C3">
        <w:rPr>
          <w:rFonts w:ascii="Arial" w:eastAsia="Arial" w:hAnsi="Arial"/>
          <w:sz w:val="22"/>
          <w:szCs w:val="22"/>
          <w:lang w:val="es-CR"/>
        </w:rPr>
        <w:t>;</w:t>
      </w:r>
      <w:r w:rsidR="000D0E38">
        <w:rPr>
          <w:rFonts w:ascii="Arial" w:eastAsia="Arial" w:hAnsi="Arial"/>
          <w:sz w:val="22"/>
          <w:szCs w:val="22"/>
          <w:lang w:val="es-CR"/>
        </w:rPr>
        <w:t xml:space="preserve"> o ejerza</w:t>
      </w:r>
      <w:r>
        <w:rPr>
          <w:rFonts w:ascii="Arial" w:eastAsia="Arial" w:hAnsi="Arial"/>
          <w:sz w:val="22"/>
          <w:szCs w:val="22"/>
          <w:lang w:val="es-CR"/>
        </w:rPr>
        <w:t xml:space="preserve"> el derecho</w:t>
      </w:r>
      <w:r w:rsidR="00BE7829">
        <w:rPr>
          <w:rFonts w:ascii="Arial" w:eastAsia="Arial" w:hAnsi="Arial"/>
          <w:sz w:val="22"/>
          <w:szCs w:val="22"/>
          <w:lang w:val="es-CR"/>
        </w:rPr>
        <w:t xml:space="preserve">, </w:t>
      </w:r>
      <w:r w:rsidR="009012C3">
        <w:rPr>
          <w:rFonts w:ascii="Arial" w:eastAsia="Arial" w:hAnsi="Arial"/>
          <w:sz w:val="22"/>
          <w:szCs w:val="22"/>
          <w:lang w:val="es-CR"/>
        </w:rPr>
        <w:t>lo cual debe darse en los siguientes 3 meses después del cierre del periodo en el que el funcionario haya prestado los servicios.</w:t>
      </w:r>
    </w:p>
    <w:p w14:paraId="3D3B5CA7" w14:textId="77777777" w:rsidR="009012C3" w:rsidRDefault="009012C3" w:rsidP="00BE7829">
      <w:pPr>
        <w:spacing w:line="250" w:lineRule="auto"/>
        <w:ind w:left="1134" w:right="4" w:hanging="1134"/>
        <w:jc w:val="both"/>
        <w:rPr>
          <w:rFonts w:ascii="Arial" w:eastAsia="Arial" w:hAnsi="Arial"/>
          <w:sz w:val="22"/>
          <w:szCs w:val="22"/>
          <w:lang w:val="es-CR"/>
        </w:rPr>
      </w:pPr>
    </w:p>
    <w:p w14:paraId="0388F45A" w14:textId="56820B83" w:rsidR="00AD320D" w:rsidRPr="00AD320D" w:rsidRDefault="009012C3" w:rsidP="00BE7829">
      <w:pPr>
        <w:spacing w:line="250" w:lineRule="auto"/>
        <w:ind w:left="1134" w:right="4" w:hanging="1134"/>
        <w:jc w:val="both"/>
        <w:rPr>
          <w:rFonts w:ascii="Arial" w:eastAsia="Arial" w:hAnsi="Arial"/>
          <w:sz w:val="22"/>
          <w:szCs w:val="22"/>
          <w:lang w:val="es-CR"/>
        </w:rPr>
      </w:pPr>
      <w:r>
        <w:rPr>
          <w:rFonts w:ascii="Arial" w:eastAsia="Arial" w:hAnsi="Arial"/>
          <w:sz w:val="22"/>
          <w:szCs w:val="22"/>
          <w:lang w:val="es-CR"/>
        </w:rPr>
        <w:t>2.40.1.02</w:t>
      </w:r>
      <w:r>
        <w:rPr>
          <w:rFonts w:ascii="Arial" w:eastAsia="Arial" w:hAnsi="Arial"/>
          <w:sz w:val="22"/>
          <w:szCs w:val="22"/>
          <w:lang w:val="es-CR"/>
        </w:rPr>
        <w:tab/>
      </w:r>
      <w:r w:rsidR="00BE7829" w:rsidRPr="009012C3">
        <w:rPr>
          <w:rFonts w:ascii="Arial" w:eastAsia="Arial" w:hAnsi="Arial"/>
          <w:sz w:val="22"/>
          <w:szCs w:val="22"/>
          <w:lang w:val="es-CR"/>
        </w:rPr>
        <w:t>En caso de terminación del contrato de trabajo antes de cumplir el período de las cincuenta semanas,</w:t>
      </w:r>
      <w:r w:rsidRPr="009012C3">
        <w:rPr>
          <w:rFonts w:ascii="Arial" w:eastAsia="Arial" w:hAnsi="Arial"/>
          <w:sz w:val="22"/>
          <w:szCs w:val="22"/>
          <w:lang w:val="es-CR"/>
        </w:rPr>
        <w:t xml:space="preserve"> </w:t>
      </w:r>
      <w:r w:rsidR="00BE7829" w:rsidRPr="009012C3">
        <w:rPr>
          <w:rFonts w:ascii="Arial" w:eastAsia="Arial" w:hAnsi="Arial"/>
          <w:sz w:val="22"/>
          <w:szCs w:val="22"/>
          <w:lang w:val="es-CR"/>
        </w:rPr>
        <w:t>el trabajador tendrá derecho, como mínimo, a un día de vacaciones por cada mes trabajado, que se</w:t>
      </w:r>
      <w:r w:rsidRPr="009012C3">
        <w:rPr>
          <w:rFonts w:ascii="Arial" w:eastAsia="Arial" w:hAnsi="Arial"/>
          <w:sz w:val="22"/>
          <w:szCs w:val="22"/>
          <w:lang w:val="es-CR"/>
        </w:rPr>
        <w:t xml:space="preserve"> </w:t>
      </w:r>
      <w:r w:rsidR="00BE7829" w:rsidRPr="009012C3">
        <w:rPr>
          <w:rFonts w:ascii="Arial" w:eastAsia="Arial" w:hAnsi="Arial"/>
          <w:sz w:val="22"/>
          <w:szCs w:val="22"/>
          <w:lang w:val="es-CR"/>
        </w:rPr>
        <w:t>le pagará en el momento del retiro de su trabajo.</w:t>
      </w:r>
    </w:p>
    <w:p w14:paraId="1F7EC327" w14:textId="77777777" w:rsidR="00961C86" w:rsidRPr="000A6F04" w:rsidRDefault="00961C86" w:rsidP="00CE16AD">
      <w:pPr>
        <w:pStyle w:val="Default"/>
        <w:jc w:val="both"/>
        <w:rPr>
          <w:sz w:val="23"/>
          <w:szCs w:val="23"/>
          <w:lang w:val="es-CR"/>
        </w:rPr>
      </w:pPr>
    </w:p>
    <w:p w14:paraId="30E3FA7D" w14:textId="5BF49877" w:rsidR="00A925AD" w:rsidRDefault="003D12F6" w:rsidP="003D12F6">
      <w:pPr>
        <w:pStyle w:val="Default"/>
        <w:ind w:left="1134" w:hanging="1134"/>
        <w:jc w:val="both"/>
        <w:rPr>
          <w:color w:val="auto"/>
          <w:sz w:val="22"/>
          <w:szCs w:val="22"/>
          <w:lang w:val="es-CR"/>
        </w:rPr>
      </w:pPr>
      <w:r>
        <w:rPr>
          <w:color w:val="auto"/>
          <w:sz w:val="22"/>
          <w:szCs w:val="22"/>
          <w:lang w:val="es-CR"/>
        </w:rPr>
        <w:t>2.40.1.0</w:t>
      </w:r>
      <w:r w:rsidR="00AD320D">
        <w:rPr>
          <w:color w:val="auto"/>
          <w:sz w:val="22"/>
          <w:szCs w:val="22"/>
          <w:lang w:val="es-CR"/>
        </w:rPr>
        <w:t>2</w:t>
      </w:r>
      <w:r>
        <w:rPr>
          <w:color w:val="auto"/>
          <w:sz w:val="22"/>
          <w:szCs w:val="22"/>
          <w:lang w:val="es-CR"/>
        </w:rPr>
        <w:tab/>
        <w:t xml:space="preserve">Las vacaciones acumuladas se reconocerán </w:t>
      </w:r>
      <w:r w:rsidR="000A6F04" w:rsidRPr="003D12F6">
        <w:rPr>
          <w:color w:val="auto"/>
          <w:sz w:val="22"/>
          <w:szCs w:val="22"/>
          <w:lang w:val="es-CR"/>
        </w:rPr>
        <w:t xml:space="preserve">como un pasivo (gasto acumulado o devengado), después de deducir cualquier importe ya satisfecho. </w:t>
      </w:r>
      <w:r w:rsidR="00A925AD">
        <w:rPr>
          <w:color w:val="auto"/>
          <w:sz w:val="22"/>
          <w:szCs w:val="22"/>
          <w:lang w:val="es-CR"/>
        </w:rPr>
        <w:t xml:space="preserve">Es decir, las vacaciones acumulativas se medirán al costo esperado, </w:t>
      </w:r>
      <w:r w:rsidR="00231F10">
        <w:rPr>
          <w:color w:val="auto"/>
          <w:sz w:val="22"/>
          <w:szCs w:val="22"/>
          <w:lang w:val="es-CR"/>
        </w:rPr>
        <w:t>de</w:t>
      </w:r>
      <w:r w:rsidR="00A925AD">
        <w:rPr>
          <w:color w:val="auto"/>
          <w:sz w:val="22"/>
          <w:szCs w:val="22"/>
          <w:lang w:val="es-CR"/>
        </w:rPr>
        <w:t xml:space="preserve"> los importes adicionales que se espera pagar como consecuencia de derechos </w:t>
      </w:r>
      <w:r w:rsidR="00231F10">
        <w:rPr>
          <w:color w:val="auto"/>
          <w:sz w:val="22"/>
          <w:szCs w:val="22"/>
          <w:lang w:val="es-CR"/>
        </w:rPr>
        <w:t xml:space="preserve">acumulados y </w:t>
      </w:r>
      <w:r w:rsidR="00A925AD">
        <w:rPr>
          <w:color w:val="auto"/>
          <w:sz w:val="22"/>
          <w:szCs w:val="22"/>
          <w:lang w:val="es-CR"/>
        </w:rPr>
        <w:t xml:space="preserve">no utilizados al final del periodo que se informa. </w:t>
      </w:r>
    </w:p>
    <w:p w14:paraId="5AB55CA8" w14:textId="77777777" w:rsidR="00A925AD" w:rsidRDefault="00A925AD" w:rsidP="003D12F6">
      <w:pPr>
        <w:pStyle w:val="Default"/>
        <w:ind w:left="1134" w:hanging="1134"/>
        <w:jc w:val="both"/>
        <w:rPr>
          <w:color w:val="auto"/>
          <w:sz w:val="22"/>
          <w:szCs w:val="22"/>
          <w:lang w:val="es-CR"/>
        </w:rPr>
      </w:pPr>
    </w:p>
    <w:p w14:paraId="05F0BE07" w14:textId="64F0BB34" w:rsidR="003D12F6" w:rsidRDefault="00231F10" w:rsidP="003D12F6">
      <w:pPr>
        <w:pStyle w:val="Default"/>
        <w:ind w:left="1134" w:hanging="1134"/>
        <w:jc w:val="both"/>
        <w:rPr>
          <w:color w:val="auto"/>
          <w:sz w:val="22"/>
          <w:szCs w:val="22"/>
          <w:lang w:val="es-CR"/>
        </w:rPr>
      </w:pPr>
      <w:r>
        <w:rPr>
          <w:color w:val="auto"/>
          <w:sz w:val="22"/>
          <w:szCs w:val="22"/>
          <w:lang w:val="es-CR"/>
        </w:rPr>
        <w:t>2.40.1.0</w:t>
      </w:r>
      <w:r w:rsidR="000D0E38">
        <w:rPr>
          <w:color w:val="auto"/>
          <w:sz w:val="22"/>
          <w:szCs w:val="22"/>
          <w:lang w:val="es-CR"/>
        </w:rPr>
        <w:t>3</w:t>
      </w:r>
      <w:r>
        <w:rPr>
          <w:color w:val="auto"/>
          <w:sz w:val="22"/>
          <w:szCs w:val="22"/>
          <w:lang w:val="es-CR"/>
        </w:rPr>
        <w:tab/>
      </w:r>
      <w:r w:rsidR="00B01824">
        <w:rPr>
          <w:color w:val="auto"/>
          <w:sz w:val="22"/>
          <w:szCs w:val="22"/>
          <w:lang w:val="es-CR"/>
        </w:rPr>
        <w:t xml:space="preserve">En cada fecha de cierre o </w:t>
      </w:r>
      <w:r>
        <w:rPr>
          <w:color w:val="auto"/>
          <w:sz w:val="22"/>
          <w:szCs w:val="22"/>
          <w:lang w:val="es-CR"/>
        </w:rPr>
        <w:t>presentación</w:t>
      </w:r>
      <w:r w:rsidR="00B01824">
        <w:rPr>
          <w:color w:val="auto"/>
          <w:sz w:val="22"/>
          <w:szCs w:val="22"/>
          <w:lang w:val="es-CR"/>
        </w:rPr>
        <w:t xml:space="preserve"> de EEFF</w:t>
      </w:r>
      <w:r>
        <w:rPr>
          <w:color w:val="auto"/>
          <w:sz w:val="22"/>
          <w:szCs w:val="22"/>
          <w:lang w:val="es-CR"/>
        </w:rPr>
        <w:t xml:space="preserve"> se </w:t>
      </w:r>
      <w:r w:rsidR="00B01824">
        <w:rPr>
          <w:color w:val="auto"/>
          <w:sz w:val="22"/>
          <w:szCs w:val="22"/>
          <w:lang w:val="es-CR"/>
        </w:rPr>
        <w:t xml:space="preserve">debe </w:t>
      </w:r>
      <w:r>
        <w:rPr>
          <w:color w:val="auto"/>
          <w:sz w:val="22"/>
          <w:szCs w:val="22"/>
          <w:lang w:val="es-CR"/>
        </w:rPr>
        <w:t>revisar el</w:t>
      </w:r>
      <w:r w:rsidR="00B01824">
        <w:rPr>
          <w:color w:val="auto"/>
          <w:sz w:val="22"/>
          <w:szCs w:val="22"/>
          <w:lang w:val="es-CR"/>
        </w:rPr>
        <w:t xml:space="preserve"> total del</w:t>
      </w:r>
      <w:r>
        <w:rPr>
          <w:color w:val="auto"/>
          <w:sz w:val="22"/>
          <w:szCs w:val="22"/>
          <w:lang w:val="es-CR"/>
        </w:rPr>
        <w:t xml:space="preserve"> importe acumulado por pagar por concepto de vacaciones </w:t>
      </w:r>
      <w:r w:rsidR="00B01824" w:rsidRPr="00B01824">
        <w:rPr>
          <w:sz w:val="22"/>
          <w:szCs w:val="22"/>
          <w:lang w:val="es-CR"/>
        </w:rPr>
        <w:t xml:space="preserve">a efectos de su comparación con el saldo en libros </w:t>
      </w:r>
      <w:r>
        <w:rPr>
          <w:color w:val="auto"/>
          <w:sz w:val="22"/>
          <w:szCs w:val="22"/>
          <w:lang w:val="es-CR"/>
        </w:rPr>
        <w:t>y en caso de corresponder se realizar</w:t>
      </w:r>
      <w:r w:rsidR="00B01824">
        <w:rPr>
          <w:color w:val="auto"/>
          <w:sz w:val="22"/>
          <w:szCs w:val="22"/>
          <w:lang w:val="es-CR"/>
        </w:rPr>
        <w:t>á</w:t>
      </w:r>
      <w:r>
        <w:rPr>
          <w:color w:val="auto"/>
          <w:sz w:val="22"/>
          <w:szCs w:val="22"/>
          <w:lang w:val="es-CR"/>
        </w:rPr>
        <w:t xml:space="preserve"> el ajuste </w:t>
      </w:r>
      <w:r w:rsidR="00B01824">
        <w:rPr>
          <w:color w:val="auto"/>
          <w:sz w:val="22"/>
          <w:szCs w:val="22"/>
          <w:lang w:val="es-CR"/>
        </w:rPr>
        <w:t>que resulte pertinente</w:t>
      </w:r>
      <w:r>
        <w:rPr>
          <w:color w:val="auto"/>
          <w:sz w:val="22"/>
          <w:szCs w:val="22"/>
          <w:lang w:val="es-CR"/>
        </w:rPr>
        <w:t xml:space="preserve">. </w:t>
      </w:r>
      <w:r w:rsidR="000A6F04" w:rsidRPr="003D12F6">
        <w:rPr>
          <w:color w:val="auto"/>
          <w:sz w:val="22"/>
          <w:szCs w:val="22"/>
          <w:lang w:val="es-CR"/>
        </w:rPr>
        <w:t xml:space="preserve">Si el importe pagado es superior al importe sin descontar de los beneficios, una entidad reconocerá la diferencia como un activo (pago anticipado de </w:t>
      </w:r>
      <w:r w:rsidR="000A6F04" w:rsidRPr="003D12F6">
        <w:rPr>
          <w:color w:val="auto"/>
          <w:sz w:val="22"/>
          <w:szCs w:val="22"/>
          <w:lang w:val="es-CR"/>
        </w:rPr>
        <w:lastRenderedPageBreak/>
        <w:t xml:space="preserve">un gasto) en la medida que el pago por adelantado vaya a dar lugar, por ejemplo, a una reducción en los pagos a efectuar en el futuro o a un </w:t>
      </w:r>
      <w:r w:rsidR="000E5DF8" w:rsidRPr="003D12F6">
        <w:rPr>
          <w:color w:val="auto"/>
          <w:sz w:val="22"/>
          <w:szCs w:val="22"/>
          <w:lang w:val="es-CR"/>
        </w:rPr>
        <w:t>ree</w:t>
      </w:r>
      <w:r w:rsidR="000E5DF8">
        <w:rPr>
          <w:color w:val="auto"/>
          <w:sz w:val="22"/>
          <w:szCs w:val="22"/>
          <w:lang w:val="es-CR"/>
        </w:rPr>
        <w:t>mbo</w:t>
      </w:r>
      <w:r w:rsidR="000E5DF8" w:rsidRPr="003D12F6">
        <w:rPr>
          <w:color w:val="auto"/>
          <w:sz w:val="22"/>
          <w:szCs w:val="22"/>
          <w:lang w:val="es-CR"/>
        </w:rPr>
        <w:t>lso</w:t>
      </w:r>
      <w:r w:rsidR="000A6F04" w:rsidRPr="003D12F6">
        <w:rPr>
          <w:color w:val="auto"/>
          <w:sz w:val="22"/>
          <w:szCs w:val="22"/>
          <w:lang w:val="es-CR"/>
        </w:rPr>
        <w:t xml:space="preserve"> en efectivo.</w:t>
      </w:r>
    </w:p>
    <w:p w14:paraId="7ED4FF4F" w14:textId="77777777" w:rsidR="00B01824" w:rsidRDefault="00B01824" w:rsidP="003D12F6">
      <w:pPr>
        <w:pStyle w:val="Default"/>
        <w:ind w:left="1134" w:hanging="1134"/>
        <w:jc w:val="both"/>
        <w:rPr>
          <w:color w:val="auto"/>
          <w:sz w:val="22"/>
          <w:szCs w:val="22"/>
          <w:lang w:val="es-CR"/>
        </w:rPr>
      </w:pPr>
    </w:p>
    <w:p w14:paraId="07E0CBB3" w14:textId="5FAB42AE" w:rsidR="000D062C" w:rsidRPr="000D062C" w:rsidRDefault="000D062C" w:rsidP="003D12F6">
      <w:pPr>
        <w:pStyle w:val="Default"/>
        <w:ind w:left="1134" w:hanging="1134"/>
        <w:jc w:val="both"/>
        <w:rPr>
          <w:color w:val="auto"/>
          <w:sz w:val="22"/>
          <w:szCs w:val="22"/>
          <w:lang w:val="es-CR"/>
        </w:rPr>
      </w:pPr>
      <w:r w:rsidRPr="000D062C">
        <w:rPr>
          <w:sz w:val="22"/>
          <w:szCs w:val="22"/>
          <w:lang w:val="es-CR"/>
        </w:rPr>
        <w:t>2.40.1.0</w:t>
      </w:r>
      <w:r w:rsidR="000D0E38">
        <w:rPr>
          <w:sz w:val="22"/>
          <w:szCs w:val="22"/>
          <w:lang w:val="es-CR"/>
        </w:rPr>
        <w:t>4</w:t>
      </w:r>
      <w:r w:rsidRPr="000D062C">
        <w:rPr>
          <w:sz w:val="22"/>
          <w:szCs w:val="22"/>
          <w:lang w:val="es-CR"/>
        </w:rPr>
        <w:tab/>
        <w:t>Las vacaciones son incompensables. En caso de no darse los casos previstos en los artículos 156 y 159 del Código de Trabajo, el Alcalde</w:t>
      </w:r>
      <w:r w:rsidR="006907B6">
        <w:rPr>
          <w:sz w:val="22"/>
          <w:szCs w:val="22"/>
          <w:lang w:val="es-CR"/>
        </w:rPr>
        <w:t xml:space="preserve"> (sa)</w:t>
      </w:r>
      <w:r w:rsidRPr="000D062C">
        <w:rPr>
          <w:sz w:val="22"/>
          <w:szCs w:val="22"/>
          <w:lang w:val="es-CR"/>
        </w:rPr>
        <w:t xml:space="preserve"> Municipal, previa recomendación de Recursos Humanos, con base en la solicitud de la jefatura respectiva y debidamente justificada, podrá autorizar la compensación en dinero en efectivo, de vacaciones no disfrutadas.</w:t>
      </w:r>
    </w:p>
    <w:p w14:paraId="684A062B" w14:textId="77777777" w:rsidR="00A267A2" w:rsidRDefault="00A267A2" w:rsidP="003D12F6">
      <w:pPr>
        <w:pStyle w:val="Default"/>
        <w:ind w:left="1134" w:hanging="1134"/>
        <w:jc w:val="both"/>
        <w:rPr>
          <w:color w:val="auto"/>
          <w:sz w:val="22"/>
          <w:szCs w:val="22"/>
          <w:lang w:val="es-CR"/>
        </w:rPr>
      </w:pPr>
    </w:p>
    <w:p w14:paraId="6F4B1AC6" w14:textId="0D26D1A7" w:rsidR="00A267A2" w:rsidRDefault="00A267A2" w:rsidP="00A267A2">
      <w:pPr>
        <w:spacing w:line="238" w:lineRule="auto"/>
        <w:ind w:left="1134" w:right="260" w:hanging="1134"/>
        <w:jc w:val="both"/>
        <w:rPr>
          <w:rFonts w:ascii="Arial" w:hAnsi="Arial"/>
          <w:sz w:val="22"/>
          <w:szCs w:val="22"/>
          <w:lang w:val="es-CR"/>
        </w:rPr>
      </w:pPr>
      <w:r>
        <w:rPr>
          <w:rFonts w:ascii="Arial" w:hAnsi="Arial"/>
          <w:sz w:val="22"/>
          <w:szCs w:val="22"/>
          <w:lang w:val="es-CR"/>
        </w:rPr>
        <w:t>2.40.1.0</w:t>
      </w:r>
      <w:r w:rsidR="000D0E38">
        <w:rPr>
          <w:rFonts w:ascii="Arial" w:hAnsi="Arial"/>
          <w:sz w:val="22"/>
          <w:szCs w:val="22"/>
          <w:lang w:val="es-CR"/>
        </w:rPr>
        <w:t>5</w:t>
      </w:r>
      <w:r>
        <w:rPr>
          <w:rFonts w:ascii="Arial" w:hAnsi="Arial"/>
          <w:sz w:val="22"/>
          <w:szCs w:val="22"/>
          <w:lang w:val="es-CR"/>
        </w:rPr>
        <w:tab/>
      </w:r>
      <w:r w:rsidRPr="00A267A2">
        <w:rPr>
          <w:rFonts w:ascii="Arial" w:hAnsi="Arial"/>
          <w:sz w:val="22"/>
          <w:szCs w:val="22"/>
          <w:lang w:val="es-CR"/>
        </w:rPr>
        <w:t>Para poder reconocer el pasivo por las vacaciones ganadas y no disfrutadas</w:t>
      </w:r>
      <w:r w:rsidR="00231F10">
        <w:rPr>
          <w:rFonts w:ascii="Arial" w:hAnsi="Arial"/>
          <w:sz w:val="22"/>
          <w:szCs w:val="22"/>
          <w:lang w:val="es-CR"/>
        </w:rPr>
        <w:t xml:space="preserve"> o </w:t>
      </w:r>
      <w:r w:rsidR="00231F10" w:rsidRPr="00231F10">
        <w:rPr>
          <w:rFonts w:ascii="Arial" w:hAnsi="Arial"/>
          <w:sz w:val="22"/>
          <w:szCs w:val="22"/>
          <w:lang w:val="es-CR"/>
        </w:rPr>
        <w:t xml:space="preserve">un activo (pago anticipado de un gasto) en la medida que el pago por adelantado </w:t>
      </w:r>
      <w:r w:rsidR="0018162A">
        <w:rPr>
          <w:rFonts w:ascii="Arial" w:hAnsi="Arial"/>
          <w:sz w:val="22"/>
          <w:szCs w:val="22"/>
          <w:lang w:val="es-CR"/>
        </w:rPr>
        <w:t>h</w:t>
      </w:r>
      <w:r w:rsidR="00231F10" w:rsidRPr="00231F10">
        <w:rPr>
          <w:rFonts w:ascii="Arial" w:hAnsi="Arial"/>
          <w:sz w:val="22"/>
          <w:szCs w:val="22"/>
          <w:lang w:val="es-CR"/>
        </w:rPr>
        <w:t xml:space="preserve">aya </w:t>
      </w:r>
      <w:r w:rsidR="0018162A">
        <w:rPr>
          <w:rFonts w:ascii="Arial" w:hAnsi="Arial"/>
          <w:sz w:val="22"/>
          <w:szCs w:val="22"/>
          <w:lang w:val="es-CR"/>
        </w:rPr>
        <w:t>tenido</w:t>
      </w:r>
      <w:r w:rsidR="00231F10" w:rsidRPr="00231F10">
        <w:rPr>
          <w:rFonts w:ascii="Arial" w:hAnsi="Arial"/>
          <w:sz w:val="22"/>
          <w:szCs w:val="22"/>
          <w:lang w:val="es-CR"/>
        </w:rPr>
        <w:t xml:space="preserve"> lugar</w:t>
      </w:r>
      <w:r w:rsidR="0018162A">
        <w:rPr>
          <w:rFonts w:ascii="Arial" w:hAnsi="Arial"/>
          <w:sz w:val="22"/>
          <w:szCs w:val="22"/>
          <w:lang w:val="es-CR"/>
        </w:rPr>
        <w:t>;</w:t>
      </w:r>
      <w:r w:rsidRPr="00A267A2">
        <w:rPr>
          <w:rFonts w:ascii="Arial" w:hAnsi="Arial"/>
          <w:sz w:val="22"/>
          <w:szCs w:val="22"/>
          <w:lang w:val="es-CR"/>
        </w:rPr>
        <w:t xml:space="preserve"> se requerirá solicitar el apoyo de la unidad de Recursos Humanos de </w:t>
      </w:r>
      <w:r w:rsidR="00231F10">
        <w:rPr>
          <w:rFonts w:ascii="Arial" w:hAnsi="Arial"/>
          <w:sz w:val="22"/>
          <w:szCs w:val="22"/>
          <w:lang w:val="es-CR"/>
        </w:rPr>
        <w:t>l</w:t>
      </w:r>
      <w:r w:rsidRPr="00A267A2">
        <w:rPr>
          <w:rFonts w:ascii="Arial" w:hAnsi="Arial"/>
          <w:sz w:val="22"/>
          <w:szCs w:val="22"/>
          <w:lang w:val="es-CR"/>
        </w:rPr>
        <w:t xml:space="preserve">a </w:t>
      </w:r>
      <w:r w:rsidR="00231F10">
        <w:rPr>
          <w:rFonts w:ascii="Arial" w:hAnsi="Arial"/>
          <w:sz w:val="22"/>
          <w:szCs w:val="22"/>
          <w:lang w:val="es-CR"/>
        </w:rPr>
        <w:t>Municipalidad</w:t>
      </w:r>
      <w:r w:rsidRPr="00A267A2">
        <w:rPr>
          <w:rFonts w:ascii="Arial" w:hAnsi="Arial"/>
          <w:sz w:val="22"/>
          <w:szCs w:val="22"/>
          <w:lang w:val="es-CR"/>
        </w:rPr>
        <w:t xml:space="preserve"> para que le proporcionen a la unidad de contabilidad los importes de las vacaciones ganadas y no disfrutadas </w:t>
      </w:r>
      <w:r w:rsidR="0018162A">
        <w:rPr>
          <w:rFonts w:ascii="Arial" w:hAnsi="Arial"/>
          <w:sz w:val="22"/>
          <w:szCs w:val="22"/>
          <w:lang w:val="es-CR"/>
        </w:rPr>
        <w:t xml:space="preserve">o disfrutadas y no ganadas </w:t>
      </w:r>
      <w:r w:rsidRPr="00A267A2">
        <w:rPr>
          <w:rFonts w:ascii="Arial" w:hAnsi="Arial"/>
          <w:sz w:val="22"/>
          <w:szCs w:val="22"/>
          <w:lang w:val="es-CR"/>
        </w:rPr>
        <w:t>al cierre del periodo contable.</w:t>
      </w:r>
    </w:p>
    <w:p w14:paraId="0730081A" w14:textId="77777777" w:rsidR="00A267A2" w:rsidRDefault="00A267A2" w:rsidP="00A267A2">
      <w:pPr>
        <w:spacing w:line="238" w:lineRule="auto"/>
        <w:ind w:left="1134" w:right="260" w:hanging="1134"/>
        <w:jc w:val="both"/>
        <w:rPr>
          <w:rFonts w:ascii="Arial" w:hAnsi="Arial"/>
          <w:sz w:val="22"/>
          <w:szCs w:val="22"/>
          <w:lang w:val="es-CR"/>
        </w:rPr>
      </w:pPr>
    </w:p>
    <w:p w14:paraId="64C2892D" w14:textId="452AAF57" w:rsidR="000A6F04" w:rsidRDefault="000A6F04" w:rsidP="000D062C">
      <w:pPr>
        <w:spacing w:line="238" w:lineRule="auto"/>
        <w:ind w:left="1134" w:right="260" w:hanging="1134"/>
        <w:jc w:val="both"/>
        <w:rPr>
          <w:sz w:val="23"/>
          <w:szCs w:val="23"/>
          <w:lang w:val="es-CR"/>
        </w:rPr>
      </w:pPr>
      <w:r w:rsidRPr="00A267A2">
        <w:rPr>
          <w:rFonts w:ascii="Arial" w:hAnsi="Arial"/>
          <w:sz w:val="22"/>
          <w:szCs w:val="22"/>
          <w:lang w:val="es-CR"/>
        </w:rPr>
        <w:t xml:space="preserve"> </w:t>
      </w:r>
      <w:r w:rsidR="00A267A2">
        <w:rPr>
          <w:rFonts w:ascii="Arial" w:hAnsi="Arial"/>
          <w:sz w:val="22"/>
          <w:szCs w:val="22"/>
          <w:lang w:val="es-CR"/>
        </w:rPr>
        <w:t>2.40.1.0</w:t>
      </w:r>
      <w:r w:rsidR="000D0E38">
        <w:rPr>
          <w:rFonts w:ascii="Arial" w:hAnsi="Arial"/>
          <w:sz w:val="22"/>
          <w:szCs w:val="22"/>
          <w:lang w:val="es-CR"/>
        </w:rPr>
        <w:t>6</w:t>
      </w:r>
      <w:r w:rsidR="00A267A2">
        <w:rPr>
          <w:rFonts w:ascii="Arial" w:hAnsi="Arial"/>
          <w:sz w:val="22"/>
          <w:szCs w:val="22"/>
          <w:lang w:val="es-CR"/>
        </w:rPr>
        <w:tab/>
      </w:r>
      <w:r w:rsidR="00A267A2" w:rsidRPr="00A267A2">
        <w:rPr>
          <w:rFonts w:ascii="Arial" w:hAnsi="Arial"/>
          <w:sz w:val="22"/>
          <w:szCs w:val="22"/>
          <w:lang w:val="es-CR"/>
        </w:rPr>
        <w:t xml:space="preserve">El pago de las vacaciones se hará con base en el promedio de las remuneraciones ordinarias y extraordinarias, devengadas por el servidor durante las cincuenta semanas anteriores al momento en que adquirió el derecho, </w:t>
      </w:r>
      <w:r w:rsidR="000D062C" w:rsidRPr="00A267A2">
        <w:rPr>
          <w:rFonts w:ascii="Arial" w:hAnsi="Arial"/>
          <w:sz w:val="22"/>
          <w:szCs w:val="22"/>
          <w:lang w:val="es-CR"/>
        </w:rPr>
        <w:t>de acuerdo con el</w:t>
      </w:r>
      <w:r w:rsidR="00A267A2" w:rsidRPr="00A267A2">
        <w:rPr>
          <w:rFonts w:ascii="Arial" w:hAnsi="Arial"/>
          <w:sz w:val="22"/>
          <w:szCs w:val="22"/>
          <w:lang w:val="es-CR"/>
        </w:rPr>
        <w:t xml:space="preserve"> artículo 157 del Código de Trabajo</w:t>
      </w:r>
      <w:r w:rsidR="00386096">
        <w:rPr>
          <w:rFonts w:ascii="Arial" w:hAnsi="Arial"/>
          <w:sz w:val="22"/>
          <w:szCs w:val="22"/>
          <w:lang w:val="es-CR"/>
        </w:rPr>
        <w:t xml:space="preserve"> y 66 del </w:t>
      </w:r>
      <w:r w:rsidR="00386096" w:rsidRPr="00386096">
        <w:rPr>
          <w:rFonts w:ascii="Arial" w:hAnsi="Arial"/>
          <w:sz w:val="22"/>
          <w:szCs w:val="22"/>
          <w:lang w:val="es-CR"/>
        </w:rPr>
        <w:t xml:space="preserve">Reglamento autónomo de organización y servicio de la Municipalidad de </w:t>
      </w:r>
      <w:r w:rsidR="008C25B1">
        <w:rPr>
          <w:rFonts w:ascii="Arial" w:hAnsi="Arial"/>
          <w:sz w:val="22"/>
          <w:szCs w:val="22"/>
          <w:lang w:val="es-CR"/>
        </w:rPr>
        <w:t>Buenos Aires</w:t>
      </w:r>
      <w:r w:rsidR="00A267A2" w:rsidRPr="00A267A2">
        <w:rPr>
          <w:rFonts w:ascii="Arial" w:hAnsi="Arial"/>
          <w:sz w:val="22"/>
          <w:szCs w:val="22"/>
          <w:lang w:val="es-CR"/>
        </w:rPr>
        <w:t>.</w:t>
      </w:r>
      <w:r w:rsidR="000D062C">
        <w:rPr>
          <w:rFonts w:ascii="Arial" w:hAnsi="Arial"/>
          <w:sz w:val="22"/>
          <w:szCs w:val="22"/>
          <w:lang w:val="es-CR"/>
        </w:rPr>
        <w:t xml:space="preserve"> </w:t>
      </w:r>
      <w:r w:rsidR="000D062C" w:rsidRPr="000D062C">
        <w:rPr>
          <w:rFonts w:ascii="Arial" w:hAnsi="Arial"/>
          <w:sz w:val="22"/>
          <w:szCs w:val="22"/>
          <w:lang w:val="es-CR"/>
        </w:rPr>
        <w:t xml:space="preserve">Este </w:t>
      </w:r>
      <w:r w:rsidRPr="000D062C">
        <w:rPr>
          <w:rFonts w:ascii="Arial" w:hAnsi="Arial"/>
          <w:sz w:val="22"/>
          <w:szCs w:val="22"/>
          <w:lang w:val="es-CR"/>
        </w:rPr>
        <w:t>método mide la obligación por el importe de los pagos adicionales que se espera que surjan solo por el hecho de que el derecho de que el beneficio se acumula</w:t>
      </w:r>
      <w:r w:rsidR="000D062C">
        <w:rPr>
          <w:rFonts w:ascii="Arial" w:hAnsi="Arial"/>
          <w:sz w:val="22"/>
          <w:szCs w:val="22"/>
          <w:lang w:val="es-CR"/>
        </w:rPr>
        <w:t>.</w:t>
      </w:r>
    </w:p>
    <w:p w14:paraId="5699A966" w14:textId="77777777" w:rsidR="00A267A2" w:rsidRPr="000A6F04" w:rsidRDefault="00A267A2" w:rsidP="000A6F04">
      <w:pPr>
        <w:pStyle w:val="Default"/>
        <w:rPr>
          <w:sz w:val="23"/>
          <w:szCs w:val="23"/>
          <w:lang w:val="es-CR"/>
        </w:rPr>
      </w:pPr>
    </w:p>
    <w:p w14:paraId="14EE66A6" w14:textId="77777777" w:rsidR="00B852DB" w:rsidRDefault="00B852DB" w:rsidP="00C522E2">
      <w:pPr>
        <w:spacing w:line="238" w:lineRule="auto"/>
        <w:ind w:left="1134" w:right="260" w:hanging="1134"/>
        <w:jc w:val="both"/>
        <w:rPr>
          <w:rFonts w:ascii="Arial" w:eastAsia="Arial" w:hAnsi="Arial"/>
          <w:b/>
          <w:sz w:val="22"/>
          <w:szCs w:val="22"/>
          <w:lang w:val="es-CR"/>
        </w:rPr>
      </w:pPr>
    </w:p>
    <w:tbl>
      <w:tblPr>
        <w:tblW w:w="9064" w:type="dxa"/>
        <w:tblLook w:val="04A0" w:firstRow="1" w:lastRow="0" w:firstColumn="1" w:lastColumn="0" w:noHBand="0" w:noVBand="1"/>
      </w:tblPr>
      <w:tblGrid>
        <w:gridCol w:w="523"/>
        <w:gridCol w:w="601"/>
        <w:gridCol w:w="505"/>
        <w:gridCol w:w="9"/>
        <w:gridCol w:w="3027"/>
        <w:gridCol w:w="9"/>
        <w:gridCol w:w="2204"/>
        <w:gridCol w:w="9"/>
        <w:gridCol w:w="2177"/>
      </w:tblGrid>
      <w:tr w:rsidR="000A6F04" w:rsidRPr="007C46DF" w14:paraId="56D96EC4" w14:textId="77777777" w:rsidTr="000D0E38">
        <w:trPr>
          <w:trHeight w:val="320"/>
        </w:trPr>
        <w:tc>
          <w:tcPr>
            <w:tcW w:w="1638"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5562CDB7" w14:textId="77777777" w:rsidR="000A6F04" w:rsidRPr="007C46DF" w:rsidRDefault="000A6F04" w:rsidP="000A6F04">
            <w:pPr>
              <w:jc w:val="center"/>
              <w:rPr>
                <w:rFonts w:ascii="Arial Narrow" w:eastAsia="Times New Roman" w:hAnsi="Arial Narrow" w:cs="Calibri"/>
                <w:b/>
                <w:bCs/>
                <w:color w:val="FFFFFF"/>
                <w:sz w:val="22"/>
                <w:szCs w:val="22"/>
              </w:rPr>
            </w:pPr>
            <w:r w:rsidRPr="007C46DF">
              <w:rPr>
                <w:rFonts w:ascii="Arial Narrow" w:eastAsia="Times New Roman" w:hAnsi="Arial Narrow" w:cs="Calibri"/>
                <w:b/>
                <w:bCs/>
                <w:color w:val="FFFFFF"/>
                <w:sz w:val="22"/>
                <w:szCs w:val="22"/>
              </w:rPr>
              <w:t>Norma / Política</w:t>
            </w:r>
          </w:p>
        </w:tc>
        <w:tc>
          <w:tcPr>
            <w:tcW w:w="3036"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A7AD4E6" w14:textId="77777777" w:rsidR="000A6F04" w:rsidRPr="007C46DF" w:rsidRDefault="000A6F04" w:rsidP="000A6F04">
            <w:pPr>
              <w:jc w:val="center"/>
              <w:rPr>
                <w:rFonts w:ascii="Arial Narrow" w:eastAsia="Times New Roman" w:hAnsi="Arial Narrow" w:cs="Calibri"/>
                <w:b/>
                <w:bCs/>
                <w:color w:val="FFFFFF"/>
                <w:sz w:val="22"/>
                <w:szCs w:val="22"/>
              </w:rPr>
            </w:pPr>
            <w:r w:rsidRPr="007C46DF">
              <w:rPr>
                <w:rFonts w:ascii="Arial Narrow" w:eastAsia="Times New Roman" w:hAnsi="Arial Narrow" w:cs="Calibri"/>
                <w:b/>
                <w:bCs/>
                <w:color w:val="FFFFFF"/>
                <w:sz w:val="22"/>
                <w:szCs w:val="22"/>
              </w:rPr>
              <w:t>Concepto</w:t>
            </w:r>
          </w:p>
        </w:tc>
        <w:tc>
          <w:tcPr>
            <w:tcW w:w="4390" w:type="dxa"/>
            <w:gridSpan w:val="3"/>
            <w:tcBorders>
              <w:top w:val="single" w:sz="8" w:space="0" w:color="auto"/>
              <w:left w:val="nil"/>
              <w:bottom w:val="single" w:sz="8" w:space="0" w:color="auto"/>
              <w:right w:val="single" w:sz="8" w:space="0" w:color="000000"/>
            </w:tcBorders>
            <w:shd w:val="clear" w:color="000000" w:fill="203764"/>
            <w:vAlign w:val="center"/>
            <w:hideMark/>
          </w:tcPr>
          <w:p w14:paraId="65465937" w14:textId="77777777" w:rsidR="000A6F04" w:rsidRPr="007C46DF" w:rsidRDefault="000A6F04" w:rsidP="000A6F04">
            <w:pPr>
              <w:jc w:val="center"/>
              <w:rPr>
                <w:rFonts w:ascii="Arial Narrow" w:eastAsia="Times New Roman" w:hAnsi="Arial Narrow" w:cs="Calibri"/>
                <w:b/>
                <w:bCs/>
                <w:color w:val="FFFFFF"/>
                <w:sz w:val="22"/>
                <w:szCs w:val="22"/>
              </w:rPr>
            </w:pPr>
            <w:r w:rsidRPr="007C46DF">
              <w:rPr>
                <w:rFonts w:ascii="Arial Narrow" w:eastAsia="Times New Roman" w:hAnsi="Arial Narrow" w:cs="Calibri"/>
                <w:b/>
                <w:bCs/>
                <w:color w:val="FFFFFF"/>
                <w:sz w:val="22"/>
                <w:szCs w:val="22"/>
              </w:rPr>
              <w:t>Referencia</w:t>
            </w:r>
          </w:p>
        </w:tc>
      </w:tr>
      <w:tr w:rsidR="000A6F04" w:rsidRPr="006E5442" w14:paraId="01F520E2" w14:textId="77777777" w:rsidTr="000D0E38">
        <w:trPr>
          <w:trHeight w:val="940"/>
        </w:trPr>
        <w:tc>
          <w:tcPr>
            <w:tcW w:w="1638" w:type="dxa"/>
            <w:gridSpan w:val="4"/>
            <w:vMerge/>
            <w:tcBorders>
              <w:top w:val="single" w:sz="8" w:space="0" w:color="auto"/>
              <w:left w:val="single" w:sz="8" w:space="0" w:color="auto"/>
              <w:bottom w:val="nil"/>
              <w:right w:val="single" w:sz="8" w:space="0" w:color="000000"/>
            </w:tcBorders>
            <w:vAlign w:val="center"/>
            <w:hideMark/>
          </w:tcPr>
          <w:p w14:paraId="6E7B4299" w14:textId="77777777" w:rsidR="000A6F04" w:rsidRPr="007C46DF" w:rsidRDefault="000A6F04" w:rsidP="000A6F04">
            <w:pPr>
              <w:rPr>
                <w:rFonts w:ascii="Arial Narrow" w:eastAsia="Times New Roman" w:hAnsi="Arial Narrow" w:cs="Calibri"/>
                <w:b/>
                <w:bCs/>
                <w:color w:val="FFFFFF"/>
                <w:sz w:val="22"/>
                <w:szCs w:val="22"/>
              </w:rPr>
            </w:pPr>
          </w:p>
        </w:tc>
        <w:tc>
          <w:tcPr>
            <w:tcW w:w="3036" w:type="dxa"/>
            <w:gridSpan w:val="2"/>
            <w:vMerge/>
            <w:tcBorders>
              <w:top w:val="single" w:sz="8" w:space="0" w:color="auto"/>
              <w:left w:val="single" w:sz="8" w:space="0" w:color="auto"/>
              <w:bottom w:val="nil"/>
              <w:right w:val="single" w:sz="8" w:space="0" w:color="auto"/>
            </w:tcBorders>
            <w:vAlign w:val="center"/>
            <w:hideMark/>
          </w:tcPr>
          <w:p w14:paraId="09B6C8EB" w14:textId="77777777" w:rsidR="000A6F04" w:rsidRPr="007C46DF" w:rsidRDefault="000A6F04" w:rsidP="000A6F04">
            <w:pPr>
              <w:rPr>
                <w:rFonts w:ascii="Arial Narrow" w:eastAsia="Times New Roman" w:hAnsi="Arial Narrow" w:cs="Calibri"/>
                <w:b/>
                <w:bCs/>
                <w:color w:val="FFFFFF"/>
                <w:sz w:val="22"/>
                <w:szCs w:val="22"/>
              </w:rPr>
            </w:pPr>
          </w:p>
        </w:tc>
        <w:tc>
          <w:tcPr>
            <w:tcW w:w="2213" w:type="dxa"/>
            <w:gridSpan w:val="2"/>
            <w:tcBorders>
              <w:top w:val="nil"/>
              <w:left w:val="nil"/>
              <w:bottom w:val="nil"/>
              <w:right w:val="single" w:sz="8" w:space="0" w:color="auto"/>
            </w:tcBorders>
            <w:shd w:val="clear" w:color="000000" w:fill="203764"/>
            <w:vAlign w:val="center"/>
            <w:hideMark/>
          </w:tcPr>
          <w:p w14:paraId="4446910C" w14:textId="77777777" w:rsidR="000A6F04" w:rsidRPr="007C46DF" w:rsidRDefault="000A6F04" w:rsidP="000A6F04">
            <w:pPr>
              <w:jc w:val="center"/>
              <w:rPr>
                <w:rFonts w:ascii="Arial Narrow" w:eastAsia="Times New Roman" w:hAnsi="Arial Narrow" w:cs="Calibri"/>
                <w:b/>
                <w:bCs/>
                <w:color w:val="FFFFFF"/>
                <w:sz w:val="22"/>
                <w:szCs w:val="22"/>
              </w:rPr>
            </w:pPr>
            <w:r w:rsidRPr="007C46DF">
              <w:rPr>
                <w:rFonts w:ascii="Arial Narrow" w:eastAsia="Times New Roman" w:hAnsi="Arial Narrow" w:cs="Calibri"/>
                <w:b/>
                <w:bCs/>
                <w:color w:val="FFFFFF"/>
                <w:sz w:val="22"/>
                <w:szCs w:val="22"/>
              </w:rPr>
              <w:t>Norma</w:t>
            </w:r>
          </w:p>
        </w:tc>
        <w:tc>
          <w:tcPr>
            <w:tcW w:w="2177" w:type="dxa"/>
            <w:tcBorders>
              <w:top w:val="nil"/>
              <w:left w:val="nil"/>
              <w:bottom w:val="nil"/>
              <w:right w:val="single" w:sz="8" w:space="0" w:color="auto"/>
            </w:tcBorders>
            <w:shd w:val="clear" w:color="000000" w:fill="203764"/>
            <w:vAlign w:val="center"/>
            <w:hideMark/>
          </w:tcPr>
          <w:p w14:paraId="6237639B" w14:textId="77777777" w:rsidR="000A6F04" w:rsidRPr="007C46DF" w:rsidRDefault="000A6F04" w:rsidP="000A6F04">
            <w:pPr>
              <w:jc w:val="center"/>
              <w:rPr>
                <w:rFonts w:ascii="Arial Narrow" w:eastAsia="Times New Roman" w:hAnsi="Arial Narrow" w:cs="Calibri"/>
                <w:b/>
                <w:bCs/>
                <w:color w:val="FFFFFF"/>
                <w:sz w:val="22"/>
                <w:szCs w:val="22"/>
                <w:lang w:val="es-CR"/>
              </w:rPr>
            </w:pPr>
            <w:r w:rsidRPr="007C46DF">
              <w:rPr>
                <w:rFonts w:ascii="Arial Narrow" w:eastAsia="Times New Roman" w:hAnsi="Arial Narrow" w:cs="Calibri"/>
                <w:b/>
                <w:bCs/>
                <w:color w:val="FFFFFF"/>
                <w:sz w:val="22"/>
                <w:szCs w:val="22"/>
                <w:lang w:val="es-CR"/>
              </w:rPr>
              <w:t>Normativa técnica y disposiciones adicionales</w:t>
            </w:r>
          </w:p>
        </w:tc>
      </w:tr>
      <w:tr w:rsidR="000A6F04" w:rsidRPr="007C46DF" w14:paraId="451EFB81" w14:textId="77777777" w:rsidTr="000D0E38">
        <w:trPr>
          <w:trHeight w:val="940"/>
        </w:trPr>
        <w:tc>
          <w:tcPr>
            <w:tcW w:w="5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FB1CF9" w14:textId="77777777" w:rsidR="000A6F04" w:rsidRPr="007C46DF" w:rsidRDefault="000A6F04" w:rsidP="000A6F04">
            <w:pPr>
              <w:jc w:val="right"/>
              <w:rPr>
                <w:rFonts w:ascii="Arial Narrow" w:eastAsia="Times New Roman" w:hAnsi="Arial Narrow"/>
                <w:b/>
                <w:bCs/>
                <w:color w:val="000000"/>
                <w:sz w:val="22"/>
                <w:szCs w:val="22"/>
              </w:rPr>
            </w:pPr>
            <w:r w:rsidRPr="007C46DF">
              <w:rPr>
                <w:rFonts w:ascii="Arial Narrow" w:eastAsia="Times New Roman" w:hAnsi="Arial Narrow"/>
                <w:b/>
                <w:bCs/>
                <w:color w:val="000000"/>
                <w:sz w:val="22"/>
                <w:szCs w:val="22"/>
              </w:rPr>
              <w:t>2</w:t>
            </w:r>
          </w:p>
        </w:tc>
        <w:tc>
          <w:tcPr>
            <w:tcW w:w="601" w:type="dxa"/>
            <w:tcBorders>
              <w:top w:val="single" w:sz="8" w:space="0" w:color="auto"/>
              <w:left w:val="nil"/>
              <w:bottom w:val="single" w:sz="8" w:space="0" w:color="auto"/>
              <w:right w:val="single" w:sz="8" w:space="0" w:color="auto"/>
            </w:tcBorders>
            <w:shd w:val="clear" w:color="auto" w:fill="auto"/>
            <w:vAlign w:val="center"/>
            <w:hideMark/>
          </w:tcPr>
          <w:p w14:paraId="43935001" w14:textId="77777777" w:rsidR="000A6F04" w:rsidRPr="007C46DF" w:rsidRDefault="000A6F04" w:rsidP="000D0E38">
            <w:pPr>
              <w:jc w:val="center"/>
              <w:rPr>
                <w:rFonts w:ascii="Arial Narrow" w:eastAsia="Times New Roman" w:hAnsi="Arial Narrow"/>
                <w:b/>
                <w:bCs/>
                <w:color w:val="000000"/>
                <w:sz w:val="22"/>
                <w:szCs w:val="22"/>
              </w:rPr>
            </w:pPr>
            <w:r w:rsidRPr="007C46DF">
              <w:rPr>
                <w:rFonts w:ascii="Arial Narrow" w:eastAsia="Times New Roman" w:hAnsi="Arial Narrow"/>
                <w:b/>
                <w:bCs/>
                <w:color w:val="000000"/>
                <w:sz w:val="22"/>
                <w:szCs w:val="22"/>
              </w:rPr>
              <w:t>41</w:t>
            </w:r>
          </w:p>
        </w:tc>
        <w:tc>
          <w:tcPr>
            <w:tcW w:w="505" w:type="dxa"/>
            <w:tcBorders>
              <w:top w:val="single" w:sz="8" w:space="0" w:color="auto"/>
              <w:left w:val="nil"/>
              <w:bottom w:val="single" w:sz="8" w:space="0" w:color="auto"/>
              <w:right w:val="single" w:sz="8" w:space="0" w:color="auto"/>
            </w:tcBorders>
            <w:shd w:val="clear" w:color="auto" w:fill="auto"/>
            <w:vAlign w:val="center"/>
            <w:hideMark/>
          </w:tcPr>
          <w:p w14:paraId="05711527" w14:textId="583B9894" w:rsidR="000A6F04" w:rsidRPr="007C46DF" w:rsidRDefault="000A6F04" w:rsidP="000A6F04">
            <w:pPr>
              <w:jc w:val="center"/>
              <w:rPr>
                <w:rFonts w:ascii="Arial Narrow" w:eastAsia="Times New Roman" w:hAnsi="Arial Narrow" w:cs="Calibri"/>
                <w:b/>
                <w:bCs/>
                <w:color w:val="000000"/>
                <w:sz w:val="22"/>
                <w:szCs w:val="22"/>
              </w:rPr>
            </w:pPr>
          </w:p>
        </w:tc>
        <w:tc>
          <w:tcPr>
            <w:tcW w:w="3036" w:type="dxa"/>
            <w:gridSpan w:val="2"/>
            <w:tcBorders>
              <w:top w:val="single" w:sz="8" w:space="0" w:color="auto"/>
              <w:left w:val="nil"/>
              <w:bottom w:val="single" w:sz="8" w:space="0" w:color="auto"/>
              <w:right w:val="single" w:sz="8" w:space="0" w:color="auto"/>
            </w:tcBorders>
            <w:shd w:val="clear" w:color="auto" w:fill="auto"/>
            <w:vAlign w:val="center"/>
            <w:hideMark/>
          </w:tcPr>
          <w:p w14:paraId="5E452407" w14:textId="77777777" w:rsidR="000A6F04" w:rsidRPr="007C46DF" w:rsidRDefault="000A6F04" w:rsidP="000A6F04">
            <w:pPr>
              <w:rPr>
                <w:rFonts w:ascii="Arial Narrow" w:eastAsia="Times New Roman" w:hAnsi="Arial Narrow"/>
                <w:b/>
                <w:bCs/>
                <w:color w:val="000000"/>
                <w:sz w:val="22"/>
                <w:szCs w:val="22"/>
                <w:lang w:val="es-CR"/>
              </w:rPr>
            </w:pPr>
            <w:r w:rsidRPr="007C46DF">
              <w:rPr>
                <w:rFonts w:ascii="Arial Narrow" w:eastAsia="Times New Roman" w:hAnsi="Arial Narrow"/>
                <w:b/>
                <w:bCs/>
                <w:color w:val="000000"/>
                <w:sz w:val="22"/>
                <w:szCs w:val="22"/>
                <w:lang w:val="es-CR"/>
              </w:rPr>
              <w:t>Cuentas por Pagar por concepto de cesantía</w:t>
            </w:r>
          </w:p>
        </w:tc>
        <w:tc>
          <w:tcPr>
            <w:tcW w:w="2213" w:type="dxa"/>
            <w:gridSpan w:val="2"/>
            <w:tcBorders>
              <w:top w:val="single" w:sz="8" w:space="0" w:color="auto"/>
              <w:left w:val="nil"/>
              <w:bottom w:val="single" w:sz="8" w:space="0" w:color="auto"/>
              <w:right w:val="single" w:sz="8" w:space="0" w:color="auto"/>
            </w:tcBorders>
            <w:shd w:val="clear" w:color="auto" w:fill="auto"/>
            <w:vAlign w:val="center"/>
            <w:hideMark/>
          </w:tcPr>
          <w:p w14:paraId="1D83F67D" w14:textId="77777777" w:rsidR="000A6F04" w:rsidRPr="007C46DF" w:rsidRDefault="000A6F04" w:rsidP="000A6F04">
            <w:pPr>
              <w:rPr>
                <w:rFonts w:ascii="Arial Narrow" w:eastAsia="Times New Roman" w:hAnsi="Arial Narrow" w:cs="Calibri"/>
                <w:b/>
                <w:bCs/>
                <w:color w:val="000000"/>
                <w:sz w:val="22"/>
                <w:szCs w:val="22"/>
              </w:rPr>
            </w:pPr>
            <w:r w:rsidRPr="007C46DF">
              <w:rPr>
                <w:rFonts w:ascii="Arial Narrow" w:eastAsia="Times New Roman" w:hAnsi="Arial Narrow" w:cs="Calibri"/>
                <w:b/>
                <w:bCs/>
                <w:color w:val="000000"/>
                <w:sz w:val="22"/>
                <w:szCs w:val="22"/>
              </w:rPr>
              <w:t xml:space="preserve">NICSP 39, </w:t>
            </w:r>
            <w:r w:rsidRPr="007C46DF">
              <w:rPr>
                <w:rFonts w:ascii="Arial Narrow" w:eastAsia="Times New Roman" w:hAnsi="Arial Narrow" w:cs="Calibri"/>
                <w:b/>
                <w:bCs/>
                <w:color w:val="000000"/>
                <w:sz w:val="22"/>
                <w:szCs w:val="22"/>
              </w:rPr>
              <w:br/>
              <w:t>Párrafos 8, 26, 57, 59, 61, 69, 70, 77, 78 y 168</w:t>
            </w:r>
          </w:p>
        </w:tc>
        <w:tc>
          <w:tcPr>
            <w:tcW w:w="2184" w:type="dxa"/>
            <w:gridSpan w:val="2"/>
            <w:tcBorders>
              <w:top w:val="single" w:sz="8" w:space="0" w:color="auto"/>
              <w:left w:val="nil"/>
              <w:bottom w:val="single" w:sz="8" w:space="0" w:color="auto"/>
              <w:right w:val="single" w:sz="8" w:space="0" w:color="auto"/>
            </w:tcBorders>
            <w:shd w:val="clear" w:color="auto" w:fill="auto"/>
            <w:vAlign w:val="center"/>
            <w:hideMark/>
          </w:tcPr>
          <w:p w14:paraId="6A93D9FF" w14:textId="77777777" w:rsidR="000A6F04" w:rsidRPr="007C46DF" w:rsidRDefault="000A6F04" w:rsidP="000A6F04">
            <w:pPr>
              <w:jc w:val="center"/>
              <w:rPr>
                <w:rFonts w:ascii="Arial Narrow" w:eastAsia="Times New Roman" w:hAnsi="Arial Narrow" w:cs="Calibri"/>
                <w:b/>
                <w:bCs/>
                <w:color w:val="000000"/>
                <w:sz w:val="22"/>
                <w:szCs w:val="22"/>
              </w:rPr>
            </w:pPr>
            <w:r w:rsidRPr="007C46DF">
              <w:rPr>
                <w:rFonts w:ascii="Arial Narrow" w:eastAsia="Times New Roman" w:hAnsi="Arial Narrow" w:cs="Calibri"/>
                <w:b/>
                <w:bCs/>
                <w:color w:val="000000"/>
                <w:sz w:val="22"/>
                <w:szCs w:val="22"/>
              </w:rPr>
              <w:t xml:space="preserve"> </w:t>
            </w:r>
          </w:p>
        </w:tc>
      </w:tr>
      <w:tr w:rsidR="000A6F04" w:rsidRPr="006E5442" w14:paraId="77938790" w14:textId="77777777" w:rsidTr="000D0E38">
        <w:trPr>
          <w:trHeight w:val="2144"/>
        </w:trPr>
        <w:tc>
          <w:tcPr>
            <w:tcW w:w="523" w:type="dxa"/>
            <w:tcBorders>
              <w:top w:val="nil"/>
              <w:left w:val="single" w:sz="8" w:space="0" w:color="auto"/>
              <w:bottom w:val="single" w:sz="8" w:space="0" w:color="auto"/>
              <w:right w:val="single" w:sz="8" w:space="0" w:color="auto"/>
            </w:tcBorders>
            <w:shd w:val="clear" w:color="auto" w:fill="auto"/>
            <w:vAlign w:val="center"/>
            <w:hideMark/>
          </w:tcPr>
          <w:p w14:paraId="50A364F8" w14:textId="77777777" w:rsidR="000A6F04" w:rsidRPr="007C46DF" w:rsidRDefault="000A6F04" w:rsidP="000A6F04">
            <w:pPr>
              <w:jc w:val="right"/>
              <w:rPr>
                <w:rFonts w:ascii="Arial Narrow" w:eastAsia="Times New Roman" w:hAnsi="Arial Narrow"/>
                <w:b/>
                <w:bCs/>
                <w:color w:val="000000"/>
                <w:sz w:val="22"/>
                <w:szCs w:val="22"/>
              </w:rPr>
            </w:pPr>
            <w:r w:rsidRPr="007C46DF">
              <w:rPr>
                <w:rFonts w:ascii="Arial Narrow" w:eastAsia="Times New Roman" w:hAnsi="Arial Narrow"/>
                <w:b/>
                <w:bCs/>
                <w:color w:val="000000"/>
                <w:sz w:val="22"/>
                <w:szCs w:val="22"/>
              </w:rPr>
              <w:t>2</w:t>
            </w:r>
          </w:p>
        </w:tc>
        <w:tc>
          <w:tcPr>
            <w:tcW w:w="601" w:type="dxa"/>
            <w:tcBorders>
              <w:top w:val="nil"/>
              <w:left w:val="nil"/>
              <w:bottom w:val="single" w:sz="8" w:space="0" w:color="auto"/>
              <w:right w:val="single" w:sz="8" w:space="0" w:color="auto"/>
            </w:tcBorders>
            <w:shd w:val="clear" w:color="auto" w:fill="auto"/>
            <w:vAlign w:val="center"/>
            <w:hideMark/>
          </w:tcPr>
          <w:p w14:paraId="27656785" w14:textId="77777777" w:rsidR="000A6F04" w:rsidRPr="007C46DF" w:rsidRDefault="000A6F04" w:rsidP="000D0E38">
            <w:pPr>
              <w:jc w:val="center"/>
              <w:rPr>
                <w:rFonts w:ascii="Arial Narrow" w:eastAsia="Times New Roman" w:hAnsi="Arial Narrow"/>
                <w:b/>
                <w:bCs/>
                <w:color w:val="000000"/>
                <w:sz w:val="22"/>
                <w:szCs w:val="22"/>
              </w:rPr>
            </w:pPr>
            <w:r w:rsidRPr="007C46DF">
              <w:rPr>
                <w:rFonts w:ascii="Arial Narrow" w:eastAsia="Times New Roman" w:hAnsi="Arial Narrow"/>
                <w:b/>
                <w:bCs/>
                <w:color w:val="000000"/>
                <w:sz w:val="22"/>
                <w:szCs w:val="22"/>
              </w:rPr>
              <w:t>41</w:t>
            </w:r>
          </w:p>
        </w:tc>
        <w:tc>
          <w:tcPr>
            <w:tcW w:w="505" w:type="dxa"/>
            <w:tcBorders>
              <w:top w:val="nil"/>
              <w:left w:val="nil"/>
              <w:bottom w:val="single" w:sz="8" w:space="0" w:color="auto"/>
              <w:right w:val="nil"/>
            </w:tcBorders>
            <w:shd w:val="clear" w:color="auto" w:fill="auto"/>
            <w:vAlign w:val="center"/>
            <w:hideMark/>
          </w:tcPr>
          <w:p w14:paraId="78412298" w14:textId="77777777" w:rsidR="000A6F04" w:rsidRPr="007C46DF" w:rsidRDefault="000A6F04" w:rsidP="000A6F04">
            <w:pPr>
              <w:jc w:val="center"/>
              <w:rPr>
                <w:rFonts w:ascii="Arial Narrow" w:eastAsia="Times New Roman" w:hAnsi="Arial Narrow" w:cs="Calibri"/>
                <w:b/>
                <w:bCs/>
                <w:color w:val="000000"/>
                <w:sz w:val="22"/>
                <w:szCs w:val="22"/>
              </w:rPr>
            </w:pPr>
            <w:r w:rsidRPr="007C46DF">
              <w:rPr>
                <w:rFonts w:ascii="Arial Narrow" w:eastAsia="Times New Roman" w:hAnsi="Arial Narrow" w:cs="Calibri"/>
                <w:b/>
                <w:bCs/>
                <w:color w:val="000000"/>
                <w:sz w:val="22"/>
                <w:szCs w:val="22"/>
              </w:rPr>
              <w:t>1</w:t>
            </w:r>
          </w:p>
        </w:tc>
        <w:tc>
          <w:tcPr>
            <w:tcW w:w="3036" w:type="dxa"/>
            <w:gridSpan w:val="2"/>
            <w:tcBorders>
              <w:top w:val="nil"/>
              <w:left w:val="single" w:sz="8" w:space="0" w:color="auto"/>
              <w:bottom w:val="single" w:sz="8" w:space="0" w:color="auto"/>
              <w:right w:val="single" w:sz="8" w:space="0" w:color="auto"/>
            </w:tcBorders>
            <w:shd w:val="clear" w:color="auto" w:fill="auto"/>
            <w:vAlign w:val="center"/>
            <w:hideMark/>
          </w:tcPr>
          <w:p w14:paraId="75D913C8" w14:textId="77777777" w:rsidR="000A6F04" w:rsidRPr="007C46DF" w:rsidRDefault="000A6F04" w:rsidP="000A6F04">
            <w:pPr>
              <w:rPr>
                <w:rFonts w:ascii="Arial Narrow" w:eastAsia="Times New Roman" w:hAnsi="Arial Narrow"/>
                <w:b/>
                <w:bCs/>
                <w:color w:val="000000"/>
                <w:sz w:val="22"/>
                <w:szCs w:val="22"/>
              </w:rPr>
            </w:pPr>
            <w:r w:rsidRPr="007C46DF">
              <w:rPr>
                <w:rFonts w:ascii="Arial Narrow" w:eastAsia="Times New Roman" w:hAnsi="Arial Narrow"/>
                <w:b/>
                <w:bCs/>
                <w:color w:val="000000"/>
                <w:sz w:val="22"/>
                <w:szCs w:val="22"/>
              </w:rPr>
              <w:t>Reconocimiento</w:t>
            </w:r>
          </w:p>
        </w:tc>
        <w:tc>
          <w:tcPr>
            <w:tcW w:w="2213" w:type="dxa"/>
            <w:gridSpan w:val="2"/>
            <w:tcBorders>
              <w:top w:val="nil"/>
              <w:left w:val="nil"/>
              <w:bottom w:val="single" w:sz="8" w:space="0" w:color="auto"/>
              <w:right w:val="single" w:sz="8" w:space="0" w:color="auto"/>
            </w:tcBorders>
            <w:shd w:val="clear" w:color="auto" w:fill="auto"/>
            <w:vAlign w:val="center"/>
            <w:hideMark/>
          </w:tcPr>
          <w:p w14:paraId="23D8D585" w14:textId="77777777" w:rsidR="000A6F04" w:rsidRPr="007C46DF" w:rsidRDefault="000A6F04" w:rsidP="000A6F04">
            <w:pPr>
              <w:rPr>
                <w:rFonts w:ascii="Arial Narrow" w:eastAsia="Times New Roman" w:hAnsi="Arial Narrow" w:cs="Calibri"/>
                <w:b/>
                <w:bCs/>
                <w:color w:val="000000"/>
                <w:sz w:val="22"/>
                <w:szCs w:val="22"/>
              </w:rPr>
            </w:pPr>
            <w:r w:rsidRPr="007C46DF">
              <w:rPr>
                <w:rFonts w:ascii="Arial Narrow" w:eastAsia="Times New Roman" w:hAnsi="Arial Narrow" w:cs="Calibri"/>
                <w:b/>
                <w:bCs/>
                <w:color w:val="000000"/>
                <w:sz w:val="22"/>
                <w:szCs w:val="22"/>
              </w:rPr>
              <w:t xml:space="preserve"> </w:t>
            </w:r>
          </w:p>
        </w:tc>
        <w:tc>
          <w:tcPr>
            <w:tcW w:w="2184" w:type="dxa"/>
            <w:gridSpan w:val="2"/>
            <w:tcBorders>
              <w:top w:val="nil"/>
              <w:left w:val="nil"/>
              <w:bottom w:val="single" w:sz="8" w:space="0" w:color="auto"/>
              <w:right w:val="single" w:sz="8" w:space="0" w:color="auto"/>
            </w:tcBorders>
            <w:shd w:val="clear" w:color="auto" w:fill="auto"/>
            <w:vAlign w:val="center"/>
            <w:hideMark/>
          </w:tcPr>
          <w:p w14:paraId="50841E84" w14:textId="50DC487D" w:rsidR="000A6F04" w:rsidRPr="007C46DF" w:rsidRDefault="000A6F04" w:rsidP="000A6F04">
            <w:pPr>
              <w:rPr>
                <w:rFonts w:ascii="Arial Narrow" w:eastAsia="Times New Roman" w:hAnsi="Arial Narrow"/>
                <w:b/>
                <w:bCs/>
                <w:color w:val="000000"/>
                <w:sz w:val="22"/>
                <w:szCs w:val="22"/>
                <w:lang w:val="es-CR"/>
              </w:rPr>
            </w:pPr>
            <w:r w:rsidRPr="007C46DF">
              <w:rPr>
                <w:rFonts w:ascii="Arial Narrow" w:eastAsia="Times New Roman" w:hAnsi="Arial Narrow"/>
                <w:b/>
                <w:bCs/>
                <w:color w:val="000000"/>
                <w:sz w:val="22"/>
                <w:szCs w:val="22"/>
                <w:lang w:val="es-CR"/>
              </w:rPr>
              <w:t>Nota técnica</w:t>
            </w:r>
            <w:r w:rsidRPr="007C46DF">
              <w:rPr>
                <w:rFonts w:ascii="Arial Narrow" w:eastAsia="Times New Roman" w:hAnsi="Arial Narrow"/>
                <w:b/>
                <w:bCs/>
                <w:color w:val="000000"/>
                <w:sz w:val="22"/>
                <w:szCs w:val="22"/>
                <w:lang w:val="es-CR"/>
              </w:rPr>
              <w:br/>
              <w:t>NICSP N° 19.</w:t>
            </w:r>
            <w:r w:rsidRPr="007C46DF">
              <w:rPr>
                <w:rFonts w:ascii="Arial Narrow" w:eastAsia="Times New Roman" w:hAnsi="Arial Narrow"/>
                <w:b/>
                <w:bCs/>
                <w:color w:val="000000"/>
                <w:sz w:val="22"/>
                <w:szCs w:val="22"/>
                <w:lang w:val="es-CR"/>
              </w:rPr>
              <w:br/>
              <w:t xml:space="preserve">Código Municipal, Artículo </w:t>
            </w:r>
            <w:r w:rsidR="000D0E38" w:rsidRPr="007C46DF">
              <w:rPr>
                <w:rFonts w:ascii="Arial Narrow" w:eastAsia="Times New Roman" w:hAnsi="Arial Narrow"/>
                <w:b/>
                <w:bCs/>
                <w:color w:val="000000"/>
                <w:sz w:val="22"/>
                <w:szCs w:val="22"/>
                <w:lang w:val="es-CR"/>
              </w:rPr>
              <w:t>155, inciso</w:t>
            </w:r>
            <w:r w:rsidRPr="007C46DF">
              <w:rPr>
                <w:rFonts w:ascii="Arial Narrow" w:eastAsia="Times New Roman" w:hAnsi="Arial Narrow"/>
                <w:b/>
                <w:bCs/>
                <w:color w:val="000000"/>
                <w:sz w:val="22"/>
                <w:szCs w:val="22"/>
                <w:lang w:val="es-CR"/>
              </w:rPr>
              <w:t xml:space="preserve"> a)</w:t>
            </w:r>
            <w:r w:rsidRPr="007C46DF">
              <w:rPr>
                <w:rFonts w:ascii="Arial Narrow" w:eastAsia="Times New Roman" w:hAnsi="Arial Narrow"/>
                <w:b/>
                <w:bCs/>
                <w:color w:val="000000"/>
                <w:sz w:val="22"/>
                <w:szCs w:val="22"/>
                <w:lang w:val="es-CR"/>
              </w:rPr>
              <w:br/>
              <w:t xml:space="preserve">Código de </w:t>
            </w:r>
            <w:r w:rsidR="006C6E7D" w:rsidRPr="007C46DF">
              <w:rPr>
                <w:rFonts w:ascii="Arial Narrow" w:eastAsia="Times New Roman" w:hAnsi="Arial Narrow"/>
                <w:b/>
                <w:bCs/>
                <w:color w:val="000000"/>
                <w:sz w:val="22"/>
                <w:szCs w:val="22"/>
                <w:lang w:val="es-CR"/>
              </w:rPr>
              <w:t>T</w:t>
            </w:r>
            <w:r w:rsidRPr="007C46DF">
              <w:rPr>
                <w:rFonts w:ascii="Arial Narrow" w:eastAsia="Times New Roman" w:hAnsi="Arial Narrow"/>
                <w:b/>
                <w:bCs/>
                <w:color w:val="000000"/>
                <w:sz w:val="22"/>
                <w:szCs w:val="22"/>
                <w:lang w:val="es-CR"/>
              </w:rPr>
              <w:t xml:space="preserve">rabajo, Artículo 29, 30, 83 y 85 </w:t>
            </w:r>
            <w:r w:rsidRPr="007C46DF">
              <w:rPr>
                <w:rFonts w:ascii="Arial Narrow" w:eastAsia="Times New Roman" w:hAnsi="Arial Narrow"/>
                <w:b/>
                <w:bCs/>
                <w:color w:val="000000"/>
                <w:sz w:val="22"/>
                <w:szCs w:val="22"/>
                <w:lang w:val="es-CR"/>
              </w:rPr>
              <w:br/>
              <w:t xml:space="preserve">Ley de Protección al Trabajador </w:t>
            </w:r>
          </w:p>
        </w:tc>
      </w:tr>
    </w:tbl>
    <w:p w14:paraId="16A93CD2" w14:textId="77777777" w:rsidR="00961C86" w:rsidRDefault="00961C86" w:rsidP="004D6AF6">
      <w:pPr>
        <w:spacing w:line="238" w:lineRule="auto"/>
        <w:ind w:right="260"/>
        <w:jc w:val="both"/>
        <w:rPr>
          <w:rFonts w:ascii="Arial" w:eastAsia="Arial" w:hAnsi="Arial"/>
          <w:b/>
          <w:sz w:val="22"/>
          <w:szCs w:val="22"/>
          <w:lang w:val="es-CR"/>
        </w:rPr>
      </w:pPr>
    </w:p>
    <w:p w14:paraId="709D58DE" w14:textId="5F673834" w:rsidR="005A4C96" w:rsidRPr="0030399E" w:rsidRDefault="005A4C96" w:rsidP="004D6AF6">
      <w:pPr>
        <w:spacing w:line="238" w:lineRule="auto"/>
        <w:ind w:right="260"/>
        <w:jc w:val="both"/>
        <w:rPr>
          <w:rFonts w:ascii="Arial" w:eastAsia="Arial" w:hAnsi="Arial"/>
          <w:b/>
          <w:sz w:val="22"/>
          <w:szCs w:val="22"/>
          <w:lang w:val="es-CR"/>
        </w:rPr>
      </w:pPr>
      <w:r w:rsidRPr="0030399E">
        <w:rPr>
          <w:rFonts w:ascii="Arial" w:eastAsia="Arial" w:hAnsi="Arial"/>
          <w:b/>
          <w:sz w:val="22"/>
          <w:szCs w:val="22"/>
          <w:lang w:val="es-CR"/>
        </w:rPr>
        <w:t>Políticas Contables</w:t>
      </w:r>
    </w:p>
    <w:p w14:paraId="5A526AC6" w14:textId="77777777" w:rsidR="005A4C96" w:rsidRDefault="005A4C96" w:rsidP="004D6AF6">
      <w:pPr>
        <w:spacing w:line="238" w:lineRule="auto"/>
        <w:ind w:right="260"/>
        <w:jc w:val="both"/>
        <w:rPr>
          <w:rFonts w:ascii="Arial" w:eastAsia="Arial" w:hAnsi="Arial"/>
          <w:b/>
          <w:sz w:val="22"/>
          <w:szCs w:val="22"/>
          <w:lang w:val="es-CR"/>
        </w:rPr>
      </w:pPr>
    </w:p>
    <w:p w14:paraId="79570984" w14:textId="661F486A" w:rsidR="00EC1BCA" w:rsidRPr="00961C86" w:rsidRDefault="000B2492" w:rsidP="00EC1BCA">
      <w:pPr>
        <w:spacing w:line="238" w:lineRule="auto"/>
        <w:ind w:left="1134" w:right="260" w:hanging="1134"/>
        <w:jc w:val="both"/>
        <w:rPr>
          <w:rFonts w:ascii="Arial" w:hAnsi="Arial"/>
          <w:sz w:val="22"/>
          <w:szCs w:val="22"/>
          <w:lang w:val="es-CR"/>
        </w:rPr>
      </w:pPr>
      <w:r>
        <w:rPr>
          <w:rFonts w:ascii="Arial" w:hAnsi="Arial"/>
          <w:sz w:val="22"/>
          <w:szCs w:val="22"/>
          <w:lang w:val="es-CR"/>
        </w:rPr>
        <w:t>2.41.0.01</w:t>
      </w:r>
      <w:r>
        <w:rPr>
          <w:rFonts w:ascii="Arial" w:hAnsi="Arial"/>
          <w:sz w:val="22"/>
          <w:szCs w:val="22"/>
          <w:lang w:val="es-CR"/>
        </w:rPr>
        <w:tab/>
      </w:r>
      <w:r w:rsidR="006C6E7D">
        <w:rPr>
          <w:rFonts w:ascii="Arial" w:hAnsi="Arial"/>
          <w:sz w:val="22"/>
          <w:szCs w:val="22"/>
          <w:lang w:val="es-CR"/>
        </w:rPr>
        <w:t>La Cesantía constituye</w:t>
      </w:r>
      <w:r w:rsidR="00EC1BCA">
        <w:rPr>
          <w:rFonts w:ascii="Arial" w:hAnsi="Arial"/>
          <w:sz w:val="22"/>
          <w:szCs w:val="22"/>
          <w:lang w:val="es-CR"/>
        </w:rPr>
        <w:t xml:space="preserve"> una obligación presente cuando la entidad no tenga otra alternativa realista que realizar los pagos.</w:t>
      </w:r>
      <w:r w:rsidR="006C6E7D">
        <w:rPr>
          <w:rFonts w:ascii="Arial" w:hAnsi="Arial"/>
          <w:sz w:val="22"/>
          <w:szCs w:val="22"/>
          <w:lang w:val="es-CR"/>
        </w:rPr>
        <w:t xml:space="preserve"> Esta procede </w:t>
      </w:r>
      <w:r w:rsidR="00961C86" w:rsidRPr="00961C86">
        <w:rPr>
          <w:rFonts w:ascii="Arial" w:hAnsi="Arial"/>
          <w:sz w:val="22"/>
          <w:szCs w:val="22"/>
          <w:lang w:val="es-CR"/>
        </w:rPr>
        <w:t xml:space="preserve">de la decisión de la entidad de finalizar el empleo o de la decisión de un empleado de aceptar una oferta de la entidad de beneficios a </w:t>
      </w:r>
      <w:r w:rsidR="000E5DF8" w:rsidRPr="00961C86">
        <w:rPr>
          <w:rFonts w:ascii="Arial" w:hAnsi="Arial"/>
          <w:sz w:val="22"/>
          <w:szCs w:val="22"/>
          <w:lang w:val="es-CR"/>
        </w:rPr>
        <w:t>ca</w:t>
      </w:r>
      <w:r w:rsidR="000E5DF8">
        <w:rPr>
          <w:rFonts w:ascii="Arial" w:hAnsi="Arial"/>
          <w:sz w:val="22"/>
          <w:szCs w:val="22"/>
          <w:lang w:val="es-CR"/>
        </w:rPr>
        <w:t>mbi</w:t>
      </w:r>
      <w:r w:rsidR="000E5DF8" w:rsidRPr="00961C86">
        <w:rPr>
          <w:rFonts w:ascii="Arial" w:hAnsi="Arial"/>
          <w:sz w:val="22"/>
          <w:szCs w:val="22"/>
          <w:lang w:val="es-CR"/>
        </w:rPr>
        <w:t>o</w:t>
      </w:r>
      <w:r w:rsidR="00961C86" w:rsidRPr="00961C86">
        <w:rPr>
          <w:rFonts w:ascii="Arial" w:hAnsi="Arial"/>
          <w:sz w:val="22"/>
          <w:szCs w:val="22"/>
          <w:lang w:val="es-CR"/>
        </w:rPr>
        <w:t xml:space="preserve"> de la finalización del vínculo laboral.</w:t>
      </w:r>
    </w:p>
    <w:p w14:paraId="1078B6EF" w14:textId="77777777" w:rsidR="00EC1BCA" w:rsidRDefault="00EC1BCA" w:rsidP="00EC1BCA">
      <w:pPr>
        <w:spacing w:line="238" w:lineRule="auto"/>
        <w:ind w:left="1134" w:right="260" w:hanging="1134"/>
        <w:jc w:val="both"/>
        <w:rPr>
          <w:rFonts w:ascii="Arial" w:hAnsi="Arial"/>
          <w:sz w:val="22"/>
          <w:szCs w:val="22"/>
          <w:lang w:val="es-CR"/>
        </w:rPr>
      </w:pPr>
    </w:p>
    <w:p w14:paraId="5CD6CEE4" w14:textId="5E459ED1" w:rsidR="00B852DB" w:rsidRDefault="00EC1BCA" w:rsidP="00EC1BCA">
      <w:pPr>
        <w:spacing w:line="238" w:lineRule="auto"/>
        <w:ind w:left="1134" w:right="260" w:hanging="1134"/>
        <w:jc w:val="both"/>
        <w:rPr>
          <w:rFonts w:ascii="Arial" w:hAnsi="Arial"/>
          <w:sz w:val="22"/>
          <w:szCs w:val="22"/>
          <w:lang w:val="es-CR"/>
        </w:rPr>
      </w:pPr>
      <w:r>
        <w:rPr>
          <w:rFonts w:ascii="Arial" w:hAnsi="Arial"/>
          <w:sz w:val="22"/>
          <w:szCs w:val="22"/>
          <w:lang w:val="es-CR"/>
        </w:rPr>
        <w:t xml:space="preserve">2.41.0.02 </w:t>
      </w:r>
      <w:r>
        <w:rPr>
          <w:rFonts w:ascii="Arial" w:hAnsi="Arial"/>
          <w:sz w:val="22"/>
          <w:szCs w:val="22"/>
          <w:lang w:val="es-CR"/>
        </w:rPr>
        <w:tab/>
      </w:r>
      <w:r w:rsidR="000A6F04" w:rsidRPr="000B2492">
        <w:rPr>
          <w:rFonts w:ascii="Arial" w:hAnsi="Arial"/>
          <w:sz w:val="22"/>
          <w:szCs w:val="22"/>
          <w:lang w:val="es-CR"/>
        </w:rPr>
        <w:t>La</w:t>
      </w:r>
      <w:r w:rsidR="000B2492">
        <w:rPr>
          <w:rFonts w:ascii="Arial" w:hAnsi="Arial"/>
          <w:sz w:val="22"/>
          <w:szCs w:val="22"/>
          <w:lang w:val="es-CR"/>
        </w:rPr>
        <w:t xml:space="preserve"> </w:t>
      </w:r>
      <w:r w:rsidR="000F29DC">
        <w:rPr>
          <w:rFonts w:ascii="Arial" w:hAnsi="Arial"/>
          <w:sz w:val="22"/>
          <w:szCs w:val="22"/>
          <w:lang w:val="es-CR"/>
        </w:rPr>
        <w:t>MBA</w:t>
      </w:r>
      <w:r w:rsidR="000B2492">
        <w:rPr>
          <w:rFonts w:ascii="Arial" w:hAnsi="Arial"/>
          <w:sz w:val="22"/>
          <w:szCs w:val="22"/>
          <w:lang w:val="es-CR"/>
        </w:rPr>
        <w:t xml:space="preserve"> </w:t>
      </w:r>
      <w:r w:rsidR="000A6F04" w:rsidRPr="000B2492">
        <w:rPr>
          <w:rFonts w:ascii="Arial" w:hAnsi="Arial"/>
          <w:sz w:val="22"/>
          <w:szCs w:val="22"/>
          <w:lang w:val="es-CR"/>
        </w:rPr>
        <w:t>establece que el máximo de tiempo a pagar por concepto de cesantía son 8 años,</w:t>
      </w:r>
      <w:r w:rsidR="00C82696">
        <w:rPr>
          <w:rFonts w:ascii="Arial" w:hAnsi="Arial"/>
          <w:sz w:val="22"/>
          <w:szCs w:val="22"/>
          <w:lang w:val="es-CR"/>
        </w:rPr>
        <w:t xml:space="preserve"> tal como lo establece la legislación vigente</w:t>
      </w:r>
      <w:r w:rsidR="000A6F04" w:rsidRPr="000B2492">
        <w:rPr>
          <w:rFonts w:ascii="Arial" w:hAnsi="Arial"/>
          <w:sz w:val="22"/>
          <w:szCs w:val="22"/>
          <w:lang w:val="es-CR"/>
        </w:rPr>
        <w:t>.</w:t>
      </w:r>
    </w:p>
    <w:p w14:paraId="5140B8E1" w14:textId="77777777" w:rsidR="00EC1BCA" w:rsidRDefault="00EC1BCA" w:rsidP="00EC1BCA">
      <w:pPr>
        <w:spacing w:line="238" w:lineRule="auto"/>
        <w:ind w:left="1134" w:right="260" w:hanging="1134"/>
        <w:jc w:val="both"/>
        <w:rPr>
          <w:rFonts w:ascii="Arial" w:hAnsi="Arial"/>
          <w:sz w:val="22"/>
          <w:szCs w:val="22"/>
          <w:lang w:val="es-CR"/>
        </w:rPr>
      </w:pPr>
    </w:p>
    <w:p w14:paraId="13BC57AD" w14:textId="045B69DC" w:rsidR="00EC1BCA" w:rsidRDefault="00EC1BCA" w:rsidP="00EC1BCA">
      <w:pPr>
        <w:spacing w:line="238" w:lineRule="auto"/>
        <w:ind w:left="1134" w:right="260" w:hanging="1134"/>
        <w:jc w:val="both"/>
        <w:rPr>
          <w:rFonts w:ascii="Arial" w:hAnsi="Arial"/>
          <w:sz w:val="22"/>
          <w:szCs w:val="22"/>
          <w:lang w:val="es-CR"/>
        </w:rPr>
      </w:pPr>
      <w:r>
        <w:rPr>
          <w:rFonts w:ascii="Arial" w:hAnsi="Arial"/>
          <w:sz w:val="22"/>
          <w:szCs w:val="22"/>
          <w:lang w:val="es-CR"/>
        </w:rPr>
        <w:lastRenderedPageBreak/>
        <w:t>2.41.0.03</w:t>
      </w:r>
      <w:r>
        <w:rPr>
          <w:rFonts w:ascii="Arial" w:hAnsi="Arial"/>
          <w:sz w:val="22"/>
          <w:szCs w:val="22"/>
          <w:lang w:val="es-CR"/>
        </w:rPr>
        <w:tab/>
        <w:t>E</w:t>
      </w:r>
      <w:r w:rsidRPr="00EC1BCA">
        <w:rPr>
          <w:rFonts w:ascii="Arial" w:hAnsi="Arial"/>
          <w:sz w:val="22"/>
          <w:szCs w:val="22"/>
          <w:lang w:val="es-CR"/>
        </w:rPr>
        <w:t xml:space="preserve">n cada fecha de cierre deberá medirse el total de </w:t>
      </w:r>
      <w:r>
        <w:rPr>
          <w:rFonts w:ascii="Arial" w:hAnsi="Arial"/>
          <w:sz w:val="22"/>
          <w:szCs w:val="22"/>
          <w:lang w:val="es-CR"/>
        </w:rPr>
        <w:t xml:space="preserve">la obligación existente por concepto de </w:t>
      </w:r>
      <w:r w:rsidR="00E9302C">
        <w:rPr>
          <w:rFonts w:ascii="Arial" w:hAnsi="Arial"/>
          <w:sz w:val="22"/>
          <w:szCs w:val="22"/>
          <w:lang w:val="es-CR"/>
        </w:rPr>
        <w:t>cesantía</w:t>
      </w:r>
      <w:r w:rsidRPr="00EC1BCA">
        <w:rPr>
          <w:rFonts w:ascii="Arial" w:hAnsi="Arial"/>
          <w:sz w:val="22"/>
          <w:szCs w:val="22"/>
          <w:lang w:val="es-CR"/>
        </w:rPr>
        <w:t>, a efectos de su comparación con el saldo en libros y, de corresponder, realizar los ajustes que resulten pertinentes.</w:t>
      </w:r>
    </w:p>
    <w:p w14:paraId="147CDFCE" w14:textId="77777777" w:rsidR="00087C9E" w:rsidRDefault="00087C9E" w:rsidP="00EC1BCA">
      <w:pPr>
        <w:spacing w:line="238" w:lineRule="auto"/>
        <w:ind w:left="1134" w:right="260" w:hanging="1134"/>
        <w:jc w:val="both"/>
        <w:rPr>
          <w:rFonts w:ascii="Arial" w:hAnsi="Arial"/>
          <w:sz w:val="22"/>
          <w:szCs w:val="22"/>
          <w:lang w:val="es-CR"/>
        </w:rPr>
      </w:pPr>
    </w:p>
    <w:p w14:paraId="4CDD044F" w14:textId="2563CE62" w:rsidR="00087C9E" w:rsidRPr="00087C9E" w:rsidRDefault="00087C9E" w:rsidP="00087C9E">
      <w:pPr>
        <w:spacing w:line="238" w:lineRule="auto"/>
        <w:ind w:left="1134" w:right="260" w:hanging="1134"/>
        <w:jc w:val="both"/>
        <w:rPr>
          <w:rFonts w:ascii="Arial" w:hAnsi="Arial"/>
          <w:sz w:val="22"/>
          <w:szCs w:val="22"/>
          <w:lang w:val="es-CR"/>
        </w:rPr>
      </w:pPr>
      <w:r>
        <w:rPr>
          <w:rFonts w:ascii="Arial" w:hAnsi="Arial"/>
          <w:sz w:val="22"/>
          <w:szCs w:val="22"/>
          <w:lang w:val="es-CR"/>
        </w:rPr>
        <w:t>2.41.0.04</w:t>
      </w:r>
      <w:r>
        <w:rPr>
          <w:rFonts w:ascii="Arial" w:hAnsi="Arial"/>
          <w:sz w:val="22"/>
          <w:szCs w:val="22"/>
          <w:lang w:val="es-CR"/>
        </w:rPr>
        <w:tab/>
      </w:r>
      <w:r w:rsidRPr="00087C9E">
        <w:rPr>
          <w:rFonts w:ascii="Arial" w:hAnsi="Arial"/>
          <w:sz w:val="22"/>
          <w:szCs w:val="22"/>
          <w:lang w:val="es-CR"/>
        </w:rPr>
        <w:t xml:space="preserve">Cuando se presente un litigio </w:t>
      </w:r>
      <w:r>
        <w:rPr>
          <w:rFonts w:ascii="Arial" w:hAnsi="Arial"/>
          <w:sz w:val="22"/>
          <w:szCs w:val="22"/>
          <w:lang w:val="es-CR"/>
        </w:rPr>
        <w:t>el importe de cesantía a cancelar</w:t>
      </w:r>
      <w:r w:rsidRPr="00087C9E">
        <w:rPr>
          <w:rFonts w:ascii="Arial" w:hAnsi="Arial"/>
          <w:sz w:val="22"/>
          <w:szCs w:val="22"/>
          <w:lang w:val="es-CR"/>
        </w:rPr>
        <w:t xml:space="preserve"> se puede provisionar de acuerdo con la Norma 19 Provisiones, Pasivos Contingentes y Activos Contingentes, párrafo 81, 83, 84, 85, 87 y 93.</w:t>
      </w:r>
    </w:p>
    <w:p w14:paraId="5E6E69C8" w14:textId="77777777" w:rsidR="00087C9E" w:rsidRDefault="00087C9E" w:rsidP="00EC1BCA">
      <w:pPr>
        <w:spacing w:line="238" w:lineRule="auto"/>
        <w:ind w:left="1134" w:right="260" w:hanging="1134"/>
        <w:jc w:val="both"/>
        <w:rPr>
          <w:rFonts w:ascii="Arial" w:hAnsi="Arial"/>
          <w:sz w:val="22"/>
          <w:szCs w:val="22"/>
          <w:lang w:val="es-CR"/>
        </w:rPr>
      </w:pPr>
    </w:p>
    <w:p w14:paraId="2730EE83" w14:textId="77777777" w:rsidR="00B852DB" w:rsidRDefault="00B852DB" w:rsidP="009012C3">
      <w:pPr>
        <w:spacing w:line="238" w:lineRule="auto"/>
        <w:ind w:right="260"/>
        <w:jc w:val="both"/>
        <w:rPr>
          <w:rFonts w:ascii="Arial" w:eastAsia="Arial" w:hAnsi="Arial"/>
          <w:b/>
          <w:sz w:val="22"/>
          <w:szCs w:val="22"/>
          <w:lang w:val="es-CR"/>
        </w:rPr>
      </w:pPr>
    </w:p>
    <w:p w14:paraId="7B0A4DEE" w14:textId="77777777" w:rsidR="004D6AF6" w:rsidRPr="000B2492" w:rsidRDefault="004D6AF6" w:rsidP="009012C3">
      <w:pPr>
        <w:spacing w:line="238" w:lineRule="auto"/>
        <w:ind w:right="260"/>
        <w:jc w:val="both"/>
        <w:rPr>
          <w:rFonts w:ascii="Arial" w:eastAsia="Arial" w:hAnsi="Arial"/>
          <w:b/>
          <w:sz w:val="22"/>
          <w:szCs w:val="22"/>
          <w:lang w:val="es-CR"/>
        </w:rPr>
      </w:pPr>
    </w:p>
    <w:tbl>
      <w:tblPr>
        <w:tblW w:w="9700" w:type="dxa"/>
        <w:tblLook w:val="04A0" w:firstRow="1" w:lastRow="0" w:firstColumn="1" w:lastColumn="0" w:noHBand="0" w:noVBand="1"/>
      </w:tblPr>
      <w:tblGrid>
        <w:gridCol w:w="540"/>
        <w:gridCol w:w="520"/>
        <w:gridCol w:w="520"/>
        <w:gridCol w:w="3740"/>
        <w:gridCol w:w="2280"/>
        <w:gridCol w:w="2100"/>
      </w:tblGrid>
      <w:tr w:rsidR="006C6E7D" w:rsidRPr="004D6AF6" w14:paraId="6C402B97" w14:textId="77777777" w:rsidTr="006C6E7D">
        <w:trPr>
          <w:trHeight w:val="320"/>
        </w:trPr>
        <w:tc>
          <w:tcPr>
            <w:tcW w:w="15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BD92F09" w14:textId="77777777" w:rsidR="006C6E7D" w:rsidRPr="004D6AF6" w:rsidRDefault="006C6E7D" w:rsidP="006C6E7D">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5EE6A86" w14:textId="77777777" w:rsidR="006C6E7D" w:rsidRPr="004D6AF6" w:rsidRDefault="006C6E7D" w:rsidP="006C6E7D">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36797311" w14:textId="77777777" w:rsidR="006C6E7D" w:rsidRPr="004D6AF6" w:rsidRDefault="006C6E7D" w:rsidP="006C6E7D">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Referencia</w:t>
            </w:r>
          </w:p>
        </w:tc>
      </w:tr>
      <w:tr w:rsidR="006C6E7D" w:rsidRPr="006E5442" w14:paraId="64885494" w14:textId="77777777" w:rsidTr="006C6E7D">
        <w:trPr>
          <w:trHeight w:val="940"/>
        </w:trPr>
        <w:tc>
          <w:tcPr>
            <w:tcW w:w="1580" w:type="dxa"/>
            <w:gridSpan w:val="3"/>
            <w:vMerge/>
            <w:tcBorders>
              <w:top w:val="single" w:sz="8" w:space="0" w:color="auto"/>
              <w:left w:val="single" w:sz="8" w:space="0" w:color="auto"/>
              <w:bottom w:val="nil"/>
              <w:right w:val="single" w:sz="8" w:space="0" w:color="000000"/>
            </w:tcBorders>
            <w:vAlign w:val="center"/>
            <w:hideMark/>
          </w:tcPr>
          <w:p w14:paraId="74D52694" w14:textId="77777777" w:rsidR="006C6E7D" w:rsidRPr="004D6AF6" w:rsidRDefault="006C6E7D" w:rsidP="006C6E7D">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3035FD2B" w14:textId="77777777" w:rsidR="006C6E7D" w:rsidRPr="004D6AF6" w:rsidRDefault="006C6E7D" w:rsidP="006C6E7D">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223E28C6" w14:textId="77777777" w:rsidR="006C6E7D" w:rsidRPr="004D6AF6" w:rsidRDefault="006C6E7D" w:rsidP="006C6E7D">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45AEF8B7" w14:textId="77777777" w:rsidR="006C6E7D" w:rsidRPr="004D6AF6" w:rsidRDefault="006C6E7D" w:rsidP="006C6E7D">
            <w:pPr>
              <w:jc w:val="center"/>
              <w:rPr>
                <w:rFonts w:ascii="Arial Narrow" w:eastAsia="Times New Roman" w:hAnsi="Arial Narrow" w:cs="Calibri"/>
                <w:b/>
                <w:bCs/>
                <w:color w:val="FFFFFF"/>
                <w:sz w:val="22"/>
                <w:szCs w:val="22"/>
                <w:lang w:val="es-CR"/>
              </w:rPr>
            </w:pPr>
            <w:r w:rsidRPr="004D6AF6">
              <w:rPr>
                <w:rFonts w:ascii="Arial Narrow" w:eastAsia="Times New Roman" w:hAnsi="Arial Narrow" w:cs="Calibri"/>
                <w:b/>
                <w:bCs/>
                <w:color w:val="FFFFFF"/>
                <w:sz w:val="22"/>
                <w:szCs w:val="22"/>
                <w:lang w:val="es-CR"/>
              </w:rPr>
              <w:t>Normativa técnica y disposiciones adicionales</w:t>
            </w:r>
          </w:p>
        </w:tc>
      </w:tr>
      <w:tr w:rsidR="006C6E7D" w:rsidRPr="004D6AF6" w14:paraId="61DE0888" w14:textId="77777777" w:rsidTr="00FD48A0">
        <w:trPr>
          <w:trHeight w:val="856"/>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219246" w14:textId="77777777" w:rsidR="006C6E7D" w:rsidRPr="004D6AF6" w:rsidRDefault="006C6E7D" w:rsidP="006C6E7D">
            <w:pPr>
              <w:jc w:val="center"/>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2</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6BF55F78" w14:textId="77777777" w:rsidR="006C6E7D" w:rsidRPr="004D6AF6" w:rsidRDefault="006C6E7D" w:rsidP="006C6E7D">
            <w:pPr>
              <w:jc w:val="center"/>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42</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3F5C68D8" w14:textId="04168786" w:rsidR="006C6E7D" w:rsidRPr="004D6AF6" w:rsidRDefault="006C6E7D" w:rsidP="006C6E7D">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572EEFD3" w14:textId="77777777" w:rsidR="006C6E7D" w:rsidRPr="004D6AF6" w:rsidRDefault="006C6E7D" w:rsidP="006C6E7D">
            <w:pPr>
              <w:rPr>
                <w:rFonts w:ascii="Arial Narrow" w:eastAsia="Times New Roman" w:hAnsi="Arial Narrow"/>
                <w:b/>
                <w:bCs/>
                <w:color w:val="000000"/>
                <w:sz w:val="22"/>
                <w:szCs w:val="22"/>
                <w:lang w:val="es-CR"/>
              </w:rPr>
            </w:pPr>
            <w:r w:rsidRPr="004D6AF6">
              <w:rPr>
                <w:rFonts w:ascii="Arial Narrow" w:eastAsia="Times New Roman" w:hAnsi="Arial Narrow"/>
                <w:b/>
                <w:bCs/>
                <w:color w:val="000000"/>
                <w:sz w:val="22"/>
                <w:szCs w:val="22"/>
                <w:lang w:val="es-CR"/>
              </w:rPr>
              <w:t>Cuentas por Pagar por concepto de preaviso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3EB344D3" w14:textId="3886730D" w:rsidR="006C6E7D" w:rsidRPr="004D6AF6" w:rsidRDefault="006C6E7D" w:rsidP="00CD6AB3">
            <w:pPr>
              <w:ind w:right="-156"/>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 xml:space="preserve">NICSP 39, </w:t>
            </w:r>
            <w:r w:rsidRPr="004D6AF6">
              <w:rPr>
                <w:rFonts w:ascii="Arial Narrow" w:eastAsia="Times New Roman" w:hAnsi="Arial Narrow" w:cs="Calibri"/>
                <w:b/>
                <w:bCs/>
                <w:color w:val="000000"/>
                <w:sz w:val="22"/>
                <w:szCs w:val="22"/>
              </w:rPr>
              <w:br/>
              <w:t xml:space="preserve">Párrafos 162, 168, </w:t>
            </w:r>
            <w:r w:rsidR="00CD6AB3" w:rsidRPr="004D6AF6">
              <w:rPr>
                <w:rFonts w:ascii="Arial Narrow" w:eastAsia="Times New Roman" w:hAnsi="Arial Narrow" w:cs="Calibri"/>
                <w:b/>
                <w:bCs/>
                <w:color w:val="000000"/>
                <w:sz w:val="22"/>
                <w:szCs w:val="22"/>
              </w:rPr>
              <w:t>1</w:t>
            </w:r>
            <w:r w:rsidRPr="004D6AF6">
              <w:rPr>
                <w:rFonts w:ascii="Arial Narrow" w:eastAsia="Times New Roman" w:hAnsi="Arial Narrow" w:cs="Calibri"/>
                <w:b/>
                <w:bCs/>
                <w:color w:val="000000"/>
                <w:sz w:val="22"/>
                <w:szCs w:val="22"/>
              </w:rPr>
              <w:t>69, 170 y 171</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E641DF4" w14:textId="77777777" w:rsidR="006C6E7D" w:rsidRPr="004D6AF6" w:rsidRDefault="006C6E7D" w:rsidP="006C6E7D">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 xml:space="preserve"> </w:t>
            </w:r>
          </w:p>
        </w:tc>
      </w:tr>
      <w:tr w:rsidR="006C6E7D" w:rsidRPr="006E5442" w14:paraId="33FCEAE4" w14:textId="77777777" w:rsidTr="00FD48A0">
        <w:trPr>
          <w:trHeight w:val="1167"/>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1DFA4304" w14:textId="77777777" w:rsidR="006C6E7D" w:rsidRPr="004D6AF6" w:rsidRDefault="006C6E7D" w:rsidP="006C6E7D">
            <w:pPr>
              <w:jc w:val="center"/>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24E9C2BA" w14:textId="77777777" w:rsidR="006C6E7D" w:rsidRPr="004D6AF6" w:rsidRDefault="006C6E7D" w:rsidP="006C6E7D">
            <w:pPr>
              <w:jc w:val="center"/>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42</w:t>
            </w:r>
          </w:p>
        </w:tc>
        <w:tc>
          <w:tcPr>
            <w:tcW w:w="520" w:type="dxa"/>
            <w:tcBorders>
              <w:top w:val="nil"/>
              <w:left w:val="nil"/>
              <w:bottom w:val="single" w:sz="8" w:space="0" w:color="auto"/>
              <w:right w:val="nil"/>
            </w:tcBorders>
            <w:shd w:val="clear" w:color="auto" w:fill="auto"/>
            <w:vAlign w:val="center"/>
            <w:hideMark/>
          </w:tcPr>
          <w:p w14:paraId="36E01DFB" w14:textId="77777777" w:rsidR="006C6E7D" w:rsidRPr="004D6AF6" w:rsidRDefault="006C6E7D" w:rsidP="006C6E7D">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1</w:t>
            </w:r>
          </w:p>
        </w:tc>
        <w:tc>
          <w:tcPr>
            <w:tcW w:w="3740" w:type="dxa"/>
            <w:tcBorders>
              <w:top w:val="nil"/>
              <w:left w:val="single" w:sz="8" w:space="0" w:color="auto"/>
              <w:bottom w:val="single" w:sz="8" w:space="0" w:color="auto"/>
              <w:right w:val="single" w:sz="8" w:space="0" w:color="auto"/>
            </w:tcBorders>
            <w:shd w:val="clear" w:color="auto" w:fill="auto"/>
            <w:vAlign w:val="center"/>
            <w:hideMark/>
          </w:tcPr>
          <w:p w14:paraId="4EEAF9CE" w14:textId="77777777" w:rsidR="006C6E7D" w:rsidRPr="004D6AF6" w:rsidRDefault="006C6E7D" w:rsidP="006C6E7D">
            <w:pPr>
              <w:rPr>
                <w:rFonts w:ascii="Arial Narrow" w:eastAsia="Times New Roman" w:hAnsi="Arial Narrow"/>
                <w:b/>
                <w:bCs/>
                <w:color w:val="000000"/>
                <w:sz w:val="22"/>
                <w:szCs w:val="22"/>
              </w:rPr>
            </w:pPr>
            <w:r w:rsidRPr="004D6AF6">
              <w:rPr>
                <w:rFonts w:ascii="Arial Narrow" w:eastAsia="Times New Roman" w:hAnsi="Arial Narrow"/>
                <w:b/>
                <w:bCs/>
                <w:color w:val="000000"/>
                <w:sz w:val="22"/>
                <w:szCs w:val="22"/>
              </w:rPr>
              <w:t>Reconocimiento</w:t>
            </w:r>
          </w:p>
        </w:tc>
        <w:tc>
          <w:tcPr>
            <w:tcW w:w="2280" w:type="dxa"/>
            <w:tcBorders>
              <w:top w:val="nil"/>
              <w:left w:val="nil"/>
              <w:bottom w:val="single" w:sz="8" w:space="0" w:color="auto"/>
              <w:right w:val="single" w:sz="8" w:space="0" w:color="auto"/>
            </w:tcBorders>
            <w:shd w:val="clear" w:color="auto" w:fill="auto"/>
            <w:vAlign w:val="center"/>
            <w:hideMark/>
          </w:tcPr>
          <w:p w14:paraId="277E2296" w14:textId="77777777" w:rsidR="006C6E7D" w:rsidRPr="004D6AF6" w:rsidRDefault="006C6E7D" w:rsidP="006C6E7D">
            <w:pP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 xml:space="preserve"> </w:t>
            </w:r>
          </w:p>
        </w:tc>
        <w:tc>
          <w:tcPr>
            <w:tcW w:w="2100" w:type="dxa"/>
            <w:tcBorders>
              <w:top w:val="nil"/>
              <w:left w:val="nil"/>
              <w:bottom w:val="single" w:sz="8" w:space="0" w:color="auto"/>
              <w:right w:val="single" w:sz="8" w:space="0" w:color="auto"/>
            </w:tcBorders>
            <w:shd w:val="clear" w:color="auto" w:fill="auto"/>
            <w:vAlign w:val="center"/>
            <w:hideMark/>
          </w:tcPr>
          <w:p w14:paraId="21606D1B" w14:textId="77777777" w:rsidR="005A4C96" w:rsidRDefault="006C6E7D" w:rsidP="005A4C96">
            <w:pPr>
              <w:jc w:val="both"/>
              <w:rPr>
                <w:rFonts w:ascii="Arial Narrow" w:eastAsia="Times New Roman" w:hAnsi="Arial Narrow" w:cs="Calibri"/>
                <w:b/>
                <w:bCs/>
                <w:color w:val="000000"/>
                <w:sz w:val="22"/>
                <w:szCs w:val="22"/>
                <w:lang w:val="es-CR"/>
              </w:rPr>
            </w:pPr>
            <w:r w:rsidRPr="004D6AF6">
              <w:rPr>
                <w:rFonts w:ascii="Arial Narrow" w:eastAsia="Times New Roman" w:hAnsi="Arial Narrow" w:cs="Calibri"/>
                <w:b/>
                <w:bCs/>
                <w:color w:val="000000"/>
                <w:sz w:val="22"/>
                <w:szCs w:val="22"/>
                <w:lang w:val="es-CR"/>
              </w:rPr>
              <w:t>NICSP 19,</w:t>
            </w:r>
          </w:p>
          <w:p w14:paraId="2D01AAA9" w14:textId="0B4658BD" w:rsidR="006C6E7D" w:rsidRPr="004D6AF6" w:rsidRDefault="006C6E7D" w:rsidP="005A4C96">
            <w:pPr>
              <w:jc w:val="both"/>
              <w:rPr>
                <w:rFonts w:ascii="Arial Narrow" w:eastAsia="Times New Roman" w:hAnsi="Arial Narrow" w:cs="Calibri"/>
                <w:b/>
                <w:bCs/>
                <w:color w:val="000000"/>
                <w:sz w:val="22"/>
                <w:szCs w:val="22"/>
                <w:lang w:val="es-CR"/>
              </w:rPr>
            </w:pPr>
            <w:r w:rsidRPr="004D6AF6">
              <w:rPr>
                <w:rFonts w:ascii="Arial Narrow" w:eastAsia="Times New Roman" w:hAnsi="Arial Narrow" w:cs="Calibri"/>
                <w:b/>
                <w:bCs/>
                <w:color w:val="000000"/>
                <w:sz w:val="22"/>
                <w:szCs w:val="22"/>
                <w:lang w:val="es-CR"/>
              </w:rPr>
              <w:t>Párrafos 81 al, 93</w:t>
            </w:r>
            <w:r w:rsidRPr="004D6AF6">
              <w:rPr>
                <w:rFonts w:ascii="Arial Narrow" w:eastAsia="Times New Roman" w:hAnsi="Arial Narrow" w:cs="Calibri"/>
                <w:b/>
                <w:bCs/>
                <w:color w:val="000000"/>
                <w:sz w:val="22"/>
                <w:szCs w:val="22"/>
                <w:lang w:val="es-CR"/>
              </w:rPr>
              <w:br/>
              <w:t>Código de Trabajo Artículo 30 y 85</w:t>
            </w:r>
          </w:p>
        </w:tc>
      </w:tr>
    </w:tbl>
    <w:p w14:paraId="5BDE2EC0" w14:textId="77777777" w:rsidR="00B852DB" w:rsidRDefault="00B852DB" w:rsidP="004D6AF6">
      <w:pPr>
        <w:spacing w:line="238" w:lineRule="auto"/>
        <w:ind w:right="260"/>
        <w:jc w:val="both"/>
        <w:rPr>
          <w:rFonts w:ascii="Arial" w:eastAsia="Arial" w:hAnsi="Arial"/>
          <w:b/>
          <w:sz w:val="22"/>
          <w:szCs w:val="22"/>
          <w:lang w:val="es-CR"/>
        </w:rPr>
      </w:pPr>
    </w:p>
    <w:p w14:paraId="1FE453DF" w14:textId="14018D2C" w:rsidR="00961C86" w:rsidRPr="004D6AF6" w:rsidRDefault="00CD6AB3" w:rsidP="00CD6AB3">
      <w:pPr>
        <w:spacing w:line="238" w:lineRule="auto"/>
        <w:ind w:left="1134" w:right="260" w:hanging="1134"/>
        <w:jc w:val="both"/>
        <w:rPr>
          <w:rFonts w:ascii="Arial" w:hAnsi="Arial"/>
          <w:sz w:val="22"/>
          <w:szCs w:val="22"/>
          <w:lang w:val="es-CR"/>
        </w:rPr>
      </w:pPr>
      <w:r w:rsidRPr="004D6AF6">
        <w:rPr>
          <w:rFonts w:ascii="Arial" w:hAnsi="Arial"/>
          <w:sz w:val="22"/>
          <w:szCs w:val="22"/>
          <w:lang w:val="es-CR"/>
        </w:rPr>
        <w:t>2.42.0.01</w:t>
      </w:r>
      <w:r w:rsidRPr="004D6AF6">
        <w:rPr>
          <w:rFonts w:ascii="Arial" w:hAnsi="Arial"/>
          <w:sz w:val="22"/>
          <w:szCs w:val="22"/>
          <w:lang w:val="es-CR"/>
        </w:rPr>
        <w:tab/>
      </w:r>
      <w:r w:rsidR="00961C86" w:rsidRPr="004D6AF6">
        <w:rPr>
          <w:rFonts w:ascii="Arial" w:hAnsi="Arial"/>
          <w:sz w:val="22"/>
          <w:szCs w:val="22"/>
          <w:lang w:val="es-CR"/>
        </w:rPr>
        <w:t xml:space="preserve">La </w:t>
      </w:r>
      <w:r w:rsidRPr="004D6AF6">
        <w:rPr>
          <w:rFonts w:ascii="Arial" w:hAnsi="Arial"/>
          <w:sz w:val="22"/>
          <w:szCs w:val="22"/>
          <w:lang w:val="es-CR"/>
        </w:rPr>
        <w:t xml:space="preserve">obligación de pagar una </w:t>
      </w:r>
      <w:r w:rsidR="00961C86" w:rsidRPr="004D6AF6">
        <w:rPr>
          <w:rFonts w:ascii="Arial" w:hAnsi="Arial"/>
          <w:sz w:val="22"/>
          <w:szCs w:val="22"/>
          <w:lang w:val="es-CR"/>
        </w:rPr>
        <w:t>indemnizaci</w:t>
      </w:r>
      <w:r w:rsidRPr="004D6AF6">
        <w:rPr>
          <w:rFonts w:ascii="Arial" w:hAnsi="Arial"/>
          <w:sz w:val="22"/>
          <w:szCs w:val="22"/>
          <w:lang w:val="es-CR"/>
        </w:rPr>
        <w:t>ó</w:t>
      </w:r>
      <w:r w:rsidR="00961C86" w:rsidRPr="004D6AF6">
        <w:rPr>
          <w:rFonts w:ascii="Arial" w:hAnsi="Arial"/>
          <w:sz w:val="22"/>
          <w:szCs w:val="22"/>
          <w:lang w:val="es-CR"/>
        </w:rPr>
        <w:t xml:space="preserve">n por </w:t>
      </w:r>
      <w:r w:rsidRPr="004D6AF6">
        <w:rPr>
          <w:rFonts w:ascii="Arial" w:hAnsi="Arial"/>
          <w:sz w:val="22"/>
          <w:szCs w:val="22"/>
          <w:lang w:val="es-CR"/>
        </w:rPr>
        <w:t>concepto de preaviso</w:t>
      </w:r>
      <w:r w:rsidR="00961C86" w:rsidRPr="004D6AF6">
        <w:rPr>
          <w:rFonts w:ascii="Arial" w:hAnsi="Arial"/>
          <w:sz w:val="22"/>
          <w:szCs w:val="22"/>
          <w:lang w:val="es-CR"/>
        </w:rPr>
        <w:t xml:space="preserve"> </w:t>
      </w:r>
      <w:r w:rsidRPr="004D6AF6">
        <w:rPr>
          <w:rFonts w:ascii="Arial" w:hAnsi="Arial"/>
          <w:sz w:val="22"/>
          <w:szCs w:val="22"/>
          <w:lang w:val="es-CR"/>
        </w:rPr>
        <w:t>se origina por</w:t>
      </w:r>
      <w:r w:rsidR="00961C86" w:rsidRPr="004D6AF6">
        <w:rPr>
          <w:rFonts w:ascii="Arial" w:hAnsi="Arial"/>
          <w:sz w:val="22"/>
          <w:szCs w:val="22"/>
          <w:lang w:val="es-CR"/>
        </w:rPr>
        <w:t xml:space="preserve"> la decisión de la </w:t>
      </w:r>
      <w:r w:rsidRPr="004D6AF6">
        <w:rPr>
          <w:rFonts w:ascii="Arial" w:hAnsi="Arial"/>
          <w:sz w:val="22"/>
          <w:szCs w:val="22"/>
          <w:lang w:val="es-CR"/>
        </w:rPr>
        <w:t>Municipalidad</w:t>
      </w:r>
      <w:r w:rsidR="00961C86" w:rsidRPr="004D6AF6">
        <w:rPr>
          <w:rFonts w:ascii="Arial" w:hAnsi="Arial"/>
          <w:sz w:val="22"/>
          <w:szCs w:val="22"/>
          <w:lang w:val="es-CR"/>
        </w:rPr>
        <w:t xml:space="preserve"> de finalizar</w:t>
      </w:r>
      <w:r w:rsidRPr="004D6AF6">
        <w:rPr>
          <w:rFonts w:ascii="Arial" w:hAnsi="Arial"/>
          <w:sz w:val="22"/>
          <w:szCs w:val="22"/>
          <w:lang w:val="es-CR"/>
        </w:rPr>
        <w:t xml:space="preserve"> el contrato d</w:t>
      </w:r>
      <w:r w:rsidR="00961C86" w:rsidRPr="004D6AF6">
        <w:rPr>
          <w:rFonts w:ascii="Arial" w:hAnsi="Arial"/>
          <w:sz w:val="22"/>
          <w:szCs w:val="22"/>
          <w:lang w:val="es-CR"/>
        </w:rPr>
        <w:t xml:space="preserve">e </w:t>
      </w:r>
      <w:r w:rsidRPr="004D6AF6">
        <w:rPr>
          <w:rFonts w:ascii="Arial" w:hAnsi="Arial"/>
          <w:sz w:val="22"/>
          <w:szCs w:val="22"/>
          <w:lang w:val="es-CR"/>
        </w:rPr>
        <w:t>trabajo</w:t>
      </w:r>
      <w:r w:rsidR="00961C86" w:rsidRPr="004D6AF6">
        <w:rPr>
          <w:rFonts w:ascii="Arial" w:hAnsi="Arial"/>
          <w:sz w:val="22"/>
          <w:szCs w:val="22"/>
          <w:lang w:val="es-CR"/>
        </w:rPr>
        <w:t xml:space="preserve"> o del empleado de aceptar una oferta de la </w:t>
      </w:r>
      <w:r w:rsidRPr="004D6AF6">
        <w:rPr>
          <w:rFonts w:ascii="Arial" w:hAnsi="Arial"/>
          <w:sz w:val="22"/>
          <w:szCs w:val="22"/>
          <w:lang w:val="es-CR"/>
        </w:rPr>
        <w:t>Municipalidad</w:t>
      </w:r>
      <w:r w:rsidR="00961C86" w:rsidRPr="004D6AF6">
        <w:rPr>
          <w:rFonts w:ascii="Arial" w:hAnsi="Arial"/>
          <w:sz w:val="22"/>
          <w:szCs w:val="22"/>
          <w:lang w:val="es-CR"/>
        </w:rPr>
        <w:t xml:space="preserve"> de finaliza</w:t>
      </w:r>
      <w:r w:rsidRPr="004D6AF6">
        <w:rPr>
          <w:rFonts w:ascii="Arial" w:hAnsi="Arial"/>
          <w:sz w:val="22"/>
          <w:szCs w:val="22"/>
          <w:lang w:val="es-CR"/>
        </w:rPr>
        <w:t>r</w:t>
      </w:r>
      <w:r w:rsidR="00961C86" w:rsidRPr="004D6AF6">
        <w:rPr>
          <w:rFonts w:ascii="Arial" w:hAnsi="Arial"/>
          <w:sz w:val="22"/>
          <w:szCs w:val="22"/>
          <w:lang w:val="es-CR"/>
        </w:rPr>
        <w:t xml:space="preserve"> el vínculo laboral.</w:t>
      </w:r>
    </w:p>
    <w:p w14:paraId="3657300A" w14:textId="77777777" w:rsidR="00CD6AB3" w:rsidRPr="004D6AF6" w:rsidRDefault="00CD6AB3" w:rsidP="00CD6AB3">
      <w:pPr>
        <w:spacing w:line="238" w:lineRule="auto"/>
        <w:ind w:left="1134" w:right="260" w:hanging="1134"/>
        <w:jc w:val="both"/>
        <w:rPr>
          <w:rFonts w:ascii="Arial" w:hAnsi="Arial"/>
          <w:sz w:val="22"/>
          <w:szCs w:val="22"/>
          <w:lang w:val="es-CR"/>
        </w:rPr>
      </w:pPr>
    </w:p>
    <w:p w14:paraId="15724291" w14:textId="492B11BA" w:rsidR="00961C86" w:rsidRPr="004D6AF6" w:rsidRDefault="00CD6AB3" w:rsidP="00CD6AB3">
      <w:pPr>
        <w:spacing w:line="238" w:lineRule="auto"/>
        <w:ind w:left="1134" w:right="260" w:hanging="1134"/>
        <w:jc w:val="both"/>
        <w:rPr>
          <w:rFonts w:ascii="Arial" w:hAnsi="Arial"/>
          <w:sz w:val="22"/>
          <w:szCs w:val="22"/>
          <w:lang w:val="es-CR"/>
        </w:rPr>
      </w:pPr>
      <w:r w:rsidRPr="004D6AF6">
        <w:rPr>
          <w:rFonts w:ascii="Arial" w:hAnsi="Arial"/>
          <w:sz w:val="22"/>
          <w:szCs w:val="22"/>
          <w:lang w:val="es-CR"/>
        </w:rPr>
        <w:t>2.42.0.02</w:t>
      </w:r>
      <w:r w:rsidRPr="004D6AF6">
        <w:rPr>
          <w:rFonts w:ascii="Arial" w:hAnsi="Arial"/>
          <w:sz w:val="22"/>
          <w:szCs w:val="22"/>
          <w:lang w:val="es-CR"/>
        </w:rPr>
        <w:tab/>
        <w:t>En el caso de que el</w:t>
      </w:r>
      <w:r w:rsidR="00961C86" w:rsidRPr="004D6AF6">
        <w:rPr>
          <w:rFonts w:ascii="Arial" w:hAnsi="Arial"/>
          <w:sz w:val="22"/>
          <w:szCs w:val="22"/>
          <w:lang w:val="es-CR"/>
        </w:rPr>
        <w:t xml:space="preserve"> cese </w:t>
      </w:r>
      <w:r w:rsidRPr="004D6AF6">
        <w:rPr>
          <w:rFonts w:ascii="Arial" w:hAnsi="Arial"/>
          <w:sz w:val="22"/>
          <w:szCs w:val="22"/>
          <w:lang w:val="es-CR"/>
        </w:rPr>
        <w:t xml:space="preserve">se origine por la aceptación del funcionario </w:t>
      </w:r>
      <w:r w:rsidR="007E5D38" w:rsidRPr="004D6AF6">
        <w:rPr>
          <w:rFonts w:ascii="Arial" w:hAnsi="Arial"/>
          <w:sz w:val="22"/>
          <w:szCs w:val="22"/>
          <w:lang w:val="es-CR"/>
        </w:rPr>
        <w:t>de una</w:t>
      </w:r>
      <w:r w:rsidR="00961C86" w:rsidRPr="004D6AF6">
        <w:rPr>
          <w:rFonts w:ascii="Arial" w:hAnsi="Arial"/>
          <w:sz w:val="22"/>
          <w:szCs w:val="22"/>
          <w:lang w:val="es-CR"/>
        </w:rPr>
        <w:t xml:space="preserve"> oferta de</w:t>
      </w:r>
      <w:r w:rsidRPr="004D6AF6">
        <w:rPr>
          <w:rFonts w:ascii="Arial" w:hAnsi="Arial"/>
          <w:sz w:val="22"/>
          <w:szCs w:val="22"/>
          <w:lang w:val="es-CR"/>
        </w:rPr>
        <w:t>l pago del</w:t>
      </w:r>
      <w:r w:rsidR="00961C86" w:rsidRPr="004D6AF6">
        <w:rPr>
          <w:rFonts w:ascii="Arial" w:hAnsi="Arial"/>
          <w:sz w:val="22"/>
          <w:szCs w:val="22"/>
          <w:lang w:val="es-CR"/>
        </w:rPr>
        <w:t xml:space="preserve"> beneficio</w:t>
      </w:r>
      <w:r w:rsidRPr="004D6AF6">
        <w:rPr>
          <w:rFonts w:ascii="Arial" w:hAnsi="Arial"/>
          <w:sz w:val="22"/>
          <w:szCs w:val="22"/>
          <w:lang w:val="es-CR"/>
        </w:rPr>
        <w:t xml:space="preserve"> de preaviso</w:t>
      </w:r>
      <w:r w:rsidR="00961C86" w:rsidRPr="004D6AF6">
        <w:rPr>
          <w:rFonts w:ascii="Arial" w:hAnsi="Arial"/>
          <w:sz w:val="22"/>
          <w:szCs w:val="22"/>
          <w:lang w:val="es-CR"/>
        </w:rPr>
        <w:t xml:space="preserve"> a </w:t>
      </w:r>
      <w:r w:rsidR="000E5DF8" w:rsidRPr="004D6AF6">
        <w:rPr>
          <w:rFonts w:ascii="Arial" w:hAnsi="Arial"/>
          <w:sz w:val="22"/>
          <w:szCs w:val="22"/>
          <w:lang w:val="es-CR"/>
        </w:rPr>
        <w:t>ca</w:t>
      </w:r>
      <w:r w:rsidR="000E5DF8">
        <w:rPr>
          <w:rFonts w:ascii="Arial" w:hAnsi="Arial"/>
          <w:sz w:val="22"/>
          <w:szCs w:val="22"/>
          <w:lang w:val="es-CR"/>
        </w:rPr>
        <w:t>mbi</w:t>
      </w:r>
      <w:r w:rsidR="000E5DF8" w:rsidRPr="004D6AF6">
        <w:rPr>
          <w:rFonts w:ascii="Arial" w:hAnsi="Arial"/>
          <w:sz w:val="22"/>
          <w:szCs w:val="22"/>
          <w:lang w:val="es-CR"/>
        </w:rPr>
        <w:t>o</w:t>
      </w:r>
      <w:r w:rsidR="00961C86" w:rsidRPr="004D6AF6">
        <w:rPr>
          <w:rFonts w:ascii="Arial" w:hAnsi="Arial"/>
          <w:sz w:val="22"/>
          <w:szCs w:val="22"/>
          <w:lang w:val="es-CR"/>
        </w:rPr>
        <w:t xml:space="preserve"> de la finalización del vínculo laboral, el momento en que una entidad ya no puede retirar la oferta de indemnizaciones por cese es el primero de:</w:t>
      </w:r>
    </w:p>
    <w:p w14:paraId="4221B44D" w14:textId="77777777" w:rsidR="00CD6AB3" w:rsidRPr="004D6AF6" w:rsidRDefault="00CD6AB3" w:rsidP="00CD6AB3">
      <w:pPr>
        <w:spacing w:line="238" w:lineRule="auto"/>
        <w:ind w:left="1134" w:right="260" w:hanging="1134"/>
        <w:jc w:val="both"/>
        <w:rPr>
          <w:rFonts w:ascii="Arial" w:hAnsi="Arial"/>
          <w:sz w:val="22"/>
          <w:szCs w:val="22"/>
          <w:lang w:val="es-CR"/>
        </w:rPr>
      </w:pPr>
    </w:p>
    <w:p w14:paraId="5B708320" w14:textId="00BF7A4C" w:rsidR="00961C86" w:rsidRPr="004D6AF6" w:rsidRDefault="00CD6AB3">
      <w:pPr>
        <w:pStyle w:val="Prrafodelista"/>
        <w:numPr>
          <w:ilvl w:val="0"/>
          <w:numId w:val="162"/>
        </w:numPr>
        <w:spacing w:after="120"/>
        <w:ind w:left="1559" w:right="261" w:hanging="425"/>
        <w:contextualSpacing w:val="0"/>
        <w:jc w:val="both"/>
        <w:rPr>
          <w:rFonts w:ascii="Arial" w:hAnsi="Arial"/>
          <w:sz w:val="22"/>
          <w:szCs w:val="22"/>
          <w:lang w:val="es-CR"/>
        </w:rPr>
      </w:pPr>
      <w:r w:rsidRPr="004D6AF6">
        <w:rPr>
          <w:rFonts w:ascii="Arial" w:hAnsi="Arial"/>
          <w:sz w:val="22"/>
          <w:szCs w:val="22"/>
          <w:lang w:val="es-CR"/>
        </w:rPr>
        <w:t>E</w:t>
      </w:r>
      <w:r w:rsidR="00961C86" w:rsidRPr="004D6AF6">
        <w:rPr>
          <w:rFonts w:ascii="Arial" w:hAnsi="Arial"/>
          <w:sz w:val="22"/>
          <w:szCs w:val="22"/>
          <w:lang w:val="es-CR"/>
        </w:rPr>
        <w:t xml:space="preserve">l momento en que el empleado acepta la oferta; y </w:t>
      </w:r>
    </w:p>
    <w:p w14:paraId="06634349" w14:textId="047BDEA0" w:rsidR="00961C86" w:rsidRPr="004D6AF6" w:rsidRDefault="00CD6AB3">
      <w:pPr>
        <w:pStyle w:val="Default"/>
        <w:numPr>
          <w:ilvl w:val="0"/>
          <w:numId w:val="162"/>
        </w:numPr>
        <w:ind w:left="1560" w:hanging="426"/>
        <w:jc w:val="both"/>
        <w:rPr>
          <w:sz w:val="22"/>
          <w:szCs w:val="22"/>
          <w:lang w:val="es-CR"/>
        </w:rPr>
      </w:pPr>
      <w:r w:rsidRPr="004D6AF6">
        <w:rPr>
          <w:sz w:val="22"/>
          <w:szCs w:val="22"/>
          <w:lang w:val="es-CR"/>
        </w:rPr>
        <w:t>E</w:t>
      </w:r>
      <w:r w:rsidR="00961C86" w:rsidRPr="004D6AF6">
        <w:rPr>
          <w:sz w:val="22"/>
          <w:szCs w:val="22"/>
          <w:lang w:val="es-CR"/>
        </w:rPr>
        <w:t xml:space="preserve">l momento en que tenga efecto una restricción (por ejemplo, un requerimiento legal, contractual o de regulación u otra restricción) sobre la capacidad de la entidad para retirar la oferta. Este sería cuando se realiza la oferta, si la restricción existía en el momento de la oferta. </w:t>
      </w:r>
    </w:p>
    <w:p w14:paraId="00F347A7" w14:textId="77777777" w:rsidR="00CD6AB3" w:rsidRPr="004D6AF6" w:rsidRDefault="00CD6AB3" w:rsidP="00961C86">
      <w:pPr>
        <w:pStyle w:val="Default"/>
        <w:rPr>
          <w:sz w:val="22"/>
          <w:szCs w:val="22"/>
          <w:lang w:val="es-CR"/>
        </w:rPr>
      </w:pPr>
    </w:p>
    <w:p w14:paraId="29190723" w14:textId="1E2BA612" w:rsidR="00961C86" w:rsidRPr="004D6AF6" w:rsidRDefault="007E5D38" w:rsidP="007E5D38">
      <w:pPr>
        <w:spacing w:line="238" w:lineRule="auto"/>
        <w:ind w:left="1134" w:right="260" w:hanging="1134"/>
        <w:jc w:val="both"/>
        <w:rPr>
          <w:rFonts w:ascii="Arial" w:hAnsi="Arial"/>
          <w:sz w:val="22"/>
          <w:szCs w:val="22"/>
          <w:lang w:val="es-CR"/>
        </w:rPr>
      </w:pPr>
      <w:r w:rsidRPr="004D6AF6">
        <w:rPr>
          <w:rFonts w:ascii="Arial" w:hAnsi="Arial"/>
          <w:sz w:val="22"/>
          <w:szCs w:val="22"/>
          <w:lang w:val="es-CR"/>
        </w:rPr>
        <w:t>2.42.0.03</w:t>
      </w:r>
      <w:r w:rsidRPr="004D6AF6">
        <w:rPr>
          <w:rFonts w:ascii="Arial" w:hAnsi="Arial"/>
          <w:sz w:val="22"/>
          <w:szCs w:val="22"/>
          <w:lang w:val="es-CR"/>
        </w:rPr>
        <w:tab/>
      </w:r>
      <w:r w:rsidR="00961C86" w:rsidRPr="004D6AF6">
        <w:rPr>
          <w:rFonts w:ascii="Arial" w:hAnsi="Arial"/>
          <w:sz w:val="22"/>
          <w:szCs w:val="22"/>
          <w:lang w:val="es-CR"/>
        </w:rPr>
        <w:t>Para las indemnizaciones por cese pagaderas como consecuencia de la decisión de una entidad de terminar el vínculo laboral de un empleado</w:t>
      </w:r>
      <w:r w:rsidRPr="004D6AF6">
        <w:rPr>
          <w:rFonts w:ascii="Arial" w:hAnsi="Arial"/>
          <w:sz w:val="22"/>
          <w:szCs w:val="22"/>
          <w:lang w:val="es-CR"/>
        </w:rPr>
        <w:t xml:space="preserve"> (reestructuración)</w:t>
      </w:r>
      <w:r w:rsidR="00961C86" w:rsidRPr="004D6AF6">
        <w:rPr>
          <w:rFonts w:ascii="Arial" w:hAnsi="Arial"/>
          <w:sz w:val="22"/>
          <w:szCs w:val="22"/>
          <w:lang w:val="es-CR"/>
        </w:rPr>
        <w:t>, la entidad ya no puede retirar la oferta cuando ha comunicado a los empleados afectados un plan de cese que cumpla todos los criterios siguientes:</w:t>
      </w:r>
    </w:p>
    <w:p w14:paraId="7F8B0D5E" w14:textId="77777777" w:rsidR="007E5D38" w:rsidRPr="004D6AF6" w:rsidRDefault="007E5D38" w:rsidP="007E5D38">
      <w:pPr>
        <w:spacing w:line="238" w:lineRule="auto"/>
        <w:ind w:left="1134" w:right="260" w:hanging="1134"/>
        <w:jc w:val="both"/>
        <w:rPr>
          <w:rFonts w:ascii="Arial" w:hAnsi="Arial"/>
          <w:sz w:val="22"/>
          <w:szCs w:val="22"/>
          <w:lang w:val="es-CR"/>
        </w:rPr>
      </w:pPr>
    </w:p>
    <w:p w14:paraId="4033855C" w14:textId="32338568" w:rsidR="00961C86" w:rsidRPr="004D6AF6" w:rsidRDefault="00961C86">
      <w:pPr>
        <w:pStyle w:val="Default"/>
        <w:numPr>
          <w:ilvl w:val="0"/>
          <w:numId w:val="163"/>
        </w:numPr>
        <w:spacing w:after="120"/>
        <w:ind w:left="1559" w:hanging="425"/>
        <w:jc w:val="both"/>
        <w:rPr>
          <w:sz w:val="22"/>
          <w:szCs w:val="22"/>
          <w:lang w:val="es-CR"/>
        </w:rPr>
      </w:pPr>
      <w:r w:rsidRPr="004D6AF6">
        <w:rPr>
          <w:sz w:val="22"/>
          <w:szCs w:val="22"/>
          <w:lang w:val="es-CR"/>
        </w:rPr>
        <w:t xml:space="preserve">Las acciones requeridas para completar el plan indican que es improbable que se vayan a realizar </w:t>
      </w:r>
      <w:r w:rsidR="000E5DF8" w:rsidRPr="004D6AF6">
        <w:rPr>
          <w:sz w:val="22"/>
          <w:szCs w:val="22"/>
          <w:lang w:val="es-CR"/>
        </w:rPr>
        <w:t>ca</w:t>
      </w:r>
      <w:r w:rsidR="000E5DF8">
        <w:rPr>
          <w:sz w:val="22"/>
          <w:szCs w:val="22"/>
          <w:lang w:val="es-CR"/>
        </w:rPr>
        <w:t>mbi</w:t>
      </w:r>
      <w:r w:rsidR="000E5DF8" w:rsidRPr="004D6AF6">
        <w:rPr>
          <w:sz w:val="22"/>
          <w:szCs w:val="22"/>
          <w:lang w:val="es-CR"/>
        </w:rPr>
        <w:t>os</w:t>
      </w:r>
      <w:r w:rsidRPr="004D6AF6">
        <w:rPr>
          <w:sz w:val="22"/>
          <w:szCs w:val="22"/>
          <w:lang w:val="es-CR"/>
        </w:rPr>
        <w:t xml:space="preserve"> significativos en el plan. </w:t>
      </w:r>
    </w:p>
    <w:p w14:paraId="138FE461" w14:textId="726AE07B" w:rsidR="00961C86" w:rsidRPr="004D6AF6" w:rsidRDefault="00961C86">
      <w:pPr>
        <w:pStyle w:val="Default"/>
        <w:numPr>
          <w:ilvl w:val="0"/>
          <w:numId w:val="163"/>
        </w:numPr>
        <w:spacing w:after="120"/>
        <w:ind w:left="1559" w:hanging="425"/>
        <w:jc w:val="both"/>
        <w:rPr>
          <w:sz w:val="22"/>
          <w:szCs w:val="22"/>
          <w:lang w:val="es-CR"/>
        </w:rPr>
      </w:pPr>
      <w:r w:rsidRPr="004D6AF6">
        <w:rPr>
          <w:sz w:val="22"/>
          <w:szCs w:val="22"/>
          <w:lang w:val="es-CR"/>
        </w:rPr>
        <w:t xml:space="preserve">El plan identifica el número de empleados cuyo empleo va a finalizar, sus clasificaciones de trabajo o funciones y sus localizaciones (pero el plan no necesita identificar cada empleado individualmente) y la fecha de finalización esperada. </w:t>
      </w:r>
    </w:p>
    <w:p w14:paraId="12391B6F" w14:textId="1E0E5CAE" w:rsidR="00961C86" w:rsidRPr="004D6AF6" w:rsidRDefault="00961C86">
      <w:pPr>
        <w:pStyle w:val="Default"/>
        <w:numPr>
          <w:ilvl w:val="0"/>
          <w:numId w:val="163"/>
        </w:numPr>
        <w:ind w:left="1560" w:hanging="426"/>
        <w:jc w:val="both"/>
        <w:rPr>
          <w:sz w:val="22"/>
          <w:szCs w:val="22"/>
          <w:lang w:val="es-CR"/>
        </w:rPr>
      </w:pPr>
      <w:r w:rsidRPr="004D6AF6">
        <w:rPr>
          <w:sz w:val="22"/>
          <w:szCs w:val="22"/>
          <w:lang w:val="es-CR"/>
        </w:rPr>
        <w:t>El plan establece las indemnizaciones por cese que los empleados recibirán con suficiente detalle como para que éstos puedan determinar el tipo e importe de beneficios que recibirán cuando finalicen sus vínculos laborales.</w:t>
      </w:r>
    </w:p>
    <w:p w14:paraId="351E5ECC" w14:textId="77777777" w:rsidR="00087C9E" w:rsidRPr="004D6AF6" w:rsidRDefault="00087C9E" w:rsidP="00087C9E">
      <w:pPr>
        <w:spacing w:line="238" w:lineRule="auto"/>
        <w:ind w:left="1134" w:right="260" w:hanging="1134"/>
        <w:jc w:val="both"/>
        <w:rPr>
          <w:rFonts w:ascii="Arial" w:hAnsi="Arial"/>
          <w:sz w:val="22"/>
          <w:szCs w:val="22"/>
          <w:lang w:val="es-CR"/>
        </w:rPr>
      </w:pPr>
    </w:p>
    <w:p w14:paraId="44DCE2F1" w14:textId="25391F65" w:rsidR="00961C86" w:rsidRPr="004D6AF6" w:rsidRDefault="00087C9E" w:rsidP="00087C9E">
      <w:pPr>
        <w:spacing w:line="238" w:lineRule="auto"/>
        <w:ind w:left="1134" w:right="260" w:hanging="1134"/>
        <w:jc w:val="both"/>
        <w:rPr>
          <w:rFonts w:ascii="Arial" w:hAnsi="Arial"/>
          <w:sz w:val="22"/>
          <w:szCs w:val="22"/>
          <w:lang w:val="es-CR"/>
        </w:rPr>
      </w:pPr>
      <w:r w:rsidRPr="004D6AF6">
        <w:rPr>
          <w:rFonts w:ascii="Arial" w:hAnsi="Arial"/>
          <w:sz w:val="22"/>
          <w:szCs w:val="22"/>
          <w:lang w:val="es-CR"/>
        </w:rPr>
        <w:lastRenderedPageBreak/>
        <w:t>2.42.1.01</w:t>
      </w:r>
      <w:r w:rsidRPr="004D6AF6">
        <w:rPr>
          <w:rFonts w:ascii="Arial" w:hAnsi="Arial"/>
          <w:sz w:val="22"/>
          <w:szCs w:val="22"/>
          <w:lang w:val="es-CR"/>
        </w:rPr>
        <w:tab/>
      </w:r>
      <w:r w:rsidR="00961C86" w:rsidRPr="004D6AF6">
        <w:rPr>
          <w:rFonts w:ascii="Arial" w:hAnsi="Arial"/>
          <w:sz w:val="22"/>
          <w:szCs w:val="22"/>
          <w:lang w:val="es-CR"/>
        </w:rPr>
        <w:t xml:space="preserve">Una entidad reconocerá un pasivo y un gasto por indemnizaciones por </w:t>
      </w:r>
      <w:r w:rsidRPr="004D6AF6">
        <w:rPr>
          <w:rFonts w:ascii="Arial" w:hAnsi="Arial"/>
          <w:sz w:val="22"/>
          <w:szCs w:val="22"/>
          <w:lang w:val="es-CR"/>
        </w:rPr>
        <w:t>preaviso</w:t>
      </w:r>
      <w:r w:rsidR="00961C86" w:rsidRPr="004D6AF6">
        <w:rPr>
          <w:rFonts w:ascii="Arial" w:hAnsi="Arial"/>
          <w:sz w:val="22"/>
          <w:szCs w:val="22"/>
          <w:lang w:val="es-CR"/>
        </w:rPr>
        <w:t xml:space="preserve"> en la primera de las siguientes fechas:</w:t>
      </w:r>
    </w:p>
    <w:p w14:paraId="2205BADE" w14:textId="77777777" w:rsidR="00087C9E" w:rsidRPr="004D6AF6" w:rsidRDefault="00087C9E" w:rsidP="00087C9E">
      <w:pPr>
        <w:spacing w:line="238" w:lineRule="auto"/>
        <w:ind w:left="1134" w:right="260" w:hanging="1134"/>
        <w:jc w:val="both"/>
        <w:rPr>
          <w:rFonts w:ascii="Arial" w:hAnsi="Arial"/>
          <w:sz w:val="22"/>
          <w:szCs w:val="22"/>
          <w:lang w:val="es-CR"/>
        </w:rPr>
      </w:pPr>
    </w:p>
    <w:p w14:paraId="68FB11FD" w14:textId="171E1755" w:rsidR="00961C86" w:rsidRPr="004D6AF6" w:rsidRDefault="00087C9E">
      <w:pPr>
        <w:pStyle w:val="Default"/>
        <w:numPr>
          <w:ilvl w:val="0"/>
          <w:numId w:val="164"/>
        </w:numPr>
        <w:spacing w:after="120"/>
        <w:ind w:left="1559" w:hanging="425"/>
        <w:jc w:val="both"/>
        <w:rPr>
          <w:color w:val="auto"/>
          <w:sz w:val="22"/>
          <w:szCs w:val="22"/>
          <w:lang w:val="es-CR"/>
        </w:rPr>
      </w:pPr>
      <w:r w:rsidRPr="004D6AF6">
        <w:rPr>
          <w:color w:val="auto"/>
          <w:sz w:val="22"/>
          <w:szCs w:val="22"/>
          <w:lang w:val="es-CR"/>
        </w:rPr>
        <w:t>C</w:t>
      </w:r>
      <w:r w:rsidR="00961C86" w:rsidRPr="004D6AF6">
        <w:rPr>
          <w:color w:val="auto"/>
          <w:sz w:val="22"/>
          <w:szCs w:val="22"/>
          <w:lang w:val="es-CR"/>
        </w:rPr>
        <w:t xml:space="preserve">uando la entidad ya no pueda retirar la oferta de esos beneficios; y </w:t>
      </w:r>
    </w:p>
    <w:p w14:paraId="02EDF9F8" w14:textId="0403EA1D" w:rsidR="00961C86" w:rsidRPr="004D6AF6" w:rsidRDefault="00087C9E">
      <w:pPr>
        <w:pStyle w:val="Default"/>
        <w:numPr>
          <w:ilvl w:val="0"/>
          <w:numId w:val="164"/>
        </w:numPr>
        <w:spacing w:after="120"/>
        <w:ind w:left="1559" w:hanging="425"/>
        <w:jc w:val="both"/>
        <w:rPr>
          <w:color w:val="auto"/>
          <w:sz w:val="22"/>
          <w:szCs w:val="22"/>
          <w:lang w:val="es-CR"/>
        </w:rPr>
      </w:pPr>
      <w:r w:rsidRPr="004D6AF6">
        <w:rPr>
          <w:color w:val="auto"/>
          <w:sz w:val="22"/>
          <w:szCs w:val="22"/>
          <w:lang w:val="es-CR"/>
        </w:rPr>
        <w:t>C</w:t>
      </w:r>
      <w:r w:rsidR="00961C86" w:rsidRPr="004D6AF6">
        <w:rPr>
          <w:color w:val="auto"/>
          <w:sz w:val="22"/>
          <w:szCs w:val="22"/>
          <w:lang w:val="es-CR"/>
        </w:rPr>
        <w:t xml:space="preserve">uando la entidad reconozca costos por una reestructuración que quede dentro del alcance de la NICSP 19 e involucre el pago de indemnizaciones por cese. </w:t>
      </w:r>
    </w:p>
    <w:p w14:paraId="4670BB4A" w14:textId="77777777" w:rsidR="00087C9E" w:rsidRPr="004D6AF6" w:rsidRDefault="00961C86">
      <w:pPr>
        <w:pStyle w:val="Default"/>
        <w:numPr>
          <w:ilvl w:val="0"/>
          <w:numId w:val="164"/>
        </w:numPr>
        <w:spacing w:after="120"/>
        <w:ind w:left="1559" w:hanging="425"/>
        <w:jc w:val="both"/>
        <w:rPr>
          <w:color w:val="auto"/>
          <w:sz w:val="22"/>
          <w:szCs w:val="22"/>
          <w:lang w:val="es-CR"/>
        </w:rPr>
      </w:pPr>
      <w:r w:rsidRPr="004D6AF6">
        <w:rPr>
          <w:color w:val="auto"/>
          <w:sz w:val="22"/>
          <w:szCs w:val="22"/>
          <w:lang w:val="es-CR"/>
        </w:rPr>
        <w:t xml:space="preserve">Cuando la relación laboral se rompe el preaviso puede ser otorgado mediante tiempo o cancelando de manera monetaria; </w:t>
      </w:r>
    </w:p>
    <w:p w14:paraId="24D3B60B" w14:textId="2D643567" w:rsidR="00B852DB" w:rsidRPr="004D6AF6" w:rsidRDefault="00961C86">
      <w:pPr>
        <w:pStyle w:val="Default"/>
        <w:numPr>
          <w:ilvl w:val="0"/>
          <w:numId w:val="164"/>
        </w:numPr>
        <w:ind w:left="1560" w:hanging="426"/>
        <w:jc w:val="both"/>
        <w:rPr>
          <w:color w:val="auto"/>
          <w:sz w:val="22"/>
          <w:szCs w:val="22"/>
          <w:lang w:val="es-CR"/>
        </w:rPr>
      </w:pPr>
      <w:r w:rsidRPr="004D6AF6">
        <w:rPr>
          <w:sz w:val="22"/>
          <w:szCs w:val="22"/>
          <w:lang w:val="es-CR"/>
        </w:rPr>
        <w:t xml:space="preserve">Cuando se presente un litigio el preaviso se puede provisionar </w:t>
      </w:r>
      <w:r w:rsidR="00087C9E" w:rsidRPr="004D6AF6">
        <w:rPr>
          <w:sz w:val="22"/>
          <w:szCs w:val="22"/>
          <w:lang w:val="es-CR"/>
        </w:rPr>
        <w:t>de acuerdo con</w:t>
      </w:r>
      <w:r w:rsidRPr="004D6AF6">
        <w:rPr>
          <w:sz w:val="22"/>
          <w:szCs w:val="22"/>
          <w:lang w:val="es-CR"/>
        </w:rPr>
        <w:t xml:space="preserve"> la Norma 19 Provisiones, Pasivos Contingentes y Activos Contingentes, párrafo 81, 83, 84, 85, 87 y 93.</w:t>
      </w:r>
    </w:p>
    <w:p w14:paraId="7D44EF3C" w14:textId="77777777" w:rsidR="009D21EA" w:rsidRDefault="009D21EA" w:rsidP="00C522E2">
      <w:pPr>
        <w:spacing w:line="238" w:lineRule="auto"/>
        <w:ind w:left="1134" w:right="260" w:hanging="1134"/>
        <w:jc w:val="both"/>
        <w:rPr>
          <w:rFonts w:ascii="Arial" w:eastAsia="Arial" w:hAnsi="Arial"/>
          <w:b/>
          <w:sz w:val="22"/>
          <w:szCs w:val="22"/>
          <w:lang w:val="es-CR"/>
        </w:rPr>
      </w:pPr>
    </w:p>
    <w:p w14:paraId="3FE27FBC" w14:textId="77777777" w:rsidR="009012C3" w:rsidRDefault="009012C3" w:rsidP="00C522E2">
      <w:pPr>
        <w:spacing w:line="238" w:lineRule="auto"/>
        <w:ind w:left="1134" w:right="260" w:hanging="1134"/>
        <w:jc w:val="both"/>
        <w:rPr>
          <w:rFonts w:ascii="Arial" w:eastAsia="Arial" w:hAnsi="Arial"/>
          <w:b/>
          <w:sz w:val="22"/>
          <w:szCs w:val="22"/>
          <w:lang w:val="es-CR"/>
        </w:rPr>
      </w:pPr>
    </w:p>
    <w:p w14:paraId="470016C8" w14:textId="77777777" w:rsidR="009D21EA" w:rsidRDefault="009D21EA" w:rsidP="00C522E2">
      <w:pPr>
        <w:spacing w:line="238" w:lineRule="auto"/>
        <w:ind w:left="1134" w:right="260" w:hanging="1134"/>
        <w:jc w:val="both"/>
        <w:rPr>
          <w:rFonts w:ascii="Arial" w:eastAsia="Arial" w:hAnsi="Arial"/>
          <w:b/>
          <w:sz w:val="22"/>
          <w:szCs w:val="22"/>
          <w:lang w:val="es-CR"/>
        </w:rPr>
      </w:pPr>
    </w:p>
    <w:p w14:paraId="10AA6CF9" w14:textId="44521710" w:rsidR="009D21EA" w:rsidRPr="004D6AF6" w:rsidRDefault="005212E2" w:rsidP="004D6AF6">
      <w:pPr>
        <w:pStyle w:val="Ttulo2"/>
        <w:ind w:left="284"/>
        <w:rPr>
          <w:rFonts w:ascii="Arial" w:eastAsia="Arial" w:hAnsi="Arial" w:cs="Arial"/>
          <w:b/>
          <w:bCs/>
          <w:sz w:val="20"/>
          <w:szCs w:val="20"/>
          <w:lang w:val="es-CR"/>
        </w:rPr>
      </w:pPr>
      <w:bookmarkStart w:id="98" w:name="_Toc172726233"/>
      <w:r w:rsidRPr="004D6AF6">
        <w:rPr>
          <w:rFonts w:ascii="Arial" w:eastAsia="Arial" w:hAnsi="Arial" w:cs="Arial"/>
          <w:b/>
          <w:bCs/>
          <w:sz w:val="20"/>
          <w:szCs w:val="20"/>
          <w:lang w:val="es-CR"/>
        </w:rPr>
        <w:t>Beneficios a los empleados a corto plazo</w:t>
      </w:r>
      <w:bookmarkEnd w:id="98"/>
    </w:p>
    <w:p w14:paraId="4F60CF9A" w14:textId="77777777" w:rsidR="00A24C1F" w:rsidRPr="009012C3" w:rsidRDefault="00A24C1F" w:rsidP="00C522E2">
      <w:pPr>
        <w:spacing w:line="238" w:lineRule="auto"/>
        <w:ind w:left="1134" w:right="260" w:hanging="1134"/>
        <w:jc w:val="both"/>
        <w:rPr>
          <w:rFonts w:ascii="Arial" w:eastAsia="Arial" w:hAnsi="Arial"/>
          <w:b/>
          <w:sz w:val="24"/>
          <w:szCs w:val="24"/>
          <w:lang w:val="es-CR"/>
        </w:rPr>
      </w:pPr>
    </w:p>
    <w:tbl>
      <w:tblPr>
        <w:tblW w:w="9700" w:type="dxa"/>
        <w:tblLook w:val="04A0" w:firstRow="1" w:lastRow="0" w:firstColumn="1" w:lastColumn="0" w:noHBand="0" w:noVBand="1"/>
      </w:tblPr>
      <w:tblGrid>
        <w:gridCol w:w="645"/>
        <w:gridCol w:w="417"/>
        <w:gridCol w:w="619"/>
        <w:gridCol w:w="3683"/>
        <w:gridCol w:w="2250"/>
        <w:gridCol w:w="2086"/>
      </w:tblGrid>
      <w:tr w:rsidR="005212E2" w:rsidRPr="005212E2" w14:paraId="1305D106" w14:textId="77777777" w:rsidTr="005212E2">
        <w:trPr>
          <w:trHeight w:val="320"/>
        </w:trPr>
        <w:tc>
          <w:tcPr>
            <w:tcW w:w="15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5F0A923" w14:textId="77777777" w:rsidR="005212E2" w:rsidRPr="005212E2" w:rsidRDefault="005212E2" w:rsidP="005212E2">
            <w:pPr>
              <w:jc w:val="center"/>
              <w:rPr>
                <w:rFonts w:ascii="Arial Narrow" w:eastAsia="Times New Roman" w:hAnsi="Arial Narrow" w:cs="Calibri"/>
                <w:b/>
                <w:bCs/>
                <w:color w:val="FFFFFF"/>
                <w:sz w:val="22"/>
                <w:szCs w:val="22"/>
              </w:rPr>
            </w:pPr>
            <w:r w:rsidRPr="005212E2">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C958352" w14:textId="77777777" w:rsidR="005212E2" w:rsidRPr="005212E2" w:rsidRDefault="005212E2" w:rsidP="005212E2">
            <w:pPr>
              <w:jc w:val="center"/>
              <w:rPr>
                <w:rFonts w:ascii="Arial Narrow" w:eastAsia="Times New Roman" w:hAnsi="Arial Narrow" w:cs="Calibri"/>
                <w:b/>
                <w:bCs/>
                <w:color w:val="FFFFFF"/>
                <w:sz w:val="22"/>
                <w:szCs w:val="22"/>
              </w:rPr>
            </w:pPr>
            <w:r w:rsidRPr="005212E2">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3EDBD84D" w14:textId="77777777" w:rsidR="005212E2" w:rsidRPr="005212E2" w:rsidRDefault="005212E2" w:rsidP="005212E2">
            <w:pPr>
              <w:jc w:val="center"/>
              <w:rPr>
                <w:rFonts w:ascii="Arial Narrow" w:eastAsia="Times New Roman" w:hAnsi="Arial Narrow" w:cs="Calibri"/>
                <w:b/>
                <w:bCs/>
                <w:color w:val="FFFFFF"/>
                <w:sz w:val="22"/>
                <w:szCs w:val="22"/>
              </w:rPr>
            </w:pPr>
            <w:r w:rsidRPr="005212E2">
              <w:rPr>
                <w:rFonts w:ascii="Arial Narrow" w:eastAsia="Times New Roman" w:hAnsi="Arial Narrow" w:cs="Calibri"/>
                <w:b/>
                <w:bCs/>
                <w:color w:val="FFFFFF"/>
                <w:sz w:val="22"/>
                <w:szCs w:val="22"/>
              </w:rPr>
              <w:t>Referencia</w:t>
            </w:r>
          </w:p>
        </w:tc>
      </w:tr>
      <w:tr w:rsidR="005212E2" w:rsidRPr="006E5442" w14:paraId="450F920A" w14:textId="77777777" w:rsidTr="005212E2">
        <w:trPr>
          <w:trHeight w:val="940"/>
        </w:trPr>
        <w:tc>
          <w:tcPr>
            <w:tcW w:w="1580" w:type="dxa"/>
            <w:gridSpan w:val="3"/>
            <w:vMerge/>
            <w:tcBorders>
              <w:top w:val="single" w:sz="8" w:space="0" w:color="auto"/>
              <w:left w:val="single" w:sz="8" w:space="0" w:color="auto"/>
              <w:bottom w:val="nil"/>
              <w:right w:val="single" w:sz="8" w:space="0" w:color="000000"/>
            </w:tcBorders>
            <w:vAlign w:val="center"/>
            <w:hideMark/>
          </w:tcPr>
          <w:p w14:paraId="61309EDB" w14:textId="77777777" w:rsidR="005212E2" w:rsidRPr="005212E2" w:rsidRDefault="005212E2" w:rsidP="005212E2">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214B22EF" w14:textId="77777777" w:rsidR="005212E2" w:rsidRPr="005212E2" w:rsidRDefault="005212E2" w:rsidP="005212E2">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5A87E977" w14:textId="77777777" w:rsidR="005212E2" w:rsidRPr="005212E2" w:rsidRDefault="005212E2" w:rsidP="005212E2">
            <w:pPr>
              <w:jc w:val="center"/>
              <w:rPr>
                <w:rFonts w:ascii="Arial Narrow" w:eastAsia="Times New Roman" w:hAnsi="Arial Narrow" w:cs="Calibri"/>
                <w:b/>
                <w:bCs/>
                <w:color w:val="FFFFFF"/>
                <w:sz w:val="22"/>
                <w:szCs w:val="22"/>
              </w:rPr>
            </w:pPr>
            <w:r w:rsidRPr="005212E2">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2B144E60" w14:textId="77777777" w:rsidR="005212E2" w:rsidRPr="005212E2" w:rsidRDefault="005212E2" w:rsidP="005212E2">
            <w:pPr>
              <w:jc w:val="center"/>
              <w:rPr>
                <w:rFonts w:ascii="Arial Narrow" w:eastAsia="Times New Roman" w:hAnsi="Arial Narrow" w:cs="Calibri"/>
                <w:b/>
                <w:bCs/>
                <w:color w:val="FFFFFF"/>
                <w:sz w:val="22"/>
                <w:szCs w:val="22"/>
                <w:lang w:val="es-CR"/>
              </w:rPr>
            </w:pPr>
            <w:r w:rsidRPr="005212E2">
              <w:rPr>
                <w:rFonts w:ascii="Arial Narrow" w:eastAsia="Times New Roman" w:hAnsi="Arial Narrow" w:cs="Calibri"/>
                <w:b/>
                <w:bCs/>
                <w:color w:val="FFFFFF"/>
                <w:sz w:val="22"/>
                <w:szCs w:val="22"/>
                <w:lang w:val="es-CR"/>
              </w:rPr>
              <w:t>Normativa técnica y disposiciones adicionales</w:t>
            </w:r>
          </w:p>
        </w:tc>
      </w:tr>
      <w:tr w:rsidR="005212E2" w:rsidRPr="005212E2" w14:paraId="520C8A22" w14:textId="77777777" w:rsidTr="00FD48A0">
        <w:trPr>
          <w:trHeight w:val="345"/>
        </w:trPr>
        <w:tc>
          <w:tcPr>
            <w:tcW w:w="6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626952" w14:textId="77777777" w:rsidR="005212E2" w:rsidRPr="005212E2" w:rsidRDefault="005212E2" w:rsidP="005212E2">
            <w:pPr>
              <w:jc w:val="center"/>
              <w:rPr>
                <w:rFonts w:ascii="Arial Narrow" w:eastAsia="Times New Roman" w:hAnsi="Arial Narrow" w:cs="Calibri"/>
                <w:b/>
                <w:bCs/>
                <w:color w:val="000000"/>
                <w:sz w:val="22"/>
                <w:szCs w:val="22"/>
              </w:rPr>
            </w:pPr>
            <w:r w:rsidRPr="005212E2">
              <w:rPr>
                <w:rFonts w:ascii="Arial Narrow" w:eastAsia="Times New Roman" w:hAnsi="Arial Narrow" w:cs="Calibri"/>
                <w:b/>
                <w:bCs/>
                <w:color w:val="000000"/>
                <w:sz w:val="22"/>
                <w:szCs w:val="22"/>
              </w:rPr>
              <w:t>2</w:t>
            </w:r>
          </w:p>
        </w:tc>
        <w:tc>
          <w:tcPr>
            <w:tcW w:w="300" w:type="dxa"/>
            <w:tcBorders>
              <w:top w:val="single" w:sz="8" w:space="0" w:color="auto"/>
              <w:left w:val="nil"/>
              <w:bottom w:val="single" w:sz="8" w:space="0" w:color="auto"/>
              <w:right w:val="single" w:sz="8" w:space="0" w:color="auto"/>
            </w:tcBorders>
            <w:shd w:val="clear" w:color="auto" w:fill="auto"/>
            <w:noWrap/>
            <w:vAlign w:val="center"/>
            <w:hideMark/>
          </w:tcPr>
          <w:p w14:paraId="376F208B" w14:textId="77777777" w:rsidR="005212E2" w:rsidRPr="005212E2" w:rsidRDefault="005212E2" w:rsidP="005212E2">
            <w:pPr>
              <w:jc w:val="center"/>
              <w:rPr>
                <w:rFonts w:ascii="Arial Narrow" w:eastAsia="Times New Roman" w:hAnsi="Arial Narrow" w:cs="Calibri"/>
                <w:b/>
                <w:bCs/>
                <w:color w:val="000000"/>
                <w:sz w:val="22"/>
                <w:szCs w:val="22"/>
              </w:rPr>
            </w:pPr>
            <w:r w:rsidRPr="005212E2">
              <w:rPr>
                <w:rFonts w:ascii="Arial Narrow" w:eastAsia="Times New Roman" w:hAnsi="Arial Narrow" w:cs="Calibri"/>
                <w:b/>
                <w:bCs/>
                <w:color w:val="000000"/>
                <w:sz w:val="22"/>
                <w:szCs w:val="22"/>
              </w:rPr>
              <w:t>43</w:t>
            </w:r>
          </w:p>
        </w:tc>
        <w:tc>
          <w:tcPr>
            <w:tcW w:w="628" w:type="dxa"/>
            <w:tcBorders>
              <w:top w:val="single" w:sz="8" w:space="0" w:color="auto"/>
              <w:left w:val="nil"/>
              <w:bottom w:val="single" w:sz="8" w:space="0" w:color="auto"/>
              <w:right w:val="single" w:sz="8" w:space="0" w:color="auto"/>
            </w:tcBorders>
            <w:shd w:val="clear" w:color="auto" w:fill="auto"/>
            <w:vAlign w:val="center"/>
            <w:hideMark/>
          </w:tcPr>
          <w:p w14:paraId="3D403F5A" w14:textId="2D7E48ED" w:rsidR="005212E2" w:rsidRPr="005212E2" w:rsidRDefault="005212E2" w:rsidP="005212E2">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64CB303E" w14:textId="77777777" w:rsidR="005212E2" w:rsidRPr="005212E2" w:rsidRDefault="005212E2" w:rsidP="005212E2">
            <w:pPr>
              <w:jc w:val="both"/>
              <w:rPr>
                <w:rFonts w:ascii="Arial Narrow" w:eastAsia="Times New Roman" w:hAnsi="Arial Narrow" w:cs="Calibri"/>
                <w:b/>
                <w:bCs/>
                <w:color w:val="000000"/>
                <w:sz w:val="22"/>
                <w:szCs w:val="22"/>
              </w:rPr>
            </w:pPr>
            <w:r w:rsidRPr="005212E2">
              <w:rPr>
                <w:rFonts w:ascii="Arial Narrow" w:eastAsia="Times New Roman" w:hAnsi="Arial Narrow" w:cs="Calibri"/>
                <w:b/>
                <w:bCs/>
                <w:color w:val="000000"/>
                <w:sz w:val="22"/>
                <w:szCs w:val="22"/>
              </w:rPr>
              <w:t xml:space="preserve"> Alcance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0EBA2379" w14:textId="77777777" w:rsidR="004D6AF6" w:rsidRDefault="005212E2" w:rsidP="005212E2">
            <w:pPr>
              <w:jc w:val="both"/>
              <w:rPr>
                <w:rFonts w:ascii="Arial Narrow" w:eastAsia="Times New Roman" w:hAnsi="Arial Narrow" w:cs="Calibri"/>
                <w:b/>
                <w:bCs/>
                <w:color w:val="000000"/>
                <w:sz w:val="22"/>
                <w:szCs w:val="22"/>
              </w:rPr>
            </w:pPr>
            <w:r w:rsidRPr="005212E2">
              <w:rPr>
                <w:rFonts w:ascii="Arial Narrow" w:eastAsia="Times New Roman" w:hAnsi="Arial Narrow" w:cs="Calibri"/>
                <w:b/>
                <w:bCs/>
                <w:color w:val="000000"/>
                <w:sz w:val="22"/>
                <w:szCs w:val="22"/>
              </w:rPr>
              <w:t xml:space="preserve">NICSP N° 39, </w:t>
            </w:r>
          </w:p>
          <w:p w14:paraId="62069E7A" w14:textId="5020A080" w:rsidR="005212E2" w:rsidRPr="005212E2" w:rsidRDefault="005212E2" w:rsidP="005212E2">
            <w:pPr>
              <w:jc w:val="both"/>
              <w:rPr>
                <w:rFonts w:ascii="Arial Narrow" w:eastAsia="Times New Roman" w:hAnsi="Arial Narrow" w:cs="Calibri"/>
                <w:b/>
                <w:bCs/>
                <w:color w:val="000000"/>
                <w:sz w:val="22"/>
                <w:szCs w:val="22"/>
              </w:rPr>
            </w:pPr>
            <w:r w:rsidRPr="005212E2">
              <w:rPr>
                <w:rFonts w:ascii="Arial Narrow" w:eastAsia="Times New Roman" w:hAnsi="Arial Narrow" w:cs="Calibri"/>
                <w:b/>
                <w:bCs/>
                <w:color w:val="000000"/>
                <w:sz w:val="22"/>
                <w:szCs w:val="22"/>
              </w:rPr>
              <w:t>Párrafo 9.</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32FA9400" w14:textId="77777777" w:rsidR="005212E2" w:rsidRPr="005212E2" w:rsidRDefault="005212E2" w:rsidP="005212E2">
            <w:pPr>
              <w:jc w:val="center"/>
              <w:rPr>
                <w:rFonts w:ascii="Arial Narrow" w:eastAsia="Times New Roman" w:hAnsi="Arial Narrow" w:cs="Calibri"/>
                <w:b/>
                <w:bCs/>
                <w:color w:val="000000"/>
                <w:sz w:val="22"/>
                <w:szCs w:val="22"/>
              </w:rPr>
            </w:pPr>
            <w:r w:rsidRPr="005212E2">
              <w:rPr>
                <w:rFonts w:ascii="Arial Narrow" w:eastAsia="Times New Roman" w:hAnsi="Arial Narrow" w:cs="Calibri"/>
                <w:b/>
                <w:bCs/>
                <w:color w:val="000000"/>
                <w:sz w:val="22"/>
                <w:szCs w:val="22"/>
              </w:rPr>
              <w:t xml:space="preserve"> </w:t>
            </w:r>
          </w:p>
        </w:tc>
      </w:tr>
    </w:tbl>
    <w:p w14:paraId="0869BA23" w14:textId="77777777" w:rsidR="00A24C1F" w:rsidRDefault="00A24C1F" w:rsidP="00C522E2">
      <w:pPr>
        <w:spacing w:line="238" w:lineRule="auto"/>
        <w:ind w:left="1134" w:right="260" w:hanging="1134"/>
        <w:jc w:val="both"/>
        <w:rPr>
          <w:rFonts w:ascii="Arial" w:eastAsia="Arial" w:hAnsi="Arial"/>
          <w:b/>
          <w:sz w:val="22"/>
          <w:szCs w:val="22"/>
          <w:lang w:val="es-CR"/>
        </w:rPr>
      </w:pPr>
    </w:p>
    <w:p w14:paraId="26ACCDF9" w14:textId="318FBBA7" w:rsidR="00FD48A0" w:rsidRDefault="00FD48A0"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 Contable</w:t>
      </w:r>
    </w:p>
    <w:p w14:paraId="4F877BFA" w14:textId="77777777" w:rsidR="00FD48A0" w:rsidRDefault="00FD48A0" w:rsidP="00C522E2">
      <w:pPr>
        <w:spacing w:line="238" w:lineRule="auto"/>
        <w:ind w:left="1134" w:right="260" w:hanging="1134"/>
        <w:jc w:val="both"/>
        <w:rPr>
          <w:rFonts w:ascii="Arial" w:eastAsia="Arial" w:hAnsi="Arial"/>
          <w:b/>
          <w:sz w:val="22"/>
          <w:szCs w:val="22"/>
          <w:lang w:val="es-CR"/>
        </w:rPr>
      </w:pPr>
    </w:p>
    <w:p w14:paraId="15400172" w14:textId="72615F2F" w:rsidR="005212E2" w:rsidRPr="004D6AF6" w:rsidRDefault="005212E2" w:rsidP="005212E2">
      <w:pPr>
        <w:pStyle w:val="Default"/>
        <w:ind w:left="1134" w:hanging="1134"/>
        <w:jc w:val="both"/>
        <w:rPr>
          <w:sz w:val="22"/>
          <w:szCs w:val="22"/>
          <w:lang w:val="es-CR"/>
        </w:rPr>
      </w:pPr>
      <w:r w:rsidRPr="004D6AF6">
        <w:rPr>
          <w:sz w:val="22"/>
          <w:szCs w:val="22"/>
          <w:lang w:val="es-CR"/>
        </w:rPr>
        <w:t>2.43.0.01</w:t>
      </w:r>
      <w:r w:rsidRPr="004D6AF6">
        <w:rPr>
          <w:sz w:val="22"/>
          <w:szCs w:val="22"/>
          <w:lang w:val="es-CR"/>
        </w:rPr>
        <w:tab/>
        <w:t xml:space="preserve">En la </w:t>
      </w:r>
      <w:r w:rsidR="000F29DC">
        <w:rPr>
          <w:sz w:val="22"/>
          <w:szCs w:val="22"/>
          <w:lang w:val="es-CR"/>
        </w:rPr>
        <w:t>MBA</w:t>
      </w:r>
      <w:r w:rsidRPr="004D6AF6">
        <w:rPr>
          <w:sz w:val="22"/>
          <w:szCs w:val="22"/>
          <w:lang w:val="es-CR"/>
        </w:rPr>
        <w:t xml:space="preserve"> los beneficios a los empleados a corto plazo incluyen elementos tales como los siguientes, si se esperan liquidar totalmente antes de doce meses después del final del periodo sobre el que se informa en el que los empleados prest</w:t>
      </w:r>
      <w:r w:rsidR="00E43ADD" w:rsidRPr="004D6AF6">
        <w:rPr>
          <w:sz w:val="22"/>
          <w:szCs w:val="22"/>
          <w:lang w:val="es-CR"/>
        </w:rPr>
        <w:t xml:space="preserve">aron </w:t>
      </w:r>
      <w:r w:rsidRPr="004D6AF6">
        <w:rPr>
          <w:sz w:val="22"/>
          <w:szCs w:val="22"/>
          <w:lang w:val="es-CR"/>
        </w:rPr>
        <w:t>los servicios</w:t>
      </w:r>
      <w:r w:rsidR="00E43ADD" w:rsidRPr="004D6AF6">
        <w:rPr>
          <w:sz w:val="22"/>
          <w:szCs w:val="22"/>
          <w:lang w:val="es-CR"/>
        </w:rPr>
        <w:t xml:space="preserve"> correspondientes</w:t>
      </w:r>
      <w:r w:rsidRPr="004D6AF6">
        <w:rPr>
          <w:sz w:val="22"/>
          <w:szCs w:val="22"/>
          <w:lang w:val="es-CR"/>
        </w:rPr>
        <w:t>:</w:t>
      </w:r>
    </w:p>
    <w:p w14:paraId="2D0FAA0F" w14:textId="0525C695" w:rsidR="005212E2" w:rsidRPr="004D6AF6" w:rsidRDefault="005212E2" w:rsidP="005212E2">
      <w:pPr>
        <w:pStyle w:val="Default"/>
        <w:ind w:left="1134" w:hanging="1134"/>
        <w:jc w:val="both"/>
        <w:rPr>
          <w:sz w:val="22"/>
          <w:szCs w:val="22"/>
          <w:lang w:val="es-CR"/>
        </w:rPr>
      </w:pPr>
      <w:r w:rsidRPr="004D6AF6">
        <w:rPr>
          <w:sz w:val="22"/>
          <w:szCs w:val="22"/>
          <w:lang w:val="es-CR"/>
        </w:rPr>
        <w:t xml:space="preserve"> </w:t>
      </w:r>
    </w:p>
    <w:p w14:paraId="4CFBD79E" w14:textId="625A701E" w:rsidR="005212E2" w:rsidRPr="004D6AF6" w:rsidRDefault="005212E2">
      <w:pPr>
        <w:pStyle w:val="Default"/>
        <w:numPr>
          <w:ilvl w:val="0"/>
          <w:numId w:val="165"/>
        </w:numPr>
        <w:spacing w:after="120"/>
        <w:ind w:left="1418" w:hanging="284"/>
        <w:jc w:val="both"/>
        <w:rPr>
          <w:sz w:val="22"/>
          <w:szCs w:val="22"/>
          <w:lang w:val="es-CR"/>
        </w:rPr>
      </w:pPr>
      <w:r w:rsidRPr="004D6AF6">
        <w:rPr>
          <w:sz w:val="22"/>
          <w:szCs w:val="22"/>
          <w:lang w:val="es-CR"/>
        </w:rPr>
        <w:t xml:space="preserve">Sueldos, salarios y contribuciones a la seguridad social; </w:t>
      </w:r>
    </w:p>
    <w:p w14:paraId="748B9DE4" w14:textId="36F74925" w:rsidR="005212E2" w:rsidRPr="004D6AF6" w:rsidRDefault="005212E2">
      <w:pPr>
        <w:pStyle w:val="Default"/>
        <w:numPr>
          <w:ilvl w:val="0"/>
          <w:numId w:val="165"/>
        </w:numPr>
        <w:spacing w:after="120"/>
        <w:ind w:left="1418" w:hanging="284"/>
        <w:jc w:val="both"/>
        <w:rPr>
          <w:sz w:val="22"/>
          <w:szCs w:val="22"/>
          <w:lang w:val="es-CR"/>
        </w:rPr>
      </w:pPr>
      <w:r w:rsidRPr="004D6AF6">
        <w:rPr>
          <w:sz w:val="22"/>
          <w:szCs w:val="22"/>
          <w:lang w:val="es-CR"/>
        </w:rPr>
        <w:t xml:space="preserve">Ausencias remuneradas anuales </w:t>
      </w:r>
      <w:r w:rsidR="00E43ADD" w:rsidRPr="004D6AF6">
        <w:rPr>
          <w:sz w:val="22"/>
          <w:szCs w:val="22"/>
          <w:lang w:val="es-CR"/>
        </w:rPr>
        <w:t xml:space="preserve">(vacaciones) </w:t>
      </w:r>
      <w:r w:rsidRPr="004D6AF6">
        <w:rPr>
          <w:sz w:val="22"/>
          <w:szCs w:val="22"/>
          <w:lang w:val="es-CR"/>
        </w:rPr>
        <w:t>y ausencias remuneradas por enfermedad</w:t>
      </w:r>
      <w:r w:rsidR="00E43ADD" w:rsidRPr="004D6AF6">
        <w:rPr>
          <w:sz w:val="22"/>
          <w:szCs w:val="22"/>
          <w:lang w:val="es-CR"/>
        </w:rPr>
        <w:t xml:space="preserve"> (incapacidades)</w:t>
      </w:r>
      <w:r w:rsidRPr="004D6AF6">
        <w:rPr>
          <w:sz w:val="22"/>
          <w:szCs w:val="22"/>
          <w:lang w:val="es-CR"/>
        </w:rPr>
        <w:t xml:space="preserve">; </w:t>
      </w:r>
    </w:p>
    <w:p w14:paraId="51A38996" w14:textId="77777777" w:rsidR="00E43ADD" w:rsidRPr="004D6AF6" w:rsidRDefault="005212E2">
      <w:pPr>
        <w:pStyle w:val="Default"/>
        <w:numPr>
          <w:ilvl w:val="0"/>
          <w:numId w:val="165"/>
        </w:numPr>
        <w:spacing w:after="120"/>
        <w:ind w:left="1418" w:hanging="284"/>
        <w:jc w:val="both"/>
        <w:rPr>
          <w:sz w:val="22"/>
          <w:szCs w:val="22"/>
          <w:lang w:val="es-CR"/>
        </w:rPr>
      </w:pPr>
      <w:r w:rsidRPr="004D6AF6">
        <w:rPr>
          <w:sz w:val="22"/>
          <w:szCs w:val="22"/>
          <w:lang w:val="es-CR"/>
        </w:rPr>
        <w:t xml:space="preserve">Participación en ganancias e incentivos; y </w:t>
      </w:r>
    </w:p>
    <w:p w14:paraId="2B351756" w14:textId="41C1C5C0" w:rsidR="005212E2" w:rsidRPr="004D6AF6" w:rsidRDefault="00E43ADD">
      <w:pPr>
        <w:pStyle w:val="Default"/>
        <w:numPr>
          <w:ilvl w:val="0"/>
          <w:numId w:val="165"/>
        </w:numPr>
        <w:ind w:left="1418" w:hanging="284"/>
        <w:jc w:val="both"/>
        <w:rPr>
          <w:sz w:val="22"/>
          <w:szCs w:val="22"/>
          <w:lang w:val="es-CR"/>
        </w:rPr>
      </w:pPr>
      <w:r w:rsidRPr="004D6AF6">
        <w:rPr>
          <w:sz w:val="22"/>
          <w:szCs w:val="22"/>
          <w:lang w:val="es-CR"/>
        </w:rPr>
        <w:t>B</w:t>
      </w:r>
      <w:r w:rsidR="005212E2" w:rsidRPr="004D6AF6">
        <w:rPr>
          <w:sz w:val="22"/>
          <w:szCs w:val="22"/>
          <w:lang w:val="es-CR"/>
        </w:rPr>
        <w:t xml:space="preserve">eneficios no monetarios a los empleados actuales (tales como atenciones médicas, alojamiento, automóviles y entrega de bienes y servicios gratuitos o parcialmente subvencionados). </w:t>
      </w:r>
    </w:p>
    <w:p w14:paraId="08E008BA" w14:textId="77777777" w:rsidR="00A24C1F" w:rsidRDefault="00A24C1F" w:rsidP="00C522E2">
      <w:pPr>
        <w:spacing w:line="238" w:lineRule="auto"/>
        <w:ind w:left="1134" w:right="260" w:hanging="1134"/>
        <w:jc w:val="both"/>
        <w:rPr>
          <w:rFonts w:ascii="Arial" w:eastAsia="Arial" w:hAnsi="Arial"/>
          <w:b/>
          <w:sz w:val="22"/>
          <w:szCs w:val="22"/>
          <w:lang w:val="es-CR"/>
        </w:rPr>
      </w:pPr>
    </w:p>
    <w:p w14:paraId="212E555E" w14:textId="77777777" w:rsidR="00FD48A0" w:rsidRDefault="00FD48A0" w:rsidP="00C522E2">
      <w:pPr>
        <w:spacing w:line="238" w:lineRule="auto"/>
        <w:ind w:left="1134" w:right="260" w:hanging="1134"/>
        <w:jc w:val="both"/>
        <w:rPr>
          <w:rFonts w:ascii="Arial" w:eastAsia="Arial" w:hAnsi="Arial"/>
          <w:b/>
          <w:sz w:val="22"/>
          <w:szCs w:val="22"/>
          <w:lang w:val="es-CR"/>
        </w:rPr>
      </w:pPr>
    </w:p>
    <w:p w14:paraId="729C3EF3" w14:textId="77777777" w:rsidR="0064345E" w:rsidRDefault="0064345E" w:rsidP="00C522E2">
      <w:pPr>
        <w:spacing w:line="238" w:lineRule="auto"/>
        <w:ind w:left="1134" w:right="260" w:hanging="1134"/>
        <w:jc w:val="both"/>
        <w:rPr>
          <w:rFonts w:ascii="Arial" w:eastAsia="Arial" w:hAnsi="Arial"/>
          <w:b/>
          <w:sz w:val="22"/>
          <w:szCs w:val="22"/>
          <w:lang w:val="es-CR"/>
        </w:rPr>
      </w:pPr>
    </w:p>
    <w:tbl>
      <w:tblPr>
        <w:tblW w:w="9700" w:type="dxa"/>
        <w:tblLook w:val="04A0" w:firstRow="1" w:lastRow="0" w:firstColumn="1" w:lastColumn="0" w:noHBand="0" w:noVBand="1"/>
      </w:tblPr>
      <w:tblGrid>
        <w:gridCol w:w="645"/>
        <w:gridCol w:w="417"/>
        <w:gridCol w:w="618"/>
        <w:gridCol w:w="3690"/>
        <w:gridCol w:w="2246"/>
        <w:gridCol w:w="2084"/>
      </w:tblGrid>
      <w:tr w:rsidR="00CC02BE" w:rsidRPr="00CC02BE" w14:paraId="3EEAFB54" w14:textId="77777777" w:rsidTr="00CC02BE">
        <w:trPr>
          <w:trHeight w:val="320"/>
        </w:trPr>
        <w:tc>
          <w:tcPr>
            <w:tcW w:w="15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72F03DF" w14:textId="77777777" w:rsidR="00CC02BE" w:rsidRPr="00CC02BE" w:rsidRDefault="00CC02BE" w:rsidP="00CC02BE">
            <w:pPr>
              <w:jc w:val="center"/>
              <w:rPr>
                <w:rFonts w:ascii="Arial Narrow" w:eastAsia="Times New Roman" w:hAnsi="Arial Narrow" w:cs="Calibri"/>
                <w:b/>
                <w:bCs/>
                <w:color w:val="FFFFFF"/>
                <w:sz w:val="22"/>
                <w:szCs w:val="22"/>
              </w:rPr>
            </w:pPr>
            <w:r w:rsidRPr="00CC02BE">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1B450B0" w14:textId="77777777" w:rsidR="00CC02BE" w:rsidRPr="00CC02BE" w:rsidRDefault="00CC02BE" w:rsidP="00CC02BE">
            <w:pPr>
              <w:jc w:val="center"/>
              <w:rPr>
                <w:rFonts w:ascii="Arial Narrow" w:eastAsia="Times New Roman" w:hAnsi="Arial Narrow" w:cs="Calibri"/>
                <w:b/>
                <w:bCs/>
                <w:color w:val="FFFFFF"/>
                <w:sz w:val="22"/>
                <w:szCs w:val="22"/>
              </w:rPr>
            </w:pPr>
            <w:r w:rsidRPr="00CC02BE">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0D883F24" w14:textId="77777777" w:rsidR="00CC02BE" w:rsidRPr="00CC02BE" w:rsidRDefault="00CC02BE" w:rsidP="00CC02BE">
            <w:pPr>
              <w:jc w:val="center"/>
              <w:rPr>
                <w:rFonts w:ascii="Arial Narrow" w:eastAsia="Times New Roman" w:hAnsi="Arial Narrow" w:cs="Calibri"/>
                <w:b/>
                <w:bCs/>
                <w:color w:val="FFFFFF"/>
                <w:sz w:val="22"/>
                <w:szCs w:val="22"/>
              </w:rPr>
            </w:pPr>
            <w:r w:rsidRPr="00CC02BE">
              <w:rPr>
                <w:rFonts w:ascii="Arial Narrow" w:eastAsia="Times New Roman" w:hAnsi="Arial Narrow" w:cs="Calibri"/>
                <w:b/>
                <w:bCs/>
                <w:color w:val="FFFFFF"/>
                <w:sz w:val="22"/>
                <w:szCs w:val="22"/>
              </w:rPr>
              <w:t>Referencia</w:t>
            </w:r>
          </w:p>
        </w:tc>
      </w:tr>
      <w:tr w:rsidR="00CC02BE" w:rsidRPr="006E5442" w14:paraId="5CF456BF" w14:textId="77777777" w:rsidTr="00CC02BE">
        <w:trPr>
          <w:trHeight w:val="940"/>
        </w:trPr>
        <w:tc>
          <w:tcPr>
            <w:tcW w:w="1580" w:type="dxa"/>
            <w:gridSpan w:val="3"/>
            <w:vMerge/>
            <w:tcBorders>
              <w:top w:val="single" w:sz="8" w:space="0" w:color="auto"/>
              <w:left w:val="single" w:sz="8" w:space="0" w:color="auto"/>
              <w:bottom w:val="nil"/>
              <w:right w:val="single" w:sz="8" w:space="0" w:color="000000"/>
            </w:tcBorders>
            <w:vAlign w:val="center"/>
            <w:hideMark/>
          </w:tcPr>
          <w:p w14:paraId="57B8A8A5" w14:textId="77777777" w:rsidR="00CC02BE" w:rsidRPr="00CC02BE" w:rsidRDefault="00CC02BE" w:rsidP="00CC02BE">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622AA7B1" w14:textId="77777777" w:rsidR="00CC02BE" w:rsidRPr="00CC02BE" w:rsidRDefault="00CC02BE" w:rsidP="00CC02BE">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197024C5" w14:textId="77777777" w:rsidR="00CC02BE" w:rsidRPr="00CC02BE" w:rsidRDefault="00CC02BE" w:rsidP="00CC02BE">
            <w:pPr>
              <w:jc w:val="center"/>
              <w:rPr>
                <w:rFonts w:ascii="Arial Narrow" w:eastAsia="Times New Roman" w:hAnsi="Arial Narrow" w:cs="Calibri"/>
                <w:b/>
                <w:bCs/>
                <w:color w:val="FFFFFF"/>
                <w:sz w:val="22"/>
                <w:szCs w:val="22"/>
              </w:rPr>
            </w:pPr>
            <w:r w:rsidRPr="00CC02BE">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7E3F4984" w14:textId="77777777" w:rsidR="00CC02BE" w:rsidRPr="00CC02BE" w:rsidRDefault="00CC02BE" w:rsidP="00CC02BE">
            <w:pPr>
              <w:jc w:val="center"/>
              <w:rPr>
                <w:rFonts w:ascii="Arial Narrow" w:eastAsia="Times New Roman" w:hAnsi="Arial Narrow" w:cs="Calibri"/>
                <w:b/>
                <w:bCs/>
                <w:color w:val="FFFFFF"/>
                <w:sz w:val="22"/>
                <w:szCs w:val="22"/>
                <w:lang w:val="es-CR"/>
              </w:rPr>
            </w:pPr>
            <w:r w:rsidRPr="00CC02BE">
              <w:rPr>
                <w:rFonts w:ascii="Arial Narrow" w:eastAsia="Times New Roman" w:hAnsi="Arial Narrow" w:cs="Calibri"/>
                <w:b/>
                <w:bCs/>
                <w:color w:val="FFFFFF"/>
                <w:sz w:val="22"/>
                <w:szCs w:val="22"/>
                <w:lang w:val="es-CR"/>
              </w:rPr>
              <w:t>Normativa técnica y disposiciones adicionales</w:t>
            </w:r>
          </w:p>
        </w:tc>
      </w:tr>
      <w:tr w:rsidR="00CC02BE" w:rsidRPr="00CC02BE" w14:paraId="5CB50FFF" w14:textId="77777777" w:rsidTr="00CC02BE">
        <w:trPr>
          <w:trHeight w:val="630"/>
        </w:trPr>
        <w:tc>
          <w:tcPr>
            <w:tcW w:w="6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B0B8BA" w14:textId="77777777" w:rsidR="00CC02BE" w:rsidRPr="00CC02BE" w:rsidRDefault="00CC02BE" w:rsidP="00CC02BE">
            <w:pPr>
              <w:jc w:val="center"/>
              <w:rPr>
                <w:rFonts w:ascii="Arial Narrow" w:eastAsia="Times New Roman" w:hAnsi="Arial Narrow" w:cs="Calibri"/>
                <w:b/>
                <w:bCs/>
                <w:color w:val="000000"/>
                <w:sz w:val="22"/>
                <w:szCs w:val="22"/>
              </w:rPr>
            </w:pPr>
            <w:r w:rsidRPr="00CC02BE">
              <w:rPr>
                <w:rFonts w:ascii="Arial Narrow" w:eastAsia="Times New Roman" w:hAnsi="Arial Narrow" w:cs="Calibri"/>
                <w:b/>
                <w:bCs/>
                <w:color w:val="000000"/>
                <w:sz w:val="22"/>
                <w:szCs w:val="22"/>
              </w:rPr>
              <w:t>2</w:t>
            </w:r>
          </w:p>
        </w:tc>
        <w:tc>
          <w:tcPr>
            <w:tcW w:w="300" w:type="dxa"/>
            <w:tcBorders>
              <w:top w:val="single" w:sz="8" w:space="0" w:color="auto"/>
              <w:left w:val="nil"/>
              <w:bottom w:val="single" w:sz="8" w:space="0" w:color="auto"/>
              <w:right w:val="single" w:sz="8" w:space="0" w:color="auto"/>
            </w:tcBorders>
            <w:shd w:val="clear" w:color="auto" w:fill="auto"/>
            <w:noWrap/>
            <w:vAlign w:val="center"/>
            <w:hideMark/>
          </w:tcPr>
          <w:p w14:paraId="2AAB7B28" w14:textId="77777777" w:rsidR="00CC02BE" w:rsidRPr="00CC02BE" w:rsidRDefault="00CC02BE" w:rsidP="00CC02BE">
            <w:pPr>
              <w:jc w:val="center"/>
              <w:rPr>
                <w:rFonts w:ascii="Arial Narrow" w:eastAsia="Times New Roman" w:hAnsi="Arial Narrow" w:cs="Calibri"/>
                <w:b/>
                <w:bCs/>
                <w:color w:val="000000"/>
                <w:sz w:val="22"/>
                <w:szCs w:val="22"/>
              </w:rPr>
            </w:pPr>
            <w:r w:rsidRPr="00CC02BE">
              <w:rPr>
                <w:rFonts w:ascii="Arial Narrow" w:eastAsia="Times New Roman" w:hAnsi="Arial Narrow" w:cs="Calibri"/>
                <w:b/>
                <w:bCs/>
                <w:color w:val="000000"/>
                <w:sz w:val="22"/>
                <w:szCs w:val="22"/>
              </w:rPr>
              <w:t>44</w:t>
            </w:r>
          </w:p>
        </w:tc>
        <w:tc>
          <w:tcPr>
            <w:tcW w:w="628" w:type="dxa"/>
            <w:tcBorders>
              <w:top w:val="single" w:sz="8" w:space="0" w:color="auto"/>
              <w:left w:val="nil"/>
              <w:bottom w:val="single" w:sz="8" w:space="0" w:color="auto"/>
              <w:right w:val="single" w:sz="8" w:space="0" w:color="auto"/>
            </w:tcBorders>
            <w:shd w:val="clear" w:color="auto" w:fill="auto"/>
            <w:vAlign w:val="center"/>
            <w:hideMark/>
          </w:tcPr>
          <w:p w14:paraId="0FA0813B" w14:textId="3248CA1B" w:rsidR="00CC02BE" w:rsidRPr="00CC02BE" w:rsidRDefault="00CC02BE" w:rsidP="00CC02BE">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1B8A63CA" w14:textId="77777777" w:rsidR="00CC02BE" w:rsidRPr="00CC02BE" w:rsidRDefault="00CC02BE" w:rsidP="00CC02BE">
            <w:pPr>
              <w:jc w:val="both"/>
              <w:rPr>
                <w:rFonts w:ascii="Arial Narrow" w:eastAsia="Times New Roman" w:hAnsi="Arial Narrow" w:cs="Calibri"/>
                <w:b/>
                <w:bCs/>
                <w:color w:val="000000"/>
                <w:sz w:val="22"/>
                <w:szCs w:val="22"/>
              </w:rPr>
            </w:pPr>
            <w:r w:rsidRPr="00CC02BE">
              <w:rPr>
                <w:rFonts w:ascii="Arial Narrow" w:eastAsia="Times New Roman" w:hAnsi="Arial Narrow" w:cs="Calibri"/>
                <w:b/>
                <w:bCs/>
                <w:color w:val="000000"/>
                <w:sz w:val="22"/>
                <w:szCs w:val="22"/>
              </w:rPr>
              <w:t>Reconocimiento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027E48A8" w14:textId="77777777" w:rsidR="000D33CA" w:rsidRDefault="00CC02BE" w:rsidP="00CC02BE">
            <w:pPr>
              <w:jc w:val="both"/>
              <w:rPr>
                <w:rFonts w:ascii="Arial Narrow" w:eastAsia="Times New Roman" w:hAnsi="Arial Narrow" w:cs="Calibri"/>
                <w:b/>
                <w:bCs/>
                <w:color w:val="000000"/>
                <w:sz w:val="22"/>
                <w:szCs w:val="22"/>
              </w:rPr>
            </w:pPr>
            <w:r w:rsidRPr="00CC02BE">
              <w:rPr>
                <w:rFonts w:ascii="Arial Narrow" w:eastAsia="Times New Roman" w:hAnsi="Arial Narrow" w:cs="Calibri"/>
                <w:b/>
                <w:bCs/>
                <w:color w:val="000000"/>
                <w:sz w:val="22"/>
                <w:szCs w:val="22"/>
              </w:rPr>
              <w:t>NICSP N° 39,</w:t>
            </w:r>
          </w:p>
          <w:p w14:paraId="27230E6E" w14:textId="7EB65D4E" w:rsidR="00CC02BE" w:rsidRPr="00CC02BE" w:rsidRDefault="00CC02BE" w:rsidP="00CC02BE">
            <w:pPr>
              <w:jc w:val="both"/>
              <w:rPr>
                <w:rFonts w:ascii="Arial Narrow" w:eastAsia="Times New Roman" w:hAnsi="Arial Narrow" w:cs="Calibri"/>
                <w:b/>
                <w:bCs/>
                <w:color w:val="000000"/>
                <w:sz w:val="22"/>
                <w:szCs w:val="22"/>
              </w:rPr>
            </w:pPr>
            <w:r w:rsidRPr="00CC02BE">
              <w:rPr>
                <w:rFonts w:ascii="Arial Narrow" w:eastAsia="Times New Roman" w:hAnsi="Arial Narrow" w:cs="Calibri"/>
                <w:b/>
                <w:bCs/>
                <w:color w:val="000000"/>
                <w:sz w:val="22"/>
                <w:szCs w:val="22"/>
              </w:rPr>
              <w:t>Párrafo 11 (a).</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06ED67D5" w14:textId="77777777" w:rsidR="00CC02BE" w:rsidRPr="00CC02BE" w:rsidRDefault="00CC02BE" w:rsidP="00CC02BE">
            <w:pPr>
              <w:jc w:val="center"/>
              <w:rPr>
                <w:rFonts w:ascii="Arial Narrow" w:eastAsia="Times New Roman" w:hAnsi="Arial Narrow" w:cs="Calibri"/>
                <w:b/>
                <w:bCs/>
                <w:color w:val="000000"/>
                <w:sz w:val="22"/>
                <w:szCs w:val="22"/>
              </w:rPr>
            </w:pPr>
            <w:r w:rsidRPr="00CC02BE">
              <w:rPr>
                <w:rFonts w:ascii="Arial Narrow" w:eastAsia="Times New Roman" w:hAnsi="Arial Narrow" w:cs="Calibri"/>
                <w:b/>
                <w:bCs/>
                <w:color w:val="000000"/>
                <w:sz w:val="22"/>
                <w:szCs w:val="22"/>
              </w:rPr>
              <w:t xml:space="preserve"> </w:t>
            </w:r>
          </w:p>
        </w:tc>
      </w:tr>
    </w:tbl>
    <w:p w14:paraId="66E3173A" w14:textId="77777777" w:rsidR="0064345E" w:rsidRDefault="0064345E" w:rsidP="00C522E2">
      <w:pPr>
        <w:spacing w:line="238" w:lineRule="auto"/>
        <w:ind w:left="1134" w:right="260" w:hanging="1134"/>
        <w:jc w:val="both"/>
        <w:rPr>
          <w:rFonts w:ascii="Arial" w:eastAsia="Arial" w:hAnsi="Arial"/>
          <w:b/>
          <w:sz w:val="22"/>
          <w:szCs w:val="22"/>
          <w:lang w:val="es-CR"/>
        </w:rPr>
      </w:pPr>
    </w:p>
    <w:p w14:paraId="1F8ED77B" w14:textId="77777777" w:rsidR="00FD48A0" w:rsidRDefault="00FD48A0" w:rsidP="00C522E2">
      <w:pPr>
        <w:spacing w:line="238" w:lineRule="auto"/>
        <w:ind w:left="1134" w:right="260" w:hanging="1134"/>
        <w:jc w:val="both"/>
        <w:rPr>
          <w:rFonts w:ascii="Arial" w:eastAsia="Arial" w:hAnsi="Arial"/>
          <w:b/>
          <w:sz w:val="22"/>
          <w:szCs w:val="22"/>
          <w:lang w:val="es-CR"/>
        </w:rPr>
      </w:pPr>
    </w:p>
    <w:p w14:paraId="3E5225E3" w14:textId="77777777" w:rsidR="00FD48A0" w:rsidRDefault="00FD48A0" w:rsidP="00C522E2">
      <w:pPr>
        <w:spacing w:line="238" w:lineRule="auto"/>
        <w:ind w:left="1134" w:right="260" w:hanging="1134"/>
        <w:jc w:val="both"/>
        <w:rPr>
          <w:rFonts w:ascii="Arial" w:eastAsia="Arial" w:hAnsi="Arial"/>
          <w:b/>
          <w:sz w:val="22"/>
          <w:szCs w:val="22"/>
          <w:lang w:val="es-CR"/>
        </w:rPr>
      </w:pPr>
    </w:p>
    <w:p w14:paraId="1F562FD6" w14:textId="77777777" w:rsidR="00FD48A0" w:rsidRDefault="00FD48A0" w:rsidP="00C522E2">
      <w:pPr>
        <w:spacing w:line="238" w:lineRule="auto"/>
        <w:ind w:left="1134" w:right="260" w:hanging="1134"/>
        <w:jc w:val="both"/>
        <w:rPr>
          <w:rFonts w:ascii="Arial" w:eastAsia="Arial" w:hAnsi="Arial"/>
          <w:b/>
          <w:sz w:val="22"/>
          <w:szCs w:val="22"/>
          <w:lang w:val="es-CR"/>
        </w:rPr>
      </w:pPr>
    </w:p>
    <w:p w14:paraId="6FF3FFF9" w14:textId="73E4C130" w:rsidR="00FD48A0" w:rsidRDefault="00FD48A0"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lastRenderedPageBreak/>
        <w:t>Política Contable</w:t>
      </w:r>
    </w:p>
    <w:p w14:paraId="701B84A8" w14:textId="77777777" w:rsidR="00FD48A0" w:rsidRPr="00CC02BE" w:rsidRDefault="00FD48A0" w:rsidP="00C522E2">
      <w:pPr>
        <w:spacing w:line="238" w:lineRule="auto"/>
        <w:ind w:left="1134" w:right="260" w:hanging="1134"/>
        <w:jc w:val="both"/>
        <w:rPr>
          <w:rFonts w:ascii="Arial" w:eastAsia="Arial" w:hAnsi="Arial"/>
          <w:b/>
          <w:sz w:val="22"/>
          <w:szCs w:val="22"/>
          <w:lang w:val="es-CR"/>
        </w:rPr>
      </w:pPr>
    </w:p>
    <w:p w14:paraId="5F3FD283" w14:textId="2A581417" w:rsidR="0081221D" w:rsidRDefault="00CC02BE" w:rsidP="00CC02BE">
      <w:pPr>
        <w:spacing w:line="238" w:lineRule="auto"/>
        <w:ind w:left="1134" w:right="-138" w:hanging="1134"/>
        <w:jc w:val="both"/>
        <w:rPr>
          <w:rFonts w:ascii="Arial" w:hAnsi="Arial"/>
          <w:sz w:val="22"/>
          <w:szCs w:val="22"/>
          <w:lang w:val="es-CR"/>
        </w:rPr>
      </w:pPr>
      <w:r w:rsidRPr="000D33CA">
        <w:rPr>
          <w:rFonts w:ascii="Arial" w:hAnsi="Arial"/>
          <w:sz w:val="22"/>
          <w:szCs w:val="22"/>
          <w:lang w:val="es-CR"/>
        </w:rPr>
        <w:t>2.44.0.01</w:t>
      </w:r>
      <w:r w:rsidRPr="000D33CA">
        <w:rPr>
          <w:rFonts w:ascii="Arial" w:hAnsi="Arial"/>
          <w:sz w:val="22"/>
          <w:szCs w:val="22"/>
          <w:lang w:val="es-CR"/>
        </w:rPr>
        <w:tab/>
        <w:t xml:space="preserve">Cuando un empleado ha prestado servicios a una entidad durante un período contable, deberá reconocerse en forma inmediata el monto devengado de los beneficios al empleado a corto plazo que se espera pagar a </w:t>
      </w:r>
      <w:r w:rsidR="000E5DF8" w:rsidRPr="000D33CA">
        <w:rPr>
          <w:rFonts w:ascii="Arial" w:hAnsi="Arial"/>
          <w:sz w:val="22"/>
          <w:szCs w:val="22"/>
          <w:lang w:val="es-CR"/>
        </w:rPr>
        <w:t>ca</w:t>
      </w:r>
      <w:r w:rsidR="000E5DF8">
        <w:rPr>
          <w:rFonts w:ascii="Arial" w:hAnsi="Arial"/>
          <w:sz w:val="22"/>
          <w:szCs w:val="22"/>
          <w:lang w:val="es-CR"/>
        </w:rPr>
        <w:t>mbi</w:t>
      </w:r>
      <w:r w:rsidR="000E5DF8" w:rsidRPr="000D33CA">
        <w:rPr>
          <w:rFonts w:ascii="Arial" w:hAnsi="Arial"/>
          <w:sz w:val="22"/>
          <w:szCs w:val="22"/>
          <w:lang w:val="es-CR"/>
        </w:rPr>
        <w:t>o</w:t>
      </w:r>
      <w:r w:rsidRPr="000D33CA">
        <w:rPr>
          <w:rFonts w:ascii="Arial" w:hAnsi="Arial"/>
          <w:sz w:val="22"/>
          <w:szCs w:val="22"/>
          <w:lang w:val="es-CR"/>
        </w:rPr>
        <w:t xml:space="preserve"> de dicho servicio</w:t>
      </w:r>
      <w:r w:rsidR="0081221D">
        <w:rPr>
          <w:rFonts w:ascii="Arial" w:hAnsi="Arial"/>
          <w:sz w:val="22"/>
          <w:szCs w:val="22"/>
          <w:lang w:val="es-CR"/>
        </w:rPr>
        <w:t>:</w:t>
      </w:r>
    </w:p>
    <w:p w14:paraId="4677C381" w14:textId="77777777" w:rsidR="0081221D" w:rsidRDefault="0081221D" w:rsidP="00CC02BE">
      <w:pPr>
        <w:spacing w:line="238" w:lineRule="auto"/>
        <w:ind w:left="1134" w:right="-138" w:hanging="1134"/>
        <w:jc w:val="both"/>
        <w:rPr>
          <w:rFonts w:ascii="Arial" w:hAnsi="Arial"/>
          <w:sz w:val="22"/>
          <w:szCs w:val="22"/>
          <w:lang w:val="es-CR"/>
        </w:rPr>
      </w:pPr>
    </w:p>
    <w:p w14:paraId="6A49E3E5" w14:textId="7F42EBE3" w:rsidR="0081221D" w:rsidRPr="0081221D" w:rsidRDefault="0081221D">
      <w:pPr>
        <w:pStyle w:val="Prrafodelista"/>
        <w:numPr>
          <w:ilvl w:val="0"/>
          <w:numId w:val="167"/>
        </w:numPr>
        <w:spacing w:after="120" w:line="238" w:lineRule="auto"/>
        <w:ind w:left="1417" w:right="-136" w:hanging="357"/>
        <w:contextualSpacing w:val="0"/>
        <w:jc w:val="both"/>
        <w:rPr>
          <w:rFonts w:ascii="Arial" w:hAnsi="Arial"/>
          <w:sz w:val="22"/>
          <w:szCs w:val="22"/>
          <w:lang w:val="es-CR"/>
        </w:rPr>
      </w:pPr>
      <w:r w:rsidRPr="0081221D">
        <w:rPr>
          <w:rFonts w:ascii="Arial" w:hAnsi="Arial"/>
          <w:sz w:val="22"/>
          <w:szCs w:val="22"/>
          <w:lang w:val="es-CR"/>
        </w:rPr>
        <w:t>C</w:t>
      </w:r>
      <w:r w:rsidR="00CC02BE" w:rsidRPr="0081221D">
        <w:rPr>
          <w:rFonts w:ascii="Arial" w:hAnsi="Arial"/>
          <w:sz w:val="22"/>
          <w:szCs w:val="22"/>
          <w:lang w:val="es-CR"/>
        </w:rPr>
        <w:t xml:space="preserve">omo un pasivo (gastos devengados), luego de deducir cualquier monto ya pagado. </w:t>
      </w:r>
    </w:p>
    <w:p w14:paraId="401152EF" w14:textId="2DFD1C81" w:rsidR="0064345E" w:rsidRPr="0081221D" w:rsidRDefault="00CC02BE">
      <w:pPr>
        <w:pStyle w:val="Prrafodelista"/>
        <w:numPr>
          <w:ilvl w:val="0"/>
          <w:numId w:val="167"/>
        </w:numPr>
        <w:spacing w:line="238" w:lineRule="auto"/>
        <w:ind w:left="1418" w:right="-138"/>
        <w:jc w:val="both"/>
        <w:rPr>
          <w:rFonts w:ascii="Arial" w:hAnsi="Arial"/>
          <w:sz w:val="22"/>
          <w:szCs w:val="22"/>
          <w:lang w:val="es-CR"/>
        </w:rPr>
      </w:pPr>
      <w:r w:rsidRPr="0081221D">
        <w:rPr>
          <w:rFonts w:ascii="Arial" w:hAnsi="Arial"/>
          <w:sz w:val="22"/>
          <w:szCs w:val="22"/>
          <w:lang w:val="es-CR"/>
        </w:rPr>
        <w:t xml:space="preserve">Si el monto ya pagado excediera el monto no descontado de los beneficios, deberá reconocerse ese exceso como un activo (pago anticipado de un gasto) en la medida que el pago por adelantado vaya a dar lugar, por ejemplo, a una reducción en los pagos a efectuar en el futuro o a un </w:t>
      </w:r>
      <w:r w:rsidR="000E5DF8" w:rsidRPr="0081221D">
        <w:rPr>
          <w:rFonts w:ascii="Arial" w:hAnsi="Arial"/>
          <w:sz w:val="22"/>
          <w:szCs w:val="22"/>
          <w:lang w:val="es-CR"/>
        </w:rPr>
        <w:t>ree</w:t>
      </w:r>
      <w:r w:rsidR="000E5DF8">
        <w:rPr>
          <w:rFonts w:ascii="Arial" w:hAnsi="Arial"/>
          <w:sz w:val="22"/>
          <w:szCs w:val="22"/>
          <w:lang w:val="es-CR"/>
        </w:rPr>
        <w:t>mbo</w:t>
      </w:r>
      <w:r w:rsidR="000E5DF8" w:rsidRPr="0081221D">
        <w:rPr>
          <w:rFonts w:ascii="Arial" w:hAnsi="Arial"/>
          <w:sz w:val="22"/>
          <w:szCs w:val="22"/>
          <w:lang w:val="es-CR"/>
        </w:rPr>
        <w:t>lso</w:t>
      </w:r>
      <w:r w:rsidRPr="0081221D">
        <w:rPr>
          <w:rFonts w:ascii="Arial" w:hAnsi="Arial"/>
          <w:sz w:val="22"/>
          <w:szCs w:val="22"/>
          <w:lang w:val="es-CR"/>
        </w:rPr>
        <w:t xml:space="preserve"> en efectivo.</w:t>
      </w:r>
    </w:p>
    <w:p w14:paraId="16483AC8" w14:textId="77777777" w:rsidR="006C35CE" w:rsidRDefault="006C35CE" w:rsidP="00C522E2">
      <w:pPr>
        <w:spacing w:line="238" w:lineRule="auto"/>
        <w:ind w:left="1134" w:right="260" w:hanging="1134"/>
        <w:jc w:val="both"/>
        <w:rPr>
          <w:rFonts w:ascii="Arial" w:eastAsia="Arial" w:hAnsi="Arial"/>
          <w:b/>
          <w:sz w:val="22"/>
          <w:szCs w:val="22"/>
          <w:lang w:val="es-CR"/>
        </w:rPr>
      </w:pPr>
    </w:p>
    <w:p w14:paraId="21CE914B" w14:textId="77777777" w:rsidR="004D6AF6" w:rsidRDefault="004D6AF6" w:rsidP="00C522E2">
      <w:pPr>
        <w:spacing w:line="238" w:lineRule="auto"/>
        <w:ind w:left="1134" w:right="260" w:hanging="1134"/>
        <w:jc w:val="both"/>
        <w:rPr>
          <w:rFonts w:ascii="Arial" w:eastAsia="Arial" w:hAnsi="Arial"/>
          <w:b/>
          <w:sz w:val="22"/>
          <w:szCs w:val="22"/>
          <w:lang w:val="es-CR"/>
        </w:rPr>
      </w:pPr>
    </w:p>
    <w:p w14:paraId="5FFA79FC" w14:textId="77777777" w:rsidR="000D33CA" w:rsidRDefault="000D33CA" w:rsidP="00C522E2">
      <w:pPr>
        <w:spacing w:line="238" w:lineRule="auto"/>
        <w:ind w:left="1134" w:right="260" w:hanging="1134"/>
        <w:jc w:val="both"/>
        <w:rPr>
          <w:rFonts w:ascii="Arial" w:eastAsia="Arial" w:hAnsi="Arial"/>
          <w:b/>
          <w:sz w:val="22"/>
          <w:szCs w:val="22"/>
          <w:lang w:val="es-CR"/>
        </w:rPr>
      </w:pPr>
    </w:p>
    <w:tbl>
      <w:tblPr>
        <w:tblW w:w="9700" w:type="dxa"/>
        <w:tblLook w:val="04A0" w:firstRow="1" w:lastRow="0" w:firstColumn="1" w:lastColumn="0" w:noHBand="0" w:noVBand="1"/>
      </w:tblPr>
      <w:tblGrid>
        <w:gridCol w:w="540"/>
        <w:gridCol w:w="520"/>
        <w:gridCol w:w="520"/>
        <w:gridCol w:w="3740"/>
        <w:gridCol w:w="2280"/>
        <w:gridCol w:w="2100"/>
      </w:tblGrid>
      <w:tr w:rsidR="000D33CA" w:rsidRPr="000D33CA" w14:paraId="23768217" w14:textId="77777777" w:rsidTr="000D33CA">
        <w:trPr>
          <w:trHeight w:val="320"/>
        </w:trPr>
        <w:tc>
          <w:tcPr>
            <w:tcW w:w="15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BA07F4E" w14:textId="77777777" w:rsidR="000D33CA" w:rsidRPr="000D33CA" w:rsidRDefault="000D33CA" w:rsidP="000D33CA">
            <w:pPr>
              <w:jc w:val="center"/>
              <w:rPr>
                <w:rFonts w:ascii="Arial Narrow" w:eastAsia="Times New Roman" w:hAnsi="Arial Narrow" w:cs="Calibri"/>
                <w:b/>
                <w:bCs/>
                <w:color w:val="FFFFFF"/>
                <w:sz w:val="22"/>
                <w:szCs w:val="22"/>
              </w:rPr>
            </w:pPr>
            <w:r w:rsidRPr="000D33CA">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740C05C" w14:textId="77777777" w:rsidR="000D33CA" w:rsidRPr="000D33CA" w:rsidRDefault="000D33CA" w:rsidP="000D33CA">
            <w:pPr>
              <w:jc w:val="center"/>
              <w:rPr>
                <w:rFonts w:ascii="Arial Narrow" w:eastAsia="Times New Roman" w:hAnsi="Arial Narrow" w:cs="Calibri"/>
                <w:b/>
                <w:bCs/>
                <w:color w:val="FFFFFF"/>
                <w:sz w:val="22"/>
                <w:szCs w:val="22"/>
              </w:rPr>
            </w:pPr>
            <w:r w:rsidRPr="000D33CA">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5A2047FC" w14:textId="77777777" w:rsidR="000D33CA" w:rsidRPr="000D33CA" w:rsidRDefault="000D33CA" w:rsidP="000D33CA">
            <w:pPr>
              <w:jc w:val="center"/>
              <w:rPr>
                <w:rFonts w:ascii="Arial Narrow" w:eastAsia="Times New Roman" w:hAnsi="Arial Narrow" w:cs="Calibri"/>
                <w:b/>
                <w:bCs/>
                <w:color w:val="FFFFFF"/>
                <w:sz w:val="22"/>
                <w:szCs w:val="22"/>
              </w:rPr>
            </w:pPr>
            <w:r w:rsidRPr="000D33CA">
              <w:rPr>
                <w:rFonts w:ascii="Arial Narrow" w:eastAsia="Times New Roman" w:hAnsi="Arial Narrow" w:cs="Calibri"/>
                <w:b/>
                <w:bCs/>
                <w:color w:val="FFFFFF"/>
                <w:sz w:val="22"/>
                <w:szCs w:val="22"/>
              </w:rPr>
              <w:t>Referencia</w:t>
            </w:r>
          </w:p>
        </w:tc>
      </w:tr>
      <w:tr w:rsidR="000D33CA" w:rsidRPr="006E5442" w14:paraId="3DF0F191" w14:textId="77777777" w:rsidTr="000D33CA">
        <w:trPr>
          <w:trHeight w:val="940"/>
        </w:trPr>
        <w:tc>
          <w:tcPr>
            <w:tcW w:w="1580" w:type="dxa"/>
            <w:gridSpan w:val="3"/>
            <w:vMerge/>
            <w:tcBorders>
              <w:top w:val="single" w:sz="8" w:space="0" w:color="auto"/>
              <w:left w:val="single" w:sz="8" w:space="0" w:color="auto"/>
              <w:bottom w:val="nil"/>
              <w:right w:val="single" w:sz="8" w:space="0" w:color="000000"/>
            </w:tcBorders>
            <w:vAlign w:val="center"/>
            <w:hideMark/>
          </w:tcPr>
          <w:p w14:paraId="14696348" w14:textId="77777777" w:rsidR="000D33CA" w:rsidRPr="000D33CA" w:rsidRDefault="000D33CA" w:rsidP="000D33CA">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2A127A1A" w14:textId="77777777" w:rsidR="000D33CA" w:rsidRPr="000D33CA" w:rsidRDefault="000D33CA" w:rsidP="000D33CA">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21E31316" w14:textId="77777777" w:rsidR="000D33CA" w:rsidRPr="000D33CA" w:rsidRDefault="000D33CA" w:rsidP="000D33CA">
            <w:pPr>
              <w:jc w:val="center"/>
              <w:rPr>
                <w:rFonts w:ascii="Arial Narrow" w:eastAsia="Times New Roman" w:hAnsi="Arial Narrow" w:cs="Calibri"/>
                <w:b/>
                <w:bCs/>
                <w:color w:val="FFFFFF"/>
                <w:sz w:val="22"/>
                <w:szCs w:val="22"/>
              </w:rPr>
            </w:pPr>
            <w:r w:rsidRPr="000D33CA">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1F5FEC17" w14:textId="77777777" w:rsidR="000D33CA" w:rsidRPr="000D33CA" w:rsidRDefault="000D33CA" w:rsidP="000D33CA">
            <w:pPr>
              <w:jc w:val="center"/>
              <w:rPr>
                <w:rFonts w:ascii="Arial Narrow" w:eastAsia="Times New Roman" w:hAnsi="Arial Narrow" w:cs="Calibri"/>
                <w:b/>
                <w:bCs/>
                <w:color w:val="FFFFFF"/>
                <w:sz w:val="22"/>
                <w:szCs w:val="22"/>
                <w:lang w:val="es-CR"/>
              </w:rPr>
            </w:pPr>
            <w:r w:rsidRPr="000D33CA">
              <w:rPr>
                <w:rFonts w:ascii="Arial Narrow" w:eastAsia="Times New Roman" w:hAnsi="Arial Narrow" w:cs="Calibri"/>
                <w:b/>
                <w:bCs/>
                <w:color w:val="FFFFFF"/>
                <w:sz w:val="22"/>
                <w:szCs w:val="22"/>
                <w:lang w:val="es-CR"/>
              </w:rPr>
              <w:t>Normativa técnica y disposiciones adicionales</w:t>
            </w:r>
          </w:p>
        </w:tc>
      </w:tr>
      <w:tr w:rsidR="000D33CA" w:rsidRPr="000D33CA" w14:paraId="6557E922" w14:textId="77777777" w:rsidTr="000D33CA">
        <w:trPr>
          <w:trHeight w:val="630"/>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701EE4" w14:textId="77777777" w:rsidR="000D33CA" w:rsidRPr="000D33CA" w:rsidRDefault="000D33CA" w:rsidP="000D33CA">
            <w:pPr>
              <w:jc w:val="center"/>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2</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6B5DFB26" w14:textId="77777777" w:rsidR="000D33CA" w:rsidRPr="000D33CA" w:rsidRDefault="000D33CA" w:rsidP="000D33CA">
            <w:pPr>
              <w:jc w:val="center"/>
              <w:rPr>
                <w:rFonts w:ascii="Arial Narrow" w:eastAsia="Times New Roman" w:hAnsi="Arial Narrow"/>
                <w:b/>
                <w:bCs/>
                <w:color w:val="000000"/>
                <w:sz w:val="22"/>
                <w:szCs w:val="22"/>
              </w:rPr>
            </w:pPr>
            <w:r w:rsidRPr="000D33CA">
              <w:rPr>
                <w:rFonts w:ascii="Arial Narrow" w:eastAsia="Times New Roman" w:hAnsi="Arial Narrow"/>
                <w:b/>
                <w:bCs/>
                <w:color w:val="000000"/>
                <w:sz w:val="22"/>
                <w:szCs w:val="22"/>
              </w:rPr>
              <w:t>45</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0F78D758" w14:textId="01303AB4" w:rsidR="000D33CA" w:rsidRPr="000D33CA" w:rsidRDefault="000D33CA" w:rsidP="000D33CA">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29EA0C3C" w14:textId="77777777" w:rsidR="000D33CA" w:rsidRPr="000D33CA" w:rsidRDefault="000D33CA" w:rsidP="000D33CA">
            <w:pPr>
              <w:rPr>
                <w:rFonts w:ascii="Arial Narrow" w:eastAsia="Times New Roman" w:hAnsi="Arial Narrow"/>
                <w:b/>
                <w:bCs/>
                <w:color w:val="000000"/>
                <w:sz w:val="22"/>
                <w:szCs w:val="22"/>
              </w:rPr>
            </w:pPr>
            <w:r w:rsidRPr="000D33CA">
              <w:rPr>
                <w:rFonts w:ascii="Arial Narrow" w:eastAsia="Times New Roman" w:hAnsi="Arial Narrow"/>
                <w:b/>
                <w:bCs/>
                <w:color w:val="000000"/>
                <w:sz w:val="22"/>
                <w:szCs w:val="22"/>
              </w:rPr>
              <w:t>Ausencias retribuidas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6BD5B82A" w14:textId="77777777" w:rsidR="000D33CA" w:rsidRDefault="000D33CA" w:rsidP="000D33CA">
            <w:pPr>
              <w:jc w:val="both"/>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NICSP N° 39,</w:t>
            </w:r>
          </w:p>
          <w:p w14:paraId="12E4154B" w14:textId="09F3B71A" w:rsidR="000D33CA" w:rsidRPr="000D33CA" w:rsidRDefault="000D33CA" w:rsidP="000D33CA">
            <w:pPr>
              <w:jc w:val="both"/>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Párrafo 14.</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53119A43" w14:textId="77777777" w:rsidR="000D33CA" w:rsidRPr="000D33CA" w:rsidRDefault="000D33CA" w:rsidP="000D33CA">
            <w:pPr>
              <w:jc w:val="center"/>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 xml:space="preserve"> </w:t>
            </w:r>
          </w:p>
        </w:tc>
      </w:tr>
      <w:tr w:rsidR="000D33CA" w:rsidRPr="000D33CA" w14:paraId="794E9567" w14:textId="77777777" w:rsidTr="000D33CA">
        <w:trPr>
          <w:trHeight w:val="63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897B3A9" w14:textId="77777777" w:rsidR="000D33CA" w:rsidRPr="000D33CA" w:rsidRDefault="000D33CA" w:rsidP="000D33CA">
            <w:pPr>
              <w:jc w:val="center"/>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6ED45354" w14:textId="77777777" w:rsidR="000D33CA" w:rsidRPr="000D33CA" w:rsidRDefault="000D33CA" w:rsidP="000D33CA">
            <w:pPr>
              <w:jc w:val="center"/>
              <w:rPr>
                <w:rFonts w:ascii="Arial Narrow" w:eastAsia="Times New Roman" w:hAnsi="Arial Narrow"/>
                <w:b/>
                <w:bCs/>
                <w:color w:val="000000"/>
                <w:sz w:val="22"/>
                <w:szCs w:val="22"/>
              </w:rPr>
            </w:pPr>
            <w:r w:rsidRPr="000D33CA">
              <w:rPr>
                <w:rFonts w:ascii="Arial Narrow" w:eastAsia="Times New Roman" w:hAnsi="Arial Narrow"/>
                <w:b/>
                <w:bCs/>
                <w:color w:val="000000"/>
                <w:sz w:val="22"/>
                <w:szCs w:val="22"/>
              </w:rPr>
              <w:t>45</w:t>
            </w:r>
          </w:p>
        </w:tc>
        <w:tc>
          <w:tcPr>
            <w:tcW w:w="520" w:type="dxa"/>
            <w:tcBorders>
              <w:top w:val="nil"/>
              <w:left w:val="nil"/>
              <w:bottom w:val="single" w:sz="8" w:space="0" w:color="auto"/>
              <w:right w:val="nil"/>
            </w:tcBorders>
            <w:shd w:val="clear" w:color="auto" w:fill="auto"/>
            <w:vAlign w:val="center"/>
            <w:hideMark/>
          </w:tcPr>
          <w:p w14:paraId="628D9DF2" w14:textId="77777777" w:rsidR="000D33CA" w:rsidRPr="000D33CA" w:rsidRDefault="000D33CA" w:rsidP="000D33CA">
            <w:pPr>
              <w:jc w:val="center"/>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1</w:t>
            </w:r>
          </w:p>
        </w:tc>
        <w:tc>
          <w:tcPr>
            <w:tcW w:w="3740" w:type="dxa"/>
            <w:tcBorders>
              <w:top w:val="nil"/>
              <w:left w:val="single" w:sz="8" w:space="0" w:color="auto"/>
              <w:bottom w:val="single" w:sz="8" w:space="0" w:color="auto"/>
              <w:right w:val="single" w:sz="8" w:space="0" w:color="auto"/>
            </w:tcBorders>
            <w:shd w:val="clear" w:color="auto" w:fill="auto"/>
            <w:vAlign w:val="center"/>
            <w:hideMark/>
          </w:tcPr>
          <w:p w14:paraId="6DF1446C" w14:textId="77777777" w:rsidR="000D33CA" w:rsidRPr="000D33CA" w:rsidRDefault="000D33CA" w:rsidP="000D33CA">
            <w:pPr>
              <w:rPr>
                <w:rFonts w:ascii="Arial Narrow" w:eastAsia="Times New Roman" w:hAnsi="Arial Narrow"/>
                <w:b/>
                <w:bCs/>
                <w:color w:val="000000"/>
                <w:sz w:val="22"/>
                <w:szCs w:val="22"/>
              </w:rPr>
            </w:pPr>
            <w:r w:rsidRPr="000D33CA">
              <w:rPr>
                <w:rFonts w:ascii="Arial Narrow" w:eastAsia="Times New Roman" w:hAnsi="Arial Narrow"/>
                <w:b/>
                <w:bCs/>
                <w:color w:val="000000"/>
                <w:sz w:val="22"/>
                <w:szCs w:val="22"/>
              </w:rPr>
              <w:t>Reconocimiento del pasivo</w:t>
            </w:r>
          </w:p>
        </w:tc>
        <w:tc>
          <w:tcPr>
            <w:tcW w:w="2280" w:type="dxa"/>
            <w:tcBorders>
              <w:top w:val="nil"/>
              <w:left w:val="nil"/>
              <w:bottom w:val="single" w:sz="8" w:space="0" w:color="auto"/>
              <w:right w:val="single" w:sz="8" w:space="0" w:color="auto"/>
            </w:tcBorders>
            <w:shd w:val="clear" w:color="auto" w:fill="auto"/>
            <w:vAlign w:val="center"/>
            <w:hideMark/>
          </w:tcPr>
          <w:p w14:paraId="2CBED31C" w14:textId="77777777" w:rsidR="000D33CA" w:rsidRDefault="000D33CA" w:rsidP="000D33CA">
            <w:pPr>
              <w:jc w:val="both"/>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NICSP N° 39,</w:t>
            </w:r>
          </w:p>
          <w:p w14:paraId="5BDAD892" w14:textId="66AA4264" w:rsidR="000D33CA" w:rsidRPr="000D33CA" w:rsidRDefault="000D33CA" w:rsidP="000D33CA">
            <w:pPr>
              <w:jc w:val="both"/>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Párrafo 168.</w:t>
            </w:r>
          </w:p>
        </w:tc>
        <w:tc>
          <w:tcPr>
            <w:tcW w:w="2100" w:type="dxa"/>
            <w:tcBorders>
              <w:top w:val="nil"/>
              <w:left w:val="nil"/>
              <w:bottom w:val="single" w:sz="8" w:space="0" w:color="auto"/>
              <w:right w:val="single" w:sz="8" w:space="0" w:color="auto"/>
            </w:tcBorders>
            <w:shd w:val="clear" w:color="auto" w:fill="auto"/>
            <w:vAlign w:val="center"/>
            <w:hideMark/>
          </w:tcPr>
          <w:p w14:paraId="75B34442" w14:textId="77777777" w:rsidR="000D33CA" w:rsidRPr="000D33CA" w:rsidRDefault="000D33CA" w:rsidP="000D33CA">
            <w:pPr>
              <w:jc w:val="center"/>
              <w:rPr>
                <w:rFonts w:ascii="Arial Narrow" w:eastAsia="Times New Roman" w:hAnsi="Arial Narrow" w:cs="Calibri"/>
                <w:b/>
                <w:bCs/>
                <w:color w:val="000000"/>
                <w:sz w:val="22"/>
                <w:szCs w:val="22"/>
              </w:rPr>
            </w:pPr>
            <w:r w:rsidRPr="000D33CA">
              <w:rPr>
                <w:rFonts w:ascii="Arial Narrow" w:eastAsia="Times New Roman" w:hAnsi="Arial Narrow" w:cs="Calibri"/>
                <w:b/>
                <w:bCs/>
                <w:color w:val="000000"/>
                <w:sz w:val="22"/>
                <w:szCs w:val="22"/>
              </w:rPr>
              <w:t xml:space="preserve"> </w:t>
            </w:r>
          </w:p>
        </w:tc>
      </w:tr>
    </w:tbl>
    <w:p w14:paraId="4F374CC5" w14:textId="77777777" w:rsidR="006C35CE" w:rsidRDefault="006C35CE" w:rsidP="00C522E2">
      <w:pPr>
        <w:spacing w:line="238" w:lineRule="auto"/>
        <w:ind w:left="1134" w:right="260" w:hanging="1134"/>
        <w:jc w:val="both"/>
        <w:rPr>
          <w:rFonts w:ascii="Arial" w:eastAsia="Arial" w:hAnsi="Arial"/>
          <w:b/>
          <w:sz w:val="22"/>
          <w:szCs w:val="22"/>
          <w:lang w:val="es-CR"/>
        </w:rPr>
      </w:pPr>
    </w:p>
    <w:p w14:paraId="2A8796E5" w14:textId="2EB4A031" w:rsidR="00FD48A0" w:rsidRDefault="00FD48A0"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29ADCF2" w14:textId="77777777" w:rsidR="00FD48A0" w:rsidRDefault="00FD48A0" w:rsidP="00C522E2">
      <w:pPr>
        <w:spacing w:line="238" w:lineRule="auto"/>
        <w:ind w:left="1134" w:right="260" w:hanging="1134"/>
        <w:jc w:val="both"/>
        <w:rPr>
          <w:rFonts w:ascii="Arial" w:eastAsia="Arial" w:hAnsi="Arial"/>
          <w:b/>
          <w:sz w:val="22"/>
          <w:szCs w:val="22"/>
          <w:lang w:val="es-CR"/>
        </w:rPr>
      </w:pPr>
    </w:p>
    <w:p w14:paraId="37639882" w14:textId="4A78B3CF" w:rsidR="000D33CA" w:rsidRDefault="000D33CA" w:rsidP="000D33CA">
      <w:pPr>
        <w:spacing w:line="238" w:lineRule="auto"/>
        <w:ind w:left="1134" w:right="-138" w:hanging="1134"/>
        <w:jc w:val="both"/>
        <w:rPr>
          <w:rFonts w:ascii="Arial" w:hAnsi="Arial"/>
          <w:sz w:val="22"/>
          <w:szCs w:val="22"/>
          <w:lang w:val="es-CR"/>
        </w:rPr>
      </w:pPr>
      <w:r>
        <w:rPr>
          <w:rFonts w:ascii="Arial" w:hAnsi="Arial"/>
          <w:sz w:val="22"/>
          <w:szCs w:val="22"/>
          <w:lang w:val="es-CR"/>
        </w:rPr>
        <w:t>2.45.0.01</w:t>
      </w:r>
      <w:r>
        <w:rPr>
          <w:rFonts w:ascii="Arial" w:hAnsi="Arial"/>
          <w:sz w:val="22"/>
          <w:szCs w:val="22"/>
          <w:lang w:val="es-CR"/>
        </w:rPr>
        <w:tab/>
        <w:t>L</w:t>
      </w:r>
      <w:r w:rsidRPr="000D33CA">
        <w:rPr>
          <w:rFonts w:ascii="Arial" w:hAnsi="Arial"/>
          <w:sz w:val="22"/>
          <w:szCs w:val="22"/>
          <w:lang w:val="es-CR"/>
        </w:rPr>
        <w:t xml:space="preserve">a </w:t>
      </w:r>
      <w:r w:rsidR="000F29DC">
        <w:rPr>
          <w:rFonts w:ascii="Arial" w:hAnsi="Arial"/>
          <w:sz w:val="22"/>
          <w:szCs w:val="22"/>
          <w:lang w:val="es-CR"/>
        </w:rPr>
        <w:t>MBA</w:t>
      </w:r>
      <w:r w:rsidRPr="000D33CA">
        <w:rPr>
          <w:rFonts w:ascii="Arial" w:hAnsi="Arial"/>
          <w:sz w:val="22"/>
          <w:szCs w:val="22"/>
          <w:lang w:val="es-CR"/>
        </w:rPr>
        <w:t xml:space="preserve"> remunerar</w:t>
      </w:r>
      <w:r>
        <w:rPr>
          <w:rFonts w:ascii="Arial" w:hAnsi="Arial"/>
          <w:sz w:val="22"/>
          <w:szCs w:val="22"/>
          <w:lang w:val="es-CR"/>
        </w:rPr>
        <w:t>á</w:t>
      </w:r>
      <w:r w:rsidRPr="000D33CA">
        <w:rPr>
          <w:rFonts w:ascii="Arial" w:hAnsi="Arial"/>
          <w:sz w:val="22"/>
          <w:szCs w:val="22"/>
          <w:lang w:val="es-CR"/>
        </w:rPr>
        <w:t xml:space="preserve"> los permisos a los empleados por razones muy variadas, incluyendo enfermedad o incapacidad transitoria, maternidad o paternidad, pertenencia a jurados y realización del servicio militar. Las ausencias retribuidas pueden clasificarse en dos categorías:</w:t>
      </w:r>
    </w:p>
    <w:p w14:paraId="5A4C1C8D" w14:textId="77777777" w:rsidR="000D33CA" w:rsidRPr="000D33CA" w:rsidRDefault="000D33CA" w:rsidP="000D33CA">
      <w:pPr>
        <w:spacing w:line="238" w:lineRule="auto"/>
        <w:ind w:left="1134" w:right="-138" w:hanging="1134"/>
        <w:jc w:val="both"/>
        <w:rPr>
          <w:rFonts w:ascii="Arial" w:hAnsi="Arial"/>
          <w:sz w:val="22"/>
          <w:szCs w:val="22"/>
          <w:lang w:val="es-CR"/>
        </w:rPr>
      </w:pPr>
    </w:p>
    <w:p w14:paraId="02DE941D" w14:textId="343F156E" w:rsidR="000D33CA" w:rsidRPr="000D33CA" w:rsidRDefault="000D33CA">
      <w:pPr>
        <w:pStyle w:val="Default"/>
        <w:numPr>
          <w:ilvl w:val="1"/>
          <w:numId w:val="166"/>
        </w:numPr>
        <w:spacing w:after="120"/>
        <w:ind w:left="1559" w:hanging="425"/>
        <w:jc w:val="both"/>
        <w:rPr>
          <w:sz w:val="23"/>
          <w:szCs w:val="23"/>
          <w:lang w:val="es-CR"/>
        </w:rPr>
      </w:pPr>
      <w:r>
        <w:rPr>
          <w:sz w:val="23"/>
          <w:szCs w:val="23"/>
          <w:lang w:val="es-CR"/>
        </w:rPr>
        <w:t>A</w:t>
      </w:r>
      <w:r w:rsidRPr="000D33CA">
        <w:rPr>
          <w:sz w:val="23"/>
          <w:szCs w:val="23"/>
          <w:lang w:val="es-CR"/>
        </w:rPr>
        <w:t>cumulativas</w:t>
      </w:r>
      <w:r w:rsidR="0081221D">
        <w:rPr>
          <w:sz w:val="23"/>
          <w:szCs w:val="23"/>
          <w:lang w:val="es-CR"/>
        </w:rPr>
        <w:t>:</w:t>
      </w:r>
      <w:r w:rsidRPr="000D33CA">
        <w:rPr>
          <w:sz w:val="23"/>
          <w:szCs w:val="23"/>
          <w:lang w:val="es-CR"/>
        </w:rPr>
        <w:t xml:space="preserve"> </w:t>
      </w:r>
      <w:r w:rsidR="0081221D" w:rsidRPr="0081221D">
        <w:rPr>
          <w:sz w:val="23"/>
          <w:szCs w:val="23"/>
          <w:lang w:val="es-CR"/>
        </w:rPr>
        <w:t>aquéllas cuyos derechos de usufructo se aplazan o trasladan a futuros períodos, en caso de no haberse hecho uso completo del derecho durante el período presente, como es el caso de las ausencias o licencias por vacaciones anuales</w:t>
      </w:r>
      <w:r w:rsidR="0081221D">
        <w:rPr>
          <w:sz w:val="23"/>
          <w:szCs w:val="23"/>
          <w:lang w:val="es-CR"/>
        </w:rPr>
        <w:t>.</w:t>
      </w:r>
    </w:p>
    <w:p w14:paraId="2FE4CAB1" w14:textId="5E3CCD81" w:rsidR="000D33CA" w:rsidRPr="000D33CA" w:rsidRDefault="000D33CA">
      <w:pPr>
        <w:pStyle w:val="Default"/>
        <w:numPr>
          <w:ilvl w:val="1"/>
          <w:numId w:val="166"/>
        </w:numPr>
        <w:ind w:left="1559" w:hanging="425"/>
        <w:jc w:val="both"/>
        <w:rPr>
          <w:sz w:val="23"/>
          <w:szCs w:val="23"/>
          <w:lang w:val="es-CR"/>
        </w:rPr>
      </w:pPr>
      <w:r>
        <w:rPr>
          <w:sz w:val="23"/>
          <w:szCs w:val="23"/>
          <w:lang w:val="es-CR"/>
        </w:rPr>
        <w:t>N</w:t>
      </w:r>
      <w:r w:rsidRPr="000D33CA">
        <w:rPr>
          <w:sz w:val="23"/>
          <w:szCs w:val="23"/>
          <w:lang w:val="es-CR"/>
        </w:rPr>
        <w:t>o acumulativas</w:t>
      </w:r>
      <w:r w:rsidR="0081221D">
        <w:rPr>
          <w:sz w:val="23"/>
          <w:szCs w:val="23"/>
          <w:lang w:val="es-CR"/>
        </w:rPr>
        <w:t xml:space="preserve">: </w:t>
      </w:r>
      <w:r w:rsidR="0081221D" w:rsidRPr="0081221D">
        <w:rPr>
          <w:sz w:val="23"/>
          <w:szCs w:val="23"/>
          <w:lang w:val="es-CR"/>
        </w:rPr>
        <w:t>aquéllas cuyos derechos de usufructo no se trasladan al futuro, como es el caso de ausencias por enfermedad (siempre que no exista un acuerdo respecto de su acumulación), por maternidad o paternidad, por fallecimiento de familiares y otras análoga</w:t>
      </w:r>
      <w:r w:rsidR="0081221D">
        <w:rPr>
          <w:sz w:val="23"/>
          <w:szCs w:val="23"/>
          <w:lang w:val="es-CR"/>
        </w:rPr>
        <w:t>s.</w:t>
      </w:r>
    </w:p>
    <w:p w14:paraId="7740BDF1" w14:textId="2959BED9" w:rsidR="000D33CA" w:rsidRPr="000D33CA" w:rsidRDefault="000D33CA" w:rsidP="000D33CA">
      <w:pPr>
        <w:pStyle w:val="Default"/>
        <w:rPr>
          <w:sz w:val="23"/>
          <w:szCs w:val="23"/>
          <w:lang w:val="es-CR"/>
        </w:rPr>
      </w:pPr>
    </w:p>
    <w:p w14:paraId="7F383E65" w14:textId="1E93C45A" w:rsidR="006C35CE" w:rsidRPr="00FD48A0" w:rsidRDefault="000D33CA" w:rsidP="000D33CA">
      <w:pPr>
        <w:spacing w:line="238" w:lineRule="auto"/>
        <w:ind w:left="1134" w:right="-138" w:hanging="1134"/>
        <w:jc w:val="both"/>
        <w:rPr>
          <w:rFonts w:ascii="Arial" w:hAnsi="Arial"/>
          <w:sz w:val="22"/>
          <w:szCs w:val="22"/>
          <w:lang w:val="es-CR"/>
        </w:rPr>
      </w:pPr>
      <w:r w:rsidRPr="00FD48A0">
        <w:rPr>
          <w:rFonts w:ascii="Arial" w:hAnsi="Arial"/>
          <w:sz w:val="22"/>
          <w:szCs w:val="22"/>
          <w:lang w:val="es-CR"/>
        </w:rPr>
        <w:t>2.45.1.01</w:t>
      </w:r>
      <w:r w:rsidRPr="00FD48A0">
        <w:rPr>
          <w:rFonts w:ascii="Arial" w:hAnsi="Arial"/>
          <w:sz w:val="22"/>
          <w:szCs w:val="22"/>
          <w:lang w:val="es-CR"/>
        </w:rPr>
        <w:tab/>
        <w:t xml:space="preserve">La </w:t>
      </w:r>
      <w:r w:rsidR="000F29DC" w:rsidRPr="00FD48A0">
        <w:rPr>
          <w:rFonts w:ascii="Arial" w:hAnsi="Arial"/>
          <w:sz w:val="22"/>
          <w:szCs w:val="22"/>
          <w:lang w:val="es-CR"/>
        </w:rPr>
        <w:t>MBA</w:t>
      </w:r>
      <w:r w:rsidRPr="00FD48A0">
        <w:rPr>
          <w:rFonts w:ascii="Arial" w:hAnsi="Arial"/>
          <w:sz w:val="22"/>
          <w:szCs w:val="22"/>
          <w:lang w:val="es-CR"/>
        </w:rPr>
        <w:t xml:space="preserve"> no reconocerá pasivos o gastos </w:t>
      </w:r>
      <w:r w:rsidR="0081221D" w:rsidRPr="00FD48A0">
        <w:rPr>
          <w:rFonts w:ascii="Arial" w:hAnsi="Arial"/>
          <w:sz w:val="22"/>
          <w:szCs w:val="22"/>
          <w:lang w:val="es-CR"/>
        </w:rPr>
        <w:t xml:space="preserve">por ausencias </w:t>
      </w:r>
      <w:r w:rsidR="00F20FB4" w:rsidRPr="00FD48A0">
        <w:rPr>
          <w:rFonts w:ascii="Arial" w:hAnsi="Arial"/>
          <w:sz w:val="22"/>
          <w:szCs w:val="22"/>
          <w:lang w:val="es-CR"/>
        </w:rPr>
        <w:t>retribuidas</w:t>
      </w:r>
      <w:r w:rsidR="0081221D" w:rsidRPr="00FD48A0">
        <w:rPr>
          <w:rFonts w:ascii="Arial" w:hAnsi="Arial"/>
          <w:sz w:val="22"/>
          <w:szCs w:val="22"/>
          <w:lang w:val="es-CR"/>
        </w:rPr>
        <w:t xml:space="preserve"> hasta el momento</w:t>
      </w:r>
      <w:r w:rsidRPr="00FD48A0">
        <w:rPr>
          <w:rFonts w:ascii="Arial" w:hAnsi="Arial"/>
          <w:sz w:val="22"/>
          <w:szCs w:val="22"/>
          <w:lang w:val="es-CR"/>
        </w:rPr>
        <w:t xml:space="preserve"> </w:t>
      </w:r>
      <w:r w:rsidR="0081221D" w:rsidRPr="00FD48A0">
        <w:rPr>
          <w:rFonts w:ascii="Arial" w:hAnsi="Arial"/>
          <w:sz w:val="22"/>
          <w:szCs w:val="22"/>
          <w:lang w:val="es-CR"/>
        </w:rPr>
        <w:t xml:space="preserve">que ocurran las ausencias, </w:t>
      </w:r>
      <w:r w:rsidRPr="00FD48A0">
        <w:rPr>
          <w:rFonts w:ascii="Arial" w:hAnsi="Arial"/>
          <w:sz w:val="22"/>
          <w:szCs w:val="22"/>
          <w:lang w:val="es-CR"/>
        </w:rPr>
        <w:t>puesto que los servicios prestados por los empleados no aumentan el importe del beneficio.</w:t>
      </w:r>
    </w:p>
    <w:p w14:paraId="4FC8B1EE" w14:textId="28827113" w:rsidR="00B90B64" w:rsidRDefault="00B90B64" w:rsidP="00B90B64">
      <w:pPr>
        <w:spacing w:line="238" w:lineRule="auto"/>
        <w:ind w:left="1134" w:right="-138" w:hanging="1134"/>
        <w:jc w:val="both"/>
        <w:rPr>
          <w:rFonts w:ascii="Arial" w:hAnsi="Arial"/>
          <w:sz w:val="22"/>
          <w:szCs w:val="22"/>
          <w:lang w:val="es-CR"/>
        </w:rPr>
      </w:pPr>
    </w:p>
    <w:p w14:paraId="2EECF006" w14:textId="77777777" w:rsidR="00F20FB4" w:rsidRDefault="00F20FB4" w:rsidP="00B90B64">
      <w:pPr>
        <w:spacing w:line="238" w:lineRule="auto"/>
        <w:ind w:left="1134" w:right="-138" w:hanging="1134"/>
        <w:jc w:val="both"/>
        <w:rPr>
          <w:rFonts w:ascii="Arial" w:hAnsi="Arial"/>
          <w:sz w:val="22"/>
          <w:szCs w:val="22"/>
          <w:lang w:val="es-CR"/>
        </w:rPr>
      </w:pPr>
    </w:p>
    <w:tbl>
      <w:tblPr>
        <w:tblW w:w="9700" w:type="dxa"/>
        <w:tblLook w:val="04A0" w:firstRow="1" w:lastRow="0" w:firstColumn="1" w:lastColumn="0" w:noHBand="0" w:noVBand="1"/>
      </w:tblPr>
      <w:tblGrid>
        <w:gridCol w:w="645"/>
        <w:gridCol w:w="417"/>
        <w:gridCol w:w="621"/>
        <w:gridCol w:w="3686"/>
        <w:gridCol w:w="2246"/>
        <w:gridCol w:w="2085"/>
      </w:tblGrid>
      <w:tr w:rsidR="00F20FB4" w:rsidRPr="004D6AF6" w14:paraId="42816E41" w14:textId="77777777" w:rsidTr="00FD48A0">
        <w:trPr>
          <w:trHeight w:val="320"/>
        </w:trPr>
        <w:tc>
          <w:tcPr>
            <w:tcW w:w="168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2806A6E" w14:textId="77777777" w:rsidR="00F20FB4" w:rsidRPr="004D6AF6" w:rsidRDefault="00F20FB4" w:rsidP="00F20FB4">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Norma / Política</w:t>
            </w:r>
          </w:p>
        </w:tc>
        <w:tc>
          <w:tcPr>
            <w:tcW w:w="3686" w:type="dxa"/>
            <w:vMerge w:val="restart"/>
            <w:tcBorders>
              <w:top w:val="single" w:sz="8" w:space="0" w:color="auto"/>
              <w:left w:val="single" w:sz="8" w:space="0" w:color="auto"/>
              <w:bottom w:val="nil"/>
              <w:right w:val="single" w:sz="8" w:space="0" w:color="auto"/>
            </w:tcBorders>
            <w:shd w:val="clear" w:color="000000" w:fill="203764"/>
            <w:vAlign w:val="center"/>
            <w:hideMark/>
          </w:tcPr>
          <w:p w14:paraId="537FDB9F" w14:textId="77777777" w:rsidR="00F20FB4" w:rsidRPr="004D6AF6" w:rsidRDefault="00F20FB4" w:rsidP="00F20FB4">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Concepto</w:t>
            </w:r>
          </w:p>
        </w:tc>
        <w:tc>
          <w:tcPr>
            <w:tcW w:w="4331" w:type="dxa"/>
            <w:gridSpan w:val="2"/>
            <w:tcBorders>
              <w:top w:val="single" w:sz="8" w:space="0" w:color="auto"/>
              <w:left w:val="nil"/>
              <w:bottom w:val="single" w:sz="8" w:space="0" w:color="auto"/>
              <w:right w:val="single" w:sz="8" w:space="0" w:color="000000"/>
            </w:tcBorders>
            <w:shd w:val="clear" w:color="000000" w:fill="203764"/>
            <w:vAlign w:val="center"/>
            <w:hideMark/>
          </w:tcPr>
          <w:p w14:paraId="6B193E8C" w14:textId="77777777" w:rsidR="00F20FB4" w:rsidRPr="004D6AF6" w:rsidRDefault="00F20FB4" w:rsidP="00F20FB4">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Referencia</w:t>
            </w:r>
          </w:p>
        </w:tc>
      </w:tr>
      <w:tr w:rsidR="00F20FB4" w:rsidRPr="006E5442" w14:paraId="33316B15" w14:textId="77777777" w:rsidTr="00FD48A0">
        <w:trPr>
          <w:trHeight w:val="940"/>
        </w:trPr>
        <w:tc>
          <w:tcPr>
            <w:tcW w:w="1683" w:type="dxa"/>
            <w:gridSpan w:val="3"/>
            <w:vMerge/>
            <w:tcBorders>
              <w:top w:val="single" w:sz="8" w:space="0" w:color="auto"/>
              <w:left w:val="single" w:sz="8" w:space="0" w:color="auto"/>
              <w:bottom w:val="nil"/>
              <w:right w:val="single" w:sz="8" w:space="0" w:color="000000"/>
            </w:tcBorders>
            <w:vAlign w:val="center"/>
            <w:hideMark/>
          </w:tcPr>
          <w:p w14:paraId="7A6F94F1" w14:textId="77777777" w:rsidR="00F20FB4" w:rsidRPr="004D6AF6" w:rsidRDefault="00F20FB4" w:rsidP="00F20FB4">
            <w:pPr>
              <w:rPr>
                <w:rFonts w:ascii="Arial Narrow" w:eastAsia="Times New Roman" w:hAnsi="Arial Narrow" w:cs="Calibri"/>
                <w:b/>
                <w:bCs/>
                <w:color w:val="FFFFFF"/>
                <w:sz w:val="22"/>
                <w:szCs w:val="22"/>
              </w:rPr>
            </w:pPr>
          </w:p>
        </w:tc>
        <w:tc>
          <w:tcPr>
            <w:tcW w:w="3686" w:type="dxa"/>
            <w:vMerge/>
            <w:tcBorders>
              <w:top w:val="single" w:sz="8" w:space="0" w:color="auto"/>
              <w:left w:val="single" w:sz="8" w:space="0" w:color="auto"/>
              <w:bottom w:val="nil"/>
              <w:right w:val="single" w:sz="8" w:space="0" w:color="auto"/>
            </w:tcBorders>
            <w:vAlign w:val="center"/>
            <w:hideMark/>
          </w:tcPr>
          <w:p w14:paraId="25B1DFE2" w14:textId="77777777" w:rsidR="00F20FB4" w:rsidRPr="004D6AF6" w:rsidRDefault="00F20FB4" w:rsidP="00F20FB4">
            <w:pPr>
              <w:rPr>
                <w:rFonts w:ascii="Arial Narrow" w:eastAsia="Times New Roman" w:hAnsi="Arial Narrow" w:cs="Calibri"/>
                <w:b/>
                <w:bCs/>
                <w:color w:val="FFFFFF"/>
                <w:sz w:val="22"/>
                <w:szCs w:val="22"/>
              </w:rPr>
            </w:pPr>
          </w:p>
        </w:tc>
        <w:tc>
          <w:tcPr>
            <w:tcW w:w="2246" w:type="dxa"/>
            <w:tcBorders>
              <w:top w:val="nil"/>
              <w:left w:val="nil"/>
              <w:bottom w:val="nil"/>
              <w:right w:val="single" w:sz="8" w:space="0" w:color="auto"/>
            </w:tcBorders>
            <w:shd w:val="clear" w:color="000000" w:fill="203764"/>
            <w:vAlign w:val="center"/>
            <w:hideMark/>
          </w:tcPr>
          <w:p w14:paraId="33E69E2B" w14:textId="77777777" w:rsidR="00F20FB4" w:rsidRPr="004D6AF6" w:rsidRDefault="00F20FB4" w:rsidP="00F20FB4">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Norma</w:t>
            </w:r>
          </w:p>
        </w:tc>
        <w:tc>
          <w:tcPr>
            <w:tcW w:w="2085" w:type="dxa"/>
            <w:tcBorders>
              <w:top w:val="nil"/>
              <w:left w:val="nil"/>
              <w:bottom w:val="nil"/>
              <w:right w:val="single" w:sz="8" w:space="0" w:color="auto"/>
            </w:tcBorders>
            <w:shd w:val="clear" w:color="000000" w:fill="203764"/>
            <w:vAlign w:val="center"/>
            <w:hideMark/>
          </w:tcPr>
          <w:p w14:paraId="314EB2E3" w14:textId="77777777" w:rsidR="00F20FB4" w:rsidRPr="004D6AF6" w:rsidRDefault="00F20FB4" w:rsidP="00F20FB4">
            <w:pPr>
              <w:jc w:val="center"/>
              <w:rPr>
                <w:rFonts w:ascii="Arial Narrow" w:eastAsia="Times New Roman" w:hAnsi="Arial Narrow" w:cs="Calibri"/>
                <w:b/>
                <w:bCs/>
                <w:color w:val="FFFFFF"/>
                <w:sz w:val="22"/>
                <w:szCs w:val="22"/>
                <w:lang w:val="es-CR"/>
              </w:rPr>
            </w:pPr>
            <w:r w:rsidRPr="004D6AF6">
              <w:rPr>
                <w:rFonts w:ascii="Arial Narrow" w:eastAsia="Times New Roman" w:hAnsi="Arial Narrow" w:cs="Calibri"/>
                <w:b/>
                <w:bCs/>
                <w:color w:val="FFFFFF"/>
                <w:sz w:val="22"/>
                <w:szCs w:val="22"/>
                <w:lang w:val="es-CR"/>
              </w:rPr>
              <w:t>Normativa técnica y disposiciones adicionales</w:t>
            </w:r>
          </w:p>
        </w:tc>
      </w:tr>
      <w:tr w:rsidR="00F20FB4" w:rsidRPr="006E5442" w14:paraId="24A17618" w14:textId="77777777" w:rsidTr="00FD48A0">
        <w:trPr>
          <w:trHeight w:val="630"/>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E5DC73" w14:textId="77777777" w:rsidR="00F20FB4" w:rsidRPr="004D6AF6" w:rsidRDefault="00F20FB4" w:rsidP="00F20FB4">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5246D6C2" w14:textId="77777777" w:rsidR="00F20FB4" w:rsidRPr="004D6AF6" w:rsidRDefault="00F20FB4" w:rsidP="00F20FB4">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46</w:t>
            </w:r>
          </w:p>
        </w:tc>
        <w:tc>
          <w:tcPr>
            <w:tcW w:w="621" w:type="dxa"/>
            <w:tcBorders>
              <w:top w:val="single" w:sz="8" w:space="0" w:color="auto"/>
              <w:left w:val="nil"/>
              <w:bottom w:val="single" w:sz="8" w:space="0" w:color="auto"/>
              <w:right w:val="single" w:sz="8" w:space="0" w:color="auto"/>
            </w:tcBorders>
            <w:shd w:val="clear" w:color="auto" w:fill="auto"/>
            <w:vAlign w:val="center"/>
            <w:hideMark/>
          </w:tcPr>
          <w:p w14:paraId="02A9A60C" w14:textId="77777777" w:rsidR="00F20FB4" w:rsidRPr="004D6AF6" w:rsidRDefault="00F20FB4" w:rsidP="00F20FB4">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0</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14:paraId="4153DE78" w14:textId="77777777" w:rsidR="00F20FB4" w:rsidRPr="004D6AF6" w:rsidRDefault="00F20FB4" w:rsidP="00F20FB4">
            <w:pPr>
              <w:jc w:val="both"/>
              <w:rPr>
                <w:rFonts w:ascii="Arial Narrow" w:eastAsia="Times New Roman" w:hAnsi="Arial Narrow" w:cs="Calibri"/>
                <w:b/>
                <w:bCs/>
                <w:color w:val="000000"/>
                <w:sz w:val="22"/>
                <w:szCs w:val="22"/>
                <w:lang w:val="es-CR"/>
              </w:rPr>
            </w:pPr>
            <w:r w:rsidRPr="004D6AF6">
              <w:rPr>
                <w:rFonts w:ascii="Arial Narrow" w:eastAsia="Times New Roman" w:hAnsi="Arial Narrow" w:cs="Calibri"/>
                <w:b/>
                <w:bCs/>
                <w:color w:val="000000"/>
                <w:sz w:val="22"/>
                <w:szCs w:val="22"/>
                <w:lang w:val="es-CR"/>
              </w:rPr>
              <w:t>Revisión continua de pasivos por ausencias remuneradas acumulativas</w:t>
            </w:r>
          </w:p>
        </w:tc>
        <w:tc>
          <w:tcPr>
            <w:tcW w:w="2246" w:type="dxa"/>
            <w:tcBorders>
              <w:top w:val="single" w:sz="8" w:space="0" w:color="auto"/>
              <w:left w:val="nil"/>
              <w:bottom w:val="single" w:sz="8" w:space="0" w:color="auto"/>
              <w:right w:val="single" w:sz="8" w:space="0" w:color="auto"/>
            </w:tcBorders>
            <w:shd w:val="clear" w:color="auto" w:fill="auto"/>
            <w:vAlign w:val="center"/>
          </w:tcPr>
          <w:p w14:paraId="498A7FB5" w14:textId="02A1EF98" w:rsidR="00F20FB4" w:rsidRPr="004D6AF6" w:rsidRDefault="00F20FB4" w:rsidP="00F20FB4">
            <w:pPr>
              <w:jc w:val="both"/>
              <w:rPr>
                <w:rFonts w:ascii="Arial Narrow" w:eastAsia="Times New Roman" w:hAnsi="Arial Narrow" w:cs="Calibri"/>
                <w:b/>
                <w:bCs/>
                <w:color w:val="000000"/>
                <w:sz w:val="22"/>
                <w:szCs w:val="22"/>
                <w:lang w:val="es-CR"/>
              </w:rPr>
            </w:pPr>
          </w:p>
        </w:tc>
        <w:tc>
          <w:tcPr>
            <w:tcW w:w="2085" w:type="dxa"/>
            <w:tcBorders>
              <w:top w:val="single" w:sz="8" w:space="0" w:color="auto"/>
              <w:left w:val="nil"/>
              <w:bottom w:val="single" w:sz="8" w:space="0" w:color="auto"/>
              <w:right w:val="single" w:sz="8" w:space="0" w:color="auto"/>
            </w:tcBorders>
            <w:shd w:val="clear" w:color="auto" w:fill="auto"/>
            <w:vAlign w:val="center"/>
            <w:hideMark/>
          </w:tcPr>
          <w:p w14:paraId="615212A0" w14:textId="77777777" w:rsidR="00F20FB4" w:rsidRPr="004D6AF6" w:rsidRDefault="00F20FB4" w:rsidP="00F20FB4">
            <w:pPr>
              <w:jc w:val="center"/>
              <w:rPr>
                <w:rFonts w:ascii="Arial Narrow" w:eastAsia="Times New Roman" w:hAnsi="Arial Narrow" w:cs="Calibri"/>
                <w:b/>
                <w:bCs/>
                <w:color w:val="000000"/>
                <w:sz w:val="22"/>
                <w:szCs w:val="22"/>
                <w:lang w:val="es-CR"/>
              </w:rPr>
            </w:pPr>
            <w:r w:rsidRPr="004D6AF6">
              <w:rPr>
                <w:rFonts w:ascii="Arial Narrow" w:eastAsia="Times New Roman" w:hAnsi="Arial Narrow" w:cs="Calibri"/>
                <w:b/>
                <w:bCs/>
                <w:color w:val="000000"/>
                <w:sz w:val="22"/>
                <w:szCs w:val="22"/>
                <w:lang w:val="es-CR"/>
              </w:rPr>
              <w:t xml:space="preserve"> </w:t>
            </w:r>
          </w:p>
        </w:tc>
      </w:tr>
    </w:tbl>
    <w:p w14:paraId="67484CBA" w14:textId="0037939D" w:rsidR="00F20FB4" w:rsidRPr="0030399E" w:rsidRDefault="00FD48A0" w:rsidP="00B90B64">
      <w:pPr>
        <w:spacing w:line="238" w:lineRule="auto"/>
        <w:ind w:left="1134" w:right="-138" w:hanging="1134"/>
        <w:jc w:val="both"/>
        <w:rPr>
          <w:rFonts w:ascii="Arial" w:eastAsia="Arial" w:hAnsi="Arial"/>
          <w:b/>
          <w:sz w:val="22"/>
          <w:szCs w:val="22"/>
          <w:lang w:val="es-CR"/>
        </w:rPr>
      </w:pPr>
      <w:r w:rsidRPr="0030399E">
        <w:rPr>
          <w:rFonts w:ascii="Arial" w:eastAsia="Arial" w:hAnsi="Arial"/>
          <w:b/>
          <w:sz w:val="22"/>
          <w:szCs w:val="22"/>
          <w:lang w:val="es-CR"/>
        </w:rPr>
        <w:lastRenderedPageBreak/>
        <w:t>Política Contable</w:t>
      </w:r>
    </w:p>
    <w:p w14:paraId="76D5148A" w14:textId="77777777" w:rsidR="00FD48A0" w:rsidRPr="00F20FB4" w:rsidRDefault="00FD48A0" w:rsidP="00B90B64">
      <w:pPr>
        <w:spacing w:line="238" w:lineRule="auto"/>
        <w:ind w:left="1134" w:right="-138" w:hanging="1134"/>
        <w:jc w:val="both"/>
        <w:rPr>
          <w:rFonts w:ascii="Arial" w:hAnsi="Arial"/>
          <w:sz w:val="22"/>
          <w:szCs w:val="22"/>
          <w:lang w:val="es-CR"/>
        </w:rPr>
      </w:pPr>
    </w:p>
    <w:p w14:paraId="3B3D699C" w14:textId="5F4B0296" w:rsidR="00F20FB4" w:rsidRPr="00F20FB4" w:rsidRDefault="00F20FB4" w:rsidP="00F20FB4">
      <w:pPr>
        <w:spacing w:line="238" w:lineRule="auto"/>
        <w:ind w:left="1134" w:right="-138" w:hanging="1134"/>
        <w:jc w:val="both"/>
        <w:rPr>
          <w:rFonts w:ascii="Arial" w:hAnsi="Arial"/>
          <w:sz w:val="22"/>
          <w:szCs w:val="22"/>
          <w:lang w:val="es-CR"/>
        </w:rPr>
      </w:pPr>
      <w:r w:rsidRPr="00F20FB4">
        <w:rPr>
          <w:rFonts w:ascii="Arial" w:hAnsi="Arial"/>
          <w:sz w:val="22"/>
          <w:szCs w:val="22"/>
          <w:lang w:val="es-CR"/>
        </w:rPr>
        <w:t>2.46.0.01</w:t>
      </w:r>
      <w:r w:rsidRPr="00F20FB4">
        <w:rPr>
          <w:rFonts w:ascii="Arial" w:hAnsi="Arial"/>
          <w:sz w:val="22"/>
          <w:szCs w:val="22"/>
          <w:lang w:val="es-CR"/>
        </w:rPr>
        <w:tab/>
      </w:r>
      <w:r>
        <w:rPr>
          <w:rFonts w:ascii="Arial" w:hAnsi="Arial"/>
          <w:sz w:val="22"/>
          <w:szCs w:val="22"/>
          <w:lang w:val="es-CR"/>
        </w:rPr>
        <w:t>E</w:t>
      </w:r>
      <w:r w:rsidRPr="00F20FB4">
        <w:rPr>
          <w:rFonts w:ascii="Arial" w:hAnsi="Arial"/>
          <w:sz w:val="22"/>
          <w:szCs w:val="22"/>
          <w:lang w:val="es-CR"/>
        </w:rPr>
        <w:t>n cada fecha de cierre deberá medirse el total de ausencias remuneradas acumuladas, a efectos de su comparación con el saldo en libros de los pasivos acumuladas a esos efectos y, de corresponder, realizar los ajustes que resulten pertinentes.</w:t>
      </w:r>
    </w:p>
    <w:p w14:paraId="5D116635" w14:textId="77777777" w:rsidR="00B90B64" w:rsidRPr="00627673" w:rsidRDefault="00B90B64" w:rsidP="00B90B64">
      <w:pPr>
        <w:spacing w:line="295" w:lineRule="exact"/>
        <w:rPr>
          <w:rFonts w:ascii="Times New Roman" w:eastAsia="Times New Roman" w:hAnsi="Times New Roman"/>
          <w:lang w:val="es-CR"/>
        </w:rPr>
      </w:pPr>
    </w:p>
    <w:p w14:paraId="14814937" w14:textId="7F8AE647" w:rsidR="00B90B64" w:rsidRDefault="00B90B64" w:rsidP="000D33CA">
      <w:pPr>
        <w:spacing w:line="238" w:lineRule="auto"/>
        <w:ind w:left="1134" w:right="-138" w:hanging="1134"/>
        <w:jc w:val="both"/>
        <w:rPr>
          <w:rFonts w:ascii="Arial" w:hAnsi="Arial"/>
          <w:sz w:val="22"/>
          <w:szCs w:val="22"/>
          <w:lang w:val="es-CR"/>
        </w:rPr>
      </w:pPr>
    </w:p>
    <w:p w14:paraId="7474E958" w14:textId="77777777" w:rsidR="004D6AF6" w:rsidRPr="000D33CA" w:rsidRDefault="004D6AF6" w:rsidP="000D33CA">
      <w:pPr>
        <w:spacing w:line="238" w:lineRule="auto"/>
        <w:ind w:left="1134" w:right="-138" w:hanging="1134"/>
        <w:jc w:val="both"/>
        <w:rPr>
          <w:rFonts w:ascii="Arial" w:hAnsi="Arial"/>
          <w:sz w:val="22"/>
          <w:szCs w:val="22"/>
          <w:lang w:val="es-CR"/>
        </w:rPr>
      </w:pPr>
    </w:p>
    <w:tbl>
      <w:tblPr>
        <w:tblW w:w="9700" w:type="dxa"/>
        <w:tblLook w:val="04A0" w:firstRow="1" w:lastRow="0" w:firstColumn="1" w:lastColumn="0" w:noHBand="0" w:noVBand="1"/>
      </w:tblPr>
      <w:tblGrid>
        <w:gridCol w:w="540"/>
        <w:gridCol w:w="520"/>
        <w:gridCol w:w="520"/>
        <w:gridCol w:w="3740"/>
        <w:gridCol w:w="2280"/>
        <w:gridCol w:w="2100"/>
      </w:tblGrid>
      <w:tr w:rsidR="00310AB1" w:rsidRPr="00310AB1" w14:paraId="240CDF45" w14:textId="77777777" w:rsidTr="00310AB1">
        <w:trPr>
          <w:trHeight w:val="320"/>
        </w:trPr>
        <w:tc>
          <w:tcPr>
            <w:tcW w:w="15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5DFF329" w14:textId="77777777" w:rsidR="00310AB1" w:rsidRPr="00310AB1" w:rsidRDefault="00310AB1" w:rsidP="00FD48A0">
            <w:pPr>
              <w:rPr>
                <w:rFonts w:ascii="Arial Narrow" w:eastAsia="Times New Roman" w:hAnsi="Arial Narrow" w:cs="Calibri"/>
                <w:b/>
                <w:bCs/>
                <w:color w:val="FFFFFF"/>
                <w:sz w:val="22"/>
                <w:szCs w:val="22"/>
              </w:rPr>
            </w:pPr>
            <w:r w:rsidRPr="00310AB1">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6B804F79" w14:textId="77777777" w:rsidR="00310AB1" w:rsidRPr="00310AB1" w:rsidRDefault="00310AB1" w:rsidP="00310AB1">
            <w:pPr>
              <w:jc w:val="center"/>
              <w:rPr>
                <w:rFonts w:ascii="Arial Narrow" w:eastAsia="Times New Roman" w:hAnsi="Arial Narrow" w:cs="Calibri"/>
                <w:b/>
                <w:bCs/>
                <w:color w:val="FFFFFF"/>
                <w:sz w:val="22"/>
                <w:szCs w:val="22"/>
              </w:rPr>
            </w:pPr>
            <w:r w:rsidRPr="00310AB1">
              <w:rPr>
                <w:rFonts w:ascii="Arial Narrow" w:eastAsia="Times New Roman" w:hAnsi="Arial Narrow" w:cs="Calibri"/>
                <w:b/>
                <w:bCs/>
                <w:color w:val="FFFFFF"/>
                <w:sz w:val="22"/>
                <w:szCs w:val="22"/>
              </w:rPr>
              <w:t>Concepto</w:t>
            </w:r>
          </w:p>
        </w:tc>
        <w:tc>
          <w:tcPr>
            <w:tcW w:w="4380" w:type="dxa"/>
            <w:gridSpan w:val="2"/>
            <w:tcBorders>
              <w:top w:val="nil"/>
              <w:left w:val="nil"/>
              <w:bottom w:val="single" w:sz="8" w:space="0" w:color="auto"/>
              <w:right w:val="single" w:sz="8" w:space="0" w:color="000000"/>
            </w:tcBorders>
            <w:shd w:val="clear" w:color="000000" w:fill="203764"/>
            <w:vAlign w:val="center"/>
            <w:hideMark/>
          </w:tcPr>
          <w:p w14:paraId="3475BE28" w14:textId="77777777" w:rsidR="00310AB1" w:rsidRPr="00310AB1" w:rsidRDefault="00310AB1" w:rsidP="00310AB1">
            <w:pPr>
              <w:jc w:val="center"/>
              <w:rPr>
                <w:rFonts w:ascii="Arial Narrow" w:eastAsia="Times New Roman" w:hAnsi="Arial Narrow" w:cs="Calibri"/>
                <w:b/>
                <w:bCs/>
                <w:color w:val="FFFFFF"/>
                <w:sz w:val="22"/>
                <w:szCs w:val="22"/>
              </w:rPr>
            </w:pPr>
            <w:r w:rsidRPr="00310AB1">
              <w:rPr>
                <w:rFonts w:ascii="Arial Narrow" w:eastAsia="Times New Roman" w:hAnsi="Arial Narrow" w:cs="Calibri"/>
                <w:b/>
                <w:bCs/>
                <w:color w:val="FFFFFF"/>
                <w:sz w:val="22"/>
                <w:szCs w:val="22"/>
              </w:rPr>
              <w:t>Referencia</w:t>
            </w:r>
          </w:p>
        </w:tc>
      </w:tr>
      <w:tr w:rsidR="00310AB1" w:rsidRPr="006E5442" w14:paraId="58F0B9E8" w14:textId="77777777" w:rsidTr="00310AB1">
        <w:trPr>
          <w:trHeight w:val="940"/>
        </w:trPr>
        <w:tc>
          <w:tcPr>
            <w:tcW w:w="1580" w:type="dxa"/>
            <w:gridSpan w:val="3"/>
            <w:vMerge/>
            <w:tcBorders>
              <w:top w:val="single" w:sz="8" w:space="0" w:color="auto"/>
              <w:left w:val="single" w:sz="8" w:space="0" w:color="auto"/>
              <w:bottom w:val="nil"/>
              <w:right w:val="single" w:sz="8" w:space="0" w:color="000000"/>
            </w:tcBorders>
            <w:vAlign w:val="center"/>
            <w:hideMark/>
          </w:tcPr>
          <w:p w14:paraId="1CDE32A2" w14:textId="77777777" w:rsidR="00310AB1" w:rsidRPr="00310AB1" w:rsidRDefault="00310AB1" w:rsidP="00310AB1">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13493F28" w14:textId="77777777" w:rsidR="00310AB1" w:rsidRPr="00310AB1" w:rsidRDefault="00310AB1" w:rsidP="00310AB1">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7C088DE3" w14:textId="77777777" w:rsidR="00310AB1" w:rsidRPr="00310AB1" w:rsidRDefault="00310AB1" w:rsidP="00310AB1">
            <w:pPr>
              <w:jc w:val="center"/>
              <w:rPr>
                <w:rFonts w:ascii="Arial Narrow" w:eastAsia="Times New Roman" w:hAnsi="Arial Narrow" w:cs="Calibri"/>
                <w:b/>
                <w:bCs/>
                <w:color w:val="FFFFFF"/>
                <w:sz w:val="22"/>
                <w:szCs w:val="22"/>
              </w:rPr>
            </w:pPr>
            <w:r w:rsidRPr="00310AB1">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6F382BAF" w14:textId="77777777" w:rsidR="00310AB1" w:rsidRPr="00310AB1" w:rsidRDefault="00310AB1" w:rsidP="00310AB1">
            <w:pPr>
              <w:jc w:val="center"/>
              <w:rPr>
                <w:rFonts w:ascii="Arial Narrow" w:eastAsia="Times New Roman" w:hAnsi="Arial Narrow" w:cs="Calibri"/>
                <w:b/>
                <w:bCs/>
                <w:color w:val="FFFFFF"/>
                <w:sz w:val="22"/>
                <w:szCs w:val="22"/>
                <w:lang w:val="es-CR"/>
              </w:rPr>
            </w:pPr>
            <w:r w:rsidRPr="00310AB1">
              <w:rPr>
                <w:rFonts w:ascii="Arial Narrow" w:eastAsia="Times New Roman" w:hAnsi="Arial Narrow" w:cs="Calibri"/>
                <w:b/>
                <w:bCs/>
                <w:color w:val="FFFFFF"/>
                <w:sz w:val="22"/>
                <w:szCs w:val="22"/>
                <w:lang w:val="es-CR"/>
              </w:rPr>
              <w:t>Normativa técnica y disposiciones adicionales</w:t>
            </w:r>
          </w:p>
        </w:tc>
      </w:tr>
      <w:tr w:rsidR="00310AB1" w:rsidRPr="00310AB1" w14:paraId="68F1D2B7" w14:textId="77777777" w:rsidTr="00310AB1">
        <w:trPr>
          <w:trHeight w:val="63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618D153"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2123210A"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47</w:t>
            </w:r>
          </w:p>
        </w:tc>
        <w:tc>
          <w:tcPr>
            <w:tcW w:w="520" w:type="dxa"/>
            <w:tcBorders>
              <w:top w:val="nil"/>
              <w:left w:val="nil"/>
              <w:bottom w:val="single" w:sz="8" w:space="0" w:color="auto"/>
              <w:right w:val="single" w:sz="8" w:space="0" w:color="auto"/>
            </w:tcBorders>
            <w:shd w:val="clear" w:color="auto" w:fill="auto"/>
            <w:vAlign w:val="center"/>
            <w:hideMark/>
          </w:tcPr>
          <w:p w14:paraId="5BB745D6" w14:textId="03EFA842" w:rsidR="00310AB1" w:rsidRPr="00310AB1" w:rsidRDefault="00310AB1" w:rsidP="00310AB1">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20FF0E57" w14:textId="77777777" w:rsidR="00310AB1" w:rsidRP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Pagos por incentivos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393BCFB0" w14:textId="77777777" w:rsid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 xml:space="preserve">NICSP Nº 39, </w:t>
            </w:r>
          </w:p>
          <w:p w14:paraId="73D5F326" w14:textId="171C7186" w:rsidR="00310AB1" w:rsidRP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Párrafo 19.</w:t>
            </w:r>
          </w:p>
        </w:tc>
        <w:tc>
          <w:tcPr>
            <w:tcW w:w="2100" w:type="dxa"/>
            <w:tcBorders>
              <w:top w:val="nil"/>
              <w:left w:val="nil"/>
              <w:bottom w:val="single" w:sz="8" w:space="0" w:color="auto"/>
              <w:right w:val="single" w:sz="8" w:space="0" w:color="auto"/>
            </w:tcBorders>
            <w:shd w:val="clear" w:color="auto" w:fill="auto"/>
            <w:vAlign w:val="center"/>
            <w:hideMark/>
          </w:tcPr>
          <w:p w14:paraId="71DDE6F2" w14:textId="77777777" w:rsidR="00310AB1" w:rsidRPr="00310AB1" w:rsidRDefault="00310AB1" w:rsidP="00310AB1">
            <w:pPr>
              <w:ind w:firstLineChars="100" w:firstLine="220"/>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 </w:t>
            </w:r>
          </w:p>
        </w:tc>
      </w:tr>
      <w:tr w:rsidR="00310AB1" w:rsidRPr="00310AB1" w14:paraId="4632B347" w14:textId="77777777" w:rsidTr="00310AB1">
        <w:trPr>
          <w:trHeight w:val="63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02D999D"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106ADB6D"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47</w:t>
            </w:r>
          </w:p>
        </w:tc>
        <w:tc>
          <w:tcPr>
            <w:tcW w:w="520" w:type="dxa"/>
            <w:tcBorders>
              <w:top w:val="nil"/>
              <w:left w:val="nil"/>
              <w:bottom w:val="single" w:sz="8" w:space="0" w:color="auto"/>
              <w:right w:val="single" w:sz="8" w:space="0" w:color="auto"/>
            </w:tcBorders>
            <w:shd w:val="clear" w:color="auto" w:fill="auto"/>
            <w:vAlign w:val="center"/>
            <w:hideMark/>
          </w:tcPr>
          <w:p w14:paraId="6E70B1B2"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745DF658" w14:textId="77777777" w:rsidR="00310AB1" w:rsidRP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Obligación implícita</w:t>
            </w:r>
          </w:p>
        </w:tc>
        <w:tc>
          <w:tcPr>
            <w:tcW w:w="2280" w:type="dxa"/>
            <w:tcBorders>
              <w:top w:val="nil"/>
              <w:left w:val="nil"/>
              <w:bottom w:val="single" w:sz="8" w:space="0" w:color="auto"/>
              <w:right w:val="single" w:sz="8" w:space="0" w:color="auto"/>
            </w:tcBorders>
            <w:shd w:val="clear" w:color="auto" w:fill="auto"/>
            <w:vAlign w:val="center"/>
            <w:hideMark/>
          </w:tcPr>
          <w:p w14:paraId="50F13F43" w14:textId="77777777" w:rsid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NICSP Nº 39,</w:t>
            </w:r>
          </w:p>
          <w:p w14:paraId="53C07166" w14:textId="469B5AA5" w:rsidR="00310AB1" w:rsidRP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 xml:space="preserve"> Párrafos 20 y 21</w:t>
            </w:r>
          </w:p>
        </w:tc>
        <w:tc>
          <w:tcPr>
            <w:tcW w:w="2100" w:type="dxa"/>
            <w:tcBorders>
              <w:top w:val="nil"/>
              <w:left w:val="nil"/>
              <w:bottom w:val="single" w:sz="8" w:space="0" w:color="auto"/>
              <w:right w:val="single" w:sz="8" w:space="0" w:color="auto"/>
            </w:tcBorders>
            <w:shd w:val="clear" w:color="auto" w:fill="auto"/>
            <w:vAlign w:val="center"/>
            <w:hideMark/>
          </w:tcPr>
          <w:p w14:paraId="18CB3165" w14:textId="77777777" w:rsidR="00310AB1" w:rsidRPr="00310AB1" w:rsidRDefault="00310AB1" w:rsidP="00310AB1">
            <w:pPr>
              <w:ind w:firstLineChars="100" w:firstLine="220"/>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 xml:space="preserve"> </w:t>
            </w:r>
          </w:p>
        </w:tc>
      </w:tr>
      <w:tr w:rsidR="00310AB1" w:rsidRPr="00310AB1" w14:paraId="3F1C0F67" w14:textId="77777777" w:rsidTr="00310AB1">
        <w:trPr>
          <w:trHeight w:val="63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2147E7D"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07455722"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47</w:t>
            </w:r>
          </w:p>
        </w:tc>
        <w:tc>
          <w:tcPr>
            <w:tcW w:w="520" w:type="dxa"/>
            <w:tcBorders>
              <w:top w:val="nil"/>
              <w:left w:val="nil"/>
              <w:bottom w:val="single" w:sz="8" w:space="0" w:color="auto"/>
              <w:right w:val="single" w:sz="8" w:space="0" w:color="auto"/>
            </w:tcBorders>
            <w:shd w:val="clear" w:color="auto" w:fill="auto"/>
            <w:vAlign w:val="center"/>
            <w:hideMark/>
          </w:tcPr>
          <w:p w14:paraId="0A2C5F0A"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6346B223" w14:textId="77777777" w:rsidR="00310AB1" w:rsidRPr="00310AB1" w:rsidRDefault="00310AB1" w:rsidP="00310AB1">
            <w:pPr>
              <w:rPr>
                <w:rFonts w:ascii="Arial Narrow" w:eastAsia="Times New Roman" w:hAnsi="Arial Narrow" w:cs="Calibri"/>
                <w:b/>
                <w:bCs/>
                <w:color w:val="000000"/>
                <w:sz w:val="22"/>
                <w:szCs w:val="22"/>
                <w:lang w:val="es-CR"/>
              </w:rPr>
            </w:pPr>
            <w:r w:rsidRPr="00310AB1">
              <w:rPr>
                <w:rFonts w:ascii="Arial Narrow" w:eastAsia="Times New Roman" w:hAnsi="Arial Narrow" w:cs="Calibri"/>
                <w:b/>
                <w:bCs/>
                <w:color w:val="000000"/>
                <w:sz w:val="22"/>
                <w:szCs w:val="22"/>
                <w:lang w:val="es-CR"/>
              </w:rPr>
              <w:t>Estimación de la obligación legal o implícita</w:t>
            </w:r>
          </w:p>
        </w:tc>
        <w:tc>
          <w:tcPr>
            <w:tcW w:w="2280" w:type="dxa"/>
            <w:tcBorders>
              <w:top w:val="nil"/>
              <w:left w:val="nil"/>
              <w:bottom w:val="single" w:sz="8" w:space="0" w:color="auto"/>
              <w:right w:val="single" w:sz="8" w:space="0" w:color="auto"/>
            </w:tcBorders>
            <w:shd w:val="clear" w:color="auto" w:fill="auto"/>
            <w:vAlign w:val="center"/>
            <w:hideMark/>
          </w:tcPr>
          <w:p w14:paraId="0213026C" w14:textId="77777777" w:rsid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 xml:space="preserve">NICSP Nº 39, </w:t>
            </w:r>
          </w:p>
          <w:p w14:paraId="2A2CC8B3" w14:textId="5214C694" w:rsidR="00310AB1" w:rsidRP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Párrafo 22</w:t>
            </w:r>
          </w:p>
        </w:tc>
        <w:tc>
          <w:tcPr>
            <w:tcW w:w="2100" w:type="dxa"/>
            <w:tcBorders>
              <w:top w:val="nil"/>
              <w:left w:val="nil"/>
              <w:bottom w:val="single" w:sz="8" w:space="0" w:color="auto"/>
              <w:right w:val="single" w:sz="8" w:space="0" w:color="auto"/>
            </w:tcBorders>
            <w:shd w:val="clear" w:color="auto" w:fill="auto"/>
            <w:vAlign w:val="center"/>
            <w:hideMark/>
          </w:tcPr>
          <w:p w14:paraId="131C48A8" w14:textId="77777777" w:rsidR="00310AB1" w:rsidRPr="00310AB1" w:rsidRDefault="00310AB1" w:rsidP="00310AB1">
            <w:pPr>
              <w:ind w:firstLineChars="100" w:firstLine="220"/>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 </w:t>
            </w:r>
          </w:p>
        </w:tc>
      </w:tr>
      <w:tr w:rsidR="00310AB1" w:rsidRPr="00310AB1" w14:paraId="3A7F22FF" w14:textId="77777777" w:rsidTr="00310AB1">
        <w:trPr>
          <w:trHeight w:val="63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3287A900"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196B42E3"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47</w:t>
            </w:r>
          </w:p>
        </w:tc>
        <w:tc>
          <w:tcPr>
            <w:tcW w:w="520" w:type="dxa"/>
            <w:tcBorders>
              <w:top w:val="nil"/>
              <w:left w:val="nil"/>
              <w:bottom w:val="single" w:sz="8" w:space="0" w:color="auto"/>
              <w:right w:val="single" w:sz="8" w:space="0" w:color="auto"/>
            </w:tcBorders>
            <w:shd w:val="clear" w:color="auto" w:fill="auto"/>
            <w:vAlign w:val="center"/>
            <w:hideMark/>
          </w:tcPr>
          <w:p w14:paraId="42F1C8CB" w14:textId="77777777" w:rsidR="00310AB1" w:rsidRPr="00310AB1" w:rsidRDefault="00310AB1" w:rsidP="00310AB1">
            <w:pPr>
              <w:jc w:val="cente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50B0F4C7" w14:textId="77777777" w:rsidR="00310AB1" w:rsidRP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Incentivos a largo plazo</w:t>
            </w:r>
          </w:p>
        </w:tc>
        <w:tc>
          <w:tcPr>
            <w:tcW w:w="2280" w:type="dxa"/>
            <w:tcBorders>
              <w:top w:val="nil"/>
              <w:left w:val="nil"/>
              <w:bottom w:val="single" w:sz="8" w:space="0" w:color="auto"/>
              <w:right w:val="single" w:sz="8" w:space="0" w:color="auto"/>
            </w:tcBorders>
            <w:shd w:val="clear" w:color="auto" w:fill="auto"/>
            <w:vAlign w:val="center"/>
            <w:hideMark/>
          </w:tcPr>
          <w:p w14:paraId="64B88DE0" w14:textId="77777777" w:rsid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 xml:space="preserve">NICSP Nº 39, </w:t>
            </w:r>
          </w:p>
          <w:p w14:paraId="2FAB58C0" w14:textId="2E5096DE" w:rsidR="00310AB1" w:rsidRPr="00310AB1" w:rsidRDefault="00310AB1" w:rsidP="00310AB1">
            <w:pPr>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Párrafo 24</w:t>
            </w:r>
          </w:p>
        </w:tc>
        <w:tc>
          <w:tcPr>
            <w:tcW w:w="2100" w:type="dxa"/>
            <w:tcBorders>
              <w:top w:val="nil"/>
              <w:left w:val="nil"/>
              <w:bottom w:val="single" w:sz="8" w:space="0" w:color="auto"/>
              <w:right w:val="single" w:sz="8" w:space="0" w:color="auto"/>
            </w:tcBorders>
            <w:shd w:val="clear" w:color="auto" w:fill="auto"/>
            <w:vAlign w:val="center"/>
            <w:hideMark/>
          </w:tcPr>
          <w:p w14:paraId="5B788B26" w14:textId="77777777" w:rsidR="00310AB1" w:rsidRPr="00310AB1" w:rsidRDefault="00310AB1" w:rsidP="00310AB1">
            <w:pPr>
              <w:ind w:firstLineChars="100" w:firstLine="220"/>
              <w:rPr>
                <w:rFonts w:ascii="Arial Narrow" w:eastAsia="Times New Roman" w:hAnsi="Arial Narrow" w:cs="Calibri"/>
                <w:b/>
                <w:bCs/>
                <w:color w:val="000000"/>
                <w:sz w:val="22"/>
                <w:szCs w:val="22"/>
              </w:rPr>
            </w:pPr>
            <w:r w:rsidRPr="00310AB1">
              <w:rPr>
                <w:rFonts w:ascii="Arial Narrow" w:eastAsia="Times New Roman" w:hAnsi="Arial Narrow" w:cs="Calibri"/>
                <w:b/>
                <w:bCs/>
                <w:color w:val="000000"/>
                <w:sz w:val="22"/>
                <w:szCs w:val="22"/>
              </w:rPr>
              <w:t> </w:t>
            </w:r>
          </w:p>
        </w:tc>
      </w:tr>
    </w:tbl>
    <w:p w14:paraId="11101AC7" w14:textId="77777777" w:rsidR="006C35CE" w:rsidRDefault="006C35CE" w:rsidP="00C522E2">
      <w:pPr>
        <w:spacing w:line="238" w:lineRule="auto"/>
        <w:ind w:left="1134" w:right="260" w:hanging="1134"/>
        <w:jc w:val="both"/>
        <w:rPr>
          <w:rFonts w:ascii="Arial" w:eastAsia="Arial" w:hAnsi="Arial"/>
          <w:b/>
          <w:sz w:val="22"/>
          <w:szCs w:val="22"/>
          <w:lang w:val="es-CR"/>
        </w:rPr>
      </w:pPr>
    </w:p>
    <w:p w14:paraId="366E2304" w14:textId="3A42280C" w:rsidR="00FD48A0" w:rsidRDefault="00FD48A0" w:rsidP="00C522E2">
      <w:pPr>
        <w:spacing w:line="238" w:lineRule="auto"/>
        <w:ind w:left="1134" w:right="260" w:hanging="1134"/>
        <w:jc w:val="both"/>
        <w:rPr>
          <w:rFonts w:ascii="Arial" w:eastAsia="Arial" w:hAnsi="Arial"/>
          <w:b/>
          <w:sz w:val="22"/>
          <w:szCs w:val="22"/>
        </w:rPr>
      </w:pPr>
      <w:r w:rsidRPr="00F02F9D">
        <w:rPr>
          <w:rFonts w:ascii="Arial" w:eastAsia="Arial" w:hAnsi="Arial"/>
          <w:b/>
          <w:sz w:val="22"/>
          <w:szCs w:val="22"/>
        </w:rPr>
        <w:t>Políticas Contables</w:t>
      </w:r>
    </w:p>
    <w:p w14:paraId="4CEEE8DC" w14:textId="77777777" w:rsidR="00FD48A0" w:rsidRDefault="00FD48A0" w:rsidP="00C522E2">
      <w:pPr>
        <w:spacing w:line="238" w:lineRule="auto"/>
        <w:ind w:left="1134" w:right="260" w:hanging="1134"/>
        <w:jc w:val="both"/>
        <w:rPr>
          <w:rFonts w:ascii="Arial" w:eastAsia="Arial" w:hAnsi="Arial"/>
          <w:b/>
          <w:sz w:val="22"/>
          <w:szCs w:val="22"/>
          <w:lang w:val="es-CR"/>
        </w:rPr>
      </w:pPr>
    </w:p>
    <w:p w14:paraId="1E801FDB" w14:textId="72F042A8" w:rsidR="00310AB1" w:rsidRDefault="00B60578" w:rsidP="00B60578">
      <w:pPr>
        <w:spacing w:line="238" w:lineRule="auto"/>
        <w:ind w:left="1134" w:right="-138" w:hanging="1134"/>
        <w:jc w:val="both"/>
        <w:rPr>
          <w:rFonts w:ascii="Arial" w:hAnsi="Arial"/>
          <w:sz w:val="22"/>
          <w:szCs w:val="22"/>
          <w:lang w:val="es-CR"/>
        </w:rPr>
      </w:pPr>
      <w:r>
        <w:rPr>
          <w:rFonts w:ascii="Arial" w:hAnsi="Arial"/>
          <w:sz w:val="22"/>
          <w:szCs w:val="22"/>
          <w:lang w:val="es-CR"/>
        </w:rPr>
        <w:t>2.47.0.01</w:t>
      </w:r>
      <w:r>
        <w:rPr>
          <w:rFonts w:ascii="Arial" w:hAnsi="Arial"/>
          <w:sz w:val="22"/>
          <w:szCs w:val="22"/>
          <w:lang w:val="es-CR"/>
        </w:rPr>
        <w:tab/>
      </w:r>
      <w:r w:rsidR="00310AB1" w:rsidRPr="00B60578">
        <w:rPr>
          <w:rFonts w:ascii="Arial" w:hAnsi="Arial"/>
          <w:sz w:val="22"/>
          <w:szCs w:val="22"/>
          <w:lang w:val="es-CR"/>
        </w:rPr>
        <w:t>Son obligaciones que no surgen de una disposición legal o de un contrato sino de un patrón de comportamiento pasado, de políticas públicas seguidas por la entidad o de una declaración pública concreta que: a) permite suponer que tal entidad aceptará ciertas responsabilidades frente a los empleados o a terceros; b) crea en otras personas las expectativas de que la obligación será satisfecha.</w:t>
      </w:r>
    </w:p>
    <w:p w14:paraId="7C20473C" w14:textId="77777777" w:rsidR="00B60578" w:rsidRPr="00B60578" w:rsidRDefault="00B60578" w:rsidP="00B60578">
      <w:pPr>
        <w:spacing w:line="238" w:lineRule="auto"/>
        <w:ind w:left="1134" w:right="-138" w:hanging="1134"/>
        <w:jc w:val="both"/>
        <w:rPr>
          <w:rFonts w:ascii="Arial" w:hAnsi="Arial"/>
          <w:sz w:val="22"/>
          <w:szCs w:val="22"/>
          <w:lang w:val="es-CR"/>
        </w:rPr>
      </w:pPr>
    </w:p>
    <w:p w14:paraId="3452CDF4" w14:textId="13CC4E61" w:rsidR="00310AB1" w:rsidRDefault="00B60578" w:rsidP="00B60578">
      <w:pPr>
        <w:spacing w:line="238" w:lineRule="auto"/>
        <w:ind w:left="1134" w:right="-138" w:hanging="1134"/>
        <w:jc w:val="both"/>
        <w:rPr>
          <w:rFonts w:ascii="Arial" w:hAnsi="Arial"/>
          <w:sz w:val="22"/>
          <w:szCs w:val="22"/>
          <w:lang w:val="es-CR"/>
        </w:rPr>
      </w:pPr>
      <w:r>
        <w:rPr>
          <w:rFonts w:ascii="Arial" w:hAnsi="Arial"/>
          <w:sz w:val="22"/>
          <w:szCs w:val="22"/>
          <w:lang w:val="es-CR"/>
        </w:rPr>
        <w:t>2.47.0.02</w:t>
      </w:r>
      <w:r>
        <w:rPr>
          <w:rFonts w:ascii="Arial" w:hAnsi="Arial"/>
          <w:sz w:val="22"/>
          <w:szCs w:val="22"/>
          <w:lang w:val="es-CR"/>
        </w:rPr>
        <w:tab/>
      </w:r>
      <w:r w:rsidR="00310AB1" w:rsidRPr="00B60578">
        <w:rPr>
          <w:rFonts w:ascii="Arial" w:hAnsi="Arial"/>
          <w:sz w:val="22"/>
          <w:szCs w:val="22"/>
          <w:lang w:val="es-CR"/>
        </w:rPr>
        <w:t xml:space="preserve">El costo esperado de los </w:t>
      </w:r>
      <w:r w:rsidR="006D604B">
        <w:rPr>
          <w:rFonts w:ascii="Arial" w:hAnsi="Arial"/>
          <w:sz w:val="22"/>
          <w:szCs w:val="22"/>
          <w:lang w:val="es-CR"/>
        </w:rPr>
        <w:t>incentivos por pagar</w:t>
      </w:r>
      <w:r w:rsidR="00310AB1" w:rsidRPr="00B60578">
        <w:rPr>
          <w:rFonts w:ascii="Arial" w:hAnsi="Arial"/>
          <w:sz w:val="22"/>
          <w:szCs w:val="22"/>
          <w:lang w:val="es-CR"/>
        </w:rPr>
        <w:t xml:space="preserve"> deberá reconocerse cuando, y sólo cuando:</w:t>
      </w:r>
    </w:p>
    <w:p w14:paraId="2960BC90" w14:textId="77777777" w:rsidR="00B60578" w:rsidRPr="00B60578" w:rsidRDefault="00B60578" w:rsidP="00B60578">
      <w:pPr>
        <w:spacing w:line="238" w:lineRule="auto"/>
        <w:ind w:left="1134" w:right="-138" w:hanging="1134"/>
        <w:jc w:val="both"/>
        <w:rPr>
          <w:rFonts w:ascii="Arial" w:hAnsi="Arial"/>
          <w:sz w:val="22"/>
          <w:szCs w:val="22"/>
          <w:lang w:val="es-CR"/>
        </w:rPr>
      </w:pPr>
    </w:p>
    <w:p w14:paraId="694E3DA0" w14:textId="5EE56889" w:rsidR="00B60578" w:rsidRPr="00B60578" w:rsidRDefault="00B60578">
      <w:pPr>
        <w:pStyle w:val="Prrafodelista"/>
        <w:numPr>
          <w:ilvl w:val="0"/>
          <w:numId w:val="168"/>
        </w:numPr>
        <w:spacing w:after="120"/>
        <w:ind w:left="1418" w:right="-136" w:hanging="284"/>
        <w:contextualSpacing w:val="0"/>
        <w:jc w:val="both"/>
        <w:rPr>
          <w:rFonts w:ascii="Arial" w:hAnsi="Arial"/>
          <w:sz w:val="22"/>
          <w:szCs w:val="22"/>
          <w:lang w:val="es-CR"/>
        </w:rPr>
      </w:pPr>
      <w:r w:rsidRPr="00B60578">
        <w:rPr>
          <w:rFonts w:ascii="Arial" w:hAnsi="Arial"/>
          <w:sz w:val="22"/>
          <w:szCs w:val="22"/>
          <w:lang w:val="es-CR"/>
        </w:rPr>
        <w:t>La Municipalidad tenga una obligación presente, legal o implícita, de hacer tales pagos como consecuencia de sucesos ocurridos en el pasado</w:t>
      </w:r>
      <w:r>
        <w:rPr>
          <w:rFonts w:ascii="Arial" w:hAnsi="Arial"/>
          <w:sz w:val="22"/>
          <w:szCs w:val="22"/>
          <w:lang w:val="es-CR"/>
        </w:rPr>
        <w:t>.</w:t>
      </w:r>
    </w:p>
    <w:p w14:paraId="64EAEF6D" w14:textId="23A7DB33" w:rsidR="00B60578" w:rsidRDefault="00B60578">
      <w:pPr>
        <w:pStyle w:val="Prrafodelista"/>
        <w:numPr>
          <w:ilvl w:val="0"/>
          <w:numId w:val="168"/>
        </w:numPr>
        <w:spacing w:line="238" w:lineRule="auto"/>
        <w:ind w:left="1418" w:right="-138" w:hanging="284"/>
        <w:jc w:val="both"/>
        <w:rPr>
          <w:rFonts w:ascii="Arial" w:hAnsi="Arial"/>
          <w:sz w:val="22"/>
          <w:szCs w:val="22"/>
          <w:lang w:val="es-CR"/>
        </w:rPr>
      </w:pPr>
      <w:r w:rsidRPr="00B60578">
        <w:rPr>
          <w:rFonts w:ascii="Arial" w:hAnsi="Arial"/>
          <w:sz w:val="22"/>
          <w:szCs w:val="22"/>
          <w:lang w:val="es-CR"/>
        </w:rPr>
        <w:t>Pueda realizarse una estimación fiable de la obligación. Existirá una obligación presente cuando y solo cuando la entidad no tenga otra alternativa realista que realizar los pagos.</w:t>
      </w:r>
    </w:p>
    <w:p w14:paraId="1880560F" w14:textId="77777777" w:rsidR="00B60578" w:rsidRPr="00B60578" w:rsidRDefault="00B60578" w:rsidP="00B60578">
      <w:pPr>
        <w:spacing w:line="238" w:lineRule="auto"/>
        <w:ind w:right="-138"/>
        <w:jc w:val="both"/>
        <w:rPr>
          <w:rFonts w:ascii="Arial" w:hAnsi="Arial"/>
          <w:sz w:val="22"/>
          <w:szCs w:val="22"/>
          <w:lang w:val="es-CR"/>
        </w:rPr>
      </w:pPr>
    </w:p>
    <w:p w14:paraId="352B8EB8" w14:textId="2EBF3FA2" w:rsidR="00B60578" w:rsidRPr="00B60578" w:rsidRDefault="00B60578" w:rsidP="00B60578">
      <w:pPr>
        <w:spacing w:line="238" w:lineRule="auto"/>
        <w:ind w:left="1134" w:right="-138" w:hanging="1134"/>
        <w:jc w:val="both"/>
        <w:rPr>
          <w:rFonts w:ascii="Arial" w:hAnsi="Arial"/>
          <w:sz w:val="22"/>
          <w:szCs w:val="22"/>
          <w:lang w:val="es-CR"/>
        </w:rPr>
      </w:pPr>
      <w:r>
        <w:rPr>
          <w:rFonts w:ascii="Arial" w:hAnsi="Arial"/>
          <w:sz w:val="22"/>
          <w:szCs w:val="22"/>
          <w:lang w:val="es-CR"/>
        </w:rPr>
        <w:t>2.47.1.01</w:t>
      </w:r>
      <w:r>
        <w:rPr>
          <w:rFonts w:ascii="Arial" w:hAnsi="Arial"/>
          <w:sz w:val="22"/>
          <w:szCs w:val="22"/>
          <w:lang w:val="es-CR"/>
        </w:rPr>
        <w:tab/>
      </w:r>
      <w:r w:rsidRPr="00B60578">
        <w:rPr>
          <w:rFonts w:ascii="Arial" w:hAnsi="Arial"/>
          <w:sz w:val="22"/>
          <w:szCs w:val="22"/>
          <w:lang w:val="es-CR"/>
        </w:rPr>
        <w:t xml:space="preserve">En la Municipalidad de </w:t>
      </w:r>
      <w:r w:rsidR="008C25B1">
        <w:rPr>
          <w:rFonts w:ascii="Arial" w:hAnsi="Arial"/>
          <w:sz w:val="22"/>
          <w:szCs w:val="22"/>
          <w:lang w:val="es-CR"/>
        </w:rPr>
        <w:t>Buenos Aires</w:t>
      </w:r>
      <w:r w:rsidR="006D604B">
        <w:rPr>
          <w:rFonts w:ascii="Arial" w:hAnsi="Arial"/>
          <w:sz w:val="22"/>
          <w:szCs w:val="22"/>
          <w:lang w:val="es-CR"/>
        </w:rPr>
        <w:t xml:space="preserve"> se reconocerá un incentivo cuando e</w:t>
      </w:r>
      <w:r w:rsidRPr="00B60578">
        <w:rPr>
          <w:rFonts w:ascii="Arial" w:hAnsi="Arial"/>
          <w:sz w:val="22"/>
          <w:szCs w:val="22"/>
          <w:lang w:val="es-CR"/>
        </w:rPr>
        <w:t>xist</w:t>
      </w:r>
      <w:r w:rsidR="006D604B">
        <w:rPr>
          <w:rFonts w:ascii="Arial" w:hAnsi="Arial"/>
          <w:sz w:val="22"/>
          <w:szCs w:val="22"/>
          <w:lang w:val="es-CR"/>
        </w:rPr>
        <w:t>a</w:t>
      </w:r>
      <w:r w:rsidRPr="00B60578">
        <w:rPr>
          <w:rFonts w:ascii="Arial" w:hAnsi="Arial"/>
          <w:sz w:val="22"/>
          <w:szCs w:val="22"/>
          <w:lang w:val="es-CR"/>
        </w:rPr>
        <w:t xml:space="preserve"> una obligación implícita por concepto de beneficios a empleados. Una obligación implícita se devenga a medida que los empleados prestan los servicios que incrementan el importe a pagar. En los casos que sea requisito para acceder al beneficio, que los empleados permanezcan en servicio durante cierto período, la medición deberá considerar la posibilidad de que algunos empleados puedan abandonar la entidad sin recibir los incentivos. </w:t>
      </w:r>
    </w:p>
    <w:p w14:paraId="630F065A" w14:textId="77777777" w:rsidR="00B60578" w:rsidRPr="00310AB1" w:rsidRDefault="00B60578" w:rsidP="00B60578">
      <w:pPr>
        <w:pStyle w:val="Default"/>
        <w:rPr>
          <w:color w:val="auto"/>
          <w:sz w:val="23"/>
          <w:szCs w:val="23"/>
          <w:lang w:val="es-CR"/>
        </w:rPr>
      </w:pPr>
    </w:p>
    <w:p w14:paraId="52739EE9" w14:textId="298BCBA9" w:rsidR="00B60578" w:rsidRPr="00B60578" w:rsidRDefault="00B60578" w:rsidP="00B60578">
      <w:pPr>
        <w:spacing w:line="238" w:lineRule="auto"/>
        <w:ind w:left="1134" w:right="-138" w:hanging="1134"/>
        <w:jc w:val="both"/>
        <w:rPr>
          <w:rFonts w:ascii="Arial" w:hAnsi="Arial"/>
          <w:sz w:val="22"/>
          <w:szCs w:val="22"/>
          <w:lang w:val="es-CR"/>
        </w:rPr>
      </w:pPr>
      <w:r>
        <w:rPr>
          <w:rFonts w:ascii="Arial" w:hAnsi="Arial"/>
          <w:sz w:val="22"/>
          <w:szCs w:val="22"/>
          <w:lang w:val="es-CR"/>
        </w:rPr>
        <w:t>2</w:t>
      </w:r>
      <w:r w:rsidR="008304DB">
        <w:rPr>
          <w:rFonts w:ascii="Arial" w:hAnsi="Arial"/>
          <w:sz w:val="22"/>
          <w:szCs w:val="22"/>
          <w:lang w:val="es-CR"/>
        </w:rPr>
        <w:t>.</w:t>
      </w:r>
      <w:r>
        <w:rPr>
          <w:rFonts w:ascii="Arial" w:hAnsi="Arial"/>
          <w:sz w:val="22"/>
          <w:szCs w:val="22"/>
          <w:lang w:val="es-CR"/>
        </w:rPr>
        <w:t>47.2.01</w:t>
      </w:r>
      <w:r>
        <w:rPr>
          <w:rFonts w:ascii="Arial" w:hAnsi="Arial"/>
          <w:sz w:val="22"/>
          <w:szCs w:val="22"/>
          <w:lang w:val="es-CR"/>
        </w:rPr>
        <w:tab/>
      </w:r>
      <w:r w:rsidRPr="00B60578">
        <w:rPr>
          <w:rFonts w:ascii="Arial" w:hAnsi="Arial"/>
          <w:sz w:val="22"/>
          <w:szCs w:val="22"/>
          <w:lang w:val="es-CR"/>
        </w:rPr>
        <w:t>Se podrá realizar una estimación fiable de las obligaciones legales o implícitas de acuerdo a un esquema de pago basado en</w:t>
      </w:r>
      <w:r w:rsidR="008304DB">
        <w:rPr>
          <w:rFonts w:ascii="Arial" w:hAnsi="Arial"/>
          <w:sz w:val="22"/>
          <w:szCs w:val="22"/>
          <w:lang w:val="es-CR"/>
        </w:rPr>
        <w:t xml:space="preserve"> la legislación vigente, un</w:t>
      </w:r>
      <w:r w:rsidRPr="00B60578">
        <w:rPr>
          <w:rFonts w:ascii="Arial" w:hAnsi="Arial"/>
          <w:sz w:val="22"/>
          <w:szCs w:val="22"/>
          <w:lang w:val="es-CR"/>
        </w:rPr>
        <w:t xml:space="preserve"> </w:t>
      </w:r>
      <w:r w:rsidR="008304DB">
        <w:rPr>
          <w:rFonts w:ascii="Arial" w:hAnsi="Arial"/>
          <w:sz w:val="22"/>
          <w:szCs w:val="22"/>
          <w:lang w:val="es-CR"/>
        </w:rPr>
        <w:t>acuerdo o convenio</w:t>
      </w:r>
      <w:r w:rsidRPr="00B60578">
        <w:rPr>
          <w:rFonts w:ascii="Arial" w:hAnsi="Arial"/>
          <w:sz w:val="22"/>
          <w:szCs w:val="22"/>
          <w:lang w:val="es-CR"/>
        </w:rPr>
        <w:t xml:space="preserve"> de incentivos cuando, y sólo cuando: </w:t>
      </w:r>
    </w:p>
    <w:p w14:paraId="38A41FEB" w14:textId="77777777" w:rsidR="00B60578" w:rsidRPr="00310AB1" w:rsidRDefault="00B60578" w:rsidP="00B60578">
      <w:pPr>
        <w:pStyle w:val="Default"/>
        <w:rPr>
          <w:color w:val="auto"/>
          <w:sz w:val="23"/>
          <w:szCs w:val="23"/>
          <w:lang w:val="es-CR"/>
        </w:rPr>
      </w:pPr>
    </w:p>
    <w:p w14:paraId="0B695AF5" w14:textId="506C0535" w:rsidR="00B60578" w:rsidRPr="00310AB1" w:rsidRDefault="008304DB">
      <w:pPr>
        <w:pStyle w:val="Default"/>
        <w:numPr>
          <w:ilvl w:val="0"/>
          <w:numId w:val="169"/>
        </w:numPr>
        <w:spacing w:after="120"/>
        <w:ind w:left="1418" w:hanging="284"/>
        <w:jc w:val="both"/>
        <w:rPr>
          <w:color w:val="auto"/>
          <w:sz w:val="23"/>
          <w:szCs w:val="23"/>
          <w:lang w:val="es-CR"/>
        </w:rPr>
      </w:pPr>
      <w:r>
        <w:rPr>
          <w:color w:val="auto"/>
          <w:sz w:val="23"/>
          <w:szCs w:val="23"/>
          <w:lang w:val="es-CR"/>
        </w:rPr>
        <w:lastRenderedPageBreak/>
        <w:t>L</w:t>
      </w:r>
      <w:r w:rsidR="00B60578" w:rsidRPr="00310AB1">
        <w:rPr>
          <w:color w:val="auto"/>
          <w:sz w:val="23"/>
          <w:szCs w:val="23"/>
          <w:lang w:val="es-CR"/>
        </w:rPr>
        <w:t xml:space="preserve">as condiciones formales del plan contengan una fórmula para determinar el importe del beneficio; </w:t>
      </w:r>
    </w:p>
    <w:p w14:paraId="63D321A6" w14:textId="09D64A9E" w:rsidR="00B60578" w:rsidRPr="00310AB1" w:rsidRDefault="008304DB">
      <w:pPr>
        <w:pStyle w:val="Default"/>
        <w:numPr>
          <w:ilvl w:val="0"/>
          <w:numId w:val="169"/>
        </w:numPr>
        <w:spacing w:after="120"/>
        <w:ind w:left="1418" w:hanging="284"/>
        <w:jc w:val="both"/>
        <w:rPr>
          <w:color w:val="auto"/>
          <w:sz w:val="23"/>
          <w:szCs w:val="23"/>
          <w:lang w:val="es-CR"/>
        </w:rPr>
      </w:pPr>
      <w:r>
        <w:rPr>
          <w:color w:val="auto"/>
          <w:sz w:val="23"/>
          <w:szCs w:val="23"/>
          <w:lang w:val="es-CR"/>
        </w:rPr>
        <w:t>L</w:t>
      </w:r>
      <w:r w:rsidR="00B60578" w:rsidRPr="00310AB1">
        <w:rPr>
          <w:color w:val="auto"/>
          <w:sz w:val="23"/>
          <w:szCs w:val="23"/>
          <w:lang w:val="es-CR"/>
        </w:rPr>
        <w:t xml:space="preserve">a entidad determine los importes a pagar antes de que los EEFF sean autorizados para su emisión; o </w:t>
      </w:r>
    </w:p>
    <w:p w14:paraId="35BEC36F" w14:textId="037FC378" w:rsidR="00B60578" w:rsidRPr="00310AB1" w:rsidRDefault="008304DB">
      <w:pPr>
        <w:pStyle w:val="Default"/>
        <w:numPr>
          <w:ilvl w:val="0"/>
          <w:numId w:val="169"/>
        </w:numPr>
        <w:ind w:left="1418" w:hanging="284"/>
        <w:jc w:val="both"/>
        <w:rPr>
          <w:color w:val="auto"/>
          <w:sz w:val="23"/>
          <w:szCs w:val="23"/>
          <w:lang w:val="es-CR"/>
        </w:rPr>
      </w:pPr>
      <w:r>
        <w:rPr>
          <w:color w:val="auto"/>
          <w:sz w:val="23"/>
          <w:szCs w:val="23"/>
          <w:lang w:val="es-CR"/>
        </w:rPr>
        <w:t>L</w:t>
      </w:r>
      <w:r w:rsidR="00B60578" w:rsidRPr="00310AB1">
        <w:rPr>
          <w:color w:val="auto"/>
          <w:sz w:val="23"/>
          <w:szCs w:val="23"/>
          <w:lang w:val="es-CR"/>
        </w:rPr>
        <w:t xml:space="preserve">a experiencia pasada suministre evidencia clara acerca del importe de la obligación implícita por parte de la entidad. </w:t>
      </w:r>
    </w:p>
    <w:p w14:paraId="725C42E7" w14:textId="77777777" w:rsidR="00B60578" w:rsidRPr="00310AB1" w:rsidRDefault="00B60578" w:rsidP="00B60578">
      <w:pPr>
        <w:pStyle w:val="Default"/>
        <w:rPr>
          <w:color w:val="auto"/>
          <w:sz w:val="23"/>
          <w:szCs w:val="23"/>
          <w:lang w:val="es-CR"/>
        </w:rPr>
      </w:pPr>
    </w:p>
    <w:p w14:paraId="0663CFD9" w14:textId="73B4FBCE" w:rsidR="006D604B" w:rsidRDefault="008304DB" w:rsidP="008304DB">
      <w:pPr>
        <w:spacing w:line="238" w:lineRule="auto"/>
        <w:ind w:left="1134" w:right="-138" w:hanging="1134"/>
        <w:jc w:val="both"/>
        <w:rPr>
          <w:rFonts w:ascii="Arial" w:hAnsi="Arial"/>
          <w:sz w:val="22"/>
          <w:szCs w:val="22"/>
          <w:lang w:val="es-CR"/>
        </w:rPr>
      </w:pPr>
      <w:r>
        <w:rPr>
          <w:rFonts w:ascii="Arial" w:hAnsi="Arial"/>
          <w:sz w:val="22"/>
          <w:szCs w:val="22"/>
          <w:lang w:val="es-CR"/>
        </w:rPr>
        <w:t>2.47.3.01</w:t>
      </w:r>
      <w:r>
        <w:rPr>
          <w:rFonts w:ascii="Arial" w:hAnsi="Arial"/>
          <w:sz w:val="22"/>
          <w:szCs w:val="22"/>
          <w:lang w:val="es-CR"/>
        </w:rPr>
        <w:tab/>
      </w:r>
      <w:r w:rsidR="006D604B">
        <w:rPr>
          <w:rFonts w:ascii="Arial" w:hAnsi="Arial"/>
          <w:sz w:val="22"/>
          <w:szCs w:val="22"/>
          <w:lang w:val="es-CR"/>
        </w:rPr>
        <w:t xml:space="preserve">Cuando un funcionario haya prestado los servicios a la institución durante un periodo contable deberá reconocerse en forma inmediata el monto devengado de los beneficios al empleado a corto plazo que se espera pagar a </w:t>
      </w:r>
      <w:r w:rsidR="000E5DF8">
        <w:rPr>
          <w:rFonts w:ascii="Arial" w:hAnsi="Arial"/>
          <w:sz w:val="22"/>
          <w:szCs w:val="22"/>
          <w:lang w:val="es-CR"/>
        </w:rPr>
        <w:t>cambio</w:t>
      </w:r>
      <w:r w:rsidR="006D604B">
        <w:rPr>
          <w:rFonts w:ascii="Arial" w:hAnsi="Arial"/>
          <w:sz w:val="22"/>
          <w:szCs w:val="22"/>
          <w:lang w:val="es-CR"/>
        </w:rPr>
        <w:t xml:space="preserve"> de dicho servicio:</w:t>
      </w:r>
    </w:p>
    <w:p w14:paraId="05F8A970" w14:textId="77777777" w:rsidR="006D604B" w:rsidRDefault="006D604B" w:rsidP="008304DB">
      <w:pPr>
        <w:spacing w:line="238" w:lineRule="auto"/>
        <w:ind w:left="1134" w:right="-138" w:hanging="1134"/>
        <w:jc w:val="both"/>
        <w:rPr>
          <w:rFonts w:ascii="Arial" w:hAnsi="Arial"/>
          <w:sz w:val="22"/>
          <w:szCs w:val="22"/>
          <w:lang w:val="es-CR"/>
        </w:rPr>
      </w:pPr>
    </w:p>
    <w:p w14:paraId="32666C18" w14:textId="62CE55AC" w:rsidR="006D604B" w:rsidRPr="00BB268A" w:rsidRDefault="006D604B">
      <w:pPr>
        <w:pStyle w:val="Prrafodelista"/>
        <w:numPr>
          <w:ilvl w:val="0"/>
          <w:numId w:val="170"/>
        </w:numPr>
        <w:spacing w:after="120"/>
        <w:ind w:left="1418" w:right="-136" w:hanging="284"/>
        <w:contextualSpacing w:val="0"/>
        <w:jc w:val="both"/>
        <w:rPr>
          <w:rFonts w:ascii="Arial" w:hAnsi="Arial"/>
          <w:sz w:val="22"/>
          <w:szCs w:val="22"/>
          <w:lang w:val="es-CR"/>
        </w:rPr>
      </w:pPr>
      <w:r w:rsidRPr="00BB268A">
        <w:rPr>
          <w:rFonts w:ascii="Arial" w:hAnsi="Arial"/>
          <w:sz w:val="22"/>
          <w:szCs w:val="22"/>
          <w:lang w:val="es-CR"/>
        </w:rPr>
        <w:t xml:space="preserve">Como un pasivo (gasto devengado), luego de deducir cualquier monto ya pagado (si procede). Si el monto ya pagado excediera el monto no descontado de los beneficios, se reconocerá ese exceso como un activo (pago anticipado de un gasto) en la medida que el pago por adelantado </w:t>
      </w:r>
      <w:r w:rsidR="00BB268A" w:rsidRPr="00BB268A">
        <w:rPr>
          <w:rFonts w:ascii="Arial" w:hAnsi="Arial"/>
          <w:sz w:val="22"/>
          <w:szCs w:val="22"/>
          <w:lang w:val="es-CR"/>
        </w:rPr>
        <w:t xml:space="preserve">vaya a dar lugar, por ejemplo, a una reducción en los pagos a efectuar en el futuro o a un </w:t>
      </w:r>
      <w:r w:rsidR="000E5DF8" w:rsidRPr="00BB268A">
        <w:rPr>
          <w:rFonts w:ascii="Arial" w:hAnsi="Arial"/>
          <w:sz w:val="22"/>
          <w:szCs w:val="22"/>
          <w:lang w:val="es-CR"/>
        </w:rPr>
        <w:t>ree</w:t>
      </w:r>
      <w:r w:rsidR="000E5DF8">
        <w:rPr>
          <w:rFonts w:ascii="Arial" w:hAnsi="Arial"/>
          <w:sz w:val="22"/>
          <w:szCs w:val="22"/>
          <w:lang w:val="es-CR"/>
        </w:rPr>
        <w:t>mbo</w:t>
      </w:r>
      <w:r w:rsidR="000E5DF8" w:rsidRPr="00BB268A">
        <w:rPr>
          <w:rFonts w:ascii="Arial" w:hAnsi="Arial"/>
          <w:sz w:val="22"/>
          <w:szCs w:val="22"/>
          <w:lang w:val="es-CR"/>
        </w:rPr>
        <w:t>lso</w:t>
      </w:r>
      <w:r w:rsidR="00BB268A" w:rsidRPr="00BB268A">
        <w:rPr>
          <w:rFonts w:ascii="Arial" w:hAnsi="Arial"/>
          <w:sz w:val="22"/>
          <w:szCs w:val="22"/>
          <w:lang w:val="es-CR"/>
        </w:rPr>
        <w:t xml:space="preserve"> en efectivo.</w:t>
      </w:r>
    </w:p>
    <w:p w14:paraId="66189A0A" w14:textId="4CEB1F0D" w:rsidR="00BB268A" w:rsidRPr="00BB268A" w:rsidRDefault="00BB268A">
      <w:pPr>
        <w:pStyle w:val="Prrafodelista"/>
        <w:numPr>
          <w:ilvl w:val="0"/>
          <w:numId w:val="170"/>
        </w:numPr>
        <w:spacing w:line="238" w:lineRule="auto"/>
        <w:ind w:left="1418" w:right="-138" w:hanging="284"/>
        <w:jc w:val="both"/>
        <w:rPr>
          <w:rFonts w:ascii="Arial" w:hAnsi="Arial"/>
          <w:sz w:val="22"/>
          <w:szCs w:val="22"/>
          <w:lang w:val="es-CR"/>
        </w:rPr>
      </w:pPr>
      <w:r w:rsidRPr="00BB268A">
        <w:rPr>
          <w:rFonts w:ascii="Arial" w:hAnsi="Arial"/>
          <w:sz w:val="22"/>
          <w:szCs w:val="22"/>
          <w:lang w:val="es-CR"/>
        </w:rPr>
        <w:t>Como un gasto, a menos que otra norma permita la inclusión de los mencionados beneficios en el costo de un activo en desarrollo.</w:t>
      </w:r>
    </w:p>
    <w:p w14:paraId="3CD2FE4A" w14:textId="77777777" w:rsidR="00BB268A" w:rsidRDefault="00BB268A" w:rsidP="008304DB">
      <w:pPr>
        <w:spacing w:line="238" w:lineRule="auto"/>
        <w:ind w:left="1134" w:right="-138" w:hanging="1134"/>
        <w:jc w:val="both"/>
        <w:rPr>
          <w:rFonts w:ascii="Arial" w:hAnsi="Arial"/>
          <w:sz w:val="22"/>
          <w:szCs w:val="22"/>
          <w:lang w:val="es-CR"/>
        </w:rPr>
      </w:pPr>
    </w:p>
    <w:p w14:paraId="587F7FFE" w14:textId="436CE262" w:rsidR="00B60578" w:rsidRPr="008304DB" w:rsidRDefault="006D604B" w:rsidP="008304DB">
      <w:pPr>
        <w:spacing w:line="238" w:lineRule="auto"/>
        <w:ind w:left="1134" w:right="-138" w:hanging="1134"/>
        <w:jc w:val="both"/>
        <w:rPr>
          <w:rFonts w:ascii="Arial" w:hAnsi="Arial"/>
          <w:sz w:val="22"/>
          <w:szCs w:val="22"/>
          <w:lang w:val="es-CR"/>
        </w:rPr>
      </w:pPr>
      <w:r>
        <w:rPr>
          <w:rFonts w:ascii="Arial" w:hAnsi="Arial"/>
          <w:sz w:val="22"/>
          <w:szCs w:val="22"/>
          <w:lang w:val="es-CR"/>
        </w:rPr>
        <w:t>2.47.3.02</w:t>
      </w:r>
      <w:r>
        <w:rPr>
          <w:rFonts w:ascii="Arial" w:hAnsi="Arial"/>
          <w:sz w:val="22"/>
          <w:szCs w:val="22"/>
          <w:lang w:val="es-CR"/>
        </w:rPr>
        <w:tab/>
      </w:r>
      <w:r w:rsidR="00B60578" w:rsidRPr="008304DB">
        <w:rPr>
          <w:rFonts w:ascii="Arial" w:hAnsi="Arial"/>
          <w:sz w:val="22"/>
          <w:szCs w:val="22"/>
          <w:lang w:val="es-CR"/>
        </w:rPr>
        <w:t xml:space="preserve">Los incentivos al personal </w:t>
      </w:r>
      <w:r w:rsidR="008304DB">
        <w:rPr>
          <w:rFonts w:ascii="Arial" w:hAnsi="Arial"/>
          <w:sz w:val="22"/>
          <w:szCs w:val="22"/>
          <w:lang w:val="es-CR"/>
        </w:rPr>
        <w:t>cuy</w:t>
      </w:r>
      <w:r w:rsidR="00B60578" w:rsidRPr="008304DB">
        <w:rPr>
          <w:rFonts w:ascii="Arial" w:hAnsi="Arial"/>
          <w:sz w:val="22"/>
          <w:szCs w:val="22"/>
          <w:lang w:val="es-CR"/>
        </w:rPr>
        <w:t>os pagos no venzan dentro de los doce meses posteriores al cierre del período en que los empleados han prestado sus servicios, se tratarán como beneficios a largo plazo a los empleados.</w:t>
      </w:r>
    </w:p>
    <w:p w14:paraId="72E21444" w14:textId="77777777" w:rsidR="00B60578" w:rsidRDefault="00B60578" w:rsidP="00B60578">
      <w:pPr>
        <w:pStyle w:val="Default"/>
        <w:spacing w:after="120" w:line="238" w:lineRule="auto"/>
        <w:ind w:right="260"/>
        <w:jc w:val="both"/>
        <w:rPr>
          <w:color w:val="auto"/>
          <w:sz w:val="23"/>
          <w:szCs w:val="23"/>
          <w:lang w:val="es-CR"/>
        </w:rPr>
      </w:pPr>
    </w:p>
    <w:p w14:paraId="288041B6" w14:textId="77777777" w:rsidR="00FD48A0" w:rsidRDefault="00FD48A0" w:rsidP="00FD48A0">
      <w:pPr>
        <w:pStyle w:val="Default"/>
        <w:ind w:right="261"/>
        <w:jc w:val="both"/>
        <w:rPr>
          <w:color w:val="auto"/>
          <w:sz w:val="23"/>
          <w:szCs w:val="23"/>
          <w:lang w:val="es-CR"/>
        </w:rPr>
      </w:pPr>
    </w:p>
    <w:tbl>
      <w:tblPr>
        <w:tblW w:w="9680" w:type="dxa"/>
        <w:tblLook w:val="04A0" w:firstRow="1" w:lastRow="0" w:firstColumn="1" w:lastColumn="0" w:noHBand="0" w:noVBand="1"/>
      </w:tblPr>
      <w:tblGrid>
        <w:gridCol w:w="637"/>
        <w:gridCol w:w="417"/>
        <w:gridCol w:w="611"/>
        <w:gridCol w:w="3680"/>
        <w:gridCol w:w="2250"/>
        <w:gridCol w:w="2085"/>
      </w:tblGrid>
      <w:tr w:rsidR="008B7A95" w:rsidRPr="004D6AF6" w14:paraId="690C3307" w14:textId="77777777" w:rsidTr="008B7A95">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384ECC7" w14:textId="77777777" w:rsidR="008B7A95" w:rsidRPr="004D6AF6" w:rsidRDefault="008B7A95" w:rsidP="008B7A95">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D7C39E7" w14:textId="77777777" w:rsidR="008B7A95" w:rsidRPr="004D6AF6" w:rsidRDefault="008B7A95" w:rsidP="008B7A95">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41C621D1" w14:textId="77777777" w:rsidR="008B7A95" w:rsidRPr="004D6AF6" w:rsidRDefault="008B7A95" w:rsidP="008B7A95">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Referencia</w:t>
            </w:r>
          </w:p>
        </w:tc>
      </w:tr>
      <w:tr w:rsidR="008B7A95" w:rsidRPr="006E5442" w14:paraId="437F70A4" w14:textId="77777777" w:rsidTr="008B7A95">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140E8729" w14:textId="77777777" w:rsidR="008B7A95" w:rsidRPr="004D6AF6" w:rsidRDefault="008B7A95" w:rsidP="008B7A95">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0C63EDCA" w14:textId="77777777" w:rsidR="008B7A95" w:rsidRPr="004D6AF6" w:rsidRDefault="008B7A95" w:rsidP="008B7A95">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70A61334" w14:textId="77777777" w:rsidR="008B7A95" w:rsidRPr="004D6AF6" w:rsidRDefault="008B7A95" w:rsidP="008B7A95">
            <w:pPr>
              <w:jc w:val="center"/>
              <w:rPr>
                <w:rFonts w:ascii="Arial Narrow" w:eastAsia="Times New Roman" w:hAnsi="Arial Narrow" w:cs="Calibri"/>
                <w:b/>
                <w:bCs/>
                <w:color w:val="FFFFFF"/>
                <w:sz w:val="22"/>
                <w:szCs w:val="22"/>
              </w:rPr>
            </w:pPr>
            <w:r w:rsidRPr="004D6AF6">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2E3BB444" w14:textId="77777777" w:rsidR="008B7A95" w:rsidRPr="004D6AF6" w:rsidRDefault="008B7A95" w:rsidP="008B7A95">
            <w:pPr>
              <w:jc w:val="center"/>
              <w:rPr>
                <w:rFonts w:ascii="Arial Narrow" w:eastAsia="Times New Roman" w:hAnsi="Arial Narrow" w:cs="Calibri"/>
                <w:b/>
                <w:bCs/>
                <w:color w:val="FFFFFF"/>
                <w:sz w:val="22"/>
                <w:szCs w:val="22"/>
                <w:lang w:val="es-CR"/>
              </w:rPr>
            </w:pPr>
            <w:r w:rsidRPr="004D6AF6">
              <w:rPr>
                <w:rFonts w:ascii="Arial Narrow" w:eastAsia="Times New Roman" w:hAnsi="Arial Narrow" w:cs="Calibri"/>
                <w:b/>
                <w:bCs/>
                <w:color w:val="FFFFFF"/>
                <w:sz w:val="22"/>
                <w:szCs w:val="22"/>
                <w:lang w:val="es-CR"/>
              </w:rPr>
              <w:t>Normativa técnica y disposiciones adicionales</w:t>
            </w:r>
          </w:p>
        </w:tc>
      </w:tr>
      <w:tr w:rsidR="008B7A95" w:rsidRPr="004D6AF6" w14:paraId="74B80DA7" w14:textId="77777777" w:rsidTr="008B7A95">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11188D" w14:textId="77777777" w:rsidR="008B7A95" w:rsidRPr="004D6AF6" w:rsidRDefault="008B7A95" w:rsidP="008B7A95">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29E78BF3" w14:textId="77777777" w:rsidR="008B7A95" w:rsidRPr="004D6AF6" w:rsidRDefault="008B7A95" w:rsidP="008B7A95">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48</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32F0C1FE" w14:textId="2D61A9D4" w:rsidR="008B7A95" w:rsidRPr="004D6AF6" w:rsidRDefault="008B7A95" w:rsidP="008B7A95">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594F0982" w14:textId="77777777" w:rsidR="008B7A95" w:rsidRPr="004D6AF6" w:rsidRDefault="008B7A95" w:rsidP="008B7A95">
            <w:pPr>
              <w:jc w:val="both"/>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Alcance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1B669120" w14:textId="48DA39AA" w:rsidR="00FD48A0" w:rsidRDefault="008B7A95" w:rsidP="008B7A95">
            <w:pPr>
              <w:jc w:val="both"/>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NICSP Nº 39,</w:t>
            </w:r>
          </w:p>
          <w:p w14:paraId="482CB112" w14:textId="0CE07EA1" w:rsidR="008B7A95" w:rsidRPr="004D6AF6" w:rsidRDefault="008B7A95" w:rsidP="008B7A95">
            <w:pPr>
              <w:jc w:val="both"/>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Párrafos 26.</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591C824" w14:textId="77777777" w:rsidR="008B7A95" w:rsidRPr="004D6AF6" w:rsidRDefault="008B7A95" w:rsidP="008B7A95">
            <w:pPr>
              <w:jc w:val="center"/>
              <w:rPr>
                <w:rFonts w:ascii="Arial Narrow" w:eastAsia="Times New Roman" w:hAnsi="Arial Narrow" w:cs="Calibri"/>
                <w:b/>
                <w:bCs/>
                <w:color w:val="000000"/>
                <w:sz w:val="22"/>
                <w:szCs w:val="22"/>
              </w:rPr>
            </w:pPr>
            <w:r w:rsidRPr="004D6AF6">
              <w:rPr>
                <w:rFonts w:ascii="Arial Narrow" w:eastAsia="Times New Roman" w:hAnsi="Arial Narrow" w:cs="Calibri"/>
                <w:b/>
                <w:bCs/>
                <w:color w:val="000000"/>
                <w:sz w:val="22"/>
                <w:szCs w:val="22"/>
              </w:rPr>
              <w:t xml:space="preserve"> </w:t>
            </w:r>
          </w:p>
        </w:tc>
      </w:tr>
    </w:tbl>
    <w:p w14:paraId="6CDF0FFE" w14:textId="77777777" w:rsidR="00B60578" w:rsidRDefault="00B60578" w:rsidP="00FD48A0">
      <w:pPr>
        <w:pStyle w:val="Default"/>
        <w:ind w:right="261"/>
        <w:jc w:val="both"/>
        <w:rPr>
          <w:color w:val="auto"/>
          <w:sz w:val="23"/>
          <w:szCs w:val="23"/>
          <w:lang w:val="es-CR"/>
        </w:rPr>
      </w:pPr>
    </w:p>
    <w:p w14:paraId="475B75EB" w14:textId="1AC782A1" w:rsidR="00FD48A0" w:rsidRDefault="00FD48A0" w:rsidP="00FD48A0">
      <w:pPr>
        <w:pStyle w:val="Default"/>
        <w:ind w:right="261"/>
        <w:jc w:val="both"/>
        <w:rPr>
          <w:rFonts w:eastAsia="Arial"/>
          <w:b/>
          <w:sz w:val="22"/>
          <w:szCs w:val="22"/>
        </w:rPr>
      </w:pPr>
      <w:r w:rsidRPr="00F02F9D">
        <w:rPr>
          <w:rFonts w:eastAsia="Arial"/>
          <w:b/>
          <w:sz w:val="22"/>
          <w:szCs w:val="22"/>
        </w:rPr>
        <w:t>Políticas Contables</w:t>
      </w:r>
    </w:p>
    <w:p w14:paraId="703A516B" w14:textId="77777777" w:rsidR="00FD48A0" w:rsidRDefault="00FD48A0" w:rsidP="00FD48A0">
      <w:pPr>
        <w:pStyle w:val="Default"/>
        <w:ind w:right="261"/>
        <w:jc w:val="both"/>
        <w:rPr>
          <w:color w:val="auto"/>
          <w:sz w:val="23"/>
          <w:szCs w:val="23"/>
          <w:lang w:val="es-CR"/>
        </w:rPr>
      </w:pPr>
    </w:p>
    <w:p w14:paraId="4638FC85" w14:textId="35EACA3A" w:rsidR="008B7A95" w:rsidRPr="008B7A95" w:rsidRDefault="008B7A95" w:rsidP="008B7A95">
      <w:pPr>
        <w:pStyle w:val="Default"/>
        <w:ind w:left="1134" w:hanging="1134"/>
        <w:jc w:val="both"/>
        <w:rPr>
          <w:sz w:val="23"/>
          <w:szCs w:val="23"/>
          <w:lang w:val="es-CR"/>
        </w:rPr>
      </w:pPr>
      <w:r>
        <w:rPr>
          <w:sz w:val="22"/>
          <w:szCs w:val="22"/>
          <w:lang w:val="es-CR"/>
        </w:rPr>
        <w:t>2.48.0.01</w:t>
      </w:r>
      <w:r>
        <w:rPr>
          <w:sz w:val="22"/>
          <w:szCs w:val="22"/>
          <w:lang w:val="es-CR"/>
        </w:rPr>
        <w:tab/>
      </w:r>
      <w:r w:rsidRPr="008B7A95">
        <w:rPr>
          <w:sz w:val="22"/>
          <w:szCs w:val="22"/>
          <w:lang w:val="es-CR"/>
        </w:rPr>
        <w:t>Los acuerdos por los cuales se proporcionen beneficios posteriores al periodo de empleo, involucren o no el establecimiento de una entidad separada para su gestión y administración, son planes de beneficios post-empleo y comprenden</w:t>
      </w:r>
      <w:r>
        <w:rPr>
          <w:sz w:val="22"/>
          <w:szCs w:val="22"/>
          <w:lang w:val="es-CR"/>
        </w:rPr>
        <w:t xml:space="preserve"> en el caso de la </w:t>
      </w:r>
      <w:r w:rsidR="000F29DC">
        <w:rPr>
          <w:sz w:val="22"/>
          <w:szCs w:val="22"/>
          <w:lang w:val="es-CR"/>
        </w:rPr>
        <w:t>MBA</w:t>
      </w:r>
      <w:r>
        <w:rPr>
          <w:sz w:val="22"/>
          <w:szCs w:val="22"/>
          <w:lang w:val="es-CR"/>
        </w:rPr>
        <w:t xml:space="preserve"> </w:t>
      </w:r>
      <w:r w:rsidR="00BB268A">
        <w:rPr>
          <w:sz w:val="22"/>
          <w:szCs w:val="22"/>
          <w:lang w:val="es-CR"/>
        </w:rPr>
        <w:t xml:space="preserve">los beneficios de </w:t>
      </w:r>
      <w:r w:rsidRPr="008B7A95">
        <w:rPr>
          <w:sz w:val="23"/>
          <w:szCs w:val="23"/>
          <w:lang w:val="es-CR"/>
        </w:rPr>
        <w:t>retiro</w:t>
      </w:r>
      <w:r w:rsidR="00BB268A">
        <w:rPr>
          <w:sz w:val="23"/>
          <w:szCs w:val="23"/>
          <w:lang w:val="es-CR"/>
        </w:rPr>
        <w:t xml:space="preserve"> por planes de contribuciones definidas al IVM</w:t>
      </w:r>
      <w:r>
        <w:rPr>
          <w:sz w:val="23"/>
          <w:szCs w:val="23"/>
          <w:lang w:val="es-CR"/>
        </w:rPr>
        <w:t>.</w:t>
      </w:r>
    </w:p>
    <w:p w14:paraId="0F11835E" w14:textId="77777777" w:rsidR="00B60578" w:rsidRDefault="00B60578" w:rsidP="00B60578">
      <w:pPr>
        <w:pStyle w:val="Default"/>
        <w:spacing w:after="120" w:line="238" w:lineRule="auto"/>
        <w:ind w:right="260"/>
        <w:jc w:val="both"/>
        <w:rPr>
          <w:color w:val="auto"/>
          <w:sz w:val="23"/>
          <w:szCs w:val="23"/>
          <w:lang w:val="es-CR"/>
        </w:rPr>
      </w:pPr>
    </w:p>
    <w:p w14:paraId="79329C99" w14:textId="77777777" w:rsidR="00FD48A0" w:rsidRDefault="00FD48A0" w:rsidP="00B60578">
      <w:pPr>
        <w:pStyle w:val="Default"/>
        <w:spacing w:after="120" w:line="238" w:lineRule="auto"/>
        <w:ind w:right="260"/>
        <w:jc w:val="both"/>
        <w:rPr>
          <w:color w:val="auto"/>
          <w:sz w:val="23"/>
          <w:szCs w:val="23"/>
          <w:lang w:val="es-CR"/>
        </w:rPr>
      </w:pPr>
    </w:p>
    <w:tbl>
      <w:tblPr>
        <w:tblW w:w="9680" w:type="dxa"/>
        <w:tblLook w:val="04A0" w:firstRow="1" w:lastRow="0" w:firstColumn="1" w:lastColumn="0" w:noHBand="0" w:noVBand="1"/>
      </w:tblPr>
      <w:tblGrid>
        <w:gridCol w:w="636"/>
        <w:gridCol w:w="417"/>
        <w:gridCol w:w="611"/>
        <w:gridCol w:w="3683"/>
        <w:gridCol w:w="2249"/>
        <w:gridCol w:w="2084"/>
      </w:tblGrid>
      <w:tr w:rsidR="001251B0" w:rsidRPr="001251B0" w14:paraId="7921CD7B" w14:textId="77777777" w:rsidTr="001251B0">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7937258" w14:textId="77777777" w:rsidR="001251B0" w:rsidRPr="001251B0" w:rsidRDefault="001251B0" w:rsidP="001251B0">
            <w:pPr>
              <w:jc w:val="center"/>
              <w:rPr>
                <w:rFonts w:ascii="Arial Narrow" w:eastAsia="Times New Roman" w:hAnsi="Arial Narrow" w:cs="Calibri"/>
                <w:b/>
                <w:bCs/>
                <w:color w:val="FFFFFF"/>
                <w:sz w:val="22"/>
                <w:szCs w:val="22"/>
              </w:rPr>
            </w:pPr>
            <w:r w:rsidRPr="001251B0">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965B14" w14:textId="77777777" w:rsidR="001251B0" w:rsidRPr="001251B0" w:rsidRDefault="001251B0" w:rsidP="001251B0">
            <w:pPr>
              <w:jc w:val="center"/>
              <w:rPr>
                <w:rFonts w:ascii="Arial Narrow" w:eastAsia="Times New Roman" w:hAnsi="Arial Narrow" w:cs="Calibri"/>
                <w:b/>
                <w:bCs/>
                <w:color w:val="FFFFFF"/>
                <w:sz w:val="22"/>
                <w:szCs w:val="22"/>
              </w:rPr>
            </w:pPr>
            <w:r w:rsidRPr="001251B0">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4931088C" w14:textId="77777777" w:rsidR="001251B0" w:rsidRPr="001251B0" w:rsidRDefault="001251B0" w:rsidP="001251B0">
            <w:pPr>
              <w:jc w:val="center"/>
              <w:rPr>
                <w:rFonts w:ascii="Arial Narrow" w:eastAsia="Times New Roman" w:hAnsi="Arial Narrow" w:cs="Calibri"/>
                <w:b/>
                <w:bCs/>
                <w:color w:val="FFFFFF"/>
                <w:sz w:val="22"/>
                <w:szCs w:val="22"/>
              </w:rPr>
            </w:pPr>
            <w:r w:rsidRPr="001251B0">
              <w:rPr>
                <w:rFonts w:ascii="Arial Narrow" w:eastAsia="Times New Roman" w:hAnsi="Arial Narrow" w:cs="Calibri"/>
                <w:b/>
                <w:bCs/>
                <w:color w:val="FFFFFF"/>
                <w:sz w:val="22"/>
                <w:szCs w:val="22"/>
              </w:rPr>
              <w:t>Referencia</w:t>
            </w:r>
          </w:p>
        </w:tc>
      </w:tr>
      <w:tr w:rsidR="001251B0" w:rsidRPr="006E5442" w14:paraId="5CE8462B" w14:textId="77777777" w:rsidTr="001251B0">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20D4D3BC" w14:textId="77777777" w:rsidR="001251B0" w:rsidRPr="001251B0" w:rsidRDefault="001251B0" w:rsidP="001251B0">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1FCB8414" w14:textId="77777777" w:rsidR="001251B0" w:rsidRPr="001251B0" w:rsidRDefault="001251B0" w:rsidP="001251B0">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5D96B041" w14:textId="77777777" w:rsidR="001251B0" w:rsidRPr="001251B0" w:rsidRDefault="001251B0" w:rsidP="001251B0">
            <w:pPr>
              <w:jc w:val="center"/>
              <w:rPr>
                <w:rFonts w:ascii="Arial Narrow" w:eastAsia="Times New Roman" w:hAnsi="Arial Narrow" w:cs="Calibri"/>
                <w:b/>
                <w:bCs/>
                <w:color w:val="FFFFFF"/>
                <w:sz w:val="22"/>
                <w:szCs w:val="22"/>
              </w:rPr>
            </w:pPr>
            <w:r w:rsidRPr="001251B0">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78F4A845" w14:textId="77777777" w:rsidR="001251B0" w:rsidRPr="001251B0" w:rsidRDefault="001251B0" w:rsidP="001251B0">
            <w:pPr>
              <w:jc w:val="center"/>
              <w:rPr>
                <w:rFonts w:ascii="Arial Narrow" w:eastAsia="Times New Roman" w:hAnsi="Arial Narrow" w:cs="Calibri"/>
                <w:b/>
                <w:bCs/>
                <w:color w:val="FFFFFF"/>
                <w:sz w:val="22"/>
                <w:szCs w:val="22"/>
                <w:lang w:val="es-CR"/>
              </w:rPr>
            </w:pPr>
            <w:r w:rsidRPr="001251B0">
              <w:rPr>
                <w:rFonts w:ascii="Arial Narrow" w:eastAsia="Times New Roman" w:hAnsi="Arial Narrow" w:cs="Calibri"/>
                <w:b/>
                <w:bCs/>
                <w:color w:val="FFFFFF"/>
                <w:sz w:val="22"/>
                <w:szCs w:val="22"/>
                <w:lang w:val="es-CR"/>
              </w:rPr>
              <w:t>Normativa técnica y disposiciones adicionales</w:t>
            </w:r>
          </w:p>
        </w:tc>
      </w:tr>
      <w:tr w:rsidR="001251B0" w:rsidRPr="001251B0" w14:paraId="27AF5008" w14:textId="77777777" w:rsidTr="001251B0">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D8B710" w14:textId="77777777" w:rsidR="001251B0" w:rsidRPr="001251B0" w:rsidRDefault="001251B0" w:rsidP="001251B0">
            <w:pPr>
              <w:jc w:val="center"/>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75F3B9AD" w14:textId="77777777" w:rsidR="001251B0" w:rsidRPr="001251B0" w:rsidRDefault="001251B0" w:rsidP="001251B0">
            <w:pPr>
              <w:jc w:val="center"/>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49</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22270C06" w14:textId="6D72E1FE" w:rsidR="001251B0" w:rsidRPr="001251B0" w:rsidRDefault="001251B0" w:rsidP="001251B0">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4F05047E" w14:textId="77777777" w:rsidR="001251B0" w:rsidRPr="001251B0" w:rsidRDefault="001251B0" w:rsidP="001251B0">
            <w:pPr>
              <w:jc w:val="both"/>
              <w:rPr>
                <w:rFonts w:ascii="Arial Narrow" w:eastAsia="Times New Roman" w:hAnsi="Arial Narrow" w:cs="Calibri"/>
                <w:b/>
                <w:bCs/>
                <w:color w:val="000000"/>
                <w:sz w:val="22"/>
                <w:szCs w:val="22"/>
                <w:lang w:val="es-CR"/>
              </w:rPr>
            </w:pPr>
            <w:r w:rsidRPr="001251B0">
              <w:rPr>
                <w:rFonts w:ascii="Arial Narrow" w:eastAsia="Times New Roman" w:hAnsi="Arial Narrow" w:cs="Calibri"/>
                <w:b/>
                <w:bCs/>
                <w:color w:val="000000"/>
                <w:sz w:val="22"/>
                <w:szCs w:val="22"/>
                <w:lang w:val="es-CR"/>
              </w:rPr>
              <w:t>Clasificación y formas o modalidades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0BC8F340" w14:textId="2979E91B" w:rsidR="001251B0" w:rsidRDefault="001251B0" w:rsidP="001251B0">
            <w:pPr>
              <w:jc w:val="both"/>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NICSP Nº 39</w:t>
            </w:r>
          </w:p>
          <w:p w14:paraId="0E8A261A" w14:textId="37288B6F" w:rsidR="001251B0" w:rsidRPr="001251B0" w:rsidRDefault="001251B0" w:rsidP="001251B0">
            <w:pPr>
              <w:jc w:val="both"/>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Párrafos 27 y 31.</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64E45C21" w14:textId="77777777" w:rsidR="001251B0" w:rsidRPr="001251B0" w:rsidRDefault="001251B0" w:rsidP="001251B0">
            <w:pPr>
              <w:jc w:val="center"/>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 xml:space="preserve"> </w:t>
            </w:r>
          </w:p>
        </w:tc>
      </w:tr>
    </w:tbl>
    <w:p w14:paraId="6CF60E40" w14:textId="77777777" w:rsidR="00B60578" w:rsidRDefault="00B60578" w:rsidP="004D6AF6">
      <w:pPr>
        <w:pStyle w:val="Default"/>
        <w:ind w:right="261"/>
        <w:jc w:val="both"/>
        <w:rPr>
          <w:color w:val="auto"/>
          <w:sz w:val="23"/>
          <w:szCs w:val="23"/>
          <w:lang w:val="es-CR"/>
        </w:rPr>
      </w:pPr>
    </w:p>
    <w:p w14:paraId="6117F742" w14:textId="77777777" w:rsidR="00FD48A0" w:rsidRDefault="00FD48A0" w:rsidP="004D6AF6">
      <w:pPr>
        <w:pStyle w:val="Default"/>
        <w:ind w:right="261"/>
        <w:jc w:val="both"/>
        <w:rPr>
          <w:color w:val="auto"/>
          <w:sz w:val="23"/>
          <w:szCs w:val="23"/>
          <w:lang w:val="es-CR"/>
        </w:rPr>
      </w:pPr>
    </w:p>
    <w:p w14:paraId="09F06CDC" w14:textId="77777777" w:rsidR="00FD48A0" w:rsidRDefault="00FD48A0" w:rsidP="004D6AF6">
      <w:pPr>
        <w:pStyle w:val="Default"/>
        <w:ind w:right="261"/>
        <w:jc w:val="both"/>
        <w:rPr>
          <w:color w:val="auto"/>
          <w:sz w:val="23"/>
          <w:szCs w:val="23"/>
          <w:lang w:val="es-CR"/>
        </w:rPr>
      </w:pPr>
    </w:p>
    <w:p w14:paraId="221A96CD" w14:textId="77777777" w:rsidR="00FD48A0" w:rsidRDefault="00FD48A0" w:rsidP="004D6AF6">
      <w:pPr>
        <w:pStyle w:val="Default"/>
        <w:ind w:right="261"/>
        <w:jc w:val="both"/>
        <w:rPr>
          <w:color w:val="auto"/>
          <w:sz w:val="23"/>
          <w:szCs w:val="23"/>
          <w:lang w:val="es-CR"/>
        </w:rPr>
      </w:pPr>
    </w:p>
    <w:p w14:paraId="34DE9652" w14:textId="5A399E8E" w:rsidR="00FD48A0" w:rsidRDefault="00FD48A0" w:rsidP="004D6AF6">
      <w:pPr>
        <w:pStyle w:val="Default"/>
        <w:ind w:right="261"/>
        <w:jc w:val="both"/>
        <w:rPr>
          <w:rFonts w:eastAsia="Arial"/>
          <w:b/>
          <w:sz w:val="22"/>
          <w:szCs w:val="22"/>
        </w:rPr>
      </w:pPr>
      <w:r w:rsidRPr="00F02F9D">
        <w:rPr>
          <w:rFonts w:eastAsia="Arial"/>
          <w:b/>
          <w:sz w:val="22"/>
          <w:szCs w:val="22"/>
        </w:rPr>
        <w:lastRenderedPageBreak/>
        <w:t>Políticas Contables</w:t>
      </w:r>
    </w:p>
    <w:p w14:paraId="3E6E15D4" w14:textId="77777777" w:rsidR="00FD48A0" w:rsidRDefault="00FD48A0" w:rsidP="004D6AF6">
      <w:pPr>
        <w:pStyle w:val="Default"/>
        <w:ind w:right="261"/>
        <w:jc w:val="both"/>
        <w:rPr>
          <w:color w:val="auto"/>
          <w:sz w:val="23"/>
          <w:szCs w:val="23"/>
          <w:lang w:val="es-CR"/>
        </w:rPr>
      </w:pPr>
    </w:p>
    <w:p w14:paraId="1EC12DD4" w14:textId="04D750E4" w:rsidR="001251B0" w:rsidRPr="004D6AF6" w:rsidRDefault="004D6AF6" w:rsidP="004D6AF6">
      <w:pPr>
        <w:pStyle w:val="Default"/>
        <w:ind w:left="1134" w:hanging="1134"/>
        <w:jc w:val="both"/>
        <w:rPr>
          <w:sz w:val="22"/>
          <w:szCs w:val="22"/>
          <w:lang w:val="es-CR"/>
        </w:rPr>
      </w:pPr>
      <w:r>
        <w:rPr>
          <w:sz w:val="22"/>
          <w:szCs w:val="22"/>
          <w:lang w:val="es-CR"/>
        </w:rPr>
        <w:t>2.49.0.01</w:t>
      </w:r>
      <w:r>
        <w:rPr>
          <w:sz w:val="22"/>
          <w:szCs w:val="22"/>
          <w:lang w:val="es-CR"/>
        </w:rPr>
        <w:tab/>
      </w:r>
      <w:r w:rsidR="001251B0" w:rsidRPr="004D6AF6">
        <w:rPr>
          <w:sz w:val="22"/>
          <w:szCs w:val="22"/>
          <w:lang w:val="es-CR"/>
        </w:rPr>
        <w:t xml:space="preserve">Los planes de beneficios posteriores al empleo que aplican en la </w:t>
      </w:r>
      <w:r w:rsidR="000F29DC">
        <w:rPr>
          <w:sz w:val="22"/>
          <w:szCs w:val="22"/>
          <w:lang w:val="es-CR"/>
        </w:rPr>
        <w:t>MBA</w:t>
      </w:r>
      <w:r w:rsidR="001251B0" w:rsidRPr="004D6AF6">
        <w:rPr>
          <w:sz w:val="22"/>
          <w:szCs w:val="22"/>
          <w:lang w:val="es-CR"/>
        </w:rPr>
        <w:t xml:space="preserve">, en atención a la sustancia económica del plan según sus términos y condiciones, se clasifican planes de contribuciones definidas de </w:t>
      </w:r>
      <w:r w:rsidR="00D94C76" w:rsidRPr="004D6AF6">
        <w:rPr>
          <w:sz w:val="22"/>
          <w:szCs w:val="22"/>
          <w:lang w:val="es-CR"/>
        </w:rPr>
        <w:t>planes gubernamentales</w:t>
      </w:r>
      <w:r w:rsidR="001251B0" w:rsidRPr="004D6AF6">
        <w:rPr>
          <w:sz w:val="22"/>
          <w:szCs w:val="22"/>
          <w:lang w:val="es-CR"/>
        </w:rPr>
        <w:t xml:space="preserve">. </w:t>
      </w:r>
    </w:p>
    <w:p w14:paraId="14C78964" w14:textId="77777777" w:rsidR="001251B0" w:rsidRDefault="001251B0" w:rsidP="001251B0">
      <w:pPr>
        <w:pStyle w:val="Default"/>
        <w:rPr>
          <w:sz w:val="23"/>
          <w:szCs w:val="23"/>
          <w:lang w:val="es-CR"/>
        </w:rPr>
      </w:pPr>
    </w:p>
    <w:p w14:paraId="0D5696CA" w14:textId="77777777" w:rsidR="00FD48A0" w:rsidRPr="001251B0" w:rsidRDefault="00FD48A0" w:rsidP="001251B0">
      <w:pPr>
        <w:pStyle w:val="Default"/>
        <w:rPr>
          <w:sz w:val="23"/>
          <w:szCs w:val="23"/>
          <w:lang w:val="es-CR"/>
        </w:rPr>
      </w:pPr>
    </w:p>
    <w:p w14:paraId="7407D0E4" w14:textId="77777777" w:rsidR="001251B0" w:rsidRPr="001251B0" w:rsidRDefault="001251B0" w:rsidP="001251B0">
      <w:pPr>
        <w:pStyle w:val="Default"/>
        <w:rPr>
          <w:sz w:val="23"/>
          <w:szCs w:val="23"/>
          <w:lang w:val="es-CR"/>
        </w:rPr>
      </w:pPr>
    </w:p>
    <w:p w14:paraId="746F2B05" w14:textId="6AE5A17A" w:rsidR="00B60578" w:rsidRPr="004D6AF6" w:rsidRDefault="001251B0" w:rsidP="004D6AF6">
      <w:pPr>
        <w:pStyle w:val="Ttulo2"/>
        <w:ind w:left="284"/>
        <w:rPr>
          <w:rFonts w:ascii="Arial" w:eastAsia="Arial" w:hAnsi="Arial" w:cs="Arial"/>
          <w:b/>
          <w:bCs/>
          <w:sz w:val="20"/>
          <w:szCs w:val="20"/>
          <w:lang w:val="es-CR"/>
        </w:rPr>
      </w:pPr>
      <w:bookmarkStart w:id="99" w:name="_Toc172726234"/>
      <w:r w:rsidRPr="004D6AF6">
        <w:rPr>
          <w:rFonts w:ascii="Arial" w:eastAsia="Arial" w:hAnsi="Arial" w:cs="Arial"/>
          <w:b/>
          <w:bCs/>
          <w:sz w:val="20"/>
          <w:szCs w:val="20"/>
          <w:lang w:val="es-CR"/>
        </w:rPr>
        <w:t>Planes de contribuciones definidas</w:t>
      </w:r>
      <w:bookmarkEnd w:id="99"/>
    </w:p>
    <w:p w14:paraId="0B15C5D8" w14:textId="77777777" w:rsidR="00B60578" w:rsidRDefault="00B60578" w:rsidP="00B60578">
      <w:pPr>
        <w:pStyle w:val="Default"/>
        <w:spacing w:after="120" w:line="238" w:lineRule="auto"/>
        <w:ind w:right="260"/>
        <w:jc w:val="both"/>
        <w:rPr>
          <w:color w:val="auto"/>
          <w:sz w:val="23"/>
          <w:szCs w:val="23"/>
          <w:lang w:val="es-CR"/>
        </w:rPr>
      </w:pPr>
    </w:p>
    <w:tbl>
      <w:tblPr>
        <w:tblW w:w="9680" w:type="dxa"/>
        <w:tblLook w:val="04A0" w:firstRow="1" w:lastRow="0" w:firstColumn="1" w:lastColumn="0" w:noHBand="0" w:noVBand="1"/>
      </w:tblPr>
      <w:tblGrid>
        <w:gridCol w:w="636"/>
        <w:gridCol w:w="417"/>
        <w:gridCol w:w="611"/>
        <w:gridCol w:w="3684"/>
        <w:gridCol w:w="2248"/>
        <w:gridCol w:w="2084"/>
      </w:tblGrid>
      <w:tr w:rsidR="001251B0" w:rsidRPr="001251B0" w14:paraId="18BC1A4E" w14:textId="77777777" w:rsidTr="001251B0">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C8207FD" w14:textId="77777777" w:rsidR="001251B0" w:rsidRPr="001251B0" w:rsidRDefault="001251B0" w:rsidP="001251B0">
            <w:pPr>
              <w:jc w:val="center"/>
              <w:rPr>
                <w:rFonts w:ascii="Arial Narrow" w:eastAsia="Times New Roman" w:hAnsi="Arial Narrow" w:cs="Calibri"/>
                <w:b/>
                <w:bCs/>
                <w:color w:val="FFFFFF"/>
                <w:sz w:val="22"/>
                <w:szCs w:val="22"/>
              </w:rPr>
            </w:pPr>
            <w:r w:rsidRPr="001251B0">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37948E9" w14:textId="77777777" w:rsidR="001251B0" w:rsidRPr="001251B0" w:rsidRDefault="001251B0" w:rsidP="001251B0">
            <w:pPr>
              <w:jc w:val="center"/>
              <w:rPr>
                <w:rFonts w:ascii="Arial Narrow" w:eastAsia="Times New Roman" w:hAnsi="Arial Narrow" w:cs="Calibri"/>
                <w:b/>
                <w:bCs/>
                <w:color w:val="FFFFFF"/>
                <w:sz w:val="22"/>
                <w:szCs w:val="22"/>
              </w:rPr>
            </w:pPr>
            <w:r w:rsidRPr="001251B0">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2EEEC303" w14:textId="77777777" w:rsidR="001251B0" w:rsidRPr="001251B0" w:rsidRDefault="001251B0" w:rsidP="001251B0">
            <w:pPr>
              <w:jc w:val="center"/>
              <w:rPr>
                <w:rFonts w:ascii="Arial Narrow" w:eastAsia="Times New Roman" w:hAnsi="Arial Narrow" w:cs="Calibri"/>
                <w:b/>
                <w:bCs/>
                <w:color w:val="FFFFFF"/>
                <w:sz w:val="22"/>
                <w:szCs w:val="22"/>
              </w:rPr>
            </w:pPr>
            <w:r w:rsidRPr="001251B0">
              <w:rPr>
                <w:rFonts w:ascii="Arial Narrow" w:eastAsia="Times New Roman" w:hAnsi="Arial Narrow" w:cs="Calibri"/>
                <w:b/>
                <w:bCs/>
                <w:color w:val="FFFFFF"/>
                <w:sz w:val="22"/>
                <w:szCs w:val="22"/>
              </w:rPr>
              <w:t>Referencia</w:t>
            </w:r>
          </w:p>
        </w:tc>
      </w:tr>
      <w:tr w:rsidR="001251B0" w:rsidRPr="006E5442" w14:paraId="73CC7339" w14:textId="77777777" w:rsidTr="001251B0">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0349D3C1" w14:textId="77777777" w:rsidR="001251B0" w:rsidRPr="001251B0" w:rsidRDefault="001251B0" w:rsidP="001251B0">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424D51CA" w14:textId="77777777" w:rsidR="001251B0" w:rsidRPr="001251B0" w:rsidRDefault="001251B0" w:rsidP="001251B0">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2B479D32" w14:textId="77777777" w:rsidR="001251B0" w:rsidRPr="001251B0" w:rsidRDefault="001251B0" w:rsidP="001251B0">
            <w:pPr>
              <w:jc w:val="center"/>
              <w:rPr>
                <w:rFonts w:ascii="Arial Narrow" w:eastAsia="Times New Roman" w:hAnsi="Arial Narrow" w:cs="Calibri"/>
                <w:b/>
                <w:bCs/>
                <w:color w:val="FFFFFF"/>
                <w:sz w:val="22"/>
                <w:szCs w:val="22"/>
              </w:rPr>
            </w:pPr>
            <w:r w:rsidRPr="001251B0">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7566620D" w14:textId="77777777" w:rsidR="001251B0" w:rsidRPr="001251B0" w:rsidRDefault="001251B0" w:rsidP="001251B0">
            <w:pPr>
              <w:jc w:val="center"/>
              <w:rPr>
                <w:rFonts w:ascii="Arial Narrow" w:eastAsia="Times New Roman" w:hAnsi="Arial Narrow" w:cs="Calibri"/>
                <w:b/>
                <w:bCs/>
                <w:color w:val="FFFFFF"/>
                <w:sz w:val="22"/>
                <w:szCs w:val="22"/>
                <w:lang w:val="es-CR"/>
              </w:rPr>
            </w:pPr>
            <w:r w:rsidRPr="001251B0">
              <w:rPr>
                <w:rFonts w:ascii="Arial Narrow" w:eastAsia="Times New Roman" w:hAnsi="Arial Narrow" w:cs="Calibri"/>
                <w:b/>
                <w:bCs/>
                <w:color w:val="FFFFFF"/>
                <w:sz w:val="22"/>
                <w:szCs w:val="22"/>
                <w:lang w:val="es-CR"/>
              </w:rPr>
              <w:t>Normativa técnica y disposiciones adicionales</w:t>
            </w:r>
          </w:p>
        </w:tc>
      </w:tr>
      <w:tr w:rsidR="001251B0" w:rsidRPr="001251B0" w14:paraId="1B1A7222" w14:textId="77777777" w:rsidTr="00FD48A0">
        <w:trPr>
          <w:trHeight w:val="349"/>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6D3E22" w14:textId="77777777" w:rsidR="001251B0" w:rsidRPr="001251B0" w:rsidRDefault="001251B0" w:rsidP="001251B0">
            <w:pPr>
              <w:jc w:val="center"/>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4AF54B88" w14:textId="77777777" w:rsidR="001251B0" w:rsidRPr="001251B0" w:rsidRDefault="001251B0" w:rsidP="001251B0">
            <w:pPr>
              <w:jc w:val="center"/>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50</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3F5F8E8D" w14:textId="6B54C049" w:rsidR="001251B0" w:rsidRPr="001251B0" w:rsidRDefault="001251B0" w:rsidP="001251B0">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4FEC9183" w14:textId="77777777" w:rsidR="001251B0" w:rsidRPr="001251B0" w:rsidRDefault="001251B0" w:rsidP="001251B0">
            <w:pPr>
              <w:jc w:val="both"/>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Identificación</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136F1EA2" w14:textId="77777777" w:rsidR="004D6AF6" w:rsidRDefault="001251B0" w:rsidP="001251B0">
            <w:pPr>
              <w:jc w:val="both"/>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 xml:space="preserve">NICSP Nº 39, </w:t>
            </w:r>
          </w:p>
          <w:p w14:paraId="419723B5" w14:textId="47D3624E" w:rsidR="001251B0" w:rsidRPr="001251B0" w:rsidRDefault="001251B0" w:rsidP="001251B0">
            <w:pPr>
              <w:jc w:val="both"/>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Párrafos 8 y 28.</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5E41BDC7" w14:textId="77777777" w:rsidR="001251B0" w:rsidRPr="001251B0" w:rsidRDefault="001251B0" w:rsidP="001251B0">
            <w:pPr>
              <w:jc w:val="center"/>
              <w:rPr>
                <w:rFonts w:ascii="Arial Narrow" w:eastAsia="Times New Roman" w:hAnsi="Arial Narrow" w:cs="Calibri"/>
                <w:b/>
                <w:bCs/>
                <w:color w:val="000000"/>
                <w:sz w:val="22"/>
                <w:szCs w:val="22"/>
              </w:rPr>
            </w:pPr>
            <w:r w:rsidRPr="001251B0">
              <w:rPr>
                <w:rFonts w:ascii="Arial Narrow" w:eastAsia="Times New Roman" w:hAnsi="Arial Narrow" w:cs="Calibri"/>
                <w:b/>
                <w:bCs/>
                <w:color w:val="000000"/>
                <w:sz w:val="22"/>
                <w:szCs w:val="22"/>
              </w:rPr>
              <w:t xml:space="preserve"> </w:t>
            </w:r>
          </w:p>
        </w:tc>
      </w:tr>
    </w:tbl>
    <w:p w14:paraId="6A8B2782" w14:textId="77777777" w:rsidR="00B60578" w:rsidRDefault="00B60578" w:rsidP="00FD48A0">
      <w:pPr>
        <w:pStyle w:val="Default"/>
        <w:ind w:right="261"/>
        <w:jc w:val="both"/>
        <w:rPr>
          <w:rFonts w:ascii="Arial Narrow" w:hAnsi="Arial Narrow"/>
          <w:color w:val="auto"/>
          <w:sz w:val="22"/>
          <w:szCs w:val="22"/>
          <w:lang w:val="es-CR"/>
        </w:rPr>
      </w:pPr>
    </w:p>
    <w:p w14:paraId="45ECF79C" w14:textId="2EE3E88D" w:rsidR="00FD48A0" w:rsidRDefault="00FD48A0" w:rsidP="00FD48A0">
      <w:pPr>
        <w:pStyle w:val="Default"/>
        <w:ind w:right="261"/>
        <w:jc w:val="both"/>
        <w:rPr>
          <w:rFonts w:eastAsia="Arial"/>
          <w:b/>
          <w:sz w:val="22"/>
          <w:szCs w:val="22"/>
        </w:rPr>
      </w:pPr>
      <w:r w:rsidRPr="00F02F9D">
        <w:rPr>
          <w:rFonts w:eastAsia="Arial"/>
          <w:b/>
          <w:sz w:val="22"/>
          <w:szCs w:val="22"/>
        </w:rPr>
        <w:t>Políticas Contables</w:t>
      </w:r>
    </w:p>
    <w:p w14:paraId="403F730A" w14:textId="77777777" w:rsidR="00FD48A0" w:rsidRPr="001251B0" w:rsidRDefault="00FD48A0" w:rsidP="00FD48A0">
      <w:pPr>
        <w:pStyle w:val="Default"/>
        <w:ind w:right="261"/>
        <w:jc w:val="both"/>
        <w:rPr>
          <w:rFonts w:ascii="Arial Narrow" w:hAnsi="Arial Narrow"/>
          <w:color w:val="auto"/>
          <w:sz w:val="22"/>
          <w:szCs w:val="22"/>
          <w:lang w:val="es-CR"/>
        </w:rPr>
      </w:pPr>
    </w:p>
    <w:p w14:paraId="66318F9A" w14:textId="18BEAD68" w:rsidR="001251B0" w:rsidRPr="004D6AF6" w:rsidRDefault="001251B0" w:rsidP="001251B0">
      <w:pPr>
        <w:pStyle w:val="Default"/>
        <w:ind w:left="1134" w:hanging="1134"/>
        <w:jc w:val="both"/>
        <w:rPr>
          <w:sz w:val="22"/>
          <w:szCs w:val="22"/>
          <w:lang w:val="es-CR"/>
        </w:rPr>
      </w:pPr>
      <w:r w:rsidRPr="004D6AF6">
        <w:rPr>
          <w:sz w:val="22"/>
          <w:szCs w:val="22"/>
          <w:lang w:val="es-CR"/>
        </w:rPr>
        <w:t>2.50.0.01</w:t>
      </w:r>
      <w:r w:rsidRPr="004D6AF6">
        <w:rPr>
          <w:sz w:val="22"/>
          <w:szCs w:val="22"/>
          <w:lang w:val="es-CR"/>
        </w:rPr>
        <w:tab/>
        <w:t>Son planes de beneficios post-empleo en los cuales una entidad realiza contribuciones de carácter predeterminado a una entidad separada (un fondo) y no tiene obligación legal ni implícita de realizar contribuciones adicionales en el caso de que el fondo no tenga activos suficientes para atender todos los beneficios a los empleados relacionados con los servicios que éstos han prestado en el periodo presente y en los anteriores.</w:t>
      </w:r>
    </w:p>
    <w:p w14:paraId="1A0FF1D2" w14:textId="77777777" w:rsidR="001251B0" w:rsidRPr="004D6AF6" w:rsidRDefault="001251B0" w:rsidP="001251B0">
      <w:pPr>
        <w:pStyle w:val="Default"/>
        <w:ind w:left="1134" w:hanging="1134"/>
        <w:jc w:val="both"/>
        <w:rPr>
          <w:sz w:val="22"/>
          <w:szCs w:val="22"/>
          <w:lang w:val="es-CR"/>
        </w:rPr>
      </w:pPr>
    </w:p>
    <w:p w14:paraId="165EE9EE" w14:textId="03698469" w:rsidR="001251B0" w:rsidRPr="004D6AF6" w:rsidRDefault="001251B0" w:rsidP="001251B0">
      <w:pPr>
        <w:pStyle w:val="Default"/>
        <w:ind w:left="1134" w:hanging="1134"/>
        <w:jc w:val="both"/>
        <w:rPr>
          <w:sz w:val="22"/>
          <w:szCs w:val="22"/>
          <w:lang w:val="es-CR"/>
        </w:rPr>
      </w:pPr>
      <w:r w:rsidRPr="004D6AF6">
        <w:rPr>
          <w:sz w:val="22"/>
          <w:szCs w:val="22"/>
          <w:lang w:val="es-CR"/>
        </w:rPr>
        <w:t>2.50.0.02</w:t>
      </w:r>
      <w:r w:rsidRPr="004D6AF6">
        <w:rPr>
          <w:sz w:val="22"/>
          <w:szCs w:val="22"/>
          <w:lang w:val="es-CR"/>
        </w:rPr>
        <w:tab/>
        <w:t>Un plan de contribuciones definidas debe requerir que la entidad pague contribuciones fijas a una entidad separada; donde:</w:t>
      </w:r>
    </w:p>
    <w:p w14:paraId="07B50F3E" w14:textId="77777777" w:rsidR="001251B0" w:rsidRPr="004D6AF6" w:rsidRDefault="001251B0" w:rsidP="001251B0">
      <w:pPr>
        <w:pStyle w:val="Default"/>
        <w:ind w:left="1134" w:hanging="1134"/>
        <w:jc w:val="both"/>
        <w:rPr>
          <w:sz w:val="22"/>
          <w:szCs w:val="22"/>
          <w:lang w:val="es-CR"/>
        </w:rPr>
      </w:pPr>
    </w:p>
    <w:p w14:paraId="524100EA" w14:textId="3F21BC91" w:rsidR="001251B0" w:rsidRPr="004D6AF6" w:rsidRDefault="001251B0">
      <w:pPr>
        <w:pStyle w:val="Default"/>
        <w:numPr>
          <w:ilvl w:val="0"/>
          <w:numId w:val="171"/>
        </w:numPr>
        <w:spacing w:after="120"/>
        <w:ind w:left="1418" w:hanging="284"/>
        <w:jc w:val="both"/>
        <w:rPr>
          <w:sz w:val="22"/>
          <w:szCs w:val="22"/>
          <w:lang w:val="es-CR"/>
        </w:rPr>
      </w:pPr>
      <w:r w:rsidRPr="004D6AF6">
        <w:rPr>
          <w:sz w:val="22"/>
          <w:szCs w:val="22"/>
          <w:lang w:val="es-CR"/>
        </w:rPr>
        <w:t xml:space="preserve">La obligación legal o implícita de la entidad se limita a la contribución que haya acordado entregar al fondo, de forma tal que el importe de los beneficios post-empleo a recibir por el empleado estará determinado por el importe de las contribuciones que haya realizado la entidad (y eventualmente el propio empleado) a un plan de beneficio post-empleo o a una compañía de seguros, junto con el rendimiento obtenido por las inversiones donde se materialicen los fondos aportados; </w:t>
      </w:r>
    </w:p>
    <w:p w14:paraId="22CCE65A" w14:textId="625888DB" w:rsidR="001251B0" w:rsidRPr="004D6AF6" w:rsidRDefault="001251B0">
      <w:pPr>
        <w:pStyle w:val="Default"/>
        <w:numPr>
          <w:ilvl w:val="0"/>
          <w:numId w:val="171"/>
        </w:numPr>
        <w:ind w:left="1418" w:hanging="284"/>
        <w:jc w:val="both"/>
        <w:rPr>
          <w:sz w:val="22"/>
          <w:szCs w:val="22"/>
          <w:lang w:val="es-CR"/>
        </w:rPr>
      </w:pPr>
      <w:r w:rsidRPr="004D6AF6">
        <w:rPr>
          <w:sz w:val="22"/>
          <w:szCs w:val="22"/>
          <w:lang w:val="es-CR"/>
        </w:rPr>
        <w:t xml:space="preserve">En consecuencia, el riesgo actuarial (de que los beneficios sean menores que los esperados) y el riesgo de inversión (de que los activos invertidos sean insuficientes para cubrir los beneficios esperados) son asumidos por el empleado. </w:t>
      </w:r>
    </w:p>
    <w:p w14:paraId="436C84D1" w14:textId="77777777" w:rsidR="00B60578" w:rsidRDefault="00B60578" w:rsidP="001251B0">
      <w:pPr>
        <w:pStyle w:val="Default"/>
        <w:spacing w:after="120" w:line="238" w:lineRule="auto"/>
        <w:ind w:right="260"/>
        <w:jc w:val="both"/>
        <w:rPr>
          <w:color w:val="auto"/>
          <w:sz w:val="23"/>
          <w:szCs w:val="23"/>
          <w:lang w:val="es-CR"/>
        </w:rPr>
      </w:pPr>
    </w:p>
    <w:p w14:paraId="28A523B9" w14:textId="77777777" w:rsidR="00FD48A0" w:rsidRDefault="00FD48A0" w:rsidP="00FD48A0">
      <w:pPr>
        <w:pStyle w:val="Default"/>
        <w:ind w:right="261"/>
        <w:jc w:val="both"/>
        <w:rPr>
          <w:color w:val="auto"/>
          <w:sz w:val="23"/>
          <w:szCs w:val="23"/>
          <w:lang w:val="es-CR"/>
        </w:rPr>
      </w:pPr>
    </w:p>
    <w:tbl>
      <w:tblPr>
        <w:tblW w:w="9680" w:type="dxa"/>
        <w:tblLook w:val="04A0" w:firstRow="1" w:lastRow="0" w:firstColumn="1" w:lastColumn="0" w:noHBand="0" w:noVBand="1"/>
      </w:tblPr>
      <w:tblGrid>
        <w:gridCol w:w="637"/>
        <w:gridCol w:w="417"/>
        <w:gridCol w:w="611"/>
        <w:gridCol w:w="3681"/>
        <w:gridCol w:w="2249"/>
        <w:gridCol w:w="2085"/>
      </w:tblGrid>
      <w:tr w:rsidR="00EF6201" w:rsidRPr="00EF6201" w14:paraId="23B2881F" w14:textId="77777777" w:rsidTr="00EF6201">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BC51155"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236DB2C"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7D82F308"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Referencia</w:t>
            </w:r>
          </w:p>
        </w:tc>
      </w:tr>
      <w:tr w:rsidR="00EF6201" w:rsidRPr="006E5442" w14:paraId="06401F2C" w14:textId="77777777" w:rsidTr="00EF6201">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131CDDD0" w14:textId="77777777" w:rsidR="00EF6201" w:rsidRPr="00EF6201" w:rsidRDefault="00EF6201" w:rsidP="00EF6201">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55763227" w14:textId="77777777" w:rsidR="00EF6201" w:rsidRPr="00EF6201" w:rsidRDefault="00EF6201" w:rsidP="00EF6201">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326EE7D9"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63C135F7" w14:textId="77777777" w:rsidR="00EF6201" w:rsidRPr="00EF6201" w:rsidRDefault="00EF6201" w:rsidP="00EF6201">
            <w:pPr>
              <w:jc w:val="center"/>
              <w:rPr>
                <w:rFonts w:ascii="Arial Narrow" w:eastAsia="Times New Roman" w:hAnsi="Arial Narrow" w:cs="Calibri"/>
                <w:b/>
                <w:bCs/>
                <w:color w:val="FFFFFF"/>
                <w:sz w:val="22"/>
                <w:szCs w:val="22"/>
                <w:lang w:val="es-CR"/>
              </w:rPr>
            </w:pPr>
            <w:r w:rsidRPr="00EF6201">
              <w:rPr>
                <w:rFonts w:ascii="Arial Narrow" w:eastAsia="Times New Roman" w:hAnsi="Arial Narrow" w:cs="Calibri"/>
                <w:b/>
                <w:bCs/>
                <w:color w:val="FFFFFF"/>
                <w:sz w:val="22"/>
                <w:szCs w:val="22"/>
                <w:lang w:val="es-CR"/>
              </w:rPr>
              <w:t>Normativa técnica y disposiciones adicionales</w:t>
            </w:r>
          </w:p>
        </w:tc>
      </w:tr>
      <w:tr w:rsidR="00EF6201" w:rsidRPr="00EF6201" w14:paraId="2A1F24C5" w14:textId="77777777" w:rsidTr="00FD48A0">
        <w:trPr>
          <w:trHeight w:val="427"/>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F897AD"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2FDFA6A2"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51</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32086613" w14:textId="5EADF1D9" w:rsidR="00EF6201" w:rsidRPr="00EF6201" w:rsidRDefault="00EF6201" w:rsidP="00EF6201">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0740BCD9" w14:textId="77777777" w:rsidR="00EF6201" w:rsidRPr="00EF6201" w:rsidRDefault="00EF6201" w:rsidP="00EF6201">
            <w:pPr>
              <w:jc w:val="both"/>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Medición</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728EF94C" w14:textId="71FEC7CD" w:rsidR="009F19ED" w:rsidRDefault="00EF6201" w:rsidP="00EF6201">
            <w:pPr>
              <w:jc w:val="both"/>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 xml:space="preserve">NICSP Nº 39, </w:t>
            </w:r>
          </w:p>
          <w:p w14:paraId="5999916B" w14:textId="4811EBC6" w:rsidR="00EF6201" w:rsidRPr="00EF6201" w:rsidRDefault="00EF6201" w:rsidP="00EF6201">
            <w:pPr>
              <w:jc w:val="both"/>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Párrafo 52.</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36CA5BC"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 xml:space="preserve"> </w:t>
            </w:r>
          </w:p>
        </w:tc>
      </w:tr>
    </w:tbl>
    <w:p w14:paraId="100C0D3A" w14:textId="77777777" w:rsidR="00B60578" w:rsidRDefault="00B60578" w:rsidP="00FD48A0">
      <w:pPr>
        <w:pStyle w:val="Default"/>
        <w:ind w:right="261"/>
        <w:jc w:val="both"/>
        <w:rPr>
          <w:sz w:val="22"/>
          <w:szCs w:val="22"/>
          <w:lang w:val="es-CR"/>
        </w:rPr>
      </w:pPr>
    </w:p>
    <w:p w14:paraId="1B06BB11" w14:textId="77777777" w:rsidR="00FD48A0" w:rsidRDefault="00FD48A0" w:rsidP="00FD48A0">
      <w:pPr>
        <w:pStyle w:val="Default"/>
        <w:ind w:right="261"/>
        <w:jc w:val="both"/>
        <w:rPr>
          <w:sz w:val="22"/>
          <w:szCs w:val="22"/>
          <w:lang w:val="es-CR"/>
        </w:rPr>
      </w:pPr>
    </w:p>
    <w:p w14:paraId="6B52AC74" w14:textId="77777777" w:rsidR="00FD48A0" w:rsidRDefault="00FD48A0" w:rsidP="00FD48A0">
      <w:pPr>
        <w:pStyle w:val="Default"/>
        <w:ind w:right="261"/>
        <w:jc w:val="both"/>
        <w:rPr>
          <w:sz w:val="22"/>
          <w:szCs w:val="22"/>
          <w:lang w:val="es-CR"/>
        </w:rPr>
      </w:pPr>
    </w:p>
    <w:p w14:paraId="17AEB210" w14:textId="77777777" w:rsidR="00FD48A0" w:rsidRDefault="00FD48A0" w:rsidP="00FD48A0">
      <w:pPr>
        <w:pStyle w:val="Default"/>
        <w:ind w:right="261"/>
        <w:jc w:val="both"/>
        <w:rPr>
          <w:sz w:val="22"/>
          <w:szCs w:val="22"/>
          <w:lang w:val="es-CR"/>
        </w:rPr>
      </w:pPr>
    </w:p>
    <w:p w14:paraId="76FAF012" w14:textId="13D8D8B4" w:rsidR="00FD48A0" w:rsidRDefault="00FD48A0" w:rsidP="00FD48A0">
      <w:pPr>
        <w:pStyle w:val="Default"/>
        <w:ind w:right="261"/>
        <w:jc w:val="both"/>
        <w:rPr>
          <w:rFonts w:eastAsia="Arial"/>
          <w:b/>
          <w:sz w:val="22"/>
          <w:szCs w:val="22"/>
        </w:rPr>
      </w:pPr>
      <w:r w:rsidRPr="00F02F9D">
        <w:rPr>
          <w:rFonts w:eastAsia="Arial"/>
          <w:b/>
          <w:sz w:val="22"/>
          <w:szCs w:val="22"/>
        </w:rPr>
        <w:lastRenderedPageBreak/>
        <w:t>Políticas Contables</w:t>
      </w:r>
    </w:p>
    <w:p w14:paraId="5B9D59D6" w14:textId="77777777" w:rsidR="00FD48A0" w:rsidRDefault="00FD48A0" w:rsidP="00FD48A0">
      <w:pPr>
        <w:pStyle w:val="Default"/>
        <w:ind w:right="261"/>
        <w:jc w:val="both"/>
        <w:rPr>
          <w:sz w:val="22"/>
          <w:szCs w:val="22"/>
          <w:lang w:val="es-CR"/>
        </w:rPr>
      </w:pPr>
    </w:p>
    <w:p w14:paraId="718A14A7" w14:textId="44150417" w:rsidR="00EF6201" w:rsidRDefault="00EF6201" w:rsidP="00EF6201">
      <w:pPr>
        <w:pStyle w:val="Default"/>
        <w:ind w:left="1134" w:hanging="1134"/>
        <w:jc w:val="both"/>
        <w:rPr>
          <w:sz w:val="22"/>
          <w:szCs w:val="22"/>
          <w:lang w:val="es-CR"/>
        </w:rPr>
      </w:pPr>
      <w:r>
        <w:rPr>
          <w:sz w:val="22"/>
          <w:szCs w:val="22"/>
          <w:lang w:val="es-CR"/>
        </w:rPr>
        <w:t>2.51.0.01</w:t>
      </w:r>
      <w:r>
        <w:rPr>
          <w:sz w:val="22"/>
          <w:szCs w:val="22"/>
          <w:lang w:val="es-CR"/>
        </w:rPr>
        <w:tab/>
      </w:r>
      <w:r w:rsidRPr="00EF6201">
        <w:rPr>
          <w:sz w:val="22"/>
          <w:szCs w:val="22"/>
          <w:lang w:val="es-CR"/>
        </w:rPr>
        <w:t xml:space="preserve">La contabilidad para planes de contribuciones definidas expone la obligación de la </w:t>
      </w:r>
      <w:r>
        <w:rPr>
          <w:sz w:val="22"/>
          <w:szCs w:val="22"/>
          <w:lang w:val="es-CR"/>
        </w:rPr>
        <w:t>Municipalidad en</w:t>
      </w:r>
      <w:r w:rsidRPr="00EF6201">
        <w:rPr>
          <w:sz w:val="22"/>
          <w:szCs w:val="22"/>
          <w:lang w:val="es-CR"/>
        </w:rPr>
        <w:t xml:space="preserve"> cada período </w:t>
      </w:r>
      <w:r>
        <w:rPr>
          <w:sz w:val="22"/>
          <w:szCs w:val="22"/>
          <w:lang w:val="es-CR"/>
        </w:rPr>
        <w:t>de medirlos con base en</w:t>
      </w:r>
      <w:r w:rsidRPr="00EF6201">
        <w:rPr>
          <w:sz w:val="22"/>
          <w:szCs w:val="22"/>
          <w:lang w:val="es-CR"/>
        </w:rPr>
        <w:t xml:space="preserve"> los montos a ser aportados para ese período, que suele calcularse sobre la base de las remuneraciones, sueldos y salarios devengados. </w:t>
      </w:r>
    </w:p>
    <w:p w14:paraId="17FF50A6" w14:textId="77777777" w:rsidR="008B7A95" w:rsidRDefault="008B7A95" w:rsidP="00FD48A0">
      <w:pPr>
        <w:pStyle w:val="Default"/>
        <w:ind w:right="261"/>
        <w:jc w:val="both"/>
        <w:rPr>
          <w:sz w:val="22"/>
          <w:szCs w:val="22"/>
          <w:lang w:val="es-CR"/>
        </w:rPr>
      </w:pPr>
    </w:p>
    <w:p w14:paraId="1141ACFE" w14:textId="77777777" w:rsidR="00FD48A0" w:rsidRDefault="00FD48A0" w:rsidP="00B60578">
      <w:pPr>
        <w:pStyle w:val="Default"/>
        <w:spacing w:after="120" w:line="238" w:lineRule="auto"/>
        <w:ind w:right="260"/>
        <w:jc w:val="both"/>
        <w:rPr>
          <w:sz w:val="22"/>
          <w:szCs w:val="22"/>
          <w:lang w:val="es-CR"/>
        </w:rPr>
      </w:pPr>
    </w:p>
    <w:tbl>
      <w:tblPr>
        <w:tblW w:w="9680" w:type="dxa"/>
        <w:tblLook w:val="04A0" w:firstRow="1" w:lastRow="0" w:firstColumn="1" w:lastColumn="0" w:noHBand="0" w:noVBand="1"/>
      </w:tblPr>
      <w:tblGrid>
        <w:gridCol w:w="637"/>
        <w:gridCol w:w="417"/>
        <w:gridCol w:w="610"/>
        <w:gridCol w:w="3688"/>
        <w:gridCol w:w="2245"/>
        <w:gridCol w:w="2083"/>
      </w:tblGrid>
      <w:tr w:rsidR="00EF6201" w:rsidRPr="00EF6201" w14:paraId="5767201D" w14:textId="77777777" w:rsidTr="00EF6201">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C02E210"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5A74BDE"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1E164523"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Referencia</w:t>
            </w:r>
          </w:p>
        </w:tc>
      </w:tr>
      <w:tr w:rsidR="00EF6201" w:rsidRPr="006E5442" w14:paraId="3490C754" w14:textId="77777777" w:rsidTr="00EF6201">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2A47CE8E" w14:textId="77777777" w:rsidR="00EF6201" w:rsidRPr="00EF6201" w:rsidRDefault="00EF6201" w:rsidP="00EF6201">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1FCBE525" w14:textId="77777777" w:rsidR="00EF6201" w:rsidRPr="00EF6201" w:rsidRDefault="00EF6201" w:rsidP="00EF6201">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6C2281D3"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02DB5D23" w14:textId="77777777" w:rsidR="00EF6201" w:rsidRPr="00EF6201" w:rsidRDefault="00EF6201" w:rsidP="00EF6201">
            <w:pPr>
              <w:jc w:val="center"/>
              <w:rPr>
                <w:rFonts w:ascii="Arial Narrow" w:eastAsia="Times New Roman" w:hAnsi="Arial Narrow" w:cs="Calibri"/>
                <w:b/>
                <w:bCs/>
                <w:color w:val="FFFFFF"/>
                <w:sz w:val="22"/>
                <w:szCs w:val="22"/>
                <w:lang w:val="es-CR"/>
              </w:rPr>
            </w:pPr>
            <w:r w:rsidRPr="00EF6201">
              <w:rPr>
                <w:rFonts w:ascii="Arial Narrow" w:eastAsia="Times New Roman" w:hAnsi="Arial Narrow" w:cs="Calibri"/>
                <w:b/>
                <w:bCs/>
                <w:color w:val="FFFFFF"/>
                <w:sz w:val="22"/>
                <w:szCs w:val="22"/>
                <w:lang w:val="es-CR"/>
              </w:rPr>
              <w:t>Normativa técnica y disposiciones adicionales</w:t>
            </w:r>
          </w:p>
        </w:tc>
      </w:tr>
      <w:tr w:rsidR="00EF6201" w:rsidRPr="00EF6201" w14:paraId="17A15140" w14:textId="77777777" w:rsidTr="00EF6201">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3BC387"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5CC8CCA3"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52</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1E5F64B4" w14:textId="0B826A03" w:rsidR="00EF6201" w:rsidRPr="00EF6201" w:rsidRDefault="00EF6201" w:rsidP="00EF6201">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4CA71EEA" w14:textId="77777777" w:rsidR="00EF6201" w:rsidRPr="00EF6201" w:rsidRDefault="00EF6201" w:rsidP="00EF6201">
            <w:pPr>
              <w:jc w:val="both"/>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Reconocimiento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3051B982" w14:textId="4A4671A3" w:rsidR="009F19ED" w:rsidRDefault="00EF6201" w:rsidP="00EF6201">
            <w:pPr>
              <w:jc w:val="both"/>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 xml:space="preserve">NICSP Nº 39, </w:t>
            </w:r>
          </w:p>
          <w:p w14:paraId="4259C276" w14:textId="07BE7316" w:rsidR="00EF6201" w:rsidRPr="00EF6201" w:rsidRDefault="00EF6201" w:rsidP="00EF6201">
            <w:pPr>
              <w:jc w:val="both"/>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Párrafo 53 a).</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0885FF57"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DGCN</w:t>
            </w:r>
          </w:p>
        </w:tc>
      </w:tr>
    </w:tbl>
    <w:p w14:paraId="510530FD" w14:textId="77777777" w:rsidR="00EF6201" w:rsidRDefault="00EF6201" w:rsidP="00FD48A0">
      <w:pPr>
        <w:pStyle w:val="Default"/>
        <w:ind w:right="261"/>
        <w:jc w:val="both"/>
        <w:rPr>
          <w:sz w:val="22"/>
          <w:szCs w:val="22"/>
          <w:lang w:val="es-CR"/>
        </w:rPr>
      </w:pPr>
    </w:p>
    <w:p w14:paraId="62045B53" w14:textId="5C307563" w:rsidR="00FD48A0" w:rsidRDefault="00FD48A0" w:rsidP="00FD48A0">
      <w:pPr>
        <w:pStyle w:val="Default"/>
        <w:ind w:right="261"/>
        <w:jc w:val="both"/>
        <w:rPr>
          <w:rFonts w:eastAsia="Arial"/>
          <w:b/>
          <w:sz w:val="22"/>
          <w:szCs w:val="22"/>
        </w:rPr>
      </w:pPr>
      <w:r w:rsidRPr="00F02F9D">
        <w:rPr>
          <w:rFonts w:eastAsia="Arial"/>
          <w:b/>
          <w:sz w:val="22"/>
          <w:szCs w:val="22"/>
        </w:rPr>
        <w:t>Políticas Contables</w:t>
      </w:r>
    </w:p>
    <w:p w14:paraId="5CC5C612" w14:textId="77777777" w:rsidR="00FD48A0" w:rsidRDefault="00FD48A0" w:rsidP="00FD48A0">
      <w:pPr>
        <w:pStyle w:val="Default"/>
        <w:ind w:right="261"/>
        <w:jc w:val="both"/>
        <w:rPr>
          <w:sz w:val="22"/>
          <w:szCs w:val="22"/>
          <w:lang w:val="es-CR"/>
        </w:rPr>
      </w:pPr>
    </w:p>
    <w:p w14:paraId="13D8026C" w14:textId="24A62775" w:rsidR="008B7A95" w:rsidRPr="00EF6201" w:rsidRDefault="00EF6201" w:rsidP="00EF6201">
      <w:pPr>
        <w:pStyle w:val="Default"/>
        <w:spacing w:after="120" w:line="238" w:lineRule="auto"/>
        <w:ind w:left="1134" w:right="260" w:hanging="1134"/>
        <w:jc w:val="both"/>
        <w:rPr>
          <w:sz w:val="22"/>
          <w:szCs w:val="22"/>
          <w:lang w:val="es-CR"/>
        </w:rPr>
      </w:pPr>
      <w:r>
        <w:rPr>
          <w:sz w:val="22"/>
          <w:szCs w:val="22"/>
          <w:lang w:val="es-CR"/>
        </w:rPr>
        <w:t>2.52.0.01</w:t>
      </w:r>
      <w:r>
        <w:rPr>
          <w:sz w:val="22"/>
          <w:szCs w:val="22"/>
          <w:lang w:val="es-CR"/>
        </w:rPr>
        <w:tab/>
      </w:r>
      <w:r w:rsidRPr="00EF6201">
        <w:rPr>
          <w:sz w:val="22"/>
          <w:szCs w:val="22"/>
          <w:lang w:val="es-CR"/>
        </w:rPr>
        <w:t xml:space="preserve">Las contribuciones por realizar a </w:t>
      </w:r>
      <w:r w:rsidR="000E5DF8" w:rsidRPr="00EF6201">
        <w:rPr>
          <w:sz w:val="22"/>
          <w:szCs w:val="22"/>
          <w:lang w:val="es-CR"/>
        </w:rPr>
        <w:t>ca</w:t>
      </w:r>
      <w:r w:rsidR="000E5DF8">
        <w:rPr>
          <w:sz w:val="22"/>
          <w:szCs w:val="22"/>
          <w:lang w:val="es-CR"/>
        </w:rPr>
        <w:t>mbi</w:t>
      </w:r>
      <w:r w:rsidR="000E5DF8" w:rsidRPr="00EF6201">
        <w:rPr>
          <w:sz w:val="22"/>
          <w:szCs w:val="22"/>
          <w:lang w:val="es-CR"/>
        </w:rPr>
        <w:t>o</w:t>
      </w:r>
      <w:r w:rsidRPr="00EF6201">
        <w:rPr>
          <w:sz w:val="22"/>
          <w:szCs w:val="22"/>
          <w:lang w:val="es-CR"/>
        </w:rPr>
        <w:t xml:space="preserve"> de los servicios prestados por los empleados y con destino a un plan de contribuciones definidas, se reconocerán como un </w:t>
      </w:r>
      <w:r w:rsidRPr="009F19ED">
        <w:rPr>
          <w:sz w:val="22"/>
          <w:szCs w:val="22"/>
          <w:lang w:val="es-CR"/>
        </w:rPr>
        <w:t>pasivo</w:t>
      </w:r>
      <w:r w:rsidRPr="00EF6201">
        <w:rPr>
          <w:b/>
          <w:bCs/>
          <w:sz w:val="22"/>
          <w:szCs w:val="22"/>
          <w:lang w:val="es-CR"/>
        </w:rPr>
        <w:t xml:space="preserve"> </w:t>
      </w:r>
      <w:r w:rsidRPr="00EF6201">
        <w:rPr>
          <w:sz w:val="22"/>
          <w:szCs w:val="22"/>
          <w:lang w:val="es-CR"/>
        </w:rPr>
        <w:t xml:space="preserve">(gastos acumulados o devengados), después de deducir cualquier importe ya satisfecho, y como un gasto, en la medida de la contribución determinada para el período. Si el importe ya pagado es superior a las contribuciones que se deben realizar según los servicios prestados hasta la fecha de presentación de los EEFF, se reconocerá la diferencia como un activo (pago anticipado de un gasto) en la medida que el pago por adelantado vaya a dar lugar, por ejemplo, a una reducción en los pagos a efectuar en el futuro o a un </w:t>
      </w:r>
      <w:r w:rsidR="000E5DF8" w:rsidRPr="00EF6201">
        <w:rPr>
          <w:sz w:val="22"/>
          <w:szCs w:val="22"/>
          <w:lang w:val="es-CR"/>
        </w:rPr>
        <w:t>ree</w:t>
      </w:r>
      <w:r w:rsidR="000E5DF8">
        <w:rPr>
          <w:sz w:val="22"/>
          <w:szCs w:val="22"/>
          <w:lang w:val="es-CR"/>
        </w:rPr>
        <w:t>mbo</w:t>
      </w:r>
      <w:r w:rsidR="000E5DF8" w:rsidRPr="00EF6201">
        <w:rPr>
          <w:sz w:val="22"/>
          <w:szCs w:val="22"/>
          <w:lang w:val="es-CR"/>
        </w:rPr>
        <w:t>lso</w:t>
      </w:r>
      <w:r w:rsidRPr="00EF6201">
        <w:rPr>
          <w:sz w:val="22"/>
          <w:szCs w:val="22"/>
          <w:lang w:val="es-CR"/>
        </w:rPr>
        <w:t xml:space="preserve"> en efectivo.</w:t>
      </w:r>
    </w:p>
    <w:p w14:paraId="4C148EF8" w14:textId="77777777" w:rsidR="008B7A95" w:rsidRDefault="008B7A95" w:rsidP="00FD48A0">
      <w:pPr>
        <w:pStyle w:val="Default"/>
        <w:ind w:right="261"/>
        <w:jc w:val="both"/>
        <w:rPr>
          <w:sz w:val="22"/>
          <w:szCs w:val="22"/>
          <w:lang w:val="es-CR"/>
        </w:rPr>
      </w:pPr>
    </w:p>
    <w:p w14:paraId="2436D268" w14:textId="77777777" w:rsidR="00FD48A0" w:rsidRDefault="00FD48A0" w:rsidP="00FD48A0">
      <w:pPr>
        <w:pStyle w:val="Default"/>
        <w:ind w:right="261"/>
        <w:jc w:val="both"/>
        <w:rPr>
          <w:sz w:val="22"/>
          <w:szCs w:val="22"/>
          <w:lang w:val="es-CR"/>
        </w:rPr>
      </w:pPr>
    </w:p>
    <w:tbl>
      <w:tblPr>
        <w:tblW w:w="9680" w:type="dxa"/>
        <w:tblLook w:val="04A0" w:firstRow="1" w:lastRow="0" w:firstColumn="1" w:lastColumn="0" w:noHBand="0" w:noVBand="1"/>
      </w:tblPr>
      <w:tblGrid>
        <w:gridCol w:w="636"/>
        <w:gridCol w:w="417"/>
        <w:gridCol w:w="610"/>
        <w:gridCol w:w="3687"/>
        <w:gridCol w:w="2246"/>
        <w:gridCol w:w="2084"/>
      </w:tblGrid>
      <w:tr w:rsidR="00EF6201" w:rsidRPr="00EF6201" w14:paraId="712F72A5" w14:textId="77777777" w:rsidTr="00EF6201">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8FA9360"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FF49F97"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669B5C43"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Referencia</w:t>
            </w:r>
          </w:p>
        </w:tc>
      </w:tr>
      <w:tr w:rsidR="00EF6201" w:rsidRPr="006E5442" w14:paraId="30A7DC76" w14:textId="77777777" w:rsidTr="00EF6201">
        <w:trPr>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444E0AE5" w14:textId="77777777" w:rsidR="00EF6201" w:rsidRPr="00EF6201" w:rsidRDefault="00EF6201" w:rsidP="00EF6201">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0104BCDA" w14:textId="77777777" w:rsidR="00EF6201" w:rsidRPr="00EF6201" w:rsidRDefault="00EF6201" w:rsidP="00EF6201">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2DCD9984" w14:textId="77777777" w:rsidR="00EF6201" w:rsidRPr="00EF6201" w:rsidRDefault="00EF6201" w:rsidP="00EF6201">
            <w:pPr>
              <w:jc w:val="center"/>
              <w:rPr>
                <w:rFonts w:ascii="Arial Narrow" w:eastAsia="Times New Roman" w:hAnsi="Arial Narrow" w:cs="Calibri"/>
                <w:b/>
                <w:bCs/>
                <w:color w:val="FFFFFF"/>
                <w:sz w:val="22"/>
                <w:szCs w:val="22"/>
              </w:rPr>
            </w:pPr>
            <w:r w:rsidRPr="00EF6201">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438717C6" w14:textId="77777777" w:rsidR="00EF6201" w:rsidRPr="00EF6201" w:rsidRDefault="00EF6201" w:rsidP="00EF6201">
            <w:pPr>
              <w:jc w:val="center"/>
              <w:rPr>
                <w:rFonts w:ascii="Arial Narrow" w:eastAsia="Times New Roman" w:hAnsi="Arial Narrow" w:cs="Calibri"/>
                <w:b/>
                <w:bCs/>
                <w:color w:val="FFFFFF"/>
                <w:sz w:val="22"/>
                <w:szCs w:val="22"/>
                <w:lang w:val="es-CR"/>
              </w:rPr>
            </w:pPr>
            <w:r w:rsidRPr="00EF6201">
              <w:rPr>
                <w:rFonts w:ascii="Arial Narrow" w:eastAsia="Times New Roman" w:hAnsi="Arial Narrow" w:cs="Calibri"/>
                <w:b/>
                <w:bCs/>
                <w:color w:val="FFFFFF"/>
                <w:sz w:val="22"/>
                <w:szCs w:val="22"/>
                <w:lang w:val="es-CR"/>
              </w:rPr>
              <w:t>Normativa técnica y disposiciones adicionales</w:t>
            </w:r>
          </w:p>
        </w:tc>
      </w:tr>
      <w:tr w:rsidR="00EF6201" w:rsidRPr="00EF6201" w14:paraId="3C02B169" w14:textId="77777777" w:rsidTr="00EF6201">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16EA3"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41BE3FE7"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53</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3AA64ED8" w14:textId="2529A8DE" w:rsidR="00EF6201" w:rsidRPr="00EF6201" w:rsidRDefault="00EF6201" w:rsidP="00EF6201">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192B8AB7" w14:textId="77777777" w:rsidR="00EF6201" w:rsidRPr="00EF6201" w:rsidRDefault="00EF6201" w:rsidP="00EF6201">
            <w:pPr>
              <w:jc w:val="both"/>
              <w:rPr>
                <w:rFonts w:ascii="Arial Narrow" w:eastAsia="Times New Roman" w:hAnsi="Arial Narrow" w:cs="Calibri"/>
                <w:b/>
                <w:bCs/>
                <w:color w:val="000000"/>
                <w:sz w:val="22"/>
                <w:szCs w:val="22"/>
                <w:lang w:val="es-CR"/>
              </w:rPr>
            </w:pPr>
            <w:r w:rsidRPr="00EF6201">
              <w:rPr>
                <w:rFonts w:ascii="Arial Narrow" w:eastAsia="Times New Roman" w:hAnsi="Arial Narrow" w:cs="Calibri"/>
                <w:b/>
                <w:bCs/>
                <w:color w:val="000000"/>
                <w:sz w:val="22"/>
                <w:szCs w:val="22"/>
                <w:lang w:val="es-CR"/>
              </w:rPr>
              <w:t>Contribuciones definidas que superan el año</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36754494" w14:textId="77777777" w:rsidR="00EF6201" w:rsidRPr="00EF6201" w:rsidRDefault="00EF6201" w:rsidP="00EF6201">
            <w:pPr>
              <w:jc w:val="both"/>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lang w:val="es-CR"/>
              </w:rPr>
              <w:t xml:space="preserve"> </w:t>
            </w:r>
            <w:r w:rsidRPr="00EF6201">
              <w:rPr>
                <w:rFonts w:ascii="Arial Narrow" w:eastAsia="Times New Roman" w:hAnsi="Arial Narrow" w:cs="Calibri"/>
                <w:b/>
                <w:bCs/>
                <w:color w:val="000000"/>
                <w:sz w:val="22"/>
                <w:szCs w:val="22"/>
              </w:rPr>
              <w:t xml:space="preserve">NICSP Nº 39, </w:t>
            </w:r>
            <w:r w:rsidRPr="00EF6201">
              <w:rPr>
                <w:rFonts w:ascii="Arial Narrow" w:eastAsia="Times New Roman" w:hAnsi="Arial Narrow" w:cs="Calibri"/>
                <w:b/>
                <w:bCs/>
                <w:color w:val="000000"/>
                <w:sz w:val="22"/>
                <w:szCs w:val="22"/>
              </w:rPr>
              <w:br/>
              <w:t>Párrafo 54 y 85.</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4BD4C126" w14:textId="77777777" w:rsidR="00EF6201" w:rsidRPr="00EF6201" w:rsidRDefault="00EF6201" w:rsidP="00EF6201">
            <w:pPr>
              <w:jc w:val="center"/>
              <w:rPr>
                <w:rFonts w:ascii="Arial Narrow" w:eastAsia="Times New Roman" w:hAnsi="Arial Narrow" w:cs="Calibri"/>
                <w:b/>
                <w:bCs/>
                <w:color w:val="000000"/>
                <w:sz w:val="22"/>
                <w:szCs w:val="22"/>
              </w:rPr>
            </w:pPr>
            <w:r w:rsidRPr="00EF6201">
              <w:rPr>
                <w:rFonts w:ascii="Arial Narrow" w:eastAsia="Times New Roman" w:hAnsi="Arial Narrow" w:cs="Calibri"/>
                <w:b/>
                <w:bCs/>
                <w:color w:val="000000"/>
                <w:sz w:val="22"/>
                <w:szCs w:val="22"/>
              </w:rPr>
              <w:t xml:space="preserve"> </w:t>
            </w:r>
          </w:p>
        </w:tc>
      </w:tr>
    </w:tbl>
    <w:p w14:paraId="78E3C86B" w14:textId="77777777" w:rsidR="00EF6201" w:rsidRDefault="00EF6201" w:rsidP="00FD48A0">
      <w:pPr>
        <w:pStyle w:val="Default"/>
        <w:ind w:right="261"/>
        <w:jc w:val="both"/>
        <w:rPr>
          <w:sz w:val="22"/>
          <w:szCs w:val="22"/>
          <w:lang w:val="es-CR"/>
        </w:rPr>
      </w:pPr>
    </w:p>
    <w:p w14:paraId="3F7003D1" w14:textId="474F50B4" w:rsidR="00FD48A0" w:rsidRDefault="00FD48A0" w:rsidP="00FD48A0">
      <w:pPr>
        <w:pStyle w:val="Default"/>
        <w:ind w:right="261"/>
        <w:jc w:val="both"/>
        <w:rPr>
          <w:rFonts w:eastAsia="Arial"/>
          <w:b/>
          <w:sz w:val="22"/>
          <w:szCs w:val="22"/>
        </w:rPr>
      </w:pPr>
      <w:r w:rsidRPr="00F02F9D">
        <w:rPr>
          <w:rFonts w:eastAsia="Arial"/>
          <w:b/>
          <w:sz w:val="22"/>
          <w:szCs w:val="22"/>
        </w:rPr>
        <w:t>Políticas Contables</w:t>
      </w:r>
    </w:p>
    <w:p w14:paraId="7E9ED0DC" w14:textId="77777777" w:rsidR="00FD48A0" w:rsidRDefault="00FD48A0" w:rsidP="00FD48A0">
      <w:pPr>
        <w:pStyle w:val="Default"/>
        <w:ind w:right="261"/>
        <w:jc w:val="both"/>
        <w:rPr>
          <w:sz w:val="22"/>
          <w:szCs w:val="22"/>
          <w:lang w:val="es-CR"/>
        </w:rPr>
      </w:pPr>
    </w:p>
    <w:p w14:paraId="63C4AA2A" w14:textId="6F354A07" w:rsidR="00EF6201" w:rsidRPr="00D94C76" w:rsidRDefault="00D94C76" w:rsidP="00D94C76">
      <w:pPr>
        <w:pStyle w:val="Default"/>
        <w:spacing w:after="120" w:line="238" w:lineRule="auto"/>
        <w:ind w:left="1134" w:right="260" w:hanging="1134"/>
        <w:jc w:val="both"/>
        <w:rPr>
          <w:sz w:val="22"/>
          <w:szCs w:val="22"/>
          <w:lang w:val="es-CR"/>
        </w:rPr>
      </w:pPr>
      <w:r>
        <w:rPr>
          <w:sz w:val="22"/>
          <w:szCs w:val="22"/>
          <w:lang w:val="es-CR"/>
        </w:rPr>
        <w:t>2.53.0.01</w:t>
      </w:r>
      <w:r>
        <w:rPr>
          <w:sz w:val="22"/>
          <w:szCs w:val="22"/>
          <w:lang w:val="es-CR"/>
        </w:rPr>
        <w:tab/>
      </w:r>
      <w:r w:rsidRPr="00D94C76">
        <w:rPr>
          <w:sz w:val="22"/>
          <w:szCs w:val="22"/>
          <w:lang w:val="es-CR"/>
        </w:rPr>
        <w:t xml:space="preserve">Cuando las contribuciones a un plan de contribuciones definidas no </w:t>
      </w:r>
      <w:r>
        <w:rPr>
          <w:sz w:val="22"/>
          <w:szCs w:val="22"/>
          <w:lang w:val="es-CR"/>
        </w:rPr>
        <w:t xml:space="preserve">se esperen liquidar </w:t>
      </w:r>
      <w:r w:rsidRPr="00D94C76">
        <w:rPr>
          <w:sz w:val="22"/>
          <w:szCs w:val="22"/>
          <w:lang w:val="es-CR"/>
        </w:rPr>
        <w:t>totalmente dentro de los doce meses posteriores a la finalización del período en el cual los empleados prestan el servicio en cuestión,</w:t>
      </w:r>
      <w:r>
        <w:rPr>
          <w:sz w:val="22"/>
          <w:szCs w:val="22"/>
          <w:lang w:val="es-CR"/>
        </w:rPr>
        <w:t xml:space="preserve"> la Municipalidad</w:t>
      </w:r>
      <w:r w:rsidRPr="00D94C76">
        <w:rPr>
          <w:sz w:val="22"/>
          <w:szCs w:val="22"/>
          <w:lang w:val="es-CR"/>
        </w:rPr>
        <w:t xml:space="preserve"> deberán descontar</w:t>
      </w:r>
      <w:r>
        <w:rPr>
          <w:sz w:val="22"/>
          <w:szCs w:val="22"/>
          <w:lang w:val="es-CR"/>
        </w:rPr>
        <w:t xml:space="preserve"> e</w:t>
      </w:r>
      <w:r w:rsidRPr="00D94C76">
        <w:rPr>
          <w:sz w:val="22"/>
          <w:szCs w:val="22"/>
          <w:lang w:val="es-CR"/>
        </w:rPr>
        <w:t>s</w:t>
      </w:r>
      <w:r>
        <w:rPr>
          <w:sz w:val="22"/>
          <w:szCs w:val="22"/>
          <w:lang w:val="es-CR"/>
        </w:rPr>
        <w:t>os beneficios</w:t>
      </w:r>
      <w:r w:rsidRPr="00D94C76">
        <w:rPr>
          <w:sz w:val="22"/>
          <w:szCs w:val="22"/>
          <w:lang w:val="es-CR"/>
        </w:rPr>
        <w:t xml:space="preserve"> utilizando una tasa de descuento que refleje el valor temporal del dinero.</w:t>
      </w:r>
    </w:p>
    <w:p w14:paraId="0E4C416F" w14:textId="77777777" w:rsidR="00EF6201" w:rsidRDefault="00EF6201" w:rsidP="00B60578">
      <w:pPr>
        <w:pStyle w:val="Default"/>
        <w:spacing w:after="120" w:line="238" w:lineRule="auto"/>
        <w:ind w:right="260"/>
        <w:jc w:val="both"/>
        <w:rPr>
          <w:sz w:val="22"/>
          <w:szCs w:val="22"/>
          <w:lang w:val="es-CR"/>
        </w:rPr>
      </w:pPr>
    </w:p>
    <w:p w14:paraId="04898C5B" w14:textId="77777777" w:rsidR="00FD48A0" w:rsidRDefault="00FD48A0" w:rsidP="00B60578">
      <w:pPr>
        <w:pStyle w:val="Default"/>
        <w:spacing w:after="120" w:line="238" w:lineRule="auto"/>
        <w:ind w:right="260"/>
        <w:jc w:val="both"/>
        <w:rPr>
          <w:sz w:val="22"/>
          <w:szCs w:val="22"/>
          <w:lang w:val="es-CR"/>
        </w:rPr>
      </w:pPr>
    </w:p>
    <w:p w14:paraId="6EEDEB20" w14:textId="77777777" w:rsidR="00FD48A0" w:rsidRDefault="00FD48A0" w:rsidP="00B60578">
      <w:pPr>
        <w:pStyle w:val="Default"/>
        <w:spacing w:after="120" w:line="238" w:lineRule="auto"/>
        <w:ind w:right="260"/>
        <w:jc w:val="both"/>
        <w:rPr>
          <w:sz w:val="22"/>
          <w:szCs w:val="22"/>
          <w:lang w:val="es-CR"/>
        </w:rPr>
      </w:pPr>
    </w:p>
    <w:p w14:paraId="10E7B4DE" w14:textId="77777777" w:rsidR="00FD48A0" w:rsidRDefault="00FD48A0" w:rsidP="00B60578">
      <w:pPr>
        <w:pStyle w:val="Default"/>
        <w:spacing w:after="120" w:line="238" w:lineRule="auto"/>
        <w:ind w:right="260"/>
        <w:jc w:val="both"/>
        <w:rPr>
          <w:sz w:val="22"/>
          <w:szCs w:val="22"/>
          <w:lang w:val="es-CR"/>
        </w:rPr>
      </w:pPr>
    </w:p>
    <w:p w14:paraId="7635E834" w14:textId="77777777" w:rsidR="00FD48A0" w:rsidRDefault="00FD48A0" w:rsidP="00B60578">
      <w:pPr>
        <w:pStyle w:val="Default"/>
        <w:spacing w:after="120" w:line="238" w:lineRule="auto"/>
        <w:ind w:right="260"/>
        <w:jc w:val="both"/>
        <w:rPr>
          <w:sz w:val="22"/>
          <w:szCs w:val="22"/>
          <w:lang w:val="es-CR"/>
        </w:rPr>
      </w:pPr>
    </w:p>
    <w:p w14:paraId="54059760" w14:textId="501A1D28" w:rsidR="00EF6201" w:rsidRPr="009F19ED" w:rsidRDefault="009E2D23" w:rsidP="009F19ED">
      <w:pPr>
        <w:pStyle w:val="Ttulo2"/>
        <w:ind w:left="284"/>
        <w:rPr>
          <w:rFonts w:ascii="Arial" w:eastAsia="Arial" w:hAnsi="Arial" w:cs="Arial"/>
          <w:b/>
          <w:bCs/>
          <w:sz w:val="20"/>
          <w:szCs w:val="20"/>
          <w:lang w:val="es-CR"/>
        </w:rPr>
      </w:pPr>
      <w:bookmarkStart w:id="100" w:name="_Toc172726235"/>
      <w:r w:rsidRPr="009F19ED">
        <w:rPr>
          <w:rFonts w:ascii="Arial" w:eastAsia="Arial" w:hAnsi="Arial" w:cs="Arial"/>
          <w:b/>
          <w:bCs/>
          <w:sz w:val="20"/>
          <w:szCs w:val="20"/>
          <w:lang w:val="es-CR"/>
        </w:rPr>
        <w:lastRenderedPageBreak/>
        <w:t>Indemnizaciones por cese</w:t>
      </w:r>
      <w:bookmarkEnd w:id="100"/>
    </w:p>
    <w:p w14:paraId="44B34C89" w14:textId="77777777" w:rsidR="00EF6201" w:rsidRDefault="00EF6201" w:rsidP="00B60578">
      <w:pPr>
        <w:pStyle w:val="Default"/>
        <w:spacing w:after="120" w:line="238" w:lineRule="auto"/>
        <w:ind w:right="260"/>
        <w:jc w:val="both"/>
        <w:rPr>
          <w:sz w:val="22"/>
          <w:szCs w:val="22"/>
          <w:lang w:val="es-CR"/>
        </w:rPr>
      </w:pPr>
    </w:p>
    <w:tbl>
      <w:tblPr>
        <w:tblW w:w="9680" w:type="dxa"/>
        <w:tblLook w:val="04A0" w:firstRow="1" w:lastRow="0" w:firstColumn="1" w:lastColumn="0" w:noHBand="0" w:noVBand="1"/>
      </w:tblPr>
      <w:tblGrid>
        <w:gridCol w:w="636"/>
        <w:gridCol w:w="417"/>
        <w:gridCol w:w="612"/>
        <w:gridCol w:w="3686"/>
        <w:gridCol w:w="2246"/>
        <w:gridCol w:w="2083"/>
      </w:tblGrid>
      <w:tr w:rsidR="00D96058" w:rsidRPr="00D96058" w14:paraId="59A4E451" w14:textId="77777777" w:rsidTr="00D96058">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6A39998" w14:textId="77777777" w:rsidR="00D96058" w:rsidRPr="00D96058" w:rsidRDefault="00D96058" w:rsidP="00D96058">
            <w:pPr>
              <w:jc w:val="center"/>
              <w:rPr>
                <w:rFonts w:ascii="Arial Narrow" w:eastAsia="Times New Roman" w:hAnsi="Arial Narrow" w:cs="Calibri"/>
                <w:b/>
                <w:bCs/>
                <w:color w:val="FFFFFF"/>
                <w:sz w:val="22"/>
                <w:szCs w:val="22"/>
              </w:rPr>
            </w:pPr>
            <w:r w:rsidRPr="00D96058">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D4827E6" w14:textId="77777777" w:rsidR="00D96058" w:rsidRPr="00D96058" w:rsidRDefault="00D96058" w:rsidP="00D96058">
            <w:pPr>
              <w:jc w:val="center"/>
              <w:rPr>
                <w:rFonts w:ascii="Arial Narrow" w:eastAsia="Times New Roman" w:hAnsi="Arial Narrow" w:cs="Calibri"/>
                <w:b/>
                <w:bCs/>
                <w:color w:val="FFFFFF"/>
                <w:sz w:val="22"/>
                <w:szCs w:val="22"/>
              </w:rPr>
            </w:pPr>
            <w:r w:rsidRPr="00D96058">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742F6790" w14:textId="77777777" w:rsidR="00D96058" w:rsidRPr="00D96058" w:rsidRDefault="00D96058" w:rsidP="00D96058">
            <w:pPr>
              <w:jc w:val="center"/>
              <w:rPr>
                <w:rFonts w:ascii="Arial Narrow" w:eastAsia="Times New Roman" w:hAnsi="Arial Narrow" w:cs="Calibri"/>
                <w:b/>
                <w:bCs/>
                <w:color w:val="FFFFFF"/>
                <w:sz w:val="22"/>
                <w:szCs w:val="22"/>
              </w:rPr>
            </w:pPr>
            <w:r w:rsidRPr="00D96058">
              <w:rPr>
                <w:rFonts w:ascii="Arial Narrow" w:eastAsia="Times New Roman" w:hAnsi="Arial Narrow" w:cs="Calibri"/>
                <w:b/>
                <w:bCs/>
                <w:color w:val="FFFFFF"/>
                <w:sz w:val="22"/>
                <w:szCs w:val="22"/>
              </w:rPr>
              <w:t>Referencia</w:t>
            </w:r>
          </w:p>
        </w:tc>
      </w:tr>
      <w:tr w:rsidR="00D96058" w:rsidRPr="006E5442" w14:paraId="0D78932C" w14:textId="77777777" w:rsidTr="00D96058">
        <w:trPr>
          <w:trHeight w:val="1320"/>
        </w:trPr>
        <w:tc>
          <w:tcPr>
            <w:tcW w:w="1560" w:type="dxa"/>
            <w:gridSpan w:val="3"/>
            <w:vMerge/>
            <w:tcBorders>
              <w:top w:val="single" w:sz="8" w:space="0" w:color="auto"/>
              <w:left w:val="single" w:sz="8" w:space="0" w:color="auto"/>
              <w:bottom w:val="nil"/>
              <w:right w:val="single" w:sz="8" w:space="0" w:color="000000"/>
            </w:tcBorders>
            <w:vAlign w:val="center"/>
            <w:hideMark/>
          </w:tcPr>
          <w:p w14:paraId="25D7CB92" w14:textId="77777777" w:rsidR="00D96058" w:rsidRPr="00D96058" w:rsidRDefault="00D96058" w:rsidP="00D96058">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62A97934" w14:textId="77777777" w:rsidR="00D96058" w:rsidRPr="00D96058" w:rsidRDefault="00D96058" w:rsidP="00D96058">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1A9B9F94" w14:textId="77777777" w:rsidR="00D96058" w:rsidRPr="00D96058" w:rsidRDefault="00D96058" w:rsidP="00D96058">
            <w:pPr>
              <w:jc w:val="center"/>
              <w:rPr>
                <w:rFonts w:ascii="Arial Narrow" w:eastAsia="Times New Roman" w:hAnsi="Arial Narrow" w:cs="Calibri"/>
                <w:b/>
                <w:bCs/>
                <w:color w:val="FFFFFF"/>
                <w:sz w:val="22"/>
                <w:szCs w:val="22"/>
              </w:rPr>
            </w:pPr>
            <w:r w:rsidRPr="00D96058">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5F45A284" w14:textId="77777777" w:rsidR="00D96058" w:rsidRPr="00D96058" w:rsidRDefault="00D96058" w:rsidP="00D96058">
            <w:pPr>
              <w:jc w:val="center"/>
              <w:rPr>
                <w:rFonts w:ascii="Arial Narrow" w:eastAsia="Times New Roman" w:hAnsi="Arial Narrow" w:cs="Calibri"/>
                <w:b/>
                <w:bCs/>
                <w:color w:val="FFFFFF"/>
                <w:sz w:val="22"/>
                <w:szCs w:val="22"/>
                <w:lang w:val="es-CR"/>
              </w:rPr>
            </w:pPr>
            <w:r w:rsidRPr="00D96058">
              <w:rPr>
                <w:rFonts w:ascii="Arial Narrow" w:eastAsia="Times New Roman" w:hAnsi="Arial Narrow" w:cs="Calibri"/>
                <w:b/>
                <w:bCs/>
                <w:color w:val="FFFFFF"/>
                <w:sz w:val="22"/>
                <w:szCs w:val="22"/>
                <w:lang w:val="es-CR"/>
              </w:rPr>
              <w:t>Normativa técnica y disposiciones adicionales</w:t>
            </w:r>
          </w:p>
        </w:tc>
      </w:tr>
      <w:tr w:rsidR="00D96058" w:rsidRPr="00D96058" w14:paraId="06A0BA12" w14:textId="77777777" w:rsidTr="00D96058">
        <w:trPr>
          <w:trHeight w:val="57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2C411"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2</w:t>
            </w:r>
          </w:p>
        </w:tc>
        <w:tc>
          <w:tcPr>
            <w:tcW w:w="296" w:type="dxa"/>
            <w:tcBorders>
              <w:top w:val="single" w:sz="8" w:space="0" w:color="auto"/>
              <w:left w:val="nil"/>
              <w:bottom w:val="single" w:sz="8" w:space="0" w:color="auto"/>
              <w:right w:val="single" w:sz="8" w:space="0" w:color="auto"/>
            </w:tcBorders>
            <w:shd w:val="clear" w:color="auto" w:fill="auto"/>
            <w:noWrap/>
            <w:vAlign w:val="center"/>
            <w:hideMark/>
          </w:tcPr>
          <w:p w14:paraId="1618AC26"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68</w:t>
            </w:r>
          </w:p>
        </w:tc>
        <w:tc>
          <w:tcPr>
            <w:tcW w:w="620" w:type="dxa"/>
            <w:tcBorders>
              <w:top w:val="single" w:sz="8" w:space="0" w:color="auto"/>
              <w:left w:val="nil"/>
              <w:bottom w:val="single" w:sz="8" w:space="0" w:color="auto"/>
              <w:right w:val="single" w:sz="8" w:space="0" w:color="auto"/>
            </w:tcBorders>
            <w:shd w:val="clear" w:color="auto" w:fill="auto"/>
            <w:vAlign w:val="center"/>
            <w:hideMark/>
          </w:tcPr>
          <w:p w14:paraId="4B90FDD4"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0</w:t>
            </w: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1466878F" w14:textId="77777777" w:rsidR="00D96058" w:rsidRPr="00D96058"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Alcance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6B9730CC" w14:textId="77777777" w:rsidR="009F19ED"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NICSP 39</w:t>
            </w:r>
          </w:p>
          <w:p w14:paraId="3C6B2EC0" w14:textId="22380084" w:rsidR="00D96058" w:rsidRPr="00D96058"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Párrafos 8 y 164</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6ED3F42"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 </w:t>
            </w:r>
          </w:p>
        </w:tc>
      </w:tr>
      <w:tr w:rsidR="00D96058" w:rsidRPr="00D96058" w14:paraId="27E36082" w14:textId="77777777" w:rsidTr="00D96058">
        <w:trPr>
          <w:trHeight w:val="57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5F0EF803"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2</w:t>
            </w:r>
          </w:p>
        </w:tc>
        <w:tc>
          <w:tcPr>
            <w:tcW w:w="296" w:type="dxa"/>
            <w:tcBorders>
              <w:top w:val="nil"/>
              <w:left w:val="nil"/>
              <w:bottom w:val="single" w:sz="8" w:space="0" w:color="auto"/>
              <w:right w:val="single" w:sz="8" w:space="0" w:color="auto"/>
            </w:tcBorders>
            <w:shd w:val="clear" w:color="auto" w:fill="auto"/>
            <w:noWrap/>
            <w:vAlign w:val="center"/>
            <w:hideMark/>
          </w:tcPr>
          <w:p w14:paraId="5C4D8320"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68</w:t>
            </w:r>
          </w:p>
        </w:tc>
        <w:tc>
          <w:tcPr>
            <w:tcW w:w="620" w:type="dxa"/>
            <w:tcBorders>
              <w:top w:val="nil"/>
              <w:left w:val="nil"/>
              <w:bottom w:val="single" w:sz="8" w:space="0" w:color="auto"/>
              <w:right w:val="single" w:sz="8" w:space="0" w:color="auto"/>
            </w:tcBorders>
            <w:shd w:val="clear" w:color="auto" w:fill="auto"/>
            <w:vAlign w:val="center"/>
            <w:hideMark/>
          </w:tcPr>
          <w:p w14:paraId="24AC3C04"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7E8733AD" w14:textId="77777777" w:rsidR="00D96058" w:rsidRPr="00D96058"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Reconocimiento</w:t>
            </w:r>
          </w:p>
        </w:tc>
        <w:tc>
          <w:tcPr>
            <w:tcW w:w="2280" w:type="dxa"/>
            <w:tcBorders>
              <w:top w:val="nil"/>
              <w:left w:val="nil"/>
              <w:bottom w:val="single" w:sz="8" w:space="0" w:color="auto"/>
              <w:right w:val="single" w:sz="8" w:space="0" w:color="auto"/>
            </w:tcBorders>
            <w:shd w:val="clear" w:color="auto" w:fill="auto"/>
            <w:vAlign w:val="center"/>
            <w:hideMark/>
          </w:tcPr>
          <w:p w14:paraId="0A22AC31" w14:textId="77777777" w:rsidR="009F19ED"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NICSP 39</w:t>
            </w:r>
          </w:p>
          <w:p w14:paraId="23D665F7" w14:textId="009C602F" w:rsidR="00D96058" w:rsidRPr="00D96058"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Párrafo 168</w:t>
            </w:r>
          </w:p>
        </w:tc>
        <w:tc>
          <w:tcPr>
            <w:tcW w:w="2100" w:type="dxa"/>
            <w:tcBorders>
              <w:top w:val="nil"/>
              <w:left w:val="nil"/>
              <w:bottom w:val="single" w:sz="8" w:space="0" w:color="auto"/>
              <w:right w:val="single" w:sz="8" w:space="0" w:color="auto"/>
            </w:tcBorders>
            <w:shd w:val="clear" w:color="auto" w:fill="auto"/>
            <w:vAlign w:val="center"/>
            <w:hideMark/>
          </w:tcPr>
          <w:p w14:paraId="731280C8"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 xml:space="preserve"> </w:t>
            </w:r>
          </w:p>
        </w:tc>
      </w:tr>
      <w:tr w:rsidR="00D96058" w:rsidRPr="00D96058" w14:paraId="272AD3B3" w14:textId="77777777" w:rsidTr="00D96058">
        <w:trPr>
          <w:trHeight w:val="57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58FA2BC6"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2</w:t>
            </w:r>
          </w:p>
        </w:tc>
        <w:tc>
          <w:tcPr>
            <w:tcW w:w="296" w:type="dxa"/>
            <w:tcBorders>
              <w:top w:val="nil"/>
              <w:left w:val="nil"/>
              <w:bottom w:val="single" w:sz="8" w:space="0" w:color="auto"/>
              <w:right w:val="single" w:sz="8" w:space="0" w:color="auto"/>
            </w:tcBorders>
            <w:shd w:val="clear" w:color="auto" w:fill="auto"/>
            <w:noWrap/>
            <w:vAlign w:val="center"/>
            <w:hideMark/>
          </w:tcPr>
          <w:p w14:paraId="106E2EE3"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68</w:t>
            </w:r>
          </w:p>
        </w:tc>
        <w:tc>
          <w:tcPr>
            <w:tcW w:w="620" w:type="dxa"/>
            <w:tcBorders>
              <w:top w:val="nil"/>
              <w:left w:val="nil"/>
              <w:bottom w:val="single" w:sz="8" w:space="0" w:color="auto"/>
              <w:right w:val="single" w:sz="8" w:space="0" w:color="auto"/>
            </w:tcBorders>
            <w:shd w:val="clear" w:color="auto" w:fill="auto"/>
            <w:vAlign w:val="center"/>
            <w:hideMark/>
          </w:tcPr>
          <w:p w14:paraId="6E0979C7"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7C91B3C9" w14:textId="77777777" w:rsidR="00D96058" w:rsidRPr="00D96058"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Compromiso de terminación</w:t>
            </w:r>
          </w:p>
        </w:tc>
        <w:tc>
          <w:tcPr>
            <w:tcW w:w="2280" w:type="dxa"/>
            <w:tcBorders>
              <w:top w:val="nil"/>
              <w:left w:val="nil"/>
              <w:bottom w:val="single" w:sz="8" w:space="0" w:color="auto"/>
              <w:right w:val="single" w:sz="8" w:space="0" w:color="auto"/>
            </w:tcBorders>
            <w:shd w:val="clear" w:color="auto" w:fill="auto"/>
            <w:vAlign w:val="center"/>
            <w:hideMark/>
          </w:tcPr>
          <w:p w14:paraId="38E9BD85" w14:textId="77777777" w:rsidR="009F19ED"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NICSP 39</w:t>
            </w:r>
          </w:p>
          <w:p w14:paraId="7CAB26D1" w14:textId="4C53762F" w:rsidR="00D96058" w:rsidRPr="00D96058" w:rsidRDefault="00D96058" w:rsidP="00D96058">
            <w:pPr>
              <w:jc w:val="both"/>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Párrafos 169 y 170</w:t>
            </w:r>
          </w:p>
        </w:tc>
        <w:tc>
          <w:tcPr>
            <w:tcW w:w="2100" w:type="dxa"/>
            <w:tcBorders>
              <w:top w:val="nil"/>
              <w:left w:val="nil"/>
              <w:bottom w:val="single" w:sz="8" w:space="0" w:color="auto"/>
              <w:right w:val="single" w:sz="8" w:space="0" w:color="auto"/>
            </w:tcBorders>
            <w:shd w:val="clear" w:color="auto" w:fill="auto"/>
            <w:vAlign w:val="center"/>
            <w:hideMark/>
          </w:tcPr>
          <w:p w14:paraId="4CFD296B" w14:textId="77777777" w:rsidR="00D96058" w:rsidRPr="00D96058" w:rsidRDefault="00D96058" w:rsidP="00D96058">
            <w:pPr>
              <w:jc w:val="center"/>
              <w:rPr>
                <w:rFonts w:ascii="Arial Narrow" w:eastAsia="Times New Roman" w:hAnsi="Arial Narrow" w:cs="Calibri"/>
                <w:b/>
                <w:bCs/>
                <w:color w:val="000000"/>
                <w:sz w:val="22"/>
                <w:szCs w:val="22"/>
              </w:rPr>
            </w:pPr>
            <w:r w:rsidRPr="00D96058">
              <w:rPr>
                <w:rFonts w:ascii="Arial Narrow" w:eastAsia="Times New Roman" w:hAnsi="Arial Narrow" w:cs="Calibri"/>
                <w:b/>
                <w:bCs/>
                <w:color w:val="000000"/>
                <w:sz w:val="22"/>
                <w:szCs w:val="22"/>
              </w:rPr>
              <w:t xml:space="preserve"> </w:t>
            </w:r>
          </w:p>
        </w:tc>
      </w:tr>
    </w:tbl>
    <w:p w14:paraId="6E259FFF" w14:textId="77777777" w:rsidR="00EF6201" w:rsidRDefault="00EF6201" w:rsidP="00FD48A0">
      <w:pPr>
        <w:pStyle w:val="Default"/>
        <w:ind w:right="261"/>
        <w:jc w:val="both"/>
        <w:rPr>
          <w:sz w:val="22"/>
          <w:szCs w:val="22"/>
          <w:lang w:val="es-CR"/>
        </w:rPr>
      </w:pPr>
    </w:p>
    <w:p w14:paraId="0BAF54AF" w14:textId="54705B49" w:rsidR="00FD48A0" w:rsidRDefault="00FD48A0" w:rsidP="00FD48A0">
      <w:pPr>
        <w:pStyle w:val="Default"/>
        <w:ind w:right="261"/>
        <w:jc w:val="both"/>
        <w:rPr>
          <w:rFonts w:eastAsia="Arial"/>
          <w:b/>
          <w:sz w:val="22"/>
          <w:szCs w:val="22"/>
        </w:rPr>
      </w:pPr>
      <w:r w:rsidRPr="00F02F9D">
        <w:rPr>
          <w:rFonts w:eastAsia="Arial"/>
          <w:b/>
          <w:sz w:val="22"/>
          <w:szCs w:val="22"/>
        </w:rPr>
        <w:t>Políticas Contables</w:t>
      </w:r>
    </w:p>
    <w:p w14:paraId="3B94926B" w14:textId="77777777" w:rsidR="00FD48A0" w:rsidRDefault="00FD48A0" w:rsidP="00FD48A0">
      <w:pPr>
        <w:pStyle w:val="Default"/>
        <w:ind w:right="261"/>
        <w:jc w:val="both"/>
        <w:rPr>
          <w:sz w:val="22"/>
          <w:szCs w:val="22"/>
          <w:lang w:val="es-CR"/>
        </w:rPr>
      </w:pPr>
    </w:p>
    <w:p w14:paraId="150D907A" w14:textId="77777777" w:rsidR="009F19ED" w:rsidRPr="009F19ED" w:rsidRDefault="00D96058" w:rsidP="009F19ED">
      <w:pPr>
        <w:pStyle w:val="Default"/>
        <w:ind w:left="1134" w:right="261" w:hanging="1134"/>
        <w:jc w:val="both"/>
        <w:rPr>
          <w:sz w:val="22"/>
          <w:szCs w:val="22"/>
          <w:lang w:val="es-CR"/>
        </w:rPr>
      </w:pPr>
      <w:r w:rsidRPr="009F19ED">
        <w:rPr>
          <w:sz w:val="22"/>
          <w:szCs w:val="22"/>
          <w:lang w:val="es-CR"/>
        </w:rPr>
        <w:t>2.68.0.01</w:t>
      </w:r>
      <w:r w:rsidRPr="009F19ED">
        <w:rPr>
          <w:sz w:val="22"/>
          <w:szCs w:val="22"/>
          <w:lang w:val="es-CR"/>
        </w:rPr>
        <w:tab/>
        <w:t>Indemnizaciones por cese son los beneficios a los empleados proporcionados por el cese del empleo de un empleado como consecuencia de:</w:t>
      </w:r>
    </w:p>
    <w:p w14:paraId="1D7F091F" w14:textId="446C4BA5" w:rsidR="00D96058" w:rsidRPr="009F19ED" w:rsidRDefault="00D96058" w:rsidP="009F19ED">
      <w:pPr>
        <w:pStyle w:val="Default"/>
        <w:ind w:left="1134" w:right="261" w:hanging="1134"/>
        <w:jc w:val="both"/>
        <w:rPr>
          <w:sz w:val="22"/>
          <w:szCs w:val="22"/>
          <w:lang w:val="es-CR"/>
        </w:rPr>
      </w:pPr>
    </w:p>
    <w:p w14:paraId="2D8D9BDE" w14:textId="50C05355" w:rsidR="00D96058" w:rsidRPr="009F19ED" w:rsidRDefault="00D96058">
      <w:pPr>
        <w:pStyle w:val="Default"/>
        <w:numPr>
          <w:ilvl w:val="0"/>
          <w:numId w:val="172"/>
        </w:numPr>
        <w:spacing w:after="120"/>
        <w:ind w:left="1418" w:hanging="284"/>
        <w:jc w:val="both"/>
        <w:rPr>
          <w:sz w:val="22"/>
          <w:szCs w:val="22"/>
          <w:lang w:val="es-CR"/>
        </w:rPr>
      </w:pPr>
      <w:r w:rsidRPr="009F19ED">
        <w:rPr>
          <w:sz w:val="22"/>
          <w:szCs w:val="22"/>
          <w:lang w:val="es-CR"/>
        </w:rPr>
        <w:t xml:space="preserve">La decisión de la entidad de finalizar el contrato de un empleado antes de la edad normal de retiro; o bien </w:t>
      </w:r>
    </w:p>
    <w:p w14:paraId="2CA15091" w14:textId="6D384E80" w:rsidR="00D96058" w:rsidRPr="009F19ED" w:rsidRDefault="00D96058">
      <w:pPr>
        <w:pStyle w:val="Default"/>
        <w:numPr>
          <w:ilvl w:val="0"/>
          <w:numId w:val="172"/>
        </w:numPr>
        <w:ind w:left="1418" w:hanging="284"/>
        <w:jc w:val="both"/>
        <w:rPr>
          <w:sz w:val="22"/>
          <w:szCs w:val="22"/>
          <w:lang w:val="es-CR"/>
        </w:rPr>
      </w:pPr>
      <w:r w:rsidRPr="009F19ED">
        <w:rPr>
          <w:sz w:val="22"/>
          <w:szCs w:val="22"/>
          <w:lang w:val="es-CR"/>
        </w:rPr>
        <w:t xml:space="preserve">La decisión de un empleado de aceptar voluntariamente una oferta de indemnización a </w:t>
      </w:r>
      <w:r w:rsidR="000E5DF8" w:rsidRPr="009F19ED">
        <w:rPr>
          <w:sz w:val="22"/>
          <w:szCs w:val="22"/>
          <w:lang w:val="es-CR"/>
        </w:rPr>
        <w:t>ca</w:t>
      </w:r>
      <w:r w:rsidR="000E5DF8">
        <w:rPr>
          <w:sz w:val="22"/>
          <w:szCs w:val="22"/>
          <w:lang w:val="es-CR"/>
        </w:rPr>
        <w:t>mbi</w:t>
      </w:r>
      <w:r w:rsidR="000E5DF8" w:rsidRPr="009F19ED">
        <w:rPr>
          <w:sz w:val="22"/>
          <w:szCs w:val="22"/>
          <w:lang w:val="es-CR"/>
        </w:rPr>
        <w:t>o</w:t>
      </w:r>
      <w:r w:rsidRPr="009F19ED">
        <w:rPr>
          <w:sz w:val="22"/>
          <w:szCs w:val="22"/>
          <w:lang w:val="es-CR"/>
        </w:rPr>
        <w:t xml:space="preserve"> de la finalización del vínculo laboral.</w:t>
      </w:r>
    </w:p>
    <w:p w14:paraId="439C9800" w14:textId="77777777" w:rsidR="00D96058" w:rsidRPr="009F19ED" w:rsidRDefault="00D96058" w:rsidP="00D96058">
      <w:pPr>
        <w:pStyle w:val="Default"/>
        <w:jc w:val="both"/>
        <w:rPr>
          <w:sz w:val="22"/>
          <w:szCs w:val="22"/>
          <w:lang w:val="es-CR"/>
        </w:rPr>
      </w:pPr>
    </w:p>
    <w:p w14:paraId="3E5D1B56" w14:textId="7A90006D" w:rsidR="009F19ED" w:rsidRPr="009F19ED" w:rsidRDefault="00D96058" w:rsidP="009F19ED">
      <w:pPr>
        <w:pStyle w:val="Default"/>
        <w:ind w:left="1134" w:right="261" w:hanging="1134"/>
        <w:jc w:val="both"/>
        <w:rPr>
          <w:sz w:val="22"/>
          <w:szCs w:val="22"/>
          <w:lang w:val="es-CR"/>
        </w:rPr>
      </w:pPr>
      <w:r w:rsidRPr="009F19ED">
        <w:rPr>
          <w:sz w:val="22"/>
          <w:szCs w:val="22"/>
          <w:lang w:val="es-CR"/>
        </w:rPr>
        <w:t>2.68.0.02</w:t>
      </w:r>
      <w:r w:rsidRPr="009F19ED">
        <w:rPr>
          <w:sz w:val="22"/>
          <w:szCs w:val="22"/>
          <w:lang w:val="es-CR"/>
        </w:rPr>
        <w:tab/>
        <w:t xml:space="preserve">Las indemnizaciones por cese son normalmente pagos únicos, pero a veces </w:t>
      </w:r>
      <w:r w:rsidR="000E5DF8" w:rsidRPr="009F19ED">
        <w:rPr>
          <w:sz w:val="22"/>
          <w:szCs w:val="22"/>
          <w:lang w:val="es-CR"/>
        </w:rPr>
        <w:t>ta</w:t>
      </w:r>
      <w:r w:rsidR="000E5DF8">
        <w:rPr>
          <w:sz w:val="22"/>
          <w:szCs w:val="22"/>
          <w:lang w:val="es-CR"/>
        </w:rPr>
        <w:t>mbi</w:t>
      </w:r>
      <w:r w:rsidR="000E5DF8" w:rsidRPr="009F19ED">
        <w:rPr>
          <w:sz w:val="22"/>
          <w:szCs w:val="22"/>
          <w:lang w:val="es-CR"/>
        </w:rPr>
        <w:t>én</w:t>
      </w:r>
      <w:r w:rsidRPr="009F19ED">
        <w:rPr>
          <w:sz w:val="22"/>
          <w:szCs w:val="22"/>
          <w:lang w:val="es-CR"/>
        </w:rPr>
        <w:t xml:space="preserve"> incluyen:</w:t>
      </w:r>
    </w:p>
    <w:p w14:paraId="69802338" w14:textId="3CE87F01" w:rsidR="00D96058" w:rsidRPr="009F19ED" w:rsidRDefault="00D96058" w:rsidP="009F19ED">
      <w:pPr>
        <w:pStyle w:val="Default"/>
        <w:ind w:left="1134" w:right="261" w:hanging="1134"/>
        <w:jc w:val="both"/>
        <w:rPr>
          <w:sz w:val="22"/>
          <w:szCs w:val="22"/>
          <w:lang w:val="es-CR"/>
        </w:rPr>
      </w:pPr>
      <w:r w:rsidRPr="009F19ED">
        <w:rPr>
          <w:sz w:val="22"/>
          <w:szCs w:val="22"/>
          <w:lang w:val="es-CR"/>
        </w:rPr>
        <w:t xml:space="preserve"> </w:t>
      </w:r>
    </w:p>
    <w:p w14:paraId="73D418C5" w14:textId="0AA68FB7" w:rsidR="00D96058" w:rsidRPr="009F19ED" w:rsidRDefault="00D96058">
      <w:pPr>
        <w:pStyle w:val="Default"/>
        <w:numPr>
          <w:ilvl w:val="0"/>
          <w:numId w:val="173"/>
        </w:numPr>
        <w:spacing w:after="120"/>
        <w:ind w:left="1418" w:hanging="284"/>
        <w:jc w:val="both"/>
        <w:rPr>
          <w:sz w:val="22"/>
          <w:szCs w:val="22"/>
          <w:lang w:val="es-CR"/>
        </w:rPr>
      </w:pPr>
      <w:r w:rsidRPr="009F19ED">
        <w:rPr>
          <w:sz w:val="22"/>
          <w:szCs w:val="22"/>
          <w:lang w:val="es-CR"/>
        </w:rPr>
        <w:t xml:space="preserve">Mejoras de los beneficios post-empleo, indirectamente a través de un plan de beneficios a los empleados o directamente. </w:t>
      </w:r>
    </w:p>
    <w:p w14:paraId="2AC74051" w14:textId="015B3CDF" w:rsidR="00D96058" w:rsidRDefault="00D96058">
      <w:pPr>
        <w:pStyle w:val="Default"/>
        <w:numPr>
          <w:ilvl w:val="0"/>
          <w:numId w:val="173"/>
        </w:numPr>
        <w:ind w:left="1418" w:hanging="284"/>
        <w:jc w:val="both"/>
        <w:rPr>
          <w:sz w:val="22"/>
          <w:szCs w:val="22"/>
          <w:lang w:val="es-CR"/>
        </w:rPr>
      </w:pPr>
      <w:r w:rsidRPr="009F19ED">
        <w:rPr>
          <w:sz w:val="22"/>
          <w:szCs w:val="22"/>
          <w:lang w:val="es-CR"/>
        </w:rPr>
        <w:t>Salarios hasta el final de un periodo específico de tiempo si el empleado no presta servicios posteriores que proporcionen beneficios económicos a la entidad.</w:t>
      </w:r>
    </w:p>
    <w:p w14:paraId="016B244C" w14:textId="77777777" w:rsidR="00FD48A0" w:rsidRPr="009F19ED" w:rsidRDefault="00FD48A0" w:rsidP="00FD48A0">
      <w:pPr>
        <w:pStyle w:val="Default"/>
        <w:ind w:left="1418"/>
        <w:jc w:val="both"/>
        <w:rPr>
          <w:sz w:val="22"/>
          <w:szCs w:val="22"/>
          <w:lang w:val="es-CR"/>
        </w:rPr>
      </w:pPr>
    </w:p>
    <w:p w14:paraId="19366DB5" w14:textId="034F493E" w:rsidR="00D96058" w:rsidRPr="009F19ED" w:rsidRDefault="00D96058" w:rsidP="009F19ED">
      <w:pPr>
        <w:pStyle w:val="Default"/>
        <w:ind w:left="1134" w:right="261" w:hanging="1134"/>
        <w:jc w:val="both"/>
        <w:rPr>
          <w:sz w:val="22"/>
          <w:szCs w:val="22"/>
          <w:lang w:val="es-CR"/>
        </w:rPr>
      </w:pPr>
      <w:r w:rsidRPr="009F19ED">
        <w:rPr>
          <w:sz w:val="22"/>
          <w:szCs w:val="22"/>
          <w:lang w:val="es-CR"/>
        </w:rPr>
        <w:t>2.68.1.01</w:t>
      </w:r>
      <w:r w:rsidRPr="009F19ED">
        <w:rPr>
          <w:sz w:val="22"/>
          <w:szCs w:val="22"/>
          <w:lang w:val="es-CR"/>
        </w:rPr>
        <w:tab/>
        <w:t>Una entidad reconocerá un pasivo y un gasto por indemnizaciones por cese en la primera de las siguientes fechas:</w:t>
      </w:r>
    </w:p>
    <w:p w14:paraId="505BF7BB" w14:textId="77777777" w:rsidR="009F19ED" w:rsidRPr="009F19ED" w:rsidRDefault="009F19ED" w:rsidP="009F19ED">
      <w:pPr>
        <w:pStyle w:val="Default"/>
        <w:ind w:left="1134" w:right="261" w:hanging="1134"/>
        <w:jc w:val="both"/>
        <w:rPr>
          <w:sz w:val="22"/>
          <w:szCs w:val="22"/>
          <w:lang w:val="es-CR"/>
        </w:rPr>
      </w:pPr>
    </w:p>
    <w:p w14:paraId="581B693B" w14:textId="1C1B168A" w:rsidR="00D96058" w:rsidRPr="009F19ED" w:rsidRDefault="00D96058">
      <w:pPr>
        <w:pStyle w:val="Default"/>
        <w:numPr>
          <w:ilvl w:val="0"/>
          <w:numId w:val="174"/>
        </w:numPr>
        <w:spacing w:after="120"/>
        <w:ind w:left="1418" w:hanging="284"/>
        <w:jc w:val="both"/>
        <w:rPr>
          <w:sz w:val="22"/>
          <w:szCs w:val="22"/>
          <w:lang w:val="es-CR"/>
        </w:rPr>
      </w:pPr>
      <w:r w:rsidRPr="009F19ED">
        <w:rPr>
          <w:sz w:val="22"/>
          <w:szCs w:val="22"/>
          <w:lang w:val="es-CR"/>
        </w:rPr>
        <w:t xml:space="preserve">Cuando la entidad ya no pueda retirar la oferta de esos beneficios; y </w:t>
      </w:r>
    </w:p>
    <w:p w14:paraId="5E16D35A" w14:textId="77777777" w:rsidR="00D96058" w:rsidRPr="009F19ED" w:rsidRDefault="00D96058">
      <w:pPr>
        <w:pStyle w:val="Default"/>
        <w:numPr>
          <w:ilvl w:val="0"/>
          <w:numId w:val="174"/>
        </w:numPr>
        <w:ind w:left="1418" w:hanging="284"/>
        <w:jc w:val="both"/>
        <w:rPr>
          <w:sz w:val="22"/>
          <w:szCs w:val="22"/>
          <w:lang w:val="es-CR"/>
        </w:rPr>
      </w:pPr>
      <w:r w:rsidRPr="009F19ED">
        <w:rPr>
          <w:sz w:val="22"/>
          <w:szCs w:val="22"/>
          <w:lang w:val="es-CR"/>
        </w:rPr>
        <w:t>Cuando la entidad reconozca costos por una reestructuración que quede dentro del alcance de la NICSP 19 e involucre el pago de indemnizaciones por cese.</w:t>
      </w:r>
    </w:p>
    <w:p w14:paraId="2EA0EA48" w14:textId="58A21BF1" w:rsidR="00D96058" w:rsidRPr="009F19ED" w:rsidRDefault="00D96058" w:rsidP="00D96058">
      <w:pPr>
        <w:pStyle w:val="Default"/>
        <w:rPr>
          <w:sz w:val="22"/>
          <w:szCs w:val="22"/>
          <w:lang w:val="es-CR"/>
        </w:rPr>
      </w:pPr>
      <w:r w:rsidRPr="009F19ED">
        <w:rPr>
          <w:sz w:val="22"/>
          <w:szCs w:val="22"/>
          <w:lang w:val="es-CR"/>
        </w:rPr>
        <w:t xml:space="preserve"> </w:t>
      </w:r>
    </w:p>
    <w:p w14:paraId="6E488A92" w14:textId="3E40E755" w:rsidR="00D96058" w:rsidRPr="009F19ED" w:rsidRDefault="00D96058" w:rsidP="00D96058">
      <w:pPr>
        <w:pStyle w:val="Default"/>
        <w:spacing w:after="120" w:line="238" w:lineRule="auto"/>
        <w:ind w:left="1134" w:right="260" w:hanging="1134"/>
        <w:jc w:val="both"/>
        <w:rPr>
          <w:sz w:val="22"/>
          <w:szCs w:val="22"/>
          <w:lang w:val="es-CR"/>
        </w:rPr>
      </w:pPr>
      <w:r w:rsidRPr="009F19ED">
        <w:rPr>
          <w:sz w:val="22"/>
          <w:szCs w:val="22"/>
          <w:lang w:val="es-CR"/>
        </w:rPr>
        <w:t>2.68.2.01</w:t>
      </w:r>
      <w:r w:rsidRPr="009F19ED">
        <w:rPr>
          <w:sz w:val="22"/>
          <w:szCs w:val="22"/>
          <w:lang w:val="es-CR"/>
        </w:rPr>
        <w:tab/>
        <w:t xml:space="preserve">Para las indemnizaciones por cese pagaderas como consecuencia de una decisión del empleado de aceptar una oferta de beneficios a </w:t>
      </w:r>
      <w:r w:rsidR="000E5DF8" w:rsidRPr="009F19ED">
        <w:rPr>
          <w:sz w:val="22"/>
          <w:szCs w:val="22"/>
          <w:lang w:val="es-CR"/>
        </w:rPr>
        <w:t>ca</w:t>
      </w:r>
      <w:r w:rsidR="000E5DF8">
        <w:rPr>
          <w:sz w:val="22"/>
          <w:szCs w:val="22"/>
          <w:lang w:val="es-CR"/>
        </w:rPr>
        <w:t>mbi</w:t>
      </w:r>
      <w:r w:rsidR="000E5DF8" w:rsidRPr="009F19ED">
        <w:rPr>
          <w:sz w:val="22"/>
          <w:szCs w:val="22"/>
          <w:lang w:val="es-CR"/>
        </w:rPr>
        <w:t>o</w:t>
      </w:r>
      <w:r w:rsidRPr="009F19ED">
        <w:rPr>
          <w:sz w:val="22"/>
          <w:szCs w:val="22"/>
          <w:lang w:val="es-CR"/>
        </w:rPr>
        <w:t xml:space="preserve"> de la finalización del vínculo laboral, el momento en que una entidad ya no puede retirar la oferta de indemnizaciones por cese es l</w:t>
      </w:r>
      <w:r w:rsidR="009F19ED">
        <w:rPr>
          <w:sz w:val="22"/>
          <w:szCs w:val="22"/>
          <w:lang w:val="es-CR"/>
        </w:rPr>
        <w:t>a</w:t>
      </w:r>
      <w:r w:rsidRPr="009F19ED">
        <w:rPr>
          <w:sz w:val="22"/>
          <w:szCs w:val="22"/>
          <w:lang w:val="es-CR"/>
        </w:rPr>
        <w:t xml:space="preserve"> primer</w:t>
      </w:r>
      <w:r w:rsidR="009F19ED">
        <w:rPr>
          <w:sz w:val="22"/>
          <w:szCs w:val="22"/>
          <w:lang w:val="es-CR"/>
        </w:rPr>
        <w:t>a de las fechas.</w:t>
      </w:r>
      <w:r w:rsidRPr="009F19ED">
        <w:rPr>
          <w:sz w:val="22"/>
          <w:szCs w:val="22"/>
          <w:lang w:val="es-CR"/>
        </w:rPr>
        <w:t xml:space="preserve"> </w:t>
      </w:r>
    </w:p>
    <w:p w14:paraId="6FF8E8A4" w14:textId="77777777" w:rsidR="00D96058" w:rsidRDefault="00D96058" w:rsidP="00D96058">
      <w:pPr>
        <w:pStyle w:val="Default"/>
        <w:rPr>
          <w:color w:val="auto"/>
          <w:lang w:val="es-CR"/>
        </w:rPr>
      </w:pPr>
    </w:p>
    <w:p w14:paraId="186252F1" w14:textId="77777777" w:rsidR="00FD48A0" w:rsidRDefault="00FD48A0" w:rsidP="00D96058">
      <w:pPr>
        <w:pStyle w:val="Default"/>
        <w:rPr>
          <w:color w:val="auto"/>
          <w:lang w:val="es-CR"/>
        </w:rPr>
      </w:pPr>
    </w:p>
    <w:p w14:paraId="24891F5C" w14:textId="77777777" w:rsidR="00FD48A0" w:rsidRDefault="00FD48A0" w:rsidP="00D96058">
      <w:pPr>
        <w:pStyle w:val="Default"/>
        <w:rPr>
          <w:color w:val="auto"/>
          <w:lang w:val="es-CR"/>
        </w:rPr>
      </w:pPr>
    </w:p>
    <w:p w14:paraId="70DA0C1E" w14:textId="77777777" w:rsidR="00FD48A0" w:rsidRDefault="00FD48A0" w:rsidP="00D96058">
      <w:pPr>
        <w:pStyle w:val="Default"/>
        <w:rPr>
          <w:color w:val="auto"/>
          <w:lang w:val="es-CR"/>
        </w:rPr>
      </w:pPr>
    </w:p>
    <w:p w14:paraId="12F66A8A" w14:textId="77777777" w:rsidR="00FD48A0" w:rsidRDefault="00FD48A0" w:rsidP="00D96058">
      <w:pPr>
        <w:pStyle w:val="Default"/>
        <w:rPr>
          <w:color w:val="auto"/>
          <w:lang w:val="es-CR"/>
        </w:rPr>
      </w:pPr>
    </w:p>
    <w:p w14:paraId="4FD03011" w14:textId="77777777" w:rsidR="00FD48A0" w:rsidRDefault="00FD48A0" w:rsidP="00D96058">
      <w:pPr>
        <w:pStyle w:val="Default"/>
        <w:rPr>
          <w:color w:val="auto"/>
          <w:lang w:val="es-CR"/>
        </w:rPr>
      </w:pPr>
    </w:p>
    <w:p w14:paraId="2ECEBD85" w14:textId="77777777" w:rsidR="00D96058" w:rsidRDefault="00D96058" w:rsidP="00D96058">
      <w:pPr>
        <w:pStyle w:val="Default"/>
        <w:rPr>
          <w:color w:val="auto"/>
          <w:lang w:val="es-CR"/>
        </w:rPr>
      </w:pPr>
    </w:p>
    <w:tbl>
      <w:tblPr>
        <w:tblW w:w="9426" w:type="dxa"/>
        <w:tblLook w:val="04A0" w:firstRow="1" w:lastRow="0" w:firstColumn="1" w:lastColumn="0" w:noHBand="0" w:noVBand="1"/>
      </w:tblPr>
      <w:tblGrid>
        <w:gridCol w:w="636"/>
        <w:gridCol w:w="417"/>
        <w:gridCol w:w="611"/>
        <w:gridCol w:w="3429"/>
        <w:gridCol w:w="2248"/>
        <w:gridCol w:w="2085"/>
      </w:tblGrid>
      <w:tr w:rsidR="003F0679" w:rsidRPr="003F0679" w14:paraId="551221F4" w14:textId="77777777" w:rsidTr="00FD48A0">
        <w:trPr>
          <w:trHeight w:val="320"/>
        </w:trPr>
        <w:tc>
          <w:tcPr>
            <w:tcW w:w="166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CFE8FFD" w14:textId="77777777" w:rsidR="003F0679" w:rsidRPr="003F0679" w:rsidRDefault="003F0679" w:rsidP="003F0679">
            <w:pPr>
              <w:jc w:val="center"/>
              <w:rPr>
                <w:rFonts w:ascii="Arial Narrow" w:eastAsia="Times New Roman" w:hAnsi="Arial Narrow" w:cs="Calibri"/>
                <w:b/>
                <w:bCs/>
                <w:color w:val="FFFFFF"/>
                <w:sz w:val="22"/>
                <w:szCs w:val="22"/>
              </w:rPr>
            </w:pPr>
            <w:r w:rsidRPr="003F0679">
              <w:rPr>
                <w:rFonts w:ascii="Arial Narrow" w:eastAsia="Times New Roman" w:hAnsi="Arial Narrow" w:cs="Calibri"/>
                <w:b/>
                <w:bCs/>
                <w:color w:val="FFFFFF"/>
                <w:sz w:val="22"/>
                <w:szCs w:val="22"/>
              </w:rPr>
              <w:lastRenderedPageBreak/>
              <w:t>Norma / Política</w:t>
            </w:r>
          </w:p>
        </w:tc>
        <w:tc>
          <w:tcPr>
            <w:tcW w:w="3429" w:type="dxa"/>
            <w:vMerge w:val="restart"/>
            <w:tcBorders>
              <w:top w:val="single" w:sz="8" w:space="0" w:color="auto"/>
              <w:left w:val="single" w:sz="8" w:space="0" w:color="auto"/>
              <w:bottom w:val="nil"/>
              <w:right w:val="single" w:sz="8" w:space="0" w:color="auto"/>
            </w:tcBorders>
            <w:shd w:val="clear" w:color="000000" w:fill="203764"/>
            <w:vAlign w:val="center"/>
            <w:hideMark/>
          </w:tcPr>
          <w:p w14:paraId="2CE6D76B" w14:textId="77777777" w:rsidR="003F0679" w:rsidRPr="003F0679" w:rsidRDefault="003F0679" w:rsidP="003F0679">
            <w:pPr>
              <w:jc w:val="center"/>
              <w:rPr>
                <w:rFonts w:ascii="Arial Narrow" w:eastAsia="Times New Roman" w:hAnsi="Arial Narrow" w:cs="Calibri"/>
                <w:b/>
                <w:bCs/>
                <w:color w:val="FFFFFF"/>
                <w:sz w:val="22"/>
                <w:szCs w:val="22"/>
              </w:rPr>
            </w:pPr>
            <w:r w:rsidRPr="003F0679">
              <w:rPr>
                <w:rFonts w:ascii="Arial Narrow" w:eastAsia="Times New Roman" w:hAnsi="Arial Narrow" w:cs="Calibri"/>
                <w:b/>
                <w:bCs/>
                <w:color w:val="FFFFFF"/>
                <w:sz w:val="22"/>
                <w:szCs w:val="22"/>
              </w:rPr>
              <w:t>Concepto</w:t>
            </w:r>
          </w:p>
        </w:tc>
        <w:tc>
          <w:tcPr>
            <w:tcW w:w="4333" w:type="dxa"/>
            <w:gridSpan w:val="2"/>
            <w:tcBorders>
              <w:top w:val="single" w:sz="8" w:space="0" w:color="auto"/>
              <w:left w:val="nil"/>
              <w:bottom w:val="single" w:sz="8" w:space="0" w:color="auto"/>
              <w:right w:val="single" w:sz="8" w:space="0" w:color="000000"/>
            </w:tcBorders>
            <w:shd w:val="clear" w:color="000000" w:fill="203764"/>
            <w:vAlign w:val="center"/>
            <w:hideMark/>
          </w:tcPr>
          <w:p w14:paraId="2EE2FD0A" w14:textId="77777777" w:rsidR="003F0679" w:rsidRPr="003F0679" w:rsidRDefault="003F0679" w:rsidP="003F0679">
            <w:pPr>
              <w:jc w:val="center"/>
              <w:rPr>
                <w:rFonts w:ascii="Arial Narrow" w:eastAsia="Times New Roman" w:hAnsi="Arial Narrow" w:cs="Calibri"/>
                <w:b/>
                <w:bCs/>
                <w:color w:val="FFFFFF"/>
                <w:sz w:val="22"/>
                <w:szCs w:val="22"/>
              </w:rPr>
            </w:pPr>
            <w:r w:rsidRPr="003F0679">
              <w:rPr>
                <w:rFonts w:ascii="Arial Narrow" w:eastAsia="Times New Roman" w:hAnsi="Arial Narrow" w:cs="Calibri"/>
                <w:b/>
                <w:bCs/>
                <w:color w:val="FFFFFF"/>
                <w:sz w:val="22"/>
                <w:szCs w:val="22"/>
              </w:rPr>
              <w:t>Referencia</w:t>
            </w:r>
          </w:p>
        </w:tc>
      </w:tr>
      <w:tr w:rsidR="003F0679" w:rsidRPr="006E5442" w14:paraId="31F4EDA1" w14:textId="77777777" w:rsidTr="00FD48A0">
        <w:trPr>
          <w:trHeight w:val="940"/>
        </w:trPr>
        <w:tc>
          <w:tcPr>
            <w:tcW w:w="1664" w:type="dxa"/>
            <w:gridSpan w:val="3"/>
            <w:vMerge/>
            <w:tcBorders>
              <w:top w:val="single" w:sz="8" w:space="0" w:color="auto"/>
              <w:left w:val="single" w:sz="8" w:space="0" w:color="auto"/>
              <w:bottom w:val="nil"/>
              <w:right w:val="single" w:sz="8" w:space="0" w:color="000000"/>
            </w:tcBorders>
            <w:vAlign w:val="center"/>
            <w:hideMark/>
          </w:tcPr>
          <w:p w14:paraId="33AD65C2" w14:textId="77777777" w:rsidR="003F0679" w:rsidRPr="003F0679" w:rsidRDefault="003F0679" w:rsidP="003F0679">
            <w:pPr>
              <w:rPr>
                <w:rFonts w:ascii="Arial Narrow" w:eastAsia="Times New Roman" w:hAnsi="Arial Narrow" w:cs="Calibri"/>
                <w:b/>
                <w:bCs/>
                <w:color w:val="FFFFFF"/>
                <w:sz w:val="22"/>
                <w:szCs w:val="22"/>
              </w:rPr>
            </w:pPr>
          </w:p>
        </w:tc>
        <w:tc>
          <w:tcPr>
            <w:tcW w:w="3429" w:type="dxa"/>
            <w:vMerge/>
            <w:tcBorders>
              <w:top w:val="single" w:sz="8" w:space="0" w:color="auto"/>
              <w:left w:val="single" w:sz="8" w:space="0" w:color="auto"/>
              <w:bottom w:val="nil"/>
              <w:right w:val="single" w:sz="8" w:space="0" w:color="auto"/>
            </w:tcBorders>
            <w:vAlign w:val="center"/>
            <w:hideMark/>
          </w:tcPr>
          <w:p w14:paraId="1E258E55" w14:textId="77777777" w:rsidR="003F0679" w:rsidRPr="003F0679" w:rsidRDefault="003F0679" w:rsidP="003F0679">
            <w:pPr>
              <w:rPr>
                <w:rFonts w:ascii="Arial Narrow" w:eastAsia="Times New Roman" w:hAnsi="Arial Narrow" w:cs="Calibri"/>
                <w:b/>
                <w:bCs/>
                <w:color w:val="FFFFFF"/>
                <w:sz w:val="22"/>
                <w:szCs w:val="22"/>
              </w:rPr>
            </w:pPr>
          </w:p>
        </w:tc>
        <w:tc>
          <w:tcPr>
            <w:tcW w:w="2248" w:type="dxa"/>
            <w:tcBorders>
              <w:top w:val="nil"/>
              <w:left w:val="nil"/>
              <w:bottom w:val="nil"/>
              <w:right w:val="single" w:sz="8" w:space="0" w:color="auto"/>
            </w:tcBorders>
            <w:shd w:val="clear" w:color="000000" w:fill="203764"/>
            <w:vAlign w:val="center"/>
            <w:hideMark/>
          </w:tcPr>
          <w:p w14:paraId="21D217F7" w14:textId="77777777" w:rsidR="003F0679" w:rsidRPr="003F0679" w:rsidRDefault="003F0679" w:rsidP="003F0679">
            <w:pPr>
              <w:jc w:val="center"/>
              <w:rPr>
                <w:rFonts w:ascii="Arial Narrow" w:eastAsia="Times New Roman" w:hAnsi="Arial Narrow" w:cs="Calibri"/>
                <w:b/>
                <w:bCs/>
                <w:color w:val="FFFFFF"/>
                <w:sz w:val="22"/>
                <w:szCs w:val="22"/>
              </w:rPr>
            </w:pPr>
            <w:r w:rsidRPr="003F0679">
              <w:rPr>
                <w:rFonts w:ascii="Arial Narrow" w:eastAsia="Times New Roman" w:hAnsi="Arial Narrow" w:cs="Calibri"/>
                <w:b/>
                <w:bCs/>
                <w:color w:val="FFFFFF"/>
                <w:sz w:val="22"/>
                <w:szCs w:val="22"/>
              </w:rPr>
              <w:t>Norma</w:t>
            </w:r>
          </w:p>
        </w:tc>
        <w:tc>
          <w:tcPr>
            <w:tcW w:w="2085" w:type="dxa"/>
            <w:tcBorders>
              <w:top w:val="nil"/>
              <w:left w:val="nil"/>
              <w:bottom w:val="nil"/>
              <w:right w:val="single" w:sz="8" w:space="0" w:color="auto"/>
            </w:tcBorders>
            <w:shd w:val="clear" w:color="000000" w:fill="203764"/>
            <w:vAlign w:val="center"/>
            <w:hideMark/>
          </w:tcPr>
          <w:p w14:paraId="13EE2458" w14:textId="77777777" w:rsidR="003F0679" w:rsidRPr="003F0679" w:rsidRDefault="003F0679" w:rsidP="003F0679">
            <w:pPr>
              <w:jc w:val="center"/>
              <w:rPr>
                <w:rFonts w:ascii="Arial Narrow" w:eastAsia="Times New Roman" w:hAnsi="Arial Narrow" w:cs="Calibri"/>
                <w:b/>
                <w:bCs/>
                <w:color w:val="FFFFFF"/>
                <w:sz w:val="22"/>
                <w:szCs w:val="22"/>
                <w:lang w:val="es-CR"/>
              </w:rPr>
            </w:pPr>
            <w:r w:rsidRPr="003F0679">
              <w:rPr>
                <w:rFonts w:ascii="Arial Narrow" w:eastAsia="Times New Roman" w:hAnsi="Arial Narrow" w:cs="Calibri"/>
                <w:b/>
                <w:bCs/>
                <w:color w:val="FFFFFF"/>
                <w:sz w:val="22"/>
                <w:szCs w:val="22"/>
                <w:lang w:val="es-CR"/>
              </w:rPr>
              <w:t>Normativa técnica y disposiciones adicionales</w:t>
            </w:r>
          </w:p>
        </w:tc>
      </w:tr>
      <w:tr w:rsidR="003F0679" w:rsidRPr="003F0679" w14:paraId="1D620AB4" w14:textId="77777777" w:rsidTr="00FD48A0">
        <w:trPr>
          <w:trHeight w:val="630"/>
        </w:trPr>
        <w:tc>
          <w:tcPr>
            <w:tcW w:w="6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4D1308" w14:textId="77777777" w:rsidR="003F0679" w:rsidRPr="003F0679" w:rsidRDefault="003F0679" w:rsidP="003F0679">
            <w:pPr>
              <w:jc w:val="center"/>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53DFCFB4" w14:textId="77777777" w:rsidR="003F0679" w:rsidRPr="003F0679" w:rsidRDefault="003F0679" w:rsidP="003F0679">
            <w:pPr>
              <w:jc w:val="center"/>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69</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4C301644" w14:textId="3ED2455D" w:rsidR="003F0679" w:rsidRPr="003F0679" w:rsidRDefault="003F0679" w:rsidP="003F0679">
            <w:pPr>
              <w:jc w:val="center"/>
              <w:rPr>
                <w:rFonts w:ascii="Arial Narrow" w:eastAsia="Times New Roman" w:hAnsi="Arial Narrow" w:cs="Calibri"/>
                <w:b/>
                <w:bCs/>
                <w:color w:val="000000"/>
                <w:sz w:val="22"/>
                <w:szCs w:val="22"/>
              </w:rPr>
            </w:pPr>
          </w:p>
        </w:tc>
        <w:tc>
          <w:tcPr>
            <w:tcW w:w="3429" w:type="dxa"/>
            <w:tcBorders>
              <w:top w:val="single" w:sz="8" w:space="0" w:color="auto"/>
              <w:left w:val="nil"/>
              <w:bottom w:val="single" w:sz="8" w:space="0" w:color="auto"/>
              <w:right w:val="single" w:sz="8" w:space="0" w:color="auto"/>
            </w:tcBorders>
            <w:shd w:val="clear" w:color="auto" w:fill="auto"/>
            <w:vAlign w:val="center"/>
            <w:hideMark/>
          </w:tcPr>
          <w:p w14:paraId="6BD2FB6D" w14:textId="77777777" w:rsidR="003F0679" w:rsidRPr="003F0679" w:rsidRDefault="003F0679" w:rsidP="003F0679">
            <w:pPr>
              <w:jc w:val="both"/>
              <w:rPr>
                <w:rFonts w:ascii="Arial Narrow" w:eastAsia="Times New Roman" w:hAnsi="Arial Narrow" w:cs="Calibri"/>
                <w:b/>
                <w:bCs/>
                <w:color w:val="000000"/>
                <w:sz w:val="22"/>
                <w:szCs w:val="22"/>
                <w:lang w:val="es-CR"/>
              </w:rPr>
            </w:pPr>
            <w:r w:rsidRPr="003F0679">
              <w:rPr>
                <w:rFonts w:ascii="Arial Narrow" w:eastAsia="Times New Roman" w:hAnsi="Arial Narrow" w:cs="Calibri"/>
                <w:b/>
                <w:bCs/>
                <w:color w:val="000000"/>
                <w:sz w:val="22"/>
                <w:szCs w:val="22"/>
                <w:lang w:val="es-CR"/>
              </w:rPr>
              <w:t>Beneficios post-empleo pagaderos a la terminación del vínculo laboral</w:t>
            </w:r>
          </w:p>
        </w:tc>
        <w:tc>
          <w:tcPr>
            <w:tcW w:w="2248" w:type="dxa"/>
            <w:tcBorders>
              <w:top w:val="single" w:sz="8" w:space="0" w:color="auto"/>
              <w:left w:val="nil"/>
              <w:bottom w:val="single" w:sz="8" w:space="0" w:color="auto"/>
              <w:right w:val="single" w:sz="8" w:space="0" w:color="auto"/>
            </w:tcBorders>
            <w:shd w:val="clear" w:color="auto" w:fill="auto"/>
            <w:vAlign w:val="center"/>
            <w:hideMark/>
          </w:tcPr>
          <w:p w14:paraId="4926A230" w14:textId="77777777" w:rsidR="00FD48A0" w:rsidRDefault="003F0679" w:rsidP="003F0679">
            <w:pPr>
              <w:jc w:val="both"/>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NICSP N° 39,</w:t>
            </w:r>
          </w:p>
          <w:p w14:paraId="180484CD" w14:textId="2D3E4696" w:rsidR="003F0679" w:rsidRPr="003F0679" w:rsidRDefault="003F0679" w:rsidP="003F0679">
            <w:pPr>
              <w:jc w:val="both"/>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Párrafo 163.</w:t>
            </w:r>
          </w:p>
        </w:tc>
        <w:tc>
          <w:tcPr>
            <w:tcW w:w="2085" w:type="dxa"/>
            <w:tcBorders>
              <w:top w:val="single" w:sz="8" w:space="0" w:color="auto"/>
              <w:left w:val="nil"/>
              <w:bottom w:val="single" w:sz="8" w:space="0" w:color="auto"/>
              <w:right w:val="single" w:sz="8" w:space="0" w:color="auto"/>
            </w:tcBorders>
            <w:shd w:val="clear" w:color="auto" w:fill="auto"/>
            <w:vAlign w:val="center"/>
            <w:hideMark/>
          </w:tcPr>
          <w:p w14:paraId="00677E39" w14:textId="77777777" w:rsidR="003F0679" w:rsidRPr="003F0679" w:rsidRDefault="003F0679" w:rsidP="003F0679">
            <w:pPr>
              <w:jc w:val="center"/>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DGCN</w:t>
            </w:r>
          </w:p>
        </w:tc>
      </w:tr>
    </w:tbl>
    <w:p w14:paraId="04AE4CD7" w14:textId="77777777" w:rsidR="003F0679" w:rsidRDefault="003F0679" w:rsidP="00D96058">
      <w:pPr>
        <w:pStyle w:val="Default"/>
        <w:rPr>
          <w:color w:val="auto"/>
          <w:lang w:val="es-CR"/>
        </w:rPr>
      </w:pPr>
    </w:p>
    <w:p w14:paraId="3D276F85" w14:textId="7D336B21" w:rsidR="00FD48A0" w:rsidRDefault="00FD48A0" w:rsidP="00D96058">
      <w:pPr>
        <w:pStyle w:val="Default"/>
        <w:rPr>
          <w:rFonts w:eastAsia="Arial"/>
          <w:b/>
          <w:sz w:val="22"/>
          <w:szCs w:val="22"/>
        </w:rPr>
      </w:pPr>
      <w:r w:rsidRPr="00F02F9D">
        <w:rPr>
          <w:rFonts w:eastAsia="Arial"/>
          <w:b/>
          <w:sz w:val="22"/>
          <w:szCs w:val="22"/>
        </w:rPr>
        <w:t>Política Contable</w:t>
      </w:r>
    </w:p>
    <w:p w14:paraId="108C1A26" w14:textId="77777777" w:rsidR="00FD48A0" w:rsidRDefault="00FD48A0" w:rsidP="00D96058">
      <w:pPr>
        <w:pStyle w:val="Default"/>
        <w:rPr>
          <w:color w:val="auto"/>
          <w:lang w:val="es-CR"/>
        </w:rPr>
      </w:pPr>
    </w:p>
    <w:p w14:paraId="20A6A29E" w14:textId="038E38B7" w:rsidR="003F0679" w:rsidRDefault="003F0679" w:rsidP="003F0679">
      <w:pPr>
        <w:pStyle w:val="Default"/>
        <w:ind w:left="1134" w:hanging="1134"/>
        <w:jc w:val="both"/>
        <w:rPr>
          <w:sz w:val="22"/>
          <w:szCs w:val="22"/>
          <w:lang w:val="es-CR"/>
        </w:rPr>
      </w:pPr>
      <w:r>
        <w:rPr>
          <w:sz w:val="22"/>
          <w:szCs w:val="22"/>
          <w:lang w:val="es-CR"/>
        </w:rPr>
        <w:t>2.69.0.01</w:t>
      </w:r>
      <w:r>
        <w:rPr>
          <w:sz w:val="22"/>
          <w:szCs w:val="22"/>
          <w:lang w:val="es-CR"/>
        </w:rPr>
        <w:tab/>
      </w:r>
      <w:r w:rsidRPr="003F0679">
        <w:rPr>
          <w:sz w:val="22"/>
          <w:szCs w:val="22"/>
          <w:lang w:val="es-CR"/>
        </w:rPr>
        <w:t>Las indemnizaciones por cese no incluyen beneficios a los empleados procedentes de la finalización del vínculo laboral a petición del empleado sin la oferta de una entidad, o como consecuencia de requerimientos de retiro obligatorios, porque esos beneficios son beneficios post-empleo.</w:t>
      </w:r>
    </w:p>
    <w:p w14:paraId="7FD0DEA1" w14:textId="77777777" w:rsidR="003F0679" w:rsidRPr="003F0679" w:rsidRDefault="003F0679" w:rsidP="003F0679">
      <w:pPr>
        <w:pStyle w:val="Default"/>
        <w:ind w:left="1134" w:hanging="1134"/>
        <w:rPr>
          <w:sz w:val="22"/>
          <w:szCs w:val="22"/>
          <w:lang w:val="es-CR"/>
        </w:rPr>
      </w:pPr>
    </w:p>
    <w:p w14:paraId="33EA7533" w14:textId="0AF9BEFB" w:rsidR="003F0679" w:rsidRPr="003F0679" w:rsidRDefault="003F0679" w:rsidP="003F0679">
      <w:pPr>
        <w:pStyle w:val="Default"/>
        <w:ind w:left="1134"/>
        <w:jc w:val="both"/>
        <w:rPr>
          <w:color w:val="auto"/>
          <w:sz w:val="22"/>
          <w:szCs w:val="22"/>
          <w:lang w:val="es-CR"/>
        </w:rPr>
      </w:pPr>
      <w:r w:rsidRPr="003F0679">
        <w:rPr>
          <w:color w:val="auto"/>
          <w:sz w:val="22"/>
          <w:szCs w:val="22"/>
          <w:lang w:val="es-CR"/>
        </w:rPr>
        <w:t>Hasta tanto la DGCN apruebe a través de las PPC solicitadas por las entidades expertas en la materia, en las cuales se identifiquen las situaciones y criterios específicos para medir y reconocer dichos beneficios, los mismos serán tratados como beneficios por terminación.</w:t>
      </w:r>
    </w:p>
    <w:p w14:paraId="413BF14A" w14:textId="77777777" w:rsidR="00D96058" w:rsidRPr="003F0679" w:rsidRDefault="00D96058" w:rsidP="00FD48A0">
      <w:pPr>
        <w:pStyle w:val="Default"/>
        <w:rPr>
          <w:color w:val="auto"/>
          <w:sz w:val="22"/>
          <w:szCs w:val="22"/>
          <w:lang w:val="es-CR"/>
        </w:rPr>
      </w:pPr>
    </w:p>
    <w:p w14:paraId="47D9F1FF" w14:textId="77777777" w:rsidR="00D96058" w:rsidRDefault="00D96058" w:rsidP="00FD48A0">
      <w:pPr>
        <w:pStyle w:val="Default"/>
        <w:rPr>
          <w:color w:val="auto"/>
          <w:sz w:val="22"/>
          <w:szCs w:val="22"/>
          <w:lang w:val="es-CR"/>
        </w:rPr>
      </w:pPr>
    </w:p>
    <w:p w14:paraId="320B802C" w14:textId="77777777" w:rsidR="00FD48A0" w:rsidRPr="003F0679" w:rsidRDefault="00FD48A0" w:rsidP="00FD48A0">
      <w:pPr>
        <w:pStyle w:val="Default"/>
        <w:rPr>
          <w:color w:val="auto"/>
          <w:sz w:val="22"/>
          <w:szCs w:val="22"/>
          <w:lang w:val="es-CR"/>
        </w:rPr>
      </w:pPr>
    </w:p>
    <w:tbl>
      <w:tblPr>
        <w:tblW w:w="9346" w:type="dxa"/>
        <w:tblLook w:val="04A0" w:firstRow="1" w:lastRow="0" w:firstColumn="1" w:lastColumn="0" w:noHBand="0" w:noVBand="1"/>
      </w:tblPr>
      <w:tblGrid>
        <w:gridCol w:w="637"/>
        <w:gridCol w:w="417"/>
        <w:gridCol w:w="611"/>
        <w:gridCol w:w="3428"/>
        <w:gridCol w:w="2249"/>
        <w:gridCol w:w="2004"/>
      </w:tblGrid>
      <w:tr w:rsidR="003F0679" w:rsidRPr="003F0679" w14:paraId="7CC6456B" w14:textId="77777777" w:rsidTr="00FD48A0">
        <w:trPr>
          <w:trHeight w:val="320"/>
        </w:trPr>
        <w:tc>
          <w:tcPr>
            <w:tcW w:w="166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F2D2785" w14:textId="77777777" w:rsidR="003F0679" w:rsidRPr="003F0679" w:rsidRDefault="003F0679" w:rsidP="003F0679">
            <w:pPr>
              <w:jc w:val="center"/>
              <w:rPr>
                <w:rFonts w:ascii="Arial Narrow" w:eastAsia="Times New Roman" w:hAnsi="Arial Narrow" w:cs="Calibri"/>
                <w:b/>
                <w:bCs/>
                <w:color w:val="FFFFFF"/>
                <w:sz w:val="22"/>
                <w:szCs w:val="22"/>
              </w:rPr>
            </w:pPr>
            <w:r w:rsidRPr="003F0679">
              <w:rPr>
                <w:rFonts w:ascii="Arial Narrow" w:eastAsia="Times New Roman" w:hAnsi="Arial Narrow" w:cs="Calibri"/>
                <w:b/>
                <w:bCs/>
                <w:color w:val="FFFFFF"/>
                <w:sz w:val="22"/>
                <w:szCs w:val="22"/>
              </w:rPr>
              <w:t>Norma / Política</w:t>
            </w:r>
          </w:p>
        </w:tc>
        <w:tc>
          <w:tcPr>
            <w:tcW w:w="342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2521AB8" w14:textId="77777777" w:rsidR="003F0679" w:rsidRPr="003F0679" w:rsidRDefault="003F0679" w:rsidP="003F0679">
            <w:pPr>
              <w:jc w:val="center"/>
              <w:rPr>
                <w:rFonts w:ascii="Arial Narrow" w:eastAsia="Times New Roman" w:hAnsi="Arial Narrow" w:cs="Calibri"/>
                <w:b/>
                <w:bCs/>
                <w:color w:val="FFFFFF"/>
                <w:sz w:val="22"/>
                <w:szCs w:val="22"/>
              </w:rPr>
            </w:pPr>
            <w:r w:rsidRPr="003F0679">
              <w:rPr>
                <w:rFonts w:ascii="Arial Narrow" w:eastAsia="Times New Roman" w:hAnsi="Arial Narrow" w:cs="Calibri"/>
                <w:b/>
                <w:bCs/>
                <w:color w:val="FFFFFF"/>
                <w:sz w:val="22"/>
                <w:szCs w:val="22"/>
              </w:rPr>
              <w:t>Concepto</w:t>
            </w:r>
          </w:p>
        </w:tc>
        <w:tc>
          <w:tcPr>
            <w:tcW w:w="4253" w:type="dxa"/>
            <w:gridSpan w:val="2"/>
            <w:tcBorders>
              <w:top w:val="single" w:sz="8" w:space="0" w:color="auto"/>
              <w:left w:val="nil"/>
              <w:bottom w:val="single" w:sz="8" w:space="0" w:color="auto"/>
              <w:right w:val="single" w:sz="8" w:space="0" w:color="000000"/>
            </w:tcBorders>
            <w:shd w:val="clear" w:color="000000" w:fill="203764"/>
            <w:vAlign w:val="center"/>
            <w:hideMark/>
          </w:tcPr>
          <w:p w14:paraId="12D7D2FF" w14:textId="77777777" w:rsidR="003F0679" w:rsidRPr="003F0679" w:rsidRDefault="003F0679" w:rsidP="003F0679">
            <w:pPr>
              <w:jc w:val="center"/>
              <w:rPr>
                <w:rFonts w:ascii="Arial Narrow" w:eastAsia="Times New Roman" w:hAnsi="Arial Narrow" w:cs="Calibri"/>
                <w:b/>
                <w:bCs/>
                <w:color w:val="FFFFFF"/>
                <w:sz w:val="22"/>
                <w:szCs w:val="22"/>
              </w:rPr>
            </w:pPr>
            <w:r w:rsidRPr="003F0679">
              <w:rPr>
                <w:rFonts w:ascii="Arial Narrow" w:eastAsia="Times New Roman" w:hAnsi="Arial Narrow" w:cs="Calibri"/>
                <w:b/>
                <w:bCs/>
                <w:color w:val="FFFFFF"/>
                <w:sz w:val="22"/>
                <w:szCs w:val="22"/>
              </w:rPr>
              <w:t>Referencia</w:t>
            </w:r>
          </w:p>
        </w:tc>
      </w:tr>
      <w:tr w:rsidR="003F0679" w:rsidRPr="006E5442" w14:paraId="0F682F72" w14:textId="77777777" w:rsidTr="00FD48A0">
        <w:trPr>
          <w:trHeight w:val="940"/>
        </w:trPr>
        <w:tc>
          <w:tcPr>
            <w:tcW w:w="1665" w:type="dxa"/>
            <w:gridSpan w:val="3"/>
            <w:vMerge/>
            <w:tcBorders>
              <w:top w:val="single" w:sz="8" w:space="0" w:color="auto"/>
              <w:left w:val="single" w:sz="8" w:space="0" w:color="auto"/>
              <w:bottom w:val="nil"/>
              <w:right w:val="single" w:sz="8" w:space="0" w:color="000000"/>
            </w:tcBorders>
            <w:vAlign w:val="center"/>
            <w:hideMark/>
          </w:tcPr>
          <w:p w14:paraId="5D621055" w14:textId="77777777" w:rsidR="003F0679" w:rsidRPr="003F0679" w:rsidRDefault="003F0679" w:rsidP="003F0679">
            <w:pPr>
              <w:rPr>
                <w:rFonts w:ascii="Arial Narrow" w:eastAsia="Times New Roman" w:hAnsi="Arial Narrow" w:cs="Calibri"/>
                <w:b/>
                <w:bCs/>
                <w:color w:val="FFFFFF"/>
                <w:sz w:val="22"/>
                <w:szCs w:val="22"/>
              </w:rPr>
            </w:pPr>
          </w:p>
        </w:tc>
        <w:tc>
          <w:tcPr>
            <w:tcW w:w="3428" w:type="dxa"/>
            <w:vMerge/>
            <w:tcBorders>
              <w:top w:val="single" w:sz="8" w:space="0" w:color="auto"/>
              <w:left w:val="single" w:sz="8" w:space="0" w:color="auto"/>
              <w:bottom w:val="nil"/>
              <w:right w:val="single" w:sz="8" w:space="0" w:color="auto"/>
            </w:tcBorders>
            <w:vAlign w:val="center"/>
            <w:hideMark/>
          </w:tcPr>
          <w:p w14:paraId="16196D77" w14:textId="77777777" w:rsidR="003F0679" w:rsidRPr="003F0679" w:rsidRDefault="003F0679" w:rsidP="003F0679">
            <w:pPr>
              <w:rPr>
                <w:rFonts w:ascii="Arial Narrow" w:eastAsia="Times New Roman" w:hAnsi="Arial Narrow" w:cs="Calibri"/>
                <w:b/>
                <w:bCs/>
                <w:color w:val="FFFFFF"/>
                <w:sz w:val="22"/>
                <w:szCs w:val="22"/>
              </w:rPr>
            </w:pPr>
          </w:p>
        </w:tc>
        <w:tc>
          <w:tcPr>
            <w:tcW w:w="2249" w:type="dxa"/>
            <w:tcBorders>
              <w:top w:val="nil"/>
              <w:left w:val="nil"/>
              <w:bottom w:val="nil"/>
              <w:right w:val="single" w:sz="8" w:space="0" w:color="auto"/>
            </w:tcBorders>
            <w:shd w:val="clear" w:color="000000" w:fill="203764"/>
            <w:vAlign w:val="center"/>
            <w:hideMark/>
          </w:tcPr>
          <w:p w14:paraId="688926E0" w14:textId="77777777" w:rsidR="003F0679" w:rsidRPr="003F0679" w:rsidRDefault="003F0679" w:rsidP="003F0679">
            <w:pPr>
              <w:jc w:val="center"/>
              <w:rPr>
                <w:rFonts w:ascii="Arial Narrow" w:eastAsia="Times New Roman" w:hAnsi="Arial Narrow" w:cs="Calibri"/>
                <w:b/>
                <w:bCs/>
                <w:color w:val="FFFFFF"/>
                <w:sz w:val="22"/>
                <w:szCs w:val="22"/>
              </w:rPr>
            </w:pPr>
            <w:r w:rsidRPr="003F0679">
              <w:rPr>
                <w:rFonts w:ascii="Arial Narrow" w:eastAsia="Times New Roman" w:hAnsi="Arial Narrow" w:cs="Calibri"/>
                <w:b/>
                <w:bCs/>
                <w:color w:val="FFFFFF"/>
                <w:sz w:val="22"/>
                <w:szCs w:val="22"/>
              </w:rPr>
              <w:t>Norma</w:t>
            </w:r>
          </w:p>
        </w:tc>
        <w:tc>
          <w:tcPr>
            <w:tcW w:w="2004" w:type="dxa"/>
            <w:tcBorders>
              <w:top w:val="nil"/>
              <w:left w:val="nil"/>
              <w:bottom w:val="nil"/>
              <w:right w:val="single" w:sz="8" w:space="0" w:color="auto"/>
            </w:tcBorders>
            <w:shd w:val="clear" w:color="000000" w:fill="203764"/>
            <w:vAlign w:val="center"/>
            <w:hideMark/>
          </w:tcPr>
          <w:p w14:paraId="70A54580" w14:textId="77777777" w:rsidR="003F0679" w:rsidRPr="003F0679" w:rsidRDefault="003F0679" w:rsidP="003F0679">
            <w:pPr>
              <w:jc w:val="center"/>
              <w:rPr>
                <w:rFonts w:ascii="Arial Narrow" w:eastAsia="Times New Roman" w:hAnsi="Arial Narrow" w:cs="Calibri"/>
                <w:b/>
                <w:bCs/>
                <w:color w:val="FFFFFF"/>
                <w:sz w:val="22"/>
                <w:szCs w:val="22"/>
                <w:lang w:val="es-CR"/>
              </w:rPr>
            </w:pPr>
            <w:r w:rsidRPr="003F0679">
              <w:rPr>
                <w:rFonts w:ascii="Arial Narrow" w:eastAsia="Times New Roman" w:hAnsi="Arial Narrow" w:cs="Calibri"/>
                <w:b/>
                <w:bCs/>
                <w:color w:val="FFFFFF"/>
                <w:sz w:val="22"/>
                <w:szCs w:val="22"/>
                <w:lang w:val="es-CR"/>
              </w:rPr>
              <w:t>Normativa técnica y disposiciones adicionales</w:t>
            </w:r>
          </w:p>
        </w:tc>
      </w:tr>
      <w:tr w:rsidR="003F0679" w:rsidRPr="003F0679" w14:paraId="50522F5E" w14:textId="77777777" w:rsidTr="00FD48A0">
        <w:trPr>
          <w:trHeight w:val="438"/>
        </w:trPr>
        <w:tc>
          <w:tcPr>
            <w:tcW w:w="6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F0EA47" w14:textId="77777777" w:rsidR="003F0679" w:rsidRPr="003F0679" w:rsidRDefault="003F0679" w:rsidP="003F0679">
            <w:pPr>
              <w:jc w:val="center"/>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775872AB" w14:textId="77777777" w:rsidR="003F0679" w:rsidRPr="003F0679" w:rsidRDefault="003F0679" w:rsidP="003F0679">
            <w:pPr>
              <w:jc w:val="center"/>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70</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1733F1E6" w14:textId="41DA031A" w:rsidR="003F0679" w:rsidRPr="003F0679" w:rsidRDefault="003F0679" w:rsidP="003F0679">
            <w:pPr>
              <w:jc w:val="center"/>
              <w:rPr>
                <w:rFonts w:ascii="Arial Narrow" w:eastAsia="Times New Roman" w:hAnsi="Arial Narrow" w:cs="Calibri"/>
                <w:b/>
                <w:bCs/>
                <w:color w:val="000000"/>
                <w:sz w:val="22"/>
                <w:szCs w:val="22"/>
              </w:rPr>
            </w:pPr>
          </w:p>
        </w:tc>
        <w:tc>
          <w:tcPr>
            <w:tcW w:w="3428" w:type="dxa"/>
            <w:tcBorders>
              <w:top w:val="single" w:sz="8" w:space="0" w:color="auto"/>
              <w:left w:val="nil"/>
              <w:bottom w:val="single" w:sz="8" w:space="0" w:color="auto"/>
              <w:right w:val="single" w:sz="8" w:space="0" w:color="auto"/>
            </w:tcBorders>
            <w:shd w:val="clear" w:color="auto" w:fill="auto"/>
            <w:vAlign w:val="center"/>
            <w:hideMark/>
          </w:tcPr>
          <w:p w14:paraId="3ED3CE0F" w14:textId="77777777" w:rsidR="003F0679" w:rsidRPr="003F0679" w:rsidRDefault="003F0679" w:rsidP="003F0679">
            <w:pPr>
              <w:jc w:val="both"/>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Medición</w:t>
            </w:r>
          </w:p>
        </w:tc>
        <w:tc>
          <w:tcPr>
            <w:tcW w:w="2249" w:type="dxa"/>
            <w:tcBorders>
              <w:top w:val="single" w:sz="8" w:space="0" w:color="auto"/>
              <w:left w:val="nil"/>
              <w:bottom w:val="single" w:sz="8" w:space="0" w:color="auto"/>
              <w:right w:val="single" w:sz="8" w:space="0" w:color="auto"/>
            </w:tcBorders>
            <w:shd w:val="clear" w:color="auto" w:fill="auto"/>
            <w:vAlign w:val="center"/>
            <w:hideMark/>
          </w:tcPr>
          <w:p w14:paraId="7E5F17DF" w14:textId="77777777" w:rsidR="003F0679" w:rsidRDefault="003F0679" w:rsidP="003F0679">
            <w:pPr>
              <w:jc w:val="both"/>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NICSP N° 39,</w:t>
            </w:r>
          </w:p>
          <w:p w14:paraId="5E94F68E" w14:textId="2123BF79" w:rsidR="003F0679" w:rsidRPr="003F0679" w:rsidRDefault="003F0679" w:rsidP="003F0679">
            <w:pPr>
              <w:jc w:val="both"/>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Párrafo 172.</w:t>
            </w:r>
          </w:p>
        </w:tc>
        <w:tc>
          <w:tcPr>
            <w:tcW w:w="2004" w:type="dxa"/>
            <w:tcBorders>
              <w:top w:val="single" w:sz="8" w:space="0" w:color="auto"/>
              <w:left w:val="nil"/>
              <w:bottom w:val="single" w:sz="8" w:space="0" w:color="auto"/>
              <w:right w:val="single" w:sz="8" w:space="0" w:color="auto"/>
            </w:tcBorders>
            <w:shd w:val="clear" w:color="auto" w:fill="auto"/>
            <w:vAlign w:val="center"/>
            <w:hideMark/>
          </w:tcPr>
          <w:p w14:paraId="13C38F03" w14:textId="77777777" w:rsidR="003F0679" w:rsidRPr="003F0679" w:rsidRDefault="003F0679" w:rsidP="003F0679">
            <w:pPr>
              <w:jc w:val="center"/>
              <w:rPr>
                <w:rFonts w:ascii="Arial Narrow" w:eastAsia="Times New Roman" w:hAnsi="Arial Narrow" w:cs="Calibri"/>
                <w:b/>
                <w:bCs/>
                <w:color w:val="000000"/>
                <w:sz w:val="22"/>
                <w:szCs w:val="22"/>
              </w:rPr>
            </w:pPr>
            <w:r w:rsidRPr="003F0679">
              <w:rPr>
                <w:rFonts w:ascii="Arial Narrow" w:eastAsia="Times New Roman" w:hAnsi="Arial Narrow" w:cs="Calibri"/>
                <w:b/>
                <w:bCs/>
                <w:color w:val="000000"/>
                <w:sz w:val="22"/>
                <w:szCs w:val="22"/>
              </w:rPr>
              <w:t>DGCN</w:t>
            </w:r>
          </w:p>
        </w:tc>
      </w:tr>
    </w:tbl>
    <w:p w14:paraId="4AA01BB4" w14:textId="77777777" w:rsidR="00D96058" w:rsidRDefault="00D96058" w:rsidP="00D96058">
      <w:pPr>
        <w:pStyle w:val="Default"/>
        <w:rPr>
          <w:color w:val="auto"/>
          <w:sz w:val="22"/>
          <w:szCs w:val="22"/>
          <w:lang w:val="es-CR"/>
        </w:rPr>
      </w:pPr>
    </w:p>
    <w:p w14:paraId="25C78D47" w14:textId="1557E1B6" w:rsidR="00FD48A0" w:rsidRDefault="00FD48A0" w:rsidP="00D96058">
      <w:pPr>
        <w:pStyle w:val="Default"/>
        <w:rPr>
          <w:rFonts w:eastAsia="Arial"/>
          <w:b/>
          <w:sz w:val="22"/>
          <w:szCs w:val="22"/>
        </w:rPr>
      </w:pPr>
      <w:r w:rsidRPr="00F02F9D">
        <w:rPr>
          <w:rFonts w:eastAsia="Arial"/>
          <w:b/>
          <w:sz w:val="22"/>
          <w:szCs w:val="22"/>
        </w:rPr>
        <w:t>Política Contable</w:t>
      </w:r>
    </w:p>
    <w:p w14:paraId="1DDA46D4" w14:textId="77777777" w:rsidR="00FD48A0" w:rsidRPr="003F0679" w:rsidRDefault="00FD48A0" w:rsidP="00D96058">
      <w:pPr>
        <w:pStyle w:val="Default"/>
        <w:rPr>
          <w:color w:val="auto"/>
          <w:sz w:val="22"/>
          <w:szCs w:val="22"/>
          <w:lang w:val="es-CR"/>
        </w:rPr>
      </w:pPr>
    </w:p>
    <w:p w14:paraId="5016620F" w14:textId="014134C0" w:rsidR="003F0679" w:rsidRDefault="003F0679" w:rsidP="003F0679">
      <w:pPr>
        <w:pStyle w:val="Default"/>
        <w:ind w:left="1134" w:hanging="1134"/>
        <w:jc w:val="both"/>
        <w:rPr>
          <w:sz w:val="22"/>
          <w:szCs w:val="22"/>
          <w:lang w:val="es-CR"/>
        </w:rPr>
      </w:pPr>
      <w:r>
        <w:rPr>
          <w:sz w:val="22"/>
          <w:szCs w:val="22"/>
          <w:lang w:val="es-CR"/>
        </w:rPr>
        <w:t>2.70.0.01</w:t>
      </w:r>
      <w:r>
        <w:rPr>
          <w:sz w:val="22"/>
          <w:szCs w:val="22"/>
          <w:lang w:val="es-CR"/>
        </w:rPr>
        <w:tab/>
      </w:r>
      <w:r w:rsidRPr="003F0679">
        <w:rPr>
          <w:sz w:val="22"/>
          <w:szCs w:val="22"/>
          <w:lang w:val="es-CR"/>
        </w:rPr>
        <w:t xml:space="preserve">Una entidad medirá las indemnizaciones por cese en el reconocimiento inicial, y medirá y reconocerá </w:t>
      </w:r>
      <w:r w:rsidR="000E5DF8" w:rsidRPr="003F0679">
        <w:rPr>
          <w:sz w:val="22"/>
          <w:szCs w:val="22"/>
          <w:lang w:val="es-CR"/>
        </w:rPr>
        <w:t>ca</w:t>
      </w:r>
      <w:r w:rsidR="000E5DF8">
        <w:rPr>
          <w:sz w:val="22"/>
          <w:szCs w:val="22"/>
          <w:lang w:val="es-CR"/>
        </w:rPr>
        <w:t>mbi</w:t>
      </w:r>
      <w:r w:rsidR="000E5DF8" w:rsidRPr="003F0679">
        <w:rPr>
          <w:sz w:val="22"/>
          <w:szCs w:val="22"/>
          <w:lang w:val="es-CR"/>
        </w:rPr>
        <w:t>os</w:t>
      </w:r>
      <w:r w:rsidRPr="003F0679">
        <w:rPr>
          <w:sz w:val="22"/>
          <w:szCs w:val="22"/>
          <w:lang w:val="es-CR"/>
        </w:rPr>
        <w:t xml:space="preserve"> posteriores, de acuerdo con la naturaleza del beneficio a los empleados, siempre que las indemnizaciones por cese sean una mejora de los beneficios post- empleo, la entidad aplicará los requerimientos de beneficios post- empleo. En otro caso:</w:t>
      </w:r>
    </w:p>
    <w:p w14:paraId="43D3C1ED" w14:textId="77777777" w:rsidR="003F0679" w:rsidRPr="003F0679" w:rsidRDefault="003F0679" w:rsidP="003F0679">
      <w:pPr>
        <w:pStyle w:val="Default"/>
        <w:ind w:left="1134" w:hanging="1134"/>
        <w:jc w:val="both"/>
        <w:rPr>
          <w:sz w:val="22"/>
          <w:szCs w:val="22"/>
          <w:lang w:val="es-CR"/>
        </w:rPr>
      </w:pPr>
    </w:p>
    <w:p w14:paraId="05BCB970" w14:textId="14C9BEA9" w:rsidR="003F0679" w:rsidRPr="003F0679" w:rsidRDefault="003F0679">
      <w:pPr>
        <w:pStyle w:val="Default"/>
        <w:numPr>
          <w:ilvl w:val="0"/>
          <w:numId w:val="175"/>
        </w:numPr>
        <w:spacing w:after="155"/>
        <w:ind w:left="1418" w:hanging="284"/>
        <w:jc w:val="both"/>
        <w:rPr>
          <w:sz w:val="22"/>
          <w:szCs w:val="22"/>
          <w:lang w:val="es-CR"/>
        </w:rPr>
      </w:pPr>
      <w:r w:rsidRPr="003F0679">
        <w:rPr>
          <w:sz w:val="22"/>
          <w:szCs w:val="22"/>
          <w:lang w:val="es-CR"/>
        </w:rPr>
        <w:t xml:space="preserve">Si se espera que las indemnizaciones por cese se liquiden completamente antes de doce meses después del periodo sobre el que se informa en el que se reconozca la indemnización por cese, la entidad aplicará los requerimientos de beneficios a los empleados a corto plazo. </w:t>
      </w:r>
    </w:p>
    <w:p w14:paraId="3422A4F3" w14:textId="7B2296A1" w:rsidR="003F0679" w:rsidRPr="003F0679" w:rsidRDefault="003F0679">
      <w:pPr>
        <w:pStyle w:val="Default"/>
        <w:numPr>
          <w:ilvl w:val="0"/>
          <w:numId w:val="175"/>
        </w:numPr>
        <w:spacing w:after="155"/>
        <w:ind w:left="1418" w:hanging="284"/>
        <w:jc w:val="both"/>
        <w:rPr>
          <w:sz w:val="22"/>
          <w:szCs w:val="22"/>
          <w:lang w:val="es-CR"/>
        </w:rPr>
      </w:pPr>
      <w:r w:rsidRPr="003F0679">
        <w:rPr>
          <w:sz w:val="22"/>
          <w:szCs w:val="22"/>
          <w:lang w:val="es-CR"/>
        </w:rPr>
        <w:t xml:space="preserve">Si no se espera que las indemnizaciones por cese se liquiden completamente antes de doce meses después del periodo sobre el que se informa, la entidad aplicará los requerimientos de otros beneficios a los empleados a largo plazo. </w:t>
      </w:r>
    </w:p>
    <w:p w14:paraId="301EDF03" w14:textId="0555D819" w:rsidR="003F0679" w:rsidRDefault="003F0679">
      <w:pPr>
        <w:pStyle w:val="Default"/>
        <w:numPr>
          <w:ilvl w:val="0"/>
          <w:numId w:val="175"/>
        </w:numPr>
        <w:ind w:left="1418" w:hanging="284"/>
        <w:jc w:val="both"/>
        <w:rPr>
          <w:sz w:val="22"/>
          <w:szCs w:val="22"/>
          <w:lang w:val="es-CR"/>
        </w:rPr>
      </w:pPr>
      <w:r w:rsidRPr="003F0679">
        <w:rPr>
          <w:sz w:val="22"/>
          <w:szCs w:val="22"/>
          <w:lang w:val="es-CR"/>
        </w:rPr>
        <w:t>Deberá evaluarse la posible reducción de los beneficios por retiro u otros beneficios post-empleo, sujeto esto a las PPC que oportunamente apruebe la DGCN, a solicitud de las entidades expertas</w:t>
      </w:r>
      <w:r>
        <w:rPr>
          <w:sz w:val="22"/>
          <w:szCs w:val="22"/>
          <w:lang w:val="es-CR"/>
        </w:rPr>
        <w:t>.</w:t>
      </w:r>
    </w:p>
    <w:p w14:paraId="30619F63" w14:textId="77777777" w:rsidR="00C130F0" w:rsidRDefault="00C130F0" w:rsidP="00C130F0">
      <w:pPr>
        <w:pStyle w:val="Default"/>
        <w:ind w:left="1418"/>
        <w:jc w:val="both"/>
        <w:rPr>
          <w:sz w:val="22"/>
          <w:szCs w:val="22"/>
          <w:lang w:val="es-CR"/>
        </w:rPr>
      </w:pPr>
    </w:p>
    <w:p w14:paraId="6AB5CBA3" w14:textId="77777777" w:rsidR="00FD48A0" w:rsidRDefault="00FD48A0" w:rsidP="00C130F0">
      <w:pPr>
        <w:pStyle w:val="Default"/>
        <w:ind w:left="1418"/>
        <w:jc w:val="both"/>
        <w:rPr>
          <w:sz w:val="22"/>
          <w:szCs w:val="22"/>
          <w:lang w:val="es-CR"/>
        </w:rPr>
      </w:pPr>
    </w:p>
    <w:p w14:paraId="7870CE35" w14:textId="77777777" w:rsidR="00FD48A0" w:rsidRDefault="00FD48A0" w:rsidP="00C130F0">
      <w:pPr>
        <w:pStyle w:val="Default"/>
        <w:ind w:left="1418"/>
        <w:jc w:val="both"/>
        <w:rPr>
          <w:sz w:val="22"/>
          <w:szCs w:val="22"/>
          <w:lang w:val="es-CR"/>
        </w:rPr>
      </w:pPr>
    </w:p>
    <w:p w14:paraId="161F5CBD" w14:textId="77777777" w:rsidR="00FD48A0" w:rsidRDefault="00FD48A0" w:rsidP="00C130F0">
      <w:pPr>
        <w:pStyle w:val="Default"/>
        <w:ind w:left="1418"/>
        <w:jc w:val="both"/>
        <w:rPr>
          <w:sz w:val="22"/>
          <w:szCs w:val="22"/>
          <w:lang w:val="es-CR"/>
        </w:rPr>
      </w:pPr>
    </w:p>
    <w:p w14:paraId="3D183EB8" w14:textId="77777777" w:rsidR="00C130F0" w:rsidRDefault="00C130F0" w:rsidP="00C130F0">
      <w:pPr>
        <w:pStyle w:val="Default"/>
        <w:jc w:val="both"/>
        <w:rPr>
          <w:sz w:val="22"/>
          <w:szCs w:val="22"/>
          <w:lang w:val="es-CR"/>
        </w:rPr>
      </w:pPr>
    </w:p>
    <w:p w14:paraId="7084269C" w14:textId="6DC318DF" w:rsidR="00C130F0" w:rsidRPr="009F19ED" w:rsidRDefault="00C130F0" w:rsidP="009F19ED">
      <w:pPr>
        <w:pStyle w:val="Ttulo2"/>
        <w:ind w:left="284"/>
        <w:rPr>
          <w:rFonts w:ascii="Arial" w:eastAsia="Arial" w:hAnsi="Arial" w:cs="Arial"/>
          <w:b/>
          <w:bCs/>
          <w:sz w:val="20"/>
          <w:szCs w:val="20"/>
          <w:lang w:val="es-CR"/>
        </w:rPr>
      </w:pPr>
      <w:bookmarkStart w:id="101" w:name="_Toc172726236"/>
      <w:r w:rsidRPr="009F19ED">
        <w:rPr>
          <w:rFonts w:ascii="Arial" w:eastAsia="Arial" w:hAnsi="Arial" w:cs="Arial"/>
          <w:b/>
          <w:bCs/>
          <w:sz w:val="20"/>
          <w:szCs w:val="20"/>
          <w:lang w:val="es-CR"/>
        </w:rPr>
        <w:lastRenderedPageBreak/>
        <w:t xml:space="preserve">Información a </w:t>
      </w:r>
      <w:r w:rsidR="00E37CF8" w:rsidRPr="009F19ED">
        <w:rPr>
          <w:rFonts w:ascii="Arial" w:eastAsia="Arial" w:hAnsi="Arial" w:cs="Arial"/>
          <w:b/>
          <w:bCs/>
          <w:sz w:val="20"/>
          <w:szCs w:val="20"/>
          <w:lang w:val="es-CR"/>
        </w:rPr>
        <w:t>r</w:t>
      </w:r>
      <w:r w:rsidRPr="009F19ED">
        <w:rPr>
          <w:rFonts w:ascii="Arial" w:eastAsia="Arial" w:hAnsi="Arial" w:cs="Arial"/>
          <w:b/>
          <w:bCs/>
          <w:sz w:val="20"/>
          <w:szCs w:val="20"/>
          <w:lang w:val="es-CR"/>
        </w:rPr>
        <w:t>evelar</w:t>
      </w:r>
      <w:r w:rsidR="00E37CF8" w:rsidRPr="009F19ED">
        <w:rPr>
          <w:rFonts w:ascii="Arial" w:eastAsia="Arial" w:hAnsi="Arial" w:cs="Arial"/>
          <w:b/>
          <w:bCs/>
          <w:sz w:val="20"/>
          <w:szCs w:val="20"/>
          <w:lang w:val="es-CR"/>
        </w:rPr>
        <w:t xml:space="preserve"> sobre beneficios a corto plazo</w:t>
      </w:r>
      <w:bookmarkEnd w:id="101"/>
    </w:p>
    <w:p w14:paraId="190EB0DA" w14:textId="77777777" w:rsidR="00C130F0" w:rsidRDefault="00C130F0" w:rsidP="00C130F0">
      <w:pPr>
        <w:pStyle w:val="Default"/>
        <w:jc w:val="both"/>
        <w:rPr>
          <w:sz w:val="22"/>
          <w:szCs w:val="22"/>
          <w:lang w:val="es-CR"/>
        </w:rPr>
      </w:pPr>
    </w:p>
    <w:tbl>
      <w:tblPr>
        <w:tblW w:w="9397" w:type="dxa"/>
        <w:tblLook w:val="04A0" w:firstRow="1" w:lastRow="0" w:firstColumn="1" w:lastColumn="0" w:noHBand="0" w:noVBand="1"/>
      </w:tblPr>
      <w:tblGrid>
        <w:gridCol w:w="637"/>
        <w:gridCol w:w="417"/>
        <w:gridCol w:w="611"/>
        <w:gridCol w:w="3682"/>
        <w:gridCol w:w="2156"/>
        <w:gridCol w:w="1894"/>
      </w:tblGrid>
      <w:tr w:rsidR="00C130F0" w:rsidRPr="00C130F0" w14:paraId="7888004A" w14:textId="77777777" w:rsidTr="00FD48A0">
        <w:trPr>
          <w:trHeight w:val="320"/>
        </w:trPr>
        <w:tc>
          <w:tcPr>
            <w:tcW w:w="166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CF00F4E" w14:textId="77777777" w:rsidR="00C130F0" w:rsidRPr="00C130F0" w:rsidRDefault="00C130F0" w:rsidP="00C130F0">
            <w:pPr>
              <w:jc w:val="center"/>
              <w:rPr>
                <w:rFonts w:ascii="Arial Narrow" w:eastAsia="Times New Roman" w:hAnsi="Arial Narrow" w:cs="Calibri"/>
                <w:b/>
                <w:bCs/>
                <w:color w:val="FFFFFF"/>
                <w:sz w:val="22"/>
                <w:szCs w:val="22"/>
              </w:rPr>
            </w:pPr>
            <w:r w:rsidRPr="00C130F0">
              <w:rPr>
                <w:rFonts w:ascii="Arial Narrow" w:eastAsia="Times New Roman" w:hAnsi="Arial Narrow" w:cs="Calibri"/>
                <w:b/>
                <w:bCs/>
                <w:color w:val="FFFFFF"/>
                <w:sz w:val="22"/>
                <w:szCs w:val="22"/>
              </w:rPr>
              <w:t>Norma / Política</w:t>
            </w:r>
          </w:p>
        </w:tc>
        <w:tc>
          <w:tcPr>
            <w:tcW w:w="3682" w:type="dxa"/>
            <w:vMerge w:val="restart"/>
            <w:tcBorders>
              <w:top w:val="single" w:sz="8" w:space="0" w:color="auto"/>
              <w:left w:val="single" w:sz="8" w:space="0" w:color="auto"/>
              <w:bottom w:val="nil"/>
              <w:right w:val="single" w:sz="8" w:space="0" w:color="auto"/>
            </w:tcBorders>
            <w:shd w:val="clear" w:color="000000" w:fill="203764"/>
            <w:vAlign w:val="center"/>
            <w:hideMark/>
          </w:tcPr>
          <w:p w14:paraId="1087EE0B" w14:textId="77777777" w:rsidR="00C130F0" w:rsidRPr="00C130F0" w:rsidRDefault="00C130F0" w:rsidP="00C130F0">
            <w:pPr>
              <w:jc w:val="center"/>
              <w:rPr>
                <w:rFonts w:ascii="Arial Narrow" w:eastAsia="Times New Roman" w:hAnsi="Arial Narrow" w:cs="Calibri"/>
                <w:b/>
                <w:bCs/>
                <w:color w:val="FFFFFF"/>
                <w:sz w:val="22"/>
                <w:szCs w:val="22"/>
              </w:rPr>
            </w:pPr>
            <w:r w:rsidRPr="00C130F0">
              <w:rPr>
                <w:rFonts w:ascii="Arial Narrow" w:eastAsia="Times New Roman" w:hAnsi="Arial Narrow" w:cs="Calibri"/>
                <w:b/>
                <w:bCs/>
                <w:color w:val="FFFFFF"/>
                <w:sz w:val="22"/>
                <w:szCs w:val="22"/>
              </w:rPr>
              <w:t>Concepto</w:t>
            </w:r>
          </w:p>
        </w:tc>
        <w:tc>
          <w:tcPr>
            <w:tcW w:w="4050" w:type="dxa"/>
            <w:gridSpan w:val="2"/>
            <w:tcBorders>
              <w:top w:val="single" w:sz="8" w:space="0" w:color="auto"/>
              <w:left w:val="nil"/>
              <w:bottom w:val="single" w:sz="8" w:space="0" w:color="auto"/>
              <w:right w:val="single" w:sz="8" w:space="0" w:color="000000"/>
            </w:tcBorders>
            <w:shd w:val="clear" w:color="000000" w:fill="203764"/>
            <w:vAlign w:val="center"/>
            <w:hideMark/>
          </w:tcPr>
          <w:p w14:paraId="49C3D325" w14:textId="77777777" w:rsidR="00C130F0" w:rsidRPr="00C130F0" w:rsidRDefault="00C130F0" w:rsidP="00C130F0">
            <w:pPr>
              <w:jc w:val="center"/>
              <w:rPr>
                <w:rFonts w:ascii="Arial Narrow" w:eastAsia="Times New Roman" w:hAnsi="Arial Narrow" w:cs="Calibri"/>
                <w:b/>
                <w:bCs/>
                <w:color w:val="FFFFFF"/>
                <w:sz w:val="22"/>
                <w:szCs w:val="22"/>
              </w:rPr>
            </w:pPr>
            <w:r w:rsidRPr="00C130F0">
              <w:rPr>
                <w:rFonts w:ascii="Arial Narrow" w:eastAsia="Times New Roman" w:hAnsi="Arial Narrow" w:cs="Calibri"/>
                <w:b/>
                <w:bCs/>
                <w:color w:val="FFFFFF"/>
                <w:sz w:val="22"/>
                <w:szCs w:val="22"/>
              </w:rPr>
              <w:t>Referencia</w:t>
            </w:r>
          </w:p>
        </w:tc>
      </w:tr>
      <w:tr w:rsidR="00C130F0" w:rsidRPr="006E5442" w14:paraId="43F30309" w14:textId="77777777" w:rsidTr="00FD48A0">
        <w:trPr>
          <w:trHeight w:val="940"/>
        </w:trPr>
        <w:tc>
          <w:tcPr>
            <w:tcW w:w="1665" w:type="dxa"/>
            <w:gridSpan w:val="3"/>
            <w:vMerge/>
            <w:tcBorders>
              <w:top w:val="single" w:sz="8" w:space="0" w:color="auto"/>
              <w:left w:val="single" w:sz="8" w:space="0" w:color="auto"/>
              <w:bottom w:val="nil"/>
              <w:right w:val="single" w:sz="8" w:space="0" w:color="000000"/>
            </w:tcBorders>
            <w:vAlign w:val="center"/>
            <w:hideMark/>
          </w:tcPr>
          <w:p w14:paraId="14800C86" w14:textId="77777777" w:rsidR="00C130F0" w:rsidRPr="00C130F0" w:rsidRDefault="00C130F0" w:rsidP="00C130F0">
            <w:pPr>
              <w:rPr>
                <w:rFonts w:ascii="Arial Narrow" w:eastAsia="Times New Roman" w:hAnsi="Arial Narrow" w:cs="Calibri"/>
                <w:b/>
                <w:bCs/>
                <w:color w:val="FFFFFF"/>
                <w:sz w:val="22"/>
                <w:szCs w:val="22"/>
              </w:rPr>
            </w:pPr>
          </w:p>
        </w:tc>
        <w:tc>
          <w:tcPr>
            <w:tcW w:w="3682" w:type="dxa"/>
            <w:vMerge/>
            <w:tcBorders>
              <w:top w:val="single" w:sz="8" w:space="0" w:color="auto"/>
              <w:left w:val="single" w:sz="8" w:space="0" w:color="auto"/>
              <w:bottom w:val="nil"/>
              <w:right w:val="single" w:sz="8" w:space="0" w:color="auto"/>
            </w:tcBorders>
            <w:vAlign w:val="center"/>
            <w:hideMark/>
          </w:tcPr>
          <w:p w14:paraId="0F6D2B0D" w14:textId="77777777" w:rsidR="00C130F0" w:rsidRPr="00C130F0" w:rsidRDefault="00C130F0" w:rsidP="00C130F0">
            <w:pPr>
              <w:rPr>
                <w:rFonts w:ascii="Arial Narrow" w:eastAsia="Times New Roman" w:hAnsi="Arial Narrow" w:cs="Calibri"/>
                <w:b/>
                <w:bCs/>
                <w:color w:val="FFFFFF"/>
                <w:sz w:val="22"/>
                <w:szCs w:val="22"/>
              </w:rPr>
            </w:pPr>
          </w:p>
        </w:tc>
        <w:tc>
          <w:tcPr>
            <w:tcW w:w="2156" w:type="dxa"/>
            <w:tcBorders>
              <w:top w:val="nil"/>
              <w:left w:val="nil"/>
              <w:bottom w:val="nil"/>
              <w:right w:val="single" w:sz="8" w:space="0" w:color="auto"/>
            </w:tcBorders>
            <w:shd w:val="clear" w:color="000000" w:fill="203764"/>
            <w:vAlign w:val="center"/>
            <w:hideMark/>
          </w:tcPr>
          <w:p w14:paraId="6A19584E" w14:textId="77777777" w:rsidR="00C130F0" w:rsidRPr="00C130F0" w:rsidRDefault="00C130F0" w:rsidP="00C130F0">
            <w:pPr>
              <w:jc w:val="center"/>
              <w:rPr>
                <w:rFonts w:ascii="Arial Narrow" w:eastAsia="Times New Roman" w:hAnsi="Arial Narrow" w:cs="Calibri"/>
                <w:b/>
                <w:bCs/>
                <w:color w:val="FFFFFF"/>
                <w:sz w:val="22"/>
                <w:szCs w:val="22"/>
              </w:rPr>
            </w:pPr>
            <w:r w:rsidRPr="00C130F0">
              <w:rPr>
                <w:rFonts w:ascii="Arial Narrow" w:eastAsia="Times New Roman" w:hAnsi="Arial Narrow" w:cs="Calibri"/>
                <w:b/>
                <w:bCs/>
                <w:color w:val="FFFFFF"/>
                <w:sz w:val="22"/>
                <w:szCs w:val="22"/>
              </w:rPr>
              <w:t>Norma</w:t>
            </w:r>
          </w:p>
        </w:tc>
        <w:tc>
          <w:tcPr>
            <w:tcW w:w="1893" w:type="dxa"/>
            <w:tcBorders>
              <w:top w:val="nil"/>
              <w:left w:val="nil"/>
              <w:bottom w:val="nil"/>
              <w:right w:val="single" w:sz="8" w:space="0" w:color="auto"/>
            </w:tcBorders>
            <w:shd w:val="clear" w:color="000000" w:fill="203764"/>
            <w:vAlign w:val="center"/>
            <w:hideMark/>
          </w:tcPr>
          <w:p w14:paraId="695D8638" w14:textId="77777777" w:rsidR="00C130F0" w:rsidRPr="00C130F0" w:rsidRDefault="00C130F0" w:rsidP="00C130F0">
            <w:pPr>
              <w:jc w:val="center"/>
              <w:rPr>
                <w:rFonts w:ascii="Arial Narrow" w:eastAsia="Times New Roman" w:hAnsi="Arial Narrow" w:cs="Calibri"/>
                <w:b/>
                <w:bCs/>
                <w:color w:val="FFFFFF"/>
                <w:sz w:val="22"/>
                <w:szCs w:val="22"/>
                <w:lang w:val="es-CR"/>
              </w:rPr>
            </w:pPr>
            <w:r w:rsidRPr="00C130F0">
              <w:rPr>
                <w:rFonts w:ascii="Arial Narrow" w:eastAsia="Times New Roman" w:hAnsi="Arial Narrow" w:cs="Calibri"/>
                <w:b/>
                <w:bCs/>
                <w:color w:val="FFFFFF"/>
                <w:sz w:val="22"/>
                <w:szCs w:val="22"/>
                <w:lang w:val="es-CR"/>
              </w:rPr>
              <w:t>Normativa técnica y disposiciones adicionales</w:t>
            </w:r>
          </w:p>
        </w:tc>
      </w:tr>
      <w:tr w:rsidR="00C130F0" w:rsidRPr="006E5442" w14:paraId="6FED13CE" w14:textId="77777777" w:rsidTr="00FD48A0">
        <w:trPr>
          <w:trHeight w:val="940"/>
        </w:trPr>
        <w:tc>
          <w:tcPr>
            <w:tcW w:w="6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C8514D" w14:textId="77777777" w:rsidR="00C130F0" w:rsidRPr="00C130F0" w:rsidRDefault="00C130F0" w:rsidP="00C130F0">
            <w:pPr>
              <w:jc w:val="center"/>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0BE3D96F" w14:textId="77777777" w:rsidR="00C130F0" w:rsidRPr="00C130F0" w:rsidRDefault="00C130F0" w:rsidP="00C130F0">
            <w:pPr>
              <w:jc w:val="center"/>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71</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3F191E5D" w14:textId="4854EC01" w:rsidR="00C130F0" w:rsidRPr="00C130F0" w:rsidRDefault="00C130F0" w:rsidP="00C130F0">
            <w:pPr>
              <w:jc w:val="center"/>
              <w:rPr>
                <w:rFonts w:ascii="Arial Narrow" w:eastAsia="Times New Roman" w:hAnsi="Arial Narrow" w:cs="Calibri"/>
                <w:b/>
                <w:bCs/>
                <w:color w:val="000000"/>
                <w:sz w:val="22"/>
                <w:szCs w:val="22"/>
              </w:rPr>
            </w:pPr>
          </w:p>
        </w:tc>
        <w:tc>
          <w:tcPr>
            <w:tcW w:w="3682" w:type="dxa"/>
            <w:tcBorders>
              <w:top w:val="single" w:sz="8" w:space="0" w:color="auto"/>
              <w:left w:val="nil"/>
              <w:bottom w:val="single" w:sz="8" w:space="0" w:color="auto"/>
              <w:right w:val="single" w:sz="8" w:space="0" w:color="auto"/>
            </w:tcBorders>
            <w:shd w:val="clear" w:color="auto" w:fill="auto"/>
            <w:vAlign w:val="center"/>
            <w:hideMark/>
          </w:tcPr>
          <w:p w14:paraId="41AEA19D" w14:textId="77777777" w:rsidR="00C130F0" w:rsidRPr="00C130F0" w:rsidRDefault="00C130F0" w:rsidP="00C130F0">
            <w:pPr>
              <w:jc w:val="both"/>
              <w:rPr>
                <w:rFonts w:ascii="Arial Narrow" w:eastAsia="Times New Roman" w:hAnsi="Arial Narrow" w:cs="Calibri"/>
                <w:b/>
                <w:bCs/>
                <w:color w:val="000000"/>
                <w:sz w:val="22"/>
                <w:szCs w:val="22"/>
                <w:lang w:val="es-CR"/>
              </w:rPr>
            </w:pPr>
            <w:r w:rsidRPr="00C130F0">
              <w:rPr>
                <w:rFonts w:ascii="Arial Narrow" w:eastAsia="Times New Roman" w:hAnsi="Arial Narrow" w:cs="Calibri"/>
                <w:b/>
                <w:bCs/>
                <w:color w:val="000000"/>
                <w:sz w:val="22"/>
                <w:szCs w:val="22"/>
                <w:lang w:val="es-CR"/>
              </w:rPr>
              <w:t>Sobre beneficios a corto plazo</w:t>
            </w:r>
          </w:p>
        </w:tc>
        <w:tc>
          <w:tcPr>
            <w:tcW w:w="2156" w:type="dxa"/>
            <w:tcBorders>
              <w:top w:val="single" w:sz="8" w:space="0" w:color="auto"/>
              <w:left w:val="nil"/>
              <w:bottom w:val="single" w:sz="8" w:space="0" w:color="auto"/>
              <w:right w:val="single" w:sz="8" w:space="0" w:color="auto"/>
            </w:tcBorders>
            <w:shd w:val="clear" w:color="auto" w:fill="auto"/>
            <w:vAlign w:val="center"/>
            <w:hideMark/>
          </w:tcPr>
          <w:p w14:paraId="59611597" w14:textId="77777777" w:rsidR="009F19ED" w:rsidRDefault="00C130F0" w:rsidP="00C130F0">
            <w:pPr>
              <w:jc w:val="both"/>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NICSP N° 39,</w:t>
            </w:r>
          </w:p>
          <w:p w14:paraId="637AD6FB" w14:textId="47A328CD" w:rsidR="00C130F0" w:rsidRPr="00C130F0" w:rsidRDefault="00C130F0" w:rsidP="00C130F0">
            <w:pPr>
              <w:jc w:val="both"/>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Párrafo 25.</w:t>
            </w:r>
          </w:p>
        </w:tc>
        <w:tc>
          <w:tcPr>
            <w:tcW w:w="1893" w:type="dxa"/>
            <w:tcBorders>
              <w:top w:val="single" w:sz="8" w:space="0" w:color="auto"/>
              <w:left w:val="nil"/>
              <w:bottom w:val="single" w:sz="8" w:space="0" w:color="auto"/>
              <w:right w:val="single" w:sz="8" w:space="0" w:color="auto"/>
            </w:tcBorders>
            <w:shd w:val="clear" w:color="auto" w:fill="auto"/>
            <w:vAlign w:val="center"/>
            <w:hideMark/>
          </w:tcPr>
          <w:p w14:paraId="7A9637F1" w14:textId="77777777" w:rsidR="00C130F0" w:rsidRPr="00C130F0" w:rsidRDefault="00C130F0" w:rsidP="00C130F0">
            <w:pPr>
              <w:rPr>
                <w:rFonts w:ascii="Arial Narrow" w:eastAsia="Times New Roman" w:hAnsi="Arial Narrow" w:cs="Calibri"/>
                <w:b/>
                <w:bCs/>
                <w:color w:val="000000"/>
                <w:sz w:val="22"/>
                <w:szCs w:val="22"/>
                <w:lang w:val="es-CR"/>
              </w:rPr>
            </w:pPr>
            <w:r w:rsidRPr="00C130F0">
              <w:rPr>
                <w:rFonts w:ascii="Arial Narrow" w:eastAsia="Times New Roman" w:hAnsi="Arial Narrow" w:cs="Calibri"/>
                <w:b/>
                <w:bCs/>
                <w:color w:val="000000"/>
                <w:sz w:val="22"/>
                <w:szCs w:val="22"/>
                <w:lang w:val="es-CR"/>
              </w:rPr>
              <w:t>DGCN</w:t>
            </w:r>
            <w:r w:rsidRPr="00C130F0">
              <w:rPr>
                <w:rFonts w:ascii="Arial Narrow" w:eastAsia="Times New Roman" w:hAnsi="Arial Narrow" w:cs="Calibri"/>
                <w:b/>
                <w:bCs/>
                <w:color w:val="000000"/>
                <w:sz w:val="22"/>
                <w:szCs w:val="22"/>
                <w:lang w:val="es-CR"/>
              </w:rPr>
              <w:br/>
              <w:t>NICSP N° 20</w:t>
            </w:r>
            <w:r w:rsidRPr="00C130F0">
              <w:rPr>
                <w:rFonts w:ascii="Arial Narrow" w:eastAsia="Times New Roman" w:hAnsi="Arial Narrow" w:cs="Calibri"/>
                <w:b/>
                <w:bCs/>
                <w:color w:val="000000"/>
                <w:sz w:val="22"/>
                <w:szCs w:val="22"/>
                <w:lang w:val="es-CR"/>
              </w:rPr>
              <w:br/>
              <w:t>NICSP Nº1</w:t>
            </w:r>
          </w:p>
        </w:tc>
      </w:tr>
    </w:tbl>
    <w:p w14:paraId="1B6D277A" w14:textId="77777777" w:rsidR="00C130F0" w:rsidRDefault="00C130F0" w:rsidP="00C130F0">
      <w:pPr>
        <w:pStyle w:val="Default"/>
        <w:jc w:val="both"/>
        <w:rPr>
          <w:sz w:val="22"/>
          <w:szCs w:val="22"/>
          <w:lang w:val="es-CR"/>
        </w:rPr>
      </w:pPr>
    </w:p>
    <w:p w14:paraId="2703F8C4" w14:textId="7467EF31" w:rsidR="00FD48A0" w:rsidRPr="0030399E" w:rsidRDefault="00FD48A0" w:rsidP="00C130F0">
      <w:pPr>
        <w:pStyle w:val="Default"/>
        <w:jc w:val="both"/>
        <w:rPr>
          <w:rFonts w:eastAsia="Arial"/>
          <w:b/>
          <w:sz w:val="22"/>
          <w:szCs w:val="22"/>
          <w:lang w:val="es-CR"/>
        </w:rPr>
      </w:pPr>
      <w:r w:rsidRPr="0030399E">
        <w:rPr>
          <w:rFonts w:eastAsia="Arial"/>
          <w:b/>
          <w:sz w:val="22"/>
          <w:szCs w:val="22"/>
          <w:lang w:val="es-CR"/>
        </w:rPr>
        <w:t>Política Contable</w:t>
      </w:r>
    </w:p>
    <w:p w14:paraId="45B60EF0" w14:textId="77777777" w:rsidR="00FD48A0" w:rsidRDefault="00FD48A0" w:rsidP="00C130F0">
      <w:pPr>
        <w:pStyle w:val="Default"/>
        <w:jc w:val="both"/>
        <w:rPr>
          <w:sz w:val="22"/>
          <w:szCs w:val="22"/>
          <w:lang w:val="es-CR"/>
        </w:rPr>
      </w:pPr>
    </w:p>
    <w:p w14:paraId="3716E1DD" w14:textId="396A1A8D" w:rsidR="00C130F0" w:rsidRPr="009F19ED" w:rsidRDefault="00C130F0" w:rsidP="00C130F0">
      <w:pPr>
        <w:pStyle w:val="Default"/>
        <w:ind w:left="1134" w:hanging="1134"/>
        <w:jc w:val="both"/>
        <w:rPr>
          <w:sz w:val="22"/>
          <w:szCs w:val="22"/>
          <w:lang w:val="es-CR"/>
        </w:rPr>
      </w:pPr>
      <w:r w:rsidRPr="009F19ED">
        <w:rPr>
          <w:sz w:val="22"/>
          <w:szCs w:val="22"/>
          <w:lang w:val="es-CR"/>
        </w:rPr>
        <w:t>2.71.0.01</w:t>
      </w:r>
      <w:r w:rsidRPr="009F19ED">
        <w:rPr>
          <w:sz w:val="22"/>
          <w:szCs w:val="22"/>
          <w:lang w:val="es-CR"/>
        </w:rPr>
        <w:tab/>
        <w:t>Deberá revelarse la siguiente información en los EEFF:</w:t>
      </w:r>
    </w:p>
    <w:p w14:paraId="3BC20103" w14:textId="77777777" w:rsidR="00C130F0" w:rsidRPr="009F19ED" w:rsidRDefault="00C130F0" w:rsidP="00C130F0">
      <w:pPr>
        <w:pStyle w:val="Default"/>
        <w:jc w:val="both"/>
        <w:rPr>
          <w:sz w:val="22"/>
          <w:szCs w:val="22"/>
          <w:lang w:val="es-CR"/>
        </w:rPr>
      </w:pPr>
    </w:p>
    <w:p w14:paraId="21B1F644" w14:textId="6BC00ADD" w:rsidR="00C130F0" w:rsidRPr="009F19ED" w:rsidRDefault="00C130F0">
      <w:pPr>
        <w:pStyle w:val="Default"/>
        <w:numPr>
          <w:ilvl w:val="0"/>
          <w:numId w:val="176"/>
        </w:numPr>
        <w:spacing w:after="120"/>
        <w:ind w:left="1417" w:hanging="357"/>
        <w:jc w:val="both"/>
        <w:rPr>
          <w:color w:val="auto"/>
          <w:sz w:val="22"/>
          <w:szCs w:val="22"/>
          <w:lang w:val="es-CR"/>
        </w:rPr>
      </w:pPr>
      <w:r w:rsidRPr="009F19ED">
        <w:rPr>
          <w:color w:val="auto"/>
          <w:sz w:val="22"/>
          <w:szCs w:val="22"/>
          <w:lang w:val="es-CR"/>
        </w:rPr>
        <w:t xml:space="preserve">Las obligaciones acumuladas en el ESF, desagregadas por naturaleza, y los gastos reconocidos en el ERF; </w:t>
      </w:r>
    </w:p>
    <w:p w14:paraId="43414B18" w14:textId="7D524C08" w:rsidR="00C130F0" w:rsidRPr="009F19ED" w:rsidRDefault="00C130F0">
      <w:pPr>
        <w:pStyle w:val="Default"/>
        <w:numPr>
          <w:ilvl w:val="0"/>
          <w:numId w:val="176"/>
        </w:numPr>
        <w:spacing w:after="120"/>
        <w:ind w:left="1417" w:hanging="283"/>
        <w:jc w:val="both"/>
        <w:rPr>
          <w:color w:val="auto"/>
          <w:sz w:val="22"/>
          <w:szCs w:val="22"/>
          <w:lang w:val="es-CR"/>
        </w:rPr>
      </w:pPr>
      <w:r w:rsidRPr="009F19ED">
        <w:rPr>
          <w:color w:val="auto"/>
          <w:sz w:val="22"/>
          <w:szCs w:val="22"/>
          <w:lang w:val="es-CR"/>
        </w:rPr>
        <w:t xml:space="preserve">Los importes acumulados por ausencias remuneradas acumulativas a la fecha de cierre; </w:t>
      </w:r>
    </w:p>
    <w:p w14:paraId="3AEAC0FE" w14:textId="536E1CE8" w:rsidR="00C130F0" w:rsidRPr="009F19ED" w:rsidRDefault="00C130F0">
      <w:pPr>
        <w:pStyle w:val="Default"/>
        <w:numPr>
          <w:ilvl w:val="0"/>
          <w:numId w:val="176"/>
        </w:numPr>
        <w:spacing w:after="120"/>
        <w:ind w:left="1417" w:hanging="357"/>
        <w:jc w:val="both"/>
        <w:rPr>
          <w:color w:val="auto"/>
          <w:sz w:val="22"/>
          <w:szCs w:val="22"/>
          <w:lang w:val="es-CR"/>
        </w:rPr>
      </w:pPr>
      <w:r w:rsidRPr="009F19ED">
        <w:rPr>
          <w:color w:val="auto"/>
          <w:sz w:val="22"/>
          <w:szCs w:val="22"/>
          <w:lang w:val="es-CR"/>
        </w:rPr>
        <w:t xml:space="preserve">Las obligaciones acumuladas y los gastos reconocidos durante el ejercicio vinculados con el personal clave de la gerencia o dirección de la entidad; </w:t>
      </w:r>
    </w:p>
    <w:p w14:paraId="5AFAB1FB" w14:textId="3221B7CD" w:rsidR="00C130F0" w:rsidRPr="009F19ED" w:rsidRDefault="00C130F0">
      <w:pPr>
        <w:pStyle w:val="Default"/>
        <w:numPr>
          <w:ilvl w:val="0"/>
          <w:numId w:val="176"/>
        </w:numPr>
        <w:ind w:left="1418"/>
        <w:jc w:val="both"/>
        <w:rPr>
          <w:color w:val="auto"/>
          <w:sz w:val="22"/>
          <w:szCs w:val="22"/>
          <w:lang w:val="es-CR"/>
        </w:rPr>
      </w:pPr>
      <w:r w:rsidRPr="009F19ED">
        <w:rPr>
          <w:color w:val="auto"/>
          <w:sz w:val="22"/>
          <w:szCs w:val="22"/>
          <w:lang w:val="es-CR"/>
        </w:rPr>
        <w:t xml:space="preserve">Toda otra información que oportunamente, con carácter permanente o específico para un ejercicio en particular, requiera incluir la DGCN. </w:t>
      </w:r>
    </w:p>
    <w:p w14:paraId="6EEB5B20" w14:textId="77777777" w:rsidR="00C130F0" w:rsidRDefault="00C130F0" w:rsidP="00C130F0">
      <w:pPr>
        <w:pStyle w:val="Default"/>
        <w:jc w:val="both"/>
        <w:rPr>
          <w:sz w:val="22"/>
          <w:szCs w:val="22"/>
          <w:lang w:val="es-CR"/>
        </w:rPr>
      </w:pPr>
    </w:p>
    <w:p w14:paraId="495AAD2F" w14:textId="77777777" w:rsidR="00C130F0" w:rsidRDefault="00C130F0" w:rsidP="00C130F0">
      <w:pPr>
        <w:pStyle w:val="Default"/>
        <w:jc w:val="both"/>
        <w:rPr>
          <w:sz w:val="22"/>
          <w:szCs w:val="22"/>
          <w:lang w:val="es-CR"/>
        </w:rPr>
      </w:pPr>
    </w:p>
    <w:p w14:paraId="662D3286" w14:textId="77777777" w:rsidR="00FD48A0" w:rsidRDefault="00FD48A0" w:rsidP="00C130F0">
      <w:pPr>
        <w:pStyle w:val="Default"/>
        <w:jc w:val="both"/>
        <w:rPr>
          <w:sz w:val="22"/>
          <w:szCs w:val="22"/>
          <w:lang w:val="es-CR"/>
        </w:rPr>
      </w:pPr>
    </w:p>
    <w:tbl>
      <w:tblPr>
        <w:tblW w:w="9374" w:type="dxa"/>
        <w:tblLook w:val="04A0" w:firstRow="1" w:lastRow="0" w:firstColumn="1" w:lastColumn="0" w:noHBand="0" w:noVBand="1"/>
      </w:tblPr>
      <w:tblGrid>
        <w:gridCol w:w="636"/>
        <w:gridCol w:w="417"/>
        <w:gridCol w:w="610"/>
        <w:gridCol w:w="3572"/>
        <w:gridCol w:w="2248"/>
        <w:gridCol w:w="1891"/>
      </w:tblGrid>
      <w:tr w:rsidR="00C130F0" w:rsidRPr="00C130F0" w14:paraId="645B5041" w14:textId="77777777" w:rsidTr="00B1018E">
        <w:trPr>
          <w:trHeight w:val="320"/>
        </w:trPr>
        <w:tc>
          <w:tcPr>
            <w:tcW w:w="166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7BECC77" w14:textId="77777777" w:rsidR="00C130F0" w:rsidRPr="00C130F0" w:rsidRDefault="00C130F0" w:rsidP="00C130F0">
            <w:pPr>
              <w:jc w:val="center"/>
              <w:rPr>
                <w:rFonts w:ascii="Arial Narrow" w:eastAsia="Times New Roman" w:hAnsi="Arial Narrow" w:cs="Calibri"/>
                <w:b/>
                <w:bCs/>
                <w:color w:val="FFFFFF"/>
                <w:sz w:val="22"/>
                <w:szCs w:val="22"/>
              </w:rPr>
            </w:pPr>
            <w:r w:rsidRPr="00C130F0">
              <w:rPr>
                <w:rFonts w:ascii="Arial Narrow" w:eastAsia="Times New Roman" w:hAnsi="Arial Narrow" w:cs="Calibri"/>
                <w:b/>
                <w:bCs/>
                <w:color w:val="FFFFFF"/>
                <w:sz w:val="22"/>
                <w:szCs w:val="22"/>
              </w:rPr>
              <w:t>Norma / Política</w:t>
            </w:r>
          </w:p>
        </w:tc>
        <w:tc>
          <w:tcPr>
            <w:tcW w:w="357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B6AB60" w14:textId="77777777" w:rsidR="00C130F0" w:rsidRPr="00C130F0" w:rsidRDefault="00C130F0" w:rsidP="00C130F0">
            <w:pPr>
              <w:jc w:val="center"/>
              <w:rPr>
                <w:rFonts w:ascii="Arial Narrow" w:eastAsia="Times New Roman" w:hAnsi="Arial Narrow" w:cs="Calibri"/>
                <w:b/>
                <w:bCs/>
                <w:color w:val="FFFFFF"/>
                <w:sz w:val="22"/>
                <w:szCs w:val="22"/>
              </w:rPr>
            </w:pPr>
            <w:r w:rsidRPr="00C130F0">
              <w:rPr>
                <w:rFonts w:ascii="Arial Narrow" w:eastAsia="Times New Roman" w:hAnsi="Arial Narrow" w:cs="Calibri"/>
                <w:b/>
                <w:bCs/>
                <w:color w:val="FFFFFF"/>
                <w:sz w:val="22"/>
                <w:szCs w:val="22"/>
              </w:rPr>
              <w:t>Concepto</w:t>
            </w:r>
          </w:p>
        </w:tc>
        <w:tc>
          <w:tcPr>
            <w:tcW w:w="4139" w:type="dxa"/>
            <w:gridSpan w:val="2"/>
            <w:tcBorders>
              <w:top w:val="single" w:sz="8" w:space="0" w:color="auto"/>
              <w:left w:val="nil"/>
              <w:bottom w:val="single" w:sz="8" w:space="0" w:color="auto"/>
              <w:right w:val="single" w:sz="8" w:space="0" w:color="000000"/>
            </w:tcBorders>
            <w:shd w:val="clear" w:color="000000" w:fill="203764"/>
            <w:vAlign w:val="center"/>
            <w:hideMark/>
          </w:tcPr>
          <w:p w14:paraId="23D959EB" w14:textId="77777777" w:rsidR="00C130F0" w:rsidRPr="00C130F0" w:rsidRDefault="00C130F0" w:rsidP="00C130F0">
            <w:pPr>
              <w:jc w:val="center"/>
              <w:rPr>
                <w:rFonts w:ascii="Arial Narrow" w:eastAsia="Times New Roman" w:hAnsi="Arial Narrow" w:cs="Calibri"/>
                <w:b/>
                <w:bCs/>
                <w:color w:val="FFFFFF"/>
                <w:sz w:val="22"/>
                <w:szCs w:val="22"/>
              </w:rPr>
            </w:pPr>
            <w:r w:rsidRPr="00C130F0">
              <w:rPr>
                <w:rFonts w:ascii="Arial Narrow" w:eastAsia="Times New Roman" w:hAnsi="Arial Narrow" w:cs="Calibri"/>
                <w:b/>
                <w:bCs/>
                <w:color w:val="FFFFFF"/>
                <w:sz w:val="22"/>
                <w:szCs w:val="22"/>
              </w:rPr>
              <w:t>Referencia</w:t>
            </w:r>
          </w:p>
        </w:tc>
      </w:tr>
      <w:tr w:rsidR="00C130F0" w:rsidRPr="006E5442" w14:paraId="36B2A969" w14:textId="77777777" w:rsidTr="00B1018E">
        <w:trPr>
          <w:trHeight w:val="940"/>
        </w:trPr>
        <w:tc>
          <w:tcPr>
            <w:tcW w:w="1663" w:type="dxa"/>
            <w:gridSpan w:val="3"/>
            <w:vMerge/>
            <w:tcBorders>
              <w:top w:val="single" w:sz="8" w:space="0" w:color="auto"/>
              <w:left w:val="single" w:sz="8" w:space="0" w:color="auto"/>
              <w:bottom w:val="nil"/>
              <w:right w:val="single" w:sz="8" w:space="0" w:color="000000"/>
            </w:tcBorders>
            <w:vAlign w:val="center"/>
            <w:hideMark/>
          </w:tcPr>
          <w:p w14:paraId="1E22BD2F" w14:textId="77777777" w:rsidR="00C130F0" w:rsidRPr="00C130F0" w:rsidRDefault="00C130F0" w:rsidP="00C130F0">
            <w:pPr>
              <w:rPr>
                <w:rFonts w:ascii="Arial Narrow" w:eastAsia="Times New Roman" w:hAnsi="Arial Narrow" w:cs="Calibri"/>
                <w:b/>
                <w:bCs/>
                <w:color w:val="FFFFFF"/>
                <w:sz w:val="22"/>
                <w:szCs w:val="22"/>
              </w:rPr>
            </w:pPr>
          </w:p>
        </w:tc>
        <w:tc>
          <w:tcPr>
            <w:tcW w:w="3572" w:type="dxa"/>
            <w:vMerge/>
            <w:tcBorders>
              <w:top w:val="single" w:sz="8" w:space="0" w:color="auto"/>
              <w:left w:val="single" w:sz="8" w:space="0" w:color="auto"/>
              <w:bottom w:val="nil"/>
              <w:right w:val="single" w:sz="8" w:space="0" w:color="auto"/>
            </w:tcBorders>
            <w:vAlign w:val="center"/>
            <w:hideMark/>
          </w:tcPr>
          <w:p w14:paraId="35C0794F" w14:textId="77777777" w:rsidR="00C130F0" w:rsidRPr="00C130F0" w:rsidRDefault="00C130F0" w:rsidP="00C130F0">
            <w:pPr>
              <w:rPr>
                <w:rFonts w:ascii="Arial Narrow" w:eastAsia="Times New Roman" w:hAnsi="Arial Narrow" w:cs="Calibri"/>
                <w:b/>
                <w:bCs/>
                <w:color w:val="FFFFFF"/>
                <w:sz w:val="22"/>
                <w:szCs w:val="22"/>
              </w:rPr>
            </w:pPr>
          </w:p>
        </w:tc>
        <w:tc>
          <w:tcPr>
            <w:tcW w:w="2248" w:type="dxa"/>
            <w:tcBorders>
              <w:top w:val="nil"/>
              <w:left w:val="nil"/>
              <w:bottom w:val="nil"/>
              <w:right w:val="single" w:sz="8" w:space="0" w:color="auto"/>
            </w:tcBorders>
            <w:shd w:val="clear" w:color="000000" w:fill="203764"/>
            <w:vAlign w:val="center"/>
            <w:hideMark/>
          </w:tcPr>
          <w:p w14:paraId="33FA9F3F" w14:textId="77777777" w:rsidR="00C130F0" w:rsidRPr="00C130F0" w:rsidRDefault="00C130F0" w:rsidP="00C130F0">
            <w:pPr>
              <w:jc w:val="center"/>
              <w:rPr>
                <w:rFonts w:ascii="Arial Narrow" w:eastAsia="Times New Roman" w:hAnsi="Arial Narrow" w:cs="Calibri"/>
                <w:b/>
                <w:bCs/>
                <w:color w:val="FFFFFF"/>
                <w:sz w:val="22"/>
                <w:szCs w:val="22"/>
              </w:rPr>
            </w:pPr>
            <w:r w:rsidRPr="00C130F0">
              <w:rPr>
                <w:rFonts w:ascii="Arial Narrow" w:eastAsia="Times New Roman" w:hAnsi="Arial Narrow" w:cs="Calibri"/>
                <w:b/>
                <w:bCs/>
                <w:color w:val="FFFFFF"/>
                <w:sz w:val="22"/>
                <w:szCs w:val="22"/>
              </w:rPr>
              <w:t>Norma</w:t>
            </w:r>
          </w:p>
        </w:tc>
        <w:tc>
          <w:tcPr>
            <w:tcW w:w="1891" w:type="dxa"/>
            <w:tcBorders>
              <w:top w:val="nil"/>
              <w:left w:val="nil"/>
              <w:bottom w:val="nil"/>
              <w:right w:val="single" w:sz="8" w:space="0" w:color="auto"/>
            </w:tcBorders>
            <w:shd w:val="clear" w:color="000000" w:fill="203764"/>
            <w:vAlign w:val="center"/>
            <w:hideMark/>
          </w:tcPr>
          <w:p w14:paraId="30BBFBAB" w14:textId="77777777" w:rsidR="00C130F0" w:rsidRPr="00C130F0" w:rsidRDefault="00C130F0" w:rsidP="00C130F0">
            <w:pPr>
              <w:jc w:val="center"/>
              <w:rPr>
                <w:rFonts w:ascii="Arial Narrow" w:eastAsia="Times New Roman" w:hAnsi="Arial Narrow" w:cs="Calibri"/>
                <w:b/>
                <w:bCs/>
                <w:color w:val="FFFFFF"/>
                <w:sz w:val="22"/>
                <w:szCs w:val="22"/>
                <w:lang w:val="es-CR"/>
              </w:rPr>
            </w:pPr>
            <w:r w:rsidRPr="00C130F0">
              <w:rPr>
                <w:rFonts w:ascii="Arial Narrow" w:eastAsia="Times New Roman" w:hAnsi="Arial Narrow" w:cs="Calibri"/>
                <w:b/>
                <w:bCs/>
                <w:color w:val="FFFFFF"/>
                <w:sz w:val="22"/>
                <w:szCs w:val="22"/>
                <w:lang w:val="es-CR"/>
              </w:rPr>
              <w:t>Normativa técnica y disposiciones adicionales</w:t>
            </w:r>
          </w:p>
        </w:tc>
      </w:tr>
      <w:tr w:rsidR="00C130F0" w:rsidRPr="00C130F0" w14:paraId="22BDB85E" w14:textId="77777777" w:rsidTr="00B1018E">
        <w:trPr>
          <w:trHeight w:val="630"/>
        </w:trPr>
        <w:tc>
          <w:tcPr>
            <w:tcW w:w="6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19F642" w14:textId="77777777" w:rsidR="00C130F0" w:rsidRPr="00C130F0" w:rsidRDefault="00C130F0" w:rsidP="00C130F0">
            <w:pPr>
              <w:jc w:val="center"/>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22094F5E" w14:textId="77777777" w:rsidR="00C130F0" w:rsidRPr="00C130F0" w:rsidRDefault="00C130F0" w:rsidP="00C130F0">
            <w:pPr>
              <w:jc w:val="center"/>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72</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5A3699B2" w14:textId="7CEEC471" w:rsidR="00C130F0" w:rsidRPr="00C130F0" w:rsidRDefault="00C130F0" w:rsidP="00C130F0">
            <w:pPr>
              <w:jc w:val="center"/>
              <w:rPr>
                <w:rFonts w:ascii="Arial Narrow" w:eastAsia="Times New Roman" w:hAnsi="Arial Narrow" w:cs="Calibri"/>
                <w:b/>
                <w:bCs/>
                <w:color w:val="000000"/>
                <w:sz w:val="22"/>
                <w:szCs w:val="22"/>
              </w:rPr>
            </w:pPr>
          </w:p>
        </w:tc>
        <w:tc>
          <w:tcPr>
            <w:tcW w:w="3572" w:type="dxa"/>
            <w:tcBorders>
              <w:top w:val="single" w:sz="8" w:space="0" w:color="auto"/>
              <w:left w:val="nil"/>
              <w:bottom w:val="single" w:sz="8" w:space="0" w:color="auto"/>
              <w:right w:val="single" w:sz="8" w:space="0" w:color="auto"/>
            </w:tcBorders>
            <w:shd w:val="clear" w:color="auto" w:fill="auto"/>
            <w:vAlign w:val="center"/>
            <w:hideMark/>
          </w:tcPr>
          <w:p w14:paraId="7BB3259D" w14:textId="77777777" w:rsidR="00C130F0" w:rsidRPr="00C130F0" w:rsidRDefault="00C130F0" w:rsidP="00C130F0">
            <w:pPr>
              <w:jc w:val="both"/>
              <w:rPr>
                <w:rFonts w:ascii="Arial Narrow" w:eastAsia="Times New Roman" w:hAnsi="Arial Narrow" w:cs="Calibri"/>
                <w:b/>
                <w:bCs/>
                <w:color w:val="000000"/>
                <w:sz w:val="22"/>
                <w:szCs w:val="22"/>
                <w:lang w:val="es-CR"/>
              </w:rPr>
            </w:pPr>
            <w:r w:rsidRPr="00C130F0">
              <w:rPr>
                <w:rFonts w:ascii="Arial Narrow" w:eastAsia="Times New Roman" w:hAnsi="Arial Narrow" w:cs="Calibri"/>
                <w:b/>
                <w:bCs/>
                <w:color w:val="000000"/>
                <w:sz w:val="22"/>
                <w:szCs w:val="22"/>
                <w:lang w:val="es-CR"/>
              </w:rPr>
              <w:t>Sobre planes de beneficios post-empleo de contribuciones definidas</w:t>
            </w:r>
          </w:p>
        </w:tc>
        <w:tc>
          <w:tcPr>
            <w:tcW w:w="2248" w:type="dxa"/>
            <w:tcBorders>
              <w:top w:val="single" w:sz="8" w:space="0" w:color="auto"/>
              <w:left w:val="nil"/>
              <w:bottom w:val="single" w:sz="8" w:space="0" w:color="auto"/>
              <w:right w:val="single" w:sz="8" w:space="0" w:color="auto"/>
            </w:tcBorders>
            <w:shd w:val="clear" w:color="auto" w:fill="auto"/>
            <w:vAlign w:val="center"/>
            <w:hideMark/>
          </w:tcPr>
          <w:p w14:paraId="10CE3CD8" w14:textId="77777777" w:rsidR="009F19ED" w:rsidRDefault="00C130F0" w:rsidP="00C130F0">
            <w:pPr>
              <w:jc w:val="both"/>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NICSP N° 39,</w:t>
            </w:r>
          </w:p>
          <w:p w14:paraId="22B70414" w14:textId="1A858F11" w:rsidR="00C130F0" w:rsidRPr="00C130F0" w:rsidRDefault="00C130F0" w:rsidP="00C130F0">
            <w:pPr>
              <w:jc w:val="both"/>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Párrafos 55 y 56.</w:t>
            </w:r>
          </w:p>
        </w:tc>
        <w:tc>
          <w:tcPr>
            <w:tcW w:w="1891" w:type="dxa"/>
            <w:tcBorders>
              <w:top w:val="single" w:sz="8" w:space="0" w:color="auto"/>
              <w:left w:val="nil"/>
              <w:bottom w:val="single" w:sz="8" w:space="0" w:color="auto"/>
              <w:right w:val="single" w:sz="8" w:space="0" w:color="auto"/>
            </w:tcBorders>
            <w:shd w:val="clear" w:color="auto" w:fill="auto"/>
            <w:vAlign w:val="center"/>
            <w:hideMark/>
          </w:tcPr>
          <w:p w14:paraId="62243979" w14:textId="77777777" w:rsidR="00C130F0" w:rsidRPr="00C130F0" w:rsidRDefault="00C130F0" w:rsidP="00C130F0">
            <w:pPr>
              <w:rPr>
                <w:rFonts w:ascii="Arial Narrow" w:eastAsia="Times New Roman" w:hAnsi="Arial Narrow" w:cs="Calibri"/>
                <w:b/>
                <w:bCs/>
                <w:color w:val="000000"/>
                <w:sz w:val="22"/>
                <w:szCs w:val="22"/>
              </w:rPr>
            </w:pPr>
            <w:r w:rsidRPr="00C130F0">
              <w:rPr>
                <w:rFonts w:ascii="Arial Narrow" w:eastAsia="Times New Roman" w:hAnsi="Arial Narrow" w:cs="Calibri"/>
                <w:b/>
                <w:bCs/>
                <w:color w:val="000000"/>
                <w:sz w:val="22"/>
                <w:szCs w:val="22"/>
              </w:rPr>
              <w:t>DGCN</w:t>
            </w:r>
            <w:r w:rsidRPr="00C130F0">
              <w:rPr>
                <w:rFonts w:ascii="Arial Narrow" w:eastAsia="Times New Roman" w:hAnsi="Arial Narrow" w:cs="Calibri"/>
                <w:b/>
                <w:bCs/>
                <w:color w:val="000000"/>
                <w:sz w:val="22"/>
                <w:szCs w:val="22"/>
              </w:rPr>
              <w:br/>
              <w:t>NICSP N° 20</w:t>
            </w:r>
          </w:p>
        </w:tc>
      </w:tr>
    </w:tbl>
    <w:p w14:paraId="7FCE06F7" w14:textId="77777777" w:rsidR="00C130F0" w:rsidRDefault="00C130F0" w:rsidP="00C130F0">
      <w:pPr>
        <w:pStyle w:val="Default"/>
        <w:jc w:val="both"/>
        <w:rPr>
          <w:sz w:val="22"/>
          <w:szCs w:val="22"/>
          <w:lang w:val="es-CR"/>
        </w:rPr>
      </w:pPr>
    </w:p>
    <w:p w14:paraId="443DD986" w14:textId="73A0CF86" w:rsidR="00FD48A0" w:rsidRDefault="00FD48A0" w:rsidP="00C130F0">
      <w:pPr>
        <w:pStyle w:val="Default"/>
        <w:jc w:val="both"/>
        <w:rPr>
          <w:rFonts w:eastAsia="Arial"/>
          <w:b/>
          <w:sz w:val="22"/>
          <w:szCs w:val="22"/>
        </w:rPr>
      </w:pPr>
      <w:r w:rsidRPr="00F02F9D">
        <w:rPr>
          <w:rFonts w:eastAsia="Arial"/>
          <w:b/>
          <w:sz w:val="22"/>
          <w:szCs w:val="22"/>
        </w:rPr>
        <w:t>Política Contable</w:t>
      </w:r>
    </w:p>
    <w:p w14:paraId="4FBA06FE" w14:textId="77777777" w:rsidR="00FD48A0" w:rsidRDefault="00FD48A0" w:rsidP="00C130F0">
      <w:pPr>
        <w:pStyle w:val="Default"/>
        <w:jc w:val="both"/>
        <w:rPr>
          <w:sz w:val="22"/>
          <w:szCs w:val="22"/>
          <w:lang w:val="es-CR"/>
        </w:rPr>
      </w:pPr>
    </w:p>
    <w:p w14:paraId="009993B0" w14:textId="57FD0196" w:rsidR="00C25ADE" w:rsidRPr="009F19ED" w:rsidRDefault="00C25ADE" w:rsidP="00C25ADE">
      <w:pPr>
        <w:pStyle w:val="Default"/>
        <w:ind w:left="1134" w:hanging="1134"/>
        <w:rPr>
          <w:sz w:val="22"/>
          <w:szCs w:val="22"/>
          <w:lang w:val="es-CR"/>
        </w:rPr>
      </w:pPr>
      <w:r w:rsidRPr="009F19ED">
        <w:rPr>
          <w:sz w:val="22"/>
          <w:szCs w:val="22"/>
          <w:lang w:val="es-CR"/>
        </w:rPr>
        <w:t>2.72.0.01</w:t>
      </w:r>
      <w:r w:rsidRPr="009F19ED">
        <w:rPr>
          <w:sz w:val="22"/>
          <w:szCs w:val="22"/>
          <w:lang w:val="es-CR"/>
        </w:rPr>
        <w:tab/>
      </w:r>
      <w:r w:rsidR="00C130F0" w:rsidRPr="009F19ED">
        <w:rPr>
          <w:sz w:val="22"/>
          <w:szCs w:val="22"/>
          <w:lang w:val="es-CR"/>
        </w:rPr>
        <w:t>Deberá revelarse la siguiente información en los EEFF:</w:t>
      </w:r>
    </w:p>
    <w:p w14:paraId="06526764" w14:textId="33D1543E" w:rsidR="00C130F0" w:rsidRPr="009F19ED" w:rsidRDefault="00C130F0" w:rsidP="00C130F0">
      <w:pPr>
        <w:pStyle w:val="Default"/>
        <w:rPr>
          <w:sz w:val="22"/>
          <w:szCs w:val="22"/>
          <w:lang w:val="es-CR"/>
        </w:rPr>
      </w:pPr>
      <w:r w:rsidRPr="009F19ED">
        <w:rPr>
          <w:sz w:val="22"/>
          <w:szCs w:val="22"/>
          <w:lang w:val="es-CR"/>
        </w:rPr>
        <w:t xml:space="preserve"> </w:t>
      </w:r>
    </w:p>
    <w:p w14:paraId="22551BEE" w14:textId="5CA0837A" w:rsidR="00C130F0" w:rsidRPr="009F19ED" w:rsidRDefault="00C130F0">
      <w:pPr>
        <w:pStyle w:val="Default"/>
        <w:numPr>
          <w:ilvl w:val="0"/>
          <w:numId w:val="177"/>
        </w:numPr>
        <w:spacing w:after="120"/>
        <w:ind w:left="1418" w:hanging="284"/>
        <w:jc w:val="both"/>
        <w:rPr>
          <w:sz w:val="22"/>
          <w:szCs w:val="22"/>
          <w:lang w:val="es-CR"/>
        </w:rPr>
      </w:pPr>
      <w:r w:rsidRPr="009F19ED">
        <w:rPr>
          <w:sz w:val="22"/>
          <w:szCs w:val="22"/>
          <w:lang w:val="es-CR"/>
        </w:rPr>
        <w:t xml:space="preserve">Las obligaciones acumuladas en el ESF, desagregadas por naturaleza, y los gastos reconocidos en el ERF; </w:t>
      </w:r>
    </w:p>
    <w:p w14:paraId="361D4092" w14:textId="447E59A3" w:rsidR="00C130F0" w:rsidRPr="009F19ED" w:rsidRDefault="00C130F0">
      <w:pPr>
        <w:pStyle w:val="Default"/>
        <w:numPr>
          <w:ilvl w:val="0"/>
          <w:numId w:val="177"/>
        </w:numPr>
        <w:spacing w:after="120"/>
        <w:ind w:left="1418" w:hanging="284"/>
        <w:jc w:val="both"/>
        <w:rPr>
          <w:sz w:val="22"/>
          <w:szCs w:val="22"/>
          <w:lang w:val="es-CR"/>
        </w:rPr>
      </w:pPr>
      <w:r w:rsidRPr="009F19ED">
        <w:rPr>
          <w:sz w:val="22"/>
          <w:szCs w:val="22"/>
          <w:lang w:val="es-CR"/>
        </w:rPr>
        <w:t xml:space="preserve">Las obligaciones acumuladas y los gastos reconocidos durante el ejercicio vinculados con el personal clave de la gerencia o dirección de la entidad; </w:t>
      </w:r>
    </w:p>
    <w:p w14:paraId="1B42E2FB" w14:textId="286DFA70" w:rsidR="00C130F0" w:rsidRPr="009F19ED" w:rsidRDefault="00C130F0">
      <w:pPr>
        <w:pStyle w:val="Default"/>
        <w:numPr>
          <w:ilvl w:val="0"/>
          <w:numId w:val="177"/>
        </w:numPr>
        <w:ind w:left="1418" w:hanging="284"/>
        <w:jc w:val="both"/>
        <w:rPr>
          <w:sz w:val="22"/>
          <w:szCs w:val="22"/>
          <w:lang w:val="es-CR"/>
        </w:rPr>
      </w:pPr>
      <w:r w:rsidRPr="009F19ED">
        <w:rPr>
          <w:sz w:val="22"/>
          <w:szCs w:val="22"/>
          <w:lang w:val="es-CR"/>
        </w:rPr>
        <w:t xml:space="preserve">Toda otra información que oportunamente, con carácter permanente o específico para un ejercicio en particular, requiera incluir la DGCN. </w:t>
      </w:r>
    </w:p>
    <w:p w14:paraId="3216E2B4" w14:textId="77777777" w:rsidR="00C130F0" w:rsidRDefault="00C130F0" w:rsidP="00C130F0">
      <w:pPr>
        <w:pStyle w:val="Default"/>
        <w:jc w:val="both"/>
        <w:rPr>
          <w:sz w:val="22"/>
          <w:szCs w:val="22"/>
          <w:lang w:val="es-CR"/>
        </w:rPr>
      </w:pPr>
    </w:p>
    <w:p w14:paraId="715F89E3" w14:textId="77777777" w:rsidR="009F19ED" w:rsidRDefault="009F19ED" w:rsidP="00C130F0">
      <w:pPr>
        <w:pStyle w:val="Default"/>
        <w:jc w:val="both"/>
        <w:rPr>
          <w:sz w:val="22"/>
          <w:szCs w:val="22"/>
          <w:lang w:val="es-CR"/>
        </w:rPr>
      </w:pPr>
    </w:p>
    <w:p w14:paraId="38F4B721" w14:textId="77777777" w:rsidR="009F19ED" w:rsidRDefault="009F19ED" w:rsidP="00C130F0">
      <w:pPr>
        <w:pStyle w:val="Default"/>
        <w:jc w:val="both"/>
        <w:rPr>
          <w:sz w:val="22"/>
          <w:szCs w:val="22"/>
          <w:lang w:val="es-CR"/>
        </w:rPr>
      </w:pPr>
    </w:p>
    <w:p w14:paraId="7D7D6D4B" w14:textId="77777777" w:rsidR="009F19ED" w:rsidRDefault="009F19ED" w:rsidP="00C130F0">
      <w:pPr>
        <w:pStyle w:val="Default"/>
        <w:jc w:val="both"/>
        <w:rPr>
          <w:sz w:val="22"/>
          <w:szCs w:val="22"/>
          <w:lang w:val="es-CR"/>
        </w:rPr>
      </w:pPr>
    </w:p>
    <w:p w14:paraId="7E4FDE25" w14:textId="77777777" w:rsidR="009F19ED" w:rsidRDefault="009F19ED" w:rsidP="00C130F0">
      <w:pPr>
        <w:pStyle w:val="Default"/>
        <w:jc w:val="both"/>
        <w:rPr>
          <w:sz w:val="22"/>
          <w:szCs w:val="22"/>
          <w:lang w:val="es-CR"/>
        </w:rPr>
      </w:pPr>
    </w:p>
    <w:p w14:paraId="750B90AF" w14:textId="77777777" w:rsidR="009F19ED" w:rsidRDefault="009F19ED" w:rsidP="00C130F0">
      <w:pPr>
        <w:pStyle w:val="Default"/>
        <w:jc w:val="both"/>
        <w:rPr>
          <w:sz w:val="22"/>
          <w:szCs w:val="22"/>
          <w:lang w:val="es-CR"/>
        </w:rPr>
      </w:pPr>
    </w:p>
    <w:p w14:paraId="07D8D28F" w14:textId="77777777" w:rsidR="009F19ED" w:rsidRDefault="009F19ED" w:rsidP="00C130F0">
      <w:pPr>
        <w:pStyle w:val="Default"/>
        <w:jc w:val="both"/>
        <w:rPr>
          <w:sz w:val="22"/>
          <w:szCs w:val="22"/>
          <w:lang w:val="es-CR"/>
        </w:rPr>
      </w:pPr>
    </w:p>
    <w:tbl>
      <w:tblPr>
        <w:tblW w:w="9472" w:type="dxa"/>
        <w:tblLook w:val="04A0" w:firstRow="1" w:lastRow="0" w:firstColumn="1" w:lastColumn="0" w:noHBand="0" w:noVBand="1"/>
      </w:tblPr>
      <w:tblGrid>
        <w:gridCol w:w="636"/>
        <w:gridCol w:w="417"/>
        <w:gridCol w:w="610"/>
        <w:gridCol w:w="3572"/>
        <w:gridCol w:w="2151"/>
        <w:gridCol w:w="2086"/>
      </w:tblGrid>
      <w:tr w:rsidR="00C25ADE" w:rsidRPr="00C25ADE" w14:paraId="59856ADC" w14:textId="77777777" w:rsidTr="00B1018E">
        <w:trPr>
          <w:trHeight w:val="320"/>
        </w:trPr>
        <w:tc>
          <w:tcPr>
            <w:tcW w:w="166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2115AC4" w14:textId="77777777" w:rsidR="00C25ADE" w:rsidRPr="00C25ADE" w:rsidRDefault="00C25ADE" w:rsidP="00C25ADE">
            <w:pPr>
              <w:jc w:val="center"/>
              <w:rPr>
                <w:rFonts w:ascii="Arial Narrow" w:eastAsia="Times New Roman" w:hAnsi="Arial Narrow" w:cs="Calibri"/>
                <w:b/>
                <w:bCs/>
                <w:color w:val="FFFFFF"/>
                <w:sz w:val="22"/>
                <w:szCs w:val="22"/>
              </w:rPr>
            </w:pPr>
            <w:r w:rsidRPr="00C25ADE">
              <w:rPr>
                <w:rFonts w:ascii="Arial Narrow" w:eastAsia="Times New Roman" w:hAnsi="Arial Narrow" w:cs="Calibri"/>
                <w:b/>
                <w:bCs/>
                <w:color w:val="FFFFFF"/>
                <w:sz w:val="22"/>
                <w:szCs w:val="22"/>
              </w:rPr>
              <w:lastRenderedPageBreak/>
              <w:t>Norma / Política</w:t>
            </w:r>
          </w:p>
        </w:tc>
        <w:tc>
          <w:tcPr>
            <w:tcW w:w="357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ED3BCE3" w14:textId="77777777" w:rsidR="00C25ADE" w:rsidRPr="00C25ADE" w:rsidRDefault="00C25ADE" w:rsidP="00C25ADE">
            <w:pPr>
              <w:jc w:val="center"/>
              <w:rPr>
                <w:rFonts w:ascii="Arial Narrow" w:eastAsia="Times New Roman" w:hAnsi="Arial Narrow" w:cs="Calibri"/>
                <w:b/>
                <w:bCs/>
                <w:color w:val="FFFFFF"/>
                <w:sz w:val="22"/>
                <w:szCs w:val="22"/>
              </w:rPr>
            </w:pPr>
            <w:r w:rsidRPr="00C25ADE">
              <w:rPr>
                <w:rFonts w:ascii="Arial Narrow" w:eastAsia="Times New Roman" w:hAnsi="Arial Narrow" w:cs="Calibri"/>
                <w:b/>
                <w:bCs/>
                <w:color w:val="FFFFFF"/>
                <w:sz w:val="22"/>
                <w:szCs w:val="22"/>
              </w:rPr>
              <w:t>Concepto</w:t>
            </w:r>
          </w:p>
        </w:tc>
        <w:tc>
          <w:tcPr>
            <w:tcW w:w="4237" w:type="dxa"/>
            <w:gridSpan w:val="2"/>
            <w:tcBorders>
              <w:top w:val="single" w:sz="8" w:space="0" w:color="auto"/>
              <w:left w:val="nil"/>
              <w:bottom w:val="single" w:sz="8" w:space="0" w:color="auto"/>
              <w:right w:val="single" w:sz="8" w:space="0" w:color="000000"/>
            </w:tcBorders>
            <w:shd w:val="clear" w:color="000000" w:fill="203764"/>
            <w:vAlign w:val="center"/>
            <w:hideMark/>
          </w:tcPr>
          <w:p w14:paraId="5C022655" w14:textId="77777777" w:rsidR="00C25ADE" w:rsidRPr="00C25ADE" w:rsidRDefault="00C25ADE" w:rsidP="00C25ADE">
            <w:pPr>
              <w:jc w:val="center"/>
              <w:rPr>
                <w:rFonts w:ascii="Arial Narrow" w:eastAsia="Times New Roman" w:hAnsi="Arial Narrow" w:cs="Calibri"/>
                <w:b/>
                <w:bCs/>
                <w:color w:val="FFFFFF"/>
                <w:sz w:val="22"/>
                <w:szCs w:val="22"/>
              </w:rPr>
            </w:pPr>
            <w:r w:rsidRPr="00C25ADE">
              <w:rPr>
                <w:rFonts w:ascii="Arial Narrow" w:eastAsia="Times New Roman" w:hAnsi="Arial Narrow" w:cs="Calibri"/>
                <w:b/>
                <w:bCs/>
                <w:color w:val="FFFFFF"/>
                <w:sz w:val="22"/>
                <w:szCs w:val="22"/>
              </w:rPr>
              <w:t>Referencia</w:t>
            </w:r>
          </w:p>
        </w:tc>
      </w:tr>
      <w:tr w:rsidR="00C25ADE" w:rsidRPr="006E5442" w14:paraId="7FE92BB7" w14:textId="77777777" w:rsidTr="00B1018E">
        <w:trPr>
          <w:trHeight w:val="940"/>
        </w:trPr>
        <w:tc>
          <w:tcPr>
            <w:tcW w:w="1663" w:type="dxa"/>
            <w:gridSpan w:val="3"/>
            <w:vMerge/>
            <w:tcBorders>
              <w:top w:val="single" w:sz="8" w:space="0" w:color="auto"/>
              <w:left w:val="single" w:sz="8" w:space="0" w:color="auto"/>
              <w:bottom w:val="nil"/>
              <w:right w:val="single" w:sz="8" w:space="0" w:color="000000"/>
            </w:tcBorders>
            <w:vAlign w:val="center"/>
            <w:hideMark/>
          </w:tcPr>
          <w:p w14:paraId="6E616DE9" w14:textId="77777777" w:rsidR="00C25ADE" w:rsidRPr="00C25ADE" w:rsidRDefault="00C25ADE" w:rsidP="00C25ADE">
            <w:pPr>
              <w:rPr>
                <w:rFonts w:ascii="Arial Narrow" w:eastAsia="Times New Roman" w:hAnsi="Arial Narrow" w:cs="Calibri"/>
                <w:b/>
                <w:bCs/>
                <w:color w:val="FFFFFF"/>
                <w:sz w:val="22"/>
                <w:szCs w:val="22"/>
              </w:rPr>
            </w:pPr>
          </w:p>
        </w:tc>
        <w:tc>
          <w:tcPr>
            <w:tcW w:w="3572" w:type="dxa"/>
            <w:vMerge/>
            <w:tcBorders>
              <w:top w:val="single" w:sz="8" w:space="0" w:color="auto"/>
              <w:left w:val="single" w:sz="8" w:space="0" w:color="auto"/>
              <w:bottom w:val="nil"/>
              <w:right w:val="single" w:sz="8" w:space="0" w:color="auto"/>
            </w:tcBorders>
            <w:vAlign w:val="center"/>
            <w:hideMark/>
          </w:tcPr>
          <w:p w14:paraId="2AC26461" w14:textId="77777777" w:rsidR="00C25ADE" w:rsidRPr="00C25ADE" w:rsidRDefault="00C25ADE" w:rsidP="00C25ADE">
            <w:pPr>
              <w:rPr>
                <w:rFonts w:ascii="Arial Narrow" w:eastAsia="Times New Roman" w:hAnsi="Arial Narrow" w:cs="Calibri"/>
                <w:b/>
                <w:bCs/>
                <w:color w:val="FFFFFF"/>
                <w:sz w:val="22"/>
                <w:szCs w:val="22"/>
              </w:rPr>
            </w:pPr>
          </w:p>
        </w:tc>
        <w:tc>
          <w:tcPr>
            <w:tcW w:w="2151" w:type="dxa"/>
            <w:tcBorders>
              <w:top w:val="nil"/>
              <w:left w:val="nil"/>
              <w:bottom w:val="nil"/>
              <w:right w:val="single" w:sz="8" w:space="0" w:color="auto"/>
            </w:tcBorders>
            <w:shd w:val="clear" w:color="000000" w:fill="203764"/>
            <w:vAlign w:val="center"/>
            <w:hideMark/>
          </w:tcPr>
          <w:p w14:paraId="7E91A3E4" w14:textId="77777777" w:rsidR="00C25ADE" w:rsidRPr="00C25ADE" w:rsidRDefault="00C25ADE" w:rsidP="00C25ADE">
            <w:pPr>
              <w:jc w:val="center"/>
              <w:rPr>
                <w:rFonts w:ascii="Arial Narrow" w:eastAsia="Times New Roman" w:hAnsi="Arial Narrow" w:cs="Calibri"/>
                <w:b/>
                <w:bCs/>
                <w:color w:val="FFFFFF"/>
                <w:sz w:val="22"/>
                <w:szCs w:val="22"/>
              </w:rPr>
            </w:pPr>
            <w:r w:rsidRPr="00C25ADE">
              <w:rPr>
                <w:rFonts w:ascii="Arial Narrow" w:eastAsia="Times New Roman" w:hAnsi="Arial Narrow" w:cs="Calibri"/>
                <w:b/>
                <w:bCs/>
                <w:color w:val="FFFFFF"/>
                <w:sz w:val="22"/>
                <w:szCs w:val="22"/>
              </w:rPr>
              <w:t>Norma</w:t>
            </w:r>
          </w:p>
        </w:tc>
        <w:tc>
          <w:tcPr>
            <w:tcW w:w="2086" w:type="dxa"/>
            <w:tcBorders>
              <w:top w:val="nil"/>
              <w:left w:val="nil"/>
              <w:bottom w:val="nil"/>
              <w:right w:val="single" w:sz="8" w:space="0" w:color="auto"/>
            </w:tcBorders>
            <w:shd w:val="clear" w:color="000000" w:fill="203764"/>
            <w:vAlign w:val="center"/>
            <w:hideMark/>
          </w:tcPr>
          <w:p w14:paraId="34496D0C" w14:textId="77777777" w:rsidR="00C25ADE" w:rsidRPr="00C25ADE" w:rsidRDefault="00C25ADE" w:rsidP="00C25ADE">
            <w:pPr>
              <w:jc w:val="center"/>
              <w:rPr>
                <w:rFonts w:ascii="Arial Narrow" w:eastAsia="Times New Roman" w:hAnsi="Arial Narrow" w:cs="Calibri"/>
                <w:b/>
                <w:bCs/>
                <w:color w:val="FFFFFF"/>
                <w:sz w:val="22"/>
                <w:szCs w:val="22"/>
                <w:lang w:val="es-CR"/>
              </w:rPr>
            </w:pPr>
            <w:r w:rsidRPr="00C25ADE">
              <w:rPr>
                <w:rFonts w:ascii="Arial Narrow" w:eastAsia="Times New Roman" w:hAnsi="Arial Narrow" w:cs="Calibri"/>
                <w:b/>
                <w:bCs/>
                <w:color w:val="FFFFFF"/>
                <w:sz w:val="22"/>
                <w:szCs w:val="22"/>
                <w:lang w:val="es-CR"/>
              </w:rPr>
              <w:t>Normativa técnica y disposiciones adicionales</w:t>
            </w:r>
          </w:p>
        </w:tc>
      </w:tr>
      <w:tr w:rsidR="00C25ADE" w:rsidRPr="006E5442" w14:paraId="6BF3FF78" w14:textId="77777777" w:rsidTr="00B1018E">
        <w:trPr>
          <w:trHeight w:val="807"/>
        </w:trPr>
        <w:tc>
          <w:tcPr>
            <w:tcW w:w="6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3EFAD3" w14:textId="77777777" w:rsidR="00C25ADE" w:rsidRPr="00C25ADE" w:rsidRDefault="00C25ADE" w:rsidP="00C25ADE">
            <w:pPr>
              <w:jc w:val="center"/>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1E29477F" w14:textId="77777777" w:rsidR="00C25ADE" w:rsidRPr="00C25ADE" w:rsidRDefault="00C25ADE" w:rsidP="00C25ADE">
            <w:pPr>
              <w:jc w:val="center"/>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75</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30A89A9F" w14:textId="57BA9264" w:rsidR="00C25ADE" w:rsidRPr="00C25ADE" w:rsidRDefault="00C25ADE" w:rsidP="00C25ADE">
            <w:pPr>
              <w:jc w:val="center"/>
              <w:rPr>
                <w:rFonts w:ascii="Arial Narrow" w:eastAsia="Times New Roman" w:hAnsi="Arial Narrow" w:cs="Calibri"/>
                <w:b/>
                <w:bCs/>
                <w:color w:val="000000"/>
                <w:sz w:val="22"/>
                <w:szCs w:val="22"/>
              </w:rPr>
            </w:pPr>
          </w:p>
        </w:tc>
        <w:tc>
          <w:tcPr>
            <w:tcW w:w="3572" w:type="dxa"/>
            <w:tcBorders>
              <w:top w:val="single" w:sz="8" w:space="0" w:color="auto"/>
              <w:left w:val="nil"/>
              <w:bottom w:val="single" w:sz="8" w:space="0" w:color="auto"/>
              <w:right w:val="single" w:sz="8" w:space="0" w:color="auto"/>
            </w:tcBorders>
            <w:shd w:val="clear" w:color="auto" w:fill="auto"/>
            <w:vAlign w:val="center"/>
            <w:hideMark/>
          </w:tcPr>
          <w:p w14:paraId="4F40842D" w14:textId="77777777" w:rsidR="00C25ADE" w:rsidRPr="00C25ADE" w:rsidRDefault="00C25ADE" w:rsidP="00C25ADE">
            <w:pPr>
              <w:jc w:val="both"/>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Sobre indemnizaciones por cese</w:t>
            </w:r>
          </w:p>
        </w:tc>
        <w:tc>
          <w:tcPr>
            <w:tcW w:w="2151" w:type="dxa"/>
            <w:tcBorders>
              <w:top w:val="single" w:sz="8" w:space="0" w:color="auto"/>
              <w:left w:val="nil"/>
              <w:bottom w:val="single" w:sz="8" w:space="0" w:color="auto"/>
              <w:right w:val="single" w:sz="8" w:space="0" w:color="auto"/>
            </w:tcBorders>
            <w:shd w:val="clear" w:color="auto" w:fill="auto"/>
            <w:vAlign w:val="center"/>
            <w:hideMark/>
          </w:tcPr>
          <w:p w14:paraId="15F64C71" w14:textId="77777777" w:rsidR="009F19ED" w:rsidRDefault="00C25ADE" w:rsidP="00C25ADE">
            <w:pPr>
              <w:jc w:val="both"/>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NICSP N° 39,</w:t>
            </w:r>
          </w:p>
          <w:p w14:paraId="791B97F2" w14:textId="6620DE20" w:rsidR="00C25ADE" w:rsidRPr="00C25ADE" w:rsidRDefault="00C25ADE" w:rsidP="00C25ADE">
            <w:pPr>
              <w:jc w:val="both"/>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Párrafo 174.</w:t>
            </w:r>
          </w:p>
        </w:tc>
        <w:tc>
          <w:tcPr>
            <w:tcW w:w="2086" w:type="dxa"/>
            <w:tcBorders>
              <w:top w:val="single" w:sz="8" w:space="0" w:color="auto"/>
              <w:left w:val="nil"/>
              <w:bottom w:val="single" w:sz="8" w:space="0" w:color="auto"/>
              <w:right w:val="single" w:sz="8" w:space="0" w:color="auto"/>
            </w:tcBorders>
            <w:shd w:val="clear" w:color="auto" w:fill="auto"/>
            <w:vAlign w:val="center"/>
            <w:hideMark/>
          </w:tcPr>
          <w:p w14:paraId="32A12ACE" w14:textId="77777777" w:rsidR="00C25ADE" w:rsidRPr="00C25ADE" w:rsidRDefault="00C25ADE" w:rsidP="00C25ADE">
            <w:pPr>
              <w:rPr>
                <w:rFonts w:ascii="Arial Narrow" w:eastAsia="Times New Roman" w:hAnsi="Arial Narrow" w:cs="Calibri"/>
                <w:b/>
                <w:bCs/>
                <w:color w:val="000000"/>
                <w:sz w:val="22"/>
                <w:szCs w:val="22"/>
                <w:lang w:val="es-CR"/>
              </w:rPr>
            </w:pPr>
            <w:r w:rsidRPr="00C25ADE">
              <w:rPr>
                <w:rFonts w:ascii="Arial Narrow" w:eastAsia="Times New Roman" w:hAnsi="Arial Narrow" w:cs="Calibri"/>
                <w:b/>
                <w:bCs/>
                <w:color w:val="000000"/>
                <w:sz w:val="22"/>
                <w:szCs w:val="22"/>
                <w:lang w:val="es-CR"/>
              </w:rPr>
              <w:t>DGCN</w:t>
            </w:r>
            <w:r w:rsidRPr="00C25ADE">
              <w:rPr>
                <w:rFonts w:ascii="Arial Narrow" w:eastAsia="Times New Roman" w:hAnsi="Arial Narrow" w:cs="Calibri"/>
                <w:b/>
                <w:bCs/>
                <w:color w:val="000000"/>
                <w:sz w:val="22"/>
                <w:szCs w:val="22"/>
                <w:lang w:val="es-CR"/>
              </w:rPr>
              <w:br/>
              <w:t>NICSP N° 20</w:t>
            </w:r>
            <w:r w:rsidRPr="00C25ADE">
              <w:rPr>
                <w:rFonts w:ascii="Arial Narrow" w:eastAsia="Times New Roman" w:hAnsi="Arial Narrow" w:cs="Calibri"/>
                <w:b/>
                <w:bCs/>
                <w:color w:val="000000"/>
                <w:sz w:val="22"/>
                <w:szCs w:val="22"/>
                <w:lang w:val="es-CR"/>
              </w:rPr>
              <w:br/>
              <w:t>NICSP Nº 1</w:t>
            </w:r>
          </w:p>
        </w:tc>
      </w:tr>
    </w:tbl>
    <w:p w14:paraId="555F2951" w14:textId="77777777" w:rsidR="00C25ADE" w:rsidRDefault="00C25ADE" w:rsidP="00C130F0">
      <w:pPr>
        <w:pStyle w:val="Default"/>
        <w:jc w:val="both"/>
        <w:rPr>
          <w:sz w:val="22"/>
          <w:szCs w:val="22"/>
          <w:lang w:val="es-CR"/>
        </w:rPr>
      </w:pPr>
    </w:p>
    <w:p w14:paraId="528E176E" w14:textId="50373FC7" w:rsidR="00FD48A0" w:rsidRPr="0030399E" w:rsidRDefault="00FD48A0" w:rsidP="00C130F0">
      <w:pPr>
        <w:pStyle w:val="Default"/>
        <w:jc w:val="both"/>
        <w:rPr>
          <w:rFonts w:eastAsia="Arial"/>
          <w:b/>
          <w:sz w:val="22"/>
          <w:szCs w:val="22"/>
          <w:lang w:val="es-CR"/>
        </w:rPr>
      </w:pPr>
      <w:r w:rsidRPr="0030399E">
        <w:rPr>
          <w:rFonts w:eastAsia="Arial"/>
          <w:b/>
          <w:sz w:val="22"/>
          <w:szCs w:val="22"/>
          <w:lang w:val="es-CR"/>
        </w:rPr>
        <w:t>Política Contable</w:t>
      </w:r>
    </w:p>
    <w:p w14:paraId="574FC9F7" w14:textId="77777777" w:rsidR="00FD48A0" w:rsidRDefault="00FD48A0" w:rsidP="00C130F0">
      <w:pPr>
        <w:pStyle w:val="Default"/>
        <w:jc w:val="both"/>
        <w:rPr>
          <w:sz w:val="22"/>
          <w:szCs w:val="22"/>
          <w:lang w:val="es-CR"/>
        </w:rPr>
      </w:pPr>
    </w:p>
    <w:p w14:paraId="0A5A1E4B" w14:textId="32793021" w:rsidR="00C25ADE" w:rsidRDefault="00C25ADE" w:rsidP="009F19ED">
      <w:pPr>
        <w:pStyle w:val="Default"/>
        <w:ind w:left="1134" w:hanging="1134"/>
        <w:jc w:val="both"/>
        <w:rPr>
          <w:sz w:val="22"/>
          <w:szCs w:val="22"/>
          <w:lang w:val="es-CR"/>
        </w:rPr>
      </w:pPr>
      <w:r>
        <w:rPr>
          <w:sz w:val="22"/>
          <w:szCs w:val="22"/>
          <w:lang w:val="es-CR"/>
        </w:rPr>
        <w:t>2.75.0.01</w:t>
      </w:r>
      <w:r>
        <w:rPr>
          <w:sz w:val="22"/>
          <w:szCs w:val="22"/>
          <w:lang w:val="es-CR"/>
        </w:rPr>
        <w:tab/>
      </w:r>
      <w:r w:rsidRPr="00C25ADE">
        <w:rPr>
          <w:sz w:val="22"/>
          <w:szCs w:val="22"/>
          <w:lang w:val="es-CR"/>
        </w:rPr>
        <w:t>Deberá revelarse la siguiente información en los EEFF:</w:t>
      </w:r>
    </w:p>
    <w:p w14:paraId="67C4C86E" w14:textId="77777777" w:rsidR="00C25ADE" w:rsidRPr="00C25ADE" w:rsidRDefault="00C25ADE" w:rsidP="009F19ED">
      <w:pPr>
        <w:pStyle w:val="Default"/>
        <w:jc w:val="both"/>
        <w:rPr>
          <w:sz w:val="22"/>
          <w:szCs w:val="22"/>
          <w:lang w:val="es-CR"/>
        </w:rPr>
      </w:pPr>
    </w:p>
    <w:p w14:paraId="01C693E2" w14:textId="7A0397BC" w:rsidR="00C25ADE" w:rsidRPr="00C25ADE" w:rsidRDefault="00C25ADE">
      <w:pPr>
        <w:pStyle w:val="Default"/>
        <w:numPr>
          <w:ilvl w:val="0"/>
          <w:numId w:val="178"/>
        </w:numPr>
        <w:spacing w:after="120"/>
        <w:ind w:left="1418" w:hanging="284"/>
        <w:jc w:val="both"/>
        <w:rPr>
          <w:color w:val="auto"/>
          <w:sz w:val="22"/>
          <w:szCs w:val="22"/>
          <w:lang w:val="es-CR"/>
        </w:rPr>
      </w:pPr>
      <w:r>
        <w:rPr>
          <w:sz w:val="22"/>
          <w:szCs w:val="22"/>
          <w:lang w:val="es-CR"/>
        </w:rPr>
        <w:t>L</w:t>
      </w:r>
      <w:r w:rsidRPr="00C25ADE">
        <w:rPr>
          <w:sz w:val="22"/>
          <w:szCs w:val="22"/>
          <w:lang w:val="es-CR"/>
        </w:rPr>
        <w:t>a naturaleza e importe de cualquier gasto que sea significativo o de importancia relativa;</w:t>
      </w:r>
    </w:p>
    <w:p w14:paraId="3A23FEF2" w14:textId="63DB506E" w:rsidR="00C25ADE" w:rsidRPr="00C25ADE" w:rsidRDefault="00C25ADE">
      <w:pPr>
        <w:pStyle w:val="Default"/>
        <w:numPr>
          <w:ilvl w:val="0"/>
          <w:numId w:val="178"/>
        </w:numPr>
        <w:spacing w:after="120"/>
        <w:ind w:left="1418" w:hanging="284"/>
        <w:jc w:val="both"/>
        <w:rPr>
          <w:color w:val="auto"/>
          <w:sz w:val="22"/>
          <w:szCs w:val="22"/>
          <w:lang w:val="es-CR"/>
        </w:rPr>
      </w:pPr>
      <w:r>
        <w:rPr>
          <w:color w:val="auto"/>
          <w:sz w:val="22"/>
          <w:szCs w:val="22"/>
          <w:lang w:val="es-CR"/>
        </w:rPr>
        <w:t>L</w:t>
      </w:r>
      <w:r w:rsidRPr="00C25ADE">
        <w:rPr>
          <w:color w:val="auto"/>
          <w:sz w:val="22"/>
          <w:szCs w:val="22"/>
          <w:lang w:val="es-CR"/>
        </w:rPr>
        <w:t xml:space="preserve">os beneficios por terminación del personal clave de la gerencia o dirección de la entidad; </w:t>
      </w:r>
    </w:p>
    <w:p w14:paraId="11F86C73" w14:textId="6E6E591D" w:rsidR="00C25ADE" w:rsidRPr="00C25ADE" w:rsidRDefault="00C25ADE">
      <w:pPr>
        <w:pStyle w:val="Default"/>
        <w:numPr>
          <w:ilvl w:val="0"/>
          <w:numId w:val="178"/>
        </w:numPr>
        <w:ind w:left="1418" w:hanging="284"/>
        <w:jc w:val="both"/>
        <w:rPr>
          <w:color w:val="auto"/>
          <w:sz w:val="23"/>
          <w:szCs w:val="23"/>
          <w:lang w:val="es-CR"/>
        </w:rPr>
      </w:pPr>
      <w:r>
        <w:rPr>
          <w:color w:val="auto"/>
          <w:sz w:val="22"/>
          <w:szCs w:val="22"/>
          <w:lang w:val="es-CR"/>
        </w:rPr>
        <w:t>T</w:t>
      </w:r>
      <w:r w:rsidRPr="00C25ADE">
        <w:rPr>
          <w:color w:val="auto"/>
          <w:sz w:val="22"/>
          <w:szCs w:val="22"/>
          <w:lang w:val="es-CR"/>
        </w:rPr>
        <w:t>oda otra información que oportunamente, con carácter permanente o específico para un ejercicio en particular, requiera incluir la DGCN.</w:t>
      </w:r>
      <w:r w:rsidRPr="00C25ADE">
        <w:rPr>
          <w:color w:val="auto"/>
          <w:sz w:val="23"/>
          <w:szCs w:val="23"/>
          <w:lang w:val="es-CR"/>
        </w:rPr>
        <w:t xml:space="preserve"> </w:t>
      </w:r>
    </w:p>
    <w:p w14:paraId="07CC46DB" w14:textId="77777777" w:rsidR="00C25ADE" w:rsidRDefault="00C25ADE" w:rsidP="00C130F0">
      <w:pPr>
        <w:pStyle w:val="Default"/>
        <w:jc w:val="both"/>
        <w:rPr>
          <w:sz w:val="22"/>
          <w:szCs w:val="22"/>
          <w:lang w:val="es-CR"/>
        </w:rPr>
      </w:pPr>
    </w:p>
    <w:p w14:paraId="16680CBB" w14:textId="77777777" w:rsidR="00FD48A0" w:rsidRDefault="00FD48A0" w:rsidP="00C130F0">
      <w:pPr>
        <w:pStyle w:val="Default"/>
        <w:jc w:val="both"/>
        <w:rPr>
          <w:sz w:val="22"/>
          <w:szCs w:val="22"/>
          <w:lang w:val="es-CR"/>
        </w:rPr>
      </w:pPr>
    </w:p>
    <w:p w14:paraId="639D6681" w14:textId="77777777" w:rsidR="00C25ADE" w:rsidRDefault="00C25ADE" w:rsidP="00C130F0">
      <w:pPr>
        <w:pStyle w:val="Default"/>
        <w:jc w:val="both"/>
        <w:rPr>
          <w:sz w:val="22"/>
          <w:szCs w:val="22"/>
          <w:lang w:val="es-CR"/>
        </w:rPr>
      </w:pPr>
    </w:p>
    <w:tbl>
      <w:tblPr>
        <w:tblW w:w="9488" w:type="dxa"/>
        <w:tblLook w:val="04A0" w:firstRow="1" w:lastRow="0" w:firstColumn="1" w:lastColumn="0" w:noHBand="0" w:noVBand="1"/>
      </w:tblPr>
      <w:tblGrid>
        <w:gridCol w:w="637"/>
        <w:gridCol w:w="417"/>
        <w:gridCol w:w="611"/>
        <w:gridCol w:w="3570"/>
        <w:gridCol w:w="2248"/>
        <w:gridCol w:w="2005"/>
      </w:tblGrid>
      <w:tr w:rsidR="00C25ADE" w:rsidRPr="00C25ADE" w14:paraId="3E5FF032" w14:textId="77777777" w:rsidTr="00B1018E">
        <w:trPr>
          <w:trHeight w:val="320"/>
        </w:trPr>
        <w:tc>
          <w:tcPr>
            <w:tcW w:w="166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2B8ADCC" w14:textId="77777777" w:rsidR="00C25ADE" w:rsidRPr="00C25ADE" w:rsidRDefault="00C25ADE" w:rsidP="00C25ADE">
            <w:pPr>
              <w:jc w:val="center"/>
              <w:rPr>
                <w:rFonts w:ascii="Arial Narrow" w:eastAsia="Times New Roman" w:hAnsi="Arial Narrow" w:cs="Calibri"/>
                <w:b/>
                <w:bCs/>
                <w:color w:val="FFFFFF"/>
                <w:sz w:val="22"/>
                <w:szCs w:val="22"/>
              </w:rPr>
            </w:pPr>
            <w:r w:rsidRPr="00C25ADE">
              <w:rPr>
                <w:rFonts w:ascii="Arial Narrow" w:eastAsia="Times New Roman" w:hAnsi="Arial Narrow" w:cs="Calibri"/>
                <w:b/>
                <w:bCs/>
                <w:color w:val="FFFFFF"/>
                <w:sz w:val="22"/>
                <w:szCs w:val="22"/>
              </w:rPr>
              <w:t>Norma / Política</w:t>
            </w:r>
          </w:p>
        </w:tc>
        <w:tc>
          <w:tcPr>
            <w:tcW w:w="357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1F05B33" w14:textId="77777777" w:rsidR="00C25ADE" w:rsidRPr="00C25ADE" w:rsidRDefault="00C25ADE" w:rsidP="00C25ADE">
            <w:pPr>
              <w:jc w:val="center"/>
              <w:rPr>
                <w:rFonts w:ascii="Arial Narrow" w:eastAsia="Times New Roman" w:hAnsi="Arial Narrow" w:cs="Calibri"/>
                <w:b/>
                <w:bCs/>
                <w:color w:val="FFFFFF"/>
                <w:sz w:val="22"/>
                <w:szCs w:val="22"/>
              </w:rPr>
            </w:pPr>
            <w:r w:rsidRPr="00C25ADE">
              <w:rPr>
                <w:rFonts w:ascii="Arial Narrow" w:eastAsia="Times New Roman" w:hAnsi="Arial Narrow" w:cs="Calibri"/>
                <w:b/>
                <w:bCs/>
                <w:color w:val="FFFFFF"/>
                <w:sz w:val="22"/>
                <w:szCs w:val="22"/>
              </w:rPr>
              <w:t>Concepto</w:t>
            </w:r>
          </w:p>
        </w:tc>
        <w:tc>
          <w:tcPr>
            <w:tcW w:w="4253" w:type="dxa"/>
            <w:gridSpan w:val="2"/>
            <w:tcBorders>
              <w:top w:val="single" w:sz="8" w:space="0" w:color="auto"/>
              <w:left w:val="nil"/>
              <w:bottom w:val="single" w:sz="8" w:space="0" w:color="auto"/>
              <w:right w:val="single" w:sz="8" w:space="0" w:color="000000"/>
            </w:tcBorders>
            <w:shd w:val="clear" w:color="000000" w:fill="203764"/>
            <w:vAlign w:val="center"/>
            <w:hideMark/>
          </w:tcPr>
          <w:p w14:paraId="5CE7A98A" w14:textId="77777777" w:rsidR="00C25ADE" w:rsidRPr="00C25ADE" w:rsidRDefault="00C25ADE" w:rsidP="00C25ADE">
            <w:pPr>
              <w:jc w:val="center"/>
              <w:rPr>
                <w:rFonts w:ascii="Arial Narrow" w:eastAsia="Times New Roman" w:hAnsi="Arial Narrow" w:cs="Calibri"/>
                <w:b/>
                <w:bCs/>
                <w:color w:val="FFFFFF"/>
                <w:sz w:val="22"/>
                <w:szCs w:val="22"/>
              </w:rPr>
            </w:pPr>
            <w:r w:rsidRPr="00C25ADE">
              <w:rPr>
                <w:rFonts w:ascii="Arial Narrow" w:eastAsia="Times New Roman" w:hAnsi="Arial Narrow" w:cs="Calibri"/>
                <w:b/>
                <w:bCs/>
                <w:color w:val="FFFFFF"/>
                <w:sz w:val="22"/>
                <w:szCs w:val="22"/>
              </w:rPr>
              <w:t>Referencia</w:t>
            </w:r>
          </w:p>
        </w:tc>
      </w:tr>
      <w:tr w:rsidR="00C25ADE" w:rsidRPr="006E5442" w14:paraId="03543CB8" w14:textId="77777777" w:rsidTr="00B1018E">
        <w:trPr>
          <w:trHeight w:val="940"/>
        </w:trPr>
        <w:tc>
          <w:tcPr>
            <w:tcW w:w="1665" w:type="dxa"/>
            <w:gridSpan w:val="3"/>
            <w:vMerge/>
            <w:tcBorders>
              <w:top w:val="single" w:sz="8" w:space="0" w:color="auto"/>
              <w:left w:val="single" w:sz="8" w:space="0" w:color="auto"/>
              <w:bottom w:val="nil"/>
              <w:right w:val="single" w:sz="8" w:space="0" w:color="000000"/>
            </w:tcBorders>
            <w:vAlign w:val="center"/>
            <w:hideMark/>
          </w:tcPr>
          <w:p w14:paraId="018E7892" w14:textId="77777777" w:rsidR="00C25ADE" w:rsidRPr="00C25ADE" w:rsidRDefault="00C25ADE" w:rsidP="00C25ADE">
            <w:pPr>
              <w:rPr>
                <w:rFonts w:ascii="Arial Narrow" w:eastAsia="Times New Roman" w:hAnsi="Arial Narrow" w:cs="Calibri"/>
                <w:b/>
                <w:bCs/>
                <w:color w:val="FFFFFF"/>
                <w:sz w:val="22"/>
                <w:szCs w:val="22"/>
              </w:rPr>
            </w:pPr>
          </w:p>
        </w:tc>
        <w:tc>
          <w:tcPr>
            <w:tcW w:w="3570" w:type="dxa"/>
            <w:vMerge/>
            <w:tcBorders>
              <w:top w:val="single" w:sz="8" w:space="0" w:color="auto"/>
              <w:left w:val="single" w:sz="8" w:space="0" w:color="auto"/>
              <w:bottom w:val="nil"/>
              <w:right w:val="single" w:sz="8" w:space="0" w:color="auto"/>
            </w:tcBorders>
            <w:vAlign w:val="center"/>
            <w:hideMark/>
          </w:tcPr>
          <w:p w14:paraId="51B43AAD" w14:textId="77777777" w:rsidR="00C25ADE" w:rsidRPr="00C25ADE" w:rsidRDefault="00C25ADE" w:rsidP="00C25ADE">
            <w:pPr>
              <w:rPr>
                <w:rFonts w:ascii="Arial Narrow" w:eastAsia="Times New Roman" w:hAnsi="Arial Narrow" w:cs="Calibri"/>
                <w:b/>
                <w:bCs/>
                <w:color w:val="FFFFFF"/>
                <w:sz w:val="22"/>
                <w:szCs w:val="22"/>
              </w:rPr>
            </w:pPr>
          </w:p>
        </w:tc>
        <w:tc>
          <w:tcPr>
            <w:tcW w:w="2248" w:type="dxa"/>
            <w:tcBorders>
              <w:top w:val="nil"/>
              <w:left w:val="nil"/>
              <w:bottom w:val="nil"/>
              <w:right w:val="single" w:sz="8" w:space="0" w:color="auto"/>
            </w:tcBorders>
            <w:shd w:val="clear" w:color="000000" w:fill="203764"/>
            <w:vAlign w:val="center"/>
            <w:hideMark/>
          </w:tcPr>
          <w:p w14:paraId="0A3BDD30" w14:textId="77777777" w:rsidR="00C25ADE" w:rsidRPr="00C25ADE" w:rsidRDefault="00C25ADE" w:rsidP="00C25ADE">
            <w:pPr>
              <w:jc w:val="center"/>
              <w:rPr>
                <w:rFonts w:ascii="Arial Narrow" w:eastAsia="Times New Roman" w:hAnsi="Arial Narrow" w:cs="Calibri"/>
                <w:b/>
                <w:bCs/>
                <w:color w:val="FFFFFF"/>
                <w:sz w:val="22"/>
                <w:szCs w:val="22"/>
              </w:rPr>
            </w:pPr>
            <w:r w:rsidRPr="00C25ADE">
              <w:rPr>
                <w:rFonts w:ascii="Arial Narrow" w:eastAsia="Times New Roman" w:hAnsi="Arial Narrow" w:cs="Calibri"/>
                <w:b/>
                <w:bCs/>
                <w:color w:val="FFFFFF"/>
                <w:sz w:val="22"/>
                <w:szCs w:val="22"/>
              </w:rPr>
              <w:t>Norma</w:t>
            </w:r>
          </w:p>
        </w:tc>
        <w:tc>
          <w:tcPr>
            <w:tcW w:w="2005" w:type="dxa"/>
            <w:tcBorders>
              <w:top w:val="nil"/>
              <w:left w:val="nil"/>
              <w:bottom w:val="nil"/>
              <w:right w:val="single" w:sz="8" w:space="0" w:color="auto"/>
            </w:tcBorders>
            <w:shd w:val="clear" w:color="000000" w:fill="203764"/>
            <w:vAlign w:val="center"/>
            <w:hideMark/>
          </w:tcPr>
          <w:p w14:paraId="35A12D51" w14:textId="77777777" w:rsidR="00C25ADE" w:rsidRPr="00C25ADE" w:rsidRDefault="00C25ADE" w:rsidP="00C25ADE">
            <w:pPr>
              <w:jc w:val="center"/>
              <w:rPr>
                <w:rFonts w:ascii="Arial Narrow" w:eastAsia="Times New Roman" w:hAnsi="Arial Narrow" w:cs="Calibri"/>
                <w:b/>
                <w:bCs/>
                <w:color w:val="FFFFFF"/>
                <w:sz w:val="22"/>
                <w:szCs w:val="22"/>
                <w:lang w:val="es-CR"/>
              </w:rPr>
            </w:pPr>
            <w:r w:rsidRPr="00C25ADE">
              <w:rPr>
                <w:rFonts w:ascii="Arial Narrow" w:eastAsia="Times New Roman" w:hAnsi="Arial Narrow" w:cs="Calibri"/>
                <w:b/>
                <w:bCs/>
                <w:color w:val="FFFFFF"/>
                <w:sz w:val="22"/>
                <w:szCs w:val="22"/>
                <w:lang w:val="es-CR"/>
              </w:rPr>
              <w:t>Normativa técnica y disposiciones adicionales</w:t>
            </w:r>
          </w:p>
        </w:tc>
      </w:tr>
      <w:tr w:rsidR="00C25ADE" w:rsidRPr="006E5442" w14:paraId="237B2C7D" w14:textId="77777777" w:rsidTr="00B1018E">
        <w:trPr>
          <w:trHeight w:val="696"/>
        </w:trPr>
        <w:tc>
          <w:tcPr>
            <w:tcW w:w="6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AA0C79" w14:textId="77777777" w:rsidR="00C25ADE" w:rsidRPr="00C25ADE" w:rsidRDefault="00C25ADE" w:rsidP="00C25ADE">
            <w:pPr>
              <w:jc w:val="center"/>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03AD6F8E" w14:textId="77777777" w:rsidR="00C25ADE" w:rsidRPr="00C25ADE" w:rsidRDefault="00C25ADE" w:rsidP="00C25ADE">
            <w:pPr>
              <w:jc w:val="center"/>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76</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2F9D4CCA" w14:textId="4F4FBBA6" w:rsidR="00C25ADE" w:rsidRPr="00C25ADE" w:rsidRDefault="00C25ADE" w:rsidP="00C25ADE">
            <w:pPr>
              <w:jc w:val="center"/>
              <w:rPr>
                <w:rFonts w:ascii="Arial Narrow" w:eastAsia="Times New Roman" w:hAnsi="Arial Narrow" w:cs="Calibri"/>
                <w:b/>
                <w:bCs/>
                <w:color w:val="000000"/>
                <w:sz w:val="22"/>
                <w:szCs w:val="22"/>
              </w:rPr>
            </w:pPr>
          </w:p>
        </w:tc>
        <w:tc>
          <w:tcPr>
            <w:tcW w:w="3570" w:type="dxa"/>
            <w:tcBorders>
              <w:top w:val="single" w:sz="8" w:space="0" w:color="auto"/>
              <w:left w:val="nil"/>
              <w:bottom w:val="single" w:sz="8" w:space="0" w:color="auto"/>
              <w:right w:val="single" w:sz="8" w:space="0" w:color="auto"/>
            </w:tcBorders>
            <w:shd w:val="clear" w:color="auto" w:fill="auto"/>
            <w:vAlign w:val="center"/>
            <w:hideMark/>
          </w:tcPr>
          <w:p w14:paraId="4097AFAF" w14:textId="77777777" w:rsidR="00C25ADE" w:rsidRPr="00C25ADE" w:rsidRDefault="00C25ADE" w:rsidP="00C25ADE">
            <w:pPr>
              <w:jc w:val="both"/>
              <w:rPr>
                <w:rFonts w:ascii="Arial Narrow" w:eastAsia="Times New Roman" w:hAnsi="Arial Narrow" w:cs="Calibri"/>
                <w:b/>
                <w:bCs/>
                <w:color w:val="000000"/>
                <w:sz w:val="22"/>
                <w:szCs w:val="22"/>
                <w:lang w:val="es-CR"/>
              </w:rPr>
            </w:pPr>
            <w:r w:rsidRPr="00C25ADE">
              <w:rPr>
                <w:rFonts w:ascii="Arial Narrow" w:eastAsia="Times New Roman" w:hAnsi="Arial Narrow" w:cs="Calibri"/>
                <w:b/>
                <w:bCs/>
                <w:color w:val="000000"/>
                <w:sz w:val="22"/>
                <w:szCs w:val="22"/>
                <w:lang w:val="es-CR"/>
              </w:rPr>
              <w:t>Sobre otros beneficios a largo plazo a los empleados</w:t>
            </w:r>
          </w:p>
        </w:tc>
        <w:tc>
          <w:tcPr>
            <w:tcW w:w="2248" w:type="dxa"/>
            <w:tcBorders>
              <w:top w:val="single" w:sz="8" w:space="0" w:color="auto"/>
              <w:left w:val="nil"/>
              <w:bottom w:val="single" w:sz="8" w:space="0" w:color="auto"/>
              <w:right w:val="single" w:sz="8" w:space="0" w:color="auto"/>
            </w:tcBorders>
            <w:shd w:val="clear" w:color="auto" w:fill="auto"/>
            <w:vAlign w:val="center"/>
            <w:hideMark/>
          </w:tcPr>
          <w:p w14:paraId="20E6BF90" w14:textId="77777777" w:rsidR="009F19ED" w:rsidRDefault="00C25ADE" w:rsidP="00C25ADE">
            <w:pPr>
              <w:jc w:val="both"/>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NICSP N° 39,</w:t>
            </w:r>
          </w:p>
          <w:p w14:paraId="163B9F4C" w14:textId="244908E3" w:rsidR="00C25ADE" w:rsidRPr="00C25ADE" w:rsidRDefault="00C25ADE" w:rsidP="00C25ADE">
            <w:pPr>
              <w:jc w:val="both"/>
              <w:rPr>
                <w:rFonts w:ascii="Arial Narrow" w:eastAsia="Times New Roman" w:hAnsi="Arial Narrow" w:cs="Calibri"/>
                <w:b/>
                <w:bCs/>
                <w:color w:val="000000"/>
                <w:sz w:val="22"/>
                <w:szCs w:val="22"/>
              </w:rPr>
            </w:pPr>
            <w:r w:rsidRPr="00C25ADE">
              <w:rPr>
                <w:rFonts w:ascii="Arial Narrow" w:eastAsia="Times New Roman" w:hAnsi="Arial Narrow" w:cs="Calibri"/>
                <w:b/>
                <w:bCs/>
                <w:color w:val="000000"/>
                <w:sz w:val="22"/>
                <w:szCs w:val="22"/>
              </w:rPr>
              <w:t>Párrafo 161.</w:t>
            </w:r>
          </w:p>
        </w:tc>
        <w:tc>
          <w:tcPr>
            <w:tcW w:w="2005" w:type="dxa"/>
            <w:tcBorders>
              <w:top w:val="single" w:sz="8" w:space="0" w:color="auto"/>
              <w:left w:val="nil"/>
              <w:bottom w:val="single" w:sz="8" w:space="0" w:color="auto"/>
              <w:right w:val="single" w:sz="8" w:space="0" w:color="auto"/>
            </w:tcBorders>
            <w:shd w:val="clear" w:color="auto" w:fill="auto"/>
            <w:vAlign w:val="center"/>
            <w:hideMark/>
          </w:tcPr>
          <w:p w14:paraId="085AEE78" w14:textId="77777777" w:rsidR="00C25ADE" w:rsidRPr="00C25ADE" w:rsidRDefault="00C25ADE" w:rsidP="00C25ADE">
            <w:pPr>
              <w:rPr>
                <w:rFonts w:ascii="Arial Narrow" w:eastAsia="Times New Roman" w:hAnsi="Arial Narrow" w:cs="Calibri"/>
                <w:b/>
                <w:bCs/>
                <w:color w:val="000000"/>
                <w:sz w:val="22"/>
                <w:szCs w:val="22"/>
                <w:lang w:val="es-CR"/>
              </w:rPr>
            </w:pPr>
            <w:r w:rsidRPr="00C25ADE">
              <w:rPr>
                <w:rFonts w:ascii="Arial Narrow" w:eastAsia="Times New Roman" w:hAnsi="Arial Narrow" w:cs="Calibri"/>
                <w:b/>
                <w:bCs/>
                <w:color w:val="000000"/>
                <w:sz w:val="22"/>
                <w:szCs w:val="22"/>
                <w:lang w:val="es-CR"/>
              </w:rPr>
              <w:t>DGCN</w:t>
            </w:r>
            <w:r w:rsidRPr="00C25ADE">
              <w:rPr>
                <w:rFonts w:ascii="Arial Narrow" w:eastAsia="Times New Roman" w:hAnsi="Arial Narrow" w:cs="Calibri"/>
                <w:b/>
                <w:bCs/>
                <w:color w:val="000000"/>
                <w:sz w:val="22"/>
                <w:szCs w:val="22"/>
                <w:lang w:val="es-CR"/>
              </w:rPr>
              <w:br/>
              <w:t>NICSP N° 20</w:t>
            </w:r>
            <w:r w:rsidRPr="00C25ADE">
              <w:rPr>
                <w:rFonts w:ascii="Arial Narrow" w:eastAsia="Times New Roman" w:hAnsi="Arial Narrow" w:cs="Calibri"/>
                <w:b/>
                <w:bCs/>
                <w:color w:val="000000"/>
                <w:sz w:val="22"/>
                <w:szCs w:val="22"/>
                <w:lang w:val="es-CR"/>
              </w:rPr>
              <w:br/>
              <w:t>NICSP Nº 1</w:t>
            </w:r>
          </w:p>
        </w:tc>
      </w:tr>
    </w:tbl>
    <w:p w14:paraId="3A54ABD4" w14:textId="77777777" w:rsidR="00C25ADE" w:rsidRDefault="00C25ADE" w:rsidP="00C130F0">
      <w:pPr>
        <w:pStyle w:val="Default"/>
        <w:jc w:val="both"/>
        <w:rPr>
          <w:sz w:val="22"/>
          <w:szCs w:val="22"/>
          <w:lang w:val="es-CR"/>
        </w:rPr>
      </w:pPr>
    </w:p>
    <w:p w14:paraId="638610D0" w14:textId="629B419F" w:rsidR="00FD48A0" w:rsidRPr="0030399E" w:rsidRDefault="00FD48A0" w:rsidP="00C130F0">
      <w:pPr>
        <w:pStyle w:val="Default"/>
        <w:jc w:val="both"/>
        <w:rPr>
          <w:rFonts w:eastAsia="Arial"/>
          <w:b/>
          <w:sz w:val="22"/>
          <w:szCs w:val="22"/>
          <w:lang w:val="es-CR"/>
        </w:rPr>
      </w:pPr>
      <w:r w:rsidRPr="0030399E">
        <w:rPr>
          <w:rFonts w:eastAsia="Arial"/>
          <w:b/>
          <w:sz w:val="22"/>
          <w:szCs w:val="22"/>
          <w:lang w:val="es-CR"/>
        </w:rPr>
        <w:t>Política Contable</w:t>
      </w:r>
    </w:p>
    <w:p w14:paraId="63E2AF08" w14:textId="77777777" w:rsidR="00FD48A0" w:rsidRDefault="00FD48A0" w:rsidP="00C130F0">
      <w:pPr>
        <w:pStyle w:val="Default"/>
        <w:jc w:val="both"/>
        <w:rPr>
          <w:sz w:val="22"/>
          <w:szCs w:val="22"/>
          <w:lang w:val="es-CR"/>
        </w:rPr>
      </w:pPr>
    </w:p>
    <w:p w14:paraId="354914EB" w14:textId="657F2221" w:rsidR="00F86447" w:rsidRDefault="00F86447" w:rsidP="00F86447">
      <w:pPr>
        <w:pStyle w:val="Default"/>
        <w:ind w:left="1134" w:hanging="1134"/>
        <w:jc w:val="both"/>
        <w:rPr>
          <w:sz w:val="22"/>
          <w:szCs w:val="22"/>
          <w:lang w:val="es-CR"/>
        </w:rPr>
      </w:pPr>
      <w:r>
        <w:rPr>
          <w:sz w:val="22"/>
          <w:szCs w:val="22"/>
          <w:lang w:val="es-CR"/>
        </w:rPr>
        <w:t>2.76.0.01</w:t>
      </w:r>
      <w:r>
        <w:rPr>
          <w:sz w:val="22"/>
          <w:szCs w:val="22"/>
          <w:lang w:val="es-CR"/>
        </w:rPr>
        <w:tab/>
      </w:r>
      <w:r w:rsidRPr="00F86447">
        <w:rPr>
          <w:sz w:val="22"/>
          <w:szCs w:val="22"/>
          <w:lang w:val="es-CR"/>
        </w:rPr>
        <w:t>Deberá revelarse la siguiente información en los EEFF:</w:t>
      </w:r>
    </w:p>
    <w:p w14:paraId="7D4A6761" w14:textId="5ECB38A6" w:rsidR="00F86447" w:rsidRPr="00F86447" w:rsidRDefault="00F86447" w:rsidP="00F86447">
      <w:pPr>
        <w:pStyle w:val="Default"/>
        <w:ind w:left="1134" w:hanging="1134"/>
        <w:jc w:val="both"/>
        <w:rPr>
          <w:sz w:val="22"/>
          <w:szCs w:val="22"/>
          <w:lang w:val="es-CR"/>
        </w:rPr>
      </w:pPr>
      <w:r w:rsidRPr="00F86447">
        <w:rPr>
          <w:sz w:val="22"/>
          <w:szCs w:val="22"/>
          <w:lang w:val="es-CR"/>
        </w:rPr>
        <w:t xml:space="preserve"> </w:t>
      </w:r>
    </w:p>
    <w:p w14:paraId="2A6CEFCC" w14:textId="3CFEBDE8" w:rsidR="00F86447" w:rsidRPr="00F86447" w:rsidRDefault="00F86447">
      <w:pPr>
        <w:pStyle w:val="Default"/>
        <w:numPr>
          <w:ilvl w:val="0"/>
          <w:numId w:val="179"/>
        </w:numPr>
        <w:spacing w:after="120"/>
        <w:ind w:left="1418" w:hanging="284"/>
        <w:jc w:val="both"/>
        <w:rPr>
          <w:sz w:val="22"/>
          <w:szCs w:val="22"/>
          <w:lang w:val="es-CR"/>
        </w:rPr>
      </w:pPr>
      <w:r>
        <w:rPr>
          <w:sz w:val="22"/>
          <w:szCs w:val="22"/>
          <w:lang w:val="es-CR"/>
        </w:rPr>
        <w:t>L</w:t>
      </w:r>
      <w:r w:rsidRPr="00F86447">
        <w:rPr>
          <w:sz w:val="22"/>
          <w:szCs w:val="22"/>
          <w:lang w:val="es-CR"/>
        </w:rPr>
        <w:t xml:space="preserve">a identificación y descripción de otros beneficios incluidos, indicando si los mismos están autorizados por ley o son producto de una obligación implícita de la entidad; </w:t>
      </w:r>
    </w:p>
    <w:p w14:paraId="30382CD1" w14:textId="1A1C9887" w:rsidR="00F86447" w:rsidRPr="00F86447" w:rsidRDefault="00F86447">
      <w:pPr>
        <w:pStyle w:val="Default"/>
        <w:numPr>
          <w:ilvl w:val="0"/>
          <w:numId w:val="179"/>
        </w:numPr>
        <w:spacing w:after="120"/>
        <w:ind w:left="1418" w:hanging="284"/>
        <w:jc w:val="both"/>
        <w:rPr>
          <w:sz w:val="22"/>
          <w:szCs w:val="22"/>
          <w:lang w:val="es-CR"/>
        </w:rPr>
      </w:pPr>
      <w:r>
        <w:rPr>
          <w:sz w:val="22"/>
          <w:szCs w:val="22"/>
          <w:lang w:val="es-CR"/>
        </w:rPr>
        <w:t>L</w:t>
      </w:r>
      <w:r w:rsidRPr="00F86447">
        <w:rPr>
          <w:sz w:val="22"/>
          <w:szCs w:val="22"/>
          <w:lang w:val="es-CR"/>
        </w:rPr>
        <w:t xml:space="preserve">a identificación si los beneficios reconocidos son por única vez o responden a una práctica recurrente de la entidad; </w:t>
      </w:r>
    </w:p>
    <w:p w14:paraId="761C213E" w14:textId="31EDDF52" w:rsidR="00F86447" w:rsidRPr="00F86447" w:rsidRDefault="00F86447">
      <w:pPr>
        <w:pStyle w:val="Default"/>
        <w:numPr>
          <w:ilvl w:val="0"/>
          <w:numId w:val="179"/>
        </w:numPr>
        <w:spacing w:after="120"/>
        <w:ind w:left="1418" w:hanging="284"/>
        <w:jc w:val="both"/>
        <w:rPr>
          <w:sz w:val="22"/>
          <w:szCs w:val="22"/>
          <w:lang w:val="es-CR"/>
        </w:rPr>
      </w:pPr>
      <w:r>
        <w:rPr>
          <w:sz w:val="22"/>
          <w:szCs w:val="22"/>
          <w:lang w:val="es-CR"/>
        </w:rPr>
        <w:t>L</w:t>
      </w:r>
      <w:r w:rsidRPr="00F86447">
        <w:rPr>
          <w:sz w:val="22"/>
          <w:szCs w:val="22"/>
          <w:lang w:val="es-CR"/>
        </w:rPr>
        <w:t xml:space="preserve">os pasivos acumulados en el ESF, desagregados por naturaleza, y los gastos reconocidos en el ERF; </w:t>
      </w:r>
    </w:p>
    <w:p w14:paraId="30344721" w14:textId="3EAAE7AF" w:rsidR="00F86447" w:rsidRPr="00F86447" w:rsidRDefault="00F86447">
      <w:pPr>
        <w:pStyle w:val="Default"/>
        <w:numPr>
          <w:ilvl w:val="0"/>
          <w:numId w:val="179"/>
        </w:numPr>
        <w:spacing w:after="120"/>
        <w:ind w:left="1418" w:hanging="284"/>
        <w:jc w:val="both"/>
        <w:rPr>
          <w:sz w:val="22"/>
          <w:szCs w:val="22"/>
          <w:lang w:val="es-CR"/>
        </w:rPr>
      </w:pPr>
      <w:r>
        <w:rPr>
          <w:sz w:val="22"/>
          <w:szCs w:val="22"/>
          <w:lang w:val="es-CR"/>
        </w:rPr>
        <w:t>L</w:t>
      </w:r>
      <w:r w:rsidRPr="00F86447">
        <w:rPr>
          <w:sz w:val="22"/>
          <w:szCs w:val="22"/>
          <w:lang w:val="es-CR"/>
        </w:rPr>
        <w:t xml:space="preserve">os pasivos acumulados y los gastos reconocidos durante el ejercicio vinculados con el personal clave de la gerencia o dirección de la entidad; </w:t>
      </w:r>
    </w:p>
    <w:p w14:paraId="60997D5A" w14:textId="2F1A746C" w:rsidR="00F86447" w:rsidRPr="00F86447" w:rsidRDefault="00F86447">
      <w:pPr>
        <w:pStyle w:val="Default"/>
        <w:numPr>
          <w:ilvl w:val="0"/>
          <w:numId w:val="179"/>
        </w:numPr>
        <w:ind w:left="1418" w:hanging="284"/>
        <w:jc w:val="both"/>
        <w:rPr>
          <w:sz w:val="22"/>
          <w:szCs w:val="22"/>
          <w:lang w:val="es-CR"/>
        </w:rPr>
      </w:pPr>
      <w:r>
        <w:rPr>
          <w:sz w:val="22"/>
          <w:szCs w:val="22"/>
          <w:lang w:val="es-CR"/>
        </w:rPr>
        <w:t>T</w:t>
      </w:r>
      <w:r w:rsidRPr="00F86447">
        <w:rPr>
          <w:sz w:val="22"/>
          <w:szCs w:val="22"/>
          <w:lang w:val="es-CR"/>
        </w:rPr>
        <w:t xml:space="preserve">oda otra información que oportunamente, con carácter permanente o específico para un ejercicio en particular, requiera incluir la DGCN. </w:t>
      </w:r>
    </w:p>
    <w:p w14:paraId="41F43289" w14:textId="77777777" w:rsidR="00C25ADE" w:rsidRDefault="00C25ADE" w:rsidP="00C130F0">
      <w:pPr>
        <w:pStyle w:val="Default"/>
        <w:jc w:val="both"/>
        <w:rPr>
          <w:sz w:val="22"/>
          <w:szCs w:val="22"/>
          <w:lang w:val="es-CR"/>
        </w:rPr>
      </w:pPr>
    </w:p>
    <w:p w14:paraId="10057D60" w14:textId="77777777" w:rsidR="00C25ADE" w:rsidRDefault="00C25ADE" w:rsidP="00C130F0">
      <w:pPr>
        <w:pStyle w:val="Default"/>
        <w:jc w:val="both"/>
        <w:rPr>
          <w:sz w:val="22"/>
          <w:szCs w:val="22"/>
          <w:lang w:val="es-CR"/>
        </w:rPr>
      </w:pPr>
    </w:p>
    <w:p w14:paraId="09AECA29" w14:textId="77777777" w:rsidR="00FD48A0" w:rsidRDefault="00FD48A0" w:rsidP="00C130F0">
      <w:pPr>
        <w:pStyle w:val="Default"/>
        <w:jc w:val="both"/>
        <w:rPr>
          <w:sz w:val="22"/>
          <w:szCs w:val="22"/>
          <w:lang w:val="es-CR"/>
        </w:rPr>
      </w:pPr>
    </w:p>
    <w:p w14:paraId="0D75927F" w14:textId="77777777" w:rsidR="00B1018E" w:rsidRDefault="00B1018E" w:rsidP="00C130F0">
      <w:pPr>
        <w:pStyle w:val="Default"/>
        <w:jc w:val="both"/>
        <w:rPr>
          <w:sz w:val="22"/>
          <w:szCs w:val="22"/>
          <w:lang w:val="es-CR"/>
        </w:rPr>
      </w:pPr>
    </w:p>
    <w:p w14:paraId="7391C168" w14:textId="77777777" w:rsidR="00FD48A0" w:rsidRDefault="00FD48A0" w:rsidP="00C130F0">
      <w:pPr>
        <w:pStyle w:val="Default"/>
        <w:jc w:val="both"/>
        <w:rPr>
          <w:sz w:val="22"/>
          <w:szCs w:val="22"/>
          <w:lang w:val="es-CR"/>
        </w:rPr>
      </w:pPr>
    </w:p>
    <w:p w14:paraId="5D2F587B" w14:textId="7C9DC513" w:rsidR="00C25ADE" w:rsidRPr="00652515" w:rsidRDefault="00B325BA" w:rsidP="00652515">
      <w:pPr>
        <w:pStyle w:val="Ttulo2"/>
        <w:ind w:left="284"/>
        <w:rPr>
          <w:rFonts w:ascii="Arial" w:eastAsia="Arial" w:hAnsi="Arial" w:cs="Arial"/>
          <w:b/>
          <w:bCs/>
          <w:sz w:val="20"/>
          <w:szCs w:val="20"/>
          <w:lang w:val="es-CR"/>
        </w:rPr>
      </w:pPr>
      <w:bookmarkStart w:id="102" w:name="_Toc172726237"/>
      <w:r w:rsidRPr="00652515">
        <w:rPr>
          <w:rFonts w:ascii="Arial" w:eastAsia="Arial" w:hAnsi="Arial" w:cs="Arial"/>
          <w:b/>
          <w:bCs/>
          <w:sz w:val="20"/>
          <w:szCs w:val="20"/>
          <w:lang w:val="es-CR"/>
        </w:rPr>
        <w:lastRenderedPageBreak/>
        <w:t>Endeudamiento público</w:t>
      </w:r>
      <w:bookmarkEnd w:id="102"/>
    </w:p>
    <w:p w14:paraId="12E88F39" w14:textId="77777777" w:rsidR="00C25ADE" w:rsidRDefault="00C25ADE" w:rsidP="00C130F0">
      <w:pPr>
        <w:pStyle w:val="Default"/>
        <w:jc w:val="both"/>
        <w:rPr>
          <w:sz w:val="22"/>
          <w:szCs w:val="22"/>
          <w:lang w:val="es-CR"/>
        </w:rPr>
      </w:pPr>
    </w:p>
    <w:tbl>
      <w:tblPr>
        <w:tblW w:w="9397" w:type="dxa"/>
        <w:tblLook w:val="04A0" w:firstRow="1" w:lastRow="0" w:firstColumn="1" w:lastColumn="0" w:noHBand="0" w:noVBand="1"/>
      </w:tblPr>
      <w:tblGrid>
        <w:gridCol w:w="637"/>
        <w:gridCol w:w="417"/>
        <w:gridCol w:w="610"/>
        <w:gridCol w:w="3688"/>
        <w:gridCol w:w="2151"/>
        <w:gridCol w:w="1894"/>
      </w:tblGrid>
      <w:tr w:rsidR="00B325BA" w:rsidRPr="00652515" w14:paraId="507A03DE" w14:textId="77777777" w:rsidTr="00B1018E">
        <w:trPr>
          <w:trHeight w:val="320"/>
        </w:trPr>
        <w:tc>
          <w:tcPr>
            <w:tcW w:w="166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B009343" w14:textId="77777777" w:rsidR="00B325BA" w:rsidRPr="00652515" w:rsidRDefault="00B325BA" w:rsidP="00B325BA">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001E3AED" w14:textId="77777777" w:rsidR="00B325BA" w:rsidRPr="00652515" w:rsidRDefault="00B325BA" w:rsidP="00B325BA">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Concepto</w:t>
            </w:r>
          </w:p>
        </w:tc>
        <w:tc>
          <w:tcPr>
            <w:tcW w:w="4045" w:type="dxa"/>
            <w:gridSpan w:val="2"/>
            <w:tcBorders>
              <w:top w:val="single" w:sz="8" w:space="0" w:color="auto"/>
              <w:left w:val="nil"/>
              <w:bottom w:val="single" w:sz="8" w:space="0" w:color="auto"/>
              <w:right w:val="single" w:sz="8" w:space="0" w:color="000000"/>
            </w:tcBorders>
            <w:shd w:val="clear" w:color="000000" w:fill="203764"/>
            <w:vAlign w:val="center"/>
            <w:hideMark/>
          </w:tcPr>
          <w:p w14:paraId="22C73CF3" w14:textId="77777777" w:rsidR="00B325BA" w:rsidRPr="00652515" w:rsidRDefault="00B325BA" w:rsidP="00B325BA">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Referencia</w:t>
            </w:r>
          </w:p>
        </w:tc>
      </w:tr>
      <w:tr w:rsidR="00B325BA" w:rsidRPr="006E5442" w14:paraId="6E1BB04D" w14:textId="77777777" w:rsidTr="00B1018E">
        <w:trPr>
          <w:trHeight w:val="751"/>
        </w:trPr>
        <w:tc>
          <w:tcPr>
            <w:tcW w:w="1664" w:type="dxa"/>
            <w:gridSpan w:val="3"/>
            <w:vMerge/>
            <w:tcBorders>
              <w:top w:val="single" w:sz="8" w:space="0" w:color="auto"/>
              <w:left w:val="single" w:sz="8" w:space="0" w:color="auto"/>
              <w:bottom w:val="nil"/>
              <w:right w:val="single" w:sz="8" w:space="0" w:color="000000"/>
            </w:tcBorders>
            <w:vAlign w:val="center"/>
            <w:hideMark/>
          </w:tcPr>
          <w:p w14:paraId="73F33419" w14:textId="77777777" w:rsidR="00B325BA" w:rsidRPr="00652515" w:rsidRDefault="00B325BA" w:rsidP="00B325BA">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5422A083" w14:textId="77777777" w:rsidR="00B325BA" w:rsidRPr="00652515" w:rsidRDefault="00B325BA" w:rsidP="00B325BA">
            <w:pPr>
              <w:rPr>
                <w:rFonts w:ascii="Arial Narrow" w:eastAsia="Times New Roman" w:hAnsi="Arial Narrow" w:cs="Calibri"/>
                <w:b/>
                <w:bCs/>
                <w:color w:val="FFFFFF"/>
                <w:sz w:val="22"/>
                <w:szCs w:val="22"/>
              </w:rPr>
            </w:pPr>
          </w:p>
        </w:tc>
        <w:tc>
          <w:tcPr>
            <w:tcW w:w="2151" w:type="dxa"/>
            <w:tcBorders>
              <w:top w:val="nil"/>
              <w:left w:val="nil"/>
              <w:bottom w:val="nil"/>
              <w:right w:val="single" w:sz="8" w:space="0" w:color="auto"/>
            </w:tcBorders>
            <w:shd w:val="clear" w:color="000000" w:fill="203764"/>
            <w:vAlign w:val="center"/>
            <w:hideMark/>
          </w:tcPr>
          <w:p w14:paraId="4F749E20" w14:textId="77777777" w:rsidR="00B325BA" w:rsidRPr="00652515" w:rsidRDefault="00B325BA" w:rsidP="00B325BA">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Norma</w:t>
            </w:r>
          </w:p>
        </w:tc>
        <w:tc>
          <w:tcPr>
            <w:tcW w:w="1892" w:type="dxa"/>
            <w:tcBorders>
              <w:top w:val="nil"/>
              <w:left w:val="nil"/>
              <w:bottom w:val="nil"/>
              <w:right w:val="single" w:sz="8" w:space="0" w:color="auto"/>
            </w:tcBorders>
            <w:shd w:val="clear" w:color="000000" w:fill="203764"/>
            <w:vAlign w:val="center"/>
            <w:hideMark/>
          </w:tcPr>
          <w:p w14:paraId="47E317FA" w14:textId="77777777" w:rsidR="00B325BA" w:rsidRPr="00652515" w:rsidRDefault="00B325BA" w:rsidP="00B1018E">
            <w:pPr>
              <w:ind w:hanging="54"/>
              <w:jc w:val="center"/>
              <w:rPr>
                <w:rFonts w:ascii="Arial Narrow" w:eastAsia="Times New Roman" w:hAnsi="Arial Narrow" w:cs="Calibri"/>
                <w:b/>
                <w:bCs/>
                <w:color w:val="FFFFFF"/>
                <w:sz w:val="22"/>
                <w:szCs w:val="22"/>
                <w:lang w:val="es-CR"/>
              </w:rPr>
            </w:pPr>
            <w:r w:rsidRPr="00652515">
              <w:rPr>
                <w:rFonts w:ascii="Arial Narrow" w:eastAsia="Times New Roman" w:hAnsi="Arial Narrow" w:cs="Calibri"/>
                <w:b/>
                <w:bCs/>
                <w:color w:val="FFFFFF"/>
                <w:sz w:val="22"/>
                <w:szCs w:val="22"/>
                <w:lang w:val="es-CR"/>
              </w:rPr>
              <w:t>Normativa técnica y disposiciones adicionales</w:t>
            </w:r>
          </w:p>
        </w:tc>
      </w:tr>
      <w:tr w:rsidR="00B325BA" w:rsidRPr="00652515" w14:paraId="7F7A4A7F" w14:textId="77777777" w:rsidTr="00B1018E">
        <w:trPr>
          <w:trHeight w:val="320"/>
        </w:trPr>
        <w:tc>
          <w:tcPr>
            <w:tcW w:w="6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477C0D" w14:textId="77777777" w:rsidR="00B325BA" w:rsidRPr="00652515" w:rsidRDefault="00B325BA" w:rsidP="00B325BA">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4C6EBEC9" w14:textId="77777777" w:rsidR="00B325BA" w:rsidRPr="00652515" w:rsidRDefault="00B325BA" w:rsidP="00B325BA">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77</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4F9A0A79" w14:textId="64ADD4F0" w:rsidR="00B325BA" w:rsidRPr="00652515" w:rsidRDefault="00B325BA" w:rsidP="00B325BA">
            <w:pPr>
              <w:jc w:val="center"/>
              <w:rPr>
                <w:rFonts w:ascii="Arial Narrow" w:eastAsia="Times New Roman" w:hAnsi="Arial Narrow" w:cs="Calibri"/>
                <w:b/>
                <w:bCs/>
                <w:color w:val="000000"/>
                <w:sz w:val="22"/>
                <w:szCs w:val="22"/>
              </w:rPr>
            </w:pP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63909B8C" w14:textId="77777777" w:rsidR="00B325BA" w:rsidRPr="00652515" w:rsidRDefault="00B325BA" w:rsidP="00B325BA">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Endeudamiento Público</w:t>
            </w:r>
          </w:p>
        </w:tc>
        <w:tc>
          <w:tcPr>
            <w:tcW w:w="2151" w:type="dxa"/>
            <w:tcBorders>
              <w:top w:val="single" w:sz="8" w:space="0" w:color="auto"/>
              <w:left w:val="nil"/>
              <w:bottom w:val="single" w:sz="8" w:space="0" w:color="auto"/>
              <w:right w:val="single" w:sz="8" w:space="0" w:color="auto"/>
            </w:tcBorders>
            <w:shd w:val="clear" w:color="auto" w:fill="auto"/>
            <w:vAlign w:val="center"/>
            <w:hideMark/>
          </w:tcPr>
          <w:p w14:paraId="3DAC30A9" w14:textId="77777777" w:rsidR="00B325BA" w:rsidRPr="00652515" w:rsidRDefault="00B325BA" w:rsidP="00B325BA">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 xml:space="preserve"> </w:t>
            </w:r>
          </w:p>
        </w:tc>
        <w:tc>
          <w:tcPr>
            <w:tcW w:w="1892" w:type="dxa"/>
            <w:tcBorders>
              <w:top w:val="single" w:sz="8" w:space="0" w:color="auto"/>
              <w:left w:val="nil"/>
              <w:bottom w:val="single" w:sz="8" w:space="0" w:color="auto"/>
              <w:right w:val="single" w:sz="8" w:space="0" w:color="auto"/>
            </w:tcBorders>
            <w:shd w:val="clear" w:color="auto" w:fill="auto"/>
            <w:vAlign w:val="center"/>
            <w:hideMark/>
          </w:tcPr>
          <w:p w14:paraId="11D3A554" w14:textId="77777777" w:rsidR="00B325BA" w:rsidRPr="00652515" w:rsidRDefault="00B325BA" w:rsidP="00B325BA">
            <w:pP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DGCN</w:t>
            </w:r>
          </w:p>
        </w:tc>
      </w:tr>
    </w:tbl>
    <w:p w14:paraId="17412A7E" w14:textId="77777777" w:rsidR="00B325BA" w:rsidRDefault="00B325BA" w:rsidP="00C130F0">
      <w:pPr>
        <w:pStyle w:val="Default"/>
        <w:jc w:val="both"/>
        <w:rPr>
          <w:sz w:val="22"/>
          <w:szCs w:val="22"/>
          <w:lang w:val="es-CR"/>
        </w:rPr>
      </w:pPr>
    </w:p>
    <w:p w14:paraId="7713EEE1" w14:textId="741B7DFB" w:rsidR="00B1018E" w:rsidRDefault="00B1018E" w:rsidP="00C130F0">
      <w:pPr>
        <w:pStyle w:val="Default"/>
        <w:jc w:val="both"/>
        <w:rPr>
          <w:rFonts w:eastAsia="Arial"/>
          <w:b/>
          <w:sz w:val="22"/>
          <w:szCs w:val="22"/>
        </w:rPr>
      </w:pPr>
      <w:r w:rsidRPr="00F02F9D">
        <w:rPr>
          <w:rFonts w:eastAsia="Arial"/>
          <w:b/>
          <w:sz w:val="22"/>
          <w:szCs w:val="22"/>
        </w:rPr>
        <w:t>Política Contable</w:t>
      </w:r>
    </w:p>
    <w:p w14:paraId="2F4FC38A" w14:textId="77777777" w:rsidR="00B1018E" w:rsidRDefault="00B1018E" w:rsidP="00C130F0">
      <w:pPr>
        <w:pStyle w:val="Default"/>
        <w:jc w:val="both"/>
        <w:rPr>
          <w:sz w:val="22"/>
          <w:szCs w:val="22"/>
          <w:lang w:val="es-CR"/>
        </w:rPr>
      </w:pPr>
    </w:p>
    <w:p w14:paraId="37DFA548" w14:textId="2538FA1C" w:rsidR="00B325BA" w:rsidRPr="00B325BA" w:rsidRDefault="00B325BA" w:rsidP="00B325BA">
      <w:pPr>
        <w:pStyle w:val="Default"/>
        <w:ind w:left="1134" w:hanging="1134"/>
        <w:jc w:val="both"/>
        <w:rPr>
          <w:sz w:val="22"/>
          <w:szCs w:val="22"/>
          <w:lang w:val="es-CR"/>
        </w:rPr>
      </w:pPr>
      <w:r>
        <w:rPr>
          <w:sz w:val="22"/>
          <w:szCs w:val="22"/>
          <w:lang w:val="es-CR"/>
        </w:rPr>
        <w:t>2.77.0.01</w:t>
      </w:r>
      <w:r>
        <w:rPr>
          <w:sz w:val="22"/>
          <w:szCs w:val="22"/>
          <w:lang w:val="es-CR"/>
        </w:rPr>
        <w:tab/>
      </w:r>
      <w:r w:rsidRPr="00B325BA">
        <w:rPr>
          <w:sz w:val="22"/>
          <w:szCs w:val="22"/>
          <w:lang w:val="es-CR"/>
        </w:rPr>
        <w:t xml:space="preserve">En la </w:t>
      </w:r>
      <w:r w:rsidR="000F29DC">
        <w:rPr>
          <w:sz w:val="22"/>
          <w:szCs w:val="22"/>
          <w:lang w:val="es-CR"/>
        </w:rPr>
        <w:t>MBA</w:t>
      </w:r>
      <w:r w:rsidRPr="00B325BA">
        <w:rPr>
          <w:sz w:val="22"/>
          <w:szCs w:val="22"/>
          <w:lang w:val="es-CR"/>
        </w:rPr>
        <w:t xml:space="preserve"> constituyen el conjunto de instrumentos financieros de pasivo, por lo general de largo plazo, que incluye préstamos de organismos nacionales e internacionales en moneda nacional o extranjera; deudas asumidas en moneda nacional o extranjera</w:t>
      </w:r>
    </w:p>
    <w:p w14:paraId="3914FD6C" w14:textId="77777777" w:rsidR="00C25ADE" w:rsidRDefault="00C25ADE" w:rsidP="00C130F0">
      <w:pPr>
        <w:pStyle w:val="Default"/>
        <w:jc w:val="both"/>
        <w:rPr>
          <w:sz w:val="22"/>
          <w:szCs w:val="22"/>
          <w:lang w:val="es-CR"/>
        </w:rPr>
      </w:pPr>
    </w:p>
    <w:p w14:paraId="387CAC32" w14:textId="77777777" w:rsidR="00B1018E" w:rsidRDefault="00B1018E" w:rsidP="00C130F0">
      <w:pPr>
        <w:pStyle w:val="Default"/>
        <w:jc w:val="both"/>
        <w:rPr>
          <w:sz w:val="22"/>
          <w:szCs w:val="22"/>
          <w:lang w:val="es-CR"/>
        </w:rPr>
      </w:pPr>
    </w:p>
    <w:p w14:paraId="57525348" w14:textId="77777777" w:rsidR="00C25ADE" w:rsidRDefault="00C25ADE" w:rsidP="00C130F0">
      <w:pPr>
        <w:pStyle w:val="Default"/>
        <w:jc w:val="both"/>
        <w:rPr>
          <w:sz w:val="22"/>
          <w:szCs w:val="22"/>
          <w:lang w:val="es-CR"/>
        </w:rPr>
      </w:pPr>
    </w:p>
    <w:tbl>
      <w:tblPr>
        <w:tblW w:w="9397" w:type="dxa"/>
        <w:tblLook w:val="04A0" w:firstRow="1" w:lastRow="0" w:firstColumn="1" w:lastColumn="0" w:noHBand="0" w:noVBand="1"/>
      </w:tblPr>
      <w:tblGrid>
        <w:gridCol w:w="636"/>
        <w:gridCol w:w="417"/>
        <w:gridCol w:w="613"/>
        <w:gridCol w:w="3686"/>
        <w:gridCol w:w="2151"/>
        <w:gridCol w:w="1894"/>
      </w:tblGrid>
      <w:tr w:rsidR="00132376" w:rsidRPr="00652515" w14:paraId="4D386323" w14:textId="77777777" w:rsidTr="00B1018E">
        <w:trPr>
          <w:trHeight w:val="320"/>
        </w:trPr>
        <w:tc>
          <w:tcPr>
            <w:tcW w:w="166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5233B7C" w14:textId="77777777" w:rsidR="00132376" w:rsidRPr="00652515" w:rsidRDefault="00132376" w:rsidP="00132376">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Norma / Política</w:t>
            </w:r>
          </w:p>
        </w:tc>
        <w:tc>
          <w:tcPr>
            <w:tcW w:w="3686" w:type="dxa"/>
            <w:vMerge w:val="restart"/>
            <w:tcBorders>
              <w:top w:val="single" w:sz="8" w:space="0" w:color="auto"/>
              <w:left w:val="single" w:sz="8" w:space="0" w:color="auto"/>
              <w:bottom w:val="nil"/>
              <w:right w:val="single" w:sz="8" w:space="0" w:color="auto"/>
            </w:tcBorders>
            <w:shd w:val="clear" w:color="000000" w:fill="203764"/>
            <w:vAlign w:val="center"/>
            <w:hideMark/>
          </w:tcPr>
          <w:p w14:paraId="63AE0020" w14:textId="77777777" w:rsidR="00132376" w:rsidRPr="00652515" w:rsidRDefault="00132376" w:rsidP="00132376">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Concepto</w:t>
            </w:r>
          </w:p>
        </w:tc>
        <w:tc>
          <w:tcPr>
            <w:tcW w:w="4045" w:type="dxa"/>
            <w:gridSpan w:val="2"/>
            <w:tcBorders>
              <w:top w:val="single" w:sz="8" w:space="0" w:color="auto"/>
              <w:left w:val="nil"/>
              <w:bottom w:val="single" w:sz="8" w:space="0" w:color="auto"/>
              <w:right w:val="single" w:sz="8" w:space="0" w:color="000000"/>
            </w:tcBorders>
            <w:shd w:val="clear" w:color="000000" w:fill="203764"/>
            <w:vAlign w:val="center"/>
            <w:hideMark/>
          </w:tcPr>
          <w:p w14:paraId="2547C409" w14:textId="77777777" w:rsidR="00132376" w:rsidRPr="00652515" w:rsidRDefault="00132376" w:rsidP="00132376">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Referencia</w:t>
            </w:r>
          </w:p>
        </w:tc>
      </w:tr>
      <w:tr w:rsidR="00132376" w:rsidRPr="006E5442" w14:paraId="7A281FE2" w14:textId="77777777" w:rsidTr="00B1018E">
        <w:trPr>
          <w:trHeight w:val="672"/>
        </w:trPr>
        <w:tc>
          <w:tcPr>
            <w:tcW w:w="1666" w:type="dxa"/>
            <w:gridSpan w:val="3"/>
            <w:vMerge/>
            <w:tcBorders>
              <w:top w:val="single" w:sz="8" w:space="0" w:color="auto"/>
              <w:left w:val="single" w:sz="8" w:space="0" w:color="auto"/>
              <w:bottom w:val="nil"/>
              <w:right w:val="single" w:sz="8" w:space="0" w:color="000000"/>
            </w:tcBorders>
            <w:vAlign w:val="center"/>
            <w:hideMark/>
          </w:tcPr>
          <w:p w14:paraId="074015B4" w14:textId="77777777" w:rsidR="00132376" w:rsidRPr="00652515" w:rsidRDefault="00132376" w:rsidP="00132376">
            <w:pPr>
              <w:rPr>
                <w:rFonts w:ascii="Arial Narrow" w:eastAsia="Times New Roman" w:hAnsi="Arial Narrow" w:cs="Calibri"/>
                <w:b/>
                <w:bCs/>
                <w:color w:val="FFFFFF"/>
                <w:sz w:val="22"/>
                <w:szCs w:val="22"/>
              </w:rPr>
            </w:pPr>
          </w:p>
        </w:tc>
        <w:tc>
          <w:tcPr>
            <w:tcW w:w="3686" w:type="dxa"/>
            <w:vMerge/>
            <w:tcBorders>
              <w:top w:val="single" w:sz="8" w:space="0" w:color="auto"/>
              <w:left w:val="single" w:sz="8" w:space="0" w:color="auto"/>
              <w:bottom w:val="nil"/>
              <w:right w:val="single" w:sz="8" w:space="0" w:color="auto"/>
            </w:tcBorders>
            <w:vAlign w:val="center"/>
            <w:hideMark/>
          </w:tcPr>
          <w:p w14:paraId="408D41A7" w14:textId="77777777" w:rsidR="00132376" w:rsidRPr="00652515" w:rsidRDefault="00132376" w:rsidP="00132376">
            <w:pPr>
              <w:rPr>
                <w:rFonts w:ascii="Arial Narrow" w:eastAsia="Times New Roman" w:hAnsi="Arial Narrow" w:cs="Calibri"/>
                <w:b/>
                <w:bCs/>
                <w:color w:val="FFFFFF"/>
                <w:sz w:val="22"/>
                <w:szCs w:val="22"/>
              </w:rPr>
            </w:pPr>
          </w:p>
        </w:tc>
        <w:tc>
          <w:tcPr>
            <w:tcW w:w="2151" w:type="dxa"/>
            <w:tcBorders>
              <w:top w:val="nil"/>
              <w:left w:val="nil"/>
              <w:bottom w:val="nil"/>
              <w:right w:val="single" w:sz="8" w:space="0" w:color="auto"/>
            </w:tcBorders>
            <w:shd w:val="clear" w:color="000000" w:fill="203764"/>
            <w:vAlign w:val="center"/>
            <w:hideMark/>
          </w:tcPr>
          <w:p w14:paraId="061C8467" w14:textId="77777777" w:rsidR="00132376" w:rsidRPr="00652515" w:rsidRDefault="00132376" w:rsidP="00132376">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Norma</w:t>
            </w:r>
          </w:p>
        </w:tc>
        <w:tc>
          <w:tcPr>
            <w:tcW w:w="1891" w:type="dxa"/>
            <w:tcBorders>
              <w:top w:val="nil"/>
              <w:left w:val="nil"/>
              <w:bottom w:val="nil"/>
              <w:right w:val="single" w:sz="8" w:space="0" w:color="auto"/>
            </w:tcBorders>
            <w:shd w:val="clear" w:color="000000" w:fill="203764"/>
            <w:vAlign w:val="center"/>
            <w:hideMark/>
          </w:tcPr>
          <w:p w14:paraId="0F102A01" w14:textId="77777777" w:rsidR="00132376" w:rsidRPr="00652515" w:rsidRDefault="00132376" w:rsidP="00132376">
            <w:pPr>
              <w:jc w:val="center"/>
              <w:rPr>
                <w:rFonts w:ascii="Arial Narrow" w:eastAsia="Times New Roman" w:hAnsi="Arial Narrow" w:cs="Calibri"/>
                <w:b/>
                <w:bCs/>
                <w:color w:val="FFFFFF"/>
                <w:sz w:val="22"/>
                <w:szCs w:val="22"/>
                <w:lang w:val="es-CR"/>
              </w:rPr>
            </w:pPr>
            <w:r w:rsidRPr="00652515">
              <w:rPr>
                <w:rFonts w:ascii="Arial Narrow" w:eastAsia="Times New Roman" w:hAnsi="Arial Narrow" w:cs="Calibri"/>
                <w:b/>
                <w:bCs/>
                <w:color w:val="FFFFFF"/>
                <w:sz w:val="22"/>
                <w:szCs w:val="22"/>
                <w:lang w:val="es-CR"/>
              </w:rPr>
              <w:t>Normativa técnica y disposiciones adicionales</w:t>
            </w:r>
          </w:p>
        </w:tc>
      </w:tr>
      <w:tr w:rsidR="00132376" w:rsidRPr="00652515" w14:paraId="76440020" w14:textId="77777777" w:rsidTr="00B1018E">
        <w:trPr>
          <w:trHeight w:val="471"/>
        </w:trPr>
        <w:tc>
          <w:tcPr>
            <w:tcW w:w="6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5C11CB" w14:textId="77777777" w:rsidR="00132376" w:rsidRPr="00652515" w:rsidRDefault="00132376" w:rsidP="00132376">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172379C8" w14:textId="77777777" w:rsidR="00132376" w:rsidRPr="00652515" w:rsidRDefault="00132376" w:rsidP="00132376">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79</w:t>
            </w:r>
          </w:p>
        </w:tc>
        <w:tc>
          <w:tcPr>
            <w:tcW w:w="613" w:type="dxa"/>
            <w:tcBorders>
              <w:top w:val="single" w:sz="8" w:space="0" w:color="auto"/>
              <w:left w:val="nil"/>
              <w:bottom w:val="single" w:sz="8" w:space="0" w:color="auto"/>
              <w:right w:val="single" w:sz="8" w:space="0" w:color="auto"/>
            </w:tcBorders>
            <w:shd w:val="clear" w:color="auto" w:fill="auto"/>
            <w:vAlign w:val="center"/>
            <w:hideMark/>
          </w:tcPr>
          <w:p w14:paraId="4703A9D3" w14:textId="073791B5" w:rsidR="00132376" w:rsidRPr="00652515" w:rsidRDefault="00132376" w:rsidP="00132376">
            <w:pPr>
              <w:jc w:val="center"/>
              <w:rPr>
                <w:rFonts w:ascii="Arial Narrow" w:eastAsia="Times New Roman" w:hAnsi="Arial Narrow" w:cs="Calibri"/>
                <w:b/>
                <w:bCs/>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vAlign w:val="center"/>
            <w:hideMark/>
          </w:tcPr>
          <w:p w14:paraId="7296D805" w14:textId="77777777" w:rsidR="00132376" w:rsidRPr="00652515" w:rsidRDefault="00132376" w:rsidP="00132376">
            <w:pPr>
              <w:jc w:val="both"/>
              <w:rPr>
                <w:rFonts w:ascii="Arial Narrow" w:eastAsia="Times New Roman" w:hAnsi="Arial Narrow" w:cs="Calibri"/>
                <w:b/>
                <w:bCs/>
                <w:color w:val="000000"/>
                <w:sz w:val="22"/>
                <w:szCs w:val="22"/>
                <w:lang w:val="es-CR"/>
              </w:rPr>
            </w:pPr>
            <w:r w:rsidRPr="00652515">
              <w:rPr>
                <w:rFonts w:ascii="Arial Narrow" w:eastAsia="Times New Roman" w:hAnsi="Arial Narrow" w:cs="Calibri"/>
                <w:b/>
                <w:bCs/>
                <w:color w:val="000000"/>
                <w:sz w:val="22"/>
                <w:szCs w:val="22"/>
                <w:lang w:val="es-CR"/>
              </w:rPr>
              <w:t>Préstamos de organismos nacionales e internacionales</w:t>
            </w:r>
          </w:p>
        </w:tc>
        <w:tc>
          <w:tcPr>
            <w:tcW w:w="2151" w:type="dxa"/>
            <w:tcBorders>
              <w:top w:val="single" w:sz="8" w:space="0" w:color="auto"/>
              <w:left w:val="nil"/>
              <w:bottom w:val="single" w:sz="8" w:space="0" w:color="auto"/>
              <w:right w:val="single" w:sz="8" w:space="0" w:color="auto"/>
            </w:tcBorders>
            <w:shd w:val="clear" w:color="auto" w:fill="auto"/>
            <w:vAlign w:val="center"/>
            <w:hideMark/>
          </w:tcPr>
          <w:p w14:paraId="4A750B19" w14:textId="7B37DC99" w:rsidR="00652515" w:rsidRDefault="00132376" w:rsidP="00132376">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NICSP N° 30,</w:t>
            </w:r>
          </w:p>
          <w:p w14:paraId="1FEA25E3" w14:textId="14819670" w:rsidR="00132376" w:rsidRPr="00652515" w:rsidRDefault="00132376" w:rsidP="00132376">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Párrafo 8.</w:t>
            </w:r>
          </w:p>
        </w:tc>
        <w:tc>
          <w:tcPr>
            <w:tcW w:w="1891" w:type="dxa"/>
            <w:tcBorders>
              <w:top w:val="single" w:sz="8" w:space="0" w:color="auto"/>
              <w:left w:val="nil"/>
              <w:bottom w:val="single" w:sz="8" w:space="0" w:color="auto"/>
              <w:right w:val="single" w:sz="8" w:space="0" w:color="auto"/>
            </w:tcBorders>
            <w:shd w:val="clear" w:color="auto" w:fill="auto"/>
            <w:vAlign w:val="center"/>
            <w:hideMark/>
          </w:tcPr>
          <w:p w14:paraId="74BC48DB" w14:textId="77777777" w:rsidR="00132376" w:rsidRPr="00652515" w:rsidRDefault="00132376" w:rsidP="00132376">
            <w:pP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DGCN</w:t>
            </w:r>
          </w:p>
        </w:tc>
      </w:tr>
      <w:tr w:rsidR="00132376" w:rsidRPr="006E5442" w14:paraId="58B184C5" w14:textId="77777777" w:rsidTr="00B1018E">
        <w:trPr>
          <w:trHeight w:val="570"/>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9C5D485" w14:textId="77777777" w:rsidR="00132376" w:rsidRPr="00652515" w:rsidRDefault="00132376" w:rsidP="00132376">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2</w:t>
            </w:r>
          </w:p>
        </w:tc>
        <w:tc>
          <w:tcPr>
            <w:tcW w:w="417" w:type="dxa"/>
            <w:tcBorders>
              <w:top w:val="nil"/>
              <w:left w:val="nil"/>
              <w:bottom w:val="single" w:sz="8" w:space="0" w:color="auto"/>
              <w:right w:val="single" w:sz="8" w:space="0" w:color="auto"/>
            </w:tcBorders>
            <w:shd w:val="clear" w:color="auto" w:fill="auto"/>
            <w:noWrap/>
            <w:vAlign w:val="center"/>
            <w:hideMark/>
          </w:tcPr>
          <w:p w14:paraId="2576C6C3" w14:textId="77777777" w:rsidR="00132376" w:rsidRPr="00652515" w:rsidRDefault="00132376" w:rsidP="00132376">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79</w:t>
            </w:r>
          </w:p>
        </w:tc>
        <w:tc>
          <w:tcPr>
            <w:tcW w:w="613" w:type="dxa"/>
            <w:tcBorders>
              <w:top w:val="nil"/>
              <w:left w:val="nil"/>
              <w:bottom w:val="single" w:sz="8" w:space="0" w:color="auto"/>
              <w:right w:val="single" w:sz="8" w:space="0" w:color="auto"/>
            </w:tcBorders>
            <w:shd w:val="clear" w:color="auto" w:fill="auto"/>
            <w:vAlign w:val="center"/>
            <w:hideMark/>
          </w:tcPr>
          <w:p w14:paraId="58B3F583" w14:textId="77777777" w:rsidR="00132376" w:rsidRPr="00652515" w:rsidRDefault="00132376" w:rsidP="00132376">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1</w:t>
            </w:r>
          </w:p>
        </w:tc>
        <w:tc>
          <w:tcPr>
            <w:tcW w:w="3686" w:type="dxa"/>
            <w:tcBorders>
              <w:top w:val="nil"/>
              <w:left w:val="nil"/>
              <w:bottom w:val="single" w:sz="8" w:space="0" w:color="auto"/>
              <w:right w:val="single" w:sz="8" w:space="0" w:color="auto"/>
            </w:tcBorders>
            <w:shd w:val="clear" w:color="auto" w:fill="auto"/>
            <w:vAlign w:val="center"/>
            <w:hideMark/>
          </w:tcPr>
          <w:p w14:paraId="0ADE9828" w14:textId="77777777" w:rsidR="00132376" w:rsidRPr="00652515" w:rsidRDefault="00132376" w:rsidP="00132376">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Elementos de los contratos</w:t>
            </w:r>
          </w:p>
        </w:tc>
        <w:tc>
          <w:tcPr>
            <w:tcW w:w="2151" w:type="dxa"/>
            <w:tcBorders>
              <w:top w:val="nil"/>
              <w:left w:val="nil"/>
              <w:bottom w:val="single" w:sz="8" w:space="0" w:color="auto"/>
              <w:right w:val="single" w:sz="8" w:space="0" w:color="auto"/>
            </w:tcBorders>
            <w:shd w:val="clear" w:color="auto" w:fill="auto"/>
            <w:vAlign w:val="center"/>
            <w:hideMark/>
          </w:tcPr>
          <w:p w14:paraId="187FE9C9" w14:textId="77777777" w:rsidR="00132376" w:rsidRPr="00652515" w:rsidRDefault="00132376" w:rsidP="00132376">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 xml:space="preserve"> </w:t>
            </w:r>
          </w:p>
        </w:tc>
        <w:tc>
          <w:tcPr>
            <w:tcW w:w="1891" w:type="dxa"/>
            <w:tcBorders>
              <w:top w:val="nil"/>
              <w:left w:val="nil"/>
              <w:bottom w:val="single" w:sz="8" w:space="0" w:color="auto"/>
              <w:right w:val="single" w:sz="8" w:space="0" w:color="auto"/>
            </w:tcBorders>
            <w:shd w:val="clear" w:color="auto" w:fill="auto"/>
            <w:vAlign w:val="center"/>
            <w:hideMark/>
          </w:tcPr>
          <w:p w14:paraId="7E3880C8" w14:textId="77777777" w:rsidR="00132376" w:rsidRPr="00652515" w:rsidRDefault="00132376" w:rsidP="00132376">
            <w:pPr>
              <w:rPr>
                <w:rFonts w:ascii="Arial Narrow" w:eastAsia="Times New Roman" w:hAnsi="Arial Narrow" w:cs="Calibri"/>
                <w:b/>
                <w:bCs/>
                <w:color w:val="000000"/>
                <w:sz w:val="22"/>
                <w:szCs w:val="22"/>
                <w:lang w:val="es-CR"/>
              </w:rPr>
            </w:pPr>
            <w:r w:rsidRPr="00652515">
              <w:rPr>
                <w:rFonts w:ascii="Arial Narrow" w:eastAsia="Times New Roman" w:hAnsi="Arial Narrow" w:cs="Calibri"/>
                <w:b/>
                <w:bCs/>
                <w:color w:val="000000"/>
                <w:sz w:val="22"/>
                <w:szCs w:val="22"/>
                <w:lang w:val="es-CR"/>
              </w:rPr>
              <w:t>Decreto N° 35222-H artículo 11 y 12</w:t>
            </w:r>
          </w:p>
        </w:tc>
      </w:tr>
      <w:tr w:rsidR="00132376" w:rsidRPr="00652515" w14:paraId="26FD32BD" w14:textId="77777777" w:rsidTr="00B1018E">
        <w:trPr>
          <w:trHeight w:val="320"/>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D3F6D2F" w14:textId="77777777" w:rsidR="00132376" w:rsidRPr="00652515" w:rsidRDefault="00132376" w:rsidP="00132376">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2</w:t>
            </w:r>
          </w:p>
        </w:tc>
        <w:tc>
          <w:tcPr>
            <w:tcW w:w="417" w:type="dxa"/>
            <w:tcBorders>
              <w:top w:val="nil"/>
              <w:left w:val="nil"/>
              <w:bottom w:val="single" w:sz="8" w:space="0" w:color="auto"/>
              <w:right w:val="single" w:sz="8" w:space="0" w:color="auto"/>
            </w:tcBorders>
            <w:shd w:val="clear" w:color="auto" w:fill="auto"/>
            <w:noWrap/>
            <w:vAlign w:val="center"/>
            <w:hideMark/>
          </w:tcPr>
          <w:p w14:paraId="754C61F6" w14:textId="77777777" w:rsidR="00132376" w:rsidRPr="00652515" w:rsidRDefault="00132376" w:rsidP="00132376">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79</w:t>
            </w:r>
          </w:p>
        </w:tc>
        <w:tc>
          <w:tcPr>
            <w:tcW w:w="613" w:type="dxa"/>
            <w:tcBorders>
              <w:top w:val="nil"/>
              <w:left w:val="nil"/>
              <w:bottom w:val="single" w:sz="8" w:space="0" w:color="auto"/>
              <w:right w:val="single" w:sz="8" w:space="0" w:color="auto"/>
            </w:tcBorders>
            <w:shd w:val="clear" w:color="auto" w:fill="auto"/>
            <w:vAlign w:val="center"/>
            <w:hideMark/>
          </w:tcPr>
          <w:p w14:paraId="0E571BEC" w14:textId="77777777" w:rsidR="00132376" w:rsidRPr="00652515" w:rsidRDefault="00132376" w:rsidP="00132376">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2</w:t>
            </w:r>
          </w:p>
        </w:tc>
        <w:tc>
          <w:tcPr>
            <w:tcW w:w="3686" w:type="dxa"/>
            <w:tcBorders>
              <w:top w:val="nil"/>
              <w:left w:val="nil"/>
              <w:bottom w:val="single" w:sz="8" w:space="0" w:color="auto"/>
              <w:right w:val="single" w:sz="8" w:space="0" w:color="auto"/>
            </w:tcBorders>
            <w:shd w:val="clear" w:color="auto" w:fill="auto"/>
            <w:vAlign w:val="center"/>
            <w:hideMark/>
          </w:tcPr>
          <w:p w14:paraId="3ED6E275" w14:textId="77777777" w:rsidR="00132376" w:rsidRPr="00652515" w:rsidRDefault="00132376" w:rsidP="00132376">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Tratamiento contable</w:t>
            </w:r>
          </w:p>
        </w:tc>
        <w:tc>
          <w:tcPr>
            <w:tcW w:w="2151" w:type="dxa"/>
            <w:tcBorders>
              <w:top w:val="nil"/>
              <w:left w:val="nil"/>
              <w:bottom w:val="single" w:sz="8" w:space="0" w:color="auto"/>
              <w:right w:val="single" w:sz="8" w:space="0" w:color="auto"/>
            </w:tcBorders>
            <w:shd w:val="clear" w:color="auto" w:fill="auto"/>
            <w:vAlign w:val="center"/>
            <w:hideMark/>
          </w:tcPr>
          <w:p w14:paraId="54BA8569" w14:textId="77777777" w:rsidR="00132376" w:rsidRPr="00652515" w:rsidRDefault="00132376" w:rsidP="00132376">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 xml:space="preserve"> </w:t>
            </w:r>
          </w:p>
        </w:tc>
        <w:tc>
          <w:tcPr>
            <w:tcW w:w="1891" w:type="dxa"/>
            <w:tcBorders>
              <w:top w:val="nil"/>
              <w:left w:val="nil"/>
              <w:bottom w:val="single" w:sz="8" w:space="0" w:color="auto"/>
              <w:right w:val="single" w:sz="8" w:space="0" w:color="auto"/>
            </w:tcBorders>
            <w:shd w:val="clear" w:color="auto" w:fill="auto"/>
            <w:vAlign w:val="center"/>
            <w:hideMark/>
          </w:tcPr>
          <w:p w14:paraId="129CDDFF" w14:textId="77777777" w:rsidR="00132376" w:rsidRPr="00652515" w:rsidRDefault="00132376" w:rsidP="00132376">
            <w:pP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DGCN</w:t>
            </w:r>
          </w:p>
        </w:tc>
      </w:tr>
    </w:tbl>
    <w:p w14:paraId="2D6CA1A9" w14:textId="77777777" w:rsidR="00C25ADE" w:rsidRDefault="00C25ADE" w:rsidP="00C130F0">
      <w:pPr>
        <w:pStyle w:val="Default"/>
        <w:jc w:val="both"/>
        <w:rPr>
          <w:sz w:val="22"/>
          <w:szCs w:val="22"/>
          <w:lang w:val="es-CR"/>
        </w:rPr>
      </w:pPr>
    </w:p>
    <w:p w14:paraId="30379256" w14:textId="5EF5C475" w:rsidR="00B1018E" w:rsidRDefault="00B1018E" w:rsidP="00C130F0">
      <w:pPr>
        <w:pStyle w:val="Default"/>
        <w:jc w:val="both"/>
        <w:rPr>
          <w:rFonts w:eastAsia="Arial"/>
          <w:b/>
          <w:sz w:val="22"/>
          <w:szCs w:val="22"/>
        </w:rPr>
      </w:pPr>
      <w:r w:rsidRPr="00F02F9D">
        <w:rPr>
          <w:rFonts w:eastAsia="Arial"/>
          <w:b/>
          <w:sz w:val="22"/>
          <w:szCs w:val="22"/>
        </w:rPr>
        <w:t>Políticas Contables</w:t>
      </w:r>
    </w:p>
    <w:p w14:paraId="3D6CDE90" w14:textId="77777777" w:rsidR="00B1018E" w:rsidRDefault="00B1018E" w:rsidP="00C130F0">
      <w:pPr>
        <w:pStyle w:val="Default"/>
        <w:jc w:val="both"/>
        <w:rPr>
          <w:sz w:val="22"/>
          <w:szCs w:val="22"/>
          <w:lang w:val="es-CR"/>
        </w:rPr>
      </w:pPr>
    </w:p>
    <w:p w14:paraId="6F3B2085" w14:textId="4386A21D" w:rsidR="00132376" w:rsidRDefault="00F02EE2" w:rsidP="00F02EE2">
      <w:pPr>
        <w:pStyle w:val="Default"/>
        <w:ind w:left="1134" w:hanging="1134"/>
        <w:jc w:val="both"/>
        <w:rPr>
          <w:sz w:val="22"/>
          <w:szCs w:val="22"/>
          <w:lang w:val="es-CR"/>
        </w:rPr>
      </w:pPr>
      <w:r>
        <w:rPr>
          <w:sz w:val="22"/>
          <w:szCs w:val="22"/>
          <w:lang w:val="es-CR"/>
        </w:rPr>
        <w:t>2.79.0.01</w:t>
      </w:r>
      <w:r>
        <w:rPr>
          <w:sz w:val="22"/>
          <w:szCs w:val="22"/>
          <w:lang w:val="es-CR"/>
        </w:rPr>
        <w:tab/>
      </w:r>
      <w:r w:rsidR="00132376" w:rsidRPr="00132376">
        <w:rPr>
          <w:sz w:val="22"/>
          <w:szCs w:val="22"/>
          <w:lang w:val="es-CR"/>
        </w:rPr>
        <w:t xml:space="preserve">Los préstamos son pasivos estructurales diferentes de las cuentas comerciales por pagar a corto plazo en condiciones normales de crédito, y pueden ser otorgados a la </w:t>
      </w:r>
      <w:r w:rsidR="000F29DC">
        <w:rPr>
          <w:sz w:val="22"/>
          <w:szCs w:val="22"/>
          <w:lang w:val="es-CR"/>
        </w:rPr>
        <w:t>MBA</w:t>
      </w:r>
      <w:r w:rsidR="00132376" w:rsidRPr="00132376">
        <w:rPr>
          <w:sz w:val="22"/>
          <w:szCs w:val="22"/>
          <w:lang w:val="es-CR"/>
        </w:rPr>
        <w:t xml:space="preserve"> por:</w:t>
      </w:r>
    </w:p>
    <w:p w14:paraId="03F5C6E1" w14:textId="77777777" w:rsidR="00F02EE2" w:rsidRPr="00132376" w:rsidRDefault="00F02EE2" w:rsidP="00F02EE2">
      <w:pPr>
        <w:pStyle w:val="Default"/>
        <w:jc w:val="both"/>
        <w:rPr>
          <w:sz w:val="22"/>
          <w:szCs w:val="22"/>
          <w:lang w:val="es-CR"/>
        </w:rPr>
      </w:pPr>
    </w:p>
    <w:p w14:paraId="4A5B8C92" w14:textId="778F3E24" w:rsidR="00132376" w:rsidRPr="00132376" w:rsidRDefault="00132376">
      <w:pPr>
        <w:pStyle w:val="Default"/>
        <w:numPr>
          <w:ilvl w:val="0"/>
          <w:numId w:val="182"/>
        </w:numPr>
        <w:spacing w:after="120"/>
        <w:ind w:left="1418" w:hanging="284"/>
        <w:jc w:val="both"/>
        <w:rPr>
          <w:sz w:val="22"/>
          <w:szCs w:val="22"/>
          <w:lang w:val="es-CR"/>
        </w:rPr>
      </w:pPr>
      <w:r>
        <w:rPr>
          <w:sz w:val="22"/>
          <w:szCs w:val="22"/>
          <w:lang w:val="es-CR"/>
        </w:rPr>
        <w:t>B</w:t>
      </w:r>
      <w:r w:rsidRPr="00132376">
        <w:rPr>
          <w:sz w:val="22"/>
          <w:szCs w:val="22"/>
          <w:lang w:val="es-CR"/>
        </w:rPr>
        <w:t xml:space="preserve">anca pública o privada; </w:t>
      </w:r>
    </w:p>
    <w:p w14:paraId="352C996D" w14:textId="155798E3" w:rsidR="00132376" w:rsidRPr="00132376" w:rsidRDefault="00132376">
      <w:pPr>
        <w:pStyle w:val="Default"/>
        <w:numPr>
          <w:ilvl w:val="0"/>
          <w:numId w:val="182"/>
        </w:numPr>
        <w:spacing w:after="120"/>
        <w:ind w:left="1418" w:hanging="284"/>
        <w:jc w:val="both"/>
        <w:rPr>
          <w:sz w:val="22"/>
          <w:szCs w:val="22"/>
          <w:lang w:val="es-CR"/>
        </w:rPr>
      </w:pPr>
      <w:r>
        <w:rPr>
          <w:sz w:val="22"/>
          <w:szCs w:val="22"/>
          <w:lang w:val="es-CR"/>
        </w:rPr>
        <w:t>E</w:t>
      </w:r>
      <w:r w:rsidRPr="00132376">
        <w:rPr>
          <w:sz w:val="22"/>
          <w:szCs w:val="22"/>
          <w:lang w:val="es-CR"/>
        </w:rPr>
        <w:t xml:space="preserve">mpresas no financieras públicas o privadas; </w:t>
      </w:r>
    </w:p>
    <w:p w14:paraId="0B06C304" w14:textId="704FC342" w:rsidR="00132376" w:rsidRPr="00132376" w:rsidRDefault="00132376">
      <w:pPr>
        <w:pStyle w:val="Default"/>
        <w:numPr>
          <w:ilvl w:val="0"/>
          <w:numId w:val="182"/>
        </w:numPr>
        <w:ind w:left="1418" w:hanging="284"/>
        <w:jc w:val="both"/>
        <w:rPr>
          <w:sz w:val="22"/>
          <w:szCs w:val="22"/>
          <w:lang w:val="es-CR"/>
        </w:rPr>
      </w:pPr>
      <w:r>
        <w:rPr>
          <w:sz w:val="22"/>
          <w:szCs w:val="22"/>
          <w:lang w:val="es-CR"/>
        </w:rPr>
        <w:t>O</w:t>
      </w:r>
      <w:r w:rsidRPr="00132376">
        <w:rPr>
          <w:sz w:val="22"/>
          <w:szCs w:val="22"/>
          <w:lang w:val="es-CR"/>
        </w:rPr>
        <w:t xml:space="preserve">rganismos internacionales de crédito, siendo éstos instituciones financieras que conceden préstamos a los países </w:t>
      </w:r>
      <w:r w:rsidR="000E5DF8" w:rsidRPr="00132376">
        <w:rPr>
          <w:sz w:val="22"/>
          <w:szCs w:val="22"/>
          <w:lang w:val="es-CR"/>
        </w:rPr>
        <w:t>mie</w:t>
      </w:r>
      <w:r w:rsidR="000E5DF8">
        <w:rPr>
          <w:sz w:val="22"/>
          <w:szCs w:val="22"/>
          <w:lang w:val="es-CR"/>
        </w:rPr>
        <w:t>mbr</w:t>
      </w:r>
      <w:r w:rsidR="000E5DF8" w:rsidRPr="00132376">
        <w:rPr>
          <w:sz w:val="22"/>
          <w:szCs w:val="22"/>
          <w:lang w:val="es-CR"/>
        </w:rPr>
        <w:t>os</w:t>
      </w:r>
      <w:r w:rsidRPr="00132376">
        <w:rPr>
          <w:sz w:val="22"/>
          <w:szCs w:val="22"/>
          <w:lang w:val="es-CR"/>
        </w:rPr>
        <w:t xml:space="preserve">, con el objetivo de fomentar su desarrollo, como así </w:t>
      </w:r>
      <w:r w:rsidR="000E5DF8" w:rsidRPr="00132376">
        <w:rPr>
          <w:sz w:val="22"/>
          <w:szCs w:val="22"/>
          <w:lang w:val="es-CR"/>
        </w:rPr>
        <w:t>ta</w:t>
      </w:r>
      <w:r w:rsidR="000E5DF8">
        <w:rPr>
          <w:sz w:val="22"/>
          <w:szCs w:val="22"/>
          <w:lang w:val="es-CR"/>
        </w:rPr>
        <w:t>mbi</w:t>
      </w:r>
      <w:r w:rsidR="000E5DF8" w:rsidRPr="00132376">
        <w:rPr>
          <w:sz w:val="22"/>
          <w:szCs w:val="22"/>
          <w:lang w:val="es-CR"/>
        </w:rPr>
        <w:t>én</w:t>
      </w:r>
      <w:r w:rsidRPr="00132376">
        <w:rPr>
          <w:sz w:val="22"/>
          <w:szCs w:val="22"/>
          <w:lang w:val="es-CR"/>
        </w:rPr>
        <w:t xml:space="preserve"> el de resolver problemas circunstanciales. </w:t>
      </w:r>
    </w:p>
    <w:p w14:paraId="1D7430D2" w14:textId="77777777" w:rsidR="00132376" w:rsidRPr="00132376" w:rsidRDefault="00132376" w:rsidP="00132376">
      <w:pPr>
        <w:pStyle w:val="Default"/>
        <w:rPr>
          <w:sz w:val="22"/>
          <w:szCs w:val="22"/>
          <w:lang w:val="es-CR"/>
        </w:rPr>
      </w:pPr>
    </w:p>
    <w:p w14:paraId="0C3B1395" w14:textId="4D343BED" w:rsidR="00F02EE2" w:rsidRDefault="00F02EE2" w:rsidP="00F02EE2">
      <w:pPr>
        <w:pStyle w:val="Default"/>
        <w:spacing w:after="36"/>
        <w:ind w:left="1134" w:hanging="1134"/>
        <w:jc w:val="both"/>
        <w:rPr>
          <w:sz w:val="22"/>
          <w:szCs w:val="22"/>
          <w:lang w:val="es-CR"/>
        </w:rPr>
      </w:pPr>
      <w:r>
        <w:rPr>
          <w:sz w:val="22"/>
          <w:szCs w:val="22"/>
          <w:lang w:val="es-CR"/>
        </w:rPr>
        <w:t xml:space="preserve">2.79.1.01 </w:t>
      </w:r>
      <w:r>
        <w:rPr>
          <w:sz w:val="22"/>
          <w:szCs w:val="22"/>
          <w:lang w:val="es-CR"/>
        </w:rPr>
        <w:tab/>
      </w:r>
      <w:r w:rsidR="00132376" w:rsidRPr="00132376">
        <w:rPr>
          <w:sz w:val="22"/>
          <w:szCs w:val="22"/>
          <w:lang w:val="es-CR"/>
        </w:rPr>
        <w:t>Un contrato típico de préstamo tiene generalmente los siguientes elementos a considerar:</w:t>
      </w:r>
    </w:p>
    <w:p w14:paraId="78E6D9B8" w14:textId="67DFB54C" w:rsidR="00132376" w:rsidRDefault="00132376" w:rsidP="00F02EE2">
      <w:pPr>
        <w:pStyle w:val="Default"/>
        <w:spacing w:after="36"/>
        <w:ind w:left="1134" w:hanging="1134"/>
        <w:jc w:val="both"/>
        <w:rPr>
          <w:sz w:val="22"/>
          <w:szCs w:val="22"/>
          <w:lang w:val="es-CR"/>
        </w:rPr>
      </w:pPr>
      <w:r w:rsidRPr="00132376">
        <w:rPr>
          <w:sz w:val="22"/>
          <w:szCs w:val="22"/>
          <w:lang w:val="es-CR"/>
        </w:rPr>
        <w:t xml:space="preserve"> </w:t>
      </w:r>
    </w:p>
    <w:p w14:paraId="406C9DEF" w14:textId="3F903584" w:rsidR="00132376" w:rsidRPr="00132376" w:rsidRDefault="000E5DF8">
      <w:pPr>
        <w:pStyle w:val="Default"/>
        <w:numPr>
          <w:ilvl w:val="1"/>
          <w:numId w:val="181"/>
        </w:numPr>
        <w:spacing w:after="120"/>
        <w:ind w:left="1418" w:hanging="284"/>
        <w:jc w:val="both"/>
        <w:rPr>
          <w:sz w:val="22"/>
          <w:szCs w:val="22"/>
          <w:lang w:val="es-CR"/>
        </w:rPr>
      </w:pPr>
      <w:r>
        <w:rPr>
          <w:sz w:val="22"/>
          <w:szCs w:val="22"/>
          <w:lang w:val="es-CR"/>
        </w:rPr>
        <w:t>D</w:t>
      </w:r>
      <w:r w:rsidRPr="00132376">
        <w:rPr>
          <w:sz w:val="22"/>
          <w:szCs w:val="22"/>
          <w:lang w:val="es-CR"/>
        </w:rPr>
        <w:t>ese</w:t>
      </w:r>
      <w:r>
        <w:rPr>
          <w:sz w:val="22"/>
          <w:szCs w:val="22"/>
          <w:lang w:val="es-CR"/>
        </w:rPr>
        <w:t>mbo</w:t>
      </w:r>
      <w:r w:rsidRPr="00132376">
        <w:rPr>
          <w:sz w:val="22"/>
          <w:szCs w:val="22"/>
          <w:lang w:val="es-CR"/>
        </w:rPr>
        <w:t>lsos</w:t>
      </w:r>
      <w:r w:rsidR="00132376" w:rsidRPr="00132376">
        <w:rPr>
          <w:sz w:val="22"/>
          <w:szCs w:val="22"/>
          <w:lang w:val="es-CR"/>
        </w:rPr>
        <w:t xml:space="preserve"> esperados; </w:t>
      </w:r>
    </w:p>
    <w:p w14:paraId="21F3C220" w14:textId="7DFD9BF8" w:rsidR="00132376" w:rsidRPr="00132376" w:rsidRDefault="00132376">
      <w:pPr>
        <w:pStyle w:val="Default"/>
        <w:numPr>
          <w:ilvl w:val="1"/>
          <w:numId w:val="181"/>
        </w:numPr>
        <w:spacing w:after="120"/>
        <w:ind w:left="1418" w:hanging="284"/>
        <w:jc w:val="both"/>
        <w:rPr>
          <w:sz w:val="22"/>
          <w:szCs w:val="22"/>
          <w:lang w:val="es-CR"/>
        </w:rPr>
      </w:pPr>
      <w:r>
        <w:rPr>
          <w:sz w:val="22"/>
          <w:szCs w:val="22"/>
          <w:lang w:val="es-CR"/>
        </w:rPr>
        <w:t>I</w:t>
      </w:r>
      <w:r w:rsidRPr="00132376">
        <w:rPr>
          <w:sz w:val="22"/>
          <w:szCs w:val="22"/>
          <w:lang w:val="es-CR"/>
        </w:rPr>
        <w:t xml:space="preserve">nterés, amortizaciones y comisión del crédito; </w:t>
      </w:r>
    </w:p>
    <w:p w14:paraId="1F6B1979" w14:textId="61CA8796" w:rsidR="00132376" w:rsidRPr="00132376" w:rsidRDefault="00132376">
      <w:pPr>
        <w:pStyle w:val="Default"/>
        <w:numPr>
          <w:ilvl w:val="1"/>
          <w:numId w:val="181"/>
        </w:numPr>
        <w:spacing w:after="120"/>
        <w:ind w:left="1418" w:hanging="284"/>
        <w:jc w:val="both"/>
        <w:rPr>
          <w:sz w:val="22"/>
          <w:szCs w:val="22"/>
          <w:lang w:val="es-CR"/>
        </w:rPr>
      </w:pPr>
      <w:r>
        <w:rPr>
          <w:sz w:val="22"/>
          <w:szCs w:val="22"/>
          <w:lang w:val="es-CR"/>
        </w:rPr>
        <w:t>T</w:t>
      </w:r>
      <w:r w:rsidRPr="00132376">
        <w:rPr>
          <w:sz w:val="22"/>
          <w:szCs w:val="22"/>
          <w:lang w:val="es-CR"/>
        </w:rPr>
        <w:t xml:space="preserve">ipo de moneda, lugar de pagos, tratamiento impositivo; </w:t>
      </w:r>
    </w:p>
    <w:p w14:paraId="6ABCF43F" w14:textId="0E6595D8" w:rsidR="00132376" w:rsidRPr="00132376" w:rsidRDefault="00132376">
      <w:pPr>
        <w:pStyle w:val="Default"/>
        <w:numPr>
          <w:ilvl w:val="1"/>
          <w:numId w:val="181"/>
        </w:numPr>
        <w:spacing w:after="120"/>
        <w:ind w:left="1418" w:hanging="284"/>
        <w:jc w:val="both"/>
        <w:rPr>
          <w:sz w:val="22"/>
          <w:szCs w:val="22"/>
          <w:lang w:val="es-CR"/>
        </w:rPr>
      </w:pPr>
      <w:r>
        <w:rPr>
          <w:sz w:val="22"/>
          <w:szCs w:val="22"/>
          <w:lang w:val="es-CR"/>
        </w:rPr>
        <w:t>C</w:t>
      </w:r>
      <w:r w:rsidRPr="00132376">
        <w:rPr>
          <w:sz w:val="22"/>
          <w:szCs w:val="22"/>
          <w:lang w:val="es-CR"/>
        </w:rPr>
        <w:t xml:space="preserve">ondiciones relativas a los </w:t>
      </w:r>
      <w:r w:rsidR="000E5DF8" w:rsidRPr="00132376">
        <w:rPr>
          <w:sz w:val="22"/>
          <w:szCs w:val="22"/>
          <w:lang w:val="es-CR"/>
        </w:rPr>
        <w:t>dese</w:t>
      </w:r>
      <w:r w:rsidR="000E5DF8">
        <w:rPr>
          <w:sz w:val="22"/>
          <w:szCs w:val="22"/>
          <w:lang w:val="es-CR"/>
        </w:rPr>
        <w:t>mbo</w:t>
      </w:r>
      <w:r w:rsidR="000E5DF8" w:rsidRPr="00132376">
        <w:rPr>
          <w:sz w:val="22"/>
          <w:szCs w:val="22"/>
          <w:lang w:val="es-CR"/>
        </w:rPr>
        <w:t>lsos</w:t>
      </w:r>
      <w:r w:rsidRPr="00132376">
        <w:rPr>
          <w:sz w:val="22"/>
          <w:szCs w:val="22"/>
          <w:lang w:val="es-CR"/>
        </w:rPr>
        <w:t xml:space="preserve"> y a los procedimientos; </w:t>
      </w:r>
    </w:p>
    <w:p w14:paraId="6DF3050D" w14:textId="7393F95E" w:rsidR="00132376" w:rsidRPr="00132376" w:rsidRDefault="00132376">
      <w:pPr>
        <w:pStyle w:val="Default"/>
        <w:numPr>
          <w:ilvl w:val="1"/>
          <w:numId w:val="181"/>
        </w:numPr>
        <w:spacing w:after="120"/>
        <w:ind w:left="1418" w:hanging="284"/>
        <w:jc w:val="both"/>
        <w:rPr>
          <w:sz w:val="22"/>
          <w:szCs w:val="22"/>
          <w:lang w:val="es-CR"/>
        </w:rPr>
      </w:pPr>
      <w:r>
        <w:rPr>
          <w:sz w:val="22"/>
          <w:szCs w:val="22"/>
          <w:lang w:val="es-CR"/>
        </w:rPr>
        <w:t>S</w:t>
      </w:r>
      <w:r w:rsidRPr="00132376">
        <w:rPr>
          <w:sz w:val="22"/>
          <w:szCs w:val="22"/>
          <w:lang w:val="es-CR"/>
        </w:rPr>
        <w:t xml:space="preserve">uspensión de </w:t>
      </w:r>
      <w:r w:rsidR="000E5DF8" w:rsidRPr="00132376">
        <w:rPr>
          <w:sz w:val="22"/>
          <w:szCs w:val="22"/>
          <w:lang w:val="es-CR"/>
        </w:rPr>
        <w:t>dese</w:t>
      </w:r>
      <w:r w:rsidR="000E5DF8">
        <w:rPr>
          <w:sz w:val="22"/>
          <w:szCs w:val="22"/>
          <w:lang w:val="es-CR"/>
        </w:rPr>
        <w:t>mbo</w:t>
      </w:r>
      <w:r w:rsidR="000E5DF8" w:rsidRPr="00132376">
        <w:rPr>
          <w:sz w:val="22"/>
          <w:szCs w:val="22"/>
          <w:lang w:val="es-CR"/>
        </w:rPr>
        <w:t>lsos</w:t>
      </w:r>
      <w:r w:rsidRPr="00132376">
        <w:rPr>
          <w:sz w:val="22"/>
          <w:szCs w:val="22"/>
          <w:lang w:val="es-CR"/>
        </w:rPr>
        <w:t xml:space="preserve"> y vencimiento anticipado (en caso de no pago de la deuda; </w:t>
      </w:r>
    </w:p>
    <w:p w14:paraId="1F15C0B5" w14:textId="5F7936E7" w:rsidR="00132376" w:rsidRPr="00132376" w:rsidRDefault="00132376">
      <w:pPr>
        <w:pStyle w:val="Default"/>
        <w:numPr>
          <w:ilvl w:val="1"/>
          <w:numId w:val="181"/>
        </w:numPr>
        <w:spacing w:after="120"/>
        <w:ind w:left="1418" w:hanging="284"/>
        <w:jc w:val="both"/>
        <w:rPr>
          <w:sz w:val="22"/>
          <w:szCs w:val="22"/>
          <w:lang w:val="es-CR"/>
        </w:rPr>
      </w:pPr>
      <w:r>
        <w:rPr>
          <w:sz w:val="22"/>
          <w:szCs w:val="22"/>
          <w:lang w:val="es-CR"/>
        </w:rPr>
        <w:lastRenderedPageBreak/>
        <w:t>L</w:t>
      </w:r>
      <w:r w:rsidRPr="00132376">
        <w:rPr>
          <w:sz w:val="22"/>
          <w:szCs w:val="22"/>
          <w:lang w:val="es-CR"/>
        </w:rPr>
        <w:t xml:space="preserve">a ejecución del programa, que puede ser hecha con los recursos del financiamiento y condiciones para llevar a cabo las contrataciones a cargo del préstamo; </w:t>
      </w:r>
    </w:p>
    <w:p w14:paraId="208E9255" w14:textId="42D9980F" w:rsidR="00132376" w:rsidRPr="00132376" w:rsidRDefault="00132376">
      <w:pPr>
        <w:pStyle w:val="Default"/>
        <w:numPr>
          <w:ilvl w:val="1"/>
          <w:numId w:val="181"/>
        </w:numPr>
        <w:spacing w:after="120"/>
        <w:ind w:left="1418" w:hanging="284"/>
        <w:jc w:val="both"/>
        <w:rPr>
          <w:sz w:val="22"/>
          <w:szCs w:val="22"/>
          <w:lang w:val="es-CR"/>
        </w:rPr>
      </w:pPr>
      <w:r>
        <w:rPr>
          <w:sz w:val="22"/>
          <w:szCs w:val="22"/>
          <w:lang w:val="es-CR"/>
        </w:rPr>
        <w:t>O</w:t>
      </w:r>
      <w:r w:rsidRPr="00132376">
        <w:rPr>
          <w:sz w:val="22"/>
          <w:szCs w:val="22"/>
          <w:lang w:val="es-CR"/>
        </w:rPr>
        <w:t xml:space="preserve">bligaciones del organismo ejecutor del préstamo (elaborar informes, controles, etc.); </w:t>
      </w:r>
    </w:p>
    <w:p w14:paraId="189091A9" w14:textId="55CEEE2C" w:rsidR="00132376" w:rsidRPr="00132376" w:rsidRDefault="00132376">
      <w:pPr>
        <w:pStyle w:val="Default"/>
        <w:numPr>
          <w:ilvl w:val="1"/>
          <w:numId w:val="181"/>
        </w:numPr>
        <w:spacing w:after="120"/>
        <w:ind w:left="1418" w:hanging="284"/>
        <w:jc w:val="both"/>
        <w:rPr>
          <w:sz w:val="22"/>
          <w:szCs w:val="22"/>
          <w:lang w:val="es-CR"/>
        </w:rPr>
      </w:pPr>
      <w:r>
        <w:rPr>
          <w:sz w:val="22"/>
          <w:szCs w:val="22"/>
          <w:lang w:val="es-CR"/>
        </w:rPr>
        <w:t>L</w:t>
      </w:r>
      <w:r w:rsidRPr="00132376">
        <w:rPr>
          <w:sz w:val="22"/>
          <w:szCs w:val="22"/>
          <w:lang w:val="es-CR"/>
        </w:rPr>
        <w:t xml:space="preserve">os procedimientos normales de registros, inspecciones e informes; y </w:t>
      </w:r>
    </w:p>
    <w:p w14:paraId="7D30BE82" w14:textId="79137C02" w:rsidR="00132376" w:rsidRPr="00132376" w:rsidRDefault="00132376">
      <w:pPr>
        <w:pStyle w:val="Default"/>
        <w:numPr>
          <w:ilvl w:val="1"/>
          <w:numId w:val="181"/>
        </w:numPr>
        <w:ind w:left="1418" w:hanging="284"/>
        <w:jc w:val="both"/>
        <w:rPr>
          <w:sz w:val="22"/>
          <w:szCs w:val="22"/>
          <w:lang w:val="es-CR"/>
        </w:rPr>
      </w:pPr>
      <w:r>
        <w:rPr>
          <w:sz w:val="22"/>
          <w:szCs w:val="22"/>
          <w:lang w:val="es-CR"/>
        </w:rPr>
        <w:t>C</w:t>
      </w:r>
      <w:r w:rsidRPr="00132376">
        <w:rPr>
          <w:sz w:val="22"/>
          <w:szCs w:val="22"/>
          <w:lang w:val="es-CR"/>
        </w:rPr>
        <w:t xml:space="preserve">omunicaciones entre las partes y mecanismos de resolución de diferencias. </w:t>
      </w:r>
    </w:p>
    <w:p w14:paraId="4F4D2670" w14:textId="77777777" w:rsidR="00132376" w:rsidRPr="00F02EE2" w:rsidRDefault="00132376">
      <w:pPr>
        <w:pStyle w:val="Default"/>
        <w:numPr>
          <w:ilvl w:val="1"/>
          <w:numId w:val="180"/>
        </w:numPr>
        <w:rPr>
          <w:sz w:val="22"/>
          <w:szCs w:val="22"/>
          <w:lang w:val="es-CR"/>
        </w:rPr>
      </w:pPr>
    </w:p>
    <w:p w14:paraId="59BBAA07" w14:textId="344AAA07" w:rsidR="00132376" w:rsidRDefault="00F02EE2" w:rsidP="00F02EE2">
      <w:pPr>
        <w:pStyle w:val="Default"/>
        <w:ind w:left="1134" w:hanging="1134"/>
        <w:jc w:val="both"/>
        <w:rPr>
          <w:sz w:val="22"/>
          <w:szCs w:val="22"/>
          <w:lang w:val="es-CR"/>
        </w:rPr>
      </w:pPr>
      <w:r>
        <w:rPr>
          <w:sz w:val="22"/>
          <w:szCs w:val="22"/>
          <w:lang w:val="es-CR"/>
        </w:rPr>
        <w:t>2.79.2.01</w:t>
      </w:r>
      <w:r>
        <w:rPr>
          <w:sz w:val="22"/>
          <w:szCs w:val="22"/>
          <w:lang w:val="es-CR"/>
        </w:rPr>
        <w:tab/>
      </w:r>
      <w:r w:rsidR="00132376" w:rsidRPr="00132376">
        <w:rPr>
          <w:sz w:val="22"/>
          <w:szCs w:val="22"/>
          <w:lang w:val="es-CR"/>
        </w:rPr>
        <w:t xml:space="preserve">La contabilización de cada préstamo se establecerá a </w:t>
      </w:r>
      <w:r>
        <w:rPr>
          <w:sz w:val="22"/>
          <w:szCs w:val="22"/>
          <w:lang w:val="es-CR"/>
        </w:rPr>
        <w:t>partir</w:t>
      </w:r>
      <w:r w:rsidR="00132376" w:rsidRPr="00132376">
        <w:rPr>
          <w:sz w:val="22"/>
          <w:szCs w:val="22"/>
          <w:lang w:val="es-CR"/>
        </w:rPr>
        <w:t xml:space="preserve"> de</w:t>
      </w:r>
      <w:r w:rsidR="00C5411A">
        <w:rPr>
          <w:sz w:val="22"/>
          <w:szCs w:val="22"/>
          <w:lang w:val="es-CR"/>
        </w:rPr>
        <w:t xml:space="preserve"> </w:t>
      </w:r>
      <w:r w:rsidR="00132376" w:rsidRPr="00132376">
        <w:rPr>
          <w:sz w:val="22"/>
          <w:szCs w:val="22"/>
          <w:lang w:val="es-CR"/>
        </w:rPr>
        <w:t>l</w:t>
      </w:r>
      <w:r w:rsidR="00C5411A">
        <w:rPr>
          <w:sz w:val="22"/>
          <w:szCs w:val="22"/>
          <w:lang w:val="es-CR"/>
        </w:rPr>
        <w:t>a</w:t>
      </w:r>
      <w:r>
        <w:rPr>
          <w:sz w:val="22"/>
          <w:szCs w:val="22"/>
          <w:lang w:val="es-CR"/>
        </w:rPr>
        <w:t xml:space="preserve"> </w:t>
      </w:r>
      <w:r w:rsidR="00C5411A">
        <w:rPr>
          <w:sz w:val="22"/>
          <w:szCs w:val="22"/>
          <w:lang w:val="es-CR"/>
        </w:rPr>
        <w:t>aprobación del</w:t>
      </w:r>
      <w:r>
        <w:rPr>
          <w:sz w:val="22"/>
          <w:szCs w:val="22"/>
          <w:lang w:val="es-CR"/>
        </w:rPr>
        <w:t xml:space="preserve"> contrato </w:t>
      </w:r>
      <w:r w:rsidR="00C5411A">
        <w:rPr>
          <w:sz w:val="22"/>
          <w:szCs w:val="22"/>
          <w:lang w:val="es-CR"/>
        </w:rPr>
        <w:t xml:space="preserve">por la máxima autoridad de la Municipalidad y en el caso que corresponda luego de obtener el refrendo de la CGR. </w:t>
      </w:r>
      <w:r w:rsidR="00C5411A" w:rsidRPr="00C5411A">
        <w:rPr>
          <w:sz w:val="22"/>
          <w:szCs w:val="22"/>
          <w:lang w:val="es-CR"/>
        </w:rPr>
        <w:t>Que incluya la documentación correspondiente con cada empréstito.</w:t>
      </w:r>
      <w:r w:rsidR="00C5411A">
        <w:rPr>
          <w:sz w:val="22"/>
          <w:szCs w:val="22"/>
          <w:lang w:val="es-CR"/>
        </w:rPr>
        <w:t xml:space="preserve"> En el caso de préstamos con organismos internacionales la aprobación de la </w:t>
      </w:r>
      <w:r>
        <w:rPr>
          <w:sz w:val="22"/>
          <w:szCs w:val="22"/>
          <w:lang w:val="es-CR"/>
        </w:rPr>
        <w:t>ley</w:t>
      </w:r>
      <w:r w:rsidR="00132376" w:rsidRPr="00132376">
        <w:rPr>
          <w:sz w:val="22"/>
          <w:szCs w:val="22"/>
          <w:lang w:val="es-CR"/>
        </w:rPr>
        <w:t xml:space="preserve"> que lo autoriza, </w:t>
      </w:r>
      <w:r>
        <w:rPr>
          <w:sz w:val="22"/>
          <w:szCs w:val="22"/>
          <w:lang w:val="es-CR"/>
        </w:rPr>
        <w:t>y lo establecido</w:t>
      </w:r>
      <w:r w:rsidR="00132376" w:rsidRPr="00132376">
        <w:rPr>
          <w:sz w:val="22"/>
          <w:szCs w:val="22"/>
          <w:lang w:val="es-CR"/>
        </w:rPr>
        <w:t xml:space="preserve"> por la DGCN, conjuntamente con el Órgano Rector del Subsistema de Crédito Público. </w:t>
      </w:r>
    </w:p>
    <w:p w14:paraId="4203EBCD" w14:textId="77777777" w:rsidR="008B7A95" w:rsidRDefault="008B7A95" w:rsidP="00B60578">
      <w:pPr>
        <w:pStyle w:val="Default"/>
        <w:spacing w:after="120" w:line="238" w:lineRule="auto"/>
        <w:ind w:right="260"/>
        <w:jc w:val="both"/>
        <w:rPr>
          <w:sz w:val="22"/>
          <w:szCs w:val="22"/>
          <w:lang w:val="es-CR"/>
        </w:rPr>
      </w:pPr>
    </w:p>
    <w:p w14:paraId="4EC4B3CA" w14:textId="77777777" w:rsidR="00B1018E" w:rsidRPr="00132376" w:rsidRDefault="00B1018E" w:rsidP="00B60578">
      <w:pPr>
        <w:pStyle w:val="Default"/>
        <w:spacing w:after="120" w:line="238" w:lineRule="auto"/>
        <w:ind w:right="260"/>
        <w:jc w:val="both"/>
        <w:rPr>
          <w:sz w:val="22"/>
          <w:szCs w:val="22"/>
          <w:lang w:val="es-CR"/>
        </w:rPr>
      </w:pPr>
    </w:p>
    <w:tbl>
      <w:tblPr>
        <w:tblW w:w="9397" w:type="dxa"/>
        <w:tblLook w:val="04A0" w:firstRow="1" w:lastRow="0" w:firstColumn="1" w:lastColumn="0" w:noHBand="0" w:noVBand="1"/>
      </w:tblPr>
      <w:tblGrid>
        <w:gridCol w:w="636"/>
        <w:gridCol w:w="417"/>
        <w:gridCol w:w="611"/>
        <w:gridCol w:w="3571"/>
        <w:gridCol w:w="2268"/>
        <w:gridCol w:w="1894"/>
      </w:tblGrid>
      <w:tr w:rsidR="00C5411A" w:rsidRPr="00C5411A" w14:paraId="2F8352F7" w14:textId="77777777" w:rsidTr="00B1018E">
        <w:trPr>
          <w:trHeight w:val="320"/>
        </w:trPr>
        <w:tc>
          <w:tcPr>
            <w:tcW w:w="166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18FCF45" w14:textId="77777777" w:rsidR="00C5411A" w:rsidRPr="00C5411A" w:rsidRDefault="00C5411A" w:rsidP="00C5411A">
            <w:pPr>
              <w:jc w:val="center"/>
              <w:rPr>
                <w:rFonts w:ascii="Arial Narrow" w:eastAsia="Times New Roman" w:hAnsi="Arial Narrow" w:cs="Calibri"/>
                <w:b/>
                <w:bCs/>
                <w:color w:val="FFFFFF"/>
                <w:sz w:val="22"/>
                <w:szCs w:val="22"/>
              </w:rPr>
            </w:pPr>
            <w:r w:rsidRPr="00C5411A">
              <w:rPr>
                <w:rFonts w:ascii="Arial Narrow" w:eastAsia="Times New Roman" w:hAnsi="Arial Narrow" w:cs="Calibri"/>
                <w:b/>
                <w:bCs/>
                <w:color w:val="FFFFFF"/>
                <w:sz w:val="22"/>
                <w:szCs w:val="22"/>
              </w:rPr>
              <w:t>Norma / Política</w:t>
            </w:r>
          </w:p>
        </w:tc>
        <w:tc>
          <w:tcPr>
            <w:tcW w:w="3571" w:type="dxa"/>
            <w:vMerge w:val="restart"/>
            <w:tcBorders>
              <w:top w:val="single" w:sz="8" w:space="0" w:color="auto"/>
              <w:left w:val="single" w:sz="8" w:space="0" w:color="auto"/>
              <w:bottom w:val="nil"/>
              <w:right w:val="single" w:sz="8" w:space="0" w:color="auto"/>
            </w:tcBorders>
            <w:shd w:val="clear" w:color="000000" w:fill="203764"/>
            <w:vAlign w:val="center"/>
            <w:hideMark/>
          </w:tcPr>
          <w:p w14:paraId="250F3B85" w14:textId="77777777" w:rsidR="00C5411A" w:rsidRPr="00C5411A" w:rsidRDefault="00C5411A" w:rsidP="00C5411A">
            <w:pPr>
              <w:jc w:val="center"/>
              <w:rPr>
                <w:rFonts w:ascii="Arial Narrow" w:eastAsia="Times New Roman" w:hAnsi="Arial Narrow" w:cs="Calibri"/>
                <w:b/>
                <w:bCs/>
                <w:color w:val="FFFFFF"/>
                <w:sz w:val="22"/>
                <w:szCs w:val="22"/>
              </w:rPr>
            </w:pPr>
            <w:r w:rsidRPr="00C5411A">
              <w:rPr>
                <w:rFonts w:ascii="Arial Narrow" w:eastAsia="Times New Roman" w:hAnsi="Arial Narrow" w:cs="Calibri"/>
                <w:b/>
                <w:bCs/>
                <w:color w:val="FFFFFF"/>
                <w:sz w:val="22"/>
                <w:szCs w:val="22"/>
              </w:rPr>
              <w:t>Concepto</w:t>
            </w:r>
          </w:p>
        </w:tc>
        <w:tc>
          <w:tcPr>
            <w:tcW w:w="4162" w:type="dxa"/>
            <w:gridSpan w:val="2"/>
            <w:tcBorders>
              <w:top w:val="single" w:sz="8" w:space="0" w:color="auto"/>
              <w:left w:val="nil"/>
              <w:bottom w:val="single" w:sz="8" w:space="0" w:color="auto"/>
              <w:right w:val="single" w:sz="8" w:space="0" w:color="000000"/>
            </w:tcBorders>
            <w:shd w:val="clear" w:color="000000" w:fill="203764"/>
            <w:vAlign w:val="center"/>
            <w:hideMark/>
          </w:tcPr>
          <w:p w14:paraId="546B32A9" w14:textId="77777777" w:rsidR="00C5411A" w:rsidRPr="00C5411A" w:rsidRDefault="00C5411A" w:rsidP="00C5411A">
            <w:pPr>
              <w:jc w:val="center"/>
              <w:rPr>
                <w:rFonts w:ascii="Arial Narrow" w:eastAsia="Times New Roman" w:hAnsi="Arial Narrow" w:cs="Calibri"/>
                <w:b/>
                <w:bCs/>
                <w:color w:val="FFFFFF"/>
                <w:sz w:val="22"/>
                <w:szCs w:val="22"/>
              </w:rPr>
            </w:pPr>
            <w:r w:rsidRPr="00C5411A">
              <w:rPr>
                <w:rFonts w:ascii="Arial Narrow" w:eastAsia="Times New Roman" w:hAnsi="Arial Narrow" w:cs="Calibri"/>
                <w:b/>
                <w:bCs/>
                <w:color w:val="FFFFFF"/>
                <w:sz w:val="22"/>
                <w:szCs w:val="22"/>
              </w:rPr>
              <w:t>Referencia</w:t>
            </w:r>
          </w:p>
        </w:tc>
      </w:tr>
      <w:tr w:rsidR="00C5411A" w:rsidRPr="006E5442" w14:paraId="3606E1E3" w14:textId="77777777" w:rsidTr="00B1018E">
        <w:trPr>
          <w:trHeight w:val="940"/>
        </w:trPr>
        <w:tc>
          <w:tcPr>
            <w:tcW w:w="1664" w:type="dxa"/>
            <w:gridSpan w:val="3"/>
            <w:vMerge/>
            <w:tcBorders>
              <w:top w:val="single" w:sz="8" w:space="0" w:color="auto"/>
              <w:left w:val="single" w:sz="8" w:space="0" w:color="auto"/>
              <w:bottom w:val="nil"/>
              <w:right w:val="single" w:sz="8" w:space="0" w:color="000000"/>
            </w:tcBorders>
            <w:vAlign w:val="center"/>
            <w:hideMark/>
          </w:tcPr>
          <w:p w14:paraId="5C1291D7" w14:textId="77777777" w:rsidR="00C5411A" w:rsidRPr="00C5411A" w:rsidRDefault="00C5411A" w:rsidP="00C5411A">
            <w:pPr>
              <w:rPr>
                <w:rFonts w:ascii="Arial Narrow" w:eastAsia="Times New Roman" w:hAnsi="Arial Narrow" w:cs="Calibri"/>
                <w:b/>
                <w:bCs/>
                <w:color w:val="FFFFFF"/>
                <w:sz w:val="22"/>
                <w:szCs w:val="22"/>
              </w:rPr>
            </w:pPr>
          </w:p>
        </w:tc>
        <w:tc>
          <w:tcPr>
            <w:tcW w:w="3571" w:type="dxa"/>
            <w:vMerge/>
            <w:tcBorders>
              <w:top w:val="single" w:sz="8" w:space="0" w:color="auto"/>
              <w:left w:val="single" w:sz="8" w:space="0" w:color="auto"/>
              <w:bottom w:val="nil"/>
              <w:right w:val="single" w:sz="8" w:space="0" w:color="auto"/>
            </w:tcBorders>
            <w:vAlign w:val="center"/>
            <w:hideMark/>
          </w:tcPr>
          <w:p w14:paraId="4F71C337" w14:textId="77777777" w:rsidR="00C5411A" w:rsidRPr="00C5411A" w:rsidRDefault="00C5411A" w:rsidP="00C5411A">
            <w:pPr>
              <w:rPr>
                <w:rFonts w:ascii="Arial Narrow" w:eastAsia="Times New Roman" w:hAnsi="Arial Narrow" w:cs="Calibri"/>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5A5AF437" w14:textId="77777777" w:rsidR="00C5411A" w:rsidRPr="00C5411A" w:rsidRDefault="00C5411A" w:rsidP="00C5411A">
            <w:pPr>
              <w:jc w:val="center"/>
              <w:rPr>
                <w:rFonts w:ascii="Arial Narrow" w:eastAsia="Times New Roman" w:hAnsi="Arial Narrow" w:cs="Calibri"/>
                <w:b/>
                <w:bCs/>
                <w:color w:val="FFFFFF"/>
                <w:sz w:val="22"/>
                <w:szCs w:val="22"/>
              </w:rPr>
            </w:pPr>
            <w:r w:rsidRPr="00C5411A">
              <w:rPr>
                <w:rFonts w:ascii="Arial Narrow" w:eastAsia="Times New Roman" w:hAnsi="Arial Narrow" w:cs="Calibri"/>
                <w:b/>
                <w:bCs/>
                <w:color w:val="FFFFFF"/>
                <w:sz w:val="22"/>
                <w:szCs w:val="22"/>
              </w:rPr>
              <w:t>Norma</w:t>
            </w:r>
          </w:p>
        </w:tc>
        <w:tc>
          <w:tcPr>
            <w:tcW w:w="1894" w:type="dxa"/>
            <w:tcBorders>
              <w:top w:val="nil"/>
              <w:left w:val="nil"/>
              <w:bottom w:val="nil"/>
              <w:right w:val="single" w:sz="8" w:space="0" w:color="auto"/>
            </w:tcBorders>
            <w:shd w:val="clear" w:color="000000" w:fill="203764"/>
            <w:vAlign w:val="center"/>
            <w:hideMark/>
          </w:tcPr>
          <w:p w14:paraId="6E57B6A6" w14:textId="77777777" w:rsidR="00C5411A" w:rsidRPr="00C5411A" w:rsidRDefault="00C5411A" w:rsidP="00C5411A">
            <w:pPr>
              <w:jc w:val="center"/>
              <w:rPr>
                <w:rFonts w:ascii="Arial Narrow" w:eastAsia="Times New Roman" w:hAnsi="Arial Narrow" w:cs="Calibri"/>
                <w:b/>
                <w:bCs/>
                <w:color w:val="FFFFFF"/>
                <w:sz w:val="22"/>
                <w:szCs w:val="22"/>
                <w:lang w:val="es-CR"/>
              </w:rPr>
            </w:pPr>
            <w:r w:rsidRPr="00C5411A">
              <w:rPr>
                <w:rFonts w:ascii="Arial Narrow" w:eastAsia="Times New Roman" w:hAnsi="Arial Narrow" w:cs="Calibri"/>
                <w:b/>
                <w:bCs/>
                <w:color w:val="FFFFFF"/>
                <w:sz w:val="22"/>
                <w:szCs w:val="22"/>
                <w:lang w:val="es-CR"/>
              </w:rPr>
              <w:t>Normativa técnica y disposiciones adicionales</w:t>
            </w:r>
          </w:p>
        </w:tc>
      </w:tr>
      <w:tr w:rsidR="00C5411A" w:rsidRPr="00C5411A" w14:paraId="7DC0C378" w14:textId="77777777" w:rsidTr="00B1018E">
        <w:trPr>
          <w:trHeight w:val="630"/>
        </w:trPr>
        <w:tc>
          <w:tcPr>
            <w:tcW w:w="6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148460" w14:textId="77777777" w:rsidR="00C5411A" w:rsidRPr="00C5411A" w:rsidRDefault="00C5411A" w:rsidP="00C5411A">
            <w:pPr>
              <w:jc w:val="center"/>
              <w:rPr>
                <w:rFonts w:ascii="Arial Narrow" w:eastAsia="Times New Roman" w:hAnsi="Arial Narrow" w:cs="Calibri"/>
                <w:b/>
                <w:bCs/>
                <w:color w:val="000000"/>
                <w:sz w:val="22"/>
                <w:szCs w:val="22"/>
              </w:rPr>
            </w:pPr>
            <w:r w:rsidRPr="00C5411A">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4B273895" w14:textId="77777777" w:rsidR="00C5411A" w:rsidRPr="00C5411A" w:rsidRDefault="00C5411A" w:rsidP="00C5411A">
            <w:pPr>
              <w:jc w:val="center"/>
              <w:rPr>
                <w:rFonts w:ascii="Arial Narrow" w:eastAsia="Times New Roman" w:hAnsi="Arial Narrow" w:cs="Calibri"/>
                <w:b/>
                <w:bCs/>
                <w:color w:val="000000"/>
                <w:sz w:val="22"/>
                <w:szCs w:val="22"/>
              </w:rPr>
            </w:pPr>
            <w:r w:rsidRPr="00C5411A">
              <w:rPr>
                <w:rFonts w:ascii="Arial Narrow" w:eastAsia="Times New Roman" w:hAnsi="Arial Narrow" w:cs="Calibri"/>
                <w:b/>
                <w:bCs/>
                <w:color w:val="000000"/>
                <w:sz w:val="22"/>
                <w:szCs w:val="22"/>
              </w:rPr>
              <w:t>80</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3AB28093" w14:textId="769D6284" w:rsidR="00C5411A" w:rsidRPr="00C5411A" w:rsidRDefault="00C5411A" w:rsidP="00C5411A">
            <w:pPr>
              <w:jc w:val="center"/>
              <w:rPr>
                <w:rFonts w:ascii="Arial Narrow" w:eastAsia="Times New Roman" w:hAnsi="Arial Narrow" w:cs="Calibri"/>
                <w:b/>
                <w:bCs/>
                <w:color w:val="000000"/>
                <w:sz w:val="22"/>
                <w:szCs w:val="22"/>
              </w:rPr>
            </w:pPr>
          </w:p>
        </w:tc>
        <w:tc>
          <w:tcPr>
            <w:tcW w:w="3571" w:type="dxa"/>
            <w:tcBorders>
              <w:top w:val="single" w:sz="8" w:space="0" w:color="auto"/>
              <w:left w:val="nil"/>
              <w:bottom w:val="single" w:sz="8" w:space="0" w:color="auto"/>
              <w:right w:val="single" w:sz="8" w:space="0" w:color="auto"/>
            </w:tcBorders>
            <w:shd w:val="clear" w:color="auto" w:fill="auto"/>
            <w:vAlign w:val="center"/>
            <w:hideMark/>
          </w:tcPr>
          <w:p w14:paraId="6CFB5613" w14:textId="77777777" w:rsidR="00C5411A" w:rsidRPr="00C5411A" w:rsidRDefault="00C5411A" w:rsidP="00C5411A">
            <w:pPr>
              <w:jc w:val="both"/>
              <w:rPr>
                <w:rFonts w:ascii="Arial Narrow" w:eastAsia="Times New Roman" w:hAnsi="Arial Narrow" w:cs="Calibri"/>
                <w:b/>
                <w:bCs/>
                <w:color w:val="000000"/>
                <w:sz w:val="22"/>
                <w:szCs w:val="22"/>
              </w:rPr>
            </w:pPr>
            <w:r w:rsidRPr="00C5411A">
              <w:rPr>
                <w:rFonts w:ascii="Arial Narrow" w:eastAsia="Times New Roman" w:hAnsi="Arial Narrow" w:cs="Calibri"/>
                <w:b/>
                <w:bCs/>
                <w:color w:val="000000"/>
                <w:sz w:val="22"/>
                <w:szCs w:val="22"/>
              </w:rPr>
              <w:t>Condonación de un pasivo</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5249FB3B" w14:textId="77777777" w:rsidR="00B1018E" w:rsidRDefault="00C5411A" w:rsidP="00C5411A">
            <w:pPr>
              <w:jc w:val="both"/>
              <w:rPr>
                <w:rFonts w:ascii="Arial Narrow" w:eastAsia="Times New Roman" w:hAnsi="Arial Narrow" w:cs="Calibri"/>
                <w:b/>
                <w:bCs/>
                <w:color w:val="000000"/>
                <w:sz w:val="22"/>
                <w:szCs w:val="22"/>
              </w:rPr>
            </w:pPr>
            <w:r w:rsidRPr="00C5411A">
              <w:rPr>
                <w:rFonts w:ascii="Arial Narrow" w:eastAsia="Times New Roman" w:hAnsi="Arial Narrow" w:cs="Calibri"/>
                <w:b/>
                <w:bCs/>
                <w:color w:val="000000"/>
                <w:sz w:val="22"/>
                <w:szCs w:val="22"/>
              </w:rPr>
              <w:t xml:space="preserve">NICSP N° 23, </w:t>
            </w:r>
          </w:p>
          <w:p w14:paraId="01220C78" w14:textId="260CC0B7" w:rsidR="00C5411A" w:rsidRPr="00C5411A" w:rsidRDefault="00C5411A" w:rsidP="00C5411A">
            <w:pPr>
              <w:jc w:val="both"/>
              <w:rPr>
                <w:rFonts w:ascii="Arial Narrow" w:eastAsia="Times New Roman" w:hAnsi="Arial Narrow" w:cs="Calibri"/>
                <w:b/>
                <w:bCs/>
                <w:color w:val="000000"/>
                <w:sz w:val="22"/>
                <w:szCs w:val="22"/>
              </w:rPr>
            </w:pPr>
            <w:r w:rsidRPr="00C5411A">
              <w:rPr>
                <w:rFonts w:ascii="Arial Narrow" w:eastAsia="Times New Roman" w:hAnsi="Arial Narrow" w:cs="Calibri"/>
                <w:b/>
                <w:bCs/>
                <w:color w:val="000000"/>
                <w:sz w:val="22"/>
                <w:szCs w:val="22"/>
              </w:rPr>
              <w:t>Párrafo 84.</w:t>
            </w:r>
          </w:p>
        </w:tc>
        <w:tc>
          <w:tcPr>
            <w:tcW w:w="1894" w:type="dxa"/>
            <w:tcBorders>
              <w:top w:val="single" w:sz="8" w:space="0" w:color="auto"/>
              <w:left w:val="nil"/>
              <w:bottom w:val="single" w:sz="8" w:space="0" w:color="auto"/>
              <w:right w:val="single" w:sz="8" w:space="0" w:color="auto"/>
            </w:tcBorders>
            <w:shd w:val="clear" w:color="auto" w:fill="auto"/>
            <w:vAlign w:val="center"/>
            <w:hideMark/>
          </w:tcPr>
          <w:p w14:paraId="12450AEC" w14:textId="77777777" w:rsidR="00C5411A" w:rsidRPr="00C5411A" w:rsidRDefault="00C5411A" w:rsidP="00C5411A">
            <w:pPr>
              <w:rPr>
                <w:rFonts w:ascii="Arial Narrow" w:eastAsia="Times New Roman" w:hAnsi="Arial Narrow" w:cs="Calibri"/>
                <w:b/>
                <w:bCs/>
                <w:color w:val="000000"/>
                <w:sz w:val="22"/>
                <w:szCs w:val="22"/>
              </w:rPr>
            </w:pPr>
            <w:r w:rsidRPr="00C5411A">
              <w:rPr>
                <w:rFonts w:ascii="Arial Narrow" w:eastAsia="Times New Roman" w:hAnsi="Arial Narrow" w:cs="Calibri"/>
                <w:b/>
                <w:bCs/>
                <w:color w:val="000000"/>
                <w:sz w:val="22"/>
                <w:szCs w:val="22"/>
              </w:rPr>
              <w:t xml:space="preserve"> </w:t>
            </w:r>
          </w:p>
        </w:tc>
      </w:tr>
    </w:tbl>
    <w:p w14:paraId="7F53C56E" w14:textId="77777777" w:rsidR="008B7A95" w:rsidRDefault="008B7A95" w:rsidP="00B1018E">
      <w:pPr>
        <w:pStyle w:val="Default"/>
        <w:ind w:right="261"/>
        <w:jc w:val="both"/>
        <w:rPr>
          <w:sz w:val="22"/>
          <w:szCs w:val="22"/>
          <w:lang w:val="es-CR"/>
        </w:rPr>
      </w:pPr>
    </w:p>
    <w:p w14:paraId="6C070D44" w14:textId="6594D2E7" w:rsidR="00B1018E" w:rsidRDefault="00B1018E" w:rsidP="00B1018E">
      <w:pPr>
        <w:pStyle w:val="Default"/>
        <w:ind w:right="261"/>
        <w:jc w:val="both"/>
        <w:rPr>
          <w:rFonts w:eastAsia="Arial"/>
          <w:b/>
          <w:sz w:val="22"/>
          <w:szCs w:val="22"/>
        </w:rPr>
      </w:pPr>
      <w:r w:rsidRPr="00F02F9D">
        <w:rPr>
          <w:rFonts w:eastAsia="Arial"/>
          <w:b/>
          <w:sz w:val="22"/>
          <w:szCs w:val="22"/>
        </w:rPr>
        <w:t>Políticas Contables</w:t>
      </w:r>
    </w:p>
    <w:p w14:paraId="6B5BB2D8" w14:textId="77777777" w:rsidR="00B1018E" w:rsidRPr="00C5411A" w:rsidRDefault="00B1018E" w:rsidP="00B1018E">
      <w:pPr>
        <w:pStyle w:val="Default"/>
        <w:ind w:right="261"/>
        <w:jc w:val="both"/>
        <w:rPr>
          <w:sz w:val="22"/>
          <w:szCs w:val="22"/>
          <w:lang w:val="es-CR"/>
        </w:rPr>
      </w:pPr>
    </w:p>
    <w:p w14:paraId="21A9F31B" w14:textId="238B0ECB" w:rsidR="008B7A95" w:rsidRPr="00132376" w:rsidRDefault="00C5411A" w:rsidP="00C5411A">
      <w:pPr>
        <w:pStyle w:val="Default"/>
        <w:ind w:left="1134" w:hanging="1134"/>
        <w:jc w:val="both"/>
        <w:rPr>
          <w:sz w:val="22"/>
          <w:szCs w:val="22"/>
          <w:lang w:val="es-CR"/>
        </w:rPr>
      </w:pPr>
      <w:r>
        <w:rPr>
          <w:sz w:val="22"/>
          <w:szCs w:val="22"/>
          <w:lang w:val="es-CR"/>
        </w:rPr>
        <w:t>2.80.0.01</w:t>
      </w:r>
      <w:r>
        <w:rPr>
          <w:sz w:val="22"/>
          <w:szCs w:val="22"/>
          <w:lang w:val="es-CR"/>
        </w:rPr>
        <w:tab/>
      </w:r>
      <w:r w:rsidRPr="00C5411A">
        <w:rPr>
          <w:sz w:val="22"/>
          <w:szCs w:val="22"/>
          <w:lang w:val="es-CR"/>
        </w:rPr>
        <w:t>Si un acreedor condona un pasivo, ello implica una disminución en el importe en libros del pasivo previamente reconocido</w:t>
      </w:r>
      <w:r w:rsidR="0056749E">
        <w:rPr>
          <w:sz w:val="22"/>
          <w:szCs w:val="22"/>
          <w:lang w:val="es-CR"/>
        </w:rPr>
        <w:t>,</w:t>
      </w:r>
      <w:r w:rsidRPr="00C5411A">
        <w:rPr>
          <w:sz w:val="22"/>
          <w:szCs w:val="22"/>
          <w:lang w:val="es-CR"/>
        </w:rPr>
        <w:t xml:space="preserve"> se debe reconocer un incremento en los activos netos, porque se ha extinguido un pasivo previamente reconocido.</w:t>
      </w:r>
    </w:p>
    <w:p w14:paraId="3FE3BC3F" w14:textId="77777777" w:rsidR="00652515" w:rsidRDefault="00652515" w:rsidP="00652515">
      <w:pPr>
        <w:pStyle w:val="Default"/>
        <w:ind w:right="261"/>
        <w:jc w:val="both"/>
        <w:rPr>
          <w:sz w:val="22"/>
          <w:szCs w:val="22"/>
          <w:lang w:val="es-CR"/>
        </w:rPr>
      </w:pPr>
    </w:p>
    <w:p w14:paraId="3A59C24B" w14:textId="77777777" w:rsidR="00B1018E" w:rsidRDefault="00B1018E" w:rsidP="00652515">
      <w:pPr>
        <w:pStyle w:val="Default"/>
        <w:ind w:right="261"/>
        <w:jc w:val="both"/>
        <w:rPr>
          <w:sz w:val="22"/>
          <w:szCs w:val="22"/>
          <w:lang w:val="es-CR"/>
        </w:rPr>
      </w:pPr>
    </w:p>
    <w:p w14:paraId="4BFA4C83" w14:textId="77777777" w:rsidR="00652515" w:rsidRPr="00132376" w:rsidRDefault="00652515" w:rsidP="00652515">
      <w:pPr>
        <w:pStyle w:val="Default"/>
        <w:ind w:right="261"/>
        <w:jc w:val="both"/>
        <w:rPr>
          <w:sz w:val="22"/>
          <w:szCs w:val="22"/>
          <w:lang w:val="es-CR"/>
        </w:rPr>
      </w:pPr>
    </w:p>
    <w:tbl>
      <w:tblPr>
        <w:tblW w:w="9377" w:type="dxa"/>
        <w:tblLook w:val="04A0" w:firstRow="1" w:lastRow="0" w:firstColumn="1" w:lastColumn="0" w:noHBand="0" w:noVBand="1"/>
      </w:tblPr>
      <w:tblGrid>
        <w:gridCol w:w="637"/>
        <w:gridCol w:w="417"/>
        <w:gridCol w:w="611"/>
        <w:gridCol w:w="3570"/>
        <w:gridCol w:w="2249"/>
        <w:gridCol w:w="1893"/>
      </w:tblGrid>
      <w:tr w:rsidR="0056749E" w:rsidRPr="0056749E" w14:paraId="04428DC7" w14:textId="77777777" w:rsidTr="00B1018E">
        <w:trPr>
          <w:trHeight w:val="320"/>
        </w:trPr>
        <w:tc>
          <w:tcPr>
            <w:tcW w:w="166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C9431E6" w14:textId="77777777" w:rsidR="0056749E" w:rsidRPr="0056749E" w:rsidRDefault="0056749E" w:rsidP="0056749E">
            <w:pPr>
              <w:jc w:val="center"/>
              <w:rPr>
                <w:rFonts w:ascii="Arial Narrow" w:eastAsia="Times New Roman" w:hAnsi="Arial Narrow" w:cs="Calibri"/>
                <w:b/>
                <w:bCs/>
                <w:color w:val="FFFFFF"/>
                <w:sz w:val="22"/>
                <w:szCs w:val="22"/>
              </w:rPr>
            </w:pPr>
            <w:r w:rsidRPr="0056749E">
              <w:rPr>
                <w:rFonts w:ascii="Arial Narrow" w:eastAsia="Times New Roman" w:hAnsi="Arial Narrow" w:cs="Calibri"/>
                <w:b/>
                <w:bCs/>
                <w:color w:val="FFFFFF"/>
                <w:sz w:val="22"/>
                <w:szCs w:val="22"/>
              </w:rPr>
              <w:t>Norma / Política</w:t>
            </w:r>
          </w:p>
        </w:tc>
        <w:tc>
          <w:tcPr>
            <w:tcW w:w="357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C4B24D6" w14:textId="77777777" w:rsidR="0056749E" w:rsidRPr="0056749E" w:rsidRDefault="0056749E" w:rsidP="0056749E">
            <w:pPr>
              <w:jc w:val="center"/>
              <w:rPr>
                <w:rFonts w:ascii="Arial Narrow" w:eastAsia="Times New Roman" w:hAnsi="Arial Narrow" w:cs="Calibri"/>
                <w:b/>
                <w:bCs/>
                <w:color w:val="FFFFFF"/>
                <w:sz w:val="22"/>
                <w:szCs w:val="22"/>
              </w:rPr>
            </w:pPr>
            <w:r w:rsidRPr="0056749E">
              <w:rPr>
                <w:rFonts w:ascii="Arial Narrow" w:eastAsia="Times New Roman" w:hAnsi="Arial Narrow" w:cs="Calibri"/>
                <w:b/>
                <w:bCs/>
                <w:color w:val="FFFFFF"/>
                <w:sz w:val="22"/>
                <w:szCs w:val="22"/>
              </w:rPr>
              <w:t>Concepto</w:t>
            </w:r>
          </w:p>
        </w:tc>
        <w:tc>
          <w:tcPr>
            <w:tcW w:w="4142" w:type="dxa"/>
            <w:gridSpan w:val="2"/>
            <w:tcBorders>
              <w:top w:val="single" w:sz="8" w:space="0" w:color="auto"/>
              <w:left w:val="nil"/>
              <w:bottom w:val="single" w:sz="8" w:space="0" w:color="auto"/>
              <w:right w:val="single" w:sz="8" w:space="0" w:color="000000"/>
            </w:tcBorders>
            <w:shd w:val="clear" w:color="000000" w:fill="203764"/>
            <w:vAlign w:val="center"/>
            <w:hideMark/>
          </w:tcPr>
          <w:p w14:paraId="19D10F3E" w14:textId="77777777" w:rsidR="0056749E" w:rsidRPr="0056749E" w:rsidRDefault="0056749E" w:rsidP="0056749E">
            <w:pPr>
              <w:jc w:val="center"/>
              <w:rPr>
                <w:rFonts w:ascii="Arial Narrow" w:eastAsia="Times New Roman" w:hAnsi="Arial Narrow" w:cs="Calibri"/>
                <w:b/>
                <w:bCs/>
                <w:color w:val="FFFFFF"/>
                <w:sz w:val="22"/>
                <w:szCs w:val="22"/>
              </w:rPr>
            </w:pPr>
            <w:r w:rsidRPr="0056749E">
              <w:rPr>
                <w:rFonts w:ascii="Arial Narrow" w:eastAsia="Times New Roman" w:hAnsi="Arial Narrow" w:cs="Calibri"/>
                <w:b/>
                <w:bCs/>
                <w:color w:val="FFFFFF"/>
                <w:sz w:val="22"/>
                <w:szCs w:val="22"/>
              </w:rPr>
              <w:t>Referencia</w:t>
            </w:r>
          </w:p>
        </w:tc>
      </w:tr>
      <w:tr w:rsidR="0056749E" w:rsidRPr="006E5442" w14:paraId="013EEE15" w14:textId="77777777" w:rsidTr="00B1018E">
        <w:trPr>
          <w:trHeight w:val="940"/>
        </w:trPr>
        <w:tc>
          <w:tcPr>
            <w:tcW w:w="1665" w:type="dxa"/>
            <w:gridSpan w:val="3"/>
            <w:vMerge/>
            <w:tcBorders>
              <w:top w:val="single" w:sz="8" w:space="0" w:color="auto"/>
              <w:left w:val="single" w:sz="8" w:space="0" w:color="auto"/>
              <w:bottom w:val="nil"/>
              <w:right w:val="single" w:sz="8" w:space="0" w:color="000000"/>
            </w:tcBorders>
            <w:vAlign w:val="center"/>
            <w:hideMark/>
          </w:tcPr>
          <w:p w14:paraId="0845AD04" w14:textId="77777777" w:rsidR="0056749E" w:rsidRPr="0056749E" w:rsidRDefault="0056749E" w:rsidP="0056749E">
            <w:pPr>
              <w:rPr>
                <w:rFonts w:ascii="Arial Narrow" w:eastAsia="Times New Roman" w:hAnsi="Arial Narrow" w:cs="Calibri"/>
                <w:b/>
                <w:bCs/>
                <w:color w:val="FFFFFF"/>
                <w:sz w:val="22"/>
                <w:szCs w:val="22"/>
              </w:rPr>
            </w:pPr>
          </w:p>
        </w:tc>
        <w:tc>
          <w:tcPr>
            <w:tcW w:w="3570" w:type="dxa"/>
            <w:vMerge/>
            <w:tcBorders>
              <w:top w:val="single" w:sz="8" w:space="0" w:color="auto"/>
              <w:left w:val="single" w:sz="8" w:space="0" w:color="auto"/>
              <w:bottom w:val="nil"/>
              <w:right w:val="single" w:sz="8" w:space="0" w:color="auto"/>
            </w:tcBorders>
            <w:vAlign w:val="center"/>
            <w:hideMark/>
          </w:tcPr>
          <w:p w14:paraId="740B1BE3" w14:textId="77777777" w:rsidR="0056749E" w:rsidRPr="0056749E" w:rsidRDefault="0056749E" w:rsidP="0056749E">
            <w:pPr>
              <w:rPr>
                <w:rFonts w:ascii="Arial Narrow" w:eastAsia="Times New Roman" w:hAnsi="Arial Narrow" w:cs="Calibri"/>
                <w:b/>
                <w:bCs/>
                <w:color w:val="FFFFFF"/>
                <w:sz w:val="22"/>
                <w:szCs w:val="22"/>
              </w:rPr>
            </w:pPr>
          </w:p>
        </w:tc>
        <w:tc>
          <w:tcPr>
            <w:tcW w:w="2249" w:type="dxa"/>
            <w:tcBorders>
              <w:top w:val="nil"/>
              <w:left w:val="nil"/>
              <w:bottom w:val="nil"/>
              <w:right w:val="single" w:sz="8" w:space="0" w:color="auto"/>
            </w:tcBorders>
            <w:shd w:val="clear" w:color="000000" w:fill="203764"/>
            <w:vAlign w:val="center"/>
            <w:hideMark/>
          </w:tcPr>
          <w:p w14:paraId="6939BE76" w14:textId="77777777" w:rsidR="0056749E" w:rsidRPr="0056749E" w:rsidRDefault="0056749E" w:rsidP="0056749E">
            <w:pPr>
              <w:jc w:val="center"/>
              <w:rPr>
                <w:rFonts w:ascii="Arial Narrow" w:eastAsia="Times New Roman" w:hAnsi="Arial Narrow" w:cs="Calibri"/>
                <w:b/>
                <w:bCs/>
                <w:color w:val="FFFFFF"/>
                <w:sz w:val="22"/>
                <w:szCs w:val="22"/>
              </w:rPr>
            </w:pPr>
            <w:r w:rsidRPr="0056749E">
              <w:rPr>
                <w:rFonts w:ascii="Arial Narrow" w:eastAsia="Times New Roman" w:hAnsi="Arial Narrow" w:cs="Calibri"/>
                <w:b/>
                <w:bCs/>
                <w:color w:val="FFFFFF"/>
                <w:sz w:val="22"/>
                <w:szCs w:val="22"/>
              </w:rPr>
              <w:t>Norma</w:t>
            </w:r>
          </w:p>
        </w:tc>
        <w:tc>
          <w:tcPr>
            <w:tcW w:w="1893" w:type="dxa"/>
            <w:tcBorders>
              <w:top w:val="nil"/>
              <w:left w:val="nil"/>
              <w:bottom w:val="nil"/>
              <w:right w:val="single" w:sz="8" w:space="0" w:color="auto"/>
            </w:tcBorders>
            <w:shd w:val="clear" w:color="000000" w:fill="203764"/>
            <w:vAlign w:val="center"/>
            <w:hideMark/>
          </w:tcPr>
          <w:p w14:paraId="674C9D64" w14:textId="77777777" w:rsidR="0056749E" w:rsidRPr="0056749E" w:rsidRDefault="0056749E" w:rsidP="00B1018E">
            <w:pPr>
              <w:ind w:left="-54" w:firstLine="54"/>
              <w:jc w:val="center"/>
              <w:rPr>
                <w:rFonts w:ascii="Arial Narrow" w:eastAsia="Times New Roman" w:hAnsi="Arial Narrow" w:cs="Calibri"/>
                <w:b/>
                <w:bCs/>
                <w:color w:val="FFFFFF"/>
                <w:sz w:val="22"/>
                <w:szCs w:val="22"/>
                <w:lang w:val="es-CR"/>
              </w:rPr>
            </w:pPr>
            <w:r w:rsidRPr="0056749E">
              <w:rPr>
                <w:rFonts w:ascii="Arial Narrow" w:eastAsia="Times New Roman" w:hAnsi="Arial Narrow" w:cs="Calibri"/>
                <w:b/>
                <w:bCs/>
                <w:color w:val="FFFFFF"/>
                <w:sz w:val="22"/>
                <w:szCs w:val="22"/>
                <w:lang w:val="es-CR"/>
              </w:rPr>
              <w:t>Normativa técnica y disposiciones adicionales</w:t>
            </w:r>
          </w:p>
        </w:tc>
      </w:tr>
      <w:tr w:rsidR="0056749E" w:rsidRPr="0056749E" w14:paraId="110D4E21" w14:textId="77777777" w:rsidTr="00B1018E">
        <w:trPr>
          <w:trHeight w:val="852"/>
        </w:trPr>
        <w:tc>
          <w:tcPr>
            <w:tcW w:w="6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404C8E" w14:textId="77777777" w:rsidR="0056749E" w:rsidRPr="0056749E" w:rsidRDefault="0056749E" w:rsidP="0056749E">
            <w:pPr>
              <w:jc w:val="center"/>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4BC5D4E1" w14:textId="77777777" w:rsidR="0056749E" w:rsidRPr="0056749E" w:rsidRDefault="0056749E" w:rsidP="0056749E">
            <w:pPr>
              <w:jc w:val="center"/>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81</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7F849340" w14:textId="1DFFBA5E" w:rsidR="0056749E" w:rsidRPr="0056749E" w:rsidRDefault="0056749E" w:rsidP="0056749E">
            <w:pPr>
              <w:jc w:val="center"/>
              <w:rPr>
                <w:rFonts w:ascii="Arial Narrow" w:eastAsia="Times New Roman" w:hAnsi="Arial Narrow" w:cs="Calibri"/>
                <w:b/>
                <w:bCs/>
                <w:color w:val="000000"/>
                <w:sz w:val="22"/>
                <w:szCs w:val="22"/>
              </w:rPr>
            </w:pPr>
          </w:p>
        </w:tc>
        <w:tc>
          <w:tcPr>
            <w:tcW w:w="3570" w:type="dxa"/>
            <w:tcBorders>
              <w:top w:val="single" w:sz="8" w:space="0" w:color="auto"/>
              <w:left w:val="nil"/>
              <w:bottom w:val="single" w:sz="8" w:space="0" w:color="auto"/>
              <w:right w:val="single" w:sz="8" w:space="0" w:color="auto"/>
            </w:tcBorders>
            <w:shd w:val="clear" w:color="auto" w:fill="auto"/>
            <w:vAlign w:val="center"/>
            <w:hideMark/>
          </w:tcPr>
          <w:p w14:paraId="1C120473" w14:textId="77777777" w:rsidR="0056749E" w:rsidRPr="0056749E" w:rsidRDefault="0056749E" w:rsidP="0056749E">
            <w:pPr>
              <w:jc w:val="both"/>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Medición inicial</w:t>
            </w:r>
          </w:p>
        </w:tc>
        <w:tc>
          <w:tcPr>
            <w:tcW w:w="2249" w:type="dxa"/>
            <w:tcBorders>
              <w:top w:val="single" w:sz="8" w:space="0" w:color="auto"/>
              <w:left w:val="nil"/>
              <w:bottom w:val="single" w:sz="8" w:space="0" w:color="auto"/>
              <w:right w:val="single" w:sz="8" w:space="0" w:color="auto"/>
            </w:tcBorders>
            <w:shd w:val="clear" w:color="auto" w:fill="auto"/>
            <w:vAlign w:val="center"/>
            <w:hideMark/>
          </w:tcPr>
          <w:p w14:paraId="5E77489B" w14:textId="299A0904" w:rsidR="0056749E" w:rsidRDefault="0056749E" w:rsidP="0056749E">
            <w:pPr>
              <w:jc w:val="both"/>
              <w:rPr>
                <w:rFonts w:ascii="Arial Narrow" w:eastAsia="Times New Roman" w:hAnsi="Arial Narrow" w:cs="Calibri"/>
                <w:b/>
                <w:bCs/>
                <w:color w:val="000000"/>
                <w:sz w:val="22"/>
                <w:szCs w:val="22"/>
                <w:lang w:val="es-CR"/>
              </w:rPr>
            </w:pPr>
            <w:r w:rsidRPr="0056749E">
              <w:rPr>
                <w:rFonts w:ascii="Arial Narrow" w:eastAsia="Times New Roman" w:hAnsi="Arial Narrow" w:cs="Calibri"/>
                <w:b/>
                <w:bCs/>
                <w:color w:val="000000"/>
                <w:sz w:val="22"/>
                <w:szCs w:val="22"/>
                <w:lang w:val="es-CR"/>
              </w:rPr>
              <w:t>NICSP N° 29,</w:t>
            </w:r>
          </w:p>
          <w:p w14:paraId="07976770" w14:textId="77777777" w:rsidR="0056749E" w:rsidRDefault="0056749E" w:rsidP="0056749E">
            <w:pPr>
              <w:jc w:val="both"/>
              <w:rPr>
                <w:rFonts w:ascii="Arial Narrow" w:eastAsia="Times New Roman" w:hAnsi="Arial Narrow" w:cs="Calibri"/>
                <w:b/>
                <w:bCs/>
                <w:color w:val="000000"/>
                <w:sz w:val="22"/>
                <w:szCs w:val="22"/>
                <w:lang w:val="es-CR"/>
              </w:rPr>
            </w:pPr>
            <w:r w:rsidRPr="0056749E">
              <w:rPr>
                <w:rFonts w:ascii="Arial Narrow" w:eastAsia="Times New Roman" w:hAnsi="Arial Narrow" w:cs="Calibri"/>
                <w:b/>
                <w:bCs/>
                <w:color w:val="000000"/>
                <w:sz w:val="22"/>
                <w:szCs w:val="22"/>
                <w:lang w:val="es-CR"/>
              </w:rPr>
              <w:t>Párrafo 45 y GA</w:t>
            </w:r>
            <w:r>
              <w:rPr>
                <w:rFonts w:ascii="Arial Narrow" w:eastAsia="Times New Roman" w:hAnsi="Arial Narrow" w:cs="Calibri"/>
                <w:b/>
                <w:bCs/>
                <w:color w:val="000000"/>
                <w:sz w:val="22"/>
                <w:szCs w:val="22"/>
                <w:lang w:val="es-CR"/>
              </w:rPr>
              <w:t xml:space="preserve"> </w:t>
            </w:r>
            <w:r w:rsidRPr="0056749E">
              <w:rPr>
                <w:rFonts w:ascii="Arial Narrow" w:eastAsia="Times New Roman" w:hAnsi="Arial Narrow" w:cs="Calibri"/>
                <w:b/>
                <w:bCs/>
                <w:color w:val="000000"/>
                <w:sz w:val="22"/>
                <w:szCs w:val="22"/>
                <w:lang w:val="es-CR"/>
              </w:rPr>
              <w:t>26.</w:t>
            </w:r>
          </w:p>
          <w:p w14:paraId="5C459373" w14:textId="77777777" w:rsidR="0056749E" w:rsidRDefault="0056749E" w:rsidP="0056749E">
            <w:pPr>
              <w:jc w:val="both"/>
              <w:rPr>
                <w:rFonts w:ascii="Arial Narrow" w:eastAsia="Times New Roman" w:hAnsi="Arial Narrow" w:cs="Calibri"/>
                <w:b/>
                <w:bCs/>
                <w:color w:val="000000"/>
                <w:sz w:val="22"/>
                <w:szCs w:val="22"/>
                <w:lang w:val="es-CR"/>
              </w:rPr>
            </w:pPr>
            <w:r w:rsidRPr="0056749E">
              <w:rPr>
                <w:rFonts w:ascii="Arial Narrow" w:eastAsia="Times New Roman" w:hAnsi="Arial Narrow" w:cs="Calibri"/>
                <w:b/>
                <w:bCs/>
                <w:color w:val="000000"/>
                <w:sz w:val="22"/>
                <w:szCs w:val="22"/>
                <w:lang w:val="es-CR"/>
              </w:rPr>
              <w:t>NICSP N° 23,</w:t>
            </w:r>
          </w:p>
          <w:p w14:paraId="7A416F8A" w14:textId="74369AE2" w:rsidR="0056749E" w:rsidRPr="0056749E" w:rsidRDefault="0056749E" w:rsidP="0056749E">
            <w:pPr>
              <w:jc w:val="both"/>
              <w:rPr>
                <w:rFonts w:ascii="Arial Narrow" w:eastAsia="Times New Roman" w:hAnsi="Arial Narrow" w:cs="Calibri"/>
                <w:b/>
                <w:bCs/>
                <w:color w:val="000000"/>
                <w:sz w:val="22"/>
                <w:szCs w:val="22"/>
                <w:lang w:val="es-CR"/>
              </w:rPr>
            </w:pPr>
            <w:r w:rsidRPr="0056749E">
              <w:rPr>
                <w:rFonts w:ascii="Arial Narrow" w:eastAsia="Times New Roman" w:hAnsi="Arial Narrow" w:cs="Calibri"/>
                <w:b/>
                <w:bCs/>
                <w:color w:val="000000"/>
                <w:sz w:val="22"/>
                <w:szCs w:val="22"/>
                <w:lang w:val="es-CR"/>
              </w:rPr>
              <w:t>Párrafo 87.</w:t>
            </w:r>
          </w:p>
        </w:tc>
        <w:tc>
          <w:tcPr>
            <w:tcW w:w="1893" w:type="dxa"/>
            <w:tcBorders>
              <w:top w:val="single" w:sz="8" w:space="0" w:color="auto"/>
              <w:left w:val="nil"/>
              <w:bottom w:val="single" w:sz="8" w:space="0" w:color="auto"/>
              <w:right w:val="single" w:sz="8" w:space="0" w:color="auto"/>
            </w:tcBorders>
            <w:shd w:val="clear" w:color="auto" w:fill="auto"/>
            <w:vAlign w:val="center"/>
            <w:hideMark/>
          </w:tcPr>
          <w:p w14:paraId="3B60F114" w14:textId="77777777" w:rsidR="0056749E" w:rsidRPr="0056749E" w:rsidRDefault="0056749E" w:rsidP="0056749E">
            <w:pPr>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DGCN</w:t>
            </w:r>
          </w:p>
        </w:tc>
      </w:tr>
    </w:tbl>
    <w:p w14:paraId="1412AE7A" w14:textId="77777777" w:rsidR="008B7A95" w:rsidRDefault="008B7A95" w:rsidP="00652515">
      <w:pPr>
        <w:pStyle w:val="Default"/>
        <w:ind w:right="260"/>
        <w:jc w:val="both"/>
        <w:rPr>
          <w:sz w:val="22"/>
          <w:szCs w:val="22"/>
          <w:lang w:val="es-CR"/>
        </w:rPr>
      </w:pPr>
    </w:p>
    <w:p w14:paraId="590D693E" w14:textId="728B41F1" w:rsidR="00B1018E" w:rsidRDefault="00B1018E" w:rsidP="00652515">
      <w:pPr>
        <w:pStyle w:val="Default"/>
        <w:ind w:right="260"/>
        <w:jc w:val="both"/>
        <w:rPr>
          <w:rFonts w:eastAsia="Arial"/>
          <w:b/>
          <w:sz w:val="22"/>
          <w:szCs w:val="22"/>
        </w:rPr>
      </w:pPr>
      <w:r w:rsidRPr="00F02F9D">
        <w:rPr>
          <w:rFonts w:eastAsia="Arial"/>
          <w:b/>
          <w:sz w:val="22"/>
          <w:szCs w:val="22"/>
        </w:rPr>
        <w:t>Políticas Contables</w:t>
      </w:r>
    </w:p>
    <w:p w14:paraId="612BB55C" w14:textId="77777777" w:rsidR="00B1018E" w:rsidRPr="00132376" w:rsidRDefault="00B1018E" w:rsidP="00652515">
      <w:pPr>
        <w:pStyle w:val="Default"/>
        <w:ind w:right="260"/>
        <w:jc w:val="both"/>
        <w:rPr>
          <w:sz w:val="22"/>
          <w:szCs w:val="22"/>
          <w:lang w:val="es-CR"/>
        </w:rPr>
      </w:pPr>
    </w:p>
    <w:p w14:paraId="4FEC6AEE" w14:textId="3DD969F2" w:rsidR="0056749E" w:rsidRDefault="0056749E" w:rsidP="00652515">
      <w:pPr>
        <w:pStyle w:val="Default"/>
        <w:ind w:left="1134" w:hanging="1134"/>
        <w:jc w:val="both"/>
        <w:rPr>
          <w:sz w:val="22"/>
          <w:szCs w:val="22"/>
          <w:lang w:val="es-CR"/>
        </w:rPr>
      </w:pPr>
      <w:r>
        <w:rPr>
          <w:sz w:val="22"/>
          <w:szCs w:val="22"/>
          <w:lang w:val="es-CR"/>
        </w:rPr>
        <w:t>2.81.0.01</w:t>
      </w:r>
      <w:r>
        <w:rPr>
          <w:sz w:val="22"/>
          <w:szCs w:val="22"/>
          <w:lang w:val="es-CR"/>
        </w:rPr>
        <w:tab/>
      </w:r>
      <w:r w:rsidRPr="0056749E">
        <w:rPr>
          <w:sz w:val="22"/>
          <w:szCs w:val="22"/>
          <w:lang w:val="es-CR"/>
        </w:rPr>
        <w:t>Los pasivos provenientes del endeudamiento público se medirán inicialmente según los criterios generales para medición inicial de pasivos financieros y considerando además que</w:t>
      </w:r>
      <w:r>
        <w:rPr>
          <w:sz w:val="22"/>
          <w:szCs w:val="22"/>
          <w:lang w:val="es-CR"/>
        </w:rPr>
        <w:t xml:space="preserve"> e</w:t>
      </w:r>
      <w:r w:rsidRPr="0056749E">
        <w:rPr>
          <w:sz w:val="22"/>
          <w:szCs w:val="22"/>
          <w:lang w:val="es-CR"/>
        </w:rPr>
        <w:t>n los préstamos se reconocerá por separado el importe de capital que surja de los contratos respectivos</w:t>
      </w:r>
      <w:r>
        <w:rPr>
          <w:sz w:val="22"/>
          <w:szCs w:val="22"/>
          <w:lang w:val="es-CR"/>
        </w:rPr>
        <w:t>.</w:t>
      </w:r>
      <w:r w:rsidRPr="0056749E">
        <w:rPr>
          <w:sz w:val="22"/>
          <w:szCs w:val="22"/>
          <w:lang w:val="es-CR"/>
        </w:rPr>
        <w:t xml:space="preserve"> </w:t>
      </w:r>
    </w:p>
    <w:p w14:paraId="659E26E8" w14:textId="77777777" w:rsidR="0056749E" w:rsidRPr="0056749E" w:rsidRDefault="0056749E" w:rsidP="00652515">
      <w:pPr>
        <w:pStyle w:val="Default"/>
        <w:ind w:left="1134" w:hanging="1134"/>
        <w:jc w:val="both"/>
        <w:rPr>
          <w:sz w:val="22"/>
          <w:szCs w:val="22"/>
          <w:lang w:val="es-CR"/>
        </w:rPr>
      </w:pPr>
    </w:p>
    <w:p w14:paraId="7E09A870" w14:textId="64D97A5D" w:rsidR="0056749E" w:rsidRDefault="0056749E" w:rsidP="00652515">
      <w:pPr>
        <w:pStyle w:val="Default"/>
        <w:ind w:left="1134"/>
        <w:jc w:val="both"/>
        <w:rPr>
          <w:sz w:val="22"/>
          <w:szCs w:val="22"/>
          <w:lang w:val="es-CR"/>
        </w:rPr>
      </w:pPr>
      <w:r w:rsidRPr="0056749E">
        <w:rPr>
          <w:sz w:val="22"/>
          <w:szCs w:val="22"/>
          <w:lang w:val="es-CR"/>
        </w:rPr>
        <w:t xml:space="preserve">Los costos de transacción serán todos los costos incrementales directamente atribuibles a la adquisición, emisión o disposición de los pasivos financieros en los que no se hubiera incurrido en caso de no haberse adquirido, emitido o dispuesto el </w:t>
      </w:r>
      <w:r w:rsidRPr="0056749E">
        <w:rPr>
          <w:sz w:val="22"/>
          <w:szCs w:val="22"/>
          <w:lang w:val="es-CR"/>
        </w:rPr>
        <w:lastRenderedPageBreak/>
        <w:t xml:space="preserve">instrumento. Sin </w:t>
      </w:r>
      <w:r w:rsidR="000E5DF8" w:rsidRPr="0056749E">
        <w:rPr>
          <w:sz w:val="22"/>
          <w:szCs w:val="22"/>
          <w:lang w:val="es-CR"/>
        </w:rPr>
        <w:t>e</w:t>
      </w:r>
      <w:r w:rsidR="000E5DF8">
        <w:rPr>
          <w:sz w:val="22"/>
          <w:szCs w:val="22"/>
          <w:lang w:val="es-CR"/>
        </w:rPr>
        <w:t>mba</w:t>
      </w:r>
      <w:r w:rsidR="000E5DF8" w:rsidRPr="0056749E">
        <w:rPr>
          <w:sz w:val="22"/>
          <w:szCs w:val="22"/>
          <w:lang w:val="es-CR"/>
        </w:rPr>
        <w:t>rgo</w:t>
      </w:r>
      <w:r w:rsidRPr="0056749E">
        <w:rPr>
          <w:sz w:val="22"/>
          <w:szCs w:val="22"/>
          <w:lang w:val="es-CR"/>
        </w:rPr>
        <w:t>, no incluirá costos de administración o costos de mantenimiento.</w:t>
      </w:r>
    </w:p>
    <w:p w14:paraId="33AAC23A" w14:textId="77777777" w:rsidR="00B1018E" w:rsidRPr="0056749E" w:rsidRDefault="00B1018E" w:rsidP="00652515">
      <w:pPr>
        <w:pStyle w:val="Default"/>
        <w:ind w:left="1134"/>
        <w:jc w:val="both"/>
        <w:rPr>
          <w:sz w:val="22"/>
          <w:szCs w:val="22"/>
          <w:lang w:val="es-CR"/>
        </w:rPr>
      </w:pPr>
    </w:p>
    <w:p w14:paraId="62C4939B" w14:textId="538FD11D" w:rsidR="0056749E" w:rsidRPr="0056749E" w:rsidRDefault="0056749E">
      <w:pPr>
        <w:pStyle w:val="Default"/>
        <w:numPr>
          <w:ilvl w:val="0"/>
          <w:numId w:val="183"/>
        </w:numPr>
        <w:jc w:val="both"/>
        <w:rPr>
          <w:sz w:val="22"/>
          <w:szCs w:val="22"/>
          <w:lang w:val="es-CR"/>
        </w:rPr>
      </w:pPr>
    </w:p>
    <w:p w14:paraId="6F254164" w14:textId="77777777" w:rsidR="008B7A95" w:rsidRDefault="008B7A95" w:rsidP="00652515">
      <w:pPr>
        <w:pStyle w:val="Default"/>
        <w:ind w:right="261"/>
        <w:jc w:val="both"/>
        <w:rPr>
          <w:sz w:val="22"/>
          <w:szCs w:val="22"/>
          <w:lang w:val="es-CR"/>
        </w:rPr>
      </w:pPr>
    </w:p>
    <w:tbl>
      <w:tblPr>
        <w:tblW w:w="9418" w:type="dxa"/>
        <w:tblLook w:val="04A0" w:firstRow="1" w:lastRow="0" w:firstColumn="1" w:lastColumn="0" w:noHBand="0" w:noVBand="1"/>
      </w:tblPr>
      <w:tblGrid>
        <w:gridCol w:w="637"/>
        <w:gridCol w:w="417"/>
        <w:gridCol w:w="613"/>
        <w:gridCol w:w="3568"/>
        <w:gridCol w:w="2268"/>
        <w:gridCol w:w="1894"/>
        <w:gridCol w:w="21"/>
      </w:tblGrid>
      <w:tr w:rsidR="0056749E" w:rsidRPr="0056749E" w14:paraId="1444EC32" w14:textId="77777777" w:rsidTr="003167F1">
        <w:trPr>
          <w:trHeight w:val="320"/>
        </w:trPr>
        <w:tc>
          <w:tcPr>
            <w:tcW w:w="166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FAB3543" w14:textId="77777777" w:rsidR="0056749E" w:rsidRPr="0056749E" w:rsidRDefault="0056749E" w:rsidP="0056749E">
            <w:pPr>
              <w:jc w:val="center"/>
              <w:rPr>
                <w:rFonts w:ascii="Arial Narrow" w:eastAsia="Times New Roman" w:hAnsi="Arial Narrow" w:cs="Calibri"/>
                <w:b/>
                <w:bCs/>
                <w:color w:val="FFFFFF"/>
                <w:sz w:val="22"/>
                <w:szCs w:val="22"/>
              </w:rPr>
            </w:pPr>
            <w:r w:rsidRPr="0056749E">
              <w:rPr>
                <w:rFonts w:ascii="Arial Narrow" w:eastAsia="Times New Roman" w:hAnsi="Arial Narrow" w:cs="Calibri"/>
                <w:b/>
                <w:bCs/>
                <w:color w:val="FFFFFF"/>
                <w:sz w:val="22"/>
                <w:szCs w:val="22"/>
              </w:rPr>
              <w:t>Norma / Política</w:t>
            </w:r>
          </w:p>
        </w:tc>
        <w:tc>
          <w:tcPr>
            <w:tcW w:w="3568" w:type="dxa"/>
            <w:vMerge w:val="restart"/>
            <w:tcBorders>
              <w:top w:val="single" w:sz="8" w:space="0" w:color="auto"/>
              <w:left w:val="single" w:sz="8" w:space="0" w:color="auto"/>
              <w:bottom w:val="nil"/>
              <w:right w:val="single" w:sz="8" w:space="0" w:color="auto"/>
            </w:tcBorders>
            <w:shd w:val="clear" w:color="000000" w:fill="203764"/>
            <w:vAlign w:val="center"/>
            <w:hideMark/>
          </w:tcPr>
          <w:p w14:paraId="162745DA" w14:textId="77777777" w:rsidR="0056749E" w:rsidRPr="0056749E" w:rsidRDefault="0056749E" w:rsidP="0056749E">
            <w:pPr>
              <w:jc w:val="center"/>
              <w:rPr>
                <w:rFonts w:ascii="Arial Narrow" w:eastAsia="Times New Roman" w:hAnsi="Arial Narrow" w:cs="Calibri"/>
                <w:b/>
                <w:bCs/>
                <w:color w:val="FFFFFF"/>
                <w:sz w:val="22"/>
                <w:szCs w:val="22"/>
              </w:rPr>
            </w:pPr>
            <w:r w:rsidRPr="0056749E">
              <w:rPr>
                <w:rFonts w:ascii="Arial Narrow" w:eastAsia="Times New Roman" w:hAnsi="Arial Narrow" w:cs="Calibri"/>
                <w:b/>
                <w:bCs/>
                <w:color w:val="FFFFFF"/>
                <w:sz w:val="22"/>
                <w:szCs w:val="22"/>
              </w:rPr>
              <w:t>Concepto</w:t>
            </w:r>
          </w:p>
        </w:tc>
        <w:tc>
          <w:tcPr>
            <w:tcW w:w="4183" w:type="dxa"/>
            <w:gridSpan w:val="3"/>
            <w:tcBorders>
              <w:top w:val="single" w:sz="8" w:space="0" w:color="auto"/>
              <w:left w:val="nil"/>
              <w:bottom w:val="single" w:sz="8" w:space="0" w:color="auto"/>
              <w:right w:val="single" w:sz="8" w:space="0" w:color="000000"/>
            </w:tcBorders>
            <w:shd w:val="clear" w:color="000000" w:fill="203764"/>
            <w:vAlign w:val="center"/>
            <w:hideMark/>
          </w:tcPr>
          <w:p w14:paraId="7BAF6F11" w14:textId="77777777" w:rsidR="0056749E" w:rsidRPr="0056749E" w:rsidRDefault="0056749E" w:rsidP="0056749E">
            <w:pPr>
              <w:jc w:val="center"/>
              <w:rPr>
                <w:rFonts w:ascii="Arial Narrow" w:eastAsia="Times New Roman" w:hAnsi="Arial Narrow" w:cs="Calibri"/>
                <w:b/>
                <w:bCs/>
                <w:color w:val="FFFFFF"/>
                <w:sz w:val="22"/>
                <w:szCs w:val="22"/>
              </w:rPr>
            </w:pPr>
            <w:r w:rsidRPr="0056749E">
              <w:rPr>
                <w:rFonts w:ascii="Arial Narrow" w:eastAsia="Times New Roman" w:hAnsi="Arial Narrow" w:cs="Calibri"/>
                <w:b/>
                <w:bCs/>
                <w:color w:val="FFFFFF"/>
                <w:sz w:val="22"/>
                <w:szCs w:val="22"/>
              </w:rPr>
              <w:t>Referencia</w:t>
            </w:r>
          </w:p>
        </w:tc>
      </w:tr>
      <w:tr w:rsidR="0056749E" w:rsidRPr="006E5442" w14:paraId="13A85D8C" w14:textId="77777777" w:rsidTr="003167F1">
        <w:trPr>
          <w:gridAfter w:val="1"/>
          <w:wAfter w:w="21" w:type="dxa"/>
          <w:trHeight w:val="940"/>
        </w:trPr>
        <w:tc>
          <w:tcPr>
            <w:tcW w:w="1667" w:type="dxa"/>
            <w:gridSpan w:val="3"/>
            <w:vMerge/>
            <w:tcBorders>
              <w:top w:val="single" w:sz="8" w:space="0" w:color="auto"/>
              <w:left w:val="single" w:sz="8" w:space="0" w:color="auto"/>
              <w:bottom w:val="nil"/>
              <w:right w:val="single" w:sz="8" w:space="0" w:color="000000"/>
            </w:tcBorders>
            <w:vAlign w:val="center"/>
            <w:hideMark/>
          </w:tcPr>
          <w:p w14:paraId="3325E7F2" w14:textId="77777777" w:rsidR="0056749E" w:rsidRPr="0056749E" w:rsidRDefault="0056749E" w:rsidP="0056749E">
            <w:pPr>
              <w:rPr>
                <w:rFonts w:ascii="Arial Narrow" w:eastAsia="Times New Roman" w:hAnsi="Arial Narrow" w:cs="Calibri"/>
                <w:b/>
                <w:bCs/>
                <w:color w:val="FFFFFF"/>
                <w:sz w:val="22"/>
                <w:szCs w:val="22"/>
              </w:rPr>
            </w:pPr>
          </w:p>
        </w:tc>
        <w:tc>
          <w:tcPr>
            <w:tcW w:w="3568" w:type="dxa"/>
            <w:vMerge/>
            <w:tcBorders>
              <w:top w:val="single" w:sz="8" w:space="0" w:color="auto"/>
              <w:left w:val="single" w:sz="8" w:space="0" w:color="auto"/>
              <w:bottom w:val="nil"/>
              <w:right w:val="single" w:sz="8" w:space="0" w:color="auto"/>
            </w:tcBorders>
            <w:vAlign w:val="center"/>
            <w:hideMark/>
          </w:tcPr>
          <w:p w14:paraId="50400814" w14:textId="77777777" w:rsidR="0056749E" w:rsidRPr="0056749E" w:rsidRDefault="0056749E" w:rsidP="0056749E">
            <w:pPr>
              <w:rPr>
                <w:rFonts w:ascii="Arial Narrow" w:eastAsia="Times New Roman" w:hAnsi="Arial Narrow" w:cs="Calibri"/>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4382C6F3" w14:textId="77777777" w:rsidR="0056749E" w:rsidRPr="0056749E" w:rsidRDefault="0056749E" w:rsidP="0056749E">
            <w:pPr>
              <w:jc w:val="center"/>
              <w:rPr>
                <w:rFonts w:ascii="Arial Narrow" w:eastAsia="Times New Roman" w:hAnsi="Arial Narrow" w:cs="Calibri"/>
                <w:b/>
                <w:bCs/>
                <w:color w:val="FFFFFF"/>
                <w:sz w:val="22"/>
                <w:szCs w:val="22"/>
              </w:rPr>
            </w:pPr>
            <w:r w:rsidRPr="0056749E">
              <w:rPr>
                <w:rFonts w:ascii="Arial Narrow" w:eastAsia="Times New Roman" w:hAnsi="Arial Narrow" w:cs="Calibri"/>
                <w:b/>
                <w:bCs/>
                <w:color w:val="FFFFFF"/>
                <w:sz w:val="22"/>
                <w:szCs w:val="22"/>
              </w:rPr>
              <w:t>Norma</w:t>
            </w:r>
          </w:p>
        </w:tc>
        <w:tc>
          <w:tcPr>
            <w:tcW w:w="1894" w:type="dxa"/>
            <w:tcBorders>
              <w:top w:val="nil"/>
              <w:left w:val="nil"/>
              <w:bottom w:val="nil"/>
              <w:right w:val="single" w:sz="8" w:space="0" w:color="auto"/>
            </w:tcBorders>
            <w:shd w:val="clear" w:color="000000" w:fill="203764"/>
            <w:vAlign w:val="center"/>
            <w:hideMark/>
          </w:tcPr>
          <w:p w14:paraId="0B173066" w14:textId="77777777" w:rsidR="0056749E" w:rsidRPr="0056749E" w:rsidRDefault="0056749E" w:rsidP="0056749E">
            <w:pPr>
              <w:jc w:val="center"/>
              <w:rPr>
                <w:rFonts w:ascii="Arial Narrow" w:eastAsia="Times New Roman" w:hAnsi="Arial Narrow" w:cs="Calibri"/>
                <w:b/>
                <w:bCs/>
                <w:color w:val="FFFFFF"/>
                <w:sz w:val="22"/>
                <w:szCs w:val="22"/>
                <w:lang w:val="es-CR"/>
              </w:rPr>
            </w:pPr>
            <w:r w:rsidRPr="0056749E">
              <w:rPr>
                <w:rFonts w:ascii="Arial Narrow" w:eastAsia="Times New Roman" w:hAnsi="Arial Narrow" w:cs="Calibri"/>
                <w:b/>
                <w:bCs/>
                <w:color w:val="FFFFFF"/>
                <w:sz w:val="22"/>
                <w:szCs w:val="22"/>
                <w:lang w:val="es-CR"/>
              </w:rPr>
              <w:t>Normativa técnica y disposiciones adicionales</w:t>
            </w:r>
          </w:p>
        </w:tc>
      </w:tr>
      <w:tr w:rsidR="0056749E" w:rsidRPr="0056749E" w14:paraId="57FFF404" w14:textId="77777777" w:rsidTr="003167F1">
        <w:trPr>
          <w:gridAfter w:val="1"/>
          <w:wAfter w:w="21" w:type="dxa"/>
          <w:trHeight w:val="630"/>
        </w:trPr>
        <w:tc>
          <w:tcPr>
            <w:tcW w:w="6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1988F2" w14:textId="77777777" w:rsidR="0056749E" w:rsidRPr="0056749E" w:rsidRDefault="0056749E" w:rsidP="0056749E">
            <w:pPr>
              <w:jc w:val="center"/>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17A77186" w14:textId="77777777" w:rsidR="0056749E" w:rsidRPr="0056749E" w:rsidRDefault="0056749E" w:rsidP="0056749E">
            <w:pPr>
              <w:jc w:val="center"/>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82</w:t>
            </w:r>
          </w:p>
        </w:tc>
        <w:tc>
          <w:tcPr>
            <w:tcW w:w="613" w:type="dxa"/>
            <w:tcBorders>
              <w:top w:val="single" w:sz="8" w:space="0" w:color="auto"/>
              <w:left w:val="nil"/>
              <w:bottom w:val="single" w:sz="8" w:space="0" w:color="auto"/>
              <w:right w:val="single" w:sz="8" w:space="0" w:color="auto"/>
            </w:tcBorders>
            <w:shd w:val="clear" w:color="auto" w:fill="auto"/>
            <w:vAlign w:val="center"/>
            <w:hideMark/>
          </w:tcPr>
          <w:p w14:paraId="0DBAF1B5" w14:textId="61F8B9E0" w:rsidR="0056749E" w:rsidRPr="0056749E" w:rsidRDefault="0056749E" w:rsidP="0056749E">
            <w:pPr>
              <w:jc w:val="center"/>
              <w:rPr>
                <w:rFonts w:ascii="Arial Narrow" w:eastAsia="Times New Roman" w:hAnsi="Arial Narrow" w:cs="Calibri"/>
                <w:b/>
                <w:bCs/>
                <w:color w:val="000000"/>
                <w:sz w:val="22"/>
                <w:szCs w:val="22"/>
              </w:rPr>
            </w:pPr>
          </w:p>
        </w:tc>
        <w:tc>
          <w:tcPr>
            <w:tcW w:w="3568" w:type="dxa"/>
            <w:tcBorders>
              <w:top w:val="single" w:sz="8" w:space="0" w:color="auto"/>
              <w:left w:val="nil"/>
              <w:bottom w:val="single" w:sz="8" w:space="0" w:color="auto"/>
              <w:right w:val="single" w:sz="8" w:space="0" w:color="auto"/>
            </w:tcBorders>
            <w:shd w:val="clear" w:color="auto" w:fill="auto"/>
            <w:vAlign w:val="center"/>
            <w:hideMark/>
          </w:tcPr>
          <w:p w14:paraId="57D75FEE" w14:textId="77777777" w:rsidR="0056749E" w:rsidRPr="0056749E" w:rsidRDefault="0056749E" w:rsidP="0056749E">
            <w:pPr>
              <w:jc w:val="both"/>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Medición posterior</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76A0146E" w14:textId="763CB05A" w:rsidR="00B1018E" w:rsidRDefault="0056749E" w:rsidP="0056749E">
            <w:pPr>
              <w:jc w:val="both"/>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 xml:space="preserve">NICSP N° 29, </w:t>
            </w:r>
          </w:p>
          <w:p w14:paraId="7C88099F" w14:textId="025E4C41" w:rsidR="0056749E" w:rsidRPr="0056749E" w:rsidRDefault="0056749E" w:rsidP="0056749E">
            <w:pPr>
              <w:jc w:val="both"/>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Párrafo 49.</w:t>
            </w:r>
          </w:p>
        </w:tc>
        <w:tc>
          <w:tcPr>
            <w:tcW w:w="1894" w:type="dxa"/>
            <w:tcBorders>
              <w:top w:val="single" w:sz="8" w:space="0" w:color="auto"/>
              <w:left w:val="nil"/>
              <w:bottom w:val="single" w:sz="8" w:space="0" w:color="auto"/>
              <w:right w:val="single" w:sz="8" w:space="0" w:color="auto"/>
            </w:tcBorders>
            <w:shd w:val="clear" w:color="auto" w:fill="auto"/>
            <w:vAlign w:val="center"/>
            <w:hideMark/>
          </w:tcPr>
          <w:p w14:paraId="09E602A4" w14:textId="77777777" w:rsidR="0056749E" w:rsidRPr="0056749E" w:rsidRDefault="0056749E" w:rsidP="0056749E">
            <w:pPr>
              <w:rPr>
                <w:rFonts w:ascii="Arial Narrow" w:eastAsia="Times New Roman" w:hAnsi="Arial Narrow" w:cs="Calibri"/>
                <w:b/>
                <w:bCs/>
                <w:color w:val="000000"/>
                <w:sz w:val="22"/>
                <w:szCs w:val="22"/>
              </w:rPr>
            </w:pPr>
            <w:r w:rsidRPr="0056749E">
              <w:rPr>
                <w:rFonts w:ascii="Arial Narrow" w:eastAsia="Times New Roman" w:hAnsi="Arial Narrow" w:cs="Calibri"/>
                <w:b/>
                <w:bCs/>
                <w:color w:val="000000"/>
                <w:sz w:val="22"/>
                <w:szCs w:val="22"/>
              </w:rPr>
              <w:t>DGCN</w:t>
            </w:r>
          </w:p>
        </w:tc>
      </w:tr>
    </w:tbl>
    <w:p w14:paraId="5B5EDCB6" w14:textId="77777777" w:rsidR="008B7A95" w:rsidRDefault="008B7A95" w:rsidP="00B1018E">
      <w:pPr>
        <w:pStyle w:val="Default"/>
        <w:ind w:right="261"/>
        <w:jc w:val="both"/>
        <w:rPr>
          <w:sz w:val="22"/>
          <w:szCs w:val="22"/>
          <w:lang w:val="es-CR"/>
        </w:rPr>
      </w:pPr>
    </w:p>
    <w:p w14:paraId="56288129" w14:textId="6AEFF7D4" w:rsidR="00B1018E" w:rsidRDefault="00B1018E" w:rsidP="00B1018E">
      <w:pPr>
        <w:pStyle w:val="Default"/>
        <w:ind w:right="261"/>
        <w:jc w:val="both"/>
        <w:rPr>
          <w:rFonts w:eastAsia="Arial"/>
          <w:b/>
          <w:sz w:val="22"/>
          <w:szCs w:val="22"/>
        </w:rPr>
      </w:pPr>
      <w:r w:rsidRPr="00F02F9D">
        <w:rPr>
          <w:rFonts w:eastAsia="Arial"/>
          <w:b/>
          <w:sz w:val="22"/>
          <w:szCs w:val="22"/>
        </w:rPr>
        <w:t>Políticas Contables</w:t>
      </w:r>
    </w:p>
    <w:p w14:paraId="4F6516B4" w14:textId="77777777" w:rsidR="00B1018E" w:rsidRPr="0056749E" w:rsidRDefault="00B1018E" w:rsidP="00B1018E">
      <w:pPr>
        <w:pStyle w:val="Default"/>
        <w:ind w:right="261"/>
        <w:jc w:val="both"/>
        <w:rPr>
          <w:sz w:val="22"/>
          <w:szCs w:val="22"/>
          <w:lang w:val="es-CR"/>
        </w:rPr>
      </w:pPr>
    </w:p>
    <w:p w14:paraId="5B590FBB" w14:textId="6B797816" w:rsidR="008B7A95" w:rsidRPr="0056749E" w:rsidRDefault="0056749E" w:rsidP="003167F1">
      <w:pPr>
        <w:pStyle w:val="Default"/>
        <w:spacing w:after="120" w:line="238" w:lineRule="auto"/>
        <w:ind w:left="1134" w:right="26" w:hanging="1134"/>
        <w:jc w:val="both"/>
        <w:rPr>
          <w:sz w:val="22"/>
          <w:szCs w:val="22"/>
          <w:lang w:val="es-CR"/>
        </w:rPr>
      </w:pPr>
      <w:r>
        <w:rPr>
          <w:sz w:val="22"/>
          <w:szCs w:val="22"/>
          <w:lang w:val="es-CR"/>
        </w:rPr>
        <w:t>2.82.0.01</w:t>
      </w:r>
      <w:r>
        <w:rPr>
          <w:sz w:val="22"/>
          <w:szCs w:val="22"/>
          <w:lang w:val="es-CR"/>
        </w:rPr>
        <w:tab/>
      </w:r>
      <w:r w:rsidRPr="0056749E">
        <w:rPr>
          <w:sz w:val="22"/>
          <w:szCs w:val="22"/>
          <w:lang w:val="es-CR"/>
        </w:rPr>
        <w:t xml:space="preserve">Después del reconocimiento inicial, todos los pasivos provenientes del endeudamiento público se medirán según los criterios generales para medición posterior de pasivos financieros, limitándose la aplicación de medición posterior al valor razonable con </w:t>
      </w:r>
      <w:r w:rsidR="000E5DF8" w:rsidRPr="0056749E">
        <w:rPr>
          <w:sz w:val="22"/>
          <w:szCs w:val="22"/>
          <w:lang w:val="es-CR"/>
        </w:rPr>
        <w:t>ca</w:t>
      </w:r>
      <w:r w:rsidR="000E5DF8">
        <w:rPr>
          <w:sz w:val="22"/>
          <w:szCs w:val="22"/>
          <w:lang w:val="es-CR"/>
        </w:rPr>
        <w:t>mbi</w:t>
      </w:r>
      <w:r w:rsidR="000E5DF8" w:rsidRPr="0056749E">
        <w:rPr>
          <w:sz w:val="22"/>
          <w:szCs w:val="22"/>
          <w:lang w:val="es-CR"/>
        </w:rPr>
        <w:t>os</w:t>
      </w:r>
      <w:r w:rsidRPr="0056749E">
        <w:rPr>
          <w:sz w:val="22"/>
          <w:szCs w:val="22"/>
          <w:lang w:val="es-CR"/>
        </w:rPr>
        <w:t xml:space="preserve"> en resultados para los casos que evalúe y autorice la DGCN, conjuntamente con los Organismos que estime pertinente.</w:t>
      </w:r>
    </w:p>
    <w:p w14:paraId="3878956D" w14:textId="77777777" w:rsidR="008B7A95" w:rsidRDefault="008B7A95" w:rsidP="00B60578">
      <w:pPr>
        <w:pStyle w:val="Default"/>
        <w:spacing w:after="120" w:line="238" w:lineRule="auto"/>
        <w:ind w:right="260"/>
        <w:jc w:val="both"/>
        <w:rPr>
          <w:sz w:val="22"/>
          <w:szCs w:val="22"/>
          <w:lang w:val="es-CR"/>
        </w:rPr>
      </w:pPr>
    </w:p>
    <w:p w14:paraId="47C4E2F9" w14:textId="77777777" w:rsidR="00652515" w:rsidRPr="0056749E" w:rsidRDefault="00652515" w:rsidP="00B60578">
      <w:pPr>
        <w:pStyle w:val="Default"/>
        <w:spacing w:after="120" w:line="238" w:lineRule="auto"/>
        <w:ind w:right="260"/>
        <w:jc w:val="both"/>
        <w:rPr>
          <w:sz w:val="22"/>
          <w:szCs w:val="22"/>
          <w:lang w:val="es-CR"/>
        </w:rPr>
      </w:pPr>
    </w:p>
    <w:tbl>
      <w:tblPr>
        <w:tblW w:w="9439" w:type="dxa"/>
        <w:tblLook w:val="04A0" w:firstRow="1" w:lastRow="0" w:firstColumn="1" w:lastColumn="0" w:noHBand="0" w:noVBand="1"/>
      </w:tblPr>
      <w:tblGrid>
        <w:gridCol w:w="540"/>
        <w:gridCol w:w="500"/>
        <w:gridCol w:w="520"/>
        <w:gridCol w:w="3675"/>
        <w:gridCol w:w="2268"/>
        <w:gridCol w:w="1908"/>
        <w:gridCol w:w="28"/>
      </w:tblGrid>
      <w:tr w:rsidR="000A6CA5" w:rsidRPr="00652515" w14:paraId="68B19771" w14:textId="77777777" w:rsidTr="003167F1">
        <w:trPr>
          <w:trHeight w:val="320"/>
        </w:trPr>
        <w:tc>
          <w:tcPr>
            <w:tcW w:w="15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EA5EDAB" w14:textId="77777777" w:rsidR="000A6CA5" w:rsidRPr="00652515" w:rsidRDefault="000A6CA5" w:rsidP="000A6CA5">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Norma / Política</w:t>
            </w:r>
          </w:p>
        </w:tc>
        <w:tc>
          <w:tcPr>
            <w:tcW w:w="3675" w:type="dxa"/>
            <w:vMerge w:val="restart"/>
            <w:tcBorders>
              <w:top w:val="single" w:sz="8" w:space="0" w:color="auto"/>
              <w:left w:val="single" w:sz="8" w:space="0" w:color="auto"/>
              <w:bottom w:val="nil"/>
              <w:right w:val="single" w:sz="8" w:space="0" w:color="auto"/>
            </w:tcBorders>
            <w:shd w:val="clear" w:color="000000" w:fill="203764"/>
            <w:vAlign w:val="center"/>
            <w:hideMark/>
          </w:tcPr>
          <w:p w14:paraId="0E9B7119" w14:textId="77777777" w:rsidR="000A6CA5" w:rsidRPr="00652515" w:rsidRDefault="000A6CA5" w:rsidP="000A6CA5">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Concepto</w:t>
            </w:r>
          </w:p>
        </w:tc>
        <w:tc>
          <w:tcPr>
            <w:tcW w:w="4204" w:type="dxa"/>
            <w:gridSpan w:val="3"/>
            <w:tcBorders>
              <w:top w:val="single" w:sz="8" w:space="0" w:color="auto"/>
              <w:left w:val="nil"/>
              <w:bottom w:val="single" w:sz="8" w:space="0" w:color="auto"/>
              <w:right w:val="single" w:sz="8" w:space="0" w:color="000000"/>
            </w:tcBorders>
            <w:shd w:val="clear" w:color="000000" w:fill="203764"/>
            <w:vAlign w:val="center"/>
            <w:hideMark/>
          </w:tcPr>
          <w:p w14:paraId="7C4E737E" w14:textId="77777777" w:rsidR="000A6CA5" w:rsidRPr="00652515" w:rsidRDefault="000A6CA5" w:rsidP="000A6CA5">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Referencia</w:t>
            </w:r>
          </w:p>
        </w:tc>
      </w:tr>
      <w:tr w:rsidR="000A6CA5" w:rsidRPr="006E5442" w14:paraId="710BD42C" w14:textId="77777777" w:rsidTr="003167F1">
        <w:trPr>
          <w:gridAfter w:val="1"/>
          <w:wAfter w:w="28" w:type="dxa"/>
          <w:trHeight w:val="940"/>
        </w:trPr>
        <w:tc>
          <w:tcPr>
            <w:tcW w:w="1560" w:type="dxa"/>
            <w:gridSpan w:val="3"/>
            <w:vMerge/>
            <w:tcBorders>
              <w:top w:val="single" w:sz="8" w:space="0" w:color="auto"/>
              <w:left w:val="single" w:sz="8" w:space="0" w:color="auto"/>
              <w:bottom w:val="nil"/>
              <w:right w:val="single" w:sz="8" w:space="0" w:color="000000"/>
            </w:tcBorders>
            <w:vAlign w:val="center"/>
            <w:hideMark/>
          </w:tcPr>
          <w:p w14:paraId="000BAED5" w14:textId="77777777" w:rsidR="000A6CA5" w:rsidRPr="00652515" w:rsidRDefault="000A6CA5" w:rsidP="000A6CA5">
            <w:pPr>
              <w:rPr>
                <w:rFonts w:ascii="Arial Narrow" w:eastAsia="Times New Roman" w:hAnsi="Arial Narrow" w:cs="Calibri"/>
                <w:b/>
                <w:bCs/>
                <w:color w:val="FFFFFF"/>
                <w:sz w:val="22"/>
                <w:szCs w:val="22"/>
              </w:rPr>
            </w:pPr>
          </w:p>
        </w:tc>
        <w:tc>
          <w:tcPr>
            <w:tcW w:w="3675" w:type="dxa"/>
            <w:vMerge/>
            <w:tcBorders>
              <w:top w:val="single" w:sz="8" w:space="0" w:color="auto"/>
              <w:left w:val="single" w:sz="8" w:space="0" w:color="auto"/>
              <w:bottom w:val="nil"/>
              <w:right w:val="single" w:sz="8" w:space="0" w:color="auto"/>
            </w:tcBorders>
            <w:vAlign w:val="center"/>
            <w:hideMark/>
          </w:tcPr>
          <w:p w14:paraId="5B3EE09E" w14:textId="77777777" w:rsidR="000A6CA5" w:rsidRPr="00652515" w:rsidRDefault="000A6CA5" w:rsidP="000A6CA5">
            <w:pPr>
              <w:rPr>
                <w:rFonts w:ascii="Arial Narrow" w:eastAsia="Times New Roman" w:hAnsi="Arial Narrow" w:cs="Calibri"/>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163BF2EE" w14:textId="77777777" w:rsidR="000A6CA5" w:rsidRPr="00652515" w:rsidRDefault="000A6CA5" w:rsidP="000A6CA5">
            <w:pPr>
              <w:jc w:val="center"/>
              <w:rPr>
                <w:rFonts w:ascii="Arial Narrow" w:eastAsia="Times New Roman" w:hAnsi="Arial Narrow" w:cs="Calibri"/>
                <w:b/>
                <w:bCs/>
                <w:color w:val="FFFFFF"/>
                <w:sz w:val="22"/>
                <w:szCs w:val="22"/>
              </w:rPr>
            </w:pPr>
            <w:r w:rsidRPr="00652515">
              <w:rPr>
                <w:rFonts w:ascii="Arial Narrow" w:eastAsia="Times New Roman" w:hAnsi="Arial Narrow" w:cs="Calibri"/>
                <w:b/>
                <w:bCs/>
                <w:color w:val="FFFFFF"/>
                <w:sz w:val="22"/>
                <w:szCs w:val="22"/>
              </w:rPr>
              <w:t>Norma</w:t>
            </w:r>
          </w:p>
        </w:tc>
        <w:tc>
          <w:tcPr>
            <w:tcW w:w="1908" w:type="dxa"/>
            <w:tcBorders>
              <w:top w:val="nil"/>
              <w:left w:val="nil"/>
              <w:bottom w:val="nil"/>
              <w:right w:val="single" w:sz="8" w:space="0" w:color="auto"/>
            </w:tcBorders>
            <w:shd w:val="clear" w:color="000000" w:fill="203764"/>
            <w:vAlign w:val="center"/>
            <w:hideMark/>
          </w:tcPr>
          <w:p w14:paraId="14E35A4C" w14:textId="77777777" w:rsidR="000A6CA5" w:rsidRPr="00652515" w:rsidRDefault="000A6CA5" w:rsidP="000A6CA5">
            <w:pPr>
              <w:jc w:val="center"/>
              <w:rPr>
                <w:rFonts w:ascii="Arial Narrow" w:eastAsia="Times New Roman" w:hAnsi="Arial Narrow" w:cs="Calibri"/>
                <w:b/>
                <w:bCs/>
                <w:color w:val="FFFFFF"/>
                <w:sz w:val="22"/>
                <w:szCs w:val="22"/>
                <w:lang w:val="es-CR"/>
              </w:rPr>
            </w:pPr>
            <w:r w:rsidRPr="00652515">
              <w:rPr>
                <w:rFonts w:ascii="Arial Narrow" w:eastAsia="Times New Roman" w:hAnsi="Arial Narrow" w:cs="Calibri"/>
                <w:b/>
                <w:bCs/>
                <w:color w:val="FFFFFF"/>
                <w:sz w:val="22"/>
                <w:szCs w:val="22"/>
                <w:lang w:val="es-CR"/>
              </w:rPr>
              <w:t>Normativa técnica y disposiciones adicionales</w:t>
            </w:r>
          </w:p>
        </w:tc>
      </w:tr>
      <w:tr w:rsidR="000A6CA5" w:rsidRPr="00652515" w14:paraId="0F7C0763" w14:textId="77777777" w:rsidTr="003167F1">
        <w:trPr>
          <w:gridAfter w:val="1"/>
          <w:wAfter w:w="28" w:type="dxa"/>
          <w:trHeight w:val="630"/>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A353FC" w14:textId="77777777" w:rsidR="000A6CA5" w:rsidRPr="00652515" w:rsidRDefault="000A6CA5" w:rsidP="000A6CA5">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2</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14:paraId="75D9C595" w14:textId="77777777" w:rsidR="000A6CA5" w:rsidRPr="00652515" w:rsidRDefault="000A6CA5" w:rsidP="000A6CA5">
            <w:pPr>
              <w:jc w:val="cente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83</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3E7DD991" w14:textId="3C173929" w:rsidR="000A6CA5" w:rsidRPr="00652515" w:rsidRDefault="000A6CA5" w:rsidP="000A6CA5">
            <w:pPr>
              <w:jc w:val="center"/>
              <w:rPr>
                <w:rFonts w:ascii="Arial Narrow" w:eastAsia="Times New Roman" w:hAnsi="Arial Narrow" w:cs="Calibri"/>
                <w:b/>
                <w:bCs/>
                <w:color w:val="000000"/>
                <w:sz w:val="22"/>
                <w:szCs w:val="22"/>
              </w:rPr>
            </w:pPr>
          </w:p>
        </w:tc>
        <w:tc>
          <w:tcPr>
            <w:tcW w:w="3675" w:type="dxa"/>
            <w:tcBorders>
              <w:top w:val="single" w:sz="8" w:space="0" w:color="auto"/>
              <w:left w:val="nil"/>
              <w:bottom w:val="single" w:sz="8" w:space="0" w:color="auto"/>
              <w:right w:val="single" w:sz="8" w:space="0" w:color="auto"/>
            </w:tcBorders>
            <w:shd w:val="clear" w:color="auto" w:fill="auto"/>
            <w:vAlign w:val="center"/>
            <w:hideMark/>
          </w:tcPr>
          <w:p w14:paraId="7D107400" w14:textId="77777777" w:rsidR="000A6CA5" w:rsidRPr="00652515" w:rsidRDefault="000A6CA5" w:rsidP="000A6CA5">
            <w:pPr>
              <w:jc w:val="both"/>
              <w:rPr>
                <w:rFonts w:ascii="Arial Narrow" w:eastAsia="Times New Roman" w:hAnsi="Arial Narrow" w:cs="Calibri"/>
                <w:b/>
                <w:bCs/>
                <w:color w:val="000000"/>
                <w:sz w:val="22"/>
                <w:szCs w:val="22"/>
                <w:lang w:val="es-CR"/>
              </w:rPr>
            </w:pPr>
            <w:r w:rsidRPr="00652515">
              <w:rPr>
                <w:rFonts w:ascii="Arial Narrow" w:eastAsia="Times New Roman" w:hAnsi="Arial Narrow" w:cs="Calibri"/>
                <w:b/>
                <w:bCs/>
                <w:color w:val="000000"/>
                <w:sz w:val="22"/>
                <w:szCs w:val="22"/>
                <w:lang w:val="es-CR"/>
              </w:rPr>
              <w:t>Composición de los costos de endeudamiento</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26396C1E" w14:textId="67445095" w:rsidR="00FA1001" w:rsidRPr="00652515" w:rsidRDefault="000A6CA5" w:rsidP="000A6CA5">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NICSP N° 5,</w:t>
            </w:r>
          </w:p>
          <w:p w14:paraId="7B3F2C84" w14:textId="7E1E966D" w:rsidR="000A6CA5" w:rsidRPr="00652515" w:rsidRDefault="000A6CA5" w:rsidP="000A6CA5">
            <w:pPr>
              <w:jc w:val="both"/>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Párrafo 6.</w:t>
            </w:r>
          </w:p>
        </w:tc>
        <w:tc>
          <w:tcPr>
            <w:tcW w:w="1908" w:type="dxa"/>
            <w:tcBorders>
              <w:top w:val="single" w:sz="8" w:space="0" w:color="auto"/>
              <w:left w:val="nil"/>
              <w:bottom w:val="single" w:sz="8" w:space="0" w:color="auto"/>
              <w:right w:val="single" w:sz="8" w:space="0" w:color="auto"/>
            </w:tcBorders>
            <w:shd w:val="clear" w:color="auto" w:fill="auto"/>
            <w:vAlign w:val="center"/>
            <w:hideMark/>
          </w:tcPr>
          <w:p w14:paraId="419BC25B" w14:textId="77777777" w:rsidR="000A6CA5" w:rsidRPr="00652515" w:rsidRDefault="000A6CA5" w:rsidP="000A6CA5">
            <w:pPr>
              <w:rPr>
                <w:rFonts w:ascii="Arial Narrow" w:eastAsia="Times New Roman" w:hAnsi="Arial Narrow" w:cs="Calibri"/>
                <w:b/>
                <w:bCs/>
                <w:color w:val="000000"/>
                <w:sz w:val="22"/>
                <w:szCs w:val="22"/>
              </w:rPr>
            </w:pPr>
            <w:r w:rsidRPr="00652515">
              <w:rPr>
                <w:rFonts w:ascii="Arial Narrow" w:eastAsia="Times New Roman" w:hAnsi="Arial Narrow" w:cs="Calibri"/>
                <w:b/>
                <w:bCs/>
                <w:color w:val="000000"/>
                <w:sz w:val="22"/>
                <w:szCs w:val="22"/>
              </w:rPr>
              <w:t xml:space="preserve"> </w:t>
            </w:r>
          </w:p>
        </w:tc>
      </w:tr>
    </w:tbl>
    <w:p w14:paraId="4D662F25" w14:textId="77777777" w:rsidR="008B7A95" w:rsidRDefault="008B7A95" w:rsidP="003167F1">
      <w:pPr>
        <w:pStyle w:val="Default"/>
        <w:ind w:right="261"/>
        <w:jc w:val="both"/>
        <w:rPr>
          <w:sz w:val="22"/>
          <w:szCs w:val="22"/>
          <w:lang w:val="es-CR"/>
        </w:rPr>
      </w:pPr>
    </w:p>
    <w:p w14:paraId="59170E5F" w14:textId="330C575F" w:rsidR="003167F1" w:rsidRDefault="003167F1" w:rsidP="003167F1">
      <w:pPr>
        <w:pStyle w:val="Default"/>
        <w:ind w:right="261"/>
        <w:jc w:val="both"/>
        <w:rPr>
          <w:rFonts w:eastAsia="Arial"/>
          <w:b/>
          <w:sz w:val="22"/>
          <w:szCs w:val="22"/>
        </w:rPr>
      </w:pPr>
      <w:r w:rsidRPr="00F02F9D">
        <w:rPr>
          <w:rFonts w:eastAsia="Arial"/>
          <w:b/>
          <w:sz w:val="22"/>
          <w:szCs w:val="22"/>
        </w:rPr>
        <w:t>Política Contable</w:t>
      </w:r>
    </w:p>
    <w:p w14:paraId="1F52F0DE" w14:textId="77777777" w:rsidR="003167F1" w:rsidRPr="00652515" w:rsidRDefault="003167F1" w:rsidP="003167F1">
      <w:pPr>
        <w:pStyle w:val="Default"/>
        <w:ind w:right="261"/>
        <w:jc w:val="both"/>
        <w:rPr>
          <w:sz w:val="22"/>
          <w:szCs w:val="22"/>
          <w:lang w:val="es-CR"/>
        </w:rPr>
      </w:pPr>
    </w:p>
    <w:p w14:paraId="60BB812A" w14:textId="07292F62" w:rsidR="000A6CA5" w:rsidRPr="00652515" w:rsidRDefault="000A6CA5" w:rsidP="000A6CA5">
      <w:pPr>
        <w:pStyle w:val="Default"/>
        <w:ind w:left="1134" w:right="261" w:hanging="1134"/>
        <w:jc w:val="both"/>
        <w:rPr>
          <w:sz w:val="22"/>
          <w:szCs w:val="22"/>
          <w:lang w:val="es-CR"/>
        </w:rPr>
      </w:pPr>
      <w:r w:rsidRPr="00652515">
        <w:rPr>
          <w:sz w:val="22"/>
          <w:szCs w:val="22"/>
          <w:lang w:val="es-CR"/>
        </w:rPr>
        <w:t>2.83.0.01</w:t>
      </w:r>
      <w:r w:rsidRPr="00652515">
        <w:rPr>
          <w:sz w:val="22"/>
          <w:szCs w:val="22"/>
          <w:lang w:val="es-CR"/>
        </w:rPr>
        <w:tab/>
        <w:t>Los costos por endeudamiento pueden incluir:</w:t>
      </w:r>
    </w:p>
    <w:p w14:paraId="165838CC" w14:textId="77777777" w:rsidR="000A6CA5" w:rsidRPr="00652515" w:rsidRDefault="000A6CA5" w:rsidP="000A6CA5">
      <w:pPr>
        <w:pStyle w:val="Default"/>
        <w:ind w:left="1134" w:right="261" w:hanging="1134"/>
        <w:jc w:val="both"/>
        <w:rPr>
          <w:sz w:val="22"/>
          <w:szCs w:val="22"/>
          <w:lang w:val="es-CR"/>
        </w:rPr>
      </w:pPr>
    </w:p>
    <w:p w14:paraId="145703E6" w14:textId="0D58640C" w:rsidR="000A6CA5" w:rsidRPr="00652515" w:rsidRDefault="000A6CA5">
      <w:pPr>
        <w:pStyle w:val="Default"/>
        <w:numPr>
          <w:ilvl w:val="0"/>
          <w:numId w:val="184"/>
        </w:numPr>
        <w:spacing w:after="120"/>
        <w:ind w:left="1418" w:hanging="284"/>
        <w:jc w:val="both"/>
        <w:rPr>
          <w:sz w:val="22"/>
          <w:szCs w:val="22"/>
          <w:lang w:val="es-CR"/>
        </w:rPr>
      </w:pPr>
      <w:r w:rsidRPr="00652515">
        <w:rPr>
          <w:sz w:val="22"/>
          <w:szCs w:val="22"/>
          <w:lang w:val="es-CR"/>
        </w:rPr>
        <w:t>Los intereses de descubiertos o sobregiros bancarios y de préstamos a corto y largo plazo</w:t>
      </w:r>
      <w:r w:rsidRPr="00652515">
        <w:rPr>
          <w:color w:val="0D0D0D"/>
          <w:sz w:val="22"/>
          <w:szCs w:val="22"/>
          <w:lang w:val="es-CR"/>
        </w:rPr>
        <w:t xml:space="preserve">; </w:t>
      </w:r>
    </w:p>
    <w:p w14:paraId="693D47A6" w14:textId="38740E2F" w:rsidR="000A6CA5" w:rsidRPr="00652515" w:rsidRDefault="000A6CA5">
      <w:pPr>
        <w:pStyle w:val="Default"/>
        <w:numPr>
          <w:ilvl w:val="0"/>
          <w:numId w:val="184"/>
        </w:numPr>
        <w:spacing w:after="120"/>
        <w:ind w:left="1418" w:hanging="284"/>
        <w:jc w:val="both"/>
        <w:rPr>
          <w:sz w:val="22"/>
          <w:szCs w:val="22"/>
          <w:lang w:val="es-CR"/>
        </w:rPr>
      </w:pPr>
      <w:r w:rsidRPr="00652515">
        <w:rPr>
          <w:sz w:val="22"/>
          <w:szCs w:val="22"/>
          <w:lang w:val="es-CR"/>
        </w:rPr>
        <w:t xml:space="preserve">La amortización de primas o descuentos relacionados con préstamos; </w:t>
      </w:r>
    </w:p>
    <w:p w14:paraId="6EF294E0" w14:textId="3712DB94" w:rsidR="000A6CA5" w:rsidRPr="00652515" w:rsidRDefault="000A6CA5">
      <w:pPr>
        <w:pStyle w:val="Default"/>
        <w:numPr>
          <w:ilvl w:val="0"/>
          <w:numId w:val="184"/>
        </w:numPr>
        <w:spacing w:after="120"/>
        <w:ind w:left="1418" w:hanging="284"/>
        <w:jc w:val="both"/>
        <w:rPr>
          <w:sz w:val="22"/>
          <w:szCs w:val="22"/>
          <w:lang w:val="es-CR"/>
        </w:rPr>
      </w:pPr>
      <w:r w:rsidRPr="00652515">
        <w:rPr>
          <w:sz w:val="22"/>
          <w:szCs w:val="22"/>
          <w:lang w:val="es-CR"/>
        </w:rPr>
        <w:t xml:space="preserve">La amortización de los costos de formalización de los contratos de préstamo; </w:t>
      </w:r>
    </w:p>
    <w:p w14:paraId="6B4652F4" w14:textId="3D0D8258" w:rsidR="000A6CA5" w:rsidRPr="00652515" w:rsidRDefault="000A6CA5">
      <w:pPr>
        <w:pStyle w:val="Default"/>
        <w:numPr>
          <w:ilvl w:val="0"/>
          <w:numId w:val="184"/>
        </w:numPr>
        <w:spacing w:after="120"/>
        <w:ind w:left="1418" w:hanging="284"/>
        <w:jc w:val="both"/>
        <w:rPr>
          <w:sz w:val="22"/>
          <w:szCs w:val="22"/>
          <w:lang w:val="es-CR"/>
        </w:rPr>
      </w:pPr>
      <w:r w:rsidRPr="00652515">
        <w:rPr>
          <w:sz w:val="22"/>
          <w:szCs w:val="22"/>
          <w:lang w:val="es-CR"/>
        </w:rPr>
        <w:t xml:space="preserve">Las cargas por intereses relativas a los arrendamientos financieros; y </w:t>
      </w:r>
    </w:p>
    <w:p w14:paraId="03E944F8" w14:textId="2D0D5EA5" w:rsidR="000A6CA5" w:rsidRPr="00652515" w:rsidRDefault="000A6CA5">
      <w:pPr>
        <w:pStyle w:val="Default"/>
        <w:numPr>
          <w:ilvl w:val="0"/>
          <w:numId w:val="184"/>
        </w:numPr>
        <w:ind w:left="1418" w:hanging="284"/>
        <w:jc w:val="both"/>
        <w:rPr>
          <w:sz w:val="22"/>
          <w:szCs w:val="22"/>
          <w:lang w:val="es-CR"/>
        </w:rPr>
      </w:pPr>
      <w:r w:rsidRPr="00652515">
        <w:rPr>
          <w:sz w:val="22"/>
          <w:szCs w:val="22"/>
          <w:lang w:val="es-CR"/>
        </w:rPr>
        <w:t xml:space="preserve">Las diferencias de </w:t>
      </w:r>
      <w:r w:rsidR="000E5DF8" w:rsidRPr="00652515">
        <w:rPr>
          <w:sz w:val="22"/>
          <w:szCs w:val="22"/>
          <w:lang w:val="es-CR"/>
        </w:rPr>
        <w:t>ca</w:t>
      </w:r>
      <w:r w:rsidR="000E5DF8">
        <w:rPr>
          <w:sz w:val="22"/>
          <w:szCs w:val="22"/>
          <w:lang w:val="es-CR"/>
        </w:rPr>
        <w:t>mbi</w:t>
      </w:r>
      <w:r w:rsidR="000E5DF8" w:rsidRPr="00652515">
        <w:rPr>
          <w:sz w:val="22"/>
          <w:szCs w:val="22"/>
          <w:lang w:val="es-CR"/>
        </w:rPr>
        <w:t>o</w:t>
      </w:r>
      <w:r w:rsidRPr="00652515">
        <w:rPr>
          <w:sz w:val="22"/>
          <w:szCs w:val="22"/>
          <w:lang w:val="es-CR"/>
        </w:rPr>
        <w:t xml:space="preserve"> procedentes de préstamos en moneda extranjera, en la medida en que sean consideradas como ajustes de costos por intereses. </w:t>
      </w:r>
    </w:p>
    <w:p w14:paraId="716D6270" w14:textId="77777777" w:rsidR="008B7A95" w:rsidRDefault="008B7A95" w:rsidP="00652515">
      <w:pPr>
        <w:pStyle w:val="Default"/>
        <w:ind w:right="261"/>
        <w:jc w:val="both"/>
        <w:rPr>
          <w:sz w:val="22"/>
          <w:szCs w:val="22"/>
          <w:lang w:val="es-CR"/>
        </w:rPr>
      </w:pPr>
    </w:p>
    <w:p w14:paraId="0F9FC3B8" w14:textId="77777777" w:rsidR="003167F1" w:rsidRDefault="003167F1" w:rsidP="00652515">
      <w:pPr>
        <w:pStyle w:val="Default"/>
        <w:ind w:right="261"/>
        <w:jc w:val="both"/>
        <w:rPr>
          <w:sz w:val="22"/>
          <w:szCs w:val="22"/>
          <w:lang w:val="es-CR"/>
        </w:rPr>
      </w:pPr>
    </w:p>
    <w:p w14:paraId="2A7102D6" w14:textId="77777777" w:rsidR="003167F1" w:rsidRDefault="003167F1" w:rsidP="00652515">
      <w:pPr>
        <w:pStyle w:val="Default"/>
        <w:ind w:right="261"/>
        <w:jc w:val="both"/>
        <w:rPr>
          <w:sz w:val="22"/>
          <w:szCs w:val="22"/>
          <w:lang w:val="es-CR"/>
        </w:rPr>
      </w:pPr>
    </w:p>
    <w:p w14:paraId="64E712A9" w14:textId="77777777" w:rsidR="003167F1" w:rsidRDefault="003167F1" w:rsidP="00652515">
      <w:pPr>
        <w:pStyle w:val="Default"/>
        <w:ind w:right="261"/>
        <w:jc w:val="both"/>
        <w:rPr>
          <w:sz w:val="22"/>
          <w:szCs w:val="22"/>
          <w:lang w:val="es-CR"/>
        </w:rPr>
      </w:pPr>
    </w:p>
    <w:p w14:paraId="6583E5FF" w14:textId="77777777" w:rsidR="003167F1" w:rsidRDefault="003167F1" w:rsidP="00652515">
      <w:pPr>
        <w:pStyle w:val="Default"/>
        <w:ind w:right="261"/>
        <w:jc w:val="both"/>
        <w:rPr>
          <w:sz w:val="22"/>
          <w:szCs w:val="22"/>
          <w:lang w:val="es-CR"/>
        </w:rPr>
      </w:pPr>
    </w:p>
    <w:p w14:paraId="04AB08F5" w14:textId="77777777" w:rsidR="003167F1" w:rsidRDefault="003167F1" w:rsidP="00652515">
      <w:pPr>
        <w:pStyle w:val="Default"/>
        <w:ind w:right="261"/>
        <w:jc w:val="both"/>
        <w:rPr>
          <w:sz w:val="22"/>
          <w:szCs w:val="22"/>
          <w:lang w:val="es-CR"/>
        </w:rPr>
      </w:pPr>
    </w:p>
    <w:p w14:paraId="378A5B2B" w14:textId="77777777" w:rsidR="003167F1" w:rsidRDefault="003167F1" w:rsidP="00652515">
      <w:pPr>
        <w:pStyle w:val="Default"/>
        <w:ind w:right="261"/>
        <w:jc w:val="both"/>
        <w:rPr>
          <w:sz w:val="22"/>
          <w:szCs w:val="22"/>
          <w:lang w:val="es-CR"/>
        </w:rPr>
      </w:pPr>
    </w:p>
    <w:p w14:paraId="73CE35A4" w14:textId="77777777" w:rsidR="003167F1" w:rsidRPr="0056749E" w:rsidRDefault="003167F1" w:rsidP="00652515">
      <w:pPr>
        <w:pStyle w:val="Default"/>
        <w:ind w:right="261"/>
        <w:jc w:val="both"/>
        <w:rPr>
          <w:sz w:val="22"/>
          <w:szCs w:val="22"/>
          <w:lang w:val="es-CR"/>
        </w:rPr>
      </w:pPr>
    </w:p>
    <w:p w14:paraId="4FA76E18" w14:textId="77777777" w:rsidR="008B7A95" w:rsidRDefault="008B7A95" w:rsidP="00652515">
      <w:pPr>
        <w:pStyle w:val="Default"/>
        <w:ind w:right="261"/>
        <w:jc w:val="both"/>
        <w:rPr>
          <w:sz w:val="22"/>
          <w:szCs w:val="22"/>
          <w:lang w:val="es-CR"/>
        </w:rPr>
      </w:pPr>
    </w:p>
    <w:tbl>
      <w:tblPr>
        <w:tblW w:w="9364" w:type="dxa"/>
        <w:tblLook w:val="04A0" w:firstRow="1" w:lastRow="0" w:firstColumn="1" w:lastColumn="0" w:noHBand="0" w:noVBand="1"/>
      </w:tblPr>
      <w:tblGrid>
        <w:gridCol w:w="523"/>
        <w:gridCol w:w="748"/>
        <w:gridCol w:w="503"/>
        <w:gridCol w:w="3647"/>
        <w:gridCol w:w="2082"/>
        <w:gridCol w:w="1855"/>
        <w:gridCol w:w="6"/>
      </w:tblGrid>
      <w:tr w:rsidR="00B461C1" w:rsidRPr="00B461C1" w14:paraId="1264D6E6" w14:textId="77777777" w:rsidTr="003167F1">
        <w:trPr>
          <w:trHeight w:val="320"/>
        </w:trPr>
        <w:tc>
          <w:tcPr>
            <w:tcW w:w="177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5F7CA62" w14:textId="77777777" w:rsidR="00B461C1" w:rsidRPr="00B461C1" w:rsidRDefault="00B461C1" w:rsidP="00B461C1">
            <w:pPr>
              <w:jc w:val="center"/>
              <w:rPr>
                <w:rFonts w:ascii="Arial Narrow" w:eastAsia="Times New Roman" w:hAnsi="Arial Narrow" w:cs="Calibri"/>
                <w:b/>
                <w:bCs/>
                <w:color w:val="FFFFFF"/>
                <w:sz w:val="22"/>
                <w:szCs w:val="22"/>
              </w:rPr>
            </w:pPr>
            <w:r w:rsidRPr="00B461C1">
              <w:rPr>
                <w:rFonts w:ascii="Arial Narrow" w:eastAsia="Times New Roman" w:hAnsi="Arial Narrow" w:cs="Calibri"/>
                <w:b/>
                <w:bCs/>
                <w:color w:val="FFFFFF"/>
                <w:sz w:val="22"/>
                <w:szCs w:val="22"/>
              </w:rPr>
              <w:lastRenderedPageBreak/>
              <w:t>Norma / Política</w:t>
            </w:r>
          </w:p>
        </w:tc>
        <w:tc>
          <w:tcPr>
            <w:tcW w:w="3647" w:type="dxa"/>
            <w:vMerge w:val="restart"/>
            <w:tcBorders>
              <w:top w:val="single" w:sz="8" w:space="0" w:color="auto"/>
              <w:left w:val="single" w:sz="8" w:space="0" w:color="auto"/>
              <w:bottom w:val="nil"/>
              <w:right w:val="single" w:sz="8" w:space="0" w:color="auto"/>
            </w:tcBorders>
            <w:shd w:val="clear" w:color="000000" w:fill="203764"/>
            <w:vAlign w:val="center"/>
            <w:hideMark/>
          </w:tcPr>
          <w:p w14:paraId="7E1BD8C8" w14:textId="77777777" w:rsidR="00B461C1" w:rsidRPr="00B461C1" w:rsidRDefault="00B461C1" w:rsidP="00B461C1">
            <w:pPr>
              <w:jc w:val="center"/>
              <w:rPr>
                <w:rFonts w:ascii="Arial Narrow" w:eastAsia="Times New Roman" w:hAnsi="Arial Narrow" w:cs="Calibri"/>
                <w:b/>
                <w:bCs/>
                <w:color w:val="FFFFFF"/>
                <w:sz w:val="22"/>
                <w:szCs w:val="22"/>
              </w:rPr>
            </w:pPr>
            <w:r w:rsidRPr="00B461C1">
              <w:rPr>
                <w:rFonts w:ascii="Arial Narrow" w:eastAsia="Times New Roman" w:hAnsi="Arial Narrow" w:cs="Calibri"/>
                <w:b/>
                <w:bCs/>
                <w:color w:val="FFFFFF"/>
                <w:sz w:val="22"/>
                <w:szCs w:val="22"/>
              </w:rPr>
              <w:t>Concepto</w:t>
            </w:r>
          </w:p>
        </w:tc>
        <w:tc>
          <w:tcPr>
            <w:tcW w:w="3943" w:type="dxa"/>
            <w:gridSpan w:val="3"/>
            <w:tcBorders>
              <w:top w:val="single" w:sz="8" w:space="0" w:color="auto"/>
              <w:left w:val="nil"/>
              <w:bottom w:val="single" w:sz="8" w:space="0" w:color="auto"/>
              <w:right w:val="single" w:sz="8" w:space="0" w:color="000000"/>
            </w:tcBorders>
            <w:shd w:val="clear" w:color="000000" w:fill="203764"/>
            <w:vAlign w:val="center"/>
            <w:hideMark/>
          </w:tcPr>
          <w:p w14:paraId="0D585FEE" w14:textId="77777777" w:rsidR="00B461C1" w:rsidRPr="00B461C1" w:rsidRDefault="00B461C1" w:rsidP="00B461C1">
            <w:pPr>
              <w:jc w:val="center"/>
              <w:rPr>
                <w:rFonts w:ascii="Arial Narrow" w:eastAsia="Times New Roman" w:hAnsi="Arial Narrow" w:cs="Calibri"/>
                <w:b/>
                <w:bCs/>
                <w:color w:val="FFFFFF"/>
                <w:sz w:val="22"/>
                <w:szCs w:val="22"/>
              </w:rPr>
            </w:pPr>
            <w:r w:rsidRPr="00B461C1">
              <w:rPr>
                <w:rFonts w:ascii="Arial Narrow" w:eastAsia="Times New Roman" w:hAnsi="Arial Narrow" w:cs="Calibri"/>
                <w:b/>
                <w:bCs/>
                <w:color w:val="FFFFFF"/>
                <w:sz w:val="22"/>
                <w:szCs w:val="22"/>
              </w:rPr>
              <w:t>Referencia</w:t>
            </w:r>
          </w:p>
        </w:tc>
      </w:tr>
      <w:tr w:rsidR="00B461C1" w:rsidRPr="006E5442" w14:paraId="67896DCD" w14:textId="77777777" w:rsidTr="003167F1">
        <w:trPr>
          <w:gridAfter w:val="1"/>
          <w:wAfter w:w="6" w:type="dxa"/>
          <w:trHeight w:val="940"/>
        </w:trPr>
        <w:tc>
          <w:tcPr>
            <w:tcW w:w="1774" w:type="dxa"/>
            <w:gridSpan w:val="3"/>
            <w:vMerge/>
            <w:tcBorders>
              <w:top w:val="single" w:sz="8" w:space="0" w:color="auto"/>
              <w:left w:val="single" w:sz="8" w:space="0" w:color="auto"/>
              <w:bottom w:val="nil"/>
              <w:right w:val="single" w:sz="8" w:space="0" w:color="000000"/>
            </w:tcBorders>
            <w:vAlign w:val="center"/>
            <w:hideMark/>
          </w:tcPr>
          <w:p w14:paraId="4194FA30" w14:textId="77777777" w:rsidR="00B461C1" w:rsidRPr="00B461C1" w:rsidRDefault="00B461C1" w:rsidP="00B461C1">
            <w:pPr>
              <w:rPr>
                <w:rFonts w:ascii="Arial Narrow" w:eastAsia="Times New Roman" w:hAnsi="Arial Narrow" w:cs="Calibri"/>
                <w:b/>
                <w:bCs/>
                <w:color w:val="FFFFFF"/>
                <w:sz w:val="22"/>
                <w:szCs w:val="22"/>
              </w:rPr>
            </w:pPr>
          </w:p>
        </w:tc>
        <w:tc>
          <w:tcPr>
            <w:tcW w:w="3647" w:type="dxa"/>
            <w:vMerge/>
            <w:tcBorders>
              <w:top w:val="single" w:sz="8" w:space="0" w:color="auto"/>
              <w:left w:val="single" w:sz="8" w:space="0" w:color="auto"/>
              <w:bottom w:val="nil"/>
              <w:right w:val="single" w:sz="8" w:space="0" w:color="auto"/>
            </w:tcBorders>
            <w:vAlign w:val="center"/>
            <w:hideMark/>
          </w:tcPr>
          <w:p w14:paraId="0B4EEBF7" w14:textId="77777777" w:rsidR="00B461C1" w:rsidRPr="00B461C1" w:rsidRDefault="00B461C1" w:rsidP="00B461C1">
            <w:pPr>
              <w:rPr>
                <w:rFonts w:ascii="Arial Narrow" w:eastAsia="Times New Roman" w:hAnsi="Arial Narrow" w:cs="Calibri"/>
                <w:b/>
                <w:bCs/>
                <w:color w:val="FFFFFF"/>
                <w:sz w:val="22"/>
                <w:szCs w:val="22"/>
              </w:rPr>
            </w:pPr>
          </w:p>
        </w:tc>
        <w:tc>
          <w:tcPr>
            <w:tcW w:w="2082" w:type="dxa"/>
            <w:tcBorders>
              <w:top w:val="nil"/>
              <w:left w:val="nil"/>
              <w:bottom w:val="nil"/>
              <w:right w:val="single" w:sz="8" w:space="0" w:color="auto"/>
            </w:tcBorders>
            <w:shd w:val="clear" w:color="000000" w:fill="203764"/>
            <w:vAlign w:val="center"/>
            <w:hideMark/>
          </w:tcPr>
          <w:p w14:paraId="6DBF251D" w14:textId="77777777" w:rsidR="00B461C1" w:rsidRPr="00B461C1" w:rsidRDefault="00B461C1" w:rsidP="00B461C1">
            <w:pPr>
              <w:jc w:val="center"/>
              <w:rPr>
                <w:rFonts w:ascii="Arial Narrow" w:eastAsia="Times New Roman" w:hAnsi="Arial Narrow" w:cs="Calibri"/>
                <w:b/>
                <w:bCs/>
                <w:color w:val="FFFFFF"/>
                <w:sz w:val="22"/>
                <w:szCs w:val="22"/>
              </w:rPr>
            </w:pPr>
            <w:r w:rsidRPr="00B461C1">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58FFC730" w14:textId="77777777" w:rsidR="00B461C1" w:rsidRPr="00B461C1" w:rsidRDefault="00B461C1" w:rsidP="00B461C1">
            <w:pPr>
              <w:jc w:val="center"/>
              <w:rPr>
                <w:rFonts w:ascii="Arial Narrow" w:eastAsia="Times New Roman" w:hAnsi="Arial Narrow" w:cs="Calibri"/>
                <w:b/>
                <w:bCs/>
                <w:color w:val="FFFFFF"/>
                <w:sz w:val="22"/>
                <w:szCs w:val="22"/>
                <w:lang w:val="es-CR"/>
              </w:rPr>
            </w:pPr>
            <w:r w:rsidRPr="00B461C1">
              <w:rPr>
                <w:rFonts w:ascii="Arial Narrow" w:eastAsia="Times New Roman" w:hAnsi="Arial Narrow" w:cs="Calibri"/>
                <w:b/>
                <w:bCs/>
                <w:color w:val="FFFFFF"/>
                <w:sz w:val="22"/>
                <w:szCs w:val="22"/>
                <w:lang w:val="es-CR"/>
              </w:rPr>
              <w:t>Normativa técnica y disposiciones adicionales</w:t>
            </w:r>
          </w:p>
        </w:tc>
      </w:tr>
      <w:tr w:rsidR="00B461C1" w:rsidRPr="006E5442" w14:paraId="4D8E4416" w14:textId="77777777" w:rsidTr="003167F1">
        <w:trPr>
          <w:gridAfter w:val="1"/>
          <w:wAfter w:w="6" w:type="dxa"/>
          <w:trHeight w:val="630"/>
        </w:trPr>
        <w:tc>
          <w:tcPr>
            <w:tcW w:w="5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464ADC" w14:textId="77777777" w:rsidR="00B461C1" w:rsidRPr="00B461C1" w:rsidRDefault="00B461C1" w:rsidP="00B461C1">
            <w:pPr>
              <w:jc w:val="right"/>
              <w:rPr>
                <w:rFonts w:ascii="Arial Narrow" w:eastAsia="Times New Roman" w:hAnsi="Arial Narrow"/>
                <w:b/>
                <w:bCs/>
                <w:color w:val="000000"/>
                <w:sz w:val="22"/>
                <w:szCs w:val="22"/>
              </w:rPr>
            </w:pPr>
            <w:r w:rsidRPr="00B461C1">
              <w:rPr>
                <w:rFonts w:ascii="Arial Narrow" w:eastAsia="Times New Roman" w:hAnsi="Arial Narrow"/>
                <w:b/>
                <w:bCs/>
                <w:color w:val="000000"/>
                <w:sz w:val="22"/>
                <w:szCs w:val="22"/>
              </w:rPr>
              <w:t>2</w:t>
            </w:r>
          </w:p>
        </w:tc>
        <w:tc>
          <w:tcPr>
            <w:tcW w:w="748" w:type="dxa"/>
            <w:tcBorders>
              <w:top w:val="single" w:sz="8" w:space="0" w:color="auto"/>
              <w:left w:val="nil"/>
              <w:bottom w:val="single" w:sz="8" w:space="0" w:color="auto"/>
              <w:right w:val="single" w:sz="8" w:space="0" w:color="auto"/>
            </w:tcBorders>
            <w:shd w:val="clear" w:color="auto" w:fill="auto"/>
            <w:vAlign w:val="center"/>
            <w:hideMark/>
          </w:tcPr>
          <w:p w14:paraId="09B2974B" w14:textId="77777777" w:rsidR="00B461C1" w:rsidRPr="00B461C1" w:rsidRDefault="00B461C1" w:rsidP="00B461C1">
            <w:pPr>
              <w:ind w:firstLineChars="100" w:firstLine="220"/>
              <w:rPr>
                <w:rFonts w:ascii="Arial Narrow" w:eastAsia="Times New Roman" w:hAnsi="Arial Narrow"/>
                <w:b/>
                <w:bCs/>
                <w:color w:val="000000"/>
                <w:sz w:val="22"/>
                <w:szCs w:val="22"/>
              </w:rPr>
            </w:pPr>
            <w:r w:rsidRPr="00B461C1">
              <w:rPr>
                <w:rFonts w:ascii="Arial Narrow" w:eastAsia="Times New Roman" w:hAnsi="Arial Narrow"/>
                <w:b/>
                <w:bCs/>
                <w:color w:val="000000"/>
                <w:sz w:val="22"/>
                <w:szCs w:val="22"/>
              </w:rPr>
              <w:t>84</w:t>
            </w:r>
          </w:p>
        </w:tc>
        <w:tc>
          <w:tcPr>
            <w:tcW w:w="503" w:type="dxa"/>
            <w:tcBorders>
              <w:top w:val="single" w:sz="8" w:space="0" w:color="auto"/>
              <w:left w:val="nil"/>
              <w:bottom w:val="single" w:sz="8" w:space="0" w:color="auto"/>
              <w:right w:val="single" w:sz="8" w:space="0" w:color="auto"/>
            </w:tcBorders>
            <w:shd w:val="clear" w:color="auto" w:fill="auto"/>
            <w:vAlign w:val="center"/>
            <w:hideMark/>
          </w:tcPr>
          <w:p w14:paraId="2362C2A8" w14:textId="6BD06784" w:rsidR="00B461C1" w:rsidRPr="00B461C1" w:rsidRDefault="00B461C1" w:rsidP="00B461C1">
            <w:pPr>
              <w:jc w:val="center"/>
              <w:rPr>
                <w:rFonts w:ascii="Arial Narrow" w:eastAsia="Times New Roman" w:hAnsi="Arial Narrow" w:cs="Calibri"/>
                <w:b/>
                <w:bCs/>
                <w:color w:val="000000"/>
                <w:sz w:val="22"/>
                <w:szCs w:val="22"/>
              </w:rPr>
            </w:pPr>
          </w:p>
        </w:tc>
        <w:tc>
          <w:tcPr>
            <w:tcW w:w="3647" w:type="dxa"/>
            <w:tcBorders>
              <w:top w:val="single" w:sz="8" w:space="0" w:color="auto"/>
              <w:left w:val="nil"/>
              <w:bottom w:val="single" w:sz="8" w:space="0" w:color="auto"/>
              <w:right w:val="single" w:sz="8" w:space="0" w:color="auto"/>
            </w:tcBorders>
            <w:shd w:val="clear" w:color="auto" w:fill="auto"/>
            <w:vAlign w:val="center"/>
            <w:hideMark/>
          </w:tcPr>
          <w:p w14:paraId="1ED27988" w14:textId="77777777" w:rsidR="00B461C1" w:rsidRPr="00B461C1" w:rsidRDefault="00B461C1" w:rsidP="00B461C1">
            <w:pPr>
              <w:rPr>
                <w:rFonts w:ascii="Arial Narrow" w:eastAsia="Times New Roman" w:hAnsi="Arial Narrow"/>
                <w:b/>
                <w:bCs/>
                <w:color w:val="000000"/>
                <w:sz w:val="22"/>
                <w:szCs w:val="22"/>
              </w:rPr>
            </w:pPr>
            <w:r w:rsidRPr="00B461C1">
              <w:rPr>
                <w:rFonts w:ascii="Arial Narrow" w:eastAsia="Times New Roman" w:hAnsi="Arial Narrow"/>
                <w:b/>
                <w:bCs/>
                <w:color w:val="000000"/>
                <w:sz w:val="22"/>
                <w:szCs w:val="22"/>
              </w:rPr>
              <w:t xml:space="preserve"> Costos financieros implícitos</w:t>
            </w:r>
          </w:p>
        </w:tc>
        <w:tc>
          <w:tcPr>
            <w:tcW w:w="2082" w:type="dxa"/>
            <w:tcBorders>
              <w:top w:val="single" w:sz="8" w:space="0" w:color="auto"/>
              <w:left w:val="nil"/>
              <w:bottom w:val="single" w:sz="8" w:space="0" w:color="auto"/>
              <w:right w:val="single" w:sz="8" w:space="0" w:color="auto"/>
            </w:tcBorders>
            <w:shd w:val="clear" w:color="auto" w:fill="auto"/>
            <w:vAlign w:val="center"/>
            <w:hideMark/>
          </w:tcPr>
          <w:p w14:paraId="0B8D095C" w14:textId="77777777" w:rsidR="00B461C1" w:rsidRPr="00B461C1" w:rsidRDefault="00B461C1" w:rsidP="00B461C1">
            <w:pPr>
              <w:rPr>
                <w:rFonts w:ascii="Arial Narrow" w:eastAsia="Times New Roman" w:hAnsi="Arial Narrow" w:cs="Calibri"/>
                <w:b/>
                <w:bCs/>
                <w:color w:val="000000"/>
                <w:sz w:val="22"/>
                <w:szCs w:val="22"/>
                <w:lang w:val="es-CR"/>
              </w:rPr>
            </w:pPr>
            <w:r w:rsidRPr="00B461C1">
              <w:rPr>
                <w:rFonts w:ascii="Arial Narrow" w:eastAsia="Times New Roman" w:hAnsi="Arial Narrow" w:cs="Calibri"/>
                <w:b/>
                <w:bCs/>
                <w:color w:val="000000"/>
                <w:sz w:val="22"/>
                <w:szCs w:val="22"/>
                <w:lang w:val="es-CR"/>
              </w:rPr>
              <w:t xml:space="preserve">NICSP N° 29, </w:t>
            </w:r>
            <w:r w:rsidRPr="00B461C1">
              <w:rPr>
                <w:rFonts w:ascii="Arial Narrow" w:eastAsia="Times New Roman" w:hAnsi="Arial Narrow" w:cs="Calibri"/>
                <w:b/>
                <w:bCs/>
                <w:color w:val="000000"/>
                <w:sz w:val="22"/>
                <w:szCs w:val="22"/>
                <w:lang w:val="es-CR"/>
              </w:rPr>
              <w:br/>
              <w:t>Párrafo 65 y GA 18.</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3CACD5AE" w14:textId="77777777" w:rsidR="00B461C1" w:rsidRPr="00B461C1" w:rsidRDefault="00B461C1" w:rsidP="00B461C1">
            <w:pPr>
              <w:jc w:val="center"/>
              <w:rPr>
                <w:rFonts w:ascii="Arial Narrow" w:eastAsia="Times New Roman" w:hAnsi="Arial Narrow" w:cs="Calibri"/>
                <w:b/>
                <w:bCs/>
                <w:color w:val="000000"/>
                <w:sz w:val="22"/>
                <w:szCs w:val="22"/>
                <w:lang w:val="es-CR"/>
              </w:rPr>
            </w:pPr>
            <w:r w:rsidRPr="00B461C1">
              <w:rPr>
                <w:rFonts w:ascii="Arial Narrow" w:eastAsia="Times New Roman" w:hAnsi="Arial Narrow" w:cs="Calibri"/>
                <w:b/>
                <w:bCs/>
                <w:color w:val="000000"/>
                <w:sz w:val="22"/>
                <w:szCs w:val="22"/>
                <w:lang w:val="es-CR"/>
              </w:rPr>
              <w:t xml:space="preserve"> </w:t>
            </w:r>
          </w:p>
        </w:tc>
      </w:tr>
      <w:tr w:rsidR="00B461C1" w:rsidRPr="00B461C1" w14:paraId="405A10E7" w14:textId="77777777" w:rsidTr="003167F1">
        <w:trPr>
          <w:gridAfter w:val="1"/>
          <w:wAfter w:w="6" w:type="dxa"/>
          <w:trHeight w:val="320"/>
        </w:trPr>
        <w:tc>
          <w:tcPr>
            <w:tcW w:w="523" w:type="dxa"/>
            <w:tcBorders>
              <w:top w:val="nil"/>
              <w:left w:val="single" w:sz="8" w:space="0" w:color="auto"/>
              <w:bottom w:val="single" w:sz="8" w:space="0" w:color="auto"/>
              <w:right w:val="single" w:sz="8" w:space="0" w:color="auto"/>
            </w:tcBorders>
            <w:shd w:val="clear" w:color="auto" w:fill="auto"/>
            <w:vAlign w:val="center"/>
            <w:hideMark/>
          </w:tcPr>
          <w:p w14:paraId="65D6CB98" w14:textId="77777777" w:rsidR="00B461C1" w:rsidRPr="00B461C1" w:rsidRDefault="00B461C1" w:rsidP="00B461C1">
            <w:pPr>
              <w:jc w:val="right"/>
              <w:rPr>
                <w:rFonts w:ascii="Arial Narrow" w:eastAsia="Times New Roman" w:hAnsi="Arial Narrow"/>
                <w:b/>
                <w:bCs/>
                <w:color w:val="000000"/>
                <w:sz w:val="22"/>
                <w:szCs w:val="22"/>
              </w:rPr>
            </w:pPr>
            <w:r w:rsidRPr="00B461C1">
              <w:rPr>
                <w:rFonts w:ascii="Arial Narrow" w:eastAsia="Times New Roman" w:hAnsi="Arial Narrow"/>
                <w:b/>
                <w:bCs/>
                <w:color w:val="000000"/>
                <w:sz w:val="22"/>
                <w:szCs w:val="22"/>
              </w:rPr>
              <w:t>2</w:t>
            </w:r>
          </w:p>
        </w:tc>
        <w:tc>
          <w:tcPr>
            <w:tcW w:w="748" w:type="dxa"/>
            <w:tcBorders>
              <w:top w:val="nil"/>
              <w:left w:val="nil"/>
              <w:bottom w:val="single" w:sz="8" w:space="0" w:color="auto"/>
              <w:right w:val="single" w:sz="8" w:space="0" w:color="auto"/>
            </w:tcBorders>
            <w:shd w:val="clear" w:color="auto" w:fill="auto"/>
            <w:vAlign w:val="center"/>
            <w:hideMark/>
          </w:tcPr>
          <w:p w14:paraId="7C4D6A9F" w14:textId="77777777" w:rsidR="00B461C1" w:rsidRPr="00B461C1" w:rsidRDefault="00B461C1" w:rsidP="00B461C1">
            <w:pPr>
              <w:ind w:firstLineChars="100" w:firstLine="220"/>
              <w:rPr>
                <w:rFonts w:ascii="Arial Narrow" w:eastAsia="Times New Roman" w:hAnsi="Arial Narrow"/>
                <w:b/>
                <w:bCs/>
                <w:color w:val="000000"/>
                <w:sz w:val="22"/>
                <w:szCs w:val="22"/>
              </w:rPr>
            </w:pPr>
            <w:r w:rsidRPr="00B461C1">
              <w:rPr>
                <w:rFonts w:ascii="Arial Narrow" w:eastAsia="Times New Roman" w:hAnsi="Arial Narrow"/>
                <w:b/>
                <w:bCs/>
                <w:color w:val="000000"/>
                <w:sz w:val="22"/>
                <w:szCs w:val="22"/>
              </w:rPr>
              <w:t>84</w:t>
            </w:r>
          </w:p>
        </w:tc>
        <w:tc>
          <w:tcPr>
            <w:tcW w:w="503" w:type="dxa"/>
            <w:tcBorders>
              <w:top w:val="nil"/>
              <w:left w:val="nil"/>
              <w:bottom w:val="single" w:sz="8" w:space="0" w:color="auto"/>
              <w:right w:val="nil"/>
            </w:tcBorders>
            <w:shd w:val="clear" w:color="auto" w:fill="auto"/>
            <w:vAlign w:val="center"/>
            <w:hideMark/>
          </w:tcPr>
          <w:p w14:paraId="41003EE3" w14:textId="77777777" w:rsidR="00B461C1" w:rsidRPr="00B461C1" w:rsidRDefault="00B461C1" w:rsidP="00B461C1">
            <w:pPr>
              <w:jc w:val="center"/>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1</w:t>
            </w:r>
          </w:p>
        </w:tc>
        <w:tc>
          <w:tcPr>
            <w:tcW w:w="3647" w:type="dxa"/>
            <w:tcBorders>
              <w:top w:val="nil"/>
              <w:left w:val="single" w:sz="8" w:space="0" w:color="auto"/>
              <w:bottom w:val="single" w:sz="8" w:space="0" w:color="auto"/>
              <w:right w:val="single" w:sz="8" w:space="0" w:color="auto"/>
            </w:tcBorders>
            <w:shd w:val="clear" w:color="auto" w:fill="auto"/>
            <w:vAlign w:val="center"/>
            <w:hideMark/>
          </w:tcPr>
          <w:p w14:paraId="41795E4F" w14:textId="77777777" w:rsidR="00B461C1" w:rsidRPr="00B461C1" w:rsidRDefault="00B461C1" w:rsidP="00B461C1">
            <w:pPr>
              <w:rPr>
                <w:rFonts w:ascii="Arial Narrow" w:eastAsia="Times New Roman" w:hAnsi="Arial Narrow"/>
                <w:b/>
                <w:bCs/>
                <w:color w:val="000000"/>
                <w:sz w:val="22"/>
                <w:szCs w:val="22"/>
              </w:rPr>
            </w:pPr>
            <w:r w:rsidRPr="00B461C1">
              <w:rPr>
                <w:rFonts w:ascii="Arial Narrow" w:eastAsia="Times New Roman" w:hAnsi="Arial Narrow"/>
                <w:b/>
                <w:bCs/>
                <w:color w:val="000000"/>
                <w:sz w:val="22"/>
                <w:szCs w:val="22"/>
              </w:rPr>
              <w:t>Compensación</w:t>
            </w:r>
          </w:p>
        </w:tc>
        <w:tc>
          <w:tcPr>
            <w:tcW w:w="2082" w:type="dxa"/>
            <w:tcBorders>
              <w:top w:val="nil"/>
              <w:left w:val="nil"/>
              <w:bottom w:val="single" w:sz="8" w:space="0" w:color="auto"/>
              <w:right w:val="single" w:sz="8" w:space="0" w:color="auto"/>
            </w:tcBorders>
            <w:shd w:val="clear" w:color="auto" w:fill="auto"/>
            <w:vAlign w:val="center"/>
            <w:hideMark/>
          </w:tcPr>
          <w:p w14:paraId="6823E05A" w14:textId="77777777" w:rsidR="00B461C1" w:rsidRPr="00B461C1" w:rsidRDefault="00B461C1" w:rsidP="00B461C1">
            <w:pPr>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 xml:space="preserve"> </w:t>
            </w:r>
          </w:p>
        </w:tc>
        <w:tc>
          <w:tcPr>
            <w:tcW w:w="1855" w:type="dxa"/>
            <w:tcBorders>
              <w:top w:val="nil"/>
              <w:left w:val="nil"/>
              <w:bottom w:val="single" w:sz="8" w:space="0" w:color="auto"/>
              <w:right w:val="single" w:sz="8" w:space="0" w:color="auto"/>
            </w:tcBorders>
            <w:shd w:val="clear" w:color="auto" w:fill="auto"/>
            <w:vAlign w:val="center"/>
            <w:hideMark/>
          </w:tcPr>
          <w:p w14:paraId="4362CCDD" w14:textId="77777777" w:rsidR="00B461C1" w:rsidRPr="00B461C1" w:rsidRDefault="00B461C1" w:rsidP="00B461C1">
            <w:pPr>
              <w:jc w:val="center"/>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DGCN</w:t>
            </w:r>
          </w:p>
        </w:tc>
      </w:tr>
    </w:tbl>
    <w:p w14:paraId="351B5F45" w14:textId="77777777" w:rsidR="000A6CA5" w:rsidRDefault="000A6CA5" w:rsidP="003167F1">
      <w:pPr>
        <w:pStyle w:val="Default"/>
        <w:ind w:right="261"/>
        <w:jc w:val="both"/>
        <w:rPr>
          <w:sz w:val="22"/>
          <w:szCs w:val="22"/>
          <w:lang w:val="es-CR"/>
        </w:rPr>
      </w:pPr>
    </w:p>
    <w:p w14:paraId="1377C514" w14:textId="74D04AEE" w:rsidR="003167F1" w:rsidRDefault="003167F1" w:rsidP="003167F1">
      <w:pPr>
        <w:pStyle w:val="Default"/>
        <w:ind w:right="261"/>
        <w:jc w:val="both"/>
        <w:rPr>
          <w:rFonts w:eastAsia="Arial"/>
          <w:b/>
          <w:sz w:val="22"/>
          <w:szCs w:val="22"/>
        </w:rPr>
      </w:pPr>
      <w:r w:rsidRPr="00F02F9D">
        <w:rPr>
          <w:rFonts w:eastAsia="Arial"/>
          <w:b/>
          <w:sz w:val="22"/>
          <w:szCs w:val="22"/>
        </w:rPr>
        <w:t>Políticas Contables</w:t>
      </w:r>
    </w:p>
    <w:p w14:paraId="69C9F188" w14:textId="77777777" w:rsidR="003167F1" w:rsidRDefault="003167F1" w:rsidP="003167F1">
      <w:pPr>
        <w:pStyle w:val="Default"/>
        <w:ind w:right="261"/>
        <w:jc w:val="both"/>
        <w:rPr>
          <w:sz w:val="22"/>
          <w:szCs w:val="22"/>
          <w:lang w:val="es-CR"/>
        </w:rPr>
      </w:pPr>
    </w:p>
    <w:p w14:paraId="3F139D4D" w14:textId="274354E4" w:rsidR="00B461C1" w:rsidRDefault="00B461C1" w:rsidP="00652515">
      <w:pPr>
        <w:pStyle w:val="Default"/>
        <w:ind w:left="1134" w:hanging="1134"/>
        <w:jc w:val="both"/>
        <w:rPr>
          <w:sz w:val="22"/>
          <w:szCs w:val="22"/>
          <w:lang w:val="es-CR"/>
        </w:rPr>
      </w:pPr>
      <w:r w:rsidRPr="00652515">
        <w:rPr>
          <w:sz w:val="22"/>
          <w:szCs w:val="22"/>
          <w:lang w:val="es-CR"/>
        </w:rPr>
        <w:t>2.84.0.01</w:t>
      </w:r>
      <w:r w:rsidRPr="00652515">
        <w:rPr>
          <w:sz w:val="22"/>
          <w:szCs w:val="22"/>
          <w:lang w:val="es-CR"/>
        </w:rPr>
        <w:tab/>
        <w:t>Los costos financieros implícitos valorados por el monto de las primas o descuentos sufridos al momento de la colocación de los títulos incrementarán el pasivo a medida que se vayan devengando durante el período contable a considerar, a través de la amortización con cargo a resultados (gasto) del monto reconocido inicialmente.</w:t>
      </w:r>
    </w:p>
    <w:p w14:paraId="0E1C3957" w14:textId="77777777" w:rsidR="00652515" w:rsidRPr="00652515" w:rsidRDefault="00652515" w:rsidP="00652515">
      <w:pPr>
        <w:pStyle w:val="Default"/>
        <w:ind w:left="1134" w:hanging="1134"/>
        <w:jc w:val="both"/>
        <w:rPr>
          <w:sz w:val="22"/>
          <w:szCs w:val="22"/>
          <w:lang w:val="es-CR"/>
        </w:rPr>
      </w:pPr>
    </w:p>
    <w:p w14:paraId="7819D53E" w14:textId="26F70117" w:rsidR="00B461C1" w:rsidRPr="00652515" w:rsidRDefault="00B461C1" w:rsidP="00652515">
      <w:pPr>
        <w:pStyle w:val="Default"/>
        <w:ind w:left="1134" w:hanging="1134"/>
        <w:jc w:val="both"/>
        <w:rPr>
          <w:sz w:val="22"/>
          <w:szCs w:val="22"/>
          <w:lang w:val="es-CR"/>
        </w:rPr>
      </w:pPr>
      <w:r w:rsidRPr="00652515">
        <w:rPr>
          <w:sz w:val="22"/>
          <w:szCs w:val="22"/>
          <w:lang w:val="es-CR"/>
        </w:rPr>
        <w:t>2.84.1.01</w:t>
      </w:r>
      <w:r w:rsidRPr="00652515">
        <w:rPr>
          <w:sz w:val="22"/>
          <w:szCs w:val="22"/>
          <w:lang w:val="es-CR"/>
        </w:rPr>
        <w:tab/>
        <w:t xml:space="preserve">A efectos de la exposición en los EEFF, se compensará el importe del capital de los pasivos provenientes del endeudamiento público, con los importes reconocidos y no amortizados de costos financieros implícitos, reconocidos separadamente bajo la forma de primas o descuentos de emisión, gastos financieros por devengar o denominaciones análogas. Es decir, el importe de los pasivos financieros se expondrá neto de los costos financieros implícitos no devengados </w:t>
      </w:r>
    </w:p>
    <w:p w14:paraId="2C961A5E" w14:textId="77777777" w:rsidR="000A6CA5" w:rsidRDefault="000A6CA5" w:rsidP="006167A2">
      <w:pPr>
        <w:pStyle w:val="Default"/>
        <w:ind w:right="261"/>
        <w:jc w:val="both"/>
        <w:rPr>
          <w:sz w:val="22"/>
          <w:szCs w:val="22"/>
          <w:lang w:val="es-CR"/>
        </w:rPr>
      </w:pPr>
    </w:p>
    <w:p w14:paraId="2B9C02EE" w14:textId="77777777" w:rsidR="000A6CA5" w:rsidRDefault="000A6CA5" w:rsidP="006167A2">
      <w:pPr>
        <w:pStyle w:val="Default"/>
        <w:ind w:right="261"/>
        <w:jc w:val="both"/>
        <w:rPr>
          <w:sz w:val="22"/>
          <w:szCs w:val="22"/>
          <w:lang w:val="es-CR"/>
        </w:rPr>
      </w:pPr>
    </w:p>
    <w:tbl>
      <w:tblPr>
        <w:tblW w:w="9397" w:type="dxa"/>
        <w:tblLook w:val="04A0" w:firstRow="1" w:lastRow="0" w:firstColumn="1" w:lastColumn="0" w:noHBand="0" w:noVBand="1"/>
      </w:tblPr>
      <w:tblGrid>
        <w:gridCol w:w="645"/>
        <w:gridCol w:w="417"/>
        <w:gridCol w:w="619"/>
        <w:gridCol w:w="3685"/>
        <w:gridCol w:w="2137"/>
        <w:gridCol w:w="1873"/>
        <w:gridCol w:w="21"/>
      </w:tblGrid>
      <w:tr w:rsidR="00B461C1" w:rsidRPr="00B461C1" w14:paraId="519A241B" w14:textId="77777777" w:rsidTr="003167F1">
        <w:trPr>
          <w:trHeight w:val="320"/>
        </w:trPr>
        <w:tc>
          <w:tcPr>
            <w:tcW w:w="168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2337525" w14:textId="77777777" w:rsidR="00B461C1" w:rsidRPr="00B461C1" w:rsidRDefault="00B461C1" w:rsidP="00B461C1">
            <w:pPr>
              <w:jc w:val="center"/>
              <w:rPr>
                <w:rFonts w:ascii="Arial Narrow" w:eastAsia="Times New Roman" w:hAnsi="Arial Narrow" w:cs="Calibri"/>
                <w:b/>
                <w:bCs/>
                <w:color w:val="FFFFFF"/>
                <w:sz w:val="22"/>
                <w:szCs w:val="22"/>
              </w:rPr>
            </w:pPr>
            <w:r w:rsidRPr="00B461C1">
              <w:rPr>
                <w:rFonts w:ascii="Arial Narrow" w:eastAsia="Times New Roman" w:hAnsi="Arial Narrow" w:cs="Calibri"/>
                <w:b/>
                <w:bCs/>
                <w:color w:val="FFFFFF"/>
                <w:sz w:val="22"/>
                <w:szCs w:val="22"/>
              </w:rPr>
              <w:t>Norma / Política</w:t>
            </w:r>
          </w:p>
        </w:tc>
        <w:tc>
          <w:tcPr>
            <w:tcW w:w="3685" w:type="dxa"/>
            <w:vMerge w:val="restart"/>
            <w:tcBorders>
              <w:top w:val="single" w:sz="8" w:space="0" w:color="auto"/>
              <w:left w:val="single" w:sz="8" w:space="0" w:color="auto"/>
              <w:bottom w:val="nil"/>
              <w:right w:val="single" w:sz="8" w:space="0" w:color="auto"/>
            </w:tcBorders>
            <w:shd w:val="clear" w:color="000000" w:fill="203764"/>
            <w:vAlign w:val="center"/>
            <w:hideMark/>
          </w:tcPr>
          <w:p w14:paraId="2B21C22B" w14:textId="77777777" w:rsidR="00B461C1" w:rsidRPr="00B461C1" w:rsidRDefault="00B461C1" w:rsidP="00B461C1">
            <w:pPr>
              <w:jc w:val="center"/>
              <w:rPr>
                <w:rFonts w:ascii="Arial Narrow" w:eastAsia="Times New Roman" w:hAnsi="Arial Narrow" w:cs="Calibri"/>
                <w:b/>
                <w:bCs/>
                <w:color w:val="FFFFFF"/>
                <w:sz w:val="22"/>
                <w:szCs w:val="22"/>
              </w:rPr>
            </w:pPr>
            <w:r w:rsidRPr="00B461C1">
              <w:rPr>
                <w:rFonts w:ascii="Arial Narrow" w:eastAsia="Times New Roman" w:hAnsi="Arial Narrow" w:cs="Calibri"/>
                <w:b/>
                <w:bCs/>
                <w:color w:val="FFFFFF"/>
                <w:sz w:val="22"/>
                <w:szCs w:val="22"/>
              </w:rPr>
              <w:t>Concepto</w:t>
            </w:r>
          </w:p>
        </w:tc>
        <w:tc>
          <w:tcPr>
            <w:tcW w:w="4031" w:type="dxa"/>
            <w:gridSpan w:val="3"/>
            <w:tcBorders>
              <w:top w:val="single" w:sz="8" w:space="0" w:color="auto"/>
              <w:left w:val="nil"/>
              <w:bottom w:val="single" w:sz="8" w:space="0" w:color="auto"/>
              <w:right w:val="single" w:sz="8" w:space="0" w:color="000000"/>
            </w:tcBorders>
            <w:shd w:val="clear" w:color="000000" w:fill="203764"/>
            <w:vAlign w:val="center"/>
            <w:hideMark/>
          </w:tcPr>
          <w:p w14:paraId="4922A82A" w14:textId="77777777" w:rsidR="00B461C1" w:rsidRPr="00B461C1" w:rsidRDefault="00B461C1" w:rsidP="00B461C1">
            <w:pPr>
              <w:jc w:val="center"/>
              <w:rPr>
                <w:rFonts w:ascii="Arial Narrow" w:eastAsia="Times New Roman" w:hAnsi="Arial Narrow" w:cs="Calibri"/>
                <w:b/>
                <w:bCs/>
                <w:color w:val="FFFFFF"/>
                <w:sz w:val="22"/>
                <w:szCs w:val="22"/>
              </w:rPr>
            </w:pPr>
            <w:r w:rsidRPr="00B461C1">
              <w:rPr>
                <w:rFonts w:ascii="Arial Narrow" w:eastAsia="Times New Roman" w:hAnsi="Arial Narrow" w:cs="Calibri"/>
                <w:b/>
                <w:bCs/>
                <w:color w:val="FFFFFF"/>
                <w:sz w:val="22"/>
                <w:szCs w:val="22"/>
              </w:rPr>
              <w:t>Referencia</w:t>
            </w:r>
          </w:p>
        </w:tc>
      </w:tr>
      <w:tr w:rsidR="00B461C1" w:rsidRPr="006E5442" w14:paraId="3244B461" w14:textId="77777777" w:rsidTr="003167F1">
        <w:trPr>
          <w:gridAfter w:val="1"/>
          <w:wAfter w:w="21" w:type="dxa"/>
          <w:trHeight w:val="940"/>
        </w:trPr>
        <w:tc>
          <w:tcPr>
            <w:tcW w:w="1681" w:type="dxa"/>
            <w:gridSpan w:val="3"/>
            <w:vMerge/>
            <w:tcBorders>
              <w:top w:val="single" w:sz="8" w:space="0" w:color="auto"/>
              <w:left w:val="single" w:sz="8" w:space="0" w:color="auto"/>
              <w:bottom w:val="nil"/>
              <w:right w:val="single" w:sz="8" w:space="0" w:color="000000"/>
            </w:tcBorders>
            <w:vAlign w:val="center"/>
            <w:hideMark/>
          </w:tcPr>
          <w:p w14:paraId="2167F946" w14:textId="77777777" w:rsidR="00B461C1" w:rsidRPr="00B461C1" w:rsidRDefault="00B461C1" w:rsidP="00B461C1">
            <w:pPr>
              <w:rPr>
                <w:rFonts w:ascii="Arial Narrow" w:eastAsia="Times New Roman" w:hAnsi="Arial Narrow" w:cs="Calibri"/>
                <w:b/>
                <w:bCs/>
                <w:color w:val="FFFFFF"/>
                <w:sz w:val="22"/>
                <w:szCs w:val="22"/>
              </w:rPr>
            </w:pPr>
          </w:p>
        </w:tc>
        <w:tc>
          <w:tcPr>
            <w:tcW w:w="3685" w:type="dxa"/>
            <w:vMerge/>
            <w:tcBorders>
              <w:top w:val="single" w:sz="8" w:space="0" w:color="auto"/>
              <w:left w:val="single" w:sz="8" w:space="0" w:color="auto"/>
              <w:bottom w:val="nil"/>
              <w:right w:val="single" w:sz="8" w:space="0" w:color="auto"/>
            </w:tcBorders>
            <w:vAlign w:val="center"/>
            <w:hideMark/>
          </w:tcPr>
          <w:p w14:paraId="2CD2C7A0" w14:textId="77777777" w:rsidR="00B461C1" w:rsidRPr="00B461C1" w:rsidRDefault="00B461C1" w:rsidP="00B461C1">
            <w:pPr>
              <w:rPr>
                <w:rFonts w:ascii="Arial Narrow" w:eastAsia="Times New Roman" w:hAnsi="Arial Narrow" w:cs="Calibri"/>
                <w:b/>
                <w:bCs/>
                <w:color w:val="FFFFFF"/>
                <w:sz w:val="22"/>
                <w:szCs w:val="22"/>
              </w:rPr>
            </w:pPr>
          </w:p>
        </w:tc>
        <w:tc>
          <w:tcPr>
            <w:tcW w:w="2137" w:type="dxa"/>
            <w:tcBorders>
              <w:top w:val="nil"/>
              <w:left w:val="nil"/>
              <w:bottom w:val="nil"/>
              <w:right w:val="single" w:sz="8" w:space="0" w:color="auto"/>
            </w:tcBorders>
            <w:shd w:val="clear" w:color="000000" w:fill="203764"/>
            <w:vAlign w:val="center"/>
            <w:hideMark/>
          </w:tcPr>
          <w:p w14:paraId="2D410CC2" w14:textId="77777777" w:rsidR="00B461C1" w:rsidRPr="00B461C1" w:rsidRDefault="00B461C1" w:rsidP="00B461C1">
            <w:pPr>
              <w:jc w:val="center"/>
              <w:rPr>
                <w:rFonts w:ascii="Arial Narrow" w:eastAsia="Times New Roman" w:hAnsi="Arial Narrow" w:cs="Calibri"/>
                <w:b/>
                <w:bCs/>
                <w:color w:val="FFFFFF"/>
                <w:sz w:val="22"/>
                <w:szCs w:val="22"/>
              </w:rPr>
            </w:pPr>
            <w:r w:rsidRPr="00B461C1">
              <w:rPr>
                <w:rFonts w:ascii="Arial Narrow" w:eastAsia="Times New Roman" w:hAnsi="Arial Narrow" w:cs="Calibri"/>
                <w:b/>
                <w:bCs/>
                <w:color w:val="FFFFFF"/>
                <w:sz w:val="22"/>
                <w:szCs w:val="22"/>
              </w:rPr>
              <w:t>Norma</w:t>
            </w:r>
          </w:p>
        </w:tc>
        <w:tc>
          <w:tcPr>
            <w:tcW w:w="1873" w:type="dxa"/>
            <w:tcBorders>
              <w:top w:val="nil"/>
              <w:left w:val="nil"/>
              <w:bottom w:val="nil"/>
              <w:right w:val="single" w:sz="8" w:space="0" w:color="auto"/>
            </w:tcBorders>
            <w:shd w:val="clear" w:color="000000" w:fill="203764"/>
            <w:vAlign w:val="center"/>
            <w:hideMark/>
          </w:tcPr>
          <w:p w14:paraId="33933AD4" w14:textId="77777777" w:rsidR="00B461C1" w:rsidRPr="00B461C1" w:rsidRDefault="00B461C1" w:rsidP="00B461C1">
            <w:pPr>
              <w:jc w:val="center"/>
              <w:rPr>
                <w:rFonts w:ascii="Arial Narrow" w:eastAsia="Times New Roman" w:hAnsi="Arial Narrow" w:cs="Calibri"/>
                <w:b/>
                <w:bCs/>
                <w:color w:val="FFFFFF"/>
                <w:sz w:val="22"/>
                <w:szCs w:val="22"/>
                <w:lang w:val="es-CR"/>
              </w:rPr>
            </w:pPr>
            <w:r w:rsidRPr="00B461C1">
              <w:rPr>
                <w:rFonts w:ascii="Arial Narrow" w:eastAsia="Times New Roman" w:hAnsi="Arial Narrow" w:cs="Calibri"/>
                <w:b/>
                <w:bCs/>
                <w:color w:val="FFFFFF"/>
                <w:sz w:val="22"/>
                <w:szCs w:val="22"/>
                <w:lang w:val="es-CR"/>
              </w:rPr>
              <w:t>Normativa técnica y disposiciones adicionales</w:t>
            </w:r>
          </w:p>
        </w:tc>
      </w:tr>
      <w:tr w:rsidR="00B461C1" w:rsidRPr="00B461C1" w14:paraId="77D35408" w14:textId="77777777" w:rsidTr="003167F1">
        <w:trPr>
          <w:gridAfter w:val="1"/>
          <w:wAfter w:w="21" w:type="dxa"/>
          <w:trHeight w:val="630"/>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C8AD28" w14:textId="77777777" w:rsidR="00B461C1" w:rsidRPr="00B461C1" w:rsidRDefault="00B461C1" w:rsidP="00B461C1">
            <w:pPr>
              <w:jc w:val="center"/>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7DA788AE" w14:textId="77777777" w:rsidR="00B461C1" w:rsidRPr="00B461C1" w:rsidRDefault="00B461C1" w:rsidP="00B461C1">
            <w:pPr>
              <w:jc w:val="center"/>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85</w:t>
            </w:r>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1F338169" w14:textId="35201389" w:rsidR="00B461C1" w:rsidRPr="00B461C1" w:rsidRDefault="00B461C1" w:rsidP="00B461C1">
            <w:pPr>
              <w:jc w:val="center"/>
              <w:rPr>
                <w:rFonts w:ascii="Arial Narrow" w:eastAsia="Times New Roman" w:hAnsi="Arial Narrow" w:cs="Calibri"/>
                <w:b/>
                <w:bCs/>
                <w:color w:val="000000"/>
                <w:sz w:val="22"/>
                <w:szCs w:val="22"/>
              </w:rPr>
            </w:pPr>
          </w:p>
        </w:tc>
        <w:tc>
          <w:tcPr>
            <w:tcW w:w="3685" w:type="dxa"/>
            <w:tcBorders>
              <w:top w:val="single" w:sz="8" w:space="0" w:color="auto"/>
              <w:left w:val="nil"/>
              <w:bottom w:val="single" w:sz="8" w:space="0" w:color="auto"/>
              <w:right w:val="single" w:sz="8" w:space="0" w:color="auto"/>
            </w:tcBorders>
            <w:shd w:val="clear" w:color="auto" w:fill="auto"/>
            <w:vAlign w:val="center"/>
            <w:hideMark/>
          </w:tcPr>
          <w:p w14:paraId="15F858E9" w14:textId="77777777" w:rsidR="00B461C1" w:rsidRPr="00B461C1" w:rsidRDefault="00B461C1" w:rsidP="00B461C1">
            <w:pPr>
              <w:jc w:val="both"/>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Costos financieros explícitos</w:t>
            </w:r>
          </w:p>
        </w:tc>
        <w:tc>
          <w:tcPr>
            <w:tcW w:w="2137" w:type="dxa"/>
            <w:tcBorders>
              <w:top w:val="single" w:sz="8" w:space="0" w:color="auto"/>
              <w:left w:val="nil"/>
              <w:bottom w:val="single" w:sz="8" w:space="0" w:color="auto"/>
              <w:right w:val="single" w:sz="8" w:space="0" w:color="auto"/>
            </w:tcBorders>
            <w:shd w:val="clear" w:color="auto" w:fill="auto"/>
            <w:vAlign w:val="center"/>
            <w:hideMark/>
          </w:tcPr>
          <w:p w14:paraId="435C74EA" w14:textId="4CFE1DC2" w:rsidR="00652515" w:rsidRDefault="00B461C1" w:rsidP="00B461C1">
            <w:pPr>
              <w:jc w:val="both"/>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NICSP N° 29,</w:t>
            </w:r>
          </w:p>
          <w:p w14:paraId="7377AC39" w14:textId="1037AFB5" w:rsidR="00B461C1" w:rsidRPr="00B461C1" w:rsidRDefault="00B461C1" w:rsidP="00B461C1">
            <w:pPr>
              <w:jc w:val="both"/>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Párrafo 65.</w:t>
            </w:r>
          </w:p>
        </w:tc>
        <w:tc>
          <w:tcPr>
            <w:tcW w:w="1873" w:type="dxa"/>
            <w:tcBorders>
              <w:top w:val="single" w:sz="8" w:space="0" w:color="auto"/>
              <w:left w:val="nil"/>
              <w:bottom w:val="single" w:sz="8" w:space="0" w:color="auto"/>
              <w:right w:val="single" w:sz="8" w:space="0" w:color="auto"/>
            </w:tcBorders>
            <w:shd w:val="clear" w:color="auto" w:fill="auto"/>
            <w:vAlign w:val="center"/>
            <w:hideMark/>
          </w:tcPr>
          <w:p w14:paraId="5116EEC8" w14:textId="77777777" w:rsidR="00B461C1" w:rsidRPr="00B461C1" w:rsidRDefault="00B461C1" w:rsidP="00B461C1">
            <w:pPr>
              <w:rPr>
                <w:rFonts w:ascii="Arial Narrow" w:eastAsia="Times New Roman" w:hAnsi="Arial Narrow" w:cs="Calibri"/>
                <w:b/>
                <w:bCs/>
                <w:color w:val="000000"/>
                <w:sz w:val="22"/>
                <w:szCs w:val="22"/>
              </w:rPr>
            </w:pPr>
            <w:r w:rsidRPr="00B461C1">
              <w:rPr>
                <w:rFonts w:ascii="Arial Narrow" w:eastAsia="Times New Roman" w:hAnsi="Arial Narrow" w:cs="Calibri"/>
                <w:b/>
                <w:bCs/>
                <w:color w:val="000000"/>
                <w:sz w:val="22"/>
                <w:szCs w:val="22"/>
              </w:rPr>
              <w:t>DGCN</w:t>
            </w:r>
          </w:p>
        </w:tc>
      </w:tr>
    </w:tbl>
    <w:p w14:paraId="15E0BD53" w14:textId="77777777" w:rsidR="000A6CA5" w:rsidRDefault="000A6CA5" w:rsidP="003167F1">
      <w:pPr>
        <w:pStyle w:val="Default"/>
        <w:ind w:right="261"/>
        <w:jc w:val="both"/>
        <w:rPr>
          <w:sz w:val="22"/>
          <w:szCs w:val="22"/>
          <w:lang w:val="es-CR"/>
        </w:rPr>
      </w:pPr>
    </w:p>
    <w:p w14:paraId="6070F9E9" w14:textId="679906A3" w:rsidR="003167F1" w:rsidRDefault="003167F1" w:rsidP="003167F1">
      <w:pPr>
        <w:pStyle w:val="Default"/>
        <w:ind w:right="261"/>
        <w:jc w:val="both"/>
        <w:rPr>
          <w:rFonts w:eastAsia="Arial"/>
          <w:b/>
          <w:sz w:val="22"/>
          <w:szCs w:val="22"/>
        </w:rPr>
      </w:pPr>
      <w:r w:rsidRPr="00F02F9D">
        <w:rPr>
          <w:rFonts w:eastAsia="Arial"/>
          <w:b/>
          <w:sz w:val="22"/>
          <w:szCs w:val="22"/>
        </w:rPr>
        <w:t>Política Contable</w:t>
      </w:r>
    </w:p>
    <w:p w14:paraId="576F15DB" w14:textId="77777777" w:rsidR="003167F1" w:rsidRPr="00652515" w:rsidRDefault="003167F1" w:rsidP="003167F1">
      <w:pPr>
        <w:pStyle w:val="Default"/>
        <w:ind w:right="261"/>
        <w:jc w:val="both"/>
        <w:rPr>
          <w:sz w:val="22"/>
          <w:szCs w:val="22"/>
          <w:lang w:val="es-CR"/>
        </w:rPr>
      </w:pPr>
    </w:p>
    <w:p w14:paraId="4A538FB6" w14:textId="28C889D5" w:rsidR="000A6CA5" w:rsidRDefault="00B461C1" w:rsidP="003167F1">
      <w:pPr>
        <w:pStyle w:val="Default"/>
        <w:ind w:left="1134" w:hanging="1134"/>
        <w:jc w:val="both"/>
        <w:rPr>
          <w:sz w:val="22"/>
          <w:szCs w:val="22"/>
          <w:lang w:val="es-CR"/>
        </w:rPr>
      </w:pPr>
      <w:r w:rsidRPr="00652515">
        <w:rPr>
          <w:sz w:val="22"/>
          <w:szCs w:val="22"/>
          <w:lang w:val="es-CR"/>
        </w:rPr>
        <w:t>2.84.0.02</w:t>
      </w:r>
      <w:r w:rsidRPr="00652515">
        <w:rPr>
          <w:sz w:val="22"/>
          <w:szCs w:val="22"/>
          <w:lang w:val="es-CR"/>
        </w:rPr>
        <w:tab/>
        <w:t>En los EEFF debe exponerse la totalidad de los intereses y otros costos financieros explícitos devengados hasta la fecha de cierre, independientemente de la exigibilidad de dichos costos a esa fecha.</w:t>
      </w:r>
    </w:p>
    <w:p w14:paraId="2C254050" w14:textId="77777777" w:rsidR="000A6CA5" w:rsidRDefault="000A6CA5" w:rsidP="00652515">
      <w:pPr>
        <w:pStyle w:val="Default"/>
        <w:spacing w:line="238" w:lineRule="auto"/>
        <w:ind w:right="261"/>
        <w:jc w:val="both"/>
        <w:rPr>
          <w:sz w:val="22"/>
          <w:szCs w:val="22"/>
          <w:lang w:val="es-CR"/>
        </w:rPr>
      </w:pPr>
    </w:p>
    <w:p w14:paraId="4BA8E0E5" w14:textId="77777777" w:rsidR="003167F1" w:rsidRDefault="003167F1" w:rsidP="00652515">
      <w:pPr>
        <w:pStyle w:val="Default"/>
        <w:spacing w:line="238" w:lineRule="auto"/>
        <w:ind w:right="261"/>
        <w:jc w:val="both"/>
        <w:rPr>
          <w:sz w:val="22"/>
          <w:szCs w:val="22"/>
          <w:lang w:val="es-CR"/>
        </w:rPr>
      </w:pPr>
    </w:p>
    <w:tbl>
      <w:tblPr>
        <w:tblW w:w="9364" w:type="dxa"/>
        <w:tblLook w:val="04A0" w:firstRow="1" w:lastRow="0" w:firstColumn="1" w:lastColumn="0" w:noHBand="0" w:noVBand="1"/>
      </w:tblPr>
      <w:tblGrid>
        <w:gridCol w:w="523"/>
        <w:gridCol w:w="748"/>
        <w:gridCol w:w="503"/>
        <w:gridCol w:w="3650"/>
        <w:gridCol w:w="2079"/>
        <w:gridCol w:w="1854"/>
        <w:gridCol w:w="7"/>
      </w:tblGrid>
      <w:tr w:rsidR="00CC7E3F" w:rsidRPr="00CC7E3F" w14:paraId="162B35A9" w14:textId="77777777" w:rsidTr="003167F1">
        <w:trPr>
          <w:trHeight w:val="320"/>
        </w:trPr>
        <w:tc>
          <w:tcPr>
            <w:tcW w:w="177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A657361" w14:textId="77777777" w:rsidR="00CC7E3F" w:rsidRPr="00CC7E3F" w:rsidRDefault="00CC7E3F" w:rsidP="00CC7E3F">
            <w:pPr>
              <w:jc w:val="center"/>
              <w:rPr>
                <w:rFonts w:ascii="Arial Narrow" w:eastAsia="Times New Roman" w:hAnsi="Arial Narrow" w:cs="Calibri"/>
                <w:b/>
                <w:bCs/>
                <w:color w:val="FFFFFF"/>
                <w:sz w:val="22"/>
                <w:szCs w:val="22"/>
              </w:rPr>
            </w:pPr>
            <w:r w:rsidRPr="00CC7E3F">
              <w:rPr>
                <w:rFonts w:ascii="Arial Narrow" w:eastAsia="Times New Roman" w:hAnsi="Arial Narrow" w:cs="Calibri"/>
                <w:b/>
                <w:bCs/>
                <w:color w:val="FFFFFF"/>
                <w:sz w:val="22"/>
                <w:szCs w:val="22"/>
              </w:rPr>
              <w:t>Norma / Política</w:t>
            </w:r>
          </w:p>
        </w:tc>
        <w:tc>
          <w:tcPr>
            <w:tcW w:w="365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10853BD" w14:textId="77777777" w:rsidR="00CC7E3F" w:rsidRPr="00CC7E3F" w:rsidRDefault="00CC7E3F" w:rsidP="00CC7E3F">
            <w:pPr>
              <w:jc w:val="center"/>
              <w:rPr>
                <w:rFonts w:ascii="Arial Narrow" w:eastAsia="Times New Roman" w:hAnsi="Arial Narrow" w:cs="Calibri"/>
                <w:b/>
                <w:bCs/>
                <w:color w:val="FFFFFF"/>
                <w:sz w:val="22"/>
                <w:szCs w:val="22"/>
              </w:rPr>
            </w:pPr>
            <w:r w:rsidRPr="00CC7E3F">
              <w:rPr>
                <w:rFonts w:ascii="Arial Narrow" w:eastAsia="Times New Roman" w:hAnsi="Arial Narrow" w:cs="Calibri"/>
                <w:b/>
                <w:bCs/>
                <w:color w:val="FFFFFF"/>
                <w:sz w:val="22"/>
                <w:szCs w:val="22"/>
              </w:rPr>
              <w:t>Concepto</w:t>
            </w:r>
          </w:p>
        </w:tc>
        <w:tc>
          <w:tcPr>
            <w:tcW w:w="3940" w:type="dxa"/>
            <w:gridSpan w:val="3"/>
            <w:tcBorders>
              <w:top w:val="single" w:sz="8" w:space="0" w:color="auto"/>
              <w:left w:val="nil"/>
              <w:bottom w:val="single" w:sz="8" w:space="0" w:color="auto"/>
              <w:right w:val="single" w:sz="8" w:space="0" w:color="000000"/>
            </w:tcBorders>
            <w:shd w:val="clear" w:color="000000" w:fill="203764"/>
            <w:vAlign w:val="center"/>
            <w:hideMark/>
          </w:tcPr>
          <w:p w14:paraId="57814B1B" w14:textId="77777777" w:rsidR="00CC7E3F" w:rsidRPr="00CC7E3F" w:rsidRDefault="00CC7E3F" w:rsidP="00CC7E3F">
            <w:pPr>
              <w:jc w:val="center"/>
              <w:rPr>
                <w:rFonts w:ascii="Arial Narrow" w:eastAsia="Times New Roman" w:hAnsi="Arial Narrow" w:cs="Calibri"/>
                <w:b/>
                <w:bCs/>
                <w:color w:val="FFFFFF"/>
                <w:sz w:val="22"/>
                <w:szCs w:val="22"/>
              </w:rPr>
            </w:pPr>
            <w:r w:rsidRPr="00CC7E3F">
              <w:rPr>
                <w:rFonts w:ascii="Arial Narrow" w:eastAsia="Times New Roman" w:hAnsi="Arial Narrow" w:cs="Calibri"/>
                <w:b/>
                <w:bCs/>
                <w:color w:val="FFFFFF"/>
                <w:sz w:val="22"/>
                <w:szCs w:val="22"/>
              </w:rPr>
              <w:t>Referencia</w:t>
            </w:r>
          </w:p>
        </w:tc>
      </w:tr>
      <w:tr w:rsidR="00CC7E3F" w:rsidRPr="006E5442" w14:paraId="53BAFE51" w14:textId="77777777" w:rsidTr="003167F1">
        <w:trPr>
          <w:gridAfter w:val="1"/>
          <w:wAfter w:w="7" w:type="dxa"/>
          <w:trHeight w:val="940"/>
        </w:trPr>
        <w:tc>
          <w:tcPr>
            <w:tcW w:w="1774" w:type="dxa"/>
            <w:gridSpan w:val="3"/>
            <w:vMerge/>
            <w:tcBorders>
              <w:top w:val="single" w:sz="8" w:space="0" w:color="auto"/>
              <w:left w:val="single" w:sz="8" w:space="0" w:color="auto"/>
              <w:bottom w:val="nil"/>
              <w:right w:val="single" w:sz="8" w:space="0" w:color="000000"/>
            </w:tcBorders>
            <w:vAlign w:val="center"/>
            <w:hideMark/>
          </w:tcPr>
          <w:p w14:paraId="12B6489F" w14:textId="77777777" w:rsidR="00CC7E3F" w:rsidRPr="00CC7E3F" w:rsidRDefault="00CC7E3F" w:rsidP="00CC7E3F">
            <w:pPr>
              <w:rPr>
                <w:rFonts w:ascii="Arial Narrow" w:eastAsia="Times New Roman" w:hAnsi="Arial Narrow" w:cs="Calibri"/>
                <w:b/>
                <w:bCs/>
                <w:color w:val="FFFFFF"/>
                <w:sz w:val="22"/>
                <w:szCs w:val="22"/>
              </w:rPr>
            </w:pPr>
          </w:p>
        </w:tc>
        <w:tc>
          <w:tcPr>
            <w:tcW w:w="3650" w:type="dxa"/>
            <w:vMerge/>
            <w:tcBorders>
              <w:top w:val="single" w:sz="8" w:space="0" w:color="auto"/>
              <w:left w:val="single" w:sz="8" w:space="0" w:color="auto"/>
              <w:bottom w:val="nil"/>
              <w:right w:val="single" w:sz="8" w:space="0" w:color="auto"/>
            </w:tcBorders>
            <w:vAlign w:val="center"/>
            <w:hideMark/>
          </w:tcPr>
          <w:p w14:paraId="760CC663" w14:textId="77777777" w:rsidR="00CC7E3F" w:rsidRPr="00CC7E3F" w:rsidRDefault="00CC7E3F" w:rsidP="00CC7E3F">
            <w:pPr>
              <w:rPr>
                <w:rFonts w:ascii="Arial Narrow" w:eastAsia="Times New Roman" w:hAnsi="Arial Narrow" w:cs="Calibri"/>
                <w:b/>
                <w:bCs/>
                <w:color w:val="FFFFFF"/>
                <w:sz w:val="22"/>
                <w:szCs w:val="22"/>
              </w:rPr>
            </w:pPr>
          </w:p>
        </w:tc>
        <w:tc>
          <w:tcPr>
            <w:tcW w:w="2079" w:type="dxa"/>
            <w:tcBorders>
              <w:top w:val="nil"/>
              <w:left w:val="nil"/>
              <w:bottom w:val="nil"/>
              <w:right w:val="single" w:sz="8" w:space="0" w:color="auto"/>
            </w:tcBorders>
            <w:shd w:val="clear" w:color="000000" w:fill="203764"/>
            <w:vAlign w:val="center"/>
            <w:hideMark/>
          </w:tcPr>
          <w:p w14:paraId="6323C0DE" w14:textId="77777777" w:rsidR="00CC7E3F" w:rsidRPr="00CC7E3F" w:rsidRDefault="00CC7E3F" w:rsidP="00CC7E3F">
            <w:pPr>
              <w:jc w:val="center"/>
              <w:rPr>
                <w:rFonts w:ascii="Arial Narrow" w:eastAsia="Times New Roman" w:hAnsi="Arial Narrow" w:cs="Calibri"/>
                <w:b/>
                <w:bCs/>
                <w:color w:val="FFFFFF"/>
                <w:sz w:val="22"/>
                <w:szCs w:val="22"/>
              </w:rPr>
            </w:pPr>
            <w:r w:rsidRPr="00CC7E3F">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6DAAFD0E" w14:textId="77777777" w:rsidR="00CC7E3F" w:rsidRPr="00CC7E3F" w:rsidRDefault="00CC7E3F" w:rsidP="00CC7E3F">
            <w:pPr>
              <w:jc w:val="center"/>
              <w:rPr>
                <w:rFonts w:ascii="Arial Narrow" w:eastAsia="Times New Roman" w:hAnsi="Arial Narrow" w:cs="Calibri"/>
                <w:b/>
                <w:bCs/>
                <w:color w:val="FFFFFF"/>
                <w:sz w:val="22"/>
                <w:szCs w:val="22"/>
                <w:lang w:val="es-CR"/>
              </w:rPr>
            </w:pPr>
            <w:r w:rsidRPr="00CC7E3F">
              <w:rPr>
                <w:rFonts w:ascii="Arial Narrow" w:eastAsia="Times New Roman" w:hAnsi="Arial Narrow" w:cs="Calibri"/>
                <w:b/>
                <w:bCs/>
                <w:color w:val="FFFFFF"/>
                <w:sz w:val="22"/>
                <w:szCs w:val="22"/>
                <w:lang w:val="es-CR"/>
              </w:rPr>
              <w:t>Normativa técnica y disposiciones adicionales</w:t>
            </w:r>
          </w:p>
        </w:tc>
      </w:tr>
      <w:tr w:rsidR="00CC7E3F" w:rsidRPr="00CC7E3F" w14:paraId="5C333710" w14:textId="77777777" w:rsidTr="003167F1">
        <w:trPr>
          <w:gridAfter w:val="1"/>
          <w:wAfter w:w="7" w:type="dxa"/>
          <w:trHeight w:val="630"/>
        </w:trPr>
        <w:tc>
          <w:tcPr>
            <w:tcW w:w="5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BB498F" w14:textId="77777777" w:rsidR="00CC7E3F" w:rsidRPr="00CC7E3F" w:rsidRDefault="00CC7E3F" w:rsidP="00CC7E3F">
            <w:pPr>
              <w:jc w:val="right"/>
              <w:rPr>
                <w:rFonts w:ascii="Arial Narrow" w:eastAsia="Times New Roman" w:hAnsi="Arial Narrow"/>
                <w:b/>
                <w:bCs/>
                <w:color w:val="000000"/>
                <w:sz w:val="22"/>
                <w:szCs w:val="22"/>
              </w:rPr>
            </w:pPr>
            <w:r w:rsidRPr="00CC7E3F">
              <w:rPr>
                <w:rFonts w:ascii="Arial Narrow" w:eastAsia="Times New Roman" w:hAnsi="Arial Narrow"/>
                <w:b/>
                <w:bCs/>
                <w:color w:val="000000"/>
                <w:sz w:val="22"/>
                <w:szCs w:val="22"/>
              </w:rPr>
              <w:t>2</w:t>
            </w:r>
          </w:p>
        </w:tc>
        <w:tc>
          <w:tcPr>
            <w:tcW w:w="748" w:type="dxa"/>
            <w:tcBorders>
              <w:top w:val="single" w:sz="8" w:space="0" w:color="auto"/>
              <w:left w:val="nil"/>
              <w:bottom w:val="single" w:sz="8" w:space="0" w:color="auto"/>
              <w:right w:val="single" w:sz="8" w:space="0" w:color="auto"/>
            </w:tcBorders>
            <w:shd w:val="clear" w:color="auto" w:fill="auto"/>
            <w:vAlign w:val="center"/>
            <w:hideMark/>
          </w:tcPr>
          <w:p w14:paraId="7701CE82" w14:textId="77777777" w:rsidR="00CC7E3F" w:rsidRPr="00CC7E3F" w:rsidRDefault="00CC7E3F" w:rsidP="00CC7E3F">
            <w:pPr>
              <w:ind w:firstLineChars="100" w:firstLine="220"/>
              <w:rPr>
                <w:rFonts w:ascii="Arial Narrow" w:eastAsia="Times New Roman" w:hAnsi="Arial Narrow"/>
                <w:b/>
                <w:bCs/>
                <w:color w:val="000000"/>
                <w:sz w:val="22"/>
                <w:szCs w:val="22"/>
              </w:rPr>
            </w:pPr>
            <w:r w:rsidRPr="00CC7E3F">
              <w:rPr>
                <w:rFonts w:ascii="Arial Narrow" w:eastAsia="Times New Roman" w:hAnsi="Arial Narrow"/>
                <w:b/>
                <w:bCs/>
                <w:color w:val="000000"/>
                <w:sz w:val="22"/>
                <w:szCs w:val="22"/>
              </w:rPr>
              <w:t>86</w:t>
            </w:r>
          </w:p>
        </w:tc>
        <w:tc>
          <w:tcPr>
            <w:tcW w:w="503" w:type="dxa"/>
            <w:tcBorders>
              <w:top w:val="single" w:sz="8" w:space="0" w:color="auto"/>
              <w:left w:val="nil"/>
              <w:bottom w:val="single" w:sz="8" w:space="0" w:color="auto"/>
              <w:right w:val="single" w:sz="8" w:space="0" w:color="auto"/>
            </w:tcBorders>
            <w:shd w:val="clear" w:color="auto" w:fill="auto"/>
            <w:vAlign w:val="center"/>
            <w:hideMark/>
          </w:tcPr>
          <w:p w14:paraId="1B5C5015" w14:textId="2E1F37C5" w:rsidR="00CC7E3F" w:rsidRPr="00CC7E3F" w:rsidRDefault="00CC7E3F" w:rsidP="00CC7E3F">
            <w:pPr>
              <w:jc w:val="center"/>
              <w:rPr>
                <w:rFonts w:ascii="Arial Narrow" w:eastAsia="Times New Roman" w:hAnsi="Arial Narrow" w:cs="Calibri"/>
                <w:b/>
                <w:bCs/>
                <w:color w:val="000000"/>
                <w:sz w:val="22"/>
                <w:szCs w:val="22"/>
              </w:rPr>
            </w:pPr>
          </w:p>
        </w:tc>
        <w:tc>
          <w:tcPr>
            <w:tcW w:w="3650" w:type="dxa"/>
            <w:tcBorders>
              <w:top w:val="single" w:sz="8" w:space="0" w:color="auto"/>
              <w:left w:val="nil"/>
              <w:bottom w:val="single" w:sz="8" w:space="0" w:color="auto"/>
              <w:right w:val="single" w:sz="8" w:space="0" w:color="auto"/>
            </w:tcBorders>
            <w:shd w:val="clear" w:color="auto" w:fill="auto"/>
            <w:vAlign w:val="center"/>
            <w:hideMark/>
          </w:tcPr>
          <w:p w14:paraId="3F78FD09" w14:textId="77777777" w:rsidR="00CC7E3F" w:rsidRPr="00CC7E3F" w:rsidRDefault="00CC7E3F" w:rsidP="00CC7E3F">
            <w:pPr>
              <w:rPr>
                <w:rFonts w:ascii="Arial Narrow" w:eastAsia="Times New Roman" w:hAnsi="Arial Narrow"/>
                <w:b/>
                <w:bCs/>
                <w:color w:val="000000"/>
                <w:sz w:val="22"/>
                <w:szCs w:val="22"/>
              </w:rPr>
            </w:pPr>
            <w:r w:rsidRPr="00CC7E3F">
              <w:rPr>
                <w:rFonts w:ascii="Arial Narrow" w:eastAsia="Times New Roman" w:hAnsi="Arial Narrow"/>
                <w:b/>
                <w:bCs/>
                <w:color w:val="000000"/>
                <w:sz w:val="22"/>
                <w:szCs w:val="22"/>
              </w:rPr>
              <w:t>Préstamos en condiciones favorables</w:t>
            </w:r>
          </w:p>
        </w:tc>
        <w:tc>
          <w:tcPr>
            <w:tcW w:w="2079" w:type="dxa"/>
            <w:tcBorders>
              <w:top w:val="single" w:sz="8" w:space="0" w:color="auto"/>
              <w:left w:val="nil"/>
              <w:bottom w:val="single" w:sz="8" w:space="0" w:color="auto"/>
              <w:right w:val="single" w:sz="8" w:space="0" w:color="auto"/>
            </w:tcBorders>
            <w:shd w:val="clear" w:color="auto" w:fill="auto"/>
            <w:vAlign w:val="center"/>
            <w:hideMark/>
          </w:tcPr>
          <w:p w14:paraId="1F902015" w14:textId="77777777" w:rsidR="00CC7E3F" w:rsidRPr="00CC7E3F" w:rsidRDefault="00CC7E3F" w:rsidP="00CC7E3F">
            <w:pPr>
              <w:rPr>
                <w:rFonts w:ascii="Arial Narrow" w:eastAsia="Times New Roman" w:hAnsi="Arial Narrow" w:cs="Calibri"/>
                <w:b/>
                <w:bCs/>
                <w:color w:val="000000"/>
                <w:sz w:val="22"/>
                <w:szCs w:val="22"/>
              </w:rPr>
            </w:pPr>
            <w:r w:rsidRPr="00CC7E3F">
              <w:rPr>
                <w:rFonts w:ascii="Arial Narrow" w:eastAsia="Times New Roman" w:hAnsi="Arial Narrow" w:cs="Calibri"/>
                <w:b/>
                <w:bCs/>
                <w:color w:val="000000"/>
                <w:sz w:val="22"/>
                <w:szCs w:val="22"/>
              </w:rPr>
              <w:t xml:space="preserve">NICSP N° 23, </w:t>
            </w:r>
            <w:r w:rsidRPr="00CC7E3F">
              <w:rPr>
                <w:rFonts w:ascii="Arial Narrow" w:eastAsia="Times New Roman" w:hAnsi="Arial Narrow" w:cs="Calibri"/>
                <w:b/>
                <w:bCs/>
                <w:color w:val="000000"/>
                <w:sz w:val="22"/>
                <w:szCs w:val="22"/>
              </w:rPr>
              <w:br/>
              <w:t>Párrafo 105A.</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772B88FD" w14:textId="77777777" w:rsidR="00CC7E3F" w:rsidRPr="00CC7E3F" w:rsidRDefault="00CC7E3F" w:rsidP="00CC7E3F">
            <w:pPr>
              <w:jc w:val="center"/>
              <w:rPr>
                <w:rFonts w:ascii="Arial Narrow" w:eastAsia="Times New Roman" w:hAnsi="Arial Narrow" w:cs="Calibri"/>
                <w:b/>
                <w:bCs/>
                <w:color w:val="000000"/>
                <w:sz w:val="22"/>
                <w:szCs w:val="22"/>
              </w:rPr>
            </w:pPr>
            <w:r w:rsidRPr="00CC7E3F">
              <w:rPr>
                <w:rFonts w:ascii="Arial Narrow" w:eastAsia="Times New Roman" w:hAnsi="Arial Narrow" w:cs="Calibri"/>
                <w:b/>
                <w:bCs/>
                <w:color w:val="000000"/>
                <w:sz w:val="22"/>
                <w:szCs w:val="22"/>
              </w:rPr>
              <w:t xml:space="preserve"> </w:t>
            </w:r>
          </w:p>
        </w:tc>
      </w:tr>
      <w:tr w:rsidR="00CC7E3F" w:rsidRPr="00CC7E3F" w14:paraId="029E3DF3" w14:textId="77777777" w:rsidTr="003167F1">
        <w:trPr>
          <w:gridAfter w:val="1"/>
          <w:wAfter w:w="7" w:type="dxa"/>
          <w:trHeight w:val="630"/>
        </w:trPr>
        <w:tc>
          <w:tcPr>
            <w:tcW w:w="523" w:type="dxa"/>
            <w:tcBorders>
              <w:top w:val="nil"/>
              <w:left w:val="single" w:sz="8" w:space="0" w:color="auto"/>
              <w:bottom w:val="single" w:sz="8" w:space="0" w:color="auto"/>
              <w:right w:val="single" w:sz="8" w:space="0" w:color="auto"/>
            </w:tcBorders>
            <w:shd w:val="clear" w:color="auto" w:fill="auto"/>
            <w:vAlign w:val="center"/>
            <w:hideMark/>
          </w:tcPr>
          <w:p w14:paraId="33D4430B" w14:textId="77777777" w:rsidR="00CC7E3F" w:rsidRPr="00CC7E3F" w:rsidRDefault="00CC7E3F" w:rsidP="00CC7E3F">
            <w:pPr>
              <w:jc w:val="right"/>
              <w:rPr>
                <w:rFonts w:ascii="Arial Narrow" w:eastAsia="Times New Roman" w:hAnsi="Arial Narrow"/>
                <w:b/>
                <w:bCs/>
                <w:color w:val="000000"/>
                <w:sz w:val="22"/>
                <w:szCs w:val="22"/>
              </w:rPr>
            </w:pPr>
            <w:r w:rsidRPr="00CC7E3F">
              <w:rPr>
                <w:rFonts w:ascii="Arial Narrow" w:eastAsia="Times New Roman" w:hAnsi="Arial Narrow"/>
                <w:b/>
                <w:bCs/>
                <w:color w:val="000000"/>
                <w:sz w:val="22"/>
                <w:szCs w:val="22"/>
              </w:rPr>
              <w:t>2</w:t>
            </w:r>
          </w:p>
        </w:tc>
        <w:tc>
          <w:tcPr>
            <w:tcW w:w="748" w:type="dxa"/>
            <w:tcBorders>
              <w:top w:val="nil"/>
              <w:left w:val="nil"/>
              <w:bottom w:val="single" w:sz="8" w:space="0" w:color="auto"/>
              <w:right w:val="single" w:sz="8" w:space="0" w:color="auto"/>
            </w:tcBorders>
            <w:shd w:val="clear" w:color="auto" w:fill="auto"/>
            <w:vAlign w:val="center"/>
            <w:hideMark/>
          </w:tcPr>
          <w:p w14:paraId="711CDBDA" w14:textId="77777777" w:rsidR="00CC7E3F" w:rsidRPr="00CC7E3F" w:rsidRDefault="00CC7E3F" w:rsidP="00CC7E3F">
            <w:pPr>
              <w:ind w:firstLineChars="100" w:firstLine="220"/>
              <w:rPr>
                <w:rFonts w:ascii="Arial Narrow" w:eastAsia="Times New Roman" w:hAnsi="Arial Narrow"/>
                <w:b/>
                <w:bCs/>
                <w:color w:val="000000"/>
                <w:sz w:val="22"/>
                <w:szCs w:val="22"/>
              </w:rPr>
            </w:pPr>
            <w:r w:rsidRPr="00CC7E3F">
              <w:rPr>
                <w:rFonts w:ascii="Arial Narrow" w:eastAsia="Times New Roman" w:hAnsi="Arial Narrow"/>
                <w:b/>
                <w:bCs/>
                <w:color w:val="000000"/>
                <w:sz w:val="22"/>
                <w:szCs w:val="22"/>
              </w:rPr>
              <w:t>86</w:t>
            </w:r>
          </w:p>
        </w:tc>
        <w:tc>
          <w:tcPr>
            <w:tcW w:w="503" w:type="dxa"/>
            <w:tcBorders>
              <w:top w:val="nil"/>
              <w:left w:val="nil"/>
              <w:bottom w:val="single" w:sz="8" w:space="0" w:color="auto"/>
              <w:right w:val="nil"/>
            </w:tcBorders>
            <w:shd w:val="clear" w:color="auto" w:fill="auto"/>
            <w:vAlign w:val="center"/>
            <w:hideMark/>
          </w:tcPr>
          <w:p w14:paraId="7B2B38BF" w14:textId="77777777" w:rsidR="00CC7E3F" w:rsidRPr="00CC7E3F" w:rsidRDefault="00CC7E3F" w:rsidP="00CC7E3F">
            <w:pPr>
              <w:jc w:val="center"/>
              <w:rPr>
                <w:rFonts w:ascii="Arial Narrow" w:eastAsia="Times New Roman" w:hAnsi="Arial Narrow" w:cs="Calibri"/>
                <w:b/>
                <w:bCs/>
                <w:color w:val="000000"/>
                <w:sz w:val="22"/>
                <w:szCs w:val="22"/>
              </w:rPr>
            </w:pPr>
            <w:r w:rsidRPr="00CC7E3F">
              <w:rPr>
                <w:rFonts w:ascii="Arial Narrow" w:eastAsia="Times New Roman" w:hAnsi="Arial Narrow" w:cs="Calibri"/>
                <w:b/>
                <w:bCs/>
                <w:color w:val="000000"/>
                <w:sz w:val="22"/>
                <w:szCs w:val="22"/>
              </w:rPr>
              <w:t>1</w:t>
            </w:r>
          </w:p>
        </w:tc>
        <w:tc>
          <w:tcPr>
            <w:tcW w:w="3650" w:type="dxa"/>
            <w:tcBorders>
              <w:top w:val="nil"/>
              <w:left w:val="single" w:sz="8" w:space="0" w:color="auto"/>
              <w:bottom w:val="single" w:sz="8" w:space="0" w:color="auto"/>
              <w:right w:val="single" w:sz="8" w:space="0" w:color="auto"/>
            </w:tcBorders>
            <w:shd w:val="clear" w:color="auto" w:fill="auto"/>
            <w:vAlign w:val="center"/>
            <w:hideMark/>
          </w:tcPr>
          <w:p w14:paraId="442CEFA6" w14:textId="77777777" w:rsidR="00CC7E3F" w:rsidRPr="00CC7E3F" w:rsidRDefault="00CC7E3F" w:rsidP="00CC7E3F">
            <w:pPr>
              <w:rPr>
                <w:rFonts w:ascii="Arial Narrow" w:eastAsia="Times New Roman" w:hAnsi="Arial Narrow"/>
                <w:b/>
                <w:bCs/>
                <w:color w:val="000000"/>
                <w:sz w:val="22"/>
                <w:szCs w:val="22"/>
                <w:lang w:val="es-CR"/>
              </w:rPr>
            </w:pPr>
            <w:r w:rsidRPr="00CC7E3F">
              <w:rPr>
                <w:rFonts w:ascii="Arial Narrow" w:eastAsia="Times New Roman" w:hAnsi="Arial Narrow"/>
                <w:b/>
                <w:bCs/>
                <w:color w:val="000000"/>
                <w:sz w:val="22"/>
                <w:szCs w:val="22"/>
                <w:lang w:val="es-CR"/>
              </w:rPr>
              <w:t>Reconocimiento de ingreso / y de una obligación actual</w:t>
            </w:r>
          </w:p>
        </w:tc>
        <w:tc>
          <w:tcPr>
            <w:tcW w:w="2079" w:type="dxa"/>
            <w:tcBorders>
              <w:top w:val="nil"/>
              <w:left w:val="nil"/>
              <w:bottom w:val="single" w:sz="8" w:space="0" w:color="auto"/>
              <w:right w:val="single" w:sz="8" w:space="0" w:color="auto"/>
            </w:tcBorders>
            <w:shd w:val="clear" w:color="auto" w:fill="auto"/>
            <w:vAlign w:val="center"/>
            <w:hideMark/>
          </w:tcPr>
          <w:p w14:paraId="0AF27B50" w14:textId="77777777" w:rsidR="00CC7E3F" w:rsidRPr="00CC7E3F" w:rsidRDefault="00CC7E3F" w:rsidP="00CC7E3F">
            <w:pPr>
              <w:rPr>
                <w:rFonts w:ascii="Arial Narrow" w:eastAsia="Times New Roman" w:hAnsi="Arial Narrow" w:cs="Calibri"/>
                <w:b/>
                <w:bCs/>
                <w:color w:val="000000"/>
                <w:sz w:val="22"/>
                <w:szCs w:val="22"/>
              </w:rPr>
            </w:pPr>
            <w:r w:rsidRPr="00CC7E3F">
              <w:rPr>
                <w:rFonts w:ascii="Arial Narrow" w:eastAsia="Times New Roman" w:hAnsi="Arial Narrow" w:cs="Calibri"/>
                <w:b/>
                <w:bCs/>
                <w:color w:val="000000"/>
                <w:sz w:val="22"/>
                <w:szCs w:val="22"/>
              </w:rPr>
              <w:t xml:space="preserve">NICSP N° 23, </w:t>
            </w:r>
            <w:r w:rsidRPr="00CC7E3F">
              <w:rPr>
                <w:rFonts w:ascii="Arial Narrow" w:eastAsia="Times New Roman" w:hAnsi="Arial Narrow" w:cs="Calibri"/>
                <w:b/>
                <w:bCs/>
                <w:color w:val="000000"/>
                <w:sz w:val="22"/>
                <w:szCs w:val="22"/>
              </w:rPr>
              <w:br/>
              <w:t>Párrafo 105B.</w:t>
            </w:r>
          </w:p>
        </w:tc>
        <w:tc>
          <w:tcPr>
            <w:tcW w:w="1854" w:type="dxa"/>
            <w:tcBorders>
              <w:top w:val="nil"/>
              <w:left w:val="nil"/>
              <w:bottom w:val="single" w:sz="8" w:space="0" w:color="auto"/>
              <w:right w:val="single" w:sz="8" w:space="0" w:color="auto"/>
            </w:tcBorders>
            <w:shd w:val="clear" w:color="auto" w:fill="auto"/>
            <w:vAlign w:val="center"/>
            <w:hideMark/>
          </w:tcPr>
          <w:p w14:paraId="137174E5" w14:textId="77777777" w:rsidR="00CC7E3F" w:rsidRPr="00CC7E3F" w:rsidRDefault="00CC7E3F" w:rsidP="00CC7E3F">
            <w:pPr>
              <w:jc w:val="center"/>
              <w:rPr>
                <w:rFonts w:ascii="Arial Narrow" w:eastAsia="Times New Roman" w:hAnsi="Arial Narrow" w:cs="Calibri"/>
                <w:b/>
                <w:bCs/>
                <w:color w:val="000000"/>
                <w:sz w:val="22"/>
                <w:szCs w:val="22"/>
              </w:rPr>
            </w:pPr>
            <w:r w:rsidRPr="00CC7E3F">
              <w:rPr>
                <w:rFonts w:ascii="Arial Narrow" w:eastAsia="Times New Roman" w:hAnsi="Arial Narrow" w:cs="Calibri"/>
                <w:b/>
                <w:bCs/>
                <w:color w:val="000000"/>
                <w:sz w:val="22"/>
                <w:szCs w:val="22"/>
              </w:rPr>
              <w:t xml:space="preserve"> </w:t>
            </w:r>
          </w:p>
        </w:tc>
      </w:tr>
    </w:tbl>
    <w:p w14:paraId="3F0286F8" w14:textId="77777777" w:rsidR="000A6CA5" w:rsidRDefault="000A6CA5" w:rsidP="003167F1">
      <w:pPr>
        <w:pStyle w:val="Default"/>
        <w:ind w:right="261"/>
        <w:jc w:val="both"/>
        <w:rPr>
          <w:sz w:val="22"/>
          <w:szCs w:val="22"/>
          <w:lang w:val="es-CR"/>
        </w:rPr>
      </w:pPr>
    </w:p>
    <w:p w14:paraId="1206F9AA" w14:textId="77777777" w:rsidR="003167F1" w:rsidRDefault="003167F1" w:rsidP="003167F1">
      <w:pPr>
        <w:pStyle w:val="Default"/>
        <w:ind w:right="261"/>
        <w:jc w:val="both"/>
        <w:rPr>
          <w:sz w:val="22"/>
          <w:szCs w:val="22"/>
          <w:lang w:val="es-CR"/>
        </w:rPr>
      </w:pPr>
    </w:p>
    <w:p w14:paraId="37A8A131" w14:textId="77777777" w:rsidR="003167F1" w:rsidRDefault="003167F1" w:rsidP="003167F1">
      <w:pPr>
        <w:pStyle w:val="Default"/>
        <w:ind w:right="261"/>
        <w:jc w:val="both"/>
        <w:rPr>
          <w:sz w:val="22"/>
          <w:szCs w:val="22"/>
          <w:lang w:val="es-CR"/>
        </w:rPr>
      </w:pPr>
    </w:p>
    <w:p w14:paraId="42AB53C0" w14:textId="77777777" w:rsidR="003167F1" w:rsidRDefault="003167F1" w:rsidP="003167F1">
      <w:pPr>
        <w:pStyle w:val="Default"/>
        <w:ind w:right="261"/>
        <w:jc w:val="both"/>
        <w:rPr>
          <w:sz w:val="22"/>
          <w:szCs w:val="22"/>
          <w:lang w:val="es-CR"/>
        </w:rPr>
      </w:pPr>
    </w:p>
    <w:p w14:paraId="58E0708D" w14:textId="354AA72B" w:rsidR="003167F1" w:rsidRDefault="003167F1" w:rsidP="003167F1">
      <w:pPr>
        <w:pStyle w:val="Default"/>
        <w:ind w:right="261"/>
        <w:jc w:val="both"/>
        <w:rPr>
          <w:rFonts w:eastAsia="Arial"/>
          <w:b/>
          <w:sz w:val="22"/>
          <w:szCs w:val="22"/>
        </w:rPr>
      </w:pPr>
      <w:r w:rsidRPr="00F02F9D">
        <w:rPr>
          <w:rFonts w:eastAsia="Arial"/>
          <w:b/>
          <w:sz w:val="22"/>
          <w:szCs w:val="22"/>
        </w:rPr>
        <w:lastRenderedPageBreak/>
        <w:t>Políticas Contables</w:t>
      </w:r>
    </w:p>
    <w:p w14:paraId="05274021" w14:textId="77777777" w:rsidR="003167F1" w:rsidRDefault="003167F1" w:rsidP="003167F1">
      <w:pPr>
        <w:pStyle w:val="Default"/>
        <w:ind w:right="261"/>
        <w:jc w:val="both"/>
        <w:rPr>
          <w:sz w:val="22"/>
          <w:szCs w:val="22"/>
          <w:lang w:val="es-CR"/>
        </w:rPr>
      </w:pPr>
    </w:p>
    <w:p w14:paraId="3A7777D0" w14:textId="080979B5" w:rsidR="00CC7E3F" w:rsidRDefault="00CC7E3F" w:rsidP="00CC7E3F">
      <w:pPr>
        <w:pStyle w:val="Default"/>
        <w:ind w:left="1134" w:hanging="1134"/>
        <w:jc w:val="both"/>
        <w:rPr>
          <w:sz w:val="22"/>
          <w:szCs w:val="22"/>
          <w:lang w:val="es-CR"/>
        </w:rPr>
      </w:pPr>
      <w:r>
        <w:rPr>
          <w:sz w:val="22"/>
          <w:szCs w:val="22"/>
          <w:lang w:val="es-CR"/>
        </w:rPr>
        <w:t>2.86.0.01</w:t>
      </w:r>
      <w:r>
        <w:rPr>
          <w:sz w:val="22"/>
          <w:szCs w:val="22"/>
          <w:lang w:val="es-CR"/>
        </w:rPr>
        <w:tab/>
      </w:r>
      <w:r w:rsidRPr="00CC7E3F">
        <w:rPr>
          <w:sz w:val="22"/>
          <w:szCs w:val="22"/>
          <w:lang w:val="es-CR"/>
        </w:rPr>
        <w:t xml:space="preserve">Préstamos en condiciones favorables son préstamos recibidos por </w:t>
      </w:r>
      <w:r>
        <w:rPr>
          <w:sz w:val="22"/>
          <w:szCs w:val="22"/>
          <w:lang w:val="es-CR"/>
        </w:rPr>
        <w:t>l</w:t>
      </w:r>
      <w:r w:rsidRPr="00CC7E3F">
        <w:rPr>
          <w:sz w:val="22"/>
          <w:szCs w:val="22"/>
          <w:lang w:val="es-CR"/>
        </w:rPr>
        <w:t xml:space="preserve">a </w:t>
      </w:r>
      <w:r>
        <w:rPr>
          <w:sz w:val="22"/>
          <w:szCs w:val="22"/>
          <w:lang w:val="es-CR"/>
        </w:rPr>
        <w:t>municipalidad</w:t>
      </w:r>
      <w:r w:rsidRPr="00CC7E3F">
        <w:rPr>
          <w:sz w:val="22"/>
          <w:szCs w:val="22"/>
          <w:lang w:val="es-CR"/>
        </w:rPr>
        <w:t xml:space="preserve"> cuyas condiciones y términos están por debajo de mercado.</w:t>
      </w:r>
    </w:p>
    <w:p w14:paraId="6663A656" w14:textId="74AD6137" w:rsidR="00CC7E3F" w:rsidRPr="00CC7E3F" w:rsidRDefault="00CC7E3F" w:rsidP="00CC7E3F">
      <w:pPr>
        <w:pStyle w:val="Default"/>
        <w:ind w:left="1134" w:hanging="1134"/>
        <w:jc w:val="both"/>
        <w:rPr>
          <w:sz w:val="22"/>
          <w:szCs w:val="22"/>
          <w:lang w:val="es-CR"/>
        </w:rPr>
      </w:pPr>
      <w:r w:rsidRPr="00CC7E3F">
        <w:rPr>
          <w:sz w:val="22"/>
          <w:szCs w:val="22"/>
          <w:lang w:val="es-CR"/>
        </w:rPr>
        <w:t xml:space="preserve"> </w:t>
      </w:r>
    </w:p>
    <w:p w14:paraId="17F11EF1" w14:textId="25E23A2F" w:rsidR="00CC7E3F" w:rsidRDefault="00CC7E3F" w:rsidP="00CC7E3F">
      <w:pPr>
        <w:pStyle w:val="Default"/>
        <w:ind w:left="1134" w:hanging="1134"/>
        <w:jc w:val="both"/>
        <w:rPr>
          <w:sz w:val="22"/>
          <w:szCs w:val="22"/>
          <w:lang w:val="es-CR"/>
        </w:rPr>
      </w:pPr>
      <w:r>
        <w:rPr>
          <w:sz w:val="22"/>
          <w:szCs w:val="22"/>
          <w:lang w:val="es-CR"/>
        </w:rPr>
        <w:t>2.86.0.02</w:t>
      </w:r>
      <w:r>
        <w:rPr>
          <w:sz w:val="22"/>
          <w:szCs w:val="22"/>
          <w:lang w:val="es-CR"/>
        </w:rPr>
        <w:tab/>
      </w:r>
      <w:r w:rsidRPr="00CC7E3F">
        <w:rPr>
          <w:sz w:val="22"/>
          <w:szCs w:val="22"/>
          <w:lang w:val="es-CR"/>
        </w:rPr>
        <w:t xml:space="preserve">La parte del préstamo que es </w:t>
      </w:r>
      <w:r w:rsidR="000E5DF8" w:rsidRPr="00CC7E3F">
        <w:rPr>
          <w:sz w:val="22"/>
          <w:szCs w:val="22"/>
          <w:lang w:val="es-CR"/>
        </w:rPr>
        <w:t>ree</w:t>
      </w:r>
      <w:r w:rsidR="000E5DF8">
        <w:rPr>
          <w:sz w:val="22"/>
          <w:szCs w:val="22"/>
          <w:lang w:val="es-CR"/>
        </w:rPr>
        <w:t>mbo</w:t>
      </w:r>
      <w:r w:rsidR="000E5DF8" w:rsidRPr="00CC7E3F">
        <w:rPr>
          <w:sz w:val="22"/>
          <w:szCs w:val="22"/>
          <w:lang w:val="es-CR"/>
        </w:rPr>
        <w:t>lsable</w:t>
      </w:r>
      <w:r w:rsidRPr="00CC7E3F">
        <w:rPr>
          <w:sz w:val="22"/>
          <w:szCs w:val="22"/>
          <w:lang w:val="es-CR"/>
        </w:rPr>
        <w:t>, junto con los pagos de intereses, es una transacción con contraprestación y se contabilizará como un instrumento financiero.</w:t>
      </w:r>
    </w:p>
    <w:p w14:paraId="569F162D" w14:textId="77777777" w:rsidR="00CC7E3F" w:rsidRPr="00CC7E3F" w:rsidRDefault="00CC7E3F" w:rsidP="00CC7E3F">
      <w:pPr>
        <w:pStyle w:val="Default"/>
        <w:ind w:left="1134" w:hanging="1134"/>
        <w:jc w:val="both"/>
        <w:rPr>
          <w:sz w:val="22"/>
          <w:szCs w:val="22"/>
          <w:lang w:val="es-CR"/>
        </w:rPr>
      </w:pPr>
    </w:p>
    <w:p w14:paraId="38A96F77" w14:textId="32B13DC3" w:rsidR="00CC7E3F" w:rsidRDefault="00CC7E3F" w:rsidP="00CC7E3F">
      <w:pPr>
        <w:pStyle w:val="Default"/>
        <w:ind w:left="1134" w:hanging="1134"/>
        <w:jc w:val="both"/>
        <w:rPr>
          <w:sz w:val="22"/>
          <w:szCs w:val="22"/>
          <w:lang w:val="es-CR"/>
        </w:rPr>
      </w:pPr>
      <w:r>
        <w:rPr>
          <w:sz w:val="22"/>
          <w:szCs w:val="22"/>
          <w:lang w:val="es-CR"/>
        </w:rPr>
        <w:t>2.86.0.03</w:t>
      </w:r>
      <w:r>
        <w:rPr>
          <w:sz w:val="22"/>
          <w:szCs w:val="22"/>
          <w:lang w:val="es-CR"/>
        </w:rPr>
        <w:tab/>
      </w:r>
      <w:r w:rsidRPr="00CC7E3F">
        <w:rPr>
          <w:sz w:val="22"/>
          <w:szCs w:val="22"/>
          <w:lang w:val="es-CR"/>
        </w:rPr>
        <w:t>La diferencia entre el precio de la transacción (importe del préstamo) y el valor razonable del préstamo en el reconocimiento inicial se trata como un ingreso sin contraprestación.</w:t>
      </w:r>
    </w:p>
    <w:p w14:paraId="183CB408" w14:textId="30228DDF" w:rsidR="00CC7E3F" w:rsidRPr="00CC7E3F" w:rsidRDefault="00CC7E3F" w:rsidP="00CC7E3F">
      <w:pPr>
        <w:pStyle w:val="Default"/>
        <w:ind w:left="1134" w:hanging="1134"/>
        <w:jc w:val="both"/>
        <w:rPr>
          <w:sz w:val="22"/>
          <w:szCs w:val="22"/>
          <w:lang w:val="es-CR"/>
        </w:rPr>
      </w:pPr>
      <w:r w:rsidRPr="00CC7E3F">
        <w:rPr>
          <w:sz w:val="22"/>
          <w:szCs w:val="22"/>
          <w:lang w:val="es-CR"/>
        </w:rPr>
        <w:t xml:space="preserve"> </w:t>
      </w:r>
    </w:p>
    <w:p w14:paraId="26D8E0BF" w14:textId="091CFBE0" w:rsidR="00CC7E3F" w:rsidRPr="00CC7E3F" w:rsidRDefault="00CC7E3F" w:rsidP="00CC7E3F">
      <w:pPr>
        <w:pStyle w:val="Default"/>
        <w:ind w:left="1134" w:hanging="1134"/>
        <w:jc w:val="both"/>
        <w:rPr>
          <w:sz w:val="22"/>
          <w:szCs w:val="22"/>
          <w:lang w:val="es-CR"/>
        </w:rPr>
      </w:pPr>
      <w:r>
        <w:rPr>
          <w:sz w:val="22"/>
          <w:szCs w:val="22"/>
          <w:lang w:val="es-CR"/>
        </w:rPr>
        <w:t>2.86.1.01</w:t>
      </w:r>
      <w:r>
        <w:rPr>
          <w:sz w:val="22"/>
          <w:szCs w:val="22"/>
          <w:lang w:val="es-CR"/>
        </w:rPr>
        <w:tab/>
      </w:r>
      <w:r w:rsidRPr="00CC7E3F">
        <w:rPr>
          <w:sz w:val="22"/>
          <w:szCs w:val="22"/>
          <w:lang w:val="es-CR"/>
        </w:rPr>
        <w:t xml:space="preserve">En el caso de que una entidad determine que las condiciones favorables del préstamo generan un ingreso sin contraprestación, la </w:t>
      </w:r>
      <w:r>
        <w:rPr>
          <w:sz w:val="22"/>
          <w:szCs w:val="22"/>
          <w:lang w:val="es-CR"/>
        </w:rPr>
        <w:t>municipalidad</w:t>
      </w:r>
      <w:r w:rsidRPr="00CC7E3F">
        <w:rPr>
          <w:sz w:val="22"/>
          <w:szCs w:val="22"/>
          <w:lang w:val="es-CR"/>
        </w:rPr>
        <w:t xml:space="preserve"> reconocerá la diferencia como un ingreso, salvo que existiera una obligación actual, (por ejemplo, que en las condiciones específicas establezca que la </w:t>
      </w:r>
      <w:r>
        <w:rPr>
          <w:sz w:val="22"/>
          <w:szCs w:val="22"/>
          <w:lang w:val="es-CR"/>
        </w:rPr>
        <w:t>municipalidad</w:t>
      </w:r>
      <w:r w:rsidRPr="00CC7E3F">
        <w:rPr>
          <w:sz w:val="22"/>
          <w:szCs w:val="22"/>
          <w:lang w:val="es-CR"/>
        </w:rPr>
        <w:t xml:space="preserve"> deba hacerse cargo de los impuestos sobre los activos transferidos). En el caso se reconocerá un pasivo. Cuando la entidad satisfaga la obligación actual, se reducirá el pasivo y se reconocerá un ingreso por el mismo importe. </w:t>
      </w:r>
    </w:p>
    <w:p w14:paraId="396367BD" w14:textId="77777777" w:rsidR="000A6CA5" w:rsidRDefault="000A6CA5" w:rsidP="00652515">
      <w:pPr>
        <w:pStyle w:val="Default"/>
        <w:ind w:right="261"/>
        <w:jc w:val="both"/>
        <w:rPr>
          <w:sz w:val="22"/>
          <w:szCs w:val="22"/>
          <w:lang w:val="es-CR"/>
        </w:rPr>
      </w:pPr>
    </w:p>
    <w:p w14:paraId="36894464" w14:textId="77777777" w:rsidR="00652515" w:rsidRDefault="00652515" w:rsidP="00652515">
      <w:pPr>
        <w:pStyle w:val="Default"/>
        <w:ind w:right="261"/>
        <w:jc w:val="both"/>
        <w:rPr>
          <w:sz w:val="22"/>
          <w:szCs w:val="22"/>
          <w:lang w:val="es-CR"/>
        </w:rPr>
      </w:pPr>
    </w:p>
    <w:tbl>
      <w:tblPr>
        <w:tblW w:w="9386" w:type="dxa"/>
        <w:tblLook w:val="04A0" w:firstRow="1" w:lastRow="0" w:firstColumn="1" w:lastColumn="0" w:noHBand="0" w:noVBand="1"/>
      </w:tblPr>
      <w:tblGrid>
        <w:gridCol w:w="644"/>
        <w:gridCol w:w="417"/>
        <w:gridCol w:w="621"/>
        <w:gridCol w:w="3688"/>
        <w:gridCol w:w="2133"/>
        <w:gridCol w:w="1872"/>
        <w:gridCol w:w="11"/>
      </w:tblGrid>
      <w:tr w:rsidR="002A638A" w:rsidRPr="002A638A" w14:paraId="48350F61" w14:textId="77777777" w:rsidTr="00724504">
        <w:trPr>
          <w:trHeight w:val="320"/>
        </w:trPr>
        <w:tc>
          <w:tcPr>
            <w:tcW w:w="168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4C8DE53" w14:textId="77777777" w:rsidR="002A638A" w:rsidRPr="002A638A" w:rsidRDefault="002A638A" w:rsidP="002A638A">
            <w:pPr>
              <w:jc w:val="center"/>
              <w:rPr>
                <w:rFonts w:ascii="Arial Narrow" w:eastAsia="Times New Roman" w:hAnsi="Arial Narrow" w:cs="Calibri"/>
                <w:b/>
                <w:bCs/>
                <w:color w:val="FFFFFF"/>
                <w:sz w:val="22"/>
                <w:szCs w:val="22"/>
              </w:rPr>
            </w:pPr>
            <w:r w:rsidRPr="002A638A">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4905CDAD" w14:textId="77777777" w:rsidR="002A638A" w:rsidRPr="002A638A" w:rsidRDefault="002A638A" w:rsidP="002A638A">
            <w:pPr>
              <w:jc w:val="center"/>
              <w:rPr>
                <w:rFonts w:ascii="Arial Narrow" w:eastAsia="Times New Roman" w:hAnsi="Arial Narrow" w:cs="Calibri"/>
                <w:b/>
                <w:bCs/>
                <w:color w:val="FFFFFF"/>
                <w:sz w:val="22"/>
                <w:szCs w:val="22"/>
              </w:rPr>
            </w:pPr>
            <w:r w:rsidRPr="002A638A">
              <w:rPr>
                <w:rFonts w:ascii="Arial Narrow" w:eastAsia="Times New Roman" w:hAnsi="Arial Narrow" w:cs="Calibri"/>
                <w:b/>
                <w:bCs/>
                <w:color w:val="FFFFFF"/>
                <w:sz w:val="22"/>
                <w:szCs w:val="22"/>
              </w:rPr>
              <w:t>Concepto</w:t>
            </w:r>
          </w:p>
        </w:tc>
        <w:tc>
          <w:tcPr>
            <w:tcW w:w="4016" w:type="dxa"/>
            <w:gridSpan w:val="3"/>
            <w:tcBorders>
              <w:top w:val="single" w:sz="8" w:space="0" w:color="auto"/>
              <w:left w:val="nil"/>
              <w:bottom w:val="single" w:sz="8" w:space="0" w:color="auto"/>
              <w:right w:val="single" w:sz="8" w:space="0" w:color="000000"/>
            </w:tcBorders>
            <w:shd w:val="clear" w:color="000000" w:fill="203764"/>
            <w:vAlign w:val="center"/>
            <w:hideMark/>
          </w:tcPr>
          <w:p w14:paraId="7EB0302C" w14:textId="77777777" w:rsidR="002A638A" w:rsidRPr="002A638A" w:rsidRDefault="002A638A" w:rsidP="002A638A">
            <w:pPr>
              <w:jc w:val="center"/>
              <w:rPr>
                <w:rFonts w:ascii="Arial Narrow" w:eastAsia="Times New Roman" w:hAnsi="Arial Narrow" w:cs="Calibri"/>
                <w:b/>
                <w:bCs/>
                <w:color w:val="FFFFFF"/>
                <w:sz w:val="22"/>
                <w:szCs w:val="22"/>
              </w:rPr>
            </w:pPr>
            <w:r w:rsidRPr="002A638A">
              <w:rPr>
                <w:rFonts w:ascii="Arial Narrow" w:eastAsia="Times New Roman" w:hAnsi="Arial Narrow" w:cs="Calibri"/>
                <w:b/>
                <w:bCs/>
                <w:color w:val="FFFFFF"/>
                <w:sz w:val="22"/>
                <w:szCs w:val="22"/>
              </w:rPr>
              <w:t>Referencia</w:t>
            </w:r>
          </w:p>
        </w:tc>
      </w:tr>
      <w:tr w:rsidR="002A638A" w:rsidRPr="006E5442" w14:paraId="1611B7D5" w14:textId="77777777" w:rsidTr="00724504">
        <w:trPr>
          <w:gridAfter w:val="1"/>
          <w:wAfter w:w="11" w:type="dxa"/>
          <w:trHeight w:val="940"/>
        </w:trPr>
        <w:tc>
          <w:tcPr>
            <w:tcW w:w="1682" w:type="dxa"/>
            <w:gridSpan w:val="3"/>
            <w:vMerge/>
            <w:tcBorders>
              <w:top w:val="single" w:sz="8" w:space="0" w:color="auto"/>
              <w:left w:val="single" w:sz="8" w:space="0" w:color="auto"/>
              <w:bottom w:val="nil"/>
              <w:right w:val="single" w:sz="8" w:space="0" w:color="000000"/>
            </w:tcBorders>
            <w:vAlign w:val="center"/>
            <w:hideMark/>
          </w:tcPr>
          <w:p w14:paraId="369BDEC5" w14:textId="77777777" w:rsidR="002A638A" w:rsidRPr="002A638A" w:rsidRDefault="002A638A" w:rsidP="002A638A">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14BDFFF0" w14:textId="77777777" w:rsidR="002A638A" w:rsidRPr="002A638A" w:rsidRDefault="002A638A" w:rsidP="002A638A">
            <w:pPr>
              <w:rPr>
                <w:rFonts w:ascii="Arial Narrow" w:eastAsia="Times New Roman" w:hAnsi="Arial Narrow" w:cs="Calibri"/>
                <w:b/>
                <w:bCs/>
                <w:color w:val="FFFFFF"/>
                <w:sz w:val="22"/>
                <w:szCs w:val="22"/>
              </w:rPr>
            </w:pPr>
          </w:p>
        </w:tc>
        <w:tc>
          <w:tcPr>
            <w:tcW w:w="2133" w:type="dxa"/>
            <w:tcBorders>
              <w:top w:val="nil"/>
              <w:left w:val="nil"/>
              <w:bottom w:val="nil"/>
              <w:right w:val="single" w:sz="8" w:space="0" w:color="auto"/>
            </w:tcBorders>
            <w:shd w:val="clear" w:color="000000" w:fill="203764"/>
            <w:vAlign w:val="center"/>
            <w:hideMark/>
          </w:tcPr>
          <w:p w14:paraId="581061E5" w14:textId="77777777" w:rsidR="002A638A" w:rsidRPr="002A638A" w:rsidRDefault="002A638A" w:rsidP="002A638A">
            <w:pPr>
              <w:jc w:val="center"/>
              <w:rPr>
                <w:rFonts w:ascii="Arial Narrow" w:eastAsia="Times New Roman" w:hAnsi="Arial Narrow" w:cs="Calibri"/>
                <w:b/>
                <w:bCs/>
                <w:color w:val="FFFFFF"/>
                <w:sz w:val="22"/>
                <w:szCs w:val="22"/>
              </w:rPr>
            </w:pPr>
            <w:r w:rsidRPr="002A638A">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07886184" w14:textId="77777777" w:rsidR="002A638A" w:rsidRPr="002A638A" w:rsidRDefault="002A638A" w:rsidP="002A638A">
            <w:pPr>
              <w:jc w:val="center"/>
              <w:rPr>
                <w:rFonts w:ascii="Arial Narrow" w:eastAsia="Times New Roman" w:hAnsi="Arial Narrow" w:cs="Calibri"/>
                <w:b/>
                <w:bCs/>
                <w:color w:val="FFFFFF"/>
                <w:sz w:val="22"/>
                <w:szCs w:val="22"/>
                <w:lang w:val="es-CR"/>
              </w:rPr>
            </w:pPr>
            <w:r w:rsidRPr="002A638A">
              <w:rPr>
                <w:rFonts w:ascii="Arial Narrow" w:eastAsia="Times New Roman" w:hAnsi="Arial Narrow" w:cs="Calibri"/>
                <w:b/>
                <w:bCs/>
                <w:color w:val="FFFFFF"/>
                <w:sz w:val="22"/>
                <w:szCs w:val="22"/>
                <w:lang w:val="es-CR"/>
              </w:rPr>
              <w:t>Normativa técnica y disposiciones adicionales</w:t>
            </w:r>
          </w:p>
        </w:tc>
      </w:tr>
      <w:tr w:rsidR="002A638A" w:rsidRPr="002A638A" w14:paraId="1DD0D90C" w14:textId="77777777" w:rsidTr="00724504">
        <w:trPr>
          <w:gridAfter w:val="1"/>
          <w:wAfter w:w="11" w:type="dxa"/>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C626AB" w14:textId="77777777" w:rsidR="002A638A" w:rsidRPr="002A638A" w:rsidRDefault="002A638A" w:rsidP="002A638A">
            <w:pPr>
              <w:jc w:val="center"/>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0CC6421F" w14:textId="77777777" w:rsidR="002A638A" w:rsidRPr="002A638A" w:rsidRDefault="002A638A" w:rsidP="002A638A">
            <w:pPr>
              <w:jc w:val="center"/>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89</w:t>
            </w:r>
          </w:p>
        </w:tc>
        <w:tc>
          <w:tcPr>
            <w:tcW w:w="621" w:type="dxa"/>
            <w:tcBorders>
              <w:top w:val="single" w:sz="8" w:space="0" w:color="auto"/>
              <w:left w:val="nil"/>
              <w:bottom w:val="single" w:sz="8" w:space="0" w:color="auto"/>
              <w:right w:val="single" w:sz="8" w:space="0" w:color="auto"/>
            </w:tcBorders>
            <w:shd w:val="clear" w:color="auto" w:fill="auto"/>
            <w:vAlign w:val="center"/>
            <w:hideMark/>
          </w:tcPr>
          <w:p w14:paraId="2CE34421" w14:textId="77777777" w:rsidR="002A638A" w:rsidRPr="002A638A" w:rsidRDefault="002A638A" w:rsidP="002A638A">
            <w:pPr>
              <w:jc w:val="center"/>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0</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25B9678D" w14:textId="77777777" w:rsidR="002A638A" w:rsidRPr="002A638A" w:rsidRDefault="002A638A" w:rsidP="002A638A">
            <w:pPr>
              <w:jc w:val="both"/>
              <w:rPr>
                <w:rFonts w:ascii="Arial Narrow" w:eastAsia="Times New Roman" w:hAnsi="Arial Narrow" w:cs="Calibri"/>
                <w:b/>
                <w:bCs/>
                <w:color w:val="000000"/>
                <w:sz w:val="22"/>
                <w:szCs w:val="22"/>
                <w:lang w:val="es-CR"/>
              </w:rPr>
            </w:pPr>
            <w:r w:rsidRPr="002A638A">
              <w:rPr>
                <w:rFonts w:ascii="Arial Narrow" w:eastAsia="Times New Roman" w:hAnsi="Arial Narrow" w:cs="Calibri"/>
                <w:b/>
                <w:bCs/>
                <w:color w:val="000000"/>
                <w:sz w:val="22"/>
                <w:szCs w:val="22"/>
                <w:lang w:val="es-CR"/>
              </w:rPr>
              <w:t>Información a revelar en particular para endeudamiento público</w:t>
            </w:r>
          </w:p>
        </w:tc>
        <w:tc>
          <w:tcPr>
            <w:tcW w:w="2133" w:type="dxa"/>
            <w:tcBorders>
              <w:top w:val="single" w:sz="8" w:space="0" w:color="auto"/>
              <w:left w:val="nil"/>
              <w:bottom w:val="single" w:sz="8" w:space="0" w:color="auto"/>
              <w:right w:val="single" w:sz="8" w:space="0" w:color="auto"/>
            </w:tcBorders>
            <w:shd w:val="clear" w:color="auto" w:fill="auto"/>
            <w:vAlign w:val="center"/>
            <w:hideMark/>
          </w:tcPr>
          <w:p w14:paraId="5C0182B6" w14:textId="77777777" w:rsidR="002A638A" w:rsidRDefault="002A638A" w:rsidP="002A638A">
            <w:pPr>
              <w:jc w:val="both"/>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lang w:val="es-CR"/>
              </w:rPr>
              <w:t xml:space="preserve"> </w:t>
            </w:r>
            <w:r w:rsidRPr="002A638A">
              <w:rPr>
                <w:rFonts w:ascii="Arial Narrow" w:eastAsia="Times New Roman" w:hAnsi="Arial Narrow" w:cs="Calibri"/>
                <w:b/>
                <w:bCs/>
                <w:color w:val="000000"/>
                <w:sz w:val="22"/>
                <w:szCs w:val="22"/>
              </w:rPr>
              <w:t>NICSP N° 30,</w:t>
            </w:r>
          </w:p>
          <w:p w14:paraId="54C66397" w14:textId="48453E1F" w:rsidR="002A638A" w:rsidRPr="002A638A" w:rsidRDefault="002A638A" w:rsidP="002A638A">
            <w:pPr>
              <w:jc w:val="both"/>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Párrafo 10.</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59E769C0" w14:textId="77777777" w:rsidR="002A638A" w:rsidRPr="002A638A" w:rsidRDefault="002A638A" w:rsidP="002A638A">
            <w:pPr>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DGCN</w:t>
            </w:r>
          </w:p>
        </w:tc>
      </w:tr>
    </w:tbl>
    <w:p w14:paraId="297DB6E1" w14:textId="77777777" w:rsidR="00CC7E3F" w:rsidRDefault="00CC7E3F" w:rsidP="003167F1">
      <w:pPr>
        <w:pStyle w:val="Default"/>
        <w:ind w:right="261"/>
        <w:jc w:val="both"/>
        <w:rPr>
          <w:sz w:val="22"/>
          <w:szCs w:val="22"/>
          <w:lang w:val="es-CR"/>
        </w:rPr>
      </w:pPr>
    </w:p>
    <w:p w14:paraId="6742F090" w14:textId="0E13A9FE" w:rsidR="003167F1" w:rsidRDefault="003167F1" w:rsidP="003167F1">
      <w:pPr>
        <w:pStyle w:val="Default"/>
        <w:ind w:right="261"/>
        <w:jc w:val="both"/>
        <w:rPr>
          <w:rFonts w:eastAsia="Arial"/>
          <w:b/>
          <w:sz w:val="22"/>
          <w:szCs w:val="22"/>
        </w:rPr>
      </w:pPr>
      <w:r w:rsidRPr="00F02F9D">
        <w:rPr>
          <w:rFonts w:eastAsia="Arial"/>
          <w:b/>
          <w:sz w:val="22"/>
          <w:szCs w:val="22"/>
        </w:rPr>
        <w:t>Políticas Contables</w:t>
      </w:r>
    </w:p>
    <w:p w14:paraId="5301145B" w14:textId="77777777" w:rsidR="003167F1" w:rsidRDefault="003167F1" w:rsidP="003167F1">
      <w:pPr>
        <w:pStyle w:val="Default"/>
        <w:ind w:right="261"/>
        <w:jc w:val="both"/>
        <w:rPr>
          <w:sz w:val="22"/>
          <w:szCs w:val="22"/>
          <w:lang w:val="es-CR"/>
        </w:rPr>
      </w:pPr>
    </w:p>
    <w:p w14:paraId="2BC8AE88" w14:textId="79027589" w:rsidR="002A638A" w:rsidRDefault="002A638A" w:rsidP="002A638A">
      <w:pPr>
        <w:pStyle w:val="Default"/>
        <w:ind w:left="1134" w:hanging="1134"/>
        <w:jc w:val="both"/>
        <w:rPr>
          <w:sz w:val="22"/>
          <w:szCs w:val="22"/>
          <w:lang w:val="es-CR"/>
        </w:rPr>
      </w:pPr>
      <w:r>
        <w:rPr>
          <w:sz w:val="22"/>
          <w:szCs w:val="22"/>
          <w:lang w:val="es-CR"/>
        </w:rPr>
        <w:t>2.89.0.01</w:t>
      </w:r>
      <w:r>
        <w:rPr>
          <w:sz w:val="22"/>
          <w:szCs w:val="22"/>
          <w:lang w:val="es-CR"/>
        </w:rPr>
        <w:tab/>
      </w:r>
      <w:r w:rsidRPr="002A638A">
        <w:rPr>
          <w:sz w:val="22"/>
          <w:szCs w:val="22"/>
          <w:lang w:val="es-CR"/>
        </w:rPr>
        <w:t>La entidad deberá informar sobre:</w:t>
      </w:r>
    </w:p>
    <w:p w14:paraId="62BC6972" w14:textId="77777777" w:rsidR="002A638A" w:rsidRPr="002A638A" w:rsidRDefault="002A638A" w:rsidP="002A638A">
      <w:pPr>
        <w:pStyle w:val="Default"/>
        <w:jc w:val="both"/>
        <w:rPr>
          <w:sz w:val="22"/>
          <w:szCs w:val="22"/>
          <w:lang w:val="es-CR"/>
        </w:rPr>
      </w:pPr>
    </w:p>
    <w:p w14:paraId="4CDC60C3" w14:textId="5BCD6971" w:rsidR="002A638A" w:rsidRPr="002A638A" w:rsidRDefault="002A638A">
      <w:pPr>
        <w:pStyle w:val="Default"/>
        <w:numPr>
          <w:ilvl w:val="0"/>
          <w:numId w:val="186"/>
        </w:numPr>
        <w:spacing w:after="120"/>
        <w:ind w:left="1418" w:hanging="284"/>
        <w:jc w:val="both"/>
        <w:rPr>
          <w:sz w:val="22"/>
          <w:szCs w:val="22"/>
          <w:lang w:val="es-CR"/>
        </w:rPr>
      </w:pPr>
      <w:r>
        <w:rPr>
          <w:sz w:val="22"/>
          <w:szCs w:val="22"/>
          <w:lang w:val="es-CR"/>
        </w:rPr>
        <w:t>I</w:t>
      </w:r>
      <w:r w:rsidRPr="002A638A">
        <w:rPr>
          <w:sz w:val="22"/>
          <w:szCs w:val="22"/>
          <w:lang w:val="es-CR"/>
        </w:rPr>
        <w:t xml:space="preserve">nformación respecto de la existencia de restricciones, compromisos o contingencias que puedan afectar o acotar la exigibilidad del endeudamiento público a pagar; </w:t>
      </w:r>
    </w:p>
    <w:p w14:paraId="77900F29" w14:textId="5A1C436E" w:rsidR="002A638A" w:rsidRPr="00315F04" w:rsidRDefault="002A638A">
      <w:pPr>
        <w:pStyle w:val="Default"/>
        <w:numPr>
          <w:ilvl w:val="0"/>
          <w:numId w:val="186"/>
        </w:numPr>
        <w:spacing w:after="120"/>
        <w:ind w:left="1418" w:hanging="284"/>
        <w:jc w:val="both"/>
        <w:rPr>
          <w:sz w:val="22"/>
          <w:szCs w:val="22"/>
          <w:lang w:val="es-CR"/>
        </w:rPr>
      </w:pPr>
      <w:r w:rsidRPr="00315F04">
        <w:rPr>
          <w:sz w:val="22"/>
          <w:szCs w:val="22"/>
          <w:lang w:val="es-CR"/>
        </w:rPr>
        <w:t xml:space="preserve">La naturaleza y alcance de los títulos y valores de la deuda pública y las políticas y métodos contables aplicados para su reconocimiento y medición, además del grado de exposición al riesgo (incluyendo las tasas de interés o de vencimiento, según cuáles de ellas estén más próximas en el tiempo y las tasas efectivas de interés, cuando así proceda), conjuntamente con la desagregación del saldo por pagar de títulos y valores de la deuda pública en sus porciones de capital y servicios de interés y otros accesorios financieros; </w:t>
      </w:r>
    </w:p>
    <w:p w14:paraId="6CA29014" w14:textId="2A406FF2" w:rsidR="002A638A" w:rsidRPr="002A638A" w:rsidRDefault="000E5DF8">
      <w:pPr>
        <w:pStyle w:val="Default"/>
        <w:numPr>
          <w:ilvl w:val="0"/>
          <w:numId w:val="186"/>
        </w:numPr>
        <w:spacing w:after="120"/>
        <w:ind w:left="1418" w:hanging="284"/>
        <w:jc w:val="both"/>
        <w:rPr>
          <w:sz w:val="22"/>
          <w:szCs w:val="22"/>
          <w:lang w:val="es-CR"/>
        </w:rPr>
      </w:pPr>
      <w:r>
        <w:rPr>
          <w:sz w:val="22"/>
          <w:szCs w:val="22"/>
          <w:lang w:val="es-CR"/>
        </w:rPr>
        <w:t>D</w:t>
      </w:r>
      <w:r w:rsidRPr="002A638A">
        <w:rPr>
          <w:sz w:val="22"/>
          <w:szCs w:val="22"/>
          <w:lang w:val="es-CR"/>
        </w:rPr>
        <w:t>ese</w:t>
      </w:r>
      <w:r>
        <w:rPr>
          <w:sz w:val="22"/>
          <w:szCs w:val="22"/>
          <w:lang w:val="es-CR"/>
        </w:rPr>
        <w:t>mbo</w:t>
      </w:r>
      <w:r w:rsidRPr="002A638A">
        <w:rPr>
          <w:sz w:val="22"/>
          <w:szCs w:val="22"/>
          <w:lang w:val="es-CR"/>
        </w:rPr>
        <w:t>lsos</w:t>
      </w:r>
      <w:r w:rsidR="002A638A" w:rsidRPr="002A638A">
        <w:rPr>
          <w:sz w:val="22"/>
          <w:szCs w:val="22"/>
          <w:lang w:val="es-CR"/>
        </w:rPr>
        <w:t xml:space="preserve"> que se hubieran efectuado o bien que sean exigibles y estén pendientes a la fecha de cierre, con motivo de incumplimientos que hayan dado lugar al reconocimiento de comisiones de compromiso pactadas en contratos de préstamos; </w:t>
      </w:r>
    </w:p>
    <w:p w14:paraId="337E3698" w14:textId="10E26B5E" w:rsidR="002A638A" w:rsidRPr="002A638A" w:rsidRDefault="002A638A">
      <w:pPr>
        <w:pStyle w:val="Default"/>
        <w:numPr>
          <w:ilvl w:val="0"/>
          <w:numId w:val="186"/>
        </w:numPr>
        <w:ind w:left="1418" w:hanging="284"/>
        <w:jc w:val="both"/>
        <w:rPr>
          <w:sz w:val="23"/>
          <w:szCs w:val="23"/>
          <w:lang w:val="es-CR"/>
        </w:rPr>
      </w:pPr>
      <w:r>
        <w:rPr>
          <w:sz w:val="22"/>
          <w:szCs w:val="22"/>
          <w:lang w:val="es-CR"/>
        </w:rPr>
        <w:t>T</w:t>
      </w:r>
      <w:r w:rsidRPr="002A638A">
        <w:rPr>
          <w:sz w:val="22"/>
          <w:szCs w:val="22"/>
          <w:lang w:val="es-CR"/>
        </w:rPr>
        <w:t>oda otra información que oportunamente, con carácter permanente o específico para un ejercicio en particular, requiera incluir la DGCN</w:t>
      </w:r>
      <w:r w:rsidRPr="002A638A">
        <w:rPr>
          <w:sz w:val="23"/>
          <w:szCs w:val="23"/>
          <w:lang w:val="es-CR"/>
        </w:rPr>
        <w:t xml:space="preserve">. </w:t>
      </w:r>
    </w:p>
    <w:p w14:paraId="3D78EC03" w14:textId="0C012B48" w:rsidR="002A638A" w:rsidRPr="002A638A" w:rsidRDefault="002A638A">
      <w:pPr>
        <w:pStyle w:val="Default"/>
        <w:numPr>
          <w:ilvl w:val="0"/>
          <w:numId w:val="185"/>
        </w:numPr>
        <w:rPr>
          <w:sz w:val="23"/>
          <w:szCs w:val="23"/>
          <w:lang w:val="es-CR"/>
        </w:rPr>
      </w:pPr>
    </w:p>
    <w:p w14:paraId="640CA2ED" w14:textId="77777777" w:rsidR="002A638A" w:rsidRDefault="002A638A" w:rsidP="002A638A">
      <w:pPr>
        <w:pStyle w:val="Default"/>
        <w:spacing w:after="120" w:line="238" w:lineRule="auto"/>
        <w:ind w:right="260"/>
        <w:jc w:val="both"/>
        <w:rPr>
          <w:sz w:val="22"/>
          <w:szCs w:val="22"/>
          <w:lang w:val="es-CR"/>
        </w:rPr>
      </w:pPr>
    </w:p>
    <w:p w14:paraId="5A0DFEAF" w14:textId="77777777" w:rsidR="00724504" w:rsidRDefault="00724504" w:rsidP="002A638A">
      <w:pPr>
        <w:pStyle w:val="Default"/>
        <w:spacing w:after="120" w:line="238" w:lineRule="auto"/>
        <w:ind w:right="260"/>
        <w:jc w:val="both"/>
        <w:rPr>
          <w:sz w:val="22"/>
          <w:szCs w:val="22"/>
          <w:lang w:val="es-CR"/>
        </w:rPr>
      </w:pPr>
    </w:p>
    <w:tbl>
      <w:tblPr>
        <w:tblW w:w="9204" w:type="dxa"/>
        <w:tblLook w:val="04A0" w:firstRow="1" w:lastRow="0" w:firstColumn="1" w:lastColumn="0" w:noHBand="0" w:noVBand="1"/>
      </w:tblPr>
      <w:tblGrid>
        <w:gridCol w:w="644"/>
        <w:gridCol w:w="417"/>
        <w:gridCol w:w="621"/>
        <w:gridCol w:w="3683"/>
        <w:gridCol w:w="2138"/>
        <w:gridCol w:w="1701"/>
      </w:tblGrid>
      <w:tr w:rsidR="002A638A" w:rsidRPr="002A638A" w14:paraId="1541136F" w14:textId="77777777" w:rsidTr="00D23BA9">
        <w:trPr>
          <w:trHeight w:val="320"/>
        </w:trPr>
        <w:tc>
          <w:tcPr>
            <w:tcW w:w="168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A753B2E" w14:textId="77777777" w:rsidR="002A638A" w:rsidRPr="002A638A" w:rsidRDefault="002A638A" w:rsidP="002A638A">
            <w:pPr>
              <w:jc w:val="center"/>
              <w:rPr>
                <w:rFonts w:ascii="Arial Narrow" w:eastAsia="Times New Roman" w:hAnsi="Arial Narrow" w:cs="Calibri"/>
                <w:b/>
                <w:bCs/>
                <w:color w:val="FFFFFF"/>
                <w:sz w:val="22"/>
                <w:szCs w:val="22"/>
              </w:rPr>
            </w:pPr>
            <w:r w:rsidRPr="002A638A">
              <w:rPr>
                <w:rFonts w:ascii="Arial Narrow" w:eastAsia="Times New Roman" w:hAnsi="Arial Narrow" w:cs="Calibri"/>
                <w:b/>
                <w:bCs/>
                <w:color w:val="FFFFFF"/>
                <w:sz w:val="22"/>
                <w:szCs w:val="22"/>
              </w:rPr>
              <w:lastRenderedPageBreak/>
              <w:t>Norma / Política</w:t>
            </w:r>
          </w:p>
        </w:tc>
        <w:tc>
          <w:tcPr>
            <w:tcW w:w="3683"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6C39FD" w14:textId="77777777" w:rsidR="002A638A" w:rsidRPr="002A638A" w:rsidRDefault="002A638A" w:rsidP="002A638A">
            <w:pPr>
              <w:jc w:val="center"/>
              <w:rPr>
                <w:rFonts w:ascii="Arial Narrow" w:eastAsia="Times New Roman" w:hAnsi="Arial Narrow" w:cs="Calibri"/>
                <w:b/>
                <w:bCs/>
                <w:color w:val="FFFFFF"/>
                <w:sz w:val="22"/>
                <w:szCs w:val="22"/>
              </w:rPr>
            </w:pPr>
            <w:r w:rsidRPr="002A638A">
              <w:rPr>
                <w:rFonts w:ascii="Arial Narrow" w:eastAsia="Times New Roman" w:hAnsi="Arial Narrow" w:cs="Calibri"/>
                <w:b/>
                <w:bCs/>
                <w:color w:val="FFFFFF"/>
                <w:sz w:val="22"/>
                <w:szCs w:val="22"/>
              </w:rPr>
              <w:t>Concepto</w:t>
            </w:r>
          </w:p>
        </w:tc>
        <w:tc>
          <w:tcPr>
            <w:tcW w:w="3839" w:type="dxa"/>
            <w:gridSpan w:val="2"/>
            <w:tcBorders>
              <w:top w:val="single" w:sz="8" w:space="0" w:color="auto"/>
              <w:left w:val="nil"/>
              <w:bottom w:val="single" w:sz="8" w:space="0" w:color="auto"/>
              <w:right w:val="single" w:sz="8" w:space="0" w:color="000000"/>
            </w:tcBorders>
            <w:shd w:val="clear" w:color="000000" w:fill="203764"/>
            <w:vAlign w:val="center"/>
            <w:hideMark/>
          </w:tcPr>
          <w:p w14:paraId="78F9766C" w14:textId="77777777" w:rsidR="002A638A" w:rsidRPr="002A638A" w:rsidRDefault="002A638A" w:rsidP="002A638A">
            <w:pPr>
              <w:jc w:val="center"/>
              <w:rPr>
                <w:rFonts w:ascii="Arial Narrow" w:eastAsia="Times New Roman" w:hAnsi="Arial Narrow" w:cs="Calibri"/>
                <w:b/>
                <w:bCs/>
                <w:color w:val="FFFFFF"/>
                <w:sz w:val="22"/>
                <w:szCs w:val="22"/>
              </w:rPr>
            </w:pPr>
            <w:r w:rsidRPr="002A638A">
              <w:rPr>
                <w:rFonts w:ascii="Arial Narrow" w:eastAsia="Times New Roman" w:hAnsi="Arial Narrow" w:cs="Calibri"/>
                <w:b/>
                <w:bCs/>
                <w:color w:val="FFFFFF"/>
                <w:sz w:val="22"/>
                <w:szCs w:val="22"/>
              </w:rPr>
              <w:t>Referencia</w:t>
            </w:r>
          </w:p>
        </w:tc>
      </w:tr>
      <w:tr w:rsidR="002A638A" w:rsidRPr="006E5442" w14:paraId="65B6395B" w14:textId="77777777" w:rsidTr="00D23BA9">
        <w:trPr>
          <w:trHeight w:val="940"/>
        </w:trPr>
        <w:tc>
          <w:tcPr>
            <w:tcW w:w="1682" w:type="dxa"/>
            <w:gridSpan w:val="3"/>
            <w:vMerge/>
            <w:tcBorders>
              <w:top w:val="single" w:sz="8" w:space="0" w:color="auto"/>
              <w:left w:val="single" w:sz="8" w:space="0" w:color="auto"/>
              <w:bottom w:val="nil"/>
              <w:right w:val="single" w:sz="8" w:space="0" w:color="000000"/>
            </w:tcBorders>
            <w:vAlign w:val="center"/>
            <w:hideMark/>
          </w:tcPr>
          <w:p w14:paraId="7C934916" w14:textId="77777777" w:rsidR="002A638A" w:rsidRPr="002A638A" w:rsidRDefault="002A638A" w:rsidP="002A638A">
            <w:pPr>
              <w:rPr>
                <w:rFonts w:ascii="Arial Narrow" w:eastAsia="Times New Roman" w:hAnsi="Arial Narrow" w:cs="Calibri"/>
                <w:b/>
                <w:bCs/>
                <w:color w:val="FFFFFF"/>
                <w:sz w:val="22"/>
                <w:szCs w:val="22"/>
              </w:rPr>
            </w:pPr>
          </w:p>
        </w:tc>
        <w:tc>
          <w:tcPr>
            <w:tcW w:w="3683" w:type="dxa"/>
            <w:vMerge/>
            <w:tcBorders>
              <w:top w:val="single" w:sz="8" w:space="0" w:color="auto"/>
              <w:left w:val="single" w:sz="8" w:space="0" w:color="auto"/>
              <w:bottom w:val="nil"/>
              <w:right w:val="single" w:sz="8" w:space="0" w:color="auto"/>
            </w:tcBorders>
            <w:vAlign w:val="center"/>
            <w:hideMark/>
          </w:tcPr>
          <w:p w14:paraId="3967C0F0" w14:textId="77777777" w:rsidR="002A638A" w:rsidRPr="002A638A" w:rsidRDefault="002A638A" w:rsidP="002A638A">
            <w:pPr>
              <w:rPr>
                <w:rFonts w:ascii="Arial Narrow" w:eastAsia="Times New Roman" w:hAnsi="Arial Narrow" w:cs="Calibri"/>
                <w:b/>
                <w:bCs/>
                <w:color w:val="FFFFFF"/>
                <w:sz w:val="22"/>
                <w:szCs w:val="22"/>
              </w:rPr>
            </w:pPr>
          </w:p>
        </w:tc>
        <w:tc>
          <w:tcPr>
            <w:tcW w:w="2138" w:type="dxa"/>
            <w:tcBorders>
              <w:top w:val="nil"/>
              <w:left w:val="nil"/>
              <w:bottom w:val="nil"/>
              <w:right w:val="single" w:sz="8" w:space="0" w:color="auto"/>
            </w:tcBorders>
            <w:shd w:val="clear" w:color="000000" w:fill="203764"/>
            <w:vAlign w:val="center"/>
            <w:hideMark/>
          </w:tcPr>
          <w:p w14:paraId="5C61790C" w14:textId="77777777" w:rsidR="002A638A" w:rsidRPr="002A638A" w:rsidRDefault="002A638A" w:rsidP="002A638A">
            <w:pPr>
              <w:jc w:val="center"/>
              <w:rPr>
                <w:rFonts w:ascii="Arial Narrow" w:eastAsia="Times New Roman" w:hAnsi="Arial Narrow" w:cs="Calibri"/>
                <w:b/>
                <w:bCs/>
                <w:color w:val="FFFFFF"/>
                <w:sz w:val="22"/>
                <w:szCs w:val="22"/>
              </w:rPr>
            </w:pPr>
            <w:r w:rsidRPr="002A638A">
              <w:rPr>
                <w:rFonts w:ascii="Arial Narrow" w:eastAsia="Times New Roman" w:hAnsi="Arial Narrow" w:cs="Calibri"/>
                <w:b/>
                <w:bCs/>
                <w:color w:val="FFFFFF"/>
                <w:sz w:val="22"/>
                <w:szCs w:val="22"/>
              </w:rPr>
              <w:t>Norma</w:t>
            </w:r>
          </w:p>
        </w:tc>
        <w:tc>
          <w:tcPr>
            <w:tcW w:w="1701" w:type="dxa"/>
            <w:tcBorders>
              <w:top w:val="nil"/>
              <w:left w:val="nil"/>
              <w:bottom w:val="nil"/>
              <w:right w:val="single" w:sz="8" w:space="0" w:color="auto"/>
            </w:tcBorders>
            <w:shd w:val="clear" w:color="000000" w:fill="203764"/>
            <w:vAlign w:val="center"/>
            <w:hideMark/>
          </w:tcPr>
          <w:p w14:paraId="226DB49A" w14:textId="77777777" w:rsidR="002A638A" w:rsidRPr="002A638A" w:rsidRDefault="002A638A" w:rsidP="002A638A">
            <w:pPr>
              <w:jc w:val="center"/>
              <w:rPr>
                <w:rFonts w:ascii="Arial Narrow" w:eastAsia="Times New Roman" w:hAnsi="Arial Narrow" w:cs="Calibri"/>
                <w:b/>
                <w:bCs/>
                <w:color w:val="FFFFFF"/>
                <w:sz w:val="22"/>
                <w:szCs w:val="22"/>
                <w:lang w:val="es-CR"/>
              </w:rPr>
            </w:pPr>
            <w:r w:rsidRPr="002A638A">
              <w:rPr>
                <w:rFonts w:ascii="Arial Narrow" w:eastAsia="Times New Roman" w:hAnsi="Arial Narrow" w:cs="Calibri"/>
                <w:b/>
                <w:bCs/>
                <w:color w:val="FFFFFF"/>
                <w:sz w:val="22"/>
                <w:szCs w:val="22"/>
                <w:lang w:val="es-CR"/>
              </w:rPr>
              <w:t>Normativa técnica y disposiciones adicionales</w:t>
            </w:r>
          </w:p>
        </w:tc>
      </w:tr>
      <w:tr w:rsidR="002A638A" w:rsidRPr="002A638A" w14:paraId="74ABB4F6" w14:textId="77777777" w:rsidTr="00D23BA9">
        <w:trPr>
          <w:trHeight w:val="630"/>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C347DB" w14:textId="77777777" w:rsidR="002A638A" w:rsidRPr="002A638A" w:rsidRDefault="002A638A" w:rsidP="002A638A">
            <w:pPr>
              <w:jc w:val="center"/>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50A85055" w14:textId="77777777" w:rsidR="002A638A" w:rsidRPr="002A638A" w:rsidRDefault="002A638A" w:rsidP="002A638A">
            <w:pPr>
              <w:jc w:val="center"/>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90</w:t>
            </w:r>
          </w:p>
        </w:tc>
        <w:tc>
          <w:tcPr>
            <w:tcW w:w="621" w:type="dxa"/>
            <w:tcBorders>
              <w:top w:val="single" w:sz="8" w:space="0" w:color="auto"/>
              <w:left w:val="nil"/>
              <w:bottom w:val="single" w:sz="8" w:space="0" w:color="auto"/>
              <w:right w:val="single" w:sz="8" w:space="0" w:color="auto"/>
            </w:tcBorders>
            <w:shd w:val="clear" w:color="auto" w:fill="auto"/>
            <w:vAlign w:val="center"/>
            <w:hideMark/>
          </w:tcPr>
          <w:p w14:paraId="641EBA6C" w14:textId="77777777" w:rsidR="002A638A" w:rsidRPr="002A638A" w:rsidRDefault="002A638A" w:rsidP="002A638A">
            <w:pPr>
              <w:jc w:val="center"/>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0</w:t>
            </w:r>
          </w:p>
        </w:tc>
        <w:tc>
          <w:tcPr>
            <w:tcW w:w="3683" w:type="dxa"/>
            <w:tcBorders>
              <w:top w:val="single" w:sz="8" w:space="0" w:color="auto"/>
              <w:left w:val="nil"/>
              <w:bottom w:val="single" w:sz="8" w:space="0" w:color="auto"/>
              <w:right w:val="single" w:sz="8" w:space="0" w:color="auto"/>
            </w:tcBorders>
            <w:shd w:val="clear" w:color="auto" w:fill="auto"/>
            <w:vAlign w:val="center"/>
            <w:hideMark/>
          </w:tcPr>
          <w:p w14:paraId="09E2B082" w14:textId="77777777" w:rsidR="002A638A" w:rsidRPr="002A638A" w:rsidRDefault="002A638A" w:rsidP="002A638A">
            <w:pPr>
              <w:jc w:val="both"/>
              <w:rPr>
                <w:rFonts w:ascii="Arial Narrow" w:eastAsia="Times New Roman" w:hAnsi="Arial Narrow" w:cs="Calibri"/>
                <w:b/>
                <w:bCs/>
                <w:color w:val="000000"/>
                <w:sz w:val="22"/>
                <w:szCs w:val="22"/>
                <w:lang w:val="es-CR"/>
              </w:rPr>
            </w:pPr>
            <w:r w:rsidRPr="002A638A">
              <w:rPr>
                <w:rFonts w:ascii="Arial Narrow" w:eastAsia="Times New Roman" w:hAnsi="Arial Narrow" w:cs="Calibri"/>
                <w:b/>
                <w:bCs/>
                <w:color w:val="000000"/>
                <w:sz w:val="22"/>
                <w:szCs w:val="22"/>
                <w:lang w:val="es-CR"/>
              </w:rPr>
              <w:t>Información a revelar sobre costos de préstamos</w:t>
            </w:r>
          </w:p>
        </w:tc>
        <w:tc>
          <w:tcPr>
            <w:tcW w:w="2138" w:type="dxa"/>
            <w:tcBorders>
              <w:top w:val="single" w:sz="8" w:space="0" w:color="auto"/>
              <w:left w:val="nil"/>
              <w:bottom w:val="single" w:sz="8" w:space="0" w:color="auto"/>
              <w:right w:val="single" w:sz="8" w:space="0" w:color="auto"/>
            </w:tcBorders>
            <w:shd w:val="clear" w:color="auto" w:fill="auto"/>
            <w:vAlign w:val="center"/>
            <w:hideMark/>
          </w:tcPr>
          <w:p w14:paraId="7E9925D4" w14:textId="77777777" w:rsidR="00D23BA9" w:rsidRDefault="002A638A" w:rsidP="002A638A">
            <w:pPr>
              <w:jc w:val="both"/>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 xml:space="preserve">NICSP N° 5, </w:t>
            </w:r>
          </w:p>
          <w:p w14:paraId="589A1496" w14:textId="17D5C2A6" w:rsidR="002A638A" w:rsidRPr="002A638A" w:rsidRDefault="002A638A" w:rsidP="002A638A">
            <w:pPr>
              <w:jc w:val="both"/>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Párrafos 16 y 40.</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A14A286" w14:textId="77777777" w:rsidR="002A638A" w:rsidRPr="002A638A" w:rsidRDefault="002A638A" w:rsidP="002A638A">
            <w:pPr>
              <w:rPr>
                <w:rFonts w:ascii="Arial Narrow" w:eastAsia="Times New Roman" w:hAnsi="Arial Narrow" w:cs="Calibri"/>
                <w:b/>
                <w:bCs/>
                <w:color w:val="000000"/>
                <w:sz w:val="22"/>
                <w:szCs w:val="22"/>
              </w:rPr>
            </w:pPr>
            <w:r w:rsidRPr="002A638A">
              <w:rPr>
                <w:rFonts w:ascii="Arial Narrow" w:eastAsia="Times New Roman" w:hAnsi="Arial Narrow" w:cs="Calibri"/>
                <w:b/>
                <w:bCs/>
                <w:color w:val="000000"/>
                <w:sz w:val="22"/>
                <w:szCs w:val="22"/>
              </w:rPr>
              <w:t xml:space="preserve"> </w:t>
            </w:r>
          </w:p>
        </w:tc>
      </w:tr>
    </w:tbl>
    <w:p w14:paraId="1AEB63D0" w14:textId="77777777" w:rsidR="002A638A" w:rsidRDefault="002A638A" w:rsidP="00724504">
      <w:pPr>
        <w:pStyle w:val="Default"/>
        <w:ind w:right="261"/>
        <w:jc w:val="both"/>
        <w:rPr>
          <w:sz w:val="22"/>
          <w:szCs w:val="22"/>
          <w:lang w:val="es-CR"/>
        </w:rPr>
      </w:pPr>
    </w:p>
    <w:p w14:paraId="51D97B36" w14:textId="1F58AF4B" w:rsidR="00724504" w:rsidRDefault="00724504" w:rsidP="00724504">
      <w:pPr>
        <w:pStyle w:val="Default"/>
        <w:ind w:right="261"/>
        <w:jc w:val="both"/>
        <w:rPr>
          <w:rFonts w:eastAsia="Arial"/>
          <w:b/>
          <w:sz w:val="22"/>
          <w:szCs w:val="22"/>
        </w:rPr>
      </w:pPr>
      <w:r w:rsidRPr="00F02F9D">
        <w:rPr>
          <w:rFonts w:eastAsia="Arial"/>
          <w:b/>
          <w:sz w:val="22"/>
          <w:szCs w:val="22"/>
        </w:rPr>
        <w:t>Políticas Contables</w:t>
      </w:r>
    </w:p>
    <w:p w14:paraId="7CC74BE3" w14:textId="77777777" w:rsidR="00724504" w:rsidRDefault="00724504" w:rsidP="00724504">
      <w:pPr>
        <w:pStyle w:val="Default"/>
        <w:ind w:right="261"/>
        <w:jc w:val="both"/>
        <w:rPr>
          <w:sz w:val="22"/>
          <w:szCs w:val="22"/>
          <w:lang w:val="es-CR"/>
        </w:rPr>
      </w:pPr>
    </w:p>
    <w:p w14:paraId="68D9AAAC" w14:textId="09411AB4" w:rsidR="007B30EA" w:rsidRPr="00652515" w:rsidRDefault="007B30EA" w:rsidP="00315F04">
      <w:pPr>
        <w:pStyle w:val="Default"/>
        <w:spacing w:after="120" w:line="238" w:lineRule="auto"/>
        <w:ind w:left="1134" w:right="260" w:hanging="1134"/>
        <w:jc w:val="both"/>
        <w:rPr>
          <w:sz w:val="22"/>
          <w:szCs w:val="22"/>
          <w:lang w:val="es-CR"/>
        </w:rPr>
      </w:pPr>
      <w:r w:rsidRPr="00652515">
        <w:rPr>
          <w:sz w:val="22"/>
          <w:szCs w:val="22"/>
          <w:lang w:val="es-CR"/>
        </w:rPr>
        <w:t>2.90.0.01</w:t>
      </w:r>
      <w:r w:rsidRPr="00652515">
        <w:rPr>
          <w:sz w:val="22"/>
          <w:szCs w:val="22"/>
          <w:lang w:val="es-CR"/>
        </w:rPr>
        <w:tab/>
        <w:t xml:space="preserve">La </w:t>
      </w:r>
      <w:r w:rsidR="000F29DC">
        <w:rPr>
          <w:sz w:val="22"/>
          <w:szCs w:val="22"/>
          <w:lang w:val="es-CR"/>
        </w:rPr>
        <w:t>MBA</w:t>
      </w:r>
      <w:r w:rsidRPr="00652515">
        <w:rPr>
          <w:sz w:val="22"/>
          <w:szCs w:val="22"/>
          <w:lang w:val="es-CR"/>
        </w:rPr>
        <w:t xml:space="preserve"> r</w:t>
      </w:r>
      <w:r w:rsidR="002A638A" w:rsidRPr="00652515">
        <w:rPr>
          <w:sz w:val="22"/>
          <w:szCs w:val="22"/>
          <w:lang w:val="es-CR"/>
        </w:rPr>
        <w:t>evelar</w:t>
      </w:r>
      <w:r w:rsidRPr="00652515">
        <w:rPr>
          <w:sz w:val="22"/>
          <w:szCs w:val="22"/>
          <w:lang w:val="es-CR"/>
        </w:rPr>
        <w:t xml:space="preserve">á </w:t>
      </w:r>
      <w:r w:rsidR="002A638A" w:rsidRPr="00652515">
        <w:rPr>
          <w:sz w:val="22"/>
          <w:szCs w:val="22"/>
          <w:lang w:val="es-CR"/>
        </w:rPr>
        <w:t>en los EEFF la información sobre</w:t>
      </w:r>
      <w:r w:rsidR="00315F04" w:rsidRPr="00652515">
        <w:rPr>
          <w:sz w:val="22"/>
          <w:szCs w:val="22"/>
          <w:lang w:val="es-CR"/>
        </w:rPr>
        <w:t xml:space="preserve"> </w:t>
      </w:r>
      <w:r w:rsidRPr="00652515">
        <w:rPr>
          <w:sz w:val="22"/>
          <w:szCs w:val="22"/>
          <w:lang w:val="es-CR"/>
        </w:rPr>
        <w:t>L</w:t>
      </w:r>
      <w:r w:rsidR="002A638A" w:rsidRPr="00652515">
        <w:rPr>
          <w:sz w:val="22"/>
          <w:szCs w:val="22"/>
          <w:lang w:val="es-CR"/>
        </w:rPr>
        <w:t>as políticas y métodos contables adoptados para los costos por préstamos, así como los intereses reconocidos durante el ejercicio</w:t>
      </w:r>
      <w:r w:rsidR="00315F04" w:rsidRPr="00652515">
        <w:rPr>
          <w:sz w:val="22"/>
          <w:szCs w:val="22"/>
          <w:lang w:val="es-CR"/>
        </w:rPr>
        <w:t>.</w:t>
      </w:r>
    </w:p>
    <w:p w14:paraId="5B491E54" w14:textId="77777777" w:rsidR="002A638A" w:rsidRDefault="002A638A" w:rsidP="002A638A">
      <w:pPr>
        <w:pStyle w:val="Default"/>
        <w:spacing w:after="120" w:line="238" w:lineRule="auto"/>
        <w:ind w:right="260"/>
        <w:jc w:val="both"/>
        <w:rPr>
          <w:sz w:val="22"/>
          <w:szCs w:val="22"/>
          <w:lang w:val="es-CR"/>
        </w:rPr>
      </w:pPr>
    </w:p>
    <w:p w14:paraId="31AFCDE2" w14:textId="77777777" w:rsidR="00D23BA9" w:rsidRDefault="00D23BA9" w:rsidP="002A638A">
      <w:pPr>
        <w:pStyle w:val="Default"/>
        <w:spacing w:after="120" w:line="238" w:lineRule="auto"/>
        <w:ind w:right="260"/>
        <w:jc w:val="both"/>
        <w:rPr>
          <w:sz w:val="22"/>
          <w:szCs w:val="22"/>
          <w:lang w:val="es-CR"/>
        </w:rPr>
      </w:pPr>
    </w:p>
    <w:tbl>
      <w:tblPr>
        <w:tblW w:w="9386" w:type="dxa"/>
        <w:tblLook w:val="04A0" w:firstRow="1" w:lastRow="0" w:firstColumn="1" w:lastColumn="0" w:noHBand="0" w:noVBand="1"/>
      </w:tblPr>
      <w:tblGrid>
        <w:gridCol w:w="643"/>
        <w:gridCol w:w="417"/>
        <w:gridCol w:w="618"/>
        <w:gridCol w:w="3690"/>
        <w:gridCol w:w="2135"/>
        <w:gridCol w:w="1872"/>
        <w:gridCol w:w="11"/>
      </w:tblGrid>
      <w:tr w:rsidR="00315F04" w:rsidRPr="00315F04" w14:paraId="15A3923E" w14:textId="77777777" w:rsidTr="00D23BA9">
        <w:trPr>
          <w:trHeight w:val="320"/>
        </w:trPr>
        <w:tc>
          <w:tcPr>
            <w:tcW w:w="167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EF4F089" w14:textId="77777777" w:rsidR="00315F04" w:rsidRPr="00315F04" w:rsidRDefault="00315F04" w:rsidP="00315F04">
            <w:pPr>
              <w:jc w:val="center"/>
              <w:rPr>
                <w:rFonts w:ascii="Arial Narrow" w:eastAsia="Times New Roman" w:hAnsi="Arial Narrow" w:cs="Calibri"/>
                <w:b/>
                <w:bCs/>
                <w:color w:val="FFFFFF"/>
                <w:sz w:val="22"/>
                <w:szCs w:val="22"/>
              </w:rPr>
            </w:pPr>
            <w:r w:rsidRPr="00315F04">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5BC7E81" w14:textId="77777777" w:rsidR="00315F04" w:rsidRPr="00315F04" w:rsidRDefault="00315F04" w:rsidP="00315F04">
            <w:pPr>
              <w:jc w:val="center"/>
              <w:rPr>
                <w:rFonts w:ascii="Arial Narrow" w:eastAsia="Times New Roman" w:hAnsi="Arial Narrow" w:cs="Calibri"/>
                <w:b/>
                <w:bCs/>
                <w:color w:val="FFFFFF"/>
                <w:sz w:val="22"/>
                <w:szCs w:val="22"/>
              </w:rPr>
            </w:pPr>
            <w:r w:rsidRPr="00315F04">
              <w:rPr>
                <w:rFonts w:ascii="Arial Narrow" w:eastAsia="Times New Roman" w:hAnsi="Arial Narrow" w:cs="Calibri"/>
                <w:b/>
                <w:bCs/>
                <w:color w:val="FFFFFF"/>
                <w:sz w:val="22"/>
                <w:szCs w:val="22"/>
              </w:rPr>
              <w:t>Concepto</w:t>
            </w:r>
          </w:p>
        </w:tc>
        <w:tc>
          <w:tcPr>
            <w:tcW w:w="4018" w:type="dxa"/>
            <w:gridSpan w:val="3"/>
            <w:tcBorders>
              <w:top w:val="single" w:sz="8" w:space="0" w:color="auto"/>
              <w:left w:val="nil"/>
              <w:bottom w:val="single" w:sz="8" w:space="0" w:color="auto"/>
              <w:right w:val="single" w:sz="8" w:space="0" w:color="000000"/>
            </w:tcBorders>
            <w:shd w:val="clear" w:color="000000" w:fill="203764"/>
            <w:vAlign w:val="center"/>
            <w:hideMark/>
          </w:tcPr>
          <w:p w14:paraId="1B4DE053" w14:textId="77777777" w:rsidR="00315F04" w:rsidRPr="00315F04" w:rsidRDefault="00315F04" w:rsidP="00315F04">
            <w:pPr>
              <w:jc w:val="center"/>
              <w:rPr>
                <w:rFonts w:ascii="Arial Narrow" w:eastAsia="Times New Roman" w:hAnsi="Arial Narrow" w:cs="Calibri"/>
                <w:b/>
                <w:bCs/>
                <w:color w:val="FFFFFF"/>
                <w:sz w:val="22"/>
                <w:szCs w:val="22"/>
              </w:rPr>
            </w:pPr>
            <w:r w:rsidRPr="00315F04">
              <w:rPr>
                <w:rFonts w:ascii="Arial Narrow" w:eastAsia="Times New Roman" w:hAnsi="Arial Narrow" w:cs="Calibri"/>
                <w:b/>
                <w:bCs/>
                <w:color w:val="FFFFFF"/>
                <w:sz w:val="22"/>
                <w:szCs w:val="22"/>
              </w:rPr>
              <w:t>Referencia</w:t>
            </w:r>
          </w:p>
        </w:tc>
      </w:tr>
      <w:tr w:rsidR="00315F04" w:rsidRPr="006E5442" w14:paraId="78BA03CF" w14:textId="77777777" w:rsidTr="00D23BA9">
        <w:trPr>
          <w:gridAfter w:val="1"/>
          <w:wAfter w:w="11" w:type="dxa"/>
          <w:trHeight w:val="940"/>
        </w:trPr>
        <w:tc>
          <w:tcPr>
            <w:tcW w:w="1678" w:type="dxa"/>
            <w:gridSpan w:val="3"/>
            <w:vMerge/>
            <w:tcBorders>
              <w:top w:val="single" w:sz="8" w:space="0" w:color="auto"/>
              <w:left w:val="single" w:sz="8" w:space="0" w:color="auto"/>
              <w:bottom w:val="nil"/>
              <w:right w:val="single" w:sz="8" w:space="0" w:color="000000"/>
            </w:tcBorders>
            <w:vAlign w:val="center"/>
            <w:hideMark/>
          </w:tcPr>
          <w:p w14:paraId="3F2E0FF1" w14:textId="77777777" w:rsidR="00315F04" w:rsidRPr="00315F04" w:rsidRDefault="00315F04" w:rsidP="00315F04">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65266BF6" w14:textId="77777777" w:rsidR="00315F04" w:rsidRPr="00315F04" w:rsidRDefault="00315F04" w:rsidP="00315F04">
            <w:pPr>
              <w:rPr>
                <w:rFonts w:ascii="Arial Narrow" w:eastAsia="Times New Roman" w:hAnsi="Arial Narrow" w:cs="Calibri"/>
                <w:b/>
                <w:bCs/>
                <w:color w:val="FFFFFF"/>
                <w:sz w:val="22"/>
                <w:szCs w:val="22"/>
              </w:rPr>
            </w:pPr>
          </w:p>
        </w:tc>
        <w:tc>
          <w:tcPr>
            <w:tcW w:w="2135" w:type="dxa"/>
            <w:tcBorders>
              <w:top w:val="nil"/>
              <w:left w:val="nil"/>
              <w:bottom w:val="nil"/>
              <w:right w:val="single" w:sz="8" w:space="0" w:color="auto"/>
            </w:tcBorders>
            <w:shd w:val="clear" w:color="000000" w:fill="203764"/>
            <w:vAlign w:val="center"/>
            <w:hideMark/>
          </w:tcPr>
          <w:p w14:paraId="0E08AD4A" w14:textId="77777777" w:rsidR="00315F04" w:rsidRPr="00315F04" w:rsidRDefault="00315F04" w:rsidP="00315F04">
            <w:pPr>
              <w:jc w:val="center"/>
              <w:rPr>
                <w:rFonts w:ascii="Arial Narrow" w:eastAsia="Times New Roman" w:hAnsi="Arial Narrow" w:cs="Calibri"/>
                <w:b/>
                <w:bCs/>
                <w:color w:val="FFFFFF"/>
                <w:sz w:val="22"/>
                <w:szCs w:val="22"/>
              </w:rPr>
            </w:pPr>
            <w:r w:rsidRPr="00315F04">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7DEC9917" w14:textId="77777777" w:rsidR="00315F04" w:rsidRPr="00315F04" w:rsidRDefault="00315F04" w:rsidP="00315F04">
            <w:pPr>
              <w:jc w:val="center"/>
              <w:rPr>
                <w:rFonts w:ascii="Arial Narrow" w:eastAsia="Times New Roman" w:hAnsi="Arial Narrow" w:cs="Calibri"/>
                <w:b/>
                <w:bCs/>
                <w:color w:val="FFFFFF"/>
                <w:sz w:val="22"/>
                <w:szCs w:val="22"/>
                <w:lang w:val="es-CR"/>
              </w:rPr>
            </w:pPr>
            <w:r w:rsidRPr="00315F04">
              <w:rPr>
                <w:rFonts w:ascii="Arial Narrow" w:eastAsia="Times New Roman" w:hAnsi="Arial Narrow" w:cs="Calibri"/>
                <w:b/>
                <w:bCs/>
                <w:color w:val="FFFFFF"/>
                <w:sz w:val="22"/>
                <w:szCs w:val="22"/>
                <w:lang w:val="es-CR"/>
              </w:rPr>
              <w:t>Normativa técnica y disposiciones adicionales</w:t>
            </w:r>
          </w:p>
        </w:tc>
      </w:tr>
      <w:tr w:rsidR="00315F04" w:rsidRPr="00315F04" w14:paraId="72732A0A" w14:textId="77777777" w:rsidTr="00D23BA9">
        <w:trPr>
          <w:gridAfter w:val="1"/>
          <w:wAfter w:w="11" w:type="dxa"/>
          <w:trHeight w:val="940"/>
        </w:trPr>
        <w:tc>
          <w:tcPr>
            <w:tcW w:w="6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31112A" w14:textId="77777777" w:rsidR="00315F04" w:rsidRPr="00315F04" w:rsidRDefault="00315F04" w:rsidP="00315F04">
            <w:pPr>
              <w:jc w:val="center"/>
              <w:rPr>
                <w:rFonts w:ascii="Arial Narrow" w:eastAsia="Times New Roman" w:hAnsi="Arial Narrow" w:cs="Calibri"/>
                <w:b/>
                <w:bCs/>
                <w:color w:val="000000"/>
                <w:sz w:val="22"/>
                <w:szCs w:val="22"/>
              </w:rPr>
            </w:pPr>
            <w:r w:rsidRPr="00315F04">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5C6C4090" w14:textId="77777777" w:rsidR="00315F04" w:rsidRPr="00315F04" w:rsidRDefault="00315F04" w:rsidP="00315F04">
            <w:pPr>
              <w:jc w:val="center"/>
              <w:rPr>
                <w:rFonts w:ascii="Arial Narrow" w:eastAsia="Times New Roman" w:hAnsi="Arial Narrow" w:cs="Calibri"/>
                <w:b/>
                <w:bCs/>
                <w:color w:val="000000"/>
                <w:sz w:val="22"/>
                <w:szCs w:val="22"/>
              </w:rPr>
            </w:pPr>
            <w:r w:rsidRPr="00315F04">
              <w:rPr>
                <w:rFonts w:ascii="Arial Narrow" w:eastAsia="Times New Roman" w:hAnsi="Arial Narrow" w:cs="Calibri"/>
                <w:b/>
                <w:bCs/>
                <w:color w:val="000000"/>
                <w:sz w:val="22"/>
                <w:szCs w:val="22"/>
              </w:rPr>
              <w:t>91</w:t>
            </w:r>
          </w:p>
        </w:tc>
        <w:tc>
          <w:tcPr>
            <w:tcW w:w="618" w:type="dxa"/>
            <w:tcBorders>
              <w:top w:val="single" w:sz="8" w:space="0" w:color="auto"/>
              <w:left w:val="nil"/>
              <w:bottom w:val="single" w:sz="8" w:space="0" w:color="auto"/>
              <w:right w:val="single" w:sz="8" w:space="0" w:color="auto"/>
            </w:tcBorders>
            <w:shd w:val="clear" w:color="auto" w:fill="auto"/>
            <w:vAlign w:val="center"/>
            <w:hideMark/>
          </w:tcPr>
          <w:p w14:paraId="3FF5B904" w14:textId="6F84C43D" w:rsidR="00315F04" w:rsidRPr="00315F04" w:rsidRDefault="00315F04" w:rsidP="00315F04">
            <w:pPr>
              <w:jc w:val="center"/>
              <w:rPr>
                <w:rFonts w:ascii="Arial Narrow" w:eastAsia="Times New Roman" w:hAnsi="Arial Narrow" w:cs="Calibri"/>
                <w:b/>
                <w:bCs/>
                <w:color w:val="000000"/>
                <w:sz w:val="22"/>
                <w:szCs w:val="22"/>
              </w:rPr>
            </w:pP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50C7AD16" w14:textId="6665CBE0" w:rsidR="00315F04" w:rsidRPr="00315F04" w:rsidRDefault="00AA273D" w:rsidP="00315F04">
            <w:pPr>
              <w:jc w:val="both"/>
              <w:rPr>
                <w:rFonts w:ascii="Arial Narrow" w:eastAsia="Times New Roman" w:hAnsi="Arial Narrow" w:cs="Calibri"/>
                <w:b/>
                <w:bCs/>
                <w:color w:val="000000"/>
                <w:sz w:val="22"/>
                <w:szCs w:val="22"/>
                <w:lang w:val="es-CR"/>
              </w:rPr>
            </w:pPr>
            <w:r>
              <w:rPr>
                <w:rFonts w:ascii="Arial Narrow" w:eastAsia="Times New Roman" w:hAnsi="Arial Narrow" w:cs="Calibri"/>
                <w:b/>
                <w:bCs/>
                <w:color w:val="000000"/>
                <w:sz w:val="22"/>
                <w:szCs w:val="22"/>
                <w:lang w:val="es-CR"/>
              </w:rPr>
              <w:t>I</w:t>
            </w:r>
            <w:r w:rsidR="00315F04" w:rsidRPr="00315F04">
              <w:rPr>
                <w:rFonts w:ascii="Arial Narrow" w:eastAsia="Times New Roman" w:hAnsi="Arial Narrow" w:cs="Calibri"/>
                <w:b/>
                <w:bCs/>
                <w:color w:val="000000"/>
                <w:sz w:val="22"/>
                <w:szCs w:val="22"/>
                <w:lang w:val="es-CR"/>
              </w:rPr>
              <w:t>nformación a revelar sobre incumplimientos en préstamos por pagar</w:t>
            </w:r>
          </w:p>
        </w:tc>
        <w:tc>
          <w:tcPr>
            <w:tcW w:w="2135" w:type="dxa"/>
            <w:tcBorders>
              <w:top w:val="single" w:sz="8" w:space="0" w:color="auto"/>
              <w:left w:val="nil"/>
              <w:bottom w:val="single" w:sz="8" w:space="0" w:color="auto"/>
              <w:right w:val="single" w:sz="8" w:space="0" w:color="auto"/>
            </w:tcBorders>
            <w:shd w:val="clear" w:color="auto" w:fill="auto"/>
            <w:vAlign w:val="center"/>
            <w:hideMark/>
          </w:tcPr>
          <w:p w14:paraId="68A2CC54" w14:textId="77777777" w:rsidR="00D23BA9" w:rsidRDefault="00315F04" w:rsidP="00315F04">
            <w:pPr>
              <w:jc w:val="both"/>
              <w:rPr>
                <w:rFonts w:ascii="Arial Narrow" w:eastAsia="Times New Roman" w:hAnsi="Arial Narrow" w:cs="Calibri"/>
                <w:b/>
                <w:bCs/>
                <w:color w:val="000000"/>
                <w:sz w:val="22"/>
                <w:szCs w:val="22"/>
              </w:rPr>
            </w:pPr>
            <w:r w:rsidRPr="00315F04">
              <w:rPr>
                <w:rFonts w:ascii="Arial Narrow" w:eastAsia="Times New Roman" w:hAnsi="Arial Narrow" w:cs="Calibri"/>
                <w:b/>
                <w:bCs/>
                <w:color w:val="000000"/>
                <w:sz w:val="22"/>
                <w:szCs w:val="22"/>
              </w:rPr>
              <w:t xml:space="preserve">NICSP N° 30, </w:t>
            </w:r>
          </w:p>
          <w:p w14:paraId="17480EA5" w14:textId="2AC87E52" w:rsidR="00315F04" w:rsidRPr="00315F04" w:rsidRDefault="00315F04" w:rsidP="00315F04">
            <w:pPr>
              <w:jc w:val="both"/>
              <w:rPr>
                <w:rFonts w:ascii="Arial Narrow" w:eastAsia="Times New Roman" w:hAnsi="Arial Narrow" w:cs="Calibri"/>
                <w:b/>
                <w:bCs/>
                <w:color w:val="000000"/>
                <w:sz w:val="22"/>
                <w:szCs w:val="22"/>
              </w:rPr>
            </w:pPr>
            <w:r w:rsidRPr="00315F04">
              <w:rPr>
                <w:rFonts w:ascii="Arial Narrow" w:eastAsia="Times New Roman" w:hAnsi="Arial Narrow" w:cs="Calibri"/>
                <w:b/>
                <w:bCs/>
                <w:color w:val="000000"/>
                <w:sz w:val="22"/>
                <w:szCs w:val="22"/>
              </w:rPr>
              <w:t>Párrafos 22 y 23.</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426687C3" w14:textId="77777777" w:rsidR="00315F04" w:rsidRPr="00315F04" w:rsidRDefault="00315F04" w:rsidP="00315F04">
            <w:pPr>
              <w:rPr>
                <w:rFonts w:ascii="Arial Narrow" w:eastAsia="Times New Roman" w:hAnsi="Arial Narrow" w:cs="Calibri"/>
                <w:b/>
                <w:bCs/>
                <w:color w:val="000000"/>
                <w:sz w:val="22"/>
                <w:szCs w:val="22"/>
              </w:rPr>
            </w:pPr>
            <w:r w:rsidRPr="00315F04">
              <w:rPr>
                <w:rFonts w:ascii="Arial Narrow" w:eastAsia="Times New Roman" w:hAnsi="Arial Narrow" w:cs="Calibri"/>
                <w:b/>
                <w:bCs/>
                <w:color w:val="000000"/>
                <w:sz w:val="22"/>
                <w:szCs w:val="22"/>
              </w:rPr>
              <w:t xml:space="preserve"> </w:t>
            </w:r>
          </w:p>
        </w:tc>
      </w:tr>
    </w:tbl>
    <w:p w14:paraId="4701CAA4" w14:textId="77777777" w:rsidR="002A638A" w:rsidRDefault="002A638A" w:rsidP="00D23BA9">
      <w:pPr>
        <w:pStyle w:val="Default"/>
        <w:ind w:right="261"/>
        <w:jc w:val="both"/>
        <w:rPr>
          <w:sz w:val="22"/>
          <w:szCs w:val="22"/>
          <w:lang w:val="es-CR"/>
        </w:rPr>
      </w:pPr>
    </w:p>
    <w:p w14:paraId="7502E950" w14:textId="0BBD9FDF" w:rsidR="00D23BA9" w:rsidRDefault="00D23BA9" w:rsidP="00D23BA9">
      <w:pPr>
        <w:pStyle w:val="Default"/>
        <w:ind w:right="261"/>
        <w:jc w:val="both"/>
        <w:rPr>
          <w:rFonts w:eastAsia="Arial"/>
          <w:b/>
          <w:sz w:val="22"/>
          <w:szCs w:val="22"/>
        </w:rPr>
      </w:pPr>
      <w:r w:rsidRPr="00F02F9D">
        <w:rPr>
          <w:rFonts w:eastAsia="Arial"/>
          <w:b/>
          <w:sz w:val="22"/>
          <w:szCs w:val="22"/>
        </w:rPr>
        <w:t>Políticas Contables</w:t>
      </w:r>
    </w:p>
    <w:p w14:paraId="35BA7EE1" w14:textId="77777777" w:rsidR="00D23BA9" w:rsidRDefault="00D23BA9" w:rsidP="00D23BA9">
      <w:pPr>
        <w:pStyle w:val="Default"/>
        <w:ind w:right="261"/>
        <w:jc w:val="both"/>
        <w:rPr>
          <w:sz w:val="22"/>
          <w:szCs w:val="22"/>
          <w:lang w:val="es-CR"/>
        </w:rPr>
      </w:pPr>
    </w:p>
    <w:p w14:paraId="2F9D3A1D" w14:textId="355DB141" w:rsidR="00315F04" w:rsidRPr="00652515" w:rsidRDefault="00AA273D" w:rsidP="00AA273D">
      <w:pPr>
        <w:pStyle w:val="Default"/>
        <w:ind w:left="1134" w:hanging="1134"/>
        <w:jc w:val="both"/>
        <w:rPr>
          <w:sz w:val="22"/>
          <w:szCs w:val="22"/>
          <w:lang w:val="es-CR"/>
        </w:rPr>
      </w:pPr>
      <w:r w:rsidRPr="00652515">
        <w:rPr>
          <w:sz w:val="22"/>
          <w:szCs w:val="22"/>
          <w:lang w:val="es-CR"/>
        </w:rPr>
        <w:t>2.91.0.01</w:t>
      </w:r>
      <w:r w:rsidRPr="00652515">
        <w:rPr>
          <w:sz w:val="22"/>
          <w:szCs w:val="22"/>
          <w:lang w:val="es-CR"/>
        </w:rPr>
        <w:tab/>
      </w:r>
      <w:r w:rsidR="00315F04" w:rsidRPr="00652515">
        <w:rPr>
          <w:sz w:val="22"/>
          <w:szCs w:val="22"/>
          <w:lang w:val="es-CR"/>
        </w:rPr>
        <w:t>Para los préstamos por pagar reconocidos al final del período sobre el que se informa, deberá revelarse:</w:t>
      </w:r>
    </w:p>
    <w:p w14:paraId="4FBBD8EC" w14:textId="77777777" w:rsidR="00AA273D" w:rsidRPr="00652515" w:rsidRDefault="00AA273D" w:rsidP="00AA273D">
      <w:pPr>
        <w:pStyle w:val="Default"/>
        <w:ind w:left="1134" w:hanging="1134"/>
        <w:jc w:val="both"/>
        <w:rPr>
          <w:sz w:val="22"/>
          <w:szCs w:val="22"/>
          <w:lang w:val="es-CR"/>
        </w:rPr>
      </w:pPr>
    </w:p>
    <w:p w14:paraId="3DCB33E4" w14:textId="63961BD8" w:rsidR="00315F04" w:rsidRPr="00652515" w:rsidRDefault="00AA273D">
      <w:pPr>
        <w:pStyle w:val="Default"/>
        <w:numPr>
          <w:ilvl w:val="0"/>
          <w:numId w:val="187"/>
        </w:numPr>
        <w:spacing w:after="120"/>
        <w:ind w:left="1418" w:hanging="284"/>
        <w:jc w:val="both"/>
        <w:rPr>
          <w:sz w:val="22"/>
          <w:szCs w:val="22"/>
          <w:lang w:val="es-CR"/>
        </w:rPr>
      </w:pPr>
      <w:r w:rsidRPr="00652515">
        <w:rPr>
          <w:sz w:val="22"/>
          <w:szCs w:val="22"/>
          <w:lang w:val="es-CR"/>
        </w:rPr>
        <w:t>U</w:t>
      </w:r>
      <w:r w:rsidR="00315F04" w:rsidRPr="00652515">
        <w:rPr>
          <w:sz w:val="22"/>
          <w:szCs w:val="22"/>
          <w:lang w:val="es-CR"/>
        </w:rPr>
        <w:t xml:space="preserve">n detalle de los incumplimientos durante el período que se refieran al principal, a los intereses, a los fondos de amortización para cancelación de deudas o a las condiciones de rescate relativas a esos préstamos por pagar; </w:t>
      </w:r>
    </w:p>
    <w:p w14:paraId="37928500" w14:textId="5FF7930A" w:rsidR="00315F04" w:rsidRPr="00652515" w:rsidRDefault="00AA273D">
      <w:pPr>
        <w:pStyle w:val="Default"/>
        <w:numPr>
          <w:ilvl w:val="0"/>
          <w:numId w:val="187"/>
        </w:numPr>
        <w:spacing w:after="120"/>
        <w:ind w:left="1418" w:hanging="284"/>
        <w:jc w:val="both"/>
        <w:rPr>
          <w:sz w:val="22"/>
          <w:szCs w:val="22"/>
          <w:lang w:val="es-CR"/>
        </w:rPr>
      </w:pPr>
      <w:r w:rsidRPr="00652515">
        <w:rPr>
          <w:sz w:val="22"/>
          <w:szCs w:val="22"/>
          <w:lang w:val="es-CR"/>
        </w:rPr>
        <w:t>E</w:t>
      </w:r>
      <w:r w:rsidR="00315F04" w:rsidRPr="00652515">
        <w:rPr>
          <w:sz w:val="22"/>
          <w:szCs w:val="22"/>
          <w:lang w:val="es-CR"/>
        </w:rPr>
        <w:t xml:space="preserve">l importe en libros de los préstamos por pagar pendientes de cancelación al final del periodo sobre el que se informa; y </w:t>
      </w:r>
    </w:p>
    <w:p w14:paraId="24685C47" w14:textId="77777777" w:rsidR="00AA273D" w:rsidRPr="00652515" w:rsidRDefault="00AA273D">
      <w:pPr>
        <w:pStyle w:val="Default"/>
        <w:numPr>
          <w:ilvl w:val="0"/>
          <w:numId w:val="187"/>
        </w:numPr>
        <w:ind w:left="1418" w:hanging="284"/>
        <w:jc w:val="both"/>
        <w:rPr>
          <w:sz w:val="22"/>
          <w:szCs w:val="22"/>
          <w:lang w:val="es-CR"/>
        </w:rPr>
      </w:pPr>
      <w:r w:rsidRPr="00652515">
        <w:rPr>
          <w:sz w:val="22"/>
          <w:szCs w:val="22"/>
          <w:lang w:val="es-CR"/>
        </w:rPr>
        <w:t>S</w:t>
      </w:r>
      <w:r w:rsidR="00315F04" w:rsidRPr="00652515">
        <w:rPr>
          <w:sz w:val="22"/>
          <w:szCs w:val="22"/>
          <w:lang w:val="es-CR"/>
        </w:rPr>
        <w:t>i el incumplimiento ha sido corregido o si se han renegociado las condiciones de los préstamos por pagar antes de la fecha de autorización para emisión de los estados financieros</w:t>
      </w:r>
      <w:r w:rsidRPr="00652515">
        <w:rPr>
          <w:sz w:val="22"/>
          <w:szCs w:val="22"/>
          <w:lang w:val="es-CR"/>
        </w:rPr>
        <w:t>.</w:t>
      </w:r>
    </w:p>
    <w:p w14:paraId="0B051C4E" w14:textId="6093E295" w:rsidR="00315F04" w:rsidRPr="00652515" w:rsidRDefault="00315F04" w:rsidP="00AA273D">
      <w:pPr>
        <w:pStyle w:val="Default"/>
        <w:ind w:left="1418"/>
        <w:jc w:val="both"/>
        <w:rPr>
          <w:sz w:val="22"/>
          <w:szCs w:val="22"/>
          <w:lang w:val="es-CR"/>
        </w:rPr>
      </w:pPr>
      <w:r w:rsidRPr="00652515">
        <w:rPr>
          <w:sz w:val="22"/>
          <w:szCs w:val="22"/>
          <w:lang w:val="es-CR"/>
        </w:rPr>
        <w:t xml:space="preserve"> </w:t>
      </w:r>
    </w:p>
    <w:p w14:paraId="360E7FCF" w14:textId="221C4859" w:rsidR="00AA273D" w:rsidRPr="00652515" w:rsidRDefault="00AA273D" w:rsidP="00AA273D">
      <w:pPr>
        <w:pStyle w:val="Default"/>
        <w:ind w:left="1134" w:hanging="1134"/>
        <w:jc w:val="both"/>
        <w:rPr>
          <w:sz w:val="22"/>
          <w:szCs w:val="22"/>
          <w:lang w:val="es-CR"/>
        </w:rPr>
      </w:pPr>
      <w:r w:rsidRPr="00652515">
        <w:rPr>
          <w:sz w:val="22"/>
          <w:szCs w:val="22"/>
          <w:lang w:val="es-CR"/>
        </w:rPr>
        <w:t>2.91.0.02</w:t>
      </w:r>
      <w:r w:rsidRPr="00652515">
        <w:rPr>
          <w:sz w:val="22"/>
          <w:szCs w:val="22"/>
          <w:lang w:val="es-CR"/>
        </w:rPr>
        <w:tab/>
      </w:r>
      <w:r w:rsidR="00315F04" w:rsidRPr="00652515">
        <w:rPr>
          <w:sz w:val="22"/>
          <w:szCs w:val="22"/>
          <w:lang w:val="es-CR"/>
        </w:rPr>
        <w:t xml:space="preserve">Similar información deberá revelarse en los casos que se hubieran producido otras infracciones a las condiciones del préstamo que habiliten al prestamista a reclamar el </w:t>
      </w:r>
      <w:r w:rsidR="000E5DF8" w:rsidRPr="00652515">
        <w:rPr>
          <w:sz w:val="22"/>
          <w:szCs w:val="22"/>
          <w:lang w:val="es-CR"/>
        </w:rPr>
        <w:t>ree</w:t>
      </w:r>
      <w:r w:rsidR="000E5DF8">
        <w:rPr>
          <w:sz w:val="22"/>
          <w:szCs w:val="22"/>
          <w:lang w:val="es-CR"/>
        </w:rPr>
        <w:t>mbo</w:t>
      </w:r>
      <w:r w:rsidR="000E5DF8" w:rsidRPr="00652515">
        <w:rPr>
          <w:sz w:val="22"/>
          <w:szCs w:val="22"/>
          <w:lang w:val="es-CR"/>
        </w:rPr>
        <w:t>lso</w:t>
      </w:r>
      <w:r w:rsidR="00315F04" w:rsidRPr="00652515">
        <w:rPr>
          <w:sz w:val="22"/>
          <w:szCs w:val="22"/>
          <w:lang w:val="es-CR"/>
        </w:rPr>
        <w:t xml:space="preserve"> acelerado, siempre que a la fecha de cierre dichas infracciones no se hubieran corregido o el préstamo no se haya renegociado.</w:t>
      </w:r>
    </w:p>
    <w:p w14:paraId="73A14A64" w14:textId="77777777" w:rsidR="00AA273D" w:rsidRPr="00652515" w:rsidRDefault="00AA273D" w:rsidP="00AA273D">
      <w:pPr>
        <w:pStyle w:val="Default"/>
        <w:ind w:left="709" w:hanging="709"/>
        <w:jc w:val="both"/>
        <w:rPr>
          <w:sz w:val="22"/>
          <w:szCs w:val="22"/>
          <w:lang w:val="es-CR"/>
        </w:rPr>
      </w:pPr>
    </w:p>
    <w:p w14:paraId="0E681163" w14:textId="3175A301" w:rsidR="00315F04" w:rsidRPr="00652515" w:rsidRDefault="00AA273D" w:rsidP="00AA273D">
      <w:pPr>
        <w:pStyle w:val="Default"/>
        <w:ind w:left="1134" w:hanging="1134"/>
        <w:jc w:val="both"/>
        <w:rPr>
          <w:sz w:val="22"/>
          <w:szCs w:val="22"/>
          <w:lang w:val="es-CR"/>
        </w:rPr>
      </w:pPr>
      <w:r w:rsidRPr="00652515">
        <w:rPr>
          <w:sz w:val="22"/>
          <w:szCs w:val="22"/>
          <w:lang w:val="es-CR"/>
        </w:rPr>
        <w:t>2.91.0.03</w:t>
      </w:r>
      <w:r w:rsidRPr="00652515">
        <w:rPr>
          <w:sz w:val="22"/>
          <w:szCs w:val="22"/>
          <w:lang w:val="es-CR"/>
        </w:rPr>
        <w:tab/>
      </w:r>
      <w:r w:rsidR="00315F04" w:rsidRPr="00652515">
        <w:rPr>
          <w:sz w:val="22"/>
          <w:szCs w:val="22"/>
          <w:lang w:val="es-CR"/>
        </w:rPr>
        <w:t xml:space="preserve">La información requerida para incumplimientos en préstamos a pagar, deberá </w:t>
      </w:r>
      <w:r w:rsidR="000E5DF8" w:rsidRPr="00652515">
        <w:rPr>
          <w:sz w:val="22"/>
          <w:szCs w:val="22"/>
          <w:lang w:val="es-CR"/>
        </w:rPr>
        <w:t>ta</w:t>
      </w:r>
      <w:r w:rsidR="000E5DF8">
        <w:rPr>
          <w:sz w:val="22"/>
          <w:szCs w:val="22"/>
          <w:lang w:val="es-CR"/>
        </w:rPr>
        <w:t>mbi</w:t>
      </w:r>
      <w:r w:rsidR="000E5DF8" w:rsidRPr="00652515">
        <w:rPr>
          <w:sz w:val="22"/>
          <w:szCs w:val="22"/>
          <w:lang w:val="es-CR"/>
        </w:rPr>
        <w:t>én</w:t>
      </w:r>
      <w:r w:rsidR="00315F04" w:rsidRPr="00652515">
        <w:rPr>
          <w:sz w:val="22"/>
          <w:szCs w:val="22"/>
          <w:lang w:val="es-CR"/>
        </w:rPr>
        <w:t xml:space="preserve"> presentarse respecto de eventuales incumplimientos en las cuotas de amortización de capital y/o interés de títulos y valores de la deuda pública. </w:t>
      </w:r>
    </w:p>
    <w:p w14:paraId="7971FB8F" w14:textId="77777777" w:rsidR="00315F04" w:rsidRDefault="00315F04" w:rsidP="006167A2">
      <w:pPr>
        <w:pStyle w:val="Default"/>
        <w:ind w:right="261"/>
        <w:jc w:val="both"/>
        <w:rPr>
          <w:sz w:val="22"/>
          <w:szCs w:val="22"/>
          <w:lang w:val="es-CR"/>
        </w:rPr>
      </w:pPr>
    </w:p>
    <w:p w14:paraId="59DA8682" w14:textId="77777777" w:rsidR="00D23BA9" w:rsidRDefault="00D23BA9" w:rsidP="006167A2">
      <w:pPr>
        <w:pStyle w:val="Default"/>
        <w:ind w:right="261"/>
        <w:jc w:val="both"/>
        <w:rPr>
          <w:sz w:val="22"/>
          <w:szCs w:val="22"/>
          <w:lang w:val="es-CR"/>
        </w:rPr>
      </w:pPr>
    </w:p>
    <w:p w14:paraId="1FB96028" w14:textId="77777777" w:rsidR="00D23BA9" w:rsidRDefault="00D23BA9" w:rsidP="006167A2">
      <w:pPr>
        <w:pStyle w:val="Default"/>
        <w:ind w:right="261"/>
        <w:jc w:val="both"/>
        <w:rPr>
          <w:sz w:val="22"/>
          <w:szCs w:val="22"/>
          <w:lang w:val="es-CR"/>
        </w:rPr>
      </w:pPr>
    </w:p>
    <w:p w14:paraId="57740BC0" w14:textId="77777777" w:rsidR="006167A2" w:rsidRPr="00315F04" w:rsidRDefault="006167A2" w:rsidP="006167A2">
      <w:pPr>
        <w:pStyle w:val="Default"/>
        <w:ind w:right="261"/>
        <w:jc w:val="both"/>
        <w:rPr>
          <w:sz w:val="22"/>
          <w:szCs w:val="22"/>
          <w:lang w:val="es-CR"/>
        </w:rPr>
      </w:pPr>
    </w:p>
    <w:p w14:paraId="5176A5AC" w14:textId="154E5726" w:rsidR="00315F04" w:rsidRPr="006167A2" w:rsidRDefault="00315F04" w:rsidP="006167A2">
      <w:pPr>
        <w:pStyle w:val="Ttulo2"/>
        <w:ind w:left="284"/>
        <w:rPr>
          <w:rFonts w:ascii="Arial" w:eastAsia="Arial" w:hAnsi="Arial" w:cs="Arial"/>
          <w:b/>
          <w:bCs/>
          <w:sz w:val="20"/>
          <w:szCs w:val="20"/>
          <w:lang w:val="es-CR"/>
        </w:rPr>
      </w:pPr>
      <w:bookmarkStart w:id="103" w:name="_Toc172726238"/>
      <w:r w:rsidRPr="006167A2">
        <w:rPr>
          <w:rFonts w:ascii="Arial" w:eastAsia="Arial" w:hAnsi="Arial" w:cs="Arial"/>
          <w:b/>
          <w:bCs/>
          <w:sz w:val="20"/>
          <w:szCs w:val="20"/>
          <w:lang w:val="es-CR"/>
        </w:rPr>
        <w:lastRenderedPageBreak/>
        <w:t>Fondos de terceros y en garantía</w:t>
      </w:r>
      <w:bookmarkEnd w:id="103"/>
    </w:p>
    <w:p w14:paraId="0CF84206" w14:textId="77777777" w:rsidR="00315F04" w:rsidRDefault="00315F04" w:rsidP="002A638A">
      <w:pPr>
        <w:pStyle w:val="Default"/>
        <w:spacing w:after="120" w:line="238" w:lineRule="auto"/>
        <w:ind w:right="260"/>
        <w:jc w:val="both"/>
        <w:rPr>
          <w:sz w:val="22"/>
          <w:szCs w:val="22"/>
          <w:lang w:val="es-CR"/>
        </w:rPr>
      </w:pPr>
    </w:p>
    <w:tbl>
      <w:tblPr>
        <w:tblW w:w="9397" w:type="dxa"/>
        <w:tblLook w:val="04A0" w:firstRow="1" w:lastRow="0" w:firstColumn="1" w:lastColumn="0" w:noHBand="0" w:noVBand="1"/>
      </w:tblPr>
      <w:tblGrid>
        <w:gridCol w:w="540"/>
        <w:gridCol w:w="520"/>
        <w:gridCol w:w="520"/>
        <w:gridCol w:w="3740"/>
        <w:gridCol w:w="2183"/>
        <w:gridCol w:w="1888"/>
        <w:gridCol w:w="6"/>
      </w:tblGrid>
      <w:tr w:rsidR="00AA273D" w:rsidRPr="00AA273D" w14:paraId="03CBF57D" w14:textId="77777777" w:rsidTr="00D23BA9">
        <w:trPr>
          <w:trHeight w:val="320"/>
        </w:trPr>
        <w:tc>
          <w:tcPr>
            <w:tcW w:w="15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689D00A" w14:textId="77777777" w:rsidR="00AA273D" w:rsidRPr="00AA273D" w:rsidRDefault="00AA273D" w:rsidP="00AA273D">
            <w:pPr>
              <w:jc w:val="center"/>
              <w:rPr>
                <w:rFonts w:ascii="Arial Narrow" w:eastAsia="Times New Roman" w:hAnsi="Arial Narrow" w:cs="Calibri"/>
                <w:b/>
                <w:bCs/>
                <w:color w:val="FFFFFF"/>
                <w:sz w:val="22"/>
                <w:szCs w:val="22"/>
              </w:rPr>
            </w:pPr>
            <w:r w:rsidRPr="00AA273D">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3FFEC61B" w14:textId="77777777" w:rsidR="00AA273D" w:rsidRPr="00AA273D" w:rsidRDefault="00AA273D" w:rsidP="00AA273D">
            <w:pPr>
              <w:jc w:val="center"/>
              <w:rPr>
                <w:rFonts w:ascii="Arial Narrow" w:eastAsia="Times New Roman" w:hAnsi="Arial Narrow" w:cs="Calibri"/>
                <w:b/>
                <w:bCs/>
                <w:color w:val="FFFFFF"/>
                <w:sz w:val="22"/>
                <w:szCs w:val="22"/>
              </w:rPr>
            </w:pPr>
            <w:r w:rsidRPr="00AA273D">
              <w:rPr>
                <w:rFonts w:ascii="Arial Narrow" w:eastAsia="Times New Roman" w:hAnsi="Arial Narrow" w:cs="Calibri"/>
                <w:b/>
                <w:bCs/>
                <w:color w:val="FFFFFF"/>
                <w:sz w:val="22"/>
                <w:szCs w:val="22"/>
              </w:rPr>
              <w:t>Concepto</w:t>
            </w:r>
          </w:p>
        </w:tc>
        <w:tc>
          <w:tcPr>
            <w:tcW w:w="4077" w:type="dxa"/>
            <w:gridSpan w:val="3"/>
            <w:tcBorders>
              <w:top w:val="nil"/>
              <w:left w:val="nil"/>
              <w:bottom w:val="single" w:sz="8" w:space="0" w:color="auto"/>
              <w:right w:val="single" w:sz="8" w:space="0" w:color="000000"/>
            </w:tcBorders>
            <w:shd w:val="clear" w:color="000000" w:fill="203764"/>
            <w:vAlign w:val="center"/>
            <w:hideMark/>
          </w:tcPr>
          <w:p w14:paraId="2C02D5AC" w14:textId="77777777" w:rsidR="00AA273D" w:rsidRPr="00AA273D" w:rsidRDefault="00AA273D" w:rsidP="00AA273D">
            <w:pPr>
              <w:jc w:val="center"/>
              <w:rPr>
                <w:rFonts w:ascii="Arial Narrow" w:eastAsia="Times New Roman" w:hAnsi="Arial Narrow" w:cs="Calibri"/>
                <w:b/>
                <w:bCs/>
                <w:color w:val="FFFFFF"/>
                <w:sz w:val="22"/>
                <w:szCs w:val="22"/>
              </w:rPr>
            </w:pPr>
            <w:r w:rsidRPr="00AA273D">
              <w:rPr>
                <w:rFonts w:ascii="Arial Narrow" w:eastAsia="Times New Roman" w:hAnsi="Arial Narrow" w:cs="Calibri"/>
                <w:b/>
                <w:bCs/>
                <w:color w:val="FFFFFF"/>
                <w:sz w:val="22"/>
                <w:szCs w:val="22"/>
              </w:rPr>
              <w:t>Referencia</w:t>
            </w:r>
          </w:p>
        </w:tc>
      </w:tr>
      <w:tr w:rsidR="00AA273D" w:rsidRPr="006E5442" w14:paraId="7C84975D" w14:textId="77777777" w:rsidTr="00D23BA9">
        <w:trPr>
          <w:gridAfter w:val="1"/>
          <w:wAfter w:w="6" w:type="dxa"/>
          <w:trHeight w:val="706"/>
        </w:trPr>
        <w:tc>
          <w:tcPr>
            <w:tcW w:w="1580" w:type="dxa"/>
            <w:gridSpan w:val="3"/>
            <w:vMerge/>
            <w:tcBorders>
              <w:top w:val="single" w:sz="8" w:space="0" w:color="auto"/>
              <w:left w:val="single" w:sz="8" w:space="0" w:color="auto"/>
              <w:bottom w:val="nil"/>
              <w:right w:val="single" w:sz="8" w:space="0" w:color="000000"/>
            </w:tcBorders>
            <w:vAlign w:val="center"/>
            <w:hideMark/>
          </w:tcPr>
          <w:p w14:paraId="42957342" w14:textId="77777777" w:rsidR="00AA273D" w:rsidRPr="00AA273D" w:rsidRDefault="00AA273D" w:rsidP="00AA273D">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7A738350" w14:textId="77777777" w:rsidR="00AA273D" w:rsidRPr="00AA273D" w:rsidRDefault="00AA273D" w:rsidP="00AA273D">
            <w:pPr>
              <w:rPr>
                <w:rFonts w:ascii="Arial Narrow" w:eastAsia="Times New Roman" w:hAnsi="Arial Narrow" w:cs="Calibri"/>
                <w:b/>
                <w:bCs/>
                <w:color w:val="FFFFFF"/>
                <w:sz w:val="22"/>
                <w:szCs w:val="22"/>
              </w:rPr>
            </w:pPr>
          </w:p>
        </w:tc>
        <w:tc>
          <w:tcPr>
            <w:tcW w:w="2183" w:type="dxa"/>
            <w:tcBorders>
              <w:top w:val="nil"/>
              <w:left w:val="nil"/>
              <w:bottom w:val="nil"/>
              <w:right w:val="single" w:sz="8" w:space="0" w:color="auto"/>
            </w:tcBorders>
            <w:shd w:val="clear" w:color="000000" w:fill="203764"/>
            <w:vAlign w:val="center"/>
            <w:hideMark/>
          </w:tcPr>
          <w:p w14:paraId="3C819A2F" w14:textId="77777777" w:rsidR="00AA273D" w:rsidRPr="00AA273D" w:rsidRDefault="00AA273D" w:rsidP="00AA273D">
            <w:pPr>
              <w:jc w:val="center"/>
              <w:rPr>
                <w:rFonts w:ascii="Arial Narrow" w:eastAsia="Times New Roman" w:hAnsi="Arial Narrow" w:cs="Calibri"/>
                <w:b/>
                <w:bCs/>
                <w:color w:val="FFFFFF"/>
                <w:sz w:val="22"/>
                <w:szCs w:val="22"/>
              </w:rPr>
            </w:pPr>
            <w:r w:rsidRPr="00AA273D">
              <w:rPr>
                <w:rFonts w:ascii="Arial Narrow" w:eastAsia="Times New Roman" w:hAnsi="Arial Narrow" w:cs="Calibri"/>
                <w:b/>
                <w:bCs/>
                <w:color w:val="FFFFFF"/>
                <w:sz w:val="22"/>
                <w:szCs w:val="22"/>
              </w:rPr>
              <w:t>Norma</w:t>
            </w:r>
          </w:p>
        </w:tc>
        <w:tc>
          <w:tcPr>
            <w:tcW w:w="1888" w:type="dxa"/>
            <w:tcBorders>
              <w:top w:val="nil"/>
              <w:left w:val="nil"/>
              <w:bottom w:val="nil"/>
              <w:right w:val="single" w:sz="8" w:space="0" w:color="auto"/>
            </w:tcBorders>
            <w:shd w:val="clear" w:color="000000" w:fill="203764"/>
            <w:vAlign w:val="center"/>
            <w:hideMark/>
          </w:tcPr>
          <w:p w14:paraId="5304DC4F" w14:textId="77777777" w:rsidR="00AA273D" w:rsidRPr="00AA273D" w:rsidRDefault="00AA273D" w:rsidP="00AA273D">
            <w:pPr>
              <w:jc w:val="center"/>
              <w:rPr>
                <w:rFonts w:ascii="Arial Narrow" w:eastAsia="Times New Roman" w:hAnsi="Arial Narrow" w:cs="Calibri"/>
                <w:b/>
                <w:bCs/>
                <w:color w:val="FFFFFF"/>
                <w:sz w:val="22"/>
                <w:szCs w:val="22"/>
                <w:lang w:val="es-CR"/>
              </w:rPr>
            </w:pPr>
            <w:r w:rsidRPr="00AA273D">
              <w:rPr>
                <w:rFonts w:ascii="Arial Narrow" w:eastAsia="Times New Roman" w:hAnsi="Arial Narrow" w:cs="Calibri"/>
                <w:b/>
                <w:bCs/>
                <w:color w:val="FFFFFF"/>
                <w:sz w:val="22"/>
                <w:szCs w:val="22"/>
                <w:lang w:val="es-CR"/>
              </w:rPr>
              <w:t>Normativa técnica y disposiciones adicionales</w:t>
            </w:r>
          </w:p>
        </w:tc>
      </w:tr>
      <w:tr w:rsidR="00AA273D" w:rsidRPr="00AA273D" w14:paraId="5792ABFA" w14:textId="77777777" w:rsidTr="00D23BA9">
        <w:trPr>
          <w:gridAfter w:val="1"/>
          <w:wAfter w:w="6"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5AFD4BB"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4580CCD8"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92</w:t>
            </w:r>
          </w:p>
        </w:tc>
        <w:tc>
          <w:tcPr>
            <w:tcW w:w="520" w:type="dxa"/>
            <w:tcBorders>
              <w:top w:val="nil"/>
              <w:left w:val="nil"/>
              <w:bottom w:val="single" w:sz="8" w:space="0" w:color="auto"/>
              <w:right w:val="single" w:sz="8" w:space="0" w:color="auto"/>
            </w:tcBorders>
            <w:shd w:val="clear" w:color="auto" w:fill="auto"/>
            <w:vAlign w:val="center"/>
            <w:hideMark/>
          </w:tcPr>
          <w:p w14:paraId="793F5C2C"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0</w:t>
            </w: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0EBFFECC" w14:textId="77777777" w:rsidR="00AA273D" w:rsidRPr="00AA273D" w:rsidRDefault="00AA273D" w:rsidP="00AA273D">
            <w:pPr>
              <w:jc w:val="both"/>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Fondos de terceros</w:t>
            </w:r>
          </w:p>
        </w:tc>
        <w:tc>
          <w:tcPr>
            <w:tcW w:w="2183" w:type="dxa"/>
            <w:tcBorders>
              <w:top w:val="single" w:sz="8" w:space="0" w:color="auto"/>
              <w:left w:val="nil"/>
              <w:bottom w:val="single" w:sz="8" w:space="0" w:color="auto"/>
              <w:right w:val="single" w:sz="8" w:space="0" w:color="auto"/>
            </w:tcBorders>
            <w:shd w:val="clear" w:color="auto" w:fill="auto"/>
            <w:vAlign w:val="center"/>
            <w:hideMark/>
          </w:tcPr>
          <w:p w14:paraId="769E807E" w14:textId="77777777" w:rsidR="00AA273D" w:rsidRPr="00AA273D" w:rsidRDefault="00AA273D" w:rsidP="00AA273D">
            <w:pP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 xml:space="preserve"> </w:t>
            </w:r>
          </w:p>
        </w:tc>
        <w:tc>
          <w:tcPr>
            <w:tcW w:w="1888" w:type="dxa"/>
            <w:tcBorders>
              <w:top w:val="nil"/>
              <w:left w:val="nil"/>
              <w:bottom w:val="single" w:sz="8" w:space="0" w:color="auto"/>
              <w:right w:val="single" w:sz="8" w:space="0" w:color="auto"/>
            </w:tcBorders>
            <w:shd w:val="clear" w:color="auto" w:fill="auto"/>
            <w:vAlign w:val="center"/>
            <w:hideMark/>
          </w:tcPr>
          <w:p w14:paraId="39B45E4E" w14:textId="77777777" w:rsidR="00AA273D" w:rsidRPr="00AA273D" w:rsidRDefault="00AA273D" w:rsidP="00AA273D">
            <w:pPr>
              <w:ind w:firstLineChars="100" w:firstLine="220"/>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DGCN</w:t>
            </w:r>
          </w:p>
        </w:tc>
      </w:tr>
      <w:tr w:rsidR="00AA273D" w:rsidRPr="00AA273D" w14:paraId="2D68B07B" w14:textId="77777777" w:rsidTr="00D23BA9">
        <w:trPr>
          <w:gridAfter w:val="1"/>
          <w:wAfter w:w="6"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30DC8743"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173DEF55"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92</w:t>
            </w:r>
          </w:p>
        </w:tc>
        <w:tc>
          <w:tcPr>
            <w:tcW w:w="520" w:type="dxa"/>
            <w:tcBorders>
              <w:top w:val="nil"/>
              <w:left w:val="nil"/>
              <w:bottom w:val="single" w:sz="8" w:space="0" w:color="auto"/>
              <w:right w:val="single" w:sz="8" w:space="0" w:color="auto"/>
            </w:tcBorders>
            <w:shd w:val="clear" w:color="auto" w:fill="auto"/>
            <w:vAlign w:val="center"/>
            <w:hideMark/>
          </w:tcPr>
          <w:p w14:paraId="3E134920"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04E921C7" w14:textId="77777777" w:rsidR="00AA273D" w:rsidRPr="00AA273D" w:rsidRDefault="00AA273D" w:rsidP="00AA273D">
            <w:pPr>
              <w:jc w:val="both"/>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Características</w:t>
            </w:r>
          </w:p>
        </w:tc>
        <w:tc>
          <w:tcPr>
            <w:tcW w:w="2183" w:type="dxa"/>
            <w:tcBorders>
              <w:top w:val="nil"/>
              <w:left w:val="nil"/>
              <w:bottom w:val="single" w:sz="8" w:space="0" w:color="auto"/>
              <w:right w:val="single" w:sz="8" w:space="0" w:color="auto"/>
            </w:tcBorders>
            <w:shd w:val="clear" w:color="auto" w:fill="auto"/>
            <w:vAlign w:val="center"/>
            <w:hideMark/>
          </w:tcPr>
          <w:p w14:paraId="7EC177E7" w14:textId="77777777" w:rsidR="00AA273D" w:rsidRPr="00AA273D" w:rsidRDefault="00AA273D" w:rsidP="00AA273D">
            <w:pP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 xml:space="preserve"> </w:t>
            </w:r>
          </w:p>
        </w:tc>
        <w:tc>
          <w:tcPr>
            <w:tcW w:w="1888" w:type="dxa"/>
            <w:tcBorders>
              <w:top w:val="nil"/>
              <w:left w:val="nil"/>
              <w:bottom w:val="single" w:sz="8" w:space="0" w:color="auto"/>
              <w:right w:val="single" w:sz="8" w:space="0" w:color="auto"/>
            </w:tcBorders>
            <w:shd w:val="clear" w:color="auto" w:fill="auto"/>
            <w:vAlign w:val="center"/>
            <w:hideMark/>
          </w:tcPr>
          <w:p w14:paraId="5F21C3FD" w14:textId="77777777" w:rsidR="00AA273D" w:rsidRPr="00AA273D" w:rsidRDefault="00AA273D" w:rsidP="00AA273D">
            <w:pPr>
              <w:ind w:firstLineChars="100" w:firstLine="220"/>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DGCN</w:t>
            </w:r>
          </w:p>
        </w:tc>
      </w:tr>
      <w:tr w:rsidR="00AA273D" w:rsidRPr="00AA273D" w14:paraId="030819DD" w14:textId="77777777" w:rsidTr="00D23BA9">
        <w:trPr>
          <w:gridAfter w:val="1"/>
          <w:wAfter w:w="6"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44723EB"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5839C1EA"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92</w:t>
            </w:r>
          </w:p>
        </w:tc>
        <w:tc>
          <w:tcPr>
            <w:tcW w:w="520" w:type="dxa"/>
            <w:tcBorders>
              <w:top w:val="nil"/>
              <w:left w:val="nil"/>
              <w:bottom w:val="single" w:sz="8" w:space="0" w:color="auto"/>
              <w:right w:val="single" w:sz="8" w:space="0" w:color="auto"/>
            </w:tcBorders>
            <w:shd w:val="clear" w:color="auto" w:fill="auto"/>
            <w:vAlign w:val="center"/>
            <w:hideMark/>
          </w:tcPr>
          <w:p w14:paraId="3AD11C27"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0331DE76" w14:textId="77777777" w:rsidR="00AA273D" w:rsidRPr="00AA273D" w:rsidRDefault="00AA273D" w:rsidP="00AA273D">
            <w:pPr>
              <w:jc w:val="both"/>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Exposición y Valuación</w:t>
            </w:r>
          </w:p>
        </w:tc>
        <w:tc>
          <w:tcPr>
            <w:tcW w:w="2183" w:type="dxa"/>
            <w:tcBorders>
              <w:top w:val="nil"/>
              <w:left w:val="nil"/>
              <w:bottom w:val="single" w:sz="8" w:space="0" w:color="auto"/>
              <w:right w:val="single" w:sz="8" w:space="0" w:color="auto"/>
            </w:tcBorders>
            <w:shd w:val="clear" w:color="auto" w:fill="auto"/>
            <w:vAlign w:val="center"/>
            <w:hideMark/>
          </w:tcPr>
          <w:p w14:paraId="2B3003A0" w14:textId="77777777" w:rsidR="00AA273D" w:rsidRPr="00AA273D" w:rsidRDefault="00AA273D" w:rsidP="00AA273D">
            <w:pP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 xml:space="preserve"> </w:t>
            </w:r>
          </w:p>
        </w:tc>
        <w:tc>
          <w:tcPr>
            <w:tcW w:w="1888" w:type="dxa"/>
            <w:tcBorders>
              <w:top w:val="nil"/>
              <w:left w:val="nil"/>
              <w:bottom w:val="single" w:sz="8" w:space="0" w:color="auto"/>
              <w:right w:val="single" w:sz="8" w:space="0" w:color="auto"/>
            </w:tcBorders>
            <w:shd w:val="clear" w:color="auto" w:fill="auto"/>
            <w:vAlign w:val="center"/>
            <w:hideMark/>
          </w:tcPr>
          <w:p w14:paraId="6C07D1CA" w14:textId="77777777" w:rsidR="00AA273D" w:rsidRPr="00AA273D" w:rsidRDefault="00AA273D" w:rsidP="00AA273D">
            <w:pPr>
              <w:ind w:firstLineChars="100" w:firstLine="220"/>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DGCN</w:t>
            </w:r>
          </w:p>
        </w:tc>
      </w:tr>
      <w:tr w:rsidR="00AA273D" w:rsidRPr="00AA273D" w14:paraId="1DFABB86" w14:textId="77777777" w:rsidTr="00D23BA9">
        <w:trPr>
          <w:gridAfter w:val="1"/>
          <w:wAfter w:w="6" w:type="dxa"/>
          <w:trHeight w:val="422"/>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68D4E0EA"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49C5629A"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92</w:t>
            </w:r>
          </w:p>
        </w:tc>
        <w:tc>
          <w:tcPr>
            <w:tcW w:w="520" w:type="dxa"/>
            <w:tcBorders>
              <w:top w:val="nil"/>
              <w:left w:val="nil"/>
              <w:bottom w:val="single" w:sz="8" w:space="0" w:color="auto"/>
              <w:right w:val="single" w:sz="8" w:space="0" w:color="auto"/>
            </w:tcBorders>
            <w:shd w:val="clear" w:color="auto" w:fill="auto"/>
            <w:vAlign w:val="center"/>
            <w:hideMark/>
          </w:tcPr>
          <w:p w14:paraId="34648683" w14:textId="77777777" w:rsidR="00AA273D" w:rsidRPr="00AA273D" w:rsidRDefault="00AA273D" w:rsidP="00AA273D">
            <w:pPr>
              <w:jc w:val="center"/>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0F891DE5" w14:textId="77777777" w:rsidR="00AA273D" w:rsidRPr="00AA273D" w:rsidRDefault="00AA273D" w:rsidP="00AA273D">
            <w:pPr>
              <w:jc w:val="both"/>
              <w:rPr>
                <w:rFonts w:ascii="Arial Narrow" w:eastAsia="Times New Roman" w:hAnsi="Arial Narrow" w:cs="Calibri"/>
                <w:b/>
                <w:bCs/>
                <w:color w:val="000000"/>
                <w:sz w:val="22"/>
                <w:szCs w:val="22"/>
                <w:lang w:val="es-CR"/>
              </w:rPr>
            </w:pPr>
            <w:r w:rsidRPr="00AA273D">
              <w:rPr>
                <w:rFonts w:ascii="Arial Narrow" w:eastAsia="Times New Roman" w:hAnsi="Arial Narrow" w:cs="Calibri"/>
                <w:b/>
                <w:bCs/>
                <w:color w:val="000000"/>
                <w:sz w:val="22"/>
                <w:szCs w:val="22"/>
                <w:lang w:val="es-CR"/>
              </w:rPr>
              <w:t>Garantías recibidas en instrumentos distintos de efectivo</w:t>
            </w:r>
          </w:p>
        </w:tc>
        <w:tc>
          <w:tcPr>
            <w:tcW w:w="2183" w:type="dxa"/>
            <w:tcBorders>
              <w:top w:val="nil"/>
              <w:left w:val="nil"/>
              <w:bottom w:val="single" w:sz="8" w:space="0" w:color="auto"/>
              <w:right w:val="single" w:sz="8" w:space="0" w:color="auto"/>
            </w:tcBorders>
            <w:shd w:val="clear" w:color="auto" w:fill="auto"/>
            <w:vAlign w:val="center"/>
            <w:hideMark/>
          </w:tcPr>
          <w:p w14:paraId="1A4C868D" w14:textId="77777777" w:rsidR="00AA273D" w:rsidRPr="00AA273D" w:rsidRDefault="00AA273D" w:rsidP="00AA273D">
            <w:pPr>
              <w:rPr>
                <w:rFonts w:ascii="Arial Narrow" w:eastAsia="Times New Roman" w:hAnsi="Arial Narrow" w:cs="Calibri"/>
                <w:b/>
                <w:bCs/>
                <w:color w:val="000000"/>
                <w:sz w:val="22"/>
                <w:szCs w:val="22"/>
                <w:lang w:val="es-CR"/>
              </w:rPr>
            </w:pPr>
            <w:r w:rsidRPr="00AA273D">
              <w:rPr>
                <w:rFonts w:ascii="Arial Narrow" w:eastAsia="Times New Roman" w:hAnsi="Arial Narrow" w:cs="Calibri"/>
                <w:b/>
                <w:bCs/>
                <w:color w:val="000000"/>
                <w:sz w:val="22"/>
                <w:szCs w:val="22"/>
                <w:lang w:val="es-CR"/>
              </w:rPr>
              <w:t xml:space="preserve"> </w:t>
            </w:r>
          </w:p>
        </w:tc>
        <w:tc>
          <w:tcPr>
            <w:tcW w:w="1888" w:type="dxa"/>
            <w:tcBorders>
              <w:top w:val="nil"/>
              <w:left w:val="nil"/>
              <w:bottom w:val="single" w:sz="8" w:space="0" w:color="auto"/>
              <w:right w:val="single" w:sz="8" w:space="0" w:color="auto"/>
            </w:tcBorders>
            <w:shd w:val="clear" w:color="auto" w:fill="auto"/>
            <w:vAlign w:val="center"/>
            <w:hideMark/>
          </w:tcPr>
          <w:p w14:paraId="04D29715" w14:textId="77777777" w:rsidR="00AA273D" w:rsidRPr="00AA273D" w:rsidRDefault="00AA273D" w:rsidP="00AA273D">
            <w:pPr>
              <w:ind w:firstLineChars="100" w:firstLine="220"/>
              <w:rPr>
                <w:rFonts w:ascii="Arial Narrow" w:eastAsia="Times New Roman" w:hAnsi="Arial Narrow" w:cs="Calibri"/>
                <w:b/>
                <w:bCs/>
                <w:color w:val="000000"/>
                <w:sz w:val="22"/>
                <w:szCs w:val="22"/>
              </w:rPr>
            </w:pPr>
            <w:r w:rsidRPr="00AA273D">
              <w:rPr>
                <w:rFonts w:ascii="Arial Narrow" w:eastAsia="Times New Roman" w:hAnsi="Arial Narrow" w:cs="Calibri"/>
                <w:b/>
                <w:bCs/>
                <w:color w:val="000000"/>
                <w:sz w:val="22"/>
                <w:szCs w:val="22"/>
              </w:rPr>
              <w:t>DGCN</w:t>
            </w:r>
          </w:p>
        </w:tc>
      </w:tr>
    </w:tbl>
    <w:p w14:paraId="27ABE337" w14:textId="77777777" w:rsidR="00315F04" w:rsidRDefault="00315F04" w:rsidP="00D23BA9">
      <w:pPr>
        <w:pStyle w:val="Default"/>
        <w:ind w:right="261"/>
        <w:jc w:val="both"/>
        <w:rPr>
          <w:sz w:val="22"/>
          <w:szCs w:val="22"/>
          <w:lang w:val="es-CR"/>
        </w:rPr>
      </w:pPr>
    </w:p>
    <w:p w14:paraId="1B19D552" w14:textId="491975DE" w:rsidR="00D23BA9" w:rsidRDefault="00D23BA9" w:rsidP="00D23BA9">
      <w:pPr>
        <w:pStyle w:val="Default"/>
        <w:ind w:right="261"/>
        <w:jc w:val="both"/>
        <w:rPr>
          <w:rFonts w:eastAsia="Arial"/>
          <w:b/>
          <w:sz w:val="22"/>
          <w:szCs w:val="22"/>
        </w:rPr>
      </w:pPr>
      <w:r w:rsidRPr="00F02F9D">
        <w:rPr>
          <w:rFonts w:eastAsia="Arial"/>
          <w:b/>
          <w:sz w:val="22"/>
          <w:szCs w:val="22"/>
        </w:rPr>
        <w:t>Políticas Contables</w:t>
      </w:r>
    </w:p>
    <w:p w14:paraId="7E45959C" w14:textId="77777777" w:rsidR="00D23BA9" w:rsidRDefault="00D23BA9" w:rsidP="00D23BA9">
      <w:pPr>
        <w:pStyle w:val="Default"/>
        <w:ind w:right="261"/>
        <w:jc w:val="both"/>
        <w:rPr>
          <w:sz w:val="22"/>
          <w:szCs w:val="22"/>
          <w:lang w:val="es-CR"/>
        </w:rPr>
      </w:pPr>
    </w:p>
    <w:p w14:paraId="2CF14DFB" w14:textId="1840FDA0" w:rsidR="00AA273D" w:rsidRDefault="00AA273D" w:rsidP="00AA273D">
      <w:pPr>
        <w:pStyle w:val="Default"/>
        <w:ind w:left="1134" w:hanging="1134"/>
        <w:jc w:val="both"/>
        <w:rPr>
          <w:sz w:val="22"/>
          <w:szCs w:val="22"/>
          <w:lang w:val="es-CR"/>
        </w:rPr>
      </w:pPr>
      <w:r>
        <w:rPr>
          <w:sz w:val="22"/>
          <w:szCs w:val="22"/>
          <w:lang w:val="es-CR"/>
        </w:rPr>
        <w:t>2.92.0.01</w:t>
      </w:r>
      <w:r>
        <w:rPr>
          <w:sz w:val="22"/>
          <w:szCs w:val="22"/>
          <w:lang w:val="es-CR"/>
        </w:rPr>
        <w:tab/>
      </w:r>
      <w:r w:rsidRPr="00AA273D">
        <w:rPr>
          <w:sz w:val="22"/>
          <w:szCs w:val="22"/>
          <w:lang w:val="es-CR"/>
        </w:rPr>
        <w:t>Son las obligaciones contraídas por las entidades gubernamentales derivadas de los fondos recaudados por cuenta de terceros o aquellos pasivos resultantes de garantías en cumplimiento de obligaciones generadas por contratos o normas legales.</w:t>
      </w:r>
    </w:p>
    <w:p w14:paraId="31E60444" w14:textId="77777777" w:rsidR="00AA273D" w:rsidRPr="00AA273D" w:rsidRDefault="00AA273D" w:rsidP="00AA273D">
      <w:pPr>
        <w:pStyle w:val="Default"/>
        <w:ind w:left="1134" w:hanging="1134"/>
        <w:jc w:val="both"/>
        <w:rPr>
          <w:sz w:val="22"/>
          <w:szCs w:val="22"/>
          <w:lang w:val="es-CR"/>
        </w:rPr>
      </w:pPr>
    </w:p>
    <w:p w14:paraId="5878D499" w14:textId="3E44506B" w:rsidR="00AA273D" w:rsidRPr="00AA273D" w:rsidRDefault="00AA273D" w:rsidP="00AA273D">
      <w:pPr>
        <w:pStyle w:val="Default"/>
        <w:ind w:left="1134" w:hanging="1134"/>
        <w:jc w:val="both"/>
        <w:rPr>
          <w:sz w:val="22"/>
          <w:szCs w:val="22"/>
          <w:lang w:val="es-CR"/>
        </w:rPr>
      </w:pPr>
      <w:r>
        <w:rPr>
          <w:sz w:val="22"/>
          <w:szCs w:val="22"/>
          <w:lang w:val="es-CR"/>
        </w:rPr>
        <w:t>2.92.1.01</w:t>
      </w:r>
      <w:r>
        <w:rPr>
          <w:sz w:val="22"/>
          <w:szCs w:val="22"/>
          <w:lang w:val="es-CR"/>
        </w:rPr>
        <w:tab/>
      </w:r>
      <w:r w:rsidRPr="00AA273D">
        <w:rPr>
          <w:sz w:val="22"/>
          <w:szCs w:val="22"/>
          <w:lang w:val="es-CR"/>
        </w:rPr>
        <w:t xml:space="preserve">Por sus características, los fondos de terceros representan hechos económico-financieros que no alteran el Patrimonio Neto de la entidad perceptora, que surgen de actividades y/o servicios prestados por la misma y que no implican propiedad de los fondos. </w:t>
      </w:r>
    </w:p>
    <w:p w14:paraId="2E80D16B" w14:textId="77777777" w:rsidR="00AA273D" w:rsidRPr="00AA273D" w:rsidRDefault="00AA273D" w:rsidP="00AA273D">
      <w:pPr>
        <w:pStyle w:val="Default"/>
        <w:ind w:left="1134" w:hanging="1134"/>
        <w:jc w:val="both"/>
        <w:rPr>
          <w:sz w:val="22"/>
          <w:szCs w:val="22"/>
          <w:lang w:val="es-CR"/>
        </w:rPr>
      </w:pPr>
    </w:p>
    <w:p w14:paraId="1EEEB590" w14:textId="5E641565" w:rsidR="00AA273D" w:rsidRPr="00AA273D" w:rsidRDefault="00AA273D" w:rsidP="00AA273D">
      <w:pPr>
        <w:pStyle w:val="Default"/>
        <w:ind w:left="1134" w:hanging="1134"/>
        <w:jc w:val="both"/>
        <w:rPr>
          <w:sz w:val="22"/>
          <w:szCs w:val="22"/>
          <w:lang w:val="es-CR"/>
        </w:rPr>
      </w:pPr>
      <w:r>
        <w:rPr>
          <w:sz w:val="22"/>
          <w:szCs w:val="22"/>
          <w:lang w:val="es-CR"/>
        </w:rPr>
        <w:t>2.92.2.01</w:t>
      </w:r>
      <w:r>
        <w:rPr>
          <w:sz w:val="22"/>
          <w:szCs w:val="22"/>
          <w:lang w:val="es-CR"/>
        </w:rPr>
        <w:tab/>
      </w:r>
      <w:r w:rsidRPr="00AA273D">
        <w:rPr>
          <w:sz w:val="22"/>
          <w:szCs w:val="22"/>
          <w:lang w:val="es-CR"/>
        </w:rPr>
        <w:t xml:space="preserve">Dichos fondos deben estar expresados a sus valores nominales y expuestos claramente en forma separada de los fondos propios de la entidad. </w:t>
      </w:r>
    </w:p>
    <w:p w14:paraId="1A4D64BC" w14:textId="77777777" w:rsidR="00AA273D" w:rsidRPr="00AA273D" w:rsidRDefault="00AA273D" w:rsidP="00AA273D">
      <w:pPr>
        <w:pStyle w:val="Default"/>
        <w:ind w:left="1134" w:hanging="1134"/>
        <w:jc w:val="both"/>
        <w:rPr>
          <w:sz w:val="22"/>
          <w:szCs w:val="22"/>
          <w:lang w:val="es-CR"/>
        </w:rPr>
      </w:pPr>
    </w:p>
    <w:p w14:paraId="261E4CCD" w14:textId="411BD3DE" w:rsidR="00AA273D" w:rsidRPr="00AA273D" w:rsidRDefault="00AA273D" w:rsidP="000B5DDF">
      <w:pPr>
        <w:pStyle w:val="Default"/>
        <w:ind w:left="1134" w:hanging="1134"/>
        <w:jc w:val="both"/>
        <w:rPr>
          <w:sz w:val="22"/>
          <w:szCs w:val="22"/>
          <w:lang w:val="es-CR"/>
        </w:rPr>
      </w:pPr>
      <w:r>
        <w:rPr>
          <w:sz w:val="22"/>
          <w:szCs w:val="22"/>
          <w:lang w:val="es-CR"/>
        </w:rPr>
        <w:t>2.92.3.01</w:t>
      </w:r>
      <w:r>
        <w:rPr>
          <w:sz w:val="22"/>
          <w:szCs w:val="22"/>
          <w:lang w:val="es-CR"/>
        </w:rPr>
        <w:tab/>
      </w:r>
      <w:r w:rsidRPr="00AA273D">
        <w:rPr>
          <w:sz w:val="22"/>
          <w:szCs w:val="22"/>
          <w:lang w:val="es-CR"/>
        </w:rPr>
        <w:t>No se incluyen las garantías recibidas en instrumentos distintos del efectivo, las que sólo serán objeto de revelación y no de reconocimiento, excepto en el caso que</w:t>
      </w:r>
      <w:r w:rsidR="000B5DDF">
        <w:rPr>
          <w:sz w:val="22"/>
          <w:szCs w:val="22"/>
          <w:lang w:val="es-CR"/>
        </w:rPr>
        <w:t xml:space="preserve"> </w:t>
      </w:r>
      <w:r w:rsidRPr="00AA273D">
        <w:rPr>
          <w:sz w:val="22"/>
          <w:szCs w:val="22"/>
          <w:lang w:val="es-CR"/>
        </w:rPr>
        <w:t xml:space="preserve">corresponde ejecutar la garantía, en cuyo momento los instrumentos recibidos pasan a formar parte de los activos de la </w:t>
      </w:r>
      <w:r w:rsidR="000B5DDF">
        <w:rPr>
          <w:sz w:val="22"/>
          <w:szCs w:val="22"/>
          <w:lang w:val="es-CR"/>
        </w:rPr>
        <w:t>Municipalidad</w:t>
      </w:r>
      <w:r w:rsidRPr="00AA273D">
        <w:rPr>
          <w:sz w:val="22"/>
          <w:szCs w:val="22"/>
          <w:lang w:val="es-CR"/>
        </w:rPr>
        <w:t xml:space="preserve">. </w:t>
      </w:r>
    </w:p>
    <w:p w14:paraId="220D5A2D" w14:textId="77777777" w:rsidR="000B5DDF" w:rsidRDefault="000B5DDF" w:rsidP="006167A2">
      <w:pPr>
        <w:pStyle w:val="Default"/>
        <w:ind w:right="261"/>
        <w:jc w:val="both"/>
        <w:rPr>
          <w:sz w:val="22"/>
          <w:szCs w:val="22"/>
          <w:lang w:val="es-CR"/>
        </w:rPr>
      </w:pPr>
    </w:p>
    <w:p w14:paraId="6AFBBE48" w14:textId="77777777" w:rsidR="006167A2" w:rsidRDefault="006167A2" w:rsidP="006167A2">
      <w:pPr>
        <w:pStyle w:val="Default"/>
        <w:ind w:right="261"/>
        <w:jc w:val="both"/>
        <w:rPr>
          <w:sz w:val="22"/>
          <w:szCs w:val="22"/>
          <w:lang w:val="es-CR"/>
        </w:rPr>
      </w:pPr>
    </w:p>
    <w:p w14:paraId="48BC0A0A" w14:textId="4B12BD04" w:rsidR="000B5DDF" w:rsidRPr="006167A2" w:rsidRDefault="000B5DDF" w:rsidP="006167A2">
      <w:pPr>
        <w:pStyle w:val="Ttulo2"/>
        <w:ind w:left="284"/>
        <w:rPr>
          <w:rFonts w:ascii="Arial" w:eastAsia="Arial" w:hAnsi="Arial" w:cs="Arial"/>
          <w:b/>
          <w:bCs/>
          <w:sz w:val="20"/>
          <w:szCs w:val="20"/>
          <w:lang w:val="es-CR"/>
        </w:rPr>
      </w:pPr>
      <w:bookmarkStart w:id="104" w:name="_Toc172726239"/>
      <w:r w:rsidRPr="006167A2">
        <w:rPr>
          <w:rFonts w:ascii="Arial" w:eastAsia="Arial" w:hAnsi="Arial" w:cs="Arial"/>
          <w:b/>
          <w:bCs/>
          <w:sz w:val="20"/>
          <w:szCs w:val="20"/>
          <w:lang w:val="es-CR"/>
        </w:rPr>
        <w:t>Provisiones</w:t>
      </w:r>
      <w:bookmarkEnd w:id="104"/>
    </w:p>
    <w:p w14:paraId="7E609CD7" w14:textId="77777777" w:rsidR="000B5DDF" w:rsidRPr="00AA273D" w:rsidRDefault="000B5DDF" w:rsidP="00AA273D">
      <w:pPr>
        <w:pStyle w:val="Default"/>
        <w:spacing w:after="120" w:line="238" w:lineRule="auto"/>
        <w:ind w:right="260"/>
        <w:jc w:val="both"/>
        <w:rPr>
          <w:sz w:val="22"/>
          <w:szCs w:val="22"/>
          <w:lang w:val="es-CR"/>
        </w:rPr>
      </w:pPr>
    </w:p>
    <w:tbl>
      <w:tblPr>
        <w:tblW w:w="9256" w:type="dxa"/>
        <w:tblLook w:val="04A0" w:firstRow="1" w:lastRow="0" w:firstColumn="1" w:lastColumn="0" w:noHBand="0" w:noVBand="1"/>
      </w:tblPr>
      <w:tblGrid>
        <w:gridCol w:w="645"/>
        <w:gridCol w:w="417"/>
        <w:gridCol w:w="619"/>
        <w:gridCol w:w="3554"/>
        <w:gridCol w:w="2138"/>
        <w:gridCol w:w="1873"/>
        <w:gridCol w:w="10"/>
      </w:tblGrid>
      <w:tr w:rsidR="000B5DDF" w:rsidRPr="000B5DDF" w14:paraId="4DBC4087" w14:textId="77777777" w:rsidTr="00393C79">
        <w:trPr>
          <w:trHeight w:val="320"/>
        </w:trPr>
        <w:tc>
          <w:tcPr>
            <w:tcW w:w="168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4C445BD" w14:textId="77777777" w:rsidR="000B5DDF" w:rsidRPr="000B5DDF" w:rsidRDefault="000B5DDF" w:rsidP="000B5DDF">
            <w:pPr>
              <w:jc w:val="center"/>
              <w:rPr>
                <w:rFonts w:ascii="Arial Narrow" w:eastAsia="Times New Roman" w:hAnsi="Arial Narrow" w:cs="Calibri"/>
                <w:b/>
                <w:bCs/>
                <w:color w:val="FFFFFF"/>
                <w:sz w:val="22"/>
                <w:szCs w:val="22"/>
              </w:rPr>
            </w:pPr>
            <w:r w:rsidRPr="000B5DDF">
              <w:rPr>
                <w:rFonts w:ascii="Arial Narrow" w:eastAsia="Times New Roman" w:hAnsi="Arial Narrow" w:cs="Calibri"/>
                <w:b/>
                <w:bCs/>
                <w:color w:val="FFFFFF"/>
                <w:sz w:val="22"/>
                <w:szCs w:val="22"/>
              </w:rPr>
              <w:t>Norma / Política</w:t>
            </w:r>
          </w:p>
        </w:tc>
        <w:tc>
          <w:tcPr>
            <w:tcW w:w="3554" w:type="dxa"/>
            <w:vMerge w:val="restart"/>
            <w:tcBorders>
              <w:top w:val="single" w:sz="8" w:space="0" w:color="auto"/>
              <w:left w:val="single" w:sz="8" w:space="0" w:color="auto"/>
              <w:bottom w:val="nil"/>
              <w:right w:val="single" w:sz="8" w:space="0" w:color="auto"/>
            </w:tcBorders>
            <w:shd w:val="clear" w:color="000000" w:fill="203764"/>
            <w:vAlign w:val="center"/>
            <w:hideMark/>
          </w:tcPr>
          <w:p w14:paraId="78B403E0" w14:textId="77777777" w:rsidR="000B5DDF" w:rsidRPr="000B5DDF" w:rsidRDefault="000B5DDF" w:rsidP="000B5DDF">
            <w:pPr>
              <w:jc w:val="center"/>
              <w:rPr>
                <w:rFonts w:ascii="Arial Narrow" w:eastAsia="Times New Roman" w:hAnsi="Arial Narrow" w:cs="Calibri"/>
                <w:b/>
                <w:bCs/>
                <w:color w:val="FFFFFF"/>
                <w:sz w:val="22"/>
                <w:szCs w:val="22"/>
              </w:rPr>
            </w:pPr>
            <w:r w:rsidRPr="000B5DDF">
              <w:rPr>
                <w:rFonts w:ascii="Arial Narrow" w:eastAsia="Times New Roman" w:hAnsi="Arial Narrow" w:cs="Calibri"/>
                <w:b/>
                <w:bCs/>
                <w:color w:val="FFFFFF"/>
                <w:sz w:val="22"/>
                <w:szCs w:val="22"/>
              </w:rPr>
              <w:t>Concepto</w:t>
            </w:r>
          </w:p>
        </w:tc>
        <w:tc>
          <w:tcPr>
            <w:tcW w:w="4021" w:type="dxa"/>
            <w:gridSpan w:val="3"/>
            <w:tcBorders>
              <w:top w:val="single" w:sz="8" w:space="0" w:color="auto"/>
              <w:left w:val="nil"/>
              <w:bottom w:val="single" w:sz="8" w:space="0" w:color="auto"/>
              <w:right w:val="single" w:sz="8" w:space="0" w:color="000000"/>
            </w:tcBorders>
            <w:shd w:val="clear" w:color="000000" w:fill="203764"/>
            <w:vAlign w:val="center"/>
            <w:hideMark/>
          </w:tcPr>
          <w:p w14:paraId="2D05ACA0" w14:textId="77777777" w:rsidR="000B5DDF" w:rsidRPr="000B5DDF" w:rsidRDefault="000B5DDF" w:rsidP="000B5DDF">
            <w:pPr>
              <w:jc w:val="center"/>
              <w:rPr>
                <w:rFonts w:ascii="Arial Narrow" w:eastAsia="Times New Roman" w:hAnsi="Arial Narrow" w:cs="Calibri"/>
                <w:b/>
                <w:bCs/>
                <w:color w:val="FFFFFF"/>
                <w:sz w:val="22"/>
                <w:szCs w:val="22"/>
              </w:rPr>
            </w:pPr>
            <w:r w:rsidRPr="000B5DDF">
              <w:rPr>
                <w:rFonts w:ascii="Arial Narrow" w:eastAsia="Times New Roman" w:hAnsi="Arial Narrow" w:cs="Calibri"/>
                <w:b/>
                <w:bCs/>
                <w:color w:val="FFFFFF"/>
                <w:sz w:val="22"/>
                <w:szCs w:val="22"/>
              </w:rPr>
              <w:t>Referencia</w:t>
            </w:r>
          </w:p>
        </w:tc>
      </w:tr>
      <w:tr w:rsidR="000B5DDF" w:rsidRPr="006E5442" w14:paraId="6E0389F1" w14:textId="77777777" w:rsidTr="00393C79">
        <w:trPr>
          <w:gridAfter w:val="1"/>
          <w:wAfter w:w="10" w:type="dxa"/>
          <w:trHeight w:val="832"/>
        </w:trPr>
        <w:tc>
          <w:tcPr>
            <w:tcW w:w="1681" w:type="dxa"/>
            <w:gridSpan w:val="3"/>
            <w:vMerge/>
            <w:tcBorders>
              <w:top w:val="single" w:sz="8" w:space="0" w:color="auto"/>
              <w:left w:val="single" w:sz="8" w:space="0" w:color="auto"/>
              <w:bottom w:val="nil"/>
              <w:right w:val="single" w:sz="8" w:space="0" w:color="000000"/>
            </w:tcBorders>
            <w:vAlign w:val="center"/>
            <w:hideMark/>
          </w:tcPr>
          <w:p w14:paraId="4A04630B" w14:textId="77777777" w:rsidR="000B5DDF" w:rsidRPr="000B5DDF" w:rsidRDefault="000B5DDF" w:rsidP="000B5DDF">
            <w:pPr>
              <w:rPr>
                <w:rFonts w:ascii="Arial Narrow" w:eastAsia="Times New Roman" w:hAnsi="Arial Narrow" w:cs="Calibri"/>
                <w:b/>
                <w:bCs/>
                <w:color w:val="FFFFFF"/>
                <w:sz w:val="22"/>
                <w:szCs w:val="22"/>
              </w:rPr>
            </w:pPr>
          </w:p>
        </w:tc>
        <w:tc>
          <w:tcPr>
            <w:tcW w:w="3554" w:type="dxa"/>
            <w:vMerge/>
            <w:tcBorders>
              <w:top w:val="single" w:sz="8" w:space="0" w:color="auto"/>
              <w:left w:val="single" w:sz="8" w:space="0" w:color="auto"/>
              <w:bottom w:val="nil"/>
              <w:right w:val="single" w:sz="8" w:space="0" w:color="auto"/>
            </w:tcBorders>
            <w:vAlign w:val="center"/>
            <w:hideMark/>
          </w:tcPr>
          <w:p w14:paraId="25587B55" w14:textId="77777777" w:rsidR="000B5DDF" w:rsidRPr="000B5DDF" w:rsidRDefault="000B5DDF" w:rsidP="000B5DDF">
            <w:pPr>
              <w:rPr>
                <w:rFonts w:ascii="Arial Narrow" w:eastAsia="Times New Roman" w:hAnsi="Arial Narrow" w:cs="Calibri"/>
                <w:b/>
                <w:bCs/>
                <w:color w:val="FFFFFF"/>
                <w:sz w:val="22"/>
                <w:szCs w:val="22"/>
              </w:rPr>
            </w:pPr>
          </w:p>
        </w:tc>
        <w:tc>
          <w:tcPr>
            <w:tcW w:w="2138" w:type="dxa"/>
            <w:tcBorders>
              <w:top w:val="nil"/>
              <w:left w:val="nil"/>
              <w:bottom w:val="nil"/>
              <w:right w:val="single" w:sz="8" w:space="0" w:color="auto"/>
            </w:tcBorders>
            <w:shd w:val="clear" w:color="000000" w:fill="203764"/>
            <w:vAlign w:val="center"/>
            <w:hideMark/>
          </w:tcPr>
          <w:p w14:paraId="4E8039A7" w14:textId="77777777" w:rsidR="000B5DDF" w:rsidRPr="000B5DDF" w:rsidRDefault="000B5DDF" w:rsidP="000B5DDF">
            <w:pPr>
              <w:jc w:val="center"/>
              <w:rPr>
                <w:rFonts w:ascii="Arial Narrow" w:eastAsia="Times New Roman" w:hAnsi="Arial Narrow" w:cs="Calibri"/>
                <w:b/>
                <w:bCs/>
                <w:color w:val="FFFFFF"/>
                <w:sz w:val="22"/>
                <w:szCs w:val="22"/>
              </w:rPr>
            </w:pPr>
            <w:r w:rsidRPr="000B5DDF">
              <w:rPr>
                <w:rFonts w:ascii="Arial Narrow" w:eastAsia="Times New Roman" w:hAnsi="Arial Narrow" w:cs="Calibri"/>
                <w:b/>
                <w:bCs/>
                <w:color w:val="FFFFFF"/>
                <w:sz w:val="22"/>
                <w:szCs w:val="22"/>
              </w:rPr>
              <w:t>Norma</w:t>
            </w:r>
          </w:p>
        </w:tc>
        <w:tc>
          <w:tcPr>
            <w:tcW w:w="1873" w:type="dxa"/>
            <w:tcBorders>
              <w:top w:val="nil"/>
              <w:left w:val="nil"/>
              <w:bottom w:val="nil"/>
              <w:right w:val="single" w:sz="8" w:space="0" w:color="auto"/>
            </w:tcBorders>
            <w:shd w:val="clear" w:color="000000" w:fill="203764"/>
            <w:vAlign w:val="center"/>
            <w:hideMark/>
          </w:tcPr>
          <w:p w14:paraId="2830AA57" w14:textId="77777777" w:rsidR="000B5DDF" w:rsidRPr="000B5DDF" w:rsidRDefault="000B5DDF" w:rsidP="000B5DDF">
            <w:pPr>
              <w:jc w:val="center"/>
              <w:rPr>
                <w:rFonts w:ascii="Arial Narrow" w:eastAsia="Times New Roman" w:hAnsi="Arial Narrow" w:cs="Calibri"/>
                <w:b/>
                <w:bCs/>
                <w:color w:val="FFFFFF"/>
                <w:sz w:val="22"/>
                <w:szCs w:val="22"/>
                <w:lang w:val="es-CR"/>
              </w:rPr>
            </w:pPr>
            <w:r w:rsidRPr="000B5DDF">
              <w:rPr>
                <w:rFonts w:ascii="Arial Narrow" w:eastAsia="Times New Roman" w:hAnsi="Arial Narrow" w:cs="Calibri"/>
                <w:b/>
                <w:bCs/>
                <w:color w:val="FFFFFF"/>
                <w:sz w:val="22"/>
                <w:szCs w:val="22"/>
                <w:lang w:val="es-CR"/>
              </w:rPr>
              <w:t>Normativa técnica y disposiciones adicionales</w:t>
            </w:r>
          </w:p>
        </w:tc>
      </w:tr>
      <w:tr w:rsidR="000B5DDF" w:rsidRPr="000B5DDF" w14:paraId="2ED6AA09" w14:textId="77777777" w:rsidTr="00393C79">
        <w:trPr>
          <w:gridAfter w:val="1"/>
          <w:wAfter w:w="10" w:type="dxa"/>
          <w:trHeight w:val="448"/>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CFE78D" w14:textId="77777777" w:rsidR="000B5DDF" w:rsidRPr="000B5DDF" w:rsidRDefault="000B5DDF" w:rsidP="000B5DDF">
            <w:pPr>
              <w:jc w:val="center"/>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7AF2CF94" w14:textId="77777777" w:rsidR="000B5DDF" w:rsidRPr="000B5DDF" w:rsidRDefault="000B5DDF" w:rsidP="000B5DDF">
            <w:pPr>
              <w:jc w:val="center"/>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93</w:t>
            </w:r>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50126C48" w14:textId="19F3B72B" w:rsidR="000B5DDF" w:rsidRPr="000B5DDF" w:rsidRDefault="000B5DDF" w:rsidP="000B5DDF">
            <w:pPr>
              <w:jc w:val="center"/>
              <w:rPr>
                <w:rFonts w:ascii="Arial Narrow" w:eastAsia="Times New Roman" w:hAnsi="Arial Narrow" w:cs="Calibri"/>
                <w:b/>
                <w:bCs/>
                <w:color w:val="000000"/>
                <w:sz w:val="22"/>
                <w:szCs w:val="22"/>
              </w:rPr>
            </w:pPr>
          </w:p>
        </w:tc>
        <w:tc>
          <w:tcPr>
            <w:tcW w:w="3554" w:type="dxa"/>
            <w:tcBorders>
              <w:top w:val="single" w:sz="8" w:space="0" w:color="auto"/>
              <w:left w:val="nil"/>
              <w:bottom w:val="single" w:sz="8" w:space="0" w:color="auto"/>
              <w:right w:val="single" w:sz="8" w:space="0" w:color="auto"/>
            </w:tcBorders>
            <w:shd w:val="clear" w:color="auto" w:fill="auto"/>
            <w:vAlign w:val="center"/>
            <w:hideMark/>
          </w:tcPr>
          <w:p w14:paraId="6DD0E863" w14:textId="77777777" w:rsidR="000B5DDF" w:rsidRPr="000B5DDF" w:rsidRDefault="000B5DDF" w:rsidP="000B5DDF">
            <w:pPr>
              <w:jc w:val="both"/>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Provisiones</w:t>
            </w:r>
          </w:p>
        </w:tc>
        <w:tc>
          <w:tcPr>
            <w:tcW w:w="2138" w:type="dxa"/>
            <w:tcBorders>
              <w:top w:val="single" w:sz="8" w:space="0" w:color="auto"/>
              <w:left w:val="nil"/>
              <w:bottom w:val="single" w:sz="8" w:space="0" w:color="auto"/>
              <w:right w:val="single" w:sz="8" w:space="0" w:color="auto"/>
            </w:tcBorders>
            <w:shd w:val="clear" w:color="auto" w:fill="auto"/>
            <w:vAlign w:val="center"/>
            <w:hideMark/>
          </w:tcPr>
          <w:p w14:paraId="518E5794" w14:textId="77777777" w:rsidR="006167A2" w:rsidRDefault="000B5DDF" w:rsidP="000B5DDF">
            <w:pPr>
              <w:jc w:val="both"/>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 xml:space="preserve">NICSP N° 19, </w:t>
            </w:r>
          </w:p>
          <w:p w14:paraId="026FFCD4" w14:textId="6BDE7DD5" w:rsidR="000B5DDF" w:rsidRPr="000B5DDF" w:rsidRDefault="000B5DDF" w:rsidP="000B5DDF">
            <w:pPr>
              <w:jc w:val="both"/>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Párrafos 18 y 19.</w:t>
            </w:r>
          </w:p>
        </w:tc>
        <w:tc>
          <w:tcPr>
            <w:tcW w:w="1873" w:type="dxa"/>
            <w:tcBorders>
              <w:top w:val="single" w:sz="8" w:space="0" w:color="auto"/>
              <w:left w:val="nil"/>
              <w:bottom w:val="single" w:sz="8" w:space="0" w:color="auto"/>
              <w:right w:val="single" w:sz="8" w:space="0" w:color="auto"/>
            </w:tcBorders>
            <w:shd w:val="clear" w:color="auto" w:fill="auto"/>
            <w:vAlign w:val="center"/>
            <w:hideMark/>
          </w:tcPr>
          <w:p w14:paraId="1D4302FF" w14:textId="77777777" w:rsidR="000B5DDF" w:rsidRPr="000B5DDF" w:rsidRDefault="000B5DDF" w:rsidP="000B5DDF">
            <w:pPr>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 xml:space="preserve"> </w:t>
            </w:r>
          </w:p>
        </w:tc>
      </w:tr>
    </w:tbl>
    <w:p w14:paraId="3D457D2B" w14:textId="77777777" w:rsidR="00AA273D" w:rsidRDefault="00AA273D" w:rsidP="00393C79">
      <w:pPr>
        <w:pStyle w:val="Default"/>
        <w:ind w:right="261"/>
        <w:jc w:val="both"/>
        <w:rPr>
          <w:sz w:val="22"/>
          <w:szCs w:val="22"/>
          <w:lang w:val="es-CR"/>
        </w:rPr>
      </w:pPr>
    </w:p>
    <w:p w14:paraId="1619FF18" w14:textId="57B316D3" w:rsidR="00393C79" w:rsidRDefault="00393C79" w:rsidP="00393C79">
      <w:pPr>
        <w:pStyle w:val="Default"/>
        <w:ind w:right="261"/>
        <w:jc w:val="both"/>
        <w:rPr>
          <w:rFonts w:eastAsia="Arial"/>
          <w:b/>
          <w:sz w:val="22"/>
          <w:szCs w:val="22"/>
        </w:rPr>
      </w:pPr>
      <w:r w:rsidRPr="00F02F9D">
        <w:rPr>
          <w:rFonts w:eastAsia="Arial"/>
          <w:b/>
          <w:sz w:val="22"/>
          <w:szCs w:val="22"/>
        </w:rPr>
        <w:t>Política Contable</w:t>
      </w:r>
    </w:p>
    <w:p w14:paraId="6720D607" w14:textId="77777777" w:rsidR="00393C79" w:rsidRPr="00AA273D" w:rsidRDefault="00393C79" w:rsidP="00393C79">
      <w:pPr>
        <w:pStyle w:val="Default"/>
        <w:ind w:right="261"/>
        <w:jc w:val="both"/>
        <w:rPr>
          <w:sz w:val="22"/>
          <w:szCs w:val="22"/>
          <w:lang w:val="es-CR"/>
        </w:rPr>
      </w:pPr>
    </w:p>
    <w:p w14:paraId="77CD9F0C" w14:textId="2C1DAF7F" w:rsidR="00AA273D" w:rsidRDefault="000B5DDF" w:rsidP="000B5DDF">
      <w:pPr>
        <w:pStyle w:val="Default"/>
        <w:spacing w:after="120" w:line="238" w:lineRule="auto"/>
        <w:ind w:left="1134" w:right="260" w:hanging="1134"/>
        <w:jc w:val="both"/>
        <w:rPr>
          <w:sz w:val="22"/>
          <w:szCs w:val="22"/>
          <w:lang w:val="es-CR"/>
        </w:rPr>
      </w:pPr>
      <w:r>
        <w:rPr>
          <w:sz w:val="22"/>
          <w:szCs w:val="22"/>
          <w:lang w:val="es-CR"/>
        </w:rPr>
        <w:t>2.93.0.01</w:t>
      </w:r>
      <w:r>
        <w:rPr>
          <w:sz w:val="22"/>
          <w:szCs w:val="22"/>
          <w:lang w:val="es-CR"/>
        </w:rPr>
        <w:tab/>
      </w:r>
      <w:r w:rsidRPr="000B5DDF">
        <w:rPr>
          <w:sz w:val="22"/>
          <w:szCs w:val="22"/>
          <w:lang w:val="es-CR"/>
        </w:rPr>
        <w:t xml:space="preserve">Una provisión es un pasivo respecto del cual existe </w:t>
      </w:r>
      <w:r w:rsidR="000E5DF8" w:rsidRPr="000B5DDF">
        <w:rPr>
          <w:sz w:val="22"/>
          <w:szCs w:val="22"/>
          <w:lang w:val="es-CR"/>
        </w:rPr>
        <w:t>incertidu</w:t>
      </w:r>
      <w:r w:rsidR="000E5DF8">
        <w:rPr>
          <w:sz w:val="22"/>
          <w:szCs w:val="22"/>
          <w:lang w:val="es-CR"/>
        </w:rPr>
        <w:t>mbr</w:t>
      </w:r>
      <w:r w:rsidR="000E5DF8" w:rsidRPr="000B5DDF">
        <w:rPr>
          <w:sz w:val="22"/>
          <w:szCs w:val="22"/>
          <w:lang w:val="es-CR"/>
        </w:rPr>
        <w:t>e</w:t>
      </w:r>
      <w:r w:rsidRPr="000B5DDF">
        <w:rPr>
          <w:sz w:val="22"/>
          <w:szCs w:val="22"/>
          <w:lang w:val="es-CR"/>
        </w:rPr>
        <w:t xml:space="preserve"> acerca del momento de su vencimiento y/o de la cuantía de los </w:t>
      </w:r>
      <w:r w:rsidR="000E5DF8" w:rsidRPr="000B5DDF">
        <w:rPr>
          <w:sz w:val="22"/>
          <w:szCs w:val="22"/>
          <w:lang w:val="es-CR"/>
        </w:rPr>
        <w:t>dese</w:t>
      </w:r>
      <w:r w:rsidR="000E5DF8">
        <w:rPr>
          <w:sz w:val="22"/>
          <w:szCs w:val="22"/>
          <w:lang w:val="es-CR"/>
        </w:rPr>
        <w:t>mbo</w:t>
      </w:r>
      <w:r w:rsidR="000E5DF8" w:rsidRPr="000B5DDF">
        <w:rPr>
          <w:sz w:val="22"/>
          <w:szCs w:val="22"/>
          <w:lang w:val="es-CR"/>
        </w:rPr>
        <w:t>lsos</w:t>
      </w:r>
      <w:r w:rsidRPr="000B5DDF">
        <w:rPr>
          <w:sz w:val="22"/>
          <w:szCs w:val="22"/>
          <w:lang w:val="es-CR"/>
        </w:rPr>
        <w:t xml:space="preserve"> futuros necesarios para proceder a su cancelación. En razón de dicha </w:t>
      </w:r>
      <w:r w:rsidR="000E5DF8" w:rsidRPr="000B5DDF">
        <w:rPr>
          <w:sz w:val="22"/>
          <w:szCs w:val="22"/>
          <w:lang w:val="es-CR"/>
        </w:rPr>
        <w:t>incertidu</w:t>
      </w:r>
      <w:r w:rsidR="000E5DF8">
        <w:rPr>
          <w:sz w:val="22"/>
          <w:szCs w:val="22"/>
          <w:lang w:val="es-CR"/>
        </w:rPr>
        <w:t>mbr</w:t>
      </w:r>
      <w:r w:rsidR="000E5DF8" w:rsidRPr="000B5DDF">
        <w:rPr>
          <w:sz w:val="22"/>
          <w:szCs w:val="22"/>
          <w:lang w:val="es-CR"/>
        </w:rPr>
        <w:t>e</w:t>
      </w:r>
      <w:r w:rsidRPr="000B5DDF">
        <w:rPr>
          <w:sz w:val="22"/>
          <w:szCs w:val="22"/>
          <w:lang w:val="es-CR"/>
        </w:rPr>
        <w:t>, las provisiones son objeto de estimación.</w:t>
      </w:r>
    </w:p>
    <w:p w14:paraId="4BB4EB4E" w14:textId="77777777" w:rsidR="00393C79" w:rsidRDefault="00393C79" w:rsidP="000B5DDF">
      <w:pPr>
        <w:pStyle w:val="Default"/>
        <w:spacing w:after="120" w:line="238" w:lineRule="auto"/>
        <w:ind w:left="1134" w:right="260" w:hanging="1134"/>
        <w:jc w:val="both"/>
        <w:rPr>
          <w:sz w:val="22"/>
          <w:szCs w:val="22"/>
          <w:lang w:val="es-CR"/>
        </w:rPr>
      </w:pPr>
    </w:p>
    <w:p w14:paraId="6F4FF1A8" w14:textId="77777777" w:rsidR="00393C79" w:rsidRPr="000B5DDF" w:rsidRDefault="00393C79" w:rsidP="000B5DDF">
      <w:pPr>
        <w:pStyle w:val="Default"/>
        <w:spacing w:after="120" w:line="238" w:lineRule="auto"/>
        <w:ind w:left="1134" w:right="260" w:hanging="1134"/>
        <w:jc w:val="both"/>
        <w:rPr>
          <w:sz w:val="22"/>
          <w:szCs w:val="22"/>
          <w:lang w:val="es-CR"/>
        </w:rPr>
      </w:pPr>
    </w:p>
    <w:p w14:paraId="21ADB857" w14:textId="77777777" w:rsidR="00AA273D" w:rsidRPr="00AA273D" w:rsidRDefault="00AA273D" w:rsidP="00AA273D">
      <w:pPr>
        <w:pStyle w:val="Default"/>
        <w:spacing w:after="120" w:line="238" w:lineRule="auto"/>
        <w:ind w:right="260"/>
        <w:jc w:val="both"/>
        <w:rPr>
          <w:sz w:val="22"/>
          <w:szCs w:val="22"/>
          <w:lang w:val="es-CR"/>
        </w:rPr>
      </w:pPr>
    </w:p>
    <w:tbl>
      <w:tblPr>
        <w:tblW w:w="9385" w:type="dxa"/>
        <w:tblLook w:val="04A0" w:firstRow="1" w:lastRow="0" w:firstColumn="1" w:lastColumn="0" w:noHBand="0" w:noVBand="1"/>
      </w:tblPr>
      <w:tblGrid>
        <w:gridCol w:w="644"/>
        <w:gridCol w:w="417"/>
        <w:gridCol w:w="619"/>
        <w:gridCol w:w="3687"/>
        <w:gridCol w:w="1994"/>
        <w:gridCol w:w="2014"/>
        <w:gridCol w:w="10"/>
      </w:tblGrid>
      <w:tr w:rsidR="000B5DDF" w:rsidRPr="000B5DDF" w14:paraId="6558099C" w14:textId="77777777" w:rsidTr="00393C79">
        <w:trPr>
          <w:trHeight w:val="320"/>
        </w:trPr>
        <w:tc>
          <w:tcPr>
            <w:tcW w:w="16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4BDDB42" w14:textId="77777777" w:rsidR="000B5DDF" w:rsidRPr="000B5DDF" w:rsidRDefault="000B5DDF" w:rsidP="00D16719">
            <w:pPr>
              <w:jc w:val="center"/>
              <w:rPr>
                <w:rFonts w:ascii="Arial Narrow" w:eastAsia="Times New Roman" w:hAnsi="Arial Narrow" w:cs="Calibri"/>
                <w:b/>
                <w:bCs/>
                <w:color w:val="FFFFFF"/>
                <w:sz w:val="22"/>
                <w:szCs w:val="22"/>
              </w:rPr>
            </w:pPr>
            <w:r w:rsidRPr="000B5DDF">
              <w:rPr>
                <w:rFonts w:ascii="Arial Narrow" w:eastAsia="Times New Roman" w:hAnsi="Arial Narrow" w:cs="Calibri"/>
                <w:b/>
                <w:bCs/>
                <w:color w:val="FFFFFF"/>
                <w:sz w:val="22"/>
                <w:szCs w:val="22"/>
              </w:rPr>
              <w:lastRenderedPageBreak/>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7291373C" w14:textId="77777777" w:rsidR="000B5DDF" w:rsidRPr="000B5DDF" w:rsidRDefault="000B5DDF" w:rsidP="00D16719">
            <w:pPr>
              <w:jc w:val="center"/>
              <w:rPr>
                <w:rFonts w:ascii="Arial Narrow" w:eastAsia="Times New Roman" w:hAnsi="Arial Narrow" w:cs="Calibri"/>
                <w:b/>
                <w:bCs/>
                <w:color w:val="FFFFFF"/>
                <w:sz w:val="22"/>
                <w:szCs w:val="22"/>
              </w:rPr>
            </w:pPr>
            <w:r w:rsidRPr="000B5DDF">
              <w:rPr>
                <w:rFonts w:ascii="Arial Narrow" w:eastAsia="Times New Roman" w:hAnsi="Arial Narrow" w:cs="Calibri"/>
                <w:b/>
                <w:bCs/>
                <w:color w:val="FFFFFF"/>
                <w:sz w:val="22"/>
                <w:szCs w:val="22"/>
              </w:rPr>
              <w:t>Concepto</w:t>
            </w:r>
          </w:p>
        </w:tc>
        <w:tc>
          <w:tcPr>
            <w:tcW w:w="4018" w:type="dxa"/>
            <w:gridSpan w:val="3"/>
            <w:tcBorders>
              <w:top w:val="single" w:sz="8" w:space="0" w:color="auto"/>
              <w:left w:val="nil"/>
              <w:bottom w:val="single" w:sz="8" w:space="0" w:color="auto"/>
              <w:right w:val="single" w:sz="8" w:space="0" w:color="000000"/>
            </w:tcBorders>
            <w:shd w:val="clear" w:color="000000" w:fill="203764"/>
            <w:vAlign w:val="center"/>
            <w:hideMark/>
          </w:tcPr>
          <w:p w14:paraId="4800E4D8" w14:textId="77777777" w:rsidR="000B5DDF" w:rsidRPr="000B5DDF" w:rsidRDefault="000B5DDF" w:rsidP="00D16719">
            <w:pPr>
              <w:jc w:val="center"/>
              <w:rPr>
                <w:rFonts w:ascii="Arial Narrow" w:eastAsia="Times New Roman" w:hAnsi="Arial Narrow" w:cs="Calibri"/>
                <w:b/>
                <w:bCs/>
                <w:color w:val="FFFFFF"/>
                <w:sz w:val="22"/>
                <w:szCs w:val="22"/>
              </w:rPr>
            </w:pPr>
            <w:r w:rsidRPr="000B5DDF">
              <w:rPr>
                <w:rFonts w:ascii="Arial Narrow" w:eastAsia="Times New Roman" w:hAnsi="Arial Narrow" w:cs="Calibri"/>
                <w:b/>
                <w:bCs/>
                <w:color w:val="FFFFFF"/>
                <w:sz w:val="22"/>
                <w:szCs w:val="22"/>
              </w:rPr>
              <w:t>Referencia</w:t>
            </w:r>
          </w:p>
        </w:tc>
      </w:tr>
      <w:tr w:rsidR="000B5DDF" w:rsidRPr="006E5442" w14:paraId="05805F67" w14:textId="77777777" w:rsidTr="00393C79">
        <w:trPr>
          <w:gridAfter w:val="1"/>
          <w:wAfter w:w="10" w:type="dxa"/>
          <w:trHeight w:val="827"/>
        </w:trPr>
        <w:tc>
          <w:tcPr>
            <w:tcW w:w="1680" w:type="dxa"/>
            <w:gridSpan w:val="3"/>
            <w:vMerge/>
            <w:tcBorders>
              <w:top w:val="single" w:sz="8" w:space="0" w:color="auto"/>
              <w:left w:val="single" w:sz="8" w:space="0" w:color="auto"/>
              <w:bottom w:val="nil"/>
              <w:right w:val="single" w:sz="8" w:space="0" w:color="000000"/>
            </w:tcBorders>
            <w:vAlign w:val="center"/>
            <w:hideMark/>
          </w:tcPr>
          <w:p w14:paraId="7D758906" w14:textId="77777777" w:rsidR="000B5DDF" w:rsidRPr="000B5DDF" w:rsidRDefault="000B5DDF" w:rsidP="00D16719">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2116A5D7" w14:textId="77777777" w:rsidR="000B5DDF" w:rsidRPr="000B5DDF" w:rsidRDefault="000B5DDF" w:rsidP="00D16719">
            <w:pPr>
              <w:rPr>
                <w:rFonts w:ascii="Arial Narrow" w:eastAsia="Times New Roman" w:hAnsi="Arial Narrow" w:cs="Calibri"/>
                <w:b/>
                <w:bCs/>
                <w:color w:val="FFFFFF"/>
                <w:sz w:val="22"/>
                <w:szCs w:val="22"/>
              </w:rPr>
            </w:pPr>
          </w:p>
        </w:tc>
        <w:tc>
          <w:tcPr>
            <w:tcW w:w="1994" w:type="dxa"/>
            <w:tcBorders>
              <w:top w:val="nil"/>
              <w:left w:val="nil"/>
              <w:bottom w:val="nil"/>
              <w:right w:val="single" w:sz="8" w:space="0" w:color="auto"/>
            </w:tcBorders>
            <w:shd w:val="clear" w:color="000000" w:fill="203764"/>
            <w:vAlign w:val="center"/>
            <w:hideMark/>
          </w:tcPr>
          <w:p w14:paraId="7CE4E9EA" w14:textId="77777777" w:rsidR="000B5DDF" w:rsidRPr="000B5DDF" w:rsidRDefault="000B5DDF" w:rsidP="00D16719">
            <w:pPr>
              <w:jc w:val="center"/>
              <w:rPr>
                <w:rFonts w:ascii="Arial Narrow" w:eastAsia="Times New Roman" w:hAnsi="Arial Narrow" w:cs="Calibri"/>
                <w:b/>
                <w:bCs/>
                <w:color w:val="FFFFFF"/>
                <w:sz w:val="22"/>
                <w:szCs w:val="22"/>
              </w:rPr>
            </w:pPr>
            <w:r w:rsidRPr="000B5DDF">
              <w:rPr>
                <w:rFonts w:ascii="Arial Narrow" w:eastAsia="Times New Roman" w:hAnsi="Arial Narrow" w:cs="Calibri"/>
                <w:b/>
                <w:bCs/>
                <w:color w:val="FFFFFF"/>
                <w:sz w:val="22"/>
                <w:szCs w:val="22"/>
              </w:rPr>
              <w:t>Norma</w:t>
            </w:r>
          </w:p>
        </w:tc>
        <w:tc>
          <w:tcPr>
            <w:tcW w:w="2014" w:type="dxa"/>
            <w:tcBorders>
              <w:top w:val="nil"/>
              <w:left w:val="nil"/>
              <w:bottom w:val="nil"/>
              <w:right w:val="single" w:sz="8" w:space="0" w:color="auto"/>
            </w:tcBorders>
            <w:shd w:val="clear" w:color="000000" w:fill="203764"/>
            <w:vAlign w:val="center"/>
            <w:hideMark/>
          </w:tcPr>
          <w:p w14:paraId="74EEBAC7" w14:textId="77777777" w:rsidR="000B5DDF" w:rsidRPr="000B5DDF" w:rsidRDefault="000B5DDF" w:rsidP="00D16719">
            <w:pPr>
              <w:jc w:val="center"/>
              <w:rPr>
                <w:rFonts w:ascii="Arial Narrow" w:eastAsia="Times New Roman" w:hAnsi="Arial Narrow" w:cs="Calibri"/>
                <w:b/>
                <w:bCs/>
                <w:color w:val="FFFFFF"/>
                <w:sz w:val="22"/>
                <w:szCs w:val="22"/>
                <w:lang w:val="es-CR"/>
              </w:rPr>
            </w:pPr>
            <w:r w:rsidRPr="000B5DDF">
              <w:rPr>
                <w:rFonts w:ascii="Arial Narrow" w:eastAsia="Times New Roman" w:hAnsi="Arial Narrow" w:cs="Calibri"/>
                <w:b/>
                <w:bCs/>
                <w:color w:val="FFFFFF"/>
                <w:sz w:val="22"/>
                <w:szCs w:val="22"/>
                <w:lang w:val="es-CR"/>
              </w:rPr>
              <w:t>Normativa técnica y disposiciones adicionales</w:t>
            </w:r>
          </w:p>
        </w:tc>
      </w:tr>
      <w:tr w:rsidR="000B5DDF" w:rsidRPr="000B5DDF" w14:paraId="0DE66E36" w14:textId="77777777" w:rsidTr="00393C79">
        <w:trPr>
          <w:gridAfter w:val="1"/>
          <w:wAfter w:w="10" w:type="dxa"/>
          <w:trHeight w:val="443"/>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D8B6AE" w14:textId="77777777" w:rsidR="000B5DDF" w:rsidRPr="000B5DDF" w:rsidRDefault="000B5DDF" w:rsidP="00D16719">
            <w:pPr>
              <w:jc w:val="center"/>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1CE4F6E6" w14:textId="2C5137FC" w:rsidR="000B5DDF" w:rsidRPr="000B5DDF" w:rsidRDefault="000B5DDF" w:rsidP="00D16719">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94</w:t>
            </w:r>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16E08630" w14:textId="26F26421" w:rsidR="000B5DDF" w:rsidRPr="000B5DDF" w:rsidRDefault="000B5DDF" w:rsidP="00D16719">
            <w:pPr>
              <w:jc w:val="center"/>
              <w:rPr>
                <w:rFonts w:ascii="Arial Narrow" w:eastAsia="Times New Roman" w:hAnsi="Arial Narrow" w:cs="Calibri"/>
                <w:b/>
                <w:bCs/>
                <w:color w:val="000000"/>
                <w:sz w:val="22"/>
                <w:szCs w:val="22"/>
              </w:rPr>
            </w:pP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3E888E7E" w14:textId="6FB250E9" w:rsidR="000B5DDF" w:rsidRPr="000B5DDF" w:rsidRDefault="000B5DDF" w:rsidP="000B5DDF">
            <w:pPr>
              <w:pStyle w:val="Default"/>
              <w:jc w:val="both"/>
              <w:rPr>
                <w:rFonts w:ascii="Arial Narrow" w:hAnsi="Arial Narrow"/>
                <w:sz w:val="22"/>
                <w:szCs w:val="22"/>
              </w:rPr>
            </w:pPr>
            <w:r w:rsidRPr="000B5DDF">
              <w:rPr>
                <w:rFonts w:ascii="Arial Narrow" w:hAnsi="Arial Narrow"/>
                <w:b/>
                <w:bCs/>
                <w:sz w:val="22"/>
                <w:szCs w:val="22"/>
              </w:rPr>
              <w:t xml:space="preserve">Tratamientos particulares </w:t>
            </w:r>
          </w:p>
        </w:tc>
        <w:tc>
          <w:tcPr>
            <w:tcW w:w="1994" w:type="dxa"/>
            <w:tcBorders>
              <w:top w:val="single" w:sz="8" w:space="0" w:color="auto"/>
              <w:left w:val="nil"/>
              <w:bottom w:val="single" w:sz="8" w:space="0" w:color="auto"/>
              <w:right w:val="single" w:sz="8" w:space="0" w:color="auto"/>
            </w:tcBorders>
            <w:shd w:val="clear" w:color="auto" w:fill="auto"/>
            <w:vAlign w:val="center"/>
            <w:hideMark/>
          </w:tcPr>
          <w:p w14:paraId="1AB81741" w14:textId="77777777" w:rsidR="006167A2" w:rsidRDefault="000B5DDF" w:rsidP="00D16719">
            <w:pPr>
              <w:jc w:val="both"/>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 xml:space="preserve">NICSP N° 19, </w:t>
            </w:r>
          </w:p>
          <w:p w14:paraId="17CF5450" w14:textId="06D0FE4A" w:rsidR="000B5DDF" w:rsidRPr="000B5DDF" w:rsidRDefault="000B5DDF" w:rsidP="00D16719">
            <w:pPr>
              <w:jc w:val="both"/>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Párrafo 1.</w:t>
            </w:r>
          </w:p>
        </w:tc>
        <w:tc>
          <w:tcPr>
            <w:tcW w:w="2014" w:type="dxa"/>
            <w:tcBorders>
              <w:top w:val="single" w:sz="8" w:space="0" w:color="auto"/>
              <w:left w:val="nil"/>
              <w:bottom w:val="single" w:sz="8" w:space="0" w:color="auto"/>
              <w:right w:val="single" w:sz="8" w:space="0" w:color="auto"/>
            </w:tcBorders>
            <w:shd w:val="clear" w:color="auto" w:fill="auto"/>
            <w:vAlign w:val="center"/>
            <w:hideMark/>
          </w:tcPr>
          <w:p w14:paraId="07E2410E" w14:textId="77777777" w:rsidR="000B5DDF" w:rsidRPr="000B5DDF" w:rsidRDefault="000B5DDF" w:rsidP="00D16719">
            <w:pPr>
              <w:rPr>
                <w:rFonts w:ascii="Arial Narrow" w:eastAsia="Times New Roman" w:hAnsi="Arial Narrow" w:cs="Calibri"/>
                <w:b/>
                <w:bCs/>
                <w:color w:val="000000"/>
                <w:sz w:val="22"/>
                <w:szCs w:val="22"/>
              </w:rPr>
            </w:pPr>
            <w:r w:rsidRPr="000B5DDF">
              <w:rPr>
                <w:rFonts w:ascii="Arial Narrow" w:eastAsia="Times New Roman" w:hAnsi="Arial Narrow" w:cs="Calibri"/>
                <w:b/>
                <w:bCs/>
                <w:color w:val="000000"/>
                <w:sz w:val="22"/>
                <w:szCs w:val="22"/>
              </w:rPr>
              <w:t xml:space="preserve"> </w:t>
            </w:r>
          </w:p>
        </w:tc>
      </w:tr>
    </w:tbl>
    <w:p w14:paraId="424D1A6D" w14:textId="77777777" w:rsidR="00AA273D" w:rsidRDefault="00AA273D" w:rsidP="00393C79">
      <w:pPr>
        <w:pStyle w:val="Default"/>
        <w:ind w:right="261"/>
        <w:jc w:val="both"/>
        <w:rPr>
          <w:sz w:val="22"/>
          <w:szCs w:val="22"/>
          <w:lang w:val="es-CR"/>
        </w:rPr>
      </w:pPr>
    </w:p>
    <w:p w14:paraId="13671520" w14:textId="7B8FD884" w:rsidR="00393C79" w:rsidRDefault="00393C79" w:rsidP="00393C79">
      <w:pPr>
        <w:pStyle w:val="Default"/>
        <w:ind w:right="261"/>
        <w:jc w:val="both"/>
        <w:rPr>
          <w:rFonts w:eastAsia="Arial"/>
          <w:b/>
          <w:sz w:val="22"/>
          <w:szCs w:val="22"/>
        </w:rPr>
      </w:pPr>
      <w:r w:rsidRPr="00F02F9D">
        <w:rPr>
          <w:rFonts w:eastAsia="Arial"/>
          <w:b/>
          <w:sz w:val="22"/>
          <w:szCs w:val="22"/>
        </w:rPr>
        <w:t>Política Contable</w:t>
      </w:r>
    </w:p>
    <w:p w14:paraId="511B1FBB" w14:textId="77777777" w:rsidR="00393C79" w:rsidRPr="00AA273D" w:rsidRDefault="00393C79" w:rsidP="00393C79">
      <w:pPr>
        <w:pStyle w:val="Default"/>
        <w:ind w:right="261"/>
        <w:jc w:val="both"/>
        <w:rPr>
          <w:sz w:val="22"/>
          <w:szCs w:val="22"/>
          <w:lang w:val="es-CR"/>
        </w:rPr>
      </w:pPr>
    </w:p>
    <w:p w14:paraId="335B23F9" w14:textId="12EA7F56" w:rsidR="000B5DDF" w:rsidRPr="000B5DDF" w:rsidRDefault="000B5DDF" w:rsidP="000B5DDF">
      <w:pPr>
        <w:pStyle w:val="Default"/>
        <w:ind w:left="1134" w:hanging="1134"/>
        <w:jc w:val="both"/>
        <w:rPr>
          <w:sz w:val="22"/>
          <w:szCs w:val="22"/>
          <w:lang w:val="es-CR"/>
        </w:rPr>
      </w:pPr>
      <w:r>
        <w:rPr>
          <w:sz w:val="23"/>
          <w:szCs w:val="23"/>
          <w:lang w:val="es-CR"/>
        </w:rPr>
        <w:t>2.94.0.01</w:t>
      </w:r>
      <w:r>
        <w:rPr>
          <w:sz w:val="23"/>
          <w:szCs w:val="23"/>
          <w:lang w:val="es-CR"/>
        </w:rPr>
        <w:tab/>
      </w:r>
      <w:r w:rsidRPr="000B5DDF">
        <w:rPr>
          <w:sz w:val="23"/>
          <w:szCs w:val="23"/>
          <w:lang w:val="es-CR"/>
        </w:rPr>
        <w:t xml:space="preserve">Las </w:t>
      </w:r>
      <w:r w:rsidRPr="000B5DDF">
        <w:rPr>
          <w:sz w:val="22"/>
          <w:szCs w:val="22"/>
          <w:lang w:val="es-CR"/>
        </w:rPr>
        <w:t>provisiones que se indican a continuación estarán sujetas a los criterios específicos establecidos en el presente PGCN y/o los que oportunamente defina la DGCN:</w:t>
      </w:r>
    </w:p>
    <w:p w14:paraId="28E6880F" w14:textId="77777777" w:rsidR="000B5DDF" w:rsidRPr="000B5DDF" w:rsidRDefault="000B5DDF" w:rsidP="000B5DDF">
      <w:pPr>
        <w:pStyle w:val="Default"/>
        <w:jc w:val="both"/>
        <w:rPr>
          <w:sz w:val="22"/>
          <w:szCs w:val="22"/>
          <w:lang w:val="es-CR"/>
        </w:rPr>
      </w:pPr>
    </w:p>
    <w:p w14:paraId="4A7FE0D7" w14:textId="292B2707" w:rsidR="000B5DDF" w:rsidRPr="000B5DDF" w:rsidRDefault="000B5DDF">
      <w:pPr>
        <w:pStyle w:val="Default"/>
        <w:numPr>
          <w:ilvl w:val="0"/>
          <w:numId w:val="188"/>
        </w:numPr>
        <w:spacing w:after="120"/>
        <w:ind w:left="1418" w:hanging="284"/>
        <w:jc w:val="both"/>
        <w:rPr>
          <w:sz w:val="22"/>
          <w:szCs w:val="22"/>
          <w:lang w:val="es-CR"/>
        </w:rPr>
      </w:pPr>
      <w:r w:rsidRPr="000B5DDF">
        <w:rPr>
          <w:sz w:val="22"/>
          <w:szCs w:val="22"/>
          <w:lang w:val="es-CR"/>
        </w:rPr>
        <w:t xml:space="preserve">Aquéllas que provengan de los beneficios sociales prestados por la entidad, a </w:t>
      </w:r>
      <w:r w:rsidR="000E5DF8" w:rsidRPr="000B5DDF">
        <w:rPr>
          <w:sz w:val="22"/>
          <w:szCs w:val="22"/>
          <w:lang w:val="es-CR"/>
        </w:rPr>
        <w:t>ca</w:t>
      </w:r>
      <w:r w:rsidR="000E5DF8">
        <w:rPr>
          <w:sz w:val="22"/>
          <w:szCs w:val="22"/>
          <w:lang w:val="es-CR"/>
        </w:rPr>
        <w:t>mbi</w:t>
      </w:r>
      <w:r w:rsidR="000E5DF8" w:rsidRPr="000B5DDF">
        <w:rPr>
          <w:sz w:val="22"/>
          <w:szCs w:val="22"/>
          <w:lang w:val="es-CR"/>
        </w:rPr>
        <w:t>o</w:t>
      </w:r>
      <w:r w:rsidRPr="000B5DDF">
        <w:rPr>
          <w:sz w:val="22"/>
          <w:szCs w:val="22"/>
          <w:lang w:val="es-CR"/>
        </w:rPr>
        <w:t xml:space="preserve"> de los cuales ésta no reciba, directamente de los receptores, una contraprestación que sea aproximadamente igual al valor de los bienes y servicios suministrados; </w:t>
      </w:r>
    </w:p>
    <w:p w14:paraId="26E1798D" w14:textId="204FF845" w:rsidR="000B5DDF" w:rsidRPr="000B5DDF" w:rsidRDefault="000B5DDF">
      <w:pPr>
        <w:pStyle w:val="Default"/>
        <w:numPr>
          <w:ilvl w:val="0"/>
          <w:numId w:val="188"/>
        </w:numPr>
        <w:spacing w:after="120"/>
        <w:ind w:left="1418" w:hanging="284"/>
        <w:jc w:val="both"/>
        <w:rPr>
          <w:sz w:val="22"/>
          <w:szCs w:val="22"/>
          <w:lang w:val="es-CR"/>
        </w:rPr>
      </w:pPr>
      <w:r w:rsidRPr="000B5DDF">
        <w:rPr>
          <w:sz w:val="22"/>
          <w:szCs w:val="22"/>
          <w:lang w:val="es-CR"/>
        </w:rPr>
        <w:t xml:space="preserve">Aquéllas que se deriven de contratos pendientes de ejecución, distintos de aquellas en que el contrato sea oneroso y esté sujeto a otras estipulaciones; </w:t>
      </w:r>
    </w:p>
    <w:p w14:paraId="3300E57F" w14:textId="2187A940" w:rsidR="000B5DDF" w:rsidRPr="000B5DDF" w:rsidRDefault="000B5DDF">
      <w:pPr>
        <w:pStyle w:val="Default"/>
        <w:numPr>
          <w:ilvl w:val="0"/>
          <w:numId w:val="188"/>
        </w:numPr>
        <w:spacing w:after="120"/>
        <w:ind w:left="1418" w:hanging="284"/>
        <w:jc w:val="both"/>
        <w:rPr>
          <w:sz w:val="22"/>
          <w:szCs w:val="22"/>
          <w:lang w:val="es-CR"/>
        </w:rPr>
      </w:pPr>
      <w:r w:rsidRPr="000B5DDF">
        <w:rPr>
          <w:sz w:val="22"/>
          <w:szCs w:val="22"/>
          <w:lang w:val="es-CR"/>
        </w:rPr>
        <w:t xml:space="preserve">Aquéllas que aparecen en las entidades de seguros, derivados de las pólizas de los asegurados; y </w:t>
      </w:r>
    </w:p>
    <w:p w14:paraId="447119B8" w14:textId="3A6BD12A" w:rsidR="000B5DDF" w:rsidRPr="000B5DDF" w:rsidRDefault="000B5DDF">
      <w:pPr>
        <w:pStyle w:val="Default"/>
        <w:numPr>
          <w:ilvl w:val="0"/>
          <w:numId w:val="188"/>
        </w:numPr>
        <w:spacing w:after="120"/>
        <w:ind w:left="1418" w:hanging="284"/>
        <w:jc w:val="both"/>
        <w:rPr>
          <w:sz w:val="23"/>
          <w:szCs w:val="23"/>
          <w:lang w:val="es-CR"/>
        </w:rPr>
      </w:pPr>
      <w:r w:rsidRPr="000B5DDF">
        <w:rPr>
          <w:sz w:val="22"/>
          <w:szCs w:val="22"/>
          <w:lang w:val="es-CR"/>
        </w:rPr>
        <w:t>Aquéllas que provengan de los beneficios sociales de los trabajadores, excepto beneficios por cese surgidos como</w:t>
      </w:r>
      <w:r w:rsidRPr="000B5DDF">
        <w:rPr>
          <w:sz w:val="23"/>
          <w:szCs w:val="23"/>
          <w:lang w:val="es-CR"/>
        </w:rPr>
        <w:t xml:space="preserve"> consecuencia de una reestructur</w:t>
      </w:r>
      <w:r w:rsidR="00C13F11">
        <w:rPr>
          <w:sz w:val="23"/>
          <w:szCs w:val="23"/>
          <w:lang w:val="es-CR"/>
        </w:rPr>
        <w:t>ación.</w:t>
      </w:r>
    </w:p>
    <w:p w14:paraId="2B6CEBDA" w14:textId="77777777" w:rsidR="00AA273D" w:rsidRDefault="00AA273D" w:rsidP="006167A2">
      <w:pPr>
        <w:pStyle w:val="Default"/>
        <w:ind w:right="261"/>
        <w:jc w:val="both"/>
        <w:rPr>
          <w:sz w:val="22"/>
          <w:szCs w:val="22"/>
          <w:lang w:val="es-CR"/>
        </w:rPr>
      </w:pPr>
    </w:p>
    <w:p w14:paraId="4ACD472C" w14:textId="77777777" w:rsidR="00315F04" w:rsidRDefault="00315F04" w:rsidP="006167A2">
      <w:pPr>
        <w:pStyle w:val="Default"/>
        <w:ind w:right="261"/>
        <w:jc w:val="both"/>
        <w:rPr>
          <w:sz w:val="22"/>
          <w:szCs w:val="22"/>
          <w:lang w:val="es-CR"/>
        </w:rPr>
      </w:pPr>
    </w:p>
    <w:tbl>
      <w:tblPr>
        <w:tblW w:w="9386" w:type="dxa"/>
        <w:tblLook w:val="04A0" w:firstRow="1" w:lastRow="0" w:firstColumn="1" w:lastColumn="0" w:noHBand="0" w:noVBand="1"/>
      </w:tblPr>
      <w:tblGrid>
        <w:gridCol w:w="643"/>
        <w:gridCol w:w="417"/>
        <w:gridCol w:w="621"/>
        <w:gridCol w:w="3689"/>
        <w:gridCol w:w="2133"/>
        <w:gridCol w:w="1872"/>
        <w:gridCol w:w="11"/>
      </w:tblGrid>
      <w:tr w:rsidR="00A31429" w:rsidRPr="00A31429" w14:paraId="7F14337F" w14:textId="77777777" w:rsidTr="00393C79">
        <w:trPr>
          <w:trHeight w:val="320"/>
        </w:trPr>
        <w:tc>
          <w:tcPr>
            <w:tcW w:w="168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B1FDADB" w14:textId="77777777" w:rsidR="00A31429" w:rsidRPr="00A31429" w:rsidRDefault="00A31429" w:rsidP="00A31429">
            <w:pPr>
              <w:jc w:val="center"/>
              <w:rPr>
                <w:rFonts w:ascii="Arial Narrow" w:eastAsia="Times New Roman" w:hAnsi="Arial Narrow" w:cs="Calibri"/>
                <w:b/>
                <w:bCs/>
                <w:color w:val="FFFFFF"/>
                <w:sz w:val="22"/>
                <w:szCs w:val="22"/>
              </w:rPr>
            </w:pPr>
            <w:r w:rsidRPr="00A31429">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01BCEA3" w14:textId="77777777" w:rsidR="00A31429" w:rsidRPr="00A31429" w:rsidRDefault="00A31429" w:rsidP="00A31429">
            <w:pPr>
              <w:jc w:val="center"/>
              <w:rPr>
                <w:rFonts w:ascii="Arial Narrow" w:eastAsia="Times New Roman" w:hAnsi="Arial Narrow" w:cs="Calibri"/>
                <w:b/>
                <w:bCs/>
                <w:color w:val="FFFFFF"/>
                <w:sz w:val="22"/>
                <w:szCs w:val="22"/>
              </w:rPr>
            </w:pPr>
            <w:r w:rsidRPr="00A31429">
              <w:rPr>
                <w:rFonts w:ascii="Arial Narrow" w:eastAsia="Times New Roman" w:hAnsi="Arial Narrow" w:cs="Calibri"/>
                <w:b/>
                <w:bCs/>
                <w:color w:val="FFFFFF"/>
                <w:sz w:val="22"/>
                <w:szCs w:val="22"/>
              </w:rPr>
              <w:t>Concepto</w:t>
            </w:r>
          </w:p>
        </w:tc>
        <w:tc>
          <w:tcPr>
            <w:tcW w:w="4016" w:type="dxa"/>
            <w:gridSpan w:val="3"/>
            <w:tcBorders>
              <w:top w:val="single" w:sz="8" w:space="0" w:color="auto"/>
              <w:left w:val="nil"/>
              <w:bottom w:val="single" w:sz="8" w:space="0" w:color="auto"/>
              <w:right w:val="single" w:sz="8" w:space="0" w:color="000000"/>
            </w:tcBorders>
            <w:shd w:val="clear" w:color="000000" w:fill="203764"/>
            <w:vAlign w:val="center"/>
            <w:hideMark/>
          </w:tcPr>
          <w:p w14:paraId="35D31D34" w14:textId="77777777" w:rsidR="00A31429" w:rsidRPr="00A31429" w:rsidRDefault="00A31429" w:rsidP="00A31429">
            <w:pPr>
              <w:jc w:val="center"/>
              <w:rPr>
                <w:rFonts w:ascii="Arial Narrow" w:eastAsia="Times New Roman" w:hAnsi="Arial Narrow" w:cs="Calibri"/>
                <w:b/>
                <w:bCs/>
                <w:color w:val="FFFFFF"/>
                <w:sz w:val="22"/>
                <w:szCs w:val="22"/>
              </w:rPr>
            </w:pPr>
            <w:r w:rsidRPr="00A31429">
              <w:rPr>
                <w:rFonts w:ascii="Arial Narrow" w:eastAsia="Times New Roman" w:hAnsi="Arial Narrow" w:cs="Calibri"/>
                <w:b/>
                <w:bCs/>
                <w:color w:val="FFFFFF"/>
                <w:sz w:val="22"/>
                <w:szCs w:val="22"/>
              </w:rPr>
              <w:t>Referencia</w:t>
            </w:r>
          </w:p>
        </w:tc>
      </w:tr>
      <w:tr w:rsidR="00A31429" w:rsidRPr="006E5442" w14:paraId="2ECDCEDE" w14:textId="77777777" w:rsidTr="00393C79">
        <w:trPr>
          <w:gridAfter w:val="1"/>
          <w:wAfter w:w="11" w:type="dxa"/>
          <w:trHeight w:val="881"/>
        </w:trPr>
        <w:tc>
          <w:tcPr>
            <w:tcW w:w="1681" w:type="dxa"/>
            <w:gridSpan w:val="3"/>
            <w:vMerge/>
            <w:tcBorders>
              <w:top w:val="single" w:sz="8" w:space="0" w:color="auto"/>
              <w:left w:val="single" w:sz="8" w:space="0" w:color="auto"/>
              <w:bottom w:val="nil"/>
              <w:right w:val="single" w:sz="8" w:space="0" w:color="000000"/>
            </w:tcBorders>
            <w:vAlign w:val="center"/>
            <w:hideMark/>
          </w:tcPr>
          <w:p w14:paraId="450886A6" w14:textId="77777777" w:rsidR="00A31429" w:rsidRPr="00A31429" w:rsidRDefault="00A31429" w:rsidP="00A31429">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73225D5A" w14:textId="77777777" w:rsidR="00A31429" w:rsidRPr="00A31429" w:rsidRDefault="00A31429" w:rsidP="00A31429">
            <w:pPr>
              <w:rPr>
                <w:rFonts w:ascii="Arial Narrow" w:eastAsia="Times New Roman" w:hAnsi="Arial Narrow" w:cs="Calibri"/>
                <w:b/>
                <w:bCs/>
                <w:color w:val="FFFFFF"/>
                <w:sz w:val="22"/>
                <w:szCs w:val="22"/>
              </w:rPr>
            </w:pPr>
          </w:p>
        </w:tc>
        <w:tc>
          <w:tcPr>
            <w:tcW w:w="2133" w:type="dxa"/>
            <w:tcBorders>
              <w:top w:val="nil"/>
              <w:left w:val="nil"/>
              <w:bottom w:val="nil"/>
              <w:right w:val="single" w:sz="8" w:space="0" w:color="auto"/>
            </w:tcBorders>
            <w:shd w:val="clear" w:color="000000" w:fill="203764"/>
            <w:vAlign w:val="center"/>
            <w:hideMark/>
          </w:tcPr>
          <w:p w14:paraId="086437BD" w14:textId="77777777" w:rsidR="00A31429" w:rsidRPr="00A31429" w:rsidRDefault="00A31429" w:rsidP="00A31429">
            <w:pPr>
              <w:jc w:val="center"/>
              <w:rPr>
                <w:rFonts w:ascii="Arial Narrow" w:eastAsia="Times New Roman" w:hAnsi="Arial Narrow" w:cs="Calibri"/>
                <w:b/>
                <w:bCs/>
                <w:color w:val="FFFFFF"/>
                <w:sz w:val="22"/>
                <w:szCs w:val="22"/>
              </w:rPr>
            </w:pPr>
            <w:r w:rsidRPr="00A31429">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07BB12D3" w14:textId="77777777" w:rsidR="00A31429" w:rsidRPr="00A31429" w:rsidRDefault="00A31429" w:rsidP="00A31429">
            <w:pPr>
              <w:jc w:val="center"/>
              <w:rPr>
                <w:rFonts w:ascii="Arial Narrow" w:eastAsia="Times New Roman" w:hAnsi="Arial Narrow" w:cs="Calibri"/>
                <w:b/>
                <w:bCs/>
                <w:color w:val="FFFFFF"/>
                <w:sz w:val="22"/>
                <w:szCs w:val="22"/>
                <w:lang w:val="es-CR"/>
              </w:rPr>
            </w:pPr>
            <w:r w:rsidRPr="00A31429">
              <w:rPr>
                <w:rFonts w:ascii="Arial Narrow" w:eastAsia="Times New Roman" w:hAnsi="Arial Narrow" w:cs="Calibri"/>
                <w:b/>
                <w:bCs/>
                <w:color w:val="FFFFFF"/>
                <w:sz w:val="22"/>
                <w:szCs w:val="22"/>
                <w:lang w:val="es-CR"/>
              </w:rPr>
              <w:t>Normativa técnica y disposiciones adicionales</w:t>
            </w:r>
          </w:p>
        </w:tc>
      </w:tr>
      <w:tr w:rsidR="00A31429" w:rsidRPr="00A31429" w14:paraId="2B6ADBBA" w14:textId="77777777" w:rsidTr="00393C79">
        <w:trPr>
          <w:gridAfter w:val="1"/>
          <w:wAfter w:w="11" w:type="dxa"/>
          <w:trHeight w:val="533"/>
        </w:trPr>
        <w:tc>
          <w:tcPr>
            <w:tcW w:w="6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85E68D" w14:textId="77777777" w:rsidR="00A31429" w:rsidRPr="00A31429" w:rsidRDefault="00A31429" w:rsidP="00A31429">
            <w:pPr>
              <w:jc w:val="cente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33EA8923" w14:textId="77777777" w:rsidR="00A31429" w:rsidRPr="00A31429" w:rsidRDefault="00A31429" w:rsidP="00A31429">
            <w:pPr>
              <w:jc w:val="cente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95</w:t>
            </w:r>
          </w:p>
        </w:tc>
        <w:tc>
          <w:tcPr>
            <w:tcW w:w="621" w:type="dxa"/>
            <w:tcBorders>
              <w:top w:val="single" w:sz="8" w:space="0" w:color="auto"/>
              <w:left w:val="nil"/>
              <w:bottom w:val="single" w:sz="8" w:space="0" w:color="auto"/>
              <w:right w:val="single" w:sz="8" w:space="0" w:color="auto"/>
            </w:tcBorders>
            <w:shd w:val="clear" w:color="auto" w:fill="auto"/>
            <w:vAlign w:val="center"/>
            <w:hideMark/>
          </w:tcPr>
          <w:p w14:paraId="479BDC5B" w14:textId="5D97E328" w:rsidR="00A31429" w:rsidRPr="00A31429" w:rsidRDefault="00A31429" w:rsidP="00A31429">
            <w:pPr>
              <w:jc w:val="center"/>
              <w:rPr>
                <w:rFonts w:ascii="Arial Narrow" w:eastAsia="Times New Roman" w:hAnsi="Arial Narrow" w:cs="Calibri"/>
                <w:b/>
                <w:bCs/>
                <w:color w:val="000000"/>
                <w:sz w:val="22"/>
                <w:szCs w:val="22"/>
              </w:rPr>
            </w:pP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41616454" w14:textId="77777777" w:rsidR="00A31429" w:rsidRPr="00A31429" w:rsidRDefault="00A31429" w:rsidP="00A31429">
            <w:pPr>
              <w:jc w:val="both"/>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Reconocimiento de una provisión</w:t>
            </w:r>
          </w:p>
        </w:tc>
        <w:tc>
          <w:tcPr>
            <w:tcW w:w="2133" w:type="dxa"/>
            <w:tcBorders>
              <w:top w:val="single" w:sz="8" w:space="0" w:color="auto"/>
              <w:left w:val="nil"/>
              <w:bottom w:val="single" w:sz="8" w:space="0" w:color="auto"/>
              <w:right w:val="single" w:sz="8" w:space="0" w:color="auto"/>
            </w:tcBorders>
            <w:shd w:val="clear" w:color="auto" w:fill="auto"/>
            <w:vAlign w:val="center"/>
            <w:hideMark/>
          </w:tcPr>
          <w:p w14:paraId="10968754" w14:textId="0A8850C5" w:rsidR="00A31429" w:rsidRDefault="00A31429" w:rsidP="00A31429">
            <w:pPr>
              <w:jc w:val="both"/>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NICSP N° 19,</w:t>
            </w:r>
          </w:p>
          <w:p w14:paraId="5052B91D" w14:textId="15A8DF39" w:rsidR="00A31429" w:rsidRPr="00A31429" w:rsidRDefault="00A31429" w:rsidP="00A31429">
            <w:pPr>
              <w:jc w:val="both"/>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Párrafo 22.</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10947C22" w14:textId="77777777" w:rsidR="00A31429" w:rsidRPr="00A31429" w:rsidRDefault="00A31429" w:rsidP="00A31429">
            <w:pP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 xml:space="preserve"> </w:t>
            </w:r>
          </w:p>
        </w:tc>
      </w:tr>
      <w:tr w:rsidR="00A31429" w:rsidRPr="00A31429" w14:paraId="7F7D6DCB" w14:textId="77777777" w:rsidTr="00393C79">
        <w:trPr>
          <w:gridAfter w:val="1"/>
          <w:wAfter w:w="11" w:type="dxa"/>
          <w:trHeight w:val="541"/>
        </w:trPr>
        <w:tc>
          <w:tcPr>
            <w:tcW w:w="643" w:type="dxa"/>
            <w:tcBorders>
              <w:top w:val="nil"/>
              <w:left w:val="single" w:sz="8" w:space="0" w:color="auto"/>
              <w:bottom w:val="single" w:sz="8" w:space="0" w:color="auto"/>
              <w:right w:val="single" w:sz="8" w:space="0" w:color="auto"/>
            </w:tcBorders>
            <w:shd w:val="clear" w:color="auto" w:fill="auto"/>
            <w:vAlign w:val="center"/>
            <w:hideMark/>
          </w:tcPr>
          <w:p w14:paraId="3D7C2AF7" w14:textId="77777777" w:rsidR="00A31429" w:rsidRPr="00A31429" w:rsidRDefault="00A31429" w:rsidP="00A31429">
            <w:pPr>
              <w:jc w:val="cente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2</w:t>
            </w:r>
          </w:p>
        </w:tc>
        <w:tc>
          <w:tcPr>
            <w:tcW w:w="417" w:type="dxa"/>
            <w:tcBorders>
              <w:top w:val="nil"/>
              <w:left w:val="nil"/>
              <w:bottom w:val="single" w:sz="8" w:space="0" w:color="auto"/>
              <w:right w:val="single" w:sz="8" w:space="0" w:color="auto"/>
            </w:tcBorders>
            <w:shd w:val="clear" w:color="auto" w:fill="auto"/>
            <w:noWrap/>
            <w:vAlign w:val="center"/>
            <w:hideMark/>
          </w:tcPr>
          <w:p w14:paraId="5F8908A4" w14:textId="77777777" w:rsidR="00A31429" w:rsidRPr="00A31429" w:rsidRDefault="00A31429" w:rsidP="00A31429">
            <w:pPr>
              <w:jc w:val="cente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95</w:t>
            </w:r>
          </w:p>
        </w:tc>
        <w:tc>
          <w:tcPr>
            <w:tcW w:w="621" w:type="dxa"/>
            <w:tcBorders>
              <w:top w:val="nil"/>
              <w:left w:val="nil"/>
              <w:bottom w:val="single" w:sz="8" w:space="0" w:color="auto"/>
              <w:right w:val="single" w:sz="8" w:space="0" w:color="auto"/>
            </w:tcBorders>
            <w:shd w:val="clear" w:color="auto" w:fill="auto"/>
            <w:vAlign w:val="center"/>
            <w:hideMark/>
          </w:tcPr>
          <w:p w14:paraId="271D5D49" w14:textId="77777777" w:rsidR="00A31429" w:rsidRPr="00A31429" w:rsidRDefault="00A31429" w:rsidP="00A31429">
            <w:pPr>
              <w:jc w:val="cente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1</w:t>
            </w:r>
          </w:p>
        </w:tc>
        <w:tc>
          <w:tcPr>
            <w:tcW w:w="3689" w:type="dxa"/>
            <w:tcBorders>
              <w:top w:val="nil"/>
              <w:left w:val="nil"/>
              <w:bottom w:val="single" w:sz="8" w:space="0" w:color="auto"/>
              <w:right w:val="single" w:sz="8" w:space="0" w:color="auto"/>
            </w:tcBorders>
            <w:shd w:val="clear" w:color="auto" w:fill="auto"/>
            <w:vAlign w:val="center"/>
            <w:hideMark/>
          </w:tcPr>
          <w:p w14:paraId="2C908DF7" w14:textId="77777777" w:rsidR="00A31429" w:rsidRPr="00A31429" w:rsidRDefault="00A31429" w:rsidP="00A31429">
            <w:pPr>
              <w:jc w:val="both"/>
              <w:rPr>
                <w:rFonts w:ascii="Arial Narrow" w:eastAsia="Times New Roman" w:hAnsi="Arial Narrow" w:cs="Calibri"/>
                <w:b/>
                <w:bCs/>
                <w:color w:val="000000"/>
                <w:sz w:val="22"/>
                <w:szCs w:val="22"/>
                <w:lang w:val="es-CR"/>
              </w:rPr>
            </w:pPr>
            <w:r w:rsidRPr="00A31429">
              <w:rPr>
                <w:rFonts w:ascii="Arial Narrow" w:eastAsia="Times New Roman" w:hAnsi="Arial Narrow" w:cs="Calibri"/>
                <w:b/>
                <w:bCs/>
                <w:color w:val="000000"/>
                <w:sz w:val="22"/>
                <w:szCs w:val="22"/>
                <w:lang w:val="es-CR"/>
              </w:rPr>
              <w:t>Hechos ocurridos después de la fecha sobre la que se informa</w:t>
            </w:r>
          </w:p>
        </w:tc>
        <w:tc>
          <w:tcPr>
            <w:tcW w:w="2133" w:type="dxa"/>
            <w:tcBorders>
              <w:top w:val="nil"/>
              <w:left w:val="nil"/>
              <w:bottom w:val="single" w:sz="8" w:space="0" w:color="auto"/>
              <w:right w:val="single" w:sz="8" w:space="0" w:color="auto"/>
            </w:tcBorders>
            <w:shd w:val="clear" w:color="auto" w:fill="auto"/>
            <w:vAlign w:val="center"/>
            <w:hideMark/>
          </w:tcPr>
          <w:p w14:paraId="198163B2" w14:textId="77777777" w:rsidR="00A31429" w:rsidRDefault="00A31429" w:rsidP="00A31429">
            <w:pPr>
              <w:jc w:val="both"/>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NICSP N° 19,</w:t>
            </w:r>
          </w:p>
          <w:p w14:paraId="40A30B68" w14:textId="3D672E0E" w:rsidR="00A31429" w:rsidRPr="00A31429" w:rsidRDefault="00A31429" w:rsidP="00A31429">
            <w:pPr>
              <w:jc w:val="both"/>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Párrafo 22.</w:t>
            </w:r>
          </w:p>
        </w:tc>
        <w:tc>
          <w:tcPr>
            <w:tcW w:w="1872" w:type="dxa"/>
            <w:tcBorders>
              <w:top w:val="nil"/>
              <w:left w:val="nil"/>
              <w:bottom w:val="single" w:sz="8" w:space="0" w:color="auto"/>
              <w:right w:val="single" w:sz="8" w:space="0" w:color="auto"/>
            </w:tcBorders>
            <w:shd w:val="clear" w:color="auto" w:fill="auto"/>
            <w:vAlign w:val="center"/>
            <w:hideMark/>
          </w:tcPr>
          <w:p w14:paraId="49F963FB" w14:textId="77777777" w:rsidR="00A31429" w:rsidRPr="00A31429" w:rsidRDefault="00A31429" w:rsidP="00A31429">
            <w:pP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 xml:space="preserve"> </w:t>
            </w:r>
          </w:p>
        </w:tc>
      </w:tr>
      <w:tr w:rsidR="00A31429" w:rsidRPr="00A31429" w14:paraId="6AFDEA83" w14:textId="77777777" w:rsidTr="00393C79">
        <w:trPr>
          <w:gridAfter w:val="1"/>
          <w:wAfter w:w="11" w:type="dxa"/>
          <w:trHeight w:val="407"/>
        </w:trPr>
        <w:tc>
          <w:tcPr>
            <w:tcW w:w="643" w:type="dxa"/>
            <w:tcBorders>
              <w:top w:val="nil"/>
              <w:left w:val="single" w:sz="8" w:space="0" w:color="auto"/>
              <w:bottom w:val="single" w:sz="8" w:space="0" w:color="auto"/>
              <w:right w:val="single" w:sz="8" w:space="0" w:color="auto"/>
            </w:tcBorders>
            <w:shd w:val="clear" w:color="auto" w:fill="auto"/>
            <w:vAlign w:val="center"/>
            <w:hideMark/>
          </w:tcPr>
          <w:p w14:paraId="09EA0E3E" w14:textId="77777777" w:rsidR="00A31429" w:rsidRPr="00A31429" w:rsidRDefault="00A31429" w:rsidP="00A31429">
            <w:pPr>
              <w:jc w:val="cente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2</w:t>
            </w:r>
          </w:p>
        </w:tc>
        <w:tc>
          <w:tcPr>
            <w:tcW w:w="417" w:type="dxa"/>
            <w:tcBorders>
              <w:top w:val="nil"/>
              <w:left w:val="nil"/>
              <w:bottom w:val="single" w:sz="8" w:space="0" w:color="auto"/>
              <w:right w:val="single" w:sz="8" w:space="0" w:color="auto"/>
            </w:tcBorders>
            <w:shd w:val="clear" w:color="auto" w:fill="auto"/>
            <w:noWrap/>
            <w:vAlign w:val="center"/>
            <w:hideMark/>
          </w:tcPr>
          <w:p w14:paraId="73311FFC" w14:textId="77777777" w:rsidR="00A31429" w:rsidRPr="00A31429" w:rsidRDefault="00A31429" w:rsidP="00A31429">
            <w:pPr>
              <w:jc w:val="cente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95</w:t>
            </w:r>
          </w:p>
        </w:tc>
        <w:tc>
          <w:tcPr>
            <w:tcW w:w="621" w:type="dxa"/>
            <w:tcBorders>
              <w:top w:val="nil"/>
              <w:left w:val="nil"/>
              <w:bottom w:val="single" w:sz="8" w:space="0" w:color="auto"/>
              <w:right w:val="single" w:sz="8" w:space="0" w:color="auto"/>
            </w:tcBorders>
            <w:shd w:val="clear" w:color="auto" w:fill="auto"/>
            <w:vAlign w:val="center"/>
            <w:hideMark/>
          </w:tcPr>
          <w:p w14:paraId="3EA500FB" w14:textId="77777777" w:rsidR="00A31429" w:rsidRPr="00A31429" w:rsidRDefault="00A31429" w:rsidP="00A31429">
            <w:pPr>
              <w:jc w:val="cente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2</w:t>
            </w:r>
          </w:p>
        </w:tc>
        <w:tc>
          <w:tcPr>
            <w:tcW w:w="3689" w:type="dxa"/>
            <w:tcBorders>
              <w:top w:val="nil"/>
              <w:left w:val="nil"/>
              <w:bottom w:val="single" w:sz="8" w:space="0" w:color="auto"/>
              <w:right w:val="single" w:sz="8" w:space="0" w:color="auto"/>
            </w:tcBorders>
            <w:shd w:val="clear" w:color="auto" w:fill="auto"/>
            <w:vAlign w:val="center"/>
            <w:hideMark/>
          </w:tcPr>
          <w:p w14:paraId="5B236F87" w14:textId="77777777" w:rsidR="00A31429" w:rsidRPr="00A31429" w:rsidRDefault="00A31429" w:rsidP="00A31429">
            <w:pPr>
              <w:jc w:val="both"/>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Suceso pasado</w:t>
            </w:r>
          </w:p>
        </w:tc>
        <w:tc>
          <w:tcPr>
            <w:tcW w:w="2133" w:type="dxa"/>
            <w:tcBorders>
              <w:top w:val="nil"/>
              <w:left w:val="nil"/>
              <w:bottom w:val="single" w:sz="8" w:space="0" w:color="auto"/>
              <w:right w:val="single" w:sz="8" w:space="0" w:color="auto"/>
            </w:tcBorders>
            <w:shd w:val="clear" w:color="auto" w:fill="auto"/>
            <w:vAlign w:val="center"/>
            <w:hideMark/>
          </w:tcPr>
          <w:p w14:paraId="5E778744" w14:textId="77777777" w:rsidR="00A31429" w:rsidRDefault="00A31429" w:rsidP="00A31429">
            <w:pPr>
              <w:jc w:val="both"/>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 xml:space="preserve"> NICSP N° 19,</w:t>
            </w:r>
          </w:p>
          <w:p w14:paraId="797A7FC8" w14:textId="03353384" w:rsidR="00A31429" w:rsidRPr="00A31429" w:rsidRDefault="00A31429" w:rsidP="00A31429">
            <w:pPr>
              <w:jc w:val="both"/>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Párrafo 22.</w:t>
            </w:r>
          </w:p>
        </w:tc>
        <w:tc>
          <w:tcPr>
            <w:tcW w:w="1872" w:type="dxa"/>
            <w:tcBorders>
              <w:top w:val="nil"/>
              <w:left w:val="nil"/>
              <w:bottom w:val="single" w:sz="8" w:space="0" w:color="auto"/>
              <w:right w:val="single" w:sz="8" w:space="0" w:color="auto"/>
            </w:tcBorders>
            <w:shd w:val="clear" w:color="auto" w:fill="auto"/>
            <w:vAlign w:val="center"/>
            <w:hideMark/>
          </w:tcPr>
          <w:p w14:paraId="6B851184" w14:textId="77777777" w:rsidR="00A31429" w:rsidRPr="00A31429" w:rsidRDefault="00A31429" w:rsidP="00A31429">
            <w:pPr>
              <w:rPr>
                <w:rFonts w:ascii="Arial Narrow" w:eastAsia="Times New Roman" w:hAnsi="Arial Narrow" w:cs="Calibri"/>
                <w:b/>
                <w:bCs/>
                <w:color w:val="000000"/>
                <w:sz w:val="22"/>
                <w:szCs w:val="22"/>
              </w:rPr>
            </w:pPr>
            <w:r w:rsidRPr="00A31429">
              <w:rPr>
                <w:rFonts w:ascii="Arial Narrow" w:eastAsia="Times New Roman" w:hAnsi="Arial Narrow" w:cs="Calibri"/>
                <w:b/>
                <w:bCs/>
                <w:color w:val="000000"/>
                <w:sz w:val="22"/>
                <w:szCs w:val="22"/>
              </w:rPr>
              <w:t xml:space="preserve"> </w:t>
            </w:r>
          </w:p>
        </w:tc>
      </w:tr>
    </w:tbl>
    <w:p w14:paraId="7BC38C10" w14:textId="77777777" w:rsidR="000B5DDF" w:rsidRDefault="000B5DDF" w:rsidP="00393C79">
      <w:pPr>
        <w:pStyle w:val="Default"/>
        <w:ind w:right="261"/>
        <w:jc w:val="both"/>
        <w:rPr>
          <w:sz w:val="22"/>
          <w:szCs w:val="22"/>
          <w:lang w:val="es-CR"/>
        </w:rPr>
      </w:pPr>
    </w:p>
    <w:p w14:paraId="2E87B925" w14:textId="27D69EB4" w:rsidR="00393C79" w:rsidRDefault="00393C79" w:rsidP="00393C79">
      <w:pPr>
        <w:pStyle w:val="Default"/>
        <w:ind w:right="261"/>
        <w:jc w:val="both"/>
        <w:rPr>
          <w:rFonts w:eastAsia="Arial"/>
          <w:b/>
          <w:sz w:val="22"/>
          <w:szCs w:val="22"/>
        </w:rPr>
      </w:pPr>
      <w:r w:rsidRPr="00F02F9D">
        <w:rPr>
          <w:rFonts w:eastAsia="Arial"/>
          <w:b/>
          <w:sz w:val="22"/>
          <w:szCs w:val="22"/>
        </w:rPr>
        <w:t>Políticas Contables</w:t>
      </w:r>
    </w:p>
    <w:p w14:paraId="675F3229" w14:textId="77777777" w:rsidR="00393C79" w:rsidRDefault="00393C79" w:rsidP="00393C79">
      <w:pPr>
        <w:pStyle w:val="Default"/>
        <w:ind w:right="261"/>
        <w:jc w:val="both"/>
        <w:rPr>
          <w:sz w:val="22"/>
          <w:szCs w:val="22"/>
          <w:lang w:val="es-CR"/>
        </w:rPr>
      </w:pPr>
    </w:p>
    <w:p w14:paraId="391C2F54" w14:textId="255C61C2" w:rsidR="00A31429" w:rsidRDefault="00A31429" w:rsidP="00A31429">
      <w:pPr>
        <w:pStyle w:val="Default"/>
        <w:ind w:left="1134" w:hanging="1134"/>
        <w:jc w:val="both"/>
        <w:rPr>
          <w:sz w:val="22"/>
          <w:szCs w:val="22"/>
          <w:lang w:val="es-CR"/>
        </w:rPr>
      </w:pPr>
      <w:r>
        <w:rPr>
          <w:sz w:val="22"/>
          <w:szCs w:val="22"/>
          <w:lang w:val="es-CR"/>
        </w:rPr>
        <w:t>2.95.0.01</w:t>
      </w:r>
      <w:r>
        <w:rPr>
          <w:sz w:val="22"/>
          <w:szCs w:val="22"/>
          <w:lang w:val="es-CR"/>
        </w:rPr>
        <w:tab/>
      </w:r>
      <w:r w:rsidRPr="00A31429">
        <w:rPr>
          <w:sz w:val="22"/>
          <w:szCs w:val="22"/>
          <w:lang w:val="es-CR"/>
        </w:rPr>
        <w:t>Una contingencia que cumpla la definición de provisión, debe reconocerse como tal cuando:</w:t>
      </w:r>
    </w:p>
    <w:p w14:paraId="16C0C54C" w14:textId="77777777" w:rsidR="00A31429" w:rsidRPr="00A31429" w:rsidRDefault="00A31429" w:rsidP="00A31429">
      <w:pPr>
        <w:pStyle w:val="Default"/>
        <w:ind w:left="1134" w:hanging="1134"/>
        <w:jc w:val="both"/>
        <w:rPr>
          <w:sz w:val="22"/>
          <w:szCs w:val="22"/>
          <w:lang w:val="es-CR"/>
        </w:rPr>
      </w:pPr>
    </w:p>
    <w:p w14:paraId="09506B9B" w14:textId="6BCEA22A" w:rsidR="00A31429" w:rsidRPr="00A31429" w:rsidRDefault="00A31429">
      <w:pPr>
        <w:pStyle w:val="Default"/>
        <w:numPr>
          <w:ilvl w:val="0"/>
          <w:numId w:val="190"/>
        </w:numPr>
        <w:spacing w:after="120"/>
        <w:ind w:left="1418" w:hanging="284"/>
        <w:jc w:val="both"/>
        <w:rPr>
          <w:sz w:val="22"/>
          <w:szCs w:val="22"/>
          <w:lang w:val="es-CR"/>
        </w:rPr>
      </w:pPr>
      <w:r>
        <w:rPr>
          <w:sz w:val="22"/>
          <w:szCs w:val="22"/>
          <w:lang w:val="es-CR"/>
        </w:rPr>
        <w:t>E</w:t>
      </w:r>
      <w:r w:rsidRPr="00A31429">
        <w:rPr>
          <w:sz w:val="22"/>
          <w:szCs w:val="22"/>
          <w:lang w:val="es-CR"/>
        </w:rPr>
        <w:t xml:space="preserve">xiste una </w:t>
      </w:r>
      <w:r w:rsidRPr="00A31429">
        <w:rPr>
          <w:b/>
          <w:bCs/>
          <w:sz w:val="22"/>
          <w:szCs w:val="22"/>
          <w:lang w:val="es-CR"/>
        </w:rPr>
        <w:t xml:space="preserve">obligación presente </w:t>
      </w:r>
      <w:r w:rsidRPr="00A31429">
        <w:rPr>
          <w:sz w:val="22"/>
          <w:szCs w:val="22"/>
          <w:lang w:val="es-CR"/>
        </w:rPr>
        <w:t xml:space="preserve">(ya sea legal o implícita) como resultado de un suceso pasado; </w:t>
      </w:r>
    </w:p>
    <w:p w14:paraId="6D3CD4B9" w14:textId="272303F0" w:rsidR="00A31429" w:rsidRPr="00A31429" w:rsidRDefault="00A31429">
      <w:pPr>
        <w:pStyle w:val="Default"/>
        <w:numPr>
          <w:ilvl w:val="0"/>
          <w:numId w:val="190"/>
        </w:numPr>
        <w:spacing w:after="120"/>
        <w:ind w:left="1418" w:hanging="284"/>
        <w:jc w:val="both"/>
        <w:rPr>
          <w:sz w:val="22"/>
          <w:szCs w:val="22"/>
          <w:lang w:val="es-CR"/>
        </w:rPr>
      </w:pPr>
      <w:r>
        <w:rPr>
          <w:sz w:val="22"/>
          <w:szCs w:val="22"/>
          <w:lang w:val="es-CR"/>
        </w:rPr>
        <w:t>E</w:t>
      </w:r>
      <w:r w:rsidRPr="00A31429">
        <w:rPr>
          <w:sz w:val="22"/>
          <w:szCs w:val="22"/>
          <w:lang w:val="es-CR"/>
        </w:rPr>
        <w:t xml:space="preserve">s probable que la entidad tenga que desprenderse de recursos que incorporen beneficios económicos para cancelar tal obligación; y </w:t>
      </w:r>
    </w:p>
    <w:p w14:paraId="51B9BEFB" w14:textId="6256D13A" w:rsidR="00A31429" w:rsidRPr="00A31429" w:rsidRDefault="00A31429">
      <w:pPr>
        <w:pStyle w:val="Default"/>
        <w:numPr>
          <w:ilvl w:val="0"/>
          <w:numId w:val="190"/>
        </w:numPr>
        <w:ind w:left="1418" w:hanging="284"/>
        <w:jc w:val="both"/>
        <w:rPr>
          <w:sz w:val="22"/>
          <w:szCs w:val="22"/>
          <w:lang w:val="es-CR"/>
        </w:rPr>
      </w:pPr>
      <w:r>
        <w:rPr>
          <w:sz w:val="22"/>
          <w:szCs w:val="22"/>
          <w:lang w:val="es-CR"/>
        </w:rPr>
        <w:t>P</w:t>
      </w:r>
      <w:r w:rsidRPr="00A31429">
        <w:rPr>
          <w:sz w:val="22"/>
          <w:szCs w:val="22"/>
          <w:lang w:val="es-CR"/>
        </w:rPr>
        <w:t xml:space="preserve">uede hacerse una estimación fiable del importe de la obligación. </w:t>
      </w:r>
    </w:p>
    <w:p w14:paraId="5DE09419" w14:textId="77777777" w:rsidR="00A31429" w:rsidRPr="00A31429" w:rsidRDefault="00A31429" w:rsidP="00A31429">
      <w:pPr>
        <w:pStyle w:val="Default"/>
        <w:jc w:val="both"/>
        <w:rPr>
          <w:sz w:val="22"/>
          <w:szCs w:val="22"/>
          <w:lang w:val="es-CR"/>
        </w:rPr>
      </w:pPr>
    </w:p>
    <w:p w14:paraId="45B830D1" w14:textId="04318173" w:rsidR="00A31429" w:rsidRDefault="00A31429" w:rsidP="00A31429">
      <w:pPr>
        <w:pStyle w:val="Default"/>
        <w:ind w:left="1134" w:hanging="1134"/>
        <w:jc w:val="both"/>
        <w:rPr>
          <w:sz w:val="22"/>
          <w:szCs w:val="22"/>
          <w:lang w:val="es-CR"/>
        </w:rPr>
      </w:pPr>
      <w:r>
        <w:rPr>
          <w:sz w:val="22"/>
          <w:szCs w:val="22"/>
          <w:lang w:val="es-CR"/>
        </w:rPr>
        <w:t>2.95.0.02</w:t>
      </w:r>
      <w:r>
        <w:rPr>
          <w:sz w:val="22"/>
          <w:szCs w:val="22"/>
          <w:lang w:val="es-CR"/>
        </w:rPr>
        <w:tab/>
      </w:r>
      <w:r w:rsidRPr="00A31429">
        <w:rPr>
          <w:sz w:val="22"/>
          <w:szCs w:val="22"/>
          <w:lang w:val="es-CR"/>
        </w:rPr>
        <w:t xml:space="preserve">De no cumplirse estas condiciones, no se debe reconocer ninguna provisión. </w:t>
      </w:r>
    </w:p>
    <w:p w14:paraId="137FCA8A" w14:textId="77777777" w:rsidR="00A31429" w:rsidRDefault="00A31429" w:rsidP="00A31429">
      <w:pPr>
        <w:pStyle w:val="Default"/>
        <w:jc w:val="both"/>
        <w:rPr>
          <w:sz w:val="22"/>
          <w:szCs w:val="22"/>
          <w:lang w:val="es-CR"/>
        </w:rPr>
      </w:pPr>
    </w:p>
    <w:p w14:paraId="7C0A511A" w14:textId="0B1808E2" w:rsidR="00A31429" w:rsidRDefault="00A31429" w:rsidP="00A31429">
      <w:pPr>
        <w:pStyle w:val="Default"/>
        <w:ind w:left="1134" w:hanging="1134"/>
        <w:jc w:val="both"/>
        <w:rPr>
          <w:sz w:val="22"/>
          <w:szCs w:val="22"/>
          <w:lang w:val="es-CR"/>
        </w:rPr>
      </w:pPr>
      <w:r>
        <w:rPr>
          <w:sz w:val="22"/>
          <w:szCs w:val="22"/>
          <w:lang w:val="es-CR"/>
        </w:rPr>
        <w:lastRenderedPageBreak/>
        <w:t>2.95.1.01</w:t>
      </w:r>
      <w:r>
        <w:rPr>
          <w:sz w:val="22"/>
          <w:szCs w:val="22"/>
          <w:lang w:val="es-CR"/>
        </w:rPr>
        <w:tab/>
      </w:r>
      <w:r w:rsidRPr="00A31429">
        <w:rPr>
          <w:sz w:val="22"/>
          <w:szCs w:val="22"/>
          <w:lang w:val="es-CR"/>
        </w:rPr>
        <w:t xml:space="preserve">Una entidad procederá a determinar la existencia o no de la obligación presente, teniendo en cuenta toda la evidencia disponible, entre la que se podrá incluir, por ejemplo, la opinión de expertos. La evidencia que se toma en consideración incluye la adicional que pudieran suministrar los </w:t>
      </w:r>
      <w:r w:rsidRPr="00A31429">
        <w:rPr>
          <w:b/>
          <w:bCs/>
          <w:sz w:val="22"/>
          <w:szCs w:val="22"/>
          <w:lang w:val="es-CR"/>
        </w:rPr>
        <w:t>hechos ocurridos después la fecha sobre la que se informa</w:t>
      </w:r>
      <w:r w:rsidRPr="00A31429">
        <w:rPr>
          <w:sz w:val="22"/>
          <w:szCs w:val="22"/>
          <w:lang w:val="es-CR"/>
        </w:rPr>
        <w:t>. A partir de esa evidencia:</w:t>
      </w:r>
    </w:p>
    <w:p w14:paraId="5350D24B" w14:textId="77777777" w:rsidR="00A31429" w:rsidRDefault="00A31429" w:rsidP="00A31429">
      <w:pPr>
        <w:pStyle w:val="Default"/>
        <w:ind w:left="1134" w:hanging="1134"/>
        <w:jc w:val="both"/>
        <w:rPr>
          <w:sz w:val="22"/>
          <w:szCs w:val="22"/>
          <w:lang w:val="es-CR"/>
        </w:rPr>
      </w:pPr>
    </w:p>
    <w:p w14:paraId="58FEDB2B" w14:textId="7C625079" w:rsidR="00A31429" w:rsidRPr="00A31429" w:rsidRDefault="00A31429">
      <w:pPr>
        <w:pStyle w:val="Default"/>
        <w:numPr>
          <w:ilvl w:val="0"/>
          <w:numId w:val="191"/>
        </w:numPr>
        <w:spacing w:after="120"/>
        <w:ind w:left="1418" w:hanging="284"/>
        <w:jc w:val="both"/>
        <w:rPr>
          <w:sz w:val="22"/>
          <w:szCs w:val="22"/>
          <w:lang w:val="es-CR"/>
        </w:rPr>
      </w:pPr>
      <w:r>
        <w:rPr>
          <w:sz w:val="22"/>
          <w:szCs w:val="22"/>
          <w:lang w:val="es-CR"/>
        </w:rPr>
        <w:t>S</w:t>
      </w:r>
      <w:r w:rsidRPr="00A31429">
        <w:rPr>
          <w:sz w:val="22"/>
          <w:szCs w:val="22"/>
          <w:lang w:val="es-CR"/>
        </w:rPr>
        <w:t xml:space="preserve">i es </w:t>
      </w:r>
      <w:r w:rsidRPr="00A31429">
        <w:rPr>
          <w:b/>
          <w:bCs/>
          <w:sz w:val="22"/>
          <w:szCs w:val="22"/>
          <w:lang w:val="es-CR"/>
        </w:rPr>
        <w:t xml:space="preserve">más probable que improbable </w:t>
      </w:r>
      <w:r w:rsidRPr="00A31429">
        <w:rPr>
          <w:sz w:val="22"/>
          <w:szCs w:val="22"/>
          <w:lang w:val="es-CR"/>
        </w:rPr>
        <w:t xml:space="preserve">que una obligación presente </w:t>
      </w:r>
      <w:r w:rsidRPr="00A31429">
        <w:rPr>
          <w:b/>
          <w:bCs/>
          <w:sz w:val="22"/>
          <w:szCs w:val="22"/>
          <w:lang w:val="es-CR"/>
        </w:rPr>
        <w:t xml:space="preserve">exista </w:t>
      </w:r>
      <w:r w:rsidRPr="00A31429">
        <w:rPr>
          <w:sz w:val="22"/>
          <w:szCs w:val="22"/>
          <w:lang w:val="es-CR"/>
        </w:rPr>
        <w:t xml:space="preserve">en la fecha sobre la que se informa, la entidad reconocerá una provisión (siempre que se satisfagan los criterios de reconocimiento); y </w:t>
      </w:r>
    </w:p>
    <w:p w14:paraId="442AE83F" w14:textId="18FC0901" w:rsidR="00A31429" w:rsidRPr="00A31429" w:rsidRDefault="00A31429">
      <w:pPr>
        <w:pStyle w:val="Default"/>
        <w:numPr>
          <w:ilvl w:val="1"/>
          <w:numId w:val="191"/>
        </w:numPr>
        <w:ind w:left="1418" w:hanging="284"/>
        <w:jc w:val="both"/>
        <w:rPr>
          <w:sz w:val="22"/>
          <w:szCs w:val="22"/>
          <w:lang w:val="es-CR"/>
        </w:rPr>
      </w:pPr>
      <w:r>
        <w:rPr>
          <w:sz w:val="22"/>
          <w:szCs w:val="22"/>
          <w:lang w:val="es-CR"/>
        </w:rPr>
        <w:t>S</w:t>
      </w:r>
      <w:r w:rsidRPr="00A31429">
        <w:rPr>
          <w:sz w:val="22"/>
          <w:szCs w:val="22"/>
          <w:lang w:val="es-CR"/>
        </w:rPr>
        <w:t xml:space="preserve">i es </w:t>
      </w:r>
      <w:r w:rsidRPr="00A31429">
        <w:rPr>
          <w:b/>
          <w:bCs/>
          <w:sz w:val="22"/>
          <w:szCs w:val="22"/>
          <w:lang w:val="es-CR"/>
        </w:rPr>
        <w:t xml:space="preserve">más probable que improbable </w:t>
      </w:r>
      <w:r w:rsidRPr="00A31429">
        <w:rPr>
          <w:sz w:val="22"/>
          <w:szCs w:val="22"/>
          <w:lang w:val="es-CR"/>
        </w:rPr>
        <w:t xml:space="preserve">que </w:t>
      </w:r>
      <w:r w:rsidRPr="00A31429">
        <w:rPr>
          <w:b/>
          <w:bCs/>
          <w:sz w:val="22"/>
          <w:szCs w:val="22"/>
          <w:lang w:val="es-CR"/>
        </w:rPr>
        <w:t xml:space="preserve">ninguna obligación presente exista </w:t>
      </w:r>
      <w:r w:rsidRPr="00A31429">
        <w:rPr>
          <w:sz w:val="22"/>
          <w:szCs w:val="22"/>
          <w:lang w:val="es-CR"/>
        </w:rPr>
        <w:t xml:space="preserve">en la fecha sobre la que se informa, la entidad </w:t>
      </w:r>
      <w:r w:rsidRPr="00A31429">
        <w:rPr>
          <w:b/>
          <w:bCs/>
          <w:sz w:val="22"/>
          <w:szCs w:val="22"/>
          <w:lang w:val="es-CR"/>
        </w:rPr>
        <w:t xml:space="preserve">informará en las notas de la existencia de un pasivo contingente, </w:t>
      </w:r>
      <w:r w:rsidRPr="00A31429">
        <w:rPr>
          <w:sz w:val="22"/>
          <w:szCs w:val="22"/>
          <w:lang w:val="es-CR"/>
        </w:rPr>
        <w:t xml:space="preserve">salvo que la posibilidad de un flujo de salida de recursos que incorporen beneficios económicos o un potencial de servicio sea remota. </w:t>
      </w:r>
    </w:p>
    <w:p w14:paraId="6499D5CD" w14:textId="77777777" w:rsidR="00A31429" w:rsidRPr="00A31429" w:rsidRDefault="00A31429">
      <w:pPr>
        <w:pStyle w:val="Default"/>
        <w:numPr>
          <w:ilvl w:val="1"/>
          <w:numId w:val="189"/>
        </w:numPr>
        <w:jc w:val="both"/>
        <w:rPr>
          <w:sz w:val="22"/>
          <w:szCs w:val="22"/>
          <w:lang w:val="es-CR"/>
        </w:rPr>
      </w:pPr>
    </w:p>
    <w:p w14:paraId="7CAC0ECF" w14:textId="71F82C3A" w:rsidR="00A31429" w:rsidRDefault="00A31429" w:rsidP="00A31429">
      <w:pPr>
        <w:pStyle w:val="Default"/>
        <w:spacing w:after="20"/>
        <w:ind w:left="1134" w:hanging="1134"/>
        <w:jc w:val="both"/>
        <w:rPr>
          <w:sz w:val="22"/>
          <w:szCs w:val="22"/>
        </w:rPr>
      </w:pPr>
      <w:r>
        <w:rPr>
          <w:sz w:val="22"/>
          <w:szCs w:val="22"/>
          <w:lang w:val="es-CR"/>
        </w:rPr>
        <w:t>2.95.2.01</w:t>
      </w:r>
      <w:r>
        <w:rPr>
          <w:sz w:val="22"/>
          <w:szCs w:val="22"/>
          <w:lang w:val="es-CR"/>
        </w:rPr>
        <w:tab/>
      </w:r>
      <w:r w:rsidRPr="00A31429">
        <w:rPr>
          <w:sz w:val="22"/>
          <w:szCs w:val="22"/>
          <w:lang w:val="es-CR"/>
        </w:rPr>
        <w:t>El suceso pasado del que se deriva una obligación presente recibe la denominación de hecho que genera la obligación. Para que un suceso revista tal condición, es necesario que la entidad no tenga otra alternativa realista que asumir la obligación creada por el hecho. Este caso se da sólo:</w:t>
      </w:r>
      <w:r w:rsidRPr="00A31429">
        <w:rPr>
          <w:sz w:val="22"/>
          <w:szCs w:val="22"/>
        </w:rPr>
        <w:t xml:space="preserve"> </w:t>
      </w:r>
    </w:p>
    <w:p w14:paraId="2ECC73D6" w14:textId="77777777" w:rsidR="00A31429" w:rsidRPr="00A31429" w:rsidRDefault="00A31429" w:rsidP="00A31429">
      <w:pPr>
        <w:pStyle w:val="Default"/>
        <w:spacing w:after="20"/>
        <w:ind w:left="1134" w:hanging="1134"/>
        <w:jc w:val="both"/>
        <w:rPr>
          <w:sz w:val="22"/>
          <w:szCs w:val="22"/>
        </w:rPr>
      </w:pPr>
    </w:p>
    <w:p w14:paraId="6FC10645" w14:textId="3A09CFBC" w:rsidR="00A31429" w:rsidRPr="00A31429" w:rsidRDefault="00A31429">
      <w:pPr>
        <w:pStyle w:val="Default"/>
        <w:numPr>
          <w:ilvl w:val="0"/>
          <w:numId w:val="192"/>
        </w:numPr>
        <w:spacing w:after="120"/>
        <w:ind w:left="1418" w:hanging="284"/>
        <w:jc w:val="both"/>
        <w:rPr>
          <w:sz w:val="22"/>
          <w:szCs w:val="22"/>
          <w:lang w:val="es-CR"/>
        </w:rPr>
      </w:pPr>
      <w:r>
        <w:rPr>
          <w:sz w:val="22"/>
          <w:szCs w:val="22"/>
          <w:lang w:val="es-CR"/>
        </w:rPr>
        <w:t>D</w:t>
      </w:r>
      <w:r w:rsidRPr="00A31429">
        <w:rPr>
          <w:sz w:val="22"/>
          <w:szCs w:val="22"/>
          <w:lang w:val="es-CR"/>
        </w:rPr>
        <w:t xml:space="preserve">onde el pago de la obligación viene exigido por ley; o bien </w:t>
      </w:r>
    </w:p>
    <w:p w14:paraId="5B1A74A2" w14:textId="520EF1BB" w:rsidR="00A31429" w:rsidRPr="00A31429" w:rsidRDefault="00A31429">
      <w:pPr>
        <w:pStyle w:val="Default"/>
        <w:numPr>
          <w:ilvl w:val="0"/>
          <w:numId w:val="192"/>
        </w:numPr>
        <w:ind w:left="1418" w:hanging="284"/>
        <w:jc w:val="both"/>
        <w:rPr>
          <w:sz w:val="23"/>
          <w:szCs w:val="23"/>
          <w:lang w:val="es-CR"/>
        </w:rPr>
      </w:pPr>
      <w:r>
        <w:rPr>
          <w:sz w:val="22"/>
          <w:szCs w:val="22"/>
          <w:lang w:val="es-CR"/>
        </w:rPr>
        <w:t>E</w:t>
      </w:r>
      <w:r w:rsidRPr="00A31429">
        <w:rPr>
          <w:sz w:val="22"/>
          <w:szCs w:val="22"/>
          <w:lang w:val="es-CR"/>
        </w:rPr>
        <w:t>n el caso de una obligación implícita, cuando el hecho (que puede ser una acción de la entidad) crea en las otras partes una expectativa válida de que la entidad va a cumplir con la obligación</w:t>
      </w:r>
      <w:r w:rsidRPr="00A31429">
        <w:rPr>
          <w:sz w:val="23"/>
          <w:szCs w:val="23"/>
          <w:lang w:val="es-CR"/>
        </w:rPr>
        <w:t xml:space="preserve">. </w:t>
      </w:r>
    </w:p>
    <w:p w14:paraId="151BC204" w14:textId="77777777" w:rsidR="00315F04" w:rsidRDefault="00315F04" w:rsidP="00A31429">
      <w:pPr>
        <w:pStyle w:val="Default"/>
        <w:spacing w:after="120" w:line="238" w:lineRule="auto"/>
        <w:ind w:right="260"/>
        <w:jc w:val="both"/>
        <w:rPr>
          <w:sz w:val="22"/>
          <w:szCs w:val="22"/>
          <w:lang w:val="es-CR"/>
        </w:rPr>
      </w:pPr>
    </w:p>
    <w:p w14:paraId="32A549E1" w14:textId="77777777" w:rsidR="00B659FE" w:rsidRDefault="00B659FE" w:rsidP="00A31429">
      <w:pPr>
        <w:pStyle w:val="Default"/>
        <w:spacing w:after="120" w:line="238" w:lineRule="auto"/>
        <w:ind w:right="260"/>
        <w:jc w:val="both"/>
        <w:rPr>
          <w:sz w:val="22"/>
          <w:szCs w:val="22"/>
          <w:lang w:val="es-CR"/>
        </w:rPr>
      </w:pPr>
    </w:p>
    <w:tbl>
      <w:tblPr>
        <w:tblW w:w="9397" w:type="dxa"/>
        <w:tblLook w:val="04A0" w:firstRow="1" w:lastRow="0" w:firstColumn="1" w:lastColumn="0" w:noHBand="0" w:noVBand="1"/>
      </w:tblPr>
      <w:tblGrid>
        <w:gridCol w:w="644"/>
        <w:gridCol w:w="417"/>
        <w:gridCol w:w="618"/>
        <w:gridCol w:w="3689"/>
        <w:gridCol w:w="2135"/>
        <w:gridCol w:w="1872"/>
        <w:gridCol w:w="22"/>
      </w:tblGrid>
      <w:tr w:rsidR="00B659FE" w:rsidRPr="00B659FE" w14:paraId="73DE889D" w14:textId="77777777" w:rsidTr="00393C79">
        <w:trPr>
          <w:trHeight w:val="320"/>
        </w:trPr>
        <w:tc>
          <w:tcPr>
            <w:tcW w:w="167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C3D38AB" w14:textId="77777777" w:rsidR="00B659FE" w:rsidRPr="00B659FE" w:rsidRDefault="00B659FE" w:rsidP="00B659FE">
            <w:pPr>
              <w:jc w:val="center"/>
              <w:rPr>
                <w:rFonts w:ascii="Arial Narrow" w:eastAsia="Times New Roman" w:hAnsi="Arial Narrow" w:cs="Calibri"/>
                <w:b/>
                <w:bCs/>
                <w:color w:val="FFFFFF"/>
                <w:sz w:val="22"/>
                <w:szCs w:val="22"/>
              </w:rPr>
            </w:pPr>
            <w:r w:rsidRPr="00B659FE">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23B3B2B8" w14:textId="77777777" w:rsidR="00B659FE" w:rsidRPr="00B659FE" w:rsidRDefault="00B659FE" w:rsidP="00B659FE">
            <w:pPr>
              <w:jc w:val="center"/>
              <w:rPr>
                <w:rFonts w:ascii="Arial Narrow" w:eastAsia="Times New Roman" w:hAnsi="Arial Narrow" w:cs="Calibri"/>
                <w:b/>
                <w:bCs/>
                <w:color w:val="FFFFFF"/>
                <w:sz w:val="22"/>
                <w:szCs w:val="22"/>
              </w:rPr>
            </w:pPr>
            <w:r w:rsidRPr="00B659FE">
              <w:rPr>
                <w:rFonts w:ascii="Arial Narrow" w:eastAsia="Times New Roman" w:hAnsi="Arial Narrow" w:cs="Calibri"/>
                <w:b/>
                <w:bCs/>
                <w:color w:val="FFFFFF"/>
                <w:sz w:val="22"/>
                <w:szCs w:val="22"/>
              </w:rPr>
              <w:t>Concepto</w:t>
            </w:r>
          </w:p>
        </w:tc>
        <w:tc>
          <w:tcPr>
            <w:tcW w:w="4029" w:type="dxa"/>
            <w:gridSpan w:val="3"/>
            <w:tcBorders>
              <w:top w:val="single" w:sz="8" w:space="0" w:color="auto"/>
              <w:left w:val="nil"/>
              <w:bottom w:val="single" w:sz="8" w:space="0" w:color="auto"/>
              <w:right w:val="single" w:sz="8" w:space="0" w:color="000000"/>
            </w:tcBorders>
            <w:shd w:val="clear" w:color="000000" w:fill="203764"/>
            <w:vAlign w:val="center"/>
            <w:hideMark/>
          </w:tcPr>
          <w:p w14:paraId="3FDBF1F8" w14:textId="77777777" w:rsidR="00B659FE" w:rsidRPr="00B659FE" w:rsidRDefault="00B659FE" w:rsidP="00B659FE">
            <w:pPr>
              <w:jc w:val="center"/>
              <w:rPr>
                <w:rFonts w:ascii="Arial Narrow" w:eastAsia="Times New Roman" w:hAnsi="Arial Narrow" w:cs="Calibri"/>
                <w:b/>
                <w:bCs/>
                <w:color w:val="FFFFFF"/>
                <w:sz w:val="22"/>
                <w:szCs w:val="22"/>
              </w:rPr>
            </w:pPr>
            <w:r w:rsidRPr="00B659FE">
              <w:rPr>
                <w:rFonts w:ascii="Arial Narrow" w:eastAsia="Times New Roman" w:hAnsi="Arial Narrow" w:cs="Calibri"/>
                <w:b/>
                <w:bCs/>
                <w:color w:val="FFFFFF"/>
                <w:sz w:val="22"/>
                <w:szCs w:val="22"/>
              </w:rPr>
              <w:t>Referencia</w:t>
            </w:r>
          </w:p>
        </w:tc>
      </w:tr>
      <w:tr w:rsidR="00B659FE" w:rsidRPr="006E5442" w14:paraId="653EF3DA" w14:textId="77777777" w:rsidTr="00393C79">
        <w:trPr>
          <w:gridAfter w:val="1"/>
          <w:wAfter w:w="22" w:type="dxa"/>
          <w:trHeight w:val="876"/>
        </w:trPr>
        <w:tc>
          <w:tcPr>
            <w:tcW w:w="1679" w:type="dxa"/>
            <w:gridSpan w:val="3"/>
            <w:vMerge/>
            <w:tcBorders>
              <w:top w:val="single" w:sz="8" w:space="0" w:color="auto"/>
              <w:left w:val="single" w:sz="8" w:space="0" w:color="auto"/>
              <w:bottom w:val="nil"/>
              <w:right w:val="single" w:sz="8" w:space="0" w:color="000000"/>
            </w:tcBorders>
            <w:vAlign w:val="center"/>
            <w:hideMark/>
          </w:tcPr>
          <w:p w14:paraId="3B2BE0DA" w14:textId="77777777" w:rsidR="00B659FE" w:rsidRPr="00B659FE" w:rsidRDefault="00B659FE" w:rsidP="00B659FE">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1D5DE1BD" w14:textId="77777777" w:rsidR="00B659FE" w:rsidRPr="00B659FE" w:rsidRDefault="00B659FE" w:rsidP="00B659FE">
            <w:pPr>
              <w:rPr>
                <w:rFonts w:ascii="Arial Narrow" w:eastAsia="Times New Roman" w:hAnsi="Arial Narrow" w:cs="Calibri"/>
                <w:b/>
                <w:bCs/>
                <w:color w:val="FFFFFF"/>
                <w:sz w:val="22"/>
                <w:szCs w:val="22"/>
              </w:rPr>
            </w:pPr>
          </w:p>
        </w:tc>
        <w:tc>
          <w:tcPr>
            <w:tcW w:w="2135" w:type="dxa"/>
            <w:tcBorders>
              <w:top w:val="nil"/>
              <w:left w:val="nil"/>
              <w:bottom w:val="nil"/>
              <w:right w:val="single" w:sz="8" w:space="0" w:color="auto"/>
            </w:tcBorders>
            <w:shd w:val="clear" w:color="000000" w:fill="203764"/>
            <w:vAlign w:val="center"/>
            <w:hideMark/>
          </w:tcPr>
          <w:p w14:paraId="35A9E1A2" w14:textId="77777777" w:rsidR="00B659FE" w:rsidRPr="00B659FE" w:rsidRDefault="00B659FE" w:rsidP="00B659FE">
            <w:pPr>
              <w:jc w:val="center"/>
              <w:rPr>
                <w:rFonts w:ascii="Arial Narrow" w:eastAsia="Times New Roman" w:hAnsi="Arial Narrow" w:cs="Calibri"/>
                <w:b/>
                <w:bCs/>
                <w:color w:val="FFFFFF"/>
                <w:sz w:val="22"/>
                <w:szCs w:val="22"/>
              </w:rPr>
            </w:pPr>
            <w:r w:rsidRPr="00B659FE">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5141D2C0" w14:textId="77777777" w:rsidR="00B659FE" w:rsidRPr="00B659FE" w:rsidRDefault="00B659FE" w:rsidP="00B659FE">
            <w:pPr>
              <w:jc w:val="center"/>
              <w:rPr>
                <w:rFonts w:ascii="Arial Narrow" w:eastAsia="Times New Roman" w:hAnsi="Arial Narrow" w:cs="Calibri"/>
                <w:b/>
                <w:bCs/>
                <w:color w:val="FFFFFF"/>
                <w:sz w:val="22"/>
                <w:szCs w:val="22"/>
                <w:lang w:val="es-CR"/>
              </w:rPr>
            </w:pPr>
            <w:r w:rsidRPr="00B659FE">
              <w:rPr>
                <w:rFonts w:ascii="Arial Narrow" w:eastAsia="Times New Roman" w:hAnsi="Arial Narrow" w:cs="Calibri"/>
                <w:b/>
                <w:bCs/>
                <w:color w:val="FFFFFF"/>
                <w:sz w:val="22"/>
                <w:szCs w:val="22"/>
                <w:lang w:val="es-CR"/>
              </w:rPr>
              <w:t>Normativa técnica y disposiciones adicionales</w:t>
            </w:r>
          </w:p>
        </w:tc>
      </w:tr>
      <w:tr w:rsidR="00B659FE" w:rsidRPr="00B659FE" w14:paraId="38127A42" w14:textId="77777777" w:rsidTr="00393C79">
        <w:trPr>
          <w:gridAfter w:val="1"/>
          <w:wAfter w:w="22" w:type="dxa"/>
          <w:trHeight w:val="479"/>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1DE5CF" w14:textId="77777777" w:rsidR="00B659FE" w:rsidRPr="00B659FE" w:rsidRDefault="00B659FE" w:rsidP="00B659FE">
            <w:pPr>
              <w:jc w:val="center"/>
              <w:rPr>
                <w:rFonts w:ascii="Arial Narrow" w:eastAsia="Times New Roman" w:hAnsi="Arial Narrow" w:cs="Calibri"/>
                <w:b/>
                <w:bCs/>
                <w:color w:val="000000"/>
                <w:sz w:val="22"/>
                <w:szCs w:val="22"/>
              </w:rPr>
            </w:pPr>
            <w:r w:rsidRPr="00B659FE">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05061A75" w14:textId="77777777" w:rsidR="00B659FE" w:rsidRPr="00B659FE" w:rsidRDefault="00B659FE" w:rsidP="00B659FE">
            <w:pPr>
              <w:jc w:val="center"/>
              <w:rPr>
                <w:rFonts w:ascii="Arial Narrow" w:eastAsia="Times New Roman" w:hAnsi="Arial Narrow" w:cs="Calibri"/>
                <w:b/>
                <w:bCs/>
                <w:color w:val="000000"/>
                <w:sz w:val="22"/>
                <w:szCs w:val="22"/>
              </w:rPr>
            </w:pPr>
            <w:r w:rsidRPr="00B659FE">
              <w:rPr>
                <w:rFonts w:ascii="Arial Narrow" w:eastAsia="Times New Roman" w:hAnsi="Arial Narrow" w:cs="Calibri"/>
                <w:b/>
                <w:bCs/>
                <w:color w:val="000000"/>
                <w:sz w:val="22"/>
                <w:szCs w:val="22"/>
              </w:rPr>
              <w:t>96</w:t>
            </w:r>
          </w:p>
        </w:tc>
        <w:tc>
          <w:tcPr>
            <w:tcW w:w="618" w:type="dxa"/>
            <w:tcBorders>
              <w:top w:val="single" w:sz="8" w:space="0" w:color="auto"/>
              <w:left w:val="nil"/>
              <w:bottom w:val="single" w:sz="8" w:space="0" w:color="auto"/>
              <w:right w:val="single" w:sz="8" w:space="0" w:color="auto"/>
            </w:tcBorders>
            <w:shd w:val="clear" w:color="auto" w:fill="auto"/>
            <w:vAlign w:val="center"/>
            <w:hideMark/>
          </w:tcPr>
          <w:p w14:paraId="5631AF54" w14:textId="2E891FDB" w:rsidR="00B659FE" w:rsidRPr="00B659FE" w:rsidRDefault="00B659FE" w:rsidP="00B659FE">
            <w:pPr>
              <w:jc w:val="center"/>
              <w:rPr>
                <w:rFonts w:ascii="Arial Narrow" w:eastAsia="Times New Roman" w:hAnsi="Arial Narrow" w:cs="Calibri"/>
                <w:b/>
                <w:bCs/>
                <w:color w:val="000000"/>
                <w:sz w:val="22"/>
                <w:szCs w:val="22"/>
              </w:rPr>
            </w:pP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4B200587" w14:textId="77777777" w:rsidR="00B659FE" w:rsidRPr="00B659FE" w:rsidRDefault="00B659FE" w:rsidP="00B659FE">
            <w:pPr>
              <w:jc w:val="both"/>
              <w:rPr>
                <w:rFonts w:ascii="Arial Narrow" w:eastAsia="Times New Roman" w:hAnsi="Arial Narrow" w:cs="Calibri"/>
                <w:b/>
                <w:bCs/>
                <w:color w:val="000000"/>
                <w:sz w:val="22"/>
                <w:szCs w:val="22"/>
                <w:lang w:val="es-CR"/>
              </w:rPr>
            </w:pPr>
            <w:r w:rsidRPr="00B659FE">
              <w:rPr>
                <w:rFonts w:ascii="Arial Narrow" w:eastAsia="Times New Roman" w:hAnsi="Arial Narrow" w:cs="Calibri"/>
                <w:b/>
                <w:bCs/>
                <w:color w:val="000000"/>
                <w:sz w:val="22"/>
                <w:szCs w:val="22"/>
                <w:lang w:val="es-CR"/>
              </w:rPr>
              <w:t>Reconocimiento de un pasivo contingente</w:t>
            </w:r>
          </w:p>
        </w:tc>
        <w:tc>
          <w:tcPr>
            <w:tcW w:w="2135" w:type="dxa"/>
            <w:tcBorders>
              <w:top w:val="single" w:sz="8" w:space="0" w:color="auto"/>
              <w:left w:val="nil"/>
              <w:bottom w:val="single" w:sz="8" w:space="0" w:color="auto"/>
              <w:right w:val="single" w:sz="8" w:space="0" w:color="auto"/>
            </w:tcBorders>
            <w:shd w:val="clear" w:color="auto" w:fill="auto"/>
            <w:vAlign w:val="center"/>
            <w:hideMark/>
          </w:tcPr>
          <w:p w14:paraId="30D7FE96" w14:textId="77777777" w:rsidR="00393C79" w:rsidRDefault="00B659FE" w:rsidP="00B659FE">
            <w:pPr>
              <w:jc w:val="both"/>
              <w:rPr>
                <w:rFonts w:ascii="Arial Narrow" w:eastAsia="Times New Roman" w:hAnsi="Arial Narrow" w:cs="Calibri"/>
                <w:b/>
                <w:bCs/>
                <w:color w:val="000000"/>
                <w:sz w:val="22"/>
                <w:szCs w:val="22"/>
              </w:rPr>
            </w:pPr>
            <w:r w:rsidRPr="00B659FE">
              <w:rPr>
                <w:rFonts w:ascii="Arial Narrow" w:eastAsia="Times New Roman" w:hAnsi="Arial Narrow" w:cs="Calibri"/>
                <w:b/>
                <w:bCs/>
                <w:color w:val="000000"/>
                <w:sz w:val="22"/>
                <w:szCs w:val="22"/>
              </w:rPr>
              <w:t xml:space="preserve">NICSP N° 19, </w:t>
            </w:r>
          </w:p>
          <w:p w14:paraId="2680E7FB" w14:textId="514A7785" w:rsidR="00B659FE" w:rsidRPr="00B659FE" w:rsidRDefault="00B659FE" w:rsidP="00B659FE">
            <w:pPr>
              <w:jc w:val="both"/>
              <w:rPr>
                <w:rFonts w:ascii="Arial Narrow" w:eastAsia="Times New Roman" w:hAnsi="Arial Narrow" w:cs="Calibri"/>
                <w:b/>
                <w:bCs/>
                <w:color w:val="000000"/>
                <w:sz w:val="22"/>
                <w:szCs w:val="22"/>
              </w:rPr>
            </w:pPr>
            <w:r w:rsidRPr="00B659FE">
              <w:rPr>
                <w:rFonts w:ascii="Arial Narrow" w:eastAsia="Times New Roman" w:hAnsi="Arial Narrow" w:cs="Calibri"/>
                <w:b/>
                <w:bCs/>
                <w:color w:val="000000"/>
                <w:sz w:val="22"/>
                <w:szCs w:val="22"/>
              </w:rPr>
              <w:t>Párrafos 20 y 35.</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3A505D27" w14:textId="77777777" w:rsidR="00B659FE" w:rsidRPr="00B659FE" w:rsidRDefault="00B659FE" w:rsidP="00B659FE">
            <w:pPr>
              <w:rPr>
                <w:rFonts w:ascii="Arial Narrow" w:eastAsia="Times New Roman" w:hAnsi="Arial Narrow" w:cs="Calibri"/>
                <w:b/>
                <w:bCs/>
                <w:color w:val="000000"/>
                <w:sz w:val="22"/>
                <w:szCs w:val="22"/>
              </w:rPr>
            </w:pPr>
            <w:r w:rsidRPr="00B659FE">
              <w:rPr>
                <w:rFonts w:ascii="Arial Narrow" w:eastAsia="Times New Roman" w:hAnsi="Arial Narrow" w:cs="Calibri"/>
                <w:b/>
                <w:bCs/>
                <w:color w:val="000000"/>
                <w:sz w:val="22"/>
                <w:szCs w:val="22"/>
              </w:rPr>
              <w:t xml:space="preserve"> </w:t>
            </w:r>
          </w:p>
        </w:tc>
      </w:tr>
    </w:tbl>
    <w:p w14:paraId="3B6E7ACD" w14:textId="77777777" w:rsidR="00315F04" w:rsidRDefault="00315F04" w:rsidP="00393C79">
      <w:pPr>
        <w:pStyle w:val="Default"/>
        <w:ind w:right="261"/>
        <w:jc w:val="both"/>
        <w:rPr>
          <w:sz w:val="22"/>
          <w:szCs w:val="22"/>
          <w:lang w:val="es-CR"/>
        </w:rPr>
      </w:pPr>
    </w:p>
    <w:p w14:paraId="52FE5103" w14:textId="0176CB77" w:rsidR="00393C79" w:rsidRDefault="00393C79" w:rsidP="00393C79">
      <w:pPr>
        <w:pStyle w:val="Default"/>
        <w:ind w:right="261"/>
        <w:jc w:val="both"/>
        <w:rPr>
          <w:rFonts w:eastAsia="Arial"/>
          <w:b/>
          <w:sz w:val="22"/>
          <w:szCs w:val="22"/>
        </w:rPr>
      </w:pPr>
      <w:r w:rsidRPr="00F02F9D">
        <w:rPr>
          <w:rFonts w:eastAsia="Arial"/>
          <w:b/>
          <w:sz w:val="22"/>
          <w:szCs w:val="22"/>
        </w:rPr>
        <w:t>Políticas Contables</w:t>
      </w:r>
    </w:p>
    <w:p w14:paraId="35E55D36" w14:textId="77777777" w:rsidR="00393C79" w:rsidRDefault="00393C79" w:rsidP="00393C79">
      <w:pPr>
        <w:pStyle w:val="Default"/>
        <w:ind w:right="261"/>
        <w:jc w:val="both"/>
        <w:rPr>
          <w:sz w:val="22"/>
          <w:szCs w:val="22"/>
          <w:lang w:val="es-CR"/>
        </w:rPr>
      </w:pPr>
    </w:p>
    <w:p w14:paraId="6E4FFC98" w14:textId="34B0B30A" w:rsidR="00B659FE" w:rsidRPr="00B659FE" w:rsidRDefault="00B659FE" w:rsidP="00B659FE">
      <w:pPr>
        <w:pStyle w:val="Default"/>
        <w:ind w:left="1134" w:hanging="1134"/>
        <w:jc w:val="both"/>
        <w:rPr>
          <w:sz w:val="22"/>
          <w:szCs w:val="22"/>
          <w:lang w:val="es-CR"/>
        </w:rPr>
      </w:pPr>
      <w:r>
        <w:rPr>
          <w:sz w:val="22"/>
          <w:szCs w:val="22"/>
          <w:lang w:val="es-CR"/>
        </w:rPr>
        <w:t>2.96.0.01</w:t>
      </w:r>
      <w:r>
        <w:rPr>
          <w:sz w:val="22"/>
          <w:szCs w:val="22"/>
          <w:lang w:val="es-CR"/>
        </w:rPr>
        <w:tab/>
      </w:r>
      <w:r w:rsidRPr="00B659FE">
        <w:rPr>
          <w:sz w:val="22"/>
          <w:szCs w:val="22"/>
          <w:lang w:val="es-CR"/>
        </w:rPr>
        <w:t xml:space="preserve">Un pasivo contingente es un pasivo que no se reconoce contablemente debido a que su existencia será confirmada sólo porque suceda o, en su caso, porque no suceda uno o más eventos inciertos en el futuro, que no están enteramente bajo el control de la entidad, o debido a que el pasivo no satisface los criterios de reconocimiento. </w:t>
      </w:r>
    </w:p>
    <w:p w14:paraId="6EDC65BB" w14:textId="77777777" w:rsidR="00B659FE" w:rsidRDefault="00B659FE" w:rsidP="00C15FE6">
      <w:pPr>
        <w:pStyle w:val="Default"/>
        <w:ind w:left="1134" w:right="261" w:hanging="1134"/>
        <w:jc w:val="both"/>
        <w:rPr>
          <w:sz w:val="22"/>
          <w:szCs w:val="22"/>
          <w:lang w:val="es-CR"/>
        </w:rPr>
      </w:pPr>
    </w:p>
    <w:p w14:paraId="5FDC4C2A" w14:textId="7336865F" w:rsidR="00315F04" w:rsidRPr="00B659FE" w:rsidRDefault="00B659FE" w:rsidP="00B659FE">
      <w:pPr>
        <w:pStyle w:val="Default"/>
        <w:spacing w:after="120" w:line="238" w:lineRule="auto"/>
        <w:ind w:left="1134" w:right="4" w:hanging="1134"/>
        <w:jc w:val="both"/>
        <w:rPr>
          <w:sz w:val="22"/>
          <w:szCs w:val="22"/>
          <w:lang w:val="es-CR"/>
        </w:rPr>
      </w:pPr>
      <w:r>
        <w:rPr>
          <w:sz w:val="22"/>
          <w:szCs w:val="22"/>
          <w:lang w:val="es-CR"/>
        </w:rPr>
        <w:t>2.96.0.02</w:t>
      </w:r>
      <w:r>
        <w:rPr>
          <w:sz w:val="22"/>
          <w:szCs w:val="22"/>
          <w:lang w:val="es-CR"/>
        </w:rPr>
        <w:tab/>
      </w:r>
      <w:r w:rsidRPr="00B659FE">
        <w:rPr>
          <w:sz w:val="22"/>
          <w:szCs w:val="22"/>
          <w:lang w:val="es-CR"/>
        </w:rPr>
        <w:t>Los pasivos contingentes sólo deben informarse en las notas a los estados financieros.</w:t>
      </w:r>
    </w:p>
    <w:p w14:paraId="65BBE090" w14:textId="77777777" w:rsidR="00315F04" w:rsidRDefault="00315F04" w:rsidP="002A638A">
      <w:pPr>
        <w:pStyle w:val="Default"/>
        <w:spacing w:after="120" w:line="238" w:lineRule="auto"/>
        <w:ind w:right="260"/>
        <w:jc w:val="both"/>
        <w:rPr>
          <w:sz w:val="22"/>
          <w:szCs w:val="22"/>
          <w:lang w:val="es-CR"/>
        </w:rPr>
      </w:pPr>
    </w:p>
    <w:tbl>
      <w:tblPr>
        <w:tblW w:w="9386" w:type="dxa"/>
        <w:tblLook w:val="04A0" w:firstRow="1" w:lastRow="0" w:firstColumn="1" w:lastColumn="0" w:noHBand="0" w:noVBand="1"/>
      </w:tblPr>
      <w:tblGrid>
        <w:gridCol w:w="644"/>
        <w:gridCol w:w="417"/>
        <w:gridCol w:w="621"/>
        <w:gridCol w:w="3684"/>
        <w:gridCol w:w="2137"/>
        <w:gridCol w:w="1873"/>
        <w:gridCol w:w="10"/>
      </w:tblGrid>
      <w:tr w:rsidR="00C15FE6" w:rsidRPr="00C15FE6" w14:paraId="288700C6" w14:textId="77777777" w:rsidTr="00393C79">
        <w:trPr>
          <w:trHeight w:val="320"/>
        </w:trPr>
        <w:tc>
          <w:tcPr>
            <w:tcW w:w="168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BA38FEE" w14:textId="77777777" w:rsidR="00C15FE6" w:rsidRPr="00C15FE6" w:rsidRDefault="00C15FE6" w:rsidP="00C15FE6">
            <w:pPr>
              <w:jc w:val="center"/>
              <w:rPr>
                <w:rFonts w:ascii="Arial Narrow" w:eastAsia="Times New Roman" w:hAnsi="Arial Narrow" w:cs="Calibri"/>
                <w:b/>
                <w:bCs/>
                <w:color w:val="FFFFFF"/>
                <w:sz w:val="22"/>
                <w:szCs w:val="22"/>
              </w:rPr>
            </w:pPr>
            <w:r w:rsidRPr="00C15FE6">
              <w:rPr>
                <w:rFonts w:ascii="Arial Narrow" w:eastAsia="Times New Roman" w:hAnsi="Arial Narrow" w:cs="Calibri"/>
                <w:b/>
                <w:bCs/>
                <w:color w:val="FFFFFF"/>
                <w:sz w:val="22"/>
                <w:szCs w:val="22"/>
              </w:rPr>
              <w:t>Norma / Política</w:t>
            </w:r>
          </w:p>
        </w:tc>
        <w:tc>
          <w:tcPr>
            <w:tcW w:w="3684" w:type="dxa"/>
            <w:vMerge w:val="restart"/>
            <w:tcBorders>
              <w:top w:val="single" w:sz="8" w:space="0" w:color="auto"/>
              <w:left w:val="single" w:sz="8" w:space="0" w:color="auto"/>
              <w:bottom w:val="nil"/>
              <w:right w:val="single" w:sz="8" w:space="0" w:color="auto"/>
            </w:tcBorders>
            <w:shd w:val="clear" w:color="000000" w:fill="203764"/>
            <w:vAlign w:val="center"/>
            <w:hideMark/>
          </w:tcPr>
          <w:p w14:paraId="7CD59199" w14:textId="77777777" w:rsidR="00C15FE6" w:rsidRPr="00C15FE6" w:rsidRDefault="00C15FE6" w:rsidP="00C15FE6">
            <w:pPr>
              <w:jc w:val="center"/>
              <w:rPr>
                <w:rFonts w:ascii="Arial Narrow" w:eastAsia="Times New Roman" w:hAnsi="Arial Narrow" w:cs="Calibri"/>
                <w:b/>
                <w:bCs/>
                <w:color w:val="FFFFFF"/>
                <w:sz w:val="22"/>
                <w:szCs w:val="22"/>
              </w:rPr>
            </w:pPr>
            <w:r w:rsidRPr="00C15FE6">
              <w:rPr>
                <w:rFonts w:ascii="Arial Narrow" w:eastAsia="Times New Roman" w:hAnsi="Arial Narrow" w:cs="Calibri"/>
                <w:b/>
                <w:bCs/>
                <w:color w:val="FFFFFF"/>
                <w:sz w:val="22"/>
                <w:szCs w:val="22"/>
              </w:rPr>
              <w:t>Concepto</w:t>
            </w:r>
          </w:p>
        </w:tc>
        <w:tc>
          <w:tcPr>
            <w:tcW w:w="4020" w:type="dxa"/>
            <w:gridSpan w:val="3"/>
            <w:tcBorders>
              <w:top w:val="single" w:sz="8" w:space="0" w:color="auto"/>
              <w:left w:val="nil"/>
              <w:bottom w:val="single" w:sz="8" w:space="0" w:color="auto"/>
              <w:right w:val="single" w:sz="8" w:space="0" w:color="000000"/>
            </w:tcBorders>
            <w:shd w:val="clear" w:color="000000" w:fill="203764"/>
            <w:vAlign w:val="center"/>
            <w:hideMark/>
          </w:tcPr>
          <w:p w14:paraId="283F8967" w14:textId="77777777" w:rsidR="00C15FE6" w:rsidRPr="00C15FE6" w:rsidRDefault="00C15FE6" w:rsidP="00C15FE6">
            <w:pPr>
              <w:jc w:val="center"/>
              <w:rPr>
                <w:rFonts w:ascii="Arial Narrow" w:eastAsia="Times New Roman" w:hAnsi="Arial Narrow" w:cs="Calibri"/>
                <w:b/>
                <w:bCs/>
                <w:color w:val="FFFFFF"/>
                <w:sz w:val="22"/>
                <w:szCs w:val="22"/>
              </w:rPr>
            </w:pPr>
            <w:r w:rsidRPr="00C15FE6">
              <w:rPr>
                <w:rFonts w:ascii="Arial Narrow" w:eastAsia="Times New Roman" w:hAnsi="Arial Narrow" w:cs="Calibri"/>
                <w:b/>
                <w:bCs/>
                <w:color w:val="FFFFFF"/>
                <w:sz w:val="22"/>
                <w:szCs w:val="22"/>
              </w:rPr>
              <w:t>Referencia</w:t>
            </w:r>
          </w:p>
        </w:tc>
      </w:tr>
      <w:tr w:rsidR="00C15FE6" w:rsidRPr="006E5442" w14:paraId="1BD194F3" w14:textId="77777777" w:rsidTr="00393C79">
        <w:trPr>
          <w:gridAfter w:val="1"/>
          <w:wAfter w:w="10" w:type="dxa"/>
          <w:trHeight w:val="758"/>
        </w:trPr>
        <w:tc>
          <w:tcPr>
            <w:tcW w:w="1682" w:type="dxa"/>
            <w:gridSpan w:val="3"/>
            <w:vMerge/>
            <w:tcBorders>
              <w:top w:val="single" w:sz="8" w:space="0" w:color="auto"/>
              <w:left w:val="single" w:sz="8" w:space="0" w:color="auto"/>
              <w:bottom w:val="nil"/>
              <w:right w:val="single" w:sz="8" w:space="0" w:color="000000"/>
            </w:tcBorders>
            <w:vAlign w:val="center"/>
            <w:hideMark/>
          </w:tcPr>
          <w:p w14:paraId="5E3562ED" w14:textId="77777777" w:rsidR="00C15FE6" w:rsidRPr="00C15FE6" w:rsidRDefault="00C15FE6" w:rsidP="00C15FE6">
            <w:pPr>
              <w:rPr>
                <w:rFonts w:ascii="Arial Narrow" w:eastAsia="Times New Roman" w:hAnsi="Arial Narrow" w:cs="Calibri"/>
                <w:b/>
                <w:bCs/>
                <w:color w:val="FFFFFF"/>
                <w:sz w:val="22"/>
                <w:szCs w:val="22"/>
              </w:rPr>
            </w:pPr>
          </w:p>
        </w:tc>
        <w:tc>
          <w:tcPr>
            <w:tcW w:w="3684" w:type="dxa"/>
            <w:vMerge/>
            <w:tcBorders>
              <w:top w:val="single" w:sz="8" w:space="0" w:color="auto"/>
              <w:left w:val="single" w:sz="8" w:space="0" w:color="auto"/>
              <w:bottom w:val="nil"/>
              <w:right w:val="single" w:sz="8" w:space="0" w:color="auto"/>
            </w:tcBorders>
            <w:vAlign w:val="center"/>
            <w:hideMark/>
          </w:tcPr>
          <w:p w14:paraId="41210460" w14:textId="77777777" w:rsidR="00C15FE6" w:rsidRPr="00C15FE6" w:rsidRDefault="00C15FE6" w:rsidP="00C15FE6">
            <w:pPr>
              <w:rPr>
                <w:rFonts w:ascii="Arial Narrow" w:eastAsia="Times New Roman" w:hAnsi="Arial Narrow" w:cs="Calibri"/>
                <w:b/>
                <w:bCs/>
                <w:color w:val="FFFFFF"/>
                <w:sz w:val="22"/>
                <w:szCs w:val="22"/>
              </w:rPr>
            </w:pPr>
          </w:p>
        </w:tc>
        <w:tc>
          <w:tcPr>
            <w:tcW w:w="2137" w:type="dxa"/>
            <w:tcBorders>
              <w:top w:val="nil"/>
              <w:left w:val="nil"/>
              <w:bottom w:val="nil"/>
              <w:right w:val="single" w:sz="8" w:space="0" w:color="auto"/>
            </w:tcBorders>
            <w:shd w:val="clear" w:color="000000" w:fill="203764"/>
            <w:vAlign w:val="center"/>
            <w:hideMark/>
          </w:tcPr>
          <w:p w14:paraId="2AB1AE65" w14:textId="77777777" w:rsidR="00C15FE6" w:rsidRPr="00C15FE6" w:rsidRDefault="00C15FE6" w:rsidP="00C15FE6">
            <w:pPr>
              <w:jc w:val="center"/>
              <w:rPr>
                <w:rFonts w:ascii="Arial Narrow" w:eastAsia="Times New Roman" w:hAnsi="Arial Narrow" w:cs="Calibri"/>
                <w:b/>
                <w:bCs/>
                <w:color w:val="FFFFFF"/>
                <w:sz w:val="22"/>
                <w:szCs w:val="22"/>
              </w:rPr>
            </w:pPr>
            <w:r w:rsidRPr="00C15FE6">
              <w:rPr>
                <w:rFonts w:ascii="Arial Narrow" w:eastAsia="Times New Roman" w:hAnsi="Arial Narrow" w:cs="Calibri"/>
                <w:b/>
                <w:bCs/>
                <w:color w:val="FFFFFF"/>
                <w:sz w:val="22"/>
                <w:szCs w:val="22"/>
              </w:rPr>
              <w:t>Norma</w:t>
            </w:r>
          </w:p>
        </w:tc>
        <w:tc>
          <w:tcPr>
            <w:tcW w:w="1873" w:type="dxa"/>
            <w:tcBorders>
              <w:top w:val="nil"/>
              <w:left w:val="nil"/>
              <w:bottom w:val="nil"/>
              <w:right w:val="single" w:sz="8" w:space="0" w:color="auto"/>
            </w:tcBorders>
            <w:shd w:val="clear" w:color="000000" w:fill="203764"/>
            <w:vAlign w:val="center"/>
            <w:hideMark/>
          </w:tcPr>
          <w:p w14:paraId="7D7C1228" w14:textId="77777777" w:rsidR="00C15FE6" w:rsidRPr="00C15FE6" w:rsidRDefault="00C15FE6" w:rsidP="00C15FE6">
            <w:pPr>
              <w:jc w:val="center"/>
              <w:rPr>
                <w:rFonts w:ascii="Arial Narrow" w:eastAsia="Times New Roman" w:hAnsi="Arial Narrow" w:cs="Calibri"/>
                <w:b/>
                <w:bCs/>
                <w:color w:val="FFFFFF"/>
                <w:sz w:val="22"/>
                <w:szCs w:val="22"/>
                <w:lang w:val="es-CR"/>
              </w:rPr>
            </w:pPr>
            <w:r w:rsidRPr="00C15FE6">
              <w:rPr>
                <w:rFonts w:ascii="Arial Narrow" w:eastAsia="Times New Roman" w:hAnsi="Arial Narrow" w:cs="Calibri"/>
                <w:b/>
                <w:bCs/>
                <w:color w:val="FFFFFF"/>
                <w:sz w:val="22"/>
                <w:szCs w:val="22"/>
                <w:lang w:val="es-CR"/>
              </w:rPr>
              <w:t>Normativa técnica y disposiciones adicionales</w:t>
            </w:r>
          </w:p>
        </w:tc>
      </w:tr>
      <w:tr w:rsidR="00C15FE6" w:rsidRPr="00C15FE6" w14:paraId="0679E37A" w14:textId="77777777" w:rsidTr="00393C79">
        <w:trPr>
          <w:gridAfter w:val="1"/>
          <w:wAfter w:w="10" w:type="dxa"/>
          <w:trHeight w:val="503"/>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4BF10A" w14:textId="77777777" w:rsidR="00C15FE6" w:rsidRPr="00C15FE6" w:rsidRDefault="00C15FE6" w:rsidP="00C15FE6">
            <w:pPr>
              <w:jc w:val="center"/>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466AE067" w14:textId="77777777" w:rsidR="00C15FE6" w:rsidRPr="00C15FE6" w:rsidRDefault="00C15FE6" w:rsidP="00C15FE6">
            <w:pPr>
              <w:jc w:val="center"/>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97</w:t>
            </w:r>
          </w:p>
        </w:tc>
        <w:tc>
          <w:tcPr>
            <w:tcW w:w="621" w:type="dxa"/>
            <w:tcBorders>
              <w:top w:val="single" w:sz="8" w:space="0" w:color="auto"/>
              <w:left w:val="nil"/>
              <w:bottom w:val="single" w:sz="8" w:space="0" w:color="auto"/>
              <w:right w:val="single" w:sz="8" w:space="0" w:color="auto"/>
            </w:tcBorders>
            <w:shd w:val="clear" w:color="auto" w:fill="auto"/>
            <w:vAlign w:val="center"/>
            <w:hideMark/>
          </w:tcPr>
          <w:p w14:paraId="0D2FAC1C" w14:textId="77777777" w:rsidR="00C15FE6" w:rsidRPr="00C15FE6" w:rsidRDefault="00C15FE6" w:rsidP="00C15FE6">
            <w:pPr>
              <w:jc w:val="center"/>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0</w:t>
            </w:r>
          </w:p>
        </w:tc>
        <w:tc>
          <w:tcPr>
            <w:tcW w:w="3684" w:type="dxa"/>
            <w:tcBorders>
              <w:top w:val="single" w:sz="8" w:space="0" w:color="auto"/>
              <w:left w:val="nil"/>
              <w:bottom w:val="single" w:sz="8" w:space="0" w:color="auto"/>
              <w:right w:val="single" w:sz="8" w:space="0" w:color="auto"/>
            </w:tcBorders>
            <w:shd w:val="clear" w:color="auto" w:fill="auto"/>
            <w:vAlign w:val="center"/>
            <w:hideMark/>
          </w:tcPr>
          <w:p w14:paraId="78EA55BB" w14:textId="77777777" w:rsidR="00C15FE6" w:rsidRPr="00C15FE6" w:rsidRDefault="00C15FE6" w:rsidP="00C15FE6">
            <w:pPr>
              <w:jc w:val="both"/>
              <w:rPr>
                <w:rFonts w:ascii="Arial Narrow" w:eastAsia="Times New Roman" w:hAnsi="Arial Narrow" w:cs="Calibri"/>
                <w:b/>
                <w:bCs/>
                <w:color w:val="000000"/>
                <w:sz w:val="22"/>
                <w:szCs w:val="22"/>
                <w:lang w:val="es-CR"/>
              </w:rPr>
            </w:pPr>
            <w:r w:rsidRPr="00C15FE6">
              <w:rPr>
                <w:rFonts w:ascii="Arial Narrow" w:eastAsia="Times New Roman" w:hAnsi="Arial Narrow" w:cs="Calibri"/>
                <w:b/>
                <w:bCs/>
                <w:color w:val="000000"/>
                <w:sz w:val="22"/>
                <w:szCs w:val="22"/>
                <w:lang w:val="es-CR"/>
              </w:rPr>
              <w:t>Estimación fiable de la obligación</w:t>
            </w:r>
          </w:p>
        </w:tc>
        <w:tc>
          <w:tcPr>
            <w:tcW w:w="2137" w:type="dxa"/>
            <w:tcBorders>
              <w:top w:val="single" w:sz="8" w:space="0" w:color="auto"/>
              <w:left w:val="nil"/>
              <w:bottom w:val="single" w:sz="8" w:space="0" w:color="auto"/>
              <w:right w:val="single" w:sz="8" w:space="0" w:color="auto"/>
            </w:tcBorders>
            <w:shd w:val="clear" w:color="auto" w:fill="auto"/>
            <w:vAlign w:val="center"/>
            <w:hideMark/>
          </w:tcPr>
          <w:p w14:paraId="1EC517F3" w14:textId="77777777" w:rsidR="00393C79" w:rsidRDefault="00C15FE6" w:rsidP="00C15FE6">
            <w:pPr>
              <w:jc w:val="both"/>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 xml:space="preserve">NICSP N° 19, </w:t>
            </w:r>
          </w:p>
          <w:p w14:paraId="50E7E38A" w14:textId="2CFA70C6" w:rsidR="00C15FE6" w:rsidRPr="00C15FE6" w:rsidRDefault="00C15FE6" w:rsidP="00C15FE6">
            <w:pPr>
              <w:jc w:val="both"/>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Párrafo 33.</w:t>
            </w:r>
          </w:p>
        </w:tc>
        <w:tc>
          <w:tcPr>
            <w:tcW w:w="1873" w:type="dxa"/>
            <w:tcBorders>
              <w:top w:val="single" w:sz="8" w:space="0" w:color="auto"/>
              <w:left w:val="nil"/>
              <w:bottom w:val="single" w:sz="8" w:space="0" w:color="auto"/>
              <w:right w:val="single" w:sz="8" w:space="0" w:color="auto"/>
            </w:tcBorders>
            <w:shd w:val="clear" w:color="auto" w:fill="auto"/>
            <w:vAlign w:val="center"/>
            <w:hideMark/>
          </w:tcPr>
          <w:p w14:paraId="6B1101AB" w14:textId="77777777" w:rsidR="00C15FE6" w:rsidRPr="00C15FE6" w:rsidRDefault="00C15FE6" w:rsidP="00C15FE6">
            <w:pPr>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 xml:space="preserve"> </w:t>
            </w:r>
          </w:p>
        </w:tc>
      </w:tr>
    </w:tbl>
    <w:p w14:paraId="47F97DC5" w14:textId="77777777" w:rsidR="00315F04" w:rsidRDefault="00315F04" w:rsidP="00393C79">
      <w:pPr>
        <w:pStyle w:val="Default"/>
        <w:ind w:right="261"/>
        <w:jc w:val="both"/>
        <w:rPr>
          <w:sz w:val="22"/>
          <w:szCs w:val="22"/>
          <w:lang w:val="es-CR"/>
        </w:rPr>
      </w:pPr>
    </w:p>
    <w:p w14:paraId="3AF1C207" w14:textId="77777777" w:rsidR="00393C79" w:rsidRDefault="00393C79" w:rsidP="00393C79">
      <w:pPr>
        <w:pStyle w:val="Default"/>
        <w:ind w:right="261"/>
        <w:jc w:val="both"/>
        <w:rPr>
          <w:sz w:val="22"/>
          <w:szCs w:val="22"/>
          <w:lang w:val="es-CR"/>
        </w:rPr>
      </w:pPr>
    </w:p>
    <w:p w14:paraId="05D453F4" w14:textId="3DA56F03" w:rsidR="00393C79" w:rsidRDefault="00393C79" w:rsidP="00393C79">
      <w:pPr>
        <w:pStyle w:val="Default"/>
        <w:ind w:right="261"/>
        <w:jc w:val="both"/>
        <w:rPr>
          <w:rFonts w:eastAsia="Arial"/>
          <w:b/>
          <w:sz w:val="22"/>
          <w:szCs w:val="22"/>
        </w:rPr>
      </w:pPr>
      <w:r w:rsidRPr="00F02F9D">
        <w:rPr>
          <w:rFonts w:eastAsia="Arial"/>
          <w:b/>
          <w:sz w:val="22"/>
          <w:szCs w:val="22"/>
        </w:rPr>
        <w:lastRenderedPageBreak/>
        <w:t>Políticas Contables</w:t>
      </w:r>
    </w:p>
    <w:p w14:paraId="00ED0610" w14:textId="77777777" w:rsidR="00393C79" w:rsidRDefault="00393C79" w:rsidP="00393C79">
      <w:pPr>
        <w:pStyle w:val="Default"/>
        <w:ind w:right="261"/>
        <w:jc w:val="both"/>
        <w:rPr>
          <w:sz w:val="22"/>
          <w:szCs w:val="22"/>
          <w:lang w:val="es-CR"/>
        </w:rPr>
      </w:pPr>
    </w:p>
    <w:p w14:paraId="3D2DC38A" w14:textId="0B045A52" w:rsidR="00C15FE6" w:rsidRDefault="00C15FE6" w:rsidP="00C15FE6">
      <w:pPr>
        <w:pStyle w:val="Default"/>
        <w:ind w:left="1134" w:hanging="1134"/>
        <w:jc w:val="both"/>
        <w:rPr>
          <w:sz w:val="22"/>
          <w:szCs w:val="22"/>
          <w:lang w:val="es-CR"/>
        </w:rPr>
      </w:pPr>
      <w:r>
        <w:rPr>
          <w:sz w:val="22"/>
          <w:szCs w:val="22"/>
          <w:lang w:val="es-CR"/>
        </w:rPr>
        <w:t>2.97.0.01</w:t>
      </w:r>
      <w:r>
        <w:rPr>
          <w:sz w:val="22"/>
          <w:szCs w:val="22"/>
          <w:lang w:val="es-CR"/>
        </w:rPr>
        <w:tab/>
      </w:r>
      <w:r w:rsidRPr="00C15FE6">
        <w:rPr>
          <w:sz w:val="22"/>
          <w:szCs w:val="22"/>
          <w:lang w:val="es-CR"/>
        </w:rPr>
        <w:t>El uso de estimaciones es una parte esencial de la preparación de los EEFF y no afecta su fiabilidad. Esto es especialmente cierto en el caso de las provisiones, las cuales, por su naturaleza, son más inciertas que la mayoría de otros pasivos. Deberá determinarse un rango de consecuencias posibles sobre cuya base se pueda realizar una estimación de la obligación que sea suficientemente fiable como para usarla en el reconocimiento de una provisión</w:t>
      </w:r>
    </w:p>
    <w:p w14:paraId="3C597D59" w14:textId="77777777" w:rsidR="00315F04" w:rsidRDefault="00315F04" w:rsidP="002A638A">
      <w:pPr>
        <w:pStyle w:val="Default"/>
        <w:spacing w:after="120" w:line="238" w:lineRule="auto"/>
        <w:ind w:right="260"/>
        <w:jc w:val="both"/>
        <w:rPr>
          <w:sz w:val="22"/>
          <w:szCs w:val="22"/>
          <w:lang w:val="es-CR"/>
        </w:rPr>
      </w:pPr>
    </w:p>
    <w:tbl>
      <w:tblPr>
        <w:tblW w:w="9386" w:type="dxa"/>
        <w:tblLook w:val="04A0" w:firstRow="1" w:lastRow="0" w:firstColumn="1" w:lastColumn="0" w:noHBand="0" w:noVBand="1"/>
      </w:tblPr>
      <w:tblGrid>
        <w:gridCol w:w="643"/>
        <w:gridCol w:w="417"/>
        <w:gridCol w:w="619"/>
        <w:gridCol w:w="3686"/>
        <w:gridCol w:w="2138"/>
        <w:gridCol w:w="1873"/>
        <w:gridCol w:w="10"/>
      </w:tblGrid>
      <w:tr w:rsidR="00C15FE6" w:rsidRPr="00C15FE6" w14:paraId="5E499BBA" w14:textId="77777777" w:rsidTr="00393C79">
        <w:trPr>
          <w:trHeight w:val="320"/>
        </w:trPr>
        <w:tc>
          <w:tcPr>
            <w:tcW w:w="167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6C0BF14" w14:textId="77777777" w:rsidR="00C15FE6" w:rsidRPr="00C15FE6" w:rsidRDefault="00C15FE6" w:rsidP="00C15FE6">
            <w:pPr>
              <w:jc w:val="center"/>
              <w:rPr>
                <w:rFonts w:ascii="Arial Narrow" w:eastAsia="Times New Roman" w:hAnsi="Arial Narrow" w:cs="Calibri"/>
                <w:b/>
                <w:bCs/>
                <w:color w:val="FFFFFF"/>
                <w:sz w:val="22"/>
                <w:szCs w:val="22"/>
              </w:rPr>
            </w:pPr>
            <w:r w:rsidRPr="00C15FE6">
              <w:rPr>
                <w:rFonts w:ascii="Arial Narrow" w:eastAsia="Times New Roman" w:hAnsi="Arial Narrow" w:cs="Calibri"/>
                <w:b/>
                <w:bCs/>
                <w:color w:val="FFFFFF"/>
                <w:sz w:val="22"/>
                <w:szCs w:val="22"/>
              </w:rPr>
              <w:t>Norma / Política</w:t>
            </w:r>
          </w:p>
        </w:tc>
        <w:tc>
          <w:tcPr>
            <w:tcW w:w="3686" w:type="dxa"/>
            <w:vMerge w:val="restart"/>
            <w:tcBorders>
              <w:top w:val="single" w:sz="8" w:space="0" w:color="auto"/>
              <w:left w:val="single" w:sz="8" w:space="0" w:color="auto"/>
              <w:bottom w:val="nil"/>
              <w:right w:val="single" w:sz="8" w:space="0" w:color="auto"/>
            </w:tcBorders>
            <w:shd w:val="clear" w:color="000000" w:fill="203764"/>
            <w:vAlign w:val="center"/>
            <w:hideMark/>
          </w:tcPr>
          <w:p w14:paraId="4B6F1AC3" w14:textId="77777777" w:rsidR="00C15FE6" w:rsidRPr="00C15FE6" w:rsidRDefault="00C15FE6" w:rsidP="00C15FE6">
            <w:pPr>
              <w:jc w:val="center"/>
              <w:rPr>
                <w:rFonts w:ascii="Arial Narrow" w:eastAsia="Times New Roman" w:hAnsi="Arial Narrow" w:cs="Calibri"/>
                <w:b/>
                <w:bCs/>
                <w:color w:val="FFFFFF"/>
                <w:sz w:val="22"/>
                <w:szCs w:val="22"/>
              </w:rPr>
            </w:pPr>
            <w:r w:rsidRPr="00C15FE6">
              <w:rPr>
                <w:rFonts w:ascii="Arial Narrow" w:eastAsia="Times New Roman" w:hAnsi="Arial Narrow" w:cs="Calibri"/>
                <w:b/>
                <w:bCs/>
                <w:color w:val="FFFFFF"/>
                <w:sz w:val="22"/>
                <w:szCs w:val="22"/>
              </w:rPr>
              <w:t>Concepto</w:t>
            </w:r>
          </w:p>
        </w:tc>
        <w:tc>
          <w:tcPr>
            <w:tcW w:w="4021" w:type="dxa"/>
            <w:gridSpan w:val="3"/>
            <w:tcBorders>
              <w:top w:val="single" w:sz="8" w:space="0" w:color="auto"/>
              <w:left w:val="nil"/>
              <w:bottom w:val="single" w:sz="8" w:space="0" w:color="auto"/>
              <w:right w:val="single" w:sz="8" w:space="0" w:color="000000"/>
            </w:tcBorders>
            <w:shd w:val="clear" w:color="000000" w:fill="203764"/>
            <w:vAlign w:val="center"/>
            <w:hideMark/>
          </w:tcPr>
          <w:p w14:paraId="00628309" w14:textId="77777777" w:rsidR="00C15FE6" w:rsidRPr="00C15FE6" w:rsidRDefault="00C15FE6" w:rsidP="00C15FE6">
            <w:pPr>
              <w:jc w:val="center"/>
              <w:rPr>
                <w:rFonts w:ascii="Arial Narrow" w:eastAsia="Times New Roman" w:hAnsi="Arial Narrow" w:cs="Calibri"/>
                <w:b/>
                <w:bCs/>
                <w:color w:val="FFFFFF"/>
                <w:sz w:val="22"/>
                <w:szCs w:val="22"/>
              </w:rPr>
            </w:pPr>
            <w:r w:rsidRPr="00C15FE6">
              <w:rPr>
                <w:rFonts w:ascii="Arial Narrow" w:eastAsia="Times New Roman" w:hAnsi="Arial Narrow" w:cs="Calibri"/>
                <w:b/>
                <w:bCs/>
                <w:color w:val="FFFFFF"/>
                <w:sz w:val="22"/>
                <w:szCs w:val="22"/>
              </w:rPr>
              <w:t>Referencia</w:t>
            </w:r>
          </w:p>
        </w:tc>
      </w:tr>
      <w:tr w:rsidR="00C15FE6" w:rsidRPr="006E5442" w14:paraId="3D1900C5" w14:textId="77777777" w:rsidTr="00393C79">
        <w:trPr>
          <w:gridAfter w:val="1"/>
          <w:wAfter w:w="10" w:type="dxa"/>
          <w:trHeight w:val="685"/>
        </w:trPr>
        <w:tc>
          <w:tcPr>
            <w:tcW w:w="1679" w:type="dxa"/>
            <w:gridSpan w:val="3"/>
            <w:vMerge/>
            <w:tcBorders>
              <w:top w:val="single" w:sz="8" w:space="0" w:color="auto"/>
              <w:left w:val="single" w:sz="8" w:space="0" w:color="auto"/>
              <w:bottom w:val="nil"/>
              <w:right w:val="single" w:sz="8" w:space="0" w:color="000000"/>
            </w:tcBorders>
            <w:vAlign w:val="center"/>
            <w:hideMark/>
          </w:tcPr>
          <w:p w14:paraId="48E815E6" w14:textId="77777777" w:rsidR="00C15FE6" w:rsidRPr="00C15FE6" w:rsidRDefault="00C15FE6" w:rsidP="00C15FE6">
            <w:pPr>
              <w:rPr>
                <w:rFonts w:ascii="Arial Narrow" w:eastAsia="Times New Roman" w:hAnsi="Arial Narrow" w:cs="Calibri"/>
                <w:b/>
                <w:bCs/>
                <w:color w:val="FFFFFF"/>
                <w:sz w:val="22"/>
                <w:szCs w:val="22"/>
              </w:rPr>
            </w:pPr>
          </w:p>
        </w:tc>
        <w:tc>
          <w:tcPr>
            <w:tcW w:w="3686" w:type="dxa"/>
            <w:vMerge/>
            <w:tcBorders>
              <w:top w:val="single" w:sz="8" w:space="0" w:color="auto"/>
              <w:left w:val="single" w:sz="8" w:space="0" w:color="auto"/>
              <w:bottom w:val="nil"/>
              <w:right w:val="single" w:sz="8" w:space="0" w:color="auto"/>
            </w:tcBorders>
            <w:vAlign w:val="center"/>
            <w:hideMark/>
          </w:tcPr>
          <w:p w14:paraId="0A9CECED" w14:textId="77777777" w:rsidR="00C15FE6" w:rsidRPr="00C15FE6" w:rsidRDefault="00C15FE6" w:rsidP="00C15FE6">
            <w:pPr>
              <w:rPr>
                <w:rFonts w:ascii="Arial Narrow" w:eastAsia="Times New Roman" w:hAnsi="Arial Narrow" w:cs="Calibri"/>
                <w:b/>
                <w:bCs/>
                <w:color w:val="FFFFFF"/>
                <w:sz w:val="22"/>
                <w:szCs w:val="22"/>
              </w:rPr>
            </w:pPr>
          </w:p>
        </w:tc>
        <w:tc>
          <w:tcPr>
            <w:tcW w:w="2138" w:type="dxa"/>
            <w:tcBorders>
              <w:top w:val="nil"/>
              <w:left w:val="nil"/>
              <w:bottom w:val="nil"/>
              <w:right w:val="single" w:sz="8" w:space="0" w:color="auto"/>
            </w:tcBorders>
            <w:shd w:val="clear" w:color="000000" w:fill="203764"/>
            <w:vAlign w:val="center"/>
            <w:hideMark/>
          </w:tcPr>
          <w:p w14:paraId="413A07CE" w14:textId="77777777" w:rsidR="00C15FE6" w:rsidRPr="00C15FE6" w:rsidRDefault="00C15FE6" w:rsidP="00C15FE6">
            <w:pPr>
              <w:jc w:val="center"/>
              <w:rPr>
                <w:rFonts w:ascii="Arial Narrow" w:eastAsia="Times New Roman" w:hAnsi="Arial Narrow" w:cs="Calibri"/>
                <w:b/>
                <w:bCs/>
                <w:color w:val="FFFFFF"/>
                <w:sz w:val="22"/>
                <w:szCs w:val="22"/>
              </w:rPr>
            </w:pPr>
            <w:r w:rsidRPr="00C15FE6">
              <w:rPr>
                <w:rFonts w:ascii="Arial Narrow" w:eastAsia="Times New Roman" w:hAnsi="Arial Narrow" w:cs="Calibri"/>
                <w:b/>
                <w:bCs/>
                <w:color w:val="FFFFFF"/>
                <w:sz w:val="22"/>
                <w:szCs w:val="22"/>
              </w:rPr>
              <w:t>Norma</w:t>
            </w:r>
          </w:p>
        </w:tc>
        <w:tc>
          <w:tcPr>
            <w:tcW w:w="1873" w:type="dxa"/>
            <w:tcBorders>
              <w:top w:val="nil"/>
              <w:left w:val="nil"/>
              <w:bottom w:val="nil"/>
              <w:right w:val="single" w:sz="8" w:space="0" w:color="auto"/>
            </w:tcBorders>
            <w:shd w:val="clear" w:color="000000" w:fill="203764"/>
            <w:vAlign w:val="center"/>
            <w:hideMark/>
          </w:tcPr>
          <w:p w14:paraId="6A4A3D27" w14:textId="77777777" w:rsidR="00C15FE6" w:rsidRPr="00C15FE6" w:rsidRDefault="00C15FE6" w:rsidP="00C15FE6">
            <w:pPr>
              <w:jc w:val="center"/>
              <w:rPr>
                <w:rFonts w:ascii="Arial Narrow" w:eastAsia="Times New Roman" w:hAnsi="Arial Narrow" w:cs="Calibri"/>
                <w:b/>
                <w:bCs/>
                <w:color w:val="FFFFFF"/>
                <w:sz w:val="22"/>
                <w:szCs w:val="22"/>
                <w:lang w:val="es-CR"/>
              </w:rPr>
            </w:pPr>
            <w:r w:rsidRPr="00C15FE6">
              <w:rPr>
                <w:rFonts w:ascii="Arial Narrow" w:eastAsia="Times New Roman" w:hAnsi="Arial Narrow" w:cs="Calibri"/>
                <w:b/>
                <w:bCs/>
                <w:color w:val="FFFFFF"/>
                <w:sz w:val="22"/>
                <w:szCs w:val="22"/>
                <w:lang w:val="es-CR"/>
              </w:rPr>
              <w:t>Normativa técnica y disposiciones adicionales</w:t>
            </w:r>
          </w:p>
        </w:tc>
      </w:tr>
      <w:tr w:rsidR="00C15FE6" w:rsidRPr="00C15FE6" w14:paraId="16F06211" w14:textId="77777777" w:rsidTr="00393C79">
        <w:trPr>
          <w:gridAfter w:val="1"/>
          <w:wAfter w:w="10" w:type="dxa"/>
          <w:trHeight w:val="469"/>
        </w:trPr>
        <w:tc>
          <w:tcPr>
            <w:tcW w:w="6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3F6C39" w14:textId="77777777" w:rsidR="00C15FE6" w:rsidRPr="00C15FE6" w:rsidRDefault="00C15FE6" w:rsidP="00C15FE6">
            <w:pPr>
              <w:jc w:val="center"/>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2</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33277457" w14:textId="77777777" w:rsidR="00C15FE6" w:rsidRPr="00C15FE6" w:rsidRDefault="00C15FE6" w:rsidP="00C15FE6">
            <w:pPr>
              <w:jc w:val="center"/>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98</w:t>
            </w:r>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0BA6F8D7" w14:textId="7F02EE9E" w:rsidR="00C15FE6" w:rsidRPr="00C15FE6" w:rsidRDefault="00C15FE6" w:rsidP="00C15FE6">
            <w:pPr>
              <w:jc w:val="center"/>
              <w:rPr>
                <w:rFonts w:ascii="Arial Narrow" w:eastAsia="Times New Roman" w:hAnsi="Arial Narrow" w:cs="Calibri"/>
                <w:b/>
                <w:bCs/>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vAlign w:val="center"/>
            <w:hideMark/>
          </w:tcPr>
          <w:p w14:paraId="1FA5024F" w14:textId="77777777" w:rsidR="00C15FE6" w:rsidRPr="00C15FE6" w:rsidRDefault="00C15FE6" w:rsidP="00C15FE6">
            <w:pPr>
              <w:jc w:val="both"/>
              <w:rPr>
                <w:rFonts w:ascii="Arial Narrow" w:eastAsia="Times New Roman" w:hAnsi="Arial Narrow" w:cs="Calibri"/>
                <w:b/>
                <w:bCs/>
                <w:color w:val="000000"/>
                <w:sz w:val="22"/>
                <w:szCs w:val="22"/>
                <w:lang w:val="es-CR"/>
              </w:rPr>
            </w:pPr>
            <w:r w:rsidRPr="00C15FE6">
              <w:rPr>
                <w:rFonts w:ascii="Arial Narrow" w:eastAsia="Times New Roman" w:hAnsi="Arial Narrow" w:cs="Calibri"/>
                <w:b/>
                <w:bCs/>
                <w:color w:val="000000"/>
                <w:sz w:val="22"/>
                <w:szCs w:val="22"/>
                <w:lang w:val="es-CR"/>
              </w:rPr>
              <w:t>Obligaciones conjuntas, avales y garantías</w:t>
            </w:r>
          </w:p>
        </w:tc>
        <w:tc>
          <w:tcPr>
            <w:tcW w:w="2138" w:type="dxa"/>
            <w:tcBorders>
              <w:top w:val="single" w:sz="8" w:space="0" w:color="auto"/>
              <w:left w:val="nil"/>
              <w:bottom w:val="single" w:sz="8" w:space="0" w:color="auto"/>
              <w:right w:val="single" w:sz="8" w:space="0" w:color="auto"/>
            </w:tcBorders>
            <w:shd w:val="clear" w:color="auto" w:fill="auto"/>
            <w:vAlign w:val="center"/>
            <w:hideMark/>
          </w:tcPr>
          <w:p w14:paraId="064C3425" w14:textId="77777777" w:rsidR="006167A2" w:rsidRDefault="00C15FE6" w:rsidP="00C15FE6">
            <w:pPr>
              <w:jc w:val="both"/>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NICSP N° 19,</w:t>
            </w:r>
          </w:p>
          <w:p w14:paraId="18565F01" w14:textId="35A49746" w:rsidR="00C15FE6" w:rsidRPr="00C15FE6" w:rsidRDefault="00C15FE6" w:rsidP="00C15FE6">
            <w:pPr>
              <w:jc w:val="both"/>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Párrafos 37 y 68.</w:t>
            </w:r>
          </w:p>
        </w:tc>
        <w:tc>
          <w:tcPr>
            <w:tcW w:w="1873" w:type="dxa"/>
            <w:tcBorders>
              <w:top w:val="single" w:sz="8" w:space="0" w:color="auto"/>
              <w:left w:val="nil"/>
              <w:bottom w:val="single" w:sz="8" w:space="0" w:color="auto"/>
              <w:right w:val="single" w:sz="8" w:space="0" w:color="auto"/>
            </w:tcBorders>
            <w:shd w:val="clear" w:color="auto" w:fill="auto"/>
            <w:vAlign w:val="center"/>
            <w:hideMark/>
          </w:tcPr>
          <w:p w14:paraId="448755B9" w14:textId="77777777" w:rsidR="00C15FE6" w:rsidRPr="00C15FE6" w:rsidRDefault="00C15FE6" w:rsidP="00C15FE6">
            <w:pPr>
              <w:rPr>
                <w:rFonts w:ascii="Arial Narrow" w:eastAsia="Times New Roman" w:hAnsi="Arial Narrow" w:cs="Calibri"/>
                <w:b/>
                <w:bCs/>
                <w:color w:val="000000"/>
                <w:sz w:val="22"/>
                <w:szCs w:val="22"/>
              </w:rPr>
            </w:pPr>
            <w:r w:rsidRPr="00C15FE6">
              <w:rPr>
                <w:rFonts w:ascii="Arial Narrow" w:eastAsia="Times New Roman" w:hAnsi="Arial Narrow" w:cs="Calibri"/>
                <w:b/>
                <w:bCs/>
                <w:color w:val="000000"/>
                <w:sz w:val="22"/>
                <w:szCs w:val="22"/>
              </w:rPr>
              <w:t xml:space="preserve"> </w:t>
            </w:r>
          </w:p>
        </w:tc>
      </w:tr>
    </w:tbl>
    <w:p w14:paraId="4CA1223C" w14:textId="77777777" w:rsidR="002A638A" w:rsidRDefault="002A638A" w:rsidP="00393C79">
      <w:pPr>
        <w:pStyle w:val="Default"/>
        <w:ind w:right="261"/>
        <w:jc w:val="both"/>
        <w:rPr>
          <w:sz w:val="22"/>
          <w:szCs w:val="22"/>
          <w:lang w:val="es-CR"/>
        </w:rPr>
      </w:pPr>
    </w:p>
    <w:p w14:paraId="1CE09511" w14:textId="30BAF1D4" w:rsidR="00393C79" w:rsidRDefault="00393C79" w:rsidP="00393C79">
      <w:pPr>
        <w:pStyle w:val="Default"/>
        <w:ind w:right="261"/>
        <w:jc w:val="both"/>
        <w:rPr>
          <w:rFonts w:eastAsia="Arial"/>
          <w:b/>
          <w:sz w:val="22"/>
          <w:szCs w:val="22"/>
        </w:rPr>
      </w:pPr>
      <w:r w:rsidRPr="00F02F9D">
        <w:rPr>
          <w:rFonts w:eastAsia="Arial"/>
          <w:b/>
          <w:sz w:val="22"/>
          <w:szCs w:val="22"/>
        </w:rPr>
        <w:t>Política Contable</w:t>
      </w:r>
    </w:p>
    <w:p w14:paraId="78FB2A50" w14:textId="77777777" w:rsidR="00393C79" w:rsidRDefault="00393C79" w:rsidP="00393C79">
      <w:pPr>
        <w:pStyle w:val="Default"/>
        <w:ind w:right="261"/>
        <w:jc w:val="both"/>
        <w:rPr>
          <w:sz w:val="22"/>
          <w:szCs w:val="22"/>
          <w:lang w:val="es-CR"/>
        </w:rPr>
      </w:pPr>
    </w:p>
    <w:p w14:paraId="78A56F07" w14:textId="69169AC0" w:rsidR="00C15FE6" w:rsidRDefault="00C15FE6" w:rsidP="00C15FE6">
      <w:pPr>
        <w:pStyle w:val="Default"/>
        <w:ind w:left="1134" w:hanging="1134"/>
        <w:jc w:val="both"/>
        <w:rPr>
          <w:sz w:val="22"/>
          <w:szCs w:val="22"/>
          <w:lang w:val="es-CR"/>
        </w:rPr>
      </w:pPr>
      <w:r>
        <w:rPr>
          <w:sz w:val="22"/>
          <w:szCs w:val="22"/>
          <w:lang w:val="es-CR"/>
        </w:rPr>
        <w:t>2.98.0.01</w:t>
      </w:r>
      <w:r>
        <w:rPr>
          <w:sz w:val="22"/>
          <w:szCs w:val="22"/>
          <w:lang w:val="es-CR"/>
        </w:rPr>
        <w:tab/>
      </w:r>
      <w:r w:rsidRPr="00C15FE6">
        <w:rPr>
          <w:sz w:val="22"/>
          <w:szCs w:val="22"/>
          <w:lang w:val="es-CR"/>
        </w:rPr>
        <w:t>Cuando una entidad sea responsable de una obligación, de forma conjunta y solidaria con otra u otras entidades, la porción de la obligación que se espera será satisfecha por las otras partes se trata como un pasivo contingente en la medida que se espere sea liquidado por los terceros.</w:t>
      </w:r>
    </w:p>
    <w:p w14:paraId="4440C67F" w14:textId="77777777" w:rsidR="00C15FE6" w:rsidRDefault="00C15FE6" w:rsidP="006167A2">
      <w:pPr>
        <w:pStyle w:val="Default"/>
        <w:ind w:left="1134" w:hanging="1134"/>
        <w:jc w:val="both"/>
        <w:rPr>
          <w:sz w:val="22"/>
          <w:szCs w:val="22"/>
          <w:lang w:val="es-CR"/>
        </w:rPr>
      </w:pPr>
    </w:p>
    <w:p w14:paraId="520034F8" w14:textId="77777777" w:rsidR="00C15FE6" w:rsidRDefault="00C15FE6" w:rsidP="006167A2">
      <w:pPr>
        <w:pStyle w:val="Default"/>
        <w:ind w:left="1134" w:hanging="1134"/>
        <w:jc w:val="both"/>
        <w:rPr>
          <w:sz w:val="22"/>
          <w:szCs w:val="22"/>
          <w:lang w:val="es-CR"/>
        </w:rPr>
      </w:pPr>
    </w:p>
    <w:p w14:paraId="5E4231B8" w14:textId="77777777" w:rsidR="00C15FE6" w:rsidRDefault="00C15FE6" w:rsidP="007E76C2">
      <w:pPr>
        <w:pStyle w:val="Default"/>
        <w:jc w:val="both"/>
        <w:rPr>
          <w:sz w:val="22"/>
          <w:szCs w:val="22"/>
          <w:lang w:val="es-CR"/>
        </w:rPr>
      </w:pPr>
    </w:p>
    <w:tbl>
      <w:tblPr>
        <w:tblW w:w="9397" w:type="dxa"/>
        <w:tblLook w:val="04A0" w:firstRow="1" w:lastRow="0" w:firstColumn="1" w:lastColumn="0" w:noHBand="0" w:noVBand="1"/>
      </w:tblPr>
      <w:tblGrid>
        <w:gridCol w:w="540"/>
        <w:gridCol w:w="520"/>
        <w:gridCol w:w="520"/>
        <w:gridCol w:w="3740"/>
        <w:gridCol w:w="2183"/>
        <w:gridCol w:w="1888"/>
        <w:gridCol w:w="6"/>
      </w:tblGrid>
      <w:tr w:rsidR="007E76C2" w:rsidRPr="007E76C2" w14:paraId="31002BBD" w14:textId="77777777" w:rsidTr="00393C79">
        <w:trPr>
          <w:trHeight w:val="320"/>
        </w:trPr>
        <w:tc>
          <w:tcPr>
            <w:tcW w:w="15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34A0446"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7992E1F8"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Concepto</w:t>
            </w:r>
          </w:p>
        </w:tc>
        <w:tc>
          <w:tcPr>
            <w:tcW w:w="4077" w:type="dxa"/>
            <w:gridSpan w:val="3"/>
            <w:tcBorders>
              <w:top w:val="nil"/>
              <w:left w:val="nil"/>
              <w:bottom w:val="single" w:sz="8" w:space="0" w:color="auto"/>
              <w:right w:val="single" w:sz="8" w:space="0" w:color="000000"/>
            </w:tcBorders>
            <w:shd w:val="clear" w:color="000000" w:fill="203764"/>
            <w:vAlign w:val="center"/>
            <w:hideMark/>
          </w:tcPr>
          <w:p w14:paraId="12F3E0B5"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Referencia</w:t>
            </w:r>
          </w:p>
        </w:tc>
      </w:tr>
      <w:tr w:rsidR="007E76C2" w:rsidRPr="006E5442" w14:paraId="5398FDDF" w14:textId="77777777" w:rsidTr="00393C79">
        <w:trPr>
          <w:gridAfter w:val="1"/>
          <w:wAfter w:w="6" w:type="dxa"/>
          <w:trHeight w:val="852"/>
        </w:trPr>
        <w:tc>
          <w:tcPr>
            <w:tcW w:w="1580" w:type="dxa"/>
            <w:gridSpan w:val="3"/>
            <w:vMerge/>
            <w:tcBorders>
              <w:top w:val="single" w:sz="8" w:space="0" w:color="auto"/>
              <w:left w:val="single" w:sz="8" w:space="0" w:color="auto"/>
              <w:bottom w:val="nil"/>
              <w:right w:val="single" w:sz="8" w:space="0" w:color="000000"/>
            </w:tcBorders>
            <w:vAlign w:val="center"/>
            <w:hideMark/>
          </w:tcPr>
          <w:p w14:paraId="6E9ABD09" w14:textId="77777777" w:rsidR="007E76C2" w:rsidRPr="007E76C2" w:rsidRDefault="007E76C2" w:rsidP="007E76C2">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4152F822" w14:textId="77777777" w:rsidR="007E76C2" w:rsidRPr="007E76C2" w:rsidRDefault="007E76C2" w:rsidP="007E76C2">
            <w:pPr>
              <w:rPr>
                <w:rFonts w:ascii="Arial Narrow" w:eastAsia="Times New Roman" w:hAnsi="Arial Narrow" w:cs="Calibri"/>
                <w:b/>
                <w:bCs/>
                <w:color w:val="FFFFFF"/>
                <w:sz w:val="22"/>
                <w:szCs w:val="22"/>
              </w:rPr>
            </w:pPr>
          </w:p>
        </w:tc>
        <w:tc>
          <w:tcPr>
            <w:tcW w:w="2183" w:type="dxa"/>
            <w:tcBorders>
              <w:top w:val="nil"/>
              <w:left w:val="nil"/>
              <w:bottom w:val="nil"/>
              <w:right w:val="single" w:sz="8" w:space="0" w:color="auto"/>
            </w:tcBorders>
            <w:shd w:val="clear" w:color="000000" w:fill="203764"/>
            <w:vAlign w:val="center"/>
            <w:hideMark/>
          </w:tcPr>
          <w:p w14:paraId="2705FF8D"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Norma</w:t>
            </w:r>
          </w:p>
        </w:tc>
        <w:tc>
          <w:tcPr>
            <w:tcW w:w="1888" w:type="dxa"/>
            <w:tcBorders>
              <w:top w:val="nil"/>
              <w:left w:val="nil"/>
              <w:bottom w:val="nil"/>
              <w:right w:val="single" w:sz="8" w:space="0" w:color="auto"/>
            </w:tcBorders>
            <w:shd w:val="clear" w:color="000000" w:fill="203764"/>
            <w:vAlign w:val="center"/>
            <w:hideMark/>
          </w:tcPr>
          <w:p w14:paraId="2C299DD7" w14:textId="77777777" w:rsidR="007E76C2" w:rsidRPr="007E76C2" w:rsidRDefault="007E76C2" w:rsidP="007E76C2">
            <w:pPr>
              <w:jc w:val="center"/>
              <w:rPr>
                <w:rFonts w:ascii="Arial Narrow" w:eastAsia="Times New Roman" w:hAnsi="Arial Narrow" w:cs="Calibri"/>
                <w:b/>
                <w:bCs/>
                <w:color w:val="FFFFFF"/>
                <w:sz w:val="22"/>
                <w:szCs w:val="22"/>
                <w:lang w:val="es-CR"/>
              </w:rPr>
            </w:pPr>
            <w:r w:rsidRPr="007E76C2">
              <w:rPr>
                <w:rFonts w:ascii="Arial Narrow" w:eastAsia="Times New Roman" w:hAnsi="Arial Narrow" w:cs="Calibri"/>
                <w:b/>
                <w:bCs/>
                <w:color w:val="FFFFFF"/>
                <w:sz w:val="22"/>
                <w:szCs w:val="22"/>
                <w:lang w:val="es-CR"/>
              </w:rPr>
              <w:t>Normativa técnica y disposiciones adicionales</w:t>
            </w:r>
          </w:p>
        </w:tc>
      </w:tr>
      <w:tr w:rsidR="007E76C2" w:rsidRPr="007E76C2" w14:paraId="6C13BAD5" w14:textId="77777777" w:rsidTr="00393C79">
        <w:trPr>
          <w:gridAfter w:val="1"/>
          <w:wAfter w:w="6" w:type="dxa"/>
          <w:trHeight w:val="552"/>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F5039C4"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33C4E14E"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99</w:t>
            </w:r>
          </w:p>
        </w:tc>
        <w:tc>
          <w:tcPr>
            <w:tcW w:w="520" w:type="dxa"/>
            <w:tcBorders>
              <w:top w:val="nil"/>
              <w:left w:val="nil"/>
              <w:bottom w:val="single" w:sz="8" w:space="0" w:color="auto"/>
              <w:right w:val="single" w:sz="8" w:space="0" w:color="auto"/>
            </w:tcBorders>
            <w:shd w:val="clear" w:color="auto" w:fill="auto"/>
            <w:vAlign w:val="center"/>
            <w:hideMark/>
          </w:tcPr>
          <w:p w14:paraId="230443A8" w14:textId="50E5127C" w:rsidR="007E76C2" w:rsidRPr="007E76C2" w:rsidRDefault="007E76C2" w:rsidP="007E76C2">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75A44118" w14:textId="77777777"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Medición de la provisión</w:t>
            </w:r>
          </w:p>
        </w:tc>
        <w:tc>
          <w:tcPr>
            <w:tcW w:w="2183" w:type="dxa"/>
            <w:tcBorders>
              <w:top w:val="single" w:sz="8" w:space="0" w:color="auto"/>
              <w:left w:val="nil"/>
              <w:bottom w:val="single" w:sz="8" w:space="0" w:color="auto"/>
              <w:right w:val="single" w:sz="8" w:space="0" w:color="auto"/>
            </w:tcBorders>
            <w:shd w:val="clear" w:color="auto" w:fill="auto"/>
            <w:vAlign w:val="center"/>
            <w:hideMark/>
          </w:tcPr>
          <w:p w14:paraId="02FE7A9F" w14:textId="77777777" w:rsidR="007E76C2" w:rsidRDefault="007E76C2" w:rsidP="007E76C2">
            <w:pP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NICSP N° 19, </w:t>
            </w:r>
          </w:p>
          <w:p w14:paraId="39623758" w14:textId="3085403F" w:rsidR="007E76C2" w:rsidRPr="007E76C2" w:rsidRDefault="007E76C2" w:rsidP="007E76C2">
            <w:pP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Párrafo 44.</w:t>
            </w:r>
          </w:p>
        </w:tc>
        <w:tc>
          <w:tcPr>
            <w:tcW w:w="1888" w:type="dxa"/>
            <w:tcBorders>
              <w:top w:val="nil"/>
              <w:left w:val="nil"/>
              <w:bottom w:val="single" w:sz="8" w:space="0" w:color="auto"/>
              <w:right w:val="single" w:sz="8" w:space="0" w:color="auto"/>
            </w:tcBorders>
            <w:shd w:val="clear" w:color="auto" w:fill="auto"/>
            <w:vAlign w:val="center"/>
            <w:hideMark/>
          </w:tcPr>
          <w:p w14:paraId="07F20E1A" w14:textId="77777777" w:rsidR="007E76C2" w:rsidRPr="007E76C2" w:rsidRDefault="007E76C2" w:rsidP="007E76C2">
            <w:pPr>
              <w:ind w:firstLineChars="100" w:firstLine="220"/>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 </w:t>
            </w:r>
          </w:p>
        </w:tc>
      </w:tr>
      <w:tr w:rsidR="007E76C2" w:rsidRPr="007E76C2" w14:paraId="73AB0471" w14:textId="77777777" w:rsidTr="00393C79">
        <w:trPr>
          <w:gridAfter w:val="1"/>
          <w:wAfter w:w="6" w:type="dxa"/>
          <w:trHeight w:val="404"/>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BF370D8"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553CE4DC"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99</w:t>
            </w:r>
          </w:p>
        </w:tc>
        <w:tc>
          <w:tcPr>
            <w:tcW w:w="520" w:type="dxa"/>
            <w:tcBorders>
              <w:top w:val="nil"/>
              <w:left w:val="nil"/>
              <w:bottom w:val="single" w:sz="8" w:space="0" w:color="auto"/>
              <w:right w:val="single" w:sz="8" w:space="0" w:color="auto"/>
            </w:tcBorders>
            <w:shd w:val="clear" w:color="auto" w:fill="auto"/>
            <w:vAlign w:val="center"/>
            <w:hideMark/>
          </w:tcPr>
          <w:p w14:paraId="1C24B653"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47733EEE" w14:textId="4E745F08"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Riesgos e incertidu</w:t>
            </w:r>
            <w:r w:rsidR="000E5DF8">
              <w:rPr>
                <w:rFonts w:ascii="Arial Narrow" w:eastAsia="Times New Roman" w:hAnsi="Arial Narrow" w:cs="Calibri"/>
                <w:b/>
                <w:bCs/>
                <w:color w:val="000000"/>
                <w:sz w:val="22"/>
                <w:szCs w:val="22"/>
              </w:rPr>
              <w:t>mb</w:t>
            </w:r>
            <w:r w:rsidRPr="007E76C2">
              <w:rPr>
                <w:rFonts w:ascii="Arial Narrow" w:eastAsia="Times New Roman" w:hAnsi="Arial Narrow" w:cs="Calibri"/>
                <w:b/>
                <w:bCs/>
                <w:color w:val="000000"/>
                <w:sz w:val="22"/>
                <w:szCs w:val="22"/>
              </w:rPr>
              <w:t>res</w:t>
            </w:r>
          </w:p>
        </w:tc>
        <w:tc>
          <w:tcPr>
            <w:tcW w:w="2183" w:type="dxa"/>
            <w:tcBorders>
              <w:top w:val="nil"/>
              <w:left w:val="nil"/>
              <w:bottom w:val="single" w:sz="8" w:space="0" w:color="auto"/>
              <w:right w:val="single" w:sz="8" w:space="0" w:color="auto"/>
            </w:tcBorders>
            <w:shd w:val="clear" w:color="auto" w:fill="auto"/>
            <w:vAlign w:val="center"/>
            <w:hideMark/>
          </w:tcPr>
          <w:p w14:paraId="2B4213D1" w14:textId="77B2CF0B" w:rsidR="007E76C2" w:rsidRPr="007E76C2" w:rsidRDefault="007E76C2" w:rsidP="007E76C2">
            <w:pP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NICSP N° 19,</w:t>
            </w:r>
            <w:r w:rsidRPr="007E76C2">
              <w:rPr>
                <w:rFonts w:ascii="Arial Narrow" w:eastAsia="Times New Roman" w:hAnsi="Arial Narrow" w:cs="Calibri"/>
                <w:b/>
                <w:bCs/>
                <w:color w:val="000000"/>
                <w:sz w:val="22"/>
                <w:szCs w:val="22"/>
              </w:rPr>
              <w:br/>
              <w:t>Párrafo 50.</w:t>
            </w:r>
          </w:p>
        </w:tc>
        <w:tc>
          <w:tcPr>
            <w:tcW w:w="1888" w:type="dxa"/>
            <w:tcBorders>
              <w:top w:val="nil"/>
              <w:left w:val="nil"/>
              <w:bottom w:val="single" w:sz="8" w:space="0" w:color="auto"/>
              <w:right w:val="single" w:sz="8" w:space="0" w:color="auto"/>
            </w:tcBorders>
            <w:shd w:val="clear" w:color="auto" w:fill="auto"/>
            <w:vAlign w:val="center"/>
            <w:hideMark/>
          </w:tcPr>
          <w:p w14:paraId="20FF0D39" w14:textId="77777777" w:rsidR="007E76C2" w:rsidRPr="007E76C2" w:rsidRDefault="007E76C2" w:rsidP="007E76C2">
            <w:pPr>
              <w:ind w:firstLineChars="100" w:firstLine="220"/>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 </w:t>
            </w:r>
          </w:p>
        </w:tc>
      </w:tr>
      <w:tr w:rsidR="007E76C2" w:rsidRPr="007E76C2" w14:paraId="5DCB4602" w14:textId="77777777" w:rsidTr="00393C79">
        <w:trPr>
          <w:gridAfter w:val="1"/>
          <w:wAfter w:w="6" w:type="dxa"/>
          <w:trHeight w:val="44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2D660DC"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754E8A7F"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99</w:t>
            </w:r>
          </w:p>
        </w:tc>
        <w:tc>
          <w:tcPr>
            <w:tcW w:w="520" w:type="dxa"/>
            <w:tcBorders>
              <w:top w:val="nil"/>
              <w:left w:val="nil"/>
              <w:bottom w:val="single" w:sz="8" w:space="0" w:color="auto"/>
              <w:right w:val="single" w:sz="8" w:space="0" w:color="auto"/>
            </w:tcBorders>
            <w:shd w:val="clear" w:color="auto" w:fill="auto"/>
            <w:vAlign w:val="center"/>
            <w:hideMark/>
          </w:tcPr>
          <w:p w14:paraId="61241B47"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41376E5A" w14:textId="77777777"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Valor presente</w:t>
            </w:r>
          </w:p>
        </w:tc>
        <w:tc>
          <w:tcPr>
            <w:tcW w:w="2183" w:type="dxa"/>
            <w:tcBorders>
              <w:top w:val="nil"/>
              <w:left w:val="nil"/>
              <w:bottom w:val="single" w:sz="8" w:space="0" w:color="auto"/>
              <w:right w:val="single" w:sz="8" w:space="0" w:color="auto"/>
            </w:tcBorders>
            <w:shd w:val="clear" w:color="auto" w:fill="auto"/>
            <w:vAlign w:val="center"/>
            <w:hideMark/>
          </w:tcPr>
          <w:p w14:paraId="06913A55" w14:textId="21BDDC6D" w:rsidR="007E76C2" w:rsidRPr="007E76C2" w:rsidRDefault="007E76C2" w:rsidP="007E76C2">
            <w:pP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NICSP N°. 19,</w:t>
            </w:r>
            <w:r w:rsidRPr="007E76C2">
              <w:rPr>
                <w:rFonts w:ascii="Arial Narrow" w:eastAsia="Times New Roman" w:hAnsi="Arial Narrow" w:cs="Calibri"/>
                <w:b/>
                <w:bCs/>
                <w:color w:val="000000"/>
                <w:sz w:val="22"/>
                <w:szCs w:val="22"/>
              </w:rPr>
              <w:br/>
              <w:t>Párrafo 53.</w:t>
            </w:r>
          </w:p>
        </w:tc>
        <w:tc>
          <w:tcPr>
            <w:tcW w:w="1888" w:type="dxa"/>
            <w:tcBorders>
              <w:top w:val="nil"/>
              <w:left w:val="nil"/>
              <w:bottom w:val="single" w:sz="8" w:space="0" w:color="auto"/>
              <w:right w:val="single" w:sz="8" w:space="0" w:color="auto"/>
            </w:tcBorders>
            <w:shd w:val="clear" w:color="auto" w:fill="auto"/>
            <w:vAlign w:val="center"/>
            <w:hideMark/>
          </w:tcPr>
          <w:p w14:paraId="0C7774DF" w14:textId="77777777" w:rsidR="007E76C2" w:rsidRPr="007E76C2" w:rsidRDefault="007E76C2" w:rsidP="007E76C2">
            <w:pPr>
              <w:ind w:firstLineChars="100" w:firstLine="220"/>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 </w:t>
            </w:r>
          </w:p>
        </w:tc>
      </w:tr>
      <w:tr w:rsidR="007E76C2" w:rsidRPr="007E76C2" w14:paraId="5084D3EA" w14:textId="77777777" w:rsidTr="00393C79">
        <w:trPr>
          <w:gridAfter w:val="1"/>
          <w:wAfter w:w="6" w:type="dxa"/>
          <w:trHeight w:val="348"/>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A49A101"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hideMark/>
          </w:tcPr>
          <w:p w14:paraId="55B27AE1"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99</w:t>
            </w:r>
          </w:p>
        </w:tc>
        <w:tc>
          <w:tcPr>
            <w:tcW w:w="520" w:type="dxa"/>
            <w:tcBorders>
              <w:top w:val="nil"/>
              <w:left w:val="nil"/>
              <w:bottom w:val="single" w:sz="8" w:space="0" w:color="auto"/>
              <w:right w:val="single" w:sz="8" w:space="0" w:color="auto"/>
            </w:tcBorders>
            <w:shd w:val="clear" w:color="auto" w:fill="auto"/>
            <w:vAlign w:val="center"/>
            <w:hideMark/>
          </w:tcPr>
          <w:p w14:paraId="3B20E992"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78AD6C17" w14:textId="77777777"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Tasa de descuento</w:t>
            </w:r>
          </w:p>
        </w:tc>
        <w:tc>
          <w:tcPr>
            <w:tcW w:w="2183" w:type="dxa"/>
            <w:tcBorders>
              <w:top w:val="nil"/>
              <w:left w:val="nil"/>
              <w:bottom w:val="single" w:sz="8" w:space="0" w:color="auto"/>
              <w:right w:val="single" w:sz="8" w:space="0" w:color="auto"/>
            </w:tcBorders>
            <w:shd w:val="clear" w:color="auto" w:fill="auto"/>
            <w:vAlign w:val="center"/>
            <w:hideMark/>
          </w:tcPr>
          <w:p w14:paraId="30189755" w14:textId="0BBDFCB8" w:rsidR="007E76C2" w:rsidRPr="007E76C2" w:rsidRDefault="007E76C2" w:rsidP="007E76C2">
            <w:pP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NICSP N°. 19,</w:t>
            </w:r>
            <w:r w:rsidRPr="007E76C2">
              <w:rPr>
                <w:rFonts w:ascii="Arial Narrow" w:eastAsia="Times New Roman" w:hAnsi="Arial Narrow" w:cs="Calibri"/>
                <w:b/>
                <w:bCs/>
                <w:color w:val="000000"/>
                <w:sz w:val="22"/>
                <w:szCs w:val="22"/>
              </w:rPr>
              <w:br/>
              <w:t>Párrafo 56.</w:t>
            </w:r>
          </w:p>
        </w:tc>
        <w:tc>
          <w:tcPr>
            <w:tcW w:w="1888" w:type="dxa"/>
            <w:tcBorders>
              <w:top w:val="nil"/>
              <w:left w:val="nil"/>
              <w:bottom w:val="single" w:sz="8" w:space="0" w:color="auto"/>
              <w:right w:val="single" w:sz="8" w:space="0" w:color="auto"/>
            </w:tcBorders>
            <w:shd w:val="clear" w:color="auto" w:fill="auto"/>
            <w:vAlign w:val="center"/>
            <w:hideMark/>
          </w:tcPr>
          <w:p w14:paraId="3A725DCA" w14:textId="77777777" w:rsidR="007E76C2" w:rsidRPr="007E76C2" w:rsidRDefault="007E76C2" w:rsidP="007E76C2">
            <w:pPr>
              <w:ind w:firstLineChars="100" w:firstLine="220"/>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 </w:t>
            </w:r>
          </w:p>
        </w:tc>
      </w:tr>
    </w:tbl>
    <w:p w14:paraId="78922278" w14:textId="77777777" w:rsidR="007E76C2" w:rsidRDefault="007E76C2" w:rsidP="00C15FE6">
      <w:pPr>
        <w:pStyle w:val="Default"/>
        <w:ind w:left="1134" w:hanging="1134"/>
        <w:jc w:val="both"/>
        <w:rPr>
          <w:sz w:val="22"/>
          <w:szCs w:val="22"/>
          <w:lang w:val="es-CR"/>
        </w:rPr>
      </w:pPr>
    </w:p>
    <w:p w14:paraId="2DF8D456" w14:textId="28A371D5" w:rsidR="00393C79" w:rsidRDefault="00393C79" w:rsidP="00C15FE6">
      <w:pPr>
        <w:pStyle w:val="Default"/>
        <w:ind w:left="1134" w:hanging="1134"/>
        <w:jc w:val="both"/>
        <w:rPr>
          <w:sz w:val="22"/>
          <w:szCs w:val="22"/>
          <w:lang w:val="es-CR"/>
        </w:rPr>
      </w:pPr>
      <w:r w:rsidRPr="00F02F9D">
        <w:rPr>
          <w:rFonts w:eastAsia="Arial"/>
          <w:b/>
          <w:sz w:val="22"/>
          <w:szCs w:val="22"/>
        </w:rPr>
        <w:t>Políticas Contables</w:t>
      </w:r>
    </w:p>
    <w:p w14:paraId="3E82527E" w14:textId="77777777" w:rsidR="00393C79" w:rsidRDefault="00393C79" w:rsidP="00C15FE6">
      <w:pPr>
        <w:pStyle w:val="Default"/>
        <w:ind w:left="1134" w:hanging="1134"/>
        <w:jc w:val="both"/>
        <w:rPr>
          <w:sz w:val="22"/>
          <w:szCs w:val="22"/>
          <w:lang w:val="es-CR"/>
        </w:rPr>
      </w:pPr>
    </w:p>
    <w:p w14:paraId="66C39F1B" w14:textId="2DD6D4EE" w:rsidR="000369E3" w:rsidRPr="000369E3" w:rsidRDefault="000369E3" w:rsidP="000369E3">
      <w:pPr>
        <w:pStyle w:val="Default"/>
        <w:ind w:left="1134" w:hanging="1134"/>
        <w:jc w:val="both"/>
        <w:rPr>
          <w:sz w:val="22"/>
          <w:szCs w:val="22"/>
          <w:lang w:val="es-CR"/>
        </w:rPr>
      </w:pPr>
      <w:r>
        <w:rPr>
          <w:sz w:val="22"/>
          <w:szCs w:val="22"/>
          <w:lang w:val="es-CR"/>
        </w:rPr>
        <w:t>2.99.0.01</w:t>
      </w:r>
      <w:r>
        <w:rPr>
          <w:sz w:val="22"/>
          <w:szCs w:val="22"/>
          <w:lang w:val="es-CR"/>
        </w:rPr>
        <w:tab/>
      </w:r>
      <w:r w:rsidRPr="000369E3">
        <w:rPr>
          <w:sz w:val="22"/>
          <w:szCs w:val="22"/>
          <w:lang w:val="es-CR"/>
        </w:rPr>
        <w:t xml:space="preserve">El monto reconocido como provisión debe ser la mejor estimación del </w:t>
      </w:r>
      <w:r w:rsidR="000E5DF8" w:rsidRPr="000369E3">
        <w:rPr>
          <w:sz w:val="22"/>
          <w:szCs w:val="22"/>
          <w:lang w:val="es-CR"/>
        </w:rPr>
        <w:t>dese</w:t>
      </w:r>
      <w:r w:rsidR="000E5DF8">
        <w:rPr>
          <w:sz w:val="22"/>
          <w:szCs w:val="22"/>
          <w:lang w:val="es-CR"/>
        </w:rPr>
        <w:t>mbo</w:t>
      </w:r>
      <w:r w:rsidR="000E5DF8" w:rsidRPr="000369E3">
        <w:rPr>
          <w:sz w:val="22"/>
          <w:szCs w:val="22"/>
          <w:lang w:val="es-CR"/>
        </w:rPr>
        <w:t>lso</w:t>
      </w:r>
      <w:r w:rsidRPr="000369E3">
        <w:rPr>
          <w:sz w:val="22"/>
          <w:szCs w:val="22"/>
          <w:lang w:val="es-CR"/>
        </w:rPr>
        <w:t xml:space="preserve"> requerido para cancelar la obligación presente a la fecha del balance.</w:t>
      </w:r>
    </w:p>
    <w:p w14:paraId="0AD1CB2D" w14:textId="77777777" w:rsidR="000369E3" w:rsidRPr="000369E3" w:rsidRDefault="000369E3" w:rsidP="000369E3">
      <w:pPr>
        <w:pStyle w:val="Default"/>
        <w:jc w:val="both"/>
        <w:rPr>
          <w:sz w:val="22"/>
          <w:szCs w:val="22"/>
          <w:lang w:val="es-CR"/>
        </w:rPr>
      </w:pPr>
    </w:p>
    <w:p w14:paraId="3258366A" w14:textId="6C494780" w:rsidR="000369E3" w:rsidRPr="000369E3" w:rsidRDefault="000369E3" w:rsidP="000369E3">
      <w:pPr>
        <w:pStyle w:val="Default"/>
        <w:ind w:left="1134" w:hanging="1134"/>
        <w:jc w:val="both"/>
        <w:rPr>
          <w:sz w:val="22"/>
          <w:szCs w:val="22"/>
          <w:lang w:val="es-CR"/>
        </w:rPr>
      </w:pPr>
      <w:r>
        <w:rPr>
          <w:sz w:val="22"/>
          <w:szCs w:val="22"/>
          <w:lang w:val="es-CR"/>
        </w:rPr>
        <w:t>2.99.1.01</w:t>
      </w:r>
      <w:r>
        <w:rPr>
          <w:sz w:val="22"/>
          <w:szCs w:val="22"/>
          <w:lang w:val="es-CR"/>
        </w:rPr>
        <w:tab/>
      </w:r>
      <w:r w:rsidRPr="000369E3">
        <w:rPr>
          <w:sz w:val="22"/>
          <w:szCs w:val="22"/>
          <w:lang w:val="es-CR"/>
        </w:rPr>
        <w:t xml:space="preserve">Para llegar a la mejor estimación de una provisión deben tenerse en cuenta los riesgos e </w:t>
      </w:r>
      <w:r w:rsidR="000E5DF8" w:rsidRPr="000369E3">
        <w:rPr>
          <w:sz w:val="22"/>
          <w:szCs w:val="22"/>
          <w:lang w:val="es-CR"/>
        </w:rPr>
        <w:t>incertidu</w:t>
      </w:r>
      <w:r w:rsidR="000E5DF8">
        <w:rPr>
          <w:sz w:val="22"/>
          <w:szCs w:val="22"/>
          <w:lang w:val="es-CR"/>
        </w:rPr>
        <w:t>mbr</w:t>
      </w:r>
      <w:r w:rsidR="000E5DF8" w:rsidRPr="000369E3">
        <w:rPr>
          <w:sz w:val="22"/>
          <w:szCs w:val="22"/>
          <w:lang w:val="es-CR"/>
        </w:rPr>
        <w:t>es</w:t>
      </w:r>
      <w:r w:rsidRPr="000369E3">
        <w:rPr>
          <w:sz w:val="22"/>
          <w:szCs w:val="22"/>
          <w:lang w:val="es-CR"/>
        </w:rPr>
        <w:t xml:space="preserve"> que inevitablemente rodean a muchos sucesos y circunstancias. </w:t>
      </w:r>
    </w:p>
    <w:p w14:paraId="5B1EFC72" w14:textId="77777777" w:rsidR="000369E3" w:rsidRPr="000369E3" w:rsidRDefault="000369E3" w:rsidP="000369E3">
      <w:pPr>
        <w:pStyle w:val="Default"/>
        <w:jc w:val="both"/>
        <w:rPr>
          <w:sz w:val="22"/>
          <w:szCs w:val="22"/>
          <w:lang w:val="es-CR"/>
        </w:rPr>
      </w:pPr>
    </w:p>
    <w:p w14:paraId="4EC77A81" w14:textId="25240C3F" w:rsidR="000369E3" w:rsidRPr="000369E3" w:rsidRDefault="000369E3" w:rsidP="000369E3">
      <w:pPr>
        <w:pStyle w:val="Default"/>
        <w:ind w:left="1134" w:hanging="1134"/>
        <w:jc w:val="both"/>
        <w:rPr>
          <w:sz w:val="22"/>
          <w:szCs w:val="22"/>
          <w:lang w:val="es-CR"/>
        </w:rPr>
      </w:pPr>
      <w:r w:rsidRPr="000369E3">
        <w:rPr>
          <w:sz w:val="22"/>
          <w:szCs w:val="22"/>
          <w:lang w:val="es-CR"/>
        </w:rPr>
        <w:t>2.</w:t>
      </w:r>
      <w:r>
        <w:rPr>
          <w:sz w:val="22"/>
          <w:szCs w:val="22"/>
          <w:lang w:val="es-CR"/>
        </w:rPr>
        <w:t>99.2.01</w:t>
      </w:r>
      <w:r>
        <w:rPr>
          <w:sz w:val="22"/>
          <w:szCs w:val="22"/>
          <w:lang w:val="es-CR"/>
        </w:rPr>
        <w:tab/>
      </w:r>
      <w:r w:rsidRPr="000369E3">
        <w:rPr>
          <w:sz w:val="22"/>
          <w:szCs w:val="22"/>
          <w:lang w:val="es-CR"/>
        </w:rPr>
        <w:t xml:space="preserve">Cuando resulte importante el efecto temporal sobre el valor del dinero, el importe de la provisión debe ser el valor presente de los </w:t>
      </w:r>
      <w:r w:rsidR="000E5DF8" w:rsidRPr="000369E3">
        <w:rPr>
          <w:sz w:val="22"/>
          <w:szCs w:val="22"/>
          <w:lang w:val="es-CR"/>
        </w:rPr>
        <w:t>dese</w:t>
      </w:r>
      <w:r w:rsidR="000E5DF8">
        <w:rPr>
          <w:sz w:val="22"/>
          <w:szCs w:val="22"/>
          <w:lang w:val="es-CR"/>
        </w:rPr>
        <w:t>mbo</w:t>
      </w:r>
      <w:r w:rsidR="000E5DF8" w:rsidRPr="000369E3">
        <w:rPr>
          <w:sz w:val="22"/>
          <w:szCs w:val="22"/>
          <w:lang w:val="es-CR"/>
        </w:rPr>
        <w:t>lsos</w:t>
      </w:r>
      <w:r w:rsidRPr="000369E3">
        <w:rPr>
          <w:sz w:val="22"/>
          <w:szCs w:val="22"/>
          <w:lang w:val="es-CR"/>
        </w:rPr>
        <w:t xml:space="preserve"> que se espera sean necesarios para cancelar la obligación. </w:t>
      </w:r>
    </w:p>
    <w:p w14:paraId="55B37F94" w14:textId="77777777" w:rsidR="000369E3" w:rsidRPr="000369E3" w:rsidRDefault="000369E3" w:rsidP="000369E3">
      <w:pPr>
        <w:pStyle w:val="Default"/>
        <w:jc w:val="both"/>
        <w:rPr>
          <w:sz w:val="22"/>
          <w:szCs w:val="22"/>
          <w:lang w:val="es-CR"/>
        </w:rPr>
      </w:pPr>
    </w:p>
    <w:p w14:paraId="62322D00" w14:textId="055BEC34" w:rsidR="000369E3" w:rsidRPr="000369E3" w:rsidRDefault="000369E3" w:rsidP="000369E3">
      <w:pPr>
        <w:pStyle w:val="Default"/>
        <w:ind w:left="1134" w:hanging="1134"/>
        <w:jc w:val="both"/>
        <w:rPr>
          <w:sz w:val="22"/>
          <w:szCs w:val="22"/>
          <w:lang w:val="es-CR"/>
        </w:rPr>
      </w:pPr>
      <w:r>
        <w:rPr>
          <w:sz w:val="22"/>
          <w:szCs w:val="22"/>
          <w:lang w:val="es-CR"/>
        </w:rPr>
        <w:t>2.99.3.01</w:t>
      </w:r>
      <w:r>
        <w:rPr>
          <w:sz w:val="22"/>
          <w:szCs w:val="22"/>
          <w:lang w:val="es-CR"/>
        </w:rPr>
        <w:tab/>
      </w:r>
      <w:r w:rsidRPr="000369E3">
        <w:rPr>
          <w:sz w:val="22"/>
          <w:szCs w:val="22"/>
          <w:lang w:val="es-CR"/>
        </w:rPr>
        <w:t>A efectos de la determinación del valor presente, deberá aplicarse la</w:t>
      </w:r>
      <w:r>
        <w:rPr>
          <w:sz w:val="22"/>
          <w:szCs w:val="22"/>
          <w:lang w:val="es-CR"/>
        </w:rPr>
        <w:t>(</w:t>
      </w:r>
      <w:r w:rsidRPr="000369E3">
        <w:rPr>
          <w:sz w:val="22"/>
          <w:szCs w:val="22"/>
          <w:lang w:val="es-CR"/>
        </w:rPr>
        <w:t>s</w:t>
      </w:r>
      <w:r>
        <w:rPr>
          <w:sz w:val="22"/>
          <w:szCs w:val="22"/>
          <w:lang w:val="es-CR"/>
        </w:rPr>
        <w:t>)</w:t>
      </w:r>
      <w:r w:rsidRPr="000369E3">
        <w:rPr>
          <w:sz w:val="22"/>
          <w:szCs w:val="22"/>
          <w:lang w:val="es-CR"/>
        </w:rPr>
        <w:t xml:space="preserve"> tasa</w:t>
      </w:r>
      <w:r>
        <w:rPr>
          <w:sz w:val="22"/>
          <w:szCs w:val="22"/>
          <w:lang w:val="es-CR"/>
        </w:rPr>
        <w:t>(</w:t>
      </w:r>
      <w:r w:rsidRPr="000369E3">
        <w:rPr>
          <w:sz w:val="22"/>
          <w:szCs w:val="22"/>
          <w:lang w:val="es-CR"/>
        </w:rPr>
        <w:t>s</w:t>
      </w:r>
      <w:r>
        <w:rPr>
          <w:sz w:val="22"/>
          <w:szCs w:val="22"/>
          <w:lang w:val="es-CR"/>
        </w:rPr>
        <w:t>)</w:t>
      </w:r>
      <w:r w:rsidRPr="000369E3">
        <w:rPr>
          <w:sz w:val="22"/>
          <w:szCs w:val="22"/>
          <w:lang w:val="es-CR"/>
        </w:rPr>
        <w:t xml:space="preserve"> de descuento que refleje</w:t>
      </w:r>
      <w:r>
        <w:rPr>
          <w:sz w:val="22"/>
          <w:szCs w:val="22"/>
          <w:lang w:val="es-CR"/>
        </w:rPr>
        <w:t>(</w:t>
      </w:r>
      <w:r w:rsidRPr="000369E3">
        <w:rPr>
          <w:sz w:val="22"/>
          <w:szCs w:val="22"/>
          <w:lang w:val="es-CR"/>
        </w:rPr>
        <w:t>n</w:t>
      </w:r>
      <w:r>
        <w:rPr>
          <w:sz w:val="22"/>
          <w:szCs w:val="22"/>
          <w:lang w:val="es-CR"/>
        </w:rPr>
        <w:t>)</w:t>
      </w:r>
      <w:r w:rsidRPr="000369E3">
        <w:rPr>
          <w:sz w:val="22"/>
          <w:szCs w:val="22"/>
          <w:lang w:val="es-CR"/>
        </w:rPr>
        <w:t xml:space="preserve"> las evaluaciones correspondientes al valor temporal del </w:t>
      </w:r>
      <w:r w:rsidRPr="000369E3">
        <w:rPr>
          <w:sz w:val="22"/>
          <w:szCs w:val="22"/>
          <w:lang w:val="es-CR"/>
        </w:rPr>
        <w:lastRenderedPageBreak/>
        <w:t>dinero y el riesgo específico del pasivo correspondiente. Asimismo, la/s tasa/s de descuento no debe</w:t>
      </w:r>
      <w:r>
        <w:rPr>
          <w:sz w:val="22"/>
          <w:szCs w:val="22"/>
          <w:lang w:val="es-CR"/>
        </w:rPr>
        <w:t>(</w:t>
      </w:r>
      <w:r w:rsidRPr="000369E3">
        <w:rPr>
          <w:sz w:val="22"/>
          <w:szCs w:val="22"/>
          <w:lang w:val="es-CR"/>
        </w:rPr>
        <w:t>n</w:t>
      </w:r>
      <w:r>
        <w:rPr>
          <w:sz w:val="22"/>
          <w:szCs w:val="22"/>
          <w:lang w:val="es-CR"/>
        </w:rPr>
        <w:t>)</w:t>
      </w:r>
      <w:r w:rsidRPr="000369E3">
        <w:rPr>
          <w:sz w:val="22"/>
          <w:szCs w:val="22"/>
          <w:lang w:val="es-CR"/>
        </w:rPr>
        <w:t xml:space="preserve"> reflejar los riesgos que hayan sido objeto de ajuste al hacer las estimaciones de los flujos de efectivo futuros. </w:t>
      </w:r>
    </w:p>
    <w:p w14:paraId="2F9EC040" w14:textId="77777777" w:rsidR="002A638A" w:rsidRDefault="002A638A" w:rsidP="002A638A">
      <w:pPr>
        <w:pStyle w:val="Default"/>
        <w:spacing w:after="120" w:line="238" w:lineRule="auto"/>
        <w:ind w:right="260"/>
        <w:jc w:val="both"/>
        <w:rPr>
          <w:sz w:val="22"/>
          <w:szCs w:val="22"/>
          <w:lang w:val="es-CR"/>
        </w:rPr>
      </w:pPr>
    </w:p>
    <w:p w14:paraId="3923C092" w14:textId="77777777" w:rsidR="00393C79" w:rsidRDefault="00393C79" w:rsidP="002A638A">
      <w:pPr>
        <w:pStyle w:val="Default"/>
        <w:spacing w:after="120" w:line="238" w:lineRule="auto"/>
        <w:ind w:right="260"/>
        <w:jc w:val="both"/>
        <w:rPr>
          <w:sz w:val="22"/>
          <w:szCs w:val="22"/>
          <w:lang w:val="es-CR"/>
        </w:rPr>
      </w:pPr>
    </w:p>
    <w:tbl>
      <w:tblPr>
        <w:tblW w:w="9395" w:type="dxa"/>
        <w:tblLook w:val="04A0" w:firstRow="1" w:lastRow="0" w:firstColumn="1" w:lastColumn="0" w:noHBand="0" w:noVBand="1"/>
      </w:tblPr>
      <w:tblGrid>
        <w:gridCol w:w="606"/>
        <w:gridCol w:w="517"/>
        <w:gridCol w:w="581"/>
        <w:gridCol w:w="3669"/>
        <w:gridCol w:w="2130"/>
        <w:gridCol w:w="1872"/>
        <w:gridCol w:w="20"/>
      </w:tblGrid>
      <w:tr w:rsidR="007E76C2" w:rsidRPr="007E76C2" w14:paraId="601EC4BA" w14:textId="77777777" w:rsidTr="00393C79">
        <w:trPr>
          <w:trHeight w:val="300"/>
        </w:trPr>
        <w:tc>
          <w:tcPr>
            <w:tcW w:w="170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0292F54"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Norma / Política</w:t>
            </w:r>
          </w:p>
        </w:tc>
        <w:tc>
          <w:tcPr>
            <w:tcW w:w="366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0981B5"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Concepto</w:t>
            </w:r>
          </w:p>
        </w:tc>
        <w:tc>
          <w:tcPr>
            <w:tcW w:w="4022" w:type="dxa"/>
            <w:gridSpan w:val="3"/>
            <w:tcBorders>
              <w:top w:val="single" w:sz="8" w:space="0" w:color="auto"/>
              <w:left w:val="nil"/>
              <w:bottom w:val="single" w:sz="8" w:space="0" w:color="auto"/>
              <w:right w:val="single" w:sz="8" w:space="0" w:color="000000"/>
            </w:tcBorders>
            <w:shd w:val="clear" w:color="000000" w:fill="203764"/>
            <w:vAlign w:val="center"/>
            <w:hideMark/>
          </w:tcPr>
          <w:p w14:paraId="02C1CE94"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Referencia</w:t>
            </w:r>
          </w:p>
        </w:tc>
      </w:tr>
      <w:tr w:rsidR="007E76C2" w:rsidRPr="006E5442" w14:paraId="0EEF3AC3" w14:textId="77777777" w:rsidTr="00393C79">
        <w:trPr>
          <w:gridAfter w:val="1"/>
          <w:wAfter w:w="20" w:type="dxa"/>
          <w:trHeight w:val="850"/>
        </w:trPr>
        <w:tc>
          <w:tcPr>
            <w:tcW w:w="1704" w:type="dxa"/>
            <w:gridSpan w:val="3"/>
            <w:vMerge/>
            <w:tcBorders>
              <w:top w:val="single" w:sz="8" w:space="0" w:color="auto"/>
              <w:left w:val="single" w:sz="8" w:space="0" w:color="auto"/>
              <w:bottom w:val="nil"/>
              <w:right w:val="single" w:sz="8" w:space="0" w:color="000000"/>
            </w:tcBorders>
            <w:vAlign w:val="center"/>
            <w:hideMark/>
          </w:tcPr>
          <w:p w14:paraId="176DFFEC" w14:textId="77777777" w:rsidR="007E76C2" w:rsidRPr="007E76C2" w:rsidRDefault="007E76C2" w:rsidP="007E76C2">
            <w:pPr>
              <w:rPr>
                <w:rFonts w:ascii="Arial Narrow" w:eastAsia="Times New Roman" w:hAnsi="Arial Narrow" w:cs="Calibri"/>
                <w:b/>
                <w:bCs/>
                <w:color w:val="FFFFFF"/>
                <w:sz w:val="22"/>
                <w:szCs w:val="22"/>
              </w:rPr>
            </w:pPr>
          </w:p>
        </w:tc>
        <w:tc>
          <w:tcPr>
            <w:tcW w:w="3669" w:type="dxa"/>
            <w:vMerge/>
            <w:tcBorders>
              <w:top w:val="single" w:sz="8" w:space="0" w:color="auto"/>
              <w:left w:val="single" w:sz="8" w:space="0" w:color="auto"/>
              <w:bottom w:val="nil"/>
              <w:right w:val="single" w:sz="8" w:space="0" w:color="auto"/>
            </w:tcBorders>
            <w:vAlign w:val="center"/>
            <w:hideMark/>
          </w:tcPr>
          <w:p w14:paraId="71FFBDE0" w14:textId="77777777" w:rsidR="007E76C2" w:rsidRPr="007E76C2" w:rsidRDefault="007E76C2" w:rsidP="007E76C2">
            <w:pPr>
              <w:rPr>
                <w:rFonts w:ascii="Arial Narrow" w:eastAsia="Times New Roman" w:hAnsi="Arial Narrow" w:cs="Calibri"/>
                <w:b/>
                <w:bCs/>
                <w:color w:val="FFFFFF"/>
                <w:sz w:val="22"/>
                <w:szCs w:val="22"/>
              </w:rPr>
            </w:pPr>
          </w:p>
        </w:tc>
        <w:tc>
          <w:tcPr>
            <w:tcW w:w="2130" w:type="dxa"/>
            <w:tcBorders>
              <w:top w:val="nil"/>
              <w:left w:val="nil"/>
              <w:bottom w:val="nil"/>
              <w:right w:val="single" w:sz="8" w:space="0" w:color="auto"/>
            </w:tcBorders>
            <w:shd w:val="clear" w:color="000000" w:fill="203764"/>
            <w:vAlign w:val="center"/>
            <w:hideMark/>
          </w:tcPr>
          <w:p w14:paraId="7B241C9A"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336A453E" w14:textId="77777777" w:rsidR="007E76C2" w:rsidRPr="007E76C2" w:rsidRDefault="007E76C2" w:rsidP="007E76C2">
            <w:pPr>
              <w:jc w:val="center"/>
              <w:rPr>
                <w:rFonts w:ascii="Arial Narrow" w:eastAsia="Times New Roman" w:hAnsi="Arial Narrow" w:cs="Calibri"/>
                <w:b/>
                <w:bCs/>
                <w:color w:val="FFFFFF"/>
                <w:sz w:val="22"/>
                <w:szCs w:val="22"/>
                <w:lang w:val="es-CR"/>
              </w:rPr>
            </w:pPr>
            <w:r w:rsidRPr="007E76C2">
              <w:rPr>
                <w:rFonts w:ascii="Arial Narrow" w:eastAsia="Times New Roman" w:hAnsi="Arial Narrow" w:cs="Calibri"/>
                <w:b/>
                <w:bCs/>
                <w:color w:val="FFFFFF"/>
                <w:sz w:val="22"/>
                <w:szCs w:val="22"/>
                <w:lang w:val="es-CR"/>
              </w:rPr>
              <w:t>Normativa técnica y disposiciones adicionales</w:t>
            </w:r>
          </w:p>
        </w:tc>
      </w:tr>
      <w:tr w:rsidR="007E76C2" w:rsidRPr="007E76C2" w14:paraId="14F5A33E" w14:textId="77777777" w:rsidTr="00393C79">
        <w:trPr>
          <w:gridAfter w:val="1"/>
          <w:wAfter w:w="20" w:type="dxa"/>
          <w:trHeight w:val="570"/>
        </w:trPr>
        <w:tc>
          <w:tcPr>
            <w:tcW w:w="6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ADF926"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4F3BE405"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100</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47A77D04" w14:textId="20434CC6" w:rsidR="007E76C2" w:rsidRPr="007E76C2" w:rsidRDefault="007E76C2" w:rsidP="007E76C2">
            <w:pPr>
              <w:jc w:val="center"/>
              <w:rPr>
                <w:rFonts w:ascii="Arial Narrow" w:eastAsia="Times New Roman" w:hAnsi="Arial Narrow" w:cs="Calibri"/>
                <w:b/>
                <w:bCs/>
                <w:color w:val="000000"/>
                <w:sz w:val="22"/>
                <w:szCs w:val="22"/>
              </w:rPr>
            </w:pPr>
          </w:p>
        </w:tc>
        <w:tc>
          <w:tcPr>
            <w:tcW w:w="3669" w:type="dxa"/>
            <w:tcBorders>
              <w:top w:val="single" w:sz="8" w:space="0" w:color="auto"/>
              <w:left w:val="nil"/>
              <w:bottom w:val="single" w:sz="8" w:space="0" w:color="auto"/>
              <w:right w:val="single" w:sz="8" w:space="0" w:color="auto"/>
            </w:tcBorders>
            <w:shd w:val="clear" w:color="auto" w:fill="auto"/>
            <w:vAlign w:val="center"/>
            <w:hideMark/>
          </w:tcPr>
          <w:p w14:paraId="7F73DD30" w14:textId="77777777"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Sucesos futuros</w:t>
            </w:r>
          </w:p>
        </w:tc>
        <w:tc>
          <w:tcPr>
            <w:tcW w:w="2130" w:type="dxa"/>
            <w:tcBorders>
              <w:top w:val="single" w:sz="8" w:space="0" w:color="auto"/>
              <w:left w:val="nil"/>
              <w:bottom w:val="single" w:sz="8" w:space="0" w:color="auto"/>
              <w:right w:val="single" w:sz="8" w:space="0" w:color="auto"/>
            </w:tcBorders>
            <w:shd w:val="clear" w:color="auto" w:fill="auto"/>
            <w:vAlign w:val="center"/>
            <w:hideMark/>
          </w:tcPr>
          <w:p w14:paraId="20C4F8CB" w14:textId="77777777" w:rsid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NICSP N° 19,</w:t>
            </w:r>
          </w:p>
          <w:p w14:paraId="1AF9795E" w14:textId="104BBE09"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Párrafos 58.</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6FB1D999" w14:textId="77777777" w:rsidR="007E76C2" w:rsidRPr="007E76C2" w:rsidRDefault="007E76C2" w:rsidP="007E76C2">
            <w:pP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 </w:t>
            </w:r>
          </w:p>
        </w:tc>
      </w:tr>
    </w:tbl>
    <w:p w14:paraId="1A79BE09" w14:textId="77777777" w:rsidR="002A638A" w:rsidRDefault="002A638A" w:rsidP="00393C79">
      <w:pPr>
        <w:pStyle w:val="Default"/>
        <w:ind w:right="261"/>
        <w:jc w:val="both"/>
        <w:rPr>
          <w:sz w:val="22"/>
          <w:szCs w:val="22"/>
          <w:lang w:val="es-CR"/>
        </w:rPr>
      </w:pPr>
    </w:p>
    <w:p w14:paraId="1EDE0B10" w14:textId="4CAD0EC1" w:rsidR="00393C79" w:rsidRDefault="00393C79" w:rsidP="00393C79">
      <w:pPr>
        <w:pStyle w:val="Default"/>
        <w:ind w:right="261"/>
        <w:jc w:val="both"/>
        <w:rPr>
          <w:rFonts w:eastAsia="Arial"/>
          <w:b/>
          <w:sz w:val="22"/>
          <w:szCs w:val="22"/>
        </w:rPr>
      </w:pPr>
      <w:r w:rsidRPr="00F02F9D">
        <w:rPr>
          <w:rFonts w:eastAsia="Arial"/>
          <w:b/>
          <w:sz w:val="22"/>
          <w:szCs w:val="22"/>
        </w:rPr>
        <w:t>Política Contable</w:t>
      </w:r>
    </w:p>
    <w:p w14:paraId="1EDB5477" w14:textId="77777777" w:rsidR="00393C79" w:rsidRDefault="00393C79" w:rsidP="00393C79">
      <w:pPr>
        <w:pStyle w:val="Default"/>
        <w:ind w:right="261"/>
        <w:jc w:val="both"/>
        <w:rPr>
          <w:sz w:val="22"/>
          <w:szCs w:val="22"/>
          <w:lang w:val="es-CR"/>
        </w:rPr>
      </w:pPr>
    </w:p>
    <w:p w14:paraId="740FE23A" w14:textId="599033FC" w:rsidR="002A638A" w:rsidRPr="007E76C2" w:rsidRDefault="007E76C2" w:rsidP="00393C79">
      <w:pPr>
        <w:pStyle w:val="Default"/>
        <w:spacing w:after="120" w:line="238" w:lineRule="auto"/>
        <w:ind w:left="1134" w:right="26" w:hanging="1134"/>
        <w:jc w:val="both"/>
        <w:rPr>
          <w:sz w:val="22"/>
          <w:szCs w:val="22"/>
          <w:lang w:val="es-CR"/>
        </w:rPr>
      </w:pPr>
      <w:r>
        <w:rPr>
          <w:sz w:val="22"/>
          <w:szCs w:val="22"/>
          <w:lang w:val="es-CR"/>
        </w:rPr>
        <w:t>2.100.0.01</w:t>
      </w:r>
      <w:r>
        <w:rPr>
          <w:sz w:val="22"/>
          <w:szCs w:val="22"/>
          <w:lang w:val="es-CR"/>
        </w:rPr>
        <w:tab/>
      </w:r>
      <w:r w:rsidRPr="007E76C2">
        <w:rPr>
          <w:sz w:val="22"/>
          <w:szCs w:val="22"/>
          <w:lang w:val="es-CR"/>
        </w:rPr>
        <w:t>Los sucesos futuros que puedan afectar a la cuantía necesaria para liquidar una obligación deben reflejarse en el importe de la provisión, siempre que haya una evidencia objetiva suficiente de que tales hechos van a ocurrir.</w:t>
      </w:r>
    </w:p>
    <w:p w14:paraId="7D683F74" w14:textId="77777777" w:rsidR="007E76C2" w:rsidRDefault="007E76C2" w:rsidP="006167A2">
      <w:pPr>
        <w:pStyle w:val="Default"/>
        <w:ind w:right="261"/>
        <w:jc w:val="both"/>
        <w:rPr>
          <w:sz w:val="22"/>
          <w:szCs w:val="22"/>
          <w:lang w:val="es-CR"/>
        </w:rPr>
      </w:pPr>
    </w:p>
    <w:p w14:paraId="6DFE138F" w14:textId="77777777" w:rsidR="007E76C2" w:rsidRDefault="007E76C2" w:rsidP="006167A2">
      <w:pPr>
        <w:pStyle w:val="Default"/>
        <w:ind w:right="261"/>
        <w:jc w:val="both"/>
        <w:rPr>
          <w:sz w:val="22"/>
          <w:szCs w:val="22"/>
          <w:lang w:val="es-CR"/>
        </w:rPr>
      </w:pPr>
    </w:p>
    <w:tbl>
      <w:tblPr>
        <w:tblW w:w="9375" w:type="dxa"/>
        <w:tblLook w:val="04A0" w:firstRow="1" w:lastRow="0" w:firstColumn="1" w:lastColumn="0" w:noHBand="0" w:noVBand="1"/>
      </w:tblPr>
      <w:tblGrid>
        <w:gridCol w:w="605"/>
        <w:gridCol w:w="517"/>
        <w:gridCol w:w="583"/>
        <w:gridCol w:w="3673"/>
        <w:gridCol w:w="2125"/>
        <w:gridCol w:w="1872"/>
      </w:tblGrid>
      <w:tr w:rsidR="007E76C2" w:rsidRPr="007E76C2" w14:paraId="26F2FD93" w14:textId="77777777" w:rsidTr="00393C79">
        <w:trPr>
          <w:trHeight w:val="320"/>
        </w:trPr>
        <w:tc>
          <w:tcPr>
            <w:tcW w:w="170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F052556"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Norma / Política</w:t>
            </w:r>
          </w:p>
        </w:tc>
        <w:tc>
          <w:tcPr>
            <w:tcW w:w="3673" w:type="dxa"/>
            <w:vMerge w:val="restart"/>
            <w:tcBorders>
              <w:top w:val="single" w:sz="8" w:space="0" w:color="auto"/>
              <w:left w:val="single" w:sz="8" w:space="0" w:color="auto"/>
              <w:bottom w:val="nil"/>
              <w:right w:val="single" w:sz="8" w:space="0" w:color="auto"/>
            </w:tcBorders>
            <w:shd w:val="clear" w:color="000000" w:fill="203764"/>
            <w:vAlign w:val="center"/>
            <w:hideMark/>
          </w:tcPr>
          <w:p w14:paraId="23761F8C"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Concepto</w:t>
            </w:r>
          </w:p>
        </w:tc>
        <w:tc>
          <w:tcPr>
            <w:tcW w:w="3997" w:type="dxa"/>
            <w:gridSpan w:val="2"/>
            <w:tcBorders>
              <w:top w:val="single" w:sz="8" w:space="0" w:color="auto"/>
              <w:left w:val="nil"/>
              <w:bottom w:val="single" w:sz="8" w:space="0" w:color="auto"/>
              <w:right w:val="single" w:sz="8" w:space="0" w:color="000000"/>
            </w:tcBorders>
            <w:shd w:val="clear" w:color="000000" w:fill="203764"/>
            <w:vAlign w:val="center"/>
            <w:hideMark/>
          </w:tcPr>
          <w:p w14:paraId="05A50665"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Referencia</w:t>
            </w:r>
          </w:p>
        </w:tc>
      </w:tr>
      <w:tr w:rsidR="007E76C2" w:rsidRPr="006E5442" w14:paraId="4079650C" w14:textId="77777777" w:rsidTr="00393C79">
        <w:trPr>
          <w:trHeight w:val="860"/>
        </w:trPr>
        <w:tc>
          <w:tcPr>
            <w:tcW w:w="1705" w:type="dxa"/>
            <w:gridSpan w:val="3"/>
            <w:vMerge/>
            <w:tcBorders>
              <w:top w:val="single" w:sz="8" w:space="0" w:color="auto"/>
              <w:left w:val="single" w:sz="8" w:space="0" w:color="auto"/>
              <w:bottom w:val="nil"/>
              <w:right w:val="single" w:sz="8" w:space="0" w:color="000000"/>
            </w:tcBorders>
            <w:vAlign w:val="center"/>
            <w:hideMark/>
          </w:tcPr>
          <w:p w14:paraId="52F6C2AC" w14:textId="77777777" w:rsidR="007E76C2" w:rsidRPr="007E76C2" w:rsidRDefault="007E76C2" w:rsidP="007E76C2">
            <w:pPr>
              <w:rPr>
                <w:rFonts w:ascii="Arial Narrow" w:eastAsia="Times New Roman" w:hAnsi="Arial Narrow" w:cs="Calibri"/>
                <w:b/>
                <w:bCs/>
                <w:color w:val="FFFFFF"/>
                <w:sz w:val="22"/>
                <w:szCs w:val="22"/>
              </w:rPr>
            </w:pPr>
          </w:p>
        </w:tc>
        <w:tc>
          <w:tcPr>
            <w:tcW w:w="3673" w:type="dxa"/>
            <w:vMerge/>
            <w:tcBorders>
              <w:top w:val="single" w:sz="8" w:space="0" w:color="auto"/>
              <w:left w:val="single" w:sz="8" w:space="0" w:color="auto"/>
              <w:bottom w:val="nil"/>
              <w:right w:val="single" w:sz="8" w:space="0" w:color="auto"/>
            </w:tcBorders>
            <w:vAlign w:val="center"/>
            <w:hideMark/>
          </w:tcPr>
          <w:p w14:paraId="5F972B41" w14:textId="77777777" w:rsidR="007E76C2" w:rsidRPr="007E76C2" w:rsidRDefault="007E76C2" w:rsidP="007E76C2">
            <w:pPr>
              <w:rPr>
                <w:rFonts w:ascii="Arial Narrow" w:eastAsia="Times New Roman" w:hAnsi="Arial Narrow" w:cs="Calibri"/>
                <w:b/>
                <w:bCs/>
                <w:color w:val="FFFFFF"/>
                <w:sz w:val="22"/>
                <w:szCs w:val="22"/>
              </w:rPr>
            </w:pPr>
          </w:p>
        </w:tc>
        <w:tc>
          <w:tcPr>
            <w:tcW w:w="2125" w:type="dxa"/>
            <w:tcBorders>
              <w:top w:val="nil"/>
              <w:left w:val="nil"/>
              <w:bottom w:val="nil"/>
              <w:right w:val="single" w:sz="8" w:space="0" w:color="auto"/>
            </w:tcBorders>
            <w:shd w:val="clear" w:color="000000" w:fill="203764"/>
            <w:vAlign w:val="center"/>
            <w:hideMark/>
          </w:tcPr>
          <w:p w14:paraId="45635699" w14:textId="77777777" w:rsidR="007E76C2" w:rsidRPr="007E76C2" w:rsidRDefault="007E76C2" w:rsidP="007E76C2">
            <w:pPr>
              <w:jc w:val="center"/>
              <w:rPr>
                <w:rFonts w:ascii="Arial Narrow" w:eastAsia="Times New Roman" w:hAnsi="Arial Narrow" w:cs="Calibri"/>
                <w:b/>
                <w:bCs/>
                <w:color w:val="FFFFFF"/>
                <w:sz w:val="22"/>
                <w:szCs w:val="22"/>
              </w:rPr>
            </w:pPr>
            <w:r w:rsidRPr="007E76C2">
              <w:rPr>
                <w:rFonts w:ascii="Arial Narrow" w:eastAsia="Times New Roman" w:hAnsi="Arial Narrow" w:cs="Calibri"/>
                <w:b/>
                <w:bCs/>
                <w:color w:val="FFFFFF"/>
                <w:sz w:val="22"/>
                <w:szCs w:val="22"/>
              </w:rPr>
              <w:t>Norma</w:t>
            </w:r>
          </w:p>
        </w:tc>
        <w:tc>
          <w:tcPr>
            <w:tcW w:w="1869" w:type="dxa"/>
            <w:tcBorders>
              <w:top w:val="nil"/>
              <w:left w:val="nil"/>
              <w:bottom w:val="nil"/>
              <w:right w:val="single" w:sz="8" w:space="0" w:color="auto"/>
            </w:tcBorders>
            <w:shd w:val="clear" w:color="000000" w:fill="203764"/>
            <w:vAlign w:val="center"/>
            <w:hideMark/>
          </w:tcPr>
          <w:p w14:paraId="0EFDFA56" w14:textId="77777777" w:rsidR="007E76C2" w:rsidRPr="007E76C2" w:rsidRDefault="007E76C2" w:rsidP="007E76C2">
            <w:pPr>
              <w:jc w:val="center"/>
              <w:rPr>
                <w:rFonts w:ascii="Arial Narrow" w:eastAsia="Times New Roman" w:hAnsi="Arial Narrow" w:cs="Calibri"/>
                <w:b/>
                <w:bCs/>
                <w:color w:val="FFFFFF"/>
                <w:sz w:val="22"/>
                <w:szCs w:val="22"/>
                <w:lang w:val="es-CR"/>
              </w:rPr>
            </w:pPr>
            <w:r w:rsidRPr="007E76C2">
              <w:rPr>
                <w:rFonts w:ascii="Arial Narrow" w:eastAsia="Times New Roman" w:hAnsi="Arial Narrow" w:cs="Calibri"/>
                <w:b/>
                <w:bCs/>
                <w:color w:val="FFFFFF"/>
                <w:sz w:val="22"/>
                <w:szCs w:val="22"/>
                <w:lang w:val="es-CR"/>
              </w:rPr>
              <w:t>Normativa técnica y disposiciones adicionales</w:t>
            </w:r>
          </w:p>
        </w:tc>
      </w:tr>
      <w:tr w:rsidR="007E76C2" w:rsidRPr="007E76C2" w14:paraId="11367345" w14:textId="77777777" w:rsidTr="00393C79">
        <w:trPr>
          <w:trHeight w:val="570"/>
        </w:trPr>
        <w:tc>
          <w:tcPr>
            <w:tcW w:w="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2652DB"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354558B3"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101</w:t>
            </w:r>
          </w:p>
        </w:tc>
        <w:tc>
          <w:tcPr>
            <w:tcW w:w="583" w:type="dxa"/>
            <w:tcBorders>
              <w:top w:val="single" w:sz="8" w:space="0" w:color="auto"/>
              <w:left w:val="nil"/>
              <w:bottom w:val="single" w:sz="8" w:space="0" w:color="auto"/>
              <w:right w:val="single" w:sz="8" w:space="0" w:color="auto"/>
            </w:tcBorders>
            <w:shd w:val="clear" w:color="auto" w:fill="auto"/>
            <w:vAlign w:val="center"/>
            <w:hideMark/>
          </w:tcPr>
          <w:p w14:paraId="4068AD42" w14:textId="72D2E90B" w:rsidR="007E76C2" w:rsidRPr="007E76C2" w:rsidRDefault="007E76C2" w:rsidP="007E76C2">
            <w:pPr>
              <w:jc w:val="center"/>
              <w:rPr>
                <w:rFonts w:ascii="Arial Narrow" w:eastAsia="Times New Roman" w:hAnsi="Arial Narrow" w:cs="Calibri"/>
                <w:b/>
                <w:bCs/>
                <w:color w:val="000000"/>
                <w:sz w:val="22"/>
                <w:szCs w:val="22"/>
              </w:rPr>
            </w:pPr>
          </w:p>
        </w:tc>
        <w:tc>
          <w:tcPr>
            <w:tcW w:w="3673" w:type="dxa"/>
            <w:tcBorders>
              <w:top w:val="single" w:sz="8" w:space="0" w:color="auto"/>
              <w:left w:val="nil"/>
              <w:bottom w:val="single" w:sz="8" w:space="0" w:color="auto"/>
              <w:right w:val="single" w:sz="8" w:space="0" w:color="auto"/>
            </w:tcBorders>
            <w:shd w:val="clear" w:color="auto" w:fill="auto"/>
            <w:vAlign w:val="center"/>
            <w:hideMark/>
          </w:tcPr>
          <w:p w14:paraId="0ACB9BD7" w14:textId="6888A38D"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Ree</w:t>
            </w:r>
            <w:r w:rsidR="000E5DF8">
              <w:rPr>
                <w:rFonts w:ascii="Arial Narrow" w:eastAsia="Times New Roman" w:hAnsi="Arial Narrow" w:cs="Calibri"/>
                <w:b/>
                <w:bCs/>
                <w:color w:val="000000"/>
                <w:sz w:val="22"/>
                <w:szCs w:val="22"/>
              </w:rPr>
              <w:t>mb</w:t>
            </w:r>
            <w:r w:rsidRPr="007E76C2">
              <w:rPr>
                <w:rFonts w:ascii="Arial Narrow" w:eastAsia="Times New Roman" w:hAnsi="Arial Narrow" w:cs="Calibri"/>
                <w:b/>
                <w:bCs/>
                <w:color w:val="000000"/>
                <w:sz w:val="22"/>
                <w:szCs w:val="22"/>
              </w:rPr>
              <w:t>olsos</w:t>
            </w:r>
          </w:p>
        </w:tc>
        <w:tc>
          <w:tcPr>
            <w:tcW w:w="2125" w:type="dxa"/>
            <w:tcBorders>
              <w:top w:val="single" w:sz="8" w:space="0" w:color="auto"/>
              <w:left w:val="nil"/>
              <w:bottom w:val="single" w:sz="8" w:space="0" w:color="auto"/>
              <w:right w:val="single" w:sz="8" w:space="0" w:color="auto"/>
            </w:tcBorders>
            <w:shd w:val="clear" w:color="auto" w:fill="auto"/>
            <w:vAlign w:val="center"/>
            <w:hideMark/>
          </w:tcPr>
          <w:p w14:paraId="63788AA4" w14:textId="226B9C88" w:rsidR="0069573C"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NICSP N° 19, </w:t>
            </w:r>
          </w:p>
          <w:p w14:paraId="402638EF" w14:textId="2465764F"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Párrafo 63.</w:t>
            </w:r>
          </w:p>
        </w:tc>
        <w:tc>
          <w:tcPr>
            <w:tcW w:w="1869" w:type="dxa"/>
            <w:tcBorders>
              <w:top w:val="single" w:sz="8" w:space="0" w:color="auto"/>
              <w:left w:val="nil"/>
              <w:bottom w:val="single" w:sz="8" w:space="0" w:color="auto"/>
              <w:right w:val="single" w:sz="8" w:space="0" w:color="auto"/>
            </w:tcBorders>
            <w:shd w:val="clear" w:color="auto" w:fill="auto"/>
            <w:vAlign w:val="center"/>
            <w:hideMark/>
          </w:tcPr>
          <w:p w14:paraId="1562FAA6" w14:textId="77777777" w:rsidR="007E76C2" w:rsidRPr="007E76C2" w:rsidRDefault="007E76C2" w:rsidP="007E76C2">
            <w:pP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 </w:t>
            </w:r>
          </w:p>
        </w:tc>
      </w:tr>
      <w:tr w:rsidR="007E76C2" w:rsidRPr="007E76C2" w14:paraId="4675AC57" w14:textId="77777777" w:rsidTr="00393C79">
        <w:trPr>
          <w:trHeight w:val="384"/>
        </w:trPr>
        <w:tc>
          <w:tcPr>
            <w:tcW w:w="605" w:type="dxa"/>
            <w:tcBorders>
              <w:top w:val="nil"/>
              <w:left w:val="single" w:sz="8" w:space="0" w:color="auto"/>
              <w:bottom w:val="single" w:sz="8" w:space="0" w:color="auto"/>
              <w:right w:val="single" w:sz="8" w:space="0" w:color="auto"/>
            </w:tcBorders>
            <w:shd w:val="clear" w:color="auto" w:fill="auto"/>
            <w:vAlign w:val="center"/>
            <w:hideMark/>
          </w:tcPr>
          <w:p w14:paraId="70F0E40C"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2</w:t>
            </w:r>
          </w:p>
        </w:tc>
        <w:tc>
          <w:tcPr>
            <w:tcW w:w="517" w:type="dxa"/>
            <w:tcBorders>
              <w:top w:val="nil"/>
              <w:left w:val="nil"/>
              <w:bottom w:val="single" w:sz="8" w:space="0" w:color="auto"/>
              <w:right w:val="single" w:sz="8" w:space="0" w:color="auto"/>
            </w:tcBorders>
            <w:shd w:val="clear" w:color="auto" w:fill="auto"/>
            <w:noWrap/>
            <w:vAlign w:val="center"/>
            <w:hideMark/>
          </w:tcPr>
          <w:p w14:paraId="64699339"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101</w:t>
            </w:r>
          </w:p>
        </w:tc>
        <w:tc>
          <w:tcPr>
            <w:tcW w:w="583" w:type="dxa"/>
            <w:tcBorders>
              <w:top w:val="nil"/>
              <w:left w:val="nil"/>
              <w:bottom w:val="single" w:sz="8" w:space="0" w:color="auto"/>
              <w:right w:val="single" w:sz="8" w:space="0" w:color="auto"/>
            </w:tcBorders>
            <w:shd w:val="clear" w:color="auto" w:fill="auto"/>
            <w:vAlign w:val="center"/>
            <w:hideMark/>
          </w:tcPr>
          <w:p w14:paraId="4141DD14" w14:textId="77777777" w:rsidR="007E76C2" w:rsidRPr="007E76C2" w:rsidRDefault="007E76C2" w:rsidP="007E76C2">
            <w:pPr>
              <w:jc w:val="cente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1</w:t>
            </w:r>
          </w:p>
        </w:tc>
        <w:tc>
          <w:tcPr>
            <w:tcW w:w="3673" w:type="dxa"/>
            <w:tcBorders>
              <w:top w:val="nil"/>
              <w:left w:val="nil"/>
              <w:bottom w:val="single" w:sz="8" w:space="0" w:color="auto"/>
              <w:right w:val="single" w:sz="8" w:space="0" w:color="auto"/>
            </w:tcBorders>
            <w:shd w:val="clear" w:color="auto" w:fill="auto"/>
            <w:vAlign w:val="center"/>
            <w:hideMark/>
          </w:tcPr>
          <w:p w14:paraId="16CB2D46" w14:textId="77777777"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Valores netos</w:t>
            </w:r>
          </w:p>
        </w:tc>
        <w:tc>
          <w:tcPr>
            <w:tcW w:w="2125" w:type="dxa"/>
            <w:tcBorders>
              <w:top w:val="nil"/>
              <w:left w:val="nil"/>
              <w:bottom w:val="single" w:sz="8" w:space="0" w:color="auto"/>
              <w:right w:val="single" w:sz="8" w:space="0" w:color="auto"/>
            </w:tcBorders>
            <w:shd w:val="clear" w:color="auto" w:fill="auto"/>
            <w:vAlign w:val="center"/>
            <w:hideMark/>
          </w:tcPr>
          <w:p w14:paraId="04AE742E" w14:textId="33ABABA1" w:rsidR="0069573C"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NICSP N° 19, </w:t>
            </w:r>
          </w:p>
          <w:p w14:paraId="0B948437" w14:textId="3F2189C1" w:rsidR="007E76C2" w:rsidRPr="007E76C2" w:rsidRDefault="007E76C2" w:rsidP="007E76C2">
            <w:pPr>
              <w:jc w:val="both"/>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Párrafo 64.</w:t>
            </w:r>
          </w:p>
        </w:tc>
        <w:tc>
          <w:tcPr>
            <w:tcW w:w="1869" w:type="dxa"/>
            <w:tcBorders>
              <w:top w:val="nil"/>
              <w:left w:val="nil"/>
              <w:bottom w:val="single" w:sz="8" w:space="0" w:color="auto"/>
              <w:right w:val="single" w:sz="8" w:space="0" w:color="auto"/>
            </w:tcBorders>
            <w:shd w:val="clear" w:color="auto" w:fill="auto"/>
            <w:vAlign w:val="center"/>
            <w:hideMark/>
          </w:tcPr>
          <w:p w14:paraId="5BA0E4C8" w14:textId="77777777" w:rsidR="007E76C2" w:rsidRPr="007E76C2" w:rsidRDefault="007E76C2" w:rsidP="007E76C2">
            <w:pPr>
              <w:rPr>
                <w:rFonts w:ascii="Arial Narrow" w:eastAsia="Times New Roman" w:hAnsi="Arial Narrow" w:cs="Calibri"/>
                <w:b/>
                <w:bCs/>
                <w:color w:val="000000"/>
                <w:sz w:val="22"/>
                <w:szCs w:val="22"/>
              </w:rPr>
            </w:pPr>
            <w:r w:rsidRPr="007E76C2">
              <w:rPr>
                <w:rFonts w:ascii="Arial Narrow" w:eastAsia="Times New Roman" w:hAnsi="Arial Narrow" w:cs="Calibri"/>
                <w:b/>
                <w:bCs/>
                <w:color w:val="000000"/>
                <w:sz w:val="22"/>
                <w:szCs w:val="22"/>
              </w:rPr>
              <w:t xml:space="preserve"> </w:t>
            </w:r>
          </w:p>
        </w:tc>
      </w:tr>
    </w:tbl>
    <w:p w14:paraId="63FB2A82" w14:textId="77777777" w:rsidR="007E76C2" w:rsidRDefault="007E76C2" w:rsidP="00393C79">
      <w:pPr>
        <w:pStyle w:val="Default"/>
        <w:ind w:right="261"/>
        <w:jc w:val="both"/>
        <w:rPr>
          <w:sz w:val="22"/>
          <w:szCs w:val="22"/>
          <w:lang w:val="es-CR"/>
        </w:rPr>
      </w:pPr>
    </w:p>
    <w:p w14:paraId="16AC677D" w14:textId="6F0AD324" w:rsidR="00393C79" w:rsidRDefault="00393C79" w:rsidP="00393C79">
      <w:pPr>
        <w:pStyle w:val="Default"/>
        <w:ind w:right="261"/>
        <w:jc w:val="both"/>
        <w:rPr>
          <w:rFonts w:eastAsia="Arial"/>
          <w:b/>
          <w:sz w:val="22"/>
          <w:szCs w:val="22"/>
        </w:rPr>
      </w:pPr>
      <w:r w:rsidRPr="00F02F9D">
        <w:rPr>
          <w:rFonts w:eastAsia="Arial"/>
          <w:b/>
          <w:sz w:val="22"/>
          <w:szCs w:val="22"/>
        </w:rPr>
        <w:t>Políticas Contables</w:t>
      </w:r>
    </w:p>
    <w:p w14:paraId="56E06977" w14:textId="77777777" w:rsidR="00393C79" w:rsidRDefault="00393C79" w:rsidP="00393C79">
      <w:pPr>
        <w:pStyle w:val="Default"/>
        <w:ind w:right="261"/>
        <w:jc w:val="both"/>
        <w:rPr>
          <w:sz w:val="22"/>
          <w:szCs w:val="22"/>
          <w:lang w:val="es-CR"/>
        </w:rPr>
      </w:pPr>
    </w:p>
    <w:p w14:paraId="20FD583B" w14:textId="292EE24E" w:rsidR="007E76C2" w:rsidRPr="00DE6BC0" w:rsidRDefault="00DE6BC0" w:rsidP="00DE6BC0">
      <w:pPr>
        <w:pStyle w:val="Default"/>
        <w:ind w:left="1134" w:hanging="1134"/>
        <w:jc w:val="both"/>
        <w:rPr>
          <w:sz w:val="22"/>
          <w:szCs w:val="22"/>
          <w:lang w:val="es-CR"/>
        </w:rPr>
      </w:pPr>
      <w:r>
        <w:rPr>
          <w:sz w:val="22"/>
          <w:szCs w:val="22"/>
          <w:lang w:val="es-CR"/>
        </w:rPr>
        <w:t>2.101.0.01</w:t>
      </w:r>
      <w:r>
        <w:rPr>
          <w:sz w:val="22"/>
          <w:szCs w:val="22"/>
          <w:lang w:val="es-CR"/>
        </w:rPr>
        <w:tab/>
        <w:t xml:space="preserve">Cuando </w:t>
      </w:r>
      <w:r w:rsidR="007E76C2" w:rsidRPr="00DE6BC0">
        <w:rPr>
          <w:sz w:val="22"/>
          <w:szCs w:val="22"/>
          <w:lang w:val="es-CR"/>
        </w:rPr>
        <w:t xml:space="preserve">la </w:t>
      </w:r>
      <w:r>
        <w:rPr>
          <w:sz w:val="22"/>
          <w:szCs w:val="22"/>
          <w:lang w:val="es-CR"/>
        </w:rPr>
        <w:t>Municipali</w:t>
      </w:r>
      <w:r w:rsidR="007E76C2" w:rsidRPr="00DE6BC0">
        <w:rPr>
          <w:sz w:val="22"/>
          <w:szCs w:val="22"/>
          <w:lang w:val="es-CR"/>
        </w:rPr>
        <w:t xml:space="preserve">dad espere que una parte o la totalidad del </w:t>
      </w:r>
      <w:r w:rsidR="000E5DF8" w:rsidRPr="00DE6BC0">
        <w:rPr>
          <w:sz w:val="22"/>
          <w:szCs w:val="22"/>
          <w:lang w:val="es-CR"/>
        </w:rPr>
        <w:t>dese</w:t>
      </w:r>
      <w:r w:rsidR="000E5DF8">
        <w:rPr>
          <w:sz w:val="22"/>
          <w:szCs w:val="22"/>
          <w:lang w:val="es-CR"/>
        </w:rPr>
        <w:t>mbo</w:t>
      </w:r>
      <w:r w:rsidR="000E5DF8" w:rsidRPr="00DE6BC0">
        <w:rPr>
          <w:sz w:val="22"/>
          <w:szCs w:val="22"/>
          <w:lang w:val="es-CR"/>
        </w:rPr>
        <w:t>lso</w:t>
      </w:r>
      <w:r w:rsidR="007E76C2" w:rsidRPr="00DE6BC0">
        <w:rPr>
          <w:sz w:val="22"/>
          <w:szCs w:val="22"/>
          <w:lang w:val="es-CR"/>
        </w:rPr>
        <w:t xml:space="preserve"> necesario para liquidar la provisión le sea </w:t>
      </w:r>
      <w:r w:rsidR="000E5DF8" w:rsidRPr="00DE6BC0">
        <w:rPr>
          <w:sz w:val="22"/>
          <w:szCs w:val="22"/>
          <w:lang w:val="es-CR"/>
        </w:rPr>
        <w:t>ree</w:t>
      </w:r>
      <w:r w:rsidR="000E5DF8">
        <w:rPr>
          <w:sz w:val="22"/>
          <w:szCs w:val="22"/>
          <w:lang w:val="es-CR"/>
        </w:rPr>
        <w:t>mbo</w:t>
      </w:r>
      <w:r w:rsidR="000E5DF8" w:rsidRPr="00DE6BC0">
        <w:rPr>
          <w:sz w:val="22"/>
          <w:szCs w:val="22"/>
          <w:lang w:val="es-CR"/>
        </w:rPr>
        <w:t>lsada</w:t>
      </w:r>
      <w:r w:rsidR="007E76C2" w:rsidRPr="00DE6BC0">
        <w:rPr>
          <w:sz w:val="22"/>
          <w:szCs w:val="22"/>
          <w:lang w:val="es-CR"/>
        </w:rPr>
        <w:t xml:space="preserve"> por un tercero, tal expectativa de </w:t>
      </w:r>
      <w:r w:rsidR="000E5DF8" w:rsidRPr="00DE6BC0">
        <w:rPr>
          <w:sz w:val="22"/>
          <w:szCs w:val="22"/>
          <w:lang w:val="es-CR"/>
        </w:rPr>
        <w:t>ree</w:t>
      </w:r>
      <w:r w:rsidR="000E5DF8">
        <w:rPr>
          <w:sz w:val="22"/>
          <w:szCs w:val="22"/>
          <w:lang w:val="es-CR"/>
        </w:rPr>
        <w:t>mbo</w:t>
      </w:r>
      <w:r w:rsidR="000E5DF8" w:rsidRPr="00DE6BC0">
        <w:rPr>
          <w:sz w:val="22"/>
          <w:szCs w:val="22"/>
          <w:lang w:val="es-CR"/>
        </w:rPr>
        <w:t>lso</w:t>
      </w:r>
      <w:r w:rsidR="007E76C2" w:rsidRPr="00DE6BC0">
        <w:rPr>
          <w:sz w:val="22"/>
          <w:szCs w:val="22"/>
          <w:lang w:val="es-CR"/>
        </w:rPr>
        <w:t xml:space="preserve"> debe reconocerse cuando, y sólo cuando, sea prácticamente segura su recepción si la entidad cancela la obligación objeto de la provisión. El </w:t>
      </w:r>
      <w:r w:rsidR="000E5DF8" w:rsidRPr="00DE6BC0">
        <w:rPr>
          <w:sz w:val="22"/>
          <w:szCs w:val="22"/>
          <w:lang w:val="es-CR"/>
        </w:rPr>
        <w:t>ree</w:t>
      </w:r>
      <w:r w:rsidR="000E5DF8">
        <w:rPr>
          <w:sz w:val="22"/>
          <w:szCs w:val="22"/>
          <w:lang w:val="es-CR"/>
        </w:rPr>
        <w:t>mbo</w:t>
      </w:r>
      <w:r w:rsidR="000E5DF8" w:rsidRPr="00DE6BC0">
        <w:rPr>
          <w:sz w:val="22"/>
          <w:szCs w:val="22"/>
          <w:lang w:val="es-CR"/>
        </w:rPr>
        <w:t>lso</w:t>
      </w:r>
      <w:r w:rsidR="007E76C2" w:rsidRPr="00DE6BC0">
        <w:rPr>
          <w:sz w:val="22"/>
          <w:szCs w:val="22"/>
          <w:lang w:val="es-CR"/>
        </w:rPr>
        <w:t xml:space="preserve"> debe ser tratado como un activo independiente y no debe </w:t>
      </w:r>
      <w:r w:rsidRPr="00DE6BC0">
        <w:rPr>
          <w:sz w:val="22"/>
          <w:szCs w:val="22"/>
          <w:lang w:val="es-CR"/>
        </w:rPr>
        <w:t>exceder</w:t>
      </w:r>
      <w:r w:rsidR="007E76C2" w:rsidRPr="00DE6BC0">
        <w:rPr>
          <w:sz w:val="22"/>
          <w:szCs w:val="22"/>
          <w:lang w:val="es-CR"/>
        </w:rPr>
        <w:t xml:space="preserve"> al importe de la provisión al momento del reconocimiento inicial y mientras ésta continúe siendo reconocida en los EEFF. </w:t>
      </w:r>
    </w:p>
    <w:p w14:paraId="0938F520" w14:textId="77777777" w:rsidR="007E76C2" w:rsidRPr="00DE6BC0" w:rsidRDefault="007E76C2" w:rsidP="00DE6BC0">
      <w:pPr>
        <w:pStyle w:val="Default"/>
        <w:jc w:val="both"/>
        <w:rPr>
          <w:sz w:val="22"/>
          <w:szCs w:val="22"/>
          <w:lang w:val="es-CR"/>
        </w:rPr>
      </w:pPr>
    </w:p>
    <w:p w14:paraId="3DE5305E" w14:textId="6EDFE466" w:rsidR="007E76C2" w:rsidRPr="00DE6BC0" w:rsidRDefault="00DE6BC0" w:rsidP="00DE6BC0">
      <w:pPr>
        <w:pStyle w:val="Default"/>
        <w:ind w:left="1134" w:hanging="1134"/>
        <w:jc w:val="both"/>
        <w:rPr>
          <w:sz w:val="22"/>
          <w:szCs w:val="22"/>
          <w:lang w:val="es-CR"/>
        </w:rPr>
      </w:pPr>
      <w:r>
        <w:rPr>
          <w:sz w:val="22"/>
          <w:szCs w:val="22"/>
          <w:lang w:val="es-CR"/>
        </w:rPr>
        <w:t>2.101.</w:t>
      </w:r>
      <w:r w:rsidR="007E76C2" w:rsidRPr="00DE6BC0">
        <w:rPr>
          <w:sz w:val="22"/>
          <w:szCs w:val="22"/>
          <w:lang w:val="es-CR"/>
        </w:rPr>
        <w:t>1.</w:t>
      </w:r>
      <w:r>
        <w:rPr>
          <w:sz w:val="22"/>
          <w:szCs w:val="22"/>
          <w:lang w:val="es-CR"/>
        </w:rPr>
        <w:t>01</w:t>
      </w:r>
      <w:r>
        <w:rPr>
          <w:sz w:val="22"/>
          <w:szCs w:val="22"/>
          <w:lang w:val="es-CR"/>
        </w:rPr>
        <w:tab/>
      </w:r>
      <w:r w:rsidR="007E76C2" w:rsidRPr="00DE6BC0">
        <w:rPr>
          <w:sz w:val="22"/>
          <w:szCs w:val="22"/>
          <w:lang w:val="es-CR"/>
        </w:rPr>
        <w:t xml:space="preserve">En el ERF, el gasto relacionado con la provisión se presentará por el neto después de descontar el importe reconocido para el </w:t>
      </w:r>
      <w:r w:rsidR="000E5DF8" w:rsidRPr="00DE6BC0">
        <w:rPr>
          <w:sz w:val="22"/>
          <w:szCs w:val="22"/>
          <w:lang w:val="es-CR"/>
        </w:rPr>
        <w:t>ree</w:t>
      </w:r>
      <w:r w:rsidR="000E5DF8">
        <w:rPr>
          <w:sz w:val="22"/>
          <w:szCs w:val="22"/>
          <w:lang w:val="es-CR"/>
        </w:rPr>
        <w:t>mbo</w:t>
      </w:r>
      <w:r w:rsidR="000E5DF8" w:rsidRPr="00DE6BC0">
        <w:rPr>
          <w:sz w:val="22"/>
          <w:szCs w:val="22"/>
          <w:lang w:val="es-CR"/>
        </w:rPr>
        <w:t>lso</w:t>
      </w:r>
      <w:r w:rsidR="007E76C2" w:rsidRPr="00DE6BC0">
        <w:rPr>
          <w:sz w:val="22"/>
          <w:szCs w:val="22"/>
          <w:lang w:val="es-CR"/>
        </w:rPr>
        <w:t xml:space="preserve">. No obstante, en Notas a los EEFF se revelará el importe bruto de las provisiones y el monto de los </w:t>
      </w:r>
      <w:r w:rsidR="000E5DF8" w:rsidRPr="00DE6BC0">
        <w:rPr>
          <w:sz w:val="22"/>
          <w:szCs w:val="22"/>
          <w:lang w:val="es-CR"/>
        </w:rPr>
        <w:t>ree</w:t>
      </w:r>
      <w:r w:rsidR="000E5DF8">
        <w:rPr>
          <w:sz w:val="22"/>
          <w:szCs w:val="22"/>
          <w:lang w:val="es-CR"/>
        </w:rPr>
        <w:t>mbo</w:t>
      </w:r>
      <w:r w:rsidR="000E5DF8" w:rsidRPr="00DE6BC0">
        <w:rPr>
          <w:sz w:val="22"/>
          <w:szCs w:val="22"/>
          <w:lang w:val="es-CR"/>
        </w:rPr>
        <w:t>lsos</w:t>
      </w:r>
      <w:r w:rsidR="007E76C2" w:rsidRPr="00DE6BC0">
        <w:rPr>
          <w:sz w:val="22"/>
          <w:szCs w:val="22"/>
          <w:lang w:val="es-CR"/>
        </w:rPr>
        <w:t xml:space="preserve"> reconocidos. </w:t>
      </w:r>
    </w:p>
    <w:p w14:paraId="1C7D61CA" w14:textId="77777777" w:rsidR="007E76C2" w:rsidRDefault="007E76C2" w:rsidP="00DE6BC0">
      <w:pPr>
        <w:pStyle w:val="Default"/>
        <w:jc w:val="both"/>
        <w:rPr>
          <w:sz w:val="22"/>
          <w:szCs w:val="22"/>
          <w:lang w:val="es-CR"/>
        </w:rPr>
      </w:pPr>
    </w:p>
    <w:p w14:paraId="50DE1282" w14:textId="77777777" w:rsidR="0069573C" w:rsidRPr="00DE6BC0" w:rsidRDefault="0069573C" w:rsidP="00DE6BC0">
      <w:pPr>
        <w:pStyle w:val="Default"/>
        <w:jc w:val="both"/>
        <w:rPr>
          <w:sz w:val="22"/>
          <w:szCs w:val="22"/>
          <w:lang w:val="es-CR"/>
        </w:rPr>
      </w:pPr>
    </w:p>
    <w:tbl>
      <w:tblPr>
        <w:tblW w:w="9700" w:type="dxa"/>
        <w:tblLook w:val="04A0" w:firstRow="1" w:lastRow="0" w:firstColumn="1" w:lastColumn="0" w:noHBand="0" w:noVBand="1"/>
      </w:tblPr>
      <w:tblGrid>
        <w:gridCol w:w="604"/>
        <w:gridCol w:w="517"/>
        <w:gridCol w:w="581"/>
        <w:gridCol w:w="3672"/>
        <w:gridCol w:w="2244"/>
        <w:gridCol w:w="2082"/>
      </w:tblGrid>
      <w:tr w:rsidR="00DE6BC0" w:rsidRPr="00DE6BC0" w14:paraId="251C154E" w14:textId="77777777" w:rsidTr="00DE6BC0">
        <w:trPr>
          <w:trHeight w:val="300"/>
        </w:trPr>
        <w:tc>
          <w:tcPr>
            <w:tcW w:w="158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54B5BA5" w14:textId="77777777" w:rsidR="00DE6BC0" w:rsidRPr="00DE6BC0" w:rsidRDefault="00DE6BC0" w:rsidP="00DE6BC0">
            <w:pPr>
              <w:jc w:val="center"/>
              <w:rPr>
                <w:rFonts w:ascii="Arial Narrow" w:eastAsia="Times New Roman" w:hAnsi="Arial Narrow" w:cs="Calibri"/>
                <w:b/>
                <w:bCs/>
                <w:color w:val="FFFFFF"/>
                <w:sz w:val="22"/>
                <w:szCs w:val="22"/>
              </w:rPr>
            </w:pPr>
            <w:r w:rsidRPr="00DE6BC0">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707B3A3" w14:textId="77777777" w:rsidR="00DE6BC0" w:rsidRPr="00DE6BC0" w:rsidRDefault="00DE6BC0" w:rsidP="00DE6BC0">
            <w:pPr>
              <w:jc w:val="center"/>
              <w:rPr>
                <w:rFonts w:ascii="Arial Narrow" w:eastAsia="Times New Roman" w:hAnsi="Arial Narrow" w:cs="Calibri"/>
                <w:b/>
                <w:bCs/>
                <w:color w:val="FFFFFF"/>
                <w:sz w:val="22"/>
                <w:szCs w:val="22"/>
              </w:rPr>
            </w:pPr>
            <w:r w:rsidRPr="00DE6BC0">
              <w:rPr>
                <w:rFonts w:ascii="Arial Narrow" w:eastAsia="Times New Roman" w:hAnsi="Arial Narrow" w:cs="Calibri"/>
                <w:b/>
                <w:bCs/>
                <w:color w:val="FFFFFF"/>
                <w:sz w:val="22"/>
                <w:szCs w:val="22"/>
              </w:rPr>
              <w:t>Concepto</w:t>
            </w:r>
          </w:p>
        </w:tc>
        <w:tc>
          <w:tcPr>
            <w:tcW w:w="4380" w:type="dxa"/>
            <w:gridSpan w:val="2"/>
            <w:tcBorders>
              <w:top w:val="single" w:sz="8" w:space="0" w:color="auto"/>
              <w:left w:val="nil"/>
              <w:bottom w:val="single" w:sz="8" w:space="0" w:color="auto"/>
              <w:right w:val="single" w:sz="8" w:space="0" w:color="000000"/>
            </w:tcBorders>
            <w:shd w:val="clear" w:color="000000" w:fill="203764"/>
            <w:vAlign w:val="center"/>
            <w:hideMark/>
          </w:tcPr>
          <w:p w14:paraId="2D83673B" w14:textId="77777777" w:rsidR="00DE6BC0" w:rsidRPr="00DE6BC0" w:rsidRDefault="00DE6BC0" w:rsidP="00DE6BC0">
            <w:pPr>
              <w:jc w:val="center"/>
              <w:rPr>
                <w:rFonts w:ascii="Arial Narrow" w:eastAsia="Times New Roman" w:hAnsi="Arial Narrow" w:cs="Calibri"/>
                <w:b/>
                <w:bCs/>
                <w:color w:val="FFFFFF"/>
                <w:sz w:val="22"/>
                <w:szCs w:val="22"/>
              </w:rPr>
            </w:pPr>
            <w:r w:rsidRPr="00DE6BC0">
              <w:rPr>
                <w:rFonts w:ascii="Arial Narrow" w:eastAsia="Times New Roman" w:hAnsi="Arial Narrow" w:cs="Calibri"/>
                <w:b/>
                <w:bCs/>
                <w:color w:val="FFFFFF"/>
                <w:sz w:val="22"/>
                <w:szCs w:val="22"/>
              </w:rPr>
              <w:t>Referencia</w:t>
            </w:r>
          </w:p>
        </w:tc>
      </w:tr>
      <w:tr w:rsidR="00DE6BC0" w:rsidRPr="006E5442" w14:paraId="0D933B84" w14:textId="77777777" w:rsidTr="00DE6BC0">
        <w:trPr>
          <w:trHeight w:val="850"/>
        </w:trPr>
        <w:tc>
          <w:tcPr>
            <w:tcW w:w="1580" w:type="dxa"/>
            <w:gridSpan w:val="3"/>
            <w:vMerge/>
            <w:tcBorders>
              <w:top w:val="single" w:sz="8" w:space="0" w:color="auto"/>
              <w:left w:val="single" w:sz="8" w:space="0" w:color="auto"/>
              <w:bottom w:val="nil"/>
              <w:right w:val="single" w:sz="8" w:space="0" w:color="000000"/>
            </w:tcBorders>
            <w:vAlign w:val="center"/>
            <w:hideMark/>
          </w:tcPr>
          <w:p w14:paraId="416A2721" w14:textId="77777777" w:rsidR="00DE6BC0" w:rsidRPr="00DE6BC0" w:rsidRDefault="00DE6BC0" w:rsidP="00DE6BC0">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206BF601" w14:textId="77777777" w:rsidR="00DE6BC0" w:rsidRPr="00DE6BC0" w:rsidRDefault="00DE6BC0" w:rsidP="00DE6BC0">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68C9561C" w14:textId="77777777" w:rsidR="00DE6BC0" w:rsidRPr="00DE6BC0" w:rsidRDefault="00DE6BC0" w:rsidP="00DE6BC0">
            <w:pPr>
              <w:jc w:val="center"/>
              <w:rPr>
                <w:rFonts w:ascii="Arial Narrow" w:eastAsia="Times New Roman" w:hAnsi="Arial Narrow" w:cs="Calibri"/>
                <w:b/>
                <w:bCs/>
                <w:color w:val="FFFFFF"/>
                <w:sz w:val="22"/>
                <w:szCs w:val="22"/>
              </w:rPr>
            </w:pPr>
            <w:r w:rsidRPr="00DE6BC0">
              <w:rPr>
                <w:rFonts w:ascii="Arial Narrow" w:eastAsia="Times New Roman" w:hAnsi="Arial Narrow" w:cs="Calibri"/>
                <w:b/>
                <w:bCs/>
                <w:color w:val="FFFFFF"/>
                <w:sz w:val="22"/>
                <w:szCs w:val="22"/>
              </w:rPr>
              <w:t>Norma</w:t>
            </w:r>
          </w:p>
        </w:tc>
        <w:tc>
          <w:tcPr>
            <w:tcW w:w="2100" w:type="dxa"/>
            <w:tcBorders>
              <w:top w:val="nil"/>
              <w:left w:val="nil"/>
              <w:bottom w:val="nil"/>
              <w:right w:val="single" w:sz="8" w:space="0" w:color="auto"/>
            </w:tcBorders>
            <w:shd w:val="clear" w:color="000000" w:fill="203764"/>
            <w:vAlign w:val="center"/>
            <w:hideMark/>
          </w:tcPr>
          <w:p w14:paraId="0EF95088" w14:textId="77777777" w:rsidR="00DE6BC0" w:rsidRPr="00DE6BC0" w:rsidRDefault="00DE6BC0" w:rsidP="00DE6BC0">
            <w:pPr>
              <w:jc w:val="center"/>
              <w:rPr>
                <w:rFonts w:ascii="Arial Narrow" w:eastAsia="Times New Roman" w:hAnsi="Arial Narrow" w:cs="Calibri"/>
                <w:b/>
                <w:bCs/>
                <w:color w:val="FFFFFF"/>
                <w:sz w:val="22"/>
                <w:szCs w:val="22"/>
                <w:lang w:val="es-CR"/>
              </w:rPr>
            </w:pPr>
            <w:r w:rsidRPr="00DE6BC0">
              <w:rPr>
                <w:rFonts w:ascii="Arial Narrow" w:eastAsia="Times New Roman" w:hAnsi="Arial Narrow" w:cs="Calibri"/>
                <w:b/>
                <w:bCs/>
                <w:color w:val="FFFFFF"/>
                <w:sz w:val="22"/>
                <w:szCs w:val="22"/>
                <w:lang w:val="es-CR"/>
              </w:rPr>
              <w:t>Normativa técnica y disposiciones adicionales</w:t>
            </w:r>
          </w:p>
        </w:tc>
      </w:tr>
      <w:tr w:rsidR="00DE6BC0" w:rsidRPr="00DE6BC0" w14:paraId="7D2B3A7B" w14:textId="77777777" w:rsidTr="00DE6BC0">
        <w:trPr>
          <w:trHeight w:val="570"/>
        </w:trPr>
        <w:tc>
          <w:tcPr>
            <w:tcW w:w="6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5EDCB7" w14:textId="77777777" w:rsidR="00DE6BC0" w:rsidRPr="00DE6BC0" w:rsidRDefault="00DE6BC0" w:rsidP="00DE6BC0">
            <w:pPr>
              <w:jc w:val="center"/>
              <w:rPr>
                <w:rFonts w:ascii="Arial Narrow" w:eastAsia="Times New Roman" w:hAnsi="Arial Narrow" w:cs="Calibri"/>
                <w:b/>
                <w:bCs/>
                <w:color w:val="000000"/>
                <w:sz w:val="22"/>
                <w:szCs w:val="22"/>
              </w:rPr>
            </w:pPr>
            <w:r w:rsidRPr="00DE6BC0">
              <w:rPr>
                <w:rFonts w:ascii="Arial Narrow" w:eastAsia="Times New Roman" w:hAnsi="Arial Narrow" w:cs="Calibri"/>
                <w:b/>
                <w:bCs/>
                <w:color w:val="000000"/>
                <w:sz w:val="22"/>
                <w:szCs w:val="22"/>
              </w:rPr>
              <w:t>2</w:t>
            </w:r>
          </w:p>
        </w:tc>
        <w:tc>
          <w:tcPr>
            <w:tcW w:w="376" w:type="dxa"/>
            <w:tcBorders>
              <w:top w:val="single" w:sz="8" w:space="0" w:color="auto"/>
              <w:left w:val="nil"/>
              <w:bottom w:val="single" w:sz="8" w:space="0" w:color="auto"/>
              <w:right w:val="single" w:sz="8" w:space="0" w:color="auto"/>
            </w:tcBorders>
            <w:shd w:val="clear" w:color="auto" w:fill="auto"/>
            <w:noWrap/>
            <w:vAlign w:val="center"/>
            <w:hideMark/>
          </w:tcPr>
          <w:p w14:paraId="2646474D" w14:textId="77777777" w:rsidR="00DE6BC0" w:rsidRPr="00DE6BC0" w:rsidRDefault="00DE6BC0" w:rsidP="00DE6BC0">
            <w:pPr>
              <w:jc w:val="center"/>
              <w:rPr>
                <w:rFonts w:ascii="Arial Narrow" w:eastAsia="Times New Roman" w:hAnsi="Arial Narrow" w:cs="Calibri"/>
                <w:b/>
                <w:bCs/>
                <w:color w:val="000000"/>
                <w:sz w:val="22"/>
                <w:szCs w:val="22"/>
              </w:rPr>
            </w:pPr>
            <w:r w:rsidRPr="00DE6BC0">
              <w:rPr>
                <w:rFonts w:ascii="Arial Narrow" w:eastAsia="Times New Roman" w:hAnsi="Arial Narrow" w:cs="Calibri"/>
                <w:b/>
                <w:bCs/>
                <w:color w:val="000000"/>
                <w:sz w:val="22"/>
                <w:szCs w:val="22"/>
              </w:rPr>
              <w:t>102</w:t>
            </w:r>
          </w:p>
        </w:tc>
        <w:tc>
          <w:tcPr>
            <w:tcW w:w="591" w:type="dxa"/>
            <w:tcBorders>
              <w:top w:val="single" w:sz="8" w:space="0" w:color="auto"/>
              <w:left w:val="nil"/>
              <w:bottom w:val="single" w:sz="8" w:space="0" w:color="auto"/>
              <w:right w:val="single" w:sz="8" w:space="0" w:color="auto"/>
            </w:tcBorders>
            <w:shd w:val="clear" w:color="auto" w:fill="auto"/>
            <w:vAlign w:val="center"/>
            <w:hideMark/>
          </w:tcPr>
          <w:p w14:paraId="712A213F" w14:textId="638EA814" w:rsidR="00DE6BC0" w:rsidRPr="00DE6BC0" w:rsidRDefault="00DE6BC0" w:rsidP="00DE6BC0">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784A6AA4" w14:textId="06EFE9BD" w:rsidR="00DE6BC0" w:rsidRPr="00DE6BC0" w:rsidRDefault="000E5DF8" w:rsidP="00DE6BC0">
            <w:pPr>
              <w:jc w:val="both"/>
              <w:rPr>
                <w:rFonts w:ascii="Arial Narrow" w:eastAsia="Times New Roman" w:hAnsi="Arial Narrow" w:cs="Calibri"/>
                <w:b/>
                <w:bCs/>
                <w:color w:val="000000"/>
                <w:sz w:val="22"/>
                <w:szCs w:val="22"/>
                <w:lang w:val="es-CR"/>
              </w:rPr>
            </w:pPr>
            <w:r w:rsidRPr="00DE6BC0">
              <w:rPr>
                <w:rFonts w:ascii="Arial Narrow" w:eastAsia="Times New Roman" w:hAnsi="Arial Narrow" w:cs="Calibri"/>
                <w:b/>
                <w:bCs/>
                <w:color w:val="000000"/>
                <w:sz w:val="22"/>
                <w:szCs w:val="22"/>
                <w:lang w:val="es-CR"/>
              </w:rPr>
              <w:t>ca</w:t>
            </w:r>
            <w:r>
              <w:rPr>
                <w:rFonts w:ascii="Arial Narrow" w:eastAsia="Times New Roman" w:hAnsi="Arial Narrow" w:cs="Calibri"/>
                <w:b/>
                <w:bCs/>
                <w:color w:val="000000"/>
                <w:sz w:val="22"/>
                <w:szCs w:val="22"/>
                <w:lang w:val="es-CR"/>
              </w:rPr>
              <w:t>mbi</w:t>
            </w:r>
            <w:r w:rsidRPr="00DE6BC0">
              <w:rPr>
                <w:rFonts w:ascii="Arial Narrow" w:eastAsia="Times New Roman" w:hAnsi="Arial Narrow" w:cs="Calibri"/>
                <w:b/>
                <w:bCs/>
                <w:color w:val="000000"/>
                <w:sz w:val="22"/>
                <w:szCs w:val="22"/>
                <w:lang w:val="es-CR"/>
              </w:rPr>
              <w:t>os</w:t>
            </w:r>
            <w:r w:rsidR="00DE6BC0" w:rsidRPr="00DE6BC0">
              <w:rPr>
                <w:rFonts w:ascii="Arial Narrow" w:eastAsia="Times New Roman" w:hAnsi="Arial Narrow" w:cs="Calibri"/>
                <w:b/>
                <w:bCs/>
                <w:color w:val="000000"/>
                <w:sz w:val="22"/>
                <w:szCs w:val="22"/>
                <w:lang w:val="es-CR"/>
              </w:rPr>
              <w:t xml:space="preserve"> en el valor de las provisiones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002AC393" w14:textId="77777777" w:rsidR="00DE6BC0" w:rsidRDefault="00DE6BC0" w:rsidP="00DE6BC0">
            <w:pPr>
              <w:jc w:val="both"/>
              <w:rPr>
                <w:rFonts w:ascii="Arial Narrow" w:eastAsia="Times New Roman" w:hAnsi="Arial Narrow" w:cs="Calibri"/>
                <w:b/>
                <w:bCs/>
                <w:color w:val="000000"/>
                <w:sz w:val="22"/>
                <w:szCs w:val="22"/>
              </w:rPr>
            </w:pPr>
            <w:r w:rsidRPr="00DE6BC0">
              <w:rPr>
                <w:rFonts w:ascii="Arial Narrow" w:eastAsia="Times New Roman" w:hAnsi="Arial Narrow" w:cs="Calibri"/>
                <w:b/>
                <w:bCs/>
                <w:color w:val="000000"/>
                <w:sz w:val="22"/>
                <w:szCs w:val="22"/>
              </w:rPr>
              <w:t>NICSP N° 19</w:t>
            </w:r>
            <w:r>
              <w:rPr>
                <w:rFonts w:ascii="Arial Narrow" w:eastAsia="Times New Roman" w:hAnsi="Arial Narrow" w:cs="Calibri"/>
                <w:b/>
                <w:bCs/>
                <w:color w:val="000000"/>
                <w:sz w:val="22"/>
                <w:szCs w:val="22"/>
              </w:rPr>
              <w:t>,</w:t>
            </w:r>
          </w:p>
          <w:p w14:paraId="59EA000D" w14:textId="4BB65BA8" w:rsidR="00DE6BC0" w:rsidRPr="00DE6BC0" w:rsidRDefault="00DE6BC0" w:rsidP="00DE6BC0">
            <w:pPr>
              <w:jc w:val="both"/>
              <w:rPr>
                <w:rFonts w:ascii="Arial Narrow" w:eastAsia="Times New Roman" w:hAnsi="Arial Narrow" w:cs="Calibri"/>
                <w:b/>
                <w:bCs/>
                <w:color w:val="000000"/>
                <w:sz w:val="22"/>
                <w:szCs w:val="22"/>
              </w:rPr>
            </w:pPr>
            <w:r w:rsidRPr="00DE6BC0">
              <w:rPr>
                <w:rFonts w:ascii="Arial Narrow" w:eastAsia="Times New Roman" w:hAnsi="Arial Narrow" w:cs="Calibri"/>
                <w:b/>
                <w:bCs/>
                <w:color w:val="000000"/>
                <w:sz w:val="22"/>
                <w:szCs w:val="22"/>
              </w:rPr>
              <w:t>Párrafos 69.</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0110D0E9" w14:textId="77777777" w:rsidR="00DE6BC0" w:rsidRPr="00DE6BC0" w:rsidRDefault="00DE6BC0" w:rsidP="00DE6BC0">
            <w:pPr>
              <w:rPr>
                <w:rFonts w:ascii="Arial Narrow" w:eastAsia="Times New Roman" w:hAnsi="Arial Narrow" w:cs="Calibri"/>
                <w:b/>
                <w:bCs/>
                <w:color w:val="000000"/>
                <w:sz w:val="22"/>
                <w:szCs w:val="22"/>
              </w:rPr>
            </w:pPr>
            <w:r w:rsidRPr="00DE6BC0">
              <w:rPr>
                <w:rFonts w:ascii="Arial Narrow" w:eastAsia="Times New Roman" w:hAnsi="Arial Narrow" w:cs="Calibri"/>
                <w:b/>
                <w:bCs/>
                <w:color w:val="000000"/>
                <w:sz w:val="22"/>
                <w:szCs w:val="22"/>
              </w:rPr>
              <w:t>DGCN</w:t>
            </w:r>
          </w:p>
        </w:tc>
      </w:tr>
    </w:tbl>
    <w:p w14:paraId="0C031AE7" w14:textId="297FA0E5" w:rsidR="007E76C2" w:rsidRDefault="007E76C2" w:rsidP="00393C79">
      <w:pPr>
        <w:pStyle w:val="Default"/>
        <w:ind w:right="261"/>
        <w:jc w:val="both"/>
        <w:rPr>
          <w:sz w:val="22"/>
          <w:szCs w:val="22"/>
          <w:lang w:val="es-CR"/>
        </w:rPr>
      </w:pPr>
    </w:p>
    <w:p w14:paraId="65910979" w14:textId="08254F1C" w:rsidR="00393C79" w:rsidRDefault="00393C79" w:rsidP="00393C79">
      <w:pPr>
        <w:pStyle w:val="Default"/>
        <w:ind w:right="261"/>
        <w:jc w:val="both"/>
        <w:rPr>
          <w:rFonts w:eastAsia="Arial"/>
          <w:b/>
          <w:sz w:val="22"/>
          <w:szCs w:val="22"/>
        </w:rPr>
      </w:pPr>
      <w:r w:rsidRPr="00F02F9D">
        <w:rPr>
          <w:rFonts w:eastAsia="Arial"/>
          <w:b/>
          <w:sz w:val="22"/>
          <w:szCs w:val="22"/>
        </w:rPr>
        <w:lastRenderedPageBreak/>
        <w:t>Políticas Contables</w:t>
      </w:r>
    </w:p>
    <w:p w14:paraId="362E1139" w14:textId="77777777" w:rsidR="00393C79" w:rsidRPr="007E76C2" w:rsidRDefault="00393C79" w:rsidP="00393C79">
      <w:pPr>
        <w:pStyle w:val="Default"/>
        <w:ind w:right="261"/>
        <w:jc w:val="both"/>
        <w:rPr>
          <w:sz w:val="22"/>
          <w:szCs w:val="22"/>
          <w:lang w:val="es-CR"/>
        </w:rPr>
      </w:pPr>
    </w:p>
    <w:p w14:paraId="2304880F" w14:textId="4F097186" w:rsidR="007E76C2" w:rsidRDefault="00DE6BC0" w:rsidP="00DE6BC0">
      <w:pPr>
        <w:pStyle w:val="Default"/>
        <w:ind w:left="1134" w:hanging="1134"/>
        <w:jc w:val="both"/>
        <w:rPr>
          <w:sz w:val="22"/>
          <w:szCs w:val="22"/>
          <w:lang w:val="es-CR"/>
        </w:rPr>
      </w:pPr>
      <w:r>
        <w:rPr>
          <w:sz w:val="22"/>
          <w:szCs w:val="22"/>
          <w:lang w:val="es-CR"/>
        </w:rPr>
        <w:t>2.102.0.01</w:t>
      </w:r>
      <w:r>
        <w:rPr>
          <w:sz w:val="22"/>
          <w:szCs w:val="22"/>
          <w:lang w:val="es-CR"/>
        </w:rPr>
        <w:tab/>
      </w:r>
      <w:r w:rsidRPr="00DE6BC0">
        <w:rPr>
          <w:sz w:val="22"/>
          <w:szCs w:val="22"/>
          <w:lang w:val="es-CR"/>
        </w:rPr>
        <w:t>Las provisiones se deben revisar en cada fecha sobre la que se informa, y deben ajustarse, en su caso, para reflejar la mejor estimación existente en ese momento. Si ya no es probable que, para liquidar la obligación, se vaya a requerir de un flujo de salida de recursos que incorporen beneficios económicos o un potencial de servicio, se debe revertir la provisión.</w:t>
      </w:r>
    </w:p>
    <w:p w14:paraId="7A525BCC" w14:textId="77777777" w:rsidR="007E76C2" w:rsidRDefault="007E76C2" w:rsidP="002A638A">
      <w:pPr>
        <w:pStyle w:val="Default"/>
        <w:spacing w:after="120" w:line="238" w:lineRule="auto"/>
        <w:ind w:right="260"/>
        <w:jc w:val="both"/>
        <w:rPr>
          <w:sz w:val="22"/>
          <w:szCs w:val="22"/>
          <w:lang w:val="es-CR"/>
        </w:rPr>
      </w:pPr>
    </w:p>
    <w:p w14:paraId="4293EBBB" w14:textId="77777777" w:rsidR="00393C79" w:rsidRDefault="00393C79" w:rsidP="002A638A">
      <w:pPr>
        <w:pStyle w:val="Default"/>
        <w:spacing w:after="120" w:line="238" w:lineRule="auto"/>
        <w:ind w:right="260"/>
        <w:jc w:val="both"/>
        <w:rPr>
          <w:sz w:val="22"/>
          <w:szCs w:val="22"/>
          <w:lang w:val="es-CR"/>
        </w:rPr>
      </w:pPr>
    </w:p>
    <w:tbl>
      <w:tblPr>
        <w:tblW w:w="9375" w:type="dxa"/>
        <w:tblLook w:val="04A0" w:firstRow="1" w:lastRow="0" w:firstColumn="1" w:lastColumn="0" w:noHBand="0" w:noVBand="1"/>
      </w:tblPr>
      <w:tblGrid>
        <w:gridCol w:w="605"/>
        <w:gridCol w:w="517"/>
        <w:gridCol w:w="583"/>
        <w:gridCol w:w="3672"/>
        <w:gridCol w:w="2126"/>
        <w:gridCol w:w="1872"/>
      </w:tblGrid>
      <w:tr w:rsidR="0097644C" w:rsidRPr="0097644C" w14:paraId="2289047C" w14:textId="77777777" w:rsidTr="00442D71">
        <w:trPr>
          <w:trHeight w:val="300"/>
        </w:trPr>
        <w:tc>
          <w:tcPr>
            <w:tcW w:w="170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D7A4F39"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Norma / Política</w:t>
            </w:r>
          </w:p>
        </w:tc>
        <w:tc>
          <w:tcPr>
            <w:tcW w:w="3672" w:type="dxa"/>
            <w:vMerge w:val="restart"/>
            <w:tcBorders>
              <w:top w:val="single" w:sz="8" w:space="0" w:color="auto"/>
              <w:left w:val="single" w:sz="8" w:space="0" w:color="auto"/>
              <w:bottom w:val="nil"/>
              <w:right w:val="single" w:sz="8" w:space="0" w:color="auto"/>
            </w:tcBorders>
            <w:shd w:val="clear" w:color="000000" w:fill="203764"/>
            <w:vAlign w:val="center"/>
            <w:hideMark/>
          </w:tcPr>
          <w:p w14:paraId="083E1DD8"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Concepto</w:t>
            </w:r>
          </w:p>
        </w:tc>
        <w:tc>
          <w:tcPr>
            <w:tcW w:w="3998" w:type="dxa"/>
            <w:gridSpan w:val="2"/>
            <w:tcBorders>
              <w:top w:val="single" w:sz="8" w:space="0" w:color="auto"/>
              <w:left w:val="nil"/>
              <w:bottom w:val="single" w:sz="8" w:space="0" w:color="auto"/>
              <w:right w:val="single" w:sz="8" w:space="0" w:color="000000"/>
            </w:tcBorders>
            <w:shd w:val="clear" w:color="000000" w:fill="203764"/>
            <w:vAlign w:val="center"/>
            <w:hideMark/>
          </w:tcPr>
          <w:p w14:paraId="520B9CBE"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Referencia</w:t>
            </w:r>
          </w:p>
        </w:tc>
      </w:tr>
      <w:tr w:rsidR="0097644C" w:rsidRPr="006E5442" w14:paraId="7E85CDBB" w14:textId="77777777" w:rsidTr="00442D71">
        <w:trPr>
          <w:trHeight w:val="850"/>
        </w:trPr>
        <w:tc>
          <w:tcPr>
            <w:tcW w:w="1705" w:type="dxa"/>
            <w:gridSpan w:val="3"/>
            <w:vMerge/>
            <w:tcBorders>
              <w:top w:val="single" w:sz="8" w:space="0" w:color="auto"/>
              <w:left w:val="single" w:sz="8" w:space="0" w:color="auto"/>
              <w:bottom w:val="nil"/>
              <w:right w:val="single" w:sz="8" w:space="0" w:color="000000"/>
            </w:tcBorders>
            <w:vAlign w:val="center"/>
            <w:hideMark/>
          </w:tcPr>
          <w:p w14:paraId="7D7DCC41" w14:textId="77777777" w:rsidR="0097644C" w:rsidRPr="0097644C" w:rsidRDefault="0097644C" w:rsidP="0097644C">
            <w:pPr>
              <w:rPr>
                <w:rFonts w:ascii="Arial Narrow" w:eastAsia="Times New Roman" w:hAnsi="Arial Narrow" w:cs="Calibri"/>
                <w:b/>
                <w:bCs/>
                <w:color w:val="FFFFFF"/>
                <w:sz w:val="22"/>
                <w:szCs w:val="22"/>
              </w:rPr>
            </w:pPr>
          </w:p>
        </w:tc>
        <w:tc>
          <w:tcPr>
            <w:tcW w:w="3672" w:type="dxa"/>
            <w:vMerge/>
            <w:tcBorders>
              <w:top w:val="single" w:sz="8" w:space="0" w:color="auto"/>
              <w:left w:val="single" w:sz="8" w:space="0" w:color="auto"/>
              <w:bottom w:val="nil"/>
              <w:right w:val="single" w:sz="8" w:space="0" w:color="auto"/>
            </w:tcBorders>
            <w:vAlign w:val="center"/>
            <w:hideMark/>
          </w:tcPr>
          <w:p w14:paraId="5E11D731" w14:textId="77777777" w:rsidR="0097644C" w:rsidRPr="0097644C" w:rsidRDefault="0097644C" w:rsidP="0097644C">
            <w:pPr>
              <w:rPr>
                <w:rFonts w:ascii="Arial Narrow" w:eastAsia="Times New Roman" w:hAnsi="Arial Narrow" w:cs="Calibri"/>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6D795D1F"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Norma</w:t>
            </w:r>
          </w:p>
        </w:tc>
        <w:tc>
          <w:tcPr>
            <w:tcW w:w="1869" w:type="dxa"/>
            <w:tcBorders>
              <w:top w:val="nil"/>
              <w:left w:val="nil"/>
              <w:bottom w:val="nil"/>
              <w:right w:val="single" w:sz="8" w:space="0" w:color="auto"/>
            </w:tcBorders>
            <w:shd w:val="clear" w:color="000000" w:fill="203764"/>
            <w:vAlign w:val="center"/>
            <w:hideMark/>
          </w:tcPr>
          <w:p w14:paraId="63F664CC" w14:textId="77777777" w:rsidR="0097644C" w:rsidRPr="0097644C" w:rsidRDefault="0097644C" w:rsidP="0097644C">
            <w:pPr>
              <w:jc w:val="center"/>
              <w:rPr>
                <w:rFonts w:ascii="Arial Narrow" w:eastAsia="Times New Roman" w:hAnsi="Arial Narrow" w:cs="Calibri"/>
                <w:b/>
                <w:bCs/>
                <w:color w:val="FFFFFF"/>
                <w:sz w:val="22"/>
                <w:szCs w:val="22"/>
                <w:lang w:val="es-CR"/>
              </w:rPr>
            </w:pPr>
            <w:r w:rsidRPr="0097644C">
              <w:rPr>
                <w:rFonts w:ascii="Arial Narrow" w:eastAsia="Times New Roman" w:hAnsi="Arial Narrow" w:cs="Calibri"/>
                <w:b/>
                <w:bCs/>
                <w:color w:val="FFFFFF"/>
                <w:sz w:val="22"/>
                <w:szCs w:val="22"/>
                <w:lang w:val="es-CR"/>
              </w:rPr>
              <w:t>Normativa técnica y disposiciones adicionales</w:t>
            </w:r>
          </w:p>
        </w:tc>
      </w:tr>
      <w:tr w:rsidR="0097644C" w:rsidRPr="0097644C" w14:paraId="7056905F" w14:textId="77777777" w:rsidTr="00442D71">
        <w:trPr>
          <w:trHeight w:val="570"/>
        </w:trPr>
        <w:tc>
          <w:tcPr>
            <w:tcW w:w="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328727" w14:textId="77777777" w:rsidR="0097644C" w:rsidRPr="0097644C" w:rsidRDefault="0097644C" w:rsidP="0097644C">
            <w:pPr>
              <w:jc w:val="cente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2377C5B3" w14:textId="77777777" w:rsidR="0097644C" w:rsidRPr="0097644C" w:rsidRDefault="0097644C" w:rsidP="0097644C">
            <w:pPr>
              <w:jc w:val="cente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103</w:t>
            </w:r>
          </w:p>
        </w:tc>
        <w:tc>
          <w:tcPr>
            <w:tcW w:w="583" w:type="dxa"/>
            <w:tcBorders>
              <w:top w:val="single" w:sz="8" w:space="0" w:color="auto"/>
              <w:left w:val="nil"/>
              <w:bottom w:val="single" w:sz="8" w:space="0" w:color="auto"/>
              <w:right w:val="single" w:sz="8" w:space="0" w:color="auto"/>
            </w:tcBorders>
            <w:shd w:val="clear" w:color="auto" w:fill="auto"/>
            <w:vAlign w:val="center"/>
            <w:hideMark/>
          </w:tcPr>
          <w:p w14:paraId="44E83879" w14:textId="77777777" w:rsidR="0097644C" w:rsidRPr="0097644C" w:rsidRDefault="0097644C" w:rsidP="0097644C">
            <w:pPr>
              <w:jc w:val="cente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0</w:t>
            </w:r>
          </w:p>
        </w:tc>
        <w:tc>
          <w:tcPr>
            <w:tcW w:w="3672" w:type="dxa"/>
            <w:tcBorders>
              <w:top w:val="single" w:sz="8" w:space="0" w:color="auto"/>
              <w:left w:val="nil"/>
              <w:bottom w:val="single" w:sz="8" w:space="0" w:color="auto"/>
              <w:right w:val="single" w:sz="8" w:space="0" w:color="auto"/>
            </w:tcBorders>
            <w:shd w:val="clear" w:color="auto" w:fill="auto"/>
            <w:vAlign w:val="center"/>
            <w:hideMark/>
          </w:tcPr>
          <w:p w14:paraId="1BCB48A2" w14:textId="77777777" w:rsidR="0097644C" w:rsidRPr="0097644C" w:rsidRDefault="0097644C" w:rsidP="0097644C">
            <w:pPr>
              <w:jc w:val="both"/>
              <w:rPr>
                <w:rFonts w:ascii="Arial Narrow" w:eastAsia="Times New Roman" w:hAnsi="Arial Narrow" w:cs="Calibri"/>
                <w:b/>
                <w:bCs/>
                <w:color w:val="000000"/>
                <w:sz w:val="22"/>
                <w:szCs w:val="22"/>
                <w:lang w:val="es-CR"/>
              </w:rPr>
            </w:pPr>
            <w:r w:rsidRPr="0097644C">
              <w:rPr>
                <w:rFonts w:ascii="Arial Narrow" w:eastAsia="Times New Roman" w:hAnsi="Arial Narrow" w:cs="Calibri"/>
                <w:b/>
                <w:bCs/>
                <w:color w:val="000000"/>
                <w:sz w:val="22"/>
                <w:szCs w:val="22"/>
                <w:lang w:val="es-CR"/>
              </w:rPr>
              <w:t>Evaluación continua de pasivos contingentes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36FD80F7" w14:textId="77777777" w:rsidR="0097644C" w:rsidRDefault="0097644C" w:rsidP="0097644C">
            <w:pPr>
              <w:jc w:val="both"/>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NICSP N° 19,</w:t>
            </w:r>
          </w:p>
          <w:p w14:paraId="60AE3E0D" w14:textId="3760DE2B" w:rsidR="0097644C" w:rsidRPr="0097644C" w:rsidRDefault="0097644C" w:rsidP="0097644C">
            <w:pPr>
              <w:jc w:val="both"/>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Párrafos 38.</w:t>
            </w:r>
          </w:p>
        </w:tc>
        <w:tc>
          <w:tcPr>
            <w:tcW w:w="1869" w:type="dxa"/>
            <w:tcBorders>
              <w:top w:val="single" w:sz="8" w:space="0" w:color="auto"/>
              <w:left w:val="nil"/>
              <w:bottom w:val="single" w:sz="8" w:space="0" w:color="auto"/>
              <w:right w:val="single" w:sz="8" w:space="0" w:color="auto"/>
            </w:tcBorders>
            <w:shd w:val="clear" w:color="auto" w:fill="auto"/>
            <w:vAlign w:val="center"/>
            <w:hideMark/>
          </w:tcPr>
          <w:p w14:paraId="178F5257" w14:textId="77777777" w:rsidR="0097644C" w:rsidRPr="0097644C" w:rsidRDefault="0097644C" w:rsidP="0097644C">
            <w:pP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 xml:space="preserve"> </w:t>
            </w:r>
          </w:p>
        </w:tc>
      </w:tr>
    </w:tbl>
    <w:p w14:paraId="2D7603AF" w14:textId="77777777" w:rsidR="00DE6BC0" w:rsidRDefault="00DE6BC0" w:rsidP="00393C79">
      <w:pPr>
        <w:pStyle w:val="Default"/>
        <w:ind w:right="261"/>
        <w:jc w:val="both"/>
        <w:rPr>
          <w:sz w:val="22"/>
          <w:szCs w:val="22"/>
          <w:lang w:val="es-CR"/>
        </w:rPr>
      </w:pPr>
    </w:p>
    <w:p w14:paraId="57D75996" w14:textId="7B94B2EB" w:rsidR="00393C79" w:rsidRDefault="00393C79" w:rsidP="00393C79">
      <w:pPr>
        <w:pStyle w:val="Default"/>
        <w:ind w:right="261"/>
        <w:jc w:val="both"/>
        <w:rPr>
          <w:rFonts w:eastAsia="Arial"/>
          <w:b/>
          <w:sz w:val="22"/>
          <w:szCs w:val="22"/>
        </w:rPr>
      </w:pPr>
      <w:r w:rsidRPr="00F02F9D">
        <w:rPr>
          <w:rFonts w:eastAsia="Arial"/>
          <w:b/>
          <w:sz w:val="22"/>
          <w:szCs w:val="22"/>
        </w:rPr>
        <w:t>Políticas Contables</w:t>
      </w:r>
    </w:p>
    <w:p w14:paraId="3160FC65" w14:textId="77777777" w:rsidR="00393C79" w:rsidRDefault="00393C79" w:rsidP="00393C79">
      <w:pPr>
        <w:pStyle w:val="Default"/>
        <w:ind w:right="261"/>
        <w:jc w:val="both"/>
        <w:rPr>
          <w:sz w:val="22"/>
          <w:szCs w:val="22"/>
          <w:lang w:val="es-CR"/>
        </w:rPr>
      </w:pPr>
    </w:p>
    <w:p w14:paraId="6F622B99" w14:textId="2A63FF82" w:rsidR="0097644C" w:rsidRDefault="0097644C" w:rsidP="00442D71">
      <w:pPr>
        <w:pStyle w:val="Default"/>
        <w:spacing w:after="120" w:line="238" w:lineRule="auto"/>
        <w:ind w:left="1134" w:right="26" w:hanging="1134"/>
        <w:jc w:val="both"/>
        <w:rPr>
          <w:sz w:val="22"/>
          <w:szCs w:val="22"/>
          <w:lang w:val="es-CR"/>
        </w:rPr>
      </w:pPr>
      <w:r>
        <w:rPr>
          <w:sz w:val="22"/>
          <w:szCs w:val="22"/>
          <w:lang w:val="es-CR"/>
        </w:rPr>
        <w:t>2.103.0.01</w:t>
      </w:r>
      <w:r>
        <w:rPr>
          <w:sz w:val="22"/>
          <w:szCs w:val="22"/>
          <w:lang w:val="es-CR"/>
        </w:rPr>
        <w:tab/>
      </w:r>
      <w:r w:rsidRPr="0097644C">
        <w:rPr>
          <w:sz w:val="22"/>
          <w:szCs w:val="22"/>
          <w:lang w:val="es-CR"/>
        </w:rPr>
        <w:t xml:space="preserve">Los pasivos contingentes deben ser evaluados continuamente para determinar si se ha producido o no la probabilidad de un flujo de salida de recursos que incorporen beneficios económicos o potencial de servicio futuros. Si se estimara probable que, para una partida que había sido tratada con anterioridad como un pasivo contingente, se fuera a requerir de un flujo de salida de beneficios económicos o potencial de servicio futuro, se debe reconocer una provisión en los estados financieros del ejercicio en que se haya producido el </w:t>
      </w:r>
      <w:r w:rsidR="000E5DF8" w:rsidRPr="0097644C">
        <w:rPr>
          <w:sz w:val="22"/>
          <w:szCs w:val="22"/>
          <w:lang w:val="es-CR"/>
        </w:rPr>
        <w:t>ca</w:t>
      </w:r>
      <w:r w:rsidR="000E5DF8">
        <w:rPr>
          <w:sz w:val="22"/>
          <w:szCs w:val="22"/>
          <w:lang w:val="es-CR"/>
        </w:rPr>
        <w:t>mbi</w:t>
      </w:r>
      <w:r w:rsidR="000E5DF8" w:rsidRPr="0097644C">
        <w:rPr>
          <w:sz w:val="22"/>
          <w:szCs w:val="22"/>
          <w:lang w:val="es-CR"/>
        </w:rPr>
        <w:t>o</w:t>
      </w:r>
      <w:r w:rsidRPr="0097644C">
        <w:rPr>
          <w:sz w:val="22"/>
          <w:szCs w:val="22"/>
          <w:lang w:val="es-CR"/>
        </w:rPr>
        <w:t xml:space="preserve"> en la probabilidad. Ello, a efectos de asegurar que la evolución de los pasivos contingentes esté reflejada adecuadamente en los estados financieros.</w:t>
      </w:r>
    </w:p>
    <w:p w14:paraId="2EDD5441" w14:textId="77777777" w:rsidR="00442D71" w:rsidRPr="0097644C" w:rsidRDefault="00442D71" w:rsidP="00442D71">
      <w:pPr>
        <w:pStyle w:val="Default"/>
        <w:spacing w:after="120" w:line="238" w:lineRule="auto"/>
        <w:ind w:left="1134" w:right="26" w:hanging="1134"/>
        <w:jc w:val="both"/>
        <w:rPr>
          <w:sz w:val="22"/>
          <w:szCs w:val="22"/>
          <w:lang w:val="es-CR"/>
        </w:rPr>
      </w:pPr>
    </w:p>
    <w:p w14:paraId="4BA3D5F2" w14:textId="77777777" w:rsidR="0097644C" w:rsidRDefault="0097644C" w:rsidP="002A638A">
      <w:pPr>
        <w:pStyle w:val="Default"/>
        <w:spacing w:after="120" w:line="238" w:lineRule="auto"/>
        <w:ind w:right="260"/>
        <w:jc w:val="both"/>
        <w:rPr>
          <w:sz w:val="22"/>
          <w:szCs w:val="22"/>
          <w:lang w:val="es-CR"/>
        </w:rPr>
      </w:pPr>
    </w:p>
    <w:tbl>
      <w:tblPr>
        <w:tblW w:w="9375" w:type="dxa"/>
        <w:tblLook w:val="04A0" w:firstRow="1" w:lastRow="0" w:firstColumn="1" w:lastColumn="0" w:noHBand="0" w:noVBand="1"/>
      </w:tblPr>
      <w:tblGrid>
        <w:gridCol w:w="604"/>
        <w:gridCol w:w="517"/>
        <w:gridCol w:w="581"/>
        <w:gridCol w:w="3672"/>
        <w:gridCol w:w="2129"/>
        <w:gridCol w:w="1872"/>
      </w:tblGrid>
      <w:tr w:rsidR="0097644C" w:rsidRPr="0097644C" w14:paraId="712D1977" w14:textId="77777777" w:rsidTr="00442D71">
        <w:trPr>
          <w:trHeight w:val="300"/>
        </w:trPr>
        <w:tc>
          <w:tcPr>
            <w:tcW w:w="170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A0D0EEE"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Norma / Política</w:t>
            </w:r>
          </w:p>
        </w:tc>
        <w:tc>
          <w:tcPr>
            <w:tcW w:w="367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2029FBC"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Concepto</w:t>
            </w:r>
          </w:p>
        </w:tc>
        <w:tc>
          <w:tcPr>
            <w:tcW w:w="4001" w:type="dxa"/>
            <w:gridSpan w:val="2"/>
            <w:tcBorders>
              <w:top w:val="single" w:sz="8" w:space="0" w:color="auto"/>
              <w:left w:val="nil"/>
              <w:bottom w:val="single" w:sz="8" w:space="0" w:color="auto"/>
              <w:right w:val="single" w:sz="8" w:space="0" w:color="000000"/>
            </w:tcBorders>
            <w:shd w:val="clear" w:color="000000" w:fill="203764"/>
            <w:vAlign w:val="center"/>
            <w:hideMark/>
          </w:tcPr>
          <w:p w14:paraId="79B6B43A"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Referencia</w:t>
            </w:r>
          </w:p>
        </w:tc>
      </w:tr>
      <w:tr w:rsidR="0097644C" w:rsidRPr="006E5442" w14:paraId="5B97D924" w14:textId="77777777" w:rsidTr="00442D71">
        <w:trPr>
          <w:trHeight w:val="850"/>
        </w:trPr>
        <w:tc>
          <w:tcPr>
            <w:tcW w:w="1702" w:type="dxa"/>
            <w:gridSpan w:val="3"/>
            <w:vMerge/>
            <w:tcBorders>
              <w:top w:val="single" w:sz="8" w:space="0" w:color="auto"/>
              <w:left w:val="single" w:sz="8" w:space="0" w:color="auto"/>
              <w:bottom w:val="nil"/>
              <w:right w:val="single" w:sz="8" w:space="0" w:color="000000"/>
            </w:tcBorders>
            <w:vAlign w:val="center"/>
            <w:hideMark/>
          </w:tcPr>
          <w:p w14:paraId="6A36E8EF" w14:textId="77777777" w:rsidR="0097644C" w:rsidRPr="0097644C" w:rsidRDefault="0097644C" w:rsidP="0097644C">
            <w:pPr>
              <w:rPr>
                <w:rFonts w:ascii="Arial Narrow" w:eastAsia="Times New Roman" w:hAnsi="Arial Narrow" w:cs="Calibri"/>
                <w:b/>
                <w:bCs/>
                <w:color w:val="FFFFFF"/>
                <w:sz w:val="22"/>
                <w:szCs w:val="22"/>
              </w:rPr>
            </w:pPr>
          </w:p>
        </w:tc>
        <w:tc>
          <w:tcPr>
            <w:tcW w:w="3672" w:type="dxa"/>
            <w:vMerge/>
            <w:tcBorders>
              <w:top w:val="single" w:sz="8" w:space="0" w:color="auto"/>
              <w:left w:val="single" w:sz="8" w:space="0" w:color="auto"/>
              <w:bottom w:val="nil"/>
              <w:right w:val="single" w:sz="8" w:space="0" w:color="auto"/>
            </w:tcBorders>
            <w:vAlign w:val="center"/>
            <w:hideMark/>
          </w:tcPr>
          <w:p w14:paraId="5792F8A8" w14:textId="77777777" w:rsidR="0097644C" w:rsidRPr="0097644C" w:rsidRDefault="0097644C" w:rsidP="0097644C">
            <w:pPr>
              <w:rPr>
                <w:rFonts w:ascii="Arial Narrow" w:eastAsia="Times New Roman" w:hAnsi="Arial Narrow" w:cs="Calibri"/>
                <w:b/>
                <w:bCs/>
                <w:color w:val="FFFFFF"/>
                <w:sz w:val="22"/>
                <w:szCs w:val="22"/>
              </w:rPr>
            </w:pPr>
          </w:p>
        </w:tc>
        <w:tc>
          <w:tcPr>
            <w:tcW w:w="2129" w:type="dxa"/>
            <w:tcBorders>
              <w:top w:val="nil"/>
              <w:left w:val="nil"/>
              <w:bottom w:val="nil"/>
              <w:right w:val="single" w:sz="8" w:space="0" w:color="auto"/>
            </w:tcBorders>
            <w:shd w:val="clear" w:color="000000" w:fill="203764"/>
            <w:vAlign w:val="center"/>
            <w:hideMark/>
          </w:tcPr>
          <w:p w14:paraId="3C5A2B16"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Norma</w:t>
            </w:r>
          </w:p>
        </w:tc>
        <w:tc>
          <w:tcPr>
            <w:tcW w:w="1870" w:type="dxa"/>
            <w:tcBorders>
              <w:top w:val="nil"/>
              <w:left w:val="nil"/>
              <w:bottom w:val="nil"/>
              <w:right w:val="single" w:sz="8" w:space="0" w:color="auto"/>
            </w:tcBorders>
            <w:shd w:val="clear" w:color="000000" w:fill="203764"/>
            <w:vAlign w:val="center"/>
            <w:hideMark/>
          </w:tcPr>
          <w:p w14:paraId="6A33AD9A" w14:textId="77777777" w:rsidR="0097644C" w:rsidRPr="0097644C" w:rsidRDefault="0097644C" w:rsidP="0097644C">
            <w:pPr>
              <w:jc w:val="center"/>
              <w:rPr>
                <w:rFonts w:ascii="Arial Narrow" w:eastAsia="Times New Roman" w:hAnsi="Arial Narrow" w:cs="Calibri"/>
                <w:b/>
                <w:bCs/>
                <w:color w:val="FFFFFF"/>
                <w:sz w:val="22"/>
                <w:szCs w:val="22"/>
                <w:lang w:val="es-CR"/>
              </w:rPr>
            </w:pPr>
            <w:r w:rsidRPr="0097644C">
              <w:rPr>
                <w:rFonts w:ascii="Arial Narrow" w:eastAsia="Times New Roman" w:hAnsi="Arial Narrow" w:cs="Calibri"/>
                <w:b/>
                <w:bCs/>
                <w:color w:val="FFFFFF"/>
                <w:sz w:val="22"/>
                <w:szCs w:val="22"/>
                <w:lang w:val="es-CR"/>
              </w:rPr>
              <w:t>Normativa técnica y disposiciones adicionales</w:t>
            </w:r>
          </w:p>
        </w:tc>
      </w:tr>
      <w:tr w:rsidR="0097644C" w:rsidRPr="0097644C" w14:paraId="2C7DAFCB" w14:textId="77777777" w:rsidTr="00442D71">
        <w:trPr>
          <w:trHeight w:val="570"/>
        </w:trPr>
        <w:tc>
          <w:tcPr>
            <w:tcW w:w="6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721F01" w14:textId="77777777" w:rsidR="0097644C" w:rsidRPr="0097644C" w:rsidRDefault="0097644C" w:rsidP="0097644C">
            <w:pPr>
              <w:jc w:val="cente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141C5CE8" w14:textId="77777777" w:rsidR="0097644C" w:rsidRPr="0097644C" w:rsidRDefault="0097644C" w:rsidP="0097644C">
            <w:pPr>
              <w:jc w:val="cente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104</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1F24E75B" w14:textId="061B6216" w:rsidR="0097644C" w:rsidRPr="0097644C" w:rsidRDefault="0097644C" w:rsidP="0097644C">
            <w:pPr>
              <w:jc w:val="center"/>
              <w:rPr>
                <w:rFonts w:ascii="Arial Narrow" w:eastAsia="Times New Roman" w:hAnsi="Arial Narrow" w:cs="Calibri"/>
                <w:b/>
                <w:bCs/>
                <w:color w:val="000000"/>
                <w:sz w:val="22"/>
                <w:szCs w:val="22"/>
              </w:rPr>
            </w:pPr>
          </w:p>
        </w:tc>
        <w:tc>
          <w:tcPr>
            <w:tcW w:w="3672" w:type="dxa"/>
            <w:tcBorders>
              <w:top w:val="single" w:sz="8" w:space="0" w:color="auto"/>
              <w:left w:val="nil"/>
              <w:bottom w:val="single" w:sz="8" w:space="0" w:color="auto"/>
              <w:right w:val="single" w:sz="8" w:space="0" w:color="auto"/>
            </w:tcBorders>
            <w:shd w:val="clear" w:color="auto" w:fill="auto"/>
            <w:vAlign w:val="center"/>
            <w:hideMark/>
          </w:tcPr>
          <w:p w14:paraId="65CC54F0" w14:textId="77777777" w:rsidR="0097644C" w:rsidRPr="0097644C" w:rsidRDefault="0097644C" w:rsidP="0097644C">
            <w:pPr>
              <w:jc w:val="both"/>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Aplicación de las provisiones</w:t>
            </w:r>
          </w:p>
        </w:tc>
        <w:tc>
          <w:tcPr>
            <w:tcW w:w="2129" w:type="dxa"/>
            <w:tcBorders>
              <w:top w:val="single" w:sz="8" w:space="0" w:color="auto"/>
              <w:left w:val="nil"/>
              <w:bottom w:val="single" w:sz="8" w:space="0" w:color="auto"/>
              <w:right w:val="single" w:sz="8" w:space="0" w:color="auto"/>
            </w:tcBorders>
            <w:shd w:val="clear" w:color="auto" w:fill="auto"/>
            <w:vAlign w:val="center"/>
            <w:hideMark/>
          </w:tcPr>
          <w:p w14:paraId="1ED9C7EA" w14:textId="77777777" w:rsidR="0097644C" w:rsidRDefault="0097644C" w:rsidP="0097644C">
            <w:pPr>
              <w:jc w:val="both"/>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NICSP N° 19,</w:t>
            </w:r>
          </w:p>
          <w:p w14:paraId="6AE374F2" w14:textId="0C5FFAE3" w:rsidR="0097644C" w:rsidRPr="0097644C" w:rsidRDefault="0097644C" w:rsidP="0097644C">
            <w:pPr>
              <w:jc w:val="both"/>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Párrafos 71.</w:t>
            </w:r>
          </w:p>
        </w:tc>
        <w:tc>
          <w:tcPr>
            <w:tcW w:w="1870" w:type="dxa"/>
            <w:tcBorders>
              <w:top w:val="single" w:sz="8" w:space="0" w:color="auto"/>
              <w:left w:val="nil"/>
              <w:bottom w:val="single" w:sz="8" w:space="0" w:color="auto"/>
              <w:right w:val="single" w:sz="8" w:space="0" w:color="auto"/>
            </w:tcBorders>
            <w:shd w:val="clear" w:color="auto" w:fill="auto"/>
            <w:vAlign w:val="center"/>
            <w:hideMark/>
          </w:tcPr>
          <w:p w14:paraId="330A4820" w14:textId="77777777" w:rsidR="0097644C" w:rsidRPr="0097644C" w:rsidRDefault="0097644C" w:rsidP="0097644C">
            <w:pP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 xml:space="preserve"> </w:t>
            </w:r>
          </w:p>
        </w:tc>
      </w:tr>
    </w:tbl>
    <w:p w14:paraId="4AF587EF" w14:textId="77777777" w:rsidR="0097644C" w:rsidRDefault="0097644C" w:rsidP="00442D71">
      <w:pPr>
        <w:pStyle w:val="Default"/>
        <w:ind w:right="261"/>
        <w:jc w:val="both"/>
        <w:rPr>
          <w:sz w:val="22"/>
          <w:szCs w:val="22"/>
          <w:lang w:val="es-CR"/>
        </w:rPr>
      </w:pPr>
    </w:p>
    <w:p w14:paraId="2B34A691" w14:textId="0FDA6898" w:rsidR="00442D71" w:rsidRDefault="00442D71" w:rsidP="00442D71">
      <w:pPr>
        <w:pStyle w:val="Default"/>
        <w:ind w:right="261"/>
        <w:jc w:val="both"/>
        <w:rPr>
          <w:sz w:val="22"/>
          <w:szCs w:val="22"/>
          <w:lang w:val="es-CR"/>
        </w:rPr>
      </w:pPr>
      <w:r w:rsidRPr="00F02F9D">
        <w:rPr>
          <w:rFonts w:eastAsia="Arial"/>
          <w:b/>
          <w:sz w:val="22"/>
          <w:szCs w:val="22"/>
        </w:rPr>
        <w:t>Políticas Contables</w:t>
      </w:r>
    </w:p>
    <w:p w14:paraId="38682EDB" w14:textId="77777777" w:rsidR="00442D71" w:rsidRDefault="00442D71" w:rsidP="00442D71">
      <w:pPr>
        <w:pStyle w:val="Default"/>
        <w:ind w:right="261"/>
        <w:jc w:val="both"/>
        <w:rPr>
          <w:sz w:val="22"/>
          <w:szCs w:val="22"/>
          <w:lang w:val="es-CR"/>
        </w:rPr>
      </w:pPr>
    </w:p>
    <w:p w14:paraId="67104DA0" w14:textId="08C879D1" w:rsidR="0097644C" w:rsidRDefault="0097644C" w:rsidP="00442D71">
      <w:pPr>
        <w:pStyle w:val="Default"/>
        <w:spacing w:after="120" w:line="238" w:lineRule="auto"/>
        <w:ind w:left="1134" w:right="26" w:hanging="1134"/>
        <w:jc w:val="both"/>
        <w:rPr>
          <w:sz w:val="22"/>
          <w:szCs w:val="22"/>
          <w:lang w:val="es-CR"/>
        </w:rPr>
      </w:pPr>
      <w:r>
        <w:rPr>
          <w:sz w:val="22"/>
          <w:szCs w:val="22"/>
          <w:lang w:val="es-CR"/>
        </w:rPr>
        <w:t>2.104.0.01</w:t>
      </w:r>
      <w:r>
        <w:rPr>
          <w:sz w:val="22"/>
          <w:szCs w:val="22"/>
          <w:lang w:val="es-CR"/>
        </w:rPr>
        <w:tab/>
      </w:r>
      <w:r w:rsidRPr="0097644C">
        <w:rPr>
          <w:sz w:val="22"/>
          <w:szCs w:val="22"/>
          <w:lang w:val="es-CR"/>
        </w:rPr>
        <w:t xml:space="preserve">Cada provisión debe ser utilizada sólo para afrontar los </w:t>
      </w:r>
      <w:r w:rsidR="000E5DF8" w:rsidRPr="0097644C">
        <w:rPr>
          <w:sz w:val="22"/>
          <w:szCs w:val="22"/>
          <w:lang w:val="es-CR"/>
        </w:rPr>
        <w:t>dese</w:t>
      </w:r>
      <w:r w:rsidR="000E5DF8">
        <w:rPr>
          <w:sz w:val="22"/>
          <w:szCs w:val="22"/>
          <w:lang w:val="es-CR"/>
        </w:rPr>
        <w:t>mbo</w:t>
      </w:r>
      <w:r w:rsidR="000E5DF8" w:rsidRPr="0097644C">
        <w:rPr>
          <w:sz w:val="22"/>
          <w:szCs w:val="22"/>
          <w:lang w:val="es-CR"/>
        </w:rPr>
        <w:t>lsos</w:t>
      </w:r>
      <w:r w:rsidRPr="0097644C">
        <w:rPr>
          <w:sz w:val="22"/>
          <w:szCs w:val="22"/>
          <w:lang w:val="es-CR"/>
        </w:rPr>
        <w:t xml:space="preserve"> para los cuales fue originalmente reconocida.</w:t>
      </w:r>
    </w:p>
    <w:p w14:paraId="5C6FFBCD" w14:textId="77777777" w:rsidR="00442D71" w:rsidRPr="0097644C" w:rsidRDefault="00442D71" w:rsidP="00442D71">
      <w:pPr>
        <w:pStyle w:val="Default"/>
        <w:ind w:left="1134" w:right="26" w:hanging="1134"/>
        <w:jc w:val="both"/>
        <w:rPr>
          <w:sz w:val="22"/>
          <w:szCs w:val="22"/>
          <w:lang w:val="es-CR"/>
        </w:rPr>
      </w:pPr>
    </w:p>
    <w:p w14:paraId="57EE615D" w14:textId="77777777" w:rsidR="0097644C" w:rsidRDefault="0097644C" w:rsidP="00442D71">
      <w:pPr>
        <w:pStyle w:val="Default"/>
        <w:ind w:right="260"/>
        <w:jc w:val="both"/>
        <w:rPr>
          <w:sz w:val="22"/>
          <w:szCs w:val="22"/>
          <w:lang w:val="es-CR"/>
        </w:rPr>
      </w:pPr>
    </w:p>
    <w:tbl>
      <w:tblPr>
        <w:tblW w:w="9375" w:type="dxa"/>
        <w:tblLook w:val="04A0" w:firstRow="1" w:lastRow="0" w:firstColumn="1" w:lastColumn="0" w:noHBand="0" w:noVBand="1"/>
      </w:tblPr>
      <w:tblGrid>
        <w:gridCol w:w="605"/>
        <w:gridCol w:w="517"/>
        <w:gridCol w:w="580"/>
        <w:gridCol w:w="3677"/>
        <w:gridCol w:w="2124"/>
        <w:gridCol w:w="1872"/>
      </w:tblGrid>
      <w:tr w:rsidR="0097644C" w:rsidRPr="0097644C" w14:paraId="6531CE20" w14:textId="77777777" w:rsidTr="00442D71">
        <w:trPr>
          <w:trHeight w:val="300"/>
        </w:trPr>
        <w:tc>
          <w:tcPr>
            <w:tcW w:w="170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B1DCA37"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Norma / Política</w:t>
            </w:r>
          </w:p>
        </w:tc>
        <w:tc>
          <w:tcPr>
            <w:tcW w:w="3677" w:type="dxa"/>
            <w:vMerge w:val="restart"/>
            <w:tcBorders>
              <w:top w:val="single" w:sz="8" w:space="0" w:color="auto"/>
              <w:left w:val="single" w:sz="8" w:space="0" w:color="auto"/>
              <w:bottom w:val="nil"/>
              <w:right w:val="single" w:sz="8" w:space="0" w:color="auto"/>
            </w:tcBorders>
            <w:shd w:val="clear" w:color="000000" w:fill="203764"/>
            <w:vAlign w:val="center"/>
            <w:hideMark/>
          </w:tcPr>
          <w:p w14:paraId="20E392EC"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Concepto</w:t>
            </w:r>
          </w:p>
        </w:tc>
        <w:tc>
          <w:tcPr>
            <w:tcW w:w="3996" w:type="dxa"/>
            <w:gridSpan w:val="2"/>
            <w:tcBorders>
              <w:top w:val="single" w:sz="8" w:space="0" w:color="auto"/>
              <w:left w:val="nil"/>
              <w:bottom w:val="single" w:sz="8" w:space="0" w:color="auto"/>
              <w:right w:val="single" w:sz="8" w:space="0" w:color="000000"/>
            </w:tcBorders>
            <w:shd w:val="clear" w:color="000000" w:fill="203764"/>
            <w:vAlign w:val="center"/>
            <w:hideMark/>
          </w:tcPr>
          <w:p w14:paraId="558833A3"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Referencia</w:t>
            </w:r>
          </w:p>
        </w:tc>
      </w:tr>
      <w:tr w:rsidR="0097644C" w:rsidRPr="006E5442" w14:paraId="03B722BF" w14:textId="77777777" w:rsidTr="00442D71">
        <w:trPr>
          <w:trHeight w:val="850"/>
        </w:trPr>
        <w:tc>
          <w:tcPr>
            <w:tcW w:w="1702" w:type="dxa"/>
            <w:gridSpan w:val="3"/>
            <w:vMerge/>
            <w:tcBorders>
              <w:top w:val="single" w:sz="8" w:space="0" w:color="auto"/>
              <w:left w:val="single" w:sz="8" w:space="0" w:color="auto"/>
              <w:bottom w:val="nil"/>
              <w:right w:val="single" w:sz="8" w:space="0" w:color="000000"/>
            </w:tcBorders>
            <w:vAlign w:val="center"/>
            <w:hideMark/>
          </w:tcPr>
          <w:p w14:paraId="42BDA0A1" w14:textId="77777777" w:rsidR="0097644C" w:rsidRPr="0097644C" w:rsidRDefault="0097644C" w:rsidP="0097644C">
            <w:pPr>
              <w:rPr>
                <w:rFonts w:ascii="Arial Narrow" w:eastAsia="Times New Roman" w:hAnsi="Arial Narrow" w:cs="Calibri"/>
                <w:b/>
                <w:bCs/>
                <w:color w:val="FFFFFF"/>
                <w:sz w:val="22"/>
                <w:szCs w:val="22"/>
              </w:rPr>
            </w:pPr>
          </w:p>
        </w:tc>
        <w:tc>
          <w:tcPr>
            <w:tcW w:w="3677" w:type="dxa"/>
            <w:vMerge/>
            <w:tcBorders>
              <w:top w:val="single" w:sz="8" w:space="0" w:color="auto"/>
              <w:left w:val="single" w:sz="8" w:space="0" w:color="auto"/>
              <w:bottom w:val="nil"/>
              <w:right w:val="single" w:sz="8" w:space="0" w:color="auto"/>
            </w:tcBorders>
            <w:vAlign w:val="center"/>
            <w:hideMark/>
          </w:tcPr>
          <w:p w14:paraId="7FC815C1" w14:textId="77777777" w:rsidR="0097644C" w:rsidRPr="0097644C" w:rsidRDefault="0097644C" w:rsidP="0097644C">
            <w:pPr>
              <w:rPr>
                <w:rFonts w:ascii="Arial Narrow" w:eastAsia="Times New Roman" w:hAnsi="Arial Narrow" w:cs="Calibri"/>
                <w:b/>
                <w:bCs/>
                <w:color w:val="FFFFFF"/>
                <w:sz w:val="22"/>
                <w:szCs w:val="22"/>
              </w:rPr>
            </w:pPr>
          </w:p>
        </w:tc>
        <w:tc>
          <w:tcPr>
            <w:tcW w:w="2124" w:type="dxa"/>
            <w:tcBorders>
              <w:top w:val="nil"/>
              <w:left w:val="nil"/>
              <w:bottom w:val="nil"/>
              <w:right w:val="single" w:sz="8" w:space="0" w:color="auto"/>
            </w:tcBorders>
            <w:shd w:val="clear" w:color="000000" w:fill="203764"/>
            <w:vAlign w:val="center"/>
            <w:hideMark/>
          </w:tcPr>
          <w:p w14:paraId="39F78214" w14:textId="77777777" w:rsidR="0097644C" w:rsidRPr="0097644C" w:rsidRDefault="0097644C" w:rsidP="0097644C">
            <w:pPr>
              <w:jc w:val="center"/>
              <w:rPr>
                <w:rFonts w:ascii="Arial Narrow" w:eastAsia="Times New Roman" w:hAnsi="Arial Narrow" w:cs="Calibri"/>
                <w:b/>
                <w:bCs/>
                <w:color w:val="FFFFFF"/>
                <w:sz w:val="22"/>
                <w:szCs w:val="22"/>
              </w:rPr>
            </w:pPr>
            <w:r w:rsidRPr="0097644C">
              <w:rPr>
                <w:rFonts w:ascii="Arial Narrow" w:eastAsia="Times New Roman" w:hAnsi="Arial Narrow" w:cs="Calibri"/>
                <w:b/>
                <w:bCs/>
                <w:color w:val="FFFFFF"/>
                <w:sz w:val="22"/>
                <w:szCs w:val="22"/>
              </w:rPr>
              <w:t>Norma</w:t>
            </w:r>
          </w:p>
        </w:tc>
        <w:tc>
          <w:tcPr>
            <w:tcW w:w="1868" w:type="dxa"/>
            <w:tcBorders>
              <w:top w:val="nil"/>
              <w:left w:val="nil"/>
              <w:bottom w:val="nil"/>
              <w:right w:val="single" w:sz="8" w:space="0" w:color="auto"/>
            </w:tcBorders>
            <w:shd w:val="clear" w:color="000000" w:fill="203764"/>
            <w:vAlign w:val="center"/>
            <w:hideMark/>
          </w:tcPr>
          <w:p w14:paraId="67460192" w14:textId="77777777" w:rsidR="0097644C" w:rsidRPr="0097644C" w:rsidRDefault="0097644C" w:rsidP="0097644C">
            <w:pPr>
              <w:jc w:val="center"/>
              <w:rPr>
                <w:rFonts w:ascii="Arial Narrow" w:eastAsia="Times New Roman" w:hAnsi="Arial Narrow" w:cs="Calibri"/>
                <w:b/>
                <w:bCs/>
                <w:color w:val="FFFFFF"/>
                <w:sz w:val="22"/>
                <w:szCs w:val="22"/>
                <w:lang w:val="es-CR"/>
              </w:rPr>
            </w:pPr>
            <w:r w:rsidRPr="0097644C">
              <w:rPr>
                <w:rFonts w:ascii="Arial Narrow" w:eastAsia="Times New Roman" w:hAnsi="Arial Narrow" w:cs="Calibri"/>
                <w:b/>
                <w:bCs/>
                <w:color w:val="FFFFFF"/>
                <w:sz w:val="22"/>
                <w:szCs w:val="22"/>
                <w:lang w:val="es-CR"/>
              </w:rPr>
              <w:t>Normativa técnica y disposiciones adicionales</w:t>
            </w:r>
          </w:p>
        </w:tc>
      </w:tr>
      <w:tr w:rsidR="0097644C" w:rsidRPr="006E5442" w14:paraId="25B483B7" w14:textId="77777777" w:rsidTr="00442D71">
        <w:trPr>
          <w:trHeight w:val="850"/>
        </w:trPr>
        <w:tc>
          <w:tcPr>
            <w:tcW w:w="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BCB1A9" w14:textId="77777777" w:rsidR="0097644C" w:rsidRPr="0097644C" w:rsidRDefault="0097644C" w:rsidP="0097644C">
            <w:pPr>
              <w:jc w:val="cente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18F863AF" w14:textId="77777777" w:rsidR="0097644C" w:rsidRPr="0097644C" w:rsidRDefault="0097644C" w:rsidP="0097644C">
            <w:pPr>
              <w:jc w:val="center"/>
              <w:rPr>
                <w:rFonts w:ascii="Arial Narrow" w:eastAsia="Times New Roman" w:hAnsi="Arial Narrow" w:cs="Calibri"/>
                <w:b/>
                <w:bCs/>
                <w:color w:val="000000"/>
                <w:sz w:val="22"/>
                <w:szCs w:val="22"/>
              </w:rPr>
            </w:pPr>
            <w:r w:rsidRPr="0097644C">
              <w:rPr>
                <w:rFonts w:ascii="Arial Narrow" w:eastAsia="Times New Roman" w:hAnsi="Arial Narrow" w:cs="Calibri"/>
                <w:b/>
                <w:bCs/>
                <w:color w:val="000000"/>
                <w:sz w:val="22"/>
                <w:szCs w:val="22"/>
              </w:rPr>
              <w:t>105</w:t>
            </w:r>
          </w:p>
        </w:tc>
        <w:tc>
          <w:tcPr>
            <w:tcW w:w="580" w:type="dxa"/>
            <w:tcBorders>
              <w:top w:val="single" w:sz="8" w:space="0" w:color="auto"/>
              <w:left w:val="nil"/>
              <w:bottom w:val="single" w:sz="8" w:space="0" w:color="auto"/>
              <w:right w:val="single" w:sz="8" w:space="0" w:color="auto"/>
            </w:tcBorders>
            <w:shd w:val="clear" w:color="auto" w:fill="auto"/>
            <w:vAlign w:val="center"/>
            <w:hideMark/>
          </w:tcPr>
          <w:p w14:paraId="0C14E866" w14:textId="1AD20520" w:rsidR="0097644C" w:rsidRPr="0097644C" w:rsidRDefault="0097644C" w:rsidP="0097644C">
            <w:pPr>
              <w:jc w:val="center"/>
              <w:rPr>
                <w:rFonts w:ascii="Arial Narrow" w:eastAsia="Times New Roman" w:hAnsi="Arial Narrow" w:cs="Calibri"/>
                <w:b/>
                <w:bCs/>
                <w:color w:val="000000"/>
                <w:sz w:val="22"/>
                <w:szCs w:val="22"/>
              </w:rPr>
            </w:pPr>
          </w:p>
        </w:tc>
        <w:tc>
          <w:tcPr>
            <w:tcW w:w="3677" w:type="dxa"/>
            <w:tcBorders>
              <w:top w:val="single" w:sz="8" w:space="0" w:color="auto"/>
              <w:left w:val="nil"/>
              <w:bottom w:val="single" w:sz="8" w:space="0" w:color="auto"/>
              <w:right w:val="single" w:sz="8" w:space="0" w:color="auto"/>
            </w:tcBorders>
            <w:shd w:val="clear" w:color="auto" w:fill="auto"/>
            <w:vAlign w:val="center"/>
            <w:hideMark/>
          </w:tcPr>
          <w:p w14:paraId="192450E5" w14:textId="77777777" w:rsidR="0097644C" w:rsidRPr="0097644C" w:rsidRDefault="0097644C" w:rsidP="0097644C">
            <w:pPr>
              <w:jc w:val="both"/>
              <w:rPr>
                <w:rFonts w:ascii="Arial Narrow" w:eastAsia="Times New Roman" w:hAnsi="Arial Narrow" w:cs="Calibri"/>
                <w:b/>
                <w:bCs/>
                <w:color w:val="000000"/>
                <w:sz w:val="22"/>
                <w:szCs w:val="22"/>
                <w:lang w:val="es-CR"/>
              </w:rPr>
            </w:pPr>
            <w:r w:rsidRPr="0097644C">
              <w:rPr>
                <w:rFonts w:ascii="Arial Narrow" w:eastAsia="Times New Roman" w:hAnsi="Arial Narrow" w:cs="Calibri"/>
                <w:b/>
                <w:bCs/>
                <w:color w:val="000000"/>
                <w:sz w:val="22"/>
                <w:szCs w:val="22"/>
                <w:lang w:val="es-CR"/>
              </w:rPr>
              <w:t>Reglas particulares de reconocimiento y medición</w:t>
            </w:r>
          </w:p>
        </w:tc>
        <w:tc>
          <w:tcPr>
            <w:tcW w:w="2124" w:type="dxa"/>
            <w:tcBorders>
              <w:top w:val="single" w:sz="8" w:space="0" w:color="auto"/>
              <w:left w:val="nil"/>
              <w:bottom w:val="single" w:sz="8" w:space="0" w:color="auto"/>
              <w:right w:val="single" w:sz="8" w:space="0" w:color="auto"/>
            </w:tcBorders>
            <w:shd w:val="clear" w:color="auto" w:fill="auto"/>
            <w:vAlign w:val="center"/>
            <w:hideMark/>
          </w:tcPr>
          <w:p w14:paraId="2CE16D3F" w14:textId="77777777" w:rsidR="0097644C" w:rsidRDefault="0097644C" w:rsidP="0097644C">
            <w:pPr>
              <w:jc w:val="both"/>
              <w:rPr>
                <w:rFonts w:ascii="Arial Narrow" w:eastAsia="Times New Roman" w:hAnsi="Arial Narrow" w:cs="Calibri"/>
                <w:b/>
                <w:bCs/>
                <w:color w:val="000000"/>
                <w:sz w:val="22"/>
                <w:szCs w:val="22"/>
                <w:lang w:val="es-CR"/>
              </w:rPr>
            </w:pPr>
            <w:r w:rsidRPr="0097644C">
              <w:rPr>
                <w:rFonts w:ascii="Arial Narrow" w:eastAsia="Times New Roman" w:hAnsi="Arial Narrow" w:cs="Calibri"/>
                <w:b/>
                <w:bCs/>
                <w:color w:val="000000"/>
                <w:sz w:val="22"/>
                <w:szCs w:val="22"/>
                <w:lang w:val="es-CR"/>
              </w:rPr>
              <w:t>NICSP N° 19,</w:t>
            </w:r>
          </w:p>
          <w:p w14:paraId="214031BE" w14:textId="3C95E0AF" w:rsidR="0097644C" w:rsidRPr="0097644C" w:rsidRDefault="0097644C" w:rsidP="0097644C">
            <w:pPr>
              <w:jc w:val="both"/>
              <w:rPr>
                <w:rFonts w:ascii="Arial Narrow" w:eastAsia="Times New Roman" w:hAnsi="Arial Narrow" w:cs="Calibri"/>
                <w:b/>
                <w:bCs/>
                <w:color w:val="000000"/>
                <w:sz w:val="22"/>
                <w:szCs w:val="22"/>
                <w:lang w:val="es-CR"/>
              </w:rPr>
            </w:pPr>
            <w:r w:rsidRPr="0097644C">
              <w:rPr>
                <w:rFonts w:ascii="Arial Narrow" w:eastAsia="Times New Roman" w:hAnsi="Arial Narrow" w:cs="Calibri"/>
                <w:b/>
                <w:bCs/>
                <w:color w:val="000000"/>
                <w:sz w:val="22"/>
                <w:szCs w:val="22"/>
                <w:lang w:val="es-CR"/>
              </w:rPr>
              <w:t>Párrafos 73, 74, 76, 79, 81 a 83 y 90.</w:t>
            </w:r>
          </w:p>
        </w:tc>
        <w:tc>
          <w:tcPr>
            <w:tcW w:w="1868" w:type="dxa"/>
            <w:tcBorders>
              <w:top w:val="single" w:sz="8" w:space="0" w:color="auto"/>
              <w:left w:val="nil"/>
              <w:bottom w:val="single" w:sz="8" w:space="0" w:color="auto"/>
              <w:right w:val="single" w:sz="8" w:space="0" w:color="auto"/>
            </w:tcBorders>
            <w:shd w:val="clear" w:color="auto" w:fill="auto"/>
            <w:vAlign w:val="center"/>
            <w:hideMark/>
          </w:tcPr>
          <w:p w14:paraId="36C1039E" w14:textId="77777777" w:rsidR="0097644C" w:rsidRPr="0097644C" w:rsidRDefault="0097644C" w:rsidP="0097644C">
            <w:pPr>
              <w:rPr>
                <w:rFonts w:ascii="Arial Narrow" w:eastAsia="Times New Roman" w:hAnsi="Arial Narrow" w:cs="Calibri"/>
                <w:b/>
                <w:bCs/>
                <w:color w:val="000000"/>
                <w:sz w:val="22"/>
                <w:szCs w:val="22"/>
                <w:lang w:val="es-CR"/>
              </w:rPr>
            </w:pPr>
            <w:r w:rsidRPr="0097644C">
              <w:rPr>
                <w:rFonts w:ascii="Arial Narrow" w:eastAsia="Times New Roman" w:hAnsi="Arial Narrow" w:cs="Calibri"/>
                <w:b/>
                <w:bCs/>
                <w:color w:val="000000"/>
                <w:sz w:val="22"/>
                <w:szCs w:val="22"/>
                <w:lang w:val="es-CR"/>
              </w:rPr>
              <w:t xml:space="preserve"> </w:t>
            </w:r>
          </w:p>
        </w:tc>
      </w:tr>
    </w:tbl>
    <w:p w14:paraId="320F3A49" w14:textId="77777777" w:rsidR="00442D71" w:rsidRPr="0030399E" w:rsidRDefault="00442D71" w:rsidP="00442D71">
      <w:pPr>
        <w:autoSpaceDE w:val="0"/>
        <w:autoSpaceDN w:val="0"/>
        <w:adjustRightInd w:val="0"/>
        <w:rPr>
          <w:rFonts w:ascii="Arial" w:eastAsia="Arial" w:hAnsi="Arial"/>
          <w:b/>
          <w:sz w:val="22"/>
          <w:szCs w:val="22"/>
          <w:lang w:val="es-CR"/>
        </w:rPr>
      </w:pPr>
    </w:p>
    <w:p w14:paraId="3F1F8C91" w14:textId="4A04B7E2" w:rsidR="00A279AD" w:rsidRPr="0030399E" w:rsidRDefault="00442D71" w:rsidP="00442D71">
      <w:pPr>
        <w:autoSpaceDE w:val="0"/>
        <w:autoSpaceDN w:val="0"/>
        <w:adjustRightInd w:val="0"/>
        <w:rPr>
          <w:rFonts w:ascii="Arial" w:eastAsia="Arial" w:hAnsi="Arial"/>
          <w:b/>
          <w:sz w:val="22"/>
          <w:szCs w:val="22"/>
          <w:lang w:val="es-CR"/>
        </w:rPr>
      </w:pPr>
      <w:r w:rsidRPr="0030399E">
        <w:rPr>
          <w:rFonts w:ascii="Arial" w:eastAsia="Arial" w:hAnsi="Arial"/>
          <w:b/>
          <w:sz w:val="22"/>
          <w:szCs w:val="22"/>
          <w:lang w:val="es-CR"/>
        </w:rPr>
        <w:lastRenderedPageBreak/>
        <w:t>Políticas Contables</w:t>
      </w:r>
    </w:p>
    <w:p w14:paraId="4A230262" w14:textId="77777777" w:rsidR="00442D71" w:rsidRPr="003F17BE" w:rsidRDefault="00442D71" w:rsidP="00442D71">
      <w:pPr>
        <w:autoSpaceDE w:val="0"/>
        <w:autoSpaceDN w:val="0"/>
        <w:adjustRightInd w:val="0"/>
        <w:rPr>
          <w:rFonts w:ascii="Symbol" w:hAnsi="Symbol" w:cs="Symbol"/>
          <w:color w:val="000000"/>
          <w:sz w:val="24"/>
          <w:szCs w:val="24"/>
          <w:lang w:val="es-CR"/>
        </w:rPr>
      </w:pPr>
    </w:p>
    <w:p w14:paraId="6DB0C4AE" w14:textId="37B4DE0A" w:rsidR="00A279AD" w:rsidRPr="00A279AD" w:rsidRDefault="00A279AD" w:rsidP="00A279AD">
      <w:pPr>
        <w:autoSpaceDE w:val="0"/>
        <w:autoSpaceDN w:val="0"/>
        <w:adjustRightInd w:val="0"/>
        <w:ind w:left="1134" w:hanging="1134"/>
        <w:jc w:val="both"/>
        <w:rPr>
          <w:rFonts w:ascii="Arial" w:hAnsi="Arial"/>
          <w:color w:val="000000"/>
          <w:sz w:val="22"/>
          <w:szCs w:val="22"/>
          <w:lang w:val="es-CR"/>
        </w:rPr>
      </w:pPr>
      <w:r>
        <w:rPr>
          <w:rFonts w:ascii="Arial" w:hAnsi="Arial"/>
          <w:color w:val="000000"/>
          <w:sz w:val="22"/>
          <w:szCs w:val="22"/>
          <w:lang w:val="es-CR"/>
        </w:rPr>
        <w:t>2.105.0.01</w:t>
      </w:r>
      <w:r>
        <w:rPr>
          <w:rFonts w:ascii="Arial" w:hAnsi="Arial"/>
          <w:color w:val="000000"/>
          <w:sz w:val="22"/>
          <w:szCs w:val="22"/>
          <w:lang w:val="es-CR"/>
        </w:rPr>
        <w:tab/>
      </w:r>
      <w:r w:rsidRPr="00A279AD">
        <w:rPr>
          <w:rFonts w:ascii="Arial" w:hAnsi="Arial"/>
          <w:color w:val="000000"/>
          <w:sz w:val="22"/>
          <w:szCs w:val="22"/>
          <w:lang w:val="es-CR"/>
        </w:rPr>
        <w:t>Las reglas particulares de reconocimiento y medición a utilizar son las siguientes:</w:t>
      </w:r>
    </w:p>
    <w:p w14:paraId="00FF0B91" w14:textId="77777777" w:rsidR="00A279AD" w:rsidRPr="00A279AD" w:rsidRDefault="00A279AD" w:rsidP="00A279AD">
      <w:pPr>
        <w:autoSpaceDE w:val="0"/>
        <w:autoSpaceDN w:val="0"/>
        <w:adjustRightInd w:val="0"/>
        <w:jc w:val="both"/>
        <w:rPr>
          <w:rFonts w:ascii="Arial" w:hAnsi="Arial"/>
          <w:color w:val="000000"/>
          <w:sz w:val="22"/>
          <w:szCs w:val="22"/>
          <w:lang w:val="es-CR"/>
        </w:rPr>
      </w:pPr>
    </w:p>
    <w:p w14:paraId="38607E01" w14:textId="37142626" w:rsidR="00A279AD" w:rsidRPr="00F92C21" w:rsidRDefault="00A279AD">
      <w:pPr>
        <w:pStyle w:val="Prrafodelista"/>
        <w:numPr>
          <w:ilvl w:val="0"/>
          <w:numId w:val="193"/>
        </w:numPr>
        <w:autoSpaceDE w:val="0"/>
        <w:autoSpaceDN w:val="0"/>
        <w:adjustRightInd w:val="0"/>
        <w:ind w:left="1418" w:hanging="284"/>
        <w:jc w:val="both"/>
        <w:rPr>
          <w:rFonts w:ascii="Arial" w:hAnsi="Arial"/>
          <w:color w:val="000000"/>
          <w:sz w:val="22"/>
          <w:szCs w:val="22"/>
          <w:lang w:val="es-CR"/>
        </w:rPr>
      </w:pPr>
      <w:r w:rsidRPr="00F92C21">
        <w:rPr>
          <w:rFonts w:ascii="Arial" w:hAnsi="Arial"/>
          <w:b/>
          <w:bCs/>
          <w:color w:val="000000"/>
          <w:sz w:val="22"/>
          <w:szCs w:val="22"/>
          <w:lang w:val="es-CR"/>
        </w:rPr>
        <w:t xml:space="preserve">Resultados negativos netos derivados de las operaciones: </w:t>
      </w:r>
      <w:r w:rsidRPr="00F92C21">
        <w:rPr>
          <w:rFonts w:ascii="Arial" w:hAnsi="Arial"/>
          <w:color w:val="000000"/>
          <w:sz w:val="22"/>
          <w:szCs w:val="22"/>
          <w:lang w:val="es-CR"/>
        </w:rPr>
        <w:t xml:space="preserve">No deben reconocerse provisiones por resultados negativos netos futuros derivados de las operaciones, ya que los mismos no satisfacen la definición de pasivos, ni los criterios generales de reconocimiento de una provisión. </w:t>
      </w:r>
    </w:p>
    <w:p w14:paraId="68CEB258" w14:textId="77777777" w:rsidR="00A279AD" w:rsidRPr="00A279AD" w:rsidRDefault="00A279AD" w:rsidP="00F92C21">
      <w:pPr>
        <w:autoSpaceDE w:val="0"/>
        <w:autoSpaceDN w:val="0"/>
        <w:adjustRightInd w:val="0"/>
        <w:ind w:left="1418" w:hanging="284"/>
        <w:jc w:val="both"/>
        <w:rPr>
          <w:rFonts w:ascii="Arial" w:hAnsi="Arial"/>
          <w:color w:val="000000"/>
          <w:sz w:val="22"/>
          <w:szCs w:val="22"/>
          <w:lang w:val="es-CR"/>
        </w:rPr>
      </w:pPr>
    </w:p>
    <w:p w14:paraId="3FDD65AF" w14:textId="41E28426" w:rsidR="00F92C21" w:rsidRDefault="00A279AD">
      <w:pPr>
        <w:pStyle w:val="Default"/>
        <w:numPr>
          <w:ilvl w:val="0"/>
          <w:numId w:val="193"/>
        </w:numPr>
        <w:ind w:left="1418" w:hanging="284"/>
        <w:jc w:val="both"/>
        <w:rPr>
          <w:sz w:val="22"/>
          <w:szCs w:val="22"/>
          <w:lang w:val="es-CR"/>
        </w:rPr>
      </w:pPr>
      <w:r w:rsidRPr="00A279AD">
        <w:rPr>
          <w:b/>
          <w:bCs/>
          <w:sz w:val="22"/>
          <w:szCs w:val="22"/>
          <w:lang w:val="es-CR"/>
        </w:rPr>
        <w:t xml:space="preserve">Contratos de carácter oneroso: </w:t>
      </w:r>
      <w:r w:rsidRPr="00A279AD">
        <w:rPr>
          <w:sz w:val="22"/>
          <w:szCs w:val="22"/>
          <w:lang w:val="es-CR"/>
        </w:rPr>
        <w:t xml:space="preserve">Son contratos para el </w:t>
      </w:r>
      <w:r w:rsidR="000E5DF8" w:rsidRPr="00A279AD">
        <w:rPr>
          <w:sz w:val="22"/>
          <w:szCs w:val="22"/>
          <w:lang w:val="es-CR"/>
        </w:rPr>
        <w:t>interca</w:t>
      </w:r>
      <w:r w:rsidR="000E5DF8">
        <w:rPr>
          <w:sz w:val="22"/>
          <w:szCs w:val="22"/>
          <w:lang w:val="es-CR"/>
        </w:rPr>
        <w:t>mbi</w:t>
      </w:r>
      <w:r w:rsidR="000E5DF8" w:rsidRPr="00A279AD">
        <w:rPr>
          <w:sz w:val="22"/>
          <w:szCs w:val="22"/>
          <w:lang w:val="es-CR"/>
        </w:rPr>
        <w:t>o</w:t>
      </w:r>
      <w:r w:rsidRPr="00A279AD">
        <w:rPr>
          <w:sz w:val="22"/>
          <w:szCs w:val="22"/>
          <w:lang w:val="es-CR"/>
        </w:rPr>
        <w:t xml:space="preserve"> de activos o servicios, en el que los costos inevitables58 necesarios para cubrir las obligaciones establecidas en el contrato exceden a los beneficios económicos o al potencial de servicio que se espera recibir bajo el mismo. Si una entidad tiene un contrato de carácter oneroso, las obligaciones presentes bajo tal contrato </w:t>
      </w:r>
      <w:r w:rsidRPr="00A279AD">
        <w:rPr>
          <w:color w:val="auto"/>
          <w:sz w:val="22"/>
          <w:szCs w:val="22"/>
          <w:lang w:val="es-CR"/>
        </w:rPr>
        <w:t xml:space="preserve">(netas después de deducir los importes recuperados) deben reconocerse y medirse como provisiones. </w:t>
      </w:r>
    </w:p>
    <w:p w14:paraId="2B92C17E" w14:textId="77777777" w:rsidR="00F92C21" w:rsidRDefault="00F92C21" w:rsidP="00F92C21">
      <w:pPr>
        <w:pStyle w:val="Prrafodelista"/>
        <w:ind w:left="1418" w:hanging="284"/>
        <w:rPr>
          <w:b/>
          <w:bCs/>
          <w:sz w:val="22"/>
          <w:szCs w:val="22"/>
          <w:lang w:val="es-CR"/>
        </w:rPr>
      </w:pPr>
    </w:p>
    <w:p w14:paraId="19D21CDA" w14:textId="434A74F4" w:rsidR="00A279AD" w:rsidRDefault="00A279AD">
      <w:pPr>
        <w:pStyle w:val="Default"/>
        <w:numPr>
          <w:ilvl w:val="0"/>
          <w:numId w:val="193"/>
        </w:numPr>
        <w:ind w:left="1418" w:hanging="284"/>
        <w:jc w:val="both"/>
        <w:rPr>
          <w:sz w:val="22"/>
          <w:szCs w:val="22"/>
          <w:lang w:val="es-CR"/>
        </w:rPr>
      </w:pPr>
      <w:r w:rsidRPr="00F92C21">
        <w:rPr>
          <w:b/>
          <w:bCs/>
          <w:color w:val="auto"/>
          <w:sz w:val="22"/>
          <w:szCs w:val="22"/>
          <w:lang w:val="es-CR"/>
        </w:rPr>
        <w:t xml:space="preserve">Reestructuración: </w:t>
      </w:r>
      <w:r w:rsidRPr="00F92C21">
        <w:rPr>
          <w:color w:val="auto"/>
          <w:sz w:val="22"/>
          <w:szCs w:val="22"/>
          <w:lang w:val="es-CR"/>
        </w:rPr>
        <w:t xml:space="preserve">Se reconocerá una provisión por costos de reestructuración, sólo cuando se cumplan las siguientes condiciones generales: </w:t>
      </w:r>
      <w:r w:rsidRPr="00F92C21">
        <w:rPr>
          <w:sz w:val="22"/>
          <w:szCs w:val="22"/>
          <w:lang w:val="es-CR"/>
        </w:rPr>
        <w:t>Los costos inevitables de un contrato reflejan el menor costo neto para desvincularse del mismo, siendo éste el menor entre el costo de su cumplimiento, o la compensación o penalización resultante de su incumplimiento:</w:t>
      </w:r>
    </w:p>
    <w:p w14:paraId="290107C9" w14:textId="77777777" w:rsidR="00F92C21" w:rsidRDefault="00F92C21" w:rsidP="00F92C21">
      <w:pPr>
        <w:pStyle w:val="Prrafodelista"/>
        <w:rPr>
          <w:sz w:val="22"/>
          <w:szCs w:val="22"/>
          <w:lang w:val="es-CR"/>
        </w:rPr>
      </w:pPr>
    </w:p>
    <w:p w14:paraId="0454D4ED" w14:textId="287F6869" w:rsidR="00A279AD" w:rsidRPr="00A279AD" w:rsidRDefault="00A279AD">
      <w:pPr>
        <w:pStyle w:val="Default"/>
        <w:numPr>
          <w:ilvl w:val="1"/>
          <w:numId w:val="194"/>
        </w:numPr>
        <w:spacing w:after="120"/>
        <w:ind w:left="1701" w:hanging="141"/>
        <w:jc w:val="both"/>
        <w:rPr>
          <w:color w:val="auto"/>
          <w:sz w:val="22"/>
          <w:szCs w:val="22"/>
          <w:lang w:val="es-CR"/>
        </w:rPr>
      </w:pPr>
      <w:r>
        <w:rPr>
          <w:color w:val="auto"/>
          <w:sz w:val="22"/>
          <w:szCs w:val="22"/>
          <w:lang w:val="es-CR"/>
        </w:rPr>
        <w:t>E</w:t>
      </w:r>
      <w:r w:rsidRPr="00A279AD">
        <w:rPr>
          <w:color w:val="auto"/>
          <w:sz w:val="22"/>
          <w:szCs w:val="22"/>
          <w:lang w:val="es-CR"/>
        </w:rPr>
        <w:t xml:space="preserve">xista un plan formal y detallado para proceder a la reestructuración, en el que se identifiquen dichos gastos; y </w:t>
      </w:r>
    </w:p>
    <w:p w14:paraId="4579356E" w14:textId="36ED6C33" w:rsidR="00A279AD" w:rsidRPr="00A279AD" w:rsidRDefault="00A279AD">
      <w:pPr>
        <w:pStyle w:val="Default"/>
        <w:numPr>
          <w:ilvl w:val="1"/>
          <w:numId w:val="194"/>
        </w:numPr>
        <w:ind w:left="1701" w:hanging="141"/>
        <w:jc w:val="both"/>
        <w:rPr>
          <w:color w:val="auto"/>
          <w:sz w:val="22"/>
          <w:szCs w:val="22"/>
          <w:lang w:val="es-CR"/>
        </w:rPr>
      </w:pPr>
      <w:r>
        <w:rPr>
          <w:color w:val="auto"/>
          <w:sz w:val="22"/>
          <w:szCs w:val="22"/>
          <w:lang w:val="es-CR"/>
        </w:rPr>
        <w:t>S</w:t>
      </w:r>
      <w:r w:rsidRPr="00A279AD">
        <w:rPr>
          <w:color w:val="auto"/>
          <w:sz w:val="22"/>
          <w:szCs w:val="22"/>
          <w:lang w:val="es-CR"/>
        </w:rPr>
        <w:t xml:space="preserve">e haya producido una expectativa válida entre los afectados, en el sentido de que la reestructuración se llevará a cabo, ya sea por haber comenzado a implementar el plan o por haber anunciado sus principales características a los mismos. </w:t>
      </w:r>
    </w:p>
    <w:p w14:paraId="621EEF41" w14:textId="1A7598BF" w:rsidR="00A279AD" w:rsidRDefault="00F92C21" w:rsidP="00F92C21">
      <w:pPr>
        <w:pStyle w:val="Default"/>
        <w:tabs>
          <w:tab w:val="left" w:pos="3611"/>
        </w:tabs>
        <w:jc w:val="both"/>
        <w:rPr>
          <w:color w:val="auto"/>
          <w:sz w:val="22"/>
          <w:szCs w:val="22"/>
          <w:lang w:val="es-CR"/>
        </w:rPr>
      </w:pPr>
      <w:r>
        <w:rPr>
          <w:color w:val="auto"/>
          <w:sz w:val="22"/>
          <w:szCs w:val="22"/>
          <w:lang w:val="es-CR"/>
        </w:rPr>
        <w:tab/>
      </w:r>
    </w:p>
    <w:p w14:paraId="4AED4E4E" w14:textId="7402A83C" w:rsidR="00F92C21" w:rsidRPr="00F92C21" w:rsidRDefault="00F92C21" w:rsidP="00F92C21">
      <w:pPr>
        <w:pStyle w:val="Default"/>
        <w:ind w:left="1418"/>
        <w:jc w:val="both"/>
        <w:rPr>
          <w:sz w:val="22"/>
          <w:szCs w:val="22"/>
          <w:lang w:val="es-CR"/>
        </w:rPr>
      </w:pPr>
      <w:r>
        <w:rPr>
          <w:sz w:val="22"/>
          <w:szCs w:val="22"/>
          <w:lang w:val="es-CR"/>
        </w:rPr>
        <w:t>Una reestructuración es la t</w:t>
      </w:r>
      <w:r w:rsidRPr="00F92C21">
        <w:rPr>
          <w:sz w:val="22"/>
          <w:szCs w:val="22"/>
          <w:lang w:val="es-CR"/>
        </w:rPr>
        <w:t xml:space="preserve">erminación o disposición de una actividad o servicio; el cierre de una sucursal o terminación de las actividades de una dependencia gubernamental en una localidad o región específica, o reubicación de las actividades de una región a otra; </w:t>
      </w:r>
      <w:r w:rsidR="000E5DF8" w:rsidRPr="00F92C21">
        <w:rPr>
          <w:sz w:val="22"/>
          <w:szCs w:val="22"/>
          <w:lang w:val="es-CR"/>
        </w:rPr>
        <w:t>ca</w:t>
      </w:r>
      <w:r w:rsidR="000E5DF8">
        <w:rPr>
          <w:sz w:val="22"/>
          <w:szCs w:val="22"/>
          <w:lang w:val="es-CR"/>
        </w:rPr>
        <w:t>mbi</w:t>
      </w:r>
      <w:r w:rsidR="000E5DF8" w:rsidRPr="00F92C21">
        <w:rPr>
          <w:sz w:val="22"/>
          <w:szCs w:val="22"/>
          <w:lang w:val="es-CR"/>
        </w:rPr>
        <w:t>os</w:t>
      </w:r>
      <w:r w:rsidRPr="00F92C21">
        <w:rPr>
          <w:sz w:val="22"/>
          <w:szCs w:val="22"/>
          <w:lang w:val="es-CR"/>
        </w:rPr>
        <w:t xml:space="preserve"> en la estructura administrativa, por ejemplo, eliminación de un nivel o escala de los servicios de administración o dirección; y las reorganizaciones importantes que tienen un efecto significativo en la naturaleza y enfoque de las operaciones de la entidad.</w:t>
      </w:r>
    </w:p>
    <w:p w14:paraId="783601BB" w14:textId="77777777" w:rsidR="00F92C21" w:rsidRPr="00A279AD" w:rsidRDefault="00F92C21" w:rsidP="00F92C21">
      <w:pPr>
        <w:pStyle w:val="Default"/>
        <w:tabs>
          <w:tab w:val="left" w:pos="3611"/>
        </w:tabs>
        <w:jc w:val="both"/>
        <w:rPr>
          <w:color w:val="auto"/>
          <w:sz w:val="22"/>
          <w:szCs w:val="22"/>
          <w:lang w:val="es-CR"/>
        </w:rPr>
      </w:pPr>
    </w:p>
    <w:p w14:paraId="57CD8CD8" w14:textId="49CBF720" w:rsidR="00A279AD" w:rsidRPr="00A279AD" w:rsidRDefault="00A279AD">
      <w:pPr>
        <w:pStyle w:val="Default"/>
        <w:numPr>
          <w:ilvl w:val="0"/>
          <w:numId w:val="193"/>
        </w:numPr>
        <w:ind w:left="1418" w:hanging="284"/>
        <w:jc w:val="both"/>
        <w:rPr>
          <w:color w:val="auto"/>
          <w:sz w:val="22"/>
          <w:szCs w:val="22"/>
          <w:lang w:val="es-CR"/>
        </w:rPr>
      </w:pPr>
      <w:r w:rsidRPr="00A279AD">
        <w:rPr>
          <w:b/>
          <w:bCs/>
          <w:color w:val="auto"/>
          <w:sz w:val="22"/>
          <w:szCs w:val="22"/>
          <w:lang w:val="es-CR"/>
        </w:rPr>
        <w:t xml:space="preserve">Venta o transferencia de unidades de operación: </w:t>
      </w:r>
      <w:r w:rsidRPr="00A279AD">
        <w:rPr>
          <w:color w:val="auto"/>
          <w:sz w:val="22"/>
          <w:szCs w:val="22"/>
          <w:lang w:val="es-CR"/>
        </w:rPr>
        <w:t xml:space="preserve">Como consecuencia de la venta o transferencia de una unidad de operaciones, no surge ninguna obligación hasta que la entidad se comprometa a vender o transferir la unidad, es decir, hasta que exista un acuerdo vinculante. </w:t>
      </w:r>
    </w:p>
    <w:p w14:paraId="5C9CCCD5" w14:textId="03A11A75" w:rsidR="00A279AD" w:rsidRPr="00A279AD" w:rsidRDefault="00A279AD" w:rsidP="00A279AD">
      <w:pPr>
        <w:autoSpaceDE w:val="0"/>
        <w:autoSpaceDN w:val="0"/>
        <w:adjustRightInd w:val="0"/>
        <w:jc w:val="both"/>
        <w:rPr>
          <w:rFonts w:ascii="Arial" w:hAnsi="Arial"/>
          <w:color w:val="000000"/>
          <w:sz w:val="22"/>
          <w:szCs w:val="22"/>
          <w:lang w:val="es-CR"/>
        </w:rPr>
      </w:pPr>
      <w:r w:rsidRPr="00A279AD">
        <w:rPr>
          <w:rFonts w:ascii="Arial" w:hAnsi="Arial"/>
          <w:color w:val="000000"/>
          <w:sz w:val="22"/>
          <w:szCs w:val="22"/>
          <w:lang w:val="es-CR"/>
        </w:rPr>
        <w:t xml:space="preserve"> </w:t>
      </w:r>
    </w:p>
    <w:p w14:paraId="3B4DE238" w14:textId="77777777" w:rsidR="0097644C" w:rsidRPr="00A279AD" w:rsidRDefault="0097644C" w:rsidP="00A279AD">
      <w:pPr>
        <w:pStyle w:val="Default"/>
        <w:spacing w:after="120" w:line="238" w:lineRule="auto"/>
        <w:ind w:right="260"/>
        <w:jc w:val="both"/>
        <w:rPr>
          <w:sz w:val="22"/>
          <w:szCs w:val="22"/>
          <w:lang w:val="es-CR"/>
        </w:rPr>
      </w:pPr>
    </w:p>
    <w:tbl>
      <w:tblPr>
        <w:tblW w:w="9372" w:type="dxa"/>
        <w:tblLook w:val="04A0" w:firstRow="1" w:lastRow="0" w:firstColumn="1" w:lastColumn="0" w:noHBand="0" w:noVBand="1"/>
      </w:tblPr>
      <w:tblGrid>
        <w:gridCol w:w="528"/>
        <w:gridCol w:w="829"/>
        <w:gridCol w:w="507"/>
        <w:gridCol w:w="3676"/>
        <w:gridCol w:w="1963"/>
        <w:gridCol w:w="1861"/>
        <w:gridCol w:w="8"/>
      </w:tblGrid>
      <w:tr w:rsidR="00F92C21" w:rsidRPr="00F92C21" w14:paraId="4489484B" w14:textId="77777777" w:rsidTr="00442D71">
        <w:trPr>
          <w:trHeight w:val="320"/>
        </w:trPr>
        <w:tc>
          <w:tcPr>
            <w:tcW w:w="186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E23BDFC" w14:textId="77777777" w:rsidR="00F92C21" w:rsidRPr="00F92C21" w:rsidRDefault="00F92C21" w:rsidP="00F92C21">
            <w:pPr>
              <w:jc w:val="center"/>
              <w:rPr>
                <w:rFonts w:ascii="Arial Narrow" w:eastAsia="Times New Roman" w:hAnsi="Arial Narrow" w:cs="Calibri"/>
                <w:b/>
                <w:bCs/>
                <w:color w:val="FFFFFF"/>
                <w:sz w:val="22"/>
                <w:szCs w:val="22"/>
              </w:rPr>
            </w:pPr>
            <w:r w:rsidRPr="00F92C21">
              <w:rPr>
                <w:rFonts w:ascii="Arial Narrow" w:eastAsia="Times New Roman" w:hAnsi="Arial Narrow" w:cs="Calibri"/>
                <w:b/>
                <w:bCs/>
                <w:color w:val="FFFFFF"/>
                <w:sz w:val="22"/>
                <w:szCs w:val="22"/>
              </w:rPr>
              <w:t>Norma / Política</w:t>
            </w:r>
          </w:p>
        </w:tc>
        <w:tc>
          <w:tcPr>
            <w:tcW w:w="3676" w:type="dxa"/>
            <w:vMerge w:val="restart"/>
            <w:tcBorders>
              <w:top w:val="single" w:sz="8" w:space="0" w:color="auto"/>
              <w:left w:val="single" w:sz="8" w:space="0" w:color="auto"/>
              <w:bottom w:val="nil"/>
              <w:right w:val="single" w:sz="8" w:space="0" w:color="auto"/>
            </w:tcBorders>
            <w:shd w:val="clear" w:color="000000" w:fill="203764"/>
            <w:vAlign w:val="center"/>
            <w:hideMark/>
          </w:tcPr>
          <w:p w14:paraId="5C3C2664" w14:textId="77777777" w:rsidR="00F92C21" w:rsidRPr="00F92C21" w:rsidRDefault="00F92C21" w:rsidP="00F92C21">
            <w:pPr>
              <w:jc w:val="center"/>
              <w:rPr>
                <w:rFonts w:ascii="Arial Narrow" w:eastAsia="Times New Roman" w:hAnsi="Arial Narrow" w:cs="Calibri"/>
                <w:b/>
                <w:bCs/>
                <w:color w:val="FFFFFF"/>
                <w:sz w:val="22"/>
                <w:szCs w:val="22"/>
              </w:rPr>
            </w:pPr>
            <w:r w:rsidRPr="00F92C21">
              <w:rPr>
                <w:rFonts w:ascii="Arial Narrow" w:eastAsia="Times New Roman" w:hAnsi="Arial Narrow" w:cs="Calibri"/>
                <w:b/>
                <w:bCs/>
                <w:color w:val="FFFFFF"/>
                <w:sz w:val="22"/>
                <w:szCs w:val="22"/>
              </w:rPr>
              <w:t>Concepto</w:t>
            </w:r>
          </w:p>
        </w:tc>
        <w:tc>
          <w:tcPr>
            <w:tcW w:w="3832" w:type="dxa"/>
            <w:gridSpan w:val="3"/>
            <w:tcBorders>
              <w:top w:val="single" w:sz="8" w:space="0" w:color="auto"/>
              <w:left w:val="nil"/>
              <w:bottom w:val="single" w:sz="8" w:space="0" w:color="auto"/>
              <w:right w:val="single" w:sz="8" w:space="0" w:color="000000"/>
            </w:tcBorders>
            <w:shd w:val="clear" w:color="000000" w:fill="203764"/>
            <w:vAlign w:val="center"/>
            <w:hideMark/>
          </w:tcPr>
          <w:p w14:paraId="0A99ACDD" w14:textId="77777777" w:rsidR="00F92C21" w:rsidRPr="00F92C21" w:rsidRDefault="00F92C21" w:rsidP="00F92C21">
            <w:pPr>
              <w:jc w:val="center"/>
              <w:rPr>
                <w:rFonts w:ascii="Arial Narrow" w:eastAsia="Times New Roman" w:hAnsi="Arial Narrow" w:cs="Calibri"/>
                <w:b/>
                <w:bCs/>
                <w:color w:val="FFFFFF"/>
                <w:sz w:val="22"/>
                <w:szCs w:val="22"/>
              </w:rPr>
            </w:pPr>
            <w:r w:rsidRPr="00F92C21">
              <w:rPr>
                <w:rFonts w:ascii="Arial Narrow" w:eastAsia="Times New Roman" w:hAnsi="Arial Narrow" w:cs="Calibri"/>
                <w:b/>
                <w:bCs/>
                <w:color w:val="FFFFFF"/>
                <w:sz w:val="22"/>
                <w:szCs w:val="22"/>
              </w:rPr>
              <w:t>Referencia</w:t>
            </w:r>
          </w:p>
        </w:tc>
      </w:tr>
      <w:tr w:rsidR="00F92C21" w:rsidRPr="006E5442" w14:paraId="5DF5125C" w14:textId="77777777" w:rsidTr="00442D71">
        <w:trPr>
          <w:gridAfter w:val="1"/>
          <w:wAfter w:w="8" w:type="dxa"/>
          <w:trHeight w:val="850"/>
        </w:trPr>
        <w:tc>
          <w:tcPr>
            <w:tcW w:w="1864" w:type="dxa"/>
            <w:gridSpan w:val="3"/>
            <w:vMerge/>
            <w:tcBorders>
              <w:top w:val="single" w:sz="8" w:space="0" w:color="auto"/>
              <w:left w:val="single" w:sz="8" w:space="0" w:color="auto"/>
              <w:bottom w:val="nil"/>
              <w:right w:val="single" w:sz="8" w:space="0" w:color="000000"/>
            </w:tcBorders>
            <w:vAlign w:val="center"/>
            <w:hideMark/>
          </w:tcPr>
          <w:p w14:paraId="61A72CF3" w14:textId="77777777" w:rsidR="00F92C21" w:rsidRPr="00F92C21" w:rsidRDefault="00F92C21" w:rsidP="00F92C21">
            <w:pPr>
              <w:rPr>
                <w:rFonts w:ascii="Arial Narrow" w:eastAsia="Times New Roman" w:hAnsi="Arial Narrow" w:cs="Calibri"/>
                <w:b/>
                <w:bCs/>
                <w:color w:val="FFFFFF"/>
                <w:sz w:val="22"/>
                <w:szCs w:val="22"/>
              </w:rPr>
            </w:pPr>
          </w:p>
        </w:tc>
        <w:tc>
          <w:tcPr>
            <w:tcW w:w="3676" w:type="dxa"/>
            <w:vMerge/>
            <w:tcBorders>
              <w:top w:val="single" w:sz="8" w:space="0" w:color="auto"/>
              <w:left w:val="single" w:sz="8" w:space="0" w:color="auto"/>
              <w:bottom w:val="nil"/>
              <w:right w:val="single" w:sz="8" w:space="0" w:color="auto"/>
            </w:tcBorders>
            <w:vAlign w:val="center"/>
            <w:hideMark/>
          </w:tcPr>
          <w:p w14:paraId="65745FF5" w14:textId="77777777" w:rsidR="00F92C21" w:rsidRPr="00F92C21" w:rsidRDefault="00F92C21" w:rsidP="00F92C21">
            <w:pPr>
              <w:rPr>
                <w:rFonts w:ascii="Arial Narrow" w:eastAsia="Times New Roman" w:hAnsi="Arial Narrow" w:cs="Calibri"/>
                <w:b/>
                <w:bCs/>
                <w:color w:val="FFFFFF"/>
                <w:sz w:val="22"/>
                <w:szCs w:val="22"/>
              </w:rPr>
            </w:pPr>
          </w:p>
        </w:tc>
        <w:tc>
          <w:tcPr>
            <w:tcW w:w="1963" w:type="dxa"/>
            <w:tcBorders>
              <w:top w:val="nil"/>
              <w:left w:val="nil"/>
              <w:bottom w:val="nil"/>
              <w:right w:val="single" w:sz="8" w:space="0" w:color="auto"/>
            </w:tcBorders>
            <w:shd w:val="clear" w:color="000000" w:fill="203764"/>
            <w:vAlign w:val="center"/>
            <w:hideMark/>
          </w:tcPr>
          <w:p w14:paraId="3C92399B" w14:textId="77777777" w:rsidR="00F92C21" w:rsidRPr="00F92C21" w:rsidRDefault="00F92C21" w:rsidP="00F92C21">
            <w:pPr>
              <w:jc w:val="center"/>
              <w:rPr>
                <w:rFonts w:ascii="Arial Narrow" w:eastAsia="Times New Roman" w:hAnsi="Arial Narrow" w:cs="Calibri"/>
                <w:b/>
                <w:bCs/>
                <w:color w:val="FFFFFF"/>
                <w:sz w:val="22"/>
                <w:szCs w:val="22"/>
              </w:rPr>
            </w:pPr>
            <w:r w:rsidRPr="00F92C21">
              <w:rPr>
                <w:rFonts w:ascii="Arial Narrow" w:eastAsia="Times New Roman" w:hAnsi="Arial Narrow" w:cs="Calibri"/>
                <w:b/>
                <w:bCs/>
                <w:color w:val="FFFFFF"/>
                <w:sz w:val="22"/>
                <w:szCs w:val="22"/>
              </w:rPr>
              <w:t>Norma</w:t>
            </w:r>
          </w:p>
        </w:tc>
        <w:tc>
          <w:tcPr>
            <w:tcW w:w="1861" w:type="dxa"/>
            <w:tcBorders>
              <w:top w:val="nil"/>
              <w:left w:val="nil"/>
              <w:bottom w:val="nil"/>
              <w:right w:val="single" w:sz="8" w:space="0" w:color="auto"/>
            </w:tcBorders>
            <w:shd w:val="clear" w:color="000000" w:fill="203764"/>
            <w:vAlign w:val="center"/>
            <w:hideMark/>
          </w:tcPr>
          <w:p w14:paraId="50B8D5F6" w14:textId="77777777" w:rsidR="00F92C21" w:rsidRPr="00F92C21" w:rsidRDefault="00F92C21" w:rsidP="00F92C21">
            <w:pPr>
              <w:jc w:val="center"/>
              <w:rPr>
                <w:rFonts w:ascii="Arial Narrow" w:eastAsia="Times New Roman" w:hAnsi="Arial Narrow" w:cs="Calibri"/>
                <w:b/>
                <w:bCs/>
                <w:color w:val="FFFFFF"/>
                <w:sz w:val="22"/>
                <w:szCs w:val="22"/>
                <w:lang w:val="es-CR"/>
              </w:rPr>
            </w:pPr>
            <w:r w:rsidRPr="00F92C21">
              <w:rPr>
                <w:rFonts w:ascii="Arial Narrow" w:eastAsia="Times New Roman" w:hAnsi="Arial Narrow" w:cs="Calibri"/>
                <w:b/>
                <w:bCs/>
                <w:color w:val="FFFFFF"/>
                <w:sz w:val="22"/>
                <w:szCs w:val="22"/>
                <w:lang w:val="es-CR"/>
              </w:rPr>
              <w:t>Normativa técnica y disposiciones adicionales</w:t>
            </w:r>
          </w:p>
        </w:tc>
      </w:tr>
      <w:tr w:rsidR="00F92C21" w:rsidRPr="00F92C21" w14:paraId="6A3CD4C0" w14:textId="77777777" w:rsidTr="00442D71">
        <w:trPr>
          <w:gridAfter w:val="1"/>
          <w:wAfter w:w="8" w:type="dxa"/>
          <w:trHeight w:val="570"/>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CE4504" w14:textId="77777777" w:rsidR="00F92C21" w:rsidRPr="00F92C21" w:rsidRDefault="00F92C21" w:rsidP="00F92C21">
            <w:pPr>
              <w:jc w:val="right"/>
              <w:rPr>
                <w:rFonts w:ascii="Arial Narrow" w:eastAsia="Times New Roman" w:hAnsi="Arial Narrow"/>
                <w:b/>
                <w:bCs/>
                <w:color w:val="000000"/>
                <w:sz w:val="22"/>
                <w:szCs w:val="22"/>
              </w:rPr>
            </w:pPr>
            <w:r w:rsidRPr="00F92C21">
              <w:rPr>
                <w:rFonts w:ascii="Arial Narrow" w:eastAsia="Times New Roman" w:hAnsi="Arial Narrow"/>
                <w:b/>
                <w:bCs/>
                <w:color w:val="000000"/>
                <w:sz w:val="22"/>
                <w:szCs w:val="22"/>
              </w:rPr>
              <w:t>2</w:t>
            </w:r>
          </w:p>
        </w:tc>
        <w:tc>
          <w:tcPr>
            <w:tcW w:w="829" w:type="dxa"/>
            <w:tcBorders>
              <w:top w:val="single" w:sz="8" w:space="0" w:color="auto"/>
              <w:left w:val="nil"/>
              <w:bottom w:val="single" w:sz="8" w:space="0" w:color="auto"/>
              <w:right w:val="single" w:sz="8" w:space="0" w:color="auto"/>
            </w:tcBorders>
            <w:shd w:val="clear" w:color="auto" w:fill="auto"/>
            <w:vAlign w:val="center"/>
            <w:hideMark/>
          </w:tcPr>
          <w:p w14:paraId="0D3A6C05" w14:textId="77777777" w:rsidR="00F92C21" w:rsidRPr="00F92C21" w:rsidRDefault="00F92C21" w:rsidP="00F92C21">
            <w:pPr>
              <w:ind w:firstLineChars="100" w:firstLine="220"/>
              <w:rPr>
                <w:rFonts w:ascii="Arial Narrow" w:eastAsia="Times New Roman" w:hAnsi="Arial Narrow"/>
                <w:b/>
                <w:bCs/>
                <w:color w:val="000000"/>
                <w:sz w:val="22"/>
                <w:szCs w:val="22"/>
              </w:rPr>
            </w:pPr>
            <w:r w:rsidRPr="00F92C21">
              <w:rPr>
                <w:rFonts w:ascii="Arial Narrow" w:eastAsia="Times New Roman" w:hAnsi="Arial Narrow"/>
                <w:b/>
                <w:bCs/>
                <w:color w:val="000000"/>
                <w:sz w:val="22"/>
                <w:szCs w:val="22"/>
              </w:rPr>
              <w:t>106</w:t>
            </w:r>
          </w:p>
        </w:tc>
        <w:tc>
          <w:tcPr>
            <w:tcW w:w="507" w:type="dxa"/>
            <w:tcBorders>
              <w:top w:val="single" w:sz="8" w:space="0" w:color="auto"/>
              <w:left w:val="nil"/>
              <w:bottom w:val="single" w:sz="8" w:space="0" w:color="auto"/>
              <w:right w:val="single" w:sz="8" w:space="0" w:color="auto"/>
            </w:tcBorders>
            <w:shd w:val="clear" w:color="auto" w:fill="auto"/>
            <w:vAlign w:val="center"/>
            <w:hideMark/>
          </w:tcPr>
          <w:p w14:paraId="154EACD3" w14:textId="7FF93D14" w:rsidR="00F92C21" w:rsidRPr="00F92C21" w:rsidRDefault="00F92C21" w:rsidP="00F92C21">
            <w:pPr>
              <w:jc w:val="center"/>
              <w:rPr>
                <w:rFonts w:ascii="Arial Narrow" w:eastAsia="Times New Roman" w:hAnsi="Arial Narrow" w:cs="Calibri"/>
                <w:b/>
                <w:bCs/>
                <w:color w:val="000000"/>
                <w:sz w:val="22"/>
                <w:szCs w:val="22"/>
              </w:rPr>
            </w:pPr>
          </w:p>
        </w:tc>
        <w:tc>
          <w:tcPr>
            <w:tcW w:w="3676" w:type="dxa"/>
            <w:tcBorders>
              <w:top w:val="single" w:sz="8" w:space="0" w:color="auto"/>
              <w:left w:val="nil"/>
              <w:bottom w:val="single" w:sz="8" w:space="0" w:color="auto"/>
              <w:right w:val="single" w:sz="8" w:space="0" w:color="auto"/>
            </w:tcBorders>
            <w:shd w:val="clear" w:color="auto" w:fill="auto"/>
            <w:vAlign w:val="center"/>
            <w:hideMark/>
          </w:tcPr>
          <w:p w14:paraId="0648C631" w14:textId="77777777" w:rsidR="00F92C21" w:rsidRPr="00F92C21" w:rsidRDefault="00F92C21" w:rsidP="00F92C21">
            <w:pPr>
              <w:rPr>
                <w:rFonts w:ascii="Arial Narrow" w:eastAsia="Times New Roman" w:hAnsi="Arial Narrow"/>
                <w:b/>
                <w:bCs/>
                <w:color w:val="000000"/>
                <w:sz w:val="22"/>
                <w:szCs w:val="22"/>
              </w:rPr>
            </w:pPr>
            <w:r w:rsidRPr="00F92C21">
              <w:rPr>
                <w:rFonts w:ascii="Arial Narrow" w:eastAsia="Times New Roman" w:hAnsi="Arial Narrow"/>
                <w:b/>
                <w:bCs/>
                <w:color w:val="000000"/>
                <w:sz w:val="22"/>
                <w:szCs w:val="22"/>
              </w:rPr>
              <w:t>Provisiones de reestructuración</w:t>
            </w:r>
          </w:p>
        </w:tc>
        <w:tc>
          <w:tcPr>
            <w:tcW w:w="1963" w:type="dxa"/>
            <w:tcBorders>
              <w:top w:val="single" w:sz="8" w:space="0" w:color="auto"/>
              <w:left w:val="nil"/>
              <w:bottom w:val="single" w:sz="8" w:space="0" w:color="auto"/>
              <w:right w:val="single" w:sz="8" w:space="0" w:color="auto"/>
            </w:tcBorders>
            <w:shd w:val="clear" w:color="auto" w:fill="auto"/>
            <w:vAlign w:val="center"/>
            <w:hideMark/>
          </w:tcPr>
          <w:p w14:paraId="30E7E75F" w14:textId="77777777" w:rsidR="00F92C21" w:rsidRPr="00F92C21" w:rsidRDefault="00F92C21" w:rsidP="00F92C21">
            <w:pPr>
              <w:rPr>
                <w:rFonts w:ascii="Arial Narrow" w:eastAsia="Times New Roman" w:hAnsi="Arial Narrow" w:cs="Calibri"/>
                <w:b/>
                <w:bCs/>
                <w:color w:val="000000"/>
                <w:sz w:val="22"/>
                <w:szCs w:val="22"/>
              </w:rPr>
            </w:pPr>
            <w:r w:rsidRPr="00F92C21">
              <w:rPr>
                <w:rFonts w:ascii="Arial Narrow" w:eastAsia="Times New Roman" w:hAnsi="Arial Narrow" w:cs="Calibri"/>
                <w:b/>
                <w:bCs/>
                <w:color w:val="000000"/>
                <w:sz w:val="22"/>
                <w:szCs w:val="22"/>
              </w:rPr>
              <w:t xml:space="preserve">NICSP N° 19, </w:t>
            </w:r>
            <w:r w:rsidRPr="00F92C21">
              <w:rPr>
                <w:rFonts w:ascii="Arial Narrow" w:eastAsia="Times New Roman" w:hAnsi="Arial Narrow" w:cs="Calibri"/>
                <w:b/>
                <w:bCs/>
                <w:color w:val="000000"/>
                <w:sz w:val="22"/>
                <w:szCs w:val="22"/>
              </w:rPr>
              <w:br/>
              <w:t>Párrafo 93.</w:t>
            </w:r>
          </w:p>
        </w:tc>
        <w:tc>
          <w:tcPr>
            <w:tcW w:w="1861" w:type="dxa"/>
            <w:tcBorders>
              <w:top w:val="single" w:sz="8" w:space="0" w:color="auto"/>
              <w:left w:val="nil"/>
              <w:bottom w:val="single" w:sz="8" w:space="0" w:color="auto"/>
              <w:right w:val="single" w:sz="8" w:space="0" w:color="auto"/>
            </w:tcBorders>
            <w:shd w:val="clear" w:color="auto" w:fill="auto"/>
            <w:vAlign w:val="center"/>
            <w:hideMark/>
          </w:tcPr>
          <w:p w14:paraId="4BA3E960" w14:textId="77777777" w:rsidR="00F92C21" w:rsidRPr="00F92C21" w:rsidRDefault="00F92C21" w:rsidP="00F92C21">
            <w:pPr>
              <w:jc w:val="center"/>
              <w:rPr>
                <w:rFonts w:ascii="Arial Narrow" w:eastAsia="Times New Roman" w:hAnsi="Arial Narrow" w:cs="Calibri"/>
                <w:b/>
                <w:bCs/>
                <w:color w:val="000000"/>
                <w:sz w:val="22"/>
                <w:szCs w:val="22"/>
              </w:rPr>
            </w:pPr>
            <w:r w:rsidRPr="00F92C21">
              <w:rPr>
                <w:rFonts w:ascii="Arial Narrow" w:eastAsia="Times New Roman" w:hAnsi="Arial Narrow" w:cs="Calibri"/>
                <w:b/>
                <w:bCs/>
                <w:color w:val="000000"/>
                <w:sz w:val="22"/>
                <w:szCs w:val="22"/>
              </w:rPr>
              <w:t xml:space="preserve"> </w:t>
            </w:r>
          </w:p>
        </w:tc>
      </w:tr>
      <w:tr w:rsidR="00F92C21" w:rsidRPr="00F92C21" w14:paraId="4B7E4EB8" w14:textId="77777777" w:rsidTr="00442D71">
        <w:trPr>
          <w:gridAfter w:val="1"/>
          <w:wAfter w:w="8" w:type="dxa"/>
          <w:trHeight w:val="57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BAB187" w14:textId="77777777" w:rsidR="00F92C21" w:rsidRPr="00F92C21" w:rsidRDefault="00F92C21" w:rsidP="00F92C21">
            <w:pPr>
              <w:jc w:val="right"/>
              <w:rPr>
                <w:rFonts w:ascii="Arial Narrow" w:eastAsia="Times New Roman" w:hAnsi="Arial Narrow"/>
                <w:b/>
                <w:bCs/>
                <w:color w:val="000000"/>
                <w:sz w:val="22"/>
                <w:szCs w:val="22"/>
              </w:rPr>
            </w:pPr>
            <w:r w:rsidRPr="00F92C21">
              <w:rPr>
                <w:rFonts w:ascii="Arial Narrow" w:eastAsia="Times New Roman" w:hAnsi="Arial Narrow"/>
                <w:b/>
                <w:bCs/>
                <w:color w:val="000000"/>
                <w:sz w:val="22"/>
                <w:szCs w:val="22"/>
              </w:rPr>
              <w:t>2</w:t>
            </w:r>
          </w:p>
        </w:tc>
        <w:tc>
          <w:tcPr>
            <w:tcW w:w="829" w:type="dxa"/>
            <w:tcBorders>
              <w:top w:val="nil"/>
              <w:left w:val="nil"/>
              <w:bottom w:val="single" w:sz="8" w:space="0" w:color="auto"/>
              <w:right w:val="single" w:sz="8" w:space="0" w:color="auto"/>
            </w:tcBorders>
            <w:shd w:val="clear" w:color="auto" w:fill="auto"/>
            <w:vAlign w:val="center"/>
            <w:hideMark/>
          </w:tcPr>
          <w:p w14:paraId="27395179" w14:textId="77777777" w:rsidR="00F92C21" w:rsidRPr="00F92C21" w:rsidRDefault="00F92C21" w:rsidP="00F92C21">
            <w:pPr>
              <w:ind w:firstLineChars="100" w:firstLine="220"/>
              <w:rPr>
                <w:rFonts w:ascii="Arial Narrow" w:eastAsia="Times New Roman" w:hAnsi="Arial Narrow"/>
                <w:b/>
                <w:bCs/>
                <w:color w:val="000000"/>
                <w:sz w:val="22"/>
                <w:szCs w:val="22"/>
              </w:rPr>
            </w:pPr>
            <w:r w:rsidRPr="00F92C21">
              <w:rPr>
                <w:rFonts w:ascii="Arial Narrow" w:eastAsia="Times New Roman" w:hAnsi="Arial Narrow"/>
                <w:b/>
                <w:bCs/>
                <w:color w:val="000000"/>
                <w:sz w:val="22"/>
                <w:szCs w:val="22"/>
              </w:rPr>
              <w:t>106</w:t>
            </w:r>
          </w:p>
        </w:tc>
        <w:tc>
          <w:tcPr>
            <w:tcW w:w="507" w:type="dxa"/>
            <w:tcBorders>
              <w:top w:val="nil"/>
              <w:left w:val="nil"/>
              <w:bottom w:val="single" w:sz="8" w:space="0" w:color="auto"/>
              <w:right w:val="nil"/>
            </w:tcBorders>
            <w:shd w:val="clear" w:color="auto" w:fill="auto"/>
            <w:vAlign w:val="center"/>
            <w:hideMark/>
          </w:tcPr>
          <w:p w14:paraId="5CF76918" w14:textId="77777777" w:rsidR="00F92C21" w:rsidRPr="00F92C21" w:rsidRDefault="00F92C21" w:rsidP="00F92C21">
            <w:pPr>
              <w:jc w:val="center"/>
              <w:rPr>
                <w:rFonts w:ascii="Arial Narrow" w:eastAsia="Times New Roman" w:hAnsi="Arial Narrow" w:cs="Calibri"/>
                <w:b/>
                <w:bCs/>
                <w:color w:val="000000"/>
                <w:sz w:val="22"/>
                <w:szCs w:val="22"/>
              </w:rPr>
            </w:pPr>
            <w:r w:rsidRPr="00F92C21">
              <w:rPr>
                <w:rFonts w:ascii="Arial Narrow" w:eastAsia="Times New Roman" w:hAnsi="Arial Narrow" w:cs="Calibri"/>
                <w:b/>
                <w:bCs/>
                <w:color w:val="000000"/>
                <w:sz w:val="22"/>
                <w:szCs w:val="22"/>
              </w:rPr>
              <w:t>1</w:t>
            </w:r>
          </w:p>
        </w:tc>
        <w:tc>
          <w:tcPr>
            <w:tcW w:w="3676" w:type="dxa"/>
            <w:tcBorders>
              <w:top w:val="nil"/>
              <w:left w:val="single" w:sz="8" w:space="0" w:color="auto"/>
              <w:bottom w:val="single" w:sz="8" w:space="0" w:color="auto"/>
              <w:right w:val="single" w:sz="8" w:space="0" w:color="auto"/>
            </w:tcBorders>
            <w:shd w:val="clear" w:color="auto" w:fill="auto"/>
            <w:vAlign w:val="center"/>
            <w:hideMark/>
          </w:tcPr>
          <w:p w14:paraId="1A87AB44" w14:textId="77777777" w:rsidR="00F92C21" w:rsidRPr="00F92C21" w:rsidRDefault="00F92C21" w:rsidP="00F92C21">
            <w:pPr>
              <w:rPr>
                <w:rFonts w:ascii="Arial Narrow" w:eastAsia="Times New Roman" w:hAnsi="Arial Narrow"/>
                <w:b/>
                <w:bCs/>
                <w:color w:val="000000"/>
                <w:sz w:val="22"/>
                <w:szCs w:val="22"/>
              </w:rPr>
            </w:pPr>
            <w:r w:rsidRPr="00F92C21">
              <w:rPr>
                <w:rFonts w:ascii="Arial Narrow" w:eastAsia="Times New Roman" w:hAnsi="Arial Narrow"/>
                <w:b/>
                <w:bCs/>
                <w:color w:val="000000"/>
                <w:sz w:val="22"/>
                <w:szCs w:val="22"/>
              </w:rPr>
              <w:t>Costos no incluidos</w:t>
            </w:r>
          </w:p>
        </w:tc>
        <w:tc>
          <w:tcPr>
            <w:tcW w:w="1963" w:type="dxa"/>
            <w:tcBorders>
              <w:top w:val="nil"/>
              <w:left w:val="nil"/>
              <w:bottom w:val="single" w:sz="8" w:space="0" w:color="auto"/>
              <w:right w:val="single" w:sz="8" w:space="0" w:color="auto"/>
            </w:tcBorders>
            <w:shd w:val="clear" w:color="auto" w:fill="auto"/>
            <w:vAlign w:val="center"/>
            <w:hideMark/>
          </w:tcPr>
          <w:p w14:paraId="61C2189B" w14:textId="77777777" w:rsidR="00F92C21" w:rsidRPr="00F92C21" w:rsidRDefault="00F92C21" w:rsidP="00F92C21">
            <w:pPr>
              <w:rPr>
                <w:rFonts w:ascii="Arial Narrow" w:eastAsia="Times New Roman" w:hAnsi="Arial Narrow" w:cs="Calibri"/>
                <w:b/>
                <w:bCs/>
                <w:color w:val="000000"/>
                <w:sz w:val="22"/>
                <w:szCs w:val="22"/>
              </w:rPr>
            </w:pPr>
            <w:r w:rsidRPr="00F92C21">
              <w:rPr>
                <w:rFonts w:ascii="Arial Narrow" w:eastAsia="Times New Roman" w:hAnsi="Arial Narrow" w:cs="Calibri"/>
                <w:b/>
                <w:bCs/>
                <w:color w:val="000000"/>
                <w:sz w:val="22"/>
                <w:szCs w:val="22"/>
              </w:rPr>
              <w:t xml:space="preserve">NICSP N° 19, </w:t>
            </w:r>
            <w:r w:rsidRPr="00F92C21">
              <w:rPr>
                <w:rFonts w:ascii="Arial Narrow" w:eastAsia="Times New Roman" w:hAnsi="Arial Narrow" w:cs="Calibri"/>
                <w:b/>
                <w:bCs/>
                <w:color w:val="000000"/>
                <w:sz w:val="22"/>
                <w:szCs w:val="22"/>
              </w:rPr>
              <w:br/>
              <w:t>Párrafo 94.</w:t>
            </w:r>
          </w:p>
        </w:tc>
        <w:tc>
          <w:tcPr>
            <w:tcW w:w="1861" w:type="dxa"/>
            <w:tcBorders>
              <w:top w:val="nil"/>
              <w:left w:val="nil"/>
              <w:bottom w:val="single" w:sz="8" w:space="0" w:color="auto"/>
              <w:right w:val="single" w:sz="8" w:space="0" w:color="auto"/>
            </w:tcBorders>
            <w:shd w:val="clear" w:color="auto" w:fill="auto"/>
            <w:vAlign w:val="center"/>
            <w:hideMark/>
          </w:tcPr>
          <w:p w14:paraId="6E36E865" w14:textId="77777777" w:rsidR="00F92C21" w:rsidRPr="00F92C21" w:rsidRDefault="00F92C21" w:rsidP="00F92C21">
            <w:pPr>
              <w:jc w:val="center"/>
              <w:rPr>
                <w:rFonts w:ascii="Arial Narrow" w:eastAsia="Times New Roman" w:hAnsi="Arial Narrow" w:cs="Calibri"/>
                <w:b/>
                <w:bCs/>
                <w:color w:val="000000"/>
                <w:sz w:val="22"/>
                <w:szCs w:val="22"/>
              </w:rPr>
            </w:pPr>
            <w:r w:rsidRPr="00F92C21">
              <w:rPr>
                <w:rFonts w:ascii="Arial Narrow" w:eastAsia="Times New Roman" w:hAnsi="Arial Narrow" w:cs="Calibri"/>
                <w:b/>
                <w:bCs/>
                <w:color w:val="000000"/>
                <w:sz w:val="22"/>
                <w:szCs w:val="22"/>
              </w:rPr>
              <w:t xml:space="preserve"> </w:t>
            </w:r>
          </w:p>
        </w:tc>
      </w:tr>
    </w:tbl>
    <w:p w14:paraId="46141F5A" w14:textId="77777777" w:rsidR="0097644C" w:rsidRDefault="0097644C" w:rsidP="00442D71">
      <w:pPr>
        <w:pStyle w:val="Default"/>
        <w:ind w:right="261"/>
        <w:jc w:val="both"/>
        <w:rPr>
          <w:sz w:val="22"/>
          <w:szCs w:val="22"/>
          <w:lang w:val="es-CR"/>
        </w:rPr>
      </w:pPr>
    </w:p>
    <w:p w14:paraId="71EDF446" w14:textId="50C11E8F" w:rsidR="00442D71" w:rsidRDefault="00442D71" w:rsidP="00442D71">
      <w:pPr>
        <w:pStyle w:val="Default"/>
        <w:ind w:right="261"/>
        <w:jc w:val="both"/>
        <w:rPr>
          <w:rFonts w:eastAsia="Arial"/>
          <w:b/>
          <w:sz w:val="22"/>
          <w:szCs w:val="22"/>
        </w:rPr>
      </w:pPr>
      <w:r w:rsidRPr="00F02F9D">
        <w:rPr>
          <w:rFonts w:eastAsia="Arial"/>
          <w:b/>
          <w:sz w:val="22"/>
          <w:szCs w:val="22"/>
        </w:rPr>
        <w:lastRenderedPageBreak/>
        <w:t>Políticas Contables</w:t>
      </w:r>
    </w:p>
    <w:p w14:paraId="609464E5" w14:textId="77777777" w:rsidR="00442D71" w:rsidRDefault="00442D71" w:rsidP="00442D71">
      <w:pPr>
        <w:pStyle w:val="Default"/>
        <w:ind w:right="261"/>
        <w:jc w:val="both"/>
        <w:rPr>
          <w:sz w:val="22"/>
          <w:szCs w:val="22"/>
          <w:lang w:val="es-CR"/>
        </w:rPr>
      </w:pPr>
    </w:p>
    <w:p w14:paraId="273EF829" w14:textId="26C524AC" w:rsidR="00FC4887" w:rsidRDefault="00FC4887" w:rsidP="00FC4887">
      <w:pPr>
        <w:pStyle w:val="Default"/>
        <w:ind w:left="1134" w:hanging="1134"/>
        <w:jc w:val="both"/>
        <w:rPr>
          <w:sz w:val="22"/>
          <w:szCs w:val="22"/>
          <w:lang w:val="es-CR"/>
        </w:rPr>
      </w:pPr>
      <w:r>
        <w:rPr>
          <w:sz w:val="22"/>
          <w:szCs w:val="22"/>
          <w:lang w:val="es-CR"/>
        </w:rPr>
        <w:t>2.106.0.01</w:t>
      </w:r>
      <w:r>
        <w:rPr>
          <w:sz w:val="22"/>
          <w:szCs w:val="22"/>
          <w:lang w:val="es-CR"/>
        </w:rPr>
        <w:tab/>
      </w:r>
      <w:r w:rsidRPr="00FC4887">
        <w:rPr>
          <w:sz w:val="22"/>
          <w:szCs w:val="22"/>
          <w:lang w:val="es-CR"/>
        </w:rPr>
        <w:t xml:space="preserve">Una provisión de reestructuración debe incluir sólo los </w:t>
      </w:r>
      <w:r w:rsidR="000E5DF8" w:rsidRPr="00FC4887">
        <w:rPr>
          <w:sz w:val="22"/>
          <w:szCs w:val="22"/>
          <w:lang w:val="es-CR"/>
        </w:rPr>
        <w:t>dese</w:t>
      </w:r>
      <w:r w:rsidR="000E5DF8">
        <w:rPr>
          <w:sz w:val="22"/>
          <w:szCs w:val="22"/>
          <w:lang w:val="es-CR"/>
        </w:rPr>
        <w:t>mbo</w:t>
      </w:r>
      <w:r w:rsidR="000E5DF8" w:rsidRPr="00FC4887">
        <w:rPr>
          <w:sz w:val="22"/>
          <w:szCs w:val="22"/>
          <w:lang w:val="es-CR"/>
        </w:rPr>
        <w:t>lsos</w:t>
      </w:r>
      <w:r w:rsidRPr="00FC4887">
        <w:rPr>
          <w:sz w:val="22"/>
          <w:szCs w:val="22"/>
          <w:lang w:val="es-CR"/>
        </w:rPr>
        <w:t xml:space="preserve"> directos surgidos en la reestructuración, que serán aquéllos:</w:t>
      </w:r>
    </w:p>
    <w:p w14:paraId="6F002693" w14:textId="77777777" w:rsidR="00FC4887" w:rsidRPr="00FC4887" w:rsidRDefault="00FC4887" w:rsidP="00FC4887">
      <w:pPr>
        <w:pStyle w:val="Default"/>
        <w:ind w:left="1134" w:hanging="1134"/>
        <w:jc w:val="both"/>
        <w:rPr>
          <w:sz w:val="22"/>
          <w:szCs w:val="22"/>
          <w:lang w:val="es-CR"/>
        </w:rPr>
      </w:pPr>
    </w:p>
    <w:p w14:paraId="35C2F76A" w14:textId="0FAD1D09" w:rsidR="00FC4887" w:rsidRPr="00FC4887" w:rsidRDefault="00FC4887">
      <w:pPr>
        <w:pStyle w:val="Default"/>
        <w:numPr>
          <w:ilvl w:val="0"/>
          <w:numId w:val="196"/>
        </w:numPr>
        <w:spacing w:after="120"/>
        <w:ind w:left="1418" w:hanging="284"/>
        <w:jc w:val="both"/>
        <w:rPr>
          <w:sz w:val="22"/>
          <w:szCs w:val="22"/>
          <w:lang w:val="es-CR"/>
        </w:rPr>
      </w:pPr>
      <w:r>
        <w:rPr>
          <w:sz w:val="22"/>
          <w:szCs w:val="22"/>
          <w:lang w:val="es-CR"/>
        </w:rPr>
        <w:t>N</w:t>
      </w:r>
      <w:r w:rsidRPr="00FC4887">
        <w:rPr>
          <w:sz w:val="22"/>
          <w:szCs w:val="22"/>
          <w:lang w:val="es-CR"/>
        </w:rPr>
        <w:t xml:space="preserve">ecesariamente impuestos por la reestructuración; y </w:t>
      </w:r>
    </w:p>
    <w:p w14:paraId="139A7208" w14:textId="1B58BAD6" w:rsidR="00FC4887" w:rsidRPr="00FC4887" w:rsidRDefault="00FC4887">
      <w:pPr>
        <w:pStyle w:val="Default"/>
        <w:numPr>
          <w:ilvl w:val="0"/>
          <w:numId w:val="196"/>
        </w:numPr>
        <w:ind w:left="1418" w:hanging="284"/>
        <w:jc w:val="both"/>
        <w:rPr>
          <w:sz w:val="22"/>
          <w:szCs w:val="22"/>
          <w:lang w:val="es-CR"/>
        </w:rPr>
      </w:pPr>
      <w:r>
        <w:rPr>
          <w:sz w:val="22"/>
          <w:szCs w:val="22"/>
          <w:lang w:val="es-CR"/>
        </w:rPr>
        <w:t>N</w:t>
      </w:r>
      <w:r w:rsidRPr="00FC4887">
        <w:rPr>
          <w:sz w:val="22"/>
          <w:szCs w:val="22"/>
          <w:lang w:val="es-CR"/>
        </w:rPr>
        <w:t xml:space="preserve">o asociados con las actividades que continúan en la entidad. </w:t>
      </w:r>
    </w:p>
    <w:p w14:paraId="27154C30" w14:textId="77777777" w:rsidR="00FC4887" w:rsidRPr="00FC4887" w:rsidRDefault="00FC4887" w:rsidP="00FC4887">
      <w:pPr>
        <w:pStyle w:val="Default"/>
        <w:jc w:val="both"/>
        <w:rPr>
          <w:sz w:val="22"/>
          <w:szCs w:val="22"/>
          <w:lang w:val="es-CR"/>
        </w:rPr>
      </w:pPr>
    </w:p>
    <w:p w14:paraId="3054B255" w14:textId="5F40D9D0" w:rsidR="00FC4887" w:rsidRPr="00FC4887" w:rsidRDefault="00FC4887" w:rsidP="00FC4887">
      <w:pPr>
        <w:pStyle w:val="Default"/>
        <w:ind w:left="1134" w:hanging="1134"/>
        <w:jc w:val="both"/>
        <w:rPr>
          <w:sz w:val="22"/>
          <w:szCs w:val="22"/>
          <w:lang w:val="es-CR"/>
        </w:rPr>
      </w:pPr>
      <w:r w:rsidRPr="00FC4887">
        <w:rPr>
          <w:sz w:val="22"/>
          <w:szCs w:val="22"/>
          <w:lang w:val="es-CR"/>
        </w:rPr>
        <w:t>2.106.1.01 Una provisión de reestructuración no incluye costos tales como:</w:t>
      </w:r>
    </w:p>
    <w:p w14:paraId="3C4A3721" w14:textId="77777777" w:rsidR="00FC4887" w:rsidRPr="00FC4887" w:rsidRDefault="00FC4887" w:rsidP="00FC4887">
      <w:pPr>
        <w:pStyle w:val="Default"/>
        <w:jc w:val="both"/>
        <w:rPr>
          <w:color w:val="auto"/>
          <w:sz w:val="22"/>
          <w:szCs w:val="22"/>
          <w:lang w:val="es-CR"/>
        </w:rPr>
      </w:pPr>
    </w:p>
    <w:p w14:paraId="0631B513" w14:textId="29C8C65F" w:rsidR="00FC4887" w:rsidRPr="00FC4887" w:rsidRDefault="00FC4887">
      <w:pPr>
        <w:pStyle w:val="Default"/>
        <w:numPr>
          <w:ilvl w:val="1"/>
          <w:numId w:val="197"/>
        </w:numPr>
        <w:spacing w:after="120"/>
        <w:ind w:left="1418" w:hanging="284"/>
        <w:jc w:val="both"/>
        <w:rPr>
          <w:color w:val="auto"/>
          <w:sz w:val="22"/>
          <w:szCs w:val="22"/>
          <w:lang w:val="es-CR"/>
        </w:rPr>
      </w:pPr>
      <w:r>
        <w:rPr>
          <w:color w:val="auto"/>
          <w:sz w:val="22"/>
          <w:szCs w:val="22"/>
          <w:lang w:val="es-CR"/>
        </w:rPr>
        <w:t>R</w:t>
      </w:r>
      <w:r w:rsidRPr="00FC4887">
        <w:rPr>
          <w:color w:val="auto"/>
          <w:sz w:val="22"/>
          <w:szCs w:val="22"/>
          <w:lang w:val="es-CR"/>
        </w:rPr>
        <w:t xml:space="preserve">eentrenamiento o reubicación continua del personal; </w:t>
      </w:r>
    </w:p>
    <w:p w14:paraId="3BFC4357" w14:textId="5185974B" w:rsidR="00FC4887" w:rsidRPr="00FC4887" w:rsidRDefault="00FC4887">
      <w:pPr>
        <w:pStyle w:val="Default"/>
        <w:numPr>
          <w:ilvl w:val="1"/>
          <w:numId w:val="197"/>
        </w:numPr>
        <w:spacing w:after="120"/>
        <w:ind w:left="1418" w:hanging="284"/>
        <w:jc w:val="both"/>
        <w:rPr>
          <w:color w:val="auto"/>
          <w:sz w:val="22"/>
          <w:szCs w:val="22"/>
        </w:rPr>
      </w:pPr>
      <w:r>
        <w:rPr>
          <w:color w:val="auto"/>
          <w:sz w:val="22"/>
          <w:szCs w:val="22"/>
        </w:rPr>
        <w:t>C</w:t>
      </w:r>
      <w:r w:rsidRPr="00FC4887">
        <w:rPr>
          <w:color w:val="auto"/>
          <w:sz w:val="22"/>
          <w:szCs w:val="22"/>
        </w:rPr>
        <w:t xml:space="preserve">omercialización o publicidad; o </w:t>
      </w:r>
    </w:p>
    <w:p w14:paraId="57B0253D" w14:textId="19A80A3B" w:rsidR="00FC4887" w:rsidRPr="00FC4887" w:rsidRDefault="00FC4887">
      <w:pPr>
        <w:pStyle w:val="Default"/>
        <w:numPr>
          <w:ilvl w:val="1"/>
          <w:numId w:val="197"/>
        </w:numPr>
        <w:ind w:left="1418" w:hanging="284"/>
        <w:jc w:val="both"/>
        <w:rPr>
          <w:color w:val="auto"/>
          <w:sz w:val="22"/>
          <w:szCs w:val="22"/>
          <w:lang w:val="es-CR"/>
        </w:rPr>
      </w:pPr>
      <w:r>
        <w:rPr>
          <w:color w:val="auto"/>
          <w:sz w:val="22"/>
          <w:szCs w:val="22"/>
          <w:lang w:val="es-CR"/>
        </w:rPr>
        <w:t>In</w:t>
      </w:r>
      <w:r w:rsidRPr="00FC4887">
        <w:rPr>
          <w:color w:val="auto"/>
          <w:sz w:val="22"/>
          <w:szCs w:val="22"/>
          <w:lang w:val="es-CR"/>
        </w:rPr>
        <w:t xml:space="preserve">versión en nuevos sistemas y redes de distribución. </w:t>
      </w:r>
    </w:p>
    <w:p w14:paraId="1B917DB0" w14:textId="77777777" w:rsidR="00FC4887" w:rsidRPr="00FC4887" w:rsidRDefault="00FC4887">
      <w:pPr>
        <w:pStyle w:val="Default"/>
        <w:numPr>
          <w:ilvl w:val="1"/>
          <w:numId w:val="195"/>
        </w:numPr>
        <w:jc w:val="both"/>
        <w:rPr>
          <w:color w:val="auto"/>
          <w:sz w:val="22"/>
          <w:szCs w:val="22"/>
          <w:lang w:val="es-CR"/>
        </w:rPr>
      </w:pPr>
    </w:p>
    <w:p w14:paraId="1D40AB19" w14:textId="61549F1E" w:rsidR="00FC4887" w:rsidRDefault="00FC4887" w:rsidP="00442D71">
      <w:pPr>
        <w:pStyle w:val="Default"/>
        <w:ind w:left="1134" w:right="6"/>
        <w:jc w:val="both"/>
        <w:rPr>
          <w:color w:val="auto"/>
          <w:sz w:val="22"/>
          <w:szCs w:val="22"/>
          <w:lang w:val="es-CR"/>
        </w:rPr>
      </w:pPr>
      <w:r w:rsidRPr="00FC4887">
        <w:rPr>
          <w:color w:val="auto"/>
          <w:sz w:val="22"/>
          <w:szCs w:val="22"/>
          <w:lang w:val="es-CR"/>
        </w:rPr>
        <w:t xml:space="preserve">Esos </w:t>
      </w:r>
      <w:r w:rsidR="000E5DF8" w:rsidRPr="00FC4887">
        <w:rPr>
          <w:color w:val="auto"/>
          <w:sz w:val="22"/>
          <w:szCs w:val="22"/>
          <w:lang w:val="es-CR"/>
        </w:rPr>
        <w:t>dese</w:t>
      </w:r>
      <w:r w:rsidR="000E5DF8">
        <w:rPr>
          <w:color w:val="auto"/>
          <w:sz w:val="22"/>
          <w:szCs w:val="22"/>
          <w:lang w:val="es-CR"/>
        </w:rPr>
        <w:t>mbo</w:t>
      </w:r>
      <w:r w:rsidR="000E5DF8" w:rsidRPr="00FC4887">
        <w:rPr>
          <w:color w:val="auto"/>
          <w:sz w:val="22"/>
          <w:szCs w:val="22"/>
          <w:lang w:val="es-CR"/>
        </w:rPr>
        <w:t>lsos</w:t>
      </w:r>
      <w:r w:rsidRPr="00FC4887">
        <w:rPr>
          <w:color w:val="auto"/>
          <w:sz w:val="22"/>
          <w:szCs w:val="22"/>
          <w:lang w:val="es-CR"/>
        </w:rPr>
        <w:t xml:space="preserve"> se relacionan con la conducción futura de una actividad y no son pasivos de reestructuración en la fecha sobre la que se informa.</w:t>
      </w:r>
    </w:p>
    <w:p w14:paraId="46D2F82E" w14:textId="77777777" w:rsidR="00442D71" w:rsidRPr="00FC4887" w:rsidRDefault="00442D71" w:rsidP="00442D71">
      <w:pPr>
        <w:pStyle w:val="Default"/>
        <w:ind w:left="1134" w:right="6"/>
        <w:jc w:val="both"/>
        <w:rPr>
          <w:sz w:val="22"/>
          <w:szCs w:val="22"/>
          <w:lang w:val="es-CR"/>
        </w:rPr>
      </w:pPr>
    </w:p>
    <w:p w14:paraId="2FE12086" w14:textId="77777777" w:rsidR="00FC4887" w:rsidRDefault="00FC4887" w:rsidP="00A279AD">
      <w:pPr>
        <w:pStyle w:val="Default"/>
        <w:spacing w:after="120" w:line="238" w:lineRule="auto"/>
        <w:ind w:right="260"/>
        <w:jc w:val="both"/>
        <w:rPr>
          <w:sz w:val="22"/>
          <w:szCs w:val="22"/>
          <w:lang w:val="es-CR"/>
        </w:rPr>
      </w:pPr>
    </w:p>
    <w:tbl>
      <w:tblPr>
        <w:tblW w:w="9383" w:type="dxa"/>
        <w:tblLook w:val="04A0" w:firstRow="1" w:lastRow="0" w:firstColumn="1" w:lastColumn="0" w:noHBand="0" w:noVBand="1"/>
      </w:tblPr>
      <w:tblGrid>
        <w:gridCol w:w="661"/>
        <w:gridCol w:w="517"/>
        <w:gridCol w:w="636"/>
        <w:gridCol w:w="3690"/>
        <w:gridCol w:w="1999"/>
        <w:gridCol w:w="1880"/>
      </w:tblGrid>
      <w:tr w:rsidR="00F4570D" w:rsidRPr="00F4570D" w14:paraId="57F9A451" w14:textId="77777777" w:rsidTr="00442D71">
        <w:trPr>
          <w:trHeight w:val="320"/>
        </w:trPr>
        <w:tc>
          <w:tcPr>
            <w:tcW w:w="181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0FA29A8" w14:textId="34BFA374" w:rsidR="00F4570D" w:rsidRPr="00F4570D" w:rsidRDefault="00F4570D" w:rsidP="00F4570D">
            <w:pPr>
              <w:jc w:val="center"/>
              <w:rPr>
                <w:rFonts w:ascii="Arial Narrow" w:eastAsia="Times New Roman" w:hAnsi="Arial Narrow" w:cs="Calibri"/>
                <w:b/>
                <w:bCs/>
                <w:color w:val="FFFFFF"/>
                <w:sz w:val="22"/>
                <w:szCs w:val="22"/>
              </w:rPr>
            </w:pPr>
            <w:r w:rsidRPr="00F4570D">
              <w:rPr>
                <w:rFonts w:ascii="Arial Narrow" w:eastAsia="Times New Roman" w:hAnsi="Arial Narrow" w:cs="Calibri"/>
                <w:b/>
                <w:bCs/>
                <w:color w:val="FFFFFF"/>
                <w:sz w:val="22"/>
                <w:szCs w:val="22"/>
              </w:rPr>
              <w:t>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81CE368" w14:textId="77777777" w:rsidR="00F4570D" w:rsidRPr="00F4570D" w:rsidRDefault="00F4570D" w:rsidP="00F4570D">
            <w:pPr>
              <w:jc w:val="center"/>
              <w:rPr>
                <w:rFonts w:ascii="Arial Narrow" w:eastAsia="Times New Roman" w:hAnsi="Arial Narrow" w:cs="Calibri"/>
                <w:b/>
                <w:bCs/>
                <w:color w:val="FFFFFF"/>
                <w:sz w:val="22"/>
                <w:szCs w:val="22"/>
              </w:rPr>
            </w:pPr>
            <w:r w:rsidRPr="00F4570D">
              <w:rPr>
                <w:rFonts w:ascii="Arial Narrow" w:eastAsia="Times New Roman" w:hAnsi="Arial Narrow" w:cs="Calibri"/>
                <w:b/>
                <w:bCs/>
                <w:color w:val="FFFFFF"/>
                <w:sz w:val="22"/>
                <w:szCs w:val="22"/>
              </w:rPr>
              <w:t>Concepto</w:t>
            </w:r>
          </w:p>
        </w:tc>
        <w:tc>
          <w:tcPr>
            <w:tcW w:w="3879" w:type="dxa"/>
            <w:gridSpan w:val="2"/>
            <w:tcBorders>
              <w:top w:val="single" w:sz="8" w:space="0" w:color="auto"/>
              <w:left w:val="nil"/>
              <w:bottom w:val="single" w:sz="8" w:space="0" w:color="auto"/>
              <w:right w:val="single" w:sz="8" w:space="0" w:color="000000"/>
            </w:tcBorders>
            <w:shd w:val="clear" w:color="000000" w:fill="203764"/>
            <w:vAlign w:val="center"/>
            <w:hideMark/>
          </w:tcPr>
          <w:p w14:paraId="774CCA4B" w14:textId="77777777" w:rsidR="00F4570D" w:rsidRPr="00F4570D" w:rsidRDefault="00F4570D" w:rsidP="00F4570D">
            <w:pPr>
              <w:jc w:val="center"/>
              <w:rPr>
                <w:rFonts w:ascii="Arial Narrow" w:eastAsia="Times New Roman" w:hAnsi="Arial Narrow" w:cs="Calibri"/>
                <w:b/>
                <w:bCs/>
                <w:color w:val="FFFFFF"/>
                <w:sz w:val="22"/>
                <w:szCs w:val="22"/>
              </w:rPr>
            </w:pPr>
            <w:r w:rsidRPr="00F4570D">
              <w:rPr>
                <w:rFonts w:ascii="Arial Narrow" w:eastAsia="Times New Roman" w:hAnsi="Arial Narrow" w:cs="Calibri"/>
                <w:b/>
                <w:bCs/>
                <w:color w:val="FFFFFF"/>
                <w:sz w:val="22"/>
                <w:szCs w:val="22"/>
              </w:rPr>
              <w:t>Referencia</w:t>
            </w:r>
          </w:p>
        </w:tc>
      </w:tr>
      <w:tr w:rsidR="00F4570D" w:rsidRPr="006E5442" w14:paraId="15AE0364" w14:textId="77777777" w:rsidTr="00442D71">
        <w:trPr>
          <w:trHeight w:val="1320"/>
        </w:trPr>
        <w:tc>
          <w:tcPr>
            <w:tcW w:w="1814" w:type="dxa"/>
            <w:gridSpan w:val="3"/>
            <w:vMerge/>
            <w:tcBorders>
              <w:top w:val="single" w:sz="8" w:space="0" w:color="auto"/>
              <w:left w:val="single" w:sz="8" w:space="0" w:color="auto"/>
              <w:bottom w:val="nil"/>
              <w:right w:val="single" w:sz="8" w:space="0" w:color="000000"/>
            </w:tcBorders>
            <w:vAlign w:val="center"/>
            <w:hideMark/>
          </w:tcPr>
          <w:p w14:paraId="1F21A80C" w14:textId="77777777" w:rsidR="00F4570D" w:rsidRPr="00F4570D" w:rsidRDefault="00F4570D" w:rsidP="00F4570D">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6938880F" w14:textId="77777777" w:rsidR="00F4570D" w:rsidRPr="00F4570D" w:rsidRDefault="00F4570D" w:rsidP="00F4570D">
            <w:pPr>
              <w:rPr>
                <w:rFonts w:ascii="Arial Narrow" w:eastAsia="Times New Roman" w:hAnsi="Arial Narrow" w:cs="Calibri"/>
                <w:b/>
                <w:bCs/>
                <w:color w:val="FFFFFF"/>
                <w:sz w:val="22"/>
                <w:szCs w:val="22"/>
              </w:rPr>
            </w:pPr>
          </w:p>
        </w:tc>
        <w:tc>
          <w:tcPr>
            <w:tcW w:w="1999" w:type="dxa"/>
            <w:tcBorders>
              <w:top w:val="nil"/>
              <w:left w:val="nil"/>
              <w:bottom w:val="nil"/>
              <w:right w:val="single" w:sz="8" w:space="0" w:color="auto"/>
            </w:tcBorders>
            <w:shd w:val="clear" w:color="000000" w:fill="203764"/>
            <w:vAlign w:val="center"/>
            <w:hideMark/>
          </w:tcPr>
          <w:p w14:paraId="38C88E07" w14:textId="77777777" w:rsidR="00F4570D" w:rsidRPr="00F4570D" w:rsidRDefault="00F4570D" w:rsidP="00F4570D">
            <w:pPr>
              <w:jc w:val="center"/>
              <w:rPr>
                <w:rFonts w:ascii="Arial Narrow" w:eastAsia="Times New Roman" w:hAnsi="Arial Narrow" w:cs="Calibri"/>
                <w:b/>
                <w:bCs/>
                <w:color w:val="FFFFFF"/>
                <w:sz w:val="22"/>
                <w:szCs w:val="22"/>
              </w:rPr>
            </w:pPr>
            <w:r w:rsidRPr="00F4570D">
              <w:rPr>
                <w:rFonts w:ascii="Arial Narrow" w:eastAsia="Times New Roman" w:hAnsi="Arial Narrow" w:cs="Calibri"/>
                <w:b/>
                <w:bCs/>
                <w:color w:val="FFFFFF"/>
                <w:sz w:val="22"/>
                <w:szCs w:val="22"/>
              </w:rPr>
              <w:t>Norma</w:t>
            </w:r>
          </w:p>
        </w:tc>
        <w:tc>
          <w:tcPr>
            <w:tcW w:w="1875" w:type="dxa"/>
            <w:tcBorders>
              <w:top w:val="nil"/>
              <w:left w:val="nil"/>
              <w:bottom w:val="nil"/>
              <w:right w:val="single" w:sz="8" w:space="0" w:color="auto"/>
            </w:tcBorders>
            <w:shd w:val="clear" w:color="000000" w:fill="203764"/>
            <w:vAlign w:val="center"/>
            <w:hideMark/>
          </w:tcPr>
          <w:p w14:paraId="00FD6F93" w14:textId="77777777" w:rsidR="00F4570D" w:rsidRPr="00F4570D" w:rsidRDefault="00F4570D" w:rsidP="00F4570D">
            <w:pPr>
              <w:jc w:val="center"/>
              <w:rPr>
                <w:rFonts w:ascii="Arial Narrow" w:eastAsia="Times New Roman" w:hAnsi="Arial Narrow" w:cs="Calibri"/>
                <w:b/>
                <w:bCs/>
                <w:color w:val="FFFFFF"/>
                <w:sz w:val="22"/>
                <w:szCs w:val="22"/>
                <w:lang w:val="es-CR"/>
              </w:rPr>
            </w:pPr>
            <w:r w:rsidRPr="00F4570D">
              <w:rPr>
                <w:rFonts w:ascii="Arial Narrow" w:eastAsia="Times New Roman" w:hAnsi="Arial Narrow" w:cs="Calibri"/>
                <w:b/>
                <w:bCs/>
                <w:color w:val="FFFFFF"/>
                <w:sz w:val="22"/>
                <w:szCs w:val="22"/>
                <w:lang w:val="es-CR"/>
              </w:rPr>
              <w:t>Normativa técnica y disposiciones adicionales</w:t>
            </w:r>
          </w:p>
        </w:tc>
      </w:tr>
      <w:tr w:rsidR="00F4570D" w:rsidRPr="00F4570D" w14:paraId="1F552258" w14:textId="77777777" w:rsidTr="00442D71">
        <w:trPr>
          <w:trHeight w:val="320"/>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4D484"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4D19B258"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107</w:t>
            </w:r>
          </w:p>
        </w:tc>
        <w:tc>
          <w:tcPr>
            <w:tcW w:w="636" w:type="dxa"/>
            <w:tcBorders>
              <w:top w:val="single" w:sz="8" w:space="0" w:color="auto"/>
              <w:left w:val="nil"/>
              <w:bottom w:val="single" w:sz="8" w:space="0" w:color="auto"/>
              <w:right w:val="single" w:sz="8" w:space="0" w:color="auto"/>
            </w:tcBorders>
            <w:shd w:val="clear" w:color="auto" w:fill="auto"/>
            <w:vAlign w:val="center"/>
            <w:hideMark/>
          </w:tcPr>
          <w:p w14:paraId="6DDBA8CA" w14:textId="17A92F37" w:rsidR="00F4570D" w:rsidRPr="00F4570D" w:rsidRDefault="00F4570D" w:rsidP="00F4570D">
            <w:pPr>
              <w:jc w:val="center"/>
              <w:rPr>
                <w:rFonts w:ascii="Arial Narrow" w:eastAsia="Times New Roman" w:hAnsi="Arial Narrow" w:cs="Calibri"/>
                <w:b/>
                <w:bCs/>
                <w:color w:val="000000"/>
                <w:sz w:val="22"/>
                <w:szCs w:val="22"/>
              </w:rPr>
            </w:pP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1EE750E2" w14:textId="77777777" w:rsidR="00F4570D" w:rsidRPr="00F4570D" w:rsidRDefault="00F4570D" w:rsidP="00F4570D">
            <w:pPr>
              <w:jc w:val="both"/>
              <w:rPr>
                <w:rFonts w:ascii="Arial Narrow" w:eastAsia="Times New Roman" w:hAnsi="Arial Narrow" w:cs="Calibri"/>
                <w:b/>
                <w:bCs/>
                <w:color w:val="000000"/>
                <w:sz w:val="22"/>
                <w:szCs w:val="22"/>
                <w:lang w:val="es-CR"/>
              </w:rPr>
            </w:pPr>
            <w:r w:rsidRPr="00F4570D">
              <w:rPr>
                <w:rFonts w:ascii="Arial Narrow" w:eastAsia="Times New Roman" w:hAnsi="Arial Narrow" w:cs="Calibri"/>
                <w:b/>
                <w:bCs/>
                <w:color w:val="000000"/>
                <w:sz w:val="22"/>
                <w:szCs w:val="22"/>
                <w:lang w:val="es-CR"/>
              </w:rPr>
              <w:t>Provisiones para litigios y demandas</w:t>
            </w:r>
          </w:p>
        </w:tc>
        <w:tc>
          <w:tcPr>
            <w:tcW w:w="1999" w:type="dxa"/>
            <w:tcBorders>
              <w:top w:val="single" w:sz="8" w:space="0" w:color="auto"/>
              <w:left w:val="nil"/>
              <w:bottom w:val="single" w:sz="8" w:space="0" w:color="auto"/>
              <w:right w:val="single" w:sz="8" w:space="0" w:color="auto"/>
            </w:tcBorders>
            <w:shd w:val="clear" w:color="auto" w:fill="auto"/>
            <w:vAlign w:val="center"/>
            <w:hideMark/>
          </w:tcPr>
          <w:p w14:paraId="2B16BF8D" w14:textId="77777777" w:rsidR="00F4570D" w:rsidRPr="00F4570D" w:rsidRDefault="00F4570D" w:rsidP="00F4570D">
            <w:pPr>
              <w:jc w:val="both"/>
              <w:rPr>
                <w:rFonts w:ascii="Arial Narrow" w:eastAsia="Times New Roman" w:hAnsi="Arial Narrow" w:cs="Calibri"/>
                <w:b/>
                <w:bCs/>
                <w:color w:val="000000"/>
                <w:sz w:val="22"/>
                <w:szCs w:val="22"/>
                <w:lang w:val="es-CR"/>
              </w:rPr>
            </w:pPr>
            <w:r w:rsidRPr="00F4570D">
              <w:rPr>
                <w:rFonts w:ascii="Arial Narrow" w:eastAsia="Times New Roman" w:hAnsi="Arial Narrow" w:cs="Calibri"/>
                <w:b/>
                <w:bCs/>
                <w:color w:val="000000"/>
                <w:sz w:val="22"/>
                <w:szCs w:val="22"/>
                <w:lang w:val="es-CR"/>
              </w:rPr>
              <w:t xml:space="preserve"> </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14:paraId="22BF48B6" w14:textId="77777777" w:rsidR="00F4570D" w:rsidRPr="00F4570D" w:rsidRDefault="00F4570D" w:rsidP="00F4570D">
            <w:pP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DGCN</w:t>
            </w:r>
          </w:p>
        </w:tc>
      </w:tr>
      <w:tr w:rsidR="00F4570D" w:rsidRPr="00F4570D" w14:paraId="43E6981B" w14:textId="77777777" w:rsidTr="00442D71">
        <w:trPr>
          <w:trHeight w:val="320"/>
        </w:trPr>
        <w:tc>
          <w:tcPr>
            <w:tcW w:w="661" w:type="dxa"/>
            <w:tcBorders>
              <w:top w:val="nil"/>
              <w:left w:val="single" w:sz="8" w:space="0" w:color="auto"/>
              <w:bottom w:val="single" w:sz="8" w:space="0" w:color="auto"/>
              <w:right w:val="single" w:sz="8" w:space="0" w:color="auto"/>
            </w:tcBorders>
            <w:shd w:val="clear" w:color="auto" w:fill="auto"/>
            <w:vAlign w:val="center"/>
            <w:hideMark/>
          </w:tcPr>
          <w:p w14:paraId="20135499"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2</w:t>
            </w:r>
          </w:p>
        </w:tc>
        <w:tc>
          <w:tcPr>
            <w:tcW w:w="517" w:type="dxa"/>
            <w:tcBorders>
              <w:top w:val="nil"/>
              <w:left w:val="nil"/>
              <w:bottom w:val="single" w:sz="8" w:space="0" w:color="auto"/>
              <w:right w:val="single" w:sz="8" w:space="0" w:color="auto"/>
            </w:tcBorders>
            <w:shd w:val="clear" w:color="auto" w:fill="auto"/>
            <w:noWrap/>
            <w:vAlign w:val="center"/>
            <w:hideMark/>
          </w:tcPr>
          <w:p w14:paraId="20A14820"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107</w:t>
            </w:r>
          </w:p>
        </w:tc>
        <w:tc>
          <w:tcPr>
            <w:tcW w:w="636" w:type="dxa"/>
            <w:tcBorders>
              <w:top w:val="nil"/>
              <w:left w:val="nil"/>
              <w:bottom w:val="single" w:sz="8" w:space="0" w:color="auto"/>
              <w:right w:val="single" w:sz="8" w:space="0" w:color="auto"/>
            </w:tcBorders>
            <w:shd w:val="clear" w:color="auto" w:fill="auto"/>
            <w:vAlign w:val="center"/>
            <w:hideMark/>
          </w:tcPr>
          <w:p w14:paraId="6658C598"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1</w:t>
            </w:r>
          </w:p>
        </w:tc>
        <w:tc>
          <w:tcPr>
            <w:tcW w:w="3690" w:type="dxa"/>
            <w:tcBorders>
              <w:top w:val="nil"/>
              <w:left w:val="nil"/>
              <w:bottom w:val="single" w:sz="8" w:space="0" w:color="auto"/>
              <w:right w:val="single" w:sz="8" w:space="0" w:color="auto"/>
            </w:tcBorders>
            <w:shd w:val="clear" w:color="auto" w:fill="auto"/>
            <w:vAlign w:val="center"/>
            <w:hideMark/>
          </w:tcPr>
          <w:p w14:paraId="76A14D7A" w14:textId="77777777" w:rsidR="00F4570D" w:rsidRPr="00F4570D" w:rsidRDefault="00F4570D" w:rsidP="00F4570D">
            <w:pPr>
              <w:jc w:val="both"/>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Etapas judiciales</w:t>
            </w:r>
          </w:p>
        </w:tc>
        <w:tc>
          <w:tcPr>
            <w:tcW w:w="1999" w:type="dxa"/>
            <w:tcBorders>
              <w:top w:val="nil"/>
              <w:left w:val="nil"/>
              <w:bottom w:val="single" w:sz="8" w:space="0" w:color="auto"/>
              <w:right w:val="single" w:sz="8" w:space="0" w:color="auto"/>
            </w:tcBorders>
            <w:shd w:val="clear" w:color="auto" w:fill="auto"/>
            <w:vAlign w:val="center"/>
            <w:hideMark/>
          </w:tcPr>
          <w:p w14:paraId="25264BCA" w14:textId="77777777" w:rsidR="00F4570D" w:rsidRPr="00F4570D" w:rsidRDefault="00F4570D" w:rsidP="00F4570D">
            <w:pPr>
              <w:jc w:val="both"/>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 xml:space="preserve"> </w:t>
            </w:r>
          </w:p>
        </w:tc>
        <w:tc>
          <w:tcPr>
            <w:tcW w:w="1875" w:type="dxa"/>
            <w:tcBorders>
              <w:top w:val="nil"/>
              <w:left w:val="nil"/>
              <w:bottom w:val="single" w:sz="8" w:space="0" w:color="auto"/>
              <w:right w:val="single" w:sz="8" w:space="0" w:color="auto"/>
            </w:tcBorders>
            <w:shd w:val="clear" w:color="auto" w:fill="auto"/>
            <w:vAlign w:val="center"/>
            <w:hideMark/>
          </w:tcPr>
          <w:p w14:paraId="493651A2" w14:textId="77777777" w:rsidR="00F4570D" w:rsidRPr="00F4570D" w:rsidRDefault="00F4570D" w:rsidP="00F4570D">
            <w:pP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DGCN</w:t>
            </w:r>
          </w:p>
        </w:tc>
      </w:tr>
      <w:tr w:rsidR="00F4570D" w:rsidRPr="00F4570D" w14:paraId="7DD2772A" w14:textId="77777777" w:rsidTr="00442D71">
        <w:trPr>
          <w:trHeight w:val="320"/>
        </w:trPr>
        <w:tc>
          <w:tcPr>
            <w:tcW w:w="661" w:type="dxa"/>
            <w:tcBorders>
              <w:top w:val="nil"/>
              <w:left w:val="single" w:sz="8" w:space="0" w:color="auto"/>
              <w:bottom w:val="single" w:sz="8" w:space="0" w:color="auto"/>
              <w:right w:val="single" w:sz="8" w:space="0" w:color="auto"/>
            </w:tcBorders>
            <w:shd w:val="clear" w:color="auto" w:fill="auto"/>
            <w:vAlign w:val="center"/>
            <w:hideMark/>
          </w:tcPr>
          <w:p w14:paraId="00661F00"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2</w:t>
            </w:r>
          </w:p>
        </w:tc>
        <w:tc>
          <w:tcPr>
            <w:tcW w:w="517" w:type="dxa"/>
            <w:tcBorders>
              <w:top w:val="nil"/>
              <w:left w:val="nil"/>
              <w:bottom w:val="single" w:sz="8" w:space="0" w:color="auto"/>
              <w:right w:val="single" w:sz="8" w:space="0" w:color="auto"/>
            </w:tcBorders>
            <w:shd w:val="clear" w:color="auto" w:fill="auto"/>
            <w:noWrap/>
            <w:vAlign w:val="center"/>
            <w:hideMark/>
          </w:tcPr>
          <w:p w14:paraId="68BFF8A6"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107</w:t>
            </w:r>
          </w:p>
        </w:tc>
        <w:tc>
          <w:tcPr>
            <w:tcW w:w="636" w:type="dxa"/>
            <w:tcBorders>
              <w:top w:val="nil"/>
              <w:left w:val="nil"/>
              <w:bottom w:val="single" w:sz="8" w:space="0" w:color="auto"/>
              <w:right w:val="single" w:sz="8" w:space="0" w:color="auto"/>
            </w:tcBorders>
            <w:shd w:val="clear" w:color="auto" w:fill="auto"/>
            <w:vAlign w:val="center"/>
            <w:hideMark/>
          </w:tcPr>
          <w:p w14:paraId="27B2D43F"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2</w:t>
            </w:r>
          </w:p>
        </w:tc>
        <w:tc>
          <w:tcPr>
            <w:tcW w:w="3690" w:type="dxa"/>
            <w:tcBorders>
              <w:top w:val="nil"/>
              <w:left w:val="nil"/>
              <w:bottom w:val="single" w:sz="8" w:space="0" w:color="auto"/>
              <w:right w:val="single" w:sz="8" w:space="0" w:color="auto"/>
            </w:tcBorders>
            <w:shd w:val="clear" w:color="auto" w:fill="auto"/>
            <w:vAlign w:val="center"/>
            <w:hideMark/>
          </w:tcPr>
          <w:p w14:paraId="128531E2" w14:textId="77777777" w:rsidR="00F4570D" w:rsidRPr="00F4570D" w:rsidRDefault="00F4570D" w:rsidP="00F4570D">
            <w:pPr>
              <w:jc w:val="both"/>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Informe jurídico interno</w:t>
            </w:r>
          </w:p>
        </w:tc>
        <w:tc>
          <w:tcPr>
            <w:tcW w:w="1999" w:type="dxa"/>
            <w:tcBorders>
              <w:top w:val="nil"/>
              <w:left w:val="nil"/>
              <w:bottom w:val="single" w:sz="8" w:space="0" w:color="auto"/>
              <w:right w:val="single" w:sz="8" w:space="0" w:color="auto"/>
            </w:tcBorders>
            <w:shd w:val="clear" w:color="auto" w:fill="auto"/>
            <w:vAlign w:val="center"/>
            <w:hideMark/>
          </w:tcPr>
          <w:p w14:paraId="1AD75909" w14:textId="77777777" w:rsidR="00F4570D" w:rsidRPr="00F4570D" w:rsidRDefault="00F4570D" w:rsidP="00F4570D">
            <w:pPr>
              <w:jc w:val="both"/>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 xml:space="preserve"> </w:t>
            </w:r>
          </w:p>
        </w:tc>
        <w:tc>
          <w:tcPr>
            <w:tcW w:w="1875" w:type="dxa"/>
            <w:tcBorders>
              <w:top w:val="nil"/>
              <w:left w:val="nil"/>
              <w:bottom w:val="single" w:sz="8" w:space="0" w:color="auto"/>
              <w:right w:val="single" w:sz="8" w:space="0" w:color="auto"/>
            </w:tcBorders>
            <w:shd w:val="clear" w:color="auto" w:fill="auto"/>
            <w:vAlign w:val="center"/>
            <w:hideMark/>
          </w:tcPr>
          <w:p w14:paraId="527F6F02" w14:textId="77777777" w:rsidR="00F4570D" w:rsidRPr="00F4570D" w:rsidRDefault="00F4570D" w:rsidP="00F4570D">
            <w:pP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DGCN</w:t>
            </w:r>
          </w:p>
        </w:tc>
      </w:tr>
    </w:tbl>
    <w:p w14:paraId="5960D97D" w14:textId="77777777" w:rsidR="00FC4887" w:rsidRDefault="00FC4887" w:rsidP="006167A2">
      <w:pPr>
        <w:pStyle w:val="Default"/>
        <w:ind w:right="261"/>
        <w:jc w:val="both"/>
        <w:rPr>
          <w:sz w:val="22"/>
          <w:szCs w:val="22"/>
          <w:lang w:val="es-CR"/>
        </w:rPr>
      </w:pPr>
    </w:p>
    <w:p w14:paraId="549D09C7" w14:textId="278D01FE" w:rsidR="00442D71" w:rsidRDefault="00442D71" w:rsidP="006167A2">
      <w:pPr>
        <w:pStyle w:val="Default"/>
        <w:ind w:right="261"/>
        <w:jc w:val="both"/>
        <w:rPr>
          <w:rFonts w:eastAsia="Arial"/>
          <w:b/>
          <w:sz w:val="22"/>
          <w:szCs w:val="22"/>
        </w:rPr>
      </w:pPr>
      <w:r w:rsidRPr="00F02F9D">
        <w:rPr>
          <w:rFonts w:eastAsia="Arial"/>
          <w:b/>
          <w:sz w:val="22"/>
          <w:szCs w:val="22"/>
        </w:rPr>
        <w:t>Políticas Contables</w:t>
      </w:r>
    </w:p>
    <w:p w14:paraId="53E2FBFA" w14:textId="77777777" w:rsidR="00442D71" w:rsidRDefault="00442D71" w:rsidP="006167A2">
      <w:pPr>
        <w:pStyle w:val="Default"/>
        <w:ind w:right="261"/>
        <w:jc w:val="both"/>
        <w:rPr>
          <w:sz w:val="22"/>
          <w:szCs w:val="22"/>
          <w:lang w:val="es-CR"/>
        </w:rPr>
      </w:pPr>
    </w:p>
    <w:p w14:paraId="1DE02CE2" w14:textId="2E73F204" w:rsidR="00F4570D" w:rsidRPr="00F4570D" w:rsidRDefault="00F4570D" w:rsidP="00F4570D">
      <w:pPr>
        <w:pStyle w:val="Default"/>
        <w:ind w:left="1134" w:hanging="1134"/>
        <w:jc w:val="both"/>
        <w:rPr>
          <w:sz w:val="22"/>
          <w:szCs w:val="22"/>
          <w:lang w:val="es-CR"/>
        </w:rPr>
      </w:pPr>
      <w:r>
        <w:rPr>
          <w:sz w:val="23"/>
          <w:szCs w:val="23"/>
          <w:lang w:val="es-CR"/>
        </w:rPr>
        <w:t>2.107.0.01</w:t>
      </w:r>
      <w:r>
        <w:rPr>
          <w:sz w:val="23"/>
          <w:szCs w:val="23"/>
          <w:lang w:val="es-CR"/>
        </w:rPr>
        <w:tab/>
      </w:r>
      <w:r w:rsidRPr="00F4570D">
        <w:rPr>
          <w:sz w:val="23"/>
          <w:szCs w:val="23"/>
          <w:lang w:val="es-CR"/>
        </w:rPr>
        <w:t xml:space="preserve">Una provisión para </w:t>
      </w:r>
      <w:r w:rsidRPr="00F4570D">
        <w:rPr>
          <w:sz w:val="22"/>
          <w:szCs w:val="22"/>
          <w:lang w:val="es-CR"/>
        </w:rPr>
        <w:t xml:space="preserve">litigios y demandas debe incluir sólo los </w:t>
      </w:r>
      <w:r w:rsidR="005907B3" w:rsidRPr="00F4570D">
        <w:rPr>
          <w:sz w:val="22"/>
          <w:szCs w:val="22"/>
          <w:lang w:val="es-CR"/>
        </w:rPr>
        <w:t>dese</w:t>
      </w:r>
      <w:r w:rsidR="005907B3">
        <w:rPr>
          <w:sz w:val="22"/>
          <w:szCs w:val="22"/>
          <w:lang w:val="es-CR"/>
        </w:rPr>
        <w:t>mbo</w:t>
      </w:r>
      <w:r w:rsidR="005907B3" w:rsidRPr="00F4570D">
        <w:rPr>
          <w:sz w:val="22"/>
          <w:szCs w:val="22"/>
          <w:lang w:val="es-CR"/>
        </w:rPr>
        <w:t>lsos</w:t>
      </w:r>
      <w:r w:rsidRPr="00F4570D">
        <w:rPr>
          <w:sz w:val="22"/>
          <w:szCs w:val="22"/>
          <w:lang w:val="es-CR"/>
        </w:rPr>
        <w:t xml:space="preserve"> directos originados en litigios y demandas entabladas contra el ente, sean de carácter comercial, laboral, por daños a terceros o por otras causas, cuya cancelación demandarán la salida de recursos de la entidad gubernamental. Comprende las sentencias adversas de cualquier instancia judicial, en tanto las mismas no hayan sido apeladas y no se encuentren firmes con carácter de “cosa juzgada” y con liquidación firme aprobada y fecha de vencimiento cierto para su pago, en procesos en los que la entidad pública tenga carácter de demandada. </w:t>
      </w:r>
    </w:p>
    <w:p w14:paraId="5C785DD0" w14:textId="77777777" w:rsidR="00F4570D" w:rsidRDefault="00F4570D" w:rsidP="00F4570D">
      <w:pPr>
        <w:pStyle w:val="Default"/>
        <w:jc w:val="both"/>
        <w:rPr>
          <w:sz w:val="22"/>
          <w:szCs w:val="22"/>
          <w:lang w:val="es-CR"/>
        </w:rPr>
      </w:pPr>
    </w:p>
    <w:p w14:paraId="2DD8BB07" w14:textId="3106B52B" w:rsidR="00F4570D" w:rsidRPr="00F4570D" w:rsidRDefault="00F4570D" w:rsidP="00F4570D">
      <w:pPr>
        <w:pStyle w:val="Default"/>
        <w:ind w:left="1134" w:hanging="1134"/>
        <w:jc w:val="both"/>
        <w:rPr>
          <w:sz w:val="22"/>
          <w:szCs w:val="22"/>
          <w:lang w:val="es-CR"/>
        </w:rPr>
      </w:pPr>
      <w:r>
        <w:rPr>
          <w:sz w:val="22"/>
          <w:szCs w:val="22"/>
          <w:lang w:val="es-CR"/>
        </w:rPr>
        <w:t>2.</w:t>
      </w:r>
      <w:r w:rsidRPr="00F4570D">
        <w:rPr>
          <w:sz w:val="22"/>
          <w:szCs w:val="22"/>
          <w:lang w:val="es-CR"/>
        </w:rPr>
        <w:t>1</w:t>
      </w:r>
      <w:r>
        <w:rPr>
          <w:sz w:val="22"/>
          <w:szCs w:val="22"/>
          <w:lang w:val="es-CR"/>
        </w:rPr>
        <w:t>07.1</w:t>
      </w:r>
      <w:r w:rsidRPr="00F4570D">
        <w:rPr>
          <w:sz w:val="22"/>
          <w:szCs w:val="22"/>
          <w:lang w:val="es-CR"/>
        </w:rPr>
        <w:t>.</w:t>
      </w:r>
      <w:r>
        <w:rPr>
          <w:sz w:val="22"/>
          <w:szCs w:val="22"/>
          <w:lang w:val="es-CR"/>
        </w:rPr>
        <w:t>01</w:t>
      </w:r>
      <w:r>
        <w:rPr>
          <w:sz w:val="22"/>
          <w:szCs w:val="22"/>
          <w:lang w:val="es-CR"/>
        </w:rPr>
        <w:tab/>
      </w:r>
      <w:r w:rsidRPr="00F4570D">
        <w:rPr>
          <w:sz w:val="22"/>
          <w:szCs w:val="22"/>
          <w:lang w:val="es-CR"/>
        </w:rPr>
        <w:t xml:space="preserve">La </w:t>
      </w:r>
      <w:r>
        <w:rPr>
          <w:sz w:val="22"/>
          <w:szCs w:val="22"/>
          <w:lang w:val="es-CR"/>
        </w:rPr>
        <w:t xml:space="preserve">Asesoría Legal de la Municipalidad </w:t>
      </w:r>
      <w:r w:rsidRPr="00F4570D">
        <w:rPr>
          <w:sz w:val="22"/>
          <w:szCs w:val="22"/>
          <w:lang w:val="es-CR"/>
        </w:rPr>
        <w:t>establecerá las diferentes etapas que se pueden suscitar en los juicios y su relación con el reconocimiento contable, de acuerdo a los requerimientos técnicos de las Unidades Primarias de Registro</w:t>
      </w:r>
      <w:r>
        <w:rPr>
          <w:sz w:val="22"/>
          <w:szCs w:val="22"/>
          <w:lang w:val="es-CR"/>
        </w:rPr>
        <w:t xml:space="preserve"> y con base en lo establecido por la DGCN</w:t>
      </w:r>
      <w:r w:rsidRPr="00F4570D">
        <w:rPr>
          <w:sz w:val="22"/>
          <w:szCs w:val="22"/>
          <w:lang w:val="es-CR"/>
        </w:rPr>
        <w:t xml:space="preserve">. </w:t>
      </w:r>
    </w:p>
    <w:p w14:paraId="6E8BB443" w14:textId="77777777" w:rsidR="00F4570D" w:rsidRPr="00F4570D" w:rsidRDefault="00F4570D" w:rsidP="00F4570D">
      <w:pPr>
        <w:pStyle w:val="Default"/>
        <w:jc w:val="both"/>
        <w:rPr>
          <w:sz w:val="22"/>
          <w:szCs w:val="22"/>
          <w:lang w:val="es-CR"/>
        </w:rPr>
      </w:pPr>
    </w:p>
    <w:p w14:paraId="008F5B71" w14:textId="0F4D132F" w:rsidR="00F4570D" w:rsidRPr="00F4570D" w:rsidRDefault="00F4570D" w:rsidP="00F4570D">
      <w:pPr>
        <w:pStyle w:val="Default"/>
        <w:ind w:left="1134" w:hanging="1134"/>
        <w:jc w:val="both"/>
        <w:rPr>
          <w:sz w:val="22"/>
          <w:szCs w:val="22"/>
          <w:lang w:val="es-CR"/>
        </w:rPr>
      </w:pPr>
      <w:r w:rsidRPr="00F4570D">
        <w:rPr>
          <w:sz w:val="22"/>
          <w:szCs w:val="22"/>
          <w:lang w:val="es-CR"/>
        </w:rPr>
        <w:t>2</w:t>
      </w:r>
      <w:r>
        <w:rPr>
          <w:sz w:val="22"/>
          <w:szCs w:val="22"/>
          <w:lang w:val="es-CR"/>
        </w:rPr>
        <w:t>.107.2</w:t>
      </w:r>
      <w:r w:rsidRPr="00F4570D">
        <w:rPr>
          <w:sz w:val="22"/>
          <w:szCs w:val="22"/>
          <w:lang w:val="es-CR"/>
        </w:rPr>
        <w:t>.</w:t>
      </w:r>
      <w:r>
        <w:rPr>
          <w:sz w:val="22"/>
          <w:szCs w:val="22"/>
          <w:lang w:val="es-CR"/>
        </w:rPr>
        <w:t>01</w:t>
      </w:r>
      <w:r>
        <w:rPr>
          <w:sz w:val="22"/>
          <w:szCs w:val="22"/>
          <w:lang w:val="es-CR"/>
        </w:rPr>
        <w:tab/>
      </w:r>
      <w:r w:rsidRPr="00F4570D">
        <w:rPr>
          <w:sz w:val="22"/>
          <w:szCs w:val="22"/>
          <w:lang w:val="es-CR"/>
        </w:rPr>
        <w:t>Las provisiones y pasivos contingentes por motivo de litigios y demandas deberán tener como sustento un informe de</w:t>
      </w:r>
      <w:r>
        <w:rPr>
          <w:sz w:val="22"/>
          <w:szCs w:val="22"/>
          <w:lang w:val="es-CR"/>
        </w:rPr>
        <w:t xml:space="preserve"> </w:t>
      </w:r>
      <w:r w:rsidRPr="00F4570D">
        <w:rPr>
          <w:sz w:val="22"/>
          <w:szCs w:val="22"/>
          <w:lang w:val="es-CR"/>
        </w:rPr>
        <w:t>l</w:t>
      </w:r>
      <w:r>
        <w:rPr>
          <w:sz w:val="22"/>
          <w:szCs w:val="22"/>
          <w:lang w:val="es-CR"/>
        </w:rPr>
        <w:t>a</w:t>
      </w:r>
      <w:r w:rsidRPr="00F4570D">
        <w:rPr>
          <w:sz w:val="22"/>
          <w:szCs w:val="22"/>
          <w:lang w:val="es-CR"/>
        </w:rPr>
        <w:t xml:space="preserve"> </w:t>
      </w:r>
      <w:r>
        <w:rPr>
          <w:sz w:val="22"/>
          <w:szCs w:val="22"/>
          <w:lang w:val="es-CR"/>
        </w:rPr>
        <w:t>Asesoría Legal de la Municipalidad</w:t>
      </w:r>
      <w:r w:rsidRPr="00F4570D">
        <w:rPr>
          <w:sz w:val="22"/>
          <w:szCs w:val="22"/>
          <w:lang w:val="es-CR"/>
        </w:rPr>
        <w:t xml:space="preserve">. </w:t>
      </w:r>
    </w:p>
    <w:p w14:paraId="3C6B0E36" w14:textId="77777777" w:rsidR="00FC4887" w:rsidRDefault="00FC4887" w:rsidP="006167A2">
      <w:pPr>
        <w:pStyle w:val="Default"/>
        <w:ind w:right="261"/>
        <w:jc w:val="both"/>
        <w:rPr>
          <w:sz w:val="22"/>
          <w:szCs w:val="22"/>
          <w:lang w:val="es-CR"/>
        </w:rPr>
      </w:pPr>
    </w:p>
    <w:p w14:paraId="28F03249" w14:textId="77777777" w:rsidR="00442D71" w:rsidRDefault="00442D71" w:rsidP="006167A2">
      <w:pPr>
        <w:pStyle w:val="Default"/>
        <w:ind w:right="261"/>
        <w:jc w:val="both"/>
        <w:rPr>
          <w:sz w:val="22"/>
          <w:szCs w:val="22"/>
          <w:lang w:val="es-CR"/>
        </w:rPr>
      </w:pPr>
    </w:p>
    <w:p w14:paraId="3F3701E2" w14:textId="77777777" w:rsidR="00442D71" w:rsidRDefault="00442D71" w:rsidP="006167A2">
      <w:pPr>
        <w:pStyle w:val="Default"/>
        <w:ind w:right="261"/>
        <w:jc w:val="both"/>
        <w:rPr>
          <w:sz w:val="22"/>
          <w:szCs w:val="22"/>
          <w:lang w:val="es-CR"/>
        </w:rPr>
      </w:pPr>
    </w:p>
    <w:p w14:paraId="66969ADA" w14:textId="77777777" w:rsidR="00442D71" w:rsidRDefault="00442D71" w:rsidP="006167A2">
      <w:pPr>
        <w:pStyle w:val="Default"/>
        <w:ind w:right="261"/>
        <w:jc w:val="both"/>
        <w:rPr>
          <w:sz w:val="22"/>
          <w:szCs w:val="22"/>
          <w:lang w:val="es-CR"/>
        </w:rPr>
      </w:pPr>
    </w:p>
    <w:p w14:paraId="324C147B" w14:textId="77777777" w:rsidR="006167A2" w:rsidRDefault="006167A2" w:rsidP="006167A2">
      <w:pPr>
        <w:pStyle w:val="Default"/>
        <w:ind w:right="261"/>
        <w:jc w:val="both"/>
        <w:rPr>
          <w:sz w:val="22"/>
          <w:szCs w:val="22"/>
          <w:lang w:val="es-CR"/>
        </w:rPr>
      </w:pPr>
    </w:p>
    <w:p w14:paraId="79B2DBDC" w14:textId="32412D7D" w:rsidR="00FC4887" w:rsidRPr="006167A2" w:rsidRDefault="00B5085E" w:rsidP="006167A2">
      <w:pPr>
        <w:pStyle w:val="Ttulo2"/>
        <w:ind w:left="284"/>
        <w:rPr>
          <w:rFonts w:ascii="Arial" w:eastAsia="Arial" w:hAnsi="Arial" w:cs="Arial"/>
          <w:b/>
          <w:bCs/>
          <w:sz w:val="20"/>
          <w:szCs w:val="20"/>
          <w:lang w:val="es-CR"/>
        </w:rPr>
      </w:pPr>
      <w:bookmarkStart w:id="105" w:name="_Toc172726240"/>
      <w:r w:rsidRPr="006167A2">
        <w:rPr>
          <w:rFonts w:ascii="Arial" w:eastAsia="Arial" w:hAnsi="Arial" w:cs="Arial"/>
          <w:b/>
          <w:bCs/>
          <w:sz w:val="20"/>
          <w:szCs w:val="20"/>
          <w:lang w:val="es-CR"/>
        </w:rPr>
        <w:lastRenderedPageBreak/>
        <w:t>Información a revelar sobre Provisiones</w:t>
      </w:r>
      <w:bookmarkEnd w:id="105"/>
    </w:p>
    <w:p w14:paraId="0FAAA9F4" w14:textId="77777777" w:rsidR="00B5085E" w:rsidRPr="00B5085E" w:rsidRDefault="00B5085E" w:rsidP="00B5085E">
      <w:pPr>
        <w:rPr>
          <w:lang w:val="es-CR"/>
        </w:rPr>
      </w:pPr>
    </w:p>
    <w:tbl>
      <w:tblPr>
        <w:tblW w:w="9248" w:type="dxa"/>
        <w:tblLook w:val="04A0" w:firstRow="1" w:lastRow="0" w:firstColumn="1" w:lastColumn="0" w:noHBand="0" w:noVBand="1"/>
      </w:tblPr>
      <w:tblGrid>
        <w:gridCol w:w="661"/>
        <w:gridCol w:w="517"/>
        <w:gridCol w:w="634"/>
        <w:gridCol w:w="3689"/>
        <w:gridCol w:w="1860"/>
        <w:gridCol w:w="1880"/>
        <w:gridCol w:w="7"/>
      </w:tblGrid>
      <w:tr w:rsidR="00F4570D" w:rsidRPr="00F4570D" w14:paraId="2BD0EE58" w14:textId="77777777" w:rsidTr="00217538">
        <w:trPr>
          <w:trHeight w:val="300"/>
        </w:trPr>
        <w:tc>
          <w:tcPr>
            <w:tcW w:w="181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F82BE8F" w14:textId="77777777" w:rsidR="00F4570D" w:rsidRPr="00F4570D" w:rsidRDefault="00F4570D" w:rsidP="00F4570D">
            <w:pPr>
              <w:jc w:val="center"/>
              <w:rPr>
                <w:rFonts w:ascii="Arial Narrow" w:eastAsia="Times New Roman" w:hAnsi="Arial Narrow" w:cs="Calibri"/>
                <w:b/>
                <w:bCs/>
                <w:color w:val="FFFFFF"/>
                <w:sz w:val="22"/>
                <w:szCs w:val="22"/>
              </w:rPr>
            </w:pPr>
            <w:r w:rsidRPr="00F4570D">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5D56A7C" w14:textId="77777777" w:rsidR="00F4570D" w:rsidRPr="00F4570D" w:rsidRDefault="00F4570D" w:rsidP="00F4570D">
            <w:pPr>
              <w:jc w:val="center"/>
              <w:rPr>
                <w:rFonts w:ascii="Arial Narrow" w:eastAsia="Times New Roman" w:hAnsi="Arial Narrow" w:cs="Calibri"/>
                <w:b/>
                <w:bCs/>
                <w:color w:val="FFFFFF"/>
                <w:sz w:val="22"/>
                <w:szCs w:val="22"/>
              </w:rPr>
            </w:pPr>
            <w:r w:rsidRPr="00F4570D">
              <w:rPr>
                <w:rFonts w:ascii="Arial Narrow" w:eastAsia="Times New Roman" w:hAnsi="Arial Narrow" w:cs="Calibri"/>
                <w:b/>
                <w:bCs/>
                <w:color w:val="FFFFFF"/>
                <w:sz w:val="22"/>
                <w:szCs w:val="22"/>
              </w:rPr>
              <w:t>Concepto</w:t>
            </w:r>
          </w:p>
        </w:tc>
        <w:tc>
          <w:tcPr>
            <w:tcW w:w="3747" w:type="dxa"/>
            <w:gridSpan w:val="3"/>
            <w:tcBorders>
              <w:top w:val="single" w:sz="8" w:space="0" w:color="auto"/>
              <w:left w:val="nil"/>
              <w:bottom w:val="single" w:sz="8" w:space="0" w:color="auto"/>
              <w:right w:val="single" w:sz="8" w:space="0" w:color="000000"/>
            </w:tcBorders>
            <w:shd w:val="clear" w:color="000000" w:fill="203764"/>
            <w:vAlign w:val="center"/>
            <w:hideMark/>
          </w:tcPr>
          <w:p w14:paraId="7762FEAB" w14:textId="77777777" w:rsidR="00F4570D" w:rsidRPr="00F4570D" w:rsidRDefault="00F4570D" w:rsidP="00F4570D">
            <w:pPr>
              <w:jc w:val="center"/>
              <w:rPr>
                <w:rFonts w:ascii="Arial Narrow" w:eastAsia="Times New Roman" w:hAnsi="Arial Narrow" w:cs="Calibri"/>
                <w:b/>
                <w:bCs/>
                <w:color w:val="FFFFFF"/>
                <w:sz w:val="22"/>
                <w:szCs w:val="22"/>
              </w:rPr>
            </w:pPr>
            <w:r w:rsidRPr="00F4570D">
              <w:rPr>
                <w:rFonts w:ascii="Arial Narrow" w:eastAsia="Times New Roman" w:hAnsi="Arial Narrow" w:cs="Calibri"/>
                <w:b/>
                <w:bCs/>
                <w:color w:val="FFFFFF"/>
                <w:sz w:val="22"/>
                <w:szCs w:val="22"/>
              </w:rPr>
              <w:t>Referencia</w:t>
            </w:r>
          </w:p>
        </w:tc>
      </w:tr>
      <w:tr w:rsidR="00F4570D" w:rsidRPr="006E5442" w14:paraId="464FC992" w14:textId="77777777" w:rsidTr="00217538">
        <w:trPr>
          <w:gridAfter w:val="1"/>
          <w:wAfter w:w="7" w:type="dxa"/>
          <w:trHeight w:val="850"/>
        </w:trPr>
        <w:tc>
          <w:tcPr>
            <w:tcW w:w="1812" w:type="dxa"/>
            <w:gridSpan w:val="3"/>
            <w:vMerge/>
            <w:tcBorders>
              <w:top w:val="single" w:sz="8" w:space="0" w:color="auto"/>
              <w:left w:val="single" w:sz="8" w:space="0" w:color="auto"/>
              <w:bottom w:val="nil"/>
              <w:right w:val="single" w:sz="8" w:space="0" w:color="000000"/>
            </w:tcBorders>
            <w:vAlign w:val="center"/>
            <w:hideMark/>
          </w:tcPr>
          <w:p w14:paraId="09546224" w14:textId="77777777" w:rsidR="00F4570D" w:rsidRPr="00F4570D" w:rsidRDefault="00F4570D" w:rsidP="00F4570D">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0545AD17" w14:textId="77777777" w:rsidR="00F4570D" w:rsidRPr="00F4570D" w:rsidRDefault="00F4570D" w:rsidP="00F4570D">
            <w:pPr>
              <w:rPr>
                <w:rFonts w:ascii="Arial Narrow" w:eastAsia="Times New Roman" w:hAnsi="Arial Narrow" w:cs="Calibri"/>
                <w:b/>
                <w:bCs/>
                <w:color w:val="FFFFFF"/>
                <w:sz w:val="22"/>
                <w:szCs w:val="22"/>
              </w:rPr>
            </w:pPr>
          </w:p>
        </w:tc>
        <w:tc>
          <w:tcPr>
            <w:tcW w:w="1860" w:type="dxa"/>
            <w:tcBorders>
              <w:top w:val="nil"/>
              <w:left w:val="nil"/>
              <w:bottom w:val="nil"/>
              <w:right w:val="single" w:sz="8" w:space="0" w:color="auto"/>
            </w:tcBorders>
            <w:shd w:val="clear" w:color="000000" w:fill="203764"/>
            <w:vAlign w:val="center"/>
            <w:hideMark/>
          </w:tcPr>
          <w:p w14:paraId="5D0DECB2" w14:textId="77777777" w:rsidR="00F4570D" w:rsidRPr="00F4570D" w:rsidRDefault="00F4570D" w:rsidP="00F4570D">
            <w:pPr>
              <w:jc w:val="center"/>
              <w:rPr>
                <w:rFonts w:ascii="Arial Narrow" w:eastAsia="Times New Roman" w:hAnsi="Arial Narrow" w:cs="Calibri"/>
                <w:b/>
                <w:bCs/>
                <w:color w:val="FFFFFF"/>
                <w:sz w:val="22"/>
                <w:szCs w:val="22"/>
              </w:rPr>
            </w:pPr>
            <w:r w:rsidRPr="00F4570D">
              <w:rPr>
                <w:rFonts w:ascii="Arial Narrow" w:eastAsia="Times New Roman" w:hAnsi="Arial Narrow" w:cs="Calibri"/>
                <w:b/>
                <w:bCs/>
                <w:color w:val="FFFFFF"/>
                <w:sz w:val="22"/>
                <w:szCs w:val="22"/>
              </w:rPr>
              <w:t>Norma</w:t>
            </w:r>
          </w:p>
        </w:tc>
        <w:tc>
          <w:tcPr>
            <w:tcW w:w="1880" w:type="dxa"/>
            <w:tcBorders>
              <w:top w:val="nil"/>
              <w:left w:val="nil"/>
              <w:bottom w:val="nil"/>
              <w:right w:val="single" w:sz="8" w:space="0" w:color="auto"/>
            </w:tcBorders>
            <w:shd w:val="clear" w:color="000000" w:fill="203764"/>
            <w:vAlign w:val="center"/>
            <w:hideMark/>
          </w:tcPr>
          <w:p w14:paraId="7A3E6258" w14:textId="77777777" w:rsidR="00F4570D" w:rsidRPr="00F4570D" w:rsidRDefault="00F4570D" w:rsidP="00F4570D">
            <w:pPr>
              <w:jc w:val="center"/>
              <w:rPr>
                <w:rFonts w:ascii="Arial Narrow" w:eastAsia="Times New Roman" w:hAnsi="Arial Narrow" w:cs="Calibri"/>
                <w:b/>
                <w:bCs/>
                <w:color w:val="FFFFFF"/>
                <w:sz w:val="22"/>
                <w:szCs w:val="22"/>
                <w:lang w:val="es-CR"/>
              </w:rPr>
            </w:pPr>
            <w:r w:rsidRPr="00F4570D">
              <w:rPr>
                <w:rFonts w:ascii="Arial Narrow" w:eastAsia="Times New Roman" w:hAnsi="Arial Narrow" w:cs="Calibri"/>
                <w:b/>
                <w:bCs/>
                <w:color w:val="FFFFFF"/>
                <w:sz w:val="22"/>
                <w:szCs w:val="22"/>
                <w:lang w:val="es-CR"/>
              </w:rPr>
              <w:t>Normativa técnica y disposiciones adicionales</w:t>
            </w:r>
          </w:p>
        </w:tc>
      </w:tr>
      <w:tr w:rsidR="00F4570D" w:rsidRPr="00F4570D" w14:paraId="0FBB3E66" w14:textId="77777777" w:rsidTr="00217538">
        <w:trPr>
          <w:gridAfter w:val="1"/>
          <w:wAfter w:w="7" w:type="dxa"/>
          <w:trHeight w:val="570"/>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F4CCC3"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3360562B" w14:textId="77777777" w:rsidR="00F4570D" w:rsidRPr="00F4570D" w:rsidRDefault="00F4570D" w:rsidP="00F4570D">
            <w:pPr>
              <w:jc w:val="cente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108</w:t>
            </w:r>
          </w:p>
        </w:tc>
        <w:tc>
          <w:tcPr>
            <w:tcW w:w="634" w:type="dxa"/>
            <w:tcBorders>
              <w:top w:val="single" w:sz="8" w:space="0" w:color="auto"/>
              <w:left w:val="nil"/>
              <w:bottom w:val="single" w:sz="8" w:space="0" w:color="auto"/>
              <w:right w:val="single" w:sz="8" w:space="0" w:color="auto"/>
            </w:tcBorders>
            <w:shd w:val="clear" w:color="auto" w:fill="auto"/>
            <w:vAlign w:val="center"/>
            <w:hideMark/>
          </w:tcPr>
          <w:p w14:paraId="11D676E2" w14:textId="508509B3" w:rsidR="00F4570D" w:rsidRPr="00F4570D" w:rsidRDefault="00F4570D" w:rsidP="00F4570D">
            <w:pPr>
              <w:jc w:val="center"/>
              <w:rPr>
                <w:rFonts w:ascii="Arial Narrow" w:eastAsia="Times New Roman" w:hAnsi="Arial Narrow" w:cs="Calibri"/>
                <w:b/>
                <w:bCs/>
                <w:color w:val="000000"/>
                <w:sz w:val="22"/>
                <w:szCs w:val="22"/>
              </w:rPr>
            </w:pP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6B9B659C" w14:textId="77777777" w:rsidR="00F4570D" w:rsidRPr="00F4570D" w:rsidRDefault="00F4570D" w:rsidP="00F4570D">
            <w:pPr>
              <w:jc w:val="both"/>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Información a revelar</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14:paraId="68A7D691" w14:textId="77777777" w:rsidR="00442D71" w:rsidRDefault="00F4570D" w:rsidP="00F4570D">
            <w:pPr>
              <w:jc w:val="both"/>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 xml:space="preserve">NICSP N° 19, </w:t>
            </w:r>
          </w:p>
          <w:p w14:paraId="439603A3" w14:textId="7931055E" w:rsidR="00F4570D" w:rsidRPr="00F4570D" w:rsidRDefault="00F4570D" w:rsidP="00F4570D">
            <w:pPr>
              <w:jc w:val="both"/>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Párrafos 97 y 98.</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6D1668B1" w14:textId="77777777" w:rsidR="00F4570D" w:rsidRPr="00F4570D" w:rsidRDefault="00F4570D" w:rsidP="00F4570D">
            <w:pPr>
              <w:rPr>
                <w:rFonts w:ascii="Arial Narrow" w:eastAsia="Times New Roman" w:hAnsi="Arial Narrow" w:cs="Calibri"/>
                <w:b/>
                <w:bCs/>
                <w:color w:val="000000"/>
                <w:sz w:val="22"/>
                <w:szCs w:val="22"/>
              </w:rPr>
            </w:pPr>
            <w:r w:rsidRPr="00F4570D">
              <w:rPr>
                <w:rFonts w:ascii="Arial Narrow" w:eastAsia="Times New Roman" w:hAnsi="Arial Narrow" w:cs="Calibri"/>
                <w:b/>
                <w:bCs/>
                <w:color w:val="000000"/>
                <w:sz w:val="22"/>
                <w:szCs w:val="22"/>
              </w:rPr>
              <w:t xml:space="preserve"> </w:t>
            </w:r>
          </w:p>
        </w:tc>
      </w:tr>
    </w:tbl>
    <w:p w14:paraId="4D2D174D" w14:textId="222D5F53" w:rsidR="00FC4887" w:rsidRDefault="00FC4887" w:rsidP="00442D71">
      <w:pPr>
        <w:pStyle w:val="Default"/>
        <w:ind w:right="261"/>
        <w:jc w:val="both"/>
        <w:rPr>
          <w:sz w:val="22"/>
          <w:szCs w:val="22"/>
          <w:lang w:val="es-CR"/>
        </w:rPr>
      </w:pPr>
    </w:p>
    <w:p w14:paraId="60267058" w14:textId="0BA8854E" w:rsidR="00442D71" w:rsidRDefault="00442D71" w:rsidP="00442D71">
      <w:pPr>
        <w:pStyle w:val="Default"/>
        <w:ind w:right="261"/>
        <w:jc w:val="both"/>
        <w:rPr>
          <w:rFonts w:eastAsia="Arial"/>
          <w:b/>
          <w:sz w:val="22"/>
          <w:szCs w:val="22"/>
        </w:rPr>
      </w:pPr>
      <w:r w:rsidRPr="00F02F9D">
        <w:rPr>
          <w:rFonts w:eastAsia="Arial"/>
          <w:b/>
          <w:sz w:val="22"/>
          <w:szCs w:val="22"/>
        </w:rPr>
        <w:t>Política Contable</w:t>
      </w:r>
    </w:p>
    <w:p w14:paraId="63E9B785" w14:textId="77777777" w:rsidR="00442D71" w:rsidRDefault="00442D71" w:rsidP="00442D71">
      <w:pPr>
        <w:pStyle w:val="Default"/>
        <w:ind w:right="261"/>
        <w:jc w:val="both"/>
        <w:rPr>
          <w:sz w:val="22"/>
          <w:szCs w:val="22"/>
          <w:lang w:val="es-CR"/>
        </w:rPr>
      </w:pPr>
    </w:p>
    <w:p w14:paraId="52ACF668" w14:textId="77777777" w:rsidR="002F3BDB" w:rsidRDefault="002F3BDB" w:rsidP="002F3BDB">
      <w:pPr>
        <w:pStyle w:val="Default"/>
        <w:ind w:left="1134" w:hanging="1134"/>
        <w:jc w:val="both"/>
        <w:rPr>
          <w:sz w:val="22"/>
          <w:szCs w:val="22"/>
          <w:lang w:val="es-CR"/>
        </w:rPr>
      </w:pPr>
      <w:r>
        <w:rPr>
          <w:sz w:val="22"/>
          <w:szCs w:val="22"/>
          <w:lang w:val="es-CR"/>
        </w:rPr>
        <w:t>2.108.0.01</w:t>
      </w:r>
      <w:r>
        <w:rPr>
          <w:sz w:val="22"/>
          <w:szCs w:val="22"/>
          <w:lang w:val="es-CR"/>
        </w:rPr>
        <w:tab/>
      </w:r>
      <w:r w:rsidR="00F4570D" w:rsidRPr="00C217DD">
        <w:rPr>
          <w:sz w:val="22"/>
          <w:szCs w:val="22"/>
          <w:lang w:val="es-CR"/>
        </w:rPr>
        <w:t>Para cada clase de provisión, deberá revelarse la siguiente información en los EEFF, preferiblemente en forma comparativa con el ejercicio anterior, o bien indicando las razones por las cuales no es posible exponer información comparativa</w:t>
      </w:r>
    </w:p>
    <w:p w14:paraId="5890CD4F" w14:textId="31E25393" w:rsidR="00F4570D" w:rsidRPr="00C217DD" w:rsidRDefault="00F4570D" w:rsidP="002F3BDB">
      <w:pPr>
        <w:pStyle w:val="Default"/>
        <w:ind w:left="1134" w:hanging="1134"/>
        <w:jc w:val="both"/>
        <w:rPr>
          <w:sz w:val="22"/>
          <w:szCs w:val="22"/>
          <w:lang w:val="es-CR"/>
        </w:rPr>
      </w:pPr>
      <w:r w:rsidRPr="00C217DD">
        <w:rPr>
          <w:sz w:val="22"/>
          <w:szCs w:val="22"/>
          <w:lang w:val="es-CR"/>
        </w:rPr>
        <w:t xml:space="preserve">: </w:t>
      </w:r>
    </w:p>
    <w:p w14:paraId="46212EDC" w14:textId="528967F8" w:rsidR="00F4570D" w:rsidRPr="00C217DD" w:rsidRDefault="002F3BDB">
      <w:pPr>
        <w:pStyle w:val="Default"/>
        <w:numPr>
          <w:ilvl w:val="0"/>
          <w:numId w:val="199"/>
        </w:numPr>
        <w:spacing w:after="120"/>
        <w:ind w:left="1418" w:hanging="284"/>
        <w:jc w:val="both"/>
        <w:rPr>
          <w:sz w:val="22"/>
          <w:szCs w:val="22"/>
          <w:lang w:val="es-CR"/>
        </w:rPr>
      </w:pPr>
      <w:r>
        <w:rPr>
          <w:sz w:val="22"/>
          <w:szCs w:val="22"/>
          <w:lang w:val="es-CR"/>
        </w:rPr>
        <w:t>E</w:t>
      </w:r>
      <w:r w:rsidR="00F4570D" w:rsidRPr="00C217DD">
        <w:rPr>
          <w:sz w:val="22"/>
          <w:szCs w:val="22"/>
          <w:lang w:val="es-CR"/>
        </w:rPr>
        <w:t xml:space="preserve">l valor en libros al inicio y al final del período; </w:t>
      </w:r>
    </w:p>
    <w:p w14:paraId="020F7BA0" w14:textId="02C872FE" w:rsidR="00F4570D" w:rsidRPr="00C217DD" w:rsidRDefault="002F3BDB">
      <w:pPr>
        <w:pStyle w:val="Default"/>
        <w:numPr>
          <w:ilvl w:val="0"/>
          <w:numId w:val="199"/>
        </w:numPr>
        <w:spacing w:after="120"/>
        <w:ind w:left="1418" w:hanging="284"/>
        <w:jc w:val="both"/>
        <w:rPr>
          <w:sz w:val="22"/>
          <w:szCs w:val="22"/>
          <w:lang w:val="es-CR"/>
        </w:rPr>
      </w:pPr>
      <w:r>
        <w:rPr>
          <w:sz w:val="22"/>
          <w:szCs w:val="22"/>
          <w:lang w:val="es-CR"/>
        </w:rPr>
        <w:t>L</w:t>
      </w:r>
      <w:r w:rsidR="00F4570D" w:rsidRPr="00C217DD">
        <w:rPr>
          <w:sz w:val="22"/>
          <w:szCs w:val="22"/>
          <w:lang w:val="es-CR"/>
        </w:rPr>
        <w:t xml:space="preserve">as dotaciones efectuadas en el período, incluyendo </w:t>
      </w:r>
      <w:r w:rsidR="005907B3" w:rsidRPr="00C217DD">
        <w:rPr>
          <w:sz w:val="22"/>
          <w:szCs w:val="22"/>
          <w:lang w:val="es-CR"/>
        </w:rPr>
        <w:t>ta</w:t>
      </w:r>
      <w:r w:rsidR="005907B3">
        <w:rPr>
          <w:sz w:val="22"/>
          <w:szCs w:val="22"/>
          <w:lang w:val="es-CR"/>
        </w:rPr>
        <w:t>mbi</w:t>
      </w:r>
      <w:r w:rsidR="005907B3" w:rsidRPr="00C217DD">
        <w:rPr>
          <w:sz w:val="22"/>
          <w:szCs w:val="22"/>
          <w:lang w:val="es-CR"/>
        </w:rPr>
        <w:t>én</w:t>
      </w:r>
      <w:r w:rsidR="00F4570D" w:rsidRPr="00C217DD">
        <w:rPr>
          <w:sz w:val="22"/>
          <w:szCs w:val="22"/>
          <w:lang w:val="es-CR"/>
        </w:rPr>
        <w:t xml:space="preserve"> los incrementos en las provisiones existentes; </w:t>
      </w:r>
    </w:p>
    <w:p w14:paraId="27066A77" w14:textId="5D6A7238" w:rsidR="00F4570D" w:rsidRPr="00C217DD" w:rsidRDefault="002F3BDB">
      <w:pPr>
        <w:pStyle w:val="Default"/>
        <w:numPr>
          <w:ilvl w:val="0"/>
          <w:numId w:val="199"/>
        </w:numPr>
        <w:spacing w:after="120"/>
        <w:ind w:left="1418" w:hanging="284"/>
        <w:jc w:val="both"/>
        <w:rPr>
          <w:sz w:val="22"/>
          <w:szCs w:val="22"/>
          <w:lang w:val="es-CR"/>
        </w:rPr>
      </w:pPr>
      <w:r>
        <w:rPr>
          <w:sz w:val="22"/>
          <w:szCs w:val="22"/>
          <w:lang w:val="es-CR"/>
        </w:rPr>
        <w:t>L</w:t>
      </w:r>
      <w:r w:rsidR="00F4570D" w:rsidRPr="00C217DD">
        <w:rPr>
          <w:sz w:val="22"/>
          <w:szCs w:val="22"/>
          <w:lang w:val="es-CR"/>
        </w:rPr>
        <w:t xml:space="preserve">os importes utilizados (es decir, los importes aplicados y cargados contra la provisión) durante el período; </w:t>
      </w:r>
    </w:p>
    <w:p w14:paraId="3C2F19B2" w14:textId="4CDD6F5E" w:rsidR="00F4570D" w:rsidRPr="00C217DD" w:rsidRDefault="002F3BDB">
      <w:pPr>
        <w:pStyle w:val="Default"/>
        <w:numPr>
          <w:ilvl w:val="0"/>
          <w:numId w:val="199"/>
        </w:numPr>
        <w:spacing w:after="120"/>
        <w:ind w:left="1418" w:hanging="284"/>
        <w:jc w:val="both"/>
        <w:rPr>
          <w:sz w:val="22"/>
          <w:szCs w:val="22"/>
          <w:lang w:val="es-CR"/>
        </w:rPr>
      </w:pPr>
      <w:r>
        <w:rPr>
          <w:sz w:val="22"/>
          <w:szCs w:val="22"/>
          <w:lang w:val="es-CR"/>
        </w:rPr>
        <w:t>L</w:t>
      </w:r>
      <w:r w:rsidR="00F4570D" w:rsidRPr="00C217DD">
        <w:rPr>
          <w:sz w:val="22"/>
          <w:szCs w:val="22"/>
          <w:lang w:val="es-CR"/>
        </w:rPr>
        <w:t xml:space="preserve">os importes no utilizados que han sido objeto de liquidación o reversión en el período; </w:t>
      </w:r>
    </w:p>
    <w:p w14:paraId="326744D0" w14:textId="5B60E65C" w:rsidR="002F3BDB" w:rsidRDefault="002F3BDB">
      <w:pPr>
        <w:pStyle w:val="Default"/>
        <w:numPr>
          <w:ilvl w:val="0"/>
          <w:numId w:val="199"/>
        </w:numPr>
        <w:spacing w:after="120"/>
        <w:ind w:left="1418" w:hanging="284"/>
        <w:jc w:val="both"/>
        <w:rPr>
          <w:sz w:val="22"/>
          <w:szCs w:val="22"/>
          <w:lang w:val="es-CR"/>
        </w:rPr>
      </w:pPr>
      <w:r>
        <w:rPr>
          <w:sz w:val="22"/>
          <w:szCs w:val="22"/>
          <w:lang w:val="es-CR"/>
        </w:rPr>
        <w:t>E</w:t>
      </w:r>
      <w:r w:rsidR="00F4570D" w:rsidRPr="00C217DD">
        <w:rPr>
          <w:sz w:val="22"/>
          <w:szCs w:val="22"/>
          <w:lang w:val="es-CR"/>
        </w:rPr>
        <w:t xml:space="preserve">l incremento durante el período en el importe descontado, resultante del paso del tiempo y el efecto de los </w:t>
      </w:r>
      <w:r w:rsidR="005907B3" w:rsidRPr="00C217DD">
        <w:rPr>
          <w:sz w:val="22"/>
          <w:szCs w:val="22"/>
          <w:lang w:val="es-CR"/>
        </w:rPr>
        <w:t>ca</w:t>
      </w:r>
      <w:r w:rsidR="005907B3">
        <w:rPr>
          <w:sz w:val="22"/>
          <w:szCs w:val="22"/>
          <w:lang w:val="es-CR"/>
        </w:rPr>
        <w:t>mbi</w:t>
      </w:r>
      <w:r w:rsidR="005907B3" w:rsidRPr="00C217DD">
        <w:rPr>
          <w:sz w:val="22"/>
          <w:szCs w:val="22"/>
          <w:lang w:val="es-CR"/>
        </w:rPr>
        <w:t>os</w:t>
      </w:r>
      <w:r w:rsidR="00F4570D" w:rsidRPr="00C217DD">
        <w:rPr>
          <w:sz w:val="22"/>
          <w:szCs w:val="22"/>
          <w:lang w:val="es-CR"/>
        </w:rPr>
        <w:t xml:space="preserve"> en la tasa de descuento;</w:t>
      </w:r>
    </w:p>
    <w:p w14:paraId="615A179A" w14:textId="38A1CDF7" w:rsidR="002F3BDB" w:rsidRPr="002F3BDB" w:rsidRDefault="00F4570D">
      <w:pPr>
        <w:pStyle w:val="Default"/>
        <w:numPr>
          <w:ilvl w:val="0"/>
          <w:numId w:val="199"/>
        </w:numPr>
        <w:spacing w:after="120"/>
        <w:ind w:left="1418" w:hanging="284"/>
        <w:jc w:val="both"/>
        <w:rPr>
          <w:sz w:val="22"/>
          <w:szCs w:val="22"/>
          <w:lang w:val="es-CR"/>
        </w:rPr>
      </w:pPr>
      <w:r w:rsidRPr="002F3BDB">
        <w:rPr>
          <w:sz w:val="22"/>
          <w:szCs w:val="22"/>
          <w:lang w:val="es-CR"/>
        </w:rPr>
        <w:t xml:space="preserve">No se requiere presentar información comparativa de la siguiente información: </w:t>
      </w:r>
    </w:p>
    <w:p w14:paraId="022BC86C" w14:textId="0AC5DDE0" w:rsidR="00F4570D" w:rsidRPr="00C217DD" w:rsidRDefault="002F3BDB">
      <w:pPr>
        <w:pStyle w:val="Default"/>
        <w:numPr>
          <w:ilvl w:val="1"/>
          <w:numId w:val="200"/>
        </w:numPr>
        <w:spacing w:after="120"/>
        <w:ind w:left="1985" w:hanging="284"/>
        <w:jc w:val="both"/>
        <w:rPr>
          <w:sz w:val="22"/>
          <w:szCs w:val="22"/>
          <w:lang w:val="es-CR"/>
        </w:rPr>
      </w:pPr>
      <w:r>
        <w:rPr>
          <w:sz w:val="22"/>
          <w:szCs w:val="22"/>
          <w:lang w:val="es-CR"/>
        </w:rPr>
        <w:t>U</w:t>
      </w:r>
      <w:r w:rsidR="00F4570D" w:rsidRPr="00C217DD">
        <w:rPr>
          <w:sz w:val="22"/>
          <w:szCs w:val="22"/>
          <w:lang w:val="es-CR"/>
        </w:rPr>
        <w:t xml:space="preserve">na breve descripción de la naturaleza de la obligación y del momento previsible en el tiempo, en el que se producirán los flujos de salida de beneficios económicos o de potencial de servicio futuros; </w:t>
      </w:r>
    </w:p>
    <w:p w14:paraId="64B47E1F" w14:textId="7D34E580" w:rsidR="00F4570D" w:rsidRPr="00C217DD" w:rsidRDefault="002F3BDB">
      <w:pPr>
        <w:pStyle w:val="Default"/>
        <w:numPr>
          <w:ilvl w:val="1"/>
          <w:numId w:val="200"/>
        </w:numPr>
        <w:spacing w:after="120"/>
        <w:ind w:left="1985" w:hanging="284"/>
        <w:jc w:val="both"/>
        <w:rPr>
          <w:sz w:val="22"/>
          <w:szCs w:val="22"/>
          <w:lang w:val="es-CR"/>
        </w:rPr>
      </w:pPr>
      <w:r>
        <w:rPr>
          <w:sz w:val="22"/>
          <w:szCs w:val="22"/>
          <w:lang w:val="es-CR"/>
        </w:rPr>
        <w:t>U</w:t>
      </w:r>
      <w:r w:rsidR="00F4570D" w:rsidRPr="00C217DD">
        <w:rPr>
          <w:sz w:val="22"/>
          <w:szCs w:val="22"/>
          <w:lang w:val="es-CR"/>
        </w:rPr>
        <w:t xml:space="preserve">na indicación de las </w:t>
      </w:r>
      <w:r w:rsidR="005907B3" w:rsidRPr="00C217DD">
        <w:rPr>
          <w:sz w:val="22"/>
          <w:szCs w:val="22"/>
          <w:lang w:val="es-CR"/>
        </w:rPr>
        <w:t>incertidu</w:t>
      </w:r>
      <w:r w:rsidR="005907B3">
        <w:rPr>
          <w:sz w:val="22"/>
          <w:szCs w:val="22"/>
          <w:lang w:val="es-CR"/>
        </w:rPr>
        <w:t>mbr</w:t>
      </w:r>
      <w:r w:rsidR="005907B3" w:rsidRPr="00C217DD">
        <w:rPr>
          <w:sz w:val="22"/>
          <w:szCs w:val="22"/>
          <w:lang w:val="es-CR"/>
        </w:rPr>
        <w:t>es</w:t>
      </w:r>
      <w:r w:rsidR="00F4570D" w:rsidRPr="00C217DD">
        <w:rPr>
          <w:sz w:val="22"/>
          <w:szCs w:val="22"/>
          <w:lang w:val="es-CR"/>
        </w:rPr>
        <w:t xml:space="preserve"> sobre el importe o vencimiento de dichos flujos de salida y los principales supuestos que se han tomado en relación con los hechos futuros; </w:t>
      </w:r>
    </w:p>
    <w:p w14:paraId="7B574F84" w14:textId="6AB7B108" w:rsidR="00F4570D" w:rsidRPr="00C217DD" w:rsidRDefault="002F3BDB">
      <w:pPr>
        <w:pStyle w:val="Default"/>
        <w:numPr>
          <w:ilvl w:val="1"/>
          <w:numId w:val="200"/>
        </w:numPr>
        <w:ind w:left="1985" w:hanging="284"/>
        <w:jc w:val="both"/>
        <w:rPr>
          <w:sz w:val="22"/>
          <w:szCs w:val="22"/>
          <w:lang w:val="es-CR"/>
        </w:rPr>
      </w:pPr>
      <w:r>
        <w:rPr>
          <w:sz w:val="22"/>
          <w:szCs w:val="22"/>
          <w:lang w:val="es-CR"/>
        </w:rPr>
        <w:t>E</w:t>
      </w:r>
      <w:r w:rsidR="00F4570D" w:rsidRPr="00C217DD">
        <w:rPr>
          <w:sz w:val="22"/>
          <w:szCs w:val="22"/>
          <w:lang w:val="es-CR"/>
        </w:rPr>
        <w:t xml:space="preserve">l importe de los </w:t>
      </w:r>
      <w:r w:rsidR="005907B3" w:rsidRPr="00C217DD">
        <w:rPr>
          <w:sz w:val="22"/>
          <w:szCs w:val="22"/>
          <w:lang w:val="es-CR"/>
        </w:rPr>
        <w:t>ree</w:t>
      </w:r>
      <w:r w:rsidR="005907B3">
        <w:rPr>
          <w:sz w:val="22"/>
          <w:szCs w:val="22"/>
          <w:lang w:val="es-CR"/>
        </w:rPr>
        <w:t>mbo</w:t>
      </w:r>
      <w:r w:rsidR="005907B3" w:rsidRPr="00C217DD">
        <w:rPr>
          <w:sz w:val="22"/>
          <w:szCs w:val="22"/>
          <w:lang w:val="es-CR"/>
        </w:rPr>
        <w:t>lsos</w:t>
      </w:r>
      <w:r w:rsidR="00F4570D" w:rsidRPr="00C217DD">
        <w:rPr>
          <w:sz w:val="22"/>
          <w:szCs w:val="22"/>
          <w:lang w:val="es-CR"/>
        </w:rPr>
        <w:t xml:space="preserve"> probables, expresando la cuantía de cualquier activo que haya sido reconocido con respecto a dicho </w:t>
      </w:r>
      <w:r w:rsidR="005907B3" w:rsidRPr="00C217DD">
        <w:rPr>
          <w:sz w:val="22"/>
          <w:szCs w:val="22"/>
          <w:lang w:val="es-CR"/>
        </w:rPr>
        <w:t>ree</w:t>
      </w:r>
      <w:r w:rsidR="005907B3">
        <w:rPr>
          <w:sz w:val="22"/>
          <w:szCs w:val="22"/>
          <w:lang w:val="es-CR"/>
        </w:rPr>
        <w:t>mbo</w:t>
      </w:r>
      <w:r w:rsidR="005907B3" w:rsidRPr="00C217DD">
        <w:rPr>
          <w:sz w:val="22"/>
          <w:szCs w:val="22"/>
          <w:lang w:val="es-CR"/>
        </w:rPr>
        <w:t>lso</w:t>
      </w:r>
      <w:r w:rsidR="00F4570D" w:rsidRPr="00C217DD">
        <w:rPr>
          <w:sz w:val="22"/>
          <w:szCs w:val="22"/>
          <w:lang w:val="es-CR"/>
        </w:rPr>
        <w:t xml:space="preserve">; </w:t>
      </w:r>
    </w:p>
    <w:p w14:paraId="5F926D24" w14:textId="77777777" w:rsidR="00F4570D" w:rsidRPr="00C217DD" w:rsidRDefault="00F4570D">
      <w:pPr>
        <w:pStyle w:val="Default"/>
        <w:numPr>
          <w:ilvl w:val="1"/>
          <w:numId w:val="198"/>
        </w:numPr>
        <w:jc w:val="both"/>
        <w:rPr>
          <w:sz w:val="22"/>
          <w:szCs w:val="22"/>
          <w:lang w:val="es-CR"/>
        </w:rPr>
      </w:pPr>
    </w:p>
    <w:p w14:paraId="0F71F764" w14:textId="20CFB49B" w:rsidR="00F4570D" w:rsidRPr="00C217DD" w:rsidRDefault="002F3BDB">
      <w:pPr>
        <w:pStyle w:val="Default"/>
        <w:numPr>
          <w:ilvl w:val="0"/>
          <w:numId w:val="199"/>
        </w:numPr>
        <w:spacing w:after="120"/>
        <w:ind w:left="1418" w:hanging="284"/>
        <w:jc w:val="both"/>
        <w:rPr>
          <w:sz w:val="22"/>
          <w:szCs w:val="22"/>
          <w:lang w:val="es-CR"/>
        </w:rPr>
      </w:pPr>
      <w:r>
        <w:rPr>
          <w:sz w:val="22"/>
          <w:szCs w:val="22"/>
          <w:lang w:val="es-CR"/>
        </w:rPr>
        <w:t>E</w:t>
      </w:r>
      <w:r w:rsidR="00F4570D" w:rsidRPr="00C217DD">
        <w:rPr>
          <w:sz w:val="22"/>
          <w:szCs w:val="22"/>
          <w:lang w:val="es-CR"/>
        </w:rPr>
        <w:t xml:space="preserve">n el caso de provisiones para litigios y demandas, la identificación y alcance del informe jurídico que ha avalado la provisión; </w:t>
      </w:r>
    </w:p>
    <w:p w14:paraId="5E7E647F" w14:textId="77777777" w:rsidR="002F3BDB" w:rsidRDefault="002F3BDB">
      <w:pPr>
        <w:pStyle w:val="Default"/>
        <w:numPr>
          <w:ilvl w:val="0"/>
          <w:numId w:val="199"/>
        </w:numPr>
        <w:spacing w:after="120"/>
        <w:ind w:left="1418" w:hanging="284"/>
        <w:jc w:val="both"/>
        <w:rPr>
          <w:sz w:val="22"/>
          <w:szCs w:val="22"/>
          <w:lang w:val="es-CR"/>
        </w:rPr>
      </w:pPr>
      <w:r>
        <w:rPr>
          <w:sz w:val="22"/>
          <w:szCs w:val="22"/>
          <w:lang w:val="es-CR"/>
        </w:rPr>
        <w:t>E</w:t>
      </w:r>
      <w:r w:rsidRPr="00C217DD">
        <w:rPr>
          <w:sz w:val="22"/>
          <w:szCs w:val="22"/>
          <w:lang w:val="es-CR"/>
        </w:rPr>
        <w:t>n caso de que</w:t>
      </w:r>
      <w:r w:rsidR="00F4570D" w:rsidRPr="00C217DD">
        <w:rPr>
          <w:sz w:val="22"/>
          <w:szCs w:val="22"/>
          <w:lang w:val="es-CR"/>
        </w:rPr>
        <w:t xml:space="preserve"> la revelación de información pudiera comprometer la posición de la entidad en un litigio con terceros, la naturaleza del litigio y las razones que justifican la ausencia de revelación; y</w:t>
      </w:r>
    </w:p>
    <w:p w14:paraId="1D7A4D77" w14:textId="20971146" w:rsidR="00F4570D" w:rsidRPr="002F3BDB" w:rsidRDefault="002F3BDB">
      <w:pPr>
        <w:pStyle w:val="Default"/>
        <w:numPr>
          <w:ilvl w:val="0"/>
          <w:numId w:val="199"/>
        </w:numPr>
        <w:spacing w:after="20"/>
        <w:ind w:left="1418" w:hanging="284"/>
        <w:jc w:val="both"/>
        <w:rPr>
          <w:sz w:val="22"/>
          <w:szCs w:val="22"/>
          <w:lang w:val="es-CR"/>
        </w:rPr>
      </w:pPr>
      <w:r w:rsidRPr="002F3BDB">
        <w:rPr>
          <w:sz w:val="22"/>
          <w:szCs w:val="22"/>
          <w:lang w:val="es-CR"/>
        </w:rPr>
        <w:t>T</w:t>
      </w:r>
      <w:r w:rsidR="00F4570D" w:rsidRPr="002F3BDB">
        <w:rPr>
          <w:sz w:val="22"/>
          <w:szCs w:val="22"/>
          <w:lang w:val="es-CR"/>
        </w:rPr>
        <w:t xml:space="preserve">oda otra información que oportunamente, con carácter permanente o específico para un ejercicio en particular, requiera incluir la DGCN. </w:t>
      </w:r>
    </w:p>
    <w:p w14:paraId="0F3CE5BD" w14:textId="77777777" w:rsidR="00F4570D" w:rsidRDefault="00F4570D" w:rsidP="0069573C">
      <w:pPr>
        <w:pStyle w:val="Default"/>
        <w:ind w:right="261"/>
        <w:jc w:val="both"/>
        <w:rPr>
          <w:sz w:val="22"/>
          <w:szCs w:val="22"/>
          <w:lang w:val="es-CR"/>
        </w:rPr>
      </w:pPr>
    </w:p>
    <w:p w14:paraId="6137FED5" w14:textId="77777777" w:rsidR="00217538" w:rsidRDefault="00217538" w:rsidP="0069573C">
      <w:pPr>
        <w:pStyle w:val="Default"/>
        <w:ind w:right="261"/>
        <w:jc w:val="both"/>
        <w:rPr>
          <w:sz w:val="22"/>
          <w:szCs w:val="22"/>
          <w:lang w:val="es-CR"/>
        </w:rPr>
      </w:pPr>
    </w:p>
    <w:p w14:paraId="4F749999" w14:textId="77777777" w:rsidR="00217538" w:rsidRDefault="00217538" w:rsidP="0069573C">
      <w:pPr>
        <w:pStyle w:val="Default"/>
        <w:ind w:right="261"/>
        <w:jc w:val="both"/>
        <w:rPr>
          <w:sz w:val="22"/>
          <w:szCs w:val="22"/>
          <w:lang w:val="es-CR"/>
        </w:rPr>
      </w:pPr>
    </w:p>
    <w:p w14:paraId="66639EAE" w14:textId="77777777" w:rsidR="00217538" w:rsidRDefault="00217538" w:rsidP="0069573C">
      <w:pPr>
        <w:pStyle w:val="Default"/>
        <w:ind w:right="261"/>
        <w:jc w:val="both"/>
        <w:rPr>
          <w:sz w:val="22"/>
          <w:szCs w:val="22"/>
          <w:lang w:val="es-CR"/>
        </w:rPr>
      </w:pPr>
    </w:p>
    <w:p w14:paraId="123AE004" w14:textId="77777777" w:rsidR="00217538" w:rsidRDefault="00217538" w:rsidP="0069573C">
      <w:pPr>
        <w:pStyle w:val="Default"/>
        <w:ind w:right="261"/>
        <w:jc w:val="both"/>
        <w:rPr>
          <w:sz w:val="22"/>
          <w:szCs w:val="22"/>
          <w:lang w:val="es-CR"/>
        </w:rPr>
      </w:pPr>
    </w:p>
    <w:p w14:paraId="52FA94B2" w14:textId="77777777" w:rsidR="00217538" w:rsidRDefault="00217538" w:rsidP="0069573C">
      <w:pPr>
        <w:pStyle w:val="Default"/>
        <w:ind w:right="261"/>
        <w:jc w:val="both"/>
        <w:rPr>
          <w:sz w:val="22"/>
          <w:szCs w:val="22"/>
          <w:lang w:val="es-CR"/>
        </w:rPr>
      </w:pPr>
    </w:p>
    <w:p w14:paraId="6B9263CE" w14:textId="77777777" w:rsidR="00217538" w:rsidRDefault="00217538" w:rsidP="0069573C">
      <w:pPr>
        <w:pStyle w:val="Default"/>
        <w:ind w:right="261"/>
        <w:jc w:val="both"/>
        <w:rPr>
          <w:sz w:val="22"/>
          <w:szCs w:val="22"/>
          <w:lang w:val="es-CR"/>
        </w:rPr>
      </w:pPr>
    </w:p>
    <w:p w14:paraId="1D0DA3E2" w14:textId="77777777" w:rsidR="00FC4887" w:rsidRDefault="00FC4887" w:rsidP="0069573C">
      <w:pPr>
        <w:pStyle w:val="Default"/>
        <w:ind w:right="261"/>
        <w:jc w:val="both"/>
        <w:rPr>
          <w:sz w:val="22"/>
          <w:szCs w:val="22"/>
          <w:lang w:val="es-CR"/>
        </w:rPr>
      </w:pPr>
    </w:p>
    <w:p w14:paraId="151B0C31" w14:textId="0F0B7884" w:rsidR="002F3BDB" w:rsidRPr="0069573C" w:rsidRDefault="002F3BDB" w:rsidP="0069573C">
      <w:pPr>
        <w:pStyle w:val="Ttulo2"/>
        <w:ind w:left="284"/>
        <w:rPr>
          <w:rFonts w:ascii="Arial" w:eastAsia="Arial" w:hAnsi="Arial" w:cs="Arial"/>
          <w:b/>
          <w:bCs/>
          <w:sz w:val="20"/>
          <w:szCs w:val="20"/>
          <w:lang w:val="es-CR"/>
        </w:rPr>
      </w:pPr>
      <w:bookmarkStart w:id="106" w:name="_Toc172726241"/>
      <w:r w:rsidRPr="0069573C">
        <w:rPr>
          <w:rFonts w:ascii="Arial" w:eastAsia="Arial" w:hAnsi="Arial" w:cs="Arial"/>
          <w:b/>
          <w:bCs/>
          <w:sz w:val="20"/>
          <w:szCs w:val="20"/>
          <w:lang w:val="es-CR"/>
        </w:rPr>
        <w:lastRenderedPageBreak/>
        <w:t>Contingencias</w:t>
      </w:r>
      <w:bookmarkEnd w:id="106"/>
    </w:p>
    <w:p w14:paraId="691CC055" w14:textId="77777777" w:rsidR="002F3BDB" w:rsidRDefault="002F3BDB" w:rsidP="00A279AD">
      <w:pPr>
        <w:pStyle w:val="Default"/>
        <w:spacing w:after="120" w:line="238" w:lineRule="auto"/>
        <w:ind w:right="260"/>
        <w:jc w:val="both"/>
        <w:rPr>
          <w:sz w:val="22"/>
          <w:szCs w:val="22"/>
          <w:lang w:val="es-CR"/>
        </w:rPr>
      </w:pPr>
    </w:p>
    <w:tbl>
      <w:tblPr>
        <w:tblW w:w="9287" w:type="dxa"/>
        <w:tblLook w:val="04A0" w:firstRow="1" w:lastRow="0" w:firstColumn="1" w:lastColumn="0" w:noHBand="0" w:noVBand="1"/>
      </w:tblPr>
      <w:tblGrid>
        <w:gridCol w:w="661"/>
        <w:gridCol w:w="517"/>
        <w:gridCol w:w="635"/>
        <w:gridCol w:w="3564"/>
        <w:gridCol w:w="2000"/>
        <w:gridCol w:w="1880"/>
        <w:gridCol w:w="30"/>
      </w:tblGrid>
      <w:tr w:rsidR="002F3BDB" w:rsidRPr="002F3BDB" w14:paraId="7E7FD3AA" w14:textId="77777777" w:rsidTr="00217538">
        <w:trPr>
          <w:trHeight w:val="300"/>
        </w:trPr>
        <w:tc>
          <w:tcPr>
            <w:tcW w:w="181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1564EDC" w14:textId="77777777" w:rsidR="002F3BDB" w:rsidRPr="002F3BDB" w:rsidRDefault="002F3BDB" w:rsidP="002F3BDB">
            <w:pPr>
              <w:jc w:val="center"/>
              <w:rPr>
                <w:rFonts w:ascii="Arial Narrow" w:eastAsia="Times New Roman" w:hAnsi="Arial Narrow" w:cs="Calibri"/>
                <w:b/>
                <w:bCs/>
                <w:color w:val="FFFFFF"/>
                <w:sz w:val="22"/>
                <w:szCs w:val="22"/>
              </w:rPr>
            </w:pPr>
            <w:r w:rsidRPr="002F3BDB">
              <w:rPr>
                <w:rFonts w:ascii="Arial Narrow" w:eastAsia="Times New Roman" w:hAnsi="Arial Narrow" w:cs="Calibri"/>
                <w:b/>
                <w:bCs/>
                <w:color w:val="FFFFFF"/>
                <w:sz w:val="22"/>
                <w:szCs w:val="22"/>
              </w:rPr>
              <w:t>Norma / Política</w:t>
            </w:r>
          </w:p>
        </w:tc>
        <w:tc>
          <w:tcPr>
            <w:tcW w:w="3564" w:type="dxa"/>
            <w:vMerge w:val="restart"/>
            <w:tcBorders>
              <w:top w:val="single" w:sz="8" w:space="0" w:color="auto"/>
              <w:left w:val="single" w:sz="8" w:space="0" w:color="auto"/>
              <w:bottom w:val="nil"/>
              <w:right w:val="single" w:sz="8" w:space="0" w:color="auto"/>
            </w:tcBorders>
            <w:shd w:val="clear" w:color="000000" w:fill="203764"/>
            <w:vAlign w:val="center"/>
            <w:hideMark/>
          </w:tcPr>
          <w:p w14:paraId="171C32DA" w14:textId="77777777" w:rsidR="002F3BDB" w:rsidRPr="002F3BDB" w:rsidRDefault="002F3BDB" w:rsidP="002F3BDB">
            <w:pPr>
              <w:jc w:val="center"/>
              <w:rPr>
                <w:rFonts w:ascii="Arial Narrow" w:eastAsia="Times New Roman" w:hAnsi="Arial Narrow" w:cs="Calibri"/>
                <w:b/>
                <w:bCs/>
                <w:color w:val="FFFFFF"/>
                <w:sz w:val="22"/>
                <w:szCs w:val="22"/>
              </w:rPr>
            </w:pPr>
            <w:r w:rsidRPr="002F3BDB">
              <w:rPr>
                <w:rFonts w:ascii="Arial Narrow" w:eastAsia="Times New Roman" w:hAnsi="Arial Narrow" w:cs="Calibri"/>
                <w:b/>
                <w:bCs/>
                <w:color w:val="FFFFFF"/>
                <w:sz w:val="22"/>
                <w:szCs w:val="22"/>
              </w:rPr>
              <w:t>Concepto</w:t>
            </w:r>
          </w:p>
        </w:tc>
        <w:tc>
          <w:tcPr>
            <w:tcW w:w="3910" w:type="dxa"/>
            <w:gridSpan w:val="3"/>
            <w:tcBorders>
              <w:top w:val="single" w:sz="8" w:space="0" w:color="auto"/>
              <w:left w:val="nil"/>
              <w:bottom w:val="single" w:sz="8" w:space="0" w:color="auto"/>
              <w:right w:val="single" w:sz="8" w:space="0" w:color="000000"/>
            </w:tcBorders>
            <w:shd w:val="clear" w:color="000000" w:fill="203764"/>
            <w:vAlign w:val="center"/>
            <w:hideMark/>
          </w:tcPr>
          <w:p w14:paraId="2FD7A273" w14:textId="77777777" w:rsidR="002F3BDB" w:rsidRPr="002F3BDB" w:rsidRDefault="002F3BDB" w:rsidP="002F3BDB">
            <w:pPr>
              <w:jc w:val="center"/>
              <w:rPr>
                <w:rFonts w:ascii="Arial Narrow" w:eastAsia="Times New Roman" w:hAnsi="Arial Narrow" w:cs="Calibri"/>
                <w:b/>
                <w:bCs/>
                <w:color w:val="FFFFFF"/>
                <w:sz w:val="22"/>
                <w:szCs w:val="22"/>
              </w:rPr>
            </w:pPr>
            <w:r w:rsidRPr="002F3BDB">
              <w:rPr>
                <w:rFonts w:ascii="Arial Narrow" w:eastAsia="Times New Roman" w:hAnsi="Arial Narrow" w:cs="Calibri"/>
                <w:b/>
                <w:bCs/>
                <w:color w:val="FFFFFF"/>
                <w:sz w:val="22"/>
                <w:szCs w:val="22"/>
              </w:rPr>
              <w:t>Referencia</w:t>
            </w:r>
          </w:p>
        </w:tc>
      </w:tr>
      <w:tr w:rsidR="002F3BDB" w:rsidRPr="006E5442" w14:paraId="6F75A660" w14:textId="77777777" w:rsidTr="00217538">
        <w:trPr>
          <w:gridAfter w:val="1"/>
          <w:wAfter w:w="30" w:type="dxa"/>
          <w:trHeight w:val="850"/>
        </w:trPr>
        <w:tc>
          <w:tcPr>
            <w:tcW w:w="1813" w:type="dxa"/>
            <w:gridSpan w:val="3"/>
            <w:vMerge/>
            <w:tcBorders>
              <w:top w:val="single" w:sz="8" w:space="0" w:color="auto"/>
              <w:left w:val="single" w:sz="8" w:space="0" w:color="auto"/>
              <w:bottom w:val="nil"/>
              <w:right w:val="single" w:sz="8" w:space="0" w:color="000000"/>
            </w:tcBorders>
            <w:vAlign w:val="center"/>
            <w:hideMark/>
          </w:tcPr>
          <w:p w14:paraId="08E82250" w14:textId="77777777" w:rsidR="002F3BDB" w:rsidRPr="002F3BDB" w:rsidRDefault="002F3BDB" w:rsidP="002F3BDB">
            <w:pPr>
              <w:rPr>
                <w:rFonts w:ascii="Arial Narrow" w:eastAsia="Times New Roman" w:hAnsi="Arial Narrow" w:cs="Calibri"/>
                <w:b/>
                <w:bCs/>
                <w:color w:val="FFFFFF"/>
                <w:sz w:val="22"/>
                <w:szCs w:val="22"/>
              </w:rPr>
            </w:pPr>
          </w:p>
        </w:tc>
        <w:tc>
          <w:tcPr>
            <w:tcW w:w="3564" w:type="dxa"/>
            <w:vMerge/>
            <w:tcBorders>
              <w:top w:val="single" w:sz="8" w:space="0" w:color="auto"/>
              <w:left w:val="single" w:sz="8" w:space="0" w:color="auto"/>
              <w:bottom w:val="nil"/>
              <w:right w:val="single" w:sz="8" w:space="0" w:color="auto"/>
            </w:tcBorders>
            <w:vAlign w:val="center"/>
            <w:hideMark/>
          </w:tcPr>
          <w:p w14:paraId="4C790CC9" w14:textId="77777777" w:rsidR="002F3BDB" w:rsidRPr="002F3BDB" w:rsidRDefault="002F3BDB" w:rsidP="002F3BDB">
            <w:pPr>
              <w:rPr>
                <w:rFonts w:ascii="Arial Narrow" w:eastAsia="Times New Roman" w:hAnsi="Arial Narrow" w:cs="Calibri"/>
                <w:b/>
                <w:bCs/>
                <w:color w:val="FFFFFF"/>
                <w:sz w:val="22"/>
                <w:szCs w:val="22"/>
              </w:rPr>
            </w:pPr>
          </w:p>
        </w:tc>
        <w:tc>
          <w:tcPr>
            <w:tcW w:w="2000" w:type="dxa"/>
            <w:tcBorders>
              <w:top w:val="nil"/>
              <w:left w:val="nil"/>
              <w:bottom w:val="nil"/>
              <w:right w:val="single" w:sz="8" w:space="0" w:color="auto"/>
            </w:tcBorders>
            <w:shd w:val="clear" w:color="000000" w:fill="203764"/>
            <w:vAlign w:val="center"/>
            <w:hideMark/>
          </w:tcPr>
          <w:p w14:paraId="5AEC5DEC" w14:textId="77777777" w:rsidR="002F3BDB" w:rsidRPr="002F3BDB" w:rsidRDefault="002F3BDB" w:rsidP="002F3BDB">
            <w:pPr>
              <w:jc w:val="center"/>
              <w:rPr>
                <w:rFonts w:ascii="Arial Narrow" w:eastAsia="Times New Roman" w:hAnsi="Arial Narrow" w:cs="Calibri"/>
                <w:b/>
                <w:bCs/>
                <w:color w:val="FFFFFF"/>
                <w:sz w:val="22"/>
                <w:szCs w:val="22"/>
              </w:rPr>
            </w:pPr>
            <w:r w:rsidRPr="002F3BDB">
              <w:rPr>
                <w:rFonts w:ascii="Arial Narrow" w:eastAsia="Times New Roman" w:hAnsi="Arial Narrow" w:cs="Calibri"/>
                <w:b/>
                <w:bCs/>
                <w:color w:val="FFFFFF"/>
                <w:sz w:val="22"/>
                <w:szCs w:val="22"/>
              </w:rPr>
              <w:t>Norma</w:t>
            </w:r>
          </w:p>
        </w:tc>
        <w:tc>
          <w:tcPr>
            <w:tcW w:w="1880" w:type="dxa"/>
            <w:tcBorders>
              <w:top w:val="nil"/>
              <w:left w:val="nil"/>
              <w:bottom w:val="nil"/>
              <w:right w:val="single" w:sz="8" w:space="0" w:color="auto"/>
            </w:tcBorders>
            <w:shd w:val="clear" w:color="000000" w:fill="203764"/>
            <w:vAlign w:val="center"/>
            <w:hideMark/>
          </w:tcPr>
          <w:p w14:paraId="38DC1DF2" w14:textId="77777777" w:rsidR="002F3BDB" w:rsidRPr="002F3BDB" w:rsidRDefault="002F3BDB" w:rsidP="002F3BDB">
            <w:pPr>
              <w:jc w:val="center"/>
              <w:rPr>
                <w:rFonts w:ascii="Arial Narrow" w:eastAsia="Times New Roman" w:hAnsi="Arial Narrow" w:cs="Calibri"/>
                <w:b/>
                <w:bCs/>
                <w:color w:val="FFFFFF"/>
                <w:sz w:val="22"/>
                <w:szCs w:val="22"/>
                <w:lang w:val="es-CR"/>
              </w:rPr>
            </w:pPr>
            <w:r w:rsidRPr="002F3BDB">
              <w:rPr>
                <w:rFonts w:ascii="Arial Narrow" w:eastAsia="Times New Roman" w:hAnsi="Arial Narrow" w:cs="Calibri"/>
                <w:b/>
                <w:bCs/>
                <w:color w:val="FFFFFF"/>
                <w:sz w:val="22"/>
                <w:szCs w:val="22"/>
                <w:lang w:val="es-CR"/>
              </w:rPr>
              <w:t>Normativa técnica y disposiciones adicionales</w:t>
            </w:r>
          </w:p>
        </w:tc>
      </w:tr>
      <w:tr w:rsidR="002F3BDB" w:rsidRPr="002F3BDB" w14:paraId="67A44C87" w14:textId="77777777" w:rsidTr="00217538">
        <w:trPr>
          <w:gridAfter w:val="1"/>
          <w:wAfter w:w="30" w:type="dxa"/>
          <w:trHeight w:val="570"/>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CAC6F" w14:textId="77777777" w:rsidR="002F3BDB" w:rsidRPr="002F3BDB" w:rsidRDefault="002F3BDB" w:rsidP="002F3BDB">
            <w:pPr>
              <w:jc w:val="center"/>
              <w:rPr>
                <w:rFonts w:ascii="Arial Narrow" w:eastAsia="Times New Roman" w:hAnsi="Arial Narrow" w:cs="Calibri"/>
                <w:b/>
                <w:bCs/>
                <w:color w:val="000000"/>
                <w:sz w:val="22"/>
                <w:szCs w:val="22"/>
              </w:rPr>
            </w:pPr>
            <w:r w:rsidRPr="002F3BDB">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3CEFE608" w14:textId="77777777" w:rsidR="002F3BDB" w:rsidRPr="002F3BDB" w:rsidRDefault="002F3BDB" w:rsidP="002F3BDB">
            <w:pPr>
              <w:jc w:val="center"/>
              <w:rPr>
                <w:rFonts w:ascii="Arial Narrow" w:eastAsia="Times New Roman" w:hAnsi="Arial Narrow" w:cs="Calibri"/>
                <w:b/>
                <w:bCs/>
                <w:color w:val="000000"/>
                <w:sz w:val="22"/>
                <w:szCs w:val="22"/>
              </w:rPr>
            </w:pPr>
            <w:r w:rsidRPr="002F3BDB">
              <w:rPr>
                <w:rFonts w:ascii="Arial Narrow" w:eastAsia="Times New Roman" w:hAnsi="Arial Narrow" w:cs="Calibri"/>
                <w:b/>
                <w:bCs/>
                <w:color w:val="000000"/>
                <w:sz w:val="22"/>
                <w:szCs w:val="22"/>
              </w:rPr>
              <w:t>109</w:t>
            </w:r>
          </w:p>
        </w:tc>
        <w:tc>
          <w:tcPr>
            <w:tcW w:w="635" w:type="dxa"/>
            <w:tcBorders>
              <w:top w:val="single" w:sz="8" w:space="0" w:color="auto"/>
              <w:left w:val="nil"/>
              <w:bottom w:val="single" w:sz="8" w:space="0" w:color="auto"/>
              <w:right w:val="single" w:sz="8" w:space="0" w:color="auto"/>
            </w:tcBorders>
            <w:shd w:val="clear" w:color="auto" w:fill="auto"/>
            <w:vAlign w:val="center"/>
            <w:hideMark/>
          </w:tcPr>
          <w:p w14:paraId="5A58943A" w14:textId="1528D72F" w:rsidR="002F3BDB" w:rsidRPr="002F3BDB" w:rsidRDefault="002F3BDB" w:rsidP="002F3BDB">
            <w:pPr>
              <w:jc w:val="center"/>
              <w:rPr>
                <w:rFonts w:ascii="Arial Narrow" w:eastAsia="Times New Roman" w:hAnsi="Arial Narrow" w:cs="Calibri"/>
                <w:b/>
                <w:bCs/>
                <w:color w:val="000000"/>
                <w:sz w:val="22"/>
                <w:szCs w:val="22"/>
              </w:rPr>
            </w:pPr>
          </w:p>
        </w:tc>
        <w:tc>
          <w:tcPr>
            <w:tcW w:w="3564" w:type="dxa"/>
            <w:tcBorders>
              <w:top w:val="single" w:sz="8" w:space="0" w:color="auto"/>
              <w:left w:val="nil"/>
              <w:bottom w:val="single" w:sz="8" w:space="0" w:color="auto"/>
              <w:right w:val="single" w:sz="8" w:space="0" w:color="auto"/>
            </w:tcBorders>
            <w:shd w:val="clear" w:color="auto" w:fill="auto"/>
            <w:vAlign w:val="center"/>
            <w:hideMark/>
          </w:tcPr>
          <w:p w14:paraId="133B4E50" w14:textId="77777777" w:rsidR="002F3BDB" w:rsidRPr="002F3BDB" w:rsidRDefault="002F3BDB" w:rsidP="002F3BDB">
            <w:pPr>
              <w:jc w:val="both"/>
              <w:rPr>
                <w:rFonts w:ascii="Arial Narrow" w:eastAsia="Times New Roman" w:hAnsi="Arial Narrow" w:cs="Calibri"/>
                <w:b/>
                <w:bCs/>
                <w:color w:val="000000"/>
                <w:sz w:val="22"/>
                <w:szCs w:val="22"/>
              </w:rPr>
            </w:pPr>
            <w:r w:rsidRPr="002F3BDB">
              <w:rPr>
                <w:rFonts w:ascii="Arial Narrow" w:eastAsia="Times New Roman" w:hAnsi="Arial Narrow" w:cs="Calibri"/>
                <w:b/>
                <w:bCs/>
                <w:color w:val="000000"/>
                <w:sz w:val="22"/>
                <w:szCs w:val="22"/>
              </w:rPr>
              <w:t>Pasivo contingente</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14:paraId="3A2AE5D3" w14:textId="77777777" w:rsidR="0069573C" w:rsidRDefault="002F3BDB" w:rsidP="002F3BDB">
            <w:pPr>
              <w:jc w:val="both"/>
              <w:rPr>
                <w:rFonts w:ascii="Arial Narrow" w:eastAsia="Times New Roman" w:hAnsi="Arial Narrow" w:cs="Calibri"/>
                <w:b/>
                <w:bCs/>
                <w:color w:val="000000"/>
                <w:sz w:val="22"/>
                <w:szCs w:val="22"/>
              </w:rPr>
            </w:pPr>
            <w:r w:rsidRPr="002F3BDB">
              <w:rPr>
                <w:rFonts w:ascii="Arial Narrow" w:eastAsia="Times New Roman" w:hAnsi="Arial Narrow" w:cs="Calibri"/>
                <w:b/>
                <w:bCs/>
                <w:color w:val="000000"/>
                <w:sz w:val="22"/>
                <w:szCs w:val="22"/>
              </w:rPr>
              <w:t>NICSP N° 19,</w:t>
            </w:r>
          </w:p>
          <w:p w14:paraId="65381359" w14:textId="59BCC6FE" w:rsidR="002F3BDB" w:rsidRPr="002F3BDB" w:rsidRDefault="002F3BDB" w:rsidP="002F3BDB">
            <w:pPr>
              <w:jc w:val="both"/>
              <w:rPr>
                <w:rFonts w:ascii="Arial Narrow" w:eastAsia="Times New Roman" w:hAnsi="Arial Narrow" w:cs="Calibri"/>
                <w:b/>
                <w:bCs/>
                <w:color w:val="000000"/>
                <w:sz w:val="22"/>
                <w:szCs w:val="22"/>
              </w:rPr>
            </w:pPr>
            <w:r w:rsidRPr="002F3BDB">
              <w:rPr>
                <w:rFonts w:ascii="Arial Narrow" w:eastAsia="Times New Roman" w:hAnsi="Arial Narrow" w:cs="Calibri"/>
                <w:b/>
                <w:bCs/>
                <w:color w:val="000000"/>
                <w:sz w:val="22"/>
                <w:szCs w:val="22"/>
              </w:rPr>
              <w:t>Párrafo 18.</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334B37B1" w14:textId="77777777" w:rsidR="002F3BDB" w:rsidRPr="002F3BDB" w:rsidRDefault="002F3BDB" w:rsidP="002F3BDB">
            <w:pPr>
              <w:rPr>
                <w:rFonts w:ascii="Arial Narrow" w:eastAsia="Times New Roman" w:hAnsi="Arial Narrow" w:cs="Calibri"/>
                <w:b/>
                <w:bCs/>
                <w:color w:val="000000"/>
                <w:sz w:val="22"/>
                <w:szCs w:val="22"/>
              </w:rPr>
            </w:pPr>
            <w:r w:rsidRPr="002F3BDB">
              <w:rPr>
                <w:rFonts w:ascii="Arial Narrow" w:eastAsia="Times New Roman" w:hAnsi="Arial Narrow" w:cs="Calibri"/>
                <w:b/>
                <w:bCs/>
                <w:color w:val="000000"/>
                <w:sz w:val="22"/>
                <w:szCs w:val="22"/>
              </w:rPr>
              <w:t xml:space="preserve"> </w:t>
            </w:r>
          </w:p>
        </w:tc>
      </w:tr>
    </w:tbl>
    <w:p w14:paraId="7DF52B15" w14:textId="77777777" w:rsidR="002F3BDB" w:rsidRDefault="002F3BDB" w:rsidP="002F3BDB">
      <w:pPr>
        <w:pStyle w:val="Default"/>
        <w:rPr>
          <w:sz w:val="23"/>
          <w:szCs w:val="23"/>
        </w:rPr>
      </w:pPr>
    </w:p>
    <w:p w14:paraId="6BA7ABD6" w14:textId="1A782DCD" w:rsidR="00217538" w:rsidRDefault="00217538" w:rsidP="002F3BDB">
      <w:pPr>
        <w:pStyle w:val="Default"/>
        <w:rPr>
          <w:rFonts w:eastAsia="Arial"/>
          <w:b/>
          <w:sz w:val="22"/>
          <w:szCs w:val="22"/>
        </w:rPr>
      </w:pPr>
      <w:r w:rsidRPr="00F02F9D">
        <w:rPr>
          <w:rFonts w:eastAsia="Arial"/>
          <w:b/>
          <w:sz w:val="22"/>
          <w:szCs w:val="22"/>
        </w:rPr>
        <w:t>Políticas Contables</w:t>
      </w:r>
    </w:p>
    <w:p w14:paraId="54137A51" w14:textId="77777777" w:rsidR="00217538" w:rsidRDefault="00217538" w:rsidP="002F3BDB">
      <w:pPr>
        <w:pStyle w:val="Default"/>
        <w:rPr>
          <w:sz w:val="23"/>
          <w:szCs w:val="23"/>
        </w:rPr>
      </w:pPr>
    </w:p>
    <w:p w14:paraId="4AE724DE" w14:textId="6B8DF33F" w:rsidR="002F3BDB" w:rsidRPr="0069573C" w:rsidRDefault="00C70EEE" w:rsidP="00C70EEE">
      <w:pPr>
        <w:pStyle w:val="Default"/>
        <w:ind w:left="1276" w:hanging="1276"/>
        <w:rPr>
          <w:sz w:val="22"/>
          <w:szCs w:val="22"/>
        </w:rPr>
      </w:pPr>
      <w:r w:rsidRPr="0069573C">
        <w:rPr>
          <w:sz w:val="22"/>
          <w:szCs w:val="22"/>
        </w:rPr>
        <w:t>2.109.0.01</w:t>
      </w:r>
      <w:r w:rsidRPr="0069573C">
        <w:rPr>
          <w:sz w:val="22"/>
          <w:szCs w:val="22"/>
        </w:rPr>
        <w:tab/>
      </w:r>
      <w:r w:rsidR="002F3BDB" w:rsidRPr="0069573C">
        <w:rPr>
          <w:sz w:val="22"/>
          <w:szCs w:val="22"/>
        </w:rPr>
        <w:t>Un pasivo contingente es:</w:t>
      </w:r>
    </w:p>
    <w:p w14:paraId="1733C9D7" w14:textId="77777777" w:rsidR="002F3BDB" w:rsidRPr="0069573C" w:rsidRDefault="002F3BDB" w:rsidP="002F3BDB">
      <w:pPr>
        <w:pStyle w:val="Default"/>
        <w:ind w:left="1134" w:hanging="1134"/>
        <w:rPr>
          <w:sz w:val="22"/>
          <w:szCs w:val="22"/>
        </w:rPr>
      </w:pPr>
    </w:p>
    <w:p w14:paraId="59E34995" w14:textId="77777777" w:rsidR="002F3BDB" w:rsidRPr="0069573C" w:rsidRDefault="002F3BDB">
      <w:pPr>
        <w:pStyle w:val="Default"/>
        <w:numPr>
          <w:ilvl w:val="0"/>
          <w:numId w:val="201"/>
        </w:numPr>
        <w:spacing w:after="120"/>
        <w:ind w:left="1560" w:hanging="284"/>
        <w:rPr>
          <w:sz w:val="22"/>
          <w:szCs w:val="22"/>
          <w:lang w:val="es-CR"/>
        </w:rPr>
      </w:pPr>
      <w:r w:rsidRPr="0069573C">
        <w:rPr>
          <w:sz w:val="22"/>
          <w:szCs w:val="22"/>
          <w:lang w:val="es-CR"/>
        </w:rPr>
        <w:t xml:space="preserve">Una obligación posible, surgida a raíz de sucesos pasados, cuya existencia ha de ser confirmada sólo por la ocurrencia (o en su caso por la no ocurrencia) de uno o más sucesos futuros inciertos, que no están enteramente bajo el control de la entidad; o </w:t>
      </w:r>
    </w:p>
    <w:p w14:paraId="63326B69" w14:textId="12AB8A3F" w:rsidR="002F3BDB" w:rsidRPr="0069573C" w:rsidRDefault="002F3BDB">
      <w:pPr>
        <w:pStyle w:val="Default"/>
        <w:numPr>
          <w:ilvl w:val="0"/>
          <w:numId w:val="201"/>
        </w:numPr>
        <w:spacing w:after="120"/>
        <w:ind w:left="1560" w:hanging="284"/>
        <w:rPr>
          <w:sz w:val="22"/>
          <w:szCs w:val="22"/>
          <w:lang w:val="es-CR"/>
        </w:rPr>
      </w:pPr>
      <w:r w:rsidRPr="0069573C">
        <w:rPr>
          <w:sz w:val="22"/>
          <w:szCs w:val="22"/>
          <w:lang w:val="es-CR"/>
        </w:rPr>
        <w:t xml:space="preserve">Una obligación presente surgida a raíz de sucesos pasados, que no se ha reconocido contablemente porque: </w:t>
      </w:r>
    </w:p>
    <w:p w14:paraId="242479EE" w14:textId="428B4D00" w:rsidR="002F3BDB" w:rsidRPr="0069573C" w:rsidRDefault="002F3BDB">
      <w:pPr>
        <w:pStyle w:val="Default"/>
        <w:numPr>
          <w:ilvl w:val="1"/>
          <w:numId w:val="202"/>
        </w:numPr>
        <w:spacing w:after="120"/>
        <w:ind w:left="1843" w:hanging="142"/>
        <w:rPr>
          <w:sz w:val="22"/>
          <w:szCs w:val="22"/>
          <w:lang w:val="es-CR"/>
        </w:rPr>
      </w:pPr>
      <w:r w:rsidRPr="0069573C">
        <w:rPr>
          <w:sz w:val="22"/>
          <w:szCs w:val="22"/>
          <w:lang w:val="es-CR"/>
        </w:rPr>
        <w:t xml:space="preserve">No es probable que la entidad tenga que satisfacerla, desprendiéndose de recursos que incorporen beneficios económicos o un potencial de servicio; o bien </w:t>
      </w:r>
    </w:p>
    <w:p w14:paraId="2666606D" w14:textId="086364EF" w:rsidR="002F3BDB" w:rsidRPr="0069573C" w:rsidRDefault="002F3BDB">
      <w:pPr>
        <w:pStyle w:val="Default"/>
        <w:numPr>
          <w:ilvl w:val="1"/>
          <w:numId w:val="202"/>
        </w:numPr>
        <w:ind w:left="1843" w:hanging="142"/>
        <w:rPr>
          <w:sz w:val="22"/>
          <w:szCs w:val="22"/>
          <w:lang w:val="es-CR"/>
        </w:rPr>
      </w:pPr>
      <w:r w:rsidRPr="0069573C">
        <w:rPr>
          <w:sz w:val="22"/>
          <w:szCs w:val="22"/>
          <w:lang w:val="es-CR"/>
        </w:rPr>
        <w:t xml:space="preserve">El importe de la obligación no puede ser medido con la suficiente fiabilidad. </w:t>
      </w:r>
    </w:p>
    <w:p w14:paraId="408DFB95" w14:textId="77777777" w:rsidR="002F3BDB" w:rsidRDefault="002F3BDB" w:rsidP="00C70EEE">
      <w:pPr>
        <w:pStyle w:val="Default"/>
        <w:rPr>
          <w:sz w:val="23"/>
          <w:szCs w:val="23"/>
          <w:lang w:val="es-CR"/>
        </w:rPr>
      </w:pPr>
    </w:p>
    <w:p w14:paraId="45FE56A2" w14:textId="77777777" w:rsidR="0069573C" w:rsidRDefault="0069573C" w:rsidP="00C70EEE">
      <w:pPr>
        <w:pStyle w:val="Default"/>
        <w:rPr>
          <w:sz w:val="23"/>
          <w:szCs w:val="23"/>
          <w:lang w:val="es-CR"/>
        </w:rPr>
      </w:pPr>
    </w:p>
    <w:p w14:paraId="129CFACF" w14:textId="77777777" w:rsidR="00217538" w:rsidRDefault="00217538" w:rsidP="00C70EEE">
      <w:pPr>
        <w:pStyle w:val="Default"/>
        <w:rPr>
          <w:sz w:val="23"/>
          <w:szCs w:val="23"/>
          <w:lang w:val="es-CR"/>
        </w:rPr>
      </w:pPr>
    </w:p>
    <w:tbl>
      <w:tblPr>
        <w:tblW w:w="9364" w:type="dxa"/>
        <w:tblLook w:val="04A0" w:firstRow="1" w:lastRow="0" w:firstColumn="1" w:lastColumn="0" w:noHBand="0" w:noVBand="1"/>
      </w:tblPr>
      <w:tblGrid>
        <w:gridCol w:w="528"/>
        <w:gridCol w:w="829"/>
        <w:gridCol w:w="507"/>
        <w:gridCol w:w="3676"/>
        <w:gridCol w:w="1963"/>
        <w:gridCol w:w="1861"/>
      </w:tblGrid>
      <w:tr w:rsidR="00C70EEE" w:rsidRPr="00C70EEE" w14:paraId="7DF713A4" w14:textId="77777777" w:rsidTr="00217538">
        <w:trPr>
          <w:trHeight w:val="320"/>
        </w:trPr>
        <w:tc>
          <w:tcPr>
            <w:tcW w:w="186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0A0C367" w14:textId="77777777" w:rsidR="00C70EEE" w:rsidRPr="00C70EEE" w:rsidRDefault="00C70EEE" w:rsidP="00C70EEE">
            <w:pPr>
              <w:jc w:val="center"/>
              <w:rPr>
                <w:rFonts w:ascii="Arial Narrow" w:eastAsia="Times New Roman" w:hAnsi="Arial Narrow" w:cs="Calibri"/>
                <w:b/>
                <w:bCs/>
                <w:color w:val="FFFFFF"/>
                <w:sz w:val="22"/>
                <w:szCs w:val="22"/>
              </w:rPr>
            </w:pPr>
            <w:r w:rsidRPr="00C70EEE">
              <w:rPr>
                <w:rFonts w:ascii="Arial Narrow" w:eastAsia="Times New Roman" w:hAnsi="Arial Narrow" w:cs="Calibri"/>
                <w:b/>
                <w:bCs/>
                <w:color w:val="FFFFFF"/>
                <w:sz w:val="22"/>
                <w:szCs w:val="22"/>
              </w:rPr>
              <w:t>Norma / Política</w:t>
            </w:r>
          </w:p>
        </w:tc>
        <w:tc>
          <w:tcPr>
            <w:tcW w:w="3676" w:type="dxa"/>
            <w:vMerge w:val="restart"/>
            <w:tcBorders>
              <w:top w:val="single" w:sz="8" w:space="0" w:color="auto"/>
              <w:left w:val="single" w:sz="8" w:space="0" w:color="auto"/>
              <w:bottom w:val="nil"/>
              <w:right w:val="single" w:sz="8" w:space="0" w:color="auto"/>
            </w:tcBorders>
            <w:shd w:val="clear" w:color="000000" w:fill="203764"/>
            <w:vAlign w:val="center"/>
            <w:hideMark/>
          </w:tcPr>
          <w:p w14:paraId="1275358A" w14:textId="77777777" w:rsidR="00C70EEE" w:rsidRPr="00C70EEE" w:rsidRDefault="00C70EEE" w:rsidP="00C70EEE">
            <w:pPr>
              <w:jc w:val="center"/>
              <w:rPr>
                <w:rFonts w:ascii="Arial Narrow" w:eastAsia="Times New Roman" w:hAnsi="Arial Narrow" w:cs="Calibri"/>
                <w:b/>
                <w:bCs/>
                <w:color w:val="FFFFFF"/>
                <w:sz w:val="22"/>
                <w:szCs w:val="22"/>
              </w:rPr>
            </w:pPr>
            <w:r w:rsidRPr="00C70EEE">
              <w:rPr>
                <w:rFonts w:ascii="Arial Narrow" w:eastAsia="Times New Roman" w:hAnsi="Arial Narrow" w:cs="Calibri"/>
                <w:b/>
                <w:bCs/>
                <w:color w:val="FFFFFF"/>
                <w:sz w:val="22"/>
                <w:szCs w:val="22"/>
              </w:rPr>
              <w:t>Concepto</w:t>
            </w:r>
          </w:p>
        </w:tc>
        <w:tc>
          <w:tcPr>
            <w:tcW w:w="3824" w:type="dxa"/>
            <w:gridSpan w:val="2"/>
            <w:tcBorders>
              <w:top w:val="single" w:sz="8" w:space="0" w:color="auto"/>
              <w:left w:val="nil"/>
              <w:bottom w:val="single" w:sz="8" w:space="0" w:color="auto"/>
              <w:right w:val="single" w:sz="8" w:space="0" w:color="000000"/>
            </w:tcBorders>
            <w:shd w:val="clear" w:color="000000" w:fill="203764"/>
            <w:vAlign w:val="center"/>
            <w:hideMark/>
          </w:tcPr>
          <w:p w14:paraId="3593B0EC" w14:textId="77777777" w:rsidR="00C70EEE" w:rsidRPr="00C70EEE" w:rsidRDefault="00C70EEE" w:rsidP="00C70EEE">
            <w:pPr>
              <w:jc w:val="center"/>
              <w:rPr>
                <w:rFonts w:ascii="Arial Narrow" w:eastAsia="Times New Roman" w:hAnsi="Arial Narrow" w:cs="Calibri"/>
                <w:b/>
                <w:bCs/>
                <w:color w:val="FFFFFF"/>
                <w:sz w:val="22"/>
                <w:szCs w:val="22"/>
              </w:rPr>
            </w:pPr>
            <w:r w:rsidRPr="00C70EEE">
              <w:rPr>
                <w:rFonts w:ascii="Arial Narrow" w:eastAsia="Times New Roman" w:hAnsi="Arial Narrow" w:cs="Calibri"/>
                <w:b/>
                <w:bCs/>
                <w:color w:val="FFFFFF"/>
                <w:sz w:val="22"/>
                <w:szCs w:val="22"/>
              </w:rPr>
              <w:t>Referencia</w:t>
            </w:r>
          </w:p>
        </w:tc>
      </w:tr>
      <w:tr w:rsidR="00C70EEE" w:rsidRPr="006E5442" w14:paraId="7AE4070E" w14:textId="77777777" w:rsidTr="00217538">
        <w:trPr>
          <w:trHeight w:val="850"/>
        </w:trPr>
        <w:tc>
          <w:tcPr>
            <w:tcW w:w="1864" w:type="dxa"/>
            <w:gridSpan w:val="3"/>
            <w:vMerge/>
            <w:tcBorders>
              <w:top w:val="single" w:sz="8" w:space="0" w:color="auto"/>
              <w:left w:val="single" w:sz="8" w:space="0" w:color="auto"/>
              <w:bottom w:val="nil"/>
              <w:right w:val="single" w:sz="8" w:space="0" w:color="000000"/>
            </w:tcBorders>
            <w:vAlign w:val="center"/>
            <w:hideMark/>
          </w:tcPr>
          <w:p w14:paraId="0AB9667A" w14:textId="77777777" w:rsidR="00C70EEE" w:rsidRPr="00C70EEE" w:rsidRDefault="00C70EEE" w:rsidP="00C70EEE">
            <w:pPr>
              <w:rPr>
                <w:rFonts w:ascii="Arial Narrow" w:eastAsia="Times New Roman" w:hAnsi="Arial Narrow" w:cs="Calibri"/>
                <w:b/>
                <w:bCs/>
                <w:color w:val="FFFFFF"/>
                <w:sz w:val="22"/>
                <w:szCs w:val="22"/>
              </w:rPr>
            </w:pPr>
          </w:p>
        </w:tc>
        <w:tc>
          <w:tcPr>
            <w:tcW w:w="3676" w:type="dxa"/>
            <w:vMerge/>
            <w:tcBorders>
              <w:top w:val="single" w:sz="8" w:space="0" w:color="auto"/>
              <w:left w:val="single" w:sz="8" w:space="0" w:color="auto"/>
              <w:bottom w:val="nil"/>
              <w:right w:val="single" w:sz="8" w:space="0" w:color="auto"/>
            </w:tcBorders>
            <w:vAlign w:val="center"/>
            <w:hideMark/>
          </w:tcPr>
          <w:p w14:paraId="059D1F61" w14:textId="77777777" w:rsidR="00C70EEE" w:rsidRPr="00C70EEE" w:rsidRDefault="00C70EEE" w:rsidP="00C70EEE">
            <w:pPr>
              <w:rPr>
                <w:rFonts w:ascii="Arial Narrow" w:eastAsia="Times New Roman" w:hAnsi="Arial Narrow" w:cs="Calibri"/>
                <w:b/>
                <w:bCs/>
                <w:color w:val="FFFFFF"/>
                <w:sz w:val="22"/>
                <w:szCs w:val="22"/>
              </w:rPr>
            </w:pPr>
          </w:p>
        </w:tc>
        <w:tc>
          <w:tcPr>
            <w:tcW w:w="1963" w:type="dxa"/>
            <w:tcBorders>
              <w:top w:val="nil"/>
              <w:left w:val="nil"/>
              <w:bottom w:val="nil"/>
              <w:right w:val="single" w:sz="8" w:space="0" w:color="auto"/>
            </w:tcBorders>
            <w:shd w:val="clear" w:color="000000" w:fill="203764"/>
            <w:vAlign w:val="center"/>
            <w:hideMark/>
          </w:tcPr>
          <w:p w14:paraId="77C98388" w14:textId="77777777" w:rsidR="00C70EEE" w:rsidRPr="00C70EEE" w:rsidRDefault="00C70EEE" w:rsidP="00C70EEE">
            <w:pPr>
              <w:jc w:val="center"/>
              <w:rPr>
                <w:rFonts w:ascii="Arial Narrow" w:eastAsia="Times New Roman" w:hAnsi="Arial Narrow" w:cs="Calibri"/>
                <w:b/>
                <w:bCs/>
                <w:color w:val="FFFFFF"/>
                <w:sz w:val="22"/>
                <w:szCs w:val="22"/>
              </w:rPr>
            </w:pPr>
            <w:r w:rsidRPr="00C70EEE">
              <w:rPr>
                <w:rFonts w:ascii="Arial Narrow" w:eastAsia="Times New Roman" w:hAnsi="Arial Narrow" w:cs="Calibri"/>
                <w:b/>
                <w:bCs/>
                <w:color w:val="FFFFFF"/>
                <w:sz w:val="22"/>
                <w:szCs w:val="22"/>
              </w:rPr>
              <w:t>Norma</w:t>
            </w:r>
          </w:p>
        </w:tc>
        <w:tc>
          <w:tcPr>
            <w:tcW w:w="1861" w:type="dxa"/>
            <w:tcBorders>
              <w:top w:val="nil"/>
              <w:left w:val="nil"/>
              <w:bottom w:val="nil"/>
              <w:right w:val="single" w:sz="8" w:space="0" w:color="auto"/>
            </w:tcBorders>
            <w:shd w:val="clear" w:color="000000" w:fill="203764"/>
            <w:vAlign w:val="center"/>
            <w:hideMark/>
          </w:tcPr>
          <w:p w14:paraId="08C7FA8F" w14:textId="77777777" w:rsidR="00C70EEE" w:rsidRPr="00C70EEE" w:rsidRDefault="00C70EEE" w:rsidP="00C70EEE">
            <w:pPr>
              <w:jc w:val="center"/>
              <w:rPr>
                <w:rFonts w:ascii="Arial Narrow" w:eastAsia="Times New Roman" w:hAnsi="Arial Narrow" w:cs="Calibri"/>
                <w:b/>
                <w:bCs/>
                <w:color w:val="FFFFFF"/>
                <w:sz w:val="22"/>
                <w:szCs w:val="22"/>
                <w:lang w:val="es-CR"/>
              </w:rPr>
            </w:pPr>
            <w:r w:rsidRPr="00C70EEE">
              <w:rPr>
                <w:rFonts w:ascii="Arial Narrow" w:eastAsia="Times New Roman" w:hAnsi="Arial Narrow" w:cs="Calibri"/>
                <w:b/>
                <w:bCs/>
                <w:color w:val="FFFFFF"/>
                <w:sz w:val="22"/>
                <w:szCs w:val="22"/>
                <w:lang w:val="es-CR"/>
              </w:rPr>
              <w:t>Normativa técnica y disposiciones adicionales</w:t>
            </w:r>
          </w:p>
        </w:tc>
      </w:tr>
      <w:tr w:rsidR="00C70EEE" w:rsidRPr="00C70EEE" w14:paraId="32932C18" w14:textId="77777777" w:rsidTr="00217538">
        <w:trPr>
          <w:trHeight w:val="570"/>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EF8C64" w14:textId="77777777" w:rsidR="00C70EEE" w:rsidRPr="00C70EEE" w:rsidRDefault="00C70EEE" w:rsidP="00C70EEE">
            <w:pPr>
              <w:jc w:val="right"/>
              <w:rPr>
                <w:rFonts w:ascii="Arial Narrow" w:eastAsia="Times New Roman" w:hAnsi="Arial Narrow"/>
                <w:b/>
                <w:bCs/>
                <w:color w:val="000000"/>
                <w:sz w:val="22"/>
                <w:szCs w:val="22"/>
              </w:rPr>
            </w:pPr>
            <w:r w:rsidRPr="00C70EEE">
              <w:rPr>
                <w:rFonts w:ascii="Arial Narrow" w:eastAsia="Times New Roman" w:hAnsi="Arial Narrow"/>
                <w:b/>
                <w:bCs/>
                <w:color w:val="000000"/>
                <w:sz w:val="22"/>
                <w:szCs w:val="22"/>
              </w:rPr>
              <w:t>2</w:t>
            </w:r>
          </w:p>
        </w:tc>
        <w:tc>
          <w:tcPr>
            <w:tcW w:w="829" w:type="dxa"/>
            <w:tcBorders>
              <w:top w:val="single" w:sz="8" w:space="0" w:color="auto"/>
              <w:left w:val="nil"/>
              <w:bottom w:val="single" w:sz="8" w:space="0" w:color="auto"/>
              <w:right w:val="single" w:sz="8" w:space="0" w:color="auto"/>
            </w:tcBorders>
            <w:shd w:val="clear" w:color="auto" w:fill="auto"/>
            <w:vAlign w:val="center"/>
            <w:hideMark/>
          </w:tcPr>
          <w:p w14:paraId="38E985CF" w14:textId="77777777" w:rsidR="00C70EEE" w:rsidRPr="00C70EEE" w:rsidRDefault="00C70EEE" w:rsidP="00C70EEE">
            <w:pPr>
              <w:ind w:firstLineChars="100" w:firstLine="220"/>
              <w:rPr>
                <w:rFonts w:ascii="Arial Narrow" w:eastAsia="Times New Roman" w:hAnsi="Arial Narrow"/>
                <w:b/>
                <w:bCs/>
                <w:color w:val="000000"/>
                <w:sz w:val="22"/>
                <w:szCs w:val="22"/>
              </w:rPr>
            </w:pPr>
            <w:r w:rsidRPr="00C70EEE">
              <w:rPr>
                <w:rFonts w:ascii="Arial Narrow" w:eastAsia="Times New Roman" w:hAnsi="Arial Narrow"/>
                <w:b/>
                <w:bCs/>
                <w:color w:val="000000"/>
                <w:sz w:val="22"/>
                <w:szCs w:val="22"/>
              </w:rPr>
              <w:t>110</w:t>
            </w:r>
          </w:p>
        </w:tc>
        <w:tc>
          <w:tcPr>
            <w:tcW w:w="507" w:type="dxa"/>
            <w:tcBorders>
              <w:top w:val="single" w:sz="8" w:space="0" w:color="auto"/>
              <w:left w:val="nil"/>
              <w:bottom w:val="single" w:sz="8" w:space="0" w:color="auto"/>
              <w:right w:val="single" w:sz="8" w:space="0" w:color="auto"/>
            </w:tcBorders>
            <w:shd w:val="clear" w:color="auto" w:fill="auto"/>
            <w:vAlign w:val="center"/>
            <w:hideMark/>
          </w:tcPr>
          <w:p w14:paraId="71BF39DA" w14:textId="77777777" w:rsidR="00C70EEE" w:rsidRPr="00C70EEE" w:rsidRDefault="00C70EEE" w:rsidP="00C70EEE">
            <w:pPr>
              <w:jc w:val="center"/>
              <w:rPr>
                <w:rFonts w:ascii="Arial Narrow" w:eastAsia="Times New Roman" w:hAnsi="Arial Narrow" w:cs="Calibri"/>
                <w:b/>
                <w:bCs/>
                <w:color w:val="000000"/>
                <w:sz w:val="22"/>
                <w:szCs w:val="22"/>
              </w:rPr>
            </w:pPr>
            <w:r w:rsidRPr="00C70EEE">
              <w:rPr>
                <w:rFonts w:ascii="Arial Narrow" w:eastAsia="Times New Roman" w:hAnsi="Arial Narrow" w:cs="Calibri"/>
                <w:b/>
                <w:bCs/>
                <w:color w:val="000000"/>
                <w:sz w:val="22"/>
                <w:szCs w:val="22"/>
              </w:rPr>
              <w:t>0</w:t>
            </w:r>
          </w:p>
        </w:tc>
        <w:tc>
          <w:tcPr>
            <w:tcW w:w="3676" w:type="dxa"/>
            <w:tcBorders>
              <w:top w:val="single" w:sz="8" w:space="0" w:color="auto"/>
              <w:left w:val="nil"/>
              <w:bottom w:val="single" w:sz="8" w:space="0" w:color="auto"/>
              <w:right w:val="single" w:sz="8" w:space="0" w:color="auto"/>
            </w:tcBorders>
            <w:shd w:val="clear" w:color="auto" w:fill="auto"/>
            <w:vAlign w:val="center"/>
            <w:hideMark/>
          </w:tcPr>
          <w:p w14:paraId="501B505D" w14:textId="77777777" w:rsidR="00C70EEE" w:rsidRPr="00C70EEE" w:rsidRDefault="00C70EEE" w:rsidP="00C70EEE">
            <w:pPr>
              <w:rPr>
                <w:rFonts w:ascii="Arial Narrow" w:eastAsia="Times New Roman" w:hAnsi="Arial Narrow"/>
                <w:b/>
                <w:bCs/>
                <w:color w:val="000000"/>
                <w:sz w:val="22"/>
                <w:szCs w:val="22"/>
              </w:rPr>
            </w:pPr>
            <w:r w:rsidRPr="00C70EEE">
              <w:rPr>
                <w:rFonts w:ascii="Arial Narrow" w:eastAsia="Times New Roman" w:hAnsi="Arial Narrow"/>
                <w:b/>
                <w:bCs/>
                <w:color w:val="000000"/>
                <w:sz w:val="22"/>
                <w:szCs w:val="22"/>
              </w:rPr>
              <w:t>Reconocimiento</w:t>
            </w:r>
          </w:p>
        </w:tc>
        <w:tc>
          <w:tcPr>
            <w:tcW w:w="1963" w:type="dxa"/>
            <w:tcBorders>
              <w:top w:val="single" w:sz="8" w:space="0" w:color="auto"/>
              <w:left w:val="nil"/>
              <w:bottom w:val="single" w:sz="8" w:space="0" w:color="auto"/>
              <w:right w:val="single" w:sz="8" w:space="0" w:color="auto"/>
            </w:tcBorders>
            <w:shd w:val="clear" w:color="auto" w:fill="auto"/>
            <w:vAlign w:val="center"/>
            <w:hideMark/>
          </w:tcPr>
          <w:p w14:paraId="42E6D67A" w14:textId="77777777" w:rsidR="00C70EEE" w:rsidRPr="00C70EEE" w:rsidRDefault="00C70EEE" w:rsidP="00C70EEE">
            <w:pPr>
              <w:rPr>
                <w:rFonts w:ascii="Arial Narrow" w:eastAsia="Times New Roman" w:hAnsi="Arial Narrow" w:cs="Calibri"/>
                <w:b/>
                <w:bCs/>
                <w:color w:val="000000"/>
                <w:sz w:val="22"/>
                <w:szCs w:val="22"/>
              </w:rPr>
            </w:pPr>
            <w:r w:rsidRPr="00C70EEE">
              <w:rPr>
                <w:rFonts w:ascii="Arial Narrow" w:eastAsia="Times New Roman" w:hAnsi="Arial Narrow" w:cs="Calibri"/>
                <w:b/>
                <w:bCs/>
                <w:color w:val="000000"/>
                <w:sz w:val="22"/>
                <w:szCs w:val="22"/>
              </w:rPr>
              <w:t xml:space="preserve">NICSP N° 19, </w:t>
            </w:r>
            <w:r w:rsidRPr="00C70EEE">
              <w:rPr>
                <w:rFonts w:ascii="Arial Narrow" w:eastAsia="Times New Roman" w:hAnsi="Arial Narrow" w:cs="Calibri"/>
                <w:b/>
                <w:bCs/>
                <w:color w:val="000000"/>
                <w:sz w:val="22"/>
                <w:szCs w:val="22"/>
              </w:rPr>
              <w:br/>
              <w:t>Párrafo 20 y 35.</w:t>
            </w:r>
          </w:p>
        </w:tc>
        <w:tc>
          <w:tcPr>
            <w:tcW w:w="1861" w:type="dxa"/>
            <w:tcBorders>
              <w:top w:val="single" w:sz="8" w:space="0" w:color="auto"/>
              <w:left w:val="nil"/>
              <w:bottom w:val="single" w:sz="8" w:space="0" w:color="auto"/>
              <w:right w:val="single" w:sz="8" w:space="0" w:color="auto"/>
            </w:tcBorders>
            <w:shd w:val="clear" w:color="auto" w:fill="auto"/>
            <w:vAlign w:val="center"/>
            <w:hideMark/>
          </w:tcPr>
          <w:p w14:paraId="2CBEE63B" w14:textId="77777777" w:rsidR="00C70EEE" w:rsidRPr="00C70EEE" w:rsidRDefault="00C70EEE" w:rsidP="00C70EEE">
            <w:pPr>
              <w:jc w:val="center"/>
              <w:rPr>
                <w:rFonts w:ascii="Arial Narrow" w:eastAsia="Times New Roman" w:hAnsi="Arial Narrow" w:cs="Calibri"/>
                <w:b/>
                <w:bCs/>
                <w:color w:val="000000"/>
                <w:sz w:val="22"/>
                <w:szCs w:val="22"/>
              </w:rPr>
            </w:pPr>
            <w:r w:rsidRPr="00C70EEE">
              <w:rPr>
                <w:rFonts w:ascii="Arial Narrow" w:eastAsia="Times New Roman" w:hAnsi="Arial Narrow" w:cs="Calibri"/>
                <w:b/>
                <w:bCs/>
                <w:color w:val="000000"/>
                <w:sz w:val="22"/>
                <w:szCs w:val="22"/>
              </w:rPr>
              <w:t xml:space="preserve"> </w:t>
            </w:r>
          </w:p>
        </w:tc>
      </w:tr>
      <w:tr w:rsidR="00C70EEE" w:rsidRPr="00C70EEE" w14:paraId="282475BA" w14:textId="77777777" w:rsidTr="00217538">
        <w:trPr>
          <w:trHeight w:val="57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0F5335" w14:textId="77777777" w:rsidR="00C70EEE" w:rsidRPr="00C70EEE" w:rsidRDefault="00C70EEE" w:rsidP="00C70EEE">
            <w:pPr>
              <w:jc w:val="right"/>
              <w:rPr>
                <w:rFonts w:ascii="Arial Narrow" w:eastAsia="Times New Roman" w:hAnsi="Arial Narrow"/>
                <w:b/>
                <w:bCs/>
                <w:color w:val="000000"/>
                <w:sz w:val="22"/>
                <w:szCs w:val="22"/>
              </w:rPr>
            </w:pPr>
            <w:r w:rsidRPr="00C70EEE">
              <w:rPr>
                <w:rFonts w:ascii="Arial Narrow" w:eastAsia="Times New Roman" w:hAnsi="Arial Narrow"/>
                <w:b/>
                <w:bCs/>
                <w:color w:val="000000"/>
                <w:sz w:val="22"/>
                <w:szCs w:val="22"/>
              </w:rPr>
              <w:t>2</w:t>
            </w:r>
          </w:p>
        </w:tc>
        <w:tc>
          <w:tcPr>
            <w:tcW w:w="829" w:type="dxa"/>
            <w:tcBorders>
              <w:top w:val="nil"/>
              <w:left w:val="nil"/>
              <w:bottom w:val="single" w:sz="8" w:space="0" w:color="auto"/>
              <w:right w:val="single" w:sz="8" w:space="0" w:color="auto"/>
            </w:tcBorders>
            <w:shd w:val="clear" w:color="auto" w:fill="auto"/>
            <w:vAlign w:val="center"/>
            <w:hideMark/>
          </w:tcPr>
          <w:p w14:paraId="0DF804D4" w14:textId="77777777" w:rsidR="00C70EEE" w:rsidRPr="00C70EEE" w:rsidRDefault="00C70EEE" w:rsidP="00C70EEE">
            <w:pPr>
              <w:ind w:firstLineChars="100" w:firstLine="220"/>
              <w:rPr>
                <w:rFonts w:ascii="Arial Narrow" w:eastAsia="Times New Roman" w:hAnsi="Arial Narrow"/>
                <w:b/>
                <w:bCs/>
                <w:color w:val="000000"/>
                <w:sz w:val="22"/>
                <w:szCs w:val="22"/>
              </w:rPr>
            </w:pPr>
            <w:r w:rsidRPr="00C70EEE">
              <w:rPr>
                <w:rFonts w:ascii="Arial Narrow" w:eastAsia="Times New Roman" w:hAnsi="Arial Narrow"/>
                <w:b/>
                <w:bCs/>
                <w:color w:val="000000"/>
                <w:sz w:val="22"/>
                <w:szCs w:val="22"/>
              </w:rPr>
              <w:t>110</w:t>
            </w:r>
          </w:p>
        </w:tc>
        <w:tc>
          <w:tcPr>
            <w:tcW w:w="507" w:type="dxa"/>
            <w:tcBorders>
              <w:top w:val="nil"/>
              <w:left w:val="nil"/>
              <w:bottom w:val="single" w:sz="8" w:space="0" w:color="auto"/>
              <w:right w:val="nil"/>
            </w:tcBorders>
            <w:shd w:val="clear" w:color="auto" w:fill="auto"/>
            <w:vAlign w:val="center"/>
            <w:hideMark/>
          </w:tcPr>
          <w:p w14:paraId="7EDDF40E" w14:textId="77777777" w:rsidR="00C70EEE" w:rsidRPr="00C70EEE" w:rsidRDefault="00C70EEE" w:rsidP="00C70EEE">
            <w:pPr>
              <w:jc w:val="center"/>
              <w:rPr>
                <w:rFonts w:ascii="Arial Narrow" w:eastAsia="Times New Roman" w:hAnsi="Arial Narrow" w:cs="Calibri"/>
                <w:b/>
                <w:bCs/>
                <w:color w:val="000000"/>
                <w:sz w:val="22"/>
                <w:szCs w:val="22"/>
              </w:rPr>
            </w:pPr>
            <w:r w:rsidRPr="00C70EEE">
              <w:rPr>
                <w:rFonts w:ascii="Arial Narrow" w:eastAsia="Times New Roman" w:hAnsi="Arial Narrow" w:cs="Calibri"/>
                <w:b/>
                <w:bCs/>
                <w:color w:val="000000"/>
                <w:sz w:val="22"/>
                <w:szCs w:val="22"/>
              </w:rPr>
              <w:t>1</w:t>
            </w:r>
          </w:p>
        </w:tc>
        <w:tc>
          <w:tcPr>
            <w:tcW w:w="3676" w:type="dxa"/>
            <w:tcBorders>
              <w:top w:val="nil"/>
              <w:left w:val="single" w:sz="8" w:space="0" w:color="auto"/>
              <w:bottom w:val="single" w:sz="8" w:space="0" w:color="auto"/>
              <w:right w:val="single" w:sz="8" w:space="0" w:color="auto"/>
            </w:tcBorders>
            <w:shd w:val="clear" w:color="auto" w:fill="auto"/>
            <w:vAlign w:val="center"/>
            <w:hideMark/>
          </w:tcPr>
          <w:p w14:paraId="23E8C263" w14:textId="77777777" w:rsidR="00C70EEE" w:rsidRPr="00C70EEE" w:rsidRDefault="00C70EEE" w:rsidP="00C70EEE">
            <w:pPr>
              <w:rPr>
                <w:rFonts w:ascii="Arial Narrow" w:eastAsia="Times New Roman" w:hAnsi="Arial Narrow"/>
                <w:b/>
                <w:bCs/>
                <w:color w:val="000000"/>
                <w:sz w:val="22"/>
                <w:szCs w:val="22"/>
              </w:rPr>
            </w:pPr>
            <w:r w:rsidRPr="00C70EEE">
              <w:rPr>
                <w:rFonts w:ascii="Arial Narrow" w:eastAsia="Times New Roman" w:hAnsi="Arial Narrow"/>
                <w:b/>
                <w:bCs/>
                <w:color w:val="000000"/>
                <w:sz w:val="22"/>
                <w:szCs w:val="22"/>
              </w:rPr>
              <w:t>Evaluación continua</w:t>
            </w:r>
          </w:p>
        </w:tc>
        <w:tc>
          <w:tcPr>
            <w:tcW w:w="1963" w:type="dxa"/>
            <w:tcBorders>
              <w:top w:val="nil"/>
              <w:left w:val="nil"/>
              <w:bottom w:val="single" w:sz="8" w:space="0" w:color="auto"/>
              <w:right w:val="single" w:sz="8" w:space="0" w:color="auto"/>
            </w:tcBorders>
            <w:shd w:val="clear" w:color="auto" w:fill="auto"/>
            <w:vAlign w:val="center"/>
            <w:hideMark/>
          </w:tcPr>
          <w:p w14:paraId="337608D6" w14:textId="77777777" w:rsidR="00C70EEE" w:rsidRPr="00C70EEE" w:rsidRDefault="00C70EEE" w:rsidP="00C70EEE">
            <w:pPr>
              <w:rPr>
                <w:rFonts w:ascii="Arial Narrow" w:eastAsia="Times New Roman" w:hAnsi="Arial Narrow" w:cs="Calibri"/>
                <w:b/>
                <w:bCs/>
                <w:color w:val="000000"/>
                <w:sz w:val="22"/>
                <w:szCs w:val="22"/>
              </w:rPr>
            </w:pPr>
            <w:r w:rsidRPr="00C70EEE">
              <w:rPr>
                <w:rFonts w:ascii="Arial Narrow" w:eastAsia="Times New Roman" w:hAnsi="Arial Narrow" w:cs="Calibri"/>
                <w:b/>
                <w:bCs/>
                <w:color w:val="000000"/>
                <w:sz w:val="22"/>
                <w:szCs w:val="22"/>
              </w:rPr>
              <w:t xml:space="preserve">NICSP N° 19, </w:t>
            </w:r>
            <w:r w:rsidRPr="00C70EEE">
              <w:rPr>
                <w:rFonts w:ascii="Arial Narrow" w:eastAsia="Times New Roman" w:hAnsi="Arial Narrow" w:cs="Calibri"/>
                <w:b/>
                <w:bCs/>
                <w:color w:val="000000"/>
                <w:sz w:val="22"/>
                <w:szCs w:val="22"/>
              </w:rPr>
              <w:br/>
              <w:t>Párrafo 38.</w:t>
            </w:r>
          </w:p>
        </w:tc>
        <w:tc>
          <w:tcPr>
            <w:tcW w:w="1861" w:type="dxa"/>
            <w:tcBorders>
              <w:top w:val="nil"/>
              <w:left w:val="nil"/>
              <w:bottom w:val="single" w:sz="8" w:space="0" w:color="auto"/>
              <w:right w:val="single" w:sz="8" w:space="0" w:color="auto"/>
            </w:tcBorders>
            <w:shd w:val="clear" w:color="auto" w:fill="auto"/>
            <w:vAlign w:val="center"/>
            <w:hideMark/>
          </w:tcPr>
          <w:p w14:paraId="523DCE69" w14:textId="77777777" w:rsidR="00C70EEE" w:rsidRPr="00C70EEE" w:rsidRDefault="00C70EEE" w:rsidP="00C70EEE">
            <w:pPr>
              <w:jc w:val="center"/>
              <w:rPr>
                <w:rFonts w:ascii="Arial Narrow" w:eastAsia="Times New Roman" w:hAnsi="Arial Narrow" w:cs="Calibri"/>
                <w:b/>
                <w:bCs/>
                <w:color w:val="000000"/>
                <w:sz w:val="22"/>
                <w:szCs w:val="22"/>
              </w:rPr>
            </w:pPr>
            <w:r w:rsidRPr="00C70EEE">
              <w:rPr>
                <w:rFonts w:ascii="Arial Narrow" w:eastAsia="Times New Roman" w:hAnsi="Arial Narrow" w:cs="Calibri"/>
                <w:b/>
                <w:bCs/>
                <w:color w:val="000000"/>
                <w:sz w:val="22"/>
                <w:szCs w:val="22"/>
              </w:rPr>
              <w:t xml:space="preserve"> </w:t>
            </w:r>
          </w:p>
        </w:tc>
      </w:tr>
    </w:tbl>
    <w:p w14:paraId="6ED66797" w14:textId="77777777" w:rsidR="00217538" w:rsidRDefault="00217538" w:rsidP="00217538">
      <w:pPr>
        <w:pStyle w:val="Default"/>
        <w:ind w:right="261"/>
        <w:jc w:val="both"/>
        <w:rPr>
          <w:sz w:val="22"/>
          <w:szCs w:val="22"/>
          <w:lang w:val="es-CR"/>
        </w:rPr>
      </w:pPr>
    </w:p>
    <w:p w14:paraId="020ABF6B" w14:textId="715E0BB7" w:rsidR="00217538" w:rsidRDefault="00217538" w:rsidP="00217538">
      <w:pPr>
        <w:pStyle w:val="Default"/>
        <w:ind w:right="261"/>
        <w:jc w:val="both"/>
        <w:rPr>
          <w:rFonts w:eastAsia="Arial"/>
          <w:b/>
          <w:sz w:val="22"/>
          <w:szCs w:val="22"/>
        </w:rPr>
      </w:pPr>
      <w:r w:rsidRPr="00F02F9D">
        <w:rPr>
          <w:rFonts w:eastAsia="Arial"/>
          <w:b/>
          <w:sz w:val="22"/>
          <w:szCs w:val="22"/>
        </w:rPr>
        <w:t>Políticas Contables</w:t>
      </w:r>
    </w:p>
    <w:p w14:paraId="4609E3FF" w14:textId="77777777" w:rsidR="00217538" w:rsidRDefault="00217538" w:rsidP="00217538">
      <w:pPr>
        <w:pStyle w:val="Default"/>
        <w:tabs>
          <w:tab w:val="left" w:pos="9214"/>
        </w:tabs>
        <w:ind w:left="1276" w:right="28" w:hanging="1276"/>
        <w:jc w:val="both"/>
        <w:rPr>
          <w:sz w:val="22"/>
          <w:szCs w:val="22"/>
          <w:lang w:val="es-CR"/>
        </w:rPr>
      </w:pPr>
    </w:p>
    <w:p w14:paraId="704024E8" w14:textId="2AA2E3CC" w:rsidR="00C70EEE" w:rsidRPr="00C70EEE" w:rsidRDefault="00C70EEE" w:rsidP="00217538">
      <w:pPr>
        <w:pStyle w:val="Default"/>
        <w:tabs>
          <w:tab w:val="left" w:pos="9214"/>
        </w:tabs>
        <w:spacing w:after="120" w:line="238" w:lineRule="auto"/>
        <w:ind w:left="1276" w:right="26" w:hanging="1276"/>
        <w:jc w:val="both"/>
        <w:rPr>
          <w:sz w:val="22"/>
          <w:szCs w:val="22"/>
          <w:lang w:val="es-CR"/>
        </w:rPr>
      </w:pPr>
      <w:r>
        <w:rPr>
          <w:sz w:val="22"/>
          <w:szCs w:val="22"/>
          <w:lang w:val="es-CR"/>
        </w:rPr>
        <w:t>2.110.0.01</w:t>
      </w:r>
      <w:r>
        <w:rPr>
          <w:sz w:val="22"/>
          <w:szCs w:val="22"/>
          <w:lang w:val="es-CR"/>
        </w:rPr>
        <w:tab/>
      </w:r>
      <w:r w:rsidRPr="00C70EEE">
        <w:rPr>
          <w:sz w:val="22"/>
          <w:szCs w:val="22"/>
          <w:lang w:val="es-CR"/>
        </w:rPr>
        <w:t>Es un pasivo que no se reconoce contablemente, sólo se revela en Nota a los EEFF, debido a que su existencia será confirmada sólo porque suceda o, en su caso, porque no suceda uno o más eventos inciertos en el futuro, que no están enteramente bajo el control de la entidad, o debido a que el pasivo no satisface los criterios de reconocimiento.</w:t>
      </w:r>
    </w:p>
    <w:p w14:paraId="19F6A25E" w14:textId="5A09753D" w:rsidR="00C70EEE" w:rsidRPr="00C70EEE" w:rsidRDefault="00C70EEE" w:rsidP="00C70EEE">
      <w:pPr>
        <w:pStyle w:val="Default"/>
        <w:ind w:left="1276" w:hanging="1276"/>
        <w:jc w:val="both"/>
        <w:rPr>
          <w:sz w:val="22"/>
          <w:szCs w:val="22"/>
          <w:lang w:val="es-CR"/>
        </w:rPr>
      </w:pPr>
      <w:r>
        <w:rPr>
          <w:sz w:val="22"/>
          <w:szCs w:val="22"/>
          <w:lang w:val="es-CR"/>
        </w:rPr>
        <w:t>2.110.0.02</w:t>
      </w:r>
      <w:r>
        <w:rPr>
          <w:sz w:val="22"/>
          <w:szCs w:val="22"/>
          <w:lang w:val="es-CR"/>
        </w:rPr>
        <w:tab/>
      </w:r>
      <w:r w:rsidRPr="00C70EEE">
        <w:rPr>
          <w:sz w:val="22"/>
          <w:szCs w:val="22"/>
          <w:lang w:val="es-CR"/>
        </w:rPr>
        <w:t xml:space="preserve">Los pasivos contingentes deben informarse en las notas a los EEFF. </w:t>
      </w:r>
    </w:p>
    <w:p w14:paraId="318586E4" w14:textId="77777777" w:rsidR="00C70EEE" w:rsidRDefault="00C70EEE" w:rsidP="00C70EEE">
      <w:pPr>
        <w:pStyle w:val="Default"/>
        <w:ind w:left="1276" w:hanging="1276"/>
        <w:jc w:val="both"/>
        <w:rPr>
          <w:sz w:val="22"/>
          <w:szCs w:val="22"/>
          <w:lang w:val="es-CR"/>
        </w:rPr>
      </w:pPr>
    </w:p>
    <w:p w14:paraId="454B1368" w14:textId="3FE8BFC3" w:rsidR="00C70EEE" w:rsidRPr="00C70EEE" w:rsidRDefault="00C70EEE" w:rsidP="00C70EEE">
      <w:pPr>
        <w:pStyle w:val="Default"/>
        <w:ind w:left="1276" w:hanging="1276"/>
        <w:jc w:val="both"/>
        <w:rPr>
          <w:sz w:val="22"/>
          <w:szCs w:val="22"/>
          <w:lang w:val="es-CR"/>
        </w:rPr>
      </w:pPr>
      <w:r>
        <w:rPr>
          <w:sz w:val="22"/>
          <w:szCs w:val="22"/>
          <w:lang w:val="es-CR"/>
        </w:rPr>
        <w:t>2.110.</w:t>
      </w:r>
      <w:r w:rsidRPr="00C70EEE">
        <w:rPr>
          <w:sz w:val="22"/>
          <w:szCs w:val="22"/>
          <w:lang w:val="es-CR"/>
        </w:rPr>
        <w:t>1.</w:t>
      </w:r>
      <w:r>
        <w:rPr>
          <w:sz w:val="22"/>
          <w:szCs w:val="22"/>
          <w:lang w:val="es-CR"/>
        </w:rPr>
        <w:t>01</w:t>
      </w:r>
      <w:r>
        <w:rPr>
          <w:sz w:val="22"/>
          <w:szCs w:val="22"/>
          <w:lang w:val="es-CR"/>
        </w:rPr>
        <w:tab/>
      </w:r>
      <w:r w:rsidRPr="00C70EEE">
        <w:rPr>
          <w:sz w:val="22"/>
          <w:szCs w:val="22"/>
          <w:lang w:val="es-CR"/>
        </w:rPr>
        <w:t xml:space="preserve">Los pasivos contingentes deben ser evaluados continuamente para determinar si se ha producido o no la probabilidad de un flujo de salida de recursos que incorporen beneficios económicos o un potencial de servicio. Si se estimara probable que, para una partida que había sido tratada con anterioridad como un pasivo contingente, se fuera a requerir de un flujo de salida de beneficios económicos futuros o un potencial de servicio, se debe reconocer una provisión en los EEFF del ejercicio en que se </w:t>
      </w:r>
      <w:r w:rsidRPr="00C70EEE">
        <w:rPr>
          <w:sz w:val="22"/>
          <w:szCs w:val="22"/>
          <w:lang w:val="es-CR"/>
        </w:rPr>
        <w:lastRenderedPageBreak/>
        <w:t xml:space="preserve">haya producido el </w:t>
      </w:r>
      <w:r w:rsidR="005907B3" w:rsidRPr="00C70EEE">
        <w:rPr>
          <w:sz w:val="22"/>
          <w:szCs w:val="22"/>
          <w:lang w:val="es-CR"/>
        </w:rPr>
        <w:t>ca</w:t>
      </w:r>
      <w:r w:rsidR="005907B3">
        <w:rPr>
          <w:sz w:val="22"/>
          <w:szCs w:val="22"/>
          <w:lang w:val="es-CR"/>
        </w:rPr>
        <w:t>mbi</w:t>
      </w:r>
      <w:r w:rsidR="005907B3" w:rsidRPr="00C70EEE">
        <w:rPr>
          <w:sz w:val="22"/>
          <w:szCs w:val="22"/>
          <w:lang w:val="es-CR"/>
        </w:rPr>
        <w:t>o</w:t>
      </w:r>
      <w:r w:rsidRPr="00C70EEE">
        <w:rPr>
          <w:sz w:val="22"/>
          <w:szCs w:val="22"/>
          <w:lang w:val="es-CR"/>
        </w:rPr>
        <w:t xml:space="preserve"> en la probabilidad. Ello, a efectos de asegurar que la evolución de los pasivos contingentes esté reflejada adecuadamente en los EEFF. </w:t>
      </w:r>
    </w:p>
    <w:p w14:paraId="206E7D3D" w14:textId="77777777" w:rsidR="002F3BDB" w:rsidRDefault="002F3BDB" w:rsidP="00A279AD">
      <w:pPr>
        <w:pStyle w:val="Default"/>
        <w:spacing w:after="120" w:line="238" w:lineRule="auto"/>
        <w:ind w:right="260"/>
        <w:jc w:val="both"/>
        <w:rPr>
          <w:sz w:val="22"/>
          <w:szCs w:val="22"/>
          <w:lang w:val="es-CR"/>
        </w:rPr>
      </w:pPr>
    </w:p>
    <w:p w14:paraId="7E2C91AF" w14:textId="77777777" w:rsidR="002F3BDB" w:rsidRDefault="002F3BDB" w:rsidP="00A279AD">
      <w:pPr>
        <w:pStyle w:val="Default"/>
        <w:spacing w:after="120" w:line="238" w:lineRule="auto"/>
        <w:ind w:right="260"/>
        <w:jc w:val="both"/>
        <w:rPr>
          <w:sz w:val="22"/>
          <w:szCs w:val="22"/>
          <w:lang w:val="es-CR"/>
        </w:rPr>
      </w:pPr>
    </w:p>
    <w:tbl>
      <w:tblPr>
        <w:tblW w:w="9404" w:type="dxa"/>
        <w:tblLook w:val="04A0" w:firstRow="1" w:lastRow="0" w:firstColumn="1" w:lastColumn="0" w:noHBand="0" w:noVBand="1"/>
      </w:tblPr>
      <w:tblGrid>
        <w:gridCol w:w="661"/>
        <w:gridCol w:w="517"/>
        <w:gridCol w:w="513"/>
        <w:gridCol w:w="3691"/>
        <w:gridCol w:w="2142"/>
        <w:gridCol w:w="1880"/>
      </w:tblGrid>
      <w:tr w:rsidR="004C0894" w:rsidRPr="004C0894" w14:paraId="0C285B13" w14:textId="77777777" w:rsidTr="00B5215C">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1DDB071" w14:textId="77777777" w:rsidR="004C0894" w:rsidRPr="004C0894" w:rsidRDefault="004C0894" w:rsidP="004C0894">
            <w:pPr>
              <w:jc w:val="center"/>
              <w:rPr>
                <w:rFonts w:ascii="Arial Narrow" w:eastAsia="Times New Roman" w:hAnsi="Arial Narrow" w:cs="Calibri"/>
                <w:b/>
                <w:bCs/>
                <w:color w:val="FFFFFF"/>
                <w:sz w:val="22"/>
                <w:szCs w:val="22"/>
              </w:rPr>
            </w:pPr>
            <w:r w:rsidRPr="004C0894">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50C6A901" w14:textId="77777777" w:rsidR="004C0894" w:rsidRPr="004C0894" w:rsidRDefault="004C0894" w:rsidP="004C0894">
            <w:pPr>
              <w:jc w:val="center"/>
              <w:rPr>
                <w:rFonts w:ascii="Arial Narrow" w:eastAsia="Times New Roman" w:hAnsi="Arial Narrow" w:cs="Calibri"/>
                <w:b/>
                <w:bCs/>
                <w:color w:val="FFFFFF"/>
                <w:sz w:val="22"/>
                <w:szCs w:val="22"/>
              </w:rPr>
            </w:pPr>
            <w:r w:rsidRPr="004C0894">
              <w:rPr>
                <w:rFonts w:ascii="Arial Narrow" w:eastAsia="Times New Roman" w:hAnsi="Arial Narrow" w:cs="Calibri"/>
                <w:b/>
                <w:bCs/>
                <w:color w:val="FFFFFF"/>
                <w:sz w:val="22"/>
                <w:szCs w:val="22"/>
              </w:rPr>
              <w:t>Concepto</w:t>
            </w:r>
          </w:p>
        </w:tc>
        <w:tc>
          <w:tcPr>
            <w:tcW w:w="4022" w:type="dxa"/>
            <w:gridSpan w:val="2"/>
            <w:tcBorders>
              <w:top w:val="single" w:sz="8" w:space="0" w:color="auto"/>
              <w:left w:val="nil"/>
              <w:bottom w:val="single" w:sz="8" w:space="0" w:color="auto"/>
              <w:right w:val="single" w:sz="8" w:space="0" w:color="000000"/>
            </w:tcBorders>
            <w:shd w:val="clear" w:color="000000" w:fill="203764"/>
            <w:vAlign w:val="center"/>
            <w:hideMark/>
          </w:tcPr>
          <w:p w14:paraId="704E6FEA" w14:textId="77777777" w:rsidR="004C0894" w:rsidRPr="004C0894" w:rsidRDefault="004C0894" w:rsidP="004C0894">
            <w:pPr>
              <w:jc w:val="center"/>
              <w:rPr>
                <w:rFonts w:ascii="Arial Narrow" w:eastAsia="Times New Roman" w:hAnsi="Arial Narrow" w:cs="Calibri"/>
                <w:b/>
                <w:bCs/>
                <w:color w:val="FFFFFF"/>
                <w:sz w:val="22"/>
                <w:szCs w:val="22"/>
              </w:rPr>
            </w:pPr>
            <w:r w:rsidRPr="004C0894">
              <w:rPr>
                <w:rFonts w:ascii="Arial Narrow" w:eastAsia="Times New Roman" w:hAnsi="Arial Narrow" w:cs="Calibri"/>
                <w:b/>
                <w:bCs/>
                <w:color w:val="FFFFFF"/>
                <w:sz w:val="22"/>
                <w:szCs w:val="22"/>
              </w:rPr>
              <w:t>Referencia</w:t>
            </w:r>
          </w:p>
        </w:tc>
      </w:tr>
      <w:tr w:rsidR="004C0894" w:rsidRPr="006E5442" w14:paraId="2463D014" w14:textId="77777777" w:rsidTr="00B5215C">
        <w:trPr>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033A8D25" w14:textId="77777777" w:rsidR="004C0894" w:rsidRPr="004C0894" w:rsidRDefault="004C0894" w:rsidP="004C0894">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7845827B" w14:textId="77777777" w:rsidR="004C0894" w:rsidRPr="004C0894" w:rsidRDefault="004C0894" w:rsidP="004C0894">
            <w:pPr>
              <w:rPr>
                <w:rFonts w:ascii="Arial Narrow" w:eastAsia="Times New Roman" w:hAnsi="Arial Narrow" w:cs="Calibri"/>
                <w:b/>
                <w:bCs/>
                <w:color w:val="FFFFFF"/>
                <w:sz w:val="22"/>
                <w:szCs w:val="22"/>
              </w:rPr>
            </w:pPr>
          </w:p>
        </w:tc>
        <w:tc>
          <w:tcPr>
            <w:tcW w:w="2142" w:type="dxa"/>
            <w:tcBorders>
              <w:top w:val="nil"/>
              <w:left w:val="nil"/>
              <w:bottom w:val="nil"/>
              <w:right w:val="single" w:sz="8" w:space="0" w:color="auto"/>
            </w:tcBorders>
            <w:shd w:val="clear" w:color="000000" w:fill="203764"/>
            <w:vAlign w:val="center"/>
            <w:hideMark/>
          </w:tcPr>
          <w:p w14:paraId="1DAB91D0" w14:textId="77777777" w:rsidR="004C0894" w:rsidRPr="004C0894" w:rsidRDefault="004C0894" w:rsidP="004C0894">
            <w:pPr>
              <w:jc w:val="center"/>
              <w:rPr>
                <w:rFonts w:ascii="Arial Narrow" w:eastAsia="Times New Roman" w:hAnsi="Arial Narrow" w:cs="Calibri"/>
                <w:b/>
                <w:bCs/>
                <w:color w:val="FFFFFF"/>
                <w:sz w:val="22"/>
                <w:szCs w:val="22"/>
              </w:rPr>
            </w:pPr>
            <w:r w:rsidRPr="004C0894">
              <w:rPr>
                <w:rFonts w:ascii="Arial Narrow" w:eastAsia="Times New Roman" w:hAnsi="Arial Narrow" w:cs="Calibri"/>
                <w:b/>
                <w:bCs/>
                <w:color w:val="FFFFFF"/>
                <w:sz w:val="22"/>
                <w:szCs w:val="22"/>
              </w:rPr>
              <w:t>Norma</w:t>
            </w:r>
          </w:p>
        </w:tc>
        <w:tc>
          <w:tcPr>
            <w:tcW w:w="1880" w:type="dxa"/>
            <w:tcBorders>
              <w:top w:val="nil"/>
              <w:left w:val="nil"/>
              <w:bottom w:val="nil"/>
              <w:right w:val="single" w:sz="8" w:space="0" w:color="auto"/>
            </w:tcBorders>
            <w:shd w:val="clear" w:color="000000" w:fill="203764"/>
            <w:vAlign w:val="center"/>
            <w:hideMark/>
          </w:tcPr>
          <w:p w14:paraId="5A059CF9" w14:textId="77777777" w:rsidR="004C0894" w:rsidRPr="004C0894" w:rsidRDefault="004C0894" w:rsidP="004C0894">
            <w:pPr>
              <w:jc w:val="center"/>
              <w:rPr>
                <w:rFonts w:ascii="Arial Narrow" w:eastAsia="Times New Roman" w:hAnsi="Arial Narrow" w:cs="Calibri"/>
                <w:b/>
                <w:bCs/>
                <w:color w:val="FFFFFF"/>
                <w:sz w:val="22"/>
                <w:szCs w:val="22"/>
                <w:lang w:val="es-CR"/>
              </w:rPr>
            </w:pPr>
            <w:r w:rsidRPr="004C0894">
              <w:rPr>
                <w:rFonts w:ascii="Arial Narrow" w:eastAsia="Times New Roman" w:hAnsi="Arial Narrow" w:cs="Calibri"/>
                <w:b/>
                <w:bCs/>
                <w:color w:val="FFFFFF"/>
                <w:sz w:val="22"/>
                <w:szCs w:val="22"/>
                <w:lang w:val="es-CR"/>
              </w:rPr>
              <w:t>Normativa técnica y disposiciones adicionales</w:t>
            </w:r>
          </w:p>
        </w:tc>
      </w:tr>
      <w:tr w:rsidR="004C0894" w:rsidRPr="004C0894" w14:paraId="212D2506" w14:textId="77777777" w:rsidTr="00B5215C">
        <w:trPr>
          <w:trHeight w:val="570"/>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325E04" w14:textId="77777777" w:rsidR="004C0894" w:rsidRPr="004C0894" w:rsidRDefault="004C0894" w:rsidP="004C0894">
            <w:pPr>
              <w:jc w:val="center"/>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3B4D959F" w14:textId="77777777" w:rsidR="004C0894" w:rsidRPr="004C0894" w:rsidRDefault="004C0894" w:rsidP="004C0894">
            <w:pPr>
              <w:jc w:val="center"/>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112</w:t>
            </w:r>
          </w:p>
        </w:tc>
        <w:tc>
          <w:tcPr>
            <w:tcW w:w="513" w:type="dxa"/>
            <w:tcBorders>
              <w:top w:val="single" w:sz="8" w:space="0" w:color="auto"/>
              <w:left w:val="nil"/>
              <w:bottom w:val="single" w:sz="8" w:space="0" w:color="auto"/>
              <w:right w:val="single" w:sz="8" w:space="0" w:color="auto"/>
            </w:tcBorders>
            <w:shd w:val="clear" w:color="auto" w:fill="auto"/>
            <w:vAlign w:val="center"/>
            <w:hideMark/>
          </w:tcPr>
          <w:p w14:paraId="2A71CA42" w14:textId="0AB73090" w:rsidR="004C0894" w:rsidRPr="004C0894" w:rsidRDefault="004C0894" w:rsidP="004C0894">
            <w:pPr>
              <w:jc w:val="center"/>
              <w:rPr>
                <w:rFonts w:ascii="Arial Narrow" w:eastAsia="Times New Roman" w:hAnsi="Arial Narrow" w:cs="Calibri"/>
                <w:b/>
                <w:bCs/>
                <w:color w:val="000000"/>
                <w:sz w:val="22"/>
                <w:szCs w:val="22"/>
              </w:rPr>
            </w:pP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6A69031E" w14:textId="77777777" w:rsidR="004C0894" w:rsidRPr="004C0894" w:rsidRDefault="004C0894" w:rsidP="004C0894">
            <w:pPr>
              <w:jc w:val="both"/>
              <w:rPr>
                <w:rFonts w:ascii="Arial Narrow" w:eastAsia="Times New Roman" w:hAnsi="Arial Narrow" w:cs="Calibri"/>
                <w:b/>
                <w:bCs/>
                <w:color w:val="000000"/>
                <w:sz w:val="22"/>
                <w:szCs w:val="22"/>
                <w:lang w:val="es-CR"/>
              </w:rPr>
            </w:pPr>
            <w:r w:rsidRPr="004C0894">
              <w:rPr>
                <w:rFonts w:ascii="Arial Narrow" w:eastAsia="Times New Roman" w:hAnsi="Arial Narrow" w:cs="Calibri"/>
                <w:b/>
                <w:bCs/>
                <w:color w:val="000000"/>
                <w:sz w:val="22"/>
                <w:szCs w:val="22"/>
                <w:lang w:val="es-CR"/>
              </w:rPr>
              <w:t>Información a revelar sobre pasivos contingentes</w:t>
            </w:r>
          </w:p>
        </w:tc>
        <w:tc>
          <w:tcPr>
            <w:tcW w:w="2142" w:type="dxa"/>
            <w:tcBorders>
              <w:top w:val="single" w:sz="8" w:space="0" w:color="auto"/>
              <w:left w:val="nil"/>
              <w:bottom w:val="single" w:sz="8" w:space="0" w:color="auto"/>
              <w:right w:val="single" w:sz="8" w:space="0" w:color="auto"/>
            </w:tcBorders>
            <w:shd w:val="clear" w:color="auto" w:fill="auto"/>
            <w:vAlign w:val="center"/>
            <w:hideMark/>
          </w:tcPr>
          <w:p w14:paraId="4B9F9AE6" w14:textId="77777777" w:rsidR="00B5215C" w:rsidRDefault="004C0894" w:rsidP="004C0894">
            <w:pPr>
              <w:jc w:val="both"/>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 xml:space="preserve">NICSP N° 19, </w:t>
            </w:r>
          </w:p>
          <w:p w14:paraId="59A97821" w14:textId="736A2F25" w:rsidR="004C0894" w:rsidRPr="004C0894" w:rsidRDefault="004C0894" w:rsidP="004C0894">
            <w:pPr>
              <w:jc w:val="both"/>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Párrafo 100, 108 y 109.</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557268D9" w14:textId="77777777" w:rsidR="004C0894" w:rsidRPr="004C0894" w:rsidRDefault="004C0894" w:rsidP="004C0894">
            <w:pPr>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DGCN</w:t>
            </w:r>
          </w:p>
        </w:tc>
      </w:tr>
    </w:tbl>
    <w:p w14:paraId="71139BA9" w14:textId="77777777" w:rsidR="002F3BDB" w:rsidRDefault="002F3BDB" w:rsidP="00B5215C">
      <w:pPr>
        <w:pStyle w:val="Default"/>
        <w:ind w:right="261"/>
        <w:jc w:val="both"/>
        <w:rPr>
          <w:sz w:val="22"/>
          <w:szCs w:val="22"/>
          <w:lang w:val="es-CR"/>
        </w:rPr>
      </w:pPr>
    </w:p>
    <w:p w14:paraId="64EDB881" w14:textId="0ECC1218" w:rsidR="00217538" w:rsidRDefault="00217538" w:rsidP="00B5215C">
      <w:pPr>
        <w:pStyle w:val="Default"/>
        <w:ind w:right="261"/>
        <w:jc w:val="both"/>
        <w:rPr>
          <w:rFonts w:eastAsia="Arial"/>
          <w:b/>
          <w:sz w:val="22"/>
          <w:szCs w:val="22"/>
        </w:rPr>
      </w:pPr>
      <w:r w:rsidRPr="00F02F9D">
        <w:rPr>
          <w:rFonts w:eastAsia="Arial"/>
          <w:b/>
          <w:sz w:val="22"/>
          <w:szCs w:val="22"/>
        </w:rPr>
        <w:t>Políticas Contables</w:t>
      </w:r>
    </w:p>
    <w:p w14:paraId="57D2D518" w14:textId="77777777" w:rsidR="00217538" w:rsidRDefault="00217538" w:rsidP="00B5215C">
      <w:pPr>
        <w:pStyle w:val="Default"/>
        <w:ind w:right="261"/>
        <w:jc w:val="both"/>
        <w:rPr>
          <w:sz w:val="22"/>
          <w:szCs w:val="22"/>
          <w:lang w:val="es-CR"/>
        </w:rPr>
      </w:pPr>
    </w:p>
    <w:p w14:paraId="4BF6E77A" w14:textId="47EA9E83" w:rsidR="004C0894" w:rsidRPr="004C0894" w:rsidRDefault="004C0894" w:rsidP="004C0894">
      <w:pPr>
        <w:pStyle w:val="Default"/>
        <w:ind w:left="1134" w:right="261" w:hanging="1134"/>
        <w:jc w:val="both"/>
        <w:rPr>
          <w:sz w:val="22"/>
          <w:szCs w:val="22"/>
          <w:lang w:val="es-CR"/>
        </w:rPr>
      </w:pPr>
      <w:r>
        <w:rPr>
          <w:sz w:val="22"/>
          <w:szCs w:val="22"/>
          <w:lang w:val="es-CR"/>
        </w:rPr>
        <w:t>2.112.0.01</w:t>
      </w:r>
      <w:r>
        <w:rPr>
          <w:sz w:val="22"/>
          <w:szCs w:val="22"/>
          <w:lang w:val="es-CR"/>
        </w:rPr>
        <w:tab/>
      </w:r>
      <w:r w:rsidRPr="004C0894">
        <w:rPr>
          <w:sz w:val="22"/>
          <w:szCs w:val="22"/>
          <w:lang w:val="es-CR"/>
        </w:rPr>
        <w:t>Para cada pasivo contingente deberá revelarse la siguiente información:</w:t>
      </w:r>
    </w:p>
    <w:p w14:paraId="4FC5629C" w14:textId="77777777" w:rsidR="004C0894" w:rsidRPr="004C0894" w:rsidRDefault="004C0894" w:rsidP="004C0894">
      <w:pPr>
        <w:pStyle w:val="Default"/>
        <w:jc w:val="both"/>
        <w:rPr>
          <w:sz w:val="22"/>
          <w:szCs w:val="22"/>
          <w:lang w:val="es-CR"/>
        </w:rPr>
      </w:pPr>
    </w:p>
    <w:p w14:paraId="6264E930" w14:textId="725B5AB0" w:rsidR="004C0894" w:rsidRPr="004C0894" w:rsidRDefault="004C0894">
      <w:pPr>
        <w:pStyle w:val="Default"/>
        <w:numPr>
          <w:ilvl w:val="0"/>
          <w:numId w:val="204"/>
        </w:numPr>
        <w:spacing w:after="120"/>
        <w:ind w:left="1559" w:hanging="357"/>
        <w:jc w:val="both"/>
        <w:rPr>
          <w:sz w:val="22"/>
          <w:szCs w:val="22"/>
          <w:lang w:val="es-CR"/>
        </w:rPr>
      </w:pPr>
      <w:r>
        <w:rPr>
          <w:sz w:val="22"/>
          <w:szCs w:val="22"/>
          <w:lang w:val="es-CR"/>
        </w:rPr>
        <w:t>L</w:t>
      </w:r>
      <w:r w:rsidRPr="004C0894">
        <w:rPr>
          <w:sz w:val="22"/>
          <w:szCs w:val="22"/>
          <w:lang w:val="es-CR"/>
        </w:rPr>
        <w:t xml:space="preserve">a naturaleza del mismo; </w:t>
      </w:r>
    </w:p>
    <w:p w14:paraId="6477619C" w14:textId="77777777" w:rsidR="004C0894" w:rsidRDefault="004C0894">
      <w:pPr>
        <w:pStyle w:val="Default"/>
        <w:numPr>
          <w:ilvl w:val="0"/>
          <w:numId w:val="204"/>
        </w:numPr>
        <w:spacing w:after="18"/>
        <w:ind w:left="1560"/>
        <w:jc w:val="both"/>
        <w:rPr>
          <w:sz w:val="22"/>
          <w:szCs w:val="22"/>
          <w:lang w:val="es-CR"/>
        </w:rPr>
      </w:pPr>
      <w:r>
        <w:rPr>
          <w:sz w:val="22"/>
          <w:szCs w:val="22"/>
          <w:lang w:val="es-CR"/>
        </w:rPr>
        <w:t>C</w:t>
      </w:r>
      <w:r w:rsidRPr="004C0894">
        <w:rPr>
          <w:sz w:val="22"/>
          <w:szCs w:val="22"/>
          <w:lang w:val="es-CR"/>
        </w:rPr>
        <w:t xml:space="preserve">uando sea practicable: </w:t>
      </w:r>
    </w:p>
    <w:p w14:paraId="3FC6FA04" w14:textId="77777777" w:rsidR="004C0894" w:rsidRDefault="004C0894" w:rsidP="004C0894">
      <w:pPr>
        <w:pStyle w:val="Default"/>
        <w:spacing w:after="18"/>
        <w:jc w:val="both"/>
        <w:rPr>
          <w:sz w:val="22"/>
          <w:szCs w:val="22"/>
          <w:lang w:val="es-CR"/>
        </w:rPr>
      </w:pPr>
    </w:p>
    <w:p w14:paraId="4946BAA8" w14:textId="77777777" w:rsidR="004C0894" w:rsidRDefault="004C0894">
      <w:pPr>
        <w:pStyle w:val="Default"/>
        <w:numPr>
          <w:ilvl w:val="0"/>
          <w:numId w:val="205"/>
        </w:numPr>
        <w:spacing w:after="120"/>
        <w:ind w:left="1842" w:hanging="215"/>
        <w:jc w:val="both"/>
        <w:rPr>
          <w:sz w:val="22"/>
          <w:szCs w:val="22"/>
          <w:lang w:val="es-CR"/>
        </w:rPr>
      </w:pPr>
      <w:r>
        <w:rPr>
          <w:sz w:val="22"/>
          <w:szCs w:val="22"/>
          <w:lang w:val="es-CR"/>
        </w:rPr>
        <w:t>U</w:t>
      </w:r>
      <w:r w:rsidRPr="004C0894">
        <w:rPr>
          <w:sz w:val="22"/>
          <w:szCs w:val="22"/>
          <w:lang w:val="es-CR"/>
        </w:rPr>
        <w:t>na estimación de su efecto financiero;</w:t>
      </w:r>
    </w:p>
    <w:p w14:paraId="5150528C" w14:textId="0E67E967" w:rsidR="004C0894" w:rsidRDefault="004C0894">
      <w:pPr>
        <w:pStyle w:val="Default"/>
        <w:numPr>
          <w:ilvl w:val="0"/>
          <w:numId w:val="205"/>
        </w:numPr>
        <w:spacing w:after="120"/>
        <w:ind w:left="1842" w:hanging="215"/>
        <w:jc w:val="both"/>
        <w:rPr>
          <w:sz w:val="22"/>
          <w:szCs w:val="22"/>
          <w:lang w:val="es-CR"/>
        </w:rPr>
      </w:pPr>
      <w:r w:rsidRPr="004C0894">
        <w:rPr>
          <w:sz w:val="22"/>
          <w:szCs w:val="22"/>
          <w:lang w:val="es-CR"/>
        </w:rPr>
        <w:t xml:space="preserve">Una indicación de las </w:t>
      </w:r>
      <w:r w:rsidR="005907B3" w:rsidRPr="004C0894">
        <w:rPr>
          <w:sz w:val="22"/>
          <w:szCs w:val="22"/>
          <w:lang w:val="es-CR"/>
        </w:rPr>
        <w:t>incertidu</w:t>
      </w:r>
      <w:r w:rsidR="005907B3">
        <w:rPr>
          <w:sz w:val="22"/>
          <w:szCs w:val="22"/>
          <w:lang w:val="es-CR"/>
        </w:rPr>
        <w:t>mbr</w:t>
      </w:r>
      <w:r w:rsidR="005907B3" w:rsidRPr="004C0894">
        <w:rPr>
          <w:sz w:val="22"/>
          <w:szCs w:val="22"/>
          <w:lang w:val="es-CR"/>
        </w:rPr>
        <w:t>es</w:t>
      </w:r>
      <w:r w:rsidRPr="004C0894">
        <w:rPr>
          <w:sz w:val="22"/>
          <w:szCs w:val="22"/>
          <w:lang w:val="es-CR"/>
        </w:rPr>
        <w:t xml:space="preserve"> relacionadas con el importe o el calendario de las salidas de recursos correspondientes; y</w:t>
      </w:r>
    </w:p>
    <w:p w14:paraId="626B321F" w14:textId="2246E438" w:rsidR="004C0894" w:rsidRPr="004C0894" w:rsidRDefault="004C0894">
      <w:pPr>
        <w:pStyle w:val="Default"/>
        <w:numPr>
          <w:ilvl w:val="0"/>
          <w:numId w:val="205"/>
        </w:numPr>
        <w:spacing w:after="18"/>
        <w:ind w:left="1843" w:hanging="218"/>
        <w:jc w:val="both"/>
        <w:rPr>
          <w:sz w:val="22"/>
          <w:szCs w:val="22"/>
          <w:lang w:val="es-CR"/>
        </w:rPr>
      </w:pPr>
      <w:r w:rsidRPr="004C0894">
        <w:rPr>
          <w:sz w:val="22"/>
          <w:szCs w:val="22"/>
          <w:lang w:val="es-CR"/>
        </w:rPr>
        <w:t xml:space="preserve">La posibilidad de obtener eventuales </w:t>
      </w:r>
      <w:r w:rsidR="005907B3" w:rsidRPr="004C0894">
        <w:rPr>
          <w:sz w:val="22"/>
          <w:szCs w:val="22"/>
          <w:lang w:val="es-CR"/>
        </w:rPr>
        <w:t>ree</w:t>
      </w:r>
      <w:r w:rsidR="005907B3">
        <w:rPr>
          <w:sz w:val="22"/>
          <w:szCs w:val="22"/>
          <w:lang w:val="es-CR"/>
        </w:rPr>
        <w:t>mbo</w:t>
      </w:r>
      <w:r w:rsidR="005907B3" w:rsidRPr="004C0894">
        <w:rPr>
          <w:sz w:val="22"/>
          <w:szCs w:val="22"/>
          <w:lang w:val="es-CR"/>
        </w:rPr>
        <w:t>lsos</w:t>
      </w:r>
      <w:r w:rsidRPr="004C0894">
        <w:rPr>
          <w:sz w:val="22"/>
          <w:szCs w:val="22"/>
          <w:lang w:val="es-CR"/>
        </w:rPr>
        <w:t xml:space="preserve">; </w:t>
      </w:r>
    </w:p>
    <w:p w14:paraId="456EB47D" w14:textId="77777777" w:rsidR="004C0894" w:rsidRPr="004C0894" w:rsidRDefault="004C0894">
      <w:pPr>
        <w:pStyle w:val="Default"/>
        <w:numPr>
          <w:ilvl w:val="1"/>
          <w:numId w:val="203"/>
        </w:numPr>
        <w:jc w:val="both"/>
        <w:rPr>
          <w:sz w:val="22"/>
          <w:szCs w:val="22"/>
          <w:lang w:val="es-CR"/>
        </w:rPr>
      </w:pPr>
    </w:p>
    <w:p w14:paraId="430F0876" w14:textId="69788854" w:rsidR="004C0894" w:rsidRPr="004C0894" w:rsidRDefault="004C0894">
      <w:pPr>
        <w:pStyle w:val="Default"/>
        <w:numPr>
          <w:ilvl w:val="0"/>
          <w:numId w:val="204"/>
        </w:numPr>
        <w:spacing w:after="120"/>
        <w:ind w:left="1559" w:hanging="357"/>
        <w:jc w:val="both"/>
        <w:rPr>
          <w:sz w:val="22"/>
          <w:szCs w:val="22"/>
          <w:lang w:val="es-CR"/>
        </w:rPr>
      </w:pPr>
      <w:r>
        <w:rPr>
          <w:sz w:val="22"/>
          <w:szCs w:val="22"/>
          <w:lang w:val="es-CR"/>
        </w:rPr>
        <w:t>D</w:t>
      </w:r>
      <w:r w:rsidRPr="004C0894">
        <w:rPr>
          <w:sz w:val="22"/>
          <w:szCs w:val="22"/>
          <w:lang w:val="es-CR"/>
        </w:rPr>
        <w:t xml:space="preserve">e corresponder, las causales por las que no resulta posible revelar lo requerido en el punto anterior; </w:t>
      </w:r>
    </w:p>
    <w:p w14:paraId="32C463AB" w14:textId="101F9300" w:rsidR="004C0894" w:rsidRPr="004C0894" w:rsidRDefault="004C0894">
      <w:pPr>
        <w:pStyle w:val="Default"/>
        <w:numPr>
          <w:ilvl w:val="0"/>
          <w:numId w:val="204"/>
        </w:numPr>
        <w:spacing w:after="120"/>
        <w:ind w:left="1559" w:hanging="357"/>
        <w:jc w:val="both"/>
        <w:rPr>
          <w:sz w:val="22"/>
          <w:szCs w:val="22"/>
          <w:lang w:val="es-CR"/>
        </w:rPr>
      </w:pPr>
      <w:r>
        <w:rPr>
          <w:sz w:val="22"/>
          <w:szCs w:val="22"/>
          <w:lang w:val="es-CR"/>
        </w:rPr>
        <w:t>E</w:t>
      </w:r>
      <w:r w:rsidRPr="004C0894">
        <w:rPr>
          <w:sz w:val="22"/>
          <w:szCs w:val="22"/>
          <w:lang w:val="es-CR"/>
        </w:rPr>
        <w:t xml:space="preserve">n el caso de pasivos contingentes por litigios y demandas, la identificación y alcance del informe jurídico que avala la exposición de la contingencia; </w:t>
      </w:r>
    </w:p>
    <w:p w14:paraId="333077EE" w14:textId="59CBEDB0" w:rsidR="004C0894" w:rsidRPr="004C0894" w:rsidRDefault="004C0894">
      <w:pPr>
        <w:pStyle w:val="Default"/>
        <w:numPr>
          <w:ilvl w:val="0"/>
          <w:numId w:val="204"/>
        </w:numPr>
        <w:spacing w:after="120"/>
        <w:ind w:left="1559" w:hanging="357"/>
        <w:jc w:val="both"/>
        <w:rPr>
          <w:sz w:val="22"/>
          <w:szCs w:val="22"/>
          <w:lang w:val="es-CR"/>
        </w:rPr>
      </w:pPr>
      <w:r>
        <w:rPr>
          <w:sz w:val="22"/>
          <w:szCs w:val="22"/>
          <w:lang w:val="es-CR"/>
        </w:rPr>
        <w:t>E</w:t>
      </w:r>
      <w:r w:rsidRPr="004C0894">
        <w:rPr>
          <w:sz w:val="22"/>
          <w:szCs w:val="22"/>
          <w:lang w:val="es-CR"/>
        </w:rPr>
        <w:t xml:space="preserve">n caso de que la revelación de información pudiera comprometer la posición de la entidad en un litigio con terceros, la naturaleza del litigio y las razones que justifican la ausencia de revelación; </w:t>
      </w:r>
    </w:p>
    <w:p w14:paraId="6575B302" w14:textId="37EA703E" w:rsidR="004C0894" w:rsidRPr="004C0894" w:rsidRDefault="004C0894">
      <w:pPr>
        <w:pStyle w:val="Default"/>
        <w:numPr>
          <w:ilvl w:val="0"/>
          <w:numId w:val="204"/>
        </w:numPr>
        <w:spacing w:after="18"/>
        <w:ind w:left="1560"/>
        <w:jc w:val="both"/>
        <w:rPr>
          <w:sz w:val="22"/>
          <w:szCs w:val="22"/>
          <w:lang w:val="es-CR"/>
        </w:rPr>
      </w:pPr>
      <w:r>
        <w:rPr>
          <w:sz w:val="22"/>
          <w:szCs w:val="22"/>
          <w:lang w:val="es-CR"/>
        </w:rPr>
        <w:t>T</w:t>
      </w:r>
      <w:r w:rsidRPr="004C0894">
        <w:rPr>
          <w:sz w:val="22"/>
          <w:szCs w:val="22"/>
          <w:lang w:val="es-CR"/>
        </w:rPr>
        <w:t xml:space="preserve">oda otra información que oportunamente, con carácter permanente o específico para un ejercicio en particular, requiera incluir la DGCN. </w:t>
      </w:r>
    </w:p>
    <w:p w14:paraId="5A8FDB16" w14:textId="77777777" w:rsidR="004C0894" w:rsidRPr="004C0894" w:rsidRDefault="004C0894" w:rsidP="0069573C">
      <w:pPr>
        <w:pStyle w:val="Default"/>
        <w:ind w:right="261"/>
        <w:jc w:val="both"/>
        <w:rPr>
          <w:sz w:val="22"/>
          <w:szCs w:val="22"/>
          <w:lang w:val="es-CR"/>
        </w:rPr>
      </w:pPr>
    </w:p>
    <w:p w14:paraId="58D50696" w14:textId="77777777" w:rsidR="004C0894" w:rsidRDefault="004C0894" w:rsidP="0069573C">
      <w:pPr>
        <w:pStyle w:val="Default"/>
        <w:ind w:right="261"/>
        <w:jc w:val="both"/>
        <w:rPr>
          <w:sz w:val="22"/>
          <w:szCs w:val="22"/>
          <w:lang w:val="es-CR"/>
        </w:rPr>
      </w:pPr>
    </w:p>
    <w:p w14:paraId="34B7C14F" w14:textId="1E71D9B9" w:rsidR="004C0894" w:rsidRPr="0069573C" w:rsidRDefault="004C0894" w:rsidP="0069573C">
      <w:pPr>
        <w:pStyle w:val="Ttulo2"/>
        <w:ind w:left="284"/>
        <w:rPr>
          <w:rFonts w:ascii="Arial" w:eastAsia="Arial" w:hAnsi="Arial" w:cs="Arial"/>
          <w:b/>
          <w:bCs/>
          <w:sz w:val="20"/>
          <w:szCs w:val="20"/>
          <w:lang w:val="es-CR"/>
        </w:rPr>
      </w:pPr>
      <w:bookmarkStart w:id="107" w:name="_Toc172726242"/>
      <w:r w:rsidRPr="0069573C">
        <w:rPr>
          <w:rFonts w:ascii="Arial" w:eastAsia="Arial" w:hAnsi="Arial" w:cs="Arial"/>
          <w:b/>
          <w:bCs/>
          <w:sz w:val="20"/>
          <w:szCs w:val="20"/>
          <w:lang w:val="es-CR"/>
        </w:rPr>
        <w:t>Otros pasivos</w:t>
      </w:r>
      <w:bookmarkEnd w:id="107"/>
    </w:p>
    <w:p w14:paraId="29DA7A5C" w14:textId="77777777" w:rsidR="004C0894" w:rsidRDefault="004C0894" w:rsidP="00A279AD">
      <w:pPr>
        <w:pStyle w:val="Default"/>
        <w:spacing w:after="120" w:line="238" w:lineRule="auto"/>
        <w:ind w:right="260"/>
        <w:jc w:val="both"/>
        <w:rPr>
          <w:sz w:val="22"/>
          <w:szCs w:val="22"/>
          <w:lang w:val="es-CR"/>
        </w:rPr>
      </w:pPr>
    </w:p>
    <w:tbl>
      <w:tblPr>
        <w:tblW w:w="9383" w:type="dxa"/>
        <w:tblLook w:val="04A0" w:firstRow="1" w:lastRow="0" w:firstColumn="1" w:lastColumn="0" w:noHBand="0" w:noVBand="1"/>
      </w:tblPr>
      <w:tblGrid>
        <w:gridCol w:w="660"/>
        <w:gridCol w:w="517"/>
        <w:gridCol w:w="637"/>
        <w:gridCol w:w="3688"/>
        <w:gridCol w:w="2001"/>
        <w:gridCol w:w="1880"/>
      </w:tblGrid>
      <w:tr w:rsidR="004C0894" w:rsidRPr="004C0894" w14:paraId="76DEEBDF" w14:textId="77777777" w:rsidTr="00B5215C">
        <w:trPr>
          <w:trHeight w:val="300"/>
        </w:trPr>
        <w:tc>
          <w:tcPr>
            <w:tcW w:w="181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E55F157" w14:textId="77777777" w:rsidR="004C0894" w:rsidRPr="004C0894" w:rsidRDefault="004C0894" w:rsidP="004C0894">
            <w:pPr>
              <w:jc w:val="center"/>
              <w:rPr>
                <w:rFonts w:ascii="Arial Narrow" w:eastAsia="Times New Roman" w:hAnsi="Arial Narrow" w:cs="Calibri"/>
                <w:b/>
                <w:bCs/>
                <w:color w:val="FFFFFF"/>
                <w:sz w:val="22"/>
                <w:szCs w:val="22"/>
              </w:rPr>
            </w:pPr>
            <w:r w:rsidRPr="004C0894">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72188C2A" w14:textId="77777777" w:rsidR="004C0894" w:rsidRPr="004C0894" w:rsidRDefault="004C0894" w:rsidP="004C0894">
            <w:pPr>
              <w:jc w:val="center"/>
              <w:rPr>
                <w:rFonts w:ascii="Arial Narrow" w:eastAsia="Times New Roman" w:hAnsi="Arial Narrow" w:cs="Calibri"/>
                <w:b/>
                <w:bCs/>
                <w:color w:val="FFFFFF"/>
                <w:sz w:val="22"/>
                <w:szCs w:val="22"/>
              </w:rPr>
            </w:pPr>
            <w:r w:rsidRPr="004C0894">
              <w:rPr>
                <w:rFonts w:ascii="Arial Narrow" w:eastAsia="Times New Roman" w:hAnsi="Arial Narrow" w:cs="Calibri"/>
                <w:b/>
                <w:bCs/>
                <w:color w:val="FFFFFF"/>
                <w:sz w:val="22"/>
                <w:szCs w:val="22"/>
              </w:rPr>
              <w:t>Concepto</w:t>
            </w:r>
          </w:p>
        </w:tc>
        <w:tc>
          <w:tcPr>
            <w:tcW w:w="3881" w:type="dxa"/>
            <w:gridSpan w:val="2"/>
            <w:tcBorders>
              <w:top w:val="single" w:sz="8" w:space="0" w:color="auto"/>
              <w:left w:val="nil"/>
              <w:bottom w:val="single" w:sz="8" w:space="0" w:color="auto"/>
              <w:right w:val="single" w:sz="8" w:space="0" w:color="000000"/>
            </w:tcBorders>
            <w:shd w:val="clear" w:color="000000" w:fill="203764"/>
            <w:vAlign w:val="center"/>
            <w:hideMark/>
          </w:tcPr>
          <w:p w14:paraId="32C62750" w14:textId="77777777" w:rsidR="004C0894" w:rsidRPr="004C0894" w:rsidRDefault="004C0894" w:rsidP="004C0894">
            <w:pPr>
              <w:jc w:val="center"/>
              <w:rPr>
                <w:rFonts w:ascii="Arial Narrow" w:eastAsia="Times New Roman" w:hAnsi="Arial Narrow" w:cs="Calibri"/>
                <w:b/>
                <w:bCs/>
                <w:color w:val="FFFFFF"/>
                <w:sz w:val="22"/>
                <w:szCs w:val="22"/>
              </w:rPr>
            </w:pPr>
            <w:r w:rsidRPr="004C0894">
              <w:rPr>
                <w:rFonts w:ascii="Arial Narrow" w:eastAsia="Times New Roman" w:hAnsi="Arial Narrow" w:cs="Calibri"/>
                <w:b/>
                <w:bCs/>
                <w:color w:val="FFFFFF"/>
                <w:sz w:val="22"/>
                <w:szCs w:val="22"/>
              </w:rPr>
              <w:t>Referencia</w:t>
            </w:r>
          </w:p>
        </w:tc>
      </w:tr>
      <w:tr w:rsidR="004C0894" w:rsidRPr="006E5442" w14:paraId="7BC78570" w14:textId="77777777" w:rsidTr="00B5215C">
        <w:trPr>
          <w:trHeight w:val="850"/>
        </w:trPr>
        <w:tc>
          <w:tcPr>
            <w:tcW w:w="1814" w:type="dxa"/>
            <w:gridSpan w:val="3"/>
            <w:vMerge/>
            <w:tcBorders>
              <w:top w:val="single" w:sz="8" w:space="0" w:color="auto"/>
              <w:left w:val="single" w:sz="8" w:space="0" w:color="auto"/>
              <w:bottom w:val="nil"/>
              <w:right w:val="single" w:sz="8" w:space="0" w:color="000000"/>
            </w:tcBorders>
            <w:vAlign w:val="center"/>
            <w:hideMark/>
          </w:tcPr>
          <w:p w14:paraId="610BB29C" w14:textId="77777777" w:rsidR="004C0894" w:rsidRPr="004C0894" w:rsidRDefault="004C0894" w:rsidP="004C0894">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18CFFA65" w14:textId="77777777" w:rsidR="004C0894" w:rsidRPr="004C0894" w:rsidRDefault="004C0894" w:rsidP="004C0894">
            <w:pPr>
              <w:rPr>
                <w:rFonts w:ascii="Arial Narrow" w:eastAsia="Times New Roman" w:hAnsi="Arial Narrow" w:cs="Calibri"/>
                <w:b/>
                <w:bCs/>
                <w:color w:val="FFFFFF"/>
                <w:sz w:val="22"/>
                <w:szCs w:val="22"/>
              </w:rPr>
            </w:pPr>
          </w:p>
        </w:tc>
        <w:tc>
          <w:tcPr>
            <w:tcW w:w="2001" w:type="dxa"/>
            <w:tcBorders>
              <w:top w:val="nil"/>
              <w:left w:val="nil"/>
              <w:bottom w:val="nil"/>
              <w:right w:val="single" w:sz="8" w:space="0" w:color="auto"/>
            </w:tcBorders>
            <w:shd w:val="clear" w:color="000000" w:fill="203764"/>
            <w:vAlign w:val="center"/>
            <w:hideMark/>
          </w:tcPr>
          <w:p w14:paraId="7DC5A17F" w14:textId="77777777" w:rsidR="004C0894" w:rsidRPr="004C0894" w:rsidRDefault="004C0894" w:rsidP="004C0894">
            <w:pPr>
              <w:jc w:val="center"/>
              <w:rPr>
                <w:rFonts w:ascii="Arial Narrow" w:eastAsia="Times New Roman" w:hAnsi="Arial Narrow" w:cs="Calibri"/>
                <w:b/>
                <w:bCs/>
                <w:color w:val="FFFFFF"/>
                <w:sz w:val="22"/>
                <w:szCs w:val="22"/>
              </w:rPr>
            </w:pPr>
            <w:r w:rsidRPr="004C0894">
              <w:rPr>
                <w:rFonts w:ascii="Arial Narrow" w:eastAsia="Times New Roman" w:hAnsi="Arial Narrow" w:cs="Calibri"/>
                <w:b/>
                <w:bCs/>
                <w:color w:val="FFFFFF"/>
                <w:sz w:val="22"/>
                <w:szCs w:val="22"/>
              </w:rPr>
              <w:t>Norma</w:t>
            </w:r>
          </w:p>
        </w:tc>
        <w:tc>
          <w:tcPr>
            <w:tcW w:w="1876" w:type="dxa"/>
            <w:tcBorders>
              <w:top w:val="nil"/>
              <w:left w:val="nil"/>
              <w:bottom w:val="nil"/>
              <w:right w:val="single" w:sz="8" w:space="0" w:color="auto"/>
            </w:tcBorders>
            <w:shd w:val="clear" w:color="000000" w:fill="203764"/>
            <w:vAlign w:val="center"/>
            <w:hideMark/>
          </w:tcPr>
          <w:p w14:paraId="21D176CE" w14:textId="77777777" w:rsidR="004C0894" w:rsidRPr="004C0894" w:rsidRDefault="004C0894" w:rsidP="004C0894">
            <w:pPr>
              <w:jc w:val="center"/>
              <w:rPr>
                <w:rFonts w:ascii="Arial Narrow" w:eastAsia="Times New Roman" w:hAnsi="Arial Narrow" w:cs="Calibri"/>
                <w:b/>
                <w:bCs/>
                <w:color w:val="FFFFFF"/>
                <w:sz w:val="22"/>
                <w:szCs w:val="22"/>
                <w:lang w:val="es-CR"/>
              </w:rPr>
            </w:pPr>
            <w:r w:rsidRPr="004C0894">
              <w:rPr>
                <w:rFonts w:ascii="Arial Narrow" w:eastAsia="Times New Roman" w:hAnsi="Arial Narrow" w:cs="Calibri"/>
                <w:b/>
                <w:bCs/>
                <w:color w:val="FFFFFF"/>
                <w:sz w:val="22"/>
                <w:szCs w:val="22"/>
                <w:lang w:val="es-CR"/>
              </w:rPr>
              <w:t>Normativa técnica y disposiciones adicionales</w:t>
            </w:r>
          </w:p>
        </w:tc>
      </w:tr>
      <w:tr w:rsidR="004C0894" w:rsidRPr="004C0894" w14:paraId="34399049" w14:textId="77777777" w:rsidTr="00B5215C">
        <w:trPr>
          <w:trHeight w:val="320"/>
        </w:trPr>
        <w:tc>
          <w:tcPr>
            <w:tcW w:w="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571A44" w14:textId="77777777" w:rsidR="004C0894" w:rsidRPr="004C0894" w:rsidRDefault="004C0894" w:rsidP="004C0894">
            <w:pPr>
              <w:jc w:val="center"/>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189770DB" w14:textId="77777777" w:rsidR="004C0894" w:rsidRPr="004C0894" w:rsidRDefault="004C0894" w:rsidP="004C0894">
            <w:pPr>
              <w:jc w:val="center"/>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115</w:t>
            </w:r>
          </w:p>
        </w:tc>
        <w:tc>
          <w:tcPr>
            <w:tcW w:w="637" w:type="dxa"/>
            <w:tcBorders>
              <w:top w:val="single" w:sz="8" w:space="0" w:color="auto"/>
              <w:left w:val="nil"/>
              <w:bottom w:val="single" w:sz="8" w:space="0" w:color="auto"/>
              <w:right w:val="single" w:sz="8" w:space="0" w:color="auto"/>
            </w:tcBorders>
            <w:shd w:val="clear" w:color="auto" w:fill="auto"/>
            <w:vAlign w:val="center"/>
            <w:hideMark/>
          </w:tcPr>
          <w:p w14:paraId="04D14659" w14:textId="47E8A08F" w:rsidR="004C0894" w:rsidRPr="004C0894" w:rsidRDefault="004C0894" w:rsidP="004C0894">
            <w:pPr>
              <w:jc w:val="center"/>
              <w:rPr>
                <w:rFonts w:ascii="Arial Narrow" w:eastAsia="Times New Roman" w:hAnsi="Arial Narrow" w:cs="Calibri"/>
                <w:b/>
                <w:bCs/>
                <w:color w:val="000000"/>
                <w:sz w:val="22"/>
                <w:szCs w:val="22"/>
              </w:rPr>
            </w:pP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6B846E11" w14:textId="77777777" w:rsidR="004C0894" w:rsidRPr="004C0894" w:rsidRDefault="004C0894" w:rsidP="004C0894">
            <w:pPr>
              <w:jc w:val="both"/>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Ingresos a devengar</w:t>
            </w:r>
          </w:p>
        </w:tc>
        <w:tc>
          <w:tcPr>
            <w:tcW w:w="2001" w:type="dxa"/>
            <w:tcBorders>
              <w:top w:val="single" w:sz="8" w:space="0" w:color="auto"/>
              <w:left w:val="nil"/>
              <w:bottom w:val="single" w:sz="8" w:space="0" w:color="auto"/>
              <w:right w:val="single" w:sz="8" w:space="0" w:color="auto"/>
            </w:tcBorders>
            <w:shd w:val="clear" w:color="auto" w:fill="auto"/>
            <w:vAlign w:val="center"/>
            <w:hideMark/>
          </w:tcPr>
          <w:p w14:paraId="527F62AF" w14:textId="77777777" w:rsidR="004C0894" w:rsidRPr="004C0894" w:rsidRDefault="004C0894" w:rsidP="004C0894">
            <w:pPr>
              <w:jc w:val="both"/>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 xml:space="preserve"> </w:t>
            </w:r>
          </w:p>
        </w:tc>
        <w:tc>
          <w:tcPr>
            <w:tcW w:w="1876" w:type="dxa"/>
            <w:tcBorders>
              <w:top w:val="single" w:sz="8" w:space="0" w:color="auto"/>
              <w:left w:val="nil"/>
              <w:bottom w:val="single" w:sz="8" w:space="0" w:color="auto"/>
              <w:right w:val="single" w:sz="8" w:space="0" w:color="auto"/>
            </w:tcBorders>
            <w:shd w:val="clear" w:color="auto" w:fill="auto"/>
            <w:vAlign w:val="center"/>
            <w:hideMark/>
          </w:tcPr>
          <w:p w14:paraId="7BF9AB9D" w14:textId="77777777" w:rsidR="004C0894" w:rsidRPr="004C0894" w:rsidRDefault="004C0894" w:rsidP="004C0894">
            <w:pPr>
              <w:rPr>
                <w:rFonts w:ascii="Arial Narrow" w:eastAsia="Times New Roman" w:hAnsi="Arial Narrow" w:cs="Calibri"/>
                <w:b/>
                <w:bCs/>
                <w:color w:val="000000"/>
                <w:sz w:val="22"/>
                <w:szCs w:val="22"/>
              </w:rPr>
            </w:pPr>
            <w:r w:rsidRPr="004C0894">
              <w:rPr>
                <w:rFonts w:ascii="Arial Narrow" w:eastAsia="Times New Roman" w:hAnsi="Arial Narrow" w:cs="Calibri"/>
                <w:b/>
                <w:bCs/>
                <w:color w:val="000000"/>
                <w:sz w:val="22"/>
                <w:szCs w:val="22"/>
              </w:rPr>
              <w:t>DGCN</w:t>
            </w:r>
          </w:p>
        </w:tc>
      </w:tr>
    </w:tbl>
    <w:p w14:paraId="21F9D608" w14:textId="77777777" w:rsidR="0069573C" w:rsidRDefault="0069573C" w:rsidP="00B5215C">
      <w:pPr>
        <w:pStyle w:val="Default"/>
        <w:ind w:left="1276" w:right="261" w:hanging="1276"/>
        <w:jc w:val="both"/>
        <w:rPr>
          <w:sz w:val="22"/>
          <w:szCs w:val="22"/>
          <w:lang w:val="es-CR"/>
        </w:rPr>
      </w:pPr>
    </w:p>
    <w:p w14:paraId="019BF3FD" w14:textId="5BA9F391" w:rsidR="00B5215C" w:rsidRDefault="00B5215C" w:rsidP="00B5215C">
      <w:pPr>
        <w:pStyle w:val="Default"/>
        <w:ind w:left="1276" w:right="261" w:hanging="1276"/>
        <w:jc w:val="both"/>
        <w:rPr>
          <w:rFonts w:eastAsia="Arial"/>
          <w:b/>
          <w:sz w:val="22"/>
          <w:szCs w:val="22"/>
        </w:rPr>
      </w:pPr>
      <w:r w:rsidRPr="00F02F9D">
        <w:rPr>
          <w:rFonts w:eastAsia="Arial"/>
          <w:b/>
          <w:sz w:val="22"/>
          <w:szCs w:val="22"/>
        </w:rPr>
        <w:t>Políticas Contables</w:t>
      </w:r>
    </w:p>
    <w:p w14:paraId="0C1B12E2" w14:textId="77777777" w:rsidR="00B5215C" w:rsidRDefault="00B5215C" w:rsidP="00B5215C">
      <w:pPr>
        <w:pStyle w:val="Default"/>
        <w:ind w:left="1276" w:right="261" w:hanging="1276"/>
        <w:jc w:val="both"/>
        <w:rPr>
          <w:sz w:val="22"/>
          <w:szCs w:val="22"/>
          <w:lang w:val="es-CR"/>
        </w:rPr>
      </w:pPr>
    </w:p>
    <w:p w14:paraId="126A4CDE" w14:textId="42646EC2" w:rsidR="004C0894" w:rsidRPr="004C0894" w:rsidRDefault="004C0894" w:rsidP="00B5215C">
      <w:pPr>
        <w:pStyle w:val="Default"/>
        <w:spacing w:after="120" w:line="238" w:lineRule="auto"/>
        <w:ind w:left="1276" w:right="26" w:hanging="1276"/>
        <w:jc w:val="both"/>
        <w:rPr>
          <w:sz w:val="22"/>
          <w:szCs w:val="22"/>
          <w:lang w:val="es-CR"/>
        </w:rPr>
      </w:pPr>
      <w:r>
        <w:rPr>
          <w:sz w:val="22"/>
          <w:szCs w:val="22"/>
          <w:lang w:val="es-CR"/>
        </w:rPr>
        <w:t>2,115,0.01</w:t>
      </w:r>
      <w:r>
        <w:rPr>
          <w:sz w:val="22"/>
          <w:szCs w:val="22"/>
          <w:lang w:val="es-CR"/>
        </w:rPr>
        <w:tab/>
      </w:r>
      <w:r w:rsidRPr="004C0894">
        <w:rPr>
          <w:sz w:val="22"/>
          <w:szCs w:val="22"/>
          <w:lang w:val="es-CR"/>
        </w:rPr>
        <w:t xml:space="preserve">Cuando la </w:t>
      </w:r>
      <w:r w:rsidR="00741950">
        <w:rPr>
          <w:sz w:val="22"/>
          <w:szCs w:val="22"/>
          <w:lang w:val="es-CR"/>
        </w:rPr>
        <w:t>Municipalidad</w:t>
      </w:r>
      <w:r w:rsidRPr="004C0894">
        <w:rPr>
          <w:sz w:val="22"/>
          <w:szCs w:val="22"/>
          <w:lang w:val="es-CR"/>
        </w:rPr>
        <w:t xml:space="preserve"> reciba un ingreso que aún no se encuentra devengado y que abarca períodos que exceden al correspondiente al cierre del ejercicio anual, se imputará como un pasivo hasta tanto se verifique el hecho imponible o su devengamiento.</w:t>
      </w:r>
    </w:p>
    <w:p w14:paraId="6F9F72E2" w14:textId="77777777" w:rsidR="004C0894" w:rsidRDefault="004C0894" w:rsidP="0069573C">
      <w:pPr>
        <w:pStyle w:val="Default"/>
        <w:ind w:right="261"/>
        <w:jc w:val="both"/>
        <w:rPr>
          <w:sz w:val="22"/>
          <w:szCs w:val="22"/>
          <w:lang w:val="es-CR"/>
        </w:rPr>
      </w:pPr>
    </w:p>
    <w:p w14:paraId="571D84B9" w14:textId="77777777" w:rsidR="004C0894" w:rsidRDefault="004C0894" w:rsidP="0069573C">
      <w:pPr>
        <w:pStyle w:val="Default"/>
        <w:ind w:right="261"/>
        <w:jc w:val="both"/>
        <w:rPr>
          <w:sz w:val="22"/>
          <w:szCs w:val="22"/>
          <w:lang w:val="es-CR"/>
        </w:rPr>
      </w:pPr>
    </w:p>
    <w:tbl>
      <w:tblPr>
        <w:tblW w:w="9383" w:type="dxa"/>
        <w:tblLook w:val="04A0" w:firstRow="1" w:lastRow="0" w:firstColumn="1" w:lastColumn="0" w:noHBand="0" w:noVBand="1"/>
      </w:tblPr>
      <w:tblGrid>
        <w:gridCol w:w="662"/>
        <w:gridCol w:w="517"/>
        <w:gridCol w:w="636"/>
        <w:gridCol w:w="3689"/>
        <w:gridCol w:w="1999"/>
        <w:gridCol w:w="1880"/>
      </w:tblGrid>
      <w:tr w:rsidR="00741950" w:rsidRPr="00741950" w14:paraId="50A00F4C" w14:textId="77777777" w:rsidTr="00B5215C">
        <w:trPr>
          <w:trHeight w:val="320"/>
        </w:trPr>
        <w:tc>
          <w:tcPr>
            <w:tcW w:w="181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76C1515" w14:textId="77777777" w:rsidR="00741950" w:rsidRPr="00741950" w:rsidRDefault="00741950" w:rsidP="00741950">
            <w:pPr>
              <w:jc w:val="center"/>
              <w:rPr>
                <w:rFonts w:ascii="Arial Narrow" w:eastAsia="Times New Roman" w:hAnsi="Arial Narrow" w:cs="Calibri"/>
                <w:b/>
                <w:bCs/>
                <w:color w:val="FFFFFF"/>
                <w:sz w:val="22"/>
                <w:szCs w:val="22"/>
              </w:rPr>
            </w:pPr>
            <w:r w:rsidRPr="00741950">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1871A471" w14:textId="77777777" w:rsidR="00741950" w:rsidRPr="00741950" w:rsidRDefault="00741950" w:rsidP="00741950">
            <w:pPr>
              <w:jc w:val="center"/>
              <w:rPr>
                <w:rFonts w:ascii="Arial Narrow" w:eastAsia="Times New Roman" w:hAnsi="Arial Narrow" w:cs="Calibri"/>
                <w:b/>
                <w:bCs/>
                <w:color w:val="FFFFFF"/>
                <w:sz w:val="22"/>
                <w:szCs w:val="22"/>
              </w:rPr>
            </w:pPr>
            <w:r w:rsidRPr="00741950">
              <w:rPr>
                <w:rFonts w:ascii="Arial Narrow" w:eastAsia="Times New Roman" w:hAnsi="Arial Narrow" w:cs="Calibri"/>
                <w:b/>
                <w:bCs/>
                <w:color w:val="FFFFFF"/>
                <w:sz w:val="22"/>
                <w:szCs w:val="22"/>
              </w:rPr>
              <w:t>Concepto</w:t>
            </w:r>
          </w:p>
        </w:tc>
        <w:tc>
          <w:tcPr>
            <w:tcW w:w="3879" w:type="dxa"/>
            <w:gridSpan w:val="2"/>
            <w:tcBorders>
              <w:top w:val="single" w:sz="8" w:space="0" w:color="auto"/>
              <w:left w:val="nil"/>
              <w:bottom w:val="single" w:sz="8" w:space="0" w:color="auto"/>
              <w:right w:val="single" w:sz="8" w:space="0" w:color="000000"/>
            </w:tcBorders>
            <w:shd w:val="clear" w:color="000000" w:fill="203764"/>
            <w:vAlign w:val="center"/>
            <w:hideMark/>
          </w:tcPr>
          <w:p w14:paraId="5ABE4669" w14:textId="77777777" w:rsidR="00741950" w:rsidRPr="00741950" w:rsidRDefault="00741950" w:rsidP="00741950">
            <w:pPr>
              <w:jc w:val="center"/>
              <w:rPr>
                <w:rFonts w:ascii="Arial Narrow" w:eastAsia="Times New Roman" w:hAnsi="Arial Narrow" w:cs="Calibri"/>
                <w:b/>
                <w:bCs/>
                <w:color w:val="FFFFFF"/>
                <w:sz w:val="22"/>
                <w:szCs w:val="22"/>
              </w:rPr>
            </w:pPr>
            <w:r w:rsidRPr="00741950">
              <w:rPr>
                <w:rFonts w:ascii="Arial Narrow" w:eastAsia="Times New Roman" w:hAnsi="Arial Narrow" w:cs="Calibri"/>
                <w:b/>
                <w:bCs/>
                <w:color w:val="FFFFFF"/>
                <w:sz w:val="22"/>
                <w:szCs w:val="22"/>
              </w:rPr>
              <w:t>Referencia</w:t>
            </w:r>
          </w:p>
        </w:tc>
      </w:tr>
      <w:tr w:rsidR="00741950" w:rsidRPr="006E5442" w14:paraId="6A062C52" w14:textId="77777777" w:rsidTr="00B5215C">
        <w:trPr>
          <w:trHeight w:val="1320"/>
        </w:trPr>
        <w:tc>
          <w:tcPr>
            <w:tcW w:w="1815" w:type="dxa"/>
            <w:gridSpan w:val="3"/>
            <w:vMerge/>
            <w:tcBorders>
              <w:top w:val="single" w:sz="8" w:space="0" w:color="auto"/>
              <w:left w:val="single" w:sz="8" w:space="0" w:color="auto"/>
              <w:bottom w:val="nil"/>
              <w:right w:val="single" w:sz="8" w:space="0" w:color="000000"/>
            </w:tcBorders>
            <w:vAlign w:val="center"/>
            <w:hideMark/>
          </w:tcPr>
          <w:p w14:paraId="2777B8B1" w14:textId="77777777" w:rsidR="00741950" w:rsidRPr="00741950" w:rsidRDefault="00741950" w:rsidP="00741950">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36F52F39" w14:textId="77777777" w:rsidR="00741950" w:rsidRPr="00741950" w:rsidRDefault="00741950" w:rsidP="00741950">
            <w:pPr>
              <w:rPr>
                <w:rFonts w:ascii="Arial Narrow" w:eastAsia="Times New Roman" w:hAnsi="Arial Narrow" w:cs="Calibri"/>
                <w:b/>
                <w:bCs/>
                <w:color w:val="FFFFFF"/>
                <w:sz w:val="22"/>
                <w:szCs w:val="22"/>
              </w:rPr>
            </w:pPr>
          </w:p>
        </w:tc>
        <w:tc>
          <w:tcPr>
            <w:tcW w:w="1999" w:type="dxa"/>
            <w:tcBorders>
              <w:top w:val="nil"/>
              <w:left w:val="nil"/>
              <w:bottom w:val="nil"/>
              <w:right w:val="single" w:sz="8" w:space="0" w:color="auto"/>
            </w:tcBorders>
            <w:shd w:val="clear" w:color="000000" w:fill="203764"/>
            <w:vAlign w:val="center"/>
            <w:hideMark/>
          </w:tcPr>
          <w:p w14:paraId="77217E23" w14:textId="77777777" w:rsidR="00741950" w:rsidRPr="00741950" w:rsidRDefault="00741950" w:rsidP="00741950">
            <w:pPr>
              <w:jc w:val="center"/>
              <w:rPr>
                <w:rFonts w:ascii="Arial Narrow" w:eastAsia="Times New Roman" w:hAnsi="Arial Narrow" w:cs="Calibri"/>
                <w:b/>
                <w:bCs/>
                <w:color w:val="FFFFFF"/>
                <w:sz w:val="22"/>
                <w:szCs w:val="22"/>
              </w:rPr>
            </w:pPr>
            <w:r w:rsidRPr="00741950">
              <w:rPr>
                <w:rFonts w:ascii="Arial Narrow" w:eastAsia="Times New Roman" w:hAnsi="Arial Narrow" w:cs="Calibri"/>
                <w:b/>
                <w:bCs/>
                <w:color w:val="FFFFFF"/>
                <w:sz w:val="22"/>
                <w:szCs w:val="22"/>
              </w:rPr>
              <w:t>Norma</w:t>
            </w:r>
          </w:p>
        </w:tc>
        <w:tc>
          <w:tcPr>
            <w:tcW w:w="1875" w:type="dxa"/>
            <w:tcBorders>
              <w:top w:val="nil"/>
              <w:left w:val="nil"/>
              <w:bottom w:val="nil"/>
              <w:right w:val="single" w:sz="8" w:space="0" w:color="auto"/>
            </w:tcBorders>
            <w:shd w:val="clear" w:color="000000" w:fill="203764"/>
            <w:vAlign w:val="center"/>
            <w:hideMark/>
          </w:tcPr>
          <w:p w14:paraId="5AF0FC26" w14:textId="77777777" w:rsidR="00741950" w:rsidRPr="00741950" w:rsidRDefault="00741950" w:rsidP="00741950">
            <w:pPr>
              <w:jc w:val="center"/>
              <w:rPr>
                <w:rFonts w:ascii="Arial Narrow" w:eastAsia="Times New Roman" w:hAnsi="Arial Narrow" w:cs="Calibri"/>
                <w:b/>
                <w:bCs/>
                <w:color w:val="FFFFFF"/>
                <w:sz w:val="22"/>
                <w:szCs w:val="22"/>
                <w:lang w:val="es-CR"/>
              </w:rPr>
            </w:pPr>
            <w:r w:rsidRPr="00741950">
              <w:rPr>
                <w:rFonts w:ascii="Arial Narrow" w:eastAsia="Times New Roman" w:hAnsi="Arial Narrow" w:cs="Calibri"/>
                <w:b/>
                <w:bCs/>
                <w:color w:val="FFFFFF"/>
                <w:sz w:val="22"/>
                <w:szCs w:val="22"/>
                <w:lang w:val="es-CR"/>
              </w:rPr>
              <w:t>Normativa técnica y disposiciones adicionales</w:t>
            </w:r>
          </w:p>
        </w:tc>
      </w:tr>
      <w:tr w:rsidR="00741950" w:rsidRPr="00741950" w14:paraId="0868E19D" w14:textId="77777777" w:rsidTr="00B5215C">
        <w:trPr>
          <w:trHeight w:val="320"/>
        </w:trPr>
        <w:tc>
          <w:tcPr>
            <w:tcW w:w="6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DF42EC"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2</w:t>
            </w:r>
          </w:p>
        </w:tc>
        <w:tc>
          <w:tcPr>
            <w:tcW w:w="517" w:type="dxa"/>
            <w:tcBorders>
              <w:top w:val="single" w:sz="8" w:space="0" w:color="auto"/>
              <w:left w:val="nil"/>
              <w:bottom w:val="single" w:sz="8" w:space="0" w:color="auto"/>
              <w:right w:val="single" w:sz="8" w:space="0" w:color="auto"/>
            </w:tcBorders>
            <w:shd w:val="clear" w:color="auto" w:fill="auto"/>
            <w:noWrap/>
            <w:vAlign w:val="center"/>
            <w:hideMark/>
          </w:tcPr>
          <w:p w14:paraId="5517183F"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116</w:t>
            </w:r>
          </w:p>
        </w:tc>
        <w:tc>
          <w:tcPr>
            <w:tcW w:w="636" w:type="dxa"/>
            <w:tcBorders>
              <w:top w:val="single" w:sz="8" w:space="0" w:color="auto"/>
              <w:left w:val="nil"/>
              <w:bottom w:val="single" w:sz="8" w:space="0" w:color="auto"/>
              <w:right w:val="single" w:sz="8" w:space="0" w:color="auto"/>
            </w:tcBorders>
            <w:shd w:val="clear" w:color="auto" w:fill="auto"/>
            <w:vAlign w:val="center"/>
            <w:hideMark/>
          </w:tcPr>
          <w:p w14:paraId="720A11C9" w14:textId="33D43EC9" w:rsidR="00741950" w:rsidRPr="00741950" w:rsidRDefault="00741950" w:rsidP="00741950">
            <w:pPr>
              <w:jc w:val="center"/>
              <w:rPr>
                <w:rFonts w:ascii="Arial Narrow" w:eastAsia="Times New Roman" w:hAnsi="Arial Narrow" w:cs="Calibri"/>
                <w:b/>
                <w:bCs/>
                <w:color w:val="000000"/>
                <w:sz w:val="22"/>
                <w:szCs w:val="22"/>
              </w:rPr>
            </w:pP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07593140" w14:textId="77777777" w:rsidR="00741950" w:rsidRPr="00741950" w:rsidRDefault="00741950" w:rsidP="00741950">
            <w:pPr>
              <w:jc w:val="both"/>
              <w:rPr>
                <w:rFonts w:ascii="Arial Narrow" w:eastAsia="Times New Roman" w:hAnsi="Arial Narrow" w:cs="Calibri"/>
                <w:b/>
                <w:bCs/>
                <w:color w:val="000000"/>
                <w:sz w:val="22"/>
                <w:szCs w:val="22"/>
                <w:lang w:val="es-CR"/>
              </w:rPr>
            </w:pPr>
            <w:r w:rsidRPr="00741950">
              <w:rPr>
                <w:rFonts w:ascii="Arial Narrow" w:eastAsia="Times New Roman" w:hAnsi="Arial Narrow" w:cs="Calibri"/>
                <w:b/>
                <w:bCs/>
                <w:color w:val="000000"/>
                <w:sz w:val="22"/>
                <w:szCs w:val="22"/>
                <w:lang w:val="es-CR"/>
              </w:rPr>
              <w:t>Pasivos sujetos a depuración contable</w:t>
            </w:r>
          </w:p>
        </w:tc>
        <w:tc>
          <w:tcPr>
            <w:tcW w:w="1999" w:type="dxa"/>
            <w:tcBorders>
              <w:top w:val="single" w:sz="8" w:space="0" w:color="auto"/>
              <w:left w:val="nil"/>
              <w:bottom w:val="single" w:sz="8" w:space="0" w:color="auto"/>
              <w:right w:val="single" w:sz="8" w:space="0" w:color="auto"/>
            </w:tcBorders>
            <w:shd w:val="clear" w:color="auto" w:fill="auto"/>
            <w:vAlign w:val="center"/>
            <w:hideMark/>
          </w:tcPr>
          <w:p w14:paraId="03C32704" w14:textId="77777777" w:rsidR="00741950" w:rsidRPr="00741950" w:rsidRDefault="00741950" w:rsidP="00741950">
            <w:pPr>
              <w:jc w:val="both"/>
              <w:rPr>
                <w:rFonts w:ascii="Arial Narrow" w:eastAsia="Times New Roman" w:hAnsi="Arial Narrow" w:cs="Calibri"/>
                <w:b/>
                <w:bCs/>
                <w:color w:val="000000"/>
                <w:sz w:val="22"/>
                <w:szCs w:val="22"/>
                <w:lang w:val="es-CR"/>
              </w:rPr>
            </w:pPr>
            <w:r w:rsidRPr="00741950">
              <w:rPr>
                <w:rFonts w:ascii="Arial Narrow" w:eastAsia="Times New Roman" w:hAnsi="Arial Narrow" w:cs="Calibri"/>
                <w:b/>
                <w:bCs/>
                <w:color w:val="000000"/>
                <w:sz w:val="22"/>
                <w:szCs w:val="22"/>
                <w:lang w:val="es-CR"/>
              </w:rPr>
              <w:t xml:space="preserve"> </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14:paraId="70BC71DB" w14:textId="77777777" w:rsidR="00741950" w:rsidRPr="00741950" w:rsidRDefault="00741950" w:rsidP="00741950">
            <w:pP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DGCN</w:t>
            </w:r>
          </w:p>
        </w:tc>
      </w:tr>
      <w:tr w:rsidR="00741950" w:rsidRPr="00741950" w14:paraId="23310BA3" w14:textId="77777777" w:rsidTr="00B5215C">
        <w:trPr>
          <w:trHeight w:val="320"/>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3AA3EBAC"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2</w:t>
            </w:r>
          </w:p>
        </w:tc>
        <w:tc>
          <w:tcPr>
            <w:tcW w:w="517" w:type="dxa"/>
            <w:tcBorders>
              <w:top w:val="nil"/>
              <w:left w:val="nil"/>
              <w:bottom w:val="single" w:sz="8" w:space="0" w:color="auto"/>
              <w:right w:val="single" w:sz="8" w:space="0" w:color="auto"/>
            </w:tcBorders>
            <w:shd w:val="clear" w:color="auto" w:fill="auto"/>
            <w:noWrap/>
            <w:vAlign w:val="center"/>
            <w:hideMark/>
          </w:tcPr>
          <w:p w14:paraId="3D9502B2"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116</w:t>
            </w:r>
          </w:p>
        </w:tc>
        <w:tc>
          <w:tcPr>
            <w:tcW w:w="636" w:type="dxa"/>
            <w:tcBorders>
              <w:top w:val="nil"/>
              <w:left w:val="nil"/>
              <w:bottom w:val="single" w:sz="8" w:space="0" w:color="auto"/>
              <w:right w:val="single" w:sz="8" w:space="0" w:color="auto"/>
            </w:tcBorders>
            <w:shd w:val="clear" w:color="auto" w:fill="auto"/>
            <w:vAlign w:val="center"/>
            <w:hideMark/>
          </w:tcPr>
          <w:p w14:paraId="18953F02"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1</w:t>
            </w:r>
          </w:p>
        </w:tc>
        <w:tc>
          <w:tcPr>
            <w:tcW w:w="3689" w:type="dxa"/>
            <w:tcBorders>
              <w:top w:val="nil"/>
              <w:left w:val="nil"/>
              <w:bottom w:val="single" w:sz="8" w:space="0" w:color="auto"/>
              <w:right w:val="single" w:sz="8" w:space="0" w:color="auto"/>
            </w:tcBorders>
            <w:shd w:val="clear" w:color="auto" w:fill="auto"/>
            <w:vAlign w:val="center"/>
            <w:hideMark/>
          </w:tcPr>
          <w:p w14:paraId="309EE91F" w14:textId="77777777" w:rsidR="00741950" w:rsidRPr="00741950" w:rsidRDefault="00741950" w:rsidP="00741950">
            <w:pPr>
              <w:jc w:val="both"/>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Período</w:t>
            </w:r>
          </w:p>
        </w:tc>
        <w:tc>
          <w:tcPr>
            <w:tcW w:w="1999" w:type="dxa"/>
            <w:tcBorders>
              <w:top w:val="nil"/>
              <w:left w:val="nil"/>
              <w:bottom w:val="single" w:sz="8" w:space="0" w:color="auto"/>
              <w:right w:val="single" w:sz="8" w:space="0" w:color="auto"/>
            </w:tcBorders>
            <w:shd w:val="clear" w:color="auto" w:fill="auto"/>
            <w:vAlign w:val="center"/>
            <w:hideMark/>
          </w:tcPr>
          <w:p w14:paraId="5B622958" w14:textId="77777777" w:rsidR="00741950" w:rsidRPr="00741950" w:rsidRDefault="00741950" w:rsidP="00741950">
            <w:pPr>
              <w:jc w:val="both"/>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 xml:space="preserve"> </w:t>
            </w:r>
          </w:p>
        </w:tc>
        <w:tc>
          <w:tcPr>
            <w:tcW w:w="1875" w:type="dxa"/>
            <w:tcBorders>
              <w:top w:val="nil"/>
              <w:left w:val="nil"/>
              <w:bottom w:val="single" w:sz="8" w:space="0" w:color="auto"/>
              <w:right w:val="single" w:sz="8" w:space="0" w:color="auto"/>
            </w:tcBorders>
            <w:shd w:val="clear" w:color="auto" w:fill="auto"/>
            <w:vAlign w:val="center"/>
            <w:hideMark/>
          </w:tcPr>
          <w:p w14:paraId="5FD90210" w14:textId="77777777" w:rsidR="00741950" w:rsidRPr="00741950" w:rsidRDefault="00741950" w:rsidP="00741950">
            <w:pP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DGCN</w:t>
            </w:r>
          </w:p>
        </w:tc>
      </w:tr>
      <w:tr w:rsidR="00741950" w:rsidRPr="00741950" w14:paraId="397A9869" w14:textId="77777777" w:rsidTr="00B5215C">
        <w:trPr>
          <w:trHeight w:val="320"/>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B982E4E"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2</w:t>
            </w:r>
          </w:p>
        </w:tc>
        <w:tc>
          <w:tcPr>
            <w:tcW w:w="517" w:type="dxa"/>
            <w:tcBorders>
              <w:top w:val="nil"/>
              <w:left w:val="nil"/>
              <w:bottom w:val="single" w:sz="8" w:space="0" w:color="auto"/>
              <w:right w:val="single" w:sz="8" w:space="0" w:color="auto"/>
            </w:tcBorders>
            <w:shd w:val="clear" w:color="auto" w:fill="auto"/>
            <w:noWrap/>
            <w:vAlign w:val="center"/>
            <w:hideMark/>
          </w:tcPr>
          <w:p w14:paraId="083521C2"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116</w:t>
            </w:r>
          </w:p>
        </w:tc>
        <w:tc>
          <w:tcPr>
            <w:tcW w:w="636" w:type="dxa"/>
            <w:tcBorders>
              <w:top w:val="nil"/>
              <w:left w:val="nil"/>
              <w:bottom w:val="single" w:sz="8" w:space="0" w:color="auto"/>
              <w:right w:val="single" w:sz="8" w:space="0" w:color="auto"/>
            </w:tcBorders>
            <w:shd w:val="clear" w:color="auto" w:fill="auto"/>
            <w:vAlign w:val="center"/>
            <w:hideMark/>
          </w:tcPr>
          <w:p w14:paraId="795CC486"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2</w:t>
            </w:r>
          </w:p>
        </w:tc>
        <w:tc>
          <w:tcPr>
            <w:tcW w:w="3689" w:type="dxa"/>
            <w:tcBorders>
              <w:top w:val="nil"/>
              <w:left w:val="nil"/>
              <w:bottom w:val="single" w:sz="8" w:space="0" w:color="auto"/>
              <w:right w:val="single" w:sz="8" w:space="0" w:color="auto"/>
            </w:tcBorders>
            <w:shd w:val="clear" w:color="auto" w:fill="auto"/>
            <w:vAlign w:val="center"/>
            <w:hideMark/>
          </w:tcPr>
          <w:p w14:paraId="76EC3998" w14:textId="77777777" w:rsidR="00741950" w:rsidRPr="00741950" w:rsidRDefault="00741950" w:rsidP="00741950">
            <w:pPr>
              <w:jc w:val="both"/>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Revelación</w:t>
            </w:r>
          </w:p>
        </w:tc>
        <w:tc>
          <w:tcPr>
            <w:tcW w:w="1999" w:type="dxa"/>
            <w:tcBorders>
              <w:top w:val="nil"/>
              <w:left w:val="nil"/>
              <w:bottom w:val="single" w:sz="8" w:space="0" w:color="auto"/>
              <w:right w:val="single" w:sz="8" w:space="0" w:color="auto"/>
            </w:tcBorders>
            <w:shd w:val="clear" w:color="auto" w:fill="auto"/>
            <w:vAlign w:val="center"/>
            <w:hideMark/>
          </w:tcPr>
          <w:p w14:paraId="5F6A723B" w14:textId="77777777" w:rsidR="00741950" w:rsidRPr="00741950" w:rsidRDefault="00741950" w:rsidP="00741950">
            <w:pPr>
              <w:jc w:val="both"/>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 xml:space="preserve"> </w:t>
            </w:r>
          </w:p>
        </w:tc>
        <w:tc>
          <w:tcPr>
            <w:tcW w:w="1875" w:type="dxa"/>
            <w:tcBorders>
              <w:top w:val="nil"/>
              <w:left w:val="nil"/>
              <w:bottom w:val="single" w:sz="8" w:space="0" w:color="auto"/>
              <w:right w:val="single" w:sz="8" w:space="0" w:color="auto"/>
            </w:tcBorders>
            <w:shd w:val="clear" w:color="auto" w:fill="auto"/>
            <w:vAlign w:val="center"/>
            <w:hideMark/>
          </w:tcPr>
          <w:p w14:paraId="11AD1E93" w14:textId="77777777" w:rsidR="00741950" w:rsidRPr="00741950" w:rsidRDefault="00741950" w:rsidP="00741950">
            <w:pP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DGCN</w:t>
            </w:r>
          </w:p>
        </w:tc>
      </w:tr>
    </w:tbl>
    <w:p w14:paraId="2CF6753F" w14:textId="77777777" w:rsidR="004C0894" w:rsidRDefault="004C0894" w:rsidP="00B5215C">
      <w:pPr>
        <w:pStyle w:val="Default"/>
        <w:ind w:right="261"/>
        <w:jc w:val="both"/>
        <w:rPr>
          <w:sz w:val="22"/>
          <w:szCs w:val="22"/>
          <w:lang w:val="es-CR"/>
        </w:rPr>
      </w:pPr>
    </w:p>
    <w:p w14:paraId="427420C3" w14:textId="7C19A62A" w:rsidR="00B5215C" w:rsidRDefault="00B5215C" w:rsidP="00B5215C">
      <w:pPr>
        <w:pStyle w:val="Default"/>
        <w:ind w:right="261"/>
        <w:jc w:val="both"/>
        <w:rPr>
          <w:rFonts w:eastAsia="Arial"/>
          <w:b/>
          <w:sz w:val="22"/>
          <w:szCs w:val="22"/>
        </w:rPr>
      </w:pPr>
      <w:r w:rsidRPr="00F02F9D">
        <w:rPr>
          <w:rFonts w:eastAsia="Arial"/>
          <w:b/>
          <w:sz w:val="22"/>
          <w:szCs w:val="22"/>
        </w:rPr>
        <w:t>Políticas Contables</w:t>
      </w:r>
    </w:p>
    <w:p w14:paraId="60A9C4E4" w14:textId="77777777" w:rsidR="00B5215C" w:rsidRDefault="00B5215C" w:rsidP="00B5215C">
      <w:pPr>
        <w:pStyle w:val="Default"/>
        <w:ind w:right="261"/>
        <w:jc w:val="both"/>
        <w:rPr>
          <w:sz w:val="22"/>
          <w:szCs w:val="22"/>
          <w:lang w:val="es-CR"/>
        </w:rPr>
      </w:pPr>
    </w:p>
    <w:p w14:paraId="7C6587A6" w14:textId="1AB06726" w:rsidR="00741950" w:rsidRPr="00741950" w:rsidRDefault="00741950" w:rsidP="00741950">
      <w:pPr>
        <w:pStyle w:val="Default"/>
        <w:ind w:left="1134" w:hanging="1134"/>
        <w:jc w:val="both"/>
        <w:rPr>
          <w:sz w:val="22"/>
          <w:szCs w:val="22"/>
          <w:lang w:val="es-CR"/>
        </w:rPr>
      </w:pPr>
      <w:r>
        <w:rPr>
          <w:sz w:val="22"/>
          <w:szCs w:val="22"/>
          <w:lang w:val="es-CR"/>
        </w:rPr>
        <w:t>2.116.0.01</w:t>
      </w:r>
      <w:r>
        <w:rPr>
          <w:sz w:val="22"/>
          <w:szCs w:val="22"/>
          <w:lang w:val="es-CR"/>
        </w:rPr>
        <w:tab/>
        <w:t>Mientras la Municipalidad</w:t>
      </w:r>
      <w:r w:rsidRPr="00741950">
        <w:rPr>
          <w:sz w:val="22"/>
          <w:szCs w:val="22"/>
          <w:lang w:val="es-CR"/>
        </w:rPr>
        <w:t xml:space="preserve"> se encuentre en proceso de transición realizando las tareas de cierre, y detecten saldos en el pasivo respecto de los cuales no se tengan los elementos necesarios para asignar con certeza su clasificación, asignación, modificación y/o depuración, podrá imputarlos en los pasivos sujetos a depuración contable, hasta tanto obtengan la correspondiente certeza o inicie el ejercicio 2024, lo que suceda primero. </w:t>
      </w:r>
    </w:p>
    <w:p w14:paraId="187C199D" w14:textId="77777777" w:rsidR="00741950" w:rsidRDefault="00741950" w:rsidP="00741950">
      <w:pPr>
        <w:pStyle w:val="Default"/>
        <w:jc w:val="both"/>
        <w:rPr>
          <w:sz w:val="22"/>
          <w:szCs w:val="22"/>
          <w:lang w:val="es-CR"/>
        </w:rPr>
      </w:pPr>
    </w:p>
    <w:p w14:paraId="7278D578" w14:textId="2C46AAB9" w:rsidR="00741950" w:rsidRPr="00741950" w:rsidRDefault="00741950" w:rsidP="00741950">
      <w:pPr>
        <w:pStyle w:val="Default"/>
        <w:ind w:left="1134" w:hanging="1134"/>
        <w:jc w:val="both"/>
        <w:rPr>
          <w:sz w:val="22"/>
          <w:szCs w:val="22"/>
          <w:lang w:val="es-CR"/>
        </w:rPr>
      </w:pPr>
      <w:r>
        <w:rPr>
          <w:sz w:val="22"/>
          <w:szCs w:val="22"/>
          <w:lang w:val="es-CR"/>
        </w:rPr>
        <w:t>2.116.1.01</w:t>
      </w:r>
      <w:r>
        <w:rPr>
          <w:sz w:val="22"/>
          <w:szCs w:val="22"/>
          <w:lang w:val="es-CR"/>
        </w:rPr>
        <w:tab/>
        <w:t>A</w:t>
      </w:r>
      <w:r w:rsidRPr="00741950">
        <w:rPr>
          <w:sz w:val="22"/>
          <w:szCs w:val="22"/>
          <w:lang w:val="es-CR"/>
        </w:rPr>
        <w:t xml:space="preserve"> efectos de evitar irregularidades, los saldos expuestos en pasivos sujetos a depuración </w:t>
      </w:r>
      <w:r w:rsidR="005907B3" w:rsidRPr="00741950">
        <w:rPr>
          <w:sz w:val="22"/>
          <w:szCs w:val="22"/>
          <w:lang w:val="es-CR"/>
        </w:rPr>
        <w:t>contable</w:t>
      </w:r>
      <w:r w:rsidRPr="00741950">
        <w:rPr>
          <w:sz w:val="22"/>
          <w:szCs w:val="22"/>
          <w:lang w:val="es-CR"/>
        </w:rPr>
        <w:t xml:space="preserve"> no podrán permanecer más allá del 31 de </w:t>
      </w:r>
      <w:r w:rsidR="005907B3" w:rsidRPr="00741950">
        <w:rPr>
          <w:sz w:val="22"/>
          <w:szCs w:val="22"/>
          <w:lang w:val="es-CR"/>
        </w:rPr>
        <w:t>dicie</w:t>
      </w:r>
      <w:r w:rsidR="005907B3">
        <w:rPr>
          <w:sz w:val="22"/>
          <w:szCs w:val="22"/>
          <w:lang w:val="es-CR"/>
        </w:rPr>
        <w:t>mbr</w:t>
      </w:r>
      <w:r w:rsidR="005907B3" w:rsidRPr="00741950">
        <w:rPr>
          <w:sz w:val="22"/>
          <w:szCs w:val="22"/>
          <w:lang w:val="es-CR"/>
        </w:rPr>
        <w:t>e</w:t>
      </w:r>
      <w:r w:rsidRPr="00741950">
        <w:rPr>
          <w:sz w:val="22"/>
          <w:szCs w:val="22"/>
          <w:lang w:val="es-CR"/>
        </w:rPr>
        <w:t xml:space="preserve"> de 202</w:t>
      </w:r>
      <w:r>
        <w:rPr>
          <w:sz w:val="22"/>
          <w:szCs w:val="22"/>
          <w:lang w:val="es-CR"/>
        </w:rPr>
        <w:t>4</w:t>
      </w:r>
      <w:r w:rsidRPr="00741950">
        <w:rPr>
          <w:sz w:val="22"/>
          <w:szCs w:val="22"/>
          <w:lang w:val="es-CR"/>
        </w:rPr>
        <w:t xml:space="preserve"> sin la asignación cierta correspondiente. </w:t>
      </w:r>
    </w:p>
    <w:p w14:paraId="20A248CB" w14:textId="77777777" w:rsidR="00741950" w:rsidRPr="00741950" w:rsidRDefault="00741950" w:rsidP="00741950">
      <w:pPr>
        <w:pStyle w:val="Default"/>
        <w:ind w:left="1134" w:hanging="1134"/>
        <w:jc w:val="both"/>
        <w:rPr>
          <w:sz w:val="22"/>
          <w:szCs w:val="22"/>
          <w:lang w:val="es-CR"/>
        </w:rPr>
      </w:pPr>
    </w:p>
    <w:p w14:paraId="0CCF5251" w14:textId="10FDA58C" w:rsidR="00741950" w:rsidRPr="00741950" w:rsidRDefault="00741950" w:rsidP="00741950">
      <w:pPr>
        <w:pStyle w:val="Default"/>
        <w:ind w:left="1134" w:hanging="1134"/>
        <w:jc w:val="both"/>
        <w:rPr>
          <w:sz w:val="22"/>
          <w:szCs w:val="22"/>
          <w:lang w:val="es-CR"/>
        </w:rPr>
      </w:pPr>
      <w:r w:rsidRPr="00741950">
        <w:rPr>
          <w:sz w:val="22"/>
          <w:szCs w:val="22"/>
          <w:lang w:val="es-CR"/>
        </w:rPr>
        <w:t>2.</w:t>
      </w:r>
      <w:r>
        <w:rPr>
          <w:sz w:val="22"/>
          <w:szCs w:val="22"/>
          <w:lang w:val="es-CR"/>
        </w:rPr>
        <w:t>116.2.01</w:t>
      </w:r>
      <w:r>
        <w:rPr>
          <w:sz w:val="22"/>
          <w:szCs w:val="22"/>
          <w:lang w:val="es-CR"/>
        </w:rPr>
        <w:tab/>
      </w:r>
      <w:r w:rsidRPr="00741950">
        <w:rPr>
          <w:sz w:val="22"/>
          <w:szCs w:val="22"/>
          <w:lang w:val="es-CR"/>
        </w:rPr>
        <w:t xml:space="preserve">En nota a los EEFF deberán detallarse los saldos imputados a pasivos sujetos a depuración contable y exponer el problema que los mismos han presentado para su imputación definitiva, como así </w:t>
      </w:r>
      <w:r w:rsidR="005907B3" w:rsidRPr="00741950">
        <w:rPr>
          <w:sz w:val="22"/>
          <w:szCs w:val="22"/>
          <w:lang w:val="es-CR"/>
        </w:rPr>
        <w:t>ta</w:t>
      </w:r>
      <w:r w:rsidR="005907B3">
        <w:rPr>
          <w:sz w:val="22"/>
          <w:szCs w:val="22"/>
          <w:lang w:val="es-CR"/>
        </w:rPr>
        <w:t>mbi</w:t>
      </w:r>
      <w:r w:rsidR="005907B3" w:rsidRPr="00741950">
        <w:rPr>
          <w:sz w:val="22"/>
          <w:szCs w:val="22"/>
          <w:lang w:val="es-CR"/>
        </w:rPr>
        <w:t>én</w:t>
      </w:r>
      <w:r w:rsidRPr="00741950">
        <w:rPr>
          <w:sz w:val="22"/>
          <w:szCs w:val="22"/>
          <w:lang w:val="es-CR"/>
        </w:rPr>
        <w:t xml:space="preserve"> las tareas realizadas y a realizar para determinar la imputación definitiva. </w:t>
      </w:r>
    </w:p>
    <w:p w14:paraId="771049CB" w14:textId="77777777" w:rsidR="004C0894" w:rsidRDefault="004C0894" w:rsidP="00A279AD">
      <w:pPr>
        <w:pStyle w:val="Default"/>
        <w:spacing w:after="120" w:line="238" w:lineRule="auto"/>
        <w:ind w:right="260"/>
        <w:jc w:val="both"/>
        <w:rPr>
          <w:sz w:val="22"/>
          <w:szCs w:val="22"/>
          <w:lang w:val="es-CR"/>
        </w:rPr>
      </w:pPr>
    </w:p>
    <w:p w14:paraId="74E79BA5" w14:textId="77777777" w:rsidR="00741950" w:rsidRDefault="00741950" w:rsidP="00A279AD">
      <w:pPr>
        <w:pStyle w:val="Default"/>
        <w:spacing w:after="120" w:line="238" w:lineRule="auto"/>
        <w:ind w:right="260"/>
        <w:jc w:val="both"/>
        <w:rPr>
          <w:sz w:val="22"/>
          <w:szCs w:val="22"/>
          <w:lang w:val="es-CR"/>
        </w:rPr>
      </w:pPr>
    </w:p>
    <w:p w14:paraId="63DAF3C8" w14:textId="77777777" w:rsidR="004C0894" w:rsidRDefault="004C0894" w:rsidP="00A279AD">
      <w:pPr>
        <w:pStyle w:val="Default"/>
        <w:spacing w:after="120" w:line="238" w:lineRule="auto"/>
        <w:ind w:right="260"/>
        <w:jc w:val="both"/>
        <w:rPr>
          <w:sz w:val="22"/>
          <w:szCs w:val="22"/>
          <w:lang w:val="es-CR"/>
        </w:rPr>
      </w:pPr>
    </w:p>
    <w:p w14:paraId="3EA7B002" w14:textId="707A8759" w:rsidR="00741950" w:rsidRPr="00425974" w:rsidRDefault="006609F0" w:rsidP="006609F0">
      <w:pPr>
        <w:pStyle w:val="Ttulo1"/>
        <w:rPr>
          <w:rFonts w:ascii="Arial Narrow" w:eastAsia="Arial" w:hAnsi="Arial Narrow"/>
          <w:b/>
          <w:bCs/>
          <w:lang w:val="es-CR"/>
        </w:rPr>
      </w:pPr>
      <w:bookmarkStart w:id="108" w:name="_Toc172726243"/>
      <w:r w:rsidRPr="00425974">
        <w:rPr>
          <w:rFonts w:ascii="Arial Narrow" w:eastAsia="Arial" w:hAnsi="Arial Narrow"/>
          <w:b/>
          <w:bCs/>
          <w:lang w:val="es-CR"/>
        </w:rPr>
        <w:t>CAPÍTULO III</w:t>
      </w:r>
      <w:bookmarkEnd w:id="108"/>
    </w:p>
    <w:p w14:paraId="42180050" w14:textId="77777777" w:rsidR="00741950" w:rsidRPr="00627673" w:rsidRDefault="00741950" w:rsidP="00741950">
      <w:pPr>
        <w:spacing w:line="253" w:lineRule="exact"/>
        <w:jc w:val="center"/>
        <w:rPr>
          <w:rFonts w:ascii="Times New Roman" w:eastAsia="Times New Roman" w:hAnsi="Times New Roman"/>
          <w:lang w:val="es-CR"/>
        </w:rPr>
      </w:pPr>
    </w:p>
    <w:p w14:paraId="2DD0D0C2" w14:textId="231D217F" w:rsidR="00741950" w:rsidRPr="00425974" w:rsidRDefault="00741950" w:rsidP="00425974">
      <w:pPr>
        <w:pStyle w:val="Ttulo2"/>
        <w:rPr>
          <w:rFonts w:ascii="Arial" w:eastAsia="Arial" w:hAnsi="Arial" w:cs="Arial"/>
          <w:b/>
          <w:bCs/>
          <w:sz w:val="28"/>
          <w:szCs w:val="28"/>
          <w:lang w:val="es-CR"/>
        </w:rPr>
      </w:pPr>
      <w:bookmarkStart w:id="109" w:name="_Toc172726244"/>
      <w:r w:rsidRPr="00425974">
        <w:rPr>
          <w:rFonts w:ascii="Arial" w:eastAsia="Arial" w:hAnsi="Arial" w:cs="Arial"/>
          <w:b/>
          <w:bCs/>
          <w:sz w:val="28"/>
          <w:szCs w:val="28"/>
          <w:lang w:val="es-CR"/>
        </w:rPr>
        <w:t xml:space="preserve">Políticas Contables </w:t>
      </w:r>
      <w:r w:rsidR="00425974" w:rsidRPr="00425974">
        <w:rPr>
          <w:rFonts w:ascii="Arial" w:eastAsia="Arial" w:hAnsi="Arial" w:cs="Arial"/>
          <w:b/>
          <w:bCs/>
          <w:sz w:val="28"/>
          <w:szCs w:val="28"/>
          <w:lang w:val="es-CR"/>
        </w:rPr>
        <w:t xml:space="preserve">Generales y Particulares </w:t>
      </w:r>
      <w:r w:rsidRPr="00425974">
        <w:rPr>
          <w:rFonts w:ascii="Arial" w:eastAsia="Arial" w:hAnsi="Arial" w:cs="Arial"/>
          <w:b/>
          <w:bCs/>
          <w:sz w:val="28"/>
          <w:szCs w:val="28"/>
          <w:lang w:val="es-CR"/>
        </w:rPr>
        <w:t xml:space="preserve">para el </w:t>
      </w:r>
      <w:r w:rsidR="00425974" w:rsidRPr="00425974">
        <w:rPr>
          <w:rFonts w:ascii="Arial" w:eastAsia="Arial" w:hAnsi="Arial" w:cs="Arial"/>
          <w:b/>
          <w:bCs/>
          <w:sz w:val="28"/>
          <w:szCs w:val="28"/>
          <w:lang w:val="es-CR"/>
        </w:rPr>
        <w:t>P</w:t>
      </w:r>
      <w:r w:rsidRPr="00425974">
        <w:rPr>
          <w:rFonts w:ascii="Arial" w:eastAsia="Arial" w:hAnsi="Arial" w:cs="Arial"/>
          <w:b/>
          <w:bCs/>
          <w:sz w:val="28"/>
          <w:szCs w:val="28"/>
          <w:lang w:val="es-CR"/>
        </w:rPr>
        <w:t>atrimonio</w:t>
      </w:r>
      <w:bookmarkEnd w:id="109"/>
    </w:p>
    <w:p w14:paraId="3EE57832" w14:textId="77777777" w:rsidR="00741950" w:rsidRDefault="00741950" w:rsidP="00741950">
      <w:pPr>
        <w:spacing w:line="242" w:lineRule="exact"/>
        <w:rPr>
          <w:rFonts w:ascii="Times New Roman" w:eastAsia="Times New Roman" w:hAnsi="Times New Roman"/>
          <w:lang w:val="es-CR"/>
        </w:rPr>
      </w:pPr>
    </w:p>
    <w:p w14:paraId="3E91A474" w14:textId="77777777" w:rsidR="00741950" w:rsidRPr="00627673" w:rsidRDefault="00741950" w:rsidP="00741950">
      <w:pPr>
        <w:spacing w:line="242" w:lineRule="exact"/>
        <w:rPr>
          <w:rFonts w:ascii="Times New Roman" w:eastAsia="Times New Roman" w:hAnsi="Times New Roman"/>
          <w:lang w:val="es-CR"/>
        </w:rPr>
      </w:pPr>
    </w:p>
    <w:p w14:paraId="181026A8" w14:textId="40058D58" w:rsidR="00741950" w:rsidRDefault="00741950" w:rsidP="00FB4CAF">
      <w:pPr>
        <w:pStyle w:val="Ttulo2"/>
        <w:rPr>
          <w:rFonts w:ascii="Arial" w:eastAsia="Arial" w:hAnsi="Arial" w:cs="Arial"/>
          <w:b/>
          <w:bCs/>
          <w:sz w:val="28"/>
          <w:szCs w:val="28"/>
          <w:lang w:val="es-CR"/>
        </w:rPr>
      </w:pPr>
      <w:bookmarkStart w:id="110" w:name="_Toc172726245"/>
      <w:r w:rsidRPr="00FB4CAF">
        <w:rPr>
          <w:rFonts w:ascii="Arial" w:eastAsia="Arial" w:hAnsi="Arial" w:cs="Arial"/>
          <w:b/>
          <w:bCs/>
          <w:sz w:val="28"/>
          <w:szCs w:val="28"/>
          <w:lang w:val="es-CR"/>
        </w:rPr>
        <w:t>3. Patrimonio</w:t>
      </w:r>
      <w:bookmarkEnd w:id="110"/>
    </w:p>
    <w:p w14:paraId="09C28F43" w14:textId="77777777" w:rsidR="00B5215C" w:rsidRDefault="00B5215C" w:rsidP="00B5215C">
      <w:pPr>
        <w:rPr>
          <w:lang w:val="es-CR"/>
        </w:rPr>
      </w:pPr>
    </w:p>
    <w:p w14:paraId="40A0C0CC" w14:textId="77777777" w:rsidR="00B5215C" w:rsidRPr="00B5215C" w:rsidRDefault="00B5215C" w:rsidP="00B5215C">
      <w:pPr>
        <w:rPr>
          <w:lang w:val="es-CR"/>
        </w:rPr>
      </w:pPr>
    </w:p>
    <w:p w14:paraId="184F6977" w14:textId="77777777" w:rsidR="00B5085E" w:rsidRPr="00B5085E" w:rsidRDefault="00B5085E" w:rsidP="00B5085E">
      <w:pPr>
        <w:rPr>
          <w:lang w:val="es-CR"/>
        </w:rPr>
      </w:pPr>
    </w:p>
    <w:tbl>
      <w:tblPr>
        <w:tblW w:w="9394" w:type="dxa"/>
        <w:tblLayout w:type="fixed"/>
        <w:tblLook w:val="04A0" w:firstRow="1" w:lastRow="0" w:firstColumn="1" w:lastColumn="0" w:noHBand="0" w:noVBand="1"/>
      </w:tblPr>
      <w:tblGrid>
        <w:gridCol w:w="770"/>
        <w:gridCol w:w="317"/>
        <w:gridCol w:w="604"/>
        <w:gridCol w:w="3828"/>
        <w:gridCol w:w="1995"/>
        <w:gridCol w:w="1874"/>
        <w:gridCol w:w="6"/>
      </w:tblGrid>
      <w:tr w:rsidR="00741950" w:rsidRPr="00741950" w14:paraId="76426624" w14:textId="77777777" w:rsidTr="00B5215C">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3FD7272" w14:textId="77777777" w:rsidR="00741950" w:rsidRPr="00741950" w:rsidRDefault="00741950" w:rsidP="00741950">
            <w:pPr>
              <w:jc w:val="center"/>
              <w:rPr>
                <w:rFonts w:ascii="Arial Narrow" w:eastAsia="Times New Roman" w:hAnsi="Arial Narrow" w:cs="Calibri"/>
                <w:b/>
                <w:bCs/>
                <w:color w:val="FFFFFF"/>
                <w:sz w:val="22"/>
                <w:szCs w:val="22"/>
              </w:rPr>
            </w:pPr>
            <w:r w:rsidRPr="00741950">
              <w:rPr>
                <w:rFonts w:ascii="Arial Narrow" w:eastAsia="Times New Roman" w:hAnsi="Arial Narrow" w:cs="Calibri"/>
                <w:b/>
                <w:bCs/>
                <w:color w:val="FFFFFF"/>
                <w:sz w:val="22"/>
                <w:szCs w:val="22"/>
              </w:rPr>
              <w:t>Norma / Política</w:t>
            </w:r>
          </w:p>
        </w:tc>
        <w:tc>
          <w:tcPr>
            <w:tcW w:w="3828" w:type="dxa"/>
            <w:vMerge w:val="restart"/>
            <w:tcBorders>
              <w:top w:val="single" w:sz="8" w:space="0" w:color="auto"/>
              <w:left w:val="single" w:sz="8" w:space="0" w:color="auto"/>
              <w:bottom w:val="nil"/>
              <w:right w:val="single" w:sz="8" w:space="0" w:color="auto"/>
            </w:tcBorders>
            <w:shd w:val="clear" w:color="000000" w:fill="203764"/>
            <w:vAlign w:val="center"/>
            <w:hideMark/>
          </w:tcPr>
          <w:p w14:paraId="1D1C3DAF" w14:textId="77777777" w:rsidR="00741950" w:rsidRPr="00741950" w:rsidRDefault="00741950" w:rsidP="00741950">
            <w:pPr>
              <w:jc w:val="center"/>
              <w:rPr>
                <w:rFonts w:ascii="Arial Narrow" w:eastAsia="Times New Roman" w:hAnsi="Arial Narrow" w:cs="Calibri"/>
                <w:b/>
                <w:bCs/>
                <w:color w:val="FFFFFF"/>
                <w:sz w:val="22"/>
                <w:szCs w:val="22"/>
              </w:rPr>
            </w:pPr>
            <w:r w:rsidRPr="00741950">
              <w:rPr>
                <w:rFonts w:ascii="Arial Narrow" w:eastAsia="Times New Roman" w:hAnsi="Arial Narrow" w:cs="Calibri"/>
                <w:b/>
                <w:bCs/>
                <w:color w:val="FFFFFF"/>
                <w:sz w:val="22"/>
                <w:szCs w:val="22"/>
              </w:rPr>
              <w:t>Concepto</w:t>
            </w:r>
          </w:p>
        </w:tc>
        <w:tc>
          <w:tcPr>
            <w:tcW w:w="3875" w:type="dxa"/>
            <w:gridSpan w:val="3"/>
            <w:tcBorders>
              <w:top w:val="single" w:sz="8" w:space="0" w:color="auto"/>
              <w:left w:val="nil"/>
              <w:bottom w:val="single" w:sz="8" w:space="0" w:color="auto"/>
              <w:right w:val="single" w:sz="8" w:space="0" w:color="000000"/>
            </w:tcBorders>
            <w:shd w:val="clear" w:color="000000" w:fill="203764"/>
            <w:vAlign w:val="center"/>
            <w:hideMark/>
          </w:tcPr>
          <w:p w14:paraId="5F7713E0" w14:textId="77777777" w:rsidR="00741950" w:rsidRPr="00741950" w:rsidRDefault="00741950" w:rsidP="00741950">
            <w:pPr>
              <w:jc w:val="center"/>
              <w:rPr>
                <w:rFonts w:ascii="Arial Narrow" w:eastAsia="Times New Roman" w:hAnsi="Arial Narrow" w:cs="Calibri"/>
                <w:b/>
                <w:bCs/>
                <w:color w:val="FFFFFF"/>
                <w:sz w:val="22"/>
                <w:szCs w:val="22"/>
              </w:rPr>
            </w:pPr>
            <w:r w:rsidRPr="00741950">
              <w:rPr>
                <w:rFonts w:ascii="Arial Narrow" w:eastAsia="Times New Roman" w:hAnsi="Arial Narrow" w:cs="Calibri"/>
                <w:b/>
                <w:bCs/>
                <w:color w:val="FFFFFF"/>
                <w:sz w:val="22"/>
                <w:szCs w:val="22"/>
              </w:rPr>
              <w:t>Referencia</w:t>
            </w:r>
          </w:p>
        </w:tc>
      </w:tr>
      <w:tr w:rsidR="00741950" w:rsidRPr="006E5442" w14:paraId="0E0C64EE" w14:textId="77777777" w:rsidTr="00B5215C">
        <w:trPr>
          <w:gridAfter w:val="1"/>
          <w:wAfter w:w="6" w:type="dxa"/>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6C557740" w14:textId="77777777" w:rsidR="00741950" w:rsidRPr="00741950" w:rsidRDefault="00741950" w:rsidP="00741950">
            <w:pPr>
              <w:rPr>
                <w:rFonts w:ascii="Arial Narrow" w:eastAsia="Times New Roman" w:hAnsi="Arial Narrow" w:cs="Calibri"/>
                <w:b/>
                <w:bCs/>
                <w:color w:val="FFFFFF"/>
                <w:sz w:val="22"/>
                <w:szCs w:val="22"/>
              </w:rPr>
            </w:pPr>
          </w:p>
        </w:tc>
        <w:tc>
          <w:tcPr>
            <w:tcW w:w="3828" w:type="dxa"/>
            <w:vMerge/>
            <w:tcBorders>
              <w:top w:val="single" w:sz="8" w:space="0" w:color="auto"/>
              <w:left w:val="single" w:sz="8" w:space="0" w:color="auto"/>
              <w:bottom w:val="nil"/>
              <w:right w:val="single" w:sz="8" w:space="0" w:color="auto"/>
            </w:tcBorders>
            <w:vAlign w:val="center"/>
            <w:hideMark/>
          </w:tcPr>
          <w:p w14:paraId="25CCBBFA" w14:textId="77777777" w:rsidR="00741950" w:rsidRPr="00741950" w:rsidRDefault="00741950" w:rsidP="00741950">
            <w:pPr>
              <w:rPr>
                <w:rFonts w:ascii="Arial Narrow" w:eastAsia="Times New Roman" w:hAnsi="Arial Narrow" w:cs="Calibri"/>
                <w:b/>
                <w:bCs/>
                <w:color w:val="FFFFFF"/>
                <w:sz w:val="22"/>
                <w:szCs w:val="22"/>
              </w:rPr>
            </w:pPr>
          </w:p>
        </w:tc>
        <w:tc>
          <w:tcPr>
            <w:tcW w:w="1995" w:type="dxa"/>
            <w:tcBorders>
              <w:top w:val="nil"/>
              <w:left w:val="nil"/>
              <w:bottom w:val="nil"/>
              <w:right w:val="single" w:sz="8" w:space="0" w:color="auto"/>
            </w:tcBorders>
            <w:shd w:val="clear" w:color="000000" w:fill="203764"/>
            <w:vAlign w:val="center"/>
            <w:hideMark/>
          </w:tcPr>
          <w:p w14:paraId="3A5424B0" w14:textId="77777777" w:rsidR="00741950" w:rsidRPr="00741950" w:rsidRDefault="00741950" w:rsidP="00741950">
            <w:pPr>
              <w:jc w:val="center"/>
              <w:rPr>
                <w:rFonts w:ascii="Arial Narrow" w:eastAsia="Times New Roman" w:hAnsi="Arial Narrow" w:cs="Calibri"/>
                <w:b/>
                <w:bCs/>
                <w:color w:val="FFFFFF"/>
                <w:sz w:val="22"/>
                <w:szCs w:val="22"/>
              </w:rPr>
            </w:pPr>
            <w:r w:rsidRPr="00741950">
              <w:rPr>
                <w:rFonts w:ascii="Arial Narrow" w:eastAsia="Times New Roman" w:hAnsi="Arial Narrow" w:cs="Calibri"/>
                <w:b/>
                <w:bCs/>
                <w:color w:val="FFFFFF"/>
                <w:sz w:val="22"/>
                <w:szCs w:val="22"/>
              </w:rPr>
              <w:t>Norma</w:t>
            </w:r>
          </w:p>
        </w:tc>
        <w:tc>
          <w:tcPr>
            <w:tcW w:w="1874" w:type="dxa"/>
            <w:tcBorders>
              <w:top w:val="nil"/>
              <w:left w:val="nil"/>
              <w:bottom w:val="nil"/>
              <w:right w:val="single" w:sz="8" w:space="0" w:color="auto"/>
            </w:tcBorders>
            <w:shd w:val="clear" w:color="000000" w:fill="203764"/>
            <w:vAlign w:val="center"/>
            <w:hideMark/>
          </w:tcPr>
          <w:p w14:paraId="491036A0" w14:textId="77777777" w:rsidR="00741950" w:rsidRPr="00741950" w:rsidRDefault="00741950" w:rsidP="00741950">
            <w:pPr>
              <w:jc w:val="center"/>
              <w:rPr>
                <w:rFonts w:ascii="Arial Narrow" w:eastAsia="Times New Roman" w:hAnsi="Arial Narrow" w:cs="Calibri"/>
                <w:b/>
                <w:bCs/>
                <w:color w:val="FFFFFF"/>
                <w:sz w:val="22"/>
                <w:szCs w:val="22"/>
                <w:lang w:val="es-CR"/>
              </w:rPr>
            </w:pPr>
            <w:r w:rsidRPr="00741950">
              <w:rPr>
                <w:rFonts w:ascii="Arial Narrow" w:eastAsia="Times New Roman" w:hAnsi="Arial Narrow" w:cs="Calibri"/>
                <w:b/>
                <w:bCs/>
                <w:color w:val="FFFFFF"/>
                <w:sz w:val="22"/>
                <w:szCs w:val="22"/>
                <w:lang w:val="es-CR"/>
              </w:rPr>
              <w:t>Normativa técnica y disposiciones adicionales</w:t>
            </w:r>
          </w:p>
        </w:tc>
      </w:tr>
      <w:tr w:rsidR="00741950" w:rsidRPr="00741950" w14:paraId="64979744" w14:textId="77777777" w:rsidTr="00B5215C">
        <w:trPr>
          <w:gridAfter w:val="1"/>
          <w:wAfter w:w="6" w:type="dxa"/>
          <w:trHeight w:val="320"/>
        </w:trPr>
        <w:tc>
          <w:tcPr>
            <w:tcW w:w="7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88B8E9"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3</w:t>
            </w:r>
          </w:p>
        </w:tc>
        <w:tc>
          <w:tcPr>
            <w:tcW w:w="317" w:type="dxa"/>
            <w:tcBorders>
              <w:top w:val="single" w:sz="8" w:space="0" w:color="auto"/>
              <w:left w:val="nil"/>
              <w:bottom w:val="single" w:sz="8" w:space="0" w:color="auto"/>
              <w:right w:val="single" w:sz="8" w:space="0" w:color="auto"/>
            </w:tcBorders>
            <w:shd w:val="clear" w:color="auto" w:fill="auto"/>
            <w:noWrap/>
            <w:vAlign w:val="center"/>
            <w:hideMark/>
          </w:tcPr>
          <w:p w14:paraId="742A69D4" w14:textId="77777777" w:rsidR="00741950" w:rsidRPr="00741950" w:rsidRDefault="00741950" w:rsidP="00741950">
            <w:pPr>
              <w:jc w:val="cente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1</w:t>
            </w:r>
          </w:p>
        </w:tc>
        <w:tc>
          <w:tcPr>
            <w:tcW w:w="604" w:type="dxa"/>
            <w:tcBorders>
              <w:top w:val="single" w:sz="8" w:space="0" w:color="auto"/>
              <w:left w:val="nil"/>
              <w:bottom w:val="single" w:sz="8" w:space="0" w:color="auto"/>
              <w:right w:val="single" w:sz="8" w:space="0" w:color="auto"/>
            </w:tcBorders>
            <w:shd w:val="clear" w:color="auto" w:fill="auto"/>
            <w:vAlign w:val="center"/>
            <w:hideMark/>
          </w:tcPr>
          <w:p w14:paraId="1A2AEA25" w14:textId="707986CC" w:rsidR="00741950" w:rsidRPr="00741950" w:rsidRDefault="00741950" w:rsidP="00741950">
            <w:pPr>
              <w:jc w:val="center"/>
              <w:rPr>
                <w:rFonts w:ascii="Arial Narrow" w:eastAsia="Times New Roman" w:hAnsi="Arial Narrow" w:cs="Calibri"/>
                <w:b/>
                <w:bCs/>
                <w:color w:val="000000"/>
                <w:sz w:val="22"/>
                <w:szCs w:val="22"/>
              </w:rPr>
            </w:pPr>
          </w:p>
        </w:tc>
        <w:tc>
          <w:tcPr>
            <w:tcW w:w="3828" w:type="dxa"/>
            <w:tcBorders>
              <w:top w:val="single" w:sz="8" w:space="0" w:color="auto"/>
              <w:left w:val="nil"/>
              <w:bottom w:val="single" w:sz="8" w:space="0" w:color="auto"/>
              <w:right w:val="single" w:sz="8" w:space="0" w:color="auto"/>
            </w:tcBorders>
            <w:shd w:val="clear" w:color="auto" w:fill="auto"/>
            <w:vAlign w:val="center"/>
            <w:hideMark/>
          </w:tcPr>
          <w:p w14:paraId="7B65584B" w14:textId="4E04134E" w:rsidR="00741950" w:rsidRPr="00741950" w:rsidRDefault="00741950" w:rsidP="00741950">
            <w:pPr>
              <w:jc w:val="both"/>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 xml:space="preserve">Patrimonio </w:t>
            </w:r>
            <w:r w:rsidR="0069573C">
              <w:rPr>
                <w:rFonts w:ascii="Arial Narrow" w:eastAsia="Times New Roman" w:hAnsi="Arial Narrow" w:cs="Calibri"/>
                <w:b/>
                <w:bCs/>
                <w:color w:val="000000"/>
                <w:sz w:val="22"/>
                <w:szCs w:val="22"/>
              </w:rPr>
              <w:t>municipal</w:t>
            </w:r>
          </w:p>
        </w:tc>
        <w:tc>
          <w:tcPr>
            <w:tcW w:w="1995" w:type="dxa"/>
            <w:tcBorders>
              <w:top w:val="single" w:sz="8" w:space="0" w:color="auto"/>
              <w:left w:val="nil"/>
              <w:bottom w:val="single" w:sz="8" w:space="0" w:color="auto"/>
              <w:right w:val="single" w:sz="8" w:space="0" w:color="auto"/>
            </w:tcBorders>
            <w:shd w:val="clear" w:color="auto" w:fill="auto"/>
            <w:vAlign w:val="center"/>
            <w:hideMark/>
          </w:tcPr>
          <w:p w14:paraId="79F920B1" w14:textId="77777777" w:rsidR="00741950" w:rsidRPr="00741950" w:rsidRDefault="00741950" w:rsidP="00741950">
            <w:pPr>
              <w:jc w:val="both"/>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 xml:space="preserve"> </w:t>
            </w:r>
          </w:p>
        </w:tc>
        <w:tc>
          <w:tcPr>
            <w:tcW w:w="1874" w:type="dxa"/>
            <w:tcBorders>
              <w:top w:val="single" w:sz="8" w:space="0" w:color="auto"/>
              <w:left w:val="nil"/>
              <w:bottom w:val="single" w:sz="8" w:space="0" w:color="auto"/>
              <w:right w:val="single" w:sz="8" w:space="0" w:color="auto"/>
            </w:tcBorders>
            <w:shd w:val="clear" w:color="auto" w:fill="auto"/>
            <w:vAlign w:val="center"/>
            <w:hideMark/>
          </w:tcPr>
          <w:p w14:paraId="6568126C" w14:textId="77777777" w:rsidR="00741950" w:rsidRPr="00741950" w:rsidRDefault="00741950" w:rsidP="00741950">
            <w:pPr>
              <w:rPr>
                <w:rFonts w:ascii="Arial Narrow" w:eastAsia="Times New Roman" w:hAnsi="Arial Narrow" w:cs="Calibri"/>
                <w:b/>
                <w:bCs/>
                <w:color w:val="000000"/>
                <w:sz w:val="22"/>
                <w:szCs w:val="22"/>
              </w:rPr>
            </w:pPr>
            <w:r w:rsidRPr="00741950">
              <w:rPr>
                <w:rFonts w:ascii="Arial Narrow" w:eastAsia="Times New Roman" w:hAnsi="Arial Narrow" w:cs="Calibri"/>
                <w:b/>
                <w:bCs/>
                <w:color w:val="000000"/>
                <w:sz w:val="22"/>
                <w:szCs w:val="22"/>
              </w:rPr>
              <w:t>DGCN</w:t>
            </w:r>
          </w:p>
        </w:tc>
      </w:tr>
    </w:tbl>
    <w:p w14:paraId="7245169C" w14:textId="77777777" w:rsidR="00B5215C" w:rsidRDefault="00B5215C" w:rsidP="00B5215C">
      <w:pPr>
        <w:pStyle w:val="Default"/>
        <w:ind w:right="261"/>
        <w:jc w:val="both"/>
        <w:rPr>
          <w:rFonts w:eastAsia="Arial"/>
          <w:b/>
          <w:sz w:val="22"/>
          <w:szCs w:val="22"/>
        </w:rPr>
      </w:pPr>
    </w:p>
    <w:p w14:paraId="4C0998CF" w14:textId="77777777" w:rsidR="00B5215C" w:rsidRDefault="00B5215C" w:rsidP="00B5215C">
      <w:pPr>
        <w:pStyle w:val="Default"/>
        <w:ind w:right="261"/>
        <w:jc w:val="both"/>
        <w:rPr>
          <w:rFonts w:eastAsia="Arial"/>
          <w:b/>
          <w:sz w:val="22"/>
          <w:szCs w:val="22"/>
        </w:rPr>
      </w:pPr>
    </w:p>
    <w:p w14:paraId="30DB09A6" w14:textId="77777777" w:rsidR="00B5215C" w:rsidRDefault="00B5215C" w:rsidP="00B5215C">
      <w:pPr>
        <w:pStyle w:val="Default"/>
        <w:ind w:right="261"/>
        <w:jc w:val="both"/>
        <w:rPr>
          <w:rFonts w:eastAsia="Arial"/>
          <w:b/>
          <w:sz w:val="22"/>
          <w:szCs w:val="22"/>
        </w:rPr>
      </w:pPr>
    </w:p>
    <w:p w14:paraId="55677523" w14:textId="77777777" w:rsidR="00B5215C" w:rsidRDefault="00B5215C" w:rsidP="00B5215C">
      <w:pPr>
        <w:pStyle w:val="Default"/>
        <w:ind w:right="261"/>
        <w:jc w:val="both"/>
        <w:rPr>
          <w:rFonts w:eastAsia="Arial"/>
          <w:b/>
          <w:sz w:val="22"/>
          <w:szCs w:val="22"/>
        </w:rPr>
      </w:pPr>
    </w:p>
    <w:p w14:paraId="31B36612" w14:textId="2E6BADB4" w:rsidR="004C0894" w:rsidRDefault="00B5215C" w:rsidP="00B5215C">
      <w:pPr>
        <w:pStyle w:val="Default"/>
        <w:ind w:right="261"/>
        <w:jc w:val="both"/>
        <w:rPr>
          <w:rFonts w:eastAsia="Arial"/>
          <w:b/>
          <w:sz w:val="22"/>
          <w:szCs w:val="22"/>
        </w:rPr>
      </w:pPr>
      <w:r w:rsidRPr="00F02F9D">
        <w:rPr>
          <w:rFonts w:eastAsia="Arial"/>
          <w:b/>
          <w:sz w:val="22"/>
          <w:szCs w:val="22"/>
        </w:rPr>
        <w:lastRenderedPageBreak/>
        <w:t>Política</w:t>
      </w:r>
      <w:r>
        <w:rPr>
          <w:rFonts w:eastAsia="Arial"/>
          <w:b/>
          <w:sz w:val="22"/>
          <w:szCs w:val="22"/>
        </w:rPr>
        <w:t xml:space="preserve"> </w:t>
      </w:r>
      <w:r w:rsidRPr="00F02F9D">
        <w:rPr>
          <w:rFonts w:eastAsia="Arial"/>
          <w:b/>
          <w:sz w:val="22"/>
          <w:szCs w:val="22"/>
        </w:rPr>
        <w:t>Contable</w:t>
      </w:r>
    </w:p>
    <w:p w14:paraId="01218920" w14:textId="77777777" w:rsidR="00B5215C" w:rsidRDefault="00B5215C" w:rsidP="00B5215C">
      <w:pPr>
        <w:pStyle w:val="Default"/>
        <w:ind w:right="261"/>
        <w:jc w:val="both"/>
        <w:rPr>
          <w:sz w:val="22"/>
          <w:szCs w:val="22"/>
          <w:lang w:val="es-CR"/>
        </w:rPr>
      </w:pPr>
    </w:p>
    <w:p w14:paraId="428E271C" w14:textId="7D059AC0" w:rsidR="004C0894" w:rsidRDefault="00EE6124" w:rsidP="00B5215C">
      <w:pPr>
        <w:pStyle w:val="Default"/>
        <w:ind w:left="1134" w:right="26" w:hanging="1134"/>
        <w:jc w:val="both"/>
        <w:rPr>
          <w:sz w:val="22"/>
          <w:szCs w:val="22"/>
          <w:lang w:val="es-CR"/>
        </w:rPr>
      </w:pPr>
      <w:r>
        <w:rPr>
          <w:sz w:val="22"/>
          <w:szCs w:val="22"/>
          <w:lang w:val="es-CR"/>
        </w:rPr>
        <w:t>3.1.0.01</w:t>
      </w:r>
      <w:r>
        <w:rPr>
          <w:sz w:val="22"/>
          <w:szCs w:val="22"/>
          <w:lang w:val="es-CR"/>
        </w:rPr>
        <w:tab/>
      </w:r>
      <w:r w:rsidRPr="00EE6124">
        <w:rPr>
          <w:sz w:val="22"/>
          <w:szCs w:val="22"/>
          <w:lang w:val="es-CR"/>
        </w:rPr>
        <w:t>El Patrimonio</w:t>
      </w:r>
      <w:r w:rsidR="0069573C">
        <w:rPr>
          <w:sz w:val="22"/>
          <w:szCs w:val="22"/>
          <w:lang w:val="es-CR"/>
        </w:rPr>
        <w:t xml:space="preserve"> municipal</w:t>
      </w:r>
      <w:r w:rsidRPr="00EE6124">
        <w:rPr>
          <w:sz w:val="22"/>
          <w:szCs w:val="22"/>
          <w:lang w:val="es-CR"/>
        </w:rPr>
        <w:t xml:space="preserve">, </w:t>
      </w:r>
      <w:r w:rsidR="005907B3" w:rsidRPr="00EE6124">
        <w:rPr>
          <w:sz w:val="22"/>
          <w:szCs w:val="22"/>
          <w:lang w:val="es-CR"/>
        </w:rPr>
        <w:t>ta</w:t>
      </w:r>
      <w:r w:rsidR="005907B3">
        <w:rPr>
          <w:sz w:val="22"/>
          <w:szCs w:val="22"/>
          <w:lang w:val="es-CR"/>
        </w:rPr>
        <w:t>mbi</w:t>
      </w:r>
      <w:r w:rsidR="005907B3" w:rsidRPr="00EE6124">
        <w:rPr>
          <w:sz w:val="22"/>
          <w:szCs w:val="22"/>
          <w:lang w:val="es-CR"/>
        </w:rPr>
        <w:t>én</w:t>
      </w:r>
      <w:r w:rsidRPr="00EE6124">
        <w:rPr>
          <w:sz w:val="22"/>
          <w:szCs w:val="22"/>
          <w:lang w:val="es-CR"/>
        </w:rPr>
        <w:t xml:space="preserve"> denominado “Activos netos”, es el valor residual resultante en el ESF, es decir, la diferencia entre el total del activo menos el total del pasivo. A los efectos de presentación de información financiera se utilizará exclusivamente el término “Patrimonio”.</w:t>
      </w:r>
    </w:p>
    <w:p w14:paraId="42ED3C9A" w14:textId="77777777" w:rsidR="004C0894" w:rsidRDefault="004C0894" w:rsidP="00A279AD">
      <w:pPr>
        <w:pStyle w:val="Default"/>
        <w:spacing w:after="120" w:line="238" w:lineRule="auto"/>
        <w:ind w:right="260"/>
        <w:jc w:val="both"/>
        <w:rPr>
          <w:sz w:val="22"/>
          <w:szCs w:val="22"/>
          <w:lang w:val="es-CR"/>
        </w:rPr>
      </w:pPr>
    </w:p>
    <w:p w14:paraId="2DBC37AD" w14:textId="77777777" w:rsidR="00B5215C" w:rsidRDefault="00B5215C" w:rsidP="00A279AD">
      <w:pPr>
        <w:pStyle w:val="Default"/>
        <w:spacing w:after="120" w:line="238" w:lineRule="auto"/>
        <w:ind w:right="260"/>
        <w:jc w:val="both"/>
        <w:rPr>
          <w:sz w:val="22"/>
          <w:szCs w:val="22"/>
          <w:lang w:val="es-CR"/>
        </w:rPr>
      </w:pPr>
    </w:p>
    <w:p w14:paraId="05399610" w14:textId="347FF3C7" w:rsidR="00EE6124" w:rsidRPr="0069573C" w:rsidRDefault="00EE6124" w:rsidP="0069573C">
      <w:pPr>
        <w:pStyle w:val="Ttulo2"/>
        <w:ind w:left="284"/>
        <w:rPr>
          <w:rFonts w:ascii="Arial" w:eastAsia="Arial" w:hAnsi="Arial" w:cs="Arial"/>
          <w:b/>
          <w:bCs/>
          <w:sz w:val="20"/>
          <w:szCs w:val="20"/>
          <w:lang w:val="es-CR"/>
        </w:rPr>
      </w:pPr>
      <w:bookmarkStart w:id="111" w:name="_Toc172726246"/>
      <w:r w:rsidRPr="0069573C">
        <w:rPr>
          <w:rFonts w:ascii="Arial" w:eastAsia="Arial" w:hAnsi="Arial" w:cs="Arial"/>
          <w:b/>
          <w:bCs/>
          <w:sz w:val="20"/>
          <w:szCs w:val="20"/>
          <w:lang w:val="es-CR"/>
        </w:rPr>
        <w:t>Capital y transferencias</w:t>
      </w:r>
      <w:bookmarkEnd w:id="111"/>
    </w:p>
    <w:p w14:paraId="47A4574E" w14:textId="77777777" w:rsidR="00EE6124" w:rsidRPr="00EE6124" w:rsidRDefault="00EE6124" w:rsidP="00A279AD">
      <w:pPr>
        <w:pStyle w:val="Default"/>
        <w:spacing w:after="120" w:line="238" w:lineRule="auto"/>
        <w:ind w:right="260"/>
        <w:jc w:val="both"/>
        <w:rPr>
          <w:sz w:val="22"/>
          <w:szCs w:val="22"/>
          <w:lang w:val="es-CR"/>
        </w:rPr>
      </w:pPr>
    </w:p>
    <w:tbl>
      <w:tblPr>
        <w:tblW w:w="9357" w:type="dxa"/>
        <w:tblLook w:val="04A0" w:firstRow="1" w:lastRow="0" w:firstColumn="1" w:lastColumn="0" w:noHBand="0" w:noVBand="1"/>
      </w:tblPr>
      <w:tblGrid>
        <w:gridCol w:w="540"/>
        <w:gridCol w:w="660"/>
        <w:gridCol w:w="520"/>
        <w:gridCol w:w="3740"/>
        <w:gridCol w:w="2043"/>
        <w:gridCol w:w="1843"/>
        <w:gridCol w:w="11"/>
      </w:tblGrid>
      <w:tr w:rsidR="00EE6124" w:rsidRPr="00EE6124" w14:paraId="2C2D9907" w14:textId="77777777" w:rsidTr="00B5215C">
        <w:trPr>
          <w:trHeight w:val="320"/>
        </w:trPr>
        <w:tc>
          <w:tcPr>
            <w:tcW w:w="172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98B5705" w14:textId="77777777" w:rsidR="00EE6124" w:rsidRPr="00EE6124" w:rsidRDefault="00EE6124" w:rsidP="00EE6124">
            <w:pPr>
              <w:jc w:val="center"/>
              <w:rPr>
                <w:rFonts w:ascii="Arial Narrow" w:eastAsia="Times New Roman" w:hAnsi="Arial Narrow" w:cs="Calibri"/>
                <w:b/>
                <w:bCs/>
                <w:color w:val="FFFFFF"/>
                <w:sz w:val="22"/>
                <w:szCs w:val="22"/>
              </w:rPr>
            </w:pPr>
            <w:r w:rsidRPr="00EE6124">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61962C43" w14:textId="77777777" w:rsidR="00EE6124" w:rsidRPr="00EE6124" w:rsidRDefault="00EE6124" w:rsidP="00EE6124">
            <w:pPr>
              <w:jc w:val="center"/>
              <w:rPr>
                <w:rFonts w:ascii="Arial Narrow" w:eastAsia="Times New Roman" w:hAnsi="Arial Narrow" w:cs="Calibri"/>
                <w:b/>
                <w:bCs/>
                <w:color w:val="FFFFFF"/>
                <w:sz w:val="22"/>
                <w:szCs w:val="22"/>
              </w:rPr>
            </w:pPr>
            <w:r w:rsidRPr="00EE6124">
              <w:rPr>
                <w:rFonts w:ascii="Arial Narrow" w:eastAsia="Times New Roman" w:hAnsi="Arial Narrow" w:cs="Calibri"/>
                <w:b/>
                <w:bCs/>
                <w:color w:val="FFFFFF"/>
                <w:sz w:val="22"/>
                <w:szCs w:val="22"/>
              </w:rPr>
              <w:t>Concepto</w:t>
            </w:r>
          </w:p>
        </w:tc>
        <w:tc>
          <w:tcPr>
            <w:tcW w:w="3897" w:type="dxa"/>
            <w:gridSpan w:val="3"/>
            <w:tcBorders>
              <w:top w:val="nil"/>
              <w:left w:val="nil"/>
              <w:bottom w:val="single" w:sz="8" w:space="0" w:color="auto"/>
              <w:right w:val="single" w:sz="8" w:space="0" w:color="000000"/>
            </w:tcBorders>
            <w:shd w:val="clear" w:color="000000" w:fill="203764"/>
            <w:vAlign w:val="center"/>
            <w:hideMark/>
          </w:tcPr>
          <w:p w14:paraId="592CF130" w14:textId="77777777" w:rsidR="00EE6124" w:rsidRPr="00EE6124" w:rsidRDefault="00EE6124" w:rsidP="00EE6124">
            <w:pPr>
              <w:jc w:val="center"/>
              <w:rPr>
                <w:rFonts w:ascii="Arial Narrow" w:eastAsia="Times New Roman" w:hAnsi="Arial Narrow" w:cs="Calibri"/>
                <w:b/>
                <w:bCs/>
                <w:color w:val="FFFFFF"/>
                <w:sz w:val="22"/>
                <w:szCs w:val="22"/>
              </w:rPr>
            </w:pPr>
            <w:r w:rsidRPr="00EE6124">
              <w:rPr>
                <w:rFonts w:ascii="Arial Narrow" w:eastAsia="Times New Roman" w:hAnsi="Arial Narrow" w:cs="Calibri"/>
                <w:b/>
                <w:bCs/>
                <w:color w:val="FFFFFF"/>
                <w:sz w:val="22"/>
                <w:szCs w:val="22"/>
              </w:rPr>
              <w:t>Referencia</w:t>
            </w:r>
          </w:p>
        </w:tc>
      </w:tr>
      <w:tr w:rsidR="00EE6124" w:rsidRPr="006E5442" w14:paraId="08EFF991" w14:textId="77777777" w:rsidTr="00B5215C">
        <w:trPr>
          <w:gridAfter w:val="1"/>
          <w:wAfter w:w="11" w:type="dxa"/>
          <w:trHeight w:val="940"/>
        </w:trPr>
        <w:tc>
          <w:tcPr>
            <w:tcW w:w="1720" w:type="dxa"/>
            <w:gridSpan w:val="3"/>
            <w:vMerge/>
            <w:tcBorders>
              <w:top w:val="single" w:sz="8" w:space="0" w:color="auto"/>
              <w:left w:val="single" w:sz="8" w:space="0" w:color="auto"/>
              <w:bottom w:val="nil"/>
              <w:right w:val="single" w:sz="8" w:space="0" w:color="000000"/>
            </w:tcBorders>
            <w:vAlign w:val="center"/>
            <w:hideMark/>
          </w:tcPr>
          <w:p w14:paraId="6C546C2B" w14:textId="77777777" w:rsidR="00EE6124" w:rsidRPr="00EE6124" w:rsidRDefault="00EE6124" w:rsidP="00EE6124">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7DC6AA86" w14:textId="77777777" w:rsidR="00EE6124" w:rsidRPr="00EE6124" w:rsidRDefault="00EE6124" w:rsidP="00EE6124">
            <w:pPr>
              <w:rPr>
                <w:rFonts w:ascii="Arial Narrow" w:eastAsia="Times New Roman" w:hAnsi="Arial Narrow" w:cs="Calibri"/>
                <w:b/>
                <w:bCs/>
                <w:color w:val="FFFFFF"/>
                <w:sz w:val="22"/>
                <w:szCs w:val="22"/>
              </w:rPr>
            </w:pPr>
          </w:p>
        </w:tc>
        <w:tc>
          <w:tcPr>
            <w:tcW w:w="2043" w:type="dxa"/>
            <w:tcBorders>
              <w:top w:val="nil"/>
              <w:left w:val="nil"/>
              <w:bottom w:val="nil"/>
              <w:right w:val="single" w:sz="8" w:space="0" w:color="auto"/>
            </w:tcBorders>
            <w:shd w:val="clear" w:color="000000" w:fill="203764"/>
            <w:vAlign w:val="center"/>
            <w:hideMark/>
          </w:tcPr>
          <w:p w14:paraId="4988CF17" w14:textId="77777777" w:rsidR="00EE6124" w:rsidRPr="00EE6124" w:rsidRDefault="00EE6124" w:rsidP="00EE6124">
            <w:pPr>
              <w:jc w:val="center"/>
              <w:rPr>
                <w:rFonts w:ascii="Arial Narrow" w:eastAsia="Times New Roman" w:hAnsi="Arial Narrow" w:cs="Calibri"/>
                <w:b/>
                <w:bCs/>
                <w:color w:val="FFFFFF"/>
                <w:sz w:val="22"/>
                <w:szCs w:val="22"/>
              </w:rPr>
            </w:pPr>
            <w:r w:rsidRPr="00EE6124">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207D7B4D" w14:textId="77777777" w:rsidR="00EE6124" w:rsidRPr="00EE6124" w:rsidRDefault="00EE6124" w:rsidP="00EE6124">
            <w:pPr>
              <w:jc w:val="center"/>
              <w:rPr>
                <w:rFonts w:ascii="Arial Narrow" w:eastAsia="Times New Roman" w:hAnsi="Arial Narrow" w:cs="Calibri"/>
                <w:b/>
                <w:bCs/>
                <w:color w:val="FFFFFF"/>
                <w:sz w:val="22"/>
                <w:szCs w:val="22"/>
                <w:lang w:val="es-CR"/>
              </w:rPr>
            </w:pPr>
            <w:r w:rsidRPr="00EE6124">
              <w:rPr>
                <w:rFonts w:ascii="Arial Narrow" w:eastAsia="Times New Roman" w:hAnsi="Arial Narrow" w:cs="Calibri"/>
                <w:b/>
                <w:bCs/>
                <w:color w:val="FFFFFF"/>
                <w:sz w:val="22"/>
                <w:szCs w:val="22"/>
                <w:lang w:val="es-CR"/>
              </w:rPr>
              <w:t>Normativa técnica y disposiciones adicionales</w:t>
            </w:r>
          </w:p>
        </w:tc>
      </w:tr>
      <w:tr w:rsidR="00EE6124" w:rsidRPr="00EE6124" w14:paraId="705A1929" w14:textId="77777777" w:rsidTr="00B5215C">
        <w:trPr>
          <w:gridAfter w:val="1"/>
          <w:wAfter w:w="11" w:type="dxa"/>
          <w:trHeight w:val="556"/>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945D2D0"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3</w:t>
            </w:r>
          </w:p>
        </w:tc>
        <w:tc>
          <w:tcPr>
            <w:tcW w:w="660" w:type="dxa"/>
            <w:tcBorders>
              <w:top w:val="nil"/>
              <w:left w:val="nil"/>
              <w:bottom w:val="single" w:sz="8" w:space="0" w:color="auto"/>
              <w:right w:val="single" w:sz="8" w:space="0" w:color="auto"/>
            </w:tcBorders>
            <w:shd w:val="clear" w:color="auto" w:fill="auto"/>
            <w:vAlign w:val="center"/>
            <w:hideMark/>
          </w:tcPr>
          <w:p w14:paraId="06B57D09"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5</w:t>
            </w:r>
          </w:p>
        </w:tc>
        <w:tc>
          <w:tcPr>
            <w:tcW w:w="520" w:type="dxa"/>
            <w:tcBorders>
              <w:top w:val="nil"/>
              <w:left w:val="nil"/>
              <w:bottom w:val="single" w:sz="8" w:space="0" w:color="auto"/>
              <w:right w:val="single" w:sz="8" w:space="0" w:color="auto"/>
            </w:tcBorders>
            <w:shd w:val="clear" w:color="auto" w:fill="auto"/>
            <w:vAlign w:val="center"/>
            <w:hideMark/>
          </w:tcPr>
          <w:p w14:paraId="7B8A8554" w14:textId="2AC70844" w:rsidR="00EE6124" w:rsidRPr="00EE6124" w:rsidRDefault="00EE6124" w:rsidP="00EE6124">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0C29D72A" w14:textId="77777777" w:rsidR="00EE6124" w:rsidRPr="00EE6124" w:rsidRDefault="00EE6124" w:rsidP="00EE6124">
            <w:pPr>
              <w:jc w:val="both"/>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Capital inicial</w:t>
            </w:r>
          </w:p>
        </w:tc>
        <w:tc>
          <w:tcPr>
            <w:tcW w:w="2043" w:type="dxa"/>
            <w:tcBorders>
              <w:top w:val="single" w:sz="8" w:space="0" w:color="auto"/>
              <w:left w:val="nil"/>
              <w:bottom w:val="single" w:sz="8" w:space="0" w:color="auto"/>
              <w:right w:val="single" w:sz="8" w:space="0" w:color="auto"/>
            </w:tcBorders>
            <w:shd w:val="clear" w:color="auto" w:fill="auto"/>
            <w:vAlign w:val="center"/>
            <w:hideMark/>
          </w:tcPr>
          <w:p w14:paraId="3C300C3F" w14:textId="77777777" w:rsidR="00EE6124" w:rsidRPr="00EE6124" w:rsidRDefault="00EE6124" w:rsidP="00EE6124">
            <w:pP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 xml:space="preserve">NICSP N° 1, </w:t>
            </w:r>
            <w:r w:rsidRPr="00EE6124">
              <w:rPr>
                <w:rFonts w:ascii="Arial Narrow" w:eastAsia="Times New Roman" w:hAnsi="Arial Narrow" w:cs="Calibri"/>
                <w:b/>
                <w:bCs/>
                <w:color w:val="000000"/>
                <w:sz w:val="22"/>
                <w:szCs w:val="22"/>
              </w:rPr>
              <w:br/>
              <w:t>Párrafo 96.</w:t>
            </w:r>
          </w:p>
        </w:tc>
        <w:tc>
          <w:tcPr>
            <w:tcW w:w="1843" w:type="dxa"/>
            <w:tcBorders>
              <w:top w:val="nil"/>
              <w:left w:val="nil"/>
              <w:bottom w:val="single" w:sz="8" w:space="0" w:color="auto"/>
              <w:right w:val="single" w:sz="8" w:space="0" w:color="auto"/>
            </w:tcBorders>
            <w:shd w:val="clear" w:color="auto" w:fill="auto"/>
            <w:vAlign w:val="center"/>
            <w:hideMark/>
          </w:tcPr>
          <w:p w14:paraId="1A52AA40" w14:textId="77777777" w:rsidR="00EE6124" w:rsidRPr="00EE6124" w:rsidRDefault="00EE6124" w:rsidP="00EE6124">
            <w:pPr>
              <w:ind w:firstLineChars="100" w:firstLine="220"/>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 xml:space="preserve"> </w:t>
            </w:r>
          </w:p>
        </w:tc>
      </w:tr>
      <w:tr w:rsidR="00EE6124" w:rsidRPr="00EE6124" w14:paraId="2E6ABFE6" w14:textId="77777777" w:rsidTr="00B5215C">
        <w:trPr>
          <w:gridAfter w:val="1"/>
          <w:wAfter w:w="11"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B8437C6"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3</w:t>
            </w:r>
          </w:p>
        </w:tc>
        <w:tc>
          <w:tcPr>
            <w:tcW w:w="660" w:type="dxa"/>
            <w:tcBorders>
              <w:top w:val="nil"/>
              <w:left w:val="nil"/>
              <w:bottom w:val="single" w:sz="8" w:space="0" w:color="auto"/>
              <w:right w:val="single" w:sz="8" w:space="0" w:color="auto"/>
            </w:tcBorders>
            <w:shd w:val="clear" w:color="auto" w:fill="auto"/>
            <w:vAlign w:val="center"/>
            <w:hideMark/>
          </w:tcPr>
          <w:p w14:paraId="2A5C86C4"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5</w:t>
            </w:r>
          </w:p>
        </w:tc>
        <w:tc>
          <w:tcPr>
            <w:tcW w:w="520" w:type="dxa"/>
            <w:tcBorders>
              <w:top w:val="nil"/>
              <w:left w:val="nil"/>
              <w:bottom w:val="single" w:sz="8" w:space="0" w:color="auto"/>
              <w:right w:val="single" w:sz="8" w:space="0" w:color="auto"/>
            </w:tcBorders>
            <w:shd w:val="clear" w:color="auto" w:fill="auto"/>
            <w:vAlign w:val="center"/>
            <w:hideMark/>
          </w:tcPr>
          <w:p w14:paraId="3AAACCE5"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45832FCD" w14:textId="77777777" w:rsidR="00EE6124" w:rsidRPr="00EE6124" w:rsidRDefault="00EE6124" w:rsidP="00EE6124">
            <w:pPr>
              <w:jc w:val="both"/>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Entidad nueva</w:t>
            </w:r>
          </w:p>
        </w:tc>
        <w:tc>
          <w:tcPr>
            <w:tcW w:w="2043" w:type="dxa"/>
            <w:tcBorders>
              <w:top w:val="nil"/>
              <w:left w:val="nil"/>
              <w:bottom w:val="single" w:sz="8" w:space="0" w:color="auto"/>
              <w:right w:val="single" w:sz="8" w:space="0" w:color="auto"/>
            </w:tcBorders>
            <w:shd w:val="clear" w:color="auto" w:fill="auto"/>
            <w:vAlign w:val="center"/>
            <w:hideMark/>
          </w:tcPr>
          <w:p w14:paraId="54CDB7AB" w14:textId="77777777" w:rsidR="00EE6124" w:rsidRPr="00EE6124" w:rsidRDefault="00EE6124" w:rsidP="00EE6124">
            <w:pP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730C000C" w14:textId="77777777" w:rsidR="00EE6124" w:rsidRPr="00EE6124" w:rsidRDefault="00EE6124" w:rsidP="00EE6124">
            <w:pPr>
              <w:ind w:firstLineChars="100" w:firstLine="220"/>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DGCN</w:t>
            </w:r>
          </w:p>
        </w:tc>
      </w:tr>
      <w:tr w:rsidR="00EE6124" w:rsidRPr="00EE6124" w14:paraId="5EA69D64" w14:textId="77777777" w:rsidTr="00B5215C">
        <w:trPr>
          <w:gridAfter w:val="1"/>
          <w:wAfter w:w="11"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050B7FD"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3</w:t>
            </w:r>
          </w:p>
        </w:tc>
        <w:tc>
          <w:tcPr>
            <w:tcW w:w="660" w:type="dxa"/>
            <w:tcBorders>
              <w:top w:val="nil"/>
              <w:left w:val="nil"/>
              <w:bottom w:val="single" w:sz="8" w:space="0" w:color="auto"/>
              <w:right w:val="single" w:sz="8" w:space="0" w:color="auto"/>
            </w:tcBorders>
            <w:shd w:val="clear" w:color="auto" w:fill="auto"/>
            <w:vAlign w:val="center"/>
            <w:hideMark/>
          </w:tcPr>
          <w:p w14:paraId="43AF5228"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5</w:t>
            </w:r>
          </w:p>
        </w:tc>
        <w:tc>
          <w:tcPr>
            <w:tcW w:w="520" w:type="dxa"/>
            <w:tcBorders>
              <w:top w:val="nil"/>
              <w:left w:val="nil"/>
              <w:bottom w:val="single" w:sz="8" w:space="0" w:color="auto"/>
              <w:right w:val="single" w:sz="8" w:space="0" w:color="auto"/>
            </w:tcBorders>
            <w:shd w:val="clear" w:color="auto" w:fill="auto"/>
            <w:vAlign w:val="center"/>
            <w:hideMark/>
          </w:tcPr>
          <w:p w14:paraId="37EF9BED"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7E3DB34D" w14:textId="77777777" w:rsidR="00EE6124" w:rsidRPr="00EE6124" w:rsidRDefault="00EE6124" w:rsidP="00EE6124">
            <w:pPr>
              <w:jc w:val="both"/>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Entidad en marcha</w:t>
            </w:r>
          </w:p>
        </w:tc>
        <w:tc>
          <w:tcPr>
            <w:tcW w:w="2043" w:type="dxa"/>
            <w:tcBorders>
              <w:top w:val="nil"/>
              <w:left w:val="nil"/>
              <w:bottom w:val="single" w:sz="8" w:space="0" w:color="auto"/>
              <w:right w:val="single" w:sz="8" w:space="0" w:color="auto"/>
            </w:tcBorders>
            <w:shd w:val="clear" w:color="auto" w:fill="auto"/>
            <w:vAlign w:val="center"/>
            <w:hideMark/>
          </w:tcPr>
          <w:p w14:paraId="201499DE" w14:textId="77777777" w:rsidR="00EE6124" w:rsidRPr="00EE6124" w:rsidRDefault="00EE6124" w:rsidP="00EE6124">
            <w:pP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515FAE18" w14:textId="77777777" w:rsidR="00EE6124" w:rsidRPr="00EE6124" w:rsidRDefault="00EE6124" w:rsidP="00EE6124">
            <w:pPr>
              <w:ind w:firstLineChars="100" w:firstLine="220"/>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DGCN</w:t>
            </w:r>
          </w:p>
        </w:tc>
      </w:tr>
      <w:tr w:rsidR="00EE6124" w:rsidRPr="00EE6124" w14:paraId="0A007C99" w14:textId="77777777" w:rsidTr="00B5215C">
        <w:trPr>
          <w:gridAfter w:val="1"/>
          <w:wAfter w:w="11"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38F0FAE4"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3</w:t>
            </w:r>
          </w:p>
        </w:tc>
        <w:tc>
          <w:tcPr>
            <w:tcW w:w="660" w:type="dxa"/>
            <w:tcBorders>
              <w:top w:val="nil"/>
              <w:left w:val="nil"/>
              <w:bottom w:val="single" w:sz="8" w:space="0" w:color="auto"/>
              <w:right w:val="single" w:sz="8" w:space="0" w:color="auto"/>
            </w:tcBorders>
            <w:shd w:val="clear" w:color="auto" w:fill="auto"/>
            <w:vAlign w:val="center"/>
            <w:hideMark/>
          </w:tcPr>
          <w:p w14:paraId="0FD5D672"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5</w:t>
            </w:r>
          </w:p>
        </w:tc>
        <w:tc>
          <w:tcPr>
            <w:tcW w:w="520" w:type="dxa"/>
            <w:tcBorders>
              <w:top w:val="nil"/>
              <w:left w:val="nil"/>
              <w:bottom w:val="single" w:sz="8" w:space="0" w:color="auto"/>
              <w:right w:val="single" w:sz="8" w:space="0" w:color="auto"/>
            </w:tcBorders>
            <w:shd w:val="clear" w:color="auto" w:fill="auto"/>
            <w:vAlign w:val="center"/>
            <w:hideMark/>
          </w:tcPr>
          <w:p w14:paraId="1990902F" w14:textId="77777777" w:rsidR="00EE6124" w:rsidRPr="00EE6124" w:rsidRDefault="00EE6124" w:rsidP="00EE6124">
            <w:pPr>
              <w:jc w:val="cente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59F81A76" w14:textId="77777777" w:rsidR="00EE6124" w:rsidRPr="00EE6124" w:rsidRDefault="00EE6124" w:rsidP="00EE6124">
            <w:pPr>
              <w:jc w:val="both"/>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Incorporaciones al capital inicial</w:t>
            </w:r>
          </w:p>
        </w:tc>
        <w:tc>
          <w:tcPr>
            <w:tcW w:w="2043" w:type="dxa"/>
            <w:tcBorders>
              <w:top w:val="nil"/>
              <w:left w:val="nil"/>
              <w:bottom w:val="single" w:sz="8" w:space="0" w:color="auto"/>
              <w:right w:val="single" w:sz="8" w:space="0" w:color="auto"/>
            </w:tcBorders>
            <w:shd w:val="clear" w:color="auto" w:fill="auto"/>
            <w:vAlign w:val="center"/>
            <w:hideMark/>
          </w:tcPr>
          <w:p w14:paraId="1E1C1456" w14:textId="77777777" w:rsidR="00EE6124" w:rsidRPr="00EE6124" w:rsidRDefault="00EE6124" w:rsidP="00EE6124">
            <w:pPr>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3644D732" w14:textId="77777777" w:rsidR="00EE6124" w:rsidRPr="00EE6124" w:rsidRDefault="00EE6124" w:rsidP="00EE6124">
            <w:pPr>
              <w:ind w:firstLineChars="100" w:firstLine="220"/>
              <w:rPr>
                <w:rFonts w:ascii="Arial Narrow" w:eastAsia="Times New Roman" w:hAnsi="Arial Narrow" w:cs="Calibri"/>
                <w:b/>
                <w:bCs/>
                <w:color w:val="000000"/>
                <w:sz w:val="22"/>
                <w:szCs w:val="22"/>
              </w:rPr>
            </w:pPr>
            <w:r w:rsidRPr="00EE6124">
              <w:rPr>
                <w:rFonts w:ascii="Arial Narrow" w:eastAsia="Times New Roman" w:hAnsi="Arial Narrow" w:cs="Calibri"/>
                <w:b/>
                <w:bCs/>
                <w:color w:val="000000"/>
                <w:sz w:val="22"/>
                <w:szCs w:val="22"/>
              </w:rPr>
              <w:t>DGCN</w:t>
            </w:r>
          </w:p>
        </w:tc>
      </w:tr>
    </w:tbl>
    <w:p w14:paraId="66A8DD0E" w14:textId="4F19ACAC" w:rsidR="00AE1036" w:rsidRDefault="00AE1036" w:rsidP="00AE1036">
      <w:pPr>
        <w:pStyle w:val="Default"/>
        <w:ind w:right="261"/>
        <w:jc w:val="both"/>
        <w:rPr>
          <w:sz w:val="22"/>
          <w:szCs w:val="22"/>
          <w:lang w:val="es-CR"/>
        </w:rPr>
      </w:pPr>
    </w:p>
    <w:p w14:paraId="5CF091C4" w14:textId="1414EE5D" w:rsidR="00B5215C" w:rsidRDefault="00B5215C" w:rsidP="00AE1036">
      <w:pPr>
        <w:pStyle w:val="Default"/>
        <w:ind w:right="261"/>
        <w:jc w:val="both"/>
        <w:rPr>
          <w:rFonts w:eastAsia="Arial"/>
          <w:b/>
          <w:sz w:val="22"/>
          <w:szCs w:val="22"/>
        </w:rPr>
      </w:pPr>
      <w:r w:rsidRPr="00F02F9D">
        <w:rPr>
          <w:rFonts w:eastAsia="Arial"/>
          <w:b/>
          <w:sz w:val="22"/>
          <w:szCs w:val="22"/>
        </w:rPr>
        <w:t>Políticas Contables</w:t>
      </w:r>
    </w:p>
    <w:p w14:paraId="1816818A" w14:textId="77777777" w:rsidR="00AE1036" w:rsidRPr="00EE6124" w:rsidRDefault="00AE1036" w:rsidP="00AE1036">
      <w:pPr>
        <w:pStyle w:val="Default"/>
        <w:ind w:right="261"/>
        <w:jc w:val="both"/>
        <w:rPr>
          <w:sz w:val="22"/>
          <w:szCs w:val="22"/>
          <w:lang w:val="es-CR"/>
        </w:rPr>
      </w:pPr>
    </w:p>
    <w:p w14:paraId="6B441160" w14:textId="4E8669E7" w:rsidR="006508F2" w:rsidRDefault="00EE6124">
      <w:pPr>
        <w:pStyle w:val="Default"/>
        <w:numPr>
          <w:ilvl w:val="3"/>
          <w:numId w:val="100"/>
        </w:numPr>
        <w:ind w:left="1134"/>
        <w:jc w:val="both"/>
        <w:rPr>
          <w:sz w:val="22"/>
          <w:szCs w:val="22"/>
          <w:lang w:val="es-CR"/>
        </w:rPr>
      </w:pPr>
      <w:r w:rsidRPr="00EE6124">
        <w:rPr>
          <w:sz w:val="22"/>
          <w:szCs w:val="22"/>
          <w:lang w:val="es-CR"/>
        </w:rPr>
        <w:t xml:space="preserve">La </w:t>
      </w:r>
      <w:r>
        <w:rPr>
          <w:sz w:val="22"/>
          <w:szCs w:val="22"/>
          <w:lang w:val="es-CR"/>
        </w:rPr>
        <w:t xml:space="preserve">Municipalidad </w:t>
      </w:r>
      <w:r w:rsidRPr="00EE6124">
        <w:rPr>
          <w:sz w:val="22"/>
          <w:szCs w:val="22"/>
          <w:lang w:val="es-CR"/>
        </w:rPr>
        <w:t xml:space="preserve">no tienen capital social, sino que está </w:t>
      </w:r>
      <w:r w:rsidR="006508F2" w:rsidRPr="00EE6124">
        <w:rPr>
          <w:sz w:val="22"/>
          <w:szCs w:val="22"/>
          <w:lang w:val="es-CR"/>
        </w:rPr>
        <w:t>con</w:t>
      </w:r>
      <w:r w:rsidR="006508F2">
        <w:rPr>
          <w:sz w:val="22"/>
          <w:szCs w:val="22"/>
          <w:lang w:val="es-CR"/>
        </w:rPr>
        <w:t>f</w:t>
      </w:r>
      <w:r w:rsidR="006508F2" w:rsidRPr="00EE6124">
        <w:rPr>
          <w:sz w:val="22"/>
          <w:szCs w:val="22"/>
          <w:lang w:val="es-CR"/>
        </w:rPr>
        <w:t>or</w:t>
      </w:r>
      <w:r w:rsidR="006508F2">
        <w:rPr>
          <w:sz w:val="22"/>
          <w:szCs w:val="22"/>
          <w:lang w:val="es-CR"/>
        </w:rPr>
        <w:t>m</w:t>
      </w:r>
      <w:r w:rsidR="006508F2" w:rsidRPr="00EE6124">
        <w:rPr>
          <w:sz w:val="22"/>
          <w:szCs w:val="22"/>
          <w:lang w:val="es-CR"/>
        </w:rPr>
        <w:t>ad</w:t>
      </w:r>
      <w:r w:rsidR="006508F2">
        <w:rPr>
          <w:sz w:val="22"/>
          <w:szCs w:val="22"/>
          <w:lang w:val="es-CR"/>
        </w:rPr>
        <w:t>o</w:t>
      </w:r>
      <w:r w:rsidRPr="00EE6124">
        <w:rPr>
          <w:sz w:val="22"/>
          <w:szCs w:val="22"/>
          <w:lang w:val="es-CR"/>
        </w:rPr>
        <w:t xml:space="preserve"> por una </w:t>
      </w:r>
      <w:r w:rsidR="005907B3" w:rsidRPr="00EE6124">
        <w:rPr>
          <w:sz w:val="22"/>
          <w:szCs w:val="22"/>
          <w:lang w:val="es-CR"/>
        </w:rPr>
        <w:t>co</w:t>
      </w:r>
      <w:r w:rsidR="005907B3">
        <w:rPr>
          <w:sz w:val="22"/>
          <w:szCs w:val="22"/>
          <w:lang w:val="es-CR"/>
        </w:rPr>
        <w:t>mbi</w:t>
      </w:r>
      <w:r w:rsidR="005907B3" w:rsidRPr="00EE6124">
        <w:rPr>
          <w:sz w:val="22"/>
          <w:szCs w:val="22"/>
          <w:lang w:val="es-CR"/>
        </w:rPr>
        <w:t>nación</w:t>
      </w:r>
      <w:r w:rsidRPr="00EE6124">
        <w:rPr>
          <w:sz w:val="22"/>
          <w:szCs w:val="22"/>
          <w:lang w:val="es-CR"/>
        </w:rPr>
        <w:t xml:space="preserve"> de capital aportado inicialmente </w:t>
      </w:r>
      <w:r w:rsidR="006508F2">
        <w:rPr>
          <w:sz w:val="22"/>
          <w:szCs w:val="22"/>
          <w:lang w:val="es-CR"/>
        </w:rPr>
        <w:t xml:space="preserve">para su creación </w:t>
      </w:r>
      <w:r w:rsidRPr="00EE6124">
        <w:rPr>
          <w:sz w:val="22"/>
          <w:szCs w:val="22"/>
          <w:lang w:val="es-CR"/>
        </w:rPr>
        <w:t xml:space="preserve">más la acumulación de resultados </w:t>
      </w:r>
      <w:r w:rsidR="006508F2">
        <w:rPr>
          <w:sz w:val="22"/>
          <w:szCs w:val="22"/>
          <w:lang w:val="es-CR"/>
        </w:rPr>
        <w:t>a través de su existencia</w:t>
      </w:r>
      <w:r w:rsidRPr="00EE6124">
        <w:rPr>
          <w:sz w:val="22"/>
          <w:szCs w:val="22"/>
          <w:lang w:val="es-CR"/>
        </w:rPr>
        <w:t>, lo cual refleja el patrimonio atribuible a las operaciones de la entidad.</w:t>
      </w:r>
    </w:p>
    <w:p w14:paraId="2912AAB6" w14:textId="77777777" w:rsidR="006508F2" w:rsidRDefault="006508F2" w:rsidP="006508F2">
      <w:pPr>
        <w:pStyle w:val="Default"/>
        <w:ind w:left="1134"/>
        <w:jc w:val="both"/>
        <w:rPr>
          <w:sz w:val="22"/>
          <w:szCs w:val="22"/>
          <w:lang w:val="es-CR"/>
        </w:rPr>
      </w:pPr>
    </w:p>
    <w:p w14:paraId="550E146B" w14:textId="680325AF" w:rsidR="006508F2" w:rsidRDefault="00EE6124">
      <w:pPr>
        <w:pStyle w:val="Default"/>
        <w:numPr>
          <w:ilvl w:val="3"/>
          <w:numId w:val="206"/>
        </w:numPr>
        <w:ind w:left="1134" w:hanging="1134"/>
        <w:jc w:val="both"/>
        <w:rPr>
          <w:sz w:val="22"/>
          <w:szCs w:val="22"/>
          <w:lang w:val="es-CR"/>
        </w:rPr>
      </w:pPr>
      <w:r w:rsidRPr="006508F2">
        <w:rPr>
          <w:sz w:val="22"/>
          <w:szCs w:val="22"/>
          <w:lang w:val="es-CR"/>
        </w:rPr>
        <w:t>El capital inicial, para una entidad recién constituida, está integrado por el valor de los recursos asignados para su creación, considerando a los mismos como contribuciones de los propietarios al inicio de la vida económica de la entidad.</w:t>
      </w:r>
    </w:p>
    <w:p w14:paraId="1832406A" w14:textId="77777777" w:rsidR="006508F2" w:rsidRDefault="006508F2" w:rsidP="006508F2">
      <w:pPr>
        <w:pStyle w:val="Prrafodelista"/>
        <w:rPr>
          <w:sz w:val="22"/>
          <w:szCs w:val="22"/>
          <w:lang w:val="es-CR"/>
        </w:rPr>
      </w:pPr>
    </w:p>
    <w:p w14:paraId="2C03802D" w14:textId="77777777" w:rsidR="006508F2" w:rsidRDefault="00EE6124">
      <w:pPr>
        <w:pStyle w:val="Default"/>
        <w:numPr>
          <w:ilvl w:val="3"/>
          <w:numId w:val="207"/>
        </w:numPr>
        <w:ind w:left="1134" w:hanging="1134"/>
        <w:jc w:val="both"/>
        <w:rPr>
          <w:sz w:val="22"/>
          <w:szCs w:val="22"/>
          <w:lang w:val="es-CR"/>
        </w:rPr>
      </w:pPr>
      <w:r w:rsidRPr="006508F2">
        <w:rPr>
          <w:sz w:val="22"/>
          <w:szCs w:val="22"/>
          <w:lang w:val="es-CR"/>
        </w:rPr>
        <w:t>El capital inicial para una entidad gubernamental en marcha y que adopte por primera vez NICSP, estará constituido por el valor de los recursos asignados al momento de su creación, considerando a los mismos como contribuciones de los propietarios al inicio de la vida económica de la entidad.</w:t>
      </w:r>
    </w:p>
    <w:p w14:paraId="3CF4B70F" w14:textId="6789C97C" w:rsidR="00EE6124" w:rsidRPr="006508F2" w:rsidRDefault="00EE6124" w:rsidP="006508F2">
      <w:pPr>
        <w:pStyle w:val="Default"/>
        <w:ind w:left="1134"/>
        <w:jc w:val="both"/>
        <w:rPr>
          <w:sz w:val="22"/>
          <w:szCs w:val="22"/>
          <w:lang w:val="es-CR"/>
        </w:rPr>
      </w:pPr>
      <w:r w:rsidRPr="006508F2">
        <w:rPr>
          <w:sz w:val="22"/>
          <w:szCs w:val="22"/>
          <w:lang w:val="es-CR"/>
        </w:rPr>
        <w:t xml:space="preserve"> </w:t>
      </w:r>
    </w:p>
    <w:p w14:paraId="131F96C4" w14:textId="21D3DCFA" w:rsidR="00EE6124" w:rsidRDefault="00EE6124">
      <w:pPr>
        <w:pStyle w:val="Default"/>
        <w:numPr>
          <w:ilvl w:val="3"/>
          <w:numId w:val="208"/>
        </w:numPr>
        <w:ind w:left="1134" w:hanging="1134"/>
        <w:jc w:val="both"/>
        <w:rPr>
          <w:sz w:val="22"/>
          <w:szCs w:val="22"/>
          <w:lang w:val="es-CR"/>
        </w:rPr>
      </w:pPr>
      <w:r w:rsidRPr="00EE6124">
        <w:rPr>
          <w:sz w:val="22"/>
          <w:szCs w:val="22"/>
          <w:lang w:val="es-CR"/>
        </w:rPr>
        <w:t xml:space="preserve">En caso de que no puedan identificarse y </w:t>
      </w:r>
      <w:r w:rsidR="005907B3" w:rsidRPr="00EE6124">
        <w:rPr>
          <w:sz w:val="22"/>
          <w:szCs w:val="22"/>
          <w:lang w:val="es-CR"/>
        </w:rPr>
        <w:t>evaluar</w:t>
      </w:r>
      <w:r w:rsidR="005907B3">
        <w:rPr>
          <w:sz w:val="22"/>
          <w:szCs w:val="22"/>
          <w:lang w:val="es-CR"/>
        </w:rPr>
        <w:t>se</w:t>
      </w:r>
      <w:r w:rsidRPr="00EE6124">
        <w:rPr>
          <w:sz w:val="22"/>
          <w:szCs w:val="22"/>
          <w:lang w:val="es-CR"/>
        </w:rPr>
        <w:t xml:space="preserve"> de manera fiable los recursos asignados a la entidad al momento de su creación, la medición del capital inicial se determinará a partir del valor de los activos fijos de la entidad al momento de la adopción de NICSP.</w:t>
      </w:r>
    </w:p>
    <w:p w14:paraId="5D8D4D4F" w14:textId="77777777" w:rsidR="006508F2" w:rsidRPr="00EE6124" w:rsidRDefault="006508F2" w:rsidP="006508F2">
      <w:pPr>
        <w:pStyle w:val="Default"/>
        <w:jc w:val="both"/>
        <w:rPr>
          <w:sz w:val="22"/>
          <w:szCs w:val="22"/>
          <w:lang w:val="es-CR"/>
        </w:rPr>
      </w:pPr>
    </w:p>
    <w:p w14:paraId="3DE7884A" w14:textId="0F52BC84" w:rsidR="00EE6124" w:rsidRDefault="00EE6124">
      <w:pPr>
        <w:pStyle w:val="Default"/>
        <w:numPr>
          <w:ilvl w:val="3"/>
          <w:numId w:val="208"/>
        </w:numPr>
        <w:ind w:left="1134" w:hanging="1134"/>
        <w:jc w:val="both"/>
        <w:rPr>
          <w:sz w:val="22"/>
          <w:szCs w:val="22"/>
          <w:lang w:val="es-CR"/>
        </w:rPr>
      </w:pPr>
      <w:r w:rsidRPr="00EE6124">
        <w:rPr>
          <w:sz w:val="22"/>
          <w:szCs w:val="22"/>
          <w:lang w:val="es-CR"/>
        </w:rPr>
        <w:t>La diferencia entre el Patrimonio determinado al inicio (Activos menos Pasivos) y el capital inicial medido según cualquiera de los criterios de los párrafos anteriores, será atribuida a resultados acumulados (o resultados de ejercicios anteriores) al momento de adopción de las NICSP.</w:t>
      </w:r>
    </w:p>
    <w:p w14:paraId="4123A3E1" w14:textId="77777777" w:rsidR="006508F2" w:rsidRPr="00EE6124" w:rsidRDefault="006508F2" w:rsidP="006508F2">
      <w:pPr>
        <w:pStyle w:val="Default"/>
        <w:jc w:val="both"/>
        <w:rPr>
          <w:sz w:val="22"/>
          <w:szCs w:val="22"/>
          <w:lang w:val="es-CR"/>
        </w:rPr>
      </w:pPr>
    </w:p>
    <w:p w14:paraId="7664435D" w14:textId="5C8BBFE8" w:rsidR="00EE6124" w:rsidRPr="00EE6124" w:rsidRDefault="00EE6124" w:rsidP="00EE6124">
      <w:pPr>
        <w:pStyle w:val="Default"/>
        <w:ind w:left="1134" w:hanging="1134"/>
        <w:jc w:val="both"/>
        <w:rPr>
          <w:sz w:val="22"/>
          <w:szCs w:val="22"/>
          <w:lang w:val="es-CR"/>
        </w:rPr>
      </w:pPr>
      <w:r w:rsidRPr="00EE6124">
        <w:rPr>
          <w:sz w:val="22"/>
          <w:szCs w:val="22"/>
          <w:lang w:val="es-CR"/>
        </w:rPr>
        <w:t>3.</w:t>
      </w:r>
      <w:r w:rsidR="003729C4">
        <w:rPr>
          <w:sz w:val="22"/>
          <w:szCs w:val="22"/>
          <w:lang w:val="es-CR"/>
        </w:rPr>
        <w:t>5.3.03</w:t>
      </w:r>
      <w:r w:rsidR="003729C4">
        <w:rPr>
          <w:sz w:val="22"/>
          <w:szCs w:val="22"/>
          <w:lang w:val="es-CR"/>
        </w:rPr>
        <w:tab/>
      </w:r>
      <w:r w:rsidRPr="00EE6124">
        <w:rPr>
          <w:sz w:val="22"/>
          <w:szCs w:val="22"/>
          <w:lang w:val="es-CR"/>
        </w:rPr>
        <w:t xml:space="preserve">La porción del ajuste de resultados acumulados originada en el reconocimiento inicial de los activos fijos que la entidad lleve a cabo dentro del periodo transitorio en la adopción de NICSP y respecto de la cual pueda afirmarse que estuvo originada en bienes existentes al momento de la adopción de NICSP, se adicionará al importe reconocido como capital inicial. </w:t>
      </w:r>
    </w:p>
    <w:p w14:paraId="1A13A72D" w14:textId="77777777" w:rsidR="00EE6124" w:rsidRPr="00EE6124" w:rsidRDefault="00EE6124" w:rsidP="00A279AD">
      <w:pPr>
        <w:pStyle w:val="Default"/>
        <w:spacing w:after="120" w:line="238" w:lineRule="auto"/>
        <w:ind w:right="260"/>
        <w:jc w:val="both"/>
        <w:rPr>
          <w:sz w:val="22"/>
          <w:szCs w:val="22"/>
          <w:lang w:val="es-CR"/>
        </w:rPr>
      </w:pPr>
    </w:p>
    <w:tbl>
      <w:tblPr>
        <w:tblW w:w="9395" w:type="dxa"/>
        <w:tblLayout w:type="fixed"/>
        <w:tblLook w:val="04A0" w:firstRow="1" w:lastRow="0" w:firstColumn="1" w:lastColumn="0" w:noHBand="0" w:noVBand="1"/>
      </w:tblPr>
      <w:tblGrid>
        <w:gridCol w:w="769"/>
        <w:gridCol w:w="317"/>
        <w:gridCol w:w="464"/>
        <w:gridCol w:w="3827"/>
        <w:gridCol w:w="2138"/>
        <w:gridCol w:w="1873"/>
        <w:gridCol w:w="7"/>
      </w:tblGrid>
      <w:tr w:rsidR="003729C4" w:rsidRPr="003729C4" w14:paraId="53B28748" w14:textId="77777777" w:rsidTr="00AE103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05EC496" w14:textId="77777777" w:rsidR="003729C4" w:rsidRPr="003729C4" w:rsidRDefault="003729C4" w:rsidP="003729C4">
            <w:pPr>
              <w:jc w:val="center"/>
              <w:rPr>
                <w:rFonts w:ascii="Arial Narrow" w:eastAsia="Times New Roman" w:hAnsi="Arial Narrow" w:cs="Calibri"/>
                <w:b/>
                <w:bCs/>
                <w:color w:val="FFFFFF"/>
                <w:sz w:val="22"/>
                <w:szCs w:val="22"/>
              </w:rPr>
            </w:pPr>
            <w:r w:rsidRPr="003729C4">
              <w:rPr>
                <w:rFonts w:ascii="Arial Narrow" w:eastAsia="Times New Roman" w:hAnsi="Arial Narrow" w:cs="Calibri"/>
                <w:b/>
                <w:bCs/>
                <w:color w:val="FFFFFF"/>
                <w:sz w:val="22"/>
                <w:szCs w:val="22"/>
              </w:rPr>
              <w:lastRenderedPageBreak/>
              <w:t>Norma / Política</w:t>
            </w:r>
          </w:p>
        </w:tc>
        <w:tc>
          <w:tcPr>
            <w:tcW w:w="3827" w:type="dxa"/>
            <w:vMerge w:val="restart"/>
            <w:tcBorders>
              <w:top w:val="single" w:sz="8" w:space="0" w:color="auto"/>
              <w:left w:val="single" w:sz="8" w:space="0" w:color="auto"/>
              <w:bottom w:val="nil"/>
              <w:right w:val="single" w:sz="8" w:space="0" w:color="auto"/>
            </w:tcBorders>
            <w:shd w:val="clear" w:color="000000" w:fill="203764"/>
            <w:vAlign w:val="center"/>
            <w:hideMark/>
          </w:tcPr>
          <w:p w14:paraId="1EA862DF" w14:textId="77777777" w:rsidR="003729C4" w:rsidRPr="003729C4" w:rsidRDefault="003729C4" w:rsidP="003729C4">
            <w:pPr>
              <w:jc w:val="center"/>
              <w:rPr>
                <w:rFonts w:ascii="Arial Narrow" w:eastAsia="Times New Roman" w:hAnsi="Arial Narrow" w:cs="Calibri"/>
                <w:b/>
                <w:bCs/>
                <w:color w:val="FFFFFF"/>
                <w:sz w:val="22"/>
                <w:szCs w:val="22"/>
              </w:rPr>
            </w:pPr>
            <w:r w:rsidRPr="003729C4">
              <w:rPr>
                <w:rFonts w:ascii="Arial Narrow" w:eastAsia="Times New Roman" w:hAnsi="Arial Narrow" w:cs="Calibri"/>
                <w:b/>
                <w:bCs/>
                <w:color w:val="FFFFFF"/>
                <w:sz w:val="22"/>
                <w:szCs w:val="22"/>
              </w:rPr>
              <w:t>Concepto</w:t>
            </w:r>
          </w:p>
        </w:tc>
        <w:tc>
          <w:tcPr>
            <w:tcW w:w="4018" w:type="dxa"/>
            <w:gridSpan w:val="3"/>
            <w:tcBorders>
              <w:top w:val="single" w:sz="8" w:space="0" w:color="auto"/>
              <w:left w:val="nil"/>
              <w:bottom w:val="single" w:sz="8" w:space="0" w:color="auto"/>
              <w:right w:val="single" w:sz="8" w:space="0" w:color="000000"/>
            </w:tcBorders>
            <w:shd w:val="clear" w:color="000000" w:fill="203764"/>
            <w:vAlign w:val="center"/>
            <w:hideMark/>
          </w:tcPr>
          <w:p w14:paraId="3CE5B737" w14:textId="77777777" w:rsidR="003729C4" w:rsidRPr="003729C4" w:rsidRDefault="003729C4" w:rsidP="003729C4">
            <w:pPr>
              <w:jc w:val="center"/>
              <w:rPr>
                <w:rFonts w:ascii="Arial Narrow" w:eastAsia="Times New Roman" w:hAnsi="Arial Narrow" w:cs="Calibri"/>
                <w:b/>
                <w:bCs/>
                <w:color w:val="FFFFFF"/>
                <w:sz w:val="22"/>
                <w:szCs w:val="22"/>
              </w:rPr>
            </w:pPr>
            <w:r w:rsidRPr="003729C4">
              <w:rPr>
                <w:rFonts w:ascii="Arial Narrow" w:eastAsia="Times New Roman" w:hAnsi="Arial Narrow" w:cs="Calibri"/>
                <w:b/>
                <w:bCs/>
                <w:color w:val="FFFFFF"/>
                <w:sz w:val="22"/>
                <w:szCs w:val="22"/>
              </w:rPr>
              <w:t>Referencia</w:t>
            </w:r>
          </w:p>
        </w:tc>
      </w:tr>
      <w:tr w:rsidR="003729C4" w:rsidRPr="006E5442" w14:paraId="102A5221" w14:textId="77777777" w:rsidTr="00AE1036">
        <w:trPr>
          <w:gridAfter w:val="1"/>
          <w:wAfter w:w="7" w:type="dxa"/>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02FCA7E2" w14:textId="77777777" w:rsidR="003729C4" w:rsidRPr="003729C4" w:rsidRDefault="003729C4" w:rsidP="003729C4">
            <w:pPr>
              <w:rPr>
                <w:rFonts w:ascii="Arial Narrow" w:eastAsia="Times New Roman" w:hAnsi="Arial Narrow" w:cs="Calibri"/>
                <w:b/>
                <w:bCs/>
                <w:color w:val="FFFFFF"/>
                <w:sz w:val="22"/>
                <w:szCs w:val="22"/>
              </w:rPr>
            </w:pPr>
          </w:p>
        </w:tc>
        <w:tc>
          <w:tcPr>
            <w:tcW w:w="3827" w:type="dxa"/>
            <w:vMerge/>
            <w:tcBorders>
              <w:top w:val="single" w:sz="8" w:space="0" w:color="auto"/>
              <w:left w:val="single" w:sz="8" w:space="0" w:color="auto"/>
              <w:bottom w:val="nil"/>
              <w:right w:val="single" w:sz="8" w:space="0" w:color="auto"/>
            </w:tcBorders>
            <w:vAlign w:val="center"/>
            <w:hideMark/>
          </w:tcPr>
          <w:p w14:paraId="31C12A99" w14:textId="77777777" w:rsidR="003729C4" w:rsidRPr="003729C4" w:rsidRDefault="003729C4" w:rsidP="003729C4">
            <w:pPr>
              <w:rPr>
                <w:rFonts w:ascii="Arial Narrow" w:eastAsia="Times New Roman" w:hAnsi="Arial Narrow" w:cs="Calibri"/>
                <w:b/>
                <w:bCs/>
                <w:color w:val="FFFFFF"/>
                <w:sz w:val="22"/>
                <w:szCs w:val="22"/>
              </w:rPr>
            </w:pPr>
          </w:p>
        </w:tc>
        <w:tc>
          <w:tcPr>
            <w:tcW w:w="2138" w:type="dxa"/>
            <w:tcBorders>
              <w:top w:val="nil"/>
              <w:left w:val="nil"/>
              <w:bottom w:val="nil"/>
              <w:right w:val="single" w:sz="8" w:space="0" w:color="auto"/>
            </w:tcBorders>
            <w:shd w:val="clear" w:color="000000" w:fill="203764"/>
            <w:vAlign w:val="center"/>
            <w:hideMark/>
          </w:tcPr>
          <w:p w14:paraId="5A8BEA7A" w14:textId="77777777" w:rsidR="003729C4" w:rsidRPr="003729C4" w:rsidRDefault="003729C4" w:rsidP="003729C4">
            <w:pPr>
              <w:jc w:val="center"/>
              <w:rPr>
                <w:rFonts w:ascii="Arial Narrow" w:eastAsia="Times New Roman" w:hAnsi="Arial Narrow" w:cs="Calibri"/>
                <w:b/>
                <w:bCs/>
                <w:color w:val="FFFFFF"/>
                <w:sz w:val="22"/>
                <w:szCs w:val="22"/>
              </w:rPr>
            </w:pPr>
            <w:r w:rsidRPr="003729C4">
              <w:rPr>
                <w:rFonts w:ascii="Arial Narrow" w:eastAsia="Times New Roman" w:hAnsi="Arial Narrow" w:cs="Calibri"/>
                <w:b/>
                <w:bCs/>
                <w:color w:val="FFFFFF"/>
                <w:sz w:val="22"/>
                <w:szCs w:val="22"/>
              </w:rPr>
              <w:t>Norma</w:t>
            </w:r>
          </w:p>
        </w:tc>
        <w:tc>
          <w:tcPr>
            <w:tcW w:w="1873" w:type="dxa"/>
            <w:tcBorders>
              <w:top w:val="nil"/>
              <w:left w:val="nil"/>
              <w:bottom w:val="nil"/>
              <w:right w:val="single" w:sz="8" w:space="0" w:color="auto"/>
            </w:tcBorders>
            <w:shd w:val="clear" w:color="000000" w:fill="203764"/>
            <w:vAlign w:val="center"/>
            <w:hideMark/>
          </w:tcPr>
          <w:p w14:paraId="44AF3252" w14:textId="77777777" w:rsidR="003729C4" w:rsidRPr="003729C4" w:rsidRDefault="003729C4" w:rsidP="003729C4">
            <w:pPr>
              <w:jc w:val="center"/>
              <w:rPr>
                <w:rFonts w:ascii="Arial Narrow" w:eastAsia="Times New Roman" w:hAnsi="Arial Narrow" w:cs="Calibri"/>
                <w:b/>
                <w:bCs/>
                <w:color w:val="FFFFFF"/>
                <w:sz w:val="22"/>
                <w:szCs w:val="22"/>
                <w:lang w:val="es-CR"/>
              </w:rPr>
            </w:pPr>
            <w:r w:rsidRPr="003729C4">
              <w:rPr>
                <w:rFonts w:ascii="Arial Narrow" w:eastAsia="Times New Roman" w:hAnsi="Arial Narrow" w:cs="Calibri"/>
                <w:b/>
                <w:bCs/>
                <w:color w:val="FFFFFF"/>
                <w:sz w:val="22"/>
                <w:szCs w:val="22"/>
                <w:lang w:val="es-CR"/>
              </w:rPr>
              <w:t>Normativa técnica y disposiciones adicionales</w:t>
            </w:r>
          </w:p>
        </w:tc>
      </w:tr>
      <w:tr w:rsidR="003729C4" w:rsidRPr="003729C4" w14:paraId="6E42E727" w14:textId="77777777" w:rsidTr="00AE1036">
        <w:trPr>
          <w:gridAfter w:val="1"/>
          <w:wAfter w:w="7" w:type="dxa"/>
          <w:trHeight w:val="570"/>
        </w:trPr>
        <w:tc>
          <w:tcPr>
            <w:tcW w:w="7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9D6367"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3</w:t>
            </w:r>
          </w:p>
        </w:tc>
        <w:tc>
          <w:tcPr>
            <w:tcW w:w="317" w:type="dxa"/>
            <w:tcBorders>
              <w:top w:val="single" w:sz="8" w:space="0" w:color="auto"/>
              <w:left w:val="nil"/>
              <w:bottom w:val="single" w:sz="8" w:space="0" w:color="auto"/>
              <w:right w:val="single" w:sz="8" w:space="0" w:color="auto"/>
            </w:tcBorders>
            <w:shd w:val="clear" w:color="auto" w:fill="auto"/>
            <w:noWrap/>
            <w:vAlign w:val="center"/>
            <w:hideMark/>
          </w:tcPr>
          <w:p w14:paraId="2AFB2EBA"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6</w:t>
            </w:r>
          </w:p>
        </w:tc>
        <w:tc>
          <w:tcPr>
            <w:tcW w:w="464" w:type="dxa"/>
            <w:tcBorders>
              <w:top w:val="single" w:sz="8" w:space="0" w:color="auto"/>
              <w:left w:val="nil"/>
              <w:bottom w:val="single" w:sz="8" w:space="0" w:color="auto"/>
              <w:right w:val="single" w:sz="8" w:space="0" w:color="auto"/>
            </w:tcBorders>
            <w:shd w:val="clear" w:color="auto" w:fill="auto"/>
            <w:vAlign w:val="center"/>
            <w:hideMark/>
          </w:tcPr>
          <w:p w14:paraId="013C53EA" w14:textId="11E32081" w:rsidR="003729C4" w:rsidRPr="003729C4" w:rsidRDefault="003729C4" w:rsidP="003729C4">
            <w:pPr>
              <w:jc w:val="center"/>
              <w:rPr>
                <w:rFonts w:ascii="Arial Narrow" w:eastAsia="Times New Roman" w:hAnsi="Arial Narrow" w:cs="Calibri"/>
                <w:b/>
                <w:bCs/>
                <w:color w:val="000000"/>
                <w:sz w:val="22"/>
                <w:szCs w:val="22"/>
              </w:rPr>
            </w:pPr>
          </w:p>
        </w:tc>
        <w:tc>
          <w:tcPr>
            <w:tcW w:w="3827" w:type="dxa"/>
            <w:tcBorders>
              <w:top w:val="single" w:sz="8" w:space="0" w:color="auto"/>
              <w:left w:val="nil"/>
              <w:bottom w:val="single" w:sz="8" w:space="0" w:color="auto"/>
              <w:right w:val="single" w:sz="8" w:space="0" w:color="auto"/>
            </w:tcBorders>
            <w:shd w:val="clear" w:color="auto" w:fill="auto"/>
            <w:vAlign w:val="center"/>
            <w:hideMark/>
          </w:tcPr>
          <w:p w14:paraId="026BF048" w14:textId="77777777" w:rsidR="003729C4" w:rsidRPr="003729C4" w:rsidRDefault="003729C4" w:rsidP="003729C4">
            <w:pPr>
              <w:jc w:val="both"/>
              <w:rPr>
                <w:rFonts w:ascii="Arial Narrow" w:eastAsia="Times New Roman" w:hAnsi="Arial Narrow" w:cs="Calibri"/>
                <w:b/>
                <w:bCs/>
                <w:color w:val="000000"/>
                <w:sz w:val="22"/>
                <w:szCs w:val="22"/>
                <w:lang w:val="es-CR"/>
              </w:rPr>
            </w:pPr>
            <w:r w:rsidRPr="003729C4">
              <w:rPr>
                <w:rFonts w:ascii="Arial Narrow" w:eastAsia="Times New Roman" w:hAnsi="Arial Narrow" w:cs="Calibri"/>
                <w:b/>
                <w:bCs/>
                <w:color w:val="000000"/>
                <w:sz w:val="22"/>
                <w:szCs w:val="22"/>
                <w:lang w:val="es-CR"/>
              </w:rPr>
              <w:t>Información a revelar para el capital</w:t>
            </w:r>
          </w:p>
        </w:tc>
        <w:tc>
          <w:tcPr>
            <w:tcW w:w="2138" w:type="dxa"/>
            <w:tcBorders>
              <w:top w:val="single" w:sz="8" w:space="0" w:color="auto"/>
              <w:left w:val="nil"/>
              <w:bottom w:val="single" w:sz="8" w:space="0" w:color="auto"/>
              <w:right w:val="single" w:sz="8" w:space="0" w:color="auto"/>
            </w:tcBorders>
            <w:shd w:val="clear" w:color="auto" w:fill="auto"/>
            <w:vAlign w:val="center"/>
            <w:hideMark/>
          </w:tcPr>
          <w:p w14:paraId="0B954137" w14:textId="77777777" w:rsidR="00AE1036" w:rsidRDefault="003729C4" w:rsidP="003729C4">
            <w:pPr>
              <w:jc w:val="both"/>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 xml:space="preserve">NICSP N° 1, </w:t>
            </w:r>
          </w:p>
          <w:p w14:paraId="01EDBD72" w14:textId="38BED244" w:rsidR="003729C4" w:rsidRPr="003729C4" w:rsidRDefault="003729C4" w:rsidP="003729C4">
            <w:pPr>
              <w:jc w:val="both"/>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Párrafos 95 y 98.</w:t>
            </w:r>
          </w:p>
        </w:tc>
        <w:tc>
          <w:tcPr>
            <w:tcW w:w="1873" w:type="dxa"/>
            <w:tcBorders>
              <w:top w:val="single" w:sz="8" w:space="0" w:color="auto"/>
              <w:left w:val="nil"/>
              <w:bottom w:val="single" w:sz="8" w:space="0" w:color="auto"/>
              <w:right w:val="single" w:sz="8" w:space="0" w:color="auto"/>
            </w:tcBorders>
            <w:shd w:val="clear" w:color="auto" w:fill="auto"/>
            <w:vAlign w:val="center"/>
            <w:hideMark/>
          </w:tcPr>
          <w:p w14:paraId="188981BD" w14:textId="77777777" w:rsidR="003729C4" w:rsidRPr="003729C4" w:rsidRDefault="003729C4" w:rsidP="003729C4">
            <w:pP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DGCN</w:t>
            </w:r>
          </w:p>
        </w:tc>
      </w:tr>
    </w:tbl>
    <w:p w14:paraId="6CEEABF4" w14:textId="77777777" w:rsidR="00EE6124" w:rsidRDefault="00EE6124" w:rsidP="00AE1036">
      <w:pPr>
        <w:pStyle w:val="Default"/>
        <w:ind w:right="261"/>
        <w:jc w:val="both"/>
        <w:rPr>
          <w:sz w:val="22"/>
          <w:szCs w:val="22"/>
          <w:lang w:val="es-CR"/>
        </w:rPr>
      </w:pPr>
    </w:p>
    <w:p w14:paraId="159FFD90" w14:textId="35CF41F3" w:rsidR="00AE1036" w:rsidRDefault="00AE1036" w:rsidP="00AE1036">
      <w:pPr>
        <w:pStyle w:val="Default"/>
        <w:ind w:right="261"/>
        <w:jc w:val="both"/>
        <w:rPr>
          <w:rFonts w:eastAsia="Arial"/>
          <w:b/>
          <w:sz w:val="22"/>
          <w:szCs w:val="22"/>
        </w:rPr>
      </w:pPr>
      <w:r w:rsidRPr="00F02F9D">
        <w:rPr>
          <w:rFonts w:eastAsia="Arial"/>
          <w:b/>
          <w:sz w:val="22"/>
          <w:szCs w:val="22"/>
        </w:rPr>
        <w:t>Políticas Contables</w:t>
      </w:r>
    </w:p>
    <w:p w14:paraId="080C93E6" w14:textId="77777777" w:rsidR="00AE1036" w:rsidRDefault="00AE1036" w:rsidP="00AE1036">
      <w:pPr>
        <w:pStyle w:val="Default"/>
        <w:ind w:right="261"/>
        <w:jc w:val="both"/>
        <w:rPr>
          <w:sz w:val="22"/>
          <w:szCs w:val="22"/>
          <w:lang w:val="es-CR"/>
        </w:rPr>
      </w:pPr>
    </w:p>
    <w:p w14:paraId="631334DB" w14:textId="1CD61B2A" w:rsidR="003729C4" w:rsidRPr="00A76230" w:rsidRDefault="003729C4">
      <w:pPr>
        <w:pStyle w:val="Default"/>
        <w:numPr>
          <w:ilvl w:val="3"/>
          <w:numId w:val="209"/>
        </w:numPr>
        <w:ind w:left="1134" w:hanging="1134"/>
        <w:jc w:val="both"/>
        <w:rPr>
          <w:sz w:val="22"/>
          <w:szCs w:val="22"/>
          <w:lang w:val="es-CR"/>
        </w:rPr>
      </w:pPr>
      <w:r w:rsidRPr="00A76230">
        <w:rPr>
          <w:sz w:val="22"/>
          <w:szCs w:val="22"/>
          <w:lang w:val="es-CR"/>
        </w:rPr>
        <w:t>Deberá revelarse la siguiente información en el ESF o en las Notas</w:t>
      </w:r>
      <w:r w:rsidR="00A76230">
        <w:rPr>
          <w:sz w:val="22"/>
          <w:szCs w:val="22"/>
          <w:lang w:val="es-CR"/>
        </w:rPr>
        <w:t>, tomando e</w:t>
      </w:r>
      <w:r w:rsidR="00A76230" w:rsidRPr="00A76230">
        <w:rPr>
          <w:sz w:val="22"/>
          <w:szCs w:val="22"/>
          <w:lang w:val="es-CR"/>
        </w:rPr>
        <w:t>n c</w:t>
      </w:r>
      <w:r w:rsidR="00A76230">
        <w:rPr>
          <w:sz w:val="22"/>
          <w:szCs w:val="22"/>
          <w:lang w:val="es-CR"/>
        </w:rPr>
        <w:t>onsideración</w:t>
      </w:r>
      <w:r w:rsidR="00A76230" w:rsidRPr="00A76230">
        <w:rPr>
          <w:sz w:val="22"/>
          <w:szCs w:val="22"/>
          <w:lang w:val="es-CR"/>
        </w:rPr>
        <w:t xml:space="preserve"> de que</w:t>
      </w:r>
      <w:r w:rsidRPr="00A76230">
        <w:rPr>
          <w:sz w:val="22"/>
          <w:szCs w:val="22"/>
          <w:lang w:val="es-CR"/>
        </w:rPr>
        <w:t xml:space="preserve"> la </w:t>
      </w:r>
      <w:r w:rsidR="00A76230" w:rsidRPr="00A76230">
        <w:rPr>
          <w:sz w:val="22"/>
          <w:szCs w:val="22"/>
          <w:lang w:val="es-CR"/>
        </w:rPr>
        <w:t xml:space="preserve">Municipalidad, </w:t>
      </w:r>
      <w:r w:rsidR="00A76230">
        <w:rPr>
          <w:sz w:val="22"/>
          <w:szCs w:val="22"/>
          <w:lang w:val="es-CR"/>
        </w:rPr>
        <w:t>contó con un</w:t>
      </w:r>
      <w:r w:rsidR="00A76230" w:rsidRPr="00A76230">
        <w:rPr>
          <w:sz w:val="22"/>
          <w:szCs w:val="22"/>
          <w:lang w:val="es-CR"/>
        </w:rPr>
        <w:t xml:space="preserve"> </w:t>
      </w:r>
      <w:r w:rsidRPr="00A76230">
        <w:rPr>
          <w:sz w:val="22"/>
          <w:szCs w:val="22"/>
          <w:lang w:val="es-CR"/>
        </w:rPr>
        <w:t xml:space="preserve">capital </w:t>
      </w:r>
      <w:r w:rsidR="00A76230" w:rsidRPr="00A76230">
        <w:rPr>
          <w:sz w:val="22"/>
          <w:szCs w:val="22"/>
          <w:lang w:val="es-CR"/>
        </w:rPr>
        <w:t>inicial y las variaciones producidas durante cada periodo</w:t>
      </w:r>
      <w:r w:rsidRPr="00A76230">
        <w:rPr>
          <w:sz w:val="22"/>
          <w:szCs w:val="22"/>
          <w:lang w:val="es-CR"/>
        </w:rPr>
        <w:t xml:space="preserve">: </w:t>
      </w:r>
    </w:p>
    <w:p w14:paraId="5A45929D" w14:textId="77777777" w:rsidR="00A76230" w:rsidRDefault="00A76230" w:rsidP="00A76230">
      <w:pPr>
        <w:pStyle w:val="Default"/>
        <w:rPr>
          <w:sz w:val="23"/>
          <w:szCs w:val="23"/>
          <w:lang w:val="es-CR"/>
        </w:rPr>
      </w:pPr>
    </w:p>
    <w:p w14:paraId="5F8CBA9E" w14:textId="77777777" w:rsidR="00A76230" w:rsidRDefault="00A76230">
      <w:pPr>
        <w:pStyle w:val="Default"/>
        <w:numPr>
          <w:ilvl w:val="0"/>
          <w:numId w:val="210"/>
        </w:numPr>
        <w:spacing w:after="120"/>
        <w:ind w:left="1418" w:hanging="284"/>
        <w:rPr>
          <w:sz w:val="23"/>
          <w:szCs w:val="23"/>
          <w:lang w:val="es-CR"/>
        </w:rPr>
      </w:pPr>
      <w:r>
        <w:rPr>
          <w:sz w:val="23"/>
          <w:szCs w:val="23"/>
          <w:lang w:val="es-CR"/>
        </w:rPr>
        <w:t>E</w:t>
      </w:r>
      <w:r w:rsidR="003729C4" w:rsidRPr="003729C4">
        <w:rPr>
          <w:sz w:val="23"/>
          <w:szCs w:val="23"/>
          <w:lang w:val="es-CR"/>
        </w:rPr>
        <w:t xml:space="preserve">l valor nominal del </w:t>
      </w:r>
      <w:r>
        <w:rPr>
          <w:sz w:val="23"/>
          <w:szCs w:val="23"/>
          <w:lang w:val="es-CR"/>
        </w:rPr>
        <w:t>capital inicial con el que inició operaciones la Municipalidad</w:t>
      </w:r>
    </w:p>
    <w:p w14:paraId="475931B7" w14:textId="26B8C93B" w:rsidR="003729C4" w:rsidRPr="003729C4" w:rsidRDefault="00A76230">
      <w:pPr>
        <w:pStyle w:val="Default"/>
        <w:numPr>
          <w:ilvl w:val="0"/>
          <w:numId w:val="210"/>
        </w:numPr>
        <w:spacing w:after="120"/>
        <w:ind w:left="1418" w:hanging="284"/>
        <w:rPr>
          <w:sz w:val="23"/>
          <w:szCs w:val="23"/>
          <w:lang w:val="es-CR"/>
        </w:rPr>
      </w:pPr>
      <w:r>
        <w:rPr>
          <w:sz w:val="23"/>
          <w:szCs w:val="23"/>
          <w:lang w:val="es-CR"/>
        </w:rPr>
        <w:t>U</w:t>
      </w:r>
      <w:r w:rsidR="003729C4" w:rsidRPr="003729C4">
        <w:rPr>
          <w:sz w:val="23"/>
          <w:szCs w:val="23"/>
          <w:lang w:val="es-CR"/>
        </w:rPr>
        <w:t>n</w:t>
      </w:r>
      <w:r>
        <w:rPr>
          <w:sz w:val="23"/>
          <w:szCs w:val="23"/>
          <w:lang w:val="es-CR"/>
        </w:rPr>
        <w:t xml:space="preserve"> detalle del Capital Inicial y su origen </w:t>
      </w:r>
      <w:r w:rsidR="003729C4" w:rsidRPr="003729C4">
        <w:rPr>
          <w:sz w:val="23"/>
          <w:szCs w:val="23"/>
          <w:lang w:val="es-CR"/>
        </w:rPr>
        <w:t xml:space="preserve">al principio y al final del año; </w:t>
      </w:r>
    </w:p>
    <w:p w14:paraId="271DCFA2" w14:textId="77777777" w:rsidR="00EE6124" w:rsidRDefault="00EE6124" w:rsidP="00A279AD">
      <w:pPr>
        <w:pStyle w:val="Default"/>
        <w:spacing w:after="120" w:line="238" w:lineRule="auto"/>
        <w:ind w:right="260"/>
        <w:jc w:val="both"/>
        <w:rPr>
          <w:sz w:val="22"/>
          <w:szCs w:val="22"/>
          <w:lang w:val="es-CR"/>
        </w:rPr>
      </w:pPr>
    </w:p>
    <w:p w14:paraId="79E02E24" w14:textId="77777777" w:rsidR="00AE1036" w:rsidRDefault="00AE1036" w:rsidP="00A279AD">
      <w:pPr>
        <w:pStyle w:val="Default"/>
        <w:spacing w:after="120" w:line="238" w:lineRule="auto"/>
        <w:ind w:right="260"/>
        <w:jc w:val="both"/>
        <w:rPr>
          <w:sz w:val="22"/>
          <w:szCs w:val="22"/>
          <w:lang w:val="es-CR"/>
        </w:rPr>
      </w:pPr>
    </w:p>
    <w:p w14:paraId="54CD7978" w14:textId="47618FD1" w:rsidR="003729C4" w:rsidRPr="0069573C" w:rsidRDefault="003729C4" w:rsidP="0069573C">
      <w:pPr>
        <w:pStyle w:val="Ttulo2"/>
        <w:ind w:left="284"/>
        <w:rPr>
          <w:rFonts w:ascii="Arial" w:eastAsia="Arial" w:hAnsi="Arial" w:cs="Arial"/>
          <w:b/>
          <w:bCs/>
          <w:sz w:val="20"/>
          <w:szCs w:val="20"/>
          <w:lang w:val="es-CR"/>
        </w:rPr>
      </w:pPr>
      <w:bookmarkStart w:id="112" w:name="_Toc172726247"/>
      <w:r w:rsidRPr="0069573C">
        <w:rPr>
          <w:rFonts w:ascii="Arial" w:eastAsia="Arial" w:hAnsi="Arial" w:cs="Arial"/>
          <w:b/>
          <w:bCs/>
          <w:sz w:val="20"/>
          <w:szCs w:val="20"/>
          <w:lang w:val="es-CR"/>
        </w:rPr>
        <w:t>Reservas</w:t>
      </w:r>
      <w:bookmarkEnd w:id="112"/>
    </w:p>
    <w:p w14:paraId="4D5684C5" w14:textId="77777777" w:rsidR="003729C4" w:rsidRPr="00EE6124" w:rsidRDefault="003729C4" w:rsidP="00A279AD">
      <w:pPr>
        <w:pStyle w:val="Default"/>
        <w:spacing w:after="120" w:line="238" w:lineRule="auto"/>
        <w:ind w:right="260"/>
        <w:jc w:val="both"/>
        <w:rPr>
          <w:sz w:val="22"/>
          <w:szCs w:val="22"/>
          <w:lang w:val="es-CR"/>
        </w:rPr>
      </w:pPr>
    </w:p>
    <w:tbl>
      <w:tblPr>
        <w:tblW w:w="9394" w:type="dxa"/>
        <w:tblLook w:val="04A0" w:firstRow="1" w:lastRow="0" w:firstColumn="1" w:lastColumn="0" w:noHBand="0" w:noVBand="1"/>
      </w:tblPr>
      <w:tblGrid>
        <w:gridCol w:w="540"/>
        <w:gridCol w:w="660"/>
        <w:gridCol w:w="520"/>
        <w:gridCol w:w="3740"/>
        <w:gridCol w:w="2043"/>
        <w:gridCol w:w="1891"/>
      </w:tblGrid>
      <w:tr w:rsidR="003729C4" w:rsidRPr="003729C4" w14:paraId="23110EE3" w14:textId="77777777" w:rsidTr="00AE1036">
        <w:trPr>
          <w:trHeight w:val="320"/>
        </w:trPr>
        <w:tc>
          <w:tcPr>
            <w:tcW w:w="172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06C6217" w14:textId="77777777" w:rsidR="003729C4" w:rsidRPr="003729C4" w:rsidRDefault="003729C4" w:rsidP="003729C4">
            <w:pPr>
              <w:jc w:val="center"/>
              <w:rPr>
                <w:rFonts w:ascii="Arial Narrow" w:eastAsia="Times New Roman" w:hAnsi="Arial Narrow" w:cs="Calibri"/>
                <w:b/>
                <w:bCs/>
                <w:color w:val="FFFFFF"/>
                <w:sz w:val="22"/>
                <w:szCs w:val="22"/>
              </w:rPr>
            </w:pPr>
            <w:r w:rsidRPr="003729C4">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68FBE9CA" w14:textId="77777777" w:rsidR="003729C4" w:rsidRPr="003729C4" w:rsidRDefault="003729C4" w:rsidP="003729C4">
            <w:pPr>
              <w:jc w:val="center"/>
              <w:rPr>
                <w:rFonts w:ascii="Arial Narrow" w:eastAsia="Times New Roman" w:hAnsi="Arial Narrow" w:cs="Calibri"/>
                <w:b/>
                <w:bCs/>
                <w:color w:val="FFFFFF"/>
                <w:sz w:val="22"/>
                <w:szCs w:val="22"/>
              </w:rPr>
            </w:pPr>
            <w:r w:rsidRPr="003729C4">
              <w:rPr>
                <w:rFonts w:ascii="Arial Narrow" w:eastAsia="Times New Roman" w:hAnsi="Arial Narrow" w:cs="Calibri"/>
                <w:b/>
                <w:bCs/>
                <w:color w:val="FFFFFF"/>
                <w:sz w:val="22"/>
                <w:szCs w:val="22"/>
              </w:rPr>
              <w:t>Concepto</w:t>
            </w:r>
          </w:p>
        </w:tc>
        <w:tc>
          <w:tcPr>
            <w:tcW w:w="3934" w:type="dxa"/>
            <w:gridSpan w:val="2"/>
            <w:tcBorders>
              <w:top w:val="nil"/>
              <w:left w:val="nil"/>
              <w:bottom w:val="single" w:sz="8" w:space="0" w:color="auto"/>
              <w:right w:val="single" w:sz="8" w:space="0" w:color="000000"/>
            </w:tcBorders>
            <w:shd w:val="clear" w:color="000000" w:fill="203764"/>
            <w:vAlign w:val="center"/>
            <w:hideMark/>
          </w:tcPr>
          <w:p w14:paraId="2344D7A1" w14:textId="77777777" w:rsidR="003729C4" w:rsidRPr="003729C4" w:rsidRDefault="003729C4" w:rsidP="003729C4">
            <w:pPr>
              <w:jc w:val="center"/>
              <w:rPr>
                <w:rFonts w:ascii="Arial Narrow" w:eastAsia="Times New Roman" w:hAnsi="Arial Narrow" w:cs="Calibri"/>
                <w:b/>
                <w:bCs/>
                <w:color w:val="FFFFFF"/>
                <w:sz w:val="22"/>
                <w:szCs w:val="22"/>
              </w:rPr>
            </w:pPr>
            <w:r w:rsidRPr="003729C4">
              <w:rPr>
                <w:rFonts w:ascii="Arial Narrow" w:eastAsia="Times New Roman" w:hAnsi="Arial Narrow" w:cs="Calibri"/>
                <w:b/>
                <w:bCs/>
                <w:color w:val="FFFFFF"/>
                <w:sz w:val="22"/>
                <w:szCs w:val="22"/>
              </w:rPr>
              <w:t>Referencia</w:t>
            </w:r>
          </w:p>
        </w:tc>
      </w:tr>
      <w:tr w:rsidR="003729C4" w:rsidRPr="006E5442" w14:paraId="6099A98E" w14:textId="77777777" w:rsidTr="00AE1036">
        <w:trPr>
          <w:trHeight w:val="850"/>
        </w:trPr>
        <w:tc>
          <w:tcPr>
            <w:tcW w:w="1720" w:type="dxa"/>
            <w:gridSpan w:val="3"/>
            <w:vMerge/>
            <w:tcBorders>
              <w:top w:val="single" w:sz="8" w:space="0" w:color="auto"/>
              <w:left w:val="single" w:sz="8" w:space="0" w:color="auto"/>
              <w:bottom w:val="nil"/>
              <w:right w:val="single" w:sz="8" w:space="0" w:color="000000"/>
            </w:tcBorders>
            <w:vAlign w:val="center"/>
            <w:hideMark/>
          </w:tcPr>
          <w:p w14:paraId="6074D44F" w14:textId="77777777" w:rsidR="003729C4" w:rsidRPr="003729C4" w:rsidRDefault="003729C4" w:rsidP="003729C4">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7D01BD3A" w14:textId="77777777" w:rsidR="003729C4" w:rsidRPr="003729C4" w:rsidRDefault="003729C4" w:rsidP="003729C4">
            <w:pPr>
              <w:rPr>
                <w:rFonts w:ascii="Arial Narrow" w:eastAsia="Times New Roman" w:hAnsi="Arial Narrow" w:cs="Calibri"/>
                <w:b/>
                <w:bCs/>
                <w:color w:val="FFFFFF"/>
                <w:sz w:val="22"/>
                <w:szCs w:val="22"/>
              </w:rPr>
            </w:pPr>
          </w:p>
        </w:tc>
        <w:tc>
          <w:tcPr>
            <w:tcW w:w="2043" w:type="dxa"/>
            <w:tcBorders>
              <w:top w:val="nil"/>
              <w:left w:val="nil"/>
              <w:bottom w:val="nil"/>
              <w:right w:val="single" w:sz="8" w:space="0" w:color="auto"/>
            </w:tcBorders>
            <w:shd w:val="clear" w:color="000000" w:fill="203764"/>
            <w:vAlign w:val="center"/>
            <w:hideMark/>
          </w:tcPr>
          <w:p w14:paraId="46C554CE" w14:textId="77777777" w:rsidR="003729C4" w:rsidRPr="003729C4" w:rsidRDefault="003729C4" w:rsidP="003729C4">
            <w:pPr>
              <w:jc w:val="center"/>
              <w:rPr>
                <w:rFonts w:ascii="Arial Narrow" w:eastAsia="Times New Roman" w:hAnsi="Arial Narrow" w:cs="Calibri"/>
                <w:b/>
                <w:bCs/>
                <w:color w:val="FFFFFF"/>
                <w:sz w:val="22"/>
                <w:szCs w:val="22"/>
              </w:rPr>
            </w:pPr>
            <w:r w:rsidRPr="003729C4">
              <w:rPr>
                <w:rFonts w:ascii="Arial Narrow" w:eastAsia="Times New Roman" w:hAnsi="Arial Narrow" w:cs="Calibri"/>
                <w:b/>
                <w:bCs/>
                <w:color w:val="FFFFFF"/>
                <w:sz w:val="22"/>
                <w:szCs w:val="22"/>
              </w:rPr>
              <w:t>Norma</w:t>
            </w:r>
          </w:p>
        </w:tc>
        <w:tc>
          <w:tcPr>
            <w:tcW w:w="1889" w:type="dxa"/>
            <w:tcBorders>
              <w:top w:val="nil"/>
              <w:left w:val="nil"/>
              <w:bottom w:val="nil"/>
              <w:right w:val="single" w:sz="8" w:space="0" w:color="auto"/>
            </w:tcBorders>
            <w:shd w:val="clear" w:color="000000" w:fill="203764"/>
            <w:vAlign w:val="center"/>
            <w:hideMark/>
          </w:tcPr>
          <w:p w14:paraId="1B532AB2" w14:textId="77777777" w:rsidR="003729C4" w:rsidRPr="003729C4" w:rsidRDefault="003729C4" w:rsidP="003729C4">
            <w:pPr>
              <w:jc w:val="center"/>
              <w:rPr>
                <w:rFonts w:ascii="Arial Narrow" w:eastAsia="Times New Roman" w:hAnsi="Arial Narrow" w:cs="Calibri"/>
                <w:b/>
                <w:bCs/>
                <w:color w:val="FFFFFF"/>
                <w:sz w:val="22"/>
                <w:szCs w:val="22"/>
                <w:lang w:val="es-CR"/>
              </w:rPr>
            </w:pPr>
            <w:r w:rsidRPr="003729C4">
              <w:rPr>
                <w:rFonts w:ascii="Arial Narrow" w:eastAsia="Times New Roman" w:hAnsi="Arial Narrow" w:cs="Calibri"/>
                <w:b/>
                <w:bCs/>
                <w:color w:val="FFFFFF"/>
                <w:sz w:val="22"/>
                <w:szCs w:val="22"/>
                <w:lang w:val="es-CR"/>
              </w:rPr>
              <w:t>Normativa técnica y disposiciones adicionales</w:t>
            </w:r>
          </w:p>
        </w:tc>
      </w:tr>
      <w:tr w:rsidR="003729C4" w:rsidRPr="006E5442" w14:paraId="0127A413" w14:textId="77777777" w:rsidTr="00AE1036">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20AA3F3"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3</w:t>
            </w:r>
          </w:p>
        </w:tc>
        <w:tc>
          <w:tcPr>
            <w:tcW w:w="660" w:type="dxa"/>
            <w:tcBorders>
              <w:top w:val="nil"/>
              <w:left w:val="nil"/>
              <w:bottom w:val="single" w:sz="8" w:space="0" w:color="auto"/>
              <w:right w:val="single" w:sz="8" w:space="0" w:color="auto"/>
            </w:tcBorders>
            <w:shd w:val="clear" w:color="auto" w:fill="auto"/>
            <w:vAlign w:val="center"/>
            <w:hideMark/>
          </w:tcPr>
          <w:p w14:paraId="6D406250"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9</w:t>
            </w:r>
          </w:p>
        </w:tc>
        <w:tc>
          <w:tcPr>
            <w:tcW w:w="520" w:type="dxa"/>
            <w:tcBorders>
              <w:top w:val="nil"/>
              <w:left w:val="nil"/>
              <w:bottom w:val="single" w:sz="8" w:space="0" w:color="auto"/>
              <w:right w:val="single" w:sz="8" w:space="0" w:color="auto"/>
            </w:tcBorders>
            <w:shd w:val="clear" w:color="auto" w:fill="auto"/>
            <w:vAlign w:val="center"/>
            <w:hideMark/>
          </w:tcPr>
          <w:p w14:paraId="5A088A61" w14:textId="5162A065" w:rsidR="003729C4" w:rsidRPr="003729C4" w:rsidRDefault="003729C4" w:rsidP="003729C4">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14B18AA0" w14:textId="77777777" w:rsidR="003729C4" w:rsidRPr="003729C4" w:rsidRDefault="003729C4" w:rsidP="003729C4">
            <w:pPr>
              <w:jc w:val="both"/>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 xml:space="preserve">Reservas </w:t>
            </w:r>
          </w:p>
        </w:tc>
        <w:tc>
          <w:tcPr>
            <w:tcW w:w="2043" w:type="dxa"/>
            <w:tcBorders>
              <w:top w:val="single" w:sz="8" w:space="0" w:color="auto"/>
              <w:left w:val="nil"/>
              <w:bottom w:val="single" w:sz="8" w:space="0" w:color="auto"/>
              <w:right w:val="single" w:sz="8" w:space="0" w:color="auto"/>
            </w:tcBorders>
            <w:shd w:val="clear" w:color="auto" w:fill="auto"/>
            <w:vAlign w:val="center"/>
            <w:hideMark/>
          </w:tcPr>
          <w:p w14:paraId="7A1FD85D" w14:textId="77777777" w:rsidR="003729C4" w:rsidRPr="003729C4" w:rsidRDefault="003729C4" w:rsidP="003729C4">
            <w:pP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 xml:space="preserve">NICSP N° 1, </w:t>
            </w:r>
            <w:r w:rsidRPr="003729C4">
              <w:rPr>
                <w:rFonts w:ascii="Arial Narrow" w:eastAsia="Times New Roman" w:hAnsi="Arial Narrow" w:cs="Calibri"/>
                <w:b/>
                <w:bCs/>
                <w:color w:val="000000"/>
                <w:sz w:val="22"/>
                <w:szCs w:val="22"/>
              </w:rPr>
              <w:br/>
              <w:t>Párrafo 96.</w:t>
            </w:r>
          </w:p>
        </w:tc>
        <w:tc>
          <w:tcPr>
            <w:tcW w:w="1889" w:type="dxa"/>
            <w:tcBorders>
              <w:top w:val="nil"/>
              <w:left w:val="nil"/>
              <w:bottom w:val="single" w:sz="8" w:space="0" w:color="auto"/>
              <w:right w:val="single" w:sz="8" w:space="0" w:color="auto"/>
            </w:tcBorders>
            <w:shd w:val="clear" w:color="auto" w:fill="auto"/>
            <w:vAlign w:val="center"/>
            <w:hideMark/>
          </w:tcPr>
          <w:p w14:paraId="32BC697D" w14:textId="77777777" w:rsidR="003729C4" w:rsidRPr="003729C4" w:rsidRDefault="003729C4" w:rsidP="003729C4">
            <w:pPr>
              <w:ind w:firstLineChars="100" w:firstLine="220"/>
              <w:rPr>
                <w:rFonts w:ascii="Arial Narrow" w:eastAsia="Times New Roman" w:hAnsi="Arial Narrow" w:cs="Calibri"/>
                <w:b/>
                <w:bCs/>
                <w:color w:val="000000"/>
                <w:sz w:val="22"/>
                <w:szCs w:val="22"/>
                <w:lang w:val="es-CR"/>
              </w:rPr>
            </w:pPr>
            <w:r w:rsidRPr="003729C4">
              <w:rPr>
                <w:rFonts w:ascii="Arial Narrow" w:eastAsia="Times New Roman" w:hAnsi="Arial Narrow" w:cs="Calibri"/>
                <w:b/>
                <w:bCs/>
                <w:color w:val="000000"/>
                <w:sz w:val="22"/>
                <w:szCs w:val="22"/>
                <w:lang w:val="es-CR"/>
              </w:rPr>
              <w:t>Plan de Cuentas Contable (PCC)</w:t>
            </w:r>
          </w:p>
        </w:tc>
      </w:tr>
      <w:tr w:rsidR="003729C4" w:rsidRPr="003729C4" w14:paraId="40ACFAE0" w14:textId="77777777" w:rsidTr="00AE1036">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68CE2133"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3</w:t>
            </w:r>
          </w:p>
        </w:tc>
        <w:tc>
          <w:tcPr>
            <w:tcW w:w="660" w:type="dxa"/>
            <w:tcBorders>
              <w:top w:val="nil"/>
              <w:left w:val="nil"/>
              <w:bottom w:val="single" w:sz="8" w:space="0" w:color="auto"/>
              <w:right w:val="single" w:sz="8" w:space="0" w:color="auto"/>
            </w:tcBorders>
            <w:shd w:val="clear" w:color="auto" w:fill="auto"/>
            <w:vAlign w:val="center"/>
            <w:hideMark/>
          </w:tcPr>
          <w:p w14:paraId="46DC997D"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9</w:t>
            </w:r>
          </w:p>
        </w:tc>
        <w:tc>
          <w:tcPr>
            <w:tcW w:w="520" w:type="dxa"/>
            <w:tcBorders>
              <w:top w:val="nil"/>
              <w:left w:val="nil"/>
              <w:bottom w:val="single" w:sz="8" w:space="0" w:color="auto"/>
              <w:right w:val="single" w:sz="8" w:space="0" w:color="auto"/>
            </w:tcBorders>
            <w:shd w:val="clear" w:color="auto" w:fill="auto"/>
            <w:vAlign w:val="center"/>
            <w:hideMark/>
          </w:tcPr>
          <w:p w14:paraId="17F92E4C"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4D71E3F0" w14:textId="77777777" w:rsidR="003729C4" w:rsidRPr="003729C4" w:rsidRDefault="003729C4" w:rsidP="003729C4">
            <w:pPr>
              <w:jc w:val="both"/>
              <w:rPr>
                <w:rFonts w:ascii="Arial Narrow" w:eastAsia="Times New Roman" w:hAnsi="Arial Narrow" w:cs="Calibri"/>
                <w:b/>
                <w:bCs/>
                <w:color w:val="000000"/>
                <w:sz w:val="22"/>
                <w:szCs w:val="22"/>
                <w:lang w:val="es-CR"/>
              </w:rPr>
            </w:pPr>
            <w:r w:rsidRPr="003729C4">
              <w:rPr>
                <w:rFonts w:ascii="Arial Narrow" w:eastAsia="Times New Roman" w:hAnsi="Arial Narrow" w:cs="Calibri"/>
                <w:b/>
                <w:bCs/>
                <w:color w:val="000000"/>
                <w:sz w:val="22"/>
                <w:szCs w:val="22"/>
                <w:lang w:val="es-CR"/>
              </w:rPr>
              <w:t>Reservas por revaluación del Activo Fijo</w:t>
            </w:r>
          </w:p>
        </w:tc>
        <w:tc>
          <w:tcPr>
            <w:tcW w:w="2043" w:type="dxa"/>
            <w:tcBorders>
              <w:top w:val="nil"/>
              <w:left w:val="nil"/>
              <w:bottom w:val="single" w:sz="8" w:space="0" w:color="auto"/>
              <w:right w:val="single" w:sz="8" w:space="0" w:color="auto"/>
            </w:tcBorders>
            <w:shd w:val="clear" w:color="auto" w:fill="auto"/>
            <w:vAlign w:val="center"/>
            <w:hideMark/>
          </w:tcPr>
          <w:p w14:paraId="1E7D7F76" w14:textId="77777777" w:rsidR="00AE1036" w:rsidRDefault="003729C4" w:rsidP="003729C4">
            <w:pP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 xml:space="preserve">NICSP N° 17, </w:t>
            </w:r>
          </w:p>
          <w:p w14:paraId="25424F39" w14:textId="0BC84EA3" w:rsidR="003729C4" w:rsidRPr="003729C4" w:rsidRDefault="003729C4" w:rsidP="003729C4">
            <w:pP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Párrafos 54 a 57.</w:t>
            </w:r>
          </w:p>
        </w:tc>
        <w:tc>
          <w:tcPr>
            <w:tcW w:w="1889" w:type="dxa"/>
            <w:tcBorders>
              <w:top w:val="nil"/>
              <w:left w:val="nil"/>
              <w:bottom w:val="single" w:sz="8" w:space="0" w:color="auto"/>
              <w:right w:val="single" w:sz="8" w:space="0" w:color="auto"/>
            </w:tcBorders>
            <w:shd w:val="clear" w:color="auto" w:fill="auto"/>
            <w:vAlign w:val="center"/>
            <w:hideMark/>
          </w:tcPr>
          <w:p w14:paraId="7BE5F9CC" w14:textId="77777777" w:rsidR="003729C4" w:rsidRPr="003729C4" w:rsidRDefault="003729C4" w:rsidP="003729C4">
            <w:pPr>
              <w:ind w:firstLineChars="100" w:firstLine="220"/>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DGCN</w:t>
            </w:r>
          </w:p>
        </w:tc>
      </w:tr>
      <w:tr w:rsidR="003729C4" w:rsidRPr="003729C4" w14:paraId="544E15E3" w14:textId="77777777" w:rsidTr="00AE1036">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7212F47"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3</w:t>
            </w:r>
          </w:p>
        </w:tc>
        <w:tc>
          <w:tcPr>
            <w:tcW w:w="660" w:type="dxa"/>
            <w:tcBorders>
              <w:top w:val="nil"/>
              <w:left w:val="nil"/>
              <w:bottom w:val="single" w:sz="8" w:space="0" w:color="auto"/>
              <w:right w:val="single" w:sz="8" w:space="0" w:color="auto"/>
            </w:tcBorders>
            <w:shd w:val="clear" w:color="auto" w:fill="auto"/>
            <w:vAlign w:val="center"/>
            <w:hideMark/>
          </w:tcPr>
          <w:p w14:paraId="5F1F90B5"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9</w:t>
            </w:r>
          </w:p>
        </w:tc>
        <w:tc>
          <w:tcPr>
            <w:tcW w:w="520" w:type="dxa"/>
            <w:tcBorders>
              <w:top w:val="nil"/>
              <w:left w:val="nil"/>
              <w:bottom w:val="single" w:sz="8" w:space="0" w:color="auto"/>
              <w:right w:val="single" w:sz="8" w:space="0" w:color="auto"/>
            </w:tcBorders>
            <w:shd w:val="clear" w:color="auto" w:fill="auto"/>
            <w:vAlign w:val="center"/>
            <w:hideMark/>
          </w:tcPr>
          <w:p w14:paraId="58FF4865"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54891FF5" w14:textId="77777777" w:rsidR="003729C4" w:rsidRPr="003729C4" w:rsidRDefault="003729C4" w:rsidP="003729C4">
            <w:pPr>
              <w:jc w:val="both"/>
              <w:rPr>
                <w:rFonts w:ascii="Arial Narrow" w:eastAsia="Times New Roman" w:hAnsi="Arial Narrow" w:cs="Calibri"/>
                <w:b/>
                <w:bCs/>
                <w:color w:val="000000"/>
                <w:sz w:val="22"/>
                <w:szCs w:val="22"/>
                <w:lang w:val="es-CR"/>
              </w:rPr>
            </w:pPr>
            <w:r w:rsidRPr="003729C4">
              <w:rPr>
                <w:rFonts w:ascii="Arial Narrow" w:eastAsia="Times New Roman" w:hAnsi="Arial Narrow" w:cs="Calibri"/>
                <w:b/>
                <w:bCs/>
                <w:color w:val="000000"/>
                <w:sz w:val="22"/>
                <w:szCs w:val="22"/>
                <w:lang w:val="es-CR"/>
              </w:rPr>
              <w:t>Reservas por revaluación de Bienes Intangibles</w:t>
            </w:r>
          </w:p>
        </w:tc>
        <w:tc>
          <w:tcPr>
            <w:tcW w:w="2043" w:type="dxa"/>
            <w:tcBorders>
              <w:top w:val="nil"/>
              <w:left w:val="nil"/>
              <w:bottom w:val="single" w:sz="8" w:space="0" w:color="auto"/>
              <w:right w:val="single" w:sz="8" w:space="0" w:color="auto"/>
            </w:tcBorders>
            <w:shd w:val="clear" w:color="auto" w:fill="auto"/>
            <w:vAlign w:val="center"/>
            <w:hideMark/>
          </w:tcPr>
          <w:p w14:paraId="5034D00E" w14:textId="77777777" w:rsidR="00AE1036" w:rsidRDefault="003729C4" w:rsidP="003729C4">
            <w:pP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NICSP N° 31,</w:t>
            </w:r>
          </w:p>
          <w:p w14:paraId="2B9BEEF8" w14:textId="4F8F86D7" w:rsidR="003729C4" w:rsidRPr="003729C4" w:rsidRDefault="003729C4" w:rsidP="003729C4">
            <w:pP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 xml:space="preserve"> Párrafos 84 a 86.</w:t>
            </w:r>
          </w:p>
        </w:tc>
        <w:tc>
          <w:tcPr>
            <w:tcW w:w="1889" w:type="dxa"/>
            <w:tcBorders>
              <w:top w:val="nil"/>
              <w:left w:val="nil"/>
              <w:bottom w:val="single" w:sz="8" w:space="0" w:color="auto"/>
              <w:right w:val="single" w:sz="8" w:space="0" w:color="auto"/>
            </w:tcBorders>
            <w:shd w:val="clear" w:color="auto" w:fill="auto"/>
            <w:vAlign w:val="center"/>
            <w:hideMark/>
          </w:tcPr>
          <w:p w14:paraId="182B6854" w14:textId="77777777" w:rsidR="003729C4" w:rsidRPr="003729C4" w:rsidRDefault="003729C4" w:rsidP="003729C4">
            <w:pPr>
              <w:ind w:firstLineChars="100" w:firstLine="220"/>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DGCN</w:t>
            </w:r>
          </w:p>
        </w:tc>
      </w:tr>
      <w:tr w:rsidR="003729C4" w:rsidRPr="003729C4" w14:paraId="4814293E" w14:textId="77777777" w:rsidTr="00AE1036">
        <w:trPr>
          <w:trHeight w:val="30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2AA8838"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3</w:t>
            </w:r>
          </w:p>
        </w:tc>
        <w:tc>
          <w:tcPr>
            <w:tcW w:w="660" w:type="dxa"/>
            <w:tcBorders>
              <w:top w:val="nil"/>
              <w:left w:val="nil"/>
              <w:bottom w:val="single" w:sz="8" w:space="0" w:color="auto"/>
              <w:right w:val="single" w:sz="8" w:space="0" w:color="auto"/>
            </w:tcBorders>
            <w:shd w:val="clear" w:color="auto" w:fill="auto"/>
            <w:vAlign w:val="center"/>
            <w:hideMark/>
          </w:tcPr>
          <w:p w14:paraId="7338B59D"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9</w:t>
            </w:r>
          </w:p>
        </w:tc>
        <w:tc>
          <w:tcPr>
            <w:tcW w:w="520" w:type="dxa"/>
            <w:tcBorders>
              <w:top w:val="nil"/>
              <w:left w:val="nil"/>
              <w:bottom w:val="single" w:sz="8" w:space="0" w:color="auto"/>
              <w:right w:val="single" w:sz="8" w:space="0" w:color="auto"/>
            </w:tcBorders>
            <w:shd w:val="clear" w:color="auto" w:fill="auto"/>
            <w:vAlign w:val="center"/>
            <w:hideMark/>
          </w:tcPr>
          <w:p w14:paraId="619C501A" w14:textId="77777777" w:rsidR="003729C4" w:rsidRPr="003729C4" w:rsidRDefault="003729C4" w:rsidP="003729C4">
            <w:pPr>
              <w:jc w:val="cente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44B9F041" w14:textId="77777777" w:rsidR="003729C4" w:rsidRPr="003729C4" w:rsidRDefault="003729C4" w:rsidP="003729C4">
            <w:pPr>
              <w:jc w:val="both"/>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Información a revelar</w:t>
            </w:r>
          </w:p>
        </w:tc>
        <w:tc>
          <w:tcPr>
            <w:tcW w:w="2043" w:type="dxa"/>
            <w:tcBorders>
              <w:top w:val="nil"/>
              <w:left w:val="nil"/>
              <w:bottom w:val="single" w:sz="8" w:space="0" w:color="auto"/>
              <w:right w:val="single" w:sz="8" w:space="0" w:color="auto"/>
            </w:tcBorders>
            <w:shd w:val="clear" w:color="auto" w:fill="auto"/>
            <w:vAlign w:val="center"/>
            <w:hideMark/>
          </w:tcPr>
          <w:p w14:paraId="4DA5DA60" w14:textId="77777777" w:rsidR="00AE1036" w:rsidRDefault="003729C4" w:rsidP="003729C4">
            <w:pP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 xml:space="preserve">NICSP N° 1, </w:t>
            </w:r>
          </w:p>
          <w:p w14:paraId="2C42BC4A" w14:textId="151E7CC9" w:rsidR="003729C4" w:rsidRPr="003729C4" w:rsidRDefault="003729C4" w:rsidP="003729C4">
            <w:pPr>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Párrafo 98.</w:t>
            </w:r>
          </w:p>
        </w:tc>
        <w:tc>
          <w:tcPr>
            <w:tcW w:w="1889" w:type="dxa"/>
            <w:tcBorders>
              <w:top w:val="nil"/>
              <w:left w:val="nil"/>
              <w:bottom w:val="single" w:sz="8" w:space="0" w:color="auto"/>
              <w:right w:val="single" w:sz="8" w:space="0" w:color="auto"/>
            </w:tcBorders>
            <w:shd w:val="clear" w:color="auto" w:fill="auto"/>
            <w:vAlign w:val="center"/>
            <w:hideMark/>
          </w:tcPr>
          <w:p w14:paraId="173E3216" w14:textId="77777777" w:rsidR="003729C4" w:rsidRPr="003729C4" w:rsidRDefault="003729C4" w:rsidP="003729C4">
            <w:pPr>
              <w:ind w:firstLineChars="100" w:firstLine="220"/>
              <w:rPr>
                <w:rFonts w:ascii="Arial Narrow" w:eastAsia="Times New Roman" w:hAnsi="Arial Narrow" w:cs="Calibri"/>
                <w:b/>
                <w:bCs/>
                <w:color w:val="000000"/>
                <w:sz w:val="22"/>
                <w:szCs w:val="22"/>
              </w:rPr>
            </w:pPr>
            <w:r w:rsidRPr="003729C4">
              <w:rPr>
                <w:rFonts w:ascii="Arial Narrow" w:eastAsia="Times New Roman" w:hAnsi="Arial Narrow" w:cs="Calibri"/>
                <w:b/>
                <w:bCs/>
                <w:color w:val="000000"/>
                <w:sz w:val="22"/>
                <w:szCs w:val="22"/>
              </w:rPr>
              <w:t xml:space="preserve"> </w:t>
            </w:r>
          </w:p>
        </w:tc>
      </w:tr>
    </w:tbl>
    <w:p w14:paraId="20A4C13F" w14:textId="77777777" w:rsidR="00EE6124" w:rsidRDefault="00EE6124" w:rsidP="00AE1036">
      <w:pPr>
        <w:pStyle w:val="Default"/>
        <w:ind w:right="261"/>
        <w:jc w:val="both"/>
        <w:rPr>
          <w:sz w:val="22"/>
          <w:szCs w:val="22"/>
          <w:lang w:val="es-CR"/>
        </w:rPr>
      </w:pPr>
    </w:p>
    <w:p w14:paraId="2E0C89F1" w14:textId="27BB347C" w:rsidR="00AE1036" w:rsidRDefault="00AE1036" w:rsidP="00AE1036">
      <w:pPr>
        <w:pStyle w:val="Default"/>
        <w:ind w:right="261"/>
        <w:jc w:val="both"/>
        <w:rPr>
          <w:rFonts w:eastAsia="Arial"/>
          <w:b/>
          <w:sz w:val="22"/>
          <w:szCs w:val="22"/>
        </w:rPr>
      </w:pPr>
      <w:r w:rsidRPr="00F02F9D">
        <w:rPr>
          <w:rFonts w:eastAsia="Arial"/>
          <w:b/>
          <w:sz w:val="22"/>
          <w:szCs w:val="22"/>
        </w:rPr>
        <w:t>Políticas Contables</w:t>
      </w:r>
    </w:p>
    <w:p w14:paraId="54064C33" w14:textId="77777777" w:rsidR="00AE1036" w:rsidRDefault="00AE1036" w:rsidP="00AE1036">
      <w:pPr>
        <w:pStyle w:val="Default"/>
        <w:ind w:right="261"/>
        <w:jc w:val="both"/>
        <w:rPr>
          <w:sz w:val="22"/>
          <w:szCs w:val="22"/>
          <w:lang w:val="es-CR"/>
        </w:rPr>
      </w:pPr>
    </w:p>
    <w:p w14:paraId="30A8FFB2" w14:textId="77777777" w:rsidR="00A23DD1" w:rsidRDefault="00A23DD1" w:rsidP="00A23DD1">
      <w:pPr>
        <w:pStyle w:val="Default"/>
        <w:ind w:left="1134" w:hanging="1134"/>
        <w:jc w:val="both"/>
        <w:rPr>
          <w:sz w:val="22"/>
          <w:szCs w:val="22"/>
          <w:lang w:val="es-CR"/>
        </w:rPr>
      </w:pPr>
      <w:r>
        <w:rPr>
          <w:sz w:val="22"/>
          <w:szCs w:val="22"/>
          <w:lang w:val="es-CR"/>
        </w:rPr>
        <w:t>3.9.0.01</w:t>
      </w:r>
      <w:r>
        <w:rPr>
          <w:sz w:val="22"/>
          <w:szCs w:val="22"/>
          <w:lang w:val="es-CR"/>
        </w:rPr>
        <w:tab/>
      </w:r>
      <w:r w:rsidR="003729C4" w:rsidRPr="00A23DD1">
        <w:rPr>
          <w:sz w:val="22"/>
          <w:szCs w:val="22"/>
          <w:lang w:val="es-CR"/>
        </w:rPr>
        <w:t>Representan la porción del Patrimonio de la entidad,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22BE9653" w14:textId="6396F104" w:rsidR="003729C4" w:rsidRPr="00A23DD1" w:rsidRDefault="003729C4" w:rsidP="00A23DD1">
      <w:pPr>
        <w:pStyle w:val="Default"/>
        <w:ind w:left="1134" w:hanging="1134"/>
        <w:jc w:val="both"/>
        <w:rPr>
          <w:sz w:val="22"/>
          <w:szCs w:val="22"/>
          <w:lang w:val="es-CR"/>
        </w:rPr>
      </w:pPr>
      <w:r w:rsidRPr="00A23DD1">
        <w:rPr>
          <w:sz w:val="22"/>
          <w:szCs w:val="22"/>
          <w:lang w:val="es-CR"/>
        </w:rPr>
        <w:t xml:space="preserve"> </w:t>
      </w:r>
    </w:p>
    <w:p w14:paraId="16671D51" w14:textId="16BD7E05" w:rsidR="003729C4" w:rsidRPr="00A23DD1" w:rsidRDefault="00A23DD1" w:rsidP="00A23DD1">
      <w:pPr>
        <w:pStyle w:val="Default"/>
        <w:ind w:left="1134" w:hanging="1134"/>
        <w:jc w:val="both"/>
        <w:rPr>
          <w:sz w:val="22"/>
          <w:szCs w:val="22"/>
          <w:lang w:val="es-CR"/>
        </w:rPr>
      </w:pPr>
      <w:r>
        <w:rPr>
          <w:sz w:val="22"/>
          <w:szCs w:val="22"/>
          <w:lang w:val="es-CR"/>
        </w:rPr>
        <w:t>3.9.1.01</w:t>
      </w:r>
      <w:r>
        <w:rPr>
          <w:sz w:val="22"/>
          <w:szCs w:val="22"/>
          <w:lang w:val="es-CR"/>
        </w:rPr>
        <w:tab/>
      </w:r>
      <w:r w:rsidR="003729C4" w:rsidRPr="00A23DD1">
        <w:rPr>
          <w:sz w:val="22"/>
          <w:szCs w:val="22"/>
          <w:lang w:val="es-CR"/>
        </w:rPr>
        <w:t xml:space="preserve">Cuando se incremente el importe en libros de un activo como consecuencia de una revaluación, tal aumento debe ser acreditado directamente a una cuenta de reservas por revaluación, excepto en la porción que signifique una reversión de una disminución por revaluación de la misma clase de activo, reconocida previamente en resultados. </w:t>
      </w:r>
    </w:p>
    <w:p w14:paraId="0CDC6633" w14:textId="77777777" w:rsidR="003729C4" w:rsidRPr="00A23DD1" w:rsidRDefault="003729C4" w:rsidP="00A23DD1">
      <w:pPr>
        <w:pStyle w:val="Default"/>
        <w:jc w:val="both"/>
        <w:rPr>
          <w:sz w:val="22"/>
          <w:szCs w:val="22"/>
          <w:lang w:val="es-CR"/>
        </w:rPr>
      </w:pPr>
    </w:p>
    <w:p w14:paraId="4C56BF15" w14:textId="0FECC87B" w:rsidR="003729C4" w:rsidRPr="00A23DD1" w:rsidRDefault="00A23DD1" w:rsidP="00A23DD1">
      <w:pPr>
        <w:pStyle w:val="Default"/>
        <w:spacing w:after="120" w:line="238" w:lineRule="auto"/>
        <w:ind w:left="1134" w:right="260" w:hanging="1134"/>
        <w:jc w:val="both"/>
        <w:rPr>
          <w:sz w:val="22"/>
          <w:szCs w:val="22"/>
          <w:lang w:val="es-CR"/>
        </w:rPr>
      </w:pPr>
      <w:r>
        <w:rPr>
          <w:sz w:val="22"/>
          <w:szCs w:val="22"/>
          <w:lang w:val="es-CR"/>
        </w:rPr>
        <w:t>3.9.1.02</w:t>
      </w:r>
      <w:r>
        <w:rPr>
          <w:sz w:val="22"/>
          <w:szCs w:val="22"/>
          <w:lang w:val="es-CR"/>
        </w:rPr>
        <w:tab/>
        <w:t>C</w:t>
      </w:r>
      <w:r w:rsidR="003729C4" w:rsidRPr="00A23DD1">
        <w:rPr>
          <w:sz w:val="22"/>
          <w:szCs w:val="22"/>
          <w:lang w:val="es-CR"/>
        </w:rPr>
        <w:t xml:space="preserve">uando se reduzca el importe en libros de un activo como consecuencia de una revaluación, dicha disminución debe afectarse en primer término a disminuir el </w:t>
      </w:r>
      <w:r w:rsidR="003729C4" w:rsidRPr="00A23DD1">
        <w:rPr>
          <w:sz w:val="22"/>
          <w:szCs w:val="22"/>
          <w:lang w:val="es-CR"/>
        </w:rPr>
        <w:lastRenderedPageBreak/>
        <w:t>saldo de la cuenta de reservas por revaluación para esa misma clase de activos. A dichos efectos, se entenderá por clase el nivel de “cuenta” del PCC.</w:t>
      </w:r>
    </w:p>
    <w:p w14:paraId="5BF40AB7" w14:textId="2521DE03" w:rsidR="00A23DD1" w:rsidRDefault="00A23DD1" w:rsidP="00A23DD1">
      <w:pPr>
        <w:pStyle w:val="Default"/>
        <w:ind w:left="1134" w:hanging="1134"/>
        <w:jc w:val="both"/>
        <w:rPr>
          <w:sz w:val="22"/>
          <w:szCs w:val="22"/>
          <w:lang w:val="es-CR"/>
        </w:rPr>
      </w:pPr>
      <w:r>
        <w:rPr>
          <w:sz w:val="22"/>
          <w:szCs w:val="22"/>
          <w:lang w:val="es-CR"/>
        </w:rPr>
        <w:t>3.9.1.03</w:t>
      </w:r>
      <w:r>
        <w:rPr>
          <w:sz w:val="22"/>
          <w:szCs w:val="22"/>
          <w:lang w:val="es-CR"/>
        </w:rPr>
        <w:tab/>
      </w:r>
      <w:r w:rsidR="003729C4" w:rsidRPr="00A23DD1">
        <w:rPr>
          <w:sz w:val="22"/>
          <w:szCs w:val="22"/>
          <w:lang w:val="es-CR"/>
        </w:rPr>
        <w:t xml:space="preserve">Las depreciaciones y las pérdidas por deterioro de bienes del activo fijo, en la porción correspondiente a la revaluación, se afectarán en primer término a disminuir el saldo de la cuenta de reservas por revaluación para esa misma clase de activos. En caso de revertirse la pérdida por deterioro y/o, eventualmente el cargo por </w:t>
      </w:r>
      <w:r w:rsidRPr="00A23DD1">
        <w:rPr>
          <w:sz w:val="22"/>
          <w:szCs w:val="22"/>
          <w:lang w:val="es-CR"/>
        </w:rPr>
        <w:t>depreciación</w:t>
      </w:r>
      <w:r w:rsidR="003729C4" w:rsidRPr="00A23DD1">
        <w:rPr>
          <w:sz w:val="22"/>
          <w:szCs w:val="22"/>
          <w:lang w:val="es-CR"/>
        </w:rPr>
        <w:t xml:space="preserve"> se revertirá en la misma medida la disminución del saldo de la cuenta de reservas.</w:t>
      </w:r>
    </w:p>
    <w:p w14:paraId="2928480B" w14:textId="2DEC43DC" w:rsidR="003729C4" w:rsidRPr="00A23DD1" w:rsidRDefault="003729C4" w:rsidP="00A23DD1">
      <w:pPr>
        <w:pStyle w:val="Default"/>
        <w:jc w:val="both"/>
        <w:rPr>
          <w:sz w:val="22"/>
          <w:szCs w:val="22"/>
          <w:lang w:val="es-CR"/>
        </w:rPr>
      </w:pPr>
      <w:r w:rsidRPr="00A23DD1">
        <w:rPr>
          <w:sz w:val="22"/>
          <w:szCs w:val="22"/>
          <w:lang w:val="es-CR"/>
        </w:rPr>
        <w:t xml:space="preserve"> </w:t>
      </w:r>
    </w:p>
    <w:p w14:paraId="0960A13F" w14:textId="768422E1" w:rsidR="003729C4" w:rsidRPr="00A23DD1" w:rsidRDefault="00A23DD1" w:rsidP="00A23DD1">
      <w:pPr>
        <w:pStyle w:val="Default"/>
        <w:ind w:left="1134" w:hanging="1134"/>
        <w:jc w:val="both"/>
        <w:rPr>
          <w:sz w:val="22"/>
          <w:szCs w:val="22"/>
          <w:lang w:val="es-CR"/>
        </w:rPr>
      </w:pPr>
      <w:r>
        <w:rPr>
          <w:sz w:val="22"/>
          <w:szCs w:val="22"/>
          <w:lang w:val="es-CR"/>
        </w:rPr>
        <w:t>3.9.</w:t>
      </w:r>
      <w:r w:rsidR="003729C4" w:rsidRPr="00A23DD1">
        <w:rPr>
          <w:sz w:val="22"/>
          <w:szCs w:val="22"/>
          <w:lang w:val="es-CR"/>
        </w:rPr>
        <w:t>2.</w:t>
      </w:r>
      <w:r>
        <w:rPr>
          <w:sz w:val="22"/>
          <w:szCs w:val="22"/>
          <w:lang w:val="es-CR"/>
        </w:rPr>
        <w:t>01</w:t>
      </w:r>
      <w:r>
        <w:rPr>
          <w:sz w:val="22"/>
          <w:szCs w:val="22"/>
          <w:lang w:val="es-CR"/>
        </w:rPr>
        <w:tab/>
      </w:r>
      <w:r w:rsidR="003729C4" w:rsidRPr="00A23DD1">
        <w:rPr>
          <w:sz w:val="22"/>
          <w:szCs w:val="22"/>
          <w:lang w:val="es-CR"/>
        </w:rPr>
        <w:t xml:space="preserve">Cuando se incremente el importe en libros de un activo intangible como consecuencia de una revaluación, tal aumento debe ser acreditado directamente a una cuenta de reservas por revaluación, excepto en la porción que signifique una reversión de una disminución por revaluación de la misma clase de activo, reconocida previamente en resultados. </w:t>
      </w:r>
    </w:p>
    <w:p w14:paraId="5B1699CB" w14:textId="77777777" w:rsidR="003729C4" w:rsidRPr="00A23DD1" w:rsidRDefault="003729C4" w:rsidP="00A23DD1">
      <w:pPr>
        <w:pStyle w:val="Default"/>
        <w:jc w:val="both"/>
        <w:rPr>
          <w:sz w:val="22"/>
          <w:szCs w:val="22"/>
          <w:lang w:val="es-CR"/>
        </w:rPr>
      </w:pPr>
    </w:p>
    <w:p w14:paraId="0D16EB86" w14:textId="532BC256" w:rsidR="003729C4" w:rsidRDefault="00A23DD1" w:rsidP="00A23DD1">
      <w:pPr>
        <w:pStyle w:val="Default"/>
        <w:ind w:left="1134" w:hanging="1134"/>
        <w:jc w:val="both"/>
        <w:rPr>
          <w:sz w:val="22"/>
          <w:szCs w:val="22"/>
          <w:lang w:val="es-CR"/>
        </w:rPr>
      </w:pPr>
      <w:r>
        <w:rPr>
          <w:sz w:val="22"/>
          <w:szCs w:val="22"/>
          <w:lang w:val="es-CR"/>
        </w:rPr>
        <w:t>3.9.2.02</w:t>
      </w:r>
      <w:r>
        <w:rPr>
          <w:sz w:val="22"/>
          <w:szCs w:val="22"/>
          <w:lang w:val="es-CR"/>
        </w:rPr>
        <w:tab/>
        <w:t>C</w:t>
      </w:r>
      <w:r w:rsidR="003729C4" w:rsidRPr="00A23DD1">
        <w:rPr>
          <w:sz w:val="22"/>
          <w:szCs w:val="22"/>
          <w:lang w:val="es-CR"/>
        </w:rPr>
        <w:t xml:space="preserve">uando se reduzca el importe en libros de un activo como consecuencia de una revaluación, dicha disminución debe afectarse en primer término a disminuir el saldo de la cuenta de reservas por revaluación para esa misma clase de activos. A dichos efectos, se entenderá por clase el nivel de “cuenta” del PCC. </w:t>
      </w:r>
    </w:p>
    <w:p w14:paraId="1E5ABA52" w14:textId="77777777" w:rsidR="00A23DD1" w:rsidRPr="00A23DD1" w:rsidRDefault="00A23DD1" w:rsidP="00A23DD1">
      <w:pPr>
        <w:pStyle w:val="Default"/>
        <w:ind w:left="1134" w:hanging="1134"/>
        <w:jc w:val="both"/>
        <w:rPr>
          <w:sz w:val="22"/>
          <w:szCs w:val="22"/>
          <w:lang w:val="es-CR"/>
        </w:rPr>
      </w:pPr>
    </w:p>
    <w:p w14:paraId="435620F0" w14:textId="1D6BB39A" w:rsidR="003729C4" w:rsidRPr="00A23DD1" w:rsidRDefault="00A23DD1" w:rsidP="00A23DD1">
      <w:pPr>
        <w:pStyle w:val="Default"/>
        <w:ind w:left="1134" w:hanging="1134"/>
        <w:jc w:val="both"/>
        <w:rPr>
          <w:sz w:val="22"/>
          <w:szCs w:val="22"/>
          <w:lang w:val="es-CR"/>
        </w:rPr>
      </w:pPr>
      <w:r>
        <w:rPr>
          <w:sz w:val="22"/>
          <w:szCs w:val="22"/>
          <w:lang w:val="es-CR"/>
        </w:rPr>
        <w:t>3.9.2.03</w:t>
      </w:r>
      <w:r>
        <w:rPr>
          <w:sz w:val="22"/>
          <w:szCs w:val="22"/>
          <w:lang w:val="es-CR"/>
        </w:rPr>
        <w:tab/>
      </w:r>
      <w:r w:rsidR="003729C4" w:rsidRPr="00A23DD1">
        <w:rPr>
          <w:sz w:val="22"/>
          <w:szCs w:val="22"/>
          <w:lang w:val="es-CR"/>
        </w:rPr>
        <w:t xml:space="preserve">Las amortizaciones y las pérdidas por deterioro de activos intangibles, en la porción correspondiente a la revaluación, se afectarán en primer término a disminuir el saldo de la cuenta de reservas por revaluación para esa misma clase de activos. En caso de revertirse la pérdida por deterioro y/o, eventualmente el cargo por amortización, se revertirá en la misma medida la disminución del saldo de la cuenta de reservas. </w:t>
      </w:r>
    </w:p>
    <w:p w14:paraId="70069AC9" w14:textId="2898EBAC" w:rsidR="00A23DD1" w:rsidRDefault="00A23DD1" w:rsidP="00A23DD1">
      <w:pPr>
        <w:pStyle w:val="Default"/>
        <w:jc w:val="both"/>
        <w:rPr>
          <w:sz w:val="22"/>
          <w:szCs w:val="22"/>
          <w:lang w:val="es-CR"/>
        </w:rPr>
      </w:pPr>
    </w:p>
    <w:p w14:paraId="5A3A65F0" w14:textId="24D72A81" w:rsidR="003729C4" w:rsidRPr="00A23DD1" w:rsidRDefault="00A23DD1" w:rsidP="00A23DD1">
      <w:pPr>
        <w:pStyle w:val="Default"/>
        <w:ind w:left="1134" w:hanging="1134"/>
        <w:jc w:val="both"/>
        <w:rPr>
          <w:sz w:val="22"/>
          <w:szCs w:val="22"/>
          <w:lang w:val="es-CR"/>
        </w:rPr>
      </w:pPr>
      <w:r>
        <w:rPr>
          <w:sz w:val="22"/>
          <w:szCs w:val="22"/>
          <w:lang w:val="es-CR"/>
        </w:rPr>
        <w:t>3.9.3.01</w:t>
      </w:r>
      <w:r>
        <w:rPr>
          <w:sz w:val="22"/>
          <w:szCs w:val="22"/>
          <w:lang w:val="es-CR"/>
        </w:rPr>
        <w:tab/>
      </w:r>
      <w:r w:rsidR="003729C4" w:rsidRPr="00A23DD1">
        <w:rPr>
          <w:sz w:val="22"/>
          <w:szCs w:val="22"/>
          <w:lang w:val="es-CR"/>
        </w:rPr>
        <w:t xml:space="preserve">Deberá revelarse información sobre las reservas constituidas con una descripción de la naturaleza y destino de cada reserva. </w:t>
      </w:r>
    </w:p>
    <w:p w14:paraId="148ACAEA" w14:textId="77777777" w:rsidR="003729C4" w:rsidRDefault="003729C4" w:rsidP="0069573C">
      <w:pPr>
        <w:pStyle w:val="Default"/>
        <w:ind w:right="261"/>
        <w:jc w:val="both"/>
        <w:rPr>
          <w:sz w:val="22"/>
          <w:szCs w:val="22"/>
          <w:lang w:val="es-CR"/>
        </w:rPr>
      </w:pPr>
    </w:p>
    <w:p w14:paraId="2EAED1C0" w14:textId="77777777" w:rsidR="00A23DD1" w:rsidRDefault="00A23DD1" w:rsidP="0069573C">
      <w:pPr>
        <w:pStyle w:val="Default"/>
        <w:ind w:right="261"/>
        <w:jc w:val="both"/>
        <w:rPr>
          <w:sz w:val="22"/>
          <w:szCs w:val="22"/>
          <w:lang w:val="es-CR"/>
        </w:rPr>
      </w:pPr>
    </w:p>
    <w:p w14:paraId="4CDE74DD" w14:textId="0D3625CB" w:rsidR="00A23DD1" w:rsidRPr="0069573C" w:rsidRDefault="00A23DD1" w:rsidP="0069573C">
      <w:pPr>
        <w:pStyle w:val="Ttulo2"/>
        <w:ind w:left="284"/>
        <w:rPr>
          <w:rFonts w:ascii="Arial" w:eastAsia="Arial" w:hAnsi="Arial" w:cs="Arial"/>
          <w:b/>
          <w:bCs/>
          <w:sz w:val="20"/>
          <w:szCs w:val="20"/>
          <w:lang w:val="es-CR"/>
        </w:rPr>
      </w:pPr>
      <w:bookmarkStart w:id="113" w:name="_Toc172726248"/>
      <w:r w:rsidRPr="0069573C">
        <w:rPr>
          <w:rFonts w:ascii="Arial" w:eastAsia="Arial" w:hAnsi="Arial" w:cs="Arial"/>
          <w:b/>
          <w:bCs/>
          <w:sz w:val="20"/>
          <w:szCs w:val="20"/>
          <w:lang w:val="es-CR"/>
        </w:rPr>
        <w:t>Resultados acumulados</w:t>
      </w:r>
      <w:bookmarkEnd w:id="113"/>
    </w:p>
    <w:p w14:paraId="4CF87AFB" w14:textId="77777777" w:rsidR="003729C4" w:rsidRDefault="003729C4" w:rsidP="00A279AD">
      <w:pPr>
        <w:pStyle w:val="Default"/>
        <w:spacing w:after="120" w:line="238" w:lineRule="auto"/>
        <w:ind w:right="260"/>
        <w:jc w:val="both"/>
        <w:rPr>
          <w:sz w:val="22"/>
          <w:szCs w:val="22"/>
          <w:lang w:val="es-CR"/>
        </w:rPr>
      </w:pPr>
    </w:p>
    <w:tbl>
      <w:tblPr>
        <w:tblW w:w="9413" w:type="dxa"/>
        <w:tblLook w:val="04A0" w:firstRow="1" w:lastRow="0" w:firstColumn="1" w:lastColumn="0" w:noHBand="0" w:noVBand="1"/>
      </w:tblPr>
      <w:tblGrid>
        <w:gridCol w:w="711"/>
        <w:gridCol w:w="417"/>
        <w:gridCol w:w="563"/>
        <w:gridCol w:w="3691"/>
        <w:gridCol w:w="2142"/>
        <w:gridCol w:w="1880"/>
        <w:gridCol w:w="9"/>
      </w:tblGrid>
      <w:tr w:rsidR="00A23DD1" w:rsidRPr="00A23DD1" w14:paraId="51F8522B" w14:textId="77777777" w:rsidTr="00AE1036">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74A7E95" w14:textId="77777777" w:rsidR="00A23DD1" w:rsidRPr="00A23DD1" w:rsidRDefault="00A23DD1" w:rsidP="00A23DD1">
            <w:pPr>
              <w:jc w:val="center"/>
              <w:rPr>
                <w:rFonts w:ascii="Arial Narrow" w:eastAsia="Times New Roman" w:hAnsi="Arial Narrow" w:cs="Calibri"/>
                <w:b/>
                <w:bCs/>
                <w:color w:val="FFFFFF"/>
                <w:sz w:val="22"/>
                <w:szCs w:val="22"/>
              </w:rPr>
            </w:pPr>
            <w:r w:rsidRPr="00A23DD1">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6FE6DA44" w14:textId="77777777" w:rsidR="00A23DD1" w:rsidRPr="00A23DD1" w:rsidRDefault="00A23DD1" w:rsidP="00A23DD1">
            <w:pPr>
              <w:jc w:val="center"/>
              <w:rPr>
                <w:rFonts w:ascii="Arial Narrow" w:eastAsia="Times New Roman" w:hAnsi="Arial Narrow" w:cs="Calibri"/>
                <w:b/>
                <w:bCs/>
                <w:color w:val="FFFFFF"/>
                <w:sz w:val="22"/>
                <w:szCs w:val="22"/>
              </w:rPr>
            </w:pPr>
            <w:r w:rsidRPr="00A23DD1">
              <w:rPr>
                <w:rFonts w:ascii="Arial Narrow" w:eastAsia="Times New Roman" w:hAnsi="Arial Narrow" w:cs="Calibri"/>
                <w:b/>
                <w:bCs/>
                <w:color w:val="FFFFFF"/>
                <w:sz w:val="22"/>
                <w:szCs w:val="22"/>
              </w:rPr>
              <w:t>Concepto</w:t>
            </w:r>
          </w:p>
        </w:tc>
        <w:tc>
          <w:tcPr>
            <w:tcW w:w="4031" w:type="dxa"/>
            <w:gridSpan w:val="3"/>
            <w:tcBorders>
              <w:top w:val="single" w:sz="8" w:space="0" w:color="auto"/>
              <w:left w:val="nil"/>
              <w:bottom w:val="single" w:sz="8" w:space="0" w:color="auto"/>
              <w:right w:val="single" w:sz="8" w:space="0" w:color="000000"/>
            </w:tcBorders>
            <w:shd w:val="clear" w:color="000000" w:fill="203764"/>
            <w:vAlign w:val="center"/>
            <w:hideMark/>
          </w:tcPr>
          <w:p w14:paraId="06504F21" w14:textId="77777777" w:rsidR="00A23DD1" w:rsidRPr="00A23DD1" w:rsidRDefault="00A23DD1" w:rsidP="00A23DD1">
            <w:pPr>
              <w:jc w:val="center"/>
              <w:rPr>
                <w:rFonts w:ascii="Arial Narrow" w:eastAsia="Times New Roman" w:hAnsi="Arial Narrow" w:cs="Calibri"/>
                <w:b/>
                <w:bCs/>
                <w:color w:val="FFFFFF"/>
                <w:sz w:val="22"/>
                <w:szCs w:val="22"/>
              </w:rPr>
            </w:pPr>
            <w:r w:rsidRPr="00A23DD1">
              <w:rPr>
                <w:rFonts w:ascii="Arial Narrow" w:eastAsia="Times New Roman" w:hAnsi="Arial Narrow" w:cs="Calibri"/>
                <w:b/>
                <w:bCs/>
                <w:color w:val="FFFFFF"/>
                <w:sz w:val="22"/>
                <w:szCs w:val="22"/>
              </w:rPr>
              <w:t>Referencia</w:t>
            </w:r>
          </w:p>
        </w:tc>
      </w:tr>
      <w:tr w:rsidR="00A23DD1" w:rsidRPr="006E5442" w14:paraId="37914B08" w14:textId="77777777" w:rsidTr="00AE1036">
        <w:trPr>
          <w:gridAfter w:val="1"/>
          <w:wAfter w:w="9" w:type="dxa"/>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3E7529C4" w14:textId="77777777" w:rsidR="00A23DD1" w:rsidRPr="00A23DD1" w:rsidRDefault="00A23DD1" w:rsidP="00A23DD1">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2FD01E7E" w14:textId="77777777" w:rsidR="00A23DD1" w:rsidRPr="00A23DD1" w:rsidRDefault="00A23DD1" w:rsidP="00A23DD1">
            <w:pPr>
              <w:rPr>
                <w:rFonts w:ascii="Arial Narrow" w:eastAsia="Times New Roman" w:hAnsi="Arial Narrow" w:cs="Calibri"/>
                <w:b/>
                <w:bCs/>
                <w:color w:val="FFFFFF"/>
                <w:sz w:val="22"/>
                <w:szCs w:val="22"/>
              </w:rPr>
            </w:pPr>
          </w:p>
        </w:tc>
        <w:tc>
          <w:tcPr>
            <w:tcW w:w="2142" w:type="dxa"/>
            <w:tcBorders>
              <w:top w:val="nil"/>
              <w:left w:val="nil"/>
              <w:bottom w:val="nil"/>
              <w:right w:val="single" w:sz="8" w:space="0" w:color="auto"/>
            </w:tcBorders>
            <w:shd w:val="clear" w:color="000000" w:fill="203764"/>
            <w:vAlign w:val="center"/>
            <w:hideMark/>
          </w:tcPr>
          <w:p w14:paraId="5E2E9CE4" w14:textId="77777777" w:rsidR="00A23DD1" w:rsidRPr="00A23DD1" w:rsidRDefault="00A23DD1" w:rsidP="00A23DD1">
            <w:pPr>
              <w:jc w:val="center"/>
              <w:rPr>
                <w:rFonts w:ascii="Arial Narrow" w:eastAsia="Times New Roman" w:hAnsi="Arial Narrow" w:cs="Calibri"/>
                <w:b/>
                <w:bCs/>
                <w:color w:val="FFFFFF"/>
                <w:sz w:val="22"/>
                <w:szCs w:val="22"/>
              </w:rPr>
            </w:pPr>
            <w:r w:rsidRPr="00A23DD1">
              <w:rPr>
                <w:rFonts w:ascii="Arial Narrow" w:eastAsia="Times New Roman" w:hAnsi="Arial Narrow" w:cs="Calibri"/>
                <w:b/>
                <w:bCs/>
                <w:color w:val="FFFFFF"/>
                <w:sz w:val="22"/>
                <w:szCs w:val="22"/>
              </w:rPr>
              <w:t>Norma</w:t>
            </w:r>
          </w:p>
        </w:tc>
        <w:tc>
          <w:tcPr>
            <w:tcW w:w="1880" w:type="dxa"/>
            <w:tcBorders>
              <w:top w:val="nil"/>
              <w:left w:val="nil"/>
              <w:bottom w:val="nil"/>
              <w:right w:val="single" w:sz="8" w:space="0" w:color="auto"/>
            </w:tcBorders>
            <w:shd w:val="clear" w:color="000000" w:fill="203764"/>
            <w:vAlign w:val="center"/>
            <w:hideMark/>
          </w:tcPr>
          <w:p w14:paraId="3D45BDDB" w14:textId="77777777" w:rsidR="00A23DD1" w:rsidRPr="00A23DD1" w:rsidRDefault="00A23DD1" w:rsidP="00A23DD1">
            <w:pPr>
              <w:jc w:val="center"/>
              <w:rPr>
                <w:rFonts w:ascii="Arial Narrow" w:eastAsia="Times New Roman" w:hAnsi="Arial Narrow" w:cs="Calibri"/>
                <w:b/>
                <w:bCs/>
                <w:color w:val="FFFFFF"/>
                <w:sz w:val="22"/>
                <w:szCs w:val="22"/>
                <w:lang w:val="es-CR"/>
              </w:rPr>
            </w:pPr>
            <w:r w:rsidRPr="00A23DD1">
              <w:rPr>
                <w:rFonts w:ascii="Arial Narrow" w:eastAsia="Times New Roman" w:hAnsi="Arial Narrow" w:cs="Calibri"/>
                <w:b/>
                <w:bCs/>
                <w:color w:val="FFFFFF"/>
                <w:sz w:val="22"/>
                <w:szCs w:val="22"/>
                <w:lang w:val="es-CR"/>
              </w:rPr>
              <w:t>Normativa técnica y disposiciones adicionales</w:t>
            </w:r>
          </w:p>
        </w:tc>
      </w:tr>
      <w:tr w:rsidR="00A23DD1" w:rsidRPr="00A23DD1" w14:paraId="24402463" w14:textId="77777777" w:rsidTr="00AE1036">
        <w:trPr>
          <w:gridAfter w:val="1"/>
          <w:wAfter w:w="9" w:type="dxa"/>
          <w:trHeight w:val="570"/>
        </w:trPr>
        <w:tc>
          <w:tcPr>
            <w:tcW w:w="7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F84EE4" w14:textId="77777777" w:rsidR="00A23DD1" w:rsidRPr="00A23DD1" w:rsidRDefault="00A23DD1" w:rsidP="00A23DD1">
            <w:pPr>
              <w:jc w:val="center"/>
              <w:rPr>
                <w:rFonts w:ascii="Arial Narrow" w:eastAsia="Times New Roman" w:hAnsi="Arial Narrow" w:cs="Calibri"/>
                <w:b/>
                <w:bCs/>
                <w:color w:val="000000"/>
                <w:sz w:val="22"/>
                <w:szCs w:val="22"/>
              </w:rPr>
            </w:pPr>
            <w:r w:rsidRPr="00A23DD1">
              <w:rPr>
                <w:rFonts w:ascii="Arial Narrow" w:eastAsia="Times New Roman" w:hAnsi="Arial Narrow" w:cs="Calibri"/>
                <w:b/>
                <w:bCs/>
                <w:color w:val="000000"/>
                <w:sz w:val="22"/>
                <w:szCs w:val="22"/>
              </w:rPr>
              <w:t>3</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5FF76AA0" w14:textId="77777777" w:rsidR="00A23DD1" w:rsidRPr="00A23DD1" w:rsidRDefault="00A23DD1" w:rsidP="00A23DD1">
            <w:pPr>
              <w:jc w:val="center"/>
              <w:rPr>
                <w:rFonts w:ascii="Arial Narrow" w:eastAsia="Times New Roman" w:hAnsi="Arial Narrow" w:cs="Calibri"/>
                <w:b/>
                <w:bCs/>
                <w:color w:val="000000"/>
                <w:sz w:val="22"/>
                <w:szCs w:val="22"/>
              </w:rPr>
            </w:pPr>
            <w:r w:rsidRPr="00A23DD1">
              <w:rPr>
                <w:rFonts w:ascii="Arial Narrow" w:eastAsia="Times New Roman" w:hAnsi="Arial Narrow" w:cs="Calibri"/>
                <w:b/>
                <w:bCs/>
                <w:color w:val="000000"/>
                <w:sz w:val="22"/>
                <w:szCs w:val="22"/>
              </w:rPr>
              <w:t>14</w:t>
            </w:r>
          </w:p>
        </w:tc>
        <w:tc>
          <w:tcPr>
            <w:tcW w:w="563" w:type="dxa"/>
            <w:tcBorders>
              <w:top w:val="single" w:sz="8" w:space="0" w:color="auto"/>
              <w:left w:val="nil"/>
              <w:bottom w:val="single" w:sz="8" w:space="0" w:color="auto"/>
              <w:right w:val="single" w:sz="8" w:space="0" w:color="auto"/>
            </w:tcBorders>
            <w:shd w:val="clear" w:color="auto" w:fill="auto"/>
            <w:vAlign w:val="center"/>
            <w:hideMark/>
          </w:tcPr>
          <w:p w14:paraId="31C2683F" w14:textId="67C1D9ED" w:rsidR="00A23DD1" w:rsidRPr="00A23DD1" w:rsidRDefault="00A23DD1" w:rsidP="00A23DD1">
            <w:pPr>
              <w:jc w:val="center"/>
              <w:rPr>
                <w:rFonts w:ascii="Arial Narrow" w:eastAsia="Times New Roman" w:hAnsi="Arial Narrow" w:cs="Calibri"/>
                <w:b/>
                <w:bCs/>
                <w:color w:val="000000"/>
                <w:sz w:val="22"/>
                <w:szCs w:val="22"/>
              </w:rPr>
            </w:pP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0A2616DA" w14:textId="77777777" w:rsidR="00A23DD1" w:rsidRPr="00A23DD1" w:rsidRDefault="00A23DD1" w:rsidP="00A23DD1">
            <w:pPr>
              <w:jc w:val="both"/>
              <w:rPr>
                <w:rFonts w:ascii="Arial Narrow" w:eastAsia="Times New Roman" w:hAnsi="Arial Narrow" w:cs="Calibri"/>
                <w:b/>
                <w:bCs/>
                <w:color w:val="000000"/>
                <w:sz w:val="22"/>
                <w:szCs w:val="22"/>
              </w:rPr>
            </w:pPr>
            <w:r w:rsidRPr="00A23DD1">
              <w:rPr>
                <w:rFonts w:ascii="Arial Narrow" w:eastAsia="Times New Roman" w:hAnsi="Arial Narrow" w:cs="Calibri"/>
                <w:b/>
                <w:bCs/>
                <w:color w:val="000000"/>
                <w:sz w:val="22"/>
                <w:szCs w:val="22"/>
              </w:rPr>
              <w:t>Resultados acumulados</w:t>
            </w:r>
          </w:p>
        </w:tc>
        <w:tc>
          <w:tcPr>
            <w:tcW w:w="2142" w:type="dxa"/>
            <w:tcBorders>
              <w:top w:val="single" w:sz="8" w:space="0" w:color="auto"/>
              <w:left w:val="nil"/>
              <w:bottom w:val="single" w:sz="8" w:space="0" w:color="auto"/>
              <w:right w:val="single" w:sz="8" w:space="0" w:color="auto"/>
            </w:tcBorders>
            <w:shd w:val="clear" w:color="auto" w:fill="auto"/>
            <w:vAlign w:val="center"/>
            <w:hideMark/>
          </w:tcPr>
          <w:p w14:paraId="39E8FA0F" w14:textId="77777777" w:rsidR="00AE1036" w:rsidRDefault="00A23DD1" w:rsidP="00A23DD1">
            <w:pPr>
              <w:jc w:val="both"/>
              <w:rPr>
                <w:rFonts w:ascii="Arial Narrow" w:eastAsia="Times New Roman" w:hAnsi="Arial Narrow" w:cs="Calibri"/>
                <w:b/>
                <w:bCs/>
                <w:color w:val="000000"/>
                <w:sz w:val="22"/>
                <w:szCs w:val="22"/>
                <w:lang w:val="es-CR"/>
              </w:rPr>
            </w:pPr>
            <w:r w:rsidRPr="00A23DD1">
              <w:rPr>
                <w:rFonts w:ascii="Arial Narrow" w:eastAsia="Times New Roman" w:hAnsi="Arial Narrow" w:cs="Calibri"/>
                <w:b/>
                <w:bCs/>
                <w:color w:val="000000"/>
                <w:sz w:val="22"/>
                <w:szCs w:val="22"/>
                <w:lang w:val="es-CR"/>
              </w:rPr>
              <w:t xml:space="preserve">NICSP N° 1, </w:t>
            </w:r>
          </w:p>
          <w:p w14:paraId="72475420" w14:textId="6EF14B77" w:rsidR="00A23DD1" w:rsidRPr="00A23DD1" w:rsidRDefault="00A23DD1" w:rsidP="00A23DD1">
            <w:pPr>
              <w:jc w:val="both"/>
              <w:rPr>
                <w:rFonts w:ascii="Arial Narrow" w:eastAsia="Times New Roman" w:hAnsi="Arial Narrow" w:cs="Calibri"/>
                <w:b/>
                <w:bCs/>
                <w:color w:val="000000"/>
                <w:sz w:val="22"/>
                <w:szCs w:val="22"/>
                <w:lang w:val="es-CR"/>
              </w:rPr>
            </w:pPr>
            <w:r w:rsidRPr="00A23DD1">
              <w:rPr>
                <w:rFonts w:ascii="Arial Narrow" w:eastAsia="Times New Roman" w:hAnsi="Arial Narrow" w:cs="Calibri"/>
                <w:b/>
                <w:bCs/>
                <w:color w:val="000000"/>
                <w:sz w:val="22"/>
                <w:szCs w:val="22"/>
                <w:lang w:val="es-CR"/>
              </w:rPr>
              <w:t>Párrafo 94, inciso f)</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357352E6" w14:textId="77777777" w:rsidR="00A23DD1" w:rsidRPr="00A23DD1" w:rsidRDefault="00A23DD1" w:rsidP="00A23DD1">
            <w:pPr>
              <w:rPr>
                <w:rFonts w:ascii="Arial Narrow" w:eastAsia="Times New Roman" w:hAnsi="Arial Narrow" w:cs="Calibri"/>
                <w:b/>
                <w:bCs/>
                <w:color w:val="000000"/>
                <w:sz w:val="22"/>
                <w:szCs w:val="22"/>
              </w:rPr>
            </w:pPr>
            <w:r w:rsidRPr="00A23DD1">
              <w:rPr>
                <w:rFonts w:ascii="Arial Narrow" w:eastAsia="Times New Roman" w:hAnsi="Arial Narrow" w:cs="Calibri"/>
                <w:b/>
                <w:bCs/>
                <w:color w:val="000000"/>
                <w:sz w:val="22"/>
                <w:szCs w:val="22"/>
              </w:rPr>
              <w:t>DGCN</w:t>
            </w:r>
          </w:p>
        </w:tc>
      </w:tr>
    </w:tbl>
    <w:p w14:paraId="10196238" w14:textId="77777777" w:rsidR="00AE1036" w:rsidRDefault="00AE1036" w:rsidP="00AE1036">
      <w:pPr>
        <w:pStyle w:val="Default"/>
        <w:ind w:right="261"/>
        <w:jc w:val="both"/>
        <w:rPr>
          <w:rFonts w:eastAsia="Arial"/>
          <w:b/>
          <w:sz w:val="22"/>
          <w:szCs w:val="22"/>
        </w:rPr>
      </w:pPr>
    </w:p>
    <w:p w14:paraId="4EF5F215" w14:textId="796B7783" w:rsidR="003729C4" w:rsidRDefault="00AE1036" w:rsidP="00AE1036">
      <w:pPr>
        <w:pStyle w:val="Default"/>
        <w:ind w:right="261"/>
        <w:jc w:val="both"/>
        <w:rPr>
          <w:rFonts w:eastAsia="Arial"/>
          <w:b/>
          <w:sz w:val="22"/>
          <w:szCs w:val="22"/>
        </w:rPr>
      </w:pPr>
      <w:r w:rsidRPr="00F02F9D">
        <w:rPr>
          <w:rFonts w:eastAsia="Arial"/>
          <w:b/>
          <w:sz w:val="22"/>
          <w:szCs w:val="22"/>
        </w:rPr>
        <w:t>Política Contable</w:t>
      </w:r>
    </w:p>
    <w:p w14:paraId="280A7392" w14:textId="77777777" w:rsidR="00AE1036" w:rsidRDefault="00AE1036" w:rsidP="00AE1036">
      <w:pPr>
        <w:pStyle w:val="Default"/>
        <w:ind w:right="261"/>
        <w:jc w:val="both"/>
        <w:rPr>
          <w:sz w:val="22"/>
          <w:szCs w:val="22"/>
          <w:lang w:val="es-CR"/>
        </w:rPr>
      </w:pPr>
    </w:p>
    <w:p w14:paraId="569DCD6A" w14:textId="572E33C2" w:rsidR="003729C4" w:rsidRDefault="00A23DD1" w:rsidP="00AE1036">
      <w:pPr>
        <w:pStyle w:val="Default"/>
        <w:spacing w:after="120" w:line="238" w:lineRule="auto"/>
        <w:ind w:left="1134" w:right="26" w:hanging="1134"/>
        <w:jc w:val="both"/>
        <w:rPr>
          <w:sz w:val="22"/>
          <w:szCs w:val="22"/>
          <w:lang w:val="es-CR"/>
        </w:rPr>
      </w:pPr>
      <w:r>
        <w:rPr>
          <w:sz w:val="22"/>
          <w:szCs w:val="22"/>
          <w:lang w:val="es-CR"/>
        </w:rPr>
        <w:t>3.14.0.01</w:t>
      </w:r>
      <w:r>
        <w:rPr>
          <w:sz w:val="22"/>
          <w:szCs w:val="22"/>
          <w:lang w:val="es-CR"/>
        </w:rPr>
        <w:tab/>
      </w:r>
      <w:r w:rsidRPr="00A23DD1">
        <w:rPr>
          <w:sz w:val="22"/>
          <w:szCs w:val="22"/>
          <w:lang w:val="es-CR"/>
        </w:rPr>
        <w:t>Son los resultados acumulados por la entidad gubernamental durante los ejercicios anteriores y el actual, que forman parte integrante del Patrimonio.</w:t>
      </w:r>
    </w:p>
    <w:p w14:paraId="4D5A26D5" w14:textId="77777777" w:rsidR="0069573C" w:rsidRDefault="0069573C" w:rsidP="0069573C">
      <w:pPr>
        <w:pStyle w:val="Default"/>
        <w:spacing w:after="120" w:line="238" w:lineRule="auto"/>
        <w:ind w:left="1134" w:right="260" w:hanging="1134"/>
        <w:jc w:val="both"/>
        <w:rPr>
          <w:sz w:val="22"/>
          <w:szCs w:val="22"/>
          <w:lang w:val="es-CR"/>
        </w:rPr>
      </w:pPr>
    </w:p>
    <w:p w14:paraId="42DFC35A" w14:textId="77777777" w:rsidR="0069573C" w:rsidRPr="00EE6124" w:rsidRDefault="0069573C" w:rsidP="0069573C">
      <w:pPr>
        <w:pStyle w:val="Default"/>
        <w:spacing w:after="120" w:line="238" w:lineRule="auto"/>
        <w:ind w:left="1134" w:right="260" w:hanging="1134"/>
        <w:jc w:val="both"/>
        <w:rPr>
          <w:sz w:val="22"/>
          <w:szCs w:val="22"/>
          <w:lang w:val="es-CR"/>
        </w:rPr>
      </w:pPr>
    </w:p>
    <w:p w14:paraId="4B8E2DDB" w14:textId="77777777" w:rsidR="004C0894" w:rsidRDefault="004C0894" w:rsidP="00A279AD">
      <w:pPr>
        <w:pStyle w:val="Default"/>
        <w:spacing w:after="120" w:line="238" w:lineRule="auto"/>
        <w:ind w:right="260"/>
        <w:jc w:val="both"/>
        <w:rPr>
          <w:sz w:val="22"/>
          <w:szCs w:val="22"/>
          <w:lang w:val="es-CR"/>
        </w:rPr>
      </w:pPr>
    </w:p>
    <w:tbl>
      <w:tblPr>
        <w:tblW w:w="9394" w:type="dxa"/>
        <w:tblLook w:val="04A0" w:firstRow="1" w:lastRow="0" w:firstColumn="1" w:lastColumn="0" w:noHBand="0" w:noVBand="1"/>
      </w:tblPr>
      <w:tblGrid>
        <w:gridCol w:w="537"/>
        <w:gridCol w:w="706"/>
        <w:gridCol w:w="517"/>
        <w:gridCol w:w="3722"/>
        <w:gridCol w:w="2021"/>
        <w:gridCol w:w="1881"/>
        <w:gridCol w:w="10"/>
      </w:tblGrid>
      <w:tr w:rsidR="00A02438" w:rsidRPr="00A02438" w14:paraId="57EFC46E" w14:textId="77777777" w:rsidTr="00AE1036">
        <w:trPr>
          <w:trHeight w:val="320"/>
        </w:trPr>
        <w:tc>
          <w:tcPr>
            <w:tcW w:w="17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C34250F" w14:textId="77777777" w:rsidR="00A02438" w:rsidRPr="00A02438" w:rsidRDefault="00A02438" w:rsidP="00A02438">
            <w:pPr>
              <w:jc w:val="center"/>
              <w:rPr>
                <w:rFonts w:ascii="Arial Narrow" w:eastAsia="Times New Roman" w:hAnsi="Arial Narrow" w:cs="Calibri"/>
                <w:b/>
                <w:bCs/>
                <w:color w:val="FFFFFF"/>
                <w:sz w:val="22"/>
                <w:szCs w:val="22"/>
              </w:rPr>
            </w:pPr>
            <w:r w:rsidRPr="00A02438">
              <w:rPr>
                <w:rFonts w:ascii="Arial Narrow" w:eastAsia="Times New Roman" w:hAnsi="Arial Narrow" w:cs="Calibri"/>
                <w:b/>
                <w:bCs/>
                <w:color w:val="FFFFFF"/>
                <w:sz w:val="22"/>
                <w:szCs w:val="22"/>
              </w:rPr>
              <w:t>Norma / Política</w:t>
            </w:r>
          </w:p>
        </w:tc>
        <w:tc>
          <w:tcPr>
            <w:tcW w:w="3722" w:type="dxa"/>
            <w:vMerge w:val="restart"/>
            <w:tcBorders>
              <w:top w:val="single" w:sz="8" w:space="0" w:color="auto"/>
              <w:left w:val="single" w:sz="8" w:space="0" w:color="auto"/>
              <w:bottom w:val="nil"/>
              <w:right w:val="single" w:sz="8" w:space="0" w:color="auto"/>
            </w:tcBorders>
            <w:shd w:val="clear" w:color="000000" w:fill="203764"/>
            <w:vAlign w:val="center"/>
            <w:hideMark/>
          </w:tcPr>
          <w:p w14:paraId="577E9D35" w14:textId="77777777" w:rsidR="00A02438" w:rsidRPr="00A02438" w:rsidRDefault="00A02438" w:rsidP="00A02438">
            <w:pPr>
              <w:jc w:val="center"/>
              <w:rPr>
                <w:rFonts w:ascii="Arial Narrow" w:eastAsia="Times New Roman" w:hAnsi="Arial Narrow" w:cs="Calibri"/>
                <w:b/>
                <w:bCs/>
                <w:color w:val="FFFFFF"/>
                <w:sz w:val="22"/>
                <w:szCs w:val="22"/>
              </w:rPr>
            </w:pPr>
            <w:r w:rsidRPr="00A02438">
              <w:rPr>
                <w:rFonts w:ascii="Arial Narrow" w:eastAsia="Times New Roman" w:hAnsi="Arial Narrow" w:cs="Calibri"/>
                <w:b/>
                <w:bCs/>
                <w:color w:val="FFFFFF"/>
                <w:sz w:val="22"/>
                <w:szCs w:val="22"/>
              </w:rPr>
              <w:t>Concepto</w:t>
            </w:r>
          </w:p>
        </w:tc>
        <w:tc>
          <w:tcPr>
            <w:tcW w:w="3912" w:type="dxa"/>
            <w:gridSpan w:val="3"/>
            <w:tcBorders>
              <w:top w:val="single" w:sz="8" w:space="0" w:color="auto"/>
              <w:left w:val="nil"/>
              <w:bottom w:val="single" w:sz="8" w:space="0" w:color="auto"/>
              <w:right w:val="single" w:sz="8" w:space="0" w:color="000000"/>
            </w:tcBorders>
            <w:shd w:val="clear" w:color="000000" w:fill="203764"/>
            <w:vAlign w:val="center"/>
            <w:hideMark/>
          </w:tcPr>
          <w:p w14:paraId="2F61D9DD" w14:textId="77777777" w:rsidR="00A02438" w:rsidRPr="00A02438" w:rsidRDefault="00A02438" w:rsidP="00A02438">
            <w:pPr>
              <w:jc w:val="center"/>
              <w:rPr>
                <w:rFonts w:ascii="Arial Narrow" w:eastAsia="Times New Roman" w:hAnsi="Arial Narrow" w:cs="Calibri"/>
                <w:b/>
                <w:bCs/>
                <w:color w:val="FFFFFF"/>
                <w:sz w:val="22"/>
                <w:szCs w:val="22"/>
              </w:rPr>
            </w:pPr>
            <w:r w:rsidRPr="00A02438">
              <w:rPr>
                <w:rFonts w:ascii="Arial Narrow" w:eastAsia="Times New Roman" w:hAnsi="Arial Narrow" w:cs="Calibri"/>
                <w:b/>
                <w:bCs/>
                <w:color w:val="FFFFFF"/>
                <w:sz w:val="22"/>
                <w:szCs w:val="22"/>
              </w:rPr>
              <w:t>Referencia</w:t>
            </w:r>
          </w:p>
        </w:tc>
      </w:tr>
      <w:tr w:rsidR="00A02438" w:rsidRPr="006E5442" w14:paraId="1E6A0A8F" w14:textId="77777777" w:rsidTr="00AE1036">
        <w:trPr>
          <w:gridAfter w:val="1"/>
          <w:wAfter w:w="10" w:type="dxa"/>
          <w:trHeight w:val="850"/>
        </w:trPr>
        <w:tc>
          <w:tcPr>
            <w:tcW w:w="1760" w:type="dxa"/>
            <w:gridSpan w:val="3"/>
            <w:vMerge/>
            <w:tcBorders>
              <w:top w:val="single" w:sz="8" w:space="0" w:color="auto"/>
              <w:left w:val="single" w:sz="8" w:space="0" w:color="auto"/>
              <w:bottom w:val="nil"/>
              <w:right w:val="single" w:sz="8" w:space="0" w:color="000000"/>
            </w:tcBorders>
            <w:vAlign w:val="center"/>
            <w:hideMark/>
          </w:tcPr>
          <w:p w14:paraId="244FA54D" w14:textId="77777777" w:rsidR="00A02438" w:rsidRPr="00A02438" w:rsidRDefault="00A02438" w:rsidP="00A02438">
            <w:pPr>
              <w:rPr>
                <w:rFonts w:ascii="Arial Narrow" w:eastAsia="Times New Roman" w:hAnsi="Arial Narrow" w:cs="Calibri"/>
                <w:b/>
                <w:bCs/>
                <w:color w:val="FFFFFF"/>
                <w:sz w:val="22"/>
                <w:szCs w:val="22"/>
              </w:rPr>
            </w:pPr>
          </w:p>
        </w:tc>
        <w:tc>
          <w:tcPr>
            <w:tcW w:w="3722" w:type="dxa"/>
            <w:vMerge/>
            <w:tcBorders>
              <w:top w:val="single" w:sz="8" w:space="0" w:color="auto"/>
              <w:left w:val="single" w:sz="8" w:space="0" w:color="auto"/>
              <w:bottom w:val="nil"/>
              <w:right w:val="single" w:sz="8" w:space="0" w:color="auto"/>
            </w:tcBorders>
            <w:vAlign w:val="center"/>
            <w:hideMark/>
          </w:tcPr>
          <w:p w14:paraId="1E853FAF" w14:textId="77777777" w:rsidR="00A02438" w:rsidRPr="00A02438" w:rsidRDefault="00A02438" w:rsidP="00A02438">
            <w:pPr>
              <w:rPr>
                <w:rFonts w:ascii="Arial Narrow" w:eastAsia="Times New Roman" w:hAnsi="Arial Narrow" w:cs="Calibri"/>
                <w:b/>
                <w:bCs/>
                <w:color w:val="FFFFFF"/>
                <w:sz w:val="22"/>
                <w:szCs w:val="22"/>
              </w:rPr>
            </w:pPr>
          </w:p>
        </w:tc>
        <w:tc>
          <w:tcPr>
            <w:tcW w:w="2021" w:type="dxa"/>
            <w:tcBorders>
              <w:top w:val="nil"/>
              <w:left w:val="nil"/>
              <w:bottom w:val="nil"/>
              <w:right w:val="single" w:sz="8" w:space="0" w:color="auto"/>
            </w:tcBorders>
            <w:shd w:val="clear" w:color="000000" w:fill="203764"/>
            <w:vAlign w:val="center"/>
            <w:hideMark/>
          </w:tcPr>
          <w:p w14:paraId="78E8E5B3" w14:textId="77777777" w:rsidR="00A02438" w:rsidRPr="00A02438" w:rsidRDefault="00A02438" w:rsidP="00A02438">
            <w:pPr>
              <w:jc w:val="center"/>
              <w:rPr>
                <w:rFonts w:ascii="Arial Narrow" w:eastAsia="Times New Roman" w:hAnsi="Arial Narrow" w:cs="Calibri"/>
                <w:b/>
                <w:bCs/>
                <w:color w:val="FFFFFF"/>
                <w:sz w:val="22"/>
                <w:szCs w:val="22"/>
              </w:rPr>
            </w:pPr>
            <w:r w:rsidRPr="00A02438">
              <w:rPr>
                <w:rFonts w:ascii="Arial Narrow" w:eastAsia="Times New Roman" w:hAnsi="Arial Narrow" w:cs="Calibri"/>
                <w:b/>
                <w:bCs/>
                <w:color w:val="FFFFFF"/>
                <w:sz w:val="22"/>
                <w:szCs w:val="22"/>
              </w:rPr>
              <w:t>Norma</w:t>
            </w:r>
          </w:p>
        </w:tc>
        <w:tc>
          <w:tcPr>
            <w:tcW w:w="1881" w:type="dxa"/>
            <w:tcBorders>
              <w:top w:val="nil"/>
              <w:left w:val="nil"/>
              <w:bottom w:val="nil"/>
              <w:right w:val="single" w:sz="8" w:space="0" w:color="auto"/>
            </w:tcBorders>
            <w:shd w:val="clear" w:color="000000" w:fill="203764"/>
            <w:vAlign w:val="center"/>
            <w:hideMark/>
          </w:tcPr>
          <w:p w14:paraId="19C10F06" w14:textId="77777777" w:rsidR="00A02438" w:rsidRPr="00A02438" w:rsidRDefault="00A02438" w:rsidP="00A02438">
            <w:pPr>
              <w:jc w:val="center"/>
              <w:rPr>
                <w:rFonts w:ascii="Arial Narrow" w:eastAsia="Times New Roman" w:hAnsi="Arial Narrow" w:cs="Calibri"/>
                <w:b/>
                <w:bCs/>
                <w:color w:val="FFFFFF"/>
                <w:sz w:val="22"/>
                <w:szCs w:val="22"/>
                <w:lang w:val="es-CR"/>
              </w:rPr>
            </w:pPr>
            <w:r w:rsidRPr="00A02438">
              <w:rPr>
                <w:rFonts w:ascii="Arial Narrow" w:eastAsia="Times New Roman" w:hAnsi="Arial Narrow" w:cs="Calibri"/>
                <w:b/>
                <w:bCs/>
                <w:color w:val="FFFFFF"/>
                <w:sz w:val="22"/>
                <w:szCs w:val="22"/>
                <w:lang w:val="es-CR"/>
              </w:rPr>
              <w:t>Normativa técnica y disposiciones adicionales</w:t>
            </w:r>
          </w:p>
        </w:tc>
      </w:tr>
      <w:tr w:rsidR="00A02438" w:rsidRPr="006E5442" w14:paraId="18D42558" w14:textId="77777777" w:rsidTr="00AE1036">
        <w:trPr>
          <w:gridAfter w:val="1"/>
          <w:wAfter w:w="10" w:type="dxa"/>
          <w:trHeight w:val="1130"/>
        </w:trPr>
        <w:tc>
          <w:tcPr>
            <w:tcW w:w="5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23DE53" w14:textId="77777777" w:rsidR="00A02438" w:rsidRPr="00A02438" w:rsidRDefault="00A02438" w:rsidP="00A02438">
            <w:pPr>
              <w:jc w:val="right"/>
              <w:rPr>
                <w:rFonts w:ascii="Arial Narrow" w:eastAsia="Times New Roman" w:hAnsi="Arial Narrow"/>
                <w:b/>
                <w:bCs/>
                <w:color w:val="000000"/>
                <w:sz w:val="22"/>
                <w:szCs w:val="22"/>
              </w:rPr>
            </w:pPr>
            <w:r w:rsidRPr="00A02438">
              <w:rPr>
                <w:rFonts w:ascii="Arial Narrow" w:eastAsia="Times New Roman" w:hAnsi="Arial Narrow"/>
                <w:b/>
                <w:bCs/>
                <w:color w:val="000000"/>
                <w:sz w:val="22"/>
                <w:szCs w:val="22"/>
              </w:rPr>
              <w:lastRenderedPageBreak/>
              <w:t>3</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2C14EFD8" w14:textId="77777777" w:rsidR="00A02438" w:rsidRPr="00A02438" w:rsidRDefault="00A02438" w:rsidP="00A02438">
            <w:pPr>
              <w:ind w:firstLineChars="100" w:firstLine="220"/>
              <w:rPr>
                <w:rFonts w:ascii="Arial Narrow" w:eastAsia="Times New Roman" w:hAnsi="Arial Narrow"/>
                <w:b/>
                <w:bCs/>
                <w:color w:val="000000"/>
                <w:sz w:val="22"/>
                <w:szCs w:val="22"/>
              </w:rPr>
            </w:pPr>
            <w:r w:rsidRPr="00A02438">
              <w:rPr>
                <w:rFonts w:ascii="Arial Narrow" w:eastAsia="Times New Roman" w:hAnsi="Arial Narrow"/>
                <w:b/>
                <w:bCs/>
                <w:color w:val="000000"/>
                <w:sz w:val="22"/>
                <w:szCs w:val="22"/>
              </w:rPr>
              <w:t>15</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3A41F534" w14:textId="12D24213" w:rsidR="00A02438" w:rsidRPr="00A02438" w:rsidRDefault="00A02438" w:rsidP="00A02438">
            <w:pPr>
              <w:jc w:val="center"/>
              <w:rPr>
                <w:rFonts w:ascii="Arial Narrow" w:eastAsia="Times New Roman" w:hAnsi="Arial Narrow" w:cs="Calibri"/>
                <w:b/>
                <w:bCs/>
                <w:color w:val="000000"/>
                <w:sz w:val="22"/>
                <w:szCs w:val="22"/>
              </w:rPr>
            </w:pPr>
          </w:p>
        </w:tc>
        <w:tc>
          <w:tcPr>
            <w:tcW w:w="3722" w:type="dxa"/>
            <w:tcBorders>
              <w:top w:val="single" w:sz="8" w:space="0" w:color="auto"/>
              <w:left w:val="nil"/>
              <w:bottom w:val="single" w:sz="8" w:space="0" w:color="auto"/>
              <w:right w:val="single" w:sz="8" w:space="0" w:color="auto"/>
            </w:tcBorders>
            <w:shd w:val="clear" w:color="auto" w:fill="auto"/>
            <w:vAlign w:val="center"/>
            <w:hideMark/>
          </w:tcPr>
          <w:p w14:paraId="0F68AD87" w14:textId="77777777" w:rsidR="00A02438" w:rsidRPr="00A02438" w:rsidRDefault="00A02438" w:rsidP="00A02438">
            <w:pPr>
              <w:rPr>
                <w:rFonts w:ascii="Arial Narrow" w:eastAsia="Times New Roman" w:hAnsi="Arial Narrow"/>
                <w:b/>
                <w:bCs/>
                <w:color w:val="000000"/>
                <w:sz w:val="22"/>
                <w:szCs w:val="22"/>
                <w:lang w:val="es-CR"/>
              </w:rPr>
            </w:pPr>
            <w:r w:rsidRPr="00A02438">
              <w:rPr>
                <w:rFonts w:ascii="Arial Narrow" w:eastAsia="Times New Roman" w:hAnsi="Arial Narrow"/>
                <w:b/>
                <w:bCs/>
                <w:color w:val="000000"/>
                <w:sz w:val="22"/>
                <w:szCs w:val="22"/>
                <w:lang w:val="es-CR"/>
              </w:rPr>
              <w:t>Ajustes de resultados acumulados de ejercicios anteriores</w:t>
            </w:r>
          </w:p>
        </w:tc>
        <w:tc>
          <w:tcPr>
            <w:tcW w:w="2021" w:type="dxa"/>
            <w:tcBorders>
              <w:top w:val="single" w:sz="8" w:space="0" w:color="auto"/>
              <w:left w:val="nil"/>
              <w:bottom w:val="single" w:sz="8" w:space="0" w:color="auto"/>
              <w:right w:val="single" w:sz="8" w:space="0" w:color="auto"/>
            </w:tcBorders>
            <w:shd w:val="clear" w:color="auto" w:fill="auto"/>
            <w:vAlign w:val="center"/>
            <w:hideMark/>
          </w:tcPr>
          <w:p w14:paraId="01FCD451" w14:textId="77777777" w:rsidR="00A02438" w:rsidRDefault="00A02438" w:rsidP="00A02438">
            <w:pPr>
              <w:rPr>
                <w:rFonts w:ascii="Arial Narrow" w:eastAsia="Times New Roman" w:hAnsi="Arial Narrow" w:cs="Calibri"/>
                <w:b/>
                <w:bCs/>
                <w:color w:val="000000"/>
                <w:sz w:val="22"/>
                <w:szCs w:val="22"/>
                <w:lang w:val="es-CR"/>
              </w:rPr>
            </w:pPr>
            <w:r w:rsidRPr="00A02438">
              <w:rPr>
                <w:rFonts w:ascii="Arial Narrow" w:eastAsia="Times New Roman" w:hAnsi="Arial Narrow" w:cs="Calibri"/>
                <w:b/>
                <w:bCs/>
                <w:color w:val="000000"/>
                <w:sz w:val="22"/>
                <w:szCs w:val="22"/>
                <w:lang w:val="es-CR"/>
              </w:rPr>
              <w:t xml:space="preserve">NICSP N° 1, </w:t>
            </w:r>
          </w:p>
          <w:p w14:paraId="3DD5BB28" w14:textId="129AF5ED" w:rsidR="00A02438" w:rsidRPr="00A02438" w:rsidRDefault="00A02438" w:rsidP="00AE1036">
            <w:pPr>
              <w:rPr>
                <w:rFonts w:ascii="Arial Narrow" w:eastAsia="Times New Roman" w:hAnsi="Arial Narrow" w:cs="Calibri"/>
                <w:b/>
                <w:bCs/>
                <w:color w:val="000000"/>
                <w:sz w:val="22"/>
                <w:szCs w:val="22"/>
                <w:lang w:val="es-CR"/>
              </w:rPr>
            </w:pPr>
            <w:r w:rsidRPr="00A02438">
              <w:rPr>
                <w:rFonts w:ascii="Arial Narrow" w:eastAsia="Times New Roman" w:hAnsi="Arial Narrow" w:cs="Calibri"/>
                <w:b/>
                <w:bCs/>
                <w:color w:val="000000"/>
                <w:sz w:val="22"/>
                <w:szCs w:val="22"/>
                <w:lang w:val="es-CR"/>
              </w:rPr>
              <w:t>Párrafo 124.</w:t>
            </w:r>
            <w:r w:rsidRPr="00A02438">
              <w:rPr>
                <w:rFonts w:ascii="Arial Narrow" w:eastAsia="Times New Roman" w:hAnsi="Arial Narrow" w:cs="Calibri"/>
                <w:b/>
                <w:bCs/>
                <w:color w:val="000000"/>
                <w:sz w:val="22"/>
                <w:szCs w:val="22"/>
                <w:lang w:val="es-CR"/>
              </w:rPr>
              <w:br/>
              <w:t>NICSP N° 3,</w:t>
            </w:r>
            <w:r w:rsidRPr="00A02438">
              <w:rPr>
                <w:rFonts w:ascii="Arial Narrow" w:eastAsia="Times New Roman" w:hAnsi="Arial Narrow" w:cs="Calibri"/>
                <w:b/>
                <w:bCs/>
                <w:color w:val="000000"/>
                <w:sz w:val="22"/>
                <w:szCs w:val="22"/>
                <w:lang w:val="es-CR"/>
              </w:rPr>
              <w:br/>
              <w:t>Párrafos 27 a 32 y 47 a 52.</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4B79C054" w14:textId="77777777" w:rsidR="00A02438" w:rsidRPr="00A02438" w:rsidRDefault="00A02438" w:rsidP="00A02438">
            <w:pPr>
              <w:jc w:val="center"/>
              <w:rPr>
                <w:rFonts w:ascii="Arial Narrow" w:eastAsia="Times New Roman" w:hAnsi="Arial Narrow" w:cs="Calibri"/>
                <w:b/>
                <w:bCs/>
                <w:color w:val="000000"/>
                <w:sz w:val="22"/>
                <w:szCs w:val="22"/>
                <w:lang w:val="es-CR"/>
              </w:rPr>
            </w:pPr>
            <w:r w:rsidRPr="00A02438">
              <w:rPr>
                <w:rFonts w:ascii="Arial Narrow" w:eastAsia="Times New Roman" w:hAnsi="Arial Narrow" w:cs="Calibri"/>
                <w:b/>
                <w:bCs/>
                <w:color w:val="000000"/>
                <w:sz w:val="22"/>
                <w:szCs w:val="22"/>
                <w:lang w:val="es-CR"/>
              </w:rPr>
              <w:t xml:space="preserve"> </w:t>
            </w:r>
          </w:p>
        </w:tc>
      </w:tr>
      <w:tr w:rsidR="00A02438" w:rsidRPr="00A02438" w14:paraId="04C3EE2E" w14:textId="77777777" w:rsidTr="00AE1036">
        <w:trPr>
          <w:gridAfter w:val="1"/>
          <w:wAfter w:w="10" w:type="dxa"/>
          <w:trHeight w:val="570"/>
        </w:trPr>
        <w:tc>
          <w:tcPr>
            <w:tcW w:w="537" w:type="dxa"/>
            <w:tcBorders>
              <w:top w:val="nil"/>
              <w:left w:val="single" w:sz="8" w:space="0" w:color="auto"/>
              <w:bottom w:val="single" w:sz="8" w:space="0" w:color="auto"/>
              <w:right w:val="single" w:sz="8" w:space="0" w:color="auto"/>
            </w:tcBorders>
            <w:shd w:val="clear" w:color="auto" w:fill="auto"/>
            <w:vAlign w:val="center"/>
            <w:hideMark/>
          </w:tcPr>
          <w:p w14:paraId="1DA957BE" w14:textId="77777777" w:rsidR="00A02438" w:rsidRPr="00A02438" w:rsidRDefault="00A02438" w:rsidP="00A02438">
            <w:pPr>
              <w:jc w:val="right"/>
              <w:rPr>
                <w:rFonts w:ascii="Arial Narrow" w:eastAsia="Times New Roman" w:hAnsi="Arial Narrow"/>
                <w:b/>
                <w:bCs/>
                <w:color w:val="000000"/>
                <w:sz w:val="22"/>
                <w:szCs w:val="22"/>
              </w:rPr>
            </w:pPr>
            <w:r w:rsidRPr="00A02438">
              <w:rPr>
                <w:rFonts w:ascii="Arial Narrow" w:eastAsia="Times New Roman" w:hAnsi="Arial Narrow"/>
                <w:b/>
                <w:bCs/>
                <w:color w:val="000000"/>
                <w:sz w:val="22"/>
                <w:szCs w:val="22"/>
              </w:rPr>
              <w:t>3</w:t>
            </w:r>
          </w:p>
        </w:tc>
        <w:tc>
          <w:tcPr>
            <w:tcW w:w="706" w:type="dxa"/>
            <w:tcBorders>
              <w:top w:val="nil"/>
              <w:left w:val="nil"/>
              <w:bottom w:val="single" w:sz="8" w:space="0" w:color="auto"/>
              <w:right w:val="single" w:sz="8" w:space="0" w:color="auto"/>
            </w:tcBorders>
            <w:shd w:val="clear" w:color="auto" w:fill="auto"/>
            <w:vAlign w:val="center"/>
            <w:hideMark/>
          </w:tcPr>
          <w:p w14:paraId="0497E566" w14:textId="77777777" w:rsidR="00A02438" w:rsidRPr="00A02438" w:rsidRDefault="00A02438" w:rsidP="00A02438">
            <w:pPr>
              <w:ind w:firstLineChars="100" w:firstLine="220"/>
              <w:rPr>
                <w:rFonts w:ascii="Arial Narrow" w:eastAsia="Times New Roman" w:hAnsi="Arial Narrow"/>
                <w:b/>
                <w:bCs/>
                <w:color w:val="000000"/>
                <w:sz w:val="22"/>
                <w:szCs w:val="22"/>
              </w:rPr>
            </w:pPr>
            <w:r w:rsidRPr="00A02438">
              <w:rPr>
                <w:rFonts w:ascii="Arial Narrow" w:eastAsia="Times New Roman" w:hAnsi="Arial Narrow"/>
                <w:b/>
                <w:bCs/>
                <w:color w:val="000000"/>
                <w:sz w:val="22"/>
                <w:szCs w:val="22"/>
              </w:rPr>
              <w:t>15</w:t>
            </w:r>
          </w:p>
        </w:tc>
        <w:tc>
          <w:tcPr>
            <w:tcW w:w="517" w:type="dxa"/>
            <w:tcBorders>
              <w:top w:val="nil"/>
              <w:left w:val="nil"/>
              <w:bottom w:val="single" w:sz="8" w:space="0" w:color="auto"/>
              <w:right w:val="nil"/>
            </w:tcBorders>
            <w:shd w:val="clear" w:color="auto" w:fill="auto"/>
            <w:vAlign w:val="center"/>
            <w:hideMark/>
          </w:tcPr>
          <w:p w14:paraId="52483792" w14:textId="77777777" w:rsidR="00A02438" w:rsidRPr="00A02438" w:rsidRDefault="00A02438" w:rsidP="00A02438">
            <w:pPr>
              <w:jc w:val="center"/>
              <w:rPr>
                <w:rFonts w:ascii="Arial Narrow" w:eastAsia="Times New Roman" w:hAnsi="Arial Narrow" w:cs="Calibri"/>
                <w:b/>
                <w:bCs/>
                <w:color w:val="000000"/>
                <w:sz w:val="22"/>
                <w:szCs w:val="22"/>
              </w:rPr>
            </w:pPr>
            <w:r w:rsidRPr="00A02438">
              <w:rPr>
                <w:rFonts w:ascii="Arial Narrow" w:eastAsia="Times New Roman" w:hAnsi="Arial Narrow" w:cs="Calibri"/>
                <w:b/>
                <w:bCs/>
                <w:color w:val="000000"/>
                <w:sz w:val="22"/>
                <w:szCs w:val="22"/>
              </w:rPr>
              <w:t>1</w:t>
            </w:r>
          </w:p>
        </w:tc>
        <w:tc>
          <w:tcPr>
            <w:tcW w:w="3722" w:type="dxa"/>
            <w:tcBorders>
              <w:top w:val="nil"/>
              <w:left w:val="single" w:sz="8" w:space="0" w:color="auto"/>
              <w:bottom w:val="single" w:sz="8" w:space="0" w:color="auto"/>
              <w:right w:val="single" w:sz="8" w:space="0" w:color="auto"/>
            </w:tcBorders>
            <w:shd w:val="clear" w:color="auto" w:fill="auto"/>
            <w:vAlign w:val="center"/>
            <w:hideMark/>
          </w:tcPr>
          <w:p w14:paraId="3788BAC0" w14:textId="77777777" w:rsidR="00A02438" w:rsidRPr="00A02438" w:rsidRDefault="00A02438" w:rsidP="00A02438">
            <w:pPr>
              <w:rPr>
                <w:rFonts w:ascii="Arial Narrow" w:eastAsia="Times New Roman" w:hAnsi="Arial Narrow"/>
                <w:b/>
                <w:bCs/>
                <w:color w:val="000000"/>
                <w:sz w:val="22"/>
                <w:szCs w:val="22"/>
                <w:lang w:val="es-CR"/>
              </w:rPr>
            </w:pPr>
            <w:r w:rsidRPr="00A02438">
              <w:rPr>
                <w:rFonts w:ascii="Arial Narrow" w:eastAsia="Times New Roman" w:hAnsi="Arial Narrow"/>
                <w:b/>
                <w:bCs/>
                <w:color w:val="000000"/>
                <w:sz w:val="22"/>
                <w:szCs w:val="22"/>
                <w:lang w:val="es-CR"/>
              </w:rPr>
              <w:t>Reconocimiento inicial de propiedades, planta y equipo</w:t>
            </w:r>
          </w:p>
        </w:tc>
        <w:tc>
          <w:tcPr>
            <w:tcW w:w="2021" w:type="dxa"/>
            <w:tcBorders>
              <w:top w:val="nil"/>
              <w:left w:val="nil"/>
              <w:bottom w:val="single" w:sz="8" w:space="0" w:color="auto"/>
              <w:right w:val="single" w:sz="8" w:space="0" w:color="auto"/>
            </w:tcBorders>
            <w:shd w:val="clear" w:color="auto" w:fill="auto"/>
            <w:vAlign w:val="center"/>
            <w:hideMark/>
          </w:tcPr>
          <w:p w14:paraId="0716A090" w14:textId="77777777" w:rsidR="00A02438" w:rsidRDefault="00A02438" w:rsidP="00A02438">
            <w:pPr>
              <w:rPr>
                <w:rFonts w:ascii="Arial Narrow" w:eastAsia="Times New Roman" w:hAnsi="Arial Narrow" w:cs="Calibri"/>
                <w:b/>
                <w:bCs/>
                <w:color w:val="000000"/>
                <w:sz w:val="22"/>
                <w:szCs w:val="22"/>
              </w:rPr>
            </w:pPr>
            <w:r w:rsidRPr="00A02438">
              <w:rPr>
                <w:rFonts w:ascii="Arial Narrow" w:eastAsia="Times New Roman" w:hAnsi="Arial Narrow" w:cs="Calibri"/>
                <w:b/>
                <w:bCs/>
                <w:color w:val="000000"/>
                <w:sz w:val="22"/>
                <w:szCs w:val="22"/>
              </w:rPr>
              <w:t xml:space="preserve">NICSP N° 33, </w:t>
            </w:r>
          </w:p>
          <w:p w14:paraId="13712202" w14:textId="0A1A5D60" w:rsidR="00A02438" w:rsidRPr="00A02438" w:rsidRDefault="00A02438" w:rsidP="00A02438">
            <w:pPr>
              <w:rPr>
                <w:rFonts w:ascii="Arial Narrow" w:eastAsia="Times New Roman" w:hAnsi="Arial Narrow" w:cs="Calibri"/>
                <w:b/>
                <w:bCs/>
                <w:color w:val="000000"/>
                <w:sz w:val="22"/>
                <w:szCs w:val="22"/>
              </w:rPr>
            </w:pPr>
            <w:r w:rsidRPr="00A02438">
              <w:rPr>
                <w:rFonts w:ascii="Arial Narrow" w:eastAsia="Times New Roman" w:hAnsi="Arial Narrow" w:cs="Calibri"/>
                <w:b/>
                <w:bCs/>
                <w:color w:val="000000"/>
                <w:sz w:val="22"/>
                <w:szCs w:val="22"/>
              </w:rPr>
              <w:t>Párrafo</w:t>
            </w:r>
            <w:r>
              <w:rPr>
                <w:rFonts w:ascii="Arial Narrow" w:eastAsia="Times New Roman" w:hAnsi="Arial Narrow" w:cs="Calibri"/>
                <w:b/>
                <w:bCs/>
                <w:color w:val="000000"/>
                <w:sz w:val="22"/>
                <w:szCs w:val="22"/>
              </w:rPr>
              <w:t>s</w:t>
            </w:r>
            <w:r w:rsidRPr="00A02438">
              <w:rPr>
                <w:rFonts w:ascii="Arial Narrow" w:eastAsia="Times New Roman" w:hAnsi="Arial Narrow" w:cs="Calibri"/>
                <w:b/>
                <w:bCs/>
                <w:color w:val="000000"/>
                <w:sz w:val="22"/>
                <w:szCs w:val="22"/>
              </w:rPr>
              <w:t xml:space="preserve"> 36 y 45.</w:t>
            </w:r>
          </w:p>
        </w:tc>
        <w:tc>
          <w:tcPr>
            <w:tcW w:w="1881" w:type="dxa"/>
            <w:tcBorders>
              <w:top w:val="nil"/>
              <w:left w:val="nil"/>
              <w:bottom w:val="single" w:sz="8" w:space="0" w:color="auto"/>
              <w:right w:val="single" w:sz="8" w:space="0" w:color="auto"/>
            </w:tcBorders>
            <w:shd w:val="clear" w:color="auto" w:fill="auto"/>
            <w:vAlign w:val="center"/>
            <w:hideMark/>
          </w:tcPr>
          <w:p w14:paraId="76325A6D" w14:textId="77777777" w:rsidR="00A02438" w:rsidRPr="00A02438" w:rsidRDefault="00A02438" w:rsidP="00A02438">
            <w:pPr>
              <w:jc w:val="center"/>
              <w:rPr>
                <w:rFonts w:ascii="Arial Narrow" w:eastAsia="Times New Roman" w:hAnsi="Arial Narrow" w:cs="Calibri"/>
                <w:b/>
                <w:bCs/>
                <w:color w:val="000000"/>
                <w:sz w:val="22"/>
                <w:szCs w:val="22"/>
              </w:rPr>
            </w:pPr>
            <w:r w:rsidRPr="00A02438">
              <w:rPr>
                <w:rFonts w:ascii="Arial Narrow" w:eastAsia="Times New Roman" w:hAnsi="Arial Narrow" w:cs="Calibri"/>
                <w:b/>
                <w:bCs/>
                <w:color w:val="000000"/>
                <w:sz w:val="22"/>
                <w:szCs w:val="22"/>
              </w:rPr>
              <w:t>DGCN</w:t>
            </w:r>
          </w:p>
        </w:tc>
      </w:tr>
    </w:tbl>
    <w:p w14:paraId="1A34D54C" w14:textId="77777777" w:rsidR="00AE1036" w:rsidRDefault="00AE1036" w:rsidP="00AE1036">
      <w:pPr>
        <w:pStyle w:val="Default"/>
        <w:ind w:right="261"/>
        <w:jc w:val="both"/>
        <w:rPr>
          <w:rFonts w:eastAsia="Arial"/>
          <w:b/>
          <w:sz w:val="22"/>
          <w:szCs w:val="22"/>
        </w:rPr>
      </w:pPr>
    </w:p>
    <w:p w14:paraId="2250C7CD" w14:textId="1C69998F" w:rsidR="004C0894" w:rsidRDefault="00AE1036" w:rsidP="00AE1036">
      <w:pPr>
        <w:pStyle w:val="Default"/>
        <w:ind w:right="261"/>
        <w:jc w:val="both"/>
        <w:rPr>
          <w:rFonts w:eastAsia="Arial"/>
          <w:b/>
          <w:sz w:val="22"/>
          <w:szCs w:val="22"/>
        </w:rPr>
      </w:pPr>
      <w:r w:rsidRPr="00F02F9D">
        <w:rPr>
          <w:rFonts w:eastAsia="Arial"/>
          <w:b/>
          <w:sz w:val="22"/>
          <w:szCs w:val="22"/>
        </w:rPr>
        <w:t>Políticas Contables</w:t>
      </w:r>
    </w:p>
    <w:p w14:paraId="098BAC6A" w14:textId="77777777" w:rsidR="00AE1036" w:rsidRDefault="00AE1036" w:rsidP="00AE1036">
      <w:pPr>
        <w:pStyle w:val="Default"/>
        <w:ind w:right="261"/>
        <w:jc w:val="both"/>
        <w:rPr>
          <w:sz w:val="22"/>
          <w:szCs w:val="22"/>
          <w:lang w:val="es-CR"/>
        </w:rPr>
      </w:pPr>
    </w:p>
    <w:p w14:paraId="3E180503" w14:textId="77777777" w:rsidR="00A02438" w:rsidRDefault="00A02438" w:rsidP="00A02438">
      <w:pPr>
        <w:pStyle w:val="Default"/>
        <w:ind w:left="1134" w:hanging="1134"/>
        <w:jc w:val="both"/>
        <w:rPr>
          <w:sz w:val="22"/>
          <w:szCs w:val="22"/>
          <w:lang w:val="es-CR"/>
        </w:rPr>
      </w:pPr>
      <w:r>
        <w:rPr>
          <w:sz w:val="22"/>
          <w:szCs w:val="22"/>
          <w:lang w:val="es-CR"/>
        </w:rPr>
        <w:t>3.15.0.01</w:t>
      </w:r>
      <w:r>
        <w:rPr>
          <w:sz w:val="22"/>
          <w:szCs w:val="22"/>
          <w:lang w:val="es-CR"/>
        </w:rPr>
        <w:tab/>
      </w:r>
      <w:r w:rsidRPr="00A02438">
        <w:rPr>
          <w:sz w:val="22"/>
          <w:szCs w:val="22"/>
          <w:lang w:val="es-CR"/>
        </w:rPr>
        <w:t>Los resultados acumulados de ejercicios anteriores sólo deben ajustarse, siempre que resulten afectados, en los siguientes casos:</w:t>
      </w:r>
    </w:p>
    <w:p w14:paraId="2C68F581" w14:textId="201AC583" w:rsidR="00A02438" w:rsidRPr="00A02438" w:rsidRDefault="00A02438" w:rsidP="00A02438">
      <w:pPr>
        <w:pStyle w:val="Default"/>
        <w:ind w:left="1134" w:hanging="1134"/>
        <w:jc w:val="both"/>
        <w:rPr>
          <w:sz w:val="22"/>
          <w:szCs w:val="22"/>
          <w:lang w:val="es-CR"/>
        </w:rPr>
      </w:pPr>
      <w:r w:rsidRPr="00A02438">
        <w:rPr>
          <w:sz w:val="22"/>
          <w:szCs w:val="22"/>
          <w:lang w:val="es-CR"/>
        </w:rPr>
        <w:t xml:space="preserve"> </w:t>
      </w:r>
    </w:p>
    <w:p w14:paraId="519F22AA" w14:textId="7EBA94DA" w:rsidR="00A02438" w:rsidRPr="00A02438" w:rsidRDefault="00A02438">
      <w:pPr>
        <w:pStyle w:val="Default"/>
        <w:numPr>
          <w:ilvl w:val="0"/>
          <w:numId w:val="212"/>
        </w:numPr>
        <w:spacing w:after="120"/>
        <w:ind w:left="1418" w:hanging="284"/>
        <w:jc w:val="both"/>
        <w:rPr>
          <w:sz w:val="22"/>
          <w:szCs w:val="22"/>
          <w:lang w:val="es-CR"/>
        </w:rPr>
      </w:pPr>
      <w:r>
        <w:rPr>
          <w:sz w:val="22"/>
          <w:szCs w:val="22"/>
          <w:lang w:val="es-CR"/>
        </w:rPr>
        <w:t>P</w:t>
      </w:r>
      <w:r w:rsidRPr="00A02438">
        <w:rPr>
          <w:sz w:val="22"/>
          <w:szCs w:val="22"/>
          <w:lang w:val="es-CR"/>
        </w:rPr>
        <w:t xml:space="preserve">or </w:t>
      </w:r>
      <w:r w:rsidR="005907B3" w:rsidRPr="00A02438">
        <w:rPr>
          <w:sz w:val="22"/>
          <w:szCs w:val="22"/>
          <w:lang w:val="es-CR"/>
        </w:rPr>
        <w:t>ca</w:t>
      </w:r>
      <w:r w:rsidR="005907B3">
        <w:rPr>
          <w:sz w:val="22"/>
          <w:szCs w:val="22"/>
          <w:lang w:val="es-CR"/>
        </w:rPr>
        <w:t>mbi</w:t>
      </w:r>
      <w:r w:rsidR="005907B3" w:rsidRPr="00A02438">
        <w:rPr>
          <w:sz w:val="22"/>
          <w:szCs w:val="22"/>
          <w:lang w:val="es-CR"/>
        </w:rPr>
        <w:t>os</w:t>
      </w:r>
      <w:r w:rsidRPr="00A02438">
        <w:rPr>
          <w:sz w:val="22"/>
          <w:szCs w:val="22"/>
          <w:lang w:val="es-CR"/>
        </w:rPr>
        <w:t xml:space="preserve"> en las políticas contables y; </w:t>
      </w:r>
    </w:p>
    <w:p w14:paraId="6101B490" w14:textId="128326B4" w:rsidR="00A02438" w:rsidRDefault="00A02438">
      <w:pPr>
        <w:pStyle w:val="Default"/>
        <w:numPr>
          <w:ilvl w:val="0"/>
          <w:numId w:val="212"/>
        </w:numPr>
        <w:ind w:left="1418" w:hanging="284"/>
        <w:jc w:val="both"/>
        <w:rPr>
          <w:sz w:val="22"/>
          <w:szCs w:val="22"/>
          <w:lang w:val="es-CR"/>
        </w:rPr>
      </w:pPr>
      <w:r>
        <w:rPr>
          <w:sz w:val="22"/>
          <w:szCs w:val="22"/>
          <w:lang w:val="es-CR"/>
        </w:rPr>
        <w:t>P</w:t>
      </w:r>
      <w:r w:rsidRPr="00A02438">
        <w:rPr>
          <w:sz w:val="22"/>
          <w:szCs w:val="22"/>
          <w:lang w:val="es-CR"/>
        </w:rPr>
        <w:t>or la corrección de errores que se efectúe retroactivamente, en la medida en que estas correcciones sean practicables.</w:t>
      </w:r>
    </w:p>
    <w:p w14:paraId="15D53DE7" w14:textId="77777777" w:rsidR="00A02438" w:rsidRPr="00A02438" w:rsidRDefault="00A02438" w:rsidP="00A02438">
      <w:pPr>
        <w:pStyle w:val="Default"/>
        <w:ind w:left="1418"/>
        <w:jc w:val="both"/>
        <w:rPr>
          <w:sz w:val="22"/>
          <w:szCs w:val="22"/>
          <w:lang w:val="es-CR"/>
        </w:rPr>
      </w:pPr>
    </w:p>
    <w:p w14:paraId="301D0232" w14:textId="0B069863" w:rsidR="00A02438" w:rsidRPr="00A02438" w:rsidRDefault="00A02438" w:rsidP="00A02438">
      <w:pPr>
        <w:pStyle w:val="Default"/>
        <w:ind w:left="1134" w:hanging="1134"/>
        <w:jc w:val="both"/>
        <w:rPr>
          <w:sz w:val="22"/>
          <w:szCs w:val="22"/>
          <w:lang w:val="es-CR"/>
        </w:rPr>
      </w:pPr>
      <w:r>
        <w:rPr>
          <w:sz w:val="22"/>
          <w:szCs w:val="22"/>
          <w:lang w:val="es-CR"/>
        </w:rPr>
        <w:t>3.15.0.02</w:t>
      </w:r>
      <w:r>
        <w:rPr>
          <w:sz w:val="22"/>
          <w:szCs w:val="22"/>
          <w:lang w:val="es-CR"/>
        </w:rPr>
        <w:tab/>
      </w:r>
      <w:r w:rsidRPr="00A02438">
        <w:rPr>
          <w:sz w:val="22"/>
          <w:szCs w:val="22"/>
          <w:lang w:val="es-CR"/>
        </w:rPr>
        <w:t xml:space="preserve">Los ajustes y las reexpresiones retroactivas se realizan sobre el saldo de los resultados acumulados, siempre que éstos resulten afectados. Además, se deberá revelar información en el ECP y en las Notas, conforme lo requerido en el Capítulo EEFF, sobre los ajustes totales de cada componente del patrimonio, discriminando los provenientes de </w:t>
      </w:r>
      <w:r w:rsidR="005907B3" w:rsidRPr="00A02438">
        <w:rPr>
          <w:sz w:val="22"/>
          <w:szCs w:val="22"/>
          <w:lang w:val="es-CR"/>
        </w:rPr>
        <w:t>ca</w:t>
      </w:r>
      <w:r w:rsidR="005907B3">
        <w:rPr>
          <w:sz w:val="22"/>
          <w:szCs w:val="22"/>
          <w:lang w:val="es-CR"/>
        </w:rPr>
        <w:t>mbi</w:t>
      </w:r>
      <w:r w:rsidR="005907B3" w:rsidRPr="00A02438">
        <w:rPr>
          <w:sz w:val="22"/>
          <w:szCs w:val="22"/>
          <w:lang w:val="es-CR"/>
        </w:rPr>
        <w:t>os</w:t>
      </w:r>
      <w:r w:rsidRPr="00A02438">
        <w:rPr>
          <w:sz w:val="22"/>
          <w:szCs w:val="22"/>
          <w:lang w:val="es-CR"/>
        </w:rPr>
        <w:t xml:space="preserve"> en las políticas contables y de correcciones de errores, y detallando los efectos para cada período anterior y para el principio del período. </w:t>
      </w:r>
    </w:p>
    <w:p w14:paraId="63EA0B55" w14:textId="6A117AA3" w:rsidR="00A02438" w:rsidRPr="00A02438" w:rsidRDefault="00A02438" w:rsidP="00A02438">
      <w:pPr>
        <w:pStyle w:val="Default"/>
        <w:jc w:val="both"/>
        <w:rPr>
          <w:sz w:val="22"/>
          <w:szCs w:val="22"/>
          <w:lang w:val="es-CR"/>
        </w:rPr>
      </w:pPr>
      <w:r w:rsidRPr="00A02438">
        <w:rPr>
          <w:sz w:val="22"/>
          <w:szCs w:val="22"/>
          <w:lang w:val="es-CR"/>
        </w:rPr>
        <w:t xml:space="preserve"> </w:t>
      </w:r>
    </w:p>
    <w:p w14:paraId="24C1AD8C" w14:textId="7E8CB528" w:rsidR="00A02438" w:rsidRPr="00A02438" w:rsidRDefault="00A02438" w:rsidP="00A02438">
      <w:pPr>
        <w:pStyle w:val="Default"/>
        <w:ind w:left="1134" w:hanging="1134"/>
        <w:jc w:val="both"/>
        <w:rPr>
          <w:sz w:val="22"/>
          <w:szCs w:val="22"/>
          <w:lang w:val="es-CR"/>
        </w:rPr>
      </w:pPr>
      <w:r>
        <w:rPr>
          <w:sz w:val="22"/>
          <w:szCs w:val="22"/>
          <w:lang w:val="es-CR"/>
        </w:rPr>
        <w:t>3.15.1.01</w:t>
      </w:r>
      <w:r>
        <w:rPr>
          <w:sz w:val="22"/>
          <w:szCs w:val="22"/>
          <w:lang w:val="es-CR"/>
        </w:rPr>
        <w:tab/>
      </w:r>
      <w:r w:rsidRPr="00A02438">
        <w:rPr>
          <w:sz w:val="22"/>
          <w:szCs w:val="22"/>
          <w:lang w:val="es-CR"/>
        </w:rPr>
        <w:t xml:space="preserve">El efecto del reconocimiento inicial de los activos fijos que la entidad lleve a cabo dentro del transitorio en la adopción de NICSP, se realizará con carácter de ajuste al saldo inicial de los resultados acumulados del período en que tenga lugar el reconocimiento. </w:t>
      </w:r>
    </w:p>
    <w:p w14:paraId="352B9C64" w14:textId="77777777" w:rsidR="00A02438" w:rsidRPr="00A02438" w:rsidRDefault="00A02438">
      <w:pPr>
        <w:pStyle w:val="Default"/>
        <w:numPr>
          <w:ilvl w:val="0"/>
          <w:numId w:val="211"/>
        </w:numPr>
        <w:jc w:val="both"/>
        <w:rPr>
          <w:sz w:val="22"/>
          <w:szCs w:val="22"/>
          <w:lang w:val="es-CR"/>
        </w:rPr>
      </w:pPr>
    </w:p>
    <w:p w14:paraId="651B7B92" w14:textId="140A781B" w:rsidR="00A02438" w:rsidRDefault="00A02438" w:rsidP="00A02438">
      <w:pPr>
        <w:pStyle w:val="Default"/>
        <w:ind w:left="1134" w:hanging="1134"/>
        <w:jc w:val="both"/>
        <w:rPr>
          <w:sz w:val="22"/>
          <w:szCs w:val="22"/>
          <w:lang w:val="es-CR"/>
        </w:rPr>
      </w:pPr>
      <w:r>
        <w:rPr>
          <w:sz w:val="22"/>
          <w:szCs w:val="22"/>
          <w:lang w:val="es-CR"/>
        </w:rPr>
        <w:t>3.15.1.02</w:t>
      </w:r>
      <w:r>
        <w:rPr>
          <w:sz w:val="22"/>
          <w:szCs w:val="22"/>
          <w:lang w:val="es-CR"/>
        </w:rPr>
        <w:tab/>
      </w:r>
      <w:r w:rsidRPr="00A02438">
        <w:rPr>
          <w:sz w:val="22"/>
          <w:szCs w:val="22"/>
          <w:lang w:val="es-CR"/>
        </w:rPr>
        <w:t>Sin perjuicio de ello, dichos ajustes serán posteriormente capitalizados, adicionados al importe reconocido como capital inicial, por la porción respecto de la cual pueda afirmarse que estuvo originada en bienes existentes al momento de la adopción de NICSP.</w:t>
      </w:r>
    </w:p>
    <w:p w14:paraId="6E345C36" w14:textId="77777777" w:rsidR="00A02438" w:rsidRPr="00A02438" w:rsidRDefault="00A02438" w:rsidP="00A02438">
      <w:pPr>
        <w:pStyle w:val="Default"/>
        <w:ind w:left="1134" w:hanging="1134"/>
        <w:jc w:val="both"/>
        <w:rPr>
          <w:sz w:val="22"/>
          <w:szCs w:val="22"/>
          <w:lang w:val="es-CR"/>
        </w:rPr>
      </w:pPr>
    </w:p>
    <w:p w14:paraId="6A6088AC" w14:textId="23F2D3FA" w:rsidR="00A02438" w:rsidRDefault="00A02438" w:rsidP="00A02438">
      <w:pPr>
        <w:pStyle w:val="Default"/>
        <w:ind w:left="1134" w:hanging="1134"/>
        <w:jc w:val="both"/>
        <w:rPr>
          <w:sz w:val="22"/>
          <w:szCs w:val="22"/>
          <w:lang w:val="es-CR"/>
        </w:rPr>
      </w:pPr>
      <w:r>
        <w:rPr>
          <w:sz w:val="22"/>
          <w:szCs w:val="22"/>
          <w:lang w:val="es-CR"/>
        </w:rPr>
        <w:t>3.15.1.03</w:t>
      </w:r>
      <w:r>
        <w:rPr>
          <w:sz w:val="22"/>
          <w:szCs w:val="22"/>
          <w:lang w:val="es-CR"/>
        </w:rPr>
        <w:tab/>
        <w:t>La Municipalidad</w:t>
      </w:r>
      <w:r w:rsidRPr="00A02438">
        <w:rPr>
          <w:sz w:val="22"/>
          <w:szCs w:val="22"/>
          <w:lang w:val="es-CR"/>
        </w:rPr>
        <w:t xml:space="preserve"> adopta por primera vez las NICSP </w:t>
      </w:r>
      <w:r>
        <w:rPr>
          <w:sz w:val="22"/>
          <w:szCs w:val="22"/>
          <w:lang w:val="es-CR"/>
        </w:rPr>
        <w:t xml:space="preserve">y aprovecha la excepción que establece que si </w:t>
      </w:r>
      <w:r w:rsidRPr="00A02438">
        <w:rPr>
          <w:sz w:val="22"/>
          <w:szCs w:val="22"/>
          <w:lang w:val="es-CR"/>
        </w:rPr>
        <w:t>no ha reconocido activos o pasivos según la base contable anterior, no se requiere que reconozca o mida los activos o pasivos siguientes para los periodos sobre los que se informa que comiencen en una fecha dentro del periodo transitorio para la adopción de las NICSP.</w:t>
      </w:r>
    </w:p>
    <w:p w14:paraId="4EC2BCA5" w14:textId="77777777" w:rsidR="00A02438" w:rsidRPr="00A02438" w:rsidRDefault="00A02438" w:rsidP="00A02438">
      <w:pPr>
        <w:pStyle w:val="Default"/>
        <w:ind w:left="1134" w:hanging="1134"/>
        <w:jc w:val="both"/>
        <w:rPr>
          <w:sz w:val="22"/>
          <w:szCs w:val="22"/>
          <w:lang w:val="es-CR"/>
        </w:rPr>
      </w:pPr>
    </w:p>
    <w:p w14:paraId="38B50D09" w14:textId="4C113C28" w:rsidR="00FC4887" w:rsidRPr="00A02438" w:rsidRDefault="00A02438" w:rsidP="00A02438">
      <w:pPr>
        <w:pStyle w:val="Default"/>
        <w:ind w:left="1134" w:hanging="1134"/>
        <w:jc w:val="both"/>
        <w:rPr>
          <w:sz w:val="22"/>
          <w:szCs w:val="22"/>
          <w:lang w:val="es-CR"/>
        </w:rPr>
      </w:pPr>
      <w:r>
        <w:rPr>
          <w:sz w:val="22"/>
          <w:szCs w:val="22"/>
          <w:lang w:val="es-CR"/>
        </w:rPr>
        <w:t>3.15.1.04</w:t>
      </w:r>
      <w:r>
        <w:rPr>
          <w:sz w:val="22"/>
          <w:szCs w:val="22"/>
          <w:lang w:val="es-CR"/>
        </w:rPr>
        <w:tab/>
        <w:t>La Municipalidad</w:t>
      </w:r>
      <w:r w:rsidRPr="00A02438">
        <w:rPr>
          <w:sz w:val="22"/>
          <w:szCs w:val="22"/>
          <w:lang w:val="es-CR"/>
        </w:rPr>
        <w:t xml:space="preserve"> adopta por primera vez las NICSP </w:t>
      </w:r>
      <w:r>
        <w:rPr>
          <w:sz w:val="22"/>
          <w:szCs w:val="22"/>
          <w:lang w:val="es-CR"/>
        </w:rPr>
        <w:t xml:space="preserve">y </w:t>
      </w:r>
      <w:r w:rsidRPr="00A02438">
        <w:rPr>
          <w:sz w:val="22"/>
          <w:szCs w:val="22"/>
          <w:lang w:val="es-CR"/>
        </w:rPr>
        <w:t>aprovecha el periodo de dispensa transitorio para el reconocimiento o medición de activos de acuerdo con las NICSP 16, 17, 27, 31 y 32, no se requiere que capitalice los costos por préstamos incurridos en activos que cumplen los requisitos con anterioridad al, o durante el, periodo de transición. Solo cuando las exenciones que proporcionaron la dispensa hayan expirado, o cuando los activos correspondientes se reconozcan o midan de acuerdo con las NICSP aplicables (lo que tenga lugar primero) se permitirá que una entidad que adopta por primera vez las NICSP capitalice los costos por préstamos incurridos en los activos que cumplen los requisitos de acuerdo con el tratamiento alternativo permitido.</w:t>
      </w:r>
    </w:p>
    <w:p w14:paraId="5CFAFBE4" w14:textId="77777777" w:rsidR="0097644C" w:rsidRDefault="0097644C" w:rsidP="00A279AD">
      <w:pPr>
        <w:pStyle w:val="Default"/>
        <w:spacing w:after="120" w:line="238" w:lineRule="auto"/>
        <w:ind w:right="260"/>
        <w:jc w:val="both"/>
        <w:rPr>
          <w:sz w:val="22"/>
          <w:szCs w:val="22"/>
          <w:lang w:val="es-CR"/>
        </w:rPr>
      </w:pPr>
    </w:p>
    <w:p w14:paraId="5D44D8CC" w14:textId="77777777" w:rsidR="00AE1036" w:rsidRDefault="00AE1036" w:rsidP="00A279AD">
      <w:pPr>
        <w:pStyle w:val="Default"/>
        <w:spacing w:after="120" w:line="238" w:lineRule="auto"/>
        <w:ind w:right="260"/>
        <w:jc w:val="both"/>
        <w:rPr>
          <w:sz w:val="22"/>
          <w:szCs w:val="22"/>
          <w:lang w:val="es-CR"/>
        </w:rPr>
      </w:pPr>
    </w:p>
    <w:p w14:paraId="384D85A4" w14:textId="0935B6BD" w:rsidR="00067997" w:rsidRPr="006609F0" w:rsidRDefault="006609F0" w:rsidP="006609F0">
      <w:pPr>
        <w:pStyle w:val="Ttulo1"/>
        <w:rPr>
          <w:rFonts w:ascii="Arial Narrow" w:eastAsia="Arial" w:hAnsi="Arial Narrow"/>
          <w:b/>
          <w:bCs/>
          <w:sz w:val="28"/>
          <w:szCs w:val="28"/>
          <w:lang w:val="es-CR"/>
        </w:rPr>
      </w:pPr>
      <w:bookmarkStart w:id="114" w:name="_Toc172726249"/>
      <w:r w:rsidRPr="006609F0">
        <w:rPr>
          <w:rFonts w:ascii="Arial Narrow" w:eastAsia="Arial" w:hAnsi="Arial Narrow"/>
          <w:b/>
          <w:bCs/>
          <w:sz w:val="28"/>
          <w:szCs w:val="28"/>
          <w:lang w:val="es-CR"/>
        </w:rPr>
        <w:lastRenderedPageBreak/>
        <w:t>CAPÍTULO IV</w:t>
      </w:r>
      <w:bookmarkEnd w:id="114"/>
    </w:p>
    <w:p w14:paraId="110CC65D" w14:textId="77777777" w:rsidR="00067997" w:rsidRPr="00627673" w:rsidRDefault="00067997" w:rsidP="00225F48">
      <w:pPr>
        <w:spacing w:line="253" w:lineRule="exact"/>
        <w:jc w:val="center"/>
        <w:rPr>
          <w:rFonts w:ascii="Times New Roman" w:eastAsia="Times New Roman" w:hAnsi="Times New Roman"/>
          <w:lang w:val="es-CR"/>
        </w:rPr>
      </w:pPr>
    </w:p>
    <w:p w14:paraId="7367E64B" w14:textId="43C150B1" w:rsidR="00067997" w:rsidRPr="00425974" w:rsidRDefault="00067997" w:rsidP="00425974">
      <w:pPr>
        <w:pStyle w:val="Ttulo2"/>
        <w:rPr>
          <w:rFonts w:ascii="Arial" w:eastAsia="Arial" w:hAnsi="Arial" w:cs="Arial"/>
          <w:b/>
          <w:bCs/>
          <w:sz w:val="28"/>
          <w:szCs w:val="28"/>
          <w:lang w:val="es-CR"/>
        </w:rPr>
      </w:pPr>
      <w:bookmarkStart w:id="115" w:name="_Toc172726250"/>
      <w:r w:rsidRPr="00425974">
        <w:rPr>
          <w:rFonts w:ascii="Arial" w:eastAsia="Arial" w:hAnsi="Arial" w:cs="Arial"/>
          <w:b/>
          <w:bCs/>
          <w:sz w:val="28"/>
          <w:szCs w:val="28"/>
          <w:lang w:val="es-CR"/>
        </w:rPr>
        <w:t xml:space="preserve">Políticas Contables </w:t>
      </w:r>
      <w:r w:rsidR="00425974" w:rsidRPr="00425974">
        <w:rPr>
          <w:rFonts w:ascii="Arial" w:eastAsia="Arial" w:hAnsi="Arial" w:cs="Arial"/>
          <w:b/>
          <w:bCs/>
          <w:sz w:val="28"/>
          <w:szCs w:val="28"/>
          <w:lang w:val="es-CR"/>
        </w:rPr>
        <w:t>General</w:t>
      </w:r>
      <w:r w:rsidR="00547734">
        <w:rPr>
          <w:rFonts w:ascii="Arial" w:eastAsia="Arial" w:hAnsi="Arial" w:cs="Arial"/>
          <w:b/>
          <w:bCs/>
          <w:sz w:val="28"/>
          <w:szCs w:val="28"/>
          <w:lang w:val="es-CR"/>
        </w:rPr>
        <w:t>es</w:t>
      </w:r>
      <w:r w:rsidR="00425974" w:rsidRPr="00425974">
        <w:rPr>
          <w:rFonts w:ascii="Arial" w:eastAsia="Arial" w:hAnsi="Arial" w:cs="Arial"/>
          <w:b/>
          <w:bCs/>
          <w:sz w:val="28"/>
          <w:szCs w:val="28"/>
          <w:lang w:val="es-CR"/>
        </w:rPr>
        <w:t xml:space="preserve"> y Particulares </w:t>
      </w:r>
      <w:r w:rsidRPr="00425974">
        <w:rPr>
          <w:rFonts w:ascii="Arial" w:eastAsia="Arial" w:hAnsi="Arial" w:cs="Arial"/>
          <w:b/>
          <w:bCs/>
          <w:sz w:val="28"/>
          <w:szCs w:val="28"/>
          <w:lang w:val="es-CR"/>
        </w:rPr>
        <w:t>para</w:t>
      </w:r>
      <w:r w:rsidR="00547734">
        <w:rPr>
          <w:rFonts w:ascii="Arial" w:eastAsia="Arial" w:hAnsi="Arial" w:cs="Arial"/>
          <w:b/>
          <w:bCs/>
          <w:sz w:val="28"/>
          <w:szCs w:val="28"/>
          <w:lang w:val="es-CR"/>
        </w:rPr>
        <w:t xml:space="preserve"> los</w:t>
      </w:r>
      <w:r w:rsidRPr="00425974">
        <w:rPr>
          <w:rFonts w:ascii="Arial" w:eastAsia="Arial" w:hAnsi="Arial" w:cs="Arial"/>
          <w:b/>
          <w:bCs/>
          <w:sz w:val="28"/>
          <w:szCs w:val="28"/>
          <w:lang w:val="es-CR"/>
        </w:rPr>
        <w:t xml:space="preserve"> Ingresos</w:t>
      </w:r>
      <w:bookmarkEnd w:id="115"/>
    </w:p>
    <w:p w14:paraId="6F35E5CB" w14:textId="77777777" w:rsidR="00225F48" w:rsidRDefault="00225F48" w:rsidP="00067997">
      <w:pPr>
        <w:spacing w:line="242" w:lineRule="exact"/>
        <w:rPr>
          <w:rFonts w:ascii="Times New Roman" w:eastAsia="Times New Roman" w:hAnsi="Times New Roman"/>
          <w:lang w:val="es-CR"/>
        </w:rPr>
      </w:pPr>
    </w:p>
    <w:p w14:paraId="2358C7B3" w14:textId="77777777" w:rsidR="00AE1036" w:rsidRDefault="00AE1036" w:rsidP="00067997">
      <w:pPr>
        <w:spacing w:line="242" w:lineRule="exact"/>
        <w:rPr>
          <w:rFonts w:ascii="Times New Roman" w:eastAsia="Times New Roman" w:hAnsi="Times New Roman"/>
          <w:lang w:val="es-CR"/>
        </w:rPr>
      </w:pPr>
    </w:p>
    <w:p w14:paraId="73FAC12E" w14:textId="77777777" w:rsidR="00067997" w:rsidRPr="00B5085E" w:rsidRDefault="00067997" w:rsidP="00B5085E">
      <w:pPr>
        <w:pStyle w:val="Ttulo2"/>
        <w:rPr>
          <w:rFonts w:ascii="Arial" w:eastAsia="Arial" w:hAnsi="Arial" w:cs="Arial"/>
          <w:b/>
          <w:bCs/>
          <w:sz w:val="28"/>
          <w:szCs w:val="28"/>
          <w:lang w:val="es-CR"/>
        </w:rPr>
      </w:pPr>
      <w:bookmarkStart w:id="116" w:name="_Toc172726251"/>
      <w:r w:rsidRPr="00B5085E">
        <w:rPr>
          <w:rFonts w:ascii="Arial" w:eastAsia="Arial" w:hAnsi="Arial" w:cs="Arial"/>
          <w:b/>
          <w:bCs/>
          <w:sz w:val="28"/>
          <w:szCs w:val="28"/>
          <w:lang w:val="es-CR"/>
        </w:rPr>
        <w:t>4. Ingresos</w:t>
      </w:r>
      <w:bookmarkEnd w:id="116"/>
    </w:p>
    <w:p w14:paraId="519ABCE5" w14:textId="77777777" w:rsidR="00067997" w:rsidRDefault="00067997" w:rsidP="00A279AD">
      <w:pPr>
        <w:pStyle w:val="Default"/>
        <w:spacing w:after="120" w:line="238" w:lineRule="auto"/>
        <w:ind w:right="260"/>
        <w:jc w:val="both"/>
        <w:rPr>
          <w:sz w:val="22"/>
          <w:szCs w:val="22"/>
          <w:lang w:val="es-CR"/>
        </w:rPr>
      </w:pPr>
    </w:p>
    <w:p w14:paraId="0D60087E" w14:textId="77777777" w:rsidR="00AE1036" w:rsidRDefault="00AE1036" w:rsidP="00A279AD">
      <w:pPr>
        <w:pStyle w:val="Default"/>
        <w:spacing w:after="120" w:line="238" w:lineRule="auto"/>
        <w:ind w:right="260"/>
        <w:jc w:val="both"/>
        <w:rPr>
          <w:sz w:val="22"/>
          <w:szCs w:val="22"/>
          <w:lang w:val="es-CR"/>
        </w:rPr>
      </w:pPr>
    </w:p>
    <w:p w14:paraId="5AEAAD14" w14:textId="310A8B37" w:rsidR="00B5085E" w:rsidRPr="0069573C" w:rsidRDefault="003C398A" w:rsidP="0069573C">
      <w:pPr>
        <w:pStyle w:val="Ttulo2"/>
        <w:ind w:left="284"/>
        <w:rPr>
          <w:rFonts w:ascii="Arial" w:eastAsia="Arial" w:hAnsi="Arial" w:cs="Arial"/>
          <w:b/>
          <w:bCs/>
          <w:sz w:val="20"/>
          <w:szCs w:val="20"/>
          <w:lang w:val="es-CR"/>
        </w:rPr>
      </w:pPr>
      <w:bookmarkStart w:id="117" w:name="_Toc172726252"/>
      <w:r w:rsidRPr="0069573C">
        <w:rPr>
          <w:rFonts w:ascii="Arial" w:eastAsia="Arial" w:hAnsi="Arial" w:cs="Arial"/>
          <w:b/>
          <w:bCs/>
          <w:sz w:val="20"/>
          <w:szCs w:val="20"/>
          <w:lang w:val="es-CR"/>
        </w:rPr>
        <w:t>Transacciones</w:t>
      </w:r>
      <w:r w:rsidR="00B5085E" w:rsidRPr="0069573C">
        <w:rPr>
          <w:rFonts w:ascii="Arial" w:eastAsia="Arial" w:hAnsi="Arial" w:cs="Arial"/>
          <w:b/>
          <w:bCs/>
          <w:sz w:val="20"/>
          <w:szCs w:val="20"/>
          <w:lang w:val="es-CR"/>
        </w:rPr>
        <w:t xml:space="preserve"> sin</w:t>
      </w:r>
      <w:r w:rsidRPr="0069573C">
        <w:rPr>
          <w:rFonts w:ascii="Arial" w:eastAsia="Arial" w:hAnsi="Arial" w:cs="Arial"/>
          <w:b/>
          <w:bCs/>
          <w:sz w:val="20"/>
          <w:szCs w:val="20"/>
          <w:lang w:val="es-CR"/>
        </w:rPr>
        <w:t xml:space="preserve"> impacto en los </w:t>
      </w:r>
      <w:r w:rsidR="00B5085E" w:rsidRPr="0069573C">
        <w:rPr>
          <w:rFonts w:ascii="Arial" w:eastAsia="Arial" w:hAnsi="Arial" w:cs="Arial"/>
          <w:b/>
          <w:bCs/>
          <w:sz w:val="20"/>
          <w:szCs w:val="20"/>
          <w:lang w:val="es-CR"/>
        </w:rPr>
        <w:t>ingresos</w:t>
      </w:r>
      <w:bookmarkEnd w:id="117"/>
    </w:p>
    <w:p w14:paraId="7EB2252F" w14:textId="77777777" w:rsidR="00B5085E" w:rsidRPr="00A279AD" w:rsidRDefault="00B5085E" w:rsidP="00A279AD">
      <w:pPr>
        <w:pStyle w:val="Default"/>
        <w:spacing w:after="120" w:line="238" w:lineRule="auto"/>
        <w:ind w:right="260"/>
        <w:jc w:val="both"/>
        <w:rPr>
          <w:sz w:val="22"/>
          <w:szCs w:val="22"/>
          <w:lang w:val="es-CR"/>
        </w:rPr>
      </w:pPr>
    </w:p>
    <w:tbl>
      <w:tblPr>
        <w:tblW w:w="9391" w:type="dxa"/>
        <w:tblLayout w:type="fixed"/>
        <w:tblLook w:val="04A0" w:firstRow="1" w:lastRow="0" w:firstColumn="1" w:lastColumn="0" w:noHBand="0" w:noVBand="1"/>
      </w:tblPr>
      <w:tblGrid>
        <w:gridCol w:w="392"/>
        <w:gridCol w:w="449"/>
        <w:gridCol w:w="709"/>
        <w:gridCol w:w="3685"/>
        <w:gridCol w:w="2268"/>
        <w:gridCol w:w="1867"/>
        <w:gridCol w:w="21"/>
      </w:tblGrid>
      <w:tr w:rsidR="00A451A6" w:rsidRPr="00A451A6" w14:paraId="42662A7A" w14:textId="77777777" w:rsidTr="00AE103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6D9C40A"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Norma / Política</w:t>
            </w:r>
          </w:p>
        </w:tc>
        <w:tc>
          <w:tcPr>
            <w:tcW w:w="3685" w:type="dxa"/>
            <w:vMerge w:val="restart"/>
            <w:tcBorders>
              <w:top w:val="single" w:sz="8" w:space="0" w:color="auto"/>
              <w:left w:val="single" w:sz="8" w:space="0" w:color="auto"/>
              <w:bottom w:val="nil"/>
              <w:right w:val="single" w:sz="8" w:space="0" w:color="auto"/>
            </w:tcBorders>
            <w:shd w:val="clear" w:color="000000" w:fill="203764"/>
            <w:vAlign w:val="center"/>
            <w:hideMark/>
          </w:tcPr>
          <w:p w14:paraId="6B425D24"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Concepto</w:t>
            </w:r>
          </w:p>
        </w:tc>
        <w:tc>
          <w:tcPr>
            <w:tcW w:w="4156" w:type="dxa"/>
            <w:gridSpan w:val="3"/>
            <w:tcBorders>
              <w:top w:val="single" w:sz="8" w:space="0" w:color="auto"/>
              <w:left w:val="nil"/>
              <w:bottom w:val="single" w:sz="8" w:space="0" w:color="auto"/>
              <w:right w:val="single" w:sz="8" w:space="0" w:color="000000"/>
            </w:tcBorders>
            <w:shd w:val="clear" w:color="000000" w:fill="203764"/>
            <w:vAlign w:val="center"/>
            <w:hideMark/>
          </w:tcPr>
          <w:p w14:paraId="6BFC200B"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Referencia</w:t>
            </w:r>
          </w:p>
        </w:tc>
      </w:tr>
      <w:tr w:rsidR="00A451A6" w:rsidRPr="006E5442" w14:paraId="7E196A26" w14:textId="77777777" w:rsidTr="00AE1036">
        <w:trPr>
          <w:gridAfter w:val="1"/>
          <w:wAfter w:w="21" w:type="dxa"/>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478541F" w14:textId="77777777" w:rsidR="00A451A6" w:rsidRPr="00A451A6" w:rsidRDefault="00A451A6" w:rsidP="00A451A6">
            <w:pPr>
              <w:rPr>
                <w:rFonts w:ascii="Arial Narrow" w:eastAsia="Times New Roman" w:hAnsi="Arial Narrow" w:cs="Calibri"/>
                <w:b/>
                <w:bCs/>
                <w:color w:val="FFFFFF"/>
                <w:sz w:val="22"/>
                <w:szCs w:val="22"/>
              </w:rPr>
            </w:pPr>
          </w:p>
        </w:tc>
        <w:tc>
          <w:tcPr>
            <w:tcW w:w="3685" w:type="dxa"/>
            <w:vMerge/>
            <w:tcBorders>
              <w:top w:val="single" w:sz="8" w:space="0" w:color="auto"/>
              <w:left w:val="single" w:sz="8" w:space="0" w:color="auto"/>
              <w:bottom w:val="nil"/>
              <w:right w:val="single" w:sz="8" w:space="0" w:color="auto"/>
            </w:tcBorders>
            <w:vAlign w:val="center"/>
            <w:hideMark/>
          </w:tcPr>
          <w:p w14:paraId="7740263D" w14:textId="77777777" w:rsidR="00A451A6" w:rsidRPr="00A451A6" w:rsidRDefault="00A451A6" w:rsidP="00A451A6">
            <w:pPr>
              <w:rPr>
                <w:rFonts w:ascii="Arial Narrow" w:eastAsia="Times New Roman" w:hAnsi="Arial Narrow" w:cs="Calibri"/>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7307F176"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Norma</w:t>
            </w:r>
          </w:p>
        </w:tc>
        <w:tc>
          <w:tcPr>
            <w:tcW w:w="1867" w:type="dxa"/>
            <w:tcBorders>
              <w:top w:val="nil"/>
              <w:left w:val="nil"/>
              <w:bottom w:val="nil"/>
              <w:right w:val="single" w:sz="8" w:space="0" w:color="auto"/>
            </w:tcBorders>
            <w:shd w:val="clear" w:color="000000" w:fill="203764"/>
            <w:vAlign w:val="center"/>
            <w:hideMark/>
          </w:tcPr>
          <w:p w14:paraId="12C72D16" w14:textId="77777777" w:rsidR="00A451A6" w:rsidRPr="00A451A6" w:rsidRDefault="00A451A6" w:rsidP="00A451A6">
            <w:pPr>
              <w:jc w:val="center"/>
              <w:rPr>
                <w:rFonts w:ascii="Arial Narrow" w:eastAsia="Times New Roman" w:hAnsi="Arial Narrow" w:cs="Calibri"/>
                <w:b/>
                <w:bCs/>
                <w:color w:val="FFFFFF"/>
                <w:sz w:val="22"/>
                <w:szCs w:val="22"/>
                <w:lang w:val="es-CR"/>
              </w:rPr>
            </w:pPr>
            <w:r w:rsidRPr="00A451A6">
              <w:rPr>
                <w:rFonts w:ascii="Arial Narrow" w:eastAsia="Times New Roman" w:hAnsi="Arial Narrow" w:cs="Calibri"/>
                <w:b/>
                <w:bCs/>
                <w:color w:val="FFFFFF"/>
                <w:sz w:val="22"/>
                <w:szCs w:val="22"/>
                <w:lang w:val="es-CR"/>
              </w:rPr>
              <w:t>Normativa técnica y disposiciones adicionales</w:t>
            </w:r>
          </w:p>
        </w:tc>
      </w:tr>
      <w:tr w:rsidR="00A451A6" w:rsidRPr="00A451A6" w14:paraId="3B9166EA" w14:textId="77777777" w:rsidTr="00354C26">
        <w:trPr>
          <w:gridAfter w:val="1"/>
          <w:wAfter w:w="21" w:type="dxa"/>
          <w:trHeight w:val="920"/>
        </w:trPr>
        <w:tc>
          <w:tcPr>
            <w:tcW w:w="3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0A26BF" w14:textId="77777777" w:rsidR="00A451A6" w:rsidRPr="00A451A6" w:rsidRDefault="00A451A6" w:rsidP="00A451A6">
            <w:pPr>
              <w:jc w:val="center"/>
              <w:rPr>
                <w:rFonts w:ascii="Arial Narrow" w:eastAsia="Times New Roman" w:hAnsi="Arial Narrow" w:cs="Calibri"/>
                <w:b/>
                <w:bCs/>
                <w:color w:val="000000"/>
                <w:sz w:val="22"/>
                <w:szCs w:val="22"/>
              </w:rPr>
            </w:pPr>
            <w:r w:rsidRPr="00A451A6">
              <w:rPr>
                <w:rFonts w:ascii="Arial Narrow" w:eastAsia="Times New Roman" w:hAnsi="Arial Narrow" w:cs="Calibri"/>
                <w:b/>
                <w:bCs/>
                <w:color w:val="000000"/>
                <w:sz w:val="22"/>
                <w:szCs w:val="22"/>
              </w:rPr>
              <w:t>4</w:t>
            </w:r>
          </w:p>
        </w:tc>
        <w:tc>
          <w:tcPr>
            <w:tcW w:w="449" w:type="dxa"/>
            <w:tcBorders>
              <w:top w:val="single" w:sz="8" w:space="0" w:color="auto"/>
              <w:left w:val="nil"/>
              <w:bottom w:val="single" w:sz="8" w:space="0" w:color="auto"/>
              <w:right w:val="single" w:sz="8" w:space="0" w:color="auto"/>
            </w:tcBorders>
            <w:shd w:val="clear" w:color="auto" w:fill="auto"/>
            <w:noWrap/>
            <w:vAlign w:val="center"/>
            <w:hideMark/>
          </w:tcPr>
          <w:p w14:paraId="107D3971" w14:textId="77777777" w:rsidR="00A451A6" w:rsidRPr="00A451A6" w:rsidRDefault="00A451A6" w:rsidP="00A451A6">
            <w:pPr>
              <w:jc w:val="center"/>
              <w:rPr>
                <w:rFonts w:ascii="Arial Narrow" w:eastAsia="Times New Roman" w:hAnsi="Arial Narrow" w:cs="Calibri"/>
                <w:b/>
                <w:bCs/>
                <w:color w:val="000000"/>
                <w:sz w:val="22"/>
                <w:szCs w:val="22"/>
              </w:rPr>
            </w:pPr>
            <w:r w:rsidRPr="00A451A6">
              <w:rPr>
                <w:rFonts w:ascii="Arial Narrow" w:eastAsia="Times New Roman" w:hAnsi="Arial Narrow" w:cs="Calibri"/>
                <w:b/>
                <w:bCs/>
                <w:color w:val="000000"/>
                <w:sz w:val="22"/>
                <w:szCs w:val="22"/>
              </w:rPr>
              <w:t>1</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2F11658A" w14:textId="62856517" w:rsidR="00A451A6" w:rsidRPr="00A451A6" w:rsidRDefault="00A451A6" w:rsidP="00A451A6">
            <w:pPr>
              <w:jc w:val="center"/>
              <w:rPr>
                <w:rFonts w:ascii="Arial Narrow" w:eastAsia="Times New Roman" w:hAnsi="Arial Narrow" w:cs="Calibri"/>
                <w:b/>
                <w:bCs/>
                <w:color w:val="000000"/>
                <w:sz w:val="22"/>
                <w:szCs w:val="22"/>
              </w:rPr>
            </w:pPr>
          </w:p>
        </w:tc>
        <w:tc>
          <w:tcPr>
            <w:tcW w:w="3685" w:type="dxa"/>
            <w:tcBorders>
              <w:top w:val="single" w:sz="8" w:space="0" w:color="auto"/>
              <w:left w:val="nil"/>
              <w:bottom w:val="single" w:sz="8" w:space="0" w:color="auto"/>
              <w:right w:val="single" w:sz="8" w:space="0" w:color="auto"/>
            </w:tcBorders>
            <w:shd w:val="clear" w:color="auto" w:fill="auto"/>
            <w:vAlign w:val="center"/>
            <w:hideMark/>
          </w:tcPr>
          <w:p w14:paraId="49712F88" w14:textId="77777777" w:rsidR="00A451A6" w:rsidRP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Transacciones sin impacto en ingresos</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48812966" w14:textId="77777777" w:rsid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NICSP N° 9,</w:t>
            </w:r>
          </w:p>
          <w:p w14:paraId="54FD11DC" w14:textId="77777777" w:rsid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Párrafos 12 y 13.</w:t>
            </w:r>
          </w:p>
          <w:p w14:paraId="0E6DE796" w14:textId="77777777" w:rsid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NICSP N° 23,</w:t>
            </w:r>
          </w:p>
          <w:p w14:paraId="16394A6D" w14:textId="295A1346" w:rsidR="00A451A6" w:rsidRP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 12.</w:t>
            </w:r>
          </w:p>
        </w:tc>
        <w:tc>
          <w:tcPr>
            <w:tcW w:w="1867" w:type="dxa"/>
            <w:tcBorders>
              <w:top w:val="single" w:sz="8" w:space="0" w:color="auto"/>
              <w:left w:val="nil"/>
              <w:bottom w:val="single" w:sz="8" w:space="0" w:color="auto"/>
              <w:right w:val="single" w:sz="8" w:space="0" w:color="auto"/>
            </w:tcBorders>
            <w:shd w:val="clear" w:color="auto" w:fill="auto"/>
            <w:vAlign w:val="center"/>
            <w:hideMark/>
          </w:tcPr>
          <w:p w14:paraId="2EE8FF28" w14:textId="77777777" w:rsidR="00A451A6" w:rsidRPr="00A451A6" w:rsidRDefault="00A451A6" w:rsidP="00A451A6">
            <w:pPr>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 xml:space="preserve"> </w:t>
            </w:r>
          </w:p>
        </w:tc>
      </w:tr>
    </w:tbl>
    <w:p w14:paraId="12C9BFCE" w14:textId="77777777" w:rsidR="00354C26" w:rsidRDefault="00354C26" w:rsidP="00354C26">
      <w:pPr>
        <w:pStyle w:val="Default"/>
        <w:ind w:right="261"/>
        <w:jc w:val="both"/>
        <w:rPr>
          <w:rFonts w:eastAsia="Arial"/>
          <w:b/>
          <w:sz w:val="22"/>
          <w:szCs w:val="22"/>
        </w:rPr>
      </w:pPr>
    </w:p>
    <w:p w14:paraId="49048691" w14:textId="52E23523" w:rsidR="0097644C" w:rsidRDefault="00354C26" w:rsidP="00354C26">
      <w:pPr>
        <w:pStyle w:val="Default"/>
        <w:ind w:right="261"/>
        <w:jc w:val="both"/>
        <w:rPr>
          <w:rFonts w:eastAsia="Arial"/>
          <w:b/>
          <w:sz w:val="22"/>
          <w:szCs w:val="22"/>
        </w:rPr>
      </w:pPr>
      <w:r w:rsidRPr="00F02F9D">
        <w:rPr>
          <w:rFonts w:eastAsia="Arial"/>
          <w:b/>
          <w:sz w:val="22"/>
          <w:szCs w:val="22"/>
        </w:rPr>
        <w:t>Política Contable</w:t>
      </w:r>
    </w:p>
    <w:p w14:paraId="236D81F9" w14:textId="77777777" w:rsidR="00354C26" w:rsidRPr="00A279AD" w:rsidRDefault="00354C26" w:rsidP="00354C26">
      <w:pPr>
        <w:pStyle w:val="Default"/>
        <w:ind w:right="261"/>
        <w:jc w:val="both"/>
        <w:rPr>
          <w:sz w:val="22"/>
          <w:szCs w:val="22"/>
          <w:lang w:val="es-CR"/>
        </w:rPr>
      </w:pPr>
    </w:p>
    <w:p w14:paraId="7BE43CED" w14:textId="64A7025D" w:rsidR="00A451A6" w:rsidRDefault="00A451A6" w:rsidP="00A451A6">
      <w:pPr>
        <w:pStyle w:val="Default"/>
        <w:ind w:left="1134" w:hanging="1134"/>
        <w:jc w:val="both"/>
        <w:rPr>
          <w:sz w:val="22"/>
          <w:szCs w:val="22"/>
          <w:lang w:val="es-CR"/>
        </w:rPr>
      </w:pPr>
      <w:r>
        <w:rPr>
          <w:sz w:val="23"/>
          <w:szCs w:val="23"/>
          <w:lang w:val="es-CR"/>
        </w:rPr>
        <w:t>4.1.0.01</w:t>
      </w:r>
      <w:r>
        <w:rPr>
          <w:sz w:val="23"/>
          <w:szCs w:val="23"/>
          <w:lang w:val="es-CR"/>
        </w:rPr>
        <w:tab/>
      </w:r>
      <w:r w:rsidRPr="00A451A6">
        <w:rPr>
          <w:sz w:val="23"/>
          <w:szCs w:val="23"/>
          <w:lang w:val="es-CR"/>
        </w:rPr>
        <w:t xml:space="preserve">No </w:t>
      </w:r>
      <w:r w:rsidRPr="00A451A6">
        <w:rPr>
          <w:sz w:val="22"/>
          <w:szCs w:val="22"/>
          <w:lang w:val="es-CR"/>
        </w:rPr>
        <w:t xml:space="preserve">cumplen la definición de ingresos: </w:t>
      </w:r>
    </w:p>
    <w:p w14:paraId="42E5598B" w14:textId="77777777" w:rsidR="00A451A6" w:rsidRPr="00A451A6" w:rsidRDefault="00A451A6" w:rsidP="00A451A6">
      <w:pPr>
        <w:pStyle w:val="Default"/>
        <w:ind w:left="1134" w:hanging="1134"/>
        <w:jc w:val="both"/>
        <w:rPr>
          <w:sz w:val="22"/>
          <w:szCs w:val="22"/>
          <w:lang w:val="es-CR"/>
        </w:rPr>
      </w:pPr>
    </w:p>
    <w:p w14:paraId="7E0242F6" w14:textId="4E3CFDD9" w:rsidR="00A451A6" w:rsidRPr="00A451A6" w:rsidRDefault="00A451A6">
      <w:pPr>
        <w:pStyle w:val="Default"/>
        <w:numPr>
          <w:ilvl w:val="0"/>
          <w:numId w:val="213"/>
        </w:numPr>
        <w:spacing w:after="120"/>
        <w:ind w:left="1418" w:hanging="284"/>
        <w:jc w:val="both"/>
        <w:rPr>
          <w:sz w:val="22"/>
          <w:szCs w:val="22"/>
          <w:lang w:val="es-CR"/>
        </w:rPr>
      </w:pPr>
      <w:r>
        <w:rPr>
          <w:sz w:val="22"/>
          <w:szCs w:val="22"/>
          <w:lang w:val="es-CR"/>
        </w:rPr>
        <w:t>L</w:t>
      </w:r>
      <w:r w:rsidRPr="00A451A6">
        <w:rPr>
          <w:sz w:val="22"/>
          <w:szCs w:val="22"/>
          <w:lang w:val="es-CR"/>
        </w:rPr>
        <w:t xml:space="preserve">os montos recibidos como agente del gobierno u otra organización gubernamental, o por cuenta de terceros, los que no constituyen beneficios económicos o potenciales de servicio que fluyen a la entidad y no resultan en un incremento del activo o disminución del pasivo sino, en todo caso, </w:t>
      </w:r>
      <w:r w:rsidR="005907B3" w:rsidRPr="00A451A6">
        <w:rPr>
          <w:sz w:val="22"/>
          <w:szCs w:val="22"/>
          <w:lang w:val="es-CR"/>
        </w:rPr>
        <w:t>a</w:t>
      </w:r>
      <w:r w:rsidR="005907B3">
        <w:rPr>
          <w:sz w:val="22"/>
          <w:szCs w:val="22"/>
          <w:lang w:val="es-CR"/>
        </w:rPr>
        <w:t>mba</w:t>
      </w:r>
      <w:r w:rsidR="005907B3" w:rsidRPr="00A451A6">
        <w:rPr>
          <w:sz w:val="22"/>
          <w:szCs w:val="22"/>
          <w:lang w:val="es-CR"/>
        </w:rPr>
        <w:t>s</w:t>
      </w:r>
      <w:r w:rsidRPr="00A451A6">
        <w:rPr>
          <w:sz w:val="22"/>
          <w:szCs w:val="22"/>
          <w:lang w:val="es-CR"/>
        </w:rPr>
        <w:t xml:space="preserve"> cosas al mismo tiempo; </w:t>
      </w:r>
    </w:p>
    <w:p w14:paraId="37CFC2BE" w14:textId="216D0C86" w:rsidR="00A451A6" w:rsidRPr="00A451A6" w:rsidRDefault="00A451A6">
      <w:pPr>
        <w:pStyle w:val="Default"/>
        <w:numPr>
          <w:ilvl w:val="0"/>
          <w:numId w:val="213"/>
        </w:numPr>
        <w:ind w:left="1418" w:hanging="284"/>
        <w:jc w:val="both"/>
        <w:rPr>
          <w:sz w:val="22"/>
          <w:szCs w:val="22"/>
          <w:lang w:val="es-CR"/>
        </w:rPr>
      </w:pPr>
      <w:r>
        <w:rPr>
          <w:sz w:val="22"/>
          <w:szCs w:val="22"/>
          <w:lang w:val="es-CR"/>
        </w:rPr>
        <w:t>L</w:t>
      </w:r>
      <w:r w:rsidRPr="00A451A6">
        <w:rPr>
          <w:sz w:val="22"/>
          <w:szCs w:val="22"/>
          <w:lang w:val="es-CR"/>
        </w:rPr>
        <w:t xml:space="preserve">as entradas de flujos de efectivo procedentes de operaciones de financiación, principalmente los préstamos, las que no cumplen con la definición de ingresos porque implican un </w:t>
      </w:r>
      <w:r w:rsidR="005907B3" w:rsidRPr="00A451A6">
        <w:rPr>
          <w:sz w:val="22"/>
          <w:szCs w:val="22"/>
          <w:lang w:val="es-CR"/>
        </w:rPr>
        <w:t>ca</w:t>
      </w:r>
      <w:r w:rsidR="005907B3">
        <w:rPr>
          <w:sz w:val="22"/>
          <w:szCs w:val="22"/>
          <w:lang w:val="es-CR"/>
        </w:rPr>
        <w:t>mbi</w:t>
      </w:r>
      <w:r w:rsidR="005907B3" w:rsidRPr="00A451A6">
        <w:rPr>
          <w:sz w:val="22"/>
          <w:szCs w:val="22"/>
          <w:lang w:val="es-CR"/>
        </w:rPr>
        <w:t>o</w:t>
      </w:r>
      <w:r w:rsidRPr="00A451A6">
        <w:rPr>
          <w:sz w:val="22"/>
          <w:szCs w:val="22"/>
          <w:lang w:val="es-CR"/>
        </w:rPr>
        <w:t xml:space="preserve"> del mismo importe tanto en los pasivos como en los activos y, por lo tanto, no tienen ningún impacto en el patrimonio. </w:t>
      </w:r>
    </w:p>
    <w:p w14:paraId="3EBECCA4" w14:textId="77777777" w:rsidR="0097644C" w:rsidRDefault="0097644C" w:rsidP="00A451A6">
      <w:pPr>
        <w:pStyle w:val="Default"/>
        <w:spacing w:after="120" w:line="238" w:lineRule="auto"/>
        <w:ind w:right="260"/>
        <w:jc w:val="both"/>
        <w:rPr>
          <w:sz w:val="22"/>
          <w:szCs w:val="22"/>
          <w:lang w:val="es-CR"/>
        </w:rPr>
      </w:pPr>
    </w:p>
    <w:p w14:paraId="5B619320" w14:textId="77777777" w:rsidR="0097644C" w:rsidRDefault="0097644C" w:rsidP="002A638A">
      <w:pPr>
        <w:pStyle w:val="Default"/>
        <w:spacing w:after="120" w:line="238" w:lineRule="auto"/>
        <w:ind w:right="260"/>
        <w:jc w:val="both"/>
        <w:rPr>
          <w:sz w:val="22"/>
          <w:szCs w:val="22"/>
          <w:lang w:val="es-CR"/>
        </w:rPr>
      </w:pPr>
    </w:p>
    <w:tbl>
      <w:tblPr>
        <w:tblW w:w="9349" w:type="dxa"/>
        <w:tblLook w:val="04A0" w:firstRow="1" w:lastRow="0" w:firstColumn="1" w:lastColumn="0" w:noHBand="0" w:noVBand="1"/>
      </w:tblPr>
      <w:tblGrid>
        <w:gridCol w:w="416"/>
        <w:gridCol w:w="425"/>
        <w:gridCol w:w="391"/>
        <w:gridCol w:w="7"/>
        <w:gridCol w:w="3996"/>
        <w:gridCol w:w="2247"/>
        <w:gridCol w:w="1867"/>
      </w:tblGrid>
      <w:tr w:rsidR="00A451A6" w:rsidRPr="00A451A6" w14:paraId="75E0FACD" w14:textId="77777777" w:rsidTr="00354C26">
        <w:trPr>
          <w:trHeight w:val="300"/>
        </w:trPr>
        <w:tc>
          <w:tcPr>
            <w:tcW w:w="1239"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58704124"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Norma / Política</w:t>
            </w:r>
          </w:p>
        </w:tc>
        <w:tc>
          <w:tcPr>
            <w:tcW w:w="3996" w:type="dxa"/>
            <w:vMerge w:val="restart"/>
            <w:tcBorders>
              <w:top w:val="single" w:sz="8" w:space="0" w:color="auto"/>
              <w:left w:val="single" w:sz="8" w:space="0" w:color="auto"/>
              <w:bottom w:val="nil"/>
              <w:right w:val="single" w:sz="8" w:space="0" w:color="auto"/>
            </w:tcBorders>
            <w:shd w:val="clear" w:color="000000" w:fill="203764"/>
            <w:vAlign w:val="center"/>
            <w:hideMark/>
          </w:tcPr>
          <w:p w14:paraId="657FF23E"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Concepto</w:t>
            </w:r>
          </w:p>
        </w:tc>
        <w:tc>
          <w:tcPr>
            <w:tcW w:w="4114" w:type="dxa"/>
            <w:gridSpan w:val="2"/>
            <w:tcBorders>
              <w:top w:val="single" w:sz="8" w:space="0" w:color="auto"/>
              <w:left w:val="nil"/>
              <w:bottom w:val="single" w:sz="8" w:space="0" w:color="auto"/>
              <w:right w:val="single" w:sz="8" w:space="0" w:color="000000"/>
            </w:tcBorders>
            <w:shd w:val="clear" w:color="000000" w:fill="203764"/>
            <w:vAlign w:val="center"/>
            <w:hideMark/>
          </w:tcPr>
          <w:p w14:paraId="787D3180"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Referencia</w:t>
            </w:r>
          </w:p>
        </w:tc>
      </w:tr>
      <w:tr w:rsidR="00A451A6" w:rsidRPr="006E5442" w14:paraId="24F72F57" w14:textId="77777777" w:rsidTr="00354C26">
        <w:trPr>
          <w:trHeight w:val="850"/>
        </w:trPr>
        <w:tc>
          <w:tcPr>
            <w:tcW w:w="1239" w:type="dxa"/>
            <w:gridSpan w:val="4"/>
            <w:vMerge/>
            <w:tcBorders>
              <w:top w:val="single" w:sz="8" w:space="0" w:color="auto"/>
              <w:left w:val="single" w:sz="8" w:space="0" w:color="auto"/>
              <w:bottom w:val="nil"/>
              <w:right w:val="single" w:sz="8" w:space="0" w:color="000000"/>
            </w:tcBorders>
            <w:vAlign w:val="center"/>
            <w:hideMark/>
          </w:tcPr>
          <w:p w14:paraId="53027BB0" w14:textId="77777777" w:rsidR="00A451A6" w:rsidRPr="00A451A6" w:rsidRDefault="00A451A6" w:rsidP="00A451A6">
            <w:pPr>
              <w:rPr>
                <w:rFonts w:ascii="Arial Narrow" w:eastAsia="Times New Roman" w:hAnsi="Arial Narrow" w:cs="Calibri"/>
                <w:b/>
                <w:bCs/>
                <w:color w:val="FFFFFF"/>
                <w:sz w:val="22"/>
                <w:szCs w:val="22"/>
              </w:rPr>
            </w:pPr>
          </w:p>
        </w:tc>
        <w:tc>
          <w:tcPr>
            <w:tcW w:w="3996" w:type="dxa"/>
            <w:vMerge/>
            <w:tcBorders>
              <w:top w:val="single" w:sz="8" w:space="0" w:color="auto"/>
              <w:left w:val="single" w:sz="8" w:space="0" w:color="auto"/>
              <w:bottom w:val="nil"/>
              <w:right w:val="single" w:sz="8" w:space="0" w:color="auto"/>
            </w:tcBorders>
            <w:vAlign w:val="center"/>
            <w:hideMark/>
          </w:tcPr>
          <w:p w14:paraId="214FFA76" w14:textId="77777777" w:rsidR="00A451A6" w:rsidRPr="00A451A6" w:rsidRDefault="00A451A6" w:rsidP="00A451A6">
            <w:pPr>
              <w:rPr>
                <w:rFonts w:ascii="Arial Narrow" w:eastAsia="Times New Roman" w:hAnsi="Arial Narrow" w:cs="Calibri"/>
                <w:b/>
                <w:bCs/>
                <w:color w:val="FFFFFF"/>
                <w:sz w:val="22"/>
                <w:szCs w:val="22"/>
              </w:rPr>
            </w:pPr>
          </w:p>
        </w:tc>
        <w:tc>
          <w:tcPr>
            <w:tcW w:w="2247" w:type="dxa"/>
            <w:tcBorders>
              <w:top w:val="nil"/>
              <w:left w:val="nil"/>
              <w:bottom w:val="nil"/>
              <w:right w:val="single" w:sz="8" w:space="0" w:color="auto"/>
            </w:tcBorders>
            <w:shd w:val="clear" w:color="000000" w:fill="203764"/>
            <w:vAlign w:val="center"/>
            <w:hideMark/>
          </w:tcPr>
          <w:p w14:paraId="14484D72"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Norma</w:t>
            </w:r>
          </w:p>
        </w:tc>
        <w:tc>
          <w:tcPr>
            <w:tcW w:w="1867" w:type="dxa"/>
            <w:tcBorders>
              <w:top w:val="nil"/>
              <w:left w:val="nil"/>
              <w:bottom w:val="nil"/>
              <w:right w:val="single" w:sz="8" w:space="0" w:color="auto"/>
            </w:tcBorders>
            <w:shd w:val="clear" w:color="000000" w:fill="203764"/>
            <w:vAlign w:val="center"/>
            <w:hideMark/>
          </w:tcPr>
          <w:p w14:paraId="34CFDA51" w14:textId="77777777" w:rsidR="00A451A6" w:rsidRPr="00A451A6" w:rsidRDefault="00A451A6" w:rsidP="00A451A6">
            <w:pPr>
              <w:jc w:val="center"/>
              <w:rPr>
                <w:rFonts w:ascii="Arial Narrow" w:eastAsia="Times New Roman" w:hAnsi="Arial Narrow" w:cs="Calibri"/>
                <w:b/>
                <w:bCs/>
                <w:color w:val="FFFFFF"/>
                <w:sz w:val="22"/>
                <w:szCs w:val="22"/>
                <w:lang w:val="es-CR"/>
              </w:rPr>
            </w:pPr>
            <w:r w:rsidRPr="00A451A6">
              <w:rPr>
                <w:rFonts w:ascii="Arial Narrow" w:eastAsia="Times New Roman" w:hAnsi="Arial Narrow" w:cs="Calibri"/>
                <w:b/>
                <w:bCs/>
                <w:color w:val="FFFFFF"/>
                <w:sz w:val="22"/>
                <w:szCs w:val="22"/>
                <w:lang w:val="es-CR"/>
              </w:rPr>
              <w:t>Normativa técnica y disposiciones adicionales</w:t>
            </w:r>
          </w:p>
        </w:tc>
      </w:tr>
      <w:tr w:rsidR="00A451A6" w:rsidRPr="001C1308" w14:paraId="7ADCB6E7" w14:textId="77777777" w:rsidTr="00354C26">
        <w:trPr>
          <w:trHeight w:val="113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DFF53F" w14:textId="77777777" w:rsidR="00A451A6" w:rsidRPr="00A451A6" w:rsidRDefault="00A451A6" w:rsidP="00A451A6">
            <w:pPr>
              <w:jc w:val="center"/>
              <w:rPr>
                <w:rFonts w:ascii="Arial Narrow" w:eastAsia="Times New Roman" w:hAnsi="Arial Narrow" w:cs="Calibri"/>
                <w:b/>
                <w:bCs/>
                <w:color w:val="000000"/>
                <w:sz w:val="22"/>
                <w:szCs w:val="22"/>
              </w:rPr>
            </w:pPr>
            <w:r w:rsidRPr="00A451A6">
              <w:rPr>
                <w:rFonts w:ascii="Arial Narrow" w:eastAsia="Times New Roman" w:hAnsi="Arial Narrow" w:cs="Calibri"/>
                <w:b/>
                <w:bCs/>
                <w:color w:val="000000"/>
                <w:sz w:val="22"/>
                <w:szCs w:val="22"/>
              </w:rPr>
              <w:t>4</w:t>
            </w:r>
          </w:p>
        </w:tc>
        <w:tc>
          <w:tcPr>
            <w:tcW w:w="425" w:type="dxa"/>
            <w:tcBorders>
              <w:top w:val="single" w:sz="8" w:space="0" w:color="auto"/>
              <w:left w:val="nil"/>
              <w:bottom w:val="single" w:sz="8" w:space="0" w:color="auto"/>
              <w:right w:val="single" w:sz="8" w:space="0" w:color="auto"/>
            </w:tcBorders>
            <w:shd w:val="clear" w:color="auto" w:fill="auto"/>
            <w:noWrap/>
            <w:vAlign w:val="center"/>
            <w:hideMark/>
          </w:tcPr>
          <w:p w14:paraId="5FD04727" w14:textId="77777777" w:rsidR="00A451A6" w:rsidRPr="00A451A6" w:rsidRDefault="00A451A6" w:rsidP="00A451A6">
            <w:pPr>
              <w:jc w:val="center"/>
              <w:rPr>
                <w:rFonts w:ascii="Arial Narrow" w:eastAsia="Times New Roman" w:hAnsi="Arial Narrow" w:cs="Calibri"/>
                <w:b/>
                <w:bCs/>
                <w:color w:val="000000"/>
                <w:sz w:val="22"/>
                <w:szCs w:val="22"/>
              </w:rPr>
            </w:pPr>
            <w:r w:rsidRPr="00A451A6">
              <w:rPr>
                <w:rFonts w:ascii="Arial Narrow" w:eastAsia="Times New Roman" w:hAnsi="Arial Narrow" w:cs="Calibri"/>
                <w:b/>
                <w:bCs/>
                <w:color w:val="000000"/>
                <w:sz w:val="22"/>
                <w:szCs w:val="22"/>
              </w:rPr>
              <w:t>2</w:t>
            </w:r>
          </w:p>
        </w:tc>
        <w:tc>
          <w:tcPr>
            <w:tcW w:w="391" w:type="dxa"/>
            <w:tcBorders>
              <w:top w:val="single" w:sz="8" w:space="0" w:color="auto"/>
              <w:left w:val="nil"/>
              <w:bottom w:val="single" w:sz="8" w:space="0" w:color="auto"/>
              <w:right w:val="single" w:sz="8" w:space="0" w:color="auto"/>
            </w:tcBorders>
            <w:shd w:val="clear" w:color="auto" w:fill="auto"/>
            <w:vAlign w:val="center"/>
          </w:tcPr>
          <w:p w14:paraId="54469821" w14:textId="29D143A7" w:rsidR="00A451A6" w:rsidRPr="00A451A6" w:rsidRDefault="00A451A6" w:rsidP="00A451A6">
            <w:pPr>
              <w:jc w:val="center"/>
              <w:rPr>
                <w:rFonts w:ascii="Arial Narrow" w:eastAsia="Times New Roman" w:hAnsi="Arial Narrow" w:cs="Calibri"/>
                <w:b/>
                <w:bCs/>
                <w:color w:val="000000"/>
                <w:sz w:val="22"/>
                <w:szCs w:val="22"/>
              </w:rPr>
            </w:pPr>
          </w:p>
        </w:tc>
        <w:tc>
          <w:tcPr>
            <w:tcW w:w="4003" w:type="dxa"/>
            <w:gridSpan w:val="2"/>
            <w:tcBorders>
              <w:top w:val="single" w:sz="8" w:space="0" w:color="auto"/>
              <w:left w:val="nil"/>
              <w:bottom w:val="single" w:sz="8" w:space="0" w:color="auto"/>
              <w:right w:val="single" w:sz="8" w:space="0" w:color="auto"/>
            </w:tcBorders>
            <w:shd w:val="clear" w:color="auto" w:fill="auto"/>
            <w:vAlign w:val="center"/>
            <w:hideMark/>
          </w:tcPr>
          <w:p w14:paraId="33471895" w14:textId="77777777" w:rsidR="00A451A6" w:rsidRPr="00A451A6" w:rsidRDefault="00A451A6" w:rsidP="00A451A6">
            <w:pPr>
              <w:jc w:val="both"/>
              <w:rPr>
                <w:rFonts w:ascii="Arial Narrow" w:eastAsia="Times New Roman" w:hAnsi="Arial Narrow" w:cs="Calibri"/>
                <w:b/>
                <w:bCs/>
                <w:color w:val="000000"/>
                <w:sz w:val="22"/>
                <w:szCs w:val="22"/>
              </w:rPr>
            </w:pPr>
            <w:r w:rsidRPr="00A451A6">
              <w:rPr>
                <w:rFonts w:ascii="Arial Narrow" w:eastAsia="Times New Roman" w:hAnsi="Arial Narrow" w:cs="Calibri"/>
                <w:b/>
                <w:bCs/>
                <w:color w:val="000000"/>
                <w:sz w:val="22"/>
                <w:szCs w:val="22"/>
              </w:rPr>
              <w:t>Componentes del ingreso</w:t>
            </w:r>
          </w:p>
        </w:tc>
        <w:tc>
          <w:tcPr>
            <w:tcW w:w="2247" w:type="dxa"/>
            <w:tcBorders>
              <w:top w:val="single" w:sz="8" w:space="0" w:color="auto"/>
              <w:left w:val="nil"/>
              <w:bottom w:val="single" w:sz="8" w:space="0" w:color="auto"/>
              <w:right w:val="single" w:sz="8" w:space="0" w:color="auto"/>
            </w:tcBorders>
            <w:shd w:val="clear" w:color="auto" w:fill="auto"/>
            <w:vAlign w:val="center"/>
            <w:hideMark/>
          </w:tcPr>
          <w:p w14:paraId="6D29F338" w14:textId="77777777" w:rsidR="00547734"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NICSP N° 9,</w:t>
            </w:r>
          </w:p>
          <w:p w14:paraId="133E60E3" w14:textId="77777777" w:rsidR="00547734"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 6.</w:t>
            </w:r>
          </w:p>
          <w:p w14:paraId="6274CBF3" w14:textId="77777777" w:rsidR="00547734"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NICSP N° 23,</w:t>
            </w:r>
          </w:p>
          <w:p w14:paraId="4986E9DD" w14:textId="35C10DE8" w:rsidR="00A451A6" w:rsidRP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Párrafos 40 y 41.</w:t>
            </w:r>
          </w:p>
        </w:tc>
        <w:tc>
          <w:tcPr>
            <w:tcW w:w="1867" w:type="dxa"/>
            <w:tcBorders>
              <w:top w:val="single" w:sz="8" w:space="0" w:color="auto"/>
              <w:left w:val="nil"/>
              <w:bottom w:val="single" w:sz="8" w:space="0" w:color="auto"/>
              <w:right w:val="single" w:sz="8" w:space="0" w:color="auto"/>
            </w:tcBorders>
            <w:shd w:val="clear" w:color="auto" w:fill="auto"/>
            <w:vAlign w:val="center"/>
            <w:hideMark/>
          </w:tcPr>
          <w:p w14:paraId="57C6A60A" w14:textId="77777777" w:rsidR="00A451A6" w:rsidRPr="00A451A6" w:rsidRDefault="00A451A6" w:rsidP="00A451A6">
            <w:pPr>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 xml:space="preserve"> </w:t>
            </w:r>
          </w:p>
        </w:tc>
      </w:tr>
    </w:tbl>
    <w:p w14:paraId="090B9629" w14:textId="77777777" w:rsidR="0097644C" w:rsidRDefault="0097644C" w:rsidP="00354C26">
      <w:pPr>
        <w:pStyle w:val="Default"/>
        <w:ind w:right="261"/>
        <w:jc w:val="both"/>
        <w:rPr>
          <w:sz w:val="22"/>
          <w:szCs w:val="22"/>
          <w:lang w:val="es-CR"/>
        </w:rPr>
      </w:pPr>
    </w:p>
    <w:p w14:paraId="406E4D55" w14:textId="62998A06" w:rsidR="00354C26" w:rsidRDefault="00354C26" w:rsidP="00354C26">
      <w:pPr>
        <w:pStyle w:val="Default"/>
        <w:ind w:right="261"/>
        <w:jc w:val="both"/>
        <w:rPr>
          <w:rFonts w:eastAsia="Arial"/>
          <w:b/>
          <w:sz w:val="22"/>
          <w:szCs w:val="22"/>
        </w:rPr>
      </w:pPr>
      <w:r w:rsidRPr="00F02F9D">
        <w:rPr>
          <w:rFonts w:eastAsia="Arial"/>
          <w:b/>
          <w:sz w:val="22"/>
          <w:szCs w:val="22"/>
        </w:rPr>
        <w:t>Políticas Contables</w:t>
      </w:r>
    </w:p>
    <w:p w14:paraId="5E986C60" w14:textId="77777777" w:rsidR="00354C26" w:rsidRPr="00547734" w:rsidRDefault="00354C26" w:rsidP="00354C26">
      <w:pPr>
        <w:pStyle w:val="Default"/>
        <w:ind w:right="261"/>
        <w:jc w:val="both"/>
        <w:rPr>
          <w:sz w:val="22"/>
          <w:szCs w:val="22"/>
          <w:lang w:val="es-CR"/>
        </w:rPr>
      </w:pPr>
    </w:p>
    <w:p w14:paraId="4DD1D815" w14:textId="69438CF1" w:rsidR="0097644C" w:rsidRPr="00547734" w:rsidRDefault="00A451A6" w:rsidP="00A451A6">
      <w:pPr>
        <w:pStyle w:val="Default"/>
        <w:ind w:left="1134" w:right="260" w:hanging="1134"/>
        <w:jc w:val="both"/>
        <w:rPr>
          <w:sz w:val="22"/>
          <w:szCs w:val="22"/>
          <w:lang w:val="es-CR"/>
        </w:rPr>
      </w:pPr>
      <w:r w:rsidRPr="00547734">
        <w:rPr>
          <w:sz w:val="22"/>
          <w:szCs w:val="22"/>
          <w:lang w:val="es-CR"/>
        </w:rPr>
        <w:t>4.2.0.01</w:t>
      </w:r>
      <w:r w:rsidRPr="00547734">
        <w:rPr>
          <w:sz w:val="22"/>
          <w:szCs w:val="22"/>
          <w:lang w:val="es-CR"/>
        </w:rPr>
        <w:tab/>
        <w:t>Los ingresos se originarán en:</w:t>
      </w:r>
    </w:p>
    <w:p w14:paraId="0FB09318" w14:textId="77777777" w:rsidR="00A451A6" w:rsidRPr="00547734" w:rsidRDefault="00A451A6" w:rsidP="00A451A6">
      <w:pPr>
        <w:pStyle w:val="Default"/>
        <w:rPr>
          <w:sz w:val="22"/>
          <w:szCs w:val="22"/>
          <w:lang w:val="es-CR"/>
        </w:rPr>
      </w:pPr>
    </w:p>
    <w:p w14:paraId="0407B706" w14:textId="5EB7E54E" w:rsidR="00A451A6" w:rsidRPr="00547734" w:rsidRDefault="00A451A6">
      <w:pPr>
        <w:pStyle w:val="Default"/>
        <w:numPr>
          <w:ilvl w:val="0"/>
          <w:numId w:val="215"/>
        </w:numPr>
        <w:spacing w:after="120"/>
        <w:ind w:left="1418" w:hanging="284"/>
        <w:rPr>
          <w:sz w:val="22"/>
          <w:szCs w:val="22"/>
          <w:lang w:val="es-CR"/>
        </w:rPr>
      </w:pPr>
      <w:r w:rsidRPr="00547734">
        <w:rPr>
          <w:sz w:val="22"/>
          <w:szCs w:val="22"/>
          <w:lang w:val="es-CR"/>
        </w:rPr>
        <w:t xml:space="preserve">Transacciones y eventos con contraprestación, </w:t>
      </w:r>
    </w:p>
    <w:p w14:paraId="3705073E" w14:textId="4F88932C" w:rsidR="00A451A6" w:rsidRPr="00547734" w:rsidRDefault="00A451A6">
      <w:pPr>
        <w:pStyle w:val="Default"/>
        <w:numPr>
          <w:ilvl w:val="0"/>
          <w:numId w:val="215"/>
        </w:numPr>
        <w:spacing w:after="120"/>
        <w:ind w:left="1418" w:hanging="284"/>
        <w:rPr>
          <w:sz w:val="22"/>
          <w:szCs w:val="22"/>
          <w:lang w:val="es-CR"/>
        </w:rPr>
      </w:pPr>
      <w:r w:rsidRPr="00547734">
        <w:rPr>
          <w:sz w:val="22"/>
          <w:szCs w:val="22"/>
          <w:lang w:val="es-CR"/>
        </w:rPr>
        <w:t xml:space="preserve">Transacciones y eventos sin contraprestación, y </w:t>
      </w:r>
    </w:p>
    <w:p w14:paraId="56F3B9DA" w14:textId="7EBB7F4F" w:rsidR="00A451A6" w:rsidRPr="00547734" w:rsidRDefault="005907B3">
      <w:pPr>
        <w:pStyle w:val="Default"/>
        <w:numPr>
          <w:ilvl w:val="0"/>
          <w:numId w:val="215"/>
        </w:numPr>
        <w:ind w:left="1418" w:hanging="284"/>
        <w:rPr>
          <w:sz w:val="22"/>
          <w:szCs w:val="22"/>
          <w:lang w:val="es-CR"/>
        </w:rPr>
      </w:pPr>
      <w:r w:rsidRPr="00547734">
        <w:rPr>
          <w:sz w:val="22"/>
          <w:szCs w:val="22"/>
          <w:lang w:val="es-CR"/>
        </w:rPr>
        <w:lastRenderedPageBreak/>
        <w:t>Co</w:t>
      </w:r>
      <w:r>
        <w:rPr>
          <w:sz w:val="22"/>
          <w:szCs w:val="22"/>
          <w:lang w:val="es-CR"/>
        </w:rPr>
        <w:t>mbi</w:t>
      </w:r>
      <w:r w:rsidRPr="00547734">
        <w:rPr>
          <w:sz w:val="22"/>
          <w:szCs w:val="22"/>
          <w:lang w:val="es-CR"/>
        </w:rPr>
        <w:t>nación</w:t>
      </w:r>
      <w:r w:rsidR="00A451A6" w:rsidRPr="00547734">
        <w:rPr>
          <w:sz w:val="22"/>
          <w:szCs w:val="22"/>
          <w:lang w:val="es-CR"/>
        </w:rPr>
        <w:t xml:space="preserve"> de transacciones con y sin contraprestación.</w:t>
      </w:r>
    </w:p>
    <w:p w14:paraId="2C93099D" w14:textId="77777777" w:rsidR="00A451A6" w:rsidRPr="00A451A6" w:rsidRDefault="00A451A6">
      <w:pPr>
        <w:pStyle w:val="Default"/>
        <w:numPr>
          <w:ilvl w:val="0"/>
          <w:numId w:val="214"/>
        </w:numPr>
        <w:rPr>
          <w:sz w:val="23"/>
          <w:szCs w:val="23"/>
          <w:lang w:val="es-CR"/>
        </w:rPr>
      </w:pPr>
    </w:p>
    <w:p w14:paraId="7D4550CC" w14:textId="41493A46" w:rsidR="0097644C" w:rsidRPr="00547734" w:rsidRDefault="00A451A6" w:rsidP="00354C26">
      <w:pPr>
        <w:pStyle w:val="Default"/>
        <w:ind w:left="1134" w:right="26" w:hanging="1134"/>
        <w:jc w:val="both"/>
        <w:rPr>
          <w:sz w:val="22"/>
          <w:szCs w:val="22"/>
          <w:lang w:val="es-CR"/>
        </w:rPr>
      </w:pPr>
      <w:r w:rsidRPr="00547734">
        <w:rPr>
          <w:sz w:val="22"/>
          <w:szCs w:val="22"/>
          <w:lang w:val="es-CR"/>
        </w:rPr>
        <w:t>4.2.0.02</w:t>
      </w:r>
      <w:r w:rsidRPr="00547734">
        <w:rPr>
          <w:sz w:val="22"/>
          <w:szCs w:val="22"/>
          <w:lang w:val="es-CR"/>
        </w:rPr>
        <w:tab/>
        <w:t>Para determinar si una transacción tiene componentes con contraprestación y sin contraprestación identificables deberá aplicarse el juicio profesional y tenerse en cuenta la esencia más que la forma de la transacción. Cuando no sea posible distinguir componentes con contraprestación y sin contraprestación por separado, la transacción se tratará como una transacción sin contraprestación.</w:t>
      </w:r>
    </w:p>
    <w:p w14:paraId="0B40466D" w14:textId="77777777" w:rsidR="0097644C" w:rsidRDefault="0097644C" w:rsidP="003C398A">
      <w:pPr>
        <w:pStyle w:val="Default"/>
        <w:ind w:left="1134" w:right="260" w:hanging="1134"/>
        <w:jc w:val="both"/>
        <w:rPr>
          <w:sz w:val="22"/>
          <w:szCs w:val="22"/>
          <w:lang w:val="es-CR"/>
        </w:rPr>
      </w:pPr>
    </w:p>
    <w:p w14:paraId="109CB090" w14:textId="77777777" w:rsidR="003C398A" w:rsidRDefault="003C398A" w:rsidP="003C398A">
      <w:pPr>
        <w:pStyle w:val="Default"/>
        <w:ind w:left="1134" w:right="260" w:hanging="1134"/>
        <w:jc w:val="both"/>
        <w:rPr>
          <w:sz w:val="22"/>
          <w:szCs w:val="22"/>
          <w:lang w:val="es-CR"/>
        </w:rPr>
      </w:pPr>
    </w:p>
    <w:p w14:paraId="76366050" w14:textId="2D57FE3A" w:rsidR="00B5085E" w:rsidRPr="00952BFE" w:rsidRDefault="003C398A" w:rsidP="00952BFE">
      <w:pPr>
        <w:pStyle w:val="Ttulo2"/>
        <w:ind w:left="284"/>
        <w:rPr>
          <w:rFonts w:ascii="Arial" w:eastAsia="Arial" w:hAnsi="Arial" w:cs="Arial"/>
          <w:b/>
          <w:bCs/>
          <w:sz w:val="20"/>
          <w:szCs w:val="20"/>
          <w:lang w:val="es-CR"/>
        </w:rPr>
      </w:pPr>
      <w:bookmarkStart w:id="118" w:name="_Toc172726253"/>
      <w:r w:rsidRPr="00952BFE">
        <w:rPr>
          <w:rFonts w:ascii="Arial" w:eastAsia="Arial" w:hAnsi="Arial" w:cs="Arial"/>
          <w:b/>
          <w:bCs/>
          <w:sz w:val="20"/>
          <w:szCs w:val="20"/>
          <w:lang w:val="es-CR"/>
        </w:rPr>
        <w:t>Transacciones con contraprestación</w:t>
      </w:r>
      <w:bookmarkEnd w:id="118"/>
    </w:p>
    <w:p w14:paraId="2034A185" w14:textId="77777777" w:rsidR="003C398A" w:rsidRPr="003C398A" w:rsidRDefault="003C398A" w:rsidP="002A638A">
      <w:pPr>
        <w:pStyle w:val="Default"/>
        <w:spacing w:after="120" w:line="238" w:lineRule="auto"/>
        <w:ind w:right="260"/>
        <w:jc w:val="both"/>
        <w:rPr>
          <w:i/>
          <w:iCs/>
          <w:sz w:val="22"/>
          <w:szCs w:val="22"/>
          <w:lang w:val="es-CR"/>
        </w:rPr>
      </w:pPr>
    </w:p>
    <w:tbl>
      <w:tblPr>
        <w:tblW w:w="9384" w:type="dxa"/>
        <w:tblLook w:val="04A0" w:firstRow="1" w:lastRow="0" w:firstColumn="1" w:lastColumn="0" w:noHBand="0" w:noVBand="1"/>
      </w:tblPr>
      <w:tblGrid>
        <w:gridCol w:w="317"/>
        <w:gridCol w:w="524"/>
        <w:gridCol w:w="490"/>
        <w:gridCol w:w="14"/>
        <w:gridCol w:w="3653"/>
        <w:gridCol w:w="14"/>
        <w:gridCol w:w="2273"/>
        <w:gridCol w:w="14"/>
        <w:gridCol w:w="2062"/>
        <w:gridCol w:w="14"/>
        <w:gridCol w:w="9"/>
      </w:tblGrid>
      <w:tr w:rsidR="008F6B30" w:rsidRPr="00A451A6" w14:paraId="5D0268CE" w14:textId="77777777" w:rsidTr="008F6B30">
        <w:trPr>
          <w:trHeight w:val="300"/>
        </w:trPr>
        <w:tc>
          <w:tcPr>
            <w:tcW w:w="1345"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7E435F2B"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Norma / Política</w:t>
            </w:r>
          </w:p>
        </w:tc>
        <w:tc>
          <w:tcPr>
            <w:tcW w:w="3667"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9A6FD83"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Concepto</w:t>
            </w:r>
          </w:p>
        </w:tc>
        <w:tc>
          <w:tcPr>
            <w:tcW w:w="4372" w:type="dxa"/>
            <w:gridSpan w:val="5"/>
            <w:tcBorders>
              <w:top w:val="single" w:sz="8" w:space="0" w:color="auto"/>
              <w:left w:val="nil"/>
              <w:bottom w:val="single" w:sz="8" w:space="0" w:color="auto"/>
              <w:right w:val="single" w:sz="8" w:space="0" w:color="000000"/>
            </w:tcBorders>
            <w:shd w:val="clear" w:color="000000" w:fill="203764"/>
            <w:vAlign w:val="center"/>
            <w:hideMark/>
          </w:tcPr>
          <w:p w14:paraId="16588566"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Referencia</w:t>
            </w:r>
          </w:p>
        </w:tc>
      </w:tr>
      <w:tr w:rsidR="008F6B30" w:rsidRPr="006E5442" w14:paraId="5544BDEE" w14:textId="77777777" w:rsidTr="008F6B30">
        <w:trPr>
          <w:gridAfter w:val="1"/>
          <w:wAfter w:w="9" w:type="dxa"/>
          <w:trHeight w:val="850"/>
        </w:trPr>
        <w:tc>
          <w:tcPr>
            <w:tcW w:w="1345" w:type="dxa"/>
            <w:gridSpan w:val="4"/>
            <w:vMerge/>
            <w:tcBorders>
              <w:top w:val="single" w:sz="8" w:space="0" w:color="auto"/>
              <w:left w:val="single" w:sz="8" w:space="0" w:color="auto"/>
              <w:bottom w:val="nil"/>
              <w:right w:val="single" w:sz="8" w:space="0" w:color="000000"/>
            </w:tcBorders>
            <w:vAlign w:val="center"/>
            <w:hideMark/>
          </w:tcPr>
          <w:p w14:paraId="407B7D01" w14:textId="77777777" w:rsidR="00A451A6" w:rsidRPr="00A451A6" w:rsidRDefault="00A451A6" w:rsidP="00A451A6">
            <w:pPr>
              <w:rPr>
                <w:rFonts w:ascii="Arial Narrow" w:eastAsia="Times New Roman" w:hAnsi="Arial Narrow" w:cs="Calibri"/>
                <w:b/>
                <w:bCs/>
                <w:color w:val="FFFFFF"/>
                <w:sz w:val="22"/>
                <w:szCs w:val="22"/>
              </w:rPr>
            </w:pPr>
          </w:p>
        </w:tc>
        <w:tc>
          <w:tcPr>
            <w:tcW w:w="3667" w:type="dxa"/>
            <w:gridSpan w:val="2"/>
            <w:vMerge/>
            <w:tcBorders>
              <w:top w:val="single" w:sz="8" w:space="0" w:color="auto"/>
              <w:left w:val="single" w:sz="8" w:space="0" w:color="auto"/>
              <w:bottom w:val="nil"/>
              <w:right w:val="single" w:sz="8" w:space="0" w:color="auto"/>
            </w:tcBorders>
            <w:vAlign w:val="center"/>
            <w:hideMark/>
          </w:tcPr>
          <w:p w14:paraId="5C7764DB" w14:textId="77777777" w:rsidR="00A451A6" w:rsidRPr="00A451A6" w:rsidRDefault="00A451A6" w:rsidP="00A451A6">
            <w:pPr>
              <w:rPr>
                <w:rFonts w:ascii="Arial Narrow" w:eastAsia="Times New Roman" w:hAnsi="Arial Narrow" w:cs="Calibri"/>
                <w:b/>
                <w:bCs/>
                <w:color w:val="FFFFFF"/>
                <w:sz w:val="22"/>
                <w:szCs w:val="22"/>
              </w:rPr>
            </w:pPr>
          </w:p>
        </w:tc>
        <w:tc>
          <w:tcPr>
            <w:tcW w:w="2287" w:type="dxa"/>
            <w:gridSpan w:val="2"/>
            <w:tcBorders>
              <w:top w:val="nil"/>
              <w:left w:val="nil"/>
              <w:bottom w:val="nil"/>
              <w:right w:val="single" w:sz="8" w:space="0" w:color="auto"/>
            </w:tcBorders>
            <w:shd w:val="clear" w:color="000000" w:fill="203764"/>
            <w:vAlign w:val="center"/>
            <w:hideMark/>
          </w:tcPr>
          <w:p w14:paraId="6B650910" w14:textId="77777777" w:rsidR="00A451A6" w:rsidRPr="00A451A6" w:rsidRDefault="00A451A6" w:rsidP="00A451A6">
            <w:pPr>
              <w:jc w:val="center"/>
              <w:rPr>
                <w:rFonts w:ascii="Arial Narrow" w:eastAsia="Times New Roman" w:hAnsi="Arial Narrow" w:cs="Calibri"/>
                <w:b/>
                <w:bCs/>
                <w:color w:val="FFFFFF"/>
                <w:sz w:val="22"/>
                <w:szCs w:val="22"/>
              </w:rPr>
            </w:pPr>
            <w:r w:rsidRPr="00A451A6">
              <w:rPr>
                <w:rFonts w:ascii="Arial Narrow" w:eastAsia="Times New Roman" w:hAnsi="Arial Narrow" w:cs="Calibri"/>
                <w:b/>
                <w:bCs/>
                <w:color w:val="FFFFFF"/>
                <w:sz w:val="22"/>
                <w:szCs w:val="22"/>
              </w:rPr>
              <w:t>Norma</w:t>
            </w:r>
          </w:p>
        </w:tc>
        <w:tc>
          <w:tcPr>
            <w:tcW w:w="2076" w:type="dxa"/>
            <w:gridSpan w:val="2"/>
            <w:tcBorders>
              <w:top w:val="nil"/>
              <w:left w:val="nil"/>
              <w:bottom w:val="nil"/>
              <w:right w:val="single" w:sz="8" w:space="0" w:color="auto"/>
            </w:tcBorders>
            <w:shd w:val="clear" w:color="000000" w:fill="203764"/>
            <w:vAlign w:val="center"/>
            <w:hideMark/>
          </w:tcPr>
          <w:p w14:paraId="1E198D0C" w14:textId="77777777" w:rsidR="00A451A6" w:rsidRPr="00A451A6" w:rsidRDefault="00A451A6" w:rsidP="00A451A6">
            <w:pPr>
              <w:jc w:val="center"/>
              <w:rPr>
                <w:rFonts w:ascii="Arial Narrow" w:eastAsia="Times New Roman" w:hAnsi="Arial Narrow" w:cs="Calibri"/>
                <w:b/>
                <w:bCs/>
                <w:color w:val="FFFFFF"/>
                <w:sz w:val="22"/>
                <w:szCs w:val="22"/>
                <w:lang w:val="es-CR"/>
              </w:rPr>
            </w:pPr>
            <w:r w:rsidRPr="00A451A6">
              <w:rPr>
                <w:rFonts w:ascii="Arial Narrow" w:eastAsia="Times New Roman" w:hAnsi="Arial Narrow" w:cs="Calibri"/>
                <w:b/>
                <w:bCs/>
                <w:color w:val="FFFFFF"/>
                <w:sz w:val="22"/>
                <w:szCs w:val="22"/>
                <w:lang w:val="es-CR"/>
              </w:rPr>
              <w:t>Normativa técnica y disposiciones adicionales</w:t>
            </w:r>
          </w:p>
        </w:tc>
      </w:tr>
      <w:tr w:rsidR="008F6B30" w:rsidRPr="006E5442" w14:paraId="1D0DB9C6" w14:textId="77777777" w:rsidTr="008F6B30">
        <w:trPr>
          <w:gridAfter w:val="2"/>
          <w:wAfter w:w="23" w:type="dxa"/>
          <w:trHeight w:val="2250"/>
        </w:trPr>
        <w:tc>
          <w:tcPr>
            <w:tcW w:w="3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37329F" w14:textId="77777777" w:rsidR="00A451A6" w:rsidRPr="00A451A6" w:rsidRDefault="00A451A6" w:rsidP="00A451A6">
            <w:pPr>
              <w:jc w:val="center"/>
              <w:rPr>
                <w:rFonts w:ascii="Arial Narrow" w:eastAsia="Times New Roman" w:hAnsi="Arial Narrow" w:cs="Calibri"/>
                <w:b/>
                <w:bCs/>
                <w:color w:val="000000"/>
                <w:sz w:val="22"/>
                <w:szCs w:val="22"/>
              </w:rPr>
            </w:pPr>
            <w:r w:rsidRPr="00A451A6">
              <w:rPr>
                <w:rFonts w:ascii="Arial Narrow" w:eastAsia="Times New Roman" w:hAnsi="Arial Narrow" w:cs="Calibri"/>
                <w:b/>
                <w:bCs/>
                <w:color w:val="000000"/>
                <w:sz w:val="22"/>
                <w:szCs w:val="22"/>
              </w:rPr>
              <w:t>4</w:t>
            </w:r>
          </w:p>
        </w:tc>
        <w:tc>
          <w:tcPr>
            <w:tcW w:w="524" w:type="dxa"/>
            <w:tcBorders>
              <w:top w:val="single" w:sz="8" w:space="0" w:color="auto"/>
              <w:left w:val="nil"/>
              <w:bottom w:val="single" w:sz="8" w:space="0" w:color="auto"/>
              <w:right w:val="single" w:sz="8" w:space="0" w:color="auto"/>
            </w:tcBorders>
            <w:shd w:val="clear" w:color="auto" w:fill="auto"/>
            <w:noWrap/>
            <w:vAlign w:val="center"/>
            <w:hideMark/>
          </w:tcPr>
          <w:p w14:paraId="659DCB76" w14:textId="77777777" w:rsidR="00A451A6" w:rsidRPr="00A451A6" w:rsidRDefault="00A451A6" w:rsidP="00A451A6">
            <w:pPr>
              <w:jc w:val="center"/>
              <w:rPr>
                <w:rFonts w:ascii="Arial Narrow" w:eastAsia="Times New Roman" w:hAnsi="Arial Narrow" w:cs="Calibri"/>
                <w:b/>
                <w:bCs/>
                <w:color w:val="000000"/>
                <w:sz w:val="22"/>
                <w:szCs w:val="22"/>
              </w:rPr>
            </w:pPr>
            <w:r w:rsidRPr="00A451A6">
              <w:rPr>
                <w:rFonts w:ascii="Arial Narrow" w:eastAsia="Times New Roman" w:hAnsi="Arial Narrow" w:cs="Calibri"/>
                <w:b/>
                <w:bCs/>
                <w:color w:val="000000"/>
                <w:sz w:val="22"/>
                <w:szCs w:val="22"/>
              </w:rPr>
              <w:t>3</w:t>
            </w:r>
          </w:p>
        </w:tc>
        <w:tc>
          <w:tcPr>
            <w:tcW w:w="490" w:type="dxa"/>
            <w:tcBorders>
              <w:top w:val="single" w:sz="8" w:space="0" w:color="auto"/>
              <w:left w:val="nil"/>
              <w:bottom w:val="single" w:sz="8" w:space="0" w:color="auto"/>
              <w:right w:val="single" w:sz="8" w:space="0" w:color="auto"/>
            </w:tcBorders>
            <w:shd w:val="clear" w:color="auto" w:fill="auto"/>
            <w:vAlign w:val="center"/>
            <w:hideMark/>
          </w:tcPr>
          <w:p w14:paraId="71935591" w14:textId="55F7A3E7" w:rsidR="00A451A6" w:rsidRPr="00A451A6" w:rsidRDefault="00A451A6" w:rsidP="00A451A6">
            <w:pPr>
              <w:jc w:val="center"/>
              <w:rPr>
                <w:rFonts w:ascii="Arial Narrow" w:eastAsia="Times New Roman" w:hAnsi="Arial Narrow" w:cs="Calibri"/>
                <w:b/>
                <w:bCs/>
                <w:color w:val="000000"/>
                <w:sz w:val="22"/>
                <w:szCs w:val="22"/>
              </w:rPr>
            </w:pPr>
          </w:p>
        </w:tc>
        <w:tc>
          <w:tcPr>
            <w:tcW w:w="3667" w:type="dxa"/>
            <w:gridSpan w:val="2"/>
            <w:tcBorders>
              <w:top w:val="single" w:sz="8" w:space="0" w:color="auto"/>
              <w:left w:val="nil"/>
              <w:bottom w:val="single" w:sz="8" w:space="0" w:color="auto"/>
              <w:right w:val="single" w:sz="8" w:space="0" w:color="auto"/>
            </w:tcBorders>
            <w:shd w:val="clear" w:color="auto" w:fill="auto"/>
            <w:vAlign w:val="center"/>
            <w:hideMark/>
          </w:tcPr>
          <w:p w14:paraId="3C468480" w14:textId="77777777" w:rsidR="00A451A6" w:rsidRP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Transacciones y eventos con contraprestación que generan ingresos</w:t>
            </w:r>
          </w:p>
        </w:tc>
        <w:tc>
          <w:tcPr>
            <w:tcW w:w="2287" w:type="dxa"/>
            <w:gridSpan w:val="2"/>
            <w:tcBorders>
              <w:top w:val="single" w:sz="8" w:space="0" w:color="auto"/>
              <w:left w:val="nil"/>
              <w:bottom w:val="single" w:sz="8" w:space="0" w:color="auto"/>
              <w:right w:val="single" w:sz="8" w:space="0" w:color="auto"/>
            </w:tcBorders>
            <w:shd w:val="clear" w:color="auto" w:fill="auto"/>
            <w:vAlign w:val="center"/>
            <w:hideMark/>
          </w:tcPr>
          <w:p w14:paraId="75FB7238" w14:textId="77777777" w:rsid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 xml:space="preserve">NICSP N° 9, </w:t>
            </w:r>
          </w:p>
          <w:p w14:paraId="25FB5626" w14:textId="77777777" w:rsidR="008F6B30"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Párrafos 1, 5 y 10.</w:t>
            </w:r>
          </w:p>
          <w:p w14:paraId="0C240BE3" w14:textId="3624ACCC" w:rsidR="008F6B30"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NICSP N° 32,</w:t>
            </w:r>
          </w:p>
          <w:p w14:paraId="59B7A27E" w14:textId="77777777" w:rsidR="008F6B30"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 30.</w:t>
            </w:r>
          </w:p>
          <w:p w14:paraId="0C7D81FD" w14:textId="77777777" w:rsidR="008F6B30"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 xml:space="preserve">NICSP N° 11, </w:t>
            </w:r>
          </w:p>
          <w:p w14:paraId="34D0826F" w14:textId="77777777" w:rsidR="008F6B30"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 16.</w:t>
            </w:r>
          </w:p>
          <w:p w14:paraId="7E0CD96D" w14:textId="77777777" w:rsidR="008F6B30"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 xml:space="preserve">NICSP N° 13, </w:t>
            </w:r>
          </w:p>
          <w:p w14:paraId="2BAB6190" w14:textId="77777777" w:rsidR="008F6B30"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Párrafos 51, 63 y 71.</w:t>
            </w:r>
          </w:p>
          <w:p w14:paraId="34EC2F18" w14:textId="77777777" w:rsidR="008F6B30"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 xml:space="preserve">NICSP N° 17, </w:t>
            </w:r>
          </w:p>
          <w:p w14:paraId="785600D5" w14:textId="3ED60E37" w:rsidR="00A451A6" w:rsidRPr="00A451A6" w:rsidRDefault="00A451A6" w:rsidP="00A451A6">
            <w:pPr>
              <w:jc w:val="both"/>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Párrafo 83.</w:t>
            </w:r>
          </w:p>
        </w:tc>
        <w:tc>
          <w:tcPr>
            <w:tcW w:w="2076" w:type="dxa"/>
            <w:gridSpan w:val="2"/>
            <w:tcBorders>
              <w:top w:val="single" w:sz="8" w:space="0" w:color="auto"/>
              <w:left w:val="nil"/>
              <w:bottom w:val="single" w:sz="8" w:space="0" w:color="auto"/>
              <w:right w:val="single" w:sz="8" w:space="0" w:color="auto"/>
            </w:tcBorders>
            <w:shd w:val="clear" w:color="auto" w:fill="auto"/>
            <w:vAlign w:val="center"/>
            <w:hideMark/>
          </w:tcPr>
          <w:p w14:paraId="166ADF85" w14:textId="77777777" w:rsidR="00A451A6" w:rsidRPr="00A451A6" w:rsidRDefault="00A451A6" w:rsidP="00A451A6">
            <w:pPr>
              <w:rPr>
                <w:rFonts w:ascii="Arial Narrow" w:eastAsia="Times New Roman" w:hAnsi="Arial Narrow" w:cs="Calibri"/>
                <w:b/>
                <w:bCs/>
                <w:color w:val="000000"/>
                <w:sz w:val="22"/>
                <w:szCs w:val="22"/>
                <w:lang w:val="es-CR"/>
              </w:rPr>
            </w:pPr>
            <w:r w:rsidRPr="00A451A6">
              <w:rPr>
                <w:rFonts w:ascii="Arial Narrow" w:eastAsia="Times New Roman" w:hAnsi="Arial Narrow" w:cs="Calibri"/>
                <w:b/>
                <w:bCs/>
                <w:color w:val="000000"/>
                <w:sz w:val="22"/>
                <w:szCs w:val="22"/>
                <w:lang w:val="es-CR"/>
              </w:rPr>
              <w:t xml:space="preserve"> </w:t>
            </w:r>
          </w:p>
        </w:tc>
      </w:tr>
    </w:tbl>
    <w:p w14:paraId="0441E86C" w14:textId="77777777" w:rsidR="00A451A6" w:rsidRDefault="00A451A6" w:rsidP="008F6B30">
      <w:pPr>
        <w:pStyle w:val="Default"/>
        <w:rPr>
          <w:sz w:val="23"/>
          <w:szCs w:val="23"/>
          <w:lang w:val="es-CR"/>
        </w:rPr>
      </w:pPr>
    </w:p>
    <w:p w14:paraId="0DD0DCB8" w14:textId="40E241CD" w:rsidR="00354C26" w:rsidRPr="0030399E" w:rsidRDefault="00354C26" w:rsidP="008F6B30">
      <w:pPr>
        <w:pStyle w:val="Default"/>
        <w:rPr>
          <w:rFonts w:eastAsia="Arial"/>
          <w:b/>
          <w:sz w:val="22"/>
          <w:szCs w:val="22"/>
          <w:lang w:val="es-CR"/>
        </w:rPr>
      </w:pPr>
      <w:r w:rsidRPr="0030399E">
        <w:rPr>
          <w:rFonts w:eastAsia="Arial"/>
          <w:b/>
          <w:sz w:val="22"/>
          <w:szCs w:val="22"/>
          <w:lang w:val="es-CR"/>
        </w:rPr>
        <w:t>Política Contable</w:t>
      </w:r>
    </w:p>
    <w:p w14:paraId="5FF8574F" w14:textId="77777777" w:rsidR="00354C26" w:rsidRPr="008F6B30" w:rsidRDefault="00354C26" w:rsidP="008F6B30">
      <w:pPr>
        <w:pStyle w:val="Default"/>
        <w:rPr>
          <w:sz w:val="23"/>
          <w:szCs w:val="23"/>
          <w:lang w:val="es-CR"/>
        </w:rPr>
      </w:pPr>
    </w:p>
    <w:p w14:paraId="68979BB9" w14:textId="47D41C71" w:rsidR="008F6B30" w:rsidRPr="00547734" w:rsidRDefault="008F6B30" w:rsidP="008F6B30">
      <w:pPr>
        <w:pStyle w:val="Default"/>
        <w:ind w:left="1134" w:hanging="1134"/>
        <w:jc w:val="both"/>
        <w:rPr>
          <w:sz w:val="22"/>
          <w:szCs w:val="22"/>
          <w:lang w:val="es-CR"/>
        </w:rPr>
      </w:pPr>
      <w:r w:rsidRPr="00547734">
        <w:rPr>
          <w:sz w:val="22"/>
          <w:szCs w:val="22"/>
          <w:lang w:val="es-CR"/>
        </w:rPr>
        <w:t>4.3.0.01</w:t>
      </w:r>
      <w:r w:rsidRPr="00547734">
        <w:rPr>
          <w:sz w:val="22"/>
          <w:szCs w:val="22"/>
          <w:lang w:val="es-CR"/>
        </w:rPr>
        <w:tab/>
        <w:t xml:space="preserve">Transacciones con contraprestación, son aquéllas en las que la entidad recibe activos o servicios, o cancela obligaciones, y asigna directamente un valor aproximadamente igual (mayoritariamente en forma de productos, servicios o uso de activos) a la otra parte del </w:t>
      </w:r>
      <w:r w:rsidR="005907B3" w:rsidRPr="00547734">
        <w:rPr>
          <w:sz w:val="22"/>
          <w:szCs w:val="22"/>
          <w:lang w:val="es-CR"/>
        </w:rPr>
        <w:t>interca</w:t>
      </w:r>
      <w:r w:rsidR="005907B3">
        <w:rPr>
          <w:sz w:val="22"/>
          <w:szCs w:val="22"/>
          <w:lang w:val="es-CR"/>
        </w:rPr>
        <w:t>mbi</w:t>
      </w:r>
      <w:r w:rsidR="005907B3" w:rsidRPr="00547734">
        <w:rPr>
          <w:sz w:val="22"/>
          <w:szCs w:val="22"/>
          <w:lang w:val="es-CR"/>
        </w:rPr>
        <w:t>o</w:t>
      </w:r>
      <w:r w:rsidRPr="00547734">
        <w:rPr>
          <w:sz w:val="22"/>
          <w:szCs w:val="22"/>
          <w:lang w:val="es-CR"/>
        </w:rPr>
        <w:t>, entre las que se podrán incluir:</w:t>
      </w:r>
    </w:p>
    <w:p w14:paraId="21EC467B" w14:textId="64A9FE8F" w:rsidR="008F6B30" w:rsidRPr="00547734" w:rsidRDefault="008F6B30" w:rsidP="008F6B30">
      <w:pPr>
        <w:pStyle w:val="Default"/>
        <w:ind w:left="1134" w:hanging="1134"/>
        <w:jc w:val="both"/>
        <w:rPr>
          <w:sz w:val="22"/>
          <w:szCs w:val="22"/>
          <w:lang w:val="es-CR"/>
        </w:rPr>
      </w:pPr>
      <w:r w:rsidRPr="00547734">
        <w:rPr>
          <w:sz w:val="22"/>
          <w:szCs w:val="22"/>
          <w:lang w:val="es-CR"/>
        </w:rPr>
        <w:t xml:space="preserve"> </w:t>
      </w:r>
    </w:p>
    <w:p w14:paraId="00589569" w14:textId="48F18EB6" w:rsidR="008F6B30" w:rsidRPr="00547734" w:rsidRDefault="008F6B30">
      <w:pPr>
        <w:pStyle w:val="Default"/>
        <w:numPr>
          <w:ilvl w:val="0"/>
          <w:numId w:val="217"/>
        </w:numPr>
        <w:spacing w:after="120"/>
        <w:ind w:left="1418" w:hanging="284"/>
        <w:jc w:val="both"/>
        <w:rPr>
          <w:sz w:val="22"/>
          <w:szCs w:val="22"/>
          <w:lang w:val="es-CR"/>
        </w:rPr>
      </w:pPr>
      <w:r w:rsidRPr="00547734">
        <w:rPr>
          <w:sz w:val="22"/>
          <w:szCs w:val="22"/>
          <w:lang w:val="es-CR"/>
        </w:rPr>
        <w:t xml:space="preserve">La prestación de servicios; </w:t>
      </w:r>
    </w:p>
    <w:p w14:paraId="61687D83" w14:textId="1A5AC5E2" w:rsidR="008F6B30" w:rsidRPr="00547734" w:rsidRDefault="008F6B30">
      <w:pPr>
        <w:pStyle w:val="Default"/>
        <w:numPr>
          <w:ilvl w:val="0"/>
          <w:numId w:val="217"/>
        </w:numPr>
        <w:spacing w:after="120"/>
        <w:ind w:left="1418" w:hanging="284"/>
        <w:jc w:val="both"/>
        <w:rPr>
          <w:sz w:val="22"/>
          <w:szCs w:val="22"/>
          <w:lang w:val="es-CR"/>
        </w:rPr>
      </w:pPr>
      <w:r w:rsidRPr="00547734">
        <w:rPr>
          <w:sz w:val="22"/>
          <w:szCs w:val="22"/>
          <w:lang w:val="es-CR"/>
        </w:rPr>
        <w:t xml:space="preserve">La venta de bienes; </w:t>
      </w:r>
    </w:p>
    <w:p w14:paraId="00A3F66B" w14:textId="7AF5D534" w:rsidR="008F6B30" w:rsidRPr="00547734" w:rsidRDefault="008F6B30">
      <w:pPr>
        <w:pStyle w:val="Default"/>
        <w:numPr>
          <w:ilvl w:val="0"/>
          <w:numId w:val="217"/>
        </w:numPr>
        <w:spacing w:after="120"/>
        <w:ind w:left="1418" w:hanging="284"/>
        <w:jc w:val="both"/>
        <w:rPr>
          <w:sz w:val="22"/>
          <w:szCs w:val="22"/>
          <w:lang w:val="es-CR"/>
        </w:rPr>
      </w:pPr>
      <w:r w:rsidRPr="00547734">
        <w:rPr>
          <w:sz w:val="22"/>
          <w:szCs w:val="22"/>
          <w:lang w:val="es-CR"/>
        </w:rPr>
        <w:t xml:space="preserve">El uso, por parte de terceros de activos de la entidad que produzcan intereses, regalías y/o dividendos; </w:t>
      </w:r>
    </w:p>
    <w:p w14:paraId="3DCF3C91" w14:textId="77777777" w:rsidR="008F6B30" w:rsidRPr="00547734" w:rsidRDefault="008F6B30">
      <w:pPr>
        <w:pStyle w:val="Default"/>
        <w:numPr>
          <w:ilvl w:val="0"/>
          <w:numId w:val="217"/>
        </w:numPr>
        <w:spacing w:after="120"/>
        <w:ind w:left="1418" w:hanging="284"/>
        <w:jc w:val="both"/>
        <w:rPr>
          <w:sz w:val="22"/>
          <w:szCs w:val="22"/>
          <w:lang w:val="es-CR"/>
        </w:rPr>
      </w:pPr>
      <w:r w:rsidRPr="00547734">
        <w:rPr>
          <w:sz w:val="22"/>
          <w:szCs w:val="22"/>
          <w:lang w:val="es-CR"/>
        </w:rPr>
        <w:t>Ingresos provenientes de la concesión de servicios públicos;</w:t>
      </w:r>
    </w:p>
    <w:p w14:paraId="4E654A2C" w14:textId="61ACD0B3" w:rsidR="008F6B30" w:rsidRPr="00547734" w:rsidRDefault="008F6B30">
      <w:pPr>
        <w:pStyle w:val="Default"/>
        <w:numPr>
          <w:ilvl w:val="0"/>
          <w:numId w:val="217"/>
        </w:numPr>
        <w:spacing w:after="120"/>
        <w:ind w:left="1418" w:hanging="284"/>
        <w:jc w:val="both"/>
        <w:rPr>
          <w:sz w:val="22"/>
          <w:szCs w:val="22"/>
          <w:lang w:val="es-CR"/>
        </w:rPr>
      </w:pPr>
      <w:r w:rsidRPr="00547734">
        <w:rPr>
          <w:sz w:val="22"/>
          <w:szCs w:val="22"/>
          <w:lang w:val="es-CR"/>
        </w:rPr>
        <w:t xml:space="preserve">Además, para el presente PGCN: i. los ingresos provenientes de contratos de construcción; </w:t>
      </w:r>
    </w:p>
    <w:p w14:paraId="1EDB48EC" w14:textId="318A392E" w:rsidR="008F6B30" w:rsidRPr="00547734" w:rsidRDefault="008F6B30">
      <w:pPr>
        <w:pStyle w:val="Default"/>
        <w:numPr>
          <w:ilvl w:val="1"/>
          <w:numId w:val="218"/>
        </w:numPr>
        <w:spacing w:after="20"/>
        <w:ind w:left="1701" w:hanging="218"/>
        <w:jc w:val="both"/>
        <w:rPr>
          <w:sz w:val="22"/>
          <w:szCs w:val="22"/>
          <w:lang w:val="es-CR"/>
        </w:rPr>
      </w:pPr>
      <w:r w:rsidRPr="00547734">
        <w:rPr>
          <w:sz w:val="22"/>
          <w:szCs w:val="22"/>
          <w:lang w:val="es-CR"/>
        </w:rPr>
        <w:t xml:space="preserve">Los ingresos por arrendamientos operativos (NICSP N° 13); </w:t>
      </w:r>
    </w:p>
    <w:p w14:paraId="5D895A1A" w14:textId="2F53E6F4" w:rsidR="008F6B30" w:rsidRPr="00547734" w:rsidRDefault="008F6B30">
      <w:pPr>
        <w:pStyle w:val="Default"/>
        <w:numPr>
          <w:ilvl w:val="1"/>
          <w:numId w:val="218"/>
        </w:numPr>
        <w:spacing w:after="20"/>
        <w:ind w:left="1701" w:hanging="218"/>
        <w:jc w:val="both"/>
        <w:rPr>
          <w:sz w:val="22"/>
          <w:szCs w:val="22"/>
          <w:lang w:val="es-CR"/>
        </w:rPr>
      </w:pPr>
      <w:r w:rsidRPr="00547734">
        <w:rPr>
          <w:sz w:val="22"/>
          <w:szCs w:val="22"/>
          <w:lang w:val="es-CR"/>
        </w:rPr>
        <w:t>Los ingresos provenientes de un contrato;</w:t>
      </w:r>
      <w:r w:rsidR="005907B3">
        <w:rPr>
          <w:sz w:val="22"/>
          <w:szCs w:val="22"/>
          <w:lang w:val="es-CR"/>
        </w:rPr>
        <w:t xml:space="preserve"> </w:t>
      </w:r>
      <w:r w:rsidRPr="00547734">
        <w:rPr>
          <w:sz w:val="22"/>
          <w:szCs w:val="22"/>
          <w:lang w:val="es-CR"/>
        </w:rPr>
        <w:t xml:space="preserve">y </w:t>
      </w:r>
    </w:p>
    <w:p w14:paraId="79528583" w14:textId="1C8A1020" w:rsidR="008F6B30" w:rsidRPr="00547734" w:rsidRDefault="008F6B30">
      <w:pPr>
        <w:pStyle w:val="Default"/>
        <w:numPr>
          <w:ilvl w:val="1"/>
          <w:numId w:val="218"/>
        </w:numPr>
        <w:ind w:left="1701" w:hanging="218"/>
        <w:jc w:val="both"/>
        <w:rPr>
          <w:sz w:val="22"/>
          <w:szCs w:val="22"/>
          <w:lang w:val="es-CR"/>
        </w:rPr>
      </w:pPr>
      <w:r w:rsidRPr="00547734">
        <w:rPr>
          <w:sz w:val="22"/>
          <w:szCs w:val="22"/>
          <w:lang w:val="es-CR"/>
        </w:rPr>
        <w:t xml:space="preserve">Activos financieros (NICSP N° 29). </w:t>
      </w:r>
    </w:p>
    <w:p w14:paraId="6DD8EC45" w14:textId="77777777" w:rsidR="008F6B30" w:rsidRPr="00547734" w:rsidRDefault="008F6B30">
      <w:pPr>
        <w:pStyle w:val="Default"/>
        <w:numPr>
          <w:ilvl w:val="1"/>
          <w:numId w:val="216"/>
        </w:numPr>
        <w:jc w:val="both"/>
        <w:rPr>
          <w:sz w:val="22"/>
          <w:szCs w:val="22"/>
          <w:lang w:val="es-CR"/>
        </w:rPr>
      </w:pPr>
    </w:p>
    <w:p w14:paraId="35ED12AC" w14:textId="290A7E35" w:rsidR="008F6B30" w:rsidRPr="00547734" w:rsidRDefault="008F6B30">
      <w:pPr>
        <w:pStyle w:val="Default"/>
        <w:numPr>
          <w:ilvl w:val="0"/>
          <w:numId w:val="217"/>
        </w:numPr>
        <w:spacing w:after="120"/>
        <w:ind w:left="1418" w:hanging="284"/>
        <w:jc w:val="both"/>
        <w:rPr>
          <w:sz w:val="22"/>
          <w:szCs w:val="22"/>
          <w:lang w:val="es-CR"/>
        </w:rPr>
      </w:pPr>
      <w:r w:rsidRPr="00547734">
        <w:rPr>
          <w:sz w:val="22"/>
          <w:szCs w:val="22"/>
          <w:lang w:val="es-CR"/>
        </w:rPr>
        <w:t xml:space="preserve">Los ingresos producto de los </w:t>
      </w:r>
      <w:r w:rsidR="005907B3" w:rsidRPr="00547734">
        <w:rPr>
          <w:sz w:val="22"/>
          <w:szCs w:val="22"/>
          <w:lang w:val="es-CR"/>
        </w:rPr>
        <w:t>ca</w:t>
      </w:r>
      <w:r w:rsidR="005907B3">
        <w:rPr>
          <w:sz w:val="22"/>
          <w:szCs w:val="22"/>
          <w:lang w:val="es-CR"/>
        </w:rPr>
        <w:t>mbi</w:t>
      </w:r>
      <w:r w:rsidR="005907B3" w:rsidRPr="00547734">
        <w:rPr>
          <w:sz w:val="22"/>
          <w:szCs w:val="22"/>
          <w:lang w:val="es-CR"/>
        </w:rPr>
        <w:t>os</w:t>
      </w:r>
      <w:r w:rsidRPr="00547734">
        <w:rPr>
          <w:sz w:val="22"/>
          <w:szCs w:val="22"/>
          <w:lang w:val="es-CR"/>
        </w:rPr>
        <w:t xml:space="preserve"> en el valor razonable. </w:t>
      </w:r>
    </w:p>
    <w:p w14:paraId="1059DCA8" w14:textId="77777777" w:rsidR="003C398A" w:rsidRDefault="003C398A" w:rsidP="003C398A">
      <w:pPr>
        <w:pStyle w:val="Default"/>
        <w:spacing w:after="120"/>
        <w:jc w:val="both"/>
        <w:rPr>
          <w:sz w:val="22"/>
          <w:szCs w:val="22"/>
          <w:lang w:val="es-CR"/>
        </w:rPr>
      </w:pPr>
    </w:p>
    <w:p w14:paraId="44B5464E" w14:textId="77777777" w:rsidR="00354C26" w:rsidRDefault="00354C26" w:rsidP="003C398A">
      <w:pPr>
        <w:pStyle w:val="Default"/>
        <w:spacing w:after="120"/>
        <w:jc w:val="both"/>
        <w:rPr>
          <w:sz w:val="22"/>
          <w:szCs w:val="22"/>
          <w:lang w:val="es-CR"/>
        </w:rPr>
      </w:pPr>
    </w:p>
    <w:p w14:paraId="75E3E57D" w14:textId="77777777" w:rsidR="00354C26" w:rsidRDefault="00354C26" w:rsidP="003C398A">
      <w:pPr>
        <w:pStyle w:val="Default"/>
        <w:spacing w:after="120"/>
        <w:jc w:val="both"/>
        <w:rPr>
          <w:sz w:val="22"/>
          <w:szCs w:val="22"/>
          <w:lang w:val="es-CR"/>
        </w:rPr>
      </w:pPr>
    </w:p>
    <w:p w14:paraId="6D0138CF" w14:textId="77777777" w:rsidR="00354C26" w:rsidRDefault="00354C26" w:rsidP="003C398A">
      <w:pPr>
        <w:pStyle w:val="Default"/>
        <w:spacing w:after="120"/>
        <w:jc w:val="both"/>
        <w:rPr>
          <w:sz w:val="22"/>
          <w:szCs w:val="22"/>
          <w:lang w:val="es-CR"/>
        </w:rPr>
      </w:pPr>
    </w:p>
    <w:p w14:paraId="6A24DD00" w14:textId="5452F7BB" w:rsidR="003C398A" w:rsidRPr="00952BFE" w:rsidRDefault="003C398A" w:rsidP="00952BFE">
      <w:pPr>
        <w:pStyle w:val="Ttulo2"/>
        <w:ind w:left="284"/>
        <w:rPr>
          <w:rFonts w:ascii="Arial" w:eastAsia="Arial" w:hAnsi="Arial" w:cs="Arial"/>
          <w:b/>
          <w:bCs/>
          <w:sz w:val="20"/>
          <w:szCs w:val="20"/>
          <w:lang w:val="es-CR"/>
        </w:rPr>
      </w:pPr>
      <w:bookmarkStart w:id="119" w:name="_Toc172726254"/>
      <w:r w:rsidRPr="00952BFE">
        <w:rPr>
          <w:rFonts w:ascii="Arial" w:eastAsia="Arial" w:hAnsi="Arial" w:cs="Arial"/>
          <w:b/>
          <w:bCs/>
          <w:sz w:val="20"/>
          <w:szCs w:val="20"/>
          <w:lang w:val="es-CR"/>
        </w:rPr>
        <w:lastRenderedPageBreak/>
        <w:t>Transacciones sin contraprestación</w:t>
      </w:r>
      <w:bookmarkEnd w:id="119"/>
    </w:p>
    <w:p w14:paraId="55D1A7F3" w14:textId="77777777" w:rsidR="003C398A" w:rsidRDefault="003C398A" w:rsidP="003C398A">
      <w:pPr>
        <w:pStyle w:val="Default"/>
        <w:spacing w:after="120"/>
        <w:jc w:val="both"/>
        <w:rPr>
          <w:sz w:val="22"/>
          <w:szCs w:val="22"/>
          <w:lang w:val="es-CR"/>
        </w:rPr>
      </w:pPr>
    </w:p>
    <w:tbl>
      <w:tblPr>
        <w:tblW w:w="9476" w:type="dxa"/>
        <w:tblLayout w:type="fixed"/>
        <w:tblLook w:val="04A0" w:firstRow="1" w:lastRow="0" w:firstColumn="1" w:lastColumn="0" w:noHBand="0" w:noVBand="1"/>
      </w:tblPr>
      <w:tblGrid>
        <w:gridCol w:w="557"/>
        <w:gridCol w:w="426"/>
        <w:gridCol w:w="465"/>
        <w:gridCol w:w="13"/>
        <w:gridCol w:w="3674"/>
        <w:gridCol w:w="13"/>
        <w:gridCol w:w="2233"/>
        <w:gridCol w:w="13"/>
        <w:gridCol w:w="2069"/>
        <w:gridCol w:w="13"/>
      </w:tblGrid>
      <w:tr w:rsidR="008F6B30" w:rsidRPr="008F6B30" w14:paraId="6353E8F0" w14:textId="77777777" w:rsidTr="008F6B30">
        <w:trPr>
          <w:trHeight w:val="300"/>
        </w:trPr>
        <w:tc>
          <w:tcPr>
            <w:tcW w:w="1461"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B617654" w14:textId="77777777" w:rsidR="008F6B30" w:rsidRPr="008F6B30" w:rsidRDefault="008F6B30" w:rsidP="008F6B30">
            <w:pPr>
              <w:jc w:val="center"/>
              <w:rPr>
                <w:rFonts w:ascii="Arial Narrow" w:eastAsia="Times New Roman" w:hAnsi="Arial Narrow" w:cs="Calibri"/>
                <w:b/>
                <w:bCs/>
                <w:color w:val="FFFFFF"/>
                <w:sz w:val="22"/>
                <w:szCs w:val="22"/>
              </w:rPr>
            </w:pPr>
            <w:r w:rsidRPr="008F6B30">
              <w:rPr>
                <w:rFonts w:ascii="Arial Narrow" w:eastAsia="Times New Roman" w:hAnsi="Arial Narrow" w:cs="Calibri"/>
                <w:b/>
                <w:bCs/>
                <w:color w:val="FFFFFF"/>
                <w:sz w:val="22"/>
                <w:szCs w:val="22"/>
              </w:rPr>
              <w:t>Norma / Política</w:t>
            </w:r>
          </w:p>
        </w:tc>
        <w:tc>
          <w:tcPr>
            <w:tcW w:w="3687"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5053E2D" w14:textId="77777777" w:rsidR="008F6B30" w:rsidRPr="008F6B30" w:rsidRDefault="008F6B30" w:rsidP="008F6B30">
            <w:pPr>
              <w:jc w:val="center"/>
              <w:rPr>
                <w:rFonts w:ascii="Arial Narrow" w:eastAsia="Times New Roman" w:hAnsi="Arial Narrow" w:cs="Calibri"/>
                <w:b/>
                <w:bCs/>
                <w:color w:val="FFFFFF"/>
                <w:sz w:val="22"/>
                <w:szCs w:val="22"/>
              </w:rPr>
            </w:pPr>
            <w:r w:rsidRPr="008F6B30">
              <w:rPr>
                <w:rFonts w:ascii="Arial Narrow" w:eastAsia="Times New Roman" w:hAnsi="Arial Narrow" w:cs="Calibri"/>
                <w:b/>
                <w:bCs/>
                <w:color w:val="FFFFFF"/>
                <w:sz w:val="22"/>
                <w:szCs w:val="22"/>
              </w:rPr>
              <w:t>Concepto</w:t>
            </w:r>
          </w:p>
        </w:tc>
        <w:tc>
          <w:tcPr>
            <w:tcW w:w="4328" w:type="dxa"/>
            <w:gridSpan w:val="4"/>
            <w:tcBorders>
              <w:top w:val="single" w:sz="8" w:space="0" w:color="auto"/>
              <w:left w:val="nil"/>
              <w:bottom w:val="single" w:sz="8" w:space="0" w:color="auto"/>
              <w:right w:val="single" w:sz="8" w:space="0" w:color="000000"/>
            </w:tcBorders>
            <w:shd w:val="clear" w:color="000000" w:fill="203764"/>
            <w:vAlign w:val="center"/>
            <w:hideMark/>
          </w:tcPr>
          <w:p w14:paraId="352EE6AA" w14:textId="77777777" w:rsidR="008F6B30" w:rsidRPr="008F6B30" w:rsidRDefault="008F6B30" w:rsidP="008F6B30">
            <w:pPr>
              <w:jc w:val="center"/>
              <w:rPr>
                <w:rFonts w:ascii="Arial Narrow" w:eastAsia="Times New Roman" w:hAnsi="Arial Narrow" w:cs="Calibri"/>
                <w:b/>
                <w:bCs/>
                <w:color w:val="FFFFFF"/>
                <w:sz w:val="22"/>
                <w:szCs w:val="22"/>
              </w:rPr>
            </w:pPr>
            <w:r w:rsidRPr="008F6B30">
              <w:rPr>
                <w:rFonts w:ascii="Arial Narrow" w:eastAsia="Times New Roman" w:hAnsi="Arial Narrow" w:cs="Calibri"/>
                <w:b/>
                <w:bCs/>
                <w:color w:val="FFFFFF"/>
                <w:sz w:val="22"/>
                <w:szCs w:val="22"/>
              </w:rPr>
              <w:t>Referencia</w:t>
            </w:r>
          </w:p>
        </w:tc>
      </w:tr>
      <w:tr w:rsidR="008F6B30" w:rsidRPr="006E5442" w14:paraId="51D3C87B" w14:textId="77777777" w:rsidTr="008F6B30">
        <w:trPr>
          <w:trHeight w:val="850"/>
        </w:trPr>
        <w:tc>
          <w:tcPr>
            <w:tcW w:w="1461" w:type="dxa"/>
            <w:gridSpan w:val="4"/>
            <w:vMerge/>
            <w:tcBorders>
              <w:top w:val="single" w:sz="8" w:space="0" w:color="auto"/>
              <w:left w:val="single" w:sz="8" w:space="0" w:color="auto"/>
              <w:bottom w:val="nil"/>
              <w:right w:val="single" w:sz="8" w:space="0" w:color="000000"/>
            </w:tcBorders>
            <w:vAlign w:val="center"/>
            <w:hideMark/>
          </w:tcPr>
          <w:p w14:paraId="251C2F95" w14:textId="77777777" w:rsidR="008F6B30" w:rsidRPr="008F6B30" w:rsidRDefault="008F6B30" w:rsidP="008F6B30">
            <w:pPr>
              <w:rPr>
                <w:rFonts w:ascii="Arial Narrow" w:eastAsia="Times New Roman" w:hAnsi="Arial Narrow" w:cs="Calibri"/>
                <w:b/>
                <w:bCs/>
                <w:color w:val="FFFFFF"/>
                <w:sz w:val="22"/>
                <w:szCs w:val="22"/>
              </w:rPr>
            </w:pPr>
          </w:p>
        </w:tc>
        <w:tc>
          <w:tcPr>
            <w:tcW w:w="3687" w:type="dxa"/>
            <w:gridSpan w:val="2"/>
            <w:vMerge/>
            <w:tcBorders>
              <w:top w:val="single" w:sz="8" w:space="0" w:color="auto"/>
              <w:left w:val="single" w:sz="8" w:space="0" w:color="auto"/>
              <w:bottom w:val="nil"/>
              <w:right w:val="single" w:sz="8" w:space="0" w:color="auto"/>
            </w:tcBorders>
            <w:vAlign w:val="center"/>
            <w:hideMark/>
          </w:tcPr>
          <w:p w14:paraId="455A2C4A" w14:textId="77777777" w:rsidR="008F6B30" w:rsidRPr="008F6B30" w:rsidRDefault="008F6B30" w:rsidP="008F6B30">
            <w:pPr>
              <w:rPr>
                <w:rFonts w:ascii="Arial Narrow" w:eastAsia="Times New Roman" w:hAnsi="Arial Narrow" w:cs="Calibri"/>
                <w:b/>
                <w:bCs/>
                <w:color w:val="FFFFFF"/>
                <w:sz w:val="22"/>
                <w:szCs w:val="22"/>
              </w:rPr>
            </w:pPr>
          </w:p>
        </w:tc>
        <w:tc>
          <w:tcPr>
            <w:tcW w:w="2246" w:type="dxa"/>
            <w:gridSpan w:val="2"/>
            <w:tcBorders>
              <w:top w:val="nil"/>
              <w:left w:val="nil"/>
              <w:bottom w:val="nil"/>
              <w:right w:val="single" w:sz="8" w:space="0" w:color="auto"/>
            </w:tcBorders>
            <w:shd w:val="clear" w:color="000000" w:fill="203764"/>
            <w:vAlign w:val="center"/>
            <w:hideMark/>
          </w:tcPr>
          <w:p w14:paraId="2F61DF76" w14:textId="77777777" w:rsidR="008F6B30" w:rsidRPr="008F6B30" w:rsidRDefault="008F6B30" w:rsidP="008F6B30">
            <w:pPr>
              <w:jc w:val="center"/>
              <w:rPr>
                <w:rFonts w:ascii="Arial Narrow" w:eastAsia="Times New Roman" w:hAnsi="Arial Narrow" w:cs="Calibri"/>
                <w:b/>
                <w:bCs/>
                <w:color w:val="FFFFFF"/>
                <w:sz w:val="22"/>
                <w:szCs w:val="22"/>
              </w:rPr>
            </w:pPr>
            <w:r w:rsidRPr="008F6B30">
              <w:rPr>
                <w:rFonts w:ascii="Arial Narrow" w:eastAsia="Times New Roman" w:hAnsi="Arial Narrow" w:cs="Calibri"/>
                <w:b/>
                <w:bCs/>
                <w:color w:val="FFFFFF"/>
                <w:sz w:val="22"/>
                <w:szCs w:val="22"/>
              </w:rPr>
              <w:t>Norma</w:t>
            </w:r>
          </w:p>
        </w:tc>
        <w:tc>
          <w:tcPr>
            <w:tcW w:w="2082" w:type="dxa"/>
            <w:gridSpan w:val="2"/>
            <w:tcBorders>
              <w:top w:val="nil"/>
              <w:left w:val="nil"/>
              <w:bottom w:val="nil"/>
              <w:right w:val="single" w:sz="8" w:space="0" w:color="auto"/>
            </w:tcBorders>
            <w:shd w:val="clear" w:color="000000" w:fill="203764"/>
            <w:vAlign w:val="center"/>
            <w:hideMark/>
          </w:tcPr>
          <w:p w14:paraId="58C67DC5" w14:textId="77777777" w:rsidR="008F6B30" w:rsidRPr="008F6B30" w:rsidRDefault="008F6B30" w:rsidP="008F6B30">
            <w:pPr>
              <w:jc w:val="center"/>
              <w:rPr>
                <w:rFonts w:ascii="Arial Narrow" w:eastAsia="Times New Roman" w:hAnsi="Arial Narrow" w:cs="Calibri"/>
                <w:b/>
                <w:bCs/>
                <w:color w:val="FFFFFF"/>
                <w:sz w:val="22"/>
                <w:szCs w:val="22"/>
                <w:lang w:val="es-CR"/>
              </w:rPr>
            </w:pPr>
            <w:r w:rsidRPr="008F6B30">
              <w:rPr>
                <w:rFonts w:ascii="Arial Narrow" w:eastAsia="Times New Roman" w:hAnsi="Arial Narrow" w:cs="Calibri"/>
                <w:b/>
                <w:bCs/>
                <w:color w:val="FFFFFF"/>
                <w:sz w:val="22"/>
                <w:szCs w:val="22"/>
                <w:lang w:val="es-CR"/>
              </w:rPr>
              <w:t>Normativa técnica y disposiciones adicionales</w:t>
            </w:r>
          </w:p>
        </w:tc>
      </w:tr>
      <w:tr w:rsidR="008F6B30" w:rsidRPr="008F6B30" w14:paraId="03CA1CF5" w14:textId="77777777" w:rsidTr="008F6B30">
        <w:trPr>
          <w:gridAfter w:val="1"/>
          <w:wAfter w:w="13" w:type="dxa"/>
          <w:trHeight w:val="85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BEEF53" w14:textId="77777777" w:rsidR="008F6B30" w:rsidRPr="008F6B30" w:rsidRDefault="008F6B30" w:rsidP="008F6B30">
            <w:pPr>
              <w:jc w:val="center"/>
              <w:rPr>
                <w:rFonts w:ascii="Arial Narrow" w:eastAsia="Times New Roman" w:hAnsi="Arial Narrow" w:cs="Calibri"/>
                <w:b/>
                <w:bCs/>
                <w:color w:val="000000"/>
                <w:sz w:val="22"/>
                <w:szCs w:val="22"/>
              </w:rPr>
            </w:pPr>
            <w:r w:rsidRPr="008F6B30">
              <w:rPr>
                <w:rFonts w:ascii="Arial Narrow" w:eastAsia="Times New Roman" w:hAnsi="Arial Narrow" w:cs="Calibri"/>
                <w:b/>
                <w:bCs/>
                <w:color w:val="000000"/>
                <w:sz w:val="22"/>
                <w:szCs w:val="22"/>
              </w:rPr>
              <w:t>4</w:t>
            </w:r>
          </w:p>
        </w:tc>
        <w:tc>
          <w:tcPr>
            <w:tcW w:w="426" w:type="dxa"/>
            <w:tcBorders>
              <w:top w:val="single" w:sz="8" w:space="0" w:color="auto"/>
              <w:left w:val="nil"/>
              <w:bottom w:val="single" w:sz="8" w:space="0" w:color="auto"/>
              <w:right w:val="single" w:sz="8" w:space="0" w:color="auto"/>
            </w:tcBorders>
            <w:shd w:val="clear" w:color="auto" w:fill="auto"/>
            <w:noWrap/>
            <w:vAlign w:val="center"/>
            <w:hideMark/>
          </w:tcPr>
          <w:p w14:paraId="6BF0186B" w14:textId="77777777" w:rsidR="008F6B30" w:rsidRPr="008F6B30" w:rsidRDefault="008F6B30" w:rsidP="008F6B30">
            <w:pPr>
              <w:jc w:val="center"/>
              <w:rPr>
                <w:rFonts w:ascii="Arial Narrow" w:eastAsia="Times New Roman" w:hAnsi="Arial Narrow" w:cs="Calibri"/>
                <w:b/>
                <w:bCs/>
                <w:color w:val="000000"/>
                <w:sz w:val="22"/>
                <w:szCs w:val="22"/>
              </w:rPr>
            </w:pPr>
            <w:r w:rsidRPr="008F6B30">
              <w:rPr>
                <w:rFonts w:ascii="Arial Narrow" w:eastAsia="Times New Roman" w:hAnsi="Arial Narrow" w:cs="Calibri"/>
                <w:b/>
                <w:bCs/>
                <w:color w:val="000000"/>
                <w:sz w:val="22"/>
                <w:szCs w:val="22"/>
              </w:rPr>
              <w:t>4</w:t>
            </w:r>
          </w:p>
        </w:tc>
        <w:tc>
          <w:tcPr>
            <w:tcW w:w="465" w:type="dxa"/>
            <w:tcBorders>
              <w:top w:val="single" w:sz="8" w:space="0" w:color="auto"/>
              <w:left w:val="nil"/>
              <w:bottom w:val="single" w:sz="8" w:space="0" w:color="auto"/>
              <w:right w:val="single" w:sz="8" w:space="0" w:color="auto"/>
            </w:tcBorders>
            <w:shd w:val="clear" w:color="auto" w:fill="auto"/>
            <w:vAlign w:val="center"/>
            <w:hideMark/>
          </w:tcPr>
          <w:p w14:paraId="74E5B5D5" w14:textId="4EC90873" w:rsidR="008F6B30" w:rsidRPr="008F6B30" w:rsidRDefault="008F6B30" w:rsidP="008F6B30">
            <w:pPr>
              <w:jc w:val="center"/>
              <w:rPr>
                <w:rFonts w:ascii="Arial Narrow" w:eastAsia="Times New Roman" w:hAnsi="Arial Narrow" w:cs="Calibri"/>
                <w:b/>
                <w:bCs/>
                <w:color w:val="000000"/>
                <w:sz w:val="22"/>
                <w:szCs w:val="22"/>
              </w:rPr>
            </w:pPr>
          </w:p>
        </w:tc>
        <w:tc>
          <w:tcPr>
            <w:tcW w:w="3687" w:type="dxa"/>
            <w:gridSpan w:val="2"/>
            <w:tcBorders>
              <w:top w:val="single" w:sz="8" w:space="0" w:color="auto"/>
              <w:left w:val="nil"/>
              <w:bottom w:val="single" w:sz="8" w:space="0" w:color="auto"/>
              <w:right w:val="single" w:sz="8" w:space="0" w:color="auto"/>
            </w:tcBorders>
            <w:shd w:val="clear" w:color="auto" w:fill="auto"/>
            <w:vAlign w:val="center"/>
            <w:hideMark/>
          </w:tcPr>
          <w:p w14:paraId="2B7D9B0D" w14:textId="77777777" w:rsidR="008F6B30" w:rsidRPr="008F6B30" w:rsidRDefault="008F6B30" w:rsidP="008F6B30">
            <w:pPr>
              <w:jc w:val="both"/>
              <w:rPr>
                <w:rFonts w:ascii="Arial Narrow" w:eastAsia="Times New Roman" w:hAnsi="Arial Narrow" w:cs="Calibri"/>
                <w:b/>
                <w:bCs/>
                <w:color w:val="000000"/>
                <w:sz w:val="22"/>
                <w:szCs w:val="22"/>
                <w:lang w:val="es-CR"/>
              </w:rPr>
            </w:pPr>
            <w:r w:rsidRPr="008F6B30">
              <w:rPr>
                <w:rFonts w:ascii="Arial Narrow" w:eastAsia="Times New Roman" w:hAnsi="Arial Narrow" w:cs="Calibri"/>
                <w:b/>
                <w:bCs/>
                <w:color w:val="000000"/>
                <w:sz w:val="22"/>
                <w:szCs w:val="22"/>
                <w:lang w:val="es-CR"/>
              </w:rPr>
              <w:t>Transacciones y eventos sin contraprestación</w:t>
            </w:r>
          </w:p>
        </w:tc>
        <w:tc>
          <w:tcPr>
            <w:tcW w:w="2246" w:type="dxa"/>
            <w:gridSpan w:val="2"/>
            <w:tcBorders>
              <w:top w:val="single" w:sz="8" w:space="0" w:color="auto"/>
              <w:left w:val="nil"/>
              <w:bottom w:val="single" w:sz="8" w:space="0" w:color="auto"/>
              <w:right w:val="single" w:sz="8" w:space="0" w:color="auto"/>
            </w:tcBorders>
            <w:shd w:val="clear" w:color="auto" w:fill="auto"/>
            <w:vAlign w:val="center"/>
            <w:hideMark/>
          </w:tcPr>
          <w:p w14:paraId="1DE8F808" w14:textId="77777777" w:rsidR="00952BFE" w:rsidRDefault="008F6B30" w:rsidP="008F6B30">
            <w:pPr>
              <w:jc w:val="both"/>
              <w:rPr>
                <w:rFonts w:ascii="Arial Narrow" w:eastAsia="Times New Roman" w:hAnsi="Arial Narrow" w:cs="Calibri"/>
                <w:b/>
                <w:bCs/>
                <w:color w:val="000000"/>
                <w:sz w:val="22"/>
                <w:szCs w:val="22"/>
                <w:lang w:val="es-CR"/>
              </w:rPr>
            </w:pPr>
            <w:r w:rsidRPr="008F6B30">
              <w:rPr>
                <w:rFonts w:ascii="Arial Narrow" w:eastAsia="Times New Roman" w:hAnsi="Arial Narrow" w:cs="Calibri"/>
                <w:b/>
                <w:bCs/>
                <w:color w:val="000000"/>
                <w:sz w:val="22"/>
                <w:szCs w:val="22"/>
                <w:lang w:val="es-CR"/>
              </w:rPr>
              <w:t xml:space="preserve">NICSP N° 9, </w:t>
            </w:r>
          </w:p>
          <w:p w14:paraId="4DD1E9DD" w14:textId="77777777" w:rsidR="00952BFE" w:rsidRDefault="008F6B30" w:rsidP="008F6B30">
            <w:pPr>
              <w:jc w:val="both"/>
              <w:rPr>
                <w:rFonts w:ascii="Arial Narrow" w:eastAsia="Times New Roman" w:hAnsi="Arial Narrow" w:cs="Calibri"/>
                <w:b/>
                <w:bCs/>
                <w:color w:val="000000"/>
                <w:sz w:val="22"/>
                <w:szCs w:val="22"/>
                <w:lang w:val="es-CR"/>
              </w:rPr>
            </w:pPr>
            <w:r w:rsidRPr="008F6B30">
              <w:rPr>
                <w:rFonts w:ascii="Arial Narrow" w:eastAsia="Times New Roman" w:hAnsi="Arial Narrow" w:cs="Calibri"/>
                <w:b/>
                <w:bCs/>
                <w:color w:val="000000"/>
                <w:sz w:val="22"/>
                <w:szCs w:val="22"/>
                <w:lang w:val="es-CR"/>
              </w:rPr>
              <w:t>Párrafo 11.</w:t>
            </w:r>
          </w:p>
          <w:p w14:paraId="54DB7E1F" w14:textId="77777777" w:rsidR="00952BFE" w:rsidRDefault="008F6B30" w:rsidP="008F6B30">
            <w:pPr>
              <w:jc w:val="both"/>
              <w:rPr>
                <w:rFonts w:ascii="Arial Narrow" w:eastAsia="Times New Roman" w:hAnsi="Arial Narrow" w:cs="Calibri"/>
                <w:b/>
                <w:bCs/>
                <w:color w:val="000000"/>
                <w:sz w:val="22"/>
                <w:szCs w:val="22"/>
                <w:lang w:val="es-CR"/>
              </w:rPr>
            </w:pPr>
            <w:r w:rsidRPr="008F6B30">
              <w:rPr>
                <w:rFonts w:ascii="Arial Narrow" w:eastAsia="Times New Roman" w:hAnsi="Arial Narrow" w:cs="Calibri"/>
                <w:b/>
                <w:bCs/>
                <w:color w:val="000000"/>
                <w:sz w:val="22"/>
                <w:szCs w:val="22"/>
                <w:lang w:val="es-CR"/>
              </w:rPr>
              <w:t>NICSP N° 23,</w:t>
            </w:r>
          </w:p>
          <w:p w14:paraId="0CB20024" w14:textId="3AFE9D0B" w:rsidR="008F6B30" w:rsidRPr="008F6B30" w:rsidRDefault="008F6B30" w:rsidP="008F6B30">
            <w:pPr>
              <w:jc w:val="both"/>
              <w:rPr>
                <w:rFonts w:ascii="Arial Narrow" w:eastAsia="Times New Roman" w:hAnsi="Arial Narrow" w:cs="Calibri"/>
                <w:b/>
                <w:bCs/>
                <w:color w:val="000000"/>
                <w:sz w:val="22"/>
                <w:szCs w:val="22"/>
                <w:lang w:val="es-CR"/>
              </w:rPr>
            </w:pPr>
            <w:r w:rsidRPr="008F6B30">
              <w:rPr>
                <w:rFonts w:ascii="Arial Narrow" w:eastAsia="Times New Roman" w:hAnsi="Arial Narrow" w:cs="Calibri"/>
                <w:b/>
                <w:bCs/>
                <w:color w:val="000000"/>
                <w:sz w:val="22"/>
                <w:szCs w:val="22"/>
                <w:lang w:val="es-CR"/>
              </w:rPr>
              <w:t>Párrafos 5, 11 y FC26.</w:t>
            </w:r>
          </w:p>
        </w:tc>
        <w:tc>
          <w:tcPr>
            <w:tcW w:w="2082" w:type="dxa"/>
            <w:gridSpan w:val="2"/>
            <w:tcBorders>
              <w:top w:val="single" w:sz="8" w:space="0" w:color="auto"/>
              <w:left w:val="nil"/>
              <w:bottom w:val="single" w:sz="8" w:space="0" w:color="auto"/>
              <w:right w:val="single" w:sz="8" w:space="0" w:color="auto"/>
            </w:tcBorders>
            <w:shd w:val="clear" w:color="auto" w:fill="auto"/>
            <w:vAlign w:val="center"/>
            <w:hideMark/>
          </w:tcPr>
          <w:p w14:paraId="23BC2452" w14:textId="77777777" w:rsidR="008F6B30" w:rsidRPr="008F6B30" w:rsidRDefault="008F6B30" w:rsidP="008F6B30">
            <w:pPr>
              <w:rPr>
                <w:rFonts w:ascii="Arial Narrow" w:eastAsia="Times New Roman" w:hAnsi="Arial Narrow" w:cs="Calibri"/>
                <w:b/>
                <w:bCs/>
                <w:color w:val="000000"/>
                <w:sz w:val="22"/>
                <w:szCs w:val="22"/>
              </w:rPr>
            </w:pPr>
            <w:r w:rsidRPr="008F6B30">
              <w:rPr>
                <w:rFonts w:ascii="Arial Narrow" w:eastAsia="Times New Roman" w:hAnsi="Arial Narrow" w:cs="Calibri"/>
                <w:b/>
                <w:bCs/>
                <w:color w:val="000000"/>
                <w:sz w:val="22"/>
                <w:szCs w:val="22"/>
                <w:lang w:val="es-CR"/>
              </w:rPr>
              <w:t xml:space="preserve"> </w:t>
            </w:r>
            <w:r w:rsidRPr="008F6B30">
              <w:rPr>
                <w:rFonts w:ascii="Arial Narrow" w:eastAsia="Times New Roman" w:hAnsi="Arial Narrow" w:cs="Calibri"/>
                <w:b/>
                <w:bCs/>
                <w:color w:val="000000"/>
                <w:sz w:val="22"/>
                <w:szCs w:val="22"/>
              </w:rPr>
              <w:t>DGCN</w:t>
            </w:r>
          </w:p>
        </w:tc>
      </w:tr>
    </w:tbl>
    <w:p w14:paraId="35EBFC4C" w14:textId="77777777" w:rsidR="00354C26" w:rsidRDefault="00354C26" w:rsidP="00354C26">
      <w:pPr>
        <w:pStyle w:val="Default"/>
        <w:ind w:right="261"/>
        <w:jc w:val="both"/>
        <w:rPr>
          <w:rFonts w:eastAsia="Arial"/>
          <w:b/>
          <w:sz w:val="22"/>
          <w:szCs w:val="22"/>
        </w:rPr>
      </w:pPr>
    </w:p>
    <w:p w14:paraId="1F83826B" w14:textId="42D664F6" w:rsidR="008F6B30" w:rsidRDefault="00354C26" w:rsidP="00354C26">
      <w:pPr>
        <w:pStyle w:val="Default"/>
        <w:ind w:right="261"/>
        <w:jc w:val="both"/>
        <w:rPr>
          <w:rFonts w:eastAsia="Arial"/>
          <w:b/>
          <w:sz w:val="22"/>
          <w:szCs w:val="22"/>
        </w:rPr>
      </w:pPr>
      <w:r w:rsidRPr="00F02F9D">
        <w:rPr>
          <w:rFonts w:eastAsia="Arial"/>
          <w:b/>
          <w:sz w:val="22"/>
          <w:szCs w:val="22"/>
        </w:rPr>
        <w:t>Políticas Contables</w:t>
      </w:r>
    </w:p>
    <w:p w14:paraId="1D3E2A3F" w14:textId="77777777" w:rsidR="00354C26" w:rsidRDefault="00354C26" w:rsidP="00354C26">
      <w:pPr>
        <w:pStyle w:val="Default"/>
        <w:ind w:right="261"/>
        <w:jc w:val="both"/>
        <w:rPr>
          <w:sz w:val="22"/>
          <w:szCs w:val="22"/>
          <w:lang w:val="es-CR"/>
        </w:rPr>
      </w:pPr>
    </w:p>
    <w:p w14:paraId="0A2694E7" w14:textId="46D393F1" w:rsidR="008F6B30" w:rsidRDefault="008F6B30" w:rsidP="008F6B30">
      <w:pPr>
        <w:pStyle w:val="Default"/>
        <w:ind w:left="1134" w:hanging="1134"/>
        <w:jc w:val="both"/>
        <w:rPr>
          <w:sz w:val="22"/>
          <w:szCs w:val="22"/>
          <w:lang w:val="es-CR"/>
        </w:rPr>
      </w:pPr>
      <w:r w:rsidRPr="00354C26">
        <w:rPr>
          <w:sz w:val="22"/>
          <w:szCs w:val="22"/>
          <w:lang w:val="es-CR"/>
        </w:rPr>
        <w:t>4.4.0.01</w:t>
      </w:r>
      <w:r w:rsidRPr="00354C26">
        <w:rPr>
          <w:sz w:val="22"/>
          <w:szCs w:val="22"/>
          <w:lang w:val="es-CR"/>
        </w:rPr>
        <w:tab/>
      </w:r>
      <w:r w:rsidRPr="008F6B30">
        <w:rPr>
          <w:b/>
          <w:bCs/>
          <w:sz w:val="22"/>
          <w:szCs w:val="22"/>
          <w:lang w:val="es-CR"/>
        </w:rPr>
        <w:t xml:space="preserve">Transacciones sin contraprestación, </w:t>
      </w:r>
      <w:r w:rsidRPr="008F6B30">
        <w:rPr>
          <w:sz w:val="22"/>
          <w:szCs w:val="22"/>
          <w:lang w:val="es-CR"/>
        </w:rPr>
        <w:t xml:space="preserve">son aquéllas en las que una entidad recibe valor de otra entidad sin entregar directamente un valor aproximadamente igual a </w:t>
      </w:r>
      <w:r w:rsidR="005907B3" w:rsidRPr="008F6B30">
        <w:rPr>
          <w:sz w:val="22"/>
          <w:szCs w:val="22"/>
          <w:lang w:val="es-CR"/>
        </w:rPr>
        <w:t>ca</w:t>
      </w:r>
      <w:r w:rsidR="005907B3">
        <w:rPr>
          <w:sz w:val="22"/>
          <w:szCs w:val="22"/>
          <w:lang w:val="es-CR"/>
        </w:rPr>
        <w:t>mbi</w:t>
      </w:r>
      <w:r w:rsidR="005907B3" w:rsidRPr="008F6B30">
        <w:rPr>
          <w:sz w:val="22"/>
          <w:szCs w:val="22"/>
          <w:lang w:val="es-CR"/>
        </w:rPr>
        <w:t>o</w:t>
      </w:r>
      <w:r w:rsidRPr="008F6B30">
        <w:rPr>
          <w:sz w:val="22"/>
          <w:szCs w:val="22"/>
          <w:lang w:val="es-CR"/>
        </w:rPr>
        <w:t xml:space="preserve">, o entrega valor a otra entidad sin recibir directamente un valor aproximadamente igual a </w:t>
      </w:r>
      <w:r w:rsidR="005907B3" w:rsidRPr="008F6B30">
        <w:rPr>
          <w:sz w:val="22"/>
          <w:szCs w:val="22"/>
          <w:lang w:val="es-CR"/>
        </w:rPr>
        <w:t>ca</w:t>
      </w:r>
      <w:r w:rsidR="005907B3">
        <w:rPr>
          <w:sz w:val="22"/>
          <w:szCs w:val="22"/>
          <w:lang w:val="es-CR"/>
        </w:rPr>
        <w:t>mbi</w:t>
      </w:r>
      <w:r w:rsidR="005907B3" w:rsidRPr="008F6B30">
        <w:rPr>
          <w:sz w:val="22"/>
          <w:szCs w:val="22"/>
          <w:lang w:val="es-CR"/>
        </w:rPr>
        <w:t>o</w:t>
      </w:r>
      <w:r w:rsidRPr="008F6B30">
        <w:rPr>
          <w:sz w:val="22"/>
          <w:szCs w:val="22"/>
          <w:lang w:val="es-CR"/>
        </w:rPr>
        <w:t>. Los ingresos que provienen de transacciones sin contraprestación se clasifican en:</w:t>
      </w:r>
    </w:p>
    <w:p w14:paraId="1A813D1D" w14:textId="77777777" w:rsidR="00B94D35" w:rsidRPr="008F6B30" w:rsidRDefault="00B94D35" w:rsidP="008F6B30">
      <w:pPr>
        <w:pStyle w:val="Default"/>
        <w:ind w:left="1134" w:hanging="1134"/>
        <w:jc w:val="both"/>
        <w:rPr>
          <w:sz w:val="22"/>
          <w:szCs w:val="22"/>
          <w:lang w:val="es-CR"/>
        </w:rPr>
      </w:pPr>
    </w:p>
    <w:p w14:paraId="29F367BE" w14:textId="77777777" w:rsidR="00B94D35" w:rsidRDefault="008F6B30">
      <w:pPr>
        <w:pStyle w:val="Default"/>
        <w:numPr>
          <w:ilvl w:val="0"/>
          <w:numId w:val="220"/>
        </w:numPr>
        <w:spacing w:after="120"/>
        <w:ind w:left="1418" w:hanging="284"/>
        <w:jc w:val="both"/>
        <w:rPr>
          <w:sz w:val="22"/>
          <w:szCs w:val="22"/>
          <w:lang w:val="es-CR"/>
        </w:rPr>
      </w:pPr>
      <w:r w:rsidRPr="008F6B30">
        <w:rPr>
          <w:sz w:val="22"/>
          <w:szCs w:val="22"/>
          <w:lang w:val="es-CR"/>
        </w:rPr>
        <w:t>Impuestos, como consecuencia de la aplicación de los poderes soberanos de gobierno;</w:t>
      </w:r>
    </w:p>
    <w:p w14:paraId="256060BE" w14:textId="63887907" w:rsidR="00B94D35" w:rsidRDefault="00B94D35">
      <w:pPr>
        <w:pStyle w:val="Default"/>
        <w:numPr>
          <w:ilvl w:val="0"/>
          <w:numId w:val="220"/>
        </w:numPr>
        <w:ind w:left="1418" w:hanging="284"/>
        <w:jc w:val="both"/>
        <w:rPr>
          <w:sz w:val="22"/>
          <w:szCs w:val="22"/>
          <w:lang w:val="es-CR"/>
        </w:rPr>
      </w:pPr>
      <w:r>
        <w:rPr>
          <w:sz w:val="22"/>
          <w:szCs w:val="22"/>
          <w:lang w:val="es-CR"/>
        </w:rPr>
        <w:t>Tr</w:t>
      </w:r>
      <w:r w:rsidR="008F6B30" w:rsidRPr="00B94D35">
        <w:rPr>
          <w:sz w:val="22"/>
          <w:szCs w:val="22"/>
          <w:lang w:val="es-CR"/>
        </w:rPr>
        <w:t>ansferencias (sean monetarias o no), que incluyen:</w:t>
      </w:r>
    </w:p>
    <w:p w14:paraId="2E6BE8E7" w14:textId="77777777" w:rsidR="00B94D35" w:rsidRPr="00B94D35" w:rsidRDefault="00B94D35" w:rsidP="00B94D35">
      <w:pPr>
        <w:pStyle w:val="Default"/>
        <w:ind w:left="720"/>
        <w:jc w:val="both"/>
        <w:rPr>
          <w:sz w:val="22"/>
          <w:szCs w:val="22"/>
          <w:lang w:val="es-CR"/>
        </w:rPr>
      </w:pPr>
    </w:p>
    <w:p w14:paraId="63367A76" w14:textId="33360593" w:rsidR="008F6B30" w:rsidRPr="008F6B30" w:rsidRDefault="00B94D35">
      <w:pPr>
        <w:pStyle w:val="Default"/>
        <w:numPr>
          <w:ilvl w:val="0"/>
          <w:numId w:val="221"/>
        </w:numPr>
        <w:spacing w:after="120"/>
        <w:ind w:left="1985" w:hanging="216"/>
        <w:jc w:val="both"/>
        <w:rPr>
          <w:sz w:val="22"/>
          <w:szCs w:val="22"/>
          <w:lang w:val="es-CR"/>
        </w:rPr>
      </w:pPr>
      <w:r>
        <w:rPr>
          <w:sz w:val="22"/>
          <w:szCs w:val="22"/>
          <w:lang w:val="es-CR"/>
        </w:rPr>
        <w:t>S</w:t>
      </w:r>
      <w:r w:rsidR="008F6B30" w:rsidRPr="008F6B30">
        <w:rPr>
          <w:sz w:val="22"/>
          <w:szCs w:val="22"/>
          <w:lang w:val="es-CR"/>
        </w:rPr>
        <w:t xml:space="preserve">ubvenciones, </w:t>
      </w:r>
    </w:p>
    <w:p w14:paraId="3C04F36F" w14:textId="296BDD61" w:rsidR="008F6B30" w:rsidRPr="008F6B30" w:rsidRDefault="00B94D35">
      <w:pPr>
        <w:pStyle w:val="Default"/>
        <w:numPr>
          <w:ilvl w:val="0"/>
          <w:numId w:val="221"/>
        </w:numPr>
        <w:spacing w:after="120"/>
        <w:ind w:left="1985" w:hanging="216"/>
        <w:jc w:val="both"/>
        <w:rPr>
          <w:sz w:val="22"/>
          <w:szCs w:val="22"/>
        </w:rPr>
      </w:pPr>
      <w:r>
        <w:rPr>
          <w:sz w:val="22"/>
          <w:szCs w:val="22"/>
        </w:rPr>
        <w:t>C</w:t>
      </w:r>
      <w:r w:rsidR="008F6B30" w:rsidRPr="008F6B30">
        <w:rPr>
          <w:sz w:val="22"/>
          <w:szCs w:val="22"/>
        </w:rPr>
        <w:t xml:space="preserve">ondonaciones de deudas, </w:t>
      </w:r>
    </w:p>
    <w:p w14:paraId="24FBB8C0" w14:textId="3B30AA29" w:rsidR="008F6B30" w:rsidRPr="008F6B30" w:rsidRDefault="00B94D35">
      <w:pPr>
        <w:pStyle w:val="Default"/>
        <w:numPr>
          <w:ilvl w:val="0"/>
          <w:numId w:val="221"/>
        </w:numPr>
        <w:spacing w:after="120"/>
        <w:ind w:left="1985" w:hanging="216"/>
        <w:jc w:val="both"/>
        <w:rPr>
          <w:sz w:val="22"/>
          <w:szCs w:val="22"/>
          <w:lang w:val="es-CR"/>
        </w:rPr>
      </w:pPr>
      <w:r>
        <w:rPr>
          <w:sz w:val="22"/>
          <w:szCs w:val="22"/>
          <w:lang w:val="es-CR"/>
        </w:rPr>
        <w:t>D</w:t>
      </w:r>
      <w:r w:rsidR="008F6B30" w:rsidRPr="008F6B30">
        <w:rPr>
          <w:sz w:val="22"/>
          <w:szCs w:val="22"/>
          <w:lang w:val="es-CR"/>
        </w:rPr>
        <w:t xml:space="preserve">onaciones y legados realizadas por terceros a favor de la entidad; </w:t>
      </w:r>
    </w:p>
    <w:p w14:paraId="67EB65E7" w14:textId="4449C1DF" w:rsidR="008F6B30" w:rsidRPr="008F6B30" w:rsidRDefault="00B94D35">
      <w:pPr>
        <w:pStyle w:val="Default"/>
        <w:numPr>
          <w:ilvl w:val="0"/>
          <w:numId w:val="221"/>
        </w:numPr>
        <w:spacing w:after="120"/>
        <w:ind w:left="1985" w:hanging="216"/>
        <w:jc w:val="both"/>
        <w:rPr>
          <w:sz w:val="22"/>
          <w:szCs w:val="22"/>
          <w:lang w:val="es-CR"/>
        </w:rPr>
      </w:pPr>
      <w:r>
        <w:rPr>
          <w:sz w:val="22"/>
          <w:szCs w:val="22"/>
          <w:lang w:val="es-CR"/>
        </w:rPr>
        <w:t>M</w:t>
      </w:r>
      <w:r w:rsidR="008F6B30" w:rsidRPr="008F6B30">
        <w:rPr>
          <w:sz w:val="22"/>
          <w:szCs w:val="22"/>
          <w:lang w:val="es-CR"/>
        </w:rPr>
        <w:t xml:space="preserve">ultas, sanciones, remates y confiscaciones de origen no impositivo; </w:t>
      </w:r>
    </w:p>
    <w:p w14:paraId="4CB14C0C" w14:textId="5F5C2FF8" w:rsidR="008F6B30" w:rsidRPr="008F6B30" w:rsidRDefault="00B94D35">
      <w:pPr>
        <w:pStyle w:val="Default"/>
        <w:numPr>
          <w:ilvl w:val="0"/>
          <w:numId w:val="221"/>
        </w:numPr>
        <w:spacing w:after="120"/>
        <w:ind w:left="1985" w:hanging="216"/>
        <w:jc w:val="both"/>
        <w:rPr>
          <w:sz w:val="22"/>
          <w:szCs w:val="22"/>
        </w:rPr>
      </w:pPr>
      <w:r>
        <w:rPr>
          <w:sz w:val="22"/>
          <w:szCs w:val="22"/>
        </w:rPr>
        <w:t>R</w:t>
      </w:r>
      <w:r w:rsidR="008F6B30" w:rsidRPr="008F6B30">
        <w:rPr>
          <w:sz w:val="22"/>
          <w:szCs w:val="22"/>
        </w:rPr>
        <w:t xml:space="preserve">egalos; </w:t>
      </w:r>
    </w:p>
    <w:p w14:paraId="48BF4F3C" w14:textId="58BD4F31" w:rsidR="008F6B30" w:rsidRPr="008F6B30" w:rsidRDefault="00B94D35">
      <w:pPr>
        <w:pStyle w:val="Default"/>
        <w:numPr>
          <w:ilvl w:val="0"/>
          <w:numId w:val="221"/>
        </w:numPr>
        <w:spacing w:after="120"/>
        <w:ind w:left="1985" w:hanging="216"/>
        <w:jc w:val="both"/>
        <w:rPr>
          <w:sz w:val="22"/>
          <w:szCs w:val="22"/>
          <w:lang w:val="es-CR"/>
        </w:rPr>
      </w:pPr>
      <w:r>
        <w:rPr>
          <w:sz w:val="22"/>
          <w:szCs w:val="22"/>
          <w:lang w:val="es-CR"/>
        </w:rPr>
        <w:t>R</w:t>
      </w:r>
      <w:r w:rsidR="008F6B30" w:rsidRPr="008F6B30">
        <w:rPr>
          <w:sz w:val="22"/>
          <w:szCs w:val="22"/>
          <w:lang w:val="es-CR"/>
        </w:rPr>
        <w:t xml:space="preserve">ecepción de bienes y servicios en especie; y </w:t>
      </w:r>
    </w:p>
    <w:p w14:paraId="6E4F99B2" w14:textId="74C97B30" w:rsidR="008F6B30" w:rsidRPr="008F6B30" w:rsidRDefault="00B94D35">
      <w:pPr>
        <w:pStyle w:val="Default"/>
        <w:numPr>
          <w:ilvl w:val="0"/>
          <w:numId w:val="221"/>
        </w:numPr>
        <w:ind w:left="1985" w:hanging="216"/>
        <w:jc w:val="both"/>
        <w:rPr>
          <w:sz w:val="22"/>
          <w:szCs w:val="22"/>
          <w:lang w:val="es-CR"/>
        </w:rPr>
      </w:pPr>
      <w:r>
        <w:rPr>
          <w:sz w:val="22"/>
          <w:szCs w:val="22"/>
          <w:lang w:val="es-CR"/>
        </w:rPr>
        <w:t>La</w:t>
      </w:r>
      <w:r w:rsidR="008F6B30" w:rsidRPr="008F6B30">
        <w:rPr>
          <w:sz w:val="22"/>
          <w:szCs w:val="22"/>
          <w:lang w:val="es-CR"/>
        </w:rPr>
        <w:t xml:space="preserve"> parte por debajo de mercado de los préstamos recibidos en condiciones favorables. </w:t>
      </w:r>
    </w:p>
    <w:p w14:paraId="7EC826E4" w14:textId="77777777" w:rsidR="008F6B30" w:rsidRPr="008F6B30" w:rsidRDefault="008F6B30">
      <w:pPr>
        <w:pStyle w:val="Default"/>
        <w:numPr>
          <w:ilvl w:val="1"/>
          <w:numId w:val="219"/>
        </w:numPr>
        <w:jc w:val="both"/>
        <w:rPr>
          <w:sz w:val="22"/>
          <w:szCs w:val="22"/>
          <w:lang w:val="es-CR"/>
        </w:rPr>
      </w:pPr>
    </w:p>
    <w:p w14:paraId="5F88E1F3" w14:textId="599C7FFB" w:rsidR="008F6B30" w:rsidRPr="008F6B30" w:rsidRDefault="00B94D35">
      <w:pPr>
        <w:pStyle w:val="Default"/>
        <w:numPr>
          <w:ilvl w:val="0"/>
          <w:numId w:val="220"/>
        </w:numPr>
        <w:spacing w:after="120"/>
        <w:ind w:left="1418" w:hanging="284"/>
        <w:jc w:val="both"/>
        <w:rPr>
          <w:sz w:val="22"/>
          <w:szCs w:val="22"/>
          <w:lang w:val="es-CR"/>
        </w:rPr>
      </w:pPr>
      <w:r>
        <w:rPr>
          <w:sz w:val="22"/>
          <w:szCs w:val="22"/>
          <w:lang w:val="es-CR"/>
        </w:rPr>
        <w:t>V</w:t>
      </w:r>
      <w:r w:rsidR="008F6B30" w:rsidRPr="008F6B30">
        <w:rPr>
          <w:sz w:val="22"/>
          <w:szCs w:val="22"/>
          <w:lang w:val="es-CR"/>
        </w:rPr>
        <w:t xml:space="preserve">enta de bienes, si la transacción conlleva un precio subvencionado, es decir, un precio que no es aproximadamente igual al valor razonable de los bienes vendidos; y </w:t>
      </w:r>
    </w:p>
    <w:p w14:paraId="2151217D" w14:textId="408F9853" w:rsidR="008F6B30" w:rsidRPr="00B94D35" w:rsidRDefault="00B94D35">
      <w:pPr>
        <w:pStyle w:val="Default"/>
        <w:numPr>
          <w:ilvl w:val="0"/>
          <w:numId w:val="220"/>
        </w:numPr>
        <w:ind w:left="1418" w:hanging="284"/>
        <w:jc w:val="both"/>
        <w:rPr>
          <w:sz w:val="22"/>
          <w:szCs w:val="22"/>
          <w:lang w:val="es-CR"/>
        </w:rPr>
      </w:pPr>
      <w:r>
        <w:rPr>
          <w:sz w:val="22"/>
          <w:szCs w:val="22"/>
          <w:lang w:val="es-CR"/>
        </w:rPr>
        <w:t>C</w:t>
      </w:r>
      <w:r w:rsidR="008F6B30" w:rsidRPr="008F6B30">
        <w:rPr>
          <w:sz w:val="22"/>
          <w:szCs w:val="22"/>
          <w:lang w:val="es-CR"/>
        </w:rPr>
        <w:t>ontribuciones sociales, entendiendo por tales a las contribuciones obligatorias a favor de los planes de seguridad social administrados por alguna entidad pública, en la medida que no tengan tratamiento</w:t>
      </w:r>
      <w:r w:rsidR="008F6B30" w:rsidRPr="00B94D35">
        <w:rPr>
          <w:sz w:val="22"/>
          <w:szCs w:val="22"/>
          <w:lang w:val="es-CR"/>
        </w:rPr>
        <w:t xml:space="preserve"> de planes con beneficios definidos. </w:t>
      </w:r>
    </w:p>
    <w:p w14:paraId="776A080E" w14:textId="77777777" w:rsidR="008F6B30" w:rsidRDefault="008F6B30" w:rsidP="00952BFE">
      <w:pPr>
        <w:pStyle w:val="Default"/>
        <w:ind w:right="261"/>
        <w:jc w:val="both"/>
        <w:rPr>
          <w:sz w:val="22"/>
          <w:szCs w:val="22"/>
          <w:lang w:val="es-CR"/>
        </w:rPr>
      </w:pPr>
    </w:p>
    <w:p w14:paraId="68E6046B" w14:textId="77777777" w:rsidR="003C398A" w:rsidRDefault="003C398A" w:rsidP="00952BFE">
      <w:pPr>
        <w:pStyle w:val="Default"/>
        <w:ind w:right="261"/>
        <w:jc w:val="both"/>
        <w:rPr>
          <w:sz w:val="22"/>
          <w:szCs w:val="22"/>
          <w:lang w:val="es-CR"/>
        </w:rPr>
      </w:pPr>
    </w:p>
    <w:p w14:paraId="209F1385" w14:textId="6CD0D24C" w:rsidR="003C398A" w:rsidRPr="00952BFE" w:rsidRDefault="003C398A" w:rsidP="00952BFE">
      <w:pPr>
        <w:pStyle w:val="Ttulo2"/>
        <w:ind w:left="284"/>
        <w:rPr>
          <w:rFonts w:ascii="Arial" w:eastAsia="Arial" w:hAnsi="Arial" w:cs="Arial"/>
          <w:b/>
          <w:bCs/>
          <w:sz w:val="20"/>
          <w:szCs w:val="20"/>
          <w:lang w:val="es-CR"/>
        </w:rPr>
      </w:pPr>
      <w:bookmarkStart w:id="120" w:name="_Toc172726255"/>
      <w:r w:rsidRPr="00952BFE">
        <w:rPr>
          <w:rFonts w:ascii="Arial" w:eastAsia="Arial" w:hAnsi="Arial" w:cs="Arial"/>
          <w:b/>
          <w:bCs/>
          <w:sz w:val="20"/>
          <w:szCs w:val="20"/>
          <w:lang w:val="es-CR"/>
        </w:rPr>
        <w:t xml:space="preserve">Transacciones </w:t>
      </w:r>
      <w:r w:rsidR="005907B3" w:rsidRPr="00952BFE">
        <w:rPr>
          <w:rFonts w:ascii="Arial" w:eastAsia="Arial" w:hAnsi="Arial" w:cs="Arial"/>
          <w:b/>
          <w:bCs/>
          <w:sz w:val="20"/>
          <w:szCs w:val="20"/>
          <w:lang w:val="es-CR"/>
        </w:rPr>
        <w:t>co</w:t>
      </w:r>
      <w:r w:rsidR="005907B3">
        <w:rPr>
          <w:rFonts w:ascii="Arial" w:eastAsia="Arial" w:hAnsi="Arial" w:cs="Arial"/>
          <w:b/>
          <w:bCs/>
          <w:sz w:val="20"/>
          <w:szCs w:val="20"/>
          <w:lang w:val="es-CR"/>
        </w:rPr>
        <w:t>mbi</w:t>
      </w:r>
      <w:r w:rsidR="005907B3" w:rsidRPr="00952BFE">
        <w:rPr>
          <w:rFonts w:ascii="Arial" w:eastAsia="Arial" w:hAnsi="Arial" w:cs="Arial"/>
          <w:b/>
          <w:bCs/>
          <w:sz w:val="20"/>
          <w:szCs w:val="20"/>
          <w:lang w:val="es-CR"/>
        </w:rPr>
        <w:t>nadas</w:t>
      </w:r>
      <w:bookmarkEnd w:id="120"/>
    </w:p>
    <w:p w14:paraId="15EDA34C" w14:textId="693B3CF9" w:rsidR="00311422" w:rsidRPr="003C398A" w:rsidRDefault="003C398A" w:rsidP="003C398A">
      <w:pPr>
        <w:pStyle w:val="Ttulo4"/>
        <w:rPr>
          <w:rFonts w:ascii="Arial" w:eastAsia="Calibri" w:hAnsi="Arial" w:cs="Arial"/>
          <w:i w:val="0"/>
          <w:iCs w:val="0"/>
          <w:color w:val="000000"/>
          <w:sz w:val="22"/>
          <w:szCs w:val="22"/>
          <w:lang w:val="es-CR"/>
        </w:rPr>
      </w:pPr>
      <w:r w:rsidRPr="003C398A">
        <w:rPr>
          <w:rFonts w:ascii="Arial" w:eastAsia="Calibri" w:hAnsi="Arial" w:cs="Arial"/>
          <w:i w:val="0"/>
          <w:iCs w:val="0"/>
          <w:color w:val="000000"/>
          <w:sz w:val="22"/>
          <w:szCs w:val="22"/>
          <w:lang w:val="es-CR"/>
        </w:rPr>
        <w:t xml:space="preserve"> </w:t>
      </w:r>
    </w:p>
    <w:tbl>
      <w:tblPr>
        <w:tblW w:w="9359" w:type="dxa"/>
        <w:tblLook w:val="04A0" w:firstRow="1" w:lastRow="0" w:firstColumn="1" w:lastColumn="0" w:noHBand="0" w:noVBand="1"/>
      </w:tblPr>
      <w:tblGrid>
        <w:gridCol w:w="768"/>
        <w:gridCol w:w="317"/>
        <w:gridCol w:w="465"/>
        <w:gridCol w:w="3690"/>
        <w:gridCol w:w="2263"/>
        <w:gridCol w:w="1845"/>
        <w:gridCol w:w="11"/>
      </w:tblGrid>
      <w:tr w:rsidR="00B94D35" w:rsidRPr="00B94D35" w14:paraId="2E0B0941" w14:textId="77777777" w:rsidTr="00F743BF">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1202319" w14:textId="77777777" w:rsidR="00B94D35" w:rsidRPr="00B94D35" w:rsidRDefault="00B94D35" w:rsidP="00B94D35">
            <w:pPr>
              <w:jc w:val="center"/>
              <w:rPr>
                <w:rFonts w:ascii="Arial Narrow" w:eastAsia="Times New Roman" w:hAnsi="Arial Narrow" w:cs="Calibri"/>
                <w:b/>
                <w:bCs/>
                <w:color w:val="FFFFFF"/>
                <w:sz w:val="22"/>
                <w:szCs w:val="22"/>
              </w:rPr>
            </w:pPr>
            <w:r w:rsidRPr="00B94D35">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8EF3733" w14:textId="77777777" w:rsidR="00B94D35" w:rsidRPr="00B94D35" w:rsidRDefault="00B94D35" w:rsidP="00B94D35">
            <w:pPr>
              <w:jc w:val="center"/>
              <w:rPr>
                <w:rFonts w:ascii="Arial Narrow" w:eastAsia="Times New Roman" w:hAnsi="Arial Narrow" w:cs="Calibri"/>
                <w:b/>
                <w:bCs/>
                <w:color w:val="FFFFFF"/>
                <w:sz w:val="22"/>
                <w:szCs w:val="22"/>
              </w:rPr>
            </w:pPr>
            <w:r w:rsidRPr="00B94D35">
              <w:rPr>
                <w:rFonts w:ascii="Arial Narrow" w:eastAsia="Times New Roman" w:hAnsi="Arial Narrow" w:cs="Calibri"/>
                <w:b/>
                <w:bCs/>
                <w:color w:val="FFFFFF"/>
                <w:sz w:val="22"/>
                <w:szCs w:val="22"/>
              </w:rPr>
              <w:t>Concepto</w:t>
            </w:r>
          </w:p>
        </w:tc>
        <w:tc>
          <w:tcPr>
            <w:tcW w:w="4119" w:type="dxa"/>
            <w:gridSpan w:val="3"/>
            <w:tcBorders>
              <w:top w:val="single" w:sz="8" w:space="0" w:color="auto"/>
              <w:left w:val="nil"/>
              <w:bottom w:val="single" w:sz="8" w:space="0" w:color="auto"/>
              <w:right w:val="single" w:sz="8" w:space="0" w:color="000000"/>
            </w:tcBorders>
            <w:shd w:val="clear" w:color="000000" w:fill="203764"/>
            <w:vAlign w:val="center"/>
            <w:hideMark/>
          </w:tcPr>
          <w:p w14:paraId="2C254D16" w14:textId="77777777" w:rsidR="00B94D35" w:rsidRPr="00B94D35" w:rsidRDefault="00B94D35" w:rsidP="00B94D35">
            <w:pPr>
              <w:jc w:val="center"/>
              <w:rPr>
                <w:rFonts w:ascii="Arial Narrow" w:eastAsia="Times New Roman" w:hAnsi="Arial Narrow" w:cs="Calibri"/>
                <w:b/>
                <w:bCs/>
                <w:color w:val="FFFFFF"/>
                <w:sz w:val="22"/>
                <w:szCs w:val="22"/>
              </w:rPr>
            </w:pPr>
            <w:r w:rsidRPr="00B94D35">
              <w:rPr>
                <w:rFonts w:ascii="Arial Narrow" w:eastAsia="Times New Roman" w:hAnsi="Arial Narrow" w:cs="Calibri"/>
                <w:b/>
                <w:bCs/>
                <w:color w:val="FFFFFF"/>
                <w:sz w:val="22"/>
                <w:szCs w:val="22"/>
              </w:rPr>
              <w:t>Referencia</w:t>
            </w:r>
          </w:p>
        </w:tc>
      </w:tr>
      <w:tr w:rsidR="00B94D35" w:rsidRPr="006E5442" w14:paraId="2D4D1109" w14:textId="77777777" w:rsidTr="00F743BF">
        <w:trPr>
          <w:gridAfter w:val="1"/>
          <w:wAfter w:w="11" w:type="dxa"/>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786EC84B" w14:textId="77777777" w:rsidR="00B94D35" w:rsidRPr="00B94D35" w:rsidRDefault="00B94D35" w:rsidP="00B94D35">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4D06E29A" w14:textId="77777777" w:rsidR="00B94D35" w:rsidRPr="00B94D35" w:rsidRDefault="00B94D35" w:rsidP="00B94D35">
            <w:pPr>
              <w:rPr>
                <w:rFonts w:ascii="Arial Narrow" w:eastAsia="Times New Roman" w:hAnsi="Arial Narrow" w:cs="Calibri"/>
                <w:b/>
                <w:bCs/>
                <w:color w:val="FFFFFF"/>
                <w:sz w:val="22"/>
                <w:szCs w:val="22"/>
              </w:rPr>
            </w:pPr>
          </w:p>
        </w:tc>
        <w:tc>
          <w:tcPr>
            <w:tcW w:w="2263" w:type="dxa"/>
            <w:tcBorders>
              <w:top w:val="nil"/>
              <w:left w:val="nil"/>
              <w:bottom w:val="nil"/>
              <w:right w:val="single" w:sz="8" w:space="0" w:color="auto"/>
            </w:tcBorders>
            <w:shd w:val="clear" w:color="000000" w:fill="203764"/>
            <w:vAlign w:val="center"/>
            <w:hideMark/>
          </w:tcPr>
          <w:p w14:paraId="1C300371" w14:textId="77777777" w:rsidR="00B94D35" w:rsidRPr="00B94D35" w:rsidRDefault="00B94D35" w:rsidP="00B94D35">
            <w:pPr>
              <w:jc w:val="center"/>
              <w:rPr>
                <w:rFonts w:ascii="Arial Narrow" w:eastAsia="Times New Roman" w:hAnsi="Arial Narrow" w:cs="Calibri"/>
                <w:b/>
                <w:bCs/>
                <w:color w:val="FFFFFF"/>
                <w:sz w:val="22"/>
                <w:szCs w:val="22"/>
              </w:rPr>
            </w:pPr>
            <w:r w:rsidRPr="00B94D35">
              <w:rPr>
                <w:rFonts w:ascii="Arial Narrow" w:eastAsia="Times New Roman" w:hAnsi="Arial Narrow" w:cs="Calibri"/>
                <w:b/>
                <w:bCs/>
                <w:color w:val="FFFFFF"/>
                <w:sz w:val="22"/>
                <w:szCs w:val="22"/>
              </w:rPr>
              <w:t>Norma</w:t>
            </w:r>
          </w:p>
        </w:tc>
        <w:tc>
          <w:tcPr>
            <w:tcW w:w="1845" w:type="dxa"/>
            <w:tcBorders>
              <w:top w:val="nil"/>
              <w:left w:val="nil"/>
              <w:bottom w:val="nil"/>
              <w:right w:val="single" w:sz="8" w:space="0" w:color="auto"/>
            </w:tcBorders>
            <w:shd w:val="clear" w:color="000000" w:fill="203764"/>
            <w:vAlign w:val="center"/>
            <w:hideMark/>
          </w:tcPr>
          <w:p w14:paraId="7900C330" w14:textId="77777777" w:rsidR="00B94D35" w:rsidRPr="00B94D35" w:rsidRDefault="00B94D35" w:rsidP="00B94D35">
            <w:pPr>
              <w:jc w:val="center"/>
              <w:rPr>
                <w:rFonts w:ascii="Arial Narrow" w:eastAsia="Times New Roman" w:hAnsi="Arial Narrow" w:cs="Calibri"/>
                <w:b/>
                <w:bCs/>
                <w:color w:val="FFFFFF"/>
                <w:sz w:val="22"/>
                <w:szCs w:val="22"/>
                <w:lang w:val="es-CR"/>
              </w:rPr>
            </w:pPr>
            <w:r w:rsidRPr="00B94D35">
              <w:rPr>
                <w:rFonts w:ascii="Arial Narrow" w:eastAsia="Times New Roman" w:hAnsi="Arial Narrow" w:cs="Calibri"/>
                <w:b/>
                <w:bCs/>
                <w:color w:val="FFFFFF"/>
                <w:sz w:val="22"/>
                <w:szCs w:val="22"/>
                <w:lang w:val="es-CR"/>
              </w:rPr>
              <w:t>Normativa técnica y disposiciones adicionales</w:t>
            </w:r>
          </w:p>
        </w:tc>
      </w:tr>
      <w:tr w:rsidR="00B94D35" w:rsidRPr="00B94D35" w14:paraId="79206D75" w14:textId="77777777" w:rsidTr="00F743BF">
        <w:trPr>
          <w:gridAfter w:val="1"/>
          <w:wAfter w:w="11" w:type="dxa"/>
          <w:trHeight w:val="570"/>
        </w:trPr>
        <w:tc>
          <w:tcPr>
            <w:tcW w:w="7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933ED8" w14:textId="77777777" w:rsidR="00B94D35" w:rsidRPr="00B94D35" w:rsidRDefault="00B94D35" w:rsidP="00B94D35">
            <w:pPr>
              <w:jc w:val="center"/>
              <w:rPr>
                <w:rFonts w:ascii="Arial Narrow" w:eastAsia="Times New Roman" w:hAnsi="Arial Narrow" w:cs="Calibri"/>
                <w:b/>
                <w:bCs/>
                <w:color w:val="000000"/>
                <w:sz w:val="22"/>
                <w:szCs w:val="22"/>
              </w:rPr>
            </w:pPr>
            <w:r w:rsidRPr="00B94D35">
              <w:rPr>
                <w:rFonts w:ascii="Arial Narrow" w:eastAsia="Times New Roman" w:hAnsi="Arial Narrow" w:cs="Calibri"/>
                <w:b/>
                <w:bCs/>
                <w:color w:val="000000"/>
                <w:sz w:val="22"/>
                <w:szCs w:val="22"/>
              </w:rPr>
              <w:t>4</w:t>
            </w:r>
          </w:p>
        </w:tc>
        <w:tc>
          <w:tcPr>
            <w:tcW w:w="317" w:type="dxa"/>
            <w:tcBorders>
              <w:top w:val="single" w:sz="8" w:space="0" w:color="auto"/>
              <w:left w:val="nil"/>
              <w:bottom w:val="single" w:sz="8" w:space="0" w:color="auto"/>
              <w:right w:val="single" w:sz="8" w:space="0" w:color="auto"/>
            </w:tcBorders>
            <w:shd w:val="clear" w:color="auto" w:fill="auto"/>
            <w:noWrap/>
            <w:vAlign w:val="center"/>
            <w:hideMark/>
          </w:tcPr>
          <w:p w14:paraId="2BDE9D44" w14:textId="77777777" w:rsidR="00B94D35" w:rsidRPr="00B94D35" w:rsidRDefault="00B94D35" w:rsidP="00B94D35">
            <w:pPr>
              <w:jc w:val="center"/>
              <w:rPr>
                <w:rFonts w:ascii="Arial Narrow" w:eastAsia="Times New Roman" w:hAnsi="Arial Narrow" w:cs="Calibri"/>
                <w:b/>
                <w:bCs/>
                <w:color w:val="000000"/>
                <w:sz w:val="22"/>
                <w:szCs w:val="22"/>
              </w:rPr>
            </w:pPr>
            <w:r w:rsidRPr="00B94D35">
              <w:rPr>
                <w:rFonts w:ascii="Arial Narrow" w:eastAsia="Times New Roman" w:hAnsi="Arial Narrow" w:cs="Calibri"/>
                <w:b/>
                <w:bCs/>
                <w:color w:val="000000"/>
                <w:sz w:val="22"/>
                <w:szCs w:val="22"/>
              </w:rPr>
              <w:t>5</w:t>
            </w:r>
          </w:p>
        </w:tc>
        <w:tc>
          <w:tcPr>
            <w:tcW w:w="465" w:type="dxa"/>
            <w:tcBorders>
              <w:top w:val="single" w:sz="8" w:space="0" w:color="auto"/>
              <w:left w:val="nil"/>
              <w:bottom w:val="single" w:sz="8" w:space="0" w:color="auto"/>
              <w:right w:val="single" w:sz="8" w:space="0" w:color="auto"/>
            </w:tcBorders>
            <w:shd w:val="clear" w:color="auto" w:fill="auto"/>
            <w:vAlign w:val="center"/>
            <w:hideMark/>
          </w:tcPr>
          <w:p w14:paraId="16440768" w14:textId="77F2E5E4" w:rsidR="00B94D35" w:rsidRPr="00B94D35" w:rsidRDefault="00B94D35" w:rsidP="00B94D35">
            <w:pPr>
              <w:jc w:val="center"/>
              <w:rPr>
                <w:rFonts w:ascii="Arial Narrow" w:eastAsia="Times New Roman" w:hAnsi="Arial Narrow" w:cs="Calibri"/>
                <w:b/>
                <w:bCs/>
                <w:color w:val="000000"/>
                <w:sz w:val="22"/>
                <w:szCs w:val="22"/>
              </w:rPr>
            </w:pP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4ADCED9F" w14:textId="699F6A1C" w:rsidR="00B94D35" w:rsidRPr="00B94D35" w:rsidRDefault="005907B3" w:rsidP="00B94D35">
            <w:pPr>
              <w:jc w:val="both"/>
              <w:rPr>
                <w:rFonts w:ascii="Arial Narrow" w:eastAsia="Times New Roman" w:hAnsi="Arial Narrow" w:cs="Calibri"/>
                <w:b/>
                <w:bCs/>
                <w:color w:val="000000"/>
                <w:sz w:val="22"/>
                <w:szCs w:val="22"/>
                <w:lang w:val="es-CR"/>
              </w:rPr>
            </w:pPr>
            <w:r w:rsidRPr="00B94D35">
              <w:rPr>
                <w:rFonts w:ascii="Arial Narrow" w:eastAsia="Times New Roman" w:hAnsi="Arial Narrow" w:cs="Calibri"/>
                <w:b/>
                <w:bCs/>
                <w:color w:val="000000"/>
                <w:sz w:val="22"/>
                <w:szCs w:val="22"/>
                <w:lang w:val="es-CR"/>
              </w:rPr>
              <w:t>Co</w:t>
            </w:r>
            <w:r>
              <w:rPr>
                <w:rFonts w:ascii="Arial Narrow" w:eastAsia="Times New Roman" w:hAnsi="Arial Narrow" w:cs="Calibri"/>
                <w:b/>
                <w:bCs/>
                <w:color w:val="000000"/>
                <w:sz w:val="22"/>
                <w:szCs w:val="22"/>
                <w:lang w:val="es-CR"/>
              </w:rPr>
              <w:t>mbi</w:t>
            </w:r>
            <w:r w:rsidRPr="00B94D35">
              <w:rPr>
                <w:rFonts w:ascii="Arial Narrow" w:eastAsia="Times New Roman" w:hAnsi="Arial Narrow" w:cs="Calibri"/>
                <w:b/>
                <w:bCs/>
                <w:color w:val="000000"/>
                <w:sz w:val="22"/>
                <w:szCs w:val="22"/>
                <w:lang w:val="es-CR"/>
              </w:rPr>
              <w:t>nación</w:t>
            </w:r>
            <w:r w:rsidR="00B94D35" w:rsidRPr="00B94D35">
              <w:rPr>
                <w:rFonts w:ascii="Arial Narrow" w:eastAsia="Times New Roman" w:hAnsi="Arial Narrow" w:cs="Calibri"/>
                <w:b/>
                <w:bCs/>
                <w:color w:val="000000"/>
                <w:sz w:val="22"/>
                <w:szCs w:val="22"/>
                <w:lang w:val="es-CR"/>
              </w:rPr>
              <w:t xml:space="preserve"> de transacciones con y sin contraprestación.</w:t>
            </w:r>
          </w:p>
        </w:tc>
        <w:tc>
          <w:tcPr>
            <w:tcW w:w="2263" w:type="dxa"/>
            <w:tcBorders>
              <w:top w:val="single" w:sz="8" w:space="0" w:color="auto"/>
              <w:left w:val="nil"/>
              <w:bottom w:val="single" w:sz="8" w:space="0" w:color="auto"/>
              <w:right w:val="single" w:sz="8" w:space="0" w:color="auto"/>
            </w:tcBorders>
            <w:shd w:val="clear" w:color="auto" w:fill="auto"/>
            <w:vAlign w:val="center"/>
            <w:hideMark/>
          </w:tcPr>
          <w:p w14:paraId="6FC033C2" w14:textId="77777777" w:rsidR="00354C26" w:rsidRDefault="00B94D35" w:rsidP="00B94D35">
            <w:pPr>
              <w:jc w:val="both"/>
              <w:rPr>
                <w:rFonts w:ascii="Arial Narrow" w:eastAsia="Times New Roman" w:hAnsi="Arial Narrow" w:cs="Calibri"/>
                <w:b/>
                <w:bCs/>
                <w:color w:val="000000"/>
                <w:sz w:val="22"/>
                <w:szCs w:val="22"/>
              </w:rPr>
            </w:pPr>
            <w:r w:rsidRPr="00B94D35">
              <w:rPr>
                <w:rFonts w:ascii="Arial Narrow" w:eastAsia="Times New Roman" w:hAnsi="Arial Narrow" w:cs="Calibri"/>
                <w:b/>
                <w:bCs/>
                <w:color w:val="000000"/>
                <w:sz w:val="22"/>
                <w:szCs w:val="22"/>
              </w:rPr>
              <w:t>NICSP N° 23,</w:t>
            </w:r>
          </w:p>
          <w:p w14:paraId="1894BDE0" w14:textId="58BD4300" w:rsidR="00B94D35" w:rsidRPr="00B94D35" w:rsidRDefault="00B94D35" w:rsidP="00B94D35">
            <w:pPr>
              <w:jc w:val="both"/>
              <w:rPr>
                <w:rFonts w:ascii="Arial Narrow" w:eastAsia="Times New Roman" w:hAnsi="Arial Narrow" w:cs="Calibri"/>
                <w:b/>
                <w:bCs/>
                <w:color w:val="000000"/>
                <w:sz w:val="22"/>
                <w:szCs w:val="22"/>
              </w:rPr>
            </w:pPr>
            <w:r w:rsidRPr="00B94D35">
              <w:rPr>
                <w:rFonts w:ascii="Arial Narrow" w:eastAsia="Times New Roman" w:hAnsi="Arial Narrow" w:cs="Calibri"/>
                <w:b/>
                <w:bCs/>
                <w:color w:val="000000"/>
                <w:sz w:val="22"/>
                <w:szCs w:val="22"/>
              </w:rPr>
              <w:t>Párrafo 10.</w:t>
            </w:r>
          </w:p>
        </w:tc>
        <w:tc>
          <w:tcPr>
            <w:tcW w:w="1845" w:type="dxa"/>
            <w:tcBorders>
              <w:top w:val="single" w:sz="8" w:space="0" w:color="auto"/>
              <w:left w:val="nil"/>
              <w:bottom w:val="single" w:sz="8" w:space="0" w:color="auto"/>
              <w:right w:val="single" w:sz="8" w:space="0" w:color="auto"/>
            </w:tcBorders>
            <w:shd w:val="clear" w:color="auto" w:fill="auto"/>
            <w:vAlign w:val="center"/>
            <w:hideMark/>
          </w:tcPr>
          <w:p w14:paraId="1D44F2B9" w14:textId="77777777" w:rsidR="00B94D35" w:rsidRPr="00B94D35" w:rsidRDefault="00B94D35" w:rsidP="00B94D35">
            <w:pPr>
              <w:rPr>
                <w:rFonts w:ascii="Arial Narrow" w:eastAsia="Times New Roman" w:hAnsi="Arial Narrow" w:cs="Calibri"/>
                <w:b/>
                <w:bCs/>
                <w:color w:val="000000"/>
                <w:sz w:val="22"/>
                <w:szCs w:val="22"/>
              </w:rPr>
            </w:pPr>
            <w:r w:rsidRPr="00B94D35">
              <w:rPr>
                <w:rFonts w:ascii="Arial Narrow" w:eastAsia="Times New Roman" w:hAnsi="Arial Narrow" w:cs="Calibri"/>
                <w:b/>
                <w:bCs/>
                <w:color w:val="000000"/>
                <w:sz w:val="22"/>
                <w:szCs w:val="22"/>
              </w:rPr>
              <w:t> </w:t>
            </w:r>
          </w:p>
        </w:tc>
      </w:tr>
    </w:tbl>
    <w:p w14:paraId="2E195526" w14:textId="77777777" w:rsidR="008F6B30" w:rsidRDefault="008F6B30" w:rsidP="00354C26">
      <w:pPr>
        <w:pStyle w:val="Default"/>
        <w:ind w:right="261"/>
        <w:jc w:val="both"/>
        <w:rPr>
          <w:sz w:val="22"/>
          <w:szCs w:val="22"/>
          <w:lang w:val="es-CR"/>
        </w:rPr>
      </w:pPr>
    </w:p>
    <w:p w14:paraId="7C2EEF2D" w14:textId="0A1D02C4" w:rsidR="00354C26" w:rsidRDefault="00354C26" w:rsidP="00354C26">
      <w:pPr>
        <w:pStyle w:val="Default"/>
        <w:ind w:right="261"/>
        <w:jc w:val="both"/>
        <w:rPr>
          <w:rFonts w:eastAsia="Arial"/>
          <w:b/>
          <w:sz w:val="22"/>
          <w:szCs w:val="22"/>
        </w:rPr>
      </w:pPr>
      <w:r w:rsidRPr="00F02F9D">
        <w:rPr>
          <w:rFonts w:eastAsia="Arial"/>
          <w:b/>
          <w:sz w:val="22"/>
          <w:szCs w:val="22"/>
        </w:rPr>
        <w:lastRenderedPageBreak/>
        <w:t>Política Contable</w:t>
      </w:r>
    </w:p>
    <w:p w14:paraId="37164892" w14:textId="77777777" w:rsidR="00354C26" w:rsidRDefault="00354C26" w:rsidP="00354C26">
      <w:pPr>
        <w:pStyle w:val="Default"/>
        <w:ind w:right="261"/>
        <w:jc w:val="both"/>
        <w:rPr>
          <w:sz w:val="22"/>
          <w:szCs w:val="22"/>
          <w:lang w:val="es-CR"/>
        </w:rPr>
      </w:pPr>
    </w:p>
    <w:p w14:paraId="0281E39C" w14:textId="2AE238DC" w:rsidR="008F6B30" w:rsidRPr="00B94D35" w:rsidRDefault="00B94D35" w:rsidP="00F743BF">
      <w:pPr>
        <w:pStyle w:val="Default"/>
        <w:spacing w:after="120" w:line="238" w:lineRule="auto"/>
        <w:ind w:left="1134" w:right="26" w:hanging="1134"/>
        <w:jc w:val="both"/>
        <w:rPr>
          <w:sz w:val="22"/>
          <w:szCs w:val="22"/>
          <w:lang w:val="es-CR"/>
        </w:rPr>
      </w:pPr>
      <w:r>
        <w:rPr>
          <w:sz w:val="22"/>
          <w:szCs w:val="22"/>
          <w:lang w:val="es-CR"/>
        </w:rPr>
        <w:t>4.5.0.01</w:t>
      </w:r>
      <w:r>
        <w:rPr>
          <w:sz w:val="22"/>
          <w:szCs w:val="22"/>
          <w:lang w:val="es-CR"/>
        </w:rPr>
        <w:tab/>
      </w:r>
      <w:r w:rsidRPr="00B94D35">
        <w:rPr>
          <w:sz w:val="22"/>
          <w:szCs w:val="22"/>
          <w:lang w:val="es-CR"/>
        </w:rPr>
        <w:t xml:space="preserve">Existen transacciones sin contraprestación en las que la </w:t>
      </w:r>
      <w:r w:rsidR="00E71910">
        <w:rPr>
          <w:sz w:val="22"/>
          <w:szCs w:val="22"/>
          <w:lang w:val="es-CR"/>
        </w:rPr>
        <w:t>Municipalidad</w:t>
      </w:r>
      <w:r w:rsidRPr="00B94D35">
        <w:rPr>
          <w:sz w:val="22"/>
          <w:szCs w:val="22"/>
          <w:lang w:val="es-CR"/>
        </w:rPr>
        <w:t xml:space="preserve"> puede proporcionar alguna contraprestación directamente a </w:t>
      </w:r>
      <w:r w:rsidR="005907B3" w:rsidRPr="00B94D35">
        <w:rPr>
          <w:sz w:val="22"/>
          <w:szCs w:val="22"/>
          <w:lang w:val="es-CR"/>
        </w:rPr>
        <w:t>ca</w:t>
      </w:r>
      <w:r w:rsidR="005907B3">
        <w:rPr>
          <w:sz w:val="22"/>
          <w:szCs w:val="22"/>
          <w:lang w:val="es-CR"/>
        </w:rPr>
        <w:t>mbi</w:t>
      </w:r>
      <w:r w:rsidR="005907B3" w:rsidRPr="00B94D35">
        <w:rPr>
          <w:sz w:val="22"/>
          <w:szCs w:val="22"/>
          <w:lang w:val="es-CR"/>
        </w:rPr>
        <w:t>o</w:t>
      </w:r>
      <w:r w:rsidRPr="00B94D35">
        <w:rPr>
          <w:sz w:val="22"/>
          <w:szCs w:val="22"/>
          <w:lang w:val="es-CR"/>
        </w:rPr>
        <w:t xml:space="preserve"> de los recursos recibidos, pero esta contraprestación no se aproxima al valor razonable de los recursos recibidos. En estos casos, la </w:t>
      </w:r>
      <w:r w:rsidR="00E71910">
        <w:rPr>
          <w:sz w:val="22"/>
          <w:szCs w:val="22"/>
          <w:lang w:val="es-CR"/>
        </w:rPr>
        <w:t>Municipalidad</w:t>
      </w:r>
      <w:r w:rsidRPr="00B94D35">
        <w:rPr>
          <w:sz w:val="22"/>
          <w:szCs w:val="22"/>
          <w:lang w:val="es-CR"/>
        </w:rPr>
        <w:t xml:space="preserve"> determina si hay una </w:t>
      </w:r>
      <w:r w:rsidR="005907B3" w:rsidRPr="00B94D35">
        <w:rPr>
          <w:sz w:val="22"/>
          <w:szCs w:val="22"/>
          <w:lang w:val="es-CR"/>
        </w:rPr>
        <w:t>co</w:t>
      </w:r>
      <w:r w:rsidR="005907B3">
        <w:rPr>
          <w:sz w:val="22"/>
          <w:szCs w:val="22"/>
          <w:lang w:val="es-CR"/>
        </w:rPr>
        <w:t>mbi</w:t>
      </w:r>
      <w:r w:rsidR="005907B3" w:rsidRPr="00B94D35">
        <w:rPr>
          <w:sz w:val="22"/>
          <w:szCs w:val="22"/>
          <w:lang w:val="es-CR"/>
        </w:rPr>
        <w:t>nación</w:t>
      </w:r>
      <w:r w:rsidRPr="00B94D35">
        <w:rPr>
          <w:sz w:val="22"/>
          <w:szCs w:val="22"/>
          <w:lang w:val="es-CR"/>
        </w:rPr>
        <w:t xml:space="preserve"> de transacciones con contraprestación y sin contraprestación, cada componente de las cuales se reconoce de manera separada.</w:t>
      </w:r>
    </w:p>
    <w:p w14:paraId="55357301" w14:textId="77777777" w:rsidR="00E71910" w:rsidRDefault="00E71910" w:rsidP="00354C26">
      <w:pPr>
        <w:pStyle w:val="Default"/>
        <w:ind w:right="261"/>
        <w:jc w:val="both"/>
        <w:rPr>
          <w:sz w:val="22"/>
          <w:szCs w:val="22"/>
          <w:lang w:val="es-CR"/>
        </w:rPr>
      </w:pPr>
    </w:p>
    <w:p w14:paraId="0EBA317C" w14:textId="77777777" w:rsidR="00354C26" w:rsidRDefault="00354C26" w:rsidP="00354C26">
      <w:pPr>
        <w:pStyle w:val="Default"/>
        <w:ind w:right="261"/>
        <w:jc w:val="both"/>
        <w:rPr>
          <w:sz w:val="22"/>
          <w:szCs w:val="22"/>
          <w:lang w:val="es-CR"/>
        </w:rPr>
      </w:pPr>
    </w:p>
    <w:p w14:paraId="3068B9FA" w14:textId="7E89CDB8" w:rsidR="00E71910" w:rsidRPr="00952BFE" w:rsidRDefault="00E71910" w:rsidP="00952BFE">
      <w:pPr>
        <w:pStyle w:val="Ttulo2"/>
        <w:ind w:left="284"/>
        <w:rPr>
          <w:rFonts w:ascii="Arial" w:eastAsia="Arial" w:hAnsi="Arial" w:cs="Arial"/>
          <w:b/>
          <w:bCs/>
          <w:sz w:val="20"/>
          <w:szCs w:val="20"/>
          <w:lang w:val="es-CR"/>
        </w:rPr>
      </w:pPr>
      <w:bookmarkStart w:id="121" w:name="_Toc172726256"/>
      <w:r w:rsidRPr="00952BFE">
        <w:rPr>
          <w:rFonts w:ascii="Arial" w:eastAsia="Arial" w:hAnsi="Arial" w:cs="Arial"/>
          <w:b/>
          <w:bCs/>
          <w:sz w:val="20"/>
          <w:szCs w:val="20"/>
          <w:lang w:val="es-CR"/>
        </w:rPr>
        <w:t>Ingresos de transacciones sin contraprestación</w:t>
      </w:r>
      <w:bookmarkEnd w:id="121"/>
    </w:p>
    <w:p w14:paraId="4E88B127" w14:textId="77777777" w:rsidR="00E71910" w:rsidRDefault="00E71910" w:rsidP="002A638A">
      <w:pPr>
        <w:pStyle w:val="Default"/>
        <w:spacing w:after="120" w:line="238" w:lineRule="auto"/>
        <w:ind w:right="260"/>
        <w:jc w:val="both"/>
        <w:rPr>
          <w:sz w:val="22"/>
          <w:szCs w:val="22"/>
          <w:lang w:val="es-CR"/>
        </w:rPr>
      </w:pPr>
    </w:p>
    <w:tbl>
      <w:tblPr>
        <w:tblW w:w="9346" w:type="dxa"/>
        <w:tblLayout w:type="fixed"/>
        <w:tblLook w:val="04A0" w:firstRow="1" w:lastRow="0" w:firstColumn="1" w:lastColumn="0" w:noHBand="0" w:noVBand="1"/>
      </w:tblPr>
      <w:tblGrid>
        <w:gridCol w:w="768"/>
        <w:gridCol w:w="317"/>
        <w:gridCol w:w="465"/>
        <w:gridCol w:w="3686"/>
        <w:gridCol w:w="2246"/>
        <w:gridCol w:w="1864"/>
      </w:tblGrid>
      <w:tr w:rsidR="00E71910" w:rsidRPr="00E71910" w14:paraId="112FA6A6" w14:textId="77777777" w:rsidTr="00F743BF">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5078B72" w14:textId="77777777" w:rsidR="00E71910" w:rsidRPr="00E71910" w:rsidRDefault="00E71910" w:rsidP="00E71910">
            <w:pPr>
              <w:jc w:val="center"/>
              <w:rPr>
                <w:rFonts w:ascii="Arial Narrow" w:eastAsia="Times New Roman" w:hAnsi="Arial Narrow" w:cs="Calibri"/>
                <w:b/>
                <w:bCs/>
                <w:color w:val="FFFFFF"/>
                <w:sz w:val="22"/>
                <w:szCs w:val="22"/>
              </w:rPr>
            </w:pPr>
            <w:r w:rsidRPr="00E71910">
              <w:rPr>
                <w:rFonts w:ascii="Arial Narrow" w:eastAsia="Times New Roman" w:hAnsi="Arial Narrow" w:cs="Calibri"/>
                <w:b/>
                <w:bCs/>
                <w:color w:val="FFFFFF"/>
                <w:sz w:val="22"/>
                <w:szCs w:val="22"/>
              </w:rPr>
              <w:t>Norma / Política</w:t>
            </w:r>
          </w:p>
        </w:tc>
        <w:tc>
          <w:tcPr>
            <w:tcW w:w="3686" w:type="dxa"/>
            <w:vMerge w:val="restart"/>
            <w:tcBorders>
              <w:top w:val="single" w:sz="8" w:space="0" w:color="auto"/>
              <w:left w:val="single" w:sz="8" w:space="0" w:color="auto"/>
              <w:bottom w:val="nil"/>
              <w:right w:val="single" w:sz="8" w:space="0" w:color="auto"/>
            </w:tcBorders>
            <w:shd w:val="clear" w:color="000000" w:fill="203764"/>
            <w:vAlign w:val="center"/>
            <w:hideMark/>
          </w:tcPr>
          <w:p w14:paraId="5D7D5048" w14:textId="77777777" w:rsidR="00E71910" w:rsidRPr="00E71910" w:rsidRDefault="00E71910" w:rsidP="00E71910">
            <w:pPr>
              <w:jc w:val="center"/>
              <w:rPr>
                <w:rFonts w:ascii="Arial Narrow" w:eastAsia="Times New Roman" w:hAnsi="Arial Narrow" w:cs="Calibri"/>
                <w:b/>
                <w:bCs/>
                <w:color w:val="FFFFFF"/>
                <w:sz w:val="22"/>
                <w:szCs w:val="22"/>
              </w:rPr>
            </w:pPr>
            <w:r w:rsidRPr="00E71910">
              <w:rPr>
                <w:rFonts w:ascii="Arial Narrow" w:eastAsia="Times New Roman" w:hAnsi="Arial Narrow" w:cs="Calibri"/>
                <w:b/>
                <w:bCs/>
                <w:color w:val="FFFFFF"/>
                <w:sz w:val="22"/>
                <w:szCs w:val="22"/>
              </w:rPr>
              <w:t>Concepto</w:t>
            </w:r>
          </w:p>
        </w:tc>
        <w:tc>
          <w:tcPr>
            <w:tcW w:w="4110" w:type="dxa"/>
            <w:gridSpan w:val="2"/>
            <w:tcBorders>
              <w:top w:val="single" w:sz="8" w:space="0" w:color="auto"/>
              <w:left w:val="nil"/>
              <w:bottom w:val="single" w:sz="8" w:space="0" w:color="auto"/>
              <w:right w:val="single" w:sz="8" w:space="0" w:color="000000"/>
            </w:tcBorders>
            <w:shd w:val="clear" w:color="000000" w:fill="203764"/>
            <w:vAlign w:val="center"/>
            <w:hideMark/>
          </w:tcPr>
          <w:p w14:paraId="2B7DB904" w14:textId="77777777" w:rsidR="00E71910" w:rsidRPr="00E71910" w:rsidRDefault="00E71910" w:rsidP="00E71910">
            <w:pPr>
              <w:jc w:val="center"/>
              <w:rPr>
                <w:rFonts w:ascii="Arial Narrow" w:eastAsia="Times New Roman" w:hAnsi="Arial Narrow" w:cs="Calibri"/>
                <w:b/>
                <w:bCs/>
                <w:color w:val="FFFFFF"/>
                <w:sz w:val="22"/>
                <w:szCs w:val="22"/>
              </w:rPr>
            </w:pPr>
            <w:r w:rsidRPr="00E71910">
              <w:rPr>
                <w:rFonts w:ascii="Arial Narrow" w:eastAsia="Times New Roman" w:hAnsi="Arial Narrow" w:cs="Calibri"/>
                <w:b/>
                <w:bCs/>
                <w:color w:val="FFFFFF"/>
                <w:sz w:val="22"/>
                <w:szCs w:val="22"/>
              </w:rPr>
              <w:t>Referencia</w:t>
            </w:r>
          </w:p>
        </w:tc>
      </w:tr>
      <w:tr w:rsidR="00E71910" w:rsidRPr="006E5442" w14:paraId="69888063" w14:textId="77777777" w:rsidTr="00F743BF">
        <w:trPr>
          <w:trHeight w:val="1320"/>
        </w:trPr>
        <w:tc>
          <w:tcPr>
            <w:tcW w:w="1550" w:type="dxa"/>
            <w:gridSpan w:val="3"/>
            <w:vMerge/>
            <w:tcBorders>
              <w:top w:val="single" w:sz="8" w:space="0" w:color="auto"/>
              <w:left w:val="single" w:sz="8" w:space="0" w:color="auto"/>
              <w:bottom w:val="nil"/>
              <w:right w:val="single" w:sz="8" w:space="0" w:color="000000"/>
            </w:tcBorders>
            <w:vAlign w:val="center"/>
            <w:hideMark/>
          </w:tcPr>
          <w:p w14:paraId="6C18D9C3" w14:textId="77777777" w:rsidR="00E71910" w:rsidRPr="00E71910" w:rsidRDefault="00E71910" w:rsidP="00E71910">
            <w:pPr>
              <w:rPr>
                <w:rFonts w:ascii="Arial Narrow" w:eastAsia="Times New Roman" w:hAnsi="Arial Narrow" w:cs="Calibri"/>
                <w:b/>
                <w:bCs/>
                <w:color w:val="FFFFFF"/>
                <w:sz w:val="22"/>
                <w:szCs w:val="22"/>
              </w:rPr>
            </w:pPr>
          </w:p>
        </w:tc>
        <w:tc>
          <w:tcPr>
            <w:tcW w:w="3686" w:type="dxa"/>
            <w:vMerge/>
            <w:tcBorders>
              <w:top w:val="single" w:sz="8" w:space="0" w:color="auto"/>
              <w:left w:val="single" w:sz="8" w:space="0" w:color="auto"/>
              <w:bottom w:val="nil"/>
              <w:right w:val="single" w:sz="8" w:space="0" w:color="auto"/>
            </w:tcBorders>
            <w:vAlign w:val="center"/>
            <w:hideMark/>
          </w:tcPr>
          <w:p w14:paraId="1066F52B" w14:textId="77777777" w:rsidR="00E71910" w:rsidRPr="00E71910" w:rsidRDefault="00E71910" w:rsidP="00E71910">
            <w:pPr>
              <w:rPr>
                <w:rFonts w:ascii="Arial Narrow" w:eastAsia="Times New Roman" w:hAnsi="Arial Narrow" w:cs="Calibri"/>
                <w:b/>
                <w:bCs/>
                <w:color w:val="FFFFFF"/>
                <w:sz w:val="22"/>
                <w:szCs w:val="22"/>
              </w:rPr>
            </w:pPr>
          </w:p>
        </w:tc>
        <w:tc>
          <w:tcPr>
            <w:tcW w:w="2246" w:type="dxa"/>
            <w:tcBorders>
              <w:top w:val="nil"/>
              <w:left w:val="nil"/>
              <w:bottom w:val="nil"/>
              <w:right w:val="single" w:sz="8" w:space="0" w:color="auto"/>
            </w:tcBorders>
            <w:shd w:val="clear" w:color="000000" w:fill="203764"/>
            <w:vAlign w:val="center"/>
            <w:hideMark/>
          </w:tcPr>
          <w:p w14:paraId="58D838AE" w14:textId="77777777" w:rsidR="00E71910" w:rsidRPr="00E71910" w:rsidRDefault="00E71910" w:rsidP="00E71910">
            <w:pPr>
              <w:jc w:val="center"/>
              <w:rPr>
                <w:rFonts w:ascii="Arial Narrow" w:eastAsia="Times New Roman" w:hAnsi="Arial Narrow" w:cs="Calibri"/>
                <w:b/>
                <w:bCs/>
                <w:color w:val="FFFFFF"/>
                <w:sz w:val="22"/>
                <w:szCs w:val="22"/>
              </w:rPr>
            </w:pPr>
            <w:r w:rsidRPr="00E71910">
              <w:rPr>
                <w:rFonts w:ascii="Arial Narrow" w:eastAsia="Times New Roman" w:hAnsi="Arial Narrow" w:cs="Calibri"/>
                <w:b/>
                <w:bCs/>
                <w:color w:val="FFFFFF"/>
                <w:sz w:val="22"/>
                <w:szCs w:val="22"/>
              </w:rPr>
              <w:t>Norma</w:t>
            </w:r>
          </w:p>
        </w:tc>
        <w:tc>
          <w:tcPr>
            <w:tcW w:w="1864" w:type="dxa"/>
            <w:tcBorders>
              <w:top w:val="nil"/>
              <w:left w:val="nil"/>
              <w:bottom w:val="nil"/>
              <w:right w:val="single" w:sz="8" w:space="0" w:color="auto"/>
            </w:tcBorders>
            <w:shd w:val="clear" w:color="000000" w:fill="203764"/>
            <w:vAlign w:val="center"/>
            <w:hideMark/>
          </w:tcPr>
          <w:p w14:paraId="7A033EAE" w14:textId="77777777" w:rsidR="00E71910" w:rsidRPr="00E71910" w:rsidRDefault="00E71910" w:rsidP="00E71910">
            <w:pPr>
              <w:jc w:val="center"/>
              <w:rPr>
                <w:rFonts w:ascii="Arial Narrow" w:eastAsia="Times New Roman" w:hAnsi="Arial Narrow" w:cs="Calibri"/>
                <w:b/>
                <w:bCs/>
                <w:color w:val="FFFFFF"/>
                <w:sz w:val="22"/>
                <w:szCs w:val="22"/>
                <w:lang w:val="es-CR"/>
              </w:rPr>
            </w:pPr>
            <w:r w:rsidRPr="00E71910">
              <w:rPr>
                <w:rFonts w:ascii="Arial Narrow" w:eastAsia="Times New Roman" w:hAnsi="Arial Narrow" w:cs="Calibri"/>
                <w:b/>
                <w:bCs/>
                <w:color w:val="FFFFFF"/>
                <w:sz w:val="22"/>
                <w:szCs w:val="22"/>
                <w:lang w:val="es-CR"/>
              </w:rPr>
              <w:t>Normativa técnica y disposiciones adicionales</w:t>
            </w:r>
          </w:p>
        </w:tc>
      </w:tr>
      <w:tr w:rsidR="00E71910" w:rsidRPr="00E71910" w14:paraId="65207CCF" w14:textId="77777777" w:rsidTr="00F743BF">
        <w:trPr>
          <w:trHeight w:val="570"/>
        </w:trPr>
        <w:tc>
          <w:tcPr>
            <w:tcW w:w="7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B23473" w14:textId="77777777" w:rsidR="00E71910" w:rsidRPr="00E71910" w:rsidRDefault="00E71910" w:rsidP="00E71910">
            <w:pPr>
              <w:jc w:val="cente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4</w:t>
            </w:r>
          </w:p>
        </w:tc>
        <w:tc>
          <w:tcPr>
            <w:tcW w:w="317" w:type="dxa"/>
            <w:tcBorders>
              <w:top w:val="single" w:sz="8" w:space="0" w:color="auto"/>
              <w:left w:val="nil"/>
              <w:bottom w:val="single" w:sz="8" w:space="0" w:color="auto"/>
              <w:right w:val="single" w:sz="8" w:space="0" w:color="auto"/>
            </w:tcBorders>
            <w:shd w:val="clear" w:color="auto" w:fill="auto"/>
            <w:noWrap/>
            <w:vAlign w:val="center"/>
            <w:hideMark/>
          </w:tcPr>
          <w:p w14:paraId="3392FB7E" w14:textId="77777777" w:rsidR="00E71910" w:rsidRPr="00E71910" w:rsidRDefault="00E71910" w:rsidP="00E71910">
            <w:pPr>
              <w:jc w:val="cente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6</w:t>
            </w:r>
          </w:p>
        </w:tc>
        <w:tc>
          <w:tcPr>
            <w:tcW w:w="465" w:type="dxa"/>
            <w:tcBorders>
              <w:top w:val="single" w:sz="8" w:space="0" w:color="auto"/>
              <w:left w:val="nil"/>
              <w:bottom w:val="single" w:sz="8" w:space="0" w:color="auto"/>
              <w:right w:val="single" w:sz="8" w:space="0" w:color="auto"/>
            </w:tcBorders>
            <w:shd w:val="clear" w:color="auto" w:fill="auto"/>
            <w:vAlign w:val="center"/>
            <w:hideMark/>
          </w:tcPr>
          <w:p w14:paraId="28C6D0D7" w14:textId="49DF5074" w:rsidR="00E71910" w:rsidRPr="00E71910" w:rsidRDefault="00E71910" w:rsidP="00E71910">
            <w:pPr>
              <w:jc w:val="center"/>
              <w:rPr>
                <w:rFonts w:ascii="Arial Narrow" w:eastAsia="Times New Roman" w:hAnsi="Arial Narrow" w:cs="Calibri"/>
                <w:b/>
                <w:bCs/>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vAlign w:val="center"/>
            <w:hideMark/>
          </w:tcPr>
          <w:p w14:paraId="6E468731" w14:textId="77777777" w:rsidR="00E71910" w:rsidRPr="00E71910" w:rsidRDefault="00E71910" w:rsidP="00E71910">
            <w:pPr>
              <w:jc w:val="both"/>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Estipulaciones</w:t>
            </w:r>
          </w:p>
        </w:tc>
        <w:tc>
          <w:tcPr>
            <w:tcW w:w="2246" w:type="dxa"/>
            <w:tcBorders>
              <w:top w:val="single" w:sz="8" w:space="0" w:color="auto"/>
              <w:left w:val="nil"/>
              <w:bottom w:val="single" w:sz="8" w:space="0" w:color="auto"/>
              <w:right w:val="single" w:sz="8" w:space="0" w:color="auto"/>
            </w:tcBorders>
            <w:shd w:val="clear" w:color="auto" w:fill="auto"/>
            <w:vAlign w:val="center"/>
            <w:hideMark/>
          </w:tcPr>
          <w:p w14:paraId="23C34336" w14:textId="77777777" w:rsidR="00547734" w:rsidRDefault="00E71910" w:rsidP="00E71910">
            <w:pPr>
              <w:jc w:val="both"/>
              <w:rPr>
                <w:rFonts w:ascii="Arial Narrow" w:eastAsia="Times New Roman" w:hAnsi="Arial Narrow" w:cs="Calibri"/>
                <w:b/>
                <w:bCs/>
                <w:color w:val="000000"/>
                <w:sz w:val="22"/>
                <w:szCs w:val="22"/>
                <w:lang w:val="es-CR"/>
              </w:rPr>
            </w:pPr>
            <w:r w:rsidRPr="00E71910">
              <w:rPr>
                <w:rFonts w:ascii="Arial Narrow" w:eastAsia="Times New Roman" w:hAnsi="Arial Narrow" w:cs="Calibri"/>
                <w:b/>
                <w:bCs/>
                <w:color w:val="000000"/>
                <w:sz w:val="22"/>
                <w:szCs w:val="22"/>
                <w:lang w:val="es-CR"/>
              </w:rPr>
              <w:t>NICSP N° 23,</w:t>
            </w:r>
          </w:p>
          <w:p w14:paraId="22BD60C2" w14:textId="14F6386D" w:rsidR="00E71910" w:rsidRPr="00E71910" w:rsidRDefault="00E71910" w:rsidP="00E71910">
            <w:pPr>
              <w:jc w:val="both"/>
              <w:rPr>
                <w:rFonts w:ascii="Arial Narrow" w:eastAsia="Times New Roman" w:hAnsi="Arial Narrow" w:cs="Calibri"/>
                <w:b/>
                <w:bCs/>
                <w:color w:val="000000"/>
                <w:sz w:val="22"/>
                <w:szCs w:val="22"/>
                <w:lang w:val="es-CR"/>
              </w:rPr>
            </w:pPr>
            <w:r w:rsidRPr="00E71910">
              <w:rPr>
                <w:rFonts w:ascii="Arial Narrow" w:eastAsia="Times New Roman" w:hAnsi="Arial Narrow" w:cs="Calibri"/>
                <w:b/>
                <w:bCs/>
                <w:color w:val="000000"/>
                <w:sz w:val="22"/>
                <w:szCs w:val="22"/>
                <w:lang w:val="es-CR"/>
              </w:rPr>
              <w:t>Párrafos 14 a 17 y 19.</w:t>
            </w:r>
          </w:p>
        </w:tc>
        <w:tc>
          <w:tcPr>
            <w:tcW w:w="1864" w:type="dxa"/>
            <w:tcBorders>
              <w:top w:val="single" w:sz="8" w:space="0" w:color="auto"/>
              <w:left w:val="nil"/>
              <w:bottom w:val="single" w:sz="8" w:space="0" w:color="auto"/>
              <w:right w:val="single" w:sz="8" w:space="0" w:color="auto"/>
            </w:tcBorders>
            <w:shd w:val="clear" w:color="auto" w:fill="auto"/>
            <w:vAlign w:val="center"/>
            <w:hideMark/>
          </w:tcPr>
          <w:p w14:paraId="5635B2FD" w14:textId="77777777" w:rsidR="00E71910" w:rsidRPr="00E71910" w:rsidRDefault="00E71910" w:rsidP="00E71910">
            <w:pP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DGCN</w:t>
            </w:r>
          </w:p>
        </w:tc>
      </w:tr>
      <w:tr w:rsidR="00E71910" w:rsidRPr="00E71910" w14:paraId="36C633DA" w14:textId="77777777" w:rsidTr="00F743BF">
        <w:trPr>
          <w:trHeight w:val="570"/>
        </w:trPr>
        <w:tc>
          <w:tcPr>
            <w:tcW w:w="768" w:type="dxa"/>
            <w:tcBorders>
              <w:top w:val="nil"/>
              <w:left w:val="single" w:sz="8" w:space="0" w:color="auto"/>
              <w:bottom w:val="single" w:sz="8" w:space="0" w:color="auto"/>
              <w:right w:val="single" w:sz="8" w:space="0" w:color="auto"/>
            </w:tcBorders>
            <w:shd w:val="clear" w:color="auto" w:fill="auto"/>
            <w:vAlign w:val="center"/>
            <w:hideMark/>
          </w:tcPr>
          <w:p w14:paraId="2A60F66E" w14:textId="77777777" w:rsidR="00E71910" w:rsidRPr="00E71910" w:rsidRDefault="00E71910" w:rsidP="00E71910">
            <w:pPr>
              <w:jc w:val="cente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4</w:t>
            </w:r>
          </w:p>
        </w:tc>
        <w:tc>
          <w:tcPr>
            <w:tcW w:w="317" w:type="dxa"/>
            <w:tcBorders>
              <w:top w:val="nil"/>
              <w:left w:val="nil"/>
              <w:bottom w:val="single" w:sz="8" w:space="0" w:color="auto"/>
              <w:right w:val="single" w:sz="8" w:space="0" w:color="auto"/>
            </w:tcBorders>
            <w:shd w:val="clear" w:color="auto" w:fill="auto"/>
            <w:noWrap/>
            <w:vAlign w:val="center"/>
            <w:hideMark/>
          </w:tcPr>
          <w:p w14:paraId="64DA9CA5" w14:textId="77777777" w:rsidR="00E71910" w:rsidRPr="00E71910" w:rsidRDefault="00E71910" w:rsidP="00E71910">
            <w:pPr>
              <w:jc w:val="cente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6</w:t>
            </w:r>
          </w:p>
        </w:tc>
        <w:tc>
          <w:tcPr>
            <w:tcW w:w="465" w:type="dxa"/>
            <w:tcBorders>
              <w:top w:val="nil"/>
              <w:left w:val="nil"/>
              <w:bottom w:val="single" w:sz="8" w:space="0" w:color="auto"/>
              <w:right w:val="single" w:sz="8" w:space="0" w:color="auto"/>
            </w:tcBorders>
            <w:shd w:val="clear" w:color="auto" w:fill="auto"/>
            <w:vAlign w:val="center"/>
            <w:hideMark/>
          </w:tcPr>
          <w:p w14:paraId="31B8591B" w14:textId="77777777" w:rsidR="00E71910" w:rsidRPr="00E71910" w:rsidRDefault="00E71910" w:rsidP="00E71910">
            <w:pPr>
              <w:jc w:val="cente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1</w:t>
            </w:r>
          </w:p>
        </w:tc>
        <w:tc>
          <w:tcPr>
            <w:tcW w:w="3686" w:type="dxa"/>
            <w:tcBorders>
              <w:top w:val="nil"/>
              <w:left w:val="nil"/>
              <w:bottom w:val="single" w:sz="8" w:space="0" w:color="auto"/>
              <w:right w:val="single" w:sz="8" w:space="0" w:color="auto"/>
            </w:tcBorders>
            <w:shd w:val="clear" w:color="auto" w:fill="auto"/>
            <w:vAlign w:val="center"/>
            <w:hideMark/>
          </w:tcPr>
          <w:p w14:paraId="083F419F" w14:textId="77777777" w:rsidR="00E71910" w:rsidRPr="00E71910" w:rsidRDefault="00E71910" w:rsidP="00E71910">
            <w:pPr>
              <w:jc w:val="both"/>
              <w:rPr>
                <w:rFonts w:ascii="Arial Narrow" w:eastAsia="Times New Roman" w:hAnsi="Arial Narrow" w:cs="Calibri"/>
                <w:b/>
                <w:bCs/>
                <w:color w:val="000000"/>
                <w:sz w:val="22"/>
                <w:szCs w:val="22"/>
                <w:lang w:val="es-CR"/>
              </w:rPr>
            </w:pPr>
            <w:r w:rsidRPr="00E71910">
              <w:rPr>
                <w:rFonts w:ascii="Arial Narrow" w:eastAsia="Times New Roman" w:hAnsi="Arial Narrow" w:cs="Calibri"/>
                <w:b/>
                <w:bCs/>
                <w:color w:val="000000"/>
                <w:sz w:val="22"/>
                <w:szCs w:val="22"/>
                <w:lang w:val="es-CR"/>
              </w:rPr>
              <w:t>La esencia sobre la forma</w:t>
            </w:r>
          </w:p>
        </w:tc>
        <w:tc>
          <w:tcPr>
            <w:tcW w:w="2246" w:type="dxa"/>
            <w:tcBorders>
              <w:top w:val="nil"/>
              <w:left w:val="nil"/>
              <w:bottom w:val="single" w:sz="8" w:space="0" w:color="auto"/>
              <w:right w:val="single" w:sz="8" w:space="0" w:color="auto"/>
            </w:tcBorders>
            <w:shd w:val="clear" w:color="auto" w:fill="auto"/>
            <w:vAlign w:val="center"/>
            <w:hideMark/>
          </w:tcPr>
          <w:p w14:paraId="119D0759" w14:textId="77777777" w:rsidR="00547734" w:rsidRDefault="00E71910" w:rsidP="00E71910">
            <w:pPr>
              <w:jc w:val="both"/>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lang w:val="es-CR"/>
              </w:rPr>
              <w:t xml:space="preserve"> </w:t>
            </w:r>
            <w:r w:rsidRPr="00E71910">
              <w:rPr>
                <w:rFonts w:ascii="Arial Narrow" w:eastAsia="Times New Roman" w:hAnsi="Arial Narrow" w:cs="Calibri"/>
                <w:b/>
                <w:bCs/>
                <w:color w:val="000000"/>
                <w:sz w:val="22"/>
                <w:szCs w:val="22"/>
              </w:rPr>
              <w:t>NICSP N° 23,</w:t>
            </w:r>
          </w:p>
          <w:p w14:paraId="7DC517F2" w14:textId="502F8A9E" w:rsidR="00E71910" w:rsidRPr="00E71910" w:rsidRDefault="00E71910" w:rsidP="00E71910">
            <w:pPr>
              <w:jc w:val="both"/>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Párrafos 20 y 21.</w:t>
            </w:r>
          </w:p>
        </w:tc>
        <w:tc>
          <w:tcPr>
            <w:tcW w:w="1864" w:type="dxa"/>
            <w:tcBorders>
              <w:top w:val="nil"/>
              <w:left w:val="nil"/>
              <w:bottom w:val="single" w:sz="8" w:space="0" w:color="auto"/>
              <w:right w:val="single" w:sz="8" w:space="0" w:color="auto"/>
            </w:tcBorders>
            <w:shd w:val="clear" w:color="auto" w:fill="auto"/>
            <w:vAlign w:val="center"/>
            <w:hideMark/>
          </w:tcPr>
          <w:p w14:paraId="0D349F0B" w14:textId="77777777" w:rsidR="00E71910" w:rsidRPr="00E71910" w:rsidRDefault="00E71910" w:rsidP="00E71910">
            <w:pP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 xml:space="preserve"> </w:t>
            </w:r>
          </w:p>
        </w:tc>
      </w:tr>
      <w:tr w:rsidR="00E71910" w:rsidRPr="00E71910" w14:paraId="1A3571B6" w14:textId="77777777" w:rsidTr="00F743BF">
        <w:trPr>
          <w:trHeight w:val="570"/>
        </w:trPr>
        <w:tc>
          <w:tcPr>
            <w:tcW w:w="768" w:type="dxa"/>
            <w:tcBorders>
              <w:top w:val="nil"/>
              <w:left w:val="single" w:sz="8" w:space="0" w:color="auto"/>
              <w:bottom w:val="single" w:sz="8" w:space="0" w:color="auto"/>
              <w:right w:val="single" w:sz="8" w:space="0" w:color="auto"/>
            </w:tcBorders>
            <w:shd w:val="clear" w:color="auto" w:fill="auto"/>
            <w:vAlign w:val="center"/>
            <w:hideMark/>
          </w:tcPr>
          <w:p w14:paraId="6CBFF747" w14:textId="77777777" w:rsidR="00E71910" w:rsidRPr="00E71910" w:rsidRDefault="00E71910" w:rsidP="00E71910">
            <w:pPr>
              <w:jc w:val="cente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4</w:t>
            </w:r>
          </w:p>
        </w:tc>
        <w:tc>
          <w:tcPr>
            <w:tcW w:w="317" w:type="dxa"/>
            <w:tcBorders>
              <w:top w:val="nil"/>
              <w:left w:val="nil"/>
              <w:bottom w:val="single" w:sz="8" w:space="0" w:color="auto"/>
              <w:right w:val="single" w:sz="8" w:space="0" w:color="auto"/>
            </w:tcBorders>
            <w:shd w:val="clear" w:color="auto" w:fill="auto"/>
            <w:noWrap/>
            <w:vAlign w:val="center"/>
            <w:hideMark/>
          </w:tcPr>
          <w:p w14:paraId="1B7E4AC4" w14:textId="77777777" w:rsidR="00E71910" w:rsidRPr="00E71910" w:rsidRDefault="00E71910" w:rsidP="00E71910">
            <w:pPr>
              <w:jc w:val="cente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6</w:t>
            </w:r>
          </w:p>
        </w:tc>
        <w:tc>
          <w:tcPr>
            <w:tcW w:w="465" w:type="dxa"/>
            <w:tcBorders>
              <w:top w:val="nil"/>
              <w:left w:val="nil"/>
              <w:bottom w:val="single" w:sz="8" w:space="0" w:color="auto"/>
              <w:right w:val="single" w:sz="8" w:space="0" w:color="auto"/>
            </w:tcBorders>
            <w:shd w:val="clear" w:color="auto" w:fill="auto"/>
            <w:vAlign w:val="center"/>
            <w:hideMark/>
          </w:tcPr>
          <w:p w14:paraId="5707114D" w14:textId="77777777" w:rsidR="00E71910" w:rsidRPr="00E71910" w:rsidRDefault="00E71910" w:rsidP="00E71910">
            <w:pPr>
              <w:jc w:val="cente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2</w:t>
            </w:r>
          </w:p>
        </w:tc>
        <w:tc>
          <w:tcPr>
            <w:tcW w:w="3686" w:type="dxa"/>
            <w:tcBorders>
              <w:top w:val="nil"/>
              <w:left w:val="nil"/>
              <w:bottom w:val="single" w:sz="8" w:space="0" w:color="auto"/>
              <w:right w:val="single" w:sz="8" w:space="0" w:color="auto"/>
            </w:tcBorders>
            <w:shd w:val="clear" w:color="auto" w:fill="auto"/>
            <w:vAlign w:val="center"/>
            <w:hideMark/>
          </w:tcPr>
          <w:p w14:paraId="452F977B" w14:textId="77777777" w:rsidR="00E71910" w:rsidRPr="00E71910" w:rsidRDefault="00E71910" w:rsidP="00E71910">
            <w:pPr>
              <w:jc w:val="both"/>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Reconocimiento de condiciones</w:t>
            </w:r>
          </w:p>
        </w:tc>
        <w:tc>
          <w:tcPr>
            <w:tcW w:w="2246" w:type="dxa"/>
            <w:tcBorders>
              <w:top w:val="nil"/>
              <w:left w:val="nil"/>
              <w:bottom w:val="single" w:sz="8" w:space="0" w:color="auto"/>
              <w:right w:val="single" w:sz="8" w:space="0" w:color="auto"/>
            </w:tcBorders>
            <w:shd w:val="clear" w:color="auto" w:fill="auto"/>
            <w:vAlign w:val="center"/>
            <w:hideMark/>
          </w:tcPr>
          <w:p w14:paraId="51D75158" w14:textId="77777777" w:rsidR="00952BFE" w:rsidRDefault="00E71910" w:rsidP="00E71910">
            <w:pPr>
              <w:jc w:val="both"/>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 xml:space="preserve">NICSP N° 23, </w:t>
            </w:r>
          </w:p>
          <w:p w14:paraId="4DD321B9" w14:textId="671CAAF4" w:rsidR="00E71910" w:rsidRPr="00E71910" w:rsidRDefault="00E71910" w:rsidP="00E71910">
            <w:pPr>
              <w:jc w:val="both"/>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Párrafos 17, 18 y 23.</w:t>
            </w:r>
          </w:p>
        </w:tc>
        <w:tc>
          <w:tcPr>
            <w:tcW w:w="1864" w:type="dxa"/>
            <w:tcBorders>
              <w:top w:val="nil"/>
              <w:left w:val="nil"/>
              <w:bottom w:val="single" w:sz="8" w:space="0" w:color="auto"/>
              <w:right w:val="single" w:sz="8" w:space="0" w:color="auto"/>
            </w:tcBorders>
            <w:shd w:val="clear" w:color="auto" w:fill="auto"/>
            <w:vAlign w:val="center"/>
            <w:hideMark/>
          </w:tcPr>
          <w:p w14:paraId="37C1A075" w14:textId="77777777" w:rsidR="00E71910" w:rsidRPr="00E71910" w:rsidRDefault="00E71910" w:rsidP="00E71910">
            <w:pPr>
              <w:rPr>
                <w:rFonts w:ascii="Arial Narrow" w:eastAsia="Times New Roman" w:hAnsi="Arial Narrow" w:cs="Calibri"/>
                <w:b/>
                <w:bCs/>
                <w:color w:val="000000"/>
                <w:sz w:val="22"/>
                <w:szCs w:val="22"/>
              </w:rPr>
            </w:pPr>
            <w:r w:rsidRPr="00E71910">
              <w:rPr>
                <w:rFonts w:ascii="Arial Narrow" w:eastAsia="Times New Roman" w:hAnsi="Arial Narrow" w:cs="Calibri"/>
                <w:b/>
                <w:bCs/>
                <w:color w:val="000000"/>
                <w:sz w:val="22"/>
                <w:szCs w:val="22"/>
              </w:rPr>
              <w:t xml:space="preserve"> </w:t>
            </w:r>
          </w:p>
        </w:tc>
      </w:tr>
    </w:tbl>
    <w:p w14:paraId="59B9C79B" w14:textId="77777777" w:rsidR="00E71910" w:rsidRDefault="00E71910" w:rsidP="00F743BF">
      <w:pPr>
        <w:pStyle w:val="Default"/>
        <w:ind w:right="261"/>
        <w:jc w:val="both"/>
        <w:rPr>
          <w:sz w:val="22"/>
          <w:szCs w:val="22"/>
          <w:lang w:val="es-CR"/>
        </w:rPr>
      </w:pPr>
    </w:p>
    <w:p w14:paraId="41996687" w14:textId="34FF1B17" w:rsidR="00F743BF" w:rsidRDefault="00F743BF" w:rsidP="00F743BF">
      <w:pPr>
        <w:pStyle w:val="Default"/>
        <w:ind w:right="261"/>
        <w:jc w:val="both"/>
        <w:rPr>
          <w:rFonts w:eastAsia="Arial"/>
          <w:b/>
          <w:sz w:val="22"/>
          <w:szCs w:val="22"/>
        </w:rPr>
      </w:pPr>
      <w:r w:rsidRPr="00F02F9D">
        <w:rPr>
          <w:rFonts w:eastAsia="Arial"/>
          <w:b/>
          <w:sz w:val="22"/>
          <w:szCs w:val="22"/>
        </w:rPr>
        <w:t>Políticas Contables</w:t>
      </w:r>
    </w:p>
    <w:p w14:paraId="05BAD1D6" w14:textId="77777777" w:rsidR="00F743BF" w:rsidRDefault="00F743BF" w:rsidP="00F743BF">
      <w:pPr>
        <w:pStyle w:val="Default"/>
        <w:ind w:right="261"/>
        <w:jc w:val="both"/>
        <w:rPr>
          <w:sz w:val="22"/>
          <w:szCs w:val="22"/>
          <w:lang w:val="es-CR"/>
        </w:rPr>
      </w:pPr>
    </w:p>
    <w:p w14:paraId="6B705C78" w14:textId="77777777" w:rsidR="006F5A0E" w:rsidRDefault="006F5A0E" w:rsidP="006F5A0E">
      <w:pPr>
        <w:pStyle w:val="Default"/>
        <w:ind w:left="1134" w:hanging="1134"/>
        <w:jc w:val="both"/>
        <w:rPr>
          <w:sz w:val="22"/>
          <w:szCs w:val="22"/>
          <w:lang w:val="es-CR"/>
        </w:rPr>
      </w:pPr>
      <w:r>
        <w:rPr>
          <w:sz w:val="22"/>
          <w:szCs w:val="22"/>
          <w:lang w:val="es-CR"/>
        </w:rPr>
        <w:t>4.6.0.01</w:t>
      </w:r>
      <w:r>
        <w:rPr>
          <w:sz w:val="22"/>
          <w:szCs w:val="22"/>
          <w:lang w:val="es-CR"/>
        </w:rPr>
        <w:tab/>
      </w:r>
      <w:r w:rsidR="00E71910" w:rsidRPr="00E71910">
        <w:rPr>
          <w:sz w:val="22"/>
          <w:szCs w:val="22"/>
          <w:lang w:val="es-CR"/>
        </w:rPr>
        <w:t xml:space="preserve">Las estipulaciones son términos impuestos por leyes, regulaciones o acuerdos vinculantes con partes externas, referidas al uso de los activos transferidos por parte de la entidad receptora. </w:t>
      </w:r>
      <w:r w:rsidR="00E71910" w:rsidRPr="006F5A0E">
        <w:rPr>
          <w:sz w:val="22"/>
          <w:szCs w:val="22"/>
          <w:lang w:val="es-CR"/>
        </w:rPr>
        <w:t>Las estipulaciones relacionadas con un activo transferido pueden ser:</w:t>
      </w:r>
    </w:p>
    <w:p w14:paraId="71FD05E2" w14:textId="7F333B21" w:rsidR="00E71910" w:rsidRPr="006F5A0E" w:rsidRDefault="00E71910" w:rsidP="006F5A0E">
      <w:pPr>
        <w:pStyle w:val="Default"/>
        <w:ind w:left="1134" w:hanging="1134"/>
        <w:jc w:val="both"/>
        <w:rPr>
          <w:sz w:val="22"/>
          <w:szCs w:val="22"/>
          <w:lang w:val="es-CR"/>
        </w:rPr>
      </w:pPr>
      <w:r w:rsidRPr="006F5A0E">
        <w:rPr>
          <w:sz w:val="22"/>
          <w:szCs w:val="22"/>
          <w:lang w:val="es-CR"/>
        </w:rPr>
        <w:t xml:space="preserve"> </w:t>
      </w:r>
    </w:p>
    <w:p w14:paraId="12D7A019" w14:textId="1D152EEB" w:rsidR="00E71910" w:rsidRPr="00E71910" w:rsidRDefault="00E71910">
      <w:pPr>
        <w:pStyle w:val="Default"/>
        <w:numPr>
          <w:ilvl w:val="0"/>
          <w:numId w:val="222"/>
        </w:numPr>
        <w:spacing w:after="120"/>
        <w:ind w:left="1418" w:hanging="284"/>
        <w:jc w:val="both"/>
        <w:rPr>
          <w:sz w:val="22"/>
          <w:szCs w:val="22"/>
          <w:lang w:val="es-CR"/>
        </w:rPr>
      </w:pPr>
      <w:r w:rsidRPr="00E71910">
        <w:rPr>
          <w:b/>
          <w:bCs/>
          <w:sz w:val="22"/>
          <w:szCs w:val="22"/>
          <w:lang w:val="es-CR"/>
        </w:rPr>
        <w:t xml:space="preserve">Condiciones: </w:t>
      </w:r>
      <w:r w:rsidRPr="00E71910">
        <w:rPr>
          <w:sz w:val="22"/>
          <w:szCs w:val="22"/>
          <w:lang w:val="es-CR"/>
        </w:rPr>
        <w:t xml:space="preserve">requieren que la entidad consuma los beneficios económicos o el potencial de servicio futuros del activo tal cual lo especificado o que los devuelva, en el caso que se incumplan tales condiciones. </w:t>
      </w:r>
    </w:p>
    <w:p w14:paraId="75258F42" w14:textId="55F1FE53" w:rsidR="00E71910" w:rsidRPr="00E71910" w:rsidRDefault="00E71910">
      <w:pPr>
        <w:pStyle w:val="Default"/>
        <w:numPr>
          <w:ilvl w:val="0"/>
          <w:numId w:val="222"/>
        </w:numPr>
        <w:ind w:left="1418" w:hanging="284"/>
        <w:jc w:val="both"/>
        <w:rPr>
          <w:sz w:val="22"/>
          <w:szCs w:val="22"/>
          <w:lang w:val="es-CR"/>
        </w:rPr>
      </w:pPr>
      <w:r w:rsidRPr="00E71910">
        <w:rPr>
          <w:b/>
          <w:bCs/>
          <w:sz w:val="22"/>
          <w:szCs w:val="22"/>
          <w:lang w:val="es-CR"/>
        </w:rPr>
        <w:t xml:space="preserve">Restricciones: </w:t>
      </w:r>
      <w:r w:rsidRPr="00E71910">
        <w:rPr>
          <w:sz w:val="22"/>
          <w:szCs w:val="22"/>
          <w:lang w:val="es-CR"/>
        </w:rPr>
        <w:t xml:space="preserve">no incluyen el requerimiento de que el activo transferido u otros beneficios económicos o potenciales de servicio futuros deban ser devueltos si el activo no se usa como se especifica. Cuando una receptora incumple una restricción, la entidad (o persona física) que transfirió el activo u otra parte, puede tener la opción de tratar de conseguir una sanción contra la receptora, mediante un proceso administrativo o judicial, como </w:t>
      </w:r>
      <w:r w:rsidR="005907B3" w:rsidRPr="00E71910">
        <w:rPr>
          <w:sz w:val="22"/>
          <w:szCs w:val="22"/>
          <w:lang w:val="es-CR"/>
        </w:rPr>
        <w:t>ta</w:t>
      </w:r>
      <w:r w:rsidR="005907B3">
        <w:rPr>
          <w:sz w:val="22"/>
          <w:szCs w:val="22"/>
          <w:lang w:val="es-CR"/>
        </w:rPr>
        <w:t>mbi</w:t>
      </w:r>
      <w:r w:rsidR="005907B3" w:rsidRPr="00E71910">
        <w:rPr>
          <w:sz w:val="22"/>
          <w:szCs w:val="22"/>
          <w:lang w:val="es-CR"/>
        </w:rPr>
        <w:t>én</w:t>
      </w:r>
      <w:r w:rsidRPr="00E71910">
        <w:rPr>
          <w:sz w:val="22"/>
          <w:szCs w:val="22"/>
          <w:lang w:val="es-CR"/>
        </w:rPr>
        <w:t xml:space="preserve"> recurriendo a otros tribunales. </w:t>
      </w:r>
    </w:p>
    <w:p w14:paraId="3CF5CF50" w14:textId="77777777" w:rsidR="00E71910" w:rsidRPr="00E71910" w:rsidRDefault="00E71910" w:rsidP="00E71910">
      <w:pPr>
        <w:pStyle w:val="Default"/>
        <w:jc w:val="both"/>
        <w:rPr>
          <w:sz w:val="22"/>
          <w:szCs w:val="22"/>
          <w:lang w:val="es-CR"/>
        </w:rPr>
      </w:pPr>
    </w:p>
    <w:p w14:paraId="5B92BC12" w14:textId="16E506F0" w:rsidR="00E71910" w:rsidRDefault="006F5A0E" w:rsidP="006F5A0E">
      <w:pPr>
        <w:pStyle w:val="Default"/>
        <w:ind w:left="1134" w:hanging="1134"/>
        <w:jc w:val="both"/>
        <w:rPr>
          <w:sz w:val="22"/>
          <w:szCs w:val="22"/>
          <w:lang w:val="es-CR"/>
        </w:rPr>
      </w:pPr>
      <w:r>
        <w:rPr>
          <w:sz w:val="22"/>
          <w:szCs w:val="22"/>
          <w:lang w:val="es-CR"/>
        </w:rPr>
        <w:t>4.6.0.02</w:t>
      </w:r>
      <w:r>
        <w:rPr>
          <w:sz w:val="22"/>
          <w:szCs w:val="22"/>
          <w:lang w:val="es-CR"/>
        </w:rPr>
        <w:tab/>
      </w:r>
      <w:r w:rsidR="00E71910" w:rsidRPr="00E71910">
        <w:rPr>
          <w:sz w:val="22"/>
          <w:szCs w:val="22"/>
          <w:lang w:val="es-CR"/>
        </w:rPr>
        <w:t>Una entidad no puede autoimponerse estipulaciones ni en forma directa ni a través de la o las entidades que la controlan, por lo que una entidad gubernamental no podrá imponer una estipulación a otra entidad que revista dicho carácter.</w:t>
      </w:r>
    </w:p>
    <w:p w14:paraId="3F5B1767" w14:textId="77777777" w:rsidR="006F5A0E" w:rsidRPr="00E71910" w:rsidRDefault="006F5A0E" w:rsidP="006F5A0E">
      <w:pPr>
        <w:pStyle w:val="Default"/>
        <w:ind w:left="1134" w:hanging="1134"/>
        <w:jc w:val="both"/>
        <w:rPr>
          <w:sz w:val="22"/>
          <w:szCs w:val="22"/>
          <w:lang w:val="es-CR"/>
        </w:rPr>
      </w:pPr>
    </w:p>
    <w:p w14:paraId="1FB11D12" w14:textId="77777777" w:rsidR="006F5A0E" w:rsidRDefault="006F5A0E" w:rsidP="006F5A0E">
      <w:pPr>
        <w:pStyle w:val="Default"/>
        <w:ind w:left="1134" w:hanging="1134"/>
        <w:jc w:val="both"/>
        <w:rPr>
          <w:sz w:val="22"/>
          <w:szCs w:val="22"/>
          <w:lang w:val="es-CR"/>
        </w:rPr>
      </w:pPr>
      <w:r>
        <w:rPr>
          <w:sz w:val="22"/>
          <w:szCs w:val="22"/>
          <w:lang w:val="es-CR"/>
        </w:rPr>
        <w:t>4.6.</w:t>
      </w:r>
      <w:r w:rsidR="00E71910" w:rsidRPr="00E71910">
        <w:rPr>
          <w:sz w:val="22"/>
          <w:szCs w:val="22"/>
          <w:lang w:val="es-CR"/>
        </w:rPr>
        <w:t>1.</w:t>
      </w:r>
      <w:r>
        <w:rPr>
          <w:sz w:val="22"/>
          <w:szCs w:val="22"/>
          <w:lang w:val="es-CR"/>
        </w:rPr>
        <w:t>01</w:t>
      </w:r>
      <w:r>
        <w:rPr>
          <w:sz w:val="22"/>
          <w:szCs w:val="22"/>
          <w:lang w:val="es-CR"/>
        </w:rPr>
        <w:tab/>
      </w:r>
      <w:r w:rsidR="00E71910" w:rsidRPr="00E71910">
        <w:rPr>
          <w:sz w:val="22"/>
          <w:szCs w:val="22"/>
          <w:lang w:val="es-CR"/>
        </w:rPr>
        <w:t>Para determinar si una estipulación es una condición o una restricción es necesario considerar la esencia de los términos de la estipulación y no solamente su forma. Por lo tanto, deberá considerarse si un requerimiento de devolver el activo u otros beneficios económicos o potencial de servicio futuros es exigible por ley o podría ser ejecutado contra la entidad, teniendo en cuenta si:</w:t>
      </w:r>
    </w:p>
    <w:p w14:paraId="6C32D145" w14:textId="5702C0F3" w:rsidR="00E71910" w:rsidRPr="00E71910" w:rsidRDefault="00E71910" w:rsidP="006F5A0E">
      <w:pPr>
        <w:pStyle w:val="Default"/>
        <w:ind w:left="1134" w:hanging="1134"/>
        <w:jc w:val="both"/>
        <w:rPr>
          <w:sz w:val="22"/>
          <w:szCs w:val="22"/>
          <w:lang w:val="es-CR"/>
        </w:rPr>
      </w:pPr>
      <w:r w:rsidRPr="00E71910">
        <w:rPr>
          <w:sz w:val="22"/>
          <w:szCs w:val="22"/>
          <w:lang w:val="es-CR"/>
        </w:rPr>
        <w:t xml:space="preserve"> </w:t>
      </w:r>
    </w:p>
    <w:p w14:paraId="74932D30" w14:textId="75092544" w:rsidR="00E71910" w:rsidRPr="00E71910" w:rsidRDefault="006F5A0E">
      <w:pPr>
        <w:pStyle w:val="Default"/>
        <w:numPr>
          <w:ilvl w:val="0"/>
          <w:numId w:val="223"/>
        </w:numPr>
        <w:spacing w:after="120"/>
        <w:ind w:left="1418" w:hanging="284"/>
        <w:jc w:val="both"/>
        <w:rPr>
          <w:sz w:val="22"/>
          <w:szCs w:val="22"/>
          <w:lang w:val="es-CR"/>
        </w:rPr>
      </w:pPr>
      <w:r>
        <w:rPr>
          <w:sz w:val="22"/>
          <w:szCs w:val="22"/>
          <w:lang w:val="es-CR"/>
        </w:rPr>
        <w:lastRenderedPageBreak/>
        <w:t>L</w:t>
      </w:r>
      <w:r w:rsidR="00E71910" w:rsidRPr="00E71910">
        <w:rPr>
          <w:sz w:val="22"/>
          <w:szCs w:val="22"/>
          <w:lang w:val="es-CR"/>
        </w:rPr>
        <w:t xml:space="preserve">a entidad (o persona física) que transfirió el activo no pudiera ejecutar un requerimiento de devolver el activo u otros beneficios económicos o potencial de servicio futuros, la estipulación no cumpliría la definición de una condición y se considerará una restricción; </w:t>
      </w:r>
    </w:p>
    <w:p w14:paraId="4D3984A5" w14:textId="16C37987" w:rsidR="00E71910" w:rsidRPr="00E71910" w:rsidRDefault="006F5A0E">
      <w:pPr>
        <w:pStyle w:val="Default"/>
        <w:numPr>
          <w:ilvl w:val="0"/>
          <w:numId w:val="223"/>
        </w:numPr>
        <w:spacing w:after="120"/>
        <w:ind w:left="1418" w:hanging="284"/>
        <w:jc w:val="both"/>
        <w:rPr>
          <w:sz w:val="22"/>
          <w:szCs w:val="22"/>
          <w:lang w:val="es-CR"/>
        </w:rPr>
      </w:pPr>
      <w:r>
        <w:rPr>
          <w:sz w:val="22"/>
          <w:szCs w:val="22"/>
          <w:lang w:val="es-CR"/>
        </w:rPr>
        <w:t>L</w:t>
      </w:r>
      <w:r w:rsidR="00E71910" w:rsidRPr="00E71910">
        <w:rPr>
          <w:sz w:val="22"/>
          <w:szCs w:val="22"/>
          <w:lang w:val="es-CR"/>
        </w:rPr>
        <w:t xml:space="preserve">a experiencia pasada con la entidad (o persona física) que transfirió el activo indica que la misma nunca ejecuta un requerimiento de devolver el activo transferido u otros beneficios económicos o potencial de servicio futuros cuando ocurren incumplimientos, la entidad receptora podría concluir que la estipulación tiene la forma, pero no la esencia de una condición y es, por tanto, una restricción; </w:t>
      </w:r>
    </w:p>
    <w:p w14:paraId="32A291AC" w14:textId="374D308E" w:rsidR="00E71910" w:rsidRPr="00E71910" w:rsidRDefault="006F5A0E">
      <w:pPr>
        <w:pStyle w:val="Default"/>
        <w:numPr>
          <w:ilvl w:val="0"/>
          <w:numId w:val="223"/>
        </w:numPr>
        <w:ind w:left="1418" w:hanging="284"/>
        <w:jc w:val="both"/>
        <w:rPr>
          <w:sz w:val="22"/>
          <w:szCs w:val="22"/>
          <w:lang w:val="es-CR"/>
        </w:rPr>
      </w:pPr>
      <w:r>
        <w:rPr>
          <w:sz w:val="22"/>
          <w:szCs w:val="22"/>
          <w:lang w:val="es-CR"/>
        </w:rPr>
        <w:t>N</w:t>
      </w:r>
      <w:r w:rsidR="00E71910" w:rsidRPr="00E71910">
        <w:rPr>
          <w:sz w:val="22"/>
          <w:szCs w:val="22"/>
          <w:lang w:val="es-CR"/>
        </w:rPr>
        <w:t xml:space="preserve">o hay experiencia con la entidad (o persona física) que transfirió el activo, o no se han incumplido previamente estipulaciones que llevarían a aquélla a decidir si ejecutar una devolución de un activo u otros beneficios económicos o potencial de servicio futuros, y no se tiene evidencia de lo contrario, lo cual supondría que la entidad (o persona física) ejecutaría la estipulación, entonces la estipulación cumpliría la definición de una condición. </w:t>
      </w:r>
    </w:p>
    <w:p w14:paraId="21BB4442" w14:textId="77777777" w:rsidR="00E71910" w:rsidRPr="00E71910" w:rsidRDefault="00E71910" w:rsidP="00E71910">
      <w:pPr>
        <w:pStyle w:val="Default"/>
        <w:jc w:val="both"/>
        <w:rPr>
          <w:sz w:val="22"/>
          <w:szCs w:val="22"/>
          <w:lang w:val="es-CR"/>
        </w:rPr>
      </w:pPr>
    </w:p>
    <w:p w14:paraId="28366A79" w14:textId="589C83B5" w:rsidR="00E71910" w:rsidRPr="00E71910" w:rsidRDefault="006F5A0E" w:rsidP="006F5A0E">
      <w:pPr>
        <w:pStyle w:val="Default"/>
        <w:ind w:left="1134" w:hanging="1134"/>
        <w:jc w:val="both"/>
        <w:rPr>
          <w:sz w:val="22"/>
          <w:szCs w:val="22"/>
          <w:lang w:val="es-CR"/>
        </w:rPr>
      </w:pPr>
      <w:r>
        <w:rPr>
          <w:sz w:val="22"/>
          <w:szCs w:val="22"/>
          <w:lang w:val="es-CR"/>
        </w:rPr>
        <w:t>4.6.</w:t>
      </w:r>
      <w:r w:rsidR="00E71910" w:rsidRPr="00E71910">
        <w:rPr>
          <w:sz w:val="22"/>
          <w:szCs w:val="22"/>
          <w:lang w:val="es-CR"/>
        </w:rPr>
        <w:t>2.</w:t>
      </w:r>
      <w:r>
        <w:rPr>
          <w:sz w:val="22"/>
          <w:szCs w:val="22"/>
          <w:lang w:val="es-CR"/>
        </w:rPr>
        <w:t>01</w:t>
      </w:r>
      <w:r>
        <w:rPr>
          <w:sz w:val="22"/>
          <w:szCs w:val="22"/>
          <w:lang w:val="es-CR"/>
        </w:rPr>
        <w:tab/>
      </w:r>
      <w:r w:rsidR="00E71910" w:rsidRPr="00E71910">
        <w:rPr>
          <w:sz w:val="22"/>
          <w:szCs w:val="22"/>
          <w:lang w:val="es-CR"/>
        </w:rPr>
        <w:t xml:space="preserve">Cuando la receptora reconoce inicialmente un activo sujeto a una condición, incurre </w:t>
      </w:r>
      <w:r w:rsidR="005907B3" w:rsidRPr="00E71910">
        <w:rPr>
          <w:sz w:val="22"/>
          <w:szCs w:val="22"/>
          <w:lang w:val="es-CR"/>
        </w:rPr>
        <w:t>ta</w:t>
      </w:r>
      <w:r w:rsidR="005907B3">
        <w:rPr>
          <w:sz w:val="22"/>
          <w:szCs w:val="22"/>
          <w:lang w:val="es-CR"/>
        </w:rPr>
        <w:t>mbi</w:t>
      </w:r>
      <w:r w:rsidR="005907B3" w:rsidRPr="00E71910">
        <w:rPr>
          <w:sz w:val="22"/>
          <w:szCs w:val="22"/>
          <w:lang w:val="es-CR"/>
        </w:rPr>
        <w:t>én</w:t>
      </w:r>
      <w:r w:rsidR="00E71910" w:rsidRPr="00E71910">
        <w:rPr>
          <w:sz w:val="22"/>
          <w:szCs w:val="22"/>
          <w:lang w:val="es-CR"/>
        </w:rPr>
        <w:t xml:space="preserve"> en un pasivo, si bien para su reconocimiento es necesario que sea probable una salida de recursos y que se requiera y sea capaz de evaluarse el rendimiento con respecto a la condición. </w:t>
      </w:r>
    </w:p>
    <w:p w14:paraId="4A9F7D45" w14:textId="77777777" w:rsidR="00E71910" w:rsidRPr="00E71910" w:rsidRDefault="00E71910" w:rsidP="00E71910">
      <w:pPr>
        <w:pStyle w:val="Default"/>
        <w:jc w:val="both"/>
        <w:rPr>
          <w:sz w:val="22"/>
          <w:szCs w:val="22"/>
          <w:lang w:val="es-CR"/>
        </w:rPr>
      </w:pPr>
    </w:p>
    <w:p w14:paraId="3E63BD87" w14:textId="77777777" w:rsidR="006F5A0E" w:rsidRDefault="006F5A0E" w:rsidP="006F5A0E">
      <w:pPr>
        <w:pStyle w:val="Default"/>
        <w:ind w:left="1134" w:hanging="1134"/>
        <w:jc w:val="both"/>
        <w:rPr>
          <w:sz w:val="22"/>
          <w:szCs w:val="22"/>
          <w:lang w:val="es-CR"/>
        </w:rPr>
      </w:pPr>
      <w:r>
        <w:rPr>
          <w:sz w:val="22"/>
          <w:szCs w:val="22"/>
          <w:lang w:val="es-CR"/>
        </w:rPr>
        <w:t>4.6.2.02</w:t>
      </w:r>
      <w:r>
        <w:rPr>
          <w:sz w:val="22"/>
          <w:szCs w:val="22"/>
          <w:lang w:val="es-CR"/>
        </w:rPr>
        <w:tab/>
      </w:r>
      <w:r w:rsidR="00E71910" w:rsidRPr="00E71910">
        <w:rPr>
          <w:sz w:val="22"/>
          <w:szCs w:val="22"/>
          <w:lang w:val="es-CR"/>
        </w:rPr>
        <w:t>A medida que se cumpla la condición, se reducirá dicho pasivo y se reconocerá un ingreso.</w:t>
      </w:r>
    </w:p>
    <w:p w14:paraId="6395ADAF" w14:textId="637C9B6E" w:rsidR="00E71910" w:rsidRPr="00E71910" w:rsidRDefault="00E71910" w:rsidP="006F5A0E">
      <w:pPr>
        <w:pStyle w:val="Default"/>
        <w:ind w:left="1134" w:hanging="1134"/>
        <w:jc w:val="both"/>
        <w:rPr>
          <w:sz w:val="22"/>
          <w:szCs w:val="22"/>
          <w:lang w:val="es-CR"/>
        </w:rPr>
      </w:pPr>
      <w:r w:rsidRPr="00E71910">
        <w:rPr>
          <w:sz w:val="22"/>
          <w:szCs w:val="22"/>
          <w:lang w:val="es-CR"/>
        </w:rPr>
        <w:t xml:space="preserve"> </w:t>
      </w:r>
    </w:p>
    <w:p w14:paraId="2005D6D8" w14:textId="25791E05" w:rsidR="00E71910" w:rsidRPr="00E71910" w:rsidRDefault="006F5A0E" w:rsidP="006F5A0E">
      <w:pPr>
        <w:pStyle w:val="Default"/>
        <w:ind w:left="1134" w:hanging="1134"/>
        <w:jc w:val="both"/>
        <w:rPr>
          <w:sz w:val="22"/>
          <w:szCs w:val="22"/>
          <w:lang w:val="es-CR"/>
        </w:rPr>
      </w:pPr>
      <w:r>
        <w:rPr>
          <w:sz w:val="22"/>
          <w:szCs w:val="22"/>
          <w:lang w:val="es-CR"/>
        </w:rPr>
        <w:t>4.6.2.03</w:t>
      </w:r>
      <w:r>
        <w:rPr>
          <w:sz w:val="22"/>
          <w:szCs w:val="22"/>
          <w:lang w:val="es-CR"/>
        </w:rPr>
        <w:tab/>
      </w:r>
      <w:r w:rsidR="00E71910" w:rsidRPr="00E71910">
        <w:rPr>
          <w:sz w:val="22"/>
          <w:szCs w:val="22"/>
          <w:lang w:val="es-CR"/>
        </w:rPr>
        <w:t xml:space="preserve">En caso de incumplimiento total o parcial de la condición, el pasivo se reducirá en la medida de la devolución del activo recibido. En el caso que la devolución del activo se deduzca de futuras transferencias de otros activos, en los EEFF deberán reconocerse </w:t>
      </w:r>
      <w:r w:rsidR="005907B3" w:rsidRPr="00E71910">
        <w:rPr>
          <w:sz w:val="22"/>
          <w:szCs w:val="22"/>
          <w:lang w:val="es-CR"/>
        </w:rPr>
        <w:t>a</w:t>
      </w:r>
      <w:r w:rsidR="005907B3">
        <w:rPr>
          <w:sz w:val="22"/>
          <w:szCs w:val="22"/>
          <w:lang w:val="es-CR"/>
        </w:rPr>
        <w:t>mba</w:t>
      </w:r>
      <w:r w:rsidR="005907B3" w:rsidRPr="00E71910">
        <w:rPr>
          <w:sz w:val="22"/>
          <w:szCs w:val="22"/>
          <w:lang w:val="es-CR"/>
        </w:rPr>
        <w:t>s</w:t>
      </w:r>
      <w:r w:rsidR="00E71910" w:rsidRPr="00E71910">
        <w:rPr>
          <w:sz w:val="22"/>
          <w:szCs w:val="22"/>
          <w:lang w:val="es-CR"/>
        </w:rPr>
        <w:t xml:space="preserve"> transacciones por sus importes brutos, reduciéndose un activo y su pasivo por la condición incumplida, y reconociéndose otro activo e ingresos y/o pasivo por la nueva transferencia.</w:t>
      </w:r>
    </w:p>
    <w:p w14:paraId="3DF24E41" w14:textId="77777777" w:rsidR="00E71910" w:rsidRPr="00E71910" w:rsidRDefault="00E71910" w:rsidP="00952BFE">
      <w:pPr>
        <w:pStyle w:val="Default"/>
        <w:ind w:right="261"/>
        <w:jc w:val="both"/>
        <w:rPr>
          <w:sz w:val="22"/>
          <w:szCs w:val="22"/>
          <w:lang w:val="es-CR"/>
        </w:rPr>
      </w:pPr>
    </w:p>
    <w:p w14:paraId="064484CC" w14:textId="77777777" w:rsidR="00E71910" w:rsidRDefault="00E71910" w:rsidP="00952BFE">
      <w:pPr>
        <w:pStyle w:val="Default"/>
        <w:ind w:right="261"/>
        <w:jc w:val="both"/>
        <w:rPr>
          <w:sz w:val="22"/>
          <w:szCs w:val="22"/>
          <w:lang w:val="es-CR"/>
        </w:rPr>
      </w:pPr>
    </w:p>
    <w:tbl>
      <w:tblPr>
        <w:tblW w:w="9407" w:type="dxa"/>
        <w:tblLook w:val="04A0" w:firstRow="1" w:lastRow="0" w:firstColumn="1" w:lastColumn="0" w:noHBand="0" w:noVBand="1"/>
      </w:tblPr>
      <w:tblGrid>
        <w:gridCol w:w="416"/>
        <w:gridCol w:w="567"/>
        <w:gridCol w:w="391"/>
        <w:gridCol w:w="11"/>
        <w:gridCol w:w="3676"/>
        <w:gridCol w:w="11"/>
        <w:gridCol w:w="2435"/>
        <w:gridCol w:w="1890"/>
        <w:gridCol w:w="10"/>
      </w:tblGrid>
      <w:tr w:rsidR="006F5A0E" w:rsidRPr="006F5A0E" w14:paraId="31CDA371" w14:textId="77777777" w:rsidTr="00F743BF">
        <w:trPr>
          <w:trHeight w:val="300"/>
        </w:trPr>
        <w:tc>
          <w:tcPr>
            <w:tcW w:w="1385"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7AA403E1" w14:textId="77777777" w:rsidR="006F5A0E" w:rsidRPr="006F5A0E" w:rsidRDefault="006F5A0E" w:rsidP="006F5A0E">
            <w:pPr>
              <w:jc w:val="center"/>
              <w:rPr>
                <w:rFonts w:ascii="Arial Narrow" w:eastAsia="Times New Roman" w:hAnsi="Arial Narrow" w:cs="Calibri"/>
                <w:b/>
                <w:bCs/>
                <w:color w:val="FFFFFF"/>
                <w:sz w:val="22"/>
                <w:szCs w:val="22"/>
              </w:rPr>
            </w:pPr>
            <w:r w:rsidRPr="006F5A0E">
              <w:rPr>
                <w:rFonts w:ascii="Arial Narrow" w:eastAsia="Times New Roman" w:hAnsi="Arial Narrow" w:cs="Calibri"/>
                <w:b/>
                <w:bCs/>
                <w:color w:val="FFFFFF"/>
                <w:sz w:val="22"/>
                <w:szCs w:val="22"/>
              </w:rPr>
              <w:t>Norma / Política</w:t>
            </w:r>
          </w:p>
        </w:tc>
        <w:tc>
          <w:tcPr>
            <w:tcW w:w="3687"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135BE16" w14:textId="77777777" w:rsidR="006F5A0E" w:rsidRPr="006F5A0E" w:rsidRDefault="006F5A0E" w:rsidP="006F5A0E">
            <w:pPr>
              <w:jc w:val="center"/>
              <w:rPr>
                <w:rFonts w:ascii="Arial Narrow" w:eastAsia="Times New Roman" w:hAnsi="Arial Narrow" w:cs="Calibri"/>
                <w:b/>
                <w:bCs/>
                <w:color w:val="FFFFFF"/>
                <w:sz w:val="22"/>
                <w:szCs w:val="22"/>
              </w:rPr>
            </w:pPr>
            <w:r w:rsidRPr="006F5A0E">
              <w:rPr>
                <w:rFonts w:ascii="Arial Narrow" w:eastAsia="Times New Roman" w:hAnsi="Arial Narrow" w:cs="Calibri"/>
                <w:b/>
                <w:bCs/>
                <w:color w:val="FFFFFF"/>
                <w:sz w:val="22"/>
                <w:szCs w:val="22"/>
              </w:rPr>
              <w:t>Concepto</w:t>
            </w:r>
          </w:p>
        </w:tc>
        <w:tc>
          <w:tcPr>
            <w:tcW w:w="4335" w:type="dxa"/>
            <w:gridSpan w:val="3"/>
            <w:tcBorders>
              <w:top w:val="single" w:sz="8" w:space="0" w:color="auto"/>
              <w:left w:val="nil"/>
              <w:bottom w:val="single" w:sz="8" w:space="0" w:color="auto"/>
              <w:right w:val="single" w:sz="8" w:space="0" w:color="000000"/>
            </w:tcBorders>
            <w:shd w:val="clear" w:color="000000" w:fill="203764"/>
            <w:vAlign w:val="center"/>
            <w:hideMark/>
          </w:tcPr>
          <w:p w14:paraId="05CA027A" w14:textId="77777777" w:rsidR="006F5A0E" w:rsidRPr="006F5A0E" w:rsidRDefault="006F5A0E" w:rsidP="006F5A0E">
            <w:pPr>
              <w:jc w:val="center"/>
              <w:rPr>
                <w:rFonts w:ascii="Arial Narrow" w:eastAsia="Times New Roman" w:hAnsi="Arial Narrow" w:cs="Calibri"/>
                <w:b/>
                <w:bCs/>
                <w:color w:val="FFFFFF"/>
                <w:sz w:val="22"/>
                <w:szCs w:val="22"/>
              </w:rPr>
            </w:pPr>
            <w:r w:rsidRPr="006F5A0E">
              <w:rPr>
                <w:rFonts w:ascii="Arial Narrow" w:eastAsia="Times New Roman" w:hAnsi="Arial Narrow" w:cs="Calibri"/>
                <w:b/>
                <w:bCs/>
                <w:color w:val="FFFFFF"/>
                <w:sz w:val="22"/>
                <w:szCs w:val="22"/>
              </w:rPr>
              <w:t>Referencia</w:t>
            </w:r>
          </w:p>
        </w:tc>
      </w:tr>
      <w:tr w:rsidR="006F5A0E" w:rsidRPr="006E5442" w14:paraId="765E9C7B" w14:textId="77777777" w:rsidTr="00F743BF">
        <w:trPr>
          <w:gridAfter w:val="1"/>
          <w:wAfter w:w="10" w:type="dxa"/>
          <w:trHeight w:val="850"/>
        </w:trPr>
        <w:tc>
          <w:tcPr>
            <w:tcW w:w="1385" w:type="dxa"/>
            <w:gridSpan w:val="4"/>
            <w:vMerge/>
            <w:tcBorders>
              <w:top w:val="single" w:sz="8" w:space="0" w:color="auto"/>
              <w:left w:val="single" w:sz="8" w:space="0" w:color="auto"/>
              <w:bottom w:val="nil"/>
              <w:right w:val="single" w:sz="8" w:space="0" w:color="000000"/>
            </w:tcBorders>
            <w:vAlign w:val="center"/>
            <w:hideMark/>
          </w:tcPr>
          <w:p w14:paraId="3903EFF7" w14:textId="77777777" w:rsidR="006F5A0E" w:rsidRPr="006F5A0E" w:rsidRDefault="006F5A0E" w:rsidP="006F5A0E">
            <w:pPr>
              <w:rPr>
                <w:rFonts w:ascii="Arial Narrow" w:eastAsia="Times New Roman" w:hAnsi="Arial Narrow" w:cs="Calibri"/>
                <w:b/>
                <w:bCs/>
                <w:color w:val="FFFFFF"/>
                <w:sz w:val="22"/>
                <w:szCs w:val="22"/>
              </w:rPr>
            </w:pPr>
          </w:p>
        </w:tc>
        <w:tc>
          <w:tcPr>
            <w:tcW w:w="3687" w:type="dxa"/>
            <w:gridSpan w:val="2"/>
            <w:vMerge/>
            <w:tcBorders>
              <w:top w:val="single" w:sz="8" w:space="0" w:color="auto"/>
              <w:left w:val="single" w:sz="8" w:space="0" w:color="auto"/>
              <w:bottom w:val="nil"/>
              <w:right w:val="single" w:sz="8" w:space="0" w:color="auto"/>
            </w:tcBorders>
            <w:vAlign w:val="center"/>
            <w:hideMark/>
          </w:tcPr>
          <w:p w14:paraId="67199CF9" w14:textId="77777777" w:rsidR="006F5A0E" w:rsidRPr="006F5A0E" w:rsidRDefault="006F5A0E" w:rsidP="006F5A0E">
            <w:pPr>
              <w:rPr>
                <w:rFonts w:ascii="Arial Narrow" w:eastAsia="Times New Roman" w:hAnsi="Arial Narrow" w:cs="Calibri"/>
                <w:b/>
                <w:bCs/>
                <w:color w:val="FFFFFF"/>
                <w:sz w:val="22"/>
                <w:szCs w:val="22"/>
              </w:rPr>
            </w:pPr>
          </w:p>
        </w:tc>
        <w:tc>
          <w:tcPr>
            <w:tcW w:w="2435" w:type="dxa"/>
            <w:tcBorders>
              <w:top w:val="nil"/>
              <w:left w:val="nil"/>
              <w:bottom w:val="nil"/>
              <w:right w:val="single" w:sz="8" w:space="0" w:color="auto"/>
            </w:tcBorders>
            <w:shd w:val="clear" w:color="000000" w:fill="203764"/>
            <w:vAlign w:val="center"/>
            <w:hideMark/>
          </w:tcPr>
          <w:p w14:paraId="5CA7F47E" w14:textId="77777777" w:rsidR="006F5A0E" w:rsidRPr="006F5A0E" w:rsidRDefault="006F5A0E" w:rsidP="006F5A0E">
            <w:pPr>
              <w:jc w:val="center"/>
              <w:rPr>
                <w:rFonts w:ascii="Arial Narrow" w:eastAsia="Times New Roman" w:hAnsi="Arial Narrow" w:cs="Calibri"/>
                <w:b/>
                <w:bCs/>
                <w:color w:val="FFFFFF"/>
                <w:sz w:val="22"/>
                <w:szCs w:val="22"/>
              </w:rPr>
            </w:pPr>
            <w:r w:rsidRPr="006F5A0E">
              <w:rPr>
                <w:rFonts w:ascii="Arial Narrow" w:eastAsia="Times New Roman" w:hAnsi="Arial Narrow" w:cs="Calibri"/>
                <w:b/>
                <w:bCs/>
                <w:color w:val="FFFFFF"/>
                <w:sz w:val="22"/>
                <w:szCs w:val="22"/>
              </w:rPr>
              <w:t>Norma</w:t>
            </w:r>
          </w:p>
        </w:tc>
        <w:tc>
          <w:tcPr>
            <w:tcW w:w="1890" w:type="dxa"/>
            <w:tcBorders>
              <w:top w:val="nil"/>
              <w:left w:val="nil"/>
              <w:bottom w:val="nil"/>
              <w:right w:val="single" w:sz="8" w:space="0" w:color="auto"/>
            </w:tcBorders>
            <w:shd w:val="clear" w:color="000000" w:fill="203764"/>
            <w:vAlign w:val="center"/>
            <w:hideMark/>
          </w:tcPr>
          <w:p w14:paraId="325B5F2A" w14:textId="77777777" w:rsidR="006F5A0E" w:rsidRPr="006F5A0E" w:rsidRDefault="006F5A0E" w:rsidP="006F5A0E">
            <w:pPr>
              <w:jc w:val="center"/>
              <w:rPr>
                <w:rFonts w:ascii="Arial Narrow" w:eastAsia="Times New Roman" w:hAnsi="Arial Narrow" w:cs="Calibri"/>
                <w:b/>
                <w:bCs/>
                <w:color w:val="FFFFFF"/>
                <w:sz w:val="22"/>
                <w:szCs w:val="22"/>
                <w:lang w:val="es-CR"/>
              </w:rPr>
            </w:pPr>
            <w:r w:rsidRPr="006F5A0E">
              <w:rPr>
                <w:rFonts w:ascii="Arial Narrow" w:eastAsia="Times New Roman" w:hAnsi="Arial Narrow" w:cs="Calibri"/>
                <w:b/>
                <w:bCs/>
                <w:color w:val="FFFFFF"/>
                <w:sz w:val="22"/>
                <w:szCs w:val="22"/>
                <w:lang w:val="es-CR"/>
              </w:rPr>
              <w:t>Normativa técnica y disposiciones adicionales</w:t>
            </w:r>
          </w:p>
        </w:tc>
      </w:tr>
      <w:tr w:rsidR="006F5A0E" w:rsidRPr="006F5A0E" w14:paraId="28FC3E49" w14:textId="77777777" w:rsidTr="00F743BF">
        <w:trPr>
          <w:trHeight w:val="76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A60CCD" w14:textId="77777777" w:rsidR="006F5A0E" w:rsidRPr="006F5A0E" w:rsidRDefault="006F5A0E" w:rsidP="006F5A0E">
            <w:pPr>
              <w:jc w:val="center"/>
              <w:rPr>
                <w:rFonts w:ascii="Arial Narrow" w:eastAsia="Times New Roman" w:hAnsi="Arial Narrow" w:cs="Calibri"/>
                <w:b/>
                <w:bCs/>
                <w:color w:val="000000"/>
                <w:sz w:val="22"/>
                <w:szCs w:val="22"/>
              </w:rPr>
            </w:pPr>
            <w:r w:rsidRPr="006F5A0E">
              <w:rPr>
                <w:rFonts w:ascii="Arial Narrow" w:eastAsia="Times New Roman" w:hAnsi="Arial Narrow" w:cs="Calibri"/>
                <w:b/>
                <w:bCs/>
                <w:color w:val="000000"/>
                <w:sz w:val="22"/>
                <w:szCs w:val="22"/>
              </w:rPr>
              <w:t>4</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4B45E086" w14:textId="77777777" w:rsidR="006F5A0E" w:rsidRPr="006F5A0E" w:rsidRDefault="006F5A0E" w:rsidP="006F5A0E">
            <w:pPr>
              <w:jc w:val="center"/>
              <w:rPr>
                <w:rFonts w:ascii="Arial Narrow" w:eastAsia="Times New Roman" w:hAnsi="Arial Narrow" w:cs="Calibri"/>
                <w:b/>
                <w:bCs/>
                <w:color w:val="000000"/>
                <w:sz w:val="22"/>
                <w:szCs w:val="22"/>
              </w:rPr>
            </w:pPr>
            <w:r w:rsidRPr="006F5A0E">
              <w:rPr>
                <w:rFonts w:ascii="Arial Narrow" w:eastAsia="Times New Roman" w:hAnsi="Arial Narrow" w:cs="Calibri"/>
                <w:b/>
                <w:bCs/>
                <w:color w:val="000000"/>
                <w:sz w:val="22"/>
                <w:szCs w:val="22"/>
              </w:rPr>
              <w:t>7</w:t>
            </w:r>
          </w:p>
        </w:tc>
        <w:tc>
          <w:tcPr>
            <w:tcW w:w="391" w:type="dxa"/>
            <w:tcBorders>
              <w:top w:val="single" w:sz="8" w:space="0" w:color="auto"/>
              <w:left w:val="nil"/>
              <w:bottom w:val="single" w:sz="8" w:space="0" w:color="auto"/>
              <w:right w:val="single" w:sz="8" w:space="0" w:color="auto"/>
            </w:tcBorders>
            <w:shd w:val="clear" w:color="auto" w:fill="auto"/>
            <w:vAlign w:val="center"/>
            <w:hideMark/>
          </w:tcPr>
          <w:p w14:paraId="52C35C88" w14:textId="171E40E5" w:rsidR="006F5A0E" w:rsidRPr="006F5A0E" w:rsidRDefault="006F5A0E" w:rsidP="006F5A0E">
            <w:pPr>
              <w:jc w:val="center"/>
              <w:rPr>
                <w:rFonts w:ascii="Arial Narrow" w:eastAsia="Times New Roman" w:hAnsi="Arial Narrow" w:cs="Calibri"/>
                <w:b/>
                <w:bCs/>
                <w:color w:val="000000"/>
                <w:sz w:val="22"/>
                <w:szCs w:val="22"/>
              </w:rPr>
            </w:pPr>
          </w:p>
        </w:tc>
        <w:tc>
          <w:tcPr>
            <w:tcW w:w="3687" w:type="dxa"/>
            <w:gridSpan w:val="2"/>
            <w:tcBorders>
              <w:top w:val="single" w:sz="8" w:space="0" w:color="auto"/>
              <w:left w:val="nil"/>
              <w:bottom w:val="single" w:sz="8" w:space="0" w:color="auto"/>
              <w:right w:val="single" w:sz="8" w:space="0" w:color="auto"/>
            </w:tcBorders>
            <w:shd w:val="clear" w:color="auto" w:fill="auto"/>
            <w:vAlign w:val="center"/>
            <w:hideMark/>
          </w:tcPr>
          <w:p w14:paraId="2BC19DCE" w14:textId="77777777" w:rsidR="006F5A0E" w:rsidRPr="006F5A0E" w:rsidRDefault="006F5A0E" w:rsidP="006F5A0E">
            <w:pPr>
              <w:jc w:val="both"/>
              <w:rPr>
                <w:rFonts w:ascii="Arial Narrow" w:eastAsia="Times New Roman" w:hAnsi="Arial Narrow" w:cs="Calibri"/>
                <w:b/>
                <w:bCs/>
                <w:color w:val="000000"/>
                <w:sz w:val="22"/>
                <w:szCs w:val="22"/>
                <w:lang w:val="es-CR"/>
              </w:rPr>
            </w:pPr>
            <w:r w:rsidRPr="006F5A0E">
              <w:rPr>
                <w:rFonts w:ascii="Arial Narrow" w:eastAsia="Times New Roman" w:hAnsi="Arial Narrow" w:cs="Calibri"/>
                <w:b/>
                <w:bCs/>
                <w:color w:val="000000"/>
                <w:sz w:val="22"/>
                <w:szCs w:val="22"/>
                <w:lang w:val="es-CR"/>
              </w:rPr>
              <w:t>Reconocimiento de activos por transacciones sin contraprestación</w:t>
            </w:r>
          </w:p>
        </w:tc>
        <w:tc>
          <w:tcPr>
            <w:tcW w:w="2442" w:type="dxa"/>
            <w:gridSpan w:val="2"/>
            <w:tcBorders>
              <w:top w:val="single" w:sz="8" w:space="0" w:color="auto"/>
              <w:left w:val="nil"/>
              <w:bottom w:val="single" w:sz="8" w:space="0" w:color="auto"/>
              <w:right w:val="single" w:sz="8" w:space="0" w:color="auto"/>
            </w:tcBorders>
            <w:shd w:val="clear" w:color="auto" w:fill="auto"/>
            <w:vAlign w:val="center"/>
            <w:hideMark/>
          </w:tcPr>
          <w:p w14:paraId="6815F545" w14:textId="77777777" w:rsidR="00547734" w:rsidRDefault="006F5A0E" w:rsidP="006F5A0E">
            <w:pPr>
              <w:jc w:val="both"/>
              <w:rPr>
                <w:rFonts w:ascii="Arial Narrow" w:eastAsia="Times New Roman" w:hAnsi="Arial Narrow" w:cs="Calibri"/>
                <w:b/>
                <w:bCs/>
                <w:color w:val="000000"/>
                <w:sz w:val="22"/>
                <w:szCs w:val="22"/>
                <w:lang w:val="es-CR"/>
              </w:rPr>
            </w:pPr>
            <w:r w:rsidRPr="006F5A0E">
              <w:rPr>
                <w:rFonts w:ascii="Arial Narrow" w:eastAsia="Times New Roman" w:hAnsi="Arial Narrow" w:cs="Calibri"/>
                <w:b/>
                <w:bCs/>
                <w:color w:val="000000"/>
                <w:sz w:val="22"/>
                <w:szCs w:val="22"/>
                <w:lang w:val="es-CR"/>
              </w:rPr>
              <w:t>NICSP N° 23,</w:t>
            </w:r>
          </w:p>
          <w:p w14:paraId="480F315E" w14:textId="77777777" w:rsidR="00547734" w:rsidRDefault="006F5A0E" w:rsidP="006F5A0E">
            <w:pPr>
              <w:jc w:val="both"/>
              <w:rPr>
                <w:rFonts w:ascii="Arial Narrow" w:eastAsia="Times New Roman" w:hAnsi="Arial Narrow" w:cs="Calibri"/>
                <w:b/>
                <w:bCs/>
                <w:color w:val="000000"/>
                <w:sz w:val="22"/>
                <w:szCs w:val="22"/>
                <w:lang w:val="es-CR"/>
              </w:rPr>
            </w:pPr>
            <w:r w:rsidRPr="006F5A0E">
              <w:rPr>
                <w:rFonts w:ascii="Arial Narrow" w:eastAsia="Times New Roman" w:hAnsi="Arial Narrow" w:cs="Calibri"/>
                <w:b/>
                <w:bCs/>
                <w:color w:val="000000"/>
                <w:sz w:val="22"/>
                <w:szCs w:val="22"/>
                <w:lang w:val="es-CR"/>
              </w:rPr>
              <w:t>Párrafos 31 a 36.</w:t>
            </w:r>
          </w:p>
          <w:p w14:paraId="41528F1F" w14:textId="77777777" w:rsidR="00547734" w:rsidRDefault="006F5A0E" w:rsidP="006F5A0E">
            <w:pPr>
              <w:jc w:val="both"/>
              <w:rPr>
                <w:rFonts w:ascii="Arial Narrow" w:eastAsia="Times New Roman" w:hAnsi="Arial Narrow" w:cs="Calibri"/>
                <w:b/>
                <w:bCs/>
                <w:color w:val="000000"/>
                <w:sz w:val="22"/>
                <w:szCs w:val="22"/>
                <w:lang w:val="es-CR"/>
              </w:rPr>
            </w:pPr>
            <w:r w:rsidRPr="006F5A0E">
              <w:rPr>
                <w:rFonts w:ascii="Arial Narrow" w:eastAsia="Times New Roman" w:hAnsi="Arial Narrow" w:cs="Calibri"/>
                <w:b/>
                <w:bCs/>
                <w:color w:val="000000"/>
                <w:sz w:val="22"/>
                <w:szCs w:val="22"/>
                <w:lang w:val="es-CR"/>
              </w:rPr>
              <w:t>NICSP N° 19</w:t>
            </w:r>
            <w:r w:rsidR="00547734">
              <w:rPr>
                <w:rFonts w:ascii="Arial Narrow" w:eastAsia="Times New Roman" w:hAnsi="Arial Narrow" w:cs="Calibri"/>
                <w:b/>
                <w:bCs/>
                <w:color w:val="000000"/>
                <w:sz w:val="22"/>
                <w:szCs w:val="22"/>
                <w:lang w:val="es-CR"/>
              </w:rPr>
              <w:t>,</w:t>
            </w:r>
          </w:p>
          <w:p w14:paraId="3DCFBDDB" w14:textId="6B0887E7" w:rsidR="006F5A0E" w:rsidRPr="006F5A0E" w:rsidRDefault="006F5A0E" w:rsidP="006F5A0E">
            <w:pPr>
              <w:jc w:val="both"/>
              <w:rPr>
                <w:rFonts w:ascii="Arial Narrow" w:eastAsia="Times New Roman" w:hAnsi="Arial Narrow" w:cs="Calibri"/>
                <w:b/>
                <w:bCs/>
                <w:color w:val="000000"/>
                <w:sz w:val="22"/>
                <w:szCs w:val="22"/>
                <w:lang w:val="es-CR"/>
              </w:rPr>
            </w:pPr>
            <w:r w:rsidRPr="006F5A0E">
              <w:rPr>
                <w:rFonts w:ascii="Arial Narrow" w:eastAsia="Times New Roman" w:hAnsi="Arial Narrow" w:cs="Calibri"/>
                <w:b/>
                <w:bCs/>
                <w:color w:val="000000"/>
                <w:sz w:val="22"/>
                <w:szCs w:val="22"/>
                <w:lang w:val="es-CR"/>
              </w:rPr>
              <w:t>Párrafos 41 y 107.</w:t>
            </w:r>
          </w:p>
        </w:tc>
        <w:tc>
          <w:tcPr>
            <w:tcW w:w="1900" w:type="dxa"/>
            <w:gridSpan w:val="2"/>
            <w:tcBorders>
              <w:top w:val="single" w:sz="8" w:space="0" w:color="auto"/>
              <w:left w:val="nil"/>
              <w:bottom w:val="single" w:sz="8" w:space="0" w:color="auto"/>
              <w:right w:val="single" w:sz="8" w:space="0" w:color="auto"/>
            </w:tcBorders>
            <w:shd w:val="clear" w:color="auto" w:fill="auto"/>
            <w:vAlign w:val="center"/>
            <w:hideMark/>
          </w:tcPr>
          <w:p w14:paraId="65B3421D" w14:textId="77777777" w:rsidR="006F5A0E" w:rsidRPr="006F5A0E" w:rsidRDefault="006F5A0E" w:rsidP="006F5A0E">
            <w:pPr>
              <w:rPr>
                <w:rFonts w:ascii="Arial Narrow" w:eastAsia="Times New Roman" w:hAnsi="Arial Narrow" w:cs="Calibri"/>
                <w:b/>
                <w:bCs/>
                <w:color w:val="000000"/>
                <w:sz w:val="22"/>
                <w:szCs w:val="22"/>
              </w:rPr>
            </w:pPr>
            <w:r w:rsidRPr="006F5A0E">
              <w:rPr>
                <w:rFonts w:ascii="Arial Narrow" w:eastAsia="Times New Roman" w:hAnsi="Arial Narrow" w:cs="Calibri"/>
                <w:b/>
                <w:bCs/>
                <w:color w:val="000000"/>
                <w:sz w:val="22"/>
                <w:szCs w:val="22"/>
              </w:rPr>
              <w:t>DGCN</w:t>
            </w:r>
          </w:p>
        </w:tc>
      </w:tr>
    </w:tbl>
    <w:p w14:paraId="653BEB6F" w14:textId="77777777" w:rsidR="00E71910" w:rsidRDefault="00E71910" w:rsidP="00F743BF">
      <w:pPr>
        <w:pStyle w:val="Default"/>
        <w:ind w:right="261"/>
        <w:jc w:val="both"/>
        <w:rPr>
          <w:sz w:val="22"/>
          <w:szCs w:val="22"/>
          <w:lang w:val="es-CR"/>
        </w:rPr>
      </w:pPr>
    </w:p>
    <w:p w14:paraId="51046E40" w14:textId="6EB4964B" w:rsidR="00F743BF" w:rsidRDefault="00F743BF" w:rsidP="00F743BF">
      <w:pPr>
        <w:pStyle w:val="Default"/>
        <w:ind w:right="261"/>
        <w:jc w:val="both"/>
        <w:rPr>
          <w:rFonts w:eastAsia="Arial"/>
          <w:b/>
          <w:sz w:val="22"/>
          <w:szCs w:val="22"/>
        </w:rPr>
      </w:pPr>
      <w:r w:rsidRPr="00F02F9D">
        <w:rPr>
          <w:rFonts w:eastAsia="Arial"/>
          <w:b/>
          <w:sz w:val="22"/>
          <w:szCs w:val="22"/>
        </w:rPr>
        <w:t>Política Contable</w:t>
      </w:r>
    </w:p>
    <w:p w14:paraId="279DCB04" w14:textId="77777777" w:rsidR="00F743BF" w:rsidRDefault="00F743BF" w:rsidP="00F743BF">
      <w:pPr>
        <w:pStyle w:val="Default"/>
        <w:ind w:right="261"/>
        <w:jc w:val="both"/>
        <w:rPr>
          <w:sz w:val="22"/>
          <w:szCs w:val="22"/>
          <w:lang w:val="es-CR"/>
        </w:rPr>
      </w:pPr>
    </w:p>
    <w:p w14:paraId="16773D7B" w14:textId="77777777" w:rsidR="000A07F2" w:rsidRDefault="000A07F2" w:rsidP="000A07F2">
      <w:pPr>
        <w:pStyle w:val="Default"/>
        <w:ind w:left="1134" w:hanging="1134"/>
        <w:jc w:val="both"/>
        <w:rPr>
          <w:sz w:val="22"/>
          <w:szCs w:val="22"/>
          <w:lang w:val="es-CR"/>
        </w:rPr>
      </w:pPr>
      <w:r>
        <w:rPr>
          <w:sz w:val="22"/>
          <w:szCs w:val="22"/>
          <w:lang w:val="es-CR"/>
        </w:rPr>
        <w:t>4.7.0.01</w:t>
      </w:r>
      <w:r>
        <w:rPr>
          <w:sz w:val="22"/>
          <w:szCs w:val="22"/>
          <w:lang w:val="es-CR"/>
        </w:rPr>
        <w:tab/>
      </w:r>
      <w:r w:rsidR="006F5A0E" w:rsidRPr="000A07F2">
        <w:rPr>
          <w:sz w:val="22"/>
          <w:szCs w:val="22"/>
          <w:lang w:val="es-CR"/>
        </w:rPr>
        <w:t>A efectos del reconocimiento de una entrada de recursos de una transacción sin contraprestación, distinta de servicios en especie, deberán cumplirse las siguientes condiciones:</w:t>
      </w:r>
    </w:p>
    <w:p w14:paraId="788C71AB" w14:textId="3143F0BD" w:rsidR="006F5A0E" w:rsidRPr="000A07F2" w:rsidRDefault="006F5A0E" w:rsidP="000A07F2">
      <w:pPr>
        <w:pStyle w:val="Default"/>
        <w:ind w:left="1134" w:hanging="1134"/>
        <w:jc w:val="both"/>
        <w:rPr>
          <w:sz w:val="22"/>
          <w:szCs w:val="22"/>
          <w:lang w:val="es-CR"/>
        </w:rPr>
      </w:pPr>
      <w:r w:rsidRPr="000A07F2">
        <w:rPr>
          <w:sz w:val="22"/>
          <w:szCs w:val="22"/>
          <w:lang w:val="es-CR"/>
        </w:rPr>
        <w:t xml:space="preserve"> </w:t>
      </w:r>
    </w:p>
    <w:p w14:paraId="0C197296" w14:textId="77777777" w:rsidR="000A07F2" w:rsidRDefault="000A07F2">
      <w:pPr>
        <w:pStyle w:val="Default"/>
        <w:numPr>
          <w:ilvl w:val="1"/>
          <w:numId w:val="224"/>
        </w:numPr>
        <w:spacing w:after="120"/>
        <w:ind w:left="1418" w:hanging="284"/>
        <w:jc w:val="both"/>
        <w:rPr>
          <w:sz w:val="22"/>
          <w:szCs w:val="22"/>
          <w:lang w:val="es-CR"/>
        </w:rPr>
      </w:pPr>
      <w:r>
        <w:rPr>
          <w:sz w:val="22"/>
          <w:szCs w:val="22"/>
          <w:lang w:val="es-CR"/>
        </w:rPr>
        <w:t>Q</w:t>
      </w:r>
      <w:r w:rsidR="006F5A0E" w:rsidRPr="000A07F2">
        <w:rPr>
          <w:sz w:val="22"/>
          <w:szCs w:val="22"/>
          <w:lang w:val="es-CR"/>
        </w:rPr>
        <w:t xml:space="preserve">ue la entrada de recursos cumpla la definición de activo (o en su caso de disminución de un pasivo) y que: </w:t>
      </w:r>
    </w:p>
    <w:p w14:paraId="3EF1B20B" w14:textId="70D99298" w:rsidR="006F5A0E" w:rsidRPr="000A07F2" w:rsidRDefault="000A07F2">
      <w:pPr>
        <w:pStyle w:val="Default"/>
        <w:numPr>
          <w:ilvl w:val="1"/>
          <w:numId w:val="225"/>
        </w:numPr>
        <w:spacing w:after="120"/>
        <w:ind w:left="1843" w:hanging="283"/>
        <w:jc w:val="both"/>
        <w:rPr>
          <w:sz w:val="22"/>
          <w:szCs w:val="22"/>
          <w:lang w:val="es-CR"/>
        </w:rPr>
      </w:pPr>
      <w:r>
        <w:rPr>
          <w:sz w:val="22"/>
          <w:szCs w:val="22"/>
          <w:lang w:val="es-CR"/>
        </w:rPr>
        <w:t>S</w:t>
      </w:r>
      <w:r w:rsidR="006F5A0E" w:rsidRPr="000A07F2">
        <w:rPr>
          <w:sz w:val="22"/>
          <w:szCs w:val="22"/>
          <w:lang w:val="es-CR"/>
        </w:rPr>
        <w:t xml:space="preserve">ea probable que fluyan a la entidad beneficios económicos o potencial de servicio futuros asociados con el activo; y </w:t>
      </w:r>
    </w:p>
    <w:p w14:paraId="594832D3" w14:textId="6B5F0C0C" w:rsidR="006F5A0E" w:rsidRPr="000A07F2" w:rsidRDefault="000A07F2">
      <w:pPr>
        <w:pStyle w:val="Default"/>
        <w:numPr>
          <w:ilvl w:val="1"/>
          <w:numId w:val="225"/>
        </w:numPr>
        <w:spacing w:after="120"/>
        <w:ind w:left="1843" w:hanging="283"/>
        <w:jc w:val="both"/>
        <w:rPr>
          <w:sz w:val="22"/>
          <w:szCs w:val="22"/>
          <w:lang w:val="es-CR"/>
        </w:rPr>
      </w:pPr>
      <w:r>
        <w:rPr>
          <w:sz w:val="22"/>
          <w:szCs w:val="22"/>
          <w:lang w:val="es-CR"/>
        </w:rPr>
        <w:t>A</w:t>
      </w:r>
      <w:r w:rsidR="006F5A0E" w:rsidRPr="000A07F2">
        <w:rPr>
          <w:sz w:val="22"/>
          <w:szCs w:val="22"/>
          <w:lang w:val="es-CR"/>
        </w:rPr>
        <w:t xml:space="preserve">l valor razonable del activo pueda ser medido con fiabilidad; </w:t>
      </w:r>
    </w:p>
    <w:p w14:paraId="0D7F4042" w14:textId="77777777" w:rsidR="000A07F2" w:rsidRDefault="000A07F2">
      <w:pPr>
        <w:pStyle w:val="Default"/>
        <w:numPr>
          <w:ilvl w:val="1"/>
          <w:numId w:val="224"/>
        </w:numPr>
        <w:ind w:left="1418" w:hanging="284"/>
        <w:jc w:val="both"/>
        <w:rPr>
          <w:sz w:val="22"/>
          <w:szCs w:val="22"/>
          <w:lang w:val="es-CR"/>
        </w:rPr>
      </w:pPr>
      <w:r>
        <w:rPr>
          <w:sz w:val="22"/>
          <w:szCs w:val="22"/>
          <w:lang w:val="es-CR"/>
        </w:rPr>
        <w:lastRenderedPageBreak/>
        <w:t>Q</w:t>
      </w:r>
      <w:r w:rsidR="006F5A0E" w:rsidRPr="000A07F2">
        <w:rPr>
          <w:sz w:val="22"/>
          <w:szCs w:val="22"/>
          <w:lang w:val="es-CR"/>
        </w:rPr>
        <w:t xml:space="preserve">ue la entidad tenga la capacidad de ejercer el control sobre los recursos, excluyendo o limitando el acceso a otros a los beneficios económicos o potencial de servicio futuros asociados. En particular: </w:t>
      </w:r>
    </w:p>
    <w:p w14:paraId="046CD51E" w14:textId="11EF5722" w:rsidR="006F5A0E" w:rsidRPr="000A07F2" w:rsidRDefault="000A07F2">
      <w:pPr>
        <w:pStyle w:val="Default"/>
        <w:numPr>
          <w:ilvl w:val="0"/>
          <w:numId w:val="226"/>
        </w:numPr>
        <w:spacing w:after="120"/>
        <w:ind w:left="1843" w:hanging="425"/>
        <w:jc w:val="both"/>
        <w:rPr>
          <w:sz w:val="22"/>
          <w:szCs w:val="22"/>
          <w:lang w:val="es-CR"/>
        </w:rPr>
      </w:pPr>
      <w:r>
        <w:rPr>
          <w:sz w:val="22"/>
          <w:szCs w:val="22"/>
          <w:lang w:val="es-CR"/>
        </w:rPr>
        <w:t>U</w:t>
      </w:r>
      <w:r w:rsidR="006F5A0E" w:rsidRPr="000A07F2">
        <w:rPr>
          <w:sz w:val="22"/>
          <w:szCs w:val="22"/>
          <w:lang w:val="es-CR"/>
        </w:rPr>
        <w:t>n anuncio de una intención de transferir recursos a favor de la entidad no es suficiente por sí mismo para identificar recursos como controlados por la misma;</w:t>
      </w:r>
    </w:p>
    <w:p w14:paraId="0CE3A8E9" w14:textId="3A10B42C" w:rsidR="000A07F2" w:rsidRDefault="000A07F2">
      <w:pPr>
        <w:pStyle w:val="Default"/>
        <w:numPr>
          <w:ilvl w:val="0"/>
          <w:numId w:val="226"/>
        </w:numPr>
        <w:spacing w:after="120"/>
        <w:ind w:left="1843" w:hanging="425"/>
        <w:jc w:val="both"/>
        <w:rPr>
          <w:sz w:val="22"/>
          <w:szCs w:val="22"/>
          <w:lang w:val="es-CR"/>
        </w:rPr>
      </w:pPr>
      <w:r>
        <w:rPr>
          <w:sz w:val="22"/>
          <w:szCs w:val="22"/>
          <w:lang w:val="es-CR"/>
        </w:rPr>
        <w:t>S</w:t>
      </w:r>
      <w:r w:rsidR="006F5A0E" w:rsidRPr="000A07F2">
        <w:rPr>
          <w:sz w:val="22"/>
          <w:szCs w:val="22"/>
          <w:lang w:val="es-CR"/>
        </w:rPr>
        <w:t xml:space="preserve">i requiere un acuerdo de transferencia antes de transferir los recursos, no se identificarán los activos involucrados como controlados hasta el momento en que el acuerdo sea vinculante, ya que no se puede excluir o regular el acceso de la otra parte a dichos recursos; y </w:t>
      </w:r>
    </w:p>
    <w:p w14:paraId="101F8A98" w14:textId="77777777" w:rsidR="000A07F2" w:rsidRDefault="000A07F2">
      <w:pPr>
        <w:pStyle w:val="Default"/>
        <w:numPr>
          <w:ilvl w:val="0"/>
          <w:numId w:val="226"/>
        </w:numPr>
        <w:spacing w:after="120"/>
        <w:ind w:left="1843" w:hanging="425"/>
        <w:jc w:val="both"/>
        <w:rPr>
          <w:sz w:val="22"/>
          <w:szCs w:val="22"/>
          <w:lang w:val="es-CR"/>
        </w:rPr>
      </w:pPr>
      <w:r>
        <w:rPr>
          <w:sz w:val="22"/>
          <w:szCs w:val="22"/>
          <w:lang w:val="es-CR"/>
        </w:rPr>
        <w:t>S</w:t>
      </w:r>
      <w:r w:rsidR="006F5A0E" w:rsidRPr="000A07F2">
        <w:rPr>
          <w:sz w:val="22"/>
          <w:szCs w:val="22"/>
          <w:lang w:val="es-CR"/>
        </w:rPr>
        <w:t xml:space="preserve">i no se tiene capacidad de reclamar legalmente los recursos, no se puede excluir o regular el acceso de la otra parte a los mismos; </w:t>
      </w:r>
    </w:p>
    <w:p w14:paraId="2CEE68A1" w14:textId="77777777" w:rsidR="000A07F2" w:rsidRDefault="000A07F2">
      <w:pPr>
        <w:pStyle w:val="Default"/>
        <w:numPr>
          <w:ilvl w:val="1"/>
          <w:numId w:val="224"/>
        </w:numPr>
        <w:spacing w:after="120"/>
        <w:ind w:left="1418" w:hanging="284"/>
        <w:jc w:val="both"/>
        <w:rPr>
          <w:sz w:val="22"/>
          <w:szCs w:val="22"/>
          <w:lang w:val="es-CR"/>
        </w:rPr>
      </w:pPr>
      <w:r>
        <w:rPr>
          <w:sz w:val="22"/>
          <w:szCs w:val="22"/>
          <w:lang w:val="es-CR"/>
        </w:rPr>
        <w:t>E</w:t>
      </w:r>
      <w:r w:rsidR="006F5A0E" w:rsidRPr="000A07F2">
        <w:rPr>
          <w:sz w:val="22"/>
          <w:szCs w:val="22"/>
          <w:lang w:val="es-CR"/>
        </w:rPr>
        <w:t xml:space="preserve">l control de un activo debe tener origen en un suceso pasado, que para transacciones sin contraprestación puede ser un hecho impositivo o una transferencia. Las transacciones o sucesos que se espera que ocurran en el futuro (por ejemplo, la intención de recaudar un impuesto) no dan lugar por sí mismos al reconocimiento de activos; </w:t>
      </w:r>
    </w:p>
    <w:p w14:paraId="0145A2B7" w14:textId="77777777" w:rsidR="000A07F2" w:rsidRDefault="000A07F2">
      <w:pPr>
        <w:pStyle w:val="Default"/>
        <w:numPr>
          <w:ilvl w:val="1"/>
          <w:numId w:val="224"/>
        </w:numPr>
        <w:spacing w:after="120"/>
        <w:ind w:left="1418" w:hanging="284"/>
        <w:jc w:val="both"/>
        <w:rPr>
          <w:sz w:val="22"/>
          <w:szCs w:val="22"/>
          <w:lang w:val="es-CR"/>
        </w:rPr>
      </w:pPr>
      <w:r>
        <w:rPr>
          <w:sz w:val="22"/>
          <w:szCs w:val="22"/>
          <w:lang w:val="es-CR"/>
        </w:rPr>
        <w:t>U</w:t>
      </w:r>
      <w:r w:rsidR="006F5A0E" w:rsidRPr="000A07F2">
        <w:rPr>
          <w:sz w:val="22"/>
          <w:szCs w:val="22"/>
          <w:lang w:val="es-CR"/>
        </w:rPr>
        <w:t xml:space="preserve">na entrada de recursos es “probable” cuando es más posible que ocurra a que no ocurra, y esta determinación se basará en la experiencia de la entidad en el pasado con tipos similares de flujos de recursos similares y en sus expectativas con respecto al contribuyente o a la entidad (o persona física) que transfiere activos; y </w:t>
      </w:r>
    </w:p>
    <w:p w14:paraId="2138836D" w14:textId="677FFBE7" w:rsidR="006F5A0E" w:rsidRPr="000A07F2" w:rsidRDefault="000A07F2">
      <w:pPr>
        <w:pStyle w:val="Default"/>
        <w:numPr>
          <w:ilvl w:val="1"/>
          <w:numId w:val="224"/>
        </w:numPr>
        <w:ind w:left="1418" w:hanging="284"/>
        <w:jc w:val="both"/>
        <w:rPr>
          <w:sz w:val="22"/>
          <w:szCs w:val="22"/>
          <w:lang w:val="es-CR"/>
        </w:rPr>
      </w:pPr>
      <w:r>
        <w:rPr>
          <w:sz w:val="22"/>
          <w:szCs w:val="22"/>
          <w:lang w:val="es-CR"/>
        </w:rPr>
        <w:t>L</w:t>
      </w:r>
      <w:r w:rsidR="006F5A0E" w:rsidRPr="000A07F2">
        <w:rPr>
          <w:sz w:val="22"/>
          <w:szCs w:val="22"/>
          <w:lang w:val="es-CR"/>
        </w:rPr>
        <w:t xml:space="preserve">as partidas que poseen las características esenciales de un activo, pero no cumplen los criterios para su reconocimiento, pueden ser reveladas justificadamente en las notas a los EEFF como activos contingentes. Las exigencias de revelación de un activo contingente nacen tanto para las provenientes de transacciones con contraprestación, como sin contraprestación. El que un activo contingente exista o no en relación con ingresos por impuestos, queda sometido a la interpretación de lo que constituye un ‘hecho imponible’. Si la realización del ingreso fuera prácticamente cierta, el activo no tendría carácter contingente y, por lo tanto, sería apropiado reconocerlo como tal, y reconocer el ingreso asociado. </w:t>
      </w:r>
    </w:p>
    <w:p w14:paraId="68252D98" w14:textId="77777777" w:rsidR="00E71910" w:rsidRDefault="00E71910" w:rsidP="00952BFE">
      <w:pPr>
        <w:pStyle w:val="Default"/>
        <w:ind w:right="261"/>
        <w:jc w:val="both"/>
        <w:rPr>
          <w:sz w:val="22"/>
          <w:szCs w:val="22"/>
          <w:lang w:val="es-CR"/>
        </w:rPr>
      </w:pPr>
    </w:p>
    <w:p w14:paraId="6148D7B1" w14:textId="77777777" w:rsidR="000A07F2" w:rsidRDefault="000A07F2" w:rsidP="00952BFE">
      <w:pPr>
        <w:pStyle w:val="Default"/>
        <w:ind w:right="261"/>
        <w:jc w:val="both"/>
        <w:rPr>
          <w:sz w:val="22"/>
          <w:szCs w:val="22"/>
          <w:lang w:val="es-CR"/>
        </w:rPr>
      </w:pPr>
    </w:p>
    <w:tbl>
      <w:tblPr>
        <w:tblW w:w="9383" w:type="dxa"/>
        <w:tblLook w:val="04A0" w:firstRow="1" w:lastRow="0" w:firstColumn="1" w:lastColumn="0" w:noHBand="0" w:noVBand="1"/>
      </w:tblPr>
      <w:tblGrid>
        <w:gridCol w:w="769"/>
        <w:gridCol w:w="317"/>
        <w:gridCol w:w="738"/>
        <w:gridCol w:w="3689"/>
        <w:gridCol w:w="1990"/>
        <w:gridCol w:w="1872"/>
        <w:gridCol w:w="8"/>
      </w:tblGrid>
      <w:tr w:rsidR="000A07F2" w:rsidRPr="000A07F2" w14:paraId="322D9670" w14:textId="77777777" w:rsidTr="00F743BF">
        <w:trPr>
          <w:trHeight w:val="300"/>
        </w:trPr>
        <w:tc>
          <w:tcPr>
            <w:tcW w:w="1824"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C44A2BA" w14:textId="77777777" w:rsidR="000A07F2" w:rsidRPr="000A07F2" w:rsidRDefault="000A07F2" w:rsidP="000A07F2">
            <w:pPr>
              <w:jc w:val="center"/>
              <w:rPr>
                <w:rFonts w:ascii="Arial Narrow" w:eastAsia="Times New Roman" w:hAnsi="Arial Narrow" w:cs="Calibri"/>
                <w:b/>
                <w:bCs/>
                <w:color w:val="FFFFFF"/>
                <w:sz w:val="22"/>
                <w:szCs w:val="22"/>
              </w:rPr>
            </w:pPr>
            <w:r w:rsidRPr="000A07F2">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40236986" w14:textId="77777777" w:rsidR="000A07F2" w:rsidRPr="000A07F2" w:rsidRDefault="000A07F2" w:rsidP="000A07F2">
            <w:pPr>
              <w:jc w:val="center"/>
              <w:rPr>
                <w:rFonts w:ascii="Arial Narrow" w:eastAsia="Times New Roman" w:hAnsi="Arial Narrow" w:cs="Calibri"/>
                <w:b/>
                <w:bCs/>
                <w:color w:val="FFFFFF"/>
                <w:sz w:val="22"/>
                <w:szCs w:val="22"/>
              </w:rPr>
            </w:pPr>
            <w:r w:rsidRPr="000A07F2">
              <w:rPr>
                <w:rFonts w:ascii="Arial Narrow" w:eastAsia="Times New Roman" w:hAnsi="Arial Narrow" w:cs="Calibri"/>
                <w:b/>
                <w:bCs/>
                <w:color w:val="FFFFFF"/>
                <w:sz w:val="22"/>
                <w:szCs w:val="22"/>
              </w:rPr>
              <w:t>Concepto</w:t>
            </w:r>
          </w:p>
        </w:tc>
        <w:tc>
          <w:tcPr>
            <w:tcW w:w="3870" w:type="dxa"/>
            <w:gridSpan w:val="3"/>
            <w:tcBorders>
              <w:top w:val="single" w:sz="8" w:space="0" w:color="auto"/>
              <w:left w:val="nil"/>
              <w:bottom w:val="single" w:sz="8" w:space="0" w:color="auto"/>
              <w:right w:val="single" w:sz="8" w:space="0" w:color="000000"/>
            </w:tcBorders>
            <w:shd w:val="clear" w:color="000000" w:fill="203764"/>
            <w:vAlign w:val="center"/>
            <w:hideMark/>
          </w:tcPr>
          <w:p w14:paraId="29941D1C" w14:textId="77777777" w:rsidR="000A07F2" w:rsidRPr="000A07F2" w:rsidRDefault="000A07F2" w:rsidP="000A07F2">
            <w:pPr>
              <w:jc w:val="center"/>
              <w:rPr>
                <w:rFonts w:ascii="Arial Narrow" w:eastAsia="Times New Roman" w:hAnsi="Arial Narrow" w:cs="Calibri"/>
                <w:b/>
                <w:bCs/>
                <w:color w:val="FFFFFF"/>
                <w:sz w:val="22"/>
                <w:szCs w:val="22"/>
              </w:rPr>
            </w:pPr>
            <w:r w:rsidRPr="000A07F2">
              <w:rPr>
                <w:rFonts w:ascii="Arial Narrow" w:eastAsia="Times New Roman" w:hAnsi="Arial Narrow" w:cs="Calibri"/>
                <w:b/>
                <w:bCs/>
                <w:color w:val="FFFFFF"/>
                <w:sz w:val="22"/>
                <w:szCs w:val="22"/>
              </w:rPr>
              <w:t>Referencia</w:t>
            </w:r>
          </w:p>
        </w:tc>
      </w:tr>
      <w:tr w:rsidR="000A07F2" w:rsidRPr="006E5442" w14:paraId="359E1401" w14:textId="77777777" w:rsidTr="00F743BF">
        <w:trPr>
          <w:gridAfter w:val="1"/>
          <w:wAfter w:w="8" w:type="dxa"/>
          <w:trHeight w:val="742"/>
        </w:trPr>
        <w:tc>
          <w:tcPr>
            <w:tcW w:w="1824" w:type="dxa"/>
            <w:gridSpan w:val="3"/>
            <w:vMerge/>
            <w:tcBorders>
              <w:top w:val="single" w:sz="8" w:space="0" w:color="auto"/>
              <w:left w:val="single" w:sz="8" w:space="0" w:color="auto"/>
              <w:bottom w:val="nil"/>
              <w:right w:val="single" w:sz="8" w:space="0" w:color="000000"/>
            </w:tcBorders>
            <w:vAlign w:val="center"/>
            <w:hideMark/>
          </w:tcPr>
          <w:p w14:paraId="19F1034F" w14:textId="77777777" w:rsidR="000A07F2" w:rsidRPr="000A07F2" w:rsidRDefault="000A07F2" w:rsidP="000A07F2">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4E189F27" w14:textId="77777777" w:rsidR="000A07F2" w:rsidRPr="000A07F2" w:rsidRDefault="000A07F2" w:rsidP="000A07F2">
            <w:pPr>
              <w:rPr>
                <w:rFonts w:ascii="Arial Narrow" w:eastAsia="Times New Roman" w:hAnsi="Arial Narrow" w:cs="Calibri"/>
                <w:b/>
                <w:bCs/>
                <w:color w:val="FFFFFF"/>
                <w:sz w:val="22"/>
                <w:szCs w:val="22"/>
              </w:rPr>
            </w:pPr>
          </w:p>
        </w:tc>
        <w:tc>
          <w:tcPr>
            <w:tcW w:w="1990" w:type="dxa"/>
            <w:tcBorders>
              <w:top w:val="nil"/>
              <w:left w:val="nil"/>
              <w:bottom w:val="nil"/>
              <w:right w:val="single" w:sz="8" w:space="0" w:color="auto"/>
            </w:tcBorders>
            <w:shd w:val="clear" w:color="000000" w:fill="203764"/>
            <w:vAlign w:val="center"/>
            <w:hideMark/>
          </w:tcPr>
          <w:p w14:paraId="219E7083" w14:textId="77777777" w:rsidR="000A07F2" w:rsidRPr="000A07F2" w:rsidRDefault="000A07F2" w:rsidP="000A07F2">
            <w:pPr>
              <w:jc w:val="center"/>
              <w:rPr>
                <w:rFonts w:ascii="Arial Narrow" w:eastAsia="Times New Roman" w:hAnsi="Arial Narrow" w:cs="Calibri"/>
                <w:b/>
                <w:bCs/>
                <w:color w:val="FFFFFF"/>
                <w:sz w:val="22"/>
                <w:szCs w:val="22"/>
              </w:rPr>
            </w:pPr>
            <w:r w:rsidRPr="000A07F2">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564F2728" w14:textId="77777777" w:rsidR="000A07F2" w:rsidRPr="000A07F2" w:rsidRDefault="000A07F2" w:rsidP="000A07F2">
            <w:pPr>
              <w:jc w:val="center"/>
              <w:rPr>
                <w:rFonts w:ascii="Arial Narrow" w:eastAsia="Times New Roman" w:hAnsi="Arial Narrow" w:cs="Calibri"/>
                <w:b/>
                <w:bCs/>
                <w:color w:val="FFFFFF"/>
                <w:sz w:val="22"/>
                <w:szCs w:val="22"/>
                <w:lang w:val="es-CR"/>
              </w:rPr>
            </w:pPr>
            <w:r w:rsidRPr="000A07F2">
              <w:rPr>
                <w:rFonts w:ascii="Arial Narrow" w:eastAsia="Times New Roman" w:hAnsi="Arial Narrow" w:cs="Calibri"/>
                <w:b/>
                <w:bCs/>
                <w:color w:val="FFFFFF"/>
                <w:sz w:val="22"/>
                <w:szCs w:val="22"/>
                <w:lang w:val="es-CR"/>
              </w:rPr>
              <w:t>Normativa técnica y disposiciones adicionales</w:t>
            </w:r>
          </w:p>
        </w:tc>
      </w:tr>
      <w:tr w:rsidR="000A07F2" w:rsidRPr="000A07F2" w14:paraId="6F4F2404" w14:textId="77777777" w:rsidTr="00F743BF">
        <w:trPr>
          <w:gridAfter w:val="1"/>
          <w:wAfter w:w="8" w:type="dxa"/>
          <w:trHeight w:val="584"/>
        </w:trPr>
        <w:tc>
          <w:tcPr>
            <w:tcW w:w="7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72487A" w14:textId="77777777" w:rsidR="000A07F2" w:rsidRPr="000A07F2" w:rsidRDefault="000A07F2" w:rsidP="000A07F2">
            <w:pPr>
              <w:jc w:val="center"/>
              <w:rPr>
                <w:rFonts w:ascii="Arial Narrow" w:eastAsia="Times New Roman" w:hAnsi="Arial Narrow" w:cs="Calibri"/>
                <w:b/>
                <w:bCs/>
                <w:color w:val="000000"/>
                <w:sz w:val="22"/>
                <w:szCs w:val="22"/>
              </w:rPr>
            </w:pPr>
            <w:r w:rsidRPr="000A07F2">
              <w:rPr>
                <w:rFonts w:ascii="Arial Narrow" w:eastAsia="Times New Roman" w:hAnsi="Arial Narrow" w:cs="Calibri"/>
                <w:b/>
                <w:bCs/>
                <w:color w:val="000000"/>
                <w:sz w:val="22"/>
                <w:szCs w:val="22"/>
              </w:rPr>
              <w:t>4</w:t>
            </w:r>
          </w:p>
        </w:tc>
        <w:tc>
          <w:tcPr>
            <w:tcW w:w="317" w:type="dxa"/>
            <w:tcBorders>
              <w:top w:val="single" w:sz="8" w:space="0" w:color="auto"/>
              <w:left w:val="nil"/>
              <w:bottom w:val="single" w:sz="8" w:space="0" w:color="auto"/>
              <w:right w:val="single" w:sz="8" w:space="0" w:color="auto"/>
            </w:tcBorders>
            <w:shd w:val="clear" w:color="auto" w:fill="auto"/>
            <w:noWrap/>
            <w:vAlign w:val="center"/>
            <w:hideMark/>
          </w:tcPr>
          <w:p w14:paraId="17532932" w14:textId="77777777" w:rsidR="000A07F2" w:rsidRPr="000A07F2" w:rsidRDefault="000A07F2" w:rsidP="000A07F2">
            <w:pPr>
              <w:jc w:val="center"/>
              <w:rPr>
                <w:rFonts w:ascii="Arial Narrow" w:eastAsia="Times New Roman" w:hAnsi="Arial Narrow" w:cs="Calibri"/>
                <w:b/>
                <w:bCs/>
                <w:color w:val="000000"/>
                <w:sz w:val="22"/>
                <w:szCs w:val="22"/>
              </w:rPr>
            </w:pPr>
            <w:r w:rsidRPr="000A07F2">
              <w:rPr>
                <w:rFonts w:ascii="Arial Narrow" w:eastAsia="Times New Roman" w:hAnsi="Arial Narrow" w:cs="Calibri"/>
                <w:b/>
                <w:bCs/>
                <w:color w:val="000000"/>
                <w:sz w:val="22"/>
                <w:szCs w:val="22"/>
              </w:rPr>
              <w:t>8</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6C601178" w14:textId="7EAC40FE" w:rsidR="000A07F2" w:rsidRPr="000A07F2" w:rsidRDefault="000A07F2" w:rsidP="000A07F2">
            <w:pPr>
              <w:jc w:val="center"/>
              <w:rPr>
                <w:rFonts w:ascii="Arial Narrow" w:eastAsia="Times New Roman" w:hAnsi="Arial Narrow" w:cs="Calibri"/>
                <w:b/>
                <w:bCs/>
                <w:color w:val="000000"/>
                <w:sz w:val="22"/>
                <w:szCs w:val="22"/>
              </w:rPr>
            </w:pP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3C8B0C2D" w14:textId="77777777" w:rsidR="000A07F2" w:rsidRPr="000A07F2" w:rsidRDefault="000A07F2" w:rsidP="000A07F2">
            <w:pPr>
              <w:jc w:val="both"/>
              <w:rPr>
                <w:rFonts w:ascii="Arial Narrow" w:eastAsia="Times New Roman" w:hAnsi="Arial Narrow" w:cs="Calibri"/>
                <w:b/>
                <w:bCs/>
                <w:color w:val="000000"/>
                <w:sz w:val="22"/>
                <w:szCs w:val="22"/>
                <w:lang w:val="es-CR"/>
              </w:rPr>
            </w:pPr>
            <w:r w:rsidRPr="000A07F2">
              <w:rPr>
                <w:rFonts w:ascii="Arial Narrow" w:eastAsia="Times New Roman" w:hAnsi="Arial Narrow" w:cs="Calibri"/>
                <w:b/>
                <w:bCs/>
                <w:color w:val="000000"/>
                <w:sz w:val="22"/>
                <w:szCs w:val="22"/>
                <w:lang w:val="es-CR"/>
              </w:rPr>
              <w:t>Reconocimiento inicial de un activo adquirido mediante transacciones sin contraprestación</w:t>
            </w:r>
          </w:p>
        </w:tc>
        <w:tc>
          <w:tcPr>
            <w:tcW w:w="1990" w:type="dxa"/>
            <w:tcBorders>
              <w:top w:val="single" w:sz="8" w:space="0" w:color="auto"/>
              <w:left w:val="nil"/>
              <w:bottom w:val="single" w:sz="8" w:space="0" w:color="auto"/>
              <w:right w:val="single" w:sz="8" w:space="0" w:color="auto"/>
            </w:tcBorders>
            <w:shd w:val="clear" w:color="auto" w:fill="auto"/>
            <w:vAlign w:val="center"/>
            <w:hideMark/>
          </w:tcPr>
          <w:p w14:paraId="4E2C55C3" w14:textId="77777777" w:rsidR="00952BFE" w:rsidRDefault="000A07F2" w:rsidP="000A07F2">
            <w:pPr>
              <w:jc w:val="both"/>
              <w:rPr>
                <w:rFonts w:ascii="Arial Narrow" w:eastAsia="Times New Roman" w:hAnsi="Arial Narrow" w:cs="Calibri"/>
                <w:b/>
                <w:bCs/>
                <w:color w:val="000000"/>
                <w:sz w:val="22"/>
                <w:szCs w:val="22"/>
              </w:rPr>
            </w:pPr>
            <w:r w:rsidRPr="000A07F2">
              <w:rPr>
                <w:rFonts w:ascii="Arial Narrow" w:eastAsia="Times New Roman" w:hAnsi="Arial Narrow" w:cs="Calibri"/>
                <w:b/>
                <w:bCs/>
                <w:color w:val="000000"/>
                <w:sz w:val="22"/>
                <w:szCs w:val="22"/>
              </w:rPr>
              <w:t>NICSP N° 23,</w:t>
            </w:r>
          </w:p>
          <w:p w14:paraId="3D5EDD42" w14:textId="79B5CAA7" w:rsidR="000A07F2" w:rsidRPr="000A07F2" w:rsidRDefault="000A07F2" w:rsidP="000A07F2">
            <w:pPr>
              <w:jc w:val="both"/>
              <w:rPr>
                <w:rFonts w:ascii="Arial Narrow" w:eastAsia="Times New Roman" w:hAnsi="Arial Narrow" w:cs="Calibri"/>
                <w:b/>
                <w:bCs/>
                <w:color w:val="000000"/>
                <w:sz w:val="22"/>
                <w:szCs w:val="22"/>
              </w:rPr>
            </w:pPr>
            <w:r w:rsidRPr="000A07F2">
              <w:rPr>
                <w:rFonts w:ascii="Arial Narrow" w:eastAsia="Times New Roman" w:hAnsi="Arial Narrow" w:cs="Calibri"/>
                <w:b/>
                <w:bCs/>
                <w:color w:val="000000"/>
                <w:sz w:val="22"/>
                <w:szCs w:val="22"/>
              </w:rPr>
              <w:t>Párrafo 42.</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7B5B0EAE" w14:textId="77777777" w:rsidR="000A07F2" w:rsidRPr="000A07F2" w:rsidRDefault="000A07F2" w:rsidP="000A07F2">
            <w:pPr>
              <w:rPr>
                <w:rFonts w:ascii="Arial Narrow" w:eastAsia="Times New Roman" w:hAnsi="Arial Narrow" w:cs="Calibri"/>
                <w:b/>
                <w:bCs/>
                <w:color w:val="000000"/>
                <w:sz w:val="22"/>
                <w:szCs w:val="22"/>
              </w:rPr>
            </w:pPr>
            <w:r w:rsidRPr="000A07F2">
              <w:rPr>
                <w:rFonts w:ascii="Arial Narrow" w:eastAsia="Times New Roman" w:hAnsi="Arial Narrow" w:cs="Calibri"/>
                <w:b/>
                <w:bCs/>
                <w:color w:val="000000"/>
                <w:sz w:val="22"/>
                <w:szCs w:val="22"/>
              </w:rPr>
              <w:t>DGCN</w:t>
            </w:r>
          </w:p>
        </w:tc>
      </w:tr>
    </w:tbl>
    <w:p w14:paraId="652C9EC3" w14:textId="77777777" w:rsidR="006F5A0E" w:rsidRDefault="006F5A0E" w:rsidP="00F743BF">
      <w:pPr>
        <w:pStyle w:val="Default"/>
        <w:ind w:right="261"/>
        <w:jc w:val="both"/>
        <w:rPr>
          <w:sz w:val="22"/>
          <w:szCs w:val="22"/>
          <w:lang w:val="es-CR"/>
        </w:rPr>
      </w:pPr>
    </w:p>
    <w:p w14:paraId="3054ACA2" w14:textId="3B6FA1B6" w:rsidR="00F743BF" w:rsidRDefault="00F743BF" w:rsidP="00F743BF">
      <w:pPr>
        <w:pStyle w:val="Default"/>
        <w:ind w:right="261"/>
        <w:jc w:val="both"/>
        <w:rPr>
          <w:rFonts w:eastAsia="Arial"/>
          <w:b/>
          <w:sz w:val="22"/>
          <w:szCs w:val="22"/>
        </w:rPr>
      </w:pPr>
      <w:r w:rsidRPr="00F02F9D">
        <w:rPr>
          <w:rFonts w:eastAsia="Arial"/>
          <w:b/>
          <w:sz w:val="22"/>
          <w:szCs w:val="22"/>
        </w:rPr>
        <w:t>Políticas Contables</w:t>
      </w:r>
    </w:p>
    <w:p w14:paraId="42C98D46" w14:textId="77777777" w:rsidR="00F743BF" w:rsidRDefault="00F743BF" w:rsidP="00F743BF">
      <w:pPr>
        <w:pStyle w:val="Default"/>
        <w:ind w:right="261"/>
        <w:jc w:val="both"/>
        <w:rPr>
          <w:sz w:val="22"/>
          <w:szCs w:val="22"/>
          <w:lang w:val="es-CR"/>
        </w:rPr>
      </w:pPr>
    </w:p>
    <w:p w14:paraId="67E14851" w14:textId="54F22E79" w:rsidR="000A07F2" w:rsidRDefault="00700786" w:rsidP="00700786">
      <w:pPr>
        <w:pStyle w:val="Default"/>
        <w:ind w:left="1134" w:hanging="1134"/>
        <w:jc w:val="both"/>
        <w:rPr>
          <w:sz w:val="22"/>
          <w:szCs w:val="22"/>
          <w:lang w:val="es-CR"/>
        </w:rPr>
      </w:pPr>
      <w:r>
        <w:rPr>
          <w:sz w:val="22"/>
          <w:szCs w:val="22"/>
          <w:lang w:val="es-CR"/>
        </w:rPr>
        <w:t>4.8.0.01</w:t>
      </w:r>
      <w:r>
        <w:rPr>
          <w:sz w:val="22"/>
          <w:szCs w:val="22"/>
          <w:lang w:val="es-CR"/>
        </w:rPr>
        <w:tab/>
      </w:r>
      <w:r w:rsidR="000A07F2" w:rsidRPr="000A07F2">
        <w:rPr>
          <w:sz w:val="22"/>
          <w:szCs w:val="22"/>
          <w:lang w:val="es-CR"/>
        </w:rPr>
        <w:t xml:space="preserve">Un activo adquirido mediante una transacción sin contraprestación se medirá inicialmente a su valor razonable en la fecha de adquisición o incorporación al patrimonio. </w:t>
      </w:r>
    </w:p>
    <w:p w14:paraId="567BF6B0" w14:textId="77777777" w:rsidR="00700786" w:rsidRPr="000A07F2" w:rsidRDefault="00700786" w:rsidP="00700786">
      <w:pPr>
        <w:pStyle w:val="Default"/>
        <w:ind w:left="1134" w:hanging="1134"/>
        <w:jc w:val="both"/>
        <w:rPr>
          <w:sz w:val="22"/>
          <w:szCs w:val="22"/>
          <w:lang w:val="es-CR"/>
        </w:rPr>
      </w:pPr>
    </w:p>
    <w:p w14:paraId="7C89E8B4" w14:textId="2BB62751" w:rsidR="006F5A0E" w:rsidRPr="000A07F2" w:rsidRDefault="00700786" w:rsidP="00700786">
      <w:pPr>
        <w:pStyle w:val="Default"/>
        <w:ind w:left="1134" w:right="4" w:hanging="1134"/>
        <w:jc w:val="both"/>
        <w:rPr>
          <w:sz w:val="22"/>
          <w:szCs w:val="22"/>
          <w:lang w:val="es-CR"/>
        </w:rPr>
      </w:pPr>
      <w:r>
        <w:rPr>
          <w:sz w:val="22"/>
          <w:szCs w:val="22"/>
          <w:lang w:val="es-CR"/>
        </w:rPr>
        <w:t>4.8.0.02</w:t>
      </w:r>
      <w:r>
        <w:rPr>
          <w:sz w:val="22"/>
          <w:szCs w:val="22"/>
          <w:lang w:val="es-CR"/>
        </w:rPr>
        <w:tab/>
      </w:r>
      <w:r w:rsidR="000A07F2" w:rsidRPr="000A07F2">
        <w:rPr>
          <w:sz w:val="22"/>
          <w:szCs w:val="22"/>
          <w:lang w:val="es-CR"/>
        </w:rPr>
        <w:t>En los casos de activos transferidos por parte de una entidad gubernamental, el reconocimiento inicial se medirá al valor en libros de aquella entidad al momento de la transferencia.</w:t>
      </w:r>
    </w:p>
    <w:p w14:paraId="60DD2445" w14:textId="77777777" w:rsidR="00700786" w:rsidRDefault="00700786" w:rsidP="00952BFE">
      <w:pPr>
        <w:pStyle w:val="Default"/>
        <w:ind w:right="261"/>
        <w:jc w:val="both"/>
        <w:rPr>
          <w:sz w:val="22"/>
          <w:szCs w:val="22"/>
          <w:lang w:val="es-CR"/>
        </w:rPr>
      </w:pPr>
    </w:p>
    <w:p w14:paraId="14FC1B66" w14:textId="77777777" w:rsidR="00700786" w:rsidRDefault="00700786" w:rsidP="00952BFE">
      <w:pPr>
        <w:pStyle w:val="Default"/>
        <w:ind w:right="261"/>
        <w:jc w:val="both"/>
        <w:rPr>
          <w:sz w:val="22"/>
          <w:szCs w:val="22"/>
          <w:lang w:val="es-CR"/>
        </w:rPr>
      </w:pPr>
    </w:p>
    <w:tbl>
      <w:tblPr>
        <w:tblW w:w="9394" w:type="dxa"/>
        <w:tblLook w:val="04A0" w:firstRow="1" w:lastRow="0" w:firstColumn="1" w:lastColumn="0" w:noHBand="0" w:noVBand="1"/>
      </w:tblPr>
      <w:tblGrid>
        <w:gridCol w:w="768"/>
        <w:gridCol w:w="317"/>
        <w:gridCol w:w="465"/>
        <w:gridCol w:w="3688"/>
        <w:gridCol w:w="2265"/>
        <w:gridCol w:w="1872"/>
        <w:gridCol w:w="19"/>
      </w:tblGrid>
      <w:tr w:rsidR="00700786" w:rsidRPr="00700786" w14:paraId="1C4C3CCD" w14:textId="77777777" w:rsidTr="00F743BF">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1AF8B43" w14:textId="77777777" w:rsidR="00700786" w:rsidRPr="00700786" w:rsidRDefault="00700786" w:rsidP="00700786">
            <w:pPr>
              <w:jc w:val="center"/>
              <w:rPr>
                <w:rFonts w:ascii="Arial Narrow" w:eastAsia="Times New Roman" w:hAnsi="Arial Narrow" w:cs="Calibri"/>
                <w:b/>
                <w:bCs/>
                <w:color w:val="FFFFFF"/>
                <w:sz w:val="22"/>
                <w:szCs w:val="22"/>
              </w:rPr>
            </w:pPr>
            <w:r w:rsidRPr="00700786">
              <w:rPr>
                <w:rFonts w:ascii="Arial Narrow" w:eastAsia="Times New Roman" w:hAnsi="Arial Narrow" w:cs="Calibri"/>
                <w:b/>
                <w:bCs/>
                <w:color w:val="FFFFFF"/>
                <w:sz w:val="22"/>
                <w:szCs w:val="22"/>
              </w:rPr>
              <w:lastRenderedPageBreak/>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167E564B" w14:textId="77777777" w:rsidR="00700786" w:rsidRPr="00700786" w:rsidRDefault="00700786" w:rsidP="00700786">
            <w:pPr>
              <w:jc w:val="center"/>
              <w:rPr>
                <w:rFonts w:ascii="Arial Narrow" w:eastAsia="Times New Roman" w:hAnsi="Arial Narrow" w:cs="Calibri"/>
                <w:b/>
                <w:bCs/>
                <w:color w:val="FFFFFF"/>
                <w:sz w:val="22"/>
                <w:szCs w:val="22"/>
              </w:rPr>
            </w:pPr>
            <w:r w:rsidRPr="00700786">
              <w:rPr>
                <w:rFonts w:ascii="Arial Narrow" w:eastAsia="Times New Roman" w:hAnsi="Arial Narrow" w:cs="Calibri"/>
                <w:b/>
                <w:bCs/>
                <w:color w:val="FFFFFF"/>
                <w:sz w:val="22"/>
                <w:szCs w:val="22"/>
              </w:rPr>
              <w:t>Concepto</w:t>
            </w:r>
          </w:p>
        </w:tc>
        <w:tc>
          <w:tcPr>
            <w:tcW w:w="4156" w:type="dxa"/>
            <w:gridSpan w:val="3"/>
            <w:tcBorders>
              <w:top w:val="single" w:sz="8" w:space="0" w:color="auto"/>
              <w:left w:val="nil"/>
              <w:bottom w:val="single" w:sz="8" w:space="0" w:color="auto"/>
              <w:right w:val="single" w:sz="8" w:space="0" w:color="000000"/>
            </w:tcBorders>
            <w:shd w:val="clear" w:color="000000" w:fill="203764"/>
            <w:vAlign w:val="center"/>
            <w:hideMark/>
          </w:tcPr>
          <w:p w14:paraId="07C143A1" w14:textId="77777777" w:rsidR="00700786" w:rsidRPr="00700786" w:rsidRDefault="00700786" w:rsidP="00700786">
            <w:pPr>
              <w:jc w:val="center"/>
              <w:rPr>
                <w:rFonts w:ascii="Arial Narrow" w:eastAsia="Times New Roman" w:hAnsi="Arial Narrow" w:cs="Calibri"/>
                <w:b/>
                <w:bCs/>
                <w:color w:val="FFFFFF"/>
                <w:sz w:val="22"/>
                <w:szCs w:val="22"/>
              </w:rPr>
            </w:pPr>
            <w:r w:rsidRPr="00700786">
              <w:rPr>
                <w:rFonts w:ascii="Arial Narrow" w:eastAsia="Times New Roman" w:hAnsi="Arial Narrow" w:cs="Calibri"/>
                <w:b/>
                <w:bCs/>
                <w:color w:val="FFFFFF"/>
                <w:sz w:val="22"/>
                <w:szCs w:val="22"/>
              </w:rPr>
              <w:t>Referencia</w:t>
            </w:r>
          </w:p>
        </w:tc>
      </w:tr>
      <w:tr w:rsidR="00700786" w:rsidRPr="006E5442" w14:paraId="3961537B" w14:textId="77777777" w:rsidTr="00F743BF">
        <w:trPr>
          <w:gridAfter w:val="1"/>
          <w:wAfter w:w="19" w:type="dxa"/>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3C538A0" w14:textId="77777777" w:rsidR="00700786" w:rsidRPr="00700786" w:rsidRDefault="00700786" w:rsidP="00700786">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301A15C9" w14:textId="77777777" w:rsidR="00700786" w:rsidRPr="00700786" w:rsidRDefault="00700786" w:rsidP="00700786">
            <w:pPr>
              <w:rPr>
                <w:rFonts w:ascii="Arial Narrow" w:eastAsia="Times New Roman" w:hAnsi="Arial Narrow" w:cs="Calibri"/>
                <w:b/>
                <w:bCs/>
                <w:color w:val="FFFFFF"/>
                <w:sz w:val="22"/>
                <w:szCs w:val="22"/>
              </w:rPr>
            </w:pPr>
          </w:p>
        </w:tc>
        <w:tc>
          <w:tcPr>
            <w:tcW w:w="2265" w:type="dxa"/>
            <w:tcBorders>
              <w:top w:val="nil"/>
              <w:left w:val="nil"/>
              <w:bottom w:val="nil"/>
              <w:right w:val="single" w:sz="8" w:space="0" w:color="auto"/>
            </w:tcBorders>
            <w:shd w:val="clear" w:color="000000" w:fill="203764"/>
            <w:vAlign w:val="center"/>
            <w:hideMark/>
          </w:tcPr>
          <w:p w14:paraId="73C29AAE" w14:textId="77777777" w:rsidR="00700786" w:rsidRPr="00700786" w:rsidRDefault="00700786" w:rsidP="00700786">
            <w:pPr>
              <w:jc w:val="center"/>
              <w:rPr>
                <w:rFonts w:ascii="Arial Narrow" w:eastAsia="Times New Roman" w:hAnsi="Arial Narrow" w:cs="Calibri"/>
                <w:b/>
                <w:bCs/>
                <w:color w:val="FFFFFF"/>
                <w:sz w:val="22"/>
                <w:szCs w:val="22"/>
              </w:rPr>
            </w:pPr>
            <w:r w:rsidRPr="00700786">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0BB4FD2D" w14:textId="77777777" w:rsidR="00700786" w:rsidRPr="00700786" w:rsidRDefault="00700786" w:rsidP="00700786">
            <w:pPr>
              <w:jc w:val="center"/>
              <w:rPr>
                <w:rFonts w:ascii="Arial Narrow" w:eastAsia="Times New Roman" w:hAnsi="Arial Narrow" w:cs="Calibri"/>
                <w:b/>
                <w:bCs/>
                <w:color w:val="FFFFFF"/>
                <w:sz w:val="22"/>
                <w:szCs w:val="22"/>
                <w:lang w:val="es-CR"/>
              </w:rPr>
            </w:pPr>
            <w:r w:rsidRPr="00700786">
              <w:rPr>
                <w:rFonts w:ascii="Arial Narrow" w:eastAsia="Times New Roman" w:hAnsi="Arial Narrow" w:cs="Calibri"/>
                <w:b/>
                <w:bCs/>
                <w:color w:val="FFFFFF"/>
                <w:sz w:val="22"/>
                <w:szCs w:val="22"/>
                <w:lang w:val="es-CR"/>
              </w:rPr>
              <w:t>Normativa técnica y disposiciones adicionales</w:t>
            </w:r>
          </w:p>
        </w:tc>
      </w:tr>
      <w:tr w:rsidR="00700786" w:rsidRPr="00700786" w14:paraId="1AC567CF" w14:textId="77777777" w:rsidTr="00F743BF">
        <w:trPr>
          <w:gridAfter w:val="1"/>
          <w:wAfter w:w="19" w:type="dxa"/>
          <w:trHeight w:val="570"/>
        </w:trPr>
        <w:tc>
          <w:tcPr>
            <w:tcW w:w="7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CC6EFF"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4</w:t>
            </w:r>
          </w:p>
        </w:tc>
        <w:tc>
          <w:tcPr>
            <w:tcW w:w="317" w:type="dxa"/>
            <w:tcBorders>
              <w:top w:val="single" w:sz="8" w:space="0" w:color="auto"/>
              <w:left w:val="nil"/>
              <w:bottom w:val="single" w:sz="8" w:space="0" w:color="auto"/>
              <w:right w:val="single" w:sz="8" w:space="0" w:color="auto"/>
            </w:tcBorders>
            <w:shd w:val="clear" w:color="auto" w:fill="auto"/>
            <w:noWrap/>
            <w:vAlign w:val="center"/>
            <w:hideMark/>
          </w:tcPr>
          <w:p w14:paraId="6ECB1A41"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9</w:t>
            </w:r>
          </w:p>
        </w:tc>
        <w:tc>
          <w:tcPr>
            <w:tcW w:w="465" w:type="dxa"/>
            <w:tcBorders>
              <w:top w:val="single" w:sz="8" w:space="0" w:color="auto"/>
              <w:left w:val="nil"/>
              <w:bottom w:val="single" w:sz="8" w:space="0" w:color="auto"/>
              <w:right w:val="single" w:sz="8" w:space="0" w:color="auto"/>
            </w:tcBorders>
            <w:shd w:val="clear" w:color="auto" w:fill="auto"/>
            <w:vAlign w:val="center"/>
            <w:hideMark/>
          </w:tcPr>
          <w:p w14:paraId="00BB25DB" w14:textId="31464C22" w:rsidR="00952BFE" w:rsidRPr="00700786" w:rsidRDefault="00952BFE" w:rsidP="00952BFE">
            <w:pPr>
              <w:rPr>
                <w:rFonts w:ascii="Arial Narrow" w:eastAsia="Times New Roman" w:hAnsi="Arial Narrow" w:cs="Calibri"/>
                <w:b/>
                <w:bCs/>
                <w:color w:val="000000"/>
                <w:sz w:val="22"/>
                <w:szCs w:val="22"/>
              </w:rPr>
            </w:pP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26A7E7F3" w14:textId="77777777" w:rsidR="00700786" w:rsidRPr="00700786" w:rsidRDefault="00700786" w:rsidP="00700786">
            <w:pPr>
              <w:jc w:val="both"/>
              <w:rPr>
                <w:rFonts w:ascii="Arial Narrow" w:eastAsia="Times New Roman" w:hAnsi="Arial Narrow" w:cs="Calibri"/>
                <w:b/>
                <w:bCs/>
                <w:color w:val="000000"/>
                <w:sz w:val="22"/>
                <w:szCs w:val="22"/>
                <w:lang w:val="es-CR"/>
              </w:rPr>
            </w:pPr>
            <w:r w:rsidRPr="00700786">
              <w:rPr>
                <w:rFonts w:ascii="Arial Narrow" w:eastAsia="Times New Roman" w:hAnsi="Arial Narrow" w:cs="Calibri"/>
                <w:b/>
                <w:bCs/>
                <w:color w:val="000000"/>
                <w:sz w:val="22"/>
                <w:szCs w:val="22"/>
                <w:lang w:val="es-CR"/>
              </w:rPr>
              <w:t>Reconocimiento de ingresos por transacciones sin contraprestación</w:t>
            </w:r>
          </w:p>
        </w:tc>
        <w:tc>
          <w:tcPr>
            <w:tcW w:w="2265" w:type="dxa"/>
            <w:tcBorders>
              <w:top w:val="single" w:sz="8" w:space="0" w:color="auto"/>
              <w:left w:val="nil"/>
              <w:bottom w:val="single" w:sz="8" w:space="0" w:color="auto"/>
              <w:right w:val="single" w:sz="8" w:space="0" w:color="auto"/>
            </w:tcBorders>
            <w:shd w:val="clear" w:color="auto" w:fill="auto"/>
            <w:vAlign w:val="center"/>
            <w:hideMark/>
          </w:tcPr>
          <w:p w14:paraId="2B782904" w14:textId="77777777" w:rsidR="00952BFE" w:rsidRDefault="00700786" w:rsidP="00700786">
            <w:pPr>
              <w:jc w:val="both"/>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NICSP N° 23,</w:t>
            </w:r>
          </w:p>
          <w:p w14:paraId="127A2142" w14:textId="18C728E2" w:rsidR="00700786" w:rsidRPr="00700786" w:rsidRDefault="00700786" w:rsidP="00700786">
            <w:pPr>
              <w:jc w:val="both"/>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Párrafos 44 a 46.</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725AA6FF" w14:textId="77777777" w:rsidR="00700786" w:rsidRPr="00700786" w:rsidRDefault="00700786" w:rsidP="00700786">
            <w:pP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 xml:space="preserve"> </w:t>
            </w:r>
          </w:p>
        </w:tc>
      </w:tr>
    </w:tbl>
    <w:p w14:paraId="5C659D20" w14:textId="77777777" w:rsidR="00700786" w:rsidRDefault="00700786" w:rsidP="00F743BF">
      <w:pPr>
        <w:pStyle w:val="Default"/>
        <w:ind w:right="261"/>
        <w:jc w:val="both"/>
        <w:rPr>
          <w:sz w:val="22"/>
          <w:szCs w:val="22"/>
          <w:lang w:val="es-CR"/>
        </w:rPr>
      </w:pPr>
    </w:p>
    <w:p w14:paraId="3B90BCB5" w14:textId="3318FDE6" w:rsidR="00F743BF" w:rsidRDefault="00F743BF" w:rsidP="00F743BF">
      <w:pPr>
        <w:pStyle w:val="Default"/>
        <w:ind w:right="261"/>
        <w:jc w:val="both"/>
        <w:rPr>
          <w:rFonts w:eastAsia="Arial"/>
          <w:b/>
          <w:sz w:val="22"/>
          <w:szCs w:val="22"/>
        </w:rPr>
      </w:pPr>
      <w:r w:rsidRPr="00F02F9D">
        <w:rPr>
          <w:rFonts w:eastAsia="Arial"/>
          <w:b/>
          <w:sz w:val="22"/>
          <w:szCs w:val="22"/>
        </w:rPr>
        <w:t>Política Contable</w:t>
      </w:r>
    </w:p>
    <w:p w14:paraId="46455D84" w14:textId="77777777" w:rsidR="00F743BF" w:rsidRDefault="00F743BF" w:rsidP="00F743BF">
      <w:pPr>
        <w:pStyle w:val="Default"/>
        <w:ind w:right="261"/>
        <w:jc w:val="both"/>
        <w:rPr>
          <w:sz w:val="22"/>
          <w:szCs w:val="22"/>
          <w:lang w:val="es-CR"/>
        </w:rPr>
      </w:pPr>
    </w:p>
    <w:p w14:paraId="49BAA89D" w14:textId="060EA902" w:rsidR="00700786" w:rsidRDefault="00700786" w:rsidP="00700786">
      <w:pPr>
        <w:pStyle w:val="Default"/>
        <w:ind w:left="1134" w:hanging="1134"/>
        <w:jc w:val="both"/>
        <w:rPr>
          <w:sz w:val="22"/>
          <w:szCs w:val="22"/>
          <w:lang w:val="es-CR"/>
        </w:rPr>
      </w:pPr>
      <w:r>
        <w:rPr>
          <w:sz w:val="22"/>
          <w:szCs w:val="22"/>
          <w:lang w:val="es-CR"/>
        </w:rPr>
        <w:t>4.9.0.01</w:t>
      </w:r>
      <w:r>
        <w:rPr>
          <w:sz w:val="22"/>
          <w:szCs w:val="22"/>
          <w:lang w:val="es-CR"/>
        </w:rPr>
        <w:tab/>
      </w:r>
      <w:r w:rsidRPr="00700786">
        <w:rPr>
          <w:sz w:val="22"/>
          <w:szCs w:val="22"/>
          <w:lang w:val="es-CR"/>
        </w:rPr>
        <w:t>Se reconocerá un ingreso por transacciones sin contraprestación en los siguientes casos:</w:t>
      </w:r>
    </w:p>
    <w:p w14:paraId="09A4DB97" w14:textId="77777777" w:rsidR="00700786" w:rsidRPr="00700786" w:rsidRDefault="00700786" w:rsidP="00700786">
      <w:pPr>
        <w:pStyle w:val="Default"/>
        <w:ind w:left="1134" w:hanging="1134"/>
        <w:jc w:val="both"/>
        <w:rPr>
          <w:sz w:val="22"/>
          <w:szCs w:val="22"/>
          <w:lang w:val="es-CR"/>
        </w:rPr>
      </w:pPr>
    </w:p>
    <w:p w14:paraId="18E361E9" w14:textId="7E8801E1" w:rsidR="00700786" w:rsidRPr="00700786" w:rsidRDefault="00700786">
      <w:pPr>
        <w:pStyle w:val="Default"/>
        <w:numPr>
          <w:ilvl w:val="0"/>
          <w:numId w:val="227"/>
        </w:numPr>
        <w:spacing w:after="120"/>
        <w:ind w:left="1418" w:hanging="284"/>
        <w:jc w:val="both"/>
        <w:rPr>
          <w:sz w:val="22"/>
          <w:szCs w:val="22"/>
          <w:lang w:val="es-CR"/>
        </w:rPr>
      </w:pPr>
      <w:r>
        <w:rPr>
          <w:sz w:val="22"/>
          <w:szCs w:val="22"/>
          <w:lang w:val="es-CR"/>
        </w:rPr>
        <w:t>C</w:t>
      </w:r>
      <w:r w:rsidRPr="00700786">
        <w:rPr>
          <w:sz w:val="22"/>
          <w:szCs w:val="22"/>
          <w:lang w:val="es-CR"/>
        </w:rPr>
        <w:t xml:space="preserve">uando tenga lugar una entrada de recursos reconocida como un activo (o como una disminución de un pasivo), excepto en la medida en que se reconozca </w:t>
      </w:r>
      <w:r w:rsidR="005907B3" w:rsidRPr="00700786">
        <w:rPr>
          <w:sz w:val="22"/>
          <w:szCs w:val="22"/>
          <w:lang w:val="es-CR"/>
        </w:rPr>
        <w:t>ta</w:t>
      </w:r>
      <w:r w:rsidR="005907B3">
        <w:rPr>
          <w:sz w:val="22"/>
          <w:szCs w:val="22"/>
          <w:lang w:val="es-CR"/>
        </w:rPr>
        <w:t>mbi</w:t>
      </w:r>
      <w:r w:rsidR="005907B3" w:rsidRPr="00700786">
        <w:rPr>
          <w:sz w:val="22"/>
          <w:szCs w:val="22"/>
          <w:lang w:val="es-CR"/>
        </w:rPr>
        <w:t>én</w:t>
      </w:r>
      <w:r w:rsidRPr="00700786">
        <w:rPr>
          <w:sz w:val="22"/>
          <w:szCs w:val="22"/>
          <w:lang w:val="es-CR"/>
        </w:rPr>
        <w:t xml:space="preserve"> un pasivo con respecto a dicha entrada (por ejemplo, para activos transferidos con condiciones o para cobros anticipados de impuestos); </w:t>
      </w:r>
    </w:p>
    <w:p w14:paraId="662FD712" w14:textId="3B1DECB5" w:rsidR="00700786" w:rsidRPr="00700786" w:rsidRDefault="00700786">
      <w:pPr>
        <w:pStyle w:val="Default"/>
        <w:numPr>
          <w:ilvl w:val="0"/>
          <w:numId w:val="227"/>
        </w:numPr>
        <w:ind w:left="1418" w:hanging="284"/>
        <w:jc w:val="both"/>
        <w:rPr>
          <w:sz w:val="22"/>
          <w:szCs w:val="22"/>
          <w:lang w:val="es-CR"/>
        </w:rPr>
      </w:pPr>
      <w:r>
        <w:rPr>
          <w:sz w:val="22"/>
          <w:szCs w:val="22"/>
          <w:lang w:val="es-CR"/>
        </w:rPr>
        <w:t>C</w:t>
      </w:r>
      <w:r w:rsidRPr="00700786">
        <w:rPr>
          <w:sz w:val="22"/>
          <w:szCs w:val="22"/>
          <w:lang w:val="es-CR"/>
        </w:rPr>
        <w:t xml:space="preserve">uando una entidad satisfaga una obligación presente reconocida como pasivo con respecto a una entrada de recursos por una transacción sin contraprestación reconocida como activo, debiéndose reducir el importe en libros del pasivo reconocido y reconocer un monto de ingresos igual a dicha reducción (por ejemplo, cuando se cumpla una condición sobre un activo transferido o cuando tenga lugar el hecho imponible para un cobro anticipado de impuestos). </w:t>
      </w:r>
    </w:p>
    <w:p w14:paraId="06D28E0A" w14:textId="77777777" w:rsidR="00700786" w:rsidRDefault="00700786" w:rsidP="002A638A">
      <w:pPr>
        <w:pStyle w:val="Default"/>
        <w:spacing w:after="120" w:line="238" w:lineRule="auto"/>
        <w:ind w:right="260"/>
        <w:jc w:val="both"/>
        <w:rPr>
          <w:sz w:val="22"/>
          <w:szCs w:val="22"/>
          <w:lang w:val="es-CR"/>
        </w:rPr>
      </w:pPr>
    </w:p>
    <w:p w14:paraId="4BDA1273" w14:textId="77777777" w:rsidR="00700786" w:rsidRDefault="00700786" w:rsidP="002A638A">
      <w:pPr>
        <w:pStyle w:val="Default"/>
        <w:spacing w:after="120" w:line="238" w:lineRule="auto"/>
        <w:ind w:right="260"/>
        <w:jc w:val="both"/>
        <w:rPr>
          <w:sz w:val="22"/>
          <w:szCs w:val="22"/>
          <w:lang w:val="es-CR"/>
        </w:rPr>
      </w:pPr>
    </w:p>
    <w:tbl>
      <w:tblPr>
        <w:tblW w:w="9394" w:type="dxa"/>
        <w:tblLook w:val="04A0" w:firstRow="1" w:lastRow="0" w:firstColumn="1" w:lastColumn="0" w:noHBand="0" w:noVBand="1"/>
      </w:tblPr>
      <w:tblGrid>
        <w:gridCol w:w="540"/>
        <w:gridCol w:w="660"/>
        <w:gridCol w:w="520"/>
        <w:gridCol w:w="3740"/>
        <w:gridCol w:w="2043"/>
        <w:gridCol w:w="1891"/>
      </w:tblGrid>
      <w:tr w:rsidR="00700786" w:rsidRPr="00700786" w14:paraId="306F2263" w14:textId="77777777" w:rsidTr="00F743BF">
        <w:trPr>
          <w:trHeight w:val="320"/>
        </w:trPr>
        <w:tc>
          <w:tcPr>
            <w:tcW w:w="172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18DB9A2" w14:textId="77777777" w:rsidR="00700786" w:rsidRPr="00700786" w:rsidRDefault="00700786" w:rsidP="00700786">
            <w:pPr>
              <w:jc w:val="center"/>
              <w:rPr>
                <w:rFonts w:ascii="Arial Narrow" w:eastAsia="Times New Roman" w:hAnsi="Arial Narrow" w:cs="Calibri"/>
                <w:b/>
                <w:bCs/>
                <w:color w:val="FFFFFF"/>
                <w:sz w:val="22"/>
                <w:szCs w:val="22"/>
              </w:rPr>
            </w:pPr>
            <w:r w:rsidRPr="00700786">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15176308" w14:textId="77777777" w:rsidR="00700786" w:rsidRPr="00700786" w:rsidRDefault="00700786" w:rsidP="00700786">
            <w:pPr>
              <w:jc w:val="center"/>
              <w:rPr>
                <w:rFonts w:ascii="Arial Narrow" w:eastAsia="Times New Roman" w:hAnsi="Arial Narrow" w:cs="Calibri"/>
                <w:b/>
                <w:bCs/>
                <w:color w:val="FFFFFF"/>
                <w:sz w:val="22"/>
                <w:szCs w:val="22"/>
              </w:rPr>
            </w:pPr>
            <w:r w:rsidRPr="00700786">
              <w:rPr>
                <w:rFonts w:ascii="Arial Narrow" w:eastAsia="Times New Roman" w:hAnsi="Arial Narrow" w:cs="Calibri"/>
                <w:b/>
                <w:bCs/>
                <w:color w:val="FFFFFF"/>
                <w:sz w:val="22"/>
                <w:szCs w:val="22"/>
              </w:rPr>
              <w:t>Concepto</w:t>
            </w:r>
          </w:p>
        </w:tc>
        <w:tc>
          <w:tcPr>
            <w:tcW w:w="3934" w:type="dxa"/>
            <w:gridSpan w:val="2"/>
            <w:tcBorders>
              <w:top w:val="nil"/>
              <w:left w:val="nil"/>
              <w:bottom w:val="single" w:sz="8" w:space="0" w:color="auto"/>
              <w:right w:val="single" w:sz="8" w:space="0" w:color="000000"/>
            </w:tcBorders>
            <w:shd w:val="clear" w:color="000000" w:fill="203764"/>
            <w:vAlign w:val="center"/>
            <w:hideMark/>
          </w:tcPr>
          <w:p w14:paraId="3D3EE1F4" w14:textId="77777777" w:rsidR="00700786" w:rsidRPr="00700786" w:rsidRDefault="00700786" w:rsidP="00700786">
            <w:pPr>
              <w:jc w:val="center"/>
              <w:rPr>
                <w:rFonts w:ascii="Arial Narrow" w:eastAsia="Times New Roman" w:hAnsi="Arial Narrow" w:cs="Calibri"/>
                <w:b/>
                <w:bCs/>
                <w:color w:val="FFFFFF"/>
                <w:sz w:val="22"/>
                <w:szCs w:val="22"/>
              </w:rPr>
            </w:pPr>
            <w:r w:rsidRPr="00700786">
              <w:rPr>
                <w:rFonts w:ascii="Arial Narrow" w:eastAsia="Times New Roman" w:hAnsi="Arial Narrow" w:cs="Calibri"/>
                <w:b/>
                <w:bCs/>
                <w:color w:val="FFFFFF"/>
                <w:sz w:val="22"/>
                <w:szCs w:val="22"/>
              </w:rPr>
              <w:t>Referencia</w:t>
            </w:r>
          </w:p>
        </w:tc>
      </w:tr>
      <w:tr w:rsidR="00700786" w:rsidRPr="006E5442" w14:paraId="2AB2103D" w14:textId="77777777" w:rsidTr="00F743BF">
        <w:trPr>
          <w:trHeight w:val="850"/>
        </w:trPr>
        <w:tc>
          <w:tcPr>
            <w:tcW w:w="1720" w:type="dxa"/>
            <w:gridSpan w:val="3"/>
            <w:vMerge/>
            <w:tcBorders>
              <w:top w:val="single" w:sz="8" w:space="0" w:color="auto"/>
              <w:left w:val="single" w:sz="8" w:space="0" w:color="auto"/>
              <w:bottom w:val="nil"/>
              <w:right w:val="single" w:sz="8" w:space="0" w:color="000000"/>
            </w:tcBorders>
            <w:vAlign w:val="center"/>
            <w:hideMark/>
          </w:tcPr>
          <w:p w14:paraId="3286F427" w14:textId="77777777" w:rsidR="00700786" w:rsidRPr="00700786" w:rsidRDefault="00700786" w:rsidP="00700786">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7E513AE1" w14:textId="77777777" w:rsidR="00700786" w:rsidRPr="00700786" w:rsidRDefault="00700786" w:rsidP="00700786">
            <w:pPr>
              <w:rPr>
                <w:rFonts w:ascii="Arial Narrow" w:eastAsia="Times New Roman" w:hAnsi="Arial Narrow" w:cs="Calibri"/>
                <w:b/>
                <w:bCs/>
                <w:color w:val="FFFFFF"/>
                <w:sz w:val="22"/>
                <w:szCs w:val="22"/>
              </w:rPr>
            </w:pPr>
          </w:p>
        </w:tc>
        <w:tc>
          <w:tcPr>
            <w:tcW w:w="2043" w:type="dxa"/>
            <w:tcBorders>
              <w:top w:val="nil"/>
              <w:left w:val="nil"/>
              <w:bottom w:val="nil"/>
              <w:right w:val="single" w:sz="8" w:space="0" w:color="auto"/>
            </w:tcBorders>
            <w:shd w:val="clear" w:color="000000" w:fill="203764"/>
            <w:vAlign w:val="center"/>
            <w:hideMark/>
          </w:tcPr>
          <w:p w14:paraId="0D4CCB38" w14:textId="77777777" w:rsidR="00700786" w:rsidRPr="00700786" w:rsidRDefault="00700786" w:rsidP="00700786">
            <w:pPr>
              <w:jc w:val="center"/>
              <w:rPr>
                <w:rFonts w:ascii="Arial Narrow" w:eastAsia="Times New Roman" w:hAnsi="Arial Narrow" w:cs="Calibri"/>
                <w:b/>
                <w:bCs/>
                <w:color w:val="FFFFFF"/>
                <w:sz w:val="22"/>
                <w:szCs w:val="22"/>
              </w:rPr>
            </w:pPr>
            <w:r w:rsidRPr="00700786">
              <w:rPr>
                <w:rFonts w:ascii="Arial Narrow" w:eastAsia="Times New Roman" w:hAnsi="Arial Narrow" w:cs="Calibri"/>
                <w:b/>
                <w:bCs/>
                <w:color w:val="FFFFFF"/>
                <w:sz w:val="22"/>
                <w:szCs w:val="22"/>
              </w:rPr>
              <w:t>Norma</w:t>
            </w:r>
          </w:p>
        </w:tc>
        <w:tc>
          <w:tcPr>
            <w:tcW w:w="1889" w:type="dxa"/>
            <w:tcBorders>
              <w:top w:val="nil"/>
              <w:left w:val="nil"/>
              <w:bottom w:val="nil"/>
              <w:right w:val="single" w:sz="8" w:space="0" w:color="auto"/>
            </w:tcBorders>
            <w:shd w:val="clear" w:color="000000" w:fill="203764"/>
            <w:vAlign w:val="center"/>
            <w:hideMark/>
          </w:tcPr>
          <w:p w14:paraId="561CD206" w14:textId="77777777" w:rsidR="00700786" w:rsidRPr="00700786" w:rsidRDefault="00700786" w:rsidP="00700786">
            <w:pPr>
              <w:jc w:val="center"/>
              <w:rPr>
                <w:rFonts w:ascii="Arial Narrow" w:eastAsia="Times New Roman" w:hAnsi="Arial Narrow" w:cs="Calibri"/>
                <w:b/>
                <w:bCs/>
                <w:color w:val="FFFFFF"/>
                <w:sz w:val="22"/>
                <w:szCs w:val="22"/>
                <w:lang w:val="es-CR"/>
              </w:rPr>
            </w:pPr>
            <w:r w:rsidRPr="00700786">
              <w:rPr>
                <w:rFonts w:ascii="Arial Narrow" w:eastAsia="Times New Roman" w:hAnsi="Arial Narrow" w:cs="Calibri"/>
                <w:b/>
                <w:bCs/>
                <w:color w:val="FFFFFF"/>
                <w:sz w:val="22"/>
                <w:szCs w:val="22"/>
                <w:lang w:val="es-CR"/>
              </w:rPr>
              <w:t>Normativa técnica y disposiciones adicionales</w:t>
            </w:r>
          </w:p>
        </w:tc>
      </w:tr>
      <w:tr w:rsidR="00700786" w:rsidRPr="00700786" w14:paraId="713A7B4D" w14:textId="77777777" w:rsidTr="00F743BF">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C25C8C2"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209370BA"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10</w:t>
            </w:r>
          </w:p>
        </w:tc>
        <w:tc>
          <w:tcPr>
            <w:tcW w:w="520" w:type="dxa"/>
            <w:tcBorders>
              <w:top w:val="nil"/>
              <w:left w:val="nil"/>
              <w:bottom w:val="single" w:sz="8" w:space="0" w:color="auto"/>
              <w:right w:val="single" w:sz="8" w:space="0" w:color="auto"/>
            </w:tcBorders>
            <w:shd w:val="clear" w:color="auto" w:fill="auto"/>
            <w:vAlign w:val="center"/>
            <w:hideMark/>
          </w:tcPr>
          <w:p w14:paraId="53585687" w14:textId="3BCA39CC" w:rsidR="00700786" w:rsidRPr="00700786" w:rsidRDefault="00700786" w:rsidP="00700786">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7EFC5367" w14:textId="77777777" w:rsidR="00700786" w:rsidRPr="00700786" w:rsidRDefault="00700786" w:rsidP="00700786">
            <w:pPr>
              <w:jc w:val="both"/>
              <w:rPr>
                <w:rFonts w:ascii="Arial Narrow" w:eastAsia="Times New Roman" w:hAnsi="Arial Narrow" w:cs="Calibri"/>
                <w:b/>
                <w:bCs/>
                <w:color w:val="000000"/>
                <w:sz w:val="22"/>
                <w:szCs w:val="22"/>
                <w:lang w:val="es-CR"/>
              </w:rPr>
            </w:pPr>
            <w:r w:rsidRPr="00700786">
              <w:rPr>
                <w:rFonts w:ascii="Arial Narrow" w:eastAsia="Times New Roman" w:hAnsi="Arial Narrow" w:cs="Calibri"/>
                <w:b/>
                <w:bCs/>
                <w:color w:val="000000"/>
                <w:sz w:val="22"/>
                <w:szCs w:val="22"/>
                <w:lang w:val="es-CR"/>
              </w:rPr>
              <w:t>Reconocimiento de ingresos por transacciones sin contraprestación</w:t>
            </w:r>
          </w:p>
        </w:tc>
        <w:tc>
          <w:tcPr>
            <w:tcW w:w="2043" w:type="dxa"/>
            <w:tcBorders>
              <w:top w:val="single" w:sz="8" w:space="0" w:color="auto"/>
              <w:left w:val="nil"/>
              <w:bottom w:val="single" w:sz="8" w:space="0" w:color="auto"/>
              <w:right w:val="single" w:sz="8" w:space="0" w:color="auto"/>
            </w:tcBorders>
            <w:shd w:val="clear" w:color="auto" w:fill="auto"/>
            <w:vAlign w:val="center"/>
            <w:hideMark/>
          </w:tcPr>
          <w:p w14:paraId="311898DF" w14:textId="77777777" w:rsidR="00700786" w:rsidRPr="00700786" w:rsidRDefault="00700786" w:rsidP="00700786">
            <w:pP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NICSP N° 23,</w:t>
            </w:r>
            <w:r w:rsidRPr="00700786">
              <w:rPr>
                <w:rFonts w:ascii="Arial Narrow" w:eastAsia="Times New Roman" w:hAnsi="Arial Narrow" w:cs="Calibri"/>
                <w:b/>
                <w:bCs/>
                <w:color w:val="000000"/>
                <w:sz w:val="22"/>
                <w:szCs w:val="22"/>
              </w:rPr>
              <w:br/>
              <w:t>Párrafos 44 a 46.</w:t>
            </w:r>
          </w:p>
        </w:tc>
        <w:tc>
          <w:tcPr>
            <w:tcW w:w="1889" w:type="dxa"/>
            <w:tcBorders>
              <w:top w:val="nil"/>
              <w:left w:val="nil"/>
              <w:bottom w:val="single" w:sz="8" w:space="0" w:color="auto"/>
              <w:right w:val="single" w:sz="8" w:space="0" w:color="auto"/>
            </w:tcBorders>
            <w:shd w:val="clear" w:color="auto" w:fill="auto"/>
            <w:vAlign w:val="center"/>
            <w:hideMark/>
          </w:tcPr>
          <w:p w14:paraId="17AD5FA2" w14:textId="77777777" w:rsidR="00700786" w:rsidRPr="00700786" w:rsidRDefault="00700786" w:rsidP="00700786">
            <w:pPr>
              <w:ind w:firstLineChars="100" w:firstLine="220"/>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 xml:space="preserve"> </w:t>
            </w:r>
          </w:p>
        </w:tc>
      </w:tr>
      <w:tr w:rsidR="00700786" w:rsidRPr="00700786" w14:paraId="36158EED" w14:textId="77777777" w:rsidTr="00F743BF">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6B9934AD"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6F86CCDA"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10</w:t>
            </w:r>
          </w:p>
        </w:tc>
        <w:tc>
          <w:tcPr>
            <w:tcW w:w="520" w:type="dxa"/>
            <w:tcBorders>
              <w:top w:val="nil"/>
              <w:left w:val="nil"/>
              <w:bottom w:val="single" w:sz="8" w:space="0" w:color="auto"/>
              <w:right w:val="single" w:sz="8" w:space="0" w:color="auto"/>
            </w:tcBorders>
            <w:shd w:val="clear" w:color="auto" w:fill="auto"/>
            <w:vAlign w:val="center"/>
            <w:hideMark/>
          </w:tcPr>
          <w:p w14:paraId="216DB8B7"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0953FF27" w14:textId="77777777" w:rsidR="00700786" w:rsidRPr="00700786" w:rsidRDefault="00700786" w:rsidP="00700786">
            <w:pPr>
              <w:jc w:val="both"/>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Obligaciones presentes</w:t>
            </w:r>
          </w:p>
        </w:tc>
        <w:tc>
          <w:tcPr>
            <w:tcW w:w="2043" w:type="dxa"/>
            <w:tcBorders>
              <w:top w:val="nil"/>
              <w:left w:val="nil"/>
              <w:bottom w:val="single" w:sz="8" w:space="0" w:color="auto"/>
              <w:right w:val="single" w:sz="8" w:space="0" w:color="auto"/>
            </w:tcBorders>
            <w:shd w:val="clear" w:color="auto" w:fill="auto"/>
            <w:vAlign w:val="center"/>
            <w:hideMark/>
          </w:tcPr>
          <w:p w14:paraId="76703742" w14:textId="77777777" w:rsidR="00700786" w:rsidRPr="00700786" w:rsidRDefault="00700786" w:rsidP="00700786">
            <w:pP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NICSP N° 23,</w:t>
            </w:r>
            <w:r w:rsidRPr="00700786">
              <w:rPr>
                <w:rFonts w:ascii="Arial Narrow" w:eastAsia="Times New Roman" w:hAnsi="Arial Narrow" w:cs="Calibri"/>
                <w:b/>
                <w:bCs/>
                <w:color w:val="000000"/>
                <w:sz w:val="22"/>
                <w:szCs w:val="22"/>
              </w:rPr>
              <w:br/>
              <w:t>Párrafos 17, 22 y 51.</w:t>
            </w:r>
          </w:p>
        </w:tc>
        <w:tc>
          <w:tcPr>
            <w:tcW w:w="1889" w:type="dxa"/>
            <w:tcBorders>
              <w:top w:val="nil"/>
              <w:left w:val="nil"/>
              <w:bottom w:val="single" w:sz="8" w:space="0" w:color="auto"/>
              <w:right w:val="single" w:sz="8" w:space="0" w:color="auto"/>
            </w:tcBorders>
            <w:shd w:val="clear" w:color="auto" w:fill="auto"/>
            <w:vAlign w:val="center"/>
            <w:hideMark/>
          </w:tcPr>
          <w:p w14:paraId="4A04D2BE" w14:textId="77777777" w:rsidR="00700786" w:rsidRPr="00700786" w:rsidRDefault="00700786" w:rsidP="00700786">
            <w:pPr>
              <w:ind w:firstLineChars="100" w:firstLine="220"/>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 xml:space="preserve"> </w:t>
            </w:r>
          </w:p>
        </w:tc>
      </w:tr>
      <w:tr w:rsidR="00700786" w:rsidRPr="00700786" w14:paraId="492D8227" w14:textId="77777777" w:rsidTr="00F743BF">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418F402"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7C55EFBA"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10</w:t>
            </w:r>
          </w:p>
        </w:tc>
        <w:tc>
          <w:tcPr>
            <w:tcW w:w="520" w:type="dxa"/>
            <w:tcBorders>
              <w:top w:val="nil"/>
              <w:left w:val="nil"/>
              <w:bottom w:val="single" w:sz="8" w:space="0" w:color="auto"/>
              <w:right w:val="single" w:sz="8" w:space="0" w:color="auto"/>
            </w:tcBorders>
            <w:shd w:val="clear" w:color="auto" w:fill="auto"/>
            <w:vAlign w:val="center"/>
            <w:hideMark/>
          </w:tcPr>
          <w:p w14:paraId="07DAAE48"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6B5CAF6F" w14:textId="77777777" w:rsidR="00700786" w:rsidRPr="00700786" w:rsidRDefault="00700786" w:rsidP="00700786">
            <w:pPr>
              <w:jc w:val="both"/>
              <w:rPr>
                <w:rFonts w:ascii="Arial Narrow" w:eastAsia="Times New Roman" w:hAnsi="Arial Narrow" w:cs="Calibri"/>
                <w:b/>
                <w:bCs/>
                <w:color w:val="000000"/>
                <w:sz w:val="22"/>
                <w:szCs w:val="22"/>
                <w:lang w:val="es-CR"/>
              </w:rPr>
            </w:pPr>
            <w:r w:rsidRPr="00700786">
              <w:rPr>
                <w:rFonts w:ascii="Arial Narrow" w:eastAsia="Times New Roman" w:hAnsi="Arial Narrow" w:cs="Calibri"/>
                <w:b/>
                <w:bCs/>
                <w:color w:val="000000"/>
                <w:sz w:val="22"/>
                <w:szCs w:val="22"/>
                <w:lang w:val="es-CR"/>
              </w:rPr>
              <w:t>Obligaciones por recaudación de impuestos y transferencias de activos</w:t>
            </w:r>
          </w:p>
        </w:tc>
        <w:tc>
          <w:tcPr>
            <w:tcW w:w="2043" w:type="dxa"/>
            <w:tcBorders>
              <w:top w:val="nil"/>
              <w:left w:val="nil"/>
              <w:bottom w:val="single" w:sz="8" w:space="0" w:color="auto"/>
              <w:right w:val="single" w:sz="8" w:space="0" w:color="auto"/>
            </w:tcBorders>
            <w:shd w:val="clear" w:color="auto" w:fill="auto"/>
            <w:vAlign w:val="center"/>
            <w:hideMark/>
          </w:tcPr>
          <w:p w14:paraId="5DC326C4" w14:textId="77777777" w:rsidR="00700786" w:rsidRPr="00700786" w:rsidRDefault="00700786" w:rsidP="00700786">
            <w:pP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NICSP N° 23,</w:t>
            </w:r>
            <w:r w:rsidRPr="00700786">
              <w:rPr>
                <w:rFonts w:ascii="Arial Narrow" w:eastAsia="Times New Roman" w:hAnsi="Arial Narrow" w:cs="Calibri"/>
                <w:b/>
                <w:bCs/>
                <w:color w:val="000000"/>
                <w:sz w:val="22"/>
                <w:szCs w:val="22"/>
              </w:rPr>
              <w:br/>
              <w:t>Párrafo 52.</w:t>
            </w:r>
          </w:p>
        </w:tc>
        <w:tc>
          <w:tcPr>
            <w:tcW w:w="1889" w:type="dxa"/>
            <w:tcBorders>
              <w:top w:val="nil"/>
              <w:left w:val="nil"/>
              <w:bottom w:val="single" w:sz="8" w:space="0" w:color="auto"/>
              <w:right w:val="single" w:sz="8" w:space="0" w:color="auto"/>
            </w:tcBorders>
            <w:shd w:val="clear" w:color="auto" w:fill="auto"/>
            <w:vAlign w:val="center"/>
            <w:hideMark/>
          </w:tcPr>
          <w:p w14:paraId="22B30758" w14:textId="77777777" w:rsidR="00700786" w:rsidRPr="00700786" w:rsidRDefault="00700786" w:rsidP="00700786">
            <w:pPr>
              <w:ind w:firstLineChars="100" w:firstLine="220"/>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DGCN</w:t>
            </w:r>
          </w:p>
        </w:tc>
      </w:tr>
      <w:tr w:rsidR="00700786" w:rsidRPr="00700786" w14:paraId="77DA1188" w14:textId="77777777" w:rsidTr="00F743BF">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1E6DB12"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406F37A0"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10</w:t>
            </w:r>
          </w:p>
        </w:tc>
        <w:tc>
          <w:tcPr>
            <w:tcW w:w="520" w:type="dxa"/>
            <w:tcBorders>
              <w:top w:val="nil"/>
              <w:left w:val="nil"/>
              <w:bottom w:val="single" w:sz="8" w:space="0" w:color="auto"/>
              <w:right w:val="single" w:sz="8" w:space="0" w:color="auto"/>
            </w:tcBorders>
            <w:shd w:val="clear" w:color="auto" w:fill="auto"/>
            <w:vAlign w:val="center"/>
            <w:hideMark/>
          </w:tcPr>
          <w:p w14:paraId="05B5D928" w14:textId="77777777" w:rsidR="00700786" w:rsidRPr="00700786" w:rsidRDefault="00700786" w:rsidP="00700786">
            <w:pPr>
              <w:jc w:val="cente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2C5899D1" w14:textId="77777777" w:rsidR="00700786" w:rsidRPr="00700786" w:rsidRDefault="00700786" w:rsidP="00700786">
            <w:pPr>
              <w:jc w:val="both"/>
              <w:rPr>
                <w:rFonts w:ascii="Arial Narrow" w:eastAsia="Times New Roman" w:hAnsi="Arial Narrow" w:cs="Calibri"/>
                <w:b/>
                <w:bCs/>
                <w:color w:val="000000"/>
                <w:sz w:val="22"/>
                <w:szCs w:val="22"/>
                <w:lang w:val="es-CR"/>
              </w:rPr>
            </w:pPr>
            <w:r w:rsidRPr="00700786">
              <w:rPr>
                <w:rFonts w:ascii="Arial Narrow" w:eastAsia="Times New Roman" w:hAnsi="Arial Narrow" w:cs="Calibri"/>
                <w:b/>
                <w:bCs/>
                <w:color w:val="000000"/>
                <w:sz w:val="22"/>
                <w:szCs w:val="22"/>
                <w:lang w:val="es-CR"/>
              </w:rPr>
              <w:t>IIngresos anticipados y reconocimiento posterior</w:t>
            </w:r>
          </w:p>
        </w:tc>
        <w:tc>
          <w:tcPr>
            <w:tcW w:w="2043" w:type="dxa"/>
            <w:tcBorders>
              <w:top w:val="nil"/>
              <w:left w:val="nil"/>
              <w:bottom w:val="single" w:sz="8" w:space="0" w:color="auto"/>
              <w:right w:val="single" w:sz="8" w:space="0" w:color="auto"/>
            </w:tcBorders>
            <w:shd w:val="clear" w:color="auto" w:fill="auto"/>
            <w:vAlign w:val="center"/>
            <w:hideMark/>
          </w:tcPr>
          <w:p w14:paraId="5E11A8F0" w14:textId="77777777" w:rsidR="00700786" w:rsidRPr="00700786" w:rsidRDefault="00700786" w:rsidP="00700786">
            <w:pPr>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NICSP N° 23,</w:t>
            </w:r>
            <w:r w:rsidRPr="00700786">
              <w:rPr>
                <w:rFonts w:ascii="Arial Narrow" w:eastAsia="Times New Roman" w:hAnsi="Arial Narrow" w:cs="Calibri"/>
                <w:b/>
                <w:bCs/>
                <w:color w:val="000000"/>
                <w:sz w:val="22"/>
                <w:szCs w:val="22"/>
              </w:rPr>
              <w:br/>
              <w:t>Párrafos 53 y 54.</w:t>
            </w:r>
          </w:p>
        </w:tc>
        <w:tc>
          <w:tcPr>
            <w:tcW w:w="1889" w:type="dxa"/>
            <w:tcBorders>
              <w:top w:val="nil"/>
              <w:left w:val="nil"/>
              <w:bottom w:val="single" w:sz="8" w:space="0" w:color="auto"/>
              <w:right w:val="single" w:sz="8" w:space="0" w:color="auto"/>
            </w:tcBorders>
            <w:shd w:val="clear" w:color="auto" w:fill="auto"/>
            <w:vAlign w:val="center"/>
            <w:hideMark/>
          </w:tcPr>
          <w:p w14:paraId="668ADA00" w14:textId="77777777" w:rsidR="00700786" w:rsidRPr="00700786" w:rsidRDefault="00700786" w:rsidP="00700786">
            <w:pPr>
              <w:ind w:firstLineChars="100" w:firstLine="220"/>
              <w:rPr>
                <w:rFonts w:ascii="Arial Narrow" w:eastAsia="Times New Roman" w:hAnsi="Arial Narrow" w:cs="Calibri"/>
                <w:b/>
                <w:bCs/>
                <w:color w:val="000000"/>
                <w:sz w:val="22"/>
                <w:szCs w:val="22"/>
              </w:rPr>
            </w:pPr>
            <w:r w:rsidRPr="00700786">
              <w:rPr>
                <w:rFonts w:ascii="Arial Narrow" w:eastAsia="Times New Roman" w:hAnsi="Arial Narrow" w:cs="Calibri"/>
                <w:b/>
                <w:bCs/>
                <w:color w:val="000000"/>
                <w:sz w:val="22"/>
                <w:szCs w:val="22"/>
              </w:rPr>
              <w:t xml:space="preserve"> </w:t>
            </w:r>
          </w:p>
        </w:tc>
      </w:tr>
    </w:tbl>
    <w:p w14:paraId="6792A37E" w14:textId="77777777" w:rsidR="00700786" w:rsidRDefault="00700786" w:rsidP="00F743BF">
      <w:pPr>
        <w:pStyle w:val="Default"/>
        <w:ind w:right="261"/>
        <w:jc w:val="both"/>
        <w:rPr>
          <w:sz w:val="22"/>
          <w:szCs w:val="22"/>
          <w:lang w:val="es-CR"/>
        </w:rPr>
      </w:pPr>
    </w:p>
    <w:p w14:paraId="5444572D" w14:textId="5CD13163" w:rsidR="00F743BF" w:rsidRDefault="00F743BF" w:rsidP="00F743BF">
      <w:pPr>
        <w:pStyle w:val="Default"/>
        <w:ind w:right="261"/>
        <w:jc w:val="both"/>
        <w:rPr>
          <w:rFonts w:eastAsia="Arial"/>
          <w:b/>
          <w:sz w:val="22"/>
          <w:szCs w:val="22"/>
        </w:rPr>
      </w:pPr>
      <w:r w:rsidRPr="00F02F9D">
        <w:rPr>
          <w:rFonts w:eastAsia="Arial"/>
          <w:b/>
          <w:sz w:val="22"/>
          <w:szCs w:val="22"/>
        </w:rPr>
        <w:t>Políticas Contables</w:t>
      </w:r>
    </w:p>
    <w:p w14:paraId="2F6FA27F" w14:textId="77777777" w:rsidR="00F743BF" w:rsidRDefault="00F743BF" w:rsidP="00F743BF">
      <w:pPr>
        <w:pStyle w:val="Default"/>
        <w:ind w:right="261"/>
        <w:jc w:val="both"/>
        <w:rPr>
          <w:sz w:val="22"/>
          <w:szCs w:val="22"/>
          <w:lang w:val="es-CR"/>
        </w:rPr>
      </w:pPr>
    </w:p>
    <w:p w14:paraId="2EFEE999" w14:textId="77777777" w:rsidR="00700786" w:rsidRDefault="00700786" w:rsidP="00700786">
      <w:pPr>
        <w:pStyle w:val="Default"/>
        <w:ind w:left="1134" w:hanging="1134"/>
        <w:jc w:val="both"/>
        <w:rPr>
          <w:sz w:val="22"/>
          <w:szCs w:val="22"/>
          <w:lang w:val="es-CR"/>
        </w:rPr>
      </w:pPr>
      <w:r>
        <w:rPr>
          <w:sz w:val="22"/>
          <w:szCs w:val="22"/>
          <w:lang w:val="es-CR"/>
        </w:rPr>
        <w:t>4.10.0.01</w:t>
      </w:r>
      <w:r>
        <w:rPr>
          <w:sz w:val="22"/>
          <w:szCs w:val="22"/>
          <w:lang w:val="es-CR"/>
        </w:rPr>
        <w:tab/>
      </w:r>
      <w:r w:rsidRPr="00700786">
        <w:rPr>
          <w:sz w:val="22"/>
          <w:szCs w:val="22"/>
          <w:lang w:val="es-CR"/>
        </w:rPr>
        <w:t xml:space="preserve">Los ingresos de transacciones sin contraprestación </w:t>
      </w:r>
      <w:r w:rsidRPr="00700786">
        <w:rPr>
          <w:b/>
          <w:bCs/>
          <w:sz w:val="22"/>
          <w:szCs w:val="22"/>
          <w:lang w:val="es-CR"/>
        </w:rPr>
        <w:t xml:space="preserve">se medirán al importe del incremento en los activos netos reconocidos </w:t>
      </w:r>
      <w:r w:rsidRPr="00700786">
        <w:rPr>
          <w:sz w:val="22"/>
          <w:szCs w:val="22"/>
          <w:lang w:val="es-CR"/>
        </w:rPr>
        <w:t>por la entidad.</w:t>
      </w:r>
    </w:p>
    <w:p w14:paraId="36492F0D" w14:textId="77777777" w:rsidR="00700786" w:rsidRDefault="00700786" w:rsidP="00700786">
      <w:pPr>
        <w:pStyle w:val="Default"/>
        <w:ind w:left="1134" w:hanging="1134"/>
        <w:jc w:val="both"/>
        <w:rPr>
          <w:sz w:val="22"/>
          <w:szCs w:val="22"/>
          <w:lang w:val="es-CR"/>
        </w:rPr>
      </w:pPr>
    </w:p>
    <w:p w14:paraId="2F63C442" w14:textId="5EA7BF73" w:rsidR="00700786" w:rsidRDefault="00700786" w:rsidP="00700786">
      <w:pPr>
        <w:pStyle w:val="Default"/>
        <w:ind w:left="1134" w:hanging="1134"/>
        <w:jc w:val="both"/>
        <w:rPr>
          <w:b/>
          <w:bCs/>
          <w:sz w:val="22"/>
          <w:szCs w:val="22"/>
          <w:lang w:val="es-CR"/>
        </w:rPr>
      </w:pPr>
      <w:r>
        <w:rPr>
          <w:sz w:val="22"/>
          <w:szCs w:val="22"/>
          <w:lang w:val="es-CR"/>
        </w:rPr>
        <w:t>4.10.0.02</w:t>
      </w:r>
      <w:r>
        <w:rPr>
          <w:sz w:val="22"/>
          <w:szCs w:val="22"/>
          <w:lang w:val="es-CR"/>
        </w:rPr>
        <w:tab/>
      </w:r>
      <w:r w:rsidRPr="00700786">
        <w:rPr>
          <w:sz w:val="22"/>
          <w:szCs w:val="22"/>
          <w:lang w:val="es-CR"/>
        </w:rPr>
        <w:t xml:space="preserve">Cuando, como resultado de una transacción sin contraprestación, se reconozca un activo, </w:t>
      </w:r>
      <w:r w:rsidR="005907B3" w:rsidRPr="00700786">
        <w:rPr>
          <w:sz w:val="22"/>
          <w:szCs w:val="22"/>
          <w:lang w:val="es-CR"/>
        </w:rPr>
        <w:t>ta</w:t>
      </w:r>
      <w:r w:rsidR="005907B3">
        <w:rPr>
          <w:sz w:val="22"/>
          <w:szCs w:val="22"/>
          <w:lang w:val="es-CR"/>
        </w:rPr>
        <w:t>mbi</w:t>
      </w:r>
      <w:r w:rsidR="005907B3" w:rsidRPr="00700786">
        <w:rPr>
          <w:sz w:val="22"/>
          <w:szCs w:val="22"/>
          <w:lang w:val="es-CR"/>
        </w:rPr>
        <w:t>én</w:t>
      </w:r>
      <w:r w:rsidRPr="00700786">
        <w:rPr>
          <w:sz w:val="22"/>
          <w:szCs w:val="22"/>
          <w:lang w:val="es-CR"/>
        </w:rPr>
        <w:t xml:space="preserve"> se reconocerá un ingreso equivalente al importe del activo medido inicialmente (a su valor razonable en la fecha de adquisición o al valor en libros de la entidad que transfirió, cuando ésta sea una entidad gubernamental)</w:t>
      </w:r>
      <w:r>
        <w:rPr>
          <w:b/>
          <w:bCs/>
          <w:sz w:val="22"/>
          <w:szCs w:val="22"/>
          <w:lang w:val="es-CR"/>
        </w:rPr>
        <w:t>.</w:t>
      </w:r>
    </w:p>
    <w:p w14:paraId="57F3C001" w14:textId="77777777" w:rsidR="00700786" w:rsidRDefault="00700786" w:rsidP="00700786">
      <w:pPr>
        <w:pStyle w:val="Default"/>
        <w:ind w:left="1134" w:hanging="1134"/>
        <w:jc w:val="both"/>
        <w:rPr>
          <w:b/>
          <w:bCs/>
          <w:sz w:val="22"/>
          <w:szCs w:val="22"/>
          <w:lang w:val="es-CR"/>
        </w:rPr>
      </w:pPr>
    </w:p>
    <w:p w14:paraId="18009C9A" w14:textId="0FC1AF75" w:rsidR="00700786" w:rsidRDefault="00700786" w:rsidP="00700786">
      <w:pPr>
        <w:pStyle w:val="Default"/>
        <w:ind w:left="1134" w:hanging="1134"/>
        <w:jc w:val="both"/>
        <w:rPr>
          <w:sz w:val="22"/>
          <w:szCs w:val="22"/>
          <w:lang w:val="es-CR"/>
        </w:rPr>
      </w:pPr>
      <w:r>
        <w:rPr>
          <w:sz w:val="22"/>
          <w:szCs w:val="22"/>
          <w:lang w:val="es-CR"/>
        </w:rPr>
        <w:t>4.10.</w:t>
      </w:r>
      <w:r w:rsidR="001D6EB8">
        <w:rPr>
          <w:sz w:val="22"/>
          <w:szCs w:val="22"/>
          <w:lang w:val="es-CR"/>
        </w:rPr>
        <w:t>0.03</w:t>
      </w:r>
      <w:r w:rsidR="001D6EB8">
        <w:rPr>
          <w:sz w:val="22"/>
          <w:szCs w:val="22"/>
          <w:lang w:val="es-CR"/>
        </w:rPr>
        <w:tab/>
      </w:r>
      <w:r w:rsidRPr="00700786">
        <w:rPr>
          <w:sz w:val="22"/>
          <w:szCs w:val="22"/>
          <w:lang w:val="es-CR"/>
        </w:rPr>
        <w:t>Cuando se requiera que se reconozca un pasivo, sólo se reconocerá como un ingreso el importe del incremento en los activos netos, si los hubiere. Cuando un pasivo se reduzca posteriormente, porque ocurra el hecho imponible o se satisfaga una condición, el importe de la reducción en el pasivo se reconocerá como ingreso.</w:t>
      </w:r>
    </w:p>
    <w:p w14:paraId="5F426DA5" w14:textId="77777777" w:rsidR="00700786" w:rsidRPr="00700786" w:rsidRDefault="00700786" w:rsidP="00700786">
      <w:pPr>
        <w:pStyle w:val="Default"/>
        <w:ind w:left="1134" w:hanging="1134"/>
        <w:jc w:val="both"/>
        <w:rPr>
          <w:sz w:val="22"/>
          <w:szCs w:val="22"/>
          <w:lang w:val="es-CR"/>
        </w:rPr>
      </w:pPr>
    </w:p>
    <w:p w14:paraId="63711F9C" w14:textId="02D5B7F6" w:rsidR="001D6EB8" w:rsidRDefault="008B291F">
      <w:pPr>
        <w:pStyle w:val="Default"/>
        <w:numPr>
          <w:ilvl w:val="3"/>
          <w:numId w:val="233"/>
        </w:numPr>
        <w:ind w:left="1134" w:hanging="1134"/>
        <w:jc w:val="both"/>
        <w:rPr>
          <w:sz w:val="22"/>
          <w:szCs w:val="22"/>
          <w:lang w:val="es-CR"/>
        </w:rPr>
      </w:pPr>
      <w:r>
        <w:rPr>
          <w:sz w:val="22"/>
          <w:szCs w:val="22"/>
          <w:lang w:val="es-CR"/>
        </w:rPr>
        <w:t>U</w:t>
      </w:r>
      <w:r w:rsidR="00700786" w:rsidRPr="00700786">
        <w:rPr>
          <w:sz w:val="22"/>
          <w:szCs w:val="22"/>
          <w:lang w:val="es-CR"/>
        </w:rPr>
        <w:t>n pasivo procedente de una transacción sin contraprestación es una obligación presente de actuar (hacer lo estipulado) o rendir (cumplir con una condición); es decir, se requiere a la receptora:</w:t>
      </w:r>
    </w:p>
    <w:p w14:paraId="1A1E03AB" w14:textId="77777777" w:rsidR="001D6EB8" w:rsidRDefault="001D6EB8" w:rsidP="001D6EB8">
      <w:pPr>
        <w:pStyle w:val="Default"/>
        <w:jc w:val="both"/>
        <w:rPr>
          <w:sz w:val="22"/>
          <w:szCs w:val="22"/>
          <w:lang w:val="es-CR"/>
        </w:rPr>
      </w:pPr>
    </w:p>
    <w:p w14:paraId="751935BE" w14:textId="3F34015F" w:rsidR="00700786" w:rsidRPr="00700786" w:rsidRDefault="001D6EB8">
      <w:pPr>
        <w:pStyle w:val="Default"/>
        <w:numPr>
          <w:ilvl w:val="1"/>
          <w:numId w:val="232"/>
        </w:numPr>
        <w:ind w:left="1418" w:hanging="284"/>
        <w:jc w:val="both"/>
        <w:rPr>
          <w:sz w:val="22"/>
          <w:szCs w:val="22"/>
          <w:lang w:val="es-CR"/>
        </w:rPr>
      </w:pPr>
      <w:r>
        <w:rPr>
          <w:sz w:val="22"/>
          <w:szCs w:val="22"/>
          <w:lang w:val="es-CR"/>
        </w:rPr>
        <w:t>C</w:t>
      </w:r>
      <w:r w:rsidR="00700786" w:rsidRPr="00700786">
        <w:rPr>
          <w:sz w:val="22"/>
          <w:szCs w:val="22"/>
          <w:lang w:val="es-CR"/>
        </w:rPr>
        <w:t xml:space="preserve">onsumir los beneficios económicos futuros o el potencial de servicio implícito en el activo transferido, o </w:t>
      </w:r>
    </w:p>
    <w:p w14:paraId="0DC16A0D" w14:textId="17265B3E" w:rsidR="00700786" w:rsidRPr="00700786" w:rsidRDefault="001D6EB8">
      <w:pPr>
        <w:pStyle w:val="Default"/>
        <w:numPr>
          <w:ilvl w:val="1"/>
          <w:numId w:val="232"/>
        </w:numPr>
        <w:ind w:left="1418" w:hanging="284"/>
        <w:jc w:val="both"/>
        <w:rPr>
          <w:sz w:val="22"/>
          <w:szCs w:val="22"/>
          <w:lang w:val="es-CR"/>
        </w:rPr>
      </w:pPr>
      <w:r>
        <w:rPr>
          <w:sz w:val="22"/>
          <w:szCs w:val="22"/>
          <w:lang w:val="es-CR"/>
        </w:rPr>
        <w:t>L</w:t>
      </w:r>
      <w:r w:rsidR="00700786" w:rsidRPr="00700786">
        <w:rPr>
          <w:sz w:val="22"/>
          <w:szCs w:val="22"/>
          <w:lang w:val="es-CR"/>
        </w:rPr>
        <w:t xml:space="preserve">a devolución del activo u otros beneficios económicos futuros o potencial de servicio al transferidor, teniendo en cuenta la esencia y no sólo de la forma. </w:t>
      </w:r>
    </w:p>
    <w:p w14:paraId="4D64D8F4" w14:textId="77777777" w:rsidR="00700786" w:rsidRPr="001D6EB8" w:rsidRDefault="00700786">
      <w:pPr>
        <w:pStyle w:val="Default"/>
        <w:numPr>
          <w:ilvl w:val="1"/>
          <w:numId w:val="228"/>
        </w:numPr>
        <w:jc w:val="both"/>
        <w:rPr>
          <w:sz w:val="22"/>
          <w:szCs w:val="22"/>
          <w:lang w:val="es-CR"/>
        </w:rPr>
      </w:pPr>
    </w:p>
    <w:p w14:paraId="30E3E46E" w14:textId="145B8976" w:rsidR="00700786" w:rsidRPr="00700786" w:rsidRDefault="001D6EB8" w:rsidP="001D6EB8">
      <w:pPr>
        <w:pStyle w:val="Default"/>
        <w:ind w:left="1134" w:hanging="1134"/>
        <w:jc w:val="both"/>
        <w:rPr>
          <w:sz w:val="22"/>
          <w:szCs w:val="22"/>
          <w:lang w:val="es-CR"/>
        </w:rPr>
      </w:pPr>
      <w:r>
        <w:rPr>
          <w:sz w:val="22"/>
          <w:szCs w:val="22"/>
          <w:lang w:val="es-CR"/>
        </w:rPr>
        <w:t>4.10.</w:t>
      </w:r>
      <w:r w:rsidR="00700786" w:rsidRPr="00700786">
        <w:rPr>
          <w:sz w:val="22"/>
          <w:szCs w:val="22"/>
          <w:lang w:val="es-CR"/>
        </w:rPr>
        <w:t>2.</w:t>
      </w:r>
      <w:r>
        <w:rPr>
          <w:sz w:val="22"/>
          <w:szCs w:val="22"/>
          <w:lang w:val="es-CR"/>
        </w:rPr>
        <w:t>01</w:t>
      </w:r>
      <w:r>
        <w:rPr>
          <w:sz w:val="22"/>
          <w:szCs w:val="22"/>
          <w:lang w:val="es-CR"/>
        </w:rPr>
        <w:tab/>
      </w:r>
      <w:r w:rsidR="00700786" w:rsidRPr="00700786">
        <w:rPr>
          <w:sz w:val="22"/>
          <w:szCs w:val="22"/>
          <w:lang w:val="es-CR"/>
        </w:rPr>
        <w:t xml:space="preserve">Cuando se recaudan impuestos y se transfieren activos a entidades del sector público en transacciones sin contraprestación con arreglo a leyes, regulaciones u otros acuerdos vinculantes que imponen estipulaciones para que se usen con propósitos particulares o afectación específica, pueden existir obligaciones presentes en los siguientes casos: </w:t>
      </w:r>
    </w:p>
    <w:p w14:paraId="31BF16FF" w14:textId="77777777" w:rsidR="00700786" w:rsidRPr="00700786" w:rsidRDefault="00700786" w:rsidP="00700786">
      <w:pPr>
        <w:pStyle w:val="Default"/>
        <w:jc w:val="both"/>
        <w:rPr>
          <w:sz w:val="22"/>
          <w:szCs w:val="22"/>
          <w:lang w:val="es-CR"/>
        </w:rPr>
      </w:pPr>
    </w:p>
    <w:p w14:paraId="4447D9BA" w14:textId="77777777" w:rsidR="001D6EB8" w:rsidRDefault="001D6EB8">
      <w:pPr>
        <w:pStyle w:val="Default"/>
        <w:numPr>
          <w:ilvl w:val="0"/>
          <w:numId w:val="234"/>
        </w:numPr>
        <w:spacing w:after="120"/>
        <w:ind w:left="1418" w:hanging="284"/>
        <w:jc w:val="both"/>
        <w:rPr>
          <w:sz w:val="22"/>
          <w:szCs w:val="22"/>
          <w:lang w:val="es-CR"/>
        </w:rPr>
      </w:pPr>
      <w:r>
        <w:rPr>
          <w:sz w:val="22"/>
          <w:szCs w:val="22"/>
          <w:lang w:val="es-CR"/>
        </w:rPr>
        <w:t>I</w:t>
      </w:r>
      <w:r w:rsidR="00700786" w:rsidRPr="00700786">
        <w:rPr>
          <w:sz w:val="22"/>
          <w:szCs w:val="22"/>
          <w:lang w:val="es-CR"/>
        </w:rPr>
        <w:t xml:space="preserve">mpuestos cuyo uso está limitado por leyes o regulaciones a propósitos específicos; </w:t>
      </w:r>
    </w:p>
    <w:p w14:paraId="02BBC15F" w14:textId="77777777" w:rsidR="001D6EB8" w:rsidRDefault="001D6EB8">
      <w:pPr>
        <w:pStyle w:val="Default"/>
        <w:numPr>
          <w:ilvl w:val="0"/>
          <w:numId w:val="234"/>
        </w:numPr>
        <w:spacing w:after="120"/>
        <w:ind w:left="1418" w:hanging="284"/>
        <w:jc w:val="both"/>
        <w:rPr>
          <w:sz w:val="22"/>
          <w:szCs w:val="22"/>
          <w:lang w:val="es-CR"/>
        </w:rPr>
      </w:pPr>
      <w:r w:rsidRPr="001D6EB8">
        <w:rPr>
          <w:sz w:val="22"/>
          <w:szCs w:val="22"/>
          <w:lang w:val="es-CR"/>
        </w:rPr>
        <w:t>T</w:t>
      </w:r>
      <w:r w:rsidR="00700786" w:rsidRPr="001D6EB8">
        <w:rPr>
          <w:sz w:val="22"/>
          <w:szCs w:val="22"/>
          <w:lang w:val="es-CR"/>
        </w:rPr>
        <w:t xml:space="preserve">ransferencias, establecidas mediante un acuerdo vinculante que incluye condiciones: </w:t>
      </w:r>
    </w:p>
    <w:p w14:paraId="3362CD55" w14:textId="77777777" w:rsidR="001D6EB8" w:rsidRDefault="001D6EB8">
      <w:pPr>
        <w:pStyle w:val="Default"/>
        <w:numPr>
          <w:ilvl w:val="0"/>
          <w:numId w:val="235"/>
        </w:numPr>
        <w:spacing w:after="120"/>
        <w:ind w:left="1843" w:hanging="218"/>
        <w:jc w:val="both"/>
        <w:rPr>
          <w:sz w:val="22"/>
          <w:szCs w:val="22"/>
          <w:lang w:val="es-CR"/>
        </w:rPr>
      </w:pPr>
      <w:r>
        <w:rPr>
          <w:sz w:val="22"/>
          <w:szCs w:val="22"/>
          <w:lang w:val="es-CR"/>
        </w:rPr>
        <w:t>D</w:t>
      </w:r>
      <w:r w:rsidR="00700786" w:rsidRPr="001D6EB8">
        <w:rPr>
          <w:sz w:val="22"/>
          <w:szCs w:val="22"/>
          <w:lang w:val="es-CR"/>
        </w:rPr>
        <w:t xml:space="preserve">e gobiernos nacionales a locales; </w:t>
      </w:r>
    </w:p>
    <w:p w14:paraId="7C034347" w14:textId="77777777" w:rsidR="001D6EB8" w:rsidRDefault="001D6EB8">
      <w:pPr>
        <w:pStyle w:val="Default"/>
        <w:numPr>
          <w:ilvl w:val="0"/>
          <w:numId w:val="235"/>
        </w:numPr>
        <w:spacing w:after="120"/>
        <w:ind w:left="1843" w:hanging="218"/>
        <w:jc w:val="both"/>
        <w:rPr>
          <w:sz w:val="22"/>
          <w:szCs w:val="22"/>
          <w:lang w:val="es-CR"/>
        </w:rPr>
      </w:pPr>
      <w:r w:rsidRPr="001D6EB8">
        <w:rPr>
          <w:sz w:val="22"/>
          <w:szCs w:val="22"/>
          <w:lang w:val="es-CR"/>
        </w:rPr>
        <w:t>D</w:t>
      </w:r>
      <w:r w:rsidR="00700786" w:rsidRPr="001D6EB8">
        <w:rPr>
          <w:sz w:val="22"/>
          <w:szCs w:val="22"/>
          <w:lang w:val="es-CR"/>
        </w:rPr>
        <w:t xml:space="preserve">e gobiernos a otras entidades del sector público; </w:t>
      </w:r>
    </w:p>
    <w:p w14:paraId="079A2F7A" w14:textId="77777777" w:rsidR="001D6EB8" w:rsidRDefault="001D6EB8">
      <w:pPr>
        <w:pStyle w:val="Default"/>
        <w:numPr>
          <w:ilvl w:val="0"/>
          <w:numId w:val="235"/>
        </w:numPr>
        <w:spacing w:after="120"/>
        <w:ind w:left="1843" w:hanging="218"/>
        <w:jc w:val="both"/>
        <w:rPr>
          <w:sz w:val="22"/>
          <w:szCs w:val="22"/>
          <w:lang w:val="es-CR"/>
        </w:rPr>
      </w:pPr>
      <w:r w:rsidRPr="001D6EB8">
        <w:rPr>
          <w:sz w:val="22"/>
          <w:szCs w:val="22"/>
          <w:lang w:val="es-CR"/>
        </w:rPr>
        <w:t>A</w:t>
      </w:r>
      <w:r w:rsidR="00700786" w:rsidRPr="001D6EB8">
        <w:rPr>
          <w:sz w:val="22"/>
          <w:szCs w:val="22"/>
          <w:lang w:val="es-CR"/>
        </w:rPr>
        <w:t xml:space="preserve"> agencias gubernamentales que se crean mediante leyes o regulaciones para realizar funciones específicas con una autonomía en sus operaciones, tales como autoridades legales, o consejos o autoridades regionales; y </w:t>
      </w:r>
    </w:p>
    <w:p w14:paraId="481A9A46" w14:textId="00EC62E2" w:rsidR="00700786" w:rsidRPr="001D6EB8" w:rsidRDefault="001D6EB8">
      <w:pPr>
        <w:pStyle w:val="Default"/>
        <w:numPr>
          <w:ilvl w:val="0"/>
          <w:numId w:val="235"/>
        </w:numPr>
        <w:spacing w:after="120"/>
        <w:ind w:left="1843" w:hanging="218"/>
        <w:jc w:val="both"/>
        <w:rPr>
          <w:sz w:val="22"/>
          <w:szCs w:val="22"/>
          <w:lang w:val="es-CR"/>
        </w:rPr>
      </w:pPr>
      <w:r w:rsidRPr="001D6EB8">
        <w:rPr>
          <w:sz w:val="22"/>
          <w:szCs w:val="22"/>
          <w:lang w:val="es-CR"/>
        </w:rPr>
        <w:t>D</w:t>
      </w:r>
      <w:r w:rsidR="00700786" w:rsidRPr="001D6EB8">
        <w:rPr>
          <w:sz w:val="22"/>
          <w:szCs w:val="22"/>
          <w:lang w:val="es-CR"/>
        </w:rPr>
        <w:t xml:space="preserve">e agencias donantes a gobiernos u otras entidades del sector público. </w:t>
      </w:r>
    </w:p>
    <w:p w14:paraId="3F9D4692" w14:textId="77777777" w:rsidR="00700786" w:rsidRPr="00700786" w:rsidRDefault="00700786">
      <w:pPr>
        <w:pStyle w:val="Default"/>
        <w:numPr>
          <w:ilvl w:val="1"/>
          <w:numId w:val="229"/>
        </w:numPr>
        <w:jc w:val="both"/>
        <w:rPr>
          <w:sz w:val="22"/>
          <w:szCs w:val="22"/>
          <w:lang w:val="es-CR"/>
        </w:rPr>
      </w:pPr>
    </w:p>
    <w:p w14:paraId="69ABD246" w14:textId="0EF5A318" w:rsidR="001D6EB8" w:rsidRDefault="00700786">
      <w:pPr>
        <w:pStyle w:val="Default"/>
        <w:numPr>
          <w:ilvl w:val="3"/>
          <w:numId w:val="291"/>
        </w:numPr>
        <w:ind w:left="1134" w:hanging="1134"/>
        <w:jc w:val="both"/>
        <w:rPr>
          <w:sz w:val="22"/>
          <w:szCs w:val="22"/>
          <w:lang w:val="es-CR"/>
        </w:rPr>
      </w:pPr>
      <w:r w:rsidRPr="00700786">
        <w:rPr>
          <w:sz w:val="22"/>
          <w:szCs w:val="22"/>
          <w:lang w:val="es-CR"/>
        </w:rPr>
        <w:t xml:space="preserve">Sin </w:t>
      </w:r>
      <w:r w:rsidR="005907B3" w:rsidRPr="00700786">
        <w:rPr>
          <w:sz w:val="22"/>
          <w:szCs w:val="22"/>
          <w:lang w:val="es-CR"/>
        </w:rPr>
        <w:t>e</w:t>
      </w:r>
      <w:r w:rsidR="005907B3">
        <w:rPr>
          <w:sz w:val="22"/>
          <w:szCs w:val="22"/>
          <w:lang w:val="es-CR"/>
        </w:rPr>
        <w:t>mba</w:t>
      </w:r>
      <w:r w:rsidR="005907B3" w:rsidRPr="00700786">
        <w:rPr>
          <w:sz w:val="22"/>
          <w:szCs w:val="22"/>
          <w:lang w:val="es-CR"/>
        </w:rPr>
        <w:t>rgo</w:t>
      </w:r>
      <w:r w:rsidRPr="00700786">
        <w:rPr>
          <w:sz w:val="22"/>
          <w:szCs w:val="22"/>
          <w:lang w:val="es-CR"/>
        </w:rPr>
        <w:t>, sólo serán susceptibles de reconocimiento como pasivo aquellas obligaciones presentes que cumplan los criterios para su reconocimiento, por lo que:</w:t>
      </w:r>
    </w:p>
    <w:p w14:paraId="0FA93266" w14:textId="2AD5DDD4" w:rsidR="00700786" w:rsidRPr="00700786" w:rsidRDefault="00700786" w:rsidP="001D6EB8">
      <w:pPr>
        <w:pStyle w:val="Default"/>
        <w:jc w:val="both"/>
        <w:rPr>
          <w:sz w:val="22"/>
          <w:szCs w:val="22"/>
          <w:lang w:val="es-CR"/>
        </w:rPr>
      </w:pPr>
      <w:r w:rsidRPr="00700786">
        <w:rPr>
          <w:sz w:val="22"/>
          <w:szCs w:val="22"/>
          <w:lang w:val="es-CR"/>
        </w:rPr>
        <w:t xml:space="preserve"> </w:t>
      </w:r>
    </w:p>
    <w:p w14:paraId="105761D1" w14:textId="77777777" w:rsidR="001D6EB8" w:rsidRDefault="001D6EB8">
      <w:pPr>
        <w:pStyle w:val="Default"/>
        <w:numPr>
          <w:ilvl w:val="1"/>
          <w:numId w:val="230"/>
        </w:numPr>
        <w:spacing w:after="120"/>
        <w:ind w:left="1418" w:hanging="284"/>
        <w:jc w:val="both"/>
        <w:rPr>
          <w:sz w:val="22"/>
          <w:szCs w:val="22"/>
          <w:lang w:val="es-CR"/>
        </w:rPr>
      </w:pPr>
      <w:r>
        <w:rPr>
          <w:sz w:val="22"/>
          <w:szCs w:val="22"/>
          <w:lang w:val="es-CR"/>
        </w:rPr>
        <w:t>E</w:t>
      </w:r>
      <w:r w:rsidR="00700786" w:rsidRPr="00700786">
        <w:rPr>
          <w:sz w:val="22"/>
          <w:szCs w:val="22"/>
          <w:lang w:val="es-CR"/>
        </w:rPr>
        <w:t xml:space="preserve">n materia de impuestos, sólo se reconocerán pasivos: </w:t>
      </w:r>
    </w:p>
    <w:p w14:paraId="7FF4DBA6" w14:textId="6EC08EA6" w:rsidR="001D6EB8" w:rsidRDefault="001D6EB8">
      <w:pPr>
        <w:pStyle w:val="Default"/>
        <w:numPr>
          <w:ilvl w:val="1"/>
          <w:numId w:val="119"/>
        </w:numPr>
        <w:spacing w:after="120"/>
        <w:ind w:left="1984" w:hanging="425"/>
        <w:jc w:val="both"/>
        <w:rPr>
          <w:sz w:val="22"/>
          <w:szCs w:val="22"/>
          <w:lang w:val="es-CR"/>
        </w:rPr>
      </w:pPr>
      <w:r>
        <w:rPr>
          <w:sz w:val="22"/>
          <w:szCs w:val="22"/>
          <w:lang w:val="es-CR"/>
        </w:rPr>
        <w:t>P</w:t>
      </w:r>
      <w:r w:rsidR="00700786" w:rsidRPr="00700786">
        <w:rPr>
          <w:sz w:val="22"/>
          <w:szCs w:val="22"/>
          <w:lang w:val="es-CR"/>
        </w:rPr>
        <w:t xml:space="preserve">or los impuestos cobrados por adelantado; y </w:t>
      </w:r>
    </w:p>
    <w:p w14:paraId="2CB999BF" w14:textId="51F99C25" w:rsidR="00700786" w:rsidRPr="001D6EB8" w:rsidRDefault="001D6EB8">
      <w:pPr>
        <w:pStyle w:val="Default"/>
        <w:numPr>
          <w:ilvl w:val="1"/>
          <w:numId w:val="119"/>
        </w:numPr>
        <w:spacing w:after="21"/>
        <w:ind w:left="1985" w:hanging="425"/>
        <w:jc w:val="both"/>
        <w:rPr>
          <w:sz w:val="22"/>
          <w:szCs w:val="22"/>
          <w:lang w:val="es-CR"/>
        </w:rPr>
      </w:pPr>
      <w:r>
        <w:rPr>
          <w:sz w:val="22"/>
          <w:szCs w:val="22"/>
          <w:lang w:val="es-CR"/>
        </w:rPr>
        <w:t>P</w:t>
      </w:r>
      <w:r w:rsidR="00700786" w:rsidRPr="00700786">
        <w:rPr>
          <w:sz w:val="22"/>
          <w:szCs w:val="22"/>
          <w:lang w:val="es-CR"/>
        </w:rPr>
        <w:t xml:space="preserve">or los ingresos por impuestos (para los que haya tenido lugar el hecho imponible) con destino, afectación o propósito específico, y respecto de los cuales exista una firme y cierta posibilidad de devolución a favor de los contribuyentes, en el caso que no se dé cumplimiento al uso o destino para el que se creó el impuesto; </w:t>
      </w:r>
    </w:p>
    <w:p w14:paraId="674C0D40" w14:textId="77777777" w:rsidR="00700786" w:rsidRPr="00700786" w:rsidRDefault="00700786" w:rsidP="00700786">
      <w:pPr>
        <w:pStyle w:val="Default"/>
        <w:jc w:val="both"/>
        <w:rPr>
          <w:sz w:val="22"/>
          <w:szCs w:val="22"/>
          <w:lang w:val="es-CR"/>
        </w:rPr>
      </w:pPr>
    </w:p>
    <w:p w14:paraId="14826506" w14:textId="77777777" w:rsidR="008B291F" w:rsidRDefault="001D6EB8">
      <w:pPr>
        <w:pStyle w:val="Default"/>
        <w:numPr>
          <w:ilvl w:val="1"/>
          <w:numId w:val="230"/>
        </w:numPr>
        <w:spacing w:after="120"/>
        <w:ind w:left="1418" w:hanging="284"/>
        <w:jc w:val="both"/>
        <w:rPr>
          <w:sz w:val="22"/>
          <w:szCs w:val="22"/>
          <w:lang w:val="es-CR"/>
        </w:rPr>
      </w:pPr>
      <w:r>
        <w:rPr>
          <w:sz w:val="22"/>
          <w:szCs w:val="22"/>
          <w:lang w:val="es-CR"/>
        </w:rPr>
        <w:t>E</w:t>
      </w:r>
      <w:r w:rsidR="00700786" w:rsidRPr="00700786">
        <w:rPr>
          <w:sz w:val="22"/>
          <w:szCs w:val="22"/>
          <w:lang w:val="es-CR"/>
        </w:rPr>
        <w:t xml:space="preserve">n materia de transferencias, sólo se reconocerán pasivos: </w:t>
      </w:r>
    </w:p>
    <w:p w14:paraId="30766014" w14:textId="216CBFA0" w:rsidR="008B291F" w:rsidRDefault="008B291F">
      <w:pPr>
        <w:pStyle w:val="Default"/>
        <w:numPr>
          <w:ilvl w:val="1"/>
          <w:numId w:val="236"/>
        </w:numPr>
        <w:spacing w:after="120"/>
        <w:ind w:left="1984" w:hanging="357"/>
        <w:jc w:val="both"/>
        <w:rPr>
          <w:sz w:val="22"/>
          <w:szCs w:val="22"/>
          <w:lang w:val="es-CR"/>
        </w:rPr>
      </w:pPr>
      <w:r>
        <w:rPr>
          <w:sz w:val="22"/>
          <w:szCs w:val="22"/>
          <w:lang w:val="es-CR"/>
        </w:rPr>
        <w:t>P</w:t>
      </w:r>
      <w:r w:rsidR="00700786" w:rsidRPr="00700786">
        <w:rPr>
          <w:sz w:val="22"/>
          <w:szCs w:val="22"/>
          <w:lang w:val="es-CR"/>
        </w:rPr>
        <w:t xml:space="preserve">or los recursos recibidos antes de la existencia de un acuerdo vinculante de transferencia; y </w:t>
      </w:r>
    </w:p>
    <w:p w14:paraId="3CBF29D6" w14:textId="34D1BD84" w:rsidR="00700786" w:rsidRPr="008B291F" w:rsidRDefault="008B291F">
      <w:pPr>
        <w:pStyle w:val="Default"/>
        <w:numPr>
          <w:ilvl w:val="1"/>
          <w:numId w:val="236"/>
        </w:numPr>
        <w:spacing w:after="18"/>
        <w:ind w:left="1985"/>
        <w:jc w:val="both"/>
        <w:rPr>
          <w:sz w:val="22"/>
          <w:szCs w:val="22"/>
          <w:lang w:val="es-CR"/>
        </w:rPr>
      </w:pPr>
      <w:r>
        <w:rPr>
          <w:sz w:val="22"/>
          <w:szCs w:val="22"/>
          <w:lang w:val="es-CR"/>
        </w:rPr>
        <w:t>P</w:t>
      </w:r>
      <w:r w:rsidR="00700786" w:rsidRPr="008B291F">
        <w:rPr>
          <w:sz w:val="22"/>
          <w:szCs w:val="22"/>
          <w:lang w:val="es-CR"/>
        </w:rPr>
        <w:t xml:space="preserve">or las condiciones impuestas sobre recursos transferidos por entidades distintas de entidades gubernamentales, y siempre que dichas condiciones puedan ser exigibles o ejecutables. </w:t>
      </w:r>
    </w:p>
    <w:p w14:paraId="0CB4C01A" w14:textId="77777777" w:rsidR="00700786" w:rsidRPr="00700786" w:rsidRDefault="00700786">
      <w:pPr>
        <w:pStyle w:val="Default"/>
        <w:numPr>
          <w:ilvl w:val="1"/>
          <w:numId w:val="231"/>
        </w:numPr>
        <w:jc w:val="both"/>
        <w:rPr>
          <w:sz w:val="22"/>
          <w:szCs w:val="22"/>
          <w:lang w:val="es-CR"/>
        </w:rPr>
      </w:pPr>
    </w:p>
    <w:p w14:paraId="117252EB" w14:textId="76ABE26D" w:rsidR="00700786" w:rsidRPr="00700786" w:rsidRDefault="00700786">
      <w:pPr>
        <w:pStyle w:val="Default"/>
        <w:numPr>
          <w:ilvl w:val="3"/>
          <w:numId w:val="237"/>
        </w:numPr>
        <w:ind w:left="1134" w:hanging="1134"/>
        <w:jc w:val="both"/>
        <w:rPr>
          <w:sz w:val="22"/>
          <w:szCs w:val="22"/>
          <w:lang w:val="es-CR"/>
        </w:rPr>
      </w:pPr>
      <w:r w:rsidRPr="00700786">
        <w:rPr>
          <w:sz w:val="22"/>
          <w:szCs w:val="22"/>
          <w:lang w:val="es-CR"/>
        </w:rPr>
        <w:t xml:space="preserve">Cuando </w:t>
      </w:r>
      <w:r w:rsidR="008B291F">
        <w:rPr>
          <w:sz w:val="22"/>
          <w:szCs w:val="22"/>
          <w:lang w:val="es-CR"/>
        </w:rPr>
        <w:t xml:space="preserve">se reciba </w:t>
      </w:r>
      <w:r w:rsidRPr="00700786">
        <w:rPr>
          <w:sz w:val="22"/>
          <w:szCs w:val="22"/>
          <w:lang w:val="es-CR"/>
        </w:rPr>
        <w:t xml:space="preserve">un recurso antes de que ocurra el hecho imponible o antes de la existencia de un acuerdo de transferencia vinculante, debe reconocer un pasivo por un importe igual a lo recibido de forma anticipada, hasta que se produzca el hecho imponible o hasta el momento en que el acuerdo se convierta en vinculante. </w:t>
      </w:r>
    </w:p>
    <w:p w14:paraId="5DE05774" w14:textId="77777777" w:rsidR="00700786" w:rsidRDefault="00700786" w:rsidP="00952BFE">
      <w:pPr>
        <w:pStyle w:val="Default"/>
        <w:ind w:right="261"/>
        <w:jc w:val="both"/>
        <w:rPr>
          <w:sz w:val="22"/>
          <w:szCs w:val="22"/>
          <w:lang w:val="es-CR"/>
        </w:rPr>
      </w:pPr>
    </w:p>
    <w:p w14:paraId="3403C22E" w14:textId="77777777" w:rsidR="00700786" w:rsidRDefault="00700786" w:rsidP="00952BFE">
      <w:pPr>
        <w:pStyle w:val="Default"/>
        <w:ind w:right="261"/>
        <w:jc w:val="both"/>
        <w:rPr>
          <w:sz w:val="22"/>
          <w:szCs w:val="22"/>
          <w:lang w:val="es-CR"/>
        </w:rPr>
      </w:pPr>
    </w:p>
    <w:p w14:paraId="3809006B" w14:textId="607DC2D9" w:rsidR="00700786" w:rsidRPr="00952BFE" w:rsidRDefault="008B291F" w:rsidP="00952BFE">
      <w:pPr>
        <w:pStyle w:val="Ttulo2"/>
        <w:ind w:left="284"/>
        <w:rPr>
          <w:rFonts w:ascii="Arial" w:eastAsia="Arial" w:hAnsi="Arial" w:cs="Arial"/>
          <w:b/>
          <w:bCs/>
          <w:sz w:val="20"/>
          <w:szCs w:val="20"/>
          <w:lang w:val="es-CR"/>
        </w:rPr>
      </w:pPr>
      <w:bookmarkStart w:id="122" w:name="_Toc172726257"/>
      <w:r w:rsidRPr="00952BFE">
        <w:rPr>
          <w:rFonts w:ascii="Arial" w:eastAsia="Arial" w:hAnsi="Arial" w:cs="Arial"/>
          <w:b/>
          <w:bCs/>
          <w:sz w:val="20"/>
          <w:szCs w:val="20"/>
          <w:lang w:val="es-CR"/>
        </w:rPr>
        <w:lastRenderedPageBreak/>
        <w:t>Impuestos</w:t>
      </w:r>
      <w:bookmarkEnd w:id="122"/>
    </w:p>
    <w:p w14:paraId="62DB8AEF" w14:textId="77777777" w:rsidR="00700786" w:rsidRDefault="00700786" w:rsidP="002A638A">
      <w:pPr>
        <w:pStyle w:val="Default"/>
        <w:spacing w:after="120" w:line="238" w:lineRule="auto"/>
        <w:ind w:right="260"/>
        <w:jc w:val="both"/>
        <w:rPr>
          <w:sz w:val="22"/>
          <w:szCs w:val="22"/>
          <w:lang w:val="es-CR"/>
        </w:rPr>
      </w:pPr>
    </w:p>
    <w:tbl>
      <w:tblPr>
        <w:tblW w:w="9357" w:type="dxa"/>
        <w:tblLayout w:type="fixed"/>
        <w:tblLook w:val="04A0" w:firstRow="1" w:lastRow="0" w:firstColumn="1" w:lastColumn="0" w:noHBand="0" w:noVBand="1"/>
      </w:tblPr>
      <w:tblGrid>
        <w:gridCol w:w="712"/>
        <w:gridCol w:w="417"/>
        <w:gridCol w:w="562"/>
        <w:gridCol w:w="3687"/>
        <w:gridCol w:w="2125"/>
        <w:gridCol w:w="1843"/>
        <w:gridCol w:w="11"/>
      </w:tblGrid>
      <w:tr w:rsidR="008B291F" w:rsidRPr="008B291F" w14:paraId="4B34AA2F" w14:textId="77777777" w:rsidTr="00F743BF">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8D97681" w14:textId="77777777" w:rsidR="008B291F" w:rsidRPr="008B291F" w:rsidRDefault="008B291F" w:rsidP="008B291F">
            <w:pPr>
              <w:jc w:val="center"/>
              <w:rPr>
                <w:rFonts w:ascii="Arial Narrow" w:eastAsia="Times New Roman" w:hAnsi="Arial Narrow" w:cs="Calibri"/>
                <w:b/>
                <w:bCs/>
                <w:color w:val="FFFFFF"/>
                <w:sz w:val="22"/>
                <w:szCs w:val="22"/>
              </w:rPr>
            </w:pPr>
            <w:r w:rsidRPr="008B291F">
              <w:rPr>
                <w:rFonts w:ascii="Arial Narrow" w:eastAsia="Times New Roman" w:hAnsi="Arial Narrow" w:cs="Calibri"/>
                <w:b/>
                <w:bCs/>
                <w:color w:val="FFFFFF"/>
                <w:sz w:val="22"/>
                <w:szCs w:val="22"/>
              </w:rPr>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79A4298C" w14:textId="77777777" w:rsidR="008B291F" w:rsidRPr="008B291F" w:rsidRDefault="008B291F" w:rsidP="008B291F">
            <w:pPr>
              <w:jc w:val="center"/>
              <w:rPr>
                <w:rFonts w:ascii="Arial Narrow" w:eastAsia="Times New Roman" w:hAnsi="Arial Narrow" w:cs="Calibri"/>
                <w:b/>
                <w:bCs/>
                <w:color w:val="FFFFFF"/>
                <w:sz w:val="22"/>
                <w:szCs w:val="22"/>
              </w:rPr>
            </w:pPr>
            <w:r w:rsidRPr="008B291F">
              <w:rPr>
                <w:rFonts w:ascii="Arial Narrow" w:eastAsia="Times New Roman" w:hAnsi="Arial Narrow" w:cs="Calibri"/>
                <w:b/>
                <w:bCs/>
                <w:color w:val="FFFFFF"/>
                <w:sz w:val="22"/>
                <w:szCs w:val="22"/>
              </w:rPr>
              <w:t>Concepto</w:t>
            </w:r>
          </w:p>
        </w:tc>
        <w:tc>
          <w:tcPr>
            <w:tcW w:w="3979" w:type="dxa"/>
            <w:gridSpan w:val="3"/>
            <w:tcBorders>
              <w:top w:val="single" w:sz="8" w:space="0" w:color="auto"/>
              <w:left w:val="nil"/>
              <w:bottom w:val="single" w:sz="8" w:space="0" w:color="auto"/>
              <w:right w:val="single" w:sz="8" w:space="0" w:color="000000"/>
            </w:tcBorders>
            <w:shd w:val="clear" w:color="000000" w:fill="203764"/>
            <w:vAlign w:val="center"/>
            <w:hideMark/>
          </w:tcPr>
          <w:p w14:paraId="29DAD546" w14:textId="77777777" w:rsidR="008B291F" w:rsidRPr="008B291F" w:rsidRDefault="008B291F" w:rsidP="008B291F">
            <w:pPr>
              <w:jc w:val="center"/>
              <w:rPr>
                <w:rFonts w:ascii="Arial Narrow" w:eastAsia="Times New Roman" w:hAnsi="Arial Narrow" w:cs="Calibri"/>
                <w:b/>
                <w:bCs/>
                <w:color w:val="FFFFFF"/>
                <w:sz w:val="22"/>
                <w:szCs w:val="22"/>
              </w:rPr>
            </w:pPr>
            <w:r w:rsidRPr="008B291F">
              <w:rPr>
                <w:rFonts w:ascii="Arial Narrow" w:eastAsia="Times New Roman" w:hAnsi="Arial Narrow" w:cs="Calibri"/>
                <w:b/>
                <w:bCs/>
                <w:color w:val="FFFFFF"/>
                <w:sz w:val="22"/>
                <w:szCs w:val="22"/>
              </w:rPr>
              <w:t>Referencia</w:t>
            </w:r>
          </w:p>
        </w:tc>
      </w:tr>
      <w:tr w:rsidR="008B291F" w:rsidRPr="006E5442" w14:paraId="4D4A1679" w14:textId="77777777" w:rsidTr="00F743BF">
        <w:trPr>
          <w:gridAfter w:val="1"/>
          <w:wAfter w:w="11" w:type="dxa"/>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3E71990D" w14:textId="77777777" w:rsidR="008B291F" w:rsidRPr="008B291F" w:rsidRDefault="008B291F" w:rsidP="008B291F">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2709689B" w14:textId="77777777" w:rsidR="008B291F" w:rsidRPr="008B291F" w:rsidRDefault="008B291F" w:rsidP="008B291F">
            <w:pPr>
              <w:rPr>
                <w:rFonts w:ascii="Arial Narrow" w:eastAsia="Times New Roman" w:hAnsi="Arial Narrow" w:cs="Calibri"/>
                <w:b/>
                <w:bCs/>
                <w:color w:val="FFFFFF"/>
                <w:sz w:val="22"/>
                <w:szCs w:val="22"/>
              </w:rPr>
            </w:pPr>
          </w:p>
        </w:tc>
        <w:tc>
          <w:tcPr>
            <w:tcW w:w="2125" w:type="dxa"/>
            <w:tcBorders>
              <w:top w:val="nil"/>
              <w:left w:val="nil"/>
              <w:bottom w:val="nil"/>
              <w:right w:val="single" w:sz="8" w:space="0" w:color="auto"/>
            </w:tcBorders>
            <w:shd w:val="clear" w:color="000000" w:fill="203764"/>
            <w:vAlign w:val="center"/>
            <w:hideMark/>
          </w:tcPr>
          <w:p w14:paraId="2EFED6D4" w14:textId="77777777" w:rsidR="008B291F" w:rsidRPr="008B291F" w:rsidRDefault="008B291F" w:rsidP="008B291F">
            <w:pPr>
              <w:jc w:val="center"/>
              <w:rPr>
                <w:rFonts w:ascii="Arial Narrow" w:eastAsia="Times New Roman" w:hAnsi="Arial Narrow" w:cs="Calibri"/>
                <w:b/>
                <w:bCs/>
                <w:color w:val="FFFFFF"/>
                <w:sz w:val="22"/>
                <w:szCs w:val="22"/>
              </w:rPr>
            </w:pPr>
            <w:r w:rsidRPr="008B291F">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018458AA" w14:textId="77777777" w:rsidR="008B291F" w:rsidRPr="008B291F" w:rsidRDefault="008B291F" w:rsidP="008B291F">
            <w:pPr>
              <w:jc w:val="center"/>
              <w:rPr>
                <w:rFonts w:ascii="Arial Narrow" w:eastAsia="Times New Roman" w:hAnsi="Arial Narrow" w:cs="Calibri"/>
                <w:b/>
                <w:bCs/>
                <w:color w:val="FFFFFF"/>
                <w:sz w:val="22"/>
                <w:szCs w:val="22"/>
                <w:lang w:val="es-CR"/>
              </w:rPr>
            </w:pPr>
            <w:r w:rsidRPr="008B291F">
              <w:rPr>
                <w:rFonts w:ascii="Arial Narrow" w:eastAsia="Times New Roman" w:hAnsi="Arial Narrow" w:cs="Calibri"/>
                <w:b/>
                <w:bCs/>
                <w:color w:val="FFFFFF"/>
                <w:sz w:val="22"/>
                <w:szCs w:val="22"/>
                <w:lang w:val="es-CR"/>
              </w:rPr>
              <w:t>Normativa técnica y disposiciones adicionales</w:t>
            </w:r>
          </w:p>
        </w:tc>
      </w:tr>
      <w:tr w:rsidR="008B291F" w:rsidRPr="008B291F" w14:paraId="4E90AA29" w14:textId="77777777" w:rsidTr="00F743BF">
        <w:trPr>
          <w:gridAfter w:val="1"/>
          <w:wAfter w:w="11" w:type="dxa"/>
          <w:trHeight w:val="570"/>
        </w:trPr>
        <w:tc>
          <w:tcPr>
            <w:tcW w:w="7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4CF9F3" w14:textId="77777777" w:rsidR="008B291F" w:rsidRPr="008B291F" w:rsidRDefault="008B291F" w:rsidP="008B291F">
            <w:pPr>
              <w:jc w:val="center"/>
              <w:rPr>
                <w:rFonts w:ascii="Arial Narrow" w:eastAsia="Times New Roman" w:hAnsi="Arial Narrow" w:cs="Calibri"/>
                <w:b/>
                <w:bCs/>
                <w:color w:val="000000"/>
                <w:sz w:val="22"/>
                <w:szCs w:val="22"/>
              </w:rPr>
            </w:pPr>
            <w:r w:rsidRPr="008B291F">
              <w:rPr>
                <w:rFonts w:ascii="Arial Narrow" w:eastAsia="Times New Roman" w:hAnsi="Arial Narrow" w:cs="Calibri"/>
                <w:b/>
                <w:bCs/>
                <w:color w:val="000000"/>
                <w:sz w:val="22"/>
                <w:szCs w:val="22"/>
              </w:rPr>
              <w:t>4</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5A1DA3FC" w14:textId="77777777" w:rsidR="008B291F" w:rsidRPr="008B291F" w:rsidRDefault="008B291F" w:rsidP="008B291F">
            <w:pPr>
              <w:jc w:val="center"/>
              <w:rPr>
                <w:rFonts w:ascii="Arial Narrow" w:eastAsia="Times New Roman" w:hAnsi="Arial Narrow" w:cs="Calibri"/>
                <w:b/>
                <w:bCs/>
                <w:color w:val="000000"/>
                <w:sz w:val="22"/>
                <w:szCs w:val="22"/>
              </w:rPr>
            </w:pPr>
            <w:r w:rsidRPr="008B291F">
              <w:rPr>
                <w:rFonts w:ascii="Arial Narrow" w:eastAsia="Times New Roman" w:hAnsi="Arial Narrow" w:cs="Calibri"/>
                <w:b/>
                <w:bCs/>
                <w:color w:val="000000"/>
                <w:sz w:val="22"/>
                <w:szCs w:val="22"/>
              </w:rPr>
              <w:t>11</w:t>
            </w:r>
          </w:p>
        </w:tc>
        <w:tc>
          <w:tcPr>
            <w:tcW w:w="562" w:type="dxa"/>
            <w:tcBorders>
              <w:top w:val="single" w:sz="8" w:space="0" w:color="auto"/>
              <w:left w:val="nil"/>
              <w:bottom w:val="single" w:sz="8" w:space="0" w:color="auto"/>
              <w:right w:val="single" w:sz="8" w:space="0" w:color="auto"/>
            </w:tcBorders>
            <w:shd w:val="clear" w:color="auto" w:fill="auto"/>
            <w:vAlign w:val="center"/>
            <w:hideMark/>
          </w:tcPr>
          <w:p w14:paraId="3E28EA0A" w14:textId="67AF4785" w:rsidR="008B291F" w:rsidRPr="008B291F" w:rsidRDefault="008B291F" w:rsidP="008B291F">
            <w:pPr>
              <w:jc w:val="center"/>
              <w:rPr>
                <w:rFonts w:ascii="Arial Narrow" w:eastAsia="Times New Roman" w:hAnsi="Arial Narrow" w:cs="Calibri"/>
                <w:b/>
                <w:bCs/>
                <w:color w:val="000000"/>
                <w:sz w:val="22"/>
                <w:szCs w:val="22"/>
              </w:rPr>
            </w:pP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42A76643" w14:textId="77777777" w:rsidR="008B291F" w:rsidRPr="008B291F" w:rsidRDefault="008B291F" w:rsidP="008B291F">
            <w:pPr>
              <w:jc w:val="both"/>
              <w:rPr>
                <w:rFonts w:ascii="Arial Narrow" w:eastAsia="Times New Roman" w:hAnsi="Arial Narrow" w:cs="Calibri"/>
                <w:b/>
                <w:bCs/>
                <w:color w:val="000000"/>
                <w:sz w:val="22"/>
                <w:szCs w:val="22"/>
              </w:rPr>
            </w:pPr>
            <w:r w:rsidRPr="008B291F">
              <w:rPr>
                <w:rFonts w:ascii="Arial Narrow" w:eastAsia="Times New Roman" w:hAnsi="Arial Narrow" w:cs="Calibri"/>
                <w:b/>
                <w:bCs/>
                <w:color w:val="000000"/>
                <w:sz w:val="22"/>
                <w:szCs w:val="22"/>
              </w:rPr>
              <w:t>Impuestos</w:t>
            </w:r>
          </w:p>
        </w:tc>
        <w:tc>
          <w:tcPr>
            <w:tcW w:w="2125" w:type="dxa"/>
            <w:tcBorders>
              <w:top w:val="single" w:sz="8" w:space="0" w:color="auto"/>
              <w:left w:val="nil"/>
              <w:bottom w:val="single" w:sz="8" w:space="0" w:color="auto"/>
              <w:right w:val="single" w:sz="8" w:space="0" w:color="auto"/>
            </w:tcBorders>
            <w:shd w:val="clear" w:color="auto" w:fill="auto"/>
            <w:vAlign w:val="center"/>
            <w:hideMark/>
          </w:tcPr>
          <w:p w14:paraId="7F659E4C" w14:textId="77777777" w:rsidR="00F743BF" w:rsidRDefault="008B291F" w:rsidP="008B291F">
            <w:pPr>
              <w:jc w:val="both"/>
              <w:rPr>
                <w:rFonts w:ascii="Arial Narrow" w:eastAsia="Times New Roman" w:hAnsi="Arial Narrow" w:cs="Calibri"/>
                <w:b/>
                <w:bCs/>
                <w:color w:val="000000"/>
                <w:sz w:val="22"/>
                <w:szCs w:val="22"/>
              </w:rPr>
            </w:pPr>
            <w:r w:rsidRPr="008B291F">
              <w:rPr>
                <w:rFonts w:ascii="Arial Narrow" w:eastAsia="Times New Roman" w:hAnsi="Arial Narrow" w:cs="Calibri"/>
                <w:b/>
                <w:bCs/>
                <w:color w:val="000000"/>
                <w:sz w:val="22"/>
                <w:szCs w:val="22"/>
              </w:rPr>
              <w:t>NICSP N° 23,</w:t>
            </w:r>
          </w:p>
          <w:p w14:paraId="2B0AF002" w14:textId="54A60048" w:rsidR="008B291F" w:rsidRPr="008B291F" w:rsidRDefault="008B291F" w:rsidP="008B291F">
            <w:pPr>
              <w:jc w:val="both"/>
              <w:rPr>
                <w:rFonts w:ascii="Arial Narrow" w:eastAsia="Times New Roman" w:hAnsi="Arial Narrow" w:cs="Calibri"/>
                <w:b/>
                <w:bCs/>
                <w:color w:val="000000"/>
                <w:sz w:val="22"/>
                <w:szCs w:val="22"/>
              </w:rPr>
            </w:pPr>
            <w:r w:rsidRPr="008B291F">
              <w:rPr>
                <w:rFonts w:ascii="Arial Narrow" w:eastAsia="Times New Roman" w:hAnsi="Arial Narrow" w:cs="Calibri"/>
                <w:b/>
                <w:bCs/>
                <w:color w:val="000000"/>
                <w:sz w:val="22"/>
                <w:szCs w:val="22"/>
              </w:rPr>
              <w:t>Párrafos 7, 26 y 28.</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DA64422" w14:textId="77777777" w:rsidR="008B291F" w:rsidRPr="008B291F" w:rsidRDefault="008B291F" w:rsidP="008B291F">
            <w:pPr>
              <w:rPr>
                <w:rFonts w:ascii="Arial Narrow" w:eastAsia="Times New Roman" w:hAnsi="Arial Narrow" w:cs="Calibri"/>
                <w:b/>
                <w:bCs/>
                <w:color w:val="000000"/>
                <w:sz w:val="22"/>
                <w:szCs w:val="22"/>
              </w:rPr>
            </w:pPr>
            <w:r w:rsidRPr="008B291F">
              <w:rPr>
                <w:rFonts w:ascii="Arial Narrow" w:eastAsia="Times New Roman" w:hAnsi="Arial Narrow" w:cs="Calibri"/>
                <w:b/>
                <w:bCs/>
                <w:color w:val="000000"/>
                <w:sz w:val="22"/>
                <w:szCs w:val="22"/>
              </w:rPr>
              <w:t xml:space="preserve"> </w:t>
            </w:r>
          </w:p>
        </w:tc>
      </w:tr>
    </w:tbl>
    <w:p w14:paraId="4158598A" w14:textId="77777777" w:rsidR="00700786" w:rsidRDefault="00700786" w:rsidP="00F743BF">
      <w:pPr>
        <w:pStyle w:val="Default"/>
        <w:ind w:right="261"/>
        <w:jc w:val="both"/>
        <w:rPr>
          <w:sz w:val="22"/>
          <w:szCs w:val="22"/>
          <w:lang w:val="es-CR"/>
        </w:rPr>
      </w:pPr>
    </w:p>
    <w:p w14:paraId="5760EA39" w14:textId="30D47610" w:rsidR="00F743BF" w:rsidRDefault="00F743BF" w:rsidP="00F743BF">
      <w:pPr>
        <w:pStyle w:val="Default"/>
        <w:ind w:right="261"/>
        <w:jc w:val="both"/>
        <w:rPr>
          <w:sz w:val="22"/>
          <w:szCs w:val="22"/>
          <w:lang w:val="es-CR"/>
        </w:rPr>
      </w:pPr>
      <w:r w:rsidRPr="00F02F9D">
        <w:rPr>
          <w:rFonts w:eastAsia="Arial"/>
          <w:b/>
          <w:sz w:val="22"/>
          <w:szCs w:val="22"/>
        </w:rPr>
        <w:t>Política Contable</w:t>
      </w:r>
    </w:p>
    <w:p w14:paraId="5F535B1A" w14:textId="77777777" w:rsidR="00F743BF" w:rsidRDefault="00F743BF" w:rsidP="00F743BF">
      <w:pPr>
        <w:pStyle w:val="Default"/>
        <w:ind w:right="261"/>
        <w:jc w:val="both"/>
        <w:rPr>
          <w:sz w:val="22"/>
          <w:szCs w:val="22"/>
          <w:lang w:val="es-CR"/>
        </w:rPr>
      </w:pPr>
    </w:p>
    <w:p w14:paraId="39664F5B" w14:textId="21837FDB" w:rsidR="008B291F" w:rsidRPr="008B291F" w:rsidRDefault="008B291F" w:rsidP="00F743BF">
      <w:pPr>
        <w:pStyle w:val="Default"/>
        <w:spacing w:after="120" w:line="238" w:lineRule="auto"/>
        <w:ind w:left="1134" w:right="26" w:hanging="1134"/>
        <w:jc w:val="both"/>
        <w:rPr>
          <w:sz w:val="22"/>
          <w:szCs w:val="22"/>
          <w:lang w:val="es-CR"/>
        </w:rPr>
      </w:pPr>
      <w:r>
        <w:rPr>
          <w:sz w:val="22"/>
          <w:szCs w:val="22"/>
          <w:lang w:val="es-CR"/>
        </w:rPr>
        <w:t>4.11.0.01</w:t>
      </w:r>
      <w:r>
        <w:rPr>
          <w:sz w:val="22"/>
          <w:szCs w:val="22"/>
          <w:lang w:val="es-CR"/>
        </w:rPr>
        <w:tab/>
      </w:r>
      <w:r w:rsidRPr="008B291F">
        <w:rPr>
          <w:sz w:val="22"/>
          <w:szCs w:val="22"/>
          <w:lang w:val="es-CR"/>
        </w:rPr>
        <w:t xml:space="preserve">Los impuestos son beneficios económicos o potenciales de servicios pagados o por pagar en forma obligatoria a las entidades del sector público, de acuerdo con las leyes y/o regulaciones, establecidas para proporcionar ingresos al gobierno, y no incluyen multas u otras sanciones impuestas por infringir la ley. Las leyes y regulaciones fiscales que establecen el derecho de un gobierno a recaudar </w:t>
      </w:r>
      <w:r w:rsidR="00952BFE" w:rsidRPr="008B291F">
        <w:rPr>
          <w:sz w:val="22"/>
          <w:szCs w:val="22"/>
          <w:lang w:val="es-CR"/>
        </w:rPr>
        <w:t>impuestos</w:t>
      </w:r>
      <w:r w:rsidRPr="008B291F">
        <w:rPr>
          <w:sz w:val="22"/>
          <w:szCs w:val="22"/>
          <w:lang w:val="es-CR"/>
        </w:rPr>
        <w:t xml:space="preserve"> identifican los criterios sobre los que se calcula el impuesto y establecen los procedimientos para administrar el mismo, es decir, los procedimientos para calcular el impuesto por cobrar y garantizar que se reciba el pago.</w:t>
      </w:r>
    </w:p>
    <w:p w14:paraId="5E2F9D21" w14:textId="77777777" w:rsidR="00700786" w:rsidRDefault="00700786" w:rsidP="002A638A">
      <w:pPr>
        <w:pStyle w:val="Default"/>
        <w:spacing w:after="120" w:line="238" w:lineRule="auto"/>
        <w:ind w:right="260"/>
        <w:jc w:val="both"/>
        <w:rPr>
          <w:sz w:val="22"/>
          <w:szCs w:val="22"/>
          <w:lang w:val="es-CR"/>
        </w:rPr>
      </w:pPr>
    </w:p>
    <w:p w14:paraId="6C2401ED" w14:textId="77777777" w:rsidR="00F743BF" w:rsidRDefault="00F743BF" w:rsidP="002A638A">
      <w:pPr>
        <w:pStyle w:val="Default"/>
        <w:spacing w:after="120" w:line="238" w:lineRule="auto"/>
        <w:ind w:right="260"/>
        <w:jc w:val="both"/>
        <w:rPr>
          <w:sz w:val="22"/>
          <w:szCs w:val="22"/>
          <w:lang w:val="es-CR"/>
        </w:rPr>
      </w:pPr>
    </w:p>
    <w:tbl>
      <w:tblPr>
        <w:tblW w:w="9394" w:type="dxa"/>
        <w:tblLook w:val="04A0" w:firstRow="1" w:lastRow="0" w:firstColumn="1" w:lastColumn="0" w:noHBand="0" w:noVBand="1"/>
      </w:tblPr>
      <w:tblGrid>
        <w:gridCol w:w="540"/>
        <w:gridCol w:w="660"/>
        <w:gridCol w:w="520"/>
        <w:gridCol w:w="3740"/>
        <w:gridCol w:w="2043"/>
        <w:gridCol w:w="1891"/>
      </w:tblGrid>
      <w:tr w:rsidR="001261B0" w:rsidRPr="001261B0" w14:paraId="4F19EB6A" w14:textId="77777777" w:rsidTr="00F743BF">
        <w:trPr>
          <w:trHeight w:val="320"/>
        </w:trPr>
        <w:tc>
          <w:tcPr>
            <w:tcW w:w="172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083912E" w14:textId="77777777" w:rsidR="001261B0" w:rsidRPr="001261B0" w:rsidRDefault="001261B0" w:rsidP="001261B0">
            <w:pPr>
              <w:jc w:val="center"/>
              <w:rPr>
                <w:rFonts w:ascii="Arial Narrow" w:eastAsia="Times New Roman" w:hAnsi="Arial Narrow" w:cs="Calibri"/>
                <w:b/>
                <w:bCs/>
                <w:color w:val="FFFFFF"/>
                <w:sz w:val="22"/>
                <w:szCs w:val="22"/>
              </w:rPr>
            </w:pPr>
            <w:r w:rsidRPr="001261B0">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22655B38" w14:textId="77777777" w:rsidR="001261B0" w:rsidRPr="001261B0" w:rsidRDefault="001261B0" w:rsidP="001261B0">
            <w:pPr>
              <w:jc w:val="center"/>
              <w:rPr>
                <w:rFonts w:ascii="Arial Narrow" w:eastAsia="Times New Roman" w:hAnsi="Arial Narrow" w:cs="Calibri"/>
                <w:b/>
                <w:bCs/>
                <w:color w:val="FFFFFF"/>
                <w:sz w:val="22"/>
                <w:szCs w:val="22"/>
              </w:rPr>
            </w:pPr>
            <w:r w:rsidRPr="001261B0">
              <w:rPr>
                <w:rFonts w:ascii="Arial Narrow" w:eastAsia="Times New Roman" w:hAnsi="Arial Narrow" w:cs="Calibri"/>
                <w:b/>
                <w:bCs/>
                <w:color w:val="FFFFFF"/>
                <w:sz w:val="22"/>
                <w:szCs w:val="22"/>
              </w:rPr>
              <w:t>Concepto</w:t>
            </w:r>
          </w:p>
        </w:tc>
        <w:tc>
          <w:tcPr>
            <w:tcW w:w="3934" w:type="dxa"/>
            <w:gridSpan w:val="2"/>
            <w:tcBorders>
              <w:top w:val="nil"/>
              <w:left w:val="nil"/>
              <w:bottom w:val="single" w:sz="8" w:space="0" w:color="auto"/>
              <w:right w:val="single" w:sz="8" w:space="0" w:color="000000"/>
            </w:tcBorders>
            <w:shd w:val="clear" w:color="000000" w:fill="203764"/>
            <w:vAlign w:val="center"/>
            <w:hideMark/>
          </w:tcPr>
          <w:p w14:paraId="25692E17" w14:textId="77777777" w:rsidR="001261B0" w:rsidRPr="001261B0" w:rsidRDefault="001261B0" w:rsidP="001261B0">
            <w:pPr>
              <w:jc w:val="center"/>
              <w:rPr>
                <w:rFonts w:ascii="Arial Narrow" w:eastAsia="Times New Roman" w:hAnsi="Arial Narrow" w:cs="Calibri"/>
                <w:b/>
                <w:bCs/>
                <w:color w:val="FFFFFF"/>
                <w:sz w:val="22"/>
                <w:szCs w:val="22"/>
              </w:rPr>
            </w:pPr>
            <w:r w:rsidRPr="001261B0">
              <w:rPr>
                <w:rFonts w:ascii="Arial Narrow" w:eastAsia="Times New Roman" w:hAnsi="Arial Narrow" w:cs="Calibri"/>
                <w:b/>
                <w:bCs/>
                <w:color w:val="FFFFFF"/>
                <w:sz w:val="22"/>
                <w:szCs w:val="22"/>
              </w:rPr>
              <w:t>Referencia</w:t>
            </w:r>
          </w:p>
        </w:tc>
      </w:tr>
      <w:tr w:rsidR="001261B0" w:rsidRPr="006E5442" w14:paraId="689941CF" w14:textId="77777777" w:rsidTr="00F743BF">
        <w:trPr>
          <w:trHeight w:val="850"/>
        </w:trPr>
        <w:tc>
          <w:tcPr>
            <w:tcW w:w="1720" w:type="dxa"/>
            <w:gridSpan w:val="3"/>
            <w:vMerge/>
            <w:tcBorders>
              <w:top w:val="single" w:sz="8" w:space="0" w:color="auto"/>
              <w:left w:val="single" w:sz="8" w:space="0" w:color="auto"/>
              <w:bottom w:val="nil"/>
              <w:right w:val="single" w:sz="8" w:space="0" w:color="000000"/>
            </w:tcBorders>
            <w:vAlign w:val="center"/>
            <w:hideMark/>
          </w:tcPr>
          <w:p w14:paraId="30693127" w14:textId="77777777" w:rsidR="001261B0" w:rsidRPr="001261B0" w:rsidRDefault="001261B0" w:rsidP="001261B0">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4E8F715F" w14:textId="77777777" w:rsidR="001261B0" w:rsidRPr="001261B0" w:rsidRDefault="001261B0" w:rsidP="001261B0">
            <w:pPr>
              <w:rPr>
                <w:rFonts w:ascii="Arial Narrow" w:eastAsia="Times New Roman" w:hAnsi="Arial Narrow" w:cs="Calibri"/>
                <w:b/>
                <w:bCs/>
                <w:color w:val="FFFFFF"/>
                <w:sz w:val="22"/>
                <w:szCs w:val="22"/>
              </w:rPr>
            </w:pPr>
          </w:p>
        </w:tc>
        <w:tc>
          <w:tcPr>
            <w:tcW w:w="2043" w:type="dxa"/>
            <w:tcBorders>
              <w:top w:val="nil"/>
              <w:left w:val="nil"/>
              <w:bottom w:val="nil"/>
              <w:right w:val="single" w:sz="8" w:space="0" w:color="auto"/>
            </w:tcBorders>
            <w:shd w:val="clear" w:color="000000" w:fill="203764"/>
            <w:vAlign w:val="center"/>
            <w:hideMark/>
          </w:tcPr>
          <w:p w14:paraId="6FFD18EF" w14:textId="77777777" w:rsidR="001261B0" w:rsidRPr="001261B0" w:rsidRDefault="001261B0" w:rsidP="001261B0">
            <w:pPr>
              <w:jc w:val="center"/>
              <w:rPr>
                <w:rFonts w:ascii="Arial Narrow" w:eastAsia="Times New Roman" w:hAnsi="Arial Narrow" w:cs="Calibri"/>
                <w:b/>
                <w:bCs/>
                <w:color w:val="FFFFFF"/>
                <w:sz w:val="22"/>
                <w:szCs w:val="22"/>
              </w:rPr>
            </w:pPr>
            <w:r w:rsidRPr="001261B0">
              <w:rPr>
                <w:rFonts w:ascii="Arial Narrow" w:eastAsia="Times New Roman" w:hAnsi="Arial Narrow" w:cs="Calibri"/>
                <w:b/>
                <w:bCs/>
                <w:color w:val="FFFFFF"/>
                <w:sz w:val="22"/>
                <w:szCs w:val="22"/>
              </w:rPr>
              <w:t>Norma</w:t>
            </w:r>
          </w:p>
        </w:tc>
        <w:tc>
          <w:tcPr>
            <w:tcW w:w="1889" w:type="dxa"/>
            <w:tcBorders>
              <w:top w:val="nil"/>
              <w:left w:val="nil"/>
              <w:bottom w:val="nil"/>
              <w:right w:val="single" w:sz="8" w:space="0" w:color="auto"/>
            </w:tcBorders>
            <w:shd w:val="clear" w:color="000000" w:fill="203764"/>
            <w:vAlign w:val="center"/>
            <w:hideMark/>
          </w:tcPr>
          <w:p w14:paraId="5BB27758" w14:textId="77777777" w:rsidR="001261B0" w:rsidRPr="001261B0" w:rsidRDefault="001261B0" w:rsidP="001261B0">
            <w:pPr>
              <w:jc w:val="center"/>
              <w:rPr>
                <w:rFonts w:ascii="Arial Narrow" w:eastAsia="Times New Roman" w:hAnsi="Arial Narrow" w:cs="Calibri"/>
                <w:b/>
                <w:bCs/>
                <w:color w:val="FFFFFF"/>
                <w:sz w:val="22"/>
                <w:szCs w:val="22"/>
                <w:lang w:val="es-CR"/>
              </w:rPr>
            </w:pPr>
            <w:r w:rsidRPr="001261B0">
              <w:rPr>
                <w:rFonts w:ascii="Arial Narrow" w:eastAsia="Times New Roman" w:hAnsi="Arial Narrow" w:cs="Calibri"/>
                <w:b/>
                <w:bCs/>
                <w:color w:val="FFFFFF"/>
                <w:sz w:val="22"/>
                <w:szCs w:val="22"/>
                <w:lang w:val="es-CR"/>
              </w:rPr>
              <w:t>Normativa técnica y disposiciones adicionales</w:t>
            </w:r>
          </w:p>
        </w:tc>
      </w:tr>
      <w:tr w:rsidR="001261B0" w:rsidRPr="001261B0" w14:paraId="0ECBAE77" w14:textId="77777777" w:rsidTr="00F743BF">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A7E900B"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4468DAC6"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12</w:t>
            </w:r>
          </w:p>
        </w:tc>
        <w:tc>
          <w:tcPr>
            <w:tcW w:w="520" w:type="dxa"/>
            <w:tcBorders>
              <w:top w:val="nil"/>
              <w:left w:val="nil"/>
              <w:bottom w:val="single" w:sz="8" w:space="0" w:color="auto"/>
              <w:right w:val="single" w:sz="8" w:space="0" w:color="auto"/>
            </w:tcBorders>
            <w:shd w:val="clear" w:color="auto" w:fill="auto"/>
            <w:vAlign w:val="center"/>
            <w:hideMark/>
          </w:tcPr>
          <w:p w14:paraId="059DC389" w14:textId="6B28F735" w:rsidR="001261B0" w:rsidRPr="001261B0" w:rsidRDefault="001261B0" w:rsidP="001261B0">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10631DF0" w14:textId="77777777" w:rsidR="001261B0" w:rsidRPr="001261B0" w:rsidRDefault="001261B0" w:rsidP="001261B0">
            <w:pPr>
              <w:jc w:val="both"/>
              <w:rPr>
                <w:rFonts w:ascii="Arial Narrow" w:eastAsia="Times New Roman" w:hAnsi="Arial Narrow" w:cs="Calibri"/>
                <w:b/>
                <w:bCs/>
                <w:color w:val="000000"/>
                <w:sz w:val="22"/>
                <w:szCs w:val="22"/>
                <w:lang w:val="es-CR"/>
              </w:rPr>
            </w:pPr>
            <w:r w:rsidRPr="001261B0">
              <w:rPr>
                <w:rFonts w:ascii="Arial Narrow" w:eastAsia="Times New Roman" w:hAnsi="Arial Narrow" w:cs="Calibri"/>
                <w:b/>
                <w:bCs/>
                <w:color w:val="000000"/>
                <w:sz w:val="22"/>
                <w:szCs w:val="22"/>
                <w:lang w:val="es-CR"/>
              </w:rPr>
              <w:t>Reconocimiento de ingresos por impuestos</w:t>
            </w:r>
          </w:p>
        </w:tc>
        <w:tc>
          <w:tcPr>
            <w:tcW w:w="2043" w:type="dxa"/>
            <w:tcBorders>
              <w:top w:val="single" w:sz="8" w:space="0" w:color="auto"/>
              <w:left w:val="nil"/>
              <w:bottom w:val="single" w:sz="8" w:space="0" w:color="auto"/>
              <w:right w:val="single" w:sz="8" w:space="0" w:color="auto"/>
            </w:tcBorders>
            <w:shd w:val="clear" w:color="auto" w:fill="auto"/>
            <w:vAlign w:val="center"/>
            <w:hideMark/>
          </w:tcPr>
          <w:p w14:paraId="45803862" w14:textId="77777777" w:rsidR="001261B0" w:rsidRPr="001261B0" w:rsidRDefault="001261B0" w:rsidP="001261B0">
            <w:pP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NICSP N° 23,</w:t>
            </w:r>
            <w:r w:rsidRPr="001261B0">
              <w:rPr>
                <w:rFonts w:ascii="Arial Narrow" w:eastAsia="Times New Roman" w:hAnsi="Arial Narrow" w:cs="Calibri"/>
                <w:b/>
                <w:bCs/>
                <w:color w:val="000000"/>
                <w:sz w:val="22"/>
                <w:szCs w:val="22"/>
              </w:rPr>
              <w:br/>
              <w:t>Párrafos 59 y 60.</w:t>
            </w:r>
          </w:p>
        </w:tc>
        <w:tc>
          <w:tcPr>
            <w:tcW w:w="1889" w:type="dxa"/>
            <w:tcBorders>
              <w:top w:val="nil"/>
              <w:left w:val="nil"/>
              <w:bottom w:val="single" w:sz="8" w:space="0" w:color="auto"/>
              <w:right w:val="single" w:sz="8" w:space="0" w:color="auto"/>
            </w:tcBorders>
            <w:shd w:val="clear" w:color="auto" w:fill="auto"/>
            <w:vAlign w:val="center"/>
            <w:hideMark/>
          </w:tcPr>
          <w:p w14:paraId="62FFEA48" w14:textId="77777777" w:rsidR="001261B0" w:rsidRPr="001261B0" w:rsidRDefault="001261B0" w:rsidP="001261B0">
            <w:pPr>
              <w:ind w:firstLineChars="100" w:firstLine="220"/>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 xml:space="preserve"> </w:t>
            </w:r>
          </w:p>
        </w:tc>
      </w:tr>
      <w:tr w:rsidR="001261B0" w:rsidRPr="001261B0" w14:paraId="6149D0A2" w14:textId="77777777" w:rsidTr="00F743BF">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36F0CAB2"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4E9CE2BC"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12</w:t>
            </w:r>
          </w:p>
        </w:tc>
        <w:tc>
          <w:tcPr>
            <w:tcW w:w="520" w:type="dxa"/>
            <w:tcBorders>
              <w:top w:val="nil"/>
              <w:left w:val="nil"/>
              <w:bottom w:val="single" w:sz="8" w:space="0" w:color="auto"/>
              <w:right w:val="single" w:sz="8" w:space="0" w:color="auto"/>
            </w:tcBorders>
            <w:shd w:val="clear" w:color="auto" w:fill="auto"/>
            <w:vAlign w:val="center"/>
            <w:hideMark/>
          </w:tcPr>
          <w:p w14:paraId="73B3187E"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38BF7D94" w14:textId="77777777" w:rsidR="001261B0" w:rsidRPr="001261B0" w:rsidRDefault="001261B0" w:rsidP="001261B0">
            <w:pPr>
              <w:jc w:val="both"/>
              <w:rPr>
                <w:rFonts w:ascii="Arial Narrow" w:eastAsia="Times New Roman" w:hAnsi="Arial Narrow" w:cs="Calibri"/>
                <w:b/>
                <w:bCs/>
                <w:color w:val="000000"/>
                <w:sz w:val="22"/>
                <w:szCs w:val="22"/>
                <w:lang w:val="es-CR"/>
              </w:rPr>
            </w:pPr>
            <w:r w:rsidRPr="001261B0">
              <w:rPr>
                <w:rFonts w:ascii="Arial Narrow" w:eastAsia="Times New Roman" w:hAnsi="Arial Narrow" w:cs="Calibri"/>
                <w:b/>
                <w:bCs/>
                <w:color w:val="000000"/>
                <w:sz w:val="22"/>
                <w:szCs w:val="22"/>
                <w:lang w:val="es-CR"/>
              </w:rPr>
              <w:t>Definición del hecho imponible y mejor estimación del activo impositivo</w:t>
            </w:r>
          </w:p>
        </w:tc>
        <w:tc>
          <w:tcPr>
            <w:tcW w:w="2043" w:type="dxa"/>
            <w:tcBorders>
              <w:top w:val="nil"/>
              <w:left w:val="nil"/>
              <w:bottom w:val="single" w:sz="8" w:space="0" w:color="auto"/>
              <w:right w:val="single" w:sz="8" w:space="0" w:color="auto"/>
            </w:tcBorders>
            <w:shd w:val="clear" w:color="auto" w:fill="auto"/>
            <w:vAlign w:val="center"/>
            <w:hideMark/>
          </w:tcPr>
          <w:p w14:paraId="25416E82" w14:textId="77777777" w:rsidR="001261B0" w:rsidRPr="001261B0" w:rsidRDefault="001261B0" w:rsidP="001261B0">
            <w:pP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NICSP N° 23,</w:t>
            </w:r>
            <w:r w:rsidRPr="001261B0">
              <w:rPr>
                <w:rFonts w:ascii="Arial Narrow" w:eastAsia="Times New Roman" w:hAnsi="Arial Narrow" w:cs="Calibri"/>
                <w:b/>
                <w:bCs/>
                <w:color w:val="000000"/>
                <w:sz w:val="22"/>
                <w:szCs w:val="22"/>
              </w:rPr>
              <w:br/>
              <w:t>Párrafos 65, 67 y 68.</w:t>
            </w:r>
          </w:p>
        </w:tc>
        <w:tc>
          <w:tcPr>
            <w:tcW w:w="1889" w:type="dxa"/>
            <w:tcBorders>
              <w:top w:val="nil"/>
              <w:left w:val="nil"/>
              <w:bottom w:val="single" w:sz="8" w:space="0" w:color="auto"/>
              <w:right w:val="single" w:sz="8" w:space="0" w:color="auto"/>
            </w:tcBorders>
            <w:shd w:val="clear" w:color="auto" w:fill="auto"/>
            <w:vAlign w:val="center"/>
            <w:hideMark/>
          </w:tcPr>
          <w:p w14:paraId="5A393F9A" w14:textId="77777777" w:rsidR="001261B0" w:rsidRPr="001261B0" w:rsidRDefault="001261B0" w:rsidP="001261B0">
            <w:pPr>
              <w:ind w:firstLineChars="100" w:firstLine="220"/>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DGCN</w:t>
            </w:r>
          </w:p>
        </w:tc>
      </w:tr>
      <w:tr w:rsidR="001261B0" w:rsidRPr="001261B0" w14:paraId="1BCCFB0D" w14:textId="77777777" w:rsidTr="00F743BF">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67D5C0F3"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0E580BEA"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12</w:t>
            </w:r>
          </w:p>
        </w:tc>
        <w:tc>
          <w:tcPr>
            <w:tcW w:w="520" w:type="dxa"/>
            <w:tcBorders>
              <w:top w:val="nil"/>
              <w:left w:val="nil"/>
              <w:bottom w:val="single" w:sz="8" w:space="0" w:color="auto"/>
              <w:right w:val="single" w:sz="8" w:space="0" w:color="auto"/>
            </w:tcBorders>
            <w:shd w:val="clear" w:color="auto" w:fill="auto"/>
            <w:vAlign w:val="center"/>
            <w:hideMark/>
          </w:tcPr>
          <w:p w14:paraId="62CDB71E"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08F6F310" w14:textId="77777777" w:rsidR="001261B0" w:rsidRPr="001261B0" w:rsidRDefault="001261B0" w:rsidP="001261B0">
            <w:pPr>
              <w:jc w:val="both"/>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Modelos estadísticos</w:t>
            </w:r>
          </w:p>
        </w:tc>
        <w:tc>
          <w:tcPr>
            <w:tcW w:w="2043" w:type="dxa"/>
            <w:tcBorders>
              <w:top w:val="nil"/>
              <w:left w:val="nil"/>
              <w:bottom w:val="single" w:sz="8" w:space="0" w:color="auto"/>
              <w:right w:val="single" w:sz="8" w:space="0" w:color="auto"/>
            </w:tcBorders>
            <w:shd w:val="clear" w:color="auto" w:fill="auto"/>
            <w:vAlign w:val="center"/>
            <w:hideMark/>
          </w:tcPr>
          <w:p w14:paraId="04D75547" w14:textId="77777777" w:rsidR="001261B0" w:rsidRPr="001261B0" w:rsidRDefault="001261B0" w:rsidP="001261B0">
            <w:pP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NICSP N° 23,</w:t>
            </w:r>
            <w:r w:rsidRPr="001261B0">
              <w:rPr>
                <w:rFonts w:ascii="Arial Narrow" w:eastAsia="Times New Roman" w:hAnsi="Arial Narrow" w:cs="Calibri"/>
                <w:b/>
                <w:bCs/>
                <w:color w:val="000000"/>
                <w:sz w:val="22"/>
                <w:szCs w:val="22"/>
              </w:rPr>
              <w:br/>
              <w:t>Párrafo 69.</w:t>
            </w:r>
          </w:p>
        </w:tc>
        <w:tc>
          <w:tcPr>
            <w:tcW w:w="1889" w:type="dxa"/>
            <w:tcBorders>
              <w:top w:val="nil"/>
              <w:left w:val="nil"/>
              <w:bottom w:val="single" w:sz="8" w:space="0" w:color="auto"/>
              <w:right w:val="single" w:sz="8" w:space="0" w:color="auto"/>
            </w:tcBorders>
            <w:shd w:val="clear" w:color="auto" w:fill="auto"/>
            <w:vAlign w:val="center"/>
            <w:hideMark/>
          </w:tcPr>
          <w:p w14:paraId="53EF3B91" w14:textId="77777777" w:rsidR="001261B0" w:rsidRPr="001261B0" w:rsidRDefault="001261B0" w:rsidP="001261B0">
            <w:pPr>
              <w:ind w:firstLineChars="100" w:firstLine="220"/>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DGCN</w:t>
            </w:r>
          </w:p>
        </w:tc>
      </w:tr>
      <w:tr w:rsidR="001261B0" w:rsidRPr="001261B0" w14:paraId="29EEBECC" w14:textId="77777777" w:rsidTr="00F743BF">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1C7DF3E"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0BCC05DF"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12</w:t>
            </w:r>
          </w:p>
        </w:tc>
        <w:tc>
          <w:tcPr>
            <w:tcW w:w="520" w:type="dxa"/>
            <w:tcBorders>
              <w:top w:val="nil"/>
              <w:left w:val="nil"/>
              <w:bottom w:val="single" w:sz="8" w:space="0" w:color="auto"/>
              <w:right w:val="single" w:sz="8" w:space="0" w:color="auto"/>
            </w:tcBorders>
            <w:shd w:val="clear" w:color="auto" w:fill="auto"/>
            <w:vAlign w:val="center"/>
            <w:hideMark/>
          </w:tcPr>
          <w:p w14:paraId="2D0A0644"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749F38C4" w14:textId="77777777" w:rsidR="001261B0" w:rsidRPr="001261B0" w:rsidRDefault="001261B0" w:rsidP="001261B0">
            <w:pPr>
              <w:jc w:val="both"/>
              <w:rPr>
                <w:rFonts w:ascii="Arial Narrow" w:eastAsia="Times New Roman" w:hAnsi="Arial Narrow" w:cs="Calibri"/>
                <w:b/>
                <w:bCs/>
                <w:color w:val="000000"/>
                <w:sz w:val="22"/>
                <w:szCs w:val="22"/>
                <w:lang w:val="es-CR"/>
              </w:rPr>
            </w:pPr>
            <w:r w:rsidRPr="001261B0">
              <w:rPr>
                <w:rFonts w:ascii="Arial Narrow" w:eastAsia="Times New Roman" w:hAnsi="Arial Narrow" w:cs="Calibri"/>
                <w:b/>
                <w:bCs/>
                <w:color w:val="000000"/>
                <w:sz w:val="22"/>
                <w:szCs w:val="22"/>
                <w:lang w:val="es-CR"/>
              </w:rPr>
              <w:t>Reconocimiento posterior a la ocurrencia del hecho imponible</w:t>
            </w:r>
          </w:p>
        </w:tc>
        <w:tc>
          <w:tcPr>
            <w:tcW w:w="2043" w:type="dxa"/>
            <w:tcBorders>
              <w:top w:val="nil"/>
              <w:left w:val="nil"/>
              <w:bottom w:val="single" w:sz="8" w:space="0" w:color="auto"/>
              <w:right w:val="single" w:sz="8" w:space="0" w:color="auto"/>
            </w:tcBorders>
            <w:shd w:val="clear" w:color="auto" w:fill="auto"/>
            <w:vAlign w:val="center"/>
            <w:hideMark/>
          </w:tcPr>
          <w:p w14:paraId="1B519DC8" w14:textId="77777777" w:rsidR="001261B0" w:rsidRPr="001261B0" w:rsidRDefault="001261B0" w:rsidP="001261B0">
            <w:pP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NICSP N° 23,</w:t>
            </w:r>
            <w:r w:rsidRPr="001261B0">
              <w:rPr>
                <w:rFonts w:ascii="Arial Narrow" w:eastAsia="Times New Roman" w:hAnsi="Arial Narrow" w:cs="Calibri"/>
                <w:b/>
                <w:bCs/>
                <w:color w:val="000000"/>
                <w:sz w:val="22"/>
                <w:szCs w:val="22"/>
              </w:rPr>
              <w:br/>
              <w:t>Párrafo 70.</w:t>
            </w:r>
          </w:p>
        </w:tc>
        <w:tc>
          <w:tcPr>
            <w:tcW w:w="1889" w:type="dxa"/>
            <w:tcBorders>
              <w:top w:val="nil"/>
              <w:left w:val="nil"/>
              <w:bottom w:val="single" w:sz="8" w:space="0" w:color="auto"/>
              <w:right w:val="single" w:sz="8" w:space="0" w:color="auto"/>
            </w:tcBorders>
            <w:shd w:val="clear" w:color="auto" w:fill="auto"/>
            <w:vAlign w:val="center"/>
            <w:hideMark/>
          </w:tcPr>
          <w:p w14:paraId="251ECEC2" w14:textId="77777777" w:rsidR="001261B0" w:rsidRPr="001261B0" w:rsidRDefault="001261B0" w:rsidP="001261B0">
            <w:pPr>
              <w:ind w:firstLineChars="100" w:firstLine="220"/>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DGCN</w:t>
            </w:r>
          </w:p>
        </w:tc>
      </w:tr>
    </w:tbl>
    <w:p w14:paraId="54AB7CAF" w14:textId="77777777" w:rsidR="00700786" w:rsidRDefault="00700786" w:rsidP="00F743BF">
      <w:pPr>
        <w:pStyle w:val="Default"/>
        <w:ind w:right="261"/>
        <w:jc w:val="both"/>
        <w:rPr>
          <w:sz w:val="22"/>
          <w:szCs w:val="22"/>
          <w:lang w:val="es-CR"/>
        </w:rPr>
      </w:pPr>
    </w:p>
    <w:p w14:paraId="6BA854D6" w14:textId="33CB93EC" w:rsidR="00F743BF" w:rsidRDefault="00F743BF" w:rsidP="00F743BF">
      <w:pPr>
        <w:pStyle w:val="Default"/>
        <w:ind w:right="261"/>
        <w:jc w:val="both"/>
        <w:rPr>
          <w:rFonts w:eastAsia="Arial"/>
          <w:b/>
          <w:sz w:val="22"/>
          <w:szCs w:val="22"/>
        </w:rPr>
      </w:pPr>
      <w:r w:rsidRPr="00F02F9D">
        <w:rPr>
          <w:rFonts w:eastAsia="Arial"/>
          <w:b/>
          <w:sz w:val="22"/>
          <w:szCs w:val="22"/>
        </w:rPr>
        <w:t>Políticas Contables</w:t>
      </w:r>
    </w:p>
    <w:p w14:paraId="52B49D93" w14:textId="77777777" w:rsidR="00F743BF" w:rsidRDefault="00F743BF" w:rsidP="00F743BF">
      <w:pPr>
        <w:pStyle w:val="Default"/>
        <w:ind w:right="261"/>
        <w:jc w:val="both"/>
        <w:rPr>
          <w:sz w:val="22"/>
          <w:szCs w:val="22"/>
          <w:lang w:val="es-CR"/>
        </w:rPr>
      </w:pPr>
    </w:p>
    <w:p w14:paraId="7DA39FF2" w14:textId="427038FC" w:rsidR="001261B0" w:rsidRPr="001261B0" w:rsidRDefault="001261B0" w:rsidP="00F743BF">
      <w:pPr>
        <w:pStyle w:val="Default"/>
        <w:spacing w:after="120" w:line="238" w:lineRule="auto"/>
        <w:ind w:left="1134" w:right="26" w:hanging="1134"/>
        <w:jc w:val="both"/>
        <w:rPr>
          <w:sz w:val="22"/>
          <w:szCs w:val="22"/>
          <w:lang w:val="es-CR"/>
        </w:rPr>
      </w:pPr>
      <w:r>
        <w:rPr>
          <w:sz w:val="22"/>
          <w:szCs w:val="22"/>
          <w:lang w:val="es-CR"/>
        </w:rPr>
        <w:t>4.12.0.01</w:t>
      </w:r>
      <w:r>
        <w:rPr>
          <w:sz w:val="22"/>
          <w:szCs w:val="22"/>
          <w:lang w:val="es-CR"/>
        </w:rPr>
        <w:tab/>
      </w:r>
      <w:r w:rsidRPr="001261B0">
        <w:rPr>
          <w:sz w:val="22"/>
          <w:szCs w:val="22"/>
          <w:lang w:val="es-CR"/>
        </w:rPr>
        <w:t>Se reconocerá un activo y un ingreso por impuestos cuando ocurra el hecho imponible y se cumplan los criterios de reconocimiento del activo.</w:t>
      </w:r>
    </w:p>
    <w:p w14:paraId="38E96151" w14:textId="2206F854" w:rsidR="001261B0" w:rsidRDefault="001261B0" w:rsidP="00F743BF">
      <w:pPr>
        <w:pStyle w:val="Default"/>
        <w:ind w:left="1134" w:hanging="1134"/>
        <w:jc w:val="both"/>
        <w:rPr>
          <w:sz w:val="22"/>
          <w:szCs w:val="22"/>
          <w:lang w:val="es-CR"/>
        </w:rPr>
      </w:pPr>
      <w:r>
        <w:rPr>
          <w:sz w:val="22"/>
          <w:szCs w:val="22"/>
          <w:lang w:val="es-CR"/>
        </w:rPr>
        <w:t>4.12.0.02</w:t>
      </w:r>
      <w:r>
        <w:rPr>
          <w:sz w:val="22"/>
          <w:szCs w:val="22"/>
          <w:lang w:val="es-CR"/>
        </w:rPr>
        <w:tab/>
      </w:r>
      <w:r w:rsidRPr="001261B0">
        <w:rPr>
          <w:sz w:val="22"/>
          <w:szCs w:val="22"/>
          <w:lang w:val="es-CR"/>
        </w:rPr>
        <w:t>Los recursos surgidos de impuestos satisfacen la definición de activo cuando:</w:t>
      </w:r>
    </w:p>
    <w:p w14:paraId="18C35F35" w14:textId="77777777" w:rsidR="001261B0" w:rsidRPr="001261B0" w:rsidRDefault="001261B0" w:rsidP="00F743BF">
      <w:pPr>
        <w:pStyle w:val="Default"/>
        <w:ind w:left="1134" w:hanging="1134"/>
        <w:jc w:val="both"/>
        <w:rPr>
          <w:sz w:val="22"/>
          <w:szCs w:val="22"/>
          <w:lang w:val="es-CR"/>
        </w:rPr>
      </w:pPr>
    </w:p>
    <w:p w14:paraId="6C474461" w14:textId="52006172" w:rsidR="001261B0" w:rsidRPr="001261B0" w:rsidRDefault="001261B0" w:rsidP="00F743BF">
      <w:pPr>
        <w:pStyle w:val="Default"/>
        <w:numPr>
          <w:ilvl w:val="0"/>
          <w:numId w:val="238"/>
        </w:numPr>
        <w:spacing w:after="120"/>
        <w:ind w:left="1418" w:hanging="284"/>
        <w:jc w:val="both"/>
        <w:rPr>
          <w:sz w:val="22"/>
          <w:szCs w:val="22"/>
          <w:lang w:val="es-CR"/>
        </w:rPr>
      </w:pPr>
      <w:r>
        <w:rPr>
          <w:sz w:val="22"/>
          <w:szCs w:val="22"/>
          <w:lang w:val="es-CR"/>
        </w:rPr>
        <w:t>L</w:t>
      </w:r>
      <w:r w:rsidRPr="001261B0">
        <w:rPr>
          <w:sz w:val="22"/>
          <w:szCs w:val="22"/>
          <w:lang w:val="es-CR"/>
        </w:rPr>
        <w:t xml:space="preserve">a entidad controla los recursos como consecuencia de un suceso pasado (el hecho imponible); </w:t>
      </w:r>
    </w:p>
    <w:p w14:paraId="051722EB" w14:textId="5F077017" w:rsidR="001261B0" w:rsidRPr="001261B0" w:rsidRDefault="001261B0" w:rsidP="00F743BF">
      <w:pPr>
        <w:pStyle w:val="Default"/>
        <w:numPr>
          <w:ilvl w:val="0"/>
          <w:numId w:val="238"/>
        </w:numPr>
        <w:spacing w:after="120"/>
        <w:ind w:left="1418" w:hanging="284"/>
        <w:jc w:val="both"/>
        <w:rPr>
          <w:sz w:val="22"/>
          <w:szCs w:val="22"/>
          <w:lang w:val="es-CR"/>
        </w:rPr>
      </w:pPr>
      <w:r>
        <w:rPr>
          <w:sz w:val="22"/>
          <w:szCs w:val="22"/>
          <w:lang w:val="es-CR"/>
        </w:rPr>
        <w:t>S</w:t>
      </w:r>
      <w:r w:rsidRPr="001261B0">
        <w:rPr>
          <w:sz w:val="22"/>
          <w:szCs w:val="22"/>
          <w:lang w:val="es-CR"/>
        </w:rPr>
        <w:t xml:space="preserve">e espera recibir beneficios económicos o potencial de servicio futuros de esos recursos; y </w:t>
      </w:r>
    </w:p>
    <w:p w14:paraId="63A35794" w14:textId="4B33EC8F" w:rsidR="001261B0" w:rsidRPr="001261B0" w:rsidRDefault="001261B0" w:rsidP="00F743BF">
      <w:pPr>
        <w:pStyle w:val="Default"/>
        <w:numPr>
          <w:ilvl w:val="0"/>
          <w:numId w:val="238"/>
        </w:numPr>
        <w:ind w:left="1418" w:hanging="284"/>
        <w:jc w:val="both"/>
        <w:rPr>
          <w:sz w:val="22"/>
          <w:szCs w:val="22"/>
          <w:lang w:val="es-CR"/>
        </w:rPr>
      </w:pPr>
      <w:r>
        <w:rPr>
          <w:sz w:val="22"/>
          <w:szCs w:val="22"/>
          <w:lang w:val="es-CR"/>
        </w:rPr>
        <w:t>E</w:t>
      </w:r>
      <w:r w:rsidRPr="001261B0">
        <w:rPr>
          <w:sz w:val="22"/>
          <w:szCs w:val="22"/>
          <w:lang w:val="es-CR"/>
        </w:rPr>
        <w:t xml:space="preserve">s probable que la entrada de recursos tenga lugar y su valor razonable pueda ser medido con fiabilidad. </w:t>
      </w:r>
    </w:p>
    <w:p w14:paraId="0C63AA2D" w14:textId="77777777" w:rsidR="001261B0" w:rsidRPr="001261B0" w:rsidRDefault="001261B0" w:rsidP="00F743BF">
      <w:pPr>
        <w:pStyle w:val="Default"/>
        <w:jc w:val="both"/>
        <w:rPr>
          <w:sz w:val="22"/>
          <w:szCs w:val="22"/>
          <w:lang w:val="es-CR"/>
        </w:rPr>
      </w:pPr>
    </w:p>
    <w:p w14:paraId="668438EB" w14:textId="0AFD5805" w:rsidR="001261B0" w:rsidRPr="001261B0" w:rsidRDefault="001261B0" w:rsidP="00F743BF">
      <w:pPr>
        <w:pStyle w:val="Default"/>
        <w:ind w:left="1134" w:hanging="1134"/>
        <w:jc w:val="both"/>
        <w:rPr>
          <w:sz w:val="22"/>
          <w:szCs w:val="22"/>
          <w:lang w:val="es-CR"/>
        </w:rPr>
      </w:pPr>
      <w:r>
        <w:rPr>
          <w:sz w:val="22"/>
          <w:szCs w:val="22"/>
          <w:lang w:val="es-CR"/>
        </w:rPr>
        <w:t>4.12.0.03</w:t>
      </w:r>
      <w:r>
        <w:rPr>
          <w:sz w:val="22"/>
          <w:szCs w:val="22"/>
          <w:lang w:val="es-CR"/>
        </w:rPr>
        <w:tab/>
      </w:r>
      <w:r w:rsidRPr="001261B0">
        <w:rPr>
          <w:sz w:val="22"/>
          <w:szCs w:val="22"/>
          <w:lang w:val="es-CR"/>
        </w:rPr>
        <w:t xml:space="preserve">El grado de probabilidad vinculado a la entrada de recursos se determina sobre la base de la evidencia disponible en el momento del reconocimiento inicial, lo que </w:t>
      </w:r>
      <w:r w:rsidRPr="001261B0">
        <w:rPr>
          <w:sz w:val="22"/>
          <w:szCs w:val="22"/>
          <w:lang w:val="es-CR"/>
        </w:rPr>
        <w:lastRenderedPageBreak/>
        <w:t xml:space="preserve">incluye, entre otros, la revelación de información del hecho imponible por parte del contribuyente. </w:t>
      </w:r>
    </w:p>
    <w:p w14:paraId="0205251C" w14:textId="1D223D4C" w:rsidR="001261B0" w:rsidRDefault="001261B0" w:rsidP="00F743BF">
      <w:pPr>
        <w:pStyle w:val="Default"/>
        <w:ind w:left="1134" w:hanging="1134"/>
        <w:jc w:val="both"/>
        <w:rPr>
          <w:sz w:val="22"/>
          <w:szCs w:val="22"/>
          <w:lang w:val="es-CR"/>
        </w:rPr>
      </w:pPr>
      <w:r>
        <w:rPr>
          <w:sz w:val="22"/>
          <w:szCs w:val="22"/>
          <w:lang w:val="es-CR"/>
        </w:rPr>
        <w:t>4.</w:t>
      </w:r>
      <w:r w:rsidRPr="001261B0">
        <w:rPr>
          <w:sz w:val="22"/>
          <w:szCs w:val="22"/>
          <w:lang w:val="es-CR"/>
        </w:rPr>
        <w:t>1</w:t>
      </w:r>
      <w:r>
        <w:rPr>
          <w:sz w:val="22"/>
          <w:szCs w:val="22"/>
          <w:lang w:val="es-CR"/>
        </w:rPr>
        <w:t>2</w:t>
      </w:r>
      <w:r w:rsidRPr="001261B0">
        <w:rPr>
          <w:sz w:val="22"/>
          <w:szCs w:val="22"/>
          <w:lang w:val="es-CR"/>
        </w:rPr>
        <w:t>.</w:t>
      </w:r>
      <w:r>
        <w:rPr>
          <w:sz w:val="22"/>
          <w:szCs w:val="22"/>
          <w:lang w:val="es-CR"/>
        </w:rPr>
        <w:t>1.01</w:t>
      </w:r>
      <w:r>
        <w:rPr>
          <w:sz w:val="22"/>
          <w:szCs w:val="22"/>
          <w:lang w:val="es-CR"/>
        </w:rPr>
        <w:tab/>
      </w:r>
      <w:r w:rsidRPr="001261B0">
        <w:rPr>
          <w:sz w:val="22"/>
          <w:szCs w:val="22"/>
          <w:lang w:val="es-CR"/>
        </w:rPr>
        <w:t>Los activos que surgen de transacciones impositivas se miden por la mejor estimación de la entrada de recursos a la entidad, a cuyos efectos deberán desarrollarse los criterios para la estimación de la medición de activos que surgen de transacciones impositivas, teniendo en cuenta la probabilidad de que los recursos fluyan al gobierno y el valor razonable de los activos resultantes.</w:t>
      </w:r>
    </w:p>
    <w:p w14:paraId="327862E5" w14:textId="77777777" w:rsidR="001261B0" w:rsidRPr="001261B0" w:rsidRDefault="001261B0" w:rsidP="00F743BF">
      <w:pPr>
        <w:pStyle w:val="Default"/>
        <w:ind w:left="1134" w:hanging="1134"/>
        <w:jc w:val="both"/>
        <w:rPr>
          <w:sz w:val="22"/>
          <w:szCs w:val="22"/>
          <w:lang w:val="es-CR"/>
        </w:rPr>
      </w:pPr>
    </w:p>
    <w:p w14:paraId="1A6D6496" w14:textId="75364770" w:rsidR="001261B0" w:rsidRDefault="001261B0" w:rsidP="00F743BF">
      <w:pPr>
        <w:pStyle w:val="Default"/>
        <w:ind w:left="1134" w:hanging="1134"/>
        <w:jc w:val="both"/>
        <w:rPr>
          <w:sz w:val="22"/>
          <w:szCs w:val="22"/>
          <w:lang w:val="es-CR"/>
        </w:rPr>
      </w:pPr>
      <w:r>
        <w:rPr>
          <w:sz w:val="22"/>
          <w:szCs w:val="22"/>
          <w:lang w:val="es-CR"/>
        </w:rPr>
        <w:t>4.1</w:t>
      </w:r>
      <w:r w:rsidRPr="001261B0">
        <w:rPr>
          <w:sz w:val="22"/>
          <w:szCs w:val="22"/>
          <w:lang w:val="es-CR"/>
        </w:rPr>
        <w:t>2.</w:t>
      </w:r>
      <w:r>
        <w:rPr>
          <w:sz w:val="22"/>
          <w:szCs w:val="22"/>
          <w:lang w:val="es-CR"/>
        </w:rPr>
        <w:t>1.02</w:t>
      </w:r>
      <w:r>
        <w:rPr>
          <w:sz w:val="22"/>
          <w:szCs w:val="22"/>
          <w:lang w:val="es-CR"/>
        </w:rPr>
        <w:tab/>
      </w:r>
      <w:r w:rsidRPr="001261B0">
        <w:rPr>
          <w:sz w:val="22"/>
          <w:szCs w:val="22"/>
          <w:lang w:val="es-CR"/>
        </w:rPr>
        <w:t>A tal efecto, la DGCN deberá elaborar el programa conjunto referido en el apartado “Cuentas por cobrar impositivas” del Capítulo “Activos” del presente PGCN, y desarrollar los modelos de estimación teniendo en cuenta las consideraciones indicadas en dicho apartado, de acuerdo con los requerimientos técnicos de las Unidades Primarias de Registro.</w:t>
      </w:r>
    </w:p>
    <w:p w14:paraId="0DE232AD" w14:textId="77777777" w:rsidR="001261B0" w:rsidRPr="001261B0" w:rsidRDefault="001261B0" w:rsidP="00F743BF">
      <w:pPr>
        <w:pStyle w:val="Default"/>
        <w:ind w:left="1134" w:hanging="1134"/>
        <w:jc w:val="both"/>
        <w:rPr>
          <w:sz w:val="22"/>
          <w:szCs w:val="22"/>
          <w:lang w:val="es-CR"/>
        </w:rPr>
      </w:pPr>
    </w:p>
    <w:p w14:paraId="42870288" w14:textId="77777777" w:rsidR="001261B0" w:rsidRDefault="001261B0" w:rsidP="00F743BF">
      <w:pPr>
        <w:pStyle w:val="Default"/>
        <w:ind w:left="1134" w:hanging="1134"/>
        <w:jc w:val="both"/>
        <w:rPr>
          <w:sz w:val="22"/>
          <w:szCs w:val="22"/>
          <w:lang w:val="es-CR"/>
        </w:rPr>
      </w:pPr>
      <w:r>
        <w:rPr>
          <w:sz w:val="22"/>
          <w:szCs w:val="22"/>
          <w:lang w:val="es-CR"/>
        </w:rPr>
        <w:t>4.12.2.01</w:t>
      </w:r>
      <w:r>
        <w:rPr>
          <w:sz w:val="22"/>
          <w:szCs w:val="22"/>
          <w:lang w:val="es-CR"/>
        </w:rPr>
        <w:tab/>
      </w:r>
      <w:r w:rsidRPr="001261B0">
        <w:rPr>
          <w:sz w:val="22"/>
          <w:szCs w:val="22"/>
          <w:lang w:val="es-CR"/>
        </w:rPr>
        <w:t>La medición de activos e ingresos procedentes de transacciones impositivas utilizando modelos estadísticos puede dar lugar a que el importe real de los activos e ingresos reconocidos sea diferente a los importes determinados en los períodos posteriores como adeudados por los contribuyentes en relación con el período actual sobre el que se informa. Ello dará lugar a revisiones de las estimaciones, las que serán tratadas de manera prospectiva, afectando las diferencias al ejercicio en que se determinen.</w:t>
      </w:r>
    </w:p>
    <w:p w14:paraId="71B897EC" w14:textId="787BDAD4" w:rsidR="001261B0" w:rsidRPr="001261B0" w:rsidRDefault="001261B0" w:rsidP="00F743BF">
      <w:pPr>
        <w:pStyle w:val="Default"/>
        <w:ind w:left="1134" w:hanging="1134"/>
        <w:jc w:val="both"/>
        <w:rPr>
          <w:sz w:val="22"/>
          <w:szCs w:val="22"/>
          <w:lang w:val="es-CR"/>
        </w:rPr>
      </w:pPr>
      <w:r w:rsidRPr="001261B0">
        <w:rPr>
          <w:sz w:val="22"/>
          <w:szCs w:val="22"/>
          <w:lang w:val="es-CR"/>
        </w:rPr>
        <w:t xml:space="preserve"> </w:t>
      </w:r>
    </w:p>
    <w:p w14:paraId="4453BB3C" w14:textId="018AC90E" w:rsidR="001261B0" w:rsidRPr="001261B0" w:rsidRDefault="001261B0" w:rsidP="001261B0">
      <w:pPr>
        <w:pStyle w:val="Default"/>
        <w:spacing w:after="120" w:line="238" w:lineRule="auto"/>
        <w:ind w:left="1134" w:right="260" w:hanging="1134"/>
        <w:jc w:val="both"/>
        <w:rPr>
          <w:sz w:val="22"/>
          <w:szCs w:val="22"/>
          <w:lang w:val="es-CR"/>
        </w:rPr>
      </w:pPr>
      <w:r>
        <w:rPr>
          <w:sz w:val="22"/>
          <w:szCs w:val="22"/>
          <w:lang w:val="es-CR"/>
        </w:rPr>
        <w:t>4.12.3.01</w:t>
      </w:r>
      <w:r>
        <w:rPr>
          <w:sz w:val="22"/>
          <w:szCs w:val="22"/>
          <w:lang w:val="es-CR"/>
        </w:rPr>
        <w:tab/>
      </w:r>
      <w:r w:rsidRPr="001261B0">
        <w:rPr>
          <w:sz w:val="22"/>
          <w:szCs w:val="22"/>
          <w:lang w:val="es-CR"/>
        </w:rPr>
        <w:t>En los casos en que la medición fiable no pueda realizarse hasta transcurrido un tiempo (o uno o varios ejercicios) después de ocurrido el hecho imponible, el reconocimiento del ingreso y del activo relacionado tendrá lugar cuando se cumplan los criterios respectivos, pudiendo ello recién ocurrir cuando se determine en forma cierta la cuenta a cobrar o incluso cuando se reciba el pago.</w:t>
      </w:r>
    </w:p>
    <w:p w14:paraId="5C4939E8" w14:textId="77777777" w:rsidR="001261B0" w:rsidRDefault="001261B0" w:rsidP="002A638A">
      <w:pPr>
        <w:pStyle w:val="Default"/>
        <w:spacing w:after="120" w:line="238" w:lineRule="auto"/>
        <w:ind w:right="260"/>
        <w:jc w:val="both"/>
        <w:rPr>
          <w:sz w:val="22"/>
          <w:szCs w:val="22"/>
          <w:lang w:val="es-CR"/>
        </w:rPr>
      </w:pPr>
    </w:p>
    <w:tbl>
      <w:tblPr>
        <w:tblW w:w="9115" w:type="dxa"/>
        <w:tblLook w:val="04A0" w:firstRow="1" w:lastRow="0" w:firstColumn="1" w:lastColumn="0" w:noHBand="0" w:noVBand="1"/>
      </w:tblPr>
      <w:tblGrid>
        <w:gridCol w:w="557"/>
        <w:gridCol w:w="417"/>
        <w:gridCol w:w="563"/>
        <w:gridCol w:w="7"/>
        <w:gridCol w:w="3682"/>
        <w:gridCol w:w="7"/>
        <w:gridCol w:w="1995"/>
        <w:gridCol w:w="7"/>
        <w:gridCol w:w="1873"/>
        <w:gridCol w:w="7"/>
      </w:tblGrid>
      <w:tr w:rsidR="001261B0" w:rsidRPr="001261B0" w14:paraId="5B487BFE" w14:textId="77777777" w:rsidTr="00466DD9">
        <w:trPr>
          <w:trHeight w:val="300"/>
        </w:trPr>
        <w:tc>
          <w:tcPr>
            <w:tcW w:w="154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68C56FB" w14:textId="77777777" w:rsidR="001261B0" w:rsidRPr="001261B0" w:rsidRDefault="001261B0" w:rsidP="001261B0">
            <w:pPr>
              <w:jc w:val="center"/>
              <w:rPr>
                <w:rFonts w:ascii="Arial Narrow" w:eastAsia="Times New Roman" w:hAnsi="Arial Narrow" w:cs="Calibri"/>
                <w:b/>
                <w:bCs/>
                <w:color w:val="FFFFFF"/>
                <w:sz w:val="22"/>
                <w:szCs w:val="22"/>
              </w:rPr>
            </w:pPr>
            <w:r w:rsidRPr="001261B0">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10F1B82C" w14:textId="77777777" w:rsidR="001261B0" w:rsidRPr="001261B0" w:rsidRDefault="001261B0" w:rsidP="001261B0">
            <w:pPr>
              <w:jc w:val="center"/>
              <w:rPr>
                <w:rFonts w:ascii="Arial Narrow" w:eastAsia="Times New Roman" w:hAnsi="Arial Narrow" w:cs="Calibri"/>
                <w:b/>
                <w:bCs/>
                <w:color w:val="FFFFFF"/>
                <w:sz w:val="22"/>
                <w:szCs w:val="22"/>
              </w:rPr>
            </w:pPr>
            <w:r w:rsidRPr="001261B0">
              <w:rPr>
                <w:rFonts w:ascii="Arial Narrow" w:eastAsia="Times New Roman" w:hAnsi="Arial Narrow" w:cs="Calibri"/>
                <w:b/>
                <w:bCs/>
                <w:color w:val="FFFFFF"/>
                <w:sz w:val="22"/>
                <w:szCs w:val="22"/>
              </w:rPr>
              <w:t>Concepto</w:t>
            </w:r>
          </w:p>
        </w:tc>
        <w:tc>
          <w:tcPr>
            <w:tcW w:w="3882" w:type="dxa"/>
            <w:gridSpan w:val="4"/>
            <w:tcBorders>
              <w:top w:val="single" w:sz="8" w:space="0" w:color="auto"/>
              <w:left w:val="nil"/>
              <w:bottom w:val="single" w:sz="8" w:space="0" w:color="auto"/>
              <w:right w:val="single" w:sz="8" w:space="0" w:color="000000"/>
            </w:tcBorders>
            <w:shd w:val="clear" w:color="000000" w:fill="203764"/>
            <w:vAlign w:val="center"/>
            <w:hideMark/>
          </w:tcPr>
          <w:p w14:paraId="2433336C" w14:textId="77777777" w:rsidR="001261B0" w:rsidRPr="001261B0" w:rsidRDefault="001261B0" w:rsidP="001261B0">
            <w:pPr>
              <w:jc w:val="center"/>
              <w:rPr>
                <w:rFonts w:ascii="Arial Narrow" w:eastAsia="Times New Roman" w:hAnsi="Arial Narrow" w:cs="Calibri"/>
                <w:b/>
                <w:bCs/>
                <w:color w:val="FFFFFF"/>
                <w:sz w:val="22"/>
                <w:szCs w:val="22"/>
              </w:rPr>
            </w:pPr>
            <w:r w:rsidRPr="001261B0">
              <w:rPr>
                <w:rFonts w:ascii="Arial Narrow" w:eastAsia="Times New Roman" w:hAnsi="Arial Narrow" w:cs="Calibri"/>
                <w:b/>
                <w:bCs/>
                <w:color w:val="FFFFFF"/>
                <w:sz w:val="22"/>
                <w:szCs w:val="22"/>
              </w:rPr>
              <w:t>Referencia</w:t>
            </w:r>
          </w:p>
        </w:tc>
      </w:tr>
      <w:tr w:rsidR="001261B0" w:rsidRPr="006E5442" w14:paraId="1E333FBF" w14:textId="77777777" w:rsidTr="00466DD9">
        <w:trPr>
          <w:trHeight w:val="850"/>
        </w:trPr>
        <w:tc>
          <w:tcPr>
            <w:tcW w:w="1544" w:type="dxa"/>
            <w:gridSpan w:val="4"/>
            <w:vMerge/>
            <w:tcBorders>
              <w:top w:val="single" w:sz="8" w:space="0" w:color="auto"/>
              <w:left w:val="single" w:sz="8" w:space="0" w:color="auto"/>
              <w:bottom w:val="nil"/>
              <w:right w:val="single" w:sz="8" w:space="0" w:color="000000"/>
            </w:tcBorders>
            <w:vAlign w:val="center"/>
            <w:hideMark/>
          </w:tcPr>
          <w:p w14:paraId="06C99D3D" w14:textId="77777777" w:rsidR="001261B0" w:rsidRPr="001261B0" w:rsidRDefault="001261B0" w:rsidP="001261B0">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7FA1D817" w14:textId="77777777" w:rsidR="001261B0" w:rsidRPr="001261B0" w:rsidRDefault="001261B0" w:rsidP="001261B0">
            <w:pPr>
              <w:rPr>
                <w:rFonts w:ascii="Arial Narrow" w:eastAsia="Times New Roman" w:hAnsi="Arial Narrow" w:cs="Calibri"/>
                <w:b/>
                <w:bCs/>
                <w:color w:val="FFFFFF"/>
                <w:sz w:val="22"/>
                <w:szCs w:val="22"/>
              </w:rPr>
            </w:pPr>
          </w:p>
        </w:tc>
        <w:tc>
          <w:tcPr>
            <w:tcW w:w="2002" w:type="dxa"/>
            <w:gridSpan w:val="2"/>
            <w:tcBorders>
              <w:top w:val="nil"/>
              <w:left w:val="nil"/>
              <w:bottom w:val="nil"/>
              <w:right w:val="single" w:sz="8" w:space="0" w:color="auto"/>
            </w:tcBorders>
            <w:shd w:val="clear" w:color="000000" w:fill="203764"/>
            <w:vAlign w:val="center"/>
            <w:hideMark/>
          </w:tcPr>
          <w:p w14:paraId="7EEBEDA0" w14:textId="77777777" w:rsidR="001261B0" w:rsidRPr="001261B0" w:rsidRDefault="001261B0" w:rsidP="001261B0">
            <w:pPr>
              <w:jc w:val="center"/>
              <w:rPr>
                <w:rFonts w:ascii="Arial Narrow" w:eastAsia="Times New Roman" w:hAnsi="Arial Narrow" w:cs="Calibri"/>
                <w:b/>
                <w:bCs/>
                <w:color w:val="FFFFFF"/>
                <w:sz w:val="22"/>
                <w:szCs w:val="22"/>
              </w:rPr>
            </w:pPr>
            <w:r w:rsidRPr="001261B0">
              <w:rPr>
                <w:rFonts w:ascii="Arial Narrow" w:eastAsia="Times New Roman" w:hAnsi="Arial Narrow" w:cs="Calibri"/>
                <w:b/>
                <w:bCs/>
                <w:color w:val="FFFFFF"/>
                <w:sz w:val="22"/>
                <w:szCs w:val="22"/>
              </w:rPr>
              <w:t>Norma</w:t>
            </w:r>
          </w:p>
        </w:tc>
        <w:tc>
          <w:tcPr>
            <w:tcW w:w="1880" w:type="dxa"/>
            <w:gridSpan w:val="2"/>
            <w:tcBorders>
              <w:top w:val="nil"/>
              <w:left w:val="nil"/>
              <w:bottom w:val="nil"/>
              <w:right w:val="single" w:sz="8" w:space="0" w:color="auto"/>
            </w:tcBorders>
            <w:shd w:val="clear" w:color="000000" w:fill="203764"/>
            <w:vAlign w:val="center"/>
            <w:hideMark/>
          </w:tcPr>
          <w:p w14:paraId="3C081C52" w14:textId="77777777" w:rsidR="001261B0" w:rsidRPr="001261B0" w:rsidRDefault="001261B0" w:rsidP="001261B0">
            <w:pPr>
              <w:jc w:val="center"/>
              <w:rPr>
                <w:rFonts w:ascii="Arial Narrow" w:eastAsia="Times New Roman" w:hAnsi="Arial Narrow" w:cs="Calibri"/>
                <w:b/>
                <w:bCs/>
                <w:color w:val="FFFFFF"/>
                <w:sz w:val="22"/>
                <w:szCs w:val="22"/>
                <w:lang w:val="es-CR"/>
              </w:rPr>
            </w:pPr>
            <w:r w:rsidRPr="001261B0">
              <w:rPr>
                <w:rFonts w:ascii="Arial Narrow" w:eastAsia="Times New Roman" w:hAnsi="Arial Narrow" w:cs="Calibri"/>
                <w:b/>
                <w:bCs/>
                <w:color w:val="FFFFFF"/>
                <w:sz w:val="22"/>
                <w:szCs w:val="22"/>
                <w:lang w:val="es-CR"/>
              </w:rPr>
              <w:t>Normativa técnica y disposiciones adicionales</w:t>
            </w:r>
          </w:p>
        </w:tc>
      </w:tr>
      <w:tr w:rsidR="001261B0" w:rsidRPr="001261B0" w14:paraId="08839ACF" w14:textId="77777777" w:rsidTr="00466DD9">
        <w:trPr>
          <w:gridAfter w:val="1"/>
          <w:wAfter w:w="7" w:type="dxa"/>
          <w:trHeight w:val="57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214094"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4</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29B73E77" w14:textId="77777777" w:rsidR="001261B0" w:rsidRPr="001261B0" w:rsidRDefault="001261B0" w:rsidP="001261B0">
            <w:pPr>
              <w:jc w:val="cente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13</w:t>
            </w:r>
          </w:p>
        </w:tc>
        <w:tc>
          <w:tcPr>
            <w:tcW w:w="563" w:type="dxa"/>
            <w:tcBorders>
              <w:top w:val="single" w:sz="8" w:space="0" w:color="auto"/>
              <w:left w:val="nil"/>
              <w:bottom w:val="single" w:sz="8" w:space="0" w:color="auto"/>
              <w:right w:val="single" w:sz="8" w:space="0" w:color="auto"/>
            </w:tcBorders>
            <w:shd w:val="clear" w:color="auto" w:fill="auto"/>
            <w:vAlign w:val="center"/>
            <w:hideMark/>
          </w:tcPr>
          <w:p w14:paraId="75E426C1" w14:textId="2D09C721" w:rsidR="001261B0" w:rsidRPr="001261B0" w:rsidRDefault="001261B0" w:rsidP="001261B0">
            <w:pPr>
              <w:jc w:val="center"/>
              <w:rPr>
                <w:rFonts w:ascii="Arial Narrow" w:eastAsia="Times New Roman" w:hAnsi="Arial Narrow" w:cs="Calibri"/>
                <w:b/>
                <w:bCs/>
                <w:color w:val="000000"/>
                <w:sz w:val="22"/>
                <w:szCs w:val="22"/>
              </w:rPr>
            </w:pP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4CAFBDE9" w14:textId="77777777" w:rsidR="001261B0" w:rsidRPr="001261B0" w:rsidRDefault="001261B0" w:rsidP="001261B0">
            <w:pPr>
              <w:jc w:val="both"/>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Anticipos de Impuestos</w:t>
            </w:r>
          </w:p>
        </w:tc>
        <w:tc>
          <w:tcPr>
            <w:tcW w:w="2002" w:type="dxa"/>
            <w:gridSpan w:val="2"/>
            <w:tcBorders>
              <w:top w:val="single" w:sz="8" w:space="0" w:color="auto"/>
              <w:left w:val="nil"/>
              <w:bottom w:val="single" w:sz="8" w:space="0" w:color="auto"/>
              <w:right w:val="single" w:sz="8" w:space="0" w:color="auto"/>
            </w:tcBorders>
            <w:shd w:val="clear" w:color="auto" w:fill="auto"/>
            <w:vAlign w:val="center"/>
            <w:hideMark/>
          </w:tcPr>
          <w:p w14:paraId="17545037" w14:textId="77777777" w:rsidR="001D79EB" w:rsidRDefault="001261B0" w:rsidP="001261B0">
            <w:pPr>
              <w:jc w:val="both"/>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NICSP N° 23,</w:t>
            </w:r>
          </w:p>
          <w:p w14:paraId="0D1580F8" w14:textId="1AC8759A" w:rsidR="001261B0" w:rsidRPr="001261B0" w:rsidRDefault="001261B0" w:rsidP="001261B0">
            <w:pPr>
              <w:jc w:val="both"/>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Párrafo 66.</w:t>
            </w:r>
          </w:p>
        </w:tc>
        <w:tc>
          <w:tcPr>
            <w:tcW w:w="1880" w:type="dxa"/>
            <w:gridSpan w:val="2"/>
            <w:tcBorders>
              <w:top w:val="single" w:sz="8" w:space="0" w:color="auto"/>
              <w:left w:val="nil"/>
              <w:bottom w:val="single" w:sz="8" w:space="0" w:color="auto"/>
              <w:right w:val="single" w:sz="8" w:space="0" w:color="auto"/>
            </w:tcBorders>
            <w:shd w:val="clear" w:color="auto" w:fill="auto"/>
            <w:vAlign w:val="center"/>
            <w:hideMark/>
          </w:tcPr>
          <w:p w14:paraId="0D015E19" w14:textId="77777777" w:rsidR="001261B0" w:rsidRPr="001261B0" w:rsidRDefault="001261B0" w:rsidP="001261B0">
            <w:pPr>
              <w:rPr>
                <w:rFonts w:ascii="Arial Narrow" w:eastAsia="Times New Roman" w:hAnsi="Arial Narrow" w:cs="Calibri"/>
                <w:b/>
                <w:bCs/>
                <w:color w:val="000000"/>
                <w:sz w:val="22"/>
                <w:szCs w:val="22"/>
              </w:rPr>
            </w:pPr>
            <w:r w:rsidRPr="001261B0">
              <w:rPr>
                <w:rFonts w:ascii="Arial Narrow" w:eastAsia="Times New Roman" w:hAnsi="Arial Narrow" w:cs="Calibri"/>
                <w:b/>
                <w:bCs/>
                <w:color w:val="000000"/>
                <w:sz w:val="22"/>
                <w:szCs w:val="22"/>
              </w:rPr>
              <w:t xml:space="preserve"> </w:t>
            </w:r>
          </w:p>
        </w:tc>
      </w:tr>
    </w:tbl>
    <w:p w14:paraId="0118488C" w14:textId="77777777" w:rsidR="00466DD9" w:rsidRDefault="00466DD9" w:rsidP="00466DD9">
      <w:pPr>
        <w:pStyle w:val="Default"/>
        <w:ind w:right="261"/>
        <w:jc w:val="both"/>
        <w:rPr>
          <w:rFonts w:eastAsia="Arial"/>
          <w:b/>
          <w:sz w:val="22"/>
          <w:szCs w:val="22"/>
        </w:rPr>
      </w:pPr>
    </w:p>
    <w:p w14:paraId="6A6E1F77" w14:textId="111A92F4" w:rsidR="001261B0" w:rsidRDefault="00466DD9" w:rsidP="00466DD9">
      <w:pPr>
        <w:pStyle w:val="Default"/>
        <w:ind w:right="261"/>
        <w:jc w:val="both"/>
        <w:rPr>
          <w:rFonts w:eastAsia="Arial"/>
          <w:b/>
          <w:sz w:val="22"/>
          <w:szCs w:val="22"/>
        </w:rPr>
      </w:pPr>
      <w:r w:rsidRPr="00F02F9D">
        <w:rPr>
          <w:rFonts w:eastAsia="Arial"/>
          <w:b/>
          <w:sz w:val="22"/>
          <w:szCs w:val="22"/>
        </w:rPr>
        <w:t>Política Contable</w:t>
      </w:r>
    </w:p>
    <w:p w14:paraId="50627CD7" w14:textId="77777777" w:rsidR="00466DD9" w:rsidRDefault="00466DD9" w:rsidP="00466DD9">
      <w:pPr>
        <w:pStyle w:val="Default"/>
        <w:ind w:right="261"/>
        <w:jc w:val="both"/>
        <w:rPr>
          <w:sz w:val="22"/>
          <w:szCs w:val="22"/>
          <w:lang w:val="es-CR"/>
        </w:rPr>
      </w:pPr>
    </w:p>
    <w:p w14:paraId="55B95CB6" w14:textId="0B58C0E1" w:rsidR="001261B0" w:rsidRPr="001261B0" w:rsidRDefault="001261B0" w:rsidP="001261B0">
      <w:pPr>
        <w:pStyle w:val="Default"/>
        <w:spacing w:after="120" w:line="238" w:lineRule="auto"/>
        <w:ind w:left="1134" w:right="260" w:hanging="1134"/>
        <w:jc w:val="both"/>
        <w:rPr>
          <w:sz w:val="22"/>
          <w:szCs w:val="22"/>
          <w:lang w:val="es-CR"/>
        </w:rPr>
      </w:pPr>
      <w:r>
        <w:rPr>
          <w:sz w:val="22"/>
          <w:szCs w:val="22"/>
          <w:lang w:val="es-CR"/>
        </w:rPr>
        <w:t>4.13.0.01</w:t>
      </w:r>
      <w:r>
        <w:rPr>
          <w:sz w:val="22"/>
          <w:szCs w:val="22"/>
          <w:lang w:val="es-CR"/>
        </w:rPr>
        <w:tab/>
      </w:r>
      <w:r w:rsidRPr="001261B0">
        <w:rPr>
          <w:sz w:val="22"/>
          <w:szCs w:val="22"/>
          <w:lang w:val="es-CR"/>
        </w:rPr>
        <w:t>Los recursos por impuestos recibidos con anterioridad a la ocurrencia del hecho imponible se reconocerán como un activo y un pasivo (cobros anticipados) porque el hecho que da lugar a que la entidad tenga derecho a los impuestos no ha ocurrido y los criterios para el reconocimiento del ingreso por impuestos no han sido</w:t>
      </w:r>
      <w:r w:rsidRPr="001261B0">
        <w:rPr>
          <w:sz w:val="23"/>
          <w:szCs w:val="23"/>
          <w:lang w:val="es-CR"/>
        </w:rPr>
        <w:t xml:space="preserve"> satisfechos, a pesar de que la entidad ya haya recibido una entrada de recursos.</w:t>
      </w:r>
    </w:p>
    <w:p w14:paraId="3B8E8840" w14:textId="77777777" w:rsidR="001261B0" w:rsidRDefault="001261B0" w:rsidP="002A638A">
      <w:pPr>
        <w:pStyle w:val="Default"/>
        <w:spacing w:after="120" w:line="238" w:lineRule="auto"/>
        <w:ind w:right="260"/>
        <w:jc w:val="both"/>
        <w:rPr>
          <w:sz w:val="22"/>
          <w:szCs w:val="22"/>
          <w:lang w:val="es-CR"/>
        </w:rPr>
      </w:pPr>
    </w:p>
    <w:p w14:paraId="13EFB11B" w14:textId="77777777" w:rsidR="00466DD9" w:rsidRDefault="00466DD9" w:rsidP="002A638A">
      <w:pPr>
        <w:pStyle w:val="Default"/>
        <w:spacing w:after="120" w:line="238" w:lineRule="auto"/>
        <w:ind w:right="260"/>
        <w:jc w:val="both"/>
        <w:rPr>
          <w:sz w:val="22"/>
          <w:szCs w:val="22"/>
          <w:lang w:val="es-CR"/>
        </w:rPr>
      </w:pPr>
    </w:p>
    <w:p w14:paraId="179CE73F" w14:textId="77777777" w:rsidR="00466DD9" w:rsidRDefault="00466DD9" w:rsidP="002A638A">
      <w:pPr>
        <w:pStyle w:val="Default"/>
        <w:spacing w:after="120" w:line="238" w:lineRule="auto"/>
        <w:ind w:right="260"/>
        <w:jc w:val="both"/>
        <w:rPr>
          <w:sz w:val="22"/>
          <w:szCs w:val="22"/>
          <w:lang w:val="es-CR"/>
        </w:rPr>
      </w:pPr>
    </w:p>
    <w:p w14:paraId="782592D4" w14:textId="77777777" w:rsidR="00466DD9" w:rsidRDefault="00466DD9" w:rsidP="002A638A">
      <w:pPr>
        <w:pStyle w:val="Default"/>
        <w:spacing w:after="120" w:line="238" w:lineRule="auto"/>
        <w:ind w:right="260"/>
        <w:jc w:val="both"/>
        <w:rPr>
          <w:sz w:val="22"/>
          <w:szCs w:val="22"/>
          <w:lang w:val="es-CR"/>
        </w:rPr>
      </w:pPr>
    </w:p>
    <w:p w14:paraId="203C64F4" w14:textId="77777777" w:rsidR="00466DD9" w:rsidRDefault="00466DD9" w:rsidP="002A638A">
      <w:pPr>
        <w:pStyle w:val="Default"/>
        <w:spacing w:after="120" w:line="238" w:lineRule="auto"/>
        <w:ind w:right="260"/>
        <w:jc w:val="both"/>
        <w:rPr>
          <w:sz w:val="22"/>
          <w:szCs w:val="22"/>
          <w:lang w:val="es-CR"/>
        </w:rPr>
      </w:pPr>
    </w:p>
    <w:p w14:paraId="51837813" w14:textId="77777777" w:rsidR="00466DD9" w:rsidRDefault="00466DD9" w:rsidP="002A638A">
      <w:pPr>
        <w:pStyle w:val="Default"/>
        <w:spacing w:after="120" w:line="238" w:lineRule="auto"/>
        <w:ind w:right="260"/>
        <w:jc w:val="both"/>
        <w:rPr>
          <w:sz w:val="22"/>
          <w:szCs w:val="22"/>
          <w:lang w:val="es-CR"/>
        </w:rPr>
      </w:pPr>
    </w:p>
    <w:p w14:paraId="5A682039" w14:textId="77777777" w:rsidR="00466DD9" w:rsidRDefault="00466DD9" w:rsidP="002A638A">
      <w:pPr>
        <w:pStyle w:val="Default"/>
        <w:spacing w:after="120" w:line="238" w:lineRule="auto"/>
        <w:ind w:right="260"/>
        <w:jc w:val="both"/>
        <w:rPr>
          <w:sz w:val="22"/>
          <w:szCs w:val="22"/>
          <w:lang w:val="es-CR"/>
        </w:rPr>
      </w:pPr>
    </w:p>
    <w:tbl>
      <w:tblPr>
        <w:tblW w:w="9424" w:type="dxa"/>
        <w:tblLook w:val="04A0" w:firstRow="1" w:lastRow="0" w:firstColumn="1" w:lastColumn="0" w:noHBand="0" w:noVBand="1"/>
      </w:tblPr>
      <w:tblGrid>
        <w:gridCol w:w="533"/>
        <w:gridCol w:w="637"/>
        <w:gridCol w:w="515"/>
        <w:gridCol w:w="6"/>
        <w:gridCol w:w="3689"/>
        <w:gridCol w:w="6"/>
        <w:gridCol w:w="2146"/>
        <w:gridCol w:w="6"/>
        <w:gridCol w:w="1871"/>
        <w:gridCol w:w="6"/>
        <w:gridCol w:w="9"/>
      </w:tblGrid>
      <w:tr w:rsidR="00FE22FB" w:rsidRPr="00727CD8" w14:paraId="2D554DF8" w14:textId="77777777" w:rsidTr="00466DD9">
        <w:trPr>
          <w:trHeight w:val="320"/>
        </w:trPr>
        <w:tc>
          <w:tcPr>
            <w:tcW w:w="1647"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7817FA4D" w14:textId="77777777" w:rsidR="00FE22FB" w:rsidRPr="00727CD8" w:rsidRDefault="00FE22FB" w:rsidP="00FE22FB">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lastRenderedPageBreak/>
              <w:t>Norma / Política</w:t>
            </w:r>
          </w:p>
        </w:tc>
        <w:tc>
          <w:tcPr>
            <w:tcW w:w="372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AEA520F" w14:textId="77777777" w:rsidR="00FE22FB" w:rsidRPr="00727CD8" w:rsidRDefault="00FE22FB" w:rsidP="00FE22FB">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Concepto</w:t>
            </w:r>
          </w:p>
        </w:tc>
        <w:tc>
          <w:tcPr>
            <w:tcW w:w="4056" w:type="dxa"/>
            <w:gridSpan w:val="5"/>
            <w:tcBorders>
              <w:top w:val="single" w:sz="8" w:space="0" w:color="auto"/>
              <w:left w:val="nil"/>
              <w:bottom w:val="single" w:sz="8" w:space="0" w:color="auto"/>
              <w:right w:val="single" w:sz="8" w:space="0" w:color="000000"/>
            </w:tcBorders>
            <w:shd w:val="clear" w:color="000000" w:fill="203764"/>
            <w:vAlign w:val="center"/>
            <w:hideMark/>
          </w:tcPr>
          <w:p w14:paraId="1A5AED7B" w14:textId="77777777" w:rsidR="00FE22FB" w:rsidRPr="00727CD8" w:rsidRDefault="00FE22FB" w:rsidP="00FE22FB">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Referencia</w:t>
            </w:r>
          </w:p>
        </w:tc>
      </w:tr>
      <w:tr w:rsidR="00FE22FB" w:rsidRPr="006E5442" w14:paraId="07D76F7B" w14:textId="77777777" w:rsidTr="00466DD9">
        <w:trPr>
          <w:gridAfter w:val="1"/>
          <w:wAfter w:w="9" w:type="dxa"/>
          <w:trHeight w:val="850"/>
        </w:trPr>
        <w:tc>
          <w:tcPr>
            <w:tcW w:w="1647" w:type="dxa"/>
            <w:gridSpan w:val="4"/>
            <w:vMerge/>
            <w:tcBorders>
              <w:top w:val="single" w:sz="8" w:space="0" w:color="auto"/>
              <w:left w:val="single" w:sz="8" w:space="0" w:color="auto"/>
              <w:bottom w:val="nil"/>
              <w:right w:val="single" w:sz="8" w:space="0" w:color="000000"/>
            </w:tcBorders>
            <w:vAlign w:val="center"/>
            <w:hideMark/>
          </w:tcPr>
          <w:p w14:paraId="3C9CE51B" w14:textId="77777777" w:rsidR="00FE22FB" w:rsidRPr="00727CD8" w:rsidRDefault="00FE22FB" w:rsidP="00FE22FB">
            <w:pPr>
              <w:rPr>
                <w:rFonts w:ascii="Arial Narrow" w:eastAsia="Times New Roman" w:hAnsi="Arial Narrow" w:cs="Calibri"/>
                <w:b/>
                <w:bCs/>
                <w:color w:val="FFFFFF"/>
                <w:sz w:val="22"/>
                <w:szCs w:val="22"/>
              </w:rPr>
            </w:pPr>
          </w:p>
        </w:tc>
        <w:tc>
          <w:tcPr>
            <w:tcW w:w="3721" w:type="dxa"/>
            <w:gridSpan w:val="2"/>
            <w:vMerge/>
            <w:tcBorders>
              <w:top w:val="single" w:sz="8" w:space="0" w:color="auto"/>
              <w:left w:val="single" w:sz="8" w:space="0" w:color="auto"/>
              <w:bottom w:val="nil"/>
              <w:right w:val="single" w:sz="8" w:space="0" w:color="auto"/>
            </w:tcBorders>
            <w:vAlign w:val="center"/>
            <w:hideMark/>
          </w:tcPr>
          <w:p w14:paraId="6A0E179F" w14:textId="77777777" w:rsidR="00FE22FB" w:rsidRPr="00727CD8" w:rsidRDefault="00FE22FB" w:rsidP="00FE22FB">
            <w:pPr>
              <w:rPr>
                <w:rFonts w:ascii="Arial Narrow" w:eastAsia="Times New Roman" w:hAnsi="Arial Narrow" w:cs="Calibri"/>
                <w:b/>
                <w:bCs/>
                <w:color w:val="FFFFFF"/>
                <w:sz w:val="22"/>
                <w:szCs w:val="22"/>
              </w:rPr>
            </w:pPr>
          </w:p>
        </w:tc>
        <w:tc>
          <w:tcPr>
            <w:tcW w:w="2165" w:type="dxa"/>
            <w:gridSpan w:val="2"/>
            <w:tcBorders>
              <w:top w:val="nil"/>
              <w:left w:val="nil"/>
              <w:bottom w:val="nil"/>
              <w:right w:val="single" w:sz="8" w:space="0" w:color="auto"/>
            </w:tcBorders>
            <w:shd w:val="clear" w:color="000000" w:fill="203764"/>
            <w:vAlign w:val="center"/>
            <w:hideMark/>
          </w:tcPr>
          <w:p w14:paraId="39AD0E4C" w14:textId="77777777" w:rsidR="00FE22FB" w:rsidRPr="00727CD8" w:rsidRDefault="00FE22FB" w:rsidP="00FE22FB">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Norma</w:t>
            </w:r>
          </w:p>
        </w:tc>
        <w:tc>
          <w:tcPr>
            <w:tcW w:w="1882" w:type="dxa"/>
            <w:gridSpan w:val="2"/>
            <w:tcBorders>
              <w:top w:val="nil"/>
              <w:left w:val="nil"/>
              <w:bottom w:val="nil"/>
              <w:right w:val="single" w:sz="8" w:space="0" w:color="auto"/>
            </w:tcBorders>
            <w:shd w:val="clear" w:color="000000" w:fill="203764"/>
            <w:vAlign w:val="center"/>
            <w:hideMark/>
          </w:tcPr>
          <w:p w14:paraId="3F0A43CA" w14:textId="77777777" w:rsidR="00FE22FB" w:rsidRPr="00727CD8" w:rsidRDefault="00FE22FB" w:rsidP="00FE22FB">
            <w:pPr>
              <w:jc w:val="center"/>
              <w:rPr>
                <w:rFonts w:ascii="Arial Narrow" w:eastAsia="Times New Roman" w:hAnsi="Arial Narrow" w:cs="Calibri"/>
                <w:b/>
                <w:bCs/>
                <w:color w:val="FFFFFF"/>
                <w:sz w:val="22"/>
                <w:szCs w:val="22"/>
                <w:lang w:val="es-CR"/>
              </w:rPr>
            </w:pPr>
            <w:r w:rsidRPr="00727CD8">
              <w:rPr>
                <w:rFonts w:ascii="Arial Narrow" w:eastAsia="Times New Roman" w:hAnsi="Arial Narrow" w:cs="Calibri"/>
                <w:b/>
                <w:bCs/>
                <w:color w:val="FFFFFF"/>
                <w:sz w:val="22"/>
                <w:szCs w:val="22"/>
                <w:lang w:val="es-CR"/>
              </w:rPr>
              <w:t>Normativa técnica y disposiciones adicionales</w:t>
            </w:r>
          </w:p>
        </w:tc>
      </w:tr>
      <w:tr w:rsidR="00FE22FB" w:rsidRPr="006E5442" w14:paraId="5CB6835F" w14:textId="77777777" w:rsidTr="00466DD9">
        <w:trPr>
          <w:gridAfter w:val="2"/>
          <w:wAfter w:w="15" w:type="dxa"/>
          <w:trHeight w:val="606"/>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DC8604" w14:textId="77777777" w:rsidR="00FE22FB" w:rsidRPr="00727CD8" w:rsidRDefault="00FE22FB" w:rsidP="00FE22FB">
            <w:pPr>
              <w:jc w:val="right"/>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4</w:t>
            </w:r>
          </w:p>
        </w:tc>
        <w:tc>
          <w:tcPr>
            <w:tcW w:w="588" w:type="dxa"/>
            <w:tcBorders>
              <w:top w:val="single" w:sz="8" w:space="0" w:color="auto"/>
              <w:left w:val="nil"/>
              <w:bottom w:val="single" w:sz="8" w:space="0" w:color="auto"/>
              <w:right w:val="single" w:sz="8" w:space="0" w:color="auto"/>
            </w:tcBorders>
            <w:shd w:val="clear" w:color="auto" w:fill="auto"/>
            <w:vAlign w:val="center"/>
            <w:hideMark/>
          </w:tcPr>
          <w:p w14:paraId="1D0E3A78" w14:textId="77777777" w:rsidR="00FE22FB" w:rsidRPr="00727CD8" w:rsidRDefault="00FE22FB" w:rsidP="00FE22FB">
            <w:pPr>
              <w:ind w:firstLineChars="100" w:firstLine="220"/>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14</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45E5E08A" w14:textId="1DAA65A2" w:rsidR="00FE22FB" w:rsidRPr="00727CD8" w:rsidRDefault="00FE22FB" w:rsidP="00FE22FB">
            <w:pPr>
              <w:jc w:val="center"/>
              <w:rPr>
                <w:rFonts w:ascii="Arial Narrow" w:eastAsia="Times New Roman" w:hAnsi="Arial Narrow" w:cs="Calibri"/>
                <w:b/>
                <w:bCs/>
                <w:color w:val="000000"/>
                <w:sz w:val="22"/>
                <w:szCs w:val="22"/>
              </w:rPr>
            </w:pPr>
          </w:p>
        </w:tc>
        <w:tc>
          <w:tcPr>
            <w:tcW w:w="3721" w:type="dxa"/>
            <w:gridSpan w:val="2"/>
            <w:tcBorders>
              <w:top w:val="single" w:sz="8" w:space="0" w:color="auto"/>
              <w:left w:val="nil"/>
              <w:bottom w:val="single" w:sz="8" w:space="0" w:color="auto"/>
              <w:right w:val="single" w:sz="8" w:space="0" w:color="auto"/>
            </w:tcBorders>
            <w:shd w:val="clear" w:color="auto" w:fill="auto"/>
            <w:vAlign w:val="center"/>
            <w:hideMark/>
          </w:tcPr>
          <w:p w14:paraId="1EE3EAE5" w14:textId="2723CE08" w:rsidR="00FE22FB" w:rsidRPr="00727CD8" w:rsidRDefault="00FE22FB" w:rsidP="00FE22FB">
            <w:pPr>
              <w:rPr>
                <w:rFonts w:ascii="Arial Narrow" w:eastAsia="Times New Roman" w:hAnsi="Arial Narrow"/>
                <w:b/>
                <w:bCs/>
                <w:color w:val="000000"/>
                <w:sz w:val="22"/>
                <w:szCs w:val="22"/>
                <w:lang w:val="es-CR"/>
              </w:rPr>
            </w:pPr>
            <w:r w:rsidRPr="00727CD8">
              <w:rPr>
                <w:rFonts w:ascii="Arial Narrow" w:eastAsia="Times New Roman" w:hAnsi="Arial Narrow"/>
                <w:b/>
                <w:bCs/>
                <w:color w:val="000000"/>
                <w:sz w:val="22"/>
                <w:szCs w:val="22"/>
                <w:lang w:val="es-CR"/>
              </w:rPr>
              <w:t xml:space="preserve">Gastos pagados a través del sistema impositivo y </w:t>
            </w:r>
            <w:r w:rsidR="005907B3" w:rsidRPr="00727CD8">
              <w:rPr>
                <w:rFonts w:ascii="Arial Narrow" w:eastAsia="Times New Roman" w:hAnsi="Arial Narrow"/>
                <w:b/>
                <w:bCs/>
                <w:color w:val="000000"/>
                <w:sz w:val="22"/>
                <w:szCs w:val="22"/>
                <w:lang w:val="es-CR"/>
              </w:rPr>
              <w:t>dese</w:t>
            </w:r>
            <w:r w:rsidR="005907B3">
              <w:rPr>
                <w:rFonts w:ascii="Arial Narrow" w:eastAsia="Times New Roman" w:hAnsi="Arial Narrow"/>
                <w:b/>
                <w:bCs/>
                <w:color w:val="000000"/>
                <w:sz w:val="22"/>
                <w:szCs w:val="22"/>
                <w:lang w:val="es-CR"/>
              </w:rPr>
              <w:t>mbo</w:t>
            </w:r>
            <w:r w:rsidR="005907B3" w:rsidRPr="00727CD8">
              <w:rPr>
                <w:rFonts w:ascii="Arial Narrow" w:eastAsia="Times New Roman" w:hAnsi="Arial Narrow"/>
                <w:b/>
                <w:bCs/>
                <w:color w:val="000000"/>
                <w:sz w:val="22"/>
                <w:szCs w:val="22"/>
                <w:lang w:val="es-CR"/>
              </w:rPr>
              <w:t>lsos</w:t>
            </w:r>
            <w:r w:rsidRPr="00727CD8">
              <w:rPr>
                <w:rFonts w:ascii="Arial Narrow" w:eastAsia="Times New Roman" w:hAnsi="Arial Narrow"/>
                <w:b/>
                <w:bCs/>
                <w:color w:val="000000"/>
                <w:sz w:val="22"/>
                <w:szCs w:val="22"/>
                <w:lang w:val="es-CR"/>
              </w:rPr>
              <w:t xml:space="preserve"> por impuestos</w:t>
            </w:r>
          </w:p>
        </w:tc>
        <w:tc>
          <w:tcPr>
            <w:tcW w:w="2165" w:type="dxa"/>
            <w:gridSpan w:val="2"/>
            <w:tcBorders>
              <w:top w:val="single" w:sz="8" w:space="0" w:color="auto"/>
              <w:left w:val="nil"/>
              <w:bottom w:val="single" w:sz="8" w:space="0" w:color="auto"/>
              <w:right w:val="single" w:sz="8" w:space="0" w:color="auto"/>
            </w:tcBorders>
            <w:shd w:val="clear" w:color="auto" w:fill="auto"/>
            <w:vAlign w:val="center"/>
            <w:hideMark/>
          </w:tcPr>
          <w:p w14:paraId="28B72816" w14:textId="77777777" w:rsidR="00FE22FB" w:rsidRPr="00727CD8" w:rsidRDefault="00FE22FB" w:rsidP="00FE22FB">
            <w:pPr>
              <w:rPr>
                <w:rFonts w:ascii="Arial Narrow" w:eastAsia="Times New Roman" w:hAnsi="Arial Narrow" w:cs="Calibri"/>
                <w:b/>
                <w:bCs/>
                <w:color w:val="000000"/>
                <w:sz w:val="22"/>
                <w:szCs w:val="22"/>
                <w:lang w:val="es-CR"/>
              </w:rPr>
            </w:pPr>
            <w:r w:rsidRPr="00727CD8">
              <w:rPr>
                <w:rFonts w:ascii="Arial Narrow" w:eastAsia="Times New Roman" w:hAnsi="Arial Narrow" w:cs="Calibri"/>
                <w:b/>
                <w:bCs/>
                <w:color w:val="000000"/>
                <w:sz w:val="22"/>
                <w:szCs w:val="22"/>
                <w:lang w:val="es-CR"/>
              </w:rPr>
              <w:t>NICSP N° 23,</w:t>
            </w:r>
            <w:r w:rsidRPr="00727CD8">
              <w:rPr>
                <w:rFonts w:ascii="Arial Narrow" w:eastAsia="Times New Roman" w:hAnsi="Arial Narrow" w:cs="Calibri"/>
                <w:b/>
                <w:bCs/>
                <w:color w:val="000000"/>
                <w:sz w:val="22"/>
                <w:szCs w:val="22"/>
                <w:lang w:val="es-CR"/>
              </w:rPr>
              <w:br/>
              <w:t>Párrafos 71 a 73 y 75.</w:t>
            </w:r>
          </w:p>
        </w:tc>
        <w:tc>
          <w:tcPr>
            <w:tcW w:w="1882" w:type="dxa"/>
            <w:gridSpan w:val="2"/>
            <w:tcBorders>
              <w:top w:val="single" w:sz="8" w:space="0" w:color="auto"/>
              <w:left w:val="nil"/>
              <w:bottom w:val="single" w:sz="8" w:space="0" w:color="auto"/>
              <w:right w:val="single" w:sz="8" w:space="0" w:color="auto"/>
            </w:tcBorders>
            <w:shd w:val="clear" w:color="auto" w:fill="auto"/>
            <w:vAlign w:val="center"/>
            <w:hideMark/>
          </w:tcPr>
          <w:p w14:paraId="1589A61E" w14:textId="77777777" w:rsidR="00FE22FB" w:rsidRPr="00727CD8" w:rsidRDefault="00FE22FB" w:rsidP="00FE22FB">
            <w:pPr>
              <w:jc w:val="center"/>
              <w:rPr>
                <w:rFonts w:ascii="Arial Narrow" w:eastAsia="Times New Roman" w:hAnsi="Arial Narrow" w:cs="Calibri"/>
                <w:b/>
                <w:bCs/>
                <w:color w:val="000000"/>
                <w:sz w:val="22"/>
                <w:szCs w:val="22"/>
                <w:lang w:val="es-CR"/>
              </w:rPr>
            </w:pPr>
            <w:r w:rsidRPr="00727CD8">
              <w:rPr>
                <w:rFonts w:ascii="Arial Narrow" w:eastAsia="Times New Roman" w:hAnsi="Arial Narrow" w:cs="Calibri"/>
                <w:b/>
                <w:bCs/>
                <w:color w:val="000000"/>
                <w:sz w:val="22"/>
                <w:szCs w:val="22"/>
                <w:lang w:val="es-CR"/>
              </w:rPr>
              <w:t xml:space="preserve"> </w:t>
            </w:r>
          </w:p>
        </w:tc>
      </w:tr>
      <w:tr w:rsidR="00FE22FB" w:rsidRPr="00727CD8" w14:paraId="10F95A35" w14:textId="77777777" w:rsidTr="00466DD9">
        <w:trPr>
          <w:gridAfter w:val="2"/>
          <w:wAfter w:w="15" w:type="dxa"/>
          <w:trHeight w:val="391"/>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60DAAF5F" w14:textId="77777777" w:rsidR="00FE22FB" w:rsidRPr="00727CD8" w:rsidRDefault="00FE22FB" w:rsidP="00FE22FB">
            <w:pPr>
              <w:jc w:val="right"/>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4</w:t>
            </w:r>
          </w:p>
        </w:tc>
        <w:tc>
          <w:tcPr>
            <w:tcW w:w="588" w:type="dxa"/>
            <w:tcBorders>
              <w:top w:val="nil"/>
              <w:left w:val="nil"/>
              <w:bottom w:val="single" w:sz="8" w:space="0" w:color="auto"/>
              <w:right w:val="single" w:sz="8" w:space="0" w:color="auto"/>
            </w:tcBorders>
            <w:shd w:val="clear" w:color="auto" w:fill="auto"/>
            <w:vAlign w:val="center"/>
            <w:hideMark/>
          </w:tcPr>
          <w:p w14:paraId="4086C3E0" w14:textId="77777777" w:rsidR="00FE22FB" w:rsidRPr="00727CD8" w:rsidRDefault="00FE22FB" w:rsidP="00FE22FB">
            <w:pPr>
              <w:ind w:firstLineChars="100" w:firstLine="220"/>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14</w:t>
            </w:r>
          </w:p>
        </w:tc>
        <w:tc>
          <w:tcPr>
            <w:tcW w:w="517" w:type="dxa"/>
            <w:tcBorders>
              <w:top w:val="nil"/>
              <w:left w:val="nil"/>
              <w:bottom w:val="single" w:sz="8" w:space="0" w:color="auto"/>
              <w:right w:val="nil"/>
            </w:tcBorders>
            <w:shd w:val="clear" w:color="auto" w:fill="auto"/>
            <w:vAlign w:val="center"/>
            <w:hideMark/>
          </w:tcPr>
          <w:p w14:paraId="0D154597" w14:textId="77777777" w:rsidR="00FE22FB" w:rsidRPr="00727CD8" w:rsidRDefault="00FE22FB" w:rsidP="00FE22FB">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1</w:t>
            </w:r>
          </w:p>
        </w:tc>
        <w:tc>
          <w:tcPr>
            <w:tcW w:w="3721" w:type="dxa"/>
            <w:gridSpan w:val="2"/>
            <w:tcBorders>
              <w:top w:val="nil"/>
              <w:left w:val="single" w:sz="8" w:space="0" w:color="auto"/>
              <w:bottom w:val="single" w:sz="8" w:space="0" w:color="auto"/>
              <w:right w:val="single" w:sz="8" w:space="0" w:color="auto"/>
            </w:tcBorders>
            <w:shd w:val="clear" w:color="auto" w:fill="auto"/>
            <w:vAlign w:val="center"/>
            <w:hideMark/>
          </w:tcPr>
          <w:p w14:paraId="041B63D6" w14:textId="77777777" w:rsidR="00FE22FB" w:rsidRPr="00727CD8" w:rsidRDefault="00FE22FB" w:rsidP="00FE22FB">
            <w:pP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Diferencia</w:t>
            </w:r>
          </w:p>
        </w:tc>
        <w:tc>
          <w:tcPr>
            <w:tcW w:w="2165" w:type="dxa"/>
            <w:gridSpan w:val="2"/>
            <w:tcBorders>
              <w:top w:val="nil"/>
              <w:left w:val="nil"/>
              <w:bottom w:val="single" w:sz="8" w:space="0" w:color="auto"/>
              <w:right w:val="single" w:sz="8" w:space="0" w:color="auto"/>
            </w:tcBorders>
            <w:shd w:val="clear" w:color="auto" w:fill="auto"/>
            <w:vAlign w:val="center"/>
            <w:hideMark/>
          </w:tcPr>
          <w:p w14:paraId="29D1C224" w14:textId="77777777" w:rsidR="00FE22FB" w:rsidRPr="00727CD8" w:rsidRDefault="00FE22FB" w:rsidP="00FE22FB">
            <w:pP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NICSP N° 23,</w:t>
            </w:r>
            <w:r w:rsidRPr="00727CD8">
              <w:rPr>
                <w:rFonts w:ascii="Arial Narrow" w:eastAsia="Times New Roman" w:hAnsi="Arial Narrow" w:cs="Calibri"/>
                <w:b/>
                <w:bCs/>
                <w:color w:val="000000"/>
                <w:sz w:val="22"/>
                <w:szCs w:val="22"/>
              </w:rPr>
              <w:br/>
              <w:t>Párrafo 75.</w:t>
            </w:r>
          </w:p>
        </w:tc>
        <w:tc>
          <w:tcPr>
            <w:tcW w:w="1882" w:type="dxa"/>
            <w:gridSpan w:val="2"/>
            <w:tcBorders>
              <w:top w:val="nil"/>
              <w:left w:val="nil"/>
              <w:bottom w:val="single" w:sz="8" w:space="0" w:color="auto"/>
              <w:right w:val="single" w:sz="8" w:space="0" w:color="auto"/>
            </w:tcBorders>
            <w:shd w:val="clear" w:color="auto" w:fill="auto"/>
            <w:vAlign w:val="center"/>
            <w:hideMark/>
          </w:tcPr>
          <w:p w14:paraId="6F1197CC" w14:textId="77777777" w:rsidR="00FE22FB" w:rsidRPr="00727CD8" w:rsidRDefault="00FE22FB" w:rsidP="00FE22FB">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DGCN</w:t>
            </w:r>
          </w:p>
        </w:tc>
      </w:tr>
    </w:tbl>
    <w:p w14:paraId="3BA480A8" w14:textId="77777777" w:rsidR="001261B0" w:rsidRDefault="001261B0" w:rsidP="00466DD9">
      <w:pPr>
        <w:pStyle w:val="Default"/>
        <w:ind w:right="261"/>
        <w:jc w:val="both"/>
        <w:rPr>
          <w:sz w:val="22"/>
          <w:szCs w:val="22"/>
          <w:lang w:val="es-CR"/>
        </w:rPr>
      </w:pPr>
    </w:p>
    <w:p w14:paraId="497B7B1E" w14:textId="212F03B2" w:rsidR="00466DD9" w:rsidRDefault="00466DD9" w:rsidP="00466DD9">
      <w:pPr>
        <w:pStyle w:val="Default"/>
        <w:ind w:right="261"/>
        <w:jc w:val="both"/>
        <w:rPr>
          <w:rFonts w:eastAsia="Arial"/>
          <w:b/>
          <w:sz w:val="22"/>
          <w:szCs w:val="22"/>
        </w:rPr>
      </w:pPr>
      <w:r w:rsidRPr="00F02F9D">
        <w:rPr>
          <w:rFonts w:eastAsia="Arial"/>
          <w:b/>
          <w:sz w:val="22"/>
          <w:szCs w:val="22"/>
        </w:rPr>
        <w:t>Políticas Contables</w:t>
      </w:r>
    </w:p>
    <w:p w14:paraId="538A58FA" w14:textId="77777777" w:rsidR="00466DD9" w:rsidRDefault="00466DD9" w:rsidP="00466DD9">
      <w:pPr>
        <w:pStyle w:val="Default"/>
        <w:ind w:right="261"/>
        <w:jc w:val="both"/>
        <w:rPr>
          <w:sz w:val="22"/>
          <w:szCs w:val="22"/>
          <w:lang w:val="es-CR"/>
        </w:rPr>
      </w:pPr>
    </w:p>
    <w:p w14:paraId="27C343A4" w14:textId="3A7CB7E9" w:rsidR="00FE22FB" w:rsidRDefault="00FE22FB" w:rsidP="00FE22FB">
      <w:pPr>
        <w:pStyle w:val="Default"/>
        <w:ind w:left="1134" w:hanging="1134"/>
        <w:jc w:val="both"/>
        <w:rPr>
          <w:sz w:val="22"/>
          <w:szCs w:val="22"/>
          <w:lang w:val="es-CR"/>
        </w:rPr>
      </w:pPr>
      <w:r>
        <w:rPr>
          <w:sz w:val="22"/>
          <w:szCs w:val="22"/>
          <w:lang w:val="es-CR"/>
        </w:rPr>
        <w:t>4.14.0.01</w:t>
      </w:r>
      <w:r>
        <w:rPr>
          <w:sz w:val="22"/>
          <w:szCs w:val="22"/>
          <w:lang w:val="es-CR"/>
        </w:rPr>
        <w:tab/>
      </w:r>
      <w:r w:rsidRPr="00FE22FB">
        <w:rPr>
          <w:sz w:val="22"/>
          <w:szCs w:val="22"/>
          <w:lang w:val="es-CR"/>
        </w:rPr>
        <w:t xml:space="preserve">Los ingresos por impuestos deberán determinarse en términos brutos, sin reducción alguna por los gastos pagados a través del sistema impositivo, es decir, que los ingresos por impuestos deberán incrementarse en la medida de los gastos pagados a través del sistema impositivo. Así, los ingresos por impuestos y los gastos pagados a través del sistema impositivo deberán reconocerse en forma separada en el ERF, no estando permitida la compensación entre </w:t>
      </w:r>
      <w:r w:rsidR="005907B3" w:rsidRPr="00FE22FB">
        <w:rPr>
          <w:sz w:val="22"/>
          <w:szCs w:val="22"/>
          <w:lang w:val="es-CR"/>
        </w:rPr>
        <w:t>a</w:t>
      </w:r>
      <w:r w:rsidR="005907B3">
        <w:rPr>
          <w:sz w:val="22"/>
          <w:szCs w:val="22"/>
          <w:lang w:val="es-CR"/>
        </w:rPr>
        <w:t>mbo</w:t>
      </w:r>
      <w:r w:rsidR="005907B3" w:rsidRPr="00FE22FB">
        <w:rPr>
          <w:sz w:val="22"/>
          <w:szCs w:val="22"/>
          <w:lang w:val="es-CR"/>
        </w:rPr>
        <w:t>s</w:t>
      </w:r>
      <w:r w:rsidRPr="00FE22FB">
        <w:rPr>
          <w:sz w:val="22"/>
          <w:szCs w:val="22"/>
          <w:lang w:val="es-CR"/>
        </w:rPr>
        <w:t xml:space="preserve"> conceptos.</w:t>
      </w:r>
    </w:p>
    <w:p w14:paraId="5F19177A" w14:textId="267669BD" w:rsidR="00FE22FB" w:rsidRPr="00FE22FB" w:rsidRDefault="00FE22FB" w:rsidP="00FE22FB">
      <w:pPr>
        <w:pStyle w:val="Default"/>
        <w:ind w:left="1134" w:hanging="1134"/>
        <w:jc w:val="both"/>
        <w:rPr>
          <w:sz w:val="22"/>
          <w:szCs w:val="22"/>
          <w:lang w:val="es-CR"/>
        </w:rPr>
      </w:pPr>
      <w:r w:rsidRPr="00FE22FB">
        <w:rPr>
          <w:sz w:val="22"/>
          <w:szCs w:val="22"/>
          <w:lang w:val="es-CR"/>
        </w:rPr>
        <w:t xml:space="preserve"> </w:t>
      </w:r>
    </w:p>
    <w:p w14:paraId="60A68CF8" w14:textId="5E63F969" w:rsidR="00FE22FB" w:rsidRPr="00FE22FB" w:rsidRDefault="00FE22FB" w:rsidP="00FE22FB">
      <w:pPr>
        <w:pStyle w:val="Default"/>
        <w:ind w:left="1134" w:hanging="1134"/>
        <w:jc w:val="both"/>
        <w:rPr>
          <w:sz w:val="22"/>
          <w:szCs w:val="22"/>
          <w:lang w:val="es-CR"/>
        </w:rPr>
      </w:pPr>
      <w:r>
        <w:rPr>
          <w:sz w:val="22"/>
          <w:szCs w:val="22"/>
          <w:lang w:val="es-CR"/>
        </w:rPr>
        <w:t>4.14.0.02</w:t>
      </w:r>
      <w:r>
        <w:rPr>
          <w:sz w:val="22"/>
          <w:szCs w:val="22"/>
          <w:lang w:val="es-CR"/>
        </w:rPr>
        <w:tab/>
      </w:r>
      <w:r w:rsidRPr="00FE22FB">
        <w:rPr>
          <w:sz w:val="22"/>
          <w:szCs w:val="22"/>
          <w:lang w:val="es-CR"/>
        </w:rPr>
        <w:t xml:space="preserve">En </w:t>
      </w:r>
      <w:r w:rsidR="005907B3" w:rsidRPr="00FE22FB">
        <w:rPr>
          <w:sz w:val="22"/>
          <w:szCs w:val="22"/>
          <w:lang w:val="es-CR"/>
        </w:rPr>
        <w:t>ca</w:t>
      </w:r>
      <w:r w:rsidR="005907B3">
        <w:rPr>
          <w:sz w:val="22"/>
          <w:szCs w:val="22"/>
          <w:lang w:val="es-CR"/>
        </w:rPr>
        <w:t>mbi</w:t>
      </w:r>
      <w:r w:rsidR="005907B3" w:rsidRPr="00FE22FB">
        <w:rPr>
          <w:sz w:val="22"/>
          <w:szCs w:val="22"/>
          <w:lang w:val="es-CR"/>
        </w:rPr>
        <w:t>o</w:t>
      </w:r>
      <w:r w:rsidRPr="00FE22FB">
        <w:rPr>
          <w:sz w:val="22"/>
          <w:szCs w:val="22"/>
          <w:lang w:val="es-CR"/>
        </w:rPr>
        <w:t xml:space="preserve">, los ingresos por impuestos no se incrementarán por el importe de los </w:t>
      </w:r>
      <w:r w:rsidR="005907B3" w:rsidRPr="00FE22FB">
        <w:rPr>
          <w:sz w:val="22"/>
          <w:szCs w:val="22"/>
          <w:lang w:val="es-CR"/>
        </w:rPr>
        <w:t>dese</w:t>
      </w:r>
      <w:r w:rsidR="005907B3">
        <w:rPr>
          <w:sz w:val="22"/>
          <w:szCs w:val="22"/>
          <w:lang w:val="es-CR"/>
        </w:rPr>
        <w:t>mbo</w:t>
      </w:r>
      <w:r w:rsidR="005907B3" w:rsidRPr="00FE22FB">
        <w:rPr>
          <w:sz w:val="22"/>
          <w:szCs w:val="22"/>
          <w:lang w:val="es-CR"/>
        </w:rPr>
        <w:t>lsos</w:t>
      </w:r>
      <w:r w:rsidRPr="00FE22FB">
        <w:rPr>
          <w:sz w:val="22"/>
          <w:szCs w:val="22"/>
          <w:lang w:val="es-CR"/>
        </w:rPr>
        <w:t xml:space="preserve"> por impuestos o desgravaciones, ya que constituyen ingresos a los cuales se ha renunciado a través de la legislación. </w:t>
      </w:r>
    </w:p>
    <w:p w14:paraId="707AE447" w14:textId="284D6231" w:rsidR="00FE22FB" w:rsidRPr="00FE22FB" w:rsidRDefault="00FE22FB" w:rsidP="00FE22FB">
      <w:pPr>
        <w:pStyle w:val="Default"/>
        <w:jc w:val="both"/>
        <w:rPr>
          <w:sz w:val="22"/>
          <w:szCs w:val="22"/>
          <w:lang w:val="es-CR"/>
        </w:rPr>
      </w:pPr>
      <w:r w:rsidRPr="00FE22FB">
        <w:rPr>
          <w:b/>
          <w:bCs/>
          <w:sz w:val="22"/>
          <w:szCs w:val="22"/>
          <w:lang w:val="es-CR"/>
        </w:rPr>
        <w:t xml:space="preserve"> </w:t>
      </w:r>
    </w:p>
    <w:p w14:paraId="1A27E9A2" w14:textId="4E1605A3" w:rsidR="001261B0" w:rsidRDefault="00FE22FB" w:rsidP="00466DD9">
      <w:pPr>
        <w:pStyle w:val="Default"/>
        <w:spacing w:after="120" w:line="238" w:lineRule="auto"/>
        <w:ind w:left="1134" w:right="26" w:hanging="1134"/>
        <w:jc w:val="both"/>
        <w:rPr>
          <w:sz w:val="22"/>
          <w:szCs w:val="22"/>
          <w:lang w:val="es-CR"/>
        </w:rPr>
      </w:pPr>
      <w:r>
        <w:rPr>
          <w:sz w:val="22"/>
          <w:szCs w:val="22"/>
          <w:lang w:val="es-CR"/>
        </w:rPr>
        <w:t>4.</w:t>
      </w:r>
      <w:r w:rsidRPr="00FE22FB">
        <w:rPr>
          <w:sz w:val="22"/>
          <w:szCs w:val="22"/>
          <w:lang w:val="es-CR"/>
        </w:rPr>
        <w:t>1</w:t>
      </w:r>
      <w:r>
        <w:rPr>
          <w:sz w:val="22"/>
          <w:szCs w:val="22"/>
          <w:lang w:val="es-CR"/>
        </w:rPr>
        <w:t>4</w:t>
      </w:r>
      <w:r w:rsidRPr="00FE22FB">
        <w:rPr>
          <w:sz w:val="22"/>
          <w:szCs w:val="22"/>
          <w:lang w:val="es-CR"/>
        </w:rPr>
        <w:t>.</w:t>
      </w:r>
      <w:r>
        <w:rPr>
          <w:sz w:val="22"/>
          <w:szCs w:val="22"/>
          <w:lang w:val="es-CR"/>
        </w:rPr>
        <w:t>1.01</w:t>
      </w:r>
      <w:r>
        <w:rPr>
          <w:sz w:val="22"/>
          <w:szCs w:val="22"/>
          <w:lang w:val="es-CR"/>
        </w:rPr>
        <w:tab/>
      </w:r>
      <w:r w:rsidRPr="00FE22FB">
        <w:rPr>
          <w:sz w:val="22"/>
          <w:szCs w:val="22"/>
          <w:lang w:val="es-CR"/>
        </w:rPr>
        <w:t xml:space="preserve">La distinción clave entre los gastos pagados a través del sistema impositivo y los </w:t>
      </w:r>
      <w:r w:rsidR="005907B3" w:rsidRPr="00FE22FB">
        <w:rPr>
          <w:sz w:val="22"/>
          <w:szCs w:val="22"/>
          <w:lang w:val="es-CR"/>
        </w:rPr>
        <w:t>dese</w:t>
      </w:r>
      <w:r w:rsidR="005907B3">
        <w:rPr>
          <w:sz w:val="22"/>
          <w:szCs w:val="22"/>
          <w:lang w:val="es-CR"/>
        </w:rPr>
        <w:t>mbo</w:t>
      </w:r>
      <w:r w:rsidR="005907B3" w:rsidRPr="00FE22FB">
        <w:rPr>
          <w:sz w:val="22"/>
          <w:szCs w:val="22"/>
          <w:lang w:val="es-CR"/>
        </w:rPr>
        <w:t>lsos</w:t>
      </w:r>
      <w:r w:rsidRPr="00FE22FB">
        <w:rPr>
          <w:sz w:val="22"/>
          <w:szCs w:val="22"/>
          <w:lang w:val="es-CR"/>
        </w:rPr>
        <w:t xml:space="preserve"> por impuestos o desgravaciones, es que para los primeros el importe está disponible para los receptores con independencia de que paguen impuestos o usen un determinado mecanismo para pagar los mismos, mientras que los segundos sólo tiene alcance a los sujetos alcanzados por un impuesto en particular.</w:t>
      </w:r>
    </w:p>
    <w:p w14:paraId="278EF24A" w14:textId="77777777" w:rsidR="00115EEA" w:rsidRDefault="00115EEA" w:rsidP="00FE22FB">
      <w:pPr>
        <w:pStyle w:val="Default"/>
        <w:spacing w:after="120" w:line="238" w:lineRule="auto"/>
        <w:ind w:left="1134" w:right="260" w:hanging="1134"/>
        <w:jc w:val="both"/>
        <w:rPr>
          <w:sz w:val="22"/>
          <w:szCs w:val="22"/>
          <w:lang w:val="es-CR"/>
        </w:rPr>
      </w:pPr>
    </w:p>
    <w:p w14:paraId="40F45B83" w14:textId="77777777" w:rsidR="00466DD9" w:rsidRPr="00FE22FB" w:rsidRDefault="00466DD9" w:rsidP="00FE22FB">
      <w:pPr>
        <w:pStyle w:val="Default"/>
        <w:spacing w:after="120" w:line="238" w:lineRule="auto"/>
        <w:ind w:left="1134" w:right="260" w:hanging="1134"/>
        <w:jc w:val="both"/>
        <w:rPr>
          <w:sz w:val="22"/>
          <w:szCs w:val="22"/>
          <w:lang w:val="es-CR"/>
        </w:rPr>
      </w:pPr>
    </w:p>
    <w:p w14:paraId="21278237" w14:textId="3F402414" w:rsidR="00311422" w:rsidRPr="00727CD8" w:rsidRDefault="00115EEA" w:rsidP="00727CD8">
      <w:pPr>
        <w:pStyle w:val="Ttulo2"/>
        <w:ind w:left="284"/>
        <w:rPr>
          <w:rFonts w:ascii="Arial" w:eastAsia="Arial" w:hAnsi="Arial" w:cs="Arial"/>
          <w:b/>
          <w:bCs/>
          <w:sz w:val="20"/>
          <w:szCs w:val="20"/>
          <w:lang w:val="es-CR"/>
        </w:rPr>
      </w:pPr>
      <w:bookmarkStart w:id="123" w:name="_Toc172726258"/>
      <w:r w:rsidRPr="00727CD8">
        <w:rPr>
          <w:rFonts w:ascii="Arial" w:eastAsia="Arial" w:hAnsi="Arial" w:cs="Arial"/>
          <w:b/>
          <w:bCs/>
          <w:sz w:val="20"/>
          <w:szCs w:val="20"/>
          <w:lang w:val="es-CR"/>
        </w:rPr>
        <w:t>Transferencias</w:t>
      </w:r>
      <w:bookmarkEnd w:id="123"/>
    </w:p>
    <w:p w14:paraId="4B463DC0" w14:textId="77777777" w:rsidR="00311422" w:rsidRDefault="00311422" w:rsidP="002A638A">
      <w:pPr>
        <w:pStyle w:val="Default"/>
        <w:spacing w:after="120" w:line="238" w:lineRule="auto"/>
        <w:ind w:right="260"/>
        <w:jc w:val="both"/>
        <w:rPr>
          <w:sz w:val="22"/>
          <w:szCs w:val="22"/>
          <w:lang w:val="es-CR"/>
        </w:rPr>
      </w:pPr>
    </w:p>
    <w:tbl>
      <w:tblPr>
        <w:tblW w:w="9405" w:type="dxa"/>
        <w:tblLook w:val="04A0" w:firstRow="1" w:lastRow="0" w:firstColumn="1" w:lastColumn="0" w:noHBand="0" w:noVBand="1"/>
      </w:tblPr>
      <w:tblGrid>
        <w:gridCol w:w="711"/>
        <w:gridCol w:w="417"/>
        <w:gridCol w:w="563"/>
        <w:gridCol w:w="3693"/>
        <w:gridCol w:w="2141"/>
        <w:gridCol w:w="1880"/>
      </w:tblGrid>
      <w:tr w:rsidR="00852A92" w:rsidRPr="00852A92" w14:paraId="39E690FF" w14:textId="77777777" w:rsidTr="00466DD9">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3AC2733" w14:textId="77777777" w:rsidR="00852A92" w:rsidRPr="00852A92" w:rsidRDefault="00852A92" w:rsidP="00852A92">
            <w:pPr>
              <w:jc w:val="center"/>
              <w:rPr>
                <w:rFonts w:ascii="Arial Narrow" w:eastAsia="Times New Roman" w:hAnsi="Arial Narrow" w:cs="Calibri"/>
                <w:b/>
                <w:bCs/>
                <w:color w:val="FFFFFF"/>
                <w:sz w:val="22"/>
                <w:szCs w:val="22"/>
              </w:rPr>
            </w:pPr>
            <w:r w:rsidRPr="00852A92">
              <w:rPr>
                <w:rFonts w:ascii="Arial Narrow" w:eastAsia="Times New Roman" w:hAnsi="Arial Narrow" w:cs="Calibri"/>
                <w:b/>
                <w:bCs/>
                <w:color w:val="FFFFFF"/>
                <w:sz w:val="22"/>
                <w:szCs w:val="22"/>
              </w:rPr>
              <w:t>Norma / Política</w:t>
            </w:r>
          </w:p>
        </w:tc>
        <w:tc>
          <w:tcPr>
            <w:tcW w:w="36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2E68B774" w14:textId="77777777" w:rsidR="00852A92" w:rsidRPr="00852A92" w:rsidRDefault="00852A92" w:rsidP="00852A92">
            <w:pPr>
              <w:jc w:val="center"/>
              <w:rPr>
                <w:rFonts w:ascii="Arial Narrow" w:eastAsia="Times New Roman" w:hAnsi="Arial Narrow" w:cs="Calibri"/>
                <w:b/>
                <w:bCs/>
                <w:color w:val="FFFFFF"/>
                <w:sz w:val="22"/>
                <w:szCs w:val="22"/>
              </w:rPr>
            </w:pPr>
            <w:r w:rsidRPr="00852A92">
              <w:rPr>
                <w:rFonts w:ascii="Arial Narrow" w:eastAsia="Times New Roman" w:hAnsi="Arial Narrow" w:cs="Calibri"/>
                <w:b/>
                <w:bCs/>
                <w:color w:val="FFFFFF"/>
                <w:sz w:val="22"/>
                <w:szCs w:val="22"/>
              </w:rPr>
              <w:t>Concepto</w:t>
            </w:r>
          </w:p>
        </w:tc>
        <w:tc>
          <w:tcPr>
            <w:tcW w:w="4021" w:type="dxa"/>
            <w:gridSpan w:val="2"/>
            <w:tcBorders>
              <w:top w:val="single" w:sz="8" w:space="0" w:color="auto"/>
              <w:left w:val="nil"/>
              <w:bottom w:val="single" w:sz="8" w:space="0" w:color="auto"/>
              <w:right w:val="single" w:sz="8" w:space="0" w:color="000000"/>
            </w:tcBorders>
            <w:shd w:val="clear" w:color="000000" w:fill="203764"/>
            <w:vAlign w:val="center"/>
            <w:hideMark/>
          </w:tcPr>
          <w:p w14:paraId="0252B496" w14:textId="77777777" w:rsidR="00852A92" w:rsidRPr="00852A92" w:rsidRDefault="00852A92" w:rsidP="00852A92">
            <w:pPr>
              <w:jc w:val="center"/>
              <w:rPr>
                <w:rFonts w:ascii="Arial Narrow" w:eastAsia="Times New Roman" w:hAnsi="Arial Narrow" w:cs="Calibri"/>
                <w:b/>
                <w:bCs/>
                <w:color w:val="FFFFFF"/>
                <w:sz w:val="22"/>
                <w:szCs w:val="22"/>
              </w:rPr>
            </w:pPr>
            <w:r w:rsidRPr="00852A92">
              <w:rPr>
                <w:rFonts w:ascii="Arial Narrow" w:eastAsia="Times New Roman" w:hAnsi="Arial Narrow" w:cs="Calibri"/>
                <w:b/>
                <w:bCs/>
                <w:color w:val="FFFFFF"/>
                <w:sz w:val="22"/>
                <w:szCs w:val="22"/>
              </w:rPr>
              <w:t>Referencia</w:t>
            </w:r>
          </w:p>
        </w:tc>
      </w:tr>
      <w:tr w:rsidR="00852A92" w:rsidRPr="006E5442" w14:paraId="40E60010" w14:textId="77777777" w:rsidTr="00466DD9">
        <w:trPr>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5D554A73" w14:textId="77777777" w:rsidR="00852A92" w:rsidRPr="00852A92" w:rsidRDefault="00852A92" w:rsidP="00852A92">
            <w:pPr>
              <w:rPr>
                <w:rFonts w:ascii="Arial Narrow" w:eastAsia="Times New Roman" w:hAnsi="Arial Narrow" w:cs="Calibri"/>
                <w:b/>
                <w:bCs/>
                <w:color w:val="FFFFFF"/>
                <w:sz w:val="22"/>
                <w:szCs w:val="22"/>
              </w:rPr>
            </w:pPr>
          </w:p>
        </w:tc>
        <w:tc>
          <w:tcPr>
            <w:tcW w:w="3693" w:type="dxa"/>
            <w:vMerge/>
            <w:tcBorders>
              <w:top w:val="single" w:sz="8" w:space="0" w:color="auto"/>
              <w:left w:val="single" w:sz="8" w:space="0" w:color="auto"/>
              <w:bottom w:val="nil"/>
              <w:right w:val="single" w:sz="8" w:space="0" w:color="auto"/>
            </w:tcBorders>
            <w:vAlign w:val="center"/>
            <w:hideMark/>
          </w:tcPr>
          <w:p w14:paraId="2C15F705" w14:textId="77777777" w:rsidR="00852A92" w:rsidRPr="00852A92" w:rsidRDefault="00852A92" w:rsidP="00852A92">
            <w:pPr>
              <w:rPr>
                <w:rFonts w:ascii="Arial Narrow" w:eastAsia="Times New Roman" w:hAnsi="Arial Narrow" w:cs="Calibri"/>
                <w:b/>
                <w:bCs/>
                <w:color w:val="FFFFFF"/>
                <w:sz w:val="22"/>
                <w:szCs w:val="22"/>
              </w:rPr>
            </w:pPr>
          </w:p>
        </w:tc>
        <w:tc>
          <w:tcPr>
            <w:tcW w:w="2141" w:type="dxa"/>
            <w:tcBorders>
              <w:top w:val="nil"/>
              <w:left w:val="nil"/>
              <w:bottom w:val="nil"/>
              <w:right w:val="single" w:sz="8" w:space="0" w:color="auto"/>
            </w:tcBorders>
            <w:shd w:val="clear" w:color="000000" w:fill="203764"/>
            <w:vAlign w:val="center"/>
            <w:hideMark/>
          </w:tcPr>
          <w:p w14:paraId="61B23B1A" w14:textId="77777777" w:rsidR="00852A92" w:rsidRPr="00852A92" w:rsidRDefault="00852A92" w:rsidP="00852A92">
            <w:pPr>
              <w:jc w:val="center"/>
              <w:rPr>
                <w:rFonts w:ascii="Arial Narrow" w:eastAsia="Times New Roman" w:hAnsi="Arial Narrow" w:cs="Calibri"/>
                <w:b/>
                <w:bCs/>
                <w:color w:val="FFFFFF"/>
                <w:sz w:val="22"/>
                <w:szCs w:val="22"/>
              </w:rPr>
            </w:pPr>
            <w:r w:rsidRPr="00852A92">
              <w:rPr>
                <w:rFonts w:ascii="Arial Narrow" w:eastAsia="Times New Roman" w:hAnsi="Arial Narrow" w:cs="Calibri"/>
                <w:b/>
                <w:bCs/>
                <w:color w:val="FFFFFF"/>
                <w:sz w:val="22"/>
                <w:szCs w:val="22"/>
              </w:rPr>
              <w:t>Norma</w:t>
            </w:r>
          </w:p>
        </w:tc>
        <w:tc>
          <w:tcPr>
            <w:tcW w:w="1880" w:type="dxa"/>
            <w:tcBorders>
              <w:top w:val="nil"/>
              <w:left w:val="nil"/>
              <w:bottom w:val="nil"/>
              <w:right w:val="single" w:sz="8" w:space="0" w:color="auto"/>
            </w:tcBorders>
            <w:shd w:val="clear" w:color="000000" w:fill="203764"/>
            <w:vAlign w:val="center"/>
            <w:hideMark/>
          </w:tcPr>
          <w:p w14:paraId="0D924ECE" w14:textId="77777777" w:rsidR="00852A92" w:rsidRPr="00852A92" w:rsidRDefault="00852A92" w:rsidP="00852A92">
            <w:pPr>
              <w:jc w:val="center"/>
              <w:rPr>
                <w:rFonts w:ascii="Arial Narrow" w:eastAsia="Times New Roman" w:hAnsi="Arial Narrow" w:cs="Calibri"/>
                <w:b/>
                <w:bCs/>
                <w:color w:val="FFFFFF"/>
                <w:sz w:val="22"/>
                <w:szCs w:val="22"/>
                <w:lang w:val="es-CR"/>
              </w:rPr>
            </w:pPr>
            <w:r w:rsidRPr="00852A92">
              <w:rPr>
                <w:rFonts w:ascii="Arial Narrow" w:eastAsia="Times New Roman" w:hAnsi="Arial Narrow" w:cs="Calibri"/>
                <w:b/>
                <w:bCs/>
                <w:color w:val="FFFFFF"/>
                <w:sz w:val="22"/>
                <w:szCs w:val="22"/>
                <w:lang w:val="es-CR"/>
              </w:rPr>
              <w:t>Normativa técnica y disposiciones adicionales</w:t>
            </w:r>
          </w:p>
        </w:tc>
      </w:tr>
      <w:tr w:rsidR="00852A92" w:rsidRPr="00852A92" w14:paraId="0D325CCC" w14:textId="77777777" w:rsidTr="00466DD9">
        <w:trPr>
          <w:trHeight w:val="570"/>
        </w:trPr>
        <w:tc>
          <w:tcPr>
            <w:tcW w:w="7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9D4DBD"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4</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77BC2306"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15</w:t>
            </w:r>
          </w:p>
        </w:tc>
        <w:tc>
          <w:tcPr>
            <w:tcW w:w="563" w:type="dxa"/>
            <w:tcBorders>
              <w:top w:val="single" w:sz="8" w:space="0" w:color="auto"/>
              <w:left w:val="nil"/>
              <w:bottom w:val="single" w:sz="8" w:space="0" w:color="auto"/>
              <w:right w:val="single" w:sz="8" w:space="0" w:color="auto"/>
            </w:tcBorders>
            <w:shd w:val="clear" w:color="auto" w:fill="auto"/>
            <w:vAlign w:val="center"/>
            <w:hideMark/>
          </w:tcPr>
          <w:p w14:paraId="07989572" w14:textId="1DA08B44" w:rsidR="00852A92" w:rsidRPr="00852A92" w:rsidRDefault="00852A92" w:rsidP="00852A92">
            <w:pPr>
              <w:jc w:val="center"/>
              <w:rPr>
                <w:rFonts w:ascii="Arial Narrow" w:eastAsia="Times New Roman" w:hAnsi="Arial Narrow" w:cs="Calibri"/>
                <w:b/>
                <w:bCs/>
                <w:color w:val="000000"/>
                <w:sz w:val="22"/>
                <w:szCs w:val="22"/>
              </w:rPr>
            </w:pPr>
          </w:p>
        </w:tc>
        <w:tc>
          <w:tcPr>
            <w:tcW w:w="3693" w:type="dxa"/>
            <w:tcBorders>
              <w:top w:val="single" w:sz="8" w:space="0" w:color="auto"/>
              <w:left w:val="nil"/>
              <w:bottom w:val="single" w:sz="8" w:space="0" w:color="auto"/>
              <w:right w:val="single" w:sz="8" w:space="0" w:color="auto"/>
            </w:tcBorders>
            <w:shd w:val="clear" w:color="auto" w:fill="auto"/>
            <w:vAlign w:val="center"/>
            <w:hideMark/>
          </w:tcPr>
          <w:p w14:paraId="03A9D810" w14:textId="77777777" w:rsidR="00852A92" w:rsidRPr="00852A92" w:rsidRDefault="00852A92" w:rsidP="00852A92">
            <w:pPr>
              <w:jc w:val="both"/>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Transferencias</w:t>
            </w:r>
          </w:p>
        </w:tc>
        <w:tc>
          <w:tcPr>
            <w:tcW w:w="2141" w:type="dxa"/>
            <w:tcBorders>
              <w:top w:val="single" w:sz="8" w:space="0" w:color="auto"/>
              <w:left w:val="nil"/>
              <w:bottom w:val="single" w:sz="8" w:space="0" w:color="auto"/>
              <w:right w:val="single" w:sz="8" w:space="0" w:color="auto"/>
            </w:tcBorders>
            <w:shd w:val="clear" w:color="auto" w:fill="auto"/>
            <w:vAlign w:val="center"/>
            <w:hideMark/>
          </w:tcPr>
          <w:p w14:paraId="04A921AD" w14:textId="77777777" w:rsidR="00466DD9" w:rsidRDefault="00852A92" w:rsidP="00852A92">
            <w:pPr>
              <w:jc w:val="both"/>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NICSP N° 23,</w:t>
            </w:r>
          </w:p>
          <w:p w14:paraId="25D28048" w14:textId="76BB25E1" w:rsidR="00852A92" w:rsidRPr="00852A92" w:rsidRDefault="00852A92" w:rsidP="00852A92">
            <w:pPr>
              <w:jc w:val="both"/>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Párrafo 77.</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179012EA" w14:textId="77777777" w:rsidR="00852A92" w:rsidRPr="00852A92" w:rsidRDefault="00852A92" w:rsidP="00852A92">
            <w:pP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 xml:space="preserve"> </w:t>
            </w:r>
          </w:p>
        </w:tc>
      </w:tr>
    </w:tbl>
    <w:p w14:paraId="274F9C26" w14:textId="77777777" w:rsidR="00852A92" w:rsidRDefault="00852A92" w:rsidP="00466DD9">
      <w:pPr>
        <w:pStyle w:val="Default"/>
        <w:ind w:right="261"/>
        <w:jc w:val="both"/>
        <w:rPr>
          <w:sz w:val="22"/>
          <w:szCs w:val="22"/>
          <w:lang w:val="es-CR"/>
        </w:rPr>
      </w:pPr>
    </w:p>
    <w:p w14:paraId="3E70E03C" w14:textId="5962D9E2" w:rsidR="00466DD9" w:rsidRDefault="00466DD9" w:rsidP="00466DD9">
      <w:pPr>
        <w:pStyle w:val="Default"/>
        <w:ind w:right="261"/>
        <w:jc w:val="both"/>
        <w:rPr>
          <w:rFonts w:eastAsia="Arial"/>
          <w:b/>
          <w:sz w:val="22"/>
          <w:szCs w:val="22"/>
        </w:rPr>
      </w:pPr>
      <w:r w:rsidRPr="00F02F9D">
        <w:rPr>
          <w:rFonts w:eastAsia="Arial"/>
          <w:b/>
          <w:sz w:val="22"/>
          <w:szCs w:val="22"/>
        </w:rPr>
        <w:t>Política Contable</w:t>
      </w:r>
    </w:p>
    <w:p w14:paraId="22AA5B6B" w14:textId="77777777" w:rsidR="00466DD9" w:rsidRDefault="00466DD9" w:rsidP="00466DD9">
      <w:pPr>
        <w:pStyle w:val="Default"/>
        <w:ind w:right="261"/>
        <w:jc w:val="both"/>
        <w:rPr>
          <w:sz w:val="22"/>
          <w:szCs w:val="22"/>
          <w:lang w:val="es-CR"/>
        </w:rPr>
      </w:pPr>
    </w:p>
    <w:p w14:paraId="1968D8FE" w14:textId="4B6A203A" w:rsidR="00852A92" w:rsidRDefault="00852A92" w:rsidP="00852A92">
      <w:pPr>
        <w:pStyle w:val="Default"/>
        <w:ind w:left="1134" w:hanging="1134"/>
        <w:jc w:val="both"/>
        <w:rPr>
          <w:sz w:val="22"/>
          <w:szCs w:val="22"/>
          <w:lang w:val="es-CR"/>
        </w:rPr>
      </w:pPr>
      <w:r>
        <w:rPr>
          <w:sz w:val="23"/>
          <w:szCs w:val="23"/>
          <w:lang w:val="es-CR"/>
        </w:rPr>
        <w:t>4.15.0.01</w:t>
      </w:r>
      <w:r>
        <w:rPr>
          <w:sz w:val="23"/>
          <w:szCs w:val="23"/>
          <w:lang w:val="es-CR"/>
        </w:rPr>
        <w:tab/>
      </w:r>
      <w:r w:rsidRPr="00852A92">
        <w:rPr>
          <w:sz w:val="23"/>
          <w:szCs w:val="23"/>
          <w:lang w:val="es-CR"/>
        </w:rPr>
        <w:t xml:space="preserve">Las </w:t>
      </w:r>
      <w:r w:rsidRPr="00852A92">
        <w:rPr>
          <w:sz w:val="22"/>
          <w:szCs w:val="22"/>
          <w:lang w:val="es-CR"/>
        </w:rPr>
        <w:t xml:space="preserve">transferencias son entradas de recursos que generan beneficios económicos o potencial de servicio futuros provenientes de transacciones sin contraprestación distintas de impuestos, e incluyen, entre otros, los siguientes conceptos: </w:t>
      </w:r>
    </w:p>
    <w:p w14:paraId="3DFA8785" w14:textId="77777777" w:rsidR="00852A92" w:rsidRPr="00852A92" w:rsidRDefault="00852A92" w:rsidP="00852A92">
      <w:pPr>
        <w:pStyle w:val="Default"/>
        <w:ind w:left="1134" w:hanging="1134"/>
        <w:jc w:val="both"/>
        <w:rPr>
          <w:sz w:val="22"/>
          <w:szCs w:val="22"/>
          <w:lang w:val="es-CR"/>
        </w:rPr>
      </w:pPr>
    </w:p>
    <w:p w14:paraId="66593A2D" w14:textId="5D063EF8" w:rsidR="00852A92" w:rsidRPr="00852A92" w:rsidRDefault="00852A92">
      <w:pPr>
        <w:pStyle w:val="Default"/>
        <w:numPr>
          <w:ilvl w:val="0"/>
          <w:numId w:val="239"/>
        </w:numPr>
        <w:spacing w:after="120"/>
        <w:ind w:left="1418" w:hanging="284"/>
        <w:jc w:val="both"/>
        <w:rPr>
          <w:sz w:val="22"/>
          <w:szCs w:val="22"/>
        </w:rPr>
      </w:pPr>
      <w:r>
        <w:rPr>
          <w:sz w:val="22"/>
          <w:szCs w:val="22"/>
        </w:rPr>
        <w:t>S</w:t>
      </w:r>
      <w:r w:rsidRPr="00852A92">
        <w:rPr>
          <w:sz w:val="22"/>
          <w:szCs w:val="22"/>
        </w:rPr>
        <w:t xml:space="preserve">ubvenciones; </w:t>
      </w:r>
    </w:p>
    <w:p w14:paraId="0819C025" w14:textId="7968F7A5" w:rsidR="00852A92" w:rsidRPr="00852A92" w:rsidRDefault="00852A92">
      <w:pPr>
        <w:pStyle w:val="Default"/>
        <w:numPr>
          <w:ilvl w:val="0"/>
          <w:numId w:val="239"/>
        </w:numPr>
        <w:spacing w:after="120"/>
        <w:ind w:left="1418" w:hanging="284"/>
        <w:jc w:val="both"/>
        <w:rPr>
          <w:sz w:val="22"/>
          <w:szCs w:val="22"/>
        </w:rPr>
      </w:pPr>
      <w:r>
        <w:rPr>
          <w:sz w:val="22"/>
          <w:szCs w:val="22"/>
        </w:rPr>
        <w:t>C</w:t>
      </w:r>
      <w:r w:rsidRPr="00852A92">
        <w:rPr>
          <w:sz w:val="22"/>
          <w:szCs w:val="22"/>
        </w:rPr>
        <w:t xml:space="preserve">ondonaciones de deudas; </w:t>
      </w:r>
    </w:p>
    <w:p w14:paraId="5EECFF37" w14:textId="5FE86E6F" w:rsidR="00852A92" w:rsidRPr="00852A92" w:rsidRDefault="00852A92">
      <w:pPr>
        <w:pStyle w:val="Default"/>
        <w:numPr>
          <w:ilvl w:val="0"/>
          <w:numId w:val="239"/>
        </w:numPr>
        <w:spacing w:after="120"/>
        <w:ind w:left="1418" w:hanging="284"/>
        <w:jc w:val="both"/>
        <w:rPr>
          <w:sz w:val="22"/>
          <w:szCs w:val="22"/>
        </w:rPr>
      </w:pPr>
      <w:r>
        <w:rPr>
          <w:sz w:val="22"/>
          <w:szCs w:val="22"/>
        </w:rPr>
        <w:t>Mu</w:t>
      </w:r>
      <w:r w:rsidRPr="00852A92">
        <w:rPr>
          <w:sz w:val="22"/>
          <w:szCs w:val="22"/>
        </w:rPr>
        <w:t xml:space="preserve">ltas; </w:t>
      </w:r>
    </w:p>
    <w:p w14:paraId="4507CE87" w14:textId="045F2856" w:rsidR="00852A92" w:rsidRPr="00852A92" w:rsidRDefault="00852A92">
      <w:pPr>
        <w:pStyle w:val="Default"/>
        <w:numPr>
          <w:ilvl w:val="0"/>
          <w:numId w:val="239"/>
        </w:numPr>
        <w:spacing w:after="120"/>
        <w:ind w:left="1418" w:hanging="284"/>
        <w:jc w:val="both"/>
        <w:rPr>
          <w:sz w:val="22"/>
          <w:szCs w:val="22"/>
        </w:rPr>
      </w:pPr>
      <w:r>
        <w:rPr>
          <w:sz w:val="22"/>
          <w:szCs w:val="22"/>
        </w:rPr>
        <w:t>L</w:t>
      </w:r>
      <w:r w:rsidRPr="00852A92">
        <w:rPr>
          <w:sz w:val="22"/>
          <w:szCs w:val="22"/>
        </w:rPr>
        <w:t xml:space="preserve">egados; </w:t>
      </w:r>
    </w:p>
    <w:p w14:paraId="578AD9F2" w14:textId="7FA75ECF" w:rsidR="00852A92" w:rsidRPr="00852A92" w:rsidRDefault="00852A92">
      <w:pPr>
        <w:pStyle w:val="Default"/>
        <w:numPr>
          <w:ilvl w:val="0"/>
          <w:numId w:val="239"/>
        </w:numPr>
        <w:spacing w:after="120"/>
        <w:ind w:left="1418" w:hanging="284"/>
        <w:jc w:val="both"/>
        <w:rPr>
          <w:sz w:val="22"/>
          <w:szCs w:val="22"/>
        </w:rPr>
      </w:pPr>
      <w:r>
        <w:rPr>
          <w:sz w:val="22"/>
          <w:szCs w:val="22"/>
        </w:rPr>
        <w:t>R</w:t>
      </w:r>
      <w:r w:rsidRPr="00852A92">
        <w:rPr>
          <w:sz w:val="22"/>
          <w:szCs w:val="22"/>
        </w:rPr>
        <w:t xml:space="preserve">egalos; </w:t>
      </w:r>
    </w:p>
    <w:p w14:paraId="04D80F01" w14:textId="65B9B60F" w:rsidR="00852A92" w:rsidRPr="00852A92" w:rsidRDefault="00852A92">
      <w:pPr>
        <w:pStyle w:val="Default"/>
        <w:numPr>
          <w:ilvl w:val="0"/>
          <w:numId w:val="239"/>
        </w:numPr>
        <w:spacing w:after="120"/>
        <w:ind w:left="1418" w:hanging="284"/>
        <w:jc w:val="both"/>
        <w:rPr>
          <w:sz w:val="22"/>
          <w:szCs w:val="22"/>
        </w:rPr>
      </w:pPr>
      <w:r>
        <w:rPr>
          <w:sz w:val="22"/>
          <w:szCs w:val="22"/>
        </w:rPr>
        <w:lastRenderedPageBreak/>
        <w:t>D</w:t>
      </w:r>
      <w:r w:rsidRPr="00852A92">
        <w:rPr>
          <w:sz w:val="22"/>
          <w:szCs w:val="22"/>
        </w:rPr>
        <w:t xml:space="preserve">onaciones de bienes; y </w:t>
      </w:r>
    </w:p>
    <w:p w14:paraId="6FC45707" w14:textId="6003495C" w:rsidR="00852A92" w:rsidRPr="00852A92" w:rsidRDefault="00852A92">
      <w:pPr>
        <w:pStyle w:val="Default"/>
        <w:numPr>
          <w:ilvl w:val="0"/>
          <w:numId w:val="239"/>
        </w:numPr>
        <w:spacing w:after="120"/>
        <w:ind w:left="1418" w:hanging="284"/>
        <w:jc w:val="both"/>
        <w:rPr>
          <w:sz w:val="23"/>
          <w:szCs w:val="23"/>
          <w:lang w:val="es-CR"/>
        </w:rPr>
      </w:pPr>
      <w:r>
        <w:rPr>
          <w:sz w:val="22"/>
          <w:szCs w:val="22"/>
          <w:lang w:val="es-CR"/>
        </w:rPr>
        <w:t>D</w:t>
      </w:r>
      <w:r w:rsidRPr="00852A92">
        <w:rPr>
          <w:sz w:val="22"/>
          <w:szCs w:val="22"/>
          <w:lang w:val="es-CR"/>
        </w:rPr>
        <w:t>onaciones</w:t>
      </w:r>
      <w:r w:rsidRPr="00852A92">
        <w:rPr>
          <w:sz w:val="23"/>
          <w:szCs w:val="23"/>
          <w:lang w:val="es-CR"/>
        </w:rPr>
        <w:t xml:space="preserve"> de servicios en especie. </w:t>
      </w:r>
    </w:p>
    <w:p w14:paraId="770D8591" w14:textId="77777777" w:rsidR="001261B0" w:rsidRDefault="001261B0" w:rsidP="00727CD8">
      <w:pPr>
        <w:pStyle w:val="Default"/>
        <w:ind w:right="261"/>
        <w:jc w:val="both"/>
        <w:rPr>
          <w:sz w:val="22"/>
          <w:szCs w:val="22"/>
          <w:lang w:val="es-CR"/>
        </w:rPr>
      </w:pPr>
    </w:p>
    <w:p w14:paraId="37C93BCB" w14:textId="77777777" w:rsidR="00852A92" w:rsidRDefault="00852A92" w:rsidP="00727CD8">
      <w:pPr>
        <w:pStyle w:val="Default"/>
        <w:ind w:right="261"/>
        <w:jc w:val="both"/>
        <w:rPr>
          <w:sz w:val="22"/>
          <w:szCs w:val="22"/>
          <w:lang w:val="es-CR"/>
        </w:rPr>
      </w:pPr>
    </w:p>
    <w:tbl>
      <w:tblPr>
        <w:tblW w:w="9394" w:type="dxa"/>
        <w:tblLook w:val="04A0" w:firstRow="1" w:lastRow="0" w:firstColumn="1" w:lastColumn="0" w:noHBand="0" w:noVBand="1"/>
      </w:tblPr>
      <w:tblGrid>
        <w:gridCol w:w="540"/>
        <w:gridCol w:w="660"/>
        <w:gridCol w:w="520"/>
        <w:gridCol w:w="3740"/>
        <w:gridCol w:w="2043"/>
        <w:gridCol w:w="1891"/>
      </w:tblGrid>
      <w:tr w:rsidR="00852A92" w:rsidRPr="00852A92" w14:paraId="61246E23" w14:textId="77777777" w:rsidTr="00466DD9">
        <w:trPr>
          <w:trHeight w:val="320"/>
        </w:trPr>
        <w:tc>
          <w:tcPr>
            <w:tcW w:w="172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0A6DD8D" w14:textId="77777777" w:rsidR="00852A92" w:rsidRPr="00852A92" w:rsidRDefault="00852A92" w:rsidP="00852A92">
            <w:pPr>
              <w:jc w:val="center"/>
              <w:rPr>
                <w:rFonts w:ascii="Arial Narrow" w:eastAsia="Times New Roman" w:hAnsi="Arial Narrow" w:cs="Calibri"/>
                <w:b/>
                <w:bCs/>
                <w:color w:val="FFFFFF"/>
                <w:sz w:val="22"/>
                <w:szCs w:val="22"/>
              </w:rPr>
            </w:pPr>
            <w:r w:rsidRPr="00852A92">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3C8E1FF2" w14:textId="77777777" w:rsidR="00852A92" w:rsidRPr="00852A92" w:rsidRDefault="00852A92" w:rsidP="00852A92">
            <w:pPr>
              <w:jc w:val="center"/>
              <w:rPr>
                <w:rFonts w:ascii="Arial Narrow" w:eastAsia="Times New Roman" w:hAnsi="Arial Narrow" w:cs="Calibri"/>
                <w:b/>
                <w:bCs/>
                <w:color w:val="FFFFFF"/>
                <w:sz w:val="22"/>
                <w:szCs w:val="22"/>
              </w:rPr>
            </w:pPr>
            <w:r w:rsidRPr="00852A92">
              <w:rPr>
                <w:rFonts w:ascii="Arial Narrow" w:eastAsia="Times New Roman" w:hAnsi="Arial Narrow" w:cs="Calibri"/>
                <w:b/>
                <w:bCs/>
                <w:color w:val="FFFFFF"/>
                <w:sz w:val="22"/>
                <w:szCs w:val="22"/>
              </w:rPr>
              <w:t>Concepto</w:t>
            </w:r>
          </w:p>
        </w:tc>
        <w:tc>
          <w:tcPr>
            <w:tcW w:w="3934" w:type="dxa"/>
            <w:gridSpan w:val="2"/>
            <w:tcBorders>
              <w:top w:val="nil"/>
              <w:left w:val="nil"/>
              <w:bottom w:val="single" w:sz="8" w:space="0" w:color="auto"/>
              <w:right w:val="single" w:sz="8" w:space="0" w:color="000000"/>
            </w:tcBorders>
            <w:shd w:val="clear" w:color="000000" w:fill="203764"/>
            <w:vAlign w:val="center"/>
            <w:hideMark/>
          </w:tcPr>
          <w:p w14:paraId="336C69D2" w14:textId="77777777" w:rsidR="00852A92" w:rsidRPr="00852A92" w:rsidRDefault="00852A92" w:rsidP="00852A92">
            <w:pPr>
              <w:jc w:val="center"/>
              <w:rPr>
                <w:rFonts w:ascii="Arial Narrow" w:eastAsia="Times New Roman" w:hAnsi="Arial Narrow" w:cs="Calibri"/>
                <w:b/>
                <w:bCs/>
                <w:color w:val="FFFFFF"/>
                <w:sz w:val="22"/>
                <w:szCs w:val="22"/>
              </w:rPr>
            </w:pPr>
            <w:r w:rsidRPr="00852A92">
              <w:rPr>
                <w:rFonts w:ascii="Arial Narrow" w:eastAsia="Times New Roman" w:hAnsi="Arial Narrow" w:cs="Calibri"/>
                <w:b/>
                <w:bCs/>
                <w:color w:val="FFFFFF"/>
                <w:sz w:val="22"/>
                <w:szCs w:val="22"/>
              </w:rPr>
              <w:t>Referencia</w:t>
            </w:r>
          </w:p>
        </w:tc>
      </w:tr>
      <w:tr w:rsidR="00852A92" w:rsidRPr="006E5442" w14:paraId="7D191DC7" w14:textId="77777777" w:rsidTr="00466DD9">
        <w:trPr>
          <w:trHeight w:val="850"/>
        </w:trPr>
        <w:tc>
          <w:tcPr>
            <w:tcW w:w="1720" w:type="dxa"/>
            <w:gridSpan w:val="3"/>
            <w:vMerge/>
            <w:tcBorders>
              <w:top w:val="single" w:sz="8" w:space="0" w:color="auto"/>
              <w:left w:val="single" w:sz="8" w:space="0" w:color="auto"/>
              <w:bottom w:val="nil"/>
              <w:right w:val="single" w:sz="8" w:space="0" w:color="000000"/>
            </w:tcBorders>
            <w:vAlign w:val="center"/>
            <w:hideMark/>
          </w:tcPr>
          <w:p w14:paraId="4DA20E2E" w14:textId="77777777" w:rsidR="00852A92" w:rsidRPr="00852A92" w:rsidRDefault="00852A92" w:rsidP="00852A92">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5D06CFE7" w14:textId="77777777" w:rsidR="00852A92" w:rsidRPr="00852A92" w:rsidRDefault="00852A92" w:rsidP="00852A92">
            <w:pPr>
              <w:rPr>
                <w:rFonts w:ascii="Arial Narrow" w:eastAsia="Times New Roman" w:hAnsi="Arial Narrow" w:cs="Calibri"/>
                <w:b/>
                <w:bCs/>
                <w:color w:val="FFFFFF"/>
                <w:sz w:val="22"/>
                <w:szCs w:val="22"/>
              </w:rPr>
            </w:pPr>
          </w:p>
        </w:tc>
        <w:tc>
          <w:tcPr>
            <w:tcW w:w="2043" w:type="dxa"/>
            <w:tcBorders>
              <w:top w:val="nil"/>
              <w:left w:val="nil"/>
              <w:bottom w:val="nil"/>
              <w:right w:val="single" w:sz="8" w:space="0" w:color="auto"/>
            </w:tcBorders>
            <w:shd w:val="clear" w:color="000000" w:fill="203764"/>
            <w:vAlign w:val="center"/>
            <w:hideMark/>
          </w:tcPr>
          <w:p w14:paraId="6962BEE9" w14:textId="77777777" w:rsidR="00852A92" w:rsidRPr="00852A92" w:rsidRDefault="00852A92" w:rsidP="00852A92">
            <w:pPr>
              <w:jc w:val="center"/>
              <w:rPr>
                <w:rFonts w:ascii="Arial Narrow" w:eastAsia="Times New Roman" w:hAnsi="Arial Narrow" w:cs="Calibri"/>
                <w:b/>
                <w:bCs/>
                <w:color w:val="FFFFFF"/>
                <w:sz w:val="22"/>
                <w:szCs w:val="22"/>
              </w:rPr>
            </w:pPr>
            <w:r w:rsidRPr="00852A92">
              <w:rPr>
                <w:rFonts w:ascii="Arial Narrow" w:eastAsia="Times New Roman" w:hAnsi="Arial Narrow" w:cs="Calibri"/>
                <w:b/>
                <w:bCs/>
                <w:color w:val="FFFFFF"/>
                <w:sz w:val="22"/>
                <w:szCs w:val="22"/>
              </w:rPr>
              <w:t>Norma</w:t>
            </w:r>
          </w:p>
        </w:tc>
        <w:tc>
          <w:tcPr>
            <w:tcW w:w="1889" w:type="dxa"/>
            <w:tcBorders>
              <w:top w:val="nil"/>
              <w:left w:val="nil"/>
              <w:bottom w:val="nil"/>
              <w:right w:val="single" w:sz="8" w:space="0" w:color="auto"/>
            </w:tcBorders>
            <w:shd w:val="clear" w:color="000000" w:fill="203764"/>
            <w:vAlign w:val="center"/>
            <w:hideMark/>
          </w:tcPr>
          <w:p w14:paraId="0C42E35D" w14:textId="77777777" w:rsidR="00852A92" w:rsidRPr="00852A92" w:rsidRDefault="00852A92" w:rsidP="00852A92">
            <w:pPr>
              <w:jc w:val="center"/>
              <w:rPr>
                <w:rFonts w:ascii="Arial Narrow" w:eastAsia="Times New Roman" w:hAnsi="Arial Narrow" w:cs="Calibri"/>
                <w:b/>
                <w:bCs/>
                <w:color w:val="FFFFFF"/>
                <w:sz w:val="22"/>
                <w:szCs w:val="22"/>
                <w:lang w:val="es-CR"/>
              </w:rPr>
            </w:pPr>
            <w:r w:rsidRPr="00852A92">
              <w:rPr>
                <w:rFonts w:ascii="Arial Narrow" w:eastAsia="Times New Roman" w:hAnsi="Arial Narrow" w:cs="Calibri"/>
                <w:b/>
                <w:bCs/>
                <w:color w:val="FFFFFF"/>
                <w:sz w:val="22"/>
                <w:szCs w:val="22"/>
                <w:lang w:val="es-CR"/>
              </w:rPr>
              <w:t>Normativa técnica y disposiciones adicionales</w:t>
            </w:r>
          </w:p>
        </w:tc>
      </w:tr>
      <w:tr w:rsidR="00852A92" w:rsidRPr="00852A92" w14:paraId="48E10432" w14:textId="77777777" w:rsidTr="00466DD9">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79867EF"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3CD8136A"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16</w:t>
            </w:r>
          </w:p>
        </w:tc>
        <w:tc>
          <w:tcPr>
            <w:tcW w:w="520" w:type="dxa"/>
            <w:tcBorders>
              <w:top w:val="nil"/>
              <w:left w:val="nil"/>
              <w:bottom w:val="single" w:sz="8" w:space="0" w:color="auto"/>
              <w:right w:val="single" w:sz="8" w:space="0" w:color="auto"/>
            </w:tcBorders>
            <w:shd w:val="clear" w:color="auto" w:fill="auto"/>
            <w:vAlign w:val="center"/>
            <w:hideMark/>
          </w:tcPr>
          <w:p w14:paraId="486DB04F" w14:textId="54C3D298" w:rsidR="00852A92" w:rsidRPr="00852A92" w:rsidRDefault="00852A92" w:rsidP="00852A92">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3311A8A2" w14:textId="77777777" w:rsidR="00852A92" w:rsidRPr="00852A92" w:rsidRDefault="00852A92" w:rsidP="00852A92">
            <w:pPr>
              <w:jc w:val="both"/>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Reconocimiento de las Transferencias</w:t>
            </w:r>
          </w:p>
        </w:tc>
        <w:tc>
          <w:tcPr>
            <w:tcW w:w="2043" w:type="dxa"/>
            <w:tcBorders>
              <w:top w:val="single" w:sz="8" w:space="0" w:color="auto"/>
              <w:left w:val="nil"/>
              <w:bottom w:val="single" w:sz="8" w:space="0" w:color="auto"/>
              <w:right w:val="single" w:sz="8" w:space="0" w:color="auto"/>
            </w:tcBorders>
            <w:shd w:val="clear" w:color="auto" w:fill="auto"/>
            <w:vAlign w:val="center"/>
            <w:hideMark/>
          </w:tcPr>
          <w:p w14:paraId="477F11D6" w14:textId="77777777" w:rsidR="00852A92" w:rsidRPr="00852A92" w:rsidRDefault="00852A92" w:rsidP="00852A92">
            <w:pP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NICSP N° 23,</w:t>
            </w:r>
            <w:r w:rsidRPr="00852A92">
              <w:rPr>
                <w:rFonts w:ascii="Arial Narrow" w:eastAsia="Times New Roman" w:hAnsi="Arial Narrow" w:cs="Calibri"/>
                <w:b/>
                <w:bCs/>
                <w:color w:val="000000"/>
                <w:sz w:val="22"/>
                <w:szCs w:val="22"/>
              </w:rPr>
              <w:br/>
              <w:t>Párrafos 76 y 78.</w:t>
            </w:r>
          </w:p>
        </w:tc>
        <w:tc>
          <w:tcPr>
            <w:tcW w:w="1889" w:type="dxa"/>
            <w:tcBorders>
              <w:top w:val="nil"/>
              <w:left w:val="nil"/>
              <w:bottom w:val="single" w:sz="8" w:space="0" w:color="auto"/>
              <w:right w:val="single" w:sz="8" w:space="0" w:color="auto"/>
            </w:tcBorders>
            <w:shd w:val="clear" w:color="auto" w:fill="auto"/>
            <w:vAlign w:val="center"/>
            <w:hideMark/>
          </w:tcPr>
          <w:p w14:paraId="70DC276A" w14:textId="77777777" w:rsidR="00852A92" w:rsidRPr="00852A92" w:rsidRDefault="00852A92" w:rsidP="00852A92">
            <w:pPr>
              <w:ind w:firstLineChars="100" w:firstLine="220"/>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DGCN</w:t>
            </w:r>
          </w:p>
        </w:tc>
      </w:tr>
      <w:tr w:rsidR="00852A92" w:rsidRPr="00852A92" w14:paraId="191C5CD8" w14:textId="77777777" w:rsidTr="00466DD9">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B6AC136"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498326A8"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16</w:t>
            </w:r>
          </w:p>
        </w:tc>
        <w:tc>
          <w:tcPr>
            <w:tcW w:w="520" w:type="dxa"/>
            <w:tcBorders>
              <w:top w:val="nil"/>
              <w:left w:val="nil"/>
              <w:bottom w:val="single" w:sz="8" w:space="0" w:color="auto"/>
              <w:right w:val="single" w:sz="8" w:space="0" w:color="auto"/>
            </w:tcBorders>
            <w:shd w:val="clear" w:color="auto" w:fill="auto"/>
            <w:vAlign w:val="center"/>
            <w:hideMark/>
          </w:tcPr>
          <w:p w14:paraId="476EE68E"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048FA22B" w14:textId="77777777" w:rsidR="00852A92" w:rsidRPr="00852A92" w:rsidRDefault="00852A92" w:rsidP="00852A92">
            <w:pPr>
              <w:jc w:val="both"/>
              <w:rPr>
                <w:rFonts w:ascii="Arial Narrow" w:eastAsia="Times New Roman" w:hAnsi="Arial Narrow" w:cs="Calibri"/>
                <w:b/>
                <w:bCs/>
                <w:color w:val="000000"/>
                <w:sz w:val="22"/>
                <w:szCs w:val="22"/>
                <w:lang w:val="es-CR"/>
              </w:rPr>
            </w:pPr>
            <w:r w:rsidRPr="00852A92">
              <w:rPr>
                <w:rFonts w:ascii="Arial Narrow" w:eastAsia="Times New Roman" w:hAnsi="Arial Narrow" w:cs="Calibri"/>
                <w:b/>
                <w:bCs/>
                <w:color w:val="000000"/>
                <w:sz w:val="22"/>
                <w:szCs w:val="22"/>
                <w:lang w:val="es-CR"/>
              </w:rPr>
              <w:t>Control de los activos transferidos</w:t>
            </w:r>
          </w:p>
        </w:tc>
        <w:tc>
          <w:tcPr>
            <w:tcW w:w="2043" w:type="dxa"/>
            <w:tcBorders>
              <w:top w:val="nil"/>
              <w:left w:val="nil"/>
              <w:bottom w:val="single" w:sz="8" w:space="0" w:color="auto"/>
              <w:right w:val="single" w:sz="8" w:space="0" w:color="auto"/>
            </w:tcBorders>
            <w:shd w:val="clear" w:color="auto" w:fill="auto"/>
            <w:vAlign w:val="center"/>
            <w:hideMark/>
          </w:tcPr>
          <w:p w14:paraId="154CF12A" w14:textId="77777777" w:rsidR="00852A92" w:rsidRPr="00852A92" w:rsidRDefault="00852A92" w:rsidP="00852A92">
            <w:pP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NICSP N° 23,</w:t>
            </w:r>
            <w:r w:rsidRPr="00852A92">
              <w:rPr>
                <w:rFonts w:ascii="Arial Narrow" w:eastAsia="Times New Roman" w:hAnsi="Arial Narrow" w:cs="Calibri"/>
                <w:b/>
                <w:bCs/>
                <w:color w:val="000000"/>
                <w:sz w:val="22"/>
                <w:szCs w:val="22"/>
              </w:rPr>
              <w:br/>
              <w:t>Párrafo 79</w:t>
            </w:r>
          </w:p>
        </w:tc>
        <w:tc>
          <w:tcPr>
            <w:tcW w:w="1889" w:type="dxa"/>
            <w:tcBorders>
              <w:top w:val="nil"/>
              <w:left w:val="nil"/>
              <w:bottom w:val="single" w:sz="8" w:space="0" w:color="auto"/>
              <w:right w:val="single" w:sz="8" w:space="0" w:color="auto"/>
            </w:tcBorders>
            <w:shd w:val="clear" w:color="auto" w:fill="auto"/>
            <w:vAlign w:val="center"/>
            <w:hideMark/>
          </w:tcPr>
          <w:p w14:paraId="43CC8BCF" w14:textId="77777777" w:rsidR="00852A92" w:rsidRPr="00852A92" w:rsidRDefault="00852A92" w:rsidP="00852A92">
            <w:pPr>
              <w:ind w:firstLineChars="100" w:firstLine="220"/>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 xml:space="preserve"> </w:t>
            </w:r>
          </w:p>
        </w:tc>
      </w:tr>
      <w:tr w:rsidR="00852A92" w:rsidRPr="00852A92" w14:paraId="223B5308" w14:textId="77777777" w:rsidTr="00466DD9">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022795F"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75972679"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16</w:t>
            </w:r>
          </w:p>
        </w:tc>
        <w:tc>
          <w:tcPr>
            <w:tcW w:w="520" w:type="dxa"/>
            <w:tcBorders>
              <w:top w:val="nil"/>
              <w:left w:val="nil"/>
              <w:bottom w:val="single" w:sz="8" w:space="0" w:color="auto"/>
              <w:right w:val="single" w:sz="8" w:space="0" w:color="auto"/>
            </w:tcBorders>
            <w:shd w:val="clear" w:color="auto" w:fill="auto"/>
            <w:vAlign w:val="center"/>
            <w:hideMark/>
          </w:tcPr>
          <w:p w14:paraId="42ABDEA0"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568884E7" w14:textId="77777777" w:rsidR="00852A92" w:rsidRPr="00852A92" w:rsidRDefault="00852A92" w:rsidP="00852A92">
            <w:pPr>
              <w:jc w:val="both"/>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Contribuciones de los propietarios</w:t>
            </w:r>
          </w:p>
        </w:tc>
        <w:tc>
          <w:tcPr>
            <w:tcW w:w="2043" w:type="dxa"/>
            <w:tcBorders>
              <w:top w:val="nil"/>
              <w:left w:val="nil"/>
              <w:bottom w:val="single" w:sz="8" w:space="0" w:color="auto"/>
              <w:right w:val="single" w:sz="8" w:space="0" w:color="auto"/>
            </w:tcBorders>
            <w:shd w:val="clear" w:color="auto" w:fill="auto"/>
            <w:vAlign w:val="center"/>
            <w:hideMark/>
          </w:tcPr>
          <w:p w14:paraId="4E5F7785" w14:textId="77777777" w:rsidR="00852A92" w:rsidRPr="00852A92" w:rsidRDefault="00852A92" w:rsidP="00852A92">
            <w:pP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NICSP N° 23,</w:t>
            </w:r>
            <w:r w:rsidRPr="00852A92">
              <w:rPr>
                <w:rFonts w:ascii="Arial Narrow" w:eastAsia="Times New Roman" w:hAnsi="Arial Narrow" w:cs="Calibri"/>
                <w:b/>
                <w:bCs/>
                <w:color w:val="000000"/>
                <w:sz w:val="22"/>
                <w:szCs w:val="22"/>
              </w:rPr>
              <w:br/>
              <w:t>Párrafo 80.</w:t>
            </w:r>
          </w:p>
        </w:tc>
        <w:tc>
          <w:tcPr>
            <w:tcW w:w="1889" w:type="dxa"/>
            <w:tcBorders>
              <w:top w:val="nil"/>
              <w:left w:val="nil"/>
              <w:bottom w:val="single" w:sz="8" w:space="0" w:color="auto"/>
              <w:right w:val="single" w:sz="8" w:space="0" w:color="auto"/>
            </w:tcBorders>
            <w:shd w:val="clear" w:color="auto" w:fill="auto"/>
            <w:vAlign w:val="center"/>
            <w:hideMark/>
          </w:tcPr>
          <w:p w14:paraId="3F790ED8" w14:textId="77777777" w:rsidR="00852A92" w:rsidRPr="00852A92" w:rsidRDefault="00852A92" w:rsidP="00852A92">
            <w:pPr>
              <w:ind w:firstLineChars="100" w:firstLine="220"/>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DGCN</w:t>
            </w:r>
          </w:p>
        </w:tc>
      </w:tr>
      <w:tr w:rsidR="00852A92" w:rsidRPr="00852A92" w14:paraId="3D53890B" w14:textId="77777777" w:rsidTr="00466DD9">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8ED1639"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1A7A6B04"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16</w:t>
            </w:r>
          </w:p>
        </w:tc>
        <w:tc>
          <w:tcPr>
            <w:tcW w:w="520" w:type="dxa"/>
            <w:tcBorders>
              <w:top w:val="nil"/>
              <w:left w:val="nil"/>
              <w:bottom w:val="single" w:sz="8" w:space="0" w:color="auto"/>
              <w:right w:val="single" w:sz="8" w:space="0" w:color="auto"/>
            </w:tcBorders>
            <w:shd w:val="clear" w:color="auto" w:fill="auto"/>
            <w:vAlign w:val="center"/>
            <w:hideMark/>
          </w:tcPr>
          <w:p w14:paraId="656837EA" w14:textId="77777777" w:rsidR="00852A92" w:rsidRPr="00852A92" w:rsidRDefault="00852A92" w:rsidP="00852A92">
            <w:pPr>
              <w:jc w:val="cente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6A360670" w14:textId="77777777" w:rsidR="00852A92" w:rsidRPr="00852A92" w:rsidRDefault="00852A92" w:rsidP="00852A92">
            <w:pPr>
              <w:jc w:val="both"/>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Generación de un pasivo</w:t>
            </w:r>
          </w:p>
        </w:tc>
        <w:tc>
          <w:tcPr>
            <w:tcW w:w="2043" w:type="dxa"/>
            <w:tcBorders>
              <w:top w:val="nil"/>
              <w:left w:val="nil"/>
              <w:bottom w:val="single" w:sz="8" w:space="0" w:color="auto"/>
              <w:right w:val="single" w:sz="8" w:space="0" w:color="auto"/>
            </w:tcBorders>
            <w:shd w:val="clear" w:color="auto" w:fill="auto"/>
            <w:vAlign w:val="center"/>
            <w:hideMark/>
          </w:tcPr>
          <w:p w14:paraId="35A1EF40" w14:textId="77777777" w:rsidR="00852A92" w:rsidRPr="00852A92" w:rsidRDefault="00852A92" w:rsidP="00852A92">
            <w:pPr>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NICSP N° 23,</w:t>
            </w:r>
            <w:r w:rsidRPr="00852A92">
              <w:rPr>
                <w:rFonts w:ascii="Arial Narrow" w:eastAsia="Times New Roman" w:hAnsi="Arial Narrow" w:cs="Calibri"/>
                <w:b/>
                <w:bCs/>
                <w:color w:val="000000"/>
                <w:sz w:val="22"/>
                <w:szCs w:val="22"/>
              </w:rPr>
              <w:br/>
              <w:t>Párrafo 82.</w:t>
            </w:r>
          </w:p>
        </w:tc>
        <w:tc>
          <w:tcPr>
            <w:tcW w:w="1889" w:type="dxa"/>
            <w:tcBorders>
              <w:top w:val="nil"/>
              <w:left w:val="nil"/>
              <w:bottom w:val="single" w:sz="8" w:space="0" w:color="auto"/>
              <w:right w:val="single" w:sz="8" w:space="0" w:color="auto"/>
            </w:tcBorders>
            <w:shd w:val="clear" w:color="auto" w:fill="auto"/>
            <w:vAlign w:val="center"/>
            <w:hideMark/>
          </w:tcPr>
          <w:p w14:paraId="206427B2" w14:textId="77777777" w:rsidR="00852A92" w:rsidRPr="00852A92" w:rsidRDefault="00852A92" w:rsidP="00852A92">
            <w:pPr>
              <w:ind w:firstLineChars="100" w:firstLine="220"/>
              <w:rPr>
                <w:rFonts w:ascii="Arial Narrow" w:eastAsia="Times New Roman" w:hAnsi="Arial Narrow" w:cs="Calibri"/>
                <w:b/>
                <w:bCs/>
                <w:color w:val="000000"/>
                <w:sz w:val="22"/>
                <w:szCs w:val="22"/>
              </w:rPr>
            </w:pPr>
            <w:r w:rsidRPr="00852A92">
              <w:rPr>
                <w:rFonts w:ascii="Arial Narrow" w:eastAsia="Times New Roman" w:hAnsi="Arial Narrow" w:cs="Calibri"/>
                <w:b/>
                <w:bCs/>
                <w:color w:val="000000"/>
                <w:sz w:val="22"/>
                <w:szCs w:val="22"/>
              </w:rPr>
              <w:t xml:space="preserve"> </w:t>
            </w:r>
          </w:p>
        </w:tc>
      </w:tr>
    </w:tbl>
    <w:p w14:paraId="5EB2B2C8" w14:textId="77777777" w:rsidR="00700786" w:rsidRDefault="00700786" w:rsidP="00466DD9">
      <w:pPr>
        <w:pStyle w:val="Default"/>
        <w:ind w:right="261"/>
        <w:jc w:val="both"/>
        <w:rPr>
          <w:sz w:val="22"/>
          <w:szCs w:val="22"/>
          <w:lang w:val="es-CR"/>
        </w:rPr>
      </w:pPr>
    </w:p>
    <w:p w14:paraId="3AA053EA" w14:textId="187755A9" w:rsidR="00466DD9" w:rsidRDefault="00466DD9" w:rsidP="00466DD9">
      <w:pPr>
        <w:pStyle w:val="Default"/>
        <w:ind w:right="261"/>
        <w:jc w:val="both"/>
        <w:rPr>
          <w:rFonts w:eastAsia="Arial"/>
          <w:b/>
          <w:sz w:val="22"/>
          <w:szCs w:val="22"/>
        </w:rPr>
      </w:pPr>
      <w:r w:rsidRPr="00F02F9D">
        <w:rPr>
          <w:rFonts w:eastAsia="Arial"/>
          <w:b/>
          <w:sz w:val="22"/>
          <w:szCs w:val="22"/>
        </w:rPr>
        <w:t>Política</w:t>
      </w:r>
      <w:r w:rsidR="00AB7853">
        <w:rPr>
          <w:rFonts w:eastAsia="Arial"/>
          <w:b/>
          <w:sz w:val="22"/>
          <w:szCs w:val="22"/>
        </w:rPr>
        <w:t xml:space="preserve">s </w:t>
      </w:r>
      <w:r w:rsidRPr="00F02F9D">
        <w:rPr>
          <w:rFonts w:eastAsia="Arial"/>
          <w:b/>
          <w:sz w:val="22"/>
          <w:szCs w:val="22"/>
        </w:rPr>
        <w:t>Contable</w:t>
      </w:r>
      <w:r w:rsidR="00AB7853">
        <w:rPr>
          <w:rFonts w:eastAsia="Arial"/>
          <w:b/>
          <w:sz w:val="22"/>
          <w:szCs w:val="22"/>
        </w:rPr>
        <w:t>s</w:t>
      </w:r>
    </w:p>
    <w:p w14:paraId="7558FC0C" w14:textId="77777777" w:rsidR="00466DD9" w:rsidRDefault="00466DD9" w:rsidP="00466DD9">
      <w:pPr>
        <w:pStyle w:val="Default"/>
        <w:ind w:right="261"/>
        <w:jc w:val="both"/>
        <w:rPr>
          <w:sz w:val="22"/>
          <w:szCs w:val="22"/>
          <w:lang w:val="es-CR"/>
        </w:rPr>
      </w:pPr>
    </w:p>
    <w:p w14:paraId="094A34BD" w14:textId="649D0A3E" w:rsidR="00852A92" w:rsidRDefault="00852A92" w:rsidP="00852A92">
      <w:pPr>
        <w:pStyle w:val="Default"/>
        <w:ind w:left="1134" w:hanging="1134"/>
        <w:jc w:val="both"/>
        <w:rPr>
          <w:sz w:val="22"/>
          <w:szCs w:val="22"/>
          <w:lang w:val="es-CR"/>
        </w:rPr>
      </w:pPr>
      <w:r>
        <w:rPr>
          <w:sz w:val="22"/>
          <w:szCs w:val="22"/>
          <w:lang w:val="es-CR"/>
        </w:rPr>
        <w:t>4.16.0.01</w:t>
      </w:r>
      <w:r>
        <w:rPr>
          <w:sz w:val="22"/>
          <w:szCs w:val="22"/>
          <w:lang w:val="es-CR"/>
        </w:rPr>
        <w:tab/>
      </w:r>
      <w:r w:rsidRPr="00852A92">
        <w:rPr>
          <w:sz w:val="22"/>
          <w:szCs w:val="22"/>
          <w:lang w:val="es-CR"/>
        </w:rPr>
        <w:t>Un activo en relación con transferencias deberá reconocerse cuando los recursos transferidos cumplan la definición de activo y satisfagan los criterios para ser reconocidos como tal.</w:t>
      </w:r>
    </w:p>
    <w:p w14:paraId="23B0927D" w14:textId="77777777" w:rsidR="00323C9E" w:rsidRPr="00852A92" w:rsidRDefault="00323C9E" w:rsidP="00852A92">
      <w:pPr>
        <w:pStyle w:val="Default"/>
        <w:ind w:left="1134" w:hanging="1134"/>
        <w:jc w:val="both"/>
        <w:rPr>
          <w:sz w:val="22"/>
          <w:szCs w:val="22"/>
          <w:lang w:val="es-CR"/>
        </w:rPr>
      </w:pPr>
    </w:p>
    <w:p w14:paraId="7ED5DA9F" w14:textId="193D8774" w:rsidR="00852A92" w:rsidRPr="00852A92" w:rsidRDefault="00852A92">
      <w:pPr>
        <w:pStyle w:val="Default"/>
        <w:numPr>
          <w:ilvl w:val="3"/>
          <w:numId w:val="240"/>
        </w:numPr>
        <w:ind w:left="1134" w:hanging="1134"/>
        <w:jc w:val="both"/>
        <w:rPr>
          <w:sz w:val="22"/>
          <w:szCs w:val="22"/>
          <w:lang w:val="es-CR"/>
        </w:rPr>
      </w:pPr>
      <w:r w:rsidRPr="00852A92">
        <w:rPr>
          <w:sz w:val="22"/>
          <w:szCs w:val="22"/>
          <w:lang w:val="es-CR"/>
        </w:rPr>
        <w:t xml:space="preserve">Las transferencias cumplen la definición de activo cuando: </w:t>
      </w:r>
    </w:p>
    <w:p w14:paraId="37F11B30" w14:textId="77777777" w:rsidR="00323C9E" w:rsidRDefault="00323C9E" w:rsidP="00323C9E">
      <w:pPr>
        <w:pStyle w:val="Default"/>
        <w:spacing w:after="20"/>
        <w:ind w:left="900"/>
        <w:jc w:val="both"/>
        <w:rPr>
          <w:sz w:val="22"/>
          <w:szCs w:val="22"/>
          <w:lang w:val="es-CR"/>
        </w:rPr>
      </w:pPr>
    </w:p>
    <w:p w14:paraId="7419174B" w14:textId="61ED6E01" w:rsidR="00323C9E" w:rsidRDefault="00852A92">
      <w:pPr>
        <w:pStyle w:val="Default"/>
        <w:numPr>
          <w:ilvl w:val="0"/>
          <w:numId w:val="241"/>
        </w:numPr>
        <w:spacing w:after="120"/>
        <w:ind w:left="1418" w:hanging="284"/>
        <w:jc w:val="both"/>
        <w:rPr>
          <w:sz w:val="22"/>
          <w:szCs w:val="22"/>
          <w:lang w:val="es-CR"/>
        </w:rPr>
      </w:pPr>
      <w:r w:rsidRPr="00323C9E">
        <w:rPr>
          <w:sz w:val="22"/>
          <w:szCs w:val="22"/>
          <w:lang w:val="es-CR"/>
        </w:rPr>
        <w:t xml:space="preserve">La Municipalidad controla los recursos como consecuencia de un suceso pasado (la transferencia) y espera recibir beneficios económicos o potencial de servicio futuros de esos recursos; </w:t>
      </w:r>
    </w:p>
    <w:p w14:paraId="0DD29A11" w14:textId="43BE3C38" w:rsidR="00852A92" w:rsidRPr="00323C9E" w:rsidRDefault="00852A92">
      <w:pPr>
        <w:pStyle w:val="Default"/>
        <w:numPr>
          <w:ilvl w:val="0"/>
          <w:numId w:val="241"/>
        </w:numPr>
        <w:spacing w:after="20"/>
        <w:ind w:left="1418" w:hanging="284"/>
        <w:jc w:val="both"/>
        <w:rPr>
          <w:sz w:val="22"/>
          <w:szCs w:val="22"/>
          <w:lang w:val="es-CR"/>
        </w:rPr>
      </w:pPr>
      <w:r w:rsidRPr="00323C9E">
        <w:rPr>
          <w:sz w:val="22"/>
          <w:szCs w:val="22"/>
          <w:lang w:val="es-CR"/>
        </w:rPr>
        <w:t xml:space="preserve">Es probable que la entrada de recursos ocurra y su valor razonable pueda ser medido con fiabilidad. </w:t>
      </w:r>
    </w:p>
    <w:p w14:paraId="636D2C41" w14:textId="77777777" w:rsidR="00852A92" w:rsidRPr="00852A92" w:rsidRDefault="00852A92" w:rsidP="00852A92">
      <w:pPr>
        <w:pStyle w:val="Default"/>
        <w:jc w:val="both"/>
        <w:rPr>
          <w:sz w:val="22"/>
          <w:szCs w:val="22"/>
          <w:lang w:val="es-CR"/>
        </w:rPr>
      </w:pPr>
    </w:p>
    <w:p w14:paraId="4F040BDE" w14:textId="0DD3D6A6" w:rsidR="00852A92" w:rsidRDefault="00323C9E" w:rsidP="00852A92">
      <w:pPr>
        <w:pStyle w:val="Default"/>
        <w:ind w:left="1134" w:hanging="1134"/>
        <w:jc w:val="both"/>
        <w:rPr>
          <w:sz w:val="22"/>
          <w:szCs w:val="22"/>
          <w:lang w:val="es-CR"/>
        </w:rPr>
      </w:pPr>
      <w:r>
        <w:rPr>
          <w:sz w:val="22"/>
          <w:szCs w:val="22"/>
          <w:lang w:val="es-CR"/>
        </w:rPr>
        <w:t>4.16.0.03</w:t>
      </w:r>
      <w:r>
        <w:rPr>
          <w:sz w:val="22"/>
          <w:szCs w:val="22"/>
          <w:lang w:val="es-CR"/>
        </w:rPr>
        <w:tab/>
      </w:r>
      <w:r w:rsidR="00852A92" w:rsidRPr="00852A92">
        <w:rPr>
          <w:sz w:val="22"/>
          <w:szCs w:val="22"/>
          <w:lang w:val="es-CR"/>
        </w:rPr>
        <w:t>En algunos casos, en lugar de incorporar un activo, puede tener la reducción de un pasivo previamente reconocido, como por ejemplo cuando un acreedor condona un pasivo o cuando un tercero asume un pasivo de la entidad.</w:t>
      </w:r>
    </w:p>
    <w:p w14:paraId="3B0096FA" w14:textId="77777777" w:rsidR="00852A92" w:rsidRPr="00852A92" w:rsidRDefault="00852A92" w:rsidP="00852A92">
      <w:pPr>
        <w:pStyle w:val="Default"/>
        <w:ind w:left="1134" w:hanging="1134"/>
        <w:jc w:val="both"/>
        <w:rPr>
          <w:sz w:val="22"/>
          <w:szCs w:val="22"/>
          <w:lang w:val="es-CR"/>
        </w:rPr>
      </w:pPr>
    </w:p>
    <w:p w14:paraId="69481D56" w14:textId="01935DCC" w:rsidR="00852A92" w:rsidRPr="00852A92" w:rsidRDefault="00323C9E" w:rsidP="00323C9E">
      <w:pPr>
        <w:pStyle w:val="Default"/>
        <w:ind w:left="1134" w:hanging="1134"/>
        <w:jc w:val="both"/>
        <w:rPr>
          <w:sz w:val="22"/>
          <w:szCs w:val="22"/>
          <w:lang w:val="es-CR"/>
        </w:rPr>
      </w:pPr>
      <w:r>
        <w:rPr>
          <w:sz w:val="22"/>
          <w:szCs w:val="22"/>
          <w:lang w:val="es-CR"/>
        </w:rPr>
        <w:t>4.16.</w:t>
      </w:r>
      <w:r w:rsidR="00852A92" w:rsidRPr="00852A92">
        <w:rPr>
          <w:sz w:val="22"/>
          <w:szCs w:val="22"/>
          <w:lang w:val="es-CR"/>
        </w:rPr>
        <w:t>1.</w:t>
      </w:r>
      <w:r>
        <w:rPr>
          <w:sz w:val="22"/>
          <w:szCs w:val="22"/>
          <w:lang w:val="es-CR"/>
        </w:rPr>
        <w:t>01</w:t>
      </w:r>
      <w:r>
        <w:rPr>
          <w:sz w:val="22"/>
          <w:szCs w:val="22"/>
          <w:lang w:val="es-CR"/>
        </w:rPr>
        <w:tab/>
      </w:r>
      <w:r w:rsidR="00852A92" w:rsidRPr="00852A92">
        <w:rPr>
          <w:sz w:val="22"/>
          <w:szCs w:val="22"/>
          <w:lang w:val="es-CR"/>
        </w:rPr>
        <w:t xml:space="preserve">Se obtiene el control de los activos transferidos cuando los recursos han sido transferidos a la entidad o ésta tiene un derecho exigible por ley contra el transferidor. La entidad evaluará si es probable que la entrada de recursos ocurra. </w:t>
      </w:r>
    </w:p>
    <w:p w14:paraId="0E9A5658" w14:textId="77777777" w:rsidR="00852A92" w:rsidRPr="00852A92" w:rsidRDefault="00852A92" w:rsidP="00852A92">
      <w:pPr>
        <w:pStyle w:val="Default"/>
        <w:jc w:val="both"/>
        <w:rPr>
          <w:sz w:val="22"/>
          <w:szCs w:val="22"/>
          <w:lang w:val="es-CR"/>
        </w:rPr>
      </w:pPr>
    </w:p>
    <w:p w14:paraId="51EF293C" w14:textId="1C3BEE79" w:rsidR="00852A92" w:rsidRPr="00852A92" w:rsidRDefault="00323C9E" w:rsidP="00323C9E">
      <w:pPr>
        <w:pStyle w:val="Default"/>
        <w:ind w:left="1134" w:hanging="1134"/>
        <w:jc w:val="both"/>
        <w:rPr>
          <w:sz w:val="22"/>
          <w:szCs w:val="22"/>
          <w:lang w:val="es-CR"/>
        </w:rPr>
      </w:pPr>
      <w:r>
        <w:rPr>
          <w:sz w:val="22"/>
          <w:szCs w:val="22"/>
          <w:lang w:val="es-CR"/>
        </w:rPr>
        <w:t>4.16.</w:t>
      </w:r>
      <w:r w:rsidR="00852A92" w:rsidRPr="00852A92">
        <w:rPr>
          <w:sz w:val="22"/>
          <w:szCs w:val="22"/>
          <w:lang w:val="es-CR"/>
        </w:rPr>
        <w:t>2.</w:t>
      </w:r>
      <w:r>
        <w:rPr>
          <w:sz w:val="22"/>
          <w:szCs w:val="22"/>
          <w:lang w:val="es-CR"/>
        </w:rPr>
        <w:t>01</w:t>
      </w:r>
      <w:r>
        <w:rPr>
          <w:sz w:val="22"/>
          <w:szCs w:val="22"/>
          <w:lang w:val="es-CR"/>
        </w:rPr>
        <w:tab/>
      </w:r>
      <w:r w:rsidR="00852A92" w:rsidRPr="00852A92">
        <w:rPr>
          <w:sz w:val="22"/>
          <w:szCs w:val="22"/>
          <w:lang w:val="es-CR"/>
        </w:rPr>
        <w:t xml:space="preserve"> Las transferencias de recursos que satisfacen la definición de “contribuciones de los propietarios”, en los términos expuestos en el Capítulo “Patrimonio” del presente PGCN, no darán lugar a ingresos, sino que se reconocerán directamente en el Patrimonio. </w:t>
      </w:r>
    </w:p>
    <w:p w14:paraId="5F0DD6A2" w14:textId="77777777" w:rsidR="00852A92" w:rsidRPr="00852A92" w:rsidRDefault="00852A92" w:rsidP="00852A92">
      <w:pPr>
        <w:pStyle w:val="Default"/>
        <w:jc w:val="both"/>
        <w:rPr>
          <w:sz w:val="22"/>
          <w:szCs w:val="22"/>
          <w:lang w:val="es-CR"/>
        </w:rPr>
      </w:pPr>
    </w:p>
    <w:p w14:paraId="30EFFE03" w14:textId="482916A1" w:rsidR="00852A92" w:rsidRPr="00852A92" w:rsidRDefault="00323C9E" w:rsidP="00323C9E">
      <w:pPr>
        <w:pStyle w:val="Default"/>
        <w:ind w:left="1134" w:hanging="1134"/>
        <w:jc w:val="both"/>
        <w:rPr>
          <w:sz w:val="22"/>
          <w:szCs w:val="22"/>
          <w:lang w:val="es-CR"/>
        </w:rPr>
      </w:pPr>
      <w:r>
        <w:rPr>
          <w:sz w:val="22"/>
          <w:szCs w:val="22"/>
          <w:lang w:val="es-CR"/>
        </w:rPr>
        <w:t>4.16.</w:t>
      </w:r>
      <w:r w:rsidR="00852A92" w:rsidRPr="00852A92">
        <w:rPr>
          <w:sz w:val="22"/>
          <w:szCs w:val="22"/>
          <w:lang w:val="es-CR"/>
        </w:rPr>
        <w:t>3.</w:t>
      </w:r>
      <w:r>
        <w:rPr>
          <w:sz w:val="22"/>
          <w:szCs w:val="22"/>
          <w:lang w:val="es-CR"/>
        </w:rPr>
        <w:t>01</w:t>
      </w:r>
      <w:r>
        <w:rPr>
          <w:sz w:val="22"/>
          <w:szCs w:val="22"/>
          <w:lang w:val="es-CR"/>
        </w:rPr>
        <w:tab/>
      </w:r>
      <w:r w:rsidR="00852A92" w:rsidRPr="00852A92">
        <w:rPr>
          <w:sz w:val="22"/>
          <w:szCs w:val="22"/>
          <w:lang w:val="es-CR"/>
        </w:rPr>
        <w:t xml:space="preserve">Deberán analizarse todas las estipulaciones contenidas en los acuerdos de transferencia para determinar si la entidad incurre en un pasivo cuando acepta los recursos transferidos. </w:t>
      </w:r>
    </w:p>
    <w:p w14:paraId="6C804F90" w14:textId="77777777" w:rsidR="00700786" w:rsidRDefault="00700786" w:rsidP="00727CD8">
      <w:pPr>
        <w:pStyle w:val="Default"/>
        <w:ind w:right="261"/>
        <w:jc w:val="both"/>
        <w:rPr>
          <w:sz w:val="22"/>
          <w:szCs w:val="22"/>
          <w:lang w:val="es-CR"/>
        </w:rPr>
      </w:pPr>
    </w:p>
    <w:p w14:paraId="5B03FD43" w14:textId="77777777" w:rsidR="00AB7853" w:rsidRDefault="00AB7853" w:rsidP="00727CD8">
      <w:pPr>
        <w:pStyle w:val="Default"/>
        <w:ind w:right="261"/>
        <w:jc w:val="both"/>
        <w:rPr>
          <w:sz w:val="22"/>
          <w:szCs w:val="22"/>
          <w:lang w:val="es-CR"/>
        </w:rPr>
      </w:pPr>
    </w:p>
    <w:p w14:paraId="077CBD77" w14:textId="77777777" w:rsidR="00AB7853" w:rsidRDefault="00AB7853" w:rsidP="00727CD8">
      <w:pPr>
        <w:pStyle w:val="Default"/>
        <w:ind w:right="261"/>
        <w:jc w:val="both"/>
        <w:rPr>
          <w:sz w:val="22"/>
          <w:szCs w:val="22"/>
          <w:lang w:val="es-CR"/>
        </w:rPr>
      </w:pPr>
    </w:p>
    <w:p w14:paraId="7BEB1BC3" w14:textId="77777777" w:rsidR="00AB7853" w:rsidRDefault="00AB7853" w:rsidP="00727CD8">
      <w:pPr>
        <w:pStyle w:val="Default"/>
        <w:ind w:right="261"/>
        <w:jc w:val="both"/>
        <w:rPr>
          <w:sz w:val="22"/>
          <w:szCs w:val="22"/>
          <w:lang w:val="es-CR"/>
        </w:rPr>
      </w:pPr>
    </w:p>
    <w:p w14:paraId="430E04AB" w14:textId="77777777" w:rsidR="00311422" w:rsidRDefault="00311422" w:rsidP="00727CD8">
      <w:pPr>
        <w:pStyle w:val="Default"/>
        <w:ind w:right="261"/>
        <w:jc w:val="both"/>
        <w:rPr>
          <w:sz w:val="22"/>
          <w:szCs w:val="22"/>
          <w:lang w:val="es-CR"/>
        </w:rPr>
      </w:pPr>
    </w:p>
    <w:tbl>
      <w:tblPr>
        <w:tblW w:w="9394" w:type="dxa"/>
        <w:tblLook w:val="04A0" w:firstRow="1" w:lastRow="0" w:firstColumn="1" w:lastColumn="0" w:noHBand="0" w:noVBand="1"/>
      </w:tblPr>
      <w:tblGrid>
        <w:gridCol w:w="536"/>
        <w:gridCol w:w="706"/>
        <w:gridCol w:w="517"/>
        <w:gridCol w:w="3723"/>
        <w:gridCol w:w="2021"/>
        <w:gridCol w:w="1881"/>
        <w:gridCol w:w="10"/>
      </w:tblGrid>
      <w:tr w:rsidR="00323C9E" w:rsidRPr="00727CD8" w14:paraId="7E329BB8" w14:textId="77777777" w:rsidTr="00AB7853">
        <w:trPr>
          <w:trHeight w:val="320"/>
        </w:trPr>
        <w:tc>
          <w:tcPr>
            <w:tcW w:w="17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7C33FDF" w14:textId="77777777" w:rsidR="00323C9E" w:rsidRPr="00727CD8" w:rsidRDefault="00323C9E" w:rsidP="00323C9E">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lastRenderedPageBreak/>
              <w:t>Norma / Política</w:t>
            </w:r>
          </w:p>
        </w:tc>
        <w:tc>
          <w:tcPr>
            <w:tcW w:w="3723" w:type="dxa"/>
            <w:vMerge w:val="restart"/>
            <w:tcBorders>
              <w:top w:val="single" w:sz="8" w:space="0" w:color="auto"/>
              <w:left w:val="single" w:sz="8" w:space="0" w:color="auto"/>
              <w:bottom w:val="nil"/>
              <w:right w:val="single" w:sz="8" w:space="0" w:color="auto"/>
            </w:tcBorders>
            <w:shd w:val="clear" w:color="000000" w:fill="203764"/>
            <w:vAlign w:val="center"/>
            <w:hideMark/>
          </w:tcPr>
          <w:p w14:paraId="78762A2C" w14:textId="77777777" w:rsidR="00323C9E" w:rsidRPr="00727CD8" w:rsidRDefault="00323C9E" w:rsidP="00323C9E">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Concepto</w:t>
            </w:r>
          </w:p>
        </w:tc>
        <w:tc>
          <w:tcPr>
            <w:tcW w:w="3912" w:type="dxa"/>
            <w:gridSpan w:val="3"/>
            <w:tcBorders>
              <w:top w:val="single" w:sz="8" w:space="0" w:color="auto"/>
              <w:left w:val="nil"/>
              <w:bottom w:val="single" w:sz="8" w:space="0" w:color="auto"/>
              <w:right w:val="single" w:sz="8" w:space="0" w:color="000000"/>
            </w:tcBorders>
            <w:shd w:val="clear" w:color="000000" w:fill="203764"/>
            <w:vAlign w:val="center"/>
            <w:hideMark/>
          </w:tcPr>
          <w:p w14:paraId="683CC3DB" w14:textId="77777777" w:rsidR="00323C9E" w:rsidRPr="00727CD8" w:rsidRDefault="00323C9E" w:rsidP="00323C9E">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Referencia</w:t>
            </w:r>
          </w:p>
        </w:tc>
      </w:tr>
      <w:tr w:rsidR="00323C9E" w:rsidRPr="006E5442" w14:paraId="568055B3" w14:textId="77777777" w:rsidTr="00AB7853">
        <w:trPr>
          <w:gridAfter w:val="1"/>
          <w:wAfter w:w="10" w:type="dxa"/>
          <w:trHeight w:val="850"/>
        </w:trPr>
        <w:tc>
          <w:tcPr>
            <w:tcW w:w="1759" w:type="dxa"/>
            <w:gridSpan w:val="3"/>
            <w:vMerge/>
            <w:tcBorders>
              <w:top w:val="single" w:sz="8" w:space="0" w:color="auto"/>
              <w:left w:val="single" w:sz="8" w:space="0" w:color="auto"/>
              <w:bottom w:val="nil"/>
              <w:right w:val="single" w:sz="8" w:space="0" w:color="000000"/>
            </w:tcBorders>
            <w:vAlign w:val="center"/>
            <w:hideMark/>
          </w:tcPr>
          <w:p w14:paraId="768CE903" w14:textId="77777777" w:rsidR="00323C9E" w:rsidRPr="00727CD8" w:rsidRDefault="00323C9E" w:rsidP="00323C9E">
            <w:pPr>
              <w:rPr>
                <w:rFonts w:ascii="Arial Narrow" w:eastAsia="Times New Roman" w:hAnsi="Arial Narrow" w:cs="Calibri"/>
                <w:b/>
                <w:bCs/>
                <w:color w:val="FFFFFF"/>
                <w:sz w:val="22"/>
                <w:szCs w:val="22"/>
              </w:rPr>
            </w:pPr>
          </w:p>
        </w:tc>
        <w:tc>
          <w:tcPr>
            <w:tcW w:w="3723" w:type="dxa"/>
            <w:vMerge/>
            <w:tcBorders>
              <w:top w:val="single" w:sz="8" w:space="0" w:color="auto"/>
              <w:left w:val="single" w:sz="8" w:space="0" w:color="auto"/>
              <w:bottom w:val="nil"/>
              <w:right w:val="single" w:sz="8" w:space="0" w:color="auto"/>
            </w:tcBorders>
            <w:vAlign w:val="center"/>
            <w:hideMark/>
          </w:tcPr>
          <w:p w14:paraId="16D40C02" w14:textId="77777777" w:rsidR="00323C9E" w:rsidRPr="00727CD8" w:rsidRDefault="00323C9E" w:rsidP="00323C9E">
            <w:pPr>
              <w:rPr>
                <w:rFonts w:ascii="Arial Narrow" w:eastAsia="Times New Roman" w:hAnsi="Arial Narrow" w:cs="Calibri"/>
                <w:b/>
                <w:bCs/>
                <w:color w:val="FFFFFF"/>
                <w:sz w:val="22"/>
                <w:szCs w:val="22"/>
              </w:rPr>
            </w:pPr>
          </w:p>
        </w:tc>
        <w:tc>
          <w:tcPr>
            <w:tcW w:w="2021" w:type="dxa"/>
            <w:tcBorders>
              <w:top w:val="nil"/>
              <w:left w:val="nil"/>
              <w:bottom w:val="nil"/>
              <w:right w:val="single" w:sz="8" w:space="0" w:color="auto"/>
            </w:tcBorders>
            <w:shd w:val="clear" w:color="000000" w:fill="203764"/>
            <w:vAlign w:val="center"/>
            <w:hideMark/>
          </w:tcPr>
          <w:p w14:paraId="5FDD5C33" w14:textId="77777777" w:rsidR="00323C9E" w:rsidRPr="00727CD8" w:rsidRDefault="00323C9E" w:rsidP="00323C9E">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Norma</w:t>
            </w:r>
          </w:p>
        </w:tc>
        <w:tc>
          <w:tcPr>
            <w:tcW w:w="1881" w:type="dxa"/>
            <w:tcBorders>
              <w:top w:val="nil"/>
              <w:left w:val="nil"/>
              <w:bottom w:val="nil"/>
              <w:right w:val="single" w:sz="8" w:space="0" w:color="auto"/>
            </w:tcBorders>
            <w:shd w:val="clear" w:color="000000" w:fill="203764"/>
            <w:vAlign w:val="center"/>
            <w:hideMark/>
          </w:tcPr>
          <w:p w14:paraId="4A270890" w14:textId="77777777" w:rsidR="00323C9E" w:rsidRPr="00727CD8" w:rsidRDefault="00323C9E" w:rsidP="00323C9E">
            <w:pPr>
              <w:jc w:val="center"/>
              <w:rPr>
                <w:rFonts w:ascii="Arial Narrow" w:eastAsia="Times New Roman" w:hAnsi="Arial Narrow" w:cs="Calibri"/>
                <w:b/>
                <w:bCs/>
                <w:color w:val="FFFFFF"/>
                <w:sz w:val="22"/>
                <w:szCs w:val="22"/>
                <w:lang w:val="es-CR"/>
              </w:rPr>
            </w:pPr>
            <w:r w:rsidRPr="00727CD8">
              <w:rPr>
                <w:rFonts w:ascii="Arial Narrow" w:eastAsia="Times New Roman" w:hAnsi="Arial Narrow" w:cs="Calibri"/>
                <w:b/>
                <w:bCs/>
                <w:color w:val="FFFFFF"/>
                <w:sz w:val="22"/>
                <w:szCs w:val="22"/>
                <w:lang w:val="es-CR"/>
              </w:rPr>
              <w:t>Normativa técnica y disposiciones adicionales</w:t>
            </w:r>
          </w:p>
        </w:tc>
      </w:tr>
      <w:tr w:rsidR="00323C9E" w:rsidRPr="00727CD8" w14:paraId="23C7DA8D" w14:textId="77777777" w:rsidTr="00AB7853">
        <w:trPr>
          <w:gridAfter w:val="1"/>
          <w:wAfter w:w="10" w:type="dxa"/>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64A89E" w14:textId="77777777" w:rsidR="00323C9E" w:rsidRPr="00727CD8" w:rsidRDefault="00323C9E" w:rsidP="00323C9E">
            <w:pPr>
              <w:jc w:val="right"/>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4</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74A58126" w14:textId="77777777" w:rsidR="00323C9E" w:rsidRPr="00727CD8" w:rsidRDefault="00323C9E" w:rsidP="00323C9E">
            <w:pPr>
              <w:ind w:firstLineChars="100" w:firstLine="220"/>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17</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0C588126" w14:textId="1CF0A2E6" w:rsidR="00323C9E" w:rsidRPr="00727CD8" w:rsidRDefault="00323C9E" w:rsidP="00323C9E">
            <w:pPr>
              <w:jc w:val="center"/>
              <w:rPr>
                <w:rFonts w:ascii="Arial Narrow" w:eastAsia="Times New Roman" w:hAnsi="Arial Narrow" w:cs="Calibri"/>
                <w:b/>
                <w:bCs/>
                <w:color w:val="000000"/>
                <w:sz w:val="22"/>
                <w:szCs w:val="22"/>
              </w:rPr>
            </w:pPr>
          </w:p>
        </w:tc>
        <w:tc>
          <w:tcPr>
            <w:tcW w:w="3723" w:type="dxa"/>
            <w:tcBorders>
              <w:top w:val="single" w:sz="8" w:space="0" w:color="auto"/>
              <w:left w:val="nil"/>
              <w:bottom w:val="single" w:sz="8" w:space="0" w:color="auto"/>
              <w:right w:val="single" w:sz="8" w:space="0" w:color="auto"/>
            </w:tcBorders>
            <w:shd w:val="clear" w:color="auto" w:fill="auto"/>
            <w:vAlign w:val="center"/>
            <w:hideMark/>
          </w:tcPr>
          <w:p w14:paraId="3A5F4979" w14:textId="77777777" w:rsidR="00323C9E" w:rsidRPr="00727CD8" w:rsidRDefault="00323C9E" w:rsidP="00323C9E">
            <w:pPr>
              <w:rPr>
                <w:rFonts w:ascii="Arial Narrow" w:eastAsia="Times New Roman" w:hAnsi="Arial Narrow"/>
                <w:b/>
                <w:bCs/>
                <w:color w:val="000000"/>
                <w:sz w:val="22"/>
                <w:szCs w:val="22"/>
                <w:lang w:val="es-CR"/>
              </w:rPr>
            </w:pPr>
            <w:r w:rsidRPr="00727CD8">
              <w:rPr>
                <w:rFonts w:ascii="Arial Narrow" w:eastAsia="Times New Roman" w:hAnsi="Arial Narrow"/>
                <w:b/>
                <w:bCs/>
                <w:color w:val="000000"/>
                <w:sz w:val="22"/>
                <w:szCs w:val="22"/>
                <w:lang w:val="es-CR"/>
              </w:rPr>
              <w:t>Medición de los activos transferidos</w:t>
            </w:r>
          </w:p>
        </w:tc>
        <w:tc>
          <w:tcPr>
            <w:tcW w:w="2021" w:type="dxa"/>
            <w:tcBorders>
              <w:top w:val="single" w:sz="8" w:space="0" w:color="auto"/>
              <w:left w:val="nil"/>
              <w:bottom w:val="single" w:sz="8" w:space="0" w:color="auto"/>
              <w:right w:val="single" w:sz="8" w:space="0" w:color="auto"/>
            </w:tcBorders>
            <w:shd w:val="clear" w:color="auto" w:fill="auto"/>
            <w:vAlign w:val="center"/>
            <w:hideMark/>
          </w:tcPr>
          <w:p w14:paraId="74928969" w14:textId="77777777" w:rsidR="00323C9E" w:rsidRPr="00727CD8" w:rsidRDefault="00323C9E" w:rsidP="00323C9E">
            <w:pP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NICSP N° 23,</w:t>
            </w:r>
            <w:r w:rsidRPr="00727CD8">
              <w:rPr>
                <w:rFonts w:ascii="Arial Narrow" w:eastAsia="Times New Roman" w:hAnsi="Arial Narrow" w:cs="Calibri"/>
                <w:b/>
                <w:bCs/>
                <w:color w:val="000000"/>
                <w:sz w:val="22"/>
                <w:szCs w:val="22"/>
              </w:rPr>
              <w:br/>
              <w:t>Párrafo 83.</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34AE74E9" w14:textId="77777777" w:rsidR="00323C9E" w:rsidRPr="00727CD8" w:rsidRDefault="00323C9E" w:rsidP="00323C9E">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 xml:space="preserve"> </w:t>
            </w:r>
          </w:p>
        </w:tc>
      </w:tr>
      <w:tr w:rsidR="00323C9E" w:rsidRPr="00727CD8" w14:paraId="0AB0DFE2" w14:textId="77777777" w:rsidTr="00AB7853">
        <w:trPr>
          <w:gridAfter w:val="1"/>
          <w:wAfter w:w="10" w:type="dxa"/>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451806C6" w14:textId="77777777" w:rsidR="00323C9E" w:rsidRPr="00727CD8" w:rsidRDefault="00323C9E" w:rsidP="00323C9E">
            <w:pPr>
              <w:jc w:val="right"/>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45C8B292" w14:textId="77777777" w:rsidR="00323C9E" w:rsidRPr="00727CD8" w:rsidRDefault="00323C9E" w:rsidP="00323C9E">
            <w:pPr>
              <w:ind w:firstLineChars="100" w:firstLine="220"/>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17</w:t>
            </w:r>
          </w:p>
        </w:tc>
        <w:tc>
          <w:tcPr>
            <w:tcW w:w="517" w:type="dxa"/>
            <w:tcBorders>
              <w:top w:val="nil"/>
              <w:left w:val="nil"/>
              <w:bottom w:val="single" w:sz="8" w:space="0" w:color="auto"/>
              <w:right w:val="nil"/>
            </w:tcBorders>
            <w:shd w:val="clear" w:color="auto" w:fill="auto"/>
            <w:vAlign w:val="center"/>
            <w:hideMark/>
          </w:tcPr>
          <w:p w14:paraId="3F77604F" w14:textId="77777777" w:rsidR="00323C9E" w:rsidRPr="00727CD8" w:rsidRDefault="00323C9E" w:rsidP="00323C9E">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1</w:t>
            </w:r>
          </w:p>
        </w:tc>
        <w:tc>
          <w:tcPr>
            <w:tcW w:w="3723" w:type="dxa"/>
            <w:tcBorders>
              <w:top w:val="nil"/>
              <w:left w:val="single" w:sz="8" w:space="0" w:color="auto"/>
              <w:bottom w:val="single" w:sz="8" w:space="0" w:color="auto"/>
              <w:right w:val="single" w:sz="8" w:space="0" w:color="auto"/>
            </w:tcBorders>
            <w:shd w:val="clear" w:color="auto" w:fill="auto"/>
            <w:vAlign w:val="center"/>
            <w:hideMark/>
          </w:tcPr>
          <w:p w14:paraId="61B6854C" w14:textId="77777777" w:rsidR="00323C9E" w:rsidRPr="00727CD8" w:rsidRDefault="00323C9E" w:rsidP="00323C9E">
            <w:pPr>
              <w:rPr>
                <w:rFonts w:ascii="Arial Narrow" w:eastAsia="Times New Roman" w:hAnsi="Arial Narrow"/>
                <w:b/>
                <w:bCs/>
                <w:color w:val="000000"/>
                <w:sz w:val="22"/>
                <w:szCs w:val="22"/>
                <w:lang w:val="es-CR"/>
              </w:rPr>
            </w:pPr>
            <w:r w:rsidRPr="00727CD8">
              <w:rPr>
                <w:rFonts w:ascii="Arial Narrow" w:eastAsia="Times New Roman" w:hAnsi="Arial Narrow"/>
                <w:b/>
                <w:bCs/>
                <w:color w:val="000000"/>
                <w:sz w:val="22"/>
                <w:szCs w:val="22"/>
                <w:lang w:val="es-CR"/>
              </w:rPr>
              <w:t>Reconocimiento y medición de los activos transferidos</w:t>
            </w:r>
          </w:p>
        </w:tc>
        <w:tc>
          <w:tcPr>
            <w:tcW w:w="2021" w:type="dxa"/>
            <w:tcBorders>
              <w:top w:val="nil"/>
              <w:left w:val="nil"/>
              <w:bottom w:val="single" w:sz="8" w:space="0" w:color="auto"/>
              <w:right w:val="single" w:sz="8" w:space="0" w:color="auto"/>
            </w:tcBorders>
            <w:shd w:val="clear" w:color="auto" w:fill="auto"/>
            <w:vAlign w:val="center"/>
            <w:hideMark/>
          </w:tcPr>
          <w:p w14:paraId="3224A334" w14:textId="77777777" w:rsidR="00323C9E" w:rsidRPr="00727CD8" w:rsidRDefault="00323C9E" w:rsidP="00323C9E">
            <w:pP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NICSP N° 23,</w:t>
            </w:r>
            <w:r w:rsidRPr="00727CD8">
              <w:rPr>
                <w:rFonts w:ascii="Arial Narrow" w:eastAsia="Times New Roman" w:hAnsi="Arial Narrow" w:cs="Calibri"/>
                <w:b/>
                <w:bCs/>
                <w:color w:val="000000"/>
                <w:sz w:val="22"/>
                <w:szCs w:val="22"/>
              </w:rPr>
              <w:br/>
              <w:t>Párrafo 83.</w:t>
            </w:r>
          </w:p>
        </w:tc>
        <w:tc>
          <w:tcPr>
            <w:tcW w:w="1881" w:type="dxa"/>
            <w:tcBorders>
              <w:top w:val="nil"/>
              <w:left w:val="nil"/>
              <w:bottom w:val="single" w:sz="8" w:space="0" w:color="auto"/>
              <w:right w:val="single" w:sz="8" w:space="0" w:color="auto"/>
            </w:tcBorders>
            <w:shd w:val="clear" w:color="auto" w:fill="auto"/>
            <w:vAlign w:val="center"/>
            <w:hideMark/>
          </w:tcPr>
          <w:p w14:paraId="4295DFA0" w14:textId="77777777" w:rsidR="00323C9E" w:rsidRPr="00727CD8" w:rsidRDefault="00323C9E" w:rsidP="00323C9E">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DGCN</w:t>
            </w:r>
          </w:p>
        </w:tc>
      </w:tr>
    </w:tbl>
    <w:p w14:paraId="2B3EAF36" w14:textId="77777777" w:rsidR="00311422" w:rsidRDefault="00311422" w:rsidP="00323C9E">
      <w:pPr>
        <w:pStyle w:val="Default"/>
        <w:ind w:left="1134" w:hanging="1134"/>
        <w:jc w:val="both"/>
        <w:rPr>
          <w:sz w:val="22"/>
          <w:szCs w:val="22"/>
          <w:lang w:val="es-CR"/>
        </w:rPr>
      </w:pPr>
    </w:p>
    <w:p w14:paraId="664963FA" w14:textId="2AEFFFCC" w:rsidR="00AB7853" w:rsidRDefault="00AB7853" w:rsidP="00323C9E">
      <w:pPr>
        <w:pStyle w:val="Default"/>
        <w:ind w:left="1134" w:hanging="1134"/>
        <w:jc w:val="both"/>
        <w:rPr>
          <w:sz w:val="22"/>
          <w:szCs w:val="22"/>
          <w:lang w:val="es-CR"/>
        </w:rPr>
      </w:pPr>
      <w:r w:rsidRPr="00F02F9D">
        <w:rPr>
          <w:rFonts w:eastAsia="Arial"/>
          <w:b/>
          <w:sz w:val="22"/>
          <w:szCs w:val="22"/>
        </w:rPr>
        <w:t>Políticas Contables</w:t>
      </w:r>
    </w:p>
    <w:p w14:paraId="4FB697F2" w14:textId="77777777" w:rsidR="00AB7853" w:rsidRDefault="00AB7853" w:rsidP="00323C9E">
      <w:pPr>
        <w:pStyle w:val="Default"/>
        <w:ind w:left="1134" w:hanging="1134"/>
        <w:jc w:val="both"/>
        <w:rPr>
          <w:sz w:val="22"/>
          <w:szCs w:val="22"/>
          <w:lang w:val="es-CR"/>
        </w:rPr>
      </w:pPr>
    </w:p>
    <w:p w14:paraId="2A01AD28" w14:textId="0BD5FC5A" w:rsidR="00323C9E" w:rsidRPr="00323C9E" w:rsidRDefault="00323C9E" w:rsidP="00323C9E">
      <w:pPr>
        <w:pStyle w:val="Default"/>
        <w:ind w:left="1134" w:hanging="1134"/>
        <w:jc w:val="both"/>
        <w:rPr>
          <w:sz w:val="22"/>
          <w:szCs w:val="22"/>
          <w:lang w:val="es-CR"/>
        </w:rPr>
      </w:pPr>
      <w:r>
        <w:rPr>
          <w:sz w:val="22"/>
          <w:szCs w:val="22"/>
          <w:lang w:val="es-CR"/>
        </w:rPr>
        <w:t>4.17.0.01</w:t>
      </w:r>
      <w:r>
        <w:rPr>
          <w:sz w:val="22"/>
          <w:szCs w:val="22"/>
          <w:lang w:val="es-CR"/>
        </w:rPr>
        <w:tab/>
      </w:r>
      <w:r w:rsidRPr="00323C9E">
        <w:rPr>
          <w:sz w:val="22"/>
          <w:szCs w:val="22"/>
          <w:lang w:val="es-CR"/>
        </w:rPr>
        <w:t xml:space="preserve">Los activos transferidos se miden por su valor razonable a la fecha de transferencia. </w:t>
      </w:r>
    </w:p>
    <w:p w14:paraId="1D5C98DF" w14:textId="0D7D7756" w:rsidR="00323C9E" w:rsidRPr="00323C9E" w:rsidRDefault="00323C9E" w:rsidP="00323C9E">
      <w:pPr>
        <w:pStyle w:val="Default"/>
        <w:jc w:val="both"/>
        <w:rPr>
          <w:sz w:val="22"/>
          <w:szCs w:val="22"/>
          <w:lang w:val="es-CR"/>
        </w:rPr>
      </w:pPr>
    </w:p>
    <w:p w14:paraId="71EAC507" w14:textId="14CD6DA1" w:rsidR="00700786" w:rsidRPr="00323C9E" w:rsidRDefault="00323C9E" w:rsidP="00323C9E">
      <w:pPr>
        <w:pStyle w:val="Default"/>
        <w:spacing w:after="120" w:line="238" w:lineRule="auto"/>
        <w:ind w:left="1134" w:right="4" w:hanging="1134"/>
        <w:jc w:val="both"/>
        <w:rPr>
          <w:sz w:val="22"/>
          <w:szCs w:val="22"/>
          <w:lang w:val="es-CR"/>
        </w:rPr>
      </w:pPr>
      <w:r>
        <w:rPr>
          <w:sz w:val="22"/>
          <w:szCs w:val="22"/>
          <w:lang w:val="es-CR"/>
        </w:rPr>
        <w:t>4.17.</w:t>
      </w:r>
      <w:r w:rsidRPr="00323C9E">
        <w:rPr>
          <w:sz w:val="22"/>
          <w:szCs w:val="22"/>
          <w:lang w:val="es-CR"/>
        </w:rPr>
        <w:t>1.</w:t>
      </w:r>
      <w:r>
        <w:rPr>
          <w:sz w:val="22"/>
          <w:szCs w:val="22"/>
          <w:lang w:val="es-CR"/>
        </w:rPr>
        <w:t>01</w:t>
      </w:r>
      <w:r>
        <w:rPr>
          <w:sz w:val="22"/>
          <w:szCs w:val="22"/>
          <w:lang w:val="es-CR"/>
        </w:rPr>
        <w:tab/>
      </w:r>
      <w:r w:rsidRPr="00323C9E">
        <w:rPr>
          <w:sz w:val="22"/>
          <w:szCs w:val="22"/>
          <w:lang w:val="es-CR"/>
        </w:rPr>
        <w:t xml:space="preserve">El reconocimiento y medición de los activos transferidos se realizará conforme lo expuesto en el Capítulo “Activo” para bienes recibidos sin contraprestación o con una contraprestación nula o </w:t>
      </w:r>
      <w:r w:rsidR="005907B3" w:rsidRPr="00323C9E">
        <w:rPr>
          <w:sz w:val="22"/>
          <w:szCs w:val="22"/>
          <w:lang w:val="es-CR"/>
        </w:rPr>
        <w:t>si</w:t>
      </w:r>
      <w:r w:rsidR="005907B3">
        <w:rPr>
          <w:sz w:val="22"/>
          <w:szCs w:val="22"/>
          <w:lang w:val="es-CR"/>
        </w:rPr>
        <w:t>mbó</w:t>
      </w:r>
      <w:r w:rsidR="005907B3" w:rsidRPr="00323C9E">
        <w:rPr>
          <w:sz w:val="22"/>
          <w:szCs w:val="22"/>
          <w:lang w:val="es-CR"/>
        </w:rPr>
        <w:t>lica</w:t>
      </w:r>
      <w:r w:rsidRPr="00323C9E">
        <w:rPr>
          <w:sz w:val="22"/>
          <w:szCs w:val="22"/>
          <w:lang w:val="es-CR"/>
        </w:rPr>
        <w:t>.</w:t>
      </w:r>
    </w:p>
    <w:p w14:paraId="4615361B" w14:textId="77777777" w:rsidR="00700786" w:rsidRDefault="00700786" w:rsidP="00727CD8">
      <w:pPr>
        <w:pStyle w:val="Default"/>
        <w:ind w:right="261"/>
        <w:jc w:val="both"/>
        <w:rPr>
          <w:sz w:val="22"/>
          <w:szCs w:val="22"/>
          <w:lang w:val="es-CR"/>
        </w:rPr>
      </w:pPr>
    </w:p>
    <w:p w14:paraId="5E8D83E8" w14:textId="77777777" w:rsidR="00AB7853" w:rsidRDefault="00AB7853" w:rsidP="00727CD8">
      <w:pPr>
        <w:pStyle w:val="Default"/>
        <w:ind w:right="261"/>
        <w:jc w:val="both"/>
        <w:rPr>
          <w:sz w:val="22"/>
          <w:szCs w:val="22"/>
          <w:lang w:val="es-CR"/>
        </w:rPr>
      </w:pPr>
    </w:p>
    <w:p w14:paraId="3CB99772" w14:textId="77777777" w:rsidR="00727CD8" w:rsidRDefault="00727CD8" w:rsidP="00727CD8">
      <w:pPr>
        <w:pStyle w:val="Default"/>
        <w:ind w:right="261"/>
        <w:jc w:val="both"/>
        <w:rPr>
          <w:sz w:val="22"/>
          <w:szCs w:val="22"/>
          <w:lang w:val="es-CR"/>
        </w:rPr>
      </w:pPr>
    </w:p>
    <w:p w14:paraId="56413856" w14:textId="7589E293" w:rsidR="00311422" w:rsidRPr="00727CD8" w:rsidRDefault="00115EEA" w:rsidP="00727CD8">
      <w:pPr>
        <w:pStyle w:val="Ttulo2"/>
        <w:ind w:left="284"/>
        <w:rPr>
          <w:rFonts w:ascii="Arial" w:eastAsia="Arial" w:hAnsi="Arial" w:cs="Arial"/>
          <w:b/>
          <w:bCs/>
          <w:sz w:val="20"/>
          <w:szCs w:val="20"/>
          <w:lang w:val="es-CR"/>
        </w:rPr>
      </w:pPr>
      <w:bookmarkStart w:id="124" w:name="_Toc172726259"/>
      <w:r w:rsidRPr="00727CD8">
        <w:rPr>
          <w:rFonts w:ascii="Arial" w:eastAsia="Arial" w:hAnsi="Arial" w:cs="Arial"/>
          <w:b/>
          <w:bCs/>
          <w:sz w:val="20"/>
          <w:szCs w:val="20"/>
          <w:lang w:val="es-CR"/>
        </w:rPr>
        <w:t>Ingresos por condonación de deudas</w:t>
      </w:r>
      <w:bookmarkEnd w:id="124"/>
    </w:p>
    <w:p w14:paraId="5B325E01" w14:textId="77777777" w:rsidR="00115EEA" w:rsidRPr="00323C9E" w:rsidRDefault="00115EEA" w:rsidP="00323C9E">
      <w:pPr>
        <w:pStyle w:val="Default"/>
        <w:spacing w:after="120" w:line="238" w:lineRule="auto"/>
        <w:ind w:right="260"/>
        <w:jc w:val="both"/>
        <w:rPr>
          <w:sz w:val="22"/>
          <w:szCs w:val="22"/>
          <w:lang w:val="es-CR"/>
        </w:rPr>
      </w:pPr>
    </w:p>
    <w:tbl>
      <w:tblPr>
        <w:tblW w:w="9375" w:type="dxa"/>
        <w:tblLook w:val="04A0" w:firstRow="1" w:lastRow="0" w:firstColumn="1" w:lastColumn="0" w:noHBand="0" w:noVBand="1"/>
      </w:tblPr>
      <w:tblGrid>
        <w:gridCol w:w="536"/>
        <w:gridCol w:w="588"/>
        <w:gridCol w:w="517"/>
        <w:gridCol w:w="6"/>
        <w:gridCol w:w="3715"/>
        <w:gridCol w:w="6"/>
        <w:gridCol w:w="2135"/>
        <w:gridCol w:w="1853"/>
        <w:gridCol w:w="8"/>
        <w:gridCol w:w="11"/>
      </w:tblGrid>
      <w:tr w:rsidR="00323C9E" w:rsidRPr="00727CD8" w14:paraId="3CE7FBD0" w14:textId="77777777" w:rsidTr="00AB7853">
        <w:trPr>
          <w:trHeight w:val="320"/>
        </w:trPr>
        <w:tc>
          <w:tcPr>
            <w:tcW w:w="1647"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89FECA5" w14:textId="77777777" w:rsidR="00323C9E" w:rsidRPr="00727CD8" w:rsidRDefault="00323C9E" w:rsidP="00323C9E">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Norma / Política</w:t>
            </w:r>
          </w:p>
        </w:tc>
        <w:tc>
          <w:tcPr>
            <w:tcW w:w="372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A465088" w14:textId="77777777" w:rsidR="00323C9E" w:rsidRPr="00727CD8" w:rsidRDefault="00323C9E" w:rsidP="00323C9E">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Concepto</w:t>
            </w:r>
          </w:p>
        </w:tc>
        <w:tc>
          <w:tcPr>
            <w:tcW w:w="4007" w:type="dxa"/>
            <w:gridSpan w:val="4"/>
            <w:tcBorders>
              <w:top w:val="single" w:sz="8" w:space="0" w:color="auto"/>
              <w:left w:val="nil"/>
              <w:bottom w:val="single" w:sz="8" w:space="0" w:color="auto"/>
              <w:right w:val="single" w:sz="8" w:space="0" w:color="000000"/>
            </w:tcBorders>
            <w:shd w:val="clear" w:color="000000" w:fill="203764"/>
            <w:vAlign w:val="center"/>
            <w:hideMark/>
          </w:tcPr>
          <w:p w14:paraId="368C3C09" w14:textId="77777777" w:rsidR="00323C9E" w:rsidRPr="00727CD8" w:rsidRDefault="00323C9E" w:rsidP="00323C9E">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Referencia</w:t>
            </w:r>
          </w:p>
        </w:tc>
      </w:tr>
      <w:tr w:rsidR="00323C9E" w:rsidRPr="006E5442" w14:paraId="2EF0320B" w14:textId="77777777" w:rsidTr="00AB7853">
        <w:trPr>
          <w:gridAfter w:val="2"/>
          <w:wAfter w:w="19" w:type="dxa"/>
          <w:trHeight w:val="850"/>
        </w:trPr>
        <w:tc>
          <w:tcPr>
            <w:tcW w:w="1647" w:type="dxa"/>
            <w:gridSpan w:val="4"/>
            <w:vMerge/>
            <w:tcBorders>
              <w:top w:val="single" w:sz="8" w:space="0" w:color="auto"/>
              <w:left w:val="single" w:sz="8" w:space="0" w:color="auto"/>
              <w:bottom w:val="nil"/>
              <w:right w:val="single" w:sz="8" w:space="0" w:color="000000"/>
            </w:tcBorders>
            <w:vAlign w:val="center"/>
            <w:hideMark/>
          </w:tcPr>
          <w:p w14:paraId="2AB42C89" w14:textId="77777777" w:rsidR="00323C9E" w:rsidRPr="00727CD8" w:rsidRDefault="00323C9E" w:rsidP="00323C9E">
            <w:pPr>
              <w:rPr>
                <w:rFonts w:ascii="Arial Narrow" w:eastAsia="Times New Roman" w:hAnsi="Arial Narrow" w:cs="Calibri"/>
                <w:b/>
                <w:bCs/>
                <w:color w:val="FFFFFF"/>
                <w:sz w:val="22"/>
                <w:szCs w:val="22"/>
              </w:rPr>
            </w:pPr>
          </w:p>
        </w:tc>
        <w:tc>
          <w:tcPr>
            <w:tcW w:w="3721" w:type="dxa"/>
            <w:gridSpan w:val="2"/>
            <w:vMerge/>
            <w:tcBorders>
              <w:top w:val="single" w:sz="8" w:space="0" w:color="auto"/>
              <w:left w:val="single" w:sz="8" w:space="0" w:color="auto"/>
              <w:bottom w:val="nil"/>
              <w:right w:val="single" w:sz="8" w:space="0" w:color="auto"/>
            </w:tcBorders>
            <w:vAlign w:val="center"/>
            <w:hideMark/>
          </w:tcPr>
          <w:p w14:paraId="5D1D52AB" w14:textId="77777777" w:rsidR="00323C9E" w:rsidRPr="00727CD8" w:rsidRDefault="00323C9E" w:rsidP="00323C9E">
            <w:pPr>
              <w:rPr>
                <w:rFonts w:ascii="Arial Narrow" w:eastAsia="Times New Roman" w:hAnsi="Arial Narrow" w:cs="Calibri"/>
                <w:b/>
                <w:bCs/>
                <w:color w:val="FFFFFF"/>
                <w:sz w:val="22"/>
                <w:szCs w:val="22"/>
              </w:rPr>
            </w:pPr>
          </w:p>
        </w:tc>
        <w:tc>
          <w:tcPr>
            <w:tcW w:w="2135" w:type="dxa"/>
            <w:tcBorders>
              <w:top w:val="nil"/>
              <w:left w:val="nil"/>
              <w:bottom w:val="nil"/>
              <w:right w:val="single" w:sz="8" w:space="0" w:color="auto"/>
            </w:tcBorders>
            <w:shd w:val="clear" w:color="000000" w:fill="203764"/>
            <w:vAlign w:val="center"/>
            <w:hideMark/>
          </w:tcPr>
          <w:p w14:paraId="48F94E3A" w14:textId="77777777" w:rsidR="00323C9E" w:rsidRPr="00727CD8" w:rsidRDefault="00323C9E" w:rsidP="00323C9E">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1F3AD453" w14:textId="77777777" w:rsidR="00323C9E" w:rsidRPr="00727CD8" w:rsidRDefault="00323C9E" w:rsidP="00323C9E">
            <w:pPr>
              <w:jc w:val="center"/>
              <w:rPr>
                <w:rFonts w:ascii="Arial Narrow" w:eastAsia="Times New Roman" w:hAnsi="Arial Narrow" w:cs="Calibri"/>
                <w:b/>
                <w:bCs/>
                <w:color w:val="FFFFFF"/>
                <w:sz w:val="22"/>
                <w:szCs w:val="22"/>
                <w:lang w:val="es-CR"/>
              </w:rPr>
            </w:pPr>
            <w:r w:rsidRPr="00727CD8">
              <w:rPr>
                <w:rFonts w:ascii="Arial Narrow" w:eastAsia="Times New Roman" w:hAnsi="Arial Narrow" w:cs="Calibri"/>
                <w:b/>
                <w:bCs/>
                <w:color w:val="FFFFFF"/>
                <w:sz w:val="22"/>
                <w:szCs w:val="22"/>
                <w:lang w:val="es-CR"/>
              </w:rPr>
              <w:t>Normativa técnica y disposiciones adicionales</w:t>
            </w:r>
          </w:p>
        </w:tc>
      </w:tr>
      <w:tr w:rsidR="00323C9E" w:rsidRPr="00727CD8" w14:paraId="2AE100ED" w14:textId="77777777" w:rsidTr="00AB7853">
        <w:trPr>
          <w:gridAfter w:val="1"/>
          <w:wAfter w:w="11" w:type="dxa"/>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BCAB2F" w14:textId="77777777" w:rsidR="00323C9E" w:rsidRPr="00727CD8" w:rsidRDefault="00323C9E" w:rsidP="00AB7853">
            <w:pPr>
              <w:jc w:val="cente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4</w:t>
            </w:r>
          </w:p>
        </w:tc>
        <w:tc>
          <w:tcPr>
            <w:tcW w:w="588" w:type="dxa"/>
            <w:tcBorders>
              <w:top w:val="single" w:sz="8" w:space="0" w:color="auto"/>
              <w:left w:val="nil"/>
              <w:bottom w:val="single" w:sz="8" w:space="0" w:color="auto"/>
              <w:right w:val="single" w:sz="8" w:space="0" w:color="auto"/>
            </w:tcBorders>
            <w:shd w:val="clear" w:color="auto" w:fill="auto"/>
            <w:vAlign w:val="center"/>
            <w:hideMark/>
          </w:tcPr>
          <w:p w14:paraId="14000617" w14:textId="77777777" w:rsidR="00323C9E" w:rsidRPr="00727CD8" w:rsidRDefault="00323C9E" w:rsidP="00AB7853">
            <w:pPr>
              <w:jc w:val="cente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18</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5FF655ED" w14:textId="105167A4" w:rsidR="00323C9E" w:rsidRPr="00727CD8" w:rsidRDefault="00323C9E" w:rsidP="00AB7853">
            <w:pPr>
              <w:jc w:val="center"/>
              <w:rPr>
                <w:rFonts w:ascii="Arial Narrow" w:eastAsia="Times New Roman" w:hAnsi="Arial Narrow" w:cs="Calibri"/>
                <w:b/>
                <w:bCs/>
                <w:color w:val="000000"/>
                <w:sz w:val="22"/>
                <w:szCs w:val="22"/>
              </w:rPr>
            </w:pPr>
          </w:p>
        </w:tc>
        <w:tc>
          <w:tcPr>
            <w:tcW w:w="3721" w:type="dxa"/>
            <w:gridSpan w:val="2"/>
            <w:tcBorders>
              <w:top w:val="single" w:sz="8" w:space="0" w:color="auto"/>
              <w:left w:val="nil"/>
              <w:bottom w:val="single" w:sz="8" w:space="0" w:color="auto"/>
              <w:right w:val="single" w:sz="8" w:space="0" w:color="auto"/>
            </w:tcBorders>
            <w:shd w:val="clear" w:color="auto" w:fill="auto"/>
            <w:vAlign w:val="center"/>
            <w:hideMark/>
          </w:tcPr>
          <w:p w14:paraId="084B606F" w14:textId="77777777" w:rsidR="00323C9E" w:rsidRPr="00727CD8" w:rsidRDefault="00323C9E" w:rsidP="00323C9E">
            <w:pPr>
              <w:rPr>
                <w:rFonts w:ascii="Arial Narrow" w:eastAsia="Times New Roman" w:hAnsi="Arial Narrow"/>
                <w:b/>
                <w:bCs/>
                <w:color w:val="000000"/>
                <w:sz w:val="22"/>
                <w:szCs w:val="22"/>
                <w:lang w:val="es-CR"/>
              </w:rPr>
            </w:pPr>
            <w:r w:rsidRPr="00727CD8">
              <w:rPr>
                <w:rFonts w:ascii="Arial Narrow" w:eastAsia="Times New Roman" w:hAnsi="Arial Narrow"/>
                <w:b/>
                <w:bCs/>
                <w:color w:val="000000"/>
                <w:sz w:val="22"/>
                <w:szCs w:val="22"/>
                <w:lang w:val="es-CR"/>
              </w:rPr>
              <w:t>Ingresos por condonación de deuda</w:t>
            </w:r>
          </w:p>
        </w:tc>
        <w:tc>
          <w:tcPr>
            <w:tcW w:w="2141" w:type="dxa"/>
            <w:gridSpan w:val="2"/>
            <w:tcBorders>
              <w:top w:val="single" w:sz="8" w:space="0" w:color="auto"/>
              <w:left w:val="nil"/>
              <w:bottom w:val="single" w:sz="8" w:space="0" w:color="auto"/>
              <w:right w:val="single" w:sz="8" w:space="0" w:color="auto"/>
            </w:tcBorders>
            <w:shd w:val="clear" w:color="auto" w:fill="auto"/>
            <w:vAlign w:val="center"/>
            <w:hideMark/>
          </w:tcPr>
          <w:p w14:paraId="4EBF350D" w14:textId="77777777" w:rsidR="00323C9E" w:rsidRPr="00727CD8" w:rsidRDefault="00323C9E" w:rsidP="00323C9E">
            <w:pP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NICSP N° 23,</w:t>
            </w:r>
            <w:r w:rsidRPr="00727CD8">
              <w:rPr>
                <w:rFonts w:ascii="Arial Narrow" w:eastAsia="Times New Roman" w:hAnsi="Arial Narrow" w:cs="Calibri"/>
                <w:b/>
                <w:bCs/>
                <w:color w:val="000000"/>
                <w:sz w:val="22"/>
                <w:szCs w:val="22"/>
              </w:rPr>
              <w:br/>
              <w:t>Párrafo 85 y 87.</w:t>
            </w:r>
          </w:p>
        </w:tc>
        <w:tc>
          <w:tcPr>
            <w:tcW w:w="1861" w:type="dxa"/>
            <w:gridSpan w:val="2"/>
            <w:tcBorders>
              <w:top w:val="single" w:sz="8" w:space="0" w:color="auto"/>
              <w:left w:val="nil"/>
              <w:bottom w:val="single" w:sz="8" w:space="0" w:color="auto"/>
              <w:right w:val="single" w:sz="8" w:space="0" w:color="auto"/>
            </w:tcBorders>
            <w:shd w:val="clear" w:color="auto" w:fill="auto"/>
            <w:vAlign w:val="center"/>
            <w:hideMark/>
          </w:tcPr>
          <w:p w14:paraId="18630C71" w14:textId="77777777" w:rsidR="00323C9E" w:rsidRPr="00727CD8" w:rsidRDefault="00323C9E" w:rsidP="00323C9E">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 xml:space="preserve"> </w:t>
            </w:r>
          </w:p>
        </w:tc>
      </w:tr>
      <w:tr w:rsidR="00323C9E" w:rsidRPr="00727CD8" w14:paraId="7FACBEE8" w14:textId="77777777" w:rsidTr="00AB7853">
        <w:trPr>
          <w:gridAfter w:val="1"/>
          <w:wAfter w:w="11" w:type="dxa"/>
          <w:trHeight w:val="32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14ED4E94" w14:textId="77777777" w:rsidR="00323C9E" w:rsidRPr="00727CD8" w:rsidRDefault="00323C9E" w:rsidP="00AB7853">
            <w:pPr>
              <w:jc w:val="cente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4</w:t>
            </w:r>
          </w:p>
        </w:tc>
        <w:tc>
          <w:tcPr>
            <w:tcW w:w="588" w:type="dxa"/>
            <w:tcBorders>
              <w:top w:val="nil"/>
              <w:left w:val="nil"/>
              <w:bottom w:val="single" w:sz="8" w:space="0" w:color="auto"/>
              <w:right w:val="single" w:sz="8" w:space="0" w:color="auto"/>
            </w:tcBorders>
            <w:shd w:val="clear" w:color="auto" w:fill="auto"/>
            <w:vAlign w:val="center"/>
            <w:hideMark/>
          </w:tcPr>
          <w:p w14:paraId="6EEC4C5E" w14:textId="77777777" w:rsidR="00323C9E" w:rsidRPr="00727CD8" w:rsidRDefault="00323C9E" w:rsidP="00AB7853">
            <w:pPr>
              <w:jc w:val="cente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18</w:t>
            </w:r>
          </w:p>
        </w:tc>
        <w:tc>
          <w:tcPr>
            <w:tcW w:w="517" w:type="dxa"/>
            <w:tcBorders>
              <w:top w:val="nil"/>
              <w:left w:val="nil"/>
              <w:bottom w:val="single" w:sz="8" w:space="0" w:color="auto"/>
              <w:right w:val="nil"/>
            </w:tcBorders>
            <w:shd w:val="clear" w:color="auto" w:fill="auto"/>
            <w:vAlign w:val="center"/>
            <w:hideMark/>
          </w:tcPr>
          <w:p w14:paraId="7A3AB2B9" w14:textId="77777777" w:rsidR="00323C9E" w:rsidRPr="00727CD8" w:rsidRDefault="00323C9E" w:rsidP="00AB7853">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1</w:t>
            </w:r>
          </w:p>
        </w:tc>
        <w:tc>
          <w:tcPr>
            <w:tcW w:w="3721" w:type="dxa"/>
            <w:gridSpan w:val="2"/>
            <w:tcBorders>
              <w:top w:val="nil"/>
              <w:left w:val="single" w:sz="8" w:space="0" w:color="auto"/>
              <w:bottom w:val="single" w:sz="8" w:space="0" w:color="auto"/>
              <w:right w:val="single" w:sz="8" w:space="0" w:color="auto"/>
            </w:tcBorders>
            <w:shd w:val="clear" w:color="auto" w:fill="auto"/>
            <w:vAlign w:val="center"/>
            <w:hideMark/>
          </w:tcPr>
          <w:p w14:paraId="38E757B9" w14:textId="77777777" w:rsidR="00323C9E" w:rsidRPr="00727CD8" w:rsidRDefault="00323C9E" w:rsidP="00323C9E">
            <w:pP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Medición</w:t>
            </w:r>
          </w:p>
        </w:tc>
        <w:tc>
          <w:tcPr>
            <w:tcW w:w="2141" w:type="dxa"/>
            <w:gridSpan w:val="2"/>
            <w:tcBorders>
              <w:top w:val="nil"/>
              <w:left w:val="nil"/>
              <w:bottom w:val="single" w:sz="8" w:space="0" w:color="auto"/>
              <w:right w:val="single" w:sz="8" w:space="0" w:color="auto"/>
            </w:tcBorders>
            <w:shd w:val="clear" w:color="auto" w:fill="auto"/>
            <w:vAlign w:val="center"/>
            <w:hideMark/>
          </w:tcPr>
          <w:p w14:paraId="1E1D1912" w14:textId="77777777" w:rsidR="00323C9E" w:rsidRPr="00727CD8" w:rsidRDefault="00323C9E" w:rsidP="00323C9E">
            <w:pP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 xml:space="preserve"> </w:t>
            </w:r>
          </w:p>
        </w:tc>
        <w:tc>
          <w:tcPr>
            <w:tcW w:w="1861" w:type="dxa"/>
            <w:gridSpan w:val="2"/>
            <w:tcBorders>
              <w:top w:val="nil"/>
              <w:left w:val="nil"/>
              <w:bottom w:val="single" w:sz="8" w:space="0" w:color="auto"/>
              <w:right w:val="single" w:sz="8" w:space="0" w:color="auto"/>
            </w:tcBorders>
            <w:shd w:val="clear" w:color="auto" w:fill="auto"/>
            <w:vAlign w:val="center"/>
            <w:hideMark/>
          </w:tcPr>
          <w:p w14:paraId="5D57783E" w14:textId="77777777" w:rsidR="00323C9E" w:rsidRPr="00727CD8" w:rsidRDefault="00323C9E" w:rsidP="00323C9E">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DGCN</w:t>
            </w:r>
          </w:p>
        </w:tc>
      </w:tr>
    </w:tbl>
    <w:p w14:paraId="143645CB" w14:textId="77777777" w:rsidR="006F5A0E" w:rsidRDefault="006F5A0E" w:rsidP="00AB7853">
      <w:pPr>
        <w:pStyle w:val="Default"/>
        <w:ind w:right="261"/>
        <w:jc w:val="both"/>
        <w:rPr>
          <w:sz w:val="22"/>
          <w:szCs w:val="22"/>
          <w:lang w:val="es-CR"/>
        </w:rPr>
      </w:pPr>
    </w:p>
    <w:p w14:paraId="6E85678F" w14:textId="0EE2D196" w:rsidR="00AB7853" w:rsidRDefault="00AB7853" w:rsidP="00AB7853">
      <w:pPr>
        <w:pStyle w:val="Default"/>
        <w:ind w:right="261"/>
        <w:jc w:val="both"/>
        <w:rPr>
          <w:rFonts w:eastAsia="Arial"/>
          <w:b/>
          <w:sz w:val="22"/>
          <w:szCs w:val="22"/>
        </w:rPr>
      </w:pPr>
      <w:r w:rsidRPr="00F02F9D">
        <w:rPr>
          <w:rFonts w:eastAsia="Arial"/>
          <w:b/>
          <w:sz w:val="22"/>
          <w:szCs w:val="22"/>
        </w:rPr>
        <w:t>Políticas Contables</w:t>
      </w:r>
    </w:p>
    <w:p w14:paraId="6232C24E" w14:textId="77777777" w:rsidR="00AB7853" w:rsidRDefault="00AB7853" w:rsidP="00AB7853">
      <w:pPr>
        <w:pStyle w:val="Default"/>
        <w:ind w:right="261"/>
        <w:jc w:val="both"/>
        <w:rPr>
          <w:sz w:val="22"/>
          <w:szCs w:val="22"/>
          <w:lang w:val="es-CR"/>
        </w:rPr>
      </w:pPr>
    </w:p>
    <w:p w14:paraId="654D69FE" w14:textId="2AB73F81" w:rsidR="00323C9E" w:rsidRPr="00323C9E" w:rsidRDefault="00323C9E" w:rsidP="00323C9E">
      <w:pPr>
        <w:pStyle w:val="Default"/>
        <w:ind w:left="1134" w:hanging="1134"/>
        <w:jc w:val="both"/>
        <w:rPr>
          <w:sz w:val="22"/>
          <w:szCs w:val="22"/>
          <w:lang w:val="es-CR"/>
        </w:rPr>
      </w:pPr>
      <w:r>
        <w:rPr>
          <w:sz w:val="22"/>
          <w:szCs w:val="22"/>
          <w:lang w:val="es-CR"/>
        </w:rPr>
        <w:t>4.18.0.01</w:t>
      </w:r>
      <w:r>
        <w:rPr>
          <w:sz w:val="22"/>
          <w:szCs w:val="22"/>
          <w:lang w:val="es-CR"/>
        </w:rPr>
        <w:tab/>
      </w:r>
      <w:r w:rsidRPr="00323C9E">
        <w:rPr>
          <w:sz w:val="22"/>
          <w:szCs w:val="22"/>
          <w:lang w:val="es-CR"/>
        </w:rPr>
        <w:t xml:space="preserve">Se reconocerán ingresos relativos a condonación de deudas cuando la antigua deuda ya no cumpla la definición de pasivo o ya no satisfaga los criterios para su reconocimiento como un pasivo, siempre que tal condonación de deuda no satisfaga la definición de contribuciones de los propietarios, en los términos desarrollados en el Capítulo “Pasivo” para baja en cuentas y en el Capítulo “Patrimonio” para contribuciones de los propietarios. En el mismo sentido se procederá respecto de la asunción de pasivos de la entidad por parte de terceros. </w:t>
      </w:r>
    </w:p>
    <w:p w14:paraId="65E8157B" w14:textId="26713BB1" w:rsidR="00323C9E" w:rsidRPr="00323C9E" w:rsidRDefault="00323C9E" w:rsidP="00323C9E">
      <w:pPr>
        <w:pStyle w:val="Default"/>
        <w:jc w:val="both"/>
        <w:rPr>
          <w:sz w:val="22"/>
          <w:szCs w:val="22"/>
          <w:lang w:val="es-CR"/>
        </w:rPr>
      </w:pPr>
    </w:p>
    <w:p w14:paraId="033C22BA" w14:textId="5D4E14C9" w:rsidR="00323C9E" w:rsidRDefault="00323C9E" w:rsidP="00323C9E">
      <w:pPr>
        <w:pStyle w:val="Default"/>
        <w:ind w:left="1134" w:hanging="1134"/>
        <w:jc w:val="both"/>
        <w:rPr>
          <w:sz w:val="22"/>
          <w:szCs w:val="22"/>
          <w:lang w:val="es-CR"/>
        </w:rPr>
      </w:pPr>
      <w:r>
        <w:rPr>
          <w:sz w:val="22"/>
          <w:szCs w:val="22"/>
          <w:lang w:val="es-CR"/>
        </w:rPr>
        <w:t>4.</w:t>
      </w:r>
      <w:r w:rsidRPr="00323C9E">
        <w:rPr>
          <w:sz w:val="22"/>
          <w:szCs w:val="22"/>
          <w:lang w:val="es-CR"/>
        </w:rPr>
        <w:t>1</w:t>
      </w:r>
      <w:r>
        <w:rPr>
          <w:sz w:val="22"/>
          <w:szCs w:val="22"/>
          <w:lang w:val="es-CR"/>
        </w:rPr>
        <w:t>8</w:t>
      </w:r>
      <w:r w:rsidRPr="00323C9E">
        <w:rPr>
          <w:sz w:val="22"/>
          <w:szCs w:val="22"/>
          <w:lang w:val="es-CR"/>
        </w:rPr>
        <w:t>.</w:t>
      </w:r>
      <w:r>
        <w:rPr>
          <w:sz w:val="22"/>
          <w:szCs w:val="22"/>
          <w:lang w:val="es-CR"/>
        </w:rPr>
        <w:t>1.01</w:t>
      </w:r>
      <w:r>
        <w:rPr>
          <w:sz w:val="22"/>
          <w:szCs w:val="22"/>
          <w:lang w:val="es-CR"/>
        </w:rPr>
        <w:tab/>
      </w:r>
      <w:r w:rsidRPr="00323C9E">
        <w:rPr>
          <w:sz w:val="22"/>
          <w:szCs w:val="22"/>
          <w:lang w:val="es-CR"/>
        </w:rPr>
        <w:t>Los ingresos procedentes de condonaciones de deudas, así como de asunciones de pasivos por terceros, se miden por el valor razonable de la deuda condonada o asumida, que será el importe en libros de la misma.</w:t>
      </w:r>
    </w:p>
    <w:p w14:paraId="15F3EE79" w14:textId="77777777" w:rsidR="00497159" w:rsidRDefault="00497159" w:rsidP="00727CD8">
      <w:pPr>
        <w:pStyle w:val="Default"/>
        <w:ind w:left="1134" w:hanging="1134"/>
        <w:jc w:val="both"/>
        <w:rPr>
          <w:sz w:val="22"/>
          <w:szCs w:val="22"/>
          <w:lang w:val="es-CR"/>
        </w:rPr>
      </w:pPr>
    </w:p>
    <w:p w14:paraId="5098C318" w14:textId="77777777" w:rsidR="00115EEA" w:rsidRDefault="00115EEA" w:rsidP="00727CD8">
      <w:pPr>
        <w:pStyle w:val="Default"/>
        <w:ind w:left="1134" w:hanging="1134"/>
        <w:jc w:val="both"/>
        <w:rPr>
          <w:sz w:val="22"/>
          <w:szCs w:val="22"/>
          <w:lang w:val="es-CR"/>
        </w:rPr>
      </w:pPr>
    </w:p>
    <w:p w14:paraId="4403E1BB" w14:textId="77777777" w:rsidR="00AB7853" w:rsidRDefault="00AB7853" w:rsidP="00727CD8">
      <w:pPr>
        <w:pStyle w:val="Default"/>
        <w:ind w:left="1134" w:hanging="1134"/>
        <w:jc w:val="both"/>
        <w:rPr>
          <w:sz w:val="22"/>
          <w:szCs w:val="22"/>
          <w:lang w:val="es-CR"/>
        </w:rPr>
      </w:pPr>
    </w:p>
    <w:p w14:paraId="2E573D51" w14:textId="77777777" w:rsidR="00AB7853" w:rsidRDefault="00AB7853" w:rsidP="00727CD8">
      <w:pPr>
        <w:pStyle w:val="Default"/>
        <w:ind w:left="1134" w:hanging="1134"/>
        <w:jc w:val="both"/>
        <w:rPr>
          <w:sz w:val="22"/>
          <w:szCs w:val="22"/>
          <w:lang w:val="es-CR"/>
        </w:rPr>
      </w:pPr>
    </w:p>
    <w:p w14:paraId="05F94600" w14:textId="77777777" w:rsidR="00AB7853" w:rsidRDefault="00AB7853" w:rsidP="00727CD8">
      <w:pPr>
        <w:pStyle w:val="Default"/>
        <w:ind w:left="1134" w:hanging="1134"/>
        <w:jc w:val="both"/>
        <w:rPr>
          <w:sz w:val="22"/>
          <w:szCs w:val="22"/>
          <w:lang w:val="es-CR"/>
        </w:rPr>
      </w:pPr>
    </w:p>
    <w:p w14:paraId="386AEA28" w14:textId="77777777" w:rsidR="00AB7853" w:rsidRDefault="00AB7853" w:rsidP="00727CD8">
      <w:pPr>
        <w:pStyle w:val="Default"/>
        <w:ind w:left="1134" w:hanging="1134"/>
        <w:jc w:val="both"/>
        <w:rPr>
          <w:sz w:val="22"/>
          <w:szCs w:val="22"/>
          <w:lang w:val="es-CR"/>
        </w:rPr>
      </w:pPr>
    </w:p>
    <w:p w14:paraId="5531B28C" w14:textId="77777777" w:rsidR="00AB7853" w:rsidRDefault="00AB7853" w:rsidP="00727CD8">
      <w:pPr>
        <w:pStyle w:val="Default"/>
        <w:ind w:left="1134" w:hanging="1134"/>
        <w:jc w:val="both"/>
        <w:rPr>
          <w:sz w:val="22"/>
          <w:szCs w:val="22"/>
          <w:lang w:val="es-CR"/>
        </w:rPr>
      </w:pPr>
    </w:p>
    <w:p w14:paraId="08AB6A8D" w14:textId="77777777" w:rsidR="00AB7853" w:rsidRDefault="00AB7853" w:rsidP="00727CD8">
      <w:pPr>
        <w:pStyle w:val="Default"/>
        <w:ind w:left="1134" w:hanging="1134"/>
        <w:jc w:val="both"/>
        <w:rPr>
          <w:sz w:val="22"/>
          <w:szCs w:val="22"/>
          <w:lang w:val="es-CR"/>
        </w:rPr>
      </w:pPr>
    </w:p>
    <w:p w14:paraId="01F0CB51" w14:textId="77777777" w:rsidR="00AB7853" w:rsidRDefault="00AB7853" w:rsidP="00727CD8">
      <w:pPr>
        <w:pStyle w:val="Default"/>
        <w:ind w:left="1134" w:hanging="1134"/>
        <w:jc w:val="both"/>
        <w:rPr>
          <w:sz w:val="22"/>
          <w:szCs w:val="22"/>
          <w:lang w:val="es-CR"/>
        </w:rPr>
      </w:pPr>
    </w:p>
    <w:p w14:paraId="6D1017C8" w14:textId="54E02F6A" w:rsidR="00311422" w:rsidRPr="00727CD8" w:rsidRDefault="00115EEA" w:rsidP="00727CD8">
      <w:pPr>
        <w:pStyle w:val="Ttulo2"/>
        <w:ind w:left="284"/>
        <w:rPr>
          <w:rFonts w:ascii="Arial" w:eastAsia="Arial" w:hAnsi="Arial" w:cs="Arial"/>
          <w:b/>
          <w:bCs/>
          <w:sz w:val="20"/>
          <w:szCs w:val="20"/>
          <w:lang w:val="es-CR"/>
        </w:rPr>
      </w:pPr>
      <w:bookmarkStart w:id="125" w:name="_Toc172726260"/>
      <w:r w:rsidRPr="00727CD8">
        <w:rPr>
          <w:rFonts w:ascii="Arial" w:eastAsia="Arial" w:hAnsi="Arial" w:cs="Arial"/>
          <w:b/>
          <w:bCs/>
          <w:sz w:val="20"/>
          <w:szCs w:val="20"/>
          <w:lang w:val="es-CR"/>
        </w:rPr>
        <w:lastRenderedPageBreak/>
        <w:t>Multas</w:t>
      </w:r>
      <w:bookmarkEnd w:id="125"/>
    </w:p>
    <w:p w14:paraId="6F02494B" w14:textId="77777777" w:rsidR="00497159" w:rsidRPr="00323C9E" w:rsidRDefault="00497159" w:rsidP="00323C9E">
      <w:pPr>
        <w:pStyle w:val="Default"/>
        <w:ind w:left="1134" w:hanging="1134"/>
        <w:jc w:val="both"/>
        <w:rPr>
          <w:sz w:val="22"/>
          <w:szCs w:val="22"/>
          <w:lang w:val="es-CR"/>
        </w:rPr>
      </w:pPr>
    </w:p>
    <w:tbl>
      <w:tblPr>
        <w:tblW w:w="9364" w:type="dxa"/>
        <w:tblLook w:val="04A0" w:firstRow="1" w:lastRow="0" w:firstColumn="1" w:lastColumn="0" w:noHBand="0" w:noVBand="1"/>
      </w:tblPr>
      <w:tblGrid>
        <w:gridCol w:w="711"/>
        <w:gridCol w:w="417"/>
        <w:gridCol w:w="563"/>
        <w:gridCol w:w="3688"/>
        <w:gridCol w:w="2124"/>
        <w:gridCol w:w="1861"/>
      </w:tblGrid>
      <w:tr w:rsidR="00497159" w:rsidRPr="00497159" w14:paraId="34F3ADEB" w14:textId="77777777" w:rsidTr="00AB7853">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5757A6E" w14:textId="77777777" w:rsidR="00497159" w:rsidRPr="00497159" w:rsidRDefault="00497159" w:rsidP="00497159">
            <w:pPr>
              <w:jc w:val="center"/>
              <w:rPr>
                <w:rFonts w:ascii="Arial Narrow" w:eastAsia="Times New Roman" w:hAnsi="Arial Narrow" w:cs="Calibri"/>
                <w:b/>
                <w:bCs/>
                <w:color w:val="FFFFFF"/>
                <w:sz w:val="22"/>
                <w:szCs w:val="22"/>
              </w:rPr>
            </w:pPr>
            <w:r w:rsidRPr="00497159">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66E6B98E" w14:textId="77777777" w:rsidR="00497159" w:rsidRPr="00497159" w:rsidRDefault="00497159" w:rsidP="00497159">
            <w:pPr>
              <w:jc w:val="center"/>
              <w:rPr>
                <w:rFonts w:ascii="Arial Narrow" w:eastAsia="Times New Roman" w:hAnsi="Arial Narrow" w:cs="Calibri"/>
                <w:b/>
                <w:bCs/>
                <w:color w:val="FFFFFF"/>
                <w:sz w:val="22"/>
                <w:szCs w:val="22"/>
              </w:rPr>
            </w:pPr>
            <w:r w:rsidRPr="00497159">
              <w:rPr>
                <w:rFonts w:ascii="Arial Narrow" w:eastAsia="Times New Roman" w:hAnsi="Arial Narrow" w:cs="Calibri"/>
                <w:b/>
                <w:bCs/>
                <w:color w:val="FFFFFF"/>
                <w:sz w:val="22"/>
                <w:szCs w:val="22"/>
              </w:rPr>
              <w:t>Concepto</w:t>
            </w:r>
          </w:p>
        </w:tc>
        <w:tc>
          <w:tcPr>
            <w:tcW w:w="3985" w:type="dxa"/>
            <w:gridSpan w:val="2"/>
            <w:tcBorders>
              <w:top w:val="single" w:sz="8" w:space="0" w:color="auto"/>
              <w:left w:val="nil"/>
              <w:bottom w:val="single" w:sz="8" w:space="0" w:color="auto"/>
              <w:right w:val="single" w:sz="8" w:space="0" w:color="000000"/>
            </w:tcBorders>
            <w:shd w:val="clear" w:color="000000" w:fill="203764"/>
            <w:vAlign w:val="center"/>
            <w:hideMark/>
          </w:tcPr>
          <w:p w14:paraId="3C69767F" w14:textId="77777777" w:rsidR="00497159" w:rsidRPr="00497159" w:rsidRDefault="00497159" w:rsidP="00497159">
            <w:pPr>
              <w:jc w:val="center"/>
              <w:rPr>
                <w:rFonts w:ascii="Arial Narrow" w:eastAsia="Times New Roman" w:hAnsi="Arial Narrow" w:cs="Calibri"/>
                <w:b/>
                <w:bCs/>
                <w:color w:val="FFFFFF"/>
                <w:sz w:val="22"/>
                <w:szCs w:val="22"/>
              </w:rPr>
            </w:pPr>
            <w:r w:rsidRPr="00497159">
              <w:rPr>
                <w:rFonts w:ascii="Arial Narrow" w:eastAsia="Times New Roman" w:hAnsi="Arial Narrow" w:cs="Calibri"/>
                <w:b/>
                <w:bCs/>
                <w:color w:val="FFFFFF"/>
                <w:sz w:val="22"/>
                <w:szCs w:val="22"/>
              </w:rPr>
              <w:t>Referencia</w:t>
            </w:r>
          </w:p>
        </w:tc>
      </w:tr>
      <w:tr w:rsidR="00497159" w:rsidRPr="006E5442" w14:paraId="31A74B00" w14:textId="77777777" w:rsidTr="00AB7853">
        <w:trPr>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0363EAAA" w14:textId="77777777" w:rsidR="00497159" w:rsidRPr="00497159" w:rsidRDefault="00497159" w:rsidP="00497159">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2B2E2A84" w14:textId="77777777" w:rsidR="00497159" w:rsidRPr="00497159" w:rsidRDefault="00497159" w:rsidP="00497159">
            <w:pPr>
              <w:rPr>
                <w:rFonts w:ascii="Arial Narrow" w:eastAsia="Times New Roman" w:hAnsi="Arial Narrow" w:cs="Calibri"/>
                <w:b/>
                <w:bCs/>
                <w:color w:val="FFFFFF"/>
                <w:sz w:val="22"/>
                <w:szCs w:val="22"/>
              </w:rPr>
            </w:pPr>
          </w:p>
        </w:tc>
        <w:tc>
          <w:tcPr>
            <w:tcW w:w="2124" w:type="dxa"/>
            <w:tcBorders>
              <w:top w:val="nil"/>
              <w:left w:val="nil"/>
              <w:bottom w:val="nil"/>
              <w:right w:val="single" w:sz="8" w:space="0" w:color="auto"/>
            </w:tcBorders>
            <w:shd w:val="clear" w:color="000000" w:fill="203764"/>
            <w:vAlign w:val="center"/>
            <w:hideMark/>
          </w:tcPr>
          <w:p w14:paraId="2521CA9E" w14:textId="77777777" w:rsidR="00497159" w:rsidRPr="00497159" w:rsidRDefault="00497159" w:rsidP="00497159">
            <w:pPr>
              <w:jc w:val="center"/>
              <w:rPr>
                <w:rFonts w:ascii="Arial Narrow" w:eastAsia="Times New Roman" w:hAnsi="Arial Narrow" w:cs="Calibri"/>
                <w:b/>
                <w:bCs/>
                <w:color w:val="FFFFFF"/>
                <w:sz w:val="22"/>
                <w:szCs w:val="22"/>
              </w:rPr>
            </w:pPr>
            <w:r w:rsidRPr="00497159">
              <w:rPr>
                <w:rFonts w:ascii="Arial Narrow" w:eastAsia="Times New Roman" w:hAnsi="Arial Narrow" w:cs="Calibri"/>
                <w:b/>
                <w:bCs/>
                <w:color w:val="FFFFFF"/>
                <w:sz w:val="22"/>
                <w:szCs w:val="22"/>
              </w:rPr>
              <w:t>Norma</w:t>
            </w:r>
          </w:p>
        </w:tc>
        <w:tc>
          <w:tcPr>
            <w:tcW w:w="1856" w:type="dxa"/>
            <w:tcBorders>
              <w:top w:val="nil"/>
              <w:left w:val="nil"/>
              <w:bottom w:val="nil"/>
              <w:right w:val="single" w:sz="8" w:space="0" w:color="auto"/>
            </w:tcBorders>
            <w:shd w:val="clear" w:color="000000" w:fill="203764"/>
            <w:vAlign w:val="center"/>
            <w:hideMark/>
          </w:tcPr>
          <w:p w14:paraId="1C66DFE0" w14:textId="77777777" w:rsidR="00497159" w:rsidRPr="00497159" w:rsidRDefault="00497159" w:rsidP="00497159">
            <w:pPr>
              <w:jc w:val="center"/>
              <w:rPr>
                <w:rFonts w:ascii="Arial Narrow" w:eastAsia="Times New Roman" w:hAnsi="Arial Narrow" w:cs="Calibri"/>
                <w:b/>
                <w:bCs/>
                <w:color w:val="FFFFFF"/>
                <w:sz w:val="22"/>
                <w:szCs w:val="22"/>
                <w:lang w:val="es-CR"/>
              </w:rPr>
            </w:pPr>
            <w:r w:rsidRPr="00497159">
              <w:rPr>
                <w:rFonts w:ascii="Arial Narrow" w:eastAsia="Times New Roman" w:hAnsi="Arial Narrow" w:cs="Calibri"/>
                <w:b/>
                <w:bCs/>
                <w:color w:val="FFFFFF"/>
                <w:sz w:val="22"/>
                <w:szCs w:val="22"/>
                <w:lang w:val="es-CR"/>
              </w:rPr>
              <w:t>Normativa técnica y disposiciones adicionales</w:t>
            </w:r>
          </w:p>
        </w:tc>
      </w:tr>
      <w:tr w:rsidR="00497159" w:rsidRPr="00497159" w14:paraId="16956236" w14:textId="77777777" w:rsidTr="00AB7853">
        <w:trPr>
          <w:trHeight w:val="570"/>
        </w:trPr>
        <w:tc>
          <w:tcPr>
            <w:tcW w:w="7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F5026F" w14:textId="77777777" w:rsidR="00497159" w:rsidRPr="00497159" w:rsidRDefault="00497159" w:rsidP="00497159">
            <w:pPr>
              <w:jc w:val="center"/>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4</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476B4872" w14:textId="77777777" w:rsidR="00497159" w:rsidRPr="00497159" w:rsidRDefault="00497159" w:rsidP="00497159">
            <w:pPr>
              <w:jc w:val="center"/>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19</w:t>
            </w:r>
          </w:p>
        </w:tc>
        <w:tc>
          <w:tcPr>
            <w:tcW w:w="563" w:type="dxa"/>
            <w:tcBorders>
              <w:top w:val="single" w:sz="8" w:space="0" w:color="auto"/>
              <w:left w:val="nil"/>
              <w:bottom w:val="single" w:sz="8" w:space="0" w:color="auto"/>
              <w:right w:val="single" w:sz="8" w:space="0" w:color="auto"/>
            </w:tcBorders>
            <w:shd w:val="clear" w:color="auto" w:fill="auto"/>
            <w:vAlign w:val="center"/>
            <w:hideMark/>
          </w:tcPr>
          <w:p w14:paraId="79C71B72" w14:textId="7092778B" w:rsidR="00497159" w:rsidRPr="00497159" w:rsidRDefault="00497159" w:rsidP="00497159">
            <w:pPr>
              <w:jc w:val="center"/>
              <w:rPr>
                <w:rFonts w:ascii="Arial Narrow" w:eastAsia="Times New Roman" w:hAnsi="Arial Narrow" w:cs="Calibri"/>
                <w:b/>
                <w:bCs/>
                <w:color w:val="000000"/>
                <w:sz w:val="22"/>
                <w:szCs w:val="22"/>
              </w:rPr>
            </w:pP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6674E30A" w14:textId="77777777" w:rsidR="00497159" w:rsidRPr="00497159" w:rsidRDefault="00497159" w:rsidP="00497159">
            <w:pPr>
              <w:jc w:val="both"/>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Multas</w:t>
            </w:r>
          </w:p>
        </w:tc>
        <w:tc>
          <w:tcPr>
            <w:tcW w:w="2124" w:type="dxa"/>
            <w:tcBorders>
              <w:top w:val="single" w:sz="8" w:space="0" w:color="auto"/>
              <w:left w:val="nil"/>
              <w:bottom w:val="single" w:sz="8" w:space="0" w:color="auto"/>
              <w:right w:val="single" w:sz="8" w:space="0" w:color="auto"/>
            </w:tcBorders>
            <w:shd w:val="clear" w:color="auto" w:fill="auto"/>
            <w:vAlign w:val="center"/>
            <w:hideMark/>
          </w:tcPr>
          <w:p w14:paraId="4FFD81DF" w14:textId="77777777" w:rsidR="00AB7853" w:rsidRDefault="00497159" w:rsidP="00497159">
            <w:pPr>
              <w:jc w:val="both"/>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NICSP N° 23,</w:t>
            </w:r>
          </w:p>
          <w:p w14:paraId="2D36F5F0" w14:textId="2579E2C6" w:rsidR="00497159" w:rsidRPr="00497159" w:rsidRDefault="00497159" w:rsidP="00497159">
            <w:pPr>
              <w:jc w:val="both"/>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Párrafo 7, 88 y 89.</w:t>
            </w:r>
          </w:p>
        </w:tc>
        <w:tc>
          <w:tcPr>
            <w:tcW w:w="1856" w:type="dxa"/>
            <w:tcBorders>
              <w:top w:val="single" w:sz="8" w:space="0" w:color="auto"/>
              <w:left w:val="nil"/>
              <w:bottom w:val="single" w:sz="8" w:space="0" w:color="auto"/>
              <w:right w:val="single" w:sz="8" w:space="0" w:color="auto"/>
            </w:tcBorders>
            <w:shd w:val="clear" w:color="auto" w:fill="auto"/>
            <w:vAlign w:val="center"/>
            <w:hideMark/>
          </w:tcPr>
          <w:p w14:paraId="3085C2F8" w14:textId="77777777" w:rsidR="00497159" w:rsidRPr="00497159" w:rsidRDefault="00497159" w:rsidP="00497159">
            <w:pPr>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 xml:space="preserve"> </w:t>
            </w:r>
          </w:p>
        </w:tc>
      </w:tr>
    </w:tbl>
    <w:p w14:paraId="4E8462BC" w14:textId="77777777" w:rsidR="006F5A0E" w:rsidRDefault="006F5A0E" w:rsidP="00AB7853">
      <w:pPr>
        <w:pStyle w:val="Default"/>
        <w:ind w:right="261"/>
        <w:jc w:val="both"/>
        <w:rPr>
          <w:sz w:val="22"/>
          <w:szCs w:val="22"/>
          <w:lang w:val="es-CR"/>
        </w:rPr>
      </w:pPr>
    </w:p>
    <w:p w14:paraId="720142B6" w14:textId="356934EE" w:rsidR="00AB7853" w:rsidRDefault="00AB7853" w:rsidP="00AB7853">
      <w:pPr>
        <w:pStyle w:val="Default"/>
        <w:ind w:right="261"/>
        <w:jc w:val="both"/>
        <w:rPr>
          <w:rFonts w:eastAsia="Arial"/>
          <w:b/>
          <w:sz w:val="22"/>
          <w:szCs w:val="22"/>
        </w:rPr>
      </w:pPr>
      <w:r w:rsidRPr="00F02F9D">
        <w:rPr>
          <w:rFonts w:eastAsia="Arial"/>
          <w:b/>
          <w:sz w:val="22"/>
          <w:szCs w:val="22"/>
        </w:rPr>
        <w:t>Políticas Contables</w:t>
      </w:r>
    </w:p>
    <w:p w14:paraId="466F081C" w14:textId="77777777" w:rsidR="00AB7853" w:rsidRDefault="00AB7853" w:rsidP="00AB7853">
      <w:pPr>
        <w:pStyle w:val="Default"/>
        <w:ind w:right="261"/>
        <w:jc w:val="both"/>
        <w:rPr>
          <w:sz w:val="22"/>
          <w:szCs w:val="22"/>
          <w:lang w:val="es-CR"/>
        </w:rPr>
      </w:pPr>
    </w:p>
    <w:p w14:paraId="544CA96C" w14:textId="598893A9" w:rsidR="00497159" w:rsidRDefault="00497159" w:rsidP="00497159">
      <w:pPr>
        <w:pStyle w:val="Default"/>
        <w:ind w:left="1134" w:hanging="1134"/>
        <w:jc w:val="both"/>
        <w:rPr>
          <w:sz w:val="22"/>
          <w:szCs w:val="22"/>
          <w:lang w:val="es-CR"/>
        </w:rPr>
      </w:pPr>
      <w:r>
        <w:rPr>
          <w:sz w:val="22"/>
          <w:szCs w:val="22"/>
          <w:lang w:val="es-CR"/>
        </w:rPr>
        <w:t>4.19.0.01</w:t>
      </w:r>
      <w:r>
        <w:rPr>
          <w:sz w:val="22"/>
          <w:szCs w:val="22"/>
          <w:lang w:val="es-CR"/>
        </w:rPr>
        <w:tab/>
      </w:r>
      <w:r w:rsidRPr="00497159">
        <w:rPr>
          <w:sz w:val="22"/>
          <w:szCs w:val="22"/>
          <w:lang w:val="es-CR"/>
        </w:rPr>
        <w:t xml:space="preserve">Las multas son beneficios económicos o potencial de servicio recibidos o por recibir por </w:t>
      </w:r>
      <w:r>
        <w:rPr>
          <w:sz w:val="22"/>
          <w:szCs w:val="22"/>
          <w:lang w:val="es-CR"/>
        </w:rPr>
        <w:t>l</w:t>
      </w:r>
      <w:r w:rsidRPr="00497159">
        <w:rPr>
          <w:sz w:val="22"/>
          <w:szCs w:val="22"/>
          <w:lang w:val="es-CR"/>
        </w:rPr>
        <w:t xml:space="preserve">a </w:t>
      </w:r>
      <w:r>
        <w:rPr>
          <w:sz w:val="22"/>
          <w:szCs w:val="22"/>
          <w:lang w:val="es-CR"/>
        </w:rPr>
        <w:t>Municipalidad</w:t>
      </w:r>
      <w:r w:rsidRPr="00497159">
        <w:rPr>
          <w:sz w:val="22"/>
          <w:szCs w:val="22"/>
          <w:lang w:val="es-CR"/>
        </w:rPr>
        <w:t>, procedentes de un individuo u otra entidad, por decisión de un tribunal u otro organismo responsable de hacer cumplir la ley, como consecuencia de que el individuo u otra entidad ha infringido los requerimientos de las leyes o sus regulaciones.</w:t>
      </w:r>
    </w:p>
    <w:p w14:paraId="43F21801" w14:textId="77777777" w:rsidR="00497159" w:rsidRPr="00497159" w:rsidRDefault="00497159" w:rsidP="00497159">
      <w:pPr>
        <w:pStyle w:val="Default"/>
        <w:ind w:left="1134" w:hanging="1134"/>
        <w:jc w:val="both"/>
        <w:rPr>
          <w:sz w:val="22"/>
          <w:szCs w:val="22"/>
          <w:lang w:val="es-CR"/>
        </w:rPr>
      </w:pPr>
    </w:p>
    <w:p w14:paraId="1272A179" w14:textId="580C1DF4" w:rsidR="006F5A0E" w:rsidRPr="00497159" w:rsidRDefault="00497159" w:rsidP="00AB7853">
      <w:pPr>
        <w:pStyle w:val="Default"/>
        <w:ind w:left="1134" w:hanging="1134"/>
        <w:jc w:val="both"/>
        <w:rPr>
          <w:sz w:val="22"/>
          <w:szCs w:val="22"/>
          <w:lang w:val="es-CR"/>
        </w:rPr>
      </w:pPr>
      <w:r>
        <w:rPr>
          <w:sz w:val="22"/>
          <w:szCs w:val="22"/>
          <w:lang w:val="es-CR"/>
        </w:rPr>
        <w:t>4.19.0.02</w:t>
      </w:r>
      <w:r>
        <w:rPr>
          <w:sz w:val="22"/>
          <w:szCs w:val="22"/>
          <w:lang w:val="es-CR"/>
        </w:rPr>
        <w:tab/>
      </w:r>
      <w:r w:rsidRPr="00497159">
        <w:rPr>
          <w:sz w:val="22"/>
          <w:szCs w:val="22"/>
          <w:lang w:val="es-CR"/>
        </w:rPr>
        <w:t xml:space="preserve">Las multas normalmente requieren que </w:t>
      </w:r>
      <w:r>
        <w:rPr>
          <w:sz w:val="22"/>
          <w:szCs w:val="22"/>
          <w:lang w:val="es-CR"/>
        </w:rPr>
        <w:t>l</w:t>
      </w:r>
      <w:r w:rsidRPr="00497159">
        <w:rPr>
          <w:sz w:val="22"/>
          <w:szCs w:val="22"/>
          <w:lang w:val="es-CR"/>
        </w:rPr>
        <w:t xml:space="preserve">a </w:t>
      </w:r>
      <w:r>
        <w:rPr>
          <w:sz w:val="22"/>
          <w:szCs w:val="22"/>
          <w:lang w:val="es-CR"/>
        </w:rPr>
        <w:t>Municipalidad</w:t>
      </w:r>
      <w:r w:rsidRPr="00497159">
        <w:rPr>
          <w:sz w:val="22"/>
          <w:szCs w:val="22"/>
          <w:lang w:val="es-CR"/>
        </w:rPr>
        <w:t xml:space="preserve"> o un individuo transfiera un importe fijo de efectivo al gobierno y no imponen ninguna obligación a éste para que pueda ser reconocida como un pasivo.</w:t>
      </w:r>
    </w:p>
    <w:p w14:paraId="0C865528" w14:textId="77777777" w:rsidR="00E71910" w:rsidRDefault="00E71910" w:rsidP="00AB7853">
      <w:pPr>
        <w:pStyle w:val="Default"/>
        <w:ind w:right="260"/>
        <w:jc w:val="both"/>
        <w:rPr>
          <w:sz w:val="22"/>
          <w:szCs w:val="22"/>
          <w:lang w:val="es-CR"/>
        </w:rPr>
      </w:pPr>
    </w:p>
    <w:p w14:paraId="0BA8FF76" w14:textId="77777777" w:rsidR="00497159" w:rsidRDefault="00497159" w:rsidP="00AB7853">
      <w:pPr>
        <w:pStyle w:val="Default"/>
        <w:ind w:right="260"/>
        <w:jc w:val="both"/>
        <w:rPr>
          <w:sz w:val="22"/>
          <w:szCs w:val="22"/>
          <w:lang w:val="es-CR"/>
        </w:rPr>
      </w:pPr>
    </w:p>
    <w:tbl>
      <w:tblPr>
        <w:tblW w:w="9394" w:type="dxa"/>
        <w:tblLook w:val="04A0" w:firstRow="1" w:lastRow="0" w:firstColumn="1" w:lastColumn="0" w:noHBand="0" w:noVBand="1"/>
      </w:tblPr>
      <w:tblGrid>
        <w:gridCol w:w="536"/>
        <w:gridCol w:w="706"/>
        <w:gridCol w:w="517"/>
        <w:gridCol w:w="3723"/>
        <w:gridCol w:w="2021"/>
        <w:gridCol w:w="1881"/>
        <w:gridCol w:w="10"/>
      </w:tblGrid>
      <w:tr w:rsidR="00497159" w:rsidRPr="00497159" w14:paraId="1CF81D8E" w14:textId="77777777" w:rsidTr="00AB7853">
        <w:trPr>
          <w:trHeight w:val="320"/>
        </w:trPr>
        <w:tc>
          <w:tcPr>
            <w:tcW w:w="17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22DDCB0" w14:textId="77777777" w:rsidR="00497159" w:rsidRPr="00497159" w:rsidRDefault="00497159" w:rsidP="00497159">
            <w:pPr>
              <w:jc w:val="center"/>
              <w:rPr>
                <w:rFonts w:ascii="Arial Narrow" w:eastAsia="Times New Roman" w:hAnsi="Arial Narrow" w:cs="Calibri"/>
                <w:b/>
                <w:bCs/>
                <w:color w:val="FFFFFF"/>
                <w:sz w:val="22"/>
                <w:szCs w:val="22"/>
              </w:rPr>
            </w:pPr>
            <w:r w:rsidRPr="00497159">
              <w:rPr>
                <w:rFonts w:ascii="Arial Narrow" w:eastAsia="Times New Roman" w:hAnsi="Arial Narrow" w:cs="Calibri"/>
                <w:b/>
                <w:bCs/>
                <w:color w:val="FFFFFF"/>
                <w:sz w:val="22"/>
                <w:szCs w:val="22"/>
              </w:rPr>
              <w:t>Norma / Política</w:t>
            </w:r>
          </w:p>
        </w:tc>
        <w:tc>
          <w:tcPr>
            <w:tcW w:w="3723" w:type="dxa"/>
            <w:vMerge w:val="restart"/>
            <w:tcBorders>
              <w:top w:val="single" w:sz="8" w:space="0" w:color="auto"/>
              <w:left w:val="single" w:sz="8" w:space="0" w:color="auto"/>
              <w:bottom w:val="nil"/>
              <w:right w:val="single" w:sz="8" w:space="0" w:color="auto"/>
            </w:tcBorders>
            <w:shd w:val="clear" w:color="000000" w:fill="203764"/>
            <w:vAlign w:val="center"/>
            <w:hideMark/>
          </w:tcPr>
          <w:p w14:paraId="44783CC8" w14:textId="77777777" w:rsidR="00497159" w:rsidRPr="00497159" w:rsidRDefault="00497159" w:rsidP="00497159">
            <w:pPr>
              <w:jc w:val="center"/>
              <w:rPr>
                <w:rFonts w:ascii="Arial Narrow" w:eastAsia="Times New Roman" w:hAnsi="Arial Narrow" w:cs="Calibri"/>
                <w:b/>
                <w:bCs/>
                <w:color w:val="FFFFFF"/>
                <w:sz w:val="22"/>
                <w:szCs w:val="22"/>
              </w:rPr>
            </w:pPr>
            <w:r w:rsidRPr="00497159">
              <w:rPr>
                <w:rFonts w:ascii="Arial Narrow" w:eastAsia="Times New Roman" w:hAnsi="Arial Narrow" w:cs="Calibri"/>
                <w:b/>
                <w:bCs/>
                <w:color w:val="FFFFFF"/>
                <w:sz w:val="22"/>
                <w:szCs w:val="22"/>
              </w:rPr>
              <w:t>Concepto</w:t>
            </w:r>
          </w:p>
        </w:tc>
        <w:tc>
          <w:tcPr>
            <w:tcW w:w="3912" w:type="dxa"/>
            <w:gridSpan w:val="3"/>
            <w:tcBorders>
              <w:top w:val="single" w:sz="8" w:space="0" w:color="auto"/>
              <w:left w:val="nil"/>
              <w:bottom w:val="single" w:sz="8" w:space="0" w:color="auto"/>
              <w:right w:val="single" w:sz="8" w:space="0" w:color="000000"/>
            </w:tcBorders>
            <w:shd w:val="clear" w:color="000000" w:fill="203764"/>
            <w:vAlign w:val="center"/>
            <w:hideMark/>
          </w:tcPr>
          <w:p w14:paraId="53C08D43" w14:textId="77777777" w:rsidR="00497159" w:rsidRPr="00497159" w:rsidRDefault="00497159" w:rsidP="00497159">
            <w:pPr>
              <w:jc w:val="center"/>
              <w:rPr>
                <w:rFonts w:ascii="Arial Narrow" w:eastAsia="Times New Roman" w:hAnsi="Arial Narrow" w:cs="Calibri"/>
                <w:b/>
                <w:bCs/>
                <w:color w:val="FFFFFF"/>
                <w:sz w:val="22"/>
                <w:szCs w:val="22"/>
              </w:rPr>
            </w:pPr>
            <w:r w:rsidRPr="00497159">
              <w:rPr>
                <w:rFonts w:ascii="Arial Narrow" w:eastAsia="Times New Roman" w:hAnsi="Arial Narrow" w:cs="Calibri"/>
                <w:b/>
                <w:bCs/>
                <w:color w:val="FFFFFF"/>
                <w:sz w:val="22"/>
                <w:szCs w:val="22"/>
              </w:rPr>
              <w:t>Referencia</w:t>
            </w:r>
          </w:p>
        </w:tc>
      </w:tr>
      <w:tr w:rsidR="00497159" w:rsidRPr="006E5442" w14:paraId="2E4CE2E8" w14:textId="77777777" w:rsidTr="00AB7853">
        <w:trPr>
          <w:gridAfter w:val="1"/>
          <w:wAfter w:w="10" w:type="dxa"/>
          <w:trHeight w:val="850"/>
        </w:trPr>
        <w:tc>
          <w:tcPr>
            <w:tcW w:w="1759" w:type="dxa"/>
            <w:gridSpan w:val="3"/>
            <w:vMerge/>
            <w:tcBorders>
              <w:top w:val="single" w:sz="8" w:space="0" w:color="auto"/>
              <w:left w:val="single" w:sz="8" w:space="0" w:color="auto"/>
              <w:bottom w:val="nil"/>
              <w:right w:val="single" w:sz="8" w:space="0" w:color="000000"/>
            </w:tcBorders>
            <w:vAlign w:val="center"/>
            <w:hideMark/>
          </w:tcPr>
          <w:p w14:paraId="75929EBC" w14:textId="77777777" w:rsidR="00497159" w:rsidRPr="00497159" w:rsidRDefault="00497159" w:rsidP="00497159">
            <w:pPr>
              <w:rPr>
                <w:rFonts w:ascii="Arial Narrow" w:eastAsia="Times New Roman" w:hAnsi="Arial Narrow" w:cs="Calibri"/>
                <w:b/>
                <w:bCs/>
                <w:color w:val="FFFFFF"/>
                <w:sz w:val="22"/>
                <w:szCs w:val="22"/>
              </w:rPr>
            </w:pPr>
          </w:p>
        </w:tc>
        <w:tc>
          <w:tcPr>
            <w:tcW w:w="3723" w:type="dxa"/>
            <w:vMerge/>
            <w:tcBorders>
              <w:top w:val="single" w:sz="8" w:space="0" w:color="auto"/>
              <w:left w:val="single" w:sz="8" w:space="0" w:color="auto"/>
              <w:bottom w:val="nil"/>
              <w:right w:val="single" w:sz="8" w:space="0" w:color="auto"/>
            </w:tcBorders>
            <w:vAlign w:val="center"/>
            <w:hideMark/>
          </w:tcPr>
          <w:p w14:paraId="14E07D73" w14:textId="77777777" w:rsidR="00497159" w:rsidRPr="00497159" w:rsidRDefault="00497159" w:rsidP="00497159">
            <w:pPr>
              <w:rPr>
                <w:rFonts w:ascii="Arial Narrow" w:eastAsia="Times New Roman" w:hAnsi="Arial Narrow" w:cs="Calibri"/>
                <w:b/>
                <w:bCs/>
                <w:color w:val="FFFFFF"/>
                <w:sz w:val="22"/>
                <w:szCs w:val="22"/>
              </w:rPr>
            </w:pPr>
          </w:p>
        </w:tc>
        <w:tc>
          <w:tcPr>
            <w:tcW w:w="2021" w:type="dxa"/>
            <w:tcBorders>
              <w:top w:val="nil"/>
              <w:left w:val="nil"/>
              <w:bottom w:val="nil"/>
              <w:right w:val="single" w:sz="8" w:space="0" w:color="auto"/>
            </w:tcBorders>
            <w:shd w:val="clear" w:color="000000" w:fill="203764"/>
            <w:vAlign w:val="center"/>
            <w:hideMark/>
          </w:tcPr>
          <w:p w14:paraId="03394EAB" w14:textId="77777777" w:rsidR="00497159" w:rsidRPr="00497159" w:rsidRDefault="00497159" w:rsidP="00497159">
            <w:pPr>
              <w:jc w:val="center"/>
              <w:rPr>
                <w:rFonts w:ascii="Arial Narrow" w:eastAsia="Times New Roman" w:hAnsi="Arial Narrow" w:cs="Calibri"/>
                <w:b/>
                <w:bCs/>
                <w:color w:val="FFFFFF"/>
                <w:sz w:val="22"/>
                <w:szCs w:val="22"/>
              </w:rPr>
            </w:pPr>
            <w:r w:rsidRPr="00497159">
              <w:rPr>
                <w:rFonts w:ascii="Arial Narrow" w:eastAsia="Times New Roman" w:hAnsi="Arial Narrow" w:cs="Calibri"/>
                <w:b/>
                <w:bCs/>
                <w:color w:val="FFFFFF"/>
                <w:sz w:val="22"/>
                <w:szCs w:val="22"/>
              </w:rPr>
              <w:t>Norma</w:t>
            </w:r>
          </w:p>
        </w:tc>
        <w:tc>
          <w:tcPr>
            <w:tcW w:w="1881" w:type="dxa"/>
            <w:tcBorders>
              <w:top w:val="nil"/>
              <w:left w:val="nil"/>
              <w:bottom w:val="nil"/>
              <w:right w:val="single" w:sz="8" w:space="0" w:color="auto"/>
            </w:tcBorders>
            <w:shd w:val="clear" w:color="000000" w:fill="203764"/>
            <w:vAlign w:val="center"/>
            <w:hideMark/>
          </w:tcPr>
          <w:p w14:paraId="488B97D7" w14:textId="77777777" w:rsidR="00497159" w:rsidRPr="00497159" w:rsidRDefault="00497159" w:rsidP="00497159">
            <w:pPr>
              <w:jc w:val="center"/>
              <w:rPr>
                <w:rFonts w:ascii="Arial Narrow" w:eastAsia="Times New Roman" w:hAnsi="Arial Narrow" w:cs="Calibri"/>
                <w:b/>
                <w:bCs/>
                <w:color w:val="FFFFFF"/>
                <w:sz w:val="22"/>
                <w:szCs w:val="22"/>
                <w:lang w:val="es-CR"/>
              </w:rPr>
            </w:pPr>
            <w:r w:rsidRPr="00497159">
              <w:rPr>
                <w:rFonts w:ascii="Arial Narrow" w:eastAsia="Times New Roman" w:hAnsi="Arial Narrow" w:cs="Calibri"/>
                <w:b/>
                <w:bCs/>
                <w:color w:val="FFFFFF"/>
                <w:sz w:val="22"/>
                <w:szCs w:val="22"/>
                <w:lang w:val="es-CR"/>
              </w:rPr>
              <w:t>Normativa técnica y disposiciones adicionales</w:t>
            </w:r>
          </w:p>
        </w:tc>
      </w:tr>
      <w:tr w:rsidR="00497159" w:rsidRPr="00497159" w14:paraId="6E0C36FA" w14:textId="77777777" w:rsidTr="00AB7853">
        <w:trPr>
          <w:gridAfter w:val="1"/>
          <w:wAfter w:w="10" w:type="dxa"/>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A9B9EB" w14:textId="77777777" w:rsidR="00497159" w:rsidRPr="00497159" w:rsidRDefault="00497159" w:rsidP="00497159">
            <w:pPr>
              <w:jc w:val="right"/>
              <w:rPr>
                <w:rFonts w:ascii="Arial Narrow" w:eastAsia="Times New Roman" w:hAnsi="Arial Narrow"/>
                <w:b/>
                <w:bCs/>
                <w:color w:val="000000"/>
                <w:sz w:val="22"/>
                <w:szCs w:val="22"/>
              </w:rPr>
            </w:pPr>
            <w:r w:rsidRPr="00497159">
              <w:rPr>
                <w:rFonts w:ascii="Arial Narrow" w:eastAsia="Times New Roman" w:hAnsi="Arial Narrow"/>
                <w:b/>
                <w:bCs/>
                <w:color w:val="000000"/>
                <w:sz w:val="22"/>
                <w:szCs w:val="22"/>
              </w:rPr>
              <w:t>4</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484E4BD4" w14:textId="77777777" w:rsidR="00497159" w:rsidRPr="00497159" w:rsidRDefault="00497159" w:rsidP="00497159">
            <w:pPr>
              <w:ind w:firstLineChars="100" w:firstLine="220"/>
              <w:rPr>
                <w:rFonts w:ascii="Arial Narrow" w:eastAsia="Times New Roman" w:hAnsi="Arial Narrow"/>
                <w:b/>
                <w:bCs/>
                <w:color w:val="000000"/>
                <w:sz w:val="22"/>
                <w:szCs w:val="22"/>
              </w:rPr>
            </w:pPr>
            <w:r w:rsidRPr="00497159">
              <w:rPr>
                <w:rFonts w:ascii="Arial Narrow" w:eastAsia="Times New Roman" w:hAnsi="Arial Narrow"/>
                <w:b/>
                <w:bCs/>
                <w:color w:val="000000"/>
                <w:sz w:val="22"/>
                <w:szCs w:val="22"/>
              </w:rPr>
              <w:t>20</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7EBFED96" w14:textId="12FECDE1" w:rsidR="00497159" w:rsidRPr="00497159" w:rsidRDefault="00497159" w:rsidP="00497159">
            <w:pPr>
              <w:jc w:val="center"/>
              <w:rPr>
                <w:rFonts w:ascii="Arial Narrow" w:eastAsia="Times New Roman" w:hAnsi="Arial Narrow" w:cs="Calibri"/>
                <w:b/>
                <w:bCs/>
                <w:color w:val="000000"/>
                <w:sz w:val="22"/>
                <w:szCs w:val="22"/>
              </w:rPr>
            </w:pPr>
          </w:p>
        </w:tc>
        <w:tc>
          <w:tcPr>
            <w:tcW w:w="3723" w:type="dxa"/>
            <w:tcBorders>
              <w:top w:val="single" w:sz="8" w:space="0" w:color="auto"/>
              <w:left w:val="nil"/>
              <w:bottom w:val="single" w:sz="8" w:space="0" w:color="auto"/>
              <w:right w:val="single" w:sz="8" w:space="0" w:color="auto"/>
            </w:tcBorders>
            <w:shd w:val="clear" w:color="auto" w:fill="auto"/>
            <w:vAlign w:val="center"/>
            <w:hideMark/>
          </w:tcPr>
          <w:p w14:paraId="240A9113" w14:textId="77777777" w:rsidR="00497159" w:rsidRPr="00497159" w:rsidRDefault="00497159" w:rsidP="00497159">
            <w:pPr>
              <w:rPr>
                <w:rFonts w:ascii="Arial Narrow" w:eastAsia="Times New Roman" w:hAnsi="Arial Narrow"/>
                <w:b/>
                <w:bCs/>
                <w:color w:val="000000"/>
                <w:sz w:val="22"/>
                <w:szCs w:val="22"/>
              </w:rPr>
            </w:pPr>
            <w:r w:rsidRPr="00497159">
              <w:rPr>
                <w:rFonts w:ascii="Arial Narrow" w:eastAsia="Times New Roman" w:hAnsi="Arial Narrow"/>
                <w:b/>
                <w:bCs/>
                <w:color w:val="000000"/>
                <w:sz w:val="22"/>
                <w:szCs w:val="22"/>
              </w:rPr>
              <w:t>Reconocimiento y medición</w:t>
            </w:r>
          </w:p>
        </w:tc>
        <w:tc>
          <w:tcPr>
            <w:tcW w:w="2021" w:type="dxa"/>
            <w:tcBorders>
              <w:top w:val="single" w:sz="8" w:space="0" w:color="auto"/>
              <w:left w:val="nil"/>
              <w:bottom w:val="single" w:sz="8" w:space="0" w:color="auto"/>
              <w:right w:val="single" w:sz="8" w:space="0" w:color="auto"/>
            </w:tcBorders>
            <w:shd w:val="clear" w:color="auto" w:fill="auto"/>
            <w:vAlign w:val="center"/>
            <w:hideMark/>
          </w:tcPr>
          <w:p w14:paraId="446C49DD" w14:textId="77777777" w:rsidR="00497159" w:rsidRPr="00497159" w:rsidRDefault="00497159" w:rsidP="00497159">
            <w:pPr>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NICSP N° 23,</w:t>
            </w:r>
            <w:r w:rsidRPr="00497159">
              <w:rPr>
                <w:rFonts w:ascii="Arial Narrow" w:eastAsia="Times New Roman" w:hAnsi="Arial Narrow" w:cs="Calibri"/>
                <w:b/>
                <w:bCs/>
                <w:color w:val="000000"/>
                <w:sz w:val="22"/>
                <w:szCs w:val="22"/>
              </w:rPr>
              <w:br/>
              <w:t>Párrafo 89.</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095A7376" w14:textId="77777777" w:rsidR="00497159" w:rsidRPr="00497159" w:rsidRDefault="00497159" w:rsidP="00497159">
            <w:pPr>
              <w:jc w:val="center"/>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 xml:space="preserve"> </w:t>
            </w:r>
          </w:p>
        </w:tc>
      </w:tr>
      <w:tr w:rsidR="00497159" w:rsidRPr="00497159" w14:paraId="42D6A9A1" w14:textId="77777777" w:rsidTr="00AB7853">
        <w:trPr>
          <w:gridAfter w:val="1"/>
          <w:wAfter w:w="10" w:type="dxa"/>
          <w:trHeight w:val="32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65A60F1A" w14:textId="77777777" w:rsidR="00497159" w:rsidRPr="00497159" w:rsidRDefault="00497159" w:rsidP="00497159">
            <w:pPr>
              <w:jc w:val="right"/>
              <w:rPr>
                <w:rFonts w:ascii="Arial Narrow" w:eastAsia="Times New Roman" w:hAnsi="Arial Narrow"/>
                <w:b/>
                <w:bCs/>
                <w:color w:val="000000"/>
                <w:sz w:val="22"/>
                <w:szCs w:val="22"/>
              </w:rPr>
            </w:pPr>
            <w:r w:rsidRPr="00497159">
              <w:rPr>
                <w:rFonts w:ascii="Arial Narrow" w:eastAsia="Times New Roman" w:hAnsi="Arial Narrow"/>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2E9E4312" w14:textId="77777777" w:rsidR="00497159" w:rsidRPr="00497159" w:rsidRDefault="00497159" w:rsidP="00497159">
            <w:pPr>
              <w:ind w:firstLineChars="100" w:firstLine="220"/>
              <w:rPr>
                <w:rFonts w:ascii="Arial Narrow" w:eastAsia="Times New Roman" w:hAnsi="Arial Narrow"/>
                <w:b/>
                <w:bCs/>
                <w:color w:val="000000"/>
                <w:sz w:val="22"/>
                <w:szCs w:val="22"/>
              </w:rPr>
            </w:pPr>
            <w:r w:rsidRPr="00497159">
              <w:rPr>
                <w:rFonts w:ascii="Arial Narrow" w:eastAsia="Times New Roman" w:hAnsi="Arial Narrow"/>
                <w:b/>
                <w:bCs/>
                <w:color w:val="000000"/>
                <w:sz w:val="22"/>
                <w:szCs w:val="22"/>
              </w:rPr>
              <w:t>20</w:t>
            </w:r>
          </w:p>
        </w:tc>
        <w:tc>
          <w:tcPr>
            <w:tcW w:w="517" w:type="dxa"/>
            <w:tcBorders>
              <w:top w:val="nil"/>
              <w:left w:val="nil"/>
              <w:bottom w:val="single" w:sz="8" w:space="0" w:color="auto"/>
              <w:right w:val="nil"/>
            </w:tcBorders>
            <w:shd w:val="clear" w:color="auto" w:fill="auto"/>
            <w:vAlign w:val="center"/>
            <w:hideMark/>
          </w:tcPr>
          <w:p w14:paraId="087FCF3A" w14:textId="77777777" w:rsidR="00497159" w:rsidRPr="00497159" w:rsidRDefault="00497159" w:rsidP="00497159">
            <w:pPr>
              <w:jc w:val="center"/>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1</w:t>
            </w:r>
          </w:p>
        </w:tc>
        <w:tc>
          <w:tcPr>
            <w:tcW w:w="3723" w:type="dxa"/>
            <w:tcBorders>
              <w:top w:val="nil"/>
              <w:left w:val="single" w:sz="8" w:space="0" w:color="auto"/>
              <w:bottom w:val="single" w:sz="8" w:space="0" w:color="auto"/>
              <w:right w:val="single" w:sz="8" w:space="0" w:color="auto"/>
            </w:tcBorders>
            <w:shd w:val="clear" w:color="auto" w:fill="auto"/>
            <w:vAlign w:val="center"/>
            <w:hideMark/>
          </w:tcPr>
          <w:p w14:paraId="2A3D94B3" w14:textId="77777777" w:rsidR="00497159" w:rsidRPr="00497159" w:rsidRDefault="00497159" w:rsidP="00497159">
            <w:pPr>
              <w:rPr>
                <w:rFonts w:ascii="Arial Narrow" w:eastAsia="Times New Roman" w:hAnsi="Arial Narrow"/>
                <w:b/>
                <w:bCs/>
                <w:color w:val="000000"/>
                <w:sz w:val="22"/>
                <w:szCs w:val="22"/>
              </w:rPr>
            </w:pPr>
            <w:r w:rsidRPr="00497159">
              <w:rPr>
                <w:rFonts w:ascii="Arial Narrow" w:eastAsia="Times New Roman" w:hAnsi="Arial Narrow"/>
                <w:b/>
                <w:bCs/>
                <w:color w:val="000000"/>
                <w:sz w:val="22"/>
                <w:szCs w:val="22"/>
              </w:rPr>
              <w:t>Criterios particulares</w:t>
            </w:r>
          </w:p>
        </w:tc>
        <w:tc>
          <w:tcPr>
            <w:tcW w:w="2021" w:type="dxa"/>
            <w:tcBorders>
              <w:top w:val="nil"/>
              <w:left w:val="nil"/>
              <w:bottom w:val="single" w:sz="8" w:space="0" w:color="auto"/>
              <w:right w:val="single" w:sz="8" w:space="0" w:color="auto"/>
            </w:tcBorders>
            <w:shd w:val="clear" w:color="auto" w:fill="auto"/>
            <w:vAlign w:val="center"/>
            <w:hideMark/>
          </w:tcPr>
          <w:p w14:paraId="177E6C73" w14:textId="77777777" w:rsidR="00497159" w:rsidRPr="00497159" w:rsidRDefault="00497159" w:rsidP="00497159">
            <w:pPr>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 xml:space="preserve"> </w:t>
            </w:r>
          </w:p>
        </w:tc>
        <w:tc>
          <w:tcPr>
            <w:tcW w:w="1881" w:type="dxa"/>
            <w:tcBorders>
              <w:top w:val="nil"/>
              <w:left w:val="nil"/>
              <w:bottom w:val="single" w:sz="8" w:space="0" w:color="auto"/>
              <w:right w:val="single" w:sz="8" w:space="0" w:color="auto"/>
            </w:tcBorders>
            <w:shd w:val="clear" w:color="auto" w:fill="auto"/>
            <w:vAlign w:val="center"/>
            <w:hideMark/>
          </w:tcPr>
          <w:p w14:paraId="68132DF3" w14:textId="77777777" w:rsidR="00497159" w:rsidRPr="00497159" w:rsidRDefault="00497159" w:rsidP="00497159">
            <w:pPr>
              <w:jc w:val="center"/>
              <w:rPr>
                <w:rFonts w:ascii="Arial Narrow" w:eastAsia="Times New Roman" w:hAnsi="Arial Narrow" w:cs="Calibri"/>
                <w:b/>
                <w:bCs/>
                <w:color w:val="000000"/>
                <w:sz w:val="22"/>
                <w:szCs w:val="22"/>
              </w:rPr>
            </w:pPr>
            <w:r w:rsidRPr="00497159">
              <w:rPr>
                <w:rFonts w:ascii="Arial Narrow" w:eastAsia="Times New Roman" w:hAnsi="Arial Narrow" w:cs="Calibri"/>
                <w:b/>
                <w:bCs/>
                <w:color w:val="000000"/>
                <w:sz w:val="22"/>
                <w:szCs w:val="22"/>
              </w:rPr>
              <w:t>DGCN</w:t>
            </w:r>
          </w:p>
        </w:tc>
      </w:tr>
    </w:tbl>
    <w:p w14:paraId="26BC6B89" w14:textId="77777777" w:rsidR="00E71910" w:rsidRDefault="00E71910" w:rsidP="00AB7853">
      <w:pPr>
        <w:pStyle w:val="Default"/>
        <w:ind w:right="261"/>
        <w:jc w:val="both"/>
        <w:rPr>
          <w:sz w:val="22"/>
          <w:szCs w:val="22"/>
          <w:lang w:val="es-CR"/>
        </w:rPr>
      </w:pPr>
    </w:p>
    <w:p w14:paraId="14FCA4CB" w14:textId="3B4AA955" w:rsidR="00AB7853" w:rsidRDefault="00AB7853" w:rsidP="00AB7853">
      <w:pPr>
        <w:pStyle w:val="Default"/>
        <w:ind w:right="261"/>
        <w:jc w:val="both"/>
        <w:rPr>
          <w:rFonts w:eastAsia="Arial"/>
          <w:b/>
          <w:sz w:val="22"/>
          <w:szCs w:val="22"/>
        </w:rPr>
      </w:pPr>
      <w:r w:rsidRPr="00F02F9D">
        <w:rPr>
          <w:rFonts w:eastAsia="Arial"/>
          <w:b/>
          <w:sz w:val="22"/>
          <w:szCs w:val="22"/>
        </w:rPr>
        <w:t>Políticas Contables</w:t>
      </w:r>
    </w:p>
    <w:p w14:paraId="4E78C502" w14:textId="77777777" w:rsidR="00AB7853" w:rsidRDefault="00AB7853" w:rsidP="00AB7853">
      <w:pPr>
        <w:pStyle w:val="Default"/>
        <w:ind w:right="261"/>
        <w:jc w:val="both"/>
        <w:rPr>
          <w:sz w:val="22"/>
          <w:szCs w:val="22"/>
          <w:lang w:val="es-CR"/>
        </w:rPr>
      </w:pPr>
    </w:p>
    <w:p w14:paraId="4983A2E7" w14:textId="070CECF3" w:rsidR="00497159" w:rsidRDefault="00497159" w:rsidP="00497159">
      <w:pPr>
        <w:pStyle w:val="Default"/>
        <w:ind w:left="1134" w:hanging="1134"/>
        <w:jc w:val="both"/>
        <w:rPr>
          <w:sz w:val="22"/>
          <w:szCs w:val="22"/>
          <w:lang w:val="es-CR"/>
        </w:rPr>
      </w:pPr>
      <w:r>
        <w:rPr>
          <w:sz w:val="22"/>
          <w:szCs w:val="22"/>
          <w:lang w:val="es-CR"/>
        </w:rPr>
        <w:t>4.20.0.01</w:t>
      </w:r>
      <w:r>
        <w:rPr>
          <w:sz w:val="22"/>
          <w:szCs w:val="22"/>
          <w:lang w:val="es-CR"/>
        </w:rPr>
        <w:tab/>
      </w:r>
      <w:r w:rsidRPr="00497159">
        <w:rPr>
          <w:sz w:val="22"/>
          <w:szCs w:val="22"/>
          <w:lang w:val="es-CR"/>
        </w:rPr>
        <w:t xml:space="preserve">Los activos que surgen de multas se miden por la mejor estimación de la entrada de recursos a la </w:t>
      </w:r>
      <w:r>
        <w:rPr>
          <w:sz w:val="22"/>
          <w:szCs w:val="22"/>
          <w:lang w:val="es-CR"/>
        </w:rPr>
        <w:t>Municipalidad</w:t>
      </w:r>
      <w:r w:rsidRPr="00497159">
        <w:rPr>
          <w:sz w:val="22"/>
          <w:szCs w:val="22"/>
          <w:lang w:val="es-CR"/>
        </w:rPr>
        <w:t xml:space="preserve"> y se reconocen como ingresos cuando la cuenta por cobrar cumple la definición de activo y satisface los criterios para su reconocimiento como tal. </w:t>
      </w:r>
    </w:p>
    <w:p w14:paraId="59440DA8" w14:textId="54E3FD92" w:rsidR="00497159" w:rsidRPr="00497159" w:rsidRDefault="00497159" w:rsidP="00497159">
      <w:pPr>
        <w:pStyle w:val="Default"/>
        <w:jc w:val="both"/>
        <w:rPr>
          <w:sz w:val="22"/>
          <w:szCs w:val="22"/>
          <w:lang w:val="es-CR"/>
        </w:rPr>
      </w:pPr>
      <w:r w:rsidRPr="00497159">
        <w:rPr>
          <w:b/>
          <w:bCs/>
          <w:sz w:val="22"/>
          <w:szCs w:val="22"/>
          <w:lang w:val="es-CR"/>
        </w:rPr>
        <w:t xml:space="preserve"> </w:t>
      </w:r>
    </w:p>
    <w:p w14:paraId="41BF5331" w14:textId="0F4F0695" w:rsidR="00E71910" w:rsidRDefault="00497159" w:rsidP="00497159">
      <w:pPr>
        <w:pStyle w:val="Default"/>
        <w:spacing w:after="120" w:line="238" w:lineRule="auto"/>
        <w:ind w:left="1134" w:right="4" w:hanging="1134"/>
        <w:jc w:val="both"/>
        <w:rPr>
          <w:sz w:val="22"/>
          <w:szCs w:val="22"/>
          <w:lang w:val="es-CR"/>
        </w:rPr>
      </w:pPr>
      <w:r>
        <w:rPr>
          <w:sz w:val="22"/>
          <w:szCs w:val="22"/>
          <w:lang w:val="es-CR"/>
        </w:rPr>
        <w:t>4.20.</w:t>
      </w:r>
      <w:r w:rsidRPr="00497159">
        <w:rPr>
          <w:sz w:val="22"/>
          <w:szCs w:val="22"/>
          <w:lang w:val="es-CR"/>
        </w:rPr>
        <w:t>1.</w:t>
      </w:r>
      <w:r>
        <w:rPr>
          <w:sz w:val="22"/>
          <w:szCs w:val="22"/>
          <w:lang w:val="es-CR"/>
        </w:rPr>
        <w:t>01</w:t>
      </w:r>
      <w:r>
        <w:rPr>
          <w:sz w:val="22"/>
          <w:szCs w:val="22"/>
          <w:lang w:val="es-CR"/>
        </w:rPr>
        <w:tab/>
      </w:r>
      <w:r w:rsidRPr="00497159">
        <w:rPr>
          <w:sz w:val="22"/>
          <w:szCs w:val="22"/>
          <w:lang w:val="es-CR"/>
        </w:rPr>
        <w:t xml:space="preserve">La </w:t>
      </w:r>
      <w:r>
        <w:rPr>
          <w:sz w:val="22"/>
          <w:szCs w:val="22"/>
          <w:lang w:val="es-CR"/>
        </w:rPr>
        <w:t>Municipalidad</w:t>
      </w:r>
      <w:r w:rsidRPr="00497159">
        <w:rPr>
          <w:sz w:val="22"/>
          <w:szCs w:val="22"/>
          <w:lang w:val="es-CR"/>
        </w:rPr>
        <w:t xml:space="preserve"> reconocerá ingresos por multas en el momento en que las mismas queden firmes, sea en sede administrativa o judicial.</w:t>
      </w:r>
    </w:p>
    <w:p w14:paraId="7BCF3CA6" w14:textId="0652C567" w:rsidR="006B4C79" w:rsidRDefault="006B4C79" w:rsidP="006B4C79">
      <w:pPr>
        <w:pStyle w:val="Default"/>
        <w:spacing w:after="120" w:line="238" w:lineRule="auto"/>
        <w:ind w:left="1134" w:right="4" w:hanging="1134"/>
        <w:jc w:val="both"/>
        <w:rPr>
          <w:rFonts w:eastAsia="Times New Roman"/>
          <w:sz w:val="22"/>
          <w:szCs w:val="22"/>
          <w:lang w:val="es-MX"/>
        </w:rPr>
      </w:pPr>
      <w:r>
        <w:rPr>
          <w:sz w:val="22"/>
          <w:szCs w:val="22"/>
          <w:lang w:val="es-CR"/>
        </w:rPr>
        <w:t>4.20.1.02</w:t>
      </w:r>
      <w:r>
        <w:rPr>
          <w:sz w:val="22"/>
          <w:szCs w:val="22"/>
          <w:lang w:val="es-CR"/>
        </w:rPr>
        <w:tab/>
        <w:t xml:space="preserve">La </w:t>
      </w:r>
      <w:r w:rsidR="000F29DC">
        <w:rPr>
          <w:sz w:val="22"/>
          <w:szCs w:val="22"/>
          <w:lang w:val="es-CR"/>
        </w:rPr>
        <w:t>MBA</w:t>
      </w:r>
      <w:r w:rsidRPr="006B4C79">
        <w:rPr>
          <w:sz w:val="22"/>
          <w:szCs w:val="22"/>
          <w:lang w:val="es-CR"/>
        </w:rPr>
        <w:t xml:space="preserve"> reconocerá multas o recargos de acuerdo con lo establecido en los artículos 78 y 85 del Código Municipal por e</w:t>
      </w:r>
      <w:r w:rsidRPr="006B4C79">
        <w:rPr>
          <w:rFonts w:eastAsia="Times New Roman"/>
          <w:sz w:val="22"/>
          <w:szCs w:val="22"/>
          <w:lang w:val="es-MX"/>
        </w:rPr>
        <w:t>l atraso en los pagos de tributos, que se calcularán según el Código de Normas y Procedimientos Tributarios.</w:t>
      </w:r>
    </w:p>
    <w:p w14:paraId="4C3BC22D" w14:textId="77777777" w:rsidR="00AB7853" w:rsidRDefault="00AB7853" w:rsidP="006B4C79">
      <w:pPr>
        <w:pStyle w:val="Default"/>
        <w:spacing w:after="120" w:line="238" w:lineRule="auto"/>
        <w:ind w:left="1134" w:right="4" w:hanging="1134"/>
        <w:jc w:val="both"/>
        <w:rPr>
          <w:rFonts w:eastAsia="Times New Roman"/>
          <w:sz w:val="22"/>
          <w:szCs w:val="22"/>
          <w:lang w:val="es-MX"/>
        </w:rPr>
      </w:pPr>
    </w:p>
    <w:p w14:paraId="0F27214A" w14:textId="77777777" w:rsidR="00AB7853" w:rsidRDefault="00AB7853" w:rsidP="00AB7853">
      <w:pPr>
        <w:pStyle w:val="Default"/>
        <w:spacing w:line="238" w:lineRule="auto"/>
        <w:ind w:left="1134" w:right="4" w:hanging="1134"/>
        <w:jc w:val="both"/>
        <w:rPr>
          <w:rFonts w:eastAsia="Times New Roman"/>
          <w:sz w:val="22"/>
          <w:szCs w:val="22"/>
          <w:lang w:val="es-MX"/>
        </w:rPr>
      </w:pPr>
    </w:p>
    <w:p w14:paraId="3E73B6D7" w14:textId="77777777" w:rsidR="00AB7853" w:rsidRDefault="00AB7853" w:rsidP="006B4C79">
      <w:pPr>
        <w:pStyle w:val="Default"/>
        <w:spacing w:after="120" w:line="238" w:lineRule="auto"/>
        <w:ind w:left="1134" w:right="4" w:hanging="1134"/>
        <w:jc w:val="both"/>
        <w:rPr>
          <w:rFonts w:eastAsia="Times New Roman"/>
          <w:sz w:val="22"/>
          <w:szCs w:val="22"/>
          <w:lang w:val="es-MX"/>
        </w:rPr>
      </w:pPr>
    </w:p>
    <w:p w14:paraId="27DEE0B0" w14:textId="77777777" w:rsidR="00AB7853" w:rsidRDefault="00AB7853" w:rsidP="006B4C79">
      <w:pPr>
        <w:pStyle w:val="Default"/>
        <w:spacing w:after="120" w:line="238" w:lineRule="auto"/>
        <w:ind w:left="1134" w:right="4" w:hanging="1134"/>
        <w:jc w:val="both"/>
        <w:rPr>
          <w:rFonts w:eastAsia="Times New Roman"/>
          <w:sz w:val="22"/>
          <w:szCs w:val="22"/>
          <w:lang w:val="es-MX"/>
        </w:rPr>
      </w:pPr>
    </w:p>
    <w:p w14:paraId="22794B8C" w14:textId="77777777" w:rsidR="00AB7853" w:rsidRDefault="00AB7853" w:rsidP="006B4C79">
      <w:pPr>
        <w:pStyle w:val="Default"/>
        <w:spacing w:after="120" w:line="238" w:lineRule="auto"/>
        <w:ind w:left="1134" w:right="4" w:hanging="1134"/>
        <w:jc w:val="both"/>
        <w:rPr>
          <w:rFonts w:eastAsia="Times New Roman"/>
          <w:sz w:val="22"/>
          <w:szCs w:val="22"/>
          <w:lang w:val="es-MX"/>
        </w:rPr>
      </w:pPr>
    </w:p>
    <w:p w14:paraId="21825B24" w14:textId="77777777" w:rsidR="00AB7853" w:rsidRPr="006B4C79" w:rsidRDefault="00AB7853" w:rsidP="00AB7853">
      <w:pPr>
        <w:pStyle w:val="Default"/>
        <w:spacing w:before="240" w:after="120" w:line="238" w:lineRule="auto"/>
        <w:ind w:left="1134" w:right="4" w:hanging="1134"/>
        <w:jc w:val="both"/>
        <w:rPr>
          <w:rFonts w:eastAsia="Times New Roman"/>
          <w:sz w:val="22"/>
          <w:szCs w:val="22"/>
          <w:lang w:val="es-CR"/>
        </w:rPr>
      </w:pPr>
    </w:p>
    <w:p w14:paraId="6A454BA6" w14:textId="77777777" w:rsidR="00AB7853" w:rsidRDefault="00AB7853" w:rsidP="00727CD8">
      <w:pPr>
        <w:pStyle w:val="Ttulo2"/>
        <w:ind w:left="284"/>
        <w:rPr>
          <w:rFonts w:ascii="Arial" w:eastAsia="Arial" w:hAnsi="Arial" w:cs="Arial"/>
          <w:b/>
          <w:bCs/>
          <w:sz w:val="20"/>
          <w:szCs w:val="20"/>
          <w:lang w:val="es-CR"/>
        </w:rPr>
      </w:pPr>
    </w:p>
    <w:p w14:paraId="017065B3" w14:textId="16CA4EFF" w:rsidR="00C61708" w:rsidRDefault="00C61708" w:rsidP="00727CD8">
      <w:pPr>
        <w:pStyle w:val="Ttulo2"/>
        <w:ind w:left="284"/>
        <w:rPr>
          <w:rFonts w:ascii="Arial" w:eastAsia="Arial" w:hAnsi="Arial" w:cs="Arial"/>
          <w:b/>
          <w:bCs/>
          <w:sz w:val="20"/>
          <w:szCs w:val="20"/>
          <w:lang w:val="es-CR"/>
        </w:rPr>
      </w:pPr>
      <w:bookmarkStart w:id="126" w:name="_Toc172726261"/>
      <w:r w:rsidRPr="00727CD8">
        <w:rPr>
          <w:rFonts w:ascii="Arial" w:eastAsia="Arial" w:hAnsi="Arial" w:cs="Arial"/>
          <w:b/>
          <w:bCs/>
          <w:sz w:val="20"/>
          <w:szCs w:val="20"/>
          <w:lang w:val="es-CR"/>
        </w:rPr>
        <w:t>Legados</w:t>
      </w:r>
      <w:bookmarkEnd w:id="126"/>
    </w:p>
    <w:p w14:paraId="36D14ED7" w14:textId="77777777" w:rsidR="00AB7853" w:rsidRPr="00AB7853" w:rsidRDefault="00AB7853" w:rsidP="00AB7853">
      <w:pPr>
        <w:rPr>
          <w:lang w:val="es-CR"/>
        </w:rPr>
      </w:pPr>
    </w:p>
    <w:p w14:paraId="1C9180E0" w14:textId="77777777" w:rsidR="00C61708" w:rsidRPr="00C61708" w:rsidRDefault="00C61708" w:rsidP="00727CD8">
      <w:pPr>
        <w:pStyle w:val="Default"/>
        <w:ind w:left="1134" w:right="6" w:hanging="1134"/>
        <w:jc w:val="both"/>
        <w:rPr>
          <w:b/>
          <w:bCs/>
          <w:lang w:val="es-CR"/>
        </w:rPr>
      </w:pPr>
    </w:p>
    <w:tbl>
      <w:tblPr>
        <w:tblW w:w="9386" w:type="dxa"/>
        <w:tblLook w:val="04A0" w:firstRow="1" w:lastRow="0" w:firstColumn="1" w:lastColumn="0" w:noHBand="0" w:noVBand="1"/>
      </w:tblPr>
      <w:tblGrid>
        <w:gridCol w:w="416"/>
        <w:gridCol w:w="708"/>
        <w:gridCol w:w="563"/>
        <w:gridCol w:w="16"/>
        <w:gridCol w:w="3670"/>
        <w:gridCol w:w="16"/>
        <w:gridCol w:w="2089"/>
        <w:gridCol w:w="16"/>
        <w:gridCol w:w="1867"/>
        <w:gridCol w:w="16"/>
        <w:gridCol w:w="9"/>
      </w:tblGrid>
      <w:tr w:rsidR="00C61708" w:rsidRPr="00C61708" w14:paraId="70E7BE05" w14:textId="77777777" w:rsidTr="00AB7853">
        <w:trPr>
          <w:trHeight w:val="300"/>
        </w:trPr>
        <w:tc>
          <w:tcPr>
            <w:tcW w:w="1703"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0DAC3F47" w14:textId="77777777" w:rsidR="00C61708" w:rsidRPr="00C61708" w:rsidRDefault="00C61708" w:rsidP="00C61708">
            <w:pPr>
              <w:jc w:val="center"/>
              <w:rPr>
                <w:rFonts w:ascii="Arial Narrow" w:eastAsia="Times New Roman" w:hAnsi="Arial Narrow" w:cs="Calibri"/>
                <w:b/>
                <w:bCs/>
                <w:color w:val="FFFFFF"/>
                <w:sz w:val="22"/>
                <w:szCs w:val="22"/>
              </w:rPr>
            </w:pPr>
            <w:r w:rsidRPr="00C61708">
              <w:rPr>
                <w:rFonts w:ascii="Arial Narrow" w:eastAsia="Times New Roman" w:hAnsi="Arial Narrow" w:cs="Calibri"/>
                <w:b/>
                <w:bCs/>
                <w:color w:val="FFFFFF"/>
                <w:sz w:val="22"/>
                <w:szCs w:val="22"/>
              </w:rPr>
              <w:t>Norma / Política</w:t>
            </w:r>
          </w:p>
        </w:tc>
        <w:tc>
          <w:tcPr>
            <w:tcW w:w="3686"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24044283" w14:textId="77777777" w:rsidR="00C61708" w:rsidRPr="00C61708" w:rsidRDefault="00C61708" w:rsidP="00C61708">
            <w:pPr>
              <w:jc w:val="center"/>
              <w:rPr>
                <w:rFonts w:ascii="Arial Narrow" w:eastAsia="Times New Roman" w:hAnsi="Arial Narrow" w:cs="Calibri"/>
                <w:b/>
                <w:bCs/>
                <w:color w:val="FFFFFF"/>
                <w:sz w:val="22"/>
                <w:szCs w:val="22"/>
              </w:rPr>
            </w:pPr>
            <w:r w:rsidRPr="00C61708">
              <w:rPr>
                <w:rFonts w:ascii="Arial Narrow" w:eastAsia="Times New Roman" w:hAnsi="Arial Narrow" w:cs="Calibri"/>
                <w:b/>
                <w:bCs/>
                <w:color w:val="FFFFFF"/>
                <w:sz w:val="22"/>
                <w:szCs w:val="22"/>
              </w:rPr>
              <w:t>Concepto</w:t>
            </w:r>
          </w:p>
        </w:tc>
        <w:tc>
          <w:tcPr>
            <w:tcW w:w="3997" w:type="dxa"/>
            <w:gridSpan w:val="5"/>
            <w:tcBorders>
              <w:top w:val="single" w:sz="8" w:space="0" w:color="auto"/>
              <w:left w:val="nil"/>
              <w:bottom w:val="single" w:sz="8" w:space="0" w:color="auto"/>
              <w:right w:val="single" w:sz="8" w:space="0" w:color="000000"/>
            </w:tcBorders>
            <w:shd w:val="clear" w:color="000000" w:fill="203764"/>
            <w:vAlign w:val="center"/>
            <w:hideMark/>
          </w:tcPr>
          <w:p w14:paraId="52786C83" w14:textId="77777777" w:rsidR="00C61708" w:rsidRPr="00C61708" w:rsidRDefault="00C61708" w:rsidP="00C61708">
            <w:pPr>
              <w:jc w:val="center"/>
              <w:rPr>
                <w:rFonts w:ascii="Arial Narrow" w:eastAsia="Times New Roman" w:hAnsi="Arial Narrow" w:cs="Calibri"/>
                <w:b/>
                <w:bCs/>
                <w:color w:val="FFFFFF"/>
                <w:sz w:val="22"/>
                <w:szCs w:val="22"/>
              </w:rPr>
            </w:pPr>
            <w:r w:rsidRPr="00C61708">
              <w:rPr>
                <w:rFonts w:ascii="Arial Narrow" w:eastAsia="Times New Roman" w:hAnsi="Arial Narrow" w:cs="Calibri"/>
                <w:b/>
                <w:bCs/>
                <w:color w:val="FFFFFF"/>
                <w:sz w:val="22"/>
                <w:szCs w:val="22"/>
              </w:rPr>
              <w:t>Referencia</w:t>
            </w:r>
          </w:p>
        </w:tc>
      </w:tr>
      <w:tr w:rsidR="00C61708" w:rsidRPr="006E5442" w14:paraId="131EEDC2" w14:textId="77777777" w:rsidTr="00AB7853">
        <w:trPr>
          <w:gridAfter w:val="1"/>
          <w:wAfter w:w="9" w:type="dxa"/>
          <w:trHeight w:val="850"/>
        </w:trPr>
        <w:tc>
          <w:tcPr>
            <w:tcW w:w="1703" w:type="dxa"/>
            <w:gridSpan w:val="4"/>
            <w:vMerge/>
            <w:tcBorders>
              <w:top w:val="single" w:sz="8" w:space="0" w:color="auto"/>
              <w:left w:val="single" w:sz="8" w:space="0" w:color="auto"/>
              <w:bottom w:val="nil"/>
              <w:right w:val="single" w:sz="8" w:space="0" w:color="000000"/>
            </w:tcBorders>
            <w:vAlign w:val="center"/>
            <w:hideMark/>
          </w:tcPr>
          <w:p w14:paraId="0571BD42" w14:textId="77777777" w:rsidR="00C61708" w:rsidRPr="00C61708" w:rsidRDefault="00C61708" w:rsidP="00C61708">
            <w:pPr>
              <w:rPr>
                <w:rFonts w:ascii="Arial Narrow" w:eastAsia="Times New Roman" w:hAnsi="Arial Narrow" w:cs="Calibri"/>
                <w:b/>
                <w:bCs/>
                <w:color w:val="FFFFFF"/>
                <w:sz w:val="22"/>
                <w:szCs w:val="22"/>
              </w:rPr>
            </w:pPr>
          </w:p>
        </w:tc>
        <w:tc>
          <w:tcPr>
            <w:tcW w:w="3686" w:type="dxa"/>
            <w:gridSpan w:val="2"/>
            <w:vMerge/>
            <w:tcBorders>
              <w:top w:val="single" w:sz="8" w:space="0" w:color="auto"/>
              <w:left w:val="single" w:sz="8" w:space="0" w:color="auto"/>
              <w:bottom w:val="nil"/>
              <w:right w:val="single" w:sz="8" w:space="0" w:color="auto"/>
            </w:tcBorders>
            <w:vAlign w:val="center"/>
            <w:hideMark/>
          </w:tcPr>
          <w:p w14:paraId="77762EC4" w14:textId="77777777" w:rsidR="00C61708" w:rsidRPr="00C61708" w:rsidRDefault="00C61708" w:rsidP="00C61708">
            <w:pPr>
              <w:rPr>
                <w:rFonts w:ascii="Arial Narrow" w:eastAsia="Times New Roman" w:hAnsi="Arial Narrow" w:cs="Calibri"/>
                <w:b/>
                <w:bCs/>
                <w:color w:val="FFFFFF"/>
                <w:sz w:val="22"/>
                <w:szCs w:val="22"/>
              </w:rPr>
            </w:pPr>
          </w:p>
        </w:tc>
        <w:tc>
          <w:tcPr>
            <w:tcW w:w="2105" w:type="dxa"/>
            <w:gridSpan w:val="2"/>
            <w:tcBorders>
              <w:top w:val="nil"/>
              <w:left w:val="nil"/>
              <w:bottom w:val="nil"/>
              <w:right w:val="single" w:sz="8" w:space="0" w:color="auto"/>
            </w:tcBorders>
            <w:shd w:val="clear" w:color="000000" w:fill="203764"/>
            <w:vAlign w:val="center"/>
            <w:hideMark/>
          </w:tcPr>
          <w:p w14:paraId="0BED1256" w14:textId="77777777" w:rsidR="00C61708" w:rsidRPr="00C61708" w:rsidRDefault="00C61708" w:rsidP="00C61708">
            <w:pPr>
              <w:jc w:val="center"/>
              <w:rPr>
                <w:rFonts w:ascii="Arial Narrow" w:eastAsia="Times New Roman" w:hAnsi="Arial Narrow" w:cs="Calibri"/>
                <w:b/>
                <w:bCs/>
                <w:color w:val="FFFFFF"/>
                <w:sz w:val="22"/>
                <w:szCs w:val="22"/>
              </w:rPr>
            </w:pPr>
            <w:r w:rsidRPr="00C61708">
              <w:rPr>
                <w:rFonts w:ascii="Arial Narrow" w:eastAsia="Times New Roman" w:hAnsi="Arial Narrow" w:cs="Calibri"/>
                <w:b/>
                <w:bCs/>
                <w:color w:val="FFFFFF"/>
                <w:sz w:val="22"/>
                <w:szCs w:val="22"/>
              </w:rPr>
              <w:t>Norma</w:t>
            </w:r>
          </w:p>
        </w:tc>
        <w:tc>
          <w:tcPr>
            <w:tcW w:w="1883" w:type="dxa"/>
            <w:gridSpan w:val="2"/>
            <w:tcBorders>
              <w:top w:val="nil"/>
              <w:left w:val="nil"/>
              <w:bottom w:val="nil"/>
              <w:right w:val="single" w:sz="8" w:space="0" w:color="auto"/>
            </w:tcBorders>
            <w:shd w:val="clear" w:color="000000" w:fill="203764"/>
            <w:vAlign w:val="center"/>
            <w:hideMark/>
          </w:tcPr>
          <w:p w14:paraId="20E52DE8" w14:textId="77777777" w:rsidR="00C61708" w:rsidRPr="00C61708" w:rsidRDefault="00C61708" w:rsidP="00C61708">
            <w:pPr>
              <w:jc w:val="center"/>
              <w:rPr>
                <w:rFonts w:ascii="Arial Narrow" w:eastAsia="Times New Roman" w:hAnsi="Arial Narrow" w:cs="Calibri"/>
                <w:b/>
                <w:bCs/>
                <w:color w:val="FFFFFF"/>
                <w:sz w:val="22"/>
                <w:szCs w:val="22"/>
                <w:lang w:val="es-CR"/>
              </w:rPr>
            </w:pPr>
            <w:r w:rsidRPr="00C61708">
              <w:rPr>
                <w:rFonts w:ascii="Arial Narrow" w:eastAsia="Times New Roman" w:hAnsi="Arial Narrow" w:cs="Calibri"/>
                <w:b/>
                <w:bCs/>
                <w:color w:val="FFFFFF"/>
                <w:sz w:val="22"/>
                <w:szCs w:val="22"/>
                <w:lang w:val="es-CR"/>
              </w:rPr>
              <w:t>Normativa técnica y disposiciones adicionales</w:t>
            </w:r>
          </w:p>
        </w:tc>
      </w:tr>
      <w:tr w:rsidR="00C61708" w:rsidRPr="00C61708" w14:paraId="36226858" w14:textId="77777777" w:rsidTr="00AB7853">
        <w:trPr>
          <w:gridAfter w:val="2"/>
          <w:wAfter w:w="25"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93E21A"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4</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855C2E1"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21</w:t>
            </w:r>
          </w:p>
        </w:tc>
        <w:tc>
          <w:tcPr>
            <w:tcW w:w="563" w:type="dxa"/>
            <w:tcBorders>
              <w:top w:val="single" w:sz="8" w:space="0" w:color="auto"/>
              <w:left w:val="nil"/>
              <w:bottom w:val="single" w:sz="8" w:space="0" w:color="auto"/>
              <w:right w:val="single" w:sz="8" w:space="0" w:color="auto"/>
            </w:tcBorders>
            <w:shd w:val="clear" w:color="auto" w:fill="auto"/>
            <w:vAlign w:val="center"/>
            <w:hideMark/>
          </w:tcPr>
          <w:p w14:paraId="6D221DDB" w14:textId="0738B9FB" w:rsidR="00C61708" w:rsidRPr="00C61708" w:rsidRDefault="00C61708" w:rsidP="00C61708">
            <w:pPr>
              <w:jc w:val="center"/>
              <w:rPr>
                <w:rFonts w:ascii="Arial Narrow" w:eastAsia="Times New Roman" w:hAnsi="Arial Narrow" w:cs="Calibri"/>
                <w:b/>
                <w:bCs/>
                <w:color w:val="000000"/>
                <w:sz w:val="22"/>
                <w:szCs w:val="22"/>
              </w:rPr>
            </w:pPr>
          </w:p>
        </w:tc>
        <w:tc>
          <w:tcPr>
            <w:tcW w:w="3686" w:type="dxa"/>
            <w:gridSpan w:val="2"/>
            <w:tcBorders>
              <w:top w:val="single" w:sz="8" w:space="0" w:color="auto"/>
              <w:left w:val="nil"/>
              <w:bottom w:val="single" w:sz="8" w:space="0" w:color="auto"/>
              <w:right w:val="single" w:sz="8" w:space="0" w:color="auto"/>
            </w:tcBorders>
            <w:shd w:val="clear" w:color="auto" w:fill="auto"/>
            <w:vAlign w:val="center"/>
            <w:hideMark/>
          </w:tcPr>
          <w:p w14:paraId="50E05EE2" w14:textId="77777777" w:rsidR="00C61708" w:rsidRPr="00C61708" w:rsidRDefault="00C61708" w:rsidP="00C61708">
            <w:pPr>
              <w:jc w:val="both"/>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Legados</w:t>
            </w:r>
          </w:p>
        </w:tc>
        <w:tc>
          <w:tcPr>
            <w:tcW w:w="2105" w:type="dxa"/>
            <w:gridSpan w:val="2"/>
            <w:tcBorders>
              <w:top w:val="single" w:sz="8" w:space="0" w:color="auto"/>
              <w:left w:val="nil"/>
              <w:bottom w:val="single" w:sz="8" w:space="0" w:color="auto"/>
              <w:right w:val="single" w:sz="8" w:space="0" w:color="auto"/>
            </w:tcBorders>
            <w:shd w:val="clear" w:color="auto" w:fill="auto"/>
            <w:vAlign w:val="center"/>
            <w:hideMark/>
          </w:tcPr>
          <w:p w14:paraId="2355EA4B" w14:textId="77777777" w:rsidR="00AB7853" w:rsidRDefault="00C61708" w:rsidP="00C61708">
            <w:pPr>
              <w:jc w:val="both"/>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NICSP N° 23,</w:t>
            </w:r>
          </w:p>
          <w:p w14:paraId="4AA4D58C" w14:textId="380E9AD0" w:rsidR="00C61708" w:rsidRPr="00C61708" w:rsidRDefault="00C61708" w:rsidP="00C61708">
            <w:pPr>
              <w:jc w:val="both"/>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Párrafo 90.</w:t>
            </w:r>
          </w:p>
        </w:tc>
        <w:tc>
          <w:tcPr>
            <w:tcW w:w="1883" w:type="dxa"/>
            <w:gridSpan w:val="2"/>
            <w:tcBorders>
              <w:top w:val="single" w:sz="8" w:space="0" w:color="auto"/>
              <w:left w:val="nil"/>
              <w:bottom w:val="single" w:sz="8" w:space="0" w:color="auto"/>
              <w:right w:val="single" w:sz="8" w:space="0" w:color="auto"/>
            </w:tcBorders>
            <w:shd w:val="clear" w:color="auto" w:fill="auto"/>
            <w:vAlign w:val="center"/>
            <w:hideMark/>
          </w:tcPr>
          <w:p w14:paraId="30A146B5" w14:textId="77777777" w:rsidR="00C61708" w:rsidRPr="00C61708" w:rsidRDefault="00C61708" w:rsidP="00C61708">
            <w:pP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 xml:space="preserve"> </w:t>
            </w:r>
          </w:p>
        </w:tc>
      </w:tr>
    </w:tbl>
    <w:p w14:paraId="1E49991B" w14:textId="77777777" w:rsidR="00C61708" w:rsidRDefault="00C61708" w:rsidP="00727CD8">
      <w:pPr>
        <w:pStyle w:val="Default"/>
        <w:ind w:left="1134" w:right="6" w:hanging="1134"/>
        <w:jc w:val="both"/>
        <w:rPr>
          <w:sz w:val="22"/>
          <w:szCs w:val="22"/>
          <w:lang w:val="es-CR"/>
        </w:rPr>
      </w:pPr>
    </w:p>
    <w:p w14:paraId="1B7225FF" w14:textId="05285ABE" w:rsidR="00AB7853" w:rsidRDefault="00AB7853" w:rsidP="00727CD8">
      <w:pPr>
        <w:pStyle w:val="Default"/>
        <w:ind w:left="1134" w:right="6" w:hanging="1134"/>
        <w:jc w:val="both"/>
        <w:rPr>
          <w:rFonts w:eastAsia="Arial"/>
          <w:b/>
          <w:sz w:val="22"/>
          <w:szCs w:val="22"/>
        </w:rPr>
      </w:pPr>
      <w:r w:rsidRPr="00F02F9D">
        <w:rPr>
          <w:rFonts w:eastAsia="Arial"/>
          <w:b/>
          <w:sz w:val="22"/>
          <w:szCs w:val="22"/>
        </w:rPr>
        <w:t>Políticas Contables</w:t>
      </w:r>
    </w:p>
    <w:p w14:paraId="7ACE5E09" w14:textId="77777777" w:rsidR="00AB7853" w:rsidRPr="00497159" w:rsidRDefault="00AB7853" w:rsidP="00727CD8">
      <w:pPr>
        <w:pStyle w:val="Default"/>
        <w:ind w:left="1134" w:right="6" w:hanging="1134"/>
        <w:jc w:val="both"/>
        <w:rPr>
          <w:sz w:val="22"/>
          <w:szCs w:val="22"/>
          <w:lang w:val="es-CR"/>
        </w:rPr>
      </w:pPr>
    </w:p>
    <w:p w14:paraId="3FBDDF1F" w14:textId="77777777" w:rsidR="00C61708" w:rsidRDefault="00C61708" w:rsidP="00C61708">
      <w:pPr>
        <w:pStyle w:val="Default"/>
        <w:ind w:left="1134" w:hanging="1134"/>
        <w:jc w:val="both"/>
        <w:rPr>
          <w:sz w:val="22"/>
          <w:szCs w:val="22"/>
          <w:lang w:val="es-CR"/>
        </w:rPr>
      </w:pPr>
      <w:r>
        <w:rPr>
          <w:sz w:val="22"/>
          <w:szCs w:val="22"/>
          <w:lang w:val="es-CR"/>
        </w:rPr>
        <w:t>4.21.0.01</w:t>
      </w:r>
      <w:r>
        <w:rPr>
          <w:sz w:val="22"/>
          <w:szCs w:val="22"/>
          <w:lang w:val="es-CR"/>
        </w:rPr>
        <w:tab/>
      </w:r>
      <w:r w:rsidRPr="00C61708">
        <w:rPr>
          <w:sz w:val="22"/>
          <w:szCs w:val="22"/>
          <w:lang w:val="es-CR"/>
        </w:rPr>
        <w:t>Un legado es una transferencia hecha de acuerdo con las disposiciones del testamento de una persona fallecida.</w:t>
      </w:r>
    </w:p>
    <w:p w14:paraId="5A6B2B53" w14:textId="55EB5237" w:rsidR="00C61708" w:rsidRPr="00C61708" w:rsidRDefault="00C61708" w:rsidP="00C61708">
      <w:pPr>
        <w:pStyle w:val="Default"/>
        <w:ind w:left="1134" w:hanging="1134"/>
        <w:jc w:val="both"/>
        <w:rPr>
          <w:sz w:val="22"/>
          <w:szCs w:val="22"/>
          <w:lang w:val="es-CR"/>
        </w:rPr>
      </w:pPr>
      <w:r w:rsidRPr="00C61708">
        <w:rPr>
          <w:sz w:val="22"/>
          <w:szCs w:val="22"/>
          <w:lang w:val="es-CR"/>
        </w:rPr>
        <w:t xml:space="preserve"> </w:t>
      </w:r>
    </w:p>
    <w:p w14:paraId="66C87CA5" w14:textId="338666B4" w:rsidR="00E71910" w:rsidRPr="00C61708" w:rsidRDefault="00C61708" w:rsidP="00C61708">
      <w:pPr>
        <w:pStyle w:val="Default"/>
        <w:ind w:left="1134" w:hanging="1134"/>
        <w:jc w:val="both"/>
        <w:rPr>
          <w:sz w:val="22"/>
          <w:szCs w:val="22"/>
          <w:lang w:val="es-CR"/>
        </w:rPr>
      </w:pPr>
      <w:r>
        <w:rPr>
          <w:sz w:val="22"/>
          <w:szCs w:val="22"/>
          <w:lang w:val="es-CR"/>
        </w:rPr>
        <w:t>4.21.0.02</w:t>
      </w:r>
      <w:r>
        <w:rPr>
          <w:sz w:val="22"/>
          <w:szCs w:val="22"/>
          <w:lang w:val="es-CR"/>
        </w:rPr>
        <w:tab/>
      </w:r>
      <w:r w:rsidRPr="00C61708">
        <w:rPr>
          <w:sz w:val="22"/>
          <w:szCs w:val="22"/>
          <w:lang w:val="es-CR"/>
        </w:rPr>
        <w:t>El suceso pasado que da lugar al control de recursos que incorporan beneficios económicos o potencial de servicio futuros ocurre cuando la entidad tiene un derecho legalmente exigible, por ejemplo: cuando fallece el testador o con la declaración del legítimo albacea, dependiendo de la legislación de la jurisdicción.</w:t>
      </w:r>
    </w:p>
    <w:p w14:paraId="314CE121" w14:textId="77777777" w:rsidR="00E71910" w:rsidRDefault="00E71910" w:rsidP="00727CD8">
      <w:pPr>
        <w:pStyle w:val="Default"/>
        <w:ind w:right="261"/>
        <w:jc w:val="both"/>
        <w:rPr>
          <w:sz w:val="22"/>
          <w:szCs w:val="22"/>
          <w:lang w:val="es-CR"/>
        </w:rPr>
      </w:pPr>
    </w:p>
    <w:p w14:paraId="2AD49574" w14:textId="77777777" w:rsidR="00311422" w:rsidRDefault="00311422" w:rsidP="00727CD8">
      <w:pPr>
        <w:pStyle w:val="Default"/>
        <w:ind w:right="261"/>
        <w:jc w:val="both"/>
        <w:rPr>
          <w:sz w:val="22"/>
          <w:szCs w:val="22"/>
          <w:lang w:val="es-CR"/>
        </w:rPr>
      </w:pPr>
    </w:p>
    <w:tbl>
      <w:tblPr>
        <w:tblW w:w="9394" w:type="dxa"/>
        <w:tblLook w:val="04A0" w:firstRow="1" w:lastRow="0" w:firstColumn="1" w:lastColumn="0" w:noHBand="0" w:noVBand="1"/>
      </w:tblPr>
      <w:tblGrid>
        <w:gridCol w:w="537"/>
        <w:gridCol w:w="706"/>
        <w:gridCol w:w="517"/>
        <w:gridCol w:w="3722"/>
        <w:gridCol w:w="2021"/>
        <w:gridCol w:w="1881"/>
        <w:gridCol w:w="10"/>
      </w:tblGrid>
      <w:tr w:rsidR="00C61708" w:rsidRPr="00727CD8" w14:paraId="7BD656D7" w14:textId="77777777" w:rsidTr="00AB7853">
        <w:trPr>
          <w:trHeight w:val="320"/>
        </w:trPr>
        <w:tc>
          <w:tcPr>
            <w:tcW w:w="17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653E547" w14:textId="77777777" w:rsidR="00C61708" w:rsidRPr="00727CD8" w:rsidRDefault="00C61708" w:rsidP="00C61708">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Norma / Política</w:t>
            </w:r>
          </w:p>
        </w:tc>
        <w:tc>
          <w:tcPr>
            <w:tcW w:w="3722" w:type="dxa"/>
            <w:vMerge w:val="restart"/>
            <w:tcBorders>
              <w:top w:val="single" w:sz="8" w:space="0" w:color="auto"/>
              <w:left w:val="single" w:sz="8" w:space="0" w:color="auto"/>
              <w:bottom w:val="nil"/>
              <w:right w:val="single" w:sz="8" w:space="0" w:color="auto"/>
            </w:tcBorders>
            <w:shd w:val="clear" w:color="000000" w:fill="203764"/>
            <w:vAlign w:val="center"/>
            <w:hideMark/>
          </w:tcPr>
          <w:p w14:paraId="6B8FACD5" w14:textId="77777777" w:rsidR="00C61708" w:rsidRPr="00727CD8" w:rsidRDefault="00C61708" w:rsidP="00C61708">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Concepto</w:t>
            </w:r>
          </w:p>
        </w:tc>
        <w:tc>
          <w:tcPr>
            <w:tcW w:w="3912" w:type="dxa"/>
            <w:gridSpan w:val="3"/>
            <w:tcBorders>
              <w:top w:val="single" w:sz="8" w:space="0" w:color="auto"/>
              <w:left w:val="nil"/>
              <w:bottom w:val="single" w:sz="8" w:space="0" w:color="auto"/>
              <w:right w:val="single" w:sz="8" w:space="0" w:color="000000"/>
            </w:tcBorders>
            <w:shd w:val="clear" w:color="000000" w:fill="203764"/>
            <w:vAlign w:val="center"/>
            <w:hideMark/>
          </w:tcPr>
          <w:p w14:paraId="01E651A2" w14:textId="77777777" w:rsidR="00C61708" w:rsidRPr="00727CD8" w:rsidRDefault="00C61708" w:rsidP="00C61708">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Referencia</w:t>
            </w:r>
          </w:p>
        </w:tc>
      </w:tr>
      <w:tr w:rsidR="00C61708" w:rsidRPr="006E5442" w14:paraId="45C24CCE" w14:textId="77777777" w:rsidTr="00AB7853">
        <w:trPr>
          <w:gridAfter w:val="1"/>
          <w:wAfter w:w="10" w:type="dxa"/>
          <w:trHeight w:val="748"/>
        </w:trPr>
        <w:tc>
          <w:tcPr>
            <w:tcW w:w="1760" w:type="dxa"/>
            <w:gridSpan w:val="3"/>
            <w:vMerge/>
            <w:tcBorders>
              <w:top w:val="single" w:sz="8" w:space="0" w:color="auto"/>
              <w:left w:val="single" w:sz="8" w:space="0" w:color="auto"/>
              <w:bottom w:val="nil"/>
              <w:right w:val="single" w:sz="8" w:space="0" w:color="000000"/>
            </w:tcBorders>
            <w:vAlign w:val="center"/>
            <w:hideMark/>
          </w:tcPr>
          <w:p w14:paraId="68CE6FA4" w14:textId="77777777" w:rsidR="00C61708" w:rsidRPr="00727CD8" w:rsidRDefault="00C61708" w:rsidP="00C61708">
            <w:pPr>
              <w:rPr>
                <w:rFonts w:ascii="Arial Narrow" w:eastAsia="Times New Roman" w:hAnsi="Arial Narrow" w:cs="Calibri"/>
                <w:b/>
                <w:bCs/>
                <w:color w:val="FFFFFF"/>
                <w:sz w:val="22"/>
                <w:szCs w:val="22"/>
              </w:rPr>
            </w:pPr>
          </w:p>
        </w:tc>
        <w:tc>
          <w:tcPr>
            <w:tcW w:w="3722" w:type="dxa"/>
            <w:vMerge/>
            <w:tcBorders>
              <w:top w:val="single" w:sz="8" w:space="0" w:color="auto"/>
              <w:left w:val="single" w:sz="8" w:space="0" w:color="auto"/>
              <w:bottom w:val="nil"/>
              <w:right w:val="single" w:sz="8" w:space="0" w:color="auto"/>
            </w:tcBorders>
            <w:vAlign w:val="center"/>
            <w:hideMark/>
          </w:tcPr>
          <w:p w14:paraId="529DC8F5" w14:textId="77777777" w:rsidR="00C61708" w:rsidRPr="00727CD8" w:rsidRDefault="00C61708" w:rsidP="00C61708">
            <w:pPr>
              <w:rPr>
                <w:rFonts w:ascii="Arial Narrow" w:eastAsia="Times New Roman" w:hAnsi="Arial Narrow" w:cs="Calibri"/>
                <w:b/>
                <w:bCs/>
                <w:color w:val="FFFFFF"/>
                <w:sz w:val="22"/>
                <w:szCs w:val="22"/>
              </w:rPr>
            </w:pPr>
          </w:p>
        </w:tc>
        <w:tc>
          <w:tcPr>
            <w:tcW w:w="2021" w:type="dxa"/>
            <w:tcBorders>
              <w:top w:val="nil"/>
              <w:left w:val="nil"/>
              <w:bottom w:val="nil"/>
              <w:right w:val="single" w:sz="8" w:space="0" w:color="auto"/>
            </w:tcBorders>
            <w:shd w:val="clear" w:color="000000" w:fill="203764"/>
            <w:vAlign w:val="center"/>
            <w:hideMark/>
          </w:tcPr>
          <w:p w14:paraId="0A334BCE" w14:textId="77777777" w:rsidR="00C61708" w:rsidRPr="00727CD8" w:rsidRDefault="00C61708" w:rsidP="00C61708">
            <w:pPr>
              <w:jc w:val="center"/>
              <w:rPr>
                <w:rFonts w:ascii="Arial Narrow" w:eastAsia="Times New Roman" w:hAnsi="Arial Narrow" w:cs="Calibri"/>
                <w:b/>
                <w:bCs/>
                <w:color w:val="FFFFFF"/>
                <w:sz w:val="22"/>
                <w:szCs w:val="22"/>
              </w:rPr>
            </w:pPr>
            <w:r w:rsidRPr="00727CD8">
              <w:rPr>
                <w:rFonts w:ascii="Arial Narrow" w:eastAsia="Times New Roman" w:hAnsi="Arial Narrow" w:cs="Calibri"/>
                <w:b/>
                <w:bCs/>
                <w:color w:val="FFFFFF"/>
                <w:sz w:val="22"/>
                <w:szCs w:val="22"/>
              </w:rPr>
              <w:t>Norma</w:t>
            </w:r>
          </w:p>
        </w:tc>
        <w:tc>
          <w:tcPr>
            <w:tcW w:w="1881" w:type="dxa"/>
            <w:tcBorders>
              <w:top w:val="nil"/>
              <w:left w:val="nil"/>
              <w:bottom w:val="nil"/>
              <w:right w:val="single" w:sz="8" w:space="0" w:color="auto"/>
            </w:tcBorders>
            <w:shd w:val="clear" w:color="000000" w:fill="203764"/>
            <w:vAlign w:val="center"/>
            <w:hideMark/>
          </w:tcPr>
          <w:p w14:paraId="6CEFC76B" w14:textId="77777777" w:rsidR="00C61708" w:rsidRPr="00727CD8" w:rsidRDefault="00C61708" w:rsidP="00C61708">
            <w:pPr>
              <w:jc w:val="center"/>
              <w:rPr>
                <w:rFonts w:ascii="Arial Narrow" w:eastAsia="Times New Roman" w:hAnsi="Arial Narrow" w:cs="Calibri"/>
                <w:b/>
                <w:bCs/>
                <w:color w:val="FFFFFF"/>
                <w:sz w:val="22"/>
                <w:szCs w:val="22"/>
                <w:lang w:val="es-CR"/>
              </w:rPr>
            </w:pPr>
            <w:r w:rsidRPr="00727CD8">
              <w:rPr>
                <w:rFonts w:ascii="Arial Narrow" w:eastAsia="Times New Roman" w:hAnsi="Arial Narrow" w:cs="Calibri"/>
                <w:b/>
                <w:bCs/>
                <w:color w:val="FFFFFF"/>
                <w:sz w:val="22"/>
                <w:szCs w:val="22"/>
                <w:lang w:val="es-CR"/>
              </w:rPr>
              <w:t>Normativa técnica y disposiciones adicionales</w:t>
            </w:r>
          </w:p>
        </w:tc>
      </w:tr>
      <w:tr w:rsidR="00C61708" w:rsidRPr="00727CD8" w14:paraId="248BEABC" w14:textId="77777777" w:rsidTr="00AB7853">
        <w:trPr>
          <w:gridAfter w:val="1"/>
          <w:wAfter w:w="10" w:type="dxa"/>
          <w:trHeight w:val="570"/>
        </w:trPr>
        <w:tc>
          <w:tcPr>
            <w:tcW w:w="5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095B45" w14:textId="77777777" w:rsidR="00C61708" w:rsidRPr="00727CD8" w:rsidRDefault="00C61708" w:rsidP="00AB7853">
            <w:pPr>
              <w:jc w:val="cente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4</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63FF3723" w14:textId="77777777" w:rsidR="00C61708" w:rsidRPr="00727CD8" w:rsidRDefault="00C61708" w:rsidP="00AB7853">
            <w:pPr>
              <w:ind w:leftChars="-5" w:left="-1" w:hangingChars="4" w:hanging="9"/>
              <w:jc w:val="cente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22</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50F32815" w14:textId="35C59AFD" w:rsidR="00C61708" w:rsidRPr="00727CD8" w:rsidRDefault="00C61708" w:rsidP="00AB7853">
            <w:pPr>
              <w:jc w:val="center"/>
              <w:rPr>
                <w:rFonts w:ascii="Arial Narrow" w:eastAsia="Times New Roman" w:hAnsi="Arial Narrow" w:cs="Calibri"/>
                <w:b/>
                <w:bCs/>
                <w:color w:val="000000"/>
                <w:sz w:val="22"/>
                <w:szCs w:val="22"/>
              </w:rPr>
            </w:pPr>
          </w:p>
        </w:tc>
        <w:tc>
          <w:tcPr>
            <w:tcW w:w="3722" w:type="dxa"/>
            <w:tcBorders>
              <w:top w:val="single" w:sz="8" w:space="0" w:color="auto"/>
              <w:left w:val="nil"/>
              <w:bottom w:val="single" w:sz="8" w:space="0" w:color="auto"/>
              <w:right w:val="single" w:sz="8" w:space="0" w:color="auto"/>
            </w:tcBorders>
            <w:shd w:val="clear" w:color="auto" w:fill="auto"/>
            <w:vAlign w:val="center"/>
            <w:hideMark/>
          </w:tcPr>
          <w:p w14:paraId="1B559CD3" w14:textId="77777777" w:rsidR="00C61708" w:rsidRPr="00727CD8" w:rsidRDefault="00C61708" w:rsidP="00C61708">
            <w:pPr>
              <w:rPr>
                <w:rFonts w:ascii="Arial Narrow" w:eastAsia="Times New Roman" w:hAnsi="Arial Narrow"/>
                <w:b/>
                <w:bCs/>
                <w:color w:val="000000"/>
                <w:sz w:val="22"/>
                <w:szCs w:val="22"/>
              </w:rPr>
            </w:pPr>
            <w:r w:rsidRPr="00727CD8">
              <w:rPr>
                <w:rFonts w:ascii="Arial Narrow" w:eastAsia="Times New Roman" w:hAnsi="Arial Narrow"/>
                <w:b/>
                <w:bCs/>
                <w:color w:val="000000"/>
                <w:sz w:val="22"/>
                <w:szCs w:val="22"/>
              </w:rPr>
              <w:t>Reconocimiento y medición</w:t>
            </w:r>
          </w:p>
        </w:tc>
        <w:tc>
          <w:tcPr>
            <w:tcW w:w="2021" w:type="dxa"/>
            <w:tcBorders>
              <w:top w:val="single" w:sz="8" w:space="0" w:color="auto"/>
              <w:left w:val="nil"/>
              <w:bottom w:val="single" w:sz="8" w:space="0" w:color="auto"/>
              <w:right w:val="single" w:sz="8" w:space="0" w:color="auto"/>
            </w:tcBorders>
            <w:shd w:val="clear" w:color="auto" w:fill="auto"/>
            <w:vAlign w:val="center"/>
            <w:hideMark/>
          </w:tcPr>
          <w:p w14:paraId="3E6E1368" w14:textId="77777777" w:rsidR="00C61708" w:rsidRPr="00727CD8" w:rsidRDefault="00C61708" w:rsidP="00C61708">
            <w:pP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NICSP N° 23,</w:t>
            </w:r>
            <w:r w:rsidRPr="00727CD8">
              <w:rPr>
                <w:rFonts w:ascii="Arial Narrow" w:eastAsia="Times New Roman" w:hAnsi="Arial Narrow" w:cs="Calibri"/>
                <w:b/>
                <w:bCs/>
                <w:color w:val="000000"/>
                <w:sz w:val="22"/>
                <w:szCs w:val="22"/>
              </w:rPr>
              <w:br/>
              <w:t>Párrafos 91, 92 y 97.</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1FEB64EF" w14:textId="77777777" w:rsidR="00C61708" w:rsidRPr="00727CD8" w:rsidRDefault="00C61708" w:rsidP="00C61708">
            <w:pPr>
              <w:jc w:val="center"/>
              <w:rPr>
                <w:rFonts w:ascii="Arial Narrow" w:eastAsia="Times New Roman" w:hAnsi="Arial Narrow" w:cs="Calibri"/>
                <w:b/>
                <w:bCs/>
                <w:color w:val="000000"/>
                <w:sz w:val="22"/>
                <w:szCs w:val="22"/>
              </w:rPr>
            </w:pPr>
            <w:r w:rsidRPr="00727CD8">
              <w:rPr>
                <w:rFonts w:ascii="Arial Narrow" w:eastAsia="Times New Roman" w:hAnsi="Arial Narrow" w:cs="Calibri"/>
                <w:b/>
                <w:bCs/>
                <w:color w:val="000000"/>
                <w:sz w:val="22"/>
                <w:szCs w:val="22"/>
              </w:rPr>
              <w:t xml:space="preserve"> </w:t>
            </w:r>
          </w:p>
        </w:tc>
      </w:tr>
    </w:tbl>
    <w:p w14:paraId="68989D35" w14:textId="77777777" w:rsidR="00E71910" w:rsidRDefault="00E71910" w:rsidP="00727CD8">
      <w:pPr>
        <w:pStyle w:val="Default"/>
        <w:ind w:right="261"/>
        <w:jc w:val="both"/>
        <w:rPr>
          <w:sz w:val="22"/>
          <w:szCs w:val="22"/>
          <w:lang w:val="es-CR"/>
        </w:rPr>
      </w:pPr>
    </w:p>
    <w:p w14:paraId="2387FFCF" w14:textId="4986C311" w:rsidR="00AB7853" w:rsidRDefault="00AB7853" w:rsidP="00727CD8">
      <w:pPr>
        <w:pStyle w:val="Default"/>
        <w:ind w:right="261"/>
        <w:jc w:val="both"/>
        <w:rPr>
          <w:rFonts w:eastAsia="Arial"/>
          <w:b/>
          <w:sz w:val="22"/>
          <w:szCs w:val="22"/>
        </w:rPr>
      </w:pPr>
      <w:r w:rsidRPr="00F02F9D">
        <w:rPr>
          <w:rFonts w:eastAsia="Arial"/>
          <w:b/>
          <w:sz w:val="22"/>
          <w:szCs w:val="22"/>
        </w:rPr>
        <w:t>Políticas Contables</w:t>
      </w:r>
    </w:p>
    <w:p w14:paraId="49C5F456" w14:textId="77777777" w:rsidR="00AB7853" w:rsidRDefault="00AB7853" w:rsidP="00727CD8">
      <w:pPr>
        <w:pStyle w:val="Default"/>
        <w:ind w:right="261"/>
        <w:jc w:val="both"/>
        <w:rPr>
          <w:sz w:val="22"/>
          <w:szCs w:val="22"/>
          <w:lang w:val="es-CR"/>
        </w:rPr>
      </w:pPr>
    </w:p>
    <w:p w14:paraId="35C88EBA" w14:textId="09D63F7B" w:rsidR="00C61708" w:rsidRDefault="00C61708" w:rsidP="00C61708">
      <w:pPr>
        <w:pStyle w:val="Default"/>
        <w:ind w:left="1134" w:hanging="1134"/>
        <w:jc w:val="both"/>
        <w:rPr>
          <w:sz w:val="22"/>
          <w:szCs w:val="22"/>
          <w:lang w:val="es-CR"/>
        </w:rPr>
      </w:pPr>
      <w:r>
        <w:rPr>
          <w:sz w:val="22"/>
          <w:szCs w:val="22"/>
          <w:lang w:val="es-CR"/>
        </w:rPr>
        <w:t>4.22.0.01</w:t>
      </w:r>
      <w:r>
        <w:rPr>
          <w:sz w:val="22"/>
          <w:szCs w:val="22"/>
          <w:lang w:val="es-CR"/>
        </w:rPr>
        <w:tab/>
      </w:r>
      <w:r w:rsidRPr="00C61708">
        <w:rPr>
          <w:sz w:val="22"/>
          <w:szCs w:val="22"/>
          <w:lang w:val="es-CR"/>
        </w:rPr>
        <w:t>Los legados que satisfagan la definición de activo se reconocen como activos e ingresos cuando es probable que fluyan a la entidad beneficios económicos o potencial de servicios futuros y el valor razonable de los activos pueda ser medido de forma fiable.</w:t>
      </w:r>
    </w:p>
    <w:p w14:paraId="7BBE40D7" w14:textId="77777777" w:rsidR="00727CD8" w:rsidRPr="00C61708" w:rsidRDefault="00727CD8" w:rsidP="00C61708">
      <w:pPr>
        <w:pStyle w:val="Default"/>
        <w:ind w:left="1134" w:hanging="1134"/>
        <w:jc w:val="both"/>
        <w:rPr>
          <w:sz w:val="22"/>
          <w:szCs w:val="22"/>
          <w:lang w:val="es-CR"/>
        </w:rPr>
      </w:pPr>
    </w:p>
    <w:p w14:paraId="787657A0" w14:textId="2FD229CC" w:rsidR="00E71910" w:rsidRPr="00C61708" w:rsidRDefault="00C61708" w:rsidP="00C61708">
      <w:pPr>
        <w:pStyle w:val="Default"/>
        <w:ind w:left="1134" w:hanging="1134"/>
        <w:jc w:val="both"/>
        <w:rPr>
          <w:sz w:val="22"/>
          <w:szCs w:val="22"/>
          <w:lang w:val="es-CR"/>
        </w:rPr>
      </w:pPr>
      <w:r>
        <w:rPr>
          <w:sz w:val="22"/>
          <w:szCs w:val="22"/>
          <w:lang w:val="es-CR"/>
        </w:rPr>
        <w:t>4.22.0.02</w:t>
      </w:r>
      <w:r>
        <w:rPr>
          <w:sz w:val="22"/>
          <w:szCs w:val="22"/>
          <w:lang w:val="es-CR"/>
        </w:rPr>
        <w:tab/>
      </w:r>
      <w:r w:rsidRPr="00C61708">
        <w:rPr>
          <w:sz w:val="22"/>
          <w:szCs w:val="22"/>
          <w:lang w:val="es-CR"/>
        </w:rPr>
        <w:t>Se miden por su valor razonable a la fecha de adquisición, que puede ser determinado con referencia a un mercado activo o mediante tasación.</w:t>
      </w:r>
    </w:p>
    <w:p w14:paraId="4B5596C1" w14:textId="77777777" w:rsidR="00E71910" w:rsidRDefault="00E71910" w:rsidP="00727CD8">
      <w:pPr>
        <w:pStyle w:val="Default"/>
        <w:ind w:right="261"/>
        <w:jc w:val="both"/>
        <w:rPr>
          <w:sz w:val="22"/>
          <w:szCs w:val="22"/>
          <w:lang w:val="es-CR"/>
        </w:rPr>
      </w:pPr>
    </w:p>
    <w:p w14:paraId="3F690177" w14:textId="77777777" w:rsidR="005F4668" w:rsidRDefault="005F4668" w:rsidP="00727CD8">
      <w:pPr>
        <w:pStyle w:val="Default"/>
        <w:ind w:right="261"/>
        <w:jc w:val="both"/>
        <w:rPr>
          <w:sz w:val="22"/>
          <w:szCs w:val="22"/>
          <w:lang w:val="es-CR"/>
        </w:rPr>
      </w:pPr>
    </w:p>
    <w:p w14:paraId="1399E67A" w14:textId="77777777" w:rsidR="005F4668" w:rsidRDefault="005F4668" w:rsidP="00727CD8">
      <w:pPr>
        <w:pStyle w:val="Default"/>
        <w:ind w:right="261"/>
        <w:jc w:val="both"/>
        <w:rPr>
          <w:sz w:val="22"/>
          <w:szCs w:val="22"/>
          <w:lang w:val="es-CR"/>
        </w:rPr>
      </w:pPr>
    </w:p>
    <w:p w14:paraId="2ED5E04E" w14:textId="77777777" w:rsidR="005F4668" w:rsidRDefault="005F4668" w:rsidP="00727CD8">
      <w:pPr>
        <w:pStyle w:val="Default"/>
        <w:ind w:right="261"/>
        <w:jc w:val="both"/>
        <w:rPr>
          <w:sz w:val="22"/>
          <w:szCs w:val="22"/>
          <w:lang w:val="es-CR"/>
        </w:rPr>
      </w:pPr>
    </w:p>
    <w:p w14:paraId="60205C0C" w14:textId="77777777" w:rsidR="005F4668" w:rsidRDefault="005F4668" w:rsidP="00727CD8">
      <w:pPr>
        <w:pStyle w:val="Default"/>
        <w:ind w:right="261"/>
        <w:jc w:val="both"/>
        <w:rPr>
          <w:sz w:val="22"/>
          <w:szCs w:val="22"/>
          <w:lang w:val="es-CR"/>
        </w:rPr>
      </w:pPr>
    </w:p>
    <w:p w14:paraId="228C2495" w14:textId="77777777" w:rsidR="005F4668" w:rsidRDefault="005F4668" w:rsidP="00727CD8">
      <w:pPr>
        <w:pStyle w:val="Default"/>
        <w:ind w:right="261"/>
        <w:jc w:val="both"/>
        <w:rPr>
          <w:sz w:val="22"/>
          <w:szCs w:val="22"/>
          <w:lang w:val="es-CR"/>
        </w:rPr>
      </w:pPr>
    </w:p>
    <w:p w14:paraId="1F32DC13" w14:textId="77777777" w:rsidR="005F4668" w:rsidRDefault="005F4668" w:rsidP="00727CD8">
      <w:pPr>
        <w:pStyle w:val="Default"/>
        <w:ind w:right="261"/>
        <w:jc w:val="both"/>
        <w:rPr>
          <w:sz w:val="22"/>
          <w:szCs w:val="22"/>
          <w:lang w:val="es-CR"/>
        </w:rPr>
      </w:pPr>
    </w:p>
    <w:p w14:paraId="6FB59DF5" w14:textId="77777777" w:rsidR="005F4668" w:rsidRDefault="005F4668" w:rsidP="00727CD8">
      <w:pPr>
        <w:pStyle w:val="Default"/>
        <w:ind w:right="261"/>
        <w:jc w:val="both"/>
        <w:rPr>
          <w:sz w:val="22"/>
          <w:szCs w:val="22"/>
          <w:lang w:val="es-CR"/>
        </w:rPr>
      </w:pPr>
    </w:p>
    <w:p w14:paraId="486E1E6B" w14:textId="77777777" w:rsidR="005F4668" w:rsidRDefault="005F4668" w:rsidP="00727CD8">
      <w:pPr>
        <w:pStyle w:val="Default"/>
        <w:ind w:right="261"/>
        <w:jc w:val="both"/>
        <w:rPr>
          <w:sz w:val="22"/>
          <w:szCs w:val="22"/>
          <w:lang w:val="es-CR"/>
        </w:rPr>
      </w:pPr>
    </w:p>
    <w:p w14:paraId="4A7A638A" w14:textId="77777777" w:rsidR="005F4668" w:rsidRDefault="005F4668" w:rsidP="00727CD8">
      <w:pPr>
        <w:pStyle w:val="Default"/>
        <w:ind w:right="261"/>
        <w:jc w:val="both"/>
        <w:rPr>
          <w:sz w:val="22"/>
          <w:szCs w:val="22"/>
          <w:lang w:val="es-CR"/>
        </w:rPr>
      </w:pPr>
    </w:p>
    <w:p w14:paraId="23314147" w14:textId="77777777" w:rsidR="005F4668" w:rsidRDefault="005F4668" w:rsidP="00727CD8">
      <w:pPr>
        <w:pStyle w:val="Default"/>
        <w:ind w:right="261"/>
        <w:jc w:val="both"/>
        <w:rPr>
          <w:sz w:val="22"/>
          <w:szCs w:val="22"/>
          <w:lang w:val="es-CR"/>
        </w:rPr>
      </w:pPr>
    </w:p>
    <w:p w14:paraId="68D6D935" w14:textId="77777777" w:rsidR="005F4668" w:rsidRDefault="005F4668" w:rsidP="00727CD8">
      <w:pPr>
        <w:pStyle w:val="Default"/>
        <w:ind w:right="261"/>
        <w:jc w:val="both"/>
        <w:rPr>
          <w:sz w:val="22"/>
          <w:szCs w:val="22"/>
          <w:lang w:val="es-CR"/>
        </w:rPr>
      </w:pPr>
    </w:p>
    <w:p w14:paraId="620F3790" w14:textId="77777777" w:rsidR="005F4668" w:rsidRDefault="005F4668" w:rsidP="00727CD8">
      <w:pPr>
        <w:pStyle w:val="Default"/>
        <w:ind w:right="261"/>
        <w:jc w:val="both"/>
        <w:rPr>
          <w:sz w:val="22"/>
          <w:szCs w:val="22"/>
          <w:lang w:val="es-CR"/>
        </w:rPr>
      </w:pPr>
    </w:p>
    <w:p w14:paraId="59E53BC1" w14:textId="77777777" w:rsidR="005F4668" w:rsidRDefault="005F4668" w:rsidP="00727CD8">
      <w:pPr>
        <w:pStyle w:val="Default"/>
        <w:ind w:right="261"/>
        <w:jc w:val="both"/>
        <w:rPr>
          <w:sz w:val="22"/>
          <w:szCs w:val="22"/>
          <w:lang w:val="es-CR"/>
        </w:rPr>
      </w:pPr>
    </w:p>
    <w:p w14:paraId="6A92D012" w14:textId="77777777" w:rsidR="00E71910" w:rsidRDefault="00E71910" w:rsidP="00727CD8">
      <w:pPr>
        <w:pStyle w:val="Default"/>
        <w:ind w:right="261"/>
        <w:jc w:val="both"/>
        <w:rPr>
          <w:sz w:val="22"/>
          <w:szCs w:val="22"/>
          <w:lang w:val="es-CR"/>
        </w:rPr>
      </w:pPr>
    </w:p>
    <w:p w14:paraId="04830BAF" w14:textId="32F8BBCD" w:rsidR="00E71910" w:rsidRDefault="00C61708" w:rsidP="00727CD8">
      <w:pPr>
        <w:pStyle w:val="Ttulo2"/>
        <w:ind w:left="284"/>
        <w:rPr>
          <w:rFonts w:ascii="Arial" w:eastAsia="Arial" w:hAnsi="Arial" w:cs="Arial"/>
          <w:b/>
          <w:bCs/>
          <w:sz w:val="20"/>
          <w:szCs w:val="20"/>
          <w:lang w:val="es-CR"/>
        </w:rPr>
      </w:pPr>
      <w:bookmarkStart w:id="127" w:name="_Toc172726262"/>
      <w:r w:rsidRPr="00727CD8">
        <w:rPr>
          <w:rFonts w:ascii="Arial" w:eastAsia="Arial" w:hAnsi="Arial" w:cs="Arial"/>
          <w:b/>
          <w:bCs/>
          <w:sz w:val="20"/>
          <w:szCs w:val="20"/>
          <w:lang w:val="es-CR"/>
        </w:rPr>
        <w:lastRenderedPageBreak/>
        <w:t>Donaciones (regalos, bienes y servicios en especie)</w:t>
      </w:r>
      <w:bookmarkEnd w:id="127"/>
    </w:p>
    <w:p w14:paraId="065C6154" w14:textId="77777777" w:rsidR="005F4668" w:rsidRPr="005F4668" w:rsidRDefault="005F4668" w:rsidP="005F4668">
      <w:pPr>
        <w:rPr>
          <w:lang w:val="es-CR"/>
        </w:rPr>
      </w:pPr>
    </w:p>
    <w:p w14:paraId="61984827" w14:textId="77777777" w:rsidR="008F6B30" w:rsidRDefault="008F6B30" w:rsidP="00727CD8">
      <w:pPr>
        <w:pStyle w:val="Default"/>
        <w:ind w:right="261"/>
        <w:jc w:val="both"/>
        <w:rPr>
          <w:sz w:val="22"/>
          <w:szCs w:val="22"/>
          <w:lang w:val="es-CR"/>
        </w:rPr>
      </w:pPr>
    </w:p>
    <w:tbl>
      <w:tblPr>
        <w:tblW w:w="9394" w:type="dxa"/>
        <w:tblLook w:val="04A0" w:firstRow="1" w:lastRow="0" w:firstColumn="1" w:lastColumn="0" w:noHBand="0" w:noVBand="1"/>
      </w:tblPr>
      <w:tblGrid>
        <w:gridCol w:w="540"/>
        <w:gridCol w:w="660"/>
        <w:gridCol w:w="520"/>
        <w:gridCol w:w="3740"/>
        <w:gridCol w:w="2043"/>
        <w:gridCol w:w="1891"/>
      </w:tblGrid>
      <w:tr w:rsidR="00C61708" w:rsidRPr="00C61708" w14:paraId="0DFA4379" w14:textId="77777777" w:rsidTr="00AB7853">
        <w:trPr>
          <w:trHeight w:val="320"/>
        </w:trPr>
        <w:tc>
          <w:tcPr>
            <w:tcW w:w="172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821C3BA" w14:textId="77777777" w:rsidR="00C61708" w:rsidRPr="00C61708" w:rsidRDefault="00C61708" w:rsidP="00C61708">
            <w:pPr>
              <w:jc w:val="center"/>
              <w:rPr>
                <w:rFonts w:ascii="Arial Narrow" w:eastAsia="Times New Roman" w:hAnsi="Arial Narrow" w:cs="Calibri"/>
                <w:b/>
                <w:bCs/>
                <w:color w:val="FFFFFF"/>
                <w:sz w:val="22"/>
                <w:szCs w:val="22"/>
              </w:rPr>
            </w:pPr>
            <w:r w:rsidRPr="00C61708">
              <w:rPr>
                <w:rFonts w:ascii="Arial Narrow" w:eastAsia="Times New Roman" w:hAnsi="Arial Narrow" w:cs="Calibri"/>
                <w:b/>
                <w:bCs/>
                <w:color w:val="FFFFFF"/>
                <w:sz w:val="22"/>
                <w:szCs w:val="22"/>
              </w:rPr>
              <w:t>Norma / Política</w:t>
            </w:r>
          </w:p>
        </w:tc>
        <w:tc>
          <w:tcPr>
            <w:tcW w:w="3740" w:type="dxa"/>
            <w:vMerge w:val="restart"/>
            <w:tcBorders>
              <w:top w:val="nil"/>
              <w:left w:val="single" w:sz="8" w:space="0" w:color="auto"/>
              <w:bottom w:val="nil"/>
              <w:right w:val="single" w:sz="8" w:space="0" w:color="auto"/>
            </w:tcBorders>
            <w:shd w:val="clear" w:color="000000" w:fill="203764"/>
            <w:vAlign w:val="center"/>
            <w:hideMark/>
          </w:tcPr>
          <w:p w14:paraId="325E88C5" w14:textId="77777777" w:rsidR="00C61708" w:rsidRPr="00C61708" w:rsidRDefault="00C61708" w:rsidP="00C61708">
            <w:pPr>
              <w:jc w:val="center"/>
              <w:rPr>
                <w:rFonts w:ascii="Arial Narrow" w:eastAsia="Times New Roman" w:hAnsi="Arial Narrow" w:cs="Calibri"/>
                <w:b/>
                <w:bCs/>
                <w:color w:val="FFFFFF"/>
                <w:sz w:val="22"/>
                <w:szCs w:val="22"/>
              </w:rPr>
            </w:pPr>
            <w:r w:rsidRPr="00C61708">
              <w:rPr>
                <w:rFonts w:ascii="Arial Narrow" w:eastAsia="Times New Roman" w:hAnsi="Arial Narrow" w:cs="Calibri"/>
                <w:b/>
                <w:bCs/>
                <w:color w:val="FFFFFF"/>
                <w:sz w:val="22"/>
                <w:szCs w:val="22"/>
              </w:rPr>
              <w:t>Concepto</w:t>
            </w:r>
          </w:p>
        </w:tc>
        <w:tc>
          <w:tcPr>
            <w:tcW w:w="3934" w:type="dxa"/>
            <w:gridSpan w:val="2"/>
            <w:tcBorders>
              <w:top w:val="nil"/>
              <w:left w:val="nil"/>
              <w:bottom w:val="single" w:sz="8" w:space="0" w:color="auto"/>
              <w:right w:val="single" w:sz="8" w:space="0" w:color="000000"/>
            </w:tcBorders>
            <w:shd w:val="clear" w:color="000000" w:fill="203764"/>
            <w:vAlign w:val="center"/>
            <w:hideMark/>
          </w:tcPr>
          <w:p w14:paraId="6FB1AB01" w14:textId="77777777" w:rsidR="00C61708" w:rsidRPr="00C61708" w:rsidRDefault="00C61708" w:rsidP="00C61708">
            <w:pPr>
              <w:jc w:val="center"/>
              <w:rPr>
                <w:rFonts w:ascii="Arial Narrow" w:eastAsia="Times New Roman" w:hAnsi="Arial Narrow" w:cs="Calibri"/>
                <w:b/>
                <w:bCs/>
                <w:color w:val="FFFFFF"/>
                <w:sz w:val="22"/>
                <w:szCs w:val="22"/>
              </w:rPr>
            </w:pPr>
            <w:r w:rsidRPr="00C61708">
              <w:rPr>
                <w:rFonts w:ascii="Arial Narrow" w:eastAsia="Times New Roman" w:hAnsi="Arial Narrow" w:cs="Calibri"/>
                <w:b/>
                <w:bCs/>
                <w:color w:val="FFFFFF"/>
                <w:sz w:val="22"/>
                <w:szCs w:val="22"/>
              </w:rPr>
              <w:t>Referencia</w:t>
            </w:r>
          </w:p>
        </w:tc>
      </w:tr>
      <w:tr w:rsidR="00C61708" w:rsidRPr="006E5442" w14:paraId="4E245E3B" w14:textId="77777777" w:rsidTr="00AB7853">
        <w:trPr>
          <w:trHeight w:val="789"/>
        </w:trPr>
        <w:tc>
          <w:tcPr>
            <w:tcW w:w="1720" w:type="dxa"/>
            <w:gridSpan w:val="3"/>
            <w:vMerge/>
            <w:tcBorders>
              <w:top w:val="single" w:sz="8" w:space="0" w:color="auto"/>
              <w:left w:val="single" w:sz="8" w:space="0" w:color="auto"/>
              <w:bottom w:val="nil"/>
              <w:right w:val="single" w:sz="8" w:space="0" w:color="000000"/>
            </w:tcBorders>
            <w:vAlign w:val="center"/>
            <w:hideMark/>
          </w:tcPr>
          <w:p w14:paraId="54FB210B" w14:textId="77777777" w:rsidR="00C61708" w:rsidRPr="00C61708" w:rsidRDefault="00C61708" w:rsidP="00C61708">
            <w:pPr>
              <w:rPr>
                <w:rFonts w:ascii="Arial Narrow" w:eastAsia="Times New Roman" w:hAnsi="Arial Narrow" w:cs="Calibri"/>
                <w:b/>
                <w:bCs/>
                <w:color w:val="FFFFFF"/>
                <w:sz w:val="22"/>
                <w:szCs w:val="22"/>
              </w:rPr>
            </w:pPr>
          </w:p>
        </w:tc>
        <w:tc>
          <w:tcPr>
            <w:tcW w:w="3740" w:type="dxa"/>
            <w:vMerge/>
            <w:tcBorders>
              <w:top w:val="nil"/>
              <w:left w:val="single" w:sz="8" w:space="0" w:color="auto"/>
              <w:bottom w:val="nil"/>
              <w:right w:val="single" w:sz="8" w:space="0" w:color="auto"/>
            </w:tcBorders>
            <w:vAlign w:val="center"/>
            <w:hideMark/>
          </w:tcPr>
          <w:p w14:paraId="412F83A7" w14:textId="77777777" w:rsidR="00C61708" w:rsidRPr="00C61708" w:rsidRDefault="00C61708" w:rsidP="00C61708">
            <w:pPr>
              <w:rPr>
                <w:rFonts w:ascii="Arial Narrow" w:eastAsia="Times New Roman" w:hAnsi="Arial Narrow" w:cs="Calibri"/>
                <w:b/>
                <w:bCs/>
                <w:color w:val="FFFFFF"/>
                <w:sz w:val="22"/>
                <w:szCs w:val="22"/>
              </w:rPr>
            </w:pPr>
          </w:p>
        </w:tc>
        <w:tc>
          <w:tcPr>
            <w:tcW w:w="2043" w:type="dxa"/>
            <w:tcBorders>
              <w:top w:val="nil"/>
              <w:left w:val="nil"/>
              <w:bottom w:val="nil"/>
              <w:right w:val="single" w:sz="8" w:space="0" w:color="auto"/>
            </w:tcBorders>
            <w:shd w:val="clear" w:color="000000" w:fill="203764"/>
            <w:vAlign w:val="center"/>
            <w:hideMark/>
          </w:tcPr>
          <w:p w14:paraId="56DA83A5" w14:textId="77777777" w:rsidR="00C61708" w:rsidRPr="00C61708" w:rsidRDefault="00C61708" w:rsidP="00C61708">
            <w:pPr>
              <w:jc w:val="center"/>
              <w:rPr>
                <w:rFonts w:ascii="Arial Narrow" w:eastAsia="Times New Roman" w:hAnsi="Arial Narrow" w:cs="Calibri"/>
                <w:b/>
                <w:bCs/>
                <w:color w:val="FFFFFF"/>
                <w:sz w:val="22"/>
                <w:szCs w:val="22"/>
              </w:rPr>
            </w:pPr>
            <w:r w:rsidRPr="00C61708">
              <w:rPr>
                <w:rFonts w:ascii="Arial Narrow" w:eastAsia="Times New Roman" w:hAnsi="Arial Narrow" w:cs="Calibri"/>
                <w:b/>
                <w:bCs/>
                <w:color w:val="FFFFFF"/>
                <w:sz w:val="22"/>
                <w:szCs w:val="22"/>
              </w:rPr>
              <w:t>Norma</w:t>
            </w:r>
          </w:p>
        </w:tc>
        <w:tc>
          <w:tcPr>
            <w:tcW w:w="1889" w:type="dxa"/>
            <w:tcBorders>
              <w:top w:val="nil"/>
              <w:left w:val="nil"/>
              <w:bottom w:val="nil"/>
              <w:right w:val="single" w:sz="8" w:space="0" w:color="auto"/>
            </w:tcBorders>
            <w:shd w:val="clear" w:color="000000" w:fill="203764"/>
            <w:vAlign w:val="center"/>
            <w:hideMark/>
          </w:tcPr>
          <w:p w14:paraId="17F932F3" w14:textId="77777777" w:rsidR="00C61708" w:rsidRPr="00C61708" w:rsidRDefault="00C61708" w:rsidP="00C61708">
            <w:pPr>
              <w:jc w:val="center"/>
              <w:rPr>
                <w:rFonts w:ascii="Arial Narrow" w:eastAsia="Times New Roman" w:hAnsi="Arial Narrow" w:cs="Calibri"/>
                <w:b/>
                <w:bCs/>
                <w:color w:val="FFFFFF"/>
                <w:sz w:val="22"/>
                <w:szCs w:val="22"/>
                <w:lang w:val="es-CR"/>
              </w:rPr>
            </w:pPr>
            <w:r w:rsidRPr="00C61708">
              <w:rPr>
                <w:rFonts w:ascii="Arial Narrow" w:eastAsia="Times New Roman" w:hAnsi="Arial Narrow" w:cs="Calibri"/>
                <w:b/>
                <w:bCs/>
                <w:color w:val="FFFFFF"/>
                <w:sz w:val="22"/>
                <w:szCs w:val="22"/>
                <w:lang w:val="es-CR"/>
              </w:rPr>
              <w:t>Normativa técnica y disposiciones adicionales</w:t>
            </w:r>
          </w:p>
        </w:tc>
      </w:tr>
      <w:tr w:rsidR="00C61708" w:rsidRPr="00C61708" w14:paraId="735E409A" w14:textId="77777777" w:rsidTr="00AB7853">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643FE1FC"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01CD779D"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23</w:t>
            </w:r>
          </w:p>
        </w:tc>
        <w:tc>
          <w:tcPr>
            <w:tcW w:w="520" w:type="dxa"/>
            <w:tcBorders>
              <w:top w:val="nil"/>
              <w:left w:val="nil"/>
              <w:bottom w:val="single" w:sz="8" w:space="0" w:color="auto"/>
              <w:right w:val="single" w:sz="8" w:space="0" w:color="auto"/>
            </w:tcBorders>
            <w:shd w:val="clear" w:color="auto" w:fill="auto"/>
            <w:vAlign w:val="center"/>
            <w:hideMark/>
          </w:tcPr>
          <w:p w14:paraId="42726733" w14:textId="78D7B419" w:rsidR="00C61708" w:rsidRPr="00C61708" w:rsidRDefault="00C61708" w:rsidP="00C61708">
            <w:pPr>
              <w:jc w:val="center"/>
              <w:rPr>
                <w:rFonts w:ascii="Arial Narrow" w:eastAsia="Times New Roman" w:hAnsi="Arial Narrow" w:cs="Calibri"/>
                <w:b/>
                <w:bCs/>
                <w:color w:val="000000"/>
                <w:sz w:val="22"/>
                <w:szCs w:val="22"/>
              </w:rPr>
            </w:pP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39EDECF7" w14:textId="77777777" w:rsidR="00C61708" w:rsidRPr="00C61708" w:rsidRDefault="00C61708" w:rsidP="00C61708">
            <w:pPr>
              <w:jc w:val="both"/>
              <w:rPr>
                <w:rFonts w:ascii="Arial Narrow" w:eastAsia="Times New Roman" w:hAnsi="Arial Narrow" w:cs="Calibri"/>
                <w:b/>
                <w:bCs/>
                <w:color w:val="000000"/>
                <w:sz w:val="22"/>
                <w:szCs w:val="22"/>
                <w:lang w:val="es-CR"/>
              </w:rPr>
            </w:pPr>
            <w:r w:rsidRPr="00C61708">
              <w:rPr>
                <w:rFonts w:ascii="Arial Narrow" w:eastAsia="Times New Roman" w:hAnsi="Arial Narrow" w:cs="Calibri"/>
                <w:b/>
                <w:bCs/>
                <w:color w:val="000000"/>
                <w:sz w:val="22"/>
                <w:szCs w:val="22"/>
                <w:lang w:val="es-CR"/>
              </w:rPr>
              <w:t>Donaciones, regalos y bienes en especie</w:t>
            </w:r>
          </w:p>
        </w:tc>
        <w:tc>
          <w:tcPr>
            <w:tcW w:w="2043" w:type="dxa"/>
            <w:tcBorders>
              <w:top w:val="single" w:sz="8" w:space="0" w:color="auto"/>
              <w:left w:val="nil"/>
              <w:bottom w:val="single" w:sz="8" w:space="0" w:color="auto"/>
              <w:right w:val="single" w:sz="8" w:space="0" w:color="auto"/>
            </w:tcBorders>
            <w:shd w:val="clear" w:color="auto" w:fill="auto"/>
            <w:vAlign w:val="center"/>
            <w:hideMark/>
          </w:tcPr>
          <w:p w14:paraId="77A89D9D" w14:textId="77777777" w:rsidR="00C61708" w:rsidRPr="00C61708" w:rsidRDefault="00C61708" w:rsidP="00C61708">
            <w:pP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NICSP N° 23,</w:t>
            </w:r>
            <w:r w:rsidRPr="00C61708">
              <w:rPr>
                <w:rFonts w:ascii="Arial Narrow" w:eastAsia="Times New Roman" w:hAnsi="Arial Narrow" w:cs="Calibri"/>
                <w:b/>
                <w:bCs/>
                <w:color w:val="000000"/>
                <w:sz w:val="22"/>
                <w:szCs w:val="22"/>
              </w:rPr>
              <w:br/>
              <w:t xml:space="preserve">Párrafos 93 y 94. </w:t>
            </w:r>
          </w:p>
        </w:tc>
        <w:tc>
          <w:tcPr>
            <w:tcW w:w="1889" w:type="dxa"/>
            <w:tcBorders>
              <w:top w:val="nil"/>
              <w:left w:val="nil"/>
              <w:bottom w:val="single" w:sz="8" w:space="0" w:color="auto"/>
              <w:right w:val="single" w:sz="8" w:space="0" w:color="auto"/>
            </w:tcBorders>
            <w:shd w:val="clear" w:color="auto" w:fill="auto"/>
            <w:vAlign w:val="center"/>
            <w:hideMark/>
          </w:tcPr>
          <w:p w14:paraId="1AB380BB" w14:textId="77777777" w:rsidR="00C61708" w:rsidRPr="00C61708" w:rsidRDefault="00C61708" w:rsidP="00C61708">
            <w:pPr>
              <w:ind w:firstLineChars="100" w:firstLine="220"/>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 xml:space="preserve"> </w:t>
            </w:r>
          </w:p>
        </w:tc>
      </w:tr>
      <w:tr w:rsidR="00C61708" w:rsidRPr="00C61708" w14:paraId="1513D6B4" w14:textId="77777777" w:rsidTr="00AB7853">
        <w:trPr>
          <w:trHeight w:val="383"/>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1E13668"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37F0DAF8"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23</w:t>
            </w:r>
          </w:p>
        </w:tc>
        <w:tc>
          <w:tcPr>
            <w:tcW w:w="520" w:type="dxa"/>
            <w:tcBorders>
              <w:top w:val="nil"/>
              <w:left w:val="nil"/>
              <w:bottom w:val="single" w:sz="8" w:space="0" w:color="auto"/>
              <w:right w:val="single" w:sz="8" w:space="0" w:color="auto"/>
            </w:tcBorders>
            <w:shd w:val="clear" w:color="auto" w:fill="auto"/>
            <w:vAlign w:val="center"/>
            <w:hideMark/>
          </w:tcPr>
          <w:p w14:paraId="2E0D35DD"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1</w:t>
            </w:r>
          </w:p>
        </w:tc>
        <w:tc>
          <w:tcPr>
            <w:tcW w:w="3740" w:type="dxa"/>
            <w:tcBorders>
              <w:top w:val="nil"/>
              <w:left w:val="nil"/>
              <w:bottom w:val="single" w:sz="8" w:space="0" w:color="auto"/>
              <w:right w:val="single" w:sz="8" w:space="0" w:color="auto"/>
            </w:tcBorders>
            <w:shd w:val="clear" w:color="auto" w:fill="auto"/>
            <w:vAlign w:val="center"/>
            <w:hideMark/>
          </w:tcPr>
          <w:p w14:paraId="4BD81AA1" w14:textId="77777777" w:rsidR="00C61708" w:rsidRPr="00C61708" w:rsidRDefault="00C61708" w:rsidP="00C61708">
            <w:pPr>
              <w:jc w:val="both"/>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Control de los recursos</w:t>
            </w:r>
          </w:p>
        </w:tc>
        <w:tc>
          <w:tcPr>
            <w:tcW w:w="2043" w:type="dxa"/>
            <w:tcBorders>
              <w:top w:val="nil"/>
              <w:left w:val="nil"/>
              <w:bottom w:val="single" w:sz="8" w:space="0" w:color="auto"/>
              <w:right w:val="single" w:sz="8" w:space="0" w:color="auto"/>
            </w:tcBorders>
            <w:shd w:val="clear" w:color="auto" w:fill="auto"/>
            <w:vAlign w:val="center"/>
            <w:hideMark/>
          </w:tcPr>
          <w:p w14:paraId="3C8266EF" w14:textId="77777777" w:rsidR="00C61708" w:rsidRPr="00C61708" w:rsidRDefault="00C61708" w:rsidP="00C61708">
            <w:pP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NICSP N° 23,</w:t>
            </w:r>
            <w:r w:rsidRPr="00C61708">
              <w:rPr>
                <w:rFonts w:ascii="Arial Narrow" w:eastAsia="Times New Roman" w:hAnsi="Arial Narrow" w:cs="Calibri"/>
                <w:b/>
                <w:bCs/>
                <w:color w:val="000000"/>
                <w:sz w:val="22"/>
                <w:szCs w:val="22"/>
              </w:rPr>
              <w:br/>
              <w:t>Párrafo 93</w:t>
            </w:r>
          </w:p>
        </w:tc>
        <w:tc>
          <w:tcPr>
            <w:tcW w:w="1889" w:type="dxa"/>
            <w:tcBorders>
              <w:top w:val="nil"/>
              <w:left w:val="nil"/>
              <w:bottom w:val="single" w:sz="8" w:space="0" w:color="auto"/>
              <w:right w:val="single" w:sz="8" w:space="0" w:color="auto"/>
            </w:tcBorders>
            <w:shd w:val="clear" w:color="auto" w:fill="auto"/>
            <w:vAlign w:val="center"/>
            <w:hideMark/>
          </w:tcPr>
          <w:p w14:paraId="71B3AD7F" w14:textId="77777777" w:rsidR="00C61708" w:rsidRPr="00C61708" w:rsidRDefault="00C61708" w:rsidP="00C61708">
            <w:pPr>
              <w:ind w:firstLineChars="100" w:firstLine="220"/>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 xml:space="preserve"> </w:t>
            </w:r>
          </w:p>
        </w:tc>
      </w:tr>
      <w:tr w:rsidR="00C61708" w:rsidRPr="00C61708" w14:paraId="29FE579E" w14:textId="77777777" w:rsidTr="00AB7853">
        <w:trPr>
          <w:trHeight w:val="363"/>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35206AB8"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37AAD894"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23</w:t>
            </w:r>
          </w:p>
        </w:tc>
        <w:tc>
          <w:tcPr>
            <w:tcW w:w="520" w:type="dxa"/>
            <w:tcBorders>
              <w:top w:val="nil"/>
              <w:left w:val="nil"/>
              <w:bottom w:val="single" w:sz="8" w:space="0" w:color="auto"/>
              <w:right w:val="single" w:sz="8" w:space="0" w:color="auto"/>
            </w:tcBorders>
            <w:shd w:val="clear" w:color="auto" w:fill="auto"/>
            <w:vAlign w:val="center"/>
            <w:hideMark/>
          </w:tcPr>
          <w:p w14:paraId="30438766"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29AE2188" w14:textId="77777777" w:rsidR="00C61708" w:rsidRPr="00C61708" w:rsidRDefault="00C61708" w:rsidP="00C61708">
            <w:pPr>
              <w:jc w:val="both"/>
              <w:rPr>
                <w:rFonts w:ascii="Arial Narrow" w:eastAsia="Times New Roman" w:hAnsi="Arial Narrow" w:cs="Calibri"/>
                <w:b/>
                <w:bCs/>
                <w:color w:val="000000"/>
                <w:sz w:val="22"/>
                <w:szCs w:val="22"/>
                <w:lang w:val="es-CR"/>
              </w:rPr>
            </w:pPr>
            <w:r w:rsidRPr="00C61708">
              <w:rPr>
                <w:rFonts w:ascii="Arial Narrow" w:eastAsia="Times New Roman" w:hAnsi="Arial Narrow" w:cs="Calibri"/>
                <w:b/>
                <w:bCs/>
                <w:color w:val="000000"/>
                <w:sz w:val="22"/>
                <w:szCs w:val="22"/>
                <w:lang w:val="es-CR"/>
              </w:rPr>
              <w:t>Reconocimiento de activos e ingresos</w:t>
            </w:r>
          </w:p>
        </w:tc>
        <w:tc>
          <w:tcPr>
            <w:tcW w:w="2043" w:type="dxa"/>
            <w:tcBorders>
              <w:top w:val="nil"/>
              <w:left w:val="nil"/>
              <w:bottom w:val="single" w:sz="8" w:space="0" w:color="auto"/>
              <w:right w:val="single" w:sz="8" w:space="0" w:color="auto"/>
            </w:tcBorders>
            <w:shd w:val="clear" w:color="auto" w:fill="auto"/>
            <w:vAlign w:val="center"/>
            <w:hideMark/>
          </w:tcPr>
          <w:p w14:paraId="18493134" w14:textId="77777777" w:rsidR="00C61708" w:rsidRPr="00C61708" w:rsidRDefault="00C61708" w:rsidP="00C61708">
            <w:pP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NICSP N° 23,</w:t>
            </w:r>
            <w:r w:rsidRPr="00C61708">
              <w:rPr>
                <w:rFonts w:ascii="Arial Narrow" w:eastAsia="Times New Roman" w:hAnsi="Arial Narrow" w:cs="Calibri"/>
                <w:b/>
                <w:bCs/>
                <w:color w:val="000000"/>
                <w:sz w:val="22"/>
                <w:szCs w:val="22"/>
              </w:rPr>
              <w:br/>
              <w:t>Párrafos 95 y 96.</w:t>
            </w:r>
          </w:p>
        </w:tc>
        <w:tc>
          <w:tcPr>
            <w:tcW w:w="1889" w:type="dxa"/>
            <w:tcBorders>
              <w:top w:val="nil"/>
              <w:left w:val="nil"/>
              <w:bottom w:val="single" w:sz="8" w:space="0" w:color="auto"/>
              <w:right w:val="single" w:sz="8" w:space="0" w:color="auto"/>
            </w:tcBorders>
            <w:shd w:val="clear" w:color="auto" w:fill="auto"/>
            <w:vAlign w:val="center"/>
            <w:hideMark/>
          </w:tcPr>
          <w:p w14:paraId="4AF166B7" w14:textId="77777777" w:rsidR="00C61708" w:rsidRPr="00C61708" w:rsidRDefault="00C61708" w:rsidP="00C61708">
            <w:pPr>
              <w:ind w:firstLineChars="100" w:firstLine="220"/>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 xml:space="preserve"> </w:t>
            </w:r>
          </w:p>
        </w:tc>
      </w:tr>
      <w:tr w:rsidR="00C61708" w:rsidRPr="00C61708" w14:paraId="79841EBF" w14:textId="77777777" w:rsidTr="00AB7853">
        <w:trPr>
          <w:trHeight w:val="485"/>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1D7419C6" w14:textId="77777777" w:rsidR="00C61708" w:rsidRPr="00C61708" w:rsidRDefault="00C61708" w:rsidP="005F4668">
            <w:pPr>
              <w:spacing w:after="120"/>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4</w:t>
            </w:r>
          </w:p>
        </w:tc>
        <w:tc>
          <w:tcPr>
            <w:tcW w:w="660" w:type="dxa"/>
            <w:tcBorders>
              <w:top w:val="nil"/>
              <w:left w:val="nil"/>
              <w:bottom w:val="single" w:sz="8" w:space="0" w:color="auto"/>
              <w:right w:val="single" w:sz="8" w:space="0" w:color="auto"/>
            </w:tcBorders>
            <w:shd w:val="clear" w:color="auto" w:fill="auto"/>
            <w:vAlign w:val="center"/>
            <w:hideMark/>
          </w:tcPr>
          <w:p w14:paraId="0A0D7E73"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23</w:t>
            </w:r>
          </w:p>
        </w:tc>
        <w:tc>
          <w:tcPr>
            <w:tcW w:w="520" w:type="dxa"/>
            <w:tcBorders>
              <w:top w:val="nil"/>
              <w:left w:val="nil"/>
              <w:bottom w:val="single" w:sz="8" w:space="0" w:color="auto"/>
              <w:right w:val="single" w:sz="8" w:space="0" w:color="auto"/>
            </w:tcBorders>
            <w:shd w:val="clear" w:color="auto" w:fill="auto"/>
            <w:vAlign w:val="center"/>
            <w:hideMark/>
          </w:tcPr>
          <w:p w14:paraId="42B8BA20" w14:textId="77777777" w:rsidR="00C61708" w:rsidRPr="00C61708" w:rsidRDefault="00C61708" w:rsidP="00C61708">
            <w:pPr>
              <w:jc w:val="cente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43C927E1" w14:textId="77777777" w:rsidR="00C61708" w:rsidRPr="00C61708" w:rsidRDefault="00C61708" w:rsidP="00C61708">
            <w:pPr>
              <w:jc w:val="both"/>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Reconocimiento de pasivo</w:t>
            </w:r>
          </w:p>
        </w:tc>
        <w:tc>
          <w:tcPr>
            <w:tcW w:w="2043" w:type="dxa"/>
            <w:tcBorders>
              <w:top w:val="nil"/>
              <w:left w:val="nil"/>
              <w:bottom w:val="single" w:sz="8" w:space="0" w:color="auto"/>
              <w:right w:val="single" w:sz="8" w:space="0" w:color="auto"/>
            </w:tcBorders>
            <w:shd w:val="clear" w:color="auto" w:fill="auto"/>
            <w:vAlign w:val="center"/>
            <w:hideMark/>
          </w:tcPr>
          <w:p w14:paraId="170BBCCE" w14:textId="77777777" w:rsidR="00C61708" w:rsidRPr="00C61708" w:rsidRDefault="00C61708" w:rsidP="00C61708">
            <w:pP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NICSP N° 23,</w:t>
            </w:r>
            <w:r w:rsidRPr="00C61708">
              <w:rPr>
                <w:rFonts w:ascii="Arial Narrow" w:eastAsia="Times New Roman" w:hAnsi="Arial Narrow" w:cs="Calibri"/>
                <w:b/>
                <w:bCs/>
                <w:color w:val="000000"/>
                <w:sz w:val="22"/>
                <w:szCs w:val="22"/>
              </w:rPr>
              <w:br/>
              <w:t>Párrafo 96.</w:t>
            </w:r>
          </w:p>
        </w:tc>
        <w:tc>
          <w:tcPr>
            <w:tcW w:w="1889" w:type="dxa"/>
            <w:tcBorders>
              <w:top w:val="nil"/>
              <w:left w:val="nil"/>
              <w:bottom w:val="single" w:sz="8" w:space="0" w:color="auto"/>
              <w:right w:val="single" w:sz="8" w:space="0" w:color="auto"/>
            </w:tcBorders>
            <w:shd w:val="clear" w:color="auto" w:fill="auto"/>
            <w:vAlign w:val="center"/>
            <w:hideMark/>
          </w:tcPr>
          <w:p w14:paraId="3856EB0D" w14:textId="77777777" w:rsidR="00C61708" w:rsidRPr="00C61708" w:rsidRDefault="00C61708" w:rsidP="00C61708">
            <w:pPr>
              <w:ind w:firstLineChars="100" w:firstLine="220"/>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 xml:space="preserve"> </w:t>
            </w:r>
          </w:p>
        </w:tc>
      </w:tr>
      <w:tr w:rsidR="00C61708" w:rsidRPr="00C61708" w14:paraId="0D05FB93" w14:textId="77777777" w:rsidTr="00AB7853">
        <w:trPr>
          <w:trHeight w:val="464"/>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C9C7B19" w14:textId="77777777" w:rsidR="00C61708" w:rsidRPr="00C61708" w:rsidRDefault="00C61708" w:rsidP="00C61708">
            <w:pPr>
              <w:jc w:val="center"/>
              <w:rPr>
                <w:rFonts w:ascii="Arial Narrow" w:eastAsia="Times New Roman" w:hAnsi="Arial Narrow" w:cs="Calibri"/>
                <w:b/>
                <w:bCs/>
                <w:color w:val="000000"/>
                <w:sz w:val="24"/>
                <w:szCs w:val="24"/>
              </w:rPr>
            </w:pPr>
            <w:r w:rsidRPr="00C61708">
              <w:rPr>
                <w:rFonts w:ascii="Arial Narrow" w:eastAsia="Times New Roman" w:hAnsi="Arial Narrow" w:cs="Calibri"/>
                <w:b/>
                <w:bCs/>
                <w:color w:val="000000"/>
                <w:sz w:val="24"/>
                <w:szCs w:val="24"/>
              </w:rPr>
              <w:t>4</w:t>
            </w:r>
          </w:p>
        </w:tc>
        <w:tc>
          <w:tcPr>
            <w:tcW w:w="660" w:type="dxa"/>
            <w:tcBorders>
              <w:top w:val="nil"/>
              <w:left w:val="nil"/>
              <w:bottom w:val="single" w:sz="8" w:space="0" w:color="auto"/>
              <w:right w:val="single" w:sz="8" w:space="0" w:color="auto"/>
            </w:tcBorders>
            <w:shd w:val="clear" w:color="auto" w:fill="auto"/>
            <w:vAlign w:val="center"/>
            <w:hideMark/>
          </w:tcPr>
          <w:p w14:paraId="7A2B55B4" w14:textId="77777777" w:rsidR="00C61708" w:rsidRPr="00C61708" w:rsidRDefault="00C61708" w:rsidP="00C61708">
            <w:pPr>
              <w:jc w:val="center"/>
              <w:rPr>
                <w:rFonts w:ascii="Arial Narrow" w:eastAsia="Times New Roman" w:hAnsi="Arial Narrow" w:cs="Calibri"/>
                <w:b/>
                <w:bCs/>
                <w:color w:val="000000"/>
                <w:sz w:val="24"/>
                <w:szCs w:val="24"/>
              </w:rPr>
            </w:pPr>
            <w:r w:rsidRPr="00C61708">
              <w:rPr>
                <w:rFonts w:ascii="Arial Narrow" w:eastAsia="Times New Roman" w:hAnsi="Arial Narrow" w:cs="Calibri"/>
                <w:b/>
                <w:bCs/>
                <w:color w:val="000000"/>
                <w:sz w:val="24"/>
                <w:szCs w:val="24"/>
              </w:rPr>
              <w:t>23</w:t>
            </w:r>
          </w:p>
        </w:tc>
        <w:tc>
          <w:tcPr>
            <w:tcW w:w="520" w:type="dxa"/>
            <w:tcBorders>
              <w:top w:val="nil"/>
              <w:left w:val="nil"/>
              <w:bottom w:val="single" w:sz="8" w:space="0" w:color="auto"/>
              <w:right w:val="single" w:sz="8" w:space="0" w:color="auto"/>
            </w:tcBorders>
            <w:shd w:val="clear" w:color="auto" w:fill="auto"/>
            <w:vAlign w:val="center"/>
            <w:hideMark/>
          </w:tcPr>
          <w:p w14:paraId="6B83E29C" w14:textId="77777777" w:rsidR="00C61708" w:rsidRPr="00C61708" w:rsidRDefault="00C61708" w:rsidP="00C61708">
            <w:pPr>
              <w:jc w:val="center"/>
              <w:rPr>
                <w:rFonts w:ascii="Arial Narrow" w:eastAsia="Times New Roman" w:hAnsi="Arial Narrow" w:cs="Calibri"/>
                <w:b/>
                <w:bCs/>
                <w:color w:val="000000"/>
                <w:sz w:val="24"/>
                <w:szCs w:val="24"/>
              </w:rPr>
            </w:pPr>
            <w:r w:rsidRPr="00C61708">
              <w:rPr>
                <w:rFonts w:ascii="Arial Narrow" w:eastAsia="Times New Roman" w:hAnsi="Arial Narrow" w:cs="Calibri"/>
                <w:b/>
                <w:bCs/>
                <w:color w:val="000000"/>
                <w:sz w:val="24"/>
                <w:szCs w:val="24"/>
              </w:rPr>
              <w:t>4</w:t>
            </w:r>
          </w:p>
        </w:tc>
        <w:tc>
          <w:tcPr>
            <w:tcW w:w="3740" w:type="dxa"/>
            <w:tcBorders>
              <w:top w:val="nil"/>
              <w:left w:val="nil"/>
              <w:bottom w:val="single" w:sz="8" w:space="0" w:color="auto"/>
              <w:right w:val="single" w:sz="8" w:space="0" w:color="auto"/>
            </w:tcBorders>
            <w:shd w:val="clear" w:color="auto" w:fill="auto"/>
            <w:vAlign w:val="center"/>
            <w:hideMark/>
          </w:tcPr>
          <w:p w14:paraId="3D995D34" w14:textId="77777777" w:rsidR="00C61708" w:rsidRPr="00C61708" w:rsidRDefault="00C61708" w:rsidP="00C61708">
            <w:pPr>
              <w:jc w:val="both"/>
              <w:rPr>
                <w:rFonts w:ascii="Arial Narrow" w:eastAsia="Times New Roman" w:hAnsi="Arial Narrow" w:cs="Calibri"/>
                <w:b/>
                <w:bCs/>
                <w:color w:val="000000"/>
                <w:sz w:val="24"/>
                <w:szCs w:val="24"/>
              </w:rPr>
            </w:pPr>
            <w:r w:rsidRPr="00C61708">
              <w:rPr>
                <w:rFonts w:ascii="Arial Narrow" w:eastAsia="Times New Roman" w:hAnsi="Arial Narrow" w:cs="Calibri"/>
                <w:b/>
                <w:bCs/>
                <w:color w:val="000000"/>
                <w:sz w:val="24"/>
                <w:szCs w:val="24"/>
              </w:rPr>
              <w:t>Reconocimiento en ejercicios posteriores</w:t>
            </w:r>
          </w:p>
        </w:tc>
        <w:tc>
          <w:tcPr>
            <w:tcW w:w="2043" w:type="dxa"/>
            <w:tcBorders>
              <w:top w:val="nil"/>
              <w:left w:val="nil"/>
              <w:bottom w:val="single" w:sz="8" w:space="0" w:color="auto"/>
              <w:right w:val="single" w:sz="8" w:space="0" w:color="auto"/>
            </w:tcBorders>
            <w:shd w:val="clear" w:color="auto" w:fill="auto"/>
            <w:vAlign w:val="center"/>
            <w:hideMark/>
          </w:tcPr>
          <w:p w14:paraId="3F996856" w14:textId="77777777" w:rsidR="00C61708" w:rsidRPr="00C61708" w:rsidRDefault="00C61708" w:rsidP="00C61708">
            <w:pPr>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NICSP N° 23,</w:t>
            </w:r>
            <w:r w:rsidRPr="00C61708">
              <w:rPr>
                <w:rFonts w:ascii="Arial Narrow" w:eastAsia="Times New Roman" w:hAnsi="Arial Narrow" w:cs="Calibri"/>
                <w:b/>
                <w:bCs/>
                <w:color w:val="000000"/>
                <w:sz w:val="22"/>
                <w:szCs w:val="22"/>
              </w:rPr>
              <w:br/>
              <w:t>Párrafo 47.</w:t>
            </w:r>
          </w:p>
        </w:tc>
        <w:tc>
          <w:tcPr>
            <w:tcW w:w="1889" w:type="dxa"/>
            <w:tcBorders>
              <w:top w:val="nil"/>
              <w:left w:val="nil"/>
              <w:bottom w:val="single" w:sz="8" w:space="0" w:color="auto"/>
              <w:right w:val="single" w:sz="8" w:space="0" w:color="auto"/>
            </w:tcBorders>
            <w:shd w:val="clear" w:color="auto" w:fill="auto"/>
            <w:vAlign w:val="center"/>
            <w:hideMark/>
          </w:tcPr>
          <w:p w14:paraId="7B4479EA" w14:textId="77777777" w:rsidR="00C61708" w:rsidRPr="00C61708" w:rsidRDefault="00C61708" w:rsidP="00C61708">
            <w:pPr>
              <w:ind w:firstLineChars="100" w:firstLine="220"/>
              <w:rPr>
                <w:rFonts w:ascii="Arial Narrow" w:eastAsia="Times New Roman" w:hAnsi="Arial Narrow" w:cs="Calibri"/>
                <w:b/>
                <w:bCs/>
                <w:color w:val="000000"/>
                <w:sz w:val="22"/>
                <w:szCs w:val="22"/>
              </w:rPr>
            </w:pPr>
            <w:r w:rsidRPr="00C61708">
              <w:rPr>
                <w:rFonts w:ascii="Arial Narrow" w:eastAsia="Times New Roman" w:hAnsi="Arial Narrow" w:cs="Calibri"/>
                <w:b/>
                <w:bCs/>
                <w:color w:val="000000"/>
                <w:sz w:val="22"/>
                <w:szCs w:val="22"/>
              </w:rPr>
              <w:t>DGCN</w:t>
            </w:r>
          </w:p>
        </w:tc>
      </w:tr>
    </w:tbl>
    <w:p w14:paraId="4A6C9F2A" w14:textId="77777777" w:rsidR="0097644C" w:rsidRDefault="0097644C" w:rsidP="005F4668">
      <w:pPr>
        <w:pStyle w:val="Default"/>
        <w:ind w:right="261"/>
        <w:jc w:val="both"/>
        <w:rPr>
          <w:sz w:val="22"/>
          <w:szCs w:val="22"/>
          <w:lang w:val="es-CR"/>
        </w:rPr>
      </w:pPr>
    </w:p>
    <w:p w14:paraId="006D37F3" w14:textId="790825F0" w:rsidR="005F4668" w:rsidRDefault="005F4668" w:rsidP="005F4668">
      <w:pPr>
        <w:pStyle w:val="Default"/>
        <w:ind w:right="261"/>
        <w:jc w:val="both"/>
        <w:rPr>
          <w:rFonts w:eastAsia="Arial"/>
          <w:b/>
          <w:sz w:val="22"/>
          <w:szCs w:val="22"/>
        </w:rPr>
      </w:pPr>
      <w:r w:rsidRPr="00F02F9D">
        <w:rPr>
          <w:rFonts w:eastAsia="Arial"/>
          <w:b/>
          <w:sz w:val="22"/>
          <w:szCs w:val="22"/>
        </w:rPr>
        <w:t>Políticas Contables</w:t>
      </w:r>
    </w:p>
    <w:p w14:paraId="37B30D7E" w14:textId="77777777" w:rsidR="005F4668" w:rsidRDefault="005F4668" w:rsidP="005F4668">
      <w:pPr>
        <w:pStyle w:val="Default"/>
        <w:ind w:right="26"/>
        <w:jc w:val="both"/>
        <w:rPr>
          <w:sz w:val="22"/>
          <w:szCs w:val="22"/>
          <w:lang w:val="es-CR"/>
        </w:rPr>
      </w:pPr>
    </w:p>
    <w:p w14:paraId="2AF2F2A8" w14:textId="0CC73570" w:rsidR="00C61708" w:rsidRPr="00C61708" w:rsidRDefault="00C61708" w:rsidP="00C61708">
      <w:pPr>
        <w:pStyle w:val="Default"/>
        <w:ind w:left="1134" w:hanging="1134"/>
        <w:jc w:val="both"/>
        <w:rPr>
          <w:sz w:val="22"/>
          <w:szCs w:val="22"/>
          <w:lang w:val="es-CR"/>
        </w:rPr>
      </w:pPr>
      <w:r>
        <w:rPr>
          <w:sz w:val="22"/>
          <w:szCs w:val="22"/>
          <w:lang w:val="es-CR"/>
        </w:rPr>
        <w:t>4.23.0.01</w:t>
      </w:r>
      <w:r>
        <w:rPr>
          <w:sz w:val="22"/>
          <w:szCs w:val="22"/>
          <w:lang w:val="es-CR"/>
        </w:rPr>
        <w:tab/>
      </w:r>
      <w:r w:rsidRPr="00C61708">
        <w:rPr>
          <w:sz w:val="22"/>
          <w:szCs w:val="22"/>
          <w:lang w:val="es-CR"/>
        </w:rPr>
        <w:t xml:space="preserve">Son transferencias voluntarias de activos, incluyendo efectivo u otros activos monetarios, bienes y servicios en especie, que una entidad realiza a favor de otra, normalmente, libres de estipulaciones. </w:t>
      </w:r>
    </w:p>
    <w:p w14:paraId="0C0A6DB7" w14:textId="77777777" w:rsidR="00C61708" w:rsidRDefault="00C61708" w:rsidP="00C61708">
      <w:pPr>
        <w:pStyle w:val="Default"/>
        <w:jc w:val="both"/>
        <w:rPr>
          <w:sz w:val="22"/>
          <w:szCs w:val="22"/>
          <w:lang w:val="es-CR"/>
        </w:rPr>
      </w:pPr>
    </w:p>
    <w:p w14:paraId="4553CDE1" w14:textId="235B2B6E" w:rsidR="00C61708" w:rsidRPr="00C61708" w:rsidRDefault="00C61708" w:rsidP="00C61708">
      <w:pPr>
        <w:pStyle w:val="Default"/>
        <w:ind w:left="1134" w:hanging="1134"/>
        <w:jc w:val="both"/>
        <w:rPr>
          <w:sz w:val="22"/>
          <w:szCs w:val="22"/>
          <w:lang w:val="es-CR"/>
        </w:rPr>
      </w:pPr>
      <w:r>
        <w:rPr>
          <w:sz w:val="22"/>
          <w:szCs w:val="22"/>
          <w:lang w:val="es-CR"/>
        </w:rPr>
        <w:t>4.23.0.02</w:t>
      </w:r>
      <w:r>
        <w:rPr>
          <w:sz w:val="22"/>
          <w:szCs w:val="22"/>
          <w:lang w:val="es-CR"/>
        </w:rPr>
        <w:tab/>
      </w:r>
      <w:r w:rsidRPr="00C61708">
        <w:rPr>
          <w:sz w:val="22"/>
          <w:szCs w:val="22"/>
          <w:lang w:val="es-CR"/>
        </w:rPr>
        <w:t xml:space="preserve">Los bienes en especie son activos tangibles transferidos a una entidad en una transacción sin contraprestación, sin cargo alguno, pero pudiendo estar sujetos a estipulaciones. La ayuda externa proporcionada por organizaciones multilaterales o bilaterales de desarrollo a menudo incluye un componente de bienes en especie. </w:t>
      </w:r>
    </w:p>
    <w:p w14:paraId="3B0E0914" w14:textId="7F8FAE2E" w:rsidR="00C61708" w:rsidRPr="00C61708" w:rsidRDefault="00C61708" w:rsidP="00C61708">
      <w:pPr>
        <w:pStyle w:val="Default"/>
        <w:jc w:val="both"/>
        <w:rPr>
          <w:sz w:val="22"/>
          <w:szCs w:val="22"/>
          <w:lang w:val="es-CR"/>
        </w:rPr>
      </w:pPr>
    </w:p>
    <w:p w14:paraId="247F2407" w14:textId="1437EB34" w:rsidR="00C61708" w:rsidRPr="00C61708" w:rsidRDefault="00C61708" w:rsidP="00C61708">
      <w:pPr>
        <w:pStyle w:val="Default"/>
        <w:ind w:left="1134" w:hanging="1134"/>
        <w:jc w:val="both"/>
        <w:rPr>
          <w:sz w:val="22"/>
          <w:szCs w:val="22"/>
          <w:lang w:val="es-CR"/>
        </w:rPr>
      </w:pPr>
      <w:r>
        <w:rPr>
          <w:sz w:val="22"/>
          <w:szCs w:val="22"/>
          <w:lang w:val="es-CR"/>
        </w:rPr>
        <w:t>4.23.1.01</w:t>
      </w:r>
      <w:r>
        <w:rPr>
          <w:sz w:val="22"/>
          <w:szCs w:val="22"/>
          <w:lang w:val="es-CR"/>
        </w:rPr>
        <w:tab/>
      </w:r>
      <w:r w:rsidRPr="00C61708">
        <w:rPr>
          <w:sz w:val="22"/>
          <w:szCs w:val="22"/>
          <w:lang w:val="es-CR"/>
        </w:rPr>
        <w:t xml:space="preserve">Para los regalos y donaciones de efectivo u otros activos monetarios y bienes y servicios en especie, el suceso pasado que da lugar al control de recursos que incorporan beneficios económicos futuros o potencial de servicio es, normalmente, la recepción del regalo o donación. </w:t>
      </w:r>
    </w:p>
    <w:p w14:paraId="3C95D944" w14:textId="77777777" w:rsidR="00C61708" w:rsidRPr="00C61708" w:rsidRDefault="00C61708" w:rsidP="00C61708">
      <w:pPr>
        <w:pStyle w:val="Default"/>
        <w:jc w:val="both"/>
        <w:rPr>
          <w:sz w:val="22"/>
          <w:szCs w:val="22"/>
          <w:lang w:val="es-CR"/>
        </w:rPr>
      </w:pPr>
    </w:p>
    <w:p w14:paraId="00EE8BAF" w14:textId="77777777" w:rsidR="00C61708" w:rsidRDefault="00C61708" w:rsidP="00C61708">
      <w:pPr>
        <w:pStyle w:val="Default"/>
        <w:spacing w:after="20"/>
        <w:ind w:left="1134" w:hanging="1134"/>
        <w:jc w:val="both"/>
        <w:rPr>
          <w:sz w:val="22"/>
          <w:szCs w:val="22"/>
          <w:lang w:val="es-CR"/>
        </w:rPr>
      </w:pPr>
      <w:r>
        <w:rPr>
          <w:sz w:val="22"/>
          <w:szCs w:val="22"/>
          <w:lang w:val="es-CR"/>
        </w:rPr>
        <w:t>4.23.2.01</w:t>
      </w:r>
      <w:r>
        <w:rPr>
          <w:sz w:val="22"/>
          <w:szCs w:val="22"/>
          <w:lang w:val="es-CR"/>
        </w:rPr>
        <w:tab/>
      </w:r>
      <w:r w:rsidRPr="00C61708">
        <w:rPr>
          <w:sz w:val="22"/>
          <w:szCs w:val="22"/>
          <w:lang w:val="es-CR"/>
        </w:rPr>
        <w:t>Los regalos y donaciones (distintos de los servicios en especie) se reconocen como activos e ingresos cuando:</w:t>
      </w:r>
    </w:p>
    <w:p w14:paraId="4AF7CFA8" w14:textId="77777777" w:rsidR="00C61708" w:rsidRDefault="00C61708" w:rsidP="00C61708">
      <w:pPr>
        <w:pStyle w:val="Default"/>
        <w:spacing w:after="20"/>
        <w:ind w:left="1134" w:hanging="1134"/>
        <w:jc w:val="both"/>
        <w:rPr>
          <w:sz w:val="22"/>
          <w:szCs w:val="22"/>
          <w:lang w:val="es-CR"/>
        </w:rPr>
      </w:pPr>
    </w:p>
    <w:p w14:paraId="5BBCCC6F" w14:textId="111FBB93" w:rsidR="00C61708" w:rsidRPr="00C61708" w:rsidRDefault="00C61708">
      <w:pPr>
        <w:pStyle w:val="Default"/>
        <w:numPr>
          <w:ilvl w:val="0"/>
          <w:numId w:val="242"/>
        </w:numPr>
        <w:spacing w:after="120"/>
        <w:ind w:left="1418" w:hanging="284"/>
        <w:jc w:val="both"/>
        <w:rPr>
          <w:sz w:val="22"/>
          <w:szCs w:val="22"/>
          <w:lang w:val="es-CR"/>
        </w:rPr>
      </w:pPr>
      <w:r>
        <w:rPr>
          <w:sz w:val="22"/>
          <w:szCs w:val="22"/>
          <w:lang w:val="es-CR"/>
        </w:rPr>
        <w:t>E</w:t>
      </w:r>
      <w:r w:rsidRPr="00C61708">
        <w:rPr>
          <w:sz w:val="22"/>
          <w:szCs w:val="22"/>
          <w:lang w:val="es-CR"/>
        </w:rPr>
        <w:t xml:space="preserve">s probable que de los mismos se obtengan beneficios económicos o potencial de servicio futuros, siendo dicho momento el de recepción de los bienes o el de existencia de un acuerdo vinculante a tales efectos; y </w:t>
      </w:r>
    </w:p>
    <w:p w14:paraId="74FBAA25" w14:textId="3A200503" w:rsidR="00C61708" w:rsidRPr="00C61708" w:rsidRDefault="00C61708">
      <w:pPr>
        <w:pStyle w:val="Default"/>
        <w:numPr>
          <w:ilvl w:val="0"/>
          <w:numId w:val="242"/>
        </w:numPr>
        <w:ind w:left="1418" w:hanging="284"/>
        <w:jc w:val="both"/>
        <w:rPr>
          <w:sz w:val="22"/>
          <w:szCs w:val="22"/>
          <w:lang w:val="es-CR"/>
        </w:rPr>
      </w:pPr>
      <w:r>
        <w:rPr>
          <w:sz w:val="22"/>
          <w:szCs w:val="22"/>
          <w:lang w:val="es-CR"/>
        </w:rPr>
        <w:t>E</w:t>
      </w:r>
      <w:r w:rsidRPr="00C61708">
        <w:rPr>
          <w:sz w:val="22"/>
          <w:szCs w:val="22"/>
          <w:lang w:val="es-CR"/>
        </w:rPr>
        <w:t xml:space="preserve">l valor razonable de los activos pueda ser medido de forma fiable. </w:t>
      </w:r>
    </w:p>
    <w:p w14:paraId="2A0F4DC3" w14:textId="77777777" w:rsidR="00C61708" w:rsidRPr="00C61708" w:rsidRDefault="00C61708" w:rsidP="00C61708">
      <w:pPr>
        <w:pStyle w:val="Default"/>
        <w:jc w:val="both"/>
        <w:rPr>
          <w:sz w:val="22"/>
          <w:szCs w:val="22"/>
          <w:lang w:val="es-CR"/>
        </w:rPr>
      </w:pPr>
    </w:p>
    <w:p w14:paraId="2826F4E7" w14:textId="3C059671" w:rsidR="00C61708" w:rsidRPr="00C61708" w:rsidRDefault="005A7BB9" w:rsidP="005A7BB9">
      <w:pPr>
        <w:pStyle w:val="Default"/>
        <w:ind w:left="1134" w:hanging="1134"/>
        <w:jc w:val="both"/>
        <w:rPr>
          <w:sz w:val="22"/>
          <w:szCs w:val="22"/>
          <w:lang w:val="es-CR"/>
        </w:rPr>
      </w:pPr>
      <w:r>
        <w:rPr>
          <w:sz w:val="22"/>
          <w:szCs w:val="22"/>
          <w:lang w:val="es-CR"/>
        </w:rPr>
        <w:t>4.2</w:t>
      </w:r>
      <w:r w:rsidR="00C61708" w:rsidRPr="00C61708">
        <w:rPr>
          <w:sz w:val="22"/>
          <w:szCs w:val="22"/>
          <w:lang w:val="es-CR"/>
        </w:rPr>
        <w:t>3.</w:t>
      </w:r>
      <w:r>
        <w:rPr>
          <w:sz w:val="22"/>
          <w:szCs w:val="22"/>
          <w:lang w:val="es-CR"/>
        </w:rPr>
        <w:t>3.01</w:t>
      </w:r>
      <w:r>
        <w:rPr>
          <w:sz w:val="22"/>
          <w:szCs w:val="22"/>
          <w:lang w:val="es-CR"/>
        </w:rPr>
        <w:tab/>
      </w:r>
      <w:r w:rsidR="00C61708" w:rsidRPr="00C61708">
        <w:rPr>
          <w:sz w:val="22"/>
          <w:szCs w:val="22"/>
          <w:lang w:val="es-CR"/>
        </w:rPr>
        <w:t>Si se establecieran condiciones para activos transferidos</w:t>
      </w:r>
      <w:r w:rsidR="00C61708" w:rsidRPr="005A7BB9">
        <w:rPr>
          <w:sz w:val="22"/>
          <w:szCs w:val="22"/>
          <w:lang w:val="es-CR"/>
        </w:rPr>
        <w:t>, se reconocerá un pasivo, el que se reducirá reconociéndose ingresos a medida que se satisfagan las</w:t>
      </w:r>
      <w:r w:rsidR="00C61708" w:rsidRPr="00C61708">
        <w:rPr>
          <w:sz w:val="22"/>
          <w:szCs w:val="22"/>
          <w:lang w:val="es-CR"/>
        </w:rPr>
        <w:t xml:space="preserve"> condiciones. </w:t>
      </w:r>
    </w:p>
    <w:p w14:paraId="798E0B32" w14:textId="77777777" w:rsidR="00C61708" w:rsidRPr="00C61708" w:rsidRDefault="00C61708" w:rsidP="00C61708">
      <w:pPr>
        <w:pStyle w:val="Default"/>
        <w:jc w:val="both"/>
        <w:rPr>
          <w:sz w:val="22"/>
          <w:szCs w:val="22"/>
          <w:lang w:val="es-CR"/>
        </w:rPr>
      </w:pPr>
    </w:p>
    <w:p w14:paraId="59506FBA" w14:textId="2F166F51" w:rsidR="00C61708" w:rsidRPr="00C61708" w:rsidRDefault="00C61708" w:rsidP="005A7BB9">
      <w:pPr>
        <w:pStyle w:val="Default"/>
        <w:ind w:left="1134" w:hanging="1134"/>
        <w:jc w:val="both"/>
        <w:rPr>
          <w:sz w:val="22"/>
          <w:szCs w:val="22"/>
          <w:lang w:val="es-CR"/>
        </w:rPr>
      </w:pPr>
      <w:r w:rsidRPr="00C61708">
        <w:rPr>
          <w:sz w:val="22"/>
          <w:szCs w:val="22"/>
          <w:lang w:val="es-CR"/>
        </w:rPr>
        <w:t>4.</w:t>
      </w:r>
      <w:r w:rsidR="005A7BB9">
        <w:rPr>
          <w:sz w:val="22"/>
          <w:szCs w:val="22"/>
          <w:lang w:val="es-CR"/>
        </w:rPr>
        <w:t>23.4.01</w:t>
      </w:r>
      <w:r w:rsidR="005A7BB9">
        <w:rPr>
          <w:sz w:val="22"/>
          <w:szCs w:val="22"/>
          <w:lang w:val="es-CR"/>
        </w:rPr>
        <w:tab/>
      </w:r>
      <w:r w:rsidRPr="00C61708">
        <w:rPr>
          <w:sz w:val="22"/>
          <w:szCs w:val="22"/>
          <w:lang w:val="es-CR"/>
        </w:rPr>
        <w:t xml:space="preserve">Cuando se reconozcan donaciones recibidas en un ejercicio posterior al de su ocurrencia, y siempre que en dicho ejercicio (el de ocurrencia) se hubieran cumplido las condiciones para el reconocimiento como un activo, las mismas se incorporarán con cargo a resultados de ejercicios anteriores, aplicando los criterios de corrección de errores estipulados en el presente PGCN. </w:t>
      </w:r>
    </w:p>
    <w:p w14:paraId="7DDB286E" w14:textId="77777777" w:rsidR="00C61708" w:rsidRPr="00C61708" w:rsidRDefault="00C61708" w:rsidP="00C61708">
      <w:pPr>
        <w:pStyle w:val="Default"/>
        <w:jc w:val="both"/>
        <w:rPr>
          <w:sz w:val="22"/>
          <w:szCs w:val="22"/>
          <w:lang w:val="es-CR"/>
        </w:rPr>
      </w:pPr>
    </w:p>
    <w:p w14:paraId="06402819" w14:textId="42353E39" w:rsidR="00C61708" w:rsidRPr="00C61708" w:rsidRDefault="005A7BB9" w:rsidP="005F4668">
      <w:pPr>
        <w:pStyle w:val="Default"/>
        <w:spacing w:after="120" w:line="238" w:lineRule="auto"/>
        <w:ind w:left="1134" w:right="26" w:hanging="1134"/>
        <w:jc w:val="both"/>
        <w:rPr>
          <w:sz w:val="22"/>
          <w:szCs w:val="22"/>
          <w:lang w:val="es-CR"/>
        </w:rPr>
      </w:pPr>
      <w:r>
        <w:rPr>
          <w:sz w:val="22"/>
          <w:szCs w:val="22"/>
          <w:lang w:val="es-CR"/>
        </w:rPr>
        <w:lastRenderedPageBreak/>
        <w:t>4.23.4.02</w:t>
      </w:r>
      <w:r>
        <w:rPr>
          <w:sz w:val="22"/>
          <w:szCs w:val="22"/>
          <w:lang w:val="es-CR"/>
        </w:rPr>
        <w:tab/>
      </w:r>
      <w:r w:rsidR="00C61708" w:rsidRPr="00C61708">
        <w:rPr>
          <w:sz w:val="22"/>
          <w:szCs w:val="22"/>
          <w:lang w:val="es-CR"/>
        </w:rPr>
        <w:t xml:space="preserve">En </w:t>
      </w:r>
      <w:r w:rsidR="005907B3" w:rsidRPr="00C61708">
        <w:rPr>
          <w:sz w:val="22"/>
          <w:szCs w:val="22"/>
          <w:lang w:val="es-CR"/>
        </w:rPr>
        <w:t>ca</w:t>
      </w:r>
      <w:r w:rsidR="005907B3">
        <w:rPr>
          <w:sz w:val="22"/>
          <w:szCs w:val="22"/>
          <w:lang w:val="es-CR"/>
        </w:rPr>
        <w:t>mbi</w:t>
      </w:r>
      <w:r w:rsidR="005907B3" w:rsidRPr="00C61708">
        <w:rPr>
          <w:sz w:val="22"/>
          <w:szCs w:val="22"/>
          <w:lang w:val="es-CR"/>
        </w:rPr>
        <w:t>o</w:t>
      </w:r>
      <w:r w:rsidR="00C61708" w:rsidRPr="00C61708">
        <w:rPr>
          <w:sz w:val="22"/>
          <w:szCs w:val="22"/>
          <w:lang w:val="es-CR"/>
        </w:rPr>
        <w:t>, si el ejercicio de reconocimiento coincide con aquél en que se cumplen las referidas condiciones (aún en el caso que se trate de un ejercicio posterior al de ocurrencia), las donaciones se reconocerán como ingresos.</w:t>
      </w:r>
    </w:p>
    <w:p w14:paraId="2CC91E2A" w14:textId="77777777" w:rsidR="00311422" w:rsidRDefault="00311422" w:rsidP="002A638A">
      <w:pPr>
        <w:pStyle w:val="Default"/>
        <w:spacing w:after="120" w:line="238" w:lineRule="auto"/>
        <w:ind w:right="260"/>
        <w:jc w:val="both"/>
        <w:rPr>
          <w:sz w:val="22"/>
          <w:szCs w:val="22"/>
          <w:lang w:val="es-CR"/>
        </w:rPr>
      </w:pPr>
    </w:p>
    <w:tbl>
      <w:tblPr>
        <w:tblW w:w="9385" w:type="dxa"/>
        <w:tblLook w:val="04A0" w:firstRow="1" w:lastRow="0" w:firstColumn="1" w:lastColumn="0" w:noHBand="0" w:noVBand="1"/>
      </w:tblPr>
      <w:tblGrid>
        <w:gridCol w:w="557"/>
        <w:gridCol w:w="709"/>
        <w:gridCol w:w="425"/>
        <w:gridCol w:w="3969"/>
        <w:gridCol w:w="1836"/>
        <w:gridCol w:w="1874"/>
        <w:gridCol w:w="15"/>
      </w:tblGrid>
      <w:tr w:rsidR="005A7BB9" w:rsidRPr="005A7BB9" w14:paraId="179C967E" w14:textId="77777777" w:rsidTr="005F4668">
        <w:trPr>
          <w:trHeight w:val="32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D316D02" w14:textId="77777777" w:rsidR="005A7BB9" w:rsidRPr="005A7BB9" w:rsidRDefault="005A7BB9" w:rsidP="005A7BB9">
            <w:pPr>
              <w:jc w:val="center"/>
              <w:rPr>
                <w:rFonts w:ascii="Arial Narrow" w:eastAsia="Times New Roman" w:hAnsi="Arial Narrow" w:cs="Calibri"/>
                <w:b/>
                <w:bCs/>
                <w:color w:val="FFFFFF"/>
                <w:sz w:val="22"/>
                <w:szCs w:val="22"/>
              </w:rPr>
            </w:pPr>
            <w:r w:rsidRPr="005A7BB9">
              <w:rPr>
                <w:rFonts w:ascii="Arial Narrow" w:eastAsia="Times New Roman" w:hAnsi="Arial Narrow" w:cs="Calibri"/>
                <w:b/>
                <w:bCs/>
                <w:color w:val="FFFFFF"/>
                <w:sz w:val="22"/>
                <w:szCs w:val="22"/>
              </w:rPr>
              <w:t>Norma / Política</w:t>
            </w:r>
          </w:p>
        </w:tc>
        <w:tc>
          <w:tcPr>
            <w:tcW w:w="3969" w:type="dxa"/>
            <w:vMerge w:val="restart"/>
            <w:tcBorders>
              <w:top w:val="single" w:sz="8" w:space="0" w:color="auto"/>
              <w:left w:val="single" w:sz="8" w:space="0" w:color="auto"/>
              <w:bottom w:val="nil"/>
              <w:right w:val="single" w:sz="8" w:space="0" w:color="auto"/>
            </w:tcBorders>
            <w:shd w:val="clear" w:color="000000" w:fill="203764"/>
            <w:vAlign w:val="center"/>
            <w:hideMark/>
          </w:tcPr>
          <w:p w14:paraId="2C2FC3D7" w14:textId="77777777" w:rsidR="005A7BB9" w:rsidRPr="005A7BB9" w:rsidRDefault="005A7BB9" w:rsidP="005A7BB9">
            <w:pPr>
              <w:jc w:val="center"/>
              <w:rPr>
                <w:rFonts w:ascii="Arial Narrow" w:eastAsia="Times New Roman" w:hAnsi="Arial Narrow" w:cs="Calibri"/>
                <w:b/>
                <w:bCs/>
                <w:color w:val="FFFFFF"/>
                <w:sz w:val="22"/>
                <w:szCs w:val="22"/>
              </w:rPr>
            </w:pPr>
            <w:r w:rsidRPr="005A7BB9">
              <w:rPr>
                <w:rFonts w:ascii="Arial Narrow" w:eastAsia="Times New Roman" w:hAnsi="Arial Narrow" w:cs="Calibri"/>
                <w:b/>
                <w:bCs/>
                <w:color w:val="FFFFFF"/>
                <w:sz w:val="22"/>
                <w:szCs w:val="22"/>
              </w:rPr>
              <w:t>Concepto</w:t>
            </w:r>
          </w:p>
        </w:tc>
        <w:tc>
          <w:tcPr>
            <w:tcW w:w="3725" w:type="dxa"/>
            <w:gridSpan w:val="3"/>
            <w:tcBorders>
              <w:top w:val="single" w:sz="8" w:space="0" w:color="auto"/>
              <w:left w:val="nil"/>
              <w:bottom w:val="single" w:sz="8" w:space="0" w:color="auto"/>
              <w:right w:val="single" w:sz="8" w:space="0" w:color="000000"/>
            </w:tcBorders>
            <w:shd w:val="clear" w:color="000000" w:fill="203764"/>
            <w:vAlign w:val="center"/>
            <w:hideMark/>
          </w:tcPr>
          <w:p w14:paraId="3F78C7FA" w14:textId="77777777" w:rsidR="005A7BB9" w:rsidRPr="005A7BB9" w:rsidRDefault="005A7BB9" w:rsidP="005A7BB9">
            <w:pPr>
              <w:jc w:val="center"/>
              <w:rPr>
                <w:rFonts w:ascii="Arial Narrow" w:eastAsia="Times New Roman" w:hAnsi="Arial Narrow" w:cs="Calibri"/>
                <w:b/>
                <w:bCs/>
                <w:color w:val="FFFFFF"/>
                <w:sz w:val="22"/>
                <w:szCs w:val="22"/>
              </w:rPr>
            </w:pPr>
            <w:r w:rsidRPr="005A7BB9">
              <w:rPr>
                <w:rFonts w:ascii="Arial Narrow" w:eastAsia="Times New Roman" w:hAnsi="Arial Narrow" w:cs="Calibri"/>
                <w:b/>
                <w:bCs/>
                <w:color w:val="FFFFFF"/>
                <w:sz w:val="22"/>
                <w:szCs w:val="22"/>
              </w:rPr>
              <w:t>Referencia</w:t>
            </w:r>
          </w:p>
        </w:tc>
      </w:tr>
      <w:tr w:rsidR="005A7BB9" w:rsidRPr="006E5442" w14:paraId="6DF62411" w14:textId="77777777" w:rsidTr="005F4668">
        <w:trPr>
          <w:gridAfter w:val="1"/>
          <w:wAfter w:w="15" w:type="dxa"/>
          <w:trHeight w:val="1320"/>
        </w:trPr>
        <w:tc>
          <w:tcPr>
            <w:tcW w:w="1691" w:type="dxa"/>
            <w:gridSpan w:val="3"/>
            <w:vMerge/>
            <w:tcBorders>
              <w:top w:val="single" w:sz="8" w:space="0" w:color="auto"/>
              <w:left w:val="single" w:sz="8" w:space="0" w:color="auto"/>
              <w:bottom w:val="nil"/>
              <w:right w:val="single" w:sz="8" w:space="0" w:color="000000"/>
            </w:tcBorders>
            <w:vAlign w:val="center"/>
            <w:hideMark/>
          </w:tcPr>
          <w:p w14:paraId="6D461CFD" w14:textId="77777777" w:rsidR="005A7BB9" w:rsidRPr="005A7BB9" w:rsidRDefault="005A7BB9" w:rsidP="005A7BB9">
            <w:pPr>
              <w:rPr>
                <w:rFonts w:ascii="Arial Narrow" w:eastAsia="Times New Roman" w:hAnsi="Arial Narrow" w:cs="Calibri"/>
                <w:b/>
                <w:bCs/>
                <w:color w:val="FFFFFF"/>
                <w:sz w:val="22"/>
                <w:szCs w:val="22"/>
              </w:rPr>
            </w:pPr>
          </w:p>
        </w:tc>
        <w:tc>
          <w:tcPr>
            <w:tcW w:w="3969" w:type="dxa"/>
            <w:vMerge/>
            <w:tcBorders>
              <w:top w:val="single" w:sz="8" w:space="0" w:color="auto"/>
              <w:left w:val="single" w:sz="8" w:space="0" w:color="auto"/>
              <w:bottom w:val="nil"/>
              <w:right w:val="single" w:sz="8" w:space="0" w:color="auto"/>
            </w:tcBorders>
            <w:vAlign w:val="center"/>
            <w:hideMark/>
          </w:tcPr>
          <w:p w14:paraId="35D2FF1C" w14:textId="77777777" w:rsidR="005A7BB9" w:rsidRPr="005A7BB9" w:rsidRDefault="005A7BB9" w:rsidP="005A7BB9">
            <w:pPr>
              <w:rPr>
                <w:rFonts w:ascii="Arial Narrow" w:eastAsia="Times New Roman" w:hAnsi="Arial Narrow" w:cs="Calibri"/>
                <w:b/>
                <w:bCs/>
                <w:color w:val="FFFFFF"/>
                <w:sz w:val="22"/>
                <w:szCs w:val="22"/>
              </w:rPr>
            </w:pPr>
          </w:p>
        </w:tc>
        <w:tc>
          <w:tcPr>
            <w:tcW w:w="1836" w:type="dxa"/>
            <w:tcBorders>
              <w:top w:val="nil"/>
              <w:left w:val="nil"/>
              <w:bottom w:val="nil"/>
              <w:right w:val="single" w:sz="8" w:space="0" w:color="auto"/>
            </w:tcBorders>
            <w:shd w:val="clear" w:color="000000" w:fill="203764"/>
            <w:vAlign w:val="center"/>
            <w:hideMark/>
          </w:tcPr>
          <w:p w14:paraId="7A91AFE8" w14:textId="77777777" w:rsidR="005A7BB9" w:rsidRPr="005A7BB9" w:rsidRDefault="005A7BB9" w:rsidP="005A7BB9">
            <w:pPr>
              <w:jc w:val="center"/>
              <w:rPr>
                <w:rFonts w:ascii="Arial Narrow" w:eastAsia="Times New Roman" w:hAnsi="Arial Narrow" w:cs="Calibri"/>
                <w:b/>
                <w:bCs/>
                <w:color w:val="FFFFFF"/>
                <w:sz w:val="22"/>
                <w:szCs w:val="22"/>
              </w:rPr>
            </w:pPr>
            <w:r w:rsidRPr="005A7BB9">
              <w:rPr>
                <w:rFonts w:ascii="Arial Narrow" w:eastAsia="Times New Roman" w:hAnsi="Arial Narrow" w:cs="Calibri"/>
                <w:b/>
                <w:bCs/>
                <w:color w:val="FFFFFF"/>
                <w:sz w:val="22"/>
                <w:szCs w:val="22"/>
              </w:rPr>
              <w:t>Norma</w:t>
            </w:r>
          </w:p>
        </w:tc>
        <w:tc>
          <w:tcPr>
            <w:tcW w:w="1874" w:type="dxa"/>
            <w:tcBorders>
              <w:top w:val="nil"/>
              <w:left w:val="nil"/>
              <w:bottom w:val="nil"/>
              <w:right w:val="single" w:sz="8" w:space="0" w:color="auto"/>
            </w:tcBorders>
            <w:shd w:val="clear" w:color="000000" w:fill="203764"/>
            <w:vAlign w:val="center"/>
            <w:hideMark/>
          </w:tcPr>
          <w:p w14:paraId="42165636" w14:textId="77777777" w:rsidR="005A7BB9" w:rsidRPr="005A7BB9" w:rsidRDefault="005A7BB9" w:rsidP="005A7BB9">
            <w:pPr>
              <w:jc w:val="center"/>
              <w:rPr>
                <w:rFonts w:ascii="Arial Narrow" w:eastAsia="Times New Roman" w:hAnsi="Arial Narrow" w:cs="Calibri"/>
                <w:b/>
                <w:bCs/>
                <w:color w:val="FFFFFF"/>
                <w:sz w:val="22"/>
                <w:szCs w:val="22"/>
                <w:lang w:val="es-CR"/>
              </w:rPr>
            </w:pPr>
            <w:r w:rsidRPr="005A7BB9">
              <w:rPr>
                <w:rFonts w:ascii="Arial Narrow" w:eastAsia="Times New Roman" w:hAnsi="Arial Narrow" w:cs="Calibri"/>
                <w:b/>
                <w:bCs/>
                <w:color w:val="FFFFFF"/>
                <w:sz w:val="22"/>
                <w:szCs w:val="22"/>
                <w:lang w:val="es-CR"/>
              </w:rPr>
              <w:t>Normativa técnica y disposiciones adicionales</w:t>
            </w:r>
          </w:p>
        </w:tc>
      </w:tr>
      <w:tr w:rsidR="005A7BB9" w:rsidRPr="005A7BB9" w14:paraId="3D0B7BEF" w14:textId="77777777" w:rsidTr="005F4668">
        <w:trPr>
          <w:gridAfter w:val="1"/>
          <w:wAfter w:w="15" w:type="dxa"/>
          <w:trHeight w:val="57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280D6" w14:textId="77777777" w:rsidR="005A7BB9" w:rsidRPr="005A7BB9" w:rsidRDefault="005A7BB9" w:rsidP="005A7BB9">
            <w:pPr>
              <w:jc w:val="cente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4</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24A55182" w14:textId="77777777" w:rsidR="005A7BB9" w:rsidRPr="005A7BB9" w:rsidRDefault="005A7BB9" w:rsidP="005A7BB9">
            <w:pPr>
              <w:jc w:val="cente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24</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7534B1CE" w14:textId="2557169A" w:rsidR="005A7BB9" w:rsidRPr="005A7BB9" w:rsidRDefault="005A7BB9" w:rsidP="005A7BB9">
            <w:pPr>
              <w:jc w:val="center"/>
              <w:rPr>
                <w:rFonts w:ascii="Arial Narrow" w:eastAsia="Times New Roman" w:hAnsi="Arial Narrow" w:cs="Calibri"/>
                <w:b/>
                <w:bCs/>
                <w:color w:val="000000"/>
                <w:sz w:val="22"/>
                <w:szCs w:val="22"/>
              </w:rPr>
            </w:pP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019613EA" w14:textId="77777777" w:rsidR="005A7BB9" w:rsidRPr="005A7BB9" w:rsidRDefault="005A7BB9" w:rsidP="005A7BB9">
            <w:pPr>
              <w:jc w:val="both"/>
              <w:rPr>
                <w:rFonts w:ascii="Arial Narrow" w:eastAsia="Times New Roman" w:hAnsi="Arial Narrow" w:cs="Calibri"/>
                <w:b/>
                <w:bCs/>
                <w:color w:val="000000"/>
                <w:sz w:val="22"/>
                <w:szCs w:val="22"/>
                <w:lang w:val="es-CR"/>
              </w:rPr>
            </w:pPr>
            <w:r w:rsidRPr="005A7BB9">
              <w:rPr>
                <w:rFonts w:ascii="Arial Narrow" w:eastAsia="Times New Roman" w:hAnsi="Arial Narrow" w:cs="Calibri"/>
                <w:b/>
                <w:bCs/>
                <w:color w:val="000000"/>
                <w:sz w:val="22"/>
                <w:szCs w:val="22"/>
                <w:lang w:val="es-CR"/>
              </w:rPr>
              <w:t>Medición de las donaciones y regalos</w:t>
            </w:r>
          </w:p>
        </w:tc>
        <w:tc>
          <w:tcPr>
            <w:tcW w:w="1836" w:type="dxa"/>
            <w:tcBorders>
              <w:top w:val="single" w:sz="8" w:space="0" w:color="auto"/>
              <w:left w:val="nil"/>
              <w:bottom w:val="single" w:sz="8" w:space="0" w:color="auto"/>
              <w:right w:val="single" w:sz="8" w:space="0" w:color="auto"/>
            </w:tcBorders>
            <w:shd w:val="clear" w:color="auto" w:fill="auto"/>
            <w:vAlign w:val="center"/>
            <w:hideMark/>
          </w:tcPr>
          <w:p w14:paraId="0430BBAB" w14:textId="77777777" w:rsidR="00FA1001" w:rsidRDefault="005A7BB9" w:rsidP="005A7BB9">
            <w:pPr>
              <w:jc w:val="both"/>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NICSP N° 23,</w:t>
            </w:r>
          </w:p>
          <w:p w14:paraId="7586B705" w14:textId="5C9C3D80" w:rsidR="005A7BB9" w:rsidRPr="005A7BB9" w:rsidRDefault="005A7BB9" w:rsidP="005A7BB9">
            <w:pPr>
              <w:jc w:val="both"/>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Párrafo 97.</w:t>
            </w:r>
          </w:p>
        </w:tc>
        <w:tc>
          <w:tcPr>
            <w:tcW w:w="1874" w:type="dxa"/>
            <w:tcBorders>
              <w:top w:val="single" w:sz="8" w:space="0" w:color="auto"/>
              <w:left w:val="nil"/>
              <w:bottom w:val="single" w:sz="8" w:space="0" w:color="auto"/>
              <w:right w:val="single" w:sz="8" w:space="0" w:color="auto"/>
            </w:tcBorders>
            <w:shd w:val="clear" w:color="auto" w:fill="auto"/>
            <w:vAlign w:val="center"/>
            <w:hideMark/>
          </w:tcPr>
          <w:p w14:paraId="4C2831CE" w14:textId="77777777" w:rsidR="005A7BB9" w:rsidRPr="005A7BB9" w:rsidRDefault="005A7BB9" w:rsidP="005A7BB9">
            <w:pP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 xml:space="preserve"> </w:t>
            </w:r>
          </w:p>
        </w:tc>
      </w:tr>
      <w:tr w:rsidR="005A7BB9" w:rsidRPr="005A7BB9" w14:paraId="5E506ED5" w14:textId="77777777" w:rsidTr="005F4668">
        <w:trPr>
          <w:gridAfter w:val="1"/>
          <w:wAfter w:w="15" w:type="dxa"/>
          <w:trHeight w:val="413"/>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C9E6054" w14:textId="77777777" w:rsidR="005A7BB9" w:rsidRPr="005A7BB9" w:rsidRDefault="005A7BB9" w:rsidP="005A7BB9">
            <w:pPr>
              <w:jc w:val="cente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4</w:t>
            </w:r>
          </w:p>
        </w:tc>
        <w:tc>
          <w:tcPr>
            <w:tcW w:w="709" w:type="dxa"/>
            <w:tcBorders>
              <w:top w:val="nil"/>
              <w:left w:val="nil"/>
              <w:bottom w:val="single" w:sz="8" w:space="0" w:color="auto"/>
              <w:right w:val="single" w:sz="8" w:space="0" w:color="auto"/>
            </w:tcBorders>
            <w:shd w:val="clear" w:color="auto" w:fill="auto"/>
            <w:noWrap/>
            <w:vAlign w:val="center"/>
            <w:hideMark/>
          </w:tcPr>
          <w:p w14:paraId="62E274EB" w14:textId="77777777" w:rsidR="005A7BB9" w:rsidRPr="005A7BB9" w:rsidRDefault="005A7BB9" w:rsidP="005A7BB9">
            <w:pPr>
              <w:jc w:val="cente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24</w:t>
            </w:r>
          </w:p>
        </w:tc>
        <w:tc>
          <w:tcPr>
            <w:tcW w:w="425" w:type="dxa"/>
            <w:tcBorders>
              <w:top w:val="nil"/>
              <w:left w:val="nil"/>
              <w:bottom w:val="single" w:sz="8" w:space="0" w:color="auto"/>
              <w:right w:val="single" w:sz="8" w:space="0" w:color="auto"/>
            </w:tcBorders>
            <w:shd w:val="clear" w:color="auto" w:fill="auto"/>
            <w:vAlign w:val="center"/>
            <w:hideMark/>
          </w:tcPr>
          <w:p w14:paraId="24AC45B2" w14:textId="77777777" w:rsidR="005A7BB9" w:rsidRPr="005A7BB9" w:rsidRDefault="005A7BB9" w:rsidP="005A7BB9">
            <w:pPr>
              <w:jc w:val="cente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1</w:t>
            </w:r>
          </w:p>
        </w:tc>
        <w:tc>
          <w:tcPr>
            <w:tcW w:w="3969" w:type="dxa"/>
            <w:tcBorders>
              <w:top w:val="nil"/>
              <w:left w:val="nil"/>
              <w:bottom w:val="single" w:sz="8" w:space="0" w:color="auto"/>
              <w:right w:val="single" w:sz="8" w:space="0" w:color="auto"/>
            </w:tcBorders>
            <w:shd w:val="clear" w:color="auto" w:fill="auto"/>
            <w:vAlign w:val="center"/>
            <w:hideMark/>
          </w:tcPr>
          <w:p w14:paraId="7FFA8DD5" w14:textId="77777777" w:rsidR="005A7BB9" w:rsidRPr="005A7BB9" w:rsidRDefault="005A7BB9" w:rsidP="005A7BB9">
            <w:pPr>
              <w:jc w:val="both"/>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Tasación</w:t>
            </w:r>
          </w:p>
        </w:tc>
        <w:tc>
          <w:tcPr>
            <w:tcW w:w="1836" w:type="dxa"/>
            <w:tcBorders>
              <w:top w:val="nil"/>
              <w:left w:val="nil"/>
              <w:bottom w:val="single" w:sz="8" w:space="0" w:color="auto"/>
              <w:right w:val="single" w:sz="8" w:space="0" w:color="auto"/>
            </w:tcBorders>
            <w:shd w:val="clear" w:color="auto" w:fill="auto"/>
            <w:vAlign w:val="center"/>
            <w:hideMark/>
          </w:tcPr>
          <w:p w14:paraId="549B160D" w14:textId="77777777" w:rsidR="00FA1001" w:rsidRDefault="005A7BB9" w:rsidP="005A7BB9">
            <w:pPr>
              <w:jc w:val="both"/>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NICSP N° 23,</w:t>
            </w:r>
          </w:p>
          <w:p w14:paraId="4A203238" w14:textId="5CA9DB32" w:rsidR="005A7BB9" w:rsidRPr="005A7BB9" w:rsidRDefault="005A7BB9" w:rsidP="005A7BB9">
            <w:pPr>
              <w:jc w:val="both"/>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Párrafo 97.</w:t>
            </w:r>
          </w:p>
        </w:tc>
        <w:tc>
          <w:tcPr>
            <w:tcW w:w="1874" w:type="dxa"/>
            <w:tcBorders>
              <w:top w:val="nil"/>
              <w:left w:val="nil"/>
              <w:bottom w:val="single" w:sz="8" w:space="0" w:color="auto"/>
              <w:right w:val="single" w:sz="8" w:space="0" w:color="auto"/>
            </w:tcBorders>
            <w:shd w:val="clear" w:color="auto" w:fill="auto"/>
            <w:vAlign w:val="center"/>
            <w:hideMark/>
          </w:tcPr>
          <w:p w14:paraId="50336256" w14:textId="77777777" w:rsidR="005A7BB9" w:rsidRPr="005A7BB9" w:rsidRDefault="005A7BB9" w:rsidP="005A7BB9">
            <w:pP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DGCN</w:t>
            </w:r>
          </w:p>
        </w:tc>
      </w:tr>
      <w:tr w:rsidR="005A7BB9" w:rsidRPr="005A7BB9" w14:paraId="3B4FEDC1" w14:textId="77777777" w:rsidTr="005F4668">
        <w:trPr>
          <w:gridAfter w:val="1"/>
          <w:wAfter w:w="15" w:type="dxa"/>
          <w:trHeight w:val="32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EB8C94E" w14:textId="77777777" w:rsidR="005A7BB9" w:rsidRPr="005A7BB9" w:rsidRDefault="005A7BB9" w:rsidP="005A7BB9">
            <w:pPr>
              <w:jc w:val="cente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4</w:t>
            </w:r>
          </w:p>
        </w:tc>
        <w:tc>
          <w:tcPr>
            <w:tcW w:w="709" w:type="dxa"/>
            <w:tcBorders>
              <w:top w:val="nil"/>
              <w:left w:val="nil"/>
              <w:bottom w:val="single" w:sz="8" w:space="0" w:color="auto"/>
              <w:right w:val="single" w:sz="8" w:space="0" w:color="auto"/>
            </w:tcBorders>
            <w:shd w:val="clear" w:color="auto" w:fill="auto"/>
            <w:noWrap/>
            <w:vAlign w:val="center"/>
            <w:hideMark/>
          </w:tcPr>
          <w:p w14:paraId="220F8CB4" w14:textId="77777777" w:rsidR="005A7BB9" w:rsidRPr="005A7BB9" w:rsidRDefault="005A7BB9" w:rsidP="005A7BB9">
            <w:pPr>
              <w:jc w:val="cente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24</w:t>
            </w:r>
          </w:p>
        </w:tc>
        <w:tc>
          <w:tcPr>
            <w:tcW w:w="425" w:type="dxa"/>
            <w:tcBorders>
              <w:top w:val="nil"/>
              <w:left w:val="nil"/>
              <w:bottom w:val="single" w:sz="8" w:space="0" w:color="auto"/>
              <w:right w:val="single" w:sz="8" w:space="0" w:color="auto"/>
            </w:tcBorders>
            <w:shd w:val="clear" w:color="auto" w:fill="auto"/>
            <w:vAlign w:val="center"/>
            <w:hideMark/>
          </w:tcPr>
          <w:p w14:paraId="4995A749" w14:textId="77777777" w:rsidR="005A7BB9" w:rsidRPr="005A7BB9" w:rsidRDefault="005A7BB9" w:rsidP="005A7BB9">
            <w:pPr>
              <w:jc w:val="cente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2</w:t>
            </w:r>
          </w:p>
        </w:tc>
        <w:tc>
          <w:tcPr>
            <w:tcW w:w="3969" w:type="dxa"/>
            <w:tcBorders>
              <w:top w:val="nil"/>
              <w:left w:val="nil"/>
              <w:bottom w:val="single" w:sz="8" w:space="0" w:color="auto"/>
              <w:right w:val="single" w:sz="8" w:space="0" w:color="auto"/>
            </w:tcBorders>
            <w:shd w:val="clear" w:color="auto" w:fill="auto"/>
            <w:vAlign w:val="center"/>
            <w:hideMark/>
          </w:tcPr>
          <w:p w14:paraId="0D3F89D1" w14:textId="77777777" w:rsidR="005A7BB9" w:rsidRPr="005A7BB9" w:rsidRDefault="005A7BB9" w:rsidP="005A7BB9">
            <w:pPr>
              <w:jc w:val="both"/>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Significatividad</w:t>
            </w:r>
          </w:p>
        </w:tc>
        <w:tc>
          <w:tcPr>
            <w:tcW w:w="1836" w:type="dxa"/>
            <w:tcBorders>
              <w:top w:val="nil"/>
              <w:left w:val="nil"/>
              <w:bottom w:val="single" w:sz="8" w:space="0" w:color="auto"/>
              <w:right w:val="single" w:sz="8" w:space="0" w:color="auto"/>
            </w:tcBorders>
            <w:shd w:val="clear" w:color="auto" w:fill="auto"/>
            <w:vAlign w:val="center"/>
            <w:hideMark/>
          </w:tcPr>
          <w:p w14:paraId="5996D8C9" w14:textId="77777777" w:rsidR="005A7BB9" w:rsidRPr="005A7BB9" w:rsidRDefault="005A7BB9" w:rsidP="005A7BB9">
            <w:pPr>
              <w:jc w:val="both"/>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 xml:space="preserve"> </w:t>
            </w:r>
          </w:p>
        </w:tc>
        <w:tc>
          <w:tcPr>
            <w:tcW w:w="1874" w:type="dxa"/>
            <w:tcBorders>
              <w:top w:val="nil"/>
              <w:left w:val="nil"/>
              <w:bottom w:val="single" w:sz="8" w:space="0" w:color="auto"/>
              <w:right w:val="single" w:sz="8" w:space="0" w:color="auto"/>
            </w:tcBorders>
            <w:shd w:val="clear" w:color="auto" w:fill="auto"/>
            <w:vAlign w:val="center"/>
            <w:hideMark/>
          </w:tcPr>
          <w:p w14:paraId="0B078A43" w14:textId="77777777" w:rsidR="005A7BB9" w:rsidRPr="005A7BB9" w:rsidRDefault="005A7BB9" w:rsidP="005A7BB9">
            <w:pPr>
              <w:rPr>
                <w:rFonts w:ascii="Arial Narrow" w:eastAsia="Times New Roman" w:hAnsi="Arial Narrow" w:cs="Calibri"/>
                <w:b/>
                <w:bCs/>
                <w:color w:val="000000"/>
                <w:sz w:val="22"/>
                <w:szCs w:val="22"/>
              </w:rPr>
            </w:pPr>
            <w:r w:rsidRPr="005A7BB9">
              <w:rPr>
                <w:rFonts w:ascii="Arial Narrow" w:eastAsia="Times New Roman" w:hAnsi="Arial Narrow" w:cs="Calibri"/>
                <w:b/>
                <w:bCs/>
                <w:color w:val="000000"/>
                <w:sz w:val="22"/>
                <w:szCs w:val="22"/>
              </w:rPr>
              <w:t>DGCN</w:t>
            </w:r>
          </w:p>
        </w:tc>
      </w:tr>
    </w:tbl>
    <w:p w14:paraId="769BC4CE" w14:textId="77777777" w:rsidR="0097644C" w:rsidRDefault="0097644C" w:rsidP="005F4668">
      <w:pPr>
        <w:pStyle w:val="Default"/>
        <w:ind w:right="261"/>
        <w:jc w:val="both"/>
        <w:rPr>
          <w:sz w:val="22"/>
          <w:szCs w:val="22"/>
          <w:lang w:val="es-CR"/>
        </w:rPr>
      </w:pPr>
    </w:p>
    <w:p w14:paraId="2ACE1972" w14:textId="3FB30634" w:rsidR="005F4668" w:rsidRDefault="005F4668" w:rsidP="005F4668">
      <w:pPr>
        <w:pStyle w:val="Default"/>
        <w:ind w:right="261"/>
        <w:jc w:val="both"/>
        <w:rPr>
          <w:rFonts w:eastAsia="Arial"/>
          <w:b/>
          <w:sz w:val="22"/>
          <w:szCs w:val="22"/>
        </w:rPr>
      </w:pPr>
      <w:r w:rsidRPr="00F02F9D">
        <w:rPr>
          <w:rFonts w:eastAsia="Arial"/>
          <w:b/>
          <w:sz w:val="22"/>
          <w:szCs w:val="22"/>
        </w:rPr>
        <w:t>Políticas Contables</w:t>
      </w:r>
    </w:p>
    <w:p w14:paraId="6F704CB0" w14:textId="77777777" w:rsidR="005F4668" w:rsidRDefault="005F4668" w:rsidP="005F4668">
      <w:pPr>
        <w:pStyle w:val="Default"/>
        <w:ind w:right="261"/>
        <w:jc w:val="both"/>
        <w:rPr>
          <w:sz w:val="22"/>
          <w:szCs w:val="22"/>
          <w:lang w:val="es-CR"/>
        </w:rPr>
      </w:pPr>
    </w:p>
    <w:p w14:paraId="406EB288" w14:textId="11070AD9" w:rsidR="005A7BB9" w:rsidRPr="005A7BB9" w:rsidRDefault="005A7BB9" w:rsidP="005A7BB9">
      <w:pPr>
        <w:pStyle w:val="Default"/>
        <w:ind w:left="1134" w:hanging="1134"/>
        <w:jc w:val="both"/>
        <w:rPr>
          <w:sz w:val="22"/>
          <w:szCs w:val="22"/>
          <w:lang w:val="es-CR"/>
        </w:rPr>
      </w:pPr>
      <w:r>
        <w:rPr>
          <w:sz w:val="22"/>
          <w:szCs w:val="22"/>
          <w:lang w:val="es-CR"/>
        </w:rPr>
        <w:t>4.24.0.01</w:t>
      </w:r>
      <w:r>
        <w:rPr>
          <w:sz w:val="22"/>
          <w:szCs w:val="22"/>
          <w:lang w:val="es-CR"/>
        </w:rPr>
        <w:tab/>
      </w:r>
      <w:r w:rsidRPr="005A7BB9">
        <w:rPr>
          <w:sz w:val="22"/>
          <w:szCs w:val="22"/>
          <w:lang w:val="es-CR"/>
        </w:rPr>
        <w:t>En el momento del reconocimiento inicial, los regalos y donaciones se miden por su valor razonable a la fecha de adquisición, pudiendo ser determinado con referencia a un mercado activ</w:t>
      </w:r>
      <w:r w:rsidR="00547734">
        <w:rPr>
          <w:sz w:val="22"/>
          <w:szCs w:val="22"/>
          <w:lang w:val="es-CR"/>
        </w:rPr>
        <w:t>o</w:t>
      </w:r>
      <w:r w:rsidRPr="005A7BB9">
        <w:rPr>
          <w:sz w:val="22"/>
          <w:szCs w:val="22"/>
          <w:lang w:val="es-CR"/>
        </w:rPr>
        <w:t xml:space="preserve">, o mediante tasación. </w:t>
      </w:r>
    </w:p>
    <w:p w14:paraId="71C3D9A1" w14:textId="26A5DD61" w:rsidR="005A7BB9" w:rsidRPr="005A7BB9" w:rsidRDefault="005A7BB9" w:rsidP="005A7BB9">
      <w:pPr>
        <w:pStyle w:val="Default"/>
        <w:jc w:val="both"/>
        <w:rPr>
          <w:sz w:val="22"/>
          <w:szCs w:val="22"/>
          <w:lang w:val="es-CR"/>
        </w:rPr>
      </w:pPr>
      <w:r w:rsidRPr="005A7BB9">
        <w:rPr>
          <w:b/>
          <w:bCs/>
          <w:sz w:val="22"/>
          <w:szCs w:val="22"/>
          <w:lang w:val="es-CR"/>
        </w:rPr>
        <w:t xml:space="preserve"> </w:t>
      </w:r>
    </w:p>
    <w:p w14:paraId="0180E79C" w14:textId="1AB79E7E" w:rsidR="005A7BB9" w:rsidRPr="005A7BB9" w:rsidRDefault="005A7BB9" w:rsidP="005A7BB9">
      <w:pPr>
        <w:pStyle w:val="Default"/>
        <w:ind w:left="1134" w:hanging="1134"/>
        <w:jc w:val="both"/>
        <w:rPr>
          <w:sz w:val="22"/>
          <w:szCs w:val="22"/>
          <w:lang w:val="es-CR"/>
        </w:rPr>
      </w:pPr>
      <w:r>
        <w:rPr>
          <w:sz w:val="22"/>
          <w:szCs w:val="22"/>
          <w:lang w:val="es-CR"/>
        </w:rPr>
        <w:t>4.24.</w:t>
      </w:r>
      <w:r w:rsidRPr="005A7BB9">
        <w:rPr>
          <w:sz w:val="22"/>
          <w:szCs w:val="22"/>
          <w:lang w:val="es-CR"/>
        </w:rPr>
        <w:t>1.</w:t>
      </w:r>
      <w:r>
        <w:rPr>
          <w:sz w:val="22"/>
          <w:szCs w:val="22"/>
          <w:lang w:val="es-CR"/>
        </w:rPr>
        <w:t>01</w:t>
      </w:r>
      <w:r>
        <w:rPr>
          <w:sz w:val="22"/>
          <w:szCs w:val="22"/>
          <w:lang w:val="es-CR"/>
        </w:rPr>
        <w:tab/>
      </w:r>
      <w:r w:rsidRPr="005A7BB9">
        <w:rPr>
          <w:sz w:val="22"/>
          <w:szCs w:val="22"/>
          <w:lang w:val="es-CR"/>
        </w:rPr>
        <w:t xml:space="preserve">Una tasación del valor de un activo normalmente es ejecutada por un </w:t>
      </w:r>
      <w:r w:rsidR="005907B3" w:rsidRPr="005A7BB9">
        <w:rPr>
          <w:sz w:val="22"/>
          <w:szCs w:val="22"/>
          <w:lang w:val="es-CR"/>
        </w:rPr>
        <w:t>mie</w:t>
      </w:r>
      <w:r w:rsidR="005907B3">
        <w:rPr>
          <w:sz w:val="22"/>
          <w:szCs w:val="22"/>
          <w:lang w:val="es-CR"/>
        </w:rPr>
        <w:t>mbr</w:t>
      </w:r>
      <w:r w:rsidR="005907B3" w:rsidRPr="005A7BB9">
        <w:rPr>
          <w:sz w:val="22"/>
          <w:szCs w:val="22"/>
          <w:lang w:val="es-CR"/>
        </w:rPr>
        <w:t>o</w:t>
      </w:r>
      <w:r w:rsidRPr="005A7BB9">
        <w:rPr>
          <w:sz w:val="22"/>
          <w:szCs w:val="22"/>
          <w:lang w:val="es-CR"/>
        </w:rPr>
        <w:t xml:space="preserve"> de dicha profesión (tasador) de reconocida calificación profesional y deberá seguir los criterios establecidos para las tasaciones estipuladas en el apartado “Propiedades, planta y equipo” del Capítulo “Activos” del presente PGCN. </w:t>
      </w:r>
    </w:p>
    <w:p w14:paraId="4941F15C" w14:textId="77777777" w:rsidR="005A7BB9" w:rsidRPr="005A7BB9" w:rsidRDefault="005A7BB9" w:rsidP="005A7BB9">
      <w:pPr>
        <w:pStyle w:val="Default"/>
        <w:jc w:val="both"/>
        <w:rPr>
          <w:sz w:val="22"/>
          <w:szCs w:val="22"/>
          <w:lang w:val="es-CR"/>
        </w:rPr>
      </w:pPr>
    </w:p>
    <w:p w14:paraId="01D53E47" w14:textId="05E6300D" w:rsidR="005A7BB9" w:rsidRPr="005A7BB9" w:rsidRDefault="005A7BB9" w:rsidP="005A7BB9">
      <w:pPr>
        <w:pStyle w:val="Default"/>
        <w:ind w:left="1134" w:hanging="1134"/>
        <w:jc w:val="both"/>
        <w:rPr>
          <w:sz w:val="22"/>
          <w:szCs w:val="22"/>
          <w:lang w:val="es-CR"/>
        </w:rPr>
      </w:pPr>
      <w:r>
        <w:rPr>
          <w:sz w:val="22"/>
          <w:szCs w:val="22"/>
          <w:lang w:val="es-CR"/>
        </w:rPr>
        <w:t>4.</w:t>
      </w:r>
      <w:r w:rsidRPr="005A7BB9">
        <w:rPr>
          <w:sz w:val="22"/>
          <w:szCs w:val="22"/>
          <w:lang w:val="es-CR"/>
        </w:rPr>
        <w:t>2</w:t>
      </w:r>
      <w:r>
        <w:rPr>
          <w:sz w:val="22"/>
          <w:szCs w:val="22"/>
          <w:lang w:val="es-CR"/>
        </w:rPr>
        <w:t>4</w:t>
      </w:r>
      <w:r w:rsidRPr="005A7BB9">
        <w:rPr>
          <w:sz w:val="22"/>
          <w:szCs w:val="22"/>
          <w:lang w:val="es-CR"/>
        </w:rPr>
        <w:t>.</w:t>
      </w:r>
      <w:r>
        <w:rPr>
          <w:sz w:val="22"/>
          <w:szCs w:val="22"/>
          <w:lang w:val="es-CR"/>
        </w:rPr>
        <w:t>2.01</w:t>
      </w:r>
      <w:r>
        <w:rPr>
          <w:sz w:val="22"/>
          <w:szCs w:val="22"/>
          <w:lang w:val="es-CR"/>
        </w:rPr>
        <w:tab/>
      </w:r>
      <w:r w:rsidRPr="005A7BB9">
        <w:rPr>
          <w:sz w:val="22"/>
          <w:szCs w:val="22"/>
          <w:lang w:val="es-CR"/>
        </w:rPr>
        <w:t xml:space="preserve">Las tasaciones se aplicarán a aquellos bienes que, individualmente o en conjunto, tengan un valor significativo. </w:t>
      </w:r>
    </w:p>
    <w:p w14:paraId="574A6D46" w14:textId="77777777" w:rsidR="0097644C" w:rsidRDefault="0097644C" w:rsidP="00B942C1">
      <w:pPr>
        <w:pStyle w:val="Default"/>
        <w:ind w:right="261"/>
        <w:jc w:val="both"/>
        <w:rPr>
          <w:sz w:val="22"/>
          <w:szCs w:val="22"/>
          <w:lang w:val="es-CR"/>
        </w:rPr>
      </w:pPr>
    </w:p>
    <w:p w14:paraId="302F40D6" w14:textId="77777777" w:rsidR="00B942C1" w:rsidRDefault="00B942C1" w:rsidP="002A638A">
      <w:pPr>
        <w:pStyle w:val="Default"/>
        <w:spacing w:after="120" w:line="238" w:lineRule="auto"/>
        <w:ind w:right="260"/>
        <w:jc w:val="both"/>
        <w:rPr>
          <w:sz w:val="22"/>
          <w:szCs w:val="22"/>
          <w:lang w:val="es-CR"/>
        </w:rPr>
      </w:pPr>
    </w:p>
    <w:tbl>
      <w:tblPr>
        <w:tblW w:w="9346" w:type="dxa"/>
        <w:tblLook w:val="04A0" w:firstRow="1" w:lastRow="0" w:firstColumn="1" w:lastColumn="0" w:noHBand="0" w:noVBand="1"/>
      </w:tblPr>
      <w:tblGrid>
        <w:gridCol w:w="536"/>
        <w:gridCol w:w="706"/>
        <w:gridCol w:w="517"/>
        <w:gridCol w:w="3476"/>
        <w:gridCol w:w="2164"/>
        <w:gridCol w:w="1947"/>
      </w:tblGrid>
      <w:tr w:rsidR="00B9050D" w:rsidRPr="00B9050D" w14:paraId="693F60E0" w14:textId="77777777" w:rsidTr="005F4668">
        <w:trPr>
          <w:trHeight w:val="320"/>
        </w:trPr>
        <w:tc>
          <w:tcPr>
            <w:tcW w:w="17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B1C11B0" w14:textId="77777777" w:rsidR="00B9050D" w:rsidRPr="00B9050D" w:rsidRDefault="00B9050D" w:rsidP="00B9050D">
            <w:pPr>
              <w:jc w:val="center"/>
              <w:rPr>
                <w:rFonts w:ascii="Arial Narrow" w:eastAsia="Times New Roman" w:hAnsi="Arial Narrow" w:cs="Calibri"/>
                <w:b/>
                <w:bCs/>
                <w:color w:val="FFFFFF"/>
                <w:sz w:val="22"/>
                <w:szCs w:val="22"/>
              </w:rPr>
            </w:pPr>
            <w:r w:rsidRPr="00B9050D">
              <w:rPr>
                <w:rFonts w:ascii="Arial Narrow" w:eastAsia="Times New Roman" w:hAnsi="Arial Narrow" w:cs="Calibri"/>
                <w:b/>
                <w:bCs/>
                <w:color w:val="FFFFFF"/>
                <w:sz w:val="22"/>
                <w:szCs w:val="22"/>
              </w:rPr>
              <w:t>Norma / Política</w:t>
            </w:r>
          </w:p>
        </w:tc>
        <w:tc>
          <w:tcPr>
            <w:tcW w:w="3476" w:type="dxa"/>
            <w:vMerge w:val="restart"/>
            <w:tcBorders>
              <w:top w:val="nil"/>
              <w:left w:val="single" w:sz="8" w:space="0" w:color="auto"/>
              <w:bottom w:val="nil"/>
              <w:right w:val="single" w:sz="8" w:space="0" w:color="auto"/>
            </w:tcBorders>
            <w:shd w:val="clear" w:color="000000" w:fill="203764"/>
            <w:vAlign w:val="center"/>
            <w:hideMark/>
          </w:tcPr>
          <w:p w14:paraId="3EDF5312" w14:textId="77777777" w:rsidR="00B9050D" w:rsidRPr="00B9050D" w:rsidRDefault="00B9050D" w:rsidP="00B9050D">
            <w:pPr>
              <w:jc w:val="center"/>
              <w:rPr>
                <w:rFonts w:ascii="Arial Narrow" w:eastAsia="Times New Roman" w:hAnsi="Arial Narrow" w:cs="Calibri"/>
                <w:b/>
                <w:bCs/>
                <w:color w:val="FFFFFF"/>
                <w:sz w:val="22"/>
                <w:szCs w:val="22"/>
              </w:rPr>
            </w:pPr>
            <w:r w:rsidRPr="00B9050D">
              <w:rPr>
                <w:rFonts w:ascii="Arial Narrow" w:eastAsia="Times New Roman" w:hAnsi="Arial Narrow" w:cs="Calibri"/>
                <w:b/>
                <w:bCs/>
                <w:color w:val="FFFFFF"/>
                <w:sz w:val="22"/>
                <w:szCs w:val="22"/>
              </w:rPr>
              <w:t>Concepto</w:t>
            </w:r>
          </w:p>
        </w:tc>
        <w:tc>
          <w:tcPr>
            <w:tcW w:w="4111" w:type="dxa"/>
            <w:gridSpan w:val="2"/>
            <w:tcBorders>
              <w:top w:val="nil"/>
              <w:left w:val="nil"/>
              <w:bottom w:val="single" w:sz="8" w:space="0" w:color="auto"/>
              <w:right w:val="single" w:sz="8" w:space="0" w:color="000000"/>
            </w:tcBorders>
            <w:shd w:val="clear" w:color="000000" w:fill="203764"/>
            <w:vAlign w:val="center"/>
            <w:hideMark/>
          </w:tcPr>
          <w:p w14:paraId="1882B3FB" w14:textId="77777777" w:rsidR="00B9050D" w:rsidRPr="00B9050D" w:rsidRDefault="00B9050D" w:rsidP="00B9050D">
            <w:pPr>
              <w:jc w:val="center"/>
              <w:rPr>
                <w:rFonts w:ascii="Arial Narrow" w:eastAsia="Times New Roman" w:hAnsi="Arial Narrow" w:cs="Calibri"/>
                <w:b/>
                <w:bCs/>
                <w:color w:val="FFFFFF"/>
                <w:sz w:val="22"/>
                <w:szCs w:val="22"/>
              </w:rPr>
            </w:pPr>
            <w:r w:rsidRPr="00B9050D">
              <w:rPr>
                <w:rFonts w:ascii="Arial Narrow" w:eastAsia="Times New Roman" w:hAnsi="Arial Narrow" w:cs="Calibri"/>
                <w:b/>
                <w:bCs/>
                <w:color w:val="FFFFFF"/>
                <w:sz w:val="22"/>
                <w:szCs w:val="22"/>
              </w:rPr>
              <w:t>Referencia</w:t>
            </w:r>
          </w:p>
        </w:tc>
      </w:tr>
      <w:tr w:rsidR="00B9050D" w:rsidRPr="006E5442" w14:paraId="18633DD4" w14:textId="77777777" w:rsidTr="005F4668">
        <w:trPr>
          <w:trHeight w:val="850"/>
        </w:trPr>
        <w:tc>
          <w:tcPr>
            <w:tcW w:w="1759" w:type="dxa"/>
            <w:gridSpan w:val="3"/>
            <w:vMerge/>
            <w:tcBorders>
              <w:top w:val="single" w:sz="8" w:space="0" w:color="auto"/>
              <w:left w:val="single" w:sz="8" w:space="0" w:color="auto"/>
              <w:bottom w:val="nil"/>
              <w:right w:val="single" w:sz="8" w:space="0" w:color="000000"/>
            </w:tcBorders>
            <w:vAlign w:val="center"/>
            <w:hideMark/>
          </w:tcPr>
          <w:p w14:paraId="3F745029" w14:textId="77777777" w:rsidR="00B9050D" w:rsidRPr="00B9050D" w:rsidRDefault="00B9050D" w:rsidP="00B9050D">
            <w:pPr>
              <w:rPr>
                <w:rFonts w:ascii="Arial Narrow" w:eastAsia="Times New Roman" w:hAnsi="Arial Narrow" w:cs="Calibri"/>
                <w:b/>
                <w:bCs/>
                <w:color w:val="FFFFFF"/>
                <w:sz w:val="22"/>
                <w:szCs w:val="22"/>
              </w:rPr>
            </w:pPr>
          </w:p>
        </w:tc>
        <w:tc>
          <w:tcPr>
            <w:tcW w:w="3476" w:type="dxa"/>
            <w:vMerge/>
            <w:tcBorders>
              <w:top w:val="nil"/>
              <w:left w:val="single" w:sz="8" w:space="0" w:color="auto"/>
              <w:bottom w:val="nil"/>
              <w:right w:val="single" w:sz="8" w:space="0" w:color="auto"/>
            </w:tcBorders>
            <w:vAlign w:val="center"/>
            <w:hideMark/>
          </w:tcPr>
          <w:p w14:paraId="6C34061D" w14:textId="77777777" w:rsidR="00B9050D" w:rsidRPr="00B9050D" w:rsidRDefault="00B9050D" w:rsidP="00B9050D">
            <w:pPr>
              <w:rPr>
                <w:rFonts w:ascii="Arial Narrow" w:eastAsia="Times New Roman" w:hAnsi="Arial Narrow" w:cs="Calibri"/>
                <w:b/>
                <w:bCs/>
                <w:color w:val="FFFFFF"/>
                <w:sz w:val="22"/>
                <w:szCs w:val="22"/>
              </w:rPr>
            </w:pPr>
          </w:p>
        </w:tc>
        <w:tc>
          <w:tcPr>
            <w:tcW w:w="2164" w:type="dxa"/>
            <w:tcBorders>
              <w:top w:val="nil"/>
              <w:left w:val="nil"/>
              <w:bottom w:val="nil"/>
              <w:right w:val="single" w:sz="8" w:space="0" w:color="auto"/>
            </w:tcBorders>
            <w:shd w:val="clear" w:color="000000" w:fill="203764"/>
            <w:vAlign w:val="center"/>
            <w:hideMark/>
          </w:tcPr>
          <w:p w14:paraId="22DB82D8" w14:textId="77777777" w:rsidR="00B9050D" w:rsidRPr="00B9050D" w:rsidRDefault="00B9050D" w:rsidP="00B9050D">
            <w:pPr>
              <w:jc w:val="center"/>
              <w:rPr>
                <w:rFonts w:ascii="Arial Narrow" w:eastAsia="Times New Roman" w:hAnsi="Arial Narrow" w:cs="Calibri"/>
                <w:b/>
                <w:bCs/>
                <w:color w:val="FFFFFF"/>
                <w:sz w:val="22"/>
                <w:szCs w:val="22"/>
              </w:rPr>
            </w:pPr>
            <w:r w:rsidRPr="00B9050D">
              <w:rPr>
                <w:rFonts w:ascii="Arial Narrow" w:eastAsia="Times New Roman" w:hAnsi="Arial Narrow" w:cs="Calibri"/>
                <w:b/>
                <w:bCs/>
                <w:color w:val="FFFFFF"/>
                <w:sz w:val="22"/>
                <w:szCs w:val="22"/>
              </w:rPr>
              <w:t>Norma</w:t>
            </w:r>
          </w:p>
        </w:tc>
        <w:tc>
          <w:tcPr>
            <w:tcW w:w="1947" w:type="dxa"/>
            <w:tcBorders>
              <w:top w:val="nil"/>
              <w:left w:val="nil"/>
              <w:bottom w:val="nil"/>
              <w:right w:val="single" w:sz="8" w:space="0" w:color="auto"/>
            </w:tcBorders>
            <w:shd w:val="clear" w:color="000000" w:fill="203764"/>
            <w:vAlign w:val="center"/>
            <w:hideMark/>
          </w:tcPr>
          <w:p w14:paraId="5A375921" w14:textId="77777777" w:rsidR="00B9050D" w:rsidRPr="00B9050D" w:rsidRDefault="00B9050D" w:rsidP="00B9050D">
            <w:pPr>
              <w:jc w:val="center"/>
              <w:rPr>
                <w:rFonts w:ascii="Arial Narrow" w:eastAsia="Times New Roman" w:hAnsi="Arial Narrow" w:cs="Calibri"/>
                <w:b/>
                <w:bCs/>
                <w:color w:val="FFFFFF"/>
                <w:sz w:val="22"/>
                <w:szCs w:val="22"/>
                <w:lang w:val="es-CR"/>
              </w:rPr>
            </w:pPr>
            <w:r w:rsidRPr="00B9050D">
              <w:rPr>
                <w:rFonts w:ascii="Arial Narrow" w:eastAsia="Times New Roman" w:hAnsi="Arial Narrow" w:cs="Calibri"/>
                <w:b/>
                <w:bCs/>
                <w:color w:val="FFFFFF"/>
                <w:sz w:val="22"/>
                <w:szCs w:val="22"/>
                <w:lang w:val="es-CR"/>
              </w:rPr>
              <w:t>Normativa técnica y disposiciones adicionales</w:t>
            </w:r>
          </w:p>
        </w:tc>
      </w:tr>
      <w:tr w:rsidR="00B9050D" w:rsidRPr="00B9050D" w14:paraId="2FFAFD4F" w14:textId="77777777" w:rsidTr="005F4668">
        <w:trPr>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47A4A4" w14:textId="77777777" w:rsidR="00B9050D" w:rsidRPr="00B9050D" w:rsidRDefault="00B9050D" w:rsidP="005F4668">
            <w:pPr>
              <w:jc w:val="center"/>
              <w:rPr>
                <w:rFonts w:ascii="Arial Narrow" w:eastAsia="Times New Roman" w:hAnsi="Arial Narrow"/>
                <w:b/>
                <w:bCs/>
                <w:color w:val="000000"/>
                <w:sz w:val="22"/>
                <w:szCs w:val="22"/>
              </w:rPr>
            </w:pPr>
            <w:r w:rsidRPr="00B9050D">
              <w:rPr>
                <w:rFonts w:ascii="Arial Narrow" w:eastAsia="Times New Roman" w:hAnsi="Arial Narrow"/>
                <w:b/>
                <w:bCs/>
                <w:color w:val="000000"/>
                <w:sz w:val="22"/>
                <w:szCs w:val="22"/>
              </w:rPr>
              <w:t>4</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0183EB05" w14:textId="77777777" w:rsidR="00B9050D" w:rsidRPr="00B9050D" w:rsidRDefault="00B9050D" w:rsidP="005F4668">
            <w:pPr>
              <w:jc w:val="center"/>
              <w:rPr>
                <w:rFonts w:ascii="Arial Narrow" w:eastAsia="Times New Roman" w:hAnsi="Arial Narrow"/>
                <w:b/>
                <w:bCs/>
                <w:color w:val="000000"/>
                <w:sz w:val="22"/>
                <w:szCs w:val="22"/>
              </w:rPr>
            </w:pPr>
            <w:r w:rsidRPr="00B9050D">
              <w:rPr>
                <w:rFonts w:ascii="Arial Narrow" w:eastAsia="Times New Roman" w:hAnsi="Arial Narrow"/>
                <w:b/>
                <w:bCs/>
                <w:color w:val="000000"/>
                <w:sz w:val="22"/>
                <w:szCs w:val="22"/>
              </w:rPr>
              <w:t>25</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3CDBBE36" w14:textId="190AE019" w:rsidR="00B9050D" w:rsidRPr="00B9050D" w:rsidRDefault="00B9050D" w:rsidP="005F4668">
            <w:pPr>
              <w:jc w:val="center"/>
              <w:rPr>
                <w:rFonts w:ascii="Arial Narrow" w:eastAsia="Times New Roman" w:hAnsi="Arial Narrow" w:cs="Calibri"/>
                <w:b/>
                <w:bCs/>
                <w:color w:val="000000"/>
                <w:sz w:val="22"/>
                <w:szCs w:val="22"/>
              </w:rPr>
            </w:pPr>
          </w:p>
        </w:tc>
        <w:tc>
          <w:tcPr>
            <w:tcW w:w="3476" w:type="dxa"/>
            <w:tcBorders>
              <w:top w:val="single" w:sz="8" w:space="0" w:color="auto"/>
              <w:left w:val="nil"/>
              <w:bottom w:val="single" w:sz="8" w:space="0" w:color="auto"/>
              <w:right w:val="single" w:sz="8" w:space="0" w:color="auto"/>
            </w:tcBorders>
            <w:shd w:val="clear" w:color="auto" w:fill="auto"/>
            <w:vAlign w:val="center"/>
            <w:hideMark/>
          </w:tcPr>
          <w:p w14:paraId="551CFB94" w14:textId="77777777" w:rsidR="00B9050D" w:rsidRPr="00B9050D" w:rsidRDefault="00B9050D" w:rsidP="00B9050D">
            <w:pPr>
              <w:rPr>
                <w:rFonts w:ascii="Arial Narrow" w:eastAsia="Times New Roman" w:hAnsi="Arial Narrow"/>
                <w:b/>
                <w:bCs/>
                <w:color w:val="000000"/>
                <w:sz w:val="22"/>
                <w:szCs w:val="22"/>
              </w:rPr>
            </w:pPr>
            <w:r w:rsidRPr="00B9050D">
              <w:rPr>
                <w:rFonts w:ascii="Arial Narrow" w:eastAsia="Times New Roman" w:hAnsi="Arial Narrow"/>
                <w:b/>
                <w:bCs/>
                <w:color w:val="000000"/>
                <w:sz w:val="22"/>
                <w:szCs w:val="22"/>
              </w:rPr>
              <w:t>Servicios en especie</w:t>
            </w:r>
          </w:p>
        </w:tc>
        <w:tc>
          <w:tcPr>
            <w:tcW w:w="2164" w:type="dxa"/>
            <w:tcBorders>
              <w:top w:val="single" w:sz="8" w:space="0" w:color="auto"/>
              <w:left w:val="nil"/>
              <w:bottom w:val="single" w:sz="8" w:space="0" w:color="auto"/>
              <w:right w:val="single" w:sz="8" w:space="0" w:color="auto"/>
            </w:tcBorders>
            <w:shd w:val="clear" w:color="auto" w:fill="auto"/>
            <w:vAlign w:val="center"/>
            <w:hideMark/>
          </w:tcPr>
          <w:p w14:paraId="53EC3987" w14:textId="77777777" w:rsidR="00B9050D" w:rsidRPr="00B9050D" w:rsidRDefault="00B9050D" w:rsidP="00B9050D">
            <w:pP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NICSP N° 23,</w:t>
            </w:r>
            <w:r w:rsidRPr="00B9050D">
              <w:rPr>
                <w:rFonts w:ascii="Arial Narrow" w:eastAsia="Times New Roman" w:hAnsi="Arial Narrow" w:cs="Calibri"/>
                <w:b/>
                <w:bCs/>
                <w:color w:val="000000"/>
                <w:sz w:val="22"/>
                <w:szCs w:val="22"/>
              </w:rPr>
              <w:br/>
              <w:t>Párrafo 100.</w:t>
            </w:r>
          </w:p>
        </w:tc>
        <w:tc>
          <w:tcPr>
            <w:tcW w:w="1947" w:type="dxa"/>
            <w:tcBorders>
              <w:top w:val="single" w:sz="8" w:space="0" w:color="auto"/>
              <w:left w:val="nil"/>
              <w:bottom w:val="single" w:sz="8" w:space="0" w:color="auto"/>
              <w:right w:val="single" w:sz="8" w:space="0" w:color="auto"/>
            </w:tcBorders>
            <w:shd w:val="clear" w:color="auto" w:fill="auto"/>
            <w:vAlign w:val="center"/>
            <w:hideMark/>
          </w:tcPr>
          <w:p w14:paraId="2867C4F0" w14:textId="77777777" w:rsidR="00B9050D" w:rsidRPr="00B9050D" w:rsidRDefault="00B9050D" w:rsidP="00B9050D">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 xml:space="preserve"> </w:t>
            </w:r>
          </w:p>
        </w:tc>
      </w:tr>
      <w:tr w:rsidR="00B9050D" w:rsidRPr="00B9050D" w14:paraId="2F490CC6" w14:textId="77777777" w:rsidTr="005F4668">
        <w:trPr>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4AD49C89" w14:textId="77777777" w:rsidR="00B9050D" w:rsidRPr="00B9050D" w:rsidRDefault="00B9050D" w:rsidP="005F4668">
            <w:pPr>
              <w:jc w:val="center"/>
              <w:rPr>
                <w:rFonts w:ascii="Arial Narrow" w:eastAsia="Times New Roman" w:hAnsi="Arial Narrow"/>
                <w:b/>
                <w:bCs/>
                <w:color w:val="000000"/>
                <w:sz w:val="22"/>
                <w:szCs w:val="22"/>
              </w:rPr>
            </w:pPr>
            <w:r w:rsidRPr="00B9050D">
              <w:rPr>
                <w:rFonts w:ascii="Arial Narrow" w:eastAsia="Times New Roman" w:hAnsi="Arial Narrow"/>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59860FA1" w14:textId="77777777" w:rsidR="00B9050D" w:rsidRPr="00B9050D" w:rsidRDefault="00B9050D" w:rsidP="005F4668">
            <w:pPr>
              <w:jc w:val="center"/>
              <w:rPr>
                <w:rFonts w:ascii="Arial Narrow" w:eastAsia="Times New Roman" w:hAnsi="Arial Narrow"/>
                <w:b/>
                <w:bCs/>
                <w:color w:val="000000"/>
                <w:sz w:val="22"/>
                <w:szCs w:val="22"/>
              </w:rPr>
            </w:pPr>
            <w:r w:rsidRPr="00B9050D">
              <w:rPr>
                <w:rFonts w:ascii="Arial Narrow" w:eastAsia="Times New Roman" w:hAnsi="Arial Narrow"/>
                <w:b/>
                <w:bCs/>
                <w:color w:val="000000"/>
                <w:sz w:val="22"/>
                <w:szCs w:val="22"/>
              </w:rPr>
              <w:t>25</w:t>
            </w:r>
          </w:p>
        </w:tc>
        <w:tc>
          <w:tcPr>
            <w:tcW w:w="517" w:type="dxa"/>
            <w:tcBorders>
              <w:top w:val="nil"/>
              <w:left w:val="nil"/>
              <w:bottom w:val="single" w:sz="8" w:space="0" w:color="auto"/>
              <w:right w:val="nil"/>
            </w:tcBorders>
            <w:shd w:val="clear" w:color="auto" w:fill="auto"/>
            <w:vAlign w:val="center"/>
            <w:hideMark/>
          </w:tcPr>
          <w:p w14:paraId="071287DB"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1</w:t>
            </w:r>
          </w:p>
        </w:tc>
        <w:tc>
          <w:tcPr>
            <w:tcW w:w="3476" w:type="dxa"/>
            <w:tcBorders>
              <w:top w:val="nil"/>
              <w:left w:val="single" w:sz="8" w:space="0" w:color="auto"/>
              <w:bottom w:val="single" w:sz="8" w:space="0" w:color="auto"/>
              <w:right w:val="single" w:sz="8" w:space="0" w:color="auto"/>
            </w:tcBorders>
            <w:shd w:val="clear" w:color="auto" w:fill="auto"/>
            <w:vAlign w:val="center"/>
            <w:hideMark/>
          </w:tcPr>
          <w:p w14:paraId="6CF29367" w14:textId="77777777" w:rsidR="00B9050D" w:rsidRPr="00B9050D" w:rsidRDefault="00B9050D" w:rsidP="00B9050D">
            <w:pPr>
              <w:rPr>
                <w:rFonts w:ascii="Arial Narrow" w:eastAsia="Times New Roman" w:hAnsi="Arial Narrow"/>
                <w:b/>
                <w:bCs/>
                <w:color w:val="000000"/>
                <w:sz w:val="22"/>
                <w:szCs w:val="22"/>
              </w:rPr>
            </w:pPr>
            <w:r w:rsidRPr="00B9050D">
              <w:rPr>
                <w:rFonts w:ascii="Arial Narrow" w:eastAsia="Times New Roman" w:hAnsi="Arial Narrow"/>
                <w:b/>
                <w:bCs/>
                <w:color w:val="000000"/>
                <w:sz w:val="22"/>
                <w:szCs w:val="22"/>
              </w:rPr>
              <w:t>Condiciones para su reconocimiento</w:t>
            </w:r>
          </w:p>
        </w:tc>
        <w:tc>
          <w:tcPr>
            <w:tcW w:w="2164" w:type="dxa"/>
            <w:tcBorders>
              <w:top w:val="nil"/>
              <w:left w:val="nil"/>
              <w:bottom w:val="single" w:sz="8" w:space="0" w:color="auto"/>
              <w:right w:val="single" w:sz="8" w:space="0" w:color="auto"/>
            </w:tcBorders>
            <w:shd w:val="clear" w:color="auto" w:fill="auto"/>
            <w:vAlign w:val="center"/>
            <w:hideMark/>
          </w:tcPr>
          <w:p w14:paraId="310DD51F" w14:textId="77777777" w:rsidR="00B9050D" w:rsidRPr="00B9050D" w:rsidRDefault="00B9050D" w:rsidP="00B9050D">
            <w:pP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NICSP N° 23,</w:t>
            </w:r>
            <w:r w:rsidRPr="00B9050D">
              <w:rPr>
                <w:rFonts w:ascii="Arial Narrow" w:eastAsia="Times New Roman" w:hAnsi="Arial Narrow" w:cs="Calibri"/>
                <w:b/>
                <w:bCs/>
                <w:color w:val="000000"/>
                <w:sz w:val="22"/>
                <w:szCs w:val="22"/>
              </w:rPr>
              <w:br/>
              <w:t>Párrafos 98, 99 y 101.</w:t>
            </w:r>
          </w:p>
        </w:tc>
        <w:tc>
          <w:tcPr>
            <w:tcW w:w="1947" w:type="dxa"/>
            <w:tcBorders>
              <w:top w:val="nil"/>
              <w:left w:val="nil"/>
              <w:bottom w:val="single" w:sz="8" w:space="0" w:color="auto"/>
              <w:right w:val="single" w:sz="8" w:space="0" w:color="auto"/>
            </w:tcBorders>
            <w:shd w:val="clear" w:color="auto" w:fill="auto"/>
            <w:vAlign w:val="center"/>
            <w:hideMark/>
          </w:tcPr>
          <w:p w14:paraId="7AB5E617" w14:textId="77777777" w:rsidR="00B9050D" w:rsidRPr="00B9050D" w:rsidRDefault="00B9050D" w:rsidP="00B9050D">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 xml:space="preserve"> </w:t>
            </w:r>
          </w:p>
        </w:tc>
      </w:tr>
      <w:tr w:rsidR="00B9050D" w:rsidRPr="00B9050D" w14:paraId="31BDF4EA" w14:textId="77777777" w:rsidTr="005F4668">
        <w:trPr>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207BCAB1"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481BBC12"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25</w:t>
            </w:r>
          </w:p>
        </w:tc>
        <w:tc>
          <w:tcPr>
            <w:tcW w:w="517" w:type="dxa"/>
            <w:tcBorders>
              <w:top w:val="nil"/>
              <w:left w:val="nil"/>
              <w:bottom w:val="single" w:sz="8" w:space="0" w:color="auto"/>
              <w:right w:val="single" w:sz="8" w:space="0" w:color="auto"/>
            </w:tcBorders>
            <w:shd w:val="clear" w:color="auto" w:fill="auto"/>
            <w:vAlign w:val="center"/>
            <w:hideMark/>
          </w:tcPr>
          <w:p w14:paraId="6B0ADB39"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2</w:t>
            </w:r>
          </w:p>
        </w:tc>
        <w:tc>
          <w:tcPr>
            <w:tcW w:w="3476" w:type="dxa"/>
            <w:tcBorders>
              <w:top w:val="nil"/>
              <w:left w:val="nil"/>
              <w:bottom w:val="single" w:sz="8" w:space="0" w:color="auto"/>
              <w:right w:val="single" w:sz="8" w:space="0" w:color="auto"/>
            </w:tcBorders>
            <w:shd w:val="clear" w:color="auto" w:fill="auto"/>
            <w:vAlign w:val="center"/>
            <w:hideMark/>
          </w:tcPr>
          <w:p w14:paraId="1A890E00" w14:textId="77777777" w:rsidR="00B9050D" w:rsidRPr="00B9050D" w:rsidRDefault="00B9050D" w:rsidP="00B9050D">
            <w:pPr>
              <w:jc w:val="both"/>
              <w:rPr>
                <w:rFonts w:ascii="Arial Narrow" w:eastAsia="Times New Roman" w:hAnsi="Arial Narrow" w:cs="Calibri"/>
                <w:b/>
                <w:bCs/>
                <w:color w:val="000000"/>
                <w:sz w:val="22"/>
                <w:szCs w:val="22"/>
                <w:lang w:val="es-CR"/>
              </w:rPr>
            </w:pPr>
            <w:r w:rsidRPr="00B9050D">
              <w:rPr>
                <w:rFonts w:ascii="Arial Narrow" w:eastAsia="Times New Roman" w:hAnsi="Arial Narrow" w:cs="Calibri"/>
                <w:b/>
                <w:bCs/>
                <w:color w:val="000000"/>
                <w:sz w:val="22"/>
                <w:szCs w:val="22"/>
                <w:lang w:val="es-CR"/>
              </w:rPr>
              <w:t>Incumplimiento de condiciones y revelación</w:t>
            </w:r>
          </w:p>
        </w:tc>
        <w:tc>
          <w:tcPr>
            <w:tcW w:w="2164" w:type="dxa"/>
            <w:tcBorders>
              <w:top w:val="nil"/>
              <w:left w:val="nil"/>
              <w:bottom w:val="single" w:sz="8" w:space="0" w:color="auto"/>
              <w:right w:val="single" w:sz="8" w:space="0" w:color="auto"/>
            </w:tcBorders>
            <w:shd w:val="clear" w:color="auto" w:fill="auto"/>
            <w:vAlign w:val="center"/>
            <w:hideMark/>
          </w:tcPr>
          <w:p w14:paraId="16EAC5E2" w14:textId="77777777" w:rsidR="00B9050D" w:rsidRPr="00B9050D" w:rsidRDefault="00B9050D" w:rsidP="00B9050D">
            <w:pP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NICSP N° 23,</w:t>
            </w:r>
            <w:r w:rsidRPr="00B9050D">
              <w:rPr>
                <w:rFonts w:ascii="Arial Narrow" w:eastAsia="Times New Roman" w:hAnsi="Arial Narrow" w:cs="Calibri"/>
                <w:b/>
                <w:bCs/>
                <w:color w:val="000000"/>
                <w:sz w:val="22"/>
                <w:szCs w:val="22"/>
              </w:rPr>
              <w:br/>
              <w:t xml:space="preserve">Párrafos 101 y 102. </w:t>
            </w:r>
          </w:p>
        </w:tc>
        <w:tc>
          <w:tcPr>
            <w:tcW w:w="1947" w:type="dxa"/>
            <w:tcBorders>
              <w:top w:val="nil"/>
              <w:left w:val="nil"/>
              <w:bottom w:val="single" w:sz="8" w:space="0" w:color="auto"/>
              <w:right w:val="single" w:sz="8" w:space="0" w:color="auto"/>
            </w:tcBorders>
            <w:shd w:val="clear" w:color="auto" w:fill="auto"/>
            <w:vAlign w:val="center"/>
            <w:hideMark/>
          </w:tcPr>
          <w:p w14:paraId="47B62533" w14:textId="77777777" w:rsidR="00B9050D" w:rsidRPr="00B9050D" w:rsidRDefault="00B9050D" w:rsidP="00B9050D">
            <w:pPr>
              <w:ind w:firstLineChars="100" w:firstLine="220"/>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DGCN</w:t>
            </w:r>
          </w:p>
        </w:tc>
      </w:tr>
      <w:tr w:rsidR="00B9050D" w:rsidRPr="00B9050D" w14:paraId="01892E94" w14:textId="77777777" w:rsidTr="005F4668">
        <w:trPr>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5F697140"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6B2A7F96"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25</w:t>
            </w:r>
          </w:p>
        </w:tc>
        <w:tc>
          <w:tcPr>
            <w:tcW w:w="517" w:type="dxa"/>
            <w:tcBorders>
              <w:top w:val="nil"/>
              <w:left w:val="nil"/>
              <w:bottom w:val="single" w:sz="8" w:space="0" w:color="auto"/>
              <w:right w:val="single" w:sz="8" w:space="0" w:color="auto"/>
            </w:tcBorders>
            <w:shd w:val="clear" w:color="auto" w:fill="auto"/>
            <w:vAlign w:val="center"/>
            <w:hideMark/>
          </w:tcPr>
          <w:p w14:paraId="586D8771"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3</w:t>
            </w:r>
          </w:p>
        </w:tc>
        <w:tc>
          <w:tcPr>
            <w:tcW w:w="3476" w:type="dxa"/>
            <w:tcBorders>
              <w:top w:val="nil"/>
              <w:left w:val="nil"/>
              <w:bottom w:val="single" w:sz="8" w:space="0" w:color="auto"/>
              <w:right w:val="single" w:sz="8" w:space="0" w:color="auto"/>
            </w:tcBorders>
            <w:shd w:val="clear" w:color="auto" w:fill="auto"/>
            <w:vAlign w:val="center"/>
            <w:hideMark/>
          </w:tcPr>
          <w:p w14:paraId="7CF1CDE4" w14:textId="77777777" w:rsidR="00B9050D" w:rsidRPr="00B9050D" w:rsidRDefault="00B9050D" w:rsidP="00B9050D">
            <w:pPr>
              <w:jc w:val="both"/>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Consumos de los Servicios</w:t>
            </w:r>
          </w:p>
        </w:tc>
        <w:tc>
          <w:tcPr>
            <w:tcW w:w="2164" w:type="dxa"/>
            <w:tcBorders>
              <w:top w:val="nil"/>
              <w:left w:val="nil"/>
              <w:bottom w:val="single" w:sz="8" w:space="0" w:color="auto"/>
              <w:right w:val="single" w:sz="8" w:space="0" w:color="auto"/>
            </w:tcBorders>
            <w:shd w:val="clear" w:color="auto" w:fill="auto"/>
            <w:vAlign w:val="center"/>
            <w:hideMark/>
          </w:tcPr>
          <w:p w14:paraId="6374ADD8" w14:textId="77777777" w:rsidR="00B9050D" w:rsidRPr="00B9050D" w:rsidRDefault="00B9050D" w:rsidP="00B9050D">
            <w:pP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NICSP N° 23,</w:t>
            </w:r>
            <w:r w:rsidRPr="00B9050D">
              <w:rPr>
                <w:rFonts w:ascii="Arial Narrow" w:eastAsia="Times New Roman" w:hAnsi="Arial Narrow" w:cs="Calibri"/>
                <w:b/>
                <w:bCs/>
                <w:color w:val="000000"/>
                <w:sz w:val="22"/>
                <w:szCs w:val="22"/>
              </w:rPr>
              <w:br/>
              <w:t>Párrafo 99</w:t>
            </w:r>
          </w:p>
        </w:tc>
        <w:tc>
          <w:tcPr>
            <w:tcW w:w="1947" w:type="dxa"/>
            <w:tcBorders>
              <w:top w:val="nil"/>
              <w:left w:val="nil"/>
              <w:bottom w:val="single" w:sz="8" w:space="0" w:color="auto"/>
              <w:right w:val="single" w:sz="8" w:space="0" w:color="auto"/>
            </w:tcBorders>
            <w:shd w:val="clear" w:color="auto" w:fill="auto"/>
            <w:vAlign w:val="center"/>
            <w:hideMark/>
          </w:tcPr>
          <w:p w14:paraId="0E3E27CA" w14:textId="77777777" w:rsidR="00B9050D" w:rsidRPr="00B9050D" w:rsidRDefault="00B9050D" w:rsidP="00B9050D">
            <w:pPr>
              <w:ind w:firstLineChars="100" w:firstLine="220"/>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DGCN</w:t>
            </w:r>
          </w:p>
        </w:tc>
      </w:tr>
      <w:tr w:rsidR="00B9050D" w:rsidRPr="00B9050D" w14:paraId="226635E7" w14:textId="77777777" w:rsidTr="005F4668">
        <w:trPr>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06CC8E1B"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707446F9"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25</w:t>
            </w:r>
          </w:p>
        </w:tc>
        <w:tc>
          <w:tcPr>
            <w:tcW w:w="517" w:type="dxa"/>
            <w:tcBorders>
              <w:top w:val="nil"/>
              <w:left w:val="nil"/>
              <w:bottom w:val="single" w:sz="8" w:space="0" w:color="auto"/>
              <w:right w:val="single" w:sz="8" w:space="0" w:color="auto"/>
            </w:tcBorders>
            <w:shd w:val="clear" w:color="auto" w:fill="auto"/>
            <w:vAlign w:val="center"/>
            <w:hideMark/>
          </w:tcPr>
          <w:p w14:paraId="37D3A765"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4</w:t>
            </w:r>
          </w:p>
        </w:tc>
        <w:tc>
          <w:tcPr>
            <w:tcW w:w="3476" w:type="dxa"/>
            <w:tcBorders>
              <w:top w:val="nil"/>
              <w:left w:val="nil"/>
              <w:bottom w:val="single" w:sz="8" w:space="0" w:color="auto"/>
              <w:right w:val="single" w:sz="8" w:space="0" w:color="auto"/>
            </w:tcBorders>
            <w:shd w:val="clear" w:color="auto" w:fill="auto"/>
            <w:vAlign w:val="center"/>
            <w:hideMark/>
          </w:tcPr>
          <w:p w14:paraId="4DC9A355" w14:textId="77777777" w:rsidR="00B9050D" w:rsidRPr="00B9050D" w:rsidRDefault="00B9050D" w:rsidP="00B9050D">
            <w:pPr>
              <w:jc w:val="both"/>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Significatividad</w:t>
            </w:r>
          </w:p>
        </w:tc>
        <w:tc>
          <w:tcPr>
            <w:tcW w:w="2164" w:type="dxa"/>
            <w:tcBorders>
              <w:top w:val="nil"/>
              <w:left w:val="nil"/>
              <w:bottom w:val="single" w:sz="8" w:space="0" w:color="auto"/>
              <w:right w:val="single" w:sz="8" w:space="0" w:color="auto"/>
            </w:tcBorders>
            <w:shd w:val="clear" w:color="auto" w:fill="auto"/>
            <w:vAlign w:val="center"/>
            <w:hideMark/>
          </w:tcPr>
          <w:p w14:paraId="4B8BE552" w14:textId="77777777" w:rsidR="00B9050D" w:rsidRPr="00B9050D" w:rsidRDefault="00B9050D" w:rsidP="00B9050D">
            <w:pP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NICSP N° 23,</w:t>
            </w:r>
            <w:r w:rsidRPr="00B9050D">
              <w:rPr>
                <w:rFonts w:ascii="Arial Narrow" w:eastAsia="Times New Roman" w:hAnsi="Arial Narrow" w:cs="Calibri"/>
                <w:b/>
                <w:bCs/>
                <w:color w:val="000000"/>
                <w:sz w:val="22"/>
                <w:szCs w:val="22"/>
              </w:rPr>
              <w:br/>
              <w:t>Párrafo 102.</w:t>
            </w:r>
          </w:p>
        </w:tc>
        <w:tc>
          <w:tcPr>
            <w:tcW w:w="1947" w:type="dxa"/>
            <w:tcBorders>
              <w:top w:val="nil"/>
              <w:left w:val="nil"/>
              <w:bottom w:val="single" w:sz="8" w:space="0" w:color="auto"/>
              <w:right w:val="single" w:sz="8" w:space="0" w:color="auto"/>
            </w:tcBorders>
            <w:shd w:val="clear" w:color="auto" w:fill="auto"/>
            <w:vAlign w:val="center"/>
            <w:hideMark/>
          </w:tcPr>
          <w:p w14:paraId="50E954C7" w14:textId="77777777" w:rsidR="00B9050D" w:rsidRPr="00B9050D" w:rsidRDefault="00B9050D" w:rsidP="00B9050D">
            <w:pPr>
              <w:ind w:firstLineChars="100" w:firstLine="220"/>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DGCN</w:t>
            </w:r>
          </w:p>
        </w:tc>
      </w:tr>
      <w:tr w:rsidR="00B9050D" w:rsidRPr="00B9050D" w14:paraId="4BE3A146" w14:textId="77777777" w:rsidTr="005F4668">
        <w:trPr>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462EB011"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08254B27"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25</w:t>
            </w:r>
          </w:p>
        </w:tc>
        <w:tc>
          <w:tcPr>
            <w:tcW w:w="517" w:type="dxa"/>
            <w:tcBorders>
              <w:top w:val="nil"/>
              <w:left w:val="nil"/>
              <w:bottom w:val="single" w:sz="8" w:space="0" w:color="auto"/>
              <w:right w:val="single" w:sz="8" w:space="0" w:color="auto"/>
            </w:tcBorders>
            <w:shd w:val="clear" w:color="auto" w:fill="auto"/>
            <w:vAlign w:val="center"/>
            <w:hideMark/>
          </w:tcPr>
          <w:p w14:paraId="19C0DBE1"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5</w:t>
            </w:r>
          </w:p>
        </w:tc>
        <w:tc>
          <w:tcPr>
            <w:tcW w:w="3476" w:type="dxa"/>
            <w:tcBorders>
              <w:top w:val="nil"/>
              <w:left w:val="nil"/>
              <w:bottom w:val="single" w:sz="8" w:space="0" w:color="auto"/>
              <w:right w:val="single" w:sz="8" w:space="0" w:color="auto"/>
            </w:tcBorders>
            <w:shd w:val="clear" w:color="auto" w:fill="auto"/>
            <w:vAlign w:val="center"/>
            <w:hideMark/>
          </w:tcPr>
          <w:p w14:paraId="16C00FDF" w14:textId="77777777" w:rsidR="00B9050D" w:rsidRPr="00B9050D" w:rsidRDefault="00B9050D" w:rsidP="00B9050D">
            <w:pPr>
              <w:jc w:val="both"/>
              <w:rPr>
                <w:rFonts w:ascii="Arial Narrow" w:eastAsia="Times New Roman" w:hAnsi="Arial Narrow" w:cs="Calibri"/>
                <w:b/>
                <w:bCs/>
                <w:color w:val="000000"/>
                <w:sz w:val="22"/>
                <w:szCs w:val="22"/>
                <w:lang w:val="es-CR"/>
              </w:rPr>
            </w:pPr>
            <w:r w:rsidRPr="00B9050D">
              <w:rPr>
                <w:rFonts w:ascii="Arial Narrow" w:eastAsia="Times New Roman" w:hAnsi="Arial Narrow" w:cs="Calibri"/>
                <w:b/>
                <w:bCs/>
                <w:color w:val="000000"/>
                <w:sz w:val="22"/>
                <w:szCs w:val="22"/>
                <w:lang w:val="es-CR"/>
              </w:rPr>
              <w:t>Servicios en especie que son objetivo de la entidad</w:t>
            </w:r>
          </w:p>
        </w:tc>
        <w:tc>
          <w:tcPr>
            <w:tcW w:w="2164" w:type="dxa"/>
            <w:tcBorders>
              <w:top w:val="nil"/>
              <w:left w:val="nil"/>
              <w:bottom w:val="single" w:sz="8" w:space="0" w:color="auto"/>
              <w:right w:val="single" w:sz="8" w:space="0" w:color="auto"/>
            </w:tcBorders>
            <w:shd w:val="clear" w:color="auto" w:fill="auto"/>
            <w:vAlign w:val="center"/>
            <w:hideMark/>
          </w:tcPr>
          <w:p w14:paraId="612D9C47" w14:textId="77777777" w:rsidR="00B9050D" w:rsidRPr="00B9050D" w:rsidRDefault="00B9050D" w:rsidP="00B9050D">
            <w:pP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NICSP N° 23,</w:t>
            </w:r>
            <w:r w:rsidRPr="00B9050D">
              <w:rPr>
                <w:rFonts w:ascii="Arial Narrow" w:eastAsia="Times New Roman" w:hAnsi="Arial Narrow" w:cs="Calibri"/>
                <w:b/>
                <w:bCs/>
                <w:color w:val="000000"/>
                <w:sz w:val="22"/>
                <w:szCs w:val="22"/>
              </w:rPr>
              <w:br/>
              <w:t>Párrafo 103.</w:t>
            </w:r>
          </w:p>
        </w:tc>
        <w:tc>
          <w:tcPr>
            <w:tcW w:w="1947" w:type="dxa"/>
            <w:tcBorders>
              <w:top w:val="nil"/>
              <w:left w:val="nil"/>
              <w:bottom w:val="single" w:sz="8" w:space="0" w:color="auto"/>
              <w:right w:val="single" w:sz="8" w:space="0" w:color="auto"/>
            </w:tcBorders>
            <w:shd w:val="clear" w:color="auto" w:fill="auto"/>
            <w:vAlign w:val="center"/>
            <w:hideMark/>
          </w:tcPr>
          <w:p w14:paraId="2DD12776" w14:textId="77777777" w:rsidR="00B9050D" w:rsidRPr="00B9050D" w:rsidRDefault="00B9050D" w:rsidP="00B9050D">
            <w:pPr>
              <w:ind w:firstLineChars="100" w:firstLine="220"/>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DGCN</w:t>
            </w:r>
          </w:p>
        </w:tc>
      </w:tr>
      <w:tr w:rsidR="00B9050D" w:rsidRPr="00B9050D" w14:paraId="1523728B" w14:textId="77777777" w:rsidTr="005F4668">
        <w:trPr>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76AED83D"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2CAA85E3"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25</w:t>
            </w:r>
          </w:p>
        </w:tc>
        <w:tc>
          <w:tcPr>
            <w:tcW w:w="517" w:type="dxa"/>
            <w:tcBorders>
              <w:top w:val="nil"/>
              <w:left w:val="nil"/>
              <w:bottom w:val="single" w:sz="8" w:space="0" w:color="auto"/>
              <w:right w:val="single" w:sz="8" w:space="0" w:color="auto"/>
            </w:tcBorders>
            <w:shd w:val="clear" w:color="auto" w:fill="auto"/>
            <w:vAlign w:val="center"/>
            <w:hideMark/>
          </w:tcPr>
          <w:p w14:paraId="24DF1455" w14:textId="77777777" w:rsidR="00B9050D" w:rsidRPr="00B9050D" w:rsidRDefault="00B9050D" w:rsidP="005F4668">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6</w:t>
            </w:r>
          </w:p>
        </w:tc>
        <w:tc>
          <w:tcPr>
            <w:tcW w:w="3476" w:type="dxa"/>
            <w:tcBorders>
              <w:top w:val="nil"/>
              <w:left w:val="nil"/>
              <w:bottom w:val="single" w:sz="8" w:space="0" w:color="auto"/>
              <w:right w:val="single" w:sz="8" w:space="0" w:color="auto"/>
            </w:tcBorders>
            <w:shd w:val="clear" w:color="auto" w:fill="auto"/>
            <w:vAlign w:val="center"/>
            <w:hideMark/>
          </w:tcPr>
          <w:p w14:paraId="1D1BC391" w14:textId="77777777" w:rsidR="00B9050D" w:rsidRPr="00B9050D" w:rsidRDefault="00B9050D" w:rsidP="00B9050D">
            <w:pPr>
              <w:jc w:val="both"/>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Información a revelar</w:t>
            </w:r>
          </w:p>
        </w:tc>
        <w:tc>
          <w:tcPr>
            <w:tcW w:w="2164" w:type="dxa"/>
            <w:tcBorders>
              <w:top w:val="nil"/>
              <w:left w:val="nil"/>
              <w:bottom w:val="single" w:sz="8" w:space="0" w:color="auto"/>
              <w:right w:val="single" w:sz="8" w:space="0" w:color="auto"/>
            </w:tcBorders>
            <w:shd w:val="clear" w:color="auto" w:fill="auto"/>
            <w:vAlign w:val="center"/>
            <w:hideMark/>
          </w:tcPr>
          <w:p w14:paraId="4D2A5E7A" w14:textId="77777777" w:rsidR="00B9050D" w:rsidRPr="00B9050D" w:rsidRDefault="00B9050D" w:rsidP="00B9050D">
            <w:pP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NICSP N° 23,</w:t>
            </w:r>
            <w:r w:rsidRPr="00B9050D">
              <w:rPr>
                <w:rFonts w:ascii="Arial Narrow" w:eastAsia="Times New Roman" w:hAnsi="Arial Narrow" w:cs="Calibri"/>
                <w:b/>
                <w:bCs/>
                <w:color w:val="000000"/>
                <w:sz w:val="22"/>
                <w:szCs w:val="22"/>
              </w:rPr>
              <w:br/>
              <w:t>Párrafos 102 y 108.</w:t>
            </w:r>
          </w:p>
        </w:tc>
        <w:tc>
          <w:tcPr>
            <w:tcW w:w="1947" w:type="dxa"/>
            <w:tcBorders>
              <w:top w:val="nil"/>
              <w:left w:val="nil"/>
              <w:bottom w:val="single" w:sz="8" w:space="0" w:color="auto"/>
              <w:right w:val="single" w:sz="8" w:space="0" w:color="auto"/>
            </w:tcBorders>
            <w:shd w:val="clear" w:color="auto" w:fill="auto"/>
            <w:vAlign w:val="center"/>
            <w:hideMark/>
          </w:tcPr>
          <w:p w14:paraId="6D774F20" w14:textId="77777777" w:rsidR="00B9050D" w:rsidRPr="00B9050D" w:rsidRDefault="00B9050D" w:rsidP="00B9050D">
            <w:pPr>
              <w:ind w:firstLineChars="100" w:firstLine="220"/>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DGCN</w:t>
            </w:r>
          </w:p>
        </w:tc>
      </w:tr>
    </w:tbl>
    <w:p w14:paraId="0523313B" w14:textId="77777777" w:rsidR="00B9050D" w:rsidRDefault="00B9050D" w:rsidP="005F4668">
      <w:pPr>
        <w:pStyle w:val="Default"/>
        <w:ind w:right="261"/>
        <w:jc w:val="both"/>
        <w:rPr>
          <w:sz w:val="22"/>
          <w:szCs w:val="22"/>
          <w:lang w:val="es-CR"/>
        </w:rPr>
      </w:pPr>
    </w:p>
    <w:p w14:paraId="0C8A994E" w14:textId="3C280F5E" w:rsidR="005F4668" w:rsidRDefault="005F4668" w:rsidP="005F4668">
      <w:pPr>
        <w:pStyle w:val="Default"/>
        <w:ind w:right="261"/>
        <w:jc w:val="both"/>
        <w:rPr>
          <w:rFonts w:eastAsia="Arial"/>
          <w:b/>
          <w:sz w:val="22"/>
          <w:szCs w:val="22"/>
        </w:rPr>
      </w:pPr>
      <w:r w:rsidRPr="00F02F9D">
        <w:rPr>
          <w:rFonts w:eastAsia="Arial"/>
          <w:b/>
          <w:sz w:val="22"/>
          <w:szCs w:val="22"/>
        </w:rPr>
        <w:lastRenderedPageBreak/>
        <w:t>Políticas Contables</w:t>
      </w:r>
    </w:p>
    <w:p w14:paraId="42A5E6BC" w14:textId="77777777" w:rsidR="005F4668" w:rsidRDefault="005F4668" w:rsidP="005F4668">
      <w:pPr>
        <w:pStyle w:val="Default"/>
        <w:ind w:right="261"/>
        <w:jc w:val="both"/>
        <w:rPr>
          <w:sz w:val="22"/>
          <w:szCs w:val="22"/>
          <w:lang w:val="es-CR"/>
        </w:rPr>
      </w:pPr>
    </w:p>
    <w:p w14:paraId="48EE499A" w14:textId="6179320E" w:rsidR="00FA1001" w:rsidRPr="00FA1001" w:rsidRDefault="00FA1001" w:rsidP="00FA1001">
      <w:pPr>
        <w:pStyle w:val="Default"/>
        <w:ind w:left="1134" w:hanging="1134"/>
        <w:jc w:val="both"/>
        <w:rPr>
          <w:sz w:val="22"/>
          <w:szCs w:val="22"/>
          <w:lang w:val="es-CR"/>
        </w:rPr>
      </w:pPr>
      <w:r>
        <w:rPr>
          <w:sz w:val="22"/>
          <w:szCs w:val="22"/>
          <w:lang w:val="es-CR"/>
        </w:rPr>
        <w:t>4.25.0.01</w:t>
      </w:r>
      <w:r>
        <w:rPr>
          <w:sz w:val="22"/>
          <w:szCs w:val="22"/>
          <w:lang w:val="es-CR"/>
        </w:rPr>
        <w:tab/>
      </w:r>
      <w:r w:rsidRPr="00FA1001">
        <w:rPr>
          <w:sz w:val="22"/>
          <w:szCs w:val="22"/>
          <w:lang w:val="es-CR"/>
        </w:rPr>
        <w:t>La</w:t>
      </w:r>
      <w:r w:rsidR="00A5544C">
        <w:rPr>
          <w:sz w:val="22"/>
          <w:szCs w:val="22"/>
          <w:lang w:val="es-CR"/>
        </w:rPr>
        <w:t xml:space="preserve"> </w:t>
      </w:r>
      <w:r w:rsidR="000F29DC">
        <w:rPr>
          <w:sz w:val="22"/>
          <w:szCs w:val="22"/>
          <w:lang w:val="es-CR"/>
        </w:rPr>
        <w:t>MBA</w:t>
      </w:r>
      <w:r w:rsidRPr="00FA1001">
        <w:rPr>
          <w:sz w:val="22"/>
          <w:szCs w:val="22"/>
          <w:lang w:val="es-CR"/>
        </w:rPr>
        <w:t xml:space="preserve"> puede ser receptoras de servicios en especie según planes voluntarios o no voluntarios, llevados a cabo en interés público, como, por ejemplo: </w:t>
      </w:r>
    </w:p>
    <w:p w14:paraId="4CEF05DE" w14:textId="77777777" w:rsidR="00A5544C" w:rsidRDefault="00A5544C" w:rsidP="00A5544C">
      <w:pPr>
        <w:pStyle w:val="Default"/>
        <w:spacing w:after="21"/>
        <w:jc w:val="both"/>
        <w:rPr>
          <w:sz w:val="22"/>
          <w:szCs w:val="22"/>
          <w:lang w:val="es-CR"/>
        </w:rPr>
      </w:pPr>
    </w:p>
    <w:p w14:paraId="788A8703" w14:textId="6797FDC3" w:rsidR="00FA1001" w:rsidRPr="00FA1001" w:rsidRDefault="00A5544C">
      <w:pPr>
        <w:pStyle w:val="Default"/>
        <w:numPr>
          <w:ilvl w:val="0"/>
          <w:numId w:val="243"/>
        </w:numPr>
        <w:spacing w:after="120"/>
        <w:ind w:left="1418" w:hanging="284"/>
        <w:jc w:val="both"/>
        <w:rPr>
          <w:sz w:val="22"/>
          <w:szCs w:val="22"/>
          <w:lang w:val="es-CR"/>
        </w:rPr>
      </w:pPr>
      <w:r>
        <w:rPr>
          <w:sz w:val="22"/>
          <w:szCs w:val="22"/>
          <w:lang w:val="es-CR"/>
        </w:rPr>
        <w:t>A</w:t>
      </w:r>
      <w:r w:rsidR="00FA1001" w:rsidRPr="00FA1001">
        <w:rPr>
          <w:sz w:val="22"/>
          <w:szCs w:val="22"/>
          <w:lang w:val="es-CR"/>
        </w:rPr>
        <w:t xml:space="preserve">sistencia técnica de otros gobiernos u organizaciones internacionales; </w:t>
      </w:r>
    </w:p>
    <w:p w14:paraId="756A77C5" w14:textId="7D7BC68A" w:rsidR="00FA1001" w:rsidRPr="00FA1001" w:rsidRDefault="00A5544C">
      <w:pPr>
        <w:pStyle w:val="Default"/>
        <w:numPr>
          <w:ilvl w:val="0"/>
          <w:numId w:val="243"/>
        </w:numPr>
        <w:spacing w:after="120"/>
        <w:ind w:left="1418" w:hanging="284"/>
        <w:jc w:val="both"/>
        <w:rPr>
          <w:sz w:val="22"/>
          <w:szCs w:val="22"/>
          <w:lang w:val="es-CR"/>
        </w:rPr>
      </w:pPr>
      <w:r>
        <w:rPr>
          <w:sz w:val="22"/>
          <w:szCs w:val="22"/>
          <w:lang w:val="es-CR"/>
        </w:rPr>
        <w:t>P</w:t>
      </w:r>
      <w:r w:rsidR="00FA1001" w:rsidRPr="00FA1001">
        <w:rPr>
          <w:sz w:val="22"/>
          <w:szCs w:val="22"/>
          <w:lang w:val="es-CR"/>
        </w:rPr>
        <w:t xml:space="preserve">ersonas convictas por infracciones, que pueden ser obligadas a realizar servicios a la comunidad para una entidad del sector público; </w:t>
      </w:r>
    </w:p>
    <w:p w14:paraId="2BF51E62" w14:textId="77777777" w:rsidR="00A5544C" w:rsidRDefault="00A5544C">
      <w:pPr>
        <w:pStyle w:val="Default"/>
        <w:numPr>
          <w:ilvl w:val="0"/>
          <w:numId w:val="243"/>
        </w:numPr>
        <w:spacing w:after="120"/>
        <w:ind w:left="1418" w:hanging="284"/>
        <w:jc w:val="both"/>
        <w:rPr>
          <w:sz w:val="22"/>
          <w:szCs w:val="22"/>
          <w:lang w:val="es-CR"/>
        </w:rPr>
      </w:pPr>
      <w:r>
        <w:rPr>
          <w:sz w:val="22"/>
          <w:szCs w:val="22"/>
          <w:lang w:val="es-CR"/>
        </w:rPr>
        <w:t>L</w:t>
      </w:r>
      <w:r w:rsidR="00FA1001" w:rsidRPr="00FA1001">
        <w:rPr>
          <w:sz w:val="22"/>
          <w:szCs w:val="22"/>
          <w:lang w:val="es-CR"/>
        </w:rPr>
        <w:t xml:space="preserve">os hospitales públicos pueden recibir servicios de voluntarios; </w:t>
      </w:r>
    </w:p>
    <w:p w14:paraId="1E45DF3C" w14:textId="2F212DA9" w:rsidR="00A5544C" w:rsidRDefault="00A5544C">
      <w:pPr>
        <w:pStyle w:val="Default"/>
        <w:numPr>
          <w:ilvl w:val="0"/>
          <w:numId w:val="243"/>
        </w:numPr>
        <w:spacing w:after="120"/>
        <w:ind w:left="1418" w:hanging="284"/>
        <w:jc w:val="both"/>
        <w:rPr>
          <w:sz w:val="22"/>
          <w:szCs w:val="22"/>
          <w:lang w:val="es-CR"/>
        </w:rPr>
      </w:pPr>
      <w:r>
        <w:rPr>
          <w:sz w:val="22"/>
          <w:szCs w:val="22"/>
          <w:lang w:val="es-CR"/>
        </w:rPr>
        <w:t>L</w:t>
      </w:r>
      <w:r w:rsidR="00FA1001" w:rsidRPr="00FA1001">
        <w:rPr>
          <w:sz w:val="22"/>
          <w:szCs w:val="22"/>
          <w:lang w:val="es-CR"/>
        </w:rPr>
        <w:t xml:space="preserve">as escuelas y los colegios públicos pueden recibir servicios voluntarios de padres como asesores de profesores o como </w:t>
      </w:r>
      <w:r w:rsidR="005907B3" w:rsidRPr="00FA1001">
        <w:rPr>
          <w:sz w:val="22"/>
          <w:szCs w:val="22"/>
          <w:lang w:val="es-CR"/>
        </w:rPr>
        <w:t>mie</w:t>
      </w:r>
      <w:r w:rsidR="005907B3">
        <w:rPr>
          <w:sz w:val="22"/>
          <w:szCs w:val="22"/>
          <w:lang w:val="es-CR"/>
        </w:rPr>
        <w:t>mbr</w:t>
      </w:r>
      <w:r w:rsidR="005907B3" w:rsidRPr="00FA1001">
        <w:rPr>
          <w:sz w:val="22"/>
          <w:szCs w:val="22"/>
          <w:lang w:val="es-CR"/>
        </w:rPr>
        <w:t>os</w:t>
      </w:r>
      <w:r w:rsidR="00FA1001" w:rsidRPr="00FA1001">
        <w:rPr>
          <w:sz w:val="22"/>
          <w:szCs w:val="22"/>
          <w:lang w:val="es-CR"/>
        </w:rPr>
        <w:t xml:space="preserve"> del consejo; y </w:t>
      </w:r>
    </w:p>
    <w:p w14:paraId="50D0E94B" w14:textId="15AA69AB" w:rsidR="00FA1001" w:rsidRDefault="00A5544C">
      <w:pPr>
        <w:pStyle w:val="Default"/>
        <w:numPr>
          <w:ilvl w:val="0"/>
          <w:numId w:val="243"/>
        </w:numPr>
        <w:spacing w:after="21"/>
        <w:ind w:left="1418" w:hanging="284"/>
        <w:jc w:val="both"/>
        <w:rPr>
          <w:sz w:val="22"/>
          <w:szCs w:val="22"/>
          <w:lang w:val="es-CR"/>
        </w:rPr>
      </w:pPr>
      <w:r>
        <w:rPr>
          <w:sz w:val="22"/>
          <w:szCs w:val="22"/>
          <w:lang w:val="es-CR"/>
        </w:rPr>
        <w:t>L</w:t>
      </w:r>
      <w:r w:rsidR="00FA1001" w:rsidRPr="00FA1001">
        <w:rPr>
          <w:sz w:val="22"/>
          <w:szCs w:val="22"/>
          <w:lang w:val="es-CR"/>
        </w:rPr>
        <w:t xml:space="preserve">os gobiernos locales pueden recibir los servicios de </w:t>
      </w:r>
      <w:r w:rsidR="005907B3" w:rsidRPr="00FA1001">
        <w:rPr>
          <w:sz w:val="22"/>
          <w:szCs w:val="22"/>
          <w:lang w:val="es-CR"/>
        </w:rPr>
        <w:t>bo</w:t>
      </w:r>
      <w:r w:rsidR="005907B3">
        <w:rPr>
          <w:sz w:val="22"/>
          <w:szCs w:val="22"/>
          <w:lang w:val="es-CR"/>
        </w:rPr>
        <w:t>mbe</w:t>
      </w:r>
      <w:r w:rsidR="005907B3" w:rsidRPr="00FA1001">
        <w:rPr>
          <w:sz w:val="22"/>
          <w:szCs w:val="22"/>
          <w:lang w:val="es-CR"/>
        </w:rPr>
        <w:t>ros</w:t>
      </w:r>
      <w:r w:rsidR="00FA1001" w:rsidRPr="00FA1001">
        <w:rPr>
          <w:sz w:val="22"/>
          <w:szCs w:val="22"/>
          <w:lang w:val="es-CR"/>
        </w:rPr>
        <w:t xml:space="preserve"> voluntarios. </w:t>
      </w:r>
    </w:p>
    <w:p w14:paraId="0530E0D3" w14:textId="77777777" w:rsidR="00A5544C" w:rsidRDefault="00A5544C" w:rsidP="00A5544C">
      <w:pPr>
        <w:pStyle w:val="Default"/>
        <w:spacing w:after="20"/>
        <w:jc w:val="both"/>
        <w:rPr>
          <w:sz w:val="22"/>
          <w:szCs w:val="22"/>
          <w:lang w:val="es-CR"/>
        </w:rPr>
      </w:pPr>
    </w:p>
    <w:p w14:paraId="4C4B9FC8" w14:textId="049B1821" w:rsidR="00A5544C" w:rsidRDefault="00A5544C" w:rsidP="00A5544C">
      <w:pPr>
        <w:pStyle w:val="Default"/>
        <w:ind w:left="1134" w:hanging="1134"/>
        <w:jc w:val="both"/>
        <w:rPr>
          <w:sz w:val="22"/>
          <w:szCs w:val="22"/>
          <w:lang w:val="es-CR"/>
        </w:rPr>
      </w:pPr>
      <w:r>
        <w:rPr>
          <w:sz w:val="22"/>
          <w:szCs w:val="22"/>
          <w:lang w:val="es-CR"/>
        </w:rPr>
        <w:t>4.25.1.02</w:t>
      </w:r>
      <w:r>
        <w:rPr>
          <w:sz w:val="22"/>
          <w:szCs w:val="22"/>
          <w:lang w:val="es-CR"/>
        </w:rPr>
        <w:tab/>
      </w:r>
      <w:r w:rsidR="00FA1001" w:rsidRPr="00FA1001">
        <w:rPr>
          <w:sz w:val="22"/>
          <w:szCs w:val="22"/>
          <w:lang w:val="es-CR"/>
        </w:rPr>
        <w:t>Los servicios en especie pueden reconocerse como un ingreso y como un activo, cuando:</w:t>
      </w:r>
    </w:p>
    <w:p w14:paraId="17CDD586" w14:textId="77777777" w:rsidR="00A5544C" w:rsidRDefault="00A5544C" w:rsidP="00A5544C">
      <w:pPr>
        <w:pStyle w:val="Default"/>
        <w:ind w:left="1134" w:hanging="1134"/>
        <w:jc w:val="both"/>
        <w:rPr>
          <w:sz w:val="22"/>
          <w:szCs w:val="22"/>
          <w:lang w:val="es-CR"/>
        </w:rPr>
      </w:pPr>
    </w:p>
    <w:p w14:paraId="176DEDE4" w14:textId="77777777" w:rsidR="00A5544C" w:rsidRDefault="00A5544C">
      <w:pPr>
        <w:pStyle w:val="Default"/>
        <w:numPr>
          <w:ilvl w:val="0"/>
          <w:numId w:val="244"/>
        </w:numPr>
        <w:spacing w:after="120"/>
        <w:ind w:left="1418" w:hanging="284"/>
        <w:jc w:val="both"/>
        <w:rPr>
          <w:sz w:val="22"/>
          <w:szCs w:val="22"/>
          <w:lang w:val="es-CR"/>
        </w:rPr>
      </w:pPr>
      <w:r>
        <w:rPr>
          <w:sz w:val="22"/>
          <w:szCs w:val="22"/>
          <w:lang w:val="es-CR"/>
        </w:rPr>
        <w:t>S</w:t>
      </w:r>
      <w:r w:rsidR="00FA1001" w:rsidRPr="00FA1001">
        <w:rPr>
          <w:sz w:val="22"/>
          <w:szCs w:val="22"/>
          <w:lang w:val="es-CR"/>
        </w:rPr>
        <w:t xml:space="preserve">e cumpla con la definición de activo; </w:t>
      </w:r>
    </w:p>
    <w:p w14:paraId="4BBC8658" w14:textId="77777777" w:rsidR="00A5544C" w:rsidRDefault="00A5544C">
      <w:pPr>
        <w:pStyle w:val="Default"/>
        <w:numPr>
          <w:ilvl w:val="0"/>
          <w:numId w:val="244"/>
        </w:numPr>
        <w:spacing w:after="120"/>
        <w:ind w:left="1418" w:hanging="284"/>
        <w:jc w:val="both"/>
        <w:rPr>
          <w:sz w:val="22"/>
          <w:szCs w:val="22"/>
          <w:lang w:val="es-CR"/>
        </w:rPr>
      </w:pPr>
      <w:r w:rsidRPr="00A5544C">
        <w:rPr>
          <w:sz w:val="22"/>
          <w:szCs w:val="22"/>
          <w:lang w:val="es-CR"/>
        </w:rPr>
        <w:t>L</w:t>
      </w:r>
      <w:r w:rsidR="00FA1001" w:rsidRPr="00A5544C">
        <w:rPr>
          <w:sz w:val="22"/>
          <w:szCs w:val="22"/>
          <w:lang w:val="es-CR"/>
        </w:rPr>
        <w:t xml:space="preserve">a entidad pueda controlar los recursos; </w:t>
      </w:r>
    </w:p>
    <w:p w14:paraId="6219EB8C" w14:textId="77777777" w:rsidR="00A5544C" w:rsidRDefault="00A5544C">
      <w:pPr>
        <w:pStyle w:val="Default"/>
        <w:numPr>
          <w:ilvl w:val="0"/>
          <w:numId w:val="244"/>
        </w:numPr>
        <w:spacing w:after="120"/>
        <w:ind w:left="1418" w:hanging="284"/>
        <w:jc w:val="both"/>
        <w:rPr>
          <w:sz w:val="22"/>
          <w:szCs w:val="22"/>
          <w:lang w:val="es-CR"/>
        </w:rPr>
      </w:pPr>
      <w:r w:rsidRPr="00A5544C">
        <w:rPr>
          <w:sz w:val="22"/>
          <w:szCs w:val="22"/>
          <w:lang w:val="es-CR"/>
        </w:rPr>
        <w:t>S</w:t>
      </w:r>
      <w:r w:rsidR="00FA1001" w:rsidRPr="00A5544C">
        <w:rPr>
          <w:sz w:val="22"/>
          <w:szCs w:val="22"/>
          <w:lang w:val="es-CR"/>
        </w:rPr>
        <w:t>e espere que de ellos fluyan beneficios económicos futuros o un potencial de servicio; y</w:t>
      </w:r>
    </w:p>
    <w:p w14:paraId="31F0B6DC" w14:textId="368331CA" w:rsidR="00FA1001" w:rsidRPr="00A5544C" w:rsidRDefault="00A5544C">
      <w:pPr>
        <w:pStyle w:val="Default"/>
        <w:numPr>
          <w:ilvl w:val="0"/>
          <w:numId w:val="244"/>
        </w:numPr>
        <w:ind w:left="1418" w:hanging="284"/>
        <w:jc w:val="both"/>
        <w:rPr>
          <w:sz w:val="22"/>
          <w:szCs w:val="22"/>
          <w:lang w:val="es-CR"/>
        </w:rPr>
      </w:pPr>
      <w:r w:rsidRPr="00A5544C">
        <w:rPr>
          <w:sz w:val="22"/>
          <w:szCs w:val="22"/>
          <w:lang w:val="es-CR"/>
        </w:rPr>
        <w:t>S</w:t>
      </w:r>
      <w:r w:rsidR="00FA1001" w:rsidRPr="00A5544C">
        <w:rPr>
          <w:sz w:val="22"/>
          <w:szCs w:val="22"/>
          <w:lang w:val="es-CR"/>
        </w:rPr>
        <w:t xml:space="preserve">e puedan medir fiablemente, a cuyos efectos deberá determinarse el valor razonable de los servicios recibidos. </w:t>
      </w:r>
    </w:p>
    <w:p w14:paraId="7E0F5F0F" w14:textId="77777777" w:rsidR="00FA1001" w:rsidRPr="00FA1001" w:rsidRDefault="00FA1001" w:rsidP="00FA1001">
      <w:pPr>
        <w:pStyle w:val="Default"/>
        <w:jc w:val="both"/>
        <w:rPr>
          <w:sz w:val="22"/>
          <w:szCs w:val="22"/>
          <w:lang w:val="es-CR"/>
        </w:rPr>
      </w:pPr>
    </w:p>
    <w:p w14:paraId="2EBECD71" w14:textId="4DD71C5E" w:rsidR="00FA1001" w:rsidRPr="00FA1001" w:rsidRDefault="00A5544C" w:rsidP="00A5544C">
      <w:pPr>
        <w:pStyle w:val="Default"/>
        <w:ind w:left="1134" w:hanging="1134"/>
        <w:jc w:val="both"/>
        <w:rPr>
          <w:sz w:val="22"/>
          <w:szCs w:val="22"/>
          <w:lang w:val="es-CR"/>
        </w:rPr>
      </w:pPr>
      <w:r>
        <w:rPr>
          <w:sz w:val="22"/>
          <w:szCs w:val="22"/>
          <w:lang w:val="es-CR"/>
        </w:rPr>
        <w:t>4.</w:t>
      </w:r>
      <w:r w:rsidR="00FA1001" w:rsidRPr="00FA1001">
        <w:rPr>
          <w:sz w:val="22"/>
          <w:szCs w:val="22"/>
          <w:lang w:val="es-CR"/>
        </w:rPr>
        <w:t>2</w:t>
      </w:r>
      <w:r>
        <w:rPr>
          <w:sz w:val="22"/>
          <w:szCs w:val="22"/>
          <w:lang w:val="es-CR"/>
        </w:rPr>
        <w:t>5</w:t>
      </w:r>
      <w:r w:rsidR="00FA1001" w:rsidRPr="00FA1001">
        <w:rPr>
          <w:sz w:val="22"/>
          <w:szCs w:val="22"/>
          <w:lang w:val="es-CR"/>
        </w:rPr>
        <w:t>.</w:t>
      </w:r>
      <w:r>
        <w:rPr>
          <w:sz w:val="22"/>
          <w:szCs w:val="22"/>
          <w:lang w:val="es-CR"/>
        </w:rPr>
        <w:t>2.01</w:t>
      </w:r>
      <w:r>
        <w:rPr>
          <w:sz w:val="22"/>
          <w:szCs w:val="22"/>
          <w:lang w:val="es-CR"/>
        </w:rPr>
        <w:tab/>
      </w:r>
      <w:r w:rsidR="00FA1001" w:rsidRPr="00FA1001">
        <w:rPr>
          <w:sz w:val="22"/>
          <w:szCs w:val="22"/>
          <w:lang w:val="es-CR"/>
        </w:rPr>
        <w:t xml:space="preserve">Cuando no se pueda cumplir algunas de las condiciones precedentes, no se podrán reconocer los servicios en especie recibidos, pero se deberá revelar información de los mismos en Notas a los EEFF, según los requerimientos del presente PGCN. </w:t>
      </w:r>
    </w:p>
    <w:p w14:paraId="16811F07" w14:textId="77777777" w:rsidR="00FA1001" w:rsidRPr="00A5544C" w:rsidRDefault="00FA1001" w:rsidP="00FA1001">
      <w:pPr>
        <w:pStyle w:val="Default"/>
        <w:jc w:val="both"/>
        <w:rPr>
          <w:sz w:val="22"/>
          <w:szCs w:val="22"/>
          <w:lang w:val="es-CR"/>
        </w:rPr>
      </w:pPr>
    </w:p>
    <w:p w14:paraId="72900FAE" w14:textId="145E8317" w:rsidR="00FA1001" w:rsidRPr="00FA1001" w:rsidRDefault="00A5544C" w:rsidP="00A5544C">
      <w:pPr>
        <w:pStyle w:val="Default"/>
        <w:ind w:left="1134" w:hanging="1134"/>
        <w:jc w:val="both"/>
        <w:rPr>
          <w:sz w:val="22"/>
          <w:szCs w:val="22"/>
          <w:lang w:val="es-CR"/>
        </w:rPr>
      </w:pPr>
      <w:r>
        <w:rPr>
          <w:sz w:val="22"/>
          <w:szCs w:val="22"/>
          <w:lang w:val="es-CR"/>
        </w:rPr>
        <w:t>4.25.</w:t>
      </w:r>
      <w:r w:rsidR="00FA1001" w:rsidRPr="00FA1001">
        <w:rPr>
          <w:sz w:val="22"/>
          <w:szCs w:val="22"/>
          <w:lang w:val="es-CR"/>
        </w:rPr>
        <w:t>3.</w:t>
      </w:r>
      <w:r>
        <w:rPr>
          <w:sz w:val="22"/>
          <w:szCs w:val="22"/>
          <w:lang w:val="es-CR"/>
        </w:rPr>
        <w:t>01</w:t>
      </w:r>
      <w:r>
        <w:rPr>
          <w:sz w:val="22"/>
          <w:szCs w:val="22"/>
          <w:lang w:val="es-CR"/>
        </w:rPr>
        <w:tab/>
      </w:r>
      <w:r w:rsidR="00FA1001" w:rsidRPr="00FA1001">
        <w:rPr>
          <w:sz w:val="22"/>
          <w:szCs w:val="22"/>
          <w:lang w:val="es-CR"/>
        </w:rPr>
        <w:t xml:space="preserve">Los activos recibidos a través de servicios en especie, por lo general, son inmediatamente consumidos, por lo que en caso de cumplirse las condiciones para su reconocimiento como ingreso, se reconoce </w:t>
      </w:r>
      <w:r w:rsidR="005907B3" w:rsidRPr="00FA1001">
        <w:rPr>
          <w:sz w:val="22"/>
          <w:szCs w:val="22"/>
          <w:lang w:val="es-CR"/>
        </w:rPr>
        <w:t>ta</w:t>
      </w:r>
      <w:r w:rsidR="005907B3">
        <w:rPr>
          <w:sz w:val="22"/>
          <w:szCs w:val="22"/>
          <w:lang w:val="es-CR"/>
        </w:rPr>
        <w:t>mbi</w:t>
      </w:r>
      <w:r w:rsidR="005907B3" w:rsidRPr="00FA1001">
        <w:rPr>
          <w:sz w:val="22"/>
          <w:szCs w:val="22"/>
          <w:lang w:val="es-CR"/>
        </w:rPr>
        <w:t>én</w:t>
      </w:r>
      <w:r w:rsidR="00FA1001" w:rsidRPr="00FA1001">
        <w:rPr>
          <w:sz w:val="22"/>
          <w:szCs w:val="22"/>
          <w:lang w:val="es-CR"/>
        </w:rPr>
        <w:t xml:space="preserve"> una transacción de igual valor para reflejar el consumo de dichos servicios en especie, excepto en los casos que dichos servicios formen parte del costo de un activo. </w:t>
      </w:r>
    </w:p>
    <w:p w14:paraId="1BB672A2" w14:textId="77777777" w:rsidR="00FA1001" w:rsidRPr="00FA1001" w:rsidRDefault="00FA1001" w:rsidP="00FA1001">
      <w:pPr>
        <w:pStyle w:val="Default"/>
        <w:jc w:val="both"/>
        <w:rPr>
          <w:sz w:val="22"/>
          <w:szCs w:val="22"/>
          <w:lang w:val="es-CR"/>
        </w:rPr>
      </w:pPr>
    </w:p>
    <w:p w14:paraId="41588466" w14:textId="79CCC6F8" w:rsidR="00FA1001" w:rsidRPr="00FA1001" w:rsidRDefault="00A5544C" w:rsidP="00A5544C">
      <w:pPr>
        <w:pStyle w:val="Default"/>
        <w:ind w:left="1134" w:hanging="1134"/>
        <w:jc w:val="both"/>
        <w:rPr>
          <w:sz w:val="22"/>
          <w:szCs w:val="22"/>
          <w:lang w:val="es-CR"/>
        </w:rPr>
      </w:pPr>
      <w:r>
        <w:rPr>
          <w:sz w:val="22"/>
          <w:szCs w:val="22"/>
          <w:lang w:val="es-CR"/>
        </w:rPr>
        <w:t>4.25.</w:t>
      </w:r>
      <w:r w:rsidR="00FA1001" w:rsidRPr="00FA1001">
        <w:rPr>
          <w:sz w:val="22"/>
          <w:szCs w:val="22"/>
          <w:lang w:val="es-CR"/>
        </w:rPr>
        <w:t>4.</w:t>
      </w:r>
      <w:r>
        <w:rPr>
          <w:sz w:val="22"/>
          <w:szCs w:val="22"/>
          <w:lang w:val="es-CR"/>
        </w:rPr>
        <w:t>01</w:t>
      </w:r>
      <w:r>
        <w:rPr>
          <w:sz w:val="22"/>
          <w:szCs w:val="22"/>
          <w:lang w:val="es-CR"/>
        </w:rPr>
        <w:tab/>
      </w:r>
      <w:r w:rsidR="00FA1001" w:rsidRPr="00FA1001">
        <w:rPr>
          <w:sz w:val="22"/>
          <w:szCs w:val="22"/>
          <w:lang w:val="es-CR"/>
        </w:rPr>
        <w:t xml:space="preserve">Cuando el valor razonable y/o la naturaleza de los servicios recibidos sea poco significativa, los mismos no serán reconocidos ni informados. </w:t>
      </w:r>
    </w:p>
    <w:p w14:paraId="7BDC04D5" w14:textId="77777777" w:rsidR="00FA1001" w:rsidRPr="00FA1001" w:rsidRDefault="00FA1001" w:rsidP="00FA1001">
      <w:pPr>
        <w:pStyle w:val="Default"/>
        <w:jc w:val="both"/>
        <w:rPr>
          <w:sz w:val="22"/>
          <w:szCs w:val="22"/>
          <w:lang w:val="es-CR"/>
        </w:rPr>
      </w:pPr>
    </w:p>
    <w:p w14:paraId="42B26008" w14:textId="2BD9007B" w:rsidR="00FA1001" w:rsidRPr="00FA1001" w:rsidRDefault="00A5544C" w:rsidP="00A5544C">
      <w:pPr>
        <w:pStyle w:val="Default"/>
        <w:ind w:left="1134" w:hanging="1134"/>
        <w:jc w:val="both"/>
        <w:rPr>
          <w:sz w:val="22"/>
          <w:szCs w:val="22"/>
          <w:lang w:val="es-CR"/>
        </w:rPr>
      </w:pPr>
      <w:r>
        <w:rPr>
          <w:sz w:val="22"/>
          <w:szCs w:val="22"/>
          <w:lang w:val="es-CR"/>
        </w:rPr>
        <w:t>4.25.</w:t>
      </w:r>
      <w:r w:rsidR="00FA1001" w:rsidRPr="00FA1001">
        <w:rPr>
          <w:sz w:val="22"/>
          <w:szCs w:val="22"/>
          <w:lang w:val="es-CR"/>
        </w:rPr>
        <w:t>5.</w:t>
      </w:r>
      <w:r>
        <w:rPr>
          <w:sz w:val="22"/>
          <w:szCs w:val="22"/>
          <w:lang w:val="es-CR"/>
        </w:rPr>
        <w:t>01</w:t>
      </w:r>
      <w:r>
        <w:rPr>
          <w:sz w:val="22"/>
          <w:szCs w:val="22"/>
          <w:lang w:val="es-CR"/>
        </w:rPr>
        <w:tab/>
      </w:r>
      <w:r w:rsidR="00FA1001" w:rsidRPr="00FA1001">
        <w:rPr>
          <w:sz w:val="22"/>
          <w:szCs w:val="22"/>
          <w:lang w:val="es-CR"/>
        </w:rPr>
        <w:t xml:space="preserve">Si una entidad depende de una clase de servicios en especie para cumplir sus objetivos, ello puede influir en la política contable que se desarrolle con respecto al reconocimiento de activos y, por tal motivo, se deberán determinar a través de PPC de acuerdo a los requerimientos de cada entidad y los criterios que contemplen los efectos de dichos servicios en especie en la posición financiera, rendimiento y flujos de efectivo de la entidad. </w:t>
      </w:r>
    </w:p>
    <w:p w14:paraId="501AE819" w14:textId="77777777" w:rsidR="00FA1001" w:rsidRPr="00FA1001" w:rsidRDefault="00FA1001" w:rsidP="00FA1001">
      <w:pPr>
        <w:pStyle w:val="Default"/>
        <w:jc w:val="both"/>
        <w:rPr>
          <w:sz w:val="22"/>
          <w:szCs w:val="22"/>
          <w:lang w:val="es-CR"/>
        </w:rPr>
      </w:pPr>
    </w:p>
    <w:p w14:paraId="3346F514" w14:textId="04B8C507" w:rsidR="00FA1001" w:rsidRPr="00FA1001" w:rsidRDefault="00A5544C" w:rsidP="00A5544C">
      <w:pPr>
        <w:pStyle w:val="Default"/>
        <w:ind w:left="1134" w:hanging="1134"/>
        <w:jc w:val="both"/>
        <w:rPr>
          <w:sz w:val="22"/>
          <w:szCs w:val="22"/>
          <w:lang w:val="es-CR"/>
        </w:rPr>
      </w:pPr>
      <w:r>
        <w:rPr>
          <w:sz w:val="22"/>
          <w:szCs w:val="22"/>
          <w:lang w:val="es-CR"/>
        </w:rPr>
        <w:t>4.25.</w:t>
      </w:r>
      <w:r w:rsidR="00FA1001" w:rsidRPr="00FA1001">
        <w:rPr>
          <w:sz w:val="22"/>
          <w:szCs w:val="22"/>
          <w:lang w:val="es-CR"/>
        </w:rPr>
        <w:t>6.</w:t>
      </w:r>
      <w:r>
        <w:rPr>
          <w:sz w:val="22"/>
          <w:szCs w:val="22"/>
          <w:lang w:val="es-CR"/>
        </w:rPr>
        <w:t>01</w:t>
      </w:r>
      <w:r>
        <w:rPr>
          <w:sz w:val="22"/>
          <w:szCs w:val="22"/>
          <w:lang w:val="es-CR"/>
        </w:rPr>
        <w:tab/>
      </w:r>
      <w:r w:rsidR="00FA1001" w:rsidRPr="00FA1001">
        <w:rPr>
          <w:sz w:val="22"/>
          <w:szCs w:val="22"/>
          <w:lang w:val="es-CR"/>
        </w:rPr>
        <w:t xml:space="preserve">Deberán revelar información sobre la naturaleza y tipo de servicios en especie recibidos durante el período sobre el que se informa, hayan sido reconocidos o no, excepto en los casos en que el valor razonable y/o la naturaleza de dichos servicios sea poco significativa. </w:t>
      </w:r>
    </w:p>
    <w:p w14:paraId="2AE916FA" w14:textId="77777777" w:rsidR="00B9050D" w:rsidRDefault="00B9050D" w:rsidP="00FA1001">
      <w:pPr>
        <w:pStyle w:val="Default"/>
        <w:spacing w:after="120" w:line="238" w:lineRule="auto"/>
        <w:ind w:right="260"/>
        <w:jc w:val="both"/>
        <w:rPr>
          <w:sz w:val="22"/>
          <w:szCs w:val="22"/>
          <w:lang w:val="es-CR"/>
        </w:rPr>
      </w:pPr>
    </w:p>
    <w:p w14:paraId="256AF8AD" w14:textId="77777777" w:rsidR="005F4668" w:rsidRDefault="005F4668" w:rsidP="00FA1001">
      <w:pPr>
        <w:pStyle w:val="Default"/>
        <w:spacing w:after="120" w:line="238" w:lineRule="auto"/>
        <w:ind w:right="260"/>
        <w:jc w:val="both"/>
        <w:rPr>
          <w:sz w:val="22"/>
          <w:szCs w:val="22"/>
          <w:lang w:val="es-CR"/>
        </w:rPr>
      </w:pPr>
    </w:p>
    <w:p w14:paraId="210123F0" w14:textId="77777777" w:rsidR="00B9050D" w:rsidRPr="00FA1001" w:rsidRDefault="00B9050D" w:rsidP="00FA1001">
      <w:pPr>
        <w:pStyle w:val="Default"/>
        <w:spacing w:after="120" w:line="238" w:lineRule="auto"/>
        <w:ind w:right="260"/>
        <w:jc w:val="both"/>
        <w:rPr>
          <w:sz w:val="22"/>
          <w:szCs w:val="22"/>
          <w:lang w:val="es-CR"/>
        </w:rPr>
      </w:pPr>
    </w:p>
    <w:tbl>
      <w:tblPr>
        <w:tblW w:w="9840" w:type="dxa"/>
        <w:tblLook w:val="04A0" w:firstRow="1" w:lastRow="0" w:firstColumn="1" w:lastColumn="0" w:noHBand="0" w:noVBand="1"/>
      </w:tblPr>
      <w:tblGrid>
        <w:gridCol w:w="537"/>
        <w:gridCol w:w="706"/>
        <w:gridCol w:w="517"/>
        <w:gridCol w:w="3721"/>
        <w:gridCol w:w="2266"/>
        <w:gridCol w:w="2093"/>
      </w:tblGrid>
      <w:tr w:rsidR="00B9050D" w:rsidRPr="00115EEA" w14:paraId="72A701D2" w14:textId="77777777" w:rsidTr="00B9050D">
        <w:trPr>
          <w:trHeight w:val="320"/>
        </w:trPr>
        <w:tc>
          <w:tcPr>
            <w:tcW w:w="17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FFEB9ED" w14:textId="77777777" w:rsidR="00B9050D" w:rsidRPr="00115EEA" w:rsidRDefault="00B9050D" w:rsidP="00B9050D">
            <w:pPr>
              <w:jc w:val="center"/>
              <w:rPr>
                <w:rFonts w:ascii="Arial Narrow" w:eastAsia="Times New Roman" w:hAnsi="Arial Narrow" w:cs="Calibri"/>
                <w:b/>
                <w:bCs/>
                <w:color w:val="FFFFFF"/>
                <w:sz w:val="22"/>
                <w:szCs w:val="22"/>
              </w:rPr>
            </w:pPr>
            <w:r w:rsidRPr="00115EEA">
              <w:rPr>
                <w:rFonts w:ascii="Arial Narrow" w:eastAsia="Times New Roman" w:hAnsi="Arial Narrow" w:cs="Calibri"/>
                <w:b/>
                <w:bCs/>
                <w:color w:val="FFFFFF"/>
                <w:sz w:val="22"/>
                <w:szCs w:val="22"/>
              </w:rPr>
              <w:lastRenderedPageBreak/>
              <w:t>Norma / Política</w:t>
            </w:r>
          </w:p>
        </w:tc>
        <w:tc>
          <w:tcPr>
            <w:tcW w:w="3721" w:type="dxa"/>
            <w:vMerge w:val="restart"/>
            <w:tcBorders>
              <w:top w:val="single" w:sz="8" w:space="0" w:color="auto"/>
              <w:left w:val="single" w:sz="8" w:space="0" w:color="auto"/>
              <w:bottom w:val="nil"/>
              <w:right w:val="single" w:sz="8" w:space="0" w:color="auto"/>
            </w:tcBorders>
            <w:shd w:val="clear" w:color="000000" w:fill="203764"/>
            <w:vAlign w:val="center"/>
            <w:hideMark/>
          </w:tcPr>
          <w:p w14:paraId="3A2F7052" w14:textId="77777777" w:rsidR="00B9050D" w:rsidRPr="00115EEA" w:rsidRDefault="00B9050D" w:rsidP="00B9050D">
            <w:pPr>
              <w:jc w:val="center"/>
              <w:rPr>
                <w:rFonts w:ascii="Arial Narrow" w:eastAsia="Times New Roman" w:hAnsi="Arial Narrow" w:cs="Calibri"/>
                <w:b/>
                <w:bCs/>
                <w:color w:val="FFFFFF"/>
                <w:sz w:val="22"/>
                <w:szCs w:val="22"/>
              </w:rPr>
            </w:pPr>
            <w:r w:rsidRPr="00115EEA">
              <w:rPr>
                <w:rFonts w:ascii="Arial Narrow" w:eastAsia="Times New Roman" w:hAnsi="Arial Narrow" w:cs="Calibri"/>
                <w:b/>
                <w:bCs/>
                <w:color w:val="FFFFFF"/>
                <w:sz w:val="22"/>
                <w:szCs w:val="22"/>
              </w:rPr>
              <w:t>Concepto</w:t>
            </w:r>
          </w:p>
        </w:tc>
        <w:tc>
          <w:tcPr>
            <w:tcW w:w="4359" w:type="dxa"/>
            <w:gridSpan w:val="2"/>
            <w:tcBorders>
              <w:top w:val="single" w:sz="8" w:space="0" w:color="auto"/>
              <w:left w:val="nil"/>
              <w:bottom w:val="single" w:sz="8" w:space="0" w:color="auto"/>
              <w:right w:val="single" w:sz="8" w:space="0" w:color="000000"/>
            </w:tcBorders>
            <w:shd w:val="clear" w:color="000000" w:fill="203764"/>
            <w:vAlign w:val="center"/>
            <w:hideMark/>
          </w:tcPr>
          <w:p w14:paraId="48F4CE9C" w14:textId="77777777" w:rsidR="00B9050D" w:rsidRPr="00115EEA" w:rsidRDefault="00B9050D" w:rsidP="00B9050D">
            <w:pPr>
              <w:jc w:val="center"/>
              <w:rPr>
                <w:rFonts w:ascii="Arial Narrow" w:eastAsia="Times New Roman" w:hAnsi="Arial Narrow" w:cs="Calibri"/>
                <w:b/>
                <w:bCs/>
                <w:color w:val="FFFFFF"/>
                <w:sz w:val="22"/>
                <w:szCs w:val="22"/>
              </w:rPr>
            </w:pPr>
            <w:r w:rsidRPr="00115EEA">
              <w:rPr>
                <w:rFonts w:ascii="Arial Narrow" w:eastAsia="Times New Roman" w:hAnsi="Arial Narrow" w:cs="Calibri"/>
                <w:b/>
                <w:bCs/>
                <w:color w:val="FFFFFF"/>
                <w:sz w:val="22"/>
                <w:szCs w:val="22"/>
              </w:rPr>
              <w:t>Referencia</w:t>
            </w:r>
          </w:p>
        </w:tc>
      </w:tr>
      <w:tr w:rsidR="00B9050D" w:rsidRPr="006E5442" w14:paraId="467DD906" w14:textId="77777777" w:rsidTr="00B9050D">
        <w:trPr>
          <w:trHeight w:val="850"/>
        </w:trPr>
        <w:tc>
          <w:tcPr>
            <w:tcW w:w="1760" w:type="dxa"/>
            <w:gridSpan w:val="3"/>
            <w:vMerge/>
            <w:tcBorders>
              <w:top w:val="single" w:sz="8" w:space="0" w:color="auto"/>
              <w:left w:val="single" w:sz="8" w:space="0" w:color="auto"/>
              <w:bottom w:val="nil"/>
              <w:right w:val="single" w:sz="8" w:space="0" w:color="000000"/>
            </w:tcBorders>
            <w:vAlign w:val="center"/>
            <w:hideMark/>
          </w:tcPr>
          <w:p w14:paraId="0BFDDC9D" w14:textId="77777777" w:rsidR="00B9050D" w:rsidRPr="00115EEA" w:rsidRDefault="00B9050D" w:rsidP="00B9050D">
            <w:pPr>
              <w:rPr>
                <w:rFonts w:ascii="Arial Narrow" w:eastAsia="Times New Roman" w:hAnsi="Arial Narrow" w:cs="Calibri"/>
                <w:b/>
                <w:bCs/>
                <w:color w:val="FFFFFF"/>
                <w:sz w:val="22"/>
                <w:szCs w:val="22"/>
              </w:rPr>
            </w:pPr>
          </w:p>
        </w:tc>
        <w:tc>
          <w:tcPr>
            <w:tcW w:w="3721" w:type="dxa"/>
            <w:vMerge/>
            <w:tcBorders>
              <w:top w:val="single" w:sz="8" w:space="0" w:color="auto"/>
              <w:left w:val="single" w:sz="8" w:space="0" w:color="auto"/>
              <w:bottom w:val="nil"/>
              <w:right w:val="single" w:sz="8" w:space="0" w:color="auto"/>
            </w:tcBorders>
            <w:vAlign w:val="center"/>
            <w:hideMark/>
          </w:tcPr>
          <w:p w14:paraId="25052850" w14:textId="77777777" w:rsidR="00B9050D" w:rsidRPr="00115EEA" w:rsidRDefault="00B9050D" w:rsidP="00B9050D">
            <w:pPr>
              <w:rPr>
                <w:rFonts w:ascii="Arial Narrow" w:eastAsia="Times New Roman" w:hAnsi="Arial Narrow" w:cs="Calibri"/>
                <w:b/>
                <w:bCs/>
                <w:color w:val="FFFFFF"/>
                <w:sz w:val="22"/>
                <w:szCs w:val="22"/>
              </w:rPr>
            </w:pPr>
          </w:p>
        </w:tc>
        <w:tc>
          <w:tcPr>
            <w:tcW w:w="2266" w:type="dxa"/>
            <w:tcBorders>
              <w:top w:val="nil"/>
              <w:left w:val="nil"/>
              <w:bottom w:val="nil"/>
              <w:right w:val="single" w:sz="8" w:space="0" w:color="auto"/>
            </w:tcBorders>
            <w:shd w:val="clear" w:color="000000" w:fill="203764"/>
            <w:vAlign w:val="center"/>
            <w:hideMark/>
          </w:tcPr>
          <w:p w14:paraId="51E83E28" w14:textId="77777777" w:rsidR="00B9050D" w:rsidRPr="00115EEA" w:rsidRDefault="00B9050D" w:rsidP="00B9050D">
            <w:pPr>
              <w:jc w:val="center"/>
              <w:rPr>
                <w:rFonts w:ascii="Arial Narrow" w:eastAsia="Times New Roman" w:hAnsi="Arial Narrow" w:cs="Calibri"/>
                <w:b/>
                <w:bCs/>
                <w:color w:val="FFFFFF"/>
                <w:sz w:val="22"/>
                <w:szCs w:val="22"/>
              </w:rPr>
            </w:pPr>
            <w:r w:rsidRPr="00115EEA">
              <w:rPr>
                <w:rFonts w:ascii="Arial Narrow" w:eastAsia="Times New Roman" w:hAnsi="Arial Narrow" w:cs="Calibri"/>
                <w:b/>
                <w:bCs/>
                <w:color w:val="FFFFFF"/>
                <w:sz w:val="22"/>
                <w:szCs w:val="22"/>
              </w:rPr>
              <w:t>Norma</w:t>
            </w:r>
          </w:p>
        </w:tc>
        <w:tc>
          <w:tcPr>
            <w:tcW w:w="2093" w:type="dxa"/>
            <w:tcBorders>
              <w:top w:val="nil"/>
              <w:left w:val="nil"/>
              <w:bottom w:val="nil"/>
              <w:right w:val="single" w:sz="8" w:space="0" w:color="auto"/>
            </w:tcBorders>
            <w:shd w:val="clear" w:color="000000" w:fill="203764"/>
            <w:vAlign w:val="center"/>
            <w:hideMark/>
          </w:tcPr>
          <w:p w14:paraId="55A56E1B" w14:textId="77777777" w:rsidR="00B9050D" w:rsidRPr="00115EEA" w:rsidRDefault="00B9050D" w:rsidP="00B9050D">
            <w:pPr>
              <w:jc w:val="center"/>
              <w:rPr>
                <w:rFonts w:ascii="Arial Narrow" w:eastAsia="Times New Roman" w:hAnsi="Arial Narrow" w:cs="Calibri"/>
                <w:b/>
                <w:bCs/>
                <w:color w:val="FFFFFF"/>
                <w:sz w:val="22"/>
                <w:szCs w:val="22"/>
                <w:lang w:val="es-CR"/>
              </w:rPr>
            </w:pPr>
            <w:r w:rsidRPr="00115EEA">
              <w:rPr>
                <w:rFonts w:ascii="Arial Narrow" w:eastAsia="Times New Roman" w:hAnsi="Arial Narrow" w:cs="Calibri"/>
                <w:b/>
                <w:bCs/>
                <w:color w:val="FFFFFF"/>
                <w:sz w:val="22"/>
                <w:szCs w:val="22"/>
                <w:lang w:val="es-CR"/>
              </w:rPr>
              <w:t>Normativa técnica y disposiciones adicionales</w:t>
            </w:r>
          </w:p>
        </w:tc>
      </w:tr>
      <w:tr w:rsidR="00B9050D" w:rsidRPr="00115EEA" w14:paraId="1EE6C7B7" w14:textId="77777777" w:rsidTr="00B9050D">
        <w:trPr>
          <w:trHeight w:val="570"/>
        </w:trPr>
        <w:tc>
          <w:tcPr>
            <w:tcW w:w="5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FBA580" w14:textId="77777777" w:rsidR="00B9050D" w:rsidRPr="00115EEA" w:rsidRDefault="00B9050D" w:rsidP="005F4668">
            <w:pPr>
              <w:jc w:val="center"/>
              <w:rPr>
                <w:rFonts w:ascii="Arial Narrow" w:eastAsia="Times New Roman" w:hAnsi="Arial Narrow"/>
                <w:b/>
                <w:bCs/>
                <w:color w:val="000000"/>
                <w:sz w:val="22"/>
                <w:szCs w:val="22"/>
              </w:rPr>
            </w:pPr>
            <w:r w:rsidRPr="00115EEA">
              <w:rPr>
                <w:rFonts w:ascii="Arial Narrow" w:eastAsia="Times New Roman" w:hAnsi="Arial Narrow"/>
                <w:b/>
                <w:bCs/>
                <w:color w:val="000000"/>
                <w:sz w:val="22"/>
                <w:szCs w:val="22"/>
              </w:rPr>
              <w:t>4</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2509160A" w14:textId="77777777" w:rsidR="00B9050D" w:rsidRPr="00115EEA" w:rsidRDefault="00B9050D" w:rsidP="005F4668">
            <w:pPr>
              <w:jc w:val="center"/>
              <w:rPr>
                <w:rFonts w:ascii="Arial Narrow" w:eastAsia="Times New Roman" w:hAnsi="Arial Narrow"/>
                <w:b/>
                <w:bCs/>
                <w:color w:val="000000"/>
                <w:sz w:val="22"/>
                <w:szCs w:val="22"/>
              </w:rPr>
            </w:pPr>
            <w:r w:rsidRPr="00115EEA">
              <w:rPr>
                <w:rFonts w:ascii="Arial Narrow" w:eastAsia="Times New Roman" w:hAnsi="Arial Narrow"/>
                <w:b/>
                <w:bCs/>
                <w:color w:val="000000"/>
                <w:sz w:val="22"/>
                <w:szCs w:val="22"/>
              </w:rPr>
              <w:t>26</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689F3EBE" w14:textId="7B9F5D1C" w:rsidR="00B9050D" w:rsidRPr="00115EEA" w:rsidRDefault="00B9050D" w:rsidP="005F4668">
            <w:pPr>
              <w:jc w:val="center"/>
              <w:rPr>
                <w:rFonts w:ascii="Arial Narrow" w:eastAsia="Times New Roman" w:hAnsi="Arial Narrow" w:cs="Calibri"/>
                <w:b/>
                <w:bCs/>
                <w:color w:val="000000"/>
                <w:sz w:val="22"/>
                <w:szCs w:val="22"/>
              </w:rPr>
            </w:pPr>
          </w:p>
        </w:tc>
        <w:tc>
          <w:tcPr>
            <w:tcW w:w="3721" w:type="dxa"/>
            <w:tcBorders>
              <w:top w:val="single" w:sz="8" w:space="0" w:color="auto"/>
              <w:left w:val="nil"/>
              <w:bottom w:val="single" w:sz="8" w:space="0" w:color="auto"/>
              <w:right w:val="single" w:sz="8" w:space="0" w:color="auto"/>
            </w:tcBorders>
            <w:shd w:val="clear" w:color="auto" w:fill="auto"/>
            <w:vAlign w:val="center"/>
            <w:hideMark/>
          </w:tcPr>
          <w:p w14:paraId="4036F94F" w14:textId="77777777" w:rsidR="00B9050D" w:rsidRPr="00115EEA" w:rsidRDefault="00B9050D" w:rsidP="00B9050D">
            <w:pPr>
              <w:rPr>
                <w:rFonts w:ascii="Arial Narrow" w:eastAsia="Times New Roman" w:hAnsi="Arial Narrow"/>
                <w:b/>
                <w:bCs/>
                <w:color w:val="000000"/>
                <w:sz w:val="22"/>
                <w:szCs w:val="22"/>
              </w:rPr>
            </w:pPr>
            <w:r w:rsidRPr="00115EEA">
              <w:rPr>
                <w:rFonts w:ascii="Arial Narrow" w:eastAsia="Times New Roman" w:hAnsi="Arial Narrow"/>
                <w:b/>
                <w:bCs/>
                <w:color w:val="000000"/>
                <w:sz w:val="22"/>
                <w:szCs w:val="22"/>
              </w:rPr>
              <w:t>Compromisos de donaciones</w:t>
            </w:r>
          </w:p>
        </w:tc>
        <w:tc>
          <w:tcPr>
            <w:tcW w:w="2266" w:type="dxa"/>
            <w:tcBorders>
              <w:top w:val="single" w:sz="8" w:space="0" w:color="auto"/>
              <w:left w:val="nil"/>
              <w:bottom w:val="single" w:sz="8" w:space="0" w:color="auto"/>
              <w:right w:val="single" w:sz="8" w:space="0" w:color="auto"/>
            </w:tcBorders>
            <w:shd w:val="clear" w:color="auto" w:fill="auto"/>
            <w:vAlign w:val="center"/>
            <w:hideMark/>
          </w:tcPr>
          <w:p w14:paraId="18070FF6" w14:textId="77777777" w:rsidR="00B9050D" w:rsidRPr="00115EEA" w:rsidRDefault="00B9050D" w:rsidP="00B9050D">
            <w:pPr>
              <w:rPr>
                <w:rFonts w:ascii="Arial Narrow" w:eastAsia="Times New Roman" w:hAnsi="Arial Narrow" w:cs="Calibri"/>
                <w:b/>
                <w:bCs/>
                <w:color w:val="000000"/>
                <w:sz w:val="22"/>
                <w:szCs w:val="22"/>
              </w:rPr>
            </w:pPr>
            <w:r w:rsidRPr="00115EEA">
              <w:rPr>
                <w:rFonts w:ascii="Arial Narrow" w:eastAsia="Times New Roman" w:hAnsi="Arial Narrow" w:cs="Calibri"/>
                <w:b/>
                <w:bCs/>
                <w:color w:val="000000"/>
                <w:sz w:val="22"/>
                <w:szCs w:val="22"/>
              </w:rPr>
              <w:t>NICSP N° 23,</w:t>
            </w:r>
            <w:r w:rsidRPr="00115EEA">
              <w:rPr>
                <w:rFonts w:ascii="Arial Narrow" w:eastAsia="Times New Roman" w:hAnsi="Arial Narrow" w:cs="Calibri"/>
                <w:b/>
                <w:bCs/>
                <w:color w:val="000000"/>
                <w:sz w:val="22"/>
                <w:szCs w:val="22"/>
              </w:rPr>
              <w:br/>
              <w:t>Párrafo 104.</w:t>
            </w:r>
          </w:p>
        </w:tc>
        <w:tc>
          <w:tcPr>
            <w:tcW w:w="2093" w:type="dxa"/>
            <w:tcBorders>
              <w:top w:val="single" w:sz="8" w:space="0" w:color="auto"/>
              <w:left w:val="nil"/>
              <w:bottom w:val="single" w:sz="8" w:space="0" w:color="auto"/>
              <w:right w:val="single" w:sz="8" w:space="0" w:color="auto"/>
            </w:tcBorders>
            <w:shd w:val="clear" w:color="auto" w:fill="auto"/>
            <w:vAlign w:val="center"/>
            <w:hideMark/>
          </w:tcPr>
          <w:p w14:paraId="61FC160C" w14:textId="77777777" w:rsidR="00B9050D" w:rsidRPr="00115EEA" w:rsidRDefault="00B9050D" w:rsidP="00B9050D">
            <w:pPr>
              <w:jc w:val="center"/>
              <w:rPr>
                <w:rFonts w:ascii="Arial Narrow" w:eastAsia="Times New Roman" w:hAnsi="Arial Narrow" w:cs="Calibri"/>
                <w:b/>
                <w:bCs/>
                <w:color w:val="000000"/>
                <w:sz w:val="22"/>
                <w:szCs w:val="22"/>
              </w:rPr>
            </w:pPr>
            <w:r w:rsidRPr="00115EEA">
              <w:rPr>
                <w:rFonts w:ascii="Arial Narrow" w:eastAsia="Times New Roman" w:hAnsi="Arial Narrow" w:cs="Calibri"/>
                <w:b/>
                <w:bCs/>
                <w:color w:val="000000"/>
                <w:sz w:val="22"/>
                <w:szCs w:val="22"/>
              </w:rPr>
              <w:t xml:space="preserve"> </w:t>
            </w:r>
          </w:p>
        </w:tc>
      </w:tr>
      <w:tr w:rsidR="00B9050D" w:rsidRPr="00115EEA" w14:paraId="3D53FA08" w14:textId="77777777" w:rsidTr="00B9050D">
        <w:trPr>
          <w:trHeight w:val="570"/>
        </w:trPr>
        <w:tc>
          <w:tcPr>
            <w:tcW w:w="537" w:type="dxa"/>
            <w:tcBorders>
              <w:top w:val="nil"/>
              <w:left w:val="single" w:sz="8" w:space="0" w:color="auto"/>
              <w:bottom w:val="single" w:sz="8" w:space="0" w:color="auto"/>
              <w:right w:val="single" w:sz="8" w:space="0" w:color="auto"/>
            </w:tcBorders>
            <w:shd w:val="clear" w:color="auto" w:fill="auto"/>
            <w:vAlign w:val="center"/>
            <w:hideMark/>
          </w:tcPr>
          <w:p w14:paraId="16888CE7" w14:textId="77777777" w:rsidR="00B9050D" w:rsidRPr="00115EEA" w:rsidRDefault="00B9050D" w:rsidP="005F4668">
            <w:pPr>
              <w:jc w:val="center"/>
              <w:rPr>
                <w:rFonts w:ascii="Arial Narrow" w:eastAsia="Times New Roman" w:hAnsi="Arial Narrow"/>
                <w:b/>
                <w:bCs/>
                <w:color w:val="000000"/>
                <w:sz w:val="22"/>
                <w:szCs w:val="22"/>
              </w:rPr>
            </w:pPr>
            <w:r w:rsidRPr="00115EEA">
              <w:rPr>
                <w:rFonts w:ascii="Arial Narrow" w:eastAsia="Times New Roman" w:hAnsi="Arial Narrow"/>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0F923018" w14:textId="77777777" w:rsidR="00B9050D" w:rsidRPr="00115EEA" w:rsidRDefault="00B9050D" w:rsidP="005F4668">
            <w:pPr>
              <w:jc w:val="center"/>
              <w:rPr>
                <w:rFonts w:ascii="Arial Narrow" w:eastAsia="Times New Roman" w:hAnsi="Arial Narrow"/>
                <w:b/>
                <w:bCs/>
                <w:color w:val="000000"/>
                <w:sz w:val="22"/>
                <w:szCs w:val="22"/>
              </w:rPr>
            </w:pPr>
            <w:r w:rsidRPr="00115EEA">
              <w:rPr>
                <w:rFonts w:ascii="Arial Narrow" w:eastAsia="Times New Roman" w:hAnsi="Arial Narrow"/>
                <w:b/>
                <w:bCs/>
                <w:color w:val="000000"/>
                <w:sz w:val="22"/>
                <w:szCs w:val="22"/>
              </w:rPr>
              <w:t>26</w:t>
            </w:r>
          </w:p>
        </w:tc>
        <w:tc>
          <w:tcPr>
            <w:tcW w:w="517" w:type="dxa"/>
            <w:tcBorders>
              <w:top w:val="nil"/>
              <w:left w:val="nil"/>
              <w:bottom w:val="single" w:sz="8" w:space="0" w:color="auto"/>
              <w:right w:val="nil"/>
            </w:tcBorders>
            <w:shd w:val="clear" w:color="auto" w:fill="auto"/>
            <w:vAlign w:val="center"/>
            <w:hideMark/>
          </w:tcPr>
          <w:p w14:paraId="764BC8B4" w14:textId="77777777" w:rsidR="00B9050D" w:rsidRPr="00115EEA" w:rsidRDefault="00B9050D" w:rsidP="005F4668">
            <w:pPr>
              <w:jc w:val="center"/>
              <w:rPr>
                <w:rFonts w:ascii="Arial Narrow" w:eastAsia="Times New Roman" w:hAnsi="Arial Narrow" w:cs="Calibri"/>
                <w:b/>
                <w:bCs/>
                <w:color w:val="000000"/>
                <w:sz w:val="22"/>
                <w:szCs w:val="22"/>
              </w:rPr>
            </w:pPr>
            <w:r w:rsidRPr="00115EEA">
              <w:rPr>
                <w:rFonts w:ascii="Arial Narrow" w:eastAsia="Times New Roman" w:hAnsi="Arial Narrow" w:cs="Calibri"/>
                <w:b/>
                <w:bCs/>
                <w:color w:val="000000"/>
                <w:sz w:val="22"/>
                <w:szCs w:val="22"/>
              </w:rPr>
              <w:t>1</w:t>
            </w:r>
          </w:p>
        </w:tc>
        <w:tc>
          <w:tcPr>
            <w:tcW w:w="3721" w:type="dxa"/>
            <w:tcBorders>
              <w:top w:val="nil"/>
              <w:left w:val="single" w:sz="8" w:space="0" w:color="auto"/>
              <w:bottom w:val="single" w:sz="8" w:space="0" w:color="auto"/>
              <w:right w:val="single" w:sz="8" w:space="0" w:color="auto"/>
            </w:tcBorders>
            <w:shd w:val="clear" w:color="auto" w:fill="auto"/>
            <w:vAlign w:val="center"/>
            <w:hideMark/>
          </w:tcPr>
          <w:p w14:paraId="545FA63D" w14:textId="77777777" w:rsidR="00B9050D" w:rsidRPr="00115EEA" w:rsidRDefault="00B9050D" w:rsidP="00B9050D">
            <w:pPr>
              <w:rPr>
                <w:rFonts w:ascii="Arial Narrow" w:eastAsia="Times New Roman" w:hAnsi="Arial Narrow"/>
                <w:b/>
                <w:bCs/>
                <w:color w:val="000000"/>
                <w:sz w:val="22"/>
                <w:szCs w:val="22"/>
              </w:rPr>
            </w:pPr>
            <w:r w:rsidRPr="00115EEA">
              <w:rPr>
                <w:rFonts w:ascii="Arial Narrow" w:eastAsia="Times New Roman" w:hAnsi="Arial Narrow"/>
                <w:b/>
                <w:bCs/>
                <w:color w:val="000000"/>
                <w:sz w:val="22"/>
                <w:szCs w:val="22"/>
              </w:rPr>
              <w:t>Revelación</w:t>
            </w:r>
          </w:p>
        </w:tc>
        <w:tc>
          <w:tcPr>
            <w:tcW w:w="2266" w:type="dxa"/>
            <w:tcBorders>
              <w:top w:val="nil"/>
              <w:left w:val="nil"/>
              <w:bottom w:val="single" w:sz="8" w:space="0" w:color="auto"/>
              <w:right w:val="single" w:sz="8" w:space="0" w:color="auto"/>
            </w:tcBorders>
            <w:shd w:val="clear" w:color="auto" w:fill="auto"/>
            <w:vAlign w:val="center"/>
            <w:hideMark/>
          </w:tcPr>
          <w:p w14:paraId="74794DF2" w14:textId="77777777" w:rsidR="00B9050D" w:rsidRPr="00115EEA" w:rsidRDefault="00B9050D" w:rsidP="00B9050D">
            <w:pPr>
              <w:rPr>
                <w:rFonts w:ascii="Arial Narrow" w:eastAsia="Times New Roman" w:hAnsi="Arial Narrow" w:cs="Calibri"/>
                <w:b/>
                <w:bCs/>
                <w:color w:val="000000"/>
                <w:sz w:val="22"/>
                <w:szCs w:val="22"/>
              </w:rPr>
            </w:pPr>
            <w:r w:rsidRPr="00115EEA">
              <w:rPr>
                <w:rFonts w:ascii="Arial Narrow" w:eastAsia="Times New Roman" w:hAnsi="Arial Narrow" w:cs="Calibri"/>
                <w:b/>
                <w:bCs/>
                <w:color w:val="000000"/>
                <w:sz w:val="22"/>
                <w:szCs w:val="22"/>
              </w:rPr>
              <w:t>NICSP N° 23,</w:t>
            </w:r>
            <w:r w:rsidRPr="00115EEA">
              <w:rPr>
                <w:rFonts w:ascii="Arial Narrow" w:eastAsia="Times New Roman" w:hAnsi="Arial Narrow" w:cs="Calibri"/>
                <w:b/>
                <w:bCs/>
                <w:color w:val="000000"/>
                <w:sz w:val="22"/>
                <w:szCs w:val="22"/>
              </w:rPr>
              <w:br/>
              <w:t>Párrafo 104.</w:t>
            </w:r>
          </w:p>
        </w:tc>
        <w:tc>
          <w:tcPr>
            <w:tcW w:w="2093" w:type="dxa"/>
            <w:tcBorders>
              <w:top w:val="nil"/>
              <w:left w:val="nil"/>
              <w:bottom w:val="single" w:sz="8" w:space="0" w:color="auto"/>
              <w:right w:val="single" w:sz="8" w:space="0" w:color="auto"/>
            </w:tcBorders>
            <w:shd w:val="clear" w:color="auto" w:fill="auto"/>
            <w:vAlign w:val="center"/>
            <w:hideMark/>
          </w:tcPr>
          <w:p w14:paraId="6CB02A4F" w14:textId="77777777" w:rsidR="00B9050D" w:rsidRPr="00115EEA" w:rsidRDefault="00B9050D" w:rsidP="00B9050D">
            <w:pPr>
              <w:jc w:val="center"/>
              <w:rPr>
                <w:rFonts w:ascii="Arial Narrow" w:eastAsia="Times New Roman" w:hAnsi="Arial Narrow" w:cs="Calibri"/>
                <w:b/>
                <w:bCs/>
                <w:color w:val="000000"/>
                <w:sz w:val="22"/>
                <w:szCs w:val="22"/>
              </w:rPr>
            </w:pPr>
            <w:r w:rsidRPr="00115EEA">
              <w:rPr>
                <w:rFonts w:ascii="Arial Narrow" w:eastAsia="Times New Roman" w:hAnsi="Arial Narrow" w:cs="Calibri"/>
                <w:b/>
                <w:bCs/>
                <w:color w:val="000000"/>
                <w:sz w:val="22"/>
                <w:szCs w:val="22"/>
              </w:rPr>
              <w:t xml:space="preserve"> </w:t>
            </w:r>
          </w:p>
        </w:tc>
      </w:tr>
    </w:tbl>
    <w:p w14:paraId="4F42ECC1" w14:textId="77777777" w:rsidR="00DE6BC0" w:rsidRDefault="00DE6BC0" w:rsidP="005F4668">
      <w:pPr>
        <w:pStyle w:val="Default"/>
        <w:ind w:right="261"/>
        <w:jc w:val="both"/>
        <w:rPr>
          <w:sz w:val="22"/>
          <w:szCs w:val="22"/>
          <w:lang w:val="es-CR"/>
        </w:rPr>
      </w:pPr>
    </w:p>
    <w:p w14:paraId="1633BEC8" w14:textId="5A2ACE14" w:rsidR="005F4668" w:rsidRDefault="005F4668" w:rsidP="005F4668">
      <w:pPr>
        <w:pStyle w:val="Default"/>
        <w:ind w:right="261"/>
        <w:jc w:val="both"/>
        <w:rPr>
          <w:rFonts w:eastAsia="Arial"/>
          <w:b/>
          <w:sz w:val="22"/>
          <w:szCs w:val="22"/>
        </w:rPr>
      </w:pPr>
      <w:r w:rsidRPr="00F02F9D">
        <w:rPr>
          <w:rFonts w:eastAsia="Arial"/>
          <w:b/>
          <w:sz w:val="22"/>
          <w:szCs w:val="22"/>
        </w:rPr>
        <w:t>Políticas Contables</w:t>
      </w:r>
    </w:p>
    <w:p w14:paraId="78C7DC21" w14:textId="77777777" w:rsidR="005F4668" w:rsidRDefault="005F4668" w:rsidP="005F4668">
      <w:pPr>
        <w:pStyle w:val="Default"/>
        <w:ind w:right="261"/>
        <w:jc w:val="both"/>
        <w:rPr>
          <w:sz w:val="22"/>
          <w:szCs w:val="22"/>
          <w:lang w:val="es-CR"/>
        </w:rPr>
      </w:pPr>
    </w:p>
    <w:p w14:paraId="1269CCD4" w14:textId="2F2A0CA0" w:rsidR="00B9050D" w:rsidRPr="00B9050D" w:rsidRDefault="00B9050D" w:rsidP="00B9050D">
      <w:pPr>
        <w:pStyle w:val="Default"/>
        <w:ind w:left="1134" w:hanging="1134"/>
        <w:jc w:val="both"/>
        <w:rPr>
          <w:sz w:val="22"/>
          <w:szCs w:val="22"/>
          <w:lang w:val="es-CR"/>
        </w:rPr>
      </w:pPr>
      <w:r>
        <w:rPr>
          <w:sz w:val="22"/>
          <w:szCs w:val="22"/>
          <w:lang w:val="es-CR"/>
        </w:rPr>
        <w:t>4.26.0.01</w:t>
      </w:r>
      <w:r>
        <w:rPr>
          <w:sz w:val="22"/>
          <w:szCs w:val="22"/>
          <w:lang w:val="es-CR"/>
        </w:rPr>
        <w:tab/>
      </w:r>
      <w:r w:rsidRPr="00B9050D">
        <w:rPr>
          <w:sz w:val="22"/>
          <w:szCs w:val="22"/>
          <w:lang w:val="es-CR"/>
        </w:rPr>
        <w:t xml:space="preserve">Los compromisos de donaciones son compromisos no forzosos de transferir activos a la entidad receptora, por cuyo motivo no cumplen con la definición de activo, ya que la entidad receptora no tiene capacidad de controlar el acceso de entidad (o persona física) que transfiere los activos a los beneficios económicos o potencial de servicio futuros incorporados en la partida comprometida. </w:t>
      </w:r>
    </w:p>
    <w:p w14:paraId="0D173603" w14:textId="77777777" w:rsidR="00B9050D" w:rsidRPr="00B9050D" w:rsidRDefault="00B9050D" w:rsidP="00B9050D">
      <w:pPr>
        <w:pStyle w:val="Default"/>
        <w:ind w:left="1134" w:hanging="1134"/>
        <w:jc w:val="both"/>
        <w:rPr>
          <w:sz w:val="22"/>
          <w:szCs w:val="22"/>
          <w:lang w:val="es-CR"/>
        </w:rPr>
      </w:pPr>
    </w:p>
    <w:p w14:paraId="1067401A" w14:textId="57E2A8FF" w:rsidR="00B9050D" w:rsidRDefault="00B9050D" w:rsidP="00B9050D">
      <w:pPr>
        <w:pStyle w:val="Default"/>
        <w:ind w:left="1134" w:hanging="1134"/>
        <w:jc w:val="both"/>
        <w:rPr>
          <w:sz w:val="22"/>
          <w:szCs w:val="22"/>
          <w:lang w:val="es-CR"/>
        </w:rPr>
      </w:pPr>
      <w:r>
        <w:rPr>
          <w:sz w:val="22"/>
          <w:szCs w:val="22"/>
          <w:lang w:val="es-CR"/>
        </w:rPr>
        <w:t>4.26.1.01</w:t>
      </w:r>
      <w:r>
        <w:rPr>
          <w:sz w:val="22"/>
          <w:szCs w:val="22"/>
          <w:lang w:val="es-CR"/>
        </w:rPr>
        <w:tab/>
      </w:r>
      <w:r w:rsidRPr="00B9050D">
        <w:rPr>
          <w:sz w:val="22"/>
          <w:szCs w:val="22"/>
          <w:lang w:val="es-CR"/>
        </w:rPr>
        <w:t xml:space="preserve">No se reconocerán ingresos por los compromisos de donaciones, sino que sólo podrán ser revelados justificadamente como activos contingentes, en Notas a los EEFF. </w:t>
      </w:r>
    </w:p>
    <w:p w14:paraId="2B3DB9E5" w14:textId="77777777" w:rsidR="00115EEA" w:rsidRDefault="00115EEA" w:rsidP="00B9050D">
      <w:pPr>
        <w:pStyle w:val="Default"/>
        <w:ind w:left="1134" w:hanging="1134"/>
        <w:jc w:val="both"/>
        <w:rPr>
          <w:sz w:val="22"/>
          <w:szCs w:val="22"/>
          <w:lang w:val="es-CR"/>
        </w:rPr>
      </w:pPr>
    </w:p>
    <w:p w14:paraId="0880373A" w14:textId="77777777" w:rsidR="00B942C1" w:rsidRDefault="00B942C1" w:rsidP="00B9050D">
      <w:pPr>
        <w:pStyle w:val="Default"/>
        <w:ind w:left="1134" w:hanging="1134"/>
        <w:jc w:val="both"/>
        <w:rPr>
          <w:sz w:val="22"/>
          <w:szCs w:val="22"/>
          <w:lang w:val="es-CR"/>
        </w:rPr>
      </w:pPr>
    </w:p>
    <w:p w14:paraId="583AC69E" w14:textId="5CB89EEE" w:rsidR="00DE6BC0" w:rsidRPr="00B942C1" w:rsidRDefault="00115EEA" w:rsidP="00B942C1">
      <w:pPr>
        <w:pStyle w:val="Ttulo2"/>
        <w:ind w:left="284"/>
        <w:rPr>
          <w:rFonts w:ascii="Arial" w:eastAsia="Arial" w:hAnsi="Arial" w:cs="Arial"/>
          <w:b/>
          <w:bCs/>
          <w:sz w:val="20"/>
          <w:szCs w:val="20"/>
          <w:lang w:val="es-CR"/>
        </w:rPr>
      </w:pPr>
      <w:bookmarkStart w:id="128" w:name="_Toc172726263"/>
      <w:r w:rsidRPr="00B942C1">
        <w:rPr>
          <w:rFonts w:ascii="Arial" w:eastAsia="Arial" w:hAnsi="Arial" w:cs="Arial"/>
          <w:b/>
          <w:bCs/>
          <w:sz w:val="20"/>
          <w:szCs w:val="20"/>
          <w:lang w:val="es-CR"/>
        </w:rPr>
        <w:t>Anticipos de Transferencias</w:t>
      </w:r>
      <w:bookmarkEnd w:id="128"/>
    </w:p>
    <w:p w14:paraId="2722BADC" w14:textId="77777777" w:rsidR="00311422" w:rsidRDefault="00311422" w:rsidP="002A638A">
      <w:pPr>
        <w:pStyle w:val="Default"/>
        <w:spacing w:after="120" w:line="238" w:lineRule="auto"/>
        <w:ind w:right="260"/>
        <w:jc w:val="both"/>
        <w:rPr>
          <w:sz w:val="22"/>
          <w:szCs w:val="22"/>
          <w:lang w:val="es-CR"/>
        </w:rPr>
      </w:pPr>
    </w:p>
    <w:tbl>
      <w:tblPr>
        <w:tblW w:w="9347" w:type="dxa"/>
        <w:tblLook w:val="04A0" w:firstRow="1" w:lastRow="0" w:firstColumn="1" w:lastColumn="0" w:noHBand="0" w:noVBand="1"/>
      </w:tblPr>
      <w:tblGrid>
        <w:gridCol w:w="416"/>
        <w:gridCol w:w="708"/>
        <w:gridCol w:w="567"/>
        <w:gridCol w:w="3828"/>
        <w:gridCol w:w="1977"/>
        <w:gridCol w:w="1851"/>
      </w:tblGrid>
      <w:tr w:rsidR="00B9050D" w:rsidRPr="00B9050D" w14:paraId="1297F21E" w14:textId="77777777" w:rsidTr="005F4668">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CE804C3" w14:textId="77777777" w:rsidR="00B9050D" w:rsidRPr="00B9050D" w:rsidRDefault="00B9050D" w:rsidP="00B9050D">
            <w:pPr>
              <w:jc w:val="center"/>
              <w:rPr>
                <w:rFonts w:ascii="Arial Narrow" w:eastAsia="Times New Roman" w:hAnsi="Arial Narrow" w:cs="Calibri"/>
                <w:b/>
                <w:bCs/>
                <w:color w:val="FFFFFF"/>
                <w:sz w:val="22"/>
                <w:szCs w:val="22"/>
              </w:rPr>
            </w:pPr>
            <w:r w:rsidRPr="00B9050D">
              <w:rPr>
                <w:rFonts w:ascii="Arial Narrow" w:eastAsia="Times New Roman" w:hAnsi="Arial Narrow" w:cs="Calibri"/>
                <w:b/>
                <w:bCs/>
                <w:color w:val="FFFFFF"/>
                <w:sz w:val="22"/>
                <w:szCs w:val="22"/>
              </w:rPr>
              <w:t>Norma / Política</w:t>
            </w:r>
          </w:p>
        </w:tc>
        <w:tc>
          <w:tcPr>
            <w:tcW w:w="3828" w:type="dxa"/>
            <w:vMerge w:val="restart"/>
            <w:tcBorders>
              <w:top w:val="single" w:sz="8" w:space="0" w:color="auto"/>
              <w:left w:val="single" w:sz="8" w:space="0" w:color="auto"/>
              <w:bottom w:val="nil"/>
              <w:right w:val="single" w:sz="8" w:space="0" w:color="auto"/>
            </w:tcBorders>
            <w:shd w:val="clear" w:color="000000" w:fill="203764"/>
            <w:vAlign w:val="center"/>
            <w:hideMark/>
          </w:tcPr>
          <w:p w14:paraId="6C0B9AAF" w14:textId="77777777" w:rsidR="00B9050D" w:rsidRPr="00B9050D" w:rsidRDefault="00B9050D" w:rsidP="00B9050D">
            <w:pPr>
              <w:jc w:val="center"/>
              <w:rPr>
                <w:rFonts w:ascii="Arial Narrow" w:eastAsia="Times New Roman" w:hAnsi="Arial Narrow" w:cs="Calibri"/>
                <w:b/>
                <w:bCs/>
                <w:color w:val="FFFFFF"/>
                <w:sz w:val="22"/>
                <w:szCs w:val="22"/>
              </w:rPr>
            </w:pPr>
            <w:r w:rsidRPr="00B9050D">
              <w:rPr>
                <w:rFonts w:ascii="Arial Narrow" w:eastAsia="Times New Roman" w:hAnsi="Arial Narrow" w:cs="Calibri"/>
                <w:b/>
                <w:bCs/>
                <w:color w:val="FFFFFF"/>
                <w:sz w:val="22"/>
                <w:szCs w:val="22"/>
              </w:rPr>
              <w:t>Concepto</w:t>
            </w:r>
          </w:p>
        </w:tc>
        <w:tc>
          <w:tcPr>
            <w:tcW w:w="3828" w:type="dxa"/>
            <w:gridSpan w:val="2"/>
            <w:tcBorders>
              <w:top w:val="single" w:sz="8" w:space="0" w:color="auto"/>
              <w:left w:val="nil"/>
              <w:bottom w:val="single" w:sz="8" w:space="0" w:color="auto"/>
              <w:right w:val="single" w:sz="8" w:space="0" w:color="000000"/>
            </w:tcBorders>
            <w:shd w:val="clear" w:color="000000" w:fill="203764"/>
            <w:vAlign w:val="center"/>
            <w:hideMark/>
          </w:tcPr>
          <w:p w14:paraId="143A1081" w14:textId="77777777" w:rsidR="00B9050D" w:rsidRPr="00B9050D" w:rsidRDefault="00B9050D" w:rsidP="00B9050D">
            <w:pPr>
              <w:jc w:val="center"/>
              <w:rPr>
                <w:rFonts w:ascii="Arial Narrow" w:eastAsia="Times New Roman" w:hAnsi="Arial Narrow" w:cs="Calibri"/>
                <w:b/>
                <w:bCs/>
                <w:color w:val="FFFFFF"/>
                <w:sz w:val="22"/>
                <w:szCs w:val="22"/>
              </w:rPr>
            </w:pPr>
            <w:r w:rsidRPr="00B9050D">
              <w:rPr>
                <w:rFonts w:ascii="Arial Narrow" w:eastAsia="Times New Roman" w:hAnsi="Arial Narrow" w:cs="Calibri"/>
                <w:b/>
                <w:bCs/>
                <w:color w:val="FFFFFF"/>
                <w:sz w:val="22"/>
                <w:szCs w:val="22"/>
              </w:rPr>
              <w:t>Referencia</w:t>
            </w:r>
          </w:p>
        </w:tc>
      </w:tr>
      <w:tr w:rsidR="00B9050D" w:rsidRPr="006E5442" w14:paraId="025B095E" w14:textId="77777777" w:rsidTr="005F4668">
        <w:trPr>
          <w:trHeight w:val="618"/>
        </w:trPr>
        <w:tc>
          <w:tcPr>
            <w:tcW w:w="1691" w:type="dxa"/>
            <w:gridSpan w:val="3"/>
            <w:vMerge/>
            <w:tcBorders>
              <w:top w:val="single" w:sz="8" w:space="0" w:color="auto"/>
              <w:left w:val="single" w:sz="8" w:space="0" w:color="auto"/>
              <w:bottom w:val="nil"/>
              <w:right w:val="single" w:sz="8" w:space="0" w:color="000000"/>
            </w:tcBorders>
            <w:vAlign w:val="center"/>
            <w:hideMark/>
          </w:tcPr>
          <w:p w14:paraId="6A3026C9" w14:textId="77777777" w:rsidR="00B9050D" w:rsidRPr="00B9050D" w:rsidRDefault="00B9050D" w:rsidP="00B9050D">
            <w:pPr>
              <w:rPr>
                <w:rFonts w:ascii="Arial Narrow" w:eastAsia="Times New Roman" w:hAnsi="Arial Narrow" w:cs="Calibri"/>
                <w:b/>
                <w:bCs/>
                <w:color w:val="FFFFFF"/>
                <w:sz w:val="22"/>
                <w:szCs w:val="22"/>
              </w:rPr>
            </w:pPr>
          </w:p>
        </w:tc>
        <w:tc>
          <w:tcPr>
            <w:tcW w:w="3828" w:type="dxa"/>
            <w:vMerge/>
            <w:tcBorders>
              <w:top w:val="single" w:sz="8" w:space="0" w:color="auto"/>
              <w:left w:val="single" w:sz="8" w:space="0" w:color="auto"/>
              <w:bottom w:val="nil"/>
              <w:right w:val="single" w:sz="8" w:space="0" w:color="auto"/>
            </w:tcBorders>
            <w:vAlign w:val="center"/>
            <w:hideMark/>
          </w:tcPr>
          <w:p w14:paraId="544CEE92" w14:textId="77777777" w:rsidR="00B9050D" w:rsidRPr="00B9050D" w:rsidRDefault="00B9050D" w:rsidP="00B9050D">
            <w:pPr>
              <w:rPr>
                <w:rFonts w:ascii="Arial Narrow" w:eastAsia="Times New Roman" w:hAnsi="Arial Narrow" w:cs="Calibri"/>
                <w:b/>
                <w:bCs/>
                <w:color w:val="FFFFFF"/>
                <w:sz w:val="22"/>
                <w:szCs w:val="22"/>
              </w:rPr>
            </w:pPr>
          </w:p>
        </w:tc>
        <w:tc>
          <w:tcPr>
            <w:tcW w:w="1977" w:type="dxa"/>
            <w:tcBorders>
              <w:top w:val="nil"/>
              <w:left w:val="nil"/>
              <w:bottom w:val="nil"/>
              <w:right w:val="single" w:sz="8" w:space="0" w:color="auto"/>
            </w:tcBorders>
            <w:shd w:val="clear" w:color="000000" w:fill="203764"/>
            <w:vAlign w:val="center"/>
            <w:hideMark/>
          </w:tcPr>
          <w:p w14:paraId="2669330E" w14:textId="77777777" w:rsidR="00B9050D" w:rsidRPr="00B9050D" w:rsidRDefault="00B9050D" w:rsidP="00B9050D">
            <w:pPr>
              <w:jc w:val="center"/>
              <w:rPr>
                <w:rFonts w:ascii="Arial Narrow" w:eastAsia="Times New Roman" w:hAnsi="Arial Narrow" w:cs="Calibri"/>
                <w:b/>
                <w:bCs/>
                <w:color w:val="FFFFFF"/>
                <w:sz w:val="22"/>
                <w:szCs w:val="22"/>
              </w:rPr>
            </w:pPr>
            <w:r w:rsidRPr="00B9050D">
              <w:rPr>
                <w:rFonts w:ascii="Arial Narrow" w:eastAsia="Times New Roman" w:hAnsi="Arial Narrow" w:cs="Calibri"/>
                <w:b/>
                <w:bCs/>
                <w:color w:val="FFFFFF"/>
                <w:sz w:val="22"/>
                <w:szCs w:val="22"/>
              </w:rPr>
              <w:t>Norma</w:t>
            </w:r>
          </w:p>
        </w:tc>
        <w:tc>
          <w:tcPr>
            <w:tcW w:w="1851" w:type="dxa"/>
            <w:tcBorders>
              <w:top w:val="nil"/>
              <w:left w:val="nil"/>
              <w:bottom w:val="nil"/>
              <w:right w:val="single" w:sz="8" w:space="0" w:color="auto"/>
            </w:tcBorders>
            <w:shd w:val="clear" w:color="000000" w:fill="203764"/>
            <w:vAlign w:val="center"/>
            <w:hideMark/>
          </w:tcPr>
          <w:p w14:paraId="2CD855A9" w14:textId="77777777" w:rsidR="00B9050D" w:rsidRPr="00B9050D" w:rsidRDefault="00B9050D" w:rsidP="00B9050D">
            <w:pPr>
              <w:jc w:val="center"/>
              <w:rPr>
                <w:rFonts w:ascii="Arial Narrow" w:eastAsia="Times New Roman" w:hAnsi="Arial Narrow" w:cs="Calibri"/>
                <w:b/>
                <w:bCs/>
                <w:color w:val="FFFFFF"/>
                <w:sz w:val="22"/>
                <w:szCs w:val="22"/>
                <w:lang w:val="es-CR"/>
              </w:rPr>
            </w:pPr>
            <w:r w:rsidRPr="00B9050D">
              <w:rPr>
                <w:rFonts w:ascii="Arial Narrow" w:eastAsia="Times New Roman" w:hAnsi="Arial Narrow" w:cs="Calibri"/>
                <w:b/>
                <w:bCs/>
                <w:color w:val="FFFFFF"/>
                <w:sz w:val="22"/>
                <w:szCs w:val="22"/>
                <w:lang w:val="es-CR"/>
              </w:rPr>
              <w:t>Normativa técnica y disposiciones adicionales</w:t>
            </w:r>
          </w:p>
        </w:tc>
      </w:tr>
      <w:tr w:rsidR="00B9050D" w:rsidRPr="00B9050D" w14:paraId="495511FA" w14:textId="77777777" w:rsidTr="005F4668">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830DDF" w14:textId="77777777" w:rsidR="00B9050D" w:rsidRPr="00B9050D" w:rsidRDefault="00B9050D" w:rsidP="00B9050D">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4</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3B82318" w14:textId="77777777" w:rsidR="00B9050D" w:rsidRPr="00B9050D" w:rsidRDefault="00B9050D" w:rsidP="00B9050D">
            <w:pPr>
              <w:jc w:val="cente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27</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A271CAC" w14:textId="54B42B3B" w:rsidR="00B9050D" w:rsidRPr="00B9050D" w:rsidRDefault="00B9050D" w:rsidP="00B9050D">
            <w:pPr>
              <w:jc w:val="center"/>
              <w:rPr>
                <w:rFonts w:ascii="Arial Narrow" w:eastAsia="Times New Roman" w:hAnsi="Arial Narrow" w:cs="Calibri"/>
                <w:b/>
                <w:bCs/>
                <w:color w:val="000000"/>
                <w:sz w:val="22"/>
                <w:szCs w:val="22"/>
              </w:rPr>
            </w:pPr>
          </w:p>
        </w:tc>
        <w:tc>
          <w:tcPr>
            <w:tcW w:w="3828" w:type="dxa"/>
            <w:tcBorders>
              <w:top w:val="single" w:sz="8" w:space="0" w:color="auto"/>
              <w:left w:val="nil"/>
              <w:bottom w:val="single" w:sz="8" w:space="0" w:color="auto"/>
              <w:right w:val="single" w:sz="8" w:space="0" w:color="auto"/>
            </w:tcBorders>
            <w:shd w:val="clear" w:color="auto" w:fill="auto"/>
            <w:vAlign w:val="center"/>
            <w:hideMark/>
          </w:tcPr>
          <w:p w14:paraId="0983BADE" w14:textId="77777777" w:rsidR="00B9050D" w:rsidRPr="00B9050D" w:rsidRDefault="00B9050D" w:rsidP="00B9050D">
            <w:pPr>
              <w:jc w:val="both"/>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Anticipos de transferencias</w:t>
            </w:r>
          </w:p>
        </w:tc>
        <w:tc>
          <w:tcPr>
            <w:tcW w:w="1977" w:type="dxa"/>
            <w:tcBorders>
              <w:top w:val="single" w:sz="8" w:space="0" w:color="auto"/>
              <w:left w:val="nil"/>
              <w:bottom w:val="single" w:sz="8" w:space="0" w:color="auto"/>
              <w:right w:val="single" w:sz="8" w:space="0" w:color="auto"/>
            </w:tcBorders>
            <w:shd w:val="clear" w:color="auto" w:fill="auto"/>
            <w:vAlign w:val="center"/>
            <w:hideMark/>
          </w:tcPr>
          <w:p w14:paraId="3A8D7A0A" w14:textId="77777777" w:rsidR="00547734" w:rsidRDefault="00B9050D" w:rsidP="00B9050D">
            <w:pPr>
              <w:jc w:val="both"/>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NICSP N° 23,</w:t>
            </w:r>
          </w:p>
          <w:p w14:paraId="1DA49BF6" w14:textId="608FB091" w:rsidR="00B9050D" w:rsidRPr="00B9050D" w:rsidRDefault="00B9050D" w:rsidP="00B9050D">
            <w:pPr>
              <w:jc w:val="both"/>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Párrafo 105.</w:t>
            </w:r>
          </w:p>
        </w:tc>
        <w:tc>
          <w:tcPr>
            <w:tcW w:w="1851" w:type="dxa"/>
            <w:tcBorders>
              <w:top w:val="single" w:sz="8" w:space="0" w:color="auto"/>
              <w:left w:val="nil"/>
              <w:bottom w:val="single" w:sz="8" w:space="0" w:color="auto"/>
              <w:right w:val="single" w:sz="8" w:space="0" w:color="auto"/>
            </w:tcBorders>
            <w:shd w:val="clear" w:color="auto" w:fill="auto"/>
            <w:vAlign w:val="center"/>
            <w:hideMark/>
          </w:tcPr>
          <w:p w14:paraId="4EFFE084" w14:textId="77777777" w:rsidR="00B9050D" w:rsidRPr="00B9050D" w:rsidRDefault="00B9050D" w:rsidP="00B9050D">
            <w:pPr>
              <w:rPr>
                <w:rFonts w:ascii="Arial Narrow" w:eastAsia="Times New Roman" w:hAnsi="Arial Narrow" w:cs="Calibri"/>
                <w:b/>
                <w:bCs/>
                <w:color w:val="000000"/>
                <w:sz w:val="22"/>
                <w:szCs w:val="22"/>
              </w:rPr>
            </w:pPr>
            <w:r w:rsidRPr="00B9050D">
              <w:rPr>
                <w:rFonts w:ascii="Arial Narrow" w:eastAsia="Times New Roman" w:hAnsi="Arial Narrow" w:cs="Calibri"/>
                <w:b/>
                <w:bCs/>
                <w:color w:val="000000"/>
                <w:sz w:val="22"/>
                <w:szCs w:val="22"/>
              </w:rPr>
              <w:t xml:space="preserve"> </w:t>
            </w:r>
          </w:p>
        </w:tc>
      </w:tr>
    </w:tbl>
    <w:p w14:paraId="63337EDE" w14:textId="77777777" w:rsidR="000F6868" w:rsidRDefault="000F6868" w:rsidP="005F4668">
      <w:pPr>
        <w:pStyle w:val="Default"/>
        <w:ind w:right="261"/>
        <w:jc w:val="both"/>
        <w:rPr>
          <w:sz w:val="23"/>
          <w:szCs w:val="23"/>
          <w:lang w:val="es-CR"/>
        </w:rPr>
      </w:pPr>
    </w:p>
    <w:p w14:paraId="6293EF13" w14:textId="60478D62" w:rsidR="005F4668" w:rsidRDefault="005F4668" w:rsidP="005F4668">
      <w:pPr>
        <w:pStyle w:val="Default"/>
        <w:ind w:right="261"/>
        <w:jc w:val="both"/>
        <w:rPr>
          <w:rFonts w:eastAsia="Arial"/>
          <w:b/>
          <w:sz w:val="22"/>
          <w:szCs w:val="22"/>
        </w:rPr>
      </w:pPr>
      <w:r w:rsidRPr="00F02F9D">
        <w:rPr>
          <w:rFonts w:eastAsia="Arial"/>
          <w:b/>
          <w:sz w:val="22"/>
          <w:szCs w:val="22"/>
        </w:rPr>
        <w:t>Políticas Contables</w:t>
      </w:r>
    </w:p>
    <w:p w14:paraId="0AC42B21" w14:textId="77777777" w:rsidR="005F4668" w:rsidRDefault="005F4668" w:rsidP="005F4668">
      <w:pPr>
        <w:pStyle w:val="Default"/>
        <w:ind w:right="261"/>
        <w:jc w:val="both"/>
        <w:rPr>
          <w:sz w:val="23"/>
          <w:szCs w:val="23"/>
          <w:lang w:val="es-CR"/>
        </w:rPr>
      </w:pPr>
    </w:p>
    <w:p w14:paraId="4403C6AD" w14:textId="437CCA37" w:rsidR="00B9050D" w:rsidRDefault="000F6868" w:rsidP="005F4668">
      <w:pPr>
        <w:pStyle w:val="Default"/>
        <w:spacing w:after="120" w:line="238" w:lineRule="auto"/>
        <w:ind w:left="1134" w:right="26" w:hanging="1134"/>
        <w:jc w:val="both"/>
        <w:rPr>
          <w:sz w:val="22"/>
          <w:szCs w:val="22"/>
          <w:lang w:val="es-CR"/>
        </w:rPr>
      </w:pPr>
      <w:r w:rsidRPr="008D294D">
        <w:rPr>
          <w:sz w:val="22"/>
          <w:szCs w:val="22"/>
          <w:lang w:val="es-CR"/>
        </w:rPr>
        <w:t>4.27.0.01</w:t>
      </w:r>
      <w:r w:rsidRPr="008D294D">
        <w:rPr>
          <w:sz w:val="22"/>
          <w:szCs w:val="22"/>
          <w:lang w:val="es-CR"/>
        </w:rPr>
        <w:tab/>
      </w:r>
      <w:r w:rsidR="00B9050D" w:rsidRPr="008D294D">
        <w:rPr>
          <w:sz w:val="22"/>
          <w:szCs w:val="22"/>
          <w:lang w:val="es-CR"/>
        </w:rPr>
        <w:t>Cuando se reciban recursos antes de que un acuerdo de transferencia sea un compromiso firme, y los mismos cumplan con la definición de un activo y con los criterios para su reconocimiento como un activo, se procederá en ese sentido y se reconocerá un pasivo por cobro anticipado, hasta que el hecho que hace al acuerdo de transferencia un compromiso en firme tenga lugar y se cumplan todas las demás condiciones del acuerdo. Cuando el hecho suceda y todas las demás condiciones del acuerdo se cumplan, el pasivo se cancelará y se reconocerá un ingreso por transferencias.</w:t>
      </w:r>
    </w:p>
    <w:p w14:paraId="68572400" w14:textId="77777777" w:rsidR="00115EEA" w:rsidRDefault="00115EEA" w:rsidP="000F6868">
      <w:pPr>
        <w:pStyle w:val="Default"/>
        <w:spacing w:after="120" w:line="238" w:lineRule="auto"/>
        <w:ind w:left="1134" w:right="260" w:hanging="1134"/>
        <w:jc w:val="both"/>
        <w:rPr>
          <w:sz w:val="22"/>
          <w:szCs w:val="22"/>
          <w:lang w:val="es-CR"/>
        </w:rPr>
      </w:pPr>
    </w:p>
    <w:p w14:paraId="6AAA475D" w14:textId="77777777" w:rsidR="005F4668" w:rsidRDefault="005F4668" w:rsidP="000F6868">
      <w:pPr>
        <w:pStyle w:val="Default"/>
        <w:spacing w:after="120" w:line="238" w:lineRule="auto"/>
        <w:ind w:left="1134" w:right="260" w:hanging="1134"/>
        <w:jc w:val="both"/>
        <w:rPr>
          <w:sz w:val="22"/>
          <w:szCs w:val="22"/>
          <w:lang w:val="es-CR"/>
        </w:rPr>
      </w:pPr>
    </w:p>
    <w:p w14:paraId="607BA5A3" w14:textId="77777777" w:rsidR="005F4668" w:rsidRDefault="005F4668" w:rsidP="000F6868">
      <w:pPr>
        <w:pStyle w:val="Default"/>
        <w:spacing w:after="120" w:line="238" w:lineRule="auto"/>
        <w:ind w:left="1134" w:right="260" w:hanging="1134"/>
        <w:jc w:val="both"/>
        <w:rPr>
          <w:sz w:val="22"/>
          <w:szCs w:val="22"/>
          <w:lang w:val="es-CR"/>
        </w:rPr>
      </w:pPr>
    </w:p>
    <w:p w14:paraId="6122B685" w14:textId="77777777" w:rsidR="005F4668" w:rsidRDefault="005F4668" w:rsidP="000F6868">
      <w:pPr>
        <w:pStyle w:val="Default"/>
        <w:spacing w:after="120" w:line="238" w:lineRule="auto"/>
        <w:ind w:left="1134" w:right="260" w:hanging="1134"/>
        <w:jc w:val="both"/>
        <w:rPr>
          <w:sz w:val="22"/>
          <w:szCs w:val="22"/>
          <w:lang w:val="es-CR"/>
        </w:rPr>
      </w:pPr>
    </w:p>
    <w:p w14:paraId="4C17AB79" w14:textId="77777777" w:rsidR="005F4668" w:rsidRDefault="005F4668" w:rsidP="000F6868">
      <w:pPr>
        <w:pStyle w:val="Default"/>
        <w:spacing w:after="120" w:line="238" w:lineRule="auto"/>
        <w:ind w:left="1134" w:right="260" w:hanging="1134"/>
        <w:jc w:val="both"/>
        <w:rPr>
          <w:sz w:val="22"/>
          <w:szCs w:val="22"/>
          <w:lang w:val="es-CR"/>
        </w:rPr>
      </w:pPr>
    </w:p>
    <w:p w14:paraId="2418D1E6" w14:textId="77777777" w:rsidR="005F4668" w:rsidRDefault="005F4668" w:rsidP="000F6868">
      <w:pPr>
        <w:pStyle w:val="Default"/>
        <w:spacing w:after="120" w:line="238" w:lineRule="auto"/>
        <w:ind w:left="1134" w:right="260" w:hanging="1134"/>
        <w:jc w:val="both"/>
        <w:rPr>
          <w:sz w:val="22"/>
          <w:szCs w:val="22"/>
          <w:lang w:val="es-CR"/>
        </w:rPr>
      </w:pPr>
    </w:p>
    <w:p w14:paraId="25127C75" w14:textId="77777777" w:rsidR="005F4668" w:rsidRPr="008D294D" w:rsidRDefault="005F4668" w:rsidP="000F6868">
      <w:pPr>
        <w:pStyle w:val="Default"/>
        <w:spacing w:after="120" w:line="238" w:lineRule="auto"/>
        <w:ind w:left="1134" w:right="260" w:hanging="1134"/>
        <w:jc w:val="both"/>
        <w:rPr>
          <w:sz w:val="22"/>
          <w:szCs w:val="22"/>
          <w:lang w:val="es-CR"/>
        </w:rPr>
      </w:pPr>
    </w:p>
    <w:p w14:paraId="4B0B508D" w14:textId="01CA952A" w:rsidR="00DE6BC0" w:rsidRPr="00B942C1" w:rsidRDefault="00115EEA" w:rsidP="00B942C1">
      <w:pPr>
        <w:pStyle w:val="Ttulo2"/>
        <w:ind w:left="284"/>
        <w:rPr>
          <w:rFonts w:ascii="Arial" w:eastAsia="Arial" w:hAnsi="Arial" w:cs="Arial"/>
          <w:b/>
          <w:bCs/>
          <w:sz w:val="20"/>
          <w:szCs w:val="20"/>
          <w:lang w:val="es-CR"/>
        </w:rPr>
      </w:pPr>
      <w:bookmarkStart w:id="129" w:name="_Toc172726264"/>
      <w:r w:rsidRPr="00B942C1">
        <w:rPr>
          <w:rFonts w:ascii="Arial" w:eastAsia="Arial" w:hAnsi="Arial" w:cs="Arial"/>
          <w:b/>
          <w:bCs/>
          <w:sz w:val="20"/>
          <w:szCs w:val="20"/>
          <w:lang w:val="es-CR"/>
        </w:rPr>
        <w:lastRenderedPageBreak/>
        <w:t>Préstamos favorables</w:t>
      </w:r>
      <w:bookmarkEnd w:id="129"/>
    </w:p>
    <w:p w14:paraId="6B0F05A6" w14:textId="77777777" w:rsidR="00311422" w:rsidRDefault="00311422" w:rsidP="002A638A">
      <w:pPr>
        <w:pStyle w:val="Default"/>
        <w:spacing w:after="120" w:line="238" w:lineRule="auto"/>
        <w:ind w:right="260"/>
        <w:jc w:val="both"/>
        <w:rPr>
          <w:sz w:val="22"/>
          <w:szCs w:val="22"/>
          <w:lang w:val="es-CR"/>
        </w:rPr>
      </w:pPr>
    </w:p>
    <w:tbl>
      <w:tblPr>
        <w:tblW w:w="9394" w:type="dxa"/>
        <w:tblLook w:val="04A0" w:firstRow="1" w:lastRow="0" w:firstColumn="1" w:lastColumn="0" w:noHBand="0" w:noVBand="1"/>
      </w:tblPr>
      <w:tblGrid>
        <w:gridCol w:w="536"/>
        <w:gridCol w:w="706"/>
        <w:gridCol w:w="517"/>
        <w:gridCol w:w="3723"/>
        <w:gridCol w:w="2021"/>
        <w:gridCol w:w="1881"/>
        <w:gridCol w:w="10"/>
      </w:tblGrid>
      <w:tr w:rsidR="00B9050D" w:rsidRPr="00B942C1" w14:paraId="013541E4" w14:textId="77777777" w:rsidTr="005F4668">
        <w:trPr>
          <w:trHeight w:val="320"/>
        </w:trPr>
        <w:tc>
          <w:tcPr>
            <w:tcW w:w="17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CB9ED5F" w14:textId="77777777" w:rsidR="00B9050D" w:rsidRPr="00B942C1" w:rsidRDefault="00B9050D" w:rsidP="00B9050D">
            <w:pPr>
              <w:jc w:val="center"/>
              <w:rPr>
                <w:rFonts w:ascii="Arial Narrow" w:eastAsia="Times New Roman" w:hAnsi="Arial Narrow" w:cs="Calibri"/>
                <w:b/>
                <w:bCs/>
                <w:color w:val="FFFFFF"/>
                <w:sz w:val="22"/>
                <w:szCs w:val="22"/>
              </w:rPr>
            </w:pPr>
            <w:r w:rsidRPr="00B942C1">
              <w:rPr>
                <w:rFonts w:ascii="Arial Narrow" w:eastAsia="Times New Roman" w:hAnsi="Arial Narrow" w:cs="Calibri"/>
                <w:b/>
                <w:bCs/>
                <w:color w:val="FFFFFF"/>
                <w:sz w:val="22"/>
                <w:szCs w:val="22"/>
              </w:rPr>
              <w:t>Norma / Política</w:t>
            </w:r>
          </w:p>
        </w:tc>
        <w:tc>
          <w:tcPr>
            <w:tcW w:w="3723" w:type="dxa"/>
            <w:vMerge w:val="restart"/>
            <w:tcBorders>
              <w:top w:val="single" w:sz="8" w:space="0" w:color="auto"/>
              <w:left w:val="single" w:sz="8" w:space="0" w:color="auto"/>
              <w:bottom w:val="nil"/>
              <w:right w:val="single" w:sz="8" w:space="0" w:color="auto"/>
            </w:tcBorders>
            <w:shd w:val="clear" w:color="000000" w:fill="203764"/>
            <w:vAlign w:val="center"/>
            <w:hideMark/>
          </w:tcPr>
          <w:p w14:paraId="33D43EC9" w14:textId="77777777" w:rsidR="00B9050D" w:rsidRPr="00B942C1" w:rsidRDefault="00B9050D" w:rsidP="00B9050D">
            <w:pPr>
              <w:jc w:val="center"/>
              <w:rPr>
                <w:rFonts w:ascii="Arial Narrow" w:eastAsia="Times New Roman" w:hAnsi="Arial Narrow" w:cs="Calibri"/>
                <w:b/>
                <w:bCs/>
                <w:color w:val="FFFFFF"/>
                <w:sz w:val="22"/>
                <w:szCs w:val="22"/>
              </w:rPr>
            </w:pPr>
            <w:r w:rsidRPr="00B942C1">
              <w:rPr>
                <w:rFonts w:ascii="Arial Narrow" w:eastAsia="Times New Roman" w:hAnsi="Arial Narrow" w:cs="Calibri"/>
                <w:b/>
                <w:bCs/>
                <w:color w:val="FFFFFF"/>
                <w:sz w:val="22"/>
                <w:szCs w:val="22"/>
              </w:rPr>
              <w:t>Concepto</w:t>
            </w:r>
          </w:p>
        </w:tc>
        <w:tc>
          <w:tcPr>
            <w:tcW w:w="3912" w:type="dxa"/>
            <w:gridSpan w:val="3"/>
            <w:tcBorders>
              <w:top w:val="single" w:sz="8" w:space="0" w:color="auto"/>
              <w:left w:val="nil"/>
              <w:bottom w:val="single" w:sz="8" w:space="0" w:color="auto"/>
              <w:right w:val="single" w:sz="8" w:space="0" w:color="000000"/>
            </w:tcBorders>
            <w:shd w:val="clear" w:color="000000" w:fill="203764"/>
            <w:vAlign w:val="center"/>
            <w:hideMark/>
          </w:tcPr>
          <w:p w14:paraId="707986CC" w14:textId="77777777" w:rsidR="00B9050D" w:rsidRPr="00B942C1" w:rsidRDefault="00B9050D" w:rsidP="00B9050D">
            <w:pPr>
              <w:jc w:val="center"/>
              <w:rPr>
                <w:rFonts w:ascii="Arial Narrow" w:eastAsia="Times New Roman" w:hAnsi="Arial Narrow" w:cs="Calibri"/>
                <w:b/>
                <w:bCs/>
                <w:color w:val="FFFFFF"/>
                <w:sz w:val="22"/>
                <w:szCs w:val="22"/>
              </w:rPr>
            </w:pPr>
            <w:r w:rsidRPr="00B942C1">
              <w:rPr>
                <w:rFonts w:ascii="Arial Narrow" w:eastAsia="Times New Roman" w:hAnsi="Arial Narrow" w:cs="Calibri"/>
                <w:b/>
                <w:bCs/>
                <w:color w:val="FFFFFF"/>
                <w:sz w:val="22"/>
                <w:szCs w:val="22"/>
              </w:rPr>
              <w:t>Referencia</w:t>
            </w:r>
          </w:p>
        </w:tc>
      </w:tr>
      <w:tr w:rsidR="00B9050D" w:rsidRPr="006E5442" w14:paraId="64026F6A" w14:textId="77777777" w:rsidTr="005F4668">
        <w:trPr>
          <w:gridAfter w:val="1"/>
          <w:wAfter w:w="10" w:type="dxa"/>
          <w:trHeight w:val="706"/>
        </w:trPr>
        <w:tc>
          <w:tcPr>
            <w:tcW w:w="1759" w:type="dxa"/>
            <w:gridSpan w:val="3"/>
            <w:vMerge/>
            <w:tcBorders>
              <w:top w:val="single" w:sz="8" w:space="0" w:color="auto"/>
              <w:left w:val="single" w:sz="8" w:space="0" w:color="auto"/>
              <w:bottom w:val="nil"/>
              <w:right w:val="single" w:sz="8" w:space="0" w:color="000000"/>
            </w:tcBorders>
            <w:vAlign w:val="center"/>
            <w:hideMark/>
          </w:tcPr>
          <w:p w14:paraId="732D6C04" w14:textId="77777777" w:rsidR="00B9050D" w:rsidRPr="00B942C1" w:rsidRDefault="00B9050D" w:rsidP="00B9050D">
            <w:pPr>
              <w:rPr>
                <w:rFonts w:ascii="Arial Narrow" w:eastAsia="Times New Roman" w:hAnsi="Arial Narrow" w:cs="Calibri"/>
                <w:b/>
                <w:bCs/>
                <w:color w:val="FFFFFF"/>
                <w:sz w:val="22"/>
                <w:szCs w:val="22"/>
              </w:rPr>
            </w:pPr>
          </w:p>
        </w:tc>
        <w:tc>
          <w:tcPr>
            <w:tcW w:w="3723" w:type="dxa"/>
            <w:vMerge/>
            <w:tcBorders>
              <w:top w:val="single" w:sz="8" w:space="0" w:color="auto"/>
              <w:left w:val="single" w:sz="8" w:space="0" w:color="auto"/>
              <w:bottom w:val="nil"/>
              <w:right w:val="single" w:sz="8" w:space="0" w:color="auto"/>
            </w:tcBorders>
            <w:vAlign w:val="center"/>
            <w:hideMark/>
          </w:tcPr>
          <w:p w14:paraId="3095CB65" w14:textId="77777777" w:rsidR="00B9050D" w:rsidRPr="00B942C1" w:rsidRDefault="00B9050D" w:rsidP="00B9050D">
            <w:pPr>
              <w:rPr>
                <w:rFonts w:ascii="Arial Narrow" w:eastAsia="Times New Roman" w:hAnsi="Arial Narrow" w:cs="Calibri"/>
                <w:b/>
                <w:bCs/>
                <w:color w:val="FFFFFF"/>
                <w:sz w:val="22"/>
                <w:szCs w:val="22"/>
              </w:rPr>
            </w:pPr>
          </w:p>
        </w:tc>
        <w:tc>
          <w:tcPr>
            <w:tcW w:w="2021" w:type="dxa"/>
            <w:tcBorders>
              <w:top w:val="nil"/>
              <w:left w:val="nil"/>
              <w:bottom w:val="nil"/>
              <w:right w:val="single" w:sz="8" w:space="0" w:color="auto"/>
            </w:tcBorders>
            <w:shd w:val="clear" w:color="000000" w:fill="203764"/>
            <w:vAlign w:val="center"/>
            <w:hideMark/>
          </w:tcPr>
          <w:p w14:paraId="7DA89CF5" w14:textId="77777777" w:rsidR="00B9050D" w:rsidRPr="00B942C1" w:rsidRDefault="00B9050D" w:rsidP="00B9050D">
            <w:pPr>
              <w:jc w:val="center"/>
              <w:rPr>
                <w:rFonts w:ascii="Arial Narrow" w:eastAsia="Times New Roman" w:hAnsi="Arial Narrow" w:cs="Calibri"/>
                <w:b/>
                <w:bCs/>
                <w:color w:val="FFFFFF"/>
                <w:sz w:val="22"/>
                <w:szCs w:val="22"/>
              </w:rPr>
            </w:pPr>
            <w:r w:rsidRPr="00B942C1">
              <w:rPr>
                <w:rFonts w:ascii="Arial Narrow" w:eastAsia="Times New Roman" w:hAnsi="Arial Narrow" w:cs="Calibri"/>
                <w:b/>
                <w:bCs/>
                <w:color w:val="FFFFFF"/>
                <w:sz w:val="22"/>
                <w:szCs w:val="22"/>
              </w:rPr>
              <w:t>Norma</w:t>
            </w:r>
          </w:p>
        </w:tc>
        <w:tc>
          <w:tcPr>
            <w:tcW w:w="1881" w:type="dxa"/>
            <w:tcBorders>
              <w:top w:val="nil"/>
              <w:left w:val="nil"/>
              <w:bottom w:val="nil"/>
              <w:right w:val="single" w:sz="8" w:space="0" w:color="auto"/>
            </w:tcBorders>
            <w:shd w:val="clear" w:color="000000" w:fill="203764"/>
            <w:vAlign w:val="center"/>
            <w:hideMark/>
          </w:tcPr>
          <w:p w14:paraId="489A56D8" w14:textId="77777777" w:rsidR="00B9050D" w:rsidRPr="00B942C1" w:rsidRDefault="00B9050D" w:rsidP="00B9050D">
            <w:pPr>
              <w:jc w:val="center"/>
              <w:rPr>
                <w:rFonts w:ascii="Arial Narrow" w:eastAsia="Times New Roman" w:hAnsi="Arial Narrow" w:cs="Calibri"/>
                <w:b/>
                <w:bCs/>
                <w:color w:val="FFFFFF"/>
                <w:sz w:val="22"/>
                <w:szCs w:val="22"/>
                <w:lang w:val="es-CR"/>
              </w:rPr>
            </w:pPr>
            <w:r w:rsidRPr="00B942C1">
              <w:rPr>
                <w:rFonts w:ascii="Arial Narrow" w:eastAsia="Times New Roman" w:hAnsi="Arial Narrow" w:cs="Calibri"/>
                <w:b/>
                <w:bCs/>
                <w:color w:val="FFFFFF"/>
                <w:sz w:val="22"/>
                <w:szCs w:val="22"/>
                <w:lang w:val="es-CR"/>
              </w:rPr>
              <w:t>Normativa técnica y disposiciones adicionales</w:t>
            </w:r>
          </w:p>
        </w:tc>
      </w:tr>
      <w:tr w:rsidR="00B9050D" w:rsidRPr="00B942C1" w14:paraId="25841DF6" w14:textId="77777777" w:rsidTr="005F4668">
        <w:trPr>
          <w:gridAfter w:val="1"/>
          <w:wAfter w:w="10" w:type="dxa"/>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91245" w14:textId="77777777" w:rsidR="00B9050D" w:rsidRPr="00B942C1" w:rsidRDefault="00B9050D" w:rsidP="005F4668">
            <w:pPr>
              <w:jc w:val="center"/>
              <w:rPr>
                <w:rFonts w:ascii="Arial Narrow" w:eastAsia="Times New Roman" w:hAnsi="Arial Narrow"/>
                <w:b/>
                <w:bCs/>
                <w:color w:val="000000"/>
                <w:sz w:val="22"/>
                <w:szCs w:val="22"/>
              </w:rPr>
            </w:pPr>
            <w:r w:rsidRPr="00B942C1">
              <w:rPr>
                <w:rFonts w:ascii="Arial Narrow" w:eastAsia="Times New Roman" w:hAnsi="Arial Narrow"/>
                <w:b/>
                <w:bCs/>
                <w:color w:val="000000"/>
                <w:sz w:val="22"/>
                <w:szCs w:val="22"/>
              </w:rPr>
              <w:t>4</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5BBEB5F5" w14:textId="77777777" w:rsidR="00B9050D" w:rsidRPr="00B942C1" w:rsidRDefault="00B9050D" w:rsidP="005F4668">
            <w:pPr>
              <w:jc w:val="center"/>
              <w:rPr>
                <w:rFonts w:ascii="Arial Narrow" w:eastAsia="Times New Roman" w:hAnsi="Arial Narrow"/>
                <w:b/>
                <w:bCs/>
                <w:color w:val="000000"/>
                <w:sz w:val="22"/>
                <w:szCs w:val="22"/>
              </w:rPr>
            </w:pPr>
            <w:r w:rsidRPr="00B942C1">
              <w:rPr>
                <w:rFonts w:ascii="Arial Narrow" w:eastAsia="Times New Roman" w:hAnsi="Arial Narrow"/>
                <w:b/>
                <w:bCs/>
                <w:color w:val="000000"/>
                <w:sz w:val="22"/>
                <w:szCs w:val="22"/>
              </w:rPr>
              <w:t>28</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3E57707D" w14:textId="403B2673" w:rsidR="00B9050D" w:rsidRPr="00B942C1" w:rsidRDefault="00B9050D" w:rsidP="005F4668">
            <w:pPr>
              <w:jc w:val="center"/>
              <w:rPr>
                <w:rFonts w:ascii="Arial Narrow" w:eastAsia="Times New Roman" w:hAnsi="Arial Narrow" w:cs="Calibri"/>
                <w:b/>
                <w:bCs/>
                <w:color w:val="000000"/>
                <w:sz w:val="22"/>
                <w:szCs w:val="22"/>
              </w:rPr>
            </w:pPr>
          </w:p>
        </w:tc>
        <w:tc>
          <w:tcPr>
            <w:tcW w:w="3723" w:type="dxa"/>
            <w:tcBorders>
              <w:top w:val="single" w:sz="8" w:space="0" w:color="auto"/>
              <w:left w:val="nil"/>
              <w:bottom w:val="single" w:sz="8" w:space="0" w:color="auto"/>
              <w:right w:val="single" w:sz="8" w:space="0" w:color="auto"/>
            </w:tcBorders>
            <w:shd w:val="clear" w:color="auto" w:fill="auto"/>
            <w:vAlign w:val="center"/>
            <w:hideMark/>
          </w:tcPr>
          <w:p w14:paraId="3B83483F" w14:textId="77777777" w:rsidR="00B9050D" w:rsidRPr="00B942C1" w:rsidRDefault="00B9050D" w:rsidP="00B9050D">
            <w:pPr>
              <w:rPr>
                <w:rFonts w:ascii="Arial Narrow" w:eastAsia="Times New Roman" w:hAnsi="Arial Narrow"/>
                <w:b/>
                <w:bCs/>
                <w:color w:val="000000"/>
                <w:sz w:val="22"/>
                <w:szCs w:val="22"/>
              </w:rPr>
            </w:pPr>
            <w:r w:rsidRPr="00B942C1">
              <w:rPr>
                <w:rFonts w:ascii="Arial Narrow" w:eastAsia="Times New Roman" w:hAnsi="Arial Narrow"/>
                <w:b/>
                <w:bCs/>
                <w:color w:val="000000"/>
                <w:sz w:val="22"/>
                <w:szCs w:val="22"/>
              </w:rPr>
              <w:t>Préstamos en condiciones favorables</w:t>
            </w:r>
          </w:p>
        </w:tc>
        <w:tc>
          <w:tcPr>
            <w:tcW w:w="2021" w:type="dxa"/>
            <w:tcBorders>
              <w:top w:val="single" w:sz="8" w:space="0" w:color="auto"/>
              <w:left w:val="nil"/>
              <w:bottom w:val="single" w:sz="8" w:space="0" w:color="auto"/>
              <w:right w:val="single" w:sz="8" w:space="0" w:color="auto"/>
            </w:tcBorders>
            <w:shd w:val="clear" w:color="auto" w:fill="auto"/>
            <w:vAlign w:val="center"/>
            <w:hideMark/>
          </w:tcPr>
          <w:p w14:paraId="367774C0" w14:textId="77777777" w:rsidR="00B9050D" w:rsidRPr="00B942C1" w:rsidRDefault="00B9050D" w:rsidP="00B9050D">
            <w:pPr>
              <w:rPr>
                <w:rFonts w:ascii="Arial Narrow" w:eastAsia="Times New Roman" w:hAnsi="Arial Narrow" w:cs="Calibri"/>
                <w:b/>
                <w:bCs/>
                <w:color w:val="000000"/>
                <w:sz w:val="22"/>
                <w:szCs w:val="22"/>
              </w:rPr>
            </w:pPr>
            <w:r w:rsidRPr="00B942C1">
              <w:rPr>
                <w:rFonts w:ascii="Arial Narrow" w:eastAsia="Times New Roman" w:hAnsi="Arial Narrow" w:cs="Calibri"/>
                <w:b/>
                <w:bCs/>
                <w:color w:val="000000"/>
                <w:sz w:val="22"/>
                <w:szCs w:val="22"/>
              </w:rPr>
              <w:t>NICSP N° 23,</w:t>
            </w:r>
            <w:r w:rsidRPr="00B942C1">
              <w:rPr>
                <w:rFonts w:ascii="Arial Narrow" w:eastAsia="Times New Roman" w:hAnsi="Arial Narrow" w:cs="Calibri"/>
                <w:b/>
                <w:bCs/>
                <w:color w:val="000000"/>
                <w:sz w:val="22"/>
                <w:szCs w:val="22"/>
              </w:rPr>
              <w:br/>
              <w:t>Párrafo 105A.</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1FC6B7C1" w14:textId="77777777" w:rsidR="00B9050D" w:rsidRPr="00B942C1" w:rsidRDefault="00B9050D" w:rsidP="00B9050D">
            <w:pPr>
              <w:jc w:val="center"/>
              <w:rPr>
                <w:rFonts w:ascii="Arial Narrow" w:eastAsia="Times New Roman" w:hAnsi="Arial Narrow" w:cs="Calibri"/>
                <w:b/>
                <w:bCs/>
                <w:color w:val="000000"/>
                <w:sz w:val="22"/>
                <w:szCs w:val="22"/>
              </w:rPr>
            </w:pPr>
            <w:r w:rsidRPr="00B942C1">
              <w:rPr>
                <w:rFonts w:ascii="Arial Narrow" w:eastAsia="Times New Roman" w:hAnsi="Arial Narrow" w:cs="Calibri"/>
                <w:b/>
                <w:bCs/>
                <w:color w:val="000000"/>
                <w:sz w:val="22"/>
                <w:szCs w:val="22"/>
              </w:rPr>
              <w:t xml:space="preserve"> </w:t>
            </w:r>
          </w:p>
        </w:tc>
      </w:tr>
      <w:tr w:rsidR="00B9050D" w:rsidRPr="00B942C1" w14:paraId="6188AA89" w14:textId="77777777" w:rsidTr="005F4668">
        <w:trPr>
          <w:gridAfter w:val="1"/>
          <w:wAfter w:w="10" w:type="dxa"/>
          <w:trHeight w:val="515"/>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587E3EB5" w14:textId="77777777" w:rsidR="00B9050D" w:rsidRPr="00B942C1" w:rsidRDefault="00B9050D" w:rsidP="005F4668">
            <w:pPr>
              <w:jc w:val="center"/>
              <w:rPr>
                <w:rFonts w:ascii="Arial Narrow" w:eastAsia="Times New Roman" w:hAnsi="Arial Narrow"/>
                <w:b/>
                <w:bCs/>
                <w:color w:val="000000"/>
                <w:sz w:val="22"/>
                <w:szCs w:val="22"/>
              </w:rPr>
            </w:pPr>
            <w:r w:rsidRPr="00B942C1">
              <w:rPr>
                <w:rFonts w:ascii="Arial Narrow" w:eastAsia="Times New Roman" w:hAnsi="Arial Narrow"/>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7E388582" w14:textId="77777777" w:rsidR="00B9050D" w:rsidRPr="00B942C1" w:rsidRDefault="00B9050D" w:rsidP="005F4668">
            <w:pPr>
              <w:jc w:val="center"/>
              <w:rPr>
                <w:rFonts w:ascii="Arial Narrow" w:eastAsia="Times New Roman" w:hAnsi="Arial Narrow"/>
                <w:b/>
                <w:bCs/>
                <w:color w:val="000000"/>
                <w:sz w:val="22"/>
                <w:szCs w:val="22"/>
              </w:rPr>
            </w:pPr>
            <w:r w:rsidRPr="00B942C1">
              <w:rPr>
                <w:rFonts w:ascii="Arial Narrow" w:eastAsia="Times New Roman" w:hAnsi="Arial Narrow"/>
                <w:b/>
                <w:bCs/>
                <w:color w:val="000000"/>
                <w:sz w:val="22"/>
                <w:szCs w:val="22"/>
              </w:rPr>
              <w:t>28</w:t>
            </w:r>
          </w:p>
        </w:tc>
        <w:tc>
          <w:tcPr>
            <w:tcW w:w="517" w:type="dxa"/>
            <w:tcBorders>
              <w:top w:val="nil"/>
              <w:left w:val="nil"/>
              <w:bottom w:val="single" w:sz="8" w:space="0" w:color="auto"/>
              <w:right w:val="nil"/>
            </w:tcBorders>
            <w:shd w:val="clear" w:color="auto" w:fill="auto"/>
            <w:vAlign w:val="center"/>
            <w:hideMark/>
          </w:tcPr>
          <w:p w14:paraId="5966D1AC" w14:textId="77777777" w:rsidR="00B9050D" w:rsidRPr="00B942C1" w:rsidRDefault="00B9050D" w:rsidP="005F4668">
            <w:pPr>
              <w:jc w:val="center"/>
              <w:rPr>
                <w:rFonts w:ascii="Arial Narrow" w:eastAsia="Times New Roman" w:hAnsi="Arial Narrow" w:cs="Calibri"/>
                <w:b/>
                <w:bCs/>
                <w:color w:val="000000"/>
                <w:sz w:val="22"/>
                <w:szCs w:val="22"/>
              </w:rPr>
            </w:pPr>
            <w:r w:rsidRPr="00B942C1">
              <w:rPr>
                <w:rFonts w:ascii="Arial Narrow" w:eastAsia="Times New Roman" w:hAnsi="Arial Narrow" w:cs="Calibri"/>
                <w:b/>
                <w:bCs/>
                <w:color w:val="000000"/>
                <w:sz w:val="22"/>
                <w:szCs w:val="22"/>
              </w:rPr>
              <w:t>1</w:t>
            </w:r>
          </w:p>
        </w:tc>
        <w:tc>
          <w:tcPr>
            <w:tcW w:w="3723" w:type="dxa"/>
            <w:tcBorders>
              <w:top w:val="nil"/>
              <w:left w:val="single" w:sz="8" w:space="0" w:color="auto"/>
              <w:bottom w:val="single" w:sz="8" w:space="0" w:color="auto"/>
              <w:right w:val="single" w:sz="8" w:space="0" w:color="auto"/>
            </w:tcBorders>
            <w:shd w:val="clear" w:color="auto" w:fill="auto"/>
            <w:vAlign w:val="center"/>
            <w:hideMark/>
          </w:tcPr>
          <w:p w14:paraId="5886A0A7" w14:textId="77777777" w:rsidR="00B9050D" w:rsidRPr="00B942C1" w:rsidRDefault="00B9050D" w:rsidP="00B9050D">
            <w:pPr>
              <w:rPr>
                <w:rFonts w:ascii="Arial Narrow" w:eastAsia="Times New Roman" w:hAnsi="Arial Narrow"/>
                <w:b/>
                <w:bCs/>
                <w:color w:val="000000"/>
                <w:sz w:val="22"/>
                <w:szCs w:val="22"/>
                <w:lang w:val="es-CR"/>
              </w:rPr>
            </w:pPr>
            <w:r w:rsidRPr="00B942C1">
              <w:rPr>
                <w:rFonts w:ascii="Arial Narrow" w:eastAsia="Times New Roman" w:hAnsi="Arial Narrow"/>
                <w:b/>
                <w:bCs/>
                <w:color w:val="000000"/>
                <w:sz w:val="22"/>
                <w:szCs w:val="22"/>
                <w:lang w:val="es-CR"/>
              </w:rPr>
              <w:t>Reconocimiento de ingresos por préstamos en condiciones favorables</w:t>
            </w:r>
          </w:p>
        </w:tc>
        <w:tc>
          <w:tcPr>
            <w:tcW w:w="2021" w:type="dxa"/>
            <w:tcBorders>
              <w:top w:val="nil"/>
              <w:left w:val="nil"/>
              <w:bottom w:val="single" w:sz="8" w:space="0" w:color="auto"/>
              <w:right w:val="single" w:sz="8" w:space="0" w:color="auto"/>
            </w:tcBorders>
            <w:shd w:val="clear" w:color="auto" w:fill="auto"/>
            <w:vAlign w:val="center"/>
            <w:hideMark/>
          </w:tcPr>
          <w:p w14:paraId="3FCE1975" w14:textId="77777777" w:rsidR="00B9050D" w:rsidRPr="00B942C1" w:rsidRDefault="00B9050D" w:rsidP="00B9050D">
            <w:pPr>
              <w:rPr>
                <w:rFonts w:ascii="Arial Narrow" w:eastAsia="Times New Roman" w:hAnsi="Arial Narrow" w:cs="Calibri"/>
                <w:b/>
                <w:bCs/>
                <w:color w:val="000000"/>
                <w:sz w:val="22"/>
                <w:szCs w:val="22"/>
              </w:rPr>
            </w:pPr>
            <w:r w:rsidRPr="00B942C1">
              <w:rPr>
                <w:rFonts w:ascii="Arial Narrow" w:eastAsia="Times New Roman" w:hAnsi="Arial Narrow" w:cs="Calibri"/>
                <w:b/>
                <w:bCs/>
                <w:color w:val="000000"/>
                <w:sz w:val="22"/>
                <w:szCs w:val="22"/>
              </w:rPr>
              <w:t>NICSP N° 23,</w:t>
            </w:r>
            <w:r w:rsidRPr="00B942C1">
              <w:rPr>
                <w:rFonts w:ascii="Arial Narrow" w:eastAsia="Times New Roman" w:hAnsi="Arial Narrow" w:cs="Calibri"/>
                <w:b/>
                <w:bCs/>
                <w:color w:val="000000"/>
                <w:sz w:val="22"/>
                <w:szCs w:val="22"/>
              </w:rPr>
              <w:br/>
              <w:t>Párrafo 105 B.</w:t>
            </w:r>
          </w:p>
        </w:tc>
        <w:tc>
          <w:tcPr>
            <w:tcW w:w="1881" w:type="dxa"/>
            <w:tcBorders>
              <w:top w:val="nil"/>
              <w:left w:val="nil"/>
              <w:bottom w:val="single" w:sz="8" w:space="0" w:color="auto"/>
              <w:right w:val="single" w:sz="8" w:space="0" w:color="auto"/>
            </w:tcBorders>
            <w:shd w:val="clear" w:color="auto" w:fill="auto"/>
            <w:vAlign w:val="center"/>
            <w:hideMark/>
          </w:tcPr>
          <w:p w14:paraId="60B381D5" w14:textId="77777777" w:rsidR="00B9050D" w:rsidRPr="00B942C1" w:rsidRDefault="00B9050D" w:rsidP="00B9050D">
            <w:pPr>
              <w:jc w:val="center"/>
              <w:rPr>
                <w:rFonts w:ascii="Arial Narrow" w:eastAsia="Times New Roman" w:hAnsi="Arial Narrow" w:cs="Calibri"/>
                <w:b/>
                <w:bCs/>
                <w:color w:val="000000"/>
                <w:sz w:val="22"/>
                <w:szCs w:val="22"/>
              </w:rPr>
            </w:pPr>
            <w:r w:rsidRPr="00B942C1">
              <w:rPr>
                <w:rFonts w:ascii="Arial Narrow" w:eastAsia="Times New Roman" w:hAnsi="Arial Narrow" w:cs="Calibri"/>
                <w:b/>
                <w:bCs/>
                <w:color w:val="000000"/>
                <w:sz w:val="22"/>
                <w:szCs w:val="22"/>
              </w:rPr>
              <w:t xml:space="preserve"> </w:t>
            </w:r>
          </w:p>
        </w:tc>
      </w:tr>
    </w:tbl>
    <w:p w14:paraId="351AD254" w14:textId="77777777" w:rsidR="00B9050D" w:rsidRDefault="00B9050D" w:rsidP="005F4668">
      <w:pPr>
        <w:pStyle w:val="Default"/>
        <w:ind w:right="261"/>
        <w:jc w:val="both"/>
        <w:rPr>
          <w:sz w:val="22"/>
          <w:szCs w:val="22"/>
          <w:lang w:val="es-CR"/>
        </w:rPr>
      </w:pPr>
    </w:p>
    <w:p w14:paraId="794E9A34" w14:textId="5C315076" w:rsidR="005F4668" w:rsidRDefault="005F4668" w:rsidP="005F4668">
      <w:pPr>
        <w:pStyle w:val="Default"/>
        <w:ind w:right="261"/>
        <w:jc w:val="both"/>
        <w:rPr>
          <w:sz w:val="22"/>
          <w:szCs w:val="22"/>
          <w:lang w:val="es-CR"/>
        </w:rPr>
      </w:pPr>
      <w:r w:rsidRPr="00F02F9D">
        <w:rPr>
          <w:rFonts w:eastAsia="Arial"/>
          <w:b/>
          <w:sz w:val="22"/>
          <w:szCs w:val="22"/>
        </w:rPr>
        <w:t>Políticas Contables</w:t>
      </w:r>
    </w:p>
    <w:p w14:paraId="1B425E88" w14:textId="77777777" w:rsidR="005F4668" w:rsidRDefault="005F4668" w:rsidP="005F4668">
      <w:pPr>
        <w:pStyle w:val="Default"/>
        <w:ind w:right="261"/>
        <w:jc w:val="both"/>
        <w:rPr>
          <w:sz w:val="22"/>
          <w:szCs w:val="22"/>
          <w:lang w:val="es-CR"/>
        </w:rPr>
      </w:pPr>
    </w:p>
    <w:p w14:paraId="3918BF37" w14:textId="662ADF1D" w:rsidR="000F6868" w:rsidRPr="000F6868" w:rsidRDefault="000F6868" w:rsidP="000F6868">
      <w:pPr>
        <w:pStyle w:val="Default"/>
        <w:ind w:left="1134" w:hanging="1134"/>
        <w:jc w:val="both"/>
        <w:rPr>
          <w:sz w:val="22"/>
          <w:szCs w:val="22"/>
          <w:lang w:val="es-CR"/>
        </w:rPr>
      </w:pPr>
      <w:r>
        <w:rPr>
          <w:sz w:val="22"/>
          <w:szCs w:val="22"/>
          <w:lang w:val="es-CR"/>
        </w:rPr>
        <w:t>4.28.0.01</w:t>
      </w:r>
      <w:r>
        <w:rPr>
          <w:sz w:val="22"/>
          <w:szCs w:val="22"/>
          <w:lang w:val="es-CR"/>
        </w:rPr>
        <w:tab/>
        <w:t>So</w:t>
      </w:r>
      <w:r w:rsidRPr="000F6868">
        <w:rPr>
          <w:sz w:val="22"/>
          <w:szCs w:val="22"/>
          <w:lang w:val="es-CR"/>
        </w:rPr>
        <w:t xml:space="preserve">n préstamos recibidos por una entidad en términos por debajo de mercado. La parte del préstamo que es </w:t>
      </w:r>
      <w:r w:rsidR="005907B3" w:rsidRPr="000F6868">
        <w:rPr>
          <w:sz w:val="22"/>
          <w:szCs w:val="22"/>
          <w:lang w:val="es-CR"/>
        </w:rPr>
        <w:t>ree</w:t>
      </w:r>
      <w:r w:rsidR="005907B3">
        <w:rPr>
          <w:sz w:val="22"/>
          <w:szCs w:val="22"/>
          <w:lang w:val="es-CR"/>
        </w:rPr>
        <w:t>mbo</w:t>
      </w:r>
      <w:r w:rsidR="005907B3" w:rsidRPr="000F6868">
        <w:rPr>
          <w:sz w:val="22"/>
          <w:szCs w:val="22"/>
          <w:lang w:val="es-CR"/>
        </w:rPr>
        <w:t>lsable</w:t>
      </w:r>
      <w:r w:rsidRPr="000F6868">
        <w:rPr>
          <w:sz w:val="22"/>
          <w:szCs w:val="22"/>
          <w:lang w:val="es-CR"/>
        </w:rPr>
        <w:t xml:space="preserve">, junto con los pagos de intereses, es una transacción con contraprestación y se contabilizará según lo indicado para Instrumentos Financieros en el Capítulo “Pasivo” del presente PGCN. Deberá considerarse si cualquier diferencia entre el precio de la transacción (importe del préstamo) y el valor razonable del préstamo en el reconocimiento inicial se trata de un ingreso sin contraprestación. </w:t>
      </w:r>
    </w:p>
    <w:p w14:paraId="056C73C8" w14:textId="0E5F18C7" w:rsidR="000F6868" w:rsidRPr="000F6868" w:rsidRDefault="000F6868" w:rsidP="000F6868">
      <w:pPr>
        <w:pStyle w:val="Default"/>
        <w:jc w:val="both"/>
        <w:rPr>
          <w:sz w:val="22"/>
          <w:szCs w:val="22"/>
          <w:lang w:val="es-CR"/>
        </w:rPr>
      </w:pPr>
    </w:p>
    <w:p w14:paraId="787FBAEB" w14:textId="44A202A0" w:rsidR="000F6868" w:rsidRPr="000F6868" w:rsidRDefault="000F6868" w:rsidP="003F17BE">
      <w:pPr>
        <w:pStyle w:val="Default"/>
        <w:spacing w:after="120" w:line="238" w:lineRule="auto"/>
        <w:ind w:left="1134" w:right="4" w:hanging="1134"/>
        <w:jc w:val="both"/>
        <w:rPr>
          <w:sz w:val="22"/>
          <w:szCs w:val="22"/>
          <w:lang w:val="es-CR"/>
        </w:rPr>
      </w:pPr>
      <w:r>
        <w:rPr>
          <w:sz w:val="22"/>
          <w:szCs w:val="22"/>
          <w:lang w:val="es-CR"/>
        </w:rPr>
        <w:t>4.28.</w:t>
      </w:r>
      <w:r w:rsidRPr="000F6868">
        <w:rPr>
          <w:sz w:val="22"/>
          <w:szCs w:val="22"/>
          <w:lang w:val="es-CR"/>
        </w:rPr>
        <w:t>1.</w:t>
      </w:r>
      <w:r>
        <w:rPr>
          <w:sz w:val="22"/>
          <w:szCs w:val="22"/>
          <w:lang w:val="es-CR"/>
        </w:rPr>
        <w:t>01</w:t>
      </w:r>
      <w:r>
        <w:rPr>
          <w:sz w:val="22"/>
          <w:szCs w:val="22"/>
          <w:lang w:val="es-CR"/>
        </w:rPr>
        <w:tab/>
      </w:r>
      <w:r w:rsidRPr="000F6868">
        <w:rPr>
          <w:sz w:val="22"/>
          <w:szCs w:val="22"/>
          <w:lang w:val="es-CR"/>
        </w:rPr>
        <w:t>En el caso en que se determine que la diferencia entre el precio de la transacción (importe del préstamo) y el valor razonable del préstamo en el reconocimiento inicial es un ingreso sin contraprestación, se reconocerá la diferencia como un ingreso, salvo si existiera una obligación actual, por ejemplo, en el caso de que las condiciones específicas impuestas sobre los activos transferidos por el receptor den lugar a una obligación actual. En el caso de que exista una obligación actual, se reconocerá como un pasivo. Cuando la entidad satisfaga la obligación actual, se reducirá el pasivo y se reconocerá un ingreso por el mismo importe.</w:t>
      </w:r>
    </w:p>
    <w:p w14:paraId="2B636EFD" w14:textId="77777777" w:rsidR="007E76C2" w:rsidRDefault="007E76C2" w:rsidP="002A638A">
      <w:pPr>
        <w:pStyle w:val="Default"/>
        <w:spacing w:after="120" w:line="238" w:lineRule="auto"/>
        <w:ind w:right="260"/>
        <w:jc w:val="both"/>
        <w:rPr>
          <w:sz w:val="22"/>
          <w:szCs w:val="22"/>
          <w:lang w:val="es-CR"/>
        </w:rPr>
      </w:pPr>
    </w:p>
    <w:p w14:paraId="74CE2561" w14:textId="77777777" w:rsidR="00B942C1" w:rsidRPr="00696F96" w:rsidRDefault="00B942C1" w:rsidP="00696F96">
      <w:pPr>
        <w:pStyle w:val="Default"/>
        <w:rPr>
          <w:lang w:val="es-CR"/>
        </w:rPr>
      </w:pPr>
    </w:p>
    <w:p w14:paraId="0D5014E7" w14:textId="17D124B9" w:rsidR="007E76C2" w:rsidRPr="00B942C1" w:rsidRDefault="00696F96" w:rsidP="00B942C1">
      <w:pPr>
        <w:pStyle w:val="Ttulo2"/>
        <w:ind w:left="284"/>
        <w:rPr>
          <w:rFonts w:ascii="Arial" w:eastAsia="Arial" w:hAnsi="Arial" w:cs="Arial"/>
          <w:b/>
          <w:bCs/>
          <w:sz w:val="20"/>
          <w:szCs w:val="20"/>
          <w:lang w:val="es-CR"/>
        </w:rPr>
      </w:pPr>
      <w:bookmarkStart w:id="130" w:name="_Toc172726265"/>
      <w:r w:rsidRPr="00B942C1">
        <w:rPr>
          <w:rFonts w:ascii="Arial" w:eastAsia="Arial" w:hAnsi="Arial" w:cs="Arial"/>
          <w:b/>
          <w:bCs/>
          <w:sz w:val="20"/>
          <w:szCs w:val="20"/>
          <w:lang w:val="es-CR"/>
        </w:rPr>
        <w:t>Ingresos de transacciones con contraprestación</w:t>
      </w:r>
      <w:bookmarkEnd w:id="130"/>
    </w:p>
    <w:p w14:paraId="46AA1E0A" w14:textId="77777777" w:rsidR="007E76C2" w:rsidRDefault="007E76C2" w:rsidP="002A638A">
      <w:pPr>
        <w:pStyle w:val="Default"/>
        <w:spacing w:after="120" w:line="238" w:lineRule="auto"/>
        <w:ind w:right="260"/>
        <w:jc w:val="both"/>
        <w:rPr>
          <w:sz w:val="22"/>
          <w:szCs w:val="22"/>
          <w:lang w:val="es-CR"/>
        </w:rPr>
      </w:pPr>
    </w:p>
    <w:tbl>
      <w:tblPr>
        <w:tblW w:w="9356" w:type="dxa"/>
        <w:tblLook w:val="04A0" w:firstRow="1" w:lastRow="0" w:firstColumn="1" w:lastColumn="0" w:noHBand="0" w:noVBand="1"/>
      </w:tblPr>
      <w:tblGrid>
        <w:gridCol w:w="416"/>
        <w:gridCol w:w="697"/>
        <w:gridCol w:w="437"/>
        <w:gridCol w:w="3827"/>
        <w:gridCol w:w="2116"/>
        <w:gridCol w:w="1852"/>
        <w:gridCol w:w="11"/>
      </w:tblGrid>
      <w:tr w:rsidR="00696F96" w:rsidRPr="00696F96" w14:paraId="081F6684" w14:textId="77777777" w:rsidTr="00C12943">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E2D6A70" w14:textId="77777777" w:rsidR="00696F96" w:rsidRPr="00696F96" w:rsidRDefault="00696F96" w:rsidP="00696F96">
            <w:pPr>
              <w:jc w:val="center"/>
              <w:rPr>
                <w:rFonts w:ascii="Arial Narrow" w:eastAsia="Times New Roman" w:hAnsi="Arial Narrow" w:cs="Calibri"/>
                <w:b/>
                <w:bCs/>
                <w:color w:val="FFFFFF"/>
                <w:sz w:val="22"/>
                <w:szCs w:val="22"/>
              </w:rPr>
            </w:pPr>
            <w:r w:rsidRPr="00696F96">
              <w:rPr>
                <w:rFonts w:ascii="Arial Narrow" w:eastAsia="Times New Roman" w:hAnsi="Arial Narrow" w:cs="Calibri"/>
                <w:b/>
                <w:bCs/>
                <w:color w:val="FFFFFF"/>
                <w:sz w:val="22"/>
                <w:szCs w:val="22"/>
              </w:rPr>
              <w:t>Norma / Política</w:t>
            </w:r>
          </w:p>
        </w:tc>
        <w:tc>
          <w:tcPr>
            <w:tcW w:w="3827" w:type="dxa"/>
            <w:vMerge w:val="restart"/>
            <w:tcBorders>
              <w:top w:val="single" w:sz="8" w:space="0" w:color="auto"/>
              <w:left w:val="single" w:sz="8" w:space="0" w:color="auto"/>
              <w:bottom w:val="nil"/>
              <w:right w:val="single" w:sz="8" w:space="0" w:color="auto"/>
            </w:tcBorders>
            <w:shd w:val="clear" w:color="000000" w:fill="203764"/>
            <w:vAlign w:val="center"/>
            <w:hideMark/>
          </w:tcPr>
          <w:p w14:paraId="6F591551" w14:textId="77777777" w:rsidR="00696F96" w:rsidRPr="00696F96" w:rsidRDefault="00696F96" w:rsidP="00696F96">
            <w:pPr>
              <w:jc w:val="center"/>
              <w:rPr>
                <w:rFonts w:ascii="Arial Narrow" w:eastAsia="Times New Roman" w:hAnsi="Arial Narrow" w:cs="Calibri"/>
                <w:b/>
                <w:bCs/>
                <w:color w:val="FFFFFF"/>
                <w:sz w:val="22"/>
                <w:szCs w:val="22"/>
              </w:rPr>
            </w:pPr>
            <w:r w:rsidRPr="00696F96">
              <w:rPr>
                <w:rFonts w:ascii="Arial Narrow" w:eastAsia="Times New Roman" w:hAnsi="Arial Narrow" w:cs="Calibri"/>
                <w:b/>
                <w:bCs/>
                <w:color w:val="FFFFFF"/>
                <w:sz w:val="22"/>
                <w:szCs w:val="22"/>
              </w:rPr>
              <w:t>Concepto</w:t>
            </w:r>
          </w:p>
        </w:tc>
        <w:tc>
          <w:tcPr>
            <w:tcW w:w="3979" w:type="dxa"/>
            <w:gridSpan w:val="3"/>
            <w:tcBorders>
              <w:top w:val="single" w:sz="8" w:space="0" w:color="auto"/>
              <w:left w:val="nil"/>
              <w:bottom w:val="single" w:sz="8" w:space="0" w:color="auto"/>
              <w:right w:val="single" w:sz="8" w:space="0" w:color="000000"/>
            </w:tcBorders>
            <w:shd w:val="clear" w:color="000000" w:fill="203764"/>
            <w:vAlign w:val="center"/>
            <w:hideMark/>
          </w:tcPr>
          <w:p w14:paraId="4793B1F9" w14:textId="77777777" w:rsidR="00696F96" w:rsidRPr="00696F96" w:rsidRDefault="00696F96" w:rsidP="00696F96">
            <w:pPr>
              <w:jc w:val="center"/>
              <w:rPr>
                <w:rFonts w:ascii="Arial Narrow" w:eastAsia="Times New Roman" w:hAnsi="Arial Narrow" w:cs="Calibri"/>
                <w:b/>
                <w:bCs/>
                <w:color w:val="FFFFFF"/>
                <w:sz w:val="22"/>
                <w:szCs w:val="22"/>
              </w:rPr>
            </w:pPr>
            <w:r w:rsidRPr="00696F96">
              <w:rPr>
                <w:rFonts w:ascii="Arial Narrow" w:eastAsia="Times New Roman" w:hAnsi="Arial Narrow" w:cs="Calibri"/>
                <w:b/>
                <w:bCs/>
                <w:color w:val="FFFFFF"/>
                <w:sz w:val="22"/>
                <w:szCs w:val="22"/>
              </w:rPr>
              <w:t>Referencia</w:t>
            </w:r>
          </w:p>
        </w:tc>
      </w:tr>
      <w:tr w:rsidR="00696F96" w:rsidRPr="006E5442" w14:paraId="0646AB53" w14:textId="77777777" w:rsidTr="00C12943">
        <w:trPr>
          <w:gridAfter w:val="1"/>
          <w:wAfter w:w="11" w:type="dxa"/>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7AC8D40" w14:textId="77777777" w:rsidR="00696F96" w:rsidRPr="00696F96" w:rsidRDefault="00696F96" w:rsidP="00696F96">
            <w:pPr>
              <w:rPr>
                <w:rFonts w:ascii="Arial Narrow" w:eastAsia="Times New Roman" w:hAnsi="Arial Narrow" w:cs="Calibri"/>
                <w:b/>
                <w:bCs/>
                <w:color w:val="FFFFFF"/>
                <w:sz w:val="22"/>
                <w:szCs w:val="22"/>
              </w:rPr>
            </w:pPr>
          </w:p>
        </w:tc>
        <w:tc>
          <w:tcPr>
            <w:tcW w:w="3827" w:type="dxa"/>
            <w:vMerge/>
            <w:tcBorders>
              <w:top w:val="single" w:sz="8" w:space="0" w:color="auto"/>
              <w:left w:val="single" w:sz="8" w:space="0" w:color="auto"/>
              <w:bottom w:val="nil"/>
              <w:right w:val="single" w:sz="8" w:space="0" w:color="auto"/>
            </w:tcBorders>
            <w:vAlign w:val="center"/>
            <w:hideMark/>
          </w:tcPr>
          <w:p w14:paraId="71B3AC09" w14:textId="77777777" w:rsidR="00696F96" w:rsidRPr="00696F96" w:rsidRDefault="00696F96" w:rsidP="00696F96">
            <w:pPr>
              <w:rPr>
                <w:rFonts w:ascii="Arial Narrow" w:eastAsia="Times New Roman" w:hAnsi="Arial Narrow" w:cs="Calibri"/>
                <w:b/>
                <w:bCs/>
                <w:color w:val="FFFFFF"/>
                <w:sz w:val="22"/>
                <w:szCs w:val="22"/>
              </w:rPr>
            </w:pPr>
          </w:p>
        </w:tc>
        <w:tc>
          <w:tcPr>
            <w:tcW w:w="2116" w:type="dxa"/>
            <w:tcBorders>
              <w:top w:val="nil"/>
              <w:left w:val="nil"/>
              <w:bottom w:val="nil"/>
              <w:right w:val="single" w:sz="8" w:space="0" w:color="auto"/>
            </w:tcBorders>
            <w:shd w:val="clear" w:color="000000" w:fill="203764"/>
            <w:vAlign w:val="center"/>
            <w:hideMark/>
          </w:tcPr>
          <w:p w14:paraId="14DBC2AB" w14:textId="77777777" w:rsidR="00696F96" w:rsidRPr="00696F96" w:rsidRDefault="00696F96" w:rsidP="00696F96">
            <w:pPr>
              <w:jc w:val="center"/>
              <w:rPr>
                <w:rFonts w:ascii="Arial Narrow" w:eastAsia="Times New Roman" w:hAnsi="Arial Narrow" w:cs="Calibri"/>
                <w:b/>
                <w:bCs/>
                <w:color w:val="FFFFFF"/>
                <w:sz w:val="22"/>
                <w:szCs w:val="22"/>
              </w:rPr>
            </w:pPr>
            <w:r w:rsidRPr="00696F96">
              <w:rPr>
                <w:rFonts w:ascii="Arial Narrow" w:eastAsia="Times New Roman" w:hAnsi="Arial Narrow" w:cs="Calibri"/>
                <w:b/>
                <w:bCs/>
                <w:color w:val="FFFFFF"/>
                <w:sz w:val="22"/>
                <w:szCs w:val="22"/>
              </w:rPr>
              <w:t>Norma</w:t>
            </w:r>
          </w:p>
        </w:tc>
        <w:tc>
          <w:tcPr>
            <w:tcW w:w="1852" w:type="dxa"/>
            <w:tcBorders>
              <w:top w:val="nil"/>
              <w:left w:val="nil"/>
              <w:bottom w:val="nil"/>
              <w:right w:val="single" w:sz="8" w:space="0" w:color="auto"/>
            </w:tcBorders>
            <w:shd w:val="clear" w:color="000000" w:fill="203764"/>
            <w:vAlign w:val="center"/>
            <w:hideMark/>
          </w:tcPr>
          <w:p w14:paraId="4DC7D517" w14:textId="77777777" w:rsidR="00696F96" w:rsidRPr="00696F96" w:rsidRDefault="00696F96" w:rsidP="00696F96">
            <w:pPr>
              <w:jc w:val="center"/>
              <w:rPr>
                <w:rFonts w:ascii="Arial Narrow" w:eastAsia="Times New Roman" w:hAnsi="Arial Narrow" w:cs="Calibri"/>
                <w:b/>
                <w:bCs/>
                <w:color w:val="FFFFFF"/>
                <w:sz w:val="22"/>
                <w:szCs w:val="22"/>
                <w:lang w:val="es-CR"/>
              </w:rPr>
            </w:pPr>
            <w:r w:rsidRPr="00696F96">
              <w:rPr>
                <w:rFonts w:ascii="Arial Narrow" w:eastAsia="Times New Roman" w:hAnsi="Arial Narrow" w:cs="Calibri"/>
                <w:b/>
                <w:bCs/>
                <w:color w:val="FFFFFF"/>
                <w:sz w:val="22"/>
                <w:szCs w:val="22"/>
                <w:lang w:val="es-CR"/>
              </w:rPr>
              <w:t>Normativa técnica y disposiciones adicionales</w:t>
            </w:r>
          </w:p>
        </w:tc>
      </w:tr>
      <w:tr w:rsidR="00696F96" w:rsidRPr="00696F96" w14:paraId="5036A128" w14:textId="77777777" w:rsidTr="00C12943">
        <w:trPr>
          <w:gridAfter w:val="1"/>
          <w:wAfter w:w="11"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274C11" w14:textId="77777777" w:rsidR="00696F96" w:rsidRPr="00696F96" w:rsidRDefault="00696F96" w:rsidP="00696F96">
            <w:pPr>
              <w:jc w:val="center"/>
              <w:rPr>
                <w:rFonts w:ascii="Arial Narrow" w:eastAsia="Times New Roman" w:hAnsi="Arial Narrow" w:cs="Calibri"/>
                <w:b/>
                <w:bCs/>
                <w:color w:val="000000"/>
                <w:sz w:val="22"/>
                <w:szCs w:val="22"/>
              </w:rPr>
            </w:pPr>
            <w:r w:rsidRPr="00696F96">
              <w:rPr>
                <w:rFonts w:ascii="Arial Narrow" w:eastAsia="Times New Roman" w:hAnsi="Arial Narrow" w:cs="Calibri"/>
                <w:b/>
                <w:bCs/>
                <w:color w:val="000000"/>
                <w:sz w:val="22"/>
                <w:szCs w:val="22"/>
              </w:rPr>
              <w:t>4</w:t>
            </w:r>
          </w:p>
        </w:tc>
        <w:tc>
          <w:tcPr>
            <w:tcW w:w="697" w:type="dxa"/>
            <w:tcBorders>
              <w:top w:val="single" w:sz="8" w:space="0" w:color="auto"/>
              <w:left w:val="nil"/>
              <w:bottom w:val="single" w:sz="8" w:space="0" w:color="auto"/>
              <w:right w:val="single" w:sz="8" w:space="0" w:color="auto"/>
            </w:tcBorders>
            <w:shd w:val="clear" w:color="auto" w:fill="auto"/>
            <w:noWrap/>
            <w:vAlign w:val="center"/>
            <w:hideMark/>
          </w:tcPr>
          <w:p w14:paraId="5E9E1BDD" w14:textId="77777777" w:rsidR="00696F96" w:rsidRPr="00696F96" w:rsidRDefault="00696F96" w:rsidP="00696F96">
            <w:pPr>
              <w:jc w:val="center"/>
              <w:rPr>
                <w:rFonts w:ascii="Arial Narrow" w:eastAsia="Times New Roman" w:hAnsi="Arial Narrow" w:cs="Calibri"/>
                <w:b/>
                <w:bCs/>
                <w:color w:val="000000"/>
                <w:sz w:val="22"/>
                <w:szCs w:val="22"/>
              </w:rPr>
            </w:pPr>
            <w:r w:rsidRPr="00696F96">
              <w:rPr>
                <w:rFonts w:ascii="Arial Narrow" w:eastAsia="Times New Roman" w:hAnsi="Arial Narrow" w:cs="Calibri"/>
                <w:b/>
                <w:bCs/>
                <w:color w:val="000000"/>
                <w:sz w:val="22"/>
                <w:szCs w:val="22"/>
              </w:rPr>
              <w:t>30</w:t>
            </w:r>
          </w:p>
        </w:tc>
        <w:tc>
          <w:tcPr>
            <w:tcW w:w="437" w:type="dxa"/>
            <w:tcBorders>
              <w:top w:val="single" w:sz="8" w:space="0" w:color="auto"/>
              <w:left w:val="nil"/>
              <w:bottom w:val="single" w:sz="8" w:space="0" w:color="auto"/>
              <w:right w:val="single" w:sz="8" w:space="0" w:color="auto"/>
            </w:tcBorders>
            <w:shd w:val="clear" w:color="auto" w:fill="auto"/>
            <w:vAlign w:val="center"/>
            <w:hideMark/>
          </w:tcPr>
          <w:p w14:paraId="729FD881" w14:textId="0B9DCFD7" w:rsidR="00696F96" w:rsidRPr="00696F96" w:rsidRDefault="00696F96" w:rsidP="00696F96">
            <w:pPr>
              <w:jc w:val="center"/>
              <w:rPr>
                <w:rFonts w:ascii="Arial Narrow" w:eastAsia="Times New Roman" w:hAnsi="Arial Narrow" w:cs="Calibri"/>
                <w:b/>
                <w:bCs/>
                <w:color w:val="000000"/>
                <w:sz w:val="22"/>
                <w:szCs w:val="22"/>
              </w:rPr>
            </w:pPr>
          </w:p>
        </w:tc>
        <w:tc>
          <w:tcPr>
            <w:tcW w:w="3827" w:type="dxa"/>
            <w:tcBorders>
              <w:top w:val="single" w:sz="8" w:space="0" w:color="auto"/>
              <w:left w:val="nil"/>
              <w:bottom w:val="single" w:sz="8" w:space="0" w:color="auto"/>
              <w:right w:val="single" w:sz="8" w:space="0" w:color="auto"/>
            </w:tcBorders>
            <w:shd w:val="clear" w:color="auto" w:fill="auto"/>
            <w:vAlign w:val="center"/>
            <w:hideMark/>
          </w:tcPr>
          <w:p w14:paraId="7941CA4A" w14:textId="77777777" w:rsidR="00696F96" w:rsidRPr="00696F96" w:rsidRDefault="00696F96" w:rsidP="00696F96">
            <w:pPr>
              <w:jc w:val="both"/>
              <w:rPr>
                <w:rFonts w:ascii="Arial Narrow" w:eastAsia="Times New Roman" w:hAnsi="Arial Narrow" w:cs="Calibri"/>
                <w:b/>
                <w:bCs/>
                <w:color w:val="000000"/>
                <w:sz w:val="22"/>
                <w:szCs w:val="22"/>
                <w:lang w:val="es-CR"/>
              </w:rPr>
            </w:pPr>
            <w:r w:rsidRPr="00696F96">
              <w:rPr>
                <w:rFonts w:ascii="Arial Narrow" w:eastAsia="Times New Roman" w:hAnsi="Arial Narrow" w:cs="Calibri"/>
                <w:b/>
                <w:bCs/>
                <w:color w:val="000000"/>
                <w:sz w:val="22"/>
                <w:szCs w:val="22"/>
                <w:lang w:val="es-CR"/>
              </w:rPr>
              <w:t>Medición de ingresos por transacciones con contraprestación</w:t>
            </w:r>
          </w:p>
        </w:tc>
        <w:tc>
          <w:tcPr>
            <w:tcW w:w="2116" w:type="dxa"/>
            <w:tcBorders>
              <w:top w:val="single" w:sz="8" w:space="0" w:color="auto"/>
              <w:left w:val="nil"/>
              <w:bottom w:val="single" w:sz="8" w:space="0" w:color="auto"/>
              <w:right w:val="single" w:sz="8" w:space="0" w:color="auto"/>
            </w:tcBorders>
            <w:shd w:val="clear" w:color="auto" w:fill="auto"/>
            <w:vAlign w:val="center"/>
            <w:hideMark/>
          </w:tcPr>
          <w:p w14:paraId="1E9D9EA4" w14:textId="77777777" w:rsidR="00B942C1" w:rsidRDefault="00696F96" w:rsidP="00696F96">
            <w:pPr>
              <w:jc w:val="both"/>
              <w:rPr>
                <w:rFonts w:ascii="Arial Narrow" w:eastAsia="Times New Roman" w:hAnsi="Arial Narrow" w:cs="Calibri"/>
                <w:b/>
                <w:bCs/>
                <w:color w:val="000000"/>
                <w:sz w:val="22"/>
                <w:szCs w:val="22"/>
              </w:rPr>
            </w:pPr>
            <w:r w:rsidRPr="00696F96">
              <w:rPr>
                <w:rFonts w:ascii="Arial Narrow" w:eastAsia="Times New Roman" w:hAnsi="Arial Narrow" w:cs="Calibri"/>
                <w:b/>
                <w:bCs/>
                <w:color w:val="000000"/>
                <w:sz w:val="22"/>
                <w:szCs w:val="22"/>
              </w:rPr>
              <w:t>NICSP N° 9,</w:t>
            </w:r>
          </w:p>
          <w:p w14:paraId="6BFA7BC8" w14:textId="0DD4250A" w:rsidR="00696F96" w:rsidRPr="00696F96" w:rsidRDefault="00696F96" w:rsidP="00696F96">
            <w:pPr>
              <w:jc w:val="both"/>
              <w:rPr>
                <w:rFonts w:ascii="Arial Narrow" w:eastAsia="Times New Roman" w:hAnsi="Arial Narrow" w:cs="Calibri"/>
                <w:b/>
                <w:bCs/>
                <w:color w:val="000000"/>
                <w:sz w:val="22"/>
                <w:szCs w:val="22"/>
              </w:rPr>
            </w:pPr>
            <w:r w:rsidRPr="00696F96">
              <w:rPr>
                <w:rFonts w:ascii="Arial Narrow" w:eastAsia="Times New Roman" w:hAnsi="Arial Narrow" w:cs="Calibri"/>
                <w:b/>
                <w:bCs/>
                <w:color w:val="000000"/>
                <w:sz w:val="22"/>
                <w:szCs w:val="22"/>
              </w:rPr>
              <w:t>Párrafo 14.</w:t>
            </w:r>
          </w:p>
        </w:tc>
        <w:tc>
          <w:tcPr>
            <w:tcW w:w="1852" w:type="dxa"/>
            <w:tcBorders>
              <w:top w:val="single" w:sz="8" w:space="0" w:color="auto"/>
              <w:left w:val="nil"/>
              <w:bottom w:val="single" w:sz="8" w:space="0" w:color="auto"/>
              <w:right w:val="single" w:sz="8" w:space="0" w:color="auto"/>
            </w:tcBorders>
            <w:shd w:val="clear" w:color="auto" w:fill="auto"/>
            <w:vAlign w:val="center"/>
            <w:hideMark/>
          </w:tcPr>
          <w:p w14:paraId="036B8E16" w14:textId="77777777" w:rsidR="00696F96" w:rsidRPr="00696F96" w:rsidRDefault="00696F96" w:rsidP="00696F96">
            <w:pPr>
              <w:rPr>
                <w:rFonts w:ascii="Arial Narrow" w:eastAsia="Times New Roman" w:hAnsi="Arial Narrow" w:cs="Calibri"/>
                <w:b/>
                <w:bCs/>
                <w:color w:val="000000"/>
                <w:sz w:val="22"/>
                <w:szCs w:val="22"/>
              </w:rPr>
            </w:pPr>
            <w:r w:rsidRPr="00696F96">
              <w:rPr>
                <w:rFonts w:ascii="Arial Narrow" w:eastAsia="Times New Roman" w:hAnsi="Arial Narrow" w:cs="Calibri"/>
                <w:b/>
                <w:bCs/>
                <w:color w:val="000000"/>
                <w:sz w:val="22"/>
                <w:szCs w:val="22"/>
              </w:rPr>
              <w:t xml:space="preserve"> </w:t>
            </w:r>
          </w:p>
        </w:tc>
      </w:tr>
    </w:tbl>
    <w:p w14:paraId="05B31D19" w14:textId="77777777" w:rsidR="007E76C2" w:rsidRDefault="007E76C2" w:rsidP="00C12943">
      <w:pPr>
        <w:pStyle w:val="Default"/>
        <w:ind w:right="261"/>
        <w:jc w:val="both"/>
        <w:rPr>
          <w:sz w:val="22"/>
          <w:szCs w:val="22"/>
          <w:lang w:val="es-CR"/>
        </w:rPr>
      </w:pPr>
    </w:p>
    <w:p w14:paraId="315BC1DE" w14:textId="76D448A0" w:rsidR="00C12943" w:rsidRDefault="00C12943" w:rsidP="00C12943">
      <w:pPr>
        <w:pStyle w:val="Default"/>
        <w:ind w:right="261"/>
        <w:jc w:val="both"/>
        <w:rPr>
          <w:rFonts w:eastAsia="Arial"/>
          <w:b/>
          <w:sz w:val="22"/>
          <w:szCs w:val="22"/>
        </w:rPr>
      </w:pPr>
      <w:r w:rsidRPr="00F02F9D">
        <w:rPr>
          <w:rFonts w:eastAsia="Arial"/>
          <w:b/>
          <w:sz w:val="22"/>
          <w:szCs w:val="22"/>
        </w:rPr>
        <w:t>Política Contable</w:t>
      </w:r>
    </w:p>
    <w:p w14:paraId="4C36784B" w14:textId="77777777" w:rsidR="00C12943" w:rsidRDefault="00C12943" w:rsidP="00C12943">
      <w:pPr>
        <w:pStyle w:val="Default"/>
        <w:ind w:right="261"/>
        <w:jc w:val="both"/>
        <w:rPr>
          <w:sz w:val="22"/>
          <w:szCs w:val="22"/>
          <w:lang w:val="es-CR"/>
        </w:rPr>
      </w:pPr>
    </w:p>
    <w:p w14:paraId="5C1C6916" w14:textId="1EE26F41" w:rsidR="00696F96" w:rsidRDefault="00696F96" w:rsidP="00C12943">
      <w:pPr>
        <w:pStyle w:val="Default"/>
        <w:spacing w:after="120" w:line="238" w:lineRule="auto"/>
        <w:ind w:left="1134" w:right="26" w:hanging="1134"/>
        <w:jc w:val="both"/>
        <w:rPr>
          <w:sz w:val="22"/>
          <w:szCs w:val="22"/>
          <w:lang w:val="es-CR"/>
        </w:rPr>
      </w:pPr>
      <w:r w:rsidRPr="00696F96">
        <w:rPr>
          <w:sz w:val="22"/>
          <w:szCs w:val="22"/>
          <w:lang w:val="es-CR"/>
        </w:rPr>
        <w:t>4.30.0.01</w:t>
      </w:r>
      <w:r w:rsidRPr="00696F96">
        <w:rPr>
          <w:sz w:val="22"/>
          <w:szCs w:val="22"/>
          <w:lang w:val="es-CR"/>
        </w:rPr>
        <w:tab/>
        <w:t xml:space="preserve">La medición de los ingresos debe hacerse utilizando </w:t>
      </w:r>
      <w:r w:rsidRPr="00696F96">
        <w:rPr>
          <w:b/>
          <w:bCs/>
          <w:sz w:val="22"/>
          <w:szCs w:val="22"/>
          <w:lang w:val="es-CR"/>
        </w:rPr>
        <w:t>el valor razonable de la contrapartida</w:t>
      </w:r>
      <w:r w:rsidRPr="00696F96">
        <w:rPr>
          <w:sz w:val="22"/>
          <w:szCs w:val="22"/>
          <w:lang w:val="es-CR"/>
        </w:rPr>
        <w:t>, recibida o por recibir, derivada de los mismos.</w:t>
      </w:r>
    </w:p>
    <w:p w14:paraId="499D25A2" w14:textId="77777777" w:rsidR="00696F96" w:rsidRDefault="00696F96" w:rsidP="00B942C1">
      <w:pPr>
        <w:pStyle w:val="Default"/>
        <w:ind w:left="1134" w:right="261" w:hanging="1134"/>
        <w:jc w:val="both"/>
        <w:rPr>
          <w:sz w:val="22"/>
          <w:szCs w:val="22"/>
          <w:lang w:val="es-CR"/>
        </w:rPr>
      </w:pPr>
    </w:p>
    <w:p w14:paraId="32A6C032" w14:textId="77777777" w:rsidR="00C12943" w:rsidRDefault="00C12943" w:rsidP="00B942C1">
      <w:pPr>
        <w:pStyle w:val="Default"/>
        <w:ind w:left="1134" w:right="261" w:hanging="1134"/>
        <w:jc w:val="both"/>
        <w:rPr>
          <w:sz w:val="22"/>
          <w:szCs w:val="22"/>
          <w:lang w:val="es-CR"/>
        </w:rPr>
      </w:pPr>
    </w:p>
    <w:p w14:paraId="1405F461" w14:textId="77777777" w:rsidR="00C12943" w:rsidRDefault="00C12943" w:rsidP="00B942C1">
      <w:pPr>
        <w:pStyle w:val="Default"/>
        <w:ind w:left="1134" w:right="261" w:hanging="1134"/>
        <w:jc w:val="both"/>
        <w:rPr>
          <w:sz w:val="22"/>
          <w:szCs w:val="22"/>
          <w:lang w:val="es-CR"/>
        </w:rPr>
      </w:pPr>
    </w:p>
    <w:p w14:paraId="29C572A5" w14:textId="77777777" w:rsidR="00C12943" w:rsidRDefault="00C12943" w:rsidP="00B942C1">
      <w:pPr>
        <w:pStyle w:val="Default"/>
        <w:ind w:left="1134" w:right="261" w:hanging="1134"/>
        <w:jc w:val="both"/>
        <w:rPr>
          <w:sz w:val="22"/>
          <w:szCs w:val="22"/>
          <w:lang w:val="es-CR"/>
        </w:rPr>
      </w:pPr>
    </w:p>
    <w:p w14:paraId="27897939" w14:textId="77777777" w:rsidR="00C12943" w:rsidRDefault="00C12943" w:rsidP="00B942C1">
      <w:pPr>
        <w:pStyle w:val="Default"/>
        <w:ind w:left="1134" w:right="261" w:hanging="1134"/>
        <w:jc w:val="both"/>
        <w:rPr>
          <w:sz w:val="22"/>
          <w:szCs w:val="22"/>
          <w:lang w:val="es-CR"/>
        </w:rPr>
      </w:pPr>
    </w:p>
    <w:p w14:paraId="3BDD0F64" w14:textId="77777777" w:rsidR="008D294D" w:rsidRDefault="008D294D" w:rsidP="00B942C1">
      <w:pPr>
        <w:pStyle w:val="Default"/>
        <w:ind w:left="1134" w:right="261" w:hanging="1134"/>
        <w:jc w:val="both"/>
        <w:rPr>
          <w:sz w:val="22"/>
          <w:szCs w:val="22"/>
          <w:lang w:val="es-CR"/>
        </w:rPr>
      </w:pPr>
    </w:p>
    <w:p w14:paraId="651170BD" w14:textId="71BE97E9" w:rsidR="00696F96" w:rsidRPr="00B942C1" w:rsidRDefault="00696F96" w:rsidP="00B942C1">
      <w:pPr>
        <w:pStyle w:val="Ttulo2"/>
        <w:ind w:left="284"/>
        <w:rPr>
          <w:rFonts w:ascii="Arial" w:eastAsia="Arial" w:hAnsi="Arial" w:cs="Arial"/>
          <w:b/>
          <w:bCs/>
          <w:sz w:val="20"/>
          <w:szCs w:val="20"/>
          <w:lang w:val="es-CR"/>
        </w:rPr>
      </w:pPr>
      <w:bookmarkStart w:id="131" w:name="_Toc172726266"/>
      <w:r w:rsidRPr="00B942C1">
        <w:rPr>
          <w:rFonts w:ascii="Arial" w:eastAsia="Arial" w:hAnsi="Arial" w:cs="Arial"/>
          <w:b/>
          <w:bCs/>
          <w:sz w:val="20"/>
          <w:szCs w:val="20"/>
          <w:lang w:val="es-CR"/>
        </w:rPr>
        <w:lastRenderedPageBreak/>
        <w:t>Prestación de Servicio</w:t>
      </w:r>
      <w:bookmarkEnd w:id="131"/>
    </w:p>
    <w:p w14:paraId="6461D99B" w14:textId="77777777" w:rsidR="00696F96" w:rsidRDefault="00696F96" w:rsidP="00696F96">
      <w:pPr>
        <w:pStyle w:val="Default"/>
        <w:spacing w:after="120" w:line="238" w:lineRule="auto"/>
        <w:ind w:left="1134" w:right="260" w:hanging="1134"/>
        <w:jc w:val="both"/>
        <w:rPr>
          <w:sz w:val="22"/>
          <w:szCs w:val="22"/>
          <w:lang w:val="es-CR"/>
        </w:rPr>
      </w:pPr>
    </w:p>
    <w:tbl>
      <w:tblPr>
        <w:tblW w:w="9357" w:type="dxa"/>
        <w:tblLook w:val="04A0" w:firstRow="1" w:lastRow="0" w:firstColumn="1" w:lastColumn="0" w:noHBand="0" w:noVBand="1"/>
      </w:tblPr>
      <w:tblGrid>
        <w:gridCol w:w="536"/>
        <w:gridCol w:w="706"/>
        <w:gridCol w:w="517"/>
        <w:gridCol w:w="3723"/>
        <w:gridCol w:w="2021"/>
        <w:gridCol w:w="1843"/>
        <w:gridCol w:w="11"/>
      </w:tblGrid>
      <w:tr w:rsidR="00D83535" w:rsidRPr="00D83535" w14:paraId="4E73AA1B" w14:textId="77777777" w:rsidTr="00C12943">
        <w:trPr>
          <w:trHeight w:val="320"/>
        </w:trPr>
        <w:tc>
          <w:tcPr>
            <w:tcW w:w="17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1013CD9" w14:textId="77777777" w:rsidR="00D83535" w:rsidRPr="00D83535" w:rsidRDefault="00D83535" w:rsidP="00D83535">
            <w:pPr>
              <w:jc w:val="center"/>
              <w:rPr>
                <w:rFonts w:ascii="Arial Narrow" w:eastAsia="Times New Roman" w:hAnsi="Arial Narrow" w:cs="Calibri"/>
                <w:b/>
                <w:bCs/>
                <w:color w:val="FFFFFF"/>
                <w:sz w:val="22"/>
                <w:szCs w:val="22"/>
              </w:rPr>
            </w:pPr>
            <w:r w:rsidRPr="00D83535">
              <w:rPr>
                <w:rFonts w:ascii="Arial Narrow" w:eastAsia="Times New Roman" w:hAnsi="Arial Narrow" w:cs="Calibri"/>
                <w:b/>
                <w:bCs/>
                <w:color w:val="FFFFFF"/>
                <w:sz w:val="22"/>
                <w:szCs w:val="22"/>
              </w:rPr>
              <w:t>Norma / Política</w:t>
            </w:r>
          </w:p>
        </w:tc>
        <w:tc>
          <w:tcPr>
            <w:tcW w:w="3723" w:type="dxa"/>
            <w:vMerge w:val="restart"/>
            <w:tcBorders>
              <w:top w:val="nil"/>
              <w:left w:val="single" w:sz="8" w:space="0" w:color="auto"/>
              <w:bottom w:val="nil"/>
              <w:right w:val="single" w:sz="8" w:space="0" w:color="auto"/>
            </w:tcBorders>
            <w:shd w:val="clear" w:color="000000" w:fill="203764"/>
            <w:vAlign w:val="center"/>
            <w:hideMark/>
          </w:tcPr>
          <w:p w14:paraId="578854DB" w14:textId="77777777" w:rsidR="00D83535" w:rsidRPr="00D83535" w:rsidRDefault="00D83535" w:rsidP="00D83535">
            <w:pPr>
              <w:jc w:val="center"/>
              <w:rPr>
                <w:rFonts w:ascii="Arial Narrow" w:eastAsia="Times New Roman" w:hAnsi="Arial Narrow" w:cs="Calibri"/>
                <w:b/>
                <w:bCs/>
                <w:color w:val="FFFFFF"/>
                <w:sz w:val="22"/>
                <w:szCs w:val="22"/>
              </w:rPr>
            </w:pPr>
            <w:r w:rsidRPr="00D83535">
              <w:rPr>
                <w:rFonts w:ascii="Arial Narrow" w:eastAsia="Times New Roman" w:hAnsi="Arial Narrow" w:cs="Calibri"/>
                <w:b/>
                <w:bCs/>
                <w:color w:val="FFFFFF"/>
                <w:sz w:val="22"/>
                <w:szCs w:val="22"/>
              </w:rPr>
              <w:t>Concepto</w:t>
            </w:r>
          </w:p>
        </w:tc>
        <w:tc>
          <w:tcPr>
            <w:tcW w:w="3875" w:type="dxa"/>
            <w:gridSpan w:val="3"/>
            <w:tcBorders>
              <w:top w:val="nil"/>
              <w:left w:val="nil"/>
              <w:bottom w:val="single" w:sz="8" w:space="0" w:color="auto"/>
              <w:right w:val="single" w:sz="8" w:space="0" w:color="000000"/>
            </w:tcBorders>
            <w:shd w:val="clear" w:color="000000" w:fill="203764"/>
            <w:vAlign w:val="center"/>
            <w:hideMark/>
          </w:tcPr>
          <w:p w14:paraId="242C317F" w14:textId="77777777" w:rsidR="00D83535" w:rsidRPr="00D83535" w:rsidRDefault="00D83535" w:rsidP="00D83535">
            <w:pPr>
              <w:jc w:val="center"/>
              <w:rPr>
                <w:rFonts w:ascii="Arial Narrow" w:eastAsia="Times New Roman" w:hAnsi="Arial Narrow" w:cs="Calibri"/>
                <w:b/>
                <w:bCs/>
                <w:color w:val="FFFFFF"/>
                <w:sz w:val="22"/>
                <w:szCs w:val="22"/>
              </w:rPr>
            </w:pPr>
            <w:r w:rsidRPr="00D83535">
              <w:rPr>
                <w:rFonts w:ascii="Arial Narrow" w:eastAsia="Times New Roman" w:hAnsi="Arial Narrow" w:cs="Calibri"/>
                <w:b/>
                <w:bCs/>
                <w:color w:val="FFFFFF"/>
                <w:sz w:val="22"/>
                <w:szCs w:val="22"/>
              </w:rPr>
              <w:t>Referencia</w:t>
            </w:r>
          </w:p>
        </w:tc>
      </w:tr>
      <w:tr w:rsidR="00D83535" w:rsidRPr="006E5442" w14:paraId="78E98D87" w14:textId="77777777" w:rsidTr="00C12943">
        <w:trPr>
          <w:gridAfter w:val="1"/>
          <w:wAfter w:w="11" w:type="dxa"/>
          <w:trHeight w:val="850"/>
        </w:trPr>
        <w:tc>
          <w:tcPr>
            <w:tcW w:w="1759" w:type="dxa"/>
            <w:gridSpan w:val="3"/>
            <w:vMerge/>
            <w:tcBorders>
              <w:top w:val="single" w:sz="8" w:space="0" w:color="auto"/>
              <w:left w:val="single" w:sz="8" w:space="0" w:color="auto"/>
              <w:bottom w:val="nil"/>
              <w:right w:val="single" w:sz="8" w:space="0" w:color="000000"/>
            </w:tcBorders>
            <w:vAlign w:val="center"/>
            <w:hideMark/>
          </w:tcPr>
          <w:p w14:paraId="4651A6E6" w14:textId="77777777" w:rsidR="00D83535" w:rsidRPr="00D83535" w:rsidRDefault="00D83535" w:rsidP="00D83535">
            <w:pPr>
              <w:rPr>
                <w:rFonts w:ascii="Arial Narrow" w:eastAsia="Times New Roman" w:hAnsi="Arial Narrow" w:cs="Calibri"/>
                <w:b/>
                <w:bCs/>
                <w:color w:val="FFFFFF"/>
                <w:sz w:val="22"/>
                <w:szCs w:val="22"/>
              </w:rPr>
            </w:pPr>
          </w:p>
        </w:tc>
        <w:tc>
          <w:tcPr>
            <w:tcW w:w="3723" w:type="dxa"/>
            <w:vMerge/>
            <w:tcBorders>
              <w:top w:val="nil"/>
              <w:left w:val="single" w:sz="8" w:space="0" w:color="auto"/>
              <w:bottom w:val="nil"/>
              <w:right w:val="single" w:sz="8" w:space="0" w:color="auto"/>
            </w:tcBorders>
            <w:vAlign w:val="center"/>
            <w:hideMark/>
          </w:tcPr>
          <w:p w14:paraId="457C9E45" w14:textId="77777777" w:rsidR="00D83535" w:rsidRPr="00D83535" w:rsidRDefault="00D83535" w:rsidP="00D83535">
            <w:pPr>
              <w:rPr>
                <w:rFonts w:ascii="Arial Narrow" w:eastAsia="Times New Roman" w:hAnsi="Arial Narrow" w:cs="Calibri"/>
                <w:b/>
                <w:bCs/>
                <w:color w:val="FFFFFF"/>
                <w:sz w:val="22"/>
                <w:szCs w:val="22"/>
              </w:rPr>
            </w:pPr>
          </w:p>
        </w:tc>
        <w:tc>
          <w:tcPr>
            <w:tcW w:w="2021" w:type="dxa"/>
            <w:tcBorders>
              <w:top w:val="nil"/>
              <w:left w:val="nil"/>
              <w:bottom w:val="nil"/>
              <w:right w:val="single" w:sz="8" w:space="0" w:color="auto"/>
            </w:tcBorders>
            <w:shd w:val="clear" w:color="000000" w:fill="203764"/>
            <w:vAlign w:val="center"/>
            <w:hideMark/>
          </w:tcPr>
          <w:p w14:paraId="58D0994D" w14:textId="77777777" w:rsidR="00D83535" w:rsidRPr="00D83535" w:rsidRDefault="00D83535" w:rsidP="00D83535">
            <w:pPr>
              <w:jc w:val="center"/>
              <w:rPr>
                <w:rFonts w:ascii="Arial Narrow" w:eastAsia="Times New Roman" w:hAnsi="Arial Narrow" w:cs="Calibri"/>
                <w:b/>
                <w:bCs/>
                <w:color w:val="FFFFFF"/>
                <w:sz w:val="22"/>
                <w:szCs w:val="22"/>
              </w:rPr>
            </w:pPr>
            <w:r w:rsidRPr="00D83535">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55960FD0" w14:textId="77777777" w:rsidR="00D83535" w:rsidRPr="00D83535" w:rsidRDefault="00D83535" w:rsidP="00D83535">
            <w:pPr>
              <w:jc w:val="center"/>
              <w:rPr>
                <w:rFonts w:ascii="Arial Narrow" w:eastAsia="Times New Roman" w:hAnsi="Arial Narrow" w:cs="Calibri"/>
                <w:b/>
                <w:bCs/>
                <w:color w:val="FFFFFF"/>
                <w:sz w:val="22"/>
                <w:szCs w:val="22"/>
                <w:lang w:val="es-CR"/>
              </w:rPr>
            </w:pPr>
            <w:r w:rsidRPr="00D83535">
              <w:rPr>
                <w:rFonts w:ascii="Arial Narrow" w:eastAsia="Times New Roman" w:hAnsi="Arial Narrow" w:cs="Calibri"/>
                <w:b/>
                <w:bCs/>
                <w:color w:val="FFFFFF"/>
                <w:sz w:val="22"/>
                <w:szCs w:val="22"/>
                <w:lang w:val="es-CR"/>
              </w:rPr>
              <w:t>Normativa técnica y disposiciones adicionales</w:t>
            </w:r>
          </w:p>
        </w:tc>
      </w:tr>
      <w:tr w:rsidR="00D83535" w:rsidRPr="00D83535" w14:paraId="39A1B365" w14:textId="77777777" w:rsidTr="00C12943">
        <w:trPr>
          <w:gridAfter w:val="1"/>
          <w:wAfter w:w="11" w:type="dxa"/>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E7749F" w14:textId="77777777" w:rsidR="00D83535" w:rsidRPr="00D83535" w:rsidRDefault="00D83535" w:rsidP="00D83535">
            <w:pPr>
              <w:jc w:val="center"/>
              <w:rPr>
                <w:rFonts w:ascii="Arial Narrow" w:eastAsia="Times New Roman" w:hAnsi="Arial Narrow"/>
                <w:b/>
                <w:bCs/>
                <w:color w:val="000000"/>
                <w:sz w:val="22"/>
                <w:szCs w:val="22"/>
              </w:rPr>
            </w:pPr>
            <w:r w:rsidRPr="00D83535">
              <w:rPr>
                <w:rFonts w:ascii="Arial Narrow" w:eastAsia="Times New Roman" w:hAnsi="Arial Narrow"/>
                <w:b/>
                <w:bCs/>
                <w:color w:val="000000"/>
                <w:sz w:val="22"/>
                <w:szCs w:val="22"/>
              </w:rPr>
              <w:t>4</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7471C5E9" w14:textId="77777777" w:rsidR="00D83535" w:rsidRPr="00D83535" w:rsidRDefault="00D83535" w:rsidP="00D83535">
            <w:pPr>
              <w:ind w:firstLineChars="100" w:firstLine="220"/>
              <w:rPr>
                <w:rFonts w:ascii="Arial Narrow" w:eastAsia="Times New Roman" w:hAnsi="Arial Narrow"/>
                <w:b/>
                <w:bCs/>
                <w:color w:val="000000"/>
                <w:sz w:val="22"/>
                <w:szCs w:val="22"/>
              </w:rPr>
            </w:pPr>
            <w:r w:rsidRPr="00D83535">
              <w:rPr>
                <w:rFonts w:ascii="Arial Narrow" w:eastAsia="Times New Roman" w:hAnsi="Arial Narrow"/>
                <w:b/>
                <w:bCs/>
                <w:color w:val="000000"/>
                <w:sz w:val="22"/>
                <w:szCs w:val="22"/>
              </w:rPr>
              <w:t>31</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4BC266CB" w14:textId="1FDBC149" w:rsidR="00D83535" w:rsidRPr="00D83535" w:rsidRDefault="00D83535" w:rsidP="00D83535">
            <w:pPr>
              <w:jc w:val="center"/>
              <w:rPr>
                <w:rFonts w:ascii="Arial Narrow" w:eastAsia="Times New Roman" w:hAnsi="Arial Narrow" w:cs="Calibri"/>
                <w:b/>
                <w:bCs/>
                <w:color w:val="000000"/>
                <w:sz w:val="22"/>
                <w:szCs w:val="22"/>
              </w:rPr>
            </w:pPr>
          </w:p>
        </w:tc>
        <w:tc>
          <w:tcPr>
            <w:tcW w:w="3723" w:type="dxa"/>
            <w:tcBorders>
              <w:top w:val="single" w:sz="8" w:space="0" w:color="auto"/>
              <w:left w:val="nil"/>
              <w:bottom w:val="single" w:sz="8" w:space="0" w:color="auto"/>
              <w:right w:val="single" w:sz="8" w:space="0" w:color="auto"/>
            </w:tcBorders>
            <w:shd w:val="clear" w:color="auto" w:fill="auto"/>
            <w:vAlign w:val="center"/>
            <w:hideMark/>
          </w:tcPr>
          <w:p w14:paraId="7BEE49FE" w14:textId="77777777" w:rsidR="00D83535" w:rsidRPr="00D83535" w:rsidRDefault="00D83535" w:rsidP="00D83535">
            <w:pPr>
              <w:rPr>
                <w:rFonts w:ascii="Arial Narrow" w:eastAsia="Times New Roman" w:hAnsi="Arial Narrow"/>
                <w:b/>
                <w:bCs/>
                <w:color w:val="000000"/>
                <w:sz w:val="22"/>
                <w:szCs w:val="22"/>
              </w:rPr>
            </w:pPr>
            <w:r w:rsidRPr="00D83535">
              <w:rPr>
                <w:rFonts w:ascii="Arial Narrow" w:eastAsia="Times New Roman" w:hAnsi="Arial Narrow"/>
                <w:b/>
                <w:bCs/>
                <w:color w:val="000000"/>
                <w:sz w:val="22"/>
                <w:szCs w:val="22"/>
              </w:rPr>
              <w:t>Prestación de servicio</w:t>
            </w:r>
          </w:p>
        </w:tc>
        <w:tc>
          <w:tcPr>
            <w:tcW w:w="2021" w:type="dxa"/>
            <w:tcBorders>
              <w:top w:val="single" w:sz="8" w:space="0" w:color="auto"/>
              <w:left w:val="nil"/>
              <w:bottom w:val="single" w:sz="8" w:space="0" w:color="auto"/>
              <w:right w:val="single" w:sz="8" w:space="0" w:color="auto"/>
            </w:tcBorders>
            <w:shd w:val="clear" w:color="auto" w:fill="auto"/>
            <w:vAlign w:val="center"/>
            <w:hideMark/>
          </w:tcPr>
          <w:p w14:paraId="7F9983B7" w14:textId="77777777" w:rsidR="00D83535" w:rsidRPr="00D83535" w:rsidRDefault="00D83535" w:rsidP="00D83535">
            <w:pP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NICSP N° 9,</w:t>
            </w:r>
            <w:r w:rsidRPr="00D83535">
              <w:rPr>
                <w:rFonts w:ascii="Arial Narrow" w:eastAsia="Times New Roman" w:hAnsi="Arial Narrow" w:cs="Calibri"/>
                <w:b/>
                <w:bCs/>
                <w:color w:val="000000"/>
                <w:sz w:val="22"/>
                <w:szCs w:val="22"/>
              </w:rPr>
              <w:br/>
              <w:t>Párrafo 19.</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F5EF9CB"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 xml:space="preserve"> </w:t>
            </w:r>
          </w:p>
        </w:tc>
      </w:tr>
      <w:tr w:rsidR="00D83535" w:rsidRPr="00D83535" w14:paraId="27EDACD6" w14:textId="77777777" w:rsidTr="00C12943">
        <w:trPr>
          <w:gridAfter w:val="1"/>
          <w:wAfter w:w="11" w:type="dxa"/>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0B6BEA95" w14:textId="77777777" w:rsidR="00D83535" w:rsidRPr="00D83535" w:rsidRDefault="00D83535" w:rsidP="00D83535">
            <w:pPr>
              <w:jc w:val="center"/>
              <w:rPr>
                <w:rFonts w:ascii="Arial Narrow" w:eastAsia="Times New Roman" w:hAnsi="Arial Narrow"/>
                <w:b/>
                <w:bCs/>
                <w:color w:val="000000"/>
                <w:sz w:val="22"/>
                <w:szCs w:val="22"/>
              </w:rPr>
            </w:pPr>
            <w:r w:rsidRPr="00D83535">
              <w:rPr>
                <w:rFonts w:ascii="Arial Narrow" w:eastAsia="Times New Roman" w:hAnsi="Arial Narrow"/>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46131525" w14:textId="77777777" w:rsidR="00D83535" w:rsidRPr="00D83535" w:rsidRDefault="00D83535" w:rsidP="00D83535">
            <w:pPr>
              <w:ind w:firstLineChars="100" w:firstLine="220"/>
              <w:rPr>
                <w:rFonts w:ascii="Arial Narrow" w:eastAsia="Times New Roman" w:hAnsi="Arial Narrow"/>
                <w:b/>
                <w:bCs/>
                <w:color w:val="000000"/>
                <w:sz w:val="22"/>
                <w:szCs w:val="22"/>
              </w:rPr>
            </w:pPr>
            <w:r w:rsidRPr="00D83535">
              <w:rPr>
                <w:rFonts w:ascii="Arial Narrow" w:eastAsia="Times New Roman" w:hAnsi="Arial Narrow"/>
                <w:b/>
                <w:bCs/>
                <w:color w:val="000000"/>
                <w:sz w:val="22"/>
                <w:szCs w:val="22"/>
              </w:rPr>
              <w:t>31</w:t>
            </w:r>
          </w:p>
        </w:tc>
        <w:tc>
          <w:tcPr>
            <w:tcW w:w="517" w:type="dxa"/>
            <w:tcBorders>
              <w:top w:val="nil"/>
              <w:left w:val="nil"/>
              <w:bottom w:val="single" w:sz="8" w:space="0" w:color="auto"/>
              <w:right w:val="nil"/>
            </w:tcBorders>
            <w:shd w:val="clear" w:color="auto" w:fill="auto"/>
            <w:vAlign w:val="center"/>
            <w:hideMark/>
          </w:tcPr>
          <w:p w14:paraId="651EFD10"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1</w:t>
            </w:r>
          </w:p>
        </w:tc>
        <w:tc>
          <w:tcPr>
            <w:tcW w:w="3723" w:type="dxa"/>
            <w:tcBorders>
              <w:top w:val="nil"/>
              <w:left w:val="single" w:sz="8" w:space="0" w:color="auto"/>
              <w:bottom w:val="single" w:sz="8" w:space="0" w:color="auto"/>
              <w:right w:val="single" w:sz="8" w:space="0" w:color="auto"/>
            </w:tcBorders>
            <w:shd w:val="clear" w:color="auto" w:fill="auto"/>
            <w:vAlign w:val="center"/>
            <w:hideMark/>
          </w:tcPr>
          <w:p w14:paraId="70DF39BC" w14:textId="77777777" w:rsidR="00D83535" w:rsidRPr="00D83535" w:rsidRDefault="00D83535" w:rsidP="00D83535">
            <w:pPr>
              <w:rPr>
                <w:rFonts w:ascii="Arial Narrow" w:eastAsia="Times New Roman" w:hAnsi="Arial Narrow"/>
                <w:b/>
                <w:bCs/>
                <w:color w:val="000000"/>
                <w:sz w:val="22"/>
                <w:szCs w:val="22"/>
              </w:rPr>
            </w:pPr>
            <w:r w:rsidRPr="00D83535">
              <w:rPr>
                <w:rFonts w:ascii="Arial Narrow" w:eastAsia="Times New Roman" w:hAnsi="Arial Narrow"/>
                <w:b/>
                <w:bCs/>
                <w:color w:val="000000"/>
                <w:sz w:val="22"/>
                <w:szCs w:val="22"/>
              </w:rPr>
              <w:t>Reconocimiento en cada período</w:t>
            </w:r>
          </w:p>
        </w:tc>
        <w:tc>
          <w:tcPr>
            <w:tcW w:w="2021" w:type="dxa"/>
            <w:tcBorders>
              <w:top w:val="nil"/>
              <w:left w:val="nil"/>
              <w:bottom w:val="single" w:sz="8" w:space="0" w:color="auto"/>
              <w:right w:val="single" w:sz="8" w:space="0" w:color="auto"/>
            </w:tcBorders>
            <w:shd w:val="clear" w:color="auto" w:fill="auto"/>
            <w:vAlign w:val="center"/>
            <w:hideMark/>
          </w:tcPr>
          <w:p w14:paraId="3EB6C2DB" w14:textId="77777777" w:rsidR="00D83535" w:rsidRPr="00D83535" w:rsidRDefault="00D83535" w:rsidP="00D83535">
            <w:pP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NICSP N° 9,</w:t>
            </w:r>
            <w:r w:rsidRPr="00D83535">
              <w:rPr>
                <w:rFonts w:ascii="Arial Narrow" w:eastAsia="Times New Roman" w:hAnsi="Arial Narrow" w:cs="Calibri"/>
                <w:b/>
                <w:bCs/>
                <w:color w:val="000000"/>
                <w:sz w:val="22"/>
                <w:szCs w:val="22"/>
              </w:rPr>
              <w:br/>
              <w:t>Párrafo 20.</w:t>
            </w:r>
          </w:p>
        </w:tc>
        <w:tc>
          <w:tcPr>
            <w:tcW w:w="1843" w:type="dxa"/>
            <w:tcBorders>
              <w:top w:val="nil"/>
              <w:left w:val="nil"/>
              <w:bottom w:val="single" w:sz="8" w:space="0" w:color="auto"/>
              <w:right w:val="single" w:sz="8" w:space="0" w:color="auto"/>
            </w:tcBorders>
            <w:shd w:val="clear" w:color="auto" w:fill="auto"/>
            <w:vAlign w:val="center"/>
            <w:hideMark/>
          </w:tcPr>
          <w:p w14:paraId="045E1238"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 xml:space="preserve"> </w:t>
            </w:r>
          </w:p>
        </w:tc>
      </w:tr>
      <w:tr w:rsidR="00D83535" w:rsidRPr="00D83535" w14:paraId="1A616D34" w14:textId="77777777" w:rsidTr="00C12943">
        <w:trPr>
          <w:gridAfter w:val="1"/>
          <w:wAfter w:w="11" w:type="dxa"/>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640C53F3"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47FD72AF"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31</w:t>
            </w:r>
          </w:p>
        </w:tc>
        <w:tc>
          <w:tcPr>
            <w:tcW w:w="517" w:type="dxa"/>
            <w:tcBorders>
              <w:top w:val="nil"/>
              <w:left w:val="nil"/>
              <w:bottom w:val="single" w:sz="8" w:space="0" w:color="auto"/>
              <w:right w:val="single" w:sz="8" w:space="0" w:color="auto"/>
            </w:tcBorders>
            <w:shd w:val="clear" w:color="auto" w:fill="auto"/>
            <w:vAlign w:val="center"/>
            <w:hideMark/>
          </w:tcPr>
          <w:p w14:paraId="61258282"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2</w:t>
            </w:r>
          </w:p>
        </w:tc>
        <w:tc>
          <w:tcPr>
            <w:tcW w:w="3723" w:type="dxa"/>
            <w:tcBorders>
              <w:top w:val="nil"/>
              <w:left w:val="nil"/>
              <w:bottom w:val="single" w:sz="8" w:space="0" w:color="auto"/>
              <w:right w:val="single" w:sz="8" w:space="0" w:color="auto"/>
            </w:tcBorders>
            <w:shd w:val="clear" w:color="auto" w:fill="auto"/>
            <w:vAlign w:val="center"/>
            <w:hideMark/>
          </w:tcPr>
          <w:p w14:paraId="770C9462" w14:textId="77777777" w:rsidR="00D83535" w:rsidRPr="00D83535" w:rsidRDefault="00D83535" w:rsidP="00D83535">
            <w:pPr>
              <w:jc w:val="both"/>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Ingresos reconocidos no recuperables</w:t>
            </w:r>
          </w:p>
        </w:tc>
        <w:tc>
          <w:tcPr>
            <w:tcW w:w="2021" w:type="dxa"/>
            <w:tcBorders>
              <w:top w:val="nil"/>
              <w:left w:val="nil"/>
              <w:bottom w:val="single" w:sz="8" w:space="0" w:color="auto"/>
              <w:right w:val="single" w:sz="8" w:space="0" w:color="auto"/>
            </w:tcBorders>
            <w:shd w:val="clear" w:color="auto" w:fill="auto"/>
            <w:vAlign w:val="center"/>
            <w:hideMark/>
          </w:tcPr>
          <w:p w14:paraId="38A567AB" w14:textId="77777777" w:rsidR="00D83535" w:rsidRPr="00D83535" w:rsidRDefault="00D83535" w:rsidP="00D83535">
            <w:pP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NICSP N° 9,</w:t>
            </w:r>
            <w:r w:rsidRPr="00D83535">
              <w:rPr>
                <w:rFonts w:ascii="Arial Narrow" w:eastAsia="Times New Roman" w:hAnsi="Arial Narrow" w:cs="Calibri"/>
                <w:b/>
                <w:bCs/>
                <w:color w:val="000000"/>
                <w:sz w:val="22"/>
                <w:szCs w:val="22"/>
              </w:rPr>
              <w:br/>
              <w:t xml:space="preserve">Párrafo 21. </w:t>
            </w:r>
          </w:p>
        </w:tc>
        <w:tc>
          <w:tcPr>
            <w:tcW w:w="1843" w:type="dxa"/>
            <w:tcBorders>
              <w:top w:val="nil"/>
              <w:left w:val="nil"/>
              <w:bottom w:val="single" w:sz="8" w:space="0" w:color="auto"/>
              <w:right w:val="single" w:sz="8" w:space="0" w:color="auto"/>
            </w:tcBorders>
            <w:shd w:val="clear" w:color="auto" w:fill="auto"/>
            <w:vAlign w:val="center"/>
            <w:hideMark/>
          </w:tcPr>
          <w:p w14:paraId="3C86CC89" w14:textId="77777777" w:rsidR="00D83535" w:rsidRPr="00D83535" w:rsidRDefault="00D83535" w:rsidP="00D83535">
            <w:pPr>
              <w:ind w:firstLineChars="100" w:firstLine="220"/>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DGCN</w:t>
            </w:r>
          </w:p>
        </w:tc>
      </w:tr>
      <w:tr w:rsidR="00D83535" w:rsidRPr="00D83535" w14:paraId="30960152" w14:textId="77777777" w:rsidTr="00C12943">
        <w:trPr>
          <w:gridAfter w:val="1"/>
          <w:wAfter w:w="11" w:type="dxa"/>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26A717AB"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7343C24D"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25</w:t>
            </w:r>
          </w:p>
        </w:tc>
        <w:tc>
          <w:tcPr>
            <w:tcW w:w="517" w:type="dxa"/>
            <w:tcBorders>
              <w:top w:val="nil"/>
              <w:left w:val="nil"/>
              <w:bottom w:val="single" w:sz="8" w:space="0" w:color="auto"/>
              <w:right w:val="single" w:sz="8" w:space="0" w:color="auto"/>
            </w:tcBorders>
            <w:shd w:val="clear" w:color="auto" w:fill="auto"/>
            <w:vAlign w:val="center"/>
            <w:hideMark/>
          </w:tcPr>
          <w:p w14:paraId="0981F33F"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3</w:t>
            </w:r>
          </w:p>
        </w:tc>
        <w:tc>
          <w:tcPr>
            <w:tcW w:w="3723" w:type="dxa"/>
            <w:tcBorders>
              <w:top w:val="nil"/>
              <w:left w:val="nil"/>
              <w:bottom w:val="single" w:sz="8" w:space="0" w:color="auto"/>
              <w:right w:val="single" w:sz="8" w:space="0" w:color="auto"/>
            </w:tcBorders>
            <w:shd w:val="clear" w:color="auto" w:fill="auto"/>
            <w:vAlign w:val="center"/>
            <w:hideMark/>
          </w:tcPr>
          <w:p w14:paraId="595D6152" w14:textId="77777777" w:rsidR="00D83535" w:rsidRPr="00D83535" w:rsidRDefault="00D83535" w:rsidP="00D83535">
            <w:pPr>
              <w:jc w:val="both"/>
              <w:rPr>
                <w:rFonts w:ascii="Arial Narrow" w:eastAsia="Times New Roman" w:hAnsi="Arial Narrow" w:cs="Calibri"/>
                <w:b/>
                <w:bCs/>
                <w:color w:val="000000"/>
                <w:sz w:val="22"/>
                <w:szCs w:val="22"/>
                <w:lang w:val="es-CR"/>
              </w:rPr>
            </w:pPr>
            <w:r w:rsidRPr="00D83535">
              <w:rPr>
                <w:rFonts w:ascii="Arial Narrow" w:eastAsia="Times New Roman" w:hAnsi="Arial Narrow" w:cs="Calibri"/>
                <w:b/>
                <w:bCs/>
                <w:color w:val="000000"/>
                <w:sz w:val="22"/>
                <w:szCs w:val="22"/>
                <w:lang w:val="es-CR"/>
              </w:rPr>
              <w:t>Métodos de porcentaje de terminación</w:t>
            </w:r>
          </w:p>
        </w:tc>
        <w:tc>
          <w:tcPr>
            <w:tcW w:w="2021" w:type="dxa"/>
            <w:tcBorders>
              <w:top w:val="nil"/>
              <w:left w:val="nil"/>
              <w:bottom w:val="single" w:sz="8" w:space="0" w:color="auto"/>
              <w:right w:val="single" w:sz="8" w:space="0" w:color="auto"/>
            </w:tcBorders>
            <w:shd w:val="clear" w:color="auto" w:fill="auto"/>
            <w:vAlign w:val="center"/>
            <w:hideMark/>
          </w:tcPr>
          <w:p w14:paraId="6E6B71C9" w14:textId="77777777" w:rsidR="00D83535" w:rsidRPr="00D83535" w:rsidRDefault="00D83535" w:rsidP="00D83535">
            <w:pP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NICSP N° 9,</w:t>
            </w:r>
            <w:r w:rsidRPr="00D83535">
              <w:rPr>
                <w:rFonts w:ascii="Arial Narrow" w:eastAsia="Times New Roman" w:hAnsi="Arial Narrow" w:cs="Calibri"/>
                <w:b/>
                <w:bCs/>
                <w:color w:val="000000"/>
                <w:sz w:val="22"/>
                <w:szCs w:val="22"/>
              </w:rPr>
              <w:br/>
              <w:t>Párrafo 23</w:t>
            </w:r>
          </w:p>
        </w:tc>
        <w:tc>
          <w:tcPr>
            <w:tcW w:w="1843" w:type="dxa"/>
            <w:tcBorders>
              <w:top w:val="nil"/>
              <w:left w:val="nil"/>
              <w:bottom w:val="single" w:sz="8" w:space="0" w:color="auto"/>
              <w:right w:val="single" w:sz="8" w:space="0" w:color="auto"/>
            </w:tcBorders>
            <w:shd w:val="clear" w:color="auto" w:fill="auto"/>
            <w:vAlign w:val="center"/>
            <w:hideMark/>
          </w:tcPr>
          <w:p w14:paraId="2AF9148C" w14:textId="77777777" w:rsidR="00D83535" w:rsidRPr="00D83535" w:rsidRDefault="00D83535" w:rsidP="00D83535">
            <w:pPr>
              <w:ind w:firstLineChars="100" w:firstLine="220"/>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DGCN</w:t>
            </w:r>
          </w:p>
        </w:tc>
      </w:tr>
      <w:tr w:rsidR="00D83535" w:rsidRPr="00D83535" w14:paraId="3144B115" w14:textId="77777777" w:rsidTr="00C12943">
        <w:trPr>
          <w:gridAfter w:val="1"/>
          <w:wAfter w:w="11" w:type="dxa"/>
          <w:trHeight w:val="32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05BD850E"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52A60A87"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31</w:t>
            </w:r>
          </w:p>
        </w:tc>
        <w:tc>
          <w:tcPr>
            <w:tcW w:w="517" w:type="dxa"/>
            <w:tcBorders>
              <w:top w:val="nil"/>
              <w:left w:val="nil"/>
              <w:bottom w:val="single" w:sz="8" w:space="0" w:color="auto"/>
              <w:right w:val="single" w:sz="8" w:space="0" w:color="auto"/>
            </w:tcBorders>
            <w:shd w:val="clear" w:color="auto" w:fill="auto"/>
            <w:vAlign w:val="center"/>
            <w:hideMark/>
          </w:tcPr>
          <w:p w14:paraId="46EECFD5"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4</w:t>
            </w:r>
          </w:p>
        </w:tc>
        <w:tc>
          <w:tcPr>
            <w:tcW w:w="3723" w:type="dxa"/>
            <w:tcBorders>
              <w:top w:val="nil"/>
              <w:left w:val="nil"/>
              <w:bottom w:val="single" w:sz="8" w:space="0" w:color="auto"/>
              <w:right w:val="single" w:sz="8" w:space="0" w:color="auto"/>
            </w:tcBorders>
            <w:shd w:val="clear" w:color="auto" w:fill="auto"/>
            <w:vAlign w:val="center"/>
            <w:hideMark/>
          </w:tcPr>
          <w:p w14:paraId="52A802B5" w14:textId="77777777" w:rsidR="00D83535" w:rsidRPr="00D83535" w:rsidRDefault="00D83535" w:rsidP="00D83535">
            <w:pPr>
              <w:jc w:val="both"/>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Anticipos</w:t>
            </w:r>
          </w:p>
        </w:tc>
        <w:tc>
          <w:tcPr>
            <w:tcW w:w="2021" w:type="dxa"/>
            <w:tcBorders>
              <w:top w:val="nil"/>
              <w:left w:val="nil"/>
              <w:bottom w:val="single" w:sz="8" w:space="0" w:color="auto"/>
              <w:right w:val="single" w:sz="8" w:space="0" w:color="auto"/>
            </w:tcBorders>
            <w:shd w:val="clear" w:color="auto" w:fill="auto"/>
            <w:vAlign w:val="center"/>
            <w:hideMark/>
          </w:tcPr>
          <w:p w14:paraId="127CBBEA" w14:textId="77777777" w:rsidR="00D83535" w:rsidRPr="00D83535" w:rsidRDefault="00D83535" w:rsidP="00D83535">
            <w:pP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5641B189" w14:textId="77777777" w:rsidR="00D83535" w:rsidRPr="00D83535" w:rsidRDefault="00D83535" w:rsidP="00D83535">
            <w:pPr>
              <w:ind w:firstLineChars="100" w:firstLine="220"/>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 xml:space="preserve"> </w:t>
            </w:r>
          </w:p>
        </w:tc>
      </w:tr>
      <w:tr w:rsidR="00D83535" w:rsidRPr="00D83535" w14:paraId="0D79EEAB" w14:textId="77777777" w:rsidTr="00C12943">
        <w:trPr>
          <w:gridAfter w:val="1"/>
          <w:wAfter w:w="11" w:type="dxa"/>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334A4414"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432277C0"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31</w:t>
            </w:r>
          </w:p>
        </w:tc>
        <w:tc>
          <w:tcPr>
            <w:tcW w:w="517" w:type="dxa"/>
            <w:tcBorders>
              <w:top w:val="nil"/>
              <w:left w:val="nil"/>
              <w:bottom w:val="single" w:sz="8" w:space="0" w:color="auto"/>
              <w:right w:val="single" w:sz="8" w:space="0" w:color="auto"/>
            </w:tcBorders>
            <w:shd w:val="clear" w:color="auto" w:fill="auto"/>
            <w:vAlign w:val="center"/>
            <w:hideMark/>
          </w:tcPr>
          <w:p w14:paraId="1C58DB57" w14:textId="77777777" w:rsidR="00D83535" w:rsidRPr="00D83535" w:rsidRDefault="00D83535" w:rsidP="00D83535">
            <w:pPr>
              <w:jc w:val="cente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5</w:t>
            </w:r>
          </w:p>
        </w:tc>
        <w:tc>
          <w:tcPr>
            <w:tcW w:w="3723" w:type="dxa"/>
            <w:tcBorders>
              <w:top w:val="nil"/>
              <w:left w:val="nil"/>
              <w:bottom w:val="single" w:sz="8" w:space="0" w:color="auto"/>
              <w:right w:val="single" w:sz="8" w:space="0" w:color="auto"/>
            </w:tcBorders>
            <w:shd w:val="clear" w:color="auto" w:fill="auto"/>
            <w:vAlign w:val="center"/>
            <w:hideMark/>
          </w:tcPr>
          <w:p w14:paraId="17E3633D" w14:textId="77777777" w:rsidR="00D83535" w:rsidRPr="00D83535" w:rsidRDefault="00D83535" w:rsidP="00D83535">
            <w:pPr>
              <w:jc w:val="both"/>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Ausencia de medición fiable</w:t>
            </w:r>
          </w:p>
        </w:tc>
        <w:tc>
          <w:tcPr>
            <w:tcW w:w="2021" w:type="dxa"/>
            <w:tcBorders>
              <w:top w:val="nil"/>
              <w:left w:val="nil"/>
              <w:bottom w:val="single" w:sz="8" w:space="0" w:color="auto"/>
              <w:right w:val="single" w:sz="8" w:space="0" w:color="auto"/>
            </w:tcBorders>
            <w:shd w:val="clear" w:color="auto" w:fill="auto"/>
            <w:vAlign w:val="center"/>
            <w:hideMark/>
          </w:tcPr>
          <w:p w14:paraId="0962CB58" w14:textId="77777777" w:rsidR="00D83535" w:rsidRPr="00D83535" w:rsidRDefault="00D83535" w:rsidP="00D83535">
            <w:pPr>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NICSP N° 9,</w:t>
            </w:r>
            <w:r w:rsidRPr="00D83535">
              <w:rPr>
                <w:rFonts w:ascii="Arial Narrow" w:eastAsia="Times New Roman" w:hAnsi="Arial Narrow" w:cs="Calibri"/>
                <w:b/>
                <w:bCs/>
                <w:color w:val="000000"/>
                <w:sz w:val="22"/>
                <w:szCs w:val="22"/>
              </w:rPr>
              <w:br/>
              <w:t>Párrafo 25.</w:t>
            </w:r>
          </w:p>
        </w:tc>
        <w:tc>
          <w:tcPr>
            <w:tcW w:w="1843" w:type="dxa"/>
            <w:tcBorders>
              <w:top w:val="nil"/>
              <w:left w:val="nil"/>
              <w:bottom w:val="single" w:sz="8" w:space="0" w:color="auto"/>
              <w:right w:val="single" w:sz="8" w:space="0" w:color="auto"/>
            </w:tcBorders>
            <w:shd w:val="clear" w:color="auto" w:fill="auto"/>
            <w:vAlign w:val="center"/>
            <w:hideMark/>
          </w:tcPr>
          <w:p w14:paraId="2E1F9A94" w14:textId="77777777" w:rsidR="00D83535" w:rsidRPr="00D83535" w:rsidRDefault="00D83535" w:rsidP="00D83535">
            <w:pPr>
              <w:ind w:firstLineChars="100" w:firstLine="220"/>
              <w:rPr>
                <w:rFonts w:ascii="Arial Narrow" w:eastAsia="Times New Roman" w:hAnsi="Arial Narrow" w:cs="Calibri"/>
                <w:b/>
                <w:bCs/>
                <w:color w:val="000000"/>
                <w:sz w:val="22"/>
                <w:szCs w:val="22"/>
              </w:rPr>
            </w:pPr>
            <w:r w:rsidRPr="00D83535">
              <w:rPr>
                <w:rFonts w:ascii="Arial Narrow" w:eastAsia="Times New Roman" w:hAnsi="Arial Narrow" w:cs="Calibri"/>
                <w:b/>
                <w:bCs/>
                <w:color w:val="000000"/>
                <w:sz w:val="22"/>
                <w:szCs w:val="22"/>
              </w:rPr>
              <w:t xml:space="preserve"> </w:t>
            </w:r>
          </w:p>
        </w:tc>
      </w:tr>
    </w:tbl>
    <w:p w14:paraId="471A0962" w14:textId="77777777" w:rsidR="00696F96" w:rsidRDefault="00696F96" w:rsidP="00C12943">
      <w:pPr>
        <w:pStyle w:val="Default"/>
        <w:ind w:left="1134" w:right="261" w:hanging="1134"/>
        <w:jc w:val="both"/>
        <w:rPr>
          <w:sz w:val="22"/>
          <w:szCs w:val="22"/>
          <w:lang w:val="es-CR"/>
        </w:rPr>
      </w:pPr>
    </w:p>
    <w:p w14:paraId="62FDE3EB" w14:textId="411D9F97" w:rsidR="00C12943" w:rsidRDefault="00C12943" w:rsidP="00C12943">
      <w:pPr>
        <w:pStyle w:val="Default"/>
        <w:ind w:left="1134" w:right="261" w:hanging="1134"/>
        <w:jc w:val="both"/>
        <w:rPr>
          <w:rFonts w:eastAsia="Arial"/>
          <w:b/>
          <w:sz w:val="22"/>
          <w:szCs w:val="22"/>
        </w:rPr>
      </w:pPr>
      <w:r w:rsidRPr="00F02F9D">
        <w:rPr>
          <w:rFonts w:eastAsia="Arial"/>
          <w:b/>
          <w:sz w:val="22"/>
          <w:szCs w:val="22"/>
        </w:rPr>
        <w:t>Políticas Contables</w:t>
      </w:r>
    </w:p>
    <w:p w14:paraId="3EEF3F60" w14:textId="77777777" w:rsidR="00C12943" w:rsidRDefault="00C12943" w:rsidP="00C12943">
      <w:pPr>
        <w:pStyle w:val="Default"/>
        <w:ind w:left="1134" w:right="261" w:hanging="1134"/>
        <w:jc w:val="both"/>
        <w:rPr>
          <w:sz w:val="22"/>
          <w:szCs w:val="22"/>
          <w:lang w:val="es-CR"/>
        </w:rPr>
      </w:pPr>
    </w:p>
    <w:p w14:paraId="40901804" w14:textId="77777777" w:rsidR="00976392" w:rsidRDefault="00976392" w:rsidP="00C12943">
      <w:pPr>
        <w:pStyle w:val="Default"/>
        <w:ind w:left="1134" w:right="26" w:hanging="1134"/>
        <w:jc w:val="both"/>
        <w:rPr>
          <w:sz w:val="22"/>
          <w:szCs w:val="22"/>
          <w:lang w:val="es-CR"/>
        </w:rPr>
      </w:pPr>
      <w:r>
        <w:rPr>
          <w:sz w:val="22"/>
          <w:szCs w:val="22"/>
          <w:lang w:val="es-CR"/>
        </w:rPr>
        <w:t>4.31.0.01</w:t>
      </w:r>
      <w:r>
        <w:rPr>
          <w:sz w:val="22"/>
          <w:szCs w:val="22"/>
          <w:lang w:val="es-CR"/>
        </w:rPr>
        <w:tab/>
      </w:r>
      <w:r w:rsidR="00D83535" w:rsidRPr="00D83535">
        <w:rPr>
          <w:sz w:val="22"/>
          <w:szCs w:val="22"/>
          <w:lang w:val="es-CR"/>
        </w:rPr>
        <w:t xml:space="preserve">Cuando el resultado de una transacción que suponga la prestación de servicios pueda ser estimado con fiabilidad, los ingresos asociados con la misma deben reconocerse, considerando el grado de terminación de la prestación (método del porcentaje de </w:t>
      </w:r>
      <w:r w:rsidRPr="00D83535">
        <w:rPr>
          <w:sz w:val="22"/>
          <w:szCs w:val="22"/>
          <w:lang w:val="es-CR"/>
        </w:rPr>
        <w:t>terminación) a</w:t>
      </w:r>
      <w:r w:rsidR="00D83535" w:rsidRPr="00D83535">
        <w:rPr>
          <w:sz w:val="22"/>
          <w:szCs w:val="22"/>
          <w:lang w:val="es-CR"/>
        </w:rPr>
        <w:t xml:space="preserve"> la fecha sobre la que se informa.</w:t>
      </w:r>
    </w:p>
    <w:p w14:paraId="46EC2FA0" w14:textId="57C87728" w:rsidR="00D83535" w:rsidRPr="00D83535" w:rsidRDefault="00D83535" w:rsidP="00C12943">
      <w:pPr>
        <w:pStyle w:val="Default"/>
        <w:ind w:left="1134" w:right="26" w:hanging="1134"/>
        <w:jc w:val="both"/>
        <w:rPr>
          <w:sz w:val="22"/>
          <w:szCs w:val="22"/>
          <w:lang w:val="es-CR"/>
        </w:rPr>
      </w:pPr>
      <w:r w:rsidRPr="00D83535">
        <w:rPr>
          <w:sz w:val="22"/>
          <w:szCs w:val="22"/>
          <w:lang w:val="es-CR"/>
        </w:rPr>
        <w:t xml:space="preserve"> </w:t>
      </w:r>
    </w:p>
    <w:p w14:paraId="6DEBF666" w14:textId="063E13DC" w:rsidR="00D83535" w:rsidRPr="00D83535" w:rsidRDefault="00976392" w:rsidP="00C12943">
      <w:pPr>
        <w:pStyle w:val="Default"/>
        <w:spacing w:after="120" w:line="238" w:lineRule="auto"/>
        <w:ind w:left="1134" w:right="26" w:hanging="1134"/>
        <w:jc w:val="both"/>
        <w:rPr>
          <w:sz w:val="22"/>
          <w:szCs w:val="22"/>
          <w:lang w:val="es-CR"/>
        </w:rPr>
      </w:pPr>
      <w:r>
        <w:rPr>
          <w:sz w:val="22"/>
          <w:szCs w:val="22"/>
          <w:lang w:val="es-CR"/>
        </w:rPr>
        <w:t>4.31.0.02</w:t>
      </w:r>
      <w:r>
        <w:rPr>
          <w:sz w:val="22"/>
          <w:szCs w:val="22"/>
          <w:lang w:val="es-CR"/>
        </w:rPr>
        <w:tab/>
      </w:r>
      <w:r w:rsidR="00D83535" w:rsidRPr="00D83535">
        <w:rPr>
          <w:sz w:val="22"/>
          <w:szCs w:val="22"/>
          <w:lang w:val="es-CR"/>
        </w:rPr>
        <w:t xml:space="preserve">Una transacción puede ser estimada con fiabilidad cuando se cumplen todas y cada una de las siguientes condiciones: </w:t>
      </w:r>
    </w:p>
    <w:p w14:paraId="105888C4" w14:textId="51711396" w:rsidR="00D83535" w:rsidRPr="00D83535" w:rsidRDefault="00D83535" w:rsidP="00C12943">
      <w:pPr>
        <w:pStyle w:val="Default"/>
        <w:numPr>
          <w:ilvl w:val="0"/>
          <w:numId w:val="246"/>
        </w:numPr>
        <w:spacing w:after="120"/>
        <w:ind w:left="1418" w:right="26" w:hanging="284"/>
        <w:jc w:val="both"/>
        <w:rPr>
          <w:sz w:val="22"/>
          <w:szCs w:val="22"/>
          <w:lang w:val="es-CR"/>
        </w:rPr>
      </w:pPr>
      <w:r>
        <w:rPr>
          <w:sz w:val="22"/>
          <w:szCs w:val="22"/>
          <w:lang w:val="es-CR"/>
        </w:rPr>
        <w:t>E</w:t>
      </w:r>
      <w:r w:rsidRPr="00D83535">
        <w:rPr>
          <w:sz w:val="22"/>
          <w:szCs w:val="22"/>
          <w:lang w:val="es-CR"/>
        </w:rPr>
        <w:t xml:space="preserve">l importe de los ingresos pueda ser medido con fiabilidad; </w:t>
      </w:r>
    </w:p>
    <w:p w14:paraId="2F837549" w14:textId="785C4FF8" w:rsidR="00D83535" w:rsidRPr="00D83535" w:rsidRDefault="00D83535" w:rsidP="00C12943">
      <w:pPr>
        <w:pStyle w:val="Default"/>
        <w:numPr>
          <w:ilvl w:val="0"/>
          <w:numId w:val="246"/>
        </w:numPr>
        <w:spacing w:after="120"/>
        <w:ind w:left="1418" w:right="26" w:hanging="284"/>
        <w:jc w:val="both"/>
        <w:rPr>
          <w:sz w:val="22"/>
          <w:szCs w:val="22"/>
          <w:lang w:val="es-CR"/>
        </w:rPr>
      </w:pPr>
      <w:r>
        <w:rPr>
          <w:sz w:val="22"/>
          <w:szCs w:val="22"/>
          <w:lang w:val="es-CR"/>
        </w:rPr>
        <w:t>S</w:t>
      </w:r>
      <w:r w:rsidRPr="00D83535">
        <w:rPr>
          <w:sz w:val="22"/>
          <w:szCs w:val="22"/>
          <w:lang w:val="es-CR"/>
        </w:rPr>
        <w:t xml:space="preserve">ea probable que la entidad reciba los beneficios económicos o potencial de servicio derivados de la transacción; </w:t>
      </w:r>
    </w:p>
    <w:p w14:paraId="61374031" w14:textId="4CBBA2BC" w:rsidR="00D83535" w:rsidRPr="00D83535" w:rsidRDefault="00D83535" w:rsidP="00C12943">
      <w:pPr>
        <w:pStyle w:val="Default"/>
        <w:numPr>
          <w:ilvl w:val="0"/>
          <w:numId w:val="246"/>
        </w:numPr>
        <w:spacing w:after="120"/>
        <w:ind w:left="1418" w:right="26" w:hanging="284"/>
        <w:jc w:val="both"/>
        <w:rPr>
          <w:sz w:val="22"/>
          <w:szCs w:val="22"/>
          <w:lang w:val="es-CR"/>
        </w:rPr>
      </w:pPr>
      <w:r>
        <w:rPr>
          <w:sz w:val="22"/>
          <w:szCs w:val="22"/>
          <w:lang w:val="es-CR"/>
        </w:rPr>
        <w:t>E</w:t>
      </w:r>
      <w:r w:rsidRPr="00D83535">
        <w:rPr>
          <w:sz w:val="22"/>
          <w:szCs w:val="22"/>
          <w:lang w:val="es-CR"/>
        </w:rPr>
        <w:t xml:space="preserve">l grado de terminación de la transacción, en la fecha sobre la que se informa, pueda ser medido con fiabilidad; y </w:t>
      </w:r>
    </w:p>
    <w:p w14:paraId="61908372" w14:textId="243B8E7E" w:rsidR="00D83535" w:rsidRDefault="00D83535" w:rsidP="00C12943">
      <w:pPr>
        <w:pStyle w:val="Default"/>
        <w:numPr>
          <w:ilvl w:val="0"/>
          <w:numId w:val="246"/>
        </w:numPr>
        <w:ind w:left="1418" w:right="26" w:hanging="284"/>
        <w:jc w:val="both"/>
        <w:rPr>
          <w:sz w:val="22"/>
          <w:szCs w:val="22"/>
          <w:lang w:val="es-CR"/>
        </w:rPr>
      </w:pPr>
      <w:r>
        <w:rPr>
          <w:sz w:val="22"/>
          <w:szCs w:val="22"/>
          <w:lang w:val="es-CR"/>
        </w:rPr>
        <w:t>L</w:t>
      </w:r>
      <w:r w:rsidRPr="00D83535">
        <w:rPr>
          <w:sz w:val="22"/>
          <w:szCs w:val="22"/>
          <w:lang w:val="es-CR"/>
        </w:rPr>
        <w:t>os costos ya incurridos en la prestación, así como los que quedan por incurrir hasta completarla, puedan ser medidos con fiabilidad.</w:t>
      </w:r>
    </w:p>
    <w:p w14:paraId="065978FB" w14:textId="77777777" w:rsidR="00D83535" w:rsidRPr="00D83535" w:rsidRDefault="00D83535" w:rsidP="00C12943">
      <w:pPr>
        <w:pStyle w:val="Default"/>
        <w:numPr>
          <w:ilvl w:val="0"/>
          <w:numId w:val="245"/>
        </w:numPr>
        <w:ind w:right="26"/>
        <w:jc w:val="both"/>
        <w:rPr>
          <w:sz w:val="22"/>
          <w:szCs w:val="22"/>
          <w:lang w:val="es-CR"/>
        </w:rPr>
      </w:pPr>
    </w:p>
    <w:p w14:paraId="6F7E7332" w14:textId="39CBBDB0" w:rsidR="00D83535" w:rsidRDefault="00976392" w:rsidP="00C12943">
      <w:pPr>
        <w:pStyle w:val="Default"/>
        <w:ind w:left="1134" w:right="26" w:hanging="1134"/>
        <w:jc w:val="both"/>
        <w:rPr>
          <w:sz w:val="22"/>
          <w:szCs w:val="22"/>
          <w:lang w:val="es-CR"/>
        </w:rPr>
      </w:pPr>
      <w:r>
        <w:rPr>
          <w:sz w:val="22"/>
          <w:szCs w:val="22"/>
          <w:lang w:val="es-CR"/>
        </w:rPr>
        <w:t>4.31.</w:t>
      </w:r>
      <w:r w:rsidR="00D83535" w:rsidRPr="00D83535">
        <w:rPr>
          <w:sz w:val="22"/>
          <w:szCs w:val="22"/>
          <w:lang w:val="es-CR"/>
        </w:rPr>
        <w:t>1.</w:t>
      </w:r>
      <w:r>
        <w:rPr>
          <w:sz w:val="22"/>
          <w:szCs w:val="22"/>
          <w:lang w:val="es-CR"/>
        </w:rPr>
        <w:t>01</w:t>
      </w:r>
      <w:r>
        <w:rPr>
          <w:sz w:val="22"/>
          <w:szCs w:val="22"/>
          <w:lang w:val="es-CR"/>
        </w:rPr>
        <w:tab/>
      </w:r>
      <w:r w:rsidR="00D83535" w:rsidRPr="00D83535">
        <w:rPr>
          <w:sz w:val="22"/>
          <w:szCs w:val="22"/>
          <w:lang w:val="es-CR"/>
        </w:rPr>
        <w:t>Los servicios que generan ingresos con contraprestación se reconocen en los períodos en los cuales tiene lugar la prestación, según el avance de terminación alcanzado en cada período.</w:t>
      </w:r>
    </w:p>
    <w:p w14:paraId="548146DE" w14:textId="77777777" w:rsidR="00976392" w:rsidRPr="00D83535" w:rsidRDefault="00976392" w:rsidP="00C12943">
      <w:pPr>
        <w:pStyle w:val="Default"/>
        <w:ind w:left="1134" w:right="26" w:hanging="1134"/>
        <w:jc w:val="both"/>
        <w:rPr>
          <w:sz w:val="22"/>
          <w:szCs w:val="22"/>
          <w:lang w:val="es-CR"/>
        </w:rPr>
      </w:pPr>
    </w:p>
    <w:p w14:paraId="61163661" w14:textId="19D63993" w:rsidR="00D83535" w:rsidRPr="00D83535" w:rsidRDefault="00976392" w:rsidP="00C12943">
      <w:pPr>
        <w:pStyle w:val="Default"/>
        <w:ind w:left="1134" w:right="26" w:hanging="1134"/>
        <w:jc w:val="both"/>
        <w:rPr>
          <w:sz w:val="22"/>
          <w:szCs w:val="22"/>
          <w:lang w:val="es-CR"/>
        </w:rPr>
      </w:pPr>
      <w:r>
        <w:rPr>
          <w:sz w:val="22"/>
          <w:szCs w:val="22"/>
          <w:lang w:val="es-CR"/>
        </w:rPr>
        <w:t>4.31.</w:t>
      </w:r>
      <w:r w:rsidR="00D83535" w:rsidRPr="00D83535">
        <w:rPr>
          <w:sz w:val="22"/>
          <w:szCs w:val="22"/>
          <w:lang w:val="es-CR"/>
        </w:rPr>
        <w:t>2.</w:t>
      </w:r>
      <w:r>
        <w:rPr>
          <w:sz w:val="22"/>
          <w:szCs w:val="22"/>
          <w:lang w:val="es-CR"/>
        </w:rPr>
        <w:t>01</w:t>
      </w:r>
      <w:r>
        <w:rPr>
          <w:sz w:val="22"/>
          <w:szCs w:val="22"/>
          <w:lang w:val="es-CR"/>
        </w:rPr>
        <w:tab/>
      </w:r>
      <w:r w:rsidR="00D83535" w:rsidRPr="00D83535">
        <w:rPr>
          <w:sz w:val="22"/>
          <w:szCs w:val="22"/>
          <w:lang w:val="es-CR"/>
        </w:rPr>
        <w:t xml:space="preserve">Si surge algún tipo de </w:t>
      </w:r>
      <w:r w:rsidR="005907B3" w:rsidRPr="00D83535">
        <w:rPr>
          <w:sz w:val="22"/>
          <w:szCs w:val="22"/>
          <w:lang w:val="es-CR"/>
        </w:rPr>
        <w:t>incertidu</w:t>
      </w:r>
      <w:r w:rsidR="005907B3">
        <w:rPr>
          <w:sz w:val="22"/>
          <w:szCs w:val="22"/>
          <w:lang w:val="es-CR"/>
        </w:rPr>
        <w:t>mbr</w:t>
      </w:r>
      <w:r w:rsidR="005907B3" w:rsidRPr="00D83535">
        <w:rPr>
          <w:sz w:val="22"/>
          <w:szCs w:val="22"/>
          <w:lang w:val="es-CR"/>
        </w:rPr>
        <w:t>e</w:t>
      </w:r>
      <w:r w:rsidR="00D83535" w:rsidRPr="00D83535">
        <w:rPr>
          <w:sz w:val="22"/>
          <w:szCs w:val="22"/>
          <w:lang w:val="es-CR"/>
        </w:rPr>
        <w:t xml:space="preserve"> acerca de los importes ya incluidos como ingresos, la cuantía incobrable, o el importe respecto del cual ha dejado de ser probable la recuperabilidad, se reconocen como un gasto y</w:t>
      </w:r>
      <w:r w:rsidR="00D83535">
        <w:rPr>
          <w:sz w:val="22"/>
          <w:szCs w:val="22"/>
          <w:lang w:val="es-CR"/>
        </w:rPr>
        <w:t xml:space="preserve"> </w:t>
      </w:r>
      <w:r w:rsidR="00D83535" w:rsidRPr="00D83535">
        <w:rPr>
          <w:sz w:val="22"/>
          <w:szCs w:val="22"/>
          <w:lang w:val="es-CR"/>
        </w:rPr>
        <w:t>no se ajustan los importes originalmente reconocidos como ingresos. Es decir, que se tratarán como un deterioro del activo financiero surgido como consecuencia del ingreso reconocido oportunamente.</w:t>
      </w:r>
    </w:p>
    <w:p w14:paraId="2C312066" w14:textId="77777777" w:rsidR="00D83535" w:rsidRPr="00D83535" w:rsidRDefault="00D83535" w:rsidP="00C12943">
      <w:pPr>
        <w:pStyle w:val="Default"/>
        <w:ind w:right="26"/>
        <w:jc w:val="both"/>
        <w:rPr>
          <w:sz w:val="22"/>
          <w:szCs w:val="22"/>
          <w:lang w:val="es-CR"/>
        </w:rPr>
      </w:pPr>
    </w:p>
    <w:p w14:paraId="73B4B7E0" w14:textId="55256B1C" w:rsidR="00D83535" w:rsidRPr="00D83535" w:rsidRDefault="00976392" w:rsidP="00C12943">
      <w:pPr>
        <w:pStyle w:val="Default"/>
        <w:spacing w:after="120" w:line="238" w:lineRule="auto"/>
        <w:ind w:left="1134" w:right="26" w:hanging="1134"/>
        <w:jc w:val="both"/>
        <w:rPr>
          <w:sz w:val="22"/>
          <w:szCs w:val="22"/>
          <w:lang w:val="es-CR"/>
        </w:rPr>
      </w:pPr>
      <w:r>
        <w:rPr>
          <w:sz w:val="22"/>
          <w:szCs w:val="22"/>
          <w:lang w:val="es-CR"/>
        </w:rPr>
        <w:t>4.31.</w:t>
      </w:r>
      <w:r w:rsidR="00D83535" w:rsidRPr="00D83535">
        <w:rPr>
          <w:sz w:val="22"/>
          <w:szCs w:val="22"/>
          <w:lang w:val="es-CR"/>
        </w:rPr>
        <w:t>3.</w:t>
      </w:r>
      <w:r>
        <w:rPr>
          <w:sz w:val="22"/>
          <w:szCs w:val="22"/>
          <w:lang w:val="es-CR"/>
        </w:rPr>
        <w:t>01</w:t>
      </w:r>
      <w:r>
        <w:rPr>
          <w:sz w:val="22"/>
          <w:szCs w:val="22"/>
          <w:lang w:val="es-CR"/>
        </w:rPr>
        <w:tab/>
      </w:r>
      <w:r w:rsidR="00D83535" w:rsidRPr="00D83535">
        <w:rPr>
          <w:sz w:val="22"/>
          <w:szCs w:val="22"/>
          <w:lang w:val="es-CR"/>
        </w:rPr>
        <w:t>El porcentaje de terminación de una transacción puede determinarse mediante varios métodos, dependiendo de la naturaleza de la operación, pudiendo incluir:</w:t>
      </w:r>
    </w:p>
    <w:p w14:paraId="6BCB2329" w14:textId="788B49FE" w:rsidR="00D83535" w:rsidRDefault="00D83535" w:rsidP="00C12943">
      <w:pPr>
        <w:pStyle w:val="Default"/>
        <w:numPr>
          <w:ilvl w:val="0"/>
          <w:numId w:val="247"/>
        </w:numPr>
        <w:spacing w:after="120"/>
        <w:ind w:left="1418" w:right="26" w:hanging="284"/>
        <w:jc w:val="both"/>
        <w:rPr>
          <w:sz w:val="22"/>
          <w:szCs w:val="22"/>
          <w:lang w:val="es-CR"/>
        </w:rPr>
      </w:pPr>
      <w:r>
        <w:rPr>
          <w:sz w:val="22"/>
          <w:szCs w:val="22"/>
          <w:lang w:val="es-CR"/>
        </w:rPr>
        <w:t>A</w:t>
      </w:r>
      <w:r w:rsidRPr="00D83535">
        <w:rPr>
          <w:sz w:val="22"/>
          <w:szCs w:val="22"/>
          <w:lang w:val="es-CR"/>
        </w:rPr>
        <w:t xml:space="preserve"> inspección de los trabajos ejecutados; </w:t>
      </w:r>
    </w:p>
    <w:p w14:paraId="4AE7C436" w14:textId="4BCF91E7" w:rsidR="00D83535" w:rsidRPr="00D83535" w:rsidRDefault="00D83535" w:rsidP="00C12943">
      <w:pPr>
        <w:pStyle w:val="Default"/>
        <w:numPr>
          <w:ilvl w:val="0"/>
          <w:numId w:val="247"/>
        </w:numPr>
        <w:spacing w:after="120"/>
        <w:ind w:left="1418" w:right="26" w:hanging="284"/>
        <w:jc w:val="both"/>
        <w:rPr>
          <w:sz w:val="22"/>
          <w:szCs w:val="22"/>
          <w:lang w:val="es-CR"/>
        </w:rPr>
      </w:pPr>
      <w:r>
        <w:rPr>
          <w:sz w:val="22"/>
          <w:szCs w:val="22"/>
          <w:lang w:val="es-CR"/>
        </w:rPr>
        <w:lastRenderedPageBreak/>
        <w:t>L</w:t>
      </w:r>
      <w:r w:rsidRPr="00D83535">
        <w:rPr>
          <w:sz w:val="22"/>
          <w:szCs w:val="22"/>
          <w:lang w:val="es-CR"/>
        </w:rPr>
        <w:t xml:space="preserve">a proporción de los servicios ejecutados hasta la fecha como porcentaje del total de servicios a prestar; o </w:t>
      </w:r>
    </w:p>
    <w:p w14:paraId="385F2D2D" w14:textId="7D8C0951" w:rsidR="00D83535" w:rsidRPr="00D83535" w:rsidRDefault="00D83535" w:rsidP="00C12943">
      <w:pPr>
        <w:pStyle w:val="Default"/>
        <w:numPr>
          <w:ilvl w:val="0"/>
          <w:numId w:val="247"/>
        </w:numPr>
        <w:ind w:left="1418" w:right="26" w:hanging="284"/>
        <w:jc w:val="both"/>
        <w:rPr>
          <w:sz w:val="22"/>
          <w:szCs w:val="22"/>
          <w:lang w:val="es-CR"/>
        </w:rPr>
      </w:pPr>
      <w:r>
        <w:rPr>
          <w:sz w:val="22"/>
          <w:szCs w:val="22"/>
          <w:lang w:val="es-CR"/>
        </w:rPr>
        <w:t>L</w:t>
      </w:r>
      <w:r w:rsidRPr="00D83535">
        <w:rPr>
          <w:sz w:val="22"/>
          <w:szCs w:val="22"/>
          <w:lang w:val="es-CR"/>
        </w:rPr>
        <w:t>a proporción de los costos incurridos hasta la fecha sobre el costo total estimado de la operación, considerando a tales efectos sólo los costos que reflejen servicios ya ejecutados.</w:t>
      </w:r>
    </w:p>
    <w:p w14:paraId="3654DDDB" w14:textId="77777777" w:rsidR="00D83535" w:rsidRPr="00D83535" w:rsidRDefault="00D83535" w:rsidP="00C12943">
      <w:pPr>
        <w:pStyle w:val="Default"/>
        <w:ind w:right="26"/>
        <w:jc w:val="both"/>
        <w:rPr>
          <w:sz w:val="22"/>
          <w:szCs w:val="22"/>
          <w:lang w:val="es-CR"/>
        </w:rPr>
      </w:pPr>
    </w:p>
    <w:p w14:paraId="70CFF179" w14:textId="32741DAC" w:rsidR="00D83535" w:rsidRPr="00D83535" w:rsidRDefault="00976392" w:rsidP="00C12943">
      <w:pPr>
        <w:pStyle w:val="Default"/>
        <w:ind w:left="1134" w:right="26" w:hanging="1134"/>
        <w:jc w:val="both"/>
        <w:rPr>
          <w:sz w:val="22"/>
          <w:szCs w:val="22"/>
          <w:lang w:val="es-CR"/>
        </w:rPr>
      </w:pPr>
      <w:r>
        <w:rPr>
          <w:sz w:val="22"/>
          <w:szCs w:val="22"/>
          <w:lang w:val="es-CR"/>
        </w:rPr>
        <w:t>4.31.</w:t>
      </w:r>
      <w:r w:rsidR="00D83535" w:rsidRPr="00D83535">
        <w:rPr>
          <w:sz w:val="22"/>
          <w:szCs w:val="22"/>
          <w:lang w:val="es-CR"/>
        </w:rPr>
        <w:t>4.</w:t>
      </w:r>
      <w:r>
        <w:rPr>
          <w:sz w:val="22"/>
          <w:szCs w:val="22"/>
          <w:lang w:val="es-CR"/>
        </w:rPr>
        <w:t>01</w:t>
      </w:r>
      <w:r>
        <w:rPr>
          <w:sz w:val="22"/>
          <w:szCs w:val="22"/>
          <w:lang w:val="es-CR"/>
        </w:rPr>
        <w:tab/>
      </w:r>
      <w:r w:rsidR="00D83535" w:rsidRPr="00D83535">
        <w:rPr>
          <w:sz w:val="22"/>
          <w:szCs w:val="22"/>
          <w:lang w:val="es-CR"/>
        </w:rPr>
        <w:t xml:space="preserve">Ni los pagos a cuenta, ni los anticipos recibidos de los clientes reflejan, el porcentaje del servicio prestado, los que serán tratados como pasivos. </w:t>
      </w:r>
    </w:p>
    <w:p w14:paraId="746FA3C4" w14:textId="77777777" w:rsidR="00D83535" w:rsidRPr="00D83535" w:rsidRDefault="00D83535" w:rsidP="00C12943">
      <w:pPr>
        <w:pStyle w:val="Default"/>
        <w:ind w:right="26"/>
        <w:jc w:val="both"/>
        <w:rPr>
          <w:sz w:val="22"/>
          <w:szCs w:val="22"/>
          <w:lang w:val="es-CR"/>
        </w:rPr>
      </w:pPr>
    </w:p>
    <w:p w14:paraId="79EA9D4C" w14:textId="4448F946" w:rsidR="00D83535" w:rsidRPr="00D83535" w:rsidRDefault="00976392" w:rsidP="00C12943">
      <w:pPr>
        <w:pStyle w:val="Default"/>
        <w:spacing w:after="120" w:line="238" w:lineRule="auto"/>
        <w:ind w:left="1134" w:right="26" w:hanging="1134"/>
        <w:jc w:val="both"/>
        <w:rPr>
          <w:sz w:val="22"/>
          <w:szCs w:val="22"/>
          <w:lang w:val="es-CR"/>
        </w:rPr>
      </w:pPr>
      <w:r>
        <w:rPr>
          <w:sz w:val="22"/>
          <w:szCs w:val="22"/>
          <w:lang w:val="es-CR"/>
        </w:rPr>
        <w:t>4.31.</w:t>
      </w:r>
      <w:r w:rsidR="00D83535" w:rsidRPr="00D83535">
        <w:rPr>
          <w:sz w:val="22"/>
          <w:szCs w:val="22"/>
          <w:lang w:val="es-CR"/>
        </w:rPr>
        <w:t>5.</w:t>
      </w:r>
      <w:r>
        <w:rPr>
          <w:sz w:val="22"/>
          <w:szCs w:val="22"/>
          <w:lang w:val="es-CR"/>
        </w:rPr>
        <w:t>01</w:t>
      </w:r>
      <w:r>
        <w:rPr>
          <w:sz w:val="22"/>
          <w:szCs w:val="22"/>
          <w:lang w:val="es-CR"/>
        </w:rPr>
        <w:tab/>
      </w:r>
      <w:r w:rsidR="00D83535" w:rsidRPr="00D83535">
        <w:rPr>
          <w:sz w:val="22"/>
          <w:szCs w:val="22"/>
          <w:lang w:val="es-CR"/>
        </w:rPr>
        <w:t xml:space="preserve">Cuando el resultado de una transacción que implique la prestación de </w:t>
      </w:r>
      <w:r w:rsidR="00C12943" w:rsidRPr="00D83535">
        <w:rPr>
          <w:sz w:val="22"/>
          <w:szCs w:val="22"/>
          <w:lang w:val="es-CR"/>
        </w:rPr>
        <w:t>servicios</w:t>
      </w:r>
      <w:r w:rsidR="00D83535" w:rsidRPr="00D83535">
        <w:rPr>
          <w:sz w:val="22"/>
          <w:szCs w:val="22"/>
          <w:lang w:val="es-CR"/>
        </w:rPr>
        <w:t xml:space="preserve"> no pueda ser estimado de forma fiable, los ingresos deben ser reconocidos como tales, sólo en la cuantía de los gastos reconocidos que se consideren recuperables. </w:t>
      </w:r>
    </w:p>
    <w:p w14:paraId="0875B1DD" w14:textId="77777777" w:rsidR="00D83535" w:rsidRDefault="00D83535" w:rsidP="00B942C1">
      <w:pPr>
        <w:pStyle w:val="Default"/>
        <w:ind w:left="1134" w:right="261" w:hanging="1134"/>
        <w:jc w:val="both"/>
        <w:rPr>
          <w:sz w:val="22"/>
          <w:szCs w:val="22"/>
          <w:lang w:val="es-CR"/>
        </w:rPr>
      </w:pPr>
    </w:p>
    <w:p w14:paraId="74573FBC" w14:textId="77777777" w:rsidR="00311422" w:rsidRDefault="00311422" w:rsidP="00B942C1">
      <w:pPr>
        <w:pStyle w:val="Default"/>
        <w:ind w:left="1134" w:right="261" w:hanging="1134"/>
        <w:jc w:val="both"/>
        <w:rPr>
          <w:sz w:val="22"/>
          <w:szCs w:val="22"/>
          <w:lang w:val="es-CR"/>
        </w:rPr>
      </w:pPr>
    </w:p>
    <w:p w14:paraId="6003A3D6" w14:textId="75CBC442" w:rsidR="00D83535" w:rsidRPr="00B942C1" w:rsidRDefault="00976392" w:rsidP="00B942C1">
      <w:pPr>
        <w:pStyle w:val="Ttulo2"/>
        <w:ind w:left="284"/>
        <w:rPr>
          <w:rFonts w:ascii="Arial" w:eastAsia="Arial" w:hAnsi="Arial" w:cs="Arial"/>
          <w:b/>
          <w:bCs/>
          <w:sz w:val="20"/>
          <w:szCs w:val="20"/>
          <w:lang w:val="es-CR"/>
        </w:rPr>
      </w:pPr>
      <w:bookmarkStart w:id="132" w:name="_Toc172726267"/>
      <w:r w:rsidRPr="00B942C1">
        <w:rPr>
          <w:rFonts w:ascii="Arial" w:eastAsia="Arial" w:hAnsi="Arial" w:cs="Arial"/>
          <w:b/>
          <w:bCs/>
          <w:sz w:val="20"/>
          <w:szCs w:val="20"/>
          <w:lang w:val="es-CR"/>
        </w:rPr>
        <w:t>Venta de Bienes</w:t>
      </w:r>
      <w:bookmarkEnd w:id="132"/>
    </w:p>
    <w:p w14:paraId="1072AB2F" w14:textId="77777777" w:rsidR="00976392" w:rsidRPr="00976392" w:rsidRDefault="00976392" w:rsidP="00696F96">
      <w:pPr>
        <w:pStyle w:val="Default"/>
        <w:spacing w:after="120" w:line="238" w:lineRule="auto"/>
        <w:ind w:left="1134" w:right="260" w:hanging="1134"/>
        <w:jc w:val="both"/>
        <w:rPr>
          <w:lang w:val="es-CR"/>
        </w:rPr>
      </w:pPr>
    </w:p>
    <w:tbl>
      <w:tblPr>
        <w:tblW w:w="9384" w:type="dxa"/>
        <w:tblLook w:val="04A0" w:firstRow="1" w:lastRow="0" w:firstColumn="1" w:lastColumn="0" w:noHBand="0" w:noVBand="1"/>
      </w:tblPr>
      <w:tblGrid>
        <w:gridCol w:w="711"/>
        <w:gridCol w:w="417"/>
        <w:gridCol w:w="563"/>
        <w:gridCol w:w="3688"/>
        <w:gridCol w:w="2124"/>
        <w:gridCol w:w="1881"/>
      </w:tblGrid>
      <w:tr w:rsidR="00976392" w:rsidRPr="00976392" w14:paraId="20B5A0F5" w14:textId="77777777" w:rsidTr="00C12943">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BE0CF31" w14:textId="77777777" w:rsidR="00976392" w:rsidRPr="00976392" w:rsidRDefault="00976392" w:rsidP="00976392">
            <w:pPr>
              <w:jc w:val="center"/>
              <w:rPr>
                <w:rFonts w:ascii="Arial Narrow" w:eastAsia="Times New Roman" w:hAnsi="Arial Narrow" w:cs="Calibri"/>
                <w:b/>
                <w:bCs/>
                <w:color w:val="FFFFFF"/>
                <w:sz w:val="22"/>
                <w:szCs w:val="22"/>
              </w:rPr>
            </w:pPr>
            <w:r w:rsidRPr="00976392">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A796D55" w14:textId="77777777" w:rsidR="00976392" w:rsidRPr="00976392" w:rsidRDefault="00976392" w:rsidP="00976392">
            <w:pPr>
              <w:jc w:val="center"/>
              <w:rPr>
                <w:rFonts w:ascii="Arial Narrow" w:eastAsia="Times New Roman" w:hAnsi="Arial Narrow" w:cs="Calibri"/>
                <w:b/>
                <w:bCs/>
                <w:color w:val="FFFFFF"/>
                <w:sz w:val="22"/>
                <w:szCs w:val="22"/>
              </w:rPr>
            </w:pPr>
            <w:r w:rsidRPr="00976392">
              <w:rPr>
                <w:rFonts w:ascii="Arial Narrow" w:eastAsia="Times New Roman" w:hAnsi="Arial Narrow" w:cs="Calibri"/>
                <w:b/>
                <w:bCs/>
                <w:color w:val="FFFFFF"/>
                <w:sz w:val="22"/>
                <w:szCs w:val="22"/>
              </w:rPr>
              <w:t>Concepto</w:t>
            </w:r>
          </w:p>
        </w:tc>
        <w:tc>
          <w:tcPr>
            <w:tcW w:w="4005" w:type="dxa"/>
            <w:gridSpan w:val="2"/>
            <w:tcBorders>
              <w:top w:val="single" w:sz="8" w:space="0" w:color="auto"/>
              <w:left w:val="nil"/>
              <w:bottom w:val="single" w:sz="8" w:space="0" w:color="auto"/>
              <w:right w:val="single" w:sz="8" w:space="0" w:color="000000"/>
            </w:tcBorders>
            <w:shd w:val="clear" w:color="000000" w:fill="203764"/>
            <w:vAlign w:val="center"/>
            <w:hideMark/>
          </w:tcPr>
          <w:p w14:paraId="5F642A3F" w14:textId="77777777" w:rsidR="00976392" w:rsidRPr="00976392" w:rsidRDefault="00976392" w:rsidP="00976392">
            <w:pPr>
              <w:jc w:val="center"/>
              <w:rPr>
                <w:rFonts w:ascii="Arial Narrow" w:eastAsia="Times New Roman" w:hAnsi="Arial Narrow" w:cs="Calibri"/>
                <w:b/>
                <w:bCs/>
                <w:color w:val="FFFFFF"/>
                <w:sz w:val="22"/>
                <w:szCs w:val="22"/>
              </w:rPr>
            </w:pPr>
            <w:r w:rsidRPr="00976392">
              <w:rPr>
                <w:rFonts w:ascii="Arial Narrow" w:eastAsia="Times New Roman" w:hAnsi="Arial Narrow" w:cs="Calibri"/>
                <w:b/>
                <w:bCs/>
                <w:color w:val="FFFFFF"/>
                <w:sz w:val="22"/>
                <w:szCs w:val="22"/>
              </w:rPr>
              <w:t>Referencia</w:t>
            </w:r>
          </w:p>
        </w:tc>
      </w:tr>
      <w:tr w:rsidR="00976392" w:rsidRPr="006E5442" w14:paraId="2357AFC7" w14:textId="77777777" w:rsidTr="00C12943">
        <w:trPr>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72ECAA52" w14:textId="77777777" w:rsidR="00976392" w:rsidRPr="00976392" w:rsidRDefault="00976392" w:rsidP="00976392">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7C4F0B63" w14:textId="77777777" w:rsidR="00976392" w:rsidRPr="00976392" w:rsidRDefault="00976392" w:rsidP="00976392">
            <w:pPr>
              <w:rPr>
                <w:rFonts w:ascii="Arial Narrow" w:eastAsia="Times New Roman" w:hAnsi="Arial Narrow" w:cs="Calibri"/>
                <w:b/>
                <w:bCs/>
                <w:color w:val="FFFFFF"/>
                <w:sz w:val="22"/>
                <w:szCs w:val="22"/>
              </w:rPr>
            </w:pPr>
          </w:p>
        </w:tc>
        <w:tc>
          <w:tcPr>
            <w:tcW w:w="2124" w:type="dxa"/>
            <w:tcBorders>
              <w:top w:val="nil"/>
              <w:left w:val="nil"/>
              <w:bottom w:val="nil"/>
              <w:right w:val="single" w:sz="8" w:space="0" w:color="auto"/>
            </w:tcBorders>
            <w:shd w:val="clear" w:color="000000" w:fill="203764"/>
            <w:vAlign w:val="center"/>
            <w:hideMark/>
          </w:tcPr>
          <w:p w14:paraId="7F74E20D" w14:textId="77777777" w:rsidR="00976392" w:rsidRPr="00976392" w:rsidRDefault="00976392" w:rsidP="00976392">
            <w:pPr>
              <w:jc w:val="center"/>
              <w:rPr>
                <w:rFonts w:ascii="Arial Narrow" w:eastAsia="Times New Roman" w:hAnsi="Arial Narrow" w:cs="Calibri"/>
                <w:b/>
                <w:bCs/>
                <w:color w:val="FFFFFF"/>
                <w:sz w:val="22"/>
                <w:szCs w:val="22"/>
              </w:rPr>
            </w:pPr>
            <w:r w:rsidRPr="00976392">
              <w:rPr>
                <w:rFonts w:ascii="Arial Narrow" w:eastAsia="Times New Roman" w:hAnsi="Arial Narrow" w:cs="Calibri"/>
                <w:b/>
                <w:bCs/>
                <w:color w:val="FFFFFF"/>
                <w:sz w:val="22"/>
                <w:szCs w:val="22"/>
              </w:rPr>
              <w:t>Norma</w:t>
            </w:r>
          </w:p>
        </w:tc>
        <w:tc>
          <w:tcPr>
            <w:tcW w:w="1876" w:type="dxa"/>
            <w:tcBorders>
              <w:top w:val="nil"/>
              <w:left w:val="nil"/>
              <w:bottom w:val="nil"/>
              <w:right w:val="single" w:sz="8" w:space="0" w:color="auto"/>
            </w:tcBorders>
            <w:shd w:val="clear" w:color="000000" w:fill="203764"/>
            <w:vAlign w:val="center"/>
            <w:hideMark/>
          </w:tcPr>
          <w:p w14:paraId="42110E20" w14:textId="77777777" w:rsidR="00976392" w:rsidRPr="00976392" w:rsidRDefault="00976392" w:rsidP="00976392">
            <w:pPr>
              <w:jc w:val="center"/>
              <w:rPr>
                <w:rFonts w:ascii="Arial Narrow" w:eastAsia="Times New Roman" w:hAnsi="Arial Narrow" w:cs="Calibri"/>
                <w:b/>
                <w:bCs/>
                <w:color w:val="FFFFFF"/>
                <w:sz w:val="22"/>
                <w:szCs w:val="22"/>
                <w:lang w:val="es-CR"/>
              </w:rPr>
            </w:pPr>
            <w:r w:rsidRPr="00976392">
              <w:rPr>
                <w:rFonts w:ascii="Arial Narrow" w:eastAsia="Times New Roman" w:hAnsi="Arial Narrow" w:cs="Calibri"/>
                <w:b/>
                <w:bCs/>
                <w:color w:val="FFFFFF"/>
                <w:sz w:val="22"/>
                <w:szCs w:val="22"/>
                <w:lang w:val="es-CR"/>
              </w:rPr>
              <w:t>Normativa técnica y disposiciones adicionales</w:t>
            </w:r>
          </w:p>
        </w:tc>
      </w:tr>
      <w:tr w:rsidR="00976392" w:rsidRPr="00976392" w14:paraId="668FBEAE" w14:textId="77777777" w:rsidTr="00C12943">
        <w:trPr>
          <w:trHeight w:val="570"/>
        </w:trPr>
        <w:tc>
          <w:tcPr>
            <w:tcW w:w="7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FF2A13" w14:textId="77777777" w:rsidR="00976392" w:rsidRPr="00976392" w:rsidRDefault="00976392" w:rsidP="00976392">
            <w:pPr>
              <w:jc w:val="center"/>
              <w:rPr>
                <w:rFonts w:ascii="Arial Narrow" w:eastAsia="Times New Roman" w:hAnsi="Arial Narrow" w:cs="Calibri"/>
                <w:b/>
                <w:bCs/>
                <w:color w:val="000000"/>
                <w:sz w:val="22"/>
                <w:szCs w:val="22"/>
              </w:rPr>
            </w:pPr>
            <w:r w:rsidRPr="00976392">
              <w:rPr>
                <w:rFonts w:ascii="Arial Narrow" w:eastAsia="Times New Roman" w:hAnsi="Arial Narrow" w:cs="Calibri"/>
                <w:b/>
                <w:bCs/>
                <w:color w:val="000000"/>
                <w:sz w:val="22"/>
                <w:szCs w:val="22"/>
              </w:rPr>
              <w:t>4</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58FE115D" w14:textId="77777777" w:rsidR="00976392" w:rsidRPr="00976392" w:rsidRDefault="00976392" w:rsidP="00976392">
            <w:pPr>
              <w:jc w:val="center"/>
              <w:rPr>
                <w:rFonts w:ascii="Arial Narrow" w:eastAsia="Times New Roman" w:hAnsi="Arial Narrow" w:cs="Calibri"/>
                <w:b/>
                <w:bCs/>
                <w:color w:val="000000"/>
                <w:sz w:val="22"/>
                <w:szCs w:val="22"/>
              </w:rPr>
            </w:pPr>
            <w:r w:rsidRPr="00976392">
              <w:rPr>
                <w:rFonts w:ascii="Arial Narrow" w:eastAsia="Times New Roman" w:hAnsi="Arial Narrow" w:cs="Calibri"/>
                <w:b/>
                <w:bCs/>
                <w:color w:val="000000"/>
                <w:sz w:val="22"/>
                <w:szCs w:val="22"/>
              </w:rPr>
              <w:t>32</w:t>
            </w:r>
          </w:p>
        </w:tc>
        <w:tc>
          <w:tcPr>
            <w:tcW w:w="563" w:type="dxa"/>
            <w:tcBorders>
              <w:top w:val="single" w:sz="8" w:space="0" w:color="auto"/>
              <w:left w:val="nil"/>
              <w:bottom w:val="single" w:sz="8" w:space="0" w:color="auto"/>
              <w:right w:val="single" w:sz="8" w:space="0" w:color="auto"/>
            </w:tcBorders>
            <w:shd w:val="clear" w:color="auto" w:fill="auto"/>
            <w:vAlign w:val="center"/>
            <w:hideMark/>
          </w:tcPr>
          <w:p w14:paraId="25ECFD5F" w14:textId="096AAE8A" w:rsidR="00976392" w:rsidRPr="00976392" w:rsidRDefault="00976392" w:rsidP="00976392">
            <w:pPr>
              <w:jc w:val="center"/>
              <w:rPr>
                <w:rFonts w:ascii="Arial Narrow" w:eastAsia="Times New Roman" w:hAnsi="Arial Narrow" w:cs="Calibri"/>
                <w:b/>
                <w:bCs/>
                <w:color w:val="000000"/>
                <w:sz w:val="22"/>
                <w:szCs w:val="22"/>
              </w:rPr>
            </w:pP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0FC0DE29" w14:textId="77777777" w:rsidR="00976392" w:rsidRPr="00976392" w:rsidRDefault="00976392" w:rsidP="00976392">
            <w:pPr>
              <w:jc w:val="both"/>
              <w:rPr>
                <w:rFonts w:ascii="Arial Narrow" w:eastAsia="Times New Roman" w:hAnsi="Arial Narrow" w:cs="Calibri"/>
                <w:b/>
                <w:bCs/>
                <w:color w:val="000000"/>
                <w:sz w:val="22"/>
                <w:szCs w:val="22"/>
              </w:rPr>
            </w:pPr>
            <w:r w:rsidRPr="00976392">
              <w:rPr>
                <w:rFonts w:ascii="Arial Narrow" w:eastAsia="Times New Roman" w:hAnsi="Arial Narrow" w:cs="Calibri"/>
                <w:b/>
                <w:bCs/>
                <w:color w:val="000000"/>
                <w:sz w:val="22"/>
                <w:szCs w:val="22"/>
              </w:rPr>
              <w:t>Venta de Bienes</w:t>
            </w:r>
          </w:p>
        </w:tc>
        <w:tc>
          <w:tcPr>
            <w:tcW w:w="2124" w:type="dxa"/>
            <w:tcBorders>
              <w:top w:val="single" w:sz="8" w:space="0" w:color="auto"/>
              <w:left w:val="nil"/>
              <w:bottom w:val="single" w:sz="8" w:space="0" w:color="auto"/>
              <w:right w:val="single" w:sz="8" w:space="0" w:color="auto"/>
            </w:tcBorders>
            <w:shd w:val="clear" w:color="auto" w:fill="auto"/>
            <w:vAlign w:val="center"/>
            <w:hideMark/>
          </w:tcPr>
          <w:p w14:paraId="0872A8C2" w14:textId="77777777" w:rsidR="00976392" w:rsidRDefault="00976392" w:rsidP="00976392">
            <w:pPr>
              <w:jc w:val="both"/>
              <w:rPr>
                <w:rFonts w:ascii="Arial Narrow" w:eastAsia="Times New Roman" w:hAnsi="Arial Narrow" w:cs="Calibri"/>
                <w:b/>
                <w:bCs/>
                <w:color w:val="000000"/>
                <w:sz w:val="22"/>
                <w:szCs w:val="22"/>
              </w:rPr>
            </w:pPr>
            <w:r w:rsidRPr="00976392">
              <w:rPr>
                <w:rFonts w:ascii="Arial Narrow" w:eastAsia="Times New Roman" w:hAnsi="Arial Narrow" w:cs="Calibri"/>
                <w:b/>
                <w:bCs/>
                <w:color w:val="000000"/>
                <w:sz w:val="22"/>
                <w:szCs w:val="22"/>
              </w:rPr>
              <w:t>NICSP N° 9,</w:t>
            </w:r>
          </w:p>
          <w:p w14:paraId="75178AA8" w14:textId="31C0D166" w:rsidR="00976392" w:rsidRPr="00976392" w:rsidRDefault="00976392" w:rsidP="00976392">
            <w:pPr>
              <w:jc w:val="both"/>
              <w:rPr>
                <w:rFonts w:ascii="Arial Narrow" w:eastAsia="Times New Roman" w:hAnsi="Arial Narrow" w:cs="Calibri"/>
                <w:b/>
                <w:bCs/>
                <w:color w:val="000000"/>
                <w:sz w:val="22"/>
                <w:szCs w:val="22"/>
              </w:rPr>
            </w:pPr>
            <w:r w:rsidRPr="00976392">
              <w:rPr>
                <w:rFonts w:ascii="Arial Narrow" w:eastAsia="Times New Roman" w:hAnsi="Arial Narrow" w:cs="Calibri"/>
                <w:b/>
                <w:bCs/>
                <w:color w:val="000000"/>
                <w:sz w:val="22"/>
                <w:szCs w:val="22"/>
              </w:rPr>
              <w:t>Párrafo 28.</w:t>
            </w:r>
          </w:p>
        </w:tc>
        <w:tc>
          <w:tcPr>
            <w:tcW w:w="1876" w:type="dxa"/>
            <w:tcBorders>
              <w:top w:val="single" w:sz="8" w:space="0" w:color="auto"/>
              <w:left w:val="nil"/>
              <w:bottom w:val="single" w:sz="8" w:space="0" w:color="auto"/>
              <w:right w:val="single" w:sz="8" w:space="0" w:color="auto"/>
            </w:tcBorders>
            <w:shd w:val="clear" w:color="auto" w:fill="auto"/>
            <w:vAlign w:val="center"/>
            <w:hideMark/>
          </w:tcPr>
          <w:p w14:paraId="232F3EFA" w14:textId="77777777" w:rsidR="00976392" w:rsidRPr="00976392" w:rsidRDefault="00976392" w:rsidP="00976392">
            <w:pPr>
              <w:rPr>
                <w:rFonts w:ascii="Arial Narrow" w:eastAsia="Times New Roman" w:hAnsi="Arial Narrow" w:cs="Calibri"/>
                <w:b/>
                <w:bCs/>
                <w:color w:val="000000"/>
                <w:sz w:val="22"/>
                <w:szCs w:val="22"/>
              </w:rPr>
            </w:pPr>
            <w:r w:rsidRPr="00976392">
              <w:rPr>
                <w:rFonts w:ascii="Arial Narrow" w:eastAsia="Times New Roman" w:hAnsi="Arial Narrow" w:cs="Calibri"/>
                <w:b/>
                <w:bCs/>
                <w:color w:val="000000"/>
                <w:sz w:val="22"/>
                <w:szCs w:val="22"/>
              </w:rPr>
              <w:t xml:space="preserve"> </w:t>
            </w:r>
          </w:p>
        </w:tc>
      </w:tr>
    </w:tbl>
    <w:p w14:paraId="572EE147" w14:textId="77777777" w:rsidR="00D83535" w:rsidRDefault="00D83535" w:rsidP="00C12943">
      <w:pPr>
        <w:pStyle w:val="Default"/>
        <w:ind w:left="1134" w:right="261" w:hanging="1134"/>
        <w:jc w:val="both"/>
        <w:rPr>
          <w:sz w:val="22"/>
          <w:szCs w:val="22"/>
          <w:lang w:val="es-CR"/>
        </w:rPr>
      </w:pPr>
    </w:p>
    <w:p w14:paraId="54B74A0B" w14:textId="16A07279" w:rsidR="00C12943" w:rsidRDefault="00C12943" w:rsidP="00C12943">
      <w:pPr>
        <w:pStyle w:val="Default"/>
        <w:ind w:left="1134" w:right="261" w:hanging="1134"/>
        <w:jc w:val="both"/>
        <w:rPr>
          <w:rFonts w:eastAsia="Arial"/>
          <w:b/>
          <w:sz w:val="22"/>
          <w:szCs w:val="22"/>
        </w:rPr>
      </w:pPr>
      <w:r w:rsidRPr="00F02F9D">
        <w:rPr>
          <w:rFonts w:eastAsia="Arial"/>
          <w:b/>
          <w:sz w:val="22"/>
          <w:szCs w:val="22"/>
        </w:rPr>
        <w:t>Políticas Contables</w:t>
      </w:r>
    </w:p>
    <w:p w14:paraId="64EF0F6D" w14:textId="77777777" w:rsidR="00C12943" w:rsidRDefault="00C12943" w:rsidP="00C12943">
      <w:pPr>
        <w:pStyle w:val="Default"/>
        <w:ind w:left="1134" w:right="261" w:hanging="1134"/>
        <w:jc w:val="both"/>
        <w:rPr>
          <w:sz w:val="22"/>
          <w:szCs w:val="22"/>
          <w:lang w:val="es-CR"/>
        </w:rPr>
      </w:pPr>
    </w:p>
    <w:p w14:paraId="08997264" w14:textId="3DC005F6" w:rsidR="00976392" w:rsidRPr="00976392" w:rsidRDefault="00976392" w:rsidP="00976392">
      <w:pPr>
        <w:pStyle w:val="Default"/>
        <w:ind w:left="1134" w:hanging="1134"/>
        <w:jc w:val="both"/>
        <w:rPr>
          <w:sz w:val="22"/>
          <w:szCs w:val="22"/>
          <w:lang w:val="es-CR"/>
        </w:rPr>
      </w:pPr>
      <w:r>
        <w:rPr>
          <w:sz w:val="22"/>
          <w:szCs w:val="22"/>
          <w:lang w:val="es-CR"/>
        </w:rPr>
        <w:t>4.32.0.01</w:t>
      </w:r>
      <w:r>
        <w:rPr>
          <w:sz w:val="22"/>
          <w:szCs w:val="22"/>
          <w:lang w:val="es-CR"/>
        </w:rPr>
        <w:tab/>
      </w:r>
      <w:r w:rsidRPr="00976392">
        <w:rPr>
          <w:sz w:val="22"/>
          <w:szCs w:val="22"/>
          <w:lang w:val="es-CR"/>
        </w:rPr>
        <w:t xml:space="preserve">Los ingresos procedentes de la venta de bienes deben ser reconocidos y registrados en los EEFF cuando se cumplan todas y cada una de las siguientes condiciones: </w:t>
      </w:r>
    </w:p>
    <w:p w14:paraId="19DC3772" w14:textId="77777777" w:rsidR="00976392" w:rsidRDefault="00976392">
      <w:pPr>
        <w:pStyle w:val="Default"/>
        <w:numPr>
          <w:ilvl w:val="0"/>
          <w:numId w:val="248"/>
        </w:numPr>
        <w:spacing w:after="20"/>
        <w:jc w:val="both"/>
        <w:rPr>
          <w:sz w:val="22"/>
          <w:szCs w:val="22"/>
          <w:lang w:val="es-CR"/>
        </w:rPr>
      </w:pPr>
    </w:p>
    <w:p w14:paraId="01C62ECA" w14:textId="221B008F" w:rsidR="00976392" w:rsidRPr="00976392" w:rsidRDefault="00976392">
      <w:pPr>
        <w:pStyle w:val="Default"/>
        <w:numPr>
          <w:ilvl w:val="0"/>
          <w:numId w:val="249"/>
        </w:numPr>
        <w:spacing w:after="120"/>
        <w:ind w:left="1418" w:hanging="284"/>
        <w:jc w:val="both"/>
        <w:rPr>
          <w:sz w:val="22"/>
          <w:szCs w:val="22"/>
          <w:lang w:val="es-CR"/>
        </w:rPr>
      </w:pPr>
      <w:r>
        <w:rPr>
          <w:sz w:val="22"/>
          <w:szCs w:val="22"/>
          <w:lang w:val="es-CR"/>
        </w:rPr>
        <w:t>La</w:t>
      </w:r>
      <w:r w:rsidRPr="00976392">
        <w:rPr>
          <w:sz w:val="22"/>
          <w:szCs w:val="22"/>
          <w:lang w:val="es-CR"/>
        </w:rPr>
        <w:t xml:space="preserve"> entidad ha transferido al comprador los riesgos y ventajas, de tipo significativo, derivados de la propiedad de los bienes; </w:t>
      </w:r>
    </w:p>
    <w:p w14:paraId="2AFDA14C" w14:textId="23DCD2F9" w:rsidR="00976392" w:rsidRPr="00976392" w:rsidRDefault="00976392">
      <w:pPr>
        <w:pStyle w:val="Default"/>
        <w:numPr>
          <w:ilvl w:val="0"/>
          <w:numId w:val="249"/>
        </w:numPr>
        <w:spacing w:after="120"/>
        <w:ind w:left="1418" w:hanging="284"/>
        <w:jc w:val="both"/>
        <w:rPr>
          <w:sz w:val="22"/>
          <w:szCs w:val="22"/>
          <w:lang w:val="es-CR"/>
        </w:rPr>
      </w:pPr>
      <w:r>
        <w:rPr>
          <w:sz w:val="22"/>
          <w:szCs w:val="22"/>
          <w:lang w:val="es-CR"/>
        </w:rPr>
        <w:t>L</w:t>
      </w:r>
      <w:r w:rsidRPr="00976392">
        <w:rPr>
          <w:sz w:val="22"/>
          <w:szCs w:val="22"/>
          <w:lang w:val="es-CR"/>
        </w:rPr>
        <w:t xml:space="preserve">a entidad no conserva para sí ninguna implicación en la gestión corriente de los bienes vendidos, en el grado usualmente asociado con la propiedad, ni retiene el control efectivo sobre los mismos; </w:t>
      </w:r>
    </w:p>
    <w:p w14:paraId="5F21B701" w14:textId="64AEE4C9" w:rsidR="00976392" w:rsidRPr="00976392" w:rsidRDefault="00976392">
      <w:pPr>
        <w:pStyle w:val="Default"/>
        <w:numPr>
          <w:ilvl w:val="0"/>
          <w:numId w:val="249"/>
        </w:numPr>
        <w:spacing w:after="120"/>
        <w:ind w:left="1418" w:hanging="284"/>
        <w:jc w:val="both"/>
        <w:rPr>
          <w:sz w:val="22"/>
          <w:szCs w:val="22"/>
          <w:lang w:val="es-CR"/>
        </w:rPr>
      </w:pPr>
      <w:r>
        <w:rPr>
          <w:sz w:val="22"/>
          <w:szCs w:val="22"/>
          <w:lang w:val="es-CR"/>
        </w:rPr>
        <w:t>E</w:t>
      </w:r>
      <w:r w:rsidRPr="00976392">
        <w:rPr>
          <w:sz w:val="22"/>
          <w:szCs w:val="22"/>
          <w:lang w:val="es-CR"/>
        </w:rPr>
        <w:t xml:space="preserve">l importe de los ingresos puede ser medido con fiabilidad; </w:t>
      </w:r>
    </w:p>
    <w:p w14:paraId="2B767C67" w14:textId="2CE371BE" w:rsidR="00976392" w:rsidRPr="00976392" w:rsidRDefault="00976392">
      <w:pPr>
        <w:pStyle w:val="Default"/>
        <w:numPr>
          <w:ilvl w:val="0"/>
          <w:numId w:val="249"/>
        </w:numPr>
        <w:spacing w:after="120"/>
        <w:ind w:left="1418" w:hanging="284"/>
        <w:jc w:val="both"/>
        <w:rPr>
          <w:sz w:val="22"/>
          <w:szCs w:val="22"/>
          <w:lang w:val="es-CR"/>
        </w:rPr>
      </w:pPr>
      <w:r>
        <w:rPr>
          <w:sz w:val="22"/>
          <w:szCs w:val="22"/>
          <w:lang w:val="es-CR"/>
        </w:rPr>
        <w:t>E</w:t>
      </w:r>
      <w:r w:rsidRPr="00976392">
        <w:rPr>
          <w:sz w:val="22"/>
          <w:szCs w:val="22"/>
          <w:lang w:val="es-CR"/>
        </w:rPr>
        <w:t xml:space="preserve">s posible que la entidad reciba los beneficios económicos o potencial de servicio asociados con la transacción; y </w:t>
      </w:r>
    </w:p>
    <w:p w14:paraId="7B8F497D" w14:textId="4E82A9BE" w:rsidR="00976392" w:rsidRPr="00976392" w:rsidRDefault="00976392">
      <w:pPr>
        <w:pStyle w:val="Default"/>
        <w:numPr>
          <w:ilvl w:val="0"/>
          <w:numId w:val="249"/>
        </w:numPr>
        <w:ind w:left="1418" w:hanging="284"/>
        <w:jc w:val="both"/>
        <w:rPr>
          <w:sz w:val="22"/>
          <w:szCs w:val="22"/>
          <w:lang w:val="es-CR"/>
        </w:rPr>
      </w:pPr>
      <w:r>
        <w:rPr>
          <w:sz w:val="22"/>
          <w:szCs w:val="22"/>
          <w:lang w:val="es-CR"/>
        </w:rPr>
        <w:t>L</w:t>
      </w:r>
      <w:r w:rsidRPr="00976392">
        <w:rPr>
          <w:sz w:val="22"/>
          <w:szCs w:val="22"/>
          <w:lang w:val="es-CR"/>
        </w:rPr>
        <w:t xml:space="preserve">os costos incurridos, o por incurrir, en relación con la transacción, pueden ser medidos con fiabilidad. </w:t>
      </w:r>
    </w:p>
    <w:p w14:paraId="4C0C47EC" w14:textId="77777777" w:rsidR="00696F96" w:rsidRDefault="00696F96" w:rsidP="00B942C1">
      <w:pPr>
        <w:pStyle w:val="Default"/>
        <w:ind w:left="1134" w:right="261" w:hanging="1134"/>
        <w:jc w:val="both"/>
        <w:rPr>
          <w:sz w:val="22"/>
          <w:szCs w:val="22"/>
          <w:lang w:val="es-CR"/>
        </w:rPr>
      </w:pPr>
    </w:p>
    <w:p w14:paraId="6474E0D6" w14:textId="77777777" w:rsidR="00696F96" w:rsidRDefault="00696F96" w:rsidP="00B942C1">
      <w:pPr>
        <w:pStyle w:val="Default"/>
        <w:ind w:left="1134" w:right="261" w:hanging="1134"/>
        <w:jc w:val="both"/>
        <w:rPr>
          <w:sz w:val="22"/>
          <w:szCs w:val="22"/>
          <w:lang w:val="es-CR"/>
        </w:rPr>
      </w:pPr>
    </w:p>
    <w:p w14:paraId="7B1AC1CC" w14:textId="77777777" w:rsidR="00C12943" w:rsidRDefault="00C12943" w:rsidP="00B942C1">
      <w:pPr>
        <w:pStyle w:val="Default"/>
        <w:ind w:left="1134" w:right="261" w:hanging="1134"/>
        <w:jc w:val="both"/>
        <w:rPr>
          <w:sz w:val="22"/>
          <w:szCs w:val="22"/>
          <w:lang w:val="es-CR"/>
        </w:rPr>
      </w:pPr>
    </w:p>
    <w:p w14:paraId="57233850" w14:textId="77777777" w:rsidR="00C12943" w:rsidRDefault="00C12943" w:rsidP="00B942C1">
      <w:pPr>
        <w:pStyle w:val="Default"/>
        <w:ind w:left="1134" w:right="261" w:hanging="1134"/>
        <w:jc w:val="both"/>
        <w:rPr>
          <w:sz w:val="22"/>
          <w:szCs w:val="22"/>
          <w:lang w:val="es-CR"/>
        </w:rPr>
      </w:pPr>
    </w:p>
    <w:p w14:paraId="552C0EC5" w14:textId="77777777" w:rsidR="00C12943" w:rsidRDefault="00C12943" w:rsidP="00B942C1">
      <w:pPr>
        <w:pStyle w:val="Default"/>
        <w:ind w:left="1134" w:right="261" w:hanging="1134"/>
        <w:jc w:val="both"/>
        <w:rPr>
          <w:sz w:val="22"/>
          <w:szCs w:val="22"/>
          <w:lang w:val="es-CR"/>
        </w:rPr>
      </w:pPr>
    </w:p>
    <w:p w14:paraId="1F143F97" w14:textId="77777777" w:rsidR="00C12943" w:rsidRDefault="00C12943" w:rsidP="00B942C1">
      <w:pPr>
        <w:pStyle w:val="Default"/>
        <w:ind w:left="1134" w:right="261" w:hanging="1134"/>
        <w:jc w:val="both"/>
        <w:rPr>
          <w:sz w:val="22"/>
          <w:szCs w:val="22"/>
          <w:lang w:val="es-CR"/>
        </w:rPr>
      </w:pPr>
    </w:p>
    <w:p w14:paraId="100EC6B5" w14:textId="77777777" w:rsidR="00C12943" w:rsidRDefault="00C12943" w:rsidP="00B942C1">
      <w:pPr>
        <w:pStyle w:val="Default"/>
        <w:ind w:left="1134" w:right="261" w:hanging="1134"/>
        <w:jc w:val="both"/>
        <w:rPr>
          <w:sz w:val="22"/>
          <w:szCs w:val="22"/>
          <w:lang w:val="es-CR"/>
        </w:rPr>
      </w:pPr>
    </w:p>
    <w:p w14:paraId="233E9CB9" w14:textId="77777777" w:rsidR="00C12943" w:rsidRDefault="00C12943" w:rsidP="00B942C1">
      <w:pPr>
        <w:pStyle w:val="Default"/>
        <w:ind w:left="1134" w:right="261" w:hanging="1134"/>
        <w:jc w:val="both"/>
        <w:rPr>
          <w:sz w:val="22"/>
          <w:szCs w:val="22"/>
          <w:lang w:val="es-CR"/>
        </w:rPr>
      </w:pPr>
    </w:p>
    <w:p w14:paraId="45B95AA3" w14:textId="77777777" w:rsidR="00C12943" w:rsidRDefault="00C12943" w:rsidP="00B942C1">
      <w:pPr>
        <w:pStyle w:val="Default"/>
        <w:ind w:left="1134" w:right="261" w:hanging="1134"/>
        <w:jc w:val="both"/>
        <w:rPr>
          <w:sz w:val="22"/>
          <w:szCs w:val="22"/>
          <w:lang w:val="es-CR"/>
        </w:rPr>
      </w:pPr>
    </w:p>
    <w:p w14:paraId="3D98CEB0" w14:textId="77777777" w:rsidR="00C12943" w:rsidRDefault="00C12943" w:rsidP="00B942C1">
      <w:pPr>
        <w:pStyle w:val="Default"/>
        <w:ind w:left="1134" w:right="261" w:hanging="1134"/>
        <w:jc w:val="both"/>
        <w:rPr>
          <w:sz w:val="22"/>
          <w:szCs w:val="22"/>
          <w:lang w:val="es-CR"/>
        </w:rPr>
      </w:pPr>
    </w:p>
    <w:p w14:paraId="28DC2362" w14:textId="77777777" w:rsidR="00C12943" w:rsidRDefault="00C12943" w:rsidP="00B942C1">
      <w:pPr>
        <w:pStyle w:val="Default"/>
        <w:ind w:left="1134" w:right="261" w:hanging="1134"/>
        <w:jc w:val="both"/>
        <w:rPr>
          <w:sz w:val="22"/>
          <w:szCs w:val="22"/>
          <w:lang w:val="es-CR"/>
        </w:rPr>
      </w:pPr>
    </w:p>
    <w:p w14:paraId="3E1DEF06" w14:textId="77777777" w:rsidR="00C12943" w:rsidRDefault="00C12943" w:rsidP="00B942C1">
      <w:pPr>
        <w:pStyle w:val="Default"/>
        <w:ind w:left="1134" w:right="261" w:hanging="1134"/>
        <w:jc w:val="both"/>
        <w:rPr>
          <w:sz w:val="22"/>
          <w:szCs w:val="22"/>
          <w:lang w:val="es-CR"/>
        </w:rPr>
      </w:pPr>
    </w:p>
    <w:p w14:paraId="264F9D38" w14:textId="77777777" w:rsidR="00C12943" w:rsidRDefault="00C12943" w:rsidP="00B942C1">
      <w:pPr>
        <w:pStyle w:val="Default"/>
        <w:ind w:left="1134" w:right="261" w:hanging="1134"/>
        <w:jc w:val="both"/>
        <w:rPr>
          <w:sz w:val="22"/>
          <w:szCs w:val="22"/>
          <w:lang w:val="es-CR"/>
        </w:rPr>
      </w:pPr>
    </w:p>
    <w:p w14:paraId="1485091D" w14:textId="77777777" w:rsidR="00C12943" w:rsidRDefault="00C12943" w:rsidP="00B942C1">
      <w:pPr>
        <w:pStyle w:val="Default"/>
        <w:ind w:left="1134" w:right="261" w:hanging="1134"/>
        <w:jc w:val="both"/>
        <w:rPr>
          <w:sz w:val="22"/>
          <w:szCs w:val="22"/>
          <w:lang w:val="es-CR"/>
        </w:rPr>
      </w:pPr>
    </w:p>
    <w:tbl>
      <w:tblPr>
        <w:tblW w:w="9384" w:type="dxa"/>
        <w:tblLook w:val="04A0" w:firstRow="1" w:lastRow="0" w:firstColumn="1" w:lastColumn="0" w:noHBand="0" w:noVBand="1"/>
      </w:tblPr>
      <w:tblGrid>
        <w:gridCol w:w="710"/>
        <w:gridCol w:w="417"/>
        <w:gridCol w:w="564"/>
        <w:gridCol w:w="3690"/>
        <w:gridCol w:w="2122"/>
        <w:gridCol w:w="1875"/>
        <w:gridCol w:w="6"/>
      </w:tblGrid>
      <w:tr w:rsidR="004B2595" w:rsidRPr="004B2595" w14:paraId="62FF28A0" w14:textId="77777777" w:rsidTr="00C12943">
        <w:trPr>
          <w:trHeight w:val="32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0897DAA" w14:textId="77777777" w:rsidR="004B2595" w:rsidRPr="004B2595" w:rsidRDefault="004B2595" w:rsidP="00B942C1">
            <w:pPr>
              <w:jc w:val="center"/>
              <w:rPr>
                <w:rFonts w:ascii="Arial Narrow" w:eastAsia="Times New Roman" w:hAnsi="Arial Narrow" w:cs="Calibri"/>
                <w:b/>
                <w:bCs/>
                <w:color w:val="FFFFFF"/>
                <w:sz w:val="22"/>
                <w:szCs w:val="22"/>
              </w:rPr>
            </w:pPr>
            <w:r w:rsidRPr="004B2595">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5A6865A" w14:textId="77777777" w:rsidR="004B2595" w:rsidRPr="004B2595" w:rsidRDefault="004B2595" w:rsidP="00B942C1">
            <w:pPr>
              <w:jc w:val="center"/>
              <w:rPr>
                <w:rFonts w:ascii="Arial Narrow" w:eastAsia="Times New Roman" w:hAnsi="Arial Narrow" w:cs="Calibri"/>
                <w:b/>
                <w:bCs/>
                <w:color w:val="FFFFFF"/>
                <w:sz w:val="22"/>
                <w:szCs w:val="22"/>
              </w:rPr>
            </w:pPr>
            <w:r w:rsidRPr="004B2595">
              <w:rPr>
                <w:rFonts w:ascii="Arial Narrow" w:eastAsia="Times New Roman" w:hAnsi="Arial Narrow" w:cs="Calibri"/>
                <w:b/>
                <w:bCs/>
                <w:color w:val="FFFFFF"/>
                <w:sz w:val="22"/>
                <w:szCs w:val="22"/>
              </w:rPr>
              <w:t>Concepto</w:t>
            </w:r>
          </w:p>
        </w:tc>
        <w:tc>
          <w:tcPr>
            <w:tcW w:w="4003" w:type="dxa"/>
            <w:gridSpan w:val="3"/>
            <w:tcBorders>
              <w:top w:val="single" w:sz="8" w:space="0" w:color="auto"/>
              <w:left w:val="nil"/>
              <w:bottom w:val="single" w:sz="8" w:space="0" w:color="auto"/>
              <w:right w:val="single" w:sz="8" w:space="0" w:color="000000"/>
            </w:tcBorders>
            <w:shd w:val="clear" w:color="000000" w:fill="203764"/>
            <w:vAlign w:val="center"/>
            <w:hideMark/>
          </w:tcPr>
          <w:p w14:paraId="507CE8E3" w14:textId="77777777" w:rsidR="004B2595" w:rsidRPr="004B2595" w:rsidRDefault="004B2595" w:rsidP="00B942C1">
            <w:pPr>
              <w:jc w:val="center"/>
              <w:rPr>
                <w:rFonts w:ascii="Arial Narrow" w:eastAsia="Times New Roman" w:hAnsi="Arial Narrow" w:cs="Calibri"/>
                <w:b/>
                <w:bCs/>
                <w:color w:val="FFFFFF"/>
                <w:sz w:val="22"/>
                <w:szCs w:val="22"/>
              </w:rPr>
            </w:pPr>
            <w:r w:rsidRPr="004B2595">
              <w:rPr>
                <w:rFonts w:ascii="Arial Narrow" w:eastAsia="Times New Roman" w:hAnsi="Arial Narrow" w:cs="Calibri"/>
                <w:b/>
                <w:bCs/>
                <w:color w:val="FFFFFF"/>
                <w:sz w:val="22"/>
                <w:szCs w:val="22"/>
              </w:rPr>
              <w:t>Referencia</w:t>
            </w:r>
          </w:p>
        </w:tc>
      </w:tr>
      <w:tr w:rsidR="004B2595" w:rsidRPr="006E5442" w14:paraId="7F19CD50" w14:textId="77777777" w:rsidTr="00C12943">
        <w:trPr>
          <w:gridAfter w:val="1"/>
          <w:wAfter w:w="6" w:type="dxa"/>
          <w:trHeight w:val="1320"/>
        </w:trPr>
        <w:tc>
          <w:tcPr>
            <w:tcW w:w="1691" w:type="dxa"/>
            <w:gridSpan w:val="3"/>
            <w:vMerge/>
            <w:tcBorders>
              <w:top w:val="single" w:sz="8" w:space="0" w:color="auto"/>
              <w:left w:val="single" w:sz="8" w:space="0" w:color="auto"/>
              <w:bottom w:val="nil"/>
              <w:right w:val="single" w:sz="8" w:space="0" w:color="000000"/>
            </w:tcBorders>
            <w:vAlign w:val="center"/>
            <w:hideMark/>
          </w:tcPr>
          <w:p w14:paraId="71C66BFF" w14:textId="77777777" w:rsidR="004B2595" w:rsidRPr="004B2595" w:rsidRDefault="004B2595" w:rsidP="00B942C1">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642A08BA" w14:textId="77777777" w:rsidR="004B2595" w:rsidRPr="004B2595" w:rsidRDefault="004B2595" w:rsidP="00B942C1">
            <w:pPr>
              <w:rPr>
                <w:rFonts w:ascii="Arial Narrow" w:eastAsia="Times New Roman" w:hAnsi="Arial Narrow" w:cs="Calibri"/>
                <w:b/>
                <w:bCs/>
                <w:color w:val="FFFFFF"/>
                <w:sz w:val="22"/>
                <w:szCs w:val="22"/>
              </w:rPr>
            </w:pPr>
          </w:p>
        </w:tc>
        <w:tc>
          <w:tcPr>
            <w:tcW w:w="2122" w:type="dxa"/>
            <w:tcBorders>
              <w:top w:val="nil"/>
              <w:left w:val="nil"/>
              <w:bottom w:val="nil"/>
              <w:right w:val="single" w:sz="8" w:space="0" w:color="auto"/>
            </w:tcBorders>
            <w:shd w:val="clear" w:color="000000" w:fill="203764"/>
            <w:vAlign w:val="center"/>
            <w:hideMark/>
          </w:tcPr>
          <w:p w14:paraId="3B9DA169" w14:textId="77777777" w:rsidR="004B2595" w:rsidRPr="004B2595" w:rsidRDefault="004B2595" w:rsidP="00B942C1">
            <w:pPr>
              <w:jc w:val="center"/>
              <w:rPr>
                <w:rFonts w:ascii="Arial Narrow" w:eastAsia="Times New Roman" w:hAnsi="Arial Narrow" w:cs="Calibri"/>
                <w:b/>
                <w:bCs/>
                <w:color w:val="FFFFFF"/>
                <w:sz w:val="22"/>
                <w:szCs w:val="22"/>
              </w:rPr>
            </w:pPr>
            <w:r w:rsidRPr="004B2595">
              <w:rPr>
                <w:rFonts w:ascii="Arial Narrow" w:eastAsia="Times New Roman" w:hAnsi="Arial Narrow" w:cs="Calibri"/>
                <w:b/>
                <w:bCs/>
                <w:color w:val="FFFFFF"/>
                <w:sz w:val="22"/>
                <w:szCs w:val="22"/>
              </w:rPr>
              <w:t>Norma</w:t>
            </w:r>
          </w:p>
        </w:tc>
        <w:tc>
          <w:tcPr>
            <w:tcW w:w="1875" w:type="dxa"/>
            <w:tcBorders>
              <w:top w:val="nil"/>
              <w:left w:val="nil"/>
              <w:bottom w:val="nil"/>
              <w:right w:val="single" w:sz="8" w:space="0" w:color="auto"/>
            </w:tcBorders>
            <w:shd w:val="clear" w:color="000000" w:fill="203764"/>
            <w:vAlign w:val="center"/>
            <w:hideMark/>
          </w:tcPr>
          <w:p w14:paraId="29460AD1" w14:textId="77777777" w:rsidR="004B2595" w:rsidRPr="004B2595" w:rsidRDefault="004B2595" w:rsidP="00B942C1">
            <w:pPr>
              <w:jc w:val="center"/>
              <w:rPr>
                <w:rFonts w:ascii="Arial Narrow" w:eastAsia="Times New Roman" w:hAnsi="Arial Narrow" w:cs="Calibri"/>
                <w:b/>
                <w:bCs/>
                <w:color w:val="FFFFFF"/>
                <w:sz w:val="22"/>
                <w:szCs w:val="22"/>
                <w:lang w:val="es-CR"/>
              </w:rPr>
            </w:pPr>
            <w:r w:rsidRPr="004B2595">
              <w:rPr>
                <w:rFonts w:ascii="Arial Narrow" w:eastAsia="Times New Roman" w:hAnsi="Arial Narrow" w:cs="Calibri"/>
                <w:b/>
                <w:bCs/>
                <w:color w:val="FFFFFF"/>
                <w:sz w:val="22"/>
                <w:szCs w:val="22"/>
                <w:lang w:val="es-CR"/>
              </w:rPr>
              <w:t>Normativa técnica y disposiciones adicionales</w:t>
            </w:r>
          </w:p>
        </w:tc>
      </w:tr>
      <w:tr w:rsidR="004B2595" w:rsidRPr="004B2595" w14:paraId="47C81D5A" w14:textId="77777777" w:rsidTr="00C12943">
        <w:trPr>
          <w:gridAfter w:val="1"/>
          <w:wAfter w:w="6" w:type="dxa"/>
          <w:trHeight w:val="570"/>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E66AA7" w14:textId="77777777" w:rsidR="004B2595" w:rsidRPr="004B2595" w:rsidRDefault="004B2595" w:rsidP="004B2595">
            <w:pPr>
              <w:jc w:val="cente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4</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7196546B" w14:textId="77777777" w:rsidR="004B2595" w:rsidRPr="004B2595" w:rsidRDefault="004B2595" w:rsidP="004B2595">
            <w:pPr>
              <w:jc w:val="cente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33</w:t>
            </w:r>
          </w:p>
        </w:tc>
        <w:tc>
          <w:tcPr>
            <w:tcW w:w="564" w:type="dxa"/>
            <w:tcBorders>
              <w:top w:val="single" w:sz="8" w:space="0" w:color="auto"/>
              <w:left w:val="nil"/>
              <w:bottom w:val="single" w:sz="8" w:space="0" w:color="auto"/>
              <w:right w:val="single" w:sz="8" w:space="0" w:color="auto"/>
            </w:tcBorders>
            <w:shd w:val="clear" w:color="auto" w:fill="auto"/>
            <w:vAlign w:val="center"/>
            <w:hideMark/>
          </w:tcPr>
          <w:p w14:paraId="2F317F37" w14:textId="7A232626" w:rsidR="004B2595" w:rsidRPr="004B2595" w:rsidRDefault="004B2595" w:rsidP="004B2595">
            <w:pPr>
              <w:jc w:val="center"/>
              <w:rPr>
                <w:rFonts w:ascii="Arial Narrow" w:eastAsia="Times New Roman" w:hAnsi="Arial Narrow" w:cs="Calibri"/>
                <w:b/>
                <w:bCs/>
                <w:color w:val="000000"/>
                <w:sz w:val="22"/>
                <w:szCs w:val="22"/>
              </w:rPr>
            </w:pP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18EA1BA7" w14:textId="77777777" w:rsidR="004B2595" w:rsidRPr="004B2595" w:rsidRDefault="004B2595" w:rsidP="004B2595">
            <w:pPr>
              <w:jc w:val="both"/>
              <w:rPr>
                <w:rFonts w:ascii="Arial Narrow" w:eastAsia="Times New Roman" w:hAnsi="Arial Narrow" w:cs="Calibri"/>
                <w:b/>
                <w:bCs/>
                <w:color w:val="000000"/>
                <w:sz w:val="22"/>
                <w:szCs w:val="22"/>
                <w:lang w:val="es-CR"/>
              </w:rPr>
            </w:pPr>
            <w:r w:rsidRPr="004B2595">
              <w:rPr>
                <w:rFonts w:ascii="Arial Narrow" w:eastAsia="Times New Roman" w:hAnsi="Arial Narrow" w:cs="Calibri"/>
                <w:b/>
                <w:bCs/>
                <w:color w:val="000000"/>
                <w:sz w:val="22"/>
                <w:szCs w:val="22"/>
                <w:lang w:val="es-CR"/>
              </w:rPr>
              <w:t>Resultado por la baja de un activo fijo</w:t>
            </w:r>
          </w:p>
        </w:tc>
        <w:tc>
          <w:tcPr>
            <w:tcW w:w="2122" w:type="dxa"/>
            <w:tcBorders>
              <w:top w:val="single" w:sz="8" w:space="0" w:color="auto"/>
              <w:left w:val="nil"/>
              <w:bottom w:val="single" w:sz="8" w:space="0" w:color="auto"/>
              <w:right w:val="single" w:sz="8" w:space="0" w:color="auto"/>
            </w:tcBorders>
            <w:shd w:val="clear" w:color="auto" w:fill="auto"/>
            <w:vAlign w:val="center"/>
            <w:hideMark/>
          </w:tcPr>
          <w:p w14:paraId="71035F93" w14:textId="77777777" w:rsidR="004B2595" w:rsidRDefault="004B2595" w:rsidP="004B2595">
            <w:pPr>
              <w:jc w:val="both"/>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NICSP N° 17,</w:t>
            </w:r>
          </w:p>
          <w:p w14:paraId="683391C2" w14:textId="429F1A44" w:rsidR="004B2595" w:rsidRPr="004B2595" w:rsidRDefault="004B2595" w:rsidP="004B2595">
            <w:pPr>
              <w:jc w:val="both"/>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Párrafos 83 y 86.</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14:paraId="1D6BB33E" w14:textId="77777777" w:rsidR="004B2595" w:rsidRPr="004B2595" w:rsidRDefault="004B2595" w:rsidP="004B2595">
            <w:pP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 xml:space="preserve"> </w:t>
            </w:r>
          </w:p>
        </w:tc>
      </w:tr>
      <w:tr w:rsidR="004B2595" w:rsidRPr="004B2595" w14:paraId="41CA1E6A" w14:textId="77777777" w:rsidTr="00C12943">
        <w:trPr>
          <w:gridAfter w:val="1"/>
          <w:wAfter w:w="6" w:type="dxa"/>
          <w:trHeight w:val="57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31AD8A4" w14:textId="77777777" w:rsidR="004B2595" w:rsidRPr="004B2595" w:rsidRDefault="004B2595" w:rsidP="004B2595">
            <w:pPr>
              <w:jc w:val="cente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4</w:t>
            </w:r>
          </w:p>
        </w:tc>
        <w:tc>
          <w:tcPr>
            <w:tcW w:w="417" w:type="dxa"/>
            <w:tcBorders>
              <w:top w:val="nil"/>
              <w:left w:val="nil"/>
              <w:bottom w:val="single" w:sz="8" w:space="0" w:color="auto"/>
              <w:right w:val="single" w:sz="8" w:space="0" w:color="auto"/>
            </w:tcBorders>
            <w:shd w:val="clear" w:color="auto" w:fill="auto"/>
            <w:noWrap/>
            <w:vAlign w:val="center"/>
            <w:hideMark/>
          </w:tcPr>
          <w:p w14:paraId="17F5E858" w14:textId="77777777" w:rsidR="004B2595" w:rsidRPr="004B2595" w:rsidRDefault="004B2595" w:rsidP="004B2595">
            <w:pPr>
              <w:jc w:val="cente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33</w:t>
            </w:r>
          </w:p>
        </w:tc>
        <w:tc>
          <w:tcPr>
            <w:tcW w:w="564" w:type="dxa"/>
            <w:tcBorders>
              <w:top w:val="nil"/>
              <w:left w:val="nil"/>
              <w:bottom w:val="single" w:sz="8" w:space="0" w:color="auto"/>
              <w:right w:val="single" w:sz="8" w:space="0" w:color="auto"/>
            </w:tcBorders>
            <w:shd w:val="clear" w:color="auto" w:fill="auto"/>
            <w:vAlign w:val="center"/>
            <w:hideMark/>
          </w:tcPr>
          <w:p w14:paraId="4FDF2680" w14:textId="77777777" w:rsidR="004B2595" w:rsidRPr="004B2595" w:rsidRDefault="004B2595" w:rsidP="004B2595">
            <w:pPr>
              <w:jc w:val="cente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1</w:t>
            </w:r>
          </w:p>
        </w:tc>
        <w:tc>
          <w:tcPr>
            <w:tcW w:w="3690" w:type="dxa"/>
            <w:tcBorders>
              <w:top w:val="nil"/>
              <w:left w:val="nil"/>
              <w:bottom w:val="single" w:sz="8" w:space="0" w:color="auto"/>
              <w:right w:val="single" w:sz="8" w:space="0" w:color="auto"/>
            </w:tcBorders>
            <w:shd w:val="clear" w:color="auto" w:fill="auto"/>
            <w:vAlign w:val="center"/>
            <w:hideMark/>
          </w:tcPr>
          <w:p w14:paraId="3ED4CE9F" w14:textId="77777777" w:rsidR="004B2595" w:rsidRPr="004B2595" w:rsidRDefault="004B2595" w:rsidP="004B2595">
            <w:pPr>
              <w:jc w:val="both"/>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Disposición otorgada a plazo</w:t>
            </w:r>
          </w:p>
        </w:tc>
        <w:tc>
          <w:tcPr>
            <w:tcW w:w="2122" w:type="dxa"/>
            <w:tcBorders>
              <w:top w:val="nil"/>
              <w:left w:val="nil"/>
              <w:bottom w:val="single" w:sz="8" w:space="0" w:color="auto"/>
              <w:right w:val="single" w:sz="8" w:space="0" w:color="auto"/>
            </w:tcBorders>
            <w:shd w:val="clear" w:color="auto" w:fill="auto"/>
            <w:vAlign w:val="center"/>
            <w:hideMark/>
          </w:tcPr>
          <w:p w14:paraId="0A36455E" w14:textId="77777777" w:rsidR="004B2595" w:rsidRDefault="004B2595" w:rsidP="004B2595">
            <w:pPr>
              <w:jc w:val="both"/>
              <w:rPr>
                <w:rFonts w:ascii="Arial Narrow" w:eastAsia="Times New Roman" w:hAnsi="Arial Narrow" w:cs="Calibri"/>
                <w:b/>
                <w:bCs/>
                <w:color w:val="000000"/>
                <w:sz w:val="22"/>
                <w:szCs w:val="22"/>
                <w:lang w:val="es-CR"/>
              </w:rPr>
            </w:pPr>
            <w:r w:rsidRPr="004B2595">
              <w:rPr>
                <w:rFonts w:ascii="Arial Narrow" w:eastAsia="Times New Roman" w:hAnsi="Arial Narrow" w:cs="Calibri"/>
                <w:b/>
                <w:bCs/>
                <w:color w:val="000000"/>
                <w:sz w:val="22"/>
                <w:szCs w:val="22"/>
                <w:lang w:val="es-CR"/>
              </w:rPr>
              <w:t xml:space="preserve">NICSP N° 16, </w:t>
            </w:r>
          </w:p>
          <w:p w14:paraId="004E2644" w14:textId="77777777" w:rsidR="004B2595" w:rsidRDefault="004B2595" w:rsidP="004B2595">
            <w:pPr>
              <w:jc w:val="both"/>
              <w:rPr>
                <w:rFonts w:ascii="Arial Narrow" w:eastAsia="Times New Roman" w:hAnsi="Arial Narrow" w:cs="Calibri"/>
                <w:b/>
                <w:bCs/>
                <w:color w:val="000000"/>
                <w:sz w:val="22"/>
                <w:szCs w:val="22"/>
                <w:lang w:val="es-CR"/>
              </w:rPr>
            </w:pPr>
            <w:r w:rsidRPr="004B2595">
              <w:rPr>
                <w:rFonts w:ascii="Arial Narrow" w:eastAsia="Times New Roman" w:hAnsi="Arial Narrow" w:cs="Calibri"/>
                <w:b/>
                <w:bCs/>
                <w:color w:val="000000"/>
                <w:sz w:val="22"/>
                <w:szCs w:val="22"/>
                <w:lang w:val="es-CR"/>
              </w:rPr>
              <w:t>Párrafo 81.</w:t>
            </w:r>
          </w:p>
          <w:p w14:paraId="779556DD" w14:textId="77777777" w:rsidR="004B2595" w:rsidRDefault="004B2595" w:rsidP="004B2595">
            <w:pPr>
              <w:jc w:val="both"/>
              <w:rPr>
                <w:rFonts w:ascii="Arial Narrow" w:eastAsia="Times New Roman" w:hAnsi="Arial Narrow" w:cs="Calibri"/>
                <w:b/>
                <w:bCs/>
                <w:color w:val="000000"/>
                <w:sz w:val="22"/>
                <w:szCs w:val="22"/>
                <w:lang w:val="es-CR"/>
              </w:rPr>
            </w:pPr>
            <w:r w:rsidRPr="004B2595">
              <w:rPr>
                <w:rFonts w:ascii="Arial Narrow" w:eastAsia="Times New Roman" w:hAnsi="Arial Narrow" w:cs="Calibri"/>
                <w:b/>
                <w:bCs/>
                <w:color w:val="000000"/>
                <w:sz w:val="22"/>
                <w:szCs w:val="22"/>
                <w:lang w:val="es-CR"/>
              </w:rPr>
              <w:t xml:space="preserve">NICSP N° 17, </w:t>
            </w:r>
          </w:p>
          <w:p w14:paraId="0507869A" w14:textId="1E6A85A2" w:rsidR="004B2595" w:rsidRPr="004B2595" w:rsidRDefault="004B2595" w:rsidP="004B2595">
            <w:pPr>
              <w:jc w:val="both"/>
              <w:rPr>
                <w:rFonts w:ascii="Arial Narrow" w:eastAsia="Times New Roman" w:hAnsi="Arial Narrow" w:cs="Calibri"/>
                <w:b/>
                <w:bCs/>
                <w:color w:val="000000"/>
                <w:sz w:val="22"/>
                <w:szCs w:val="22"/>
                <w:lang w:val="es-CR"/>
              </w:rPr>
            </w:pPr>
            <w:r w:rsidRPr="004B2595">
              <w:rPr>
                <w:rFonts w:ascii="Arial Narrow" w:eastAsia="Times New Roman" w:hAnsi="Arial Narrow" w:cs="Calibri"/>
                <w:b/>
                <w:bCs/>
                <w:color w:val="000000"/>
                <w:sz w:val="22"/>
                <w:szCs w:val="22"/>
                <w:lang w:val="es-CR"/>
              </w:rPr>
              <w:t>Párrafo 87.</w:t>
            </w:r>
          </w:p>
        </w:tc>
        <w:tc>
          <w:tcPr>
            <w:tcW w:w="1875" w:type="dxa"/>
            <w:tcBorders>
              <w:top w:val="nil"/>
              <w:left w:val="nil"/>
              <w:bottom w:val="single" w:sz="8" w:space="0" w:color="auto"/>
              <w:right w:val="single" w:sz="8" w:space="0" w:color="auto"/>
            </w:tcBorders>
            <w:shd w:val="clear" w:color="auto" w:fill="auto"/>
            <w:vAlign w:val="center"/>
            <w:hideMark/>
          </w:tcPr>
          <w:p w14:paraId="0CC37773" w14:textId="77777777" w:rsidR="004B2595" w:rsidRPr="004B2595" w:rsidRDefault="004B2595" w:rsidP="004B2595">
            <w:pPr>
              <w:rPr>
                <w:rFonts w:ascii="Arial Narrow" w:eastAsia="Times New Roman" w:hAnsi="Arial Narrow" w:cs="Calibri"/>
                <w:b/>
                <w:bCs/>
                <w:color w:val="000000"/>
                <w:sz w:val="22"/>
                <w:szCs w:val="22"/>
                <w:lang w:val="es-CR"/>
              </w:rPr>
            </w:pPr>
            <w:r w:rsidRPr="004B2595">
              <w:rPr>
                <w:rFonts w:ascii="Arial Narrow" w:eastAsia="Times New Roman" w:hAnsi="Arial Narrow" w:cs="Calibri"/>
                <w:b/>
                <w:bCs/>
                <w:color w:val="000000"/>
                <w:sz w:val="22"/>
                <w:szCs w:val="22"/>
                <w:lang w:val="es-CR"/>
              </w:rPr>
              <w:t xml:space="preserve"> </w:t>
            </w:r>
          </w:p>
        </w:tc>
      </w:tr>
      <w:tr w:rsidR="004B2595" w:rsidRPr="004B2595" w14:paraId="50337857" w14:textId="77777777" w:rsidTr="00C12943">
        <w:trPr>
          <w:gridAfter w:val="1"/>
          <w:wAfter w:w="6" w:type="dxa"/>
          <w:trHeight w:val="57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1FDA5B9" w14:textId="77777777" w:rsidR="004B2595" w:rsidRPr="004B2595" w:rsidRDefault="004B2595" w:rsidP="004B2595">
            <w:pPr>
              <w:jc w:val="cente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4</w:t>
            </w:r>
          </w:p>
        </w:tc>
        <w:tc>
          <w:tcPr>
            <w:tcW w:w="417" w:type="dxa"/>
            <w:tcBorders>
              <w:top w:val="nil"/>
              <w:left w:val="nil"/>
              <w:bottom w:val="single" w:sz="8" w:space="0" w:color="auto"/>
              <w:right w:val="single" w:sz="8" w:space="0" w:color="auto"/>
            </w:tcBorders>
            <w:shd w:val="clear" w:color="auto" w:fill="auto"/>
            <w:noWrap/>
            <w:vAlign w:val="center"/>
            <w:hideMark/>
          </w:tcPr>
          <w:p w14:paraId="7ACB5C2E" w14:textId="77777777" w:rsidR="004B2595" w:rsidRPr="004B2595" w:rsidRDefault="004B2595" w:rsidP="004B2595">
            <w:pPr>
              <w:jc w:val="cente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33</w:t>
            </w:r>
          </w:p>
        </w:tc>
        <w:tc>
          <w:tcPr>
            <w:tcW w:w="564" w:type="dxa"/>
            <w:tcBorders>
              <w:top w:val="nil"/>
              <w:left w:val="nil"/>
              <w:bottom w:val="single" w:sz="8" w:space="0" w:color="auto"/>
              <w:right w:val="single" w:sz="8" w:space="0" w:color="auto"/>
            </w:tcBorders>
            <w:shd w:val="clear" w:color="auto" w:fill="auto"/>
            <w:vAlign w:val="center"/>
            <w:hideMark/>
          </w:tcPr>
          <w:p w14:paraId="669C56D5" w14:textId="77777777" w:rsidR="004B2595" w:rsidRPr="004B2595" w:rsidRDefault="004B2595" w:rsidP="004B2595">
            <w:pPr>
              <w:jc w:val="cente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2</w:t>
            </w:r>
          </w:p>
        </w:tc>
        <w:tc>
          <w:tcPr>
            <w:tcW w:w="3690" w:type="dxa"/>
            <w:tcBorders>
              <w:top w:val="nil"/>
              <w:left w:val="nil"/>
              <w:bottom w:val="single" w:sz="8" w:space="0" w:color="auto"/>
              <w:right w:val="single" w:sz="8" w:space="0" w:color="auto"/>
            </w:tcBorders>
            <w:shd w:val="clear" w:color="auto" w:fill="auto"/>
            <w:vAlign w:val="center"/>
            <w:hideMark/>
          </w:tcPr>
          <w:p w14:paraId="16BC1F8B" w14:textId="77777777" w:rsidR="004B2595" w:rsidRPr="004B2595" w:rsidRDefault="004B2595" w:rsidP="004B2595">
            <w:pPr>
              <w:jc w:val="both"/>
              <w:rPr>
                <w:rFonts w:ascii="Arial Narrow" w:eastAsia="Times New Roman" w:hAnsi="Arial Narrow" w:cs="Calibri"/>
                <w:b/>
                <w:bCs/>
                <w:color w:val="000000"/>
                <w:sz w:val="22"/>
                <w:szCs w:val="22"/>
                <w:lang w:val="es-CR"/>
              </w:rPr>
            </w:pPr>
            <w:r w:rsidRPr="004B2595">
              <w:rPr>
                <w:rFonts w:ascii="Arial Narrow" w:eastAsia="Times New Roman" w:hAnsi="Arial Narrow" w:cs="Calibri"/>
                <w:b/>
                <w:bCs/>
                <w:color w:val="000000"/>
                <w:sz w:val="22"/>
                <w:szCs w:val="22"/>
                <w:lang w:val="es-CR"/>
              </w:rPr>
              <w:t>Ingresos por venta de propiedades, planta y equipo</w:t>
            </w:r>
          </w:p>
        </w:tc>
        <w:tc>
          <w:tcPr>
            <w:tcW w:w="2122" w:type="dxa"/>
            <w:tcBorders>
              <w:top w:val="nil"/>
              <w:left w:val="nil"/>
              <w:bottom w:val="single" w:sz="8" w:space="0" w:color="auto"/>
              <w:right w:val="single" w:sz="8" w:space="0" w:color="auto"/>
            </w:tcBorders>
            <w:shd w:val="clear" w:color="auto" w:fill="auto"/>
            <w:vAlign w:val="center"/>
            <w:hideMark/>
          </w:tcPr>
          <w:p w14:paraId="51159377" w14:textId="77777777" w:rsidR="004B2595" w:rsidRDefault="004B2595" w:rsidP="004B2595">
            <w:pPr>
              <w:jc w:val="both"/>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 xml:space="preserve">NICSP N° 17, </w:t>
            </w:r>
          </w:p>
          <w:p w14:paraId="4A12DC21" w14:textId="20B168FE" w:rsidR="004B2595" w:rsidRPr="004B2595" w:rsidRDefault="004B2595" w:rsidP="004B2595">
            <w:pPr>
              <w:jc w:val="both"/>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Párrafo 83 A.</w:t>
            </w:r>
          </w:p>
        </w:tc>
        <w:tc>
          <w:tcPr>
            <w:tcW w:w="1875" w:type="dxa"/>
            <w:tcBorders>
              <w:top w:val="nil"/>
              <w:left w:val="nil"/>
              <w:bottom w:val="single" w:sz="8" w:space="0" w:color="auto"/>
              <w:right w:val="single" w:sz="8" w:space="0" w:color="auto"/>
            </w:tcBorders>
            <w:shd w:val="clear" w:color="auto" w:fill="auto"/>
            <w:vAlign w:val="center"/>
            <w:hideMark/>
          </w:tcPr>
          <w:p w14:paraId="5093C683" w14:textId="77777777" w:rsidR="004B2595" w:rsidRPr="004B2595" w:rsidRDefault="004B2595" w:rsidP="004B2595">
            <w:pPr>
              <w:rPr>
                <w:rFonts w:ascii="Arial Narrow" w:eastAsia="Times New Roman" w:hAnsi="Arial Narrow" w:cs="Calibri"/>
                <w:b/>
                <w:bCs/>
                <w:color w:val="000000"/>
                <w:sz w:val="22"/>
                <w:szCs w:val="22"/>
              </w:rPr>
            </w:pPr>
            <w:r w:rsidRPr="004B2595">
              <w:rPr>
                <w:rFonts w:ascii="Arial Narrow" w:eastAsia="Times New Roman" w:hAnsi="Arial Narrow" w:cs="Calibri"/>
                <w:b/>
                <w:bCs/>
                <w:color w:val="000000"/>
                <w:sz w:val="22"/>
                <w:szCs w:val="22"/>
              </w:rPr>
              <w:t xml:space="preserve"> </w:t>
            </w:r>
          </w:p>
        </w:tc>
      </w:tr>
    </w:tbl>
    <w:p w14:paraId="73514D0F" w14:textId="77777777" w:rsidR="00696F96" w:rsidRDefault="00696F96" w:rsidP="00C12943">
      <w:pPr>
        <w:pStyle w:val="Default"/>
        <w:ind w:left="1134" w:right="261" w:hanging="1134"/>
        <w:jc w:val="both"/>
        <w:rPr>
          <w:sz w:val="22"/>
          <w:szCs w:val="22"/>
          <w:lang w:val="es-CR"/>
        </w:rPr>
      </w:pPr>
    </w:p>
    <w:p w14:paraId="2F1FB6A1" w14:textId="6EAE07B1" w:rsidR="00C12943" w:rsidRDefault="00C12943" w:rsidP="00C12943">
      <w:pPr>
        <w:pStyle w:val="Default"/>
        <w:ind w:left="1134" w:right="261" w:hanging="1134"/>
        <w:jc w:val="both"/>
        <w:rPr>
          <w:rFonts w:eastAsia="Arial"/>
          <w:b/>
          <w:sz w:val="22"/>
          <w:szCs w:val="22"/>
        </w:rPr>
      </w:pPr>
      <w:r w:rsidRPr="00F02F9D">
        <w:rPr>
          <w:rFonts w:eastAsia="Arial"/>
          <w:b/>
          <w:sz w:val="22"/>
          <w:szCs w:val="22"/>
        </w:rPr>
        <w:t>Políticas Contables</w:t>
      </w:r>
    </w:p>
    <w:p w14:paraId="7263ADD8" w14:textId="77777777" w:rsidR="00C12943" w:rsidRDefault="00C12943" w:rsidP="00C12943">
      <w:pPr>
        <w:pStyle w:val="Default"/>
        <w:ind w:left="1134" w:right="261" w:hanging="1134"/>
        <w:jc w:val="both"/>
        <w:rPr>
          <w:sz w:val="22"/>
          <w:szCs w:val="22"/>
          <w:lang w:val="es-CR"/>
        </w:rPr>
      </w:pPr>
    </w:p>
    <w:p w14:paraId="1B6157DE" w14:textId="43C70429" w:rsidR="004B2595" w:rsidRDefault="004B2595" w:rsidP="004B2595">
      <w:pPr>
        <w:pStyle w:val="Default"/>
        <w:ind w:left="1134" w:hanging="1134"/>
        <w:jc w:val="both"/>
        <w:rPr>
          <w:b/>
          <w:bCs/>
          <w:sz w:val="22"/>
          <w:szCs w:val="22"/>
          <w:lang w:val="es-CR"/>
        </w:rPr>
      </w:pPr>
      <w:r>
        <w:rPr>
          <w:sz w:val="22"/>
          <w:szCs w:val="22"/>
          <w:lang w:val="es-CR"/>
        </w:rPr>
        <w:t>4.33.0.01</w:t>
      </w:r>
      <w:r>
        <w:rPr>
          <w:sz w:val="22"/>
          <w:szCs w:val="22"/>
          <w:lang w:val="es-CR"/>
        </w:rPr>
        <w:tab/>
      </w:r>
      <w:r w:rsidRPr="004B2595">
        <w:rPr>
          <w:sz w:val="22"/>
          <w:szCs w:val="22"/>
          <w:lang w:val="es-CR"/>
        </w:rPr>
        <w:t>El resultado positivo o negativo que surja por dar de baja un elemento de activo fijo se incluirá en el resultado cuando dicho elemento sea dado de baja, a menos que corresponda aplicar otro tratamiento en caso de tratarse de venta con arrendamiento financiero posterior). Dicho resultado se determinará como la diferencia entre el importe neto que, en su caso, se obtenga por la disposición y el importe en libros del elemento.</w:t>
      </w:r>
    </w:p>
    <w:p w14:paraId="62D71507" w14:textId="77777777" w:rsidR="004B2595" w:rsidRPr="004B2595" w:rsidRDefault="004B2595" w:rsidP="004B2595">
      <w:pPr>
        <w:pStyle w:val="Default"/>
        <w:ind w:left="1134" w:hanging="1134"/>
        <w:jc w:val="both"/>
        <w:rPr>
          <w:sz w:val="22"/>
          <w:szCs w:val="22"/>
          <w:lang w:val="es-CR"/>
        </w:rPr>
      </w:pPr>
    </w:p>
    <w:p w14:paraId="175ED4B5" w14:textId="46492BF2" w:rsidR="004B2595" w:rsidRPr="004B2595" w:rsidRDefault="004B2595" w:rsidP="004B2595">
      <w:pPr>
        <w:pStyle w:val="Default"/>
        <w:ind w:left="1134" w:hanging="1134"/>
        <w:jc w:val="both"/>
        <w:rPr>
          <w:sz w:val="22"/>
          <w:szCs w:val="22"/>
          <w:lang w:val="es-CR"/>
        </w:rPr>
      </w:pPr>
      <w:r>
        <w:rPr>
          <w:sz w:val="22"/>
          <w:szCs w:val="22"/>
          <w:lang w:val="es-CR"/>
        </w:rPr>
        <w:t>4.33.1.01</w:t>
      </w:r>
      <w:r>
        <w:rPr>
          <w:sz w:val="22"/>
          <w:szCs w:val="22"/>
          <w:lang w:val="es-CR"/>
        </w:rPr>
        <w:tab/>
      </w:r>
      <w:r w:rsidRPr="004B2595">
        <w:rPr>
          <w:sz w:val="22"/>
          <w:szCs w:val="22"/>
          <w:lang w:val="es-CR"/>
        </w:rPr>
        <w:t xml:space="preserve">La contrapartida a cobrar por la disposición de un elemento de activo fijo, se reconocerá inicialmente por su valor razonable. Si la disposición fuese acordada por pagos a plazo o diferida, la contraprestación recibida se reconocerá inicialmente al precio equivalente de contado. La diferencia entre el importe nominal de la contraprestación y el precio equivalente de contado se reconocerá como un ingreso por intereses, utilizando el método del interés efectivo, tal que refleje el rendimiento efectivo derivado de la cuenta por cobrar. </w:t>
      </w:r>
    </w:p>
    <w:p w14:paraId="65B70767" w14:textId="77777777" w:rsidR="004B2595" w:rsidRPr="00DC71E1" w:rsidRDefault="004B2595" w:rsidP="004B2595">
      <w:pPr>
        <w:pStyle w:val="Default"/>
        <w:jc w:val="both"/>
        <w:rPr>
          <w:sz w:val="22"/>
          <w:szCs w:val="22"/>
          <w:lang w:val="es-CR"/>
        </w:rPr>
      </w:pPr>
    </w:p>
    <w:p w14:paraId="39A3E830" w14:textId="477B61CE" w:rsidR="004B2595" w:rsidRPr="004B2595" w:rsidRDefault="004B2595" w:rsidP="004B2595">
      <w:pPr>
        <w:pStyle w:val="Default"/>
        <w:ind w:left="1134" w:hanging="1134"/>
        <w:jc w:val="both"/>
        <w:rPr>
          <w:sz w:val="22"/>
          <w:szCs w:val="22"/>
          <w:lang w:val="es-CR"/>
        </w:rPr>
      </w:pPr>
      <w:r>
        <w:rPr>
          <w:sz w:val="22"/>
          <w:szCs w:val="22"/>
          <w:lang w:val="es-CR"/>
        </w:rPr>
        <w:t>4.33.2.01</w:t>
      </w:r>
      <w:r>
        <w:rPr>
          <w:sz w:val="22"/>
          <w:szCs w:val="22"/>
          <w:lang w:val="es-CR"/>
        </w:rPr>
        <w:tab/>
      </w:r>
      <w:r w:rsidRPr="004B2595">
        <w:rPr>
          <w:sz w:val="22"/>
          <w:szCs w:val="22"/>
          <w:lang w:val="es-CR"/>
        </w:rPr>
        <w:t xml:space="preserve">Si una entidad tiene como objetivo la venta rutinaria de elementos de propiedades, planta y equipo que se mantenían para arrendar a terceros, transferirá esos activos a los Inventarios por su importe en libros cuando dejen de ser arrendados y se clasifiquen como mantenidos para la venta. El importe obtenido por la venta de esos activos se reconocerá como ingreso, reconociéndose en forma separada el costo de dicha disposición. </w:t>
      </w:r>
    </w:p>
    <w:p w14:paraId="0A2A038C" w14:textId="77777777" w:rsidR="004B2595" w:rsidRDefault="004B2595" w:rsidP="00696F96">
      <w:pPr>
        <w:pStyle w:val="Default"/>
        <w:spacing w:after="120" w:line="238" w:lineRule="auto"/>
        <w:ind w:left="1134" w:right="260" w:hanging="1134"/>
        <w:jc w:val="both"/>
        <w:rPr>
          <w:sz w:val="22"/>
          <w:szCs w:val="22"/>
          <w:lang w:val="es-CR"/>
        </w:rPr>
      </w:pPr>
    </w:p>
    <w:p w14:paraId="0B57BC11" w14:textId="77777777" w:rsidR="004B2595" w:rsidRDefault="004B2595" w:rsidP="00696F96">
      <w:pPr>
        <w:pStyle w:val="Default"/>
        <w:spacing w:after="120" w:line="238" w:lineRule="auto"/>
        <w:ind w:left="1134" w:right="260" w:hanging="1134"/>
        <w:jc w:val="both"/>
        <w:rPr>
          <w:sz w:val="22"/>
          <w:szCs w:val="22"/>
          <w:lang w:val="es-CR"/>
        </w:rPr>
      </w:pPr>
    </w:p>
    <w:p w14:paraId="679A31CB" w14:textId="77777777" w:rsidR="00C12943" w:rsidRDefault="00C12943" w:rsidP="00696F96">
      <w:pPr>
        <w:pStyle w:val="Default"/>
        <w:spacing w:after="120" w:line="238" w:lineRule="auto"/>
        <w:ind w:left="1134" w:right="260" w:hanging="1134"/>
        <w:jc w:val="both"/>
        <w:rPr>
          <w:sz w:val="22"/>
          <w:szCs w:val="22"/>
          <w:lang w:val="es-CR"/>
        </w:rPr>
      </w:pPr>
    </w:p>
    <w:p w14:paraId="747D9118" w14:textId="77777777" w:rsidR="00C12943" w:rsidRDefault="00C12943" w:rsidP="00696F96">
      <w:pPr>
        <w:pStyle w:val="Default"/>
        <w:spacing w:after="120" w:line="238" w:lineRule="auto"/>
        <w:ind w:left="1134" w:right="260" w:hanging="1134"/>
        <w:jc w:val="both"/>
        <w:rPr>
          <w:sz w:val="22"/>
          <w:szCs w:val="22"/>
          <w:lang w:val="es-CR"/>
        </w:rPr>
      </w:pPr>
    </w:p>
    <w:p w14:paraId="405CE134" w14:textId="77777777" w:rsidR="00C12943" w:rsidRDefault="00C12943" w:rsidP="00696F96">
      <w:pPr>
        <w:pStyle w:val="Default"/>
        <w:spacing w:after="120" w:line="238" w:lineRule="auto"/>
        <w:ind w:left="1134" w:right="260" w:hanging="1134"/>
        <w:jc w:val="both"/>
        <w:rPr>
          <w:sz w:val="22"/>
          <w:szCs w:val="22"/>
          <w:lang w:val="es-CR"/>
        </w:rPr>
      </w:pPr>
    </w:p>
    <w:p w14:paraId="7B663BF9" w14:textId="77777777" w:rsidR="00C12943" w:rsidRDefault="00C12943" w:rsidP="00696F96">
      <w:pPr>
        <w:pStyle w:val="Default"/>
        <w:spacing w:after="120" w:line="238" w:lineRule="auto"/>
        <w:ind w:left="1134" w:right="260" w:hanging="1134"/>
        <w:jc w:val="both"/>
        <w:rPr>
          <w:sz w:val="22"/>
          <w:szCs w:val="22"/>
          <w:lang w:val="es-CR"/>
        </w:rPr>
      </w:pPr>
    </w:p>
    <w:p w14:paraId="56C460B2" w14:textId="77777777" w:rsidR="00C12943" w:rsidRDefault="00C12943" w:rsidP="00696F96">
      <w:pPr>
        <w:pStyle w:val="Default"/>
        <w:spacing w:after="120" w:line="238" w:lineRule="auto"/>
        <w:ind w:left="1134" w:right="260" w:hanging="1134"/>
        <w:jc w:val="both"/>
        <w:rPr>
          <w:sz w:val="22"/>
          <w:szCs w:val="22"/>
          <w:lang w:val="es-CR"/>
        </w:rPr>
      </w:pPr>
    </w:p>
    <w:p w14:paraId="10A8DD76" w14:textId="77777777" w:rsidR="00C12943" w:rsidRDefault="00C12943" w:rsidP="00696F96">
      <w:pPr>
        <w:pStyle w:val="Default"/>
        <w:spacing w:after="120" w:line="238" w:lineRule="auto"/>
        <w:ind w:left="1134" w:right="260" w:hanging="1134"/>
        <w:jc w:val="both"/>
        <w:rPr>
          <w:sz w:val="22"/>
          <w:szCs w:val="22"/>
          <w:lang w:val="es-CR"/>
        </w:rPr>
      </w:pPr>
    </w:p>
    <w:p w14:paraId="1CBB6622" w14:textId="77777777" w:rsidR="00C12943" w:rsidRDefault="00C12943" w:rsidP="00696F96">
      <w:pPr>
        <w:pStyle w:val="Default"/>
        <w:spacing w:after="120" w:line="238" w:lineRule="auto"/>
        <w:ind w:left="1134" w:right="260" w:hanging="1134"/>
        <w:jc w:val="both"/>
        <w:rPr>
          <w:sz w:val="22"/>
          <w:szCs w:val="22"/>
          <w:lang w:val="es-CR"/>
        </w:rPr>
      </w:pPr>
    </w:p>
    <w:p w14:paraId="18058DE4" w14:textId="77777777" w:rsidR="00C12943" w:rsidRDefault="00C12943" w:rsidP="00696F96">
      <w:pPr>
        <w:pStyle w:val="Default"/>
        <w:spacing w:after="120" w:line="238" w:lineRule="auto"/>
        <w:ind w:left="1134" w:right="260" w:hanging="1134"/>
        <w:jc w:val="both"/>
        <w:rPr>
          <w:sz w:val="22"/>
          <w:szCs w:val="22"/>
          <w:lang w:val="es-CR"/>
        </w:rPr>
      </w:pPr>
    </w:p>
    <w:p w14:paraId="3B83D736" w14:textId="77777777" w:rsidR="00B942C1" w:rsidRDefault="00B942C1" w:rsidP="00696F96">
      <w:pPr>
        <w:pStyle w:val="Default"/>
        <w:spacing w:after="120" w:line="238" w:lineRule="auto"/>
        <w:ind w:left="1134" w:right="260" w:hanging="1134"/>
        <w:jc w:val="both"/>
        <w:rPr>
          <w:sz w:val="22"/>
          <w:szCs w:val="22"/>
          <w:lang w:val="es-CR"/>
        </w:rPr>
      </w:pPr>
    </w:p>
    <w:p w14:paraId="4A80A15D" w14:textId="6363F17A" w:rsidR="004B2595" w:rsidRPr="00B942C1" w:rsidRDefault="004B2595" w:rsidP="00B942C1">
      <w:pPr>
        <w:pStyle w:val="Ttulo2"/>
        <w:ind w:left="284"/>
        <w:rPr>
          <w:rFonts w:ascii="Arial" w:eastAsia="Arial" w:hAnsi="Arial" w:cs="Arial"/>
          <w:b/>
          <w:bCs/>
          <w:sz w:val="20"/>
          <w:szCs w:val="20"/>
          <w:lang w:val="es-CR"/>
        </w:rPr>
      </w:pPr>
      <w:bookmarkStart w:id="133" w:name="_Toc172726268"/>
      <w:r w:rsidRPr="00B942C1">
        <w:rPr>
          <w:rFonts w:ascii="Arial" w:eastAsia="Arial" w:hAnsi="Arial" w:cs="Arial"/>
          <w:b/>
          <w:bCs/>
          <w:sz w:val="20"/>
          <w:szCs w:val="20"/>
          <w:lang w:val="es-CR"/>
        </w:rPr>
        <w:lastRenderedPageBreak/>
        <w:t>Ingresos de la Propiedad</w:t>
      </w:r>
      <w:bookmarkEnd w:id="133"/>
    </w:p>
    <w:p w14:paraId="3892FDE8" w14:textId="77777777" w:rsidR="004B2595" w:rsidRDefault="004B2595" w:rsidP="00696F96">
      <w:pPr>
        <w:pStyle w:val="Default"/>
        <w:spacing w:after="120" w:line="238" w:lineRule="auto"/>
        <w:ind w:left="1134" w:right="260" w:hanging="1134"/>
        <w:jc w:val="both"/>
        <w:rPr>
          <w:sz w:val="22"/>
          <w:szCs w:val="22"/>
          <w:lang w:val="es-CR"/>
        </w:rPr>
      </w:pPr>
    </w:p>
    <w:tbl>
      <w:tblPr>
        <w:tblW w:w="9353" w:type="dxa"/>
        <w:tblLook w:val="04A0" w:firstRow="1" w:lastRow="0" w:firstColumn="1" w:lastColumn="0" w:noHBand="0" w:noVBand="1"/>
      </w:tblPr>
      <w:tblGrid>
        <w:gridCol w:w="537"/>
        <w:gridCol w:w="706"/>
        <w:gridCol w:w="517"/>
        <w:gridCol w:w="3719"/>
        <w:gridCol w:w="2024"/>
        <w:gridCol w:w="1843"/>
        <w:gridCol w:w="7"/>
      </w:tblGrid>
      <w:tr w:rsidR="001D484B" w:rsidRPr="001D484B" w14:paraId="45A536AB" w14:textId="77777777" w:rsidTr="00C12943">
        <w:trPr>
          <w:trHeight w:val="320"/>
        </w:trPr>
        <w:tc>
          <w:tcPr>
            <w:tcW w:w="17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843B305" w14:textId="77777777" w:rsidR="001D484B" w:rsidRPr="001D484B" w:rsidRDefault="001D484B" w:rsidP="001D484B">
            <w:pPr>
              <w:jc w:val="center"/>
              <w:rPr>
                <w:rFonts w:ascii="Arial Narrow" w:eastAsia="Times New Roman" w:hAnsi="Arial Narrow" w:cs="Calibri"/>
                <w:b/>
                <w:bCs/>
                <w:color w:val="FFFFFF"/>
                <w:sz w:val="22"/>
                <w:szCs w:val="22"/>
              </w:rPr>
            </w:pPr>
            <w:r w:rsidRPr="001D484B">
              <w:rPr>
                <w:rFonts w:ascii="Arial Narrow" w:eastAsia="Times New Roman" w:hAnsi="Arial Narrow" w:cs="Calibri"/>
                <w:b/>
                <w:bCs/>
                <w:color w:val="FFFFFF"/>
                <w:sz w:val="22"/>
                <w:szCs w:val="22"/>
              </w:rPr>
              <w:t>Norma / Política</w:t>
            </w:r>
          </w:p>
        </w:tc>
        <w:tc>
          <w:tcPr>
            <w:tcW w:w="3719" w:type="dxa"/>
            <w:vMerge w:val="restart"/>
            <w:tcBorders>
              <w:top w:val="nil"/>
              <w:left w:val="single" w:sz="8" w:space="0" w:color="auto"/>
              <w:bottom w:val="nil"/>
              <w:right w:val="single" w:sz="8" w:space="0" w:color="auto"/>
            </w:tcBorders>
            <w:shd w:val="clear" w:color="000000" w:fill="203764"/>
            <w:vAlign w:val="center"/>
            <w:hideMark/>
          </w:tcPr>
          <w:p w14:paraId="78378C46" w14:textId="77777777" w:rsidR="001D484B" w:rsidRPr="001D484B" w:rsidRDefault="001D484B" w:rsidP="001D484B">
            <w:pPr>
              <w:jc w:val="center"/>
              <w:rPr>
                <w:rFonts w:ascii="Arial Narrow" w:eastAsia="Times New Roman" w:hAnsi="Arial Narrow" w:cs="Calibri"/>
                <w:b/>
                <w:bCs/>
                <w:color w:val="FFFFFF"/>
                <w:sz w:val="22"/>
                <w:szCs w:val="22"/>
              </w:rPr>
            </w:pPr>
            <w:r w:rsidRPr="001D484B">
              <w:rPr>
                <w:rFonts w:ascii="Arial Narrow" w:eastAsia="Times New Roman" w:hAnsi="Arial Narrow" w:cs="Calibri"/>
                <w:b/>
                <w:bCs/>
                <w:color w:val="FFFFFF"/>
                <w:sz w:val="22"/>
                <w:szCs w:val="22"/>
              </w:rPr>
              <w:t>Concepto</w:t>
            </w:r>
          </w:p>
        </w:tc>
        <w:tc>
          <w:tcPr>
            <w:tcW w:w="3874" w:type="dxa"/>
            <w:gridSpan w:val="3"/>
            <w:tcBorders>
              <w:top w:val="nil"/>
              <w:left w:val="nil"/>
              <w:bottom w:val="single" w:sz="8" w:space="0" w:color="auto"/>
              <w:right w:val="single" w:sz="8" w:space="0" w:color="000000"/>
            </w:tcBorders>
            <w:shd w:val="clear" w:color="000000" w:fill="203764"/>
            <w:vAlign w:val="center"/>
            <w:hideMark/>
          </w:tcPr>
          <w:p w14:paraId="060D41E2" w14:textId="77777777" w:rsidR="001D484B" w:rsidRPr="001D484B" w:rsidRDefault="001D484B" w:rsidP="001D484B">
            <w:pPr>
              <w:jc w:val="center"/>
              <w:rPr>
                <w:rFonts w:ascii="Arial Narrow" w:eastAsia="Times New Roman" w:hAnsi="Arial Narrow" w:cs="Calibri"/>
                <w:b/>
                <w:bCs/>
                <w:color w:val="FFFFFF"/>
                <w:sz w:val="22"/>
                <w:szCs w:val="22"/>
              </w:rPr>
            </w:pPr>
            <w:r w:rsidRPr="001D484B">
              <w:rPr>
                <w:rFonts w:ascii="Arial Narrow" w:eastAsia="Times New Roman" w:hAnsi="Arial Narrow" w:cs="Calibri"/>
                <w:b/>
                <w:bCs/>
                <w:color w:val="FFFFFF"/>
                <w:sz w:val="22"/>
                <w:szCs w:val="22"/>
              </w:rPr>
              <w:t>Referencia</w:t>
            </w:r>
          </w:p>
        </w:tc>
      </w:tr>
      <w:tr w:rsidR="001D484B" w:rsidRPr="006E5442" w14:paraId="5B7F67CE" w14:textId="77777777" w:rsidTr="00C12943">
        <w:trPr>
          <w:gridAfter w:val="1"/>
          <w:wAfter w:w="7" w:type="dxa"/>
          <w:trHeight w:val="850"/>
        </w:trPr>
        <w:tc>
          <w:tcPr>
            <w:tcW w:w="1760" w:type="dxa"/>
            <w:gridSpan w:val="3"/>
            <w:vMerge/>
            <w:tcBorders>
              <w:top w:val="single" w:sz="8" w:space="0" w:color="auto"/>
              <w:left w:val="single" w:sz="8" w:space="0" w:color="auto"/>
              <w:bottom w:val="nil"/>
              <w:right w:val="single" w:sz="8" w:space="0" w:color="000000"/>
            </w:tcBorders>
            <w:vAlign w:val="center"/>
            <w:hideMark/>
          </w:tcPr>
          <w:p w14:paraId="6E2F2778" w14:textId="77777777" w:rsidR="001D484B" w:rsidRPr="001D484B" w:rsidRDefault="001D484B" w:rsidP="001D484B">
            <w:pPr>
              <w:rPr>
                <w:rFonts w:ascii="Arial Narrow" w:eastAsia="Times New Roman" w:hAnsi="Arial Narrow" w:cs="Calibri"/>
                <w:b/>
                <w:bCs/>
                <w:color w:val="FFFFFF"/>
                <w:sz w:val="22"/>
                <w:szCs w:val="22"/>
              </w:rPr>
            </w:pPr>
          </w:p>
        </w:tc>
        <w:tc>
          <w:tcPr>
            <w:tcW w:w="3719" w:type="dxa"/>
            <w:vMerge/>
            <w:tcBorders>
              <w:top w:val="nil"/>
              <w:left w:val="single" w:sz="8" w:space="0" w:color="auto"/>
              <w:bottom w:val="nil"/>
              <w:right w:val="single" w:sz="8" w:space="0" w:color="auto"/>
            </w:tcBorders>
            <w:vAlign w:val="center"/>
            <w:hideMark/>
          </w:tcPr>
          <w:p w14:paraId="220A0F45" w14:textId="77777777" w:rsidR="001D484B" w:rsidRPr="001D484B" w:rsidRDefault="001D484B" w:rsidP="001D484B">
            <w:pPr>
              <w:rPr>
                <w:rFonts w:ascii="Arial Narrow" w:eastAsia="Times New Roman" w:hAnsi="Arial Narrow" w:cs="Calibri"/>
                <w:b/>
                <w:bCs/>
                <w:color w:val="FFFFFF"/>
                <w:sz w:val="22"/>
                <w:szCs w:val="22"/>
              </w:rPr>
            </w:pPr>
          </w:p>
        </w:tc>
        <w:tc>
          <w:tcPr>
            <w:tcW w:w="2024" w:type="dxa"/>
            <w:tcBorders>
              <w:top w:val="nil"/>
              <w:left w:val="nil"/>
              <w:bottom w:val="nil"/>
              <w:right w:val="single" w:sz="8" w:space="0" w:color="auto"/>
            </w:tcBorders>
            <w:shd w:val="clear" w:color="000000" w:fill="203764"/>
            <w:vAlign w:val="center"/>
            <w:hideMark/>
          </w:tcPr>
          <w:p w14:paraId="76F89A76" w14:textId="77777777" w:rsidR="001D484B" w:rsidRPr="001D484B" w:rsidRDefault="001D484B" w:rsidP="001D484B">
            <w:pPr>
              <w:jc w:val="center"/>
              <w:rPr>
                <w:rFonts w:ascii="Arial Narrow" w:eastAsia="Times New Roman" w:hAnsi="Arial Narrow" w:cs="Calibri"/>
                <w:b/>
                <w:bCs/>
                <w:color w:val="FFFFFF"/>
                <w:sz w:val="22"/>
                <w:szCs w:val="22"/>
              </w:rPr>
            </w:pPr>
            <w:r w:rsidRPr="001D484B">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3A4A9D40" w14:textId="77777777" w:rsidR="001D484B" w:rsidRPr="001D484B" w:rsidRDefault="001D484B" w:rsidP="001D484B">
            <w:pPr>
              <w:jc w:val="center"/>
              <w:rPr>
                <w:rFonts w:ascii="Arial Narrow" w:eastAsia="Times New Roman" w:hAnsi="Arial Narrow" w:cs="Calibri"/>
                <w:b/>
                <w:bCs/>
                <w:color w:val="FFFFFF"/>
                <w:sz w:val="22"/>
                <w:szCs w:val="22"/>
                <w:lang w:val="es-CR"/>
              </w:rPr>
            </w:pPr>
            <w:r w:rsidRPr="001D484B">
              <w:rPr>
                <w:rFonts w:ascii="Arial Narrow" w:eastAsia="Times New Roman" w:hAnsi="Arial Narrow" w:cs="Calibri"/>
                <w:b/>
                <w:bCs/>
                <w:color w:val="FFFFFF"/>
                <w:sz w:val="22"/>
                <w:szCs w:val="22"/>
                <w:lang w:val="es-CR"/>
              </w:rPr>
              <w:t>Normativa técnica y disposiciones adicionales</w:t>
            </w:r>
          </w:p>
        </w:tc>
      </w:tr>
      <w:tr w:rsidR="001D484B" w:rsidRPr="001D484B" w14:paraId="61A1790E" w14:textId="77777777" w:rsidTr="00C12943">
        <w:trPr>
          <w:gridAfter w:val="1"/>
          <w:wAfter w:w="7" w:type="dxa"/>
          <w:trHeight w:val="570"/>
        </w:trPr>
        <w:tc>
          <w:tcPr>
            <w:tcW w:w="5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BE3595" w14:textId="77777777" w:rsidR="001D484B" w:rsidRPr="001D484B" w:rsidRDefault="001D484B" w:rsidP="001D484B">
            <w:pPr>
              <w:jc w:val="center"/>
              <w:rPr>
                <w:rFonts w:ascii="Arial Narrow" w:eastAsia="Times New Roman" w:hAnsi="Arial Narrow"/>
                <w:b/>
                <w:bCs/>
                <w:color w:val="000000"/>
                <w:sz w:val="22"/>
                <w:szCs w:val="22"/>
              </w:rPr>
            </w:pPr>
            <w:r w:rsidRPr="001D484B">
              <w:rPr>
                <w:rFonts w:ascii="Arial Narrow" w:eastAsia="Times New Roman" w:hAnsi="Arial Narrow"/>
                <w:b/>
                <w:bCs/>
                <w:color w:val="000000"/>
                <w:sz w:val="22"/>
                <w:szCs w:val="22"/>
              </w:rPr>
              <w:t>4</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391A769D" w14:textId="77777777" w:rsidR="001D484B" w:rsidRPr="001D484B" w:rsidRDefault="001D484B" w:rsidP="00C12943">
            <w:pPr>
              <w:jc w:val="center"/>
              <w:rPr>
                <w:rFonts w:ascii="Arial Narrow" w:eastAsia="Times New Roman" w:hAnsi="Arial Narrow"/>
                <w:b/>
                <w:bCs/>
                <w:color w:val="000000"/>
                <w:sz w:val="22"/>
                <w:szCs w:val="22"/>
              </w:rPr>
            </w:pPr>
            <w:r w:rsidRPr="001D484B">
              <w:rPr>
                <w:rFonts w:ascii="Arial Narrow" w:eastAsia="Times New Roman" w:hAnsi="Arial Narrow"/>
                <w:b/>
                <w:bCs/>
                <w:color w:val="000000"/>
                <w:sz w:val="22"/>
                <w:szCs w:val="22"/>
              </w:rPr>
              <w:t>48</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47452493" w14:textId="7C141786" w:rsidR="001D484B" w:rsidRPr="001D484B" w:rsidRDefault="001D484B" w:rsidP="001D484B">
            <w:pPr>
              <w:jc w:val="center"/>
              <w:rPr>
                <w:rFonts w:ascii="Arial Narrow" w:eastAsia="Times New Roman" w:hAnsi="Arial Narrow" w:cs="Calibri"/>
                <w:b/>
                <w:bCs/>
                <w:color w:val="000000"/>
                <w:sz w:val="22"/>
                <w:szCs w:val="22"/>
              </w:rPr>
            </w:pPr>
          </w:p>
        </w:tc>
        <w:tc>
          <w:tcPr>
            <w:tcW w:w="3719" w:type="dxa"/>
            <w:tcBorders>
              <w:top w:val="single" w:sz="8" w:space="0" w:color="auto"/>
              <w:left w:val="nil"/>
              <w:bottom w:val="single" w:sz="8" w:space="0" w:color="auto"/>
              <w:right w:val="single" w:sz="8" w:space="0" w:color="auto"/>
            </w:tcBorders>
            <w:shd w:val="clear" w:color="auto" w:fill="auto"/>
            <w:vAlign w:val="center"/>
            <w:hideMark/>
          </w:tcPr>
          <w:p w14:paraId="4298F671" w14:textId="77777777" w:rsidR="001D484B" w:rsidRPr="001D484B" w:rsidRDefault="001D484B" w:rsidP="001D484B">
            <w:pP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Ingresos de la propiedad</w:t>
            </w:r>
          </w:p>
        </w:tc>
        <w:tc>
          <w:tcPr>
            <w:tcW w:w="2024" w:type="dxa"/>
            <w:tcBorders>
              <w:top w:val="single" w:sz="8" w:space="0" w:color="auto"/>
              <w:left w:val="nil"/>
              <w:bottom w:val="single" w:sz="8" w:space="0" w:color="auto"/>
              <w:right w:val="single" w:sz="8" w:space="0" w:color="auto"/>
            </w:tcBorders>
            <w:shd w:val="clear" w:color="auto" w:fill="auto"/>
            <w:vAlign w:val="center"/>
            <w:hideMark/>
          </w:tcPr>
          <w:p w14:paraId="01331B21" w14:textId="77777777" w:rsidR="001D484B" w:rsidRPr="001D484B" w:rsidRDefault="001D484B" w:rsidP="001D484B">
            <w:pP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NICSP N° 9,</w:t>
            </w:r>
            <w:r w:rsidRPr="001D484B">
              <w:rPr>
                <w:rFonts w:ascii="Arial Narrow" w:eastAsia="Times New Roman" w:hAnsi="Arial Narrow" w:cs="Calibri"/>
                <w:b/>
                <w:bCs/>
                <w:color w:val="000000"/>
                <w:sz w:val="22"/>
                <w:szCs w:val="22"/>
              </w:rPr>
              <w:br/>
              <w:t>Párrafo 19.</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0A47ECE" w14:textId="77777777" w:rsidR="001D484B" w:rsidRPr="001D484B" w:rsidRDefault="001D484B" w:rsidP="001D484B">
            <w:pPr>
              <w:jc w:val="cente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 xml:space="preserve"> </w:t>
            </w:r>
          </w:p>
        </w:tc>
      </w:tr>
      <w:tr w:rsidR="001D484B" w:rsidRPr="001D484B" w14:paraId="3153A487" w14:textId="77777777" w:rsidTr="00C12943">
        <w:trPr>
          <w:gridAfter w:val="1"/>
          <w:wAfter w:w="7" w:type="dxa"/>
          <w:trHeight w:val="570"/>
        </w:trPr>
        <w:tc>
          <w:tcPr>
            <w:tcW w:w="537" w:type="dxa"/>
            <w:tcBorders>
              <w:top w:val="nil"/>
              <w:left w:val="single" w:sz="8" w:space="0" w:color="auto"/>
              <w:bottom w:val="single" w:sz="8" w:space="0" w:color="auto"/>
              <w:right w:val="single" w:sz="8" w:space="0" w:color="auto"/>
            </w:tcBorders>
            <w:shd w:val="clear" w:color="auto" w:fill="auto"/>
            <w:vAlign w:val="center"/>
            <w:hideMark/>
          </w:tcPr>
          <w:p w14:paraId="0AADF9B9" w14:textId="77777777" w:rsidR="001D484B" w:rsidRPr="001D484B" w:rsidRDefault="001D484B" w:rsidP="001D484B">
            <w:pPr>
              <w:jc w:val="center"/>
              <w:rPr>
                <w:rFonts w:ascii="Arial Narrow" w:eastAsia="Times New Roman" w:hAnsi="Arial Narrow"/>
                <w:b/>
                <w:bCs/>
                <w:color w:val="000000"/>
                <w:sz w:val="22"/>
                <w:szCs w:val="22"/>
              </w:rPr>
            </w:pPr>
            <w:r w:rsidRPr="001D484B">
              <w:rPr>
                <w:rFonts w:ascii="Arial Narrow" w:eastAsia="Times New Roman" w:hAnsi="Arial Narrow"/>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4F51F217" w14:textId="77777777" w:rsidR="001D484B" w:rsidRPr="001D484B" w:rsidRDefault="001D484B" w:rsidP="00C12943">
            <w:pPr>
              <w:jc w:val="center"/>
              <w:rPr>
                <w:rFonts w:ascii="Arial Narrow" w:eastAsia="Times New Roman" w:hAnsi="Arial Narrow"/>
                <w:b/>
                <w:bCs/>
                <w:color w:val="000000"/>
                <w:sz w:val="22"/>
                <w:szCs w:val="22"/>
              </w:rPr>
            </w:pPr>
            <w:r w:rsidRPr="001D484B">
              <w:rPr>
                <w:rFonts w:ascii="Arial Narrow" w:eastAsia="Times New Roman" w:hAnsi="Arial Narrow"/>
                <w:b/>
                <w:bCs/>
                <w:color w:val="000000"/>
                <w:sz w:val="22"/>
                <w:szCs w:val="22"/>
              </w:rPr>
              <w:t>48</w:t>
            </w:r>
          </w:p>
        </w:tc>
        <w:tc>
          <w:tcPr>
            <w:tcW w:w="517" w:type="dxa"/>
            <w:tcBorders>
              <w:top w:val="nil"/>
              <w:left w:val="nil"/>
              <w:bottom w:val="single" w:sz="8" w:space="0" w:color="auto"/>
              <w:right w:val="nil"/>
            </w:tcBorders>
            <w:shd w:val="clear" w:color="auto" w:fill="auto"/>
            <w:vAlign w:val="center"/>
            <w:hideMark/>
          </w:tcPr>
          <w:p w14:paraId="15C14BED" w14:textId="77777777" w:rsidR="001D484B" w:rsidRPr="001D484B" w:rsidRDefault="001D484B" w:rsidP="001D484B">
            <w:pPr>
              <w:jc w:val="cente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1</w:t>
            </w:r>
          </w:p>
        </w:tc>
        <w:tc>
          <w:tcPr>
            <w:tcW w:w="3719" w:type="dxa"/>
            <w:tcBorders>
              <w:top w:val="nil"/>
              <w:left w:val="single" w:sz="8" w:space="0" w:color="auto"/>
              <w:bottom w:val="single" w:sz="8" w:space="0" w:color="auto"/>
              <w:right w:val="single" w:sz="8" w:space="0" w:color="auto"/>
            </w:tcBorders>
            <w:shd w:val="clear" w:color="auto" w:fill="auto"/>
            <w:vAlign w:val="center"/>
            <w:hideMark/>
          </w:tcPr>
          <w:p w14:paraId="338A8855" w14:textId="77777777" w:rsidR="001D484B" w:rsidRPr="001D484B" w:rsidRDefault="001D484B" w:rsidP="001D484B">
            <w:pP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Intereses</w:t>
            </w:r>
          </w:p>
        </w:tc>
        <w:tc>
          <w:tcPr>
            <w:tcW w:w="2024" w:type="dxa"/>
            <w:tcBorders>
              <w:top w:val="nil"/>
              <w:left w:val="nil"/>
              <w:bottom w:val="single" w:sz="8" w:space="0" w:color="auto"/>
              <w:right w:val="single" w:sz="8" w:space="0" w:color="auto"/>
            </w:tcBorders>
            <w:shd w:val="clear" w:color="auto" w:fill="auto"/>
            <w:vAlign w:val="center"/>
            <w:hideMark/>
          </w:tcPr>
          <w:p w14:paraId="649CF86C" w14:textId="77777777" w:rsidR="001D484B" w:rsidRPr="001D484B" w:rsidRDefault="001D484B" w:rsidP="001D484B">
            <w:pP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NICSP N° 9,</w:t>
            </w:r>
            <w:r w:rsidRPr="001D484B">
              <w:rPr>
                <w:rFonts w:ascii="Arial Narrow" w:eastAsia="Times New Roman" w:hAnsi="Arial Narrow" w:cs="Calibri"/>
                <w:b/>
                <w:bCs/>
                <w:color w:val="000000"/>
                <w:sz w:val="22"/>
                <w:szCs w:val="22"/>
              </w:rPr>
              <w:br/>
              <w:t>Párrafo 20.</w:t>
            </w:r>
          </w:p>
        </w:tc>
        <w:tc>
          <w:tcPr>
            <w:tcW w:w="1843" w:type="dxa"/>
            <w:tcBorders>
              <w:top w:val="nil"/>
              <w:left w:val="nil"/>
              <w:bottom w:val="single" w:sz="8" w:space="0" w:color="auto"/>
              <w:right w:val="single" w:sz="8" w:space="0" w:color="auto"/>
            </w:tcBorders>
            <w:shd w:val="clear" w:color="auto" w:fill="auto"/>
            <w:vAlign w:val="center"/>
            <w:hideMark/>
          </w:tcPr>
          <w:p w14:paraId="74F33560" w14:textId="77777777" w:rsidR="001D484B" w:rsidRPr="001D484B" w:rsidRDefault="001D484B" w:rsidP="001D484B">
            <w:pPr>
              <w:jc w:val="cente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 xml:space="preserve"> </w:t>
            </w:r>
          </w:p>
        </w:tc>
      </w:tr>
      <w:tr w:rsidR="001D484B" w:rsidRPr="001D484B" w14:paraId="30E19CBE" w14:textId="77777777" w:rsidTr="00C12943">
        <w:trPr>
          <w:gridAfter w:val="1"/>
          <w:wAfter w:w="7" w:type="dxa"/>
          <w:trHeight w:val="570"/>
        </w:trPr>
        <w:tc>
          <w:tcPr>
            <w:tcW w:w="537" w:type="dxa"/>
            <w:tcBorders>
              <w:top w:val="nil"/>
              <w:left w:val="single" w:sz="8" w:space="0" w:color="auto"/>
              <w:bottom w:val="single" w:sz="8" w:space="0" w:color="auto"/>
              <w:right w:val="single" w:sz="8" w:space="0" w:color="auto"/>
            </w:tcBorders>
            <w:shd w:val="clear" w:color="auto" w:fill="auto"/>
            <w:vAlign w:val="center"/>
            <w:hideMark/>
          </w:tcPr>
          <w:p w14:paraId="70DBA43C" w14:textId="77777777" w:rsidR="001D484B" w:rsidRPr="001D484B" w:rsidRDefault="001D484B" w:rsidP="001D484B">
            <w:pPr>
              <w:jc w:val="cente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4</w:t>
            </w:r>
          </w:p>
        </w:tc>
        <w:tc>
          <w:tcPr>
            <w:tcW w:w="706" w:type="dxa"/>
            <w:tcBorders>
              <w:top w:val="nil"/>
              <w:left w:val="nil"/>
              <w:bottom w:val="single" w:sz="8" w:space="0" w:color="auto"/>
              <w:right w:val="single" w:sz="8" w:space="0" w:color="auto"/>
            </w:tcBorders>
            <w:shd w:val="clear" w:color="auto" w:fill="auto"/>
            <w:vAlign w:val="center"/>
            <w:hideMark/>
          </w:tcPr>
          <w:p w14:paraId="35387FCB" w14:textId="77777777" w:rsidR="001D484B" w:rsidRPr="001D484B" w:rsidRDefault="001D484B" w:rsidP="00C12943">
            <w:pPr>
              <w:jc w:val="cente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48</w:t>
            </w:r>
          </w:p>
        </w:tc>
        <w:tc>
          <w:tcPr>
            <w:tcW w:w="517" w:type="dxa"/>
            <w:tcBorders>
              <w:top w:val="nil"/>
              <w:left w:val="nil"/>
              <w:bottom w:val="single" w:sz="8" w:space="0" w:color="auto"/>
              <w:right w:val="single" w:sz="8" w:space="0" w:color="auto"/>
            </w:tcBorders>
            <w:shd w:val="clear" w:color="auto" w:fill="auto"/>
            <w:vAlign w:val="center"/>
            <w:hideMark/>
          </w:tcPr>
          <w:p w14:paraId="538B5B19" w14:textId="77777777" w:rsidR="001D484B" w:rsidRPr="001D484B" w:rsidRDefault="001D484B" w:rsidP="001D484B">
            <w:pPr>
              <w:jc w:val="cente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2</w:t>
            </w:r>
          </w:p>
        </w:tc>
        <w:tc>
          <w:tcPr>
            <w:tcW w:w="3719" w:type="dxa"/>
            <w:tcBorders>
              <w:top w:val="nil"/>
              <w:left w:val="nil"/>
              <w:bottom w:val="single" w:sz="8" w:space="0" w:color="auto"/>
              <w:right w:val="single" w:sz="8" w:space="0" w:color="auto"/>
            </w:tcBorders>
            <w:shd w:val="clear" w:color="auto" w:fill="auto"/>
            <w:vAlign w:val="center"/>
            <w:hideMark/>
          </w:tcPr>
          <w:p w14:paraId="2432AB72" w14:textId="77777777" w:rsidR="001D484B" w:rsidRPr="001D484B" w:rsidRDefault="001D484B" w:rsidP="001D484B">
            <w:pPr>
              <w:jc w:val="both"/>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Regalías</w:t>
            </w:r>
          </w:p>
        </w:tc>
        <w:tc>
          <w:tcPr>
            <w:tcW w:w="2024" w:type="dxa"/>
            <w:tcBorders>
              <w:top w:val="nil"/>
              <w:left w:val="nil"/>
              <w:bottom w:val="single" w:sz="8" w:space="0" w:color="auto"/>
              <w:right w:val="single" w:sz="8" w:space="0" w:color="auto"/>
            </w:tcBorders>
            <w:shd w:val="clear" w:color="auto" w:fill="auto"/>
            <w:vAlign w:val="center"/>
            <w:hideMark/>
          </w:tcPr>
          <w:p w14:paraId="46E7F454" w14:textId="77777777" w:rsidR="001D484B" w:rsidRPr="001D484B" w:rsidRDefault="001D484B" w:rsidP="001D484B">
            <w:pPr>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NICSP N° 9,</w:t>
            </w:r>
            <w:r w:rsidRPr="001D484B">
              <w:rPr>
                <w:rFonts w:ascii="Arial Narrow" w:eastAsia="Times New Roman" w:hAnsi="Arial Narrow" w:cs="Calibri"/>
                <w:b/>
                <w:bCs/>
                <w:color w:val="000000"/>
                <w:sz w:val="22"/>
                <w:szCs w:val="22"/>
              </w:rPr>
              <w:br/>
              <w:t xml:space="preserve">Párrafo 21. </w:t>
            </w:r>
          </w:p>
        </w:tc>
        <w:tc>
          <w:tcPr>
            <w:tcW w:w="1843" w:type="dxa"/>
            <w:tcBorders>
              <w:top w:val="nil"/>
              <w:left w:val="nil"/>
              <w:bottom w:val="single" w:sz="8" w:space="0" w:color="auto"/>
              <w:right w:val="single" w:sz="8" w:space="0" w:color="auto"/>
            </w:tcBorders>
            <w:shd w:val="clear" w:color="auto" w:fill="auto"/>
            <w:vAlign w:val="center"/>
            <w:hideMark/>
          </w:tcPr>
          <w:p w14:paraId="4B951208" w14:textId="54E8DBBD" w:rsidR="001D484B" w:rsidRPr="001D484B" w:rsidRDefault="001D484B" w:rsidP="001D484B">
            <w:pPr>
              <w:ind w:firstLineChars="100" w:firstLine="220"/>
              <w:rPr>
                <w:rFonts w:ascii="Arial Narrow" w:eastAsia="Times New Roman" w:hAnsi="Arial Narrow" w:cs="Calibri"/>
                <w:b/>
                <w:bCs/>
                <w:color w:val="000000"/>
                <w:sz w:val="22"/>
                <w:szCs w:val="22"/>
              </w:rPr>
            </w:pPr>
            <w:r w:rsidRPr="001D484B">
              <w:rPr>
                <w:rFonts w:ascii="Arial Narrow" w:eastAsia="Times New Roman" w:hAnsi="Arial Narrow" w:cs="Calibri"/>
                <w:b/>
                <w:bCs/>
                <w:color w:val="000000"/>
                <w:sz w:val="22"/>
                <w:szCs w:val="22"/>
              </w:rPr>
              <w:t xml:space="preserve"> </w:t>
            </w:r>
          </w:p>
        </w:tc>
      </w:tr>
    </w:tbl>
    <w:p w14:paraId="0334B809" w14:textId="77777777" w:rsidR="004B2595" w:rsidRDefault="004B2595" w:rsidP="00C12943">
      <w:pPr>
        <w:pStyle w:val="Default"/>
        <w:ind w:left="1134" w:right="261" w:hanging="1134"/>
        <w:jc w:val="both"/>
        <w:rPr>
          <w:sz w:val="22"/>
          <w:szCs w:val="22"/>
          <w:lang w:val="es-CR"/>
        </w:rPr>
      </w:pPr>
    </w:p>
    <w:p w14:paraId="15A7E5E9" w14:textId="652BDC9B" w:rsidR="00C12943" w:rsidRDefault="00C12943" w:rsidP="00C12943">
      <w:pPr>
        <w:pStyle w:val="Default"/>
        <w:ind w:left="1134" w:right="261" w:hanging="1134"/>
        <w:jc w:val="both"/>
        <w:rPr>
          <w:rFonts w:eastAsia="Arial"/>
          <w:b/>
          <w:sz w:val="22"/>
          <w:szCs w:val="22"/>
        </w:rPr>
      </w:pPr>
      <w:r w:rsidRPr="00F02F9D">
        <w:rPr>
          <w:rFonts w:eastAsia="Arial"/>
          <w:b/>
          <w:sz w:val="22"/>
          <w:szCs w:val="22"/>
        </w:rPr>
        <w:t>Políticas Contables</w:t>
      </w:r>
    </w:p>
    <w:p w14:paraId="394BD766" w14:textId="77777777" w:rsidR="00C12943" w:rsidRPr="001D484B" w:rsidRDefault="00C12943" w:rsidP="00C12943">
      <w:pPr>
        <w:pStyle w:val="Default"/>
        <w:ind w:left="1134" w:right="261" w:hanging="1134"/>
        <w:jc w:val="both"/>
        <w:rPr>
          <w:sz w:val="22"/>
          <w:szCs w:val="22"/>
          <w:lang w:val="es-CR"/>
        </w:rPr>
      </w:pPr>
    </w:p>
    <w:p w14:paraId="3A5945F8" w14:textId="679DF383" w:rsidR="001D484B" w:rsidRDefault="001D484B" w:rsidP="001D484B">
      <w:pPr>
        <w:pStyle w:val="Default"/>
        <w:ind w:left="1134" w:hanging="1134"/>
        <w:jc w:val="both"/>
        <w:rPr>
          <w:sz w:val="22"/>
          <w:szCs w:val="22"/>
          <w:lang w:val="es-CR"/>
        </w:rPr>
      </w:pPr>
      <w:r>
        <w:rPr>
          <w:sz w:val="22"/>
          <w:szCs w:val="22"/>
          <w:lang w:val="es-CR"/>
        </w:rPr>
        <w:t>4.48.0.01</w:t>
      </w:r>
      <w:r>
        <w:rPr>
          <w:sz w:val="22"/>
          <w:szCs w:val="22"/>
          <w:lang w:val="es-CR"/>
        </w:rPr>
        <w:tab/>
      </w:r>
      <w:r w:rsidRPr="001D484B">
        <w:rPr>
          <w:sz w:val="22"/>
          <w:szCs w:val="22"/>
          <w:lang w:val="es-CR"/>
        </w:rPr>
        <w:t xml:space="preserve">Los ingresos de la propiedad derivados del uso, por parte de terceros, de activos de la entidad que producen intereses, regalías, o </w:t>
      </w:r>
      <w:r>
        <w:rPr>
          <w:sz w:val="22"/>
          <w:szCs w:val="22"/>
          <w:lang w:val="es-CR"/>
        </w:rPr>
        <w:t>ingresos</w:t>
      </w:r>
      <w:r w:rsidRPr="001D484B">
        <w:rPr>
          <w:sz w:val="22"/>
          <w:szCs w:val="22"/>
          <w:lang w:val="es-CR"/>
        </w:rPr>
        <w:t xml:space="preserve"> similares, se reconocerán como tales en tanto y en cuanto:</w:t>
      </w:r>
    </w:p>
    <w:p w14:paraId="50C81FFC" w14:textId="2850AF13" w:rsidR="001D484B" w:rsidRPr="001D484B" w:rsidRDefault="001D484B" w:rsidP="001D484B">
      <w:pPr>
        <w:pStyle w:val="Default"/>
        <w:ind w:left="1134" w:hanging="1134"/>
        <w:jc w:val="both"/>
        <w:rPr>
          <w:sz w:val="22"/>
          <w:szCs w:val="22"/>
          <w:lang w:val="es-CR"/>
        </w:rPr>
      </w:pPr>
      <w:r w:rsidRPr="001D484B">
        <w:rPr>
          <w:sz w:val="22"/>
          <w:szCs w:val="22"/>
          <w:lang w:val="es-CR"/>
        </w:rPr>
        <w:t xml:space="preserve"> </w:t>
      </w:r>
    </w:p>
    <w:p w14:paraId="31327619" w14:textId="77777777" w:rsidR="001D484B" w:rsidRDefault="001D484B">
      <w:pPr>
        <w:pStyle w:val="Default"/>
        <w:numPr>
          <w:ilvl w:val="0"/>
          <w:numId w:val="250"/>
        </w:numPr>
        <w:spacing w:after="120"/>
        <w:ind w:left="1418" w:hanging="284"/>
        <w:jc w:val="both"/>
        <w:rPr>
          <w:sz w:val="22"/>
          <w:szCs w:val="22"/>
          <w:lang w:val="es-CR"/>
        </w:rPr>
      </w:pPr>
      <w:r>
        <w:rPr>
          <w:sz w:val="22"/>
          <w:szCs w:val="22"/>
          <w:lang w:val="es-CR"/>
        </w:rPr>
        <w:t>L</w:t>
      </w:r>
      <w:r w:rsidRPr="001D484B">
        <w:rPr>
          <w:sz w:val="22"/>
          <w:szCs w:val="22"/>
          <w:lang w:val="es-CR"/>
        </w:rPr>
        <w:t xml:space="preserve">a entidad reciba los beneficios económicos o potencial de servicio asociados con la transacción; </w:t>
      </w:r>
    </w:p>
    <w:p w14:paraId="4D3782FB" w14:textId="4712A436" w:rsidR="001D484B" w:rsidRPr="001D484B" w:rsidRDefault="001D484B">
      <w:pPr>
        <w:pStyle w:val="Default"/>
        <w:numPr>
          <w:ilvl w:val="0"/>
          <w:numId w:val="250"/>
        </w:numPr>
        <w:spacing w:after="37"/>
        <w:ind w:left="1418" w:hanging="284"/>
        <w:jc w:val="both"/>
        <w:rPr>
          <w:sz w:val="22"/>
          <w:szCs w:val="22"/>
          <w:lang w:val="es-CR"/>
        </w:rPr>
      </w:pPr>
      <w:r>
        <w:rPr>
          <w:sz w:val="22"/>
          <w:szCs w:val="22"/>
          <w:lang w:val="es-CR"/>
        </w:rPr>
        <w:t>E</w:t>
      </w:r>
      <w:r w:rsidRPr="001D484B">
        <w:rPr>
          <w:sz w:val="22"/>
          <w:szCs w:val="22"/>
          <w:lang w:val="es-CR"/>
        </w:rPr>
        <w:t xml:space="preserve">l importe de los ingresos pueda ser medido de forma fiable. </w:t>
      </w:r>
    </w:p>
    <w:p w14:paraId="65A8B5AB" w14:textId="77777777" w:rsidR="001D484B" w:rsidRPr="001D484B" w:rsidRDefault="001D484B" w:rsidP="001D484B">
      <w:pPr>
        <w:pStyle w:val="Default"/>
        <w:jc w:val="both"/>
        <w:rPr>
          <w:sz w:val="22"/>
          <w:szCs w:val="22"/>
          <w:lang w:val="es-CR"/>
        </w:rPr>
      </w:pPr>
    </w:p>
    <w:p w14:paraId="18809DCF" w14:textId="3A0D1CD7" w:rsidR="001D484B" w:rsidRDefault="001D484B" w:rsidP="001D484B">
      <w:pPr>
        <w:pStyle w:val="Default"/>
        <w:ind w:left="1134" w:hanging="1134"/>
        <w:jc w:val="both"/>
        <w:rPr>
          <w:sz w:val="22"/>
          <w:szCs w:val="22"/>
          <w:lang w:val="es-CR"/>
        </w:rPr>
      </w:pPr>
      <w:r>
        <w:rPr>
          <w:sz w:val="22"/>
          <w:szCs w:val="22"/>
          <w:lang w:val="es-CR"/>
        </w:rPr>
        <w:t>4.48.</w:t>
      </w:r>
      <w:r w:rsidRPr="001D484B">
        <w:rPr>
          <w:sz w:val="22"/>
          <w:szCs w:val="22"/>
          <w:lang w:val="es-CR"/>
        </w:rPr>
        <w:t>1</w:t>
      </w:r>
      <w:r>
        <w:rPr>
          <w:sz w:val="22"/>
          <w:szCs w:val="22"/>
          <w:lang w:val="es-CR"/>
        </w:rPr>
        <w:t>.01</w:t>
      </w:r>
      <w:r>
        <w:rPr>
          <w:sz w:val="22"/>
          <w:szCs w:val="22"/>
          <w:lang w:val="es-CR"/>
        </w:rPr>
        <w:tab/>
      </w:r>
      <w:r w:rsidRPr="001D484B">
        <w:rPr>
          <w:sz w:val="22"/>
          <w:szCs w:val="22"/>
          <w:lang w:val="es-CR"/>
        </w:rPr>
        <w:t xml:space="preserve">Los intereses deben reconocerse contablemente sobre la base de la proporción de tiempo transcurrido, teniendo en cuenta el rendimiento efectivo del activo. Los ingresos por intereses incluyen la imputación en el tiempo de cualquier tasa de descuento, primas u otras diferencias entre el valor inicial del título de deuda en libros y el importe que se obtendrá a su vencimiento. </w:t>
      </w:r>
    </w:p>
    <w:p w14:paraId="4F9A6F45" w14:textId="77777777" w:rsidR="001D484B" w:rsidRPr="001D484B" w:rsidRDefault="001D484B" w:rsidP="001D484B">
      <w:pPr>
        <w:pStyle w:val="Default"/>
        <w:ind w:left="1134" w:hanging="1134"/>
        <w:jc w:val="both"/>
        <w:rPr>
          <w:sz w:val="22"/>
          <w:szCs w:val="22"/>
          <w:lang w:val="es-CR"/>
        </w:rPr>
      </w:pPr>
    </w:p>
    <w:p w14:paraId="380D172C" w14:textId="77777777" w:rsidR="001D484B" w:rsidRDefault="001D484B" w:rsidP="001D484B">
      <w:pPr>
        <w:pStyle w:val="Default"/>
        <w:ind w:left="1134" w:hanging="1134"/>
        <w:jc w:val="both"/>
        <w:rPr>
          <w:sz w:val="22"/>
          <w:szCs w:val="22"/>
          <w:lang w:val="es-CR"/>
        </w:rPr>
      </w:pPr>
      <w:r>
        <w:rPr>
          <w:sz w:val="22"/>
          <w:szCs w:val="22"/>
          <w:lang w:val="es-CR"/>
        </w:rPr>
        <w:t>4.48.</w:t>
      </w:r>
      <w:r w:rsidRPr="001D484B">
        <w:rPr>
          <w:sz w:val="22"/>
          <w:szCs w:val="22"/>
          <w:lang w:val="es-CR"/>
        </w:rPr>
        <w:t>2.</w:t>
      </w:r>
      <w:r>
        <w:rPr>
          <w:sz w:val="22"/>
          <w:szCs w:val="22"/>
          <w:lang w:val="es-CR"/>
        </w:rPr>
        <w:t>01</w:t>
      </w:r>
      <w:r>
        <w:rPr>
          <w:sz w:val="22"/>
          <w:szCs w:val="22"/>
          <w:lang w:val="es-CR"/>
        </w:rPr>
        <w:tab/>
      </w:r>
      <w:r w:rsidRPr="001D484B">
        <w:rPr>
          <w:sz w:val="22"/>
          <w:szCs w:val="22"/>
          <w:lang w:val="es-CR"/>
        </w:rPr>
        <w:t>Las regalías deben reconocerse contablemente en cuanto se acumulen (o devenguen) de acuerdo con la sustancia del acuerdo en que se basan.</w:t>
      </w:r>
    </w:p>
    <w:p w14:paraId="1932CD4B" w14:textId="72AB7DFC" w:rsidR="001D484B" w:rsidRPr="001D484B" w:rsidRDefault="001D484B" w:rsidP="001D484B">
      <w:pPr>
        <w:pStyle w:val="Default"/>
        <w:ind w:left="1134" w:hanging="1134"/>
        <w:jc w:val="both"/>
        <w:rPr>
          <w:sz w:val="22"/>
          <w:szCs w:val="22"/>
          <w:lang w:val="es-CR"/>
        </w:rPr>
      </w:pPr>
      <w:r w:rsidRPr="001D484B">
        <w:rPr>
          <w:sz w:val="22"/>
          <w:szCs w:val="22"/>
          <w:lang w:val="es-CR"/>
        </w:rPr>
        <w:t xml:space="preserve"> </w:t>
      </w:r>
    </w:p>
    <w:p w14:paraId="7260B8B6" w14:textId="7A7C2CD1" w:rsidR="00696F96" w:rsidRDefault="001D484B" w:rsidP="001D484B">
      <w:pPr>
        <w:pStyle w:val="Default"/>
        <w:ind w:left="1134" w:hanging="1134"/>
        <w:jc w:val="both"/>
        <w:rPr>
          <w:sz w:val="22"/>
          <w:szCs w:val="22"/>
          <w:lang w:val="es-CR"/>
        </w:rPr>
      </w:pPr>
      <w:r>
        <w:rPr>
          <w:sz w:val="22"/>
          <w:szCs w:val="22"/>
          <w:lang w:val="es-CR"/>
        </w:rPr>
        <w:t>4.48.</w:t>
      </w:r>
      <w:r w:rsidRPr="001D484B">
        <w:rPr>
          <w:sz w:val="22"/>
          <w:szCs w:val="22"/>
          <w:lang w:val="es-CR"/>
        </w:rPr>
        <w:t>3.</w:t>
      </w:r>
      <w:r>
        <w:rPr>
          <w:sz w:val="22"/>
          <w:szCs w:val="22"/>
          <w:lang w:val="es-CR"/>
        </w:rPr>
        <w:t>01</w:t>
      </w:r>
      <w:r>
        <w:rPr>
          <w:sz w:val="22"/>
          <w:szCs w:val="22"/>
          <w:lang w:val="es-CR"/>
        </w:rPr>
        <w:tab/>
      </w:r>
      <w:r w:rsidRPr="001D484B">
        <w:rPr>
          <w:sz w:val="22"/>
          <w:szCs w:val="22"/>
          <w:lang w:val="es-CR"/>
        </w:rPr>
        <w:t>Los dividendos o distribuciones similares deben reconocerse contablemente cuando se establezca el derecho a recibirlos por parte del propietario o de la entidad.</w:t>
      </w:r>
    </w:p>
    <w:p w14:paraId="26422EFC" w14:textId="77777777" w:rsidR="001D484B" w:rsidRDefault="001D484B" w:rsidP="00B942C1">
      <w:pPr>
        <w:pStyle w:val="Default"/>
        <w:ind w:left="1134" w:hanging="1134"/>
        <w:jc w:val="both"/>
        <w:rPr>
          <w:sz w:val="22"/>
          <w:szCs w:val="22"/>
          <w:lang w:val="es-CR"/>
        </w:rPr>
      </w:pPr>
    </w:p>
    <w:p w14:paraId="36711D61" w14:textId="77777777" w:rsidR="001D484B" w:rsidRDefault="001D484B" w:rsidP="00B942C1">
      <w:pPr>
        <w:pStyle w:val="Default"/>
        <w:ind w:left="1134" w:hanging="1134"/>
        <w:jc w:val="both"/>
        <w:rPr>
          <w:sz w:val="22"/>
          <w:szCs w:val="22"/>
          <w:lang w:val="es-CR"/>
        </w:rPr>
      </w:pPr>
    </w:p>
    <w:p w14:paraId="72C22ADB" w14:textId="77777777" w:rsidR="001D484B" w:rsidRDefault="001D484B" w:rsidP="00B942C1">
      <w:pPr>
        <w:pStyle w:val="Default"/>
        <w:ind w:left="1134" w:hanging="1134"/>
        <w:jc w:val="both"/>
        <w:rPr>
          <w:sz w:val="22"/>
          <w:szCs w:val="22"/>
          <w:lang w:val="es-CR"/>
        </w:rPr>
      </w:pPr>
    </w:p>
    <w:p w14:paraId="11BA0C9F" w14:textId="5406D1B6" w:rsidR="001D484B" w:rsidRPr="00B942C1" w:rsidRDefault="001D484B" w:rsidP="00B942C1">
      <w:pPr>
        <w:pStyle w:val="Ttulo2"/>
        <w:ind w:left="284"/>
        <w:rPr>
          <w:rFonts w:ascii="Arial" w:eastAsia="Arial" w:hAnsi="Arial" w:cs="Arial"/>
          <w:b/>
          <w:bCs/>
          <w:sz w:val="20"/>
          <w:szCs w:val="20"/>
          <w:lang w:val="es-CR"/>
        </w:rPr>
      </w:pPr>
      <w:bookmarkStart w:id="134" w:name="_Toc172726269"/>
      <w:r w:rsidRPr="00B942C1">
        <w:rPr>
          <w:rFonts w:ascii="Arial" w:eastAsia="Arial" w:hAnsi="Arial" w:cs="Arial"/>
          <w:b/>
          <w:bCs/>
          <w:sz w:val="20"/>
          <w:szCs w:val="20"/>
          <w:lang w:val="es-CR"/>
        </w:rPr>
        <w:t>Arrendamiento operativo</w:t>
      </w:r>
      <w:bookmarkEnd w:id="134"/>
    </w:p>
    <w:p w14:paraId="7C7C30C8" w14:textId="77777777" w:rsidR="0045790E" w:rsidRDefault="0045790E" w:rsidP="00B942C1">
      <w:pPr>
        <w:pStyle w:val="Default"/>
        <w:jc w:val="both"/>
        <w:rPr>
          <w:sz w:val="22"/>
          <w:szCs w:val="22"/>
          <w:lang w:val="es-CR"/>
        </w:rPr>
      </w:pPr>
    </w:p>
    <w:tbl>
      <w:tblPr>
        <w:tblW w:w="9376" w:type="dxa"/>
        <w:tblLook w:val="04A0" w:firstRow="1" w:lastRow="0" w:firstColumn="1" w:lastColumn="0" w:noHBand="0" w:noVBand="1"/>
      </w:tblPr>
      <w:tblGrid>
        <w:gridCol w:w="416"/>
        <w:gridCol w:w="708"/>
        <w:gridCol w:w="425"/>
        <w:gridCol w:w="8"/>
        <w:gridCol w:w="3686"/>
        <w:gridCol w:w="8"/>
        <w:gridCol w:w="2242"/>
        <w:gridCol w:w="8"/>
        <w:gridCol w:w="1867"/>
        <w:gridCol w:w="8"/>
      </w:tblGrid>
      <w:tr w:rsidR="0045790E" w:rsidRPr="0045790E" w14:paraId="15983BE6" w14:textId="77777777" w:rsidTr="00C12943">
        <w:trPr>
          <w:trHeight w:val="300"/>
        </w:trPr>
        <w:tc>
          <w:tcPr>
            <w:tcW w:w="1557"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86FCDED" w14:textId="77777777" w:rsidR="0045790E" w:rsidRPr="0045790E" w:rsidRDefault="0045790E" w:rsidP="0045790E">
            <w:pPr>
              <w:jc w:val="center"/>
              <w:rPr>
                <w:rFonts w:ascii="Arial Narrow" w:eastAsia="Times New Roman" w:hAnsi="Arial Narrow" w:cs="Calibri"/>
                <w:b/>
                <w:bCs/>
                <w:color w:val="FFFFFF"/>
                <w:sz w:val="22"/>
                <w:szCs w:val="22"/>
              </w:rPr>
            </w:pPr>
            <w:r w:rsidRPr="0045790E">
              <w:rPr>
                <w:rFonts w:ascii="Arial Narrow" w:eastAsia="Times New Roman" w:hAnsi="Arial Narrow" w:cs="Calibri"/>
                <w:b/>
                <w:bCs/>
                <w:color w:val="FFFFFF"/>
                <w:sz w:val="22"/>
                <w:szCs w:val="22"/>
              </w:rPr>
              <w:t>Norma / Política</w:t>
            </w:r>
          </w:p>
        </w:tc>
        <w:tc>
          <w:tcPr>
            <w:tcW w:w="3694"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143BC09C" w14:textId="77777777" w:rsidR="0045790E" w:rsidRPr="0045790E" w:rsidRDefault="0045790E" w:rsidP="0045790E">
            <w:pPr>
              <w:jc w:val="center"/>
              <w:rPr>
                <w:rFonts w:ascii="Arial Narrow" w:eastAsia="Times New Roman" w:hAnsi="Arial Narrow" w:cs="Calibri"/>
                <w:b/>
                <w:bCs/>
                <w:color w:val="FFFFFF"/>
                <w:sz w:val="22"/>
                <w:szCs w:val="22"/>
              </w:rPr>
            </w:pPr>
            <w:r w:rsidRPr="0045790E">
              <w:rPr>
                <w:rFonts w:ascii="Arial Narrow" w:eastAsia="Times New Roman" w:hAnsi="Arial Narrow" w:cs="Calibri"/>
                <w:b/>
                <w:bCs/>
                <w:color w:val="FFFFFF"/>
                <w:sz w:val="22"/>
                <w:szCs w:val="22"/>
              </w:rPr>
              <w:t>Concepto</w:t>
            </w:r>
          </w:p>
        </w:tc>
        <w:tc>
          <w:tcPr>
            <w:tcW w:w="4125" w:type="dxa"/>
            <w:gridSpan w:val="4"/>
            <w:tcBorders>
              <w:top w:val="single" w:sz="8" w:space="0" w:color="auto"/>
              <w:left w:val="nil"/>
              <w:bottom w:val="single" w:sz="8" w:space="0" w:color="auto"/>
              <w:right w:val="single" w:sz="8" w:space="0" w:color="000000"/>
            </w:tcBorders>
            <w:shd w:val="clear" w:color="000000" w:fill="203764"/>
            <w:vAlign w:val="center"/>
            <w:hideMark/>
          </w:tcPr>
          <w:p w14:paraId="5358ED66" w14:textId="77777777" w:rsidR="0045790E" w:rsidRPr="0045790E" w:rsidRDefault="0045790E" w:rsidP="0045790E">
            <w:pPr>
              <w:jc w:val="center"/>
              <w:rPr>
                <w:rFonts w:ascii="Arial Narrow" w:eastAsia="Times New Roman" w:hAnsi="Arial Narrow" w:cs="Calibri"/>
                <w:b/>
                <w:bCs/>
                <w:color w:val="FFFFFF"/>
                <w:sz w:val="22"/>
                <w:szCs w:val="22"/>
              </w:rPr>
            </w:pPr>
            <w:r w:rsidRPr="0045790E">
              <w:rPr>
                <w:rFonts w:ascii="Arial Narrow" w:eastAsia="Times New Roman" w:hAnsi="Arial Narrow" w:cs="Calibri"/>
                <w:b/>
                <w:bCs/>
                <w:color w:val="FFFFFF"/>
                <w:sz w:val="22"/>
                <w:szCs w:val="22"/>
              </w:rPr>
              <w:t>Referencia</w:t>
            </w:r>
          </w:p>
        </w:tc>
      </w:tr>
      <w:tr w:rsidR="0045790E" w:rsidRPr="006E5442" w14:paraId="01ED9403" w14:textId="77777777" w:rsidTr="00C12943">
        <w:trPr>
          <w:trHeight w:val="850"/>
        </w:trPr>
        <w:tc>
          <w:tcPr>
            <w:tcW w:w="1557" w:type="dxa"/>
            <w:gridSpan w:val="4"/>
            <w:vMerge/>
            <w:tcBorders>
              <w:top w:val="single" w:sz="8" w:space="0" w:color="auto"/>
              <w:left w:val="single" w:sz="8" w:space="0" w:color="auto"/>
              <w:bottom w:val="nil"/>
              <w:right w:val="single" w:sz="8" w:space="0" w:color="000000"/>
            </w:tcBorders>
            <w:vAlign w:val="center"/>
            <w:hideMark/>
          </w:tcPr>
          <w:p w14:paraId="0C3E91DE" w14:textId="77777777" w:rsidR="0045790E" w:rsidRPr="0045790E" w:rsidRDefault="0045790E" w:rsidP="0045790E">
            <w:pPr>
              <w:rPr>
                <w:rFonts w:ascii="Arial Narrow" w:eastAsia="Times New Roman" w:hAnsi="Arial Narrow" w:cs="Calibri"/>
                <w:b/>
                <w:bCs/>
                <w:color w:val="FFFFFF"/>
                <w:sz w:val="22"/>
                <w:szCs w:val="22"/>
              </w:rPr>
            </w:pPr>
          </w:p>
        </w:tc>
        <w:tc>
          <w:tcPr>
            <w:tcW w:w="3694" w:type="dxa"/>
            <w:gridSpan w:val="2"/>
            <w:vMerge/>
            <w:tcBorders>
              <w:top w:val="single" w:sz="8" w:space="0" w:color="auto"/>
              <w:left w:val="single" w:sz="8" w:space="0" w:color="auto"/>
              <w:bottom w:val="nil"/>
              <w:right w:val="single" w:sz="8" w:space="0" w:color="auto"/>
            </w:tcBorders>
            <w:vAlign w:val="center"/>
            <w:hideMark/>
          </w:tcPr>
          <w:p w14:paraId="576EA4AC" w14:textId="77777777" w:rsidR="0045790E" w:rsidRPr="0045790E" w:rsidRDefault="0045790E" w:rsidP="0045790E">
            <w:pPr>
              <w:rPr>
                <w:rFonts w:ascii="Arial Narrow" w:eastAsia="Times New Roman" w:hAnsi="Arial Narrow" w:cs="Calibri"/>
                <w:b/>
                <w:bCs/>
                <w:color w:val="FFFFFF"/>
                <w:sz w:val="22"/>
                <w:szCs w:val="22"/>
              </w:rPr>
            </w:pPr>
          </w:p>
        </w:tc>
        <w:tc>
          <w:tcPr>
            <w:tcW w:w="2250" w:type="dxa"/>
            <w:gridSpan w:val="2"/>
            <w:tcBorders>
              <w:top w:val="nil"/>
              <w:left w:val="nil"/>
              <w:bottom w:val="nil"/>
              <w:right w:val="single" w:sz="8" w:space="0" w:color="auto"/>
            </w:tcBorders>
            <w:shd w:val="clear" w:color="000000" w:fill="203764"/>
            <w:vAlign w:val="center"/>
            <w:hideMark/>
          </w:tcPr>
          <w:p w14:paraId="4AB04F13" w14:textId="77777777" w:rsidR="0045790E" w:rsidRPr="0045790E" w:rsidRDefault="0045790E" w:rsidP="0045790E">
            <w:pPr>
              <w:jc w:val="center"/>
              <w:rPr>
                <w:rFonts w:ascii="Arial Narrow" w:eastAsia="Times New Roman" w:hAnsi="Arial Narrow" w:cs="Calibri"/>
                <w:b/>
                <w:bCs/>
                <w:color w:val="FFFFFF"/>
                <w:sz w:val="22"/>
                <w:szCs w:val="22"/>
              </w:rPr>
            </w:pPr>
            <w:r w:rsidRPr="0045790E">
              <w:rPr>
                <w:rFonts w:ascii="Arial Narrow" w:eastAsia="Times New Roman" w:hAnsi="Arial Narrow" w:cs="Calibri"/>
                <w:b/>
                <w:bCs/>
                <w:color w:val="FFFFFF"/>
                <w:sz w:val="22"/>
                <w:szCs w:val="22"/>
              </w:rPr>
              <w:t>Norma</w:t>
            </w:r>
          </w:p>
        </w:tc>
        <w:tc>
          <w:tcPr>
            <w:tcW w:w="1875" w:type="dxa"/>
            <w:gridSpan w:val="2"/>
            <w:tcBorders>
              <w:top w:val="nil"/>
              <w:left w:val="nil"/>
              <w:bottom w:val="nil"/>
              <w:right w:val="single" w:sz="8" w:space="0" w:color="auto"/>
            </w:tcBorders>
            <w:shd w:val="clear" w:color="000000" w:fill="203764"/>
            <w:vAlign w:val="center"/>
            <w:hideMark/>
          </w:tcPr>
          <w:p w14:paraId="68D657A7" w14:textId="77777777" w:rsidR="0045790E" w:rsidRPr="0045790E" w:rsidRDefault="0045790E" w:rsidP="0045790E">
            <w:pPr>
              <w:jc w:val="center"/>
              <w:rPr>
                <w:rFonts w:ascii="Arial Narrow" w:eastAsia="Times New Roman" w:hAnsi="Arial Narrow" w:cs="Calibri"/>
                <w:b/>
                <w:bCs/>
                <w:color w:val="FFFFFF"/>
                <w:sz w:val="22"/>
                <w:szCs w:val="22"/>
                <w:lang w:val="es-CR"/>
              </w:rPr>
            </w:pPr>
            <w:r w:rsidRPr="0045790E">
              <w:rPr>
                <w:rFonts w:ascii="Arial Narrow" w:eastAsia="Times New Roman" w:hAnsi="Arial Narrow" w:cs="Calibri"/>
                <w:b/>
                <w:bCs/>
                <w:color w:val="FFFFFF"/>
                <w:sz w:val="22"/>
                <w:szCs w:val="22"/>
                <w:lang w:val="es-CR"/>
              </w:rPr>
              <w:t>Normativa técnica y disposiciones adicionales</w:t>
            </w:r>
          </w:p>
        </w:tc>
      </w:tr>
      <w:tr w:rsidR="0045790E" w:rsidRPr="0045790E" w14:paraId="35E30D81" w14:textId="77777777" w:rsidTr="00C12943">
        <w:trPr>
          <w:gridAfter w:val="1"/>
          <w:wAfter w:w="8"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53F19D" w14:textId="77777777" w:rsidR="0045790E" w:rsidRPr="0045790E" w:rsidRDefault="0045790E" w:rsidP="0045790E">
            <w:pPr>
              <w:jc w:val="center"/>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4</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968C232" w14:textId="77777777" w:rsidR="0045790E" w:rsidRPr="0045790E" w:rsidRDefault="0045790E" w:rsidP="0045790E">
            <w:pPr>
              <w:jc w:val="center"/>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49</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02EEBE73" w14:textId="4C65B4D5" w:rsidR="0045790E" w:rsidRPr="0045790E" w:rsidRDefault="0045790E" w:rsidP="0045790E">
            <w:pPr>
              <w:jc w:val="center"/>
              <w:rPr>
                <w:rFonts w:ascii="Arial Narrow" w:eastAsia="Times New Roman" w:hAnsi="Arial Narrow" w:cs="Calibri"/>
                <w:b/>
                <w:bCs/>
                <w:color w:val="000000"/>
                <w:sz w:val="22"/>
                <w:szCs w:val="22"/>
              </w:rPr>
            </w:pPr>
          </w:p>
        </w:tc>
        <w:tc>
          <w:tcPr>
            <w:tcW w:w="3694" w:type="dxa"/>
            <w:gridSpan w:val="2"/>
            <w:tcBorders>
              <w:top w:val="single" w:sz="8" w:space="0" w:color="auto"/>
              <w:left w:val="nil"/>
              <w:bottom w:val="single" w:sz="8" w:space="0" w:color="auto"/>
              <w:right w:val="single" w:sz="8" w:space="0" w:color="auto"/>
            </w:tcBorders>
            <w:shd w:val="clear" w:color="auto" w:fill="auto"/>
            <w:vAlign w:val="center"/>
            <w:hideMark/>
          </w:tcPr>
          <w:p w14:paraId="1C0D03CB" w14:textId="77777777" w:rsidR="0045790E" w:rsidRPr="0045790E" w:rsidRDefault="0045790E" w:rsidP="0045790E">
            <w:pPr>
              <w:jc w:val="both"/>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Ingresos por arrendamientos operativos</w:t>
            </w:r>
          </w:p>
        </w:tc>
        <w:tc>
          <w:tcPr>
            <w:tcW w:w="2250" w:type="dxa"/>
            <w:gridSpan w:val="2"/>
            <w:tcBorders>
              <w:top w:val="single" w:sz="8" w:space="0" w:color="auto"/>
              <w:left w:val="nil"/>
              <w:bottom w:val="single" w:sz="8" w:space="0" w:color="auto"/>
              <w:right w:val="single" w:sz="8" w:space="0" w:color="auto"/>
            </w:tcBorders>
            <w:shd w:val="clear" w:color="auto" w:fill="auto"/>
            <w:vAlign w:val="center"/>
            <w:hideMark/>
          </w:tcPr>
          <w:p w14:paraId="71095141" w14:textId="77777777" w:rsidR="008D294D" w:rsidRDefault="0045790E" w:rsidP="0045790E">
            <w:pPr>
              <w:jc w:val="both"/>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NICSP N° 13,</w:t>
            </w:r>
          </w:p>
          <w:p w14:paraId="3A573733" w14:textId="0D7F1444" w:rsidR="0045790E" w:rsidRPr="0045790E" w:rsidRDefault="0045790E" w:rsidP="0045790E">
            <w:pPr>
              <w:jc w:val="both"/>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Párrafo 63.</w:t>
            </w:r>
          </w:p>
        </w:tc>
        <w:tc>
          <w:tcPr>
            <w:tcW w:w="1875" w:type="dxa"/>
            <w:gridSpan w:val="2"/>
            <w:tcBorders>
              <w:top w:val="single" w:sz="8" w:space="0" w:color="auto"/>
              <w:left w:val="nil"/>
              <w:bottom w:val="single" w:sz="8" w:space="0" w:color="auto"/>
              <w:right w:val="single" w:sz="8" w:space="0" w:color="auto"/>
            </w:tcBorders>
            <w:shd w:val="clear" w:color="auto" w:fill="auto"/>
            <w:vAlign w:val="center"/>
            <w:hideMark/>
          </w:tcPr>
          <w:p w14:paraId="3EED6FB3" w14:textId="77777777" w:rsidR="0045790E" w:rsidRPr="0045790E" w:rsidRDefault="0045790E" w:rsidP="0045790E">
            <w:pPr>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 xml:space="preserve"> </w:t>
            </w:r>
          </w:p>
        </w:tc>
      </w:tr>
    </w:tbl>
    <w:p w14:paraId="17691339" w14:textId="77777777" w:rsidR="0045790E" w:rsidRDefault="0045790E" w:rsidP="001D484B">
      <w:pPr>
        <w:pStyle w:val="Default"/>
        <w:ind w:left="1134" w:hanging="1134"/>
        <w:jc w:val="both"/>
        <w:rPr>
          <w:sz w:val="22"/>
          <w:szCs w:val="22"/>
          <w:lang w:val="es-CR"/>
        </w:rPr>
      </w:pPr>
    </w:p>
    <w:p w14:paraId="2BE2B716" w14:textId="55A3E1DE" w:rsidR="00C12943" w:rsidRDefault="00C12943" w:rsidP="001D484B">
      <w:pPr>
        <w:pStyle w:val="Default"/>
        <w:ind w:left="1134" w:hanging="1134"/>
        <w:jc w:val="both"/>
        <w:rPr>
          <w:rFonts w:eastAsia="Arial"/>
          <w:b/>
          <w:sz w:val="22"/>
          <w:szCs w:val="22"/>
        </w:rPr>
      </w:pPr>
      <w:r w:rsidRPr="00F02F9D">
        <w:rPr>
          <w:rFonts w:eastAsia="Arial"/>
          <w:b/>
          <w:sz w:val="22"/>
          <w:szCs w:val="22"/>
        </w:rPr>
        <w:t>Política Contable</w:t>
      </w:r>
    </w:p>
    <w:p w14:paraId="506C3F13" w14:textId="77777777" w:rsidR="00C12943" w:rsidRDefault="00C12943" w:rsidP="001D484B">
      <w:pPr>
        <w:pStyle w:val="Default"/>
        <w:ind w:left="1134" w:hanging="1134"/>
        <w:jc w:val="both"/>
        <w:rPr>
          <w:sz w:val="22"/>
          <w:szCs w:val="22"/>
          <w:lang w:val="es-CR"/>
        </w:rPr>
      </w:pPr>
    </w:p>
    <w:p w14:paraId="204854A0" w14:textId="6C8C17FB" w:rsidR="001D484B" w:rsidRPr="0045790E" w:rsidRDefault="0045790E" w:rsidP="001D484B">
      <w:pPr>
        <w:pStyle w:val="Default"/>
        <w:ind w:left="1134" w:hanging="1134"/>
        <w:jc w:val="both"/>
        <w:rPr>
          <w:sz w:val="22"/>
          <w:szCs w:val="22"/>
          <w:lang w:val="es-CR"/>
        </w:rPr>
      </w:pPr>
      <w:r>
        <w:rPr>
          <w:sz w:val="22"/>
          <w:szCs w:val="22"/>
          <w:lang w:val="es-CR"/>
        </w:rPr>
        <w:t>4.49.0.01</w:t>
      </w:r>
      <w:r>
        <w:rPr>
          <w:sz w:val="22"/>
          <w:szCs w:val="22"/>
          <w:lang w:val="es-CR"/>
        </w:rPr>
        <w:tab/>
      </w:r>
      <w:r w:rsidRPr="0045790E">
        <w:rPr>
          <w:sz w:val="22"/>
          <w:szCs w:val="22"/>
          <w:lang w:val="es-CR"/>
        </w:rPr>
        <w:t xml:space="preserve">Los ingresos procedentes de los arrendamientos operativos deben ser reconocidos como ingresos en el ERF, de forma lineal a lo largo del plazo de arrendamiento, salvo que resulte más representativa otra base sistemática de reparto, por reflejar más </w:t>
      </w:r>
      <w:r w:rsidRPr="0045790E">
        <w:rPr>
          <w:sz w:val="22"/>
          <w:szCs w:val="22"/>
          <w:lang w:val="es-CR"/>
        </w:rPr>
        <w:lastRenderedPageBreak/>
        <w:t>adecuadamente el patrón temporal de agotamiento de las ganancias derivadas del arrendamiento en cuestión.</w:t>
      </w:r>
    </w:p>
    <w:p w14:paraId="3D29CF5B" w14:textId="77777777" w:rsidR="0045790E" w:rsidRDefault="0045790E" w:rsidP="001D484B">
      <w:pPr>
        <w:pStyle w:val="Default"/>
        <w:ind w:left="1134" w:hanging="1134"/>
        <w:jc w:val="both"/>
        <w:rPr>
          <w:sz w:val="22"/>
          <w:szCs w:val="22"/>
          <w:lang w:val="es-CR"/>
        </w:rPr>
      </w:pPr>
    </w:p>
    <w:p w14:paraId="35644D2B" w14:textId="77777777" w:rsidR="0045790E" w:rsidRDefault="0045790E" w:rsidP="001D484B">
      <w:pPr>
        <w:pStyle w:val="Default"/>
        <w:ind w:left="1134" w:hanging="1134"/>
        <w:jc w:val="both"/>
        <w:rPr>
          <w:sz w:val="22"/>
          <w:szCs w:val="22"/>
          <w:lang w:val="es-CR"/>
        </w:rPr>
      </w:pPr>
    </w:p>
    <w:tbl>
      <w:tblPr>
        <w:tblW w:w="9364" w:type="dxa"/>
        <w:tblLook w:val="04A0" w:firstRow="1" w:lastRow="0" w:firstColumn="1" w:lastColumn="0" w:noHBand="0" w:noVBand="1"/>
      </w:tblPr>
      <w:tblGrid>
        <w:gridCol w:w="557"/>
        <w:gridCol w:w="709"/>
        <w:gridCol w:w="425"/>
        <w:gridCol w:w="3692"/>
        <w:gridCol w:w="2120"/>
        <w:gridCol w:w="1854"/>
        <w:gridCol w:w="7"/>
      </w:tblGrid>
      <w:tr w:rsidR="0045790E" w:rsidRPr="0045790E" w14:paraId="255F4008" w14:textId="77777777" w:rsidTr="00C12943">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B16D9B5" w14:textId="77777777" w:rsidR="0045790E" w:rsidRPr="0045790E" w:rsidRDefault="0045790E" w:rsidP="0045790E">
            <w:pPr>
              <w:jc w:val="center"/>
              <w:rPr>
                <w:rFonts w:ascii="Arial Narrow" w:eastAsia="Times New Roman" w:hAnsi="Arial Narrow" w:cs="Calibri"/>
                <w:b/>
                <w:bCs/>
                <w:color w:val="FFFFFF"/>
                <w:sz w:val="22"/>
                <w:szCs w:val="22"/>
              </w:rPr>
            </w:pPr>
            <w:r w:rsidRPr="0045790E">
              <w:rPr>
                <w:rFonts w:ascii="Arial Narrow" w:eastAsia="Times New Roman"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AAD017" w14:textId="77777777" w:rsidR="0045790E" w:rsidRPr="0045790E" w:rsidRDefault="0045790E" w:rsidP="0045790E">
            <w:pPr>
              <w:jc w:val="center"/>
              <w:rPr>
                <w:rFonts w:ascii="Arial Narrow" w:eastAsia="Times New Roman" w:hAnsi="Arial Narrow" w:cs="Calibri"/>
                <w:b/>
                <w:bCs/>
                <w:color w:val="FFFFFF"/>
                <w:sz w:val="22"/>
                <w:szCs w:val="22"/>
              </w:rPr>
            </w:pPr>
            <w:r w:rsidRPr="0045790E">
              <w:rPr>
                <w:rFonts w:ascii="Arial Narrow" w:eastAsia="Times New Roman" w:hAnsi="Arial Narrow" w:cs="Calibri"/>
                <w:b/>
                <w:bCs/>
                <w:color w:val="FFFFFF"/>
                <w:sz w:val="22"/>
                <w:szCs w:val="22"/>
              </w:rPr>
              <w:t>Concepto</w:t>
            </w:r>
          </w:p>
        </w:tc>
        <w:tc>
          <w:tcPr>
            <w:tcW w:w="3981" w:type="dxa"/>
            <w:gridSpan w:val="3"/>
            <w:tcBorders>
              <w:top w:val="single" w:sz="8" w:space="0" w:color="auto"/>
              <w:left w:val="nil"/>
              <w:bottom w:val="single" w:sz="8" w:space="0" w:color="auto"/>
              <w:right w:val="single" w:sz="8" w:space="0" w:color="000000"/>
            </w:tcBorders>
            <w:shd w:val="clear" w:color="000000" w:fill="203764"/>
            <w:vAlign w:val="center"/>
            <w:hideMark/>
          </w:tcPr>
          <w:p w14:paraId="21FDEC4E" w14:textId="77777777" w:rsidR="0045790E" w:rsidRPr="0045790E" w:rsidRDefault="0045790E" w:rsidP="0045790E">
            <w:pPr>
              <w:jc w:val="center"/>
              <w:rPr>
                <w:rFonts w:ascii="Arial Narrow" w:eastAsia="Times New Roman" w:hAnsi="Arial Narrow" w:cs="Calibri"/>
                <w:b/>
                <w:bCs/>
                <w:color w:val="FFFFFF"/>
                <w:sz w:val="22"/>
                <w:szCs w:val="22"/>
              </w:rPr>
            </w:pPr>
            <w:r w:rsidRPr="0045790E">
              <w:rPr>
                <w:rFonts w:ascii="Arial Narrow" w:eastAsia="Times New Roman" w:hAnsi="Arial Narrow" w:cs="Calibri"/>
                <w:b/>
                <w:bCs/>
                <w:color w:val="FFFFFF"/>
                <w:sz w:val="22"/>
                <w:szCs w:val="22"/>
              </w:rPr>
              <w:t>Referencia</w:t>
            </w:r>
          </w:p>
        </w:tc>
      </w:tr>
      <w:tr w:rsidR="0045790E" w:rsidRPr="006E5442" w14:paraId="5CF34A14" w14:textId="77777777" w:rsidTr="00C12943">
        <w:trPr>
          <w:gridAfter w:val="1"/>
          <w:wAfter w:w="7" w:type="dxa"/>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522848A0" w14:textId="77777777" w:rsidR="0045790E" w:rsidRPr="0045790E" w:rsidRDefault="0045790E" w:rsidP="0045790E">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6E76F42B" w14:textId="77777777" w:rsidR="0045790E" w:rsidRPr="0045790E" w:rsidRDefault="0045790E" w:rsidP="0045790E">
            <w:pPr>
              <w:rPr>
                <w:rFonts w:ascii="Arial Narrow" w:eastAsia="Times New Roman" w:hAnsi="Arial Narrow" w:cs="Calibri"/>
                <w:b/>
                <w:bCs/>
                <w:color w:val="FFFFFF"/>
                <w:sz w:val="22"/>
                <w:szCs w:val="22"/>
              </w:rPr>
            </w:pPr>
          </w:p>
        </w:tc>
        <w:tc>
          <w:tcPr>
            <w:tcW w:w="2120" w:type="dxa"/>
            <w:tcBorders>
              <w:top w:val="nil"/>
              <w:left w:val="nil"/>
              <w:bottom w:val="nil"/>
              <w:right w:val="single" w:sz="8" w:space="0" w:color="auto"/>
            </w:tcBorders>
            <w:shd w:val="clear" w:color="000000" w:fill="203764"/>
            <w:vAlign w:val="center"/>
            <w:hideMark/>
          </w:tcPr>
          <w:p w14:paraId="648211DA" w14:textId="77777777" w:rsidR="0045790E" w:rsidRPr="0045790E" w:rsidRDefault="0045790E" w:rsidP="0045790E">
            <w:pPr>
              <w:jc w:val="center"/>
              <w:rPr>
                <w:rFonts w:ascii="Arial Narrow" w:eastAsia="Times New Roman" w:hAnsi="Arial Narrow" w:cs="Calibri"/>
                <w:b/>
                <w:bCs/>
                <w:color w:val="FFFFFF"/>
                <w:sz w:val="22"/>
                <w:szCs w:val="22"/>
              </w:rPr>
            </w:pPr>
            <w:r w:rsidRPr="0045790E">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6CF3B853" w14:textId="77777777" w:rsidR="0045790E" w:rsidRPr="0045790E" w:rsidRDefault="0045790E" w:rsidP="0045790E">
            <w:pPr>
              <w:jc w:val="center"/>
              <w:rPr>
                <w:rFonts w:ascii="Arial Narrow" w:eastAsia="Times New Roman" w:hAnsi="Arial Narrow" w:cs="Calibri"/>
                <w:b/>
                <w:bCs/>
                <w:color w:val="FFFFFF"/>
                <w:sz w:val="22"/>
                <w:szCs w:val="22"/>
                <w:lang w:val="es-CR"/>
              </w:rPr>
            </w:pPr>
            <w:r w:rsidRPr="0045790E">
              <w:rPr>
                <w:rFonts w:ascii="Arial Narrow" w:eastAsia="Times New Roman" w:hAnsi="Arial Narrow" w:cs="Calibri"/>
                <w:b/>
                <w:bCs/>
                <w:color w:val="FFFFFF"/>
                <w:sz w:val="22"/>
                <w:szCs w:val="22"/>
                <w:lang w:val="es-CR"/>
              </w:rPr>
              <w:t>Normativa técnica y disposiciones adicionales</w:t>
            </w:r>
          </w:p>
        </w:tc>
      </w:tr>
      <w:tr w:rsidR="0045790E" w:rsidRPr="0045790E" w14:paraId="0F8CEA27" w14:textId="77777777" w:rsidTr="00C12943">
        <w:trPr>
          <w:gridAfter w:val="1"/>
          <w:wAfter w:w="7" w:type="dxa"/>
          <w:trHeight w:val="57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6DB9E7" w14:textId="77777777" w:rsidR="0045790E" w:rsidRPr="0045790E" w:rsidRDefault="0045790E" w:rsidP="0045790E">
            <w:pPr>
              <w:jc w:val="center"/>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4</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1881CE8D" w14:textId="77777777" w:rsidR="0045790E" w:rsidRPr="0045790E" w:rsidRDefault="0045790E" w:rsidP="0045790E">
            <w:pPr>
              <w:jc w:val="center"/>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50</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46DDC5F9" w14:textId="77777777" w:rsidR="0045790E" w:rsidRPr="0045790E" w:rsidRDefault="0045790E" w:rsidP="0045790E">
            <w:pPr>
              <w:jc w:val="center"/>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0</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4500B7A0" w14:textId="77777777" w:rsidR="0045790E" w:rsidRPr="0045790E" w:rsidRDefault="0045790E" w:rsidP="0045790E">
            <w:pPr>
              <w:jc w:val="both"/>
              <w:rPr>
                <w:rFonts w:ascii="Arial Narrow" w:eastAsia="Times New Roman" w:hAnsi="Arial Narrow" w:cs="Calibri"/>
                <w:b/>
                <w:bCs/>
                <w:color w:val="000000"/>
                <w:sz w:val="22"/>
                <w:szCs w:val="22"/>
                <w:lang w:val="es-CR"/>
              </w:rPr>
            </w:pPr>
            <w:r w:rsidRPr="0045790E">
              <w:rPr>
                <w:rFonts w:ascii="Arial Narrow" w:eastAsia="Times New Roman" w:hAnsi="Arial Narrow" w:cs="Calibri"/>
                <w:b/>
                <w:bCs/>
                <w:color w:val="000000"/>
                <w:sz w:val="22"/>
                <w:szCs w:val="22"/>
                <w:lang w:val="es-CR"/>
              </w:rPr>
              <w:t>Información a revelar sobre arrendamientos operativos</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1B9658AD" w14:textId="77777777" w:rsidR="008D294D" w:rsidRDefault="0045790E" w:rsidP="0045790E">
            <w:pPr>
              <w:jc w:val="both"/>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NICSP N° 13,</w:t>
            </w:r>
          </w:p>
          <w:p w14:paraId="47914A9E" w14:textId="71D49B05" w:rsidR="0045790E" w:rsidRPr="0045790E" w:rsidRDefault="0045790E" w:rsidP="0045790E">
            <w:pPr>
              <w:jc w:val="both"/>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Párrafos 62 y 69.</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2BE872E8" w14:textId="77777777" w:rsidR="0045790E" w:rsidRPr="0045790E" w:rsidRDefault="0045790E" w:rsidP="0045790E">
            <w:pPr>
              <w:rPr>
                <w:rFonts w:ascii="Arial Narrow" w:eastAsia="Times New Roman" w:hAnsi="Arial Narrow" w:cs="Calibri"/>
                <w:b/>
                <w:bCs/>
                <w:color w:val="000000"/>
                <w:sz w:val="22"/>
                <w:szCs w:val="22"/>
              </w:rPr>
            </w:pPr>
            <w:r w:rsidRPr="0045790E">
              <w:rPr>
                <w:rFonts w:ascii="Arial Narrow" w:eastAsia="Times New Roman" w:hAnsi="Arial Narrow" w:cs="Calibri"/>
                <w:b/>
                <w:bCs/>
                <w:color w:val="000000"/>
                <w:sz w:val="22"/>
                <w:szCs w:val="22"/>
              </w:rPr>
              <w:t xml:space="preserve"> </w:t>
            </w:r>
          </w:p>
        </w:tc>
      </w:tr>
    </w:tbl>
    <w:p w14:paraId="3A355088" w14:textId="77777777" w:rsidR="0045790E" w:rsidRDefault="0045790E" w:rsidP="001D484B">
      <w:pPr>
        <w:pStyle w:val="Default"/>
        <w:ind w:left="1134" w:hanging="1134"/>
        <w:jc w:val="both"/>
        <w:rPr>
          <w:sz w:val="22"/>
          <w:szCs w:val="22"/>
          <w:lang w:val="es-CR"/>
        </w:rPr>
      </w:pPr>
    </w:p>
    <w:p w14:paraId="5F557C62" w14:textId="1E9951B0" w:rsidR="00C12943" w:rsidRDefault="00C12943" w:rsidP="001D484B">
      <w:pPr>
        <w:pStyle w:val="Default"/>
        <w:ind w:left="1134" w:hanging="1134"/>
        <w:jc w:val="both"/>
        <w:rPr>
          <w:rFonts w:eastAsia="Arial"/>
          <w:b/>
          <w:sz w:val="22"/>
          <w:szCs w:val="22"/>
        </w:rPr>
      </w:pPr>
      <w:r w:rsidRPr="00F02F9D">
        <w:rPr>
          <w:rFonts w:eastAsia="Arial"/>
          <w:b/>
          <w:sz w:val="22"/>
          <w:szCs w:val="22"/>
        </w:rPr>
        <w:t>Política Contable</w:t>
      </w:r>
    </w:p>
    <w:p w14:paraId="334A1FB9" w14:textId="77777777" w:rsidR="00C12943" w:rsidRDefault="00C12943" w:rsidP="001D484B">
      <w:pPr>
        <w:pStyle w:val="Default"/>
        <w:ind w:left="1134" w:hanging="1134"/>
        <w:jc w:val="both"/>
        <w:rPr>
          <w:sz w:val="22"/>
          <w:szCs w:val="22"/>
          <w:lang w:val="es-CR"/>
        </w:rPr>
      </w:pPr>
    </w:p>
    <w:p w14:paraId="4A61D884" w14:textId="2B445F8C" w:rsidR="0045790E" w:rsidRDefault="0045790E" w:rsidP="0045790E">
      <w:pPr>
        <w:pStyle w:val="Default"/>
        <w:ind w:left="1134" w:hanging="1134"/>
        <w:jc w:val="both"/>
        <w:rPr>
          <w:sz w:val="22"/>
          <w:szCs w:val="22"/>
          <w:lang w:val="es-CR"/>
        </w:rPr>
      </w:pPr>
      <w:r>
        <w:rPr>
          <w:sz w:val="22"/>
          <w:szCs w:val="22"/>
          <w:lang w:val="es-CR"/>
        </w:rPr>
        <w:t>4.50.0.01</w:t>
      </w:r>
      <w:r>
        <w:rPr>
          <w:sz w:val="22"/>
          <w:szCs w:val="22"/>
          <w:lang w:val="es-CR"/>
        </w:rPr>
        <w:tab/>
      </w:r>
      <w:r w:rsidRPr="0045790E">
        <w:rPr>
          <w:sz w:val="22"/>
          <w:szCs w:val="22"/>
          <w:lang w:val="es-CR"/>
        </w:rPr>
        <w:t>Los arrendadores revelarán la siguiente información sobre arrendamientos operativos:</w:t>
      </w:r>
    </w:p>
    <w:p w14:paraId="4F7C028B" w14:textId="77777777" w:rsidR="0045790E" w:rsidRPr="0045790E" w:rsidRDefault="0045790E" w:rsidP="0045790E">
      <w:pPr>
        <w:pStyle w:val="Default"/>
        <w:ind w:left="1134" w:hanging="1134"/>
        <w:jc w:val="both"/>
        <w:rPr>
          <w:sz w:val="22"/>
          <w:szCs w:val="22"/>
          <w:lang w:val="es-CR"/>
        </w:rPr>
      </w:pPr>
    </w:p>
    <w:p w14:paraId="40883CDF" w14:textId="77777777" w:rsidR="0045790E" w:rsidRDefault="0045790E">
      <w:pPr>
        <w:pStyle w:val="Default"/>
        <w:numPr>
          <w:ilvl w:val="0"/>
          <w:numId w:val="252"/>
        </w:numPr>
        <w:spacing w:after="120"/>
        <w:ind w:left="1418" w:hanging="284"/>
        <w:jc w:val="both"/>
        <w:rPr>
          <w:sz w:val="22"/>
          <w:szCs w:val="22"/>
          <w:lang w:val="es-CR"/>
        </w:rPr>
      </w:pPr>
      <w:r>
        <w:rPr>
          <w:sz w:val="22"/>
          <w:szCs w:val="22"/>
          <w:lang w:val="es-CR"/>
        </w:rPr>
        <w:t>E</w:t>
      </w:r>
      <w:r w:rsidRPr="0045790E">
        <w:rPr>
          <w:sz w:val="22"/>
          <w:szCs w:val="22"/>
          <w:lang w:val="es-CR"/>
        </w:rPr>
        <w:t>n Notas a su ESF, los activos afectados a arrendamientos operativos, de acuerdo con la naturaleza de tales bienes;</w:t>
      </w:r>
    </w:p>
    <w:p w14:paraId="2F6437CA" w14:textId="637A75D2" w:rsidR="0045790E" w:rsidRDefault="0045790E">
      <w:pPr>
        <w:pStyle w:val="Default"/>
        <w:numPr>
          <w:ilvl w:val="0"/>
          <w:numId w:val="252"/>
        </w:numPr>
        <w:spacing w:after="20"/>
        <w:ind w:left="1418" w:hanging="284"/>
        <w:jc w:val="both"/>
        <w:rPr>
          <w:sz w:val="22"/>
          <w:szCs w:val="22"/>
          <w:lang w:val="es-CR"/>
        </w:rPr>
      </w:pPr>
      <w:r w:rsidRPr="0045790E">
        <w:rPr>
          <w:sz w:val="22"/>
          <w:szCs w:val="22"/>
          <w:lang w:val="es-CR"/>
        </w:rPr>
        <w:t>El importe acumulado de los pagos mínimos futuros del arrendamiento, correspondientes a los arrendamientos operativos no cancelables, así como la distribución de dichos pagos futuros según los siguientes plazos:</w:t>
      </w:r>
    </w:p>
    <w:p w14:paraId="5FA46AB7" w14:textId="77777777" w:rsidR="0045790E" w:rsidRPr="0045790E" w:rsidRDefault="0045790E" w:rsidP="0045790E">
      <w:pPr>
        <w:pStyle w:val="Default"/>
        <w:spacing w:after="20"/>
        <w:ind w:left="1418"/>
        <w:jc w:val="both"/>
        <w:rPr>
          <w:sz w:val="22"/>
          <w:szCs w:val="22"/>
          <w:lang w:val="es-CR"/>
        </w:rPr>
      </w:pPr>
    </w:p>
    <w:p w14:paraId="1C07D1F6" w14:textId="63D4827C" w:rsidR="0045790E" w:rsidRPr="0045790E" w:rsidRDefault="0045790E">
      <w:pPr>
        <w:pStyle w:val="Default"/>
        <w:numPr>
          <w:ilvl w:val="1"/>
          <w:numId w:val="253"/>
        </w:numPr>
        <w:spacing w:after="120"/>
        <w:ind w:left="1843" w:hanging="284"/>
        <w:jc w:val="both"/>
        <w:rPr>
          <w:sz w:val="22"/>
          <w:szCs w:val="22"/>
          <w:lang w:val="es-CR"/>
        </w:rPr>
      </w:pPr>
      <w:r>
        <w:rPr>
          <w:sz w:val="22"/>
          <w:szCs w:val="22"/>
          <w:lang w:val="es-CR"/>
        </w:rPr>
        <w:t>H</w:t>
      </w:r>
      <w:r w:rsidRPr="0045790E">
        <w:rPr>
          <w:sz w:val="22"/>
          <w:szCs w:val="22"/>
          <w:lang w:val="es-CR"/>
        </w:rPr>
        <w:t xml:space="preserve">asta un año; </w:t>
      </w:r>
    </w:p>
    <w:p w14:paraId="730E7ED0" w14:textId="6165EC47" w:rsidR="0045790E" w:rsidRPr="0045790E" w:rsidRDefault="0045790E">
      <w:pPr>
        <w:pStyle w:val="Default"/>
        <w:numPr>
          <w:ilvl w:val="1"/>
          <w:numId w:val="253"/>
        </w:numPr>
        <w:spacing w:after="120"/>
        <w:ind w:left="1843" w:hanging="284"/>
        <w:jc w:val="both"/>
        <w:rPr>
          <w:sz w:val="22"/>
          <w:szCs w:val="22"/>
          <w:lang w:val="es-CR"/>
        </w:rPr>
      </w:pPr>
      <w:r>
        <w:rPr>
          <w:sz w:val="22"/>
          <w:szCs w:val="22"/>
          <w:lang w:val="es-CR"/>
        </w:rPr>
        <w:t>E</w:t>
      </w:r>
      <w:r w:rsidRPr="0045790E">
        <w:rPr>
          <w:sz w:val="22"/>
          <w:szCs w:val="22"/>
          <w:lang w:val="es-CR"/>
        </w:rPr>
        <w:t xml:space="preserve">ntre uno y cinco años; </w:t>
      </w:r>
    </w:p>
    <w:p w14:paraId="0E23F776" w14:textId="3A57C349" w:rsidR="0045790E" w:rsidRPr="0045790E" w:rsidRDefault="0045790E">
      <w:pPr>
        <w:pStyle w:val="Default"/>
        <w:numPr>
          <w:ilvl w:val="1"/>
          <w:numId w:val="253"/>
        </w:numPr>
        <w:ind w:left="1843" w:hanging="283"/>
        <w:jc w:val="both"/>
        <w:rPr>
          <w:sz w:val="22"/>
          <w:szCs w:val="22"/>
          <w:lang w:val="es-CR"/>
        </w:rPr>
      </w:pPr>
      <w:r>
        <w:rPr>
          <w:sz w:val="22"/>
          <w:szCs w:val="22"/>
          <w:lang w:val="es-CR"/>
        </w:rPr>
        <w:t>M</w:t>
      </w:r>
      <w:r w:rsidRPr="0045790E">
        <w:rPr>
          <w:sz w:val="22"/>
          <w:szCs w:val="22"/>
          <w:lang w:val="es-CR"/>
        </w:rPr>
        <w:t xml:space="preserve">ás de cinco años; </w:t>
      </w:r>
    </w:p>
    <w:p w14:paraId="14D93420" w14:textId="77777777" w:rsidR="0045790E" w:rsidRPr="0045790E" w:rsidRDefault="0045790E">
      <w:pPr>
        <w:pStyle w:val="Default"/>
        <w:numPr>
          <w:ilvl w:val="1"/>
          <w:numId w:val="251"/>
        </w:numPr>
        <w:jc w:val="both"/>
        <w:rPr>
          <w:sz w:val="22"/>
          <w:szCs w:val="22"/>
          <w:lang w:val="es-CR"/>
        </w:rPr>
      </w:pPr>
    </w:p>
    <w:p w14:paraId="72EA9B10" w14:textId="77777777" w:rsidR="009F6A44" w:rsidRDefault="0045790E">
      <w:pPr>
        <w:pStyle w:val="Default"/>
        <w:numPr>
          <w:ilvl w:val="0"/>
          <w:numId w:val="252"/>
        </w:numPr>
        <w:ind w:left="1418" w:hanging="284"/>
        <w:jc w:val="both"/>
        <w:rPr>
          <w:sz w:val="22"/>
          <w:szCs w:val="22"/>
          <w:lang w:val="es-CR"/>
        </w:rPr>
      </w:pPr>
      <w:r>
        <w:rPr>
          <w:sz w:val="22"/>
          <w:szCs w:val="22"/>
          <w:lang w:val="es-CR"/>
        </w:rPr>
        <w:t>E</w:t>
      </w:r>
      <w:r w:rsidRPr="0045790E">
        <w:rPr>
          <w:sz w:val="22"/>
          <w:szCs w:val="22"/>
          <w:lang w:val="es-CR"/>
        </w:rPr>
        <w:t xml:space="preserve">l total de las cuotas de carácter contingente reconocidas en el estado de rendimiento financiero del período; </w:t>
      </w:r>
    </w:p>
    <w:p w14:paraId="54AC6152" w14:textId="66EED191" w:rsidR="0045790E" w:rsidRPr="0045790E" w:rsidRDefault="0045790E" w:rsidP="009F6A44">
      <w:pPr>
        <w:pStyle w:val="Default"/>
        <w:ind w:left="1418"/>
        <w:jc w:val="both"/>
        <w:rPr>
          <w:sz w:val="22"/>
          <w:szCs w:val="22"/>
          <w:lang w:val="es-CR"/>
        </w:rPr>
      </w:pPr>
      <w:r w:rsidRPr="0045790E">
        <w:rPr>
          <w:sz w:val="22"/>
          <w:szCs w:val="22"/>
          <w:lang w:val="es-CR"/>
        </w:rPr>
        <w:t xml:space="preserve"> </w:t>
      </w:r>
    </w:p>
    <w:p w14:paraId="177ECC0A" w14:textId="64B57532" w:rsidR="0045790E" w:rsidRPr="0045790E" w:rsidRDefault="0045790E">
      <w:pPr>
        <w:pStyle w:val="Default"/>
        <w:numPr>
          <w:ilvl w:val="0"/>
          <w:numId w:val="252"/>
        </w:numPr>
        <w:spacing w:after="20"/>
        <w:ind w:left="1418" w:hanging="284"/>
        <w:jc w:val="both"/>
        <w:rPr>
          <w:sz w:val="22"/>
          <w:szCs w:val="22"/>
          <w:lang w:val="es-CR"/>
        </w:rPr>
      </w:pPr>
      <w:r>
        <w:rPr>
          <w:sz w:val="22"/>
          <w:szCs w:val="22"/>
          <w:lang w:val="es-CR"/>
        </w:rPr>
        <w:t>U</w:t>
      </w:r>
      <w:r w:rsidRPr="0045790E">
        <w:rPr>
          <w:sz w:val="22"/>
          <w:szCs w:val="22"/>
          <w:lang w:val="es-CR"/>
        </w:rPr>
        <w:t xml:space="preserve">na descripción general de las condiciones de los arrendamientos acordados. </w:t>
      </w:r>
    </w:p>
    <w:p w14:paraId="22DF7831" w14:textId="77777777" w:rsidR="0045790E" w:rsidRDefault="0045790E" w:rsidP="009E7101">
      <w:pPr>
        <w:pStyle w:val="Default"/>
        <w:ind w:left="1134" w:hanging="1134"/>
        <w:jc w:val="both"/>
        <w:rPr>
          <w:sz w:val="22"/>
          <w:szCs w:val="22"/>
          <w:lang w:val="es-CR"/>
        </w:rPr>
      </w:pPr>
    </w:p>
    <w:p w14:paraId="5488FA24" w14:textId="77777777" w:rsidR="00B209B4" w:rsidRDefault="00B209B4" w:rsidP="009E7101">
      <w:pPr>
        <w:pStyle w:val="Default"/>
        <w:ind w:left="1134" w:hanging="1134"/>
        <w:jc w:val="both"/>
        <w:rPr>
          <w:sz w:val="22"/>
          <w:szCs w:val="22"/>
          <w:lang w:val="es-CR"/>
        </w:rPr>
      </w:pPr>
    </w:p>
    <w:p w14:paraId="54951858" w14:textId="77777777" w:rsidR="0045790E" w:rsidRDefault="0045790E" w:rsidP="009E7101">
      <w:pPr>
        <w:pStyle w:val="Default"/>
        <w:ind w:left="1134" w:hanging="1134"/>
        <w:jc w:val="both"/>
        <w:rPr>
          <w:sz w:val="22"/>
          <w:szCs w:val="22"/>
          <w:lang w:val="es-CR"/>
        </w:rPr>
      </w:pPr>
    </w:p>
    <w:p w14:paraId="38C40593" w14:textId="780EB6BB" w:rsidR="0045790E" w:rsidRPr="00B942C1" w:rsidRDefault="00B209B4" w:rsidP="00B942C1">
      <w:pPr>
        <w:pStyle w:val="Ttulo2"/>
        <w:ind w:left="284"/>
        <w:rPr>
          <w:rFonts w:ascii="Arial" w:eastAsia="Arial" w:hAnsi="Arial" w:cs="Arial"/>
          <w:b/>
          <w:bCs/>
          <w:sz w:val="20"/>
          <w:szCs w:val="20"/>
          <w:lang w:val="es-CR"/>
        </w:rPr>
      </w:pPr>
      <w:bookmarkStart w:id="135" w:name="_Toc172726270"/>
      <w:r w:rsidRPr="00B942C1">
        <w:rPr>
          <w:rFonts w:ascii="Arial" w:eastAsia="Arial" w:hAnsi="Arial" w:cs="Arial"/>
          <w:b/>
          <w:bCs/>
          <w:sz w:val="20"/>
          <w:szCs w:val="20"/>
          <w:lang w:val="es-CR"/>
        </w:rPr>
        <w:t>Ingresos por instrumentos financieros</w:t>
      </w:r>
      <w:bookmarkEnd w:id="135"/>
    </w:p>
    <w:p w14:paraId="6A6DF625" w14:textId="77777777" w:rsidR="0045790E" w:rsidRDefault="0045790E" w:rsidP="001D484B">
      <w:pPr>
        <w:pStyle w:val="Default"/>
        <w:ind w:left="1134" w:hanging="1134"/>
        <w:jc w:val="both"/>
        <w:rPr>
          <w:sz w:val="22"/>
          <w:szCs w:val="22"/>
          <w:lang w:val="es-CR"/>
        </w:rPr>
      </w:pPr>
    </w:p>
    <w:tbl>
      <w:tblPr>
        <w:tblW w:w="9246" w:type="dxa"/>
        <w:tblInd w:w="118" w:type="dxa"/>
        <w:tblLayout w:type="fixed"/>
        <w:tblLook w:val="04A0" w:firstRow="1" w:lastRow="0" w:firstColumn="1" w:lastColumn="0" w:noHBand="0" w:noVBand="1"/>
      </w:tblPr>
      <w:tblGrid>
        <w:gridCol w:w="439"/>
        <w:gridCol w:w="709"/>
        <w:gridCol w:w="425"/>
        <w:gridCol w:w="3689"/>
        <w:gridCol w:w="2123"/>
        <w:gridCol w:w="1861"/>
      </w:tblGrid>
      <w:tr w:rsidR="008A517B" w:rsidRPr="008A517B" w14:paraId="07D088A1" w14:textId="77777777" w:rsidTr="00C12943">
        <w:trPr>
          <w:trHeight w:val="300"/>
        </w:trPr>
        <w:tc>
          <w:tcPr>
            <w:tcW w:w="157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E8B3C3D" w14:textId="77777777" w:rsidR="008A517B" w:rsidRPr="008A517B" w:rsidRDefault="008A517B" w:rsidP="008A517B">
            <w:pPr>
              <w:jc w:val="center"/>
              <w:rPr>
                <w:rFonts w:ascii="Arial Narrow" w:eastAsia="Times New Roman" w:hAnsi="Arial Narrow" w:cs="Calibri"/>
                <w:b/>
                <w:bCs/>
                <w:color w:val="FFFFFF"/>
                <w:sz w:val="22"/>
                <w:szCs w:val="22"/>
              </w:rPr>
            </w:pPr>
            <w:r w:rsidRPr="008A517B">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1E92C8CD" w14:textId="77777777" w:rsidR="008A517B" w:rsidRPr="008A517B" w:rsidRDefault="008A517B" w:rsidP="008A517B">
            <w:pPr>
              <w:jc w:val="center"/>
              <w:rPr>
                <w:rFonts w:ascii="Arial Narrow" w:eastAsia="Times New Roman" w:hAnsi="Arial Narrow" w:cs="Calibri"/>
                <w:b/>
                <w:bCs/>
                <w:color w:val="FFFFFF"/>
                <w:sz w:val="22"/>
                <w:szCs w:val="22"/>
              </w:rPr>
            </w:pPr>
            <w:r w:rsidRPr="008A517B">
              <w:rPr>
                <w:rFonts w:ascii="Arial Narrow" w:eastAsia="Times New Roman" w:hAnsi="Arial Narrow" w:cs="Calibri"/>
                <w:b/>
                <w:bCs/>
                <w:color w:val="FFFFFF"/>
                <w:sz w:val="22"/>
                <w:szCs w:val="22"/>
              </w:rPr>
              <w:t>Concepto</w:t>
            </w:r>
          </w:p>
        </w:tc>
        <w:tc>
          <w:tcPr>
            <w:tcW w:w="3984" w:type="dxa"/>
            <w:gridSpan w:val="2"/>
            <w:tcBorders>
              <w:top w:val="single" w:sz="8" w:space="0" w:color="auto"/>
              <w:left w:val="nil"/>
              <w:bottom w:val="single" w:sz="8" w:space="0" w:color="auto"/>
              <w:right w:val="single" w:sz="8" w:space="0" w:color="000000"/>
            </w:tcBorders>
            <w:shd w:val="clear" w:color="000000" w:fill="203764"/>
            <w:vAlign w:val="center"/>
            <w:hideMark/>
          </w:tcPr>
          <w:p w14:paraId="002E35BF" w14:textId="77777777" w:rsidR="008A517B" w:rsidRPr="008A517B" w:rsidRDefault="008A517B" w:rsidP="008A517B">
            <w:pPr>
              <w:jc w:val="center"/>
              <w:rPr>
                <w:rFonts w:ascii="Arial Narrow" w:eastAsia="Times New Roman" w:hAnsi="Arial Narrow" w:cs="Calibri"/>
                <w:b/>
                <w:bCs/>
                <w:color w:val="FFFFFF"/>
                <w:sz w:val="22"/>
                <w:szCs w:val="22"/>
              </w:rPr>
            </w:pPr>
            <w:r w:rsidRPr="008A517B">
              <w:rPr>
                <w:rFonts w:ascii="Arial Narrow" w:eastAsia="Times New Roman" w:hAnsi="Arial Narrow" w:cs="Calibri"/>
                <w:b/>
                <w:bCs/>
                <w:color w:val="FFFFFF"/>
                <w:sz w:val="22"/>
                <w:szCs w:val="22"/>
              </w:rPr>
              <w:t>Referencia</w:t>
            </w:r>
          </w:p>
        </w:tc>
      </w:tr>
      <w:tr w:rsidR="008A517B" w:rsidRPr="006E5442" w14:paraId="76D3E592" w14:textId="77777777" w:rsidTr="00C12943">
        <w:trPr>
          <w:trHeight w:val="850"/>
        </w:trPr>
        <w:tc>
          <w:tcPr>
            <w:tcW w:w="1573" w:type="dxa"/>
            <w:gridSpan w:val="3"/>
            <w:vMerge/>
            <w:tcBorders>
              <w:top w:val="single" w:sz="8" w:space="0" w:color="auto"/>
              <w:left w:val="single" w:sz="8" w:space="0" w:color="auto"/>
              <w:bottom w:val="nil"/>
              <w:right w:val="single" w:sz="8" w:space="0" w:color="000000"/>
            </w:tcBorders>
            <w:vAlign w:val="center"/>
            <w:hideMark/>
          </w:tcPr>
          <w:p w14:paraId="66162A5B" w14:textId="77777777" w:rsidR="008A517B" w:rsidRPr="008A517B" w:rsidRDefault="008A517B" w:rsidP="008A517B">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7B63D12B" w14:textId="77777777" w:rsidR="008A517B" w:rsidRPr="008A517B" w:rsidRDefault="008A517B" w:rsidP="008A517B">
            <w:pPr>
              <w:rPr>
                <w:rFonts w:ascii="Arial Narrow" w:eastAsia="Times New Roman" w:hAnsi="Arial Narrow" w:cs="Calibri"/>
                <w:b/>
                <w:bCs/>
                <w:color w:val="FFFFFF"/>
                <w:sz w:val="22"/>
                <w:szCs w:val="22"/>
              </w:rPr>
            </w:pPr>
          </w:p>
        </w:tc>
        <w:tc>
          <w:tcPr>
            <w:tcW w:w="2123" w:type="dxa"/>
            <w:tcBorders>
              <w:top w:val="nil"/>
              <w:left w:val="nil"/>
              <w:bottom w:val="nil"/>
              <w:right w:val="single" w:sz="8" w:space="0" w:color="auto"/>
            </w:tcBorders>
            <w:shd w:val="clear" w:color="000000" w:fill="203764"/>
            <w:vAlign w:val="center"/>
            <w:hideMark/>
          </w:tcPr>
          <w:p w14:paraId="3F5C53A9" w14:textId="77777777" w:rsidR="008A517B" w:rsidRPr="008A517B" w:rsidRDefault="008A517B" w:rsidP="008A517B">
            <w:pPr>
              <w:jc w:val="center"/>
              <w:rPr>
                <w:rFonts w:ascii="Arial Narrow" w:eastAsia="Times New Roman" w:hAnsi="Arial Narrow" w:cs="Calibri"/>
                <w:b/>
                <w:bCs/>
                <w:color w:val="FFFFFF"/>
                <w:sz w:val="22"/>
                <w:szCs w:val="22"/>
              </w:rPr>
            </w:pPr>
            <w:r w:rsidRPr="008A517B">
              <w:rPr>
                <w:rFonts w:ascii="Arial Narrow" w:eastAsia="Times New Roman" w:hAnsi="Arial Narrow" w:cs="Calibri"/>
                <w:b/>
                <w:bCs/>
                <w:color w:val="FFFFFF"/>
                <w:sz w:val="22"/>
                <w:szCs w:val="22"/>
              </w:rPr>
              <w:t>Norma</w:t>
            </w:r>
          </w:p>
        </w:tc>
        <w:tc>
          <w:tcPr>
            <w:tcW w:w="1856" w:type="dxa"/>
            <w:tcBorders>
              <w:top w:val="nil"/>
              <w:left w:val="nil"/>
              <w:bottom w:val="nil"/>
              <w:right w:val="single" w:sz="8" w:space="0" w:color="auto"/>
            </w:tcBorders>
            <w:shd w:val="clear" w:color="000000" w:fill="203764"/>
            <w:vAlign w:val="center"/>
            <w:hideMark/>
          </w:tcPr>
          <w:p w14:paraId="540249BE" w14:textId="77777777" w:rsidR="008A517B" w:rsidRPr="008A517B" w:rsidRDefault="008A517B" w:rsidP="008A517B">
            <w:pPr>
              <w:jc w:val="center"/>
              <w:rPr>
                <w:rFonts w:ascii="Arial Narrow" w:eastAsia="Times New Roman" w:hAnsi="Arial Narrow" w:cs="Calibri"/>
                <w:b/>
                <w:bCs/>
                <w:color w:val="FFFFFF"/>
                <w:sz w:val="22"/>
                <w:szCs w:val="22"/>
                <w:lang w:val="es-CR"/>
              </w:rPr>
            </w:pPr>
            <w:r w:rsidRPr="008A517B">
              <w:rPr>
                <w:rFonts w:ascii="Arial Narrow" w:eastAsia="Times New Roman" w:hAnsi="Arial Narrow" w:cs="Calibri"/>
                <w:b/>
                <w:bCs/>
                <w:color w:val="FFFFFF"/>
                <w:sz w:val="22"/>
                <w:szCs w:val="22"/>
                <w:lang w:val="es-CR"/>
              </w:rPr>
              <w:t>Normativa técnica y disposiciones adicionales</w:t>
            </w:r>
          </w:p>
        </w:tc>
      </w:tr>
      <w:tr w:rsidR="008A517B" w:rsidRPr="008A517B" w14:paraId="3D08F55F" w14:textId="77777777" w:rsidTr="00C12943">
        <w:trPr>
          <w:trHeight w:val="57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1B134B" w14:textId="77777777" w:rsidR="008A517B" w:rsidRPr="008A517B" w:rsidRDefault="008A517B" w:rsidP="008A517B">
            <w:pPr>
              <w:jc w:val="center"/>
              <w:rPr>
                <w:rFonts w:ascii="Arial Narrow" w:eastAsia="Times New Roman" w:hAnsi="Arial Narrow" w:cs="Calibri"/>
                <w:b/>
                <w:bCs/>
                <w:color w:val="000000"/>
                <w:sz w:val="22"/>
                <w:szCs w:val="22"/>
              </w:rPr>
            </w:pPr>
            <w:r w:rsidRPr="008A517B">
              <w:rPr>
                <w:rFonts w:ascii="Arial Narrow" w:eastAsia="Times New Roman" w:hAnsi="Arial Narrow" w:cs="Calibri"/>
                <w:b/>
                <w:bCs/>
                <w:color w:val="000000"/>
                <w:sz w:val="22"/>
                <w:szCs w:val="22"/>
              </w:rPr>
              <w:t>4</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3BBFE476" w14:textId="77777777" w:rsidR="008A517B" w:rsidRPr="008A517B" w:rsidRDefault="008A517B" w:rsidP="008A517B">
            <w:pPr>
              <w:jc w:val="center"/>
              <w:rPr>
                <w:rFonts w:ascii="Arial Narrow" w:eastAsia="Times New Roman" w:hAnsi="Arial Narrow" w:cs="Calibri"/>
                <w:b/>
                <w:bCs/>
                <w:color w:val="000000"/>
                <w:sz w:val="22"/>
                <w:szCs w:val="22"/>
              </w:rPr>
            </w:pPr>
            <w:r w:rsidRPr="008A517B">
              <w:rPr>
                <w:rFonts w:ascii="Arial Narrow" w:eastAsia="Times New Roman" w:hAnsi="Arial Narrow" w:cs="Calibri"/>
                <w:b/>
                <w:bCs/>
                <w:color w:val="000000"/>
                <w:sz w:val="22"/>
                <w:szCs w:val="22"/>
              </w:rPr>
              <w:t>52</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4BAC4FE5" w14:textId="61B60873" w:rsidR="008A517B" w:rsidRPr="008A517B" w:rsidRDefault="008A517B" w:rsidP="008A517B">
            <w:pPr>
              <w:jc w:val="center"/>
              <w:rPr>
                <w:rFonts w:ascii="Arial Narrow" w:eastAsia="Times New Roman" w:hAnsi="Arial Narrow" w:cs="Calibri"/>
                <w:b/>
                <w:bCs/>
                <w:color w:val="000000"/>
                <w:sz w:val="22"/>
                <w:szCs w:val="22"/>
              </w:rPr>
            </w:pP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2C81D38B" w14:textId="77777777" w:rsidR="008A517B" w:rsidRPr="008A517B" w:rsidRDefault="008A517B" w:rsidP="008A517B">
            <w:pPr>
              <w:jc w:val="both"/>
              <w:rPr>
                <w:rFonts w:ascii="Arial Narrow" w:eastAsia="Times New Roman" w:hAnsi="Arial Narrow" w:cs="Calibri"/>
                <w:b/>
                <w:bCs/>
                <w:color w:val="000000"/>
                <w:sz w:val="22"/>
                <w:szCs w:val="22"/>
                <w:lang w:val="es-CR"/>
              </w:rPr>
            </w:pPr>
            <w:r w:rsidRPr="008A517B">
              <w:rPr>
                <w:rFonts w:ascii="Arial Narrow" w:eastAsia="Times New Roman" w:hAnsi="Arial Narrow" w:cs="Calibri"/>
                <w:b/>
                <w:bCs/>
                <w:color w:val="000000"/>
                <w:sz w:val="22"/>
                <w:szCs w:val="22"/>
                <w:lang w:val="es-CR"/>
              </w:rPr>
              <w:t>Efectos de la baja en cuentas de un activo financiero</w:t>
            </w:r>
          </w:p>
        </w:tc>
        <w:tc>
          <w:tcPr>
            <w:tcW w:w="2123" w:type="dxa"/>
            <w:tcBorders>
              <w:top w:val="single" w:sz="8" w:space="0" w:color="auto"/>
              <w:left w:val="nil"/>
              <w:bottom w:val="single" w:sz="8" w:space="0" w:color="auto"/>
              <w:right w:val="single" w:sz="8" w:space="0" w:color="auto"/>
            </w:tcBorders>
            <w:shd w:val="clear" w:color="auto" w:fill="auto"/>
            <w:vAlign w:val="center"/>
            <w:hideMark/>
          </w:tcPr>
          <w:p w14:paraId="195CD584" w14:textId="77777777" w:rsidR="008D294D" w:rsidRDefault="008A517B" w:rsidP="008A517B">
            <w:pPr>
              <w:jc w:val="both"/>
              <w:rPr>
                <w:rFonts w:ascii="Arial Narrow" w:eastAsia="Times New Roman" w:hAnsi="Arial Narrow" w:cs="Calibri"/>
                <w:b/>
                <w:bCs/>
                <w:color w:val="000000"/>
                <w:sz w:val="22"/>
                <w:szCs w:val="22"/>
              </w:rPr>
            </w:pPr>
            <w:r w:rsidRPr="008A517B">
              <w:rPr>
                <w:rFonts w:ascii="Arial Narrow" w:eastAsia="Times New Roman" w:hAnsi="Arial Narrow" w:cs="Calibri"/>
                <w:b/>
                <w:bCs/>
                <w:color w:val="000000"/>
                <w:sz w:val="22"/>
                <w:szCs w:val="22"/>
              </w:rPr>
              <w:t>NICSP N° 29,</w:t>
            </w:r>
          </w:p>
          <w:p w14:paraId="0B9D3CB0" w14:textId="1977EEA4" w:rsidR="008A517B" w:rsidRPr="008A517B" w:rsidRDefault="008A517B" w:rsidP="008A517B">
            <w:pPr>
              <w:jc w:val="both"/>
              <w:rPr>
                <w:rFonts w:ascii="Arial Narrow" w:eastAsia="Times New Roman" w:hAnsi="Arial Narrow" w:cs="Calibri"/>
                <w:b/>
                <w:bCs/>
                <w:color w:val="000000"/>
                <w:sz w:val="22"/>
                <w:szCs w:val="22"/>
              </w:rPr>
            </w:pPr>
            <w:r w:rsidRPr="008A517B">
              <w:rPr>
                <w:rFonts w:ascii="Arial Narrow" w:eastAsia="Times New Roman" w:hAnsi="Arial Narrow" w:cs="Calibri"/>
                <w:b/>
                <w:bCs/>
                <w:color w:val="000000"/>
                <w:sz w:val="22"/>
                <w:szCs w:val="22"/>
              </w:rPr>
              <w:t>Párrafo 28.</w:t>
            </w:r>
          </w:p>
        </w:tc>
        <w:tc>
          <w:tcPr>
            <w:tcW w:w="1856" w:type="dxa"/>
            <w:tcBorders>
              <w:top w:val="single" w:sz="8" w:space="0" w:color="auto"/>
              <w:left w:val="nil"/>
              <w:bottom w:val="single" w:sz="8" w:space="0" w:color="auto"/>
              <w:right w:val="single" w:sz="8" w:space="0" w:color="auto"/>
            </w:tcBorders>
            <w:shd w:val="clear" w:color="auto" w:fill="auto"/>
            <w:vAlign w:val="center"/>
            <w:hideMark/>
          </w:tcPr>
          <w:p w14:paraId="2A2DE077" w14:textId="77777777" w:rsidR="008A517B" w:rsidRPr="008A517B" w:rsidRDefault="008A517B" w:rsidP="008A517B">
            <w:pPr>
              <w:rPr>
                <w:rFonts w:ascii="Arial Narrow" w:eastAsia="Times New Roman" w:hAnsi="Arial Narrow" w:cs="Calibri"/>
                <w:b/>
                <w:bCs/>
                <w:color w:val="000000"/>
                <w:sz w:val="22"/>
                <w:szCs w:val="22"/>
              </w:rPr>
            </w:pPr>
            <w:r w:rsidRPr="008A517B">
              <w:rPr>
                <w:rFonts w:ascii="Arial Narrow" w:eastAsia="Times New Roman" w:hAnsi="Arial Narrow" w:cs="Calibri"/>
                <w:b/>
                <w:bCs/>
                <w:color w:val="000000"/>
                <w:sz w:val="22"/>
                <w:szCs w:val="22"/>
              </w:rPr>
              <w:t xml:space="preserve"> </w:t>
            </w:r>
          </w:p>
        </w:tc>
      </w:tr>
    </w:tbl>
    <w:p w14:paraId="603D10D4" w14:textId="77777777" w:rsidR="0045790E" w:rsidRDefault="0045790E" w:rsidP="001D484B">
      <w:pPr>
        <w:pStyle w:val="Default"/>
        <w:ind w:left="1134" w:hanging="1134"/>
        <w:jc w:val="both"/>
        <w:rPr>
          <w:sz w:val="22"/>
          <w:szCs w:val="22"/>
          <w:lang w:val="es-CR"/>
        </w:rPr>
      </w:pPr>
    </w:p>
    <w:p w14:paraId="67CE9C0D" w14:textId="0D6EE628" w:rsidR="00C12943" w:rsidRDefault="00C12943" w:rsidP="001D484B">
      <w:pPr>
        <w:pStyle w:val="Default"/>
        <w:ind w:left="1134" w:hanging="1134"/>
        <w:jc w:val="both"/>
        <w:rPr>
          <w:rFonts w:eastAsia="Arial"/>
          <w:b/>
          <w:sz w:val="22"/>
          <w:szCs w:val="22"/>
        </w:rPr>
      </w:pPr>
      <w:r w:rsidRPr="00F02F9D">
        <w:rPr>
          <w:rFonts w:eastAsia="Arial"/>
          <w:b/>
          <w:sz w:val="22"/>
          <w:szCs w:val="22"/>
        </w:rPr>
        <w:t>Política Contable</w:t>
      </w:r>
    </w:p>
    <w:p w14:paraId="3605DC68" w14:textId="77777777" w:rsidR="00C12943" w:rsidRDefault="00C12943" w:rsidP="001D484B">
      <w:pPr>
        <w:pStyle w:val="Default"/>
        <w:ind w:left="1134" w:hanging="1134"/>
        <w:jc w:val="both"/>
        <w:rPr>
          <w:sz w:val="22"/>
          <w:szCs w:val="22"/>
          <w:lang w:val="es-CR"/>
        </w:rPr>
      </w:pPr>
    </w:p>
    <w:p w14:paraId="2DC8A820" w14:textId="5F1080DF" w:rsidR="008A517B" w:rsidRPr="008A517B" w:rsidRDefault="008A517B" w:rsidP="008A517B">
      <w:pPr>
        <w:pStyle w:val="Default"/>
        <w:ind w:left="1134" w:hanging="1134"/>
        <w:jc w:val="both"/>
        <w:rPr>
          <w:sz w:val="22"/>
          <w:szCs w:val="22"/>
          <w:lang w:val="es-CR"/>
        </w:rPr>
      </w:pPr>
      <w:r>
        <w:rPr>
          <w:sz w:val="22"/>
          <w:szCs w:val="22"/>
          <w:lang w:val="es-CR"/>
        </w:rPr>
        <w:t>4.5.0.01</w:t>
      </w:r>
      <w:r>
        <w:rPr>
          <w:sz w:val="22"/>
          <w:szCs w:val="22"/>
          <w:lang w:val="es-CR"/>
        </w:rPr>
        <w:tab/>
      </w:r>
      <w:r w:rsidRPr="008A517B">
        <w:rPr>
          <w:sz w:val="22"/>
          <w:szCs w:val="22"/>
          <w:lang w:val="es-CR"/>
        </w:rPr>
        <w:t>Al dar de baja en cuentas un activo financiero, se reconocerá en el resultado del ejercicio la diferencia entre:</w:t>
      </w:r>
    </w:p>
    <w:p w14:paraId="05E6AA3F" w14:textId="77777777" w:rsidR="008A517B" w:rsidRPr="00627673" w:rsidRDefault="008A517B" w:rsidP="008A517B">
      <w:pPr>
        <w:spacing w:line="276" w:lineRule="exact"/>
        <w:rPr>
          <w:rFonts w:ascii="Times New Roman" w:eastAsia="Times New Roman" w:hAnsi="Times New Roman"/>
          <w:lang w:val="es-CR"/>
        </w:rPr>
      </w:pPr>
    </w:p>
    <w:p w14:paraId="7D1DE576" w14:textId="6AB9A9F4" w:rsidR="008A517B" w:rsidRPr="008A517B" w:rsidRDefault="008A517B">
      <w:pPr>
        <w:pStyle w:val="Prrafodelista"/>
        <w:numPr>
          <w:ilvl w:val="0"/>
          <w:numId w:val="254"/>
        </w:numPr>
        <w:spacing w:after="120" w:line="0" w:lineRule="atLeast"/>
        <w:ind w:left="1418" w:hanging="284"/>
        <w:contextualSpacing w:val="0"/>
        <w:rPr>
          <w:rFonts w:ascii="Arial" w:eastAsia="Arial" w:hAnsi="Arial"/>
          <w:bCs/>
          <w:sz w:val="22"/>
          <w:szCs w:val="22"/>
        </w:rPr>
      </w:pPr>
      <w:r w:rsidRPr="008A517B">
        <w:rPr>
          <w:rFonts w:ascii="Arial" w:eastAsia="Arial" w:hAnsi="Arial"/>
          <w:bCs/>
          <w:sz w:val="22"/>
          <w:szCs w:val="22"/>
        </w:rPr>
        <w:t>Su importe en libros, y</w:t>
      </w:r>
    </w:p>
    <w:p w14:paraId="2A771E5B" w14:textId="44B60D07" w:rsidR="008A517B" w:rsidRPr="008A517B" w:rsidRDefault="008A517B">
      <w:pPr>
        <w:pStyle w:val="Prrafodelista"/>
        <w:numPr>
          <w:ilvl w:val="0"/>
          <w:numId w:val="254"/>
        </w:numPr>
        <w:spacing w:after="120" w:line="0" w:lineRule="atLeast"/>
        <w:ind w:left="1418" w:hanging="284"/>
        <w:contextualSpacing w:val="0"/>
        <w:rPr>
          <w:rFonts w:ascii="Arial" w:eastAsia="Arial" w:hAnsi="Arial"/>
          <w:bCs/>
          <w:sz w:val="22"/>
          <w:szCs w:val="22"/>
        </w:rPr>
      </w:pPr>
      <w:r w:rsidRPr="008A517B">
        <w:rPr>
          <w:rFonts w:ascii="Arial" w:eastAsia="Arial" w:hAnsi="Arial"/>
          <w:bCs/>
          <w:sz w:val="22"/>
          <w:szCs w:val="22"/>
        </w:rPr>
        <w:t>La suma de:</w:t>
      </w:r>
    </w:p>
    <w:p w14:paraId="0C9266DA" w14:textId="4730D4C0" w:rsidR="008A517B" w:rsidRPr="008A517B" w:rsidRDefault="008A517B">
      <w:pPr>
        <w:pStyle w:val="Prrafodelista"/>
        <w:numPr>
          <w:ilvl w:val="0"/>
          <w:numId w:val="255"/>
        </w:numPr>
        <w:spacing w:after="120" w:line="236" w:lineRule="auto"/>
        <w:ind w:left="1843" w:right="280" w:hanging="283"/>
        <w:contextualSpacing w:val="0"/>
        <w:rPr>
          <w:rFonts w:ascii="Arial" w:eastAsia="Arial" w:hAnsi="Arial"/>
          <w:bCs/>
          <w:sz w:val="22"/>
          <w:szCs w:val="22"/>
          <w:lang w:val="es-CR"/>
        </w:rPr>
      </w:pPr>
      <w:r w:rsidRPr="008A517B">
        <w:rPr>
          <w:rFonts w:ascii="Arial" w:eastAsia="Arial" w:hAnsi="Arial"/>
          <w:bCs/>
          <w:sz w:val="22"/>
          <w:szCs w:val="22"/>
          <w:lang w:val="es-CR"/>
        </w:rPr>
        <w:t>La contraprestación recibida (incluyendo cualquier nuevo activo obtenido menos cualquier pasivo asumido); y</w:t>
      </w:r>
    </w:p>
    <w:p w14:paraId="67806C85" w14:textId="2897E8AA" w:rsidR="008A517B" w:rsidRPr="008A517B" w:rsidRDefault="008A517B">
      <w:pPr>
        <w:pStyle w:val="Prrafodelista"/>
        <w:numPr>
          <w:ilvl w:val="0"/>
          <w:numId w:val="255"/>
        </w:numPr>
        <w:spacing w:line="236" w:lineRule="auto"/>
        <w:ind w:left="1843" w:right="260" w:hanging="283"/>
        <w:rPr>
          <w:rFonts w:ascii="Arial" w:eastAsia="Arial" w:hAnsi="Arial"/>
          <w:bCs/>
          <w:sz w:val="22"/>
          <w:szCs w:val="22"/>
          <w:lang w:val="es-CR"/>
        </w:rPr>
      </w:pPr>
      <w:r w:rsidRPr="008A517B">
        <w:rPr>
          <w:rFonts w:ascii="Arial" w:eastAsia="Arial" w:hAnsi="Arial"/>
          <w:bCs/>
          <w:sz w:val="22"/>
          <w:szCs w:val="22"/>
          <w:lang w:val="es-CR"/>
        </w:rPr>
        <w:lastRenderedPageBreak/>
        <w:t>Todos los resultados acumulados que hayan sido reconocidos directamente en el patrimonio.</w:t>
      </w:r>
    </w:p>
    <w:p w14:paraId="03E1D9F6" w14:textId="77777777" w:rsidR="009E7101" w:rsidRDefault="009E7101" w:rsidP="006E54C7">
      <w:pPr>
        <w:pStyle w:val="Default"/>
        <w:jc w:val="both"/>
        <w:rPr>
          <w:sz w:val="22"/>
          <w:szCs w:val="22"/>
          <w:lang w:val="es-CR"/>
        </w:rPr>
      </w:pPr>
    </w:p>
    <w:p w14:paraId="06E34EFB" w14:textId="77777777" w:rsidR="009E7101" w:rsidRDefault="009E7101" w:rsidP="001D484B">
      <w:pPr>
        <w:pStyle w:val="Default"/>
        <w:ind w:left="1134" w:hanging="1134"/>
        <w:jc w:val="both"/>
        <w:rPr>
          <w:sz w:val="22"/>
          <w:szCs w:val="22"/>
          <w:lang w:val="es-CR"/>
        </w:rPr>
      </w:pPr>
    </w:p>
    <w:p w14:paraId="16831DB8" w14:textId="77777777" w:rsidR="006E54C7" w:rsidRDefault="006E54C7" w:rsidP="001D484B">
      <w:pPr>
        <w:pStyle w:val="Default"/>
        <w:ind w:left="1134" w:hanging="1134"/>
        <w:jc w:val="both"/>
        <w:rPr>
          <w:sz w:val="22"/>
          <w:szCs w:val="22"/>
          <w:lang w:val="es-CR"/>
        </w:rPr>
      </w:pPr>
    </w:p>
    <w:tbl>
      <w:tblPr>
        <w:tblW w:w="9246" w:type="dxa"/>
        <w:tblInd w:w="118" w:type="dxa"/>
        <w:tblLook w:val="04A0" w:firstRow="1" w:lastRow="0" w:firstColumn="1" w:lastColumn="0" w:noHBand="0" w:noVBand="1"/>
      </w:tblPr>
      <w:tblGrid>
        <w:gridCol w:w="439"/>
        <w:gridCol w:w="709"/>
        <w:gridCol w:w="425"/>
        <w:gridCol w:w="3691"/>
        <w:gridCol w:w="2121"/>
        <w:gridCol w:w="1854"/>
        <w:gridCol w:w="7"/>
      </w:tblGrid>
      <w:tr w:rsidR="00B278AE" w:rsidRPr="00B278AE" w14:paraId="0137BF51" w14:textId="77777777" w:rsidTr="006E54C7">
        <w:trPr>
          <w:trHeight w:val="300"/>
        </w:trPr>
        <w:tc>
          <w:tcPr>
            <w:tcW w:w="157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1FC3D84" w14:textId="77777777" w:rsidR="00B278AE" w:rsidRPr="00B278AE" w:rsidRDefault="00B278AE" w:rsidP="00B278AE">
            <w:pPr>
              <w:jc w:val="center"/>
              <w:rPr>
                <w:rFonts w:ascii="Arial Narrow" w:eastAsia="Times New Roman" w:hAnsi="Arial Narrow" w:cs="Calibri"/>
                <w:b/>
                <w:bCs/>
                <w:color w:val="FFFFFF"/>
                <w:sz w:val="22"/>
                <w:szCs w:val="22"/>
              </w:rPr>
            </w:pPr>
            <w:r w:rsidRPr="00B278AE">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74D0E204" w14:textId="77777777" w:rsidR="00B278AE" w:rsidRPr="00B278AE" w:rsidRDefault="00B278AE" w:rsidP="00B278AE">
            <w:pPr>
              <w:jc w:val="center"/>
              <w:rPr>
                <w:rFonts w:ascii="Arial Narrow" w:eastAsia="Times New Roman" w:hAnsi="Arial Narrow" w:cs="Calibri"/>
                <w:b/>
                <w:bCs/>
                <w:color w:val="FFFFFF"/>
                <w:sz w:val="22"/>
                <w:szCs w:val="22"/>
              </w:rPr>
            </w:pPr>
            <w:r w:rsidRPr="00B278AE">
              <w:rPr>
                <w:rFonts w:ascii="Arial Narrow" w:eastAsia="Times New Roman" w:hAnsi="Arial Narrow" w:cs="Calibri"/>
                <w:b/>
                <w:bCs/>
                <w:color w:val="FFFFFF"/>
                <w:sz w:val="22"/>
                <w:szCs w:val="22"/>
              </w:rPr>
              <w:t>Concepto</w:t>
            </w:r>
          </w:p>
        </w:tc>
        <w:tc>
          <w:tcPr>
            <w:tcW w:w="3982" w:type="dxa"/>
            <w:gridSpan w:val="3"/>
            <w:tcBorders>
              <w:top w:val="single" w:sz="8" w:space="0" w:color="auto"/>
              <w:left w:val="nil"/>
              <w:bottom w:val="single" w:sz="8" w:space="0" w:color="auto"/>
              <w:right w:val="single" w:sz="8" w:space="0" w:color="000000"/>
            </w:tcBorders>
            <w:shd w:val="clear" w:color="000000" w:fill="203764"/>
            <w:vAlign w:val="center"/>
            <w:hideMark/>
          </w:tcPr>
          <w:p w14:paraId="0C7BB768" w14:textId="77777777" w:rsidR="00B278AE" w:rsidRPr="00B278AE" w:rsidRDefault="00B278AE" w:rsidP="00B278AE">
            <w:pPr>
              <w:jc w:val="center"/>
              <w:rPr>
                <w:rFonts w:ascii="Arial Narrow" w:eastAsia="Times New Roman" w:hAnsi="Arial Narrow" w:cs="Calibri"/>
                <w:b/>
                <w:bCs/>
                <w:color w:val="FFFFFF"/>
                <w:sz w:val="22"/>
                <w:szCs w:val="22"/>
              </w:rPr>
            </w:pPr>
            <w:r w:rsidRPr="00B278AE">
              <w:rPr>
                <w:rFonts w:ascii="Arial Narrow" w:eastAsia="Times New Roman" w:hAnsi="Arial Narrow" w:cs="Calibri"/>
                <w:b/>
                <w:bCs/>
                <w:color w:val="FFFFFF"/>
                <w:sz w:val="22"/>
                <w:szCs w:val="22"/>
              </w:rPr>
              <w:t>Referencia</w:t>
            </w:r>
          </w:p>
        </w:tc>
      </w:tr>
      <w:tr w:rsidR="00B278AE" w:rsidRPr="006E5442" w14:paraId="56B127B4" w14:textId="77777777" w:rsidTr="006E54C7">
        <w:trPr>
          <w:gridAfter w:val="1"/>
          <w:wAfter w:w="7" w:type="dxa"/>
          <w:trHeight w:val="850"/>
        </w:trPr>
        <w:tc>
          <w:tcPr>
            <w:tcW w:w="1573" w:type="dxa"/>
            <w:gridSpan w:val="3"/>
            <w:vMerge/>
            <w:tcBorders>
              <w:top w:val="single" w:sz="8" w:space="0" w:color="auto"/>
              <w:left w:val="single" w:sz="8" w:space="0" w:color="auto"/>
              <w:bottom w:val="nil"/>
              <w:right w:val="single" w:sz="8" w:space="0" w:color="000000"/>
            </w:tcBorders>
            <w:vAlign w:val="center"/>
            <w:hideMark/>
          </w:tcPr>
          <w:p w14:paraId="52B3322F" w14:textId="77777777" w:rsidR="00B278AE" w:rsidRPr="00B278AE" w:rsidRDefault="00B278AE" w:rsidP="00B278AE">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3F9911E9" w14:textId="77777777" w:rsidR="00B278AE" w:rsidRPr="00B278AE" w:rsidRDefault="00B278AE" w:rsidP="00B278AE">
            <w:pPr>
              <w:rPr>
                <w:rFonts w:ascii="Arial Narrow" w:eastAsia="Times New Roman" w:hAnsi="Arial Narrow" w:cs="Calibri"/>
                <w:b/>
                <w:bCs/>
                <w:color w:val="FFFFFF"/>
                <w:sz w:val="22"/>
                <w:szCs w:val="22"/>
              </w:rPr>
            </w:pPr>
          </w:p>
        </w:tc>
        <w:tc>
          <w:tcPr>
            <w:tcW w:w="2121" w:type="dxa"/>
            <w:tcBorders>
              <w:top w:val="nil"/>
              <w:left w:val="nil"/>
              <w:bottom w:val="nil"/>
              <w:right w:val="single" w:sz="8" w:space="0" w:color="auto"/>
            </w:tcBorders>
            <w:shd w:val="clear" w:color="000000" w:fill="203764"/>
            <w:vAlign w:val="center"/>
            <w:hideMark/>
          </w:tcPr>
          <w:p w14:paraId="6E50FEF8" w14:textId="77777777" w:rsidR="00B278AE" w:rsidRPr="00B278AE" w:rsidRDefault="00B278AE" w:rsidP="00B278AE">
            <w:pPr>
              <w:jc w:val="center"/>
              <w:rPr>
                <w:rFonts w:ascii="Arial Narrow" w:eastAsia="Times New Roman" w:hAnsi="Arial Narrow" w:cs="Calibri"/>
                <w:b/>
                <w:bCs/>
                <w:color w:val="FFFFFF"/>
                <w:sz w:val="22"/>
                <w:szCs w:val="22"/>
              </w:rPr>
            </w:pPr>
            <w:r w:rsidRPr="00B278AE">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34525C71" w14:textId="77777777" w:rsidR="00B278AE" w:rsidRPr="00B278AE" w:rsidRDefault="00B278AE" w:rsidP="00B278AE">
            <w:pPr>
              <w:jc w:val="center"/>
              <w:rPr>
                <w:rFonts w:ascii="Arial Narrow" w:eastAsia="Times New Roman" w:hAnsi="Arial Narrow" w:cs="Calibri"/>
                <w:b/>
                <w:bCs/>
                <w:color w:val="FFFFFF"/>
                <w:sz w:val="22"/>
                <w:szCs w:val="22"/>
                <w:lang w:val="es-CR"/>
              </w:rPr>
            </w:pPr>
            <w:r w:rsidRPr="00B278AE">
              <w:rPr>
                <w:rFonts w:ascii="Arial Narrow" w:eastAsia="Times New Roman" w:hAnsi="Arial Narrow" w:cs="Calibri"/>
                <w:b/>
                <w:bCs/>
                <w:color w:val="FFFFFF"/>
                <w:sz w:val="22"/>
                <w:szCs w:val="22"/>
                <w:lang w:val="es-CR"/>
              </w:rPr>
              <w:t>Normativa técnica y disposiciones adicionales</w:t>
            </w:r>
          </w:p>
        </w:tc>
      </w:tr>
      <w:tr w:rsidR="00B278AE" w:rsidRPr="00B278AE" w14:paraId="6F4B6788" w14:textId="77777777" w:rsidTr="006E54C7">
        <w:trPr>
          <w:gridAfter w:val="1"/>
          <w:wAfter w:w="7" w:type="dxa"/>
          <w:trHeight w:val="57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CF742" w14:textId="77777777" w:rsidR="00B278AE" w:rsidRPr="00B278AE" w:rsidRDefault="00B278AE" w:rsidP="00B278AE">
            <w:pPr>
              <w:jc w:val="center"/>
              <w:rPr>
                <w:rFonts w:ascii="Arial Narrow" w:eastAsia="Times New Roman" w:hAnsi="Arial Narrow" w:cs="Calibri"/>
                <w:b/>
                <w:bCs/>
                <w:color w:val="000000"/>
                <w:sz w:val="22"/>
                <w:szCs w:val="22"/>
              </w:rPr>
            </w:pPr>
            <w:r w:rsidRPr="00B278AE">
              <w:rPr>
                <w:rFonts w:ascii="Arial Narrow" w:eastAsia="Times New Roman" w:hAnsi="Arial Narrow" w:cs="Calibri"/>
                <w:b/>
                <w:bCs/>
                <w:color w:val="000000"/>
                <w:sz w:val="22"/>
                <w:szCs w:val="22"/>
              </w:rPr>
              <w:t>4</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54B69B22" w14:textId="77777777" w:rsidR="00B278AE" w:rsidRPr="00B278AE" w:rsidRDefault="00B278AE" w:rsidP="00B278AE">
            <w:pPr>
              <w:jc w:val="center"/>
              <w:rPr>
                <w:rFonts w:ascii="Arial Narrow" w:eastAsia="Times New Roman" w:hAnsi="Arial Narrow" w:cs="Calibri"/>
                <w:b/>
                <w:bCs/>
                <w:color w:val="000000"/>
                <w:sz w:val="22"/>
                <w:szCs w:val="22"/>
              </w:rPr>
            </w:pPr>
            <w:r w:rsidRPr="00B278AE">
              <w:rPr>
                <w:rFonts w:ascii="Arial Narrow" w:eastAsia="Times New Roman" w:hAnsi="Arial Narrow" w:cs="Calibri"/>
                <w:b/>
                <w:bCs/>
                <w:color w:val="000000"/>
                <w:sz w:val="22"/>
                <w:szCs w:val="22"/>
              </w:rPr>
              <w:t>54</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7C6A405D" w14:textId="6221731F" w:rsidR="00B278AE" w:rsidRPr="00B278AE" w:rsidRDefault="00B278AE" w:rsidP="00B278AE">
            <w:pPr>
              <w:jc w:val="center"/>
              <w:rPr>
                <w:rFonts w:ascii="Arial Narrow" w:eastAsia="Times New Roman" w:hAnsi="Arial Narrow" w:cs="Calibri"/>
                <w:b/>
                <w:bCs/>
                <w:color w:val="000000"/>
                <w:sz w:val="22"/>
                <w:szCs w:val="22"/>
              </w:rPr>
            </w:pP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133427E6" w14:textId="77777777" w:rsidR="00B278AE" w:rsidRPr="00B278AE" w:rsidRDefault="00B278AE" w:rsidP="00B278AE">
            <w:pPr>
              <w:jc w:val="both"/>
              <w:rPr>
                <w:rFonts w:ascii="Arial Narrow" w:eastAsia="Times New Roman" w:hAnsi="Arial Narrow" w:cs="Calibri"/>
                <w:b/>
                <w:bCs/>
                <w:color w:val="000000"/>
                <w:sz w:val="22"/>
                <w:szCs w:val="22"/>
                <w:lang w:val="es-CR"/>
              </w:rPr>
            </w:pPr>
            <w:r w:rsidRPr="00B278AE">
              <w:rPr>
                <w:rFonts w:ascii="Arial Narrow" w:eastAsia="Times New Roman" w:hAnsi="Arial Narrow" w:cs="Calibri"/>
                <w:b/>
                <w:bCs/>
                <w:color w:val="000000"/>
                <w:sz w:val="22"/>
                <w:szCs w:val="22"/>
                <w:lang w:val="es-CR"/>
              </w:rPr>
              <w:t>Instrumentos financieros imputación a resultados</w:t>
            </w:r>
          </w:p>
        </w:tc>
        <w:tc>
          <w:tcPr>
            <w:tcW w:w="2121" w:type="dxa"/>
            <w:tcBorders>
              <w:top w:val="single" w:sz="8" w:space="0" w:color="auto"/>
              <w:left w:val="nil"/>
              <w:bottom w:val="single" w:sz="8" w:space="0" w:color="auto"/>
              <w:right w:val="single" w:sz="8" w:space="0" w:color="auto"/>
            </w:tcBorders>
            <w:shd w:val="clear" w:color="auto" w:fill="auto"/>
            <w:vAlign w:val="center"/>
            <w:hideMark/>
          </w:tcPr>
          <w:p w14:paraId="7AA37348" w14:textId="77777777" w:rsidR="008D294D" w:rsidRDefault="00B278AE" w:rsidP="00B278AE">
            <w:pPr>
              <w:jc w:val="both"/>
              <w:rPr>
                <w:rFonts w:ascii="Arial Narrow" w:eastAsia="Times New Roman" w:hAnsi="Arial Narrow" w:cs="Calibri"/>
                <w:b/>
                <w:bCs/>
                <w:color w:val="000000"/>
                <w:sz w:val="22"/>
                <w:szCs w:val="22"/>
              </w:rPr>
            </w:pPr>
            <w:r w:rsidRPr="00B278AE">
              <w:rPr>
                <w:rFonts w:ascii="Arial Narrow" w:eastAsia="Times New Roman" w:hAnsi="Arial Narrow" w:cs="Calibri"/>
                <w:b/>
                <w:bCs/>
                <w:color w:val="000000"/>
                <w:sz w:val="22"/>
                <w:szCs w:val="22"/>
              </w:rPr>
              <w:t>NICSP N° 29,</w:t>
            </w:r>
          </w:p>
          <w:p w14:paraId="52EB5CA0" w14:textId="6B8A95ED" w:rsidR="00B278AE" w:rsidRPr="00B278AE" w:rsidRDefault="00B278AE" w:rsidP="00B278AE">
            <w:pPr>
              <w:jc w:val="both"/>
              <w:rPr>
                <w:rFonts w:ascii="Arial Narrow" w:eastAsia="Times New Roman" w:hAnsi="Arial Narrow" w:cs="Calibri"/>
                <w:b/>
                <w:bCs/>
                <w:color w:val="000000"/>
                <w:sz w:val="22"/>
                <w:szCs w:val="22"/>
              </w:rPr>
            </w:pPr>
            <w:r w:rsidRPr="00B278AE">
              <w:rPr>
                <w:rFonts w:ascii="Arial Narrow" w:eastAsia="Times New Roman" w:hAnsi="Arial Narrow" w:cs="Calibri"/>
                <w:b/>
                <w:bCs/>
                <w:color w:val="000000"/>
                <w:sz w:val="22"/>
                <w:szCs w:val="22"/>
              </w:rPr>
              <w:t>Párrafos 64 y 65.</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2A4D3733" w14:textId="77777777" w:rsidR="00B278AE" w:rsidRPr="00B278AE" w:rsidRDefault="00B278AE" w:rsidP="00B278AE">
            <w:pPr>
              <w:rPr>
                <w:rFonts w:ascii="Arial Narrow" w:eastAsia="Times New Roman" w:hAnsi="Arial Narrow" w:cs="Calibri"/>
                <w:b/>
                <w:bCs/>
                <w:color w:val="000000"/>
                <w:sz w:val="22"/>
                <w:szCs w:val="22"/>
              </w:rPr>
            </w:pPr>
            <w:r w:rsidRPr="00B278AE">
              <w:rPr>
                <w:rFonts w:ascii="Arial Narrow" w:eastAsia="Times New Roman" w:hAnsi="Arial Narrow" w:cs="Calibri"/>
                <w:b/>
                <w:bCs/>
                <w:color w:val="000000"/>
                <w:sz w:val="22"/>
                <w:szCs w:val="22"/>
              </w:rPr>
              <w:t xml:space="preserve"> </w:t>
            </w:r>
          </w:p>
        </w:tc>
      </w:tr>
    </w:tbl>
    <w:p w14:paraId="0909E61A" w14:textId="77777777" w:rsidR="008A517B" w:rsidRDefault="008A517B" w:rsidP="001D484B">
      <w:pPr>
        <w:pStyle w:val="Default"/>
        <w:ind w:left="1134" w:hanging="1134"/>
        <w:jc w:val="both"/>
        <w:rPr>
          <w:sz w:val="22"/>
          <w:szCs w:val="22"/>
          <w:lang w:val="es-CR"/>
        </w:rPr>
      </w:pPr>
    </w:p>
    <w:p w14:paraId="1D11D1FA" w14:textId="4FB12D8D" w:rsidR="006E54C7" w:rsidRDefault="006E54C7" w:rsidP="001D484B">
      <w:pPr>
        <w:pStyle w:val="Default"/>
        <w:ind w:left="1134" w:hanging="1134"/>
        <w:jc w:val="both"/>
        <w:rPr>
          <w:rFonts w:eastAsia="Arial"/>
          <w:b/>
          <w:sz w:val="22"/>
          <w:szCs w:val="22"/>
        </w:rPr>
      </w:pPr>
      <w:r w:rsidRPr="00F02F9D">
        <w:rPr>
          <w:rFonts w:eastAsia="Arial"/>
          <w:b/>
          <w:sz w:val="22"/>
          <w:szCs w:val="22"/>
        </w:rPr>
        <w:t>Políticas Contables</w:t>
      </w:r>
    </w:p>
    <w:p w14:paraId="75FE202C" w14:textId="77777777" w:rsidR="006E54C7" w:rsidRDefault="006E54C7" w:rsidP="001D484B">
      <w:pPr>
        <w:pStyle w:val="Default"/>
        <w:ind w:left="1134" w:hanging="1134"/>
        <w:jc w:val="both"/>
        <w:rPr>
          <w:sz w:val="22"/>
          <w:szCs w:val="22"/>
          <w:lang w:val="es-CR"/>
        </w:rPr>
      </w:pPr>
    </w:p>
    <w:p w14:paraId="22CA3DCC" w14:textId="456A7CBB" w:rsidR="00B278AE" w:rsidRDefault="00B278AE" w:rsidP="00B278AE">
      <w:pPr>
        <w:pStyle w:val="Default"/>
        <w:ind w:left="1134" w:hanging="1134"/>
        <w:jc w:val="both"/>
        <w:rPr>
          <w:sz w:val="22"/>
          <w:szCs w:val="22"/>
          <w:lang w:val="es-CR"/>
        </w:rPr>
      </w:pPr>
      <w:r>
        <w:rPr>
          <w:sz w:val="22"/>
          <w:szCs w:val="22"/>
          <w:lang w:val="es-CR"/>
        </w:rPr>
        <w:t>4.54.0.01</w:t>
      </w:r>
      <w:r>
        <w:rPr>
          <w:sz w:val="22"/>
          <w:szCs w:val="22"/>
          <w:lang w:val="es-CR"/>
        </w:rPr>
        <w:tab/>
      </w:r>
      <w:r w:rsidRPr="00B278AE">
        <w:rPr>
          <w:sz w:val="22"/>
          <w:szCs w:val="22"/>
          <w:lang w:val="es-CR"/>
        </w:rPr>
        <w:t>Los resultados positivos o negativos surgidos de la variación del valor razonable de un activo financiero o pasivo financiero, que no forme parte de una operación de cobertura, se reconocerán de la siguiente forma:</w:t>
      </w:r>
    </w:p>
    <w:p w14:paraId="4EC8DD01" w14:textId="77777777" w:rsidR="00B278AE" w:rsidRPr="00B278AE" w:rsidRDefault="00B278AE" w:rsidP="00B278AE">
      <w:pPr>
        <w:pStyle w:val="Default"/>
        <w:ind w:left="1134" w:hanging="1134"/>
        <w:jc w:val="both"/>
        <w:rPr>
          <w:sz w:val="22"/>
          <w:szCs w:val="22"/>
          <w:lang w:val="es-CR"/>
        </w:rPr>
      </w:pPr>
    </w:p>
    <w:p w14:paraId="0DD33425" w14:textId="7B39073E" w:rsidR="00B278AE" w:rsidRDefault="00B278AE">
      <w:pPr>
        <w:pStyle w:val="Default"/>
        <w:numPr>
          <w:ilvl w:val="0"/>
          <w:numId w:val="256"/>
        </w:numPr>
        <w:spacing w:after="35"/>
        <w:ind w:left="1560"/>
        <w:jc w:val="both"/>
        <w:rPr>
          <w:sz w:val="22"/>
          <w:szCs w:val="22"/>
          <w:lang w:val="es-CR"/>
        </w:rPr>
      </w:pPr>
      <w:r>
        <w:rPr>
          <w:sz w:val="22"/>
          <w:szCs w:val="22"/>
          <w:lang w:val="es-CR"/>
        </w:rPr>
        <w:t>L</w:t>
      </w:r>
      <w:r w:rsidRPr="00B278AE">
        <w:rPr>
          <w:sz w:val="22"/>
          <w:szCs w:val="22"/>
          <w:lang w:val="es-CR"/>
        </w:rPr>
        <w:t xml:space="preserve">os resultados originados por los activos o pasivos financieros clasificados como mantenidos para negociar (1era. Categoría) a valor razonable con </w:t>
      </w:r>
      <w:r w:rsidR="005907B3" w:rsidRPr="00B278AE">
        <w:rPr>
          <w:sz w:val="22"/>
          <w:szCs w:val="22"/>
          <w:lang w:val="es-CR"/>
        </w:rPr>
        <w:t>ca</w:t>
      </w:r>
      <w:r w:rsidR="005907B3">
        <w:rPr>
          <w:sz w:val="22"/>
          <w:szCs w:val="22"/>
          <w:lang w:val="es-CR"/>
        </w:rPr>
        <w:t>mbi</w:t>
      </w:r>
      <w:r w:rsidR="005907B3" w:rsidRPr="00B278AE">
        <w:rPr>
          <w:sz w:val="22"/>
          <w:szCs w:val="22"/>
          <w:lang w:val="es-CR"/>
        </w:rPr>
        <w:t>os</w:t>
      </w:r>
      <w:r w:rsidRPr="00B278AE">
        <w:rPr>
          <w:sz w:val="22"/>
          <w:szCs w:val="22"/>
          <w:lang w:val="es-CR"/>
        </w:rPr>
        <w:t xml:space="preserve"> en resultados, se reconocerán en el </w:t>
      </w:r>
      <w:r w:rsidRPr="00B278AE">
        <w:rPr>
          <w:b/>
          <w:bCs/>
          <w:sz w:val="22"/>
          <w:szCs w:val="22"/>
          <w:lang w:val="es-CR"/>
        </w:rPr>
        <w:t>resultado del ejercicio</w:t>
      </w:r>
      <w:r>
        <w:rPr>
          <w:sz w:val="22"/>
          <w:szCs w:val="22"/>
          <w:lang w:val="es-CR"/>
        </w:rPr>
        <w:t>.</w:t>
      </w:r>
    </w:p>
    <w:p w14:paraId="4DAB0B9D" w14:textId="77777777" w:rsidR="00B278AE" w:rsidRDefault="00B278AE" w:rsidP="00B278AE">
      <w:pPr>
        <w:pStyle w:val="Default"/>
        <w:spacing w:after="35"/>
        <w:ind w:left="1560"/>
        <w:jc w:val="both"/>
        <w:rPr>
          <w:sz w:val="22"/>
          <w:szCs w:val="22"/>
          <w:lang w:val="es-CR"/>
        </w:rPr>
      </w:pPr>
    </w:p>
    <w:p w14:paraId="44A0D209" w14:textId="77777777" w:rsidR="00FF5D6C" w:rsidRDefault="00B278AE">
      <w:pPr>
        <w:pStyle w:val="Default"/>
        <w:numPr>
          <w:ilvl w:val="0"/>
          <w:numId w:val="256"/>
        </w:numPr>
        <w:spacing w:after="35"/>
        <w:ind w:left="1560"/>
        <w:jc w:val="both"/>
        <w:rPr>
          <w:sz w:val="22"/>
          <w:szCs w:val="22"/>
          <w:lang w:val="es-CR"/>
        </w:rPr>
      </w:pPr>
      <w:r>
        <w:rPr>
          <w:sz w:val="22"/>
          <w:szCs w:val="22"/>
          <w:lang w:val="es-CR"/>
        </w:rPr>
        <w:t>L</w:t>
      </w:r>
      <w:r w:rsidRPr="00B278AE">
        <w:rPr>
          <w:sz w:val="22"/>
          <w:szCs w:val="22"/>
          <w:lang w:val="es-CR"/>
        </w:rPr>
        <w:t xml:space="preserve">os resultados originados en la tenencia de un activo disponible para la venta (4ta. Categoría), se reconocerán directamente en </w:t>
      </w:r>
      <w:r w:rsidRPr="00B278AE">
        <w:rPr>
          <w:b/>
          <w:bCs/>
          <w:sz w:val="22"/>
          <w:szCs w:val="22"/>
          <w:lang w:val="es-CR"/>
        </w:rPr>
        <w:t xml:space="preserve">el patrimonio, </w:t>
      </w:r>
      <w:r w:rsidRPr="00B278AE">
        <w:rPr>
          <w:sz w:val="22"/>
          <w:szCs w:val="22"/>
          <w:lang w:val="es-CR"/>
        </w:rPr>
        <w:t xml:space="preserve">hasta que el activo financiero se dé de baja en cuentas, en cuyo momento los resultados que hubiesen sido reconocidos previamente en el patrimonio se imputarán </w:t>
      </w:r>
      <w:r w:rsidRPr="00B278AE">
        <w:rPr>
          <w:b/>
          <w:bCs/>
          <w:sz w:val="22"/>
          <w:szCs w:val="22"/>
          <w:lang w:val="es-CR"/>
        </w:rPr>
        <w:t>al resultado del ejercicio</w:t>
      </w:r>
      <w:r w:rsidRPr="00B278AE">
        <w:rPr>
          <w:sz w:val="22"/>
          <w:szCs w:val="22"/>
          <w:lang w:val="es-CR"/>
        </w:rPr>
        <w:t>; no obstante:</w:t>
      </w:r>
    </w:p>
    <w:p w14:paraId="38C0F41D" w14:textId="1FA629DD" w:rsidR="00B278AE" w:rsidRDefault="00B278AE" w:rsidP="00FF5D6C">
      <w:pPr>
        <w:pStyle w:val="Default"/>
        <w:spacing w:after="35"/>
        <w:jc w:val="both"/>
        <w:rPr>
          <w:sz w:val="22"/>
          <w:szCs w:val="22"/>
          <w:lang w:val="es-CR"/>
        </w:rPr>
      </w:pPr>
      <w:r w:rsidRPr="00B278AE">
        <w:rPr>
          <w:sz w:val="22"/>
          <w:szCs w:val="22"/>
          <w:lang w:val="es-CR"/>
        </w:rPr>
        <w:t xml:space="preserve"> </w:t>
      </w:r>
    </w:p>
    <w:p w14:paraId="62FD169F" w14:textId="2B3A8E9F" w:rsidR="00B278AE" w:rsidRDefault="00B278AE">
      <w:pPr>
        <w:pStyle w:val="Default"/>
        <w:numPr>
          <w:ilvl w:val="0"/>
          <w:numId w:val="257"/>
        </w:numPr>
        <w:spacing w:after="120"/>
        <w:ind w:left="1985" w:hanging="284"/>
        <w:jc w:val="both"/>
        <w:rPr>
          <w:sz w:val="22"/>
          <w:szCs w:val="22"/>
          <w:lang w:val="es-CR"/>
        </w:rPr>
      </w:pPr>
      <w:r>
        <w:rPr>
          <w:sz w:val="22"/>
          <w:szCs w:val="22"/>
          <w:lang w:val="es-CR"/>
        </w:rPr>
        <w:t>L</w:t>
      </w:r>
      <w:r w:rsidRPr="00B278AE">
        <w:rPr>
          <w:sz w:val="22"/>
          <w:szCs w:val="22"/>
          <w:lang w:val="es-CR"/>
        </w:rPr>
        <w:t xml:space="preserve">as pérdidas por deterioro del valor y las diferencias de </w:t>
      </w:r>
      <w:r w:rsidR="005907B3" w:rsidRPr="00B278AE">
        <w:rPr>
          <w:sz w:val="22"/>
          <w:szCs w:val="22"/>
          <w:lang w:val="es-CR"/>
        </w:rPr>
        <w:t>ca</w:t>
      </w:r>
      <w:r w:rsidR="005907B3">
        <w:rPr>
          <w:sz w:val="22"/>
          <w:szCs w:val="22"/>
          <w:lang w:val="es-CR"/>
        </w:rPr>
        <w:t>mbi</w:t>
      </w:r>
      <w:r w:rsidR="005907B3" w:rsidRPr="00B278AE">
        <w:rPr>
          <w:sz w:val="22"/>
          <w:szCs w:val="22"/>
          <w:lang w:val="es-CR"/>
        </w:rPr>
        <w:t>o</w:t>
      </w:r>
      <w:r w:rsidRPr="00B278AE">
        <w:rPr>
          <w:sz w:val="22"/>
          <w:szCs w:val="22"/>
          <w:lang w:val="es-CR"/>
        </w:rPr>
        <w:t xml:space="preserve"> se reconocerán en el </w:t>
      </w:r>
      <w:r w:rsidRPr="00B278AE">
        <w:rPr>
          <w:b/>
          <w:bCs/>
          <w:sz w:val="22"/>
          <w:szCs w:val="22"/>
          <w:lang w:val="es-CR"/>
        </w:rPr>
        <w:t>resultado del ejercicio</w:t>
      </w:r>
      <w:r w:rsidRPr="00B278AE">
        <w:rPr>
          <w:sz w:val="22"/>
          <w:szCs w:val="22"/>
          <w:lang w:val="es-CR"/>
        </w:rPr>
        <w:t>; y</w:t>
      </w:r>
    </w:p>
    <w:p w14:paraId="04467F3B" w14:textId="4BEC18F9" w:rsidR="00B278AE" w:rsidRPr="00B278AE" w:rsidRDefault="00B278AE">
      <w:pPr>
        <w:pStyle w:val="Default"/>
        <w:numPr>
          <w:ilvl w:val="0"/>
          <w:numId w:val="257"/>
        </w:numPr>
        <w:spacing w:after="35"/>
        <w:ind w:left="1985" w:hanging="284"/>
        <w:jc w:val="both"/>
        <w:rPr>
          <w:sz w:val="22"/>
          <w:szCs w:val="22"/>
          <w:lang w:val="es-CR"/>
        </w:rPr>
      </w:pPr>
      <w:r>
        <w:rPr>
          <w:sz w:val="22"/>
          <w:szCs w:val="22"/>
          <w:lang w:val="es-CR"/>
        </w:rPr>
        <w:t>L</w:t>
      </w:r>
      <w:r w:rsidRPr="00B278AE">
        <w:rPr>
          <w:sz w:val="22"/>
          <w:szCs w:val="22"/>
          <w:lang w:val="es-CR"/>
        </w:rPr>
        <w:t xml:space="preserve">os intereses calculados según el método de la tasa de interés efectiva se reconocerán en el </w:t>
      </w:r>
      <w:r w:rsidRPr="00B278AE">
        <w:rPr>
          <w:b/>
          <w:bCs/>
          <w:sz w:val="22"/>
          <w:szCs w:val="22"/>
          <w:lang w:val="es-CR"/>
        </w:rPr>
        <w:t>resultado del ejercicio</w:t>
      </w:r>
      <w:r w:rsidRPr="00B278AE">
        <w:rPr>
          <w:sz w:val="22"/>
          <w:szCs w:val="22"/>
          <w:lang w:val="es-CR"/>
        </w:rPr>
        <w:t xml:space="preserve">; </w:t>
      </w:r>
    </w:p>
    <w:p w14:paraId="4CD44386" w14:textId="77777777" w:rsidR="00FF5D6C" w:rsidRDefault="00FF5D6C" w:rsidP="00FF5D6C">
      <w:pPr>
        <w:pStyle w:val="Default"/>
        <w:spacing w:after="35"/>
        <w:ind w:left="1560"/>
        <w:jc w:val="both"/>
        <w:rPr>
          <w:sz w:val="22"/>
          <w:szCs w:val="22"/>
          <w:lang w:val="es-CR"/>
        </w:rPr>
      </w:pPr>
    </w:p>
    <w:p w14:paraId="4B98E0F5" w14:textId="2C7A3B07" w:rsidR="00B278AE" w:rsidRDefault="00FF5D6C">
      <w:pPr>
        <w:pStyle w:val="Default"/>
        <w:numPr>
          <w:ilvl w:val="0"/>
          <w:numId w:val="256"/>
        </w:numPr>
        <w:spacing w:after="35"/>
        <w:ind w:left="1560"/>
        <w:jc w:val="both"/>
        <w:rPr>
          <w:sz w:val="22"/>
          <w:szCs w:val="22"/>
          <w:lang w:val="es-CR"/>
        </w:rPr>
      </w:pPr>
      <w:r>
        <w:rPr>
          <w:sz w:val="22"/>
          <w:szCs w:val="22"/>
          <w:lang w:val="es-CR"/>
        </w:rPr>
        <w:t>L</w:t>
      </w:r>
      <w:r w:rsidR="00B278AE" w:rsidRPr="00B278AE">
        <w:rPr>
          <w:sz w:val="22"/>
          <w:szCs w:val="22"/>
          <w:lang w:val="es-CR"/>
        </w:rPr>
        <w:t>os dividendos de un instrumento de patrimonio clasificado como disponible para la venta se reconocerán en el resultado del ejercicio cuando se establezca el derecho de la entidad a recibir el pago</w:t>
      </w:r>
      <w:r>
        <w:rPr>
          <w:sz w:val="22"/>
          <w:szCs w:val="22"/>
          <w:lang w:val="es-CR"/>
        </w:rPr>
        <w:t>.</w:t>
      </w:r>
    </w:p>
    <w:p w14:paraId="2CB10F56" w14:textId="77777777" w:rsidR="00FF5D6C" w:rsidRPr="00B278AE" w:rsidRDefault="00FF5D6C" w:rsidP="00FF5D6C">
      <w:pPr>
        <w:pStyle w:val="Default"/>
        <w:spacing w:after="35"/>
        <w:ind w:left="1560"/>
        <w:jc w:val="both"/>
        <w:rPr>
          <w:sz w:val="22"/>
          <w:szCs w:val="22"/>
          <w:lang w:val="es-CR"/>
        </w:rPr>
      </w:pPr>
    </w:p>
    <w:p w14:paraId="7E85C618" w14:textId="10972794" w:rsidR="00B278AE" w:rsidRDefault="00B278AE" w:rsidP="00B278AE">
      <w:pPr>
        <w:pStyle w:val="Default"/>
        <w:ind w:left="1134" w:hanging="1134"/>
        <w:jc w:val="both"/>
        <w:rPr>
          <w:color w:val="auto"/>
          <w:sz w:val="22"/>
          <w:szCs w:val="22"/>
          <w:lang w:val="es-CR"/>
        </w:rPr>
      </w:pPr>
      <w:r>
        <w:rPr>
          <w:sz w:val="22"/>
          <w:szCs w:val="22"/>
          <w:lang w:val="es-CR"/>
        </w:rPr>
        <w:t>4.54.0.02</w:t>
      </w:r>
      <w:r>
        <w:rPr>
          <w:sz w:val="22"/>
          <w:szCs w:val="22"/>
          <w:lang w:val="es-CR"/>
        </w:rPr>
        <w:tab/>
        <w:t>P</w:t>
      </w:r>
      <w:r w:rsidRPr="00B278AE">
        <w:rPr>
          <w:sz w:val="22"/>
          <w:szCs w:val="22"/>
          <w:lang w:val="es-CR"/>
        </w:rPr>
        <w:t xml:space="preserve">ara los activos y los pasivos financieros registrados al </w:t>
      </w:r>
      <w:r w:rsidRPr="00B278AE">
        <w:rPr>
          <w:b/>
          <w:bCs/>
          <w:sz w:val="22"/>
          <w:szCs w:val="22"/>
          <w:lang w:val="es-CR"/>
        </w:rPr>
        <w:t>costo amortizado</w:t>
      </w:r>
      <w:r w:rsidRPr="00B278AE">
        <w:rPr>
          <w:sz w:val="22"/>
          <w:szCs w:val="22"/>
          <w:lang w:val="es-CR"/>
        </w:rPr>
        <w:t xml:space="preserve">, se reconocerán en el </w:t>
      </w:r>
      <w:r w:rsidRPr="00B278AE">
        <w:rPr>
          <w:b/>
          <w:bCs/>
          <w:sz w:val="22"/>
          <w:szCs w:val="22"/>
          <w:lang w:val="es-CR"/>
        </w:rPr>
        <w:t xml:space="preserve">resultado del ejercicio </w:t>
      </w:r>
      <w:r w:rsidRPr="00B278AE">
        <w:rPr>
          <w:sz w:val="22"/>
          <w:szCs w:val="22"/>
          <w:lang w:val="es-CR"/>
        </w:rPr>
        <w:t xml:space="preserve">(positivo o negativo) del ejercicio cuando el activo </w:t>
      </w:r>
      <w:r w:rsidRPr="00B278AE">
        <w:rPr>
          <w:color w:val="auto"/>
          <w:sz w:val="22"/>
          <w:szCs w:val="22"/>
          <w:lang w:val="es-CR"/>
        </w:rPr>
        <w:t>financiero o pasivo financiero se dé de baja en cuentas o se haya deteriorado, así como a través del proceso de amortización de primas o descuentos y reconocimiento (devengamiento) de intereses y otros accesorios.</w:t>
      </w:r>
    </w:p>
    <w:p w14:paraId="5BA07832" w14:textId="77777777" w:rsidR="00FF5D6C" w:rsidRDefault="00FF5D6C" w:rsidP="00980BB0">
      <w:pPr>
        <w:pStyle w:val="Default"/>
        <w:ind w:left="1560"/>
        <w:jc w:val="both"/>
        <w:rPr>
          <w:color w:val="auto"/>
          <w:sz w:val="22"/>
          <w:szCs w:val="22"/>
          <w:lang w:val="es-CR"/>
        </w:rPr>
      </w:pPr>
    </w:p>
    <w:p w14:paraId="6805E8CF" w14:textId="77777777" w:rsidR="00FF5D6C" w:rsidRDefault="00FF5D6C" w:rsidP="00B278AE">
      <w:pPr>
        <w:pStyle w:val="Default"/>
        <w:ind w:left="1134" w:hanging="1134"/>
        <w:jc w:val="both"/>
        <w:rPr>
          <w:color w:val="auto"/>
          <w:sz w:val="22"/>
          <w:szCs w:val="22"/>
          <w:lang w:val="es-CR"/>
        </w:rPr>
      </w:pPr>
    </w:p>
    <w:p w14:paraId="7C6AB549" w14:textId="77777777" w:rsidR="006E54C7" w:rsidRDefault="006E54C7" w:rsidP="00B278AE">
      <w:pPr>
        <w:pStyle w:val="Default"/>
        <w:ind w:left="1134" w:hanging="1134"/>
        <w:jc w:val="both"/>
        <w:rPr>
          <w:color w:val="auto"/>
          <w:sz w:val="22"/>
          <w:szCs w:val="22"/>
          <w:lang w:val="es-CR"/>
        </w:rPr>
      </w:pPr>
    </w:p>
    <w:tbl>
      <w:tblPr>
        <w:tblW w:w="9298" w:type="dxa"/>
        <w:tblInd w:w="118" w:type="dxa"/>
        <w:tblLook w:val="04A0" w:firstRow="1" w:lastRow="0" w:firstColumn="1" w:lastColumn="0" w:noHBand="0" w:noVBand="1"/>
      </w:tblPr>
      <w:tblGrid>
        <w:gridCol w:w="439"/>
        <w:gridCol w:w="709"/>
        <w:gridCol w:w="450"/>
        <w:gridCol w:w="6"/>
        <w:gridCol w:w="3685"/>
        <w:gridCol w:w="6"/>
        <w:gridCol w:w="2090"/>
        <w:gridCol w:w="6"/>
        <w:gridCol w:w="1893"/>
        <w:gridCol w:w="6"/>
        <w:gridCol w:w="8"/>
      </w:tblGrid>
      <w:tr w:rsidR="00FF5D6C" w:rsidRPr="00FF5D6C" w14:paraId="522FFC14" w14:textId="77777777" w:rsidTr="006E54C7">
        <w:trPr>
          <w:trHeight w:val="300"/>
        </w:trPr>
        <w:tc>
          <w:tcPr>
            <w:tcW w:w="160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49EEB71" w14:textId="77777777" w:rsidR="00FF5D6C" w:rsidRPr="00FF5D6C" w:rsidRDefault="00FF5D6C" w:rsidP="00FF5D6C">
            <w:pPr>
              <w:jc w:val="center"/>
              <w:rPr>
                <w:rFonts w:ascii="Arial Narrow" w:eastAsia="Times New Roman" w:hAnsi="Arial Narrow" w:cs="Calibri"/>
                <w:b/>
                <w:bCs/>
                <w:color w:val="FFFFFF"/>
                <w:sz w:val="22"/>
                <w:szCs w:val="22"/>
              </w:rPr>
            </w:pPr>
            <w:r w:rsidRPr="00FF5D6C">
              <w:rPr>
                <w:rFonts w:ascii="Arial Narrow" w:eastAsia="Times New Roman" w:hAnsi="Arial Narrow" w:cs="Calibri"/>
                <w:b/>
                <w:bCs/>
                <w:color w:val="FFFFFF"/>
                <w:sz w:val="22"/>
                <w:szCs w:val="22"/>
              </w:rPr>
              <w:t>Norma / Política</w:t>
            </w:r>
          </w:p>
        </w:tc>
        <w:tc>
          <w:tcPr>
            <w:tcW w:w="369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FBB4C15" w14:textId="77777777" w:rsidR="00FF5D6C" w:rsidRPr="00FF5D6C" w:rsidRDefault="00FF5D6C" w:rsidP="00FF5D6C">
            <w:pPr>
              <w:jc w:val="center"/>
              <w:rPr>
                <w:rFonts w:ascii="Arial Narrow" w:eastAsia="Times New Roman" w:hAnsi="Arial Narrow" w:cs="Calibri"/>
                <w:b/>
                <w:bCs/>
                <w:color w:val="FFFFFF"/>
                <w:sz w:val="22"/>
                <w:szCs w:val="22"/>
              </w:rPr>
            </w:pPr>
            <w:r w:rsidRPr="00FF5D6C">
              <w:rPr>
                <w:rFonts w:ascii="Arial Narrow" w:eastAsia="Times New Roman" w:hAnsi="Arial Narrow" w:cs="Calibri"/>
                <w:b/>
                <w:bCs/>
                <w:color w:val="FFFFFF"/>
                <w:sz w:val="22"/>
                <w:szCs w:val="22"/>
              </w:rPr>
              <w:t>Concepto</w:t>
            </w:r>
          </w:p>
        </w:tc>
        <w:tc>
          <w:tcPr>
            <w:tcW w:w="4003" w:type="dxa"/>
            <w:gridSpan w:val="5"/>
            <w:tcBorders>
              <w:top w:val="single" w:sz="8" w:space="0" w:color="auto"/>
              <w:left w:val="nil"/>
              <w:bottom w:val="single" w:sz="8" w:space="0" w:color="auto"/>
              <w:right w:val="single" w:sz="8" w:space="0" w:color="000000"/>
            </w:tcBorders>
            <w:shd w:val="clear" w:color="000000" w:fill="203764"/>
            <w:vAlign w:val="center"/>
            <w:hideMark/>
          </w:tcPr>
          <w:p w14:paraId="0F62890A" w14:textId="77777777" w:rsidR="00FF5D6C" w:rsidRPr="00FF5D6C" w:rsidRDefault="00FF5D6C" w:rsidP="00FF5D6C">
            <w:pPr>
              <w:jc w:val="center"/>
              <w:rPr>
                <w:rFonts w:ascii="Arial Narrow" w:eastAsia="Times New Roman" w:hAnsi="Arial Narrow" w:cs="Calibri"/>
                <w:b/>
                <w:bCs/>
                <w:color w:val="FFFFFF"/>
                <w:sz w:val="22"/>
                <w:szCs w:val="22"/>
              </w:rPr>
            </w:pPr>
            <w:r w:rsidRPr="00FF5D6C">
              <w:rPr>
                <w:rFonts w:ascii="Arial Narrow" w:eastAsia="Times New Roman" w:hAnsi="Arial Narrow" w:cs="Calibri"/>
                <w:b/>
                <w:bCs/>
                <w:color w:val="FFFFFF"/>
                <w:sz w:val="22"/>
                <w:szCs w:val="22"/>
              </w:rPr>
              <w:t>Referencia</w:t>
            </w:r>
          </w:p>
        </w:tc>
      </w:tr>
      <w:tr w:rsidR="00FF5D6C" w:rsidRPr="006E5442" w14:paraId="6A2D10F7" w14:textId="77777777" w:rsidTr="006E54C7">
        <w:trPr>
          <w:gridAfter w:val="1"/>
          <w:wAfter w:w="8" w:type="dxa"/>
          <w:trHeight w:val="850"/>
        </w:trPr>
        <w:tc>
          <w:tcPr>
            <w:tcW w:w="1604" w:type="dxa"/>
            <w:gridSpan w:val="4"/>
            <w:vMerge/>
            <w:tcBorders>
              <w:top w:val="single" w:sz="8" w:space="0" w:color="auto"/>
              <w:left w:val="single" w:sz="8" w:space="0" w:color="auto"/>
              <w:bottom w:val="nil"/>
              <w:right w:val="single" w:sz="8" w:space="0" w:color="000000"/>
            </w:tcBorders>
            <w:vAlign w:val="center"/>
            <w:hideMark/>
          </w:tcPr>
          <w:p w14:paraId="15E674FE" w14:textId="77777777" w:rsidR="00FF5D6C" w:rsidRPr="00FF5D6C" w:rsidRDefault="00FF5D6C" w:rsidP="00FF5D6C">
            <w:pPr>
              <w:rPr>
                <w:rFonts w:ascii="Arial Narrow" w:eastAsia="Times New Roman" w:hAnsi="Arial Narrow" w:cs="Calibri"/>
                <w:b/>
                <w:bCs/>
                <w:color w:val="FFFFFF"/>
                <w:sz w:val="22"/>
                <w:szCs w:val="22"/>
              </w:rPr>
            </w:pPr>
          </w:p>
        </w:tc>
        <w:tc>
          <w:tcPr>
            <w:tcW w:w="3691" w:type="dxa"/>
            <w:gridSpan w:val="2"/>
            <w:vMerge/>
            <w:tcBorders>
              <w:top w:val="single" w:sz="8" w:space="0" w:color="auto"/>
              <w:left w:val="single" w:sz="8" w:space="0" w:color="auto"/>
              <w:bottom w:val="nil"/>
              <w:right w:val="single" w:sz="8" w:space="0" w:color="auto"/>
            </w:tcBorders>
            <w:vAlign w:val="center"/>
            <w:hideMark/>
          </w:tcPr>
          <w:p w14:paraId="4522F310" w14:textId="77777777" w:rsidR="00FF5D6C" w:rsidRPr="00FF5D6C" w:rsidRDefault="00FF5D6C" w:rsidP="00FF5D6C">
            <w:pPr>
              <w:rPr>
                <w:rFonts w:ascii="Arial Narrow" w:eastAsia="Times New Roman" w:hAnsi="Arial Narrow" w:cs="Calibri"/>
                <w:b/>
                <w:bCs/>
                <w:color w:val="FFFFFF"/>
                <w:sz w:val="22"/>
                <w:szCs w:val="22"/>
              </w:rPr>
            </w:pPr>
          </w:p>
        </w:tc>
        <w:tc>
          <w:tcPr>
            <w:tcW w:w="2096" w:type="dxa"/>
            <w:gridSpan w:val="2"/>
            <w:tcBorders>
              <w:top w:val="nil"/>
              <w:left w:val="nil"/>
              <w:bottom w:val="nil"/>
              <w:right w:val="single" w:sz="8" w:space="0" w:color="auto"/>
            </w:tcBorders>
            <w:shd w:val="clear" w:color="000000" w:fill="203764"/>
            <w:vAlign w:val="center"/>
            <w:hideMark/>
          </w:tcPr>
          <w:p w14:paraId="68D38EE4" w14:textId="77777777" w:rsidR="00FF5D6C" w:rsidRPr="00FF5D6C" w:rsidRDefault="00FF5D6C" w:rsidP="00FF5D6C">
            <w:pPr>
              <w:jc w:val="center"/>
              <w:rPr>
                <w:rFonts w:ascii="Arial Narrow" w:eastAsia="Times New Roman" w:hAnsi="Arial Narrow" w:cs="Calibri"/>
                <w:b/>
                <w:bCs/>
                <w:color w:val="FFFFFF"/>
                <w:sz w:val="22"/>
                <w:szCs w:val="22"/>
              </w:rPr>
            </w:pPr>
            <w:r w:rsidRPr="00FF5D6C">
              <w:rPr>
                <w:rFonts w:ascii="Arial Narrow" w:eastAsia="Times New Roman" w:hAnsi="Arial Narrow" w:cs="Calibri"/>
                <w:b/>
                <w:bCs/>
                <w:color w:val="FFFFFF"/>
                <w:sz w:val="22"/>
                <w:szCs w:val="22"/>
              </w:rPr>
              <w:t>Norma</w:t>
            </w:r>
          </w:p>
        </w:tc>
        <w:tc>
          <w:tcPr>
            <w:tcW w:w="1899" w:type="dxa"/>
            <w:gridSpan w:val="2"/>
            <w:tcBorders>
              <w:top w:val="nil"/>
              <w:left w:val="nil"/>
              <w:bottom w:val="nil"/>
              <w:right w:val="single" w:sz="8" w:space="0" w:color="auto"/>
            </w:tcBorders>
            <w:shd w:val="clear" w:color="000000" w:fill="203764"/>
            <w:vAlign w:val="center"/>
            <w:hideMark/>
          </w:tcPr>
          <w:p w14:paraId="171DB81E" w14:textId="77777777" w:rsidR="00FF5D6C" w:rsidRPr="00FF5D6C" w:rsidRDefault="00FF5D6C" w:rsidP="00FF5D6C">
            <w:pPr>
              <w:jc w:val="center"/>
              <w:rPr>
                <w:rFonts w:ascii="Arial Narrow" w:eastAsia="Times New Roman" w:hAnsi="Arial Narrow" w:cs="Calibri"/>
                <w:b/>
                <w:bCs/>
                <w:color w:val="FFFFFF"/>
                <w:sz w:val="22"/>
                <w:szCs w:val="22"/>
                <w:lang w:val="es-CR"/>
              </w:rPr>
            </w:pPr>
            <w:r w:rsidRPr="00FF5D6C">
              <w:rPr>
                <w:rFonts w:ascii="Arial Narrow" w:eastAsia="Times New Roman" w:hAnsi="Arial Narrow" w:cs="Calibri"/>
                <w:b/>
                <w:bCs/>
                <w:color w:val="FFFFFF"/>
                <w:sz w:val="22"/>
                <w:szCs w:val="22"/>
                <w:lang w:val="es-CR"/>
              </w:rPr>
              <w:t>Normativa técnica y disposiciones adicionales</w:t>
            </w:r>
          </w:p>
        </w:tc>
      </w:tr>
      <w:tr w:rsidR="00FF5D6C" w:rsidRPr="00FF5D6C" w14:paraId="53391883" w14:textId="77777777" w:rsidTr="006E54C7">
        <w:trPr>
          <w:gridAfter w:val="2"/>
          <w:wAfter w:w="14" w:type="dxa"/>
          <w:trHeight w:val="57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F0CB2A" w14:textId="77777777" w:rsidR="00FF5D6C" w:rsidRPr="00FF5D6C" w:rsidRDefault="00FF5D6C" w:rsidP="00FF5D6C">
            <w:pPr>
              <w:jc w:val="center"/>
              <w:rPr>
                <w:rFonts w:ascii="Arial Narrow" w:eastAsia="Times New Roman" w:hAnsi="Arial Narrow" w:cs="Calibri"/>
                <w:b/>
                <w:bCs/>
                <w:color w:val="000000"/>
                <w:sz w:val="22"/>
                <w:szCs w:val="22"/>
              </w:rPr>
            </w:pPr>
            <w:r w:rsidRPr="00FF5D6C">
              <w:rPr>
                <w:rFonts w:ascii="Arial Narrow" w:eastAsia="Times New Roman" w:hAnsi="Arial Narrow" w:cs="Calibri"/>
                <w:b/>
                <w:bCs/>
                <w:color w:val="000000"/>
                <w:sz w:val="22"/>
                <w:szCs w:val="22"/>
              </w:rPr>
              <w:t>4</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79AEF8A0" w14:textId="77777777" w:rsidR="00FF5D6C" w:rsidRPr="00FF5D6C" w:rsidRDefault="00FF5D6C" w:rsidP="00FF5D6C">
            <w:pPr>
              <w:jc w:val="center"/>
              <w:rPr>
                <w:rFonts w:ascii="Arial Narrow" w:eastAsia="Times New Roman" w:hAnsi="Arial Narrow" w:cs="Calibri"/>
                <w:b/>
                <w:bCs/>
                <w:color w:val="000000"/>
                <w:sz w:val="22"/>
                <w:szCs w:val="22"/>
              </w:rPr>
            </w:pPr>
            <w:r w:rsidRPr="00FF5D6C">
              <w:rPr>
                <w:rFonts w:ascii="Arial Narrow" w:eastAsia="Times New Roman" w:hAnsi="Arial Narrow" w:cs="Calibri"/>
                <w:b/>
                <w:bCs/>
                <w:color w:val="000000"/>
                <w:sz w:val="22"/>
                <w:szCs w:val="22"/>
              </w:rPr>
              <w:t>55</w:t>
            </w:r>
          </w:p>
        </w:tc>
        <w:tc>
          <w:tcPr>
            <w:tcW w:w="450" w:type="dxa"/>
            <w:tcBorders>
              <w:top w:val="single" w:sz="8" w:space="0" w:color="auto"/>
              <w:left w:val="nil"/>
              <w:bottom w:val="single" w:sz="8" w:space="0" w:color="auto"/>
              <w:right w:val="single" w:sz="8" w:space="0" w:color="auto"/>
            </w:tcBorders>
            <w:shd w:val="clear" w:color="auto" w:fill="auto"/>
            <w:vAlign w:val="center"/>
            <w:hideMark/>
          </w:tcPr>
          <w:p w14:paraId="48850152" w14:textId="5959B92A" w:rsidR="00FF5D6C" w:rsidRPr="00FF5D6C" w:rsidRDefault="00FF5D6C" w:rsidP="00FF5D6C">
            <w:pPr>
              <w:jc w:val="center"/>
              <w:rPr>
                <w:rFonts w:ascii="Arial Narrow" w:eastAsia="Times New Roman" w:hAnsi="Arial Narrow" w:cs="Calibri"/>
                <w:b/>
                <w:bCs/>
                <w:color w:val="000000"/>
                <w:sz w:val="22"/>
                <w:szCs w:val="22"/>
              </w:rPr>
            </w:pPr>
          </w:p>
        </w:tc>
        <w:tc>
          <w:tcPr>
            <w:tcW w:w="3691" w:type="dxa"/>
            <w:gridSpan w:val="2"/>
            <w:tcBorders>
              <w:top w:val="single" w:sz="8" w:space="0" w:color="auto"/>
              <w:left w:val="nil"/>
              <w:bottom w:val="single" w:sz="8" w:space="0" w:color="auto"/>
              <w:right w:val="single" w:sz="8" w:space="0" w:color="auto"/>
            </w:tcBorders>
            <w:shd w:val="clear" w:color="auto" w:fill="auto"/>
            <w:vAlign w:val="center"/>
            <w:hideMark/>
          </w:tcPr>
          <w:p w14:paraId="31906F8C" w14:textId="77777777" w:rsidR="00FF5D6C" w:rsidRPr="00FF5D6C" w:rsidRDefault="00FF5D6C" w:rsidP="00FF5D6C">
            <w:pPr>
              <w:jc w:val="both"/>
              <w:rPr>
                <w:rFonts w:ascii="Arial Narrow" w:eastAsia="Times New Roman" w:hAnsi="Arial Narrow" w:cs="Calibri"/>
                <w:b/>
                <w:bCs/>
                <w:color w:val="000000"/>
                <w:sz w:val="22"/>
                <w:szCs w:val="22"/>
                <w:lang w:val="es-CR"/>
              </w:rPr>
            </w:pPr>
            <w:r w:rsidRPr="00FF5D6C">
              <w:rPr>
                <w:rFonts w:ascii="Arial Narrow" w:eastAsia="Times New Roman" w:hAnsi="Arial Narrow" w:cs="Calibri"/>
                <w:b/>
                <w:bCs/>
                <w:color w:val="000000"/>
                <w:sz w:val="22"/>
                <w:szCs w:val="22"/>
                <w:lang w:val="es-CR"/>
              </w:rPr>
              <w:t>Información a revelar de Instrumentos Financieros</w:t>
            </w:r>
          </w:p>
        </w:tc>
        <w:tc>
          <w:tcPr>
            <w:tcW w:w="2096" w:type="dxa"/>
            <w:gridSpan w:val="2"/>
            <w:tcBorders>
              <w:top w:val="single" w:sz="8" w:space="0" w:color="auto"/>
              <w:left w:val="nil"/>
              <w:bottom w:val="single" w:sz="8" w:space="0" w:color="auto"/>
              <w:right w:val="single" w:sz="8" w:space="0" w:color="auto"/>
            </w:tcBorders>
            <w:shd w:val="clear" w:color="auto" w:fill="auto"/>
            <w:vAlign w:val="center"/>
            <w:hideMark/>
          </w:tcPr>
          <w:p w14:paraId="2F73B6A0" w14:textId="77777777" w:rsidR="008D294D" w:rsidRDefault="00FF5D6C" w:rsidP="00FF5D6C">
            <w:pPr>
              <w:jc w:val="both"/>
              <w:rPr>
                <w:rFonts w:ascii="Arial Narrow" w:eastAsia="Times New Roman" w:hAnsi="Arial Narrow" w:cs="Calibri"/>
                <w:b/>
                <w:bCs/>
                <w:color w:val="000000"/>
                <w:sz w:val="22"/>
                <w:szCs w:val="22"/>
              </w:rPr>
            </w:pPr>
            <w:r w:rsidRPr="00FF5D6C">
              <w:rPr>
                <w:rFonts w:ascii="Arial Narrow" w:eastAsia="Times New Roman" w:hAnsi="Arial Narrow" w:cs="Calibri"/>
                <w:b/>
                <w:bCs/>
                <w:color w:val="000000"/>
                <w:sz w:val="22"/>
                <w:szCs w:val="22"/>
              </w:rPr>
              <w:t>NICSP N° 30,</w:t>
            </w:r>
          </w:p>
          <w:p w14:paraId="0D140FA6" w14:textId="0531E06F" w:rsidR="00FF5D6C" w:rsidRPr="00FF5D6C" w:rsidRDefault="00FF5D6C" w:rsidP="00FF5D6C">
            <w:pPr>
              <w:jc w:val="both"/>
              <w:rPr>
                <w:rFonts w:ascii="Arial Narrow" w:eastAsia="Times New Roman" w:hAnsi="Arial Narrow" w:cs="Calibri"/>
                <w:b/>
                <w:bCs/>
                <w:color w:val="000000"/>
                <w:sz w:val="22"/>
                <w:szCs w:val="22"/>
              </w:rPr>
            </w:pPr>
            <w:r w:rsidRPr="00FF5D6C">
              <w:rPr>
                <w:rFonts w:ascii="Arial Narrow" w:eastAsia="Times New Roman" w:hAnsi="Arial Narrow" w:cs="Calibri"/>
                <w:b/>
                <w:bCs/>
                <w:color w:val="000000"/>
                <w:sz w:val="22"/>
                <w:szCs w:val="22"/>
              </w:rPr>
              <w:t>Párrafos 24, 33 y 34.</w:t>
            </w:r>
          </w:p>
        </w:tc>
        <w:tc>
          <w:tcPr>
            <w:tcW w:w="1899" w:type="dxa"/>
            <w:gridSpan w:val="2"/>
            <w:tcBorders>
              <w:top w:val="single" w:sz="8" w:space="0" w:color="auto"/>
              <w:left w:val="nil"/>
              <w:bottom w:val="single" w:sz="8" w:space="0" w:color="auto"/>
              <w:right w:val="single" w:sz="8" w:space="0" w:color="auto"/>
            </w:tcBorders>
            <w:shd w:val="clear" w:color="auto" w:fill="auto"/>
            <w:vAlign w:val="center"/>
            <w:hideMark/>
          </w:tcPr>
          <w:p w14:paraId="55A91936" w14:textId="77777777" w:rsidR="00FF5D6C" w:rsidRPr="00FF5D6C" w:rsidRDefault="00FF5D6C" w:rsidP="00FF5D6C">
            <w:pPr>
              <w:rPr>
                <w:rFonts w:ascii="Arial Narrow" w:eastAsia="Times New Roman" w:hAnsi="Arial Narrow" w:cs="Calibri"/>
                <w:b/>
                <w:bCs/>
                <w:color w:val="000000"/>
                <w:sz w:val="22"/>
                <w:szCs w:val="22"/>
              </w:rPr>
            </w:pPr>
            <w:r w:rsidRPr="00FF5D6C">
              <w:rPr>
                <w:rFonts w:ascii="Arial Narrow" w:eastAsia="Times New Roman" w:hAnsi="Arial Narrow" w:cs="Calibri"/>
                <w:b/>
                <w:bCs/>
                <w:color w:val="000000"/>
                <w:sz w:val="22"/>
                <w:szCs w:val="22"/>
              </w:rPr>
              <w:t xml:space="preserve"> </w:t>
            </w:r>
          </w:p>
        </w:tc>
      </w:tr>
    </w:tbl>
    <w:p w14:paraId="21A6D268" w14:textId="77777777" w:rsidR="00FF5D6C" w:rsidRDefault="00FF5D6C" w:rsidP="006E54C7">
      <w:pPr>
        <w:pStyle w:val="Default"/>
        <w:ind w:left="1134" w:hanging="1134"/>
        <w:jc w:val="both"/>
        <w:rPr>
          <w:color w:val="auto"/>
          <w:sz w:val="22"/>
          <w:szCs w:val="22"/>
          <w:lang w:val="es-CR"/>
        </w:rPr>
      </w:pPr>
    </w:p>
    <w:p w14:paraId="427299B1" w14:textId="417EEC73" w:rsidR="006E54C7" w:rsidRDefault="006E54C7" w:rsidP="006E54C7">
      <w:pPr>
        <w:pStyle w:val="Default"/>
        <w:ind w:left="1134" w:hanging="1134"/>
        <w:jc w:val="both"/>
        <w:rPr>
          <w:rFonts w:eastAsia="Arial"/>
          <w:b/>
          <w:sz w:val="22"/>
          <w:szCs w:val="22"/>
        </w:rPr>
      </w:pPr>
      <w:r w:rsidRPr="00F02F9D">
        <w:rPr>
          <w:rFonts w:eastAsia="Arial"/>
          <w:b/>
          <w:sz w:val="22"/>
          <w:szCs w:val="22"/>
        </w:rPr>
        <w:lastRenderedPageBreak/>
        <w:t>Políticas Contables</w:t>
      </w:r>
    </w:p>
    <w:p w14:paraId="76B92296" w14:textId="77777777" w:rsidR="006E54C7" w:rsidRDefault="006E54C7" w:rsidP="006E54C7">
      <w:pPr>
        <w:pStyle w:val="Default"/>
        <w:ind w:left="1134" w:hanging="1134"/>
        <w:jc w:val="both"/>
        <w:rPr>
          <w:color w:val="auto"/>
          <w:sz w:val="22"/>
          <w:szCs w:val="22"/>
          <w:lang w:val="es-CR"/>
        </w:rPr>
      </w:pPr>
    </w:p>
    <w:p w14:paraId="636533AD" w14:textId="02EB9B3E" w:rsidR="00FF5D6C" w:rsidRPr="008D294D" w:rsidRDefault="00FF5D6C">
      <w:pPr>
        <w:pStyle w:val="Default"/>
        <w:numPr>
          <w:ilvl w:val="3"/>
          <w:numId w:val="258"/>
        </w:numPr>
        <w:ind w:left="1134" w:hanging="1134"/>
        <w:jc w:val="both"/>
        <w:rPr>
          <w:sz w:val="22"/>
          <w:szCs w:val="22"/>
          <w:lang w:val="es-CR"/>
        </w:rPr>
      </w:pPr>
      <w:r w:rsidRPr="008D294D">
        <w:rPr>
          <w:sz w:val="22"/>
          <w:szCs w:val="22"/>
          <w:lang w:val="es-CR"/>
        </w:rPr>
        <w:t>Deberá revelarse en el E</w:t>
      </w:r>
      <w:r w:rsidR="00980BB0" w:rsidRPr="008D294D">
        <w:rPr>
          <w:sz w:val="22"/>
          <w:szCs w:val="22"/>
          <w:lang w:val="es-CR"/>
        </w:rPr>
        <w:t xml:space="preserve">stado de </w:t>
      </w:r>
      <w:r w:rsidRPr="008D294D">
        <w:rPr>
          <w:sz w:val="22"/>
          <w:szCs w:val="22"/>
          <w:lang w:val="es-CR"/>
        </w:rPr>
        <w:t>R</w:t>
      </w:r>
      <w:r w:rsidR="00980BB0" w:rsidRPr="008D294D">
        <w:rPr>
          <w:sz w:val="22"/>
          <w:szCs w:val="22"/>
          <w:lang w:val="es-CR"/>
        </w:rPr>
        <w:t xml:space="preserve">endimientos </w:t>
      </w:r>
      <w:r w:rsidRPr="008D294D">
        <w:rPr>
          <w:sz w:val="22"/>
          <w:szCs w:val="22"/>
          <w:lang w:val="es-CR"/>
        </w:rPr>
        <w:t>F</w:t>
      </w:r>
      <w:r w:rsidR="00980BB0" w:rsidRPr="008D294D">
        <w:rPr>
          <w:sz w:val="22"/>
          <w:szCs w:val="22"/>
          <w:lang w:val="es-CR"/>
        </w:rPr>
        <w:t>inanieros</w:t>
      </w:r>
      <w:r w:rsidRPr="008D294D">
        <w:rPr>
          <w:sz w:val="22"/>
          <w:szCs w:val="22"/>
          <w:lang w:val="es-CR"/>
        </w:rPr>
        <w:t xml:space="preserve"> o en Notas:</w:t>
      </w:r>
    </w:p>
    <w:p w14:paraId="70014B65" w14:textId="77777777" w:rsidR="00FF5D6C" w:rsidRPr="008D294D" w:rsidRDefault="00FF5D6C" w:rsidP="00FF5D6C">
      <w:pPr>
        <w:pStyle w:val="Default"/>
        <w:jc w:val="both"/>
        <w:rPr>
          <w:b/>
          <w:bCs/>
          <w:sz w:val="22"/>
          <w:szCs w:val="22"/>
          <w:lang w:val="es-CR"/>
        </w:rPr>
      </w:pPr>
    </w:p>
    <w:p w14:paraId="4CADC93D" w14:textId="466ADD08" w:rsidR="00980BB0" w:rsidRPr="008D294D" w:rsidRDefault="00FF5D6C" w:rsidP="009111C2">
      <w:pPr>
        <w:pStyle w:val="Default"/>
        <w:ind w:left="1134"/>
        <w:jc w:val="both"/>
        <w:rPr>
          <w:sz w:val="22"/>
          <w:szCs w:val="22"/>
          <w:lang w:val="es-CR"/>
        </w:rPr>
      </w:pPr>
      <w:r w:rsidRPr="008D294D">
        <w:rPr>
          <w:b/>
          <w:bCs/>
          <w:sz w:val="22"/>
          <w:szCs w:val="22"/>
          <w:lang w:val="es-CR"/>
        </w:rPr>
        <w:t xml:space="preserve">Las siguientes partidas de ingresos, gastos, ganancias o pérdidas: </w:t>
      </w:r>
    </w:p>
    <w:p w14:paraId="0D9839A1" w14:textId="77777777" w:rsidR="00980BB0" w:rsidRPr="008D294D" w:rsidRDefault="00980BB0" w:rsidP="00980BB0">
      <w:pPr>
        <w:pStyle w:val="Default"/>
        <w:jc w:val="both"/>
        <w:rPr>
          <w:sz w:val="22"/>
          <w:szCs w:val="22"/>
          <w:lang w:val="es-CR"/>
        </w:rPr>
      </w:pPr>
    </w:p>
    <w:p w14:paraId="54E6DB93" w14:textId="77777777" w:rsidR="00C16E66" w:rsidRPr="008D294D" w:rsidRDefault="00980BB0">
      <w:pPr>
        <w:pStyle w:val="Default"/>
        <w:numPr>
          <w:ilvl w:val="1"/>
          <w:numId w:val="116"/>
        </w:numPr>
        <w:jc w:val="both"/>
        <w:rPr>
          <w:sz w:val="22"/>
          <w:szCs w:val="22"/>
          <w:lang w:val="es-CR"/>
        </w:rPr>
      </w:pPr>
      <w:r w:rsidRPr="008D294D">
        <w:rPr>
          <w:sz w:val="22"/>
          <w:szCs w:val="22"/>
          <w:lang w:val="es-CR"/>
        </w:rPr>
        <w:t>G</w:t>
      </w:r>
      <w:r w:rsidR="00FF5D6C" w:rsidRPr="008D294D">
        <w:rPr>
          <w:sz w:val="22"/>
          <w:szCs w:val="22"/>
          <w:lang w:val="es-CR"/>
        </w:rPr>
        <w:t>anancias o pérdidas netas por:</w:t>
      </w:r>
    </w:p>
    <w:p w14:paraId="0B4981BF" w14:textId="240FD591" w:rsidR="00FF5D6C" w:rsidRPr="008D294D" w:rsidRDefault="00FF5D6C" w:rsidP="00C16E66">
      <w:pPr>
        <w:pStyle w:val="Default"/>
        <w:ind w:left="1440"/>
        <w:jc w:val="both"/>
        <w:rPr>
          <w:sz w:val="22"/>
          <w:szCs w:val="22"/>
          <w:lang w:val="es-CR"/>
        </w:rPr>
      </w:pPr>
      <w:r w:rsidRPr="008D294D">
        <w:rPr>
          <w:sz w:val="22"/>
          <w:szCs w:val="22"/>
          <w:lang w:val="es-CR"/>
        </w:rPr>
        <w:t xml:space="preserve"> </w:t>
      </w:r>
    </w:p>
    <w:p w14:paraId="18B72BA4" w14:textId="282054DA" w:rsidR="00980BB0" w:rsidRPr="008D294D" w:rsidRDefault="00980BB0">
      <w:pPr>
        <w:pStyle w:val="Default"/>
        <w:numPr>
          <w:ilvl w:val="0"/>
          <w:numId w:val="259"/>
        </w:numPr>
        <w:spacing w:after="120"/>
        <w:ind w:left="1701" w:hanging="142"/>
        <w:jc w:val="both"/>
        <w:rPr>
          <w:sz w:val="22"/>
          <w:szCs w:val="22"/>
          <w:lang w:val="es-CR"/>
        </w:rPr>
      </w:pPr>
      <w:r w:rsidRPr="008D294D">
        <w:rPr>
          <w:sz w:val="22"/>
          <w:szCs w:val="22"/>
          <w:lang w:val="es-CR"/>
        </w:rPr>
        <w:t>A</w:t>
      </w:r>
      <w:r w:rsidR="00FF5D6C" w:rsidRPr="008D294D">
        <w:rPr>
          <w:sz w:val="22"/>
          <w:szCs w:val="22"/>
          <w:lang w:val="es-CR"/>
        </w:rPr>
        <w:t xml:space="preserve">ctivos financieros o pasivos financieros al valor razonable con </w:t>
      </w:r>
      <w:r w:rsidR="005907B3" w:rsidRPr="008D294D">
        <w:rPr>
          <w:sz w:val="22"/>
          <w:szCs w:val="22"/>
          <w:lang w:val="es-CR"/>
        </w:rPr>
        <w:t>ca</w:t>
      </w:r>
      <w:r w:rsidR="005907B3">
        <w:rPr>
          <w:sz w:val="22"/>
          <w:szCs w:val="22"/>
          <w:lang w:val="es-CR"/>
        </w:rPr>
        <w:t>mbi</w:t>
      </w:r>
      <w:r w:rsidR="005907B3" w:rsidRPr="008D294D">
        <w:rPr>
          <w:sz w:val="22"/>
          <w:szCs w:val="22"/>
          <w:lang w:val="es-CR"/>
        </w:rPr>
        <w:t>os</w:t>
      </w:r>
      <w:r w:rsidR="00FF5D6C" w:rsidRPr="008D294D">
        <w:rPr>
          <w:sz w:val="22"/>
          <w:szCs w:val="22"/>
          <w:lang w:val="es-CR"/>
        </w:rPr>
        <w:t xml:space="preserve"> en resultados, mostrando de forma separada las correspondientes a los activos financieros o pasivos financieros designados como tales en el reconocimiento inicial, y las de los activos financieros y pasivos financieros que se hayan clasificado como mantenidos para negociar; </w:t>
      </w:r>
    </w:p>
    <w:p w14:paraId="6B91A82F" w14:textId="77777777" w:rsidR="00980BB0" w:rsidRPr="008D294D" w:rsidRDefault="00980BB0">
      <w:pPr>
        <w:pStyle w:val="Default"/>
        <w:numPr>
          <w:ilvl w:val="0"/>
          <w:numId w:val="259"/>
        </w:numPr>
        <w:spacing w:after="120"/>
        <w:ind w:left="1701" w:hanging="142"/>
        <w:jc w:val="both"/>
        <w:rPr>
          <w:sz w:val="22"/>
          <w:szCs w:val="22"/>
          <w:lang w:val="es-CR"/>
        </w:rPr>
      </w:pPr>
      <w:r w:rsidRPr="008D294D">
        <w:rPr>
          <w:sz w:val="22"/>
          <w:szCs w:val="22"/>
          <w:lang w:val="es-CR"/>
        </w:rPr>
        <w:t>I</w:t>
      </w:r>
      <w:r w:rsidR="00FF5D6C" w:rsidRPr="008D294D">
        <w:rPr>
          <w:sz w:val="22"/>
          <w:szCs w:val="22"/>
          <w:lang w:val="es-CR"/>
        </w:rPr>
        <w:t xml:space="preserve">nversiones mantenidas hasta el vencimiento; </w:t>
      </w:r>
    </w:p>
    <w:p w14:paraId="44969B06" w14:textId="77777777" w:rsidR="00980BB0" w:rsidRPr="008D294D" w:rsidRDefault="00980BB0">
      <w:pPr>
        <w:pStyle w:val="Default"/>
        <w:numPr>
          <w:ilvl w:val="0"/>
          <w:numId w:val="259"/>
        </w:numPr>
        <w:spacing w:after="120"/>
        <w:ind w:left="1701" w:hanging="142"/>
        <w:jc w:val="both"/>
        <w:rPr>
          <w:sz w:val="22"/>
          <w:szCs w:val="22"/>
          <w:lang w:val="es-CR"/>
        </w:rPr>
      </w:pPr>
      <w:r w:rsidRPr="008D294D">
        <w:rPr>
          <w:sz w:val="22"/>
          <w:szCs w:val="22"/>
          <w:lang w:val="es-CR"/>
        </w:rPr>
        <w:t>P</w:t>
      </w:r>
      <w:r w:rsidR="00FF5D6C" w:rsidRPr="008D294D">
        <w:rPr>
          <w:sz w:val="22"/>
          <w:szCs w:val="22"/>
          <w:lang w:val="es-CR"/>
        </w:rPr>
        <w:t xml:space="preserve">réstamos y cuentas por cobrar; y </w:t>
      </w:r>
    </w:p>
    <w:p w14:paraId="1D25AF1D" w14:textId="26185E49" w:rsidR="00FF5D6C" w:rsidRPr="008D294D" w:rsidRDefault="00980BB0">
      <w:pPr>
        <w:pStyle w:val="Default"/>
        <w:numPr>
          <w:ilvl w:val="0"/>
          <w:numId w:val="259"/>
        </w:numPr>
        <w:spacing w:after="20"/>
        <w:ind w:left="1701" w:hanging="141"/>
        <w:jc w:val="both"/>
        <w:rPr>
          <w:sz w:val="22"/>
          <w:szCs w:val="22"/>
          <w:lang w:val="es-CR"/>
        </w:rPr>
      </w:pPr>
      <w:r w:rsidRPr="008D294D">
        <w:rPr>
          <w:sz w:val="22"/>
          <w:szCs w:val="22"/>
          <w:lang w:val="es-CR"/>
        </w:rPr>
        <w:t>P</w:t>
      </w:r>
      <w:r w:rsidR="00FF5D6C" w:rsidRPr="008D294D">
        <w:rPr>
          <w:sz w:val="22"/>
          <w:szCs w:val="22"/>
          <w:lang w:val="es-CR"/>
        </w:rPr>
        <w:t>asivos financieros medidos al costo amortizado;</w:t>
      </w:r>
    </w:p>
    <w:p w14:paraId="01266369" w14:textId="77777777" w:rsidR="00980BB0" w:rsidRPr="008D294D" w:rsidRDefault="00980BB0" w:rsidP="00980BB0">
      <w:pPr>
        <w:pStyle w:val="Default"/>
        <w:spacing w:after="20"/>
        <w:ind w:left="1843"/>
        <w:jc w:val="both"/>
        <w:rPr>
          <w:sz w:val="22"/>
          <w:szCs w:val="22"/>
          <w:lang w:val="es-CR"/>
        </w:rPr>
      </w:pPr>
    </w:p>
    <w:p w14:paraId="0CBEF88A" w14:textId="64F93AC4" w:rsidR="00980BB0" w:rsidRPr="008D294D" w:rsidRDefault="00980BB0">
      <w:pPr>
        <w:pStyle w:val="Default"/>
        <w:numPr>
          <w:ilvl w:val="1"/>
          <w:numId w:val="116"/>
        </w:numPr>
        <w:spacing w:after="120"/>
        <w:ind w:left="1434" w:hanging="357"/>
        <w:jc w:val="both"/>
        <w:rPr>
          <w:sz w:val="22"/>
          <w:szCs w:val="22"/>
          <w:lang w:val="es-CR"/>
        </w:rPr>
      </w:pPr>
      <w:r w:rsidRPr="008D294D">
        <w:rPr>
          <w:sz w:val="22"/>
          <w:szCs w:val="22"/>
          <w:lang w:val="es-CR"/>
        </w:rPr>
        <w:t>I</w:t>
      </w:r>
      <w:r w:rsidR="00FF5D6C" w:rsidRPr="008D294D">
        <w:rPr>
          <w:sz w:val="22"/>
          <w:szCs w:val="22"/>
          <w:lang w:val="es-CR"/>
        </w:rPr>
        <w:t xml:space="preserve">mportes totales de los ingresos y de los gastos por intereses (calculados utilizando el método de la tasa de interés efectiva) producidos por los </w:t>
      </w:r>
      <w:r w:rsidRPr="008D294D">
        <w:rPr>
          <w:sz w:val="22"/>
          <w:szCs w:val="22"/>
          <w:lang w:val="es-CR"/>
        </w:rPr>
        <w:t>activos y los pasivos financieros</w:t>
      </w:r>
      <w:r w:rsidR="00FF5D6C" w:rsidRPr="008D294D">
        <w:rPr>
          <w:sz w:val="22"/>
          <w:szCs w:val="22"/>
          <w:lang w:val="es-CR"/>
        </w:rPr>
        <w:t xml:space="preserve"> que no se midan al valor razonable con </w:t>
      </w:r>
      <w:r w:rsidR="005907B3" w:rsidRPr="008D294D">
        <w:rPr>
          <w:sz w:val="22"/>
          <w:szCs w:val="22"/>
          <w:lang w:val="es-CR"/>
        </w:rPr>
        <w:t>ca</w:t>
      </w:r>
      <w:r w:rsidR="005907B3">
        <w:rPr>
          <w:sz w:val="22"/>
          <w:szCs w:val="22"/>
          <w:lang w:val="es-CR"/>
        </w:rPr>
        <w:t>mbi</w:t>
      </w:r>
      <w:r w:rsidR="005907B3" w:rsidRPr="008D294D">
        <w:rPr>
          <w:sz w:val="22"/>
          <w:szCs w:val="22"/>
          <w:lang w:val="es-CR"/>
        </w:rPr>
        <w:t>os</w:t>
      </w:r>
      <w:r w:rsidR="00FF5D6C" w:rsidRPr="008D294D">
        <w:rPr>
          <w:sz w:val="22"/>
          <w:szCs w:val="22"/>
          <w:lang w:val="es-CR"/>
        </w:rPr>
        <w:t xml:space="preserve"> en resultados (ahorro o desahorro);</w:t>
      </w:r>
    </w:p>
    <w:p w14:paraId="75DD7469" w14:textId="150E5E49" w:rsidR="00980BB0" w:rsidRPr="008D294D" w:rsidRDefault="00980BB0">
      <w:pPr>
        <w:pStyle w:val="Default"/>
        <w:numPr>
          <w:ilvl w:val="1"/>
          <w:numId w:val="116"/>
        </w:numPr>
        <w:spacing w:after="120"/>
        <w:ind w:left="1434" w:hanging="357"/>
        <w:jc w:val="both"/>
        <w:rPr>
          <w:sz w:val="22"/>
          <w:szCs w:val="22"/>
          <w:lang w:val="es-CR"/>
        </w:rPr>
      </w:pPr>
      <w:r w:rsidRPr="008D294D">
        <w:rPr>
          <w:sz w:val="22"/>
          <w:szCs w:val="22"/>
          <w:lang w:val="es-CR"/>
        </w:rPr>
        <w:t>A</w:t>
      </w:r>
      <w:r w:rsidR="00FF5D6C" w:rsidRPr="008D294D">
        <w:rPr>
          <w:sz w:val="22"/>
          <w:szCs w:val="22"/>
          <w:lang w:val="es-CR"/>
        </w:rPr>
        <w:t xml:space="preserve">ctivos financieros o pasivo financieros que no se midan al valor razonable con </w:t>
      </w:r>
      <w:r w:rsidR="005907B3" w:rsidRPr="008D294D">
        <w:rPr>
          <w:sz w:val="22"/>
          <w:szCs w:val="22"/>
          <w:lang w:val="es-CR"/>
        </w:rPr>
        <w:t>ca</w:t>
      </w:r>
      <w:r w:rsidR="005907B3">
        <w:rPr>
          <w:sz w:val="22"/>
          <w:szCs w:val="22"/>
          <w:lang w:val="es-CR"/>
        </w:rPr>
        <w:t>mbi</w:t>
      </w:r>
      <w:r w:rsidR="005907B3" w:rsidRPr="008D294D">
        <w:rPr>
          <w:sz w:val="22"/>
          <w:szCs w:val="22"/>
          <w:lang w:val="es-CR"/>
        </w:rPr>
        <w:t>os</w:t>
      </w:r>
      <w:r w:rsidR="00FF5D6C" w:rsidRPr="008D294D">
        <w:rPr>
          <w:sz w:val="22"/>
          <w:szCs w:val="22"/>
          <w:lang w:val="es-CR"/>
        </w:rPr>
        <w:t xml:space="preserve"> en resultados (ahorro o desahorro); y</w:t>
      </w:r>
    </w:p>
    <w:p w14:paraId="524DF07F" w14:textId="77777777" w:rsidR="00980BB0" w:rsidRPr="008D294D" w:rsidRDefault="00980BB0">
      <w:pPr>
        <w:pStyle w:val="Default"/>
        <w:numPr>
          <w:ilvl w:val="1"/>
          <w:numId w:val="116"/>
        </w:numPr>
        <w:spacing w:after="120"/>
        <w:ind w:left="1434" w:hanging="357"/>
        <w:jc w:val="both"/>
        <w:rPr>
          <w:sz w:val="22"/>
          <w:szCs w:val="22"/>
          <w:lang w:val="es-CR"/>
        </w:rPr>
      </w:pPr>
      <w:r w:rsidRPr="008D294D">
        <w:rPr>
          <w:sz w:val="22"/>
          <w:szCs w:val="22"/>
          <w:lang w:val="es-CR"/>
        </w:rPr>
        <w:t>I</w:t>
      </w:r>
      <w:r w:rsidR="00FF5D6C" w:rsidRPr="008D294D">
        <w:rPr>
          <w:sz w:val="22"/>
          <w:szCs w:val="22"/>
          <w:lang w:val="es-CR"/>
        </w:rPr>
        <w:t xml:space="preserve">ngresos por intereses sobre activos financieros deteriorados; y </w:t>
      </w:r>
    </w:p>
    <w:p w14:paraId="79DD0193" w14:textId="211E9B9E" w:rsidR="00FF5D6C" w:rsidRPr="008D294D" w:rsidRDefault="00980BB0">
      <w:pPr>
        <w:pStyle w:val="Default"/>
        <w:numPr>
          <w:ilvl w:val="1"/>
          <w:numId w:val="116"/>
        </w:numPr>
        <w:spacing w:after="120"/>
        <w:ind w:left="1434" w:hanging="357"/>
        <w:jc w:val="both"/>
        <w:rPr>
          <w:sz w:val="22"/>
          <w:szCs w:val="22"/>
          <w:lang w:val="es-CR"/>
        </w:rPr>
      </w:pPr>
      <w:r w:rsidRPr="008D294D">
        <w:rPr>
          <w:sz w:val="22"/>
          <w:szCs w:val="22"/>
          <w:lang w:val="es-CR"/>
        </w:rPr>
        <w:t>E</w:t>
      </w:r>
      <w:r w:rsidR="00FF5D6C" w:rsidRPr="008D294D">
        <w:rPr>
          <w:sz w:val="22"/>
          <w:szCs w:val="22"/>
          <w:lang w:val="es-CR"/>
        </w:rPr>
        <w:t>l importe de las pérdidas por deterioro para cada clase de activo financiero.</w:t>
      </w:r>
    </w:p>
    <w:p w14:paraId="1DA8A434" w14:textId="7E0F92EC" w:rsidR="00C16E66" w:rsidRPr="008D294D" w:rsidRDefault="00C16E66">
      <w:pPr>
        <w:pStyle w:val="Default"/>
        <w:numPr>
          <w:ilvl w:val="1"/>
          <w:numId w:val="116"/>
        </w:numPr>
        <w:jc w:val="both"/>
        <w:rPr>
          <w:sz w:val="22"/>
          <w:szCs w:val="22"/>
          <w:lang w:val="es-CR"/>
        </w:rPr>
      </w:pPr>
      <w:r w:rsidRPr="008D294D">
        <w:rPr>
          <w:sz w:val="22"/>
          <w:szCs w:val="22"/>
          <w:lang w:val="es-CR"/>
        </w:rPr>
        <w:t xml:space="preserve">Una conciliación de los saldos al inicio con los saldos de cierre, revelando de forma separada los </w:t>
      </w:r>
      <w:r w:rsidR="005907B3" w:rsidRPr="008D294D">
        <w:rPr>
          <w:sz w:val="22"/>
          <w:szCs w:val="22"/>
          <w:lang w:val="es-CR"/>
        </w:rPr>
        <w:t>ca</w:t>
      </w:r>
      <w:r w:rsidR="005907B3">
        <w:rPr>
          <w:sz w:val="22"/>
          <w:szCs w:val="22"/>
          <w:lang w:val="es-CR"/>
        </w:rPr>
        <w:t>mbi</w:t>
      </w:r>
      <w:r w:rsidR="005907B3" w:rsidRPr="008D294D">
        <w:rPr>
          <w:sz w:val="22"/>
          <w:szCs w:val="22"/>
          <w:lang w:val="es-CR"/>
        </w:rPr>
        <w:t>os</w:t>
      </w:r>
      <w:r w:rsidRPr="008D294D">
        <w:rPr>
          <w:sz w:val="22"/>
          <w:szCs w:val="22"/>
          <w:lang w:val="es-CR"/>
        </w:rPr>
        <w:t xml:space="preserve"> durante el periodo producto de:</w:t>
      </w:r>
    </w:p>
    <w:p w14:paraId="63234CD7" w14:textId="77777777" w:rsidR="00B71423" w:rsidRPr="008D294D" w:rsidRDefault="00B71423" w:rsidP="00B71423">
      <w:pPr>
        <w:pStyle w:val="Default"/>
        <w:ind w:left="720"/>
        <w:jc w:val="both"/>
        <w:rPr>
          <w:sz w:val="22"/>
          <w:szCs w:val="22"/>
          <w:lang w:val="es-CR"/>
        </w:rPr>
      </w:pPr>
    </w:p>
    <w:p w14:paraId="12EE9C85" w14:textId="48007762" w:rsidR="00C16E66" w:rsidRPr="008D294D" w:rsidRDefault="00E70645">
      <w:pPr>
        <w:pStyle w:val="Default"/>
        <w:numPr>
          <w:ilvl w:val="0"/>
          <w:numId w:val="261"/>
        </w:numPr>
        <w:spacing w:after="120"/>
        <w:ind w:left="1701" w:hanging="142"/>
        <w:jc w:val="both"/>
        <w:rPr>
          <w:sz w:val="22"/>
          <w:szCs w:val="22"/>
          <w:lang w:val="es-CR"/>
        </w:rPr>
      </w:pPr>
      <w:r w:rsidRPr="008D294D">
        <w:rPr>
          <w:sz w:val="22"/>
          <w:szCs w:val="22"/>
          <w:lang w:val="es-CR"/>
        </w:rPr>
        <w:t>Las g</w:t>
      </w:r>
      <w:r w:rsidR="00C16E66" w:rsidRPr="008D294D">
        <w:rPr>
          <w:sz w:val="22"/>
          <w:szCs w:val="22"/>
          <w:lang w:val="es-CR"/>
        </w:rPr>
        <w:t xml:space="preserve">anancias </w:t>
      </w:r>
      <w:r w:rsidRPr="008D294D">
        <w:rPr>
          <w:sz w:val="22"/>
          <w:szCs w:val="22"/>
          <w:lang w:val="es-CR"/>
        </w:rPr>
        <w:t>o</w:t>
      </w:r>
      <w:r w:rsidR="00C16E66" w:rsidRPr="008D294D">
        <w:rPr>
          <w:sz w:val="22"/>
          <w:szCs w:val="22"/>
          <w:lang w:val="es-CR"/>
        </w:rPr>
        <w:t xml:space="preserve"> </w:t>
      </w:r>
      <w:r w:rsidRPr="008D294D">
        <w:rPr>
          <w:sz w:val="22"/>
          <w:szCs w:val="22"/>
          <w:lang w:val="es-CR"/>
        </w:rPr>
        <w:t>pérdidas</w:t>
      </w:r>
      <w:r w:rsidR="00C16E66" w:rsidRPr="008D294D">
        <w:rPr>
          <w:sz w:val="22"/>
          <w:szCs w:val="22"/>
          <w:lang w:val="es-CR"/>
        </w:rPr>
        <w:t xml:space="preserve"> totales reconocidas en resultados y una descripción de donde </w:t>
      </w:r>
      <w:r w:rsidRPr="008D294D">
        <w:rPr>
          <w:sz w:val="22"/>
          <w:szCs w:val="22"/>
          <w:lang w:val="es-CR"/>
        </w:rPr>
        <w:t>se presentan en el estado de rendimientos financieros.</w:t>
      </w:r>
    </w:p>
    <w:p w14:paraId="40675C99" w14:textId="3AA1EF05" w:rsidR="00E70645" w:rsidRPr="008D294D" w:rsidRDefault="00E70645">
      <w:pPr>
        <w:pStyle w:val="Default"/>
        <w:numPr>
          <w:ilvl w:val="0"/>
          <w:numId w:val="261"/>
        </w:numPr>
        <w:spacing w:after="120"/>
        <w:ind w:left="1701" w:hanging="142"/>
        <w:jc w:val="both"/>
        <w:rPr>
          <w:sz w:val="22"/>
          <w:szCs w:val="22"/>
          <w:lang w:val="es-CR"/>
        </w:rPr>
      </w:pPr>
      <w:r w:rsidRPr="008D294D">
        <w:rPr>
          <w:sz w:val="22"/>
          <w:szCs w:val="22"/>
          <w:lang w:val="es-CR"/>
        </w:rPr>
        <w:t xml:space="preserve">Las ganancias y pérdidas </w:t>
      </w:r>
      <w:r w:rsidR="00B71423" w:rsidRPr="008D294D">
        <w:rPr>
          <w:sz w:val="22"/>
          <w:szCs w:val="22"/>
          <w:lang w:val="es-CR"/>
        </w:rPr>
        <w:t>relacionadas con aquellos activos y pasivos que se mantengan al final del periodo que se informa y una descripción de dónde se presentan dichas ganancias o pérdidas en el ERF.</w:t>
      </w:r>
    </w:p>
    <w:p w14:paraId="58C398F7" w14:textId="7DFFB9D1" w:rsidR="00B71423" w:rsidRPr="008D294D" w:rsidRDefault="00B71423">
      <w:pPr>
        <w:pStyle w:val="Default"/>
        <w:numPr>
          <w:ilvl w:val="0"/>
          <w:numId w:val="261"/>
        </w:numPr>
        <w:tabs>
          <w:tab w:val="left" w:pos="1843"/>
        </w:tabs>
        <w:ind w:left="1701" w:hanging="141"/>
        <w:jc w:val="both"/>
        <w:rPr>
          <w:sz w:val="22"/>
          <w:szCs w:val="22"/>
          <w:lang w:val="es-CR"/>
        </w:rPr>
      </w:pPr>
      <w:r w:rsidRPr="008D294D">
        <w:rPr>
          <w:sz w:val="22"/>
          <w:szCs w:val="22"/>
          <w:lang w:val="es-CR"/>
        </w:rPr>
        <w:t xml:space="preserve">Las ganancias y </w:t>
      </w:r>
      <w:r w:rsidR="005907B3" w:rsidRPr="008D294D">
        <w:rPr>
          <w:sz w:val="22"/>
          <w:szCs w:val="22"/>
          <w:lang w:val="es-CR"/>
        </w:rPr>
        <w:t>pérdidas</w:t>
      </w:r>
      <w:r w:rsidRPr="008D294D">
        <w:rPr>
          <w:sz w:val="22"/>
          <w:szCs w:val="22"/>
          <w:lang w:val="es-CR"/>
        </w:rPr>
        <w:t xml:space="preserve"> reconocidas en el activo neto/patrimonio.</w:t>
      </w:r>
    </w:p>
    <w:p w14:paraId="533517EF" w14:textId="77777777" w:rsidR="00B71423" w:rsidRPr="008D294D" w:rsidRDefault="00B71423" w:rsidP="00B71423">
      <w:pPr>
        <w:pStyle w:val="Default"/>
        <w:tabs>
          <w:tab w:val="left" w:pos="1843"/>
        </w:tabs>
        <w:jc w:val="both"/>
        <w:rPr>
          <w:sz w:val="22"/>
          <w:szCs w:val="22"/>
          <w:lang w:val="es-CR"/>
        </w:rPr>
      </w:pPr>
    </w:p>
    <w:p w14:paraId="666C28E6" w14:textId="550D4175" w:rsidR="00B71423" w:rsidRPr="008D294D" w:rsidRDefault="00B71423">
      <w:pPr>
        <w:pStyle w:val="Default"/>
        <w:numPr>
          <w:ilvl w:val="1"/>
          <w:numId w:val="116"/>
        </w:numPr>
        <w:jc w:val="both"/>
        <w:rPr>
          <w:sz w:val="22"/>
          <w:szCs w:val="22"/>
          <w:lang w:val="es-CR"/>
        </w:rPr>
      </w:pPr>
      <w:r w:rsidRPr="008D294D">
        <w:rPr>
          <w:sz w:val="22"/>
          <w:szCs w:val="22"/>
          <w:lang w:val="es-CR"/>
        </w:rPr>
        <w:t xml:space="preserve">Se debe revelar el origen de los </w:t>
      </w:r>
      <w:r w:rsidR="005907B3" w:rsidRPr="008D294D">
        <w:rPr>
          <w:sz w:val="22"/>
          <w:szCs w:val="22"/>
          <w:lang w:val="es-CR"/>
        </w:rPr>
        <w:t>ca</w:t>
      </w:r>
      <w:r w:rsidR="005907B3">
        <w:rPr>
          <w:sz w:val="22"/>
          <w:szCs w:val="22"/>
          <w:lang w:val="es-CR"/>
        </w:rPr>
        <w:t>mbi</w:t>
      </w:r>
      <w:r w:rsidR="005907B3" w:rsidRPr="008D294D">
        <w:rPr>
          <w:sz w:val="22"/>
          <w:szCs w:val="22"/>
          <w:lang w:val="es-CR"/>
        </w:rPr>
        <w:t>os</w:t>
      </w:r>
      <w:r w:rsidRPr="008D294D">
        <w:rPr>
          <w:sz w:val="22"/>
          <w:szCs w:val="22"/>
          <w:lang w:val="es-CR"/>
        </w:rPr>
        <w:t xml:space="preserve"> materiales, así como fue calculado el efecto de los </w:t>
      </w:r>
      <w:r w:rsidR="005907B3" w:rsidRPr="008D294D">
        <w:rPr>
          <w:sz w:val="22"/>
          <w:szCs w:val="22"/>
          <w:lang w:val="es-CR"/>
        </w:rPr>
        <w:t>ca</w:t>
      </w:r>
      <w:r w:rsidR="005907B3">
        <w:rPr>
          <w:sz w:val="22"/>
          <w:szCs w:val="22"/>
          <w:lang w:val="es-CR"/>
        </w:rPr>
        <w:t>mbi</w:t>
      </w:r>
      <w:r w:rsidR="005907B3" w:rsidRPr="008D294D">
        <w:rPr>
          <w:sz w:val="22"/>
          <w:szCs w:val="22"/>
          <w:lang w:val="es-CR"/>
        </w:rPr>
        <w:t>os</w:t>
      </w:r>
      <w:r w:rsidRPr="008D294D">
        <w:rPr>
          <w:sz w:val="22"/>
          <w:szCs w:val="22"/>
          <w:lang w:val="es-CR"/>
        </w:rPr>
        <w:t xml:space="preserve"> hacia suposiciones alternativa</w:t>
      </w:r>
      <w:r w:rsidR="006235EF" w:rsidRPr="008D294D">
        <w:rPr>
          <w:sz w:val="22"/>
          <w:szCs w:val="22"/>
          <w:lang w:val="es-CR"/>
        </w:rPr>
        <w:t>s</w:t>
      </w:r>
      <w:r w:rsidRPr="008D294D">
        <w:rPr>
          <w:sz w:val="22"/>
          <w:szCs w:val="22"/>
          <w:lang w:val="es-CR"/>
        </w:rPr>
        <w:t xml:space="preserve"> razonablemente posibles (</w:t>
      </w:r>
      <w:r w:rsidR="006235EF" w:rsidRPr="008D294D">
        <w:rPr>
          <w:sz w:val="22"/>
          <w:szCs w:val="22"/>
          <w:lang w:val="es-CR"/>
        </w:rPr>
        <w:t>la materialidad se calculará con base en</w:t>
      </w:r>
      <w:r w:rsidRPr="008D294D">
        <w:rPr>
          <w:sz w:val="22"/>
          <w:szCs w:val="22"/>
          <w:lang w:val="es-CR"/>
        </w:rPr>
        <w:t xml:space="preserve"> </w:t>
      </w:r>
      <w:r w:rsidR="006235EF" w:rsidRPr="008D294D">
        <w:rPr>
          <w:sz w:val="22"/>
          <w:szCs w:val="22"/>
          <w:lang w:val="es-CR"/>
        </w:rPr>
        <w:t xml:space="preserve">los resultados; </w:t>
      </w:r>
      <w:r w:rsidRPr="008D294D">
        <w:rPr>
          <w:sz w:val="22"/>
          <w:szCs w:val="22"/>
          <w:lang w:val="es-CR"/>
        </w:rPr>
        <w:t>el total de los activos, pasivos o patrimonio)</w:t>
      </w:r>
      <w:r w:rsidR="006235EF" w:rsidRPr="008D294D">
        <w:rPr>
          <w:sz w:val="22"/>
          <w:szCs w:val="22"/>
          <w:lang w:val="es-CR"/>
        </w:rPr>
        <w:t>, según corresponda.</w:t>
      </w:r>
    </w:p>
    <w:p w14:paraId="5407F14A" w14:textId="77777777" w:rsidR="00FF5D6C" w:rsidRPr="008D294D" w:rsidRDefault="00FF5D6C" w:rsidP="00FF5D6C">
      <w:pPr>
        <w:pStyle w:val="Default"/>
        <w:jc w:val="both"/>
        <w:rPr>
          <w:color w:val="auto"/>
          <w:sz w:val="22"/>
          <w:szCs w:val="22"/>
          <w:lang w:val="es-CR"/>
        </w:rPr>
      </w:pPr>
    </w:p>
    <w:p w14:paraId="4A07D81A" w14:textId="77777777" w:rsidR="00F26E3D" w:rsidRPr="008D294D" w:rsidRDefault="001C1308">
      <w:pPr>
        <w:pStyle w:val="Default"/>
        <w:numPr>
          <w:ilvl w:val="3"/>
          <w:numId w:val="258"/>
        </w:numPr>
        <w:ind w:left="1134" w:hanging="1134"/>
        <w:jc w:val="both"/>
        <w:rPr>
          <w:sz w:val="22"/>
          <w:szCs w:val="22"/>
          <w:lang w:val="es-CR"/>
        </w:rPr>
      </w:pPr>
      <w:r w:rsidRPr="008D294D">
        <w:rPr>
          <w:sz w:val="22"/>
          <w:szCs w:val="22"/>
          <w:lang w:val="es-CR"/>
        </w:rPr>
        <w:t>Si el mercado de un instrumento financiero no fuera activo y el importe determinado en esa fecha utilizando una técnica de medición en lugar del precio de transacción fuera una mejor expresión del valor razonable del mismo, deberá revelarse, para cada clase de instrumento financiero:</w:t>
      </w:r>
    </w:p>
    <w:p w14:paraId="2E1F32D1" w14:textId="6A79498F" w:rsidR="001C1308" w:rsidRPr="008D294D" w:rsidRDefault="001C1308" w:rsidP="00F26E3D">
      <w:pPr>
        <w:pStyle w:val="Default"/>
        <w:ind w:left="1134"/>
        <w:jc w:val="both"/>
        <w:rPr>
          <w:sz w:val="22"/>
          <w:szCs w:val="22"/>
          <w:lang w:val="es-CR"/>
        </w:rPr>
      </w:pPr>
      <w:r w:rsidRPr="008D294D">
        <w:rPr>
          <w:sz w:val="22"/>
          <w:szCs w:val="22"/>
          <w:lang w:val="es-CR"/>
        </w:rPr>
        <w:t xml:space="preserve"> </w:t>
      </w:r>
    </w:p>
    <w:p w14:paraId="7DED352B" w14:textId="0E1AE3CF" w:rsidR="001C1308" w:rsidRPr="008D294D" w:rsidRDefault="00F26E3D">
      <w:pPr>
        <w:pStyle w:val="Default"/>
        <w:numPr>
          <w:ilvl w:val="0"/>
          <w:numId w:val="260"/>
        </w:numPr>
        <w:spacing w:after="120"/>
        <w:ind w:left="1418" w:hanging="284"/>
        <w:jc w:val="both"/>
        <w:rPr>
          <w:sz w:val="22"/>
          <w:szCs w:val="22"/>
          <w:lang w:val="es-CR"/>
        </w:rPr>
      </w:pPr>
      <w:r w:rsidRPr="008D294D">
        <w:rPr>
          <w:sz w:val="22"/>
          <w:szCs w:val="22"/>
          <w:lang w:val="es-CR"/>
        </w:rPr>
        <w:t>L</w:t>
      </w:r>
      <w:r w:rsidR="001C1308" w:rsidRPr="008D294D">
        <w:rPr>
          <w:sz w:val="22"/>
          <w:szCs w:val="22"/>
          <w:lang w:val="es-CR"/>
        </w:rPr>
        <w:t>a política contable utilizada para reconocer esa diferencia entre el valor razonable estimado por una técnica de medición y el precio de transacción en resultados; y</w:t>
      </w:r>
    </w:p>
    <w:p w14:paraId="101DAA23" w14:textId="2E8975CF" w:rsidR="001C1308" w:rsidRPr="008D294D" w:rsidRDefault="00F26E3D">
      <w:pPr>
        <w:pStyle w:val="Default"/>
        <w:numPr>
          <w:ilvl w:val="0"/>
          <w:numId w:val="260"/>
        </w:numPr>
        <w:ind w:left="1418" w:hanging="284"/>
        <w:jc w:val="both"/>
        <w:rPr>
          <w:sz w:val="22"/>
          <w:szCs w:val="22"/>
          <w:lang w:val="es-CR"/>
        </w:rPr>
      </w:pPr>
      <w:r w:rsidRPr="008D294D">
        <w:rPr>
          <w:sz w:val="22"/>
          <w:szCs w:val="22"/>
          <w:lang w:val="es-CR"/>
        </w:rPr>
        <w:t>L</w:t>
      </w:r>
      <w:r w:rsidR="001C1308" w:rsidRPr="008D294D">
        <w:rPr>
          <w:sz w:val="22"/>
          <w:szCs w:val="22"/>
          <w:lang w:val="es-CR"/>
        </w:rPr>
        <w:t xml:space="preserve">a diferencia acumulada que no haya sido reconocida todavía en resultados al principio y al final del período, junto con una conciliación de esa diferencia durante ese período con el saldo. </w:t>
      </w:r>
    </w:p>
    <w:p w14:paraId="7E111F05" w14:textId="77777777" w:rsidR="00FF5D6C" w:rsidRDefault="00FF5D6C" w:rsidP="00B278AE">
      <w:pPr>
        <w:pStyle w:val="Default"/>
        <w:ind w:left="1134" w:hanging="1134"/>
        <w:jc w:val="both"/>
        <w:rPr>
          <w:color w:val="auto"/>
          <w:sz w:val="22"/>
          <w:szCs w:val="22"/>
          <w:lang w:val="es-CR"/>
        </w:rPr>
      </w:pPr>
    </w:p>
    <w:p w14:paraId="3ABCC04B" w14:textId="1C141AB2" w:rsidR="008A517B" w:rsidRPr="009E7101" w:rsidRDefault="000A3F77" w:rsidP="009E7101">
      <w:pPr>
        <w:pStyle w:val="Ttulo2"/>
        <w:ind w:left="284"/>
        <w:rPr>
          <w:rFonts w:ascii="Arial" w:eastAsia="Arial" w:hAnsi="Arial" w:cs="Arial"/>
          <w:b/>
          <w:bCs/>
          <w:sz w:val="20"/>
          <w:szCs w:val="20"/>
          <w:lang w:val="es-CR"/>
        </w:rPr>
      </w:pPr>
      <w:bookmarkStart w:id="136" w:name="_Toc172726271"/>
      <w:r w:rsidRPr="009E7101">
        <w:rPr>
          <w:rFonts w:ascii="Arial" w:eastAsia="Arial" w:hAnsi="Arial" w:cs="Arial"/>
          <w:b/>
          <w:bCs/>
          <w:sz w:val="20"/>
          <w:szCs w:val="20"/>
          <w:lang w:val="es-CR"/>
        </w:rPr>
        <w:lastRenderedPageBreak/>
        <w:t>Información a revelar de transacciones con y sin contraprestación</w:t>
      </w:r>
      <w:bookmarkEnd w:id="136"/>
    </w:p>
    <w:p w14:paraId="68F0B9C3" w14:textId="77777777" w:rsidR="000A3F77" w:rsidRDefault="000A3F77" w:rsidP="001D484B">
      <w:pPr>
        <w:pStyle w:val="Default"/>
        <w:ind w:left="1134" w:hanging="1134"/>
        <w:jc w:val="both"/>
        <w:rPr>
          <w:sz w:val="22"/>
          <w:szCs w:val="22"/>
          <w:lang w:val="es-CR"/>
        </w:rPr>
      </w:pPr>
    </w:p>
    <w:tbl>
      <w:tblPr>
        <w:tblW w:w="9301" w:type="dxa"/>
        <w:tblInd w:w="118" w:type="dxa"/>
        <w:tblLayout w:type="fixed"/>
        <w:tblLook w:val="04A0" w:firstRow="1" w:lastRow="0" w:firstColumn="1" w:lastColumn="0" w:noHBand="0" w:noVBand="1"/>
      </w:tblPr>
      <w:tblGrid>
        <w:gridCol w:w="439"/>
        <w:gridCol w:w="709"/>
        <w:gridCol w:w="379"/>
        <w:gridCol w:w="10"/>
        <w:gridCol w:w="3679"/>
        <w:gridCol w:w="10"/>
        <w:gridCol w:w="2159"/>
        <w:gridCol w:w="1899"/>
        <w:gridCol w:w="10"/>
        <w:gridCol w:w="7"/>
      </w:tblGrid>
      <w:tr w:rsidR="0002781C" w:rsidRPr="0002781C" w14:paraId="56FD5CDB" w14:textId="77777777" w:rsidTr="006E54C7">
        <w:trPr>
          <w:trHeight w:val="320"/>
        </w:trPr>
        <w:tc>
          <w:tcPr>
            <w:tcW w:w="1537"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059D9548" w14:textId="77777777" w:rsidR="0002781C" w:rsidRPr="0002781C" w:rsidRDefault="0002781C" w:rsidP="0002781C">
            <w:pPr>
              <w:jc w:val="center"/>
              <w:rPr>
                <w:rFonts w:ascii="Arial Narrow" w:eastAsia="Times New Roman" w:hAnsi="Arial Narrow" w:cs="Calibri"/>
                <w:b/>
                <w:bCs/>
                <w:color w:val="FFFFFF"/>
                <w:sz w:val="22"/>
                <w:szCs w:val="22"/>
              </w:rPr>
            </w:pPr>
            <w:r w:rsidRPr="0002781C">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9748C47" w14:textId="77777777" w:rsidR="0002781C" w:rsidRPr="0002781C" w:rsidRDefault="0002781C" w:rsidP="0002781C">
            <w:pPr>
              <w:jc w:val="center"/>
              <w:rPr>
                <w:rFonts w:ascii="Arial Narrow" w:eastAsia="Times New Roman" w:hAnsi="Arial Narrow" w:cs="Calibri"/>
                <w:b/>
                <w:bCs/>
                <w:color w:val="FFFFFF"/>
                <w:sz w:val="22"/>
                <w:szCs w:val="22"/>
              </w:rPr>
            </w:pPr>
            <w:r w:rsidRPr="0002781C">
              <w:rPr>
                <w:rFonts w:ascii="Arial Narrow" w:eastAsia="Times New Roman" w:hAnsi="Arial Narrow" w:cs="Calibri"/>
                <w:b/>
                <w:bCs/>
                <w:color w:val="FFFFFF"/>
                <w:sz w:val="22"/>
                <w:szCs w:val="22"/>
              </w:rPr>
              <w:t>Concepto</w:t>
            </w:r>
          </w:p>
        </w:tc>
        <w:tc>
          <w:tcPr>
            <w:tcW w:w="4075" w:type="dxa"/>
            <w:gridSpan w:val="4"/>
            <w:tcBorders>
              <w:top w:val="single" w:sz="8" w:space="0" w:color="auto"/>
              <w:left w:val="nil"/>
              <w:bottom w:val="single" w:sz="8" w:space="0" w:color="auto"/>
              <w:right w:val="single" w:sz="8" w:space="0" w:color="000000"/>
            </w:tcBorders>
            <w:shd w:val="clear" w:color="000000" w:fill="203764"/>
            <w:vAlign w:val="center"/>
            <w:hideMark/>
          </w:tcPr>
          <w:p w14:paraId="57363E35" w14:textId="77777777" w:rsidR="0002781C" w:rsidRPr="0002781C" w:rsidRDefault="0002781C" w:rsidP="0002781C">
            <w:pPr>
              <w:jc w:val="center"/>
              <w:rPr>
                <w:rFonts w:ascii="Arial Narrow" w:eastAsia="Times New Roman" w:hAnsi="Arial Narrow" w:cs="Calibri"/>
                <w:b/>
                <w:bCs/>
                <w:color w:val="FFFFFF"/>
                <w:sz w:val="22"/>
                <w:szCs w:val="22"/>
              </w:rPr>
            </w:pPr>
            <w:r w:rsidRPr="0002781C">
              <w:rPr>
                <w:rFonts w:ascii="Arial Narrow" w:eastAsia="Times New Roman" w:hAnsi="Arial Narrow" w:cs="Calibri"/>
                <w:b/>
                <w:bCs/>
                <w:color w:val="FFFFFF"/>
                <w:sz w:val="22"/>
                <w:szCs w:val="22"/>
              </w:rPr>
              <w:t>Referencia</w:t>
            </w:r>
          </w:p>
        </w:tc>
      </w:tr>
      <w:tr w:rsidR="0002781C" w:rsidRPr="006E5442" w14:paraId="0A74B08A" w14:textId="77777777" w:rsidTr="006E54C7">
        <w:trPr>
          <w:gridAfter w:val="2"/>
          <w:wAfter w:w="17" w:type="dxa"/>
          <w:trHeight w:val="940"/>
        </w:trPr>
        <w:tc>
          <w:tcPr>
            <w:tcW w:w="1537" w:type="dxa"/>
            <w:gridSpan w:val="4"/>
            <w:vMerge/>
            <w:tcBorders>
              <w:top w:val="single" w:sz="8" w:space="0" w:color="auto"/>
              <w:left w:val="single" w:sz="8" w:space="0" w:color="auto"/>
              <w:bottom w:val="nil"/>
              <w:right w:val="single" w:sz="8" w:space="0" w:color="000000"/>
            </w:tcBorders>
            <w:vAlign w:val="center"/>
            <w:hideMark/>
          </w:tcPr>
          <w:p w14:paraId="50E02316" w14:textId="77777777" w:rsidR="0002781C" w:rsidRPr="0002781C" w:rsidRDefault="0002781C" w:rsidP="0002781C">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41AEE18D" w14:textId="77777777" w:rsidR="0002781C" w:rsidRPr="0002781C" w:rsidRDefault="0002781C" w:rsidP="0002781C">
            <w:pPr>
              <w:rPr>
                <w:rFonts w:ascii="Arial Narrow" w:eastAsia="Times New Roman" w:hAnsi="Arial Narrow" w:cs="Calibri"/>
                <w:b/>
                <w:bCs/>
                <w:color w:val="FFFFFF"/>
                <w:sz w:val="22"/>
                <w:szCs w:val="22"/>
              </w:rPr>
            </w:pPr>
          </w:p>
        </w:tc>
        <w:tc>
          <w:tcPr>
            <w:tcW w:w="2159" w:type="dxa"/>
            <w:tcBorders>
              <w:top w:val="nil"/>
              <w:left w:val="nil"/>
              <w:bottom w:val="nil"/>
              <w:right w:val="single" w:sz="8" w:space="0" w:color="auto"/>
            </w:tcBorders>
            <w:shd w:val="clear" w:color="000000" w:fill="203764"/>
            <w:vAlign w:val="center"/>
            <w:hideMark/>
          </w:tcPr>
          <w:p w14:paraId="6D0FC0E7" w14:textId="77777777" w:rsidR="0002781C" w:rsidRPr="0002781C" w:rsidRDefault="0002781C" w:rsidP="0002781C">
            <w:pPr>
              <w:jc w:val="center"/>
              <w:rPr>
                <w:rFonts w:ascii="Arial Narrow" w:eastAsia="Times New Roman" w:hAnsi="Arial Narrow" w:cs="Calibri"/>
                <w:b/>
                <w:bCs/>
                <w:color w:val="FFFFFF"/>
                <w:sz w:val="22"/>
                <w:szCs w:val="22"/>
              </w:rPr>
            </w:pPr>
            <w:r w:rsidRPr="0002781C">
              <w:rPr>
                <w:rFonts w:ascii="Arial Narrow" w:eastAsia="Times New Roman" w:hAnsi="Arial Narrow" w:cs="Calibri"/>
                <w:b/>
                <w:bCs/>
                <w:color w:val="FFFFFF"/>
                <w:sz w:val="22"/>
                <w:szCs w:val="22"/>
              </w:rPr>
              <w:t>Norma</w:t>
            </w:r>
          </w:p>
        </w:tc>
        <w:tc>
          <w:tcPr>
            <w:tcW w:w="1899" w:type="dxa"/>
            <w:tcBorders>
              <w:top w:val="nil"/>
              <w:left w:val="nil"/>
              <w:bottom w:val="nil"/>
              <w:right w:val="single" w:sz="8" w:space="0" w:color="auto"/>
            </w:tcBorders>
            <w:shd w:val="clear" w:color="000000" w:fill="203764"/>
            <w:vAlign w:val="center"/>
            <w:hideMark/>
          </w:tcPr>
          <w:p w14:paraId="1068403A" w14:textId="77777777" w:rsidR="0002781C" w:rsidRPr="0002781C" w:rsidRDefault="0002781C" w:rsidP="0002781C">
            <w:pPr>
              <w:jc w:val="center"/>
              <w:rPr>
                <w:rFonts w:ascii="Arial Narrow" w:eastAsia="Times New Roman" w:hAnsi="Arial Narrow" w:cs="Calibri"/>
                <w:b/>
                <w:bCs/>
                <w:color w:val="FFFFFF"/>
                <w:sz w:val="22"/>
                <w:szCs w:val="22"/>
                <w:lang w:val="es-CR"/>
              </w:rPr>
            </w:pPr>
            <w:r w:rsidRPr="0002781C">
              <w:rPr>
                <w:rFonts w:ascii="Arial Narrow" w:eastAsia="Times New Roman" w:hAnsi="Arial Narrow" w:cs="Calibri"/>
                <w:b/>
                <w:bCs/>
                <w:color w:val="FFFFFF"/>
                <w:sz w:val="22"/>
                <w:szCs w:val="22"/>
                <w:lang w:val="es-CR"/>
              </w:rPr>
              <w:t>Normativa técnica y disposiciones adicionales</w:t>
            </w:r>
          </w:p>
        </w:tc>
      </w:tr>
      <w:tr w:rsidR="0002781C" w:rsidRPr="0002781C" w14:paraId="5014F496" w14:textId="77777777" w:rsidTr="006E54C7">
        <w:trPr>
          <w:gridAfter w:val="1"/>
          <w:wAfter w:w="7" w:type="dxa"/>
          <w:trHeight w:val="63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A54BD7" w14:textId="77777777" w:rsidR="0002781C" w:rsidRPr="0002781C" w:rsidRDefault="0002781C" w:rsidP="0002781C">
            <w:pPr>
              <w:jc w:val="center"/>
              <w:rPr>
                <w:rFonts w:ascii="Arial Narrow" w:eastAsia="Times New Roman" w:hAnsi="Arial Narrow" w:cs="Calibri"/>
                <w:b/>
                <w:bCs/>
                <w:color w:val="000000"/>
                <w:sz w:val="22"/>
                <w:szCs w:val="22"/>
              </w:rPr>
            </w:pPr>
            <w:r w:rsidRPr="0002781C">
              <w:rPr>
                <w:rFonts w:ascii="Arial Narrow" w:eastAsia="Times New Roman" w:hAnsi="Arial Narrow" w:cs="Calibri"/>
                <w:b/>
                <w:bCs/>
                <w:color w:val="000000"/>
                <w:sz w:val="22"/>
                <w:szCs w:val="22"/>
              </w:rPr>
              <w:t>4</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155B494E" w14:textId="77777777" w:rsidR="0002781C" w:rsidRPr="0002781C" w:rsidRDefault="0002781C" w:rsidP="0002781C">
            <w:pPr>
              <w:jc w:val="center"/>
              <w:rPr>
                <w:rFonts w:ascii="Arial Narrow" w:eastAsia="Times New Roman" w:hAnsi="Arial Narrow" w:cs="Calibri"/>
                <w:b/>
                <w:bCs/>
                <w:color w:val="000000"/>
                <w:sz w:val="22"/>
                <w:szCs w:val="22"/>
              </w:rPr>
            </w:pPr>
            <w:r w:rsidRPr="0002781C">
              <w:rPr>
                <w:rFonts w:ascii="Arial Narrow" w:eastAsia="Times New Roman" w:hAnsi="Arial Narrow" w:cs="Calibri"/>
                <w:b/>
                <w:bCs/>
                <w:color w:val="000000"/>
                <w:sz w:val="22"/>
                <w:szCs w:val="22"/>
              </w:rPr>
              <w:t>64</w:t>
            </w:r>
          </w:p>
        </w:tc>
        <w:tc>
          <w:tcPr>
            <w:tcW w:w="379" w:type="dxa"/>
            <w:tcBorders>
              <w:top w:val="single" w:sz="8" w:space="0" w:color="auto"/>
              <w:left w:val="nil"/>
              <w:bottom w:val="single" w:sz="8" w:space="0" w:color="auto"/>
              <w:right w:val="single" w:sz="8" w:space="0" w:color="auto"/>
            </w:tcBorders>
            <w:shd w:val="clear" w:color="auto" w:fill="auto"/>
            <w:vAlign w:val="center"/>
            <w:hideMark/>
          </w:tcPr>
          <w:p w14:paraId="6A17F2C6" w14:textId="50D0BF7A" w:rsidR="0002781C" w:rsidRPr="0002781C" w:rsidRDefault="0002781C" w:rsidP="0002781C">
            <w:pPr>
              <w:jc w:val="center"/>
              <w:rPr>
                <w:rFonts w:ascii="Arial Narrow" w:eastAsia="Times New Roman" w:hAnsi="Arial Narrow" w:cs="Calibri"/>
                <w:b/>
                <w:bCs/>
                <w:color w:val="000000"/>
                <w:sz w:val="22"/>
                <w:szCs w:val="22"/>
              </w:rPr>
            </w:pP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33C99409" w14:textId="77777777" w:rsidR="0002781C" w:rsidRPr="0002781C" w:rsidRDefault="0002781C" w:rsidP="0002781C">
            <w:pPr>
              <w:jc w:val="both"/>
              <w:rPr>
                <w:rFonts w:ascii="Arial Narrow" w:eastAsia="Times New Roman" w:hAnsi="Arial Narrow" w:cs="Calibri"/>
                <w:b/>
                <w:bCs/>
                <w:color w:val="000000"/>
                <w:sz w:val="22"/>
                <w:szCs w:val="22"/>
                <w:lang w:val="es-CR"/>
              </w:rPr>
            </w:pPr>
            <w:r w:rsidRPr="0002781C">
              <w:rPr>
                <w:rFonts w:ascii="Arial Narrow" w:eastAsia="Times New Roman" w:hAnsi="Arial Narrow" w:cs="Calibri"/>
                <w:b/>
                <w:bCs/>
                <w:color w:val="000000"/>
                <w:sz w:val="22"/>
                <w:szCs w:val="22"/>
                <w:lang w:val="es-CR"/>
              </w:rPr>
              <w:t>Información a revelar de transacciones con contraprestación</w:t>
            </w:r>
          </w:p>
        </w:tc>
        <w:tc>
          <w:tcPr>
            <w:tcW w:w="2169" w:type="dxa"/>
            <w:gridSpan w:val="2"/>
            <w:tcBorders>
              <w:top w:val="single" w:sz="8" w:space="0" w:color="auto"/>
              <w:left w:val="nil"/>
              <w:bottom w:val="single" w:sz="8" w:space="0" w:color="auto"/>
              <w:right w:val="single" w:sz="8" w:space="0" w:color="auto"/>
            </w:tcBorders>
            <w:shd w:val="clear" w:color="auto" w:fill="auto"/>
            <w:vAlign w:val="center"/>
            <w:hideMark/>
          </w:tcPr>
          <w:p w14:paraId="7A3F5408" w14:textId="04692855" w:rsidR="00EF6EFF" w:rsidRPr="008D294D" w:rsidRDefault="0002781C" w:rsidP="0002781C">
            <w:pPr>
              <w:jc w:val="both"/>
              <w:rPr>
                <w:rFonts w:ascii="Arial Narrow" w:eastAsia="Times New Roman" w:hAnsi="Arial Narrow" w:cs="Calibri"/>
                <w:b/>
                <w:bCs/>
                <w:color w:val="000000"/>
                <w:sz w:val="22"/>
                <w:szCs w:val="22"/>
              </w:rPr>
            </w:pPr>
            <w:r w:rsidRPr="0002781C">
              <w:rPr>
                <w:rFonts w:ascii="Arial Narrow" w:eastAsia="Times New Roman" w:hAnsi="Arial Narrow" w:cs="Calibri"/>
                <w:b/>
                <w:bCs/>
                <w:color w:val="000000"/>
                <w:sz w:val="22"/>
                <w:szCs w:val="22"/>
              </w:rPr>
              <w:t>NICSP N° 9,</w:t>
            </w:r>
          </w:p>
          <w:p w14:paraId="5740EBA5" w14:textId="715DB7F3" w:rsidR="0002781C" w:rsidRPr="0002781C" w:rsidRDefault="0002781C" w:rsidP="0002781C">
            <w:pPr>
              <w:jc w:val="both"/>
              <w:rPr>
                <w:rFonts w:ascii="Arial Narrow" w:eastAsia="Times New Roman" w:hAnsi="Arial Narrow" w:cs="Calibri"/>
                <w:b/>
                <w:bCs/>
                <w:color w:val="000000"/>
                <w:sz w:val="22"/>
                <w:szCs w:val="22"/>
              </w:rPr>
            </w:pPr>
            <w:r w:rsidRPr="0002781C">
              <w:rPr>
                <w:rFonts w:ascii="Arial Narrow" w:eastAsia="Times New Roman" w:hAnsi="Arial Narrow" w:cs="Calibri"/>
                <w:b/>
                <w:bCs/>
                <w:color w:val="000000"/>
                <w:sz w:val="22"/>
                <w:szCs w:val="22"/>
              </w:rPr>
              <w:t>Párrafo 39.</w:t>
            </w:r>
          </w:p>
        </w:tc>
        <w:tc>
          <w:tcPr>
            <w:tcW w:w="1909" w:type="dxa"/>
            <w:gridSpan w:val="2"/>
            <w:tcBorders>
              <w:top w:val="single" w:sz="8" w:space="0" w:color="auto"/>
              <w:left w:val="nil"/>
              <w:bottom w:val="single" w:sz="8" w:space="0" w:color="auto"/>
              <w:right w:val="single" w:sz="8" w:space="0" w:color="auto"/>
            </w:tcBorders>
            <w:shd w:val="clear" w:color="auto" w:fill="auto"/>
            <w:vAlign w:val="center"/>
            <w:hideMark/>
          </w:tcPr>
          <w:p w14:paraId="709CF2A1" w14:textId="77777777" w:rsidR="0002781C" w:rsidRPr="0002781C" w:rsidRDefault="0002781C" w:rsidP="0002781C">
            <w:pPr>
              <w:jc w:val="center"/>
              <w:rPr>
                <w:rFonts w:ascii="Arial Narrow" w:eastAsia="Times New Roman" w:hAnsi="Arial Narrow" w:cs="Calibri"/>
                <w:b/>
                <w:bCs/>
                <w:color w:val="000000"/>
                <w:sz w:val="22"/>
                <w:szCs w:val="22"/>
              </w:rPr>
            </w:pPr>
            <w:r w:rsidRPr="0002781C">
              <w:rPr>
                <w:rFonts w:ascii="Arial Narrow" w:eastAsia="Times New Roman" w:hAnsi="Arial Narrow" w:cs="Calibri"/>
                <w:b/>
                <w:bCs/>
                <w:color w:val="000000"/>
                <w:sz w:val="22"/>
                <w:szCs w:val="22"/>
              </w:rPr>
              <w:t xml:space="preserve">DGCN </w:t>
            </w:r>
          </w:p>
        </w:tc>
      </w:tr>
    </w:tbl>
    <w:p w14:paraId="3DF3BB40" w14:textId="77777777" w:rsidR="008A517B" w:rsidRDefault="008A517B" w:rsidP="001D484B">
      <w:pPr>
        <w:pStyle w:val="Default"/>
        <w:ind w:left="1134" w:hanging="1134"/>
        <w:jc w:val="both"/>
        <w:rPr>
          <w:sz w:val="22"/>
          <w:szCs w:val="22"/>
          <w:lang w:val="es-CR"/>
        </w:rPr>
      </w:pPr>
    </w:p>
    <w:p w14:paraId="62391AB7" w14:textId="51916949" w:rsidR="008A517B" w:rsidRDefault="006E54C7" w:rsidP="001D484B">
      <w:pPr>
        <w:pStyle w:val="Default"/>
        <w:ind w:left="1134" w:hanging="1134"/>
        <w:jc w:val="both"/>
        <w:rPr>
          <w:rFonts w:eastAsia="Arial"/>
          <w:b/>
          <w:sz w:val="22"/>
          <w:szCs w:val="22"/>
        </w:rPr>
      </w:pPr>
      <w:r w:rsidRPr="00F02F9D">
        <w:rPr>
          <w:rFonts w:eastAsia="Arial"/>
          <w:b/>
          <w:sz w:val="22"/>
          <w:szCs w:val="22"/>
        </w:rPr>
        <w:t>Políticas Contables</w:t>
      </w:r>
    </w:p>
    <w:p w14:paraId="59711C07" w14:textId="77777777" w:rsidR="006E54C7" w:rsidRDefault="006E54C7" w:rsidP="001D484B">
      <w:pPr>
        <w:pStyle w:val="Default"/>
        <w:ind w:left="1134" w:hanging="1134"/>
        <w:jc w:val="both"/>
        <w:rPr>
          <w:sz w:val="22"/>
          <w:szCs w:val="22"/>
          <w:lang w:val="es-CR"/>
        </w:rPr>
      </w:pPr>
    </w:p>
    <w:p w14:paraId="7CFBBC7B" w14:textId="619688E5" w:rsidR="0002781C" w:rsidRPr="008D294D" w:rsidRDefault="00EF6EFF">
      <w:pPr>
        <w:pStyle w:val="Default"/>
        <w:numPr>
          <w:ilvl w:val="3"/>
          <w:numId w:val="265"/>
        </w:numPr>
        <w:ind w:left="1134" w:hanging="1134"/>
        <w:jc w:val="both"/>
        <w:rPr>
          <w:sz w:val="22"/>
          <w:szCs w:val="22"/>
          <w:lang w:val="es-CR"/>
        </w:rPr>
      </w:pPr>
      <w:r w:rsidRPr="008D294D">
        <w:rPr>
          <w:sz w:val="22"/>
          <w:szCs w:val="22"/>
          <w:lang w:val="es-CR"/>
        </w:rPr>
        <w:t xml:space="preserve">La Municipalidad de </w:t>
      </w:r>
      <w:r w:rsidR="008C25B1">
        <w:rPr>
          <w:sz w:val="22"/>
          <w:szCs w:val="22"/>
          <w:lang w:val="es-CR"/>
        </w:rPr>
        <w:t>Buenos Aires</w:t>
      </w:r>
      <w:r w:rsidRPr="008D294D">
        <w:rPr>
          <w:sz w:val="22"/>
          <w:szCs w:val="22"/>
          <w:lang w:val="es-CR"/>
        </w:rPr>
        <w:t xml:space="preserve"> d</w:t>
      </w:r>
      <w:r w:rsidR="0002781C" w:rsidRPr="008D294D">
        <w:rPr>
          <w:sz w:val="22"/>
          <w:szCs w:val="22"/>
          <w:lang w:val="es-CR"/>
        </w:rPr>
        <w:t>eberá revelarse la siguiente información en los EEFF:</w:t>
      </w:r>
    </w:p>
    <w:p w14:paraId="05C5FD90" w14:textId="77777777" w:rsidR="0002781C" w:rsidRPr="008D294D" w:rsidRDefault="0002781C" w:rsidP="0002781C">
      <w:pPr>
        <w:pStyle w:val="Default"/>
        <w:rPr>
          <w:sz w:val="22"/>
          <w:szCs w:val="22"/>
          <w:lang w:val="es-CR"/>
        </w:rPr>
      </w:pPr>
    </w:p>
    <w:p w14:paraId="441EBFC6" w14:textId="77777777" w:rsidR="00EF6EFF" w:rsidRPr="008D294D" w:rsidRDefault="0002781C">
      <w:pPr>
        <w:pStyle w:val="Default"/>
        <w:numPr>
          <w:ilvl w:val="0"/>
          <w:numId w:val="264"/>
        </w:numPr>
        <w:spacing w:after="120"/>
        <w:ind w:left="1418" w:hanging="284"/>
        <w:jc w:val="both"/>
        <w:rPr>
          <w:sz w:val="22"/>
          <w:szCs w:val="22"/>
          <w:lang w:val="es-CR"/>
        </w:rPr>
      </w:pPr>
      <w:r w:rsidRPr="008D294D">
        <w:rPr>
          <w:sz w:val="22"/>
          <w:szCs w:val="22"/>
          <w:lang w:val="es-CR"/>
        </w:rPr>
        <w:t xml:space="preserve">Las políticas contables adoptadas para el reconocimiento de los ingresos, incluyendo los métodos utilizados para determinar el porcentaje de terminación de las transacciones involucradas con la prestación de servicios; </w:t>
      </w:r>
    </w:p>
    <w:p w14:paraId="5E83123E" w14:textId="202B9C7A" w:rsidR="0002781C" w:rsidRPr="008D294D" w:rsidRDefault="0002781C">
      <w:pPr>
        <w:pStyle w:val="Default"/>
        <w:numPr>
          <w:ilvl w:val="0"/>
          <w:numId w:val="264"/>
        </w:numPr>
        <w:spacing w:after="20"/>
        <w:ind w:left="1418" w:hanging="284"/>
        <w:jc w:val="both"/>
        <w:rPr>
          <w:sz w:val="22"/>
          <w:szCs w:val="22"/>
          <w:lang w:val="es-CR"/>
        </w:rPr>
      </w:pPr>
      <w:r w:rsidRPr="008D294D">
        <w:rPr>
          <w:sz w:val="22"/>
          <w:szCs w:val="22"/>
          <w:lang w:val="es-CR"/>
        </w:rPr>
        <w:t>La cuantía de cada categoría significativa de ingresos, reconocida durante el período, con indicación expresa de los ingresos procedentes de: a. la prestación de servicios;</w:t>
      </w:r>
    </w:p>
    <w:p w14:paraId="191CB654" w14:textId="77777777" w:rsidR="0002781C" w:rsidRPr="008D294D" w:rsidRDefault="0002781C">
      <w:pPr>
        <w:pStyle w:val="Default"/>
        <w:numPr>
          <w:ilvl w:val="1"/>
          <w:numId w:val="262"/>
        </w:numPr>
        <w:spacing w:after="18"/>
        <w:jc w:val="both"/>
        <w:rPr>
          <w:sz w:val="22"/>
          <w:szCs w:val="22"/>
          <w:lang w:val="es-CR"/>
        </w:rPr>
      </w:pPr>
    </w:p>
    <w:p w14:paraId="67F78141" w14:textId="4D859399" w:rsidR="0002781C" w:rsidRPr="008D294D" w:rsidRDefault="0002781C" w:rsidP="006E54C7">
      <w:pPr>
        <w:pStyle w:val="Default"/>
        <w:numPr>
          <w:ilvl w:val="1"/>
          <w:numId w:val="266"/>
        </w:numPr>
        <w:spacing w:after="120"/>
        <w:ind w:left="1843" w:hanging="142"/>
        <w:jc w:val="both"/>
        <w:rPr>
          <w:sz w:val="22"/>
          <w:szCs w:val="22"/>
          <w:lang w:val="es-CR"/>
        </w:rPr>
      </w:pPr>
      <w:r w:rsidRPr="008D294D">
        <w:rPr>
          <w:sz w:val="22"/>
          <w:szCs w:val="22"/>
          <w:lang w:val="es-CR"/>
        </w:rPr>
        <w:t>La prestación de servicios;</w:t>
      </w:r>
    </w:p>
    <w:p w14:paraId="655FC643" w14:textId="4F19FE06" w:rsidR="0002781C" w:rsidRPr="008D294D" w:rsidRDefault="0002781C" w:rsidP="006E54C7">
      <w:pPr>
        <w:pStyle w:val="Default"/>
        <w:numPr>
          <w:ilvl w:val="1"/>
          <w:numId w:val="266"/>
        </w:numPr>
        <w:spacing w:after="120"/>
        <w:ind w:left="1843" w:hanging="142"/>
        <w:jc w:val="both"/>
        <w:rPr>
          <w:sz w:val="22"/>
          <w:szCs w:val="22"/>
          <w:lang w:val="es-CR"/>
        </w:rPr>
      </w:pPr>
      <w:r w:rsidRPr="008D294D">
        <w:rPr>
          <w:sz w:val="22"/>
          <w:szCs w:val="22"/>
          <w:lang w:val="es-CR"/>
        </w:rPr>
        <w:t>La venta de bienes;</w:t>
      </w:r>
    </w:p>
    <w:p w14:paraId="5A5C16ED" w14:textId="3EAEB690" w:rsidR="0002781C" w:rsidRPr="008D294D" w:rsidRDefault="0002781C" w:rsidP="006E54C7">
      <w:pPr>
        <w:pStyle w:val="Default"/>
        <w:numPr>
          <w:ilvl w:val="1"/>
          <w:numId w:val="266"/>
        </w:numPr>
        <w:spacing w:after="120"/>
        <w:ind w:left="1843" w:hanging="142"/>
        <w:jc w:val="both"/>
        <w:rPr>
          <w:sz w:val="22"/>
          <w:szCs w:val="22"/>
          <w:lang w:val="es-CR"/>
        </w:rPr>
      </w:pPr>
      <w:r w:rsidRPr="008D294D">
        <w:rPr>
          <w:sz w:val="22"/>
          <w:szCs w:val="22"/>
          <w:lang w:val="es-CR"/>
        </w:rPr>
        <w:t xml:space="preserve">Alquileres y concesiones intereses; </w:t>
      </w:r>
    </w:p>
    <w:p w14:paraId="19E855B8" w14:textId="11D9A732" w:rsidR="0002781C" w:rsidRPr="008D294D" w:rsidRDefault="0002781C" w:rsidP="006E54C7">
      <w:pPr>
        <w:pStyle w:val="Default"/>
        <w:numPr>
          <w:ilvl w:val="1"/>
          <w:numId w:val="266"/>
        </w:numPr>
        <w:spacing w:after="120"/>
        <w:ind w:left="1843" w:hanging="142"/>
        <w:jc w:val="both"/>
        <w:rPr>
          <w:sz w:val="22"/>
          <w:szCs w:val="22"/>
        </w:rPr>
      </w:pPr>
      <w:r w:rsidRPr="008D294D">
        <w:rPr>
          <w:sz w:val="22"/>
          <w:szCs w:val="22"/>
        </w:rPr>
        <w:t xml:space="preserve">Regalías; y </w:t>
      </w:r>
    </w:p>
    <w:p w14:paraId="012D4299" w14:textId="4F43A81C" w:rsidR="0002781C" w:rsidRPr="008D294D" w:rsidRDefault="0002781C" w:rsidP="006E54C7">
      <w:pPr>
        <w:pStyle w:val="Default"/>
        <w:numPr>
          <w:ilvl w:val="1"/>
          <w:numId w:val="266"/>
        </w:numPr>
        <w:spacing w:after="120"/>
        <w:ind w:left="1843" w:hanging="142"/>
        <w:jc w:val="both"/>
        <w:rPr>
          <w:sz w:val="22"/>
          <w:szCs w:val="22"/>
          <w:lang w:val="es-CR"/>
        </w:rPr>
      </w:pPr>
      <w:r w:rsidRPr="008D294D">
        <w:rPr>
          <w:sz w:val="22"/>
          <w:szCs w:val="22"/>
          <w:lang w:val="es-CR"/>
        </w:rPr>
        <w:t>Dividendos o distribuciones similares;</w:t>
      </w:r>
    </w:p>
    <w:p w14:paraId="623B2ECC" w14:textId="77777777" w:rsidR="0002781C" w:rsidRPr="008D294D" w:rsidRDefault="0002781C">
      <w:pPr>
        <w:pStyle w:val="Default"/>
        <w:numPr>
          <w:ilvl w:val="1"/>
          <w:numId w:val="263"/>
        </w:numPr>
        <w:jc w:val="both"/>
        <w:rPr>
          <w:sz w:val="22"/>
          <w:szCs w:val="22"/>
          <w:lang w:val="es-CR"/>
        </w:rPr>
      </w:pPr>
    </w:p>
    <w:p w14:paraId="13DF257A" w14:textId="48F5590E" w:rsidR="0002781C" w:rsidRPr="008D294D" w:rsidRDefault="0002781C">
      <w:pPr>
        <w:pStyle w:val="Default"/>
        <w:numPr>
          <w:ilvl w:val="0"/>
          <w:numId w:val="264"/>
        </w:numPr>
        <w:spacing w:after="120"/>
        <w:ind w:left="1418" w:hanging="284"/>
        <w:jc w:val="both"/>
        <w:rPr>
          <w:sz w:val="22"/>
          <w:szCs w:val="22"/>
          <w:lang w:val="es-CR"/>
        </w:rPr>
      </w:pPr>
      <w:r w:rsidRPr="008D294D">
        <w:rPr>
          <w:sz w:val="22"/>
          <w:szCs w:val="22"/>
          <w:lang w:val="es-CR"/>
        </w:rPr>
        <w:t xml:space="preserve">El importe de los ingresos producidos por </w:t>
      </w:r>
      <w:r w:rsidR="005907B3" w:rsidRPr="008D294D">
        <w:rPr>
          <w:sz w:val="22"/>
          <w:szCs w:val="22"/>
          <w:lang w:val="es-CR"/>
        </w:rPr>
        <w:t>interca</w:t>
      </w:r>
      <w:r w:rsidR="005907B3">
        <w:rPr>
          <w:sz w:val="22"/>
          <w:szCs w:val="22"/>
          <w:lang w:val="es-CR"/>
        </w:rPr>
        <w:t>mbi</w:t>
      </w:r>
      <w:r w:rsidR="005907B3" w:rsidRPr="008D294D">
        <w:rPr>
          <w:sz w:val="22"/>
          <w:szCs w:val="22"/>
          <w:lang w:val="es-CR"/>
        </w:rPr>
        <w:t>os</w:t>
      </w:r>
      <w:r w:rsidRPr="008D294D">
        <w:rPr>
          <w:sz w:val="22"/>
          <w:szCs w:val="22"/>
          <w:lang w:val="es-CR"/>
        </w:rPr>
        <w:t xml:space="preserve"> de bienes o servicios incluidos en cada una de las categorías anteriores; y</w:t>
      </w:r>
    </w:p>
    <w:p w14:paraId="72AD6D2B" w14:textId="6C07F937" w:rsidR="0002781C" w:rsidRPr="008D294D" w:rsidRDefault="0002781C">
      <w:pPr>
        <w:pStyle w:val="Default"/>
        <w:numPr>
          <w:ilvl w:val="0"/>
          <w:numId w:val="264"/>
        </w:numPr>
        <w:spacing w:after="20"/>
        <w:ind w:left="1418" w:hanging="283"/>
        <w:jc w:val="both"/>
        <w:rPr>
          <w:rFonts w:ascii="Arial Narrow" w:hAnsi="Arial Narrow"/>
          <w:sz w:val="22"/>
          <w:szCs w:val="22"/>
          <w:lang w:val="es-CR"/>
        </w:rPr>
      </w:pPr>
      <w:r w:rsidRPr="008D294D">
        <w:rPr>
          <w:sz w:val="22"/>
          <w:szCs w:val="22"/>
          <w:lang w:val="es-CR"/>
        </w:rPr>
        <w:t>Toda otra información que oportunamente, con carácter permanente o específico para un ejercicio en particular, requiera incluir la DGCN</w:t>
      </w:r>
      <w:r w:rsidRPr="008D294D">
        <w:rPr>
          <w:rFonts w:ascii="Arial Narrow" w:hAnsi="Arial Narrow"/>
          <w:sz w:val="22"/>
          <w:szCs w:val="22"/>
          <w:lang w:val="es-CR"/>
        </w:rPr>
        <w:t xml:space="preserve">. </w:t>
      </w:r>
    </w:p>
    <w:p w14:paraId="718D4B27" w14:textId="77777777" w:rsidR="0002781C" w:rsidRPr="008D294D" w:rsidRDefault="0002781C">
      <w:pPr>
        <w:pStyle w:val="Default"/>
        <w:numPr>
          <w:ilvl w:val="1"/>
          <w:numId w:val="262"/>
        </w:numPr>
        <w:rPr>
          <w:rFonts w:ascii="Arial Narrow" w:hAnsi="Arial Narrow"/>
          <w:sz w:val="22"/>
          <w:szCs w:val="22"/>
          <w:lang w:val="es-CR"/>
        </w:rPr>
      </w:pPr>
    </w:p>
    <w:p w14:paraId="2645EE34" w14:textId="77777777" w:rsidR="0002781C" w:rsidRPr="008D294D" w:rsidRDefault="0002781C">
      <w:pPr>
        <w:pStyle w:val="Default"/>
        <w:numPr>
          <w:ilvl w:val="1"/>
          <w:numId w:val="262"/>
        </w:numPr>
        <w:rPr>
          <w:rFonts w:ascii="Arial Narrow" w:hAnsi="Arial Narrow"/>
          <w:sz w:val="22"/>
          <w:szCs w:val="22"/>
          <w:lang w:val="es-CR"/>
        </w:rPr>
      </w:pPr>
    </w:p>
    <w:tbl>
      <w:tblPr>
        <w:tblW w:w="9236" w:type="dxa"/>
        <w:tblInd w:w="118" w:type="dxa"/>
        <w:tblLook w:val="04A0" w:firstRow="1" w:lastRow="0" w:firstColumn="1" w:lastColumn="0" w:noHBand="0" w:noVBand="1"/>
      </w:tblPr>
      <w:tblGrid>
        <w:gridCol w:w="439"/>
        <w:gridCol w:w="567"/>
        <w:gridCol w:w="567"/>
        <w:gridCol w:w="8"/>
        <w:gridCol w:w="3678"/>
        <w:gridCol w:w="8"/>
        <w:gridCol w:w="2118"/>
        <w:gridCol w:w="8"/>
        <w:gridCol w:w="1835"/>
        <w:gridCol w:w="8"/>
      </w:tblGrid>
      <w:tr w:rsidR="006E54C7" w:rsidRPr="00EF6EFF" w14:paraId="54A9CE74" w14:textId="77777777" w:rsidTr="006E54C7">
        <w:trPr>
          <w:trHeight w:val="320"/>
        </w:trPr>
        <w:tc>
          <w:tcPr>
            <w:tcW w:w="1581"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3CC9C8D" w14:textId="77777777" w:rsidR="006E54C7" w:rsidRPr="00EF6EFF" w:rsidRDefault="006E54C7" w:rsidP="00EF6EFF">
            <w:pPr>
              <w:jc w:val="center"/>
              <w:rPr>
                <w:rFonts w:ascii="Arial Narrow" w:eastAsia="Times New Roman" w:hAnsi="Arial Narrow" w:cs="Calibri"/>
                <w:b/>
                <w:bCs/>
                <w:color w:val="FFFFFF"/>
                <w:sz w:val="22"/>
                <w:szCs w:val="22"/>
              </w:rPr>
            </w:pPr>
            <w:r w:rsidRPr="00EF6EFF">
              <w:rPr>
                <w:rFonts w:ascii="Arial Narrow" w:eastAsia="Times New Roman" w:hAnsi="Arial Narrow" w:cs="Calibri"/>
                <w:b/>
                <w:bCs/>
                <w:color w:val="FFFFFF"/>
                <w:sz w:val="22"/>
                <w:szCs w:val="22"/>
              </w:rPr>
              <w:t>Norma / Política</w:t>
            </w:r>
          </w:p>
        </w:tc>
        <w:tc>
          <w:tcPr>
            <w:tcW w:w="3686"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B9E9813" w14:textId="77777777" w:rsidR="006E54C7" w:rsidRPr="00EF6EFF" w:rsidRDefault="006E54C7" w:rsidP="00EF6EFF">
            <w:pPr>
              <w:jc w:val="center"/>
              <w:rPr>
                <w:rFonts w:ascii="Arial Narrow" w:eastAsia="Times New Roman" w:hAnsi="Arial Narrow" w:cs="Calibri"/>
                <w:b/>
                <w:bCs/>
                <w:color w:val="FFFFFF"/>
                <w:sz w:val="22"/>
                <w:szCs w:val="22"/>
              </w:rPr>
            </w:pPr>
            <w:r w:rsidRPr="00EF6EFF">
              <w:rPr>
                <w:rFonts w:ascii="Arial Narrow" w:eastAsia="Times New Roman" w:hAnsi="Arial Narrow" w:cs="Calibri"/>
                <w:b/>
                <w:bCs/>
                <w:color w:val="FFFFFF"/>
                <w:sz w:val="22"/>
                <w:szCs w:val="22"/>
              </w:rPr>
              <w:t>Concepto</w:t>
            </w:r>
          </w:p>
        </w:tc>
        <w:tc>
          <w:tcPr>
            <w:tcW w:w="3969" w:type="dxa"/>
            <w:gridSpan w:val="4"/>
            <w:tcBorders>
              <w:top w:val="single" w:sz="8" w:space="0" w:color="auto"/>
              <w:left w:val="nil"/>
              <w:bottom w:val="single" w:sz="8" w:space="0" w:color="auto"/>
              <w:right w:val="single" w:sz="8" w:space="0" w:color="000000"/>
            </w:tcBorders>
            <w:shd w:val="clear" w:color="000000" w:fill="203764"/>
            <w:vAlign w:val="center"/>
            <w:hideMark/>
          </w:tcPr>
          <w:p w14:paraId="0E3CFC5A" w14:textId="569D5AA0" w:rsidR="006E54C7" w:rsidRPr="00EF6EFF" w:rsidRDefault="006E54C7" w:rsidP="00EF6EFF">
            <w:pPr>
              <w:jc w:val="center"/>
              <w:rPr>
                <w:rFonts w:ascii="Arial Narrow" w:eastAsia="Times New Roman" w:hAnsi="Arial Narrow" w:cs="Calibri"/>
                <w:b/>
                <w:bCs/>
                <w:color w:val="FFFFFF"/>
                <w:sz w:val="22"/>
                <w:szCs w:val="22"/>
              </w:rPr>
            </w:pPr>
            <w:r w:rsidRPr="00EF6EFF">
              <w:rPr>
                <w:rFonts w:ascii="Arial Narrow" w:eastAsia="Times New Roman" w:hAnsi="Arial Narrow" w:cs="Calibri"/>
                <w:b/>
                <w:bCs/>
                <w:color w:val="FFFFFF"/>
                <w:sz w:val="22"/>
                <w:szCs w:val="22"/>
              </w:rPr>
              <w:t>Referencia</w:t>
            </w:r>
          </w:p>
        </w:tc>
      </w:tr>
      <w:tr w:rsidR="006E54C7" w:rsidRPr="006E5442" w14:paraId="780F3EE8" w14:textId="77777777" w:rsidTr="006E54C7">
        <w:trPr>
          <w:trHeight w:val="940"/>
        </w:trPr>
        <w:tc>
          <w:tcPr>
            <w:tcW w:w="1581" w:type="dxa"/>
            <w:gridSpan w:val="4"/>
            <w:vMerge/>
            <w:tcBorders>
              <w:top w:val="single" w:sz="8" w:space="0" w:color="auto"/>
              <w:left w:val="single" w:sz="8" w:space="0" w:color="auto"/>
              <w:bottom w:val="nil"/>
              <w:right w:val="single" w:sz="8" w:space="0" w:color="000000"/>
            </w:tcBorders>
            <w:vAlign w:val="center"/>
            <w:hideMark/>
          </w:tcPr>
          <w:p w14:paraId="1162161B" w14:textId="77777777" w:rsidR="006E54C7" w:rsidRPr="00EF6EFF" w:rsidRDefault="006E54C7" w:rsidP="00EF6EFF">
            <w:pPr>
              <w:rPr>
                <w:rFonts w:ascii="Arial Narrow" w:eastAsia="Times New Roman" w:hAnsi="Arial Narrow" w:cs="Calibri"/>
                <w:b/>
                <w:bCs/>
                <w:color w:val="FFFFFF"/>
                <w:sz w:val="22"/>
                <w:szCs w:val="22"/>
              </w:rPr>
            </w:pPr>
          </w:p>
        </w:tc>
        <w:tc>
          <w:tcPr>
            <w:tcW w:w="3686" w:type="dxa"/>
            <w:gridSpan w:val="2"/>
            <w:vMerge/>
            <w:tcBorders>
              <w:top w:val="single" w:sz="8" w:space="0" w:color="auto"/>
              <w:left w:val="single" w:sz="8" w:space="0" w:color="auto"/>
              <w:bottom w:val="nil"/>
              <w:right w:val="single" w:sz="8" w:space="0" w:color="auto"/>
            </w:tcBorders>
            <w:vAlign w:val="center"/>
            <w:hideMark/>
          </w:tcPr>
          <w:p w14:paraId="7AF6B4BD" w14:textId="77777777" w:rsidR="006E54C7" w:rsidRPr="00EF6EFF" w:rsidRDefault="006E54C7" w:rsidP="00EF6EFF">
            <w:pPr>
              <w:rPr>
                <w:rFonts w:ascii="Arial Narrow" w:eastAsia="Times New Roman" w:hAnsi="Arial Narrow" w:cs="Calibri"/>
                <w:b/>
                <w:bCs/>
                <w:color w:val="FFFFFF"/>
                <w:sz w:val="22"/>
                <w:szCs w:val="22"/>
              </w:rPr>
            </w:pPr>
          </w:p>
        </w:tc>
        <w:tc>
          <w:tcPr>
            <w:tcW w:w="2126" w:type="dxa"/>
            <w:gridSpan w:val="2"/>
            <w:tcBorders>
              <w:top w:val="nil"/>
              <w:left w:val="nil"/>
              <w:bottom w:val="nil"/>
              <w:right w:val="single" w:sz="8" w:space="0" w:color="auto"/>
            </w:tcBorders>
            <w:shd w:val="clear" w:color="000000" w:fill="203764"/>
            <w:vAlign w:val="center"/>
            <w:hideMark/>
          </w:tcPr>
          <w:p w14:paraId="6580B9EF" w14:textId="4609B68D" w:rsidR="006E54C7" w:rsidRPr="00EF6EFF" w:rsidRDefault="006E54C7" w:rsidP="00EF6EFF">
            <w:pPr>
              <w:jc w:val="center"/>
              <w:rPr>
                <w:rFonts w:ascii="Arial Narrow" w:eastAsia="Times New Roman" w:hAnsi="Arial Narrow" w:cs="Calibri"/>
                <w:b/>
                <w:bCs/>
                <w:color w:val="FFFFFF"/>
                <w:sz w:val="22"/>
                <w:szCs w:val="22"/>
              </w:rPr>
            </w:pPr>
            <w:r w:rsidRPr="00EF6EFF">
              <w:rPr>
                <w:rFonts w:ascii="Arial Narrow" w:eastAsia="Times New Roman" w:hAnsi="Arial Narrow" w:cs="Calibri"/>
                <w:b/>
                <w:bCs/>
                <w:color w:val="FFFFFF"/>
                <w:sz w:val="22"/>
                <w:szCs w:val="22"/>
              </w:rPr>
              <w:t>Norma</w:t>
            </w:r>
          </w:p>
        </w:tc>
        <w:tc>
          <w:tcPr>
            <w:tcW w:w="1843" w:type="dxa"/>
            <w:gridSpan w:val="2"/>
            <w:tcBorders>
              <w:top w:val="nil"/>
              <w:left w:val="nil"/>
              <w:bottom w:val="nil"/>
              <w:right w:val="single" w:sz="8" w:space="0" w:color="auto"/>
            </w:tcBorders>
            <w:shd w:val="clear" w:color="000000" w:fill="203764"/>
            <w:vAlign w:val="center"/>
            <w:hideMark/>
          </w:tcPr>
          <w:p w14:paraId="1669E8A8" w14:textId="77777777" w:rsidR="006E54C7" w:rsidRPr="00EF6EFF" w:rsidRDefault="006E54C7" w:rsidP="00EF6EFF">
            <w:pPr>
              <w:jc w:val="center"/>
              <w:rPr>
                <w:rFonts w:ascii="Arial Narrow" w:eastAsia="Times New Roman" w:hAnsi="Arial Narrow" w:cs="Calibri"/>
                <w:b/>
                <w:bCs/>
                <w:color w:val="FFFFFF"/>
                <w:sz w:val="22"/>
                <w:szCs w:val="22"/>
                <w:lang w:val="es-CR"/>
              </w:rPr>
            </w:pPr>
            <w:r w:rsidRPr="00EF6EFF">
              <w:rPr>
                <w:rFonts w:ascii="Arial Narrow" w:eastAsia="Times New Roman" w:hAnsi="Arial Narrow" w:cs="Calibri"/>
                <w:b/>
                <w:bCs/>
                <w:color w:val="FFFFFF"/>
                <w:sz w:val="22"/>
                <w:szCs w:val="22"/>
                <w:lang w:val="es-CR"/>
              </w:rPr>
              <w:t>Normativa técnica y disposiciones adicionales</w:t>
            </w:r>
          </w:p>
        </w:tc>
      </w:tr>
      <w:tr w:rsidR="006E54C7" w:rsidRPr="00EF6EFF" w14:paraId="6E079039" w14:textId="77777777" w:rsidTr="006E54C7">
        <w:trPr>
          <w:gridAfter w:val="1"/>
          <w:wAfter w:w="8" w:type="dxa"/>
          <w:trHeight w:val="63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ED4E3A" w14:textId="77777777" w:rsidR="006E54C7" w:rsidRPr="00EF6EFF" w:rsidRDefault="006E54C7" w:rsidP="00EF6EFF">
            <w:pPr>
              <w:jc w:val="center"/>
              <w:rPr>
                <w:rFonts w:ascii="Arial Narrow" w:eastAsia="Times New Roman" w:hAnsi="Arial Narrow" w:cs="Calibri"/>
                <w:b/>
                <w:bCs/>
                <w:color w:val="000000"/>
                <w:sz w:val="22"/>
                <w:szCs w:val="22"/>
              </w:rPr>
            </w:pPr>
            <w:r w:rsidRPr="00EF6EFF">
              <w:rPr>
                <w:rFonts w:ascii="Arial Narrow" w:eastAsia="Times New Roman" w:hAnsi="Arial Narrow" w:cs="Calibri"/>
                <w:b/>
                <w:bCs/>
                <w:color w:val="000000"/>
                <w:sz w:val="22"/>
                <w:szCs w:val="22"/>
              </w:rPr>
              <w:t>4</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59DF0253" w14:textId="77777777" w:rsidR="006E54C7" w:rsidRPr="00EF6EFF" w:rsidRDefault="006E54C7" w:rsidP="006E54C7">
            <w:pPr>
              <w:ind w:left="-108"/>
              <w:jc w:val="center"/>
              <w:rPr>
                <w:rFonts w:ascii="Arial Narrow" w:eastAsia="Times New Roman" w:hAnsi="Arial Narrow" w:cs="Calibri"/>
                <w:b/>
                <w:bCs/>
                <w:color w:val="000000"/>
                <w:sz w:val="22"/>
                <w:szCs w:val="22"/>
              </w:rPr>
            </w:pPr>
            <w:r w:rsidRPr="00EF6EFF">
              <w:rPr>
                <w:rFonts w:ascii="Arial Narrow" w:eastAsia="Times New Roman" w:hAnsi="Arial Narrow" w:cs="Calibri"/>
                <w:b/>
                <w:bCs/>
                <w:color w:val="000000"/>
                <w:sz w:val="22"/>
                <w:szCs w:val="22"/>
              </w:rPr>
              <w:t>65</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B6922B6" w14:textId="734E8E5F" w:rsidR="006E54C7" w:rsidRPr="00EF6EFF" w:rsidRDefault="006E54C7" w:rsidP="00EF6EFF">
            <w:pPr>
              <w:jc w:val="center"/>
              <w:rPr>
                <w:rFonts w:ascii="Arial Narrow" w:eastAsia="Times New Roman" w:hAnsi="Arial Narrow" w:cs="Calibri"/>
                <w:b/>
                <w:bCs/>
                <w:color w:val="000000"/>
                <w:sz w:val="22"/>
                <w:szCs w:val="22"/>
              </w:rPr>
            </w:pPr>
          </w:p>
        </w:tc>
        <w:tc>
          <w:tcPr>
            <w:tcW w:w="3686" w:type="dxa"/>
            <w:gridSpan w:val="2"/>
            <w:tcBorders>
              <w:top w:val="single" w:sz="8" w:space="0" w:color="auto"/>
              <w:left w:val="nil"/>
              <w:bottom w:val="single" w:sz="8" w:space="0" w:color="auto"/>
              <w:right w:val="single" w:sz="8" w:space="0" w:color="auto"/>
            </w:tcBorders>
            <w:shd w:val="clear" w:color="auto" w:fill="auto"/>
            <w:vAlign w:val="center"/>
            <w:hideMark/>
          </w:tcPr>
          <w:p w14:paraId="6B6583EB" w14:textId="77777777" w:rsidR="006E54C7" w:rsidRPr="00EF6EFF" w:rsidRDefault="006E54C7" w:rsidP="00EF6EFF">
            <w:pPr>
              <w:jc w:val="both"/>
              <w:rPr>
                <w:rFonts w:ascii="Arial Narrow" w:eastAsia="Times New Roman" w:hAnsi="Arial Narrow" w:cs="Calibri"/>
                <w:b/>
                <w:bCs/>
                <w:color w:val="000000"/>
                <w:sz w:val="22"/>
                <w:szCs w:val="22"/>
                <w:lang w:val="es-CR"/>
              </w:rPr>
            </w:pPr>
            <w:r w:rsidRPr="00EF6EFF">
              <w:rPr>
                <w:rFonts w:ascii="Arial Narrow" w:eastAsia="Times New Roman" w:hAnsi="Arial Narrow" w:cs="Calibri"/>
                <w:b/>
                <w:bCs/>
                <w:color w:val="000000"/>
                <w:sz w:val="22"/>
                <w:szCs w:val="22"/>
                <w:lang w:val="es-CR"/>
              </w:rPr>
              <w:t>Información a revelar de transacciones con contraprestación</w:t>
            </w:r>
          </w:p>
        </w:tc>
        <w:tc>
          <w:tcPr>
            <w:tcW w:w="2126" w:type="dxa"/>
            <w:gridSpan w:val="2"/>
            <w:tcBorders>
              <w:top w:val="single" w:sz="8" w:space="0" w:color="auto"/>
              <w:left w:val="nil"/>
              <w:bottom w:val="single" w:sz="8" w:space="0" w:color="auto"/>
              <w:right w:val="single" w:sz="8" w:space="0" w:color="auto"/>
            </w:tcBorders>
            <w:shd w:val="clear" w:color="auto" w:fill="auto"/>
            <w:vAlign w:val="center"/>
            <w:hideMark/>
          </w:tcPr>
          <w:p w14:paraId="56E51D80" w14:textId="760BBC72" w:rsidR="006E54C7" w:rsidRPr="008D294D" w:rsidRDefault="006E54C7" w:rsidP="006E54C7">
            <w:pPr>
              <w:rPr>
                <w:rFonts w:ascii="Arial Narrow" w:eastAsia="Times New Roman" w:hAnsi="Arial Narrow" w:cs="Calibri"/>
                <w:b/>
                <w:bCs/>
                <w:color w:val="000000"/>
                <w:sz w:val="22"/>
                <w:szCs w:val="22"/>
              </w:rPr>
            </w:pPr>
            <w:r w:rsidRPr="00EF6EFF">
              <w:rPr>
                <w:rFonts w:ascii="Arial Narrow" w:eastAsia="Times New Roman" w:hAnsi="Arial Narrow" w:cs="Calibri"/>
                <w:b/>
                <w:bCs/>
                <w:color w:val="000000"/>
                <w:sz w:val="22"/>
                <w:szCs w:val="22"/>
              </w:rPr>
              <w:t>NICSP N° 23,</w:t>
            </w:r>
          </w:p>
          <w:p w14:paraId="3082CC7A" w14:textId="3CC60AEC" w:rsidR="006E54C7" w:rsidRPr="00EF6EFF" w:rsidRDefault="006E54C7" w:rsidP="006E54C7">
            <w:pPr>
              <w:rPr>
                <w:rFonts w:ascii="Arial Narrow" w:eastAsia="Times New Roman" w:hAnsi="Arial Narrow" w:cs="Calibri"/>
                <w:b/>
                <w:bCs/>
                <w:color w:val="000000"/>
                <w:sz w:val="22"/>
                <w:szCs w:val="22"/>
              </w:rPr>
            </w:pPr>
            <w:r w:rsidRPr="00EF6EFF">
              <w:rPr>
                <w:rFonts w:ascii="Arial Narrow" w:eastAsia="Times New Roman" w:hAnsi="Arial Narrow" w:cs="Calibri"/>
                <w:b/>
                <w:bCs/>
                <w:color w:val="000000"/>
                <w:sz w:val="22"/>
                <w:szCs w:val="22"/>
              </w:rPr>
              <w:t>Párrafo 106 y 107.</w:t>
            </w:r>
          </w:p>
        </w:tc>
        <w:tc>
          <w:tcPr>
            <w:tcW w:w="1843" w:type="dxa"/>
            <w:gridSpan w:val="2"/>
            <w:tcBorders>
              <w:top w:val="single" w:sz="8" w:space="0" w:color="auto"/>
              <w:left w:val="nil"/>
              <w:bottom w:val="single" w:sz="8" w:space="0" w:color="auto"/>
              <w:right w:val="single" w:sz="8" w:space="0" w:color="auto"/>
            </w:tcBorders>
            <w:shd w:val="clear" w:color="auto" w:fill="auto"/>
            <w:vAlign w:val="center"/>
            <w:hideMark/>
          </w:tcPr>
          <w:p w14:paraId="24EB32C6" w14:textId="77777777" w:rsidR="006E54C7" w:rsidRPr="00EF6EFF" w:rsidRDefault="006E54C7" w:rsidP="00EF6EFF">
            <w:pPr>
              <w:jc w:val="center"/>
              <w:rPr>
                <w:rFonts w:ascii="Arial Narrow" w:eastAsia="Times New Roman" w:hAnsi="Arial Narrow" w:cs="Calibri"/>
                <w:b/>
                <w:bCs/>
                <w:color w:val="000000"/>
                <w:sz w:val="22"/>
                <w:szCs w:val="22"/>
              </w:rPr>
            </w:pPr>
            <w:r w:rsidRPr="00EF6EFF">
              <w:rPr>
                <w:rFonts w:ascii="Arial Narrow" w:eastAsia="Times New Roman" w:hAnsi="Arial Narrow" w:cs="Calibri"/>
                <w:b/>
                <w:bCs/>
                <w:color w:val="000000"/>
                <w:sz w:val="22"/>
                <w:szCs w:val="22"/>
              </w:rPr>
              <w:t xml:space="preserve">DGCN </w:t>
            </w:r>
          </w:p>
        </w:tc>
      </w:tr>
    </w:tbl>
    <w:p w14:paraId="219BA2A7" w14:textId="77777777" w:rsidR="008A517B" w:rsidRDefault="008A517B" w:rsidP="001D484B">
      <w:pPr>
        <w:pStyle w:val="Default"/>
        <w:ind w:left="1134" w:hanging="1134"/>
        <w:jc w:val="both"/>
        <w:rPr>
          <w:sz w:val="22"/>
          <w:szCs w:val="22"/>
          <w:lang w:val="es-CR"/>
        </w:rPr>
      </w:pPr>
    </w:p>
    <w:p w14:paraId="5709F630" w14:textId="5177A8A1" w:rsidR="006E54C7" w:rsidRDefault="006E54C7" w:rsidP="001D484B">
      <w:pPr>
        <w:pStyle w:val="Default"/>
        <w:ind w:left="1134" w:hanging="1134"/>
        <w:jc w:val="both"/>
        <w:rPr>
          <w:rFonts w:eastAsia="Arial"/>
          <w:b/>
          <w:sz w:val="22"/>
          <w:szCs w:val="22"/>
        </w:rPr>
      </w:pPr>
      <w:r w:rsidRPr="00F02F9D">
        <w:rPr>
          <w:rFonts w:eastAsia="Arial"/>
          <w:b/>
          <w:sz w:val="22"/>
          <w:szCs w:val="22"/>
        </w:rPr>
        <w:t>Política Contable</w:t>
      </w:r>
    </w:p>
    <w:p w14:paraId="3A4765FC" w14:textId="77777777" w:rsidR="006E54C7" w:rsidRDefault="006E54C7" w:rsidP="001D484B">
      <w:pPr>
        <w:pStyle w:val="Default"/>
        <w:ind w:left="1134" w:hanging="1134"/>
        <w:jc w:val="both"/>
        <w:rPr>
          <w:sz w:val="22"/>
          <w:szCs w:val="22"/>
          <w:lang w:val="es-CR"/>
        </w:rPr>
      </w:pPr>
    </w:p>
    <w:p w14:paraId="666822E8" w14:textId="6A3113C3" w:rsidR="00EF6EFF" w:rsidRPr="008D294D" w:rsidRDefault="00DF3E26" w:rsidP="00336CBD">
      <w:pPr>
        <w:pStyle w:val="Default"/>
        <w:ind w:left="1134" w:hanging="1134"/>
        <w:jc w:val="both"/>
        <w:rPr>
          <w:sz w:val="22"/>
          <w:szCs w:val="22"/>
          <w:lang w:val="es-CR"/>
        </w:rPr>
      </w:pPr>
      <w:r w:rsidRPr="008D294D">
        <w:rPr>
          <w:sz w:val="22"/>
          <w:szCs w:val="22"/>
          <w:lang w:val="es-CR"/>
        </w:rPr>
        <w:t>4.65.0.01</w:t>
      </w:r>
      <w:r w:rsidRPr="008D294D">
        <w:rPr>
          <w:sz w:val="22"/>
          <w:szCs w:val="22"/>
          <w:lang w:val="es-CR"/>
        </w:rPr>
        <w:tab/>
      </w:r>
      <w:r w:rsidR="00EF6EFF" w:rsidRPr="008D294D">
        <w:rPr>
          <w:sz w:val="22"/>
          <w:szCs w:val="22"/>
          <w:lang w:val="es-CR"/>
        </w:rPr>
        <w:t>En los EEFF deberá revelarse la siguiente información:</w:t>
      </w:r>
    </w:p>
    <w:p w14:paraId="035C3AD9" w14:textId="77777777" w:rsidR="00DF3E26" w:rsidRPr="008D294D" w:rsidRDefault="00DF3E26" w:rsidP="00DF3E26">
      <w:pPr>
        <w:pStyle w:val="Default"/>
        <w:ind w:left="1134" w:hanging="1134"/>
        <w:rPr>
          <w:sz w:val="22"/>
          <w:szCs w:val="22"/>
          <w:lang w:val="es-CR"/>
        </w:rPr>
      </w:pPr>
    </w:p>
    <w:p w14:paraId="570AD9C5" w14:textId="77777777" w:rsidR="00DF3E26"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E</w:t>
      </w:r>
      <w:r w:rsidR="00EF6EFF" w:rsidRPr="008D294D">
        <w:rPr>
          <w:sz w:val="22"/>
          <w:szCs w:val="22"/>
          <w:lang w:val="es-CR"/>
        </w:rPr>
        <w:t xml:space="preserve">l importe de ingresos de transacciones sin contraprestación reconocidos durante el período mostrando por separado: </w:t>
      </w:r>
    </w:p>
    <w:p w14:paraId="308034F0" w14:textId="424CBA2C" w:rsidR="00DF3E26" w:rsidRPr="008D294D" w:rsidRDefault="00DF3E26">
      <w:pPr>
        <w:pStyle w:val="Default"/>
        <w:numPr>
          <w:ilvl w:val="0"/>
          <w:numId w:val="268"/>
        </w:numPr>
        <w:spacing w:after="120"/>
        <w:ind w:left="1701" w:hanging="141"/>
        <w:jc w:val="both"/>
        <w:rPr>
          <w:sz w:val="22"/>
          <w:szCs w:val="22"/>
          <w:lang w:val="es-CR"/>
        </w:rPr>
      </w:pPr>
      <w:r w:rsidRPr="008D294D">
        <w:rPr>
          <w:sz w:val="22"/>
          <w:szCs w:val="22"/>
          <w:lang w:val="es-CR"/>
        </w:rPr>
        <w:t>I</w:t>
      </w:r>
      <w:r w:rsidR="00EF6EFF" w:rsidRPr="008D294D">
        <w:rPr>
          <w:sz w:val="22"/>
          <w:szCs w:val="22"/>
          <w:lang w:val="es-CR"/>
        </w:rPr>
        <w:t xml:space="preserve">mpuestos, desagregados según las principales clases de ingresos por impuestos; y </w:t>
      </w:r>
    </w:p>
    <w:p w14:paraId="39740C76" w14:textId="1D430E16" w:rsidR="00EF6EFF" w:rsidRPr="008D294D" w:rsidRDefault="00DF3E26">
      <w:pPr>
        <w:pStyle w:val="Default"/>
        <w:numPr>
          <w:ilvl w:val="0"/>
          <w:numId w:val="268"/>
        </w:numPr>
        <w:spacing w:after="120"/>
        <w:ind w:left="1701" w:hanging="141"/>
        <w:jc w:val="both"/>
        <w:rPr>
          <w:sz w:val="22"/>
          <w:szCs w:val="22"/>
          <w:lang w:val="es-CR"/>
        </w:rPr>
      </w:pPr>
      <w:r w:rsidRPr="008D294D">
        <w:rPr>
          <w:sz w:val="22"/>
          <w:szCs w:val="22"/>
          <w:lang w:val="es-CR"/>
        </w:rPr>
        <w:lastRenderedPageBreak/>
        <w:t>T</w:t>
      </w:r>
      <w:r w:rsidR="00EF6EFF" w:rsidRPr="008D294D">
        <w:rPr>
          <w:sz w:val="22"/>
          <w:szCs w:val="22"/>
          <w:lang w:val="es-CR"/>
        </w:rPr>
        <w:t xml:space="preserve">ransferencias, desagregadas según las principales clases de ingresos por transferencias. </w:t>
      </w:r>
    </w:p>
    <w:p w14:paraId="391B546E" w14:textId="19E83384"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E</w:t>
      </w:r>
      <w:r w:rsidR="00EF6EFF" w:rsidRPr="008D294D">
        <w:rPr>
          <w:sz w:val="22"/>
          <w:szCs w:val="22"/>
          <w:lang w:val="es-CR"/>
        </w:rPr>
        <w:t xml:space="preserve">l importe de cuentas por cobrar reconocidas con respecto a los ingresos sin contraprestación. </w:t>
      </w:r>
    </w:p>
    <w:p w14:paraId="6882C4AB" w14:textId="336E0AD5"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E</w:t>
      </w:r>
      <w:r w:rsidR="00EF6EFF" w:rsidRPr="008D294D">
        <w:rPr>
          <w:sz w:val="22"/>
          <w:szCs w:val="22"/>
          <w:lang w:val="es-CR"/>
        </w:rPr>
        <w:t xml:space="preserve">l importe de los pasivos reconocidos con respecto a los préstamos en condiciones favorables que están sujetos a condiciones sobre activos transferidos; </w:t>
      </w:r>
    </w:p>
    <w:p w14:paraId="7BBFC39C" w14:textId="0E721B6B"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E</w:t>
      </w:r>
      <w:r w:rsidR="00EF6EFF" w:rsidRPr="008D294D">
        <w:rPr>
          <w:sz w:val="22"/>
          <w:szCs w:val="22"/>
          <w:lang w:val="es-CR"/>
        </w:rPr>
        <w:t xml:space="preserve">l importe de pasivos reconocidos con respecto a los activos transferidos sujetos a condiciones; </w:t>
      </w:r>
    </w:p>
    <w:p w14:paraId="06C042AB" w14:textId="5F1BFB05"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E</w:t>
      </w:r>
      <w:r w:rsidR="00EF6EFF" w:rsidRPr="008D294D">
        <w:rPr>
          <w:sz w:val="22"/>
          <w:szCs w:val="22"/>
          <w:lang w:val="es-CR"/>
        </w:rPr>
        <w:t xml:space="preserve">l importe de los activos reconocidos que están sujetos a restricciones y la naturaleza de dichas restricciones; </w:t>
      </w:r>
    </w:p>
    <w:p w14:paraId="2F1C976C" w14:textId="77777777" w:rsidR="00DF3E26"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L</w:t>
      </w:r>
      <w:r w:rsidR="00EF6EFF" w:rsidRPr="008D294D">
        <w:rPr>
          <w:sz w:val="22"/>
          <w:szCs w:val="22"/>
          <w:lang w:val="es-CR"/>
        </w:rPr>
        <w:t xml:space="preserve">os cobros anticipados de: </w:t>
      </w:r>
    </w:p>
    <w:p w14:paraId="18CA4B80" w14:textId="06FFE65B" w:rsidR="00EF6EFF" w:rsidRPr="008D294D" w:rsidRDefault="00DF3E26">
      <w:pPr>
        <w:pStyle w:val="Default"/>
        <w:numPr>
          <w:ilvl w:val="0"/>
          <w:numId w:val="269"/>
        </w:numPr>
        <w:spacing w:after="120"/>
        <w:ind w:left="1701" w:hanging="141"/>
        <w:jc w:val="both"/>
        <w:rPr>
          <w:sz w:val="22"/>
          <w:szCs w:val="22"/>
          <w:lang w:val="es-CR"/>
        </w:rPr>
      </w:pPr>
      <w:r w:rsidRPr="008D294D">
        <w:rPr>
          <w:sz w:val="22"/>
          <w:szCs w:val="22"/>
          <w:lang w:val="es-CR"/>
        </w:rPr>
        <w:t>T</w:t>
      </w:r>
      <w:r w:rsidR="00EF6EFF" w:rsidRPr="008D294D">
        <w:rPr>
          <w:sz w:val="22"/>
          <w:szCs w:val="22"/>
          <w:lang w:val="es-CR"/>
        </w:rPr>
        <w:t xml:space="preserve">ransferencias, con indicación de las entidades o individuos involucrados; </w:t>
      </w:r>
    </w:p>
    <w:p w14:paraId="23BF3BE1" w14:textId="17BB975D" w:rsidR="00EF6EFF" w:rsidRPr="008D294D" w:rsidRDefault="00DF3E26">
      <w:pPr>
        <w:pStyle w:val="Default"/>
        <w:numPr>
          <w:ilvl w:val="0"/>
          <w:numId w:val="269"/>
        </w:numPr>
        <w:spacing w:after="120"/>
        <w:ind w:left="1701" w:hanging="141"/>
        <w:jc w:val="both"/>
        <w:rPr>
          <w:sz w:val="22"/>
          <w:szCs w:val="22"/>
          <w:lang w:val="es-CR"/>
        </w:rPr>
      </w:pPr>
      <w:r w:rsidRPr="008D294D">
        <w:rPr>
          <w:sz w:val="22"/>
          <w:szCs w:val="22"/>
          <w:lang w:val="es-CR"/>
        </w:rPr>
        <w:t>D</w:t>
      </w:r>
      <w:r w:rsidR="00EF6EFF" w:rsidRPr="008D294D">
        <w:rPr>
          <w:sz w:val="22"/>
          <w:szCs w:val="22"/>
          <w:lang w:val="es-CR"/>
        </w:rPr>
        <w:t xml:space="preserve">e impuestos, agrupados por naturaleza de los impuestos involucrados; </w:t>
      </w:r>
    </w:p>
    <w:p w14:paraId="7A68DA10" w14:textId="4C9BF811" w:rsidR="00EF6EFF" w:rsidRPr="008D294D" w:rsidRDefault="00DF3E26">
      <w:pPr>
        <w:pStyle w:val="Default"/>
        <w:numPr>
          <w:ilvl w:val="0"/>
          <w:numId w:val="269"/>
        </w:numPr>
        <w:spacing w:after="120"/>
        <w:ind w:left="1701" w:hanging="141"/>
        <w:jc w:val="both"/>
        <w:rPr>
          <w:sz w:val="22"/>
          <w:szCs w:val="22"/>
        </w:rPr>
      </w:pPr>
      <w:r w:rsidRPr="008D294D">
        <w:rPr>
          <w:sz w:val="22"/>
          <w:szCs w:val="22"/>
        </w:rPr>
        <w:t>De</w:t>
      </w:r>
      <w:r w:rsidR="00EF6EFF" w:rsidRPr="008D294D">
        <w:rPr>
          <w:sz w:val="22"/>
          <w:szCs w:val="22"/>
        </w:rPr>
        <w:t xml:space="preserve"> contribuciones sociales; </w:t>
      </w:r>
    </w:p>
    <w:p w14:paraId="60BEA946" w14:textId="4DE0BC80"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E</w:t>
      </w:r>
      <w:r w:rsidR="00EF6EFF" w:rsidRPr="008D294D">
        <w:rPr>
          <w:sz w:val="22"/>
          <w:szCs w:val="22"/>
          <w:lang w:val="es-CR"/>
        </w:rPr>
        <w:t xml:space="preserve">l importe de cualquier pasivo condonado o asumido por terceros: </w:t>
      </w:r>
    </w:p>
    <w:p w14:paraId="0D70D646" w14:textId="563194A9"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L</w:t>
      </w:r>
      <w:r w:rsidR="00EF6EFF" w:rsidRPr="008D294D">
        <w:rPr>
          <w:sz w:val="22"/>
          <w:szCs w:val="22"/>
          <w:lang w:val="es-CR"/>
        </w:rPr>
        <w:t xml:space="preserve">as políticas contables adoptadas para el reconocimiento de ingresos de transacciones sin contraprestación; </w:t>
      </w:r>
    </w:p>
    <w:p w14:paraId="3CD8E7DD" w14:textId="0B0179DD"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P</w:t>
      </w:r>
      <w:r w:rsidR="00EF6EFF" w:rsidRPr="008D294D">
        <w:rPr>
          <w:sz w:val="22"/>
          <w:szCs w:val="22"/>
          <w:lang w:val="es-CR"/>
        </w:rPr>
        <w:t xml:space="preserve">ara las principales clases de ingresos de transacciones sin contraprestación, la base según la cual se ha medido el valor razonable de los recursos entrantes; </w:t>
      </w:r>
    </w:p>
    <w:p w14:paraId="6843D81C" w14:textId="76884EEE"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P</w:t>
      </w:r>
      <w:r w:rsidR="00EF6EFF" w:rsidRPr="008D294D">
        <w:rPr>
          <w:sz w:val="22"/>
          <w:szCs w:val="22"/>
          <w:lang w:val="es-CR"/>
        </w:rPr>
        <w:t xml:space="preserve">ara las principales clases de ingresos por impuestos que la entidad no pueda medir con fiabilidad durante el período en el cual el hecho imponible tiene lugar, información sobre la naturaleza del impuesto; </w:t>
      </w:r>
    </w:p>
    <w:p w14:paraId="0DC68750" w14:textId="5E37AE4B" w:rsidR="00EF6EFF" w:rsidRPr="008D294D" w:rsidRDefault="00DF3E26">
      <w:pPr>
        <w:pStyle w:val="Default"/>
        <w:numPr>
          <w:ilvl w:val="1"/>
          <w:numId w:val="267"/>
        </w:numPr>
        <w:spacing w:after="120"/>
        <w:ind w:left="1418" w:hanging="284"/>
        <w:jc w:val="both"/>
        <w:rPr>
          <w:sz w:val="22"/>
          <w:szCs w:val="22"/>
          <w:lang w:val="es-CR"/>
        </w:rPr>
      </w:pPr>
      <w:r w:rsidRPr="008D294D">
        <w:rPr>
          <w:sz w:val="22"/>
          <w:szCs w:val="22"/>
          <w:lang w:val="es-CR"/>
        </w:rPr>
        <w:t>L</w:t>
      </w:r>
      <w:r w:rsidR="00EF6EFF" w:rsidRPr="008D294D">
        <w:rPr>
          <w:sz w:val="22"/>
          <w:szCs w:val="22"/>
          <w:lang w:val="es-CR"/>
        </w:rPr>
        <w:t xml:space="preserve">a naturaleza y tipo de las principales clases de legados, regalos y donaciones, mostrando por separado las principales clases de bienes en especie recibidos; y </w:t>
      </w:r>
    </w:p>
    <w:p w14:paraId="1441B313" w14:textId="2D0E48D2" w:rsidR="00EF6EFF" w:rsidRDefault="00DF3E26">
      <w:pPr>
        <w:pStyle w:val="Default"/>
        <w:numPr>
          <w:ilvl w:val="1"/>
          <w:numId w:val="267"/>
        </w:numPr>
        <w:spacing w:after="120"/>
        <w:ind w:left="1418" w:hanging="284"/>
        <w:jc w:val="both"/>
        <w:rPr>
          <w:sz w:val="22"/>
          <w:szCs w:val="22"/>
          <w:lang w:val="es-CR"/>
        </w:rPr>
      </w:pPr>
      <w:r w:rsidRPr="008D294D">
        <w:rPr>
          <w:sz w:val="22"/>
          <w:szCs w:val="22"/>
          <w:lang w:val="es-CR"/>
        </w:rPr>
        <w:t>T</w:t>
      </w:r>
      <w:r w:rsidR="00EF6EFF" w:rsidRPr="008D294D">
        <w:rPr>
          <w:sz w:val="22"/>
          <w:szCs w:val="22"/>
          <w:lang w:val="es-CR"/>
        </w:rPr>
        <w:t xml:space="preserve">oda otra información que oportunamente, con carácter permanente o específico para un ejercicio en particular, requiera incluir la DGCN. </w:t>
      </w:r>
    </w:p>
    <w:p w14:paraId="1D467676" w14:textId="77777777" w:rsidR="000A3F77" w:rsidRDefault="000A3F77" w:rsidP="009E7101">
      <w:pPr>
        <w:pStyle w:val="Default"/>
        <w:jc w:val="both"/>
        <w:rPr>
          <w:sz w:val="22"/>
          <w:szCs w:val="22"/>
          <w:lang w:val="es-CR"/>
        </w:rPr>
      </w:pPr>
    </w:p>
    <w:p w14:paraId="13FD7E41" w14:textId="77777777" w:rsidR="009E7101" w:rsidRDefault="009E7101" w:rsidP="009E7101">
      <w:pPr>
        <w:pStyle w:val="Default"/>
        <w:jc w:val="both"/>
        <w:rPr>
          <w:sz w:val="22"/>
          <w:szCs w:val="22"/>
          <w:lang w:val="es-CR"/>
        </w:rPr>
      </w:pPr>
    </w:p>
    <w:p w14:paraId="0813E89D" w14:textId="1D69DC33" w:rsidR="000A3F77" w:rsidRPr="009E7101" w:rsidRDefault="000A3F77" w:rsidP="009E7101">
      <w:pPr>
        <w:pStyle w:val="Ttulo2"/>
        <w:ind w:left="284"/>
        <w:rPr>
          <w:rFonts w:ascii="Arial" w:eastAsia="Arial" w:hAnsi="Arial" w:cs="Arial"/>
          <w:b/>
          <w:bCs/>
          <w:sz w:val="20"/>
          <w:szCs w:val="20"/>
          <w:lang w:val="es-CR"/>
        </w:rPr>
      </w:pPr>
      <w:bookmarkStart w:id="137" w:name="_Toc172726272"/>
      <w:r w:rsidRPr="009E7101">
        <w:rPr>
          <w:rFonts w:ascii="Arial" w:eastAsia="Arial" w:hAnsi="Arial" w:cs="Arial"/>
          <w:b/>
          <w:bCs/>
          <w:sz w:val="20"/>
          <w:szCs w:val="20"/>
          <w:lang w:val="es-CR"/>
        </w:rPr>
        <w:t>Recuperación de pérdidas en valor de inventarios</w:t>
      </w:r>
      <w:bookmarkEnd w:id="137"/>
    </w:p>
    <w:p w14:paraId="75A6CAC1" w14:textId="77777777" w:rsidR="008A517B" w:rsidRDefault="008A517B" w:rsidP="001D484B">
      <w:pPr>
        <w:pStyle w:val="Default"/>
        <w:ind w:left="1134" w:hanging="1134"/>
        <w:jc w:val="both"/>
        <w:rPr>
          <w:sz w:val="22"/>
          <w:szCs w:val="22"/>
          <w:lang w:val="es-CR"/>
        </w:rPr>
      </w:pPr>
    </w:p>
    <w:tbl>
      <w:tblPr>
        <w:tblW w:w="9224" w:type="dxa"/>
        <w:tblInd w:w="118" w:type="dxa"/>
        <w:tblLook w:val="04A0" w:firstRow="1" w:lastRow="0" w:firstColumn="1" w:lastColumn="0" w:noHBand="0" w:noVBand="1"/>
      </w:tblPr>
      <w:tblGrid>
        <w:gridCol w:w="439"/>
        <w:gridCol w:w="653"/>
        <w:gridCol w:w="522"/>
        <w:gridCol w:w="14"/>
        <w:gridCol w:w="3671"/>
        <w:gridCol w:w="14"/>
        <w:gridCol w:w="2072"/>
        <w:gridCol w:w="1811"/>
        <w:gridCol w:w="17"/>
        <w:gridCol w:w="11"/>
      </w:tblGrid>
      <w:tr w:rsidR="00336CBD" w:rsidRPr="00336CBD" w14:paraId="40C77D48" w14:textId="77777777" w:rsidTr="006E54C7">
        <w:trPr>
          <w:trHeight w:val="320"/>
        </w:trPr>
        <w:tc>
          <w:tcPr>
            <w:tcW w:w="1628"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78B5D2DC" w14:textId="77777777" w:rsidR="00336CBD" w:rsidRPr="00336CBD" w:rsidRDefault="00336CBD" w:rsidP="00336CBD">
            <w:pPr>
              <w:jc w:val="center"/>
              <w:rPr>
                <w:rFonts w:ascii="Arial Narrow" w:eastAsia="Times New Roman" w:hAnsi="Arial Narrow" w:cs="Calibri"/>
                <w:b/>
                <w:bCs/>
                <w:color w:val="FFFFFF"/>
                <w:sz w:val="22"/>
                <w:szCs w:val="22"/>
              </w:rPr>
            </w:pPr>
            <w:r w:rsidRPr="00336CBD">
              <w:rPr>
                <w:rFonts w:ascii="Arial Narrow" w:eastAsia="Times New Roman" w:hAnsi="Arial Narrow" w:cs="Calibri"/>
                <w:b/>
                <w:bCs/>
                <w:color w:val="FFFFFF"/>
                <w:sz w:val="22"/>
                <w:szCs w:val="22"/>
              </w:rPr>
              <w:t>Norma / Política</w:t>
            </w:r>
          </w:p>
        </w:tc>
        <w:tc>
          <w:tcPr>
            <w:tcW w:w="3685"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2674AE3" w14:textId="77777777" w:rsidR="00336CBD" w:rsidRPr="00336CBD" w:rsidRDefault="00336CBD" w:rsidP="00336CBD">
            <w:pPr>
              <w:jc w:val="center"/>
              <w:rPr>
                <w:rFonts w:ascii="Arial Narrow" w:eastAsia="Times New Roman" w:hAnsi="Arial Narrow" w:cs="Calibri"/>
                <w:b/>
                <w:bCs/>
                <w:color w:val="FFFFFF"/>
                <w:sz w:val="22"/>
                <w:szCs w:val="22"/>
              </w:rPr>
            </w:pPr>
            <w:r w:rsidRPr="00336CBD">
              <w:rPr>
                <w:rFonts w:ascii="Arial Narrow" w:eastAsia="Times New Roman" w:hAnsi="Arial Narrow" w:cs="Calibri"/>
                <w:b/>
                <w:bCs/>
                <w:color w:val="FFFFFF"/>
                <w:sz w:val="22"/>
                <w:szCs w:val="22"/>
              </w:rPr>
              <w:t>Concepto</w:t>
            </w:r>
          </w:p>
        </w:tc>
        <w:tc>
          <w:tcPr>
            <w:tcW w:w="3911" w:type="dxa"/>
            <w:gridSpan w:val="4"/>
            <w:tcBorders>
              <w:top w:val="single" w:sz="8" w:space="0" w:color="auto"/>
              <w:left w:val="nil"/>
              <w:bottom w:val="single" w:sz="8" w:space="0" w:color="auto"/>
              <w:right w:val="single" w:sz="8" w:space="0" w:color="000000"/>
            </w:tcBorders>
            <w:shd w:val="clear" w:color="000000" w:fill="203764"/>
            <w:vAlign w:val="center"/>
            <w:hideMark/>
          </w:tcPr>
          <w:p w14:paraId="7FB0E82A" w14:textId="77777777" w:rsidR="00336CBD" w:rsidRPr="00336CBD" w:rsidRDefault="00336CBD" w:rsidP="00336CBD">
            <w:pPr>
              <w:jc w:val="center"/>
              <w:rPr>
                <w:rFonts w:ascii="Arial Narrow" w:eastAsia="Times New Roman" w:hAnsi="Arial Narrow" w:cs="Calibri"/>
                <w:b/>
                <w:bCs/>
                <w:color w:val="FFFFFF"/>
                <w:sz w:val="22"/>
                <w:szCs w:val="22"/>
              </w:rPr>
            </w:pPr>
            <w:r w:rsidRPr="00336CBD">
              <w:rPr>
                <w:rFonts w:ascii="Arial Narrow" w:eastAsia="Times New Roman" w:hAnsi="Arial Narrow" w:cs="Calibri"/>
                <w:b/>
                <w:bCs/>
                <w:color w:val="FFFFFF"/>
                <w:sz w:val="22"/>
                <w:szCs w:val="22"/>
              </w:rPr>
              <w:t>Referencia</w:t>
            </w:r>
          </w:p>
        </w:tc>
      </w:tr>
      <w:tr w:rsidR="00336CBD" w:rsidRPr="006E5442" w14:paraId="67019C4F" w14:textId="77777777" w:rsidTr="006E54C7">
        <w:trPr>
          <w:gridAfter w:val="2"/>
          <w:wAfter w:w="28" w:type="dxa"/>
          <w:trHeight w:val="940"/>
        </w:trPr>
        <w:tc>
          <w:tcPr>
            <w:tcW w:w="1628" w:type="dxa"/>
            <w:gridSpan w:val="4"/>
            <w:vMerge/>
            <w:tcBorders>
              <w:top w:val="single" w:sz="8" w:space="0" w:color="auto"/>
              <w:left w:val="single" w:sz="8" w:space="0" w:color="auto"/>
              <w:bottom w:val="nil"/>
              <w:right w:val="single" w:sz="8" w:space="0" w:color="000000"/>
            </w:tcBorders>
            <w:vAlign w:val="center"/>
            <w:hideMark/>
          </w:tcPr>
          <w:p w14:paraId="401E0DE5" w14:textId="77777777" w:rsidR="00336CBD" w:rsidRPr="00336CBD" w:rsidRDefault="00336CBD" w:rsidP="00336CBD">
            <w:pPr>
              <w:rPr>
                <w:rFonts w:ascii="Arial Narrow" w:eastAsia="Times New Roman" w:hAnsi="Arial Narrow" w:cs="Calibri"/>
                <w:b/>
                <w:bCs/>
                <w:color w:val="FFFFFF"/>
                <w:sz w:val="22"/>
                <w:szCs w:val="22"/>
              </w:rPr>
            </w:pPr>
          </w:p>
        </w:tc>
        <w:tc>
          <w:tcPr>
            <w:tcW w:w="3685" w:type="dxa"/>
            <w:gridSpan w:val="2"/>
            <w:vMerge/>
            <w:tcBorders>
              <w:top w:val="single" w:sz="8" w:space="0" w:color="auto"/>
              <w:left w:val="single" w:sz="8" w:space="0" w:color="auto"/>
              <w:bottom w:val="nil"/>
              <w:right w:val="single" w:sz="8" w:space="0" w:color="auto"/>
            </w:tcBorders>
            <w:vAlign w:val="center"/>
            <w:hideMark/>
          </w:tcPr>
          <w:p w14:paraId="5C07E2C1" w14:textId="77777777" w:rsidR="00336CBD" w:rsidRPr="00336CBD" w:rsidRDefault="00336CBD" w:rsidP="00336CBD">
            <w:pPr>
              <w:rPr>
                <w:rFonts w:ascii="Arial Narrow" w:eastAsia="Times New Roman" w:hAnsi="Arial Narrow" w:cs="Calibri"/>
                <w:b/>
                <w:bCs/>
                <w:color w:val="FFFFFF"/>
                <w:sz w:val="22"/>
                <w:szCs w:val="22"/>
              </w:rPr>
            </w:pPr>
          </w:p>
        </w:tc>
        <w:tc>
          <w:tcPr>
            <w:tcW w:w="2072" w:type="dxa"/>
            <w:tcBorders>
              <w:top w:val="nil"/>
              <w:left w:val="nil"/>
              <w:bottom w:val="nil"/>
              <w:right w:val="single" w:sz="8" w:space="0" w:color="auto"/>
            </w:tcBorders>
            <w:shd w:val="clear" w:color="000000" w:fill="203764"/>
            <w:vAlign w:val="center"/>
            <w:hideMark/>
          </w:tcPr>
          <w:p w14:paraId="3592FAC7" w14:textId="77777777" w:rsidR="00336CBD" w:rsidRPr="00336CBD" w:rsidRDefault="00336CBD" w:rsidP="00336CBD">
            <w:pPr>
              <w:jc w:val="center"/>
              <w:rPr>
                <w:rFonts w:ascii="Arial Narrow" w:eastAsia="Times New Roman" w:hAnsi="Arial Narrow" w:cs="Calibri"/>
                <w:b/>
                <w:bCs/>
                <w:color w:val="FFFFFF"/>
                <w:sz w:val="22"/>
                <w:szCs w:val="22"/>
              </w:rPr>
            </w:pPr>
            <w:r w:rsidRPr="00336CBD">
              <w:rPr>
                <w:rFonts w:ascii="Arial Narrow" w:eastAsia="Times New Roman" w:hAnsi="Arial Narrow" w:cs="Calibri"/>
                <w:b/>
                <w:bCs/>
                <w:color w:val="FFFFFF"/>
                <w:sz w:val="22"/>
                <w:szCs w:val="22"/>
              </w:rPr>
              <w:t>Norma</w:t>
            </w:r>
          </w:p>
        </w:tc>
        <w:tc>
          <w:tcPr>
            <w:tcW w:w="1811" w:type="dxa"/>
            <w:tcBorders>
              <w:top w:val="nil"/>
              <w:left w:val="nil"/>
              <w:bottom w:val="nil"/>
              <w:right w:val="single" w:sz="8" w:space="0" w:color="auto"/>
            </w:tcBorders>
            <w:shd w:val="clear" w:color="000000" w:fill="203764"/>
            <w:vAlign w:val="center"/>
            <w:hideMark/>
          </w:tcPr>
          <w:p w14:paraId="62AB7703" w14:textId="77777777" w:rsidR="00336CBD" w:rsidRPr="00336CBD" w:rsidRDefault="00336CBD" w:rsidP="00336CBD">
            <w:pPr>
              <w:jc w:val="center"/>
              <w:rPr>
                <w:rFonts w:ascii="Arial Narrow" w:eastAsia="Times New Roman" w:hAnsi="Arial Narrow" w:cs="Calibri"/>
                <w:b/>
                <w:bCs/>
                <w:color w:val="FFFFFF"/>
                <w:sz w:val="22"/>
                <w:szCs w:val="22"/>
                <w:lang w:val="es-CR"/>
              </w:rPr>
            </w:pPr>
            <w:r w:rsidRPr="00336CBD">
              <w:rPr>
                <w:rFonts w:ascii="Arial Narrow" w:eastAsia="Times New Roman" w:hAnsi="Arial Narrow" w:cs="Calibri"/>
                <w:b/>
                <w:bCs/>
                <w:color w:val="FFFFFF"/>
                <w:sz w:val="22"/>
                <w:szCs w:val="22"/>
                <w:lang w:val="es-CR"/>
              </w:rPr>
              <w:t>Normativa técnica y disposiciones adicionales</w:t>
            </w:r>
          </w:p>
        </w:tc>
      </w:tr>
      <w:tr w:rsidR="00336CBD" w:rsidRPr="00336CBD" w14:paraId="1BAA8104" w14:textId="77777777" w:rsidTr="006E54C7">
        <w:trPr>
          <w:gridAfter w:val="1"/>
          <w:wAfter w:w="11" w:type="dxa"/>
          <w:trHeight w:val="63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D663F5" w14:textId="77777777" w:rsidR="00336CBD" w:rsidRPr="00336CBD" w:rsidRDefault="00336CBD" w:rsidP="00336CBD">
            <w:pPr>
              <w:jc w:val="center"/>
              <w:rPr>
                <w:rFonts w:ascii="Arial Narrow" w:eastAsia="Times New Roman" w:hAnsi="Arial Narrow" w:cs="Calibri"/>
                <w:b/>
                <w:bCs/>
                <w:color w:val="000000"/>
                <w:sz w:val="22"/>
                <w:szCs w:val="22"/>
              </w:rPr>
            </w:pPr>
            <w:r w:rsidRPr="00336CBD">
              <w:rPr>
                <w:rFonts w:ascii="Arial Narrow" w:eastAsia="Times New Roman" w:hAnsi="Arial Narrow" w:cs="Calibri"/>
                <w:b/>
                <w:bCs/>
                <w:color w:val="000000"/>
                <w:sz w:val="22"/>
                <w:szCs w:val="22"/>
              </w:rPr>
              <w:t>4</w:t>
            </w:r>
          </w:p>
        </w:tc>
        <w:tc>
          <w:tcPr>
            <w:tcW w:w="653" w:type="dxa"/>
            <w:tcBorders>
              <w:top w:val="single" w:sz="8" w:space="0" w:color="auto"/>
              <w:left w:val="nil"/>
              <w:bottom w:val="single" w:sz="8" w:space="0" w:color="auto"/>
              <w:right w:val="single" w:sz="8" w:space="0" w:color="auto"/>
            </w:tcBorders>
            <w:shd w:val="clear" w:color="auto" w:fill="auto"/>
            <w:noWrap/>
            <w:vAlign w:val="center"/>
            <w:hideMark/>
          </w:tcPr>
          <w:p w14:paraId="12C57F01" w14:textId="77777777" w:rsidR="00336CBD" w:rsidRPr="00336CBD" w:rsidRDefault="00336CBD" w:rsidP="00336CBD">
            <w:pPr>
              <w:jc w:val="center"/>
              <w:rPr>
                <w:rFonts w:ascii="Arial Narrow" w:eastAsia="Times New Roman" w:hAnsi="Arial Narrow" w:cs="Calibri"/>
                <w:b/>
                <w:bCs/>
                <w:color w:val="000000"/>
                <w:sz w:val="22"/>
                <w:szCs w:val="22"/>
              </w:rPr>
            </w:pPr>
            <w:r w:rsidRPr="00336CBD">
              <w:rPr>
                <w:rFonts w:ascii="Arial Narrow" w:eastAsia="Times New Roman" w:hAnsi="Arial Narrow" w:cs="Calibri"/>
                <w:b/>
                <w:bCs/>
                <w:color w:val="000000"/>
                <w:sz w:val="22"/>
                <w:szCs w:val="22"/>
              </w:rPr>
              <w:t>66</w:t>
            </w:r>
          </w:p>
        </w:tc>
        <w:tc>
          <w:tcPr>
            <w:tcW w:w="522" w:type="dxa"/>
            <w:tcBorders>
              <w:top w:val="single" w:sz="8" w:space="0" w:color="auto"/>
              <w:left w:val="nil"/>
              <w:bottom w:val="single" w:sz="8" w:space="0" w:color="auto"/>
              <w:right w:val="single" w:sz="8" w:space="0" w:color="auto"/>
            </w:tcBorders>
            <w:shd w:val="clear" w:color="auto" w:fill="auto"/>
            <w:vAlign w:val="center"/>
            <w:hideMark/>
          </w:tcPr>
          <w:p w14:paraId="3DA60A67" w14:textId="7EE13FA1" w:rsidR="00336CBD" w:rsidRPr="00336CBD" w:rsidRDefault="00336CBD" w:rsidP="00336CBD">
            <w:pPr>
              <w:jc w:val="center"/>
              <w:rPr>
                <w:rFonts w:ascii="Arial Narrow" w:eastAsia="Times New Roman" w:hAnsi="Arial Narrow" w:cs="Calibri"/>
                <w:b/>
                <w:bCs/>
                <w:color w:val="000000"/>
                <w:sz w:val="22"/>
                <w:szCs w:val="22"/>
              </w:rPr>
            </w:pPr>
          </w:p>
        </w:tc>
        <w:tc>
          <w:tcPr>
            <w:tcW w:w="3685" w:type="dxa"/>
            <w:gridSpan w:val="2"/>
            <w:tcBorders>
              <w:top w:val="single" w:sz="8" w:space="0" w:color="auto"/>
              <w:left w:val="nil"/>
              <w:bottom w:val="single" w:sz="8" w:space="0" w:color="auto"/>
              <w:right w:val="single" w:sz="8" w:space="0" w:color="auto"/>
            </w:tcBorders>
            <w:shd w:val="clear" w:color="auto" w:fill="auto"/>
            <w:vAlign w:val="center"/>
            <w:hideMark/>
          </w:tcPr>
          <w:p w14:paraId="25E9DE5F" w14:textId="77777777" w:rsidR="00336CBD" w:rsidRPr="00336CBD" w:rsidRDefault="00336CBD" w:rsidP="00336CBD">
            <w:pPr>
              <w:jc w:val="both"/>
              <w:rPr>
                <w:rFonts w:ascii="Arial Narrow" w:eastAsia="Times New Roman" w:hAnsi="Arial Narrow" w:cs="Calibri"/>
                <w:b/>
                <w:bCs/>
                <w:color w:val="000000"/>
                <w:sz w:val="22"/>
                <w:szCs w:val="22"/>
                <w:lang w:val="es-CR"/>
              </w:rPr>
            </w:pPr>
            <w:r w:rsidRPr="00336CBD">
              <w:rPr>
                <w:rFonts w:ascii="Arial Narrow" w:eastAsia="Times New Roman" w:hAnsi="Arial Narrow" w:cs="Calibri"/>
                <w:b/>
                <w:bCs/>
                <w:color w:val="000000"/>
                <w:sz w:val="22"/>
                <w:szCs w:val="22"/>
                <w:lang w:val="es-CR"/>
              </w:rPr>
              <w:t>Recuperación de la pérdida del valor de los inventarios</w:t>
            </w:r>
          </w:p>
        </w:tc>
        <w:tc>
          <w:tcPr>
            <w:tcW w:w="2086" w:type="dxa"/>
            <w:gridSpan w:val="2"/>
            <w:tcBorders>
              <w:top w:val="single" w:sz="8" w:space="0" w:color="auto"/>
              <w:left w:val="nil"/>
              <w:bottom w:val="single" w:sz="8" w:space="0" w:color="auto"/>
              <w:right w:val="single" w:sz="8" w:space="0" w:color="auto"/>
            </w:tcBorders>
            <w:shd w:val="clear" w:color="auto" w:fill="auto"/>
            <w:vAlign w:val="center"/>
            <w:hideMark/>
          </w:tcPr>
          <w:p w14:paraId="129E68E1" w14:textId="4C02AD2F" w:rsidR="00336CBD" w:rsidRPr="008D294D" w:rsidRDefault="00336CBD" w:rsidP="00336CBD">
            <w:pPr>
              <w:jc w:val="both"/>
              <w:rPr>
                <w:rFonts w:ascii="Arial Narrow" w:eastAsia="Times New Roman" w:hAnsi="Arial Narrow" w:cs="Calibri"/>
                <w:b/>
                <w:bCs/>
                <w:color w:val="000000"/>
                <w:sz w:val="22"/>
                <w:szCs w:val="22"/>
              </w:rPr>
            </w:pPr>
            <w:r w:rsidRPr="00336CBD">
              <w:rPr>
                <w:rFonts w:ascii="Arial Narrow" w:eastAsia="Times New Roman" w:hAnsi="Arial Narrow" w:cs="Calibri"/>
                <w:b/>
                <w:bCs/>
                <w:color w:val="000000"/>
                <w:sz w:val="22"/>
                <w:szCs w:val="22"/>
              </w:rPr>
              <w:t>NICSP N° 12,</w:t>
            </w:r>
          </w:p>
          <w:p w14:paraId="1804AAE5" w14:textId="0812959F" w:rsidR="00336CBD" w:rsidRPr="00336CBD" w:rsidRDefault="00336CBD" w:rsidP="00336CBD">
            <w:pPr>
              <w:jc w:val="both"/>
              <w:rPr>
                <w:rFonts w:ascii="Arial Narrow" w:eastAsia="Times New Roman" w:hAnsi="Arial Narrow" w:cs="Calibri"/>
                <w:b/>
                <w:bCs/>
                <w:color w:val="000000"/>
                <w:sz w:val="22"/>
                <w:szCs w:val="22"/>
              </w:rPr>
            </w:pPr>
            <w:r w:rsidRPr="00336CBD">
              <w:rPr>
                <w:rFonts w:ascii="Arial Narrow" w:eastAsia="Times New Roman" w:hAnsi="Arial Narrow" w:cs="Calibri"/>
                <w:b/>
                <w:bCs/>
                <w:color w:val="000000"/>
                <w:sz w:val="22"/>
                <w:szCs w:val="22"/>
              </w:rPr>
              <w:t>Párrafo 42.</w:t>
            </w:r>
          </w:p>
        </w:tc>
        <w:tc>
          <w:tcPr>
            <w:tcW w:w="1828" w:type="dxa"/>
            <w:gridSpan w:val="2"/>
            <w:tcBorders>
              <w:top w:val="single" w:sz="8" w:space="0" w:color="auto"/>
              <w:left w:val="nil"/>
              <w:bottom w:val="single" w:sz="8" w:space="0" w:color="auto"/>
              <w:right w:val="single" w:sz="8" w:space="0" w:color="auto"/>
            </w:tcBorders>
            <w:shd w:val="clear" w:color="auto" w:fill="auto"/>
            <w:vAlign w:val="center"/>
            <w:hideMark/>
          </w:tcPr>
          <w:p w14:paraId="061CD881" w14:textId="77777777" w:rsidR="00336CBD" w:rsidRPr="00336CBD" w:rsidRDefault="00336CBD" w:rsidP="00336CBD">
            <w:pPr>
              <w:jc w:val="center"/>
              <w:rPr>
                <w:rFonts w:ascii="Arial Narrow" w:eastAsia="Times New Roman" w:hAnsi="Arial Narrow" w:cs="Calibri"/>
                <w:b/>
                <w:bCs/>
                <w:color w:val="000000"/>
                <w:sz w:val="22"/>
                <w:szCs w:val="22"/>
              </w:rPr>
            </w:pPr>
            <w:r w:rsidRPr="00336CBD">
              <w:rPr>
                <w:rFonts w:ascii="Arial Narrow" w:eastAsia="Times New Roman" w:hAnsi="Arial Narrow" w:cs="Calibri"/>
                <w:b/>
                <w:bCs/>
                <w:color w:val="000000"/>
                <w:sz w:val="22"/>
                <w:szCs w:val="22"/>
              </w:rPr>
              <w:t xml:space="preserve">DGCN </w:t>
            </w:r>
          </w:p>
        </w:tc>
      </w:tr>
    </w:tbl>
    <w:p w14:paraId="68C06A35" w14:textId="77777777" w:rsidR="008A517B" w:rsidRDefault="008A517B" w:rsidP="001D484B">
      <w:pPr>
        <w:pStyle w:val="Default"/>
        <w:ind w:left="1134" w:hanging="1134"/>
        <w:jc w:val="both"/>
        <w:rPr>
          <w:sz w:val="22"/>
          <w:szCs w:val="22"/>
          <w:lang w:val="es-CR"/>
        </w:rPr>
      </w:pPr>
    </w:p>
    <w:p w14:paraId="4370B436" w14:textId="02BE9139" w:rsidR="006E54C7" w:rsidRDefault="006E54C7" w:rsidP="006E54C7">
      <w:pPr>
        <w:pStyle w:val="Default"/>
        <w:ind w:left="1134" w:hanging="1134"/>
        <w:jc w:val="both"/>
        <w:rPr>
          <w:rFonts w:eastAsia="Arial"/>
          <w:b/>
          <w:sz w:val="22"/>
          <w:szCs w:val="22"/>
        </w:rPr>
      </w:pPr>
      <w:r w:rsidRPr="00F02F9D">
        <w:rPr>
          <w:rFonts w:eastAsia="Arial"/>
          <w:b/>
          <w:sz w:val="22"/>
          <w:szCs w:val="22"/>
        </w:rPr>
        <w:t>Política Contable</w:t>
      </w:r>
    </w:p>
    <w:p w14:paraId="0D42201E" w14:textId="77777777" w:rsidR="006E54C7" w:rsidRDefault="006E54C7" w:rsidP="001D484B">
      <w:pPr>
        <w:pStyle w:val="Default"/>
        <w:ind w:left="1134" w:hanging="1134"/>
        <w:jc w:val="both"/>
        <w:rPr>
          <w:sz w:val="22"/>
          <w:szCs w:val="22"/>
          <w:lang w:val="es-CR"/>
        </w:rPr>
      </w:pPr>
    </w:p>
    <w:p w14:paraId="708D4468" w14:textId="6F1D5512" w:rsidR="008A517B" w:rsidRPr="008D294D" w:rsidRDefault="00336CBD" w:rsidP="001D484B">
      <w:pPr>
        <w:pStyle w:val="Default"/>
        <w:ind w:left="1134" w:hanging="1134"/>
        <w:jc w:val="both"/>
        <w:rPr>
          <w:sz w:val="22"/>
          <w:szCs w:val="22"/>
          <w:lang w:val="es-CR"/>
        </w:rPr>
      </w:pPr>
      <w:r w:rsidRPr="008D294D">
        <w:rPr>
          <w:sz w:val="22"/>
          <w:szCs w:val="22"/>
          <w:lang w:val="es-CR"/>
        </w:rPr>
        <w:t>4.65.0.01</w:t>
      </w:r>
      <w:r w:rsidRPr="008D294D">
        <w:rPr>
          <w:sz w:val="22"/>
          <w:szCs w:val="22"/>
          <w:lang w:val="es-CR"/>
        </w:rPr>
        <w:tab/>
        <w:t xml:space="preserve">Al final de cada período la entidad realizará una evaluación del valor realizable neto de los inventarios. Cuando las circunstancias que previamente causaron la rebaja de inventarios hayan dejado de existir, o cuando exista una clara evidencia de un incremento en el valor realizable neto como consecuencia de un </w:t>
      </w:r>
      <w:r w:rsidR="005907B3" w:rsidRPr="008D294D">
        <w:rPr>
          <w:sz w:val="22"/>
          <w:szCs w:val="22"/>
          <w:lang w:val="es-CR"/>
        </w:rPr>
        <w:t>ca</w:t>
      </w:r>
      <w:r w:rsidR="005907B3">
        <w:rPr>
          <w:sz w:val="22"/>
          <w:szCs w:val="22"/>
          <w:lang w:val="es-CR"/>
        </w:rPr>
        <w:t>mbi</w:t>
      </w:r>
      <w:r w:rsidR="005907B3" w:rsidRPr="008D294D">
        <w:rPr>
          <w:sz w:val="22"/>
          <w:szCs w:val="22"/>
          <w:lang w:val="es-CR"/>
        </w:rPr>
        <w:t>o</w:t>
      </w:r>
      <w:r w:rsidRPr="008D294D">
        <w:rPr>
          <w:sz w:val="22"/>
          <w:szCs w:val="22"/>
          <w:lang w:val="es-CR"/>
        </w:rPr>
        <w:t xml:space="preserve"> en las circunstancias económicas, </w:t>
      </w:r>
      <w:r w:rsidRPr="008D294D">
        <w:rPr>
          <w:b/>
          <w:bCs/>
          <w:sz w:val="22"/>
          <w:szCs w:val="22"/>
          <w:lang w:val="es-CR"/>
        </w:rPr>
        <w:t xml:space="preserve">se revertirá el importe de dicha rebaja </w:t>
      </w:r>
      <w:r w:rsidRPr="008D294D">
        <w:rPr>
          <w:sz w:val="22"/>
          <w:szCs w:val="22"/>
          <w:lang w:val="es-CR"/>
        </w:rPr>
        <w:t xml:space="preserve">(es decir la reversión se limita al importe de la rebaja original), de manera que el nuevo valor en libros sea el menor entre el costo y el valor realizable neto revisado. Esto ocurre, por ejemplo, cuando un producto en inventario, que se lleva al valor realizable neto </w:t>
      </w:r>
      <w:r w:rsidRPr="008D294D">
        <w:rPr>
          <w:sz w:val="22"/>
          <w:szCs w:val="22"/>
          <w:lang w:val="es-CR"/>
        </w:rPr>
        <w:lastRenderedPageBreak/>
        <w:t>porque ha bajado su precio de venta, está todavía en el inventario de un período posterior y su precio de venta se ha incrementado.</w:t>
      </w:r>
    </w:p>
    <w:p w14:paraId="16F10FD2" w14:textId="77777777" w:rsidR="008A517B" w:rsidRDefault="008A517B" w:rsidP="001D484B">
      <w:pPr>
        <w:pStyle w:val="Default"/>
        <w:ind w:left="1134" w:hanging="1134"/>
        <w:jc w:val="both"/>
        <w:rPr>
          <w:sz w:val="22"/>
          <w:szCs w:val="22"/>
          <w:lang w:val="es-CR"/>
        </w:rPr>
      </w:pPr>
    </w:p>
    <w:p w14:paraId="5C235B46" w14:textId="77777777" w:rsidR="000A3F77" w:rsidRDefault="000A3F77" w:rsidP="001D484B">
      <w:pPr>
        <w:pStyle w:val="Default"/>
        <w:ind w:left="1134" w:hanging="1134"/>
        <w:jc w:val="both"/>
        <w:rPr>
          <w:sz w:val="22"/>
          <w:szCs w:val="22"/>
          <w:lang w:val="es-CR"/>
        </w:rPr>
      </w:pPr>
    </w:p>
    <w:p w14:paraId="2F8ABAE2" w14:textId="77777777" w:rsidR="000A3F77" w:rsidRDefault="000A3F77" w:rsidP="001D484B">
      <w:pPr>
        <w:pStyle w:val="Default"/>
        <w:ind w:left="1134" w:hanging="1134"/>
        <w:jc w:val="both"/>
        <w:rPr>
          <w:sz w:val="22"/>
          <w:szCs w:val="22"/>
          <w:lang w:val="es-CR"/>
        </w:rPr>
      </w:pPr>
    </w:p>
    <w:p w14:paraId="646ACE56" w14:textId="43D64712" w:rsidR="000A3F77" w:rsidRPr="009E7101" w:rsidRDefault="000A3F77" w:rsidP="009E7101">
      <w:pPr>
        <w:pStyle w:val="Ttulo2"/>
        <w:ind w:left="284"/>
        <w:rPr>
          <w:rFonts w:ascii="Arial" w:eastAsia="Arial" w:hAnsi="Arial" w:cs="Arial"/>
          <w:b/>
          <w:bCs/>
          <w:sz w:val="20"/>
          <w:szCs w:val="20"/>
          <w:lang w:val="es-CR"/>
        </w:rPr>
      </w:pPr>
      <w:bookmarkStart w:id="138" w:name="_Toc172726273"/>
      <w:r w:rsidRPr="009E7101">
        <w:rPr>
          <w:rFonts w:ascii="Arial" w:eastAsia="Arial" w:hAnsi="Arial" w:cs="Arial"/>
          <w:b/>
          <w:bCs/>
          <w:sz w:val="20"/>
          <w:szCs w:val="20"/>
          <w:lang w:val="es-CR"/>
        </w:rPr>
        <w:t>Reversión de pérdidas por deterioro de activos</w:t>
      </w:r>
      <w:bookmarkEnd w:id="138"/>
    </w:p>
    <w:p w14:paraId="34881B88" w14:textId="77777777" w:rsidR="008A517B" w:rsidRDefault="008A517B" w:rsidP="001D484B">
      <w:pPr>
        <w:pStyle w:val="Default"/>
        <w:ind w:left="1134" w:hanging="1134"/>
        <w:jc w:val="both"/>
        <w:rPr>
          <w:sz w:val="22"/>
          <w:szCs w:val="22"/>
          <w:lang w:val="es-CR"/>
        </w:rPr>
      </w:pPr>
    </w:p>
    <w:p w14:paraId="1F0B6E81" w14:textId="77777777" w:rsidR="006E54C7" w:rsidRDefault="006E54C7" w:rsidP="001D484B">
      <w:pPr>
        <w:pStyle w:val="Default"/>
        <w:ind w:left="1134" w:hanging="1134"/>
        <w:jc w:val="both"/>
        <w:rPr>
          <w:sz w:val="22"/>
          <w:szCs w:val="22"/>
          <w:lang w:val="es-CR"/>
        </w:rPr>
      </w:pPr>
    </w:p>
    <w:tbl>
      <w:tblPr>
        <w:tblW w:w="9257" w:type="dxa"/>
        <w:tblInd w:w="118" w:type="dxa"/>
        <w:tblLayout w:type="fixed"/>
        <w:tblLook w:val="04A0" w:firstRow="1" w:lastRow="0" w:firstColumn="1" w:lastColumn="0" w:noHBand="0" w:noVBand="1"/>
      </w:tblPr>
      <w:tblGrid>
        <w:gridCol w:w="439"/>
        <w:gridCol w:w="709"/>
        <w:gridCol w:w="426"/>
        <w:gridCol w:w="10"/>
        <w:gridCol w:w="3670"/>
        <w:gridCol w:w="10"/>
        <w:gridCol w:w="2121"/>
        <w:gridCol w:w="1856"/>
        <w:gridCol w:w="10"/>
        <w:gridCol w:w="6"/>
      </w:tblGrid>
      <w:tr w:rsidR="00336CBD" w:rsidRPr="00336CBD" w14:paraId="2C07C46A" w14:textId="77777777" w:rsidTr="006E54C7">
        <w:trPr>
          <w:trHeight w:val="320"/>
        </w:trPr>
        <w:tc>
          <w:tcPr>
            <w:tcW w:w="158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7EC8C244" w14:textId="77777777" w:rsidR="00336CBD" w:rsidRPr="00336CBD" w:rsidRDefault="00336CBD" w:rsidP="00336CBD">
            <w:pPr>
              <w:jc w:val="center"/>
              <w:rPr>
                <w:rFonts w:ascii="Arial Narrow" w:eastAsia="Times New Roman" w:hAnsi="Arial Narrow" w:cs="Calibri"/>
                <w:b/>
                <w:bCs/>
                <w:color w:val="FFFFFF"/>
                <w:sz w:val="22"/>
                <w:szCs w:val="22"/>
              </w:rPr>
            </w:pPr>
            <w:r w:rsidRPr="00336CBD">
              <w:rPr>
                <w:rFonts w:ascii="Arial Narrow" w:eastAsia="Times New Roman" w:hAnsi="Arial Narrow" w:cs="Calibri"/>
                <w:b/>
                <w:bCs/>
                <w:color w:val="FFFFFF"/>
                <w:sz w:val="22"/>
                <w:szCs w:val="22"/>
              </w:rPr>
              <w:t>Norma / Política</w:t>
            </w:r>
          </w:p>
        </w:tc>
        <w:tc>
          <w:tcPr>
            <w:tcW w:w="368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6D1A5CF" w14:textId="77777777" w:rsidR="00336CBD" w:rsidRPr="00336CBD" w:rsidRDefault="00336CBD" w:rsidP="00336CBD">
            <w:pPr>
              <w:jc w:val="center"/>
              <w:rPr>
                <w:rFonts w:ascii="Arial Narrow" w:eastAsia="Times New Roman" w:hAnsi="Arial Narrow" w:cs="Calibri"/>
                <w:b/>
                <w:bCs/>
                <w:color w:val="FFFFFF"/>
                <w:sz w:val="22"/>
                <w:szCs w:val="22"/>
              </w:rPr>
            </w:pPr>
            <w:r w:rsidRPr="00336CBD">
              <w:rPr>
                <w:rFonts w:ascii="Arial Narrow" w:eastAsia="Times New Roman" w:hAnsi="Arial Narrow" w:cs="Calibri"/>
                <w:b/>
                <w:bCs/>
                <w:color w:val="FFFFFF"/>
                <w:sz w:val="22"/>
                <w:szCs w:val="22"/>
              </w:rPr>
              <w:t>Concepto</w:t>
            </w:r>
          </w:p>
        </w:tc>
        <w:tc>
          <w:tcPr>
            <w:tcW w:w="3993" w:type="dxa"/>
            <w:gridSpan w:val="4"/>
            <w:tcBorders>
              <w:top w:val="single" w:sz="8" w:space="0" w:color="auto"/>
              <w:left w:val="nil"/>
              <w:bottom w:val="single" w:sz="8" w:space="0" w:color="auto"/>
              <w:right w:val="single" w:sz="8" w:space="0" w:color="000000"/>
            </w:tcBorders>
            <w:shd w:val="clear" w:color="000000" w:fill="203764"/>
            <w:vAlign w:val="center"/>
            <w:hideMark/>
          </w:tcPr>
          <w:p w14:paraId="63D2E0D2" w14:textId="77777777" w:rsidR="00336CBD" w:rsidRPr="00336CBD" w:rsidRDefault="00336CBD" w:rsidP="00336CBD">
            <w:pPr>
              <w:jc w:val="center"/>
              <w:rPr>
                <w:rFonts w:ascii="Arial Narrow" w:eastAsia="Times New Roman" w:hAnsi="Arial Narrow" w:cs="Calibri"/>
                <w:b/>
                <w:bCs/>
                <w:color w:val="FFFFFF"/>
                <w:sz w:val="22"/>
                <w:szCs w:val="22"/>
              </w:rPr>
            </w:pPr>
            <w:r w:rsidRPr="00336CBD">
              <w:rPr>
                <w:rFonts w:ascii="Arial Narrow" w:eastAsia="Times New Roman" w:hAnsi="Arial Narrow" w:cs="Calibri"/>
                <w:b/>
                <w:bCs/>
                <w:color w:val="FFFFFF"/>
                <w:sz w:val="22"/>
                <w:szCs w:val="22"/>
              </w:rPr>
              <w:t>Referencia</w:t>
            </w:r>
          </w:p>
        </w:tc>
      </w:tr>
      <w:tr w:rsidR="00336CBD" w:rsidRPr="006E5442" w14:paraId="3C31DEBA" w14:textId="77777777" w:rsidTr="006E54C7">
        <w:trPr>
          <w:gridAfter w:val="2"/>
          <w:wAfter w:w="16" w:type="dxa"/>
          <w:trHeight w:val="940"/>
        </w:trPr>
        <w:tc>
          <w:tcPr>
            <w:tcW w:w="1584" w:type="dxa"/>
            <w:gridSpan w:val="4"/>
            <w:vMerge/>
            <w:tcBorders>
              <w:top w:val="single" w:sz="8" w:space="0" w:color="auto"/>
              <w:left w:val="single" w:sz="8" w:space="0" w:color="auto"/>
              <w:bottom w:val="nil"/>
              <w:right w:val="single" w:sz="8" w:space="0" w:color="000000"/>
            </w:tcBorders>
            <w:vAlign w:val="center"/>
            <w:hideMark/>
          </w:tcPr>
          <w:p w14:paraId="4106CE1B" w14:textId="77777777" w:rsidR="00336CBD" w:rsidRPr="00336CBD" w:rsidRDefault="00336CBD" w:rsidP="00336CBD">
            <w:pPr>
              <w:rPr>
                <w:rFonts w:ascii="Arial Narrow" w:eastAsia="Times New Roman" w:hAnsi="Arial Narrow" w:cs="Calibri"/>
                <w:b/>
                <w:bCs/>
                <w:color w:val="FFFFFF"/>
                <w:sz w:val="22"/>
                <w:szCs w:val="22"/>
              </w:rPr>
            </w:pPr>
          </w:p>
        </w:tc>
        <w:tc>
          <w:tcPr>
            <w:tcW w:w="3680" w:type="dxa"/>
            <w:gridSpan w:val="2"/>
            <w:vMerge/>
            <w:tcBorders>
              <w:top w:val="single" w:sz="8" w:space="0" w:color="auto"/>
              <w:left w:val="single" w:sz="8" w:space="0" w:color="auto"/>
              <w:bottom w:val="nil"/>
              <w:right w:val="single" w:sz="8" w:space="0" w:color="auto"/>
            </w:tcBorders>
            <w:vAlign w:val="center"/>
            <w:hideMark/>
          </w:tcPr>
          <w:p w14:paraId="3D1DB31B" w14:textId="77777777" w:rsidR="00336CBD" w:rsidRPr="00336CBD" w:rsidRDefault="00336CBD" w:rsidP="00336CBD">
            <w:pPr>
              <w:rPr>
                <w:rFonts w:ascii="Arial Narrow" w:eastAsia="Times New Roman" w:hAnsi="Arial Narrow" w:cs="Calibri"/>
                <w:b/>
                <w:bCs/>
                <w:color w:val="FFFFFF"/>
                <w:sz w:val="22"/>
                <w:szCs w:val="22"/>
              </w:rPr>
            </w:pPr>
          </w:p>
        </w:tc>
        <w:tc>
          <w:tcPr>
            <w:tcW w:w="2121" w:type="dxa"/>
            <w:tcBorders>
              <w:top w:val="nil"/>
              <w:left w:val="nil"/>
              <w:bottom w:val="nil"/>
              <w:right w:val="single" w:sz="8" w:space="0" w:color="auto"/>
            </w:tcBorders>
            <w:shd w:val="clear" w:color="000000" w:fill="203764"/>
            <w:vAlign w:val="center"/>
            <w:hideMark/>
          </w:tcPr>
          <w:p w14:paraId="376CEFB8" w14:textId="77777777" w:rsidR="00336CBD" w:rsidRPr="00336CBD" w:rsidRDefault="00336CBD" w:rsidP="00336CBD">
            <w:pPr>
              <w:jc w:val="center"/>
              <w:rPr>
                <w:rFonts w:ascii="Arial Narrow" w:eastAsia="Times New Roman" w:hAnsi="Arial Narrow" w:cs="Calibri"/>
                <w:b/>
                <w:bCs/>
                <w:color w:val="FFFFFF"/>
                <w:sz w:val="22"/>
                <w:szCs w:val="22"/>
              </w:rPr>
            </w:pPr>
            <w:r w:rsidRPr="00336CBD">
              <w:rPr>
                <w:rFonts w:ascii="Arial Narrow" w:eastAsia="Times New Roman" w:hAnsi="Arial Narrow" w:cs="Calibri"/>
                <w:b/>
                <w:bCs/>
                <w:color w:val="FFFFFF"/>
                <w:sz w:val="22"/>
                <w:szCs w:val="22"/>
              </w:rPr>
              <w:t>Norma</w:t>
            </w:r>
          </w:p>
        </w:tc>
        <w:tc>
          <w:tcPr>
            <w:tcW w:w="1856" w:type="dxa"/>
            <w:tcBorders>
              <w:top w:val="nil"/>
              <w:left w:val="nil"/>
              <w:bottom w:val="nil"/>
              <w:right w:val="single" w:sz="8" w:space="0" w:color="auto"/>
            </w:tcBorders>
            <w:shd w:val="clear" w:color="000000" w:fill="203764"/>
            <w:vAlign w:val="center"/>
            <w:hideMark/>
          </w:tcPr>
          <w:p w14:paraId="693548AC" w14:textId="77777777" w:rsidR="00336CBD" w:rsidRPr="00336CBD" w:rsidRDefault="00336CBD" w:rsidP="00336CBD">
            <w:pPr>
              <w:jc w:val="center"/>
              <w:rPr>
                <w:rFonts w:ascii="Arial Narrow" w:eastAsia="Times New Roman" w:hAnsi="Arial Narrow" w:cs="Calibri"/>
                <w:b/>
                <w:bCs/>
                <w:color w:val="FFFFFF"/>
                <w:sz w:val="22"/>
                <w:szCs w:val="22"/>
                <w:lang w:val="es-CR"/>
              </w:rPr>
            </w:pPr>
            <w:r w:rsidRPr="00336CBD">
              <w:rPr>
                <w:rFonts w:ascii="Arial Narrow" w:eastAsia="Times New Roman" w:hAnsi="Arial Narrow" w:cs="Calibri"/>
                <w:b/>
                <w:bCs/>
                <w:color w:val="FFFFFF"/>
                <w:sz w:val="22"/>
                <w:szCs w:val="22"/>
                <w:lang w:val="es-CR"/>
              </w:rPr>
              <w:t>Normativa técnica y disposiciones adicionales</w:t>
            </w:r>
          </w:p>
        </w:tc>
      </w:tr>
      <w:tr w:rsidR="00336CBD" w:rsidRPr="00336CBD" w14:paraId="46A63139" w14:textId="77777777" w:rsidTr="006E54C7">
        <w:trPr>
          <w:gridAfter w:val="1"/>
          <w:wAfter w:w="6" w:type="dxa"/>
          <w:trHeight w:val="125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3A6327" w14:textId="77777777" w:rsidR="00336CBD" w:rsidRPr="00336CBD" w:rsidRDefault="00336CBD" w:rsidP="00336CBD">
            <w:pPr>
              <w:jc w:val="center"/>
              <w:rPr>
                <w:rFonts w:ascii="Arial Narrow" w:eastAsia="Times New Roman" w:hAnsi="Arial Narrow" w:cs="Calibri"/>
                <w:b/>
                <w:bCs/>
                <w:color w:val="000000"/>
                <w:sz w:val="22"/>
                <w:szCs w:val="22"/>
              </w:rPr>
            </w:pPr>
            <w:r w:rsidRPr="00336CBD">
              <w:rPr>
                <w:rFonts w:ascii="Arial Narrow" w:eastAsia="Times New Roman" w:hAnsi="Arial Narrow" w:cs="Calibri"/>
                <w:b/>
                <w:bCs/>
                <w:color w:val="000000"/>
                <w:sz w:val="22"/>
                <w:szCs w:val="22"/>
              </w:rPr>
              <w:t>4</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3AFACA5A" w14:textId="77777777" w:rsidR="00336CBD" w:rsidRPr="00336CBD" w:rsidRDefault="00336CBD" w:rsidP="00336CBD">
            <w:pPr>
              <w:jc w:val="center"/>
              <w:rPr>
                <w:rFonts w:ascii="Arial Narrow" w:eastAsia="Times New Roman" w:hAnsi="Arial Narrow" w:cs="Calibri"/>
                <w:b/>
                <w:bCs/>
                <w:color w:val="000000"/>
                <w:sz w:val="22"/>
                <w:szCs w:val="22"/>
              </w:rPr>
            </w:pPr>
            <w:r w:rsidRPr="00336CBD">
              <w:rPr>
                <w:rFonts w:ascii="Arial Narrow" w:eastAsia="Times New Roman" w:hAnsi="Arial Narrow" w:cs="Calibri"/>
                <w:b/>
                <w:bCs/>
                <w:color w:val="000000"/>
                <w:sz w:val="22"/>
                <w:szCs w:val="22"/>
              </w:rPr>
              <w:t>67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4231A9D9" w14:textId="27B8D7A9" w:rsidR="00336CBD" w:rsidRPr="00336CBD" w:rsidRDefault="00336CBD" w:rsidP="00336CBD">
            <w:pPr>
              <w:jc w:val="center"/>
              <w:rPr>
                <w:rFonts w:ascii="Arial Narrow" w:eastAsia="Times New Roman" w:hAnsi="Arial Narrow" w:cs="Calibri"/>
                <w:b/>
                <w:bCs/>
                <w:color w:val="000000"/>
                <w:sz w:val="22"/>
                <w:szCs w:val="22"/>
              </w:rPr>
            </w:pPr>
          </w:p>
        </w:tc>
        <w:tc>
          <w:tcPr>
            <w:tcW w:w="3680" w:type="dxa"/>
            <w:gridSpan w:val="2"/>
            <w:tcBorders>
              <w:top w:val="single" w:sz="8" w:space="0" w:color="auto"/>
              <w:left w:val="nil"/>
              <w:bottom w:val="single" w:sz="8" w:space="0" w:color="auto"/>
              <w:right w:val="single" w:sz="8" w:space="0" w:color="auto"/>
            </w:tcBorders>
            <w:shd w:val="clear" w:color="auto" w:fill="auto"/>
            <w:vAlign w:val="center"/>
            <w:hideMark/>
          </w:tcPr>
          <w:p w14:paraId="064DCACB" w14:textId="77777777" w:rsidR="00336CBD" w:rsidRPr="00336CBD" w:rsidRDefault="00336CBD" w:rsidP="00336CBD">
            <w:pPr>
              <w:jc w:val="both"/>
              <w:rPr>
                <w:rFonts w:ascii="Arial Narrow" w:eastAsia="Times New Roman" w:hAnsi="Arial Narrow" w:cs="Calibri"/>
                <w:b/>
                <w:bCs/>
                <w:color w:val="000000"/>
                <w:sz w:val="22"/>
                <w:szCs w:val="22"/>
                <w:lang w:val="es-CR"/>
              </w:rPr>
            </w:pPr>
            <w:r w:rsidRPr="00336CBD">
              <w:rPr>
                <w:rFonts w:ascii="Arial Narrow" w:eastAsia="Times New Roman" w:hAnsi="Arial Narrow" w:cs="Calibri"/>
                <w:b/>
                <w:bCs/>
                <w:color w:val="000000"/>
                <w:sz w:val="22"/>
                <w:szCs w:val="22"/>
                <w:lang w:val="es-CR"/>
              </w:rPr>
              <w:t>Reversión de las pérdidas de valor por deterioro</w:t>
            </w:r>
          </w:p>
        </w:tc>
        <w:tc>
          <w:tcPr>
            <w:tcW w:w="2131" w:type="dxa"/>
            <w:gridSpan w:val="2"/>
            <w:tcBorders>
              <w:top w:val="single" w:sz="8" w:space="0" w:color="auto"/>
              <w:left w:val="nil"/>
              <w:bottom w:val="single" w:sz="8" w:space="0" w:color="auto"/>
              <w:right w:val="single" w:sz="8" w:space="0" w:color="auto"/>
            </w:tcBorders>
            <w:shd w:val="clear" w:color="auto" w:fill="auto"/>
            <w:vAlign w:val="center"/>
            <w:hideMark/>
          </w:tcPr>
          <w:p w14:paraId="3BC7BD93" w14:textId="30B21138" w:rsidR="00336CBD" w:rsidRPr="00AC73BE" w:rsidRDefault="00336CBD" w:rsidP="006E54C7">
            <w:pPr>
              <w:jc w:val="both"/>
              <w:rPr>
                <w:rFonts w:ascii="Arial Narrow" w:eastAsia="Times New Roman" w:hAnsi="Arial Narrow" w:cs="Calibri"/>
                <w:b/>
                <w:bCs/>
                <w:color w:val="000000"/>
                <w:sz w:val="22"/>
                <w:szCs w:val="22"/>
                <w:lang w:val="es-CR"/>
              </w:rPr>
            </w:pPr>
            <w:r w:rsidRPr="00336CBD">
              <w:rPr>
                <w:rFonts w:ascii="Arial Narrow" w:eastAsia="Times New Roman" w:hAnsi="Arial Narrow" w:cs="Calibri"/>
                <w:b/>
                <w:bCs/>
                <w:color w:val="000000"/>
                <w:sz w:val="22"/>
                <w:szCs w:val="22"/>
                <w:lang w:val="es-CR"/>
              </w:rPr>
              <w:t>NICSP N° 21,</w:t>
            </w:r>
          </w:p>
          <w:p w14:paraId="77359779" w14:textId="77777777" w:rsidR="00336CBD" w:rsidRPr="00AC73BE" w:rsidRDefault="00336CBD" w:rsidP="006E54C7">
            <w:pPr>
              <w:jc w:val="both"/>
              <w:rPr>
                <w:rFonts w:ascii="Arial Narrow" w:eastAsia="Times New Roman" w:hAnsi="Arial Narrow" w:cs="Calibri"/>
                <w:b/>
                <w:bCs/>
                <w:color w:val="000000"/>
                <w:sz w:val="22"/>
                <w:szCs w:val="22"/>
                <w:lang w:val="es-CR"/>
              </w:rPr>
            </w:pPr>
            <w:r w:rsidRPr="00336CBD">
              <w:rPr>
                <w:rFonts w:ascii="Arial Narrow" w:eastAsia="Times New Roman" w:hAnsi="Arial Narrow" w:cs="Calibri"/>
                <w:b/>
                <w:bCs/>
                <w:color w:val="000000"/>
                <w:sz w:val="22"/>
                <w:szCs w:val="22"/>
                <w:lang w:val="es-CR"/>
              </w:rPr>
              <w:t>Párrafos 59, 60 y 64.</w:t>
            </w:r>
          </w:p>
          <w:p w14:paraId="5B722A34" w14:textId="77777777" w:rsidR="00336CBD" w:rsidRPr="00AC73BE" w:rsidRDefault="00336CBD" w:rsidP="006E54C7">
            <w:pPr>
              <w:jc w:val="both"/>
              <w:rPr>
                <w:rFonts w:ascii="Arial Narrow" w:eastAsia="Times New Roman" w:hAnsi="Arial Narrow" w:cs="Calibri"/>
                <w:b/>
                <w:bCs/>
                <w:color w:val="000000"/>
                <w:sz w:val="22"/>
                <w:szCs w:val="22"/>
                <w:lang w:val="es-CR"/>
              </w:rPr>
            </w:pPr>
            <w:r w:rsidRPr="00336CBD">
              <w:rPr>
                <w:rFonts w:ascii="Arial Narrow" w:eastAsia="Times New Roman" w:hAnsi="Arial Narrow" w:cs="Calibri"/>
                <w:b/>
                <w:bCs/>
                <w:color w:val="000000"/>
                <w:sz w:val="22"/>
                <w:szCs w:val="22"/>
                <w:lang w:val="es-CR"/>
              </w:rPr>
              <w:t>NICSP Nº 26,</w:t>
            </w:r>
          </w:p>
          <w:p w14:paraId="716982DE" w14:textId="45CA054D" w:rsidR="00336CBD" w:rsidRPr="00336CBD" w:rsidRDefault="00336CBD" w:rsidP="006E54C7">
            <w:pPr>
              <w:jc w:val="both"/>
              <w:rPr>
                <w:rFonts w:ascii="Arial Narrow" w:eastAsia="Times New Roman" w:hAnsi="Arial Narrow" w:cs="Calibri"/>
                <w:b/>
                <w:bCs/>
                <w:color w:val="000000"/>
                <w:sz w:val="22"/>
                <w:szCs w:val="22"/>
                <w:lang w:val="es-CR"/>
              </w:rPr>
            </w:pPr>
            <w:r w:rsidRPr="00336CBD">
              <w:rPr>
                <w:rFonts w:ascii="Arial Narrow" w:eastAsia="Times New Roman" w:hAnsi="Arial Narrow" w:cs="Calibri"/>
                <w:b/>
                <w:bCs/>
                <w:color w:val="000000"/>
                <w:sz w:val="22"/>
                <w:szCs w:val="22"/>
                <w:lang w:val="es-CR"/>
              </w:rPr>
              <w:t>Párrafos 99, 100 y 102.</w:t>
            </w:r>
          </w:p>
        </w:tc>
        <w:tc>
          <w:tcPr>
            <w:tcW w:w="1866" w:type="dxa"/>
            <w:gridSpan w:val="2"/>
            <w:tcBorders>
              <w:top w:val="single" w:sz="8" w:space="0" w:color="auto"/>
              <w:left w:val="nil"/>
              <w:bottom w:val="single" w:sz="8" w:space="0" w:color="auto"/>
              <w:right w:val="single" w:sz="8" w:space="0" w:color="auto"/>
            </w:tcBorders>
            <w:shd w:val="clear" w:color="auto" w:fill="auto"/>
            <w:vAlign w:val="center"/>
            <w:hideMark/>
          </w:tcPr>
          <w:p w14:paraId="77CE7688" w14:textId="77777777" w:rsidR="00336CBD" w:rsidRPr="00336CBD" w:rsidRDefault="00336CBD" w:rsidP="00336CBD">
            <w:pPr>
              <w:jc w:val="center"/>
              <w:rPr>
                <w:rFonts w:ascii="Arial Narrow" w:eastAsia="Times New Roman" w:hAnsi="Arial Narrow" w:cs="Calibri"/>
                <w:b/>
                <w:bCs/>
                <w:color w:val="000000"/>
                <w:sz w:val="22"/>
                <w:szCs w:val="22"/>
                <w:lang w:val="es-CR"/>
              </w:rPr>
            </w:pPr>
            <w:r w:rsidRPr="00336CBD">
              <w:rPr>
                <w:rFonts w:ascii="Arial Narrow" w:eastAsia="Times New Roman" w:hAnsi="Arial Narrow" w:cs="Calibri"/>
                <w:b/>
                <w:bCs/>
                <w:color w:val="000000"/>
                <w:sz w:val="22"/>
                <w:szCs w:val="22"/>
                <w:lang w:val="es-CR"/>
              </w:rPr>
              <w:t xml:space="preserve"> </w:t>
            </w:r>
          </w:p>
        </w:tc>
      </w:tr>
    </w:tbl>
    <w:p w14:paraId="44DB48B0" w14:textId="77777777" w:rsidR="00336CBD" w:rsidRDefault="00336CBD" w:rsidP="001D484B">
      <w:pPr>
        <w:pStyle w:val="Default"/>
        <w:ind w:left="1134" w:hanging="1134"/>
        <w:jc w:val="both"/>
        <w:rPr>
          <w:sz w:val="22"/>
          <w:szCs w:val="22"/>
          <w:lang w:val="es-CR"/>
        </w:rPr>
      </w:pPr>
    </w:p>
    <w:p w14:paraId="16503900" w14:textId="77777777" w:rsidR="006E54C7" w:rsidRDefault="006E54C7" w:rsidP="006E54C7">
      <w:pPr>
        <w:pStyle w:val="Default"/>
        <w:ind w:left="1134" w:hanging="1134"/>
        <w:jc w:val="both"/>
        <w:rPr>
          <w:rFonts w:eastAsia="Arial"/>
          <w:b/>
          <w:sz w:val="22"/>
          <w:szCs w:val="22"/>
        </w:rPr>
      </w:pPr>
      <w:r w:rsidRPr="00F02F9D">
        <w:rPr>
          <w:rFonts w:eastAsia="Arial"/>
          <w:b/>
          <w:sz w:val="22"/>
          <w:szCs w:val="22"/>
        </w:rPr>
        <w:t>Políticas Contables</w:t>
      </w:r>
    </w:p>
    <w:p w14:paraId="1A0D966B" w14:textId="77777777" w:rsidR="006E54C7" w:rsidRDefault="006E54C7" w:rsidP="001D484B">
      <w:pPr>
        <w:pStyle w:val="Default"/>
        <w:ind w:left="1134" w:hanging="1134"/>
        <w:jc w:val="both"/>
        <w:rPr>
          <w:sz w:val="22"/>
          <w:szCs w:val="22"/>
          <w:lang w:val="es-CR"/>
        </w:rPr>
      </w:pPr>
    </w:p>
    <w:p w14:paraId="5D5EA81B" w14:textId="74B23646" w:rsidR="00336CBD" w:rsidRPr="008D294D" w:rsidRDefault="00635E4D" w:rsidP="00635E4D">
      <w:pPr>
        <w:pStyle w:val="Default"/>
        <w:ind w:left="1134" w:hanging="1134"/>
        <w:jc w:val="both"/>
        <w:rPr>
          <w:sz w:val="22"/>
          <w:szCs w:val="22"/>
          <w:lang w:val="es-CR"/>
        </w:rPr>
      </w:pPr>
      <w:r w:rsidRPr="008D294D">
        <w:rPr>
          <w:sz w:val="22"/>
          <w:szCs w:val="22"/>
          <w:lang w:val="es-CR"/>
        </w:rPr>
        <w:t>4.67.0.01</w:t>
      </w:r>
      <w:r w:rsidRPr="008D294D">
        <w:rPr>
          <w:sz w:val="22"/>
          <w:szCs w:val="22"/>
          <w:lang w:val="es-CR"/>
        </w:rPr>
        <w:tab/>
      </w:r>
      <w:r w:rsidR="00336CBD" w:rsidRPr="008D294D">
        <w:rPr>
          <w:sz w:val="22"/>
          <w:szCs w:val="22"/>
          <w:lang w:val="es-CR"/>
        </w:rPr>
        <w:t>La entidad evaluará, en cada fecha sobre la que se informa, si existe algún indicio de que la pérdida por deterioro reconocida en períodos anteriores ya no existe o ha disminuido. Si existiese tal indicio la entidad volverá a estimar y contabilizar el importe de servicio recuperable del activo en cuestión.</w:t>
      </w:r>
    </w:p>
    <w:p w14:paraId="68A762CF" w14:textId="77777777" w:rsidR="00635E4D" w:rsidRPr="008D294D" w:rsidRDefault="00635E4D" w:rsidP="00635E4D">
      <w:pPr>
        <w:pStyle w:val="Default"/>
        <w:ind w:left="1134" w:hanging="1134"/>
        <w:jc w:val="both"/>
        <w:rPr>
          <w:sz w:val="22"/>
          <w:szCs w:val="22"/>
          <w:lang w:val="es-CR"/>
        </w:rPr>
      </w:pPr>
    </w:p>
    <w:p w14:paraId="763CAC15" w14:textId="0B4257BD" w:rsidR="00336CBD" w:rsidRPr="008D294D" w:rsidRDefault="00635E4D" w:rsidP="00E47150">
      <w:pPr>
        <w:pStyle w:val="Default"/>
        <w:ind w:left="1134" w:hanging="1134"/>
        <w:jc w:val="both"/>
        <w:rPr>
          <w:sz w:val="22"/>
          <w:szCs w:val="22"/>
          <w:lang w:val="es-CR"/>
        </w:rPr>
      </w:pPr>
      <w:r w:rsidRPr="008D294D">
        <w:rPr>
          <w:sz w:val="22"/>
          <w:szCs w:val="22"/>
          <w:lang w:val="es-CR"/>
        </w:rPr>
        <w:t>4.67.0.02</w:t>
      </w:r>
      <w:r w:rsidRPr="008D294D">
        <w:rPr>
          <w:sz w:val="22"/>
          <w:szCs w:val="22"/>
          <w:lang w:val="es-CR"/>
        </w:rPr>
        <w:tab/>
      </w:r>
      <w:r w:rsidR="00336CBD" w:rsidRPr="008D294D">
        <w:rPr>
          <w:sz w:val="22"/>
          <w:szCs w:val="22"/>
          <w:lang w:val="es-CR"/>
        </w:rPr>
        <w:t>Ante el indicio de que la pérdida por deterioro reconocida para un activo ya no existe o ha disminuido, esto puede indicar que:</w:t>
      </w:r>
      <w:r w:rsidRPr="008D294D">
        <w:rPr>
          <w:sz w:val="22"/>
          <w:szCs w:val="22"/>
          <w:lang w:val="es-CR"/>
        </w:rPr>
        <w:t xml:space="preserve"> L</w:t>
      </w:r>
      <w:r w:rsidR="00336CBD" w:rsidRPr="008D294D">
        <w:rPr>
          <w:sz w:val="22"/>
          <w:szCs w:val="22"/>
          <w:lang w:val="es-CR"/>
        </w:rPr>
        <w:t xml:space="preserve">a vida útil restante, </w:t>
      </w:r>
      <w:r w:rsidRPr="008D294D">
        <w:rPr>
          <w:sz w:val="22"/>
          <w:szCs w:val="22"/>
          <w:lang w:val="es-CR"/>
        </w:rPr>
        <w:t>E</w:t>
      </w:r>
      <w:r w:rsidR="00336CBD" w:rsidRPr="008D294D">
        <w:rPr>
          <w:sz w:val="22"/>
          <w:szCs w:val="22"/>
          <w:lang w:val="es-CR"/>
        </w:rPr>
        <w:t xml:space="preserve">l método de depreciación (amortización), o </w:t>
      </w:r>
      <w:r w:rsidRPr="008D294D">
        <w:rPr>
          <w:sz w:val="22"/>
          <w:szCs w:val="22"/>
          <w:lang w:val="es-CR"/>
        </w:rPr>
        <w:t>E</w:t>
      </w:r>
      <w:r w:rsidR="00336CBD" w:rsidRPr="008D294D">
        <w:rPr>
          <w:sz w:val="22"/>
          <w:szCs w:val="22"/>
          <w:lang w:val="es-CR"/>
        </w:rPr>
        <w:t>l valor residual, deben ser revisados y ajustados, incluso cuando el indicio no lleve a la reversión de la pérdida por deterioro del activo.</w:t>
      </w:r>
    </w:p>
    <w:p w14:paraId="48A79EFA" w14:textId="77777777" w:rsidR="00635E4D" w:rsidRPr="008D294D" w:rsidRDefault="00635E4D" w:rsidP="00E47150">
      <w:pPr>
        <w:pStyle w:val="Default"/>
        <w:ind w:left="1134" w:hanging="1134"/>
        <w:jc w:val="both"/>
        <w:rPr>
          <w:sz w:val="22"/>
          <w:szCs w:val="22"/>
          <w:lang w:val="es-CR"/>
        </w:rPr>
      </w:pPr>
    </w:p>
    <w:p w14:paraId="65346C35" w14:textId="50160A80" w:rsidR="00336CBD" w:rsidRPr="008D294D" w:rsidRDefault="00635E4D" w:rsidP="00E47150">
      <w:pPr>
        <w:pStyle w:val="Default"/>
        <w:ind w:left="1134" w:hanging="1134"/>
        <w:jc w:val="both"/>
        <w:rPr>
          <w:sz w:val="22"/>
          <w:szCs w:val="22"/>
          <w:lang w:val="es-CR"/>
        </w:rPr>
      </w:pPr>
      <w:r w:rsidRPr="008D294D">
        <w:rPr>
          <w:sz w:val="22"/>
          <w:szCs w:val="22"/>
          <w:lang w:val="es-CR"/>
        </w:rPr>
        <w:t>4.67.0.03</w:t>
      </w:r>
      <w:r w:rsidRPr="008D294D">
        <w:rPr>
          <w:sz w:val="22"/>
          <w:szCs w:val="22"/>
          <w:lang w:val="es-CR"/>
        </w:rPr>
        <w:tab/>
      </w:r>
      <w:r w:rsidR="00336CBD" w:rsidRPr="008D294D">
        <w:rPr>
          <w:sz w:val="22"/>
          <w:szCs w:val="22"/>
          <w:lang w:val="es-CR"/>
        </w:rPr>
        <w:t>La entidad considerará, como mínimo, la reversión de una pérdida por deterioro, si se dan algunas de las siguientes indicaciones:</w:t>
      </w:r>
    </w:p>
    <w:p w14:paraId="67363EBC" w14:textId="77777777" w:rsidR="00336CBD" w:rsidRPr="008D294D" w:rsidRDefault="00336CBD" w:rsidP="00E47150">
      <w:pPr>
        <w:pStyle w:val="Default"/>
        <w:ind w:left="1134" w:hanging="1134"/>
        <w:jc w:val="both"/>
        <w:rPr>
          <w:sz w:val="22"/>
          <w:szCs w:val="22"/>
          <w:lang w:val="es-CR"/>
        </w:rPr>
      </w:pPr>
    </w:p>
    <w:p w14:paraId="61D51A5B" w14:textId="1E5C0D0B" w:rsidR="00336CBD" w:rsidRPr="008D294D" w:rsidRDefault="00336CBD" w:rsidP="00AC73BE">
      <w:pPr>
        <w:pStyle w:val="Default"/>
        <w:ind w:left="1134"/>
        <w:jc w:val="both"/>
        <w:rPr>
          <w:b/>
          <w:bCs/>
          <w:sz w:val="22"/>
          <w:szCs w:val="22"/>
          <w:lang w:val="es-CR"/>
        </w:rPr>
      </w:pPr>
      <w:r w:rsidRPr="008D294D">
        <w:rPr>
          <w:b/>
          <w:bCs/>
          <w:sz w:val="22"/>
          <w:szCs w:val="22"/>
          <w:lang w:val="es-CR"/>
        </w:rPr>
        <w:t>Fuentes externas de información:</w:t>
      </w:r>
    </w:p>
    <w:p w14:paraId="1407F64E" w14:textId="77777777" w:rsidR="00635E4D" w:rsidRPr="008D294D" w:rsidRDefault="00635E4D" w:rsidP="00E47150">
      <w:pPr>
        <w:pStyle w:val="Default"/>
        <w:jc w:val="both"/>
        <w:rPr>
          <w:sz w:val="22"/>
          <w:szCs w:val="22"/>
          <w:lang w:val="es-CR"/>
        </w:rPr>
      </w:pPr>
    </w:p>
    <w:p w14:paraId="6ADB759B" w14:textId="77777777" w:rsidR="00635E4D" w:rsidRPr="008D294D" w:rsidRDefault="00635E4D">
      <w:pPr>
        <w:pStyle w:val="Default"/>
        <w:numPr>
          <w:ilvl w:val="0"/>
          <w:numId w:val="271"/>
        </w:numPr>
        <w:spacing w:after="20"/>
        <w:ind w:left="1418" w:hanging="284"/>
        <w:jc w:val="both"/>
        <w:rPr>
          <w:sz w:val="22"/>
          <w:szCs w:val="22"/>
          <w:lang w:val="es-CR"/>
        </w:rPr>
      </w:pPr>
      <w:r w:rsidRPr="008D294D">
        <w:rPr>
          <w:sz w:val="22"/>
          <w:szCs w:val="22"/>
          <w:lang w:val="es-CR"/>
        </w:rPr>
        <w:t>R</w:t>
      </w:r>
      <w:r w:rsidR="00336CBD" w:rsidRPr="008D294D">
        <w:rPr>
          <w:sz w:val="22"/>
          <w:szCs w:val="22"/>
          <w:lang w:val="es-CR"/>
        </w:rPr>
        <w:t>esurgimiento de la demanda o de la necesidad de los servicios prestados por el activo, o el incremento del valor de mercado de un activo generador de efectivo;</w:t>
      </w:r>
    </w:p>
    <w:p w14:paraId="35BAC432" w14:textId="77777777" w:rsidR="00635E4D" w:rsidRPr="008D294D" w:rsidRDefault="00635E4D" w:rsidP="00AC73BE">
      <w:pPr>
        <w:pStyle w:val="Default"/>
        <w:spacing w:after="20"/>
        <w:ind w:left="1418"/>
        <w:jc w:val="both"/>
        <w:rPr>
          <w:sz w:val="22"/>
          <w:szCs w:val="22"/>
          <w:lang w:val="es-CR"/>
        </w:rPr>
      </w:pPr>
    </w:p>
    <w:p w14:paraId="15B7B420" w14:textId="0032C625" w:rsidR="00635E4D" w:rsidRPr="008D294D" w:rsidRDefault="005907B3">
      <w:pPr>
        <w:pStyle w:val="Default"/>
        <w:numPr>
          <w:ilvl w:val="0"/>
          <w:numId w:val="271"/>
        </w:numPr>
        <w:spacing w:after="20"/>
        <w:ind w:left="1418" w:hanging="284"/>
        <w:jc w:val="both"/>
        <w:rPr>
          <w:sz w:val="22"/>
          <w:szCs w:val="22"/>
          <w:lang w:val="es-CR"/>
        </w:rPr>
      </w:pPr>
      <w:r w:rsidRPr="008D294D">
        <w:rPr>
          <w:sz w:val="22"/>
          <w:szCs w:val="22"/>
          <w:lang w:val="es-CR"/>
        </w:rPr>
        <w:t>ca</w:t>
      </w:r>
      <w:r>
        <w:rPr>
          <w:sz w:val="22"/>
          <w:szCs w:val="22"/>
          <w:lang w:val="es-CR"/>
        </w:rPr>
        <w:t>mbi</w:t>
      </w:r>
      <w:r w:rsidRPr="008D294D">
        <w:rPr>
          <w:sz w:val="22"/>
          <w:szCs w:val="22"/>
          <w:lang w:val="es-CR"/>
        </w:rPr>
        <w:t>os</w:t>
      </w:r>
      <w:r w:rsidR="00336CBD" w:rsidRPr="008D294D">
        <w:rPr>
          <w:sz w:val="22"/>
          <w:szCs w:val="22"/>
          <w:lang w:val="es-CR"/>
        </w:rPr>
        <w:t xml:space="preserve"> significativos que han tenido lugar durante el período, o van a tener lugar en el futuro inmediato, con una incidencia adversa sobre la entidad, que puede ser producto:</w:t>
      </w:r>
    </w:p>
    <w:p w14:paraId="330CB834" w14:textId="77777777" w:rsidR="00635E4D" w:rsidRPr="008D294D" w:rsidRDefault="00635E4D" w:rsidP="00635E4D">
      <w:pPr>
        <w:pStyle w:val="Default"/>
        <w:spacing w:after="20"/>
        <w:ind w:left="284"/>
        <w:jc w:val="both"/>
        <w:rPr>
          <w:sz w:val="22"/>
          <w:szCs w:val="22"/>
          <w:lang w:val="es-CR"/>
        </w:rPr>
      </w:pPr>
    </w:p>
    <w:p w14:paraId="6DA294C0" w14:textId="6609AF62" w:rsidR="00336CBD" w:rsidRPr="008D294D" w:rsidRDefault="00635E4D">
      <w:pPr>
        <w:pStyle w:val="Default"/>
        <w:numPr>
          <w:ilvl w:val="0"/>
          <w:numId w:val="272"/>
        </w:numPr>
        <w:spacing w:after="120"/>
        <w:ind w:left="1843" w:hanging="153"/>
        <w:jc w:val="both"/>
        <w:rPr>
          <w:sz w:val="22"/>
          <w:szCs w:val="22"/>
          <w:lang w:val="es-CR"/>
        </w:rPr>
      </w:pPr>
      <w:r w:rsidRPr="008D294D">
        <w:rPr>
          <w:sz w:val="22"/>
          <w:szCs w:val="22"/>
          <w:lang w:val="es-CR"/>
        </w:rPr>
        <w:t>D</w:t>
      </w:r>
      <w:r w:rsidR="00336CBD" w:rsidRPr="008D294D">
        <w:rPr>
          <w:sz w:val="22"/>
          <w:szCs w:val="22"/>
          <w:lang w:val="es-CR"/>
        </w:rPr>
        <w:t xml:space="preserve">e la tecnología, </w:t>
      </w:r>
    </w:p>
    <w:p w14:paraId="11316E9B" w14:textId="64E20BEE" w:rsidR="00336CBD" w:rsidRPr="008D294D" w:rsidRDefault="00635E4D">
      <w:pPr>
        <w:pStyle w:val="Default"/>
        <w:numPr>
          <w:ilvl w:val="0"/>
          <w:numId w:val="272"/>
        </w:numPr>
        <w:spacing w:after="120"/>
        <w:ind w:left="1843" w:hanging="153"/>
        <w:jc w:val="both"/>
        <w:rPr>
          <w:sz w:val="22"/>
          <w:szCs w:val="22"/>
          <w:lang w:val="es-CR"/>
        </w:rPr>
      </w:pPr>
      <w:r w:rsidRPr="008D294D">
        <w:rPr>
          <w:sz w:val="22"/>
          <w:szCs w:val="22"/>
          <w:lang w:val="es-CR"/>
        </w:rPr>
        <w:t>D</w:t>
      </w:r>
      <w:r w:rsidR="00336CBD" w:rsidRPr="008D294D">
        <w:rPr>
          <w:sz w:val="22"/>
          <w:szCs w:val="22"/>
          <w:lang w:val="es-CR"/>
        </w:rPr>
        <w:t xml:space="preserve">el contexto económico o legal, </w:t>
      </w:r>
    </w:p>
    <w:p w14:paraId="306CF6AB" w14:textId="7CE40764" w:rsidR="00336CBD" w:rsidRPr="008D294D" w:rsidRDefault="00635E4D">
      <w:pPr>
        <w:pStyle w:val="Default"/>
        <w:numPr>
          <w:ilvl w:val="0"/>
          <w:numId w:val="272"/>
        </w:numPr>
        <w:spacing w:after="120"/>
        <w:ind w:left="1843" w:hanging="153"/>
        <w:jc w:val="both"/>
        <w:rPr>
          <w:sz w:val="22"/>
          <w:szCs w:val="22"/>
          <w:lang w:val="es-CR"/>
        </w:rPr>
      </w:pPr>
      <w:r w:rsidRPr="008D294D">
        <w:rPr>
          <w:sz w:val="22"/>
          <w:szCs w:val="22"/>
          <w:lang w:val="es-CR"/>
        </w:rPr>
        <w:t>D</w:t>
      </w:r>
      <w:r w:rsidR="00336CBD" w:rsidRPr="008D294D">
        <w:rPr>
          <w:sz w:val="22"/>
          <w:szCs w:val="22"/>
          <w:lang w:val="es-CR"/>
        </w:rPr>
        <w:t xml:space="preserve">el mercado donde los activos estén destinados, o </w:t>
      </w:r>
    </w:p>
    <w:p w14:paraId="5F3FC71A" w14:textId="3ADA35BF" w:rsidR="00336CBD" w:rsidRPr="008D294D" w:rsidRDefault="00635E4D">
      <w:pPr>
        <w:pStyle w:val="Default"/>
        <w:numPr>
          <w:ilvl w:val="0"/>
          <w:numId w:val="272"/>
        </w:numPr>
        <w:ind w:left="1843" w:hanging="153"/>
        <w:jc w:val="both"/>
        <w:rPr>
          <w:sz w:val="22"/>
          <w:szCs w:val="22"/>
          <w:lang w:val="es-CR"/>
        </w:rPr>
      </w:pPr>
      <w:r w:rsidRPr="008D294D">
        <w:rPr>
          <w:sz w:val="22"/>
          <w:szCs w:val="22"/>
          <w:lang w:val="es-CR"/>
        </w:rPr>
        <w:t>D</w:t>
      </w:r>
      <w:r w:rsidR="00336CBD" w:rsidRPr="008D294D">
        <w:rPr>
          <w:sz w:val="22"/>
          <w:szCs w:val="22"/>
          <w:lang w:val="es-CR"/>
        </w:rPr>
        <w:t xml:space="preserve">e la política gubernamental; </w:t>
      </w:r>
    </w:p>
    <w:p w14:paraId="2CC60724" w14:textId="77777777" w:rsidR="00336CBD" w:rsidRPr="008D294D" w:rsidRDefault="00336CBD">
      <w:pPr>
        <w:pStyle w:val="Default"/>
        <w:numPr>
          <w:ilvl w:val="1"/>
          <w:numId w:val="270"/>
        </w:numPr>
        <w:jc w:val="both"/>
        <w:rPr>
          <w:sz w:val="22"/>
          <w:szCs w:val="22"/>
          <w:lang w:val="es-CR"/>
        </w:rPr>
      </w:pPr>
    </w:p>
    <w:p w14:paraId="440CA9A0" w14:textId="6BA6ADE6" w:rsidR="00336CBD" w:rsidRPr="008D294D" w:rsidRDefault="00635E4D">
      <w:pPr>
        <w:pStyle w:val="Default"/>
        <w:numPr>
          <w:ilvl w:val="0"/>
          <w:numId w:val="271"/>
        </w:numPr>
        <w:spacing w:after="20"/>
        <w:ind w:left="1418" w:hanging="284"/>
        <w:jc w:val="both"/>
        <w:rPr>
          <w:sz w:val="22"/>
          <w:szCs w:val="22"/>
          <w:lang w:val="es-CR"/>
        </w:rPr>
      </w:pPr>
      <w:r w:rsidRPr="008D294D">
        <w:rPr>
          <w:sz w:val="22"/>
          <w:szCs w:val="22"/>
          <w:lang w:val="es-CR"/>
        </w:rPr>
        <w:t>D</w:t>
      </w:r>
      <w:r w:rsidR="00336CBD" w:rsidRPr="008D294D">
        <w:rPr>
          <w:sz w:val="22"/>
          <w:szCs w:val="22"/>
          <w:lang w:val="es-CR"/>
        </w:rPr>
        <w:t xml:space="preserve">ecremento operado durante el período para la tasa de interés de mercado u otras tasas de desempeño del mercado aplicables al rendimiento de inversiones, que probablemente afecten a la tasa de descuento utilizada para calcular el valor en uso del activo, de forma tal que aumente su importe recuperable de forma significativa. </w:t>
      </w:r>
    </w:p>
    <w:p w14:paraId="34D425C9" w14:textId="77777777" w:rsidR="00336CBD" w:rsidRPr="008D294D" w:rsidRDefault="00336CBD" w:rsidP="00E47150">
      <w:pPr>
        <w:pStyle w:val="Default"/>
        <w:jc w:val="both"/>
        <w:rPr>
          <w:sz w:val="22"/>
          <w:szCs w:val="22"/>
          <w:lang w:val="es-CR"/>
        </w:rPr>
      </w:pPr>
    </w:p>
    <w:p w14:paraId="49BA4E82" w14:textId="17794B8B" w:rsidR="00336CBD" w:rsidRPr="008D294D" w:rsidRDefault="00336CBD" w:rsidP="00AC73BE">
      <w:pPr>
        <w:pStyle w:val="Default"/>
        <w:ind w:left="1134"/>
        <w:jc w:val="both"/>
        <w:rPr>
          <w:b/>
          <w:bCs/>
          <w:sz w:val="22"/>
          <w:szCs w:val="22"/>
          <w:lang w:val="es-CR"/>
        </w:rPr>
      </w:pPr>
      <w:r w:rsidRPr="008D294D">
        <w:rPr>
          <w:b/>
          <w:bCs/>
          <w:sz w:val="22"/>
          <w:szCs w:val="22"/>
          <w:lang w:val="es-CR"/>
        </w:rPr>
        <w:lastRenderedPageBreak/>
        <w:t>Fuentes internas de información:</w:t>
      </w:r>
    </w:p>
    <w:p w14:paraId="5F8695D1" w14:textId="77777777" w:rsidR="00AC73BE" w:rsidRPr="008D294D" w:rsidRDefault="00AC73BE" w:rsidP="00E47150">
      <w:pPr>
        <w:pStyle w:val="Default"/>
        <w:jc w:val="both"/>
        <w:rPr>
          <w:sz w:val="22"/>
          <w:szCs w:val="22"/>
          <w:lang w:val="es-CR"/>
        </w:rPr>
      </w:pPr>
    </w:p>
    <w:p w14:paraId="0B62BDCD" w14:textId="5AC0B317" w:rsidR="00336CBD" w:rsidRPr="008D294D" w:rsidRDefault="00A57A51">
      <w:pPr>
        <w:pStyle w:val="Default"/>
        <w:numPr>
          <w:ilvl w:val="0"/>
          <w:numId w:val="273"/>
        </w:numPr>
        <w:spacing w:after="20"/>
        <w:ind w:left="1418" w:hanging="284"/>
        <w:jc w:val="both"/>
        <w:rPr>
          <w:sz w:val="22"/>
          <w:szCs w:val="22"/>
          <w:lang w:val="es-CR"/>
        </w:rPr>
      </w:pPr>
      <w:r w:rsidRPr="008D294D">
        <w:rPr>
          <w:sz w:val="22"/>
          <w:szCs w:val="22"/>
          <w:lang w:val="es-CR"/>
        </w:rPr>
        <w:t>D</w:t>
      </w:r>
      <w:r w:rsidR="00336CBD" w:rsidRPr="008D294D">
        <w:rPr>
          <w:sz w:val="22"/>
          <w:szCs w:val="22"/>
          <w:lang w:val="es-CR"/>
        </w:rPr>
        <w:t xml:space="preserve">urante el período han tenido lugar, o se espera que tengan lugar en el futuro inmediato, </w:t>
      </w:r>
      <w:r w:rsidR="005907B3" w:rsidRPr="008D294D">
        <w:rPr>
          <w:sz w:val="22"/>
          <w:szCs w:val="22"/>
          <w:lang w:val="es-CR"/>
        </w:rPr>
        <w:t>ca</w:t>
      </w:r>
      <w:r w:rsidR="005907B3">
        <w:rPr>
          <w:sz w:val="22"/>
          <w:szCs w:val="22"/>
          <w:lang w:val="es-CR"/>
        </w:rPr>
        <w:t>mbi</w:t>
      </w:r>
      <w:r w:rsidR="005907B3" w:rsidRPr="008D294D">
        <w:rPr>
          <w:sz w:val="22"/>
          <w:szCs w:val="22"/>
          <w:lang w:val="es-CR"/>
        </w:rPr>
        <w:t>os</w:t>
      </w:r>
      <w:r w:rsidR="00336CBD" w:rsidRPr="008D294D">
        <w:rPr>
          <w:sz w:val="22"/>
          <w:szCs w:val="22"/>
          <w:lang w:val="es-CR"/>
        </w:rPr>
        <w:t xml:space="preserve"> significativos a largo plazo con efecto favorable sobre la entidad en el grado de utilización o la forma en la que se usa o se espera usar el activo. Estos </w:t>
      </w:r>
      <w:r w:rsidR="005907B3" w:rsidRPr="008D294D">
        <w:rPr>
          <w:sz w:val="22"/>
          <w:szCs w:val="22"/>
          <w:lang w:val="es-CR"/>
        </w:rPr>
        <w:t>ca</w:t>
      </w:r>
      <w:r w:rsidR="005907B3">
        <w:rPr>
          <w:sz w:val="22"/>
          <w:szCs w:val="22"/>
          <w:lang w:val="es-CR"/>
        </w:rPr>
        <w:t>mbi</w:t>
      </w:r>
      <w:r w:rsidR="005907B3" w:rsidRPr="008D294D">
        <w:rPr>
          <w:sz w:val="22"/>
          <w:szCs w:val="22"/>
          <w:lang w:val="es-CR"/>
        </w:rPr>
        <w:t>os</w:t>
      </w:r>
      <w:r w:rsidR="00336CBD" w:rsidRPr="008D294D">
        <w:rPr>
          <w:sz w:val="22"/>
          <w:szCs w:val="22"/>
          <w:lang w:val="es-CR"/>
        </w:rPr>
        <w:t xml:space="preserve"> incluyen los costos incurridos durante el período de mejora o aumento del rendimiento de un activo o de la reestructuración de las operaciones a las que pertenece el activo;</w:t>
      </w:r>
    </w:p>
    <w:p w14:paraId="3CC2EABF" w14:textId="77777777" w:rsidR="00AC73BE" w:rsidRPr="008D294D" w:rsidRDefault="00AC73BE" w:rsidP="00AC73BE">
      <w:pPr>
        <w:pStyle w:val="Default"/>
        <w:spacing w:after="20"/>
        <w:ind w:left="1418" w:hanging="284"/>
        <w:jc w:val="both"/>
        <w:rPr>
          <w:sz w:val="22"/>
          <w:szCs w:val="22"/>
          <w:lang w:val="es-CR"/>
        </w:rPr>
      </w:pPr>
    </w:p>
    <w:p w14:paraId="66181C84" w14:textId="1CB485A5" w:rsidR="00336CBD" w:rsidRPr="008D294D" w:rsidRDefault="00A57A51">
      <w:pPr>
        <w:pStyle w:val="Default"/>
        <w:numPr>
          <w:ilvl w:val="0"/>
          <w:numId w:val="273"/>
        </w:numPr>
        <w:spacing w:after="20"/>
        <w:ind w:left="1418" w:hanging="284"/>
        <w:jc w:val="both"/>
        <w:rPr>
          <w:sz w:val="22"/>
          <w:szCs w:val="22"/>
          <w:lang w:val="es-CR"/>
        </w:rPr>
      </w:pPr>
      <w:r w:rsidRPr="008D294D">
        <w:rPr>
          <w:sz w:val="22"/>
          <w:szCs w:val="22"/>
          <w:lang w:val="es-CR"/>
        </w:rPr>
        <w:t>U</w:t>
      </w:r>
      <w:r w:rsidR="00336CBD" w:rsidRPr="008D294D">
        <w:rPr>
          <w:sz w:val="22"/>
          <w:szCs w:val="22"/>
          <w:lang w:val="es-CR"/>
        </w:rPr>
        <w:t>na decisión de reanudar la construcción de un activo que estaba previamente detenida antes de su finalización o puesta en condiciones de funcionamiento;</w:t>
      </w:r>
    </w:p>
    <w:p w14:paraId="11049E38" w14:textId="77777777" w:rsidR="00AC73BE" w:rsidRPr="008D294D" w:rsidRDefault="00AC73BE" w:rsidP="00AC73BE">
      <w:pPr>
        <w:pStyle w:val="Default"/>
        <w:spacing w:after="20"/>
        <w:ind w:left="1418" w:hanging="284"/>
        <w:jc w:val="both"/>
        <w:rPr>
          <w:sz w:val="22"/>
          <w:szCs w:val="22"/>
          <w:lang w:val="es-CR"/>
        </w:rPr>
      </w:pPr>
    </w:p>
    <w:p w14:paraId="460AD2E3" w14:textId="56A6F565" w:rsidR="00336CBD" w:rsidRPr="008D294D" w:rsidRDefault="00A57A51">
      <w:pPr>
        <w:pStyle w:val="Default"/>
        <w:numPr>
          <w:ilvl w:val="0"/>
          <w:numId w:val="273"/>
        </w:numPr>
        <w:ind w:left="1418" w:hanging="284"/>
        <w:jc w:val="both"/>
        <w:rPr>
          <w:sz w:val="22"/>
          <w:szCs w:val="22"/>
          <w:lang w:val="es-CR"/>
        </w:rPr>
      </w:pPr>
      <w:r w:rsidRPr="008D294D">
        <w:rPr>
          <w:sz w:val="22"/>
          <w:szCs w:val="22"/>
          <w:lang w:val="es-CR"/>
        </w:rPr>
        <w:t>S</w:t>
      </w:r>
      <w:r w:rsidR="00336CBD" w:rsidRPr="008D294D">
        <w:rPr>
          <w:sz w:val="22"/>
          <w:szCs w:val="22"/>
          <w:lang w:val="es-CR"/>
        </w:rPr>
        <w:t>e dispone de evidencia, procedente de informes internos, que indica que el rendimiento de servicio del activo es, o va a ser, mejor que el esperado.</w:t>
      </w:r>
    </w:p>
    <w:p w14:paraId="0A567269" w14:textId="77777777" w:rsidR="00E47150" w:rsidRDefault="00E47150" w:rsidP="00E47150">
      <w:pPr>
        <w:pStyle w:val="Default"/>
        <w:jc w:val="both"/>
        <w:rPr>
          <w:sz w:val="23"/>
          <w:szCs w:val="23"/>
          <w:lang w:val="es-CR"/>
        </w:rPr>
      </w:pPr>
    </w:p>
    <w:p w14:paraId="289835FB" w14:textId="77777777" w:rsidR="00E47150" w:rsidRDefault="00E47150" w:rsidP="00E47150">
      <w:pPr>
        <w:pStyle w:val="Default"/>
        <w:rPr>
          <w:sz w:val="23"/>
          <w:szCs w:val="23"/>
          <w:lang w:val="es-CR"/>
        </w:rPr>
      </w:pPr>
    </w:p>
    <w:tbl>
      <w:tblPr>
        <w:tblW w:w="9268" w:type="dxa"/>
        <w:tblInd w:w="118" w:type="dxa"/>
        <w:tblLook w:val="04A0" w:firstRow="1" w:lastRow="0" w:firstColumn="1" w:lastColumn="0" w:noHBand="0" w:noVBand="1"/>
      </w:tblPr>
      <w:tblGrid>
        <w:gridCol w:w="438"/>
        <w:gridCol w:w="709"/>
        <w:gridCol w:w="426"/>
        <w:gridCol w:w="3677"/>
        <w:gridCol w:w="2135"/>
        <w:gridCol w:w="1873"/>
        <w:gridCol w:w="10"/>
      </w:tblGrid>
      <w:tr w:rsidR="00E47150" w:rsidRPr="00E47150" w14:paraId="65462172" w14:textId="77777777" w:rsidTr="006E54C7">
        <w:trPr>
          <w:trHeight w:val="320"/>
        </w:trPr>
        <w:tc>
          <w:tcPr>
            <w:tcW w:w="157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0464709" w14:textId="77777777" w:rsidR="00E47150" w:rsidRPr="00E47150" w:rsidRDefault="00E47150" w:rsidP="00E47150">
            <w:pPr>
              <w:jc w:val="center"/>
              <w:rPr>
                <w:rFonts w:ascii="Arial Narrow" w:eastAsia="Times New Roman" w:hAnsi="Arial Narrow" w:cs="Calibri"/>
                <w:b/>
                <w:bCs/>
                <w:color w:val="FFFFFF"/>
                <w:sz w:val="22"/>
                <w:szCs w:val="22"/>
              </w:rPr>
            </w:pPr>
            <w:r w:rsidRPr="00E47150">
              <w:rPr>
                <w:rFonts w:ascii="Arial Narrow" w:eastAsia="Times New Roman" w:hAnsi="Arial Narrow" w:cs="Calibri"/>
                <w:b/>
                <w:bCs/>
                <w:color w:val="FFFFFF"/>
                <w:sz w:val="22"/>
                <w:szCs w:val="22"/>
              </w:rPr>
              <w:t>Norma / Política</w:t>
            </w:r>
          </w:p>
        </w:tc>
        <w:tc>
          <w:tcPr>
            <w:tcW w:w="3677" w:type="dxa"/>
            <w:vMerge w:val="restart"/>
            <w:tcBorders>
              <w:top w:val="single" w:sz="8" w:space="0" w:color="auto"/>
              <w:left w:val="single" w:sz="8" w:space="0" w:color="auto"/>
              <w:bottom w:val="nil"/>
              <w:right w:val="single" w:sz="8" w:space="0" w:color="auto"/>
            </w:tcBorders>
            <w:shd w:val="clear" w:color="000000" w:fill="203764"/>
            <w:vAlign w:val="center"/>
            <w:hideMark/>
          </w:tcPr>
          <w:p w14:paraId="231FE130" w14:textId="77777777" w:rsidR="00E47150" w:rsidRPr="00E47150" w:rsidRDefault="00E47150" w:rsidP="00E47150">
            <w:pPr>
              <w:jc w:val="center"/>
              <w:rPr>
                <w:rFonts w:ascii="Arial Narrow" w:eastAsia="Times New Roman" w:hAnsi="Arial Narrow" w:cs="Calibri"/>
                <w:b/>
                <w:bCs/>
                <w:color w:val="FFFFFF"/>
                <w:sz w:val="22"/>
                <w:szCs w:val="22"/>
              </w:rPr>
            </w:pPr>
            <w:r w:rsidRPr="00E47150">
              <w:rPr>
                <w:rFonts w:ascii="Arial Narrow" w:eastAsia="Times New Roman" w:hAnsi="Arial Narrow" w:cs="Calibri"/>
                <w:b/>
                <w:bCs/>
                <w:color w:val="FFFFFF"/>
                <w:sz w:val="22"/>
                <w:szCs w:val="22"/>
              </w:rPr>
              <w:t>Concepto</w:t>
            </w:r>
          </w:p>
        </w:tc>
        <w:tc>
          <w:tcPr>
            <w:tcW w:w="4018" w:type="dxa"/>
            <w:gridSpan w:val="3"/>
            <w:tcBorders>
              <w:top w:val="single" w:sz="8" w:space="0" w:color="auto"/>
              <w:left w:val="nil"/>
              <w:bottom w:val="single" w:sz="8" w:space="0" w:color="auto"/>
              <w:right w:val="single" w:sz="8" w:space="0" w:color="000000"/>
            </w:tcBorders>
            <w:shd w:val="clear" w:color="000000" w:fill="203764"/>
            <w:vAlign w:val="center"/>
            <w:hideMark/>
          </w:tcPr>
          <w:p w14:paraId="190EBBC5" w14:textId="77777777" w:rsidR="00E47150" w:rsidRPr="00E47150" w:rsidRDefault="00E47150" w:rsidP="00E47150">
            <w:pPr>
              <w:jc w:val="center"/>
              <w:rPr>
                <w:rFonts w:ascii="Arial Narrow" w:eastAsia="Times New Roman" w:hAnsi="Arial Narrow" w:cs="Calibri"/>
                <w:b/>
                <w:bCs/>
                <w:color w:val="FFFFFF"/>
                <w:sz w:val="22"/>
                <w:szCs w:val="22"/>
              </w:rPr>
            </w:pPr>
            <w:r w:rsidRPr="00E47150">
              <w:rPr>
                <w:rFonts w:ascii="Arial Narrow" w:eastAsia="Times New Roman" w:hAnsi="Arial Narrow" w:cs="Calibri"/>
                <w:b/>
                <w:bCs/>
                <w:color w:val="FFFFFF"/>
                <w:sz w:val="22"/>
                <w:szCs w:val="22"/>
              </w:rPr>
              <w:t>Referencia</w:t>
            </w:r>
          </w:p>
        </w:tc>
      </w:tr>
      <w:tr w:rsidR="00E47150" w:rsidRPr="006E5442" w14:paraId="440A1B6D" w14:textId="77777777" w:rsidTr="006E54C7">
        <w:trPr>
          <w:gridAfter w:val="1"/>
          <w:wAfter w:w="10" w:type="dxa"/>
          <w:trHeight w:val="965"/>
        </w:trPr>
        <w:tc>
          <w:tcPr>
            <w:tcW w:w="1573" w:type="dxa"/>
            <w:gridSpan w:val="3"/>
            <w:vMerge/>
            <w:tcBorders>
              <w:top w:val="single" w:sz="8" w:space="0" w:color="auto"/>
              <w:left w:val="single" w:sz="8" w:space="0" w:color="auto"/>
              <w:bottom w:val="nil"/>
              <w:right w:val="single" w:sz="8" w:space="0" w:color="000000"/>
            </w:tcBorders>
            <w:vAlign w:val="center"/>
            <w:hideMark/>
          </w:tcPr>
          <w:p w14:paraId="4E7E0B0C" w14:textId="77777777" w:rsidR="00E47150" w:rsidRPr="00E47150" w:rsidRDefault="00E47150" w:rsidP="00E47150">
            <w:pPr>
              <w:rPr>
                <w:rFonts w:ascii="Arial Narrow" w:eastAsia="Times New Roman" w:hAnsi="Arial Narrow" w:cs="Calibri"/>
                <w:b/>
                <w:bCs/>
                <w:color w:val="FFFFFF"/>
                <w:sz w:val="22"/>
                <w:szCs w:val="22"/>
              </w:rPr>
            </w:pPr>
          </w:p>
        </w:tc>
        <w:tc>
          <w:tcPr>
            <w:tcW w:w="3677" w:type="dxa"/>
            <w:vMerge/>
            <w:tcBorders>
              <w:top w:val="single" w:sz="8" w:space="0" w:color="auto"/>
              <w:left w:val="single" w:sz="8" w:space="0" w:color="auto"/>
              <w:bottom w:val="nil"/>
              <w:right w:val="single" w:sz="8" w:space="0" w:color="auto"/>
            </w:tcBorders>
            <w:vAlign w:val="center"/>
            <w:hideMark/>
          </w:tcPr>
          <w:p w14:paraId="547AB622" w14:textId="77777777" w:rsidR="00E47150" w:rsidRPr="00E47150" w:rsidRDefault="00E47150" w:rsidP="00E47150">
            <w:pPr>
              <w:rPr>
                <w:rFonts w:ascii="Arial Narrow" w:eastAsia="Times New Roman" w:hAnsi="Arial Narrow" w:cs="Calibri"/>
                <w:b/>
                <w:bCs/>
                <w:color w:val="FFFFFF"/>
                <w:sz w:val="22"/>
                <w:szCs w:val="22"/>
              </w:rPr>
            </w:pPr>
          </w:p>
        </w:tc>
        <w:tc>
          <w:tcPr>
            <w:tcW w:w="2135" w:type="dxa"/>
            <w:tcBorders>
              <w:top w:val="nil"/>
              <w:left w:val="nil"/>
              <w:bottom w:val="nil"/>
              <w:right w:val="single" w:sz="8" w:space="0" w:color="auto"/>
            </w:tcBorders>
            <w:shd w:val="clear" w:color="000000" w:fill="203764"/>
            <w:vAlign w:val="center"/>
            <w:hideMark/>
          </w:tcPr>
          <w:p w14:paraId="02AA09FA" w14:textId="77777777" w:rsidR="00E47150" w:rsidRPr="00E47150" w:rsidRDefault="00E47150" w:rsidP="00E47150">
            <w:pPr>
              <w:jc w:val="center"/>
              <w:rPr>
                <w:rFonts w:ascii="Arial Narrow" w:eastAsia="Times New Roman" w:hAnsi="Arial Narrow" w:cs="Calibri"/>
                <w:b/>
                <w:bCs/>
                <w:color w:val="FFFFFF"/>
                <w:sz w:val="22"/>
                <w:szCs w:val="22"/>
              </w:rPr>
            </w:pPr>
            <w:r w:rsidRPr="00E47150">
              <w:rPr>
                <w:rFonts w:ascii="Arial Narrow" w:eastAsia="Times New Roman" w:hAnsi="Arial Narrow" w:cs="Calibri"/>
                <w:b/>
                <w:bCs/>
                <w:color w:val="FFFFFF"/>
                <w:sz w:val="22"/>
                <w:szCs w:val="22"/>
              </w:rPr>
              <w:t>Norma</w:t>
            </w:r>
          </w:p>
        </w:tc>
        <w:tc>
          <w:tcPr>
            <w:tcW w:w="1873" w:type="dxa"/>
            <w:tcBorders>
              <w:top w:val="nil"/>
              <w:left w:val="nil"/>
              <w:bottom w:val="nil"/>
              <w:right w:val="single" w:sz="8" w:space="0" w:color="auto"/>
            </w:tcBorders>
            <w:shd w:val="clear" w:color="000000" w:fill="203764"/>
            <w:vAlign w:val="center"/>
            <w:hideMark/>
          </w:tcPr>
          <w:p w14:paraId="504D6435" w14:textId="77777777" w:rsidR="00E47150" w:rsidRPr="00E47150" w:rsidRDefault="00E47150" w:rsidP="00E47150">
            <w:pPr>
              <w:jc w:val="center"/>
              <w:rPr>
                <w:rFonts w:ascii="Arial Narrow" w:eastAsia="Times New Roman" w:hAnsi="Arial Narrow" w:cs="Calibri"/>
                <w:b/>
                <w:bCs/>
                <w:color w:val="FFFFFF"/>
                <w:sz w:val="22"/>
                <w:szCs w:val="22"/>
                <w:lang w:val="es-CR"/>
              </w:rPr>
            </w:pPr>
            <w:r w:rsidRPr="00E47150">
              <w:rPr>
                <w:rFonts w:ascii="Arial Narrow" w:eastAsia="Times New Roman" w:hAnsi="Arial Narrow" w:cs="Calibri"/>
                <w:b/>
                <w:bCs/>
                <w:color w:val="FFFFFF"/>
                <w:sz w:val="22"/>
                <w:szCs w:val="22"/>
                <w:lang w:val="es-CR"/>
              </w:rPr>
              <w:t>Normativa técnica y disposiciones adicionales</w:t>
            </w:r>
          </w:p>
        </w:tc>
      </w:tr>
      <w:tr w:rsidR="008D294D" w:rsidRPr="00E47150" w14:paraId="1C85E274" w14:textId="77777777" w:rsidTr="006E54C7">
        <w:trPr>
          <w:gridAfter w:val="1"/>
          <w:wAfter w:w="10" w:type="dxa"/>
          <w:trHeight w:val="1130"/>
        </w:trPr>
        <w:tc>
          <w:tcPr>
            <w:tcW w:w="4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CAEABB"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4</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D9BE25F"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68</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0483990" w14:textId="79363FB0" w:rsidR="00E47150" w:rsidRPr="00E47150" w:rsidRDefault="00E47150" w:rsidP="00E47150">
            <w:pPr>
              <w:jc w:val="center"/>
              <w:rPr>
                <w:rFonts w:ascii="Arial Narrow" w:eastAsia="Times New Roman" w:hAnsi="Arial Narrow" w:cs="Calibri"/>
                <w:b/>
                <w:bCs/>
                <w:color w:val="000000"/>
                <w:sz w:val="22"/>
                <w:szCs w:val="22"/>
              </w:rPr>
            </w:pPr>
          </w:p>
        </w:tc>
        <w:tc>
          <w:tcPr>
            <w:tcW w:w="3677" w:type="dxa"/>
            <w:tcBorders>
              <w:top w:val="single" w:sz="8" w:space="0" w:color="auto"/>
              <w:left w:val="nil"/>
              <w:bottom w:val="single" w:sz="8" w:space="0" w:color="auto"/>
              <w:right w:val="single" w:sz="8" w:space="0" w:color="auto"/>
            </w:tcBorders>
            <w:shd w:val="clear" w:color="auto" w:fill="auto"/>
            <w:vAlign w:val="center"/>
            <w:hideMark/>
          </w:tcPr>
          <w:p w14:paraId="1DD54E76" w14:textId="25882E12" w:rsidR="00E47150" w:rsidRPr="00E47150" w:rsidRDefault="00E47150" w:rsidP="00E47150">
            <w:pPr>
              <w:jc w:val="both"/>
              <w:rPr>
                <w:rFonts w:ascii="Arial Narrow" w:eastAsia="Times New Roman" w:hAnsi="Arial Narrow" w:cs="Calibri"/>
                <w:b/>
                <w:bCs/>
                <w:color w:val="000000"/>
                <w:sz w:val="22"/>
                <w:szCs w:val="22"/>
                <w:lang w:val="es-CR"/>
              </w:rPr>
            </w:pPr>
            <w:r w:rsidRPr="00E47150">
              <w:rPr>
                <w:rFonts w:ascii="Arial Narrow" w:eastAsia="Times New Roman" w:hAnsi="Arial Narrow" w:cs="Calibri"/>
                <w:b/>
                <w:bCs/>
                <w:color w:val="000000"/>
                <w:sz w:val="22"/>
                <w:szCs w:val="22"/>
                <w:lang w:val="es-CR"/>
              </w:rPr>
              <w:t>Tratamiento de la reversión de las pérdidas de valor por deterioro</w:t>
            </w:r>
          </w:p>
        </w:tc>
        <w:tc>
          <w:tcPr>
            <w:tcW w:w="2135" w:type="dxa"/>
            <w:tcBorders>
              <w:top w:val="nil"/>
              <w:left w:val="nil"/>
              <w:bottom w:val="nil"/>
              <w:right w:val="nil"/>
            </w:tcBorders>
            <w:shd w:val="clear" w:color="auto" w:fill="auto"/>
            <w:vAlign w:val="center"/>
            <w:hideMark/>
          </w:tcPr>
          <w:p w14:paraId="6BD4E741" w14:textId="77777777" w:rsidR="00AC73BE" w:rsidRPr="008D294D" w:rsidRDefault="00E47150" w:rsidP="00AC73BE">
            <w:pPr>
              <w:rPr>
                <w:rFonts w:ascii="Arial Narrow" w:eastAsia="Times New Roman" w:hAnsi="Arial Narrow" w:cs="Calibri"/>
                <w:b/>
                <w:bCs/>
                <w:color w:val="000000"/>
                <w:sz w:val="22"/>
                <w:szCs w:val="22"/>
                <w:lang w:val="es-CR"/>
              </w:rPr>
            </w:pPr>
            <w:r w:rsidRPr="00E47150">
              <w:rPr>
                <w:rFonts w:ascii="Arial Narrow" w:eastAsia="Times New Roman" w:hAnsi="Arial Narrow" w:cs="Calibri"/>
                <w:b/>
                <w:bCs/>
                <w:color w:val="000000"/>
                <w:sz w:val="22"/>
                <w:szCs w:val="22"/>
                <w:lang w:val="es-CR"/>
              </w:rPr>
              <w:t>NICSP N° 21,</w:t>
            </w:r>
          </w:p>
          <w:p w14:paraId="0200A4D2" w14:textId="77777777" w:rsidR="00AC73BE" w:rsidRPr="008D294D" w:rsidRDefault="00E47150" w:rsidP="00AC73BE">
            <w:pPr>
              <w:rPr>
                <w:rFonts w:ascii="Arial Narrow" w:eastAsia="Times New Roman" w:hAnsi="Arial Narrow" w:cs="Calibri"/>
                <w:b/>
                <w:bCs/>
                <w:color w:val="000000"/>
                <w:sz w:val="22"/>
                <w:szCs w:val="22"/>
                <w:lang w:val="es-CR"/>
              </w:rPr>
            </w:pPr>
            <w:r w:rsidRPr="00E47150">
              <w:rPr>
                <w:rFonts w:ascii="Arial Narrow" w:eastAsia="Times New Roman" w:hAnsi="Arial Narrow" w:cs="Calibri"/>
                <w:b/>
                <w:bCs/>
                <w:color w:val="000000"/>
                <w:sz w:val="22"/>
                <w:szCs w:val="22"/>
                <w:lang w:val="es-CR"/>
              </w:rPr>
              <w:t>Párrafos 65 y 68 a 70.</w:t>
            </w:r>
            <w:r w:rsidRPr="00E47150">
              <w:rPr>
                <w:rFonts w:ascii="Arial Narrow" w:eastAsia="Times New Roman" w:hAnsi="Arial Narrow" w:cs="Calibri"/>
                <w:b/>
                <w:bCs/>
                <w:color w:val="000000"/>
                <w:sz w:val="22"/>
                <w:szCs w:val="22"/>
                <w:lang w:val="es-CR"/>
              </w:rPr>
              <w:br/>
              <w:t xml:space="preserve">NICSP N° 26, </w:t>
            </w:r>
          </w:p>
          <w:p w14:paraId="1B2FD62B" w14:textId="61B89A34" w:rsidR="00E47150" w:rsidRPr="00E47150" w:rsidRDefault="00E47150" w:rsidP="00AC73BE">
            <w:pPr>
              <w:rPr>
                <w:rFonts w:ascii="Arial Narrow" w:eastAsia="Times New Roman" w:hAnsi="Arial Narrow" w:cs="Calibri"/>
                <w:b/>
                <w:bCs/>
                <w:color w:val="000000"/>
                <w:sz w:val="22"/>
                <w:szCs w:val="22"/>
                <w:lang w:val="es-CR"/>
              </w:rPr>
            </w:pPr>
            <w:r w:rsidRPr="00E47150">
              <w:rPr>
                <w:rFonts w:ascii="Arial Narrow" w:eastAsia="Times New Roman" w:hAnsi="Arial Narrow" w:cs="Calibri"/>
                <w:b/>
                <w:bCs/>
                <w:color w:val="000000"/>
                <w:sz w:val="22"/>
                <w:szCs w:val="22"/>
                <w:lang w:val="es-CR"/>
              </w:rPr>
              <w:t>Párrafo 103.</w:t>
            </w:r>
          </w:p>
        </w:tc>
        <w:tc>
          <w:tcPr>
            <w:tcW w:w="18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37E62C" w14:textId="77777777" w:rsidR="00E47150" w:rsidRPr="00E47150" w:rsidRDefault="00E47150" w:rsidP="00E47150">
            <w:pPr>
              <w:jc w:val="center"/>
              <w:rPr>
                <w:rFonts w:ascii="Arial Narrow" w:eastAsia="Times New Roman" w:hAnsi="Arial Narrow" w:cs="Calibri"/>
                <w:b/>
                <w:bCs/>
                <w:color w:val="000000"/>
                <w:sz w:val="22"/>
                <w:szCs w:val="22"/>
                <w:lang w:val="es-CR"/>
              </w:rPr>
            </w:pPr>
            <w:r w:rsidRPr="00E47150">
              <w:rPr>
                <w:rFonts w:ascii="Arial Narrow" w:eastAsia="Times New Roman" w:hAnsi="Arial Narrow" w:cs="Calibri"/>
                <w:b/>
                <w:bCs/>
                <w:color w:val="000000"/>
                <w:sz w:val="22"/>
                <w:szCs w:val="22"/>
                <w:lang w:val="es-CR"/>
              </w:rPr>
              <w:t> </w:t>
            </w:r>
          </w:p>
        </w:tc>
      </w:tr>
      <w:tr w:rsidR="008D294D" w:rsidRPr="00E47150" w14:paraId="4F5F7CDB" w14:textId="77777777" w:rsidTr="006E54C7">
        <w:trPr>
          <w:gridAfter w:val="1"/>
          <w:wAfter w:w="10" w:type="dxa"/>
          <w:trHeight w:val="570"/>
        </w:trPr>
        <w:tc>
          <w:tcPr>
            <w:tcW w:w="438" w:type="dxa"/>
            <w:tcBorders>
              <w:top w:val="nil"/>
              <w:left w:val="single" w:sz="8" w:space="0" w:color="auto"/>
              <w:bottom w:val="single" w:sz="8" w:space="0" w:color="auto"/>
              <w:right w:val="single" w:sz="8" w:space="0" w:color="auto"/>
            </w:tcBorders>
            <w:shd w:val="clear" w:color="auto" w:fill="auto"/>
            <w:vAlign w:val="center"/>
            <w:hideMark/>
          </w:tcPr>
          <w:p w14:paraId="574D4605"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4</w:t>
            </w:r>
          </w:p>
        </w:tc>
        <w:tc>
          <w:tcPr>
            <w:tcW w:w="709" w:type="dxa"/>
            <w:tcBorders>
              <w:top w:val="nil"/>
              <w:left w:val="nil"/>
              <w:bottom w:val="single" w:sz="8" w:space="0" w:color="auto"/>
              <w:right w:val="single" w:sz="8" w:space="0" w:color="auto"/>
            </w:tcBorders>
            <w:shd w:val="clear" w:color="auto" w:fill="auto"/>
            <w:noWrap/>
            <w:vAlign w:val="center"/>
            <w:hideMark/>
          </w:tcPr>
          <w:p w14:paraId="4A840B67"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68</w:t>
            </w:r>
          </w:p>
        </w:tc>
        <w:tc>
          <w:tcPr>
            <w:tcW w:w="426" w:type="dxa"/>
            <w:tcBorders>
              <w:top w:val="nil"/>
              <w:left w:val="nil"/>
              <w:bottom w:val="single" w:sz="8" w:space="0" w:color="auto"/>
              <w:right w:val="single" w:sz="8" w:space="0" w:color="auto"/>
            </w:tcBorders>
            <w:shd w:val="clear" w:color="auto" w:fill="auto"/>
            <w:vAlign w:val="center"/>
            <w:hideMark/>
          </w:tcPr>
          <w:p w14:paraId="46B6433D"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1</w:t>
            </w:r>
          </w:p>
        </w:tc>
        <w:tc>
          <w:tcPr>
            <w:tcW w:w="3677" w:type="dxa"/>
            <w:tcBorders>
              <w:top w:val="nil"/>
              <w:left w:val="nil"/>
              <w:bottom w:val="single" w:sz="8" w:space="0" w:color="auto"/>
              <w:right w:val="single" w:sz="8" w:space="0" w:color="auto"/>
            </w:tcBorders>
            <w:shd w:val="clear" w:color="auto" w:fill="auto"/>
            <w:vAlign w:val="center"/>
            <w:hideMark/>
          </w:tcPr>
          <w:p w14:paraId="593E4650" w14:textId="745C247B" w:rsidR="00E47150" w:rsidRPr="00E47150" w:rsidRDefault="00E47150" w:rsidP="00E47150">
            <w:pPr>
              <w:jc w:val="both"/>
              <w:rPr>
                <w:rFonts w:ascii="Arial Narrow" w:eastAsia="Times New Roman" w:hAnsi="Arial Narrow" w:cs="Calibri"/>
                <w:b/>
                <w:bCs/>
                <w:color w:val="000000"/>
                <w:sz w:val="22"/>
                <w:szCs w:val="22"/>
                <w:lang w:val="es-CR"/>
              </w:rPr>
            </w:pPr>
            <w:r w:rsidRPr="00E47150">
              <w:rPr>
                <w:rFonts w:ascii="Arial Narrow" w:eastAsia="Times New Roman" w:hAnsi="Arial Narrow" w:cs="Calibri"/>
                <w:b/>
                <w:bCs/>
                <w:color w:val="000000"/>
                <w:sz w:val="22"/>
                <w:szCs w:val="22"/>
                <w:lang w:val="es-CR"/>
              </w:rPr>
              <w:t>La reversión de la pérdida del valor de un activo individual</w:t>
            </w:r>
          </w:p>
        </w:tc>
        <w:tc>
          <w:tcPr>
            <w:tcW w:w="2135" w:type="dxa"/>
            <w:tcBorders>
              <w:top w:val="single" w:sz="8" w:space="0" w:color="auto"/>
              <w:left w:val="nil"/>
              <w:bottom w:val="single" w:sz="8" w:space="0" w:color="auto"/>
              <w:right w:val="single" w:sz="8" w:space="0" w:color="auto"/>
            </w:tcBorders>
            <w:shd w:val="clear" w:color="auto" w:fill="auto"/>
            <w:vAlign w:val="center"/>
            <w:hideMark/>
          </w:tcPr>
          <w:p w14:paraId="6FCDB824" w14:textId="77777777" w:rsidR="00AC73BE" w:rsidRPr="008D294D" w:rsidRDefault="00E47150" w:rsidP="00E47150">
            <w:pPr>
              <w:jc w:val="both"/>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lang w:val="es-CR"/>
              </w:rPr>
              <w:t xml:space="preserve"> </w:t>
            </w:r>
            <w:r w:rsidRPr="00E47150">
              <w:rPr>
                <w:rFonts w:ascii="Arial Narrow" w:eastAsia="Times New Roman" w:hAnsi="Arial Narrow" w:cs="Calibri"/>
                <w:b/>
                <w:bCs/>
                <w:color w:val="000000"/>
                <w:sz w:val="22"/>
                <w:szCs w:val="22"/>
              </w:rPr>
              <w:t xml:space="preserve">NICSP N° 26, </w:t>
            </w:r>
          </w:p>
          <w:p w14:paraId="451C4C05" w14:textId="6DBFBD4A" w:rsidR="00E47150" w:rsidRPr="00E47150" w:rsidRDefault="00E47150" w:rsidP="00E47150">
            <w:pPr>
              <w:jc w:val="both"/>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Párrafos 106 a 109.</w:t>
            </w:r>
          </w:p>
        </w:tc>
        <w:tc>
          <w:tcPr>
            <w:tcW w:w="1873" w:type="dxa"/>
            <w:tcBorders>
              <w:top w:val="nil"/>
              <w:left w:val="nil"/>
              <w:bottom w:val="single" w:sz="8" w:space="0" w:color="auto"/>
              <w:right w:val="single" w:sz="8" w:space="0" w:color="auto"/>
            </w:tcBorders>
            <w:shd w:val="clear" w:color="auto" w:fill="auto"/>
            <w:vAlign w:val="center"/>
            <w:hideMark/>
          </w:tcPr>
          <w:p w14:paraId="699D374D"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 xml:space="preserve"> </w:t>
            </w:r>
          </w:p>
        </w:tc>
      </w:tr>
      <w:tr w:rsidR="008D294D" w:rsidRPr="00E47150" w14:paraId="1695E282" w14:textId="77777777" w:rsidTr="006E54C7">
        <w:trPr>
          <w:gridAfter w:val="1"/>
          <w:wAfter w:w="10" w:type="dxa"/>
          <w:trHeight w:val="570"/>
        </w:trPr>
        <w:tc>
          <w:tcPr>
            <w:tcW w:w="438" w:type="dxa"/>
            <w:tcBorders>
              <w:top w:val="nil"/>
              <w:left w:val="single" w:sz="8" w:space="0" w:color="auto"/>
              <w:bottom w:val="single" w:sz="8" w:space="0" w:color="auto"/>
              <w:right w:val="single" w:sz="8" w:space="0" w:color="auto"/>
            </w:tcBorders>
            <w:shd w:val="clear" w:color="auto" w:fill="auto"/>
            <w:vAlign w:val="center"/>
            <w:hideMark/>
          </w:tcPr>
          <w:p w14:paraId="1D45CF61"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4</w:t>
            </w:r>
          </w:p>
        </w:tc>
        <w:tc>
          <w:tcPr>
            <w:tcW w:w="709" w:type="dxa"/>
            <w:tcBorders>
              <w:top w:val="nil"/>
              <w:left w:val="nil"/>
              <w:bottom w:val="single" w:sz="8" w:space="0" w:color="auto"/>
              <w:right w:val="single" w:sz="8" w:space="0" w:color="auto"/>
            </w:tcBorders>
            <w:shd w:val="clear" w:color="auto" w:fill="auto"/>
            <w:noWrap/>
            <w:vAlign w:val="center"/>
            <w:hideMark/>
          </w:tcPr>
          <w:p w14:paraId="1A316C58"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68</w:t>
            </w:r>
          </w:p>
        </w:tc>
        <w:tc>
          <w:tcPr>
            <w:tcW w:w="426" w:type="dxa"/>
            <w:tcBorders>
              <w:top w:val="nil"/>
              <w:left w:val="nil"/>
              <w:bottom w:val="single" w:sz="8" w:space="0" w:color="auto"/>
              <w:right w:val="single" w:sz="8" w:space="0" w:color="auto"/>
            </w:tcBorders>
            <w:shd w:val="clear" w:color="auto" w:fill="auto"/>
            <w:vAlign w:val="center"/>
            <w:hideMark/>
          </w:tcPr>
          <w:p w14:paraId="751636F8"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2</w:t>
            </w:r>
          </w:p>
        </w:tc>
        <w:tc>
          <w:tcPr>
            <w:tcW w:w="3677" w:type="dxa"/>
            <w:tcBorders>
              <w:top w:val="nil"/>
              <w:left w:val="nil"/>
              <w:bottom w:val="single" w:sz="8" w:space="0" w:color="auto"/>
              <w:right w:val="single" w:sz="8" w:space="0" w:color="auto"/>
            </w:tcBorders>
            <w:shd w:val="clear" w:color="auto" w:fill="auto"/>
            <w:vAlign w:val="center"/>
            <w:hideMark/>
          </w:tcPr>
          <w:p w14:paraId="7047C17A" w14:textId="0DF06884" w:rsidR="00E47150" w:rsidRPr="00E47150" w:rsidRDefault="00E47150" w:rsidP="00E47150">
            <w:pPr>
              <w:jc w:val="both"/>
              <w:rPr>
                <w:rFonts w:ascii="Arial Narrow" w:eastAsia="Times New Roman" w:hAnsi="Arial Narrow" w:cs="Calibri"/>
                <w:b/>
                <w:bCs/>
                <w:color w:val="000000"/>
                <w:sz w:val="22"/>
                <w:szCs w:val="22"/>
                <w:lang w:val="es-CR"/>
              </w:rPr>
            </w:pPr>
            <w:r w:rsidRPr="00E47150">
              <w:rPr>
                <w:rFonts w:ascii="Arial Narrow" w:eastAsia="Times New Roman" w:hAnsi="Arial Narrow" w:cs="Calibri"/>
                <w:b/>
                <w:bCs/>
                <w:color w:val="000000"/>
                <w:sz w:val="22"/>
                <w:szCs w:val="22"/>
                <w:lang w:val="es-CR"/>
              </w:rPr>
              <w:t>La reversión de la pérdida del valor de una unidad generadora de efectivo</w:t>
            </w:r>
          </w:p>
        </w:tc>
        <w:tc>
          <w:tcPr>
            <w:tcW w:w="2135" w:type="dxa"/>
            <w:tcBorders>
              <w:top w:val="nil"/>
              <w:left w:val="nil"/>
              <w:bottom w:val="single" w:sz="8" w:space="0" w:color="auto"/>
              <w:right w:val="single" w:sz="8" w:space="0" w:color="auto"/>
            </w:tcBorders>
            <w:shd w:val="clear" w:color="auto" w:fill="auto"/>
            <w:vAlign w:val="center"/>
            <w:hideMark/>
          </w:tcPr>
          <w:p w14:paraId="1DE53C1C" w14:textId="77777777" w:rsidR="00AC73BE" w:rsidRPr="008D294D" w:rsidRDefault="00E47150" w:rsidP="00E47150">
            <w:pPr>
              <w:jc w:val="both"/>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lang w:val="es-CR"/>
              </w:rPr>
              <w:t xml:space="preserve"> </w:t>
            </w:r>
            <w:r w:rsidRPr="00E47150">
              <w:rPr>
                <w:rFonts w:ascii="Arial Narrow" w:eastAsia="Times New Roman" w:hAnsi="Arial Narrow" w:cs="Calibri"/>
                <w:b/>
                <w:bCs/>
                <w:color w:val="000000"/>
                <w:sz w:val="22"/>
                <w:szCs w:val="22"/>
              </w:rPr>
              <w:t xml:space="preserve">NICSP N° 26, </w:t>
            </w:r>
          </w:p>
          <w:p w14:paraId="0BD6490E" w14:textId="421E4260" w:rsidR="00E47150" w:rsidRPr="00E47150" w:rsidRDefault="00E47150" w:rsidP="00E47150">
            <w:pPr>
              <w:jc w:val="both"/>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Párrafos 110 y 111.</w:t>
            </w:r>
          </w:p>
        </w:tc>
        <w:tc>
          <w:tcPr>
            <w:tcW w:w="1873" w:type="dxa"/>
            <w:tcBorders>
              <w:top w:val="nil"/>
              <w:left w:val="nil"/>
              <w:bottom w:val="single" w:sz="8" w:space="0" w:color="auto"/>
              <w:right w:val="single" w:sz="8" w:space="0" w:color="auto"/>
            </w:tcBorders>
            <w:shd w:val="clear" w:color="auto" w:fill="auto"/>
            <w:vAlign w:val="center"/>
            <w:hideMark/>
          </w:tcPr>
          <w:p w14:paraId="36BD4892" w14:textId="77777777" w:rsidR="00E47150" w:rsidRPr="00E47150" w:rsidRDefault="00E47150" w:rsidP="00E47150">
            <w:pPr>
              <w:jc w:val="center"/>
              <w:rPr>
                <w:rFonts w:ascii="Arial Narrow" w:eastAsia="Times New Roman" w:hAnsi="Arial Narrow" w:cs="Calibri"/>
                <w:b/>
                <w:bCs/>
                <w:color w:val="000000"/>
                <w:sz w:val="22"/>
                <w:szCs w:val="22"/>
              </w:rPr>
            </w:pPr>
            <w:r w:rsidRPr="00E47150">
              <w:rPr>
                <w:rFonts w:ascii="Arial Narrow" w:eastAsia="Times New Roman" w:hAnsi="Arial Narrow" w:cs="Calibri"/>
                <w:b/>
                <w:bCs/>
                <w:color w:val="000000"/>
                <w:sz w:val="22"/>
                <w:szCs w:val="22"/>
              </w:rPr>
              <w:t xml:space="preserve"> </w:t>
            </w:r>
          </w:p>
        </w:tc>
      </w:tr>
    </w:tbl>
    <w:p w14:paraId="42EEF884" w14:textId="77777777" w:rsidR="00E47150" w:rsidRDefault="00E47150" w:rsidP="00E47150">
      <w:pPr>
        <w:pStyle w:val="Default"/>
        <w:rPr>
          <w:sz w:val="23"/>
          <w:szCs w:val="23"/>
          <w:lang w:val="es-CR"/>
        </w:rPr>
      </w:pPr>
    </w:p>
    <w:p w14:paraId="1F44B400" w14:textId="77777777" w:rsidR="006E54C7" w:rsidRDefault="006E54C7" w:rsidP="006E54C7">
      <w:pPr>
        <w:pStyle w:val="Default"/>
        <w:ind w:left="1134" w:hanging="1134"/>
        <w:jc w:val="both"/>
        <w:rPr>
          <w:rFonts w:eastAsia="Arial"/>
          <w:b/>
          <w:sz w:val="22"/>
          <w:szCs w:val="22"/>
        </w:rPr>
      </w:pPr>
      <w:r w:rsidRPr="00F02F9D">
        <w:rPr>
          <w:rFonts w:eastAsia="Arial"/>
          <w:b/>
          <w:sz w:val="22"/>
          <w:szCs w:val="22"/>
        </w:rPr>
        <w:t>Políticas Contables</w:t>
      </w:r>
    </w:p>
    <w:p w14:paraId="0EB3B573" w14:textId="77777777" w:rsidR="006E54C7" w:rsidRPr="00336CBD" w:rsidRDefault="006E54C7" w:rsidP="00E47150">
      <w:pPr>
        <w:pStyle w:val="Default"/>
        <w:rPr>
          <w:sz w:val="23"/>
          <w:szCs w:val="23"/>
          <w:lang w:val="es-CR"/>
        </w:rPr>
      </w:pPr>
    </w:p>
    <w:p w14:paraId="60767EDE" w14:textId="7E3FD2D6" w:rsidR="00E47150" w:rsidRDefault="00E47150" w:rsidP="00E47150">
      <w:pPr>
        <w:pStyle w:val="Default"/>
        <w:jc w:val="both"/>
        <w:rPr>
          <w:b/>
          <w:bCs/>
          <w:sz w:val="23"/>
          <w:szCs w:val="23"/>
          <w:lang w:val="es-CR"/>
        </w:rPr>
      </w:pPr>
      <w:r w:rsidRPr="00E47150">
        <w:rPr>
          <w:b/>
          <w:bCs/>
          <w:sz w:val="23"/>
          <w:szCs w:val="23"/>
          <w:lang w:val="es-CR"/>
        </w:rPr>
        <w:t>Para activos no generadores de efectivo:</w:t>
      </w:r>
    </w:p>
    <w:p w14:paraId="18B1D3DA" w14:textId="77777777" w:rsidR="00AC73BE" w:rsidRPr="00E47150" w:rsidRDefault="00AC73BE" w:rsidP="00E47150">
      <w:pPr>
        <w:pStyle w:val="Default"/>
        <w:jc w:val="both"/>
        <w:rPr>
          <w:sz w:val="23"/>
          <w:szCs w:val="23"/>
          <w:lang w:val="es-CR"/>
        </w:rPr>
      </w:pPr>
    </w:p>
    <w:p w14:paraId="3CEE0023" w14:textId="2445A12F" w:rsidR="00E47150" w:rsidRPr="00AC73BE" w:rsidRDefault="00AC73BE" w:rsidP="00AC73BE">
      <w:pPr>
        <w:pStyle w:val="Default"/>
        <w:ind w:left="1134" w:hanging="1134"/>
        <w:jc w:val="both"/>
        <w:rPr>
          <w:sz w:val="22"/>
          <w:szCs w:val="22"/>
          <w:lang w:val="es-CR"/>
        </w:rPr>
      </w:pPr>
      <w:r w:rsidRPr="00AC73BE">
        <w:rPr>
          <w:sz w:val="22"/>
          <w:szCs w:val="22"/>
          <w:lang w:val="es-CR"/>
        </w:rPr>
        <w:t>4.68.0.01</w:t>
      </w:r>
      <w:r w:rsidRPr="00AC73BE">
        <w:rPr>
          <w:sz w:val="22"/>
          <w:szCs w:val="22"/>
          <w:lang w:val="es-CR"/>
        </w:rPr>
        <w:tab/>
      </w:r>
      <w:r w:rsidR="00E47150" w:rsidRPr="00AC73BE">
        <w:rPr>
          <w:sz w:val="22"/>
          <w:szCs w:val="22"/>
          <w:lang w:val="es-CR"/>
        </w:rPr>
        <w:t xml:space="preserve">Las entidades deberán proceder a la reversión de la pérdida por deterioro reconocida en períodos anteriores, relacionada con un activo que no genera efectivo si, y sólo si, se ha producido un </w:t>
      </w:r>
      <w:r w:rsidR="005907B3" w:rsidRPr="00AC73BE">
        <w:rPr>
          <w:sz w:val="22"/>
          <w:szCs w:val="22"/>
          <w:lang w:val="es-CR"/>
        </w:rPr>
        <w:t>ca</w:t>
      </w:r>
      <w:r w:rsidR="005907B3">
        <w:rPr>
          <w:sz w:val="22"/>
          <w:szCs w:val="22"/>
          <w:lang w:val="es-CR"/>
        </w:rPr>
        <w:t>mbi</w:t>
      </w:r>
      <w:r w:rsidR="005907B3" w:rsidRPr="00AC73BE">
        <w:rPr>
          <w:sz w:val="22"/>
          <w:szCs w:val="22"/>
          <w:lang w:val="es-CR"/>
        </w:rPr>
        <w:t>o</w:t>
      </w:r>
      <w:r w:rsidR="00E47150" w:rsidRPr="00AC73BE">
        <w:rPr>
          <w:sz w:val="22"/>
          <w:szCs w:val="22"/>
          <w:lang w:val="es-CR"/>
        </w:rPr>
        <w:t xml:space="preserve"> en las estimaciones utilizadas para determinar el importe de servicio recuperable del mismo, desde que se reconoció por última vez la mencionada pérdida. Tal incremento se designa como reversión de una pérdida por deterioro, debiendo, para tales efectos, cumplirse con lo siguiente:</w:t>
      </w:r>
    </w:p>
    <w:p w14:paraId="2425D555" w14:textId="77777777" w:rsidR="00AC73BE" w:rsidRPr="00E47150" w:rsidRDefault="00AC73BE" w:rsidP="00E47150">
      <w:pPr>
        <w:pStyle w:val="Default"/>
        <w:jc w:val="both"/>
        <w:rPr>
          <w:sz w:val="23"/>
          <w:szCs w:val="23"/>
          <w:lang w:val="es-CR"/>
        </w:rPr>
      </w:pPr>
    </w:p>
    <w:p w14:paraId="1188115D" w14:textId="51B390E3" w:rsidR="00E47150" w:rsidRPr="00AC73BE" w:rsidRDefault="00AC73BE">
      <w:pPr>
        <w:pStyle w:val="Default"/>
        <w:numPr>
          <w:ilvl w:val="0"/>
          <w:numId w:val="274"/>
        </w:numPr>
        <w:spacing w:after="120"/>
        <w:ind w:left="1418" w:hanging="284"/>
        <w:jc w:val="both"/>
        <w:rPr>
          <w:sz w:val="22"/>
          <w:szCs w:val="22"/>
          <w:lang w:val="es-CR"/>
        </w:rPr>
      </w:pPr>
      <w:r w:rsidRPr="00AC73BE">
        <w:rPr>
          <w:sz w:val="22"/>
          <w:szCs w:val="22"/>
          <w:lang w:val="es-CR"/>
        </w:rPr>
        <w:t>I</w:t>
      </w:r>
      <w:r w:rsidR="00E47150" w:rsidRPr="00AC73BE">
        <w:rPr>
          <w:sz w:val="22"/>
          <w:szCs w:val="22"/>
          <w:lang w:val="es-CR"/>
        </w:rPr>
        <w:t xml:space="preserve">ncrementar el importe del activo en libros del activo; </w:t>
      </w:r>
    </w:p>
    <w:p w14:paraId="2C0EDDAD" w14:textId="4B7C0431" w:rsidR="00E47150" w:rsidRPr="00AC73BE" w:rsidRDefault="00AC73BE">
      <w:pPr>
        <w:pStyle w:val="Default"/>
        <w:numPr>
          <w:ilvl w:val="0"/>
          <w:numId w:val="274"/>
        </w:numPr>
        <w:spacing w:after="120"/>
        <w:ind w:left="1418" w:hanging="284"/>
        <w:jc w:val="both"/>
        <w:rPr>
          <w:sz w:val="22"/>
          <w:szCs w:val="22"/>
          <w:lang w:val="es-CR"/>
        </w:rPr>
      </w:pPr>
      <w:r w:rsidRPr="00AC73BE">
        <w:rPr>
          <w:sz w:val="22"/>
          <w:szCs w:val="22"/>
          <w:lang w:val="es-CR"/>
        </w:rPr>
        <w:t>D</w:t>
      </w:r>
      <w:r w:rsidR="00E47150" w:rsidRPr="00AC73BE">
        <w:rPr>
          <w:sz w:val="22"/>
          <w:szCs w:val="22"/>
          <w:lang w:val="es-CR"/>
        </w:rPr>
        <w:t xml:space="preserve">icho incremento no podrá exceder el importe en libros que podría haberse obtenido (neto de amortización o depreciación) de no haberse reconocido la pérdida por deterioro para el mismo en períodos anteriores, hasta que alcance su importe de servicio recuperable; </w:t>
      </w:r>
    </w:p>
    <w:p w14:paraId="515AF4DD" w14:textId="7A541C58" w:rsidR="00E47150" w:rsidRPr="00AC73BE" w:rsidRDefault="00AC73BE">
      <w:pPr>
        <w:pStyle w:val="Default"/>
        <w:numPr>
          <w:ilvl w:val="0"/>
          <w:numId w:val="274"/>
        </w:numPr>
        <w:spacing w:after="120"/>
        <w:ind w:left="1418" w:hanging="284"/>
        <w:jc w:val="both"/>
        <w:rPr>
          <w:sz w:val="22"/>
          <w:szCs w:val="22"/>
          <w:lang w:val="es-CR"/>
        </w:rPr>
      </w:pPr>
      <w:r w:rsidRPr="00AC73BE">
        <w:rPr>
          <w:sz w:val="22"/>
          <w:szCs w:val="22"/>
          <w:lang w:val="es-CR"/>
        </w:rPr>
        <w:t>L</w:t>
      </w:r>
      <w:r w:rsidR="00E47150" w:rsidRPr="00AC73BE">
        <w:rPr>
          <w:sz w:val="22"/>
          <w:szCs w:val="22"/>
          <w:lang w:val="es-CR"/>
        </w:rPr>
        <w:t xml:space="preserve">a reversión de una pérdida por deterioro de un activo se reconocerá inmediatamente en el resultado del ejercicio; y </w:t>
      </w:r>
    </w:p>
    <w:p w14:paraId="297092E9" w14:textId="2ABD3B87" w:rsidR="00E47150" w:rsidRPr="00AC73BE" w:rsidRDefault="00AC73BE">
      <w:pPr>
        <w:pStyle w:val="Default"/>
        <w:numPr>
          <w:ilvl w:val="0"/>
          <w:numId w:val="274"/>
        </w:numPr>
        <w:ind w:left="1418" w:hanging="284"/>
        <w:jc w:val="both"/>
        <w:rPr>
          <w:sz w:val="22"/>
          <w:szCs w:val="22"/>
          <w:lang w:val="es-CR"/>
        </w:rPr>
      </w:pPr>
      <w:r w:rsidRPr="00AC73BE">
        <w:rPr>
          <w:sz w:val="22"/>
          <w:szCs w:val="22"/>
          <w:lang w:val="es-CR"/>
        </w:rPr>
        <w:t>D</w:t>
      </w:r>
      <w:r w:rsidR="00E47150" w:rsidRPr="00AC73BE">
        <w:rPr>
          <w:sz w:val="22"/>
          <w:szCs w:val="22"/>
          <w:lang w:val="es-CR"/>
        </w:rPr>
        <w:t xml:space="preserve">espués de haber reconocido una reversión de la pérdida por deterioro, los cargos por depreciación (amortización) del activo deberán ser objeto del ajuste correspondiente, con el fin de distribuir el importe revisado del activo en libros, </w:t>
      </w:r>
      <w:r w:rsidR="00E47150" w:rsidRPr="00AC73BE">
        <w:rPr>
          <w:sz w:val="22"/>
          <w:szCs w:val="22"/>
          <w:lang w:val="es-CR"/>
        </w:rPr>
        <w:lastRenderedPageBreak/>
        <w:t xml:space="preserve">menos su eventual valor residual, de una forma sistemática a lo largo del período que constituya su vida útil restante. </w:t>
      </w:r>
    </w:p>
    <w:p w14:paraId="5EC0B934" w14:textId="77777777" w:rsidR="00E47150" w:rsidRPr="00E47150" w:rsidRDefault="00E47150" w:rsidP="00E47150">
      <w:pPr>
        <w:pStyle w:val="Default"/>
        <w:jc w:val="both"/>
        <w:rPr>
          <w:sz w:val="23"/>
          <w:szCs w:val="23"/>
          <w:lang w:val="es-CR"/>
        </w:rPr>
      </w:pPr>
    </w:p>
    <w:p w14:paraId="228DE173" w14:textId="77777777" w:rsidR="00E47150" w:rsidRPr="00E47150" w:rsidRDefault="00E47150" w:rsidP="00464EB2">
      <w:pPr>
        <w:pStyle w:val="Default"/>
        <w:jc w:val="both"/>
        <w:rPr>
          <w:sz w:val="23"/>
          <w:szCs w:val="23"/>
          <w:lang w:val="es-CR"/>
        </w:rPr>
      </w:pPr>
      <w:r w:rsidRPr="00E47150">
        <w:rPr>
          <w:b/>
          <w:bCs/>
          <w:sz w:val="23"/>
          <w:szCs w:val="23"/>
          <w:lang w:val="es-CR"/>
        </w:rPr>
        <w:t xml:space="preserve">Para activos generadores de efectivo: </w:t>
      </w:r>
    </w:p>
    <w:p w14:paraId="7923513B" w14:textId="77777777" w:rsidR="00AC73BE" w:rsidRDefault="00AC73BE" w:rsidP="00E47150">
      <w:pPr>
        <w:pStyle w:val="Default"/>
        <w:jc w:val="both"/>
        <w:rPr>
          <w:sz w:val="23"/>
          <w:szCs w:val="23"/>
          <w:lang w:val="es-CR"/>
        </w:rPr>
      </w:pPr>
    </w:p>
    <w:p w14:paraId="28CD2A70" w14:textId="08CD9994" w:rsidR="00E47150" w:rsidRPr="00E47150" w:rsidRDefault="00464EB2" w:rsidP="00464EB2">
      <w:pPr>
        <w:pStyle w:val="Default"/>
        <w:ind w:left="1134" w:hanging="1134"/>
        <w:jc w:val="both"/>
        <w:rPr>
          <w:sz w:val="23"/>
          <w:szCs w:val="23"/>
          <w:lang w:val="es-CR"/>
        </w:rPr>
      </w:pPr>
      <w:r>
        <w:rPr>
          <w:sz w:val="23"/>
          <w:szCs w:val="23"/>
          <w:lang w:val="es-CR"/>
        </w:rPr>
        <w:t>4.68.</w:t>
      </w:r>
      <w:r w:rsidR="00A84BED">
        <w:rPr>
          <w:sz w:val="23"/>
          <w:szCs w:val="23"/>
          <w:lang w:val="es-CR"/>
        </w:rPr>
        <w:t>1</w:t>
      </w:r>
      <w:r>
        <w:rPr>
          <w:sz w:val="23"/>
          <w:szCs w:val="23"/>
          <w:lang w:val="es-CR"/>
        </w:rPr>
        <w:t>.01</w:t>
      </w:r>
      <w:r>
        <w:rPr>
          <w:sz w:val="23"/>
          <w:szCs w:val="23"/>
          <w:lang w:val="es-CR"/>
        </w:rPr>
        <w:tab/>
      </w:r>
      <w:r w:rsidR="00E47150" w:rsidRPr="00E47150">
        <w:rPr>
          <w:sz w:val="23"/>
          <w:szCs w:val="23"/>
          <w:lang w:val="es-CR"/>
        </w:rPr>
        <w:t xml:space="preserve">Las entidades </w:t>
      </w:r>
      <w:r w:rsidR="00E47150" w:rsidRPr="00464EB2">
        <w:rPr>
          <w:sz w:val="22"/>
          <w:szCs w:val="22"/>
          <w:lang w:val="es-CR"/>
        </w:rPr>
        <w:t>deberán</w:t>
      </w:r>
      <w:r w:rsidR="00E47150" w:rsidRPr="00E47150">
        <w:rPr>
          <w:sz w:val="23"/>
          <w:szCs w:val="23"/>
          <w:lang w:val="es-CR"/>
        </w:rPr>
        <w:t xml:space="preserve"> proceder a la reversión de la pérdida por deterioro reconocida en períodos anteriores de un activo generador de efectivo si, y sólo si, se ha producido un </w:t>
      </w:r>
      <w:r w:rsidR="005907B3" w:rsidRPr="00E47150">
        <w:rPr>
          <w:sz w:val="23"/>
          <w:szCs w:val="23"/>
          <w:lang w:val="es-CR"/>
        </w:rPr>
        <w:t>ca</w:t>
      </w:r>
      <w:r w:rsidR="005907B3">
        <w:rPr>
          <w:sz w:val="23"/>
          <w:szCs w:val="23"/>
          <w:lang w:val="es-CR"/>
        </w:rPr>
        <w:t>mbi</w:t>
      </w:r>
      <w:r w:rsidR="005907B3" w:rsidRPr="00E47150">
        <w:rPr>
          <w:sz w:val="23"/>
          <w:szCs w:val="23"/>
          <w:lang w:val="es-CR"/>
        </w:rPr>
        <w:t>o</w:t>
      </w:r>
      <w:r w:rsidR="00E47150" w:rsidRPr="00E47150">
        <w:rPr>
          <w:sz w:val="23"/>
          <w:szCs w:val="23"/>
          <w:lang w:val="es-CR"/>
        </w:rPr>
        <w:t xml:space="preserve"> en las estimaciones utilizadas para determinar el importe de servicio recuperable del mismo, desde que se reconoció por última vez la mencionada pérdida. Tal incremento se designa como reversión de una pérdida por deterioro.</w:t>
      </w:r>
    </w:p>
    <w:p w14:paraId="61E1D923" w14:textId="77777777" w:rsidR="00E47150" w:rsidRPr="00E47150" w:rsidRDefault="00E47150" w:rsidP="00E47150">
      <w:pPr>
        <w:pStyle w:val="Default"/>
        <w:jc w:val="both"/>
        <w:rPr>
          <w:color w:val="auto"/>
          <w:lang w:val="es-CR"/>
        </w:rPr>
      </w:pPr>
    </w:p>
    <w:p w14:paraId="40CA0589" w14:textId="24ACE26F" w:rsidR="00464EB2" w:rsidRDefault="00E47150">
      <w:pPr>
        <w:pStyle w:val="Default"/>
        <w:numPr>
          <w:ilvl w:val="3"/>
          <w:numId w:val="275"/>
        </w:numPr>
        <w:ind w:left="1134" w:hanging="1134"/>
        <w:jc w:val="both"/>
        <w:rPr>
          <w:color w:val="auto"/>
          <w:sz w:val="23"/>
          <w:szCs w:val="23"/>
          <w:lang w:val="es-CR"/>
        </w:rPr>
      </w:pPr>
      <w:r w:rsidRPr="00464EB2">
        <w:rPr>
          <w:color w:val="auto"/>
          <w:sz w:val="23"/>
          <w:szCs w:val="23"/>
          <w:lang w:val="es-CR"/>
        </w:rPr>
        <w:t>El incremento del importe en libros de un activo producto de una reversión de una pérdida por deterioro, no excederá el importe en libros que podría haber obtenido (</w:t>
      </w:r>
      <w:r w:rsidRPr="00A84BED">
        <w:rPr>
          <w:sz w:val="23"/>
          <w:szCs w:val="23"/>
          <w:lang w:val="es-CR"/>
        </w:rPr>
        <w:t>neto</w:t>
      </w:r>
      <w:r w:rsidRPr="00464EB2">
        <w:rPr>
          <w:color w:val="auto"/>
          <w:sz w:val="23"/>
          <w:szCs w:val="23"/>
          <w:lang w:val="es-CR"/>
        </w:rPr>
        <w:t xml:space="preserve"> de amortización o depreciación) si no se hubiese reconocido la pérdida por deterioro del valor para dicho activo en períodos anteriores.</w:t>
      </w:r>
    </w:p>
    <w:p w14:paraId="1B59E6C0" w14:textId="77777777" w:rsidR="00A84BED" w:rsidRPr="00464EB2" w:rsidRDefault="00A84BED" w:rsidP="00A84BED">
      <w:pPr>
        <w:pStyle w:val="Default"/>
        <w:jc w:val="both"/>
        <w:rPr>
          <w:color w:val="auto"/>
          <w:sz w:val="23"/>
          <w:szCs w:val="23"/>
          <w:lang w:val="es-CR"/>
        </w:rPr>
      </w:pPr>
    </w:p>
    <w:p w14:paraId="1FD2C67E" w14:textId="406A8C64" w:rsidR="00E47150" w:rsidRPr="00464EB2" w:rsidRDefault="00A84BED" w:rsidP="00A84BED">
      <w:pPr>
        <w:pStyle w:val="Default"/>
        <w:ind w:left="1134" w:hanging="1134"/>
        <w:jc w:val="both"/>
        <w:rPr>
          <w:color w:val="auto"/>
          <w:sz w:val="23"/>
          <w:szCs w:val="23"/>
          <w:lang w:val="es-CR"/>
        </w:rPr>
      </w:pPr>
      <w:r>
        <w:rPr>
          <w:color w:val="auto"/>
          <w:sz w:val="23"/>
          <w:szCs w:val="23"/>
          <w:lang w:val="es-CR"/>
        </w:rPr>
        <w:t>4.68.1.03</w:t>
      </w:r>
      <w:r>
        <w:rPr>
          <w:color w:val="auto"/>
          <w:sz w:val="23"/>
          <w:szCs w:val="23"/>
          <w:lang w:val="es-CR"/>
        </w:rPr>
        <w:tab/>
      </w:r>
      <w:r w:rsidR="00E47150" w:rsidRPr="00464EB2">
        <w:rPr>
          <w:color w:val="auto"/>
          <w:sz w:val="23"/>
          <w:szCs w:val="23"/>
          <w:lang w:val="es-CR"/>
        </w:rPr>
        <w:t xml:space="preserve">La </w:t>
      </w:r>
      <w:r w:rsidR="00E47150" w:rsidRPr="00A84BED">
        <w:rPr>
          <w:sz w:val="23"/>
          <w:szCs w:val="23"/>
          <w:lang w:val="es-CR"/>
        </w:rPr>
        <w:t>reversión</w:t>
      </w:r>
      <w:r w:rsidR="00E47150" w:rsidRPr="00464EB2">
        <w:rPr>
          <w:color w:val="auto"/>
          <w:sz w:val="23"/>
          <w:szCs w:val="23"/>
          <w:lang w:val="es-CR"/>
        </w:rPr>
        <w:t xml:space="preserve"> de una pérdida por deterioro de un activo </w:t>
      </w:r>
      <w:r w:rsidR="00E47150" w:rsidRPr="00464EB2">
        <w:rPr>
          <w:b/>
          <w:bCs/>
          <w:color w:val="auto"/>
          <w:sz w:val="23"/>
          <w:szCs w:val="23"/>
          <w:lang w:val="es-CR"/>
        </w:rPr>
        <w:t xml:space="preserve">se reconocerá inmediatamente en el resultado del ejercicio. </w:t>
      </w:r>
    </w:p>
    <w:p w14:paraId="47634E3B" w14:textId="77777777" w:rsidR="00A84BED" w:rsidRDefault="00A84BED" w:rsidP="00A84BED">
      <w:pPr>
        <w:pStyle w:val="Default"/>
        <w:ind w:left="1134" w:hanging="1134"/>
        <w:jc w:val="both"/>
        <w:rPr>
          <w:color w:val="auto"/>
          <w:sz w:val="23"/>
          <w:szCs w:val="23"/>
          <w:lang w:val="es-CR"/>
        </w:rPr>
      </w:pPr>
    </w:p>
    <w:p w14:paraId="1F5393D6" w14:textId="32BED22F" w:rsidR="00464EB2" w:rsidRDefault="00E47150">
      <w:pPr>
        <w:pStyle w:val="Default"/>
        <w:numPr>
          <w:ilvl w:val="3"/>
          <w:numId w:val="276"/>
        </w:numPr>
        <w:ind w:left="1134" w:hanging="1134"/>
        <w:jc w:val="both"/>
        <w:rPr>
          <w:color w:val="auto"/>
          <w:sz w:val="23"/>
          <w:szCs w:val="23"/>
          <w:lang w:val="es-CR"/>
        </w:rPr>
      </w:pPr>
      <w:r w:rsidRPr="00464EB2">
        <w:rPr>
          <w:color w:val="auto"/>
          <w:sz w:val="23"/>
          <w:szCs w:val="23"/>
          <w:lang w:val="es-CR"/>
        </w:rPr>
        <w:t xml:space="preserve">Después </w:t>
      </w:r>
      <w:r w:rsidRPr="00A84BED">
        <w:rPr>
          <w:sz w:val="23"/>
          <w:szCs w:val="23"/>
          <w:lang w:val="es-CR"/>
        </w:rPr>
        <w:t>de</w:t>
      </w:r>
      <w:r w:rsidRPr="00464EB2">
        <w:rPr>
          <w:color w:val="auto"/>
          <w:sz w:val="23"/>
          <w:szCs w:val="23"/>
          <w:lang w:val="es-CR"/>
        </w:rPr>
        <w:t xml:space="preserve"> haber reconocido una reversión de la pérdida por deterioro, los cargos por depreciación (o en su caso amortización) del activo deberán ser objeto del ajuste correspondiente, con el fin de distribuir el importe revisado del activo en libros, menos su eventual valor residual, de una forma sistemática a lo largo del período que constituya su vida útil restante.</w:t>
      </w:r>
    </w:p>
    <w:p w14:paraId="6A4E9D8D" w14:textId="77777777" w:rsidR="00A12183" w:rsidRDefault="00A12183" w:rsidP="00A12183">
      <w:pPr>
        <w:pStyle w:val="Default"/>
        <w:jc w:val="both"/>
        <w:rPr>
          <w:color w:val="auto"/>
          <w:sz w:val="23"/>
          <w:szCs w:val="23"/>
          <w:lang w:val="es-CR"/>
        </w:rPr>
      </w:pPr>
    </w:p>
    <w:p w14:paraId="79587456" w14:textId="77777777" w:rsidR="00A12183" w:rsidRDefault="00A12183" w:rsidP="00A12183">
      <w:pPr>
        <w:pStyle w:val="Default"/>
        <w:spacing w:after="18"/>
        <w:ind w:left="1134" w:hanging="1134"/>
        <w:jc w:val="both"/>
        <w:rPr>
          <w:color w:val="auto"/>
          <w:sz w:val="23"/>
          <w:szCs w:val="23"/>
          <w:lang w:val="es-CR"/>
        </w:rPr>
      </w:pPr>
      <w:r>
        <w:rPr>
          <w:color w:val="auto"/>
          <w:sz w:val="23"/>
          <w:szCs w:val="23"/>
          <w:lang w:val="es-CR"/>
        </w:rPr>
        <w:t>4.68.2.01</w:t>
      </w:r>
      <w:r>
        <w:rPr>
          <w:color w:val="auto"/>
          <w:sz w:val="23"/>
          <w:szCs w:val="23"/>
          <w:lang w:val="es-CR"/>
        </w:rPr>
        <w:tab/>
      </w:r>
      <w:r w:rsidRPr="00E47150">
        <w:rPr>
          <w:color w:val="auto"/>
          <w:sz w:val="23"/>
          <w:szCs w:val="23"/>
          <w:lang w:val="es-CR"/>
        </w:rPr>
        <w:t xml:space="preserve">Una reversión de una pérdida por deterioro para una unidad generadora de efectivo, se asignará a los activos de la unidad prorrateando su cuantía en función del importe en libros de tales activos. El incremento del importe en libros deberá ser tratado como una reversión de una pérdida por deterioro para los activos en forma individual y posteriormente de haber reconocido una reversión de la pérdida por deterioro, los cargos por depreciación (o en su caso amortización) del activo deberán ser objeto del ajuste correspondiente, con el fin de distribuir el importe revisado del activo en libros, menos su eventual valor residual, de una forma sistemática a lo largo del período que constituya su vida útil restante. </w:t>
      </w:r>
    </w:p>
    <w:p w14:paraId="5174106F" w14:textId="77777777" w:rsidR="00A12183" w:rsidRPr="00E47150" w:rsidRDefault="00A12183" w:rsidP="00A12183">
      <w:pPr>
        <w:pStyle w:val="Default"/>
        <w:jc w:val="both"/>
        <w:rPr>
          <w:color w:val="auto"/>
          <w:sz w:val="23"/>
          <w:szCs w:val="23"/>
          <w:lang w:val="es-CR"/>
        </w:rPr>
      </w:pPr>
    </w:p>
    <w:p w14:paraId="6CA762A4" w14:textId="77777777" w:rsidR="00A12183" w:rsidRDefault="00A12183" w:rsidP="00A12183">
      <w:pPr>
        <w:pStyle w:val="Default"/>
        <w:spacing w:after="18"/>
        <w:ind w:left="1134" w:hanging="1134"/>
        <w:jc w:val="both"/>
        <w:rPr>
          <w:color w:val="auto"/>
          <w:sz w:val="23"/>
          <w:szCs w:val="23"/>
          <w:lang w:val="es-CR"/>
        </w:rPr>
      </w:pPr>
      <w:r>
        <w:rPr>
          <w:color w:val="auto"/>
          <w:sz w:val="23"/>
          <w:szCs w:val="23"/>
          <w:lang w:val="es-CR"/>
        </w:rPr>
        <w:t>4.68.2.02</w:t>
      </w:r>
      <w:r>
        <w:rPr>
          <w:color w:val="auto"/>
          <w:sz w:val="23"/>
          <w:szCs w:val="23"/>
          <w:lang w:val="es-CR"/>
        </w:rPr>
        <w:tab/>
      </w:r>
      <w:r w:rsidRPr="00E47150">
        <w:rPr>
          <w:color w:val="auto"/>
          <w:sz w:val="23"/>
          <w:szCs w:val="23"/>
          <w:lang w:val="es-CR"/>
        </w:rPr>
        <w:t>Al distribuir la reversión de una pérdida por deterioro del valor correspondiente a una unidad generadora de efectivo, el importe en libros de cada activo no debe ser incrementado por encima del menor de:</w:t>
      </w:r>
    </w:p>
    <w:p w14:paraId="6C801221" w14:textId="77777777" w:rsidR="00A12183" w:rsidRPr="00A12183" w:rsidRDefault="00A12183" w:rsidP="00A12183">
      <w:pPr>
        <w:pStyle w:val="Default"/>
        <w:rPr>
          <w:lang w:val="es-CR"/>
        </w:rPr>
      </w:pPr>
    </w:p>
    <w:p w14:paraId="08447334" w14:textId="77777777" w:rsidR="00A12183" w:rsidRPr="00A12183" w:rsidRDefault="00A12183">
      <w:pPr>
        <w:pStyle w:val="Default"/>
        <w:numPr>
          <w:ilvl w:val="1"/>
          <w:numId w:val="277"/>
        </w:numPr>
        <w:spacing w:after="120"/>
        <w:ind w:left="1418" w:hanging="284"/>
        <w:rPr>
          <w:sz w:val="23"/>
          <w:szCs w:val="23"/>
          <w:lang w:val="es-CR"/>
        </w:rPr>
      </w:pPr>
      <w:r>
        <w:rPr>
          <w:sz w:val="23"/>
          <w:szCs w:val="23"/>
          <w:lang w:val="es-CR"/>
        </w:rPr>
        <w:t>S</w:t>
      </w:r>
      <w:r w:rsidRPr="00A12183">
        <w:rPr>
          <w:sz w:val="23"/>
          <w:szCs w:val="23"/>
          <w:lang w:val="es-CR"/>
        </w:rPr>
        <w:t xml:space="preserve">u importe recuperable (si pudiera determinarse); y </w:t>
      </w:r>
    </w:p>
    <w:p w14:paraId="45044511" w14:textId="77777777" w:rsidR="00A12183" w:rsidRPr="00A12183" w:rsidRDefault="00A12183">
      <w:pPr>
        <w:pStyle w:val="Default"/>
        <w:numPr>
          <w:ilvl w:val="1"/>
          <w:numId w:val="277"/>
        </w:numPr>
        <w:ind w:left="1418" w:hanging="284"/>
        <w:rPr>
          <w:sz w:val="23"/>
          <w:szCs w:val="23"/>
          <w:lang w:val="es-CR"/>
        </w:rPr>
      </w:pPr>
      <w:r>
        <w:rPr>
          <w:sz w:val="23"/>
          <w:szCs w:val="23"/>
          <w:lang w:val="es-CR"/>
        </w:rPr>
        <w:t>E</w:t>
      </w:r>
      <w:r w:rsidRPr="00A12183">
        <w:rPr>
          <w:sz w:val="23"/>
          <w:szCs w:val="23"/>
          <w:lang w:val="es-CR"/>
        </w:rPr>
        <w:t xml:space="preserve">l importe en libros (neto de depreciación o amortización) que se hubiera determinado de no haberse reconocido la pérdida por deterioro del valor del activo en los períodos anteriores. </w:t>
      </w:r>
    </w:p>
    <w:p w14:paraId="4FDA7956" w14:textId="77777777" w:rsidR="00A12183" w:rsidRPr="00E47150" w:rsidRDefault="00A12183" w:rsidP="00A12183">
      <w:pPr>
        <w:pStyle w:val="Default"/>
        <w:spacing w:after="18"/>
        <w:ind w:left="1134" w:hanging="1134"/>
        <w:jc w:val="both"/>
        <w:rPr>
          <w:color w:val="auto"/>
          <w:sz w:val="23"/>
          <w:szCs w:val="23"/>
          <w:lang w:val="es-CR"/>
        </w:rPr>
      </w:pPr>
    </w:p>
    <w:p w14:paraId="0B6DC21F" w14:textId="77777777" w:rsidR="00A12183" w:rsidRDefault="00A12183" w:rsidP="00A12183">
      <w:pPr>
        <w:pStyle w:val="Default"/>
        <w:ind w:left="1134" w:hanging="1134"/>
        <w:jc w:val="both"/>
        <w:rPr>
          <w:sz w:val="22"/>
          <w:szCs w:val="22"/>
          <w:lang w:val="es-CR"/>
        </w:rPr>
      </w:pPr>
      <w:r>
        <w:rPr>
          <w:color w:val="auto"/>
          <w:sz w:val="23"/>
          <w:szCs w:val="23"/>
          <w:lang w:val="es-CR"/>
        </w:rPr>
        <w:t>4.68.2.02</w:t>
      </w:r>
      <w:r>
        <w:rPr>
          <w:color w:val="auto"/>
          <w:sz w:val="23"/>
          <w:szCs w:val="23"/>
          <w:lang w:val="es-CR"/>
        </w:rPr>
        <w:tab/>
      </w:r>
      <w:r w:rsidRPr="00E47150">
        <w:rPr>
          <w:color w:val="auto"/>
          <w:sz w:val="23"/>
          <w:szCs w:val="23"/>
          <w:lang w:val="es-CR"/>
        </w:rPr>
        <w:t>El importe de la reversión de la pérdida por deterioro del valor que no se pueda distribuir a los activos asignados siguiendo el criterio expuesto, se prorrateará entre los demás activos de la unidad.</w:t>
      </w:r>
    </w:p>
    <w:p w14:paraId="41BFE246" w14:textId="77777777" w:rsidR="00A12183" w:rsidRDefault="00A12183" w:rsidP="00A12183">
      <w:pPr>
        <w:pStyle w:val="Default"/>
        <w:jc w:val="both"/>
        <w:rPr>
          <w:color w:val="auto"/>
          <w:sz w:val="23"/>
          <w:szCs w:val="23"/>
          <w:lang w:val="es-CR"/>
        </w:rPr>
      </w:pPr>
    </w:p>
    <w:p w14:paraId="76BE08D6" w14:textId="77777777" w:rsidR="00A12183" w:rsidRDefault="00A12183" w:rsidP="00A12183">
      <w:pPr>
        <w:pStyle w:val="Default"/>
        <w:jc w:val="both"/>
        <w:rPr>
          <w:color w:val="auto"/>
          <w:sz w:val="23"/>
          <w:szCs w:val="23"/>
          <w:lang w:val="es-CR"/>
        </w:rPr>
      </w:pPr>
    </w:p>
    <w:p w14:paraId="1BD6CCE9" w14:textId="77777777" w:rsidR="00A12183" w:rsidRDefault="00A12183" w:rsidP="00A12183">
      <w:pPr>
        <w:pStyle w:val="Default"/>
        <w:jc w:val="both"/>
        <w:rPr>
          <w:color w:val="auto"/>
          <w:sz w:val="23"/>
          <w:szCs w:val="23"/>
          <w:lang w:val="es-CR"/>
        </w:rPr>
      </w:pPr>
    </w:p>
    <w:p w14:paraId="32774EEC" w14:textId="77777777" w:rsidR="00C95894" w:rsidRDefault="00C95894" w:rsidP="00A12183">
      <w:pPr>
        <w:pStyle w:val="Default"/>
        <w:jc w:val="both"/>
        <w:rPr>
          <w:color w:val="auto"/>
          <w:sz w:val="23"/>
          <w:szCs w:val="23"/>
          <w:lang w:val="es-CR"/>
        </w:rPr>
      </w:pPr>
    </w:p>
    <w:p w14:paraId="0797CEA9" w14:textId="77777777" w:rsidR="00C95894" w:rsidRDefault="00C95894" w:rsidP="00A12183">
      <w:pPr>
        <w:pStyle w:val="Default"/>
        <w:jc w:val="both"/>
        <w:rPr>
          <w:color w:val="auto"/>
          <w:sz w:val="23"/>
          <w:szCs w:val="23"/>
          <w:lang w:val="es-CR"/>
        </w:rPr>
      </w:pPr>
    </w:p>
    <w:p w14:paraId="7E3E945D" w14:textId="06102A33" w:rsidR="00A12183" w:rsidRPr="009F48E0" w:rsidRDefault="009F48E0" w:rsidP="009F48E0">
      <w:pPr>
        <w:pStyle w:val="Ttulo1"/>
        <w:rPr>
          <w:b/>
          <w:bCs/>
          <w:lang w:val="es-CR"/>
        </w:rPr>
      </w:pPr>
      <w:bookmarkStart w:id="139" w:name="_Toc172726274"/>
      <w:r w:rsidRPr="009F48E0">
        <w:rPr>
          <w:rFonts w:ascii="Arial Narrow" w:hAnsi="Arial Narrow"/>
          <w:b/>
          <w:bCs/>
          <w:lang w:val="es-CR"/>
        </w:rPr>
        <w:lastRenderedPageBreak/>
        <w:t>CAPÍTULO</w:t>
      </w:r>
      <w:r w:rsidRPr="009F48E0">
        <w:rPr>
          <w:b/>
          <w:bCs/>
          <w:lang w:val="es-CR"/>
        </w:rPr>
        <w:t xml:space="preserve"> </w:t>
      </w:r>
      <w:r w:rsidRPr="008D294D">
        <w:rPr>
          <w:rFonts w:ascii="Arial Narrow" w:hAnsi="Arial Narrow"/>
          <w:b/>
          <w:bCs/>
          <w:lang w:val="es-CR"/>
        </w:rPr>
        <w:t>V</w:t>
      </w:r>
      <w:bookmarkEnd w:id="139"/>
    </w:p>
    <w:p w14:paraId="3A08109F" w14:textId="77777777" w:rsidR="00A12183" w:rsidRPr="009F48E0" w:rsidRDefault="00A12183" w:rsidP="009F48E0">
      <w:pPr>
        <w:pStyle w:val="TDC1"/>
        <w:rPr>
          <w:rStyle w:val="Hipervnculo"/>
          <w:rFonts w:ascii="Arial Narrow" w:hAnsi="Arial Narrow"/>
          <w:b/>
          <w:bCs/>
          <w:sz w:val="20"/>
          <w:szCs w:val="20"/>
        </w:rPr>
      </w:pPr>
    </w:p>
    <w:p w14:paraId="5CF8D23D" w14:textId="74526F3E" w:rsidR="00A12183" w:rsidRPr="009F48E0" w:rsidRDefault="009F48E0" w:rsidP="009F48E0">
      <w:pPr>
        <w:pStyle w:val="Ttulo2"/>
        <w:rPr>
          <w:rFonts w:ascii="Arial" w:hAnsi="Arial" w:cs="Arial"/>
          <w:b/>
          <w:bCs/>
          <w:sz w:val="28"/>
          <w:szCs w:val="28"/>
          <w:lang w:val="es-CR"/>
        </w:rPr>
      </w:pPr>
      <w:bookmarkStart w:id="140" w:name="_Toc172726275"/>
      <w:r w:rsidRPr="009F48E0">
        <w:rPr>
          <w:rFonts w:ascii="Arial" w:eastAsia="Arial" w:hAnsi="Arial" w:cs="Arial"/>
          <w:b/>
          <w:bCs/>
          <w:sz w:val="28"/>
          <w:szCs w:val="28"/>
          <w:lang w:val="es-CR"/>
        </w:rPr>
        <w:t>Políticas</w:t>
      </w:r>
      <w:r w:rsidR="00547734">
        <w:rPr>
          <w:rFonts w:ascii="Arial" w:eastAsia="Arial" w:hAnsi="Arial" w:cs="Arial"/>
          <w:b/>
          <w:bCs/>
          <w:sz w:val="28"/>
          <w:szCs w:val="28"/>
          <w:lang w:val="es-CR"/>
        </w:rPr>
        <w:t xml:space="preserve"> </w:t>
      </w:r>
      <w:r w:rsidR="00547734" w:rsidRPr="00547734">
        <w:rPr>
          <w:rFonts w:ascii="Arial" w:hAnsi="Arial" w:cs="Arial"/>
          <w:b/>
          <w:bCs/>
          <w:sz w:val="28"/>
          <w:szCs w:val="28"/>
          <w:lang w:val="es-CR"/>
        </w:rPr>
        <w:t>Contabl</w:t>
      </w:r>
      <w:r w:rsidR="00547734" w:rsidRPr="009F48E0">
        <w:rPr>
          <w:rFonts w:ascii="Arial" w:eastAsia="Arial" w:hAnsi="Arial" w:cs="Arial"/>
          <w:b/>
          <w:bCs/>
          <w:sz w:val="28"/>
          <w:szCs w:val="28"/>
          <w:lang w:val="es-CR"/>
        </w:rPr>
        <w:t>es</w:t>
      </w:r>
      <w:r w:rsidR="00A12183" w:rsidRPr="00547734">
        <w:rPr>
          <w:rFonts w:ascii="Arial" w:hAnsi="Arial" w:cs="Arial"/>
          <w:b/>
          <w:bCs/>
          <w:sz w:val="28"/>
          <w:szCs w:val="28"/>
          <w:lang w:val="es-CR"/>
        </w:rPr>
        <w:t xml:space="preserve"> Generales</w:t>
      </w:r>
      <w:r w:rsidRPr="009F48E0">
        <w:rPr>
          <w:rFonts w:ascii="Arial" w:eastAsia="Arial" w:hAnsi="Arial" w:cs="Arial"/>
          <w:b/>
          <w:bCs/>
          <w:sz w:val="28"/>
          <w:szCs w:val="28"/>
          <w:lang w:val="es-CR"/>
        </w:rPr>
        <w:t xml:space="preserve"> y Particulares</w:t>
      </w:r>
      <w:r w:rsidR="00A12183" w:rsidRPr="00547734">
        <w:rPr>
          <w:rFonts w:ascii="Arial" w:hAnsi="Arial" w:cs="Arial"/>
          <w:b/>
          <w:bCs/>
          <w:sz w:val="28"/>
          <w:szCs w:val="28"/>
          <w:lang w:val="es-CR"/>
        </w:rPr>
        <w:t xml:space="preserve"> </w:t>
      </w:r>
      <w:r w:rsidRPr="009F48E0">
        <w:rPr>
          <w:rFonts w:ascii="Arial" w:eastAsia="Arial" w:hAnsi="Arial" w:cs="Arial"/>
          <w:b/>
          <w:bCs/>
          <w:sz w:val="28"/>
          <w:szCs w:val="28"/>
          <w:lang w:val="es-CR"/>
        </w:rPr>
        <w:t xml:space="preserve">para </w:t>
      </w:r>
      <w:r w:rsidR="00547734">
        <w:rPr>
          <w:rFonts w:ascii="Arial" w:eastAsia="Arial" w:hAnsi="Arial" w:cs="Arial"/>
          <w:b/>
          <w:bCs/>
          <w:sz w:val="28"/>
          <w:szCs w:val="28"/>
          <w:lang w:val="es-CR"/>
        </w:rPr>
        <w:t xml:space="preserve">los </w:t>
      </w:r>
      <w:r w:rsidRPr="009F48E0">
        <w:rPr>
          <w:rFonts w:ascii="Arial" w:eastAsia="Arial" w:hAnsi="Arial" w:cs="Arial"/>
          <w:b/>
          <w:bCs/>
          <w:sz w:val="28"/>
          <w:szCs w:val="28"/>
          <w:lang w:val="es-CR"/>
        </w:rPr>
        <w:t>Gastos</w:t>
      </w:r>
      <w:bookmarkEnd w:id="140"/>
    </w:p>
    <w:p w14:paraId="23140332" w14:textId="77777777" w:rsidR="00A12183" w:rsidRDefault="00A12183" w:rsidP="00A12183">
      <w:pPr>
        <w:pStyle w:val="Default"/>
        <w:rPr>
          <w:b/>
          <w:bCs/>
          <w:sz w:val="32"/>
          <w:szCs w:val="32"/>
          <w:lang w:val="es-CR"/>
        </w:rPr>
      </w:pPr>
    </w:p>
    <w:p w14:paraId="15D68875" w14:textId="0AE497C9" w:rsidR="00A12183" w:rsidRPr="000A3F77" w:rsidRDefault="00A12183">
      <w:pPr>
        <w:pStyle w:val="Ttulo2"/>
        <w:numPr>
          <w:ilvl w:val="0"/>
          <w:numId w:val="274"/>
        </w:numPr>
        <w:ind w:left="284" w:hanging="284"/>
        <w:rPr>
          <w:rFonts w:ascii="Arial" w:eastAsia="Arial" w:hAnsi="Arial" w:cs="Arial"/>
          <w:b/>
          <w:bCs/>
          <w:sz w:val="28"/>
          <w:szCs w:val="28"/>
          <w:lang w:val="es-CR"/>
        </w:rPr>
      </w:pPr>
      <w:bookmarkStart w:id="141" w:name="_Toc172726276"/>
      <w:r w:rsidRPr="000A3F77">
        <w:rPr>
          <w:rFonts w:ascii="Arial" w:eastAsia="Arial" w:hAnsi="Arial" w:cs="Arial"/>
          <w:b/>
          <w:bCs/>
          <w:sz w:val="28"/>
          <w:szCs w:val="28"/>
          <w:lang w:val="es-CR"/>
        </w:rPr>
        <w:t>Gastos</w:t>
      </w:r>
      <w:bookmarkEnd w:id="141"/>
    </w:p>
    <w:p w14:paraId="58B0E462" w14:textId="77777777" w:rsidR="009F48E0" w:rsidRDefault="009F48E0" w:rsidP="009F48E0">
      <w:pPr>
        <w:pStyle w:val="Default"/>
        <w:jc w:val="both"/>
        <w:rPr>
          <w:b/>
          <w:bCs/>
          <w:i/>
          <w:iCs/>
          <w:sz w:val="32"/>
          <w:szCs w:val="32"/>
        </w:rPr>
      </w:pPr>
    </w:p>
    <w:p w14:paraId="18712C89" w14:textId="4EC19722" w:rsidR="009F48E0" w:rsidRPr="009E7101" w:rsidRDefault="009F48E0" w:rsidP="009E7101">
      <w:pPr>
        <w:pStyle w:val="Ttulo2"/>
        <w:ind w:left="284"/>
        <w:rPr>
          <w:rFonts w:ascii="Arial" w:eastAsia="Arial" w:hAnsi="Arial" w:cs="Arial"/>
          <w:b/>
          <w:bCs/>
          <w:sz w:val="20"/>
          <w:szCs w:val="20"/>
          <w:lang w:val="es-CR"/>
        </w:rPr>
      </w:pPr>
      <w:bookmarkStart w:id="142" w:name="_Toc172726277"/>
      <w:r w:rsidRPr="009E7101">
        <w:rPr>
          <w:rFonts w:ascii="Arial" w:eastAsia="Arial" w:hAnsi="Arial" w:cs="Arial"/>
          <w:b/>
          <w:bCs/>
          <w:sz w:val="20"/>
          <w:szCs w:val="20"/>
          <w:lang w:val="es-CR"/>
        </w:rPr>
        <w:t>Gastos relacionados con bienes y servicios</w:t>
      </w:r>
      <w:bookmarkEnd w:id="142"/>
    </w:p>
    <w:p w14:paraId="2FF3D708" w14:textId="77777777" w:rsidR="00531B7E" w:rsidRPr="00952BFE" w:rsidRDefault="00531B7E" w:rsidP="0063507E">
      <w:pPr>
        <w:pStyle w:val="Default"/>
        <w:jc w:val="both"/>
        <w:outlineLvl w:val="1"/>
        <w:rPr>
          <w:b/>
          <w:bCs/>
          <w:sz w:val="23"/>
          <w:szCs w:val="23"/>
          <w:lang w:val="es-CR"/>
        </w:rPr>
      </w:pPr>
    </w:p>
    <w:p w14:paraId="615DED36" w14:textId="68AF80FA" w:rsidR="009F48E0" w:rsidRPr="009E7101" w:rsidRDefault="009F48E0" w:rsidP="009E7101">
      <w:pPr>
        <w:pStyle w:val="Ttulo2"/>
        <w:ind w:left="284"/>
        <w:rPr>
          <w:rFonts w:ascii="Arial" w:eastAsia="Arial" w:hAnsi="Arial" w:cs="Arial"/>
          <w:b/>
          <w:bCs/>
          <w:sz w:val="20"/>
          <w:szCs w:val="20"/>
          <w:lang w:val="es-CR"/>
        </w:rPr>
      </w:pPr>
      <w:bookmarkStart w:id="143" w:name="_Toc172726278"/>
      <w:r w:rsidRPr="009E7101">
        <w:rPr>
          <w:rFonts w:ascii="Arial" w:eastAsia="Arial" w:hAnsi="Arial" w:cs="Arial"/>
          <w:b/>
          <w:bCs/>
          <w:sz w:val="20"/>
          <w:szCs w:val="20"/>
          <w:lang w:val="es-CR"/>
        </w:rPr>
        <w:t>Gastos en Personal</w:t>
      </w:r>
      <w:bookmarkEnd w:id="143"/>
    </w:p>
    <w:p w14:paraId="579B14B5" w14:textId="77777777" w:rsidR="008D294D" w:rsidRDefault="008D294D" w:rsidP="009F48E0">
      <w:pPr>
        <w:pStyle w:val="Default"/>
        <w:jc w:val="both"/>
        <w:rPr>
          <w:b/>
          <w:bCs/>
          <w:sz w:val="23"/>
          <w:szCs w:val="23"/>
        </w:rPr>
      </w:pPr>
    </w:p>
    <w:tbl>
      <w:tblPr>
        <w:tblW w:w="9309" w:type="dxa"/>
        <w:tblInd w:w="118" w:type="dxa"/>
        <w:tblLook w:val="04A0" w:firstRow="1" w:lastRow="0" w:firstColumn="1" w:lastColumn="0" w:noHBand="0" w:noVBand="1"/>
      </w:tblPr>
      <w:tblGrid>
        <w:gridCol w:w="532"/>
        <w:gridCol w:w="615"/>
        <w:gridCol w:w="512"/>
        <w:gridCol w:w="3692"/>
        <w:gridCol w:w="2034"/>
        <w:gridCol w:w="1914"/>
        <w:gridCol w:w="10"/>
      </w:tblGrid>
      <w:tr w:rsidR="00026A6E" w:rsidRPr="00026A6E" w14:paraId="63E38967" w14:textId="77777777" w:rsidTr="00194075">
        <w:trPr>
          <w:trHeight w:val="320"/>
        </w:trPr>
        <w:tc>
          <w:tcPr>
            <w:tcW w:w="16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7553B46" w14:textId="77777777" w:rsidR="00026A6E" w:rsidRPr="00026A6E" w:rsidRDefault="00026A6E" w:rsidP="00026A6E">
            <w:pPr>
              <w:jc w:val="center"/>
              <w:rPr>
                <w:rFonts w:ascii="Arial Narrow" w:eastAsia="Times New Roman" w:hAnsi="Arial Narrow" w:cs="Calibri"/>
                <w:b/>
                <w:bCs/>
                <w:color w:val="FFFFFF"/>
                <w:sz w:val="22"/>
                <w:szCs w:val="22"/>
              </w:rPr>
            </w:pPr>
            <w:r w:rsidRPr="00026A6E">
              <w:rPr>
                <w:rFonts w:ascii="Arial Narrow" w:eastAsia="Times New Roman"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BCFD9E6" w14:textId="77777777" w:rsidR="00026A6E" w:rsidRPr="00026A6E" w:rsidRDefault="00026A6E" w:rsidP="00026A6E">
            <w:pPr>
              <w:jc w:val="center"/>
              <w:rPr>
                <w:rFonts w:ascii="Arial Narrow" w:eastAsia="Times New Roman" w:hAnsi="Arial Narrow" w:cs="Calibri"/>
                <w:b/>
                <w:bCs/>
                <w:color w:val="FFFFFF"/>
                <w:sz w:val="22"/>
                <w:szCs w:val="22"/>
              </w:rPr>
            </w:pPr>
            <w:r w:rsidRPr="00026A6E">
              <w:rPr>
                <w:rFonts w:ascii="Arial Narrow" w:eastAsia="Times New Roman" w:hAnsi="Arial Narrow" w:cs="Calibri"/>
                <w:b/>
                <w:bCs/>
                <w:color w:val="FFFFFF"/>
                <w:sz w:val="22"/>
                <w:szCs w:val="22"/>
              </w:rPr>
              <w:t>Concepto</w:t>
            </w:r>
          </w:p>
        </w:tc>
        <w:tc>
          <w:tcPr>
            <w:tcW w:w="3958" w:type="dxa"/>
            <w:gridSpan w:val="3"/>
            <w:tcBorders>
              <w:top w:val="single" w:sz="8" w:space="0" w:color="auto"/>
              <w:left w:val="nil"/>
              <w:bottom w:val="single" w:sz="8" w:space="0" w:color="auto"/>
              <w:right w:val="single" w:sz="8" w:space="0" w:color="000000"/>
            </w:tcBorders>
            <w:shd w:val="clear" w:color="000000" w:fill="203764"/>
            <w:vAlign w:val="center"/>
            <w:hideMark/>
          </w:tcPr>
          <w:p w14:paraId="7FE734DA" w14:textId="77777777" w:rsidR="00026A6E" w:rsidRPr="00026A6E" w:rsidRDefault="00026A6E" w:rsidP="00026A6E">
            <w:pPr>
              <w:jc w:val="center"/>
              <w:rPr>
                <w:rFonts w:ascii="Arial Narrow" w:eastAsia="Times New Roman" w:hAnsi="Arial Narrow" w:cs="Calibri"/>
                <w:b/>
                <w:bCs/>
                <w:color w:val="FFFFFF"/>
                <w:sz w:val="22"/>
                <w:szCs w:val="22"/>
              </w:rPr>
            </w:pPr>
            <w:r w:rsidRPr="00026A6E">
              <w:rPr>
                <w:rFonts w:ascii="Arial Narrow" w:eastAsia="Times New Roman" w:hAnsi="Arial Narrow" w:cs="Calibri"/>
                <w:b/>
                <w:bCs/>
                <w:color w:val="FFFFFF"/>
                <w:sz w:val="22"/>
                <w:szCs w:val="22"/>
              </w:rPr>
              <w:t>Referencia</w:t>
            </w:r>
          </w:p>
        </w:tc>
      </w:tr>
      <w:tr w:rsidR="00026A6E" w:rsidRPr="006E5442" w14:paraId="38568D4A" w14:textId="77777777" w:rsidTr="00194075">
        <w:trPr>
          <w:gridAfter w:val="1"/>
          <w:wAfter w:w="10" w:type="dxa"/>
          <w:trHeight w:val="940"/>
        </w:trPr>
        <w:tc>
          <w:tcPr>
            <w:tcW w:w="1659" w:type="dxa"/>
            <w:gridSpan w:val="3"/>
            <w:vMerge/>
            <w:tcBorders>
              <w:top w:val="single" w:sz="8" w:space="0" w:color="auto"/>
              <w:left w:val="single" w:sz="8" w:space="0" w:color="auto"/>
              <w:bottom w:val="nil"/>
              <w:right w:val="single" w:sz="8" w:space="0" w:color="000000"/>
            </w:tcBorders>
            <w:vAlign w:val="center"/>
            <w:hideMark/>
          </w:tcPr>
          <w:p w14:paraId="2B1B1826" w14:textId="77777777" w:rsidR="00026A6E" w:rsidRPr="00026A6E" w:rsidRDefault="00026A6E" w:rsidP="00026A6E">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497A3A94" w14:textId="77777777" w:rsidR="00026A6E" w:rsidRPr="00026A6E" w:rsidRDefault="00026A6E" w:rsidP="00026A6E">
            <w:pPr>
              <w:rPr>
                <w:rFonts w:ascii="Arial Narrow" w:eastAsia="Times New Roman" w:hAnsi="Arial Narrow" w:cs="Calibri"/>
                <w:b/>
                <w:bCs/>
                <w:color w:val="FFFFFF"/>
                <w:sz w:val="22"/>
                <w:szCs w:val="22"/>
              </w:rPr>
            </w:pPr>
          </w:p>
        </w:tc>
        <w:tc>
          <w:tcPr>
            <w:tcW w:w="2034" w:type="dxa"/>
            <w:tcBorders>
              <w:top w:val="nil"/>
              <w:left w:val="nil"/>
              <w:bottom w:val="nil"/>
              <w:right w:val="single" w:sz="8" w:space="0" w:color="auto"/>
            </w:tcBorders>
            <w:shd w:val="clear" w:color="000000" w:fill="203764"/>
            <w:vAlign w:val="center"/>
            <w:hideMark/>
          </w:tcPr>
          <w:p w14:paraId="71261242" w14:textId="77777777" w:rsidR="00026A6E" w:rsidRPr="00026A6E" w:rsidRDefault="00026A6E" w:rsidP="00026A6E">
            <w:pPr>
              <w:jc w:val="center"/>
              <w:rPr>
                <w:rFonts w:ascii="Arial Narrow" w:eastAsia="Times New Roman" w:hAnsi="Arial Narrow" w:cs="Calibri"/>
                <w:b/>
                <w:bCs/>
                <w:color w:val="FFFFFF"/>
                <w:sz w:val="22"/>
                <w:szCs w:val="22"/>
              </w:rPr>
            </w:pPr>
            <w:r w:rsidRPr="00026A6E">
              <w:rPr>
                <w:rFonts w:ascii="Arial Narrow" w:eastAsia="Times New Roman" w:hAnsi="Arial Narrow" w:cs="Calibri"/>
                <w:b/>
                <w:bCs/>
                <w:color w:val="FFFFFF"/>
                <w:sz w:val="22"/>
                <w:szCs w:val="22"/>
              </w:rPr>
              <w:t>Norma</w:t>
            </w:r>
          </w:p>
        </w:tc>
        <w:tc>
          <w:tcPr>
            <w:tcW w:w="1914" w:type="dxa"/>
            <w:tcBorders>
              <w:top w:val="nil"/>
              <w:left w:val="nil"/>
              <w:bottom w:val="nil"/>
              <w:right w:val="single" w:sz="8" w:space="0" w:color="auto"/>
            </w:tcBorders>
            <w:shd w:val="clear" w:color="000000" w:fill="203764"/>
            <w:vAlign w:val="center"/>
            <w:hideMark/>
          </w:tcPr>
          <w:p w14:paraId="5C976DA7" w14:textId="77777777" w:rsidR="00026A6E" w:rsidRPr="00026A6E" w:rsidRDefault="00026A6E" w:rsidP="00026A6E">
            <w:pPr>
              <w:jc w:val="center"/>
              <w:rPr>
                <w:rFonts w:ascii="Arial Narrow" w:eastAsia="Times New Roman" w:hAnsi="Arial Narrow" w:cs="Calibri"/>
                <w:b/>
                <w:bCs/>
                <w:color w:val="FFFFFF"/>
                <w:sz w:val="22"/>
                <w:szCs w:val="22"/>
                <w:lang w:val="es-CR"/>
              </w:rPr>
            </w:pPr>
            <w:r w:rsidRPr="00026A6E">
              <w:rPr>
                <w:rFonts w:ascii="Arial Narrow" w:eastAsia="Times New Roman" w:hAnsi="Arial Narrow" w:cs="Calibri"/>
                <w:b/>
                <w:bCs/>
                <w:color w:val="FFFFFF"/>
                <w:sz w:val="22"/>
                <w:szCs w:val="22"/>
                <w:lang w:val="es-CR"/>
              </w:rPr>
              <w:t>Normativa técnica y disposiciones adicionales</w:t>
            </w:r>
          </w:p>
        </w:tc>
      </w:tr>
      <w:tr w:rsidR="00026A6E" w:rsidRPr="00026A6E" w14:paraId="2A526E24" w14:textId="77777777" w:rsidTr="00194075">
        <w:trPr>
          <w:gridAfter w:val="1"/>
          <w:wAfter w:w="10" w:type="dxa"/>
          <w:trHeight w:val="630"/>
        </w:trPr>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771FC1" w14:textId="77777777" w:rsidR="00026A6E" w:rsidRPr="00026A6E" w:rsidRDefault="00026A6E" w:rsidP="00194075">
            <w:pPr>
              <w:jc w:val="center"/>
              <w:rPr>
                <w:rFonts w:ascii="Arial Narrow" w:eastAsia="Times New Roman" w:hAnsi="Arial Narrow"/>
                <w:b/>
                <w:bCs/>
                <w:color w:val="000000"/>
                <w:sz w:val="22"/>
                <w:szCs w:val="22"/>
              </w:rPr>
            </w:pPr>
            <w:r w:rsidRPr="00026A6E">
              <w:rPr>
                <w:rFonts w:ascii="Arial Narrow" w:eastAsia="Times New Roman" w:hAnsi="Arial Narrow"/>
                <w:b/>
                <w:bCs/>
                <w:color w:val="000000"/>
                <w:sz w:val="22"/>
                <w:szCs w:val="22"/>
              </w:rPr>
              <w:t>5</w:t>
            </w:r>
          </w:p>
        </w:tc>
        <w:tc>
          <w:tcPr>
            <w:tcW w:w="615" w:type="dxa"/>
            <w:tcBorders>
              <w:top w:val="single" w:sz="8" w:space="0" w:color="auto"/>
              <w:left w:val="nil"/>
              <w:bottom w:val="single" w:sz="8" w:space="0" w:color="auto"/>
              <w:right w:val="single" w:sz="8" w:space="0" w:color="auto"/>
            </w:tcBorders>
            <w:shd w:val="clear" w:color="auto" w:fill="auto"/>
            <w:vAlign w:val="center"/>
            <w:hideMark/>
          </w:tcPr>
          <w:p w14:paraId="540A2114" w14:textId="77777777" w:rsidR="00026A6E" w:rsidRPr="00026A6E" w:rsidRDefault="00026A6E" w:rsidP="00194075">
            <w:pPr>
              <w:jc w:val="center"/>
              <w:rPr>
                <w:rFonts w:ascii="Arial Narrow" w:eastAsia="Times New Roman" w:hAnsi="Arial Narrow"/>
                <w:b/>
                <w:bCs/>
                <w:color w:val="000000"/>
                <w:sz w:val="22"/>
                <w:szCs w:val="22"/>
              </w:rPr>
            </w:pPr>
            <w:r w:rsidRPr="00026A6E">
              <w:rPr>
                <w:rFonts w:ascii="Arial Narrow" w:eastAsia="Times New Roman" w:hAnsi="Arial Narrow"/>
                <w:b/>
                <w:bCs/>
                <w:color w:val="000000"/>
                <w:sz w:val="22"/>
                <w:szCs w:val="22"/>
              </w:rPr>
              <w:t>1</w:t>
            </w:r>
          </w:p>
        </w:tc>
        <w:tc>
          <w:tcPr>
            <w:tcW w:w="512" w:type="dxa"/>
            <w:tcBorders>
              <w:top w:val="single" w:sz="8" w:space="0" w:color="auto"/>
              <w:left w:val="nil"/>
              <w:bottom w:val="single" w:sz="8" w:space="0" w:color="auto"/>
              <w:right w:val="single" w:sz="8" w:space="0" w:color="auto"/>
            </w:tcBorders>
            <w:shd w:val="clear" w:color="auto" w:fill="auto"/>
            <w:vAlign w:val="center"/>
            <w:hideMark/>
          </w:tcPr>
          <w:p w14:paraId="23A3E0BF" w14:textId="08E7194C" w:rsidR="00026A6E" w:rsidRPr="00026A6E" w:rsidRDefault="00026A6E" w:rsidP="00026A6E">
            <w:pPr>
              <w:jc w:val="center"/>
              <w:rPr>
                <w:rFonts w:ascii="Arial Narrow" w:eastAsia="Times New Roman" w:hAnsi="Arial Narrow" w:cs="Calibri"/>
                <w:b/>
                <w:bCs/>
                <w:color w:val="000000"/>
                <w:sz w:val="22"/>
                <w:szCs w:val="22"/>
              </w:rPr>
            </w:pP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60F1C91D" w14:textId="77777777" w:rsidR="00026A6E" w:rsidRPr="00026A6E" w:rsidRDefault="00026A6E" w:rsidP="00026A6E">
            <w:pPr>
              <w:rPr>
                <w:rFonts w:ascii="Arial Narrow" w:eastAsia="Times New Roman" w:hAnsi="Arial Narrow"/>
                <w:b/>
                <w:bCs/>
                <w:color w:val="000000"/>
                <w:sz w:val="22"/>
                <w:szCs w:val="22"/>
                <w:lang w:val="es-CR"/>
              </w:rPr>
            </w:pPr>
            <w:r w:rsidRPr="00026A6E">
              <w:rPr>
                <w:rFonts w:ascii="Arial Narrow" w:eastAsia="Times New Roman" w:hAnsi="Arial Narrow"/>
                <w:b/>
                <w:bCs/>
                <w:color w:val="000000"/>
                <w:sz w:val="22"/>
                <w:szCs w:val="22"/>
                <w:lang w:val="es-CR"/>
              </w:rPr>
              <w:t xml:space="preserve"> Gastos por beneficios a los empleados</w:t>
            </w:r>
          </w:p>
        </w:tc>
        <w:tc>
          <w:tcPr>
            <w:tcW w:w="2034" w:type="dxa"/>
            <w:tcBorders>
              <w:top w:val="single" w:sz="8" w:space="0" w:color="auto"/>
              <w:left w:val="nil"/>
              <w:bottom w:val="single" w:sz="8" w:space="0" w:color="auto"/>
              <w:right w:val="single" w:sz="8" w:space="0" w:color="auto"/>
            </w:tcBorders>
            <w:shd w:val="clear" w:color="auto" w:fill="auto"/>
            <w:vAlign w:val="center"/>
            <w:hideMark/>
          </w:tcPr>
          <w:p w14:paraId="135E4F31" w14:textId="31364637" w:rsidR="00C95894" w:rsidRDefault="00026A6E" w:rsidP="00026A6E">
            <w:pPr>
              <w:rPr>
                <w:rFonts w:ascii="Arial Narrow" w:eastAsia="Times New Roman" w:hAnsi="Arial Narrow" w:cs="Calibri"/>
                <w:b/>
                <w:bCs/>
                <w:color w:val="000000"/>
                <w:sz w:val="22"/>
                <w:szCs w:val="22"/>
              </w:rPr>
            </w:pPr>
            <w:r w:rsidRPr="00026A6E">
              <w:rPr>
                <w:rFonts w:ascii="Arial Narrow" w:eastAsia="Times New Roman" w:hAnsi="Arial Narrow" w:cs="Calibri"/>
                <w:b/>
                <w:bCs/>
                <w:color w:val="000000"/>
                <w:sz w:val="22"/>
                <w:szCs w:val="22"/>
              </w:rPr>
              <w:t xml:space="preserve">NICSP N° 39, </w:t>
            </w:r>
          </w:p>
          <w:p w14:paraId="36BD538C" w14:textId="423C037B" w:rsidR="00026A6E" w:rsidRPr="00026A6E" w:rsidRDefault="00026A6E" w:rsidP="00026A6E">
            <w:pPr>
              <w:rPr>
                <w:rFonts w:ascii="Arial Narrow" w:eastAsia="Times New Roman" w:hAnsi="Arial Narrow" w:cs="Calibri"/>
                <w:b/>
                <w:bCs/>
                <w:color w:val="000000"/>
                <w:sz w:val="22"/>
                <w:szCs w:val="22"/>
              </w:rPr>
            </w:pPr>
            <w:r w:rsidRPr="00026A6E">
              <w:rPr>
                <w:rFonts w:ascii="Arial Narrow" w:eastAsia="Times New Roman" w:hAnsi="Arial Narrow" w:cs="Calibri"/>
                <w:b/>
                <w:bCs/>
                <w:color w:val="000000"/>
                <w:sz w:val="22"/>
                <w:szCs w:val="22"/>
              </w:rPr>
              <w:t>Párrafo 1.</w:t>
            </w:r>
          </w:p>
        </w:tc>
        <w:tc>
          <w:tcPr>
            <w:tcW w:w="1914" w:type="dxa"/>
            <w:tcBorders>
              <w:top w:val="single" w:sz="8" w:space="0" w:color="auto"/>
              <w:left w:val="nil"/>
              <w:bottom w:val="single" w:sz="8" w:space="0" w:color="auto"/>
              <w:right w:val="single" w:sz="8" w:space="0" w:color="auto"/>
            </w:tcBorders>
            <w:shd w:val="clear" w:color="auto" w:fill="auto"/>
            <w:vAlign w:val="center"/>
            <w:hideMark/>
          </w:tcPr>
          <w:p w14:paraId="183AFEEC" w14:textId="77777777" w:rsidR="00026A6E" w:rsidRPr="00026A6E" w:rsidRDefault="00026A6E" w:rsidP="00026A6E">
            <w:pPr>
              <w:jc w:val="center"/>
              <w:rPr>
                <w:rFonts w:ascii="Arial Narrow" w:eastAsia="Times New Roman" w:hAnsi="Arial Narrow" w:cs="Calibri"/>
                <w:b/>
                <w:bCs/>
                <w:color w:val="000000"/>
                <w:sz w:val="22"/>
                <w:szCs w:val="22"/>
              </w:rPr>
            </w:pPr>
            <w:r w:rsidRPr="00026A6E">
              <w:rPr>
                <w:rFonts w:ascii="Arial Narrow" w:eastAsia="Times New Roman" w:hAnsi="Arial Narrow" w:cs="Calibri"/>
                <w:b/>
                <w:bCs/>
                <w:color w:val="000000"/>
                <w:sz w:val="22"/>
                <w:szCs w:val="22"/>
              </w:rPr>
              <w:t xml:space="preserve"> </w:t>
            </w:r>
          </w:p>
        </w:tc>
      </w:tr>
      <w:tr w:rsidR="00026A6E" w:rsidRPr="00026A6E" w14:paraId="3557B14E" w14:textId="77777777" w:rsidTr="00194075">
        <w:trPr>
          <w:gridAfter w:val="1"/>
          <w:wAfter w:w="10" w:type="dxa"/>
          <w:trHeight w:val="630"/>
        </w:trPr>
        <w:tc>
          <w:tcPr>
            <w:tcW w:w="532" w:type="dxa"/>
            <w:tcBorders>
              <w:top w:val="nil"/>
              <w:left w:val="single" w:sz="8" w:space="0" w:color="auto"/>
              <w:bottom w:val="single" w:sz="8" w:space="0" w:color="auto"/>
              <w:right w:val="single" w:sz="8" w:space="0" w:color="auto"/>
            </w:tcBorders>
            <w:shd w:val="clear" w:color="auto" w:fill="auto"/>
            <w:vAlign w:val="center"/>
            <w:hideMark/>
          </w:tcPr>
          <w:p w14:paraId="37581CB7" w14:textId="77777777" w:rsidR="00026A6E" w:rsidRPr="00026A6E" w:rsidRDefault="00026A6E" w:rsidP="00194075">
            <w:pPr>
              <w:jc w:val="center"/>
              <w:rPr>
                <w:rFonts w:ascii="Arial Narrow" w:eastAsia="Times New Roman" w:hAnsi="Arial Narrow"/>
                <w:b/>
                <w:bCs/>
                <w:color w:val="000000"/>
                <w:sz w:val="22"/>
                <w:szCs w:val="22"/>
              </w:rPr>
            </w:pPr>
            <w:r w:rsidRPr="00026A6E">
              <w:rPr>
                <w:rFonts w:ascii="Arial Narrow" w:eastAsia="Times New Roman" w:hAnsi="Arial Narrow"/>
                <w:b/>
                <w:bCs/>
                <w:color w:val="000000"/>
                <w:sz w:val="22"/>
                <w:szCs w:val="22"/>
              </w:rPr>
              <w:t>5</w:t>
            </w:r>
          </w:p>
        </w:tc>
        <w:tc>
          <w:tcPr>
            <w:tcW w:w="615" w:type="dxa"/>
            <w:tcBorders>
              <w:top w:val="nil"/>
              <w:left w:val="nil"/>
              <w:bottom w:val="single" w:sz="8" w:space="0" w:color="auto"/>
              <w:right w:val="single" w:sz="8" w:space="0" w:color="auto"/>
            </w:tcBorders>
            <w:shd w:val="clear" w:color="auto" w:fill="auto"/>
            <w:vAlign w:val="center"/>
            <w:hideMark/>
          </w:tcPr>
          <w:p w14:paraId="4A5276D1" w14:textId="77777777" w:rsidR="00026A6E" w:rsidRPr="00026A6E" w:rsidRDefault="00026A6E" w:rsidP="00194075">
            <w:pPr>
              <w:jc w:val="center"/>
              <w:rPr>
                <w:rFonts w:ascii="Arial Narrow" w:eastAsia="Times New Roman" w:hAnsi="Arial Narrow"/>
                <w:b/>
                <w:bCs/>
                <w:color w:val="000000"/>
                <w:sz w:val="22"/>
                <w:szCs w:val="22"/>
              </w:rPr>
            </w:pPr>
            <w:r w:rsidRPr="00026A6E">
              <w:rPr>
                <w:rFonts w:ascii="Arial Narrow" w:eastAsia="Times New Roman" w:hAnsi="Arial Narrow"/>
                <w:b/>
                <w:bCs/>
                <w:color w:val="000000"/>
                <w:sz w:val="22"/>
                <w:szCs w:val="22"/>
              </w:rPr>
              <w:t>1</w:t>
            </w:r>
          </w:p>
        </w:tc>
        <w:tc>
          <w:tcPr>
            <w:tcW w:w="512" w:type="dxa"/>
            <w:tcBorders>
              <w:top w:val="nil"/>
              <w:left w:val="nil"/>
              <w:bottom w:val="single" w:sz="8" w:space="0" w:color="auto"/>
              <w:right w:val="nil"/>
            </w:tcBorders>
            <w:shd w:val="clear" w:color="auto" w:fill="auto"/>
            <w:vAlign w:val="center"/>
            <w:hideMark/>
          </w:tcPr>
          <w:p w14:paraId="58A4FDB3" w14:textId="77777777" w:rsidR="00026A6E" w:rsidRPr="00026A6E" w:rsidRDefault="00026A6E" w:rsidP="00026A6E">
            <w:pPr>
              <w:jc w:val="center"/>
              <w:rPr>
                <w:rFonts w:ascii="Arial Narrow" w:eastAsia="Times New Roman" w:hAnsi="Arial Narrow" w:cs="Calibri"/>
                <w:b/>
                <w:bCs/>
                <w:color w:val="000000"/>
                <w:sz w:val="22"/>
                <w:szCs w:val="22"/>
              </w:rPr>
            </w:pPr>
            <w:r w:rsidRPr="00026A6E">
              <w:rPr>
                <w:rFonts w:ascii="Arial Narrow" w:eastAsia="Times New Roman" w:hAnsi="Arial Narrow" w:cs="Calibri"/>
                <w:b/>
                <w:bCs/>
                <w:color w:val="000000"/>
                <w:sz w:val="22"/>
                <w:szCs w:val="22"/>
              </w:rPr>
              <w:t>1</w:t>
            </w:r>
          </w:p>
        </w:tc>
        <w:tc>
          <w:tcPr>
            <w:tcW w:w="3692" w:type="dxa"/>
            <w:tcBorders>
              <w:top w:val="nil"/>
              <w:left w:val="single" w:sz="8" w:space="0" w:color="auto"/>
              <w:bottom w:val="single" w:sz="8" w:space="0" w:color="auto"/>
              <w:right w:val="single" w:sz="8" w:space="0" w:color="auto"/>
            </w:tcBorders>
            <w:shd w:val="clear" w:color="auto" w:fill="auto"/>
            <w:vAlign w:val="center"/>
            <w:hideMark/>
          </w:tcPr>
          <w:p w14:paraId="4CA5AAB2" w14:textId="77777777" w:rsidR="00026A6E" w:rsidRPr="00026A6E" w:rsidRDefault="00026A6E" w:rsidP="00026A6E">
            <w:pPr>
              <w:rPr>
                <w:rFonts w:ascii="Arial Narrow" w:eastAsia="Times New Roman" w:hAnsi="Arial Narrow"/>
                <w:b/>
                <w:bCs/>
                <w:color w:val="000000"/>
                <w:sz w:val="22"/>
                <w:szCs w:val="22"/>
              </w:rPr>
            </w:pPr>
            <w:r w:rsidRPr="00026A6E">
              <w:rPr>
                <w:rFonts w:ascii="Arial Narrow" w:eastAsia="Times New Roman" w:hAnsi="Arial Narrow"/>
                <w:b/>
                <w:bCs/>
                <w:color w:val="000000"/>
                <w:sz w:val="22"/>
                <w:szCs w:val="22"/>
              </w:rPr>
              <w:t xml:space="preserve"> Beneficios comprendidos</w:t>
            </w:r>
          </w:p>
        </w:tc>
        <w:tc>
          <w:tcPr>
            <w:tcW w:w="2034" w:type="dxa"/>
            <w:tcBorders>
              <w:top w:val="nil"/>
              <w:left w:val="nil"/>
              <w:bottom w:val="single" w:sz="8" w:space="0" w:color="auto"/>
              <w:right w:val="single" w:sz="8" w:space="0" w:color="auto"/>
            </w:tcBorders>
            <w:shd w:val="clear" w:color="auto" w:fill="auto"/>
            <w:vAlign w:val="center"/>
            <w:hideMark/>
          </w:tcPr>
          <w:p w14:paraId="3E95839E" w14:textId="77777777" w:rsidR="009E7101" w:rsidRDefault="00026A6E" w:rsidP="00026A6E">
            <w:pPr>
              <w:rPr>
                <w:rFonts w:ascii="Arial Narrow" w:eastAsia="Times New Roman" w:hAnsi="Arial Narrow" w:cs="Calibri"/>
                <w:b/>
                <w:bCs/>
                <w:color w:val="000000"/>
                <w:sz w:val="22"/>
                <w:szCs w:val="22"/>
                <w:lang w:val="es-CR"/>
              </w:rPr>
            </w:pPr>
            <w:r w:rsidRPr="00026A6E">
              <w:rPr>
                <w:rFonts w:ascii="Arial Narrow" w:eastAsia="Times New Roman" w:hAnsi="Arial Narrow" w:cs="Calibri"/>
                <w:b/>
                <w:bCs/>
                <w:color w:val="000000"/>
                <w:sz w:val="22"/>
                <w:szCs w:val="22"/>
                <w:lang w:val="es-CR"/>
              </w:rPr>
              <w:t xml:space="preserve">NICSP N° 39, </w:t>
            </w:r>
          </w:p>
          <w:p w14:paraId="0A92535F" w14:textId="7E23CDA7" w:rsidR="00026A6E" w:rsidRPr="00026A6E" w:rsidRDefault="00026A6E" w:rsidP="00026A6E">
            <w:pPr>
              <w:rPr>
                <w:rFonts w:ascii="Arial Narrow" w:eastAsia="Times New Roman" w:hAnsi="Arial Narrow" w:cs="Calibri"/>
                <w:b/>
                <w:bCs/>
                <w:color w:val="000000"/>
                <w:sz w:val="22"/>
                <w:szCs w:val="22"/>
                <w:lang w:val="es-CR"/>
              </w:rPr>
            </w:pPr>
            <w:r w:rsidRPr="00026A6E">
              <w:rPr>
                <w:rFonts w:ascii="Arial Narrow" w:eastAsia="Times New Roman" w:hAnsi="Arial Narrow" w:cs="Calibri"/>
                <w:b/>
                <w:bCs/>
                <w:color w:val="000000"/>
                <w:sz w:val="22"/>
                <w:szCs w:val="22"/>
                <w:lang w:val="es-CR"/>
              </w:rPr>
              <w:t>Párrafo 5.y Párrafo 9</w:t>
            </w:r>
          </w:p>
        </w:tc>
        <w:tc>
          <w:tcPr>
            <w:tcW w:w="1914" w:type="dxa"/>
            <w:tcBorders>
              <w:top w:val="nil"/>
              <w:left w:val="nil"/>
              <w:bottom w:val="single" w:sz="8" w:space="0" w:color="auto"/>
              <w:right w:val="single" w:sz="8" w:space="0" w:color="auto"/>
            </w:tcBorders>
            <w:shd w:val="clear" w:color="auto" w:fill="auto"/>
            <w:vAlign w:val="center"/>
            <w:hideMark/>
          </w:tcPr>
          <w:p w14:paraId="2A951BC9" w14:textId="77777777" w:rsidR="00026A6E" w:rsidRPr="00026A6E" w:rsidRDefault="00026A6E" w:rsidP="00026A6E">
            <w:pPr>
              <w:jc w:val="center"/>
              <w:rPr>
                <w:rFonts w:ascii="Arial Narrow" w:eastAsia="Times New Roman" w:hAnsi="Arial Narrow" w:cs="Calibri"/>
                <w:b/>
                <w:bCs/>
                <w:color w:val="000000"/>
                <w:sz w:val="22"/>
                <w:szCs w:val="22"/>
              </w:rPr>
            </w:pPr>
            <w:r w:rsidRPr="00026A6E">
              <w:rPr>
                <w:rFonts w:ascii="Arial Narrow" w:eastAsia="Times New Roman" w:hAnsi="Arial Narrow" w:cs="Calibri"/>
                <w:b/>
                <w:bCs/>
                <w:color w:val="000000"/>
                <w:sz w:val="22"/>
                <w:szCs w:val="22"/>
              </w:rPr>
              <w:t>DGCN</w:t>
            </w:r>
          </w:p>
        </w:tc>
      </w:tr>
    </w:tbl>
    <w:p w14:paraId="41AF22C7" w14:textId="77777777" w:rsidR="00026A6E" w:rsidRDefault="00026A6E" w:rsidP="009F48E0">
      <w:pPr>
        <w:pStyle w:val="Default"/>
        <w:jc w:val="both"/>
        <w:rPr>
          <w:b/>
          <w:bCs/>
          <w:sz w:val="23"/>
          <w:szCs w:val="23"/>
        </w:rPr>
      </w:pPr>
    </w:p>
    <w:p w14:paraId="13A341E3" w14:textId="77777777" w:rsidR="00194075" w:rsidRDefault="00194075" w:rsidP="00194075">
      <w:pPr>
        <w:pStyle w:val="Default"/>
        <w:ind w:left="1134" w:hanging="1134"/>
        <w:jc w:val="both"/>
        <w:rPr>
          <w:rFonts w:eastAsia="Arial"/>
          <w:b/>
          <w:sz w:val="22"/>
          <w:szCs w:val="22"/>
        </w:rPr>
      </w:pPr>
      <w:r w:rsidRPr="00F02F9D">
        <w:rPr>
          <w:rFonts w:eastAsia="Arial"/>
          <w:b/>
          <w:sz w:val="22"/>
          <w:szCs w:val="22"/>
        </w:rPr>
        <w:t>Políticas Contables</w:t>
      </w:r>
    </w:p>
    <w:p w14:paraId="6580A769" w14:textId="77777777" w:rsidR="00194075" w:rsidRDefault="00194075" w:rsidP="009F48E0">
      <w:pPr>
        <w:pStyle w:val="Default"/>
        <w:jc w:val="both"/>
        <w:rPr>
          <w:b/>
          <w:bCs/>
          <w:sz w:val="23"/>
          <w:szCs w:val="23"/>
        </w:rPr>
      </w:pPr>
    </w:p>
    <w:p w14:paraId="121FC4CA" w14:textId="34D52F75" w:rsidR="00026A6E" w:rsidRPr="00026A6E" w:rsidRDefault="00026A6E" w:rsidP="00026A6E">
      <w:pPr>
        <w:pStyle w:val="Default"/>
        <w:ind w:left="1134" w:hanging="1134"/>
        <w:jc w:val="both"/>
        <w:rPr>
          <w:sz w:val="22"/>
          <w:szCs w:val="22"/>
          <w:lang w:val="es-CR"/>
        </w:rPr>
      </w:pPr>
      <w:r w:rsidRPr="00026A6E">
        <w:rPr>
          <w:sz w:val="22"/>
          <w:szCs w:val="22"/>
          <w:lang w:val="es-CR"/>
        </w:rPr>
        <w:t>5.1.0.01</w:t>
      </w:r>
      <w:r w:rsidRPr="00026A6E">
        <w:rPr>
          <w:sz w:val="22"/>
          <w:szCs w:val="22"/>
          <w:lang w:val="es-CR"/>
        </w:rPr>
        <w:tab/>
        <w:t xml:space="preserve">La Municipalidad de </w:t>
      </w:r>
      <w:r w:rsidR="008C25B1">
        <w:rPr>
          <w:sz w:val="22"/>
          <w:szCs w:val="22"/>
          <w:lang w:val="es-CR"/>
        </w:rPr>
        <w:t>Buenos Aires</w:t>
      </w:r>
      <w:r w:rsidRPr="00026A6E">
        <w:rPr>
          <w:sz w:val="22"/>
          <w:szCs w:val="22"/>
          <w:lang w:val="es-CR"/>
        </w:rPr>
        <w:t xml:space="preserve"> deberá reconocerse un gasto cuando la entidad consuma los beneficios económicos o el potencial de servicio procedentes de la prestación de servicios por parte de un empleado a </w:t>
      </w:r>
      <w:r w:rsidR="005907B3" w:rsidRPr="00026A6E">
        <w:rPr>
          <w:sz w:val="22"/>
          <w:szCs w:val="22"/>
          <w:lang w:val="es-CR"/>
        </w:rPr>
        <w:t>ca</w:t>
      </w:r>
      <w:r w:rsidR="005907B3">
        <w:rPr>
          <w:sz w:val="22"/>
          <w:szCs w:val="22"/>
          <w:lang w:val="es-CR"/>
        </w:rPr>
        <w:t>mbi</w:t>
      </w:r>
      <w:r w:rsidR="005907B3" w:rsidRPr="00026A6E">
        <w:rPr>
          <w:sz w:val="22"/>
          <w:szCs w:val="22"/>
          <w:lang w:val="es-CR"/>
        </w:rPr>
        <w:t>o</w:t>
      </w:r>
      <w:r w:rsidRPr="00026A6E">
        <w:rPr>
          <w:sz w:val="22"/>
          <w:szCs w:val="22"/>
          <w:lang w:val="es-CR"/>
        </w:rPr>
        <w:t xml:space="preserve"> de los cuales se le crea el derecho de recibir pagos en el futuro.</w:t>
      </w:r>
    </w:p>
    <w:p w14:paraId="64B37683" w14:textId="77777777" w:rsidR="00026A6E" w:rsidRPr="00026A6E" w:rsidRDefault="00026A6E" w:rsidP="00026A6E">
      <w:pPr>
        <w:pStyle w:val="Default"/>
        <w:ind w:left="1134" w:hanging="1134"/>
        <w:jc w:val="both"/>
        <w:rPr>
          <w:b/>
          <w:bCs/>
          <w:sz w:val="22"/>
          <w:szCs w:val="22"/>
          <w:lang w:val="es-CR"/>
        </w:rPr>
      </w:pPr>
    </w:p>
    <w:p w14:paraId="2594646B" w14:textId="4CE1706C" w:rsidR="00026A6E" w:rsidRPr="00026A6E" w:rsidRDefault="00026A6E" w:rsidP="00026A6E">
      <w:pPr>
        <w:pStyle w:val="Default"/>
        <w:ind w:left="1134" w:hanging="1134"/>
        <w:jc w:val="both"/>
        <w:rPr>
          <w:sz w:val="22"/>
          <w:szCs w:val="22"/>
          <w:lang w:val="es-CR"/>
        </w:rPr>
      </w:pPr>
      <w:r w:rsidRPr="00026A6E">
        <w:rPr>
          <w:sz w:val="22"/>
          <w:szCs w:val="22"/>
          <w:lang w:val="es-CR"/>
        </w:rPr>
        <w:t>5.1.1.01</w:t>
      </w:r>
      <w:r w:rsidRPr="00026A6E">
        <w:rPr>
          <w:sz w:val="22"/>
          <w:szCs w:val="22"/>
          <w:lang w:val="es-CR"/>
        </w:rPr>
        <w:tab/>
        <w:t xml:space="preserve">Los beneficios a los empleados comprenden las categorías desarrolladas en el Capítulo “Pasivo”, con el alcance allí definido para cada categoría. </w:t>
      </w:r>
    </w:p>
    <w:p w14:paraId="280BD652" w14:textId="77777777" w:rsidR="00026A6E" w:rsidRDefault="00026A6E" w:rsidP="00026A6E">
      <w:pPr>
        <w:pStyle w:val="Default"/>
        <w:jc w:val="both"/>
        <w:rPr>
          <w:b/>
          <w:bCs/>
          <w:sz w:val="23"/>
          <w:szCs w:val="23"/>
          <w:lang w:val="es-CR"/>
        </w:rPr>
      </w:pPr>
    </w:p>
    <w:p w14:paraId="5B4D956B" w14:textId="77777777" w:rsidR="00194075" w:rsidRDefault="00194075" w:rsidP="00026A6E">
      <w:pPr>
        <w:pStyle w:val="Default"/>
        <w:jc w:val="both"/>
        <w:rPr>
          <w:b/>
          <w:bCs/>
          <w:sz w:val="23"/>
          <w:szCs w:val="23"/>
          <w:lang w:val="es-CR"/>
        </w:rPr>
      </w:pPr>
    </w:p>
    <w:p w14:paraId="05B93B10" w14:textId="77777777" w:rsidR="00026A6E" w:rsidRDefault="00026A6E" w:rsidP="00026A6E">
      <w:pPr>
        <w:pStyle w:val="Default"/>
        <w:jc w:val="both"/>
        <w:rPr>
          <w:b/>
          <w:bCs/>
          <w:sz w:val="23"/>
          <w:szCs w:val="23"/>
          <w:lang w:val="es-CR"/>
        </w:rPr>
      </w:pPr>
    </w:p>
    <w:p w14:paraId="2487959B" w14:textId="411AD108" w:rsidR="00026A6E" w:rsidRPr="009E7101" w:rsidRDefault="003D4F87" w:rsidP="009E7101">
      <w:pPr>
        <w:pStyle w:val="Ttulo2"/>
        <w:ind w:left="284"/>
        <w:rPr>
          <w:rFonts w:ascii="Arial" w:eastAsia="Arial" w:hAnsi="Arial" w:cs="Arial"/>
          <w:b/>
          <w:bCs/>
          <w:sz w:val="20"/>
          <w:szCs w:val="20"/>
          <w:lang w:val="es-CR"/>
        </w:rPr>
      </w:pPr>
      <w:bookmarkStart w:id="144" w:name="_Toc172726279"/>
      <w:r w:rsidRPr="009E7101">
        <w:rPr>
          <w:rFonts w:ascii="Arial" w:eastAsia="Arial" w:hAnsi="Arial" w:cs="Arial"/>
          <w:b/>
          <w:bCs/>
          <w:sz w:val="20"/>
          <w:szCs w:val="20"/>
          <w:lang w:val="es-CR"/>
        </w:rPr>
        <w:t>Gastos por concepto de vacaciones</w:t>
      </w:r>
      <w:bookmarkEnd w:id="144"/>
    </w:p>
    <w:p w14:paraId="427391BC" w14:textId="77777777" w:rsidR="00026A6E" w:rsidRDefault="00026A6E" w:rsidP="009F48E0">
      <w:pPr>
        <w:pStyle w:val="Default"/>
        <w:jc w:val="both"/>
        <w:rPr>
          <w:b/>
          <w:bCs/>
          <w:sz w:val="23"/>
          <w:szCs w:val="23"/>
          <w:lang w:val="es-CR"/>
        </w:rPr>
      </w:pPr>
    </w:p>
    <w:tbl>
      <w:tblPr>
        <w:tblW w:w="9216" w:type="dxa"/>
        <w:tblInd w:w="118" w:type="dxa"/>
        <w:tblLook w:val="04A0" w:firstRow="1" w:lastRow="0" w:firstColumn="1" w:lastColumn="0" w:noHBand="0" w:noVBand="1"/>
      </w:tblPr>
      <w:tblGrid>
        <w:gridCol w:w="532"/>
        <w:gridCol w:w="615"/>
        <w:gridCol w:w="511"/>
        <w:gridCol w:w="3459"/>
        <w:gridCol w:w="2175"/>
        <w:gridCol w:w="1913"/>
        <w:gridCol w:w="11"/>
      </w:tblGrid>
      <w:tr w:rsidR="003D4F87" w:rsidRPr="003D4F87" w14:paraId="16B0F96C" w14:textId="77777777" w:rsidTr="00194075">
        <w:trPr>
          <w:trHeight w:val="320"/>
        </w:trPr>
        <w:tc>
          <w:tcPr>
            <w:tcW w:w="165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A1557F7" w14:textId="77777777" w:rsidR="003D4F87" w:rsidRPr="003D4F87" w:rsidRDefault="003D4F87" w:rsidP="003D4F87">
            <w:pPr>
              <w:jc w:val="center"/>
              <w:rPr>
                <w:rFonts w:ascii="Arial Narrow" w:eastAsia="Times New Roman" w:hAnsi="Arial Narrow" w:cs="Calibri"/>
                <w:b/>
                <w:bCs/>
                <w:color w:val="FFFFFF"/>
                <w:sz w:val="22"/>
                <w:szCs w:val="22"/>
              </w:rPr>
            </w:pPr>
            <w:r w:rsidRPr="003D4F87">
              <w:rPr>
                <w:rFonts w:ascii="Arial Narrow" w:eastAsia="Times New Roman" w:hAnsi="Arial Narrow" w:cs="Calibri"/>
                <w:b/>
                <w:bCs/>
                <w:color w:val="FFFFFF"/>
                <w:sz w:val="22"/>
                <w:szCs w:val="22"/>
              </w:rPr>
              <w:t>Norma / Política</w:t>
            </w:r>
          </w:p>
        </w:tc>
        <w:tc>
          <w:tcPr>
            <w:tcW w:w="345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FDC66CF" w14:textId="77777777" w:rsidR="003D4F87" w:rsidRPr="003D4F87" w:rsidRDefault="003D4F87" w:rsidP="003D4F87">
            <w:pPr>
              <w:jc w:val="center"/>
              <w:rPr>
                <w:rFonts w:ascii="Arial Narrow" w:eastAsia="Times New Roman" w:hAnsi="Arial Narrow" w:cs="Calibri"/>
                <w:b/>
                <w:bCs/>
                <w:color w:val="FFFFFF"/>
                <w:sz w:val="22"/>
                <w:szCs w:val="22"/>
              </w:rPr>
            </w:pPr>
            <w:r w:rsidRPr="003D4F87">
              <w:rPr>
                <w:rFonts w:ascii="Arial Narrow" w:eastAsia="Times New Roman" w:hAnsi="Arial Narrow" w:cs="Calibri"/>
                <w:b/>
                <w:bCs/>
                <w:color w:val="FFFFFF"/>
                <w:sz w:val="22"/>
                <w:szCs w:val="22"/>
              </w:rPr>
              <w:t>Concepto</w:t>
            </w:r>
          </w:p>
        </w:tc>
        <w:tc>
          <w:tcPr>
            <w:tcW w:w="4099" w:type="dxa"/>
            <w:gridSpan w:val="3"/>
            <w:tcBorders>
              <w:top w:val="single" w:sz="8" w:space="0" w:color="auto"/>
              <w:left w:val="nil"/>
              <w:bottom w:val="single" w:sz="8" w:space="0" w:color="auto"/>
              <w:right w:val="single" w:sz="8" w:space="0" w:color="000000"/>
            </w:tcBorders>
            <w:shd w:val="clear" w:color="000000" w:fill="203764"/>
            <w:vAlign w:val="center"/>
            <w:hideMark/>
          </w:tcPr>
          <w:p w14:paraId="2561095D" w14:textId="77777777" w:rsidR="003D4F87" w:rsidRPr="003D4F87" w:rsidRDefault="003D4F87" w:rsidP="003D4F87">
            <w:pPr>
              <w:jc w:val="center"/>
              <w:rPr>
                <w:rFonts w:ascii="Arial Narrow" w:eastAsia="Times New Roman" w:hAnsi="Arial Narrow" w:cs="Calibri"/>
                <w:b/>
                <w:bCs/>
                <w:color w:val="FFFFFF"/>
                <w:sz w:val="22"/>
                <w:szCs w:val="22"/>
              </w:rPr>
            </w:pPr>
            <w:r w:rsidRPr="003D4F87">
              <w:rPr>
                <w:rFonts w:ascii="Arial Narrow" w:eastAsia="Times New Roman" w:hAnsi="Arial Narrow" w:cs="Calibri"/>
                <w:b/>
                <w:bCs/>
                <w:color w:val="FFFFFF"/>
                <w:sz w:val="22"/>
                <w:szCs w:val="22"/>
              </w:rPr>
              <w:t>Referencia</w:t>
            </w:r>
          </w:p>
        </w:tc>
      </w:tr>
      <w:tr w:rsidR="003D4F87" w:rsidRPr="006E5442" w14:paraId="6DB816FA" w14:textId="77777777" w:rsidTr="00194075">
        <w:trPr>
          <w:gridAfter w:val="1"/>
          <w:wAfter w:w="11" w:type="dxa"/>
          <w:trHeight w:val="940"/>
        </w:trPr>
        <w:tc>
          <w:tcPr>
            <w:tcW w:w="1658" w:type="dxa"/>
            <w:gridSpan w:val="3"/>
            <w:vMerge/>
            <w:tcBorders>
              <w:top w:val="single" w:sz="8" w:space="0" w:color="auto"/>
              <w:left w:val="single" w:sz="8" w:space="0" w:color="auto"/>
              <w:bottom w:val="nil"/>
              <w:right w:val="single" w:sz="8" w:space="0" w:color="000000"/>
            </w:tcBorders>
            <w:vAlign w:val="center"/>
            <w:hideMark/>
          </w:tcPr>
          <w:p w14:paraId="1E5D6666" w14:textId="77777777" w:rsidR="003D4F87" w:rsidRPr="003D4F87" w:rsidRDefault="003D4F87" w:rsidP="003D4F87">
            <w:pPr>
              <w:rPr>
                <w:rFonts w:ascii="Arial Narrow" w:eastAsia="Times New Roman" w:hAnsi="Arial Narrow" w:cs="Calibri"/>
                <w:b/>
                <w:bCs/>
                <w:color w:val="FFFFFF"/>
                <w:sz w:val="22"/>
                <w:szCs w:val="22"/>
              </w:rPr>
            </w:pPr>
          </w:p>
        </w:tc>
        <w:tc>
          <w:tcPr>
            <w:tcW w:w="3459" w:type="dxa"/>
            <w:vMerge/>
            <w:tcBorders>
              <w:top w:val="single" w:sz="8" w:space="0" w:color="auto"/>
              <w:left w:val="single" w:sz="8" w:space="0" w:color="auto"/>
              <w:bottom w:val="nil"/>
              <w:right w:val="single" w:sz="8" w:space="0" w:color="auto"/>
            </w:tcBorders>
            <w:vAlign w:val="center"/>
            <w:hideMark/>
          </w:tcPr>
          <w:p w14:paraId="002E1972" w14:textId="77777777" w:rsidR="003D4F87" w:rsidRPr="003D4F87" w:rsidRDefault="003D4F87" w:rsidP="003D4F87">
            <w:pPr>
              <w:rPr>
                <w:rFonts w:ascii="Arial Narrow" w:eastAsia="Times New Roman" w:hAnsi="Arial Narrow" w:cs="Calibri"/>
                <w:b/>
                <w:bCs/>
                <w:color w:val="FFFFFF"/>
                <w:sz w:val="22"/>
                <w:szCs w:val="22"/>
              </w:rPr>
            </w:pPr>
          </w:p>
        </w:tc>
        <w:tc>
          <w:tcPr>
            <w:tcW w:w="2175" w:type="dxa"/>
            <w:tcBorders>
              <w:top w:val="nil"/>
              <w:left w:val="nil"/>
              <w:bottom w:val="nil"/>
              <w:right w:val="single" w:sz="8" w:space="0" w:color="auto"/>
            </w:tcBorders>
            <w:shd w:val="clear" w:color="000000" w:fill="203764"/>
            <w:vAlign w:val="center"/>
            <w:hideMark/>
          </w:tcPr>
          <w:p w14:paraId="0392DB59" w14:textId="77777777" w:rsidR="003D4F87" w:rsidRPr="003D4F87" w:rsidRDefault="003D4F87" w:rsidP="003D4F87">
            <w:pPr>
              <w:jc w:val="center"/>
              <w:rPr>
                <w:rFonts w:ascii="Arial Narrow" w:eastAsia="Times New Roman" w:hAnsi="Arial Narrow" w:cs="Calibri"/>
                <w:b/>
                <w:bCs/>
                <w:color w:val="FFFFFF"/>
                <w:sz w:val="22"/>
                <w:szCs w:val="22"/>
              </w:rPr>
            </w:pPr>
            <w:r w:rsidRPr="003D4F87">
              <w:rPr>
                <w:rFonts w:ascii="Arial Narrow" w:eastAsia="Times New Roman" w:hAnsi="Arial Narrow" w:cs="Calibri"/>
                <w:b/>
                <w:bCs/>
                <w:color w:val="FFFFFF"/>
                <w:sz w:val="22"/>
                <w:szCs w:val="22"/>
              </w:rPr>
              <w:t>Norma</w:t>
            </w:r>
          </w:p>
        </w:tc>
        <w:tc>
          <w:tcPr>
            <w:tcW w:w="1913" w:type="dxa"/>
            <w:tcBorders>
              <w:top w:val="nil"/>
              <w:left w:val="nil"/>
              <w:bottom w:val="nil"/>
              <w:right w:val="single" w:sz="8" w:space="0" w:color="auto"/>
            </w:tcBorders>
            <w:shd w:val="clear" w:color="000000" w:fill="203764"/>
            <w:vAlign w:val="center"/>
            <w:hideMark/>
          </w:tcPr>
          <w:p w14:paraId="33F589E6" w14:textId="77777777" w:rsidR="003D4F87" w:rsidRPr="003D4F87" w:rsidRDefault="003D4F87" w:rsidP="003D4F87">
            <w:pPr>
              <w:jc w:val="center"/>
              <w:rPr>
                <w:rFonts w:ascii="Arial Narrow" w:eastAsia="Times New Roman" w:hAnsi="Arial Narrow" w:cs="Calibri"/>
                <w:b/>
                <w:bCs/>
                <w:color w:val="FFFFFF"/>
                <w:sz w:val="22"/>
                <w:szCs w:val="22"/>
                <w:lang w:val="es-CR"/>
              </w:rPr>
            </w:pPr>
            <w:r w:rsidRPr="003D4F87">
              <w:rPr>
                <w:rFonts w:ascii="Arial Narrow" w:eastAsia="Times New Roman" w:hAnsi="Arial Narrow" w:cs="Calibri"/>
                <w:b/>
                <w:bCs/>
                <w:color w:val="FFFFFF"/>
                <w:sz w:val="22"/>
                <w:szCs w:val="22"/>
                <w:lang w:val="es-CR"/>
              </w:rPr>
              <w:t>Normativa técnica y disposiciones adicionales</w:t>
            </w:r>
          </w:p>
        </w:tc>
      </w:tr>
      <w:tr w:rsidR="003D4F87" w:rsidRPr="006E5442" w14:paraId="765E5E68" w14:textId="77777777" w:rsidTr="00194075">
        <w:trPr>
          <w:gridAfter w:val="1"/>
          <w:wAfter w:w="11" w:type="dxa"/>
          <w:trHeight w:val="1191"/>
        </w:trPr>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566759" w14:textId="77777777" w:rsidR="003D4F87" w:rsidRPr="003D4F87" w:rsidRDefault="003D4F87" w:rsidP="00194075">
            <w:pPr>
              <w:jc w:val="center"/>
              <w:rPr>
                <w:rFonts w:ascii="Arial Narrow" w:eastAsia="Times New Roman" w:hAnsi="Arial Narrow"/>
                <w:b/>
                <w:bCs/>
                <w:color w:val="000000"/>
                <w:sz w:val="22"/>
                <w:szCs w:val="22"/>
              </w:rPr>
            </w:pPr>
            <w:r w:rsidRPr="003D4F87">
              <w:rPr>
                <w:rFonts w:ascii="Arial Narrow" w:eastAsia="Times New Roman" w:hAnsi="Arial Narrow"/>
                <w:b/>
                <w:bCs/>
                <w:color w:val="000000"/>
                <w:sz w:val="22"/>
                <w:szCs w:val="22"/>
              </w:rPr>
              <w:t>5</w:t>
            </w:r>
          </w:p>
        </w:tc>
        <w:tc>
          <w:tcPr>
            <w:tcW w:w="615" w:type="dxa"/>
            <w:tcBorders>
              <w:top w:val="single" w:sz="8" w:space="0" w:color="auto"/>
              <w:left w:val="nil"/>
              <w:bottom w:val="single" w:sz="8" w:space="0" w:color="auto"/>
              <w:right w:val="single" w:sz="8" w:space="0" w:color="auto"/>
            </w:tcBorders>
            <w:shd w:val="clear" w:color="auto" w:fill="auto"/>
            <w:vAlign w:val="center"/>
            <w:hideMark/>
          </w:tcPr>
          <w:p w14:paraId="6FC7A090" w14:textId="77777777" w:rsidR="003D4F87" w:rsidRPr="003D4F87" w:rsidRDefault="003D4F87" w:rsidP="00194075">
            <w:pPr>
              <w:jc w:val="center"/>
              <w:rPr>
                <w:rFonts w:ascii="Arial Narrow" w:eastAsia="Times New Roman" w:hAnsi="Arial Narrow"/>
                <w:b/>
                <w:bCs/>
                <w:color w:val="000000"/>
                <w:sz w:val="22"/>
                <w:szCs w:val="22"/>
              </w:rPr>
            </w:pPr>
            <w:r w:rsidRPr="003D4F87">
              <w:rPr>
                <w:rFonts w:ascii="Arial Narrow" w:eastAsia="Times New Roman" w:hAnsi="Arial Narrow"/>
                <w:b/>
                <w:bCs/>
                <w:color w:val="000000"/>
                <w:sz w:val="22"/>
                <w:szCs w:val="22"/>
              </w:rPr>
              <w:t>3</w:t>
            </w:r>
          </w:p>
        </w:tc>
        <w:tc>
          <w:tcPr>
            <w:tcW w:w="511" w:type="dxa"/>
            <w:tcBorders>
              <w:top w:val="single" w:sz="8" w:space="0" w:color="auto"/>
              <w:left w:val="nil"/>
              <w:bottom w:val="single" w:sz="8" w:space="0" w:color="auto"/>
              <w:right w:val="single" w:sz="8" w:space="0" w:color="auto"/>
            </w:tcBorders>
            <w:shd w:val="clear" w:color="auto" w:fill="auto"/>
            <w:vAlign w:val="center"/>
            <w:hideMark/>
          </w:tcPr>
          <w:p w14:paraId="5867AF58" w14:textId="3ACAD26B" w:rsidR="003D4F87" w:rsidRPr="003D4F87" w:rsidRDefault="003D4F87" w:rsidP="00194075">
            <w:pPr>
              <w:jc w:val="center"/>
              <w:rPr>
                <w:rFonts w:ascii="Arial Narrow" w:eastAsia="Times New Roman" w:hAnsi="Arial Narrow" w:cs="Calibri"/>
                <w:b/>
                <w:bCs/>
                <w:color w:val="000000"/>
                <w:sz w:val="22"/>
                <w:szCs w:val="22"/>
              </w:rPr>
            </w:pPr>
          </w:p>
        </w:tc>
        <w:tc>
          <w:tcPr>
            <w:tcW w:w="3459" w:type="dxa"/>
            <w:tcBorders>
              <w:top w:val="single" w:sz="8" w:space="0" w:color="auto"/>
              <w:left w:val="nil"/>
              <w:bottom w:val="single" w:sz="8" w:space="0" w:color="auto"/>
              <w:right w:val="single" w:sz="8" w:space="0" w:color="auto"/>
            </w:tcBorders>
            <w:shd w:val="clear" w:color="auto" w:fill="auto"/>
            <w:vAlign w:val="center"/>
            <w:hideMark/>
          </w:tcPr>
          <w:p w14:paraId="1CBEA6B3" w14:textId="77777777" w:rsidR="003D4F87" w:rsidRPr="003D4F87" w:rsidRDefault="003D4F87" w:rsidP="003D4F87">
            <w:pPr>
              <w:rPr>
                <w:rFonts w:ascii="Arial Narrow" w:eastAsia="Times New Roman" w:hAnsi="Arial Narrow"/>
                <w:b/>
                <w:bCs/>
                <w:color w:val="000000"/>
                <w:sz w:val="22"/>
                <w:szCs w:val="22"/>
                <w:lang w:val="es-CR"/>
              </w:rPr>
            </w:pPr>
            <w:r w:rsidRPr="003D4F87">
              <w:rPr>
                <w:rFonts w:ascii="Arial Narrow" w:eastAsia="Times New Roman" w:hAnsi="Arial Narrow"/>
                <w:b/>
                <w:bCs/>
                <w:color w:val="000000"/>
                <w:sz w:val="22"/>
                <w:szCs w:val="22"/>
                <w:lang w:val="es-CR"/>
              </w:rPr>
              <w:t>Gastos por concepto de vacaciones</w:t>
            </w:r>
          </w:p>
        </w:tc>
        <w:tc>
          <w:tcPr>
            <w:tcW w:w="2175" w:type="dxa"/>
            <w:tcBorders>
              <w:top w:val="single" w:sz="8" w:space="0" w:color="auto"/>
              <w:left w:val="nil"/>
              <w:bottom w:val="single" w:sz="8" w:space="0" w:color="auto"/>
              <w:right w:val="single" w:sz="8" w:space="0" w:color="auto"/>
            </w:tcBorders>
            <w:shd w:val="clear" w:color="auto" w:fill="auto"/>
            <w:vAlign w:val="center"/>
            <w:hideMark/>
          </w:tcPr>
          <w:p w14:paraId="590DF1CD" w14:textId="77777777" w:rsidR="003D4F87" w:rsidRPr="003D4F87" w:rsidRDefault="003D4F87" w:rsidP="003D4F87">
            <w:pPr>
              <w:rPr>
                <w:rFonts w:ascii="Arial Narrow" w:eastAsia="Times New Roman" w:hAnsi="Arial Narrow" w:cs="Calibri"/>
                <w:b/>
                <w:bCs/>
                <w:color w:val="000000"/>
                <w:sz w:val="22"/>
                <w:szCs w:val="22"/>
                <w:lang w:val="es-CR"/>
              </w:rPr>
            </w:pPr>
            <w:r w:rsidRPr="003D4F87">
              <w:rPr>
                <w:rFonts w:ascii="Arial Narrow" w:eastAsia="Times New Roman" w:hAnsi="Arial Narrow" w:cs="Calibri"/>
                <w:b/>
                <w:bCs/>
                <w:color w:val="000000"/>
                <w:sz w:val="22"/>
                <w:szCs w:val="22"/>
                <w:lang w:val="es-CR"/>
              </w:rPr>
              <w:t xml:space="preserve">NICSP N° 39, </w:t>
            </w:r>
            <w:r w:rsidRPr="003D4F87">
              <w:rPr>
                <w:rFonts w:ascii="Arial Narrow" w:eastAsia="Times New Roman" w:hAnsi="Arial Narrow" w:cs="Calibri"/>
                <w:b/>
                <w:bCs/>
                <w:color w:val="000000"/>
                <w:sz w:val="22"/>
                <w:szCs w:val="22"/>
                <w:lang w:val="es-CR"/>
              </w:rPr>
              <w:br/>
              <w:t>Párrafos 168 (a) y 170.</w:t>
            </w:r>
          </w:p>
        </w:tc>
        <w:tc>
          <w:tcPr>
            <w:tcW w:w="1913" w:type="dxa"/>
            <w:tcBorders>
              <w:top w:val="single" w:sz="8" w:space="0" w:color="auto"/>
              <w:left w:val="nil"/>
              <w:bottom w:val="single" w:sz="8" w:space="0" w:color="auto"/>
              <w:right w:val="single" w:sz="8" w:space="0" w:color="auto"/>
            </w:tcBorders>
            <w:shd w:val="clear" w:color="auto" w:fill="auto"/>
            <w:hideMark/>
          </w:tcPr>
          <w:p w14:paraId="070217F9" w14:textId="77777777" w:rsidR="003D4F87" w:rsidRPr="003D4F87" w:rsidRDefault="003D4F87" w:rsidP="003D4F87">
            <w:pPr>
              <w:rPr>
                <w:rFonts w:ascii="Arial Narrow" w:eastAsia="Times New Roman" w:hAnsi="Arial Narrow" w:cs="Calibri"/>
                <w:b/>
                <w:bCs/>
                <w:color w:val="000000"/>
                <w:sz w:val="22"/>
                <w:szCs w:val="22"/>
                <w:lang w:val="es-CR"/>
              </w:rPr>
            </w:pPr>
            <w:r w:rsidRPr="003D4F87">
              <w:rPr>
                <w:rFonts w:ascii="Arial Narrow" w:eastAsia="Times New Roman" w:hAnsi="Arial Narrow" w:cs="Calibri"/>
                <w:b/>
                <w:bCs/>
                <w:color w:val="000000"/>
                <w:sz w:val="22"/>
                <w:szCs w:val="22"/>
                <w:lang w:val="es-CR"/>
              </w:rPr>
              <w:t xml:space="preserve">NICSP 19, </w:t>
            </w:r>
            <w:r w:rsidRPr="003D4F87">
              <w:rPr>
                <w:rFonts w:ascii="Arial Narrow" w:eastAsia="Times New Roman" w:hAnsi="Arial Narrow" w:cs="Calibri"/>
                <w:b/>
                <w:bCs/>
                <w:color w:val="000000"/>
                <w:sz w:val="22"/>
                <w:szCs w:val="22"/>
                <w:lang w:val="es-CR"/>
              </w:rPr>
              <w:br/>
              <w:t>párrafos 81 al 87 y 93</w:t>
            </w:r>
            <w:r w:rsidRPr="003D4F87">
              <w:rPr>
                <w:rFonts w:ascii="Arial Narrow" w:eastAsia="Times New Roman" w:hAnsi="Arial Narrow" w:cs="Calibri"/>
                <w:b/>
                <w:bCs/>
                <w:color w:val="000000"/>
                <w:sz w:val="22"/>
                <w:szCs w:val="22"/>
                <w:lang w:val="es-CR"/>
              </w:rPr>
              <w:br/>
              <w:t>Nota Técnica</w:t>
            </w:r>
            <w:r w:rsidRPr="003D4F87">
              <w:rPr>
                <w:rFonts w:ascii="Arial Narrow" w:eastAsia="Times New Roman" w:hAnsi="Arial Narrow" w:cs="Calibri"/>
                <w:b/>
                <w:bCs/>
                <w:color w:val="000000"/>
                <w:sz w:val="22"/>
                <w:szCs w:val="22"/>
                <w:lang w:val="es-CR"/>
              </w:rPr>
              <w:br/>
              <w:t>Código de Trabajo art 156</w:t>
            </w:r>
          </w:p>
        </w:tc>
      </w:tr>
      <w:tr w:rsidR="003D4F87" w:rsidRPr="003D4F87" w14:paraId="2F0AE0F0" w14:textId="77777777" w:rsidTr="00194075">
        <w:trPr>
          <w:gridAfter w:val="1"/>
          <w:wAfter w:w="11" w:type="dxa"/>
          <w:trHeight w:val="630"/>
        </w:trPr>
        <w:tc>
          <w:tcPr>
            <w:tcW w:w="532" w:type="dxa"/>
            <w:tcBorders>
              <w:top w:val="nil"/>
              <w:left w:val="single" w:sz="8" w:space="0" w:color="auto"/>
              <w:bottom w:val="single" w:sz="8" w:space="0" w:color="auto"/>
              <w:right w:val="single" w:sz="8" w:space="0" w:color="auto"/>
            </w:tcBorders>
            <w:shd w:val="clear" w:color="auto" w:fill="auto"/>
            <w:vAlign w:val="center"/>
            <w:hideMark/>
          </w:tcPr>
          <w:p w14:paraId="1D58A967" w14:textId="77777777" w:rsidR="003D4F87" w:rsidRPr="003D4F87" w:rsidRDefault="003D4F87" w:rsidP="00194075">
            <w:pPr>
              <w:jc w:val="center"/>
              <w:rPr>
                <w:rFonts w:ascii="Arial Narrow" w:eastAsia="Times New Roman" w:hAnsi="Arial Narrow"/>
                <w:b/>
                <w:bCs/>
                <w:color w:val="000000"/>
                <w:sz w:val="22"/>
                <w:szCs w:val="22"/>
              </w:rPr>
            </w:pPr>
            <w:r w:rsidRPr="003D4F87">
              <w:rPr>
                <w:rFonts w:ascii="Arial Narrow" w:eastAsia="Times New Roman" w:hAnsi="Arial Narrow"/>
                <w:b/>
                <w:bCs/>
                <w:color w:val="000000"/>
                <w:sz w:val="22"/>
                <w:szCs w:val="22"/>
              </w:rPr>
              <w:t>5</w:t>
            </w:r>
          </w:p>
        </w:tc>
        <w:tc>
          <w:tcPr>
            <w:tcW w:w="615" w:type="dxa"/>
            <w:tcBorders>
              <w:top w:val="nil"/>
              <w:left w:val="nil"/>
              <w:bottom w:val="single" w:sz="8" w:space="0" w:color="auto"/>
              <w:right w:val="single" w:sz="8" w:space="0" w:color="auto"/>
            </w:tcBorders>
            <w:shd w:val="clear" w:color="auto" w:fill="auto"/>
            <w:vAlign w:val="center"/>
            <w:hideMark/>
          </w:tcPr>
          <w:p w14:paraId="6D67A45D" w14:textId="77777777" w:rsidR="003D4F87" w:rsidRPr="003D4F87" w:rsidRDefault="003D4F87" w:rsidP="00194075">
            <w:pPr>
              <w:jc w:val="center"/>
              <w:rPr>
                <w:rFonts w:ascii="Arial Narrow" w:eastAsia="Times New Roman" w:hAnsi="Arial Narrow"/>
                <w:b/>
                <w:bCs/>
                <w:color w:val="000000"/>
                <w:sz w:val="22"/>
                <w:szCs w:val="22"/>
              </w:rPr>
            </w:pPr>
            <w:r w:rsidRPr="003D4F87">
              <w:rPr>
                <w:rFonts w:ascii="Arial Narrow" w:eastAsia="Times New Roman" w:hAnsi="Arial Narrow"/>
                <w:b/>
                <w:bCs/>
                <w:color w:val="000000"/>
                <w:sz w:val="22"/>
                <w:szCs w:val="22"/>
              </w:rPr>
              <w:t>3</w:t>
            </w:r>
          </w:p>
        </w:tc>
        <w:tc>
          <w:tcPr>
            <w:tcW w:w="511" w:type="dxa"/>
            <w:tcBorders>
              <w:top w:val="nil"/>
              <w:left w:val="nil"/>
              <w:bottom w:val="single" w:sz="8" w:space="0" w:color="auto"/>
              <w:right w:val="nil"/>
            </w:tcBorders>
            <w:shd w:val="clear" w:color="auto" w:fill="auto"/>
            <w:vAlign w:val="center"/>
            <w:hideMark/>
          </w:tcPr>
          <w:p w14:paraId="3C197CB8" w14:textId="77777777" w:rsidR="003D4F87" w:rsidRPr="003D4F87" w:rsidRDefault="003D4F87" w:rsidP="00194075">
            <w:pPr>
              <w:jc w:val="center"/>
              <w:rPr>
                <w:rFonts w:ascii="Arial Narrow" w:eastAsia="Times New Roman" w:hAnsi="Arial Narrow" w:cs="Calibri"/>
                <w:b/>
                <w:bCs/>
                <w:color w:val="000000"/>
                <w:sz w:val="22"/>
                <w:szCs w:val="22"/>
              </w:rPr>
            </w:pPr>
            <w:r w:rsidRPr="003D4F87">
              <w:rPr>
                <w:rFonts w:ascii="Arial Narrow" w:eastAsia="Times New Roman" w:hAnsi="Arial Narrow" w:cs="Calibri"/>
                <w:b/>
                <w:bCs/>
                <w:color w:val="000000"/>
                <w:sz w:val="22"/>
                <w:szCs w:val="22"/>
              </w:rPr>
              <w:t>1</w:t>
            </w:r>
          </w:p>
        </w:tc>
        <w:tc>
          <w:tcPr>
            <w:tcW w:w="3459" w:type="dxa"/>
            <w:tcBorders>
              <w:top w:val="nil"/>
              <w:left w:val="single" w:sz="8" w:space="0" w:color="auto"/>
              <w:bottom w:val="single" w:sz="8" w:space="0" w:color="auto"/>
              <w:right w:val="single" w:sz="8" w:space="0" w:color="auto"/>
            </w:tcBorders>
            <w:shd w:val="clear" w:color="auto" w:fill="auto"/>
            <w:vAlign w:val="center"/>
            <w:hideMark/>
          </w:tcPr>
          <w:p w14:paraId="38D27F47" w14:textId="77777777" w:rsidR="003D4F87" w:rsidRPr="003D4F87" w:rsidRDefault="003D4F87" w:rsidP="003D4F87">
            <w:pPr>
              <w:rPr>
                <w:rFonts w:ascii="Arial Narrow" w:eastAsia="Times New Roman" w:hAnsi="Arial Narrow"/>
                <w:b/>
                <w:bCs/>
                <w:color w:val="000000"/>
                <w:sz w:val="22"/>
                <w:szCs w:val="22"/>
              </w:rPr>
            </w:pPr>
            <w:r w:rsidRPr="003D4F87">
              <w:rPr>
                <w:rFonts w:ascii="Arial Narrow" w:eastAsia="Times New Roman" w:hAnsi="Arial Narrow"/>
                <w:b/>
                <w:bCs/>
                <w:color w:val="000000"/>
                <w:sz w:val="22"/>
                <w:szCs w:val="22"/>
              </w:rPr>
              <w:t>Reconocimiento</w:t>
            </w:r>
          </w:p>
        </w:tc>
        <w:tc>
          <w:tcPr>
            <w:tcW w:w="2175" w:type="dxa"/>
            <w:tcBorders>
              <w:top w:val="nil"/>
              <w:left w:val="nil"/>
              <w:bottom w:val="single" w:sz="8" w:space="0" w:color="auto"/>
              <w:right w:val="single" w:sz="8" w:space="0" w:color="auto"/>
            </w:tcBorders>
            <w:shd w:val="clear" w:color="auto" w:fill="auto"/>
            <w:vAlign w:val="center"/>
            <w:hideMark/>
          </w:tcPr>
          <w:p w14:paraId="7E6997DD" w14:textId="77777777" w:rsidR="003D4F87" w:rsidRPr="003D4F87" w:rsidRDefault="003D4F87" w:rsidP="003D4F87">
            <w:pPr>
              <w:rPr>
                <w:rFonts w:ascii="Arial Narrow" w:eastAsia="Times New Roman" w:hAnsi="Arial Narrow" w:cs="Calibri"/>
                <w:b/>
                <w:bCs/>
                <w:color w:val="000000"/>
                <w:sz w:val="22"/>
                <w:szCs w:val="22"/>
              </w:rPr>
            </w:pPr>
            <w:r w:rsidRPr="003D4F87">
              <w:rPr>
                <w:rFonts w:ascii="Arial Narrow" w:eastAsia="Times New Roman" w:hAnsi="Arial Narrow" w:cs="Calibri"/>
                <w:b/>
                <w:bCs/>
                <w:color w:val="000000"/>
                <w:sz w:val="22"/>
                <w:szCs w:val="22"/>
              </w:rPr>
              <w:t xml:space="preserve">NICSP N° 39, </w:t>
            </w:r>
            <w:r w:rsidRPr="003D4F87">
              <w:rPr>
                <w:rFonts w:ascii="Arial Narrow" w:eastAsia="Times New Roman" w:hAnsi="Arial Narrow" w:cs="Calibri"/>
                <w:b/>
                <w:bCs/>
                <w:color w:val="000000"/>
                <w:sz w:val="22"/>
                <w:szCs w:val="22"/>
              </w:rPr>
              <w:br/>
              <w:t>Párrafo 11.</w:t>
            </w:r>
          </w:p>
        </w:tc>
        <w:tc>
          <w:tcPr>
            <w:tcW w:w="1913" w:type="dxa"/>
            <w:tcBorders>
              <w:top w:val="nil"/>
              <w:left w:val="nil"/>
              <w:bottom w:val="single" w:sz="8" w:space="0" w:color="auto"/>
              <w:right w:val="single" w:sz="8" w:space="0" w:color="auto"/>
            </w:tcBorders>
            <w:shd w:val="clear" w:color="auto" w:fill="auto"/>
            <w:vAlign w:val="center"/>
            <w:hideMark/>
          </w:tcPr>
          <w:p w14:paraId="33F3E7A8" w14:textId="77777777" w:rsidR="003D4F87" w:rsidRPr="003D4F87" w:rsidRDefault="003D4F87" w:rsidP="003D4F87">
            <w:pPr>
              <w:jc w:val="center"/>
              <w:rPr>
                <w:rFonts w:ascii="Arial Narrow" w:eastAsia="Times New Roman" w:hAnsi="Arial Narrow" w:cs="Calibri"/>
                <w:b/>
                <w:bCs/>
                <w:color w:val="000000"/>
                <w:sz w:val="22"/>
                <w:szCs w:val="22"/>
              </w:rPr>
            </w:pPr>
            <w:r w:rsidRPr="003D4F87">
              <w:rPr>
                <w:rFonts w:ascii="Arial Narrow" w:eastAsia="Times New Roman" w:hAnsi="Arial Narrow" w:cs="Calibri"/>
                <w:b/>
                <w:bCs/>
                <w:color w:val="000000"/>
                <w:sz w:val="22"/>
                <w:szCs w:val="22"/>
              </w:rPr>
              <w:t>DGCN</w:t>
            </w:r>
          </w:p>
        </w:tc>
      </w:tr>
    </w:tbl>
    <w:p w14:paraId="38743B7D" w14:textId="77777777" w:rsidR="003D4F87" w:rsidRDefault="003D4F87" w:rsidP="009F48E0">
      <w:pPr>
        <w:pStyle w:val="Default"/>
        <w:jc w:val="both"/>
        <w:rPr>
          <w:b/>
          <w:bCs/>
          <w:sz w:val="23"/>
          <w:szCs w:val="23"/>
          <w:lang w:val="es-CR"/>
        </w:rPr>
      </w:pPr>
    </w:p>
    <w:p w14:paraId="7AA200FA" w14:textId="77777777" w:rsidR="00194075" w:rsidRDefault="00194075" w:rsidP="00194075">
      <w:pPr>
        <w:pStyle w:val="Default"/>
        <w:ind w:left="1134" w:hanging="1134"/>
        <w:jc w:val="both"/>
        <w:rPr>
          <w:rFonts w:eastAsia="Arial"/>
          <w:b/>
          <w:sz w:val="22"/>
          <w:szCs w:val="22"/>
        </w:rPr>
      </w:pPr>
    </w:p>
    <w:p w14:paraId="5B30EA84" w14:textId="77777777" w:rsidR="00194075" w:rsidRDefault="00194075" w:rsidP="00194075">
      <w:pPr>
        <w:pStyle w:val="Default"/>
        <w:ind w:left="1134" w:hanging="1134"/>
        <w:jc w:val="both"/>
        <w:rPr>
          <w:rFonts w:eastAsia="Arial"/>
          <w:b/>
          <w:sz w:val="22"/>
          <w:szCs w:val="22"/>
        </w:rPr>
      </w:pPr>
    </w:p>
    <w:p w14:paraId="1DCCE99D" w14:textId="77777777" w:rsidR="00194075" w:rsidRDefault="00194075" w:rsidP="00194075">
      <w:pPr>
        <w:pStyle w:val="Default"/>
        <w:ind w:left="1134" w:hanging="1134"/>
        <w:jc w:val="both"/>
        <w:rPr>
          <w:rFonts w:eastAsia="Arial"/>
          <w:b/>
          <w:sz w:val="22"/>
          <w:szCs w:val="22"/>
        </w:rPr>
      </w:pPr>
    </w:p>
    <w:p w14:paraId="68FF4BD4" w14:textId="7EA1BC97" w:rsidR="00194075" w:rsidRDefault="00194075" w:rsidP="00194075">
      <w:pPr>
        <w:pStyle w:val="Default"/>
        <w:ind w:left="1134" w:hanging="1134"/>
        <w:jc w:val="both"/>
        <w:rPr>
          <w:rFonts w:eastAsia="Arial"/>
          <w:b/>
          <w:sz w:val="22"/>
          <w:szCs w:val="22"/>
        </w:rPr>
      </w:pPr>
      <w:r w:rsidRPr="00F02F9D">
        <w:rPr>
          <w:rFonts w:eastAsia="Arial"/>
          <w:b/>
          <w:sz w:val="22"/>
          <w:szCs w:val="22"/>
        </w:rPr>
        <w:lastRenderedPageBreak/>
        <w:t>Políticas Contables</w:t>
      </w:r>
    </w:p>
    <w:p w14:paraId="07E7F71A" w14:textId="77777777" w:rsidR="00194075" w:rsidRDefault="00194075" w:rsidP="009F48E0">
      <w:pPr>
        <w:pStyle w:val="Default"/>
        <w:jc w:val="both"/>
        <w:rPr>
          <w:b/>
          <w:bCs/>
          <w:sz w:val="23"/>
          <w:szCs w:val="23"/>
          <w:lang w:val="es-CR"/>
        </w:rPr>
      </w:pPr>
    </w:p>
    <w:p w14:paraId="653C41E1" w14:textId="37847230" w:rsidR="003D4F87" w:rsidRDefault="001B79C5" w:rsidP="001B79C5">
      <w:pPr>
        <w:pStyle w:val="Default"/>
        <w:ind w:left="1134" w:hanging="1134"/>
        <w:jc w:val="both"/>
        <w:rPr>
          <w:sz w:val="22"/>
          <w:szCs w:val="22"/>
          <w:lang w:val="es-CR"/>
        </w:rPr>
      </w:pPr>
      <w:r>
        <w:rPr>
          <w:sz w:val="23"/>
          <w:szCs w:val="23"/>
          <w:lang w:val="es-CR"/>
        </w:rPr>
        <w:t>5.3.0.01</w:t>
      </w:r>
      <w:r>
        <w:rPr>
          <w:sz w:val="23"/>
          <w:szCs w:val="23"/>
          <w:lang w:val="es-CR"/>
        </w:rPr>
        <w:tab/>
      </w:r>
      <w:r w:rsidR="003D4F87" w:rsidRPr="001B79C5">
        <w:rPr>
          <w:sz w:val="22"/>
          <w:szCs w:val="22"/>
          <w:lang w:val="es-CR"/>
        </w:rPr>
        <w:t xml:space="preserve">Los beneficios al personal por ausencias retribuidas </w:t>
      </w:r>
      <w:r w:rsidR="00531B7E">
        <w:rPr>
          <w:sz w:val="22"/>
          <w:szCs w:val="22"/>
          <w:lang w:val="es-CR"/>
        </w:rPr>
        <w:t xml:space="preserve">por concepto de vacaciones </w:t>
      </w:r>
      <w:r w:rsidR="003D4F87" w:rsidRPr="001B79C5">
        <w:rPr>
          <w:sz w:val="22"/>
          <w:szCs w:val="22"/>
          <w:lang w:val="es-CR"/>
        </w:rPr>
        <w:t>se reconocerán de acuerdo al carácter acumulativo o no que tengan las mismas.</w:t>
      </w:r>
      <w:r w:rsidRPr="001B79C5">
        <w:rPr>
          <w:sz w:val="22"/>
          <w:szCs w:val="22"/>
          <w:lang w:val="es-CR"/>
        </w:rPr>
        <w:t xml:space="preserve"> </w:t>
      </w:r>
      <w:r w:rsidR="003D4F87" w:rsidRPr="001B79C5">
        <w:rPr>
          <w:b/>
          <w:bCs/>
          <w:sz w:val="22"/>
          <w:szCs w:val="22"/>
          <w:lang w:val="es-CR"/>
        </w:rPr>
        <w:t>Ausencias acumulativas</w:t>
      </w:r>
      <w:r w:rsidR="003D4F87" w:rsidRPr="001B79C5">
        <w:rPr>
          <w:sz w:val="22"/>
          <w:szCs w:val="22"/>
          <w:lang w:val="es-CR"/>
        </w:rPr>
        <w:t>: Las ausencias retribuidas acumulativas son aquéllas cuyo disfrute se aplaza, de forma que pueden ser utilizadas en periodos futuros si en el periodo corriente no se ha hecho uso del derecho correspondiente.</w:t>
      </w:r>
    </w:p>
    <w:p w14:paraId="4F005433" w14:textId="77777777" w:rsidR="001B79C5" w:rsidRPr="001B79C5" w:rsidRDefault="001B79C5" w:rsidP="001B79C5">
      <w:pPr>
        <w:pStyle w:val="Default"/>
        <w:ind w:left="1134" w:hanging="1134"/>
        <w:jc w:val="both"/>
        <w:rPr>
          <w:sz w:val="22"/>
          <w:szCs w:val="22"/>
          <w:lang w:val="es-CR"/>
        </w:rPr>
      </w:pPr>
    </w:p>
    <w:p w14:paraId="53B85444" w14:textId="4DB5B54B" w:rsidR="003D4F87" w:rsidRDefault="001B79C5" w:rsidP="001B79C5">
      <w:pPr>
        <w:pStyle w:val="Default"/>
        <w:ind w:left="1134" w:hanging="1134"/>
        <w:jc w:val="both"/>
        <w:rPr>
          <w:sz w:val="22"/>
          <w:szCs w:val="22"/>
          <w:lang w:val="es-CR"/>
        </w:rPr>
      </w:pPr>
      <w:r w:rsidRPr="001B79C5">
        <w:rPr>
          <w:sz w:val="22"/>
          <w:szCs w:val="22"/>
          <w:lang w:val="es-CR"/>
        </w:rPr>
        <w:t>5.3.0.02</w:t>
      </w:r>
      <w:r w:rsidRPr="001B79C5">
        <w:rPr>
          <w:sz w:val="22"/>
          <w:szCs w:val="22"/>
          <w:lang w:val="es-CR"/>
        </w:rPr>
        <w:tab/>
      </w:r>
      <w:r w:rsidR="003D4F87" w:rsidRPr="001B79C5">
        <w:rPr>
          <w:sz w:val="22"/>
          <w:szCs w:val="22"/>
          <w:lang w:val="es-CR"/>
        </w:rPr>
        <w:t xml:space="preserve">Se deberá reconocer como un gasto, después de deducir cualquier importe ya satisfecho. Si el importe pagado es superior al importe sin descontar de los beneficios, una entidad reconocerá la diferencia como un activo (pago anticipado de un gasto) en la medida que el pago por adelantado vaya a dar lugar, por ejemplo, a una reducción en los pagos a efectuar en el futuro o a un </w:t>
      </w:r>
      <w:r w:rsidR="005907B3" w:rsidRPr="001B79C5">
        <w:rPr>
          <w:sz w:val="22"/>
          <w:szCs w:val="22"/>
          <w:lang w:val="es-CR"/>
        </w:rPr>
        <w:t>ree</w:t>
      </w:r>
      <w:r w:rsidR="005907B3">
        <w:rPr>
          <w:sz w:val="22"/>
          <w:szCs w:val="22"/>
          <w:lang w:val="es-CR"/>
        </w:rPr>
        <w:t>mbo</w:t>
      </w:r>
      <w:r w:rsidR="005907B3" w:rsidRPr="001B79C5">
        <w:rPr>
          <w:sz w:val="22"/>
          <w:szCs w:val="22"/>
          <w:lang w:val="es-CR"/>
        </w:rPr>
        <w:t>lso</w:t>
      </w:r>
      <w:r w:rsidR="003D4F87" w:rsidRPr="001B79C5">
        <w:rPr>
          <w:sz w:val="22"/>
          <w:szCs w:val="22"/>
          <w:lang w:val="es-CR"/>
        </w:rPr>
        <w:t xml:space="preserve"> en efectivo.</w:t>
      </w:r>
    </w:p>
    <w:p w14:paraId="7FE58420" w14:textId="77777777" w:rsidR="001B79C5" w:rsidRPr="001B79C5" w:rsidRDefault="001B79C5" w:rsidP="001B79C5">
      <w:pPr>
        <w:pStyle w:val="Default"/>
        <w:ind w:left="1134" w:hanging="1134"/>
        <w:jc w:val="both"/>
        <w:rPr>
          <w:sz w:val="22"/>
          <w:szCs w:val="22"/>
          <w:lang w:val="es-CR"/>
        </w:rPr>
      </w:pPr>
    </w:p>
    <w:p w14:paraId="61859463" w14:textId="230AB796" w:rsidR="003D4F87" w:rsidRPr="001B79C5" w:rsidRDefault="001B79C5" w:rsidP="001B79C5">
      <w:pPr>
        <w:pStyle w:val="Default"/>
        <w:spacing w:after="120"/>
        <w:ind w:left="1134" w:hanging="1134"/>
        <w:jc w:val="both"/>
        <w:rPr>
          <w:sz w:val="22"/>
          <w:szCs w:val="22"/>
          <w:lang w:val="es-CR"/>
        </w:rPr>
      </w:pPr>
      <w:r w:rsidRPr="001B79C5">
        <w:rPr>
          <w:sz w:val="22"/>
          <w:szCs w:val="22"/>
          <w:lang w:val="es-CR"/>
        </w:rPr>
        <w:t>5.3.0.03</w:t>
      </w:r>
      <w:r w:rsidRPr="001B79C5">
        <w:rPr>
          <w:sz w:val="22"/>
          <w:szCs w:val="22"/>
          <w:lang w:val="es-CR"/>
        </w:rPr>
        <w:tab/>
      </w:r>
      <w:r w:rsidR="003D4F87" w:rsidRPr="001B79C5">
        <w:rPr>
          <w:sz w:val="22"/>
          <w:szCs w:val="22"/>
          <w:lang w:val="es-CR"/>
        </w:rPr>
        <w:t>Una entidad medirá el costo esperado de las ausencias retribuidas acumulativas como los importes adicionales que espera pagar como consecuencia de los derechos no utilizados que tiene acumulados al final del periodo sobre el que se informa.</w:t>
      </w:r>
    </w:p>
    <w:p w14:paraId="5C9A7214" w14:textId="38290DB5" w:rsidR="003D4F87" w:rsidRPr="001B79C5" w:rsidRDefault="003D4F87" w:rsidP="001B79C5">
      <w:pPr>
        <w:pStyle w:val="Default"/>
        <w:ind w:left="1134"/>
        <w:jc w:val="both"/>
        <w:rPr>
          <w:sz w:val="22"/>
          <w:szCs w:val="22"/>
          <w:lang w:val="es-CR"/>
        </w:rPr>
      </w:pPr>
      <w:r w:rsidRPr="001B79C5">
        <w:rPr>
          <w:sz w:val="22"/>
          <w:szCs w:val="22"/>
          <w:lang w:val="es-CR"/>
        </w:rPr>
        <w:t>El método especificado en el párrafo anterior mide la obligación por el importe de los pagos adicionales que se espera que surjan solo por el hecho de que el derecho de que el beneficio se acumula.</w:t>
      </w:r>
    </w:p>
    <w:p w14:paraId="01B55FEC" w14:textId="77777777" w:rsidR="003D4F87" w:rsidRPr="003D4F87" w:rsidRDefault="003D4F87" w:rsidP="003D4F87">
      <w:pPr>
        <w:pStyle w:val="Default"/>
        <w:rPr>
          <w:sz w:val="23"/>
          <w:szCs w:val="23"/>
          <w:lang w:val="es-CR"/>
        </w:rPr>
      </w:pPr>
    </w:p>
    <w:p w14:paraId="16F70C22" w14:textId="414AF789" w:rsidR="003D4F87" w:rsidRDefault="001B79C5" w:rsidP="001B79C5">
      <w:pPr>
        <w:pStyle w:val="Default"/>
        <w:ind w:left="1134" w:hanging="1134"/>
        <w:jc w:val="both"/>
        <w:rPr>
          <w:sz w:val="22"/>
          <w:szCs w:val="22"/>
          <w:lang w:val="es-CR"/>
        </w:rPr>
      </w:pPr>
      <w:r w:rsidRPr="001B79C5">
        <w:rPr>
          <w:sz w:val="22"/>
          <w:szCs w:val="22"/>
          <w:lang w:val="es-CR"/>
        </w:rPr>
        <w:t>5.3.</w:t>
      </w:r>
      <w:r w:rsidR="003D4F87" w:rsidRPr="001B79C5">
        <w:rPr>
          <w:sz w:val="22"/>
          <w:szCs w:val="22"/>
          <w:lang w:val="es-CR"/>
        </w:rPr>
        <w:t>1</w:t>
      </w:r>
      <w:r w:rsidRPr="001B79C5">
        <w:rPr>
          <w:sz w:val="22"/>
          <w:szCs w:val="22"/>
          <w:lang w:val="es-CR"/>
        </w:rPr>
        <w:t>.01</w:t>
      </w:r>
      <w:r w:rsidRPr="001B79C5">
        <w:rPr>
          <w:sz w:val="22"/>
          <w:szCs w:val="22"/>
          <w:lang w:val="es-CR"/>
        </w:rPr>
        <w:tab/>
      </w:r>
      <w:r w:rsidR="003D4F87" w:rsidRPr="001B79C5">
        <w:rPr>
          <w:sz w:val="22"/>
          <w:szCs w:val="22"/>
          <w:lang w:val="es-CR"/>
        </w:rPr>
        <w:t>En cuanto al no pago de vacaciones se exceptúan aquellas entidades cuyas leyes de creación o convenios colectivos así lo permitan.</w:t>
      </w:r>
    </w:p>
    <w:p w14:paraId="4CFBBFB6" w14:textId="77777777" w:rsidR="001B79C5" w:rsidRPr="001B79C5" w:rsidRDefault="001B79C5" w:rsidP="001B79C5">
      <w:pPr>
        <w:pStyle w:val="Default"/>
        <w:ind w:left="1134" w:hanging="1134"/>
        <w:jc w:val="both"/>
        <w:rPr>
          <w:sz w:val="22"/>
          <w:szCs w:val="22"/>
          <w:lang w:val="es-CR"/>
        </w:rPr>
      </w:pPr>
    </w:p>
    <w:p w14:paraId="1E9939F6" w14:textId="5CD140A3" w:rsidR="003D4F87" w:rsidRPr="003D4F87" w:rsidRDefault="001B79C5" w:rsidP="001B79C5">
      <w:pPr>
        <w:pStyle w:val="Default"/>
        <w:spacing w:after="120"/>
        <w:ind w:left="1134" w:hanging="1134"/>
        <w:jc w:val="both"/>
        <w:rPr>
          <w:sz w:val="23"/>
          <w:szCs w:val="23"/>
          <w:lang w:val="es-CR"/>
        </w:rPr>
      </w:pPr>
      <w:r w:rsidRPr="001B79C5">
        <w:rPr>
          <w:sz w:val="22"/>
          <w:szCs w:val="22"/>
          <w:lang w:val="es-CR"/>
        </w:rPr>
        <w:t>5.3.1.02</w:t>
      </w:r>
      <w:r w:rsidRPr="001B79C5">
        <w:rPr>
          <w:sz w:val="22"/>
          <w:szCs w:val="22"/>
          <w:lang w:val="es-CR"/>
        </w:rPr>
        <w:tab/>
      </w:r>
      <w:r w:rsidR="003D4F87" w:rsidRPr="001B79C5">
        <w:rPr>
          <w:sz w:val="22"/>
          <w:szCs w:val="22"/>
          <w:lang w:val="es-CR"/>
        </w:rPr>
        <w:t>Una entidad medirá el costo esperado de las ausencias retribuidas acumulativas como el importe adicional que espera pagar a los empleados como consecuencia de los derechos acumulados y no utilizados en la fecha de</w:t>
      </w:r>
      <w:r w:rsidR="003D4F87" w:rsidRPr="003D4F87">
        <w:rPr>
          <w:sz w:val="23"/>
          <w:szCs w:val="23"/>
          <w:lang w:val="es-CR"/>
        </w:rPr>
        <w:t xml:space="preserve"> presentación. </w:t>
      </w:r>
    </w:p>
    <w:p w14:paraId="414BB9F7" w14:textId="61EFD1CE" w:rsidR="003D4F87" w:rsidRDefault="003D4F87" w:rsidP="001B79C5">
      <w:pPr>
        <w:pStyle w:val="Default"/>
        <w:ind w:left="1134"/>
        <w:jc w:val="both"/>
        <w:rPr>
          <w:sz w:val="22"/>
          <w:szCs w:val="22"/>
          <w:lang w:val="es-CR"/>
        </w:rPr>
      </w:pPr>
      <w:r w:rsidRPr="00531B7E">
        <w:rPr>
          <w:sz w:val="22"/>
          <w:szCs w:val="22"/>
          <w:lang w:val="es-CR"/>
        </w:rPr>
        <w:t xml:space="preserve">Para poder reconocer el pasivo por las vacaciones ganadas y no disfrutadas, se requerirá solicitar el apoyo de la unidad de Recursos Humanos de </w:t>
      </w:r>
      <w:r w:rsidR="001B79C5" w:rsidRPr="00531B7E">
        <w:rPr>
          <w:sz w:val="22"/>
          <w:szCs w:val="22"/>
          <w:lang w:val="es-CR"/>
        </w:rPr>
        <w:t>l</w:t>
      </w:r>
      <w:r w:rsidRPr="00531B7E">
        <w:rPr>
          <w:sz w:val="22"/>
          <w:szCs w:val="22"/>
          <w:lang w:val="es-CR"/>
        </w:rPr>
        <w:t xml:space="preserve">a </w:t>
      </w:r>
      <w:r w:rsidR="001B79C5" w:rsidRPr="00531B7E">
        <w:rPr>
          <w:sz w:val="22"/>
          <w:szCs w:val="22"/>
          <w:lang w:val="es-CR"/>
        </w:rPr>
        <w:t>Municipalida</w:t>
      </w:r>
      <w:r w:rsidRPr="00531B7E">
        <w:rPr>
          <w:sz w:val="22"/>
          <w:szCs w:val="22"/>
          <w:lang w:val="es-CR"/>
        </w:rPr>
        <w:t xml:space="preserve"> para que le proporcionen a la unidad de contabilidad los importes de las vacaciones ganadas y no disfrutadas al cierre del periodo contable.</w:t>
      </w:r>
    </w:p>
    <w:p w14:paraId="343A707B" w14:textId="77777777" w:rsidR="00531B7E" w:rsidRDefault="00531B7E" w:rsidP="001B79C5">
      <w:pPr>
        <w:pStyle w:val="Default"/>
        <w:ind w:left="1134"/>
        <w:jc w:val="both"/>
        <w:rPr>
          <w:sz w:val="22"/>
          <w:szCs w:val="22"/>
          <w:lang w:val="es-CR"/>
        </w:rPr>
      </w:pPr>
    </w:p>
    <w:p w14:paraId="774A9E51" w14:textId="77777777" w:rsidR="00531B7E" w:rsidRDefault="00531B7E" w:rsidP="001B79C5">
      <w:pPr>
        <w:pStyle w:val="Default"/>
        <w:ind w:left="1134"/>
        <w:jc w:val="both"/>
        <w:rPr>
          <w:sz w:val="22"/>
          <w:szCs w:val="22"/>
          <w:lang w:val="es-CR"/>
        </w:rPr>
      </w:pPr>
    </w:p>
    <w:p w14:paraId="4D9B5AEE" w14:textId="3A0E693A" w:rsidR="00531B7E" w:rsidRPr="009E7101" w:rsidRDefault="00531B7E" w:rsidP="009E7101">
      <w:pPr>
        <w:pStyle w:val="Ttulo2"/>
        <w:ind w:left="284"/>
        <w:rPr>
          <w:rFonts w:ascii="Arial" w:eastAsia="Arial" w:hAnsi="Arial" w:cs="Arial"/>
          <w:b/>
          <w:bCs/>
          <w:sz w:val="20"/>
          <w:szCs w:val="20"/>
          <w:lang w:val="es-CR"/>
        </w:rPr>
      </w:pPr>
      <w:bookmarkStart w:id="145" w:name="_Toc172726280"/>
      <w:r w:rsidRPr="009E7101">
        <w:rPr>
          <w:rFonts w:ascii="Arial" w:eastAsia="Arial" w:hAnsi="Arial" w:cs="Arial"/>
          <w:b/>
          <w:bCs/>
          <w:sz w:val="20"/>
          <w:szCs w:val="20"/>
          <w:lang w:val="es-CR"/>
        </w:rPr>
        <w:t>Medición y reconocimiento de beneficios a empleados a corto plazo</w:t>
      </w:r>
      <w:bookmarkEnd w:id="145"/>
    </w:p>
    <w:p w14:paraId="13CCD719" w14:textId="77777777" w:rsidR="003D4F87" w:rsidRDefault="003D4F87" w:rsidP="009F48E0">
      <w:pPr>
        <w:pStyle w:val="Default"/>
        <w:jc w:val="both"/>
        <w:rPr>
          <w:b/>
          <w:bCs/>
          <w:sz w:val="23"/>
          <w:szCs w:val="23"/>
          <w:lang w:val="es-CR"/>
        </w:rPr>
      </w:pPr>
    </w:p>
    <w:tbl>
      <w:tblPr>
        <w:tblW w:w="9235" w:type="dxa"/>
        <w:tblInd w:w="118" w:type="dxa"/>
        <w:tblLook w:val="04A0" w:firstRow="1" w:lastRow="0" w:firstColumn="1" w:lastColumn="0" w:noHBand="0" w:noVBand="1"/>
      </w:tblPr>
      <w:tblGrid>
        <w:gridCol w:w="532"/>
        <w:gridCol w:w="615"/>
        <w:gridCol w:w="511"/>
        <w:gridCol w:w="3694"/>
        <w:gridCol w:w="2033"/>
        <w:gridCol w:w="1843"/>
        <w:gridCol w:w="7"/>
      </w:tblGrid>
      <w:tr w:rsidR="00A06097" w:rsidRPr="00A06097" w14:paraId="671CBA13" w14:textId="77777777" w:rsidTr="00194075">
        <w:trPr>
          <w:trHeight w:val="320"/>
        </w:trPr>
        <w:tc>
          <w:tcPr>
            <w:tcW w:w="165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B0E092D"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Norma / Política</w:t>
            </w:r>
          </w:p>
        </w:tc>
        <w:tc>
          <w:tcPr>
            <w:tcW w:w="369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482FC5B"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Concepto</w:t>
            </w:r>
          </w:p>
        </w:tc>
        <w:tc>
          <w:tcPr>
            <w:tcW w:w="3883" w:type="dxa"/>
            <w:gridSpan w:val="3"/>
            <w:tcBorders>
              <w:top w:val="single" w:sz="8" w:space="0" w:color="auto"/>
              <w:left w:val="nil"/>
              <w:bottom w:val="single" w:sz="8" w:space="0" w:color="auto"/>
              <w:right w:val="single" w:sz="8" w:space="0" w:color="000000"/>
            </w:tcBorders>
            <w:shd w:val="clear" w:color="000000" w:fill="203764"/>
            <w:vAlign w:val="center"/>
            <w:hideMark/>
          </w:tcPr>
          <w:p w14:paraId="7018164F"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Referencia</w:t>
            </w:r>
          </w:p>
        </w:tc>
      </w:tr>
      <w:tr w:rsidR="00A06097" w:rsidRPr="006E5442" w14:paraId="2307F9BA" w14:textId="77777777" w:rsidTr="00194075">
        <w:trPr>
          <w:gridAfter w:val="1"/>
          <w:wAfter w:w="7" w:type="dxa"/>
          <w:trHeight w:val="940"/>
        </w:trPr>
        <w:tc>
          <w:tcPr>
            <w:tcW w:w="1658" w:type="dxa"/>
            <w:gridSpan w:val="3"/>
            <w:vMerge/>
            <w:tcBorders>
              <w:top w:val="single" w:sz="8" w:space="0" w:color="auto"/>
              <w:left w:val="single" w:sz="8" w:space="0" w:color="auto"/>
              <w:bottom w:val="nil"/>
              <w:right w:val="single" w:sz="8" w:space="0" w:color="000000"/>
            </w:tcBorders>
            <w:vAlign w:val="center"/>
            <w:hideMark/>
          </w:tcPr>
          <w:p w14:paraId="541B61F6" w14:textId="77777777" w:rsidR="00A06097" w:rsidRPr="00A06097" w:rsidRDefault="00A06097" w:rsidP="00A06097">
            <w:pPr>
              <w:rPr>
                <w:rFonts w:ascii="Arial Narrow" w:eastAsia="Times New Roman" w:hAnsi="Arial Narrow" w:cs="Calibri"/>
                <w:b/>
                <w:bCs/>
                <w:color w:val="FFFFFF"/>
                <w:sz w:val="22"/>
                <w:szCs w:val="22"/>
              </w:rPr>
            </w:pPr>
          </w:p>
        </w:tc>
        <w:tc>
          <w:tcPr>
            <w:tcW w:w="3694" w:type="dxa"/>
            <w:vMerge/>
            <w:tcBorders>
              <w:top w:val="single" w:sz="8" w:space="0" w:color="auto"/>
              <w:left w:val="single" w:sz="8" w:space="0" w:color="auto"/>
              <w:bottom w:val="nil"/>
              <w:right w:val="single" w:sz="8" w:space="0" w:color="auto"/>
            </w:tcBorders>
            <w:vAlign w:val="center"/>
            <w:hideMark/>
          </w:tcPr>
          <w:p w14:paraId="398A0C42" w14:textId="77777777" w:rsidR="00A06097" w:rsidRPr="00A06097" w:rsidRDefault="00A06097" w:rsidP="00A06097">
            <w:pPr>
              <w:rPr>
                <w:rFonts w:ascii="Arial Narrow" w:eastAsia="Times New Roman" w:hAnsi="Arial Narrow" w:cs="Calibri"/>
                <w:b/>
                <w:bCs/>
                <w:color w:val="FFFFFF"/>
                <w:sz w:val="22"/>
                <w:szCs w:val="22"/>
              </w:rPr>
            </w:pPr>
          </w:p>
        </w:tc>
        <w:tc>
          <w:tcPr>
            <w:tcW w:w="2033" w:type="dxa"/>
            <w:tcBorders>
              <w:top w:val="nil"/>
              <w:left w:val="nil"/>
              <w:bottom w:val="nil"/>
              <w:right w:val="single" w:sz="8" w:space="0" w:color="auto"/>
            </w:tcBorders>
            <w:shd w:val="clear" w:color="000000" w:fill="203764"/>
            <w:vAlign w:val="center"/>
            <w:hideMark/>
          </w:tcPr>
          <w:p w14:paraId="00051D6B"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5F463263" w14:textId="77777777" w:rsidR="00A06097" w:rsidRPr="00A06097" w:rsidRDefault="00A06097" w:rsidP="00A06097">
            <w:pPr>
              <w:jc w:val="center"/>
              <w:rPr>
                <w:rFonts w:ascii="Arial Narrow" w:eastAsia="Times New Roman" w:hAnsi="Arial Narrow" w:cs="Calibri"/>
                <w:b/>
                <w:bCs/>
                <w:color w:val="FFFFFF"/>
                <w:sz w:val="22"/>
                <w:szCs w:val="22"/>
                <w:lang w:val="es-CR"/>
              </w:rPr>
            </w:pPr>
            <w:r w:rsidRPr="00A06097">
              <w:rPr>
                <w:rFonts w:ascii="Arial Narrow" w:eastAsia="Times New Roman" w:hAnsi="Arial Narrow" w:cs="Calibri"/>
                <w:b/>
                <w:bCs/>
                <w:color w:val="FFFFFF"/>
                <w:sz w:val="22"/>
                <w:szCs w:val="22"/>
                <w:lang w:val="es-CR"/>
              </w:rPr>
              <w:t>Normativa técnica y disposiciones adicionales</w:t>
            </w:r>
          </w:p>
        </w:tc>
      </w:tr>
      <w:tr w:rsidR="00A06097" w:rsidRPr="00A06097" w14:paraId="6852B36A" w14:textId="77777777" w:rsidTr="00194075">
        <w:trPr>
          <w:gridAfter w:val="1"/>
          <w:wAfter w:w="7" w:type="dxa"/>
          <w:trHeight w:val="399"/>
        </w:trPr>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041C48" w14:textId="77777777" w:rsidR="00A06097" w:rsidRPr="00A06097" w:rsidRDefault="00A06097" w:rsidP="00194075">
            <w:pPr>
              <w:jc w:val="center"/>
              <w:rPr>
                <w:rFonts w:ascii="Arial Narrow" w:eastAsia="Times New Roman" w:hAnsi="Arial Narrow"/>
                <w:b/>
                <w:bCs/>
                <w:color w:val="000000"/>
                <w:sz w:val="22"/>
                <w:szCs w:val="22"/>
              </w:rPr>
            </w:pPr>
            <w:r w:rsidRPr="00A06097">
              <w:rPr>
                <w:rFonts w:ascii="Arial Narrow" w:eastAsia="Times New Roman" w:hAnsi="Arial Narrow"/>
                <w:b/>
                <w:bCs/>
                <w:color w:val="000000"/>
                <w:sz w:val="22"/>
                <w:szCs w:val="22"/>
              </w:rPr>
              <w:t>5</w:t>
            </w:r>
          </w:p>
        </w:tc>
        <w:tc>
          <w:tcPr>
            <w:tcW w:w="615" w:type="dxa"/>
            <w:tcBorders>
              <w:top w:val="single" w:sz="8" w:space="0" w:color="auto"/>
              <w:left w:val="nil"/>
              <w:bottom w:val="single" w:sz="8" w:space="0" w:color="auto"/>
              <w:right w:val="single" w:sz="8" w:space="0" w:color="auto"/>
            </w:tcBorders>
            <w:shd w:val="clear" w:color="auto" w:fill="auto"/>
            <w:vAlign w:val="center"/>
            <w:hideMark/>
          </w:tcPr>
          <w:p w14:paraId="2CBDA31D" w14:textId="77777777" w:rsidR="00A06097" w:rsidRPr="00A06097" w:rsidRDefault="00A06097" w:rsidP="00194075">
            <w:pPr>
              <w:jc w:val="center"/>
              <w:rPr>
                <w:rFonts w:ascii="Arial Narrow" w:eastAsia="Times New Roman" w:hAnsi="Arial Narrow"/>
                <w:b/>
                <w:bCs/>
                <w:color w:val="000000"/>
                <w:sz w:val="22"/>
                <w:szCs w:val="22"/>
              </w:rPr>
            </w:pPr>
            <w:r w:rsidRPr="00A06097">
              <w:rPr>
                <w:rFonts w:ascii="Arial Narrow" w:eastAsia="Times New Roman" w:hAnsi="Arial Narrow"/>
                <w:b/>
                <w:bCs/>
                <w:color w:val="000000"/>
                <w:sz w:val="22"/>
                <w:szCs w:val="22"/>
              </w:rPr>
              <w:t>4</w:t>
            </w:r>
          </w:p>
        </w:tc>
        <w:tc>
          <w:tcPr>
            <w:tcW w:w="511" w:type="dxa"/>
            <w:tcBorders>
              <w:top w:val="single" w:sz="8" w:space="0" w:color="auto"/>
              <w:left w:val="nil"/>
              <w:bottom w:val="single" w:sz="8" w:space="0" w:color="auto"/>
              <w:right w:val="single" w:sz="8" w:space="0" w:color="auto"/>
            </w:tcBorders>
            <w:shd w:val="clear" w:color="auto" w:fill="auto"/>
            <w:vAlign w:val="center"/>
            <w:hideMark/>
          </w:tcPr>
          <w:p w14:paraId="022768C7" w14:textId="6F12AC3C" w:rsidR="00A06097" w:rsidRPr="00A06097" w:rsidRDefault="00A06097" w:rsidP="00A06097">
            <w:pPr>
              <w:jc w:val="center"/>
              <w:rPr>
                <w:rFonts w:ascii="Arial Narrow" w:eastAsia="Times New Roman" w:hAnsi="Arial Narrow" w:cs="Calibri"/>
                <w:b/>
                <w:bCs/>
                <w:color w:val="000000"/>
                <w:sz w:val="22"/>
                <w:szCs w:val="22"/>
              </w:rPr>
            </w:pPr>
          </w:p>
        </w:tc>
        <w:tc>
          <w:tcPr>
            <w:tcW w:w="3694" w:type="dxa"/>
            <w:tcBorders>
              <w:top w:val="single" w:sz="8" w:space="0" w:color="auto"/>
              <w:left w:val="nil"/>
              <w:bottom w:val="single" w:sz="8" w:space="0" w:color="auto"/>
              <w:right w:val="single" w:sz="8" w:space="0" w:color="auto"/>
            </w:tcBorders>
            <w:shd w:val="clear" w:color="auto" w:fill="auto"/>
            <w:vAlign w:val="center"/>
            <w:hideMark/>
          </w:tcPr>
          <w:p w14:paraId="3CEB5A95" w14:textId="77777777" w:rsidR="00A06097" w:rsidRPr="00A06097" w:rsidRDefault="00A06097" w:rsidP="00A06097">
            <w:pPr>
              <w:rPr>
                <w:rFonts w:ascii="Arial Narrow" w:eastAsia="Times New Roman" w:hAnsi="Arial Narrow"/>
                <w:b/>
                <w:bCs/>
                <w:color w:val="000000"/>
                <w:sz w:val="22"/>
                <w:szCs w:val="22"/>
              </w:rPr>
            </w:pPr>
            <w:r w:rsidRPr="00A06097">
              <w:rPr>
                <w:rFonts w:ascii="Arial Narrow" w:eastAsia="Times New Roman" w:hAnsi="Arial Narrow"/>
                <w:b/>
                <w:bCs/>
                <w:color w:val="000000"/>
                <w:sz w:val="22"/>
                <w:szCs w:val="22"/>
              </w:rPr>
              <w:t>Medición y Reconocimiento</w:t>
            </w:r>
          </w:p>
        </w:tc>
        <w:tc>
          <w:tcPr>
            <w:tcW w:w="2033" w:type="dxa"/>
            <w:tcBorders>
              <w:top w:val="single" w:sz="8" w:space="0" w:color="auto"/>
              <w:left w:val="nil"/>
              <w:bottom w:val="single" w:sz="8" w:space="0" w:color="auto"/>
              <w:right w:val="single" w:sz="8" w:space="0" w:color="auto"/>
            </w:tcBorders>
            <w:shd w:val="clear" w:color="auto" w:fill="auto"/>
            <w:vAlign w:val="center"/>
            <w:hideMark/>
          </w:tcPr>
          <w:p w14:paraId="2BFEDA21" w14:textId="77777777" w:rsidR="00A06097" w:rsidRPr="00A06097" w:rsidRDefault="00A06097" w:rsidP="00A06097">
            <w:pP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 xml:space="preserve">NICSP N° 39, </w:t>
            </w:r>
            <w:r w:rsidRPr="00A06097">
              <w:rPr>
                <w:rFonts w:ascii="Arial Narrow" w:eastAsia="Times New Roman" w:hAnsi="Arial Narrow" w:cs="Calibri"/>
                <w:b/>
                <w:bCs/>
                <w:color w:val="000000"/>
                <w:sz w:val="22"/>
                <w:szCs w:val="22"/>
              </w:rPr>
              <w:br/>
              <w:t>Párrafos 11.</w:t>
            </w:r>
          </w:p>
        </w:tc>
        <w:tc>
          <w:tcPr>
            <w:tcW w:w="1843" w:type="dxa"/>
            <w:tcBorders>
              <w:top w:val="single" w:sz="8" w:space="0" w:color="auto"/>
              <w:left w:val="nil"/>
              <w:bottom w:val="single" w:sz="8" w:space="0" w:color="auto"/>
              <w:right w:val="single" w:sz="8" w:space="0" w:color="auto"/>
            </w:tcBorders>
            <w:shd w:val="clear" w:color="auto" w:fill="auto"/>
            <w:hideMark/>
          </w:tcPr>
          <w:p w14:paraId="6B02DFDB" w14:textId="77777777" w:rsidR="00A06097" w:rsidRPr="00A06097" w:rsidRDefault="00A06097" w:rsidP="00A06097">
            <w:pP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 xml:space="preserve"> </w:t>
            </w:r>
          </w:p>
        </w:tc>
      </w:tr>
    </w:tbl>
    <w:p w14:paraId="1007BF17" w14:textId="77777777" w:rsidR="003D4F87" w:rsidRDefault="003D4F87" w:rsidP="009F48E0">
      <w:pPr>
        <w:pStyle w:val="Default"/>
        <w:jc w:val="both"/>
        <w:rPr>
          <w:b/>
          <w:bCs/>
          <w:sz w:val="23"/>
          <w:szCs w:val="23"/>
          <w:lang w:val="es-CR"/>
        </w:rPr>
      </w:pPr>
    </w:p>
    <w:p w14:paraId="70DB0063" w14:textId="6EEEC448" w:rsidR="00194075" w:rsidRDefault="00194075" w:rsidP="00194075">
      <w:pPr>
        <w:pStyle w:val="Default"/>
        <w:ind w:left="1134" w:hanging="1134"/>
        <w:jc w:val="both"/>
        <w:rPr>
          <w:rFonts w:eastAsia="Arial"/>
          <w:b/>
          <w:sz w:val="22"/>
          <w:szCs w:val="22"/>
        </w:rPr>
      </w:pPr>
      <w:r w:rsidRPr="00F02F9D">
        <w:rPr>
          <w:rFonts w:eastAsia="Arial"/>
          <w:b/>
          <w:sz w:val="22"/>
          <w:szCs w:val="22"/>
        </w:rPr>
        <w:t>Política Contable</w:t>
      </w:r>
    </w:p>
    <w:p w14:paraId="3E0C16FF" w14:textId="77777777" w:rsidR="00194075" w:rsidRDefault="00194075" w:rsidP="009F48E0">
      <w:pPr>
        <w:pStyle w:val="Default"/>
        <w:jc w:val="both"/>
        <w:rPr>
          <w:b/>
          <w:bCs/>
          <w:sz w:val="23"/>
          <w:szCs w:val="23"/>
          <w:lang w:val="es-CR"/>
        </w:rPr>
      </w:pPr>
    </w:p>
    <w:p w14:paraId="26B10D42" w14:textId="2D277784" w:rsidR="003D4F87" w:rsidRPr="009E6F9E" w:rsidRDefault="009E6F9E" w:rsidP="009E6F9E">
      <w:pPr>
        <w:pStyle w:val="Default"/>
        <w:ind w:left="1134" w:hanging="1134"/>
        <w:jc w:val="both"/>
        <w:rPr>
          <w:b/>
          <w:bCs/>
          <w:sz w:val="22"/>
          <w:szCs w:val="22"/>
          <w:lang w:val="es-CR"/>
        </w:rPr>
      </w:pPr>
      <w:r>
        <w:rPr>
          <w:sz w:val="22"/>
          <w:szCs w:val="22"/>
          <w:lang w:val="es-CR"/>
        </w:rPr>
        <w:t>5.4.0.01</w:t>
      </w:r>
      <w:r>
        <w:rPr>
          <w:sz w:val="22"/>
          <w:szCs w:val="22"/>
          <w:lang w:val="es-CR"/>
        </w:rPr>
        <w:tab/>
      </w:r>
      <w:r w:rsidR="00A06097" w:rsidRPr="009E6F9E">
        <w:rPr>
          <w:sz w:val="22"/>
          <w:szCs w:val="22"/>
          <w:lang w:val="es-CR"/>
        </w:rPr>
        <w:t xml:space="preserve">Cuando un empleado ha prestado servicios a </w:t>
      </w:r>
      <w:r>
        <w:rPr>
          <w:sz w:val="22"/>
          <w:szCs w:val="22"/>
          <w:lang w:val="es-CR"/>
        </w:rPr>
        <w:t>l</w:t>
      </w:r>
      <w:r w:rsidR="00A06097" w:rsidRPr="009E6F9E">
        <w:rPr>
          <w:sz w:val="22"/>
          <w:szCs w:val="22"/>
          <w:lang w:val="es-CR"/>
        </w:rPr>
        <w:t xml:space="preserve">a </w:t>
      </w:r>
      <w:r>
        <w:rPr>
          <w:sz w:val="22"/>
          <w:szCs w:val="22"/>
          <w:lang w:val="es-CR"/>
        </w:rPr>
        <w:t xml:space="preserve">Municipalidad </w:t>
      </w:r>
      <w:r w:rsidR="00A06097" w:rsidRPr="009E6F9E">
        <w:rPr>
          <w:sz w:val="22"/>
          <w:szCs w:val="22"/>
          <w:lang w:val="es-CR"/>
        </w:rPr>
        <w:t xml:space="preserve">durante un período contable, deberá reconocerse en forma inmediata el monto devengado de los beneficios al empleado a corto plazo que se espera pagar a </w:t>
      </w:r>
      <w:r w:rsidR="005907B3" w:rsidRPr="009E6F9E">
        <w:rPr>
          <w:sz w:val="22"/>
          <w:szCs w:val="22"/>
          <w:lang w:val="es-CR"/>
        </w:rPr>
        <w:t>ca</w:t>
      </w:r>
      <w:r w:rsidR="005907B3">
        <w:rPr>
          <w:sz w:val="22"/>
          <w:szCs w:val="22"/>
          <w:lang w:val="es-CR"/>
        </w:rPr>
        <w:t>mbi</w:t>
      </w:r>
      <w:r w:rsidR="005907B3" w:rsidRPr="009E6F9E">
        <w:rPr>
          <w:sz w:val="22"/>
          <w:szCs w:val="22"/>
          <w:lang w:val="es-CR"/>
        </w:rPr>
        <w:t>o</w:t>
      </w:r>
      <w:r w:rsidR="00A06097" w:rsidRPr="009E6F9E">
        <w:rPr>
          <w:sz w:val="22"/>
          <w:szCs w:val="22"/>
          <w:lang w:val="es-CR"/>
        </w:rPr>
        <w:t xml:space="preserve"> de dicho servicio como un gasto, a menos que se permita la inclusión de dichos beneficios en el costo de un activo (inventarios o activo fijo).</w:t>
      </w:r>
    </w:p>
    <w:p w14:paraId="34492855" w14:textId="77777777" w:rsidR="009E6F9E" w:rsidRDefault="009E6F9E" w:rsidP="009F48E0">
      <w:pPr>
        <w:pStyle w:val="Default"/>
        <w:jc w:val="both"/>
        <w:rPr>
          <w:b/>
          <w:bCs/>
          <w:sz w:val="23"/>
          <w:szCs w:val="23"/>
          <w:lang w:val="es-CR"/>
        </w:rPr>
      </w:pPr>
    </w:p>
    <w:p w14:paraId="5F4B998D" w14:textId="77777777" w:rsidR="00194075" w:rsidRDefault="00194075" w:rsidP="009F48E0">
      <w:pPr>
        <w:pStyle w:val="Default"/>
        <w:jc w:val="both"/>
        <w:rPr>
          <w:b/>
          <w:bCs/>
          <w:sz w:val="23"/>
          <w:szCs w:val="23"/>
          <w:lang w:val="es-CR"/>
        </w:rPr>
      </w:pPr>
    </w:p>
    <w:p w14:paraId="4BC87E2C" w14:textId="77777777" w:rsidR="00194075" w:rsidRDefault="00194075" w:rsidP="009F48E0">
      <w:pPr>
        <w:pStyle w:val="Default"/>
        <w:jc w:val="both"/>
        <w:rPr>
          <w:b/>
          <w:bCs/>
          <w:sz w:val="23"/>
          <w:szCs w:val="23"/>
          <w:lang w:val="es-CR"/>
        </w:rPr>
      </w:pPr>
    </w:p>
    <w:p w14:paraId="283D242E" w14:textId="77777777" w:rsidR="009E6F9E" w:rsidRDefault="009E6F9E" w:rsidP="009F48E0">
      <w:pPr>
        <w:pStyle w:val="Default"/>
        <w:jc w:val="both"/>
        <w:rPr>
          <w:b/>
          <w:bCs/>
          <w:sz w:val="23"/>
          <w:szCs w:val="23"/>
          <w:lang w:val="es-CR"/>
        </w:rPr>
      </w:pPr>
    </w:p>
    <w:tbl>
      <w:tblPr>
        <w:tblW w:w="9235" w:type="dxa"/>
        <w:tblInd w:w="118" w:type="dxa"/>
        <w:tblLook w:val="04A0" w:firstRow="1" w:lastRow="0" w:firstColumn="1" w:lastColumn="0" w:noHBand="0" w:noVBand="1"/>
      </w:tblPr>
      <w:tblGrid>
        <w:gridCol w:w="532"/>
        <w:gridCol w:w="615"/>
        <w:gridCol w:w="511"/>
        <w:gridCol w:w="3694"/>
        <w:gridCol w:w="2033"/>
        <w:gridCol w:w="1843"/>
        <w:gridCol w:w="7"/>
      </w:tblGrid>
      <w:tr w:rsidR="00A06097" w:rsidRPr="00A06097" w14:paraId="0E250948" w14:textId="77777777" w:rsidTr="00737945">
        <w:trPr>
          <w:trHeight w:val="320"/>
        </w:trPr>
        <w:tc>
          <w:tcPr>
            <w:tcW w:w="165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B661D12"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lastRenderedPageBreak/>
              <w:t>Norma / Política</w:t>
            </w:r>
          </w:p>
        </w:tc>
        <w:tc>
          <w:tcPr>
            <w:tcW w:w="3694"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75EC18"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Concepto</w:t>
            </w:r>
          </w:p>
        </w:tc>
        <w:tc>
          <w:tcPr>
            <w:tcW w:w="3883" w:type="dxa"/>
            <w:gridSpan w:val="3"/>
            <w:tcBorders>
              <w:top w:val="single" w:sz="8" w:space="0" w:color="auto"/>
              <w:left w:val="nil"/>
              <w:bottom w:val="single" w:sz="8" w:space="0" w:color="auto"/>
              <w:right w:val="single" w:sz="8" w:space="0" w:color="000000"/>
            </w:tcBorders>
            <w:shd w:val="clear" w:color="000000" w:fill="203764"/>
            <w:vAlign w:val="center"/>
            <w:hideMark/>
          </w:tcPr>
          <w:p w14:paraId="41EF232B"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Referencia</w:t>
            </w:r>
          </w:p>
        </w:tc>
      </w:tr>
      <w:tr w:rsidR="00A06097" w:rsidRPr="006E5442" w14:paraId="01FBACBD" w14:textId="77777777" w:rsidTr="00737945">
        <w:trPr>
          <w:gridAfter w:val="1"/>
          <w:wAfter w:w="7" w:type="dxa"/>
          <w:trHeight w:val="940"/>
        </w:trPr>
        <w:tc>
          <w:tcPr>
            <w:tcW w:w="1658" w:type="dxa"/>
            <w:gridSpan w:val="3"/>
            <w:vMerge/>
            <w:tcBorders>
              <w:top w:val="single" w:sz="8" w:space="0" w:color="auto"/>
              <w:left w:val="single" w:sz="8" w:space="0" w:color="auto"/>
              <w:bottom w:val="nil"/>
              <w:right w:val="single" w:sz="8" w:space="0" w:color="000000"/>
            </w:tcBorders>
            <w:vAlign w:val="center"/>
            <w:hideMark/>
          </w:tcPr>
          <w:p w14:paraId="3DE1CEC5" w14:textId="77777777" w:rsidR="00A06097" w:rsidRPr="00A06097" w:rsidRDefault="00A06097" w:rsidP="00A06097">
            <w:pPr>
              <w:rPr>
                <w:rFonts w:ascii="Arial Narrow" w:eastAsia="Times New Roman" w:hAnsi="Arial Narrow" w:cs="Calibri"/>
                <w:b/>
                <w:bCs/>
                <w:color w:val="FFFFFF"/>
                <w:sz w:val="22"/>
                <w:szCs w:val="22"/>
              </w:rPr>
            </w:pPr>
          </w:p>
        </w:tc>
        <w:tc>
          <w:tcPr>
            <w:tcW w:w="3694" w:type="dxa"/>
            <w:vMerge/>
            <w:tcBorders>
              <w:top w:val="single" w:sz="8" w:space="0" w:color="auto"/>
              <w:left w:val="single" w:sz="8" w:space="0" w:color="auto"/>
              <w:bottom w:val="nil"/>
              <w:right w:val="single" w:sz="8" w:space="0" w:color="auto"/>
            </w:tcBorders>
            <w:vAlign w:val="center"/>
            <w:hideMark/>
          </w:tcPr>
          <w:p w14:paraId="1AC63D93" w14:textId="77777777" w:rsidR="00A06097" w:rsidRPr="00A06097" w:rsidRDefault="00A06097" w:rsidP="00A06097">
            <w:pPr>
              <w:rPr>
                <w:rFonts w:ascii="Arial Narrow" w:eastAsia="Times New Roman" w:hAnsi="Arial Narrow" w:cs="Calibri"/>
                <w:b/>
                <w:bCs/>
                <w:color w:val="FFFFFF"/>
                <w:sz w:val="22"/>
                <w:szCs w:val="22"/>
              </w:rPr>
            </w:pPr>
          </w:p>
        </w:tc>
        <w:tc>
          <w:tcPr>
            <w:tcW w:w="2033" w:type="dxa"/>
            <w:tcBorders>
              <w:top w:val="nil"/>
              <w:left w:val="nil"/>
              <w:bottom w:val="nil"/>
              <w:right w:val="single" w:sz="8" w:space="0" w:color="auto"/>
            </w:tcBorders>
            <w:shd w:val="clear" w:color="000000" w:fill="203764"/>
            <w:vAlign w:val="center"/>
            <w:hideMark/>
          </w:tcPr>
          <w:p w14:paraId="4234FA5B"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0575599E" w14:textId="77777777" w:rsidR="00A06097" w:rsidRPr="00A06097" w:rsidRDefault="00A06097" w:rsidP="00A06097">
            <w:pPr>
              <w:jc w:val="center"/>
              <w:rPr>
                <w:rFonts w:ascii="Arial Narrow" w:eastAsia="Times New Roman" w:hAnsi="Arial Narrow" w:cs="Calibri"/>
                <w:b/>
                <w:bCs/>
                <w:color w:val="FFFFFF"/>
                <w:sz w:val="22"/>
                <w:szCs w:val="22"/>
                <w:lang w:val="es-CR"/>
              </w:rPr>
            </w:pPr>
            <w:r w:rsidRPr="00A06097">
              <w:rPr>
                <w:rFonts w:ascii="Arial Narrow" w:eastAsia="Times New Roman" w:hAnsi="Arial Narrow" w:cs="Calibri"/>
                <w:b/>
                <w:bCs/>
                <w:color w:val="FFFFFF"/>
                <w:sz w:val="22"/>
                <w:szCs w:val="22"/>
                <w:lang w:val="es-CR"/>
              </w:rPr>
              <w:t>Normativa técnica y disposiciones adicionales</w:t>
            </w:r>
          </w:p>
        </w:tc>
      </w:tr>
      <w:tr w:rsidR="00A06097" w:rsidRPr="00A06097" w14:paraId="2E201672" w14:textId="77777777" w:rsidTr="00737945">
        <w:trPr>
          <w:gridAfter w:val="1"/>
          <w:wAfter w:w="7" w:type="dxa"/>
          <w:trHeight w:val="469"/>
        </w:trPr>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1E73D3" w14:textId="77777777" w:rsidR="00A06097" w:rsidRPr="00A06097" w:rsidRDefault="00A06097" w:rsidP="00194075">
            <w:pPr>
              <w:jc w:val="center"/>
              <w:rPr>
                <w:rFonts w:ascii="Arial Narrow" w:eastAsia="Times New Roman" w:hAnsi="Arial Narrow"/>
                <w:b/>
                <w:bCs/>
                <w:color w:val="000000"/>
                <w:sz w:val="22"/>
                <w:szCs w:val="22"/>
              </w:rPr>
            </w:pPr>
            <w:r w:rsidRPr="00A06097">
              <w:rPr>
                <w:rFonts w:ascii="Arial Narrow" w:eastAsia="Times New Roman" w:hAnsi="Arial Narrow"/>
                <w:b/>
                <w:bCs/>
                <w:color w:val="000000"/>
                <w:sz w:val="22"/>
                <w:szCs w:val="22"/>
              </w:rPr>
              <w:t>5</w:t>
            </w:r>
          </w:p>
        </w:tc>
        <w:tc>
          <w:tcPr>
            <w:tcW w:w="615" w:type="dxa"/>
            <w:tcBorders>
              <w:top w:val="single" w:sz="8" w:space="0" w:color="auto"/>
              <w:left w:val="nil"/>
              <w:bottom w:val="single" w:sz="8" w:space="0" w:color="auto"/>
              <w:right w:val="single" w:sz="8" w:space="0" w:color="auto"/>
            </w:tcBorders>
            <w:shd w:val="clear" w:color="auto" w:fill="auto"/>
            <w:vAlign w:val="center"/>
            <w:hideMark/>
          </w:tcPr>
          <w:p w14:paraId="3E4E4317" w14:textId="77777777" w:rsidR="00A06097" w:rsidRPr="00A06097" w:rsidRDefault="00A06097" w:rsidP="00194075">
            <w:pPr>
              <w:jc w:val="center"/>
              <w:rPr>
                <w:rFonts w:ascii="Arial Narrow" w:eastAsia="Times New Roman" w:hAnsi="Arial Narrow"/>
                <w:b/>
                <w:bCs/>
                <w:color w:val="000000"/>
                <w:sz w:val="22"/>
                <w:szCs w:val="22"/>
              </w:rPr>
            </w:pPr>
            <w:r w:rsidRPr="00A06097">
              <w:rPr>
                <w:rFonts w:ascii="Arial Narrow" w:eastAsia="Times New Roman" w:hAnsi="Arial Narrow"/>
                <w:b/>
                <w:bCs/>
                <w:color w:val="000000"/>
                <w:sz w:val="22"/>
                <w:szCs w:val="22"/>
              </w:rPr>
              <w:t>5</w:t>
            </w:r>
          </w:p>
        </w:tc>
        <w:tc>
          <w:tcPr>
            <w:tcW w:w="511" w:type="dxa"/>
            <w:tcBorders>
              <w:top w:val="single" w:sz="8" w:space="0" w:color="auto"/>
              <w:left w:val="nil"/>
              <w:bottom w:val="single" w:sz="8" w:space="0" w:color="auto"/>
              <w:right w:val="single" w:sz="8" w:space="0" w:color="auto"/>
            </w:tcBorders>
            <w:shd w:val="clear" w:color="auto" w:fill="auto"/>
            <w:vAlign w:val="center"/>
            <w:hideMark/>
          </w:tcPr>
          <w:p w14:paraId="5B70A73D" w14:textId="77777777" w:rsidR="00A06097" w:rsidRPr="00A06097" w:rsidRDefault="00A06097" w:rsidP="00194075">
            <w:pPr>
              <w:jc w:val="cente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0</w:t>
            </w:r>
          </w:p>
        </w:tc>
        <w:tc>
          <w:tcPr>
            <w:tcW w:w="3694" w:type="dxa"/>
            <w:tcBorders>
              <w:top w:val="single" w:sz="8" w:space="0" w:color="auto"/>
              <w:left w:val="nil"/>
              <w:bottom w:val="single" w:sz="8" w:space="0" w:color="auto"/>
              <w:right w:val="single" w:sz="8" w:space="0" w:color="auto"/>
            </w:tcBorders>
            <w:shd w:val="clear" w:color="auto" w:fill="auto"/>
            <w:vAlign w:val="center"/>
            <w:hideMark/>
          </w:tcPr>
          <w:p w14:paraId="0BCCBFDB" w14:textId="77777777" w:rsidR="00A06097" w:rsidRPr="00A06097" w:rsidRDefault="00A06097" w:rsidP="00A06097">
            <w:pPr>
              <w:rPr>
                <w:rFonts w:ascii="Arial Narrow" w:eastAsia="Times New Roman" w:hAnsi="Arial Narrow"/>
                <w:b/>
                <w:bCs/>
                <w:color w:val="000000"/>
                <w:sz w:val="22"/>
                <w:szCs w:val="22"/>
                <w:lang w:val="es-CR"/>
              </w:rPr>
            </w:pPr>
            <w:r w:rsidRPr="00A06097">
              <w:rPr>
                <w:rFonts w:ascii="Arial Narrow" w:eastAsia="Times New Roman" w:hAnsi="Arial Narrow"/>
                <w:b/>
                <w:bCs/>
                <w:color w:val="000000"/>
                <w:sz w:val="22"/>
                <w:szCs w:val="22"/>
                <w:lang w:val="es-CR"/>
              </w:rPr>
              <w:t>Medición y reconocimiento de ausencias retribuidas</w:t>
            </w:r>
          </w:p>
        </w:tc>
        <w:tc>
          <w:tcPr>
            <w:tcW w:w="2033" w:type="dxa"/>
            <w:tcBorders>
              <w:top w:val="single" w:sz="8" w:space="0" w:color="auto"/>
              <w:left w:val="nil"/>
              <w:bottom w:val="single" w:sz="8" w:space="0" w:color="auto"/>
              <w:right w:val="single" w:sz="8" w:space="0" w:color="auto"/>
            </w:tcBorders>
            <w:shd w:val="clear" w:color="auto" w:fill="auto"/>
            <w:vAlign w:val="center"/>
            <w:hideMark/>
          </w:tcPr>
          <w:p w14:paraId="48E8EF3A" w14:textId="77777777" w:rsidR="00A06097" w:rsidRPr="00A06097" w:rsidRDefault="00A06097" w:rsidP="00A06097">
            <w:pP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 xml:space="preserve">NICSP N° 39, </w:t>
            </w:r>
            <w:r w:rsidRPr="00A06097">
              <w:rPr>
                <w:rFonts w:ascii="Arial Narrow" w:eastAsia="Times New Roman" w:hAnsi="Arial Narrow" w:cs="Calibri"/>
                <w:b/>
                <w:bCs/>
                <w:color w:val="000000"/>
                <w:sz w:val="22"/>
                <w:szCs w:val="22"/>
              </w:rPr>
              <w:br/>
              <w:t>Párrafos 13 a 18.</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B2E6687" w14:textId="77777777" w:rsidR="00A06097" w:rsidRPr="00A06097" w:rsidRDefault="00A06097" w:rsidP="00A06097">
            <w:pPr>
              <w:jc w:val="cente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 xml:space="preserve"> DGCN</w:t>
            </w:r>
          </w:p>
        </w:tc>
      </w:tr>
      <w:tr w:rsidR="00A06097" w:rsidRPr="00A06097" w14:paraId="042CA6B7" w14:textId="77777777" w:rsidTr="00737945">
        <w:trPr>
          <w:gridAfter w:val="1"/>
          <w:wAfter w:w="7" w:type="dxa"/>
          <w:trHeight w:val="505"/>
        </w:trPr>
        <w:tc>
          <w:tcPr>
            <w:tcW w:w="532" w:type="dxa"/>
            <w:tcBorders>
              <w:top w:val="nil"/>
              <w:left w:val="single" w:sz="8" w:space="0" w:color="auto"/>
              <w:bottom w:val="single" w:sz="8" w:space="0" w:color="auto"/>
              <w:right w:val="single" w:sz="8" w:space="0" w:color="auto"/>
            </w:tcBorders>
            <w:shd w:val="clear" w:color="auto" w:fill="auto"/>
            <w:vAlign w:val="center"/>
            <w:hideMark/>
          </w:tcPr>
          <w:p w14:paraId="2009DF3E" w14:textId="77777777" w:rsidR="00A06097" w:rsidRPr="00A06097" w:rsidRDefault="00A06097" w:rsidP="00194075">
            <w:pPr>
              <w:jc w:val="center"/>
              <w:rPr>
                <w:rFonts w:ascii="Arial Narrow" w:eastAsia="Times New Roman" w:hAnsi="Arial Narrow"/>
                <w:b/>
                <w:bCs/>
                <w:color w:val="000000"/>
                <w:sz w:val="22"/>
                <w:szCs w:val="22"/>
              </w:rPr>
            </w:pPr>
            <w:r w:rsidRPr="00A06097">
              <w:rPr>
                <w:rFonts w:ascii="Arial Narrow" w:eastAsia="Times New Roman" w:hAnsi="Arial Narrow"/>
                <w:b/>
                <w:bCs/>
                <w:color w:val="000000"/>
                <w:sz w:val="22"/>
                <w:szCs w:val="22"/>
              </w:rPr>
              <w:t>5</w:t>
            </w:r>
          </w:p>
        </w:tc>
        <w:tc>
          <w:tcPr>
            <w:tcW w:w="615" w:type="dxa"/>
            <w:tcBorders>
              <w:top w:val="nil"/>
              <w:left w:val="nil"/>
              <w:bottom w:val="single" w:sz="8" w:space="0" w:color="auto"/>
              <w:right w:val="single" w:sz="8" w:space="0" w:color="auto"/>
            </w:tcBorders>
            <w:shd w:val="clear" w:color="auto" w:fill="auto"/>
            <w:vAlign w:val="center"/>
            <w:hideMark/>
          </w:tcPr>
          <w:p w14:paraId="35C62078" w14:textId="77777777" w:rsidR="00A06097" w:rsidRPr="00A06097" w:rsidRDefault="00A06097" w:rsidP="00194075">
            <w:pPr>
              <w:jc w:val="center"/>
              <w:rPr>
                <w:rFonts w:ascii="Arial Narrow" w:eastAsia="Times New Roman" w:hAnsi="Arial Narrow"/>
                <w:b/>
                <w:bCs/>
                <w:color w:val="000000"/>
                <w:sz w:val="22"/>
                <w:szCs w:val="22"/>
              </w:rPr>
            </w:pPr>
            <w:r w:rsidRPr="00A06097">
              <w:rPr>
                <w:rFonts w:ascii="Arial Narrow" w:eastAsia="Times New Roman" w:hAnsi="Arial Narrow"/>
                <w:b/>
                <w:bCs/>
                <w:color w:val="000000"/>
                <w:sz w:val="22"/>
                <w:szCs w:val="22"/>
              </w:rPr>
              <w:t>5</w:t>
            </w:r>
          </w:p>
        </w:tc>
        <w:tc>
          <w:tcPr>
            <w:tcW w:w="511" w:type="dxa"/>
            <w:tcBorders>
              <w:top w:val="nil"/>
              <w:left w:val="nil"/>
              <w:bottom w:val="single" w:sz="8" w:space="0" w:color="auto"/>
              <w:right w:val="nil"/>
            </w:tcBorders>
            <w:shd w:val="clear" w:color="auto" w:fill="auto"/>
            <w:vAlign w:val="center"/>
            <w:hideMark/>
          </w:tcPr>
          <w:p w14:paraId="0CD8785C" w14:textId="77777777" w:rsidR="00A06097" w:rsidRPr="00A06097" w:rsidRDefault="00A06097" w:rsidP="00194075">
            <w:pPr>
              <w:jc w:val="cente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1</w:t>
            </w:r>
          </w:p>
        </w:tc>
        <w:tc>
          <w:tcPr>
            <w:tcW w:w="3694" w:type="dxa"/>
            <w:tcBorders>
              <w:top w:val="nil"/>
              <w:left w:val="single" w:sz="8" w:space="0" w:color="auto"/>
              <w:bottom w:val="single" w:sz="8" w:space="0" w:color="auto"/>
              <w:right w:val="single" w:sz="8" w:space="0" w:color="auto"/>
            </w:tcBorders>
            <w:shd w:val="clear" w:color="auto" w:fill="auto"/>
            <w:vAlign w:val="center"/>
            <w:hideMark/>
          </w:tcPr>
          <w:p w14:paraId="678E0FF3" w14:textId="77777777" w:rsidR="00A06097" w:rsidRPr="00A06097" w:rsidRDefault="00A06097" w:rsidP="00A06097">
            <w:pPr>
              <w:rPr>
                <w:rFonts w:ascii="Arial Narrow" w:eastAsia="Times New Roman" w:hAnsi="Arial Narrow"/>
                <w:b/>
                <w:bCs/>
                <w:color w:val="000000"/>
                <w:sz w:val="22"/>
                <w:szCs w:val="22"/>
              </w:rPr>
            </w:pPr>
            <w:r w:rsidRPr="00A06097">
              <w:rPr>
                <w:rFonts w:ascii="Arial Narrow" w:eastAsia="Times New Roman" w:hAnsi="Arial Narrow"/>
                <w:b/>
                <w:bCs/>
                <w:color w:val="000000"/>
                <w:sz w:val="22"/>
                <w:szCs w:val="22"/>
              </w:rPr>
              <w:t xml:space="preserve"> Reconocimiento</w:t>
            </w:r>
          </w:p>
        </w:tc>
        <w:tc>
          <w:tcPr>
            <w:tcW w:w="2033" w:type="dxa"/>
            <w:tcBorders>
              <w:top w:val="nil"/>
              <w:left w:val="nil"/>
              <w:bottom w:val="single" w:sz="8" w:space="0" w:color="auto"/>
              <w:right w:val="single" w:sz="8" w:space="0" w:color="auto"/>
            </w:tcBorders>
            <w:shd w:val="clear" w:color="auto" w:fill="auto"/>
            <w:vAlign w:val="center"/>
            <w:hideMark/>
          </w:tcPr>
          <w:p w14:paraId="5006D5C3" w14:textId="77777777" w:rsidR="00A06097" w:rsidRPr="00A06097" w:rsidRDefault="00A06097" w:rsidP="00A06097">
            <w:pP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 xml:space="preserve"> NICSP N° 39</w:t>
            </w:r>
            <w:r w:rsidRPr="00A06097">
              <w:rPr>
                <w:rFonts w:ascii="Arial Narrow" w:eastAsia="Times New Roman" w:hAnsi="Arial Narrow" w:cs="Calibri"/>
                <w:b/>
                <w:bCs/>
                <w:color w:val="000000"/>
                <w:sz w:val="22"/>
                <w:szCs w:val="22"/>
              </w:rPr>
              <w:br/>
              <w:t>Párrafo 13</w:t>
            </w:r>
          </w:p>
        </w:tc>
        <w:tc>
          <w:tcPr>
            <w:tcW w:w="1843" w:type="dxa"/>
            <w:tcBorders>
              <w:top w:val="nil"/>
              <w:left w:val="nil"/>
              <w:bottom w:val="single" w:sz="8" w:space="0" w:color="auto"/>
              <w:right w:val="single" w:sz="8" w:space="0" w:color="auto"/>
            </w:tcBorders>
            <w:shd w:val="clear" w:color="auto" w:fill="auto"/>
            <w:vAlign w:val="center"/>
            <w:hideMark/>
          </w:tcPr>
          <w:p w14:paraId="314376AD" w14:textId="77777777" w:rsidR="00A06097" w:rsidRPr="00A06097" w:rsidRDefault="00A06097" w:rsidP="00A06097">
            <w:pPr>
              <w:jc w:val="cente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 xml:space="preserve"> </w:t>
            </w:r>
          </w:p>
        </w:tc>
      </w:tr>
    </w:tbl>
    <w:p w14:paraId="334F24FB" w14:textId="77777777" w:rsidR="003D4F87" w:rsidRDefault="003D4F87" w:rsidP="009F48E0">
      <w:pPr>
        <w:pStyle w:val="Default"/>
        <w:jc w:val="both"/>
        <w:rPr>
          <w:b/>
          <w:bCs/>
          <w:sz w:val="23"/>
          <w:szCs w:val="23"/>
          <w:lang w:val="es-CR"/>
        </w:rPr>
      </w:pPr>
    </w:p>
    <w:p w14:paraId="7144FF76" w14:textId="77777777" w:rsidR="00737945" w:rsidRDefault="00737945" w:rsidP="00737945">
      <w:pPr>
        <w:pStyle w:val="Default"/>
        <w:ind w:left="1134" w:hanging="1134"/>
        <w:jc w:val="both"/>
        <w:rPr>
          <w:rFonts w:eastAsia="Arial"/>
          <w:b/>
          <w:sz w:val="22"/>
          <w:szCs w:val="22"/>
        </w:rPr>
      </w:pPr>
      <w:r w:rsidRPr="00F02F9D">
        <w:rPr>
          <w:rFonts w:eastAsia="Arial"/>
          <w:b/>
          <w:sz w:val="22"/>
          <w:szCs w:val="22"/>
        </w:rPr>
        <w:t>Políticas Contables</w:t>
      </w:r>
    </w:p>
    <w:p w14:paraId="1244B79F" w14:textId="77777777" w:rsidR="00737945" w:rsidRDefault="00737945" w:rsidP="009F48E0">
      <w:pPr>
        <w:pStyle w:val="Default"/>
        <w:jc w:val="both"/>
        <w:rPr>
          <w:b/>
          <w:bCs/>
          <w:sz w:val="23"/>
          <w:szCs w:val="23"/>
          <w:lang w:val="es-CR"/>
        </w:rPr>
      </w:pPr>
    </w:p>
    <w:p w14:paraId="5D9D30C9" w14:textId="33199E0A" w:rsidR="00A06097" w:rsidRDefault="009E6F9E" w:rsidP="009E6F9E">
      <w:pPr>
        <w:pStyle w:val="Default"/>
        <w:ind w:left="1134" w:hanging="1134"/>
        <w:jc w:val="both"/>
        <w:rPr>
          <w:sz w:val="22"/>
          <w:szCs w:val="22"/>
          <w:lang w:val="es-CR"/>
        </w:rPr>
      </w:pPr>
      <w:r>
        <w:rPr>
          <w:sz w:val="22"/>
          <w:szCs w:val="22"/>
          <w:lang w:val="es-CR"/>
        </w:rPr>
        <w:t>5.5.0.01</w:t>
      </w:r>
      <w:r>
        <w:rPr>
          <w:sz w:val="22"/>
          <w:szCs w:val="22"/>
          <w:lang w:val="es-CR"/>
        </w:rPr>
        <w:tab/>
      </w:r>
      <w:r w:rsidR="00A06097" w:rsidRPr="009E6F9E">
        <w:rPr>
          <w:sz w:val="22"/>
          <w:szCs w:val="22"/>
          <w:lang w:val="es-CR"/>
        </w:rPr>
        <w:t xml:space="preserve">Los gastos en concepto de beneficios al personal por ausencias remuneradas, se reconocerán </w:t>
      </w:r>
      <w:r w:rsidR="00737945" w:rsidRPr="009E6F9E">
        <w:rPr>
          <w:sz w:val="22"/>
          <w:szCs w:val="22"/>
          <w:lang w:val="es-CR"/>
        </w:rPr>
        <w:t>de acuerdo con el</w:t>
      </w:r>
      <w:r w:rsidR="00A06097" w:rsidRPr="009E6F9E">
        <w:rPr>
          <w:sz w:val="22"/>
          <w:szCs w:val="22"/>
          <w:lang w:val="es-CR"/>
        </w:rPr>
        <w:t xml:space="preserve"> carácter acumulativo o no que tengan las mismas, a saber: </w:t>
      </w:r>
    </w:p>
    <w:p w14:paraId="62967151" w14:textId="77777777" w:rsidR="009E6F9E" w:rsidRPr="009E6F9E" w:rsidRDefault="009E6F9E" w:rsidP="009E6F9E">
      <w:pPr>
        <w:pStyle w:val="Default"/>
        <w:ind w:left="1134" w:hanging="1134"/>
        <w:jc w:val="both"/>
        <w:rPr>
          <w:sz w:val="22"/>
          <w:szCs w:val="22"/>
          <w:lang w:val="es-CR"/>
        </w:rPr>
      </w:pPr>
    </w:p>
    <w:p w14:paraId="726576DE" w14:textId="228AC385" w:rsidR="00A06097" w:rsidRPr="009E6F9E" w:rsidRDefault="00A06097">
      <w:pPr>
        <w:pStyle w:val="Default"/>
        <w:numPr>
          <w:ilvl w:val="0"/>
          <w:numId w:val="281"/>
        </w:numPr>
        <w:spacing w:after="120"/>
        <w:ind w:left="1417" w:hanging="357"/>
        <w:jc w:val="both"/>
        <w:rPr>
          <w:sz w:val="22"/>
          <w:szCs w:val="22"/>
          <w:lang w:val="es-CR"/>
        </w:rPr>
      </w:pPr>
      <w:r w:rsidRPr="009E6F9E">
        <w:rPr>
          <w:sz w:val="22"/>
          <w:szCs w:val="22"/>
          <w:lang w:val="es-CR"/>
        </w:rPr>
        <w:t>Ausencias retribuidas no acumulativas</w:t>
      </w:r>
      <w:r w:rsidR="009E6F9E">
        <w:rPr>
          <w:sz w:val="22"/>
          <w:szCs w:val="22"/>
          <w:lang w:val="es-CR"/>
        </w:rPr>
        <w:t>:</w:t>
      </w:r>
      <w:r w:rsidRPr="009E6F9E">
        <w:rPr>
          <w:sz w:val="22"/>
          <w:szCs w:val="22"/>
          <w:lang w:val="es-CR"/>
        </w:rPr>
        <w:t xml:space="preserve"> se reconocerán en el momento que ocurran las ausencias. </w:t>
      </w:r>
    </w:p>
    <w:p w14:paraId="398E1969" w14:textId="24C70F33" w:rsidR="00A06097" w:rsidRPr="009E6F9E" w:rsidRDefault="00A06097">
      <w:pPr>
        <w:pStyle w:val="Default"/>
        <w:numPr>
          <w:ilvl w:val="0"/>
          <w:numId w:val="281"/>
        </w:numPr>
        <w:ind w:left="1418"/>
        <w:jc w:val="both"/>
        <w:rPr>
          <w:sz w:val="22"/>
          <w:szCs w:val="22"/>
          <w:lang w:val="es-CR"/>
        </w:rPr>
      </w:pPr>
      <w:r w:rsidRPr="009E6F9E">
        <w:rPr>
          <w:sz w:val="22"/>
          <w:szCs w:val="22"/>
          <w:lang w:val="es-CR"/>
        </w:rPr>
        <w:t xml:space="preserve">Ausencias retribuidas acumulativas: se reconocerán a medida que los empleados presten los servicios que les dan derechos a disfrutar de futuras ausencias remuneradas, y se medirán por el importe adicional que espera pagar a los empleados como consecuencia de los derechos acumulados y no utilizados en la fecha de presentación. </w:t>
      </w:r>
    </w:p>
    <w:p w14:paraId="1B71A73D" w14:textId="77777777" w:rsidR="00A06097" w:rsidRPr="009E6F9E" w:rsidRDefault="00A06097" w:rsidP="009E6F9E">
      <w:pPr>
        <w:pStyle w:val="Default"/>
        <w:jc w:val="both"/>
        <w:rPr>
          <w:sz w:val="22"/>
          <w:szCs w:val="22"/>
          <w:lang w:val="es-CR"/>
        </w:rPr>
      </w:pPr>
    </w:p>
    <w:p w14:paraId="0DC12B79" w14:textId="68FAF4AC" w:rsidR="003D4F87" w:rsidRPr="009E6F9E" w:rsidRDefault="009E6F9E" w:rsidP="009E6F9E">
      <w:pPr>
        <w:pStyle w:val="Default"/>
        <w:ind w:left="1134" w:hanging="1134"/>
        <w:jc w:val="both"/>
        <w:rPr>
          <w:b/>
          <w:bCs/>
          <w:sz w:val="22"/>
          <w:szCs w:val="22"/>
          <w:lang w:val="es-CR"/>
        </w:rPr>
      </w:pPr>
      <w:r>
        <w:rPr>
          <w:sz w:val="22"/>
          <w:szCs w:val="22"/>
          <w:lang w:val="es-CR"/>
        </w:rPr>
        <w:t>5.5.</w:t>
      </w:r>
      <w:r w:rsidR="00A06097" w:rsidRPr="009E6F9E">
        <w:rPr>
          <w:sz w:val="22"/>
          <w:szCs w:val="22"/>
          <w:lang w:val="es-CR"/>
        </w:rPr>
        <w:t>1.</w:t>
      </w:r>
      <w:r>
        <w:rPr>
          <w:sz w:val="22"/>
          <w:szCs w:val="22"/>
          <w:lang w:val="es-CR"/>
        </w:rPr>
        <w:t>01</w:t>
      </w:r>
      <w:r>
        <w:rPr>
          <w:sz w:val="22"/>
          <w:szCs w:val="22"/>
          <w:lang w:val="es-CR"/>
        </w:rPr>
        <w:tab/>
        <w:t>L</w:t>
      </w:r>
      <w:r w:rsidR="00A06097" w:rsidRPr="009E6F9E">
        <w:rPr>
          <w:sz w:val="22"/>
          <w:szCs w:val="22"/>
          <w:lang w:val="es-CR"/>
        </w:rPr>
        <w:t xml:space="preserve">a </w:t>
      </w:r>
      <w:r>
        <w:rPr>
          <w:sz w:val="22"/>
          <w:szCs w:val="22"/>
          <w:lang w:val="es-CR"/>
        </w:rPr>
        <w:t xml:space="preserve">Municipalidad de </w:t>
      </w:r>
      <w:r w:rsidR="008C25B1">
        <w:rPr>
          <w:sz w:val="22"/>
          <w:szCs w:val="22"/>
          <w:lang w:val="es-CR"/>
        </w:rPr>
        <w:t>Buenos Aires</w:t>
      </w:r>
      <w:r>
        <w:rPr>
          <w:sz w:val="22"/>
          <w:szCs w:val="22"/>
          <w:lang w:val="es-CR"/>
        </w:rPr>
        <w:t xml:space="preserve"> </w:t>
      </w:r>
      <w:r w:rsidR="00A06097" w:rsidRPr="009E6F9E">
        <w:rPr>
          <w:sz w:val="22"/>
          <w:szCs w:val="22"/>
          <w:lang w:val="es-CR"/>
        </w:rPr>
        <w:t>no reconocerá pasivos o gastos hasta el momento del permiso, puesto que los servicios prestados por los empleados no aumentan el importe del beneficio.</w:t>
      </w:r>
    </w:p>
    <w:p w14:paraId="0A71F44E" w14:textId="77777777" w:rsidR="003D4F87" w:rsidRDefault="003D4F87" w:rsidP="009F48E0">
      <w:pPr>
        <w:pStyle w:val="Default"/>
        <w:jc w:val="both"/>
        <w:rPr>
          <w:b/>
          <w:bCs/>
          <w:sz w:val="23"/>
          <w:szCs w:val="23"/>
          <w:lang w:val="es-CR"/>
        </w:rPr>
      </w:pPr>
    </w:p>
    <w:p w14:paraId="1B057E04" w14:textId="77777777" w:rsidR="009E7101" w:rsidRDefault="009E7101" w:rsidP="009F48E0">
      <w:pPr>
        <w:pStyle w:val="Default"/>
        <w:jc w:val="both"/>
        <w:rPr>
          <w:b/>
          <w:bCs/>
          <w:sz w:val="23"/>
          <w:szCs w:val="23"/>
          <w:lang w:val="es-CR"/>
        </w:rPr>
      </w:pPr>
    </w:p>
    <w:p w14:paraId="7A9EFE84" w14:textId="77777777" w:rsidR="00737945" w:rsidRDefault="00737945" w:rsidP="009F48E0">
      <w:pPr>
        <w:pStyle w:val="Default"/>
        <w:jc w:val="both"/>
        <w:rPr>
          <w:b/>
          <w:bCs/>
          <w:sz w:val="23"/>
          <w:szCs w:val="23"/>
          <w:lang w:val="es-CR"/>
        </w:rPr>
      </w:pPr>
    </w:p>
    <w:p w14:paraId="69EC979B" w14:textId="2B9DE6AD" w:rsidR="00531B7E" w:rsidRPr="009E7101" w:rsidRDefault="00531B7E" w:rsidP="009E7101">
      <w:pPr>
        <w:pStyle w:val="Ttulo2"/>
        <w:ind w:left="284"/>
        <w:rPr>
          <w:rFonts w:ascii="Arial" w:eastAsia="Arial" w:hAnsi="Arial" w:cs="Arial"/>
          <w:b/>
          <w:bCs/>
          <w:sz w:val="20"/>
          <w:szCs w:val="20"/>
          <w:lang w:val="es-CR"/>
        </w:rPr>
      </w:pPr>
      <w:bookmarkStart w:id="146" w:name="_Toc172726281"/>
      <w:r w:rsidRPr="009E7101">
        <w:rPr>
          <w:rFonts w:ascii="Arial" w:eastAsia="Arial" w:hAnsi="Arial" w:cs="Arial"/>
          <w:b/>
          <w:bCs/>
          <w:sz w:val="20"/>
          <w:szCs w:val="20"/>
          <w:lang w:val="es-CR"/>
        </w:rPr>
        <w:t>Incentivos</w:t>
      </w:r>
      <w:bookmarkEnd w:id="146"/>
    </w:p>
    <w:p w14:paraId="744AB1BB" w14:textId="77777777" w:rsidR="003D4F87" w:rsidRDefault="003D4F87" w:rsidP="009F48E0">
      <w:pPr>
        <w:pStyle w:val="Default"/>
        <w:jc w:val="both"/>
        <w:rPr>
          <w:b/>
          <w:bCs/>
          <w:sz w:val="23"/>
          <w:szCs w:val="23"/>
          <w:lang w:val="es-CR"/>
        </w:rPr>
      </w:pPr>
    </w:p>
    <w:tbl>
      <w:tblPr>
        <w:tblW w:w="9268" w:type="dxa"/>
        <w:tblInd w:w="118" w:type="dxa"/>
        <w:tblLook w:val="04A0" w:firstRow="1" w:lastRow="0" w:firstColumn="1" w:lastColumn="0" w:noHBand="0" w:noVBand="1"/>
      </w:tblPr>
      <w:tblGrid>
        <w:gridCol w:w="439"/>
        <w:gridCol w:w="709"/>
        <w:gridCol w:w="425"/>
        <w:gridCol w:w="3676"/>
        <w:gridCol w:w="2245"/>
        <w:gridCol w:w="1774"/>
      </w:tblGrid>
      <w:tr w:rsidR="00A06097" w:rsidRPr="00A06097" w14:paraId="21DAC1EA" w14:textId="77777777" w:rsidTr="00737945">
        <w:trPr>
          <w:trHeight w:val="320"/>
        </w:trPr>
        <w:tc>
          <w:tcPr>
            <w:tcW w:w="157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3CC8537"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Norma / Política</w:t>
            </w:r>
          </w:p>
        </w:tc>
        <w:tc>
          <w:tcPr>
            <w:tcW w:w="3676" w:type="dxa"/>
            <w:vMerge w:val="restart"/>
            <w:tcBorders>
              <w:top w:val="single" w:sz="8" w:space="0" w:color="auto"/>
              <w:left w:val="single" w:sz="8" w:space="0" w:color="auto"/>
              <w:bottom w:val="nil"/>
              <w:right w:val="single" w:sz="8" w:space="0" w:color="auto"/>
            </w:tcBorders>
            <w:shd w:val="clear" w:color="000000" w:fill="203764"/>
            <w:vAlign w:val="center"/>
            <w:hideMark/>
          </w:tcPr>
          <w:p w14:paraId="381F86DE"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Concepto</w:t>
            </w:r>
          </w:p>
        </w:tc>
        <w:tc>
          <w:tcPr>
            <w:tcW w:w="4019" w:type="dxa"/>
            <w:gridSpan w:val="2"/>
            <w:tcBorders>
              <w:top w:val="single" w:sz="8" w:space="0" w:color="auto"/>
              <w:left w:val="nil"/>
              <w:bottom w:val="single" w:sz="8" w:space="0" w:color="auto"/>
              <w:right w:val="single" w:sz="8" w:space="0" w:color="000000"/>
            </w:tcBorders>
            <w:shd w:val="clear" w:color="000000" w:fill="203764"/>
            <w:vAlign w:val="center"/>
            <w:hideMark/>
          </w:tcPr>
          <w:p w14:paraId="2C85BE1A"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Referencia</w:t>
            </w:r>
          </w:p>
        </w:tc>
      </w:tr>
      <w:tr w:rsidR="00A06097" w:rsidRPr="006E5442" w14:paraId="446A72CC" w14:textId="77777777" w:rsidTr="00737945">
        <w:trPr>
          <w:trHeight w:val="940"/>
        </w:trPr>
        <w:tc>
          <w:tcPr>
            <w:tcW w:w="1573" w:type="dxa"/>
            <w:gridSpan w:val="3"/>
            <w:vMerge/>
            <w:tcBorders>
              <w:top w:val="single" w:sz="8" w:space="0" w:color="auto"/>
              <w:left w:val="single" w:sz="8" w:space="0" w:color="auto"/>
              <w:bottom w:val="nil"/>
              <w:right w:val="single" w:sz="8" w:space="0" w:color="000000"/>
            </w:tcBorders>
            <w:vAlign w:val="center"/>
            <w:hideMark/>
          </w:tcPr>
          <w:p w14:paraId="604DF902" w14:textId="77777777" w:rsidR="00A06097" w:rsidRPr="00A06097" w:rsidRDefault="00A06097" w:rsidP="00A06097">
            <w:pPr>
              <w:rPr>
                <w:rFonts w:ascii="Arial Narrow" w:eastAsia="Times New Roman" w:hAnsi="Arial Narrow" w:cs="Calibri"/>
                <w:b/>
                <w:bCs/>
                <w:color w:val="FFFFFF"/>
                <w:sz w:val="22"/>
                <w:szCs w:val="22"/>
              </w:rPr>
            </w:pPr>
          </w:p>
        </w:tc>
        <w:tc>
          <w:tcPr>
            <w:tcW w:w="3676" w:type="dxa"/>
            <w:vMerge/>
            <w:tcBorders>
              <w:top w:val="single" w:sz="8" w:space="0" w:color="auto"/>
              <w:left w:val="single" w:sz="8" w:space="0" w:color="auto"/>
              <w:bottom w:val="nil"/>
              <w:right w:val="single" w:sz="8" w:space="0" w:color="auto"/>
            </w:tcBorders>
            <w:vAlign w:val="center"/>
            <w:hideMark/>
          </w:tcPr>
          <w:p w14:paraId="2A56BB1D" w14:textId="77777777" w:rsidR="00A06097" w:rsidRPr="00A06097" w:rsidRDefault="00A06097" w:rsidP="00A06097">
            <w:pPr>
              <w:rPr>
                <w:rFonts w:ascii="Arial Narrow" w:eastAsia="Times New Roman" w:hAnsi="Arial Narrow" w:cs="Calibri"/>
                <w:b/>
                <w:bCs/>
                <w:color w:val="FFFFFF"/>
                <w:sz w:val="22"/>
                <w:szCs w:val="22"/>
              </w:rPr>
            </w:pPr>
          </w:p>
        </w:tc>
        <w:tc>
          <w:tcPr>
            <w:tcW w:w="2245" w:type="dxa"/>
            <w:tcBorders>
              <w:top w:val="nil"/>
              <w:left w:val="nil"/>
              <w:bottom w:val="nil"/>
              <w:right w:val="single" w:sz="8" w:space="0" w:color="auto"/>
            </w:tcBorders>
            <w:shd w:val="clear" w:color="000000" w:fill="203764"/>
            <w:vAlign w:val="center"/>
            <w:hideMark/>
          </w:tcPr>
          <w:p w14:paraId="5C5504E6" w14:textId="77777777" w:rsidR="00A06097" w:rsidRPr="00A06097" w:rsidRDefault="00A06097" w:rsidP="00A06097">
            <w:pPr>
              <w:jc w:val="center"/>
              <w:rPr>
                <w:rFonts w:ascii="Arial Narrow" w:eastAsia="Times New Roman" w:hAnsi="Arial Narrow" w:cs="Calibri"/>
                <w:b/>
                <w:bCs/>
                <w:color w:val="FFFFFF"/>
                <w:sz w:val="22"/>
                <w:szCs w:val="22"/>
              </w:rPr>
            </w:pPr>
            <w:r w:rsidRPr="00A06097">
              <w:rPr>
                <w:rFonts w:ascii="Arial Narrow" w:eastAsia="Times New Roman" w:hAnsi="Arial Narrow" w:cs="Calibri"/>
                <w:b/>
                <w:bCs/>
                <w:color w:val="FFFFFF"/>
                <w:sz w:val="22"/>
                <w:szCs w:val="22"/>
              </w:rPr>
              <w:t>Norma</w:t>
            </w:r>
          </w:p>
        </w:tc>
        <w:tc>
          <w:tcPr>
            <w:tcW w:w="1774" w:type="dxa"/>
            <w:tcBorders>
              <w:top w:val="nil"/>
              <w:left w:val="nil"/>
              <w:bottom w:val="nil"/>
              <w:right w:val="single" w:sz="8" w:space="0" w:color="auto"/>
            </w:tcBorders>
            <w:shd w:val="clear" w:color="000000" w:fill="203764"/>
            <w:vAlign w:val="center"/>
            <w:hideMark/>
          </w:tcPr>
          <w:p w14:paraId="44A9E2B1" w14:textId="77777777" w:rsidR="00A06097" w:rsidRPr="00A06097" w:rsidRDefault="00A06097" w:rsidP="00A06097">
            <w:pPr>
              <w:jc w:val="center"/>
              <w:rPr>
                <w:rFonts w:ascii="Arial Narrow" w:eastAsia="Times New Roman" w:hAnsi="Arial Narrow" w:cs="Calibri"/>
                <w:b/>
                <w:bCs/>
                <w:color w:val="FFFFFF"/>
                <w:sz w:val="22"/>
                <w:szCs w:val="22"/>
                <w:lang w:val="es-CR"/>
              </w:rPr>
            </w:pPr>
            <w:r w:rsidRPr="00A06097">
              <w:rPr>
                <w:rFonts w:ascii="Arial Narrow" w:eastAsia="Times New Roman" w:hAnsi="Arial Narrow" w:cs="Calibri"/>
                <w:b/>
                <w:bCs/>
                <w:color w:val="FFFFFF"/>
                <w:sz w:val="22"/>
                <w:szCs w:val="22"/>
                <w:lang w:val="es-CR"/>
              </w:rPr>
              <w:t>Normativa técnica y disposiciones adicionales</w:t>
            </w:r>
          </w:p>
        </w:tc>
      </w:tr>
      <w:tr w:rsidR="00A06097" w:rsidRPr="00A06097" w14:paraId="5AA665A8" w14:textId="77777777" w:rsidTr="00737945">
        <w:trPr>
          <w:trHeight w:val="63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C2D56D" w14:textId="77777777" w:rsidR="00A06097" w:rsidRPr="00A06097" w:rsidRDefault="00A06097" w:rsidP="00A06097">
            <w:pPr>
              <w:jc w:val="cente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7827DDB" w14:textId="77777777" w:rsidR="00A06097" w:rsidRPr="00A06097" w:rsidRDefault="00A06097" w:rsidP="00A06097">
            <w:pPr>
              <w:jc w:val="cente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6</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74230A6E" w14:textId="3CC0103B" w:rsidR="00A06097" w:rsidRPr="00A06097" w:rsidRDefault="00A06097" w:rsidP="00A06097">
            <w:pPr>
              <w:jc w:val="center"/>
              <w:rPr>
                <w:rFonts w:ascii="Arial Narrow" w:eastAsia="Times New Roman" w:hAnsi="Arial Narrow" w:cs="Calibri"/>
                <w:b/>
                <w:bCs/>
                <w:color w:val="000000"/>
                <w:sz w:val="22"/>
                <w:szCs w:val="22"/>
              </w:rPr>
            </w:pPr>
          </w:p>
        </w:tc>
        <w:tc>
          <w:tcPr>
            <w:tcW w:w="3676" w:type="dxa"/>
            <w:tcBorders>
              <w:top w:val="single" w:sz="8" w:space="0" w:color="auto"/>
              <w:left w:val="nil"/>
              <w:bottom w:val="single" w:sz="8" w:space="0" w:color="auto"/>
              <w:right w:val="single" w:sz="8" w:space="0" w:color="auto"/>
            </w:tcBorders>
            <w:shd w:val="clear" w:color="auto" w:fill="auto"/>
            <w:vAlign w:val="center"/>
            <w:hideMark/>
          </w:tcPr>
          <w:p w14:paraId="7F540FEC" w14:textId="77777777" w:rsidR="00A06097" w:rsidRPr="00A06097" w:rsidRDefault="00A06097" w:rsidP="00A06097">
            <w:pPr>
              <w:jc w:val="both"/>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Pagos por incentivos</w:t>
            </w:r>
          </w:p>
        </w:tc>
        <w:tc>
          <w:tcPr>
            <w:tcW w:w="2245" w:type="dxa"/>
            <w:tcBorders>
              <w:top w:val="single" w:sz="8" w:space="0" w:color="auto"/>
              <w:left w:val="nil"/>
              <w:bottom w:val="single" w:sz="8" w:space="0" w:color="auto"/>
              <w:right w:val="single" w:sz="8" w:space="0" w:color="auto"/>
            </w:tcBorders>
            <w:shd w:val="clear" w:color="auto" w:fill="auto"/>
            <w:vAlign w:val="center"/>
            <w:hideMark/>
          </w:tcPr>
          <w:p w14:paraId="2D73F986" w14:textId="7120C1E7" w:rsidR="009E6F9E" w:rsidRDefault="00A06097" w:rsidP="00A06097">
            <w:pPr>
              <w:jc w:val="both"/>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NICSP N° 39,</w:t>
            </w:r>
          </w:p>
          <w:p w14:paraId="56F3DB93" w14:textId="6E37E388" w:rsidR="00A06097" w:rsidRPr="00A06097" w:rsidRDefault="00A06097" w:rsidP="00A06097">
            <w:pPr>
              <w:jc w:val="both"/>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Párrafo 19 y 24.</w:t>
            </w:r>
          </w:p>
        </w:tc>
        <w:tc>
          <w:tcPr>
            <w:tcW w:w="1774" w:type="dxa"/>
            <w:tcBorders>
              <w:top w:val="single" w:sz="8" w:space="0" w:color="auto"/>
              <w:left w:val="nil"/>
              <w:bottom w:val="single" w:sz="8" w:space="0" w:color="auto"/>
              <w:right w:val="single" w:sz="8" w:space="0" w:color="auto"/>
            </w:tcBorders>
            <w:shd w:val="clear" w:color="auto" w:fill="auto"/>
            <w:vAlign w:val="center"/>
            <w:hideMark/>
          </w:tcPr>
          <w:p w14:paraId="643B8691" w14:textId="77777777" w:rsidR="00A06097" w:rsidRPr="00A06097" w:rsidRDefault="00A06097" w:rsidP="00A06097">
            <w:pPr>
              <w:jc w:val="center"/>
              <w:rPr>
                <w:rFonts w:ascii="Arial Narrow" w:eastAsia="Times New Roman" w:hAnsi="Arial Narrow" w:cs="Calibri"/>
                <w:b/>
                <w:bCs/>
                <w:color w:val="000000"/>
                <w:sz w:val="22"/>
                <w:szCs w:val="22"/>
              </w:rPr>
            </w:pPr>
            <w:r w:rsidRPr="00A06097">
              <w:rPr>
                <w:rFonts w:ascii="Arial Narrow" w:eastAsia="Times New Roman" w:hAnsi="Arial Narrow" w:cs="Calibri"/>
                <w:b/>
                <w:bCs/>
                <w:color w:val="000000"/>
                <w:sz w:val="22"/>
                <w:szCs w:val="22"/>
              </w:rPr>
              <w:t>DGCN</w:t>
            </w:r>
          </w:p>
        </w:tc>
      </w:tr>
    </w:tbl>
    <w:p w14:paraId="0E246606" w14:textId="77777777" w:rsidR="003D4F87" w:rsidRDefault="003D4F87" w:rsidP="009F48E0">
      <w:pPr>
        <w:pStyle w:val="Default"/>
        <w:jc w:val="both"/>
        <w:rPr>
          <w:b/>
          <w:bCs/>
          <w:sz w:val="23"/>
          <w:szCs w:val="23"/>
          <w:lang w:val="es-CR"/>
        </w:rPr>
      </w:pPr>
    </w:p>
    <w:p w14:paraId="3BE041C3" w14:textId="77777777" w:rsidR="00737945" w:rsidRDefault="00737945" w:rsidP="00737945">
      <w:pPr>
        <w:pStyle w:val="Default"/>
        <w:ind w:left="1134" w:hanging="1134"/>
        <w:jc w:val="both"/>
        <w:rPr>
          <w:rFonts w:eastAsia="Arial"/>
          <w:b/>
          <w:sz w:val="22"/>
          <w:szCs w:val="22"/>
        </w:rPr>
      </w:pPr>
      <w:r w:rsidRPr="00F02F9D">
        <w:rPr>
          <w:rFonts w:eastAsia="Arial"/>
          <w:b/>
          <w:sz w:val="22"/>
          <w:szCs w:val="22"/>
        </w:rPr>
        <w:t>Políticas Contables</w:t>
      </w:r>
    </w:p>
    <w:p w14:paraId="551904F6" w14:textId="77777777" w:rsidR="00737945" w:rsidRDefault="00737945" w:rsidP="009F48E0">
      <w:pPr>
        <w:pStyle w:val="Default"/>
        <w:jc w:val="both"/>
        <w:rPr>
          <w:b/>
          <w:bCs/>
          <w:sz w:val="23"/>
          <w:szCs w:val="23"/>
          <w:lang w:val="es-CR"/>
        </w:rPr>
      </w:pPr>
    </w:p>
    <w:p w14:paraId="258A2B2B" w14:textId="37F11F4C" w:rsidR="00A06097" w:rsidRDefault="009E6F9E" w:rsidP="002B3270">
      <w:pPr>
        <w:pStyle w:val="Default"/>
        <w:ind w:left="1134" w:hanging="1134"/>
        <w:jc w:val="both"/>
        <w:rPr>
          <w:sz w:val="22"/>
          <w:szCs w:val="22"/>
          <w:lang w:val="es-CR"/>
        </w:rPr>
      </w:pPr>
      <w:r w:rsidRPr="002B3270">
        <w:rPr>
          <w:sz w:val="22"/>
          <w:szCs w:val="22"/>
          <w:lang w:val="es-CR"/>
        </w:rPr>
        <w:t>5.6.0.01</w:t>
      </w:r>
      <w:r w:rsidR="00737945">
        <w:rPr>
          <w:sz w:val="22"/>
          <w:szCs w:val="22"/>
          <w:lang w:val="es-CR"/>
        </w:rPr>
        <w:tab/>
        <w:t>L</w:t>
      </w:r>
      <w:r w:rsidR="00A06097" w:rsidRPr="002B3270">
        <w:rPr>
          <w:sz w:val="22"/>
          <w:szCs w:val="22"/>
          <w:lang w:val="es-CR"/>
        </w:rPr>
        <w:t>a entidad reconocerá el costo esperado de la participación en ganancias y planes de incentivos cuando, y sólo cuando:</w:t>
      </w:r>
    </w:p>
    <w:p w14:paraId="1E735ED6" w14:textId="77777777" w:rsidR="00737945" w:rsidRPr="002B3270" w:rsidRDefault="00737945" w:rsidP="002B3270">
      <w:pPr>
        <w:pStyle w:val="Default"/>
        <w:ind w:left="1134" w:hanging="1134"/>
        <w:jc w:val="both"/>
        <w:rPr>
          <w:sz w:val="22"/>
          <w:szCs w:val="22"/>
          <w:lang w:val="es-CR"/>
        </w:rPr>
      </w:pPr>
    </w:p>
    <w:p w14:paraId="40A6C7A8" w14:textId="63327A78" w:rsidR="00A06097" w:rsidRPr="002B3270" w:rsidRDefault="002B3270">
      <w:pPr>
        <w:pStyle w:val="Default"/>
        <w:numPr>
          <w:ilvl w:val="0"/>
          <w:numId w:val="282"/>
        </w:numPr>
        <w:spacing w:after="120"/>
        <w:ind w:left="1418" w:hanging="284"/>
        <w:jc w:val="both"/>
        <w:rPr>
          <w:sz w:val="22"/>
          <w:szCs w:val="22"/>
          <w:lang w:val="es-CR"/>
        </w:rPr>
      </w:pPr>
      <w:r w:rsidRPr="002B3270">
        <w:rPr>
          <w:sz w:val="22"/>
          <w:szCs w:val="22"/>
          <w:lang w:val="es-CR"/>
        </w:rPr>
        <w:t>L</w:t>
      </w:r>
      <w:r w:rsidR="00A06097" w:rsidRPr="002B3270">
        <w:rPr>
          <w:sz w:val="22"/>
          <w:szCs w:val="22"/>
          <w:lang w:val="es-CR"/>
        </w:rPr>
        <w:t xml:space="preserve">a entidad tenga una obligación presente, legal o implícita, de hacer tales pagos como consecuencia de sucesos ocurridos en el pasado; y </w:t>
      </w:r>
    </w:p>
    <w:p w14:paraId="59464E9C" w14:textId="4FB7EDBB" w:rsidR="00A06097" w:rsidRPr="002B3270" w:rsidRDefault="002B3270">
      <w:pPr>
        <w:pStyle w:val="Default"/>
        <w:numPr>
          <w:ilvl w:val="0"/>
          <w:numId w:val="282"/>
        </w:numPr>
        <w:ind w:left="1276" w:hanging="142"/>
        <w:jc w:val="both"/>
        <w:rPr>
          <w:sz w:val="22"/>
          <w:szCs w:val="22"/>
          <w:lang w:val="es-CR"/>
        </w:rPr>
      </w:pPr>
      <w:r w:rsidRPr="002B3270">
        <w:rPr>
          <w:sz w:val="22"/>
          <w:szCs w:val="22"/>
          <w:lang w:val="es-CR"/>
        </w:rPr>
        <w:t>P</w:t>
      </w:r>
      <w:r w:rsidR="00A06097" w:rsidRPr="002B3270">
        <w:rPr>
          <w:sz w:val="22"/>
          <w:szCs w:val="22"/>
          <w:lang w:val="es-CR"/>
        </w:rPr>
        <w:t xml:space="preserve">ueda realizarse una estimación fiable de la obligación. </w:t>
      </w:r>
    </w:p>
    <w:p w14:paraId="14D4A50F" w14:textId="77777777" w:rsidR="00A06097" w:rsidRPr="002B3270" w:rsidRDefault="00A06097" w:rsidP="002B3270">
      <w:pPr>
        <w:pStyle w:val="Default"/>
        <w:jc w:val="both"/>
        <w:rPr>
          <w:b/>
          <w:bCs/>
          <w:sz w:val="22"/>
          <w:szCs w:val="22"/>
          <w:lang w:val="es-CR"/>
        </w:rPr>
      </w:pPr>
    </w:p>
    <w:p w14:paraId="3851480C" w14:textId="7C318971" w:rsidR="00A06097" w:rsidRPr="002B3270" w:rsidRDefault="002B3270" w:rsidP="002B3270">
      <w:pPr>
        <w:pStyle w:val="Default"/>
        <w:ind w:left="1134" w:hanging="1134"/>
        <w:jc w:val="both"/>
        <w:rPr>
          <w:sz w:val="22"/>
          <w:szCs w:val="22"/>
          <w:lang w:val="es-CR"/>
        </w:rPr>
      </w:pPr>
      <w:r w:rsidRPr="002B3270">
        <w:rPr>
          <w:sz w:val="22"/>
          <w:szCs w:val="22"/>
          <w:lang w:val="es-CR"/>
        </w:rPr>
        <w:t>5.6.0.02</w:t>
      </w:r>
      <w:r w:rsidRPr="002B3270">
        <w:rPr>
          <w:sz w:val="22"/>
          <w:szCs w:val="22"/>
          <w:lang w:val="es-CR"/>
        </w:rPr>
        <w:tab/>
      </w:r>
      <w:r w:rsidR="00A06097" w:rsidRPr="002B3270">
        <w:rPr>
          <w:sz w:val="22"/>
          <w:szCs w:val="22"/>
          <w:lang w:val="es-CR"/>
        </w:rPr>
        <w:t>Existe una obligación presente cuando, y solo cuando, la entidad no tiene otra alternativa realista que realizar los pagos</w:t>
      </w:r>
      <w:r w:rsidRPr="002B3270">
        <w:rPr>
          <w:sz w:val="22"/>
          <w:szCs w:val="22"/>
          <w:lang w:val="es-CR"/>
        </w:rPr>
        <w:t>.</w:t>
      </w:r>
    </w:p>
    <w:p w14:paraId="31A25CFC" w14:textId="77777777" w:rsidR="002B3270" w:rsidRPr="002B3270" w:rsidRDefault="002B3270" w:rsidP="002B3270">
      <w:pPr>
        <w:pStyle w:val="Default"/>
        <w:ind w:left="1134" w:hanging="1134"/>
        <w:jc w:val="both"/>
        <w:rPr>
          <w:sz w:val="22"/>
          <w:szCs w:val="22"/>
          <w:lang w:val="es-CR"/>
        </w:rPr>
      </w:pPr>
    </w:p>
    <w:p w14:paraId="2145D312" w14:textId="7B903D05" w:rsidR="00A06097" w:rsidRPr="002B3270" w:rsidRDefault="002B3270" w:rsidP="002B3270">
      <w:pPr>
        <w:pStyle w:val="Default"/>
        <w:ind w:left="1134" w:hanging="1134"/>
        <w:jc w:val="both"/>
        <w:rPr>
          <w:sz w:val="22"/>
          <w:szCs w:val="22"/>
          <w:lang w:val="es-CR"/>
        </w:rPr>
      </w:pPr>
      <w:r w:rsidRPr="002B3270">
        <w:rPr>
          <w:sz w:val="22"/>
          <w:szCs w:val="22"/>
          <w:lang w:val="es-CR"/>
        </w:rPr>
        <w:lastRenderedPageBreak/>
        <w:t>5.6.0.03</w:t>
      </w:r>
      <w:r w:rsidRPr="002B3270">
        <w:rPr>
          <w:sz w:val="22"/>
          <w:szCs w:val="22"/>
          <w:lang w:val="es-CR"/>
        </w:rPr>
        <w:tab/>
      </w:r>
      <w:r w:rsidR="00A06097" w:rsidRPr="002B3270">
        <w:rPr>
          <w:sz w:val="22"/>
          <w:szCs w:val="22"/>
          <w:lang w:val="es-CR"/>
        </w:rPr>
        <w:t>Si los pagos por participaciones en las ganancias e incentivos no se espera que se liquiden completamente dentro de los doce meses posteriores al cierre del periodo sobre el que se informa en el que los empleados prestan los servicios relacionados, esos pagos se tratarán como otros beneficios a los empleados a largo plazo.</w:t>
      </w:r>
    </w:p>
    <w:p w14:paraId="72312AC9" w14:textId="77777777" w:rsidR="00A06097" w:rsidRDefault="00A06097" w:rsidP="00A06097">
      <w:pPr>
        <w:pStyle w:val="Default"/>
        <w:rPr>
          <w:sz w:val="23"/>
          <w:szCs w:val="23"/>
          <w:lang w:val="es-CR"/>
        </w:rPr>
      </w:pPr>
    </w:p>
    <w:p w14:paraId="3EC0EE42" w14:textId="77777777" w:rsidR="00A06097" w:rsidRPr="00A06097" w:rsidRDefault="00A06097" w:rsidP="00A06097">
      <w:pPr>
        <w:pStyle w:val="Default"/>
        <w:rPr>
          <w:sz w:val="23"/>
          <w:szCs w:val="23"/>
          <w:lang w:val="es-CR"/>
        </w:rPr>
      </w:pPr>
    </w:p>
    <w:p w14:paraId="45ADBF09" w14:textId="0EBF23CC" w:rsidR="00A06097" w:rsidRPr="009E7101" w:rsidRDefault="00A06097" w:rsidP="009E7101">
      <w:pPr>
        <w:pStyle w:val="Ttulo2"/>
        <w:ind w:left="284"/>
        <w:rPr>
          <w:rFonts w:ascii="Arial" w:eastAsia="Arial" w:hAnsi="Arial" w:cs="Arial"/>
          <w:b/>
          <w:bCs/>
          <w:sz w:val="20"/>
          <w:szCs w:val="20"/>
          <w:lang w:val="es-CR"/>
        </w:rPr>
      </w:pPr>
      <w:bookmarkStart w:id="147" w:name="_Toc172726282"/>
      <w:r w:rsidRPr="009E7101">
        <w:rPr>
          <w:rFonts w:ascii="Arial" w:eastAsia="Arial" w:hAnsi="Arial" w:cs="Arial"/>
          <w:b/>
          <w:bCs/>
          <w:sz w:val="20"/>
          <w:szCs w:val="20"/>
          <w:lang w:val="es-CR"/>
        </w:rPr>
        <w:t>Gastos por concepto de aguinaldo</w:t>
      </w:r>
      <w:bookmarkEnd w:id="147"/>
    </w:p>
    <w:p w14:paraId="06C8B40E" w14:textId="77777777" w:rsidR="003D4F87" w:rsidRDefault="003D4F87" w:rsidP="009F48E0">
      <w:pPr>
        <w:pStyle w:val="Default"/>
        <w:jc w:val="both"/>
        <w:rPr>
          <w:b/>
          <w:bCs/>
          <w:sz w:val="23"/>
          <w:szCs w:val="23"/>
          <w:lang w:val="es-CR"/>
        </w:rPr>
      </w:pPr>
    </w:p>
    <w:tbl>
      <w:tblPr>
        <w:tblW w:w="9316" w:type="dxa"/>
        <w:tblInd w:w="118" w:type="dxa"/>
        <w:tblLook w:val="04A0" w:firstRow="1" w:lastRow="0" w:firstColumn="1" w:lastColumn="0" w:noHBand="0" w:noVBand="1"/>
      </w:tblPr>
      <w:tblGrid>
        <w:gridCol w:w="531"/>
        <w:gridCol w:w="615"/>
        <w:gridCol w:w="511"/>
        <w:gridCol w:w="3695"/>
        <w:gridCol w:w="2033"/>
        <w:gridCol w:w="1914"/>
        <w:gridCol w:w="17"/>
      </w:tblGrid>
      <w:tr w:rsidR="00AB46A9" w:rsidRPr="00531B7E" w14:paraId="1AB8DEA0" w14:textId="77777777" w:rsidTr="00737945">
        <w:trPr>
          <w:trHeight w:val="320"/>
        </w:trPr>
        <w:tc>
          <w:tcPr>
            <w:tcW w:w="165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AFF132A" w14:textId="77777777" w:rsidR="00AB46A9" w:rsidRPr="00531B7E" w:rsidRDefault="00AB46A9" w:rsidP="00AB46A9">
            <w:pPr>
              <w:jc w:val="center"/>
              <w:rPr>
                <w:rFonts w:ascii="Arial Narrow" w:eastAsia="Times New Roman" w:hAnsi="Arial Narrow" w:cs="Calibri"/>
                <w:b/>
                <w:bCs/>
                <w:color w:val="FFFFFF"/>
                <w:sz w:val="24"/>
                <w:szCs w:val="24"/>
              </w:rPr>
            </w:pPr>
            <w:r w:rsidRPr="00531B7E">
              <w:rPr>
                <w:rFonts w:ascii="Arial Narrow" w:eastAsia="Times New Roman" w:hAnsi="Arial Narrow" w:cs="Calibri"/>
                <w:b/>
                <w:bCs/>
                <w:color w:val="FFFFFF"/>
                <w:sz w:val="24"/>
                <w:szCs w:val="24"/>
              </w:rPr>
              <w:t>Norma / Política</w:t>
            </w:r>
          </w:p>
        </w:tc>
        <w:tc>
          <w:tcPr>
            <w:tcW w:w="3695" w:type="dxa"/>
            <w:vMerge w:val="restart"/>
            <w:tcBorders>
              <w:top w:val="single" w:sz="8" w:space="0" w:color="auto"/>
              <w:left w:val="single" w:sz="8" w:space="0" w:color="auto"/>
              <w:bottom w:val="nil"/>
              <w:right w:val="single" w:sz="8" w:space="0" w:color="auto"/>
            </w:tcBorders>
            <w:shd w:val="clear" w:color="000000" w:fill="203764"/>
            <w:vAlign w:val="center"/>
            <w:hideMark/>
          </w:tcPr>
          <w:p w14:paraId="368F031B" w14:textId="77777777" w:rsidR="00AB46A9" w:rsidRPr="00531B7E" w:rsidRDefault="00AB46A9" w:rsidP="00AB46A9">
            <w:pPr>
              <w:jc w:val="center"/>
              <w:rPr>
                <w:rFonts w:ascii="Arial Narrow" w:eastAsia="Times New Roman" w:hAnsi="Arial Narrow" w:cs="Calibri"/>
                <w:b/>
                <w:bCs/>
                <w:color w:val="FFFFFF"/>
                <w:sz w:val="24"/>
                <w:szCs w:val="24"/>
              </w:rPr>
            </w:pPr>
            <w:r w:rsidRPr="00531B7E">
              <w:rPr>
                <w:rFonts w:ascii="Arial Narrow" w:eastAsia="Times New Roman" w:hAnsi="Arial Narrow" w:cs="Calibri"/>
                <w:b/>
                <w:bCs/>
                <w:color w:val="FFFFFF"/>
                <w:sz w:val="24"/>
                <w:szCs w:val="24"/>
              </w:rPr>
              <w:t>Concepto</w:t>
            </w:r>
          </w:p>
        </w:tc>
        <w:tc>
          <w:tcPr>
            <w:tcW w:w="3964" w:type="dxa"/>
            <w:gridSpan w:val="3"/>
            <w:tcBorders>
              <w:top w:val="single" w:sz="8" w:space="0" w:color="auto"/>
              <w:left w:val="nil"/>
              <w:bottom w:val="single" w:sz="8" w:space="0" w:color="auto"/>
              <w:right w:val="single" w:sz="8" w:space="0" w:color="000000"/>
            </w:tcBorders>
            <w:shd w:val="clear" w:color="000000" w:fill="203764"/>
            <w:vAlign w:val="center"/>
            <w:hideMark/>
          </w:tcPr>
          <w:p w14:paraId="2776FC46" w14:textId="77777777" w:rsidR="00AB46A9" w:rsidRPr="00531B7E" w:rsidRDefault="00AB46A9" w:rsidP="00AB46A9">
            <w:pPr>
              <w:jc w:val="center"/>
              <w:rPr>
                <w:rFonts w:ascii="Arial Narrow" w:eastAsia="Times New Roman" w:hAnsi="Arial Narrow" w:cs="Calibri"/>
                <w:b/>
                <w:bCs/>
                <w:color w:val="FFFFFF"/>
                <w:sz w:val="24"/>
                <w:szCs w:val="24"/>
              </w:rPr>
            </w:pPr>
            <w:r w:rsidRPr="00531B7E">
              <w:rPr>
                <w:rFonts w:ascii="Arial Narrow" w:eastAsia="Times New Roman" w:hAnsi="Arial Narrow" w:cs="Calibri"/>
                <w:b/>
                <w:bCs/>
                <w:color w:val="FFFFFF"/>
                <w:sz w:val="24"/>
                <w:szCs w:val="24"/>
              </w:rPr>
              <w:t>Referencia</w:t>
            </w:r>
          </w:p>
        </w:tc>
      </w:tr>
      <w:tr w:rsidR="00AB46A9" w:rsidRPr="006E5442" w14:paraId="568ED3AF" w14:textId="77777777" w:rsidTr="00737945">
        <w:trPr>
          <w:gridAfter w:val="1"/>
          <w:wAfter w:w="17" w:type="dxa"/>
          <w:trHeight w:val="940"/>
        </w:trPr>
        <w:tc>
          <w:tcPr>
            <w:tcW w:w="1657" w:type="dxa"/>
            <w:gridSpan w:val="3"/>
            <w:vMerge/>
            <w:tcBorders>
              <w:top w:val="single" w:sz="8" w:space="0" w:color="auto"/>
              <w:left w:val="single" w:sz="8" w:space="0" w:color="auto"/>
              <w:bottom w:val="nil"/>
              <w:right w:val="single" w:sz="8" w:space="0" w:color="000000"/>
            </w:tcBorders>
            <w:vAlign w:val="center"/>
            <w:hideMark/>
          </w:tcPr>
          <w:p w14:paraId="414167C2" w14:textId="77777777" w:rsidR="00AB46A9" w:rsidRPr="00531B7E" w:rsidRDefault="00AB46A9" w:rsidP="00AB46A9">
            <w:pPr>
              <w:rPr>
                <w:rFonts w:ascii="Arial Narrow" w:eastAsia="Times New Roman" w:hAnsi="Arial Narrow" w:cs="Calibri"/>
                <w:b/>
                <w:bCs/>
                <w:color w:val="FFFFFF"/>
                <w:sz w:val="24"/>
                <w:szCs w:val="24"/>
              </w:rPr>
            </w:pPr>
          </w:p>
        </w:tc>
        <w:tc>
          <w:tcPr>
            <w:tcW w:w="3695" w:type="dxa"/>
            <w:vMerge/>
            <w:tcBorders>
              <w:top w:val="single" w:sz="8" w:space="0" w:color="auto"/>
              <w:left w:val="single" w:sz="8" w:space="0" w:color="auto"/>
              <w:bottom w:val="nil"/>
              <w:right w:val="single" w:sz="8" w:space="0" w:color="auto"/>
            </w:tcBorders>
            <w:vAlign w:val="center"/>
            <w:hideMark/>
          </w:tcPr>
          <w:p w14:paraId="053649D5" w14:textId="77777777" w:rsidR="00AB46A9" w:rsidRPr="00531B7E" w:rsidRDefault="00AB46A9" w:rsidP="00AB46A9">
            <w:pPr>
              <w:rPr>
                <w:rFonts w:ascii="Arial Narrow" w:eastAsia="Times New Roman" w:hAnsi="Arial Narrow" w:cs="Calibri"/>
                <w:b/>
                <w:bCs/>
                <w:color w:val="FFFFFF"/>
                <w:sz w:val="24"/>
                <w:szCs w:val="24"/>
              </w:rPr>
            </w:pPr>
          </w:p>
        </w:tc>
        <w:tc>
          <w:tcPr>
            <w:tcW w:w="2033" w:type="dxa"/>
            <w:tcBorders>
              <w:top w:val="nil"/>
              <w:left w:val="nil"/>
              <w:bottom w:val="nil"/>
              <w:right w:val="single" w:sz="8" w:space="0" w:color="auto"/>
            </w:tcBorders>
            <w:shd w:val="clear" w:color="000000" w:fill="203764"/>
            <w:vAlign w:val="center"/>
            <w:hideMark/>
          </w:tcPr>
          <w:p w14:paraId="0EBB2761" w14:textId="77777777" w:rsidR="00AB46A9" w:rsidRPr="00531B7E" w:rsidRDefault="00AB46A9" w:rsidP="00AB46A9">
            <w:pPr>
              <w:jc w:val="center"/>
              <w:rPr>
                <w:rFonts w:ascii="Arial Narrow" w:eastAsia="Times New Roman" w:hAnsi="Arial Narrow" w:cs="Calibri"/>
                <w:b/>
                <w:bCs/>
                <w:color w:val="FFFFFF"/>
                <w:sz w:val="24"/>
                <w:szCs w:val="24"/>
              </w:rPr>
            </w:pPr>
            <w:r w:rsidRPr="00531B7E">
              <w:rPr>
                <w:rFonts w:ascii="Arial Narrow" w:eastAsia="Times New Roman" w:hAnsi="Arial Narrow" w:cs="Calibri"/>
                <w:b/>
                <w:bCs/>
                <w:color w:val="FFFFFF"/>
                <w:sz w:val="24"/>
                <w:szCs w:val="24"/>
              </w:rPr>
              <w:t>Norma</w:t>
            </w:r>
          </w:p>
        </w:tc>
        <w:tc>
          <w:tcPr>
            <w:tcW w:w="1914" w:type="dxa"/>
            <w:tcBorders>
              <w:top w:val="nil"/>
              <w:left w:val="nil"/>
              <w:bottom w:val="nil"/>
              <w:right w:val="single" w:sz="8" w:space="0" w:color="auto"/>
            </w:tcBorders>
            <w:shd w:val="clear" w:color="000000" w:fill="203764"/>
            <w:vAlign w:val="center"/>
            <w:hideMark/>
          </w:tcPr>
          <w:p w14:paraId="3CE27427" w14:textId="77777777" w:rsidR="00AB46A9" w:rsidRPr="00531B7E" w:rsidRDefault="00AB46A9" w:rsidP="00AB46A9">
            <w:pPr>
              <w:jc w:val="center"/>
              <w:rPr>
                <w:rFonts w:ascii="Arial Narrow" w:eastAsia="Times New Roman" w:hAnsi="Arial Narrow" w:cs="Calibri"/>
                <w:b/>
                <w:bCs/>
                <w:color w:val="FFFFFF"/>
                <w:sz w:val="24"/>
                <w:szCs w:val="24"/>
                <w:lang w:val="es-CR"/>
              </w:rPr>
            </w:pPr>
            <w:r w:rsidRPr="00531B7E">
              <w:rPr>
                <w:rFonts w:ascii="Arial Narrow" w:eastAsia="Times New Roman" w:hAnsi="Arial Narrow" w:cs="Calibri"/>
                <w:b/>
                <w:bCs/>
                <w:color w:val="FFFFFF"/>
                <w:sz w:val="24"/>
                <w:szCs w:val="24"/>
                <w:lang w:val="es-CR"/>
              </w:rPr>
              <w:t>Normativa técnica y disposiciones adicionales</w:t>
            </w:r>
          </w:p>
        </w:tc>
      </w:tr>
      <w:tr w:rsidR="00AB46A9" w:rsidRPr="00531B7E" w14:paraId="43CC68F4" w14:textId="77777777" w:rsidTr="00737945">
        <w:trPr>
          <w:gridAfter w:val="1"/>
          <w:wAfter w:w="17" w:type="dxa"/>
          <w:trHeight w:val="864"/>
        </w:trPr>
        <w:tc>
          <w:tcPr>
            <w:tcW w:w="5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5BC068" w14:textId="77777777" w:rsidR="00AB46A9" w:rsidRPr="00531B7E" w:rsidRDefault="00AB46A9" w:rsidP="00737945">
            <w:pPr>
              <w:jc w:val="center"/>
              <w:rPr>
                <w:rFonts w:ascii="Arial Narrow" w:eastAsia="Times New Roman" w:hAnsi="Arial Narrow"/>
                <w:b/>
                <w:bCs/>
                <w:color w:val="000000"/>
                <w:sz w:val="24"/>
                <w:szCs w:val="24"/>
              </w:rPr>
            </w:pPr>
            <w:r w:rsidRPr="00531B7E">
              <w:rPr>
                <w:rFonts w:ascii="Arial Narrow" w:eastAsia="Times New Roman" w:hAnsi="Arial Narrow"/>
                <w:b/>
                <w:bCs/>
                <w:color w:val="000000"/>
                <w:sz w:val="24"/>
                <w:szCs w:val="24"/>
              </w:rPr>
              <w:t>5</w:t>
            </w:r>
          </w:p>
        </w:tc>
        <w:tc>
          <w:tcPr>
            <w:tcW w:w="615" w:type="dxa"/>
            <w:tcBorders>
              <w:top w:val="single" w:sz="8" w:space="0" w:color="auto"/>
              <w:left w:val="nil"/>
              <w:bottom w:val="single" w:sz="8" w:space="0" w:color="auto"/>
              <w:right w:val="single" w:sz="8" w:space="0" w:color="auto"/>
            </w:tcBorders>
            <w:shd w:val="clear" w:color="auto" w:fill="auto"/>
            <w:vAlign w:val="center"/>
            <w:hideMark/>
          </w:tcPr>
          <w:p w14:paraId="1AF13BD6" w14:textId="77777777" w:rsidR="00AB46A9" w:rsidRPr="00531B7E" w:rsidRDefault="00AB46A9" w:rsidP="00737945">
            <w:pPr>
              <w:jc w:val="center"/>
              <w:rPr>
                <w:rFonts w:ascii="Arial Narrow" w:eastAsia="Times New Roman" w:hAnsi="Arial Narrow"/>
                <w:b/>
                <w:bCs/>
                <w:color w:val="000000"/>
                <w:sz w:val="24"/>
                <w:szCs w:val="24"/>
              </w:rPr>
            </w:pPr>
            <w:r w:rsidRPr="00531B7E">
              <w:rPr>
                <w:rFonts w:ascii="Arial Narrow" w:eastAsia="Times New Roman" w:hAnsi="Arial Narrow"/>
                <w:b/>
                <w:bCs/>
                <w:color w:val="000000"/>
                <w:sz w:val="24"/>
                <w:szCs w:val="24"/>
              </w:rPr>
              <w:t>7</w:t>
            </w:r>
          </w:p>
        </w:tc>
        <w:tc>
          <w:tcPr>
            <w:tcW w:w="511" w:type="dxa"/>
            <w:tcBorders>
              <w:top w:val="single" w:sz="8" w:space="0" w:color="auto"/>
              <w:left w:val="nil"/>
              <w:bottom w:val="single" w:sz="8" w:space="0" w:color="auto"/>
              <w:right w:val="single" w:sz="8" w:space="0" w:color="auto"/>
            </w:tcBorders>
            <w:shd w:val="clear" w:color="auto" w:fill="auto"/>
            <w:vAlign w:val="center"/>
            <w:hideMark/>
          </w:tcPr>
          <w:p w14:paraId="3391435B" w14:textId="05022B6F" w:rsidR="00AB46A9" w:rsidRPr="00531B7E" w:rsidRDefault="00AB46A9" w:rsidP="00737945">
            <w:pPr>
              <w:jc w:val="center"/>
              <w:rPr>
                <w:rFonts w:ascii="Arial Narrow" w:eastAsia="Times New Roman" w:hAnsi="Arial Narrow" w:cs="Calibri"/>
                <w:b/>
                <w:bCs/>
                <w:color w:val="000000"/>
                <w:sz w:val="24"/>
                <w:szCs w:val="24"/>
              </w:rPr>
            </w:pPr>
          </w:p>
        </w:tc>
        <w:tc>
          <w:tcPr>
            <w:tcW w:w="3695" w:type="dxa"/>
            <w:tcBorders>
              <w:top w:val="single" w:sz="8" w:space="0" w:color="auto"/>
              <w:left w:val="nil"/>
              <w:bottom w:val="single" w:sz="8" w:space="0" w:color="auto"/>
              <w:right w:val="single" w:sz="8" w:space="0" w:color="auto"/>
            </w:tcBorders>
            <w:shd w:val="clear" w:color="auto" w:fill="auto"/>
            <w:vAlign w:val="center"/>
            <w:hideMark/>
          </w:tcPr>
          <w:p w14:paraId="66D1BFE4" w14:textId="77777777" w:rsidR="00AB46A9" w:rsidRPr="00531B7E" w:rsidRDefault="00AB46A9" w:rsidP="00AB46A9">
            <w:pPr>
              <w:rPr>
                <w:rFonts w:ascii="Arial Narrow" w:eastAsia="Times New Roman" w:hAnsi="Arial Narrow"/>
                <w:b/>
                <w:bCs/>
                <w:color w:val="000000"/>
                <w:sz w:val="22"/>
                <w:szCs w:val="22"/>
                <w:lang w:val="es-CR"/>
              </w:rPr>
            </w:pPr>
            <w:r w:rsidRPr="00531B7E">
              <w:rPr>
                <w:rFonts w:ascii="Arial Narrow" w:eastAsia="Times New Roman" w:hAnsi="Arial Narrow"/>
                <w:b/>
                <w:bCs/>
                <w:color w:val="000000"/>
                <w:sz w:val="22"/>
                <w:szCs w:val="22"/>
                <w:lang w:val="es-CR"/>
              </w:rPr>
              <w:t>Gastos por concepto de aguinaldo</w:t>
            </w:r>
          </w:p>
        </w:tc>
        <w:tc>
          <w:tcPr>
            <w:tcW w:w="2033" w:type="dxa"/>
            <w:tcBorders>
              <w:top w:val="single" w:sz="8" w:space="0" w:color="auto"/>
              <w:left w:val="nil"/>
              <w:bottom w:val="single" w:sz="8" w:space="0" w:color="auto"/>
              <w:right w:val="single" w:sz="8" w:space="0" w:color="auto"/>
            </w:tcBorders>
            <w:shd w:val="clear" w:color="auto" w:fill="auto"/>
            <w:vAlign w:val="center"/>
            <w:hideMark/>
          </w:tcPr>
          <w:p w14:paraId="0379F689" w14:textId="77777777" w:rsidR="00737945" w:rsidRDefault="00AB46A9" w:rsidP="00AB46A9">
            <w:pPr>
              <w:rPr>
                <w:rFonts w:ascii="Arial Narrow" w:eastAsia="Times New Roman" w:hAnsi="Arial Narrow" w:cs="Calibri"/>
                <w:b/>
                <w:bCs/>
                <w:color w:val="000000"/>
                <w:sz w:val="24"/>
                <w:szCs w:val="24"/>
                <w:lang w:val="es-CR"/>
              </w:rPr>
            </w:pPr>
            <w:r w:rsidRPr="00531B7E">
              <w:rPr>
                <w:rFonts w:ascii="Arial Narrow" w:eastAsia="Times New Roman" w:hAnsi="Arial Narrow" w:cs="Calibri"/>
                <w:b/>
                <w:bCs/>
                <w:color w:val="000000"/>
                <w:sz w:val="24"/>
                <w:szCs w:val="24"/>
                <w:lang w:val="es-CR"/>
              </w:rPr>
              <w:t xml:space="preserve">NICSP N° 39 </w:t>
            </w:r>
          </w:p>
          <w:p w14:paraId="17BB72C2" w14:textId="3A414976" w:rsidR="00AB46A9" w:rsidRPr="00531B7E" w:rsidRDefault="00AB46A9" w:rsidP="00AB46A9">
            <w:pPr>
              <w:rPr>
                <w:rFonts w:ascii="Arial Narrow" w:eastAsia="Times New Roman" w:hAnsi="Arial Narrow" w:cs="Calibri"/>
                <w:b/>
                <w:bCs/>
                <w:color w:val="000000"/>
                <w:sz w:val="24"/>
                <w:szCs w:val="24"/>
                <w:lang w:val="es-CR"/>
              </w:rPr>
            </w:pPr>
            <w:r w:rsidRPr="00531B7E">
              <w:rPr>
                <w:rFonts w:ascii="Arial Narrow" w:eastAsia="Times New Roman" w:hAnsi="Arial Narrow" w:cs="Calibri"/>
                <w:b/>
                <w:bCs/>
                <w:color w:val="000000"/>
                <w:sz w:val="24"/>
                <w:szCs w:val="24"/>
                <w:lang w:val="es-CR"/>
              </w:rPr>
              <w:t>Párrafo</w:t>
            </w:r>
            <w:r w:rsidR="00737945">
              <w:rPr>
                <w:rFonts w:ascii="Arial Narrow" w:eastAsia="Times New Roman" w:hAnsi="Arial Narrow" w:cs="Calibri"/>
                <w:b/>
                <w:bCs/>
                <w:color w:val="000000"/>
                <w:sz w:val="24"/>
                <w:szCs w:val="24"/>
                <w:lang w:val="es-CR"/>
              </w:rPr>
              <w:t>s</w:t>
            </w:r>
            <w:r w:rsidRPr="00531B7E">
              <w:rPr>
                <w:rFonts w:ascii="Arial Narrow" w:eastAsia="Times New Roman" w:hAnsi="Arial Narrow" w:cs="Calibri"/>
                <w:b/>
                <w:bCs/>
                <w:color w:val="000000"/>
                <w:sz w:val="24"/>
                <w:szCs w:val="24"/>
                <w:lang w:val="es-CR"/>
              </w:rPr>
              <w:t xml:space="preserve"> 1(b)</w:t>
            </w:r>
            <w:r w:rsidR="00737945">
              <w:rPr>
                <w:rFonts w:ascii="Arial Narrow" w:eastAsia="Times New Roman" w:hAnsi="Arial Narrow" w:cs="Calibri"/>
                <w:b/>
                <w:bCs/>
                <w:color w:val="000000"/>
                <w:sz w:val="24"/>
                <w:szCs w:val="24"/>
                <w:lang w:val="es-CR"/>
              </w:rPr>
              <w:t xml:space="preserve">, </w:t>
            </w:r>
            <w:r w:rsidRPr="00531B7E">
              <w:rPr>
                <w:rFonts w:ascii="Arial Narrow" w:eastAsia="Times New Roman" w:hAnsi="Arial Narrow" w:cs="Calibri"/>
                <w:b/>
                <w:bCs/>
                <w:color w:val="000000"/>
                <w:sz w:val="24"/>
                <w:szCs w:val="24"/>
                <w:lang w:val="es-CR"/>
              </w:rPr>
              <w:t>4 (a)</w:t>
            </w:r>
            <w:r w:rsidR="00737945">
              <w:rPr>
                <w:rFonts w:ascii="Arial Narrow" w:eastAsia="Times New Roman" w:hAnsi="Arial Narrow" w:cs="Calibri"/>
                <w:b/>
                <w:bCs/>
                <w:color w:val="000000"/>
                <w:sz w:val="24"/>
                <w:szCs w:val="24"/>
                <w:lang w:val="es-CR"/>
              </w:rPr>
              <w:t xml:space="preserve">, </w:t>
            </w:r>
            <w:r w:rsidRPr="00531B7E">
              <w:rPr>
                <w:rFonts w:ascii="Arial Narrow" w:eastAsia="Times New Roman" w:hAnsi="Arial Narrow" w:cs="Calibri"/>
                <w:b/>
                <w:bCs/>
                <w:color w:val="000000"/>
                <w:sz w:val="24"/>
                <w:szCs w:val="24"/>
                <w:lang w:val="es-CR"/>
              </w:rPr>
              <w:t>5 (a,d)</w:t>
            </w:r>
            <w:r w:rsidR="00737945">
              <w:rPr>
                <w:rFonts w:ascii="Arial Narrow" w:eastAsia="Times New Roman" w:hAnsi="Arial Narrow" w:cs="Calibri"/>
                <w:b/>
                <w:bCs/>
                <w:color w:val="000000"/>
                <w:sz w:val="24"/>
                <w:szCs w:val="24"/>
                <w:lang w:val="es-CR"/>
              </w:rPr>
              <w:t xml:space="preserve">, </w:t>
            </w:r>
            <w:r w:rsidRPr="00531B7E">
              <w:rPr>
                <w:rFonts w:ascii="Arial Narrow" w:eastAsia="Times New Roman" w:hAnsi="Arial Narrow" w:cs="Calibri"/>
                <w:b/>
                <w:bCs/>
                <w:color w:val="000000"/>
                <w:sz w:val="24"/>
                <w:szCs w:val="24"/>
                <w:lang w:val="es-CR"/>
              </w:rPr>
              <w:t>6</w:t>
            </w:r>
            <w:r w:rsidR="00737945">
              <w:rPr>
                <w:rFonts w:ascii="Arial Narrow" w:eastAsia="Times New Roman" w:hAnsi="Arial Narrow" w:cs="Calibri"/>
                <w:b/>
                <w:bCs/>
                <w:color w:val="000000"/>
                <w:sz w:val="24"/>
                <w:szCs w:val="24"/>
                <w:lang w:val="es-CR"/>
              </w:rPr>
              <w:t xml:space="preserve"> y </w:t>
            </w:r>
            <w:r w:rsidRPr="00531B7E">
              <w:rPr>
                <w:rFonts w:ascii="Arial Narrow" w:eastAsia="Times New Roman" w:hAnsi="Arial Narrow" w:cs="Calibri"/>
                <w:b/>
                <w:bCs/>
                <w:color w:val="000000"/>
                <w:sz w:val="24"/>
                <w:szCs w:val="24"/>
                <w:lang w:val="es-CR"/>
              </w:rPr>
              <w:t>9(ab)</w:t>
            </w:r>
          </w:p>
        </w:tc>
        <w:tc>
          <w:tcPr>
            <w:tcW w:w="1914" w:type="dxa"/>
            <w:tcBorders>
              <w:top w:val="single" w:sz="8" w:space="0" w:color="auto"/>
              <w:left w:val="nil"/>
              <w:bottom w:val="single" w:sz="8" w:space="0" w:color="auto"/>
              <w:right w:val="single" w:sz="8" w:space="0" w:color="auto"/>
            </w:tcBorders>
            <w:shd w:val="clear" w:color="auto" w:fill="auto"/>
            <w:vAlign w:val="center"/>
            <w:hideMark/>
          </w:tcPr>
          <w:p w14:paraId="0D2E49A8" w14:textId="77777777" w:rsidR="00AB46A9" w:rsidRPr="00531B7E" w:rsidRDefault="00AB46A9" w:rsidP="00AB46A9">
            <w:pPr>
              <w:jc w:val="center"/>
              <w:rPr>
                <w:rFonts w:ascii="Arial Narrow" w:eastAsia="Times New Roman" w:hAnsi="Arial Narrow" w:cs="Calibri"/>
                <w:b/>
                <w:bCs/>
                <w:color w:val="000000"/>
                <w:sz w:val="24"/>
                <w:szCs w:val="24"/>
              </w:rPr>
            </w:pPr>
            <w:r w:rsidRPr="00531B7E">
              <w:rPr>
                <w:rFonts w:ascii="Arial Narrow" w:eastAsia="Times New Roman" w:hAnsi="Arial Narrow" w:cs="Calibri"/>
                <w:b/>
                <w:bCs/>
                <w:color w:val="000000"/>
                <w:sz w:val="24"/>
                <w:szCs w:val="24"/>
                <w:lang w:val="es-CR"/>
              </w:rPr>
              <w:t xml:space="preserve"> </w:t>
            </w:r>
            <w:r w:rsidRPr="00531B7E">
              <w:rPr>
                <w:rFonts w:ascii="Arial Narrow" w:eastAsia="Times New Roman" w:hAnsi="Arial Narrow" w:cs="Calibri"/>
                <w:b/>
                <w:bCs/>
                <w:color w:val="000000"/>
                <w:sz w:val="24"/>
                <w:szCs w:val="24"/>
              </w:rPr>
              <w:t>DGCN</w:t>
            </w:r>
          </w:p>
        </w:tc>
      </w:tr>
      <w:tr w:rsidR="00AB46A9" w:rsidRPr="00531B7E" w14:paraId="0CD8B189" w14:textId="77777777" w:rsidTr="00737945">
        <w:trPr>
          <w:gridAfter w:val="1"/>
          <w:wAfter w:w="17" w:type="dxa"/>
          <w:trHeight w:val="630"/>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13E337F4" w14:textId="77777777" w:rsidR="00AB46A9" w:rsidRPr="00531B7E" w:rsidRDefault="00AB46A9" w:rsidP="00737945">
            <w:pPr>
              <w:jc w:val="center"/>
              <w:rPr>
                <w:rFonts w:ascii="Arial Narrow" w:eastAsia="Times New Roman" w:hAnsi="Arial Narrow"/>
                <w:b/>
                <w:bCs/>
                <w:color w:val="000000"/>
                <w:sz w:val="24"/>
                <w:szCs w:val="24"/>
              </w:rPr>
            </w:pPr>
            <w:r w:rsidRPr="00531B7E">
              <w:rPr>
                <w:rFonts w:ascii="Arial Narrow" w:eastAsia="Times New Roman" w:hAnsi="Arial Narrow"/>
                <w:b/>
                <w:bCs/>
                <w:color w:val="000000"/>
                <w:sz w:val="24"/>
                <w:szCs w:val="24"/>
              </w:rPr>
              <w:t>5</w:t>
            </w:r>
          </w:p>
        </w:tc>
        <w:tc>
          <w:tcPr>
            <w:tcW w:w="615" w:type="dxa"/>
            <w:tcBorders>
              <w:top w:val="nil"/>
              <w:left w:val="nil"/>
              <w:bottom w:val="single" w:sz="8" w:space="0" w:color="auto"/>
              <w:right w:val="single" w:sz="8" w:space="0" w:color="auto"/>
            </w:tcBorders>
            <w:shd w:val="clear" w:color="auto" w:fill="auto"/>
            <w:vAlign w:val="center"/>
            <w:hideMark/>
          </w:tcPr>
          <w:p w14:paraId="0EE640EB" w14:textId="77777777" w:rsidR="00AB46A9" w:rsidRPr="00531B7E" w:rsidRDefault="00AB46A9" w:rsidP="00737945">
            <w:pPr>
              <w:jc w:val="center"/>
              <w:rPr>
                <w:rFonts w:ascii="Arial Narrow" w:eastAsia="Times New Roman" w:hAnsi="Arial Narrow"/>
                <w:b/>
                <w:bCs/>
                <w:color w:val="000000"/>
                <w:sz w:val="24"/>
                <w:szCs w:val="24"/>
              </w:rPr>
            </w:pPr>
            <w:r w:rsidRPr="00531B7E">
              <w:rPr>
                <w:rFonts w:ascii="Arial Narrow" w:eastAsia="Times New Roman" w:hAnsi="Arial Narrow"/>
                <w:b/>
                <w:bCs/>
                <w:color w:val="000000"/>
                <w:sz w:val="24"/>
                <w:szCs w:val="24"/>
              </w:rPr>
              <w:t>7</w:t>
            </w:r>
          </w:p>
        </w:tc>
        <w:tc>
          <w:tcPr>
            <w:tcW w:w="511" w:type="dxa"/>
            <w:tcBorders>
              <w:top w:val="nil"/>
              <w:left w:val="nil"/>
              <w:bottom w:val="single" w:sz="8" w:space="0" w:color="auto"/>
              <w:right w:val="nil"/>
            </w:tcBorders>
            <w:shd w:val="clear" w:color="auto" w:fill="auto"/>
            <w:vAlign w:val="center"/>
            <w:hideMark/>
          </w:tcPr>
          <w:p w14:paraId="32553078" w14:textId="77777777" w:rsidR="00AB46A9" w:rsidRPr="00531B7E" w:rsidRDefault="00AB46A9" w:rsidP="00737945">
            <w:pPr>
              <w:jc w:val="center"/>
              <w:rPr>
                <w:rFonts w:ascii="Arial Narrow" w:eastAsia="Times New Roman" w:hAnsi="Arial Narrow" w:cs="Calibri"/>
                <w:b/>
                <w:bCs/>
                <w:color w:val="000000"/>
                <w:sz w:val="24"/>
                <w:szCs w:val="24"/>
              </w:rPr>
            </w:pPr>
            <w:r w:rsidRPr="00531B7E">
              <w:rPr>
                <w:rFonts w:ascii="Arial Narrow" w:eastAsia="Times New Roman" w:hAnsi="Arial Narrow" w:cs="Calibri"/>
                <w:b/>
                <w:bCs/>
                <w:color w:val="000000"/>
                <w:sz w:val="24"/>
                <w:szCs w:val="24"/>
              </w:rPr>
              <w:t>1</w:t>
            </w:r>
          </w:p>
        </w:tc>
        <w:tc>
          <w:tcPr>
            <w:tcW w:w="3695" w:type="dxa"/>
            <w:tcBorders>
              <w:top w:val="nil"/>
              <w:left w:val="single" w:sz="8" w:space="0" w:color="auto"/>
              <w:bottom w:val="single" w:sz="8" w:space="0" w:color="auto"/>
              <w:right w:val="single" w:sz="8" w:space="0" w:color="auto"/>
            </w:tcBorders>
            <w:shd w:val="clear" w:color="auto" w:fill="auto"/>
            <w:vAlign w:val="center"/>
            <w:hideMark/>
          </w:tcPr>
          <w:p w14:paraId="09312ECF" w14:textId="77777777" w:rsidR="00AB46A9" w:rsidRPr="00531B7E" w:rsidRDefault="00AB46A9" w:rsidP="00AB46A9">
            <w:pPr>
              <w:rPr>
                <w:rFonts w:ascii="Arial Narrow" w:eastAsia="Times New Roman" w:hAnsi="Arial Narrow"/>
                <w:b/>
                <w:bCs/>
                <w:color w:val="000000"/>
                <w:sz w:val="22"/>
                <w:szCs w:val="22"/>
              </w:rPr>
            </w:pPr>
            <w:r w:rsidRPr="00531B7E">
              <w:rPr>
                <w:rFonts w:ascii="Arial Narrow" w:eastAsia="Times New Roman" w:hAnsi="Arial Narrow"/>
                <w:b/>
                <w:bCs/>
                <w:color w:val="000000"/>
                <w:sz w:val="22"/>
                <w:szCs w:val="22"/>
              </w:rPr>
              <w:t xml:space="preserve"> Reconocimiento</w:t>
            </w:r>
          </w:p>
        </w:tc>
        <w:tc>
          <w:tcPr>
            <w:tcW w:w="2033" w:type="dxa"/>
            <w:tcBorders>
              <w:top w:val="nil"/>
              <w:left w:val="nil"/>
              <w:bottom w:val="single" w:sz="8" w:space="0" w:color="auto"/>
              <w:right w:val="single" w:sz="8" w:space="0" w:color="auto"/>
            </w:tcBorders>
            <w:shd w:val="clear" w:color="auto" w:fill="auto"/>
            <w:vAlign w:val="center"/>
            <w:hideMark/>
          </w:tcPr>
          <w:p w14:paraId="3EDD6C0E" w14:textId="23CCA3FE" w:rsidR="00AB46A9" w:rsidRPr="00531B7E" w:rsidRDefault="00AB46A9" w:rsidP="00AB46A9">
            <w:pPr>
              <w:rPr>
                <w:rFonts w:ascii="Arial Narrow" w:eastAsia="Times New Roman" w:hAnsi="Arial Narrow" w:cs="Calibri"/>
                <w:b/>
                <w:bCs/>
                <w:color w:val="000000"/>
                <w:sz w:val="24"/>
                <w:szCs w:val="24"/>
              </w:rPr>
            </w:pPr>
            <w:r w:rsidRPr="00531B7E">
              <w:rPr>
                <w:rFonts w:ascii="Arial Narrow" w:eastAsia="Times New Roman" w:hAnsi="Arial Narrow" w:cs="Calibri"/>
                <w:b/>
                <w:bCs/>
                <w:color w:val="000000"/>
                <w:sz w:val="24"/>
                <w:szCs w:val="24"/>
              </w:rPr>
              <w:t>NICSP N° 39</w:t>
            </w:r>
            <w:r w:rsidRPr="00531B7E">
              <w:rPr>
                <w:rFonts w:ascii="Arial Narrow" w:eastAsia="Times New Roman" w:hAnsi="Arial Narrow" w:cs="Calibri"/>
                <w:b/>
                <w:bCs/>
                <w:color w:val="000000"/>
                <w:sz w:val="24"/>
                <w:szCs w:val="24"/>
              </w:rPr>
              <w:br/>
              <w:t>Párrafo 11</w:t>
            </w:r>
          </w:p>
        </w:tc>
        <w:tc>
          <w:tcPr>
            <w:tcW w:w="1914" w:type="dxa"/>
            <w:tcBorders>
              <w:top w:val="nil"/>
              <w:left w:val="nil"/>
              <w:bottom w:val="single" w:sz="8" w:space="0" w:color="auto"/>
              <w:right w:val="single" w:sz="8" w:space="0" w:color="auto"/>
            </w:tcBorders>
            <w:shd w:val="clear" w:color="auto" w:fill="auto"/>
            <w:vAlign w:val="center"/>
            <w:hideMark/>
          </w:tcPr>
          <w:p w14:paraId="4F87190C" w14:textId="77777777" w:rsidR="00AB46A9" w:rsidRPr="00531B7E" w:rsidRDefault="00AB46A9" w:rsidP="00AB46A9">
            <w:pPr>
              <w:jc w:val="center"/>
              <w:rPr>
                <w:rFonts w:ascii="Arial Narrow" w:eastAsia="Times New Roman" w:hAnsi="Arial Narrow" w:cs="Calibri"/>
                <w:b/>
                <w:bCs/>
                <w:color w:val="000000"/>
                <w:sz w:val="24"/>
                <w:szCs w:val="24"/>
              </w:rPr>
            </w:pPr>
            <w:r w:rsidRPr="00531B7E">
              <w:rPr>
                <w:rFonts w:ascii="Arial Narrow" w:eastAsia="Times New Roman" w:hAnsi="Arial Narrow" w:cs="Calibri"/>
                <w:b/>
                <w:bCs/>
                <w:color w:val="000000"/>
                <w:sz w:val="24"/>
                <w:szCs w:val="24"/>
              </w:rPr>
              <w:t xml:space="preserve"> </w:t>
            </w:r>
          </w:p>
        </w:tc>
      </w:tr>
    </w:tbl>
    <w:p w14:paraId="2E92C107" w14:textId="77777777" w:rsidR="00AB46A9" w:rsidRDefault="00AB46A9" w:rsidP="009F48E0">
      <w:pPr>
        <w:pStyle w:val="Default"/>
        <w:jc w:val="both"/>
        <w:rPr>
          <w:b/>
          <w:bCs/>
          <w:sz w:val="23"/>
          <w:szCs w:val="23"/>
          <w:lang w:val="es-CR"/>
        </w:rPr>
      </w:pPr>
    </w:p>
    <w:p w14:paraId="1CB8C8AC" w14:textId="77777777" w:rsidR="00737945" w:rsidRDefault="00737945" w:rsidP="00737945">
      <w:pPr>
        <w:pStyle w:val="Default"/>
        <w:ind w:left="1134" w:hanging="1134"/>
        <w:jc w:val="both"/>
        <w:rPr>
          <w:rFonts w:eastAsia="Arial"/>
          <w:b/>
          <w:sz w:val="22"/>
          <w:szCs w:val="22"/>
        </w:rPr>
      </w:pPr>
      <w:r w:rsidRPr="00F02F9D">
        <w:rPr>
          <w:rFonts w:eastAsia="Arial"/>
          <w:b/>
          <w:sz w:val="22"/>
          <w:szCs w:val="22"/>
        </w:rPr>
        <w:t>Políticas Contables</w:t>
      </w:r>
    </w:p>
    <w:p w14:paraId="47121B94" w14:textId="77777777" w:rsidR="00737945" w:rsidRDefault="00737945" w:rsidP="009F48E0">
      <w:pPr>
        <w:pStyle w:val="Default"/>
        <w:jc w:val="both"/>
        <w:rPr>
          <w:b/>
          <w:bCs/>
          <w:sz w:val="23"/>
          <w:szCs w:val="23"/>
          <w:lang w:val="es-CR"/>
        </w:rPr>
      </w:pPr>
    </w:p>
    <w:p w14:paraId="652D49BC" w14:textId="1123B891" w:rsidR="00AB46A9" w:rsidRPr="00531B7E" w:rsidRDefault="00856BEA" w:rsidP="00052785">
      <w:pPr>
        <w:pStyle w:val="Default"/>
        <w:ind w:left="1134" w:hanging="1134"/>
        <w:jc w:val="both"/>
        <w:rPr>
          <w:sz w:val="22"/>
          <w:szCs w:val="22"/>
          <w:lang w:val="es-CR"/>
        </w:rPr>
      </w:pPr>
      <w:r w:rsidRPr="00531B7E">
        <w:rPr>
          <w:sz w:val="22"/>
          <w:szCs w:val="22"/>
          <w:lang w:val="es-CR"/>
        </w:rPr>
        <w:t>5.7.0.01</w:t>
      </w:r>
      <w:r w:rsidRPr="00531B7E">
        <w:rPr>
          <w:sz w:val="22"/>
          <w:szCs w:val="22"/>
          <w:lang w:val="es-CR"/>
        </w:rPr>
        <w:tab/>
      </w:r>
      <w:r w:rsidR="00AB46A9" w:rsidRPr="00531B7E">
        <w:rPr>
          <w:sz w:val="22"/>
          <w:szCs w:val="22"/>
          <w:lang w:val="es-CR"/>
        </w:rPr>
        <w:t xml:space="preserve">Deberá reconocerse un gasto cuando la </w:t>
      </w:r>
      <w:r w:rsidR="00E30F29" w:rsidRPr="00531B7E">
        <w:rPr>
          <w:sz w:val="22"/>
          <w:szCs w:val="22"/>
          <w:lang w:val="es-CR"/>
        </w:rPr>
        <w:t>Municipalidad</w:t>
      </w:r>
      <w:r w:rsidR="00AB46A9" w:rsidRPr="00531B7E">
        <w:rPr>
          <w:sz w:val="22"/>
          <w:szCs w:val="22"/>
          <w:lang w:val="es-CR"/>
        </w:rPr>
        <w:t xml:space="preserve"> consuma los beneficios económicos o el potencial de servicio procedentes de la prestación de servicios por parte de un empleado a ca</w:t>
      </w:r>
      <w:r w:rsidR="000F29DC">
        <w:rPr>
          <w:sz w:val="22"/>
          <w:szCs w:val="22"/>
          <w:lang w:val="es-CR"/>
        </w:rPr>
        <w:t>mb</w:t>
      </w:r>
      <w:r w:rsidR="00AB46A9" w:rsidRPr="00531B7E">
        <w:rPr>
          <w:sz w:val="22"/>
          <w:szCs w:val="22"/>
          <w:lang w:val="es-CR"/>
        </w:rPr>
        <w:t>io de los cuales se le crea el derecho de recibir pagos en el futuro.</w:t>
      </w:r>
    </w:p>
    <w:p w14:paraId="2E5CF0FF" w14:textId="77777777" w:rsidR="00856BEA" w:rsidRPr="00531B7E" w:rsidRDefault="00856BEA" w:rsidP="00052785">
      <w:pPr>
        <w:pStyle w:val="Default"/>
        <w:ind w:left="1134" w:hanging="1134"/>
        <w:jc w:val="both"/>
        <w:rPr>
          <w:sz w:val="22"/>
          <w:szCs w:val="22"/>
          <w:lang w:val="es-CR"/>
        </w:rPr>
      </w:pPr>
    </w:p>
    <w:p w14:paraId="15729FD2" w14:textId="7786649D" w:rsidR="00AB46A9" w:rsidRPr="00531B7E" w:rsidRDefault="00856BEA" w:rsidP="00052785">
      <w:pPr>
        <w:pStyle w:val="Default"/>
        <w:ind w:left="1134" w:hanging="1134"/>
        <w:jc w:val="both"/>
        <w:rPr>
          <w:sz w:val="22"/>
          <w:szCs w:val="22"/>
          <w:lang w:val="es-CR"/>
        </w:rPr>
      </w:pPr>
      <w:r w:rsidRPr="00531B7E">
        <w:rPr>
          <w:sz w:val="22"/>
          <w:szCs w:val="22"/>
          <w:lang w:val="es-CR"/>
        </w:rPr>
        <w:t>5.7.0.02</w:t>
      </w:r>
      <w:r w:rsidRPr="00531B7E">
        <w:rPr>
          <w:sz w:val="22"/>
          <w:szCs w:val="22"/>
          <w:lang w:val="es-CR"/>
        </w:rPr>
        <w:tab/>
      </w:r>
      <w:r w:rsidR="00AB46A9" w:rsidRPr="00531B7E">
        <w:rPr>
          <w:sz w:val="22"/>
          <w:szCs w:val="22"/>
          <w:lang w:val="es-CR"/>
        </w:rPr>
        <w:t xml:space="preserve">Cuando un funcionario ofrece sus servicios a </w:t>
      </w:r>
      <w:r w:rsidR="00E30F29" w:rsidRPr="00531B7E">
        <w:rPr>
          <w:sz w:val="22"/>
          <w:szCs w:val="22"/>
          <w:lang w:val="es-CR"/>
        </w:rPr>
        <w:t>l</w:t>
      </w:r>
      <w:r w:rsidR="00AB46A9" w:rsidRPr="00531B7E">
        <w:rPr>
          <w:sz w:val="22"/>
          <w:szCs w:val="22"/>
          <w:lang w:val="es-CR"/>
        </w:rPr>
        <w:t xml:space="preserve">a </w:t>
      </w:r>
      <w:r w:rsidR="00E30F29" w:rsidRPr="00531B7E">
        <w:rPr>
          <w:sz w:val="22"/>
          <w:szCs w:val="22"/>
          <w:lang w:val="es-CR"/>
        </w:rPr>
        <w:t>Municipalidad</w:t>
      </w:r>
      <w:r w:rsidR="00AB46A9" w:rsidRPr="00531B7E">
        <w:rPr>
          <w:sz w:val="22"/>
          <w:szCs w:val="22"/>
          <w:lang w:val="es-CR"/>
        </w:rPr>
        <w:t xml:space="preserve"> mediante un contrato celebrado indefinido, o definido y el mismo se rompe por traslado de ese funcionario a otra entidad del sector público se deberán de considerar las siguientes reglas:</w:t>
      </w:r>
    </w:p>
    <w:p w14:paraId="6969EBB1" w14:textId="7FA888AD" w:rsidR="00AB46A9" w:rsidRPr="00531B7E" w:rsidRDefault="00AB46A9" w:rsidP="00E30F29">
      <w:pPr>
        <w:pStyle w:val="Default"/>
        <w:spacing w:after="120"/>
        <w:jc w:val="both"/>
        <w:rPr>
          <w:sz w:val="22"/>
          <w:szCs w:val="22"/>
          <w:lang w:val="es-CR"/>
        </w:rPr>
      </w:pPr>
      <w:r w:rsidRPr="00531B7E">
        <w:rPr>
          <w:sz w:val="22"/>
          <w:szCs w:val="22"/>
          <w:lang w:val="es-CR"/>
        </w:rPr>
        <w:t xml:space="preserve"> </w:t>
      </w:r>
    </w:p>
    <w:p w14:paraId="1F83CC2E" w14:textId="2302997B" w:rsidR="00AB46A9" w:rsidRPr="00531B7E" w:rsidRDefault="00AB46A9">
      <w:pPr>
        <w:pStyle w:val="Default"/>
        <w:numPr>
          <w:ilvl w:val="0"/>
          <w:numId w:val="283"/>
        </w:numPr>
        <w:spacing w:after="120"/>
        <w:ind w:left="1418" w:hanging="284"/>
        <w:jc w:val="both"/>
        <w:rPr>
          <w:sz w:val="22"/>
          <w:szCs w:val="22"/>
          <w:lang w:val="es-CR"/>
        </w:rPr>
      </w:pPr>
      <w:r w:rsidRPr="00531B7E">
        <w:rPr>
          <w:sz w:val="22"/>
          <w:szCs w:val="22"/>
          <w:lang w:val="es-CR"/>
        </w:rPr>
        <w:t>Si el traslado se da de otras entidades públicas a</w:t>
      </w:r>
      <w:r w:rsidR="00E30F29" w:rsidRPr="00531B7E">
        <w:rPr>
          <w:sz w:val="22"/>
          <w:szCs w:val="22"/>
          <w:lang w:val="es-CR"/>
        </w:rPr>
        <w:t xml:space="preserve"> </w:t>
      </w:r>
      <w:r w:rsidRPr="00531B7E">
        <w:rPr>
          <w:sz w:val="22"/>
          <w:szCs w:val="22"/>
          <w:lang w:val="es-CR"/>
        </w:rPr>
        <w:t>l</w:t>
      </w:r>
      <w:r w:rsidR="00E30F29" w:rsidRPr="00531B7E">
        <w:rPr>
          <w:sz w:val="22"/>
          <w:szCs w:val="22"/>
          <w:lang w:val="es-CR"/>
        </w:rPr>
        <w:t>a Municipalidad</w:t>
      </w:r>
      <w:r w:rsidRPr="00531B7E">
        <w:rPr>
          <w:sz w:val="22"/>
          <w:szCs w:val="22"/>
          <w:lang w:val="es-CR"/>
        </w:rPr>
        <w:t xml:space="preserve"> </w:t>
      </w:r>
      <w:r w:rsidR="00E30F29" w:rsidRPr="00531B7E">
        <w:rPr>
          <w:sz w:val="22"/>
          <w:szCs w:val="22"/>
          <w:lang w:val="es-CR"/>
        </w:rPr>
        <w:t>o,</w:t>
      </w:r>
      <w:r w:rsidRPr="00531B7E">
        <w:rPr>
          <w:sz w:val="22"/>
          <w:szCs w:val="22"/>
          <w:lang w:val="es-CR"/>
        </w:rPr>
        <w:t xml:space="preserve"> al contrario, el aguinaldo se pagará proporcionalmente según corresponda a cada entidad el tiempo efectivamente laborado</w:t>
      </w:r>
      <w:r w:rsidR="00E30F29" w:rsidRPr="00531B7E">
        <w:rPr>
          <w:sz w:val="22"/>
          <w:szCs w:val="22"/>
          <w:lang w:val="es-CR"/>
        </w:rPr>
        <w:t xml:space="preserve"> en cada una</w:t>
      </w:r>
      <w:r w:rsidRPr="00531B7E">
        <w:rPr>
          <w:sz w:val="22"/>
          <w:szCs w:val="22"/>
          <w:lang w:val="es-CR"/>
        </w:rPr>
        <w:t xml:space="preserve">. </w:t>
      </w:r>
    </w:p>
    <w:p w14:paraId="1C61905E" w14:textId="458223CB" w:rsidR="00AB46A9" w:rsidRPr="00531B7E" w:rsidRDefault="00AB46A9">
      <w:pPr>
        <w:pStyle w:val="Default"/>
        <w:numPr>
          <w:ilvl w:val="0"/>
          <w:numId w:val="283"/>
        </w:numPr>
        <w:ind w:left="1418" w:hanging="284"/>
        <w:jc w:val="both"/>
        <w:rPr>
          <w:sz w:val="22"/>
          <w:szCs w:val="22"/>
          <w:lang w:val="es-CR"/>
        </w:rPr>
      </w:pPr>
      <w:r w:rsidRPr="00531B7E">
        <w:rPr>
          <w:sz w:val="22"/>
          <w:szCs w:val="22"/>
          <w:lang w:val="es-CR"/>
        </w:rPr>
        <w:t xml:space="preserve">Los beneficios económicos por concepto de aguinaldo </w:t>
      </w:r>
      <w:r w:rsidR="00E30F29" w:rsidRPr="00531B7E">
        <w:rPr>
          <w:sz w:val="22"/>
          <w:szCs w:val="22"/>
          <w:lang w:val="es-CR"/>
        </w:rPr>
        <w:t>e</w:t>
      </w:r>
      <w:r w:rsidRPr="00531B7E">
        <w:rPr>
          <w:sz w:val="22"/>
          <w:szCs w:val="22"/>
          <w:lang w:val="es-CR"/>
        </w:rPr>
        <w:t xml:space="preserve">n caso de que el trabajador fallezca, se beneficiaran las personas que dependan de ellos directamente, tales como; cónyuges, hijos u otras personas dependientes de ellos. </w:t>
      </w:r>
    </w:p>
    <w:p w14:paraId="4C669BAB" w14:textId="77777777" w:rsidR="00052785" w:rsidRPr="00531B7E" w:rsidRDefault="00052785">
      <w:pPr>
        <w:pStyle w:val="Default"/>
        <w:numPr>
          <w:ilvl w:val="0"/>
          <w:numId w:val="278"/>
        </w:numPr>
        <w:rPr>
          <w:sz w:val="22"/>
          <w:szCs w:val="22"/>
          <w:lang w:val="es-CR"/>
        </w:rPr>
      </w:pPr>
    </w:p>
    <w:p w14:paraId="5B440189" w14:textId="58F1E606" w:rsidR="00E30F29" w:rsidRPr="00531B7E" w:rsidRDefault="007E7A46" w:rsidP="00F74DAF">
      <w:pPr>
        <w:pStyle w:val="Default"/>
        <w:ind w:left="1134" w:hanging="1134"/>
        <w:jc w:val="both"/>
        <w:rPr>
          <w:sz w:val="22"/>
          <w:szCs w:val="22"/>
          <w:lang w:val="es-CR"/>
        </w:rPr>
      </w:pPr>
      <w:r w:rsidRPr="00531B7E">
        <w:rPr>
          <w:sz w:val="22"/>
          <w:szCs w:val="22"/>
          <w:lang w:val="es-CR"/>
        </w:rPr>
        <w:t>5.7.</w:t>
      </w:r>
      <w:r w:rsidR="00AB46A9" w:rsidRPr="00531B7E">
        <w:rPr>
          <w:sz w:val="22"/>
          <w:szCs w:val="22"/>
          <w:lang w:val="es-CR"/>
        </w:rPr>
        <w:t>1.</w:t>
      </w:r>
      <w:r w:rsidRPr="00531B7E">
        <w:rPr>
          <w:sz w:val="22"/>
          <w:szCs w:val="22"/>
          <w:lang w:val="es-CR"/>
        </w:rPr>
        <w:t>01</w:t>
      </w:r>
      <w:r w:rsidR="00AB46A9" w:rsidRPr="00531B7E">
        <w:rPr>
          <w:sz w:val="22"/>
          <w:szCs w:val="22"/>
          <w:lang w:val="es-CR"/>
        </w:rPr>
        <w:t xml:space="preserve"> </w:t>
      </w:r>
      <w:r w:rsidR="00E30F29" w:rsidRPr="00531B7E">
        <w:rPr>
          <w:sz w:val="22"/>
          <w:szCs w:val="22"/>
          <w:lang w:val="es-CR"/>
        </w:rPr>
        <w:tab/>
        <w:t xml:space="preserve">En la Municipalidad </w:t>
      </w:r>
      <w:r w:rsidR="00AB46A9" w:rsidRPr="00531B7E">
        <w:rPr>
          <w:sz w:val="22"/>
          <w:szCs w:val="22"/>
          <w:lang w:val="es-CR"/>
        </w:rPr>
        <w:t>el reconocimiento</w:t>
      </w:r>
      <w:r w:rsidR="00E30F29" w:rsidRPr="00531B7E">
        <w:rPr>
          <w:sz w:val="22"/>
          <w:szCs w:val="22"/>
          <w:lang w:val="es-CR"/>
        </w:rPr>
        <w:t xml:space="preserve"> se hará </w:t>
      </w:r>
      <w:r w:rsidR="00AB46A9" w:rsidRPr="00531B7E">
        <w:rPr>
          <w:sz w:val="22"/>
          <w:szCs w:val="22"/>
          <w:lang w:val="es-CR"/>
        </w:rPr>
        <w:t xml:space="preserve">mensual </w:t>
      </w:r>
      <w:r w:rsidR="00E30F29" w:rsidRPr="00531B7E">
        <w:rPr>
          <w:sz w:val="22"/>
          <w:szCs w:val="22"/>
          <w:lang w:val="es-CR"/>
        </w:rPr>
        <w:t>considerando los</w:t>
      </w:r>
      <w:r w:rsidR="00AB46A9" w:rsidRPr="00531B7E">
        <w:rPr>
          <w:sz w:val="22"/>
          <w:szCs w:val="22"/>
          <w:lang w:val="es-CR"/>
        </w:rPr>
        <w:t xml:space="preserve"> salarios</w:t>
      </w:r>
      <w:r w:rsidR="00E30F29" w:rsidRPr="00531B7E">
        <w:rPr>
          <w:sz w:val="22"/>
          <w:szCs w:val="22"/>
          <w:lang w:val="es-CR"/>
        </w:rPr>
        <w:t xml:space="preserve"> quincenales pagados</w:t>
      </w:r>
      <w:r w:rsidR="00AB46A9" w:rsidRPr="00531B7E">
        <w:rPr>
          <w:sz w:val="22"/>
          <w:szCs w:val="22"/>
          <w:lang w:val="es-CR"/>
        </w:rPr>
        <w:t>. Esta porción del incentivo salarial del décimo tercer mes, el cual corresponde a un 8,33% del salario total bruto de los funcionarios, según las Le</w:t>
      </w:r>
      <w:r w:rsidR="00F74DAF" w:rsidRPr="00531B7E">
        <w:rPr>
          <w:sz w:val="22"/>
          <w:szCs w:val="22"/>
          <w:lang w:val="es-CR"/>
        </w:rPr>
        <w:t>gislación vigente (Artículo 155 del Código Municipal, inciso j), Ley Nº 1981 Pago de Aguinaldo a Servidores de Instituciones Autónomas, Reglamento autónomo de organización y servicios Artículo 94).</w:t>
      </w:r>
    </w:p>
    <w:p w14:paraId="647BDE4B" w14:textId="77777777" w:rsidR="00F74DAF" w:rsidRPr="00531B7E" w:rsidRDefault="00F74DAF" w:rsidP="00E30F29">
      <w:pPr>
        <w:pStyle w:val="Default"/>
        <w:ind w:left="1134" w:hanging="1134"/>
        <w:jc w:val="both"/>
        <w:rPr>
          <w:sz w:val="22"/>
          <w:szCs w:val="22"/>
          <w:lang w:val="es-CR"/>
        </w:rPr>
      </w:pPr>
    </w:p>
    <w:p w14:paraId="6D6CB0BB" w14:textId="592058B3" w:rsidR="00AB46A9" w:rsidRPr="00531B7E" w:rsidRDefault="00E30F29" w:rsidP="00E30F29">
      <w:pPr>
        <w:pStyle w:val="Default"/>
        <w:ind w:left="1134" w:hanging="1134"/>
        <w:jc w:val="both"/>
        <w:rPr>
          <w:sz w:val="22"/>
          <w:szCs w:val="22"/>
          <w:lang w:val="es-CR"/>
        </w:rPr>
      </w:pPr>
      <w:r w:rsidRPr="00531B7E">
        <w:rPr>
          <w:sz w:val="22"/>
          <w:szCs w:val="22"/>
          <w:lang w:val="es-CR"/>
        </w:rPr>
        <w:t>5.7.1.02</w:t>
      </w:r>
      <w:r w:rsidRPr="00531B7E">
        <w:rPr>
          <w:sz w:val="22"/>
          <w:szCs w:val="22"/>
          <w:lang w:val="es-CR"/>
        </w:rPr>
        <w:tab/>
      </w:r>
      <w:r w:rsidR="00AB46A9" w:rsidRPr="00531B7E">
        <w:rPr>
          <w:sz w:val="22"/>
          <w:szCs w:val="22"/>
          <w:lang w:val="es-CR"/>
        </w:rPr>
        <w:t xml:space="preserve">Para dicho registro </w:t>
      </w:r>
      <w:r w:rsidR="00F74DAF" w:rsidRPr="00531B7E">
        <w:rPr>
          <w:sz w:val="22"/>
          <w:szCs w:val="22"/>
          <w:lang w:val="es-CR"/>
        </w:rPr>
        <w:t>no s</w:t>
      </w:r>
      <w:r w:rsidR="00AB46A9" w:rsidRPr="00531B7E">
        <w:rPr>
          <w:sz w:val="22"/>
          <w:szCs w:val="22"/>
          <w:lang w:val="es-CR"/>
        </w:rPr>
        <w:t xml:space="preserve">e deben de considerar las deducciones de marco legal aplicadas el monto </w:t>
      </w:r>
      <w:r w:rsidR="00F74DAF" w:rsidRPr="00531B7E">
        <w:rPr>
          <w:sz w:val="22"/>
          <w:szCs w:val="22"/>
          <w:lang w:val="es-CR"/>
        </w:rPr>
        <w:t>bruto</w:t>
      </w:r>
      <w:r w:rsidR="00AB46A9" w:rsidRPr="00531B7E">
        <w:rPr>
          <w:sz w:val="22"/>
          <w:szCs w:val="22"/>
          <w:lang w:val="es-CR"/>
        </w:rPr>
        <w:t xml:space="preserve"> de los </w:t>
      </w:r>
      <w:r w:rsidR="00F74DAF" w:rsidRPr="00531B7E">
        <w:rPr>
          <w:sz w:val="22"/>
          <w:szCs w:val="22"/>
          <w:lang w:val="es-CR"/>
        </w:rPr>
        <w:t>salarios c</w:t>
      </w:r>
      <w:r w:rsidR="00AB46A9" w:rsidRPr="00531B7E">
        <w:rPr>
          <w:sz w:val="22"/>
          <w:szCs w:val="22"/>
          <w:lang w:val="es-CR"/>
        </w:rPr>
        <w:t xml:space="preserve">orrespondientes. </w:t>
      </w:r>
    </w:p>
    <w:p w14:paraId="5C012093" w14:textId="77777777" w:rsidR="00F74DAF" w:rsidRPr="00531B7E" w:rsidRDefault="00F74DAF" w:rsidP="00F74DAF">
      <w:pPr>
        <w:pStyle w:val="Default"/>
        <w:ind w:left="1134" w:hanging="1134"/>
        <w:jc w:val="both"/>
        <w:rPr>
          <w:sz w:val="22"/>
          <w:szCs w:val="22"/>
          <w:lang w:val="es-CR"/>
        </w:rPr>
      </w:pPr>
    </w:p>
    <w:p w14:paraId="472C90AB" w14:textId="5D137251" w:rsidR="00AB46A9" w:rsidRDefault="00F74DAF" w:rsidP="00F74DAF">
      <w:pPr>
        <w:pStyle w:val="Default"/>
        <w:ind w:left="1134" w:hanging="1134"/>
        <w:jc w:val="both"/>
        <w:rPr>
          <w:sz w:val="22"/>
          <w:szCs w:val="22"/>
          <w:lang w:val="es-CR"/>
        </w:rPr>
      </w:pPr>
      <w:r w:rsidRPr="00531B7E">
        <w:rPr>
          <w:sz w:val="22"/>
          <w:szCs w:val="22"/>
          <w:lang w:val="es-CR"/>
        </w:rPr>
        <w:t>5.7.1.03</w:t>
      </w:r>
      <w:r w:rsidRPr="00531B7E">
        <w:rPr>
          <w:sz w:val="22"/>
          <w:szCs w:val="22"/>
          <w:lang w:val="es-CR"/>
        </w:rPr>
        <w:tab/>
      </w:r>
      <w:r w:rsidR="00AB46A9" w:rsidRPr="00531B7E">
        <w:rPr>
          <w:sz w:val="22"/>
          <w:szCs w:val="22"/>
          <w:lang w:val="es-CR"/>
        </w:rPr>
        <w:t>Por concepto de aguinaldo no se realizan provisiones, excepto cuando se presentan restructuraciones organizacionales o un plan de movilidad laboral.</w:t>
      </w:r>
    </w:p>
    <w:p w14:paraId="7088B452" w14:textId="77777777" w:rsidR="00531B7E" w:rsidRPr="00531B7E" w:rsidRDefault="00531B7E" w:rsidP="00F74DAF">
      <w:pPr>
        <w:pStyle w:val="Default"/>
        <w:ind w:left="1134" w:hanging="1134"/>
        <w:jc w:val="both"/>
        <w:rPr>
          <w:b/>
          <w:bCs/>
          <w:sz w:val="22"/>
          <w:szCs w:val="22"/>
          <w:lang w:val="es-CR"/>
        </w:rPr>
      </w:pPr>
    </w:p>
    <w:p w14:paraId="4A65809E" w14:textId="77777777" w:rsidR="003D4F87" w:rsidRDefault="003D4F87" w:rsidP="009F48E0">
      <w:pPr>
        <w:pStyle w:val="Default"/>
        <w:jc w:val="both"/>
        <w:rPr>
          <w:b/>
          <w:bCs/>
          <w:sz w:val="23"/>
          <w:szCs w:val="23"/>
          <w:lang w:val="es-CR"/>
        </w:rPr>
      </w:pPr>
    </w:p>
    <w:p w14:paraId="6570B85D" w14:textId="77777777" w:rsidR="00737945" w:rsidRDefault="00737945" w:rsidP="009F48E0">
      <w:pPr>
        <w:pStyle w:val="Default"/>
        <w:jc w:val="both"/>
        <w:rPr>
          <w:b/>
          <w:bCs/>
          <w:sz w:val="23"/>
          <w:szCs w:val="23"/>
          <w:lang w:val="es-CR"/>
        </w:rPr>
      </w:pPr>
    </w:p>
    <w:p w14:paraId="57B10E52" w14:textId="45B0BFB3" w:rsidR="00531B7E" w:rsidRDefault="00531B7E" w:rsidP="009E7101">
      <w:pPr>
        <w:pStyle w:val="Ttulo2"/>
        <w:ind w:left="284"/>
        <w:rPr>
          <w:rFonts w:ascii="Arial" w:eastAsia="Arial" w:hAnsi="Arial" w:cs="Arial"/>
          <w:b/>
          <w:bCs/>
          <w:sz w:val="20"/>
          <w:szCs w:val="20"/>
          <w:lang w:val="es-CR"/>
        </w:rPr>
      </w:pPr>
      <w:bookmarkStart w:id="148" w:name="_Toc172726283"/>
      <w:r w:rsidRPr="009E7101">
        <w:rPr>
          <w:rFonts w:ascii="Arial" w:eastAsia="Arial" w:hAnsi="Arial" w:cs="Arial"/>
          <w:b/>
          <w:bCs/>
          <w:sz w:val="20"/>
          <w:szCs w:val="20"/>
          <w:lang w:val="es-CR"/>
        </w:rPr>
        <w:lastRenderedPageBreak/>
        <w:t>Planes de contribuciones definidas</w:t>
      </w:r>
      <w:bookmarkEnd w:id="148"/>
    </w:p>
    <w:p w14:paraId="16EDFC2F" w14:textId="77777777" w:rsidR="00737945" w:rsidRPr="00737945" w:rsidRDefault="00737945" w:rsidP="00737945">
      <w:pPr>
        <w:rPr>
          <w:lang w:val="es-CR"/>
        </w:rPr>
      </w:pPr>
    </w:p>
    <w:p w14:paraId="26556B4F" w14:textId="77777777" w:rsidR="00F74DAF" w:rsidRDefault="00F74DAF" w:rsidP="009F48E0">
      <w:pPr>
        <w:pStyle w:val="Default"/>
        <w:jc w:val="both"/>
        <w:rPr>
          <w:b/>
          <w:bCs/>
          <w:sz w:val="23"/>
          <w:szCs w:val="23"/>
          <w:lang w:val="es-CR"/>
        </w:rPr>
      </w:pPr>
    </w:p>
    <w:tbl>
      <w:tblPr>
        <w:tblW w:w="9237" w:type="dxa"/>
        <w:tblInd w:w="118" w:type="dxa"/>
        <w:tblLook w:val="04A0" w:firstRow="1" w:lastRow="0" w:firstColumn="1" w:lastColumn="0" w:noHBand="0" w:noVBand="1"/>
      </w:tblPr>
      <w:tblGrid>
        <w:gridCol w:w="531"/>
        <w:gridCol w:w="615"/>
        <w:gridCol w:w="511"/>
        <w:gridCol w:w="3693"/>
        <w:gridCol w:w="2177"/>
        <w:gridCol w:w="1701"/>
        <w:gridCol w:w="9"/>
      </w:tblGrid>
      <w:tr w:rsidR="00AB46A9" w:rsidRPr="00AB46A9" w14:paraId="0E3BC062" w14:textId="77777777" w:rsidTr="00737945">
        <w:trPr>
          <w:trHeight w:val="320"/>
        </w:trPr>
        <w:tc>
          <w:tcPr>
            <w:tcW w:w="165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B0E839B" w14:textId="77777777" w:rsidR="00AB46A9" w:rsidRPr="00AB46A9" w:rsidRDefault="00AB46A9" w:rsidP="00AB46A9">
            <w:pPr>
              <w:jc w:val="center"/>
              <w:rPr>
                <w:rFonts w:ascii="Arial Narrow" w:eastAsia="Times New Roman" w:hAnsi="Arial Narrow" w:cs="Calibri"/>
                <w:b/>
                <w:bCs/>
                <w:color w:val="FFFFFF"/>
                <w:sz w:val="22"/>
                <w:szCs w:val="22"/>
              </w:rPr>
            </w:pPr>
            <w:r w:rsidRPr="00AB46A9">
              <w:rPr>
                <w:rFonts w:ascii="Arial Narrow" w:eastAsia="Times New Roman" w:hAnsi="Arial Narrow" w:cs="Calibri"/>
                <w:b/>
                <w:bCs/>
                <w:color w:val="FFFFFF"/>
                <w:sz w:val="22"/>
                <w:szCs w:val="22"/>
              </w:rPr>
              <w:t>Norma / Política</w:t>
            </w:r>
          </w:p>
        </w:tc>
        <w:tc>
          <w:tcPr>
            <w:tcW w:w="36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06DBA695" w14:textId="77777777" w:rsidR="00AB46A9" w:rsidRPr="00AB46A9" w:rsidRDefault="00AB46A9" w:rsidP="00AB46A9">
            <w:pPr>
              <w:jc w:val="center"/>
              <w:rPr>
                <w:rFonts w:ascii="Arial Narrow" w:eastAsia="Times New Roman" w:hAnsi="Arial Narrow" w:cs="Calibri"/>
                <w:b/>
                <w:bCs/>
                <w:color w:val="FFFFFF"/>
                <w:sz w:val="22"/>
                <w:szCs w:val="22"/>
              </w:rPr>
            </w:pPr>
            <w:r w:rsidRPr="00AB46A9">
              <w:rPr>
                <w:rFonts w:ascii="Arial Narrow" w:eastAsia="Times New Roman" w:hAnsi="Arial Narrow" w:cs="Calibri"/>
                <w:b/>
                <w:bCs/>
                <w:color w:val="FFFFFF"/>
                <w:sz w:val="22"/>
                <w:szCs w:val="22"/>
              </w:rPr>
              <w:t>Concepto</w:t>
            </w:r>
          </w:p>
        </w:tc>
        <w:tc>
          <w:tcPr>
            <w:tcW w:w="3887" w:type="dxa"/>
            <w:gridSpan w:val="3"/>
            <w:tcBorders>
              <w:top w:val="single" w:sz="8" w:space="0" w:color="auto"/>
              <w:left w:val="nil"/>
              <w:bottom w:val="single" w:sz="8" w:space="0" w:color="auto"/>
              <w:right w:val="single" w:sz="8" w:space="0" w:color="000000"/>
            </w:tcBorders>
            <w:shd w:val="clear" w:color="000000" w:fill="203764"/>
            <w:vAlign w:val="center"/>
            <w:hideMark/>
          </w:tcPr>
          <w:p w14:paraId="33924A5E" w14:textId="77777777" w:rsidR="00AB46A9" w:rsidRPr="00AB46A9" w:rsidRDefault="00AB46A9" w:rsidP="00AB46A9">
            <w:pPr>
              <w:jc w:val="center"/>
              <w:rPr>
                <w:rFonts w:ascii="Arial Narrow" w:eastAsia="Times New Roman" w:hAnsi="Arial Narrow" w:cs="Calibri"/>
                <w:b/>
                <w:bCs/>
                <w:color w:val="FFFFFF"/>
                <w:sz w:val="22"/>
                <w:szCs w:val="22"/>
              </w:rPr>
            </w:pPr>
            <w:r w:rsidRPr="00AB46A9">
              <w:rPr>
                <w:rFonts w:ascii="Arial Narrow" w:eastAsia="Times New Roman" w:hAnsi="Arial Narrow" w:cs="Calibri"/>
                <w:b/>
                <w:bCs/>
                <w:color w:val="FFFFFF"/>
                <w:sz w:val="22"/>
                <w:szCs w:val="22"/>
              </w:rPr>
              <w:t>Referencia</w:t>
            </w:r>
          </w:p>
        </w:tc>
      </w:tr>
      <w:tr w:rsidR="00AB46A9" w:rsidRPr="006E5442" w14:paraId="7A09BD36" w14:textId="77777777" w:rsidTr="00737945">
        <w:trPr>
          <w:gridAfter w:val="1"/>
          <w:wAfter w:w="9" w:type="dxa"/>
          <w:trHeight w:val="940"/>
        </w:trPr>
        <w:tc>
          <w:tcPr>
            <w:tcW w:w="1657" w:type="dxa"/>
            <w:gridSpan w:val="3"/>
            <w:vMerge/>
            <w:tcBorders>
              <w:top w:val="single" w:sz="8" w:space="0" w:color="auto"/>
              <w:left w:val="single" w:sz="8" w:space="0" w:color="auto"/>
              <w:bottom w:val="nil"/>
              <w:right w:val="single" w:sz="8" w:space="0" w:color="000000"/>
            </w:tcBorders>
            <w:vAlign w:val="center"/>
            <w:hideMark/>
          </w:tcPr>
          <w:p w14:paraId="255026FA" w14:textId="77777777" w:rsidR="00AB46A9" w:rsidRPr="00AB46A9" w:rsidRDefault="00AB46A9" w:rsidP="00AB46A9">
            <w:pPr>
              <w:rPr>
                <w:rFonts w:ascii="Arial Narrow" w:eastAsia="Times New Roman" w:hAnsi="Arial Narrow" w:cs="Calibri"/>
                <w:b/>
                <w:bCs/>
                <w:color w:val="FFFFFF"/>
                <w:sz w:val="22"/>
                <w:szCs w:val="22"/>
              </w:rPr>
            </w:pPr>
          </w:p>
        </w:tc>
        <w:tc>
          <w:tcPr>
            <w:tcW w:w="3693" w:type="dxa"/>
            <w:vMerge/>
            <w:tcBorders>
              <w:top w:val="single" w:sz="8" w:space="0" w:color="auto"/>
              <w:left w:val="single" w:sz="8" w:space="0" w:color="auto"/>
              <w:bottom w:val="nil"/>
              <w:right w:val="single" w:sz="8" w:space="0" w:color="auto"/>
            </w:tcBorders>
            <w:vAlign w:val="center"/>
            <w:hideMark/>
          </w:tcPr>
          <w:p w14:paraId="0EF40137" w14:textId="77777777" w:rsidR="00AB46A9" w:rsidRPr="00AB46A9" w:rsidRDefault="00AB46A9" w:rsidP="00AB46A9">
            <w:pPr>
              <w:rPr>
                <w:rFonts w:ascii="Arial Narrow" w:eastAsia="Times New Roman" w:hAnsi="Arial Narrow" w:cs="Calibri"/>
                <w:b/>
                <w:bCs/>
                <w:color w:val="FFFFFF"/>
                <w:sz w:val="22"/>
                <w:szCs w:val="22"/>
              </w:rPr>
            </w:pPr>
          </w:p>
        </w:tc>
        <w:tc>
          <w:tcPr>
            <w:tcW w:w="2177" w:type="dxa"/>
            <w:tcBorders>
              <w:top w:val="nil"/>
              <w:left w:val="nil"/>
              <w:bottom w:val="nil"/>
              <w:right w:val="single" w:sz="8" w:space="0" w:color="auto"/>
            </w:tcBorders>
            <w:shd w:val="clear" w:color="000000" w:fill="203764"/>
            <w:vAlign w:val="center"/>
            <w:hideMark/>
          </w:tcPr>
          <w:p w14:paraId="41DF5DE4" w14:textId="77777777" w:rsidR="00AB46A9" w:rsidRPr="00AB46A9" w:rsidRDefault="00AB46A9" w:rsidP="00AB46A9">
            <w:pPr>
              <w:jc w:val="center"/>
              <w:rPr>
                <w:rFonts w:ascii="Arial Narrow" w:eastAsia="Times New Roman" w:hAnsi="Arial Narrow" w:cs="Calibri"/>
                <w:b/>
                <w:bCs/>
                <w:color w:val="FFFFFF"/>
                <w:sz w:val="22"/>
                <w:szCs w:val="22"/>
              </w:rPr>
            </w:pPr>
            <w:r w:rsidRPr="00AB46A9">
              <w:rPr>
                <w:rFonts w:ascii="Arial Narrow" w:eastAsia="Times New Roman" w:hAnsi="Arial Narrow" w:cs="Calibri"/>
                <w:b/>
                <w:bCs/>
                <w:color w:val="FFFFFF"/>
                <w:sz w:val="22"/>
                <w:szCs w:val="22"/>
              </w:rPr>
              <w:t>Norma</w:t>
            </w:r>
          </w:p>
        </w:tc>
        <w:tc>
          <w:tcPr>
            <w:tcW w:w="1701" w:type="dxa"/>
            <w:tcBorders>
              <w:top w:val="nil"/>
              <w:left w:val="nil"/>
              <w:bottom w:val="nil"/>
              <w:right w:val="single" w:sz="8" w:space="0" w:color="auto"/>
            </w:tcBorders>
            <w:shd w:val="clear" w:color="000000" w:fill="203764"/>
            <w:vAlign w:val="center"/>
            <w:hideMark/>
          </w:tcPr>
          <w:p w14:paraId="3121D589" w14:textId="77777777" w:rsidR="00AB46A9" w:rsidRPr="00AB46A9" w:rsidRDefault="00AB46A9" w:rsidP="00AB46A9">
            <w:pPr>
              <w:jc w:val="center"/>
              <w:rPr>
                <w:rFonts w:ascii="Arial Narrow" w:eastAsia="Times New Roman" w:hAnsi="Arial Narrow" w:cs="Calibri"/>
                <w:b/>
                <w:bCs/>
                <w:color w:val="FFFFFF"/>
                <w:sz w:val="22"/>
                <w:szCs w:val="22"/>
                <w:lang w:val="es-CR"/>
              </w:rPr>
            </w:pPr>
            <w:r w:rsidRPr="00AB46A9">
              <w:rPr>
                <w:rFonts w:ascii="Arial Narrow" w:eastAsia="Times New Roman" w:hAnsi="Arial Narrow" w:cs="Calibri"/>
                <w:b/>
                <w:bCs/>
                <w:color w:val="FFFFFF"/>
                <w:sz w:val="22"/>
                <w:szCs w:val="22"/>
                <w:lang w:val="es-CR"/>
              </w:rPr>
              <w:t>Normativa técnica y disposiciones adicionales</w:t>
            </w:r>
          </w:p>
        </w:tc>
      </w:tr>
      <w:tr w:rsidR="00AB46A9" w:rsidRPr="00AB46A9" w14:paraId="1E2F2B8E" w14:textId="77777777" w:rsidTr="00737945">
        <w:trPr>
          <w:gridAfter w:val="1"/>
          <w:wAfter w:w="9" w:type="dxa"/>
          <w:trHeight w:val="630"/>
        </w:trPr>
        <w:tc>
          <w:tcPr>
            <w:tcW w:w="5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ACB5A7" w14:textId="77777777" w:rsidR="00AB46A9" w:rsidRPr="00AB46A9" w:rsidRDefault="00AB46A9" w:rsidP="00AB46A9">
            <w:pPr>
              <w:jc w:val="right"/>
              <w:rPr>
                <w:rFonts w:ascii="Arial Narrow" w:eastAsia="Times New Roman" w:hAnsi="Arial Narrow"/>
                <w:b/>
                <w:bCs/>
                <w:color w:val="000000"/>
                <w:sz w:val="22"/>
                <w:szCs w:val="22"/>
              </w:rPr>
            </w:pPr>
            <w:r w:rsidRPr="00AB46A9">
              <w:rPr>
                <w:rFonts w:ascii="Arial Narrow" w:eastAsia="Times New Roman" w:hAnsi="Arial Narrow"/>
                <w:b/>
                <w:bCs/>
                <w:color w:val="000000"/>
                <w:sz w:val="22"/>
                <w:szCs w:val="22"/>
              </w:rPr>
              <w:t>5</w:t>
            </w:r>
          </w:p>
        </w:tc>
        <w:tc>
          <w:tcPr>
            <w:tcW w:w="615" w:type="dxa"/>
            <w:tcBorders>
              <w:top w:val="single" w:sz="8" w:space="0" w:color="auto"/>
              <w:left w:val="nil"/>
              <w:bottom w:val="single" w:sz="8" w:space="0" w:color="auto"/>
              <w:right w:val="single" w:sz="8" w:space="0" w:color="auto"/>
            </w:tcBorders>
            <w:shd w:val="clear" w:color="auto" w:fill="auto"/>
            <w:vAlign w:val="center"/>
            <w:hideMark/>
          </w:tcPr>
          <w:p w14:paraId="16C1BD62" w14:textId="77777777" w:rsidR="00AB46A9" w:rsidRPr="00AB46A9" w:rsidRDefault="00AB46A9" w:rsidP="00AB46A9">
            <w:pPr>
              <w:ind w:firstLineChars="100" w:firstLine="220"/>
              <w:rPr>
                <w:rFonts w:ascii="Arial Narrow" w:eastAsia="Times New Roman" w:hAnsi="Arial Narrow"/>
                <w:b/>
                <w:bCs/>
                <w:color w:val="000000"/>
                <w:sz w:val="22"/>
                <w:szCs w:val="22"/>
              </w:rPr>
            </w:pPr>
            <w:r w:rsidRPr="00AB46A9">
              <w:rPr>
                <w:rFonts w:ascii="Arial Narrow" w:eastAsia="Times New Roman" w:hAnsi="Arial Narrow"/>
                <w:b/>
                <w:bCs/>
                <w:color w:val="000000"/>
                <w:sz w:val="22"/>
                <w:szCs w:val="22"/>
              </w:rPr>
              <w:t>8</w:t>
            </w:r>
          </w:p>
        </w:tc>
        <w:tc>
          <w:tcPr>
            <w:tcW w:w="511" w:type="dxa"/>
            <w:tcBorders>
              <w:top w:val="single" w:sz="8" w:space="0" w:color="auto"/>
              <w:left w:val="nil"/>
              <w:bottom w:val="single" w:sz="8" w:space="0" w:color="auto"/>
              <w:right w:val="single" w:sz="8" w:space="0" w:color="auto"/>
            </w:tcBorders>
            <w:shd w:val="clear" w:color="auto" w:fill="auto"/>
            <w:vAlign w:val="center"/>
            <w:hideMark/>
          </w:tcPr>
          <w:p w14:paraId="218B19CB" w14:textId="370D7572" w:rsidR="00AB46A9" w:rsidRPr="00AB46A9" w:rsidRDefault="00AB46A9" w:rsidP="00AB46A9">
            <w:pPr>
              <w:jc w:val="center"/>
              <w:rPr>
                <w:rFonts w:ascii="Arial Narrow" w:eastAsia="Times New Roman" w:hAnsi="Arial Narrow" w:cs="Calibri"/>
                <w:b/>
                <w:bCs/>
                <w:color w:val="000000"/>
                <w:sz w:val="22"/>
                <w:szCs w:val="22"/>
              </w:rPr>
            </w:pPr>
          </w:p>
        </w:tc>
        <w:tc>
          <w:tcPr>
            <w:tcW w:w="3693" w:type="dxa"/>
            <w:tcBorders>
              <w:top w:val="single" w:sz="8" w:space="0" w:color="auto"/>
              <w:left w:val="nil"/>
              <w:bottom w:val="single" w:sz="8" w:space="0" w:color="auto"/>
              <w:right w:val="single" w:sz="8" w:space="0" w:color="auto"/>
            </w:tcBorders>
            <w:shd w:val="clear" w:color="auto" w:fill="auto"/>
            <w:vAlign w:val="center"/>
            <w:hideMark/>
          </w:tcPr>
          <w:p w14:paraId="70693545" w14:textId="77777777" w:rsidR="00AB46A9" w:rsidRPr="00AB46A9" w:rsidRDefault="00AB46A9" w:rsidP="00AB46A9">
            <w:pPr>
              <w:rPr>
                <w:rFonts w:ascii="Arial Narrow" w:eastAsia="Times New Roman" w:hAnsi="Arial Narrow"/>
                <w:b/>
                <w:bCs/>
                <w:color w:val="000000"/>
                <w:sz w:val="22"/>
                <w:szCs w:val="22"/>
                <w:lang w:val="es-CR"/>
              </w:rPr>
            </w:pPr>
            <w:r w:rsidRPr="00AB46A9">
              <w:rPr>
                <w:rFonts w:ascii="Arial Narrow" w:eastAsia="Times New Roman" w:hAnsi="Arial Narrow"/>
                <w:b/>
                <w:bCs/>
                <w:color w:val="000000"/>
                <w:sz w:val="22"/>
                <w:szCs w:val="22"/>
                <w:lang w:val="es-CR"/>
              </w:rPr>
              <w:t>Planes de contribución definidos: reconocimiento y medición</w:t>
            </w:r>
          </w:p>
        </w:tc>
        <w:tc>
          <w:tcPr>
            <w:tcW w:w="2177" w:type="dxa"/>
            <w:tcBorders>
              <w:top w:val="single" w:sz="8" w:space="0" w:color="auto"/>
              <w:left w:val="nil"/>
              <w:bottom w:val="single" w:sz="8" w:space="0" w:color="auto"/>
              <w:right w:val="single" w:sz="8" w:space="0" w:color="auto"/>
            </w:tcBorders>
            <w:shd w:val="clear" w:color="auto" w:fill="auto"/>
            <w:vAlign w:val="center"/>
            <w:hideMark/>
          </w:tcPr>
          <w:p w14:paraId="0F2D7E92" w14:textId="77777777" w:rsidR="00AB46A9" w:rsidRPr="00AB46A9" w:rsidRDefault="00AB46A9" w:rsidP="00AB46A9">
            <w:pPr>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 xml:space="preserve">NICSP N° 39 </w:t>
            </w:r>
            <w:r w:rsidRPr="00AB46A9">
              <w:rPr>
                <w:rFonts w:ascii="Arial Narrow" w:eastAsia="Times New Roman" w:hAnsi="Arial Narrow" w:cs="Calibri"/>
                <w:b/>
                <w:bCs/>
                <w:color w:val="000000"/>
                <w:sz w:val="22"/>
                <w:szCs w:val="22"/>
              </w:rPr>
              <w:br/>
              <w:t>Párrafo 53.</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F5D6D18" w14:textId="77777777" w:rsidR="00AB46A9" w:rsidRPr="00AB46A9" w:rsidRDefault="00AB46A9" w:rsidP="00AB46A9">
            <w:pPr>
              <w:jc w:val="center"/>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 xml:space="preserve"> DGCN</w:t>
            </w:r>
          </w:p>
        </w:tc>
      </w:tr>
      <w:tr w:rsidR="00AB46A9" w:rsidRPr="00AB46A9" w14:paraId="3A02AF4D" w14:textId="77777777" w:rsidTr="00737945">
        <w:trPr>
          <w:gridAfter w:val="1"/>
          <w:wAfter w:w="9" w:type="dxa"/>
          <w:trHeight w:val="630"/>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12A6A767" w14:textId="77777777" w:rsidR="00AB46A9" w:rsidRPr="00AB46A9" w:rsidRDefault="00AB46A9" w:rsidP="00AB46A9">
            <w:pPr>
              <w:jc w:val="right"/>
              <w:rPr>
                <w:rFonts w:ascii="Arial Narrow" w:eastAsia="Times New Roman" w:hAnsi="Arial Narrow"/>
                <w:b/>
                <w:bCs/>
                <w:color w:val="000000"/>
                <w:sz w:val="22"/>
                <w:szCs w:val="22"/>
              </w:rPr>
            </w:pPr>
            <w:r w:rsidRPr="00AB46A9">
              <w:rPr>
                <w:rFonts w:ascii="Arial Narrow" w:eastAsia="Times New Roman" w:hAnsi="Arial Narrow"/>
                <w:b/>
                <w:bCs/>
                <w:color w:val="000000"/>
                <w:sz w:val="22"/>
                <w:szCs w:val="22"/>
              </w:rPr>
              <w:t>5</w:t>
            </w:r>
          </w:p>
        </w:tc>
        <w:tc>
          <w:tcPr>
            <w:tcW w:w="615" w:type="dxa"/>
            <w:tcBorders>
              <w:top w:val="nil"/>
              <w:left w:val="nil"/>
              <w:bottom w:val="single" w:sz="8" w:space="0" w:color="auto"/>
              <w:right w:val="single" w:sz="8" w:space="0" w:color="auto"/>
            </w:tcBorders>
            <w:shd w:val="clear" w:color="auto" w:fill="auto"/>
            <w:vAlign w:val="center"/>
            <w:hideMark/>
          </w:tcPr>
          <w:p w14:paraId="1E70D277" w14:textId="77777777" w:rsidR="00AB46A9" w:rsidRPr="00AB46A9" w:rsidRDefault="00AB46A9" w:rsidP="00AB46A9">
            <w:pPr>
              <w:ind w:firstLineChars="100" w:firstLine="220"/>
              <w:rPr>
                <w:rFonts w:ascii="Arial Narrow" w:eastAsia="Times New Roman" w:hAnsi="Arial Narrow"/>
                <w:b/>
                <w:bCs/>
                <w:color w:val="000000"/>
                <w:sz w:val="22"/>
                <w:szCs w:val="22"/>
              </w:rPr>
            </w:pPr>
            <w:r w:rsidRPr="00AB46A9">
              <w:rPr>
                <w:rFonts w:ascii="Arial Narrow" w:eastAsia="Times New Roman" w:hAnsi="Arial Narrow"/>
                <w:b/>
                <w:bCs/>
                <w:color w:val="000000"/>
                <w:sz w:val="22"/>
                <w:szCs w:val="22"/>
              </w:rPr>
              <w:t>8</w:t>
            </w:r>
          </w:p>
        </w:tc>
        <w:tc>
          <w:tcPr>
            <w:tcW w:w="511" w:type="dxa"/>
            <w:tcBorders>
              <w:top w:val="nil"/>
              <w:left w:val="nil"/>
              <w:bottom w:val="single" w:sz="8" w:space="0" w:color="auto"/>
              <w:right w:val="nil"/>
            </w:tcBorders>
            <w:shd w:val="clear" w:color="auto" w:fill="auto"/>
            <w:vAlign w:val="center"/>
            <w:hideMark/>
          </w:tcPr>
          <w:p w14:paraId="6946F3F9" w14:textId="77777777" w:rsidR="00AB46A9" w:rsidRPr="00AB46A9" w:rsidRDefault="00AB46A9" w:rsidP="00AB46A9">
            <w:pPr>
              <w:jc w:val="center"/>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1</w:t>
            </w:r>
          </w:p>
        </w:tc>
        <w:tc>
          <w:tcPr>
            <w:tcW w:w="3693" w:type="dxa"/>
            <w:tcBorders>
              <w:top w:val="nil"/>
              <w:left w:val="single" w:sz="8" w:space="0" w:color="auto"/>
              <w:bottom w:val="single" w:sz="8" w:space="0" w:color="auto"/>
              <w:right w:val="single" w:sz="8" w:space="0" w:color="auto"/>
            </w:tcBorders>
            <w:shd w:val="clear" w:color="auto" w:fill="auto"/>
            <w:vAlign w:val="center"/>
            <w:hideMark/>
          </w:tcPr>
          <w:p w14:paraId="620A8201" w14:textId="77777777" w:rsidR="00AB46A9" w:rsidRPr="00AB46A9" w:rsidRDefault="00AB46A9" w:rsidP="00AB46A9">
            <w:pPr>
              <w:rPr>
                <w:rFonts w:ascii="Arial Narrow" w:eastAsia="Times New Roman" w:hAnsi="Arial Narrow"/>
                <w:b/>
                <w:bCs/>
                <w:color w:val="000000"/>
                <w:sz w:val="22"/>
                <w:szCs w:val="22"/>
              </w:rPr>
            </w:pPr>
            <w:r w:rsidRPr="00AB46A9">
              <w:rPr>
                <w:rFonts w:ascii="Arial Narrow" w:eastAsia="Times New Roman" w:hAnsi="Arial Narrow"/>
                <w:b/>
                <w:bCs/>
                <w:color w:val="000000"/>
                <w:sz w:val="22"/>
                <w:szCs w:val="22"/>
              </w:rPr>
              <w:t xml:space="preserve"> Información a revelar</w:t>
            </w:r>
          </w:p>
        </w:tc>
        <w:tc>
          <w:tcPr>
            <w:tcW w:w="2177" w:type="dxa"/>
            <w:tcBorders>
              <w:top w:val="nil"/>
              <w:left w:val="nil"/>
              <w:bottom w:val="single" w:sz="8" w:space="0" w:color="auto"/>
              <w:right w:val="single" w:sz="8" w:space="0" w:color="auto"/>
            </w:tcBorders>
            <w:shd w:val="clear" w:color="auto" w:fill="auto"/>
            <w:vAlign w:val="center"/>
            <w:hideMark/>
          </w:tcPr>
          <w:p w14:paraId="482A4571" w14:textId="77777777" w:rsidR="00AB46A9" w:rsidRPr="00AB46A9" w:rsidRDefault="00AB46A9" w:rsidP="00AB46A9">
            <w:pPr>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 xml:space="preserve"> NICSP N° 39</w:t>
            </w:r>
            <w:r w:rsidRPr="00AB46A9">
              <w:rPr>
                <w:rFonts w:ascii="Arial Narrow" w:eastAsia="Times New Roman" w:hAnsi="Arial Narrow" w:cs="Calibri"/>
                <w:b/>
                <w:bCs/>
                <w:color w:val="000000"/>
                <w:sz w:val="22"/>
                <w:szCs w:val="22"/>
              </w:rPr>
              <w:br/>
              <w:t>Párrafos 55 y 56</w:t>
            </w:r>
          </w:p>
        </w:tc>
        <w:tc>
          <w:tcPr>
            <w:tcW w:w="1701" w:type="dxa"/>
            <w:tcBorders>
              <w:top w:val="nil"/>
              <w:left w:val="nil"/>
              <w:bottom w:val="single" w:sz="8" w:space="0" w:color="auto"/>
              <w:right w:val="single" w:sz="8" w:space="0" w:color="auto"/>
            </w:tcBorders>
            <w:shd w:val="clear" w:color="auto" w:fill="auto"/>
            <w:vAlign w:val="center"/>
            <w:hideMark/>
          </w:tcPr>
          <w:p w14:paraId="18B6DB2B" w14:textId="77777777" w:rsidR="00AB46A9" w:rsidRPr="00AB46A9" w:rsidRDefault="00AB46A9" w:rsidP="00AB46A9">
            <w:pPr>
              <w:jc w:val="center"/>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 xml:space="preserve"> </w:t>
            </w:r>
          </w:p>
        </w:tc>
      </w:tr>
    </w:tbl>
    <w:p w14:paraId="7013DF76" w14:textId="77777777" w:rsidR="00AB46A9" w:rsidRDefault="00AB46A9" w:rsidP="009F48E0">
      <w:pPr>
        <w:pStyle w:val="Default"/>
        <w:jc w:val="both"/>
        <w:rPr>
          <w:b/>
          <w:bCs/>
          <w:sz w:val="23"/>
          <w:szCs w:val="23"/>
          <w:lang w:val="es-CR"/>
        </w:rPr>
      </w:pPr>
    </w:p>
    <w:p w14:paraId="346BFCD8" w14:textId="77777777" w:rsidR="00737945" w:rsidRDefault="00737945" w:rsidP="00737945">
      <w:pPr>
        <w:pStyle w:val="Default"/>
        <w:ind w:left="1134" w:hanging="1134"/>
        <w:jc w:val="both"/>
        <w:rPr>
          <w:rFonts w:eastAsia="Arial"/>
          <w:b/>
          <w:sz w:val="22"/>
          <w:szCs w:val="22"/>
        </w:rPr>
      </w:pPr>
      <w:r w:rsidRPr="00F02F9D">
        <w:rPr>
          <w:rFonts w:eastAsia="Arial"/>
          <w:b/>
          <w:sz w:val="22"/>
          <w:szCs w:val="22"/>
        </w:rPr>
        <w:t>Políticas Contables</w:t>
      </w:r>
    </w:p>
    <w:p w14:paraId="0C9E6A98" w14:textId="77777777" w:rsidR="00737945" w:rsidRDefault="00737945" w:rsidP="009F48E0">
      <w:pPr>
        <w:pStyle w:val="Default"/>
        <w:jc w:val="both"/>
        <w:rPr>
          <w:b/>
          <w:bCs/>
          <w:sz w:val="23"/>
          <w:szCs w:val="23"/>
          <w:lang w:val="es-CR"/>
        </w:rPr>
      </w:pPr>
    </w:p>
    <w:p w14:paraId="0D4A06DC" w14:textId="649CD0E3" w:rsidR="00AB46A9" w:rsidRDefault="00F74DAF" w:rsidP="00F74DAF">
      <w:pPr>
        <w:pStyle w:val="Default"/>
        <w:ind w:left="1134" w:hanging="1134"/>
        <w:jc w:val="both"/>
        <w:rPr>
          <w:sz w:val="22"/>
          <w:szCs w:val="22"/>
          <w:lang w:val="es-CR"/>
        </w:rPr>
      </w:pPr>
      <w:r>
        <w:rPr>
          <w:sz w:val="22"/>
          <w:szCs w:val="22"/>
          <w:lang w:val="es-CR"/>
        </w:rPr>
        <w:t>5.8.0.01</w:t>
      </w:r>
      <w:r>
        <w:rPr>
          <w:sz w:val="22"/>
          <w:szCs w:val="22"/>
          <w:lang w:val="es-CR"/>
        </w:rPr>
        <w:tab/>
      </w:r>
      <w:r w:rsidR="00AB46A9" w:rsidRPr="00F74DAF">
        <w:rPr>
          <w:sz w:val="22"/>
          <w:szCs w:val="22"/>
          <w:lang w:val="es-CR"/>
        </w:rPr>
        <w:t>Se reconocerán como gasto del período las contribuciones con destino a un plan de contribuciones definidas, determinadas con relación a los servicios prestados por los empleados durante el mismo y en la medida que estén a cargo de la entidad.</w:t>
      </w:r>
    </w:p>
    <w:p w14:paraId="686B8DD8" w14:textId="77777777" w:rsidR="00F74DAF" w:rsidRPr="00F74DAF" w:rsidRDefault="00F74DAF" w:rsidP="00F74DAF">
      <w:pPr>
        <w:pStyle w:val="Default"/>
        <w:ind w:left="1134" w:hanging="1134"/>
        <w:jc w:val="both"/>
        <w:rPr>
          <w:b/>
          <w:bCs/>
          <w:sz w:val="22"/>
          <w:szCs w:val="22"/>
          <w:lang w:val="es-CR"/>
        </w:rPr>
      </w:pPr>
    </w:p>
    <w:p w14:paraId="0B1B79A8" w14:textId="6157F337" w:rsidR="00AB46A9" w:rsidRDefault="00F74DAF" w:rsidP="00F74DAF">
      <w:pPr>
        <w:pStyle w:val="Default"/>
        <w:ind w:left="1134" w:hanging="1134"/>
        <w:jc w:val="both"/>
        <w:rPr>
          <w:sz w:val="22"/>
          <w:szCs w:val="22"/>
          <w:lang w:val="es-CR"/>
        </w:rPr>
      </w:pPr>
      <w:r>
        <w:rPr>
          <w:sz w:val="22"/>
          <w:szCs w:val="22"/>
          <w:lang w:val="es-CR"/>
        </w:rPr>
        <w:t>5.8.1.01</w:t>
      </w:r>
      <w:r>
        <w:rPr>
          <w:sz w:val="22"/>
          <w:szCs w:val="22"/>
          <w:lang w:val="es-CR"/>
        </w:rPr>
        <w:tab/>
        <w:t>L</w:t>
      </w:r>
      <w:r w:rsidR="00AB46A9" w:rsidRPr="00F74DAF">
        <w:rPr>
          <w:sz w:val="22"/>
          <w:szCs w:val="22"/>
          <w:lang w:val="es-CR"/>
        </w:rPr>
        <w:t xml:space="preserve">a </w:t>
      </w:r>
      <w:r w:rsidR="000F29DC">
        <w:rPr>
          <w:sz w:val="22"/>
          <w:szCs w:val="22"/>
          <w:lang w:val="es-CR"/>
        </w:rPr>
        <w:t>MBA</w:t>
      </w:r>
      <w:r w:rsidR="00AB46A9" w:rsidRPr="00F74DAF">
        <w:rPr>
          <w:sz w:val="22"/>
          <w:szCs w:val="22"/>
          <w:lang w:val="es-CR"/>
        </w:rPr>
        <w:t xml:space="preserve"> revelará el importe reconocido como gasto en los planes de contribuciones definidas</w:t>
      </w:r>
      <w:r>
        <w:rPr>
          <w:sz w:val="22"/>
          <w:szCs w:val="22"/>
          <w:lang w:val="es-CR"/>
        </w:rPr>
        <w:t>.</w:t>
      </w:r>
    </w:p>
    <w:p w14:paraId="504684DF" w14:textId="77777777" w:rsidR="00F74DAF" w:rsidRPr="00F74DAF" w:rsidRDefault="00F74DAF" w:rsidP="00F74DAF">
      <w:pPr>
        <w:pStyle w:val="Default"/>
        <w:ind w:left="1134" w:hanging="1134"/>
        <w:jc w:val="both"/>
        <w:rPr>
          <w:sz w:val="22"/>
          <w:szCs w:val="22"/>
          <w:lang w:val="es-CR"/>
        </w:rPr>
      </w:pPr>
    </w:p>
    <w:p w14:paraId="3816D5F5" w14:textId="51CABADB" w:rsidR="00AB46A9" w:rsidRDefault="00F74DAF" w:rsidP="00F74DAF">
      <w:pPr>
        <w:pStyle w:val="Default"/>
        <w:ind w:left="1134" w:hanging="1134"/>
        <w:jc w:val="both"/>
        <w:rPr>
          <w:sz w:val="22"/>
          <w:szCs w:val="22"/>
          <w:lang w:val="es-CR"/>
        </w:rPr>
      </w:pPr>
      <w:r>
        <w:rPr>
          <w:sz w:val="22"/>
          <w:szCs w:val="22"/>
          <w:lang w:val="es-CR"/>
        </w:rPr>
        <w:t>5.8.1.02</w:t>
      </w:r>
      <w:r>
        <w:rPr>
          <w:sz w:val="22"/>
          <w:szCs w:val="22"/>
          <w:lang w:val="es-CR"/>
        </w:rPr>
        <w:tab/>
      </w:r>
      <w:r w:rsidR="00AB46A9" w:rsidRPr="00F74DAF">
        <w:rPr>
          <w:sz w:val="22"/>
          <w:szCs w:val="22"/>
          <w:lang w:val="es-CR"/>
        </w:rPr>
        <w:t xml:space="preserve">En el caso de que fuera requerido por la NICSP 20, </w:t>
      </w:r>
      <w:r w:rsidR="00F96A1F">
        <w:rPr>
          <w:sz w:val="22"/>
          <w:szCs w:val="22"/>
          <w:lang w:val="es-CR"/>
        </w:rPr>
        <w:t>l</w:t>
      </w:r>
      <w:r w:rsidR="00AB46A9" w:rsidRPr="00F74DAF">
        <w:rPr>
          <w:sz w:val="22"/>
          <w:szCs w:val="22"/>
          <w:lang w:val="es-CR"/>
        </w:rPr>
        <w:t xml:space="preserve">a </w:t>
      </w:r>
      <w:r w:rsidR="00F96A1F">
        <w:rPr>
          <w:sz w:val="22"/>
          <w:szCs w:val="22"/>
          <w:lang w:val="es-CR"/>
        </w:rPr>
        <w:t>Municipalidad</w:t>
      </w:r>
      <w:r w:rsidR="00AB46A9" w:rsidRPr="00F74DAF">
        <w:rPr>
          <w:sz w:val="22"/>
          <w:szCs w:val="22"/>
          <w:lang w:val="es-CR"/>
        </w:rPr>
        <w:t xml:space="preserve"> revelará información sobre las contribuciones a planes de contribuciones definidas para el personal clave de la gerencia</w:t>
      </w:r>
      <w:r w:rsidR="00F96A1F">
        <w:rPr>
          <w:sz w:val="22"/>
          <w:szCs w:val="22"/>
          <w:lang w:val="es-CR"/>
        </w:rPr>
        <w:t>.</w:t>
      </w:r>
    </w:p>
    <w:p w14:paraId="6AD86C21" w14:textId="77777777" w:rsidR="00F96A1F" w:rsidRPr="00F74DAF" w:rsidRDefault="00F96A1F" w:rsidP="00F74DAF">
      <w:pPr>
        <w:pStyle w:val="Default"/>
        <w:ind w:left="1134" w:hanging="1134"/>
        <w:jc w:val="both"/>
        <w:rPr>
          <w:sz w:val="22"/>
          <w:szCs w:val="22"/>
          <w:lang w:val="es-CR"/>
        </w:rPr>
      </w:pPr>
    </w:p>
    <w:p w14:paraId="54F7A951" w14:textId="31ED4D10" w:rsidR="00AB46A9" w:rsidRDefault="00F74DAF" w:rsidP="00F74DAF">
      <w:pPr>
        <w:pStyle w:val="Default"/>
        <w:ind w:left="1134" w:hanging="1134"/>
        <w:jc w:val="both"/>
        <w:rPr>
          <w:sz w:val="22"/>
          <w:szCs w:val="22"/>
          <w:lang w:val="es-CR"/>
        </w:rPr>
      </w:pPr>
      <w:r>
        <w:rPr>
          <w:sz w:val="22"/>
          <w:szCs w:val="22"/>
          <w:lang w:val="es-CR"/>
        </w:rPr>
        <w:t>5.8.1.03</w:t>
      </w:r>
      <w:r>
        <w:rPr>
          <w:sz w:val="22"/>
          <w:szCs w:val="22"/>
          <w:lang w:val="es-CR"/>
        </w:rPr>
        <w:tab/>
      </w:r>
      <w:r w:rsidR="00AB46A9" w:rsidRPr="00F74DAF">
        <w:rPr>
          <w:sz w:val="22"/>
          <w:szCs w:val="22"/>
          <w:lang w:val="es-CR"/>
        </w:rPr>
        <w:t>En los EEFF, deberá revelarse la información requerida en el Capítulo “Pasivo”, con relación a los gastos reconocidos con destino a planes de contribuciones definidas, incluyendo en particular los vinculados con personal clave de la gerencia o dirección de la entidad.</w:t>
      </w:r>
    </w:p>
    <w:p w14:paraId="67777671" w14:textId="77777777" w:rsidR="00531B7E" w:rsidRDefault="00531B7E" w:rsidP="00F74DAF">
      <w:pPr>
        <w:pStyle w:val="Default"/>
        <w:ind w:left="1134" w:hanging="1134"/>
        <w:jc w:val="both"/>
        <w:rPr>
          <w:sz w:val="22"/>
          <w:szCs w:val="22"/>
          <w:lang w:val="es-CR"/>
        </w:rPr>
      </w:pPr>
    </w:p>
    <w:p w14:paraId="1788326A" w14:textId="77777777" w:rsidR="00737945" w:rsidRDefault="00737945" w:rsidP="00F74DAF">
      <w:pPr>
        <w:pStyle w:val="Default"/>
        <w:ind w:left="1134" w:hanging="1134"/>
        <w:jc w:val="both"/>
        <w:rPr>
          <w:sz w:val="22"/>
          <w:szCs w:val="22"/>
          <w:lang w:val="es-CR"/>
        </w:rPr>
      </w:pPr>
    </w:p>
    <w:p w14:paraId="5B9CD359" w14:textId="77777777" w:rsidR="00531B7E" w:rsidRDefault="00531B7E" w:rsidP="00F74DAF">
      <w:pPr>
        <w:pStyle w:val="Default"/>
        <w:ind w:left="1134" w:hanging="1134"/>
        <w:jc w:val="both"/>
        <w:rPr>
          <w:sz w:val="22"/>
          <w:szCs w:val="22"/>
          <w:lang w:val="es-CR"/>
        </w:rPr>
      </w:pPr>
    </w:p>
    <w:p w14:paraId="6B6A5B33" w14:textId="46EEA1CC" w:rsidR="00531B7E" w:rsidRPr="009E7101" w:rsidRDefault="00531B7E" w:rsidP="009E7101">
      <w:pPr>
        <w:pStyle w:val="Ttulo2"/>
        <w:ind w:left="284"/>
        <w:rPr>
          <w:rFonts w:ascii="Arial" w:eastAsia="Arial" w:hAnsi="Arial" w:cs="Arial"/>
          <w:b/>
          <w:bCs/>
          <w:sz w:val="20"/>
          <w:szCs w:val="20"/>
          <w:lang w:val="es-CR"/>
        </w:rPr>
      </w:pPr>
      <w:bookmarkStart w:id="149" w:name="_Toc172726284"/>
      <w:r w:rsidRPr="009E7101">
        <w:rPr>
          <w:rFonts w:ascii="Arial" w:eastAsia="Arial" w:hAnsi="Arial" w:cs="Arial"/>
          <w:b/>
          <w:bCs/>
          <w:sz w:val="20"/>
          <w:szCs w:val="20"/>
          <w:lang w:val="es-CR"/>
        </w:rPr>
        <w:t>Otros beneficios a empleados</w:t>
      </w:r>
      <w:bookmarkEnd w:id="149"/>
    </w:p>
    <w:p w14:paraId="694A461B" w14:textId="77777777" w:rsidR="00F74DAF" w:rsidRDefault="00F74DAF" w:rsidP="009F48E0">
      <w:pPr>
        <w:pStyle w:val="Default"/>
        <w:jc w:val="both"/>
        <w:rPr>
          <w:b/>
          <w:bCs/>
          <w:sz w:val="23"/>
          <w:szCs w:val="23"/>
          <w:lang w:val="es-CR"/>
        </w:rPr>
      </w:pPr>
    </w:p>
    <w:p w14:paraId="0BAAE8C2" w14:textId="77777777" w:rsidR="00737945" w:rsidRDefault="00737945" w:rsidP="009F48E0">
      <w:pPr>
        <w:pStyle w:val="Default"/>
        <w:jc w:val="both"/>
        <w:rPr>
          <w:b/>
          <w:bCs/>
          <w:sz w:val="23"/>
          <w:szCs w:val="23"/>
          <w:lang w:val="es-CR"/>
        </w:rPr>
      </w:pPr>
    </w:p>
    <w:tbl>
      <w:tblPr>
        <w:tblW w:w="9268" w:type="dxa"/>
        <w:tblInd w:w="118" w:type="dxa"/>
        <w:tblLook w:val="04A0" w:firstRow="1" w:lastRow="0" w:firstColumn="1" w:lastColumn="0" w:noHBand="0" w:noVBand="1"/>
      </w:tblPr>
      <w:tblGrid>
        <w:gridCol w:w="439"/>
        <w:gridCol w:w="709"/>
        <w:gridCol w:w="425"/>
        <w:gridCol w:w="3681"/>
        <w:gridCol w:w="2131"/>
        <w:gridCol w:w="1866"/>
        <w:gridCol w:w="17"/>
      </w:tblGrid>
      <w:tr w:rsidR="00AB46A9" w:rsidRPr="00AB46A9" w14:paraId="207BCF77" w14:textId="77777777" w:rsidTr="00E31ED1">
        <w:trPr>
          <w:trHeight w:val="320"/>
        </w:trPr>
        <w:tc>
          <w:tcPr>
            <w:tcW w:w="157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EF55EEC" w14:textId="77777777" w:rsidR="00AB46A9" w:rsidRPr="00AB46A9" w:rsidRDefault="00AB46A9" w:rsidP="00AB46A9">
            <w:pPr>
              <w:jc w:val="center"/>
              <w:rPr>
                <w:rFonts w:ascii="Arial Narrow" w:eastAsia="Times New Roman" w:hAnsi="Arial Narrow" w:cs="Calibri"/>
                <w:b/>
                <w:bCs/>
                <w:color w:val="FFFFFF"/>
                <w:sz w:val="22"/>
                <w:szCs w:val="22"/>
              </w:rPr>
            </w:pPr>
            <w:r w:rsidRPr="00AB46A9">
              <w:rPr>
                <w:rFonts w:ascii="Arial Narrow" w:eastAsia="Times New Roman" w:hAnsi="Arial Narrow" w:cs="Calibri"/>
                <w:b/>
                <w:bCs/>
                <w:color w:val="FFFFFF"/>
                <w:sz w:val="22"/>
                <w:szCs w:val="22"/>
              </w:rPr>
              <w:t>Norma / Política</w:t>
            </w:r>
          </w:p>
        </w:tc>
        <w:tc>
          <w:tcPr>
            <w:tcW w:w="36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476FC8" w14:textId="77777777" w:rsidR="00AB46A9" w:rsidRPr="00AB46A9" w:rsidRDefault="00AB46A9" w:rsidP="00AB46A9">
            <w:pPr>
              <w:jc w:val="center"/>
              <w:rPr>
                <w:rFonts w:ascii="Arial Narrow" w:eastAsia="Times New Roman" w:hAnsi="Arial Narrow" w:cs="Calibri"/>
                <w:b/>
                <w:bCs/>
                <w:color w:val="FFFFFF"/>
                <w:sz w:val="22"/>
                <w:szCs w:val="22"/>
              </w:rPr>
            </w:pPr>
            <w:r w:rsidRPr="00AB46A9">
              <w:rPr>
                <w:rFonts w:ascii="Arial Narrow" w:eastAsia="Times New Roman" w:hAnsi="Arial Narrow" w:cs="Calibri"/>
                <w:b/>
                <w:bCs/>
                <w:color w:val="FFFFFF"/>
                <w:sz w:val="22"/>
                <w:szCs w:val="22"/>
              </w:rPr>
              <w:t>Concepto</w:t>
            </w:r>
          </w:p>
        </w:tc>
        <w:tc>
          <w:tcPr>
            <w:tcW w:w="4014" w:type="dxa"/>
            <w:gridSpan w:val="3"/>
            <w:tcBorders>
              <w:top w:val="single" w:sz="8" w:space="0" w:color="auto"/>
              <w:left w:val="nil"/>
              <w:bottom w:val="single" w:sz="8" w:space="0" w:color="auto"/>
              <w:right w:val="single" w:sz="8" w:space="0" w:color="000000"/>
            </w:tcBorders>
            <w:shd w:val="clear" w:color="000000" w:fill="203764"/>
            <w:vAlign w:val="center"/>
            <w:hideMark/>
          </w:tcPr>
          <w:p w14:paraId="0D9822CD" w14:textId="77777777" w:rsidR="00AB46A9" w:rsidRPr="00AB46A9" w:rsidRDefault="00AB46A9" w:rsidP="00AB46A9">
            <w:pPr>
              <w:jc w:val="center"/>
              <w:rPr>
                <w:rFonts w:ascii="Arial Narrow" w:eastAsia="Times New Roman" w:hAnsi="Arial Narrow" w:cs="Calibri"/>
                <w:b/>
                <w:bCs/>
                <w:color w:val="FFFFFF"/>
                <w:sz w:val="22"/>
                <w:szCs w:val="22"/>
              </w:rPr>
            </w:pPr>
            <w:r w:rsidRPr="00AB46A9">
              <w:rPr>
                <w:rFonts w:ascii="Arial Narrow" w:eastAsia="Times New Roman" w:hAnsi="Arial Narrow" w:cs="Calibri"/>
                <w:b/>
                <w:bCs/>
                <w:color w:val="FFFFFF"/>
                <w:sz w:val="22"/>
                <w:szCs w:val="22"/>
              </w:rPr>
              <w:t>Referencia</w:t>
            </w:r>
          </w:p>
        </w:tc>
      </w:tr>
      <w:tr w:rsidR="00AB46A9" w:rsidRPr="006E5442" w14:paraId="7E35DC15" w14:textId="77777777" w:rsidTr="00E31ED1">
        <w:trPr>
          <w:gridAfter w:val="1"/>
          <w:wAfter w:w="17" w:type="dxa"/>
          <w:trHeight w:val="940"/>
        </w:trPr>
        <w:tc>
          <w:tcPr>
            <w:tcW w:w="1573" w:type="dxa"/>
            <w:gridSpan w:val="3"/>
            <w:vMerge/>
            <w:tcBorders>
              <w:top w:val="single" w:sz="8" w:space="0" w:color="auto"/>
              <w:left w:val="single" w:sz="8" w:space="0" w:color="auto"/>
              <w:bottom w:val="nil"/>
              <w:right w:val="single" w:sz="8" w:space="0" w:color="000000"/>
            </w:tcBorders>
            <w:vAlign w:val="center"/>
            <w:hideMark/>
          </w:tcPr>
          <w:p w14:paraId="48D2DC86" w14:textId="77777777" w:rsidR="00AB46A9" w:rsidRPr="00AB46A9" w:rsidRDefault="00AB46A9" w:rsidP="00AB46A9">
            <w:pPr>
              <w:rPr>
                <w:rFonts w:ascii="Arial Narrow" w:eastAsia="Times New Roman" w:hAnsi="Arial Narrow" w:cs="Calibri"/>
                <w:b/>
                <w:bCs/>
                <w:color w:val="FFFFFF"/>
                <w:sz w:val="22"/>
                <w:szCs w:val="22"/>
              </w:rPr>
            </w:pPr>
          </w:p>
        </w:tc>
        <w:tc>
          <w:tcPr>
            <w:tcW w:w="3681" w:type="dxa"/>
            <w:vMerge/>
            <w:tcBorders>
              <w:top w:val="single" w:sz="8" w:space="0" w:color="auto"/>
              <w:left w:val="single" w:sz="8" w:space="0" w:color="auto"/>
              <w:bottom w:val="nil"/>
              <w:right w:val="single" w:sz="8" w:space="0" w:color="auto"/>
            </w:tcBorders>
            <w:vAlign w:val="center"/>
            <w:hideMark/>
          </w:tcPr>
          <w:p w14:paraId="5C62E7C8" w14:textId="77777777" w:rsidR="00AB46A9" w:rsidRPr="00AB46A9" w:rsidRDefault="00AB46A9" w:rsidP="00AB46A9">
            <w:pPr>
              <w:rPr>
                <w:rFonts w:ascii="Arial Narrow" w:eastAsia="Times New Roman" w:hAnsi="Arial Narrow" w:cs="Calibri"/>
                <w:b/>
                <w:bCs/>
                <w:color w:val="FFFFFF"/>
                <w:sz w:val="22"/>
                <w:szCs w:val="22"/>
              </w:rPr>
            </w:pPr>
          </w:p>
        </w:tc>
        <w:tc>
          <w:tcPr>
            <w:tcW w:w="2131" w:type="dxa"/>
            <w:tcBorders>
              <w:top w:val="nil"/>
              <w:left w:val="nil"/>
              <w:bottom w:val="nil"/>
              <w:right w:val="single" w:sz="8" w:space="0" w:color="auto"/>
            </w:tcBorders>
            <w:shd w:val="clear" w:color="000000" w:fill="203764"/>
            <w:vAlign w:val="center"/>
            <w:hideMark/>
          </w:tcPr>
          <w:p w14:paraId="5962BB19" w14:textId="77777777" w:rsidR="00AB46A9" w:rsidRPr="00AB46A9" w:rsidRDefault="00AB46A9" w:rsidP="00AB46A9">
            <w:pPr>
              <w:jc w:val="center"/>
              <w:rPr>
                <w:rFonts w:ascii="Arial Narrow" w:eastAsia="Times New Roman" w:hAnsi="Arial Narrow" w:cs="Calibri"/>
                <w:b/>
                <w:bCs/>
                <w:color w:val="FFFFFF"/>
                <w:sz w:val="22"/>
                <w:szCs w:val="22"/>
              </w:rPr>
            </w:pPr>
            <w:r w:rsidRPr="00AB46A9">
              <w:rPr>
                <w:rFonts w:ascii="Arial Narrow" w:eastAsia="Times New Roman" w:hAnsi="Arial Narrow" w:cs="Calibri"/>
                <w:b/>
                <w:bCs/>
                <w:color w:val="FFFFFF"/>
                <w:sz w:val="22"/>
                <w:szCs w:val="22"/>
              </w:rPr>
              <w:t>Norma</w:t>
            </w:r>
          </w:p>
        </w:tc>
        <w:tc>
          <w:tcPr>
            <w:tcW w:w="1866" w:type="dxa"/>
            <w:tcBorders>
              <w:top w:val="nil"/>
              <w:left w:val="nil"/>
              <w:bottom w:val="nil"/>
              <w:right w:val="single" w:sz="8" w:space="0" w:color="auto"/>
            </w:tcBorders>
            <w:shd w:val="clear" w:color="000000" w:fill="203764"/>
            <w:vAlign w:val="center"/>
            <w:hideMark/>
          </w:tcPr>
          <w:p w14:paraId="3BB086F3" w14:textId="77777777" w:rsidR="00AB46A9" w:rsidRPr="00AB46A9" w:rsidRDefault="00AB46A9" w:rsidP="00AB46A9">
            <w:pPr>
              <w:jc w:val="center"/>
              <w:rPr>
                <w:rFonts w:ascii="Arial Narrow" w:eastAsia="Times New Roman" w:hAnsi="Arial Narrow" w:cs="Calibri"/>
                <w:b/>
                <w:bCs/>
                <w:color w:val="FFFFFF"/>
                <w:sz w:val="22"/>
                <w:szCs w:val="22"/>
                <w:lang w:val="es-CR"/>
              </w:rPr>
            </w:pPr>
            <w:r w:rsidRPr="00AB46A9">
              <w:rPr>
                <w:rFonts w:ascii="Arial Narrow" w:eastAsia="Times New Roman" w:hAnsi="Arial Narrow" w:cs="Calibri"/>
                <w:b/>
                <w:bCs/>
                <w:color w:val="FFFFFF"/>
                <w:sz w:val="22"/>
                <w:szCs w:val="22"/>
                <w:lang w:val="es-CR"/>
              </w:rPr>
              <w:t>Normativa técnica y disposiciones adicionales</w:t>
            </w:r>
          </w:p>
        </w:tc>
      </w:tr>
      <w:tr w:rsidR="00AB46A9" w:rsidRPr="00AB46A9" w14:paraId="09B48BD9" w14:textId="77777777" w:rsidTr="00E31ED1">
        <w:trPr>
          <w:gridAfter w:val="1"/>
          <w:wAfter w:w="17" w:type="dxa"/>
          <w:trHeight w:val="63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492097" w14:textId="77777777" w:rsidR="00AB46A9" w:rsidRPr="00AB46A9" w:rsidRDefault="00AB46A9" w:rsidP="00AB46A9">
            <w:pPr>
              <w:jc w:val="center"/>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57743093" w14:textId="77777777" w:rsidR="00AB46A9" w:rsidRPr="00AB46A9" w:rsidRDefault="00AB46A9" w:rsidP="00E31ED1">
            <w:pPr>
              <w:ind w:left="-33"/>
              <w:jc w:val="center"/>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11</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1F784AA6" w14:textId="01725324" w:rsidR="00AB46A9" w:rsidRPr="00AB46A9" w:rsidRDefault="00AB46A9" w:rsidP="00AB46A9">
            <w:pPr>
              <w:jc w:val="center"/>
              <w:rPr>
                <w:rFonts w:ascii="Arial Narrow" w:eastAsia="Times New Roman" w:hAnsi="Arial Narrow" w:cs="Calibri"/>
                <w:b/>
                <w:bCs/>
                <w:color w:val="000000"/>
                <w:sz w:val="22"/>
                <w:szCs w:val="22"/>
              </w:rPr>
            </w:pPr>
          </w:p>
        </w:tc>
        <w:tc>
          <w:tcPr>
            <w:tcW w:w="3681" w:type="dxa"/>
            <w:tcBorders>
              <w:top w:val="single" w:sz="8" w:space="0" w:color="auto"/>
              <w:left w:val="nil"/>
              <w:bottom w:val="single" w:sz="8" w:space="0" w:color="auto"/>
              <w:right w:val="single" w:sz="8" w:space="0" w:color="auto"/>
            </w:tcBorders>
            <w:shd w:val="clear" w:color="auto" w:fill="auto"/>
            <w:vAlign w:val="center"/>
            <w:hideMark/>
          </w:tcPr>
          <w:p w14:paraId="64D49493" w14:textId="77777777" w:rsidR="00AB46A9" w:rsidRPr="00AB46A9" w:rsidRDefault="00AB46A9" w:rsidP="00AB46A9">
            <w:pPr>
              <w:jc w:val="both"/>
              <w:rPr>
                <w:rFonts w:ascii="Arial Narrow" w:eastAsia="Times New Roman" w:hAnsi="Arial Narrow" w:cs="Calibri"/>
                <w:b/>
                <w:bCs/>
                <w:color w:val="000000"/>
                <w:sz w:val="22"/>
                <w:szCs w:val="22"/>
                <w:lang w:val="es-CR"/>
              </w:rPr>
            </w:pPr>
            <w:r w:rsidRPr="00AB46A9">
              <w:rPr>
                <w:rFonts w:ascii="Arial Narrow" w:eastAsia="Times New Roman" w:hAnsi="Arial Narrow" w:cs="Calibri"/>
                <w:b/>
                <w:bCs/>
                <w:color w:val="000000"/>
                <w:sz w:val="22"/>
                <w:szCs w:val="22"/>
                <w:lang w:val="es-CR"/>
              </w:rPr>
              <w:t>Otros beneficios a largo plazo: criterio general</w:t>
            </w:r>
          </w:p>
        </w:tc>
        <w:tc>
          <w:tcPr>
            <w:tcW w:w="2131" w:type="dxa"/>
            <w:tcBorders>
              <w:top w:val="single" w:sz="8" w:space="0" w:color="auto"/>
              <w:left w:val="nil"/>
              <w:bottom w:val="single" w:sz="8" w:space="0" w:color="auto"/>
              <w:right w:val="single" w:sz="8" w:space="0" w:color="auto"/>
            </w:tcBorders>
            <w:shd w:val="clear" w:color="auto" w:fill="auto"/>
            <w:vAlign w:val="center"/>
            <w:hideMark/>
          </w:tcPr>
          <w:p w14:paraId="6F250A81" w14:textId="54F17833" w:rsidR="00F96A1F" w:rsidRDefault="00AB46A9" w:rsidP="00AB46A9">
            <w:pPr>
              <w:jc w:val="both"/>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NICSP N° 39,</w:t>
            </w:r>
          </w:p>
          <w:p w14:paraId="4A54B62D" w14:textId="7B10F770" w:rsidR="00AB46A9" w:rsidRPr="00AB46A9" w:rsidRDefault="00AB46A9" w:rsidP="00AB46A9">
            <w:pPr>
              <w:jc w:val="both"/>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Párrafos 156 a 160.</w:t>
            </w:r>
          </w:p>
        </w:tc>
        <w:tc>
          <w:tcPr>
            <w:tcW w:w="1866" w:type="dxa"/>
            <w:tcBorders>
              <w:top w:val="single" w:sz="8" w:space="0" w:color="auto"/>
              <w:left w:val="nil"/>
              <w:bottom w:val="single" w:sz="8" w:space="0" w:color="auto"/>
              <w:right w:val="single" w:sz="8" w:space="0" w:color="auto"/>
            </w:tcBorders>
            <w:shd w:val="clear" w:color="auto" w:fill="auto"/>
            <w:vAlign w:val="center"/>
            <w:hideMark/>
          </w:tcPr>
          <w:p w14:paraId="2EDDAFF8" w14:textId="77777777" w:rsidR="00AB46A9" w:rsidRPr="00AB46A9" w:rsidRDefault="00AB46A9" w:rsidP="00AB46A9">
            <w:pPr>
              <w:jc w:val="center"/>
              <w:rPr>
                <w:rFonts w:ascii="Arial Narrow" w:eastAsia="Times New Roman" w:hAnsi="Arial Narrow" w:cs="Calibri"/>
                <w:b/>
                <w:bCs/>
                <w:color w:val="000000"/>
                <w:sz w:val="22"/>
                <w:szCs w:val="22"/>
              </w:rPr>
            </w:pPr>
            <w:r w:rsidRPr="00AB46A9">
              <w:rPr>
                <w:rFonts w:ascii="Arial Narrow" w:eastAsia="Times New Roman" w:hAnsi="Arial Narrow" w:cs="Calibri"/>
                <w:b/>
                <w:bCs/>
                <w:color w:val="000000"/>
                <w:sz w:val="22"/>
                <w:szCs w:val="22"/>
              </w:rPr>
              <w:t>DGCN</w:t>
            </w:r>
          </w:p>
        </w:tc>
      </w:tr>
    </w:tbl>
    <w:p w14:paraId="06E10FDB" w14:textId="77777777" w:rsidR="00AB46A9" w:rsidRDefault="00AB46A9" w:rsidP="009F48E0">
      <w:pPr>
        <w:pStyle w:val="Default"/>
        <w:jc w:val="both"/>
        <w:rPr>
          <w:b/>
          <w:bCs/>
          <w:sz w:val="23"/>
          <w:szCs w:val="23"/>
          <w:lang w:val="es-CR"/>
        </w:rPr>
      </w:pPr>
    </w:p>
    <w:p w14:paraId="29EBAC2E" w14:textId="77777777" w:rsidR="00E31ED1" w:rsidRDefault="00E31ED1" w:rsidP="00E31ED1">
      <w:pPr>
        <w:pStyle w:val="Default"/>
        <w:ind w:left="1134" w:hanging="1134"/>
        <w:jc w:val="both"/>
        <w:rPr>
          <w:rFonts w:eastAsia="Arial"/>
          <w:b/>
          <w:sz w:val="22"/>
          <w:szCs w:val="22"/>
        </w:rPr>
      </w:pPr>
      <w:r w:rsidRPr="00F02F9D">
        <w:rPr>
          <w:rFonts w:eastAsia="Arial"/>
          <w:b/>
          <w:sz w:val="22"/>
          <w:szCs w:val="22"/>
        </w:rPr>
        <w:t>Políticas Contables</w:t>
      </w:r>
    </w:p>
    <w:p w14:paraId="1F15FF31" w14:textId="77777777" w:rsidR="00E31ED1" w:rsidRDefault="00E31ED1" w:rsidP="009F48E0">
      <w:pPr>
        <w:pStyle w:val="Default"/>
        <w:jc w:val="both"/>
        <w:rPr>
          <w:b/>
          <w:bCs/>
          <w:sz w:val="23"/>
          <w:szCs w:val="23"/>
          <w:lang w:val="es-CR"/>
        </w:rPr>
      </w:pPr>
    </w:p>
    <w:p w14:paraId="2845A884" w14:textId="12491A78" w:rsidR="00F96A1F" w:rsidRDefault="00F96A1F" w:rsidP="00F96A1F">
      <w:pPr>
        <w:pStyle w:val="Default"/>
        <w:ind w:left="1134" w:hanging="1134"/>
        <w:rPr>
          <w:sz w:val="22"/>
          <w:szCs w:val="22"/>
          <w:lang w:val="es-CR"/>
        </w:rPr>
      </w:pPr>
      <w:r>
        <w:rPr>
          <w:sz w:val="22"/>
          <w:szCs w:val="22"/>
          <w:lang w:val="es-CR"/>
        </w:rPr>
        <w:t>5.11.0.01</w:t>
      </w:r>
      <w:r>
        <w:rPr>
          <w:sz w:val="22"/>
          <w:szCs w:val="22"/>
          <w:lang w:val="es-CR"/>
        </w:rPr>
        <w:tab/>
      </w:r>
      <w:r w:rsidR="00AB46A9" w:rsidRPr="00AB46A9">
        <w:rPr>
          <w:sz w:val="22"/>
          <w:szCs w:val="22"/>
          <w:lang w:val="es-CR"/>
        </w:rPr>
        <w:t xml:space="preserve">Entre otros beneficios a largo plazo </w:t>
      </w:r>
      <w:r>
        <w:rPr>
          <w:sz w:val="22"/>
          <w:szCs w:val="22"/>
          <w:lang w:val="es-CR"/>
        </w:rPr>
        <w:t xml:space="preserve">que la Municipalidad </w:t>
      </w:r>
      <w:r w:rsidR="00AB46A9" w:rsidRPr="00AB46A9">
        <w:rPr>
          <w:sz w:val="22"/>
          <w:szCs w:val="22"/>
          <w:lang w:val="es-CR"/>
        </w:rPr>
        <w:t>se incluyen:</w:t>
      </w:r>
    </w:p>
    <w:p w14:paraId="48203BEB" w14:textId="4783D9C1" w:rsidR="00AB46A9" w:rsidRPr="00AB46A9" w:rsidRDefault="00AB46A9" w:rsidP="00F96A1F">
      <w:pPr>
        <w:pStyle w:val="Default"/>
        <w:ind w:left="1134" w:hanging="1134"/>
        <w:rPr>
          <w:sz w:val="22"/>
          <w:szCs w:val="22"/>
          <w:lang w:val="es-CR"/>
        </w:rPr>
      </w:pPr>
      <w:r w:rsidRPr="00AB46A9">
        <w:rPr>
          <w:sz w:val="22"/>
          <w:szCs w:val="22"/>
          <w:lang w:val="es-CR"/>
        </w:rPr>
        <w:t xml:space="preserve"> </w:t>
      </w:r>
    </w:p>
    <w:p w14:paraId="0F6D0F1D" w14:textId="24FD33F1" w:rsidR="00AB46A9" w:rsidRPr="00AB46A9" w:rsidRDefault="00F96A1F">
      <w:pPr>
        <w:pStyle w:val="Default"/>
        <w:numPr>
          <w:ilvl w:val="0"/>
          <w:numId w:val="284"/>
        </w:numPr>
        <w:spacing w:after="120"/>
        <w:ind w:left="1418" w:hanging="284"/>
        <w:rPr>
          <w:sz w:val="23"/>
          <w:szCs w:val="23"/>
          <w:lang w:val="es-CR"/>
        </w:rPr>
      </w:pPr>
      <w:r>
        <w:rPr>
          <w:sz w:val="23"/>
          <w:szCs w:val="23"/>
          <w:lang w:val="es-CR"/>
        </w:rPr>
        <w:t>L</w:t>
      </w:r>
      <w:r w:rsidR="00AB46A9" w:rsidRPr="00AB46A9">
        <w:rPr>
          <w:sz w:val="23"/>
          <w:szCs w:val="23"/>
          <w:lang w:val="es-CR"/>
        </w:rPr>
        <w:t xml:space="preserve">os beneficios por antigüedad u otros beneficios por largo tiempo de servicio; </w:t>
      </w:r>
    </w:p>
    <w:p w14:paraId="65E97831" w14:textId="51F14146" w:rsidR="00AB46A9" w:rsidRPr="00AB46A9" w:rsidRDefault="00F96A1F">
      <w:pPr>
        <w:pStyle w:val="Default"/>
        <w:numPr>
          <w:ilvl w:val="0"/>
          <w:numId w:val="284"/>
        </w:numPr>
        <w:spacing w:after="120"/>
        <w:ind w:left="1418" w:hanging="284"/>
        <w:rPr>
          <w:sz w:val="23"/>
          <w:szCs w:val="23"/>
          <w:lang w:val="es-CR"/>
        </w:rPr>
      </w:pPr>
      <w:r>
        <w:rPr>
          <w:sz w:val="23"/>
          <w:szCs w:val="23"/>
          <w:lang w:val="es-CR"/>
        </w:rPr>
        <w:t>L</w:t>
      </w:r>
      <w:r w:rsidR="00AB46A9" w:rsidRPr="00AB46A9">
        <w:rPr>
          <w:sz w:val="23"/>
          <w:szCs w:val="23"/>
          <w:lang w:val="es-CR"/>
        </w:rPr>
        <w:t xml:space="preserve">os beneficios por incapacidad a largo plazo; </w:t>
      </w:r>
    </w:p>
    <w:p w14:paraId="664F8C34" w14:textId="77777777" w:rsidR="00AB46A9" w:rsidRPr="00AB46A9" w:rsidRDefault="00AB46A9" w:rsidP="00AB46A9">
      <w:pPr>
        <w:pStyle w:val="Default"/>
        <w:rPr>
          <w:sz w:val="23"/>
          <w:szCs w:val="23"/>
          <w:lang w:val="es-CR"/>
        </w:rPr>
      </w:pPr>
    </w:p>
    <w:p w14:paraId="67D8B119" w14:textId="2CAFE016" w:rsidR="00AB46A9" w:rsidRDefault="00107E8F" w:rsidP="00107E8F">
      <w:pPr>
        <w:pStyle w:val="Default"/>
        <w:ind w:left="1134" w:hanging="1134"/>
        <w:jc w:val="both"/>
        <w:rPr>
          <w:sz w:val="22"/>
          <w:szCs w:val="22"/>
          <w:lang w:val="es-CR"/>
        </w:rPr>
      </w:pPr>
      <w:r>
        <w:rPr>
          <w:sz w:val="22"/>
          <w:szCs w:val="22"/>
          <w:lang w:val="es-CR"/>
        </w:rPr>
        <w:lastRenderedPageBreak/>
        <w:t>5.11.0.02</w:t>
      </w:r>
      <w:r>
        <w:rPr>
          <w:sz w:val="22"/>
          <w:szCs w:val="22"/>
          <w:lang w:val="es-CR"/>
        </w:rPr>
        <w:tab/>
      </w:r>
      <w:r w:rsidR="00AB46A9" w:rsidRPr="00AB46A9">
        <w:rPr>
          <w:sz w:val="22"/>
          <w:szCs w:val="22"/>
          <w:lang w:val="es-CR"/>
        </w:rPr>
        <w:t>La medición de otros beneficios a los empleados a largo plazo no está sujeta, normalmente, al mismo grado de incertidu</w:t>
      </w:r>
      <w:r w:rsidR="000F29DC">
        <w:rPr>
          <w:sz w:val="22"/>
          <w:szCs w:val="22"/>
          <w:lang w:val="es-CR"/>
        </w:rPr>
        <w:t>mb</w:t>
      </w:r>
      <w:r w:rsidR="00AB46A9" w:rsidRPr="00AB46A9">
        <w:rPr>
          <w:sz w:val="22"/>
          <w:szCs w:val="22"/>
          <w:lang w:val="es-CR"/>
        </w:rPr>
        <w:t>re que la medición de los beneficios post-empleo. Por esta razón, esta Norma requiere un método simplificado de contabilización de otros beneficios a los empleados a largo plazo. A diferencia de la contabilidad requerida para los beneficios post-empleo, este método no reconoce nuevas mediciones en los activos netos/patrimonio.</w:t>
      </w:r>
    </w:p>
    <w:p w14:paraId="280F24BA" w14:textId="77777777" w:rsidR="00107E8F" w:rsidRPr="00AB46A9" w:rsidRDefault="00107E8F" w:rsidP="00107E8F">
      <w:pPr>
        <w:pStyle w:val="Default"/>
        <w:ind w:left="1134" w:hanging="1134"/>
        <w:jc w:val="both"/>
        <w:rPr>
          <w:b/>
          <w:bCs/>
          <w:sz w:val="23"/>
          <w:szCs w:val="23"/>
          <w:lang w:val="es-CR"/>
        </w:rPr>
      </w:pPr>
    </w:p>
    <w:p w14:paraId="1AE10729" w14:textId="69B957D2" w:rsidR="00AB46A9" w:rsidRPr="00924EC2" w:rsidRDefault="00107E8F" w:rsidP="00107E8F">
      <w:pPr>
        <w:pStyle w:val="Default"/>
        <w:ind w:left="1134" w:hanging="1134"/>
        <w:jc w:val="both"/>
        <w:rPr>
          <w:sz w:val="22"/>
          <w:szCs w:val="22"/>
          <w:lang w:val="es-CR"/>
        </w:rPr>
      </w:pPr>
      <w:r>
        <w:rPr>
          <w:sz w:val="22"/>
          <w:szCs w:val="22"/>
          <w:lang w:val="es-CR"/>
        </w:rPr>
        <w:t>5.11.0.03</w:t>
      </w:r>
      <w:r w:rsidRPr="00924EC2">
        <w:rPr>
          <w:sz w:val="22"/>
          <w:szCs w:val="22"/>
          <w:lang w:val="es-CR"/>
        </w:rPr>
        <w:tab/>
      </w:r>
      <w:r w:rsidR="00AB46A9" w:rsidRPr="00924EC2">
        <w:rPr>
          <w:sz w:val="22"/>
          <w:szCs w:val="22"/>
          <w:lang w:val="es-CR"/>
        </w:rPr>
        <w:t xml:space="preserve">Para otros beneficios a los empleados a largo plazo, </w:t>
      </w:r>
      <w:r w:rsidRPr="00924EC2">
        <w:rPr>
          <w:sz w:val="22"/>
          <w:szCs w:val="22"/>
          <w:lang w:val="es-CR"/>
        </w:rPr>
        <w:t>l</w:t>
      </w:r>
      <w:r w:rsidR="00AB46A9" w:rsidRPr="00924EC2">
        <w:rPr>
          <w:sz w:val="22"/>
          <w:szCs w:val="22"/>
          <w:lang w:val="es-CR"/>
        </w:rPr>
        <w:t xml:space="preserve">a </w:t>
      </w:r>
      <w:r w:rsidRPr="00924EC2">
        <w:rPr>
          <w:sz w:val="22"/>
          <w:szCs w:val="22"/>
          <w:lang w:val="es-CR"/>
        </w:rPr>
        <w:t>Municipalidad</w:t>
      </w:r>
      <w:r w:rsidR="00AB46A9" w:rsidRPr="00924EC2">
        <w:rPr>
          <w:sz w:val="22"/>
          <w:szCs w:val="22"/>
          <w:lang w:val="es-CR"/>
        </w:rPr>
        <w:t xml:space="preserve"> reconocerá, en el resultado (ahorro o desahorro), el importe total neto de los siguientes importes, excepto en la medida en que otra NICSP requiera o permita su inclusión en el costo de un activo:</w:t>
      </w:r>
    </w:p>
    <w:p w14:paraId="2FDCD745" w14:textId="77777777" w:rsidR="00107E8F" w:rsidRPr="00924EC2" w:rsidRDefault="00107E8F" w:rsidP="00107E8F">
      <w:pPr>
        <w:pStyle w:val="Default"/>
        <w:ind w:left="1134" w:hanging="1134"/>
        <w:jc w:val="both"/>
        <w:rPr>
          <w:sz w:val="22"/>
          <w:szCs w:val="22"/>
          <w:lang w:val="es-CR"/>
        </w:rPr>
      </w:pPr>
    </w:p>
    <w:p w14:paraId="177F37FF" w14:textId="64547917" w:rsidR="00107E8F" w:rsidRPr="00924EC2" w:rsidRDefault="00107E8F">
      <w:pPr>
        <w:pStyle w:val="Default"/>
        <w:numPr>
          <w:ilvl w:val="0"/>
          <w:numId w:val="285"/>
        </w:numPr>
        <w:spacing w:after="120"/>
        <w:ind w:left="1559" w:hanging="357"/>
        <w:rPr>
          <w:sz w:val="22"/>
          <w:szCs w:val="22"/>
          <w:lang w:val="es-CR"/>
        </w:rPr>
      </w:pPr>
      <w:r w:rsidRPr="00924EC2">
        <w:rPr>
          <w:sz w:val="22"/>
          <w:szCs w:val="22"/>
          <w:lang w:val="es-CR"/>
        </w:rPr>
        <w:t>E</w:t>
      </w:r>
      <w:r w:rsidR="00AB46A9" w:rsidRPr="00924EC2">
        <w:rPr>
          <w:sz w:val="22"/>
          <w:szCs w:val="22"/>
          <w:lang w:val="es-CR"/>
        </w:rPr>
        <w:t>l costo de servicio;</w:t>
      </w:r>
    </w:p>
    <w:p w14:paraId="36B9D8B2" w14:textId="0693EF3B" w:rsidR="00AB46A9" w:rsidRPr="00924EC2" w:rsidRDefault="00107E8F">
      <w:pPr>
        <w:pStyle w:val="Default"/>
        <w:numPr>
          <w:ilvl w:val="0"/>
          <w:numId w:val="285"/>
        </w:numPr>
        <w:spacing w:after="120"/>
        <w:ind w:left="1559" w:hanging="357"/>
        <w:rPr>
          <w:sz w:val="22"/>
          <w:szCs w:val="22"/>
          <w:lang w:val="es-CR"/>
        </w:rPr>
      </w:pPr>
      <w:r w:rsidRPr="00924EC2">
        <w:rPr>
          <w:sz w:val="22"/>
          <w:szCs w:val="22"/>
          <w:lang w:val="es-CR"/>
        </w:rPr>
        <w:t>E</w:t>
      </w:r>
      <w:r w:rsidR="00AB46A9" w:rsidRPr="00924EC2">
        <w:rPr>
          <w:sz w:val="22"/>
          <w:szCs w:val="22"/>
          <w:lang w:val="es-CR"/>
        </w:rPr>
        <w:t xml:space="preserve">l interés neto del pasivo (activo) por beneficios definidos neto; y </w:t>
      </w:r>
    </w:p>
    <w:p w14:paraId="06F7AECC" w14:textId="77777777" w:rsidR="00531B7E" w:rsidRDefault="00107E8F">
      <w:pPr>
        <w:pStyle w:val="Default"/>
        <w:numPr>
          <w:ilvl w:val="0"/>
          <w:numId w:val="285"/>
        </w:numPr>
        <w:ind w:left="1560"/>
        <w:rPr>
          <w:sz w:val="22"/>
          <w:szCs w:val="22"/>
          <w:lang w:val="es-CR"/>
        </w:rPr>
      </w:pPr>
      <w:r w:rsidRPr="00924EC2">
        <w:rPr>
          <w:sz w:val="22"/>
          <w:szCs w:val="22"/>
          <w:lang w:val="es-CR"/>
        </w:rPr>
        <w:t>L</w:t>
      </w:r>
      <w:r w:rsidR="00AB46A9" w:rsidRPr="00924EC2">
        <w:rPr>
          <w:sz w:val="22"/>
          <w:szCs w:val="22"/>
          <w:lang w:val="es-CR"/>
        </w:rPr>
        <w:t>as nuevas mediciones del pasivo (activo) por beneficios definidos neto</w:t>
      </w:r>
      <w:r w:rsidR="00531B7E">
        <w:rPr>
          <w:sz w:val="22"/>
          <w:szCs w:val="22"/>
          <w:lang w:val="es-CR"/>
        </w:rPr>
        <w:t>.</w:t>
      </w:r>
    </w:p>
    <w:p w14:paraId="0D2C2DFA" w14:textId="77777777" w:rsidR="00531B7E" w:rsidRDefault="00531B7E" w:rsidP="00531B7E">
      <w:pPr>
        <w:pStyle w:val="Default"/>
        <w:ind w:left="1560"/>
        <w:rPr>
          <w:sz w:val="22"/>
          <w:szCs w:val="22"/>
          <w:lang w:val="es-CR"/>
        </w:rPr>
      </w:pPr>
    </w:p>
    <w:p w14:paraId="12BAFFDB" w14:textId="66F9833A" w:rsidR="00AB46A9" w:rsidRPr="00924EC2" w:rsidRDefault="00AB46A9" w:rsidP="00531B7E">
      <w:pPr>
        <w:pStyle w:val="Default"/>
        <w:ind w:left="1560"/>
        <w:rPr>
          <w:sz w:val="22"/>
          <w:szCs w:val="22"/>
          <w:lang w:val="es-CR"/>
        </w:rPr>
      </w:pPr>
      <w:r w:rsidRPr="00924EC2">
        <w:rPr>
          <w:sz w:val="22"/>
          <w:szCs w:val="22"/>
          <w:lang w:val="es-CR"/>
        </w:rPr>
        <w:t xml:space="preserve"> </w:t>
      </w:r>
    </w:p>
    <w:p w14:paraId="3A7FD8E3" w14:textId="2C6122C6" w:rsidR="003D4F87" w:rsidRPr="009E7101" w:rsidRDefault="00531B7E" w:rsidP="009E7101">
      <w:pPr>
        <w:pStyle w:val="Ttulo2"/>
        <w:ind w:left="284"/>
        <w:rPr>
          <w:rFonts w:ascii="Arial" w:eastAsia="Arial" w:hAnsi="Arial" w:cs="Arial"/>
          <w:b/>
          <w:bCs/>
          <w:sz w:val="20"/>
          <w:szCs w:val="20"/>
          <w:lang w:val="es-CR"/>
        </w:rPr>
      </w:pPr>
      <w:bookmarkStart w:id="150" w:name="_Toc172726285"/>
      <w:r w:rsidRPr="009E7101">
        <w:rPr>
          <w:rFonts w:ascii="Arial" w:eastAsia="Arial" w:hAnsi="Arial" w:cs="Arial"/>
          <w:b/>
          <w:bCs/>
          <w:sz w:val="20"/>
          <w:szCs w:val="20"/>
          <w:lang w:val="es-CR"/>
        </w:rPr>
        <w:t>Indemnizaciones por cese</w:t>
      </w:r>
      <w:bookmarkEnd w:id="150"/>
    </w:p>
    <w:p w14:paraId="68BDC213" w14:textId="77777777" w:rsidR="003D4F87" w:rsidRDefault="003D4F87" w:rsidP="009F48E0">
      <w:pPr>
        <w:pStyle w:val="Default"/>
        <w:jc w:val="both"/>
        <w:rPr>
          <w:b/>
          <w:bCs/>
          <w:sz w:val="23"/>
          <w:szCs w:val="23"/>
          <w:lang w:val="es-CR"/>
        </w:rPr>
      </w:pPr>
    </w:p>
    <w:tbl>
      <w:tblPr>
        <w:tblW w:w="9268" w:type="dxa"/>
        <w:tblInd w:w="118" w:type="dxa"/>
        <w:tblLook w:val="04A0" w:firstRow="1" w:lastRow="0" w:firstColumn="1" w:lastColumn="0" w:noHBand="0" w:noVBand="1"/>
      </w:tblPr>
      <w:tblGrid>
        <w:gridCol w:w="439"/>
        <w:gridCol w:w="709"/>
        <w:gridCol w:w="425"/>
        <w:gridCol w:w="3689"/>
        <w:gridCol w:w="2123"/>
        <w:gridCol w:w="1863"/>
        <w:gridCol w:w="20"/>
      </w:tblGrid>
      <w:tr w:rsidR="00107E8F" w:rsidRPr="00107E8F" w14:paraId="0180083F" w14:textId="77777777" w:rsidTr="00E31ED1">
        <w:trPr>
          <w:trHeight w:val="320"/>
        </w:trPr>
        <w:tc>
          <w:tcPr>
            <w:tcW w:w="157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740C156" w14:textId="77777777" w:rsidR="00107E8F" w:rsidRPr="00107E8F" w:rsidRDefault="00107E8F" w:rsidP="00107E8F">
            <w:pPr>
              <w:jc w:val="center"/>
              <w:rPr>
                <w:rFonts w:ascii="Arial Narrow" w:eastAsia="Times New Roman" w:hAnsi="Arial Narrow" w:cs="Calibri"/>
                <w:b/>
                <w:bCs/>
                <w:color w:val="FFFFFF"/>
                <w:sz w:val="22"/>
                <w:szCs w:val="22"/>
              </w:rPr>
            </w:pPr>
            <w:r w:rsidRPr="00107E8F">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A45FF2C" w14:textId="77777777" w:rsidR="00107E8F" w:rsidRPr="00107E8F" w:rsidRDefault="00107E8F" w:rsidP="00107E8F">
            <w:pPr>
              <w:jc w:val="center"/>
              <w:rPr>
                <w:rFonts w:ascii="Arial Narrow" w:eastAsia="Times New Roman" w:hAnsi="Arial Narrow" w:cs="Calibri"/>
                <w:b/>
                <w:bCs/>
                <w:color w:val="FFFFFF"/>
                <w:sz w:val="22"/>
                <w:szCs w:val="22"/>
              </w:rPr>
            </w:pPr>
            <w:r w:rsidRPr="00107E8F">
              <w:rPr>
                <w:rFonts w:ascii="Arial Narrow" w:eastAsia="Times New Roman" w:hAnsi="Arial Narrow" w:cs="Calibri"/>
                <w:b/>
                <w:bCs/>
                <w:color w:val="FFFFFF"/>
                <w:sz w:val="22"/>
                <w:szCs w:val="22"/>
              </w:rPr>
              <w:t>Concepto</w:t>
            </w:r>
          </w:p>
        </w:tc>
        <w:tc>
          <w:tcPr>
            <w:tcW w:w="4006" w:type="dxa"/>
            <w:gridSpan w:val="3"/>
            <w:tcBorders>
              <w:top w:val="single" w:sz="8" w:space="0" w:color="auto"/>
              <w:left w:val="nil"/>
              <w:bottom w:val="single" w:sz="8" w:space="0" w:color="auto"/>
              <w:right w:val="single" w:sz="8" w:space="0" w:color="000000"/>
            </w:tcBorders>
            <w:shd w:val="clear" w:color="000000" w:fill="203764"/>
            <w:vAlign w:val="center"/>
            <w:hideMark/>
          </w:tcPr>
          <w:p w14:paraId="2A5B0949" w14:textId="77777777" w:rsidR="00107E8F" w:rsidRPr="00107E8F" w:rsidRDefault="00107E8F" w:rsidP="00107E8F">
            <w:pPr>
              <w:jc w:val="center"/>
              <w:rPr>
                <w:rFonts w:ascii="Arial Narrow" w:eastAsia="Times New Roman" w:hAnsi="Arial Narrow" w:cs="Calibri"/>
                <w:b/>
                <w:bCs/>
                <w:color w:val="FFFFFF"/>
                <w:sz w:val="22"/>
                <w:szCs w:val="22"/>
              </w:rPr>
            </w:pPr>
            <w:r w:rsidRPr="00107E8F">
              <w:rPr>
                <w:rFonts w:ascii="Arial Narrow" w:eastAsia="Times New Roman" w:hAnsi="Arial Narrow" w:cs="Calibri"/>
                <w:b/>
                <w:bCs/>
                <w:color w:val="FFFFFF"/>
                <w:sz w:val="22"/>
                <w:szCs w:val="22"/>
              </w:rPr>
              <w:t>Referencia</w:t>
            </w:r>
          </w:p>
        </w:tc>
      </w:tr>
      <w:tr w:rsidR="00107E8F" w:rsidRPr="006E5442" w14:paraId="5A00D737" w14:textId="77777777" w:rsidTr="00E31ED1">
        <w:trPr>
          <w:gridAfter w:val="1"/>
          <w:wAfter w:w="20" w:type="dxa"/>
          <w:trHeight w:val="940"/>
        </w:trPr>
        <w:tc>
          <w:tcPr>
            <w:tcW w:w="1573" w:type="dxa"/>
            <w:gridSpan w:val="3"/>
            <w:vMerge/>
            <w:tcBorders>
              <w:top w:val="single" w:sz="8" w:space="0" w:color="auto"/>
              <w:left w:val="single" w:sz="8" w:space="0" w:color="auto"/>
              <w:bottom w:val="nil"/>
              <w:right w:val="single" w:sz="8" w:space="0" w:color="000000"/>
            </w:tcBorders>
            <w:vAlign w:val="center"/>
            <w:hideMark/>
          </w:tcPr>
          <w:p w14:paraId="27C8FA62" w14:textId="77777777" w:rsidR="00107E8F" w:rsidRPr="00107E8F" w:rsidRDefault="00107E8F" w:rsidP="00107E8F">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643A3C7F" w14:textId="77777777" w:rsidR="00107E8F" w:rsidRPr="00107E8F" w:rsidRDefault="00107E8F" w:rsidP="00107E8F">
            <w:pPr>
              <w:rPr>
                <w:rFonts w:ascii="Arial Narrow" w:eastAsia="Times New Roman" w:hAnsi="Arial Narrow" w:cs="Calibri"/>
                <w:b/>
                <w:bCs/>
                <w:color w:val="FFFFFF"/>
                <w:sz w:val="22"/>
                <w:szCs w:val="22"/>
              </w:rPr>
            </w:pPr>
          </w:p>
        </w:tc>
        <w:tc>
          <w:tcPr>
            <w:tcW w:w="2123" w:type="dxa"/>
            <w:tcBorders>
              <w:top w:val="nil"/>
              <w:left w:val="nil"/>
              <w:bottom w:val="nil"/>
              <w:right w:val="single" w:sz="8" w:space="0" w:color="auto"/>
            </w:tcBorders>
            <w:shd w:val="clear" w:color="000000" w:fill="203764"/>
            <w:vAlign w:val="center"/>
            <w:hideMark/>
          </w:tcPr>
          <w:p w14:paraId="292FB0A3" w14:textId="77777777" w:rsidR="00107E8F" w:rsidRPr="00107E8F" w:rsidRDefault="00107E8F" w:rsidP="00107E8F">
            <w:pPr>
              <w:jc w:val="center"/>
              <w:rPr>
                <w:rFonts w:ascii="Arial Narrow" w:eastAsia="Times New Roman" w:hAnsi="Arial Narrow" w:cs="Calibri"/>
                <w:b/>
                <w:bCs/>
                <w:color w:val="FFFFFF"/>
                <w:sz w:val="22"/>
                <w:szCs w:val="22"/>
              </w:rPr>
            </w:pPr>
            <w:r w:rsidRPr="00107E8F">
              <w:rPr>
                <w:rFonts w:ascii="Arial Narrow" w:eastAsia="Times New Roman" w:hAnsi="Arial Narrow" w:cs="Calibri"/>
                <w:b/>
                <w:bCs/>
                <w:color w:val="FFFFFF"/>
                <w:sz w:val="22"/>
                <w:szCs w:val="22"/>
              </w:rPr>
              <w:t>Norma</w:t>
            </w:r>
          </w:p>
        </w:tc>
        <w:tc>
          <w:tcPr>
            <w:tcW w:w="1863" w:type="dxa"/>
            <w:tcBorders>
              <w:top w:val="nil"/>
              <w:left w:val="nil"/>
              <w:bottom w:val="nil"/>
              <w:right w:val="single" w:sz="8" w:space="0" w:color="auto"/>
            </w:tcBorders>
            <w:shd w:val="clear" w:color="000000" w:fill="203764"/>
            <w:vAlign w:val="center"/>
            <w:hideMark/>
          </w:tcPr>
          <w:p w14:paraId="25982CF1" w14:textId="77777777" w:rsidR="00107E8F" w:rsidRPr="00107E8F" w:rsidRDefault="00107E8F" w:rsidP="00107E8F">
            <w:pPr>
              <w:jc w:val="center"/>
              <w:rPr>
                <w:rFonts w:ascii="Arial Narrow" w:eastAsia="Times New Roman" w:hAnsi="Arial Narrow" w:cs="Calibri"/>
                <w:b/>
                <w:bCs/>
                <w:color w:val="FFFFFF"/>
                <w:sz w:val="22"/>
                <w:szCs w:val="22"/>
                <w:lang w:val="es-CR"/>
              </w:rPr>
            </w:pPr>
            <w:r w:rsidRPr="00107E8F">
              <w:rPr>
                <w:rFonts w:ascii="Arial Narrow" w:eastAsia="Times New Roman" w:hAnsi="Arial Narrow" w:cs="Calibri"/>
                <w:b/>
                <w:bCs/>
                <w:color w:val="FFFFFF"/>
                <w:sz w:val="22"/>
                <w:szCs w:val="22"/>
                <w:lang w:val="es-CR"/>
              </w:rPr>
              <w:t>Normativa técnica y disposiciones adicionales</w:t>
            </w:r>
          </w:p>
        </w:tc>
      </w:tr>
      <w:tr w:rsidR="00107E8F" w:rsidRPr="00107E8F" w14:paraId="04BADCE5" w14:textId="77777777" w:rsidTr="00E31ED1">
        <w:trPr>
          <w:gridAfter w:val="1"/>
          <w:wAfter w:w="20" w:type="dxa"/>
          <w:trHeight w:val="63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4D45A0" w14:textId="77777777" w:rsidR="00107E8F" w:rsidRPr="00107E8F" w:rsidRDefault="00107E8F" w:rsidP="00107E8F">
            <w:pPr>
              <w:jc w:val="center"/>
              <w:rPr>
                <w:rFonts w:ascii="Arial Narrow" w:eastAsia="Times New Roman" w:hAnsi="Arial Narrow" w:cs="Calibri"/>
                <w:b/>
                <w:bCs/>
                <w:color w:val="000000"/>
                <w:sz w:val="22"/>
                <w:szCs w:val="22"/>
              </w:rPr>
            </w:pPr>
            <w:r w:rsidRPr="00107E8F">
              <w:rPr>
                <w:rFonts w:ascii="Arial Narrow" w:eastAsia="Times New Roman" w:hAnsi="Arial Narrow" w:cs="Calibri"/>
                <w:b/>
                <w:bCs/>
                <w:color w:val="000000"/>
                <w:sz w:val="22"/>
                <w:szCs w:val="22"/>
              </w:rPr>
              <w:t>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874F380" w14:textId="77777777" w:rsidR="00107E8F" w:rsidRPr="00107E8F" w:rsidRDefault="00107E8F" w:rsidP="00107E8F">
            <w:pPr>
              <w:jc w:val="center"/>
              <w:rPr>
                <w:rFonts w:ascii="Arial Narrow" w:eastAsia="Times New Roman" w:hAnsi="Arial Narrow" w:cs="Calibri"/>
                <w:b/>
                <w:bCs/>
                <w:color w:val="000000"/>
                <w:sz w:val="22"/>
                <w:szCs w:val="22"/>
              </w:rPr>
            </w:pPr>
            <w:r w:rsidRPr="00107E8F">
              <w:rPr>
                <w:rFonts w:ascii="Arial Narrow" w:eastAsia="Times New Roman" w:hAnsi="Arial Narrow" w:cs="Calibri"/>
                <w:b/>
                <w:bCs/>
                <w:color w:val="000000"/>
                <w:sz w:val="22"/>
                <w:szCs w:val="22"/>
              </w:rPr>
              <w:t>12</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49AE5063" w14:textId="0431B17A" w:rsidR="00107E8F" w:rsidRPr="00107E8F" w:rsidRDefault="00107E8F" w:rsidP="00107E8F">
            <w:pPr>
              <w:jc w:val="center"/>
              <w:rPr>
                <w:rFonts w:ascii="Arial Narrow" w:eastAsia="Times New Roman" w:hAnsi="Arial Narrow" w:cs="Calibri"/>
                <w:b/>
                <w:bCs/>
                <w:color w:val="000000"/>
                <w:sz w:val="22"/>
                <w:szCs w:val="22"/>
              </w:rPr>
            </w:pP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3F4ECC78" w14:textId="77777777" w:rsidR="00107E8F" w:rsidRPr="00107E8F" w:rsidRDefault="00107E8F" w:rsidP="00107E8F">
            <w:pPr>
              <w:jc w:val="both"/>
              <w:rPr>
                <w:rFonts w:ascii="Arial Narrow" w:eastAsia="Times New Roman" w:hAnsi="Arial Narrow" w:cs="Calibri"/>
                <w:b/>
                <w:bCs/>
                <w:color w:val="000000"/>
                <w:sz w:val="22"/>
                <w:szCs w:val="22"/>
              </w:rPr>
            </w:pPr>
            <w:r w:rsidRPr="00107E8F">
              <w:rPr>
                <w:rFonts w:ascii="Arial Narrow" w:eastAsia="Times New Roman" w:hAnsi="Arial Narrow" w:cs="Calibri"/>
                <w:b/>
                <w:bCs/>
                <w:color w:val="000000"/>
                <w:sz w:val="22"/>
                <w:szCs w:val="22"/>
              </w:rPr>
              <w:t>Indemnizaciones por cese</w:t>
            </w:r>
          </w:p>
        </w:tc>
        <w:tc>
          <w:tcPr>
            <w:tcW w:w="2123" w:type="dxa"/>
            <w:tcBorders>
              <w:top w:val="single" w:sz="8" w:space="0" w:color="auto"/>
              <w:left w:val="nil"/>
              <w:bottom w:val="single" w:sz="8" w:space="0" w:color="auto"/>
              <w:right w:val="single" w:sz="8" w:space="0" w:color="auto"/>
            </w:tcBorders>
            <w:shd w:val="clear" w:color="auto" w:fill="auto"/>
            <w:vAlign w:val="center"/>
            <w:hideMark/>
          </w:tcPr>
          <w:p w14:paraId="5CA54D1D" w14:textId="4C8C3B7C" w:rsidR="00E31ED1" w:rsidRDefault="00107E8F" w:rsidP="00107E8F">
            <w:pPr>
              <w:jc w:val="both"/>
              <w:rPr>
                <w:rFonts w:ascii="Arial Narrow" w:eastAsia="Times New Roman" w:hAnsi="Arial Narrow" w:cs="Calibri"/>
                <w:b/>
                <w:bCs/>
                <w:color w:val="000000"/>
                <w:sz w:val="22"/>
                <w:szCs w:val="22"/>
              </w:rPr>
            </w:pPr>
            <w:r w:rsidRPr="00107E8F">
              <w:rPr>
                <w:rFonts w:ascii="Arial Narrow" w:eastAsia="Times New Roman" w:hAnsi="Arial Narrow" w:cs="Calibri"/>
                <w:b/>
                <w:bCs/>
                <w:color w:val="000000"/>
                <w:sz w:val="22"/>
                <w:szCs w:val="22"/>
              </w:rPr>
              <w:t xml:space="preserve">NICSP N° 39, </w:t>
            </w:r>
          </w:p>
          <w:p w14:paraId="4D06DDA7" w14:textId="6604AE73" w:rsidR="00107E8F" w:rsidRPr="00107E8F" w:rsidRDefault="00107E8F" w:rsidP="00107E8F">
            <w:pPr>
              <w:jc w:val="both"/>
              <w:rPr>
                <w:rFonts w:ascii="Arial Narrow" w:eastAsia="Times New Roman" w:hAnsi="Arial Narrow" w:cs="Calibri"/>
                <w:b/>
                <w:bCs/>
                <w:color w:val="000000"/>
                <w:sz w:val="22"/>
                <w:szCs w:val="22"/>
              </w:rPr>
            </w:pPr>
            <w:r w:rsidRPr="00107E8F">
              <w:rPr>
                <w:rFonts w:ascii="Arial Narrow" w:eastAsia="Times New Roman" w:hAnsi="Arial Narrow" w:cs="Calibri"/>
                <w:b/>
                <w:bCs/>
                <w:color w:val="000000"/>
                <w:sz w:val="22"/>
                <w:szCs w:val="22"/>
              </w:rPr>
              <w:t>Párrafo 168.</w:t>
            </w:r>
          </w:p>
        </w:tc>
        <w:tc>
          <w:tcPr>
            <w:tcW w:w="1863" w:type="dxa"/>
            <w:tcBorders>
              <w:top w:val="single" w:sz="8" w:space="0" w:color="auto"/>
              <w:left w:val="nil"/>
              <w:bottom w:val="single" w:sz="8" w:space="0" w:color="auto"/>
              <w:right w:val="single" w:sz="8" w:space="0" w:color="auto"/>
            </w:tcBorders>
            <w:shd w:val="clear" w:color="auto" w:fill="auto"/>
            <w:vAlign w:val="center"/>
            <w:hideMark/>
          </w:tcPr>
          <w:p w14:paraId="1B722324" w14:textId="77777777" w:rsidR="00107E8F" w:rsidRPr="00107E8F" w:rsidRDefault="00107E8F" w:rsidP="00107E8F">
            <w:pPr>
              <w:jc w:val="center"/>
              <w:rPr>
                <w:rFonts w:ascii="Arial Narrow" w:eastAsia="Times New Roman" w:hAnsi="Arial Narrow" w:cs="Calibri"/>
                <w:b/>
                <w:bCs/>
                <w:color w:val="000000"/>
                <w:sz w:val="22"/>
                <w:szCs w:val="22"/>
              </w:rPr>
            </w:pPr>
            <w:r w:rsidRPr="00107E8F">
              <w:rPr>
                <w:rFonts w:ascii="Arial Narrow" w:eastAsia="Times New Roman" w:hAnsi="Arial Narrow" w:cs="Calibri"/>
                <w:b/>
                <w:bCs/>
                <w:color w:val="000000"/>
                <w:sz w:val="22"/>
                <w:szCs w:val="22"/>
              </w:rPr>
              <w:t xml:space="preserve"> </w:t>
            </w:r>
          </w:p>
        </w:tc>
      </w:tr>
    </w:tbl>
    <w:p w14:paraId="5B90D7E1" w14:textId="77777777" w:rsidR="003D4F87" w:rsidRDefault="003D4F87" w:rsidP="009F48E0">
      <w:pPr>
        <w:pStyle w:val="Default"/>
        <w:jc w:val="both"/>
        <w:rPr>
          <w:b/>
          <w:bCs/>
          <w:sz w:val="23"/>
          <w:szCs w:val="23"/>
          <w:lang w:val="es-CR"/>
        </w:rPr>
      </w:pPr>
    </w:p>
    <w:p w14:paraId="2B617AA8" w14:textId="26A60C68" w:rsidR="00E31ED1" w:rsidRDefault="00E31ED1" w:rsidP="00E31ED1">
      <w:pPr>
        <w:pStyle w:val="Default"/>
        <w:ind w:left="1134" w:hanging="1134"/>
        <w:jc w:val="both"/>
        <w:rPr>
          <w:rFonts w:eastAsia="Arial"/>
          <w:b/>
          <w:sz w:val="22"/>
          <w:szCs w:val="22"/>
        </w:rPr>
      </w:pPr>
      <w:r w:rsidRPr="00F02F9D">
        <w:rPr>
          <w:rFonts w:eastAsia="Arial"/>
          <w:b/>
          <w:sz w:val="22"/>
          <w:szCs w:val="22"/>
        </w:rPr>
        <w:t>Política Contable</w:t>
      </w:r>
    </w:p>
    <w:p w14:paraId="02EBCE99" w14:textId="77777777" w:rsidR="00E31ED1" w:rsidRDefault="00E31ED1" w:rsidP="009F48E0">
      <w:pPr>
        <w:pStyle w:val="Default"/>
        <w:jc w:val="both"/>
        <w:rPr>
          <w:b/>
          <w:bCs/>
          <w:sz w:val="23"/>
          <w:szCs w:val="23"/>
          <w:lang w:val="es-CR"/>
        </w:rPr>
      </w:pPr>
    </w:p>
    <w:p w14:paraId="1982F986" w14:textId="1E58B6B8" w:rsidR="008B0175" w:rsidRPr="008B0175" w:rsidRDefault="008B0175" w:rsidP="008B0175">
      <w:pPr>
        <w:pStyle w:val="Default"/>
        <w:ind w:left="1134" w:hanging="1134"/>
        <w:jc w:val="both"/>
        <w:rPr>
          <w:sz w:val="22"/>
          <w:szCs w:val="22"/>
          <w:lang w:val="es-CR"/>
        </w:rPr>
      </w:pPr>
      <w:r>
        <w:rPr>
          <w:sz w:val="23"/>
          <w:szCs w:val="23"/>
          <w:lang w:val="es-CR"/>
        </w:rPr>
        <w:t>5.12.0.01</w:t>
      </w:r>
      <w:r>
        <w:rPr>
          <w:sz w:val="23"/>
          <w:szCs w:val="23"/>
          <w:lang w:val="es-CR"/>
        </w:rPr>
        <w:tab/>
      </w:r>
      <w:r>
        <w:rPr>
          <w:sz w:val="22"/>
          <w:szCs w:val="22"/>
          <w:lang w:val="es-CR"/>
        </w:rPr>
        <w:t>L</w:t>
      </w:r>
      <w:r w:rsidRPr="008B0175">
        <w:rPr>
          <w:sz w:val="22"/>
          <w:szCs w:val="22"/>
          <w:lang w:val="es-CR"/>
        </w:rPr>
        <w:t xml:space="preserve">a </w:t>
      </w:r>
      <w:r w:rsidR="000F29DC">
        <w:rPr>
          <w:sz w:val="22"/>
          <w:szCs w:val="22"/>
          <w:lang w:val="es-CR"/>
        </w:rPr>
        <w:t>MBA</w:t>
      </w:r>
      <w:r w:rsidRPr="008B0175">
        <w:rPr>
          <w:sz w:val="22"/>
          <w:szCs w:val="22"/>
          <w:lang w:val="es-CR"/>
        </w:rPr>
        <w:t xml:space="preserve"> reconocerá un pasivo y un gasto por indemnizaciones por cese en la primera de las siguientes fechas:</w:t>
      </w:r>
    </w:p>
    <w:p w14:paraId="7234ABF3" w14:textId="77777777" w:rsidR="008B0175" w:rsidRPr="008B0175" w:rsidRDefault="008B0175" w:rsidP="008B0175">
      <w:pPr>
        <w:pStyle w:val="Default"/>
        <w:ind w:left="1134" w:hanging="1134"/>
        <w:jc w:val="both"/>
        <w:rPr>
          <w:color w:val="auto"/>
          <w:sz w:val="22"/>
          <w:szCs w:val="22"/>
          <w:lang w:val="es-CR"/>
        </w:rPr>
      </w:pPr>
    </w:p>
    <w:p w14:paraId="50AB4AF1" w14:textId="323B172F" w:rsidR="008B0175" w:rsidRPr="008B0175" w:rsidRDefault="008B0175">
      <w:pPr>
        <w:pStyle w:val="Default"/>
        <w:numPr>
          <w:ilvl w:val="1"/>
          <w:numId w:val="287"/>
        </w:numPr>
        <w:spacing w:after="120"/>
        <w:ind w:left="1418" w:hanging="284"/>
        <w:jc w:val="both"/>
        <w:rPr>
          <w:sz w:val="22"/>
          <w:szCs w:val="22"/>
          <w:lang w:val="es-CR"/>
        </w:rPr>
      </w:pPr>
      <w:r w:rsidRPr="008B0175">
        <w:rPr>
          <w:sz w:val="22"/>
          <w:szCs w:val="22"/>
          <w:lang w:val="es-CR"/>
        </w:rPr>
        <w:t xml:space="preserve">Cuando la </w:t>
      </w:r>
      <w:r>
        <w:rPr>
          <w:sz w:val="22"/>
          <w:szCs w:val="22"/>
          <w:lang w:val="es-CR"/>
        </w:rPr>
        <w:t>Municipalidad</w:t>
      </w:r>
      <w:r w:rsidRPr="008B0175">
        <w:rPr>
          <w:sz w:val="22"/>
          <w:szCs w:val="22"/>
          <w:lang w:val="es-CR"/>
        </w:rPr>
        <w:t xml:space="preserve"> ya no pueda retirar la oferta de esos beneficios; y </w:t>
      </w:r>
    </w:p>
    <w:p w14:paraId="5666ECE8" w14:textId="5AA863E4" w:rsidR="008B0175" w:rsidRDefault="008B0175">
      <w:pPr>
        <w:pStyle w:val="Default"/>
        <w:numPr>
          <w:ilvl w:val="1"/>
          <w:numId w:val="287"/>
        </w:numPr>
        <w:ind w:left="1418" w:hanging="284"/>
        <w:jc w:val="both"/>
        <w:rPr>
          <w:sz w:val="22"/>
          <w:szCs w:val="22"/>
          <w:lang w:val="es-CR"/>
        </w:rPr>
      </w:pPr>
      <w:r w:rsidRPr="008B0175">
        <w:rPr>
          <w:sz w:val="22"/>
          <w:szCs w:val="22"/>
          <w:lang w:val="es-CR"/>
        </w:rPr>
        <w:t xml:space="preserve">Cuando la </w:t>
      </w:r>
      <w:r>
        <w:rPr>
          <w:sz w:val="22"/>
          <w:szCs w:val="22"/>
          <w:lang w:val="es-CR"/>
        </w:rPr>
        <w:t>Municipalidad</w:t>
      </w:r>
      <w:r w:rsidRPr="008B0175">
        <w:rPr>
          <w:sz w:val="22"/>
          <w:szCs w:val="22"/>
          <w:lang w:val="es-CR"/>
        </w:rPr>
        <w:t xml:space="preserve"> reconozca costos por una reestructuración que quede dentro del alcance de la NICSP 19 e involucre el pago de indemnizaciones por cese</w:t>
      </w:r>
      <w:r>
        <w:rPr>
          <w:sz w:val="22"/>
          <w:szCs w:val="22"/>
          <w:lang w:val="es-CR"/>
        </w:rPr>
        <w:t>.</w:t>
      </w:r>
    </w:p>
    <w:p w14:paraId="057C6EBF" w14:textId="77777777" w:rsidR="008B0175" w:rsidRDefault="008B0175" w:rsidP="008B0175">
      <w:pPr>
        <w:pStyle w:val="Default"/>
        <w:jc w:val="both"/>
        <w:rPr>
          <w:sz w:val="22"/>
          <w:szCs w:val="22"/>
          <w:lang w:val="es-CR"/>
        </w:rPr>
      </w:pPr>
    </w:p>
    <w:p w14:paraId="0FC6E918" w14:textId="77777777" w:rsidR="00E31ED1" w:rsidRDefault="00E31ED1" w:rsidP="008B0175">
      <w:pPr>
        <w:pStyle w:val="Default"/>
        <w:jc w:val="both"/>
        <w:rPr>
          <w:sz w:val="22"/>
          <w:szCs w:val="22"/>
          <w:lang w:val="es-CR"/>
        </w:rPr>
      </w:pPr>
    </w:p>
    <w:p w14:paraId="00CEE27F" w14:textId="77777777" w:rsidR="008B0175" w:rsidRDefault="008B0175" w:rsidP="008B0175">
      <w:pPr>
        <w:pStyle w:val="Default"/>
        <w:jc w:val="both"/>
        <w:rPr>
          <w:sz w:val="22"/>
          <w:szCs w:val="22"/>
          <w:lang w:val="es-CR"/>
        </w:rPr>
      </w:pPr>
    </w:p>
    <w:p w14:paraId="5146F17F" w14:textId="77777777" w:rsidR="008B0175" w:rsidRDefault="008B0175" w:rsidP="009E7101">
      <w:pPr>
        <w:pStyle w:val="Ttulo2"/>
        <w:ind w:left="284"/>
        <w:rPr>
          <w:rFonts w:ascii="Arial" w:eastAsia="Arial" w:hAnsi="Arial" w:cs="Arial"/>
          <w:b/>
          <w:bCs/>
          <w:sz w:val="20"/>
          <w:szCs w:val="20"/>
          <w:lang w:val="es-CR"/>
        </w:rPr>
      </w:pPr>
      <w:bookmarkStart w:id="151" w:name="_Toc172726286"/>
      <w:r w:rsidRPr="009E7101">
        <w:rPr>
          <w:rFonts w:ascii="Arial" w:eastAsia="Arial" w:hAnsi="Arial" w:cs="Arial"/>
          <w:b/>
          <w:bCs/>
          <w:sz w:val="20"/>
          <w:szCs w:val="20"/>
          <w:lang w:val="es-CR"/>
        </w:rPr>
        <w:t>Gastos por concepto de cesantía</w:t>
      </w:r>
      <w:bookmarkEnd w:id="151"/>
    </w:p>
    <w:p w14:paraId="6EA52667" w14:textId="77777777" w:rsidR="00E31ED1" w:rsidRPr="00E31ED1" w:rsidRDefault="00E31ED1" w:rsidP="00E31ED1">
      <w:pPr>
        <w:rPr>
          <w:lang w:val="es-CR"/>
        </w:rPr>
      </w:pPr>
    </w:p>
    <w:p w14:paraId="2749AA22" w14:textId="77777777" w:rsidR="008B0175" w:rsidRPr="009E7101" w:rsidRDefault="008B0175" w:rsidP="009E7101">
      <w:pPr>
        <w:pStyle w:val="Default"/>
        <w:ind w:left="1134" w:hanging="1134"/>
        <w:jc w:val="both"/>
        <w:rPr>
          <w:sz w:val="22"/>
          <w:szCs w:val="22"/>
          <w:lang w:val="es-CR"/>
        </w:rPr>
      </w:pPr>
    </w:p>
    <w:tbl>
      <w:tblPr>
        <w:tblW w:w="9257" w:type="dxa"/>
        <w:tblInd w:w="118" w:type="dxa"/>
        <w:tblLook w:val="04A0" w:firstRow="1" w:lastRow="0" w:firstColumn="1" w:lastColumn="0" w:noHBand="0" w:noVBand="1"/>
      </w:tblPr>
      <w:tblGrid>
        <w:gridCol w:w="439"/>
        <w:gridCol w:w="709"/>
        <w:gridCol w:w="425"/>
        <w:gridCol w:w="3680"/>
        <w:gridCol w:w="2132"/>
        <w:gridCol w:w="1872"/>
      </w:tblGrid>
      <w:tr w:rsidR="008B0175" w:rsidRPr="008B0175" w14:paraId="52AC1349" w14:textId="77777777" w:rsidTr="00E31ED1">
        <w:trPr>
          <w:trHeight w:val="320"/>
        </w:trPr>
        <w:tc>
          <w:tcPr>
            <w:tcW w:w="157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95412CB" w14:textId="77777777" w:rsidR="008B0175" w:rsidRPr="008B0175" w:rsidRDefault="008B0175" w:rsidP="008B0175">
            <w:pPr>
              <w:jc w:val="center"/>
              <w:rPr>
                <w:rFonts w:ascii="Arial Narrow" w:eastAsia="Times New Roman" w:hAnsi="Arial Narrow" w:cs="Calibri"/>
                <w:b/>
                <w:bCs/>
                <w:color w:val="FFFFFF"/>
                <w:sz w:val="22"/>
                <w:szCs w:val="22"/>
              </w:rPr>
            </w:pPr>
            <w:r w:rsidRPr="008B0175">
              <w:rPr>
                <w:rFonts w:ascii="Arial Narrow" w:eastAsia="Times New Roman" w:hAnsi="Arial Narrow" w:cs="Calibri"/>
                <w:b/>
                <w:bCs/>
                <w:color w:val="FFFFFF"/>
                <w:sz w:val="22"/>
                <w:szCs w:val="22"/>
              </w:rPr>
              <w:t>Norma / Política</w:t>
            </w:r>
          </w:p>
        </w:tc>
        <w:tc>
          <w:tcPr>
            <w:tcW w:w="368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961CE77" w14:textId="77777777" w:rsidR="008B0175" w:rsidRPr="008B0175" w:rsidRDefault="008B0175" w:rsidP="008B0175">
            <w:pPr>
              <w:jc w:val="center"/>
              <w:rPr>
                <w:rFonts w:ascii="Arial Narrow" w:eastAsia="Times New Roman" w:hAnsi="Arial Narrow" w:cs="Calibri"/>
                <w:b/>
                <w:bCs/>
                <w:color w:val="FFFFFF"/>
                <w:sz w:val="22"/>
                <w:szCs w:val="22"/>
              </w:rPr>
            </w:pPr>
            <w:r w:rsidRPr="008B0175">
              <w:rPr>
                <w:rFonts w:ascii="Arial Narrow" w:eastAsia="Times New Roman" w:hAnsi="Arial Narrow" w:cs="Calibri"/>
                <w:b/>
                <w:bCs/>
                <w:color w:val="FFFFFF"/>
                <w:sz w:val="22"/>
                <w:szCs w:val="22"/>
              </w:rPr>
              <w:t>Concepto</w:t>
            </w:r>
          </w:p>
        </w:tc>
        <w:tc>
          <w:tcPr>
            <w:tcW w:w="4004" w:type="dxa"/>
            <w:gridSpan w:val="2"/>
            <w:tcBorders>
              <w:top w:val="single" w:sz="8" w:space="0" w:color="auto"/>
              <w:left w:val="nil"/>
              <w:bottom w:val="single" w:sz="8" w:space="0" w:color="auto"/>
              <w:right w:val="single" w:sz="8" w:space="0" w:color="000000"/>
            </w:tcBorders>
            <w:shd w:val="clear" w:color="000000" w:fill="203764"/>
            <w:vAlign w:val="center"/>
            <w:hideMark/>
          </w:tcPr>
          <w:p w14:paraId="583A611A" w14:textId="77777777" w:rsidR="008B0175" w:rsidRPr="008B0175" w:rsidRDefault="008B0175" w:rsidP="008B0175">
            <w:pPr>
              <w:jc w:val="center"/>
              <w:rPr>
                <w:rFonts w:ascii="Arial Narrow" w:eastAsia="Times New Roman" w:hAnsi="Arial Narrow" w:cs="Calibri"/>
                <w:b/>
                <w:bCs/>
                <w:color w:val="FFFFFF"/>
                <w:sz w:val="22"/>
                <w:szCs w:val="22"/>
              </w:rPr>
            </w:pPr>
            <w:r w:rsidRPr="008B0175">
              <w:rPr>
                <w:rFonts w:ascii="Arial Narrow" w:eastAsia="Times New Roman" w:hAnsi="Arial Narrow" w:cs="Calibri"/>
                <w:b/>
                <w:bCs/>
                <w:color w:val="FFFFFF"/>
                <w:sz w:val="22"/>
                <w:szCs w:val="22"/>
              </w:rPr>
              <w:t>Referencia</w:t>
            </w:r>
          </w:p>
        </w:tc>
      </w:tr>
      <w:tr w:rsidR="008B0175" w:rsidRPr="006E5442" w14:paraId="091A5CDE" w14:textId="77777777" w:rsidTr="00E31ED1">
        <w:trPr>
          <w:trHeight w:val="940"/>
        </w:trPr>
        <w:tc>
          <w:tcPr>
            <w:tcW w:w="1573" w:type="dxa"/>
            <w:gridSpan w:val="3"/>
            <w:vMerge/>
            <w:tcBorders>
              <w:top w:val="single" w:sz="8" w:space="0" w:color="auto"/>
              <w:left w:val="single" w:sz="8" w:space="0" w:color="auto"/>
              <w:bottom w:val="nil"/>
              <w:right w:val="single" w:sz="8" w:space="0" w:color="000000"/>
            </w:tcBorders>
            <w:vAlign w:val="center"/>
            <w:hideMark/>
          </w:tcPr>
          <w:p w14:paraId="2E6CC67D" w14:textId="77777777" w:rsidR="008B0175" w:rsidRPr="008B0175" w:rsidRDefault="008B0175" w:rsidP="008B0175">
            <w:pPr>
              <w:rPr>
                <w:rFonts w:ascii="Arial Narrow" w:eastAsia="Times New Roman" w:hAnsi="Arial Narrow" w:cs="Calibri"/>
                <w:b/>
                <w:bCs/>
                <w:color w:val="FFFFFF"/>
                <w:sz w:val="22"/>
                <w:szCs w:val="22"/>
              </w:rPr>
            </w:pPr>
          </w:p>
        </w:tc>
        <w:tc>
          <w:tcPr>
            <w:tcW w:w="3680" w:type="dxa"/>
            <w:vMerge/>
            <w:tcBorders>
              <w:top w:val="single" w:sz="8" w:space="0" w:color="auto"/>
              <w:left w:val="single" w:sz="8" w:space="0" w:color="auto"/>
              <w:bottom w:val="nil"/>
              <w:right w:val="single" w:sz="8" w:space="0" w:color="auto"/>
            </w:tcBorders>
            <w:vAlign w:val="center"/>
            <w:hideMark/>
          </w:tcPr>
          <w:p w14:paraId="1E0783A0" w14:textId="77777777" w:rsidR="008B0175" w:rsidRPr="008B0175" w:rsidRDefault="008B0175" w:rsidP="008B0175">
            <w:pPr>
              <w:rPr>
                <w:rFonts w:ascii="Arial Narrow" w:eastAsia="Times New Roman" w:hAnsi="Arial Narrow" w:cs="Calibri"/>
                <w:b/>
                <w:bCs/>
                <w:color w:val="FFFFFF"/>
                <w:sz w:val="22"/>
                <w:szCs w:val="22"/>
              </w:rPr>
            </w:pPr>
          </w:p>
        </w:tc>
        <w:tc>
          <w:tcPr>
            <w:tcW w:w="2132" w:type="dxa"/>
            <w:tcBorders>
              <w:top w:val="nil"/>
              <w:left w:val="nil"/>
              <w:bottom w:val="nil"/>
              <w:right w:val="single" w:sz="8" w:space="0" w:color="auto"/>
            </w:tcBorders>
            <w:shd w:val="clear" w:color="000000" w:fill="203764"/>
            <w:vAlign w:val="center"/>
            <w:hideMark/>
          </w:tcPr>
          <w:p w14:paraId="21515F47" w14:textId="77777777" w:rsidR="008B0175" w:rsidRPr="008B0175" w:rsidRDefault="008B0175" w:rsidP="008B0175">
            <w:pPr>
              <w:jc w:val="center"/>
              <w:rPr>
                <w:rFonts w:ascii="Arial Narrow" w:eastAsia="Times New Roman" w:hAnsi="Arial Narrow" w:cs="Calibri"/>
                <w:b/>
                <w:bCs/>
                <w:color w:val="FFFFFF"/>
                <w:sz w:val="22"/>
                <w:szCs w:val="22"/>
              </w:rPr>
            </w:pPr>
            <w:r w:rsidRPr="008B0175">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49C0EB94" w14:textId="77777777" w:rsidR="008B0175" w:rsidRPr="008B0175" w:rsidRDefault="008B0175" w:rsidP="008B0175">
            <w:pPr>
              <w:jc w:val="center"/>
              <w:rPr>
                <w:rFonts w:ascii="Arial Narrow" w:eastAsia="Times New Roman" w:hAnsi="Arial Narrow" w:cs="Calibri"/>
                <w:b/>
                <w:bCs/>
                <w:color w:val="FFFFFF"/>
                <w:sz w:val="22"/>
                <w:szCs w:val="22"/>
                <w:lang w:val="es-CR"/>
              </w:rPr>
            </w:pPr>
            <w:r w:rsidRPr="008B0175">
              <w:rPr>
                <w:rFonts w:ascii="Arial Narrow" w:eastAsia="Times New Roman" w:hAnsi="Arial Narrow" w:cs="Calibri"/>
                <w:b/>
                <w:bCs/>
                <w:color w:val="FFFFFF"/>
                <w:sz w:val="22"/>
                <w:szCs w:val="22"/>
                <w:lang w:val="es-CR"/>
              </w:rPr>
              <w:t>Normativa técnica y disposiciones adicionales</w:t>
            </w:r>
          </w:p>
        </w:tc>
      </w:tr>
      <w:tr w:rsidR="008B0175" w:rsidRPr="006E5442" w14:paraId="414E9D1F" w14:textId="77777777" w:rsidTr="00E31ED1">
        <w:trPr>
          <w:trHeight w:val="1541"/>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696ACB" w14:textId="77777777" w:rsidR="008B0175" w:rsidRPr="008B0175" w:rsidRDefault="008B0175" w:rsidP="008B0175">
            <w:pPr>
              <w:jc w:val="center"/>
              <w:rPr>
                <w:rFonts w:ascii="Arial Narrow" w:eastAsia="Times New Roman" w:hAnsi="Arial Narrow" w:cs="Calibri"/>
                <w:b/>
                <w:bCs/>
                <w:color w:val="000000"/>
                <w:sz w:val="22"/>
                <w:szCs w:val="22"/>
              </w:rPr>
            </w:pPr>
            <w:r w:rsidRPr="008B0175">
              <w:rPr>
                <w:rFonts w:ascii="Arial Narrow" w:eastAsia="Times New Roman" w:hAnsi="Arial Narrow" w:cs="Calibri"/>
                <w:b/>
                <w:bCs/>
                <w:color w:val="000000"/>
                <w:sz w:val="22"/>
                <w:szCs w:val="22"/>
              </w:rPr>
              <w:t>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0E32C5CA" w14:textId="77777777" w:rsidR="008B0175" w:rsidRPr="008B0175" w:rsidRDefault="008B0175" w:rsidP="008B0175">
            <w:pPr>
              <w:jc w:val="center"/>
              <w:rPr>
                <w:rFonts w:ascii="Arial Narrow" w:eastAsia="Times New Roman" w:hAnsi="Arial Narrow" w:cs="Calibri"/>
                <w:b/>
                <w:bCs/>
                <w:color w:val="000000"/>
                <w:sz w:val="22"/>
                <w:szCs w:val="22"/>
              </w:rPr>
            </w:pPr>
            <w:r w:rsidRPr="008B0175">
              <w:rPr>
                <w:rFonts w:ascii="Arial Narrow" w:eastAsia="Times New Roman" w:hAnsi="Arial Narrow" w:cs="Calibri"/>
                <w:b/>
                <w:bCs/>
                <w:color w:val="000000"/>
                <w:sz w:val="22"/>
                <w:szCs w:val="22"/>
              </w:rPr>
              <w:t>13</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4CDA9A44" w14:textId="29CED481" w:rsidR="008B0175" w:rsidRPr="008B0175" w:rsidRDefault="008B0175" w:rsidP="008B0175">
            <w:pPr>
              <w:jc w:val="center"/>
              <w:rPr>
                <w:rFonts w:ascii="Arial Narrow" w:eastAsia="Times New Roman" w:hAnsi="Arial Narrow" w:cs="Calibri"/>
                <w:b/>
                <w:bCs/>
                <w:color w:val="000000"/>
                <w:sz w:val="22"/>
                <w:szCs w:val="22"/>
              </w:rPr>
            </w:pPr>
          </w:p>
        </w:tc>
        <w:tc>
          <w:tcPr>
            <w:tcW w:w="3680" w:type="dxa"/>
            <w:tcBorders>
              <w:top w:val="single" w:sz="8" w:space="0" w:color="auto"/>
              <w:left w:val="nil"/>
              <w:bottom w:val="single" w:sz="8" w:space="0" w:color="auto"/>
              <w:right w:val="single" w:sz="8" w:space="0" w:color="auto"/>
            </w:tcBorders>
            <w:shd w:val="clear" w:color="auto" w:fill="auto"/>
            <w:vAlign w:val="center"/>
            <w:hideMark/>
          </w:tcPr>
          <w:p w14:paraId="795D1245" w14:textId="77777777" w:rsidR="008B0175" w:rsidRPr="008B0175" w:rsidRDefault="008B0175" w:rsidP="008B0175">
            <w:pPr>
              <w:jc w:val="both"/>
              <w:rPr>
                <w:rFonts w:ascii="Arial Narrow" w:eastAsia="Times New Roman" w:hAnsi="Arial Narrow" w:cs="Calibri"/>
                <w:b/>
                <w:bCs/>
                <w:color w:val="000000"/>
                <w:sz w:val="22"/>
                <w:szCs w:val="22"/>
                <w:lang w:val="es-CR"/>
              </w:rPr>
            </w:pPr>
            <w:r w:rsidRPr="008B0175">
              <w:rPr>
                <w:rFonts w:ascii="Arial Narrow" w:eastAsia="Times New Roman" w:hAnsi="Arial Narrow" w:cs="Calibri"/>
                <w:b/>
                <w:bCs/>
                <w:color w:val="000000"/>
                <w:sz w:val="22"/>
                <w:szCs w:val="22"/>
                <w:lang w:val="es-CR"/>
              </w:rPr>
              <w:t>Gastos por concepto del auxilio de cesantía</w:t>
            </w:r>
          </w:p>
        </w:tc>
        <w:tc>
          <w:tcPr>
            <w:tcW w:w="2132" w:type="dxa"/>
            <w:tcBorders>
              <w:top w:val="single" w:sz="8" w:space="0" w:color="auto"/>
              <w:left w:val="nil"/>
              <w:bottom w:val="single" w:sz="8" w:space="0" w:color="auto"/>
              <w:right w:val="single" w:sz="8" w:space="0" w:color="auto"/>
            </w:tcBorders>
            <w:shd w:val="clear" w:color="auto" w:fill="auto"/>
            <w:vAlign w:val="center"/>
            <w:hideMark/>
          </w:tcPr>
          <w:p w14:paraId="1B85D613" w14:textId="77777777" w:rsidR="00E31ED1" w:rsidRDefault="008B0175" w:rsidP="008B0175">
            <w:pPr>
              <w:jc w:val="both"/>
              <w:rPr>
                <w:rFonts w:ascii="Arial Narrow" w:eastAsia="Times New Roman" w:hAnsi="Arial Narrow" w:cs="Calibri"/>
                <w:b/>
                <w:bCs/>
                <w:color w:val="000000"/>
                <w:sz w:val="22"/>
                <w:szCs w:val="22"/>
                <w:lang w:val="es-CR"/>
              </w:rPr>
            </w:pPr>
            <w:r w:rsidRPr="008B0175">
              <w:rPr>
                <w:rFonts w:ascii="Arial Narrow" w:eastAsia="Times New Roman" w:hAnsi="Arial Narrow" w:cs="Calibri"/>
                <w:b/>
                <w:bCs/>
                <w:color w:val="000000"/>
                <w:sz w:val="22"/>
                <w:szCs w:val="22"/>
                <w:lang w:val="es-CR"/>
              </w:rPr>
              <w:t xml:space="preserve">NICSP N° 39, </w:t>
            </w:r>
          </w:p>
          <w:p w14:paraId="0292CCAB" w14:textId="781A1433" w:rsidR="008B0175" w:rsidRPr="008B0175" w:rsidRDefault="008B0175" w:rsidP="008B0175">
            <w:pPr>
              <w:jc w:val="both"/>
              <w:rPr>
                <w:rFonts w:ascii="Arial Narrow" w:eastAsia="Times New Roman" w:hAnsi="Arial Narrow" w:cs="Calibri"/>
                <w:b/>
                <w:bCs/>
                <w:color w:val="000000"/>
                <w:sz w:val="22"/>
                <w:szCs w:val="22"/>
                <w:lang w:val="es-CR"/>
              </w:rPr>
            </w:pPr>
            <w:r w:rsidRPr="008B0175">
              <w:rPr>
                <w:rFonts w:ascii="Arial Narrow" w:eastAsia="Times New Roman" w:hAnsi="Arial Narrow" w:cs="Calibri"/>
                <w:b/>
                <w:bCs/>
                <w:color w:val="000000"/>
                <w:sz w:val="22"/>
                <w:szCs w:val="22"/>
                <w:lang w:val="es-CR"/>
              </w:rPr>
              <w:t>Párrafos 167 a 169 y 171.</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54C2694D" w14:textId="77777777" w:rsidR="008B0175" w:rsidRPr="008B0175" w:rsidRDefault="008B0175" w:rsidP="008B0175">
            <w:pPr>
              <w:rPr>
                <w:rFonts w:ascii="Arial Narrow" w:eastAsia="Times New Roman" w:hAnsi="Arial Narrow" w:cs="Calibri"/>
                <w:b/>
                <w:bCs/>
                <w:color w:val="000000"/>
                <w:sz w:val="22"/>
                <w:szCs w:val="22"/>
                <w:lang w:val="es-CR"/>
              </w:rPr>
            </w:pPr>
            <w:r w:rsidRPr="008B0175">
              <w:rPr>
                <w:rFonts w:ascii="Arial Narrow" w:eastAsia="Times New Roman" w:hAnsi="Arial Narrow" w:cs="Calibri"/>
                <w:b/>
                <w:bCs/>
                <w:color w:val="000000"/>
                <w:sz w:val="22"/>
                <w:szCs w:val="22"/>
                <w:lang w:val="es-CR"/>
              </w:rPr>
              <w:t xml:space="preserve">Nota técnica, </w:t>
            </w:r>
            <w:r w:rsidRPr="008B0175">
              <w:rPr>
                <w:rFonts w:ascii="Arial Narrow" w:eastAsia="Times New Roman" w:hAnsi="Arial Narrow" w:cs="Calibri"/>
                <w:b/>
                <w:bCs/>
                <w:color w:val="000000"/>
                <w:sz w:val="22"/>
                <w:szCs w:val="22"/>
                <w:lang w:val="es-CR"/>
              </w:rPr>
              <w:br/>
              <w:t>NICSP N 19</w:t>
            </w:r>
            <w:r w:rsidRPr="008B0175">
              <w:rPr>
                <w:rFonts w:ascii="Arial Narrow" w:eastAsia="Times New Roman" w:hAnsi="Arial Narrow" w:cs="Calibri"/>
                <w:b/>
                <w:bCs/>
                <w:color w:val="000000"/>
                <w:sz w:val="22"/>
                <w:szCs w:val="22"/>
                <w:lang w:val="es-CR"/>
              </w:rPr>
              <w:br/>
              <w:t>Código de Trabajo Art 29-30-83-85</w:t>
            </w:r>
            <w:r w:rsidRPr="008B0175">
              <w:rPr>
                <w:rFonts w:ascii="Arial Narrow" w:eastAsia="Times New Roman" w:hAnsi="Arial Narrow" w:cs="Calibri"/>
                <w:b/>
                <w:bCs/>
                <w:color w:val="000000"/>
                <w:sz w:val="22"/>
                <w:szCs w:val="22"/>
                <w:lang w:val="es-CR"/>
              </w:rPr>
              <w:br/>
              <w:t xml:space="preserve">Ley de Protección al trabajador #7983 </w:t>
            </w:r>
          </w:p>
        </w:tc>
      </w:tr>
    </w:tbl>
    <w:p w14:paraId="2B778211" w14:textId="0A5771A3" w:rsidR="008B0175" w:rsidRPr="0030399E" w:rsidRDefault="00E31ED1" w:rsidP="00E31ED1">
      <w:pPr>
        <w:pStyle w:val="Default"/>
        <w:ind w:left="1134" w:hanging="1134"/>
        <w:jc w:val="both"/>
        <w:rPr>
          <w:rFonts w:eastAsia="Arial"/>
          <w:b/>
          <w:sz w:val="22"/>
          <w:szCs w:val="22"/>
          <w:lang w:val="es-CR"/>
        </w:rPr>
      </w:pPr>
      <w:r w:rsidRPr="0030399E">
        <w:rPr>
          <w:rFonts w:eastAsia="Arial"/>
          <w:b/>
          <w:sz w:val="22"/>
          <w:szCs w:val="22"/>
          <w:lang w:val="es-CR"/>
        </w:rPr>
        <w:lastRenderedPageBreak/>
        <w:t>Políticas Contables</w:t>
      </w:r>
    </w:p>
    <w:p w14:paraId="56D817AA" w14:textId="77777777" w:rsidR="00E31ED1" w:rsidRDefault="00E31ED1" w:rsidP="008B0175">
      <w:pPr>
        <w:pStyle w:val="Default"/>
        <w:jc w:val="both"/>
        <w:rPr>
          <w:sz w:val="22"/>
          <w:szCs w:val="22"/>
          <w:lang w:val="es-CR"/>
        </w:rPr>
      </w:pPr>
    </w:p>
    <w:p w14:paraId="1B497E30" w14:textId="102343F4" w:rsidR="00924EC2" w:rsidRDefault="00924EC2" w:rsidP="00924EC2">
      <w:pPr>
        <w:pStyle w:val="Default"/>
        <w:ind w:left="1134" w:hanging="1134"/>
        <w:jc w:val="both"/>
        <w:rPr>
          <w:sz w:val="22"/>
          <w:szCs w:val="22"/>
          <w:lang w:val="es-CR"/>
        </w:rPr>
      </w:pPr>
      <w:r>
        <w:rPr>
          <w:sz w:val="22"/>
          <w:szCs w:val="22"/>
          <w:lang w:val="es-CR"/>
        </w:rPr>
        <w:t>5.13.0.01</w:t>
      </w:r>
      <w:r>
        <w:rPr>
          <w:sz w:val="22"/>
          <w:szCs w:val="22"/>
          <w:lang w:val="es-CR"/>
        </w:rPr>
        <w:tab/>
      </w:r>
      <w:r w:rsidR="00C66304" w:rsidRPr="00924EC2">
        <w:rPr>
          <w:sz w:val="22"/>
          <w:szCs w:val="22"/>
          <w:lang w:val="es-CR"/>
        </w:rPr>
        <w:t xml:space="preserve">La </w:t>
      </w:r>
      <w:r w:rsidR="000F29DC">
        <w:rPr>
          <w:sz w:val="22"/>
          <w:szCs w:val="22"/>
          <w:lang w:val="es-CR"/>
        </w:rPr>
        <w:t>MBA</w:t>
      </w:r>
      <w:r w:rsidR="00C66304" w:rsidRPr="00924EC2">
        <w:rPr>
          <w:sz w:val="22"/>
          <w:szCs w:val="22"/>
          <w:lang w:val="es-CR"/>
        </w:rPr>
        <w:t xml:space="preserve"> utilizará el método de la unidad de crédito proyectada para determinar tanto el valor presente de sus obligaciones por concepto de auxilio de cesantía, como el costo por los servicios prestados en el periodo actual y, en su caso, el costo de servicios pasados.</w:t>
      </w:r>
    </w:p>
    <w:p w14:paraId="491EC32F" w14:textId="00536B56" w:rsidR="00C66304" w:rsidRPr="00924EC2" w:rsidRDefault="00C66304" w:rsidP="00924EC2">
      <w:pPr>
        <w:pStyle w:val="Default"/>
        <w:ind w:left="1134" w:hanging="1134"/>
        <w:jc w:val="both"/>
        <w:rPr>
          <w:sz w:val="22"/>
          <w:szCs w:val="22"/>
          <w:lang w:val="es-CR"/>
        </w:rPr>
      </w:pPr>
      <w:r w:rsidRPr="00924EC2">
        <w:rPr>
          <w:sz w:val="22"/>
          <w:szCs w:val="22"/>
          <w:lang w:val="es-CR"/>
        </w:rPr>
        <w:t xml:space="preserve"> </w:t>
      </w:r>
    </w:p>
    <w:p w14:paraId="27E375BD" w14:textId="483C2FF3" w:rsidR="00924EC2" w:rsidRDefault="00C66304" w:rsidP="00924EC2">
      <w:pPr>
        <w:pStyle w:val="Default"/>
        <w:ind w:left="1134"/>
        <w:jc w:val="both"/>
        <w:rPr>
          <w:sz w:val="22"/>
          <w:szCs w:val="22"/>
          <w:lang w:val="es-CR"/>
        </w:rPr>
      </w:pPr>
      <w:r w:rsidRPr="00924EC2">
        <w:rPr>
          <w:sz w:val="22"/>
          <w:szCs w:val="22"/>
          <w:lang w:val="es-CR"/>
        </w:rPr>
        <w:t>En el método de la unidad de crédito proyectada (</w:t>
      </w:r>
      <w:r w:rsidR="000F29DC" w:rsidRPr="00924EC2">
        <w:rPr>
          <w:sz w:val="22"/>
          <w:szCs w:val="22"/>
          <w:lang w:val="es-CR"/>
        </w:rPr>
        <w:t>ta</w:t>
      </w:r>
      <w:r w:rsidR="000F29DC">
        <w:rPr>
          <w:sz w:val="22"/>
          <w:szCs w:val="22"/>
          <w:lang w:val="es-CR"/>
        </w:rPr>
        <w:t>mbi</w:t>
      </w:r>
      <w:r w:rsidR="000F29DC" w:rsidRPr="00924EC2">
        <w:rPr>
          <w:sz w:val="22"/>
          <w:szCs w:val="22"/>
          <w:lang w:val="es-CR"/>
        </w:rPr>
        <w:t>én</w:t>
      </w:r>
      <w:r w:rsidRPr="00924EC2">
        <w:rPr>
          <w:sz w:val="22"/>
          <w:szCs w:val="22"/>
          <w:lang w:val="es-CR"/>
        </w:rPr>
        <w:t xml:space="preserve"> denominado a veces método de los beneficios acumulados en proporción a los servicios prestados, o método de los beneficios por año de servicio), se contempla cada año de servicio como generador de una unidad adicional de derecho a los beneficios y se mide cada unidad de forma separada para conformar la obligación final.</w:t>
      </w:r>
    </w:p>
    <w:p w14:paraId="3C32CB80" w14:textId="6321EF3A" w:rsidR="00C66304" w:rsidRPr="00924EC2" w:rsidRDefault="00C66304" w:rsidP="00924EC2">
      <w:pPr>
        <w:pStyle w:val="Default"/>
        <w:ind w:left="1134"/>
        <w:jc w:val="both"/>
        <w:rPr>
          <w:sz w:val="22"/>
          <w:szCs w:val="22"/>
          <w:lang w:val="es-CR"/>
        </w:rPr>
      </w:pPr>
      <w:r w:rsidRPr="00924EC2">
        <w:rPr>
          <w:sz w:val="22"/>
          <w:szCs w:val="22"/>
          <w:lang w:val="es-CR"/>
        </w:rPr>
        <w:t xml:space="preserve"> </w:t>
      </w:r>
    </w:p>
    <w:p w14:paraId="03B5B6C9" w14:textId="53FB06F1" w:rsidR="00C66304" w:rsidRDefault="00924EC2" w:rsidP="00924EC2">
      <w:pPr>
        <w:pStyle w:val="Default"/>
        <w:ind w:left="1134" w:hanging="1134"/>
        <w:jc w:val="both"/>
        <w:rPr>
          <w:sz w:val="22"/>
          <w:szCs w:val="22"/>
          <w:lang w:val="es-CR"/>
        </w:rPr>
      </w:pPr>
      <w:r>
        <w:rPr>
          <w:sz w:val="22"/>
          <w:szCs w:val="22"/>
          <w:lang w:val="es-CR"/>
        </w:rPr>
        <w:t>5.13.0.02</w:t>
      </w:r>
      <w:r>
        <w:rPr>
          <w:sz w:val="22"/>
          <w:szCs w:val="22"/>
          <w:lang w:val="es-CR"/>
        </w:rPr>
        <w:tab/>
        <w:t>E</w:t>
      </w:r>
      <w:r w:rsidR="00C66304" w:rsidRPr="00924EC2">
        <w:rPr>
          <w:sz w:val="22"/>
          <w:szCs w:val="22"/>
          <w:lang w:val="es-CR"/>
        </w:rPr>
        <w:t xml:space="preserve">n los cálculos de cesantía </w:t>
      </w:r>
      <w:r>
        <w:rPr>
          <w:sz w:val="22"/>
          <w:szCs w:val="22"/>
          <w:lang w:val="es-CR"/>
        </w:rPr>
        <w:t>s</w:t>
      </w:r>
      <w:r w:rsidRPr="00924EC2">
        <w:rPr>
          <w:sz w:val="22"/>
          <w:szCs w:val="22"/>
          <w:lang w:val="es-CR"/>
        </w:rPr>
        <w:t xml:space="preserve">e debe tomar en cuenta </w:t>
      </w:r>
      <w:r>
        <w:rPr>
          <w:sz w:val="22"/>
          <w:szCs w:val="22"/>
          <w:lang w:val="es-CR"/>
        </w:rPr>
        <w:t xml:space="preserve">los recursos </w:t>
      </w:r>
      <w:r w:rsidR="00C66304" w:rsidRPr="00924EC2">
        <w:rPr>
          <w:sz w:val="22"/>
          <w:szCs w:val="22"/>
          <w:lang w:val="es-CR"/>
        </w:rPr>
        <w:t xml:space="preserve">que la </w:t>
      </w:r>
      <w:r>
        <w:rPr>
          <w:sz w:val="22"/>
          <w:szCs w:val="22"/>
          <w:lang w:val="es-CR"/>
        </w:rPr>
        <w:t>Municipalidad</w:t>
      </w:r>
      <w:r w:rsidR="00C66304" w:rsidRPr="00924EC2">
        <w:rPr>
          <w:sz w:val="22"/>
          <w:szCs w:val="22"/>
          <w:lang w:val="es-CR"/>
        </w:rPr>
        <w:t xml:space="preserve"> transfiere a la asociación solidarista, y ésta se encargue de pagar el auxilio de cesantía, se trataría de un tipo de beneficio post-empleo de plan de contribución definida, en los cuales una entidad realiza contribuciones fijas a una entidad separada (un fondo) y no tiene obligación legal ni implícita de realizar contribuciones adicionales en el caso de que el fondo no tenga suficientes activos para atender los beneficios a los empleados que se relacionen con los servicios que éstos han prestado en el periodo presente y en los anteriores. Estos montos transferidos a la asociación solidarista se deben deducir del cálculo respectivo</w:t>
      </w:r>
      <w:r>
        <w:rPr>
          <w:sz w:val="22"/>
          <w:szCs w:val="22"/>
          <w:lang w:val="es-CR"/>
        </w:rPr>
        <w:t>.</w:t>
      </w:r>
    </w:p>
    <w:p w14:paraId="68DDBF3F" w14:textId="77777777" w:rsidR="00924EC2" w:rsidRDefault="00924EC2">
      <w:pPr>
        <w:pStyle w:val="Default"/>
        <w:numPr>
          <w:ilvl w:val="1"/>
          <w:numId w:val="286"/>
        </w:numPr>
        <w:jc w:val="both"/>
        <w:rPr>
          <w:sz w:val="22"/>
          <w:szCs w:val="22"/>
          <w:lang w:val="es-CR"/>
        </w:rPr>
      </w:pPr>
    </w:p>
    <w:p w14:paraId="5664386D" w14:textId="0611A8CE" w:rsidR="00924EC2" w:rsidRDefault="00924EC2" w:rsidP="00924EC2">
      <w:pPr>
        <w:pStyle w:val="Default"/>
        <w:ind w:left="1134" w:hanging="1134"/>
        <w:jc w:val="both"/>
        <w:rPr>
          <w:sz w:val="22"/>
          <w:szCs w:val="22"/>
          <w:lang w:val="es-CR"/>
        </w:rPr>
      </w:pPr>
      <w:r>
        <w:rPr>
          <w:sz w:val="22"/>
          <w:szCs w:val="22"/>
          <w:lang w:val="es-CR"/>
        </w:rPr>
        <w:t>5.13.0.03</w:t>
      </w:r>
      <w:r>
        <w:rPr>
          <w:sz w:val="22"/>
          <w:szCs w:val="22"/>
          <w:lang w:val="es-CR"/>
        </w:rPr>
        <w:tab/>
      </w:r>
      <w:r w:rsidR="00C66304" w:rsidRPr="00924EC2">
        <w:rPr>
          <w:sz w:val="22"/>
          <w:szCs w:val="22"/>
          <w:lang w:val="es-CR"/>
        </w:rPr>
        <w:t xml:space="preserve">La </w:t>
      </w:r>
      <w:r>
        <w:rPr>
          <w:sz w:val="22"/>
          <w:szCs w:val="22"/>
          <w:lang w:val="es-CR"/>
        </w:rPr>
        <w:t xml:space="preserve">Municipalidad reconocerá y pagará por concepto de cesantía un máximo de 8 años de acuerdo como lo </w:t>
      </w:r>
      <w:r w:rsidR="00C66304" w:rsidRPr="00924EC2">
        <w:rPr>
          <w:sz w:val="22"/>
          <w:szCs w:val="22"/>
          <w:lang w:val="es-CR"/>
        </w:rPr>
        <w:t xml:space="preserve">establece </w:t>
      </w:r>
      <w:r>
        <w:rPr>
          <w:sz w:val="22"/>
          <w:szCs w:val="22"/>
          <w:lang w:val="es-CR"/>
        </w:rPr>
        <w:t>la legislación laboral vigente.</w:t>
      </w:r>
    </w:p>
    <w:p w14:paraId="48940128" w14:textId="77777777" w:rsidR="003D4F87" w:rsidRDefault="003D4F87" w:rsidP="00924EC2">
      <w:pPr>
        <w:pStyle w:val="Default"/>
        <w:jc w:val="both"/>
        <w:rPr>
          <w:b/>
          <w:bCs/>
          <w:sz w:val="22"/>
          <w:szCs w:val="22"/>
          <w:lang w:val="es-CR"/>
        </w:rPr>
      </w:pPr>
    </w:p>
    <w:p w14:paraId="4356EE2B" w14:textId="77777777" w:rsidR="00924EC2" w:rsidRDefault="00924EC2" w:rsidP="00924EC2">
      <w:pPr>
        <w:pStyle w:val="Default"/>
        <w:jc w:val="both"/>
        <w:rPr>
          <w:b/>
          <w:bCs/>
          <w:sz w:val="22"/>
          <w:szCs w:val="22"/>
          <w:lang w:val="es-CR"/>
        </w:rPr>
      </w:pPr>
    </w:p>
    <w:p w14:paraId="3C33461B" w14:textId="77777777" w:rsidR="00E31ED1" w:rsidRPr="00924EC2" w:rsidRDefault="00E31ED1" w:rsidP="00924EC2">
      <w:pPr>
        <w:pStyle w:val="Default"/>
        <w:jc w:val="both"/>
        <w:rPr>
          <w:b/>
          <w:bCs/>
          <w:sz w:val="22"/>
          <w:szCs w:val="22"/>
          <w:lang w:val="es-CR"/>
        </w:rPr>
      </w:pPr>
    </w:p>
    <w:p w14:paraId="3D341C8F" w14:textId="13E5E9C3" w:rsidR="00026A6E" w:rsidRPr="009E7101" w:rsidRDefault="00382A8D" w:rsidP="009E7101">
      <w:pPr>
        <w:pStyle w:val="Ttulo2"/>
        <w:ind w:left="284"/>
        <w:rPr>
          <w:rFonts w:ascii="Arial" w:eastAsia="Arial" w:hAnsi="Arial" w:cs="Arial"/>
          <w:b/>
          <w:bCs/>
          <w:sz w:val="20"/>
          <w:szCs w:val="20"/>
          <w:lang w:val="es-CR"/>
        </w:rPr>
      </w:pPr>
      <w:bookmarkStart w:id="152" w:name="_Toc172726287"/>
      <w:r w:rsidRPr="009E7101">
        <w:rPr>
          <w:rFonts w:ascii="Arial" w:eastAsia="Arial" w:hAnsi="Arial" w:cs="Arial"/>
          <w:b/>
          <w:bCs/>
          <w:sz w:val="20"/>
          <w:szCs w:val="20"/>
          <w:lang w:val="es-CR"/>
        </w:rPr>
        <w:t>Gastos por concepto de preaviso.</w:t>
      </w:r>
      <w:bookmarkEnd w:id="152"/>
    </w:p>
    <w:p w14:paraId="79628B2B" w14:textId="77777777" w:rsidR="00026A6E" w:rsidRDefault="00026A6E" w:rsidP="00924EC2">
      <w:pPr>
        <w:pStyle w:val="Default"/>
        <w:jc w:val="both"/>
        <w:rPr>
          <w:b/>
          <w:bCs/>
          <w:sz w:val="22"/>
          <w:szCs w:val="22"/>
          <w:lang w:val="es-CR"/>
        </w:rPr>
      </w:pPr>
    </w:p>
    <w:p w14:paraId="765BF243" w14:textId="77777777" w:rsidR="00E31ED1" w:rsidRPr="00924EC2" w:rsidRDefault="00E31ED1" w:rsidP="00924EC2">
      <w:pPr>
        <w:pStyle w:val="Default"/>
        <w:jc w:val="both"/>
        <w:rPr>
          <w:b/>
          <w:bCs/>
          <w:sz w:val="22"/>
          <w:szCs w:val="22"/>
          <w:lang w:val="es-CR"/>
        </w:rPr>
      </w:pPr>
    </w:p>
    <w:tbl>
      <w:tblPr>
        <w:tblW w:w="9228" w:type="dxa"/>
        <w:tblInd w:w="118" w:type="dxa"/>
        <w:tblLook w:val="04A0" w:firstRow="1" w:lastRow="0" w:firstColumn="1" w:lastColumn="0" w:noHBand="0" w:noVBand="1"/>
      </w:tblPr>
      <w:tblGrid>
        <w:gridCol w:w="439"/>
        <w:gridCol w:w="709"/>
        <w:gridCol w:w="425"/>
        <w:gridCol w:w="3680"/>
        <w:gridCol w:w="2182"/>
        <w:gridCol w:w="1793"/>
      </w:tblGrid>
      <w:tr w:rsidR="00382A8D" w:rsidRPr="009E7101" w14:paraId="078D7D15" w14:textId="77777777" w:rsidTr="00E31ED1">
        <w:trPr>
          <w:trHeight w:val="320"/>
        </w:trPr>
        <w:tc>
          <w:tcPr>
            <w:tcW w:w="157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EADD660" w14:textId="02A93121" w:rsidR="00382A8D" w:rsidRPr="009E7101" w:rsidRDefault="0024592E" w:rsidP="00382A8D">
            <w:pPr>
              <w:jc w:val="center"/>
              <w:rPr>
                <w:rFonts w:ascii="Arial Narrow" w:eastAsia="Times New Roman" w:hAnsi="Arial Narrow" w:cs="Calibri"/>
                <w:b/>
                <w:bCs/>
                <w:color w:val="FFFFFF"/>
                <w:sz w:val="22"/>
                <w:szCs w:val="22"/>
              </w:rPr>
            </w:pPr>
            <w:r>
              <w:rPr>
                <w:rFonts w:ascii="Arial Narrow" w:eastAsia="Times New Roman" w:hAnsi="Arial Narrow" w:cs="Calibri"/>
                <w:b/>
                <w:bCs/>
                <w:color w:val="FFFFFF"/>
                <w:sz w:val="22"/>
                <w:szCs w:val="22"/>
              </w:rPr>
              <w:t>z</w:t>
            </w:r>
            <w:r w:rsidR="00382A8D" w:rsidRPr="009E7101">
              <w:rPr>
                <w:rFonts w:ascii="Arial Narrow" w:eastAsia="Times New Roman" w:hAnsi="Arial Narrow" w:cs="Calibri"/>
                <w:b/>
                <w:bCs/>
                <w:color w:val="FFFFFF"/>
                <w:sz w:val="22"/>
                <w:szCs w:val="22"/>
              </w:rPr>
              <w:t>Norma / Política</w:t>
            </w:r>
          </w:p>
        </w:tc>
        <w:tc>
          <w:tcPr>
            <w:tcW w:w="368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E05F2EB" w14:textId="77777777" w:rsidR="00382A8D" w:rsidRPr="009E7101" w:rsidRDefault="00382A8D" w:rsidP="00382A8D">
            <w:pPr>
              <w:jc w:val="center"/>
              <w:rPr>
                <w:rFonts w:ascii="Arial Narrow" w:eastAsia="Times New Roman" w:hAnsi="Arial Narrow" w:cs="Calibri"/>
                <w:b/>
                <w:bCs/>
                <w:color w:val="FFFFFF"/>
                <w:sz w:val="22"/>
                <w:szCs w:val="22"/>
              </w:rPr>
            </w:pPr>
            <w:r w:rsidRPr="009E7101">
              <w:rPr>
                <w:rFonts w:ascii="Arial Narrow" w:eastAsia="Times New Roman" w:hAnsi="Arial Narrow" w:cs="Calibri"/>
                <w:b/>
                <w:bCs/>
                <w:color w:val="FFFFFF"/>
                <w:sz w:val="22"/>
                <w:szCs w:val="22"/>
              </w:rPr>
              <w:t>Concepto</w:t>
            </w:r>
          </w:p>
        </w:tc>
        <w:tc>
          <w:tcPr>
            <w:tcW w:w="3975" w:type="dxa"/>
            <w:gridSpan w:val="2"/>
            <w:tcBorders>
              <w:top w:val="single" w:sz="8" w:space="0" w:color="auto"/>
              <w:left w:val="nil"/>
              <w:bottom w:val="single" w:sz="8" w:space="0" w:color="auto"/>
              <w:right w:val="single" w:sz="8" w:space="0" w:color="000000"/>
            </w:tcBorders>
            <w:shd w:val="clear" w:color="000000" w:fill="203764"/>
            <w:vAlign w:val="center"/>
            <w:hideMark/>
          </w:tcPr>
          <w:p w14:paraId="45451D9A" w14:textId="77777777" w:rsidR="00382A8D" w:rsidRPr="009E7101" w:rsidRDefault="00382A8D" w:rsidP="00382A8D">
            <w:pPr>
              <w:jc w:val="center"/>
              <w:rPr>
                <w:rFonts w:ascii="Arial Narrow" w:eastAsia="Times New Roman" w:hAnsi="Arial Narrow" w:cs="Calibri"/>
                <w:b/>
                <w:bCs/>
                <w:color w:val="FFFFFF"/>
                <w:sz w:val="22"/>
                <w:szCs w:val="22"/>
              </w:rPr>
            </w:pPr>
            <w:r w:rsidRPr="009E7101">
              <w:rPr>
                <w:rFonts w:ascii="Arial Narrow" w:eastAsia="Times New Roman" w:hAnsi="Arial Narrow" w:cs="Calibri"/>
                <w:b/>
                <w:bCs/>
                <w:color w:val="FFFFFF"/>
                <w:sz w:val="22"/>
                <w:szCs w:val="22"/>
              </w:rPr>
              <w:t>Referencia</w:t>
            </w:r>
          </w:p>
        </w:tc>
      </w:tr>
      <w:tr w:rsidR="00382A8D" w:rsidRPr="006E5442" w14:paraId="45BA7D3A" w14:textId="77777777" w:rsidTr="00E31ED1">
        <w:trPr>
          <w:trHeight w:val="940"/>
        </w:trPr>
        <w:tc>
          <w:tcPr>
            <w:tcW w:w="1573" w:type="dxa"/>
            <w:gridSpan w:val="3"/>
            <w:vMerge/>
            <w:tcBorders>
              <w:top w:val="single" w:sz="8" w:space="0" w:color="auto"/>
              <w:left w:val="single" w:sz="8" w:space="0" w:color="auto"/>
              <w:bottom w:val="nil"/>
              <w:right w:val="single" w:sz="8" w:space="0" w:color="000000"/>
            </w:tcBorders>
            <w:vAlign w:val="center"/>
            <w:hideMark/>
          </w:tcPr>
          <w:p w14:paraId="5A0443D4" w14:textId="77777777" w:rsidR="00382A8D" w:rsidRPr="009E7101" w:rsidRDefault="00382A8D" w:rsidP="00382A8D">
            <w:pPr>
              <w:rPr>
                <w:rFonts w:ascii="Arial Narrow" w:eastAsia="Times New Roman" w:hAnsi="Arial Narrow" w:cs="Calibri"/>
                <w:b/>
                <w:bCs/>
                <w:color w:val="FFFFFF"/>
                <w:sz w:val="22"/>
                <w:szCs w:val="22"/>
              </w:rPr>
            </w:pPr>
          </w:p>
        </w:tc>
        <w:tc>
          <w:tcPr>
            <w:tcW w:w="3680" w:type="dxa"/>
            <w:vMerge/>
            <w:tcBorders>
              <w:top w:val="single" w:sz="8" w:space="0" w:color="auto"/>
              <w:left w:val="single" w:sz="8" w:space="0" w:color="auto"/>
              <w:bottom w:val="nil"/>
              <w:right w:val="single" w:sz="8" w:space="0" w:color="auto"/>
            </w:tcBorders>
            <w:vAlign w:val="center"/>
            <w:hideMark/>
          </w:tcPr>
          <w:p w14:paraId="70AAF481" w14:textId="77777777" w:rsidR="00382A8D" w:rsidRPr="009E7101" w:rsidRDefault="00382A8D" w:rsidP="00382A8D">
            <w:pPr>
              <w:rPr>
                <w:rFonts w:ascii="Arial Narrow" w:eastAsia="Times New Roman" w:hAnsi="Arial Narrow" w:cs="Calibri"/>
                <w:b/>
                <w:bCs/>
                <w:color w:val="FFFFFF"/>
                <w:sz w:val="22"/>
                <w:szCs w:val="22"/>
              </w:rPr>
            </w:pPr>
          </w:p>
        </w:tc>
        <w:tc>
          <w:tcPr>
            <w:tcW w:w="2182" w:type="dxa"/>
            <w:tcBorders>
              <w:top w:val="nil"/>
              <w:left w:val="nil"/>
              <w:bottom w:val="nil"/>
              <w:right w:val="single" w:sz="8" w:space="0" w:color="auto"/>
            </w:tcBorders>
            <w:shd w:val="clear" w:color="000000" w:fill="203764"/>
            <w:vAlign w:val="center"/>
            <w:hideMark/>
          </w:tcPr>
          <w:p w14:paraId="6972E68E" w14:textId="77777777" w:rsidR="00382A8D" w:rsidRPr="009E7101" w:rsidRDefault="00382A8D" w:rsidP="00382A8D">
            <w:pPr>
              <w:jc w:val="center"/>
              <w:rPr>
                <w:rFonts w:ascii="Arial Narrow" w:eastAsia="Times New Roman" w:hAnsi="Arial Narrow" w:cs="Calibri"/>
                <w:b/>
                <w:bCs/>
                <w:color w:val="FFFFFF"/>
                <w:sz w:val="22"/>
                <w:szCs w:val="22"/>
              </w:rPr>
            </w:pPr>
            <w:r w:rsidRPr="009E7101">
              <w:rPr>
                <w:rFonts w:ascii="Arial Narrow" w:eastAsia="Times New Roman" w:hAnsi="Arial Narrow" w:cs="Calibri"/>
                <w:b/>
                <w:bCs/>
                <w:color w:val="FFFFFF"/>
                <w:sz w:val="22"/>
                <w:szCs w:val="22"/>
              </w:rPr>
              <w:t>Norma</w:t>
            </w:r>
          </w:p>
        </w:tc>
        <w:tc>
          <w:tcPr>
            <w:tcW w:w="1793" w:type="dxa"/>
            <w:tcBorders>
              <w:top w:val="nil"/>
              <w:left w:val="nil"/>
              <w:bottom w:val="nil"/>
              <w:right w:val="single" w:sz="8" w:space="0" w:color="auto"/>
            </w:tcBorders>
            <w:shd w:val="clear" w:color="000000" w:fill="203764"/>
            <w:vAlign w:val="center"/>
            <w:hideMark/>
          </w:tcPr>
          <w:p w14:paraId="7803D2CA" w14:textId="77777777" w:rsidR="00382A8D" w:rsidRPr="009E7101" w:rsidRDefault="00382A8D" w:rsidP="00382A8D">
            <w:pPr>
              <w:jc w:val="center"/>
              <w:rPr>
                <w:rFonts w:ascii="Arial Narrow" w:eastAsia="Times New Roman" w:hAnsi="Arial Narrow" w:cs="Calibri"/>
                <w:b/>
                <w:bCs/>
                <w:color w:val="FFFFFF"/>
                <w:sz w:val="22"/>
                <w:szCs w:val="22"/>
                <w:lang w:val="es-CR"/>
              </w:rPr>
            </w:pPr>
            <w:r w:rsidRPr="009E7101">
              <w:rPr>
                <w:rFonts w:ascii="Arial Narrow" w:eastAsia="Times New Roman" w:hAnsi="Arial Narrow" w:cs="Calibri"/>
                <w:b/>
                <w:bCs/>
                <w:color w:val="FFFFFF"/>
                <w:sz w:val="22"/>
                <w:szCs w:val="22"/>
                <w:lang w:val="es-CR"/>
              </w:rPr>
              <w:t>Normativa técnica y disposiciones adicionales</w:t>
            </w:r>
          </w:p>
        </w:tc>
      </w:tr>
      <w:tr w:rsidR="00382A8D" w:rsidRPr="006E5442" w14:paraId="15B640DD" w14:textId="77777777" w:rsidTr="00E31ED1">
        <w:trPr>
          <w:trHeight w:val="839"/>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62FF00" w14:textId="77777777" w:rsidR="00382A8D" w:rsidRPr="009E7101" w:rsidRDefault="00382A8D" w:rsidP="00382A8D">
            <w:pPr>
              <w:jc w:val="center"/>
              <w:rPr>
                <w:rFonts w:ascii="Arial Narrow" w:eastAsia="Times New Roman" w:hAnsi="Arial Narrow" w:cs="Calibri"/>
                <w:b/>
                <w:bCs/>
                <w:color w:val="000000"/>
                <w:sz w:val="22"/>
                <w:szCs w:val="22"/>
              </w:rPr>
            </w:pPr>
            <w:r w:rsidRPr="009E7101">
              <w:rPr>
                <w:rFonts w:ascii="Arial Narrow" w:eastAsia="Times New Roman" w:hAnsi="Arial Narrow" w:cs="Calibri"/>
                <w:b/>
                <w:bCs/>
                <w:color w:val="000000"/>
                <w:sz w:val="22"/>
                <w:szCs w:val="22"/>
              </w:rPr>
              <w:t>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56DD702D" w14:textId="77777777" w:rsidR="00382A8D" w:rsidRPr="009E7101" w:rsidRDefault="00382A8D" w:rsidP="00382A8D">
            <w:pPr>
              <w:jc w:val="center"/>
              <w:rPr>
                <w:rFonts w:ascii="Arial Narrow" w:eastAsia="Times New Roman" w:hAnsi="Arial Narrow" w:cs="Calibri"/>
                <w:b/>
                <w:bCs/>
                <w:color w:val="000000"/>
                <w:sz w:val="22"/>
                <w:szCs w:val="22"/>
              </w:rPr>
            </w:pPr>
            <w:r w:rsidRPr="009E7101">
              <w:rPr>
                <w:rFonts w:ascii="Arial Narrow" w:eastAsia="Times New Roman" w:hAnsi="Arial Narrow" w:cs="Calibri"/>
                <w:b/>
                <w:bCs/>
                <w:color w:val="000000"/>
                <w:sz w:val="22"/>
                <w:szCs w:val="22"/>
              </w:rPr>
              <w:t>14</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08254BA3" w14:textId="09C6C70C" w:rsidR="00382A8D" w:rsidRPr="009E7101" w:rsidRDefault="00382A8D" w:rsidP="00382A8D">
            <w:pPr>
              <w:jc w:val="center"/>
              <w:rPr>
                <w:rFonts w:ascii="Arial Narrow" w:eastAsia="Times New Roman" w:hAnsi="Arial Narrow" w:cs="Calibri"/>
                <w:b/>
                <w:bCs/>
                <w:color w:val="000000"/>
                <w:sz w:val="22"/>
                <w:szCs w:val="22"/>
              </w:rPr>
            </w:pPr>
          </w:p>
        </w:tc>
        <w:tc>
          <w:tcPr>
            <w:tcW w:w="3680" w:type="dxa"/>
            <w:tcBorders>
              <w:top w:val="single" w:sz="8" w:space="0" w:color="auto"/>
              <w:left w:val="nil"/>
              <w:bottom w:val="single" w:sz="8" w:space="0" w:color="auto"/>
              <w:right w:val="single" w:sz="8" w:space="0" w:color="auto"/>
            </w:tcBorders>
            <w:shd w:val="clear" w:color="auto" w:fill="auto"/>
            <w:vAlign w:val="center"/>
            <w:hideMark/>
          </w:tcPr>
          <w:p w14:paraId="19D3652A" w14:textId="77777777" w:rsidR="00382A8D" w:rsidRPr="009E7101" w:rsidRDefault="00382A8D" w:rsidP="00382A8D">
            <w:pPr>
              <w:jc w:val="both"/>
              <w:rPr>
                <w:rFonts w:ascii="Arial Narrow" w:eastAsia="Times New Roman" w:hAnsi="Arial Narrow" w:cs="Calibri"/>
                <w:b/>
                <w:bCs/>
                <w:color w:val="000000"/>
                <w:sz w:val="22"/>
                <w:szCs w:val="22"/>
                <w:lang w:val="es-CR"/>
              </w:rPr>
            </w:pPr>
            <w:r w:rsidRPr="009E7101">
              <w:rPr>
                <w:rFonts w:ascii="Arial Narrow" w:eastAsia="Times New Roman" w:hAnsi="Arial Narrow" w:cs="Calibri"/>
                <w:b/>
                <w:bCs/>
                <w:color w:val="000000"/>
                <w:sz w:val="22"/>
                <w:szCs w:val="22"/>
                <w:lang w:val="es-CR"/>
              </w:rPr>
              <w:t>Gastos por concepto de preaviso</w:t>
            </w:r>
          </w:p>
        </w:tc>
        <w:tc>
          <w:tcPr>
            <w:tcW w:w="2182" w:type="dxa"/>
            <w:tcBorders>
              <w:top w:val="single" w:sz="8" w:space="0" w:color="auto"/>
              <w:left w:val="nil"/>
              <w:bottom w:val="single" w:sz="8" w:space="0" w:color="auto"/>
              <w:right w:val="single" w:sz="8" w:space="0" w:color="auto"/>
            </w:tcBorders>
            <w:shd w:val="clear" w:color="auto" w:fill="auto"/>
            <w:vAlign w:val="center"/>
            <w:hideMark/>
          </w:tcPr>
          <w:p w14:paraId="0167E4F2" w14:textId="77777777" w:rsidR="009E7101" w:rsidRDefault="00382A8D" w:rsidP="00382A8D">
            <w:pPr>
              <w:jc w:val="both"/>
              <w:rPr>
                <w:rFonts w:ascii="Arial Narrow" w:eastAsia="Times New Roman" w:hAnsi="Arial Narrow" w:cs="Calibri"/>
                <w:b/>
                <w:bCs/>
                <w:color w:val="000000"/>
                <w:sz w:val="22"/>
                <w:szCs w:val="22"/>
                <w:lang w:val="es-CR"/>
              </w:rPr>
            </w:pPr>
            <w:r w:rsidRPr="009E7101">
              <w:rPr>
                <w:rFonts w:ascii="Arial Narrow" w:eastAsia="Times New Roman" w:hAnsi="Arial Narrow" w:cs="Calibri"/>
                <w:b/>
                <w:bCs/>
                <w:color w:val="000000"/>
                <w:sz w:val="22"/>
                <w:szCs w:val="22"/>
                <w:lang w:val="es-CR"/>
              </w:rPr>
              <w:t>NICSP N° 39,</w:t>
            </w:r>
          </w:p>
          <w:p w14:paraId="5DDCB188" w14:textId="3EEC117E" w:rsidR="00382A8D" w:rsidRPr="009E7101" w:rsidRDefault="00382A8D" w:rsidP="00382A8D">
            <w:pPr>
              <w:jc w:val="both"/>
              <w:rPr>
                <w:rFonts w:ascii="Arial Narrow" w:eastAsia="Times New Roman" w:hAnsi="Arial Narrow" w:cs="Calibri"/>
                <w:b/>
                <w:bCs/>
                <w:color w:val="000000"/>
                <w:sz w:val="22"/>
                <w:szCs w:val="22"/>
                <w:lang w:val="es-CR"/>
              </w:rPr>
            </w:pPr>
            <w:r w:rsidRPr="009E7101">
              <w:rPr>
                <w:rFonts w:ascii="Arial Narrow" w:eastAsia="Times New Roman" w:hAnsi="Arial Narrow" w:cs="Calibri"/>
                <w:b/>
                <w:bCs/>
                <w:color w:val="000000"/>
                <w:sz w:val="22"/>
                <w:szCs w:val="22"/>
                <w:lang w:val="es-CR"/>
              </w:rPr>
              <w:t>Párrafos 167 a 169 y 171.</w:t>
            </w:r>
          </w:p>
        </w:tc>
        <w:tc>
          <w:tcPr>
            <w:tcW w:w="1793" w:type="dxa"/>
            <w:tcBorders>
              <w:top w:val="single" w:sz="8" w:space="0" w:color="auto"/>
              <w:left w:val="nil"/>
              <w:bottom w:val="single" w:sz="8" w:space="0" w:color="auto"/>
              <w:right w:val="single" w:sz="8" w:space="0" w:color="auto"/>
            </w:tcBorders>
            <w:shd w:val="clear" w:color="auto" w:fill="auto"/>
            <w:vAlign w:val="center"/>
            <w:hideMark/>
          </w:tcPr>
          <w:p w14:paraId="76938DDD" w14:textId="77777777" w:rsidR="00382A8D" w:rsidRPr="009E7101" w:rsidRDefault="00382A8D" w:rsidP="00382A8D">
            <w:pPr>
              <w:rPr>
                <w:rFonts w:ascii="Arial Narrow" w:eastAsia="Times New Roman" w:hAnsi="Arial Narrow" w:cs="Calibri"/>
                <w:b/>
                <w:bCs/>
                <w:color w:val="000000"/>
                <w:sz w:val="22"/>
                <w:szCs w:val="22"/>
                <w:lang w:val="es-CR"/>
              </w:rPr>
            </w:pPr>
            <w:r w:rsidRPr="009E7101">
              <w:rPr>
                <w:rFonts w:ascii="Arial Narrow" w:eastAsia="Times New Roman" w:hAnsi="Arial Narrow" w:cs="Calibri"/>
                <w:b/>
                <w:bCs/>
                <w:color w:val="000000"/>
                <w:sz w:val="22"/>
                <w:szCs w:val="22"/>
                <w:lang w:val="es-CR"/>
              </w:rPr>
              <w:t xml:space="preserve">NICSP N° 19 </w:t>
            </w:r>
            <w:r w:rsidRPr="009E7101">
              <w:rPr>
                <w:rFonts w:ascii="Arial Narrow" w:eastAsia="Times New Roman" w:hAnsi="Arial Narrow" w:cs="Calibri"/>
                <w:b/>
                <w:bCs/>
                <w:color w:val="000000"/>
                <w:sz w:val="22"/>
                <w:szCs w:val="22"/>
                <w:lang w:val="es-CR"/>
              </w:rPr>
              <w:br/>
              <w:t>Párrafo 81 al 93</w:t>
            </w:r>
            <w:r w:rsidRPr="009E7101">
              <w:rPr>
                <w:rFonts w:ascii="Arial Narrow" w:eastAsia="Times New Roman" w:hAnsi="Arial Narrow" w:cs="Calibri"/>
                <w:b/>
                <w:bCs/>
                <w:color w:val="000000"/>
                <w:sz w:val="22"/>
                <w:szCs w:val="22"/>
                <w:lang w:val="es-CR"/>
              </w:rPr>
              <w:br/>
              <w:t xml:space="preserve">Código de trabajo </w:t>
            </w:r>
            <w:r w:rsidRPr="009E7101">
              <w:rPr>
                <w:rFonts w:ascii="Arial Narrow" w:eastAsia="Times New Roman" w:hAnsi="Arial Narrow" w:cs="Calibri"/>
                <w:b/>
                <w:bCs/>
                <w:color w:val="000000"/>
                <w:sz w:val="22"/>
                <w:szCs w:val="22"/>
                <w:lang w:val="es-CR"/>
              </w:rPr>
              <w:br/>
              <w:t>Art 30 y 85</w:t>
            </w:r>
          </w:p>
        </w:tc>
      </w:tr>
    </w:tbl>
    <w:p w14:paraId="19233355" w14:textId="77777777" w:rsidR="00382A8D" w:rsidRDefault="00382A8D" w:rsidP="00382A8D">
      <w:pPr>
        <w:autoSpaceDE w:val="0"/>
        <w:autoSpaceDN w:val="0"/>
        <w:adjustRightInd w:val="0"/>
        <w:rPr>
          <w:rFonts w:ascii="Symbol" w:hAnsi="Symbol" w:cs="Symbol"/>
          <w:color w:val="000000"/>
          <w:sz w:val="24"/>
          <w:szCs w:val="24"/>
          <w:lang w:val="es-CR"/>
        </w:rPr>
      </w:pPr>
    </w:p>
    <w:p w14:paraId="0AF5E553" w14:textId="77777777" w:rsidR="00E31ED1" w:rsidRPr="0030399E" w:rsidRDefault="00E31ED1" w:rsidP="00E31ED1">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36558C58" w14:textId="77777777" w:rsidR="00E31ED1" w:rsidRPr="0063507E" w:rsidRDefault="00E31ED1" w:rsidP="00382A8D">
      <w:pPr>
        <w:autoSpaceDE w:val="0"/>
        <w:autoSpaceDN w:val="0"/>
        <w:adjustRightInd w:val="0"/>
        <w:rPr>
          <w:rFonts w:ascii="Symbol" w:hAnsi="Symbol" w:cs="Symbol"/>
          <w:color w:val="000000"/>
          <w:sz w:val="24"/>
          <w:szCs w:val="24"/>
          <w:lang w:val="es-CR"/>
        </w:rPr>
      </w:pPr>
    </w:p>
    <w:p w14:paraId="7674F960" w14:textId="754DDBF5" w:rsidR="00382A8D" w:rsidRPr="009E7101" w:rsidRDefault="009E7101" w:rsidP="009E7101">
      <w:pPr>
        <w:autoSpaceDE w:val="0"/>
        <w:autoSpaceDN w:val="0"/>
        <w:adjustRightInd w:val="0"/>
        <w:spacing w:after="35"/>
        <w:ind w:left="1134" w:hanging="1134"/>
        <w:jc w:val="both"/>
        <w:rPr>
          <w:rFonts w:ascii="Arial" w:hAnsi="Arial"/>
          <w:color w:val="000000"/>
          <w:sz w:val="22"/>
          <w:szCs w:val="22"/>
          <w:lang w:val="es-CR"/>
        </w:rPr>
      </w:pPr>
      <w:r>
        <w:rPr>
          <w:rFonts w:ascii="Arial" w:hAnsi="Arial"/>
          <w:color w:val="000000"/>
          <w:sz w:val="22"/>
          <w:szCs w:val="22"/>
          <w:lang w:val="es-CR"/>
        </w:rPr>
        <w:t>5.14.0.01</w:t>
      </w:r>
      <w:r>
        <w:rPr>
          <w:rFonts w:ascii="Arial" w:hAnsi="Arial"/>
          <w:color w:val="000000"/>
          <w:sz w:val="22"/>
          <w:szCs w:val="22"/>
          <w:lang w:val="es-CR"/>
        </w:rPr>
        <w:tab/>
      </w:r>
      <w:r w:rsidR="00382A8D" w:rsidRPr="009E7101">
        <w:rPr>
          <w:rFonts w:ascii="Arial" w:hAnsi="Arial"/>
          <w:color w:val="000000"/>
          <w:sz w:val="22"/>
          <w:szCs w:val="22"/>
          <w:lang w:val="es-CR"/>
        </w:rPr>
        <w:t xml:space="preserve">En la Municipalidad de </w:t>
      </w:r>
      <w:r w:rsidR="008C25B1">
        <w:rPr>
          <w:rFonts w:ascii="Arial" w:hAnsi="Arial"/>
          <w:color w:val="000000"/>
          <w:sz w:val="22"/>
          <w:szCs w:val="22"/>
          <w:lang w:val="es-CR"/>
        </w:rPr>
        <w:t>Buenos Aires</w:t>
      </w:r>
      <w:r w:rsidR="00382A8D" w:rsidRPr="009E7101">
        <w:rPr>
          <w:rFonts w:ascii="Arial" w:hAnsi="Arial"/>
          <w:color w:val="000000"/>
          <w:sz w:val="22"/>
          <w:szCs w:val="22"/>
          <w:lang w:val="es-CR"/>
        </w:rPr>
        <w:t xml:space="preserve"> se generará el gasto por concepto de preaviso cuando se tenga total seguridad del fin de la relación laboral por cualquiera de las causas establecidas legalmente; </w:t>
      </w:r>
    </w:p>
    <w:p w14:paraId="1DFD39C8" w14:textId="77777777" w:rsidR="009E7101" w:rsidRDefault="009E7101" w:rsidP="00382A8D">
      <w:pPr>
        <w:autoSpaceDE w:val="0"/>
        <w:autoSpaceDN w:val="0"/>
        <w:adjustRightInd w:val="0"/>
        <w:spacing w:after="35"/>
        <w:rPr>
          <w:rFonts w:ascii="Arial" w:hAnsi="Arial"/>
          <w:color w:val="000000"/>
          <w:sz w:val="22"/>
          <w:szCs w:val="22"/>
          <w:lang w:val="es-CR"/>
        </w:rPr>
      </w:pPr>
    </w:p>
    <w:p w14:paraId="32CC6832" w14:textId="771C4F97" w:rsidR="00382A8D" w:rsidRPr="009E7101" w:rsidRDefault="00ED618F" w:rsidP="00ED618F">
      <w:pPr>
        <w:autoSpaceDE w:val="0"/>
        <w:autoSpaceDN w:val="0"/>
        <w:adjustRightInd w:val="0"/>
        <w:spacing w:after="35"/>
        <w:ind w:left="1134" w:hanging="1134"/>
        <w:jc w:val="both"/>
        <w:rPr>
          <w:rFonts w:ascii="Arial" w:hAnsi="Arial"/>
          <w:color w:val="000000"/>
          <w:sz w:val="22"/>
          <w:szCs w:val="22"/>
          <w:lang w:val="es-CR"/>
        </w:rPr>
      </w:pPr>
      <w:r>
        <w:rPr>
          <w:rFonts w:ascii="Arial" w:hAnsi="Arial"/>
          <w:color w:val="000000"/>
          <w:sz w:val="22"/>
          <w:szCs w:val="22"/>
          <w:lang w:val="es-CR"/>
        </w:rPr>
        <w:t>5.14.0.02</w:t>
      </w:r>
      <w:r>
        <w:rPr>
          <w:rFonts w:ascii="Arial" w:hAnsi="Arial"/>
          <w:color w:val="000000"/>
          <w:sz w:val="22"/>
          <w:szCs w:val="22"/>
          <w:lang w:val="es-CR"/>
        </w:rPr>
        <w:tab/>
      </w:r>
      <w:r w:rsidR="00382A8D" w:rsidRPr="009E7101">
        <w:rPr>
          <w:rFonts w:ascii="Arial" w:hAnsi="Arial"/>
          <w:color w:val="000000"/>
          <w:sz w:val="22"/>
          <w:szCs w:val="22"/>
          <w:lang w:val="es-CR"/>
        </w:rPr>
        <w:t xml:space="preserve">La </w:t>
      </w:r>
      <w:r w:rsidR="000F29DC">
        <w:rPr>
          <w:rFonts w:ascii="Arial" w:hAnsi="Arial"/>
          <w:color w:val="000000"/>
          <w:sz w:val="22"/>
          <w:szCs w:val="22"/>
          <w:lang w:val="es-CR"/>
        </w:rPr>
        <w:t>MBA</w:t>
      </w:r>
      <w:r w:rsidR="00382A8D" w:rsidRPr="009E7101">
        <w:rPr>
          <w:rFonts w:ascii="Arial" w:hAnsi="Arial"/>
          <w:color w:val="000000"/>
          <w:sz w:val="22"/>
          <w:szCs w:val="22"/>
          <w:lang w:val="es-CR"/>
        </w:rPr>
        <w:t xml:space="preserve"> otorgará el preaviso mediante el otorgamiento del tiempo o cancelándolo de manera monetaria, cuando se rompe la relación laboral.</w:t>
      </w:r>
    </w:p>
    <w:p w14:paraId="3FAC9E47" w14:textId="77777777" w:rsidR="00ED618F" w:rsidRDefault="00ED618F" w:rsidP="00382A8D">
      <w:pPr>
        <w:autoSpaceDE w:val="0"/>
        <w:autoSpaceDN w:val="0"/>
        <w:adjustRightInd w:val="0"/>
        <w:rPr>
          <w:rFonts w:ascii="Arial" w:hAnsi="Arial"/>
          <w:color w:val="000000"/>
          <w:sz w:val="22"/>
          <w:szCs w:val="22"/>
          <w:lang w:val="es-CR"/>
        </w:rPr>
      </w:pPr>
    </w:p>
    <w:p w14:paraId="279B1D73" w14:textId="1DFE59CA" w:rsidR="00382A8D" w:rsidRDefault="00ED618F" w:rsidP="00ED618F">
      <w:pPr>
        <w:autoSpaceDE w:val="0"/>
        <w:autoSpaceDN w:val="0"/>
        <w:adjustRightInd w:val="0"/>
        <w:ind w:left="1134" w:hanging="1134"/>
        <w:jc w:val="both"/>
        <w:rPr>
          <w:rFonts w:ascii="Arial" w:hAnsi="Arial"/>
          <w:color w:val="000000"/>
          <w:sz w:val="22"/>
          <w:szCs w:val="22"/>
          <w:lang w:val="es-CR"/>
        </w:rPr>
      </w:pPr>
      <w:r>
        <w:rPr>
          <w:rFonts w:ascii="Arial" w:hAnsi="Arial"/>
          <w:color w:val="000000"/>
          <w:sz w:val="22"/>
          <w:szCs w:val="22"/>
          <w:lang w:val="es-CR"/>
        </w:rPr>
        <w:t>5.14.0.03</w:t>
      </w:r>
      <w:r>
        <w:rPr>
          <w:rFonts w:ascii="Arial" w:hAnsi="Arial"/>
          <w:color w:val="000000"/>
          <w:sz w:val="22"/>
          <w:szCs w:val="22"/>
          <w:lang w:val="es-CR"/>
        </w:rPr>
        <w:tab/>
      </w:r>
      <w:r w:rsidR="00382A8D" w:rsidRPr="009E7101">
        <w:rPr>
          <w:rFonts w:ascii="Arial" w:hAnsi="Arial"/>
          <w:color w:val="000000"/>
          <w:sz w:val="22"/>
          <w:szCs w:val="22"/>
          <w:lang w:val="es-CR"/>
        </w:rPr>
        <w:t xml:space="preserve">Cuando se presente un litigio el preaviso se puede provisionar de acuerdo a la Norma 19 Provisiones, Pasivos Contingentes y Activos Contingentes, párrafo 81, 83, 84, 85, 87 y 93. </w:t>
      </w:r>
    </w:p>
    <w:p w14:paraId="6FA6F767" w14:textId="77777777" w:rsidR="008C25B1" w:rsidRDefault="008C25B1" w:rsidP="00ED618F">
      <w:pPr>
        <w:autoSpaceDE w:val="0"/>
        <w:autoSpaceDN w:val="0"/>
        <w:adjustRightInd w:val="0"/>
        <w:ind w:left="1134" w:hanging="1134"/>
        <w:jc w:val="both"/>
        <w:rPr>
          <w:rFonts w:ascii="Arial" w:hAnsi="Arial"/>
          <w:color w:val="000000"/>
          <w:sz w:val="22"/>
          <w:szCs w:val="22"/>
          <w:lang w:val="es-CR"/>
        </w:rPr>
      </w:pPr>
    </w:p>
    <w:p w14:paraId="03AE14F3" w14:textId="77777777" w:rsidR="008C25B1" w:rsidRDefault="008C25B1" w:rsidP="00ED618F">
      <w:pPr>
        <w:autoSpaceDE w:val="0"/>
        <w:autoSpaceDN w:val="0"/>
        <w:adjustRightInd w:val="0"/>
        <w:ind w:left="1134" w:hanging="1134"/>
        <w:jc w:val="both"/>
        <w:rPr>
          <w:rFonts w:ascii="Arial" w:hAnsi="Arial"/>
          <w:color w:val="000000"/>
          <w:sz w:val="22"/>
          <w:szCs w:val="22"/>
          <w:lang w:val="es-CR"/>
        </w:rPr>
      </w:pPr>
    </w:p>
    <w:p w14:paraId="5AA81BA5" w14:textId="250722F4" w:rsidR="008C25B1" w:rsidRPr="009E7101" w:rsidRDefault="008C25B1" w:rsidP="008C25B1">
      <w:pPr>
        <w:pStyle w:val="Ttulo2"/>
        <w:ind w:left="284"/>
        <w:rPr>
          <w:rFonts w:ascii="Arial" w:eastAsia="Arial" w:hAnsi="Arial" w:cs="Arial"/>
          <w:b/>
          <w:bCs/>
          <w:sz w:val="20"/>
          <w:szCs w:val="20"/>
          <w:lang w:val="es-CR"/>
        </w:rPr>
      </w:pPr>
      <w:bookmarkStart w:id="153" w:name="_Toc172726288"/>
      <w:r>
        <w:rPr>
          <w:rFonts w:ascii="Arial" w:eastAsia="Arial" w:hAnsi="Arial" w:cs="Arial"/>
          <w:b/>
          <w:bCs/>
          <w:sz w:val="20"/>
          <w:szCs w:val="20"/>
          <w:lang w:val="es-CR"/>
        </w:rPr>
        <w:lastRenderedPageBreak/>
        <w:t>Información a revelar Beneficios a Empleados</w:t>
      </w:r>
      <w:r w:rsidRPr="009E7101">
        <w:rPr>
          <w:rFonts w:ascii="Arial" w:eastAsia="Arial" w:hAnsi="Arial" w:cs="Arial"/>
          <w:b/>
          <w:bCs/>
          <w:sz w:val="20"/>
          <w:szCs w:val="20"/>
          <w:lang w:val="es-CR"/>
        </w:rPr>
        <w:t>.</w:t>
      </w:r>
      <w:bookmarkEnd w:id="153"/>
    </w:p>
    <w:p w14:paraId="6DDE791E" w14:textId="77777777" w:rsidR="00026A6E" w:rsidRDefault="00026A6E" w:rsidP="00924EC2">
      <w:pPr>
        <w:pStyle w:val="Default"/>
        <w:jc w:val="both"/>
        <w:rPr>
          <w:b/>
          <w:bCs/>
          <w:sz w:val="22"/>
          <w:szCs w:val="22"/>
          <w:lang w:val="es-CR"/>
        </w:rPr>
      </w:pPr>
    </w:p>
    <w:p w14:paraId="2F388F0C" w14:textId="77777777" w:rsidR="00E31ED1" w:rsidRPr="00924EC2" w:rsidRDefault="00E31ED1" w:rsidP="00924EC2">
      <w:pPr>
        <w:pStyle w:val="Default"/>
        <w:jc w:val="both"/>
        <w:rPr>
          <w:b/>
          <w:bCs/>
          <w:sz w:val="22"/>
          <w:szCs w:val="22"/>
          <w:lang w:val="es-CR"/>
        </w:rPr>
      </w:pPr>
    </w:p>
    <w:tbl>
      <w:tblPr>
        <w:tblW w:w="9231" w:type="dxa"/>
        <w:tblInd w:w="118" w:type="dxa"/>
        <w:tblLook w:val="04A0" w:firstRow="1" w:lastRow="0" w:firstColumn="1" w:lastColumn="0" w:noHBand="0" w:noVBand="1"/>
      </w:tblPr>
      <w:tblGrid>
        <w:gridCol w:w="526"/>
        <w:gridCol w:w="748"/>
        <w:gridCol w:w="502"/>
        <w:gridCol w:w="3483"/>
        <w:gridCol w:w="2103"/>
        <w:gridCol w:w="1862"/>
        <w:gridCol w:w="7"/>
      </w:tblGrid>
      <w:tr w:rsidR="001E0804" w:rsidRPr="001E0804" w14:paraId="20F231F7" w14:textId="77777777" w:rsidTr="00E31ED1">
        <w:trPr>
          <w:trHeight w:val="320"/>
        </w:trPr>
        <w:tc>
          <w:tcPr>
            <w:tcW w:w="1776"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4DFB8DD" w14:textId="77777777" w:rsidR="001E0804" w:rsidRPr="001E0804" w:rsidRDefault="001E0804" w:rsidP="001E0804">
            <w:pPr>
              <w:jc w:val="center"/>
              <w:rPr>
                <w:rFonts w:ascii="Arial Narrow" w:eastAsia="Times New Roman" w:hAnsi="Arial Narrow" w:cs="Calibri"/>
                <w:b/>
                <w:bCs/>
                <w:color w:val="FFFFFF"/>
                <w:sz w:val="22"/>
                <w:szCs w:val="22"/>
              </w:rPr>
            </w:pPr>
            <w:r w:rsidRPr="001E0804">
              <w:rPr>
                <w:rFonts w:ascii="Arial Narrow" w:eastAsia="Times New Roman" w:hAnsi="Arial Narrow" w:cs="Calibri"/>
                <w:b/>
                <w:bCs/>
                <w:color w:val="FFFFFF"/>
                <w:sz w:val="22"/>
                <w:szCs w:val="22"/>
              </w:rPr>
              <w:t>Norma / Política</w:t>
            </w:r>
          </w:p>
        </w:tc>
        <w:tc>
          <w:tcPr>
            <w:tcW w:w="3483" w:type="dxa"/>
            <w:vMerge w:val="restart"/>
            <w:tcBorders>
              <w:top w:val="single" w:sz="8" w:space="0" w:color="auto"/>
              <w:left w:val="single" w:sz="8" w:space="0" w:color="auto"/>
              <w:bottom w:val="nil"/>
              <w:right w:val="single" w:sz="8" w:space="0" w:color="auto"/>
            </w:tcBorders>
            <w:shd w:val="clear" w:color="000000" w:fill="203764"/>
            <w:vAlign w:val="center"/>
            <w:hideMark/>
          </w:tcPr>
          <w:p w14:paraId="35C3C530" w14:textId="56AB30BC" w:rsidR="001E0804" w:rsidRPr="001E0804" w:rsidRDefault="001E0804" w:rsidP="001E0804">
            <w:pPr>
              <w:jc w:val="center"/>
              <w:rPr>
                <w:rFonts w:ascii="Arial Narrow" w:eastAsia="Times New Roman" w:hAnsi="Arial Narrow" w:cs="Calibri"/>
                <w:b/>
                <w:bCs/>
                <w:color w:val="FFFFFF"/>
                <w:sz w:val="22"/>
                <w:szCs w:val="22"/>
              </w:rPr>
            </w:pPr>
            <w:r w:rsidRPr="001E0804">
              <w:rPr>
                <w:rFonts w:ascii="Arial Narrow" w:eastAsia="Times New Roman" w:hAnsi="Arial Narrow" w:cs="Calibri"/>
                <w:b/>
                <w:bCs/>
                <w:color w:val="FFFFFF"/>
                <w:sz w:val="22"/>
                <w:szCs w:val="22"/>
              </w:rPr>
              <w:t>Concepto</w:t>
            </w:r>
          </w:p>
        </w:tc>
        <w:tc>
          <w:tcPr>
            <w:tcW w:w="3972" w:type="dxa"/>
            <w:gridSpan w:val="3"/>
            <w:tcBorders>
              <w:top w:val="single" w:sz="8" w:space="0" w:color="auto"/>
              <w:left w:val="nil"/>
              <w:bottom w:val="single" w:sz="8" w:space="0" w:color="auto"/>
              <w:right w:val="single" w:sz="8" w:space="0" w:color="000000"/>
            </w:tcBorders>
            <w:shd w:val="clear" w:color="000000" w:fill="203764"/>
            <w:vAlign w:val="center"/>
            <w:hideMark/>
          </w:tcPr>
          <w:p w14:paraId="3270802E" w14:textId="77777777" w:rsidR="001E0804" w:rsidRPr="001E0804" w:rsidRDefault="001E0804" w:rsidP="001E0804">
            <w:pPr>
              <w:jc w:val="center"/>
              <w:rPr>
                <w:rFonts w:ascii="Arial Narrow" w:eastAsia="Times New Roman" w:hAnsi="Arial Narrow" w:cs="Calibri"/>
                <w:b/>
                <w:bCs/>
                <w:color w:val="FFFFFF"/>
                <w:sz w:val="22"/>
                <w:szCs w:val="22"/>
              </w:rPr>
            </w:pPr>
            <w:r w:rsidRPr="001E0804">
              <w:rPr>
                <w:rFonts w:ascii="Arial Narrow" w:eastAsia="Times New Roman" w:hAnsi="Arial Narrow" w:cs="Calibri"/>
                <w:b/>
                <w:bCs/>
                <w:color w:val="FFFFFF"/>
                <w:sz w:val="22"/>
                <w:szCs w:val="22"/>
              </w:rPr>
              <w:t>Referencia</w:t>
            </w:r>
          </w:p>
        </w:tc>
      </w:tr>
      <w:tr w:rsidR="001E0804" w:rsidRPr="006E5442" w14:paraId="11498143" w14:textId="77777777" w:rsidTr="00E31ED1">
        <w:trPr>
          <w:gridAfter w:val="1"/>
          <w:wAfter w:w="7" w:type="dxa"/>
          <w:trHeight w:val="940"/>
        </w:trPr>
        <w:tc>
          <w:tcPr>
            <w:tcW w:w="1776" w:type="dxa"/>
            <w:gridSpan w:val="3"/>
            <w:vMerge/>
            <w:tcBorders>
              <w:top w:val="single" w:sz="8" w:space="0" w:color="auto"/>
              <w:left w:val="single" w:sz="8" w:space="0" w:color="auto"/>
              <w:bottom w:val="nil"/>
              <w:right w:val="single" w:sz="8" w:space="0" w:color="000000"/>
            </w:tcBorders>
            <w:vAlign w:val="center"/>
            <w:hideMark/>
          </w:tcPr>
          <w:p w14:paraId="06738EA0" w14:textId="77777777" w:rsidR="001E0804" w:rsidRPr="001E0804" w:rsidRDefault="001E0804" w:rsidP="001E0804">
            <w:pPr>
              <w:rPr>
                <w:rFonts w:ascii="Arial Narrow" w:eastAsia="Times New Roman" w:hAnsi="Arial Narrow" w:cs="Calibri"/>
                <w:b/>
                <w:bCs/>
                <w:color w:val="FFFFFF"/>
                <w:sz w:val="22"/>
                <w:szCs w:val="22"/>
              </w:rPr>
            </w:pPr>
          </w:p>
        </w:tc>
        <w:tc>
          <w:tcPr>
            <w:tcW w:w="3483" w:type="dxa"/>
            <w:vMerge/>
            <w:tcBorders>
              <w:top w:val="single" w:sz="8" w:space="0" w:color="auto"/>
              <w:left w:val="single" w:sz="8" w:space="0" w:color="auto"/>
              <w:bottom w:val="nil"/>
              <w:right w:val="single" w:sz="8" w:space="0" w:color="auto"/>
            </w:tcBorders>
            <w:vAlign w:val="center"/>
            <w:hideMark/>
          </w:tcPr>
          <w:p w14:paraId="1A3344F4" w14:textId="77777777" w:rsidR="001E0804" w:rsidRPr="001E0804" w:rsidRDefault="001E0804" w:rsidP="001E0804">
            <w:pPr>
              <w:rPr>
                <w:rFonts w:ascii="Arial Narrow" w:eastAsia="Times New Roman" w:hAnsi="Arial Narrow" w:cs="Calibri"/>
                <w:b/>
                <w:bCs/>
                <w:color w:val="FFFFFF"/>
                <w:sz w:val="22"/>
                <w:szCs w:val="22"/>
              </w:rPr>
            </w:pPr>
          </w:p>
        </w:tc>
        <w:tc>
          <w:tcPr>
            <w:tcW w:w="2103" w:type="dxa"/>
            <w:tcBorders>
              <w:top w:val="nil"/>
              <w:left w:val="nil"/>
              <w:bottom w:val="nil"/>
              <w:right w:val="single" w:sz="8" w:space="0" w:color="auto"/>
            </w:tcBorders>
            <w:shd w:val="clear" w:color="000000" w:fill="203764"/>
            <w:vAlign w:val="center"/>
            <w:hideMark/>
          </w:tcPr>
          <w:p w14:paraId="3BE8FA4A" w14:textId="77777777" w:rsidR="001E0804" w:rsidRPr="001E0804" w:rsidRDefault="001E0804" w:rsidP="001E0804">
            <w:pPr>
              <w:jc w:val="center"/>
              <w:rPr>
                <w:rFonts w:ascii="Arial Narrow" w:eastAsia="Times New Roman" w:hAnsi="Arial Narrow" w:cs="Calibri"/>
                <w:b/>
                <w:bCs/>
                <w:color w:val="FFFFFF"/>
                <w:sz w:val="22"/>
                <w:szCs w:val="22"/>
              </w:rPr>
            </w:pPr>
            <w:r w:rsidRPr="001E0804">
              <w:rPr>
                <w:rFonts w:ascii="Arial Narrow" w:eastAsia="Times New Roman" w:hAnsi="Arial Narrow" w:cs="Calibri"/>
                <w:b/>
                <w:bCs/>
                <w:color w:val="FFFFFF"/>
                <w:sz w:val="22"/>
                <w:szCs w:val="22"/>
              </w:rPr>
              <w:t>Norma</w:t>
            </w:r>
          </w:p>
        </w:tc>
        <w:tc>
          <w:tcPr>
            <w:tcW w:w="1862" w:type="dxa"/>
            <w:tcBorders>
              <w:top w:val="nil"/>
              <w:left w:val="nil"/>
              <w:bottom w:val="nil"/>
              <w:right w:val="single" w:sz="8" w:space="0" w:color="auto"/>
            </w:tcBorders>
            <w:shd w:val="clear" w:color="000000" w:fill="203764"/>
            <w:vAlign w:val="center"/>
            <w:hideMark/>
          </w:tcPr>
          <w:p w14:paraId="73D6C4D1" w14:textId="77777777" w:rsidR="001E0804" w:rsidRPr="001E0804" w:rsidRDefault="001E0804" w:rsidP="001E0804">
            <w:pPr>
              <w:jc w:val="center"/>
              <w:rPr>
                <w:rFonts w:ascii="Arial Narrow" w:eastAsia="Times New Roman" w:hAnsi="Arial Narrow" w:cs="Calibri"/>
                <w:b/>
                <w:bCs/>
                <w:color w:val="FFFFFF"/>
                <w:sz w:val="22"/>
                <w:szCs w:val="22"/>
                <w:lang w:val="es-CR"/>
              </w:rPr>
            </w:pPr>
            <w:r w:rsidRPr="001E0804">
              <w:rPr>
                <w:rFonts w:ascii="Arial Narrow" w:eastAsia="Times New Roman" w:hAnsi="Arial Narrow" w:cs="Calibri"/>
                <w:b/>
                <w:bCs/>
                <w:color w:val="FFFFFF"/>
                <w:sz w:val="22"/>
                <w:szCs w:val="22"/>
                <w:lang w:val="es-CR"/>
              </w:rPr>
              <w:t>Normativa técnica y disposiciones adicionales</w:t>
            </w:r>
          </w:p>
        </w:tc>
      </w:tr>
      <w:tr w:rsidR="001E0804" w:rsidRPr="001E0804" w14:paraId="360AF56C" w14:textId="77777777" w:rsidTr="00E31ED1">
        <w:trPr>
          <w:gridAfter w:val="1"/>
          <w:wAfter w:w="7" w:type="dxa"/>
          <w:trHeight w:val="940"/>
        </w:trPr>
        <w:tc>
          <w:tcPr>
            <w:tcW w:w="5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F09A37" w14:textId="77777777" w:rsidR="001E0804" w:rsidRPr="001E0804" w:rsidRDefault="001E0804" w:rsidP="00E31ED1">
            <w:pPr>
              <w:jc w:val="center"/>
              <w:rPr>
                <w:rFonts w:ascii="Arial Narrow" w:eastAsia="Times New Roman" w:hAnsi="Arial Narrow"/>
                <w:b/>
                <w:bCs/>
                <w:color w:val="000000"/>
                <w:sz w:val="22"/>
                <w:szCs w:val="22"/>
              </w:rPr>
            </w:pPr>
            <w:r w:rsidRPr="001E0804">
              <w:rPr>
                <w:rFonts w:ascii="Arial Narrow" w:eastAsia="Times New Roman" w:hAnsi="Arial Narrow"/>
                <w:b/>
                <w:bCs/>
                <w:color w:val="000000"/>
                <w:sz w:val="22"/>
                <w:szCs w:val="22"/>
              </w:rPr>
              <w:t>5</w:t>
            </w:r>
          </w:p>
        </w:tc>
        <w:tc>
          <w:tcPr>
            <w:tcW w:w="748" w:type="dxa"/>
            <w:tcBorders>
              <w:top w:val="single" w:sz="8" w:space="0" w:color="auto"/>
              <w:left w:val="nil"/>
              <w:bottom w:val="single" w:sz="8" w:space="0" w:color="auto"/>
              <w:right w:val="single" w:sz="8" w:space="0" w:color="auto"/>
            </w:tcBorders>
            <w:shd w:val="clear" w:color="auto" w:fill="auto"/>
            <w:vAlign w:val="center"/>
            <w:hideMark/>
          </w:tcPr>
          <w:p w14:paraId="685916A1" w14:textId="77777777" w:rsidR="001E0804" w:rsidRPr="001E0804" w:rsidRDefault="001E0804" w:rsidP="00E31ED1">
            <w:pPr>
              <w:jc w:val="center"/>
              <w:rPr>
                <w:rFonts w:ascii="Arial Narrow" w:eastAsia="Times New Roman" w:hAnsi="Arial Narrow"/>
                <w:b/>
                <w:bCs/>
                <w:color w:val="000000"/>
                <w:sz w:val="22"/>
                <w:szCs w:val="22"/>
              </w:rPr>
            </w:pPr>
            <w:r w:rsidRPr="001E0804">
              <w:rPr>
                <w:rFonts w:ascii="Arial Narrow" w:eastAsia="Times New Roman" w:hAnsi="Arial Narrow"/>
                <w:b/>
                <w:bCs/>
                <w:color w:val="000000"/>
                <w:sz w:val="22"/>
                <w:szCs w:val="22"/>
              </w:rPr>
              <w:t>16</w:t>
            </w:r>
          </w:p>
        </w:tc>
        <w:tc>
          <w:tcPr>
            <w:tcW w:w="502" w:type="dxa"/>
            <w:tcBorders>
              <w:top w:val="single" w:sz="8" w:space="0" w:color="auto"/>
              <w:left w:val="nil"/>
              <w:bottom w:val="single" w:sz="8" w:space="0" w:color="auto"/>
              <w:right w:val="single" w:sz="8" w:space="0" w:color="auto"/>
            </w:tcBorders>
            <w:shd w:val="clear" w:color="auto" w:fill="auto"/>
            <w:vAlign w:val="center"/>
            <w:hideMark/>
          </w:tcPr>
          <w:p w14:paraId="3CC618D9" w14:textId="77777777" w:rsidR="001E0804" w:rsidRPr="001E0804" w:rsidRDefault="001E0804" w:rsidP="001E0804">
            <w:pPr>
              <w:jc w:val="center"/>
              <w:rPr>
                <w:rFonts w:ascii="Arial Narrow" w:eastAsia="Times New Roman" w:hAnsi="Arial Narrow" w:cs="Calibri"/>
                <w:b/>
                <w:bCs/>
                <w:color w:val="000000"/>
                <w:sz w:val="22"/>
                <w:szCs w:val="22"/>
              </w:rPr>
            </w:pPr>
            <w:r w:rsidRPr="001E0804">
              <w:rPr>
                <w:rFonts w:ascii="Arial Narrow" w:eastAsia="Times New Roman" w:hAnsi="Arial Narrow" w:cs="Calibri"/>
                <w:b/>
                <w:bCs/>
                <w:color w:val="000000"/>
                <w:sz w:val="22"/>
                <w:szCs w:val="22"/>
              </w:rPr>
              <w:t xml:space="preserve"> </w:t>
            </w:r>
          </w:p>
        </w:tc>
        <w:tc>
          <w:tcPr>
            <w:tcW w:w="3483" w:type="dxa"/>
            <w:tcBorders>
              <w:top w:val="single" w:sz="8" w:space="0" w:color="auto"/>
              <w:left w:val="nil"/>
              <w:bottom w:val="single" w:sz="8" w:space="0" w:color="auto"/>
              <w:right w:val="single" w:sz="8" w:space="0" w:color="auto"/>
            </w:tcBorders>
            <w:shd w:val="clear" w:color="auto" w:fill="auto"/>
            <w:vAlign w:val="center"/>
            <w:hideMark/>
          </w:tcPr>
          <w:p w14:paraId="16B40810" w14:textId="77777777" w:rsidR="001E0804" w:rsidRPr="001E0804" w:rsidRDefault="001E0804" w:rsidP="001E0804">
            <w:pPr>
              <w:rPr>
                <w:rFonts w:ascii="Arial Narrow" w:eastAsia="Times New Roman" w:hAnsi="Arial Narrow"/>
                <w:b/>
                <w:bCs/>
                <w:color w:val="000000"/>
                <w:sz w:val="22"/>
                <w:szCs w:val="22"/>
                <w:lang w:val="es-CR"/>
              </w:rPr>
            </w:pPr>
            <w:r w:rsidRPr="001E0804">
              <w:rPr>
                <w:rFonts w:ascii="Arial Narrow" w:eastAsia="Times New Roman" w:hAnsi="Arial Narrow"/>
                <w:b/>
                <w:bCs/>
                <w:color w:val="000000"/>
                <w:sz w:val="22"/>
                <w:szCs w:val="22"/>
                <w:lang w:val="es-CR"/>
              </w:rPr>
              <w:t>Información a revelar sobre beneficios a los empleados</w:t>
            </w:r>
          </w:p>
        </w:tc>
        <w:tc>
          <w:tcPr>
            <w:tcW w:w="2103" w:type="dxa"/>
            <w:tcBorders>
              <w:top w:val="single" w:sz="8" w:space="0" w:color="auto"/>
              <w:left w:val="nil"/>
              <w:bottom w:val="single" w:sz="8" w:space="0" w:color="auto"/>
              <w:right w:val="single" w:sz="8" w:space="0" w:color="auto"/>
            </w:tcBorders>
            <w:shd w:val="clear" w:color="auto" w:fill="auto"/>
            <w:vAlign w:val="center"/>
            <w:hideMark/>
          </w:tcPr>
          <w:p w14:paraId="13A60F61" w14:textId="4B035BF3" w:rsidR="001E0804" w:rsidRPr="001E0804" w:rsidRDefault="001E0804" w:rsidP="001E0804">
            <w:pPr>
              <w:rPr>
                <w:rFonts w:ascii="Arial Narrow" w:eastAsia="Times New Roman" w:hAnsi="Arial Narrow" w:cs="Calibri"/>
                <w:b/>
                <w:bCs/>
                <w:color w:val="000000"/>
                <w:sz w:val="22"/>
                <w:szCs w:val="22"/>
                <w:lang w:val="es-CR"/>
              </w:rPr>
            </w:pPr>
            <w:r w:rsidRPr="001E0804">
              <w:rPr>
                <w:rFonts w:ascii="Arial Narrow" w:eastAsia="Times New Roman" w:hAnsi="Arial Narrow" w:cs="Calibri"/>
                <w:b/>
                <w:bCs/>
                <w:color w:val="000000"/>
                <w:sz w:val="22"/>
                <w:szCs w:val="22"/>
                <w:lang w:val="es-CR"/>
              </w:rPr>
              <w:t>NICSP N° 39</w:t>
            </w:r>
            <w:r w:rsidRPr="001E0804">
              <w:rPr>
                <w:rFonts w:ascii="Arial Narrow" w:eastAsia="Times New Roman" w:hAnsi="Arial Narrow" w:cs="Calibri"/>
                <w:b/>
                <w:bCs/>
                <w:color w:val="000000"/>
                <w:sz w:val="22"/>
                <w:szCs w:val="22"/>
                <w:lang w:val="es-CR"/>
              </w:rPr>
              <w:br/>
              <w:t>Párrafos 25, 55,56, 137 a 141, 154 y 161</w:t>
            </w:r>
          </w:p>
        </w:tc>
        <w:tc>
          <w:tcPr>
            <w:tcW w:w="1862" w:type="dxa"/>
            <w:tcBorders>
              <w:top w:val="single" w:sz="8" w:space="0" w:color="auto"/>
              <w:left w:val="nil"/>
              <w:bottom w:val="single" w:sz="8" w:space="0" w:color="auto"/>
              <w:right w:val="single" w:sz="8" w:space="0" w:color="auto"/>
            </w:tcBorders>
            <w:shd w:val="clear" w:color="auto" w:fill="auto"/>
            <w:vAlign w:val="center"/>
            <w:hideMark/>
          </w:tcPr>
          <w:p w14:paraId="64A8AD3D" w14:textId="77777777" w:rsidR="001E0804" w:rsidRPr="001E0804" w:rsidRDefault="001E0804" w:rsidP="001E0804">
            <w:pPr>
              <w:jc w:val="center"/>
              <w:rPr>
                <w:rFonts w:ascii="Arial Narrow" w:eastAsia="Times New Roman" w:hAnsi="Arial Narrow" w:cs="Calibri"/>
                <w:b/>
                <w:bCs/>
                <w:color w:val="000000"/>
                <w:sz w:val="22"/>
                <w:szCs w:val="22"/>
              </w:rPr>
            </w:pPr>
            <w:r w:rsidRPr="001E0804">
              <w:rPr>
                <w:rFonts w:ascii="Arial Narrow" w:eastAsia="Times New Roman" w:hAnsi="Arial Narrow" w:cs="Calibri"/>
                <w:b/>
                <w:bCs/>
                <w:color w:val="000000"/>
                <w:sz w:val="22"/>
                <w:szCs w:val="22"/>
              </w:rPr>
              <w:t xml:space="preserve">NICSP N° 20, </w:t>
            </w:r>
            <w:r w:rsidRPr="001E0804">
              <w:rPr>
                <w:rFonts w:ascii="Arial Narrow" w:eastAsia="Times New Roman" w:hAnsi="Arial Narrow" w:cs="Calibri"/>
                <w:b/>
                <w:bCs/>
                <w:color w:val="000000"/>
                <w:sz w:val="22"/>
                <w:szCs w:val="22"/>
              </w:rPr>
              <w:br/>
              <w:t>Párrafo 34.</w:t>
            </w:r>
          </w:p>
        </w:tc>
      </w:tr>
    </w:tbl>
    <w:p w14:paraId="0C44B017" w14:textId="77777777" w:rsidR="00026A6E" w:rsidRPr="00ED618F" w:rsidRDefault="00026A6E" w:rsidP="00B0159E">
      <w:pPr>
        <w:pStyle w:val="Ttulo4"/>
        <w:jc w:val="both"/>
        <w:rPr>
          <w:rFonts w:ascii="Arial" w:eastAsia="Calibri" w:hAnsi="Arial" w:cs="Arial"/>
          <w:i w:val="0"/>
          <w:iCs w:val="0"/>
          <w:color w:val="000000"/>
          <w:sz w:val="22"/>
          <w:szCs w:val="22"/>
          <w:lang w:val="es-CR"/>
        </w:rPr>
      </w:pPr>
    </w:p>
    <w:p w14:paraId="062F7270" w14:textId="77777777" w:rsidR="00E31ED1" w:rsidRDefault="00E31ED1" w:rsidP="00E31ED1">
      <w:pPr>
        <w:pStyle w:val="Default"/>
        <w:ind w:left="1134" w:hanging="1134"/>
        <w:jc w:val="both"/>
        <w:rPr>
          <w:rFonts w:eastAsia="Arial"/>
          <w:b/>
          <w:sz w:val="22"/>
          <w:szCs w:val="22"/>
        </w:rPr>
      </w:pPr>
      <w:r w:rsidRPr="00F02F9D">
        <w:rPr>
          <w:rFonts w:eastAsia="Arial"/>
          <w:b/>
          <w:sz w:val="22"/>
          <w:szCs w:val="22"/>
        </w:rPr>
        <w:t>Políticas Contables</w:t>
      </w:r>
    </w:p>
    <w:p w14:paraId="227BE5E6" w14:textId="77777777" w:rsidR="00E31ED1" w:rsidRDefault="00E31ED1" w:rsidP="00B0159E">
      <w:pPr>
        <w:pStyle w:val="Default"/>
        <w:ind w:left="1134" w:hanging="1134"/>
        <w:jc w:val="both"/>
        <w:rPr>
          <w:sz w:val="22"/>
          <w:szCs w:val="22"/>
          <w:lang w:val="es-CR"/>
        </w:rPr>
      </w:pPr>
    </w:p>
    <w:p w14:paraId="62448AD3" w14:textId="27D49C46" w:rsidR="001E0804" w:rsidRDefault="001E0804" w:rsidP="00B0159E">
      <w:pPr>
        <w:pStyle w:val="Default"/>
        <w:ind w:left="1134" w:hanging="1134"/>
        <w:jc w:val="both"/>
        <w:rPr>
          <w:sz w:val="22"/>
          <w:szCs w:val="22"/>
          <w:lang w:val="es-CR"/>
        </w:rPr>
      </w:pPr>
      <w:r>
        <w:rPr>
          <w:sz w:val="22"/>
          <w:szCs w:val="22"/>
          <w:lang w:val="es-CR"/>
        </w:rPr>
        <w:t>5.16.0.01</w:t>
      </w:r>
      <w:r>
        <w:rPr>
          <w:sz w:val="22"/>
          <w:szCs w:val="22"/>
          <w:lang w:val="es-CR"/>
        </w:rPr>
        <w:tab/>
      </w:r>
      <w:r w:rsidRPr="001E0804">
        <w:rPr>
          <w:sz w:val="22"/>
          <w:szCs w:val="22"/>
          <w:lang w:val="es-CR"/>
        </w:rPr>
        <w:t>En los EEFF</w:t>
      </w:r>
      <w:r w:rsidR="00B0159E">
        <w:rPr>
          <w:sz w:val="22"/>
          <w:szCs w:val="22"/>
          <w:lang w:val="es-CR"/>
        </w:rPr>
        <w:t xml:space="preserve"> de la </w:t>
      </w:r>
      <w:r w:rsidR="000F29DC">
        <w:rPr>
          <w:sz w:val="22"/>
          <w:szCs w:val="22"/>
          <w:lang w:val="es-CR"/>
        </w:rPr>
        <w:t>MBA</w:t>
      </w:r>
      <w:r w:rsidR="00B0159E">
        <w:rPr>
          <w:sz w:val="22"/>
          <w:szCs w:val="22"/>
          <w:lang w:val="es-CR"/>
        </w:rPr>
        <w:t xml:space="preserve"> se</w:t>
      </w:r>
      <w:r w:rsidRPr="001E0804">
        <w:rPr>
          <w:sz w:val="22"/>
          <w:szCs w:val="22"/>
          <w:lang w:val="es-CR"/>
        </w:rPr>
        <w:t xml:space="preserve"> deberá revelar la siguiente información:</w:t>
      </w:r>
    </w:p>
    <w:p w14:paraId="62EF8CCA" w14:textId="77777777" w:rsidR="001E0804" w:rsidRPr="001E0804" w:rsidRDefault="001E0804" w:rsidP="00B0159E">
      <w:pPr>
        <w:pStyle w:val="Default"/>
        <w:ind w:left="1134" w:hanging="1134"/>
        <w:jc w:val="both"/>
        <w:rPr>
          <w:sz w:val="22"/>
          <w:szCs w:val="22"/>
          <w:lang w:val="es-CR"/>
        </w:rPr>
      </w:pPr>
    </w:p>
    <w:p w14:paraId="7A8E9FBC" w14:textId="46030EF0" w:rsidR="001E0804" w:rsidRPr="001E0804" w:rsidRDefault="001E0804">
      <w:pPr>
        <w:pStyle w:val="Default"/>
        <w:numPr>
          <w:ilvl w:val="0"/>
          <w:numId w:val="292"/>
        </w:numPr>
        <w:spacing w:after="120"/>
        <w:ind w:left="1418" w:hanging="284"/>
        <w:jc w:val="both"/>
        <w:rPr>
          <w:sz w:val="22"/>
          <w:szCs w:val="22"/>
          <w:lang w:val="es-CR"/>
        </w:rPr>
      </w:pPr>
      <w:r>
        <w:rPr>
          <w:sz w:val="22"/>
          <w:szCs w:val="22"/>
          <w:lang w:val="es-CR"/>
        </w:rPr>
        <w:t>L</w:t>
      </w:r>
      <w:r w:rsidRPr="001E0804">
        <w:rPr>
          <w:sz w:val="22"/>
          <w:szCs w:val="22"/>
          <w:lang w:val="es-CR"/>
        </w:rPr>
        <w:t xml:space="preserve">a requerida en el Capítulo “Pasivo”, con relación a los gastos reconocidos en concepto de beneficios a los empleados; </w:t>
      </w:r>
    </w:p>
    <w:p w14:paraId="4C92DC64" w14:textId="6229D471" w:rsidR="001E0804" w:rsidRPr="001E0804" w:rsidRDefault="00B0159E">
      <w:pPr>
        <w:pStyle w:val="Default"/>
        <w:numPr>
          <w:ilvl w:val="0"/>
          <w:numId w:val="292"/>
        </w:numPr>
        <w:spacing w:after="120"/>
        <w:ind w:left="1418" w:hanging="284"/>
        <w:jc w:val="both"/>
        <w:rPr>
          <w:sz w:val="22"/>
          <w:szCs w:val="22"/>
          <w:lang w:val="es-CR"/>
        </w:rPr>
      </w:pPr>
      <w:r>
        <w:rPr>
          <w:sz w:val="22"/>
          <w:szCs w:val="22"/>
          <w:lang w:val="es-CR"/>
        </w:rPr>
        <w:t>L</w:t>
      </w:r>
      <w:r w:rsidR="001E0804" w:rsidRPr="001E0804">
        <w:rPr>
          <w:sz w:val="22"/>
          <w:szCs w:val="22"/>
          <w:lang w:val="es-CR"/>
        </w:rPr>
        <w:t xml:space="preserve">a requerida en el Capítulo “Estados Financieros Consolidados”, con relación a los gastos reconocidos vinculados con personal clave de la gerencia o dirección de la entidad; </w:t>
      </w:r>
    </w:p>
    <w:p w14:paraId="391DD427" w14:textId="5BFA78FE" w:rsidR="001E0804" w:rsidRPr="001E0804" w:rsidRDefault="00B0159E">
      <w:pPr>
        <w:pStyle w:val="Default"/>
        <w:numPr>
          <w:ilvl w:val="0"/>
          <w:numId w:val="292"/>
        </w:numPr>
        <w:ind w:left="1418" w:hanging="284"/>
        <w:jc w:val="both"/>
        <w:rPr>
          <w:sz w:val="22"/>
          <w:szCs w:val="22"/>
          <w:lang w:val="es-CR"/>
        </w:rPr>
      </w:pPr>
      <w:r>
        <w:rPr>
          <w:sz w:val="22"/>
          <w:szCs w:val="22"/>
          <w:lang w:val="es-CR"/>
        </w:rPr>
        <w:t>T</w:t>
      </w:r>
      <w:r w:rsidR="001E0804" w:rsidRPr="001E0804">
        <w:rPr>
          <w:sz w:val="22"/>
          <w:szCs w:val="22"/>
          <w:lang w:val="es-CR"/>
        </w:rPr>
        <w:t xml:space="preserve">oda otra información que oportunamente, con carácter permanente o específico para un ejercicio en particular, requiera incluir la DGCN. </w:t>
      </w:r>
    </w:p>
    <w:p w14:paraId="48609E41" w14:textId="77777777" w:rsidR="001E0804" w:rsidRDefault="001E0804" w:rsidP="001E0804">
      <w:pPr>
        <w:pStyle w:val="Default"/>
        <w:rPr>
          <w:sz w:val="23"/>
          <w:szCs w:val="23"/>
          <w:lang w:val="es-CR"/>
        </w:rPr>
      </w:pPr>
    </w:p>
    <w:p w14:paraId="12506705" w14:textId="77777777" w:rsidR="00E31ED1" w:rsidRDefault="00E31ED1" w:rsidP="001E0804">
      <w:pPr>
        <w:pStyle w:val="Default"/>
        <w:rPr>
          <w:sz w:val="23"/>
          <w:szCs w:val="23"/>
          <w:lang w:val="es-CR"/>
        </w:rPr>
      </w:pPr>
    </w:p>
    <w:p w14:paraId="05976525" w14:textId="77777777" w:rsidR="00E31ED1" w:rsidRPr="001E0804" w:rsidRDefault="00E31ED1" w:rsidP="001E0804">
      <w:pPr>
        <w:pStyle w:val="Default"/>
        <w:rPr>
          <w:sz w:val="23"/>
          <w:szCs w:val="23"/>
          <w:lang w:val="es-CR"/>
        </w:rPr>
      </w:pPr>
    </w:p>
    <w:p w14:paraId="08200B9B" w14:textId="77777777" w:rsidR="001E0804" w:rsidRDefault="001E0804" w:rsidP="001E0804">
      <w:pPr>
        <w:pStyle w:val="Default"/>
        <w:rPr>
          <w:b/>
          <w:bCs/>
          <w:sz w:val="23"/>
          <w:szCs w:val="23"/>
          <w:lang w:val="es-CR"/>
        </w:rPr>
      </w:pPr>
    </w:p>
    <w:p w14:paraId="3DA40565" w14:textId="02656D55" w:rsidR="001E0804" w:rsidRPr="008C25B1" w:rsidRDefault="001E0804" w:rsidP="008C25B1">
      <w:pPr>
        <w:pStyle w:val="Ttulo2"/>
        <w:ind w:left="284"/>
        <w:rPr>
          <w:rFonts w:ascii="Arial" w:eastAsia="Arial" w:hAnsi="Arial" w:cs="Arial"/>
          <w:b/>
          <w:bCs/>
          <w:sz w:val="22"/>
          <w:szCs w:val="22"/>
          <w:lang w:val="es-CR"/>
        </w:rPr>
      </w:pPr>
      <w:bookmarkStart w:id="154" w:name="_Toc172726289"/>
      <w:r w:rsidRPr="008C25B1">
        <w:rPr>
          <w:rFonts w:ascii="Arial" w:eastAsia="Arial" w:hAnsi="Arial" w:cs="Arial"/>
          <w:b/>
          <w:bCs/>
          <w:sz w:val="22"/>
          <w:szCs w:val="22"/>
          <w:lang w:val="es-CR"/>
        </w:rPr>
        <w:t>Gastos por venta y consumo de bienes y servicios</w:t>
      </w:r>
      <w:bookmarkEnd w:id="154"/>
      <w:r w:rsidRPr="008C25B1">
        <w:rPr>
          <w:rFonts w:ascii="Arial" w:eastAsia="Arial" w:hAnsi="Arial" w:cs="Arial"/>
          <w:b/>
          <w:bCs/>
          <w:sz w:val="22"/>
          <w:szCs w:val="22"/>
          <w:lang w:val="es-CR"/>
        </w:rPr>
        <w:t xml:space="preserve"> </w:t>
      </w:r>
    </w:p>
    <w:p w14:paraId="7B90F073" w14:textId="77777777" w:rsidR="001E0804" w:rsidRPr="001E0804" w:rsidRDefault="001E0804" w:rsidP="001E0804">
      <w:pPr>
        <w:pStyle w:val="Default"/>
        <w:jc w:val="both"/>
        <w:rPr>
          <w:b/>
          <w:bCs/>
          <w:sz w:val="23"/>
          <w:szCs w:val="23"/>
          <w:lang w:val="es-CR"/>
        </w:rPr>
      </w:pPr>
    </w:p>
    <w:p w14:paraId="7BAE91D6" w14:textId="1EBAB3D0" w:rsidR="00026A6E" w:rsidRPr="008C25B1" w:rsidRDefault="001E0804" w:rsidP="008C25B1">
      <w:pPr>
        <w:pStyle w:val="Ttulo2"/>
        <w:ind w:left="284"/>
        <w:rPr>
          <w:rFonts w:ascii="Arial" w:eastAsia="Arial" w:hAnsi="Arial" w:cs="Arial"/>
          <w:b/>
          <w:bCs/>
          <w:sz w:val="22"/>
          <w:szCs w:val="22"/>
          <w:lang w:val="es-CR"/>
        </w:rPr>
      </w:pPr>
      <w:bookmarkStart w:id="155" w:name="_Toc172726290"/>
      <w:r w:rsidRPr="008C25B1">
        <w:rPr>
          <w:rFonts w:ascii="Arial" w:eastAsia="Arial" w:hAnsi="Arial" w:cs="Arial"/>
          <w:b/>
          <w:bCs/>
          <w:sz w:val="22"/>
          <w:szCs w:val="22"/>
          <w:lang w:val="es-CR"/>
        </w:rPr>
        <w:t>Consumo de bienes y servicios</w:t>
      </w:r>
      <w:bookmarkEnd w:id="155"/>
    </w:p>
    <w:p w14:paraId="262619DB" w14:textId="77777777" w:rsidR="001E0804" w:rsidRDefault="001E0804" w:rsidP="001E0804">
      <w:pPr>
        <w:pStyle w:val="Default"/>
        <w:jc w:val="both"/>
        <w:rPr>
          <w:b/>
          <w:bCs/>
          <w:sz w:val="23"/>
          <w:szCs w:val="23"/>
          <w:lang w:val="es-CR"/>
        </w:rPr>
      </w:pPr>
    </w:p>
    <w:p w14:paraId="29C763CE" w14:textId="77777777" w:rsidR="00E31ED1" w:rsidRPr="001E0804" w:rsidRDefault="00E31ED1" w:rsidP="001E0804">
      <w:pPr>
        <w:pStyle w:val="Default"/>
        <w:jc w:val="both"/>
        <w:rPr>
          <w:b/>
          <w:bCs/>
          <w:sz w:val="23"/>
          <w:szCs w:val="23"/>
          <w:lang w:val="es-CR"/>
        </w:rPr>
      </w:pPr>
    </w:p>
    <w:tbl>
      <w:tblPr>
        <w:tblW w:w="9236" w:type="dxa"/>
        <w:tblInd w:w="118" w:type="dxa"/>
        <w:tblLook w:val="04A0" w:firstRow="1" w:lastRow="0" w:firstColumn="1" w:lastColumn="0" w:noHBand="0" w:noVBand="1"/>
      </w:tblPr>
      <w:tblGrid>
        <w:gridCol w:w="526"/>
        <w:gridCol w:w="622"/>
        <w:gridCol w:w="504"/>
        <w:gridCol w:w="3749"/>
        <w:gridCol w:w="1966"/>
        <w:gridCol w:w="1869"/>
      </w:tblGrid>
      <w:tr w:rsidR="00B0159E" w:rsidRPr="00B0159E" w14:paraId="4AB3D11A" w14:textId="77777777" w:rsidTr="00E31ED1">
        <w:trPr>
          <w:trHeight w:val="320"/>
        </w:trPr>
        <w:tc>
          <w:tcPr>
            <w:tcW w:w="1652"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BE0F74B" w14:textId="77777777" w:rsidR="00B0159E" w:rsidRPr="00B0159E" w:rsidRDefault="00B0159E" w:rsidP="00B0159E">
            <w:pPr>
              <w:jc w:val="center"/>
              <w:rPr>
                <w:rFonts w:ascii="Arial Narrow" w:eastAsia="Times New Roman" w:hAnsi="Arial Narrow" w:cs="Calibri"/>
                <w:b/>
                <w:bCs/>
                <w:color w:val="FFFFFF"/>
                <w:sz w:val="22"/>
                <w:szCs w:val="22"/>
              </w:rPr>
            </w:pPr>
            <w:r w:rsidRPr="00B0159E">
              <w:rPr>
                <w:rFonts w:ascii="Arial Narrow" w:eastAsia="Times New Roman" w:hAnsi="Arial Narrow" w:cs="Calibri"/>
                <w:b/>
                <w:bCs/>
                <w:color w:val="FFFFFF"/>
                <w:sz w:val="22"/>
                <w:szCs w:val="22"/>
              </w:rPr>
              <w:t>Norma / Política</w:t>
            </w:r>
          </w:p>
        </w:tc>
        <w:tc>
          <w:tcPr>
            <w:tcW w:w="3749" w:type="dxa"/>
            <w:vMerge w:val="restart"/>
            <w:tcBorders>
              <w:top w:val="single" w:sz="8" w:space="0" w:color="auto"/>
              <w:left w:val="single" w:sz="8" w:space="0" w:color="auto"/>
              <w:bottom w:val="nil"/>
              <w:right w:val="single" w:sz="8" w:space="0" w:color="auto"/>
            </w:tcBorders>
            <w:shd w:val="clear" w:color="000000" w:fill="203764"/>
            <w:vAlign w:val="center"/>
            <w:hideMark/>
          </w:tcPr>
          <w:p w14:paraId="007BF65B" w14:textId="6C2E7F3F" w:rsidR="00B0159E" w:rsidRPr="00B0159E" w:rsidRDefault="00B0159E" w:rsidP="00B0159E">
            <w:pPr>
              <w:jc w:val="center"/>
              <w:rPr>
                <w:rFonts w:ascii="Arial Narrow" w:eastAsia="Times New Roman" w:hAnsi="Arial Narrow" w:cs="Calibri"/>
                <w:b/>
                <w:bCs/>
                <w:color w:val="FFFFFF"/>
                <w:sz w:val="22"/>
                <w:szCs w:val="22"/>
              </w:rPr>
            </w:pPr>
            <w:r>
              <w:rPr>
                <w:rFonts w:ascii="Arial Narrow" w:eastAsia="Times New Roman" w:hAnsi="Arial Narrow" w:cs="Calibri"/>
                <w:b/>
                <w:bCs/>
                <w:color w:val="FFFFFF"/>
                <w:sz w:val="22"/>
                <w:szCs w:val="22"/>
              </w:rPr>
              <w:t>Concepto</w:t>
            </w:r>
          </w:p>
        </w:tc>
        <w:tc>
          <w:tcPr>
            <w:tcW w:w="3835" w:type="dxa"/>
            <w:gridSpan w:val="2"/>
            <w:tcBorders>
              <w:top w:val="single" w:sz="8" w:space="0" w:color="auto"/>
              <w:left w:val="nil"/>
              <w:bottom w:val="single" w:sz="8" w:space="0" w:color="auto"/>
              <w:right w:val="single" w:sz="8" w:space="0" w:color="000000"/>
            </w:tcBorders>
            <w:shd w:val="clear" w:color="000000" w:fill="203764"/>
            <w:vAlign w:val="center"/>
            <w:hideMark/>
          </w:tcPr>
          <w:p w14:paraId="2EA6A926" w14:textId="77777777" w:rsidR="00B0159E" w:rsidRPr="00B0159E" w:rsidRDefault="00B0159E" w:rsidP="00B0159E">
            <w:pPr>
              <w:jc w:val="center"/>
              <w:rPr>
                <w:rFonts w:ascii="Arial Narrow" w:eastAsia="Times New Roman" w:hAnsi="Arial Narrow" w:cs="Calibri"/>
                <w:b/>
                <w:bCs/>
                <w:color w:val="FFFFFF"/>
                <w:sz w:val="22"/>
                <w:szCs w:val="22"/>
              </w:rPr>
            </w:pPr>
            <w:r w:rsidRPr="00B0159E">
              <w:rPr>
                <w:rFonts w:ascii="Arial Narrow" w:eastAsia="Times New Roman" w:hAnsi="Arial Narrow" w:cs="Calibri"/>
                <w:b/>
                <w:bCs/>
                <w:color w:val="FFFFFF"/>
                <w:sz w:val="22"/>
                <w:szCs w:val="22"/>
              </w:rPr>
              <w:t>Referencia</w:t>
            </w:r>
          </w:p>
        </w:tc>
      </w:tr>
      <w:tr w:rsidR="00B0159E" w:rsidRPr="006E5442" w14:paraId="4ABC2D64" w14:textId="77777777" w:rsidTr="00E31ED1">
        <w:trPr>
          <w:trHeight w:val="940"/>
        </w:trPr>
        <w:tc>
          <w:tcPr>
            <w:tcW w:w="1652" w:type="dxa"/>
            <w:gridSpan w:val="3"/>
            <w:vMerge/>
            <w:tcBorders>
              <w:top w:val="single" w:sz="8" w:space="0" w:color="auto"/>
              <w:left w:val="single" w:sz="8" w:space="0" w:color="auto"/>
              <w:bottom w:val="nil"/>
              <w:right w:val="single" w:sz="8" w:space="0" w:color="000000"/>
            </w:tcBorders>
            <w:vAlign w:val="center"/>
            <w:hideMark/>
          </w:tcPr>
          <w:p w14:paraId="6F699D8F" w14:textId="77777777" w:rsidR="00B0159E" w:rsidRPr="00B0159E" w:rsidRDefault="00B0159E" w:rsidP="00B0159E">
            <w:pPr>
              <w:rPr>
                <w:rFonts w:ascii="Arial Narrow" w:eastAsia="Times New Roman" w:hAnsi="Arial Narrow" w:cs="Calibri"/>
                <w:b/>
                <w:bCs/>
                <w:color w:val="FFFFFF"/>
                <w:sz w:val="22"/>
                <w:szCs w:val="22"/>
              </w:rPr>
            </w:pPr>
          </w:p>
        </w:tc>
        <w:tc>
          <w:tcPr>
            <w:tcW w:w="3749" w:type="dxa"/>
            <w:vMerge/>
            <w:tcBorders>
              <w:top w:val="single" w:sz="8" w:space="0" w:color="auto"/>
              <w:left w:val="single" w:sz="8" w:space="0" w:color="auto"/>
              <w:bottom w:val="nil"/>
              <w:right w:val="single" w:sz="8" w:space="0" w:color="auto"/>
            </w:tcBorders>
            <w:vAlign w:val="center"/>
            <w:hideMark/>
          </w:tcPr>
          <w:p w14:paraId="41CE67A4" w14:textId="77777777" w:rsidR="00B0159E" w:rsidRPr="00B0159E" w:rsidRDefault="00B0159E" w:rsidP="00B0159E">
            <w:pPr>
              <w:rPr>
                <w:rFonts w:ascii="Arial Narrow" w:eastAsia="Times New Roman" w:hAnsi="Arial Narrow" w:cs="Calibri"/>
                <w:b/>
                <w:bCs/>
                <w:color w:val="FFFFFF"/>
                <w:sz w:val="22"/>
                <w:szCs w:val="22"/>
              </w:rPr>
            </w:pPr>
          </w:p>
        </w:tc>
        <w:tc>
          <w:tcPr>
            <w:tcW w:w="1966" w:type="dxa"/>
            <w:tcBorders>
              <w:top w:val="nil"/>
              <w:left w:val="nil"/>
              <w:bottom w:val="nil"/>
              <w:right w:val="single" w:sz="8" w:space="0" w:color="auto"/>
            </w:tcBorders>
            <w:shd w:val="clear" w:color="000000" w:fill="203764"/>
            <w:vAlign w:val="center"/>
            <w:hideMark/>
          </w:tcPr>
          <w:p w14:paraId="266ADF9D" w14:textId="77777777" w:rsidR="00B0159E" w:rsidRPr="00B0159E" w:rsidRDefault="00B0159E" w:rsidP="00B0159E">
            <w:pPr>
              <w:jc w:val="center"/>
              <w:rPr>
                <w:rFonts w:ascii="Arial Narrow" w:eastAsia="Times New Roman" w:hAnsi="Arial Narrow" w:cs="Calibri"/>
                <w:b/>
                <w:bCs/>
                <w:color w:val="FFFFFF"/>
                <w:sz w:val="22"/>
                <w:szCs w:val="22"/>
              </w:rPr>
            </w:pPr>
            <w:r w:rsidRPr="00B0159E">
              <w:rPr>
                <w:rFonts w:ascii="Arial Narrow" w:eastAsia="Times New Roman" w:hAnsi="Arial Narrow" w:cs="Calibri"/>
                <w:b/>
                <w:bCs/>
                <w:color w:val="FFFFFF"/>
                <w:sz w:val="22"/>
                <w:szCs w:val="22"/>
              </w:rPr>
              <w:t>Norma</w:t>
            </w:r>
          </w:p>
        </w:tc>
        <w:tc>
          <w:tcPr>
            <w:tcW w:w="1869" w:type="dxa"/>
            <w:tcBorders>
              <w:top w:val="nil"/>
              <w:left w:val="nil"/>
              <w:bottom w:val="nil"/>
              <w:right w:val="single" w:sz="8" w:space="0" w:color="auto"/>
            </w:tcBorders>
            <w:shd w:val="clear" w:color="000000" w:fill="203764"/>
            <w:vAlign w:val="center"/>
            <w:hideMark/>
          </w:tcPr>
          <w:p w14:paraId="6D114620" w14:textId="77777777" w:rsidR="00B0159E" w:rsidRPr="00B0159E" w:rsidRDefault="00B0159E" w:rsidP="00B0159E">
            <w:pPr>
              <w:jc w:val="center"/>
              <w:rPr>
                <w:rFonts w:ascii="Arial Narrow" w:eastAsia="Times New Roman" w:hAnsi="Arial Narrow" w:cs="Calibri"/>
                <w:b/>
                <w:bCs/>
                <w:color w:val="FFFFFF"/>
                <w:sz w:val="22"/>
                <w:szCs w:val="22"/>
                <w:lang w:val="es-CR"/>
              </w:rPr>
            </w:pPr>
            <w:r w:rsidRPr="00B0159E">
              <w:rPr>
                <w:rFonts w:ascii="Arial Narrow" w:eastAsia="Times New Roman" w:hAnsi="Arial Narrow" w:cs="Calibri"/>
                <w:b/>
                <w:bCs/>
                <w:color w:val="FFFFFF"/>
                <w:sz w:val="22"/>
                <w:szCs w:val="22"/>
                <w:lang w:val="es-CR"/>
              </w:rPr>
              <w:t>Normativa técnica y disposiciones adicionales</w:t>
            </w:r>
          </w:p>
        </w:tc>
      </w:tr>
      <w:tr w:rsidR="00B0159E" w:rsidRPr="00B0159E" w14:paraId="3E23F6B7" w14:textId="77777777" w:rsidTr="00E31ED1">
        <w:trPr>
          <w:trHeight w:val="630"/>
        </w:trPr>
        <w:tc>
          <w:tcPr>
            <w:tcW w:w="5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26213B" w14:textId="77777777" w:rsidR="00B0159E" w:rsidRPr="00B0159E" w:rsidRDefault="00B0159E" w:rsidP="00E31ED1">
            <w:pPr>
              <w:jc w:val="center"/>
              <w:rPr>
                <w:rFonts w:ascii="Arial Narrow" w:eastAsia="Times New Roman" w:hAnsi="Arial Narrow"/>
                <w:b/>
                <w:bCs/>
                <w:color w:val="000000"/>
                <w:sz w:val="22"/>
                <w:szCs w:val="22"/>
              </w:rPr>
            </w:pPr>
            <w:r w:rsidRPr="00B0159E">
              <w:rPr>
                <w:rFonts w:ascii="Arial Narrow" w:eastAsia="Times New Roman" w:hAnsi="Arial Narrow"/>
                <w:b/>
                <w:bCs/>
                <w:color w:val="000000"/>
                <w:sz w:val="22"/>
                <w:szCs w:val="22"/>
              </w:rPr>
              <w:t>5</w:t>
            </w:r>
          </w:p>
        </w:tc>
        <w:tc>
          <w:tcPr>
            <w:tcW w:w="622" w:type="dxa"/>
            <w:tcBorders>
              <w:top w:val="single" w:sz="8" w:space="0" w:color="auto"/>
              <w:left w:val="nil"/>
              <w:bottom w:val="single" w:sz="8" w:space="0" w:color="auto"/>
              <w:right w:val="single" w:sz="8" w:space="0" w:color="auto"/>
            </w:tcBorders>
            <w:shd w:val="clear" w:color="auto" w:fill="auto"/>
            <w:vAlign w:val="center"/>
            <w:hideMark/>
          </w:tcPr>
          <w:p w14:paraId="41D5AE59" w14:textId="77777777" w:rsidR="00B0159E" w:rsidRPr="00B0159E" w:rsidRDefault="00B0159E" w:rsidP="00E31ED1">
            <w:pPr>
              <w:jc w:val="center"/>
              <w:rPr>
                <w:rFonts w:ascii="Arial Narrow" w:eastAsia="Times New Roman" w:hAnsi="Arial Narrow"/>
                <w:b/>
                <w:bCs/>
                <w:color w:val="000000"/>
                <w:sz w:val="22"/>
                <w:szCs w:val="22"/>
              </w:rPr>
            </w:pPr>
            <w:r w:rsidRPr="00B0159E">
              <w:rPr>
                <w:rFonts w:ascii="Arial Narrow" w:eastAsia="Times New Roman" w:hAnsi="Arial Narrow"/>
                <w:b/>
                <w:bCs/>
                <w:color w:val="000000"/>
                <w:sz w:val="22"/>
                <w:szCs w:val="22"/>
              </w:rPr>
              <w:t>17</w:t>
            </w:r>
          </w:p>
        </w:tc>
        <w:tc>
          <w:tcPr>
            <w:tcW w:w="504" w:type="dxa"/>
            <w:tcBorders>
              <w:top w:val="single" w:sz="8" w:space="0" w:color="auto"/>
              <w:left w:val="nil"/>
              <w:bottom w:val="single" w:sz="8" w:space="0" w:color="auto"/>
              <w:right w:val="single" w:sz="8" w:space="0" w:color="auto"/>
            </w:tcBorders>
            <w:shd w:val="clear" w:color="auto" w:fill="auto"/>
            <w:vAlign w:val="center"/>
            <w:hideMark/>
          </w:tcPr>
          <w:p w14:paraId="3D8E64F9" w14:textId="77777777" w:rsidR="00B0159E" w:rsidRPr="00B0159E" w:rsidRDefault="00B0159E" w:rsidP="00B0159E">
            <w:pPr>
              <w:jc w:val="center"/>
              <w:rPr>
                <w:rFonts w:ascii="Arial Narrow" w:eastAsia="Times New Roman" w:hAnsi="Arial Narrow" w:cs="Calibri"/>
                <w:b/>
                <w:bCs/>
                <w:color w:val="000000"/>
                <w:sz w:val="22"/>
                <w:szCs w:val="22"/>
              </w:rPr>
            </w:pPr>
            <w:r w:rsidRPr="00B0159E">
              <w:rPr>
                <w:rFonts w:ascii="Arial Narrow" w:eastAsia="Times New Roman" w:hAnsi="Arial Narrow" w:cs="Calibri"/>
                <w:b/>
                <w:bCs/>
                <w:color w:val="000000"/>
                <w:sz w:val="22"/>
                <w:szCs w:val="22"/>
              </w:rPr>
              <w:t xml:space="preserve"> </w:t>
            </w:r>
          </w:p>
        </w:tc>
        <w:tc>
          <w:tcPr>
            <w:tcW w:w="3749" w:type="dxa"/>
            <w:tcBorders>
              <w:top w:val="single" w:sz="8" w:space="0" w:color="auto"/>
              <w:left w:val="nil"/>
              <w:bottom w:val="single" w:sz="8" w:space="0" w:color="auto"/>
              <w:right w:val="single" w:sz="8" w:space="0" w:color="auto"/>
            </w:tcBorders>
            <w:shd w:val="clear" w:color="auto" w:fill="auto"/>
            <w:vAlign w:val="center"/>
            <w:hideMark/>
          </w:tcPr>
          <w:p w14:paraId="1AC479BA" w14:textId="77777777" w:rsidR="00B0159E" w:rsidRPr="00B0159E" w:rsidRDefault="00B0159E" w:rsidP="00B0159E">
            <w:pPr>
              <w:rPr>
                <w:rFonts w:ascii="Arial Narrow" w:eastAsia="Times New Roman" w:hAnsi="Arial Narrow"/>
                <w:b/>
                <w:bCs/>
                <w:color w:val="000000"/>
                <w:sz w:val="22"/>
                <w:szCs w:val="22"/>
              </w:rPr>
            </w:pPr>
            <w:r w:rsidRPr="00B0159E">
              <w:rPr>
                <w:rFonts w:ascii="Arial Narrow" w:eastAsia="Times New Roman" w:hAnsi="Arial Narrow"/>
                <w:b/>
                <w:bCs/>
                <w:color w:val="000000"/>
                <w:sz w:val="22"/>
                <w:szCs w:val="22"/>
              </w:rPr>
              <w:t>Servicios recibidos</w:t>
            </w:r>
          </w:p>
        </w:tc>
        <w:tc>
          <w:tcPr>
            <w:tcW w:w="1966" w:type="dxa"/>
            <w:tcBorders>
              <w:top w:val="single" w:sz="8" w:space="0" w:color="auto"/>
              <w:left w:val="nil"/>
              <w:bottom w:val="single" w:sz="8" w:space="0" w:color="auto"/>
              <w:right w:val="single" w:sz="8" w:space="0" w:color="auto"/>
            </w:tcBorders>
            <w:shd w:val="clear" w:color="auto" w:fill="auto"/>
            <w:vAlign w:val="center"/>
            <w:hideMark/>
          </w:tcPr>
          <w:p w14:paraId="7E7EA32B" w14:textId="77777777" w:rsidR="00B0159E" w:rsidRPr="00B0159E" w:rsidRDefault="00B0159E" w:rsidP="00B0159E">
            <w:pPr>
              <w:rPr>
                <w:rFonts w:ascii="Arial Narrow" w:eastAsia="Times New Roman" w:hAnsi="Arial Narrow" w:cs="Calibri"/>
                <w:b/>
                <w:bCs/>
                <w:color w:val="000000"/>
                <w:sz w:val="22"/>
                <w:szCs w:val="22"/>
              </w:rPr>
            </w:pPr>
            <w:r w:rsidRPr="00B0159E">
              <w:rPr>
                <w:rFonts w:ascii="Arial Narrow" w:eastAsia="Times New Roman" w:hAnsi="Arial Narrow" w:cs="Calibri"/>
                <w:b/>
                <w:bCs/>
                <w:color w:val="000000"/>
                <w:sz w:val="22"/>
                <w:szCs w:val="22"/>
              </w:rPr>
              <w:t xml:space="preserve"> NICSP N° 1</w:t>
            </w:r>
            <w:r w:rsidRPr="00B0159E">
              <w:rPr>
                <w:rFonts w:ascii="Arial Narrow" w:eastAsia="Times New Roman" w:hAnsi="Arial Narrow" w:cs="Calibri"/>
                <w:b/>
                <w:bCs/>
                <w:color w:val="000000"/>
                <w:sz w:val="22"/>
                <w:szCs w:val="22"/>
              </w:rPr>
              <w:br/>
              <w:t>Párrafos 7.</w:t>
            </w:r>
          </w:p>
        </w:tc>
        <w:tc>
          <w:tcPr>
            <w:tcW w:w="1869" w:type="dxa"/>
            <w:tcBorders>
              <w:top w:val="single" w:sz="8" w:space="0" w:color="auto"/>
              <w:left w:val="nil"/>
              <w:bottom w:val="single" w:sz="8" w:space="0" w:color="auto"/>
              <w:right w:val="single" w:sz="8" w:space="0" w:color="auto"/>
            </w:tcBorders>
            <w:shd w:val="clear" w:color="auto" w:fill="auto"/>
            <w:vAlign w:val="center"/>
            <w:hideMark/>
          </w:tcPr>
          <w:p w14:paraId="5B469737" w14:textId="77777777" w:rsidR="00B0159E" w:rsidRPr="00B0159E" w:rsidRDefault="00B0159E" w:rsidP="00B0159E">
            <w:pPr>
              <w:jc w:val="center"/>
              <w:rPr>
                <w:rFonts w:ascii="Arial Narrow" w:eastAsia="Times New Roman" w:hAnsi="Arial Narrow" w:cs="Calibri"/>
                <w:b/>
                <w:bCs/>
                <w:color w:val="000000"/>
                <w:sz w:val="22"/>
                <w:szCs w:val="22"/>
              </w:rPr>
            </w:pPr>
            <w:r w:rsidRPr="00B0159E">
              <w:rPr>
                <w:rFonts w:ascii="Arial Narrow" w:eastAsia="Times New Roman" w:hAnsi="Arial Narrow" w:cs="Calibri"/>
                <w:b/>
                <w:bCs/>
                <w:color w:val="000000"/>
                <w:sz w:val="22"/>
                <w:szCs w:val="22"/>
              </w:rPr>
              <w:t>MCC</w:t>
            </w:r>
            <w:r w:rsidRPr="00B0159E">
              <w:rPr>
                <w:rFonts w:ascii="Arial Narrow" w:eastAsia="Times New Roman" w:hAnsi="Arial Narrow" w:cs="Calibri"/>
                <w:b/>
                <w:bCs/>
                <w:color w:val="000000"/>
                <w:sz w:val="22"/>
                <w:szCs w:val="22"/>
              </w:rPr>
              <w:br/>
              <w:t>DGCN</w:t>
            </w:r>
          </w:p>
        </w:tc>
      </w:tr>
    </w:tbl>
    <w:p w14:paraId="55F2D7A1" w14:textId="77777777" w:rsidR="001E0804" w:rsidRDefault="001E0804" w:rsidP="001E0804">
      <w:pPr>
        <w:pStyle w:val="Default"/>
        <w:jc w:val="both"/>
        <w:rPr>
          <w:sz w:val="22"/>
          <w:szCs w:val="22"/>
          <w:lang w:val="es-CR"/>
        </w:rPr>
      </w:pPr>
    </w:p>
    <w:p w14:paraId="025D7B3B" w14:textId="47887EC5" w:rsidR="00E31ED1" w:rsidRDefault="00E31ED1" w:rsidP="00E31ED1">
      <w:pPr>
        <w:pStyle w:val="Default"/>
        <w:ind w:left="1134" w:hanging="1134"/>
        <w:jc w:val="both"/>
        <w:rPr>
          <w:rFonts w:eastAsia="Arial"/>
          <w:b/>
          <w:sz w:val="22"/>
          <w:szCs w:val="22"/>
        </w:rPr>
      </w:pPr>
      <w:r w:rsidRPr="00F02F9D">
        <w:rPr>
          <w:rFonts w:eastAsia="Arial"/>
          <w:b/>
          <w:sz w:val="22"/>
          <w:szCs w:val="22"/>
        </w:rPr>
        <w:t>Política Contable</w:t>
      </w:r>
    </w:p>
    <w:p w14:paraId="1C519F6B" w14:textId="77777777" w:rsidR="00E31ED1" w:rsidRPr="00ED618F" w:rsidRDefault="00E31ED1" w:rsidP="001E0804">
      <w:pPr>
        <w:pStyle w:val="Default"/>
        <w:jc w:val="both"/>
        <w:rPr>
          <w:sz w:val="22"/>
          <w:szCs w:val="22"/>
          <w:lang w:val="es-CR"/>
        </w:rPr>
      </w:pPr>
    </w:p>
    <w:p w14:paraId="53E321BC" w14:textId="0FB0C926" w:rsidR="00026A6E" w:rsidRDefault="00B0159E" w:rsidP="00B0159E">
      <w:pPr>
        <w:pStyle w:val="Default"/>
        <w:ind w:left="1134" w:hanging="1134"/>
        <w:jc w:val="both"/>
        <w:rPr>
          <w:sz w:val="22"/>
          <w:szCs w:val="22"/>
          <w:lang w:val="es-CR"/>
        </w:rPr>
      </w:pPr>
      <w:r>
        <w:rPr>
          <w:sz w:val="22"/>
          <w:szCs w:val="22"/>
          <w:lang w:val="es-CR"/>
        </w:rPr>
        <w:t>5.17.0.01</w:t>
      </w:r>
      <w:r>
        <w:rPr>
          <w:sz w:val="22"/>
          <w:szCs w:val="22"/>
          <w:lang w:val="es-CR"/>
        </w:rPr>
        <w:tab/>
      </w:r>
      <w:r w:rsidRPr="00B0159E">
        <w:rPr>
          <w:sz w:val="22"/>
          <w:szCs w:val="22"/>
          <w:lang w:val="es-CR"/>
        </w:rPr>
        <w:t xml:space="preserve">El consumo de servicios prestados a la </w:t>
      </w:r>
      <w:r>
        <w:rPr>
          <w:sz w:val="22"/>
          <w:szCs w:val="22"/>
          <w:lang w:val="es-CR"/>
        </w:rPr>
        <w:t>Municipalidad</w:t>
      </w:r>
      <w:r w:rsidRPr="00B0159E">
        <w:rPr>
          <w:sz w:val="22"/>
          <w:szCs w:val="22"/>
          <w:lang w:val="es-CR"/>
        </w:rPr>
        <w:t>, en tanto y en cuanto se puedan medir en forma fiable, se reconocerán en los gastos del ejercicio con el que guardan relación, excepto en la porción que integren el costo de producción de otros bienes que formen parte del activo, conforme lo desarrollado en el Capítulo “Activo” del presente PGCN.</w:t>
      </w:r>
    </w:p>
    <w:p w14:paraId="23A001A6" w14:textId="77777777" w:rsidR="00A456CC" w:rsidRPr="00B0159E" w:rsidRDefault="00A456CC" w:rsidP="00B0159E">
      <w:pPr>
        <w:pStyle w:val="Default"/>
        <w:ind w:left="1134" w:hanging="1134"/>
        <w:jc w:val="both"/>
        <w:rPr>
          <w:sz w:val="22"/>
          <w:szCs w:val="22"/>
          <w:lang w:val="es-CR"/>
        </w:rPr>
      </w:pPr>
    </w:p>
    <w:p w14:paraId="6E4F38D9" w14:textId="77777777" w:rsidR="00A456CC" w:rsidRDefault="00A456CC" w:rsidP="00924EC2">
      <w:pPr>
        <w:pStyle w:val="Default"/>
        <w:jc w:val="both"/>
        <w:rPr>
          <w:sz w:val="22"/>
          <w:szCs w:val="22"/>
          <w:lang w:val="es-CR"/>
        </w:rPr>
      </w:pPr>
    </w:p>
    <w:p w14:paraId="336A485C" w14:textId="77777777" w:rsidR="00E31ED1" w:rsidRDefault="00E31ED1" w:rsidP="00924EC2">
      <w:pPr>
        <w:pStyle w:val="Default"/>
        <w:jc w:val="both"/>
        <w:rPr>
          <w:sz w:val="22"/>
          <w:szCs w:val="22"/>
          <w:lang w:val="es-CR"/>
        </w:rPr>
      </w:pPr>
    </w:p>
    <w:p w14:paraId="76B8ADB0" w14:textId="77777777" w:rsidR="00E31ED1" w:rsidRDefault="00E31ED1" w:rsidP="00924EC2">
      <w:pPr>
        <w:pStyle w:val="Default"/>
        <w:jc w:val="both"/>
        <w:rPr>
          <w:sz w:val="22"/>
          <w:szCs w:val="22"/>
          <w:lang w:val="es-CR"/>
        </w:rPr>
      </w:pPr>
    </w:p>
    <w:p w14:paraId="1A3CF256" w14:textId="7311F760" w:rsidR="00A456CC" w:rsidRPr="00A456CC" w:rsidRDefault="00A456CC" w:rsidP="00A456CC">
      <w:pPr>
        <w:pStyle w:val="Ttulo2"/>
        <w:ind w:left="284"/>
        <w:rPr>
          <w:rFonts w:ascii="Arial" w:eastAsia="Arial" w:hAnsi="Arial" w:cs="Arial"/>
          <w:b/>
          <w:bCs/>
          <w:sz w:val="22"/>
          <w:szCs w:val="22"/>
          <w:lang w:val="es-CR"/>
        </w:rPr>
      </w:pPr>
      <w:bookmarkStart w:id="156" w:name="_Toc172726291"/>
      <w:r w:rsidRPr="00A456CC">
        <w:rPr>
          <w:rFonts w:ascii="Arial" w:eastAsia="Arial" w:hAnsi="Arial" w:cs="Arial"/>
          <w:b/>
          <w:bCs/>
          <w:sz w:val="22"/>
          <w:szCs w:val="22"/>
          <w:lang w:val="es-CR"/>
        </w:rPr>
        <w:lastRenderedPageBreak/>
        <w:t>Reconocimiento de gastos de inventarios y bienes de consumo</w:t>
      </w:r>
      <w:bookmarkEnd w:id="156"/>
    </w:p>
    <w:p w14:paraId="3EE57D2D" w14:textId="77777777" w:rsidR="001E0804" w:rsidRDefault="001E0804" w:rsidP="00924EC2">
      <w:pPr>
        <w:pStyle w:val="Default"/>
        <w:jc w:val="both"/>
        <w:rPr>
          <w:sz w:val="22"/>
          <w:szCs w:val="22"/>
          <w:lang w:val="es-CR"/>
        </w:rPr>
      </w:pPr>
    </w:p>
    <w:p w14:paraId="6570E9C6" w14:textId="77777777" w:rsidR="00A456CC" w:rsidRDefault="00A456CC" w:rsidP="00924EC2">
      <w:pPr>
        <w:pStyle w:val="Default"/>
        <w:jc w:val="both"/>
        <w:rPr>
          <w:sz w:val="22"/>
          <w:szCs w:val="22"/>
          <w:lang w:val="es-CR"/>
        </w:rPr>
      </w:pPr>
    </w:p>
    <w:tbl>
      <w:tblPr>
        <w:tblW w:w="9282" w:type="dxa"/>
        <w:tblInd w:w="118" w:type="dxa"/>
        <w:tblLook w:val="04A0" w:firstRow="1" w:lastRow="0" w:firstColumn="1" w:lastColumn="0" w:noHBand="0" w:noVBand="1"/>
      </w:tblPr>
      <w:tblGrid>
        <w:gridCol w:w="525"/>
        <w:gridCol w:w="623"/>
        <w:gridCol w:w="504"/>
        <w:gridCol w:w="11"/>
        <w:gridCol w:w="3645"/>
        <w:gridCol w:w="11"/>
        <w:gridCol w:w="2083"/>
        <w:gridCol w:w="11"/>
        <w:gridCol w:w="1848"/>
        <w:gridCol w:w="11"/>
        <w:gridCol w:w="10"/>
      </w:tblGrid>
      <w:tr w:rsidR="00DE7392" w:rsidRPr="00DE7392" w14:paraId="4806643C" w14:textId="77777777" w:rsidTr="00E31ED1">
        <w:trPr>
          <w:trHeight w:val="320"/>
        </w:trPr>
        <w:tc>
          <w:tcPr>
            <w:tcW w:w="1663"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056CD37" w14:textId="77777777" w:rsidR="00DE7392" w:rsidRPr="00DE7392" w:rsidRDefault="00DE7392" w:rsidP="00DE7392">
            <w:pPr>
              <w:jc w:val="center"/>
              <w:rPr>
                <w:rFonts w:ascii="Arial Narrow" w:eastAsia="Times New Roman" w:hAnsi="Arial Narrow" w:cs="Calibri"/>
                <w:b/>
                <w:bCs/>
                <w:color w:val="FFFFFF"/>
                <w:sz w:val="22"/>
                <w:szCs w:val="22"/>
              </w:rPr>
            </w:pPr>
            <w:r w:rsidRPr="00DE7392">
              <w:rPr>
                <w:rFonts w:ascii="Arial Narrow" w:eastAsia="Times New Roman" w:hAnsi="Arial Narrow" w:cs="Calibri"/>
                <w:b/>
                <w:bCs/>
                <w:color w:val="FFFFFF"/>
                <w:sz w:val="22"/>
                <w:szCs w:val="22"/>
              </w:rPr>
              <w:t>Norma / Política</w:t>
            </w:r>
          </w:p>
        </w:tc>
        <w:tc>
          <w:tcPr>
            <w:tcW w:w="3656"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D0B8428" w14:textId="77777777" w:rsidR="00DE7392" w:rsidRPr="00DE7392" w:rsidRDefault="00DE7392" w:rsidP="00DE7392">
            <w:pPr>
              <w:jc w:val="center"/>
              <w:rPr>
                <w:rFonts w:ascii="Arial Narrow" w:eastAsia="Times New Roman" w:hAnsi="Arial Narrow" w:cs="Calibri"/>
                <w:b/>
                <w:bCs/>
                <w:color w:val="FFFFFF"/>
                <w:sz w:val="22"/>
                <w:szCs w:val="22"/>
              </w:rPr>
            </w:pPr>
            <w:r w:rsidRPr="00DE7392">
              <w:rPr>
                <w:rFonts w:ascii="Arial Narrow" w:eastAsia="Times New Roman" w:hAnsi="Arial Narrow" w:cs="Calibri"/>
                <w:b/>
                <w:bCs/>
                <w:color w:val="FFFFFF"/>
                <w:sz w:val="22"/>
                <w:szCs w:val="22"/>
              </w:rPr>
              <w:t>Concepto</w:t>
            </w:r>
          </w:p>
        </w:tc>
        <w:tc>
          <w:tcPr>
            <w:tcW w:w="3963" w:type="dxa"/>
            <w:gridSpan w:val="5"/>
            <w:tcBorders>
              <w:top w:val="single" w:sz="8" w:space="0" w:color="auto"/>
              <w:left w:val="nil"/>
              <w:bottom w:val="single" w:sz="8" w:space="0" w:color="auto"/>
              <w:right w:val="single" w:sz="8" w:space="0" w:color="000000"/>
            </w:tcBorders>
            <w:shd w:val="clear" w:color="000000" w:fill="203764"/>
            <w:vAlign w:val="center"/>
            <w:hideMark/>
          </w:tcPr>
          <w:p w14:paraId="1DD9CFD2" w14:textId="77777777" w:rsidR="00DE7392" w:rsidRPr="00DE7392" w:rsidRDefault="00DE7392" w:rsidP="00DE7392">
            <w:pPr>
              <w:jc w:val="center"/>
              <w:rPr>
                <w:rFonts w:ascii="Arial Narrow" w:eastAsia="Times New Roman" w:hAnsi="Arial Narrow" w:cs="Calibri"/>
                <w:b/>
                <w:bCs/>
                <w:color w:val="FFFFFF"/>
                <w:sz w:val="22"/>
                <w:szCs w:val="22"/>
              </w:rPr>
            </w:pPr>
            <w:r w:rsidRPr="00DE7392">
              <w:rPr>
                <w:rFonts w:ascii="Arial Narrow" w:eastAsia="Times New Roman" w:hAnsi="Arial Narrow" w:cs="Calibri"/>
                <w:b/>
                <w:bCs/>
                <w:color w:val="FFFFFF"/>
                <w:sz w:val="22"/>
                <w:szCs w:val="22"/>
              </w:rPr>
              <w:t>Referencia</w:t>
            </w:r>
          </w:p>
        </w:tc>
      </w:tr>
      <w:tr w:rsidR="00DE7392" w:rsidRPr="006E5442" w14:paraId="0B3AB4A2" w14:textId="77777777" w:rsidTr="00E31ED1">
        <w:trPr>
          <w:gridAfter w:val="1"/>
          <w:wAfter w:w="10" w:type="dxa"/>
          <w:trHeight w:val="940"/>
        </w:trPr>
        <w:tc>
          <w:tcPr>
            <w:tcW w:w="1663" w:type="dxa"/>
            <w:gridSpan w:val="4"/>
            <w:vMerge/>
            <w:tcBorders>
              <w:top w:val="single" w:sz="8" w:space="0" w:color="auto"/>
              <w:left w:val="single" w:sz="8" w:space="0" w:color="auto"/>
              <w:bottom w:val="nil"/>
              <w:right w:val="single" w:sz="8" w:space="0" w:color="000000"/>
            </w:tcBorders>
            <w:vAlign w:val="center"/>
            <w:hideMark/>
          </w:tcPr>
          <w:p w14:paraId="38402D6F" w14:textId="77777777" w:rsidR="00DE7392" w:rsidRPr="00DE7392" w:rsidRDefault="00DE7392" w:rsidP="00DE7392">
            <w:pPr>
              <w:rPr>
                <w:rFonts w:ascii="Arial Narrow" w:eastAsia="Times New Roman" w:hAnsi="Arial Narrow" w:cs="Calibri"/>
                <w:b/>
                <w:bCs/>
                <w:color w:val="FFFFFF"/>
                <w:sz w:val="22"/>
                <w:szCs w:val="22"/>
              </w:rPr>
            </w:pPr>
          </w:p>
        </w:tc>
        <w:tc>
          <w:tcPr>
            <w:tcW w:w="3656" w:type="dxa"/>
            <w:gridSpan w:val="2"/>
            <w:vMerge/>
            <w:tcBorders>
              <w:top w:val="single" w:sz="8" w:space="0" w:color="auto"/>
              <w:left w:val="single" w:sz="8" w:space="0" w:color="auto"/>
              <w:bottom w:val="nil"/>
              <w:right w:val="single" w:sz="8" w:space="0" w:color="auto"/>
            </w:tcBorders>
            <w:vAlign w:val="center"/>
            <w:hideMark/>
          </w:tcPr>
          <w:p w14:paraId="111BDAC9" w14:textId="77777777" w:rsidR="00DE7392" w:rsidRPr="00DE7392" w:rsidRDefault="00DE7392" w:rsidP="00DE7392">
            <w:pPr>
              <w:rPr>
                <w:rFonts w:ascii="Arial Narrow" w:eastAsia="Times New Roman" w:hAnsi="Arial Narrow" w:cs="Calibri"/>
                <w:b/>
                <w:bCs/>
                <w:color w:val="FFFFFF"/>
                <w:sz w:val="22"/>
                <w:szCs w:val="22"/>
              </w:rPr>
            </w:pPr>
          </w:p>
        </w:tc>
        <w:tc>
          <w:tcPr>
            <w:tcW w:w="2094" w:type="dxa"/>
            <w:gridSpan w:val="2"/>
            <w:tcBorders>
              <w:top w:val="nil"/>
              <w:left w:val="nil"/>
              <w:bottom w:val="nil"/>
              <w:right w:val="single" w:sz="8" w:space="0" w:color="auto"/>
            </w:tcBorders>
            <w:shd w:val="clear" w:color="000000" w:fill="203764"/>
            <w:vAlign w:val="center"/>
            <w:hideMark/>
          </w:tcPr>
          <w:p w14:paraId="74A5143A" w14:textId="77777777" w:rsidR="00DE7392" w:rsidRPr="00DE7392" w:rsidRDefault="00DE7392" w:rsidP="00DE7392">
            <w:pPr>
              <w:jc w:val="center"/>
              <w:rPr>
                <w:rFonts w:ascii="Arial Narrow" w:eastAsia="Times New Roman" w:hAnsi="Arial Narrow" w:cs="Calibri"/>
                <w:b/>
                <w:bCs/>
                <w:color w:val="FFFFFF"/>
                <w:sz w:val="22"/>
                <w:szCs w:val="22"/>
              </w:rPr>
            </w:pPr>
            <w:r w:rsidRPr="00DE7392">
              <w:rPr>
                <w:rFonts w:ascii="Arial Narrow" w:eastAsia="Times New Roman" w:hAnsi="Arial Narrow" w:cs="Calibri"/>
                <w:b/>
                <w:bCs/>
                <w:color w:val="FFFFFF"/>
                <w:sz w:val="22"/>
                <w:szCs w:val="22"/>
              </w:rPr>
              <w:t>Norma</w:t>
            </w:r>
          </w:p>
        </w:tc>
        <w:tc>
          <w:tcPr>
            <w:tcW w:w="1859" w:type="dxa"/>
            <w:gridSpan w:val="2"/>
            <w:tcBorders>
              <w:top w:val="nil"/>
              <w:left w:val="nil"/>
              <w:bottom w:val="nil"/>
              <w:right w:val="single" w:sz="8" w:space="0" w:color="auto"/>
            </w:tcBorders>
            <w:shd w:val="clear" w:color="000000" w:fill="203764"/>
            <w:vAlign w:val="center"/>
            <w:hideMark/>
          </w:tcPr>
          <w:p w14:paraId="7C05F2A6" w14:textId="77777777" w:rsidR="00DE7392" w:rsidRPr="00DE7392" w:rsidRDefault="00DE7392" w:rsidP="00DE7392">
            <w:pPr>
              <w:jc w:val="center"/>
              <w:rPr>
                <w:rFonts w:ascii="Arial Narrow" w:eastAsia="Times New Roman" w:hAnsi="Arial Narrow" w:cs="Calibri"/>
                <w:b/>
                <w:bCs/>
                <w:color w:val="FFFFFF"/>
                <w:sz w:val="22"/>
                <w:szCs w:val="22"/>
                <w:lang w:val="es-CR"/>
              </w:rPr>
            </w:pPr>
            <w:r w:rsidRPr="00DE7392">
              <w:rPr>
                <w:rFonts w:ascii="Arial Narrow" w:eastAsia="Times New Roman" w:hAnsi="Arial Narrow" w:cs="Calibri"/>
                <w:b/>
                <w:bCs/>
                <w:color w:val="FFFFFF"/>
                <w:sz w:val="22"/>
                <w:szCs w:val="22"/>
                <w:lang w:val="es-CR"/>
              </w:rPr>
              <w:t>Normativa técnica y disposiciones adicionales</w:t>
            </w:r>
          </w:p>
        </w:tc>
      </w:tr>
      <w:tr w:rsidR="00DE7392" w:rsidRPr="006E5442" w14:paraId="5A746AAD" w14:textId="77777777" w:rsidTr="00E31ED1">
        <w:trPr>
          <w:gridAfter w:val="2"/>
          <w:wAfter w:w="21" w:type="dxa"/>
          <w:trHeight w:val="774"/>
        </w:trPr>
        <w:tc>
          <w:tcPr>
            <w:tcW w:w="5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3054BC" w14:textId="77777777" w:rsidR="00DE7392" w:rsidRPr="00DE7392" w:rsidRDefault="00DE7392" w:rsidP="00E31ED1">
            <w:pPr>
              <w:jc w:val="center"/>
              <w:rPr>
                <w:rFonts w:ascii="Arial Narrow" w:eastAsia="Times New Roman" w:hAnsi="Arial Narrow"/>
                <w:b/>
                <w:bCs/>
                <w:color w:val="000000"/>
                <w:sz w:val="22"/>
                <w:szCs w:val="22"/>
              </w:rPr>
            </w:pPr>
            <w:r w:rsidRPr="00DE7392">
              <w:rPr>
                <w:rFonts w:ascii="Arial Narrow" w:eastAsia="Times New Roman" w:hAnsi="Arial Narrow"/>
                <w:b/>
                <w:bCs/>
                <w:color w:val="000000"/>
                <w:sz w:val="22"/>
                <w:szCs w:val="22"/>
              </w:rPr>
              <w:t>5</w:t>
            </w:r>
          </w:p>
        </w:tc>
        <w:tc>
          <w:tcPr>
            <w:tcW w:w="623" w:type="dxa"/>
            <w:tcBorders>
              <w:top w:val="single" w:sz="8" w:space="0" w:color="auto"/>
              <w:left w:val="nil"/>
              <w:bottom w:val="single" w:sz="8" w:space="0" w:color="auto"/>
              <w:right w:val="single" w:sz="8" w:space="0" w:color="auto"/>
            </w:tcBorders>
            <w:shd w:val="clear" w:color="auto" w:fill="auto"/>
            <w:vAlign w:val="center"/>
            <w:hideMark/>
          </w:tcPr>
          <w:p w14:paraId="672F9EBD" w14:textId="77777777" w:rsidR="00DE7392" w:rsidRPr="00DE7392" w:rsidRDefault="00DE7392" w:rsidP="00E31ED1">
            <w:pPr>
              <w:jc w:val="center"/>
              <w:rPr>
                <w:rFonts w:ascii="Arial Narrow" w:eastAsia="Times New Roman" w:hAnsi="Arial Narrow"/>
                <w:b/>
                <w:bCs/>
                <w:color w:val="000000"/>
                <w:sz w:val="22"/>
                <w:szCs w:val="22"/>
              </w:rPr>
            </w:pPr>
            <w:r w:rsidRPr="00DE7392">
              <w:rPr>
                <w:rFonts w:ascii="Arial Narrow" w:eastAsia="Times New Roman" w:hAnsi="Arial Narrow"/>
                <w:b/>
                <w:bCs/>
                <w:color w:val="000000"/>
                <w:sz w:val="22"/>
                <w:szCs w:val="22"/>
              </w:rPr>
              <w:t>18</w:t>
            </w:r>
          </w:p>
        </w:tc>
        <w:tc>
          <w:tcPr>
            <w:tcW w:w="504" w:type="dxa"/>
            <w:tcBorders>
              <w:top w:val="single" w:sz="8" w:space="0" w:color="auto"/>
              <w:left w:val="nil"/>
              <w:bottom w:val="single" w:sz="8" w:space="0" w:color="auto"/>
              <w:right w:val="single" w:sz="8" w:space="0" w:color="auto"/>
            </w:tcBorders>
            <w:shd w:val="clear" w:color="auto" w:fill="auto"/>
            <w:vAlign w:val="center"/>
            <w:hideMark/>
          </w:tcPr>
          <w:p w14:paraId="28E9AED3" w14:textId="78EC1AE4" w:rsidR="00DE7392" w:rsidRPr="00DE7392" w:rsidRDefault="00DE7392" w:rsidP="00E31ED1">
            <w:pPr>
              <w:jc w:val="center"/>
              <w:rPr>
                <w:rFonts w:ascii="Arial Narrow" w:eastAsia="Times New Roman" w:hAnsi="Arial Narrow" w:cs="Calibri"/>
                <w:b/>
                <w:bCs/>
                <w:color w:val="000000"/>
                <w:sz w:val="22"/>
                <w:szCs w:val="22"/>
              </w:rPr>
            </w:pPr>
          </w:p>
        </w:tc>
        <w:tc>
          <w:tcPr>
            <w:tcW w:w="3656" w:type="dxa"/>
            <w:gridSpan w:val="2"/>
            <w:tcBorders>
              <w:top w:val="single" w:sz="8" w:space="0" w:color="auto"/>
              <w:left w:val="nil"/>
              <w:bottom w:val="single" w:sz="8" w:space="0" w:color="auto"/>
              <w:right w:val="single" w:sz="8" w:space="0" w:color="auto"/>
            </w:tcBorders>
            <w:shd w:val="clear" w:color="auto" w:fill="auto"/>
            <w:vAlign w:val="center"/>
            <w:hideMark/>
          </w:tcPr>
          <w:p w14:paraId="27E4994A" w14:textId="77777777" w:rsidR="00DE7392" w:rsidRPr="00DE7392" w:rsidRDefault="00DE7392" w:rsidP="00DE7392">
            <w:pPr>
              <w:rPr>
                <w:rFonts w:ascii="Arial Narrow" w:eastAsia="Times New Roman" w:hAnsi="Arial Narrow"/>
                <w:b/>
                <w:bCs/>
                <w:color w:val="000000"/>
                <w:sz w:val="22"/>
                <w:szCs w:val="22"/>
                <w:lang w:val="es-CR"/>
              </w:rPr>
            </w:pPr>
            <w:r w:rsidRPr="00DE7392">
              <w:rPr>
                <w:rFonts w:ascii="Arial Narrow" w:eastAsia="Times New Roman" w:hAnsi="Arial Narrow"/>
                <w:b/>
                <w:bCs/>
                <w:color w:val="000000"/>
                <w:sz w:val="22"/>
                <w:szCs w:val="22"/>
                <w:lang w:val="es-CR"/>
              </w:rPr>
              <w:t>Reconocimiento de gastos por inventarios</w:t>
            </w:r>
          </w:p>
        </w:tc>
        <w:tc>
          <w:tcPr>
            <w:tcW w:w="2094" w:type="dxa"/>
            <w:gridSpan w:val="2"/>
            <w:tcBorders>
              <w:top w:val="single" w:sz="8" w:space="0" w:color="auto"/>
              <w:left w:val="nil"/>
              <w:bottom w:val="single" w:sz="8" w:space="0" w:color="auto"/>
              <w:right w:val="single" w:sz="8" w:space="0" w:color="auto"/>
            </w:tcBorders>
            <w:shd w:val="clear" w:color="auto" w:fill="auto"/>
            <w:vAlign w:val="center"/>
            <w:hideMark/>
          </w:tcPr>
          <w:p w14:paraId="577AE38D" w14:textId="77777777" w:rsidR="00E31ED1" w:rsidRDefault="00DE7392" w:rsidP="00DE7392">
            <w:pPr>
              <w:jc w:val="both"/>
              <w:rPr>
                <w:rFonts w:ascii="Arial Narrow" w:eastAsia="Times New Roman" w:hAnsi="Arial Narrow" w:cs="Calibri"/>
                <w:b/>
                <w:bCs/>
                <w:color w:val="000000"/>
                <w:sz w:val="22"/>
                <w:szCs w:val="22"/>
                <w:lang w:val="es-CR"/>
              </w:rPr>
            </w:pPr>
            <w:r w:rsidRPr="00DE7392">
              <w:rPr>
                <w:rFonts w:ascii="Arial Narrow" w:eastAsia="Times New Roman" w:hAnsi="Arial Narrow" w:cs="Calibri"/>
                <w:b/>
                <w:bCs/>
                <w:color w:val="000000"/>
                <w:sz w:val="22"/>
                <w:szCs w:val="22"/>
                <w:lang w:val="es-CR"/>
              </w:rPr>
              <w:t xml:space="preserve">NICSP N° 39, </w:t>
            </w:r>
          </w:p>
          <w:p w14:paraId="07D96E0C" w14:textId="208CE005" w:rsidR="00DE7392" w:rsidRPr="00DE7392" w:rsidRDefault="00DE7392" w:rsidP="00DE7392">
            <w:pPr>
              <w:jc w:val="both"/>
              <w:rPr>
                <w:rFonts w:ascii="Arial Narrow" w:eastAsia="Times New Roman" w:hAnsi="Arial Narrow" w:cs="Calibri"/>
                <w:b/>
                <w:bCs/>
                <w:color w:val="000000"/>
                <w:sz w:val="22"/>
                <w:szCs w:val="22"/>
                <w:lang w:val="es-CR"/>
              </w:rPr>
            </w:pPr>
            <w:r w:rsidRPr="00DE7392">
              <w:rPr>
                <w:rFonts w:ascii="Arial Narrow" w:eastAsia="Times New Roman" w:hAnsi="Arial Narrow" w:cs="Calibri"/>
                <w:b/>
                <w:bCs/>
                <w:color w:val="000000"/>
                <w:sz w:val="22"/>
                <w:szCs w:val="22"/>
                <w:lang w:val="es-CR"/>
              </w:rPr>
              <w:t>Párrafos 25, 28 y 44 a 46.</w:t>
            </w:r>
          </w:p>
        </w:tc>
        <w:tc>
          <w:tcPr>
            <w:tcW w:w="1859" w:type="dxa"/>
            <w:gridSpan w:val="2"/>
            <w:tcBorders>
              <w:top w:val="single" w:sz="8" w:space="0" w:color="auto"/>
              <w:left w:val="nil"/>
              <w:bottom w:val="single" w:sz="8" w:space="0" w:color="auto"/>
              <w:right w:val="single" w:sz="8" w:space="0" w:color="auto"/>
            </w:tcBorders>
            <w:shd w:val="clear" w:color="auto" w:fill="auto"/>
            <w:vAlign w:val="center"/>
            <w:hideMark/>
          </w:tcPr>
          <w:p w14:paraId="3B5F84BF" w14:textId="77777777" w:rsidR="00DE7392" w:rsidRPr="00DE7392" w:rsidRDefault="00DE7392" w:rsidP="00DE7392">
            <w:pPr>
              <w:jc w:val="center"/>
              <w:rPr>
                <w:rFonts w:ascii="Arial Narrow" w:eastAsia="Times New Roman" w:hAnsi="Arial Narrow" w:cs="Calibri"/>
                <w:b/>
                <w:bCs/>
                <w:color w:val="000000"/>
                <w:sz w:val="22"/>
                <w:szCs w:val="22"/>
                <w:lang w:val="es-CR"/>
              </w:rPr>
            </w:pPr>
            <w:r w:rsidRPr="00DE7392">
              <w:rPr>
                <w:rFonts w:ascii="Arial Narrow" w:eastAsia="Times New Roman" w:hAnsi="Arial Narrow" w:cs="Calibri"/>
                <w:b/>
                <w:bCs/>
                <w:color w:val="000000"/>
                <w:sz w:val="22"/>
                <w:szCs w:val="22"/>
                <w:lang w:val="es-CR"/>
              </w:rPr>
              <w:t xml:space="preserve"> </w:t>
            </w:r>
          </w:p>
        </w:tc>
      </w:tr>
      <w:tr w:rsidR="00DE7392" w:rsidRPr="00DE7392" w14:paraId="221D11DB" w14:textId="77777777" w:rsidTr="00E31ED1">
        <w:trPr>
          <w:gridAfter w:val="2"/>
          <w:wAfter w:w="21" w:type="dxa"/>
          <w:trHeight w:val="630"/>
        </w:trPr>
        <w:tc>
          <w:tcPr>
            <w:tcW w:w="525" w:type="dxa"/>
            <w:tcBorders>
              <w:top w:val="nil"/>
              <w:left w:val="single" w:sz="8" w:space="0" w:color="auto"/>
              <w:bottom w:val="single" w:sz="8" w:space="0" w:color="auto"/>
              <w:right w:val="single" w:sz="8" w:space="0" w:color="auto"/>
            </w:tcBorders>
            <w:shd w:val="clear" w:color="auto" w:fill="auto"/>
            <w:vAlign w:val="center"/>
            <w:hideMark/>
          </w:tcPr>
          <w:p w14:paraId="3F2D6024" w14:textId="77777777" w:rsidR="00DE7392" w:rsidRPr="00DE7392" w:rsidRDefault="00DE7392" w:rsidP="00E31ED1">
            <w:pPr>
              <w:jc w:val="center"/>
              <w:rPr>
                <w:rFonts w:ascii="Arial Narrow" w:eastAsia="Times New Roman" w:hAnsi="Arial Narrow"/>
                <w:b/>
                <w:bCs/>
                <w:color w:val="000000"/>
                <w:sz w:val="22"/>
                <w:szCs w:val="22"/>
              </w:rPr>
            </w:pPr>
            <w:r w:rsidRPr="00DE7392">
              <w:rPr>
                <w:rFonts w:ascii="Arial Narrow" w:eastAsia="Times New Roman" w:hAnsi="Arial Narrow"/>
                <w:b/>
                <w:bCs/>
                <w:color w:val="000000"/>
                <w:sz w:val="22"/>
                <w:szCs w:val="22"/>
              </w:rPr>
              <w:t>5</w:t>
            </w:r>
          </w:p>
        </w:tc>
        <w:tc>
          <w:tcPr>
            <w:tcW w:w="623" w:type="dxa"/>
            <w:tcBorders>
              <w:top w:val="nil"/>
              <w:left w:val="nil"/>
              <w:bottom w:val="single" w:sz="8" w:space="0" w:color="auto"/>
              <w:right w:val="single" w:sz="8" w:space="0" w:color="auto"/>
            </w:tcBorders>
            <w:shd w:val="clear" w:color="auto" w:fill="auto"/>
            <w:vAlign w:val="center"/>
            <w:hideMark/>
          </w:tcPr>
          <w:p w14:paraId="4ACE1121" w14:textId="77777777" w:rsidR="00DE7392" w:rsidRPr="00DE7392" w:rsidRDefault="00DE7392" w:rsidP="00E31ED1">
            <w:pPr>
              <w:jc w:val="center"/>
              <w:rPr>
                <w:rFonts w:ascii="Arial Narrow" w:eastAsia="Times New Roman" w:hAnsi="Arial Narrow"/>
                <w:b/>
                <w:bCs/>
                <w:color w:val="000000"/>
                <w:sz w:val="22"/>
                <w:szCs w:val="22"/>
              </w:rPr>
            </w:pPr>
            <w:r w:rsidRPr="00DE7392">
              <w:rPr>
                <w:rFonts w:ascii="Arial Narrow" w:eastAsia="Times New Roman" w:hAnsi="Arial Narrow"/>
                <w:b/>
                <w:bCs/>
                <w:color w:val="000000"/>
                <w:sz w:val="22"/>
                <w:szCs w:val="22"/>
              </w:rPr>
              <w:t>18</w:t>
            </w:r>
          </w:p>
        </w:tc>
        <w:tc>
          <w:tcPr>
            <w:tcW w:w="504" w:type="dxa"/>
            <w:tcBorders>
              <w:top w:val="nil"/>
              <w:left w:val="nil"/>
              <w:bottom w:val="single" w:sz="8" w:space="0" w:color="auto"/>
              <w:right w:val="nil"/>
            </w:tcBorders>
            <w:shd w:val="clear" w:color="auto" w:fill="auto"/>
            <w:vAlign w:val="center"/>
            <w:hideMark/>
          </w:tcPr>
          <w:p w14:paraId="5E7406D6" w14:textId="77777777" w:rsidR="00DE7392" w:rsidRPr="00DE7392" w:rsidRDefault="00DE7392" w:rsidP="00E31ED1">
            <w:pPr>
              <w:jc w:val="center"/>
              <w:rPr>
                <w:rFonts w:ascii="Arial Narrow" w:eastAsia="Times New Roman" w:hAnsi="Arial Narrow" w:cs="Calibri"/>
                <w:b/>
                <w:bCs/>
                <w:color w:val="000000"/>
                <w:sz w:val="22"/>
                <w:szCs w:val="22"/>
              </w:rPr>
            </w:pPr>
            <w:r w:rsidRPr="00DE7392">
              <w:rPr>
                <w:rFonts w:ascii="Arial Narrow" w:eastAsia="Times New Roman" w:hAnsi="Arial Narrow" w:cs="Calibri"/>
                <w:b/>
                <w:bCs/>
                <w:color w:val="000000"/>
                <w:sz w:val="22"/>
                <w:szCs w:val="22"/>
              </w:rPr>
              <w:t>1</w:t>
            </w:r>
          </w:p>
        </w:tc>
        <w:tc>
          <w:tcPr>
            <w:tcW w:w="3656" w:type="dxa"/>
            <w:gridSpan w:val="2"/>
            <w:tcBorders>
              <w:top w:val="nil"/>
              <w:left w:val="single" w:sz="8" w:space="0" w:color="auto"/>
              <w:bottom w:val="single" w:sz="8" w:space="0" w:color="auto"/>
              <w:right w:val="single" w:sz="8" w:space="0" w:color="auto"/>
            </w:tcBorders>
            <w:shd w:val="clear" w:color="auto" w:fill="auto"/>
            <w:vAlign w:val="center"/>
            <w:hideMark/>
          </w:tcPr>
          <w:p w14:paraId="24373681" w14:textId="77777777" w:rsidR="00DE7392" w:rsidRPr="00DE7392" w:rsidRDefault="00DE7392" w:rsidP="00DE7392">
            <w:pPr>
              <w:rPr>
                <w:rFonts w:ascii="Arial Narrow" w:eastAsia="Times New Roman" w:hAnsi="Arial Narrow"/>
                <w:b/>
                <w:bCs/>
                <w:color w:val="000000"/>
                <w:sz w:val="22"/>
                <w:szCs w:val="22"/>
                <w:lang w:val="es-CR"/>
              </w:rPr>
            </w:pPr>
            <w:r w:rsidRPr="00DE7392">
              <w:rPr>
                <w:rFonts w:ascii="Arial Narrow" w:eastAsia="Times New Roman" w:hAnsi="Arial Narrow"/>
                <w:b/>
                <w:bCs/>
                <w:color w:val="000000"/>
                <w:sz w:val="22"/>
                <w:szCs w:val="22"/>
                <w:lang w:val="es-CR"/>
              </w:rPr>
              <w:t>Reconocimiento de gastos por bienes de consumo</w:t>
            </w:r>
          </w:p>
        </w:tc>
        <w:tc>
          <w:tcPr>
            <w:tcW w:w="2094" w:type="dxa"/>
            <w:gridSpan w:val="2"/>
            <w:tcBorders>
              <w:top w:val="nil"/>
              <w:left w:val="nil"/>
              <w:bottom w:val="single" w:sz="8" w:space="0" w:color="auto"/>
              <w:right w:val="single" w:sz="8" w:space="0" w:color="auto"/>
            </w:tcBorders>
            <w:shd w:val="clear" w:color="auto" w:fill="auto"/>
            <w:vAlign w:val="center"/>
            <w:hideMark/>
          </w:tcPr>
          <w:p w14:paraId="7532C8E1" w14:textId="207879DB" w:rsidR="00DE7392" w:rsidRPr="00DE7392" w:rsidRDefault="00DE7392" w:rsidP="00DE7392">
            <w:pPr>
              <w:rPr>
                <w:rFonts w:ascii="Arial Narrow" w:eastAsia="Times New Roman" w:hAnsi="Arial Narrow" w:cs="Calibri"/>
                <w:b/>
                <w:bCs/>
                <w:color w:val="000000"/>
                <w:sz w:val="22"/>
                <w:szCs w:val="22"/>
              </w:rPr>
            </w:pPr>
            <w:r w:rsidRPr="00DE7392">
              <w:rPr>
                <w:rFonts w:ascii="Arial Narrow" w:eastAsia="Times New Roman" w:hAnsi="Arial Narrow" w:cs="Calibri"/>
                <w:b/>
                <w:bCs/>
                <w:color w:val="000000"/>
                <w:sz w:val="22"/>
                <w:szCs w:val="22"/>
              </w:rPr>
              <w:t>NICSP 12</w:t>
            </w:r>
            <w:r w:rsidRPr="00DE7392">
              <w:rPr>
                <w:rFonts w:ascii="Arial Narrow" w:eastAsia="Times New Roman" w:hAnsi="Arial Narrow" w:cs="Calibri"/>
                <w:b/>
                <w:bCs/>
                <w:color w:val="000000"/>
                <w:sz w:val="22"/>
                <w:szCs w:val="22"/>
              </w:rPr>
              <w:br/>
              <w:t>Párrafo 44</w:t>
            </w:r>
          </w:p>
        </w:tc>
        <w:tc>
          <w:tcPr>
            <w:tcW w:w="1859" w:type="dxa"/>
            <w:gridSpan w:val="2"/>
            <w:tcBorders>
              <w:top w:val="nil"/>
              <w:left w:val="nil"/>
              <w:bottom w:val="single" w:sz="8" w:space="0" w:color="auto"/>
              <w:right w:val="single" w:sz="8" w:space="0" w:color="auto"/>
            </w:tcBorders>
            <w:shd w:val="clear" w:color="auto" w:fill="auto"/>
            <w:vAlign w:val="center"/>
            <w:hideMark/>
          </w:tcPr>
          <w:p w14:paraId="38514DA9" w14:textId="77777777" w:rsidR="00DE7392" w:rsidRPr="00DE7392" w:rsidRDefault="00DE7392" w:rsidP="00DE7392">
            <w:pPr>
              <w:jc w:val="center"/>
              <w:rPr>
                <w:rFonts w:ascii="Arial Narrow" w:eastAsia="Times New Roman" w:hAnsi="Arial Narrow" w:cs="Calibri"/>
                <w:b/>
                <w:bCs/>
                <w:color w:val="000000"/>
                <w:sz w:val="22"/>
                <w:szCs w:val="22"/>
              </w:rPr>
            </w:pPr>
            <w:r w:rsidRPr="00DE7392">
              <w:rPr>
                <w:rFonts w:ascii="Arial Narrow" w:eastAsia="Times New Roman" w:hAnsi="Arial Narrow" w:cs="Calibri"/>
                <w:b/>
                <w:bCs/>
                <w:color w:val="000000"/>
                <w:sz w:val="22"/>
                <w:szCs w:val="22"/>
              </w:rPr>
              <w:t>DGCN</w:t>
            </w:r>
          </w:p>
        </w:tc>
      </w:tr>
    </w:tbl>
    <w:p w14:paraId="6D59D32D" w14:textId="77777777" w:rsidR="001E0804" w:rsidRDefault="001E0804" w:rsidP="00924EC2">
      <w:pPr>
        <w:pStyle w:val="Default"/>
        <w:jc w:val="both"/>
        <w:rPr>
          <w:sz w:val="22"/>
          <w:szCs w:val="22"/>
          <w:lang w:val="es-CR"/>
        </w:rPr>
      </w:pPr>
    </w:p>
    <w:p w14:paraId="3E669F32" w14:textId="77777777" w:rsidR="00E31ED1" w:rsidRDefault="00E31ED1" w:rsidP="00E31ED1">
      <w:pPr>
        <w:pStyle w:val="Default"/>
        <w:ind w:left="1134" w:hanging="1134"/>
        <w:jc w:val="both"/>
        <w:rPr>
          <w:rFonts w:eastAsia="Arial"/>
          <w:b/>
          <w:sz w:val="22"/>
          <w:szCs w:val="22"/>
        </w:rPr>
      </w:pPr>
      <w:r w:rsidRPr="00F02F9D">
        <w:rPr>
          <w:rFonts w:eastAsia="Arial"/>
          <w:b/>
          <w:sz w:val="22"/>
          <w:szCs w:val="22"/>
        </w:rPr>
        <w:t>Políticas Contables</w:t>
      </w:r>
    </w:p>
    <w:p w14:paraId="406A05A0" w14:textId="77777777" w:rsidR="00E31ED1" w:rsidRDefault="00E31ED1" w:rsidP="00924EC2">
      <w:pPr>
        <w:pStyle w:val="Default"/>
        <w:jc w:val="both"/>
        <w:rPr>
          <w:sz w:val="22"/>
          <w:szCs w:val="22"/>
          <w:lang w:val="es-CR"/>
        </w:rPr>
      </w:pPr>
    </w:p>
    <w:p w14:paraId="1F5A10CA" w14:textId="52F8DF53" w:rsidR="00DE7392" w:rsidRPr="00AF5E44" w:rsidRDefault="00DE7392" w:rsidP="00B47576">
      <w:pPr>
        <w:pStyle w:val="Default"/>
        <w:ind w:left="1134" w:hanging="1134"/>
        <w:jc w:val="both"/>
        <w:rPr>
          <w:sz w:val="22"/>
          <w:szCs w:val="22"/>
          <w:lang w:val="es-CR"/>
        </w:rPr>
      </w:pPr>
      <w:r w:rsidRPr="00AF5E44">
        <w:rPr>
          <w:sz w:val="22"/>
          <w:szCs w:val="22"/>
          <w:lang w:val="es-CR"/>
        </w:rPr>
        <w:t>5.18.0.01</w:t>
      </w:r>
      <w:r w:rsidRPr="00AF5E44">
        <w:rPr>
          <w:sz w:val="22"/>
          <w:szCs w:val="22"/>
          <w:lang w:val="es-CR"/>
        </w:rPr>
        <w:tab/>
        <w:t xml:space="preserve">Se reconocerán como gastos del período en el cual se incurren: </w:t>
      </w:r>
    </w:p>
    <w:p w14:paraId="53130E69" w14:textId="77777777" w:rsidR="00DE7392" w:rsidRPr="00AF5E44" w:rsidRDefault="00DE7392">
      <w:pPr>
        <w:pStyle w:val="Default"/>
        <w:numPr>
          <w:ilvl w:val="0"/>
          <w:numId w:val="293"/>
        </w:numPr>
        <w:rPr>
          <w:sz w:val="22"/>
          <w:szCs w:val="22"/>
          <w:lang w:val="es-CR"/>
        </w:rPr>
      </w:pPr>
    </w:p>
    <w:p w14:paraId="7DD67F06" w14:textId="0B0B7C6F" w:rsidR="00DE7392" w:rsidRPr="00AF5E44" w:rsidRDefault="00DE7392">
      <w:pPr>
        <w:pStyle w:val="Default"/>
        <w:numPr>
          <w:ilvl w:val="0"/>
          <w:numId w:val="294"/>
        </w:numPr>
        <w:spacing w:after="120"/>
        <w:ind w:left="1418" w:hanging="284"/>
        <w:jc w:val="both"/>
        <w:rPr>
          <w:sz w:val="22"/>
          <w:szCs w:val="22"/>
          <w:lang w:val="es-CR"/>
        </w:rPr>
      </w:pPr>
      <w:r w:rsidRPr="00AF5E44">
        <w:rPr>
          <w:sz w:val="22"/>
          <w:szCs w:val="22"/>
          <w:lang w:val="es-CR"/>
        </w:rPr>
        <w:t xml:space="preserve">Los costos excluidos del valor de los inventarios detallados en el Capítulo “Activo” del presente PGCN; y </w:t>
      </w:r>
    </w:p>
    <w:p w14:paraId="5ED17861" w14:textId="3D78C778" w:rsidR="00DE7392" w:rsidRPr="00AF5E44" w:rsidRDefault="00DE7392">
      <w:pPr>
        <w:pStyle w:val="Default"/>
        <w:numPr>
          <w:ilvl w:val="0"/>
          <w:numId w:val="294"/>
        </w:numPr>
        <w:ind w:left="1418" w:hanging="284"/>
        <w:jc w:val="both"/>
        <w:rPr>
          <w:sz w:val="22"/>
          <w:szCs w:val="22"/>
          <w:lang w:val="es-CR"/>
        </w:rPr>
      </w:pPr>
      <w:r w:rsidRPr="00AF5E44">
        <w:rPr>
          <w:sz w:val="22"/>
          <w:szCs w:val="22"/>
          <w:lang w:val="es-CR"/>
        </w:rPr>
        <w:t xml:space="preserve">Las disminuciones de inventarios que tengan origen en los hechos generadores para reconocimiento como un </w:t>
      </w:r>
      <w:r w:rsidR="00B47576" w:rsidRPr="00AF5E44">
        <w:rPr>
          <w:sz w:val="22"/>
          <w:szCs w:val="22"/>
          <w:lang w:val="es-CR"/>
        </w:rPr>
        <w:t>gasto desarrollado</w:t>
      </w:r>
      <w:r w:rsidRPr="00AF5E44">
        <w:rPr>
          <w:sz w:val="22"/>
          <w:szCs w:val="22"/>
          <w:lang w:val="es-CR"/>
        </w:rPr>
        <w:t xml:space="preserve"> en dicho Capítulo.</w:t>
      </w:r>
    </w:p>
    <w:p w14:paraId="51C964D0" w14:textId="77777777" w:rsidR="00B47576" w:rsidRPr="00AF5E44" w:rsidRDefault="00B47576" w:rsidP="00B47576">
      <w:pPr>
        <w:pStyle w:val="Default"/>
        <w:ind w:left="1418"/>
        <w:rPr>
          <w:sz w:val="22"/>
          <w:szCs w:val="22"/>
          <w:lang w:val="es-CR"/>
        </w:rPr>
      </w:pPr>
    </w:p>
    <w:p w14:paraId="20BF25DD" w14:textId="34E9AB51" w:rsidR="00DE7392" w:rsidRPr="00AF5E44" w:rsidRDefault="00DE7392" w:rsidP="00B47576">
      <w:pPr>
        <w:pStyle w:val="Default"/>
        <w:ind w:left="1134" w:hanging="1134"/>
        <w:jc w:val="both"/>
        <w:rPr>
          <w:sz w:val="22"/>
          <w:szCs w:val="22"/>
          <w:lang w:val="es-CR"/>
        </w:rPr>
      </w:pPr>
      <w:r w:rsidRPr="00AF5E44">
        <w:rPr>
          <w:sz w:val="22"/>
          <w:szCs w:val="22"/>
          <w:lang w:val="es-CR"/>
        </w:rPr>
        <w:t>5.18.1.01</w:t>
      </w:r>
      <w:r w:rsidR="00B47576" w:rsidRPr="00AF5E44">
        <w:rPr>
          <w:sz w:val="22"/>
          <w:szCs w:val="22"/>
          <w:lang w:val="es-CR"/>
        </w:rPr>
        <w:tab/>
      </w:r>
      <w:r w:rsidRPr="00AF5E44">
        <w:rPr>
          <w:sz w:val="22"/>
          <w:szCs w:val="22"/>
          <w:lang w:val="es-CR"/>
        </w:rPr>
        <w:t xml:space="preserve">Cuando los inventarios se venden, se </w:t>
      </w:r>
      <w:r w:rsidR="000F29DC" w:rsidRPr="00AF5E44">
        <w:rPr>
          <w:sz w:val="22"/>
          <w:szCs w:val="22"/>
          <w:lang w:val="es-CR"/>
        </w:rPr>
        <w:t>interca</w:t>
      </w:r>
      <w:r w:rsidR="000F29DC">
        <w:rPr>
          <w:sz w:val="22"/>
          <w:szCs w:val="22"/>
          <w:lang w:val="es-CR"/>
        </w:rPr>
        <w:t>mbi</w:t>
      </w:r>
      <w:r w:rsidR="000F29DC" w:rsidRPr="00AF5E44">
        <w:rPr>
          <w:sz w:val="22"/>
          <w:szCs w:val="22"/>
          <w:lang w:val="es-CR"/>
        </w:rPr>
        <w:t>an</w:t>
      </w:r>
      <w:r w:rsidRPr="00AF5E44">
        <w:rPr>
          <w:sz w:val="22"/>
          <w:szCs w:val="22"/>
          <w:lang w:val="es-CR"/>
        </w:rPr>
        <w:t xml:space="preserve"> o se distribuyen, el importe en libros de los mismos se reconocerá como un gasto en el periodo en el que se registran los correspondientes ingresos. Si no supone un ingreso, los gastos se reconocen cuando se distribuyen los bienes o se presta el servicio. El importe de cualquier rebaja en los inventarios, y todas las pérdidas en los mismos, se reconocerán como un gasto en el periodo en que tenga lugar dicha rebaja. El importe de cualquier reversión de las rebajas de inventarios se registrará como una reducción en el importe de los inventarios reconocidos como un gasto, en el periodo en que la reversión tenga lugar.</w:t>
      </w:r>
    </w:p>
    <w:p w14:paraId="747A15E3" w14:textId="77777777" w:rsidR="001E0804" w:rsidRDefault="001E0804" w:rsidP="00924EC2">
      <w:pPr>
        <w:pStyle w:val="Default"/>
        <w:jc w:val="both"/>
        <w:rPr>
          <w:sz w:val="22"/>
          <w:szCs w:val="22"/>
          <w:lang w:val="es-CR"/>
        </w:rPr>
      </w:pPr>
    </w:p>
    <w:p w14:paraId="5851943A" w14:textId="77777777" w:rsidR="00E31ED1" w:rsidRDefault="00E31ED1" w:rsidP="00924EC2">
      <w:pPr>
        <w:pStyle w:val="Default"/>
        <w:jc w:val="both"/>
        <w:rPr>
          <w:sz w:val="22"/>
          <w:szCs w:val="22"/>
          <w:lang w:val="es-CR"/>
        </w:rPr>
      </w:pPr>
    </w:p>
    <w:p w14:paraId="227FACF1" w14:textId="77777777" w:rsidR="00E31ED1" w:rsidRDefault="00E31ED1" w:rsidP="00924EC2">
      <w:pPr>
        <w:pStyle w:val="Default"/>
        <w:jc w:val="both"/>
        <w:rPr>
          <w:sz w:val="22"/>
          <w:szCs w:val="22"/>
          <w:lang w:val="es-CR"/>
        </w:rPr>
      </w:pPr>
    </w:p>
    <w:p w14:paraId="00E08398" w14:textId="7E409144" w:rsidR="00A456CC" w:rsidRPr="00A456CC" w:rsidRDefault="00A456CC" w:rsidP="00A456CC">
      <w:pPr>
        <w:pStyle w:val="Ttulo2"/>
        <w:ind w:left="284"/>
        <w:rPr>
          <w:rFonts w:ascii="Arial" w:eastAsia="Arial" w:hAnsi="Arial" w:cs="Arial"/>
          <w:b/>
          <w:bCs/>
          <w:sz w:val="22"/>
          <w:szCs w:val="22"/>
          <w:lang w:val="es-CR"/>
        </w:rPr>
      </w:pPr>
      <w:bookmarkStart w:id="157" w:name="_Toc172726292"/>
      <w:r w:rsidRPr="00A456CC">
        <w:rPr>
          <w:rFonts w:ascii="Arial" w:eastAsia="Arial" w:hAnsi="Arial" w:cs="Arial"/>
          <w:b/>
          <w:bCs/>
          <w:sz w:val="22"/>
          <w:szCs w:val="22"/>
          <w:lang w:val="es-CR"/>
        </w:rPr>
        <w:t>Reconocimiento de gastos de bienes de</w:t>
      </w:r>
      <w:r w:rsidR="00A45C57">
        <w:rPr>
          <w:rFonts w:ascii="Arial" w:eastAsia="Arial" w:hAnsi="Arial" w:cs="Arial"/>
          <w:b/>
          <w:bCs/>
          <w:sz w:val="22"/>
          <w:szCs w:val="22"/>
          <w:lang w:val="es-CR"/>
        </w:rPr>
        <w:t>l Activo Fijo</w:t>
      </w:r>
      <w:bookmarkEnd w:id="157"/>
    </w:p>
    <w:p w14:paraId="58481FB2" w14:textId="77777777" w:rsidR="00A456CC" w:rsidRDefault="00A456CC" w:rsidP="00924EC2">
      <w:pPr>
        <w:pStyle w:val="Default"/>
        <w:jc w:val="both"/>
        <w:rPr>
          <w:sz w:val="22"/>
          <w:szCs w:val="22"/>
          <w:lang w:val="es-CR"/>
        </w:rPr>
      </w:pPr>
    </w:p>
    <w:p w14:paraId="099DAC1D" w14:textId="77777777" w:rsidR="00A456CC" w:rsidRDefault="00A456CC" w:rsidP="00924EC2">
      <w:pPr>
        <w:pStyle w:val="Default"/>
        <w:jc w:val="both"/>
        <w:rPr>
          <w:sz w:val="22"/>
          <w:szCs w:val="22"/>
          <w:lang w:val="es-CR"/>
        </w:rPr>
      </w:pPr>
    </w:p>
    <w:tbl>
      <w:tblPr>
        <w:tblW w:w="9246" w:type="dxa"/>
        <w:tblInd w:w="118" w:type="dxa"/>
        <w:tblLook w:val="04A0" w:firstRow="1" w:lastRow="0" w:firstColumn="1" w:lastColumn="0" w:noHBand="0" w:noVBand="1"/>
      </w:tblPr>
      <w:tblGrid>
        <w:gridCol w:w="439"/>
        <w:gridCol w:w="709"/>
        <w:gridCol w:w="426"/>
        <w:gridCol w:w="10"/>
        <w:gridCol w:w="3681"/>
        <w:gridCol w:w="10"/>
        <w:gridCol w:w="2110"/>
        <w:gridCol w:w="1846"/>
        <w:gridCol w:w="15"/>
      </w:tblGrid>
      <w:tr w:rsidR="00B47576" w:rsidRPr="00B47576" w14:paraId="519722B9" w14:textId="77777777" w:rsidTr="00E31ED1">
        <w:trPr>
          <w:trHeight w:val="320"/>
        </w:trPr>
        <w:tc>
          <w:tcPr>
            <w:tcW w:w="158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341B0DCE" w14:textId="77777777" w:rsidR="00B47576" w:rsidRPr="00B47576" w:rsidRDefault="00B47576" w:rsidP="00B47576">
            <w:pPr>
              <w:jc w:val="center"/>
              <w:rPr>
                <w:rFonts w:ascii="Arial Narrow" w:eastAsia="Times New Roman" w:hAnsi="Arial Narrow" w:cs="Calibri"/>
                <w:b/>
                <w:bCs/>
                <w:color w:val="FFFFFF"/>
                <w:sz w:val="22"/>
                <w:szCs w:val="22"/>
              </w:rPr>
            </w:pPr>
            <w:r w:rsidRPr="00B47576">
              <w:rPr>
                <w:rFonts w:ascii="Arial Narrow" w:eastAsia="Times New Roman" w:hAnsi="Arial Narrow" w:cs="Calibri"/>
                <w:b/>
                <w:bCs/>
                <w:color w:val="FFFFFF"/>
                <w:sz w:val="22"/>
                <w:szCs w:val="22"/>
              </w:rPr>
              <w:t>Norma / Política</w:t>
            </w:r>
          </w:p>
        </w:tc>
        <w:tc>
          <w:tcPr>
            <w:tcW w:w="369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CED5641" w14:textId="77777777" w:rsidR="00B47576" w:rsidRPr="00B47576" w:rsidRDefault="00B47576" w:rsidP="00B47576">
            <w:pPr>
              <w:jc w:val="center"/>
              <w:rPr>
                <w:rFonts w:ascii="Arial Narrow" w:eastAsia="Times New Roman" w:hAnsi="Arial Narrow" w:cs="Calibri"/>
                <w:b/>
                <w:bCs/>
                <w:color w:val="FFFFFF"/>
                <w:sz w:val="22"/>
                <w:szCs w:val="22"/>
              </w:rPr>
            </w:pPr>
            <w:r w:rsidRPr="00B47576">
              <w:rPr>
                <w:rFonts w:ascii="Arial Narrow" w:eastAsia="Times New Roman" w:hAnsi="Arial Narrow" w:cs="Calibri"/>
                <w:b/>
                <w:bCs/>
                <w:color w:val="FFFFFF"/>
                <w:sz w:val="22"/>
                <w:szCs w:val="22"/>
              </w:rPr>
              <w:t>Concepto</w:t>
            </w:r>
          </w:p>
        </w:tc>
        <w:tc>
          <w:tcPr>
            <w:tcW w:w="3971" w:type="dxa"/>
            <w:gridSpan w:val="3"/>
            <w:tcBorders>
              <w:top w:val="single" w:sz="8" w:space="0" w:color="auto"/>
              <w:left w:val="nil"/>
              <w:bottom w:val="single" w:sz="8" w:space="0" w:color="auto"/>
              <w:right w:val="single" w:sz="8" w:space="0" w:color="000000"/>
            </w:tcBorders>
            <w:shd w:val="clear" w:color="000000" w:fill="203764"/>
            <w:vAlign w:val="center"/>
            <w:hideMark/>
          </w:tcPr>
          <w:p w14:paraId="0812BADB" w14:textId="77777777" w:rsidR="00B47576" w:rsidRPr="00B47576" w:rsidRDefault="00B47576" w:rsidP="00B47576">
            <w:pPr>
              <w:jc w:val="center"/>
              <w:rPr>
                <w:rFonts w:ascii="Arial Narrow" w:eastAsia="Times New Roman" w:hAnsi="Arial Narrow" w:cs="Calibri"/>
                <w:b/>
                <w:bCs/>
                <w:color w:val="FFFFFF"/>
                <w:sz w:val="22"/>
                <w:szCs w:val="22"/>
              </w:rPr>
            </w:pPr>
            <w:r w:rsidRPr="00B47576">
              <w:rPr>
                <w:rFonts w:ascii="Arial Narrow" w:eastAsia="Times New Roman" w:hAnsi="Arial Narrow" w:cs="Calibri"/>
                <w:b/>
                <w:bCs/>
                <w:color w:val="FFFFFF"/>
                <w:sz w:val="22"/>
                <w:szCs w:val="22"/>
              </w:rPr>
              <w:t>Referencia</w:t>
            </w:r>
          </w:p>
        </w:tc>
      </w:tr>
      <w:tr w:rsidR="00B47576" w:rsidRPr="006E5442" w14:paraId="6A95B534" w14:textId="77777777" w:rsidTr="00E31ED1">
        <w:trPr>
          <w:gridAfter w:val="1"/>
          <w:wAfter w:w="15" w:type="dxa"/>
          <w:trHeight w:val="940"/>
        </w:trPr>
        <w:tc>
          <w:tcPr>
            <w:tcW w:w="1584" w:type="dxa"/>
            <w:gridSpan w:val="4"/>
            <w:vMerge/>
            <w:tcBorders>
              <w:top w:val="single" w:sz="8" w:space="0" w:color="auto"/>
              <w:left w:val="single" w:sz="8" w:space="0" w:color="auto"/>
              <w:bottom w:val="nil"/>
              <w:right w:val="single" w:sz="8" w:space="0" w:color="000000"/>
            </w:tcBorders>
            <w:vAlign w:val="center"/>
            <w:hideMark/>
          </w:tcPr>
          <w:p w14:paraId="2E1BF1C5" w14:textId="77777777" w:rsidR="00B47576" w:rsidRPr="00B47576" w:rsidRDefault="00B47576" w:rsidP="00B47576">
            <w:pPr>
              <w:rPr>
                <w:rFonts w:ascii="Arial Narrow" w:eastAsia="Times New Roman" w:hAnsi="Arial Narrow" w:cs="Calibri"/>
                <w:b/>
                <w:bCs/>
                <w:color w:val="FFFFFF"/>
                <w:sz w:val="22"/>
                <w:szCs w:val="22"/>
              </w:rPr>
            </w:pPr>
          </w:p>
        </w:tc>
        <w:tc>
          <w:tcPr>
            <w:tcW w:w="3691" w:type="dxa"/>
            <w:gridSpan w:val="2"/>
            <w:vMerge/>
            <w:tcBorders>
              <w:top w:val="single" w:sz="8" w:space="0" w:color="auto"/>
              <w:left w:val="single" w:sz="8" w:space="0" w:color="auto"/>
              <w:bottom w:val="nil"/>
              <w:right w:val="single" w:sz="8" w:space="0" w:color="auto"/>
            </w:tcBorders>
            <w:vAlign w:val="center"/>
            <w:hideMark/>
          </w:tcPr>
          <w:p w14:paraId="0116CEE3" w14:textId="77777777" w:rsidR="00B47576" w:rsidRPr="00B47576" w:rsidRDefault="00B47576" w:rsidP="00B47576">
            <w:pPr>
              <w:rPr>
                <w:rFonts w:ascii="Arial Narrow" w:eastAsia="Times New Roman" w:hAnsi="Arial Narrow" w:cs="Calibri"/>
                <w:b/>
                <w:bCs/>
                <w:color w:val="FFFFFF"/>
                <w:sz w:val="22"/>
                <w:szCs w:val="22"/>
              </w:rPr>
            </w:pPr>
          </w:p>
        </w:tc>
        <w:tc>
          <w:tcPr>
            <w:tcW w:w="2110" w:type="dxa"/>
            <w:tcBorders>
              <w:top w:val="nil"/>
              <w:left w:val="nil"/>
              <w:bottom w:val="nil"/>
              <w:right w:val="single" w:sz="8" w:space="0" w:color="auto"/>
            </w:tcBorders>
            <w:shd w:val="clear" w:color="000000" w:fill="203764"/>
            <w:vAlign w:val="center"/>
            <w:hideMark/>
          </w:tcPr>
          <w:p w14:paraId="630B9668" w14:textId="77777777" w:rsidR="00B47576" w:rsidRPr="00B47576" w:rsidRDefault="00B47576" w:rsidP="00B47576">
            <w:pPr>
              <w:jc w:val="center"/>
              <w:rPr>
                <w:rFonts w:ascii="Arial Narrow" w:eastAsia="Times New Roman" w:hAnsi="Arial Narrow" w:cs="Calibri"/>
                <w:b/>
                <w:bCs/>
                <w:color w:val="FFFFFF"/>
                <w:sz w:val="22"/>
                <w:szCs w:val="22"/>
              </w:rPr>
            </w:pPr>
            <w:r w:rsidRPr="00B47576">
              <w:rPr>
                <w:rFonts w:ascii="Arial Narrow" w:eastAsia="Times New Roman" w:hAnsi="Arial Narrow" w:cs="Calibri"/>
                <w:b/>
                <w:bCs/>
                <w:color w:val="FFFFFF"/>
                <w:sz w:val="22"/>
                <w:szCs w:val="22"/>
              </w:rPr>
              <w:t>Norma</w:t>
            </w:r>
          </w:p>
        </w:tc>
        <w:tc>
          <w:tcPr>
            <w:tcW w:w="1846" w:type="dxa"/>
            <w:tcBorders>
              <w:top w:val="nil"/>
              <w:left w:val="nil"/>
              <w:bottom w:val="nil"/>
              <w:right w:val="single" w:sz="8" w:space="0" w:color="auto"/>
            </w:tcBorders>
            <w:shd w:val="clear" w:color="000000" w:fill="203764"/>
            <w:vAlign w:val="center"/>
            <w:hideMark/>
          </w:tcPr>
          <w:p w14:paraId="4E95F99C" w14:textId="77777777" w:rsidR="00B47576" w:rsidRPr="00B47576" w:rsidRDefault="00B47576" w:rsidP="00B47576">
            <w:pPr>
              <w:jc w:val="center"/>
              <w:rPr>
                <w:rFonts w:ascii="Arial Narrow" w:eastAsia="Times New Roman" w:hAnsi="Arial Narrow" w:cs="Calibri"/>
                <w:b/>
                <w:bCs/>
                <w:color w:val="FFFFFF"/>
                <w:sz w:val="22"/>
                <w:szCs w:val="22"/>
                <w:lang w:val="es-CR"/>
              </w:rPr>
            </w:pPr>
            <w:r w:rsidRPr="00B47576">
              <w:rPr>
                <w:rFonts w:ascii="Arial Narrow" w:eastAsia="Times New Roman" w:hAnsi="Arial Narrow" w:cs="Calibri"/>
                <w:b/>
                <w:bCs/>
                <w:color w:val="FFFFFF"/>
                <w:sz w:val="22"/>
                <w:szCs w:val="22"/>
                <w:lang w:val="es-CR"/>
              </w:rPr>
              <w:t>Normativa técnica y disposiciones adicionales</w:t>
            </w:r>
          </w:p>
        </w:tc>
      </w:tr>
      <w:tr w:rsidR="00B47576" w:rsidRPr="00B47576" w14:paraId="4E88564F" w14:textId="77777777" w:rsidTr="00E31ED1">
        <w:trPr>
          <w:trHeight w:val="63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557C70" w14:textId="77777777" w:rsidR="00B47576" w:rsidRPr="00B47576" w:rsidRDefault="00B47576" w:rsidP="00B47576">
            <w:pPr>
              <w:jc w:val="center"/>
              <w:rPr>
                <w:rFonts w:ascii="Arial Narrow" w:eastAsia="Times New Roman" w:hAnsi="Arial Narrow" w:cs="Calibri"/>
                <w:b/>
                <w:bCs/>
                <w:color w:val="000000"/>
                <w:sz w:val="22"/>
                <w:szCs w:val="22"/>
              </w:rPr>
            </w:pPr>
            <w:r w:rsidRPr="00B47576">
              <w:rPr>
                <w:rFonts w:ascii="Arial Narrow" w:eastAsia="Times New Roman" w:hAnsi="Arial Narrow" w:cs="Calibri"/>
                <w:b/>
                <w:bCs/>
                <w:color w:val="000000"/>
                <w:sz w:val="22"/>
                <w:szCs w:val="22"/>
              </w:rPr>
              <w:t>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693816B" w14:textId="77777777" w:rsidR="00B47576" w:rsidRPr="00B47576" w:rsidRDefault="00B47576" w:rsidP="00B47576">
            <w:pPr>
              <w:jc w:val="center"/>
              <w:rPr>
                <w:rFonts w:ascii="Arial Narrow" w:eastAsia="Times New Roman" w:hAnsi="Arial Narrow" w:cs="Calibri"/>
                <w:b/>
                <w:bCs/>
                <w:color w:val="000000"/>
                <w:sz w:val="22"/>
                <w:szCs w:val="22"/>
              </w:rPr>
            </w:pPr>
            <w:r w:rsidRPr="00B47576">
              <w:rPr>
                <w:rFonts w:ascii="Arial Narrow" w:eastAsia="Times New Roman" w:hAnsi="Arial Narrow" w:cs="Calibri"/>
                <w:b/>
                <w:bCs/>
                <w:color w:val="000000"/>
                <w:sz w:val="22"/>
                <w:szCs w:val="22"/>
              </w:rPr>
              <w:t>19</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23D8D092" w14:textId="77777777" w:rsidR="00B47576" w:rsidRPr="00B47576" w:rsidRDefault="00B47576" w:rsidP="00B47576">
            <w:pPr>
              <w:jc w:val="center"/>
              <w:rPr>
                <w:rFonts w:ascii="Arial Narrow" w:eastAsia="Times New Roman" w:hAnsi="Arial Narrow" w:cs="Calibri"/>
                <w:b/>
                <w:bCs/>
                <w:color w:val="000000"/>
                <w:sz w:val="22"/>
                <w:szCs w:val="22"/>
              </w:rPr>
            </w:pPr>
            <w:r w:rsidRPr="00B47576">
              <w:rPr>
                <w:rFonts w:ascii="Arial Narrow" w:eastAsia="Times New Roman" w:hAnsi="Arial Narrow" w:cs="Calibri"/>
                <w:b/>
                <w:bCs/>
                <w:color w:val="000000"/>
                <w:sz w:val="22"/>
                <w:szCs w:val="22"/>
              </w:rPr>
              <w:t> </w:t>
            </w:r>
          </w:p>
        </w:tc>
        <w:tc>
          <w:tcPr>
            <w:tcW w:w="3691" w:type="dxa"/>
            <w:gridSpan w:val="2"/>
            <w:tcBorders>
              <w:top w:val="single" w:sz="8" w:space="0" w:color="auto"/>
              <w:left w:val="nil"/>
              <w:bottom w:val="single" w:sz="8" w:space="0" w:color="auto"/>
              <w:right w:val="single" w:sz="8" w:space="0" w:color="auto"/>
            </w:tcBorders>
            <w:shd w:val="clear" w:color="auto" w:fill="auto"/>
            <w:vAlign w:val="center"/>
            <w:hideMark/>
          </w:tcPr>
          <w:p w14:paraId="4FC63DB1" w14:textId="77777777" w:rsidR="00B47576" w:rsidRPr="00B47576" w:rsidRDefault="00B47576" w:rsidP="00B47576">
            <w:pPr>
              <w:jc w:val="both"/>
              <w:rPr>
                <w:rFonts w:ascii="Arial Narrow" w:eastAsia="Times New Roman" w:hAnsi="Arial Narrow" w:cs="Calibri"/>
                <w:b/>
                <w:bCs/>
                <w:color w:val="000000"/>
                <w:sz w:val="22"/>
                <w:szCs w:val="22"/>
                <w:lang w:val="es-CR"/>
              </w:rPr>
            </w:pPr>
            <w:r w:rsidRPr="00B47576">
              <w:rPr>
                <w:rFonts w:ascii="Arial Narrow" w:eastAsia="Times New Roman" w:hAnsi="Arial Narrow" w:cs="Calibri"/>
                <w:b/>
                <w:bCs/>
                <w:color w:val="000000"/>
                <w:sz w:val="22"/>
                <w:szCs w:val="22"/>
                <w:lang w:val="es-CR"/>
              </w:rPr>
              <w:t>Reconocimiento de gastos por bienes del Activo Fijo</w:t>
            </w:r>
          </w:p>
        </w:tc>
        <w:tc>
          <w:tcPr>
            <w:tcW w:w="2120" w:type="dxa"/>
            <w:gridSpan w:val="2"/>
            <w:tcBorders>
              <w:top w:val="single" w:sz="8" w:space="0" w:color="auto"/>
              <w:left w:val="nil"/>
              <w:bottom w:val="single" w:sz="8" w:space="0" w:color="auto"/>
              <w:right w:val="single" w:sz="8" w:space="0" w:color="auto"/>
            </w:tcBorders>
            <w:shd w:val="clear" w:color="auto" w:fill="auto"/>
            <w:vAlign w:val="center"/>
            <w:hideMark/>
          </w:tcPr>
          <w:p w14:paraId="4C1912BE" w14:textId="77777777" w:rsidR="00B47576" w:rsidRPr="00AF5E44" w:rsidRDefault="00B47576" w:rsidP="00B47576">
            <w:pPr>
              <w:jc w:val="both"/>
              <w:rPr>
                <w:rFonts w:ascii="Arial Narrow" w:eastAsia="Times New Roman" w:hAnsi="Arial Narrow" w:cs="Calibri"/>
                <w:b/>
                <w:bCs/>
                <w:color w:val="000000"/>
                <w:sz w:val="22"/>
                <w:szCs w:val="22"/>
              </w:rPr>
            </w:pPr>
            <w:r w:rsidRPr="00B47576">
              <w:rPr>
                <w:rFonts w:ascii="Arial Narrow" w:eastAsia="Times New Roman" w:hAnsi="Arial Narrow" w:cs="Calibri"/>
                <w:b/>
                <w:bCs/>
                <w:color w:val="000000"/>
                <w:sz w:val="22"/>
                <w:szCs w:val="22"/>
              </w:rPr>
              <w:t>NICSP N° 17,</w:t>
            </w:r>
          </w:p>
          <w:p w14:paraId="0339822D" w14:textId="2F117743" w:rsidR="00B47576" w:rsidRPr="00B47576" w:rsidRDefault="00B47576" w:rsidP="00B47576">
            <w:pPr>
              <w:jc w:val="both"/>
              <w:rPr>
                <w:rFonts w:ascii="Arial Narrow" w:eastAsia="Times New Roman" w:hAnsi="Arial Narrow" w:cs="Calibri"/>
                <w:b/>
                <w:bCs/>
                <w:color w:val="000000"/>
                <w:sz w:val="22"/>
                <w:szCs w:val="22"/>
              </w:rPr>
            </w:pPr>
            <w:r w:rsidRPr="00B47576">
              <w:rPr>
                <w:rFonts w:ascii="Arial Narrow" w:eastAsia="Times New Roman" w:hAnsi="Arial Narrow" w:cs="Calibri"/>
                <w:b/>
                <w:bCs/>
                <w:color w:val="000000"/>
                <w:sz w:val="22"/>
                <w:szCs w:val="22"/>
              </w:rPr>
              <w:t>Párrafos 23, 33 y 34.</w:t>
            </w:r>
          </w:p>
        </w:tc>
        <w:tc>
          <w:tcPr>
            <w:tcW w:w="1856" w:type="dxa"/>
            <w:gridSpan w:val="2"/>
            <w:tcBorders>
              <w:top w:val="single" w:sz="8" w:space="0" w:color="auto"/>
              <w:left w:val="nil"/>
              <w:bottom w:val="single" w:sz="8" w:space="0" w:color="auto"/>
              <w:right w:val="single" w:sz="8" w:space="0" w:color="auto"/>
            </w:tcBorders>
            <w:shd w:val="clear" w:color="auto" w:fill="auto"/>
            <w:vAlign w:val="center"/>
            <w:hideMark/>
          </w:tcPr>
          <w:p w14:paraId="5043A7C7" w14:textId="77777777" w:rsidR="00B47576" w:rsidRPr="00B47576" w:rsidRDefault="00B47576" w:rsidP="00B47576">
            <w:pPr>
              <w:rPr>
                <w:rFonts w:ascii="Arial Narrow" w:eastAsia="Times New Roman" w:hAnsi="Arial Narrow" w:cs="Calibri"/>
                <w:b/>
                <w:bCs/>
                <w:color w:val="000000"/>
                <w:sz w:val="22"/>
                <w:szCs w:val="22"/>
              </w:rPr>
            </w:pPr>
            <w:r w:rsidRPr="00B47576">
              <w:rPr>
                <w:rFonts w:ascii="Arial Narrow" w:eastAsia="Times New Roman" w:hAnsi="Arial Narrow" w:cs="Calibri"/>
                <w:b/>
                <w:bCs/>
                <w:color w:val="000000"/>
                <w:sz w:val="22"/>
                <w:szCs w:val="22"/>
              </w:rPr>
              <w:t>DGCN</w:t>
            </w:r>
          </w:p>
        </w:tc>
      </w:tr>
    </w:tbl>
    <w:p w14:paraId="721B2392" w14:textId="77777777" w:rsidR="00B47576" w:rsidRDefault="00B47576" w:rsidP="00924EC2">
      <w:pPr>
        <w:pStyle w:val="Default"/>
        <w:jc w:val="both"/>
        <w:rPr>
          <w:sz w:val="22"/>
          <w:szCs w:val="22"/>
          <w:lang w:val="es-CR"/>
        </w:rPr>
      </w:pPr>
    </w:p>
    <w:p w14:paraId="73768DC4" w14:textId="77777777" w:rsidR="00E31ED1" w:rsidRDefault="00E31ED1" w:rsidP="00E31ED1">
      <w:pPr>
        <w:pStyle w:val="Default"/>
        <w:ind w:left="1134" w:hanging="1134"/>
        <w:jc w:val="both"/>
        <w:rPr>
          <w:rFonts w:eastAsia="Arial"/>
          <w:b/>
          <w:sz w:val="22"/>
          <w:szCs w:val="22"/>
        </w:rPr>
      </w:pPr>
      <w:r w:rsidRPr="00F02F9D">
        <w:rPr>
          <w:rFonts w:eastAsia="Arial"/>
          <w:b/>
          <w:sz w:val="22"/>
          <w:szCs w:val="22"/>
        </w:rPr>
        <w:t>Políticas Contables</w:t>
      </w:r>
    </w:p>
    <w:p w14:paraId="1C4DE5D3" w14:textId="77777777" w:rsidR="00E31ED1" w:rsidRDefault="00E31ED1" w:rsidP="00924EC2">
      <w:pPr>
        <w:pStyle w:val="Default"/>
        <w:jc w:val="both"/>
        <w:rPr>
          <w:sz w:val="22"/>
          <w:szCs w:val="22"/>
          <w:lang w:val="es-CR"/>
        </w:rPr>
      </w:pPr>
    </w:p>
    <w:p w14:paraId="7EE9D3CC" w14:textId="2384E759" w:rsidR="00B47576" w:rsidRPr="00AF5E44" w:rsidRDefault="00B47576" w:rsidP="0000437B">
      <w:pPr>
        <w:pStyle w:val="Default"/>
        <w:ind w:left="1134" w:hanging="1134"/>
        <w:jc w:val="both"/>
        <w:rPr>
          <w:sz w:val="22"/>
          <w:szCs w:val="22"/>
          <w:lang w:val="es-CR"/>
        </w:rPr>
      </w:pPr>
      <w:r w:rsidRPr="00AF5E44">
        <w:rPr>
          <w:sz w:val="22"/>
          <w:szCs w:val="22"/>
          <w:lang w:val="es-CR"/>
        </w:rPr>
        <w:t>5.19.0.01</w:t>
      </w:r>
      <w:r w:rsidRPr="00AF5E44">
        <w:rPr>
          <w:sz w:val="22"/>
          <w:szCs w:val="22"/>
          <w:lang w:val="es-CR"/>
        </w:rPr>
        <w:tab/>
        <w:t>No serán elementos (costos) a incorporar al valor de los activos fijos y, por ende, se los reconocerá como gastos de cada período:</w:t>
      </w:r>
    </w:p>
    <w:p w14:paraId="2FC3CDDE" w14:textId="77777777" w:rsidR="00B47576" w:rsidRPr="00AF5E44" w:rsidRDefault="00B47576" w:rsidP="0000437B">
      <w:pPr>
        <w:pStyle w:val="Default"/>
        <w:ind w:left="1134" w:hanging="1134"/>
        <w:jc w:val="both"/>
        <w:rPr>
          <w:sz w:val="22"/>
          <w:szCs w:val="22"/>
          <w:lang w:val="es-CR"/>
        </w:rPr>
      </w:pPr>
    </w:p>
    <w:p w14:paraId="6B6F4167" w14:textId="345791CB" w:rsidR="00B47576" w:rsidRPr="00AF5E44" w:rsidRDefault="00B47576">
      <w:pPr>
        <w:pStyle w:val="Default"/>
        <w:numPr>
          <w:ilvl w:val="0"/>
          <w:numId w:val="296"/>
        </w:numPr>
        <w:spacing w:after="120"/>
        <w:ind w:left="1418" w:hanging="284"/>
        <w:jc w:val="both"/>
        <w:rPr>
          <w:sz w:val="22"/>
          <w:szCs w:val="22"/>
          <w:lang w:val="es-CR"/>
        </w:rPr>
      </w:pPr>
      <w:r w:rsidRPr="00AF5E44">
        <w:rPr>
          <w:sz w:val="22"/>
          <w:szCs w:val="22"/>
          <w:lang w:val="es-CR"/>
        </w:rPr>
        <w:t xml:space="preserve">Los costos de apertura de una nueva instalación productiva; </w:t>
      </w:r>
    </w:p>
    <w:p w14:paraId="3BB762EF" w14:textId="3793D24C" w:rsidR="00B47576" w:rsidRPr="00AF5E44" w:rsidRDefault="00B47576">
      <w:pPr>
        <w:pStyle w:val="Default"/>
        <w:numPr>
          <w:ilvl w:val="0"/>
          <w:numId w:val="296"/>
        </w:numPr>
        <w:spacing w:after="20"/>
        <w:ind w:left="1418" w:hanging="284"/>
        <w:jc w:val="both"/>
        <w:rPr>
          <w:sz w:val="22"/>
          <w:szCs w:val="22"/>
          <w:lang w:val="es-CR"/>
        </w:rPr>
      </w:pPr>
      <w:r w:rsidRPr="00AF5E44">
        <w:rPr>
          <w:sz w:val="22"/>
          <w:szCs w:val="22"/>
          <w:lang w:val="es-CR"/>
        </w:rPr>
        <w:t>Los costos incurridos por la utilización o por la reprogramación del uso de un elemento, tales como:</w:t>
      </w:r>
    </w:p>
    <w:p w14:paraId="7B84E171" w14:textId="77777777" w:rsidR="00B47576" w:rsidRPr="00AF5E44" w:rsidRDefault="00B47576" w:rsidP="0000437B">
      <w:pPr>
        <w:pStyle w:val="Default"/>
        <w:spacing w:after="20"/>
        <w:ind w:left="1418"/>
        <w:jc w:val="both"/>
        <w:rPr>
          <w:sz w:val="22"/>
          <w:szCs w:val="22"/>
          <w:lang w:val="es-CR"/>
        </w:rPr>
      </w:pPr>
    </w:p>
    <w:p w14:paraId="1FE62727" w14:textId="155F6E76" w:rsidR="0000437B" w:rsidRPr="00AF5E44" w:rsidRDefault="00B47576">
      <w:pPr>
        <w:pStyle w:val="Default"/>
        <w:numPr>
          <w:ilvl w:val="0"/>
          <w:numId w:val="297"/>
        </w:numPr>
        <w:spacing w:after="120"/>
        <w:ind w:left="1701" w:hanging="142"/>
        <w:jc w:val="both"/>
        <w:rPr>
          <w:sz w:val="22"/>
          <w:szCs w:val="22"/>
          <w:lang w:val="es-CR"/>
        </w:rPr>
      </w:pPr>
      <w:r w:rsidRPr="00AF5E44">
        <w:rPr>
          <w:sz w:val="22"/>
          <w:szCs w:val="22"/>
          <w:lang w:val="es-CR"/>
        </w:rPr>
        <w:t>Costos incurridos cuando un elemento, capaz de operar de la forma prevista por la gerencia o dirección de la entidad, todavía tiene que ser puesto en marcha o está operando por debajo de su capacidad plena;</w:t>
      </w:r>
    </w:p>
    <w:p w14:paraId="56BDA4E0" w14:textId="37A8F48A" w:rsidR="00B47576" w:rsidRPr="00AF5E44" w:rsidRDefault="00B47576">
      <w:pPr>
        <w:pStyle w:val="Default"/>
        <w:numPr>
          <w:ilvl w:val="0"/>
          <w:numId w:val="297"/>
        </w:numPr>
        <w:spacing w:after="120"/>
        <w:ind w:left="1701" w:hanging="142"/>
        <w:jc w:val="both"/>
        <w:rPr>
          <w:sz w:val="22"/>
          <w:szCs w:val="22"/>
          <w:lang w:val="es-CR"/>
        </w:rPr>
      </w:pPr>
      <w:r w:rsidRPr="00AF5E44">
        <w:rPr>
          <w:sz w:val="22"/>
          <w:szCs w:val="22"/>
          <w:lang w:val="es-CR"/>
        </w:rPr>
        <w:t>Pérdidas operativas iniciales, tales como las incurridas mientras se desarrolla la demanda de los productos que se elaboran con el elemento;</w:t>
      </w:r>
    </w:p>
    <w:p w14:paraId="238AF9D3" w14:textId="52886CAA" w:rsidR="00B47576" w:rsidRPr="00AF5E44" w:rsidRDefault="00B47576">
      <w:pPr>
        <w:pStyle w:val="Default"/>
        <w:numPr>
          <w:ilvl w:val="0"/>
          <w:numId w:val="297"/>
        </w:numPr>
        <w:spacing w:after="20"/>
        <w:ind w:left="1701" w:hanging="141"/>
        <w:jc w:val="both"/>
        <w:rPr>
          <w:sz w:val="22"/>
          <w:szCs w:val="22"/>
          <w:lang w:val="es-CR"/>
        </w:rPr>
      </w:pPr>
      <w:r w:rsidRPr="00AF5E44">
        <w:rPr>
          <w:sz w:val="22"/>
          <w:szCs w:val="22"/>
          <w:lang w:val="es-CR"/>
        </w:rPr>
        <w:t xml:space="preserve">Costos de reubicación o reorganización de parte o de la totalidad de las operaciones de la entidad; </w:t>
      </w:r>
    </w:p>
    <w:p w14:paraId="259EDEF5" w14:textId="77777777" w:rsidR="00B47576" w:rsidRPr="00AF5E44" w:rsidRDefault="00B47576">
      <w:pPr>
        <w:pStyle w:val="Default"/>
        <w:numPr>
          <w:ilvl w:val="1"/>
          <w:numId w:val="295"/>
        </w:numPr>
        <w:rPr>
          <w:sz w:val="22"/>
          <w:szCs w:val="22"/>
          <w:lang w:val="es-CR"/>
        </w:rPr>
      </w:pPr>
    </w:p>
    <w:p w14:paraId="5ADC2588" w14:textId="4038C59C" w:rsidR="00B47576" w:rsidRPr="00AF5E44" w:rsidRDefault="0000437B">
      <w:pPr>
        <w:pStyle w:val="Default"/>
        <w:numPr>
          <w:ilvl w:val="0"/>
          <w:numId w:val="296"/>
        </w:numPr>
        <w:spacing w:after="120"/>
        <w:ind w:left="1418" w:hanging="284"/>
        <w:jc w:val="both"/>
        <w:rPr>
          <w:sz w:val="22"/>
          <w:szCs w:val="22"/>
          <w:lang w:val="es-CR"/>
        </w:rPr>
      </w:pPr>
      <w:r w:rsidRPr="00AF5E44">
        <w:rPr>
          <w:sz w:val="22"/>
          <w:szCs w:val="22"/>
          <w:lang w:val="es-CR"/>
        </w:rPr>
        <w:t>L</w:t>
      </w:r>
      <w:r w:rsidR="00B47576" w:rsidRPr="00AF5E44">
        <w:rPr>
          <w:sz w:val="22"/>
          <w:szCs w:val="22"/>
          <w:lang w:val="es-CR"/>
        </w:rPr>
        <w:t xml:space="preserve">os costos de introducción de un nuevo producto o servicio (incluyendo los costos de actividades publicitarias y promocionales); </w:t>
      </w:r>
    </w:p>
    <w:p w14:paraId="4A98CC04" w14:textId="1035AB46" w:rsidR="00B47576" w:rsidRPr="00AF5E44" w:rsidRDefault="0000437B">
      <w:pPr>
        <w:pStyle w:val="Default"/>
        <w:numPr>
          <w:ilvl w:val="0"/>
          <w:numId w:val="296"/>
        </w:numPr>
        <w:spacing w:after="120"/>
        <w:ind w:left="1418" w:hanging="284"/>
        <w:jc w:val="both"/>
        <w:rPr>
          <w:sz w:val="22"/>
          <w:szCs w:val="22"/>
          <w:lang w:val="es-CR"/>
        </w:rPr>
      </w:pPr>
      <w:r w:rsidRPr="00AF5E44">
        <w:rPr>
          <w:sz w:val="22"/>
          <w:szCs w:val="22"/>
          <w:lang w:val="es-CR"/>
        </w:rPr>
        <w:t>L</w:t>
      </w:r>
      <w:r w:rsidR="00B47576" w:rsidRPr="00AF5E44">
        <w:rPr>
          <w:sz w:val="22"/>
          <w:szCs w:val="22"/>
          <w:lang w:val="es-CR"/>
        </w:rPr>
        <w:t xml:space="preserve">os costos de apertura del negocio en una nueva localización o dirigido a un nuevo segmento de clientela (incluyendo los costos de formación del personal); </w:t>
      </w:r>
    </w:p>
    <w:p w14:paraId="62D787B9" w14:textId="11B0D417" w:rsidR="00B47576" w:rsidRPr="00AF5E44" w:rsidRDefault="0000437B">
      <w:pPr>
        <w:pStyle w:val="Default"/>
        <w:numPr>
          <w:ilvl w:val="0"/>
          <w:numId w:val="296"/>
        </w:numPr>
        <w:spacing w:after="120"/>
        <w:ind w:left="1418" w:hanging="284"/>
        <w:jc w:val="both"/>
        <w:rPr>
          <w:sz w:val="22"/>
          <w:szCs w:val="22"/>
          <w:lang w:val="es-CR"/>
        </w:rPr>
      </w:pPr>
      <w:r w:rsidRPr="00AF5E44">
        <w:rPr>
          <w:sz w:val="22"/>
          <w:szCs w:val="22"/>
          <w:lang w:val="es-CR"/>
        </w:rPr>
        <w:t>L</w:t>
      </w:r>
      <w:r w:rsidR="00B47576" w:rsidRPr="00AF5E44">
        <w:rPr>
          <w:sz w:val="22"/>
          <w:szCs w:val="22"/>
          <w:lang w:val="es-CR"/>
        </w:rPr>
        <w:t xml:space="preserve">os costos de administración y otros costos indirectos generales; y </w:t>
      </w:r>
    </w:p>
    <w:p w14:paraId="0D85D7EC" w14:textId="68F1E45A" w:rsidR="00B47576" w:rsidRPr="00AF5E44" w:rsidRDefault="0000437B">
      <w:pPr>
        <w:pStyle w:val="Default"/>
        <w:numPr>
          <w:ilvl w:val="0"/>
          <w:numId w:val="296"/>
        </w:numPr>
        <w:spacing w:after="20"/>
        <w:ind w:left="1418" w:hanging="284"/>
        <w:jc w:val="both"/>
        <w:rPr>
          <w:sz w:val="22"/>
          <w:szCs w:val="22"/>
          <w:lang w:val="es-CR"/>
        </w:rPr>
      </w:pPr>
      <w:r w:rsidRPr="00AF5E44">
        <w:rPr>
          <w:sz w:val="22"/>
          <w:szCs w:val="22"/>
          <w:lang w:val="es-CR"/>
        </w:rPr>
        <w:t>L</w:t>
      </w:r>
      <w:r w:rsidR="00B47576" w:rsidRPr="00AF5E44">
        <w:rPr>
          <w:sz w:val="22"/>
          <w:szCs w:val="22"/>
          <w:lang w:val="es-CR"/>
        </w:rPr>
        <w:t>os costos derivados del mantenimiento diario del elemento, incluyendo los costos de sustitución de un elemento que deban ser considerados gastos de mantenimiento, en los términos indicados en el Capítulo “Activo” como limitación al costo de sustitución de un elemento.</w:t>
      </w:r>
    </w:p>
    <w:p w14:paraId="790BFE02" w14:textId="77777777" w:rsidR="00E43416" w:rsidRDefault="00E43416" w:rsidP="00E31ED1">
      <w:pPr>
        <w:pStyle w:val="Default"/>
        <w:jc w:val="both"/>
        <w:rPr>
          <w:sz w:val="23"/>
          <w:szCs w:val="23"/>
          <w:lang w:val="es-CR"/>
        </w:rPr>
      </w:pPr>
    </w:p>
    <w:p w14:paraId="225E9B43" w14:textId="77777777" w:rsidR="00E31ED1" w:rsidRDefault="00E31ED1" w:rsidP="00E31ED1">
      <w:pPr>
        <w:pStyle w:val="Default"/>
        <w:jc w:val="both"/>
        <w:rPr>
          <w:sz w:val="23"/>
          <w:szCs w:val="23"/>
          <w:lang w:val="es-CR"/>
        </w:rPr>
      </w:pPr>
    </w:p>
    <w:p w14:paraId="410DDB75" w14:textId="77777777" w:rsidR="00A45C57" w:rsidRDefault="00A45C57" w:rsidP="00E31ED1">
      <w:pPr>
        <w:pStyle w:val="Default"/>
        <w:jc w:val="both"/>
        <w:rPr>
          <w:sz w:val="23"/>
          <w:szCs w:val="23"/>
          <w:lang w:val="es-CR"/>
        </w:rPr>
      </w:pPr>
    </w:p>
    <w:p w14:paraId="01F06B73" w14:textId="61162E2C" w:rsidR="00A45C57" w:rsidRPr="00A456CC" w:rsidRDefault="00A45C57" w:rsidP="00A45C57">
      <w:pPr>
        <w:pStyle w:val="Ttulo2"/>
        <w:ind w:left="284"/>
        <w:jc w:val="both"/>
        <w:rPr>
          <w:rFonts w:ascii="Arial" w:eastAsia="Arial" w:hAnsi="Arial" w:cs="Arial"/>
          <w:b/>
          <w:bCs/>
          <w:sz w:val="22"/>
          <w:szCs w:val="22"/>
          <w:lang w:val="es-CR"/>
        </w:rPr>
      </w:pPr>
      <w:bookmarkStart w:id="158" w:name="_Toc172726293"/>
      <w:r w:rsidRPr="00A456CC">
        <w:rPr>
          <w:rFonts w:ascii="Arial" w:eastAsia="Arial" w:hAnsi="Arial" w:cs="Arial"/>
          <w:b/>
          <w:bCs/>
          <w:sz w:val="22"/>
          <w:szCs w:val="22"/>
          <w:lang w:val="es-CR"/>
        </w:rPr>
        <w:t xml:space="preserve">Reconocimiento de gastos </w:t>
      </w:r>
      <w:r>
        <w:rPr>
          <w:rFonts w:ascii="Arial" w:eastAsia="Arial" w:hAnsi="Arial" w:cs="Arial"/>
          <w:b/>
          <w:bCs/>
          <w:sz w:val="22"/>
          <w:szCs w:val="22"/>
          <w:lang w:val="es-CR"/>
        </w:rPr>
        <w:t>por</w:t>
      </w:r>
      <w:r w:rsidRPr="00A456CC">
        <w:rPr>
          <w:rFonts w:ascii="Arial" w:eastAsia="Arial" w:hAnsi="Arial" w:cs="Arial"/>
          <w:b/>
          <w:bCs/>
          <w:sz w:val="22"/>
          <w:szCs w:val="22"/>
          <w:lang w:val="es-CR"/>
        </w:rPr>
        <w:t xml:space="preserve"> </w:t>
      </w:r>
      <w:r>
        <w:rPr>
          <w:rFonts w:ascii="Arial" w:eastAsia="Arial" w:hAnsi="Arial" w:cs="Arial"/>
          <w:b/>
          <w:bCs/>
          <w:sz w:val="22"/>
          <w:szCs w:val="22"/>
          <w:lang w:val="es-CR"/>
        </w:rPr>
        <w:t>operaciones relacionadas con propiedades de inversión</w:t>
      </w:r>
      <w:bookmarkEnd w:id="158"/>
    </w:p>
    <w:p w14:paraId="6CDD541A" w14:textId="77777777" w:rsidR="00A45C57" w:rsidRDefault="00A45C57" w:rsidP="00E43416">
      <w:pPr>
        <w:pStyle w:val="Default"/>
        <w:spacing w:after="20"/>
        <w:jc w:val="both"/>
        <w:rPr>
          <w:sz w:val="23"/>
          <w:szCs w:val="23"/>
          <w:lang w:val="es-CR"/>
        </w:rPr>
      </w:pPr>
    </w:p>
    <w:p w14:paraId="21E279E4" w14:textId="77777777" w:rsidR="00E31ED1" w:rsidRDefault="00E31ED1" w:rsidP="00E43416">
      <w:pPr>
        <w:pStyle w:val="Default"/>
        <w:spacing w:after="20"/>
        <w:jc w:val="both"/>
        <w:rPr>
          <w:sz w:val="23"/>
          <w:szCs w:val="23"/>
          <w:lang w:val="es-CR"/>
        </w:rPr>
      </w:pPr>
    </w:p>
    <w:tbl>
      <w:tblPr>
        <w:tblW w:w="9228" w:type="dxa"/>
        <w:tblInd w:w="118" w:type="dxa"/>
        <w:tblLayout w:type="fixed"/>
        <w:tblLook w:val="04A0" w:firstRow="1" w:lastRow="0" w:firstColumn="1" w:lastColumn="0" w:noHBand="0" w:noVBand="1"/>
      </w:tblPr>
      <w:tblGrid>
        <w:gridCol w:w="439"/>
        <w:gridCol w:w="709"/>
        <w:gridCol w:w="363"/>
        <w:gridCol w:w="15"/>
        <w:gridCol w:w="3733"/>
        <w:gridCol w:w="2126"/>
        <w:gridCol w:w="1843"/>
      </w:tblGrid>
      <w:tr w:rsidR="00E43416" w:rsidRPr="00E43416" w14:paraId="3C740882" w14:textId="77777777" w:rsidTr="004835CA">
        <w:trPr>
          <w:trHeight w:val="320"/>
        </w:trPr>
        <w:tc>
          <w:tcPr>
            <w:tcW w:w="1526"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0E7E46B" w14:textId="77777777" w:rsidR="00E43416" w:rsidRPr="00E43416" w:rsidRDefault="00E43416" w:rsidP="00E43416">
            <w:pPr>
              <w:jc w:val="center"/>
              <w:rPr>
                <w:rFonts w:ascii="Arial Narrow" w:eastAsia="Times New Roman" w:hAnsi="Arial Narrow" w:cs="Calibri"/>
                <w:b/>
                <w:bCs/>
                <w:color w:val="FFFFFF"/>
                <w:sz w:val="22"/>
                <w:szCs w:val="22"/>
              </w:rPr>
            </w:pPr>
            <w:r w:rsidRPr="00E43416">
              <w:rPr>
                <w:rFonts w:ascii="Arial Narrow" w:eastAsia="Times New Roman" w:hAnsi="Arial Narrow" w:cs="Calibri"/>
                <w:b/>
                <w:bCs/>
                <w:color w:val="FFFFFF"/>
                <w:sz w:val="22"/>
                <w:szCs w:val="22"/>
              </w:rPr>
              <w:t>Norma / Política</w:t>
            </w:r>
          </w:p>
        </w:tc>
        <w:tc>
          <w:tcPr>
            <w:tcW w:w="3733" w:type="dxa"/>
            <w:vMerge w:val="restart"/>
            <w:tcBorders>
              <w:top w:val="single" w:sz="8" w:space="0" w:color="auto"/>
              <w:left w:val="single" w:sz="8" w:space="0" w:color="auto"/>
              <w:bottom w:val="nil"/>
              <w:right w:val="single" w:sz="8" w:space="0" w:color="auto"/>
            </w:tcBorders>
            <w:shd w:val="clear" w:color="000000" w:fill="203764"/>
            <w:vAlign w:val="center"/>
            <w:hideMark/>
          </w:tcPr>
          <w:p w14:paraId="1B32B4D7" w14:textId="77777777" w:rsidR="00E43416" w:rsidRPr="00E43416" w:rsidRDefault="00E43416" w:rsidP="00E43416">
            <w:pPr>
              <w:jc w:val="center"/>
              <w:rPr>
                <w:rFonts w:ascii="Arial Narrow" w:eastAsia="Times New Roman" w:hAnsi="Arial Narrow" w:cs="Calibri"/>
                <w:b/>
                <w:bCs/>
                <w:color w:val="FFFFFF"/>
                <w:sz w:val="22"/>
                <w:szCs w:val="22"/>
              </w:rPr>
            </w:pPr>
            <w:r w:rsidRPr="00E43416">
              <w:rPr>
                <w:rFonts w:ascii="Arial Narrow" w:eastAsia="Times New Roman" w:hAnsi="Arial Narrow" w:cs="Calibri"/>
                <w:b/>
                <w:bCs/>
                <w:color w:val="FFFFFF"/>
                <w:sz w:val="22"/>
                <w:szCs w:val="22"/>
              </w:rPr>
              <w:t>Concepto</w:t>
            </w:r>
          </w:p>
        </w:tc>
        <w:tc>
          <w:tcPr>
            <w:tcW w:w="3969" w:type="dxa"/>
            <w:gridSpan w:val="2"/>
            <w:tcBorders>
              <w:top w:val="single" w:sz="8" w:space="0" w:color="auto"/>
              <w:left w:val="nil"/>
              <w:bottom w:val="single" w:sz="8" w:space="0" w:color="auto"/>
              <w:right w:val="single" w:sz="8" w:space="0" w:color="000000"/>
            </w:tcBorders>
            <w:shd w:val="clear" w:color="000000" w:fill="203764"/>
            <w:vAlign w:val="center"/>
            <w:hideMark/>
          </w:tcPr>
          <w:p w14:paraId="03505907" w14:textId="77777777" w:rsidR="00E43416" w:rsidRPr="00E43416" w:rsidRDefault="00E43416" w:rsidP="00E43416">
            <w:pPr>
              <w:jc w:val="center"/>
              <w:rPr>
                <w:rFonts w:ascii="Arial Narrow" w:eastAsia="Times New Roman" w:hAnsi="Arial Narrow" w:cs="Calibri"/>
                <w:b/>
                <w:bCs/>
                <w:color w:val="FFFFFF"/>
                <w:sz w:val="22"/>
                <w:szCs w:val="22"/>
              </w:rPr>
            </w:pPr>
            <w:r w:rsidRPr="00E43416">
              <w:rPr>
                <w:rFonts w:ascii="Arial Narrow" w:eastAsia="Times New Roman" w:hAnsi="Arial Narrow" w:cs="Calibri"/>
                <w:b/>
                <w:bCs/>
                <w:color w:val="FFFFFF"/>
                <w:sz w:val="22"/>
                <w:szCs w:val="22"/>
              </w:rPr>
              <w:t>Referencia</w:t>
            </w:r>
          </w:p>
        </w:tc>
      </w:tr>
      <w:tr w:rsidR="00E43416" w:rsidRPr="006E5442" w14:paraId="5C779F81" w14:textId="77777777" w:rsidTr="004835CA">
        <w:trPr>
          <w:trHeight w:val="940"/>
        </w:trPr>
        <w:tc>
          <w:tcPr>
            <w:tcW w:w="1526" w:type="dxa"/>
            <w:gridSpan w:val="4"/>
            <w:vMerge/>
            <w:tcBorders>
              <w:top w:val="single" w:sz="8" w:space="0" w:color="auto"/>
              <w:left w:val="single" w:sz="8" w:space="0" w:color="auto"/>
              <w:bottom w:val="nil"/>
              <w:right w:val="single" w:sz="8" w:space="0" w:color="000000"/>
            </w:tcBorders>
            <w:vAlign w:val="center"/>
            <w:hideMark/>
          </w:tcPr>
          <w:p w14:paraId="4A772816" w14:textId="77777777" w:rsidR="00E43416" w:rsidRPr="00E43416" w:rsidRDefault="00E43416" w:rsidP="00E43416">
            <w:pPr>
              <w:rPr>
                <w:rFonts w:ascii="Arial Narrow" w:eastAsia="Times New Roman" w:hAnsi="Arial Narrow" w:cs="Calibri"/>
                <w:b/>
                <w:bCs/>
                <w:color w:val="FFFFFF"/>
                <w:sz w:val="22"/>
                <w:szCs w:val="22"/>
              </w:rPr>
            </w:pPr>
          </w:p>
        </w:tc>
        <w:tc>
          <w:tcPr>
            <w:tcW w:w="3733" w:type="dxa"/>
            <w:vMerge/>
            <w:tcBorders>
              <w:top w:val="single" w:sz="8" w:space="0" w:color="auto"/>
              <w:left w:val="single" w:sz="8" w:space="0" w:color="auto"/>
              <w:bottom w:val="nil"/>
              <w:right w:val="single" w:sz="8" w:space="0" w:color="auto"/>
            </w:tcBorders>
            <w:vAlign w:val="center"/>
            <w:hideMark/>
          </w:tcPr>
          <w:p w14:paraId="5849C210" w14:textId="77777777" w:rsidR="00E43416" w:rsidRPr="00E43416" w:rsidRDefault="00E43416" w:rsidP="00E43416">
            <w:pPr>
              <w:rPr>
                <w:rFonts w:ascii="Arial Narrow" w:eastAsia="Times New Roman" w:hAnsi="Arial Narrow" w:cs="Calibri"/>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20A6B323" w14:textId="77777777" w:rsidR="00E43416" w:rsidRPr="00E43416" w:rsidRDefault="00E43416" w:rsidP="00E43416">
            <w:pPr>
              <w:jc w:val="center"/>
              <w:rPr>
                <w:rFonts w:ascii="Arial Narrow" w:eastAsia="Times New Roman" w:hAnsi="Arial Narrow" w:cs="Calibri"/>
                <w:b/>
                <w:bCs/>
                <w:color w:val="FFFFFF"/>
                <w:sz w:val="22"/>
                <w:szCs w:val="22"/>
              </w:rPr>
            </w:pPr>
            <w:r w:rsidRPr="00E43416">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3632F898" w14:textId="77777777" w:rsidR="00E43416" w:rsidRPr="00E43416" w:rsidRDefault="00E43416" w:rsidP="00E43416">
            <w:pPr>
              <w:jc w:val="center"/>
              <w:rPr>
                <w:rFonts w:ascii="Arial Narrow" w:eastAsia="Times New Roman" w:hAnsi="Arial Narrow" w:cs="Calibri"/>
                <w:b/>
                <w:bCs/>
                <w:color w:val="FFFFFF"/>
                <w:sz w:val="22"/>
                <w:szCs w:val="22"/>
                <w:lang w:val="es-CR"/>
              </w:rPr>
            </w:pPr>
            <w:r w:rsidRPr="00E43416">
              <w:rPr>
                <w:rFonts w:ascii="Arial Narrow" w:eastAsia="Times New Roman" w:hAnsi="Arial Narrow" w:cs="Calibri"/>
                <w:b/>
                <w:bCs/>
                <w:color w:val="FFFFFF"/>
                <w:sz w:val="22"/>
                <w:szCs w:val="22"/>
                <w:lang w:val="es-CR"/>
              </w:rPr>
              <w:t>Normativa técnica y disposiciones adicionales</w:t>
            </w:r>
          </w:p>
        </w:tc>
      </w:tr>
      <w:tr w:rsidR="00E43416" w:rsidRPr="00E43416" w14:paraId="547CA5DB" w14:textId="77777777" w:rsidTr="004835CA">
        <w:trPr>
          <w:trHeight w:val="630"/>
        </w:trPr>
        <w:tc>
          <w:tcPr>
            <w:tcW w:w="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2F1238" w14:textId="77777777" w:rsidR="00E43416" w:rsidRPr="00E43416" w:rsidRDefault="00E43416" w:rsidP="00E43416">
            <w:pPr>
              <w:jc w:val="center"/>
              <w:rPr>
                <w:rFonts w:ascii="Arial Narrow" w:eastAsia="Times New Roman" w:hAnsi="Arial Narrow" w:cs="Calibri"/>
                <w:b/>
                <w:bCs/>
                <w:color w:val="000000"/>
                <w:sz w:val="22"/>
                <w:szCs w:val="22"/>
              </w:rPr>
            </w:pPr>
            <w:r w:rsidRPr="00E43416">
              <w:rPr>
                <w:rFonts w:ascii="Arial Narrow" w:eastAsia="Times New Roman" w:hAnsi="Arial Narrow" w:cs="Calibri"/>
                <w:b/>
                <w:bCs/>
                <w:color w:val="000000"/>
                <w:sz w:val="22"/>
                <w:szCs w:val="22"/>
              </w:rPr>
              <w:t>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CDADFEF" w14:textId="77777777" w:rsidR="00E43416" w:rsidRPr="00E43416" w:rsidRDefault="00E43416" w:rsidP="00E43416">
            <w:pPr>
              <w:jc w:val="center"/>
              <w:rPr>
                <w:rFonts w:ascii="Arial Narrow" w:eastAsia="Times New Roman" w:hAnsi="Arial Narrow" w:cs="Calibri"/>
                <w:b/>
                <w:bCs/>
                <w:color w:val="000000"/>
                <w:sz w:val="22"/>
                <w:szCs w:val="22"/>
              </w:rPr>
            </w:pPr>
            <w:r w:rsidRPr="00E43416">
              <w:rPr>
                <w:rFonts w:ascii="Arial Narrow" w:eastAsia="Times New Roman" w:hAnsi="Arial Narrow" w:cs="Calibri"/>
                <w:b/>
                <w:bCs/>
                <w:color w:val="000000"/>
                <w:sz w:val="22"/>
                <w:szCs w:val="22"/>
              </w:rPr>
              <w:t>20</w:t>
            </w:r>
          </w:p>
        </w:tc>
        <w:tc>
          <w:tcPr>
            <w:tcW w:w="363" w:type="dxa"/>
            <w:tcBorders>
              <w:top w:val="single" w:sz="8" w:space="0" w:color="auto"/>
              <w:left w:val="nil"/>
              <w:bottom w:val="single" w:sz="8" w:space="0" w:color="auto"/>
              <w:right w:val="single" w:sz="8" w:space="0" w:color="auto"/>
            </w:tcBorders>
            <w:shd w:val="clear" w:color="auto" w:fill="auto"/>
            <w:vAlign w:val="center"/>
            <w:hideMark/>
          </w:tcPr>
          <w:p w14:paraId="03CDBBC1" w14:textId="77777777" w:rsidR="00E43416" w:rsidRPr="00E43416" w:rsidRDefault="00E43416" w:rsidP="00E43416">
            <w:pPr>
              <w:jc w:val="center"/>
              <w:rPr>
                <w:rFonts w:ascii="Arial Narrow" w:eastAsia="Times New Roman" w:hAnsi="Arial Narrow" w:cs="Calibri"/>
                <w:b/>
                <w:bCs/>
                <w:color w:val="000000"/>
                <w:sz w:val="22"/>
                <w:szCs w:val="22"/>
              </w:rPr>
            </w:pPr>
            <w:r w:rsidRPr="00E43416">
              <w:rPr>
                <w:rFonts w:ascii="Arial Narrow" w:eastAsia="Times New Roman" w:hAnsi="Arial Narrow" w:cs="Calibri"/>
                <w:b/>
                <w:bCs/>
                <w:color w:val="000000"/>
                <w:sz w:val="22"/>
                <w:szCs w:val="22"/>
              </w:rPr>
              <w:t> </w:t>
            </w:r>
          </w:p>
        </w:tc>
        <w:tc>
          <w:tcPr>
            <w:tcW w:w="3748" w:type="dxa"/>
            <w:gridSpan w:val="2"/>
            <w:tcBorders>
              <w:top w:val="single" w:sz="8" w:space="0" w:color="auto"/>
              <w:left w:val="nil"/>
              <w:bottom w:val="single" w:sz="8" w:space="0" w:color="auto"/>
              <w:right w:val="single" w:sz="8" w:space="0" w:color="auto"/>
            </w:tcBorders>
            <w:shd w:val="clear" w:color="auto" w:fill="auto"/>
            <w:vAlign w:val="center"/>
            <w:hideMark/>
          </w:tcPr>
          <w:p w14:paraId="06A88C1F" w14:textId="77777777" w:rsidR="00E43416" w:rsidRPr="00E43416" w:rsidRDefault="00E43416" w:rsidP="00E43416">
            <w:pPr>
              <w:jc w:val="both"/>
              <w:rPr>
                <w:rFonts w:ascii="Arial Narrow" w:eastAsia="Times New Roman" w:hAnsi="Arial Narrow" w:cs="Calibri"/>
                <w:b/>
                <w:bCs/>
                <w:color w:val="000000"/>
                <w:sz w:val="22"/>
                <w:szCs w:val="22"/>
                <w:lang w:val="es-CR"/>
              </w:rPr>
            </w:pPr>
            <w:r w:rsidRPr="00E43416">
              <w:rPr>
                <w:rFonts w:ascii="Arial Narrow" w:eastAsia="Times New Roman" w:hAnsi="Arial Narrow" w:cs="Calibri"/>
                <w:b/>
                <w:bCs/>
                <w:color w:val="000000"/>
                <w:sz w:val="22"/>
                <w:szCs w:val="22"/>
                <w:lang w:val="es-CR"/>
              </w:rPr>
              <w:t>Gastos por operaciones relacionadas con propiedades de inversión</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3E09B7E9" w14:textId="77777777" w:rsidR="004835CA" w:rsidRDefault="00E43416" w:rsidP="00E43416">
            <w:pPr>
              <w:jc w:val="both"/>
              <w:rPr>
                <w:rFonts w:ascii="Arial Narrow" w:eastAsia="Times New Roman" w:hAnsi="Arial Narrow" w:cs="Calibri"/>
                <w:b/>
                <w:bCs/>
                <w:color w:val="000000"/>
                <w:sz w:val="22"/>
                <w:szCs w:val="22"/>
              </w:rPr>
            </w:pPr>
            <w:r w:rsidRPr="00E43416">
              <w:rPr>
                <w:rFonts w:ascii="Arial Narrow" w:eastAsia="Times New Roman" w:hAnsi="Arial Narrow" w:cs="Calibri"/>
                <w:b/>
                <w:bCs/>
                <w:color w:val="000000"/>
                <w:sz w:val="22"/>
                <w:szCs w:val="22"/>
              </w:rPr>
              <w:t>NICSP N° 16,</w:t>
            </w:r>
          </w:p>
          <w:p w14:paraId="0B142CCC" w14:textId="13083C9B" w:rsidR="00E43416" w:rsidRPr="00E43416" w:rsidRDefault="00E43416" w:rsidP="00E43416">
            <w:pPr>
              <w:jc w:val="both"/>
              <w:rPr>
                <w:rFonts w:ascii="Arial Narrow" w:eastAsia="Times New Roman" w:hAnsi="Arial Narrow" w:cs="Calibri"/>
                <w:b/>
                <w:bCs/>
                <w:color w:val="000000"/>
                <w:sz w:val="22"/>
                <w:szCs w:val="22"/>
              </w:rPr>
            </w:pPr>
            <w:r w:rsidRPr="00E43416">
              <w:rPr>
                <w:rFonts w:ascii="Arial Narrow" w:eastAsia="Times New Roman" w:hAnsi="Arial Narrow" w:cs="Calibri"/>
                <w:b/>
                <w:bCs/>
                <w:color w:val="000000"/>
                <w:sz w:val="22"/>
                <w:szCs w:val="22"/>
              </w:rPr>
              <w:t>Párrafos 30 y 31.</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007560B" w14:textId="77777777" w:rsidR="00E43416" w:rsidRPr="00E43416" w:rsidRDefault="00E43416" w:rsidP="00E43416">
            <w:pPr>
              <w:rPr>
                <w:rFonts w:ascii="Arial Narrow" w:eastAsia="Times New Roman" w:hAnsi="Arial Narrow" w:cs="Calibri"/>
                <w:b/>
                <w:bCs/>
                <w:color w:val="000000"/>
                <w:sz w:val="22"/>
                <w:szCs w:val="22"/>
              </w:rPr>
            </w:pPr>
            <w:r w:rsidRPr="00E43416">
              <w:rPr>
                <w:rFonts w:ascii="Arial Narrow" w:eastAsia="Times New Roman" w:hAnsi="Arial Narrow" w:cs="Calibri"/>
                <w:b/>
                <w:bCs/>
                <w:color w:val="000000"/>
                <w:sz w:val="22"/>
                <w:szCs w:val="22"/>
              </w:rPr>
              <w:t xml:space="preserve"> </w:t>
            </w:r>
          </w:p>
        </w:tc>
      </w:tr>
    </w:tbl>
    <w:p w14:paraId="4F06E897" w14:textId="77777777" w:rsidR="00E43416" w:rsidRDefault="00E43416" w:rsidP="00E43416">
      <w:pPr>
        <w:pStyle w:val="Default"/>
        <w:spacing w:after="20"/>
        <w:jc w:val="both"/>
        <w:rPr>
          <w:sz w:val="23"/>
          <w:szCs w:val="23"/>
          <w:lang w:val="es-CR"/>
        </w:rPr>
      </w:pPr>
    </w:p>
    <w:p w14:paraId="6C63DA99" w14:textId="77777777" w:rsidR="004835CA" w:rsidRDefault="004835CA" w:rsidP="004835CA">
      <w:pPr>
        <w:pStyle w:val="Default"/>
        <w:ind w:left="1134" w:hanging="1134"/>
        <w:jc w:val="both"/>
        <w:rPr>
          <w:rFonts w:eastAsia="Arial"/>
          <w:b/>
          <w:sz w:val="22"/>
          <w:szCs w:val="22"/>
        </w:rPr>
      </w:pPr>
      <w:r w:rsidRPr="00F02F9D">
        <w:rPr>
          <w:rFonts w:eastAsia="Arial"/>
          <w:b/>
          <w:sz w:val="22"/>
          <w:szCs w:val="22"/>
        </w:rPr>
        <w:t>Políticas Contables</w:t>
      </w:r>
    </w:p>
    <w:p w14:paraId="3F459B4E" w14:textId="77777777" w:rsidR="004835CA" w:rsidRDefault="004835CA" w:rsidP="00E43416">
      <w:pPr>
        <w:pStyle w:val="Default"/>
        <w:spacing w:after="20"/>
        <w:jc w:val="both"/>
        <w:rPr>
          <w:sz w:val="23"/>
          <w:szCs w:val="23"/>
          <w:lang w:val="es-CR"/>
        </w:rPr>
      </w:pPr>
    </w:p>
    <w:p w14:paraId="5906C188" w14:textId="7138850C" w:rsidR="00E43416" w:rsidRPr="00AF5E44" w:rsidRDefault="00E43416" w:rsidP="00E43416">
      <w:pPr>
        <w:pStyle w:val="Default"/>
        <w:ind w:left="1134" w:hanging="1134"/>
        <w:jc w:val="both"/>
        <w:rPr>
          <w:sz w:val="22"/>
          <w:szCs w:val="22"/>
          <w:lang w:val="es-CR"/>
        </w:rPr>
      </w:pPr>
      <w:r w:rsidRPr="00AF5E44">
        <w:rPr>
          <w:sz w:val="22"/>
          <w:szCs w:val="22"/>
          <w:lang w:val="es-CR"/>
        </w:rPr>
        <w:t>5.20.0.01</w:t>
      </w:r>
      <w:r w:rsidRPr="00AF5E44">
        <w:rPr>
          <w:sz w:val="22"/>
          <w:szCs w:val="22"/>
          <w:lang w:val="es-CR"/>
        </w:rPr>
        <w:tab/>
        <w:t>No se contemplan dentro del costo de las propiedades de inversión y, por lo tanto, son imputables como gastos, los siguientes costos:</w:t>
      </w:r>
    </w:p>
    <w:p w14:paraId="4A386783" w14:textId="3F4F1C8A" w:rsidR="00E43416" w:rsidRPr="00AF5E44" w:rsidRDefault="00E43416" w:rsidP="00E43416">
      <w:pPr>
        <w:pStyle w:val="Default"/>
        <w:jc w:val="both"/>
        <w:rPr>
          <w:sz w:val="22"/>
          <w:szCs w:val="22"/>
          <w:lang w:val="es-CR"/>
        </w:rPr>
      </w:pPr>
      <w:r w:rsidRPr="00AF5E44">
        <w:rPr>
          <w:sz w:val="22"/>
          <w:szCs w:val="22"/>
          <w:lang w:val="es-CR"/>
        </w:rPr>
        <w:t xml:space="preserve"> </w:t>
      </w:r>
    </w:p>
    <w:p w14:paraId="70E7EF58" w14:textId="4DD3905F" w:rsidR="00E43416" w:rsidRPr="00AF5E44" w:rsidRDefault="00E43416">
      <w:pPr>
        <w:pStyle w:val="Default"/>
        <w:numPr>
          <w:ilvl w:val="0"/>
          <w:numId w:val="298"/>
        </w:numPr>
        <w:spacing w:after="120"/>
        <w:ind w:left="1418" w:hanging="284"/>
        <w:jc w:val="both"/>
        <w:rPr>
          <w:sz w:val="22"/>
          <w:szCs w:val="22"/>
          <w:lang w:val="es-CR"/>
        </w:rPr>
      </w:pPr>
      <w:r w:rsidRPr="00AF5E44">
        <w:rPr>
          <w:sz w:val="22"/>
          <w:szCs w:val="22"/>
          <w:lang w:val="es-CR"/>
        </w:rPr>
        <w:t xml:space="preserve">Los de puesta en marcha, a menos que sean necesarios para poner la propiedad en la condición necesaria para que pueda operar de la manera prevista por la dirección; </w:t>
      </w:r>
    </w:p>
    <w:p w14:paraId="0CD5EC3F" w14:textId="657DBEEC" w:rsidR="00E43416" w:rsidRPr="00AF5E44" w:rsidRDefault="00E43416">
      <w:pPr>
        <w:pStyle w:val="Default"/>
        <w:numPr>
          <w:ilvl w:val="0"/>
          <w:numId w:val="298"/>
        </w:numPr>
        <w:spacing w:after="120"/>
        <w:ind w:left="1418" w:hanging="284"/>
        <w:jc w:val="both"/>
        <w:rPr>
          <w:sz w:val="22"/>
          <w:szCs w:val="22"/>
          <w:lang w:val="es-CR"/>
        </w:rPr>
      </w:pPr>
      <w:r w:rsidRPr="00AF5E44">
        <w:rPr>
          <w:sz w:val="22"/>
          <w:szCs w:val="22"/>
          <w:lang w:val="es-CR"/>
        </w:rPr>
        <w:t xml:space="preserve">Las pérdidas de operación incurridas antes de que las propiedades de inversión logren el nivel planeado de ocupación; </w:t>
      </w:r>
    </w:p>
    <w:p w14:paraId="05D4E84F" w14:textId="717C6479" w:rsidR="00E43416" w:rsidRPr="00AF5E44" w:rsidRDefault="00E43416">
      <w:pPr>
        <w:pStyle w:val="Default"/>
        <w:numPr>
          <w:ilvl w:val="0"/>
          <w:numId w:val="298"/>
        </w:numPr>
        <w:spacing w:after="120"/>
        <w:ind w:left="1418" w:hanging="284"/>
        <w:jc w:val="both"/>
        <w:rPr>
          <w:sz w:val="22"/>
          <w:szCs w:val="22"/>
          <w:lang w:val="es-CR"/>
        </w:rPr>
      </w:pPr>
      <w:r w:rsidRPr="00AF5E44">
        <w:rPr>
          <w:sz w:val="22"/>
          <w:szCs w:val="22"/>
          <w:lang w:val="es-CR"/>
        </w:rPr>
        <w:t xml:space="preserve">Las cantidades anormales de desperdicios, mano de obra u otros recursos incurridos en la construcción o en el desarrollo de la propiedad de inversión y; </w:t>
      </w:r>
    </w:p>
    <w:p w14:paraId="53E0D3BF" w14:textId="7282B548" w:rsidR="00E43416" w:rsidRPr="00AF5E44" w:rsidRDefault="00E43416">
      <w:pPr>
        <w:pStyle w:val="Default"/>
        <w:numPr>
          <w:ilvl w:val="0"/>
          <w:numId w:val="298"/>
        </w:numPr>
        <w:ind w:left="1418" w:hanging="284"/>
        <w:jc w:val="both"/>
        <w:rPr>
          <w:sz w:val="22"/>
          <w:szCs w:val="22"/>
          <w:lang w:val="es-CR"/>
        </w:rPr>
      </w:pPr>
      <w:r w:rsidRPr="00AF5E44">
        <w:rPr>
          <w:sz w:val="22"/>
          <w:szCs w:val="22"/>
          <w:lang w:val="es-CR"/>
        </w:rPr>
        <w:t xml:space="preserve">Los intereses pagados por financiación. </w:t>
      </w:r>
    </w:p>
    <w:p w14:paraId="79061665" w14:textId="77777777" w:rsidR="00E43416" w:rsidRDefault="00E43416" w:rsidP="00E43416">
      <w:pPr>
        <w:pStyle w:val="Default"/>
        <w:spacing w:after="20"/>
        <w:jc w:val="both"/>
        <w:rPr>
          <w:sz w:val="23"/>
          <w:szCs w:val="23"/>
          <w:lang w:val="es-CR"/>
        </w:rPr>
      </w:pPr>
    </w:p>
    <w:p w14:paraId="405D2634" w14:textId="77777777" w:rsidR="004835CA" w:rsidRDefault="004835CA" w:rsidP="00E43416">
      <w:pPr>
        <w:pStyle w:val="Default"/>
        <w:spacing w:after="20"/>
        <w:jc w:val="both"/>
        <w:rPr>
          <w:sz w:val="23"/>
          <w:szCs w:val="23"/>
          <w:lang w:val="es-CR"/>
        </w:rPr>
      </w:pPr>
    </w:p>
    <w:p w14:paraId="2A901D57" w14:textId="77777777" w:rsidR="004835CA" w:rsidRDefault="004835CA" w:rsidP="00E43416">
      <w:pPr>
        <w:pStyle w:val="Default"/>
        <w:spacing w:after="20"/>
        <w:jc w:val="both"/>
        <w:rPr>
          <w:sz w:val="23"/>
          <w:szCs w:val="23"/>
          <w:lang w:val="es-CR"/>
        </w:rPr>
      </w:pPr>
    </w:p>
    <w:p w14:paraId="0BE3CC1F" w14:textId="77777777" w:rsidR="00E43416" w:rsidRPr="00B47576" w:rsidRDefault="00E43416" w:rsidP="00E43416">
      <w:pPr>
        <w:pStyle w:val="Default"/>
        <w:spacing w:after="20"/>
        <w:jc w:val="both"/>
        <w:rPr>
          <w:sz w:val="23"/>
          <w:szCs w:val="23"/>
          <w:lang w:val="es-CR"/>
        </w:rPr>
      </w:pPr>
    </w:p>
    <w:p w14:paraId="3414DAFA" w14:textId="2AFA4D58" w:rsidR="001E0804" w:rsidRPr="00A2153D" w:rsidRDefault="00AF5E44" w:rsidP="00A2153D">
      <w:pPr>
        <w:pStyle w:val="Ttulo2"/>
        <w:ind w:left="284"/>
        <w:jc w:val="both"/>
        <w:rPr>
          <w:rFonts w:ascii="Arial" w:eastAsia="Arial" w:hAnsi="Arial" w:cs="Arial"/>
          <w:b/>
          <w:bCs/>
          <w:sz w:val="22"/>
          <w:szCs w:val="22"/>
          <w:lang w:val="es-CR"/>
        </w:rPr>
      </w:pPr>
      <w:bookmarkStart w:id="159" w:name="_Toc172726294"/>
      <w:r w:rsidRPr="00A2153D">
        <w:rPr>
          <w:rFonts w:ascii="Arial" w:eastAsia="Arial" w:hAnsi="Arial" w:cs="Arial"/>
          <w:b/>
          <w:bCs/>
          <w:sz w:val="22"/>
          <w:szCs w:val="22"/>
          <w:lang w:val="es-CR"/>
        </w:rPr>
        <w:lastRenderedPageBreak/>
        <w:t>Arrendamientos</w:t>
      </w:r>
      <w:bookmarkEnd w:id="159"/>
    </w:p>
    <w:p w14:paraId="3F777A62" w14:textId="77777777" w:rsidR="00026A6E" w:rsidRDefault="00026A6E" w:rsidP="00924EC2">
      <w:pPr>
        <w:pStyle w:val="Default"/>
        <w:jc w:val="both"/>
        <w:rPr>
          <w:sz w:val="22"/>
          <w:szCs w:val="22"/>
          <w:lang w:val="es-CR"/>
        </w:rPr>
      </w:pPr>
    </w:p>
    <w:p w14:paraId="3B93E7F2" w14:textId="77777777" w:rsidR="004835CA" w:rsidRPr="00ED618F" w:rsidRDefault="004835CA" w:rsidP="00924EC2">
      <w:pPr>
        <w:pStyle w:val="Default"/>
        <w:jc w:val="both"/>
        <w:rPr>
          <w:sz w:val="22"/>
          <w:szCs w:val="22"/>
          <w:lang w:val="es-CR"/>
        </w:rPr>
      </w:pPr>
    </w:p>
    <w:tbl>
      <w:tblPr>
        <w:tblW w:w="9385" w:type="dxa"/>
        <w:tblInd w:w="-10" w:type="dxa"/>
        <w:tblLook w:val="04A0" w:firstRow="1" w:lastRow="0" w:firstColumn="1" w:lastColumn="0" w:noHBand="0" w:noVBand="1"/>
      </w:tblPr>
      <w:tblGrid>
        <w:gridCol w:w="652"/>
        <w:gridCol w:w="417"/>
        <w:gridCol w:w="628"/>
        <w:gridCol w:w="3690"/>
        <w:gridCol w:w="2126"/>
        <w:gridCol w:w="1863"/>
        <w:gridCol w:w="9"/>
      </w:tblGrid>
      <w:tr w:rsidR="00AF5E44" w:rsidRPr="00306A9C" w14:paraId="0399AF58" w14:textId="77777777" w:rsidTr="004835CA">
        <w:trPr>
          <w:trHeight w:val="320"/>
        </w:trPr>
        <w:tc>
          <w:tcPr>
            <w:tcW w:w="1697"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2620848" w14:textId="77777777" w:rsidR="00AF5E44" w:rsidRPr="00306A9C" w:rsidRDefault="00AF5E44" w:rsidP="00AF5E44">
            <w:pPr>
              <w:jc w:val="center"/>
              <w:rPr>
                <w:rFonts w:ascii="Arial Narrow" w:eastAsia="Times New Roman" w:hAnsi="Arial Narrow" w:cs="Calibri"/>
                <w:b/>
                <w:bCs/>
                <w:color w:val="FFFFFF"/>
                <w:sz w:val="22"/>
                <w:szCs w:val="22"/>
              </w:rPr>
            </w:pPr>
            <w:r w:rsidRPr="00306A9C">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5E459CC" w14:textId="77777777" w:rsidR="00AF5E44" w:rsidRPr="00306A9C" w:rsidRDefault="00AF5E44" w:rsidP="00AF5E44">
            <w:pPr>
              <w:jc w:val="center"/>
              <w:rPr>
                <w:rFonts w:ascii="Arial Narrow" w:eastAsia="Times New Roman" w:hAnsi="Arial Narrow" w:cs="Calibri"/>
                <w:b/>
                <w:bCs/>
                <w:color w:val="FFFFFF"/>
                <w:sz w:val="22"/>
                <w:szCs w:val="22"/>
              </w:rPr>
            </w:pPr>
            <w:r w:rsidRPr="00306A9C">
              <w:rPr>
                <w:rFonts w:ascii="Arial Narrow" w:eastAsia="Times New Roman" w:hAnsi="Arial Narrow" w:cs="Calibri"/>
                <w:b/>
                <w:bCs/>
                <w:color w:val="FFFFFF"/>
                <w:sz w:val="22"/>
                <w:szCs w:val="22"/>
              </w:rPr>
              <w:t>Concepto</w:t>
            </w:r>
          </w:p>
        </w:tc>
        <w:tc>
          <w:tcPr>
            <w:tcW w:w="3998" w:type="dxa"/>
            <w:gridSpan w:val="3"/>
            <w:tcBorders>
              <w:top w:val="single" w:sz="8" w:space="0" w:color="auto"/>
              <w:left w:val="nil"/>
              <w:bottom w:val="single" w:sz="8" w:space="0" w:color="auto"/>
              <w:right w:val="single" w:sz="8" w:space="0" w:color="000000"/>
            </w:tcBorders>
            <w:shd w:val="clear" w:color="000000" w:fill="203764"/>
            <w:vAlign w:val="center"/>
            <w:hideMark/>
          </w:tcPr>
          <w:p w14:paraId="24559DF6" w14:textId="77777777" w:rsidR="00AF5E44" w:rsidRPr="00306A9C" w:rsidRDefault="00AF5E44" w:rsidP="00AF5E44">
            <w:pPr>
              <w:jc w:val="center"/>
              <w:rPr>
                <w:rFonts w:ascii="Arial Narrow" w:eastAsia="Times New Roman" w:hAnsi="Arial Narrow" w:cs="Calibri"/>
                <w:b/>
                <w:bCs/>
                <w:color w:val="FFFFFF"/>
                <w:sz w:val="22"/>
                <w:szCs w:val="22"/>
              </w:rPr>
            </w:pPr>
            <w:r w:rsidRPr="00306A9C">
              <w:rPr>
                <w:rFonts w:ascii="Arial Narrow" w:eastAsia="Times New Roman" w:hAnsi="Arial Narrow" w:cs="Calibri"/>
                <w:b/>
                <w:bCs/>
                <w:color w:val="FFFFFF"/>
                <w:sz w:val="22"/>
                <w:szCs w:val="22"/>
              </w:rPr>
              <w:t>Referencia</w:t>
            </w:r>
          </w:p>
        </w:tc>
      </w:tr>
      <w:tr w:rsidR="00AF5E44" w:rsidRPr="006E5442" w14:paraId="01E98BA1" w14:textId="77777777" w:rsidTr="004835CA">
        <w:trPr>
          <w:gridAfter w:val="1"/>
          <w:wAfter w:w="9" w:type="dxa"/>
          <w:trHeight w:val="714"/>
        </w:trPr>
        <w:tc>
          <w:tcPr>
            <w:tcW w:w="1697" w:type="dxa"/>
            <w:gridSpan w:val="3"/>
            <w:vMerge/>
            <w:tcBorders>
              <w:top w:val="single" w:sz="8" w:space="0" w:color="auto"/>
              <w:left w:val="single" w:sz="8" w:space="0" w:color="auto"/>
              <w:bottom w:val="nil"/>
              <w:right w:val="single" w:sz="8" w:space="0" w:color="000000"/>
            </w:tcBorders>
            <w:vAlign w:val="center"/>
            <w:hideMark/>
          </w:tcPr>
          <w:p w14:paraId="39E8640D" w14:textId="77777777" w:rsidR="00AF5E44" w:rsidRPr="00306A9C" w:rsidRDefault="00AF5E44" w:rsidP="00AF5E44">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235314D6" w14:textId="77777777" w:rsidR="00AF5E44" w:rsidRPr="00306A9C" w:rsidRDefault="00AF5E44" w:rsidP="00AF5E44">
            <w:pPr>
              <w:rPr>
                <w:rFonts w:ascii="Arial Narrow" w:eastAsia="Times New Roman" w:hAnsi="Arial Narrow" w:cs="Calibri"/>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45532A43" w14:textId="77777777" w:rsidR="00AF5E44" w:rsidRPr="00306A9C" w:rsidRDefault="00AF5E44" w:rsidP="00AF5E44">
            <w:pPr>
              <w:jc w:val="center"/>
              <w:rPr>
                <w:rFonts w:ascii="Arial Narrow" w:eastAsia="Times New Roman" w:hAnsi="Arial Narrow" w:cs="Calibri"/>
                <w:b/>
                <w:bCs/>
                <w:color w:val="FFFFFF"/>
                <w:sz w:val="22"/>
                <w:szCs w:val="22"/>
              </w:rPr>
            </w:pPr>
            <w:r w:rsidRPr="00306A9C">
              <w:rPr>
                <w:rFonts w:ascii="Arial Narrow" w:eastAsia="Times New Roman" w:hAnsi="Arial Narrow" w:cs="Calibri"/>
                <w:b/>
                <w:bCs/>
                <w:color w:val="FFFFFF"/>
                <w:sz w:val="22"/>
                <w:szCs w:val="22"/>
              </w:rPr>
              <w:t>Norma</w:t>
            </w:r>
          </w:p>
        </w:tc>
        <w:tc>
          <w:tcPr>
            <w:tcW w:w="1863" w:type="dxa"/>
            <w:tcBorders>
              <w:top w:val="nil"/>
              <w:left w:val="nil"/>
              <w:bottom w:val="nil"/>
              <w:right w:val="single" w:sz="8" w:space="0" w:color="auto"/>
            </w:tcBorders>
            <w:shd w:val="clear" w:color="000000" w:fill="203764"/>
            <w:vAlign w:val="center"/>
            <w:hideMark/>
          </w:tcPr>
          <w:p w14:paraId="228921FC" w14:textId="77777777" w:rsidR="00AF5E44" w:rsidRPr="00306A9C" w:rsidRDefault="00AF5E44" w:rsidP="00AF5E44">
            <w:pPr>
              <w:jc w:val="center"/>
              <w:rPr>
                <w:rFonts w:ascii="Arial Narrow" w:eastAsia="Times New Roman" w:hAnsi="Arial Narrow" w:cs="Calibri"/>
                <w:b/>
                <w:bCs/>
                <w:color w:val="FFFFFF"/>
                <w:sz w:val="22"/>
                <w:szCs w:val="22"/>
                <w:lang w:val="es-CR"/>
              </w:rPr>
            </w:pPr>
            <w:r w:rsidRPr="00306A9C">
              <w:rPr>
                <w:rFonts w:ascii="Arial Narrow" w:eastAsia="Times New Roman" w:hAnsi="Arial Narrow" w:cs="Calibri"/>
                <w:b/>
                <w:bCs/>
                <w:color w:val="FFFFFF"/>
                <w:sz w:val="22"/>
                <w:szCs w:val="22"/>
                <w:lang w:val="es-CR"/>
              </w:rPr>
              <w:t>Normativa técnica y disposiciones adicionales</w:t>
            </w:r>
          </w:p>
        </w:tc>
      </w:tr>
      <w:tr w:rsidR="00AF5E44" w:rsidRPr="00306A9C" w14:paraId="5BB17053" w14:textId="77777777" w:rsidTr="004835CA">
        <w:trPr>
          <w:gridAfter w:val="1"/>
          <w:wAfter w:w="9" w:type="dxa"/>
          <w:trHeight w:val="630"/>
        </w:trPr>
        <w:tc>
          <w:tcPr>
            <w:tcW w:w="6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9E531C" w14:textId="77777777" w:rsidR="00AF5E44" w:rsidRPr="00306A9C" w:rsidRDefault="00AF5E44" w:rsidP="00AF5E44">
            <w:pPr>
              <w:jc w:val="center"/>
              <w:rPr>
                <w:rFonts w:ascii="Arial Narrow" w:eastAsia="Times New Roman" w:hAnsi="Arial Narrow" w:cs="Calibri"/>
                <w:b/>
                <w:bCs/>
                <w:color w:val="000000"/>
                <w:sz w:val="22"/>
                <w:szCs w:val="22"/>
              </w:rPr>
            </w:pPr>
            <w:r w:rsidRPr="00306A9C">
              <w:rPr>
                <w:rFonts w:ascii="Arial Narrow" w:eastAsia="Times New Roman" w:hAnsi="Arial Narrow" w:cs="Calibri"/>
                <w:b/>
                <w:bCs/>
                <w:color w:val="000000"/>
                <w:sz w:val="22"/>
                <w:szCs w:val="22"/>
              </w:rPr>
              <w:t>5</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0FE75F26" w14:textId="77777777" w:rsidR="00AF5E44" w:rsidRPr="00306A9C" w:rsidRDefault="00AF5E44" w:rsidP="00AF5E44">
            <w:pPr>
              <w:jc w:val="center"/>
              <w:rPr>
                <w:rFonts w:ascii="Arial Narrow" w:eastAsia="Times New Roman" w:hAnsi="Arial Narrow" w:cs="Calibri"/>
                <w:b/>
                <w:bCs/>
                <w:color w:val="000000"/>
                <w:sz w:val="22"/>
                <w:szCs w:val="22"/>
              </w:rPr>
            </w:pPr>
            <w:r w:rsidRPr="00306A9C">
              <w:rPr>
                <w:rFonts w:ascii="Arial Narrow" w:eastAsia="Times New Roman" w:hAnsi="Arial Narrow" w:cs="Calibri"/>
                <w:b/>
                <w:bCs/>
                <w:color w:val="000000"/>
                <w:sz w:val="22"/>
                <w:szCs w:val="22"/>
              </w:rPr>
              <w:t>22</w:t>
            </w:r>
          </w:p>
        </w:tc>
        <w:tc>
          <w:tcPr>
            <w:tcW w:w="628" w:type="dxa"/>
            <w:tcBorders>
              <w:top w:val="single" w:sz="8" w:space="0" w:color="auto"/>
              <w:left w:val="nil"/>
              <w:bottom w:val="single" w:sz="8" w:space="0" w:color="auto"/>
              <w:right w:val="single" w:sz="8" w:space="0" w:color="auto"/>
            </w:tcBorders>
            <w:shd w:val="clear" w:color="auto" w:fill="auto"/>
            <w:vAlign w:val="center"/>
            <w:hideMark/>
          </w:tcPr>
          <w:p w14:paraId="3A39F6AB" w14:textId="77777777" w:rsidR="00AF5E44" w:rsidRPr="00306A9C" w:rsidRDefault="00AF5E44" w:rsidP="00AF5E44">
            <w:pPr>
              <w:jc w:val="center"/>
              <w:rPr>
                <w:rFonts w:ascii="Arial Narrow" w:eastAsia="Times New Roman" w:hAnsi="Arial Narrow" w:cs="Calibri"/>
                <w:b/>
                <w:bCs/>
                <w:color w:val="000000"/>
                <w:sz w:val="22"/>
                <w:szCs w:val="22"/>
              </w:rPr>
            </w:pPr>
            <w:r w:rsidRPr="00306A9C">
              <w:rPr>
                <w:rFonts w:ascii="Arial Narrow" w:eastAsia="Times New Roman" w:hAnsi="Arial Narrow" w:cs="Calibri"/>
                <w:b/>
                <w:bCs/>
                <w:color w:val="000000"/>
                <w:sz w:val="22"/>
                <w:szCs w:val="22"/>
              </w:rPr>
              <w:t>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5CB8CAFF" w14:textId="77777777" w:rsidR="00AF5E44" w:rsidRPr="00306A9C" w:rsidRDefault="00AF5E44" w:rsidP="00AF5E44">
            <w:pPr>
              <w:jc w:val="both"/>
              <w:rPr>
                <w:rFonts w:ascii="Arial Narrow" w:eastAsia="Times New Roman" w:hAnsi="Arial Narrow" w:cs="Calibri"/>
                <w:b/>
                <w:bCs/>
                <w:color w:val="000000"/>
                <w:sz w:val="22"/>
                <w:szCs w:val="22"/>
              </w:rPr>
            </w:pPr>
            <w:r w:rsidRPr="00306A9C">
              <w:rPr>
                <w:rFonts w:ascii="Arial Narrow" w:eastAsia="Times New Roman" w:hAnsi="Arial Narrow" w:cs="Calibri"/>
                <w:b/>
                <w:bCs/>
                <w:color w:val="000000"/>
                <w:sz w:val="22"/>
                <w:szCs w:val="22"/>
              </w:rPr>
              <w:t>Arrendamiento de terrenos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54ACBE67" w14:textId="77777777" w:rsidR="00306A9C" w:rsidRDefault="00AF5E44" w:rsidP="00AF5E44">
            <w:pPr>
              <w:jc w:val="both"/>
              <w:rPr>
                <w:rFonts w:ascii="Arial Narrow" w:eastAsia="Times New Roman" w:hAnsi="Arial Narrow" w:cs="Calibri"/>
                <w:b/>
                <w:bCs/>
                <w:color w:val="000000"/>
                <w:sz w:val="22"/>
                <w:szCs w:val="22"/>
              </w:rPr>
            </w:pPr>
            <w:r w:rsidRPr="00306A9C">
              <w:rPr>
                <w:rFonts w:ascii="Arial Narrow" w:eastAsia="Times New Roman" w:hAnsi="Arial Narrow" w:cs="Calibri"/>
                <w:b/>
                <w:bCs/>
                <w:color w:val="000000"/>
                <w:sz w:val="22"/>
                <w:szCs w:val="22"/>
              </w:rPr>
              <w:t xml:space="preserve">NICSP N° 13, </w:t>
            </w:r>
          </w:p>
          <w:p w14:paraId="3850806A" w14:textId="20436600" w:rsidR="00AF5E44" w:rsidRPr="00306A9C" w:rsidRDefault="00AF5E44" w:rsidP="00AF5E44">
            <w:pPr>
              <w:jc w:val="both"/>
              <w:rPr>
                <w:rFonts w:ascii="Arial Narrow" w:eastAsia="Times New Roman" w:hAnsi="Arial Narrow" w:cs="Calibri"/>
                <w:b/>
                <w:bCs/>
                <w:color w:val="000000"/>
                <w:sz w:val="22"/>
                <w:szCs w:val="22"/>
              </w:rPr>
            </w:pPr>
            <w:r w:rsidRPr="00306A9C">
              <w:rPr>
                <w:rFonts w:ascii="Arial Narrow" w:eastAsia="Times New Roman" w:hAnsi="Arial Narrow" w:cs="Calibri"/>
                <w:b/>
                <w:bCs/>
                <w:color w:val="000000"/>
                <w:sz w:val="22"/>
                <w:szCs w:val="22"/>
              </w:rPr>
              <w:t>Párrafo 20A.</w:t>
            </w:r>
          </w:p>
        </w:tc>
        <w:tc>
          <w:tcPr>
            <w:tcW w:w="1863" w:type="dxa"/>
            <w:tcBorders>
              <w:top w:val="single" w:sz="8" w:space="0" w:color="auto"/>
              <w:left w:val="nil"/>
              <w:bottom w:val="single" w:sz="8" w:space="0" w:color="auto"/>
              <w:right w:val="single" w:sz="8" w:space="0" w:color="auto"/>
            </w:tcBorders>
            <w:shd w:val="clear" w:color="auto" w:fill="auto"/>
            <w:vAlign w:val="center"/>
            <w:hideMark/>
          </w:tcPr>
          <w:p w14:paraId="035B2BF1" w14:textId="77777777" w:rsidR="00AF5E44" w:rsidRPr="00306A9C" w:rsidRDefault="00AF5E44" w:rsidP="00AF5E44">
            <w:pPr>
              <w:rPr>
                <w:rFonts w:ascii="Arial Narrow" w:eastAsia="Times New Roman" w:hAnsi="Arial Narrow" w:cs="Calibri"/>
                <w:b/>
                <w:bCs/>
                <w:color w:val="000000"/>
                <w:sz w:val="22"/>
                <w:szCs w:val="22"/>
              </w:rPr>
            </w:pPr>
            <w:r w:rsidRPr="00306A9C">
              <w:rPr>
                <w:rFonts w:ascii="Arial Narrow" w:eastAsia="Times New Roman" w:hAnsi="Arial Narrow" w:cs="Calibri"/>
                <w:b/>
                <w:bCs/>
                <w:color w:val="000000"/>
                <w:sz w:val="22"/>
                <w:szCs w:val="22"/>
              </w:rPr>
              <w:t>DGCN</w:t>
            </w:r>
          </w:p>
        </w:tc>
      </w:tr>
    </w:tbl>
    <w:p w14:paraId="1810A9D9" w14:textId="77777777" w:rsidR="00026A6E" w:rsidRDefault="00026A6E" w:rsidP="00924EC2">
      <w:pPr>
        <w:pStyle w:val="Default"/>
        <w:jc w:val="both"/>
        <w:rPr>
          <w:b/>
          <w:bCs/>
          <w:sz w:val="22"/>
          <w:szCs w:val="22"/>
          <w:lang w:val="es-CR"/>
        </w:rPr>
      </w:pPr>
    </w:p>
    <w:p w14:paraId="4C771A03" w14:textId="4736144B" w:rsidR="004835CA" w:rsidRDefault="004835CA" w:rsidP="004835CA">
      <w:pPr>
        <w:pStyle w:val="Default"/>
        <w:ind w:left="1134" w:hanging="1134"/>
        <w:jc w:val="both"/>
        <w:rPr>
          <w:rFonts w:eastAsia="Arial"/>
          <w:b/>
          <w:sz w:val="22"/>
          <w:szCs w:val="22"/>
        </w:rPr>
      </w:pPr>
      <w:r w:rsidRPr="00F02F9D">
        <w:rPr>
          <w:rFonts w:eastAsia="Arial"/>
          <w:b/>
          <w:sz w:val="22"/>
          <w:szCs w:val="22"/>
        </w:rPr>
        <w:t>Política Contable</w:t>
      </w:r>
    </w:p>
    <w:p w14:paraId="5A24AFBF" w14:textId="77777777" w:rsidR="004835CA" w:rsidRDefault="004835CA" w:rsidP="00924EC2">
      <w:pPr>
        <w:pStyle w:val="Default"/>
        <w:jc w:val="both"/>
        <w:rPr>
          <w:b/>
          <w:bCs/>
          <w:sz w:val="22"/>
          <w:szCs w:val="22"/>
          <w:lang w:val="es-CR"/>
        </w:rPr>
      </w:pPr>
    </w:p>
    <w:p w14:paraId="2106779E" w14:textId="539BE829" w:rsidR="00AF5E44" w:rsidRDefault="00AF5E44" w:rsidP="00AF5E44">
      <w:pPr>
        <w:pStyle w:val="Default"/>
        <w:ind w:left="1134" w:hanging="1134"/>
        <w:jc w:val="both"/>
        <w:rPr>
          <w:sz w:val="22"/>
          <w:szCs w:val="22"/>
          <w:lang w:val="es-CR"/>
        </w:rPr>
      </w:pPr>
      <w:r>
        <w:rPr>
          <w:sz w:val="22"/>
          <w:szCs w:val="22"/>
          <w:lang w:val="es-CR"/>
        </w:rPr>
        <w:t>5.22.0.01</w:t>
      </w:r>
      <w:r>
        <w:rPr>
          <w:sz w:val="22"/>
          <w:szCs w:val="22"/>
          <w:lang w:val="es-CR"/>
        </w:rPr>
        <w:tab/>
      </w:r>
      <w:r w:rsidRPr="00AF5E44">
        <w:rPr>
          <w:sz w:val="22"/>
          <w:szCs w:val="22"/>
          <w:lang w:val="es-CR"/>
        </w:rPr>
        <w:t>Los terrenos normalmente tienen una vida económica indefinida y, si no se espera que la propiedad de los mismos pases al arrendatario al término del plazo del arrendamiento, éste no recibirá todos los riesgos y ventajas sustanciales inherentes a la propiedad, en cuyo caso, el arrendamiento del terreno se considerará como operativo. Sólo si expresamente se transfiere la propiedad al arrendatario al término del plazo de arrendamiento, la transacción será considerada como arrendamiento financiero.</w:t>
      </w:r>
    </w:p>
    <w:p w14:paraId="138CD96D" w14:textId="41D8461C" w:rsidR="00AF5E44" w:rsidRPr="00AF5E44" w:rsidRDefault="00AF5E44" w:rsidP="00AF5E44">
      <w:pPr>
        <w:pStyle w:val="Default"/>
        <w:jc w:val="both"/>
        <w:rPr>
          <w:sz w:val="22"/>
          <w:szCs w:val="22"/>
          <w:lang w:val="es-CR"/>
        </w:rPr>
      </w:pPr>
      <w:r w:rsidRPr="00AF5E44">
        <w:rPr>
          <w:sz w:val="22"/>
          <w:szCs w:val="22"/>
          <w:lang w:val="es-CR"/>
        </w:rPr>
        <w:t xml:space="preserve"> </w:t>
      </w:r>
    </w:p>
    <w:p w14:paraId="503D4919" w14:textId="1D7DE079" w:rsidR="00AF5E44" w:rsidRDefault="00AF5E44" w:rsidP="00AF5E44">
      <w:pPr>
        <w:pStyle w:val="Default"/>
        <w:ind w:left="1134"/>
        <w:jc w:val="both"/>
        <w:rPr>
          <w:sz w:val="23"/>
          <w:szCs w:val="23"/>
          <w:lang w:val="es-CR"/>
        </w:rPr>
      </w:pPr>
      <w:r w:rsidRPr="00AF5E44">
        <w:rPr>
          <w:sz w:val="22"/>
          <w:szCs w:val="22"/>
          <w:lang w:val="es-CR"/>
        </w:rPr>
        <w:t>En tal sentido, excepto que por mención expresa deba considerarse arrendamiento financiero, los pagos por arrendamientos de terrenos serán tratados según las normas que rigen a los arrendamientos operativos</w:t>
      </w:r>
      <w:r w:rsidRPr="00AF5E44">
        <w:rPr>
          <w:sz w:val="23"/>
          <w:szCs w:val="23"/>
          <w:lang w:val="es-CR"/>
        </w:rPr>
        <w:t>.</w:t>
      </w:r>
    </w:p>
    <w:p w14:paraId="0BDC90DE" w14:textId="77777777" w:rsidR="00A45C57" w:rsidRDefault="00A45C57" w:rsidP="00AF5E44">
      <w:pPr>
        <w:pStyle w:val="Default"/>
        <w:ind w:left="1134"/>
        <w:jc w:val="both"/>
        <w:rPr>
          <w:sz w:val="23"/>
          <w:szCs w:val="23"/>
          <w:lang w:val="es-CR"/>
        </w:rPr>
      </w:pPr>
    </w:p>
    <w:p w14:paraId="5008AE5D" w14:textId="77777777" w:rsidR="00A45C57" w:rsidRDefault="00A45C57" w:rsidP="00AF5E44">
      <w:pPr>
        <w:pStyle w:val="Default"/>
        <w:ind w:left="1134"/>
        <w:jc w:val="both"/>
        <w:rPr>
          <w:sz w:val="23"/>
          <w:szCs w:val="23"/>
          <w:lang w:val="es-CR"/>
        </w:rPr>
      </w:pPr>
    </w:p>
    <w:p w14:paraId="09CBDA34" w14:textId="63B694D1" w:rsidR="00A45C57" w:rsidRPr="00A2153D" w:rsidRDefault="00A45C57" w:rsidP="00A2153D">
      <w:pPr>
        <w:pStyle w:val="Ttulo2"/>
        <w:ind w:left="284"/>
        <w:jc w:val="both"/>
        <w:rPr>
          <w:rFonts w:ascii="Arial" w:eastAsia="Arial" w:hAnsi="Arial" w:cs="Arial"/>
          <w:b/>
          <w:bCs/>
          <w:sz w:val="22"/>
          <w:szCs w:val="22"/>
          <w:lang w:val="es-CR"/>
        </w:rPr>
      </w:pPr>
      <w:bookmarkStart w:id="160" w:name="_Toc172726295"/>
      <w:r w:rsidRPr="00A2153D">
        <w:rPr>
          <w:rFonts w:ascii="Arial" w:eastAsia="Arial" w:hAnsi="Arial" w:cs="Arial"/>
          <w:b/>
          <w:bCs/>
          <w:sz w:val="22"/>
          <w:szCs w:val="22"/>
          <w:lang w:val="es-CR"/>
        </w:rPr>
        <w:t>Cuotas de Arrendamientos operativos</w:t>
      </w:r>
      <w:bookmarkEnd w:id="160"/>
    </w:p>
    <w:p w14:paraId="02C52338" w14:textId="77777777" w:rsidR="00A45C57" w:rsidRPr="00AF5E44" w:rsidRDefault="00A45C57" w:rsidP="00A45C57">
      <w:pPr>
        <w:pStyle w:val="Default"/>
        <w:jc w:val="both"/>
        <w:rPr>
          <w:b/>
          <w:bCs/>
          <w:sz w:val="22"/>
          <w:szCs w:val="22"/>
          <w:lang w:val="es-CR"/>
        </w:rPr>
      </w:pPr>
    </w:p>
    <w:p w14:paraId="1AE20E65" w14:textId="77777777" w:rsidR="00AF5E44" w:rsidRDefault="00AF5E44" w:rsidP="00924EC2">
      <w:pPr>
        <w:pStyle w:val="Default"/>
        <w:jc w:val="both"/>
        <w:rPr>
          <w:b/>
          <w:bCs/>
          <w:sz w:val="22"/>
          <w:szCs w:val="22"/>
          <w:lang w:val="es-CR"/>
        </w:rPr>
      </w:pPr>
    </w:p>
    <w:tbl>
      <w:tblPr>
        <w:tblW w:w="9498" w:type="dxa"/>
        <w:tblInd w:w="-10" w:type="dxa"/>
        <w:tblLook w:val="04A0" w:firstRow="1" w:lastRow="0" w:firstColumn="1" w:lastColumn="0" w:noHBand="0" w:noVBand="1"/>
      </w:tblPr>
      <w:tblGrid>
        <w:gridCol w:w="426"/>
        <w:gridCol w:w="567"/>
        <w:gridCol w:w="425"/>
        <w:gridCol w:w="3969"/>
        <w:gridCol w:w="2126"/>
        <w:gridCol w:w="1985"/>
      </w:tblGrid>
      <w:tr w:rsidR="00AF5E44" w:rsidRPr="00AF5E44" w14:paraId="150FF4AC" w14:textId="77777777" w:rsidTr="004835CA">
        <w:trPr>
          <w:trHeight w:val="320"/>
        </w:trPr>
        <w:tc>
          <w:tcPr>
            <w:tcW w:w="141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643027D" w14:textId="77777777" w:rsidR="00AF5E44" w:rsidRPr="00AF5E44" w:rsidRDefault="00AF5E44" w:rsidP="00AF5E44">
            <w:pPr>
              <w:jc w:val="center"/>
              <w:rPr>
                <w:rFonts w:ascii="Arial Narrow" w:eastAsia="Times New Roman" w:hAnsi="Arial Narrow" w:cs="Calibri"/>
                <w:b/>
                <w:bCs/>
                <w:color w:val="FFFFFF"/>
                <w:sz w:val="22"/>
                <w:szCs w:val="22"/>
              </w:rPr>
            </w:pPr>
            <w:r w:rsidRPr="00AF5E44">
              <w:rPr>
                <w:rFonts w:ascii="Arial Narrow" w:eastAsia="Times New Roman" w:hAnsi="Arial Narrow" w:cs="Calibri"/>
                <w:b/>
                <w:bCs/>
                <w:color w:val="FFFFFF"/>
                <w:sz w:val="22"/>
                <w:szCs w:val="22"/>
              </w:rPr>
              <w:t>Norma / Política</w:t>
            </w:r>
          </w:p>
        </w:tc>
        <w:tc>
          <w:tcPr>
            <w:tcW w:w="3969" w:type="dxa"/>
            <w:vMerge w:val="restart"/>
            <w:tcBorders>
              <w:top w:val="single" w:sz="8" w:space="0" w:color="auto"/>
              <w:left w:val="single" w:sz="8" w:space="0" w:color="auto"/>
              <w:bottom w:val="nil"/>
              <w:right w:val="single" w:sz="8" w:space="0" w:color="auto"/>
            </w:tcBorders>
            <w:shd w:val="clear" w:color="000000" w:fill="203764"/>
            <w:vAlign w:val="center"/>
            <w:hideMark/>
          </w:tcPr>
          <w:p w14:paraId="63C34EDF" w14:textId="77777777" w:rsidR="00AF5E44" w:rsidRPr="00AF5E44" w:rsidRDefault="00AF5E44" w:rsidP="00AF5E44">
            <w:pPr>
              <w:jc w:val="center"/>
              <w:rPr>
                <w:rFonts w:ascii="Arial Narrow" w:eastAsia="Times New Roman" w:hAnsi="Arial Narrow" w:cs="Calibri"/>
                <w:b/>
                <w:bCs/>
                <w:color w:val="FFFFFF"/>
                <w:sz w:val="22"/>
                <w:szCs w:val="22"/>
              </w:rPr>
            </w:pPr>
            <w:r w:rsidRPr="00AF5E44">
              <w:rPr>
                <w:rFonts w:ascii="Arial Narrow" w:eastAsia="Times New Roman" w:hAnsi="Arial Narrow" w:cs="Calibri"/>
                <w:b/>
                <w:bCs/>
                <w:color w:val="FFFFFF"/>
                <w:sz w:val="22"/>
                <w:szCs w:val="22"/>
              </w:rPr>
              <w:t>Concepto</w:t>
            </w:r>
          </w:p>
        </w:tc>
        <w:tc>
          <w:tcPr>
            <w:tcW w:w="4111" w:type="dxa"/>
            <w:gridSpan w:val="2"/>
            <w:tcBorders>
              <w:top w:val="single" w:sz="8" w:space="0" w:color="auto"/>
              <w:left w:val="nil"/>
              <w:bottom w:val="single" w:sz="8" w:space="0" w:color="auto"/>
              <w:right w:val="single" w:sz="8" w:space="0" w:color="000000"/>
            </w:tcBorders>
            <w:shd w:val="clear" w:color="000000" w:fill="203764"/>
            <w:vAlign w:val="center"/>
            <w:hideMark/>
          </w:tcPr>
          <w:p w14:paraId="56B5BC91" w14:textId="77777777" w:rsidR="00AF5E44" w:rsidRPr="00AF5E44" w:rsidRDefault="00AF5E44" w:rsidP="00AF5E44">
            <w:pPr>
              <w:jc w:val="center"/>
              <w:rPr>
                <w:rFonts w:ascii="Arial Narrow" w:eastAsia="Times New Roman" w:hAnsi="Arial Narrow" w:cs="Calibri"/>
                <w:b/>
                <w:bCs/>
                <w:color w:val="FFFFFF"/>
                <w:sz w:val="22"/>
                <w:szCs w:val="22"/>
              </w:rPr>
            </w:pPr>
            <w:r w:rsidRPr="00AF5E44">
              <w:rPr>
                <w:rFonts w:ascii="Arial Narrow" w:eastAsia="Times New Roman" w:hAnsi="Arial Narrow" w:cs="Calibri"/>
                <w:b/>
                <w:bCs/>
                <w:color w:val="FFFFFF"/>
                <w:sz w:val="22"/>
                <w:szCs w:val="22"/>
              </w:rPr>
              <w:t>Referencia</w:t>
            </w:r>
          </w:p>
        </w:tc>
      </w:tr>
      <w:tr w:rsidR="00AF5E44" w:rsidRPr="006E5442" w14:paraId="371C0D0B" w14:textId="77777777" w:rsidTr="004835CA">
        <w:trPr>
          <w:trHeight w:val="940"/>
        </w:trPr>
        <w:tc>
          <w:tcPr>
            <w:tcW w:w="1418" w:type="dxa"/>
            <w:gridSpan w:val="3"/>
            <w:vMerge/>
            <w:tcBorders>
              <w:top w:val="single" w:sz="8" w:space="0" w:color="auto"/>
              <w:left w:val="single" w:sz="8" w:space="0" w:color="auto"/>
              <w:bottom w:val="nil"/>
              <w:right w:val="single" w:sz="8" w:space="0" w:color="000000"/>
            </w:tcBorders>
            <w:vAlign w:val="center"/>
            <w:hideMark/>
          </w:tcPr>
          <w:p w14:paraId="202A36D7" w14:textId="77777777" w:rsidR="00AF5E44" w:rsidRPr="00AF5E44" w:rsidRDefault="00AF5E44" w:rsidP="00AF5E44">
            <w:pPr>
              <w:rPr>
                <w:rFonts w:ascii="Arial Narrow" w:eastAsia="Times New Roman" w:hAnsi="Arial Narrow" w:cs="Calibri"/>
                <w:b/>
                <w:bCs/>
                <w:color w:val="FFFFFF"/>
                <w:sz w:val="22"/>
                <w:szCs w:val="22"/>
              </w:rPr>
            </w:pPr>
          </w:p>
        </w:tc>
        <w:tc>
          <w:tcPr>
            <w:tcW w:w="3969" w:type="dxa"/>
            <w:vMerge/>
            <w:tcBorders>
              <w:top w:val="single" w:sz="8" w:space="0" w:color="auto"/>
              <w:left w:val="single" w:sz="8" w:space="0" w:color="auto"/>
              <w:bottom w:val="nil"/>
              <w:right w:val="single" w:sz="8" w:space="0" w:color="auto"/>
            </w:tcBorders>
            <w:vAlign w:val="center"/>
            <w:hideMark/>
          </w:tcPr>
          <w:p w14:paraId="0E868D1B" w14:textId="77777777" w:rsidR="00AF5E44" w:rsidRPr="00AF5E44" w:rsidRDefault="00AF5E44" w:rsidP="00AF5E44">
            <w:pPr>
              <w:rPr>
                <w:rFonts w:ascii="Arial Narrow" w:eastAsia="Times New Roman" w:hAnsi="Arial Narrow" w:cs="Calibri"/>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5AE004B9" w14:textId="77777777" w:rsidR="00AF5E44" w:rsidRPr="00AF5E44" w:rsidRDefault="00AF5E44" w:rsidP="00AF5E44">
            <w:pPr>
              <w:jc w:val="center"/>
              <w:rPr>
                <w:rFonts w:ascii="Arial Narrow" w:eastAsia="Times New Roman" w:hAnsi="Arial Narrow" w:cs="Calibri"/>
                <w:b/>
                <w:bCs/>
                <w:color w:val="FFFFFF"/>
                <w:sz w:val="22"/>
                <w:szCs w:val="22"/>
              </w:rPr>
            </w:pPr>
            <w:r w:rsidRPr="00AF5E44">
              <w:rPr>
                <w:rFonts w:ascii="Arial Narrow" w:eastAsia="Times New Roman" w:hAnsi="Arial Narrow" w:cs="Calibri"/>
                <w:b/>
                <w:bCs/>
                <w:color w:val="FFFFFF"/>
                <w:sz w:val="22"/>
                <w:szCs w:val="22"/>
              </w:rPr>
              <w:t>Norma</w:t>
            </w:r>
          </w:p>
        </w:tc>
        <w:tc>
          <w:tcPr>
            <w:tcW w:w="1985" w:type="dxa"/>
            <w:tcBorders>
              <w:top w:val="nil"/>
              <w:left w:val="nil"/>
              <w:bottom w:val="nil"/>
              <w:right w:val="single" w:sz="8" w:space="0" w:color="auto"/>
            </w:tcBorders>
            <w:shd w:val="clear" w:color="000000" w:fill="203764"/>
            <w:vAlign w:val="center"/>
            <w:hideMark/>
          </w:tcPr>
          <w:p w14:paraId="5F2204B9" w14:textId="77777777" w:rsidR="00AF5E44" w:rsidRPr="00AF5E44" w:rsidRDefault="00AF5E44" w:rsidP="00AF5E44">
            <w:pPr>
              <w:jc w:val="center"/>
              <w:rPr>
                <w:rFonts w:ascii="Arial Narrow" w:eastAsia="Times New Roman" w:hAnsi="Arial Narrow" w:cs="Calibri"/>
                <w:b/>
                <w:bCs/>
                <w:color w:val="FFFFFF"/>
                <w:sz w:val="22"/>
                <w:szCs w:val="22"/>
                <w:lang w:val="es-CR"/>
              </w:rPr>
            </w:pPr>
            <w:r w:rsidRPr="00AF5E44">
              <w:rPr>
                <w:rFonts w:ascii="Arial Narrow" w:eastAsia="Times New Roman" w:hAnsi="Arial Narrow" w:cs="Calibri"/>
                <w:b/>
                <w:bCs/>
                <w:color w:val="FFFFFF"/>
                <w:sz w:val="22"/>
                <w:szCs w:val="22"/>
                <w:lang w:val="es-CR"/>
              </w:rPr>
              <w:t>Normativa técnica y disposiciones adicionales</w:t>
            </w:r>
          </w:p>
        </w:tc>
      </w:tr>
      <w:tr w:rsidR="00AF5E44" w:rsidRPr="00AF5E44" w14:paraId="6C553F0D" w14:textId="77777777" w:rsidTr="004835CA">
        <w:trPr>
          <w:trHeight w:val="630"/>
        </w:trPr>
        <w:tc>
          <w:tcPr>
            <w:tcW w:w="4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2D1EAF" w14:textId="77777777" w:rsidR="00AF5E44" w:rsidRPr="00AF5E44" w:rsidRDefault="00AF5E44" w:rsidP="00AF5E44">
            <w:pPr>
              <w:jc w:val="center"/>
              <w:rPr>
                <w:rFonts w:ascii="Arial Narrow" w:eastAsia="Times New Roman" w:hAnsi="Arial Narrow" w:cs="Calibri"/>
                <w:b/>
                <w:bCs/>
                <w:color w:val="000000"/>
                <w:sz w:val="22"/>
                <w:szCs w:val="22"/>
              </w:rPr>
            </w:pPr>
            <w:r w:rsidRPr="00AF5E44">
              <w:rPr>
                <w:rFonts w:ascii="Arial Narrow" w:eastAsia="Times New Roman" w:hAnsi="Arial Narrow" w:cs="Calibri"/>
                <w:b/>
                <w:bCs/>
                <w:color w:val="000000"/>
                <w:sz w:val="22"/>
                <w:szCs w:val="22"/>
              </w:rPr>
              <w:t>5</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3FFF088D" w14:textId="77777777" w:rsidR="00AF5E44" w:rsidRPr="00AF5E44" w:rsidRDefault="00AF5E44" w:rsidP="00AF5E44">
            <w:pPr>
              <w:jc w:val="center"/>
              <w:rPr>
                <w:rFonts w:ascii="Arial Narrow" w:eastAsia="Times New Roman" w:hAnsi="Arial Narrow" w:cs="Calibri"/>
                <w:b/>
                <w:bCs/>
                <w:color w:val="000000"/>
                <w:sz w:val="22"/>
                <w:szCs w:val="22"/>
              </w:rPr>
            </w:pPr>
            <w:r w:rsidRPr="00AF5E44">
              <w:rPr>
                <w:rFonts w:ascii="Arial Narrow" w:eastAsia="Times New Roman" w:hAnsi="Arial Narrow" w:cs="Calibri"/>
                <w:b/>
                <w:bCs/>
                <w:color w:val="000000"/>
                <w:sz w:val="22"/>
                <w:szCs w:val="22"/>
              </w:rPr>
              <w:t>24</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35F7CF0F" w14:textId="77777777" w:rsidR="00AF5E44" w:rsidRPr="00AF5E44" w:rsidRDefault="00AF5E44" w:rsidP="00AF5E44">
            <w:pPr>
              <w:jc w:val="center"/>
              <w:rPr>
                <w:rFonts w:ascii="Arial Narrow" w:eastAsia="Times New Roman" w:hAnsi="Arial Narrow" w:cs="Calibri"/>
                <w:b/>
                <w:bCs/>
                <w:color w:val="000000"/>
                <w:sz w:val="22"/>
                <w:szCs w:val="22"/>
              </w:rPr>
            </w:pPr>
            <w:r w:rsidRPr="00AF5E44">
              <w:rPr>
                <w:rFonts w:ascii="Arial Narrow" w:eastAsia="Times New Roman" w:hAnsi="Arial Narrow" w:cs="Calibri"/>
                <w:b/>
                <w:bCs/>
                <w:color w:val="000000"/>
                <w:sz w:val="22"/>
                <w:szCs w:val="22"/>
              </w:rPr>
              <w:t> </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7ECF3103" w14:textId="77777777" w:rsidR="00AF5E44" w:rsidRPr="00AF5E44" w:rsidRDefault="00AF5E44" w:rsidP="00AF5E44">
            <w:pPr>
              <w:jc w:val="both"/>
              <w:rPr>
                <w:rFonts w:ascii="Arial Narrow" w:eastAsia="Times New Roman" w:hAnsi="Arial Narrow" w:cs="Calibri"/>
                <w:b/>
                <w:bCs/>
                <w:color w:val="000000"/>
                <w:sz w:val="22"/>
                <w:szCs w:val="22"/>
                <w:lang w:val="es-CR"/>
              </w:rPr>
            </w:pPr>
            <w:r w:rsidRPr="00AF5E44">
              <w:rPr>
                <w:rFonts w:ascii="Arial Narrow" w:eastAsia="Times New Roman" w:hAnsi="Arial Narrow" w:cs="Calibri"/>
                <w:b/>
                <w:bCs/>
                <w:color w:val="000000"/>
                <w:sz w:val="22"/>
                <w:szCs w:val="22"/>
                <w:lang w:val="es-CR"/>
              </w:rPr>
              <w:t>Cuotas del arrendamiento operativo para la entidad arrendataria</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48C6438E" w14:textId="77777777" w:rsidR="00AF5E44" w:rsidRDefault="00AF5E44" w:rsidP="00AF5E44">
            <w:pPr>
              <w:jc w:val="both"/>
              <w:rPr>
                <w:rFonts w:ascii="Arial Narrow" w:eastAsia="Times New Roman" w:hAnsi="Arial Narrow" w:cs="Calibri"/>
                <w:b/>
                <w:bCs/>
                <w:color w:val="000000"/>
                <w:sz w:val="22"/>
                <w:szCs w:val="22"/>
              </w:rPr>
            </w:pPr>
            <w:r w:rsidRPr="00AF5E44">
              <w:rPr>
                <w:rFonts w:ascii="Arial Narrow" w:eastAsia="Times New Roman" w:hAnsi="Arial Narrow" w:cs="Calibri"/>
                <w:b/>
                <w:bCs/>
                <w:color w:val="000000"/>
                <w:sz w:val="22"/>
                <w:szCs w:val="22"/>
              </w:rPr>
              <w:t xml:space="preserve">NICSP N° 13, </w:t>
            </w:r>
          </w:p>
          <w:p w14:paraId="6D9833A0" w14:textId="3315074F" w:rsidR="00AF5E44" w:rsidRPr="00AF5E44" w:rsidRDefault="00AF5E44" w:rsidP="00AF5E44">
            <w:pPr>
              <w:jc w:val="both"/>
              <w:rPr>
                <w:rFonts w:ascii="Arial Narrow" w:eastAsia="Times New Roman" w:hAnsi="Arial Narrow" w:cs="Calibri"/>
                <w:b/>
                <w:bCs/>
                <w:color w:val="000000"/>
                <w:sz w:val="22"/>
                <w:szCs w:val="22"/>
              </w:rPr>
            </w:pPr>
            <w:r w:rsidRPr="00AF5E44">
              <w:rPr>
                <w:rFonts w:ascii="Arial Narrow" w:eastAsia="Times New Roman" w:hAnsi="Arial Narrow" w:cs="Calibri"/>
                <w:b/>
                <w:bCs/>
                <w:color w:val="000000"/>
                <w:sz w:val="22"/>
                <w:szCs w:val="22"/>
              </w:rPr>
              <w:t>Párrafos 42 y 43.</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030184EE" w14:textId="77777777" w:rsidR="00AF5E44" w:rsidRPr="00AF5E44" w:rsidRDefault="00AF5E44" w:rsidP="00AF5E44">
            <w:pPr>
              <w:rPr>
                <w:rFonts w:ascii="Arial Narrow" w:eastAsia="Times New Roman" w:hAnsi="Arial Narrow" w:cs="Calibri"/>
                <w:b/>
                <w:bCs/>
                <w:color w:val="000000"/>
                <w:sz w:val="22"/>
                <w:szCs w:val="22"/>
              </w:rPr>
            </w:pPr>
            <w:r w:rsidRPr="00AF5E44">
              <w:rPr>
                <w:rFonts w:ascii="Arial Narrow" w:eastAsia="Times New Roman" w:hAnsi="Arial Narrow" w:cs="Calibri"/>
                <w:b/>
                <w:bCs/>
                <w:color w:val="000000"/>
                <w:sz w:val="22"/>
                <w:szCs w:val="22"/>
              </w:rPr>
              <w:t xml:space="preserve"> </w:t>
            </w:r>
          </w:p>
        </w:tc>
      </w:tr>
    </w:tbl>
    <w:p w14:paraId="5016EF61" w14:textId="77777777" w:rsidR="00AF5E44" w:rsidRDefault="00AF5E44" w:rsidP="00924EC2">
      <w:pPr>
        <w:pStyle w:val="Default"/>
        <w:jc w:val="both"/>
        <w:rPr>
          <w:b/>
          <w:bCs/>
          <w:sz w:val="22"/>
          <w:szCs w:val="22"/>
          <w:lang w:val="es-CR"/>
        </w:rPr>
      </w:pPr>
    </w:p>
    <w:p w14:paraId="0499B3DC" w14:textId="77777777" w:rsidR="004835CA" w:rsidRDefault="004835CA" w:rsidP="004835CA">
      <w:pPr>
        <w:pStyle w:val="Default"/>
        <w:ind w:left="1134" w:hanging="1134"/>
        <w:jc w:val="both"/>
        <w:rPr>
          <w:rFonts w:eastAsia="Arial"/>
          <w:b/>
          <w:sz w:val="22"/>
          <w:szCs w:val="22"/>
        </w:rPr>
      </w:pPr>
      <w:r w:rsidRPr="00F02F9D">
        <w:rPr>
          <w:rFonts w:eastAsia="Arial"/>
          <w:b/>
          <w:sz w:val="22"/>
          <w:szCs w:val="22"/>
        </w:rPr>
        <w:t>Políticas Contables</w:t>
      </w:r>
    </w:p>
    <w:p w14:paraId="33E573D6" w14:textId="77777777" w:rsidR="004835CA" w:rsidRPr="00306A9C" w:rsidRDefault="004835CA" w:rsidP="00924EC2">
      <w:pPr>
        <w:pStyle w:val="Default"/>
        <w:jc w:val="both"/>
        <w:rPr>
          <w:b/>
          <w:bCs/>
          <w:sz w:val="22"/>
          <w:szCs w:val="22"/>
          <w:lang w:val="es-CR"/>
        </w:rPr>
      </w:pPr>
    </w:p>
    <w:p w14:paraId="578FCDED" w14:textId="74CF961A" w:rsidR="00EC3D1F" w:rsidRPr="00306A9C" w:rsidRDefault="00EC3D1F" w:rsidP="00EC3D1F">
      <w:pPr>
        <w:pStyle w:val="Default"/>
        <w:ind w:left="1134" w:hanging="1134"/>
        <w:jc w:val="both"/>
        <w:rPr>
          <w:sz w:val="22"/>
          <w:szCs w:val="22"/>
          <w:lang w:val="es-CR"/>
        </w:rPr>
      </w:pPr>
      <w:r w:rsidRPr="00306A9C">
        <w:rPr>
          <w:sz w:val="22"/>
          <w:szCs w:val="22"/>
          <w:lang w:val="es-CR"/>
        </w:rPr>
        <w:t>5.24.0.01</w:t>
      </w:r>
      <w:r w:rsidRPr="00306A9C">
        <w:rPr>
          <w:sz w:val="22"/>
          <w:szCs w:val="22"/>
          <w:lang w:val="es-CR"/>
        </w:rPr>
        <w:tab/>
        <w:t xml:space="preserve">Las cuotas derivadas de los arrendamientos operativos se reconocerán como gasto de forma lineal, durante el transcurso del plazo del arrendamiento, salvo que resulte más representativa otra base sistemática de reparto por reflejar más adecuadamente el patrón temporal de los beneficios del arrendamiento para el usuario, independientemente de la forma concreta en que se realicen los pagos de las cuotas. </w:t>
      </w:r>
    </w:p>
    <w:p w14:paraId="52108AEF" w14:textId="77777777" w:rsidR="00EC3D1F" w:rsidRPr="00EC3D1F" w:rsidRDefault="00EC3D1F" w:rsidP="00EC3D1F">
      <w:pPr>
        <w:pStyle w:val="Default"/>
        <w:ind w:left="1134" w:hanging="1134"/>
        <w:jc w:val="both"/>
        <w:rPr>
          <w:sz w:val="23"/>
          <w:szCs w:val="23"/>
          <w:lang w:val="es-CR"/>
        </w:rPr>
      </w:pPr>
    </w:p>
    <w:p w14:paraId="2ED04152" w14:textId="52B37B4D" w:rsidR="00AF5E44" w:rsidRDefault="00EC3D1F" w:rsidP="00EC3D1F">
      <w:pPr>
        <w:pStyle w:val="Default"/>
        <w:ind w:left="1134" w:hanging="1134"/>
        <w:jc w:val="both"/>
        <w:rPr>
          <w:sz w:val="23"/>
          <w:szCs w:val="23"/>
          <w:lang w:val="es-CR"/>
        </w:rPr>
      </w:pPr>
      <w:r>
        <w:rPr>
          <w:sz w:val="23"/>
          <w:szCs w:val="23"/>
          <w:lang w:val="es-CR"/>
        </w:rPr>
        <w:t>5.24.0.02</w:t>
      </w:r>
      <w:r>
        <w:rPr>
          <w:sz w:val="23"/>
          <w:szCs w:val="23"/>
          <w:lang w:val="es-CR"/>
        </w:rPr>
        <w:tab/>
      </w:r>
      <w:r w:rsidRPr="00EC3D1F">
        <w:rPr>
          <w:sz w:val="23"/>
          <w:szCs w:val="23"/>
          <w:lang w:val="es-CR"/>
        </w:rPr>
        <w:t>En los pagos correspondientes a las cuotas de arrendamiento no se incluyen los costos por otros servicios tales como seguros o mantenimiento, los que se reconocerán en el momento en que se incurran.</w:t>
      </w:r>
    </w:p>
    <w:p w14:paraId="6431CD00" w14:textId="77777777" w:rsidR="004835CA" w:rsidRDefault="004835CA" w:rsidP="00EC3D1F">
      <w:pPr>
        <w:pStyle w:val="Default"/>
        <w:ind w:left="1134" w:hanging="1134"/>
        <w:jc w:val="both"/>
        <w:rPr>
          <w:bCs/>
          <w:sz w:val="23"/>
          <w:szCs w:val="23"/>
          <w:lang w:val="es-CR"/>
        </w:rPr>
      </w:pPr>
    </w:p>
    <w:p w14:paraId="3E775A9E" w14:textId="77777777" w:rsidR="004835CA" w:rsidRDefault="004835CA" w:rsidP="00EC3D1F">
      <w:pPr>
        <w:pStyle w:val="Default"/>
        <w:ind w:left="1134" w:hanging="1134"/>
        <w:jc w:val="both"/>
        <w:rPr>
          <w:bCs/>
          <w:sz w:val="23"/>
          <w:szCs w:val="23"/>
          <w:lang w:val="es-CR"/>
        </w:rPr>
      </w:pPr>
    </w:p>
    <w:p w14:paraId="2FB84B6C" w14:textId="77777777" w:rsidR="004835CA" w:rsidRDefault="004835CA" w:rsidP="00EC3D1F">
      <w:pPr>
        <w:pStyle w:val="Default"/>
        <w:ind w:left="1134" w:hanging="1134"/>
        <w:jc w:val="both"/>
        <w:rPr>
          <w:bCs/>
          <w:sz w:val="23"/>
          <w:szCs w:val="23"/>
          <w:lang w:val="es-CR"/>
        </w:rPr>
      </w:pPr>
    </w:p>
    <w:p w14:paraId="405A0EB2" w14:textId="77777777" w:rsidR="004835CA" w:rsidRDefault="004835CA" w:rsidP="00EC3D1F">
      <w:pPr>
        <w:pStyle w:val="Default"/>
        <w:ind w:left="1134" w:hanging="1134"/>
        <w:jc w:val="both"/>
        <w:rPr>
          <w:bCs/>
          <w:sz w:val="23"/>
          <w:szCs w:val="23"/>
          <w:lang w:val="es-CR"/>
        </w:rPr>
      </w:pPr>
    </w:p>
    <w:p w14:paraId="4A11E20E" w14:textId="77777777" w:rsidR="004835CA" w:rsidRDefault="004835CA" w:rsidP="00EC3D1F">
      <w:pPr>
        <w:pStyle w:val="Default"/>
        <w:ind w:left="1134" w:hanging="1134"/>
        <w:jc w:val="both"/>
        <w:rPr>
          <w:bCs/>
          <w:sz w:val="23"/>
          <w:szCs w:val="23"/>
          <w:lang w:val="es-CR"/>
        </w:rPr>
      </w:pPr>
    </w:p>
    <w:p w14:paraId="20BC79CA" w14:textId="77777777" w:rsidR="004835CA" w:rsidRDefault="004835CA" w:rsidP="00EC3D1F">
      <w:pPr>
        <w:pStyle w:val="Default"/>
        <w:ind w:left="1134" w:hanging="1134"/>
        <w:jc w:val="both"/>
        <w:rPr>
          <w:b/>
          <w:bCs/>
          <w:sz w:val="22"/>
          <w:szCs w:val="22"/>
          <w:lang w:val="es-CR"/>
        </w:rPr>
      </w:pPr>
    </w:p>
    <w:tbl>
      <w:tblPr>
        <w:tblW w:w="9346" w:type="dxa"/>
        <w:tblLook w:val="04A0" w:firstRow="1" w:lastRow="0" w:firstColumn="1" w:lastColumn="0" w:noHBand="0" w:noVBand="1"/>
      </w:tblPr>
      <w:tblGrid>
        <w:gridCol w:w="416"/>
        <w:gridCol w:w="708"/>
        <w:gridCol w:w="423"/>
        <w:gridCol w:w="22"/>
        <w:gridCol w:w="3672"/>
        <w:gridCol w:w="22"/>
        <w:gridCol w:w="2228"/>
        <w:gridCol w:w="22"/>
        <w:gridCol w:w="1833"/>
      </w:tblGrid>
      <w:tr w:rsidR="0032280D" w:rsidRPr="0032280D" w14:paraId="6FA4BF6F" w14:textId="77777777" w:rsidTr="004835CA">
        <w:trPr>
          <w:trHeight w:val="300"/>
        </w:trPr>
        <w:tc>
          <w:tcPr>
            <w:tcW w:w="1569"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79A370A5" w14:textId="77777777" w:rsidR="0032280D" w:rsidRPr="0032280D" w:rsidRDefault="0032280D" w:rsidP="0032280D">
            <w:pPr>
              <w:jc w:val="center"/>
              <w:rPr>
                <w:rFonts w:ascii="Arial Narrow" w:eastAsia="Times New Roman" w:hAnsi="Arial Narrow" w:cs="Calibri"/>
                <w:b/>
                <w:bCs/>
                <w:color w:val="FFFFFF"/>
                <w:sz w:val="22"/>
                <w:szCs w:val="22"/>
              </w:rPr>
            </w:pPr>
            <w:r w:rsidRPr="0032280D">
              <w:rPr>
                <w:rFonts w:ascii="Arial Narrow" w:eastAsia="Times New Roman" w:hAnsi="Arial Narrow" w:cs="Calibri"/>
                <w:b/>
                <w:bCs/>
                <w:color w:val="FFFFFF"/>
                <w:sz w:val="22"/>
                <w:szCs w:val="22"/>
              </w:rPr>
              <w:lastRenderedPageBreak/>
              <w:t>Norma / Política</w:t>
            </w:r>
          </w:p>
        </w:tc>
        <w:tc>
          <w:tcPr>
            <w:tcW w:w="3694"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E255ED5" w14:textId="77777777" w:rsidR="0032280D" w:rsidRPr="0032280D" w:rsidRDefault="0032280D" w:rsidP="0032280D">
            <w:pPr>
              <w:jc w:val="center"/>
              <w:rPr>
                <w:rFonts w:ascii="Arial Narrow" w:eastAsia="Times New Roman" w:hAnsi="Arial Narrow" w:cs="Calibri"/>
                <w:b/>
                <w:bCs/>
                <w:color w:val="FFFFFF"/>
                <w:sz w:val="22"/>
                <w:szCs w:val="22"/>
              </w:rPr>
            </w:pPr>
            <w:r w:rsidRPr="0032280D">
              <w:rPr>
                <w:rFonts w:ascii="Arial Narrow" w:eastAsia="Times New Roman" w:hAnsi="Arial Narrow" w:cs="Calibri"/>
                <w:b/>
                <w:bCs/>
                <w:color w:val="FFFFFF"/>
                <w:sz w:val="22"/>
                <w:szCs w:val="22"/>
              </w:rPr>
              <w:t>Concepto</w:t>
            </w:r>
          </w:p>
        </w:tc>
        <w:tc>
          <w:tcPr>
            <w:tcW w:w="4083" w:type="dxa"/>
            <w:gridSpan w:val="3"/>
            <w:tcBorders>
              <w:top w:val="single" w:sz="8" w:space="0" w:color="auto"/>
              <w:left w:val="nil"/>
              <w:bottom w:val="single" w:sz="8" w:space="0" w:color="auto"/>
              <w:right w:val="single" w:sz="8" w:space="0" w:color="000000"/>
            </w:tcBorders>
            <w:shd w:val="clear" w:color="000000" w:fill="203764"/>
            <w:vAlign w:val="center"/>
            <w:hideMark/>
          </w:tcPr>
          <w:p w14:paraId="4AB3D2A4" w14:textId="77777777" w:rsidR="0032280D" w:rsidRPr="0032280D" w:rsidRDefault="0032280D" w:rsidP="0032280D">
            <w:pPr>
              <w:jc w:val="center"/>
              <w:rPr>
                <w:rFonts w:ascii="Arial Narrow" w:eastAsia="Times New Roman" w:hAnsi="Arial Narrow" w:cs="Calibri"/>
                <w:b/>
                <w:bCs/>
                <w:color w:val="FFFFFF"/>
                <w:sz w:val="22"/>
                <w:szCs w:val="22"/>
              </w:rPr>
            </w:pPr>
            <w:r w:rsidRPr="0032280D">
              <w:rPr>
                <w:rFonts w:ascii="Arial Narrow" w:eastAsia="Times New Roman" w:hAnsi="Arial Narrow" w:cs="Calibri"/>
                <w:b/>
                <w:bCs/>
                <w:color w:val="FFFFFF"/>
                <w:sz w:val="22"/>
                <w:szCs w:val="22"/>
              </w:rPr>
              <w:t>Referencia</w:t>
            </w:r>
          </w:p>
        </w:tc>
      </w:tr>
      <w:tr w:rsidR="0032280D" w:rsidRPr="006E5442" w14:paraId="4B509E41" w14:textId="77777777" w:rsidTr="004835CA">
        <w:trPr>
          <w:trHeight w:val="850"/>
        </w:trPr>
        <w:tc>
          <w:tcPr>
            <w:tcW w:w="1569" w:type="dxa"/>
            <w:gridSpan w:val="4"/>
            <w:vMerge/>
            <w:tcBorders>
              <w:top w:val="single" w:sz="8" w:space="0" w:color="auto"/>
              <w:left w:val="single" w:sz="8" w:space="0" w:color="auto"/>
              <w:bottom w:val="nil"/>
              <w:right w:val="single" w:sz="8" w:space="0" w:color="000000"/>
            </w:tcBorders>
            <w:vAlign w:val="center"/>
            <w:hideMark/>
          </w:tcPr>
          <w:p w14:paraId="1E50E7B5" w14:textId="77777777" w:rsidR="0032280D" w:rsidRPr="0032280D" w:rsidRDefault="0032280D" w:rsidP="0032280D">
            <w:pPr>
              <w:rPr>
                <w:rFonts w:ascii="Arial Narrow" w:eastAsia="Times New Roman" w:hAnsi="Arial Narrow" w:cs="Calibri"/>
                <w:b/>
                <w:bCs/>
                <w:color w:val="FFFFFF"/>
                <w:sz w:val="22"/>
                <w:szCs w:val="22"/>
              </w:rPr>
            </w:pPr>
          </w:p>
        </w:tc>
        <w:tc>
          <w:tcPr>
            <w:tcW w:w="3694" w:type="dxa"/>
            <w:gridSpan w:val="2"/>
            <w:vMerge/>
            <w:tcBorders>
              <w:top w:val="single" w:sz="8" w:space="0" w:color="auto"/>
              <w:left w:val="single" w:sz="8" w:space="0" w:color="auto"/>
              <w:bottom w:val="nil"/>
              <w:right w:val="single" w:sz="8" w:space="0" w:color="auto"/>
            </w:tcBorders>
            <w:vAlign w:val="center"/>
            <w:hideMark/>
          </w:tcPr>
          <w:p w14:paraId="20D5D143" w14:textId="77777777" w:rsidR="0032280D" w:rsidRPr="0032280D" w:rsidRDefault="0032280D" w:rsidP="0032280D">
            <w:pPr>
              <w:rPr>
                <w:rFonts w:ascii="Arial Narrow" w:eastAsia="Times New Roman" w:hAnsi="Arial Narrow" w:cs="Calibri"/>
                <w:b/>
                <w:bCs/>
                <w:color w:val="FFFFFF"/>
                <w:sz w:val="22"/>
                <w:szCs w:val="22"/>
              </w:rPr>
            </w:pPr>
          </w:p>
        </w:tc>
        <w:tc>
          <w:tcPr>
            <w:tcW w:w="2250" w:type="dxa"/>
            <w:gridSpan w:val="2"/>
            <w:tcBorders>
              <w:top w:val="nil"/>
              <w:left w:val="nil"/>
              <w:bottom w:val="nil"/>
              <w:right w:val="single" w:sz="8" w:space="0" w:color="auto"/>
            </w:tcBorders>
            <w:shd w:val="clear" w:color="000000" w:fill="203764"/>
            <w:vAlign w:val="center"/>
            <w:hideMark/>
          </w:tcPr>
          <w:p w14:paraId="45C9CE42" w14:textId="77777777" w:rsidR="0032280D" w:rsidRPr="0032280D" w:rsidRDefault="0032280D" w:rsidP="0032280D">
            <w:pPr>
              <w:jc w:val="center"/>
              <w:rPr>
                <w:rFonts w:ascii="Arial Narrow" w:eastAsia="Times New Roman" w:hAnsi="Arial Narrow" w:cs="Calibri"/>
                <w:b/>
                <w:bCs/>
                <w:color w:val="FFFFFF"/>
                <w:sz w:val="22"/>
                <w:szCs w:val="22"/>
              </w:rPr>
            </w:pPr>
            <w:r w:rsidRPr="0032280D">
              <w:rPr>
                <w:rFonts w:ascii="Arial Narrow" w:eastAsia="Times New Roman" w:hAnsi="Arial Narrow" w:cs="Calibri"/>
                <w:b/>
                <w:bCs/>
                <w:color w:val="FFFFFF"/>
                <w:sz w:val="22"/>
                <w:szCs w:val="22"/>
              </w:rPr>
              <w:t>Norma</w:t>
            </w:r>
          </w:p>
        </w:tc>
        <w:tc>
          <w:tcPr>
            <w:tcW w:w="1833" w:type="dxa"/>
            <w:tcBorders>
              <w:top w:val="nil"/>
              <w:left w:val="nil"/>
              <w:bottom w:val="nil"/>
              <w:right w:val="single" w:sz="8" w:space="0" w:color="auto"/>
            </w:tcBorders>
            <w:shd w:val="clear" w:color="000000" w:fill="203764"/>
            <w:vAlign w:val="center"/>
            <w:hideMark/>
          </w:tcPr>
          <w:p w14:paraId="69FA886D" w14:textId="77777777" w:rsidR="0032280D" w:rsidRPr="0032280D" w:rsidRDefault="0032280D" w:rsidP="0032280D">
            <w:pPr>
              <w:jc w:val="center"/>
              <w:rPr>
                <w:rFonts w:ascii="Arial Narrow" w:eastAsia="Times New Roman" w:hAnsi="Arial Narrow" w:cs="Calibri"/>
                <w:b/>
                <w:bCs/>
                <w:color w:val="FFFFFF"/>
                <w:sz w:val="22"/>
                <w:szCs w:val="22"/>
                <w:lang w:val="es-CR"/>
              </w:rPr>
            </w:pPr>
            <w:r w:rsidRPr="0032280D">
              <w:rPr>
                <w:rFonts w:ascii="Arial Narrow" w:eastAsia="Times New Roman" w:hAnsi="Arial Narrow" w:cs="Calibri"/>
                <w:b/>
                <w:bCs/>
                <w:color w:val="FFFFFF"/>
                <w:sz w:val="22"/>
                <w:szCs w:val="22"/>
                <w:lang w:val="es-CR"/>
              </w:rPr>
              <w:t>Normativa técnica y disposiciones adicionales</w:t>
            </w:r>
          </w:p>
        </w:tc>
      </w:tr>
      <w:tr w:rsidR="0032280D" w:rsidRPr="0032280D" w14:paraId="404CBDE2" w14:textId="77777777" w:rsidTr="004835CA">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D40997" w14:textId="77777777" w:rsidR="0032280D" w:rsidRPr="0032280D" w:rsidRDefault="0032280D" w:rsidP="0032280D">
            <w:pPr>
              <w:jc w:val="center"/>
              <w:rPr>
                <w:rFonts w:ascii="Arial Narrow" w:eastAsia="Times New Roman" w:hAnsi="Arial Narrow" w:cs="Calibri"/>
                <w:b/>
                <w:bCs/>
                <w:color w:val="000000"/>
                <w:sz w:val="22"/>
                <w:szCs w:val="22"/>
              </w:rPr>
            </w:pPr>
            <w:r w:rsidRPr="0032280D">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780C7DC" w14:textId="77777777" w:rsidR="0032280D" w:rsidRPr="0032280D" w:rsidRDefault="0032280D" w:rsidP="0032280D">
            <w:pPr>
              <w:jc w:val="center"/>
              <w:rPr>
                <w:rFonts w:ascii="Arial Narrow" w:eastAsia="Times New Roman" w:hAnsi="Arial Narrow" w:cs="Calibri"/>
                <w:b/>
                <w:bCs/>
                <w:color w:val="000000"/>
                <w:sz w:val="22"/>
                <w:szCs w:val="22"/>
              </w:rPr>
            </w:pPr>
            <w:r w:rsidRPr="0032280D">
              <w:rPr>
                <w:rFonts w:ascii="Arial Narrow" w:eastAsia="Times New Roman" w:hAnsi="Arial Narrow" w:cs="Calibri"/>
                <w:b/>
                <w:bCs/>
                <w:color w:val="000000"/>
                <w:sz w:val="22"/>
                <w:szCs w:val="22"/>
              </w:rPr>
              <w:t>25</w:t>
            </w:r>
          </w:p>
        </w:tc>
        <w:tc>
          <w:tcPr>
            <w:tcW w:w="423" w:type="dxa"/>
            <w:tcBorders>
              <w:top w:val="single" w:sz="8" w:space="0" w:color="auto"/>
              <w:left w:val="nil"/>
              <w:bottom w:val="single" w:sz="8" w:space="0" w:color="auto"/>
              <w:right w:val="single" w:sz="8" w:space="0" w:color="auto"/>
            </w:tcBorders>
            <w:shd w:val="clear" w:color="auto" w:fill="auto"/>
            <w:vAlign w:val="center"/>
            <w:hideMark/>
          </w:tcPr>
          <w:p w14:paraId="0280333E" w14:textId="77777777" w:rsidR="0032280D" w:rsidRPr="0032280D" w:rsidRDefault="0032280D" w:rsidP="0032280D">
            <w:pPr>
              <w:jc w:val="center"/>
              <w:rPr>
                <w:rFonts w:ascii="Arial Narrow" w:eastAsia="Times New Roman" w:hAnsi="Arial Narrow" w:cs="Calibri"/>
                <w:b/>
                <w:bCs/>
                <w:color w:val="000000"/>
                <w:sz w:val="22"/>
                <w:szCs w:val="22"/>
              </w:rPr>
            </w:pPr>
            <w:r w:rsidRPr="0032280D">
              <w:rPr>
                <w:rFonts w:ascii="Arial Narrow" w:eastAsia="Times New Roman" w:hAnsi="Arial Narrow" w:cs="Calibri"/>
                <w:b/>
                <w:bCs/>
                <w:color w:val="000000"/>
                <w:sz w:val="22"/>
                <w:szCs w:val="22"/>
              </w:rPr>
              <w:t xml:space="preserve"> </w:t>
            </w:r>
          </w:p>
        </w:tc>
        <w:tc>
          <w:tcPr>
            <w:tcW w:w="3694" w:type="dxa"/>
            <w:gridSpan w:val="2"/>
            <w:tcBorders>
              <w:top w:val="single" w:sz="8" w:space="0" w:color="auto"/>
              <w:left w:val="nil"/>
              <w:bottom w:val="single" w:sz="8" w:space="0" w:color="auto"/>
              <w:right w:val="single" w:sz="8" w:space="0" w:color="auto"/>
            </w:tcBorders>
            <w:shd w:val="clear" w:color="auto" w:fill="auto"/>
            <w:vAlign w:val="center"/>
            <w:hideMark/>
          </w:tcPr>
          <w:p w14:paraId="0B3A8FB8" w14:textId="77777777" w:rsidR="0032280D" w:rsidRPr="0032280D" w:rsidRDefault="0032280D" w:rsidP="0032280D">
            <w:pPr>
              <w:jc w:val="both"/>
              <w:rPr>
                <w:rFonts w:ascii="Arial Narrow" w:eastAsia="Times New Roman" w:hAnsi="Arial Narrow" w:cs="Calibri"/>
                <w:b/>
                <w:bCs/>
                <w:color w:val="000000"/>
                <w:sz w:val="22"/>
                <w:szCs w:val="22"/>
                <w:lang w:val="es-CR"/>
              </w:rPr>
            </w:pPr>
            <w:r w:rsidRPr="0032280D">
              <w:rPr>
                <w:rFonts w:ascii="Arial Narrow" w:eastAsia="Times New Roman" w:hAnsi="Arial Narrow" w:cs="Calibri"/>
                <w:b/>
                <w:bCs/>
                <w:color w:val="000000"/>
                <w:sz w:val="22"/>
                <w:szCs w:val="22"/>
                <w:lang w:val="es-CR"/>
              </w:rPr>
              <w:t>Costos de los arrendamientos operativos para la entidad arrendadora</w:t>
            </w:r>
          </w:p>
        </w:tc>
        <w:tc>
          <w:tcPr>
            <w:tcW w:w="2250" w:type="dxa"/>
            <w:gridSpan w:val="2"/>
            <w:tcBorders>
              <w:top w:val="single" w:sz="8" w:space="0" w:color="auto"/>
              <w:left w:val="nil"/>
              <w:bottom w:val="single" w:sz="8" w:space="0" w:color="auto"/>
              <w:right w:val="single" w:sz="8" w:space="0" w:color="auto"/>
            </w:tcBorders>
            <w:shd w:val="clear" w:color="auto" w:fill="auto"/>
            <w:vAlign w:val="center"/>
            <w:hideMark/>
          </w:tcPr>
          <w:p w14:paraId="33FCD07C" w14:textId="77777777" w:rsidR="0032280D" w:rsidRDefault="0032280D" w:rsidP="0032280D">
            <w:pPr>
              <w:jc w:val="both"/>
              <w:rPr>
                <w:rFonts w:ascii="Arial Narrow" w:eastAsia="Times New Roman" w:hAnsi="Arial Narrow" w:cs="Calibri"/>
                <w:b/>
                <w:bCs/>
                <w:color w:val="000000"/>
                <w:sz w:val="22"/>
                <w:szCs w:val="22"/>
              </w:rPr>
            </w:pPr>
            <w:r w:rsidRPr="0032280D">
              <w:rPr>
                <w:rFonts w:ascii="Arial Narrow" w:eastAsia="Times New Roman" w:hAnsi="Arial Narrow" w:cs="Calibri"/>
                <w:b/>
                <w:bCs/>
                <w:color w:val="000000"/>
                <w:sz w:val="22"/>
                <w:szCs w:val="22"/>
              </w:rPr>
              <w:t>NICSP N° 13,</w:t>
            </w:r>
          </w:p>
          <w:p w14:paraId="60A8302E" w14:textId="58579BB2" w:rsidR="0032280D" w:rsidRPr="0032280D" w:rsidRDefault="0032280D" w:rsidP="0032280D">
            <w:pPr>
              <w:jc w:val="both"/>
              <w:rPr>
                <w:rFonts w:ascii="Arial Narrow" w:eastAsia="Times New Roman" w:hAnsi="Arial Narrow" w:cs="Calibri"/>
                <w:b/>
                <w:bCs/>
                <w:color w:val="000000"/>
                <w:sz w:val="22"/>
                <w:szCs w:val="22"/>
              </w:rPr>
            </w:pPr>
            <w:r w:rsidRPr="0032280D">
              <w:rPr>
                <w:rFonts w:ascii="Arial Narrow" w:eastAsia="Times New Roman" w:hAnsi="Arial Narrow" w:cs="Calibri"/>
                <w:b/>
                <w:bCs/>
                <w:color w:val="000000"/>
                <w:sz w:val="22"/>
                <w:szCs w:val="22"/>
              </w:rPr>
              <w:t>Párrafo 64.</w:t>
            </w:r>
          </w:p>
        </w:tc>
        <w:tc>
          <w:tcPr>
            <w:tcW w:w="1855" w:type="dxa"/>
            <w:gridSpan w:val="2"/>
            <w:tcBorders>
              <w:top w:val="single" w:sz="8" w:space="0" w:color="auto"/>
              <w:left w:val="nil"/>
              <w:bottom w:val="single" w:sz="8" w:space="0" w:color="auto"/>
              <w:right w:val="single" w:sz="8" w:space="0" w:color="auto"/>
            </w:tcBorders>
            <w:shd w:val="clear" w:color="auto" w:fill="auto"/>
            <w:vAlign w:val="center"/>
            <w:hideMark/>
          </w:tcPr>
          <w:p w14:paraId="2F4D373C" w14:textId="77777777" w:rsidR="0032280D" w:rsidRPr="0032280D" w:rsidRDefault="0032280D" w:rsidP="0032280D">
            <w:pPr>
              <w:rPr>
                <w:rFonts w:ascii="Arial Narrow" w:eastAsia="Times New Roman" w:hAnsi="Arial Narrow" w:cs="Calibri"/>
                <w:b/>
                <w:bCs/>
                <w:color w:val="000000"/>
                <w:sz w:val="22"/>
                <w:szCs w:val="22"/>
              </w:rPr>
            </w:pPr>
            <w:r w:rsidRPr="0032280D">
              <w:rPr>
                <w:rFonts w:ascii="Arial Narrow" w:eastAsia="Times New Roman" w:hAnsi="Arial Narrow" w:cs="Calibri"/>
                <w:b/>
                <w:bCs/>
                <w:color w:val="000000"/>
                <w:sz w:val="22"/>
                <w:szCs w:val="22"/>
              </w:rPr>
              <w:t xml:space="preserve"> </w:t>
            </w:r>
          </w:p>
        </w:tc>
      </w:tr>
    </w:tbl>
    <w:p w14:paraId="2BB717AB" w14:textId="77777777" w:rsidR="00AF5E44" w:rsidRDefault="00AF5E44" w:rsidP="00924EC2">
      <w:pPr>
        <w:pStyle w:val="Default"/>
        <w:jc w:val="both"/>
        <w:rPr>
          <w:b/>
          <w:bCs/>
          <w:sz w:val="22"/>
          <w:szCs w:val="22"/>
          <w:lang w:val="es-CR"/>
        </w:rPr>
      </w:pPr>
    </w:p>
    <w:p w14:paraId="7CF80E74" w14:textId="2C89058B" w:rsidR="004835CA" w:rsidRDefault="004835CA" w:rsidP="004835CA">
      <w:pPr>
        <w:pStyle w:val="Default"/>
        <w:ind w:left="1134" w:hanging="1134"/>
        <w:jc w:val="both"/>
        <w:rPr>
          <w:rFonts w:eastAsia="Arial"/>
          <w:b/>
          <w:sz w:val="22"/>
          <w:szCs w:val="22"/>
        </w:rPr>
      </w:pPr>
      <w:r w:rsidRPr="00F02F9D">
        <w:rPr>
          <w:rFonts w:eastAsia="Arial"/>
          <w:b/>
          <w:sz w:val="22"/>
          <w:szCs w:val="22"/>
        </w:rPr>
        <w:t>Política Contable</w:t>
      </w:r>
    </w:p>
    <w:p w14:paraId="7EA437A7" w14:textId="77777777" w:rsidR="004835CA" w:rsidRDefault="004835CA" w:rsidP="00924EC2">
      <w:pPr>
        <w:pStyle w:val="Default"/>
        <w:jc w:val="both"/>
        <w:rPr>
          <w:b/>
          <w:bCs/>
          <w:sz w:val="22"/>
          <w:szCs w:val="22"/>
          <w:lang w:val="es-CR"/>
        </w:rPr>
      </w:pPr>
    </w:p>
    <w:p w14:paraId="44C9B57C" w14:textId="16231830" w:rsidR="0032280D" w:rsidRDefault="0032280D" w:rsidP="0032280D">
      <w:pPr>
        <w:pStyle w:val="Default"/>
        <w:ind w:left="1134" w:hanging="1134"/>
        <w:jc w:val="both"/>
        <w:rPr>
          <w:sz w:val="22"/>
          <w:szCs w:val="22"/>
          <w:lang w:val="es-CR"/>
        </w:rPr>
      </w:pPr>
      <w:r>
        <w:rPr>
          <w:sz w:val="22"/>
          <w:szCs w:val="22"/>
          <w:lang w:val="es-CR"/>
        </w:rPr>
        <w:t>5.25.0.01</w:t>
      </w:r>
      <w:r>
        <w:rPr>
          <w:sz w:val="22"/>
          <w:szCs w:val="22"/>
          <w:lang w:val="es-CR"/>
        </w:rPr>
        <w:tab/>
      </w:r>
      <w:r w:rsidRPr="0032280D">
        <w:rPr>
          <w:sz w:val="22"/>
          <w:szCs w:val="22"/>
          <w:lang w:val="es-CR"/>
        </w:rPr>
        <w:t>Los costos relacionados con cada una de las cuotas de arrendamiento, incluyendo en ellos la depreciación del activo, se reconocerán como gasto del período al que corresponda.</w:t>
      </w:r>
    </w:p>
    <w:p w14:paraId="56AEC4EE" w14:textId="77777777" w:rsidR="004835CA" w:rsidRDefault="004835CA" w:rsidP="0032280D">
      <w:pPr>
        <w:pStyle w:val="Default"/>
        <w:ind w:left="1134" w:hanging="1134"/>
        <w:jc w:val="both"/>
        <w:rPr>
          <w:sz w:val="22"/>
          <w:szCs w:val="22"/>
          <w:lang w:val="es-CR"/>
        </w:rPr>
      </w:pPr>
    </w:p>
    <w:p w14:paraId="409796C6" w14:textId="77777777" w:rsidR="00E727B9" w:rsidRDefault="00E727B9" w:rsidP="0032280D">
      <w:pPr>
        <w:pStyle w:val="Default"/>
        <w:ind w:left="1134" w:hanging="1134"/>
        <w:jc w:val="both"/>
        <w:rPr>
          <w:sz w:val="22"/>
          <w:szCs w:val="22"/>
          <w:lang w:val="es-CR"/>
        </w:rPr>
      </w:pPr>
    </w:p>
    <w:p w14:paraId="5354374A" w14:textId="77777777" w:rsidR="00E727B9" w:rsidRDefault="00E727B9" w:rsidP="0032280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8"/>
        <w:gridCol w:w="2253"/>
        <w:gridCol w:w="1855"/>
      </w:tblGrid>
      <w:tr w:rsidR="00E727B9" w:rsidRPr="00E727B9" w14:paraId="47472C85" w14:textId="77777777" w:rsidTr="004835CA">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D90CF04" w14:textId="77777777" w:rsidR="00E727B9" w:rsidRPr="00E727B9" w:rsidRDefault="00E727B9" w:rsidP="00E727B9">
            <w:pPr>
              <w:jc w:val="center"/>
              <w:rPr>
                <w:rFonts w:ascii="Arial Narrow" w:eastAsia="Times New Roman" w:hAnsi="Arial Narrow" w:cs="Calibri"/>
                <w:b/>
                <w:bCs/>
                <w:color w:val="FFFFFF"/>
                <w:sz w:val="22"/>
                <w:szCs w:val="22"/>
              </w:rPr>
            </w:pPr>
            <w:r w:rsidRPr="00E727B9">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07629763" w14:textId="77777777" w:rsidR="00E727B9" w:rsidRPr="00E727B9" w:rsidRDefault="00E727B9" w:rsidP="00E727B9">
            <w:pPr>
              <w:jc w:val="center"/>
              <w:rPr>
                <w:rFonts w:ascii="Arial Narrow" w:eastAsia="Times New Roman" w:hAnsi="Arial Narrow" w:cs="Calibri"/>
                <w:b/>
                <w:bCs/>
                <w:color w:val="FFFFFF"/>
                <w:sz w:val="22"/>
                <w:szCs w:val="22"/>
              </w:rPr>
            </w:pPr>
            <w:r w:rsidRPr="00E727B9">
              <w:rPr>
                <w:rFonts w:ascii="Arial Narrow" w:eastAsia="Times New Roman" w:hAnsi="Arial Narrow" w:cs="Calibri"/>
                <w:b/>
                <w:bCs/>
                <w:color w:val="FFFFFF"/>
                <w:sz w:val="22"/>
                <w:szCs w:val="22"/>
              </w:rPr>
              <w:t>Concepto</w:t>
            </w:r>
          </w:p>
        </w:tc>
        <w:tc>
          <w:tcPr>
            <w:tcW w:w="4108" w:type="dxa"/>
            <w:gridSpan w:val="2"/>
            <w:tcBorders>
              <w:top w:val="single" w:sz="8" w:space="0" w:color="auto"/>
              <w:left w:val="nil"/>
              <w:bottom w:val="single" w:sz="8" w:space="0" w:color="auto"/>
              <w:right w:val="single" w:sz="8" w:space="0" w:color="000000"/>
            </w:tcBorders>
            <w:shd w:val="clear" w:color="000000" w:fill="203764"/>
            <w:vAlign w:val="center"/>
            <w:hideMark/>
          </w:tcPr>
          <w:p w14:paraId="6C5656A7" w14:textId="77777777" w:rsidR="00E727B9" w:rsidRPr="00E727B9" w:rsidRDefault="00E727B9" w:rsidP="00E727B9">
            <w:pPr>
              <w:jc w:val="center"/>
              <w:rPr>
                <w:rFonts w:ascii="Arial Narrow" w:eastAsia="Times New Roman" w:hAnsi="Arial Narrow" w:cs="Calibri"/>
                <w:b/>
                <w:bCs/>
                <w:color w:val="FFFFFF"/>
                <w:sz w:val="22"/>
                <w:szCs w:val="22"/>
              </w:rPr>
            </w:pPr>
            <w:r w:rsidRPr="00E727B9">
              <w:rPr>
                <w:rFonts w:ascii="Arial Narrow" w:eastAsia="Times New Roman" w:hAnsi="Arial Narrow" w:cs="Calibri"/>
                <w:b/>
                <w:bCs/>
                <w:color w:val="FFFFFF"/>
                <w:sz w:val="22"/>
                <w:szCs w:val="22"/>
              </w:rPr>
              <w:t>Referencia</w:t>
            </w:r>
          </w:p>
        </w:tc>
      </w:tr>
      <w:tr w:rsidR="00E727B9" w:rsidRPr="006E5442" w14:paraId="42EB3999" w14:textId="77777777" w:rsidTr="004835CA">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1083BADE" w14:textId="77777777" w:rsidR="00E727B9" w:rsidRPr="00E727B9" w:rsidRDefault="00E727B9" w:rsidP="00E727B9">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28A4943E" w14:textId="77777777" w:rsidR="00E727B9" w:rsidRPr="00E727B9" w:rsidRDefault="00E727B9" w:rsidP="00E727B9">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4CD7CDD6" w14:textId="77777777" w:rsidR="00E727B9" w:rsidRPr="00E727B9" w:rsidRDefault="00E727B9" w:rsidP="00E727B9">
            <w:pPr>
              <w:jc w:val="center"/>
              <w:rPr>
                <w:rFonts w:ascii="Arial Narrow" w:eastAsia="Times New Roman" w:hAnsi="Arial Narrow" w:cs="Calibri"/>
                <w:b/>
                <w:bCs/>
                <w:color w:val="FFFFFF"/>
                <w:sz w:val="22"/>
                <w:szCs w:val="22"/>
              </w:rPr>
            </w:pPr>
            <w:r w:rsidRPr="00E727B9">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0E00773E" w14:textId="77777777" w:rsidR="00E727B9" w:rsidRPr="00E727B9" w:rsidRDefault="00E727B9" w:rsidP="00E727B9">
            <w:pPr>
              <w:jc w:val="center"/>
              <w:rPr>
                <w:rFonts w:ascii="Arial Narrow" w:eastAsia="Times New Roman" w:hAnsi="Arial Narrow" w:cs="Calibri"/>
                <w:b/>
                <w:bCs/>
                <w:color w:val="FFFFFF"/>
                <w:sz w:val="22"/>
                <w:szCs w:val="22"/>
                <w:lang w:val="es-CR"/>
              </w:rPr>
            </w:pPr>
            <w:r w:rsidRPr="00E727B9">
              <w:rPr>
                <w:rFonts w:ascii="Arial Narrow" w:eastAsia="Times New Roman" w:hAnsi="Arial Narrow" w:cs="Calibri"/>
                <w:b/>
                <w:bCs/>
                <w:color w:val="FFFFFF"/>
                <w:sz w:val="22"/>
                <w:szCs w:val="22"/>
                <w:lang w:val="es-CR"/>
              </w:rPr>
              <w:t>Normativa técnica y disposiciones adicionales</w:t>
            </w:r>
          </w:p>
        </w:tc>
      </w:tr>
      <w:tr w:rsidR="00E727B9" w:rsidRPr="00E727B9" w14:paraId="04C13E3A" w14:textId="77777777" w:rsidTr="004835CA">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0D85A3" w14:textId="77777777" w:rsidR="00E727B9" w:rsidRPr="00E727B9" w:rsidRDefault="00E727B9" w:rsidP="00E727B9">
            <w:pPr>
              <w:jc w:val="center"/>
              <w:rPr>
                <w:rFonts w:ascii="Arial Narrow" w:eastAsia="Times New Roman" w:hAnsi="Arial Narrow" w:cs="Calibri"/>
                <w:b/>
                <w:bCs/>
                <w:color w:val="000000"/>
                <w:sz w:val="22"/>
                <w:szCs w:val="22"/>
              </w:rPr>
            </w:pPr>
            <w:r w:rsidRPr="00E727B9">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2CC9D01" w14:textId="77777777" w:rsidR="00E727B9" w:rsidRPr="00E727B9" w:rsidRDefault="00E727B9" w:rsidP="00E727B9">
            <w:pPr>
              <w:jc w:val="center"/>
              <w:rPr>
                <w:rFonts w:ascii="Arial Narrow" w:eastAsia="Times New Roman" w:hAnsi="Arial Narrow" w:cs="Calibri"/>
                <w:b/>
                <w:bCs/>
                <w:color w:val="000000"/>
                <w:sz w:val="22"/>
                <w:szCs w:val="22"/>
              </w:rPr>
            </w:pPr>
            <w:r w:rsidRPr="00E727B9">
              <w:rPr>
                <w:rFonts w:ascii="Arial Narrow" w:eastAsia="Times New Roman" w:hAnsi="Arial Narrow" w:cs="Calibri"/>
                <w:b/>
                <w:bCs/>
                <w:color w:val="000000"/>
                <w:sz w:val="22"/>
                <w:szCs w:val="22"/>
              </w:rPr>
              <w:t>26</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EAFDA38" w14:textId="77777777" w:rsidR="00E727B9" w:rsidRPr="00E727B9" w:rsidRDefault="00E727B9" w:rsidP="00E727B9">
            <w:pPr>
              <w:jc w:val="center"/>
              <w:rPr>
                <w:rFonts w:ascii="Arial Narrow" w:eastAsia="Times New Roman" w:hAnsi="Arial Narrow" w:cs="Calibri"/>
                <w:b/>
                <w:bCs/>
                <w:color w:val="000000"/>
                <w:sz w:val="22"/>
                <w:szCs w:val="22"/>
              </w:rPr>
            </w:pPr>
            <w:r w:rsidRPr="00E727B9">
              <w:rPr>
                <w:rFonts w:ascii="Arial Narrow" w:eastAsia="Times New Roman" w:hAnsi="Arial Narrow" w:cs="Calibri"/>
                <w:b/>
                <w:bCs/>
                <w:color w:val="000000"/>
                <w:sz w:val="22"/>
                <w:szCs w:val="22"/>
              </w:rPr>
              <w:t xml:space="preserve">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3B5392A7" w14:textId="77777777" w:rsidR="00E727B9" w:rsidRPr="00E727B9" w:rsidRDefault="00E727B9" w:rsidP="00E727B9">
            <w:pPr>
              <w:jc w:val="both"/>
              <w:rPr>
                <w:rFonts w:ascii="Arial Narrow" w:eastAsia="Times New Roman" w:hAnsi="Arial Narrow" w:cs="Calibri"/>
                <w:b/>
                <w:bCs/>
                <w:color w:val="000000"/>
                <w:sz w:val="22"/>
                <w:szCs w:val="22"/>
              </w:rPr>
            </w:pPr>
            <w:r w:rsidRPr="00E727B9">
              <w:rPr>
                <w:rFonts w:ascii="Arial Narrow" w:eastAsia="Times New Roman" w:hAnsi="Arial Narrow" w:cs="Calibri"/>
                <w:b/>
                <w:bCs/>
                <w:color w:val="000000"/>
                <w:sz w:val="22"/>
                <w:szCs w:val="22"/>
              </w:rPr>
              <w:t>Costos directos iniciales</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50B1A53D" w14:textId="77777777" w:rsidR="004835CA" w:rsidRDefault="00E727B9" w:rsidP="00E727B9">
            <w:pPr>
              <w:jc w:val="both"/>
              <w:rPr>
                <w:rFonts w:ascii="Arial Narrow" w:eastAsia="Times New Roman" w:hAnsi="Arial Narrow" w:cs="Calibri"/>
                <w:b/>
                <w:bCs/>
                <w:color w:val="000000"/>
                <w:sz w:val="22"/>
                <w:szCs w:val="22"/>
              </w:rPr>
            </w:pPr>
            <w:r w:rsidRPr="00E727B9">
              <w:rPr>
                <w:rFonts w:ascii="Arial Narrow" w:eastAsia="Times New Roman" w:hAnsi="Arial Narrow" w:cs="Calibri"/>
                <w:b/>
                <w:bCs/>
                <w:color w:val="000000"/>
                <w:sz w:val="22"/>
                <w:szCs w:val="22"/>
              </w:rPr>
              <w:t>NICSP N° 13,</w:t>
            </w:r>
          </w:p>
          <w:p w14:paraId="102DE843" w14:textId="0FAF3C86" w:rsidR="00E727B9" w:rsidRPr="00E727B9" w:rsidRDefault="00E727B9" w:rsidP="00E727B9">
            <w:pPr>
              <w:jc w:val="both"/>
              <w:rPr>
                <w:rFonts w:ascii="Arial Narrow" w:eastAsia="Times New Roman" w:hAnsi="Arial Narrow" w:cs="Calibri"/>
                <w:b/>
                <w:bCs/>
                <w:color w:val="000000"/>
                <w:sz w:val="22"/>
                <w:szCs w:val="22"/>
              </w:rPr>
            </w:pPr>
            <w:r w:rsidRPr="00E727B9">
              <w:rPr>
                <w:rFonts w:ascii="Arial Narrow" w:eastAsia="Times New Roman" w:hAnsi="Arial Narrow" w:cs="Calibri"/>
                <w:b/>
                <w:bCs/>
                <w:color w:val="000000"/>
                <w:sz w:val="22"/>
                <w:szCs w:val="22"/>
              </w:rPr>
              <w:t>Párrafo 65.</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4C3412C7" w14:textId="77777777" w:rsidR="00E727B9" w:rsidRPr="00E727B9" w:rsidRDefault="00E727B9" w:rsidP="00E727B9">
            <w:pPr>
              <w:rPr>
                <w:rFonts w:ascii="Arial Narrow" w:eastAsia="Times New Roman" w:hAnsi="Arial Narrow" w:cs="Calibri"/>
                <w:b/>
                <w:bCs/>
                <w:color w:val="000000"/>
                <w:sz w:val="22"/>
                <w:szCs w:val="22"/>
              </w:rPr>
            </w:pPr>
            <w:r w:rsidRPr="00E727B9">
              <w:rPr>
                <w:rFonts w:ascii="Arial Narrow" w:eastAsia="Times New Roman" w:hAnsi="Arial Narrow" w:cs="Calibri"/>
                <w:b/>
                <w:bCs/>
                <w:color w:val="000000"/>
                <w:sz w:val="22"/>
                <w:szCs w:val="22"/>
              </w:rPr>
              <w:t xml:space="preserve"> </w:t>
            </w:r>
          </w:p>
        </w:tc>
      </w:tr>
    </w:tbl>
    <w:p w14:paraId="26204842" w14:textId="77777777" w:rsidR="00E727B9" w:rsidRDefault="00E727B9" w:rsidP="0032280D">
      <w:pPr>
        <w:pStyle w:val="Default"/>
        <w:ind w:left="1134" w:hanging="1134"/>
        <w:jc w:val="both"/>
        <w:rPr>
          <w:b/>
          <w:bCs/>
          <w:sz w:val="22"/>
          <w:szCs w:val="22"/>
          <w:lang w:val="es-CR"/>
        </w:rPr>
      </w:pPr>
    </w:p>
    <w:p w14:paraId="20EA2972" w14:textId="5431B75A" w:rsidR="004835CA" w:rsidRDefault="004835CA" w:rsidP="004835CA">
      <w:pPr>
        <w:pStyle w:val="Default"/>
        <w:ind w:left="1134" w:hanging="1134"/>
        <w:jc w:val="both"/>
        <w:rPr>
          <w:rFonts w:eastAsia="Arial"/>
          <w:b/>
          <w:sz w:val="22"/>
          <w:szCs w:val="22"/>
        </w:rPr>
      </w:pPr>
      <w:r w:rsidRPr="00F02F9D">
        <w:rPr>
          <w:rFonts w:eastAsia="Arial"/>
          <w:b/>
          <w:sz w:val="22"/>
          <w:szCs w:val="22"/>
        </w:rPr>
        <w:t>Política Contable</w:t>
      </w:r>
    </w:p>
    <w:p w14:paraId="01F14B80" w14:textId="77777777" w:rsidR="004835CA" w:rsidRDefault="004835CA" w:rsidP="0032280D">
      <w:pPr>
        <w:pStyle w:val="Default"/>
        <w:ind w:left="1134" w:hanging="1134"/>
        <w:jc w:val="both"/>
        <w:rPr>
          <w:b/>
          <w:bCs/>
          <w:sz w:val="22"/>
          <w:szCs w:val="22"/>
          <w:lang w:val="es-CR"/>
        </w:rPr>
      </w:pPr>
    </w:p>
    <w:p w14:paraId="2586357A" w14:textId="3BED93B4" w:rsidR="00E727B9" w:rsidRPr="00E727B9" w:rsidRDefault="00E727B9" w:rsidP="0032280D">
      <w:pPr>
        <w:pStyle w:val="Default"/>
        <w:ind w:left="1134" w:hanging="1134"/>
        <w:jc w:val="both"/>
        <w:rPr>
          <w:b/>
          <w:bCs/>
          <w:sz w:val="22"/>
          <w:szCs w:val="22"/>
          <w:lang w:val="es-CR"/>
        </w:rPr>
      </w:pPr>
      <w:r w:rsidRPr="00E727B9">
        <w:rPr>
          <w:sz w:val="22"/>
          <w:szCs w:val="22"/>
          <w:lang w:val="es-CR"/>
        </w:rPr>
        <w:t>5.26.0.01</w:t>
      </w:r>
      <w:r w:rsidRPr="00E727B9">
        <w:rPr>
          <w:sz w:val="22"/>
          <w:szCs w:val="22"/>
          <w:lang w:val="es-CR"/>
        </w:rPr>
        <w:tab/>
        <w:t>Los costos directos iniciales, incurridos por el arrendador en la negociación y contratación de un arrendamiento operativo, se añadirán al importe en libros del activo arrendado y se reconocerán como gasto a lo largo del plazo de arrendamiento, sobre la misma base de los ingresos del arrendamiento.</w:t>
      </w:r>
    </w:p>
    <w:p w14:paraId="2690BFE0" w14:textId="77777777" w:rsidR="00E727B9" w:rsidRDefault="00E727B9" w:rsidP="0032280D">
      <w:pPr>
        <w:pStyle w:val="Default"/>
        <w:ind w:left="1134" w:hanging="1134"/>
        <w:jc w:val="both"/>
        <w:rPr>
          <w:b/>
          <w:bCs/>
          <w:sz w:val="22"/>
          <w:szCs w:val="22"/>
          <w:lang w:val="es-CR"/>
        </w:rPr>
      </w:pPr>
    </w:p>
    <w:p w14:paraId="342A2B7C" w14:textId="77777777" w:rsidR="004835CA" w:rsidRDefault="004835CA" w:rsidP="0032280D">
      <w:pPr>
        <w:pStyle w:val="Default"/>
        <w:ind w:left="1134" w:hanging="1134"/>
        <w:jc w:val="both"/>
        <w:rPr>
          <w:b/>
          <w:bCs/>
          <w:sz w:val="22"/>
          <w:szCs w:val="22"/>
          <w:lang w:val="es-CR"/>
        </w:rPr>
      </w:pPr>
    </w:p>
    <w:p w14:paraId="49E8B4B4" w14:textId="77777777" w:rsidR="00E727B9" w:rsidRDefault="00E727B9" w:rsidP="0032280D">
      <w:pPr>
        <w:pStyle w:val="Default"/>
        <w:ind w:left="1134" w:hanging="1134"/>
        <w:jc w:val="both"/>
        <w:rPr>
          <w:b/>
          <w:bCs/>
          <w:sz w:val="22"/>
          <w:szCs w:val="22"/>
          <w:lang w:val="es-CR"/>
        </w:rPr>
      </w:pPr>
    </w:p>
    <w:tbl>
      <w:tblPr>
        <w:tblW w:w="9340" w:type="dxa"/>
        <w:tblLook w:val="04A0" w:firstRow="1" w:lastRow="0" w:firstColumn="1" w:lastColumn="0" w:noHBand="0" w:noVBand="1"/>
      </w:tblPr>
      <w:tblGrid>
        <w:gridCol w:w="459"/>
        <w:gridCol w:w="665"/>
        <w:gridCol w:w="425"/>
        <w:gridCol w:w="8"/>
        <w:gridCol w:w="3962"/>
        <w:gridCol w:w="1961"/>
        <w:gridCol w:w="1860"/>
      </w:tblGrid>
      <w:tr w:rsidR="004D1712" w:rsidRPr="004D1712" w14:paraId="387DD08B" w14:textId="77777777" w:rsidTr="004835CA">
        <w:trPr>
          <w:trHeight w:val="300"/>
        </w:trPr>
        <w:tc>
          <w:tcPr>
            <w:tcW w:w="1557"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50E11D5" w14:textId="77777777" w:rsidR="004D1712" w:rsidRPr="004D1712" w:rsidRDefault="004D1712" w:rsidP="004D1712">
            <w:pPr>
              <w:jc w:val="center"/>
              <w:rPr>
                <w:rFonts w:ascii="Arial Narrow" w:eastAsia="Times New Roman" w:hAnsi="Arial Narrow" w:cs="Calibri"/>
                <w:b/>
                <w:bCs/>
                <w:color w:val="FFFFFF"/>
                <w:sz w:val="22"/>
                <w:szCs w:val="22"/>
              </w:rPr>
            </w:pPr>
            <w:r w:rsidRPr="004D1712">
              <w:rPr>
                <w:rFonts w:ascii="Arial Narrow" w:eastAsia="Times New Roman" w:hAnsi="Arial Narrow" w:cs="Calibri"/>
                <w:b/>
                <w:bCs/>
                <w:color w:val="FFFFFF"/>
                <w:sz w:val="22"/>
                <w:szCs w:val="22"/>
              </w:rPr>
              <w:t>Norma / Política</w:t>
            </w:r>
          </w:p>
        </w:tc>
        <w:tc>
          <w:tcPr>
            <w:tcW w:w="39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7CEEA33" w14:textId="77777777" w:rsidR="004D1712" w:rsidRPr="004D1712" w:rsidRDefault="004D1712" w:rsidP="004D1712">
            <w:pPr>
              <w:jc w:val="center"/>
              <w:rPr>
                <w:rFonts w:ascii="Arial Narrow" w:eastAsia="Times New Roman" w:hAnsi="Arial Narrow" w:cs="Calibri"/>
                <w:b/>
                <w:bCs/>
                <w:color w:val="FFFFFF"/>
                <w:sz w:val="22"/>
                <w:szCs w:val="22"/>
              </w:rPr>
            </w:pPr>
            <w:r w:rsidRPr="004D1712">
              <w:rPr>
                <w:rFonts w:ascii="Arial Narrow" w:eastAsia="Times New Roman" w:hAnsi="Arial Narrow" w:cs="Calibri"/>
                <w:b/>
                <w:bCs/>
                <w:color w:val="FFFFFF"/>
                <w:sz w:val="22"/>
                <w:szCs w:val="22"/>
              </w:rPr>
              <w:t>Concepto</w:t>
            </w:r>
          </w:p>
        </w:tc>
        <w:tc>
          <w:tcPr>
            <w:tcW w:w="3821" w:type="dxa"/>
            <w:gridSpan w:val="2"/>
            <w:tcBorders>
              <w:top w:val="single" w:sz="8" w:space="0" w:color="auto"/>
              <w:left w:val="nil"/>
              <w:bottom w:val="single" w:sz="8" w:space="0" w:color="auto"/>
              <w:right w:val="single" w:sz="8" w:space="0" w:color="000000"/>
            </w:tcBorders>
            <w:shd w:val="clear" w:color="000000" w:fill="203764"/>
            <w:vAlign w:val="center"/>
            <w:hideMark/>
          </w:tcPr>
          <w:p w14:paraId="67FB8DDA" w14:textId="77777777" w:rsidR="004D1712" w:rsidRPr="004D1712" w:rsidRDefault="004D1712" w:rsidP="004D1712">
            <w:pPr>
              <w:jc w:val="center"/>
              <w:rPr>
                <w:rFonts w:ascii="Arial Narrow" w:eastAsia="Times New Roman" w:hAnsi="Arial Narrow" w:cs="Calibri"/>
                <w:b/>
                <w:bCs/>
                <w:color w:val="FFFFFF"/>
                <w:sz w:val="22"/>
                <w:szCs w:val="22"/>
              </w:rPr>
            </w:pPr>
            <w:r w:rsidRPr="004D1712">
              <w:rPr>
                <w:rFonts w:ascii="Arial Narrow" w:eastAsia="Times New Roman" w:hAnsi="Arial Narrow" w:cs="Calibri"/>
                <w:b/>
                <w:bCs/>
                <w:color w:val="FFFFFF"/>
                <w:sz w:val="22"/>
                <w:szCs w:val="22"/>
              </w:rPr>
              <w:t>Referencia</w:t>
            </w:r>
          </w:p>
        </w:tc>
      </w:tr>
      <w:tr w:rsidR="004D1712" w:rsidRPr="006E5442" w14:paraId="4F1C0D3A" w14:textId="77777777" w:rsidTr="004835CA">
        <w:trPr>
          <w:trHeight w:val="850"/>
        </w:trPr>
        <w:tc>
          <w:tcPr>
            <w:tcW w:w="1557" w:type="dxa"/>
            <w:gridSpan w:val="4"/>
            <w:vMerge/>
            <w:tcBorders>
              <w:top w:val="single" w:sz="8" w:space="0" w:color="auto"/>
              <w:left w:val="single" w:sz="8" w:space="0" w:color="auto"/>
              <w:bottom w:val="nil"/>
              <w:right w:val="single" w:sz="8" w:space="0" w:color="000000"/>
            </w:tcBorders>
            <w:vAlign w:val="center"/>
            <w:hideMark/>
          </w:tcPr>
          <w:p w14:paraId="4DB630FF" w14:textId="77777777" w:rsidR="004D1712" w:rsidRPr="004D1712" w:rsidRDefault="004D1712" w:rsidP="004D1712">
            <w:pPr>
              <w:rPr>
                <w:rFonts w:ascii="Arial Narrow" w:eastAsia="Times New Roman" w:hAnsi="Arial Narrow" w:cs="Calibri"/>
                <w:b/>
                <w:bCs/>
                <w:color w:val="FFFFFF"/>
                <w:sz w:val="22"/>
                <w:szCs w:val="22"/>
              </w:rPr>
            </w:pPr>
          </w:p>
        </w:tc>
        <w:tc>
          <w:tcPr>
            <w:tcW w:w="3962" w:type="dxa"/>
            <w:vMerge/>
            <w:tcBorders>
              <w:top w:val="single" w:sz="8" w:space="0" w:color="auto"/>
              <w:left w:val="single" w:sz="8" w:space="0" w:color="auto"/>
              <w:bottom w:val="nil"/>
              <w:right w:val="single" w:sz="8" w:space="0" w:color="auto"/>
            </w:tcBorders>
            <w:vAlign w:val="center"/>
            <w:hideMark/>
          </w:tcPr>
          <w:p w14:paraId="618291EF" w14:textId="77777777" w:rsidR="004D1712" w:rsidRPr="004D1712" w:rsidRDefault="004D1712" w:rsidP="004D1712">
            <w:pPr>
              <w:rPr>
                <w:rFonts w:ascii="Arial Narrow" w:eastAsia="Times New Roman" w:hAnsi="Arial Narrow" w:cs="Calibri"/>
                <w:b/>
                <w:bCs/>
                <w:color w:val="FFFFFF"/>
                <w:sz w:val="22"/>
                <w:szCs w:val="22"/>
              </w:rPr>
            </w:pPr>
          </w:p>
        </w:tc>
        <w:tc>
          <w:tcPr>
            <w:tcW w:w="1961" w:type="dxa"/>
            <w:tcBorders>
              <w:top w:val="nil"/>
              <w:left w:val="nil"/>
              <w:bottom w:val="nil"/>
              <w:right w:val="single" w:sz="8" w:space="0" w:color="auto"/>
            </w:tcBorders>
            <w:shd w:val="clear" w:color="000000" w:fill="203764"/>
            <w:vAlign w:val="center"/>
            <w:hideMark/>
          </w:tcPr>
          <w:p w14:paraId="69255BDB" w14:textId="77777777" w:rsidR="004D1712" w:rsidRPr="004D1712" w:rsidRDefault="004D1712" w:rsidP="004D1712">
            <w:pPr>
              <w:jc w:val="center"/>
              <w:rPr>
                <w:rFonts w:ascii="Arial Narrow" w:eastAsia="Times New Roman" w:hAnsi="Arial Narrow" w:cs="Calibri"/>
                <w:b/>
                <w:bCs/>
                <w:color w:val="FFFFFF"/>
                <w:sz w:val="22"/>
                <w:szCs w:val="22"/>
              </w:rPr>
            </w:pPr>
            <w:r w:rsidRPr="004D1712">
              <w:rPr>
                <w:rFonts w:ascii="Arial Narrow" w:eastAsia="Times New Roman" w:hAnsi="Arial Narrow" w:cs="Calibri"/>
                <w:b/>
                <w:bCs/>
                <w:color w:val="FFFFFF"/>
                <w:sz w:val="22"/>
                <w:szCs w:val="22"/>
              </w:rPr>
              <w:t>Norma</w:t>
            </w:r>
          </w:p>
        </w:tc>
        <w:tc>
          <w:tcPr>
            <w:tcW w:w="1860" w:type="dxa"/>
            <w:tcBorders>
              <w:top w:val="nil"/>
              <w:left w:val="nil"/>
              <w:bottom w:val="nil"/>
              <w:right w:val="single" w:sz="8" w:space="0" w:color="auto"/>
            </w:tcBorders>
            <w:shd w:val="clear" w:color="000000" w:fill="203764"/>
            <w:vAlign w:val="center"/>
            <w:hideMark/>
          </w:tcPr>
          <w:p w14:paraId="5941DF30" w14:textId="77777777" w:rsidR="004D1712" w:rsidRPr="004D1712" w:rsidRDefault="004D1712" w:rsidP="004D1712">
            <w:pPr>
              <w:jc w:val="center"/>
              <w:rPr>
                <w:rFonts w:ascii="Arial Narrow" w:eastAsia="Times New Roman" w:hAnsi="Arial Narrow" w:cs="Calibri"/>
                <w:b/>
                <w:bCs/>
                <w:color w:val="FFFFFF"/>
                <w:sz w:val="22"/>
                <w:szCs w:val="22"/>
                <w:lang w:val="es-CR"/>
              </w:rPr>
            </w:pPr>
            <w:r w:rsidRPr="004D1712">
              <w:rPr>
                <w:rFonts w:ascii="Arial Narrow" w:eastAsia="Times New Roman" w:hAnsi="Arial Narrow" w:cs="Calibri"/>
                <w:b/>
                <w:bCs/>
                <w:color w:val="FFFFFF"/>
                <w:sz w:val="22"/>
                <w:szCs w:val="22"/>
                <w:lang w:val="es-CR"/>
              </w:rPr>
              <w:t>Normativa técnica y disposiciones adicionales</w:t>
            </w:r>
          </w:p>
        </w:tc>
      </w:tr>
      <w:tr w:rsidR="004D1712" w:rsidRPr="004D1712" w14:paraId="5BCDFBB4" w14:textId="77777777" w:rsidTr="004835CA">
        <w:trPr>
          <w:trHeight w:val="570"/>
        </w:trPr>
        <w:tc>
          <w:tcPr>
            <w:tcW w:w="4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344D48" w14:textId="77777777" w:rsidR="004D1712" w:rsidRPr="004D1712" w:rsidRDefault="004D1712" w:rsidP="004D1712">
            <w:pPr>
              <w:jc w:val="center"/>
              <w:rPr>
                <w:rFonts w:ascii="Arial Narrow" w:eastAsia="Times New Roman" w:hAnsi="Arial Narrow" w:cs="Calibri"/>
                <w:b/>
                <w:bCs/>
                <w:color w:val="000000"/>
                <w:sz w:val="22"/>
                <w:szCs w:val="22"/>
              </w:rPr>
            </w:pPr>
            <w:r w:rsidRPr="004D1712">
              <w:rPr>
                <w:rFonts w:ascii="Arial Narrow" w:eastAsia="Times New Roman" w:hAnsi="Arial Narrow" w:cs="Calibri"/>
                <w:b/>
                <w:bCs/>
                <w:color w:val="000000"/>
                <w:sz w:val="22"/>
                <w:szCs w:val="22"/>
              </w:rPr>
              <w:t>5</w:t>
            </w:r>
          </w:p>
        </w:tc>
        <w:tc>
          <w:tcPr>
            <w:tcW w:w="665" w:type="dxa"/>
            <w:tcBorders>
              <w:top w:val="single" w:sz="8" w:space="0" w:color="auto"/>
              <w:left w:val="nil"/>
              <w:bottom w:val="single" w:sz="8" w:space="0" w:color="auto"/>
              <w:right w:val="single" w:sz="8" w:space="0" w:color="auto"/>
            </w:tcBorders>
            <w:shd w:val="clear" w:color="auto" w:fill="auto"/>
            <w:noWrap/>
            <w:vAlign w:val="center"/>
            <w:hideMark/>
          </w:tcPr>
          <w:p w14:paraId="2B856327" w14:textId="214BFE56" w:rsidR="004D1712" w:rsidRPr="004D1712" w:rsidRDefault="004D1712" w:rsidP="004D1712">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27</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37399827" w14:textId="77777777" w:rsidR="004D1712" w:rsidRPr="004D1712" w:rsidRDefault="004D1712" w:rsidP="004D1712">
            <w:pPr>
              <w:jc w:val="center"/>
              <w:rPr>
                <w:rFonts w:ascii="Arial Narrow" w:eastAsia="Times New Roman" w:hAnsi="Arial Narrow" w:cs="Calibri"/>
                <w:b/>
                <w:bCs/>
                <w:color w:val="000000"/>
                <w:sz w:val="22"/>
                <w:szCs w:val="22"/>
              </w:rPr>
            </w:pPr>
            <w:r w:rsidRPr="004D1712">
              <w:rPr>
                <w:rFonts w:ascii="Arial Narrow" w:eastAsia="Times New Roman" w:hAnsi="Arial Narrow" w:cs="Calibri"/>
                <w:b/>
                <w:bCs/>
                <w:color w:val="000000"/>
                <w:sz w:val="22"/>
                <w:szCs w:val="22"/>
              </w:rPr>
              <w:t xml:space="preserve"> </w:t>
            </w:r>
          </w:p>
        </w:tc>
        <w:tc>
          <w:tcPr>
            <w:tcW w:w="3970" w:type="dxa"/>
            <w:gridSpan w:val="2"/>
            <w:tcBorders>
              <w:top w:val="single" w:sz="8" w:space="0" w:color="auto"/>
              <w:left w:val="nil"/>
              <w:bottom w:val="single" w:sz="8" w:space="0" w:color="auto"/>
              <w:right w:val="single" w:sz="8" w:space="0" w:color="auto"/>
            </w:tcBorders>
            <w:shd w:val="clear" w:color="auto" w:fill="auto"/>
            <w:vAlign w:val="center"/>
            <w:hideMark/>
          </w:tcPr>
          <w:p w14:paraId="378ED780" w14:textId="77777777" w:rsidR="004D1712" w:rsidRPr="004D1712" w:rsidRDefault="004D1712" w:rsidP="004D1712">
            <w:pPr>
              <w:jc w:val="both"/>
              <w:rPr>
                <w:rFonts w:ascii="Arial Narrow" w:eastAsia="Times New Roman" w:hAnsi="Arial Narrow" w:cs="Calibri"/>
                <w:b/>
                <w:bCs/>
                <w:color w:val="000000"/>
                <w:sz w:val="22"/>
                <w:szCs w:val="22"/>
              </w:rPr>
            </w:pPr>
            <w:r w:rsidRPr="004D1712">
              <w:rPr>
                <w:rFonts w:ascii="Arial Narrow" w:eastAsia="Times New Roman" w:hAnsi="Arial Narrow" w:cs="Calibri"/>
                <w:b/>
                <w:bCs/>
                <w:color w:val="000000"/>
                <w:sz w:val="22"/>
                <w:szCs w:val="22"/>
              </w:rPr>
              <w:t>Información a revelar</w:t>
            </w:r>
          </w:p>
        </w:tc>
        <w:tc>
          <w:tcPr>
            <w:tcW w:w="1961" w:type="dxa"/>
            <w:tcBorders>
              <w:top w:val="single" w:sz="8" w:space="0" w:color="auto"/>
              <w:left w:val="nil"/>
              <w:bottom w:val="single" w:sz="8" w:space="0" w:color="auto"/>
              <w:right w:val="single" w:sz="8" w:space="0" w:color="auto"/>
            </w:tcBorders>
            <w:shd w:val="clear" w:color="auto" w:fill="auto"/>
            <w:vAlign w:val="center"/>
            <w:hideMark/>
          </w:tcPr>
          <w:p w14:paraId="44AFBE6C" w14:textId="77777777" w:rsidR="004835CA" w:rsidRDefault="004D1712" w:rsidP="004D1712">
            <w:pPr>
              <w:jc w:val="both"/>
              <w:rPr>
                <w:rFonts w:ascii="Arial Narrow" w:eastAsia="Times New Roman" w:hAnsi="Arial Narrow" w:cs="Calibri"/>
                <w:b/>
                <w:bCs/>
                <w:color w:val="000000"/>
                <w:sz w:val="22"/>
                <w:szCs w:val="22"/>
              </w:rPr>
            </w:pPr>
            <w:r w:rsidRPr="004D1712">
              <w:rPr>
                <w:rFonts w:ascii="Arial Narrow" w:eastAsia="Times New Roman" w:hAnsi="Arial Narrow" w:cs="Calibri"/>
                <w:b/>
                <w:bCs/>
                <w:color w:val="000000"/>
                <w:sz w:val="22"/>
                <w:szCs w:val="22"/>
              </w:rPr>
              <w:t>NICSP N° 13,</w:t>
            </w:r>
          </w:p>
          <w:p w14:paraId="7DEE2057" w14:textId="0C8E2861" w:rsidR="004D1712" w:rsidRPr="004D1712" w:rsidRDefault="004D1712" w:rsidP="004D1712">
            <w:pPr>
              <w:jc w:val="both"/>
              <w:rPr>
                <w:rFonts w:ascii="Arial Narrow" w:eastAsia="Times New Roman" w:hAnsi="Arial Narrow" w:cs="Calibri"/>
                <w:b/>
                <w:bCs/>
                <w:color w:val="000000"/>
                <w:sz w:val="22"/>
                <w:szCs w:val="22"/>
              </w:rPr>
            </w:pPr>
            <w:r w:rsidRPr="004D1712">
              <w:rPr>
                <w:rFonts w:ascii="Arial Narrow" w:eastAsia="Times New Roman" w:hAnsi="Arial Narrow" w:cs="Calibri"/>
                <w:b/>
                <w:bCs/>
                <w:color w:val="000000"/>
                <w:sz w:val="22"/>
                <w:szCs w:val="22"/>
              </w:rPr>
              <w:t>Párrafo 44.</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14:paraId="335B9774" w14:textId="77777777" w:rsidR="004D1712" w:rsidRPr="004D1712" w:rsidRDefault="004D1712" w:rsidP="004D1712">
            <w:pPr>
              <w:rPr>
                <w:rFonts w:ascii="Arial Narrow" w:eastAsia="Times New Roman" w:hAnsi="Arial Narrow" w:cs="Calibri"/>
                <w:b/>
                <w:bCs/>
                <w:color w:val="000000"/>
                <w:sz w:val="22"/>
                <w:szCs w:val="22"/>
              </w:rPr>
            </w:pPr>
            <w:r w:rsidRPr="004D1712">
              <w:rPr>
                <w:rFonts w:ascii="Arial Narrow" w:eastAsia="Times New Roman" w:hAnsi="Arial Narrow" w:cs="Calibri"/>
                <w:b/>
                <w:bCs/>
                <w:color w:val="000000"/>
                <w:sz w:val="22"/>
                <w:szCs w:val="22"/>
              </w:rPr>
              <w:t xml:space="preserve"> </w:t>
            </w:r>
          </w:p>
        </w:tc>
      </w:tr>
    </w:tbl>
    <w:p w14:paraId="051F0597" w14:textId="77777777" w:rsidR="00E727B9" w:rsidRDefault="00E727B9" w:rsidP="0032280D">
      <w:pPr>
        <w:pStyle w:val="Default"/>
        <w:ind w:left="1134" w:hanging="1134"/>
        <w:jc w:val="both"/>
        <w:rPr>
          <w:b/>
          <w:bCs/>
          <w:sz w:val="22"/>
          <w:szCs w:val="22"/>
          <w:lang w:val="es-CR"/>
        </w:rPr>
      </w:pPr>
    </w:p>
    <w:p w14:paraId="1B2FAF28" w14:textId="4B25A54A" w:rsidR="004835CA" w:rsidRDefault="004835CA" w:rsidP="004835CA">
      <w:pPr>
        <w:pStyle w:val="Default"/>
        <w:ind w:left="1134" w:hanging="1134"/>
        <w:jc w:val="both"/>
        <w:rPr>
          <w:rFonts w:eastAsia="Arial"/>
          <w:b/>
          <w:sz w:val="22"/>
          <w:szCs w:val="22"/>
        </w:rPr>
      </w:pPr>
      <w:r w:rsidRPr="00F02F9D">
        <w:rPr>
          <w:rFonts w:eastAsia="Arial"/>
          <w:b/>
          <w:sz w:val="22"/>
          <w:szCs w:val="22"/>
        </w:rPr>
        <w:t>Política Contable</w:t>
      </w:r>
    </w:p>
    <w:p w14:paraId="4CCE235E" w14:textId="77777777" w:rsidR="004835CA" w:rsidRDefault="004835CA" w:rsidP="0032280D">
      <w:pPr>
        <w:pStyle w:val="Default"/>
        <w:ind w:left="1134" w:hanging="1134"/>
        <w:jc w:val="both"/>
        <w:rPr>
          <w:b/>
          <w:bCs/>
          <w:sz w:val="22"/>
          <w:szCs w:val="22"/>
          <w:lang w:val="es-CR"/>
        </w:rPr>
      </w:pPr>
    </w:p>
    <w:p w14:paraId="13088EB8" w14:textId="77777777" w:rsidR="004D1712" w:rsidRPr="00A2153D" w:rsidRDefault="004D1712" w:rsidP="004D1712">
      <w:pPr>
        <w:pStyle w:val="Default"/>
        <w:ind w:left="1134" w:hanging="1134"/>
        <w:jc w:val="both"/>
        <w:rPr>
          <w:sz w:val="22"/>
          <w:szCs w:val="22"/>
          <w:lang w:val="es-CR"/>
        </w:rPr>
      </w:pPr>
      <w:r w:rsidRPr="00A2153D">
        <w:rPr>
          <w:sz w:val="22"/>
          <w:szCs w:val="22"/>
          <w:lang w:val="es-CR"/>
        </w:rPr>
        <w:t>5.27.0.01</w:t>
      </w:r>
      <w:r w:rsidRPr="00A2153D">
        <w:rPr>
          <w:sz w:val="22"/>
          <w:szCs w:val="22"/>
          <w:lang w:val="es-CR"/>
        </w:rPr>
        <w:tab/>
        <w:t>La información a revelar sobre arrendamientos operativos deberá contemplar, como mínimo:</w:t>
      </w:r>
    </w:p>
    <w:p w14:paraId="0B9863C0" w14:textId="161A890E" w:rsidR="004D1712" w:rsidRPr="00A2153D" w:rsidRDefault="004D1712" w:rsidP="004D1712">
      <w:pPr>
        <w:pStyle w:val="Default"/>
        <w:ind w:left="1134" w:hanging="1134"/>
        <w:jc w:val="both"/>
        <w:rPr>
          <w:sz w:val="22"/>
          <w:szCs w:val="22"/>
          <w:lang w:val="es-CR"/>
        </w:rPr>
      </w:pPr>
      <w:r w:rsidRPr="00A2153D">
        <w:rPr>
          <w:sz w:val="22"/>
          <w:szCs w:val="22"/>
          <w:lang w:val="es-CR"/>
        </w:rPr>
        <w:t xml:space="preserve"> </w:t>
      </w:r>
    </w:p>
    <w:p w14:paraId="46A09B6A" w14:textId="186816E1" w:rsidR="004835CA" w:rsidRPr="004835CA" w:rsidRDefault="004D1712" w:rsidP="004835CA">
      <w:pPr>
        <w:pStyle w:val="Default"/>
        <w:numPr>
          <w:ilvl w:val="0"/>
          <w:numId w:val="299"/>
        </w:numPr>
        <w:spacing w:after="120"/>
        <w:ind w:left="1418" w:hanging="284"/>
        <w:jc w:val="both"/>
        <w:rPr>
          <w:sz w:val="22"/>
          <w:szCs w:val="22"/>
          <w:lang w:val="es-CR"/>
        </w:rPr>
      </w:pPr>
      <w:r w:rsidRPr="00A2153D">
        <w:rPr>
          <w:sz w:val="22"/>
          <w:szCs w:val="22"/>
          <w:lang w:val="es-CR"/>
        </w:rPr>
        <w:t>El total de pagos futuros mínimos del arrendamiento, derivados de contratos de arrendamiento operativo no vencidos, que se van a satisfacer en los siguientes plazos:</w:t>
      </w:r>
    </w:p>
    <w:p w14:paraId="7037801C" w14:textId="4E9E2CF3" w:rsidR="004D1712" w:rsidRPr="00A2153D" w:rsidRDefault="004D1712" w:rsidP="004835CA">
      <w:pPr>
        <w:pStyle w:val="Default"/>
        <w:numPr>
          <w:ilvl w:val="0"/>
          <w:numId w:val="300"/>
        </w:numPr>
        <w:spacing w:after="120"/>
        <w:ind w:left="1843" w:hanging="218"/>
        <w:jc w:val="both"/>
        <w:rPr>
          <w:sz w:val="22"/>
          <w:szCs w:val="22"/>
          <w:lang w:val="es-CR"/>
        </w:rPr>
      </w:pPr>
      <w:r w:rsidRPr="00A2153D">
        <w:rPr>
          <w:sz w:val="22"/>
          <w:szCs w:val="22"/>
          <w:lang w:val="es-CR"/>
        </w:rPr>
        <w:t xml:space="preserve">Hasta un año; </w:t>
      </w:r>
    </w:p>
    <w:p w14:paraId="1C3A9754" w14:textId="593378AA" w:rsidR="004D1712" w:rsidRPr="00A2153D" w:rsidRDefault="004D1712" w:rsidP="004835CA">
      <w:pPr>
        <w:pStyle w:val="Default"/>
        <w:numPr>
          <w:ilvl w:val="0"/>
          <w:numId w:val="300"/>
        </w:numPr>
        <w:spacing w:after="120"/>
        <w:ind w:left="1843" w:hanging="218"/>
        <w:jc w:val="both"/>
        <w:rPr>
          <w:sz w:val="22"/>
          <w:szCs w:val="22"/>
          <w:lang w:val="es-CR"/>
        </w:rPr>
      </w:pPr>
      <w:r w:rsidRPr="00A2153D">
        <w:rPr>
          <w:sz w:val="22"/>
          <w:szCs w:val="22"/>
          <w:lang w:val="es-CR"/>
        </w:rPr>
        <w:t xml:space="preserve">Entre uno y cinco años; </w:t>
      </w:r>
    </w:p>
    <w:p w14:paraId="0ECC2D63" w14:textId="1AB55AFE" w:rsidR="004D1712" w:rsidRPr="00A2153D" w:rsidRDefault="004D1712" w:rsidP="004835CA">
      <w:pPr>
        <w:pStyle w:val="Default"/>
        <w:numPr>
          <w:ilvl w:val="0"/>
          <w:numId w:val="300"/>
        </w:numPr>
        <w:ind w:left="1843" w:hanging="218"/>
        <w:jc w:val="both"/>
        <w:rPr>
          <w:sz w:val="22"/>
          <w:szCs w:val="22"/>
          <w:lang w:val="es-CR"/>
        </w:rPr>
      </w:pPr>
      <w:r w:rsidRPr="00A2153D">
        <w:rPr>
          <w:sz w:val="22"/>
          <w:szCs w:val="22"/>
          <w:lang w:val="es-CR"/>
        </w:rPr>
        <w:t xml:space="preserve">Más de cinco años; </w:t>
      </w:r>
    </w:p>
    <w:p w14:paraId="7F9DFC74" w14:textId="77777777" w:rsidR="005D0517" w:rsidRPr="00A2153D" w:rsidRDefault="005D0517" w:rsidP="005D0517">
      <w:pPr>
        <w:pStyle w:val="Default"/>
        <w:spacing w:after="20"/>
        <w:ind w:left="1418"/>
        <w:jc w:val="both"/>
        <w:rPr>
          <w:sz w:val="22"/>
          <w:szCs w:val="22"/>
          <w:lang w:val="es-CR"/>
        </w:rPr>
      </w:pPr>
    </w:p>
    <w:p w14:paraId="79BD720E" w14:textId="010388A6" w:rsidR="004D1712" w:rsidRPr="00A2153D" w:rsidRDefault="004D1712">
      <w:pPr>
        <w:pStyle w:val="Default"/>
        <w:numPr>
          <w:ilvl w:val="0"/>
          <w:numId w:val="299"/>
        </w:numPr>
        <w:spacing w:after="20"/>
        <w:ind w:left="1418" w:hanging="284"/>
        <w:jc w:val="both"/>
        <w:rPr>
          <w:sz w:val="22"/>
          <w:szCs w:val="22"/>
          <w:lang w:val="es-CR"/>
        </w:rPr>
      </w:pPr>
      <w:r w:rsidRPr="00A2153D">
        <w:rPr>
          <w:sz w:val="22"/>
          <w:szCs w:val="22"/>
          <w:lang w:val="es-CR"/>
        </w:rPr>
        <w:lastRenderedPageBreak/>
        <w:t xml:space="preserve">El importe total de los pagos futuros mínimos por subarrendamiento que se esperan recibir, en la fecha sobre la que se informa, por los subarrendamientos operativos no vencidos; </w:t>
      </w:r>
    </w:p>
    <w:p w14:paraId="4E73A989" w14:textId="77777777" w:rsidR="005D0517" w:rsidRPr="00A2153D" w:rsidRDefault="005D0517" w:rsidP="005D0517">
      <w:pPr>
        <w:pStyle w:val="Default"/>
        <w:spacing w:after="20"/>
        <w:ind w:left="1418"/>
        <w:jc w:val="both"/>
        <w:rPr>
          <w:sz w:val="22"/>
          <w:szCs w:val="22"/>
          <w:lang w:val="es-CR"/>
        </w:rPr>
      </w:pPr>
    </w:p>
    <w:p w14:paraId="73CD7B45" w14:textId="6AEAD82A" w:rsidR="004D1712" w:rsidRPr="00A2153D" w:rsidRDefault="004D1712">
      <w:pPr>
        <w:pStyle w:val="Default"/>
        <w:numPr>
          <w:ilvl w:val="0"/>
          <w:numId w:val="299"/>
        </w:numPr>
        <w:spacing w:after="20"/>
        <w:ind w:left="1418" w:hanging="284"/>
        <w:jc w:val="both"/>
        <w:rPr>
          <w:sz w:val="22"/>
          <w:szCs w:val="22"/>
          <w:lang w:val="es-CR"/>
        </w:rPr>
      </w:pPr>
      <w:r w:rsidRPr="00A2153D">
        <w:rPr>
          <w:sz w:val="22"/>
          <w:szCs w:val="22"/>
          <w:lang w:val="es-CR"/>
        </w:rPr>
        <w:t xml:space="preserve">Las cuotas de arrendamientos y subarrendamientos operativos reconocidas como gastos del período, revelando por separado los importes de los pagos mínimos por arrendamiento, las cuotas contingentes y las cuotas de subarrendamiento; y </w:t>
      </w:r>
    </w:p>
    <w:p w14:paraId="7DE8E438" w14:textId="77777777" w:rsidR="005D0517" w:rsidRPr="00A2153D" w:rsidRDefault="005D0517" w:rsidP="005D0517">
      <w:pPr>
        <w:pStyle w:val="Default"/>
        <w:spacing w:after="20"/>
        <w:ind w:left="1418"/>
        <w:jc w:val="both"/>
        <w:rPr>
          <w:sz w:val="22"/>
          <w:szCs w:val="22"/>
          <w:lang w:val="es-CR"/>
        </w:rPr>
      </w:pPr>
    </w:p>
    <w:p w14:paraId="724118F2" w14:textId="463BC45C" w:rsidR="004D1712" w:rsidRPr="00A2153D" w:rsidRDefault="004D1712">
      <w:pPr>
        <w:pStyle w:val="Default"/>
        <w:numPr>
          <w:ilvl w:val="0"/>
          <w:numId w:val="299"/>
        </w:numPr>
        <w:spacing w:after="120"/>
        <w:ind w:left="1418" w:hanging="284"/>
        <w:jc w:val="both"/>
        <w:rPr>
          <w:sz w:val="22"/>
          <w:szCs w:val="22"/>
          <w:lang w:val="es-CR"/>
        </w:rPr>
      </w:pPr>
      <w:r w:rsidRPr="00A2153D">
        <w:rPr>
          <w:sz w:val="22"/>
          <w:szCs w:val="22"/>
          <w:lang w:val="es-CR"/>
        </w:rPr>
        <w:t>Una descripción general de los acuerdos significativos de arrendamiento concluidos por el arrendatario, donde se incluirán, sin limitarse a ellos, los siguientes datos:</w:t>
      </w:r>
    </w:p>
    <w:p w14:paraId="2CFEED65" w14:textId="752B3BF0" w:rsidR="004D1712" w:rsidRPr="00A2153D" w:rsidRDefault="004D1712">
      <w:pPr>
        <w:pStyle w:val="Default"/>
        <w:numPr>
          <w:ilvl w:val="0"/>
          <w:numId w:val="301"/>
        </w:numPr>
        <w:spacing w:after="120"/>
        <w:ind w:left="1701" w:hanging="283"/>
        <w:jc w:val="both"/>
        <w:rPr>
          <w:sz w:val="22"/>
          <w:szCs w:val="22"/>
          <w:lang w:val="es-CR"/>
        </w:rPr>
      </w:pPr>
      <w:r w:rsidRPr="00A2153D">
        <w:rPr>
          <w:sz w:val="22"/>
          <w:szCs w:val="22"/>
          <w:lang w:val="es-CR"/>
        </w:rPr>
        <w:t xml:space="preserve">Las bases para la determinación de cualquier eventual cuota de carácter contingente que se haya pactado; </w:t>
      </w:r>
    </w:p>
    <w:p w14:paraId="4AE601C0" w14:textId="16B55F2A" w:rsidR="004D1712" w:rsidRPr="00A2153D" w:rsidRDefault="004D1712">
      <w:pPr>
        <w:pStyle w:val="Default"/>
        <w:numPr>
          <w:ilvl w:val="0"/>
          <w:numId w:val="301"/>
        </w:numPr>
        <w:spacing w:after="120"/>
        <w:ind w:left="1701" w:hanging="283"/>
        <w:jc w:val="both"/>
        <w:rPr>
          <w:sz w:val="22"/>
          <w:szCs w:val="22"/>
          <w:lang w:val="es-CR"/>
        </w:rPr>
      </w:pPr>
      <w:r w:rsidRPr="00A2153D">
        <w:rPr>
          <w:sz w:val="22"/>
          <w:szCs w:val="22"/>
          <w:lang w:val="es-CR"/>
        </w:rPr>
        <w:t xml:space="preserve">La existencia y, en su caso, los plazos de renovación o las opciones de compra y las cláusulas de actualización o escalonamiento; y </w:t>
      </w:r>
    </w:p>
    <w:p w14:paraId="74DDF638" w14:textId="77932F94" w:rsidR="004D1712" w:rsidRDefault="004D1712">
      <w:pPr>
        <w:pStyle w:val="Default"/>
        <w:numPr>
          <w:ilvl w:val="0"/>
          <w:numId w:val="301"/>
        </w:numPr>
        <w:ind w:left="1701" w:hanging="283"/>
        <w:jc w:val="both"/>
        <w:rPr>
          <w:sz w:val="22"/>
          <w:szCs w:val="22"/>
          <w:lang w:val="es-CR"/>
        </w:rPr>
      </w:pPr>
      <w:r w:rsidRPr="00A2153D">
        <w:rPr>
          <w:sz w:val="22"/>
          <w:szCs w:val="22"/>
          <w:lang w:val="es-CR"/>
        </w:rPr>
        <w:t xml:space="preserve">Las restricciones impuestas por los contratos de arrendamiento financiero, tales como las que se refieran a la distribución de dividendos, al endeudamiento adicional o a nuevos contratos de arrendamiento. </w:t>
      </w:r>
    </w:p>
    <w:p w14:paraId="673363DE" w14:textId="77777777" w:rsidR="004835CA" w:rsidRPr="00A2153D" w:rsidRDefault="004835CA" w:rsidP="004835CA">
      <w:pPr>
        <w:pStyle w:val="Default"/>
        <w:ind w:left="1701"/>
        <w:jc w:val="both"/>
        <w:rPr>
          <w:sz w:val="22"/>
          <w:szCs w:val="22"/>
          <w:lang w:val="es-CR"/>
        </w:rPr>
      </w:pPr>
    </w:p>
    <w:p w14:paraId="023BA986" w14:textId="77777777" w:rsidR="004D1712" w:rsidRPr="00A2153D" w:rsidRDefault="004D1712" w:rsidP="004D1712">
      <w:pPr>
        <w:pStyle w:val="Default"/>
        <w:rPr>
          <w:sz w:val="22"/>
          <w:szCs w:val="22"/>
          <w:lang w:val="es-CR"/>
        </w:rPr>
      </w:pPr>
    </w:p>
    <w:p w14:paraId="5A621758" w14:textId="77777777" w:rsidR="00E727B9" w:rsidRPr="00A2153D" w:rsidRDefault="00E727B9" w:rsidP="0032280D">
      <w:pPr>
        <w:pStyle w:val="Default"/>
        <w:ind w:left="1134" w:hanging="1134"/>
        <w:jc w:val="both"/>
        <w:rPr>
          <w:b/>
          <w:bCs/>
          <w:sz w:val="22"/>
          <w:szCs w:val="22"/>
          <w:lang w:val="es-CR"/>
        </w:rPr>
      </w:pPr>
    </w:p>
    <w:p w14:paraId="337CAA8A" w14:textId="692C6596" w:rsidR="004D1712" w:rsidRPr="005F3A03" w:rsidRDefault="005F3A03" w:rsidP="005F3A03">
      <w:pPr>
        <w:pStyle w:val="Ttulo2"/>
        <w:ind w:left="284"/>
        <w:jc w:val="both"/>
        <w:rPr>
          <w:rFonts w:ascii="Arial" w:eastAsia="Arial" w:hAnsi="Arial" w:cs="Arial"/>
          <w:b/>
          <w:bCs/>
          <w:sz w:val="22"/>
          <w:szCs w:val="22"/>
          <w:lang w:val="es-CR"/>
        </w:rPr>
      </w:pPr>
      <w:bookmarkStart w:id="161" w:name="_Toc172726296"/>
      <w:r w:rsidRPr="005F3A03">
        <w:rPr>
          <w:rFonts w:ascii="Arial" w:eastAsia="Arial" w:hAnsi="Arial" w:cs="Arial"/>
          <w:b/>
          <w:bCs/>
          <w:sz w:val="22"/>
          <w:szCs w:val="22"/>
          <w:lang w:val="es-CR"/>
        </w:rPr>
        <w:t>Venta de bienes y servicios</w:t>
      </w:r>
      <w:bookmarkEnd w:id="161"/>
    </w:p>
    <w:p w14:paraId="3C6ECB66" w14:textId="77777777" w:rsidR="004D1712" w:rsidRPr="00A2153D" w:rsidRDefault="004D1712" w:rsidP="0032280D">
      <w:pPr>
        <w:pStyle w:val="Default"/>
        <w:ind w:left="1134" w:hanging="1134"/>
        <w:jc w:val="both"/>
        <w:rPr>
          <w:b/>
          <w:bCs/>
          <w:sz w:val="22"/>
          <w:szCs w:val="22"/>
          <w:lang w:val="es-CR"/>
        </w:rPr>
      </w:pPr>
    </w:p>
    <w:p w14:paraId="52A0DEC5" w14:textId="77777777" w:rsidR="004D1712" w:rsidRPr="00A2153D" w:rsidRDefault="004D1712" w:rsidP="0032280D">
      <w:pPr>
        <w:pStyle w:val="Default"/>
        <w:ind w:left="1134" w:hanging="1134"/>
        <w:jc w:val="both"/>
        <w:rPr>
          <w:b/>
          <w:bCs/>
          <w:sz w:val="22"/>
          <w:szCs w:val="22"/>
          <w:lang w:val="es-CR"/>
        </w:rPr>
      </w:pPr>
    </w:p>
    <w:tbl>
      <w:tblPr>
        <w:tblW w:w="9346" w:type="dxa"/>
        <w:tblLook w:val="04A0" w:firstRow="1" w:lastRow="0" w:firstColumn="1" w:lastColumn="0" w:noHBand="0" w:noVBand="1"/>
      </w:tblPr>
      <w:tblGrid>
        <w:gridCol w:w="416"/>
        <w:gridCol w:w="698"/>
        <w:gridCol w:w="425"/>
        <w:gridCol w:w="6"/>
        <w:gridCol w:w="3684"/>
        <w:gridCol w:w="6"/>
        <w:gridCol w:w="2246"/>
        <w:gridCol w:w="6"/>
        <w:gridCol w:w="1859"/>
      </w:tblGrid>
      <w:tr w:rsidR="005F3A03" w:rsidRPr="005F3A03" w14:paraId="51A2FF35" w14:textId="77777777" w:rsidTr="004835CA">
        <w:trPr>
          <w:trHeight w:val="300"/>
        </w:trPr>
        <w:tc>
          <w:tcPr>
            <w:tcW w:w="1545"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BECC765"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Norma / Política</w:t>
            </w:r>
          </w:p>
        </w:tc>
        <w:tc>
          <w:tcPr>
            <w:tcW w:w="369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5AA50BF"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Concepto</w:t>
            </w:r>
          </w:p>
        </w:tc>
        <w:tc>
          <w:tcPr>
            <w:tcW w:w="4111" w:type="dxa"/>
            <w:gridSpan w:val="3"/>
            <w:tcBorders>
              <w:top w:val="single" w:sz="8" w:space="0" w:color="auto"/>
              <w:left w:val="nil"/>
              <w:bottom w:val="single" w:sz="8" w:space="0" w:color="auto"/>
              <w:right w:val="single" w:sz="8" w:space="0" w:color="000000"/>
            </w:tcBorders>
            <w:shd w:val="clear" w:color="000000" w:fill="203764"/>
            <w:vAlign w:val="center"/>
            <w:hideMark/>
          </w:tcPr>
          <w:p w14:paraId="01E88E2D"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Referencia</w:t>
            </w:r>
          </w:p>
        </w:tc>
      </w:tr>
      <w:tr w:rsidR="005F3A03" w:rsidRPr="006E5442" w14:paraId="6C4DB13E" w14:textId="77777777" w:rsidTr="004835CA">
        <w:trPr>
          <w:trHeight w:val="850"/>
        </w:trPr>
        <w:tc>
          <w:tcPr>
            <w:tcW w:w="1545" w:type="dxa"/>
            <w:gridSpan w:val="4"/>
            <w:vMerge/>
            <w:tcBorders>
              <w:top w:val="single" w:sz="8" w:space="0" w:color="auto"/>
              <w:left w:val="single" w:sz="8" w:space="0" w:color="auto"/>
              <w:bottom w:val="nil"/>
              <w:right w:val="single" w:sz="8" w:space="0" w:color="000000"/>
            </w:tcBorders>
            <w:vAlign w:val="center"/>
            <w:hideMark/>
          </w:tcPr>
          <w:p w14:paraId="75256A32" w14:textId="77777777" w:rsidR="005F3A03" w:rsidRPr="005F3A03" w:rsidRDefault="005F3A03" w:rsidP="005F3A03">
            <w:pPr>
              <w:rPr>
                <w:rFonts w:ascii="Arial Narrow" w:eastAsia="Times New Roman" w:hAnsi="Arial Narrow" w:cs="Calibri"/>
                <w:b/>
                <w:bCs/>
                <w:color w:val="FFFFFF"/>
                <w:sz w:val="22"/>
                <w:szCs w:val="22"/>
              </w:rPr>
            </w:pPr>
          </w:p>
        </w:tc>
        <w:tc>
          <w:tcPr>
            <w:tcW w:w="3690" w:type="dxa"/>
            <w:gridSpan w:val="2"/>
            <w:vMerge/>
            <w:tcBorders>
              <w:top w:val="single" w:sz="8" w:space="0" w:color="auto"/>
              <w:left w:val="single" w:sz="8" w:space="0" w:color="auto"/>
              <w:bottom w:val="nil"/>
              <w:right w:val="single" w:sz="8" w:space="0" w:color="auto"/>
            </w:tcBorders>
            <w:vAlign w:val="center"/>
            <w:hideMark/>
          </w:tcPr>
          <w:p w14:paraId="3767FE1F" w14:textId="77777777" w:rsidR="005F3A03" w:rsidRPr="005F3A03" w:rsidRDefault="005F3A03" w:rsidP="005F3A03">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2B8CABC7"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Norma</w:t>
            </w:r>
          </w:p>
        </w:tc>
        <w:tc>
          <w:tcPr>
            <w:tcW w:w="1859" w:type="dxa"/>
            <w:tcBorders>
              <w:top w:val="nil"/>
              <w:left w:val="nil"/>
              <w:bottom w:val="nil"/>
              <w:right w:val="single" w:sz="8" w:space="0" w:color="auto"/>
            </w:tcBorders>
            <w:shd w:val="clear" w:color="000000" w:fill="203764"/>
            <w:vAlign w:val="center"/>
            <w:hideMark/>
          </w:tcPr>
          <w:p w14:paraId="4EA6B3D4" w14:textId="77777777" w:rsidR="005F3A03" w:rsidRPr="005F3A03" w:rsidRDefault="005F3A03" w:rsidP="005F3A03">
            <w:pPr>
              <w:jc w:val="center"/>
              <w:rPr>
                <w:rFonts w:ascii="Arial Narrow" w:eastAsia="Times New Roman" w:hAnsi="Arial Narrow" w:cs="Calibri"/>
                <w:b/>
                <w:bCs/>
                <w:color w:val="FFFFFF"/>
                <w:sz w:val="22"/>
                <w:szCs w:val="22"/>
                <w:lang w:val="es-CR"/>
              </w:rPr>
            </w:pPr>
            <w:r w:rsidRPr="005F3A03">
              <w:rPr>
                <w:rFonts w:ascii="Arial Narrow" w:eastAsia="Times New Roman" w:hAnsi="Arial Narrow" w:cs="Calibri"/>
                <w:b/>
                <w:bCs/>
                <w:color w:val="FFFFFF"/>
                <w:sz w:val="22"/>
                <w:szCs w:val="22"/>
                <w:lang w:val="es-CR"/>
              </w:rPr>
              <w:t>Normativa técnica y disposiciones adicionales</w:t>
            </w:r>
          </w:p>
        </w:tc>
      </w:tr>
      <w:tr w:rsidR="005F3A03" w:rsidRPr="005F3A03" w14:paraId="5BB966DD" w14:textId="77777777" w:rsidTr="004835CA">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958092"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5</w:t>
            </w:r>
          </w:p>
        </w:tc>
        <w:tc>
          <w:tcPr>
            <w:tcW w:w="698" w:type="dxa"/>
            <w:tcBorders>
              <w:top w:val="single" w:sz="8" w:space="0" w:color="auto"/>
              <w:left w:val="nil"/>
              <w:bottom w:val="single" w:sz="8" w:space="0" w:color="auto"/>
              <w:right w:val="single" w:sz="8" w:space="0" w:color="auto"/>
            </w:tcBorders>
            <w:shd w:val="clear" w:color="auto" w:fill="auto"/>
            <w:noWrap/>
            <w:vAlign w:val="center"/>
            <w:hideMark/>
          </w:tcPr>
          <w:p w14:paraId="3172545B"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30</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0A1AEF85"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 xml:space="preserve"> </w:t>
            </w:r>
          </w:p>
        </w:tc>
        <w:tc>
          <w:tcPr>
            <w:tcW w:w="3690" w:type="dxa"/>
            <w:gridSpan w:val="2"/>
            <w:tcBorders>
              <w:top w:val="single" w:sz="8" w:space="0" w:color="auto"/>
              <w:left w:val="nil"/>
              <w:bottom w:val="single" w:sz="8" w:space="0" w:color="auto"/>
              <w:right w:val="single" w:sz="8" w:space="0" w:color="auto"/>
            </w:tcBorders>
            <w:shd w:val="clear" w:color="auto" w:fill="auto"/>
            <w:vAlign w:val="center"/>
            <w:hideMark/>
          </w:tcPr>
          <w:p w14:paraId="4663673B" w14:textId="77777777" w:rsidR="005F3A03" w:rsidRPr="005F3A03" w:rsidRDefault="005F3A03" w:rsidP="005F3A03">
            <w:pPr>
              <w:jc w:val="both"/>
              <w:rPr>
                <w:rFonts w:ascii="Arial Narrow" w:eastAsia="Times New Roman" w:hAnsi="Arial Narrow" w:cs="Calibri"/>
                <w:b/>
                <w:bCs/>
                <w:color w:val="000000"/>
                <w:sz w:val="22"/>
                <w:szCs w:val="22"/>
                <w:lang w:val="es-CR"/>
              </w:rPr>
            </w:pPr>
            <w:r w:rsidRPr="005F3A03">
              <w:rPr>
                <w:rFonts w:ascii="Arial Narrow" w:eastAsia="Times New Roman" w:hAnsi="Arial Narrow" w:cs="Calibri"/>
                <w:b/>
                <w:bCs/>
                <w:color w:val="000000"/>
                <w:sz w:val="22"/>
                <w:szCs w:val="22"/>
                <w:lang w:val="es-CR"/>
              </w:rPr>
              <w:t>Costo de ventas de inventarios</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3AAD9B9C" w14:textId="77777777" w:rsidR="005F3A03" w:rsidRDefault="005F3A03" w:rsidP="005F3A03">
            <w:pPr>
              <w:jc w:val="both"/>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 xml:space="preserve">NICSP N° 12, </w:t>
            </w:r>
          </w:p>
          <w:p w14:paraId="6E7C18D3" w14:textId="0677BD80" w:rsidR="005F3A03" w:rsidRPr="005F3A03" w:rsidRDefault="005F3A03" w:rsidP="005F3A03">
            <w:pPr>
              <w:jc w:val="both"/>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Párrafo 44.</w:t>
            </w:r>
          </w:p>
        </w:tc>
        <w:tc>
          <w:tcPr>
            <w:tcW w:w="1865" w:type="dxa"/>
            <w:gridSpan w:val="2"/>
            <w:tcBorders>
              <w:top w:val="single" w:sz="8" w:space="0" w:color="auto"/>
              <w:left w:val="nil"/>
              <w:bottom w:val="single" w:sz="8" w:space="0" w:color="auto"/>
              <w:right w:val="single" w:sz="8" w:space="0" w:color="auto"/>
            </w:tcBorders>
            <w:shd w:val="clear" w:color="auto" w:fill="auto"/>
            <w:vAlign w:val="center"/>
            <w:hideMark/>
          </w:tcPr>
          <w:p w14:paraId="29D1410D" w14:textId="77777777" w:rsidR="005F3A03" w:rsidRPr="005F3A03" w:rsidRDefault="005F3A03" w:rsidP="005F3A03">
            <w:pP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 xml:space="preserve"> </w:t>
            </w:r>
          </w:p>
        </w:tc>
      </w:tr>
    </w:tbl>
    <w:p w14:paraId="0D9DB814" w14:textId="77777777" w:rsidR="004D1712" w:rsidRDefault="004D1712" w:rsidP="0032280D">
      <w:pPr>
        <w:pStyle w:val="Default"/>
        <w:ind w:left="1134" w:hanging="1134"/>
        <w:jc w:val="both"/>
        <w:rPr>
          <w:b/>
          <w:bCs/>
          <w:sz w:val="22"/>
          <w:szCs w:val="22"/>
          <w:lang w:val="es-CR"/>
        </w:rPr>
      </w:pPr>
    </w:p>
    <w:p w14:paraId="45208410" w14:textId="1A48FDCA" w:rsidR="004835CA" w:rsidRDefault="004835CA" w:rsidP="004835CA">
      <w:pPr>
        <w:pStyle w:val="Default"/>
        <w:ind w:left="1134" w:hanging="1134"/>
        <w:jc w:val="both"/>
        <w:rPr>
          <w:rFonts w:eastAsia="Arial"/>
          <w:b/>
          <w:sz w:val="22"/>
          <w:szCs w:val="22"/>
        </w:rPr>
      </w:pPr>
      <w:r w:rsidRPr="00F02F9D">
        <w:rPr>
          <w:rFonts w:eastAsia="Arial"/>
          <w:b/>
          <w:sz w:val="22"/>
          <w:szCs w:val="22"/>
        </w:rPr>
        <w:t>Política Contable</w:t>
      </w:r>
    </w:p>
    <w:p w14:paraId="2B8FC25F" w14:textId="77777777" w:rsidR="004835CA" w:rsidRPr="00A2153D" w:rsidRDefault="004835CA" w:rsidP="0032280D">
      <w:pPr>
        <w:pStyle w:val="Default"/>
        <w:ind w:left="1134" w:hanging="1134"/>
        <w:jc w:val="both"/>
        <w:rPr>
          <w:b/>
          <w:bCs/>
          <w:sz w:val="22"/>
          <w:szCs w:val="22"/>
          <w:lang w:val="es-CR"/>
        </w:rPr>
      </w:pPr>
    </w:p>
    <w:p w14:paraId="300D2025" w14:textId="4CA3A1F8" w:rsidR="004D1712" w:rsidRDefault="005F3A03" w:rsidP="0032280D">
      <w:pPr>
        <w:pStyle w:val="Default"/>
        <w:ind w:left="1134" w:hanging="1134"/>
        <w:jc w:val="both"/>
        <w:rPr>
          <w:sz w:val="22"/>
          <w:szCs w:val="22"/>
          <w:lang w:val="es-CR"/>
        </w:rPr>
      </w:pPr>
      <w:r>
        <w:rPr>
          <w:sz w:val="22"/>
          <w:szCs w:val="22"/>
          <w:lang w:val="es-CR"/>
        </w:rPr>
        <w:t>5.30.0.01</w:t>
      </w:r>
      <w:r>
        <w:rPr>
          <w:sz w:val="22"/>
          <w:szCs w:val="22"/>
          <w:lang w:val="es-CR"/>
        </w:rPr>
        <w:tab/>
      </w:r>
      <w:r w:rsidRPr="005F3A03">
        <w:rPr>
          <w:sz w:val="22"/>
          <w:szCs w:val="22"/>
          <w:lang w:val="es-CR"/>
        </w:rPr>
        <w:t>El importe en libros de los inventarios se reconocerá como un gasto en el período en el que se registran los correspondientes ingresos por venta, intercambio o distribución. En el caso que no suponga un ingreso, se reconocerá un gasto cuando se distribuyan los bienes o se preste el servicio.</w:t>
      </w:r>
    </w:p>
    <w:p w14:paraId="046BA83F" w14:textId="77777777" w:rsidR="005F3A03" w:rsidRDefault="005F3A03" w:rsidP="0032280D">
      <w:pPr>
        <w:pStyle w:val="Default"/>
        <w:ind w:left="1134" w:hanging="1134"/>
        <w:jc w:val="both"/>
        <w:rPr>
          <w:b/>
          <w:bCs/>
          <w:sz w:val="22"/>
          <w:szCs w:val="22"/>
          <w:lang w:val="es-CR"/>
        </w:rPr>
      </w:pPr>
    </w:p>
    <w:p w14:paraId="4C71D2CA" w14:textId="77777777" w:rsidR="004835CA" w:rsidRPr="005F3A03" w:rsidRDefault="004835CA" w:rsidP="0032280D">
      <w:pPr>
        <w:pStyle w:val="Default"/>
        <w:ind w:left="1134" w:hanging="1134"/>
        <w:jc w:val="both"/>
        <w:rPr>
          <w:b/>
          <w:bCs/>
          <w:sz w:val="22"/>
          <w:szCs w:val="22"/>
          <w:lang w:val="es-CR"/>
        </w:rPr>
      </w:pPr>
    </w:p>
    <w:p w14:paraId="7331952D" w14:textId="77777777" w:rsidR="004D1712" w:rsidRPr="00A2153D" w:rsidRDefault="004D1712" w:rsidP="0032280D">
      <w:pPr>
        <w:pStyle w:val="Default"/>
        <w:ind w:left="1134" w:hanging="1134"/>
        <w:jc w:val="both"/>
        <w:rPr>
          <w:b/>
          <w:bCs/>
          <w:sz w:val="22"/>
          <w:szCs w:val="22"/>
          <w:lang w:val="es-CR"/>
        </w:rPr>
      </w:pPr>
    </w:p>
    <w:tbl>
      <w:tblPr>
        <w:tblW w:w="9346" w:type="dxa"/>
        <w:tblLook w:val="04A0" w:firstRow="1" w:lastRow="0" w:firstColumn="1" w:lastColumn="0" w:noHBand="0" w:noVBand="1"/>
      </w:tblPr>
      <w:tblGrid>
        <w:gridCol w:w="416"/>
        <w:gridCol w:w="708"/>
        <w:gridCol w:w="426"/>
        <w:gridCol w:w="3691"/>
        <w:gridCol w:w="2251"/>
        <w:gridCol w:w="1854"/>
      </w:tblGrid>
      <w:tr w:rsidR="005F3A03" w:rsidRPr="005F3A03" w14:paraId="4DE8B9C1" w14:textId="77777777" w:rsidTr="004835CA">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EB88CBA"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68FB951C"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Concepto</w:t>
            </w:r>
          </w:p>
        </w:tc>
        <w:tc>
          <w:tcPr>
            <w:tcW w:w="4105" w:type="dxa"/>
            <w:gridSpan w:val="2"/>
            <w:tcBorders>
              <w:top w:val="single" w:sz="8" w:space="0" w:color="auto"/>
              <w:left w:val="nil"/>
              <w:bottom w:val="single" w:sz="8" w:space="0" w:color="auto"/>
              <w:right w:val="single" w:sz="8" w:space="0" w:color="000000"/>
            </w:tcBorders>
            <w:shd w:val="clear" w:color="000000" w:fill="203764"/>
            <w:vAlign w:val="center"/>
            <w:hideMark/>
          </w:tcPr>
          <w:p w14:paraId="16942F56"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Referencia</w:t>
            </w:r>
          </w:p>
        </w:tc>
      </w:tr>
      <w:tr w:rsidR="005F3A03" w:rsidRPr="006E5442" w14:paraId="61368C37" w14:textId="77777777" w:rsidTr="004835CA">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742AEDD6" w14:textId="77777777" w:rsidR="005F3A03" w:rsidRPr="005F3A03" w:rsidRDefault="005F3A03" w:rsidP="005F3A03">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2DF32AF2" w14:textId="77777777" w:rsidR="005F3A03" w:rsidRPr="005F3A03" w:rsidRDefault="005F3A03" w:rsidP="005F3A03">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64C357A9"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3506CEC1" w14:textId="77777777" w:rsidR="005F3A03" w:rsidRPr="005F3A03" w:rsidRDefault="005F3A03" w:rsidP="005F3A03">
            <w:pPr>
              <w:jc w:val="center"/>
              <w:rPr>
                <w:rFonts w:ascii="Arial Narrow" w:eastAsia="Times New Roman" w:hAnsi="Arial Narrow" w:cs="Calibri"/>
                <w:b/>
                <w:bCs/>
                <w:color w:val="FFFFFF"/>
                <w:sz w:val="22"/>
                <w:szCs w:val="22"/>
                <w:lang w:val="es-CR"/>
              </w:rPr>
            </w:pPr>
            <w:r w:rsidRPr="005F3A03">
              <w:rPr>
                <w:rFonts w:ascii="Arial Narrow" w:eastAsia="Times New Roman" w:hAnsi="Arial Narrow" w:cs="Calibri"/>
                <w:b/>
                <w:bCs/>
                <w:color w:val="FFFFFF"/>
                <w:sz w:val="22"/>
                <w:szCs w:val="22"/>
                <w:lang w:val="es-CR"/>
              </w:rPr>
              <w:t>Normativa técnica y disposiciones adicionales</w:t>
            </w:r>
          </w:p>
        </w:tc>
      </w:tr>
      <w:tr w:rsidR="005F3A03" w:rsidRPr="005F3A03" w14:paraId="28AF6A92" w14:textId="77777777" w:rsidTr="004835CA">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AE0C7A"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421466A"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31</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2B971CC9"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 xml:space="preserve"> </w:t>
            </w: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5F382169" w14:textId="77777777" w:rsidR="005F3A03" w:rsidRPr="005F3A03" w:rsidRDefault="005F3A03" w:rsidP="005F3A03">
            <w:pPr>
              <w:jc w:val="both"/>
              <w:rPr>
                <w:rFonts w:ascii="Arial Narrow" w:eastAsia="Times New Roman" w:hAnsi="Arial Narrow" w:cs="Calibri"/>
                <w:b/>
                <w:bCs/>
                <w:color w:val="000000"/>
                <w:sz w:val="22"/>
                <w:szCs w:val="22"/>
                <w:lang w:val="es-CR"/>
              </w:rPr>
            </w:pPr>
            <w:r w:rsidRPr="005F3A03">
              <w:rPr>
                <w:rFonts w:ascii="Arial Narrow" w:eastAsia="Times New Roman" w:hAnsi="Arial Narrow" w:cs="Calibri"/>
                <w:b/>
                <w:bCs/>
                <w:color w:val="000000"/>
                <w:sz w:val="22"/>
                <w:szCs w:val="22"/>
                <w:lang w:val="es-CR"/>
              </w:rPr>
              <w:t>Ausencia de medición fiable del resultado de prestaciones de servicios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7D61BC28" w14:textId="77777777" w:rsidR="005F3A03" w:rsidRDefault="005F3A03" w:rsidP="005F3A03">
            <w:pPr>
              <w:jc w:val="both"/>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lang w:val="es-CR"/>
              </w:rPr>
              <w:t xml:space="preserve"> </w:t>
            </w:r>
            <w:r w:rsidRPr="005F3A03">
              <w:rPr>
                <w:rFonts w:ascii="Arial Narrow" w:eastAsia="Times New Roman" w:hAnsi="Arial Narrow" w:cs="Calibri"/>
                <w:b/>
                <w:bCs/>
                <w:color w:val="000000"/>
                <w:sz w:val="22"/>
                <w:szCs w:val="22"/>
              </w:rPr>
              <w:t xml:space="preserve">NICSP N° 9, </w:t>
            </w:r>
          </w:p>
          <w:p w14:paraId="0766A38C" w14:textId="6832BBF6" w:rsidR="005F3A03" w:rsidRPr="005F3A03" w:rsidRDefault="005F3A03" w:rsidP="005F3A03">
            <w:pPr>
              <w:jc w:val="both"/>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Párrafo 25.</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079CE2A4" w14:textId="77777777" w:rsidR="005F3A03" w:rsidRPr="005F3A03" w:rsidRDefault="005F3A03" w:rsidP="005F3A03">
            <w:pP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DGCN</w:t>
            </w:r>
          </w:p>
        </w:tc>
      </w:tr>
    </w:tbl>
    <w:p w14:paraId="1496EDC0" w14:textId="77777777" w:rsidR="004D1712" w:rsidRDefault="004D1712" w:rsidP="0032280D">
      <w:pPr>
        <w:pStyle w:val="Default"/>
        <w:ind w:left="1134" w:hanging="1134"/>
        <w:jc w:val="both"/>
        <w:rPr>
          <w:b/>
          <w:bCs/>
          <w:sz w:val="22"/>
          <w:szCs w:val="22"/>
          <w:lang w:val="es-CR"/>
        </w:rPr>
      </w:pPr>
    </w:p>
    <w:p w14:paraId="7C55BD57" w14:textId="3F9243CB" w:rsidR="004835CA" w:rsidRDefault="004835CA" w:rsidP="004835CA">
      <w:pPr>
        <w:pStyle w:val="Default"/>
        <w:ind w:left="1134" w:hanging="1134"/>
        <w:jc w:val="both"/>
        <w:rPr>
          <w:rFonts w:eastAsia="Arial"/>
          <w:b/>
          <w:sz w:val="22"/>
          <w:szCs w:val="22"/>
        </w:rPr>
      </w:pPr>
      <w:r w:rsidRPr="00F02F9D">
        <w:rPr>
          <w:rFonts w:eastAsia="Arial"/>
          <w:b/>
          <w:sz w:val="22"/>
          <w:szCs w:val="22"/>
        </w:rPr>
        <w:t>Política Contable</w:t>
      </w:r>
    </w:p>
    <w:p w14:paraId="41C9F8AC" w14:textId="77777777" w:rsidR="004835CA" w:rsidRPr="00A2153D" w:rsidRDefault="004835CA" w:rsidP="0032280D">
      <w:pPr>
        <w:pStyle w:val="Default"/>
        <w:ind w:left="1134" w:hanging="1134"/>
        <w:jc w:val="both"/>
        <w:rPr>
          <w:b/>
          <w:bCs/>
          <w:sz w:val="22"/>
          <w:szCs w:val="22"/>
          <w:lang w:val="es-CR"/>
        </w:rPr>
      </w:pPr>
    </w:p>
    <w:p w14:paraId="0BCC2A4A" w14:textId="72F021E0" w:rsidR="004D1712" w:rsidRDefault="005F3A03" w:rsidP="0032280D">
      <w:pPr>
        <w:pStyle w:val="Default"/>
        <w:ind w:left="1134" w:hanging="1134"/>
        <w:jc w:val="both"/>
        <w:rPr>
          <w:sz w:val="22"/>
          <w:szCs w:val="22"/>
          <w:lang w:val="es-CR"/>
        </w:rPr>
      </w:pPr>
      <w:r>
        <w:rPr>
          <w:sz w:val="22"/>
          <w:szCs w:val="22"/>
          <w:lang w:val="es-CR"/>
        </w:rPr>
        <w:t>5.31.0.01</w:t>
      </w:r>
      <w:r>
        <w:rPr>
          <w:sz w:val="22"/>
          <w:szCs w:val="22"/>
          <w:lang w:val="es-CR"/>
        </w:rPr>
        <w:tab/>
      </w:r>
      <w:r w:rsidRPr="005F3A03">
        <w:rPr>
          <w:sz w:val="22"/>
          <w:szCs w:val="22"/>
          <w:lang w:val="es-CR"/>
        </w:rPr>
        <w:t xml:space="preserve">Cuando no se pueda estimar fiablemente el resultado de una transacción que implique la prestación de servicios y, por lo tanto, los ingresos deban ser reconocidos como tales sólo en la cuantía de los gastos reconocidos que se consideren </w:t>
      </w:r>
      <w:r w:rsidRPr="005F3A03">
        <w:rPr>
          <w:sz w:val="22"/>
          <w:szCs w:val="22"/>
          <w:lang w:val="es-CR"/>
        </w:rPr>
        <w:lastRenderedPageBreak/>
        <w:t>recuperables, dichos gastos se reconocerán como tales en el momento en que se incurren, independientemente del grado de terminación de la prestación del servicio.</w:t>
      </w:r>
    </w:p>
    <w:p w14:paraId="45B80576" w14:textId="77777777" w:rsidR="004835CA" w:rsidRPr="005F3A03" w:rsidRDefault="004835CA" w:rsidP="0032280D">
      <w:pPr>
        <w:pStyle w:val="Default"/>
        <w:ind w:left="1134" w:hanging="1134"/>
        <w:jc w:val="both"/>
        <w:rPr>
          <w:b/>
          <w:bCs/>
          <w:sz w:val="22"/>
          <w:szCs w:val="22"/>
          <w:lang w:val="es-CR"/>
        </w:rPr>
      </w:pPr>
    </w:p>
    <w:p w14:paraId="4EBF3A75" w14:textId="77777777" w:rsidR="004D1712" w:rsidRDefault="004D1712" w:rsidP="0032280D">
      <w:pPr>
        <w:pStyle w:val="Default"/>
        <w:ind w:left="1134" w:hanging="1134"/>
        <w:jc w:val="both"/>
        <w:rPr>
          <w:b/>
          <w:bCs/>
          <w:sz w:val="22"/>
          <w:szCs w:val="22"/>
          <w:lang w:val="es-CR"/>
        </w:rPr>
      </w:pPr>
    </w:p>
    <w:p w14:paraId="6E8592EC" w14:textId="77777777" w:rsidR="005F3A03" w:rsidRDefault="005F3A03" w:rsidP="0032280D">
      <w:pPr>
        <w:pStyle w:val="Default"/>
        <w:ind w:left="1134" w:hanging="1134"/>
        <w:jc w:val="both"/>
        <w:rPr>
          <w:b/>
          <w:bCs/>
          <w:sz w:val="22"/>
          <w:szCs w:val="22"/>
          <w:lang w:val="es-CR"/>
        </w:rPr>
      </w:pPr>
    </w:p>
    <w:tbl>
      <w:tblPr>
        <w:tblW w:w="9346" w:type="dxa"/>
        <w:tblLook w:val="04A0" w:firstRow="1" w:lastRow="0" w:firstColumn="1" w:lastColumn="0" w:noHBand="0" w:noVBand="1"/>
      </w:tblPr>
      <w:tblGrid>
        <w:gridCol w:w="416"/>
        <w:gridCol w:w="708"/>
        <w:gridCol w:w="426"/>
        <w:gridCol w:w="3692"/>
        <w:gridCol w:w="2251"/>
        <w:gridCol w:w="1853"/>
      </w:tblGrid>
      <w:tr w:rsidR="005F3A03" w:rsidRPr="005F3A03" w14:paraId="78FD2036" w14:textId="77777777" w:rsidTr="004835CA">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C7BA6DD"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6EBD48D2"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Concepto</w:t>
            </w:r>
          </w:p>
        </w:tc>
        <w:tc>
          <w:tcPr>
            <w:tcW w:w="4104" w:type="dxa"/>
            <w:gridSpan w:val="2"/>
            <w:tcBorders>
              <w:top w:val="single" w:sz="8" w:space="0" w:color="auto"/>
              <w:left w:val="nil"/>
              <w:bottom w:val="single" w:sz="8" w:space="0" w:color="auto"/>
              <w:right w:val="single" w:sz="8" w:space="0" w:color="000000"/>
            </w:tcBorders>
            <w:shd w:val="clear" w:color="000000" w:fill="203764"/>
            <w:vAlign w:val="center"/>
            <w:hideMark/>
          </w:tcPr>
          <w:p w14:paraId="6E9F86A3"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Referencia</w:t>
            </w:r>
          </w:p>
        </w:tc>
      </w:tr>
      <w:tr w:rsidR="005F3A03" w:rsidRPr="006E5442" w14:paraId="3108CCA6" w14:textId="77777777" w:rsidTr="004835CA">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21C9A158" w14:textId="77777777" w:rsidR="005F3A03" w:rsidRPr="005F3A03" w:rsidRDefault="005F3A03" w:rsidP="005F3A03">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4F3F6BD5" w14:textId="77777777" w:rsidR="005F3A03" w:rsidRPr="005F3A03" w:rsidRDefault="005F3A03" w:rsidP="005F3A03">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4F18B36E" w14:textId="77777777" w:rsidR="005F3A03" w:rsidRPr="005F3A03" w:rsidRDefault="005F3A03" w:rsidP="005F3A03">
            <w:pPr>
              <w:jc w:val="center"/>
              <w:rPr>
                <w:rFonts w:ascii="Arial Narrow" w:eastAsia="Times New Roman" w:hAnsi="Arial Narrow" w:cs="Calibri"/>
                <w:b/>
                <w:bCs/>
                <w:color w:val="FFFFFF"/>
                <w:sz w:val="22"/>
                <w:szCs w:val="22"/>
              </w:rPr>
            </w:pPr>
            <w:r w:rsidRPr="005F3A03">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01A84FC4" w14:textId="77777777" w:rsidR="005F3A03" w:rsidRPr="005F3A03" w:rsidRDefault="005F3A03" w:rsidP="005F3A03">
            <w:pPr>
              <w:jc w:val="center"/>
              <w:rPr>
                <w:rFonts w:ascii="Arial Narrow" w:eastAsia="Times New Roman" w:hAnsi="Arial Narrow" w:cs="Calibri"/>
                <w:b/>
                <w:bCs/>
                <w:color w:val="FFFFFF"/>
                <w:sz w:val="22"/>
                <w:szCs w:val="22"/>
                <w:lang w:val="es-CR"/>
              </w:rPr>
            </w:pPr>
            <w:r w:rsidRPr="005F3A03">
              <w:rPr>
                <w:rFonts w:ascii="Arial Narrow" w:eastAsia="Times New Roman" w:hAnsi="Arial Narrow" w:cs="Calibri"/>
                <w:b/>
                <w:bCs/>
                <w:color w:val="FFFFFF"/>
                <w:sz w:val="22"/>
                <w:szCs w:val="22"/>
                <w:lang w:val="es-CR"/>
              </w:rPr>
              <w:t>Normativa técnica y disposiciones adicionales</w:t>
            </w:r>
          </w:p>
        </w:tc>
      </w:tr>
      <w:tr w:rsidR="005F3A03" w:rsidRPr="005F3A03" w14:paraId="62A204DF" w14:textId="77777777" w:rsidTr="004835CA">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9FC9DB"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20FBBD3"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32</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0A566F7" w14:textId="77777777" w:rsidR="005F3A03" w:rsidRPr="005F3A03" w:rsidRDefault="005F3A03" w:rsidP="005F3A03">
            <w:pPr>
              <w:jc w:val="cente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 xml:space="preserve"> </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146BFF5B" w14:textId="77777777" w:rsidR="005F3A03" w:rsidRPr="005F3A03" w:rsidRDefault="005F3A03" w:rsidP="005F3A03">
            <w:pPr>
              <w:jc w:val="both"/>
              <w:rPr>
                <w:rFonts w:ascii="Arial Narrow" w:eastAsia="Times New Roman" w:hAnsi="Arial Narrow" w:cs="Calibri"/>
                <w:b/>
                <w:bCs/>
                <w:color w:val="000000"/>
                <w:sz w:val="22"/>
                <w:szCs w:val="22"/>
                <w:lang w:val="es-CR"/>
              </w:rPr>
            </w:pPr>
            <w:r w:rsidRPr="005F3A03">
              <w:rPr>
                <w:rFonts w:ascii="Arial Narrow" w:eastAsia="Times New Roman" w:hAnsi="Arial Narrow" w:cs="Calibri"/>
                <w:b/>
                <w:bCs/>
                <w:color w:val="000000"/>
                <w:sz w:val="22"/>
                <w:szCs w:val="22"/>
                <w:lang w:val="es-CR"/>
              </w:rPr>
              <w:t>Resultados por ventas de activo fijo (propiedades de inversión)</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770CE40A" w14:textId="3981940F" w:rsidR="005F3A03" w:rsidRDefault="005F3A03" w:rsidP="005F3A03">
            <w:pPr>
              <w:jc w:val="both"/>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 xml:space="preserve">NICSP N° 16, </w:t>
            </w:r>
          </w:p>
          <w:p w14:paraId="0E2FEFA6" w14:textId="15624C11" w:rsidR="005F3A03" w:rsidRPr="005F3A03" w:rsidRDefault="005F3A03" w:rsidP="005F3A03">
            <w:pPr>
              <w:jc w:val="both"/>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Párrafo 80.</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60095F83" w14:textId="77777777" w:rsidR="005F3A03" w:rsidRPr="005F3A03" w:rsidRDefault="005F3A03" w:rsidP="005F3A03">
            <w:pPr>
              <w:rPr>
                <w:rFonts w:ascii="Arial Narrow" w:eastAsia="Times New Roman" w:hAnsi="Arial Narrow" w:cs="Calibri"/>
                <w:b/>
                <w:bCs/>
                <w:color w:val="000000"/>
                <w:sz w:val="22"/>
                <w:szCs w:val="22"/>
              </w:rPr>
            </w:pPr>
            <w:r w:rsidRPr="005F3A03">
              <w:rPr>
                <w:rFonts w:ascii="Arial Narrow" w:eastAsia="Times New Roman" w:hAnsi="Arial Narrow" w:cs="Calibri"/>
                <w:b/>
                <w:bCs/>
                <w:color w:val="000000"/>
                <w:sz w:val="22"/>
                <w:szCs w:val="22"/>
              </w:rPr>
              <w:t> </w:t>
            </w:r>
          </w:p>
        </w:tc>
      </w:tr>
    </w:tbl>
    <w:p w14:paraId="0B9FC853" w14:textId="77777777" w:rsidR="005F3A03" w:rsidRDefault="005F3A03" w:rsidP="0032280D">
      <w:pPr>
        <w:pStyle w:val="Default"/>
        <w:ind w:left="1134" w:hanging="1134"/>
        <w:jc w:val="both"/>
        <w:rPr>
          <w:b/>
          <w:bCs/>
          <w:sz w:val="22"/>
          <w:szCs w:val="22"/>
          <w:lang w:val="es-CR"/>
        </w:rPr>
      </w:pPr>
    </w:p>
    <w:p w14:paraId="5C1694E6" w14:textId="6883FC03" w:rsidR="004835CA" w:rsidRDefault="004835CA" w:rsidP="004835CA">
      <w:pPr>
        <w:pStyle w:val="Default"/>
        <w:ind w:left="1134" w:hanging="1134"/>
        <w:jc w:val="both"/>
        <w:rPr>
          <w:rFonts w:eastAsia="Arial"/>
          <w:b/>
          <w:sz w:val="22"/>
          <w:szCs w:val="22"/>
        </w:rPr>
      </w:pPr>
      <w:r w:rsidRPr="00F02F9D">
        <w:rPr>
          <w:rFonts w:eastAsia="Arial"/>
          <w:b/>
          <w:sz w:val="22"/>
          <w:szCs w:val="22"/>
        </w:rPr>
        <w:t>Política Contable</w:t>
      </w:r>
    </w:p>
    <w:p w14:paraId="4EF30513" w14:textId="77777777" w:rsidR="004835CA" w:rsidRDefault="004835CA" w:rsidP="0032280D">
      <w:pPr>
        <w:pStyle w:val="Default"/>
        <w:ind w:left="1134" w:hanging="1134"/>
        <w:jc w:val="both"/>
        <w:rPr>
          <w:b/>
          <w:bCs/>
          <w:sz w:val="22"/>
          <w:szCs w:val="22"/>
          <w:lang w:val="es-CR"/>
        </w:rPr>
      </w:pPr>
    </w:p>
    <w:p w14:paraId="7ECE0E90" w14:textId="152B6AE8" w:rsidR="005F3A03" w:rsidRDefault="005F3A03" w:rsidP="0032280D">
      <w:pPr>
        <w:pStyle w:val="Default"/>
        <w:ind w:left="1134" w:hanging="1134"/>
        <w:jc w:val="both"/>
        <w:rPr>
          <w:sz w:val="22"/>
          <w:szCs w:val="22"/>
          <w:lang w:val="es-CR"/>
        </w:rPr>
      </w:pPr>
      <w:r>
        <w:rPr>
          <w:sz w:val="22"/>
          <w:szCs w:val="22"/>
          <w:lang w:val="es-CR"/>
        </w:rPr>
        <w:t>5.32.0.01</w:t>
      </w:r>
      <w:r>
        <w:rPr>
          <w:sz w:val="22"/>
          <w:szCs w:val="22"/>
          <w:lang w:val="es-CR"/>
        </w:rPr>
        <w:tab/>
      </w:r>
      <w:r w:rsidRPr="005F3A03">
        <w:rPr>
          <w:sz w:val="22"/>
          <w:szCs w:val="22"/>
          <w:lang w:val="es-CR"/>
        </w:rPr>
        <w:t>El resultado (positivo o negativo) obtenido como producto del retiro o disposición de una propiedad de inversión se determinará como la diferencia entre los ingresos netos de la transacción y el importe en libros del activo, y se reconocerá en el resultado del período en que tenga lugar el retiro o la disposición, a menos que sea un arrendamiento financiero, donde se aplicarán las normas relativas a reconocimiento del resultado obtenido por un arrendamiento financiero.</w:t>
      </w:r>
    </w:p>
    <w:p w14:paraId="36C0C21A" w14:textId="77777777" w:rsidR="000B287D" w:rsidRPr="005F3A03" w:rsidRDefault="000B287D" w:rsidP="0032280D">
      <w:pPr>
        <w:pStyle w:val="Default"/>
        <w:ind w:left="1134" w:hanging="1134"/>
        <w:jc w:val="both"/>
        <w:rPr>
          <w:b/>
          <w:bCs/>
          <w:sz w:val="22"/>
          <w:szCs w:val="22"/>
          <w:lang w:val="es-CR"/>
        </w:rPr>
      </w:pPr>
    </w:p>
    <w:p w14:paraId="38D4A21A" w14:textId="77777777" w:rsidR="005F3A03" w:rsidRDefault="005F3A03" w:rsidP="0032280D">
      <w:pPr>
        <w:pStyle w:val="Default"/>
        <w:ind w:left="1134" w:hanging="1134"/>
        <w:jc w:val="both"/>
        <w:rPr>
          <w:b/>
          <w:bCs/>
          <w:sz w:val="22"/>
          <w:szCs w:val="22"/>
          <w:lang w:val="es-CR"/>
        </w:rPr>
      </w:pPr>
    </w:p>
    <w:p w14:paraId="637389F1" w14:textId="77777777" w:rsidR="005F3A03" w:rsidRDefault="005F3A03" w:rsidP="0032280D">
      <w:pPr>
        <w:pStyle w:val="Default"/>
        <w:ind w:left="1134" w:hanging="1134"/>
        <w:jc w:val="both"/>
        <w:rPr>
          <w:b/>
          <w:bCs/>
          <w:sz w:val="22"/>
          <w:szCs w:val="22"/>
          <w:lang w:val="es-CR"/>
        </w:rPr>
      </w:pPr>
    </w:p>
    <w:tbl>
      <w:tblPr>
        <w:tblW w:w="9346" w:type="dxa"/>
        <w:tblLayout w:type="fixed"/>
        <w:tblLook w:val="04A0" w:firstRow="1" w:lastRow="0" w:firstColumn="1" w:lastColumn="0" w:noHBand="0" w:noVBand="1"/>
      </w:tblPr>
      <w:tblGrid>
        <w:gridCol w:w="416"/>
        <w:gridCol w:w="708"/>
        <w:gridCol w:w="426"/>
        <w:gridCol w:w="3688"/>
        <w:gridCol w:w="2254"/>
        <w:gridCol w:w="1854"/>
      </w:tblGrid>
      <w:tr w:rsidR="00862864" w:rsidRPr="00862864" w14:paraId="35A10CFE" w14:textId="77777777" w:rsidTr="000B28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1C8B429" w14:textId="77777777" w:rsidR="00862864" w:rsidRPr="00862864" w:rsidRDefault="00862864" w:rsidP="00862864">
            <w:pPr>
              <w:jc w:val="center"/>
              <w:rPr>
                <w:rFonts w:ascii="Arial Narrow" w:eastAsia="Times New Roman" w:hAnsi="Arial Narrow" w:cs="Calibri"/>
                <w:b/>
                <w:bCs/>
                <w:color w:val="FFFFFF"/>
                <w:sz w:val="22"/>
                <w:szCs w:val="22"/>
              </w:rPr>
            </w:pPr>
            <w:r w:rsidRPr="00862864">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4BB46EB9" w14:textId="77777777" w:rsidR="00862864" w:rsidRPr="00862864" w:rsidRDefault="00862864" w:rsidP="00862864">
            <w:pPr>
              <w:jc w:val="center"/>
              <w:rPr>
                <w:rFonts w:ascii="Arial Narrow" w:eastAsia="Times New Roman" w:hAnsi="Arial Narrow" w:cs="Calibri"/>
                <w:b/>
                <w:bCs/>
                <w:color w:val="FFFFFF"/>
                <w:sz w:val="22"/>
                <w:szCs w:val="22"/>
              </w:rPr>
            </w:pPr>
            <w:r w:rsidRPr="00862864">
              <w:rPr>
                <w:rFonts w:ascii="Arial Narrow" w:eastAsia="Times New Roman" w:hAnsi="Arial Narrow" w:cs="Calibri"/>
                <w:b/>
                <w:bCs/>
                <w:color w:val="FFFFFF"/>
                <w:sz w:val="22"/>
                <w:szCs w:val="22"/>
              </w:rPr>
              <w:t>Concepto</w:t>
            </w:r>
          </w:p>
        </w:tc>
        <w:tc>
          <w:tcPr>
            <w:tcW w:w="4108" w:type="dxa"/>
            <w:gridSpan w:val="2"/>
            <w:tcBorders>
              <w:top w:val="single" w:sz="8" w:space="0" w:color="auto"/>
              <w:left w:val="nil"/>
              <w:bottom w:val="single" w:sz="8" w:space="0" w:color="auto"/>
              <w:right w:val="single" w:sz="8" w:space="0" w:color="000000"/>
            </w:tcBorders>
            <w:shd w:val="clear" w:color="000000" w:fill="203764"/>
            <w:vAlign w:val="center"/>
            <w:hideMark/>
          </w:tcPr>
          <w:p w14:paraId="64088346" w14:textId="77777777" w:rsidR="00862864" w:rsidRPr="00862864" w:rsidRDefault="00862864" w:rsidP="00862864">
            <w:pPr>
              <w:jc w:val="center"/>
              <w:rPr>
                <w:rFonts w:ascii="Arial Narrow" w:eastAsia="Times New Roman" w:hAnsi="Arial Narrow" w:cs="Calibri"/>
                <w:b/>
                <w:bCs/>
                <w:color w:val="FFFFFF"/>
                <w:sz w:val="22"/>
                <w:szCs w:val="22"/>
              </w:rPr>
            </w:pPr>
            <w:r w:rsidRPr="00862864">
              <w:rPr>
                <w:rFonts w:ascii="Arial Narrow" w:eastAsia="Times New Roman" w:hAnsi="Arial Narrow" w:cs="Calibri"/>
                <w:b/>
                <w:bCs/>
                <w:color w:val="FFFFFF"/>
                <w:sz w:val="22"/>
                <w:szCs w:val="22"/>
              </w:rPr>
              <w:t>Referencia</w:t>
            </w:r>
          </w:p>
        </w:tc>
      </w:tr>
      <w:tr w:rsidR="00862864" w:rsidRPr="006E5442" w14:paraId="0C49A84A" w14:textId="77777777" w:rsidTr="000B28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7E7C29B6" w14:textId="77777777" w:rsidR="00862864" w:rsidRPr="00862864" w:rsidRDefault="00862864" w:rsidP="00862864">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7C592938" w14:textId="77777777" w:rsidR="00862864" w:rsidRPr="00862864" w:rsidRDefault="00862864" w:rsidP="00862864">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038F3E29" w14:textId="77777777" w:rsidR="00862864" w:rsidRPr="00862864" w:rsidRDefault="00862864" w:rsidP="00862864">
            <w:pPr>
              <w:jc w:val="center"/>
              <w:rPr>
                <w:rFonts w:ascii="Arial Narrow" w:eastAsia="Times New Roman" w:hAnsi="Arial Narrow" w:cs="Calibri"/>
                <w:b/>
                <w:bCs/>
                <w:color w:val="FFFFFF"/>
                <w:sz w:val="22"/>
                <w:szCs w:val="22"/>
              </w:rPr>
            </w:pPr>
            <w:r w:rsidRPr="00862864">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29506544" w14:textId="77777777" w:rsidR="00862864" w:rsidRPr="00862864" w:rsidRDefault="00862864" w:rsidP="00862864">
            <w:pPr>
              <w:jc w:val="center"/>
              <w:rPr>
                <w:rFonts w:ascii="Arial Narrow" w:eastAsia="Times New Roman" w:hAnsi="Arial Narrow" w:cs="Calibri"/>
                <w:b/>
                <w:bCs/>
                <w:color w:val="FFFFFF"/>
                <w:sz w:val="22"/>
                <w:szCs w:val="22"/>
                <w:lang w:val="es-CR"/>
              </w:rPr>
            </w:pPr>
            <w:r w:rsidRPr="00862864">
              <w:rPr>
                <w:rFonts w:ascii="Arial Narrow" w:eastAsia="Times New Roman" w:hAnsi="Arial Narrow" w:cs="Calibri"/>
                <w:b/>
                <w:bCs/>
                <w:color w:val="FFFFFF"/>
                <w:sz w:val="22"/>
                <w:szCs w:val="22"/>
                <w:lang w:val="es-CR"/>
              </w:rPr>
              <w:t>Normativa técnica y disposiciones adicionales</w:t>
            </w:r>
          </w:p>
        </w:tc>
      </w:tr>
      <w:tr w:rsidR="00862864" w:rsidRPr="00862864" w14:paraId="318234A3" w14:textId="77777777" w:rsidTr="000B287D">
        <w:trPr>
          <w:trHeight w:val="113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C9D669" w14:textId="77777777" w:rsidR="00862864" w:rsidRPr="00862864" w:rsidRDefault="00862864" w:rsidP="00862864">
            <w:pPr>
              <w:jc w:val="center"/>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A331E1C" w14:textId="77777777" w:rsidR="00862864" w:rsidRPr="00862864" w:rsidRDefault="00862864" w:rsidP="00862864">
            <w:pPr>
              <w:jc w:val="center"/>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33</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616F934" w14:textId="77777777" w:rsidR="00862864" w:rsidRPr="00862864" w:rsidRDefault="00862864" w:rsidP="00862864">
            <w:pPr>
              <w:jc w:val="center"/>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 xml:space="preserve">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6A632DCF" w14:textId="77777777" w:rsidR="00862864" w:rsidRPr="00862864" w:rsidRDefault="00862864" w:rsidP="00862864">
            <w:pPr>
              <w:jc w:val="both"/>
              <w:rPr>
                <w:rFonts w:ascii="Arial Narrow" w:eastAsia="Times New Roman" w:hAnsi="Arial Narrow" w:cs="Calibri"/>
                <w:b/>
                <w:bCs/>
                <w:color w:val="000000"/>
                <w:sz w:val="22"/>
                <w:szCs w:val="22"/>
                <w:lang w:val="es-CR"/>
              </w:rPr>
            </w:pPr>
            <w:r w:rsidRPr="00862864">
              <w:rPr>
                <w:rFonts w:ascii="Arial Narrow" w:eastAsia="Times New Roman" w:hAnsi="Arial Narrow" w:cs="Calibri"/>
                <w:b/>
                <w:bCs/>
                <w:color w:val="000000"/>
                <w:sz w:val="22"/>
                <w:szCs w:val="22"/>
                <w:lang w:val="es-CR"/>
              </w:rPr>
              <w:t>Resultado de la baja en cuentas de activo fijo</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01A4E04F" w14:textId="77777777" w:rsidR="00862864" w:rsidRDefault="00862864" w:rsidP="00862864">
            <w:pPr>
              <w:jc w:val="both"/>
              <w:rPr>
                <w:rFonts w:ascii="Arial Narrow" w:eastAsia="Times New Roman" w:hAnsi="Arial Narrow" w:cs="Calibri"/>
                <w:b/>
                <w:bCs/>
                <w:color w:val="000000"/>
                <w:sz w:val="22"/>
                <w:szCs w:val="22"/>
                <w:lang w:val="es-CR"/>
              </w:rPr>
            </w:pPr>
            <w:r w:rsidRPr="00862864">
              <w:rPr>
                <w:rFonts w:ascii="Arial Narrow" w:eastAsia="Times New Roman" w:hAnsi="Arial Narrow" w:cs="Calibri"/>
                <w:b/>
                <w:bCs/>
                <w:color w:val="000000"/>
                <w:sz w:val="22"/>
                <w:szCs w:val="22"/>
                <w:lang w:val="es-CR"/>
              </w:rPr>
              <w:t xml:space="preserve">NICSP N° 16, </w:t>
            </w:r>
          </w:p>
          <w:p w14:paraId="16A48BDC" w14:textId="77777777" w:rsidR="00862864" w:rsidRDefault="00862864" w:rsidP="00862864">
            <w:pPr>
              <w:jc w:val="both"/>
              <w:rPr>
                <w:rFonts w:ascii="Arial Narrow" w:eastAsia="Times New Roman" w:hAnsi="Arial Narrow" w:cs="Calibri"/>
                <w:b/>
                <w:bCs/>
                <w:color w:val="000000"/>
                <w:sz w:val="22"/>
                <w:szCs w:val="22"/>
                <w:lang w:val="es-CR"/>
              </w:rPr>
            </w:pPr>
            <w:r w:rsidRPr="00862864">
              <w:rPr>
                <w:rFonts w:ascii="Arial Narrow" w:eastAsia="Times New Roman" w:hAnsi="Arial Narrow" w:cs="Calibri"/>
                <w:b/>
                <w:bCs/>
                <w:color w:val="000000"/>
                <w:sz w:val="22"/>
                <w:szCs w:val="22"/>
                <w:lang w:val="es-CR"/>
              </w:rPr>
              <w:t>Párrafos 80 y 81.</w:t>
            </w:r>
          </w:p>
          <w:p w14:paraId="34C1FC41" w14:textId="77777777" w:rsidR="00862864" w:rsidRDefault="00862864" w:rsidP="00862864">
            <w:pPr>
              <w:jc w:val="both"/>
              <w:rPr>
                <w:rFonts w:ascii="Arial Narrow" w:eastAsia="Times New Roman" w:hAnsi="Arial Narrow" w:cs="Calibri"/>
                <w:b/>
                <w:bCs/>
                <w:color w:val="000000"/>
                <w:sz w:val="22"/>
                <w:szCs w:val="22"/>
                <w:lang w:val="es-CR"/>
              </w:rPr>
            </w:pPr>
            <w:r w:rsidRPr="00862864">
              <w:rPr>
                <w:rFonts w:ascii="Arial Narrow" w:eastAsia="Times New Roman" w:hAnsi="Arial Narrow" w:cs="Calibri"/>
                <w:b/>
                <w:bCs/>
                <w:color w:val="000000"/>
                <w:sz w:val="22"/>
                <w:szCs w:val="22"/>
                <w:lang w:val="es-CR"/>
              </w:rPr>
              <w:t xml:space="preserve">NICSP Nº 17, </w:t>
            </w:r>
          </w:p>
          <w:p w14:paraId="79E14A05" w14:textId="37F107B8" w:rsidR="00862864" w:rsidRPr="00862864" w:rsidRDefault="00862864" w:rsidP="00862864">
            <w:pPr>
              <w:jc w:val="both"/>
              <w:rPr>
                <w:rFonts w:ascii="Arial Narrow" w:eastAsia="Times New Roman" w:hAnsi="Arial Narrow" w:cs="Calibri"/>
                <w:b/>
                <w:bCs/>
                <w:color w:val="000000"/>
                <w:sz w:val="22"/>
                <w:szCs w:val="22"/>
                <w:lang w:val="es-CR"/>
              </w:rPr>
            </w:pPr>
            <w:r w:rsidRPr="00862864">
              <w:rPr>
                <w:rFonts w:ascii="Arial Narrow" w:eastAsia="Times New Roman" w:hAnsi="Arial Narrow" w:cs="Calibri"/>
                <w:b/>
                <w:bCs/>
                <w:color w:val="000000"/>
                <w:sz w:val="22"/>
                <w:szCs w:val="22"/>
                <w:lang w:val="es-CR"/>
              </w:rPr>
              <w:t>Párrafos 83, 86 y 87.</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52E18A44" w14:textId="77777777" w:rsidR="00862864" w:rsidRPr="00862864" w:rsidRDefault="00862864" w:rsidP="00862864">
            <w:pPr>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DGCN</w:t>
            </w:r>
          </w:p>
        </w:tc>
      </w:tr>
    </w:tbl>
    <w:p w14:paraId="5CA9D4A0" w14:textId="77777777" w:rsidR="005F3A03" w:rsidRDefault="005F3A03" w:rsidP="0032280D">
      <w:pPr>
        <w:pStyle w:val="Default"/>
        <w:ind w:left="1134" w:hanging="1134"/>
        <w:jc w:val="both"/>
        <w:rPr>
          <w:b/>
          <w:bCs/>
          <w:sz w:val="22"/>
          <w:szCs w:val="22"/>
          <w:lang w:val="es-CR"/>
        </w:rPr>
      </w:pPr>
    </w:p>
    <w:p w14:paraId="5D7120D8" w14:textId="7544E97A" w:rsidR="000B287D" w:rsidRDefault="000B287D" w:rsidP="000B287D">
      <w:pPr>
        <w:pStyle w:val="Default"/>
        <w:ind w:left="1134" w:hanging="1134"/>
        <w:jc w:val="both"/>
        <w:rPr>
          <w:rFonts w:eastAsia="Arial"/>
          <w:b/>
          <w:sz w:val="22"/>
          <w:szCs w:val="22"/>
        </w:rPr>
      </w:pPr>
      <w:r w:rsidRPr="00F02F9D">
        <w:rPr>
          <w:rFonts w:eastAsia="Arial"/>
          <w:b/>
          <w:sz w:val="22"/>
          <w:szCs w:val="22"/>
        </w:rPr>
        <w:t>Política Contable</w:t>
      </w:r>
    </w:p>
    <w:p w14:paraId="1EFFFBF1" w14:textId="77777777" w:rsidR="000B287D" w:rsidRDefault="000B287D" w:rsidP="0032280D">
      <w:pPr>
        <w:pStyle w:val="Default"/>
        <w:ind w:left="1134" w:hanging="1134"/>
        <w:jc w:val="both"/>
        <w:rPr>
          <w:b/>
          <w:bCs/>
          <w:sz w:val="22"/>
          <w:szCs w:val="22"/>
          <w:lang w:val="es-CR"/>
        </w:rPr>
      </w:pPr>
    </w:p>
    <w:p w14:paraId="7354739B" w14:textId="4C1E7744" w:rsidR="00862864" w:rsidRDefault="00862864" w:rsidP="0032280D">
      <w:pPr>
        <w:pStyle w:val="Default"/>
        <w:ind w:left="1134" w:hanging="1134"/>
        <w:jc w:val="both"/>
        <w:rPr>
          <w:sz w:val="22"/>
          <w:szCs w:val="22"/>
          <w:lang w:val="es-CR"/>
        </w:rPr>
      </w:pPr>
      <w:r>
        <w:rPr>
          <w:sz w:val="22"/>
          <w:szCs w:val="22"/>
          <w:lang w:val="es-CR"/>
        </w:rPr>
        <w:t>5.33.0.01</w:t>
      </w:r>
      <w:r>
        <w:rPr>
          <w:sz w:val="22"/>
          <w:szCs w:val="22"/>
          <w:lang w:val="es-CR"/>
        </w:rPr>
        <w:tab/>
      </w:r>
      <w:r w:rsidRPr="00862864">
        <w:rPr>
          <w:sz w:val="22"/>
          <w:szCs w:val="22"/>
          <w:lang w:val="es-CR"/>
        </w:rPr>
        <w:t>El resultado positivo o negativo que surja por dar de baja un elemento de propiedades, planta y equipo o de propiedades de inversión, se incluirá en el resultado en los términos desarrollados en el Capítulo “Ingresos” del presente PGCN, considerando asimismo que, para el caso de disposición a plazo, deberá considerarse como precio de venta a su precio equivalente de contado.</w:t>
      </w:r>
    </w:p>
    <w:p w14:paraId="6428A12E" w14:textId="77777777" w:rsidR="000B287D" w:rsidRDefault="000B287D" w:rsidP="0032280D">
      <w:pPr>
        <w:pStyle w:val="Default"/>
        <w:ind w:left="1134" w:hanging="1134"/>
        <w:jc w:val="both"/>
        <w:rPr>
          <w:sz w:val="22"/>
          <w:szCs w:val="22"/>
          <w:lang w:val="es-CR"/>
        </w:rPr>
      </w:pPr>
    </w:p>
    <w:p w14:paraId="2595303C" w14:textId="77777777" w:rsidR="000B287D" w:rsidRPr="00862864" w:rsidRDefault="000B287D" w:rsidP="0032280D">
      <w:pPr>
        <w:pStyle w:val="Default"/>
        <w:ind w:left="1134" w:hanging="1134"/>
        <w:jc w:val="both"/>
        <w:rPr>
          <w:b/>
          <w:bCs/>
          <w:sz w:val="22"/>
          <w:szCs w:val="22"/>
          <w:lang w:val="es-CR"/>
        </w:rPr>
      </w:pPr>
    </w:p>
    <w:p w14:paraId="070A3F28" w14:textId="77777777" w:rsidR="00862864" w:rsidRDefault="00862864" w:rsidP="0032280D">
      <w:pPr>
        <w:pStyle w:val="Default"/>
        <w:ind w:left="1134" w:hanging="1134"/>
        <w:jc w:val="both"/>
        <w:rPr>
          <w:b/>
          <w:bCs/>
          <w:sz w:val="22"/>
          <w:szCs w:val="22"/>
          <w:lang w:val="es-CR"/>
        </w:rPr>
      </w:pPr>
    </w:p>
    <w:tbl>
      <w:tblPr>
        <w:tblW w:w="9346" w:type="dxa"/>
        <w:tblLook w:val="04A0" w:firstRow="1" w:lastRow="0" w:firstColumn="1" w:lastColumn="0" w:noHBand="0" w:noVBand="1"/>
      </w:tblPr>
      <w:tblGrid>
        <w:gridCol w:w="416"/>
        <w:gridCol w:w="708"/>
        <w:gridCol w:w="426"/>
        <w:gridCol w:w="3688"/>
        <w:gridCol w:w="2254"/>
        <w:gridCol w:w="1854"/>
      </w:tblGrid>
      <w:tr w:rsidR="00862864" w:rsidRPr="00862864" w14:paraId="00C51EC2" w14:textId="77777777" w:rsidTr="000B28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CA75F94" w14:textId="77777777" w:rsidR="00862864" w:rsidRPr="00862864" w:rsidRDefault="00862864" w:rsidP="00862864">
            <w:pPr>
              <w:jc w:val="center"/>
              <w:rPr>
                <w:rFonts w:ascii="Arial Narrow" w:eastAsia="Times New Roman" w:hAnsi="Arial Narrow" w:cs="Calibri"/>
                <w:b/>
                <w:bCs/>
                <w:color w:val="FFFFFF"/>
                <w:sz w:val="22"/>
                <w:szCs w:val="22"/>
              </w:rPr>
            </w:pPr>
            <w:r w:rsidRPr="00862864">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5C0A7AB8" w14:textId="77777777" w:rsidR="00862864" w:rsidRPr="00862864" w:rsidRDefault="00862864" w:rsidP="00862864">
            <w:pPr>
              <w:jc w:val="center"/>
              <w:rPr>
                <w:rFonts w:ascii="Arial Narrow" w:eastAsia="Times New Roman" w:hAnsi="Arial Narrow" w:cs="Calibri"/>
                <w:b/>
                <w:bCs/>
                <w:color w:val="FFFFFF"/>
                <w:sz w:val="22"/>
                <w:szCs w:val="22"/>
              </w:rPr>
            </w:pPr>
            <w:r w:rsidRPr="00862864">
              <w:rPr>
                <w:rFonts w:ascii="Arial Narrow" w:eastAsia="Times New Roman" w:hAnsi="Arial Narrow" w:cs="Calibri"/>
                <w:b/>
                <w:bCs/>
                <w:color w:val="FFFFFF"/>
                <w:sz w:val="22"/>
                <w:szCs w:val="22"/>
              </w:rPr>
              <w:t>Concepto</w:t>
            </w:r>
          </w:p>
        </w:tc>
        <w:tc>
          <w:tcPr>
            <w:tcW w:w="4108" w:type="dxa"/>
            <w:gridSpan w:val="2"/>
            <w:tcBorders>
              <w:top w:val="single" w:sz="8" w:space="0" w:color="auto"/>
              <w:left w:val="nil"/>
              <w:bottom w:val="single" w:sz="8" w:space="0" w:color="auto"/>
              <w:right w:val="single" w:sz="8" w:space="0" w:color="000000"/>
            </w:tcBorders>
            <w:shd w:val="clear" w:color="000000" w:fill="203764"/>
            <w:vAlign w:val="center"/>
            <w:hideMark/>
          </w:tcPr>
          <w:p w14:paraId="1912C966" w14:textId="77777777" w:rsidR="00862864" w:rsidRPr="00862864" w:rsidRDefault="00862864" w:rsidP="00862864">
            <w:pPr>
              <w:jc w:val="center"/>
              <w:rPr>
                <w:rFonts w:ascii="Arial Narrow" w:eastAsia="Times New Roman" w:hAnsi="Arial Narrow" w:cs="Calibri"/>
                <w:b/>
                <w:bCs/>
                <w:color w:val="FFFFFF"/>
                <w:sz w:val="22"/>
                <w:szCs w:val="22"/>
              </w:rPr>
            </w:pPr>
            <w:r w:rsidRPr="00862864">
              <w:rPr>
                <w:rFonts w:ascii="Arial Narrow" w:eastAsia="Times New Roman" w:hAnsi="Arial Narrow" w:cs="Calibri"/>
                <w:b/>
                <w:bCs/>
                <w:color w:val="FFFFFF"/>
                <w:sz w:val="22"/>
                <w:szCs w:val="22"/>
              </w:rPr>
              <w:t>Referencia</w:t>
            </w:r>
          </w:p>
        </w:tc>
      </w:tr>
      <w:tr w:rsidR="00862864" w:rsidRPr="006E5442" w14:paraId="3E50ABC1" w14:textId="77777777" w:rsidTr="000B28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25399DA5" w14:textId="77777777" w:rsidR="00862864" w:rsidRPr="00862864" w:rsidRDefault="00862864" w:rsidP="00862864">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2E617A04" w14:textId="77777777" w:rsidR="00862864" w:rsidRPr="00862864" w:rsidRDefault="00862864" w:rsidP="00862864">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6C92BDD6" w14:textId="77777777" w:rsidR="00862864" w:rsidRPr="00862864" w:rsidRDefault="00862864" w:rsidP="00862864">
            <w:pPr>
              <w:jc w:val="center"/>
              <w:rPr>
                <w:rFonts w:ascii="Arial Narrow" w:eastAsia="Times New Roman" w:hAnsi="Arial Narrow" w:cs="Calibri"/>
                <w:b/>
                <w:bCs/>
                <w:color w:val="FFFFFF"/>
                <w:sz w:val="22"/>
                <w:szCs w:val="22"/>
              </w:rPr>
            </w:pPr>
            <w:r w:rsidRPr="00862864">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54899CC9" w14:textId="77777777" w:rsidR="00862864" w:rsidRPr="00862864" w:rsidRDefault="00862864" w:rsidP="00862864">
            <w:pPr>
              <w:jc w:val="center"/>
              <w:rPr>
                <w:rFonts w:ascii="Arial Narrow" w:eastAsia="Times New Roman" w:hAnsi="Arial Narrow" w:cs="Calibri"/>
                <w:b/>
                <w:bCs/>
                <w:color w:val="FFFFFF"/>
                <w:sz w:val="22"/>
                <w:szCs w:val="22"/>
                <w:lang w:val="es-CR"/>
              </w:rPr>
            </w:pPr>
            <w:r w:rsidRPr="00862864">
              <w:rPr>
                <w:rFonts w:ascii="Arial Narrow" w:eastAsia="Times New Roman" w:hAnsi="Arial Narrow" w:cs="Calibri"/>
                <w:b/>
                <w:bCs/>
                <w:color w:val="FFFFFF"/>
                <w:sz w:val="22"/>
                <w:szCs w:val="22"/>
                <w:lang w:val="es-CR"/>
              </w:rPr>
              <w:t>Normativa técnica y disposiciones adicionales</w:t>
            </w:r>
          </w:p>
        </w:tc>
      </w:tr>
      <w:tr w:rsidR="00862864" w:rsidRPr="00862864" w14:paraId="6B590623" w14:textId="77777777" w:rsidTr="000B28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D9D1B2" w14:textId="77777777" w:rsidR="00862864" w:rsidRPr="00862864" w:rsidRDefault="00862864" w:rsidP="00862864">
            <w:pPr>
              <w:jc w:val="center"/>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A4E778D" w14:textId="77777777" w:rsidR="00862864" w:rsidRPr="00862864" w:rsidRDefault="00862864" w:rsidP="00862864">
            <w:pPr>
              <w:jc w:val="center"/>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34</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F4D268D" w14:textId="77777777" w:rsidR="00862864" w:rsidRPr="00862864" w:rsidRDefault="00862864" w:rsidP="00862864">
            <w:pPr>
              <w:jc w:val="center"/>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 xml:space="preserve">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7DCCD040" w14:textId="77777777" w:rsidR="00862864" w:rsidRPr="00862864" w:rsidRDefault="00862864" w:rsidP="00862864">
            <w:pPr>
              <w:jc w:val="both"/>
              <w:rPr>
                <w:rFonts w:ascii="Arial Narrow" w:eastAsia="Times New Roman" w:hAnsi="Arial Narrow" w:cs="Calibri"/>
                <w:b/>
                <w:bCs/>
                <w:color w:val="000000"/>
                <w:sz w:val="22"/>
                <w:szCs w:val="22"/>
                <w:lang w:val="es-CR"/>
              </w:rPr>
            </w:pPr>
            <w:r w:rsidRPr="00862864">
              <w:rPr>
                <w:rFonts w:ascii="Arial Narrow" w:eastAsia="Times New Roman" w:hAnsi="Arial Narrow" w:cs="Calibri"/>
                <w:b/>
                <w:bCs/>
                <w:color w:val="000000"/>
                <w:sz w:val="22"/>
                <w:szCs w:val="22"/>
                <w:lang w:val="es-CR"/>
              </w:rPr>
              <w:t>Resultado de la baja de un activo intangible</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1B20CBEF" w14:textId="77777777" w:rsidR="00862864" w:rsidRDefault="00862864" w:rsidP="00862864">
            <w:pPr>
              <w:jc w:val="both"/>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 xml:space="preserve">NICSP N° 31, </w:t>
            </w:r>
          </w:p>
          <w:p w14:paraId="355E3025" w14:textId="641F2D7C" w:rsidR="00862864" w:rsidRPr="00862864" w:rsidRDefault="00862864" w:rsidP="00862864">
            <w:pPr>
              <w:jc w:val="both"/>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Párrafos 112 y 116.</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7969CFE2" w14:textId="77777777" w:rsidR="00862864" w:rsidRPr="00862864" w:rsidRDefault="00862864" w:rsidP="00862864">
            <w:pPr>
              <w:rPr>
                <w:rFonts w:ascii="Arial Narrow" w:eastAsia="Times New Roman" w:hAnsi="Arial Narrow" w:cs="Calibri"/>
                <w:b/>
                <w:bCs/>
                <w:color w:val="000000"/>
                <w:sz w:val="22"/>
                <w:szCs w:val="22"/>
              </w:rPr>
            </w:pPr>
            <w:r w:rsidRPr="00862864">
              <w:rPr>
                <w:rFonts w:ascii="Arial Narrow" w:eastAsia="Times New Roman" w:hAnsi="Arial Narrow" w:cs="Calibri"/>
                <w:b/>
                <w:bCs/>
                <w:color w:val="000000"/>
                <w:sz w:val="22"/>
                <w:szCs w:val="22"/>
              </w:rPr>
              <w:t>DGCN</w:t>
            </w:r>
          </w:p>
        </w:tc>
      </w:tr>
    </w:tbl>
    <w:p w14:paraId="50259BA6" w14:textId="77777777" w:rsidR="00862864" w:rsidRDefault="00862864" w:rsidP="0032280D">
      <w:pPr>
        <w:pStyle w:val="Default"/>
        <w:ind w:left="1134" w:hanging="1134"/>
        <w:jc w:val="both"/>
        <w:rPr>
          <w:b/>
          <w:bCs/>
          <w:sz w:val="22"/>
          <w:szCs w:val="22"/>
          <w:lang w:val="es-CR"/>
        </w:rPr>
      </w:pPr>
    </w:p>
    <w:p w14:paraId="5148AC0B" w14:textId="77777777" w:rsidR="000B287D" w:rsidRDefault="000B287D" w:rsidP="0032280D">
      <w:pPr>
        <w:pStyle w:val="Default"/>
        <w:ind w:left="1134" w:hanging="1134"/>
        <w:jc w:val="both"/>
        <w:rPr>
          <w:b/>
          <w:bCs/>
          <w:sz w:val="22"/>
          <w:szCs w:val="22"/>
          <w:lang w:val="es-CR"/>
        </w:rPr>
      </w:pPr>
    </w:p>
    <w:p w14:paraId="655B7B22" w14:textId="77777777" w:rsidR="000B287D" w:rsidRDefault="000B287D" w:rsidP="0032280D">
      <w:pPr>
        <w:pStyle w:val="Default"/>
        <w:ind w:left="1134" w:hanging="1134"/>
        <w:jc w:val="both"/>
        <w:rPr>
          <w:b/>
          <w:bCs/>
          <w:sz w:val="22"/>
          <w:szCs w:val="22"/>
          <w:lang w:val="es-CR"/>
        </w:rPr>
      </w:pPr>
    </w:p>
    <w:p w14:paraId="01ED7B06" w14:textId="77777777" w:rsidR="000B287D" w:rsidRDefault="000B287D" w:rsidP="0032280D">
      <w:pPr>
        <w:pStyle w:val="Default"/>
        <w:ind w:left="1134" w:hanging="1134"/>
        <w:jc w:val="both"/>
        <w:rPr>
          <w:b/>
          <w:bCs/>
          <w:sz w:val="22"/>
          <w:szCs w:val="22"/>
          <w:lang w:val="es-CR"/>
        </w:rPr>
      </w:pPr>
    </w:p>
    <w:p w14:paraId="68427D0B" w14:textId="6C0001D9" w:rsidR="000B287D" w:rsidRDefault="000B287D" w:rsidP="000B287D">
      <w:pPr>
        <w:pStyle w:val="Default"/>
        <w:ind w:left="1134" w:hanging="1134"/>
        <w:jc w:val="both"/>
        <w:rPr>
          <w:rFonts w:eastAsia="Arial"/>
          <w:b/>
          <w:sz w:val="22"/>
          <w:szCs w:val="22"/>
        </w:rPr>
      </w:pPr>
      <w:r w:rsidRPr="00F02F9D">
        <w:rPr>
          <w:rFonts w:eastAsia="Arial"/>
          <w:b/>
          <w:sz w:val="22"/>
          <w:szCs w:val="22"/>
        </w:rPr>
        <w:lastRenderedPageBreak/>
        <w:t>Política Contable</w:t>
      </w:r>
    </w:p>
    <w:p w14:paraId="460FD3F0" w14:textId="77777777" w:rsidR="000B287D" w:rsidRDefault="000B287D" w:rsidP="0032280D">
      <w:pPr>
        <w:pStyle w:val="Default"/>
        <w:ind w:left="1134" w:hanging="1134"/>
        <w:jc w:val="both"/>
        <w:rPr>
          <w:b/>
          <w:bCs/>
          <w:sz w:val="22"/>
          <w:szCs w:val="22"/>
          <w:lang w:val="es-CR"/>
        </w:rPr>
      </w:pPr>
    </w:p>
    <w:p w14:paraId="669DCA84" w14:textId="4E682AC1" w:rsidR="00862864" w:rsidRDefault="00862864" w:rsidP="0032280D">
      <w:pPr>
        <w:pStyle w:val="Default"/>
        <w:ind w:left="1134" w:hanging="1134"/>
        <w:jc w:val="both"/>
        <w:rPr>
          <w:sz w:val="22"/>
          <w:szCs w:val="22"/>
          <w:lang w:val="es-CR"/>
        </w:rPr>
      </w:pPr>
      <w:r w:rsidRPr="00862864">
        <w:rPr>
          <w:sz w:val="22"/>
          <w:szCs w:val="22"/>
          <w:lang w:val="es-CR"/>
        </w:rPr>
        <w:t>5.34.0.01</w:t>
      </w:r>
      <w:r w:rsidRPr="00862864">
        <w:rPr>
          <w:sz w:val="22"/>
          <w:szCs w:val="22"/>
          <w:lang w:val="es-CR"/>
        </w:rPr>
        <w:tab/>
        <w:t>El resultado positivo o negativo que surja al dar de baja un activo intangible se regirá por las mismas consideraciones expuestas anteriormente para activo fijo.</w:t>
      </w:r>
    </w:p>
    <w:p w14:paraId="0F75F930" w14:textId="77777777" w:rsidR="000B287D" w:rsidRPr="00862864" w:rsidRDefault="000B287D" w:rsidP="0032280D">
      <w:pPr>
        <w:pStyle w:val="Default"/>
        <w:ind w:left="1134" w:hanging="1134"/>
        <w:jc w:val="both"/>
        <w:rPr>
          <w:b/>
          <w:bCs/>
          <w:sz w:val="22"/>
          <w:szCs w:val="22"/>
          <w:lang w:val="es-CR"/>
        </w:rPr>
      </w:pPr>
    </w:p>
    <w:p w14:paraId="1985F425" w14:textId="77777777" w:rsidR="00862864" w:rsidRDefault="00862864" w:rsidP="0032280D">
      <w:pPr>
        <w:pStyle w:val="Default"/>
        <w:ind w:left="1134" w:hanging="1134"/>
        <w:jc w:val="both"/>
        <w:rPr>
          <w:b/>
          <w:bCs/>
          <w:sz w:val="22"/>
          <w:szCs w:val="22"/>
          <w:lang w:val="es-CR"/>
        </w:rPr>
      </w:pPr>
    </w:p>
    <w:p w14:paraId="12F1F873" w14:textId="77777777" w:rsidR="00862864" w:rsidRDefault="00862864" w:rsidP="00862864">
      <w:pPr>
        <w:pStyle w:val="Default"/>
        <w:jc w:val="both"/>
        <w:rPr>
          <w:b/>
          <w:bCs/>
          <w:sz w:val="22"/>
          <w:szCs w:val="22"/>
          <w:lang w:val="es-CR"/>
        </w:rPr>
      </w:pPr>
    </w:p>
    <w:p w14:paraId="7372AF8C" w14:textId="6195B918" w:rsidR="00862864" w:rsidRPr="00862864" w:rsidRDefault="00862864" w:rsidP="00862864">
      <w:pPr>
        <w:pStyle w:val="Ttulo2"/>
        <w:ind w:left="284"/>
        <w:jc w:val="both"/>
        <w:rPr>
          <w:rFonts w:ascii="Arial" w:eastAsia="Arial" w:hAnsi="Arial" w:cs="Arial"/>
          <w:b/>
          <w:bCs/>
          <w:sz w:val="22"/>
          <w:szCs w:val="22"/>
          <w:lang w:val="es-CR"/>
        </w:rPr>
      </w:pPr>
      <w:bookmarkStart w:id="162" w:name="_Toc172726297"/>
      <w:r w:rsidRPr="00862864">
        <w:rPr>
          <w:rFonts w:ascii="Arial" w:eastAsia="Arial" w:hAnsi="Arial" w:cs="Arial"/>
          <w:b/>
          <w:bCs/>
          <w:sz w:val="22"/>
          <w:szCs w:val="22"/>
          <w:lang w:val="es-CR"/>
        </w:rPr>
        <w:t>Depreciaciones y amortizaciones</w:t>
      </w:r>
      <w:bookmarkEnd w:id="162"/>
    </w:p>
    <w:p w14:paraId="635228B3" w14:textId="77777777" w:rsidR="00862864" w:rsidRDefault="00862864" w:rsidP="0032280D">
      <w:pPr>
        <w:pStyle w:val="Default"/>
        <w:ind w:left="1134" w:hanging="1134"/>
        <w:jc w:val="both"/>
        <w:rPr>
          <w:b/>
          <w:bCs/>
          <w:sz w:val="22"/>
          <w:szCs w:val="22"/>
          <w:lang w:val="es-CR"/>
        </w:rPr>
      </w:pPr>
    </w:p>
    <w:p w14:paraId="573D196A" w14:textId="77777777" w:rsidR="00862864" w:rsidRDefault="00862864" w:rsidP="0032280D">
      <w:pPr>
        <w:pStyle w:val="Default"/>
        <w:ind w:left="1134" w:hanging="1134"/>
        <w:jc w:val="both"/>
        <w:rPr>
          <w:b/>
          <w:bCs/>
          <w:sz w:val="22"/>
          <w:szCs w:val="22"/>
          <w:lang w:val="es-CR"/>
        </w:rPr>
      </w:pPr>
    </w:p>
    <w:tbl>
      <w:tblPr>
        <w:tblW w:w="9346" w:type="dxa"/>
        <w:tblLook w:val="04A0" w:firstRow="1" w:lastRow="0" w:firstColumn="1" w:lastColumn="0" w:noHBand="0" w:noVBand="1"/>
      </w:tblPr>
      <w:tblGrid>
        <w:gridCol w:w="416"/>
        <w:gridCol w:w="708"/>
        <w:gridCol w:w="426"/>
        <w:gridCol w:w="3698"/>
        <w:gridCol w:w="2248"/>
        <w:gridCol w:w="1850"/>
      </w:tblGrid>
      <w:tr w:rsidR="00221267" w:rsidRPr="00221267" w14:paraId="6B52A80E" w14:textId="77777777" w:rsidTr="000B287D">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484B4D7" w14:textId="77777777" w:rsidR="00221267" w:rsidRPr="00221267" w:rsidRDefault="00221267" w:rsidP="00221267">
            <w:pPr>
              <w:jc w:val="center"/>
              <w:rPr>
                <w:rFonts w:ascii="Arial Narrow" w:eastAsia="Times New Roman" w:hAnsi="Arial Narrow" w:cs="Calibri"/>
                <w:b/>
                <w:bCs/>
                <w:color w:val="FFFFFF"/>
                <w:sz w:val="22"/>
                <w:szCs w:val="22"/>
              </w:rPr>
            </w:pPr>
            <w:r w:rsidRPr="00221267">
              <w:rPr>
                <w:rFonts w:ascii="Arial Narrow" w:eastAsia="Times New Roman" w:hAnsi="Arial Narrow" w:cs="Calibri"/>
                <w:b/>
                <w:bCs/>
                <w:color w:val="FFFFFF"/>
                <w:sz w:val="22"/>
                <w:szCs w:val="22"/>
              </w:rPr>
              <w:t>Norma / Política</w:t>
            </w:r>
          </w:p>
        </w:tc>
        <w:tc>
          <w:tcPr>
            <w:tcW w:w="3698" w:type="dxa"/>
            <w:vMerge w:val="restart"/>
            <w:tcBorders>
              <w:top w:val="single" w:sz="8" w:space="0" w:color="auto"/>
              <w:left w:val="single" w:sz="8" w:space="0" w:color="auto"/>
              <w:bottom w:val="nil"/>
              <w:right w:val="single" w:sz="8" w:space="0" w:color="auto"/>
            </w:tcBorders>
            <w:shd w:val="clear" w:color="000000" w:fill="203764"/>
            <w:vAlign w:val="center"/>
            <w:hideMark/>
          </w:tcPr>
          <w:p w14:paraId="121A6144" w14:textId="77777777" w:rsidR="00221267" w:rsidRPr="00221267" w:rsidRDefault="00221267" w:rsidP="00221267">
            <w:pPr>
              <w:jc w:val="center"/>
              <w:rPr>
                <w:rFonts w:ascii="Arial Narrow" w:eastAsia="Times New Roman" w:hAnsi="Arial Narrow" w:cs="Calibri"/>
                <w:b/>
                <w:bCs/>
                <w:color w:val="FFFFFF"/>
                <w:sz w:val="22"/>
                <w:szCs w:val="22"/>
              </w:rPr>
            </w:pPr>
            <w:r w:rsidRPr="00221267">
              <w:rPr>
                <w:rFonts w:ascii="Arial Narrow" w:eastAsia="Times New Roman" w:hAnsi="Arial Narrow" w:cs="Calibri"/>
                <w:b/>
                <w:bCs/>
                <w:color w:val="FFFFFF"/>
                <w:sz w:val="22"/>
                <w:szCs w:val="22"/>
              </w:rPr>
              <w:t>Concepto</w:t>
            </w:r>
          </w:p>
        </w:tc>
        <w:tc>
          <w:tcPr>
            <w:tcW w:w="4098" w:type="dxa"/>
            <w:gridSpan w:val="2"/>
            <w:tcBorders>
              <w:top w:val="single" w:sz="8" w:space="0" w:color="auto"/>
              <w:left w:val="nil"/>
              <w:bottom w:val="single" w:sz="8" w:space="0" w:color="auto"/>
              <w:right w:val="single" w:sz="8" w:space="0" w:color="000000"/>
            </w:tcBorders>
            <w:shd w:val="clear" w:color="000000" w:fill="203764"/>
            <w:vAlign w:val="center"/>
            <w:hideMark/>
          </w:tcPr>
          <w:p w14:paraId="19123A48" w14:textId="77777777" w:rsidR="00221267" w:rsidRPr="00221267" w:rsidRDefault="00221267" w:rsidP="00221267">
            <w:pPr>
              <w:jc w:val="center"/>
              <w:rPr>
                <w:rFonts w:ascii="Arial Narrow" w:eastAsia="Times New Roman" w:hAnsi="Arial Narrow" w:cs="Calibri"/>
                <w:b/>
                <w:bCs/>
                <w:color w:val="FFFFFF"/>
                <w:sz w:val="22"/>
                <w:szCs w:val="22"/>
              </w:rPr>
            </w:pPr>
            <w:r w:rsidRPr="00221267">
              <w:rPr>
                <w:rFonts w:ascii="Arial Narrow" w:eastAsia="Times New Roman" w:hAnsi="Arial Narrow" w:cs="Calibri"/>
                <w:b/>
                <w:bCs/>
                <w:color w:val="FFFFFF"/>
                <w:sz w:val="22"/>
                <w:szCs w:val="22"/>
              </w:rPr>
              <w:t>Referencia</w:t>
            </w:r>
          </w:p>
        </w:tc>
      </w:tr>
      <w:tr w:rsidR="00221267" w:rsidRPr="006E5442" w14:paraId="4E9B197B" w14:textId="77777777" w:rsidTr="000B287D">
        <w:trPr>
          <w:trHeight w:val="1320"/>
        </w:trPr>
        <w:tc>
          <w:tcPr>
            <w:tcW w:w="1550" w:type="dxa"/>
            <w:gridSpan w:val="3"/>
            <w:vMerge/>
            <w:tcBorders>
              <w:top w:val="single" w:sz="8" w:space="0" w:color="auto"/>
              <w:left w:val="single" w:sz="8" w:space="0" w:color="auto"/>
              <w:bottom w:val="nil"/>
              <w:right w:val="single" w:sz="8" w:space="0" w:color="000000"/>
            </w:tcBorders>
            <w:vAlign w:val="center"/>
            <w:hideMark/>
          </w:tcPr>
          <w:p w14:paraId="5D06215D" w14:textId="77777777" w:rsidR="00221267" w:rsidRPr="00221267" w:rsidRDefault="00221267" w:rsidP="00221267">
            <w:pPr>
              <w:rPr>
                <w:rFonts w:ascii="Arial Narrow" w:eastAsia="Times New Roman" w:hAnsi="Arial Narrow" w:cs="Calibri"/>
                <w:b/>
                <w:bCs/>
                <w:color w:val="FFFFFF"/>
                <w:sz w:val="22"/>
                <w:szCs w:val="22"/>
              </w:rPr>
            </w:pPr>
          </w:p>
        </w:tc>
        <w:tc>
          <w:tcPr>
            <w:tcW w:w="3698" w:type="dxa"/>
            <w:vMerge/>
            <w:tcBorders>
              <w:top w:val="single" w:sz="8" w:space="0" w:color="auto"/>
              <w:left w:val="single" w:sz="8" w:space="0" w:color="auto"/>
              <w:bottom w:val="nil"/>
              <w:right w:val="single" w:sz="8" w:space="0" w:color="auto"/>
            </w:tcBorders>
            <w:vAlign w:val="center"/>
            <w:hideMark/>
          </w:tcPr>
          <w:p w14:paraId="4F3AC56D" w14:textId="77777777" w:rsidR="00221267" w:rsidRPr="00221267" w:rsidRDefault="00221267" w:rsidP="00221267">
            <w:pPr>
              <w:rPr>
                <w:rFonts w:ascii="Arial Narrow" w:eastAsia="Times New Roman" w:hAnsi="Arial Narrow" w:cs="Calibri"/>
                <w:b/>
                <w:bCs/>
                <w:color w:val="FFFFFF"/>
                <w:sz w:val="22"/>
                <w:szCs w:val="22"/>
              </w:rPr>
            </w:pPr>
          </w:p>
        </w:tc>
        <w:tc>
          <w:tcPr>
            <w:tcW w:w="2248" w:type="dxa"/>
            <w:tcBorders>
              <w:top w:val="nil"/>
              <w:left w:val="nil"/>
              <w:bottom w:val="nil"/>
              <w:right w:val="single" w:sz="8" w:space="0" w:color="auto"/>
            </w:tcBorders>
            <w:shd w:val="clear" w:color="000000" w:fill="203764"/>
            <w:vAlign w:val="center"/>
            <w:hideMark/>
          </w:tcPr>
          <w:p w14:paraId="1CB4BBDE" w14:textId="77777777" w:rsidR="00221267" w:rsidRPr="00221267" w:rsidRDefault="00221267" w:rsidP="00221267">
            <w:pPr>
              <w:jc w:val="center"/>
              <w:rPr>
                <w:rFonts w:ascii="Arial Narrow" w:eastAsia="Times New Roman" w:hAnsi="Arial Narrow" w:cs="Calibri"/>
                <w:b/>
                <w:bCs/>
                <w:color w:val="FFFFFF"/>
                <w:sz w:val="22"/>
                <w:szCs w:val="22"/>
              </w:rPr>
            </w:pPr>
            <w:r w:rsidRPr="00221267">
              <w:rPr>
                <w:rFonts w:ascii="Arial Narrow" w:eastAsia="Times New Roman" w:hAnsi="Arial Narrow" w:cs="Calibri"/>
                <w:b/>
                <w:bCs/>
                <w:color w:val="FFFFFF"/>
                <w:sz w:val="22"/>
                <w:szCs w:val="22"/>
              </w:rPr>
              <w:t>Norma</w:t>
            </w:r>
          </w:p>
        </w:tc>
        <w:tc>
          <w:tcPr>
            <w:tcW w:w="1850" w:type="dxa"/>
            <w:tcBorders>
              <w:top w:val="nil"/>
              <w:left w:val="nil"/>
              <w:bottom w:val="nil"/>
              <w:right w:val="single" w:sz="8" w:space="0" w:color="auto"/>
            </w:tcBorders>
            <w:shd w:val="clear" w:color="000000" w:fill="203764"/>
            <w:vAlign w:val="center"/>
            <w:hideMark/>
          </w:tcPr>
          <w:p w14:paraId="5C98023F" w14:textId="77777777" w:rsidR="00221267" w:rsidRPr="00221267" w:rsidRDefault="00221267" w:rsidP="00221267">
            <w:pPr>
              <w:jc w:val="center"/>
              <w:rPr>
                <w:rFonts w:ascii="Arial Narrow" w:eastAsia="Times New Roman" w:hAnsi="Arial Narrow" w:cs="Calibri"/>
                <w:b/>
                <w:bCs/>
                <w:color w:val="FFFFFF"/>
                <w:sz w:val="22"/>
                <w:szCs w:val="22"/>
                <w:lang w:val="es-CR"/>
              </w:rPr>
            </w:pPr>
            <w:r w:rsidRPr="00221267">
              <w:rPr>
                <w:rFonts w:ascii="Arial Narrow" w:eastAsia="Times New Roman" w:hAnsi="Arial Narrow" w:cs="Calibri"/>
                <w:b/>
                <w:bCs/>
                <w:color w:val="FFFFFF"/>
                <w:sz w:val="22"/>
                <w:szCs w:val="22"/>
                <w:lang w:val="es-CR"/>
              </w:rPr>
              <w:t>Normativa técnica y disposiciones adicionales</w:t>
            </w:r>
          </w:p>
        </w:tc>
      </w:tr>
      <w:tr w:rsidR="00221267" w:rsidRPr="00221267" w14:paraId="055F6292" w14:textId="77777777" w:rsidTr="000B287D">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2D616C"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AFF28A0"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35</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29C66B67"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 </w:t>
            </w:r>
          </w:p>
        </w:tc>
        <w:tc>
          <w:tcPr>
            <w:tcW w:w="3698" w:type="dxa"/>
            <w:tcBorders>
              <w:top w:val="single" w:sz="8" w:space="0" w:color="auto"/>
              <w:left w:val="nil"/>
              <w:bottom w:val="single" w:sz="8" w:space="0" w:color="auto"/>
              <w:right w:val="single" w:sz="8" w:space="0" w:color="auto"/>
            </w:tcBorders>
            <w:shd w:val="clear" w:color="auto" w:fill="auto"/>
            <w:vAlign w:val="center"/>
            <w:hideMark/>
          </w:tcPr>
          <w:p w14:paraId="3C1309D6" w14:textId="77777777" w:rsidR="00221267" w:rsidRPr="00221267" w:rsidRDefault="00221267" w:rsidP="00221267">
            <w:pPr>
              <w:jc w:val="both"/>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Terrenos y Edificios</w:t>
            </w:r>
          </w:p>
        </w:tc>
        <w:tc>
          <w:tcPr>
            <w:tcW w:w="2248" w:type="dxa"/>
            <w:tcBorders>
              <w:top w:val="single" w:sz="8" w:space="0" w:color="auto"/>
              <w:left w:val="nil"/>
              <w:bottom w:val="single" w:sz="8" w:space="0" w:color="auto"/>
              <w:right w:val="single" w:sz="8" w:space="0" w:color="auto"/>
            </w:tcBorders>
            <w:shd w:val="clear" w:color="auto" w:fill="auto"/>
            <w:vAlign w:val="center"/>
            <w:hideMark/>
          </w:tcPr>
          <w:p w14:paraId="475465E0" w14:textId="77777777" w:rsidR="00221267" w:rsidRDefault="00221267" w:rsidP="00221267">
            <w:pPr>
              <w:jc w:val="both"/>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 xml:space="preserve">NICSP N° 17, </w:t>
            </w:r>
          </w:p>
          <w:p w14:paraId="416D3228" w14:textId="1F0614B0" w:rsidR="00221267" w:rsidRPr="00221267" w:rsidRDefault="00221267" w:rsidP="00221267">
            <w:pPr>
              <w:jc w:val="both"/>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Párrafo 74.</w:t>
            </w:r>
          </w:p>
        </w:tc>
        <w:tc>
          <w:tcPr>
            <w:tcW w:w="1850" w:type="dxa"/>
            <w:tcBorders>
              <w:top w:val="single" w:sz="8" w:space="0" w:color="auto"/>
              <w:left w:val="nil"/>
              <w:bottom w:val="single" w:sz="8" w:space="0" w:color="auto"/>
              <w:right w:val="single" w:sz="8" w:space="0" w:color="auto"/>
            </w:tcBorders>
            <w:shd w:val="clear" w:color="auto" w:fill="auto"/>
            <w:vAlign w:val="center"/>
            <w:hideMark/>
          </w:tcPr>
          <w:p w14:paraId="1529F316" w14:textId="77777777" w:rsidR="00221267" w:rsidRPr="00221267" w:rsidRDefault="00221267" w:rsidP="00221267">
            <w:pP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 xml:space="preserve"> </w:t>
            </w:r>
          </w:p>
        </w:tc>
      </w:tr>
      <w:tr w:rsidR="00221267" w:rsidRPr="00221267" w14:paraId="19764B6A" w14:textId="77777777" w:rsidTr="000B287D">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7552AC5"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5</w:t>
            </w:r>
          </w:p>
        </w:tc>
        <w:tc>
          <w:tcPr>
            <w:tcW w:w="708" w:type="dxa"/>
            <w:tcBorders>
              <w:top w:val="nil"/>
              <w:left w:val="nil"/>
              <w:bottom w:val="single" w:sz="8" w:space="0" w:color="auto"/>
              <w:right w:val="single" w:sz="8" w:space="0" w:color="auto"/>
            </w:tcBorders>
            <w:shd w:val="clear" w:color="auto" w:fill="auto"/>
            <w:noWrap/>
            <w:vAlign w:val="center"/>
            <w:hideMark/>
          </w:tcPr>
          <w:p w14:paraId="59569617"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35</w:t>
            </w:r>
          </w:p>
        </w:tc>
        <w:tc>
          <w:tcPr>
            <w:tcW w:w="426" w:type="dxa"/>
            <w:tcBorders>
              <w:top w:val="nil"/>
              <w:left w:val="nil"/>
              <w:bottom w:val="single" w:sz="8" w:space="0" w:color="auto"/>
              <w:right w:val="single" w:sz="8" w:space="0" w:color="auto"/>
            </w:tcBorders>
            <w:shd w:val="clear" w:color="auto" w:fill="auto"/>
            <w:vAlign w:val="center"/>
            <w:hideMark/>
          </w:tcPr>
          <w:p w14:paraId="69C8D7FB"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 </w:t>
            </w:r>
          </w:p>
        </w:tc>
        <w:tc>
          <w:tcPr>
            <w:tcW w:w="3698" w:type="dxa"/>
            <w:tcBorders>
              <w:top w:val="nil"/>
              <w:left w:val="nil"/>
              <w:bottom w:val="single" w:sz="8" w:space="0" w:color="auto"/>
              <w:right w:val="single" w:sz="8" w:space="0" w:color="auto"/>
            </w:tcBorders>
            <w:shd w:val="clear" w:color="auto" w:fill="auto"/>
            <w:vAlign w:val="center"/>
            <w:hideMark/>
          </w:tcPr>
          <w:p w14:paraId="59129A0A" w14:textId="77777777" w:rsidR="00221267" w:rsidRPr="00221267" w:rsidRDefault="00221267" w:rsidP="00221267">
            <w:pPr>
              <w:jc w:val="both"/>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Desmantelamiento, traslado y rehabilitación</w:t>
            </w:r>
          </w:p>
        </w:tc>
        <w:tc>
          <w:tcPr>
            <w:tcW w:w="2248" w:type="dxa"/>
            <w:tcBorders>
              <w:top w:val="nil"/>
              <w:left w:val="nil"/>
              <w:bottom w:val="single" w:sz="8" w:space="0" w:color="auto"/>
              <w:right w:val="single" w:sz="8" w:space="0" w:color="auto"/>
            </w:tcBorders>
            <w:shd w:val="clear" w:color="auto" w:fill="auto"/>
            <w:vAlign w:val="center"/>
            <w:hideMark/>
          </w:tcPr>
          <w:p w14:paraId="08C24601" w14:textId="77777777" w:rsidR="00221267" w:rsidRDefault="00221267" w:rsidP="00221267">
            <w:pPr>
              <w:jc w:val="both"/>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 xml:space="preserve">NICSP N° 17, </w:t>
            </w:r>
          </w:p>
          <w:p w14:paraId="39AC5404" w14:textId="0BD51639" w:rsidR="00221267" w:rsidRPr="00221267" w:rsidRDefault="00221267" w:rsidP="00221267">
            <w:pPr>
              <w:jc w:val="both"/>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Párrafo 75.</w:t>
            </w:r>
          </w:p>
        </w:tc>
        <w:tc>
          <w:tcPr>
            <w:tcW w:w="1850" w:type="dxa"/>
            <w:tcBorders>
              <w:top w:val="nil"/>
              <w:left w:val="nil"/>
              <w:bottom w:val="single" w:sz="8" w:space="0" w:color="auto"/>
              <w:right w:val="single" w:sz="8" w:space="0" w:color="auto"/>
            </w:tcBorders>
            <w:shd w:val="clear" w:color="auto" w:fill="auto"/>
            <w:vAlign w:val="center"/>
            <w:hideMark/>
          </w:tcPr>
          <w:p w14:paraId="231FE3E3" w14:textId="77777777" w:rsidR="00221267" w:rsidRPr="00221267" w:rsidRDefault="00221267" w:rsidP="00221267">
            <w:pP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 xml:space="preserve"> </w:t>
            </w:r>
          </w:p>
        </w:tc>
      </w:tr>
      <w:tr w:rsidR="00221267" w:rsidRPr="006E5442" w14:paraId="65E314F4" w14:textId="77777777" w:rsidTr="000B287D">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A37F414"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5</w:t>
            </w:r>
          </w:p>
        </w:tc>
        <w:tc>
          <w:tcPr>
            <w:tcW w:w="708" w:type="dxa"/>
            <w:tcBorders>
              <w:top w:val="nil"/>
              <w:left w:val="nil"/>
              <w:bottom w:val="single" w:sz="8" w:space="0" w:color="auto"/>
              <w:right w:val="single" w:sz="8" w:space="0" w:color="auto"/>
            </w:tcBorders>
            <w:shd w:val="clear" w:color="auto" w:fill="auto"/>
            <w:noWrap/>
            <w:vAlign w:val="center"/>
            <w:hideMark/>
          </w:tcPr>
          <w:p w14:paraId="7F9B838C"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35</w:t>
            </w:r>
          </w:p>
        </w:tc>
        <w:tc>
          <w:tcPr>
            <w:tcW w:w="426" w:type="dxa"/>
            <w:tcBorders>
              <w:top w:val="nil"/>
              <w:left w:val="nil"/>
              <w:bottom w:val="single" w:sz="8" w:space="0" w:color="auto"/>
              <w:right w:val="single" w:sz="8" w:space="0" w:color="auto"/>
            </w:tcBorders>
            <w:shd w:val="clear" w:color="auto" w:fill="auto"/>
            <w:vAlign w:val="center"/>
            <w:hideMark/>
          </w:tcPr>
          <w:p w14:paraId="0C127B5D" w14:textId="77777777" w:rsidR="00221267" w:rsidRPr="00221267" w:rsidRDefault="00221267" w:rsidP="00221267">
            <w:pPr>
              <w:jc w:val="center"/>
              <w:rPr>
                <w:rFonts w:ascii="Arial Narrow" w:eastAsia="Times New Roman" w:hAnsi="Arial Narrow" w:cs="Calibri"/>
                <w:b/>
                <w:bCs/>
                <w:color w:val="000000"/>
                <w:sz w:val="22"/>
                <w:szCs w:val="22"/>
              </w:rPr>
            </w:pPr>
            <w:r w:rsidRPr="00221267">
              <w:rPr>
                <w:rFonts w:ascii="Arial Narrow" w:eastAsia="Times New Roman" w:hAnsi="Arial Narrow" w:cs="Calibri"/>
                <w:b/>
                <w:bCs/>
                <w:color w:val="000000"/>
                <w:sz w:val="22"/>
                <w:szCs w:val="22"/>
              </w:rPr>
              <w:t> </w:t>
            </w:r>
          </w:p>
        </w:tc>
        <w:tc>
          <w:tcPr>
            <w:tcW w:w="3698" w:type="dxa"/>
            <w:tcBorders>
              <w:top w:val="nil"/>
              <w:left w:val="nil"/>
              <w:bottom w:val="single" w:sz="8" w:space="0" w:color="auto"/>
              <w:right w:val="single" w:sz="8" w:space="0" w:color="auto"/>
            </w:tcBorders>
            <w:shd w:val="clear" w:color="auto" w:fill="auto"/>
            <w:vAlign w:val="center"/>
            <w:hideMark/>
          </w:tcPr>
          <w:p w14:paraId="3C1348AC" w14:textId="77777777" w:rsidR="00221267" w:rsidRPr="00221267" w:rsidRDefault="00221267" w:rsidP="00221267">
            <w:pPr>
              <w:jc w:val="both"/>
              <w:rPr>
                <w:rFonts w:ascii="Arial Narrow" w:eastAsia="Times New Roman" w:hAnsi="Arial Narrow" w:cs="Calibri"/>
                <w:b/>
                <w:bCs/>
                <w:color w:val="000000"/>
                <w:sz w:val="22"/>
                <w:szCs w:val="22"/>
                <w:lang w:val="es-CR"/>
              </w:rPr>
            </w:pPr>
            <w:r w:rsidRPr="00221267">
              <w:rPr>
                <w:rFonts w:ascii="Arial Narrow" w:eastAsia="Times New Roman" w:hAnsi="Arial Narrow" w:cs="Calibri"/>
                <w:b/>
                <w:bCs/>
                <w:color w:val="000000"/>
                <w:sz w:val="22"/>
                <w:szCs w:val="22"/>
                <w:lang w:val="es-CR"/>
              </w:rPr>
              <w:t>Terreno con vida útil limitada</w:t>
            </w:r>
          </w:p>
        </w:tc>
        <w:tc>
          <w:tcPr>
            <w:tcW w:w="2248" w:type="dxa"/>
            <w:tcBorders>
              <w:top w:val="nil"/>
              <w:left w:val="nil"/>
              <w:bottom w:val="single" w:sz="8" w:space="0" w:color="auto"/>
              <w:right w:val="single" w:sz="8" w:space="0" w:color="auto"/>
            </w:tcBorders>
            <w:shd w:val="clear" w:color="auto" w:fill="auto"/>
            <w:vAlign w:val="center"/>
            <w:hideMark/>
          </w:tcPr>
          <w:p w14:paraId="4AD7B691" w14:textId="77777777" w:rsidR="00221267" w:rsidRPr="00221267" w:rsidRDefault="00221267" w:rsidP="00221267">
            <w:pPr>
              <w:jc w:val="both"/>
              <w:rPr>
                <w:rFonts w:ascii="Arial Narrow" w:eastAsia="Times New Roman" w:hAnsi="Arial Narrow" w:cs="Calibri"/>
                <w:b/>
                <w:bCs/>
                <w:color w:val="000000"/>
                <w:sz w:val="22"/>
                <w:szCs w:val="22"/>
                <w:lang w:val="es-CR"/>
              </w:rPr>
            </w:pPr>
            <w:r w:rsidRPr="00221267">
              <w:rPr>
                <w:rFonts w:ascii="Arial Narrow" w:eastAsia="Times New Roman" w:hAnsi="Arial Narrow" w:cs="Calibri"/>
                <w:b/>
                <w:bCs/>
                <w:color w:val="000000"/>
                <w:sz w:val="22"/>
                <w:szCs w:val="22"/>
                <w:lang w:val="es-CR"/>
              </w:rPr>
              <w:t> </w:t>
            </w:r>
          </w:p>
        </w:tc>
        <w:tc>
          <w:tcPr>
            <w:tcW w:w="1850" w:type="dxa"/>
            <w:tcBorders>
              <w:top w:val="nil"/>
              <w:left w:val="nil"/>
              <w:bottom w:val="single" w:sz="8" w:space="0" w:color="auto"/>
              <w:right w:val="single" w:sz="8" w:space="0" w:color="auto"/>
            </w:tcBorders>
            <w:shd w:val="clear" w:color="auto" w:fill="auto"/>
            <w:vAlign w:val="center"/>
            <w:hideMark/>
          </w:tcPr>
          <w:p w14:paraId="5083A879" w14:textId="77777777" w:rsidR="00221267" w:rsidRPr="00221267" w:rsidRDefault="00221267" w:rsidP="00221267">
            <w:pPr>
              <w:rPr>
                <w:rFonts w:ascii="Arial Narrow" w:eastAsia="Times New Roman" w:hAnsi="Arial Narrow" w:cs="Calibri"/>
                <w:b/>
                <w:bCs/>
                <w:color w:val="000000"/>
                <w:sz w:val="22"/>
                <w:szCs w:val="22"/>
                <w:lang w:val="es-CR"/>
              </w:rPr>
            </w:pPr>
            <w:r w:rsidRPr="00221267">
              <w:rPr>
                <w:rFonts w:ascii="Arial Narrow" w:eastAsia="Times New Roman" w:hAnsi="Arial Narrow" w:cs="Calibri"/>
                <w:b/>
                <w:bCs/>
                <w:color w:val="000000"/>
                <w:sz w:val="22"/>
                <w:szCs w:val="22"/>
                <w:lang w:val="es-CR"/>
              </w:rPr>
              <w:t xml:space="preserve"> </w:t>
            </w:r>
          </w:p>
        </w:tc>
      </w:tr>
    </w:tbl>
    <w:p w14:paraId="157184C4" w14:textId="77777777" w:rsidR="00862864" w:rsidRDefault="00862864" w:rsidP="0032280D">
      <w:pPr>
        <w:pStyle w:val="Default"/>
        <w:ind w:left="1134" w:hanging="1134"/>
        <w:jc w:val="both"/>
        <w:rPr>
          <w:b/>
          <w:bCs/>
          <w:sz w:val="22"/>
          <w:szCs w:val="22"/>
          <w:lang w:val="es-CR"/>
        </w:rPr>
      </w:pPr>
    </w:p>
    <w:p w14:paraId="36A34410" w14:textId="77777777" w:rsidR="000B287D" w:rsidRPr="0030399E" w:rsidRDefault="000B287D" w:rsidP="000B287D">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5CDDB074" w14:textId="77777777" w:rsidR="00221267" w:rsidRDefault="00221267" w:rsidP="000B287D">
      <w:pPr>
        <w:pStyle w:val="Default"/>
        <w:jc w:val="both"/>
        <w:rPr>
          <w:b/>
          <w:bCs/>
          <w:sz w:val="22"/>
          <w:szCs w:val="22"/>
          <w:lang w:val="es-CR"/>
        </w:rPr>
      </w:pPr>
    </w:p>
    <w:p w14:paraId="67DAE8FF" w14:textId="71599E69" w:rsidR="00221267" w:rsidRDefault="00221267" w:rsidP="00221267">
      <w:pPr>
        <w:pStyle w:val="Default"/>
        <w:ind w:left="1134" w:hanging="1134"/>
        <w:jc w:val="both"/>
        <w:rPr>
          <w:sz w:val="22"/>
          <w:szCs w:val="22"/>
          <w:lang w:val="es-CR"/>
        </w:rPr>
      </w:pPr>
      <w:r>
        <w:rPr>
          <w:sz w:val="22"/>
          <w:szCs w:val="22"/>
          <w:lang w:val="es-CR"/>
        </w:rPr>
        <w:t>5.35.0.01</w:t>
      </w:r>
      <w:r>
        <w:rPr>
          <w:sz w:val="22"/>
          <w:szCs w:val="22"/>
          <w:lang w:val="es-CR"/>
        </w:rPr>
        <w:tab/>
      </w:r>
      <w:r w:rsidRPr="00221267">
        <w:rPr>
          <w:sz w:val="22"/>
          <w:szCs w:val="22"/>
          <w:lang w:val="es-CR"/>
        </w:rPr>
        <w:t xml:space="preserve">Los terrenos y los edificios son activos separados, y se contabilizarán por separado, incluso si han sido adquiridos de forma conjunta. Mientras que los edificios tienen una vida útil limitada y, por lo tanto, se deprecian, los terrenos tienen una vida ilimitada y, por lo tanto, </w:t>
      </w:r>
      <w:r w:rsidRPr="00221267">
        <w:rPr>
          <w:b/>
          <w:bCs/>
          <w:sz w:val="22"/>
          <w:szCs w:val="22"/>
          <w:lang w:val="es-CR"/>
        </w:rPr>
        <w:t xml:space="preserve">no se deprecian, </w:t>
      </w:r>
      <w:r w:rsidRPr="00221267">
        <w:rPr>
          <w:sz w:val="22"/>
          <w:szCs w:val="22"/>
          <w:lang w:val="es-CR"/>
        </w:rPr>
        <w:t xml:space="preserve">salvo algunas excepciones tales como canteras y, de no resultar aptos para otros usos, los sitios usados para depósito de basura. Asimismo, un incremento en el valor de los terrenos en los que se asienta un edificio no afectará a la determinación del importe depreciable del edificio. </w:t>
      </w:r>
    </w:p>
    <w:p w14:paraId="5C8D5F7F" w14:textId="77777777" w:rsidR="00221267" w:rsidRPr="00221267" w:rsidRDefault="00221267" w:rsidP="00221267">
      <w:pPr>
        <w:pStyle w:val="Default"/>
        <w:ind w:left="1134" w:hanging="1134"/>
        <w:jc w:val="both"/>
        <w:rPr>
          <w:sz w:val="22"/>
          <w:szCs w:val="22"/>
          <w:lang w:val="es-CR"/>
        </w:rPr>
      </w:pPr>
    </w:p>
    <w:p w14:paraId="56D5A12C" w14:textId="36958160" w:rsidR="00221267" w:rsidRDefault="00221267" w:rsidP="00221267">
      <w:pPr>
        <w:pStyle w:val="Default"/>
        <w:ind w:left="1134" w:hanging="1134"/>
        <w:jc w:val="both"/>
        <w:rPr>
          <w:sz w:val="22"/>
          <w:szCs w:val="22"/>
          <w:lang w:val="es-CR"/>
        </w:rPr>
      </w:pPr>
      <w:r>
        <w:rPr>
          <w:sz w:val="22"/>
          <w:szCs w:val="22"/>
          <w:lang w:val="es-CR"/>
        </w:rPr>
        <w:t>5.35.</w:t>
      </w:r>
      <w:r w:rsidRPr="00221267">
        <w:rPr>
          <w:sz w:val="22"/>
          <w:szCs w:val="22"/>
          <w:lang w:val="es-CR"/>
        </w:rPr>
        <w:t>1.</w:t>
      </w:r>
      <w:r>
        <w:rPr>
          <w:sz w:val="22"/>
          <w:szCs w:val="22"/>
          <w:lang w:val="es-CR"/>
        </w:rPr>
        <w:t>01</w:t>
      </w:r>
      <w:r>
        <w:rPr>
          <w:sz w:val="22"/>
          <w:szCs w:val="22"/>
          <w:lang w:val="es-CR"/>
        </w:rPr>
        <w:tab/>
      </w:r>
      <w:r w:rsidRPr="00221267">
        <w:rPr>
          <w:sz w:val="22"/>
          <w:szCs w:val="22"/>
          <w:lang w:val="es-CR"/>
        </w:rPr>
        <w:t>Si el costo de un terreno incluye los costos de desmantelamiento y rehabilitación, la porción que corresponda a la rehabilitación del terreno se depreciará a lo largo del período en el que se obtengan los beneficios o potencial de servicio por haber incurrido en esos costos.</w:t>
      </w:r>
    </w:p>
    <w:p w14:paraId="77722BB9" w14:textId="77777777" w:rsidR="00221267" w:rsidRPr="00221267" w:rsidRDefault="00221267" w:rsidP="00221267">
      <w:pPr>
        <w:pStyle w:val="Default"/>
        <w:ind w:left="1134" w:hanging="1134"/>
        <w:jc w:val="both"/>
        <w:rPr>
          <w:sz w:val="22"/>
          <w:szCs w:val="22"/>
          <w:lang w:val="es-CR"/>
        </w:rPr>
      </w:pPr>
    </w:p>
    <w:p w14:paraId="56CC8F68" w14:textId="6C5535C8" w:rsidR="00221267" w:rsidRPr="00221267" w:rsidRDefault="00221267" w:rsidP="00221267">
      <w:pPr>
        <w:pStyle w:val="Default"/>
        <w:ind w:left="1134" w:hanging="1134"/>
        <w:jc w:val="both"/>
        <w:rPr>
          <w:b/>
          <w:bCs/>
          <w:sz w:val="22"/>
          <w:szCs w:val="22"/>
          <w:lang w:val="es-CR"/>
        </w:rPr>
      </w:pPr>
      <w:r>
        <w:rPr>
          <w:sz w:val="22"/>
          <w:szCs w:val="22"/>
          <w:lang w:val="es-CR"/>
        </w:rPr>
        <w:t>5.35.</w:t>
      </w:r>
      <w:r w:rsidRPr="00221267">
        <w:rPr>
          <w:sz w:val="22"/>
          <w:szCs w:val="22"/>
          <w:lang w:val="es-CR"/>
        </w:rPr>
        <w:t>2.</w:t>
      </w:r>
      <w:r>
        <w:rPr>
          <w:sz w:val="22"/>
          <w:szCs w:val="22"/>
          <w:lang w:val="es-CR"/>
        </w:rPr>
        <w:t>01</w:t>
      </w:r>
      <w:r>
        <w:rPr>
          <w:sz w:val="22"/>
          <w:szCs w:val="22"/>
          <w:lang w:val="es-CR"/>
        </w:rPr>
        <w:tab/>
      </w:r>
      <w:r w:rsidRPr="00221267">
        <w:rPr>
          <w:sz w:val="22"/>
          <w:szCs w:val="22"/>
          <w:lang w:val="es-CR"/>
        </w:rPr>
        <w:t>Si el terreno en sí mismo puede tener una vida útil limitada, en ese caso se depreciará de forma tal que refleje la reducción de los beneficios económicos o potencial de servicio futuros que se van a derivar del mismo.</w:t>
      </w:r>
    </w:p>
    <w:p w14:paraId="373FC306" w14:textId="77777777" w:rsidR="00862864" w:rsidRDefault="00862864" w:rsidP="0032280D">
      <w:pPr>
        <w:pStyle w:val="Default"/>
        <w:ind w:left="1134" w:hanging="1134"/>
        <w:jc w:val="both"/>
        <w:rPr>
          <w:b/>
          <w:bCs/>
          <w:sz w:val="22"/>
          <w:szCs w:val="22"/>
          <w:lang w:val="es-CR"/>
        </w:rPr>
      </w:pPr>
    </w:p>
    <w:p w14:paraId="69EF93DC" w14:textId="77777777" w:rsidR="00862864" w:rsidRDefault="00862864" w:rsidP="0032280D">
      <w:pPr>
        <w:pStyle w:val="Default"/>
        <w:ind w:left="1134" w:hanging="1134"/>
        <w:jc w:val="both"/>
        <w:rPr>
          <w:b/>
          <w:bCs/>
          <w:sz w:val="22"/>
          <w:szCs w:val="22"/>
          <w:lang w:val="es-CR"/>
        </w:rPr>
      </w:pPr>
    </w:p>
    <w:tbl>
      <w:tblPr>
        <w:tblW w:w="9346" w:type="dxa"/>
        <w:tblLook w:val="04A0" w:firstRow="1" w:lastRow="0" w:firstColumn="1" w:lastColumn="0" w:noHBand="0" w:noVBand="1"/>
      </w:tblPr>
      <w:tblGrid>
        <w:gridCol w:w="416"/>
        <w:gridCol w:w="708"/>
        <w:gridCol w:w="426"/>
        <w:gridCol w:w="3689"/>
        <w:gridCol w:w="2252"/>
        <w:gridCol w:w="1855"/>
      </w:tblGrid>
      <w:tr w:rsidR="00773733" w:rsidRPr="00773733" w14:paraId="2814C5A8" w14:textId="77777777" w:rsidTr="000B287D">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4BB0D96"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77052E4C"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1CCE0EA6"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Referencia</w:t>
            </w:r>
          </w:p>
        </w:tc>
      </w:tr>
      <w:tr w:rsidR="00773733" w:rsidRPr="006E5442" w14:paraId="07B53C5C" w14:textId="77777777" w:rsidTr="000B287D">
        <w:trPr>
          <w:trHeight w:val="1320"/>
        </w:trPr>
        <w:tc>
          <w:tcPr>
            <w:tcW w:w="1550" w:type="dxa"/>
            <w:gridSpan w:val="3"/>
            <w:vMerge/>
            <w:tcBorders>
              <w:top w:val="single" w:sz="8" w:space="0" w:color="auto"/>
              <w:left w:val="single" w:sz="8" w:space="0" w:color="auto"/>
              <w:bottom w:val="nil"/>
              <w:right w:val="single" w:sz="8" w:space="0" w:color="000000"/>
            </w:tcBorders>
            <w:vAlign w:val="center"/>
            <w:hideMark/>
          </w:tcPr>
          <w:p w14:paraId="3FEF7F38" w14:textId="77777777" w:rsidR="00773733" w:rsidRPr="00773733" w:rsidRDefault="00773733" w:rsidP="00773733">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61F0623B" w14:textId="77777777" w:rsidR="00773733" w:rsidRPr="00773733" w:rsidRDefault="00773733" w:rsidP="00773733">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5DF557EF"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283B583F" w14:textId="77777777" w:rsidR="00773733" w:rsidRPr="00773733" w:rsidRDefault="00773733" w:rsidP="00773733">
            <w:pPr>
              <w:jc w:val="center"/>
              <w:rPr>
                <w:rFonts w:ascii="Arial Narrow" w:eastAsia="Times New Roman" w:hAnsi="Arial Narrow" w:cs="Calibri"/>
                <w:b/>
                <w:bCs/>
                <w:color w:val="FFFFFF"/>
                <w:sz w:val="22"/>
                <w:szCs w:val="22"/>
                <w:lang w:val="es-CR"/>
              </w:rPr>
            </w:pPr>
            <w:r w:rsidRPr="00773733">
              <w:rPr>
                <w:rFonts w:ascii="Arial Narrow" w:eastAsia="Times New Roman" w:hAnsi="Arial Narrow" w:cs="Calibri"/>
                <w:b/>
                <w:bCs/>
                <w:color w:val="FFFFFF"/>
                <w:sz w:val="22"/>
                <w:szCs w:val="22"/>
                <w:lang w:val="es-CR"/>
              </w:rPr>
              <w:t>Normativa técnica y disposiciones adicionales</w:t>
            </w:r>
          </w:p>
        </w:tc>
      </w:tr>
      <w:tr w:rsidR="00773733" w:rsidRPr="00773733" w14:paraId="64A29EA2" w14:textId="77777777" w:rsidTr="000B28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D9563C"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2CE1A36"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36</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37D03800"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4A011C30" w14:textId="77777777" w:rsidR="00773733" w:rsidRPr="00773733"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Método de depreciación</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02BC354B" w14:textId="77777777" w:rsidR="004B7B21"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xml:space="preserve">NICSP N° 17, </w:t>
            </w:r>
          </w:p>
          <w:p w14:paraId="27A33328" w14:textId="54094581" w:rsidR="00773733" w:rsidRPr="00773733"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Párrafos 76 y 77.</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3AEE5794" w14:textId="77777777" w:rsidR="00773733" w:rsidRPr="00773733" w:rsidRDefault="00773733" w:rsidP="00773733">
            <w:pP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xml:space="preserve"> </w:t>
            </w:r>
          </w:p>
        </w:tc>
      </w:tr>
      <w:tr w:rsidR="00773733" w:rsidRPr="00773733" w14:paraId="53495D4B" w14:textId="77777777" w:rsidTr="000B287D">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DAC8CD6"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5</w:t>
            </w:r>
          </w:p>
        </w:tc>
        <w:tc>
          <w:tcPr>
            <w:tcW w:w="708" w:type="dxa"/>
            <w:tcBorders>
              <w:top w:val="nil"/>
              <w:left w:val="nil"/>
              <w:bottom w:val="single" w:sz="8" w:space="0" w:color="auto"/>
              <w:right w:val="single" w:sz="8" w:space="0" w:color="auto"/>
            </w:tcBorders>
            <w:shd w:val="clear" w:color="auto" w:fill="auto"/>
            <w:noWrap/>
            <w:vAlign w:val="center"/>
            <w:hideMark/>
          </w:tcPr>
          <w:p w14:paraId="6FA3BB5E"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36</w:t>
            </w:r>
          </w:p>
        </w:tc>
        <w:tc>
          <w:tcPr>
            <w:tcW w:w="426" w:type="dxa"/>
            <w:tcBorders>
              <w:top w:val="nil"/>
              <w:left w:val="nil"/>
              <w:bottom w:val="single" w:sz="8" w:space="0" w:color="auto"/>
              <w:right w:val="single" w:sz="8" w:space="0" w:color="auto"/>
            </w:tcBorders>
            <w:shd w:val="clear" w:color="auto" w:fill="auto"/>
            <w:vAlign w:val="center"/>
            <w:hideMark/>
          </w:tcPr>
          <w:p w14:paraId="7757E5E1"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1</w:t>
            </w:r>
          </w:p>
        </w:tc>
        <w:tc>
          <w:tcPr>
            <w:tcW w:w="3689" w:type="dxa"/>
            <w:tcBorders>
              <w:top w:val="nil"/>
              <w:left w:val="nil"/>
              <w:bottom w:val="single" w:sz="8" w:space="0" w:color="auto"/>
              <w:right w:val="single" w:sz="8" w:space="0" w:color="auto"/>
            </w:tcBorders>
            <w:shd w:val="clear" w:color="auto" w:fill="auto"/>
            <w:vAlign w:val="center"/>
            <w:hideMark/>
          </w:tcPr>
          <w:p w14:paraId="021AD5C3" w14:textId="77777777" w:rsidR="00773733" w:rsidRPr="00773733"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Método de aplicación general</w:t>
            </w:r>
          </w:p>
        </w:tc>
        <w:tc>
          <w:tcPr>
            <w:tcW w:w="2252" w:type="dxa"/>
            <w:tcBorders>
              <w:top w:val="nil"/>
              <w:left w:val="nil"/>
              <w:bottom w:val="single" w:sz="8" w:space="0" w:color="auto"/>
              <w:right w:val="single" w:sz="8" w:space="0" w:color="auto"/>
            </w:tcBorders>
            <w:shd w:val="clear" w:color="auto" w:fill="auto"/>
            <w:vAlign w:val="center"/>
            <w:hideMark/>
          </w:tcPr>
          <w:p w14:paraId="21BAF667" w14:textId="77777777" w:rsidR="004B7B21"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xml:space="preserve">NICSP N° 17, </w:t>
            </w:r>
          </w:p>
          <w:p w14:paraId="5A875867" w14:textId="0955200B" w:rsidR="00773733" w:rsidRPr="00773733"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Párrafo 78.</w:t>
            </w:r>
          </w:p>
        </w:tc>
        <w:tc>
          <w:tcPr>
            <w:tcW w:w="1855" w:type="dxa"/>
            <w:tcBorders>
              <w:top w:val="nil"/>
              <w:left w:val="nil"/>
              <w:bottom w:val="single" w:sz="8" w:space="0" w:color="auto"/>
              <w:right w:val="single" w:sz="8" w:space="0" w:color="auto"/>
            </w:tcBorders>
            <w:shd w:val="clear" w:color="auto" w:fill="auto"/>
            <w:vAlign w:val="center"/>
            <w:hideMark/>
          </w:tcPr>
          <w:p w14:paraId="15575AF6" w14:textId="77777777" w:rsidR="00773733" w:rsidRPr="00773733" w:rsidRDefault="00773733" w:rsidP="00773733">
            <w:pP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DGCN</w:t>
            </w:r>
          </w:p>
        </w:tc>
      </w:tr>
      <w:tr w:rsidR="00773733" w:rsidRPr="00773733" w14:paraId="40C37D13" w14:textId="77777777" w:rsidTr="000B287D">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08CDC7D"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5</w:t>
            </w:r>
          </w:p>
        </w:tc>
        <w:tc>
          <w:tcPr>
            <w:tcW w:w="708" w:type="dxa"/>
            <w:tcBorders>
              <w:top w:val="nil"/>
              <w:left w:val="nil"/>
              <w:bottom w:val="single" w:sz="8" w:space="0" w:color="auto"/>
              <w:right w:val="single" w:sz="8" w:space="0" w:color="auto"/>
            </w:tcBorders>
            <w:shd w:val="clear" w:color="auto" w:fill="auto"/>
            <w:noWrap/>
            <w:vAlign w:val="center"/>
            <w:hideMark/>
          </w:tcPr>
          <w:p w14:paraId="76F383DE"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36</w:t>
            </w:r>
          </w:p>
        </w:tc>
        <w:tc>
          <w:tcPr>
            <w:tcW w:w="426" w:type="dxa"/>
            <w:tcBorders>
              <w:top w:val="nil"/>
              <w:left w:val="nil"/>
              <w:bottom w:val="single" w:sz="8" w:space="0" w:color="auto"/>
              <w:right w:val="single" w:sz="8" w:space="0" w:color="auto"/>
            </w:tcBorders>
            <w:shd w:val="clear" w:color="auto" w:fill="auto"/>
            <w:vAlign w:val="center"/>
            <w:hideMark/>
          </w:tcPr>
          <w:p w14:paraId="7716E164"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2</w:t>
            </w:r>
          </w:p>
        </w:tc>
        <w:tc>
          <w:tcPr>
            <w:tcW w:w="3689" w:type="dxa"/>
            <w:tcBorders>
              <w:top w:val="nil"/>
              <w:left w:val="nil"/>
              <w:bottom w:val="single" w:sz="8" w:space="0" w:color="auto"/>
              <w:right w:val="single" w:sz="8" w:space="0" w:color="auto"/>
            </w:tcBorders>
            <w:shd w:val="clear" w:color="auto" w:fill="auto"/>
            <w:vAlign w:val="center"/>
            <w:hideMark/>
          </w:tcPr>
          <w:p w14:paraId="43D1C25F" w14:textId="77777777" w:rsidR="00773733" w:rsidRPr="00773733"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Casos especiales</w:t>
            </w:r>
          </w:p>
        </w:tc>
        <w:tc>
          <w:tcPr>
            <w:tcW w:w="2252" w:type="dxa"/>
            <w:tcBorders>
              <w:top w:val="nil"/>
              <w:left w:val="nil"/>
              <w:bottom w:val="single" w:sz="8" w:space="0" w:color="auto"/>
              <w:right w:val="single" w:sz="8" w:space="0" w:color="auto"/>
            </w:tcBorders>
            <w:shd w:val="clear" w:color="auto" w:fill="auto"/>
            <w:vAlign w:val="center"/>
            <w:hideMark/>
          </w:tcPr>
          <w:p w14:paraId="611A98E4" w14:textId="77777777" w:rsidR="00773733" w:rsidRPr="00773733"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w:t>
            </w:r>
          </w:p>
        </w:tc>
        <w:tc>
          <w:tcPr>
            <w:tcW w:w="1855" w:type="dxa"/>
            <w:tcBorders>
              <w:top w:val="nil"/>
              <w:left w:val="nil"/>
              <w:bottom w:val="single" w:sz="8" w:space="0" w:color="auto"/>
              <w:right w:val="single" w:sz="8" w:space="0" w:color="auto"/>
            </w:tcBorders>
            <w:shd w:val="clear" w:color="auto" w:fill="auto"/>
            <w:vAlign w:val="center"/>
            <w:hideMark/>
          </w:tcPr>
          <w:p w14:paraId="54684FA0" w14:textId="77777777" w:rsidR="00773733" w:rsidRPr="00773733" w:rsidRDefault="00773733" w:rsidP="00773733">
            <w:pP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DGCN</w:t>
            </w:r>
          </w:p>
        </w:tc>
      </w:tr>
    </w:tbl>
    <w:p w14:paraId="6A8F3D08" w14:textId="77777777" w:rsidR="000B287D" w:rsidRDefault="000B287D" w:rsidP="000B287D">
      <w:pPr>
        <w:pStyle w:val="Default"/>
        <w:ind w:left="1134" w:hanging="1134"/>
        <w:jc w:val="both"/>
        <w:rPr>
          <w:rFonts w:eastAsia="Arial"/>
          <w:b/>
          <w:sz w:val="22"/>
          <w:szCs w:val="22"/>
        </w:rPr>
      </w:pPr>
      <w:r w:rsidRPr="00F02F9D">
        <w:rPr>
          <w:rFonts w:eastAsia="Arial"/>
          <w:b/>
          <w:sz w:val="22"/>
          <w:szCs w:val="22"/>
        </w:rPr>
        <w:lastRenderedPageBreak/>
        <w:t>Políticas Contables</w:t>
      </w:r>
    </w:p>
    <w:p w14:paraId="021A3B25" w14:textId="77777777" w:rsidR="00862864" w:rsidRDefault="00862864" w:rsidP="0032280D">
      <w:pPr>
        <w:pStyle w:val="Default"/>
        <w:ind w:left="1134" w:hanging="1134"/>
        <w:jc w:val="both"/>
        <w:rPr>
          <w:b/>
          <w:bCs/>
          <w:sz w:val="22"/>
          <w:szCs w:val="22"/>
          <w:lang w:val="es-CR"/>
        </w:rPr>
      </w:pPr>
    </w:p>
    <w:p w14:paraId="6C628601" w14:textId="59672A79" w:rsidR="00773733" w:rsidRDefault="00041A77" w:rsidP="00041A77">
      <w:pPr>
        <w:pStyle w:val="Default"/>
        <w:ind w:left="1134" w:hanging="1134"/>
        <w:jc w:val="both"/>
        <w:rPr>
          <w:sz w:val="22"/>
          <w:szCs w:val="22"/>
          <w:lang w:val="es-CR"/>
        </w:rPr>
      </w:pPr>
      <w:r>
        <w:rPr>
          <w:sz w:val="22"/>
          <w:szCs w:val="22"/>
          <w:lang w:val="es-CR"/>
        </w:rPr>
        <w:t>5.36.0.01</w:t>
      </w:r>
      <w:r>
        <w:rPr>
          <w:sz w:val="22"/>
          <w:szCs w:val="22"/>
          <w:lang w:val="es-CR"/>
        </w:rPr>
        <w:tab/>
      </w:r>
      <w:r w:rsidR="00773733" w:rsidRPr="00773733">
        <w:rPr>
          <w:sz w:val="22"/>
          <w:szCs w:val="22"/>
          <w:lang w:val="es-CR"/>
        </w:rPr>
        <w:t>El método de depreciación utilizado reflejará el patrón con arreglo al cual se espera que sean consumidos los beneficios económicos o potencial de servicio futuros del activo. Dicho método será revisado anualmente, ya que cualquier cambio que se produzca provocará un ajuste en la estimación.</w:t>
      </w:r>
    </w:p>
    <w:p w14:paraId="4179C3BB" w14:textId="77777777" w:rsidR="00041A77" w:rsidRDefault="00041A77" w:rsidP="00041A77">
      <w:pPr>
        <w:pStyle w:val="Default"/>
        <w:ind w:left="1134" w:hanging="1134"/>
        <w:jc w:val="both"/>
        <w:rPr>
          <w:sz w:val="22"/>
          <w:szCs w:val="22"/>
          <w:lang w:val="es-CR"/>
        </w:rPr>
      </w:pPr>
    </w:p>
    <w:p w14:paraId="5AC9E678" w14:textId="71933BE3" w:rsidR="00773733" w:rsidRDefault="00041A77" w:rsidP="00041A77">
      <w:pPr>
        <w:pStyle w:val="Default"/>
        <w:ind w:left="1134" w:hanging="1134"/>
        <w:jc w:val="both"/>
        <w:rPr>
          <w:sz w:val="22"/>
          <w:szCs w:val="22"/>
          <w:lang w:val="es-CR"/>
        </w:rPr>
      </w:pPr>
      <w:r>
        <w:rPr>
          <w:sz w:val="22"/>
          <w:szCs w:val="22"/>
          <w:lang w:val="es-CR"/>
        </w:rPr>
        <w:t>5.36.1.01</w:t>
      </w:r>
      <w:r>
        <w:rPr>
          <w:sz w:val="22"/>
          <w:szCs w:val="22"/>
          <w:lang w:val="es-CR"/>
        </w:rPr>
        <w:tab/>
      </w:r>
      <w:r w:rsidR="00773733" w:rsidRPr="00773733">
        <w:rPr>
          <w:sz w:val="22"/>
          <w:szCs w:val="22"/>
          <w:lang w:val="es-CR"/>
        </w:rPr>
        <w:t>Con carácter general, se aplicará el método lineal de depreciación de propiedades, planta y equipo (incluidas propiedades de inversión), por el que se le asignará a cada período el mismo importe en concepto de depreciación de un activo fijo, surgiendo dicho importe de dividir el monto sujeto a depreciación por el número de años (o unidad de tiempo que se determine) de vida útil.</w:t>
      </w:r>
    </w:p>
    <w:p w14:paraId="3442E8AF" w14:textId="77777777" w:rsidR="004B7B21" w:rsidRPr="00773733" w:rsidRDefault="004B7B21" w:rsidP="00041A77">
      <w:pPr>
        <w:pStyle w:val="Default"/>
        <w:ind w:left="1134" w:hanging="1134"/>
        <w:jc w:val="both"/>
        <w:rPr>
          <w:sz w:val="22"/>
          <w:szCs w:val="22"/>
          <w:lang w:val="es-CR"/>
        </w:rPr>
      </w:pPr>
    </w:p>
    <w:p w14:paraId="4A1A9CD0" w14:textId="77777777" w:rsidR="004B7B21" w:rsidRDefault="00041A77" w:rsidP="00041A77">
      <w:pPr>
        <w:pStyle w:val="Default"/>
        <w:ind w:left="1134" w:hanging="1134"/>
        <w:jc w:val="both"/>
        <w:rPr>
          <w:sz w:val="22"/>
          <w:szCs w:val="22"/>
          <w:lang w:val="es-CR"/>
        </w:rPr>
      </w:pPr>
      <w:r>
        <w:rPr>
          <w:sz w:val="22"/>
          <w:szCs w:val="22"/>
          <w:lang w:val="es-CR"/>
        </w:rPr>
        <w:t>5.36.2.01</w:t>
      </w:r>
      <w:r>
        <w:rPr>
          <w:sz w:val="22"/>
          <w:szCs w:val="22"/>
          <w:lang w:val="es-CR"/>
        </w:rPr>
        <w:tab/>
      </w:r>
      <w:r w:rsidR="00773733" w:rsidRPr="00773733">
        <w:rPr>
          <w:sz w:val="22"/>
          <w:szCs w:val="22"/>
          <w:lang w:val="es-CR"/>
        </w:rPr>
        <w:t>La DGCN, a través de NotaTécnica o normativa contable, establecerá los casos en que el método de depreciación general no sea de aplicación en razón de las características propias de determinados activos. A los efectos de emitir las correspondientes PPC o normativa contable, la DGCN deberá sustentar su decisión sobre informe técnico presentado por la entidad que avale el tratamiento en particular.</w:t>
      </w:r>
    </w:p>
    <w:p w14:paraId="5EA53DDC" w14:textId="05E555D6" w:rsidR="00773733" w:rsidRPr="00773733" w:rsidRDefault="00773733" w:rsidP="00041A77">
      <w:pPr>
        <w:pStyle w:val="Default"/>
        <w:ind w:left="1134" w:hanging="1134"/>
        <w:jc w:val="both"/>
        <w:rPr>
          <w:sz w:val="22"/>
          <w:szCs w:val="22"/>
          <w:lang w:val="es-CR"/>
        </w:rPr>
      </w:pPr>
      <w:r w:rsidRPr="00773733">
        <w:rPr>
          <w:sz w:val="22"/>
          <w:szCs w:val="22"/>
          <w:lang w:val="es-CR"/>
        </w:rPr>
        <w:t xml:space="preserve"> </w:t>
      </w:r>
    </w:p>
    <w:p w14:paraId="4D973823" w14:textId="77777777" w:rsidR="00041A77" w:rsidRDefault="00041A77" w:rsidP="00041A77">
      <w:pPr>
        <w:pStyle w:val="Default"/>
        <w:ind w:left="1134" w:hanging="1134"/>
        <w:jc w:val="both"/>
        <w:rPr>
          <w:sz w:val="22"/>
          <w:szCs w:val="22"/>
          <w:lang w:val="es-CR"/>
        </w:rPr>
      </w:pPr>
      <w:r>
        <w:rPr>
          <w:sz w:val="22"/>
          <w:szCs w:val="22"/>
          <w:lang w:val="es-CR"/>
        </w:rPr>
        <w:t>5.36.</w:t>
      </w:r>
      <w:r w:rsidR="00773733" w:rsidRPr="00773733">
        <w:rPr>
          <w:sz w:val="22"/>
          <w:szCs w:val="22"/>
          <w:lang w:val="es-CR"/>
        </w:rPr>
        <w:t>2.</w:t>
      </w:r>
      <w:r>
        <w:rPr>
          <w:sz w:val="22"/>
          <w:szCs w:val="22"/>
          <w:lang w:val="es-CR"/>
        </w:rPr>
        <w:t>02</w:t>
      </w:r>
      <w:r>
        <w:rPr>
          <w:sz w:val="22"/>
          <w:szCs w:val="22"/>
          <w:lang w:val="es-CR"/>
        </w:rPr>
        <w:tab/>
      </w:r>
      <w:r w:rsidR="00773733" w:rsidRPr="00773733">
        <w:rPr>
          <w:sz w:val="22"/>
          <w:szCs w:val="22"/>
          <w:lang w:val="es-CR"/>
        </w:rPr>
        <w:t xml:space="preserve">La DGCN establecerá oportunamente el método de depreciación de acuerdo a los requerimientos de las entidades expertas para los siguientes activos: </w:t>
      </w:r>
    </w:p>
    <w:p w14:paraId="3DBB7D9A" w14:textId="77777777" w:rsidR="004B7B21" w:rsidRDefault="004B7B21" w:rsidP="00041A77">
      <w:pPr>
        <w:pStyle w:val="Default"/>
        <w:ind w:left="1134" w:hanging="1134"/>
        <w:jc w:val="both"/>
        <w:rPr>
          <w:sz w:val="22"/>
          <w:szCs w:val="22"/>
          <w:lang w:val="es-CR"/>
        </w:rPr>
      </w:pPr>
    </w:p>
    <w:p w14:paraId="0004C5E2" w14:textId="77777777" w:rsidR="004B7B21" w:rsidRDefault="004B7B21">
      <w:pPr>
        <w:pStyle w:val="Default"/>
        <w:numPr>
          <w:ilvl w:val="0"/>
          <w:numId w:val="304"/>
        </w:numPr>
        <w:spacing w:after="120"/>
        <w:ind w:left="1418" w:hanging="284"/>
        <w:jc w:val="both"/>
        <w:rPr>
          <w:sz w:val="22"/>
          <w:szCs w:val="22"/>
          <w:lang w:val="es-CR"/>
        </w:rPr>
      </w:pPr>
      <w:r>
        <w:rPr>
          <w:sz w:val="22"/>
          <w:szCs w:val="22"/>
          <w:lang w:val="es-CR"/>
        </w:rPr>
        <w:t>A</w:t>
      </w:r>
      <w:r w:rsidR="00773733" w:rsidRPr="00773733">
        <w:rPr>
          <w:sz w:val="22"/>
          <w:szCs w:val="22"/>
          <w:lang w:val="es-CR"/>
        </w:rPr>
        <w:t xml:space="preserve">ctivos biológicos; </w:t>
      </w:r>
    </w:p>
    <w:p w14:paraId="286C27FE" w14:textId="77777777" w:rsidR="004B7B21" w:rsidRDefault="004B7B21">
      <w:pPr>
        <w:pStyle w:val="Default"/>
        <w:numPr>
          <w:ilvl w:val="0"/>
          <w:numId w:val="304"/>
        </w:numPr>
        <w:spacing w:after="120"/>
        <w:ind w:left="1418" w:hanging="284"/>
        <w:jc w:val="both"/>
        <w:rPr>
          <w:sz w:val="22"/>
          <w:szCs w:val="22"/>
          <w:lang w:val="es-CR"/>
        </w:rPr>
      </w:pPr>
      <w:r w:rsidRPr="004B7B21">
        <w:rPr>
          <w:sz w:val="22"/>
          <w:szCs w:val="22"/>
          <w:lang w:val="es-CR"/>
        </w:rPr>
        <w:t>B</w:t>
      </w:r>
      <w:r w:rsidR="00773733" w:rsidRPr="004B7B21">
        <w:rPr>
          <w:sz w:val="22"/>
          <w:szCs w:val="22"/>
          <w:lang w:val="es-CR"/>
        </w:rPr>
        <w:t xml:space="preserve">ienes de infraestructura y de beneficio y uso público en servicio; </w:t>
      </w:r>
    </w:p>
    <w:p w14:paraId="63F05AA7" w14:textId="77777777" w:rsidR="004B7B21" w:rsidRDefault="004B7B21">
      <w:pPr>
        <w:pStyle w:val="Default"/>
        <w:numPr>
          <w:ilvl w:val="0"/>
          <w:numId w:val="304"/>
        </w:numPr>
        <w:spacing w:after="120"/>
        <w:ind w:left="1418" w:hanging="284"/>
        <w:jc w:val="both"/>
        <w:rPr>
          <w:sz w:val="22"/>
          <w:szCs w:val="22"/>
          <w:lang w:val="es-CR"/>
        </w:rPr>
      </w:pPr>
      <w:r w:rsidRPr="004B7B21">
        <w:rPr>
          <w:sz w:val="22"/>
          <w:szCs w:val="22"/>
          <w:lang w:val="es-CR"/>
        </w:rPr>
        <w:t>B</w:t>
      </w:r>
      <w:r w:rsidR="00773733" w:rsidRPr="004B7B21">
        <w:rPr>
          <w:sz w:val="22"/>
          <w:szCs w:val="22"/>
          <w:lang w:val="es-CR"/>
        </w:rPr>
        <w:t xml:space="preserve">ienes de infraestructura y de beneficio y uso público concesionados; </w:t>
      </w:r>
    </w:p>
    <w:p w14:paraId="68798A58" w14:textId="77777777" w:rsidR="004B7B21" w:rsidRDefault="004B7B21">
      <w:pPr>
        <w:pStyle w:val="Default"/>
        <w:numPr>
          <w:ilvl w:val="0"/>
          <w:numId w:val="304"/>
        </w:numPr>
        <w:spacing w:after="120"/>
        <w:ind w:left="1418" w:hanging="284"/>
        <w:jc w:val="both"/>
        <w:rPr>
          <w:sz w:val="22"/>
          <w:szCs w:val="22"/>
          <w:lang w:val="es-CR"/>
        </w:rPr>
      </w:pPr>
      <w:r w:rsidRPr="004B7B21">
        <w:rPr>
          <w:sz w:val="22"/>
          <w:szCs w:val="22"/>
          <w:lang w:val="es-CR"/>
        </w:rPr>
        <w:t>R</w:t>
      </w:r>
      <w:r w:rsidR="00773733" w:rsidRPr="004B7B21">
        <w:rPr>
          <w:sz w:val="22"/>
          <w:szCs w:val="22"/>
          <w:lang w:val="es-CR"/>
        </w:rPr>
        <w:t xml:space="preserve">ecursos naturales en explotación (agotamiento); </w:t>
      </w:r>
    </w:p>
    <w:p w14:paraId="012773A9" w14:textId="77777777" w:rsidR="004B7B21" w:rsidRDefault="004B7B21">
      <w:pPr>
        <w:pStyle w:val="Default"/>
        <w:numPr>
          <w:ilvl w:val="0"/>
          <w:numId w:val="304"/>
        </w:numPr>
        <w:spacing w:after="120"/>
        <w:ind w:left="1418" w:hanging="284"/>
        <w:jc w:val="both"/>
        <w:rPr>
          <w:sz w:val="22"/>
          <w:szCs w:val="22"/>
          <w:lang w:val="es-CR"/>
        </w:rPr>
      </w:pPr>
      <w:r w:rsidRPr="004B7B21">
        <w:rPr>
          <w:sz w:val="22"/>
          <w:szCs w:val="22"/>
          <w:lang w:val="es-CR"/>
        </w:rPr>
        <w:t>R</w:t>
      </w:r>
      <w:r w:rsidR="00773733" w:rsidRPr="004B7B21">
        <w:rPr>
          <w:sz w:val="22"/>
          <w:szCs w:val="22"/>
          <w:lang w:val="es-CR"/>
        </w:rPr>
        <w:t xml:space="preserve">ecursos naturales concesionados (agotamiento); y </w:t>
      </w:r>
    </w:p>
    <w:p w14:paraId="02F394D3" w14:textId="1A9C81AC" w:rsidR="00773733" w:rsidRPr="004B7B21" w:rsidRDefault="004B7B21">
      <w:pPr>
        <w:pStyle w:val="Default"/>
        <w:numPr>
          <w:ilvl w:val="0"/>
          <w:numId w:val="304"/>
        </w:numPr>
        <w:ind w:left="1418" w:hanging="284"/>
        <w:jc w:val="both"/>
        <w:rPr>
          <w:sz w:val="22"/>
          <w:szCs w:val="22"/>
          <w:lang w:val="es-CR"/>
        </w:rPr>
      </w:pPr>
      <w:r w:rsidRPr="004B7B21">
        <w:rPr>
          <w:sz w:val="22"/>
          <w:szCs w:val="22"/>
        </w:rPr>
        <w:t>B</w:t>
      </w:r>
      <w:r w:rsidR="00773733" w:rsidRPr="004B7B21">
        <w:rPr>
          <w:sz w:val="22"/>
          <w:szCs w:val="22"/>
        </w:rPr>
        <w:t xml:space="preserve">ienes intangibles (amortización). </w:t>
      </w:r>
    </w:p>
    <w:p w14:paraId="55A1142E" w14:textId="77777777" w:rsidR="00773733" w:rsidRDefault="00773733" w:rsidP="000B287D">
      <w:pPr>
        <w:pStyle w:val="Default"/>
        <w:rPr>
          <w:sz w:val="23"/>
          <w:szCs w:val="23"/>
        </w:rPr>
      </w:pPr>
    </w:p>
    <w:p w14:paraId="78AA4B93" w14:textId="77777777" w:rsidR="000B287D" w:rsidRDefault="000B287D" w:rsidP="000B287D">
      <w:pPr>
        <w:pStyle w:val="Default"/>
        <w:rPr>
          <w:sz w:val="23"/>
          <w:szCs w:val="23"/>
        </w:rPr>
      </w:pPr>
    </w:p>
    <w:p w14:paraId="16DD67A9" w14:textId="77777777" w:rsidR="00773733" w:rsidRPr="00773733" w:rsidRDefault="00773733" w:rsidP="00773733">
      <w:pPr>
        <w:pStyle w:val="Default"/>
        <w:jc w:val="both"/>
        <w:rPr>
          <w:b/>
          <w:bCs/>
          <w:sz w:val="22"/>
          <w:szCs w:val="22"/>
          <w:lang w:val="es-CR"/>
        </w:rPr>
      </w:pPr>
    </w:p>
    <w:tbl>
      <w:tblPr>
        <w:tblW w:w="9346" w:type="dxa"/>
        <w:tblLook w:val="04A0" w:firstRow="1" w:lastRow="0" w:firstColumn="1" w:lastColumn="0" w:noHBand="0" w:noVBand="1"/>
      </w:tblPr>
      <w:tblGrid>
        <w:gridCol w:w="416"/>
        <w:gridCol w:w="708"/>
        <w:gridCol w:w="426"/>
        <w:gridCol w:w="3693"/>
        <w:gridCol w:w="2250"/>
        <w:gridCol w:w="1853"/>
      </w:tblGrid>
      <w:tr w:rsidR="00773733" w:rsidRPr="00773733" w14:paraId="492E6D5A" w14:textId="77777777" w:rsidTr="000B28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4754357"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Norma / Política</w:t>
            </w:r>
          </w:p>
        </w:tc>
        <w:tc>
          <w:tcPr>
            <w:tcW w:w="36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01A556C6"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Concepto</w:t>
            </w:r>
          </w:p>
        </w:tc>
        <w:tc>
          <w:tcPr>
            <w:tcW w:w="4103" w:type="dxa"/>
            <w:gridSpan w:val="2"/>
            <w:tcBorders>
              <w:top w:val="single" w:sz="8" w:space="0" w:color="auto"/>
              <w:left w:val="nil"/>
              <w:bottom w:val="single" w:sz="8" w:space="0" w:color="auto"/>
              <w:right w:val="single" w:sz="8" w:space="0" w:color="000000"/>
            </w:tcBorders>
            <w:shd w:val="clear" w:color="000000" w:fill="203764"/>
            <w:vAlign w:val="center"/>
            <w:hideMark/>
          </w:tcPr>
          <w:p w14:paraId="3EFE9F34"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Referencia</w:t>
            </w:r>
          </w:p>
        </w:tc>
      </w:tr>
      <w:tr w:rsidR="00773733" w:rsidRPr="006E5442" w14:paraId="59AFA290" w14:textId="77777777" w:rsidTr="000B28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1525E45F" w14:textId="77777777" w:rsidR="00773733" w:rsidRPr="00773733" w:rsidRDefault="00773733" w:rsidP="00773733">
            <w:pPr>
              <w:rPr>
                <w:rFonts w:ascii="Arial Narrow" w:eastAsia="Times New Roman" w:hAnsi="Arial Narrow" w:cs="Calibri"/>
                <w:b/>
                <w:bCs/>
                <w:color w:val="FFFFFF"/>
                <w:sz w:val="22"/>
                <w:szCs w:val="22"/>
              </w:rPr>
            </w:pPr>
          </w:p>
        </w:tc>
        <w:tc>
          <w:tcPr>
            <w:tcW w:w="3693" w:type="dxa"/>
            <w:vMerge/>
            <w:tcBorders>
              <w:top w:val="single" w:sz="8" w:space="0" w:color="auto"/>
              <w:left w:val="single" w:sz="8" w:space="0" w:color="auto"/>
              <w:bottom w:val="nil"/>
              <w:right w:val="single" w:sz="8" w:space="0" w:color="auto"/>
            </w:tcBorders>
            <w:vAlign w:val="center"/>
            <w:hideMark/>
          </w:tcPr>
          <w:p w14:paraId="69B6DFB5" w14:textId="77777777" w:rsidR="00773733" w:rsidRPr="00773733" w:rsidRDefault="00773733" w:rsidP="00773733">
            <w:pPr>
              <w:rPr>
                <w:rFonts w:ascii="Arial Narrow" w:eastAsia="Times New Roman" w:hAnsi="Arial Narrow" w:cs="Calibri"/>
                <w:b/>
                <w:bCs/>
                <w:color w:val="FFFFFF"/>
                <w:sz w:val="22"/>
                <w:szCs w:val="22"/>
              </w:rPr>
            </w:pPr>
          </w:p>
        </w:tc>
        <w:tc>
          <w:tcPr>
            <w:tcW w:w="2250" w:type="dxa"/>
            <w:tcBorders>
              <w:top w:val="nil"/>
              <w:left w:val="nil"/>
              <w:bottom w:val="nil"/>
              <w:right w:val="single" w:sz="8" w:space="0" w:color="auto"/>
            </w:tcBorders>
            <w:shd w:val="clear" w:color="000000" w:fill="203764"/>
            <w:vAlign w:val="center"/>
            <w:hideMark/>
          </w:tcPr>
          <w:p w14:paraId="27B122BC"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518E4310" w14:textId="77777777" w:rsidR="00773733" w:rsidRPr="00773733" w:rsidRDefault="00773733" w:rsidP="00773733">
            <w:pPr>
              <w:jc w:val="center"/>
              <w:rPr>
                <w:rFonts w:ascii="Arial Narrow" w:eastAsia="Times New Roman" w:hAnsi="Arial Narrow" w:cs="Calibri"/>
                <w:b/>
                <w:bCs/>
                <w:color w:val="FFFFFF"/>
                <w:sz w:val="22"/>
                <w:szCs w:val="22"/>
                <w:lang w:val="es-CR"/>
              </w:rPr>
            </w:pPr>
            <w:r w:rsidRPr="00773733">
              <w:rPr>
                <w:rFonts w:ascii="Arial Narrow" w:eastAsia="Times New Roman" w:hAnsi="Arial Narrow" w:cs="Calibri"/>
                <w:b/>
                <w:bCs/>
                <w:color w:val="FFFFFF"/>
                <w:sz w:val="22"/>
                <w:szCs w:val="22"/>
                <w:lang w:val="es-CR"/>
              </w:rPr>
              <w:t>Normativa técnica y disposiciones adicionales</w:t>
            </w:r>
          </w:p>
        </w:tc>
      </w:tr>
      <w:tr w:rsidR="00773733" w:rsidRPr="00773733" w14:paraId="161458C1" w14:textId="77777777" w:rsidTr="000B28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FC61C7"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A3FE59D"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37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058751A"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xml:space="preserve"> </w:t>
            </w:r>
          </w:p>
        </w:tc>
        <w:tc>
          <w:tcPr>
            <w:tcW w:w="3693" w:type="dxa"/>
            <w:tcBorders>
              <w:top w:val="single" w:sz="8" w:space="0" w:color="auto"/>
              <w:left w:val="nil"/>
              <w:bottom w:val="single" w:sz="8" w:space="0" w:color="auto"/>
              <w:right w:val="single" w:sz="8" w:space="0" w:color="auto"/>
            </w:tcBorders>
            <w:shd w:val="clear" w:color="auto" w:fill="auto"/>
            <w:vAlign w:val="center"/>
            <w:hideMark/>
          </w:tcPr>
          <w:p w14:paraId="6C9141B5" w14:textId="77777777" w:rsidR="00773733" w:rsidRPr="00773733" w:rsidRDefault="00773733" w:rsidP="00773733">
            <w:pPr>
              <w:jc w:val="both"/>
              <w:rPr>
                <w:rFonts w:ascii="Arial Narrow" w:eastAsia="Times New Roman" w:hAnsi="Arial Narrow" w:cs="Calibri"/>
                <w:b/>
                <w:bCs/>
                <w:color w:val="000000"/>
                <w:sz w:val="22"/>
                <w:szCs w:val="22"/>
                <w:lang w:val="es-CR"/>
              </w:rPr>
            </w:pPr>
            <w:r w:rsidRPr="00773733">
              <w:rPr>
                <w:rFonts w:ascii="Arial Narrow" w:eastAsia="Times New Roman" w:hAnsi="Arial Narrow" w:cs="Calibri"/>
                <w:b/>
                <w:bCs/>
                <w:color w:val="000000"/>
                <w:sz w:val="22"/>
                <w:szCs w:val="22"/>
                <w:lang w:val="es-CR"/>
              </w:rPr>
              <w:t>Depreciación de los bienes dados en arrendamiento operativo</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479F8D0F" w14:textId="66E53B59" w:rsidR="004B7B21"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xml:space="preserve">NICSP N° 13, </w:t>
            </w:r>
          </w:p>
          <w:p w14:paraId="1B929FBD" w14:textId="77E281EE" w:rsidR="00773733" w:rsidRPr="00773733" w:rsidRDefault="00773733" w:rsidP="00773733">
            <w:pPr>
              <w:jc w:val="both"/>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Párrafo 66.</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6306C730" w14:textId="77777777" w:rsidR="00773733" w:rsidRPr="00773733" w:rsidRDefault="00773733" w:rsidP="00773733">
            <w:pP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xml:space="preserve"> </w:t>
            </w:r>
          </w:p>
        </w:tc>
      </w:tr>
    </w:tbl>
    <w:p w14:paraId="7C535332" w14:textId="77777777" w:rsidR="00773733" w:rsidRDefault="00773733" w:rsidP="0032280D">
      <w:pPr>
        <w:pStyle w:val="Default"/>
        <w:ind w:left="1134" w:hanging="1134"/>
        <w:jc w:val="both"/>
        <w:rPr>
          <w:b/>
          <w:bCs/>
          <w:sz w:val="22"/>
          <w:szCs w:val="22"/>
          <w:lang w:val="es-CR"/>
        </w:rPr>
      </w:pPr>
    </w:p>
    <w:p w14:paraId="2725487A" w14:textId="0D212C7C" w:rsidR="000B287D" w:rsidRDefault="000B287D" w:rsidP="000B287D">
      <w:pPr>
        <w:pStyle w:val="Default"/>
        <w:ind w:left="1134" w:hanging="1134"/>
        <w:jc w:val="both"/>
        <w:rPr>
          <w:rFonts w:eastAsia="Arial"/>
          <w:b/>
          <w:sz w:val="22"/>
          <w:szCs w:val="22"/>
        </w:rPr>
      </w:pPr>
      <w:r w:rsidRPr="00F02F9D">
        <w:rPr>
          <w:rFonts w:eastAsia="Arial"/>
          <w:b/>
          <w:sz w:val="22"/>
          <w:szCs w:val="22"/>
        </w:rPr>
        <w:t>Política Contable</w:t>
      </w:r>
    </w:p>
    <w:p w14:paraId="12C83EFE" w14:textId="77777777" w:rsidR="000B287D" w:rsidRDefault="000B287D" w:rsidP="0032280D">
      <w:pPr>
        <w:pStyle w:val="Default"/>
        <w:ind w:left="1134" w:hanging="1134"/>
        <w:jc w:val="both"/>
        <w:rPr>
          <w:b/>
          <w:bCs/>
          <w:sz w:val="22"/>
          <w:szCs w:val="22"/>
          <w:lang w:val="es-CR"/>
        </w:rPr>
      </w:pPr>
    </w:p>
    <w:p w14:paraId="2E658AF8" w14:textId="3409EF26" w:rsidR="00862864" w:rsidRDefault="00041A77" w:rsidP="0032280D">
      <w:pPr>
        <w:pStyle w:val="Default"/>
        <w:ind w:left="1134" w:hanging="1134"/>
        <w:jc w:val="both"/>
        <w:rPr>
          <w:sz w:val="23"/>
          <w:szCs w:val="23"/>
          <w:lang w:val="es-CR"/>
        </w:rPr>
      </w:pPr>
      <w:r>
        <w:rPr>
          <w:sz w:val="23"/>
          <w:szCs w:val="23"/>
          <w:lang w:val="es-CR"/>
        </w:rPr>
        <w:t>5.37.0.01</w:t>
      </w:r>
      <w:r>
        <w:rPr>
          <w:sz w:val="23"/>
          <w:szCs w:val="23"/>
          <w:lang w:val="es-CR"/>
        </w:rPr>
        <w:tab/>
      </w:r>
      <w:r w:rsidR="00773733" w:rsidRPr="00773733">
        <w:rPr>
          <w:sz w:val="23"/>
          <w:szCs w:val="23"/>
          <w:lang w:val="es-CR"/>
        </w:rPr>
        <w:t>La depreciación de los activos arrendados y su consiguiente reconocimiento como gasto de cada período (o en su caso, como costo de producción de otros activos) se efectuará conforme a los lineamentos generales establecidos para los activos fijos.</w:t>
      </w:r>
    </w:p>
    <w:p w14:paraId="24224EBE" w14:textId="77777777" w:rsidR="000B287D" w:rsidRDefault="000B287D" w:rsidP="0032280D">
      <w:pPr>
        <w:pStyle w:val="Default"/>
        <w:ind w:left="1134" w:hanging="1134"/>
        <w:jc w:val="both"/>
        <w:rPr>
          <w:sz w:val="23"/>
          <w:szCs w:val="23"/>
          <w:lang w:val="es-CR"/>
        </w:rPr>
      </w:pPr>
    </w:p>
    <w:p w14:paraId="7A337965" w14:textId="77777777" w:rsidR="000B287D" w:rsidRDefault="000B287D" w:rsidP="0032280D">
      <w:pPr>
        <w:pStyle w:val="Default"/>
        <w:ind w:left="1134" w:hanging="1134"/>
        <w:jc w:val="both"/>
        <w:rPr>
          <w:sz w:val="23"/>
          <w:szCs w:val="23"/>
          <w:lang w:val="es-CR"/>
        </w:rPr>
      </w:pPr>
    </w:p>
    <w:p w14:paraId="576CA964" w14:textId="77777777" w:rsidR="000B287D" w:rsidRDefault="000B287D" w:rsidP="0032280D">
      <w:pPr>
        <w:pStyle w:val="Default"/>
        <w:ind w:left="1134" w:hanging="1134"/>
        <w:jc w:val="both"/>
        <w:rPr>
          <w:sz w:val="23"/>
          <w:szCs w:val="23"/>
          <w:lang w:val="es-CR"/>
        </w:rPr>
      </w:pPr>
    </w:p>
    <w:p w14:paraId="0B8DC0D6" w14:textId="77777777" w:rsidR="000B287D" w:rsidRDefault="000B287D" w:rsidP="0032280D">
      <w:pPr>
        <w:pStyle w:val="Default"/>
        <w:ind w:left="1134" w:hanging="1134"/>
        <w:jc w:val="both"/>
        <w:rPr>
          <w:sz w:val="23"/>
          <w:szCs w:val="23"/>
          <w:lang w:val="es-CR"/>
        </w:rPr>
      </w:pPr>
    </w:p>
    <w:p w14:paraId="1B7126B0" w14:textId="77777777" w:rsidR="000B287D" w:rsidRDefault="000B287D" w:rsidP="0032280D">
      <w:pPr>
        <w:pStyle w:val="Default"/>
        <w:ind w:left="1134" w:hanging="1134"/>
        <w:jc w:val="both"/>
        <w:rPr>
          <w:sz w:val="23"/>
          <w:szCs w:val="23"/>
          <w:lang w:val="es-CR"/>
        </w:rPr>
      </w:pPr>
    </w:p>
    <w:p w14:paraId="34C8E863" w14:textId="77777777" w:rsidR="000B287D" w:rsidRPr="00773733" w:rsidRDefault="000B287D" w:rsidP="0032280D">
      <w:pPr>
        <w:pStyle w:val="Default"/>
        <w:ind w:left="1134" w:hanging="1134"/>
        <w:jc w:val="both"/>
        <w:rPr>
          <w:sz w:val="22"/>
          <w:szCs w:val="22"/>
          <w:lang w:val="es-CR"/>
        </w:rPr>
      </w:pPr>
    </w:p>
    <w:p w14:paraId="4369137F" w14:textId="77777777" w:rsidR="00862864" w:rsidRDefault="00862864" w:rsidP="0032280D">
      <w:pPr>
        <w:pStyle w:val="Default"/>
        <w:ind w:left="1134" w:hanging="1134"/>
        <w:jc w:val="both"/>
        <w:rPr>
          <w:sz w:val="22"/>
          <w:szCs w:val="22"/>
          <w:lang w:val="es-CR"/>
        </w:rPr>
      </w:pPr>
    </w:p>
    <w:tbl>
      <w:tblPr>
        <w:tblW w:w="9346" w:type="dxa"/>
        <w:tblLayout w:type="fixed"/>
        <w:tblLook w:val="04A0" w:firstRow="1" w:lastRow="0" w:firstColumn="1" w:lastColumn="0" w:noHBand="0" w:noVBand="1"/>
      </w:tblPr>
      <w:tblGrid>
        <w:gridCol w:w="416"/>
        <w:gridCol w:w="708"/>
        <w:gridCol w:w="426"/>
        <w:gridCol w:w="3694"/>
        <w:gridCol w:w="2251"/>
        <w:gridCol w:w="1851"/>
      </w:tblGrid>
      <w:tr w:rsidR="00773733" w:rsidRPr="00773733" w14:paraId="6917D914" w14:textId="77777777" w:rsidTr="000B28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D2EBFC5"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lastRenderedPageBreak/>
              <w:t>Norma / Política</w:t>
            </w:r>
          </w:p>
        </w:tc>
        <w:tc>
          <w:tcPr>
            <w:tcW w:w="3694" w:type="dxa"/>
            <w:vMerge w:val="restart"/>
            <w:tcBorders>
              <w:top w:val="single" w:sz="8" w:space="0" w:color="auto"/>
              <w:left w:val="single" w:sz="8" w:space="0" w:color="auto"/>
              <w:bottom w:val="nil"/>
              <w:right w:val="single" w:sz="8" w:space="0" w:color="auto"/>
            </w:tcBorders>
            <w:shd w:val="clear" w:color="000000" w:fill="203764"/>
            <w:vAlign w:val="center"/>
            <w:hideMark/>
          </w:tcPr>
          <w:p w14:paraId="657FCB9F"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Concepto</w:t>
            </w:r>
          </w:p>
        </w:tc>
        <w:tc>
          <w:tcPr>
            <w:tcW w:w="4102" w:type="dxa"/>
            <w:gridSpan w:val="2"/>
            <w:tcBorders>
              <w:top w:val="single" w:sz="8" w:space="0" w:color="auto"/>
              <w:left w:val="nil"/>
              <w:bottom w:val="single" w:sz="8" w:space="0" w:color="auto"/>
              <w:right w:val="single" w:sz="8" w:space="0" w:color="000000"/>
            </w:tcBorders>
            <w:shd w:val="clear" w:color="000000" w:fill="203764"/>
            <w:vAlign w:val="center"/>
            <w:hideMark/>
          </w:tcPr>
          <w:p w14:paraId="72B3718B"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Referencia</w:t>
            </w:r>
          </w:p>
        </w:tc>
      </w:tr>
      <w:tr w:rsidR="00773733" w:rsidRPr="006E5442" w14:paraId="06F14D7C" w14:textId="77777777" w:rsidTr="000B28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52EFD092" w14:textId="77777777" w:rsidR="00773733" w:rsidRPr="00773733" w:rsidRDefault="00773733" w:rsidP="00773733">
            <w:pPr>
              <w:rPr>
                <w:rFonts w:ascii="Arial Narrow" w:eastAsia="Times New Roman" w:hAnsi="Arial Narrow" w:cs="Calibri"/>
                <w:b/>
                <w:bCs/>
                <w:color w:val="FFFFFF"/>
                <w:sz w:val="22"/>
                <w:szCs w:val="22"/>
              </w:rPr>
            </w:pPr>
          </w:p>
        </w:tc>
        <w:tc>
          <w:tcPr>
            <w:tcW w:w="3694" w:type="dxa"/>
            <w:vMerge/>
            <w:tcBorders>
              <w:top w:val="single" w:sz="8" w:space="0" w:color="auto"/>
              <w:left w:val="single" w:sz="8" w:space="0" w:color="auto"/>
              <w:bottom w:val="nil"/>
              <w:right w:val="single" w:sz="8" w:space="0" w:color="auto"/>
            </w:tcBorders>
            <w:vAlign w:val="center"/>
            <w:hideMark/>
          </w:tcPr>
          <w:p w14:paraId="552157FD" w14:textId="77777777" w:rsidR="00773733" w:rsidRPr="00773733" w:rsidRDefault="00773733" w:rsidP="00773733">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7B3974C6" w14:textId="77777777" w:rsidR="00773733" w:rsidRPr="00773733" w:rsidRDefault="00773733" w:rsidP="00773733">
            <w:pPr>
              <w:jc w:val="center"/>
              <w:rPr>
                <w:rFonts w:ascii="Arial Narrow" w:eastAsia="Times New Roman" w:hAnsi="Arial Narrow" w:cs="Calibri"/>
                <w:b/>
                <w:bCs/>
                <w:color w:val="FFFFFF"/>
                <w:sz w:val="22"/>
                <w:szCs w:val="22"/>
              </w:rPr>
            </w:pPr>
            <w:r w:rsidRPr="00773733">
              <w:rPr>
                <w:rFonts w:ascii="Arial Narrow" w:eastAsia="Times New Roman" w:hAnsi="Arial Narrow" w:cs="Calibri"/>
                <w:b/>
                <w:bCs/>
                <w:color w:val="FFFFFF"/>
                <w:sz w:val="22"/>
                <w:szCs w:val="22"/>
              </w:rPr>
              <w:t>Norma</w:t>
            </w:r>
          </w:p>
        </w:tc>
        <w:tc>
          <w:tcPr>
            <w:tcW w:w="1851" w:type="dxa"/>
            <w:tcBorders>
              <w:top w:val="nil"/>
              <w:left w:val="nil"/>
              <w:bottom w:val="nil"/>
              <w:right w:val="single" w:sz="8" w:space="0" w:color="auto"/>
            </w:tcBorders>
            <w:shd w:val="clear" w:color="000000" w:fill="203764"/>
            <w:vAlign w:val="center"/>
            <w:hideMark/>
          </w:tcPr>
          <w:p w14:paraId="6641D766" w14:textId="77777777" w:rsidR="00773733" w:rsidRPr="00773733" w:rsidRDefault="00773733" w:rsidP="00773733">
            <w:pPr>
              <w:jc w:val="center"/>
              <w:rPr>
                <w:rFonts w:ascii="Arial Narrow" w:eastAsia="Times New Roman" w:hAnsi="Arial Narrow" w:cs="Calibri"/>
                <w:b/>
                <w:bCs/>
                <w:color w:val="FFFFFF"/>
                <w:sz w:val="22"/>
                <w:szCs w:val="22"/>
                <w:lang w:val="es-CR"/>
              </w:rPr>
            </w:pPr>
            <w:r w:rsidRPr="00773733">
              <w:rPr>
                <w:rFonts w:ascii="Arial Narrow" w:eastAsia="Times New Roman" w:hAnsi="Arial Narrow" w:cs="Calibri"/>
                <w:b/>
                <w:bCs/>
                <w:color w:val="FFFFFF"/>
                <w:sz w:val="22"/>
                <w:szCs w:val="22"/>
                <w:lang w:val="es-CR"/>
              </w:rPr>
              <w:t>Normativa técnica y disposiciones adicionales</w:t>
            </w:r>
          </w:p>
        </w:tc>
      </w:tr>
      <w:tr w:rsidR="00773733" w:rsidRPr="00773733" w14:paraId="00B143B8" w14:textId="77777777" w:rsidTr="000B287D">
        <w:trPr>
          <w:trHeight w:val="113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3630F6"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4013FEF"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39</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EFE8352" w14:textId="77777777" w:rsidR="00773733" w:rsidRPr="00773733" w:rsidRDefault="00773733" w:rsidP="00773733">
            <w:pPr>
              <w:jc w:val="center"/>
              <w:rPr>
                <w:rFonts w:ascii="Arial Narrow" w:eastAsia="Times New Roman" w:hAnsi="Arial Narrow" w:cs="Calibri"/>
                <w:b/>
                <w:bCs/>
                <w:color w:val="000000"/>
                <w:sz w:val="22"/>
                <w:szCs w:val="22"/>
              </w:rPr>
            </w:pPr>
            <w:r w:rsidRPr="00773733">
              <w:rPr>
                <w:rFonts w:ascii="Arial Narrow" w:eastAsia="Times New Roman" w:hAnsi="Arial Narrow" w:cs="Calibri"/>
                <w:b/>
                <w:bCs/>
                <w:color w:val="000000"/>
                <w:sz w:val="22"/>
                <w:szCs w:val="22"/>
              </w:rPr>
              <w:t xml:space="preserve"> </w:t>
            </w:r>
          </w:p>
        </w:tc>
        <w:tc>
          <w:tcPr>
            <w:tcW w:w="3694" w:type="dxa"/>
            <w:tcBorders>
              <w:top w:val="single" w:sz="8" w:space="0" w:color="auto"/>
              <w:left w:val="nil"/>
              <w:bottom w:val="single" w:sz="8" w:space="0" w:color="auto"/>
              <w:right w:val="single" w:sz="8" w:space="0" w:color="auto"/>
            </w:tcBorders>
            <w:shd w:val="clear" w:color="auto" w:fill="auto"/>
            <w:vAlign w:val="center"/>
            <w:hideMark/>
          </w:tcPr>
          <w:p w14:paraId="6500D646" w14:textId="77777777" w:rsidR="00773733" w:rsidRPr="00773733" w:rsidRDefault="00773733" w:rsidP="00773733">
            <w:pPr>
              <w:jc w:val="both"/>
              <w:rPr>
                <w:rFonts w:ascii="Arial Narrow" w:eastAsia="Times New Roman" w:hAnsi="Arial Narrow" w:cs="Calibri"/>
                <w:b/>
                <w:bCs/>
                <w:color w:val="000000"/>
                <w:sz w:val="22"/>
                <w:szCs w:val="22"/>
                <w:lang w:val="es-CR"/>
              </w:rPr>
            </w:pPr>
            <w:r w:rsidRPr="00773733">
              <w:rPr>
                <w:rFonts w:ascii="Arial Narrow" w:eastAsia="Times New Roman" w:hAnsi="Arial Narrow" w:cs="Calibri"/>
                <w:b/>
                <w:bCs/>
                <w:color w:val="000000"/>
                <w:sz w:val="22"/>
                <w:szCs w:val="22"/>
                <w:lang w:val="es-CR"/>
              </w:rPr>
              <w:t>Reconocimiento de depreciaciones y amortizaciones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169D0E06" w14:textId="77777777" w:rsidR="004B7B21" w:rsidRDefault="00773733" w:rsidP="00773733">
            <w:pPr>
              <w:jc w:val="both"/>
              <w:rPr>
                <w:rFonts w:ascii="Arial Narrow" w:eastAsia="Times New Roman" w:hAnsi="Arial Narrow" w:cs="Calibri"/>
                <w:b/>
                <w:bCs/>
                <w:color w:val="000000"/>
                <w:sz w:val="22"/>
                <w:szCs w:val="22"/>
                <w:lang w:val="es-CR"/>
              </w:rPr>
            </w:pPr>
            <w:r w:rsidRPr="00773733">
              <w:rPr>
                <w:rFonts w:ascii="Arial Narrow" w:eastAsia="Times New Roman" w:hAnsi="Arial Narrow" w:cs="Calibri"/>
                <w:b/>
                <w:bCs/>
                <w:color w:val="000000"/>
                <w:sz w:val="22"/>
                <w:szCs w:val="22"/>
                <w:lang w:val="es-CR"/>
              </w:rPr>
              <w:t xml:space="preserve">NICSP N° 17, </w:t>
            </w:r>
          </w:p>
          <w:p w14:paraId="3BC83DB5" w14:textId="77777777" w:rsidR="000B287D" w:rsidRDefault="00773733" w:rsidP="00773733">
            <w:pPr>
              <w:jc w:val="both"/>
              <w:rPr>
                <w:rFonts w:ascii="Arial Narrow" w:eastAsia="Times New Roman" w:hAnsi="Arial Narrow" w:cs="Calibri"/>
                <w:b/>
                <w:bCs/>
                <w:color w:val="000000"/>
                <w:sz w:val="22"/>
                <w:szCs w:val="22"/>
                <w:lang w:val="es-CR"/>
              </w:rPr>
            </w:pPr>
            <w:r w:rsidRPr="00773733">
              <w:rPr>
                <w:rFonts w:ascii="Arial Narrow" w:eastAsia="Times New Roman" w:hAnsi="Arial Narrow" w:cs="Calibri"/>
                <w:b/>
                <w:bCs/>
                <w:color w:val="000000"/>
                <w:sz w:val="22"/>
                <w:szCs w:val="22"/>
                <w:lang w:val="es-CR"/>
              </w:rPr>
              <w:t>Párrafos 64 y 65.</w:t>
            </w:r>
          </w:p>
          <w:p w14:paraId="1ED39F45" w14:textId="32B3EE43" w:rsidR="004B7B21" w:rsidRDefault="00773733" w:rsidP="00773733">
            <w:pPr>
              <w:jc w:val="both"/>
              <w:rPr>
                <w:rFonts w:ascii="Arial Narrow" w:eastAsia="Times New Roman" w:hAnsi="Arial Narrow" w:cs="Calibri"/>
                <w:b/>
                <w:bCs/>
                <w:color w:val="000000"/>
                <w:sz w:val="22"/>
                <w:szCs w:val="22"/>
                <w:lang w:val="es-CR"/>
              </w:rPr>
            </w:pPr>
            <w:r w:rsidRPr="00773733">
              <w:rPr>
                <w:rFonts w:ascii="Arial Narrow" w:eastAsia="Times New Roman" w:hAnsi="Arial Narrow" w:cs="Calibri"/>
                <w:b/>
                <w:bCs/>
                <w:color w:val="000000"/>
                <w:sz w:val="22"/>
                <w:szCs w:val="22"/>
                <w:lang w:val="es-CR"/>
              </w:rPr>
              <w:t xml:space="preserve">NICSP N° 31, </w:t>
            </w:r>
          </w:p>
          <w:p w14:paraId="6C293470" w14:textId="222FCCE1" w:rsidR="00773733" w:rsidRPr="00773733" w:rsidRDefault="00773733" w:rsidP="00773733">
            <w:pPr>
              <w:jc w:val="both"/>
              <w:rPr>
                <w:rFonts w:ascii="Arial Narrow" w:eastAsia="Times New Roman" w:hAnsi="Arial Narrow" w:cs="Calibri"/>
                <w:b/>
                <w:bCs/>
                <w:color w:val="000000"/>
                <w:sz w:val="22"/>
                <w:szCs w:val="22"/>
                <w:lang w:val="es-CR"/>
              </w:rPr>
            </w:pPr>
            <w:r w:rsidRPr="00773733">
              <w:rPr>
                <w:rFonts w:ascii="Arial Narrow" w:eastAsia="Times New Roman" w:hAnsi="Arial Narrow" w:cs="Calibri"/>
                <w:b/>
                <w:bCs/>
                <w:color w:val="000000"/>
                <w:sz w:val="22"/>
                <w:szCs w:val="22"/>
                <w:lang w:val="es-CR"/>
              </w:rPr>
              <w:t>Párrafo 96 y 116</w:t>
            </w:r>
          </w:p>
        </w:tc>
        <w:tc>
          <w:tcPr>
            <w:tcW w:w="1851" w:type="dxa"/>
            <w:tcBorders>
              <w:top w:val="single" w:sz="8" w:space="0" w:color="auto"/>
              <w:left w:val="nil"/>
              <w:bottom w:val="single" w:sz="8" w:space="0" w:color="auto"/>
              <w:right w:val="single" w:sz="8" w:space="0" w:color="auto"/>
            </w:tcBorders>
            <w:shd w:val="clear" w:color="auto" w:fill="auto"/>
            <w:vAlign w:val="center"/>
            <w:hideMark/>
          </w:tcPr>
          <w:p w14:paraId="03CD93F1" w14:textId="77777777" w:rsidR="00773733" w:rsidRPr="00773733" w:rsidRDefault="00773733" w:rsidP="00773733">
            <w:pPr>
              <w:rPr>
                <w:rFonts w:ascii="Arial Narrow" w:eastAsia="Times New Roman" w:hAnsi="Arial Narrow" w:cs="Calibri"/>
                <w:b/>
                <w:bCs/>
                <w:color w:val="000000"/>
                <w:sz w:val="22"/>
                <w:szCs w:val="22"/>
                <w:lang w:val="es-CR"/>
              </w:rPr>
            </w:pPr>
            <w:r w:rsidRPr="00773733">
              <w:rPr>
                <w:rFonts w:ascii="Arial Narrow" w:eastAsia="Times New Roman" w:hAnsi="Arial Narrow" w:cs="Calibri"/>
                <w:b/>
                <w:bCs/>
                <w:color w:val="000000"/>
                <w:sz w:val="22"/>
                <w:szCs w:val="22"/>
                <w:lang w:val="es-CR"/>
              </w:rPr>
              <w:t xml:space="preserve"> </w:t>
            </w:r>
          </w:p>
        </w:tc>
      </w:tr>
    </w:tbl>
    <w:p w14:paraId="0FD1D23D" w14:textId="77777777" w:rsidR="00773733" w:rsidRDefault="00773733" w:rsidP="0032280D">
      <w:pPr>
        <w:pStyle w:val="Default"/>
        <w:ind w:left="1134" w:hanging="1134"/>
        <w:jc w:val="both"/>
        <w:rPr>
          <w:sz w:val="22"/>
          <w:szCs w:val="22"/>
          <w:lang w:val="es-CR"/>
        </w:rPr>
      </w:pPr>
    </w:p>
    <w:p w14:paraId="2E84228A" w14:textId="1AC1FC0C" w:rsidR="000B287D" w:rsidRDefault="000B287D" w:rsidP="0032280D">
      <w:pPr>
        <w:pStyle w:val="Default"/>
        <w:ind w:left="1134" w:hanging="1134"/>
        <w:jc w:val="both"/>
        <w:rPr>
          <w:rFonts w:eastAsia="Arial"/>
          <w:b/>
          <w:sz w:val="22"/>
          <w:szCs w:val="22"/>
        </w:rPr>
      </w:pPr>
      <w:r w:rsidRPr="00F02F9D">
        <w:rPr>
          <w:rFonts w:eastAsia="Arial"/>
          <w:b/>
          <w:sz w:val="22"/>
          <w:szCs w:val="22"/>
        </w:rPr>
        <w:t>Política Contable</w:t>
      </w:r>
    </w:p>
    <w:p w14:paraId="553B302E" w14:textId="77777777" w:rsidR="000B287D" w:rsidRPr="00773733" w:rsidRDefault="000B287D" w:rsidP="0032280D">
      <w:pPr>
        <w:pStyle w:val="Default"/>
        <w:ind w:left="1134" w:hanging="1134"/>
        <w:jc w:val="both"/>
        <w:rPr>
          <w:sz w:val="22"/>
          <w:szCs w:val="22"/>
          <w:lang w:val="es-CR"/>
        </w:rPr>
      </w:pPr>
    </w:p>
    <w:p w14:paraId="5EA2B144" w14:textId="5AF768C3" w:rsidR="00862864" w:rsidRDefault="00041A77" w:rsidP="0032280D">
      <w:pPr>
        <w:pStyle w:val="Default"/>
        <w:ind w:left="1134" w:hanging="1134"/>
        <w:jc w:val="both"/>
        <w:rPr>
          <w:sz w:val="22"/>
          <w:szCs w:val="22"/>
          <w:lang w:val="es-CR"/>
        </w:rPr>
      </w:pPr>
      <w:r>
        <w:rPr>
          <w:sz w:val="22"/>
          <w:szCs w:val="22"/>
          <w:lang w:val="es-CR"/>
        </w:rPr>
        <w:t>5.39.0.01</w:t>
      </w:r>
      <w:r>
        <w:rPr>
          <w:sz w:val="22"/>
          <w:szCs w:val="22"/>
          <w:lang w:val="es-CR"/>
        </w:rPr>
        <w:tab/>
      </w:r>
      <w:r w:rsidR="00773733" w:rsidRPr="00773733">
        <w:rPr>
          <w:sz w:val="22"/>
          <w:szCs w:val="22"/>
          <w:lang w:val="es-CR"/>
        </w:rPr>
        <w:t xml:space="preserve">El cargo por depreciación de bienes del activo </w:t>
      </w:r>
      <w:r w:rsidR="004B7B21" w:rsidRPr="00773733">
        <w:rPr>
          <w:sz w:val="22"/>
          <w:szCs w:val="22"/>
          <w:lang w:val="es-CR"/>
        </w:rPr>
        <w:t>fijo,</w:t>
      </w:r>
      <w:r w:rsidR="00773733" w:rsidRPr="00773733">
        <w:rPr>
          <w:sz w:val="22"/>
          <w:szCs w:val="22"/>
          <w:lang w:val="es-CR"/>
        </w:rPr>
        <w:t xml:space="preserve"> así como el cargo por amortización de activos intangibles con vida útil finita se reconocerán en el resultado (ahorro o desahorro) de cada período, a menos que se haya incluido el importe en la producción de otros activos (incluyendo actividades de desarrollo de activos intangibles, conforme las políticas pertinentes).</w:t>
      </w:r>
    </w:p>
    <w:p w14:paraId="728C573C" w14:textId="77777777" w:rsidR="00773733" w:rsidRDefault="00773733" w:rsidP="0032280D">
      <w:pPr>
        <w:pStyle w:val="Default"/>
        <w:ind w:left="1134" w:hanging="1134"/>
        <w:jc w:val="both"/>
        <w:rPr>
          <w:sz w:val="22"/>
          <w:szCs w:val="22"/>
          <w:lang w:val="es-CR"/>
        </w:rPr>
      </w:pPr>
    </w:p>
    <w:p w14:paraId="270D5615" w14:textId="77777777" w:rsidR="00773733" w:rsidRDefault="00773733" w:rsidP="0032280D">
      <w:pPr>
        <w:pStyle w:val="Default"/>
        <w:ind w:left="1134" w:hanging="1134"/>
        <w:jc w:val="both"/>
        <w:rPr>
          <w:sz w:val="22"/>
          <w:szCs w:val="22"/>
          <w:lang w:val="es-CR"/>
        </w:rPr>
      </w:pPr>
    </w:p>
    <w:p w14:paraId="4F21EBEE" w14:textId="77777777" w:rsidR="000B287D" w:rsidRDefault="000B287D" w:rsidP="0032280D">
      <w:pPr>
        <w:pStyle w:val="Default"/>
        <w:ind w:left="1134" w:hanging="1134"/>
        <w:jc w:val="both"/>
        <w:rPr>
          <w:sz w:val="22"/>
          <w:szCs w:val="22"/>
          <w:lang w:val="es-CR"/>
        </w:rPr>
      </w:pPr>
    </w:p>
    <w:p w14:paraId="0F35C0C0" w14:textId="77777777" w:rsidR="00773733" w:rsidRPr="00773733" w:rsidRDefault="00773733" w:rsidP="00773733">
      <w:pPr>
        <w:pStyle w:val="Ttulo2"/>
        <w:ind w:left="284"/>
        <w:jc w:val="both"/>
        <w:rPr>
          <w:rFonts w:ascii="Arial" w:eastAsia="Arial" w:hAnsi="Arial" w:cs="Arial"/>
          <w:b/>
          <w:bCs/>
          <w:sz w:val="22"/>
          <w:szCs w:val="22"/>
          <w:lang w:val="es-CR"/>
        </w:rPr>
      </w:pPr>
      <w:bookmarkStart w:id="163" w:name="_Toc172726298"/>
      <w:r w:rsidRPr="00773733">
        <w:rPr>
          <w:rFonts w:ascii="Arial" w:eastAsia="Arial" w:hAnsi="Arial" w:cs="Arial"/>
          <w:b/>
          <w:bCs/>
          <w:sz w:val="22"/>
          <w:szCs w:val="22"/>
          <w:lang w:val="es-CR"/>
        </w:rPr>
        <w:t>Otros gastos vinculados con activos no financieros</w:t>
      </w:r>
      <w:bookmarkEnd w:id="163"/>
      <w:r w:rsidRPr="00773733">
        <w:rPr>
          <w:rFonts w:ascii="Arial" w:eastAsia="Arial" w:hAnsi="Arial" w:cs="Arial"/>
          <w:b/>
          <w:bCs/>
          <w:sz w:val="22"/>
          <w:szCs w:val="22"/>
          <w:lang w:val="es-CR"/>
        </w:rPr>
        <w:t xml:space="preserve"> </w:t>
      </w:r>
    </w:p>
    <w:p w14:paraId="2911C9C5" w14:textId="77777777" w:rsidR="00773733" w:rsidRPr="00773733" w:rsidRDefault="00773733" w:rsidP="0032280D">
      <w:pPr>
        <w:pStyle w:val="Default"/>
        <w:ind w:left="1134" w:hanging="1134"/>
        <w:jc w:val="both"/>
        <w:rPr>
          <w:sz w:val="22"/>
          <w:szCs w:val="22"/>
          <w:lang w:val="es-CR"/>
        </w:rPr>
      </w:pPr>
    </w:p>
    <w:p w14:paraId="0A151BE6" w14:textId="77777777" w:rsidR="00862864" w:rsidRPr="00773733" w:rsidRDefault="00862864" w:rsidP="0032280D">
      <w:pPr>
        <w:pStyle w:val="Default"/>
        <w:ind w:left="1134" w:hanging="1134"/>
        <w:jc w:val="both"/>
        <w:rPr>
          <w:sz w:val="22"/>
          <w:szCs w:val="22"/>
          <w:lang w:val="es-CR"/>
        </w:rPr>
      </w:pPr>
    </w:p>
    <w:p w14:paraId="0D434D7B" w14:textId="6A001504" w:rsidR="000B287D" w:rsidRPr="000B287D" w:rsidRDefault="00773733" w:rsidP="000B287D">
      <w:pPr>
        <w:pStyle w:val="Ttulo2"/>
        <w:ind w:left="284"/>
        <w:jc w:val="both"/>
        <w:rPr>
          <w:rFonts w:ascii="Arial" w:eastAsia="Arial" w:hAnsi="Arial" w:cs="Arial"/>
          <w:b/>
          <w:bCs/>
          <w:sz w:val="22"/>
          <w:szCs w:val="22"/>
          <w:lang w:val="es-CR"/>
        </w:rPr>
      </w:pPr>
      <w:bookmarkStart w:id="164" w:name="_Toc172726299"/>
      <w:r w:rsidRPr="00773733">
        <w:rPr>
          <w:rFonts w:ascii="Arial" w:eastAsia="Arial" w:hAnsi="Arial" w:cs="Arial"/>
          <w:b/>
          <w:bCs/>
          <w:sz w:val="22"/>
          <w:szCs w:val="22"/>
          <w:lang w:val="es-CR"/>
        </w:rPr>
        <w:t>Deterioro de activos no financieros</w:t>
      </w:r>
      <w:bookmarkEnd w:id="164"/>
    </w:p>
    <w:p w14:paraId="1EC66595" w14:textId="77777777" w:rsidR="00862864" w:rsidRDefault="00862864" w:rsidP="0032280D">
      <w:pPr>
        <w:pStyle w:val="Default"/>
        <w:ind w:left="1134" w:hanging="1134"/>
        <w:jc w:val="both"/>
        <w:rPr>
          <w:sz w:val="22"/>
          <w:szCs w:val="22"/>
          <w:lang w:val="es-CR"/>
        </w:rPr>
      </w:pPr>
    </w:p>
    <w:p w14:paraId="63B97624" w14:textId="77777777" w:rsidR="000B287D" w:rsidRPr="00773733" w:rsidRDefault="000B287D" w:rsidP="0032280D">
      <w:pPr>
        <w:pStyle w:val="Default"/>
        <w:ind w:left="1134" w:hanging="1134"/>
        <w:jc w:val="both"/>
        <w:rPr>
          <w:sz w:val="22"/>
          <w:szCs w:val="22"/>
          <w:lang w:val="es-CR"/>
        </w:rPr>
      </w:pPr>
    </w:p>
    <w:tbl>
      <w:tblPr>
        <w:tblW w:w="9375" w:type="dxa"/>
        <w:tblLook w:val="04A0" w:firstRow="1" w:lastRow="0" w:firstColumn="1" w:lastColumn="0" w:noHBand="0" w:noVBand="1"/>
      </w:tblPr>
      <w:tblGrid>
        <w:gridCol w:w="416"/>
        <w:gridCol w:w="706"/>
        <w:gridCol w:w="517"/>
        <w:gridCol w:w="10"/>
        <w:gridCol w:w="3711"/>
        <w:gridCol w:w="10"/>
        <w:gridCol w:w="2133"/>
        <w:gridCol w:w="1851"/>
        <w:gridCol w:w="10"/>
        <w:gridCol w:w="11"/>
      </w:tblGrid>
      <w:tr w:rsidR="008D5417" w:rsidRPr="008D5417" w14:paraId="36C5096E" w14:textId="77777777" w:rsidTr="000B287D">
        <w:trPr>
          <w:trHeight w:val="320"/>
        </w:trPr>
        <w:tc>
          <w:tcPr>
            <w:tcW w:w="1649"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3A7AA719" w14:textId="77777777" w:rsidR="008D5417" w:rsidRPr="008D5417" w:rsidRDefault="008D5417" w:rsidP="008D5417">
            <w:pPr>
              <w:jc w:val="center"/>
              <w:rPr>
                <w:rFonts w:ascii="Arial Narrow" w:eastAsia="Times New Roman" w:hAnsi="Arial Narrow" w:cs="Calibri"/>
                <w:b/>
                <w:bCs/>
                <w:color w:val="FFFFFF"/>
                <w:sz w:val="22"/>
                <w:szCs w:val="22"/>
              </w:rPr>
            </w:pPr>
            <w:r w:rsidRPr="008D5417">
              <w:rPr>
                <w:rFonts w:ascii="Arial Narrow" w:eastAsia="Times New Roman" w:hAnsi="Arial Narrow" w:cs="Calibri"/>
                <w:b/>
                <w:bCs/>
                <w:color w:val="FFFFFF"/>
                <w:sz w:val="22"/>
                <w:szCs w:val="22"/>
              </w:rPr>
              <w:t>Norma / Política</w:t>
            </w:r>
          </w:p>
        </w:tc>
        <w:tc>
          <w:tcPr>
            <w:tcW w:w="372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E693769" w14:textId="77777777" w:rsidR="008D5417" w:rsidRPr="008D5417" w:rsidRDefault="008D5417" w:rsidP="008D5417">
            <w:pPr>
              <w:jc w:val="center"/>
              <w:rPr>
                <w:rFonts w:ascii="Arial Narrow" w:eastAsia="Times New Roman" w:hAnsi="Arial Narrow" w:cs="Calibri"/>
                <w:b/>
                <w:bCs/>
                <w:color w:val="FFFFFF"/>
                <w:sz w:val="22"/>
                <w:szCs w:val="22"/>
              </w:rPr>
            </w:pPr>
            <w:r w:rsidRPr="008D5417">
              <w:rPr>
                <w:rFonts w:ascii="Arial Narrow" w:eastAsia="Times New Roman" w:hAnsi="Arial Narrow" w:cs="Calibri"/>
                <w:b/>
                <w:bCs/>
                <w:color w:val="FFFFFF"/>
                <w:sz w:val="22"/>
                <w:szCs w:val="22"/>
              </w:rPr>
              <w:t>Concepto</w:t>
            </w:r>
          </w:p>
        </w:tc>
        <w:tc>
          <w:tcPr>
            <w:tcW w:w="4005" w:type="dxa"/>
            <w:gridSpan w:val="4"/>
            <w:tcBorders>
              <w:top w:val="single" w:sz="8" w:space="0" w:color="auto"/>
              <w:left w:val="nil"/>
              <w:bottom w:val="single" w:sz="8" w:space="0" w:color="auto"/>
              <w:right w:val="single" w:sz="8" w:space="0" w:color="000000"/>
            </w:tcBorders>
            <w:shd w:val="clear" w:color="000000" w:fill="203764"/>
            <w:vAlign w:val="center"/>
            <w:hideMark/>
          </w:tcPr>
          <w:p w14:paraId="757F7C00" w14:textId="77777777" w:rsidR="008D5417" w:rsidRPr="008D5417" w:rsidRDefault="008D5417" w:rsidP="008D5417">
            <w:pPr>
              <w:jc w:val="center"/>
              <w:rPr>
                <w:rFonts w:ascii="Arial Narrow" w:eastAsia="Times New Roman" w:hAnsi="Arial Narrow" w:cs="Calibri"/>
                <w:b/>
                <w:bCs/>
                <w:color w:val="FFFFFF"/>
                <w:sz w:val="22"/>
                <w:szCs w:val="22"/>
              </w:rPr>
            </w:pPr>
            <w:r w:rsidRPr="008D5417">
              <w:rPr>
                <w:rFonts w:ascii="Arial Narrow" w:eastAsia="Times New Roman" w:hAnsi="Arial Narrow" w:cs="Calibri"/>
                <w:b/>
                <w:bCs/>
                <w:color w:val="FFFFFF"/>
                <w:sz w:val="22"/>
                <w:szCs w:val="22"/>
              </w:rPr>
              <w:t>Referencia</w:t>
            </w:r>
          </w:p>
        </w:tc>
      </w:tr>
      <w:tr w:rsidR="008D5417" w:rsidRPr="006E5442" w14:paraId="5C935437" w14:textId="77777777" w:rsidTr="000B287D">
        <w:trPr>
          <w:gridAfter w:val="2"/>
          <w:wAfter w:w="21" w:type="dxa"/>
          <w:trHeight w:val="850"/>
        </w:trPr>
        <w:tc>
          <w:tcPr>
            <w:tcW w:w="1649" w:type="dxa"/>
            <w:gridSpan w:val="4"/>
            <w:vMerge/>
            <w:tcBorders>
              <w:top w:val="single" w:sz="8" w:space="0" w:color="auto"/>
              <w:left w:val="single" w:sz="8" w:space="0" w:color="auto"/>
              <w:bottom w:val="nil"/>
              <w:right w:val="single" w:sz="8" w:space="0" w:color="000000"/>
            </w:tcBorders>
            <w:vAlign w:val="center"/>
            <w:hideMark/>
          </w:tcPr>
          <w:p w14:paraId="40079D7F" w14:textId="77777777" w:rsidR="008D5417" w:rsidRPr="008D5417" w:rsidRDefault="008D5417" w:rsidP="008D5417">
            <w:pPr>
              <w:rPr>
                <w:rFonts w:ascii="Arial Narrow" w:eastAsia="Times New Roman" w:hAnsi="Arial Narrow" w:cs="Calibri"/>
                <w:b/>
                <w:bCs/>
                <w:color w:val="FFFFFF"/>
                <w:sz w:val="22"/>
                <w:szCs w:val="22"/>
              </w:rPr>
            </w:pPr>
          </w:p>
        </w:tc>
        <w:tc>
          <w:tcPr>
            <w:tcW w:w="3721" w:type="dxa"/>
            <w:gridSpan w:val="2"/>
            <w:vMerge/>
            <w:tcBorders>
              <w:top w:val="single" w:sz="8" w:space="0" w:color="auto"/>
              <w:left w:val="single" w:sz="8" w:space="0" w:color="auto"/>
              <w:bottom w:val="nil"/>
              <w:right w:val="single" w:sz="8" w:space="0" w:color="auto"/>
            </w:tcBorders>
            <w:vAlign w:val="center"/>
            <w:hideMark/>
          </w:tcPr>
          <w:p w14:paraId="7F31F77C" w14:textId="77777777" w:rsidR="008D5417" w:rsidRPr="008D5417" w:rsidRDefault="008D5417" w:rsidP="008D5417">
            <w:pPr>
              <w:rPr>
                <w:rFonts w:ascii="Arial Narrow" w:eastAsia="Times New Roman" w:hAnsi="Arial Narrow" w:cs="Calibri"/>
                <w:b/>
                <w:bCs/>
                <w:color w:val="FFFFFF"/>
                <w:sz w:val="22"/>
                <w:szCs w:val="22"/>
              </w:rPr>
            </w:pPr>
          </w:p>
        </w:tc>
        <w:tc>
          <w:tcPr>
            <w:tcW w:w="2133" w:type="dxa"/>
            <w:tcBorders>
              <w:top w:val="nil"/>
              <w:left w:val="nil"/>
              <w:bottom w:val="nil"/>
              <w:right w:val="single" w:sz="8" w:space="0" w:color="auto"/>
            </w:tcBorders>
            <w:shd w:val="clear" w:color="000000" w:fill="203764"/>
            <w:vAlign w:val="center"/>
            <w:hideMark/>
          </w:tcPr>
          <w:p w14:paraId="3AF054E5" w14:textId="77777777" w:rsidR="008D5417" w:rsidRPr="008D5417" w:rsidRDefault="008D5417" w:rsidP="008D5417">
            <w:pPr>
              <w:jc w:val="center"/>
              <w:rPr>
                <w:rFonts w:ascii="Arial Narrow" w:eastAsia="Times New Roman" w:hAnsi="Arial Narrow" w:cs="Calibri"/>
                <w:b/>
                <w:bCs/>
                <w:color w:val="FFFFFF"/>
                <w:sz w:val="22"/>
                <w:szCs w:val="22"/>
              </w:rPr>
            </w:pPr>
            <w:r w:rsidRPr="008D5417">
              <w:rPr>
                <w:rFonts w:ascii="Arial Narrow" w:eastAsia="Times New Roman" w:hAnsi="Arial Narrow" w:cs="Calibri"/>
                <w:b/>
                <w:bCs/>
                <w:color w:val="FFFFFF"/>
                <w:sz w:val="22"/>
                <w:szCs w:val="22"/>
              </w:rPr>
              <w:t>Norma</w:t>
            </w:r>
          </w:p>
        </w:tc>
        <w:tc>
          <w:tcPr>
            <w:tcW w:w="1851" w:type="dxa"/>
            <w:tcBorders>
              <w:top w:val="nil"/>
              <w:left w:val="nil"/>
              <w:bottom w:val="nil"/>
              <w:right w:val="single" w:sz="8" w:space="0" w:color="auto"/>
            </w:tcBorders>
            <w:shd w:val="clear" w:color="000000" w:fill="203764"/>
            <w:vAlign w:val="center"/>
            <w:hideMark/>
          </w:tcPr>
          <w:p w14:paraId="30F5B0FB" w14:textId="77777777" w:rsidR="008D5417" w:rsidRPr="008D5417" w:rsidRDefault="008D5417" w:rsidP="008D5417">
            <w:pPr>
              <w:jc w:val="center"/>
              <w:rPr>
                <w:rFonts w:ascii="Arial Narrow" w:eastAsia="Times New Roman" w:hAnsi="Arial Narrow" w:cs="Calibri"/>
                <w:b/>
                <w:bCs/>
                <w:color w:val="FFFFFF"/>
                <w:sz w:val="22"/>
                <w:szCs w:val="22"/>
                <w:lang w:val="es-CR"/>
              </w:rPr>
            </w:pPr>
            <w:r w:rsidRPr="008D5417">
              <w:rPr>
                <w:rFonts w:ascii="Arial Narrow" w:eastAsia="Times New Roman" w:hAnsi="Arial Narrow" w:cs="Calibri"/>
                <w:b/>
                <w:bCs/>
                <w:color w:val="FFFFFF"/>
                <w:sz w:val="22"/>
                <w:szCs w:val="22"/>
                <w:lang w:val="es-CR"/>
              </w:rPr>
              <w:t>Normativa técnica y disposiciones adicionales</w:t>
            </w:r>
          </w:p>
        </w:tc>
      </w:tr>
      <w:tr w:rsidR="008D5417" w:rsidRPr="008D5417" w14:paraId="4F76CF12" w14:textId="77777777" w:rsidTr="000B287D">
        <w:trPr>
          <w:gridAfter w:val="1"/>
          <w:wAfter w:w="11" w:type="dxa"/>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12A351" w14:textId="77777777" w:rsidR="008D5417" w:rsidRPr="008D5417" w:rsidRDefault="008D5417" w:rsidP="000B287D">
            <w:pPr>
              <w:jc w:val="center"/>
              <w:rPr>
                <w:rFonts w:ascii="Arial Narrow" w:eastAsia="Times New Roman" w:hAnsi="Arial Narrow"/>
                <w:b/>
                <w:bCs/>
                <w:color w:val="000000"/>
                <w:sz w:val="22"/>
                <w:szCs w:val="22"/>
              </w:rPr>
            </w:pPr>
            <w:r w:rsidRPr="008D5417">
              <w:rPr>
                <w:rFonts w:ascii="Arial Narrow" w:eastAsia="Times New Roman" w:hAnsi="Arial Narrow"/>
                <w:b/>
                <w:bCs/>
                <w:color w:val="000000"/>
                <w:sz w:val="22"/>
                <w:szCs w:val="22"/>
              </w:rPr>
              <w:t>5</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35100C08" w14:textId="77777777" w:rsidR="008D5417" w:rsidRPr="008D5417" w:rsidRDefault="008D5417" w:rsidP="000B287D">
            <w:pPr>
              <w:jc w:val="center"/>
              <w:rPr>
                <w:rFonts w:ascii="Arial Narrow" w:eastAsia="Times New Roman" w:hAnsi="Arial Narrow"/>
                <w:b/>
                <w:bCs/>
                <w:color w:val="000000"/>
                <w:sz w:val="22"/>
                <w:szCs w:val="22"/>
              </w:rPr>
            </w:pPr>
            <w:r w:rsidRPr="008D5417">
              <w:rPr>
                <w:rFonts w:ascii="Arial Narrow" w:eastAsia="Times New Roman" w:hAnsi="Arial Narrow"/>
                <w:b/>
                <w:bCs/>
                <w:color w:val="000000"/>
                <w:sz w:val="22"/>
                <w:szCs w:val="22"/>
              </w:rPr>
              <w:t>40</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43AA4BD3" w14:textId="46C9920E" w:rsidR="008D5417" w:rsidRPr="008D5417" w:rsidRDefault="008D5417" w:rsidP="000B287D">
            <w:pPr>
              <w:jc w:val="center"/>
              <w:rPr>
                <w:rFonts w:ascii="Arial Narrow" w:eastAsia="Times New Roman" w:hAnsi="Arial Narrow" w:cs="Calibri"/>
                <w:b/>
                <w:bCs/>
                <w:color w:val="000000"/>
                <w:sz w:val="22"/>
                <w:szCs w:val="22"/>
              </w:rPr>
            </w:pPr>
          </w:p>
        </w:tc>
        <w:tc>
          <w:tcPr>
            <w:tcW w:w="3721" w:type="dxa"/>
            <w:gridSpan w:val="2"/>
            <w:tcBorders>
              <w:top w:val="single" w:sz="8" w:space="0" w:color="auto"/>
              <w:left w:val="nil"/>
              <w:bottom w:val="single" w:sz="8" w:space="0" w:color="auto"/>
              <w:right w:val="single" w:sz="8" w:space="0" w:color="auto"/>
            </w:tcBorders>
            <w:shd w:val="clear" w:color="auto" w:fill="auto"/>
            <w:vAlign w:val="center"/>
            <w:hideMark/>
          </w:tcPr>
          <w:p w14:paraId="772BAAFA" w14:textId="77777777" w:rsidR="008D5417" w:rsidRPr="008D5417" w:rsidRDefault="008D5417" w:rsidP="008D5417">
            <w:pPr>
              <w:rPr>
                <w:rFonts w:ascii="Arial Narrow" w:eastAsia="Times New Roman" w:hAnsi="Arial Narrow"/>
                <w:b/>
                <w:bCs/>
                <w:color w:val="000000"/>
                <w:sz w:val="22"/>
                <w:szCs w:val="22"/>
              </w:rPr>
            </w:pPr>
            <w:r w:rsidRPr="008D5417">
              <w:rPr>
                <w:rFonts w:ascii="Arial Narrow" w:eastAsia="Times New Roman" w:hAnsi="Arial Narrow"/>
                <w:b/>
                <w:bCs/>
                <w:color w:val="000000"/>
                <w:sz w:val="22"/>
                <w:szCs w:val="22"/>
              </w:rPr>
              <w:t>Deterioro del valor</w:t>
            </w:r>
          </w:p>
        </w:tc>
        <w:tc>
          <w:tcPr>
            <w:tcW w:w="2143" w:type="dxa"/>
            <w:gridSpan w:val="2"/>
            <w:tcBorders>
              <w:top w:val="single" w:sz="8" w:space="0" w:color="auto"/>
              <w:left w:val="nil"/>
              <w:bottom w:val="single" w:sz="8" w:space="0" w:color="auto"/>
              <w:right w:val="single" w:sz="8" w:space="0" w:color="auto"/>
            </w:tcBorders>
            <w:shd w:val="clear" w:color="auto" w:fill="auto"/>
            <w:vAlign w:val="center"/>
            <w:hideMark/>
          </w:tcPr>
          <w:p w14:paraId="05F7E6A1" w14:textId="77777777" w:rsidR="000B287D" w:rsidRDefault="000B287D" w:rsidP="008D5417">
            <w:pP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N</w:t>
            </w:r>
            <w:r w:rsidR="008D5417" w:rsidRPr="008D5417">
              <w:rPr>
                <w:rFonts w:ascii="Arial Narrow" w:eastAsia="Times New Roman" w:hAnsi="Arial Narrow" w:cs="Calibri"/>
                <w:b/>
                <w:bCs/>
                <w:color w:val="000000"/>
                <w:sz w:val="22"/>
                <w:szCs w:val="22"/>
              </w:rPr>
              <w:t xml:space="preserve">ICSP N° 17, </w:t>
            </w:r>
          </w:p>
          <w:p w14:paraId="614B240A" w14:textId="0C99DE75" w:rsidR="008D5417" w:rsidRPr="008D5417" w:rsidRDefault="000B287D" w:rsidP="008D5417">
            <w:pPr>
              <w:rPr>
                <w:rFonts w:ascii="Arial Narrow" w:eastAsia="Times New Roman" w:hAnsi="Arial Narrow" w:cs="Calibri"/>
                <w:b/>
                <w:bCs/>
                <w:color w:val="000000"/>
                <w:sz w:val="22"/>
                <w:szCs w:val="22"/>
              </w:rPr>
            </w:pPr>
            <w:r w:rsidRPr="008D5417">
              <w:rPr>
                <w:rFonts w:ascii="Arial Narrow" w:eastAsia="Times New Roman" w:hAnsi="Arial Narrow" w:cs="Calibri"/>
                <w:b/>
                <w:bCs/>
                <w:color w:val="000000"/>
                <w:sz w:val="22"/>
                <w:szCs w:val="22"/>
              </w:rPr>
              <w:t>Párrafos 80 y 81.</w:t>
            </w:r>
          </w:p>
        </w:tc>
        <w:tc>
          <w:tcPr>
            <w:tcW w:w="1861" w:type="dxa"/>
            <w:gridSpan w:val="2"/>
            <w:tcBorders>
              <w:top w:val="single" w:sz="8" w:space="0" w:color="auto"/>
              <w:left w:val="nil"/>
              <w:bottom w:val="single" w:sz="8" w:space="0" w:color="auto"/>
              <w:right w:val="single" w:sz="8" w:space="0" w:color="auto"/>
            </w:tcBorders>
            <w:shd w:val="clear" w:color="auto" w:fill="auto"/>
            <w:vAlign w:val="center"/>
            <w:hideMark/>
          </w:tcPr>
          <w:p w14:paraId="1AB29124" w14:textId="77777777" w:rsidR="008D5417" w:rsidRPr="008D5417" w:rsidRDefault="008D5417" w:rsidP="008D5417">
            <w:pPr>
              <w:jc w:val="center"/>
              <w:rPr>
                <w:rFonts w:ascii="Arial Narrow" w:eastAsia="Times New Roman" w:hAnsi="Arial Narrow" w:cs="Calibri"/>
                <w:b/>
                <w:bCs/>
                <w:color w:val="000000"/>
                <w:sz w:val="22"/>
                <w:szCs w:val="22"/>
              </w:rPr>
            </w:pPr>
            <w:r w:rsidRPr="008D5417">
              <w:rPr>
                <w:rFonts w:ascii="Arial Narrow" w:eastAsia="Times New Roman" w:hAnsi="Arial Narrow" w:cs="Calibri"/>
                <w:b/>
                <w:bCs/>
                <w:color w:val="000000"/>
                <w:sz w:val="22"/>
                <w:szCs w:val="22"/>
              </w:rPr>
              <w:t>DGCN</w:t>
            </w:r>
          </w:p>
        </w:tc>
      </w:tr>
      <w:tr w:rsidR="008D5417" w:rsidRPr="008D5417" w14:paraId="476BFD4A" w14:textId="77777777" w:rsidTr="000B287D">
        <w:trPr>
          <w:gridAfter w:val="1"/>
          <w:wAfter w:w="11" w:type="dxa"/>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BF2B9D6" w14:textId="77777777" w:rsidR="008D5417" w:rsidRPr="008D5417" w:rsidRDefault="008D5417" w:rsidP="000B287D">
            <w:pPr>
              <w:jc w:val="center"/>
              <w:rPr>
                <w:rFonts w:ascii="Arial Narrow" w:eastAsia="Times New Roman" w:hAnsi="Arial Narrow"/>
                <w:b/>
                <w:bCs/>
                <w:color w:val="000000"/>
                <w:sz w:val="22"/>
                <w:szCs w:val="22"/>
              </w:rPr>
            </w:pPr>
            <w:r w:rsidRPr="008D5417">
              <w:rPr>
                <w:rFonts w:ascii="Arial Narrow" w:eastAsia="Times New Roman" w:hAnsi="Arial Narrow"/>
                <w:b/>
                <w:bCs/>
                <w:color w:val="000000"/>
                <w:sz w:val="22"/>
                <w:szCs w:val="22"/>
              </w:rPr>
              <w:t>5</w:t>
            </w:r>
          </w:p>
        </w:tc>
        <w:tc>
          <w:tcPr>
            <w:tcW w:w="706" w:type="dxa"/>
            <w:tcBorders>
              <w:top w:val="nil"/>
              <w:left w:val="nil"/>
              <w:bottom w:val="single" w:sz="8" w:space="0" w:color="auto"/>
              <w:right w:val="single" w:sz="8" w:space="0" w:color="auto"/>
            </w:tcBorders>
            <w:shd w:val="clear" w:color="auto" w:fill="auto"/>
            <w:vAlign w:val="center"/>
            <w:hideMark/>
          </w:tcPr>
          <w:p w14:paraId="49D0077B" w14:textId="77777777" w:rsidR="008D5417" w:rsidRPr="008D5417" w:rsidRDefault="008D5417" w:rsidP="000B287D">
            <w:pPr>
              <w:jc w:val="center"/>
              <w:rPr>
                <w:rFonts w:ascii="Arial Narrow" w:eastAsia="Times New Roman" w:hAnsi="Arial Narrow"/>
                <w:b/>
                <w:bCs/>
                <w:color w:val="000000"/>
                <w:sz w:val="22"/>
                <w:szCs w:val="22"/>
              </w:rPr>
            </w:pPr>
            <w:r w:rsidRPr="008D5417">
              <w:rPr>
                <w:rFonts w:ascii="Arial Narrow" w:eastAsia="Times New Roman" w:hAnsi="Arial Narrow"/>
                <w:b/>
                <w:bCs/>
                <w:color w:val="000000"/>
                <w:sz w:val="22"/>
                <w:szCs w:val="22"/>
              </w:rPr>
              <w:t>40</w:t>
            </w:r>
          </w:p>
        </w:tc>
        <w:tc>
          <w:tcPr>
            <w:tcW w:w="517" w:type="dxa"/>
            <w:tcBorders>
              <w:top w:val="nil"/>
              <w:left w:val="nil"/>
              <w:bottom w:val="single" w:sz="8" w:space="0" w:color="auto"/>
              <w:right w:val="nil"/>
            </w:tcBorders>
            <w:shd w:val="clear" w:color="auto" w:fill="auto"/>
            <w:vAlign w:val="center"/>
            <w:hideMark/>
          </w:tcPr>
          <w:p w14:paraId="4CBBD120" w14:textId="77777777" w:rsidR="008D5417" w:rsidRPr="008D5417" w:rsidRDefault="008D5417" w:rsidP="000B287D">
            <w:pPr>
              <w:jc w:val="center"/>
              <w:rPr>
                <w:rFonts w:ascii="Arial Narrow" w:eastAsia="Times New Roman" w:hAnsi="Arial Narrow" w:cs="Calibri"/>
                <w:b/>
                <w:bCs/>
                <w:color w:val="000000"/>
                <w:sz w:val="22"/>
                <w:szCs w:val="22"/>
              </w:rPr>
            </w:pPr>
            <w:r w:rsidRPr="008D5417">
              <w:rPr>
                <w:rFonts w:ascii="Arial Narrow" w:eastAsia="Times New Roman" w:hAnsi="Arial Narrow" w:cs="Calibri"/>
                <w:b/>
                <w:bCs/>
                <w:color w:val="000000"/>
                <w:sz w:val="22"/>
                <w:szCs w:val="22"/>
              </w:rPr>
              <w:t>1</w:t>
            </w:r>
          </w:p>
        </w:tc>
        <w:tc>
          <w:tcPr>
            <w:tcW w:w="3721" w:type="dxa"/>
            <w:gridSpan w:val="2"/>
            <w:tcBorders>
              <w:top w:val="nil"/>
              <w:left w:val="single" w:sz="8" w:space="0" w:color="auto"/>
              <w:bottom w:val="single" w:sz="8" w:space="0" w:color="auto"/>
              <w:right w:val="single" w:sz="8" w:space="0" w:color="auto"/>
            </w:tcBorders>
            <w:shd w:val="clear" w:color="auto" w:fill="auto"/>
            <w:vAlign w:val="center"/>
            <w:hideMark/>
          </w:tcPr>
          <w:p w14:paraId="5C52917D" w14:textId="77777777" w:rsidR="008D5417" w:rsidRPr="008D5417" w:rsidRDefault="008D5417" w:rsidP="008D5417">
            <w:pPr>
              <w:rPr>
                <w:rFonts w:ascii="Arial Narrow" w:eastAsia="Times New Roman" w:hAnsi="Arial Narrow"/>
                <w:b/>
                <w:bCs/>
                <w:color w:val="000000"/>
                <w:sz w:val="22"/>
                <w:szCs w:val="22"/>
                <w:lang w:val="es-CR"/>
              </w:rPr>
            </w:pPr>
            <w:r w:rsidRPr="008D5417">
              <w:rPr>
                <w:rFonts w:ascii="Arial Narrow" w:eastAsia="Times New Roman" w:hAnsi="Arial Narrow"/>
                <w:b/>
                <w:bCs/>
                <w:color w:val="000000"/>
                <w:sz w:val="22"/>
                <w:szCs w:val="22"/>
                <w:lang w:val="es-CR"/>
              </w:rPr>
              <w:t>Compensación por deterioro del valor</w:t>
            </w:r>
          </w:p>
        </w:tc>
        <w:tc>
          <w:tcPr>
            <w:tcW w:w="2143" w:type="dxa"/>
            <w:gridSpan w:val="2"/>
            <w:tcBorders>
              <w:top w:val="nil"/>
              <w:left w:val="nil"/>
              <w:bottom w:val="single" w:sz="8" w:space="0" w:color="auto"/>
              <w:right w:val="single" w:sz="8" w:space="0" w:color="auto"/>
            </w:tcBorders>
            <w:shd w:val="clear" w:color="auto" w:fill="auto"/>
            <w:vAlign w:val="center"/>
            <w:hideMark/>
          </w:tcPr>
          <w:p w14:paraId="304B83D1" w14:textId="77777777" w:rsidR="000B287D" w:rsidRDefault="000B287D" w:rsidP="008D5417">
            <w:pP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NICSP N</w:t>
            </w:r>
            <w:r w:rsidR="008D5417" w:rsidRPr="008D5417">
              <w:rPr>
                <w:rFonts w:ascii="Arial Narrow" w:eastAsia="Times New Roman" w:hAnsi="Arial Narrow" w:cs="Calibri"/>
                <w:b/>
                <w:bCs/>
                <w:color w:val="000000"/>
                <w:sz w:val="22"/>
                <w:szCs w:val="22"/>
              </w:rPr>
              <w:t xml:space="preserve">°17, </w:t>
            </w:r>
          </w:p>
          <w:p w14:paraId="66A45295" w14:textId="6638E8E5" w:rsidR="008D5417" w:rsidRPr="008D5417" w:rsidRDefault="008D5417" w:rsidP="008D5417">
            <w:pPr>
              <w:rPr>
                <w:rFonts w:ascii="Arial Narrow" w:eastAsia="Times New Roman" w:hAnsi="Arial Narrow" w:cs="Calibri"/>
                <w:b/>
                <w:bCs/>
                <w:color w:val="000000"/>
                <w:sz w:val="22"/>
                <w:szCs w:val="22"/>
              </w:rPr>
            </w:pPr>
            <w:r w:rsidRPr="008D5417">
              <w:rPr>
                <w:rFonts w:ascii="Arial Narrow" w:eastAsia="Times New Roman" w:hAnsi="Arial Narrow" w:cs="Calibri"/>
                <w:b/>
                <w:bCs/>
                <w:color w:val="000000"/>
                <w:sz w:val="22"/>
                <w:szCs w:val="22"/>
              </w:rPr>
              <w:t>Párrafo 79.</w:t>
            </w:r>
          </w:p>
        </w:tc>
        <w:tc>
          <w:tcPr>
            <w:tcW w:w="1861" w:type="dxa"/>
            <w:gridSpan w:val="2"/>
            <w:tcBorders>
              <w:top w:val="nil"/>
              <w:left w:val="nil"/>
              <w:bottom w:val="single" w:sz="8" w:space="0" w:color="auto"/>
              <w:right w:val="single" w:sz="8" w:space="0" w:color="auto"/>
            </w:tcBorders>
            <w:shd w:val="clear" w:color="auto" w:fill="auto"/>
            <w:vAlign w:val="center"/>
            <w:hideMark/>
          </w:tcPr>
          <w:p w14:paraId="490106BB" w14:textId="77777777" w:rsidR="008D5417" w:rsidRPr="008D5417" w:rsidRDefault="008D5417" w:rsidP="008D5417">
            <w:pPr>
              <w:jc w:val="center"/>
              <w:rPr>
                <w:rFonts w:ascii="Arial Narrow" w:eastAsia="Times New Roman" w:hAnsi="Arial Narrow" w:cs="Calibri"/>
                <w:b/>
                <w:bCs/>
                <w:color w:val="000000"/>
                <w:sz w:val="22"/>
                <w:szCs w:val="22"/>
              </w:rPr>
            </w:pPr>
            <w:r w:rsidRPr="008D5417">
              <w:rPr>
                <w:rFonts w:ascii="Arial Narrow" w:eastAsia="Times New Roman" w:hAnsi="Arial Narrow" w:cs="Calibri"/>
                <w:b/>
                <w:bCs/>
                <w:color w:val="000000"/>
                <w:sz w:val="22"/>
                <w:szCs w:val="22"/>
              </w:rPr>
              <w:t>DGCN</w:t>
            </w:r>
          </w:p>
        </w:tc>
      </w:tr>
    </w:tbl>
    <w:p w14:paraId="29D3063D" w14:textId="77777777" w:rsidR="00862864" w:rsidRDefault="00862864" w:rsidP="0032280D">
      <w:pPr>
        <w:pStyle w:val="Default"/>
        <w:ind w:left="1134" w:hanging="1134"/>
        <w:jc w:val="both"/>
        <w:rPr>
          <w:sz w:val="22"/>
          <w:szCs w:val="22"/>
          <w:lang w:val="es-CR"/>
        </w:rPr>
      </w:pPr>
    </w:p>
    <w:p w14:paraId="682AD945" w14:textId="3D8C2EA7" w:rsidR="000B287D" w:rsidRDefault="000B287D" w:rsidP="000B287D">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A3C1872" w14:textId="77777777" w:rsidR="000B287D" w:rsidRPr="00773733" w:rsidRDefault="000B287D" w:rsidP="000B287D">
      <w:pPr>
        <w:pStyle w:val="Default"/>
        <w:jc w:val="both"/>
        <w:rPr>
          <w:sz w:val="22"/>
          <w:szCs w:val="22"/>
          <w:lang w:val="es-CR"/>
        </w:rPr>
      </w:pPr>
    </w:p>
    <w:p w14:paraId="07B45371" w14:textId="77777777" w:rsidR="00CD4F34" w:rsidRDefault="00CD4F34" w:rsidP="00CD4F34">
      <w:pPr>
        <w:pStyle w:val="Default"/>
        <w:ind w:left="1134" w:hanging="1134"/>
        <w:jc w:val="both"/>
        <w:rPr>
          <w:sz w:val="22"/>
          <w:szCs w:val="22"/>
          <w:lang w:val="es-CR"/>
        </w:rPr>
      </w:pPr>
      <w:r>
        <w:rPr>
          <w:sz w:val="22"/>
          <w:szCs w:val="22"/>
          <w:lang w:val="es-CR"/>
        </w:rPr>
        <w:t>5.40.0.01</w:t>
      </w:r>
      <w:r>
        <w:rPr>
          <w:sz w:val="22"/>
          <w:szCs w:val="22"/>
          <w:lang w:val="es-CR"/>
        </w:rPr>
        <w:tab/>
      </w:r>
      <w:r w:rsidRPr="00CD4F34">
        <w:rPr>
          <w:sz w:val="22"/>
          <w:szCs w:val="22"/>
          <w:lang w:val="es-CR"/>
        </w:rPr>
        <w:t xml:space="preserve">Para determinar si </w:t>
      </w:r>
      <w:r>
        <w:rPr>
          <w:sz w:val="22"/>
          <w:szCs w:val="22"/>
          <w:lang w:val="es-CR"/>
        </w:rPr>
        <w:t xml:space="preserve">a </w:t>
      </w:r>
      <w:r w:rsidRPr="00CD4F34">
        <w:rPr>
          <w:sz w:val="22"/>
          <w:szCs w:val="22"/>
          <w:lang w:val="es-CR"/>
        </w:rPr>
        <w:t>un elemento de propiedades, planta y equipo se ha deteriorado su valor, deberá aplicarse la parte pertinente del Capítulo “Activo” del presente PGC. El deterioro que eventualmente se determine deberá reconocerse como gasto del período.</w:t>
      </w:r>
    </w:p>
    <w:p w14:paraId="1B609EE4" w14:textId="54597A44" w:rsidR="00CD4F34" w:rsidRPr="00CD4F34" w:rsidRDefault="00CD4F34" w:rsidP="00CD4F34">
      <w:pPr>
        <w:pStyle w:val="Default"/>
        <w:ind w:left="1134" w:hanging="1134"/>
        <w:jc w:val="both"/>
        <w:rPr>
          <w:sz w:val="22"/>
          <w:szCs w:val="22"/>
          <w:lang w:val="es-CR"/>
        </w:rPr>
      </w:pPr>
      <w:r w:rsidRPr="00CD4F34">
        <w:rPr>
          <w:sz w:val="22"/>
          <w:szCs w:val="22"/>
          <w:lang w:val="es-CR"/>
        </w:rPr>
        <w:t xml:space="preserve"> </w:t>
      </w:r>
    </w:p>
    <w:p w14:paraId="29E2247A" w14:textId="12F3AE4B" w:rsidR="00CD4F34" w:rsidRPr="00CD4F34" w:rsidRDefault="00CD4F34" w:rsidP="00CD4F34">
      <w:pPr>
        <w:pStyle w:val="Default"/>
        <w:ind w:left="1134" w:hanging="1134"/>
        <w:jc w:val="both"/>
        <w:rPr>
          <w:sz w:val="22"/>
          <w:szCs w:val="22"/>
          <w:lang w:val="es-CR"/>
        </w:rPr>
      </w:pPr>
      <w:r>
        <w:rPr>
          <w:sz w:val="22"/>
          <w:szCs w:val="22"/>
          <w:lang w:val="es-CR"/>
        </w:rPr>
        <w:t>5.40.</w:t>
      </w:r>
      <w:r w:rsidRPr="00CD4F34">
        <w:rPr>
          <w:sz w:val="22"/>
          <w:szCs w:val="22"/>
          <w:lang w:val="es-CR"/>
        </w:rPr>
        <w:t>1.</w:t>
      </w:r>
      <w:r>
        <w:rPr>
          <w:sz w:val="22"/>
          <w:szCs w:val="22"/>
          <w:lang w:val="es-CR"/>
        </w:rPr>
        <w:t>01</w:t>
      </w:r>
      <w:r>
        <w:rPr>
          <w:sz w:val="22"/>
          <w:szCs w:val="22"/>
          <w:lang w:val="es-CR"/>
        </w:rPr>
        <w:tab/>
      </w:r>
      <w:r w:rsidRPr="00CD4F34">
        <w:rPr>
          <w:sz w:val="22"/>
          <w:szCs w:val="22"/>
          <w:lang w:val="es-CR"/>
        </w:rPr>
        <w:t xml:space="preserve">Las compensaciones procedentes de terceros, por elementos de propiedades, planta y equipo que hayan experimentado un deterioro del valor, se hayan perdido o se hayan abandonado, son hechos separables del deterioro reconocido, por lo que se incluirán en el resultado cuando tales compensaciones sean exigibles. </w:t>
      </w:r>
    </w:p>
    <w:p w14:paraId="4DB9FD43" w14:textId="77777777" w:rsidR="00862864" w:rsidRDefault="00862864" w:rsidP="0032280D">
      <w:pPr>
        <w:pStyle w:val="Default"/>
        <w:ind w:left="1134" w:hanging="1134"/>
        <w:jc w:val="both"/>
        <w:rPr>
          <w:sz w:val="22"/>
          <w:szCs w:val="22"/>
          <w:lang w:val="es-CR"/>
        </w:rPr>
      </w:pPr>
    </w:p>
    <w:p w14:paraId="0392CEF0" w14:textId="77777777" w:rsidR="000B287D" w:rsidRDefault="000B287D" w:rsidP="0032280D">
      <w:pPr>
        <w:pStyle w:val="Default"/>
        <w:ind w:left="1134" w:hanging="1134"/>
        <w:jc w:val="both"/>
        <w:rPr>
          <w:sz w:val="22"/>
          <w:szCs w:val="22"/>
          <w:lang w:val="es-CR"/>
        </w:rPr>
      </w:pPr>
    </w:p>
    <w:p w14:paraId="188C1E5F" w14:textId="77777777" w:rsidR="000B287D" w:rsidRDefault="000B287D" w:rsidP="0032280D">
      <w:pPr>
        <w:pStyle w:val="Default"/>
        <w:ind w:left="1134" w:hanging="1134"/>
        <w:jc w:val="both"/>
        <w:rPr>
          <w:sz w:val="22"/>
          <w:szCs w:val="22"/>
          <w:lang w:val="es-CR"/>
        </w:rPr>
      </w:pPr>
    </w:p>
    <w:p w14:paraId="0E6B3367" w14:textId="77777777" w:rsidR="000B287D" w:rsidRDefault="000B287D" w:rsidP="0032280D">
      <w:pPr>
        <w:pStyle w:val="Default"/>
        <w:ind w:left="1134" w:hanging="1134"/>
        <w:jc w:val="both"/>
        <w:rPr>
          <w:sz w:val="22"/>
          <w:szCs w:val="22"/>
          <w:lang w:val="es-CR"/>
        </w:rPr>
      </w:pPr>
    </w:p>
    <w:p w14:paraId="27594FF1" w14:textId="77777777" w:rsidR="000B287D" w:rsidRDefault="000B287D" w:rsidP="0032280D">
      <w:pPr>
        <w:pStyle w:val="Default"/>
        <w:ind w:left="1134" w:hanging="1134"/>
        <w:jc w:val="both"/>
        <w:rPr>
          <w:sz w:val="22"/>
          <w:szCs w:val="22"/>
          <w:lang w:val="es-CR"/>
        </w:rPr>
      </w:pPr>
    </w:p>
    <w:p w14:paraId="00EB6A97" w14:textId="77777777" w:rsidR="000B287D" w:rsidRDefault="000B287D" w:rsidP="0032280D">
      <w:pPr>
        <w:pStyle w:val="Default"/>
        <w:ind w:left="1134" w:hanging="1134"/>
        <w:jc w:val="both"/>
        <w:rPr>
          <w:sz w:val="22"/>
          <w:szCs w:val="22"/>
          <w:lang w:val="es-CR"/>
        </w:rPr>
      </w:pPr>
    </w:p>
    <w:p w14:paraId="245C1DDE" w14:textId="77777777" w:rsidR="00CD4F34" w:rsidRPr="00773733" w:rsidRDefault="00CD4F34" w:rsidP="0032280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9"/>
        <w:gridCol w:w="2253"/>
        <w:gridCol w:w="1854"/>
      </w:tblGrid>
      <w:tr w:rsidR="00CD4F34" w:rsidRPr="00CD4F34" w14:paraId="515970A9" w14:textId="77777777" w:rsidTr="000B28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8F081F7" w14:textId="77777777" w:rsidR="00CD4F34" w:rsidRPr="00CD4F34" w:rsidRDefault="00CD4F34" w:rsidP="00CD4F34">
            <w:pPr>
              <w:jc w:val="center"/>
              <w:rPr>
                <w:rFonts w:ascii="Arial Narrow" w:eastAsia="Times New Roman" w:hAnsi="Arial Narrow" w:cs="Calibri"/>
                <w:b/>
                <w:bCs/>
                <w:color w:val="FFFFFF"/>
                <w:sz w:val="22"/>
                <w:szCs w:val="22"/>
              </w:rPr>
            </w:pPr>
            <w:r w:rsidRPr="00CD4F34">
              <w:rPr>
                <w:rFonts w:ascii="Arial Narrow" w:eastAsia="Times New Roman" w:hAnsi="Arial Narrow" w:cs="Calibri"/>
                <w:b/>
                <w:bCs/>
                <w:color w:val="FFFFFF"/>
                <w:sz w:val="22"/>
                <w:szCs w:val="22"/>
              </w:rPr>
              <w:lastRenderedPageBreak/>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6DB6BDF0" w14:textId="77777777" w:rsidR="00CD4F34" w:rsidRPr="00CD4F34" w:rsidRDefault="00CD4F34" w:rsidP="00CD4F34">
            <w:pPr>
              <w:jc w:val="center"/>
              <w:rPr>
                <w:rFonts w:ascii="Arial Narrow" w:eastAsia="Times New Roman" w:hAnsi="Arial Narrow" w:cs="Calibri"/>
                <w:b/>
                <w:bCs/>
                <w:color w:val="FFFFFF"/>
                <w:sz w:val="22"/>
                <w:szCs w:val="22"/>
              </w:rPr>
            </w:pPr>
            <w:r w:rsidRPr="00CD4F34">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16A19EE5" w14:textId="77777777" w:rsidR="00CD4F34" w:rsidRPr="00CD4F34" w:rsidRDefault="00CD4F34" w:rsidP="00CD4F34">
            <w:pPr>
              <w:jc w:val="center"/>
              <w:rPr>
                <w:rFonts w:ascii="Arial Narrow" w:eastAsia="Times New Roman" w:hAnsi="Arial Narrow" w:cs="Calibri"/>
                <w:b/>
                <w:bCs/>
                <w:color w:val="FFFFFF"/>
                <w:sz w:val="22"/>
                <w:szCs w:val="22"/>
              </w:rPr>
            </w:pPr>
            <w:r w:rsidRPr="00CD4F34">
              <w:rPr>
                <w:rFonts w:ascii="Arial Narrow" w:eastAsia="Times New Roman" w:hAnsi="Arial Narrow" w:cs="Calibri"/>
                <w:b/>
                <w:bCs/>
                <w:color w:val="FFFFFF"/>
                <w:sz w:val="22"/>
                <w:szCs w:val="22"/>
              </w:rPr>
              <w:t>Referencia</w:t>
            </w:r>
          </w:p>
        </w:tc>
      </w:tr>
      <w:tr w:rsidR="00CD4F34" w:rsidRPr="006E5442" w14:paraId="50EE9BB8" w14:textId="77777777" w:rsidTr="000B28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F43E972" w14:textId="77777777" w:rsidR="00CD4F34" w:rsidRPr="00CD4F34" w:rsidRDefault="00CD4F34" w:rsidP="00CD4F34">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1B5FA364" w14:textId="77777777" w:rsidR="00CD4F34" w:rsidRPr="00CD4F34" w:rsidRDefault="00CD4F34" w:rsidP="00CD4F34">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3F0BF93D" w14:textId="77777777" w:rsidR="00CD4F34" w:rsidRPr="00CD4F34" w:rsidRDefault="00CD4F34" w:rsidP="00CD4F34">
            <w:pPr>
              <w:jc w:val="center"/>
              <w:rPr>
                <w:rFonts w:ascii="Arial Narrow" w:eastAsia="Times New Roman" w:hAnsi="Arial Narrow" w:cs="Calibri"/>
                <w:b/>
                <w:bCs/>
                <w:color w:val="FFFFFF"/>
                <w:sz w:val="22"/>
                <w:szCs w:val="22"/>
              </w:rPr>
            </w:pPr>
            <w:r w:rsidRPr="00CD4F34">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49655EB2" w14:textId="77777777" w:rsidR="00CD4F34" w:rsidRPr="00CD4F34" w:rsidRDefault="00CD4F34" w:rsidP="00CD4F34">
            <w:pPr>
              <w:jc w:val="center"/>
              <w:rPr>
                <w:rFonts w:ascii="Arial Narrow" w:eastAsia="Times New Roman" w:hAnsi="Arial Narrow" w:cs="Calibri"/>
                <w:b/>
                <w:bCs/>
                <w:color w:val="FFFFFF"/>
                <w:sz w:val="22"/>
                <w:szCs w:val="22"/>
                <w:lang w:val="es-CR"/>
              </w:rPr>
            </w:pPr>
            <w:r w:rsidRPr="00CD4F34">
              <w:rPr>
                <w:rFonts w:ascii="Arial Narrow" w:eastAsia="Times New Roman" w:hAnsi="Arial Narrow" w:cs="Calibri"/>
                <w:b/>
                <w:bCs/>
                <w:color w:val="FFFFFF"/>
                <w:sz w:val="22"/>
                <w:szCs w:val="22"/>
                <w:lang w:val="es-CR"/>
              </w:rPr>
              <w:t>Normativa técnica y disposiciones adicionales</w:t>
            </w:r>
          </w:p>
        </w:tc>
      </w:tr>
      <w:tr w:rsidR="00CD4F34" w:rsidRPr="00CD4F34" w14:paraId="6729AB94" w14:textId="77777777" w:rsidTr="000B287D">
        <w:trPr>
          <w:trHeight w:val="169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D8BF80" w14:textId="77777777" w:rsidR="00CD4F34" w:rsidRPr="00CD4F34" w:rsidRDefault="00CD4F34" w:rsidP="00CD4F34">
            <w:pPr>
              <w:jc w:val="center"/>
              <w:rPr>
                <w:rFonts w:ascii="Arial Narrow" w:eastAsia="Times New Roman" w:hAnsi="Arial Narrow" w:cs="Calibri"/>
                <w:b/>
                <w:bCs/>
                <w:color w:val="000000"/>
                <w:sz w:val="22"/>
                <w:szCs w:val="22"/>
              </w:rPr>
            </w:pPr>
            <w:r w:rsidRPr="00CD4F34">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23793A6" w14:textId="77777777" w:rsidR="00CD4F34" w:rsidRPr="00CD4F34" w:rsidRDefault="00CD4F34" w:rsidP="00CD4F34">
            <w:pPr>
              <w:jc w:val="center"/>
              <w:rPr>
                <w:rFonts w:ascii="Arial Narrow" w:eastAsia="Times New Roman" w:hAnsi="Arial Narrow" w:cs="Calibri"/>
                <w:b/>
                <w:bCs/>
                <w:color w:val="000000"/>
                <w:sz w:val="22"/>
                <w:szCs w:val="22"/>
              </w:rPr>
            </w:pPr>
            <w:r w:rsidRPr="00CD4F34">
              <w:rPr>
                <w:rFonts w:ascii="Arial Narrow" w:eastAsia="Times New Roman" w:hAnsi="Arial Narrow" w:cs="Calibri"/>
                <w:b/>
                <w:bCs/>
                <w:color w:val="000000"/>
                <w:sz w:val="22"/>
                <w:szCs w:val="22"/>
              </w:rPr>
              <w:t>41</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392834C7" w14:textId="77777777" w:rsidR="00CD4F34" w:rsidRPr="00CD4F34" w:rsidRDefault="00CD4F34" w:rsidP="00CD4F34">
            <w:pPr>
              <w:jc w:val="center"/>
              <w:rPr>
                <w:rFonts w:ascii="Arial Narrow" w:eastAsia="Times New Roman" w:hAnsi="Arial Narrow" w:cs="Calibri"/>
                <w:b/>
                <w:bCs/>
                <w:color w:val="000000"/>
                <w:sz w:val="22"/>
                <w:szCs w:val="22"/>
              </w:rPr>
            </w:pPr>
            <w:r w:rsidRPr="00CD4F34">
              <w:rPr>
                <w:rFonts w:ascii="Arial Narrow" w:eastAsia="Times New Roman" w:hAnsi="Arial Narrow" w:cs="Calibri"/>
                <w:b/>
                <w:bCs/>
                <w:color w:val="000000"/>
                <w:sz w:val="22"/>
                <w:szCs w:val="22"/>
              </w:rPr>
              <w:t xml:space="preserve">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567D783B" w14:textId="77777777" w:rsidR="00CD4F34" w:rsidRPr="00CD4F34" w:rsidRDefault="00CD4F34" w:rsidP="00CD4F34">
            <w:pPr>
              <w:jc w:val="both"/>
              <w:rPr>
                <w:rFonts w:ascii="Arial Narrow" w:eastAsia="Times New Roman" w:hAnsi="Arial Narrow" w:cs="Calibri"/>
                <w:b/>
                <w:bCs/>
                <w:color w:val="000000"/>
                <w:sz w:val="22"/>
                <w:szCs w:val="22"/>
                <w:lang w:val="es-CR"/>
              </w:rPr>
            </w:pPr>
            <w:r w:rsidRPr="00CD4F34">
              <w:rPr>
                <w:rFonts w:ascii="Arial Narrow" w:eastAsia="Times New Roman" w:hAnsi="Arial Narrow" w:cs="Calibri"/>
                <w:b/>
                <w:bCs/>
                <w:color w:val="000000"/>
                <w:sz w:val="22"/>
                <w:szCs w:val="22"/>
                <w:lang w:val="es-CR"/>
              </w:rPr>
              <w:t>Información a revelar sobre pérdidas por deterioro</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63364816" w14:textId="77777777" w:rsidR="004B7B21" w:rsidRDefault="00CD4F34" w:rsidP="00CD4F34">
            <w:pPr>
              <w:jc w:val="both"/>
              <w:rPr>
                <w:rFonts w:ascii="Arial Narrow" w:eastAsia="Times New Roman" w:hAnsi="Arial Narrow" w:cs="Calibri"/>
                <w:b/>
                <w:bCs/>
                <w:color w:val="000000"/>
                <w:sz w:val="22"/>
                <w:szCs w:val="22"/>
                <w:lang w:val="es-CR"/>
              </w:rPr>
            </w:pPr>
            <w:r w:rsidRPr="00CD4F34">
              <w:rPr>
                <w:rFonts w:ascii="Arial Narrow" w:eastAsia="Times New Roman" w:hAnsi="Arial Narrow" w:cs="Calibri"/>
                <w:b/>
                <w:bCs/>
                <w:color w:val="000000"/>
                <w:sz w:val="22"/>
                <w:szCs w:val="22"/>
                <w:lang w:val="es-CR"/>
              </w:rPr>
              <w:t xml:space="preserve">NICSP N° 21, </w:t>
            </w:r>
          </w:p>
          <w:p w14:paraId="0A4EAA0C" w14:textId="77777777" w:rsidR="004B7B21" w:rsidRDefault="00CD4F34" w:rsidP="00CD4F34">
            <w:pPr>
              <w:jc w:val="both"/>
              <w:rPr>
                <w:rFonts w:ascii="Arial Narrow" w:eastAsia="Times New Roman" w:hAnsi="Arial Narrow" w:cs="Calibri"/>
                <w:b/>
                <w:bCs/>
                <w:color w:val="000000"/>
                <w:sz w:val="22"/>
                <w:szCs w:val="22"/>
                <w:lang w:val="es-CR"/>
              </w:rPr>
            </w:pPr>
            <w:r w:rsidRPr="00CD4F34">
              <w:rPr>
                <w:rFonts w:ascii="Arial Narrow" w:eastAsia="Times New Roman" w:hAnsi="Arial Narrow" w:cs="Calibri"/>
                <w:b/>
                <w:bCs/>
                <w:color w:val="000000"/>
                <w:sz w:val="22"/>
                <w:szCs w:val="22"/>
                <w:lang w:val="es-CR"/>
              </w:rPr>
              <w:t>Párrafo 72A, 73, y 75 a 78.</w:t>
            </w:r>
            <w:r w:rsidRPr="00CD4F34">
              <w:rPr>
                <w:rFonts w:ascii="Arial Narrow" w:eastAsia="Times New Roman" w:hAnsi="Arial Narrow" w:cs="Calibri"/>
                <w:b/>
                <w:bCs/>
                <w:color w:val="000000"/>
                <w:sz w:val="22"/>
                <w:szCs w:val="22"/>
                <w:lang w:val="es-CR"/>
              </w:rPr>
              <w:br/>
              <w:t xml:space="preserve">NICSP N° 26, </w:t>
            </w:r>
          </w:p>
          <w:p w14:paraId="267A4348" w14:textId="0965327D" w:rsidR="00CD4F34" w:rsidRPr="00CD4F34" w:rsidRDefault="00CD4F34" w:rsidP="00CD4F34">
            <w:pPr>
              <w:jc w:val="both"/>
              <w:rPr>
                <w:rFonts w:ascii="Arial Narrow" w:eastAsia="Times New Roman" w:hAnsi="Arial Narrow" w:cs="Calibri"/>
                <w:b/>
                <w:bCs/>
                <w:color w:val="000000"/>
                <w:sz w:val="22"/>
                <w:szCs w:val="22"/>
                <w:lang w:val="es-CR"/>
              </w:rPr>
            </w:pPr>
            <w:r w:rsidRPr="00CD4F34">
              <w:rPr>
                <w:rFonts w:ascii="Arial Narrow" w:eastAsia="Times New Roman" w:hAnsi="Arial Narrow" w:cs="Calibri"/>
                <w:b/>
                <w:bCs/>
                <w:color w:val="000000"/>
                <w:sz w:val="22"/>
                <w:szCs w:val="22"/>
                <w:lang w:val="es-CR"/>
              </w:rPr>
              <w:t>Párrafos 114, 115, 118 a 121 y 123 a 125.</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3B73DE73" w14:textId="77777777" w:rsidR="00CD4F34" w:rsidRPr="00CD4F34" w:rsidRDefault="00CD4F34" w:rsidP="00CD4F34">
            <w:pPr>
              <w:jc w:val="center"/>
              <w:rPr>
                <w:rFonts w:ascii="Arial Narrow" w:eastAsia="Times New Roman" w:hAnsi="Arial Narrow" w:cs="Calibri"/>
                <w:b/>
                <w:bCs/>
                <w:color w:val="000000"/>
                <w:sz w:val="22"/>
                <w:szCs w:val="22"/>
              </w:rPr>
            </w:pPr>
            <w:r w:rsidRPr="00CD4F34">
              <w:rPr>
                <w:rFonts w:ascii="Arial Narrow" w:eastAsia="Times New Roman" w:hAnsi="Arial Narrow" w:cs="Calibri"/>
                <w:b/>
                <w:bCs/>
                <w:color w:val="000000"/>
                <w:sz w:val="22"/>
                <w:szCs w:val="22"/>
              </w:rPr>
              <w:t>DGCN</w:t>
            </w:r>
          </w:p>
        </w:tc>
      </w:tr>
    </w:tbl>
    <w:p w14:paraId="7509CCFB" w14:textId="77777777" w:rsidR="00862864" w:rsidRDefault="00862864" w:rsidP="0032280D">
      <w:pPr>
        <w:pStyle w:val="Default"/>
        <w:ind w:left="1134" w:hanging="1134"/>
        <w:jc w:val="both"/>
        <w:rPr>
          <w:sz w:val="22"/>
          <w:szCs w:val="22"/>
          <w:lang w:val="es-CR"/>
        </w:rPr>
      </w:pPr>
    </w:p>
    <w:p w14:paraId="006C97A7" w14:textId="77777777" w:rsidR="000B287D" w:rsidRDefault="000B287D" w:rsidP="000B287D">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F7CC3B3" w14:textId="77777777" w:rsidR="000B287D" w:rsidRPr="00773733" w:rsidRDefault="000B287D" w:rsidP="0032280D">
      <w:pPr>
        <w:pStyle w:val="Default"/>
        <w:ind w:left="1134" w:hanging="1134"/>
        <w:jc w:val="both"/>
        <w:rPr>
          <w:sz w:val="22"/>
          <w:szCs w:val="22"/>
          <w:lang w:val="es-CR"/>
        </w:rPr>
      </w:pPr>
    </w:p>
    <w:p w14:paraId="50BB8382" w14:textId="06DE5086" w:rsidR="00862864" w:rsidRPr="00CD4F34" w:rsidRDefault="00CD4F34" w:rsidP="0032280D">
      <w:pPr>
        <w:pStyle w:val="Default"/>
        <w:ind w:left="1134" w:hanging="1134"/>
        <w:jc w:val="both"/>
        <w:rPr>
          <w:sz w:val="22"/>
          <w:szCs w:val="22"/>
          <w:lang w:val="es-CR"/>
        </w:rPr>
      </w:pPr>
      <w:r>
        <w:rPr>
          <w:sz w:val="22"/>
          <w:szCs w:val="22"/>
          <w:lang w:val="es-CR"/>
        </w:rPr>
        <w:t>5.41.0.01</w:t>
      </w:r>
      <w:r>
        <w:rPr>
          <w:sz w:val="22"/>
          <w:szCs w:val="22"/>
          <w:lang w:val="es-CR"/>
        </w:rPr>
        <w:tab/>
      </w:r>
      <w:r w:rsidRPr="00CD4F34">
        <w:rPr>
          <w:sz w:val="22"/>
          <w:szCs w:val="22"/>
          <w:lang w:val="es-CR"/>
        </w:rPr>
        <w:t>Respecto de los gastos reconocidos por pérdidas por deterioro, deberá revelarse en los EEFF la información requerida en el Capítulo “Activo” del presente PGC.</w:t>
      </w:r>
    </w:p>
    <w:p w14:paraId="00027819" w14:textId="77777777" w:rsidR="00E37C68" w:rsidRDefault="00E37C68" w:rsidP="0032280D">
      <w:pPr>
        <w:pStyle w:val="Default"/>
        <w:ind w:left="1134" w:hanging="1134"/>
        <w:jc w:val="both"/>
        <w:rPr>
          <w:sz w:val="22"/>
          <w:szCs w:val="22"/>
          <w:lang w:val="es-CR"/>
        </w:rPr>
      </w:pPr>
    </w:p>
    <w:p w14:paraId="4394BE70" w14:textId="77777777" w:rsidR="00E37C68" w:rsidRDefault="00E37C68" w:rsidP="0032280D">
      <w:pPr>
        <w:pStyle w:val="Default"/>
        <w:ind w:left="1134" w:hanging="1134"/>
        <w:jc w:val="both"/>
        <w:rPr>
          <w:sz w:val="22"/>
          <w:szCs w:val="22"/>
          <w:lang w:val="es-CR"/>
        </w:rPr>
      </w:pPr>
    </w:p>
    <w:p w14:paraId="15844E64" w14:textId="77777777" w:rsidR="000B287D" w:rsidRDefault="000B287D" w:rsidP="0032280D">
      <w:pPr>
        <w:pStyle w:val="Default"/>
        <w:ind w:left="1134" w:hanging="1134"/>
        <w:jc w:val="both"/>
        <w:rPr>
          <w:sz w:val="22"/>
          <w:szCs w:val="22"/>
          <w:lang w:val="es-CR"/>
        </w:rPr>
      </w:pPr>
    </w:p>
    <w:p w14:paraId="7EF71E14" w14:textId="77777777" w:rsidR="00E37C68" w:rsidRDefault="00E37C68" w:rsidP="0032280D">
      <w:pPr>
        <w:pStyle w:val="Default"/>
        <w:ind w:left="1134" w:hanging="1134"/>
        <w:jc w:val="both"/>
        <w:rPr>
          <w:sz w:val="22"/>
          <w:szCs w:val="22"/>
          <w:lang w:val="es-CR"/>
        </w:rPr>
      </w:pPr>
    </w:p>
    <w:p w14:paraId="0E9071DD" w14:textId="28BEFB1E" w:rsidR="00E37C68" w:rsidRPr="00E37C68" w:rsidRDefault="00E37C68" w:rsidP="00E37C68">
      <w:pPr>
        <w:pStyle w:val="Ttulo2"/>
        <w:ind w:left="284"/>
        <w:jc w:val="both"/>
        <w:rPr>
          <w:rFonts w:ascii="Arial" w:eastAsia="Arial" w:hAnsi="Arial" w:cs="Arial"/>
          <w:b/>
          <w:bCs/>
          <w:sz w:val="22"/>
          <w:szCs w:val="22"/>
          <w:lang w:val="es-CR"/>
        </w:rPr>
      </w:pPr>
      <w:bookmarkStart w:id="165" w:name="_Toc172726300"/>
      <w:r w:rsidRPr="00E37C68">
        <w:rPr>
          <w:rFonts w:ascii="Arial" w:eastAsia="Arial" w:hAnsi="Arial" w:cs="Arial"/>
          <w:b/>
          <w:bCs/>
          <w:sz w:val="22"/>
          <w:szCs w:val="22"/>
          <w:lang w:val="es-CR"/>
        </w:rPr>
        <w:t>Desvalorización y pérdidas de inventarios</w:t>
      </w:r>
      <w:bookmarkEnd w:id="165"/>
    </w:p>
    <w:p w14:paraId="2D25D8D8" w14:textId="77777777" w:rsidR="00862864" w:rsidRDefault="00862864" w:rsidP="0032280D">
      <w:pPr>
        <w:pStyle w:val="Default"/>
        <w:ind w:left="1134" w:hanging="1134"/>
        <w:jc w:val="both"/>
        <w:rPr>
          <w:sz w:val="22"/>
          <w:szCs w:val="22"/>
          <w:lang w:val="es-CR"/>
        </w:rPr>
      </w:pPr>
    </w:p>
    <w:p w14:paraId="13CF485F" w14:textId="77777777" w:rsidR="004B7B21" w:rsidRPr="00773733" w:rsidRDefault="004B7B21" w:rsidP="0032280D">
      <w:pPr>
        <w:pStyle w:val="Default"/>
        <w:ind w:left="1134" w:hanging="1134"/>
        <w:jc w:val="both"/>
        <w:rPr>
          <w:sz w:val="22"/>
          <w:szCs w:val="22"/>
          <w:lang w:val="es-CR"/>
        </w:rPr>
      </w:pPr>
    </w:p>
    <w:tbl>
      <w:tblPr>
        <w:tblW w:w="9394" w:type="dxa"/>
        <w:tblLook w:val="04A0" w:firstRow="1" w:lastRow="0" w:firstColumn="1" w:lastColumn="0" w:noHBand="0" w:noVBand="1"/>
      </w:tblPr>
      <w:tblGrid>
        <w:gridCol w:w="540"/>
        <w:gridCol w:w="662"/>
        <w:gridCol w:w="520"/>
        <w:gridCol w:w="3739"/>
        <w:gridCol w:w="2042"/>
        <w:gridCol w:w="1891"/>
      </w:tblGrid>
      <w:tr w:rsidR="00E37C68" w:rsidRPr="00E37C68" w14:paraId="239AF52F" w14:textId="77777777" w:rsidTr="000B287D">
        <w:trPr>
          <w:trHeight w:val="320"/>
        </w:trPr>
        <w:tc>
          <w:tcPr>
            <w:tcW w:w="1722"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34713597" w14:textId="77777777" w:rsidR="00E37C68" w:rsidRPr="00E37C68" w:rsidRDefault="00E37C68" w:rsidP="00E37C68">
            <w:pPr>
              <w:jc w:val="center"/>
              <w:rPr>
                <w:rFonts w:ascii="Arial Narrow" w:eastAsia="Times New Roman" w:hAnsi="Arial Narrow" w:cs="Calibri"/>
                <w:b/>
                <w:bCs/>
                <w:color w:val="FFFFFF"/>
                <w:sz w:val="22"/>
                <w:szCs w:val="22"/>
              </w:rPr>
            </w:pPr>
            <w:r w:rsidRPr="00E37C68">
              <w:rPr>
                <w:rFonts w:ascii="Arial Narrow" w:eastAsia="Times New Roman" w:hAnsi="Arial Narrow" w:cs="Calibri"/>
                <w:b/>
                <w:bCs/>
                <w:color w:val="FFFFFF"/>
                <w:sz w:val="22"/>
                <w:szCs w:val="22"/>
              </w:rPr>
              <w:t>Norma / Política</w:t>
            </w:r>
          </w:p>
        </w:tc>
        <w:tc>
          <w:tcPr>
            <w:tcW w:w="373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621AA3C" w14:textId="77777777" w:rsidR="00E37C68" w:rsidRPr="00E37C68" w:rsidRDefault="00E37C68" w:rsidP="00E37C68">
            <w:pPr>
              <w:jc w:val="center"/>
              <w:rPr>
                <w:rFonts w:ascii="Arial Narrow" w:eastAsia="Times New Roman" w:hAnsi="Arial Narrow" w:cs="Calibri"/>
                <w:b/>
                <w:bCs/>
                <w:color w:val="FFFFFF"/>
                <w:sz w:val="22"/>
                <w:szCs w:val="22"/>
              </w:rPr>
            </w:pPr>
            <w:r w:rsidRPr="00E37C68">
              <w:rPr>
                <w:rFonts w:ascii="Arial Narrow" w:eastAsia="Times New Roman" w:hAnsi="Arial Narrow" w:cs="Calibri"/>
                <w:b/>
                <w:bCs/>
                <w:color w:val="FFFFFF"/>
                <w:sz w:val="22"/>
                <w:szCs w:val="22"/>
              </w:rPr>
              <w:t>Concepto</w:t>
            </w:r>
          </w:p>
        </w:tc>
        <w:tc>
          <w:tcPr>
            <w:tcW w:w="3933" w:type="dxa"/>
            <w:gridSpan w:val="2"/>
            <w:tcBorders>
              <w:top w:val="single" w:sz="8" w:space="0" w:color="auto"/>
              <w:left w:val="nil"/>
              <w:bottom w:val="single" w:sz="8" w:space="0" w:color="auto"/>
              <w:right w:val="single" w:sz="8" w:space="0" w:color="000000"/>
            </w:tcBorders>
            <w:shd w:val="clear" w:color="000000" w:fill="203764"/>
            <w:vAlign w:val="center"/>
            <w:hideMark/>
          </w:tcPr>
          <w:p w14:paraId="048CAB79" w14:textId="77777777" w:rsidR="00E37C68" w:rsidRPr="00E37C68" w:rsidRDefault="00E37C68" w:rsidP="00E37C68">
            <w:pPr>
              <w:jc w:val="center"/>
              <w:rPr>
                <w:rFonts w:ascii="Arial Narrow" w:eastAsia="Times New Roman" w:hAnsi="Arial Narrow" w:cs="Calibri"/>
                <w:b/>
                <w:bCs/>
                <w:color w:val="FFFFFF"/>
                <w:sz w:val="22"/>
                <w:szCs w:val="22"/>
              </w:rPr>
            </w:pPr>
            <w:r w:rsidRPr="00E37C68">
              <w:rPr>
                <w:rFonts w:ascii="Arial Narrow" w:eastAsia="Times New Roman" w:hAnsi="Arial Narrow" w:cs="Calibri"/>
                <w:b/>
                <w:bCs/>
                <w:color w:val="FFFFFF"/>
                <w:sz w:val="22"/>
                <w:szCs w:val="22"/>
              </w:rPr>
              <w:t>Referencia</w:t>
            </w:r>
          </w:p>
        </w:tc>
      </w:tr>
      <w:tr w:rsidR="00E37C68" w:rsidRPr="006E5442" w14:paraId="45C260D5" w14:textId="77777777" w:rsidTr="000B287D">
        <w:trPr>
          <w:trHeight w:val="850"/>
        </w:trPr>
        <w:tc>
          <w:tcPr>
            <w:tcW w:w="1722" w:type="dxa"/>
            <w:gridSpan w:val="3"/>
            <w:vMerge/>
            <w:tcBorders>
              <w:top w:val="single" w:sz="8" w:space="0" w:color="auto"/>
              <w:left w:val="single" w:sz="8" w:space="0" w:color="auto"/>
              <w:bottom w:val="single" w:sz="8" w:space="0" w:color="000000"/>
              <w:right w:val="single" w:sz="8" w:space="0" w:color="000000"/>
            </w:tcBorders>
            <w:vAlign w:val="center"/>
            <w:hideMark/>
          </w:tcPr>
          <w:p w14:paraId="0ABCD6B5" w14:textId="77777777" w:rsidR="00E37C68" w:rsidRPr="00E37C68" w:rsidRDefault="00E37C68" w:rsidP="00E37C68">
            <w:pPr>
              <w:rPr>
                <w:rFonts w:ascii="Arial Narrow" w:eastAsia="Times New Roman" w:hAnsi="Arial Narrow" w:cs="Calibri"/>
                <w:b/>
                <w:bCs/>
                <w:color w:val="FFFFFF"/>
                <w:sz w:val="22"/>
                <w:szCs w:val="22"/>
              </w:rPr>
            </w:pPr>
          </w:p>
        </w:tc>
        <w:tc>
          <w:tcPr>
            <w:tcW w:w="3739" w:type="dxa"/>
            <w:vMerge/>
            <w:tcBorders>
              <w:top w:val="single" w:sz="8" w:space="0" w:color="auto"/>
              <w:left w:val="single" w:sz="8" w:space="0" w:color="auto"/>
              <w:bottom w:val="single" w:sz="8" w:space="0" w:color="000000"/>
              <w:right w:val="single" w:sz="8" w:space="0" w:color="auto"/>
            </w:tcBorders>
            <w:vAlign w:val="center"/>
            <w:hideMark/>
          </w:tcPr>
          <w:p w14:paraId="09858DF0" w14:textId="77777777" w:rsidR="00E37C68" w:rsidRPr="00E37C68" w:rsidRDefault="00E37C68" w:rsidP="00E37C68">
            <w:pPr>
              <w:rPr>
                <w:rFonts w:ascii="Arial Narrow" w:eastAsia="Times New Roman" w:hAnsi="Arial Narrow" w:cs="Calibri"/>
                <w:b/>
                <w:bCs/>
                <w:color w:val="FFFFFF"/>
                <w:sz w:val="22"/>
                <w:szCs w:val="22"/>
              </w:rPr>
            </w:pPr>
          </w:p>
        </w:tc>
        <w:tc>
          <w:tcPr>
            <w:tcW w:w="2042" w:type="dxa"/>
            <w:tcBorders>
              <w:top w:val="nil"/>
              <w:left w:val="nil"/>
              <w:bottom w:val="single" w:sz="8" w:space="0" w:color="auto"/>
              <w:right w:val="single" w:sz="8" w:space="0" w:color="auto"/>
            </w:tcBorders>
            <w:shd w:val="clear" w:color="000000" w:fill="203764"/>
            <w:vAlign w:val="center"/>
            <w:hideMark/>
          </w:tcPr>
          <w:p w14:paraId="63A2DBCB" w14:textId="77777777" w:rsidR="00E37C68" w:rsidRPr="00E37C68" w:rsidRDefault="00E37C68" w:rsidP="00E37C68">
            <w:pPr>
              <w:jc w:val="center"/>
              <w:rPr>
                <w:rFonts w:ascii="Arial Narrow" w:eastAsia="Times New Roman" w:hAnsi="Arial Narrow" w:cs="Calibri"/>
                <w:b/>
                <w:bCs/>
                <w:color w:val="FFFFFF"/>
                <w:sz w:val="22"/>
                <w:szCs w:val="22"/>
              </w:rPr>
            </w:pPr>
            <w:r w:rsidRPr="00E37C68">
              <w:rPr>
                <w:rFonts w:ascii="Arial Narrow" w:eastAsia="Times New Roman" w:hAnsi="Arial Narrow" w:cs="Calibri"/>
                <w:b/>
                <w:bCs/>
                <w:color w:val="FFFFFF"/>
                <w:sz w:val="22"/>
                <w:szCs w:val="22"/>
              </w:rPr>
              <w:t>Norma</w:t>
            </w:r>
          </w:p>
        </w:tc>
        <w:tc>
          <w:tcPr>
            <w:tcW w:w="1889" w:type="dxa"/>
            <w:tcBorders>
              <w:top w:val="nil"/>
              <w:left w:val="nil"/>
              <w:bottom w:val="single" w:sz="8" w:space="0" w:color="auto"/>
              <w:right w:val="single" w:sz="8" w:space="0" w:color="auto"/>
            </w:tcBorders>
            <w:shd w:val="clear" w:color="000000" w:fill="203764"/>
            <w:vAlign w:val="center"/>
            <w:hideMark/>
          </w:tcPr>
          <w:p w14:paraId="79D6F001" w14:textId="77777777" w:rsidR="00E37C68" w:rsidRPr="00E37C68" w:rsidRDefault="00E37C68" w:rsidP="00E37C68">
            <w:pPr>
              <w:jc w:val="center"/>
              <w:rPr>
                <w:rFonts w:ascii="Arial Narrow" w:eastAsia="Times New Roman" w:hAnsi="Arial Narrow" w:cs="Calibri"/>
                <w:b/>
                <w:bCs/>
                <w:color w:val="FFFFFF"/>
                <w:sz w:val="22"/>
                <w:szCs w:val="22"/>
                <w:lang w:val="es-CR"/>
              </w:rPr>
            </w:pPr>
            <w:r w:rsidRPr="00E37C68">
              <w:rPr>
                <w:rFonts w:ascii="Arial Narrow" w:eastAsia="Times New Roman" w:hAnsi="Arial Narrow" w:cs="Calibri"/>
                <w:b/>
                <w:bCs/>
                <w:color w:val="FFFFFF"/>
                <w:sz w:val="22"/>
                <w:szCs w:val="22"/>
                <w:lang w:val="es-CR"/>
              </w:rPr>
              <w:t>Normativa técnica y disposiciones adicionales</w:t>
            </w:r>
          </w:p>
        </w:tc>
      </w:tr>
      <w:tr w:rsidR="00E37C68" w:rsidRPr="00E37C68" w14:paraId="387B90C4" w14:textId="77777777" w:rsidTr="000B287D">
        <w:trPr>
          <w:trHeight w:val="30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D0998A1"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5</w:t>
            </w:r>
          </w:p>
        </w:tc>
        <w:tc>
          <w:tcPr>
            <w:tcW w:w="662" w:type="dxa"/>
            <w:tcBorders>
              <w:top w:val="nil"/>
              <w:left w:val="nil"/>
              <w:bottom w:val="single" w:sz="8" w:space="0" w:color="auto"/>
              <w:right w:val="single" w:sz="8" w:space="0" w:color="auto"/>
            </w:tcBorders>
            <w:shd w:val="clear" w:color="auto" w:fill="auto"/>
            <w:vAlign w:val="center"/>
            <w:hideMark/>
          </w:tcPr>
          <w:p w14:paraId="04313CBF" w14:textId="77777777" w:rsidR="00E37C68" w:rsidRPr="00E37C68" w:rsidRDefault="00E37C68" w:rsidP="000B287D">
            <w:pPr>
              <w:ind w:firstLineChars="25" w:firstLine="55"/>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44</w:t>
            </w:r>
          </w:p>
        </w:tc>
        <w:tc>
          <w:tcPr>
            <w:tcW w:w="520" w:type="dxa"/>
            <w:tcBorders>
              <w:top w:val="nil"/>
              <w:left w:val="nil"/>
              <w:bottom w:val="single" w:sz="8" w:space="0" w:color="auto"/>
              <w:right w:val="single" w:sz="8" w:space="0" w:color="auto"/>
            </w:tcBorders>
            <w:shd w:val="clear" w:color="auto" w:fill="auto"/>
            <w:vAlign w:val="center"/>
            <w:hideMark/>
          </w:tcPr>
          <w:p w14:paraId="6FF42035"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 </w:t>
            </w:r>
          </w:p>
        </w:tc>
        <w:tc>
          <w:tcPr>
            <w:tcW w:w="3739" w:type="dxa"/>
            <w:tcBorders>
              <w:top w:val="nil"/>
              <w:left w:val="nil"/>
              <w:bottom w:val="single" w:sz="8" w:space="0" w:color="auto"/>
              <w:right w:val="single" w:sz="8" w:space="0" w:color="auto"/>
            </w:tcBorders>
            <w:shd w:val="clear" w:color="auto" w:fill="auto"/>
            <w:vAlign w:val="center"/>
            <w:hideMark/>
          </w:tcPr>
          <w:p w14:paraId="038493A2" w14:textId="77777777" w:rsidR="00E37C68" w:rsidRPr="00E37C68" w:rsidRDefault="00E37C68" w:rsidP="00E37C68">
            <w:pPr>
              <w:rPr>
                <w:rFonts w:ascii="Arial Narrow" w:eastAsia="Times New Roman" w:hAnsi="Arial Narrow" w:cs="Calibri"/>
                <w:b/>
                <w:bCs/>
                <w:color w:val="000000"/>
                <w:sz w:val="22"/>
                <w:szCs w:val="22"/>
                <w:lang w:val="es-CR"/>
              </w:rPr>
            </w:pPr>
            <w:r w:rsidRPr="00E37C68">
              <w:rPr>
                <w:rFonts w:ascii="Arial Narrow" w:eastAsia="Times New Roman" w:hAnsi="Arial Narrow" w:cs="Calibri"/>
                <w:b/>
                <w:bCs/>
                <w:color w:val="000000"/>
                <w:sz w:val="22"/>
                <w:szCs w:val="22"/>
                <w:lang w:val="es-CR"/>
              </w:rPr>
              <w:t>Pérdida del valor de los inventarios</w:t>
            </w:r>
          </w:p>
        </w:tc>
        <w:tc>
          <w:tcPr>
            <w:tcW w:w="2042" w:type="dxa"/>
            <w:tcBorders>
              <w:top w:val="nil"/>
              <w:left w:val="nil"/>
              <w:bottom w:val="single" w:sz="8" w:space="0" w:color="auto"/>
              <w:right w:val="single" w:sz="8" w:space="0" w:color="auto"/>
            </w:tcBorders>
            <w:shd w:val="clear" w:color="auto" w:fill="auto"/>
            <w:vAlign w:val="center"/>
            <w:hideMark/>
          </w:tcPr>
          <w:p w14:paraId="15B02BE7" w14:textId="77777777" w:rsidR="000B287D" w:rsidRDefault="00E37C68" w:rsidP="00E37C68">
            <w:pP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NICSP N° 12,</w:t>
            </w:r>
          </w:p>
          <w:p w14:paraId="1020636E" w14:textId="2290F5B7" w:rsidR="00E37C68" w:rsidRPr="00E37C68" w:rsidRDefault="00E37C68" w:rsidP="00E37C68">
            <w:pP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Párrafo 38.</w:t>
            </w:r>
          </w:p>
        </w:tc>
        <w:tc>
          <w:tcPr>
            <w:tcW w:w="1889" w:type="dxa"/>
            <w:tcBorders>
              <w:top w:val="nil"/>
              <w:left w:val="nil"/>
              <w:bottom w:val="single" w:sz="8" w:space="0" w:color="auto"/>
              <w:right w:val="single" w:sz="8" w:space="0" w:color="auto"/>
            </w:tcBorders>
            <w:shd w:val="clear" w:color="auto" w:fill="auto"/>
            <w:vAlign w:val="center"/>
            <w:hideMark/>
          </w:tcPr>
          <w:p w14:paraId="45932191"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 xml:space="preserve"> </w:t>
            </w:r>
          </w:p>
        </w:tc>
      </w:tr>
      <w:tr w:rsidR="00E37C68" w:rsidRPr="00E37C68" w14:paraId="788BC34D" w14:textId="77777777" w:rsidTr="000B287D">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776D87EA"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5</w:t>
            </w:r>
          </w:p>
        </w:tc>
        <w:tc>
          <w:tcPr>
            <w:tcW w:w="662" w:type="dxa"/>
            <w:tcBorders>
              <w:top w:val="nil"/>
              <w:left w:val="nil"/>
              <w:bottom w:val="single" w:sz="8" w:space="0" w:color="auto"/>
              <w:right w:val="single" w:sz="8" w:space="0" w:color="auto"/>
            </w:tcBorders>
            <w:shd w:val="clear" w:color="auto" w:fill="auto"/>
            <w:vAlign w:val="center"/>
            <w:hideMark/>
          </w:tcPr>
          <w:p w14:paraId="40041E9C" w14:textId="77777777" w:rsidR="00E37C68" w:rsidRPr="00E37C68" w:rsidRDefault="00E37C68" w:rsidP="000B287D">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44</w:t>
            </w:r>
          </w:p>
        </w:tc>
        <w:tc>
          <w:tcPr>
            <w:tcW w:w="520" w:type="dxa"/>
            <w:tcBorders>
              <w:top w:val="nil"/>
              <w:left w:val="nil"/>
              <w:bottom w:val="single" w:sz="8" w:space="0" w:color="auto"/>
              <w:right w:val="nil"/>
            </w:tcBorders>
            <w:shd w:val="clear" w:color="auto" w:fill="auto"/>
            <w:vAlign w:val="center"/>
            <w:hideMark/>
          </w:tcPr>
          <w:p w14:paraId="79171139"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1</w:t>
            </w:r>
          </w:p>
        </w:tc>
        <w:tc>
          <w:tcPr>
            <w:tcW w:w="3739" w:type="dxa"/>
            <w:tcBorders>
              <w:top w:val="nil"/>
              <w:left w:val="single" w:sz="8" w:space="0" w:color="auto"/>
              <w:bottom w:val="single" w:sz="8" w:space="0" w:color="auto"/>
              <w:right w:val="single" w:sz="8" w:space="0" w:color="auto"/>
            </w:tcBorders>
            <w:shd w:val="clear" w:color="auto" w:fill="auto"/>
            <w:vAlign w:val="center"/>
            <w:hideMark/>
          </w:tcPr>
          <w:p w14:paraId="04FCADA6" w14:textId="77777777" w:rsidR="00E37C68" w:rsidRPr="00E37C68" w:rsidRDefault="00E37C68" w:rsidP="00E37C68">
            <w:pPr>
              <w:rPr>
                <w:rFonts w:ascii="Arial Narrow" w:eastAsia="Times New Roman" w:hAnsi="Arial Narrow" w:cs="Calibri"/>
                <w:b/>
                <w:bCs/>
                <w:color w:val="000000"/>
                <w:sz w:val="22"/>
                <w:szCs w:val="22"/>
                <w:lang w:val="es-CR"/>
              </w:rPr>
            </w:pPr>
            <w:r w:rsidRPr="00E37C68">
              <w:rPr>
                <w:rFonts w:ascii="Arial Narrow" w:eastAsia="Times New Roman" w:hAnsi="Arial Narrow" w:cs="Calibri"/>
                <w:b/>
                <w:bCs/>
                <w:color w:val="000000"/>
                <w:sz w:val="22"/>
                <w:szCs w:val="22"/>
                <w:lang w:val="es-CR"/>
              </w:rPr>
              <w:t>Previsiones por desvalorización y pérdidas de inventarios</w:t>
            </w:r>
          </w:p>
        </w:tc>
        <w:tc>
          <w:tcPr>
            <w:tcW w:w="2042" w:type="dxa"/>
            <w:tcBorders>
              <w:top w:val="nil"/>
              <w:left w:val="nil"/>
              <w:bottom w:val="single" w:sz="8" w:space="0" w:color="auto"/>
              <w:right w:val="single" w:sz="8" w:space="0" w:color="auto"/>
            </w:tcBorders>
            <w:shd w:val="clear" w:color="auto" w:fill="auto"/>
            <w:vAlign w:val="center"/>
            <w:hideMark/>
          </w:tcPr>
          <w:p w14:paraId="64FE3B69" w14:textId="77777777" w:rsidR="000B287D" w:rsidRDefault="00E37C68" w:rsidP="00E37C68">
            <w:pP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 xml:space="preserve">NICSP N° 12, </w:t>
            </w:r>
          </w:p>
          <w:p w14:paraId="6C9E692E" w14:textId="2E2F3B2F" w:rsidR="00E37C68" w:rsidRPr="00E37C68" w:rsidRDefault="00E37C68" w:rsidP="00E37C68">
            <w:pP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Párrafos 38 y 39.</w:t>
            </w:r>
          </w:p>
        </w:tc>
        <w:tc>
          <w:tcPr>
            <w:tcW w:w="1889" w:type="dxa"/>
            <w:tcBorders>
              <w:top w:val="nil"/>
              <w:left w:val="nil"/>
              <w:bottom w:val="single" w:sz="8" w:space="0" w:color="auto"/>
              <w:right w:val="single" w:sz="8" w:space="0" w:color="auto"/>
            </w:tcBorders>
            <w:shd w:val="clear" w:color="auto" w:fill="auto"/>
            <w:vAlign w:val="center"/>
            <w:hideMark/>
          </w:tcPr>
          <w:p w14:paraId="14360C8A"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DGCN</w:t>
            </w:r>
          </w:p>
        </w:tc>
      </w:tr>
      <w:tr w:rsidR="00E37C68" w:rsidRPr="00E37C68" w14:paraId="6EA4250F" w14:textId="77777777" w:rsidTr="000B287D">
        <w:trPr>
          <w:trHeight w:val="30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4D05184"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5</w:t>
            </w:r>
          </w:p>
        </w:tc>
        <w:tc>
          <w:tcPr>
            <w:tcW w:w="662" w:type="dxa"/>
            <w:tcBorders>
              <w:top w:val="nil"/>
              <w:left w:val="nil"/>
              <w:bottom w:val="single" w:sz="8" w:space="0" w:color="auto"/>
              <w:right w:val="single" w:sz="8" w:space="0" w:color="auto"/>
            </w:tcBorders>
            <w:shd w:val="clear" w:color="auto" w:fill="auto"/>
            <w:vAlign w:val="center"/>
            <w:hideMark/>
          </w:tcPr>
          <w:p w14:paraId="66D40832"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44</w:t>
            </w:r>
          </w:p>
        </w:tc>
        <w:tc>
          <w:tcPr>
            <w:tcW w:w="520" w:type="dxa"/>
            <w:tcBorders>
              <w:top w:val="nil"/>
              <w:left w:val="nil"/>
              <w:bottom w:val="single" w:sz="8" w:space="0" w:color="auto"/>
              <w:right w:val="single" w:sz="8" w:space="0" w:color="auto"/>
            </w:tcBorders>
            <w:shd w:val="clear" w:color="auto" w:fill="auto"/>
            <w:vAlign w:val="center"/>
            <w:hideMark/>
          </w:tcPr>
          <w:p w14:paraId="6F4B5ECC"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2</w:t>
            </w:r>
          </w:p>
        </w:tc>
        <w:tc>
          <w:tcPr>
            <w:tcW w:w="3739" w:type="dxa"/>
            <w:tcBorders>
              <w:top w:val="nil"/>
              <w:left w:val="nil"/>
              <w:bottom w:val="single" w:sz="8" w:space="0" w:color="auto"/>
              <w:right w:val="single" w:sz="8" w:space="0" w:color="auto"/>
            </w:tcBorders>
            <w:shd w:val="clear" w:color="auto" w:fill="auto"/>
            <w:vAlign w:val="center"/>
            <w:hideMark/>
          </w:tcPr>
          <w:p w14:paraId="3980A2E2" w14:textId="77777777" w:rsidR="00E37C68" w:rsidRPr="00E37C68" w:rsidRDefault="00E37C68" w:rsidP="00E37C68">
            <w:pPr>
              <w:jc w:val="both"/>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Cálculo de la previsión</w:t>
            </w:r>
          </w:p>
        </w:tc>
        <w:tc>
          <w:tcPr>
            <w:tcW w:w="2042" w:type="dxa"/>
            <w:tcBorders>
              <w:top w:val="nil"/>
              <w:left w:val="nil"/>
              <w:bottom w:val="single" w:sz="8" w:space="0" w:color="auto"/>
              <w:right w:val="single" w:sz="8" w:space="0" w:color="auto"/>
            </w:tcBorders>
            <w:shd w:val="clear" w:color="auto" w:fill="auto"/>
            <w:vAlign w:val="center"/>
            <w:hideMark/>
          </w:tcPr>
          <w:p w14:paraId="371CEF5B" w14:textId="77777777" w:rsidR="000B287D" w:rsidRDefault="00E37C68" w:rsidP="00E37C68">
            <w:pP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 xml:space="preserve">NICSP N° 12, </w:t>
            </w:r>
          </w:p>
          <w:p w14:paraId="16F58BCD" w14:textId="083A13F9" w:rsidR="00E37C68" w:rsidRPr="00E37C68" w:rsidRDefault="00E37C68" w:rsidP="00E37C68">
            <w:pP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Párrafo 40.</w:t>
            </w:r>
          </w:p>
        </w:tc>
        <w:tc>
          <w:tcPr>
            <w:tcW w:w="1889" w:type="dxa"/>
            <w:tcBorders>
              <w:top w:val="nil"/>
              <w:left w:val="nil"/>
              <w:bottom w:val="single" w:sz="8" w:space="0" w:color="auto"/>
              <w:right w:val="single" w:sz="8" w:space="0" w:color="auto"/>
            </w:tcBorders>
            <w:shd w:val="clear" w:color="auto" w:fill="auto"/>
            <w:vAlign w:val="center"/>
            <w:hideMark/>
          </w:tcPr>
          <w:p w14:paraId="6500E6D3" w14:textId="77777777" w:rsidR="00E37C68" w:rsidRPr="00E37C68" w:rsidRDefault="00E37C68" w:rsidP="00E37C68">
            <w:pPr>
              <w:ind w:firstLineChars="100" w:firstLine="220"/>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 xml:space="preserve"> </w:t>
            </w:r>
          </w:p>
        </w:tc>
      </w:tr>
      <w:tr w:rsidR="00E37C68" w:rsidRPr="006E5442" w14:paraId="2A2DB62F" w14:textId="77777777" w:rsidTr="000B287D">
        <w:trPr>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A2EACAF"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5</w:t>
            </w:r>
          </w:p>
        </w:tc>
        <w:tc>
          <w:tcPr>
            <w:tcW w:w="662" w:type="dxa"/>
            <w:tcBorders>
              <w:top w:val="nil"/>
              <w:left w:val="nil"/>
              <w:bottom w:val="single" w:sz="8" w:space="0" w:color="auto"/>
              <w:right w:val="single" w:sz="8" w:space="0" w:color="auto"/>
            </w:tcBorders>
            <w:shd w:val="clear" w:color="auto" w:fill="auto"/>
            <w:vAlign w:val="center"/>
            <w:hideMark/>
          </w:tcPr>
          <w:p w14:paraId="5BA36F58"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44</w:t>
            </w:r>
          </w:p>
        </w:tc>
        <w:tc>
          <w:tcPr>
            <w:tcW w:w="520" w:type="dxa"/>
            <w:tcBorders>
              <w:top w:val="nil"/>
              <w:left w:val="nil"/>
              <w:bottom w:val="single" w:sz="8" w:space="0" w:color="auto"/>
              <w:right w:val="single" w:sz="8" w:space="0" w:color="auto"/>
            </w:tcBorders>
            <w:shd w:val="clear" w:color="auto" w:fill="auto"/>
            <w:vAlign w:val="center"/>
            <w:hideMark/>
          </w:tcPr>
          <w:p w14:paraId="27F35E88"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3</w:t>
            </w:r>
          </w:p>
        </w:tc>
        <w:tc>
          <w:tcPr>
            <w:tcW w:w="3739" w:type="dxa"/>
            <w:tcBorders>
              <w:top w:val="nil"/>
              <w:left w:val="nil"/>
              <w:bottom w:val="single" w:sz="8" w:space="0" w:color="auto"/>
              <w:right w:val="single" w:sz="8" w:space="0" w:color="auto"/>
            </w:tcBorders>
            <w:shd w:val="clear" w:color="auto" w:fill="auto"/>
            <w:vAlign w:val="center"/>
            <w:hideMark/>
          </w:tcPr>
          <w:p w14:paraId="3E7E5FE6" w14:textId="77777777" w:rsidR="00E37C68" w:rsidRPr="00E37C68" w:rsidRDefault="00E37C68" w:rsidP="00E37C68">
            <w:pPr>
              <w:jc w:val="both"/>
              <w:rPr>
                <w:rFonts w:ascii="Arial Narrow" w:eastAsia="Times New Roman" w:hAnsi="Arial Narrow" w:cs="Calibri"/>
                <w:b/>
                <w:bCs/>
                <w:color w:val="000000"/>
                <w:sz w:val="22"/>
                <w:szCs w:val="22"/>
                <w:lang w:val="es-CR"/>
              </w:rPr>
            </w:pPr>
            <w:r w:rsidRPr="00E37C68">
              <w:rPr>
                <w:rFonts w:ascii="Arial Narrow" w:eastAsia="Times New Roman" w:hAnsi="Arial Narrow" w:cs="Calibri"/>
                <w:b/>
                <w:bCs/>
                <w:color w:val="000000"/>
                <w:sz w:val="22"/>
                <w:szCs w:val="22"/>
                <w:lang w:val="es-CR"/>
              </w:rPr>
              <w:t>Estimación del valor realizable neto</w:t>
            </w:r>
          </w:p>
        </w:tc>
        <w:tc>
          <w:tcPr>
            <w:tcW w:w="2042" w:type="dxa"/>
            <w:tcBorders>
              <w:top w:val="nil"/>
              <w:left w:val="nil"/>
              <w:bottom w:val="single" w:sz="8" w:space="0" w:color="auto"/>
              <w:right w:val="single" w:sz="8" w:space="0" w:color="auto"/>
            </w:tcBorders>
            <w:shd w:val="clear" w:color="auto" w:fill="auto"/>
            <w:vAlign w:val="center"/>
            <w:hideMark/>
          </w:tcPr>
          <w:p w14:paraId="1131C1E4" w14:textId="77777777" w:rsidR="00E37C68" w:rsidRPr="00E37C68" w:rsidRDefault="00E37C68" w:rsidP="00E37C68">
            <w:pPr>
              <w:rPr>
                <w:rFonts w:ascii="Arial Narrow" w:eastAsia="Times New Roman" w:hAnsi="Arial Narrow" w:cs="Calibri"/>
                <w:b/>
                <w:bCs/>
                <w:color w:val="000000"/>
                <w:sz w:val="22"/>
                <w:szCs w:val="22"/>
                <w:lang w:val="es-CR"/>
              </w:rPr>
            </w:pPr>
            <w:r w:rsidRPr="00E37C68">
              <w:rPr>
                <w:rFonts w:ascii="Arial Narrow" w:eastAsia="Times New Roman" w:hAnsi="Arial Narrow" w:cs="Calibri"/>
                <w:b/>
                <w:bCs/>
                <w:color w:val="000000"/>
                <w:sz w:val="22"/>
                <w:szCs w:val="22"/>
                <w:lang w:val="es-CR"/>
              </w:rPr>
              <w:t> </w:t>
            </w:r>
          </w:p>
        </w:tc>
        <w:tc>
          <w:tcPr>
            <w:tcW w:w="1889" w:type="dxa"/>
            <w:tcBorders>
              <w:top w:val="nil"/>
              <w:left w:val="nil"/>
              <w:bottom w:val="single" w:sz="8" w:space="0" w:color="auto"/>
              <w:right w:val="single" w:sz="8" w:space="0" w:color="auto"/>
            </w:tcBorders>
            <w:shd w:val="clear" w:color="auto" w:fill="auto"/>
            <w:vAlign w:val="center"/>
            <w:hideMark/>
          </w:tcPr>
          <w:p w14:paraId="3CE7F84F" w14:textId="77777777" w:rsidR="00E37C68" w:rsidRPr="00E37C68" w:rsidRDefault="00E37C68" w:rsidP="00E37C68">
            <w:pPr>
              <w:ind w:firstLineChars="100" w:firstLine="220"/>
              <w:rPr>
                <w:rFonts w:ascii="Arial Narrow" w:eastAsia="Times New Roman" w:hAnsi="Arial Narrow" w:cs="Calibri"/>
                <w:b/>
                <w:bCs/>
                <w:color w:val="000000"/>
                <w:sz w:val="22"/>
                <w:szCs w:val="22"/>
                <w:lang w:val="es-CR"/>
              </w:rPr>
            </w:pPr>
            <w:r w:rsidRPr="00E37C68">
              <w:rPr>
                <w:rFonts w:ascii="Arial Narrow" w:eastAsia="Times New Roman" w:hAnsi="Arial Narrow" w:cs="Calibri"/>
                <w:b/>
                <w:bCs/>
                <w:color w:val="000000"/>
                <w:sz w:val="22"/>
                <w:szCs w:val="22"/>
                <w:lang w:val="es-CR"/>
              </w:rPr>
              <w:t xml:space="preserve"> </w:t>
            </w:r>
          </w:p>
        </w:tc>
      </w:tr>
      <w:tr w:rsidR="00E37C68" w:rsidRPr="00E37C68" w14:paraId="7993B890" w14:textId="77777777" w:rsidTr="000B287D">
        <w:trPr>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36B2E77E"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5</w:t>
            </w:r>
          </w:p>
        </w:tc>
        <w:tc>
          <w:tcPr>
            <w:tcW w:w="662" w:type="dxa"/>
            <w:tcBorders>
              <w:top w:val="nil"/>
              <w:left w:val="nil"/>
              <w:bottom w:val="single" w:sz="8" w:space="0" w:color="auto"/>
              <w:right w:val="single" w:sz="8" w:space="0" w:color="auto"/>
            </w:tcBorders>
            <w:shd w:val="clear" w:color="auto" w:fill="auto"/>
            <w:vAlign w:val="center"/>
            <w:hideMark/>
          </w:tcPr>
          <w:p w14:paraId="08678C04"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44</w:t>
            </w:r>
          </w:p>
        </w:tc>
        <w:tc>
          <w:tcPr>
            <w:tcW w:w="520" w:type="dxa"/>
            <w:tcBorders>
              <w:top w:val="nil"/>
              <w:left w:val="nil"/>
              <w:bottom w:val="single" w:sz="8" w:space="0" w:color="auto"/>
              <w:right w:val="single" w:sz="8" w:space="0" w:color="auto"/>
            </w:tcBorders>
            <w:shd w:val="clear" w:color="auto" w:fill="auto"/>
            <w:vAlign w:val="center"/>
            <w:hideMark/>
          </w:tcPr>
          <w:p w14:paraId="0773349F" w14:textId="77777777" w:rsidR="00E37C68" w:rsidRPr="00E37C68" w:rsidRDefault="00E37C68" w:rsidP="00E37C68">
            <w:pPr>
              <w:jc w:val="cente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4</w:t>
            </w:r>
          </w:p>
        </w:tc>
        <w:tc>
          <w:tcPr>
            <w:tcW w:w="3739" w:type="dxa"/>
            <w:tcBorders>
              <w:top w:val="nil"/>
              <w:left w:val="nil"/>
              <w:bottom w:val="single" w:sz="8" w:space="0" w:color="auto"/>
              <w:right w:val="single" w:sz="8" w:space="0" w:color="auto"/>
            </w:tcBorders>
            <w:shd w:val="clear" w:color="auto" w:fill="auto"/>
            <w:vAlign w:val="center"/>
            <w:hideMark/>
          </w:tcPr>
          <w:p w14:paraId="69B66FF5" w14:textId="77777777" w:rsidR="00E37C68" w:rsidRPr="00E37C68" w:rsidRDefault="00E37C68" w:rsidP="00E37C68">
            <w:pPr>
              <w:jc w:val="both"/>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Inventarios para producción</w:t>
            </w:r>
          </w:p>
        </w:tc>
        <w:tc>
          <w:tcPr>
            <w:tcW w:w="2042" w:type="dxa"/>
            <w:tcBorders>
              <w:top w:val="nil"/>
              <w:left w:val="nil"/>
              <w:bottom w:val="single" w:sz="8" w:space="0" w:color="auto"/>
              <w:right w:val="single" w:sz="8" w:space="0" w:color="auto"/>
            </w:tcBorders>
            <w:shd w:val="clear" w:color="auto" w:fill="auto"/>
            <w:vAlign w:val="center"/>
            <w:hideMark/>
          </w:tcPr>
          <w:p w14:paraId="5286DD13" w14:textId="77777777" w:rsidR="000B287D" w:rsidRDefault="00E37C68" w:rsidP="00E37C68">
            <w:pP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 xml:space="preserve">NICSP N° 12, </w:t>
            </w:r>
          </w:p>
          <w:p w14:paraId="16F1ECB0" w14:textId="6C173CDD" w:rsidR="00E37C68" w:rsidRPr="00E37C68" w:rsidRDefault="00E37C68" w:rsidP="00E37C68">
            <w:pPr>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Párrafo 41.</w:t>
            </w:r>
          </w:p>
        </w:tc>
        <w:tc>
          <w:tcPr>
            <w:tcW w:w="1889" w:type="dxa"/>
            <w:tcBorders>
              <w:top w:val="nil"/>
              <w:left w:val="nil"/>
              <w:bottom w:val="single" w:sz="8" w:space="0" w:color="auto"/>
              <w:right w:val="single" w:sz="8" w:space="0" w:color="auto"/>
            </w:tcBorders>
            <w:shd w:val="clear" w:color="auto" w:fill="auto"/>
            <w:vAlign w:val="center"/>
            <w:hideMark/>
          </w:tcPr>
          <w:p w14:paraId="5A11D7E1" w14:textId="77777777" w:rsidR="00E37C68" w:rsidRPr="00E37C68" w:rsidRDefault="00E37C68" w:rsidP="00E37C68">
            <w:pPr>
              <w:ind w:firstLineChars="100" w:firstLine="220"/>
              <w:rPr>
                <w:rFonts w:ascii="Arial Narrow" w:eastAsia="Times New Roman" w:hAnsi="Arial Narrow" w:cs="Calibri"/>
                <w:b/>
                <w:bCs/>
                <w:color w:val="000000"/>
                <w:sz w:val="22"/>
                <w:szCs w:val="22"/>
              </w:rPr>
            </w:pPr>
            <w:r w:rsidRPr="00E37C68">
              <w:rPr>
                <w:rFonts w:ascii="Arial Narrow" w:eastAsia="Times New Roman" w:hAnsi="Arial Narrow" w:cs="Calibri"/>
                <w:b/>
                <w:bCs/>
                <w:color w:val="000000"/>
                <w:sz w:val="22"/>
                <w:szCs w:val="22"/>
              </w:rPr>
              <w:t xml:space="preserve"> </w:t>
            </w:r>
          </w:p>
        </w:tc>
      </w:tr>
    </w:tbl>
    <w:p w14:paraId="4BB79EA3" w14:textId="77777777" w:rsidR="005F3A03" w:rsidRDefault="005F3A03" w:rsidP="0032280D">
      <w:pPr>
        <w:pStyle w:val="Default"/>
        <w:ind w:left="1134" w:hanging="1134"/>
        <w:jc w:val="both"/>
        <w:rPr>
          <w:sz w:val="22"/>
          <w:szCs w:val="22"/>
          <w:lang w:val="es-CR"/>
        </w:rPr>
      </w:pPr>
    </w:p>
    <w:p w14:paraId="2223A3EF" w14:textId="77777777" w:rsidR="0012299F" w:rsidRDefault="0012299F" w:rsidP="0012299F">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4531399" w14:textId="77777777" w:rsidR="0012299F" w:rsidRPr="00773733" w:rsidRDefault="0012299F" w:rsidP="0032280D">
      <w:pPr>
        <w:pStyle w:val="Default"/>
        <w:ind w:left="1134" w:hanging="1134"/>
        <w:jc w:val="both"/>
        <w:rPr>
          <w:sz w:val="22"/>
          <w:szCs w:val="22"/>
          <w:lang w:val="es-CR"/>
        </w:rPr>
      </w:pPr>
    </w:p>
    <w:p w14:paraId="2DC6CF28" w14:textId="6ACD20CB" w:rsidR="00E37C68" w:rsidRDefault="00E37C68" w:rsidP="00E37C68">
      <w:pPr>
        <w:pStyle w:val="Default"/>
        <w:ind w:left="1134" w:hanging="1134"/>
        <w:jc w:val="both"/>
        <w:rPr>
          <w:sz w:val="22"/>
          <w:szCs w:val="22"/>
          <w:lang w:val="es-CR"/>
        </w:rPr>
      </w:pPr>
      <w:r>
        <w:rPr>
          <w:sz w:val="22"/>
          <w:szCs w:val="22"/>
          <w:lang w:val="es-CR"/>
        </w:rPr>
        <w:t>5.44.0.01</w:t>
      </w:r>
      <w:r>
        <w:rPr>
          <w:sz w:val="22"/>
          <w:szCs w:val="22"/>
          <w:lang w:val="es-CR"/>
        </w:rPr>
        <w:tab/>
      </w:r>
      <w:r w:rsidRPr="00E37C68">
        <w:rPr>
          <w:sz w:val="22"/>
          <w:szCs w:val="22"/>
          <w:lang w:val="es-CR"/>
        </w:rPr>
        <w:t>El costo de los inventarios no será recuperable, entre otros, en los siguientes casos:</w:t>
      </w:r>
    </w:p>
    <w:p w14:paraId="0B844E79" w14:textId="77777777" w:rsidR="004B7B21" w:rsidRPr="00E37C68" w:rsidRDefault="004B7B21" w:rsidP="00E37C68">
      <w:pPr>
        <w:pStyle w:val="Default"/>
        <w:ind w:left="1134" w:hanging="1134"/>
        <w:jc w:val="both"/>
        <w:rPr>
          <w:sz w:val="22"/>
          <w:szCs w:val="22"/>
          <w:lang w:val="es-CR"/>
        </w:rPr>
      </w:pPr>
    </w:p>
    <w:p w14:paraId="3F06017B" w14:textId="471A6EF7" w:rsidR="00E37C68" w:rsidRPr="00E37C68" w:rsidRDefault="00E37C68">
      <w:pPr>
        <w:pStyle w:val="Default"/>
        <w:numPr>
          <w:ilvl w:val="0"/>
          <w:numId w:val="303"/>
        </w:numPr>
        <w:spacing w:after="120"/>
        <w:ind w:left="1418" w:hanging="284"/>
        <w:jc w:val="both"/>
        <w:rPr>
          <w:sz w:val="22"/>
          <w:szCs w:val="22"/>
        </w:rPr>
      </w:pPr>
      <w:r w:rsidRPr="00E37C68">
        <w:rPr>
          <w:sz w:val="22"/>
          <w:szCs w:val="22"/>
        </w:rPr>
        <w:t>Por encontrarse dañados;</w:t>
      </w:r>
    </w:p>
    <w:p w14:paraId="64739E41" w14:textId="04EEE78D" w:rsidR="00E37C68" w:rsidRPr="00E37C68" w:rsidRDefault="00E37C68">
      <w:pPr>
        <w:pStyle w:val="Default"/>
        <w:numPr>
          <w:ilvl w:val="0"/>
          <w:numId w:val="303"/>
        </w:numPr>
        <w:spacing w:after="120"/>
        <w:ind w:left="1418" w:hanging="284"/>
        <w:jc w:val="both"/>
        <w:rPr>
          <w:sz w:val="22"/>
          <w:szCs w:val="22"/>
          <w:lang w:val="es-CR"/>
        </w:rPr>
      </w:pPr>
      <w:r w:rsidRPr="00E37C68">
        <w:rPr>
          <w:sz w:val="22"/>
          <w:szCs w:val="22"/>
          <w:lang w:val="es-CR"/>
        </w:rPr>
        <w:t>Que se hayan convertido parcial o totalmente en obsoletos;</w:t>
      </w:r>
    </w:p>
    <w:p w14:paraId="428B03E5" w14:textId="04D1E08F" w:rsidR="00E37C68" w:rsidRPr="00E37C68" w:rsidRDefault="00E37C68">
      <w:pPr>
        <w:pStyle w:val="Default"/>
        <w:numPr>
          <w:ilvl w:val="0"/>
          <w:numId w:val="303"/>
        </w:numPr>
        <w:spacing w:after="120"/>
        <w:ind w:left="1418" w:hanging="284"/>
        <w:jc w:val="both"/>
        <w:rPr>
          <w:sz w:val="22"/>
          <w:szCs w:val="22"/>
          <w:lang w:val="es-CR"/>
        </w:rPr>
      </w:pPr>
      <w:r w:rsidRPr="00E37C68">
        <w:rPr>
          <w:sz w:val="22"/>
          <w:szCs w:val="22"/>
          <w:lang w:val="es-CR"/>
        </w:rPr>
        <w:t>Que sus precios de mercado hayan caído; y</w:t>
      </w:r>
    </w:p>
    <w:p w14:paraId="6A2151B0" w14:textId="372BADB2" w:rsidR="00E37C68" w:rsidRPr="00E37C68" w:rsidRDefault="00E37C68">
      <w:pPr>
        <w:pStyle w:val="Default"/>
        <w:numPr>
          <w:ilvl w:val="0"/>
          <w:numId w:val="303"/>
        </w:numPr>
        <w:ind w:left="1418" w:hanging="284"/>
        <w:jc w:val="both"/>
        <w:rPr>
          <w:sz w:val="22"/>
          <w:szCs w:val="22"/>
          <w:lang w:val="es-CR"/>
        </w:rPr>
      </w:pPr>
      <w:r w:rsidRPr="00E37C68">
        <w:rPr>
          <w:sz w:val="22"/>
          <w:szCs w:val="22"/>
          <w:lang w:val="es-CR"/>
        </w:rPr>
        <w:t xml:space="preserve">Si los costos estimados para su terminación o su venta, intercambio o distribución hubieran aumentado. </w:t>
      </w:r>
    </w:p>
    <w:p w14:paraId="1B47C38D" w14:textId="77777777" w:rsidR="00E37C68" w:rsidRPr="00E37C68" w:rsidRDefault="00E37C68" w:rsidP="00E37C68">
      <w:pPr>
        <w:pStyle w:val="Default"/>
        <w:jc w:val="both"/>
        <w:rPr>
          <w:sz w:val="22"/>
          <w:szCs w:val="22"/>
          <w:lang w:val="es-CR"/>
        </w:rPr>
      </w:pPr>
    </w:p>
    <w:p w14:paraId="624F4022" w14:textId="6645732D" w:rsidR="00E37C68" w:rsidRPr="00E37C68" w:rsidRDefault="00041A77" w:rsidP="00E37C68">
      <w:pPr>
        <w:pStyle w:val="Default"/>
        <w:ind w:left="1134" w:hanging="1134"/>
        <w:jc w:val="both"/>
        <w:rPr>
          <w:sz w:val="22"/>
          <w:szCs w:val="22"/>
          <w:lang w:val="es-CR"/>
        </w:rPr>
      </w:pPr>
      <w:r>
        <w:rPr>
          <w:sz w:val="22"/>
          <w:szCs w:val="22"/>
          <w:lang w:val="es-CR"/>
        </w:rPr>
        <w:t>5.44.</w:t>
      </w:r>
      <w:r w:rsidR="00E37C68" w:rsidRPr="00E37C68">
        <w:rPr>
          <w:sz w:val="22"/>
          <w:szCs w:val="22"/>
          <w:lang w:val="es-CR"/>
        </w:rPr>
        <w:t>1.</w:t>
      </w:r>
      <w:r>
        <w:rPr>
          <w:sz w:val="22"/>
          <w:szCs w:val="22"/>
          <w:lang w:val="es-CR"/>
        </w:rPr>
        <w:t>01</w:t>
      </w:r>
      <w:r>
        <w:rPr>
          <w:sz w:val="22"/>
          <w:szCs w:val="22"/>
          <w:lang w:val="es-CR"/>
        </w:rPr>
        <w:tab/>
      </w:r>
      <w:r w:rsidR="00E37C68" w:rsidRPr="00E37C68">
        <w:rPr>
          <w:sz w:val="22"/>
          <w:szCs w:val="22"/>
          <w:lang w:val="es-CR"/>
        </w:rPr>
        <w:t xml:space="preserve">Los inventarios se expondrán netos de las estimaciones realizadas por desvalorización y pérdida de inventario, por lo cual los mismos quedarán al valor realizable neto, ya que dichos activos no deben registrarse por encima de los beneficios económicos o potencial de servicio futuros esperados a realizar con su venta, intercambio, distribución o uso. </w:t>
      </w:r>
    </w:p>
    <w:p w14:paraId="155C435A" w14:textId="77777777" w:rsidR="00E37C68" w:rsidRPr="00E37C68" w:rsidRDefault="00E37C68" w:rsidP="00E37C68">
      <w:pPr>
        <w:pStyle w:val="Default"/>
        <w:ind w:left="1134" w:hanging="1134"/>
        <w:jc w:val="both"/>
        <w:rPr>
          <w:sz w:val="22"/>
          <w:szCs w:val="22"/>
          <w:lang w:val="es-CR"/>
        </w:rPr>
      </w:pPr>
    </w:p>
    <w:p w14:paraId="0F9095DC" w14:textId="39427901" w:rsidR="00E37C68" w:rsidRPr="00E37C68" w:rsidRDefault="00041A77" w:rsidP="00E37C68">
      <w:pPr>
        <w:pStyle w:val="Default"/>
        <w:ind w:left="1134" w:hanging="1134"/>
        <w:jc w:val="both"/>
        <w:rPr>
          <w:sz w:val="22"/>
          <w:szCs w:val="22"/>
          <w:lang w:val="es-CR"/>
        </w:rPr>
      </w:pPr>
      <w:r>
        <w:rPr>
          <w:sz w:val="22"/>
          <w:szCs w:val="22"/>
          <w:lang w:val="es-CR"/>
        </w:rPr>
        <w:t>5.44.</w:t>
      </w:r>
      <w:r w:rsidR="00E37C68" w:rsidRPr="00E37C68">
        <w:rPr>
          <w:sz w:val="22"/>
          <w:szCs w:val="22"/>
          <w:lang w:val="es-CR"/>
        </w:rPr>
        <w:t>2.</w:t>
      </w:r>
      <w:r>
        <w:rPr>
          <w:sz w:val="22"/>
          <w:szCs w:val="22"/>
          <w:lang w:val="es-CR"/>
        </w:rPr>
        <w:t>01</w:t>
      </w:r>
      <w:r>
        <w:rPr>
          <w:sz w:val="22"/>
          <w:szCs w:val="22"/>
          <w:lang w:val="es-CR"/>
        </w:rPr>
        <w:tab/>
      </w:r>
      <w:r w:rsidR="00E37C68" w:rsidRPr="00E37C68">
        <w:rPr>
          <w:sz w:val="22"/>
          <w:szCs w:val="22"/>
          <w:lang w:val="es-CR"/>
        </w:rPr>
        <w:t xml:space="preserve">El cálculo de la previsión debe realizarse en función de la agrupación de productos similares, manteniendo dicha agrupación en los diferentes ejercicios, a efectos de obtener un porcentaje fiable que permita exponerlos por su valor neto, excepto que por razones prácticas los inventarios tengan que ser evaluados separadamente de otros productos de la misma línea. Dicha estimación debe ser fundada en juicio profesional y expuesto en Notas a los EEFF. </w:t>
      </w:r>
    </w:p>
    <w:p w14:paraId="38D1DB4F" w14:textId="77777777" w:rsidR="00E37C68" w:rsidRPr="00E37C68" w:rsidRDefault="00E37C68" w:rsidP="00E37C68">
      <w:pPr>
        <w:pStyle w:val="Default"/>
        <w:jc w:val="both"/>
        <w:rPr>
          <w:sz w:val="22"/>
          <w:szCs w:val="22"/>
          <w:lang w:val="es-CR"/>
        </w:rPr>
      </w:pPr>
    </w:p>
    <w:p w14:paraId="65D73CFD" w14:textId="6B0D2EC1" w:rsidR="00E37C68" w:rsidRPr="00E37C68" w:rsidRDefault="00041A77" w:rsidP="00041A77">
      <w:pPr>
        <w:pStyle w:val="Default"/>
        <w:ind w:left="1134" w:hanging="1134"/>
        <w:jc w:val="both"/>
        <w:rPr>
          <w:sz w:val="22"/>
          <w:szCs w:val="22"/>
          <w:lang w:val="es-CR"/>
        </w:rPr>
      </w:pPr>
      <w:r>
        <w:rPr>
          <w:sz w:val="22"/>
          <w:szCs w:val="22"/>
          <w:lang w:val="es-CR"/>
        </w:rPr>
        <w:t>5.44.</w:t>
      </w:r>
      <w:r w:rsidR="00E37C68" w:rsidRPr="00E37C68">
        <w:rPr>
          <w:sz w:val="22"/>
          <w:szCs w:val="22"/>
          <w:lang w:val="es-CR"/>
        </w:rPr>
        <w:t>3.</w:t>
      </w:r>
      <w:r>
        <w:rPr>
          <w:sz w:val="22"/>
          <w:szCs w:val="22"/>
          <w:lang w:val="es-CR"/>
        </w:rPr>
        <w:t>01</w:t>
      </w:r>
      <w:r>
        <w:rPr>
          <w:sz w:val="22"/>
          <w:szCs w:val="22"/>
          <w:lang w:val="es-CR"/>
        </w:rPr>
        <w:tab/>
      </w:r>
      <w:r w:rsidR="00E37C68" w:rsidRPr="00E37C68">
        <w:rPr>
          <w:sz w:val="22"/>
          <w:szCs w:val="22"/>
          <w:lang w:val="es-CR"/>
        </w:rPr>
        <w:t xml:space="preserve">Cuando se realizan las estimaciones del valor realizable neto, se tendrá en consideración el propósito para el que se mantienen los inventarios y si los mismos están relacionados con un contrato de venta, en cuyos casos el valor realizable neto de la cantidad de inventarios que se mantienen para cumplir con los contratos de venta, o de prestación de servicio, se basará en el precio del contrato. Si los contratos de ventas son por menor cantidad que la mantenida en inventario, el valor realizable neto del exceso se determinará sobre la base de los precios generales de venta. </w:t>
      </w:r>
    </w:p>
    <w:p w14:paraId="0D4BA735" w14:textId="77777777" w:rsidR="00E37C68" w:rsidRPr="00E37C68" w:rsidRDefault="00E37C68" w:rsidP="00E37C68">
      <w:pPr>
        <w:pStyle w:val="Default"/>
        <w:jc w:val="both"/>
        <w:rPr>
          <w:sz w:val="22"/>
          <w:szCs w:val="22"/>
          <w:lang w:val="es-CR"/>
        </w:rPr>
      </w:pPr>
    </w:p>
    <w:p w14:paraId="2A5A41F2" w14:textId="091398EB" w:rsidR="00E37C68" w:rsidRDefault="00041A77" w:rsidP="00041A77">
      <w:pPr>
        <w:pStyle w:val="Default"/>
        <w:ind w:left="1134" w:hanging="1134"/>
        <w:jc w:val="both"/>
        <w:rPr>
          <w:sz w:val="22"/>
          <w:szCs w:val="22"/>
          <w:lang w:val="es-CR"/>
        </w:rPr>
      </w:pPr>
      <w:r>
        <w:rPr>
          <w:sz w:val="22"/>
          <w:szCs w:val="22"/>
          <w:lang w:val="es-CR"/>
        </w:rPr>
        <w:t>5.44.</w:t>
      </w:r>
      <w:r w:rsidR="00E37C68" w:rsidRPr="00E37C68">
        <w:rPr>
          <w:sz w:val="22"/>
          <w:szCs w:val="22"/>
          <w:lang w:val="es-CR"/>
        </w:rPr>
        <w:t>4.</w:t>
      </w:r>
      <w:r>
        <w:rPr>
          <w:sz w:val="22"/>
          <w:szCs w:val="22"/>
          <w:lang w:val="es-CR"/>
        </w:rPr>
        <w:t>01</w:t>
      </w:r>
      <w:r>
        <w:rPr>
          <w:sz w:val="22"/>
          <w:szCs w:val="22"/>
          <w:lang w:val="es-CR"/>
        </w:rPr>
        <w:tab/>
      </w:r>
      <w:r w:rsidR="00E37C68" w:rsidRPr="00E37C68">
        <w:rPr>
          <w:sz w:val="22"/>
          <w:szCs w:val="22"/>
          <w:lang w:val="es-CR"/>
        </w:rPr>
        <w:t xml:space="preserve">Las materias primas y otros suministros mantenidos para su uso en la producción de </w:t>
      </w:r>
      <w:r w:rsidRPr="00E37C68">
        <w:rPr>
          <w:sz w:val="22"/>
          <w:szCs w:val="22"/>
          <w:lang w:val="es-CR"/>
        </w:rPr>
        <w:t>inventarios</w:t>
      </w:r>
      <w:r w:rsidR="00E37C68" w:rsidRPr="00E37C68">
        <w:rPr>
          <w:sz w:val="22"/>
          <w:szCs w:val="22"/>
          <w:lang w:val="es-CR"/>
        </w:rPr>
        <w:t xml:space="preserve"> no serán rebajadas por debajo del costo, si los productos terminados a los que se incorporen se espera que sean vendidos, intercambiados o distribuidos al costo o por encima del mismo. Sin embargo, cuando una reducción en el precio de las materias primas indique que el costo de los productos terminados excede a su valor realizable neto, se rebajará su importe en libros hasta cubrir esa diferencia. En tales circunstancias, el costo de reposición de las materias primas puede ser la mejor medida disponible de su valor realizable neto.</w:t>
      </w:r>
    </w:p>
    <w:p w14:paraId="6BB052FA" w14:textId="77777777" w:rsidR="0012299F" w:rsidRDefault="0012299F" w:rsidP="0012299F">
      <w:pPr>
        <w:pStyle w:val="Default"/>
        <w:ind w:left="1134" w:hanging="1134"/>
        <w:jc w:val="both"/>
        <w:rPr>
          <w:sz w:val="22"/>
          <w:szCs w:val="22"/>
          <w:lang w:val="es-CR"/>
        </w:rPr>
      </w:pPr>
    </w:p>
    <w:p w14:paraId="1722798F" w14:textId="77777777" w:rsidR="004B7B21" w:rsidRPr="00E37C68" w:rsidRDefault="004B7B21" w:rsidP="0012299F">
      <w:pPr>
        <w:pStyle w:val="Default"/>
        <w:ind w:left="1134" w:hanging="1134"/>
        <w:jc w:val="both"/>
        <w:rPr>
          <w:sz w:val="22"/>
          <w:szCs w:val="22"/>
          <w:lang w:val="es-CR"/>
        </w:rPr>
      </w:pPr>
    </w:p>
    <w:p w14:paraId="64C3E5F4" w14:textId="77777777" w:rsidR="005F3A03" w:rsidRDefault="005F3A03" w:rsidP="0032280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95"/>
        <w:gridCol w:w="2249"/>
        <w:gridCol w:w="1852"/>
      </w:tblGrid>
      <w:tr w:rsidR="00041A77" w:rsidRPr="00041A77" w14:paraId="07DE2153" w14:textId="77777777" w:rsidTr="0012299F">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A1D161D" w14:textId="77777777" w:rsidR="00041A77" w:rsidRPr="00041A77" w:rsidRDefault="00041A77" w:rsidP="00041A77">
            <w:pPr>
              <w:jc w:val="center"/>
              <w:rPr>
                <w:rFonts w:ascii="Arial Narrow" w:eastAsia="Times New Roman" w:hAnsi="Arial Narrow" w:cs="Calibri"/>
                <w:b/>
                <w:bCs/>
                <w:color w:val="FFFFFF"/>
                <w:sz w:val="22"/>
                <w:szCs w:val="22"/>
              </w:rPr>
            </w:pPr>
            <w:r w:rsidRPr="00041A77">
              <w:rPr>
                <w:rFonts w:ascii="Arial Narrow" w:eastAsia="Times New Roman" w:hAnsi="Arial Narrow" w:cs="Calibri"/>
                <w:b/>
                <w:bCs/>
                <w:color w:val="FFFFFF"/>
                <w:sz w:val="22"/>
                <w:szCs w:val="22"/>
              </w:rPr>
              <w:t>Norma / Política</w:t>
            </w:r>
          </w:p>
        </w:tc>
        <w:tc>
          <w:tcPr>
            <w:tcW w:w="3695" w:type="dxa"/>
            <w:vMerge w:val="restart"/>
            <w:tcBorders>
              <w:top w:val="single" w:sz="8" w:space="0" w:color="auto"/>
              <w:left w:val="single" w:sz="8" w:space="0" w:color="auto"/>
              <w:bottom w:val="nil"/>
              <w:right w:val="single" w:sz="8" w:space="0" w:color="auto"/>
            </w:tcBorders>
            <w:shd w:val="clear" w:color="000000" w:fill="203764"/>
            <w:vAlign w:val="center"/>
            <w:hideMark/>
          </w:tcPr>
          <w:p w14:paraId="38E62091" w14:textId="77777777" w:rsidR="00041A77" w:rsidRPr="00041A77" w:rsidRDefault="00041A77" w:rsidP="00041A77">
            <w:pPr>
              <w:jc w:val="center"/>
              <w:rPr>
                <w:rFonts w:ascii="Arial Narrow" w:eastAsia="Times New Roman" w:hAnsi="Arial Narrow" w:cs="Calibri"/>
                <w:b/>
                <w:bCs/>
                <w:color w:val="FFFFFF"/>
                <w:sz w:val="22"/>
                <w:szCs w:val="22"/>
              </w:rPr>
            </w:pPr>
            <w:r w:rsidRPr="00041A77">
              <w:rPr>
                <w:rFonts w:ascii="Arial Narrow" w:eastAsia="Times New Roman" w:hAnsi="Arial Narrow" w:cs="Calibri"/>
                <w:b/>
                <w:bCs/>
                <w:color w:val="FFFFFF"/>
                <w:sz w:val="22"/>
                <w:szCs w:val="22"/>
              </w:rPr>
              <w:t>Concepto</w:t>
            </w:r>
          </w:p>
        </w:tc>
        <w:tc>
          <w:tcPr>
            <w:tcW w:w="4101" w:type="dxa"/>
            <w:gridSpan w:val="2"/>
            <w:tcBorders>
              <w:top w:val="single" w:sz="8" w:space="0" w:color="auto"/>
              <w:left w:val="nil"/>
              <w:bottom w:val="single" w:sz="8" w:space="0" w:color="auto"/>
              <w:right w:val="single" w:sz="8" w:space="0" w:color="000000"/>
            </w:tcBorders>
            <w:shd w:val="clear" w:color="000000" w:fill="203764"/>
            <w:vAlign w:val="center"/>
            <w:hideMark/>
          </w:tcPr>
          <w:p w14:paraId="6F7C1FD5" w14:textId="77777777" w:rsidR="00041A77" w:rsidRPr="00041A77" w:rsidRDefault="00041A77" w:rsidP="00041A77">
            <w:pPr>
              <w:jc w:val="center"/>
              <w:rPr>
                <w:rFonts w:ascii="Arial Narrow" w:eastAsia="Times New Roman" w:hAnsi="Arial Narrow" w:cs="Calibri"/>
                <w:b/>
                <w:bCs/>
                <w:color w:val="FFFFFF"/>
                <w:sz w:val="22"/>
                <w:szCs w:val="22"/>
              </w:rPr>
            </w:pPr>
            <w:r w:rsidRPr="00041A77">
              <w:rPr>
                <w:rFonts w:ascii="Arial Narrow" w:eastAsia="Times New Roman" w:hAnsi="Arial Narrow" w:cs="Calibri"/>
                <w:b/>
                <w:bCs/>
                <w:color w:val="FFFFFF"/>
                <w:sz w:val="22"/>
                <w:szCs w:val="22"/>
              </w:rPr>
              <w:t>Referencia</w:t>
            </w:r>
          </w:p>
        </w:tc>
      </w:tr>
      <w:tr w:rsidR="00041A77" w:rsidRPr="006E5442" w14:paraId="29A5A0E6" w14:textId="77777777" w:rsidTr="0012299F">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FB112D7" w14:textId="77777777" w:rsidR="00041A77" w:rsidRPr="00041A77" w:rsidRDefault="00041A77" w:rsidP="00041A77">
            <w:pPr>
              <w:rPr>
                <w:rFonts w:ascii="Arial Narrow" w:eastAsia="Times New Roman" w:hAnsi="Arial Narrow" w:cs="Calibri"/>
                <w:b/>
                <w:bCs/>
                <w:color w:val="FFFFFF"/>
                <w:sz w:val="22"/>
                <w:szCs w:val="22"/>
              </w:rPr>
            </w:pPr>
          </w:p>
        </w:tc>
        <w:tc>
          <w:tcPr>
            <w:tcW w:w="3695" w:type="dxa"/>
            <w:vMerge/>
            <w:tcBorders>
              <w:top w:val="single" w:sz="8" w:space="0" w:color="auto"/>
              <w:left w:val="single" w:sz="8" w:space="0" w:color="auto"/>
              <w:bottom w:val="nil"/>
              <w:right w:val="single" w:sz="8" w:space="0" w:color="auto"/>
            </w:tcBorders>
            <w:vAlign w:val="center"/>
            <w:hideMark/>
          </w:tcPr>
          <w:p w14:paraId="772CA9F4" w14:textId="77777777" w:rsidR="00041A77" w:rsidRPr="00041A77" w:rsidRDefault="00041A77" w:rsidP="00041A77">
            <w:pPr>
              <w:rPr>
                <w:rFonts w:ascii="Arial Narrow" w:eastAsia="Times New Roman" w:hAnsi="Arial Narrow" w:cs="Calibri"/>
                <w:b/>
                <w:bCs/>
                <w:color w:val="FFFFFF"/>
                <w:sz w:val="22"/>
                <w:szCs w:val="22"/>
              </w:rPr>
            </w:pPr>
          </w:p>
        </w:tc>
        <w:tc>
          <w:tcPr>
            <w:tcW w:w="2249" w:type="dxa"/>
            <w:tcBorders>
              <w:top w:val="nil"/>
              <w:left w:val="nil"/>
              <w:bottom w:val="nil"/>
              <w:right w:val="single" w:sz="8" w:space="0" w:color="auto"/>
            </w:tcBorders>
            <w:shd w:val="clear" w:color="000000" w:fill="203764"/>
            <w:vAlign w:val="center"/>
            <w:hideMark/>
          </w:tcPr>
          <w:p w14:paraId="0780EC8E" w14:textId="77777777" w:rsidR="00041A77" w:rsidRPr="00041A77" w:rsidRDefault="00041A77" w:rsidP="00041A77">
            <w:pPr>
              <w:jc w:val="center"/>
              <w:rPr>
                <w:rFonts w:ascii="Arial Narrow" w:eastAsia="Times New Roman" w:hAnsi="Arial Narrow" w:cs="Calibri"/>
                <w:b/>
                <w:bCs/>
                <w:color w:val="FFFFFF"/>
                <w:sz w:val="22"/>
                <w:szCs w:val="22"/>
              </w:rPr>
            </w:pPr>
            <w:r w:rsidRPr="00041A77">
              <w:rPr>
                <w:rFonts w:ascii="Arial Narrow" w:eastAsia="Times New Roman" w:hAnsi="Arial Narrow" w:cs="Calibri"/>
                <w:b/>
                <w:bCs/>
                <w:color w:val="FFFFFF"/>
                <w:sz w:val="22"/>
                <w:szCs w:val="22"/>
              </w:rPr>
              <w:t>Norma</w:t>
            </w:r>
          </w:p>
        </w:tc>
        <w:tc>
          <w:tcPr>
            <w:tcW w:w="1852" w:type="dxa"/>
            <w:tcBorders>
              <w:top w:val="nil"/>
              <w:left w:val="nil"/>
              <w:bottom w:val="nil"/>
              <w:right w:val="single" w:sz="8" w:space="0" w:color="auto"/>
            </w:tcBorders>
            <w:shd w:val="clear" w:color="000000" w:fill="203764"/>
            <w:vAlign w:val="center"/>
            <w:hideMark/>
          </w:tcPr>
          <w:p w14:paraId="77FFC140" w14:textId="77777777" w:rsidR="00041A77" w:rsidRPr="00041A77" w:rsidRDefault="00041A77" w:rsidP="00041A77">
            <w:pPr>
              <w:jc w:val="center"/>
              <w:rPr>
                <w:rFonts w:ascii="Arial Narrow" w:eastAsia="Times New Roman" w:hAnsi="Arial Narrow" w:cs="Calibri"/>
                <w:b/>
                <w:bCs/>
                <w:color w:val="FFFFFF"/>
                <w:sz w:val="22"/>
                <w:szCs w:val="22"/>
                <w:lang w:val="es-CR"/>
              </w:rPr>
            </w:pPr>
            <w:r w:rsidRPr="00041A77">
              <w:rPr>
                <w:rFonts w:ascii="Arial Narrow" w:eastAsia="Times New Roman" w:hAnsi="Arial Narrow" w:cs="Calibri"/>
                <w:b/>
                <w:bCs/>
                <w:color w:val="FFFFFF"/>
                <w:sz w:val="22"/>
                <w:szCs w:val="22"/>
                <w:lang w:val="es-CR"/>
              </w:rPr>
              <w:t>Normativa técnica y disposiciones adicionales</w:t>
            </w:r>
          </w:p>
        </w:tc>
      </w:tr>
      <w:tr w:rsidR="00041A77" w:rsidRPr="00041A77" w14:paraId="2465FA74" w14:textId="77777777" w:rsidTr="0012299F">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1A59B7" w14:textId="77777777" w:rsidR="00041A77" w:rsidRPr="00041A77" w:rsidRDefault="00041A77" w:rsidP="00041A77">
            <w:pPr>
              <w:jc w:val="center"/>
              <w:rPr>
                <w:rFonts w:ascii="Arial Narrow" w:eastAsia="Times New Roman" w:hAnsi="Arial Narrow" w:cs="Calibri"/>
                <w:b/>
                <w:bCs/>
                <w:color w:val="000000"/>
                <w:sz w:val="22"/>
                <w:szCs w:val="22"/>
              </w:rPr>
            </w:pPr>
            <w:r w:rsidRPr="00041A77">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7F0AA3B" w14:textId="77777777" w:rsidR="00041A77" w:rsidRPr="00041A77" w:rsidRDefault="00041A77" w:rsidP="00041A77">
            <w:pPr>
              <w:jc w:val="center"/>
              <w:rPr>
                <w:rFonts w:ascii="Arial Narrow" w:eastAsia="Times New Roman" w:hAnsi="Arial Narrow" w:cs="Calibri"/>
                <w:b/>
                <w:bCs/>
                <w:color w:val="000000"/>
                <w:sz w:val="22"/>
                <w:szCs w:val="22"/>
              </w:rPr>
            </w:pPr>
            <w:r w:rsidRPr="00041A77">
              <w:rPr>
                <w:rFonts w:ascii="Arial Narrow" w:eastAsia="Times New Roman" w:hAnsi="Arial Narrow" w:cs="Calibri"/>
                <w:b/>
                <w:bCs/>
                <w:color w:val="000000"/>
                <w:sz w:val="22"/>
                <w:szCs w:val="22"/>
              </w:rPr>
              <w:t>45</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46BF70BA" w14:textId="77777777" w:rsidR="00041A77" w:rsidRPr="00041A77" w:rsidRDefault="00041A77" w:rsidP="00041A77">
            <w:pPr>
              <w:jc w:val="center"/>
              <w:rPr>
                <w:rFonts w:ascii="Arial Narrow" w:eastAsia="Times New Roman" w:hAnsi="Arial Narrow" w:cs="Calibri"/>
                <w:b/>
                <w:bCs/>
                <w:color w:val="000000"/>
                <w:sz w:val="22"/>
                <w:szCs w:val="22"/>
              </w:rPr>
            </w:pPr>
            <w:r w:rsidRPr="00041A77">
              <w:rPr>
                <w:rFonts w:ascii="Arial Narrow" w:eastAsia="Times New Roman" w:hAnsi="Arial Narrow" w:cs="Calibri"/>
                <w:b/>
                <w:bCs/>
                <w:color w:val="000000"/>
                <w:sz w:val="22"/>
                <w:szCs w:val="22"/>
              </w:rPr>
              <w:t xml:space="preserve"> </w:t>
            </w:r>
          </w:p>
        </w:tc>
        <w:tc>
          <w:tcPr>
            <w:tcW w:w="3695" w:type="dxa"/>
            <w:tcBorders>
              <w:top w:val="single" w:sz="8" w:space="0" w:color="auto"/>
              <w:left w:val="nil"/>
              <w:bottom w:val="single" w:sz="8" w:space="0" w:color="auto"/>
              <w:right w:val="single" w:sz="8" w:space="0" w:color="auto"/>
            </w:tcBorders>
            <w:shd w:val="clear" w:color="auto" w:fill="auto"/>
            <w:vAlign w:val="center"/>
            <w:hideMark/>
          </w:tcPr>
          <w:p w14:paraId="39545A80" w14:textId="77777777" w:rsidR="00041A77" w:rsidRPr="00041A77" w:rsidRDefault="00041A77" w:rsidP="00041A77">
            <w:pPr>
              <w:jc w:val="both"/>
              <w:rPr>
                <w:rFonts w:ascii="Arial Narrow" w:eastAsia="Times New Roman" w:hAnsi="Arial Narrow" w:cs="Calibri"/>
                <w:b/>
                <w:bCs/>
                <w:color w:val="000000"/>
                <w:sz w:val="22"/>
                <w:szCs w:val="22"/>
                <w:lang w:val="es-CR"/>
              </w:rPr>
            </w:pPr>
            <w:r w:rsidRPr="00041A77">
              <w:rPr>
                <w:rFonts w:ascii="Arial Narrow" w:eastAsia="Times New Roman" w:hAnsi="Arial Narrow" w:cs="Calibri"/>
                <w:b/>
                <w:bCs/>
                <w:color w:val="000000"/>
                <w:sz w:val="22"/>
                <w:szCs w:val="22"/>
                <w:lang w:val="es-CR"/>
              </w:rPr>
              <w:t>Reconocimiento como un gasto y reversión de rebajas</w:t>
            </w:r>
          </w:p>
        </w:tc>
        <w:tc>
          <w:tcPr>
            <w:tcW w:w="2249" w:type="dxa"/>
            <w:tcBorders>
              <w:top w:val="single" w:sz="8" w:space="0" w:color="auto"/>
              <w:left w:val="nil"/>
              <w:bottom w:val="single" w:sz="8" w:space="0" w:color="auto"/>
              <w:right w:val="single" w:sz="8" w:space="0" w:color="auto"/>
            </w:tcBorders>
            <w:shd w:val="clear" w:color="auto" w:fill="auto"/>
            <w:vAlign w:val="center"/>
            <w:hideMark/>
          </w:tcPr>
          <w:p w14:paraId="4C404DCB" w14:textId="77777777" w:rsidR="0012299F" w:rsidRDefault="00041A77" w:rsidP="00041A77">
            <w:pPr>
              <w:jc w:val="both"/>
              <w:rPr>
                <w:rFonts w:ascii="Arial Narrow" w:eastAsia="Times New Roman" w:hAnsi="Arial Narrow" w:cs="Calibri"/>
                <w:b/>
                <w:bCs/>
                <w:color w:val="000000"/>
                <w:sz w:val="22"/>
                <w:szCs w:val="22"/>
              </w:rPr>
            </w:pPr>
            <w:r w:rsidRPr="00041A77">
              <w:rPr>
                <w:rFonts w:ascii="Arial Narrow" w:eastAsia="Times New Roman" w:hAnsi="Arial Narrow" w:cs="Calibri"/>
                <w:b/>
                <w:bCs/>
                <w:color w:val="000000"/>
                <w:sz w:val="22"/>
                <w:szCs w:val="22"/>
              </w:rPr>
              <w:t xml:space="preserve">NICSP N° 12, </w:t>
            </w:r>
          </w:p>
          <w:p w14:paraId="7420AC8D" w14:textId="3200300E" w:rsidR="00041A77" w:rsidRPr="00041A77" w:rsidRDefault="00041A77" w:rsidP="00041A77">
            <w:pPr>
              <w:jc w:val="both"/>
              <w:rPr>
                <w:rFonts w:ascii="Arial Narrow" w:eastAsia="Times New Roman" w:hAnsi="Arial Narrow" w:cs="Calibri"/>
                <w:b/>
                <w:bCs/>
                <w:color w:val="000000"/>
                <w:sz w:val="22"/>
                <w:szCs w:val="22"/>
              </w:rPr>
            </w:pPr>
            <w:r w:rsidRPr="00041A77">
              <w:rPr>
                <w:rFonts w:ascii="Arial Narrow" w:eastAsia="Times New Roman" w:hAnsi="Arial Narrow" w:cs="Calibri"/>
                <w:b/>
                <w:bCs/>
                <w:color w:val="000000"/>
                <w:sz w:val="22"/>
                <w:szCs w:val="22"/>
              </w:rPr>
              <w:t>Párrafo 44.</w:t>
            </w:r>
          </w:p>
        </w:tc>
        <w:tc>
          <w:tcPr>
            <w:tcW w:w="1852" w:type="dxa"/>
            <w:tcBorders>
              <w:top w:val="single" w:sz="8" w:space="0" w:color="auto"/>
              <w:left w:val="nil"/>
              <w:bottom w:val="single" w:sz="8" w:space="0" w:color="auto"/>
              <w:right w:val="single" w:sz="8" w:space="0" w:color="auto"/>
            </w:tcBorders>
            <w:shd w:val="clear" w:color="auto" w:fill="auto"/>
            <w:vAlign w:val="center"/>
            <w:hideMark/>
          </w:tcPr>
          <w:p w14:paraId="24888513" w14:textId="77777777" w:rsidR="00041A77" w:rsidRPr="00041A77" w:rsidRDefault="00041A77" w:rsidP="00041A77">
            <w:pPr>
              <w:jc w:val="center"/>
              <w:rPr>
                <w:rFonts w:ascii="Arial Narrow" w:eastAsia="Times New Roman" w:hAnsi="Arial Narrow" w:cs="Calibri"/>
                <w:b/>
                <w:bCs/>
                <w:color w:val="000000"/>
                <w:sz w:val="22"/>
                <w:szCs w:val="22"/>
              </w:rPr>
            </w:pPr>
            <w:r w:rsidRPr="00041A77">
              <w:rPr>
                <w:rFonts w:ascii="Arial Narrow" w:eastAsia="Times New Roman" w:hAnsi="Arial Narrow" w:cs="Calibri"/>
                <w:b/>
                <w:bCs/>
                <w:color w:val="000000"/>
                <w:sz w:val="22"/>
                <w:szCs w:val="22"/>
              </w:rPr>
              <w:t xml:space="preserve"> </w:t>
            </w:r>
          </w:p>
        </w:tc>
      </w:tr>
    </w:tbl>
    <w:p w14:paraId="475F130B" w14:textId="77777777" w:rsidR="00E37C68" w:rsidRDefault="00E37C68" w:rsidP="0032280D">
      <w:pPr>
        <w:pStyle w:val="Default"/>
        <w:ind w:left="1134" w:hanging="1134"/>
        <w:jc w:val="both"/>
        <w:rPr>
          <w:sz w:val="22"/>
          <w:szCs w:val="22"/>
          <w:lang w:val="es-CR"/>
        </w:rPr>
      </w:pPr>
    </w:p>
    <w:p w14:paraId="5E56C44E" w14:textId="77777777" w:rsidR="0012299F" w:rsidRDefault="0012299F" w:rsidP="0012299F">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1FE63A49" w14:textId="77777777" w:rsidR="0012299F" w:rsidRDefault="0012299F" w:rsidP="0032280D">
      <w:pPr>
        <w:pStyle w:val="Default"/>
        <w:ind w:left="1134" w:hanging="1134"/>
        <w:jc w:val="both"/>
        <w:rPr>
          <w:sz w:val="22"/>
          <w:szCs w:val="22"/>
          <w:lang w:val="es-CR"/>
        </w:rPr>
      </w:pPr>
    </w:p>
    <w:p w14:paraId="1E5721BA" w14:textId="77777777" w:rsidR="00041A77" w:rsidRDefault="00041A77" w:rsidP="00041A77">
      <w:pPr>
        <w:pStyle w:val="Default"/>
        <w:ind w:left="1134" w:hanging="1134"/>
        <w:jc w:val="both"/>
        <w:rPr>
          <w:sz w:val="23"/>
          <w:szCs w:val="23"/>
          <w:lang w:val="es-CR"/>
        </w:rPr>
      </w:pPr>
      <w:r>
        <w:rPr>
          <w:sz w:val="23"/>
          <w:szCs w:val="23"/>
          <w:lang w:val="es-CR"/>
        </w:rPr>
        <w:t>5.45.0.01</w:t>
      </w:r>
      <w:r>
        <w:rPr>
          <w:sz w:val="23"/>
          <w:szCs w:val="23"/>
          <w:lang w:val="es-CR"/>
        </w:rPr>
        <w:tab/>
      </w:r>
      <w:r w:rsidRPr="00041A77">
        <w:rPr>
          <w:sz w:val="23"/>
          <w:szCs w:val="23"/>
          <w:lang w:val="es-CR"/>
        </w:rPr>
        <w:t xml:space="preserve">El </w:t>
      </w:r>
      <w:r w:rsidRPr="00041A77">
        <w:rPr>
          <w:sz w:val="22"/>
          <w:szCs w:val="22"/>
          <w:lang w:val="es-CR"/>
        </w:rPr>
        <w:t>importe</w:t>
      </w:r>
      <w:r w:rsidRPr="00041A77">
        <w:rPr>
          <w:sz w:val="23"/>
          <w:szCs w:val="23"/>
          <w:lang w:val="es-CR"/>
        </w:rPr>
        <w:t xml:space="preserve"> de cualquier rebaja en los inventarios y todas las pérdidas en los mismos, deberán reconocerse como gasto del período en que tenga lugar dicha rebaja.</w:t>
      </w:r>
    </w:p>
    <w:p w14:paraId="7AA603D7" w14:textId="40BC9970" w:rsidR="00041A77" w:rsidRPr="00041A77" w:rsidRDefault="00041A77" w:rsidP="00041A77">
      <w:pPr>
        <w:pStyle w:val="Default"/>
        <w:ind w:left="1134" w:hanging="1134"/>
        <w:jc w:val="both"/>
        <w:rPr>
          <w:sz w:val="23"/>
          <w:szCs w:val="23"/>
          <w:lang w:val="es-CR"/>
        </w:rPr>
      </w:pPr>
      <w:r w:rsidRPr="00041A77">
        <w:rPr>
          <w:sz w:val="23"/>
          <w:szCs w:val="23"/>
          <w:lang w:val="es-CR"/>
        </w:rPr>
        <w:t xml:space="preserve"> </w:t>
      </w:r>
    </w:p>
    <w:p w14:paraId="7B90CD16" w14:textId="01E8096D" w:rsidR="00E37C68" w:rsidRPr="00041A77" w:rsidRDefault="00041A77" w:rsidP="00041A77">
      <w:pPr>
        <w:pStyle w:val="Default"/>
        <w:ind w:left="1134" w:hanging="1134"/>
        <w:jc w:val="both"/>
        <w:rPr>
          <w:sz w:val="22"/>
          <w:szCs w:val="22"/>
          <w:lang w:val="es-CR"/>
        </w:rPr>
      </w:pPr>
      <w:r>
        <w:rPr>
          <w:sz w:val="23"/>
          <w:szCs w:val="23"/>
          <w:lang w:val="es-CR"/>
        </w:rPr>
        <w:t>5.45.0.02</w:t>
      </w:r>
      <w:r>
        <w:rPr>
          <w:sz w:val="23"/>
          <w:szCs w:val="23"/>
          <w:lang w:val="es-CR"/>
        </w:rPr>
        <w:tab/>
      </w:r>
      <w:r w:rsidRPr="00041A77">
        <w:rPr>
          <w:sz w:val="23"/>
          <w:szCs w:val="23"/>
          <w:lang w:val="es-CR"/>
        </w:rPr>
        <w:t xml:space="preserve">El importe de cualquier reversión de las rebajas de inventarios se registrará como una </w:t>
      </w:r>
      <w:r w:rsidRPr="00041A77">
        <w:rPr>
          <w:sz w:val="22"/>
          <w:szCs w:val="22"/>
          <w:lang w:val="es-CR"/>
        </w:rPr>
        <w:t>reducción</w:t>
      </w:r>
      <w:r w:rsidRPr="00041A77">
        <w:rPr>
          <w:sz w:val="23"/>
          <w:szCs w:val="23"/>
          <w:lang w:val="es-CR"/>
        </w:rPr>
        <w:t xml:space="preserve"> en el importe de los inventarios reconocidos como un gasto, debiendo imputarse la reversión de dichas rebajas como un menor gasto (si la rebaja se reconoció en el período) o como un ingreso (si la rebaja se reconoció en un período anterior).</w:t>
      </w:r>
    </w:p>
    <w:p w14:paraId="3A2F6277" w14:textId="77777777" w:rsidR="00E37C68" w:rsidRPr="00041A77" w:rsidRDefault="00E37C68" w:rsidP="0032280D">
      <w:pPr>
        <w:pStyle w:val="Default"/>
        <w:ind w:left="1134" w:hanging="1134"/>
        <w:jc w:val="both"/>
        <w:rPr>
          <w:sz w:val="23"/>
          <w:szCs w:val="23"/>
          <w:lang w:val="es-CR"/>
        </w:rPr>
      </w:pPr>
    </w:p>
    <w:p w14:paraId="48A3ACE8" w14:textId="77777777" w:rsidR="00E37C68" w:rsidRDefault="00E37C68" w:rsidP="0032280D">
      <w:pPr>
        <w:pStyle w:val="Default"/>
        <w:ind w:left="1134" w:hanging="1134"/>
        <w:jc w:val="both"/>
        <w:rPr>
          <w:sz w:val="23"/>
          <w:szCs w:val="23"/>
          <w:lang w:val="es-CR"/>
        </w:rPr>
      </w:pPr>
    </w:p>
    <w:p w14:paraId="7710D07C" w14:textId="77777777" w:rsidR="0012299F" w:rsidRDefault="0012299F" w:rsidP="0032280D">
      <w:pPr>
        <w:pStyle w:val="Default"/>
        <w:ind w:left="1134" w:hanging="1134"/>
        <w:jc w:val="both"/>
        <w:rPr>
          <w:sz w:val="23"/>
          <w:szCs w:val="23"/>
          <w:lang w:val="es-CR"/>
        </w:rPr>
      </w:pPr>
    </w:p>
    <w:p w14:paraId="3A1AC950" w14:textId="77777777" w:rsidR="0012299F" w:rsidRDefault="0012299F" w:rsidP="0032280D">
      <w:pPr>
        <w:pStyle w:val="Default"/>
        <w:ind w:left="1134" w:hanging="1134"/>
        <w:jc w:val="both"/>
        <w:rPr>
          <w:sz w:val="23"/>
          <w:szCs w:val="23"/>
          <w:lang w:val="es-CR"/>
        </w:rPr>
      </w:pPr>
    </w:p>
    <w:p w14:paraId="4358591E" w14:textId="77777777" w:rsidR="0012299F" w:rsidRDefault="0012299F" w:rsidP="0032280D">
      <w:pPr>
        <w:pStyle w:val="Default"/>
        <w:ind w:left="1134" w:hanging="1134"/>
        <w:jc w:val="both"/>
        <w:rPr>
          <w:sz w:val="23"/>
          <w:szCs w:val="23"/>
          <w:lang w:val="es-CR"/>
        </w:rPr>
      </w:pPr>
    </w:p>
    <w:p w14:paraId="37587450" w14:textId="77777777" w:rsidR="0012299F" w:rsidRDefault="0012299F" w:rsidP="0032280D">
      <w:pPr>
        <w:pStyle w:val="Default"/>
        <w:ind w:left="1134" w:hanging="1134"/>
        <w:jc w:val="both"/>
        <w:rPr>
          <w:sz w:val="23"/>
          <w:szCs w:val="23"/>
          <w:lang w:val="es-CR"/>
        </w:rPr>
      </w:pPr>
    </w:p>
    <w:p w14:paraId="7B9BC80E" w14:textId="77777777" w:rsidR="0012299F" w:rsidRDefault="0012299F" w:rsidP="0032280D">
      <w:pPr>
        <w:pStyle w:val="Default"/>
        <w:ind w:left="1134" w:hanging="1134"/>
        <w:jc w:val="both"/>
        <w:rPr>
          <w:sz w:val="23"/>
          <w:szCs w:val="23"/>
          <w:lang w:val="es-CR"/>
        </w:rPr>
      </w:pPr>
    </w:p>
    <w:p w14:paraId="636A1DA1" w14:textId="77777777" w:rsidR="0012299F" w:rsidRDefault="0012299F" w:rsidP="0032280D">
      <w:pPr>
        <w:pStyle w:val="Default"/>
        <w:ind w:left="1134" w:hanging="1134"/>
        <w:jc w:val="both"/>
        <w:rPr>
          <w:sz w:val="23"/>
          <w:szCs w:val="23"/>
          <w:lang w:val="es-CR"/>
        </w:rPr>
      </w:pPr>
    </w:p>
    <w:p w14:paraId="6C214885" w14:textId="77777777" w:rsidR="004B7B21" w:rsidRPr="004B7B21" w:rsidRDefault="004B7B21" w:rsidP="004B7B21">
      <w:pPr>
        <w:pStyle w:val="Ttulo2"/>
        <w:ind w:left="284"/>
        <w:jc w:val="both"/>
        <w:rPr>
          <w:rFonts w:ascii="Arial" w:eastAsia="Arial" w:hAnsi="Arial" w:cs="Arial"/>
          <w:b/>
          <w:bCs/>
          <w:sz w:val="22"/>
          <w:szCs w:val="22"/>
          <w:lang w:val="es-CR"/>
        </w:rPr>
      </w:pPr>
      <w:bookmarkStart w:id="166" w:name="_Toc172726301"/>
      <w:r w:rsidRPr="004B7B21">
        <w:rPr>
          <w:rFonts w:ascii="Arial" w:eastAsia="Arial" w:hAnsi="Arial" w:cs="Arial"/>
          <w:b/>
          <w:bCs/>
          <w:sz w:val="22"/>
          <w:szCs w:val="22"/>
          <w:lang w:val="es-CR"/>
        </w:rPr>
        <w:lastRenderedPageBreak/>
        <w:t>Gastos Financieros y otros Gastos</w:t>
      </w:r>
      <w:bookmarkEnd w:id="166"/>
      <w:r w:rsidRPr="004B7B21">
        <w:rPr>
          <w:rFonts w:ascii="Arial" w:eastAsia="Arial" w:hAnsi="Arial" w:cs="Arial"/>
          <w:b/>
          <w:bCs/>
          <w:sz w:val="22"/>
          <w:szCs w:val="22"/>
          <w:lang w:val="es-CR"/>
        </w:rPr>
        <w:t xml:space="preserve"> </w:t>
      </w:r>
    </w:p>
    <w:p w14:paraId="3D3940FD" w14:textId="77777777" w:rsidR="00E37C68" w:rsidRPr="00041A77" w:rsidRDefault="00E37C68" w:rsidP="0032280D">
      <w:pPr>
        <w:pStyle w:val="Default"/>
        <w:ind w:left="1134" w:hanging="1134"/>
        <w:jc w:val="both"/>
        <w:rPr>
          <w:sz w:val="23"/>
          <w:szCs w:val="23"/>
          <w:lang w:val="es-CR"/>
        </w:rPr>
      </w:pPr>
    </w:p>
    <w:p w14:paraId="2E114B1B" w14:textId="77777777" w:rsidR="00E37C68" w:rsidRPr="00041A77" w:rsidRDefault="00E37C68" w:rsidP="004B7B21">
      <w:pPr>
        <w:pStyle w:val="Default"/>
        <w:jc w:val="both"/>
        <w:rPr>
          <w:sz w:val="23"/>
          <w:szCs w:val="23"/>
          <w:lang w:val="es-CR"/>
        </w:rPr>
      </w:pPr>
    </w:p>
    <w:p w14:paraId="43398C38" w14:textId="77777777" w:rsidR="004B7B21" w:rsidRPr="004B7B21" w:rsidRDefault="004B7B21" w:rsidP="004B7B21">
      <w:pPr>
        <w:pStyle w:val="Ttulo2"/>
        <w:ind w:left="284"/>
        <w:jc w:val="both"/>
        <w:rPr>
          <w:rFonts w:ascii="Arial" w:eastAsia="Arial" w:hAnsi="Arial" w:cs="Arial"/>
          <w:b/>
          <w:bCs/>
          <w:sz w:val="22"/>
          <w:szCs w:val="22"/>
          <w:lang w:val="es-CR"/>
        </w:rPr>
      </w:pPr>
      <w:bookmarkStart w:id="167" w:name="_Toc172726302"/>
      <w:r w:rsidRPr="004B7B21">
        <w:rPr>
          <w:rFonts w:ascii="Arial" w:eastAsia="Arial" w:hAnsi="Arial" w:cs="Arial"/>
          <w:b/>
          <w:bCs/>
          <w:sz w:val="22"/>
          <w:szCs w:val="22"/>
          <w:lang w:val="es-CR"/>
        </w:rPr>
        <w:t>Incobrabilidades y desvalorizaciones de inversiones y cuentas a cobrar</w:t>
      </w:r>
      <w:bookmarkEnd w:id="167"/>
    </w:p>
    <w:p w14:paraId="3D88ED63" w14:textId="77777777" w:rsidR="00E37C68" w:rsidRPr="00041A77" w:rsidRDefault="00E37C68" w:rsidP="0032280D">
      <w:pPr>
        <w:pStyle w:val="Default"/>
        <w:ind w:left="1134" w:hanging="1134"/>
        <w:jc w:val="both"/>
        <w:rPr>
          <w:sz w:val="23"/>
          <w:szCs w:val="23"/>
          <w:lang w:val="es-CR"/>
        </w:rPr>
      </w:pPr>
    </w:p>
    <w:p w14:paraId="49E061D2" w14:textId="77777777" w:rsidR="00E37C68" w:rsidRPr="00041A77" w:rsidRDefault="00E37C68" w:rsidP="0032280D">
      <w:pPr>
        <w:pStyle w:val="Default"/>
        <w:ind w:left="1134" w:hanging="1134"/>
        <w:jc w:val="both"/>
        <w:rPr>
          <w:sz w:val="23"/>
          <w:szCs w:val="23"/>
          <w:lang w:val="es-CR"/>
        </w:rPr>
      </w:pPr>
    </w:p>
    <w:tbl>
      <w:tblPr>
        <w:tblW w:w="9347" w:type="dxa"/>
        <w:tblLook w:val="04A0" w:firstRow="1" w:lastRow="0" w:firstColumn="1" w:lastColumn="0" w:noHBand="0" w:noVBand="1"/>
      </w:tblPr>
      <w:tblGrid>
        <w:gridCol w:w="416"/>
        <w:gridCol w:w="708"/>
        <w:gridCol w:w="427"/>
        <w:gridCol w:w="3692"/>
        <w:gridCol w:w="2252"/>
        <w:gridCol w:w="1852"/>
      </w:tblGrid>
      <w:tr w:rsidR="004B7B21" w:rsidRPr="004B7B21" w14:paraId="73A4FAAB" w14:textId="77777777" w:rsidTr="0012299F">
        <w:trPr>
          <w:trHeight w:val="300"/>
        </w:trPr>
        <w:tc>
          <w:tcPr>
            <w:tcW w:w="155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3577F46" w14:textId="77777777" w:rsidR="004B7B21" w:rsidRPr="004B7B21" w:rsidRDefault="004B7B21" w:rsidP="004B7B21">
            <w:pPr>
              <w:jc w:val="center"/>
              <w:rPr>
                <w:rFonts w:ascii="Arial Narrow" w:eastAsia="Times New Roman" w:hAnsi="Arial Narrow" w:cs="Calibri"/>
                <w:b/>
                <w:bCs/>
                <w:color w:val="FFFFFF"/>
                <w:sz w:val="22"/>
                <w:szCs w:val="22"/>
              </w:rPr>
            </w:pPr>
            <w:r w:rsidRPr="004B7B21">
              <w:rPr>
                <w:rFonts w:ascii="Arial Narrow" w:eastAsia="Times New Roman"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EBA5794" w14:textId="77777777" w:rsidR="004B7B21" w:rsidRPr="004B7B21" w:rsidRDefault="004B7B21" w:rsidP="004B7B21">
            <w:pPr>
              <w:jc w:val="center"/>
              <w:rPr>
                <w:rFonts w:ascii="Arial Narrow" w:eastAsia="Times New Roman" w:hAnsi="Arial Narrow" w:cs="Calibri"/>
                <w:b/>
                <w:bCs/>
                <w:color w:val="FFFFFF"/>
                <w:sz w:val="22"/>
                <w:szCs w:val="22"/>
              </w:rPr>
            </w:pPr>
            <w:r w:rsidRPr="004B7B21">
              <w:rPr>
                <w:rFonts w:ascii="Arial Narrow" w:eastAsia="Times New Roman" w:hAnsi="Arial Narrow" w:cs="Calibri"/>
                <w:b/>
                <w:bCs/>
                <w:color w:val="FFFFFF"/>
                <w:sz w:val="22"/>
                <w:szCs w:val="22"/>
              </w:rPr>
              <w:t>Concepto</w:t>
            </w:r>
          </w:p>
        </w:tc>
        <w:tc>
          <w:tcPr>
            <w:tcW w:w="4104" w:type="dxa"/>
            <w:gridSpan w:val="2"/>
            <w:tcBorders>
              <w:top w:val="single" w:sz="8" w:space="0" w:color="auto"/>
              <w:left w:val="nil"/>
              <w:bottom w:val="single" w:sz="8" w:space="0" w:color="auto"/>
              <w:right w:val="single" w:sz="8" w:space="0" w:color="000000"/>
            </w:tcBorders>
            <w:shd w:val="clear" w:color="000000" w:fill="203764"/>
            <w:vAlign w:val="center"/>
            <w:hideMark/>
          </w:tcPr>
          <w:p w14:paraId="5DBE969D" w14:textId="77777777" w:rsidR="004B7B21" w:rsidRPr="004B7B21" w:rsidRDefault="004B7B21" w:rsidP="004B7B21">
            <w:pPr>
              <w:jc w:val="center"/>
              <w:rPr>
                <w:rFonts w:ascii="Arial Narrow" w:eastAsia="Times New Roman" w:hAnsi="Arial Narrow" w:cs="Calibri"/>
                <w:b/>
                <w:bCs/>
                <w:color w:val="FFFFFF"/>
                <w:sz w:val="22"/>
                <w:szCs w:val="22"/>
              </w:rPr>
            </w:pPr>
            <w:r w:rsidRPr="004B7B21">
              <w:rPr>
                <w:rFonts w:ascii="Arial Narrow" w:eastAsia="Times New Roman" w:hAnsi="Arial Narrow" w:cs="Calibri"/>
                <w:b/>
                <w:bCs/>
                <w:color w:val="FFFFFF"/>
                <w:sz w:val="22"/>
                <w:szCs w:val="22"/>
              </w:rPr>
              <w:t>Referencia</w:t>
            </w:r>
          </w:p>
        </w:tc>
      </w:tr>
      <w:tr w:rsidR="004B7B21" w:rsidRPr="006E5442" w14:paraId="4C6A10DF" w14:textId="77777777" w:rsidTr="0012299F">
        <w:trPr>
          <w:trHeight w:val="850"/>
        </w:trPr>
        <w:tc>
          <w:tcPr>
            <w:tcW w:w="1551" w:type="dxa"/>
            <w:gridSpan w:val="3"/>
            <w:vMerge/>
            <w:tcBorders>
              <w:top w:val="single" w:sz="8" w:space="0" w:color="auto"/>
              <w:left w:val="single" w:sz="8" w:space="0" w:color="auto"/>
              <w:bottom w:val="nil"/>
              <w:right w:val="single" w:sz="8" w:space="0" w:color="000000"/>
            </w:tcBorders>
            <w:vAlign w:val="center"/>
            <w:hideMark/>
          </w:tcPr>
          <w:p w14:paraId="1B317912" w14:textId="77777777" w:rsidR="004B7B21" w:rsidRPr="004B7B21" w:rsidRDefault="004B7B21" w:rsidP="004B7B21">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53FE6042" w14:textId="77777777" w:rsidR="004B7B21" w:rsidRPr="004B7B21" w:rsidRDefault="004B7B21" w:rsidP="004B7B21">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60BFB112" w14:textId="77777777" w:rsidR="004B7B21" w:rsidRPr="004B7B21" w:rsidRDefault="004B7B21" w:rsidP="004B7B21">
            <w:pPr>
              <w:jc w:val="center"/>
              <w:rPr>
                <w:rFonts w:ascii="Arial Narrow" w:eastAsia="Times New Roman" w:hAnsi="Arial Narrow" w:cs="Calibri"/>
                <w:b/>
                <w:bCs/>
                <w:color w:val="FFFFFF"/>
                <w:sz w:val="22"/>
                <w:szCs w:val="22"/>
              </w:rPr>
            </w:pPr>
            <w:r w:rsidRPr="004B7B21">
              <w:rPr>
                <w:rFonts w:ascii="Arial Narrow" w:eastAsia="Times New Roman" w:hAnsi="Arial Narrow" w:cs="Calibri"/>
                <w:b/>
                <w:bCs/>
                <w:color w:val="FFFFFF"/>
                <w:sz w:val="22"/>
                <w:szCs w:val="22"/>
              </w:rPr>
              <w:t>Norma</w:t>
            </w:r>
          </w:p>
        </w:tc>
        <w:tc>
          <w:tcPr>
            <w:tcW w:w="1852" w:type="dxa"/>
            <w:tcBorders>
              <w:top w:val="nil"/>
              <w:left w:val="nil"/>
              <w:bottom w:val="nil"/>
              <w:right w:val="single" w:sz="8" w:space="0" w:color="auto"/>
            </w:tcBorders>
            <w:shd w:val="clear" w:color="000000" w:fill="203764"/>
            <w:vAlign w:val="center"/>
            <w:hideMark/>
          </w:tcPr>
          <w:p w14:paraId="34F8EB5D" w14:textId="77777777" w:rsidR="004B7B21" w:rsidRPr="004B7B21" w:rsidRDefault="004B7B21" w:rsidP="004B7B21">
            <w:pPr>
              <w:jc w:val="center"/>
              <w:rPr>
                <w:rFonts w:ascii="Arial Narrow" w:eastAsia="Times New Roman" w:hAnsi="Arial Narrow" w:cs="Calibri"/>
                <w:b/>
                <w:bCs/>
                <w:color w:val="FFFFFF"/>
                <w:sz w:val="22"/>
                <w:szCs w:val="22"/>
                <w:lang w:val="es-CR"/>
              </w:rPr>
            </w:pPr>
            <w:r w:rsidRPr="004B7B21">
              <w:rPr>
                <w:rFonts w:ascii="Arial Narrow" w:eastAsia="Times New Roman" w:hAnsi="Arial Narrow" w:cs="Calibri"/>
                <w:b/>
                <w:bCs/>
                <w:color w:val="FFFFFF"/>
                <w:sz w:val="22"/>
                <w:szCs w:val="22"/>
                <w:lang w:val="es-CR"/>
              </w:rPr>
              <w:t>Normativa técnica y disposiciones adicionales</w:t>
            </w:r>
          </w:p>
        </w:tc>
      </w:tr>
      <w:tr w:rsidR="004B7B21" w:rsidRPr="004B7B21" w14:paraId="5EC5C1E8" w14:textId="77777777" w:rsidTr="0012299F">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161CCC" w14:textId="77777777" w:rsidR="004B7B21" w:rsidRPr="004B7B21" w:rsidRDefault="004B7B21" w:rsidP="004B7B21">
            <w:pPr>
              <w:jc w:val="center"/>
              <w:rPr>
                <w:rFonts w:ascii="Arial Narrow" w:eastAsia="Times New Roman" w:hAnsi="Arial Narrow" w:cs="Calibri"/>
                <w:b/>
                <w:bCs/>
                <w:color w:val="000000"/>
                <w:sz w:val="22"/>
                <w:szCs w:val="22"/>
              </w:rPr>
            </w:pPr>
            <w:r w:rsidRPr="004B7B21">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175B7329" w14:textId="77777777" w:rsidR="004B7B21" w:rsidRPr="004B7B21" w:rsidRDefault="004B7B21" w:rsidP="004B7B21">
            <w:pPr>
              <w:jc w:val="center"/>
              <w:rPr>
                <w:rFonts w:ascii="Arial Narrow" w:eastAsia="Times New Roman" w:hAnsi="Arial Narrow" w:cs="Calibri"/>
                <w:b/>
                <w:bCs/>
                <w:color w:val="000000"/>
                <w:sz w:val="22"/>
                <w:szCs w:val="22"/>
              </w:rPr>
            </w:pPr>
            <w:r w:rsidRPr="004B7B21">
              <w:rPr>
                <w:rFonts w:ascii="Arial Narrow" w:eastAsia="Times New Roman" w:hAnsi="Arial Narrow" w:cs="Calibri"/>
                <w:b/>
                <w:bCs/>
                <w:color w:val="000000"/>
                <w:sz w:val="22"/>
                <w:szCs w:val="22"/>
              </w:rPr>
              <w:t>46</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2A5DB673" w14:textId="77777777" w:rsidR="004B7B21" w:rsidRPr="004B7B21" w:rsidRDefault="004B7B21" w:rsidP="004B7B21">
            <w:pPr>
              <w:jc w:val="center"/>
              <w:rPr>
                <w:rFonts w:ascii="Arial Narrow" w:eastAsia="Times New Roman" w:hAnsi="Arial Narrow" w:cs="Calibri"/>
                <w:b/>
                <w:bCs/>
                <w:color w:val="000000"/>
                <w:sz w:val="22"/>
                <w:szCs w:val="22"/>
              </w:rPr>
            </w:pPr>
            <w:r w:rsidRPr="004B7B21">
              <w:rPr>
                <w:rFonts w:ascii="Arial Narrow" w:eastAsia="Times New Roman" w:hAnsi="Arial Narrow" w:cs="Calibri"/>
                <w:b/>
                <w:bCs/>
                <w:color w:val="000000"/>
                <w:sz w:val="22"/>
                <w:szCs w:val="22"/>
              </w:rPr>
              <w:t xml:space="preserve"> </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682D2959" w14:textId="77777777" w:rsidR="004B7B21" w:rsidRPr="004B7B21" w:rsidRDefault="004B7B21" w:rsidP="004B7B21">
            <w:pPr>
              <w:jc w:val="both"/>
              <w:rPr>
                <w:rFonts w:ascii="Arial Narrow" w:eastAsia="Times New Roman" w:hAnsi="Arial Narrow" w:cs="Calibri"/>
                <w:b/>
                <w:bCs/>
                <w:color w:val="000000"/>
                <w:sz w:val="22"/>
                <w:szCs w:val="22"/>
                <w:lang w:val="es-CR"/>
              </w:rPr>
            </w:pPr>
            <w:r w:rsidRPr="004B7B21">
              <w:rPr>
                <w:rFonts w:ascii="Arial Narrow" w:eastAsia="Times New Roman" w:hAnsi="Arial Narrow" w:cs="Calibri"/>
                <w:b/>
                <w:bCs/>
                <w:color w:val="000000"/>
                <w:sz w:val="22"/>
                <w:szCs w:val="22"/>
                <w:lang w:val="es-CR"/>
              </w:rPr>
              <w:t>Deterioro e incobrabilidad de los activos financieros</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0E64D2D8" w14:textId="77777777" w:rsidR="0012299F" w:rsidRDefault="004B7B21" w:rsidP="004B7B21">
            <w:pPr>
              <w:jc w:val="both"/>
              <w:rPr>
                <w:rFonts w:ascii="Arial Narrow" w:eastAsia="Times New Roman" w:hAnsi="Arial Narrow" w:cs="Calibri"/>
                <w:b/>
                <w:bCs/>
                <w:color w:val="000000"/>
                <w:sz w:val="22"/>
                <w:szCs w:val="22"/>
              </w:rPr>
            </w:pPr>
            <w:r w:rsidRPr="004B7B21">
              <w:rPr>
                <w:rFonts w:ascii="Arial Narrow" w:eastAsia="Times New Roman" w:hAnsi="Arial Narrow" w:cs="Calibri"/>
                <w:b/>
                <w:bCs/>
                <w:color w:val="000000"/>
                <w:sz w:val="22"/>
                <w:szCs w:val="22"/>
              </w:rPr>
              <w:t xml:space="preserve">NICSP N° 29 </w:t>
            </w:r>
          </w:p>
          <w:p w14:paraId="279837CA" w14:textId="367700C2" w:rsidR="004B7B21" w:rsidRPr="004B7B21" w:rsidRDefault="004B7B21" w:rsidP="004B7B21">
            <w:pPr>
              <w:jc w:val="both"/>
              <w:rPr>
                <w:rFonts w:ascii="Arial Narrow" w:eastAsia="Times New Roman" w:hAnsi="Arial Narrow" w:cs="Calibri"/>
                <w:b/>
                <w:bCs/>
                <w:color w:val="000000"/>
                <w:sz w:val="22"/>
                <w:szCs w:val="22"/>
              </w:rPr>
            </w:pPr>
            <w:r w:rsidRPr="004B7B21">
              <w:rPr>
                <w:rFonts w:ascii="Arial Narrow" w:eastAsia="Times New Roman" w:hAnsi="Arial Narrow" w:cs="Calibri"/>
                <w:b/>
                <w:bCs/>
                <w:color w:val="000000"/>
                <w:sz w:val="22"/>
                <w:szCs w:val="22"/>
              </w:rPr>
              <w:t>Párrafos 68 a 71.</w:t>
            </w:r>
          </w:p>
        </w:tc>
        <w:tc>
          <w:tcPr>
            <w:tcW w:w="1852" w:type="dxa"/>
            <w:tcBorders>
              <w:top w:val="single" w:sz="8" w:space="0" w:color="auto"/>
              <w:left w:val="nil"/>
              <w:bottom w:val="single" w:sz="8" w:space="0" w:color="auto"/>
              <w:right w:val="single" w:sz="8" w:space="0" w:color="auto"/>
            </w:tcBorders>
            <w:shd w:val="clear" w:color="auto" w:fill="auto"/>
            <w:vAlign w:val="center"/>
            <w:hideMark/>
          </w:tcPr>
          <w:p w14:paraId="15A10EE9" w14:textId="77777777" w:rsidR="004B7B21" w:rsidRPr="004B7B21" w:rsidRDefault="004B7B21" w:rsidP="004B7B21">
            <w:pPr>
              <w:jc w:val="center"/>
              <w:rPr>
                <w:rFonts w:ascii="Arial Narrow" w:eastAsia="Times New Roman" w:hAnsi="Arial Narrow" w:cs="Calibri"/>
                <w:b/>
                <w:bCs/>
                <w:color w:val="000000"/>
                <w:sz w:val="22"/>
                <w:szCs w:val="22"/>
              </w:rPr>
            </w:pPr>
            <w:r w:rsidRPr="004B7B21">
              <w:rPr>
                <w:rFonts w:ascii="Arial Narrow" w:eastAsia="Times New Roman" w:hAnsi="Arial Narrow" w:cs="Calibri"/>
                <w:b/>
                <w:bCs/>
                <w:color w:val="000000"/>
                <w:sz w:val="22"/>
                <w:szCs w:val="22"/>
              </w:rPr>
              <w:t xml:space="preserve"> </w:t>
            </w:r>
          </w:p>
        </w:tc>
      </w:tr>
    </w:tbl>
    <w:p w14:paraId="6F5D396D" w14:textId="77777777" w:rsidR="005F3A03" w:rsidRDefault="005F3A03" w:rsidP="0032280D">
      <w:pPr>
        <w:pStyle w:val="Default"/>
        <w:ind w:left="1134" w:hanging="1134"/>
        <w:jc w:val="both"/>
        <w:rPr>
          <w:sz w:val="23"/>
          <w:szCs w:val="23"/>
          <w:lang w:val="es-CR"/>
        </w:rPr>
      </w:pPr>
    </w:p>
    <w:p w14:paraId="5434DBD7" w14:textId="77777777" w:rsidR="0012299F" w:rsidRDefault="0012299F" w:rsidP="0012299F">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3BD3298" w14:textId="77777777" w:rsidR="0012299F" w:rsidRPr="00041A77" w:rsidRDefault="0012299F" w:rsidP="0032280D">
      <w:pPr>
        <w:pStyle w:val="Default"/>
        <w:ind w:left="1134" w:hanging="1134"/>
        <w:jc w:val="both"/>
        <w:rPr>
          <w:sz w:val="23"/>
          <w:szCs w:val="23"/>
          <w:lang w:val="es-CR"/>
        </w:rPr>
      </w:pPr>
    </w:p>
    <w:p w14:paraId="151501B5" w14:textId="05E862A9" w:rsidR="005F3A03" w:rsidRDefault="004B7B21" w:rsidP="0032280D">
      <w:pPr>
        <w:pStyle w:val="Default"/>
        <w:ind w:left="1134" w:hanging="1134"/>
        <w:jc w:val="both"/>
        <w:rPr>
          <w:sz w:val="22"/>
          <w:szCs w:val="22"/>
          <w:lang w:val="es-CR"/>
        </w:rPr>
      </w:pPr>
      <w:r w:rsidRPr="004B7B21">
        <w:rPr>
          <w:sz w:val="22"/>
          <w:szCs w:val="22"/>
          <w:lang w:val="es-CR"/>
        </w:rPr>
        <w:t>5.46.0.01</w:t>
      </w:r>
      <w:r w:rsidRPr="004B7B21">
        <w:rPr>
          <w:sz w:val="22"/>
          <w:szCs w:val="22"/>
          <w:lang w:val="es-CR"/>
        </w:rPr>
        <w:tab/>
        <w:t>El tratamiento del deterioro de los activos financieros deberá cumplir con lo estipulado en el Capítulo de “Activo” del presente PGCN.</w:t>
      </w:r>
    </w:p>
    <w:p w14:paraId="3D540786" w14:textId="77777777" w:rsidR="0012299F" w:rsidRDefault="0012299F" w:rsidP="0032280D">
      <w:pPr>
        <w:pStyle w:val="Default"/>
        <w:ind w:left="1134" w:hanging="1134"/>
        <w:jc w:val="both"/>
        <w:rPr>
          <w:sz w:val="22"/>
          <w:szCs w:val="22"/>
          <w:lang w:val="es-CR"/>
        </w:rPr>
      </w:pPr>
    </w:p>
    <w:p w14:paraId="75F69B5F" w14:textId="77777777" w:rsidR="004B7B21" w:rsidRPr="004B7B21" w:rsidRDefault="004B7B21" w:rsidP="0032280D">
      <w:pPr>
        <w:pStyle w:val="Default"/>
        <w:ind w:left="1134" w:hanging="1134"/>
        <w:jc w:val="both"/>
        <w:rPr>
          <w:sz w:val="22"/>
          <w:szCs w:val="22"/>
          <w:lang w:val="es-CR"/>
        </w:rPr>
      </w:pPr>
    </w:p>
    <w:p w14:paraId="343909A5" w14:textId="77777777" w:rsidR="005F3A03" w:rsidRDefault="005F3A03" w:rsidP="0032280D">
      <w:pPr>
        <w:pStyle w:val="Default"/>
        <w:ind w:left="1134" w:hanging="1134"/>
        <w:jc w:val="both"/>
        <w:rPr>
          <w:sz w:val="23"/>
          <w:szCs w:val="23"/>
          <w:lang w:val="es-CR"/>
        </w:rPr>
      </w:pPr>
    </w:p>
    <w:tbl>
      <w:tblPr>
        <w:tblW w:w="9394" w:type="dxa"/>
        <w:tblLook w:val="04A0" w:firstRow="1" w:lastRow="0" w:firstColumn="1" w:lastColumn="0" w:noHBand="0" w:noVBand="1"/>
      </w:tblPr>
      <w:tblGrid>
        <w:gridCol w:w="536"/>
        <w:gridCol w:w="706"/>
        <w:gridCol w:w="517"/>
        <w:gridCol w:w="3722"/>
        <w:gridCol w:w="2022"/>
        <w:gridCol w:w="1882"/>
        <w:gridCol w:w="9"/>
      </w:tblGrid>
      <w:tr w:rsidR="004B7B21" w:rsidRPr="0012299F" w14:paraId="025DE3AC" w14:textId="77777777" w:rsidTr="0012299F">
        <w:trPr>
          <w:trHeight w:val="320"/>
        </w:trPr>
        <w:tc>
          <w:tcPr>
            <w:tcW w:w="17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FA30705" w14:textId="77777777" w:rsidR="004B7B21" w:rsidRPr="0012299F" w:rsidRDefault="004B7B21" w:rsidP="004B7B21">
            <w:pPr>
              <w:jc w:val="center"/>
              <w:rPr>
                <w:rFonts w:ascii="Arial Narrow" w:eastAsia="Times New Roman" w:hAnsi="Arial Narrow" w:cs="Calibri"/>
                <w:b/>
                <w:bCs/>
                <w:color w:val="FFFFFF"/>
                <w:sz w:val="22"/>
                <w:szCs w:val="22"/>
              </w:rPr>
            </w:pPr>
            <w:r w:rsidRPr="0012299F">
              <w:rPr>
                <w:rFonts w:ascii="Arial Narrow" w:eastAsia="Times New Roman" w:hAnsi="Arial Narrow" w:cs="Calibri"/>
                <w:b/>
                <w:bCs/>
                <w:color w:val="FFFFFF"/>
                <w:sz w:val="22"/>
                <w:szCs w:val="22"/>
              </w:rPr>
              <w:t>Norma / Política</w:t>
            </w:r>
          </w:p>
        </w:tc>
        <w:tc>
          <w:tcPr>
            <w:tcW w:w="3722" w:type="dxa"/>
            <w:vMerge w:val="restart"/>
            <w:tcBorders>
              <w:top w:val="single" w:sz="8" w:space="0" w:color="auto"/>
              <w:left w:val="single" w:sz="8" w:space="0" w:color="auto"/>
              <w:bottom w:val="nil"/>
              <w:right w:val="single" w:sz="8" w:space="0" w:color="auto"/>
            </w:tcBorders>
            <w:shd w:val="clear" w:color="000000" w:fill="203764"/>
            <w:vAlign w:val="center"/>
            <w:hideMark/>
          </w:tcPr>
          <w:p w14:paraId="0C5140D5" w14:textId="77777777" w:rsidR="004B7B21" w:rsidRPr="0012299F" w:rsidRDefault="004B7B21" w:rsidP="004B7B21">
            <w:pPr>
              <w:jc w:val="center"/>
              <w:rPr>
                <w:rFonts w:ascii="Arial Narrow" w:eastAsia="Times New Roman" w:hAnsi="Arial Narrow" w:cs="Calibri"/>
                <w:b/>
                <w:bCs/>
                <w:color w:val="FFFFFF"/>
                <w:sz w:val="22"/>
                <w:szCs w:val="22"/>
              </w:rPr>
            </w:pPr>
            <w:r w:rsidRPr="0012299F">
              <w:rPr>
                <w:rFonts w:ascii="Arial Narrow" w:eastAsia="Times New Roman" w:hAnsi="Arial Narrow" w:cs="Calibri"/>
                <w:b/>
                <w:bCs/>
                <w:color w:val="FFFFFF"/>
                <w:sz w:val="22"/>
                <w:szCs w:val="22"/>
              </w:rPr>
              <w:t>Concepto</w:t>
            </w:r>
          </w:p>
        </w:tc>
        <w:tc>
          <w:tcPr>
            <w:tcW w:w="3913" w:type="dxa"/>
            <w:gridSpan w:val="3"/>
            <w:tcBorders>
              <w:top w:val="single" w:sz="8" w:space="0" w:color="auto"/>
              <w:left w:val="nil"/>
              <w:bottom w:val="single" w:sz="8" w:space="0" w:color="auto"/>
              <w:right w:val="single" w:sz="8" w:space="0" w:color="000000"/>
            </w:tcBorders>
            <w:shd w:val="clear" w:color="000000" w:fill="203764"/>
            <w:vAlign w:val="center"/>
            <w:hideMark/>
          </w:tcPr>
          <w:p w14:paraId="2430E214" w14:textId="77777777" w:rsidR="004B7B21" w:rsidRPr="0012299F" w:rsidRDefault="004B7B21" w:rsidP="004B7B21">
            <w:pPr>
              <w:jc w:val="center"/>
              <w:rPr>
                <w:rFonts w:ascii="Arial Narrow" w:eastAsia="Times New Roman" w:hAnsi="Arial Narrow" w:cs="Calibri"/>
                <w:b/>
                <w:bCs/>
                <w:color w:val="FFFFFF"/>
                <w:sz w:val="22"/>
                <w:szCs w:val="22"/>
              </w:rPr>
            </w:pPr>
            <w:r w:rsidRPr="0012299F">
              <w:rPr>
                <w:rFonts w:ascii="Arial Narrow" w:eastAsia="Times New Roman" w:hAnsi="Arial Narrow" w:cs="Calibri"/>
                <w:b/>
                <w:bCs/>
                <w:color w:val="FFFFFF"/>
                <w:sz w:val="22"/>
                <w:szCs w:val="22"/>
              </w:rPr>
              <w:t>Referencia</w:t>
            </w:r>
          </w:p>
        </w:tc>
      </w:tr>
      <w:tr w:rsidR="004B7B21" w:rsidRPr="0012299F" w14:paraId="205EFEB6" w14:textId="77777777" w:rsidTr="0012299F">
        <w:trPr>
          <w:gridAfter w:val="1"/>
          <w:wAfter w:w="9" w:type="dxa"/>
          <w:trHeight w:val="850"/>
        </w:trPr>
        <w:tc>
          <w:tcPr>
            <w:tcW w:w="1759" w:type="dxa"/>
            <w:gridSpan w:val="3"/>
            <w:vMerge/>
            <w:tcBorders>
              <w:top w:val="single" w:sz="8" w:space="0" w:color="auto"/>
              <w:left w:val="single" w:sz="8" w:space="0" w:color="auto"/>
              <w:bottom w:val="nil"/>
              <w:right w:val="single" w:sz="8" w:space="0" w:color="000000"/>
            </w:tcBorders>
            <w:vAlign w:val="center"/>
            <w:hideMark/>
          </w:tcPr>
          <w:p w14:paraId="66F3FF1F" w14:textId="77777777" w:rsidR="004B7B21" w:rsidRPr="0012299F" w:rsidRDefault="004B7B21" w:rsidP="004B7B21">
            <w:pPr>
              <w:rPr>
                <w:rFonts w:ascii="Arial Narrow" w:eastAsia="Times New Roman" w:hAnsi="Arial Narrow" w:cs="Calibri"/>
                <w:b/>
                <w:bCs/>
                <w:color w:val="FFFFFF"/>
                <w:sz w:val="22"/>
                <w:szCs w:val="22"/>
              </w:rPr>
            </w:pPr>
          </w:p>
        </w:tc>
        <w:tc>
          <w:tcPr>
            <w:tcW w:w="3722" w:type="dxa"/>
            <w:vMerge/>
            <w:tcBorders>
              <w:top w:val="single" w:sz="8" w:space="0" w:color="auto"/>
              <w:left w:val="single" w:sz="8" w:space="0" w:color="auto"/>
              <w:bottom w:val="nil"/>
              <w:right w:val="single" w:sz="8" w:space="0" w:color="auto"/>
            </w:tcBorders>
            <w:vAlign w:val="center"/>
            <w:hideMark/>
          </w:tcPr>
          <w:p w14:paraId="398F2699" w14:textId="77777777" w:rsidR="004B7B21" w:rsidRPr="0012299F" w:rsidRDefault="004B7B21" w:rsidP="004B7B21">
            <w:pPr>
              <w:rPr>
                <w:rFonts w:ascii="Arial Narrow" w:eastAsia="Times New Roman" w:hAnsi="Arial Narrow" w:cs="Calibri"/>
                <w:b/>
                <w:bCs/>
                <w:color w:val="FFFFFF"/>
                <w:sz w:val="22"/>
                <w:szCs w:val="22"/>
              </w:rPr>
            </w:pPr>
          </w:p>
        </w:tc>
        <w:tc>
          <w:tcPr>
            <w:tcW w:w="2022" w:type="dxa"/>
            <w:tcBorders>
              <w:top w:val="nil"/>
              <w:left w:val="nil"/>
              <w:bottom w:val="nil"/>
              <w:right w:val="single" w:sz="8" w:space="0" w:color="auto"/>
            </w:tcBorders>
            <w:shd w:val="clear" w:color="000000" w:fill="203764"/>
            <w:vAlign w:val="center"/>
            <w:hideMark/>
          </w:tcPr>
          <w:p w14:paraId="43C8A05C" w14:textId="77777777" w:rsidR="004B7B21" w:rsidRPr="0012299F" w:rsidRDefault="004B7B21" w:rsidP="004B7B21">
            <w:pPr>
              <w:jc w:val="center"/>
              <w:rPr>
                <w:rFonts w:ascii="Arial Narrow" w:eastAsia="Times New Roman" w:hAnsi="Arial Narrow" w:cs="Calibri"/>
                <w:b/>
                <w:bCs/>
                <w:color w:val="FFFFFF"/>
                <w:sz w:val="22"/>
                <w:szCs w:val="22"/>
              </w:rPr>
            </w:pPr>
            <w:r w:rsidRPr="0012299F">
              <w:rPr>
                <w:rFonts w:ascii="Arial Narrow" w:eastAsia="Times New Roman" w:hAnsi="Arial Narrow" w:cs="Calibri"/>
                <w:b/>
                <w:bCs/>
                <w:color w:val="FFFFFF"/>
                <w:sz w:val="22"/>
                <w:szCs w:val="22"/>
              </w:rPr>
              <w:t>Norma</w:t>
            </w:r>
          </w:p>
        </w:tc>
        <w:tc>
          <w:tcPr>
            <w:tcW w:w="1882" w:type="dxa"/>
            <w:tcBorders>
              <w:top w:val="nil"/>
              <w:left w:val="nil"/>
              <w:bottom w:val="nil"/>
              <w:right w:val="single" w:sz="8" w:space="0" w:color="auto"/>
            </w:tcBorders>
            <w:shd w:val="clear" w:color="000000" w:fill="203764"/>
            <w:vAlign w:val="center"/>
            <w:hideMark/>
          </w:tcPr>
          <w:p w14:paraId="02BCCF07" w14:textId="77777777" w:rsidR="004B7B21" w:rsidRPr="0012299F" w:rsidRDefault="004B7B21" w:rsidP="004B7B21">
            <w:pPr>
              <w:jc w:val="center"/>
              <w:rPr>
                <w:rFonts w:ascii="Arial Narrow" w:eastAsia="Times New Roman" w:hAnsi="Arial Narrow" w:cs="Calibri"/>
                <w:b/>
                <w:bCs/>
                <w:color w:val="FFFFFF"/>
                <w:sz w:val="22"/>
                <w:szCs w:val="22"/>
                <w:lang w:val="es-CR"/>
              </w:rPr>
            </w:pPr>
            <w:r w:rsidRPr="0012299F">
              <w:rPr>
                <w:rFonts w:ascii="Arial Narrow" w:eastAsia="Times New Roman" w:hAnsi="Arial Narrow" w:cs="Calibri"/>
                <w:b/>
                <w:bCs/>
                <w:color w:val="FFFFFF"/>
                <w:sz w:val="22"/>
                <w:szCs w:val="22"/>
                <w:lang w:val="es-CR"/>
              </w:rPr>
              <w:t>Normativa técnica y disposiciones adicionales</w:t>
            </w:r>
          </w:p>
        </w:tc>
      </w:tr>
      <w:tr w:rsidR="004B7B21" w:rsidRPr="0012299F" w14:paraId="31B4944D" w14:textId="77777777" w:rsidTr="0012299F">
        <w:trPr>
          <w:gridAfter w:val="1"/>
          <w:wAfter w:w="9" w:type="dxa"/>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E4450" w14:textId="77777777" w:rsidR="004B7B21" w:rsidRPr="0012299F" w:rsidRDefault="004B7B21" w:rsidP="0012299F">
            <w:pPr>
              <w:jc w:val="center"/>
              <w:rPr>
                <w:rFonts w:ascii="Arial Narrow" w:eastAsia="Times New Roman" w:hAnsi="Arial Narrow"/>
                <w:b/>
                <w:bCs/>
                <w:color w:val="000000"/>
                <w:sz w:val="22"/>
                <w:szCs w:val="22"/>
              </w:rPr>
            </w:pPr>
            <w:r w:rsidRPr="0012299F">
              <w:rPr>
                <w:rFonts w:ascii="Arial Narrow" w:eastAsia="Times New Roman" w:hAnsi="Arial Narrow"/>
                <w:b/>
                <w:bCs/>
                <w:color w:val="000000"/>
                <w:sz w:val="22"/>
                <w:szCs w:val="22"/>
              </w:rPr>
              <w:t>5</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766FAABE" w14:textId="77777777" w:rsidR="004B7B21" w:rsidRPr="0012299F" w:rsidRDefault="004B7B21" w:rsidP="0012299F">
            <w:pPr>
              <w:jc w:val="center"/>
              <w:rPr>
                <w:rFonts w:ascii="Arial Narrow" w:eastAsia="Times New Roman" w:hAnsi="Arial Narrow"/>
                <w:b/>
                <w:bCs/>
                <w:color w:val="000000"/>
                <w:sz w:val="22"/>
                <w:szCs w:val="22"/>
              </w:rPr>
            </w:pPr>
            <w:r w:rsidRPr="0012299F">
              <w:rPr>
                <w:rFonts w:ascii="Arial Narrow" w:eastAsia="Times New Roman" w:hAnsi="Arial Narrow"/>
                <w:b/>
                <w:bCs/>
                <w:color w:val="000000"/>
                <w:sz w:val="22"/>
                <w:szCs w:val="22"/>
              </w:rPr>
              <w:t>47</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34F63AA1" w14:textId="77777777" w:rsidR="004B7B21" w:rsidRPr="0012299F" w:rsidRDefault="004B7B21" w:rsidP="004B7B21">
            <w:pPr>
              <w:jc w:val="center"/>
              <w:rPr>
                <w:rFonts w:ascii="Arial Narrow" w:eastAsia="Times New Roman" w:hAnsi="Arial Narrow" w:cs="Calibri"/>
                <w:b/>
                <w:bCs/>
                <w:color w:val="000000"/>
                <w:sz w:val="22"/>
                <w:szCs w:val="22"/>
              </w:rPr>
            </w:pPr>
            <w:r w:rsidRPr="0012299F">
              <w:rPr>
                <w:rFonts w:ascii="Arial Narrow" w:eastAsia="Times New Roman" w:hAnsi="Arial Narrow" w:cs="Calibri"/>
                <w:b/>
                <w:bCs/>
                <w:color w:val="000000"/>
                <w:sz w:val="22"/>
                <w:szCs w:val="22"/>
              </w:rPr>
              <w:t xml:space="preserve"> </w:t>
            </w:r>
          </w:p>
        </w:tc>
        <w:tc>
          <w:tcPr>
            <w:tcW w:w="3722" w:type="dxa"/>
            <w:tcBorders>
              <w:top w:val="single" w:sz="8" w:space="0" w:color="auto"/>
              <w:left w:val="nil"/>
              <w:bottom w:val="single" w:sz="8" w:space="0" w:color="auto"/>
              <w:right w:val="single" w:sz="8" w:space="0" w:color="auto"/>
            </w:tcBorders>
            <w:shd w:val="clear" w:color="auto" w:fill="auto"/>
            <w:vAlign w:val="center"/>
            <w:hideMark/>
          </w:tcPr>
          <w:p w14:paraId="6533F2DA" w14:textId="77777777" w:rsidR="004B7B21" w:rsidRPr="0012299F" w:rsidRDefault="004B7B21" w:rsidP="004B7B21">
            <w:pPr>
              <w:rPr>
                <w:rFonts w:ascii="Arial Narrow" w:eastAsia="Times New Roman" w:hAnsi="Arial Narrow"/>
                <w:b/>
                <w:bCs/>
                <w:color w:val="000000"/>
                <w:sz w:val="22"/>
                <w:szCs w:val="22"/>
                <w:lang w:val="es-CR"/>
              </w:rPr>
            </w:pPr>
            <w:r w:rsidRPr="0012299F">
              <w:rPr>
                <w:rFonts w:ascii="Arial Narrow" w:eastAsia="Times New Roman" w:hAnsi="Arial Narrow"/>
                <w:b/>
                <w:bCs/>
                <w:color w:val="000000"/>
                <w:sz w:val="22"/>
                <w:szCs w:val="22"/>
                <w:lang w:val="es-CR"/>
              </w:rPr>
              <w:t>Deterioro de activos financieros contabilizados al costo amortizado</w:t>
            </w:r>
          </w:p>
        </w:tc>
        <w:tc>
          <w:tcPr>
            <w:tcW w:w="2022" w:type="dxa"/>
            <w:tcBorders>
              <w:top w:val="single" w:sz="8" w:space="0" w:color="auto"/>
              <w:left w:val="nil"/>
              <w:bottom w:val="single" w:sz="8" w:space="0" w:color="auto"/>
              <w:right w:val="single" w:sz="8" w:space="0" w:color="auto"/>
            </w:tcBorders>
            <w:shd w:val="clear" w:color="auto" w:fill="auto"/>
            <w:vAlign w:val="center"/>
            <w:hideMark/>
          </w:tcPr>
          <w:p w14:paraId="2477934D" w14:textId="77777777" w:rsidR="0012299F" w:rsidRDefault="004B7B21" w:rsidP="004B7B21">
            <w:pPr>
              <w:rPr>
                <w:rFonts w:ascii="Arial Narrow" w:eastAsia="Times New Roman" w:hAnsi="Arial Narrow" w:cs="Calibri"/>
                <w:b/>
                <w:bCs/>
                <w:color w:val="000000"/>
                <w:sz w:val="22"/>
                <w:szCs w:val="22"/>
              </w:rPr>
            </w:pPr>
            <w:r w:rsidRPr="0012299F">
              <w:rPr>
                <w:rFonts w:ascii="Arial Narrow" w:eastAsia="Times New Roman" w:hAnsi="Arial Narrow" w:cs="Calibri"/>
                <w:b/>
                <w:bCs/>
                <w:color w:val="000000"/>
                <w:sz w:val="22"/>
                <w:szCs w:val="22"/>
              </w:rPr>
              <w:t xml:space="preserve">NICSP N° 29, </w:t>
            </w:r>
          </w:p>
          <w:p w14:paraId="14F87029" w14:textId="570CE344" w:rsidR="004B7B21" w:rsidRPr="0012299F" w:rsidRDefault="004B7B21" w:rsidP="004B7B21">
            <w:pPr>
              <w:rPr>
                <w:rFonts w:ascii="Arial Narrow" w:eastAsia="Times New Roman" w:hAnsi="Arial Narrow" w:cs="Calibri"/>
                <w:b/>
                <w:bCs/>
                <w:color w:val="000000"/>
                <w:sz w:val="22"/>
                <w:szCs w:val="22"/>
              </w:rPr>
            </w:pPr>
            <w:r w:rsidRPr="0012299F">
              <w:rPr>
                <w:rFonts w:ascii="Arial Narrow" w:eastAsia="Times New Roman" w:hAnsi="Arial Narrow" w:cs="Calibri"/>
                <w:b/>
                <w:bCs/>
                <w:color w:val="000000"/>
                <w:sz w:val="22"/>
                <w:szCs w:val="22"/>
              </w:rPr>
              <w:t>Párrafo 72.</w:t>
            </w:r>
          </w:p>
        </w:tc>
        <w:tc>
          <w:tcPr>
            <w:tcW w:w="1882" w:type="dxa"/>
            <w:tcBorders>
              <w:top w:val="single" w:sz="8" w:space="0" w:color="auto"/>
              <w:left w:val="nil"/>
              <w:bottom w:val="single" w:sz="8" w:space="0" w:color="auto"/>
              <w:right w:val="single" w:sz="8" w:space="0" w:color="auto"/>
            </w:tcBorders>
            <w:shd w:val="clear" w:color="auto" w:fill="auto"/>
            <w:vAlign w:val="center"/>
            <w:hideMark/>
          </w:tcPr>
          <w:p w14:paraId="19F39C01" w14:textId="77777777" w:rsidR="004B7B21" w:rsidRPr="0012299F" w:rsidRDefault="004B7B21" w:rsidP="004B7B21">
            <w:pPr>
              <w:jc w:val="center"/>
              <w:rPr>
                <w:rFonts w:ascii="Arial Narrow" w:eastAsia="Times New Roman" w:hAnsi="Arial Narrow" w:cs="Calibri"/>
                <w:b/>
                <w:bCs/>
                <w:color w:val="000000"/>
                <w:sz w:val="22"/>
                <w:szCs w:val="22"/>
              </w:rPr>
            </w:pPr>
            <w:r w:rsidRPr="0012299F">
              <w:rPr>
                <w:rFonts w:ascii="Arial Narrow" w:eastAsia="Times New Roman" w:hAnsi="Arial Narrow" w:cs="Calibri"/>
                <w:b/>
                <w:bCs/>
                <w:color w:val="000000"/>
                <w:sz w:val="22"/>
                <w:szCs w:val="22"/>
              </w:rPr>
              <w:t xml:space="preserve"> </w:t>
            </w:r>
          </w:p>
        </w:tc>
      </w:tr>
      <w:tr w:rsidR="004B7B21" w:rsidRPr="0012299F" w14:paraId="219F8DF1" w14:textId="77777777" w:rsidTr="0012299F">
        <w:trPr>
          <w:gridAfter w:val="1"/>
          <w:wAfter w:w="9" w:type="dxa"/>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77AA21D0" w14:textId="77777777" w:rsidR="004B7B21" w:rsidRPr="0012299F" w:rsidRDefault="004B7B21" w:rsidP="0012299F">
            <w:pPr>
              <w:jc w:val="center"/>
              <w:rPr>
                <w:rFonts w:ascii="Arial Narrow" w:eastAsia="Times New Roman" w:hAnsi="Arial Narrow"/>
                <w:b/>
                <w:bCs/>
                <w:color w:val="000000"/>
                <w:sz w:val="22"/>
                <w:szCs w:val="22"/>
              </w:rPr>
            </w:pPr>
            <w:r w:rsidRPr="0012299F">
              <w:rPr>
                <w:rFonts w:ascii="Arial Narrow" w:eastAsia="Times New Roman" w:hAnsi="Arial Narrow"/>
                <w:b/>
                <w:bCs/>
                <w:color w:val="000000"/>
                <w:sz w:val="22"/>
                <w:szCs w:val="22"/>
              </w:rPr>
              <w:t>5</w:t>
            </w:r>
          </w:p>
        </w:tc>
        <w:tc>
          <w:tcPr>
            <w:tcW w:w="706" w:type="dxa"/>
            <w:tcBorders>
              <w:top w:val="nil"/>
              <w:left w:val="nil"/>
              <w:bottom w:val="single" w:sz="8" w:space="0" w:color="auto"/>
              <w:right w:val="single" w:sz="8" w:space="0" w:color="auto"/>
            </w:tcBorders>
            <w:shd w:val="clear" w:color="auto" w:fill="auto"/>
            <w:vAlign w:val="center"/>
            <w:hideMark/>
          </w:tcPr>
          <w:p w14:paraId="54E03294" w14:textId="77777777" w:rsidR="004B7B21" w:rsidRPr="0012299F" w:rsidRDefault="004B7B21" w:rsidP="0012299F">
            <w:pPr>
              <w:jc w:val="center"/>
              <w:rPr>
                <w:rFonts w:ascii="Arial Narrow" w:eastAsia="Times New Roman" w:hAnsi="Arial Narrow"/>
                <w:b/>
                <w:bCs/>
                <w:color w:val="000000"/>
                <w:sz w:val="22"/>
                <w:szCs w:val="22"/>
              </w:rPr>
            </w:pPr>
            <w:r w:rsidRPr="0012299F">
              <w:rPr>
                <w:rFonts w:ascii="Arial Narrow" w:eastAsia="Times New Roman" w:hAnsi="Arial Narrow"/>
                <w:b/>
                <w:bCs/>
                <w:color w:val="000000"/>
                <w:sz w:val="22"/>
                <w:szCs w:val="22"/>
              </w:rPr>
              <w:t>47</w:t>
            </w:r>
          </w:p>
        </w:tc>
        <w:tc>
          <w:tcPr>
            <w:tcW w:w="517" w:type="dxa"/>
            <w:tcBorders>
              <w:top w:val="nil"/>
              <w:left w:val="nil"/>
              <w:bottom w:val="single" w:sz="8" w:space="0" w:color="auto"/>
              <w:right w:val="nil"/>
            </w:tcBorders>
            <w:shd w:val="clear" w:color="auto" w:fill="auto"/>
            <w:vAlign w:val="center"/>
            <w:hideMark/>
          </w:tcPr>
          <w:p w14:paraId="38014815" w14:textId="77777777" w:rsidR="004B7B21" w:rsidRPr="0012299F" w:rsidRDefault="004B7B21" w:rsidP="004B7B21">
            <w:pPr>
              <w:jc w:val="center"/>
              <w:rPr>
                <w:rFonts w:ascii="Arial Narrow" w:eastAsia="Times New Roman" w:hAnsi="Arial Narrow" w:cs="Calibri"/>
                <w:b/>
                <w:bCs/>
                <w:color w:val="000000"/>
                <w:sz w:val="22"/>
                <w:szCs w:val="22"/>
              </w:rPr>
            </w:pPr>
            <w:r w:rsidRPr="0012299F">
              <w:rPr>
                <w:rFonts w:ascii="Arial Narrow" w:eastAsia="Times New Roman" w:hAnsi="Arial Narrow" w:cs="Calibri"/>
                <w:b/>
                <w:bCs/>
                <w:color w:val="000000"/>
                <w:sz w:val="22"/>
                <w:szCs w:val="22"/>
              </w:rPr>
              <w:t>1</w:t>
            </w:r>
          </w:p>
        </w:tc>
        <w:tc>
          <w:tcPr>
            <w:tcW w:w="3722" w:type="dxa"/>
            <w:tcBorders>
              <w:top w:val="nil"/>
              <w:left w:val="single" w:sz="8" w:space="0" w:color="auto"/>
              <w:bottom w:val="single" w:sz="8" w:space="0" w:color="auto"/>
              <w:right w:val="single" w:sz="8" w:space="0" w:color="auto"/>
            </w:tcBorders>
            <w:shd w:val="clear" w:color="auto" w:fill="auto"/>
            <w:vAlign w:val="center"/>
            <w:hideMark/>
          </w:tcPr>
          <w:p w14:paraId="2437322F" w14:textId="77777777" w:rsidR="004B7B21" w:rsidRPr="0012299F" w:rsidRDefault="004B7B21" w:rsidP="004B7B21">
            <w:pPr>
              <w:rPr>
                <w:rFonts w:ascii="Arial Narrow" w:eastAsia="Times New Roman" w:hAnsi="Arial Narrow"/>
                <w:b/>
                <w:bCs/>
                <w:color w:val="000000"/>
                <w:sz w:val="22"/>
                <w:szCs w:val="22"/>
                <w:lang w:val="es-CR"/>
              </w:rPr>
            </w:pPr>
            <w:r w:rsidRPr="0012299F">
              <w:rPr>
                <w:rFonts w:ascii="Arial Narrow" w:eastAsia="Times New Roman" w:hAnsi="Arial Narrow"/>
                <w:b/>
                <w:bCs/>
                <w:color w:val="000000"/>
                <w:sz w:val="22"/>
                <w:szCs w:val="22"/>
                <w:lang w:val="es-CR"/>
              </w:rPr>
              <w:t>Reversión de la pérdida por deterioro</w:t>
            </w:r>
          </w:p>
        </w:tc>
        <w:tc>
          <w:tcPr>
            <w:tcW w:w="2022" w:type="dxa"/>
            <w:tcBorders>
              <w:top w:val="nil"/>
              <w:left w:val="nil"/>
              <w:bottom w:val="single" w:sz="8" w:space="0" w:color="auto"/>
              <w:right w:val="single" w:sz="8" w:space="0" w:color="auto"/>
            </w:tcBorders>
            <w:shd w:val="clear" w:color="auto" w:fill="auto"/>
            <w:vAlign w:val="center"/>
            <w:hideMark/>
          </w:tcPr>
          <w:p w14:paraId="2731EA19" w14:textId="77777777" w:rsidR="0012299F" w:rsidRDefault="004B7B21" w:rsidP="004B7B21">
            <w:pPr>
              <w:rPr>
                <w:rFonts w:ascii="Arial Narrow" w:eastAsia="Times New Roman" w:hAnsi="Arial Narrow" w:cs="Calibri"/>
                <w:b/>
                <w:bCs/>
                <w:color w:val="000000"/>
                <w:sz w:val="22"/>
                <w:szCs w:val="22"/>
              </w:rPr>
            </w:pPr>
            <w:r w:rsidRPr="0012299F">
              <w:rPr>
                <w:rFonts w:ascii="Arial Narrow" w:eastAsia="Times New Roman" w:hAnsi="Arial Narrow" w:cs="Calibri"/>
                <w:b/>
                <w:bCs/>
                <w:color w:val="000000"/>
                <w:sz w:val="22"/>
                <w:szCs w:val="22"/>
              </w:rPr>
              <w:t xml:space="preserve">NICSP N° 29, </w:t>
            </w:r>
          </w:p>
          <w:p w14:paraId="748D05C5" w14:textId="1A5AC485" w:rsidR="004B7B21" w:rsidRPr="0012299F" w:rsidRDefault="004B7B21" w:rsidP="004B7B21">
            <w:pPr>
              <w:rPr>
                <w:rFonts w:ascii="Arial Narrow" w:eastAsia="Times New Roman" w:hAnsi="Arial Narrow" w:cs="Calibri"/>
                <w:b/>
                <w:bCs/>
                <w:color w:val="000000"/>
                <w:sz w:val="22"/>
                <w:szCs w:val="22"/>
              </w:rPr>
            </w:pPr>
            <w:r w:rsidRPr="0012299F">
              <w:rPr>
                <w:rFonts w:ascii="Arial Narrow" w:eastAsia="Times New Roman" w:hAnsi="Arial Narrow" w:cs="Calibri"/>
                <w:b/>
                <w:bCs/>
                <w:color w:val="000000"/>
                <w:sz w:val="22"/>
                <w:szCs w:val="22"/>
              </w:rPr>
              <w:t>Párrafo 72.</w:t>
            </w:r>
          </w:p>
        </w:tc>
        <w:tc>
          <w:tcPr>
            <w:tcW w:w="1882" w:type="dxa"/>
            <w:tcBorders>
              <w:top w:val="nil"/>
              <w:left w:val="nil"/>
              <w:bottom w:val="single" w:sz="8" w:space="0" w:color="auto"/>
              <w:right w:val="single" w:sz="8" w:space="0" w:color="auto"/>
            </w:tcBorders>
            <w:shd w:val="clear" w:color="auto" w:fill="auto"/>
            <w:vAlign w:val="center"/>
            <w:hideMark/>
          </w:tcPr>
          <w:p w14:paraId="61234875" w14:textId="77777777" w:rsidR="004B7B21" w:rsidRPr="0012299F" w:rsidRDefault="004B7B21" w:rsidP="004B7B21">
            <w:pPr>
              <w:jc w:val="center"/>
              <w:rPr>
                <w:rFonts w:ascii="Arial Narrow" w:eastAsia="Times New Roman" w:hAnsi="Arial Narrow" w:cs="Calibri"/>
                <w:b/>
                <w:bCs/>
                <w:color w:val="000000"/>
                <w:sz w:val="22"/>
                <w:szCs w:val="22"/>
              </w:rPr>
            </w:pPr>
            <w:r w:rsidRPr="0012299F">
              <w:rPr>
                <w:rFonts w:ascii="Arial Narrow" w:eastAsia="Times New Roman" w:hAnsi="Arial Narrow" w:cs="Calibri"/>
                <w:b/>
                <w:bCs/>
                <w:color w:val="000000"/>
                <w:sz w:val="22"/>
                <w:szCs w:val="22"/>
              </w:rPr>
              <w:t xml:space="preserve"> </w:t>
            </w:r>
          </w:p>
        </w:tc>
      </w:tr>
    </w:tbl>
    <w:p w14:paraId="579CAD44" w14:textId="77777777" w:rsidR="003C1D54" w:rsidRDefault="003C1D54" w:rsidP="003C1D54">
      <w:pPr>
        <w:pStyle w:val="Default"/>
        <w:ind w:left="1134" w:hanging="1134"/>
        <w:jc w:val="both"/>
        <w:rPr>
          <w:sz w:val="23"/>
          <w:szCs w:val="23"/>
          <w:lang w:val="es-CR"/>
        </w:rPr>
      </w:pPr>
    </w:p>
    <w:p w14:paraId="5738CEDC" w14:textId="77777777" w:rsidR="0012299F" w:rsidRDefault="0012299F" w:rsidP="0012299F">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29B3479" w14:textId="77777777" w:rsidR="0012299F" w:rsidRPr="003C1D54" w:rsidRDefault="0012299F" w:rsidP="003C1D54">
      <w:pPr>
        <w:pStyle w:val="Default"/>
        <w:ind w:left="1134" w:hanging="1134"/>
        <w:jc w:val="both"/>
        <w:rPr>
          <w:sz w:val="23"/>
          <w:szCs w:val="23"/>
          <w:lang w:val="es-CR"/>
        </w:rPr>
      </w:pPr>
    </w:p>
    <w:p w14:paraId="53AFC44E" w14:textId="77777777" w:rsidR="0012299F" w:rsidRDefault="003C1D54" w:rsidP="003C1D54">
      <w:pPr>
        <w:pStyle w:val="Default"/>
        <w:ind w:left="1134" w:hanging="1134"/>
        <w:jc w:val="both"/>
        <w:rPr>
          <w:sz w:val="23"/>
          <w:szCs w:val="23"/>
          <w:lang w:val="es-CR"/>
        </w:rPr>
      </w:pPr>
      <w:r>
        <w:rPr>
          <w:sz w:val="23"/>
          <w:szCs w:val="23"/>
          <w:lang w:val="es-CR"/>
        </w:rPr>
        <w:t>5.47.0.01</w:t>
      </w:r>
      <w:r>
        <w:rPr>
          <w:sz w:val="23"/>
          <w:szCs w:val="23"/>
          <w:lang w:val="es-CR"/>
        </w:rPr>
        <w:tab/>
      </w:r>
      <w:r w:rsidRPr="003C1D54">
        <w:rPr>
          <w:sz w:val="23"/>
          <w:szCs w:val="23"/>
          <w:lang w:val="es-CR"/>
        </w:rPr>
        <w:t>Cuando exista evidencia de que se ha incurrido en un deterioro en el valor de los préstamos, de las partidas por cobrar o de las inversiones mantenidas hasta el vencimiento, contabilizados al “costo amortizado”, se reconocerá una pérdida por deterioro.</w:t>
      </w:r>
    </w:p>
    <w:p w14:paraId="0DEDCD3E" w14:textId="50186A38" w:rsidR="003C1D54" w:rsidRPr="003C1D54" w:rsidRDefault="003C1D54" w:rsidP="003C1D54">
      <w:pPr>
        <w:pStyle w:val="Default"/>
        <w:ind w:left="1134" w:hanging="1134"/>
        <w:jc w:val="both"/>
        <w:rPr>
          <w:sz w:val="23"/>
          <w:szCs w:val="23"/>
          <w:lang w:val="es-CR"/>
        </w:rPr>
      </w:pPr>
      <w:r w:rsidRPr="003C1D54">
        <w:rPr>
          <w:sz w:val="23"/>
          <w:szCs w:val="23"/>
          <w:lang w:val="es-CR"/>
        </w:rPr>
        <w:t xml:space="preserve"> </w:t>
      </w:r>
    </w:p>
    <w:p w14:paraId="76E771AD" w14:textId="190AB5A3" w:rsidR="003C1D54" w:rsidRDefault="003C1D54" w:rsidP="003C1D54">
      <w:pPr>
        <w:pStyle w:val="Default"/>
        <w:ind w:left="1134" w:hanging="1134"/>
        <w:jc w:val="both"/>
        <w:rPr>
          <w:sz w:val="23"/>
          <w:szCs w:val="23"/>
          <w:lang w:val="es-CR"/>
        </w:rPr>
      </w:pPr>
      <w:r>
        <w:rPr>
          <w:sz w:val="23"/>
          <w:szCs w:val="23"/>
          <w:lang w:val="es-CR"/>
        </w:rPr>
        <w:t>5.47.0.02</w:t>
      </w:r>
      <w:r>
        <w:rPr>
          <w:sz w:val="23"/>
          <w:szCs w:val="23"/>
          <w:lang w:val="es-CR"/>
        </w:rPr>
        <w:tab/>
      </w:r>
      <w:r w:rsidRPr="003C1D54">
        <w:rPr>
          <w:sz w:val="23"/>
          <w:szCs w:val="23"/>
          <w:lang w:val="es-CR"/>
        </w:rPr>
        <w:t>Dicha pérdida por deterioro se medirá como la diferencia entre el importe en libros del activo y el valor presente de los flujos de efectivo futuros estimados, descontados con la tasa de interés efectiva original del activo financiero (es decir, la tasa de interés efectiva computada en el momento del reconocimiento inicial) y se reconocerá como tal en el resultado del período.</w:t>
      </w:r>
    </w:p>
    <w:p w14:paraId="16E2EFAC" w14:textId="77777777" w:rsidR="0012299F" w:rsidRPr="003C1D54" w:rsidRDefault="0012299F" w:rsidP="003C1D54">
      <w:pPr>
        <w:pStyle w:val="Default"/>
        <w:ind w:left="1134" w:hanging="1134"/>
        <w:jc w:val="both"/>
        <w:rPr>
          <w:sz w:val="23"/>
          <w:szCs w:val="23"/>
          <w:lang w:val="es-CR"/>
        </w:rPr>
      </w:pPr>
    </w:p>
    <w:p w14:paraId="2800F5DB" w14:textId="380B45EA" w:rsidR="003C1D54" w:rsidRPr="003C1D54" w:rsidRDefault="003C1D54" w:rsidP="003C1D54">
      <w:pPr>
        <w:pStyle w:val="Default"/>
        <w:ind w:left="1134" w:hanging="1134"/>
        <w:jc w:val="both"/>
        <w:rPr>
          <w:sz w:val="23"/>
          <w:szCs w:val="23"/>
          <w:lang w:val="es-CR"/>
        </w:rPr>
      </w:pPr>
      <w:r>
        <w:rPr>
          <w:sz w:val="23"/>
          <w:szCs w:val="23"/>
          <w:lang w:val="es-CR"/>
        </w:rPr>
        <w:t>5.47.0.03</w:t>
      </w:r>
      <w:r>
        <w:rPr>
          <w:sz w:val="23"/>
          <w:szCs w:val="23"/>
          <w:lang w:val="es-CR"/>
        </w:rPr>
        <w:tab/>
      </w:r>
      <w:r w:rsidRPr="003C1D54">
        <w:rPr>
          <w:sz w:val="23"/>
          <w:szCs w:val="23"/>
          <w:lang w:val="es-CR"/>
        </w:rPr>
        <w:t xml:space="preserve">El importe en libros del activo se reducirá mediante una cuenta correctora o regularizadora. </w:t>
      </w:r>
    </w:p>
    <w:p w14:paraId="47E49DB6" w14:textId="1D460484" w:rsidR="003C1D54" w:rsidRPr="003C1D54" w:rsidRDefault="003C1D54" w:rsidP="003C1D54">
      <w:pPr>
        <w:pStyle w:val="Default"/>
        <w:ind w:left="1134" w:hanging="1134"/>
        <w:jc w:val="both"/>
        <w:rPr>
          <w:sz w:val="23"/>
          <w:szCs w:val="23"/>
          <w:lang w:val="es-CR"/>
        </w:rPr>
      </w:pPr>
    </w:p>
    <w:p w14:paraId="76E959E4" w14:textId="5DFE5D7B" w:rsidR="004B7B21" w:rsidRPr="00041A77" w:rsidRDefault="003C1D54" w:rsidP="003C1D54">
      <w:pPr>
        <w:pStyle w:val="Default"/>
        <w:ind w:left="1134" w:hanging="1134"/>
        <w:jc w:val="both"/>
        <w:rPr>
          <w:sz w:val="23"/>
          <w:szCs w:val="23"/>
          <w:lang w:val="es-CR"/>
        </w:rPr>
      </w:pPr>
      <w:r>
        <w:rPr>
          <w:sz w:val="23"/>
          <w:szCs w:val="23"/>
          <w:lang w:val="es-CR"/>
        </w:rPr>
        <w:t>5.47.</w:t>
      </w:r>
      <w:r w:rsidRPr="003C1D54">
        <w:rPr>
          <w:sz w:val="23"/>
          <w:szCs w:val="23"/>
          <w:lang w:val="es-CR"/>
        </w:rPr>
        <w:t>1.</w:t>
      </w:r>
      <w:r>
        <w:rPr>
          <w:sz w:val="23"/>
          <w:szCs w:val="23"/>
          <w:lang w:val="es-CR"/>
        </w:rPr>
        <w:t>01</w:t>
      </w:r>
      <w:r>
        <w:rPr>
          <w:sz w:val="23"/>
          <w:szCs w:val="23"/>
          <w:lang w:val="es-CR"/>
        </w:rPr>
        <w:tab/>
      </w:r>
      <w:r w:rsidRPr="003C1D54">
        <w:rPr>
          <w:sz w:val="23"/>
          <w:szCs w:val="23"/>
          <w:lang w:val="es-CR"/>
        </w:rPr>
        <w:t xml:space="preserve">Si, en períodos posteriores, el importe de la pérdida por deterioro del valor disminuyese y la disminución pudiera ser objetivamente relacionada con un suceso posterior al reconocimiento del deterioro (tal como una mejora en la calificación crediticia del deudor), la pérdida por deterioro reconocida previamente será revertida, ya sea directamente o mediante el ajuste de la cuenta correctora que se haya utilizado. La reversión no dará lugar a un importe en libros del activo financiero que exceda al costo amortizado que habría sido determinado si no se </w:t>
      </w:r>
      <w:r w:rsidRPr="003C1D54">
        <w:rPr>
          <w:sz w:val="23"/>
          <w:szCs w:val="23"/>
          <w:lang w:val="es-CR"/>
        </w:rPr>
        <w:lastRenderedPageBreak/>
        <w:t>hubiese contabilizado la pérdida por deterioro del valor en la fecha de reversión. El importe de la reversión se reconocerá en el resultado del período (ingreso).</w:t>
      </w:r>
    </w:p>
    <w:p w14:paraId="5C8F3F2B" w14:textId="77777777" w:rsidR="005F3A03" w:rsidRDefault="005F3A03" w:rsidP="0032280D">
      <w:pPr>
        <w:pStyle w:val="Default"/>
        <w:ind w:left="1134" w:hanging="1134"/>
        <w:jc w:val="both"/>
        <w:rPr>
          <w:sz w:val="23"/>
          <w:szCs w:val="23"/>
          <w:lang w:val="es-CR"/>
        </w:rPr>
      </w:pPr>
    </w:p>
    <w:p w14:paraId="051DC460" w14:textId="77777777" w:rsidR="0012299F" w:rsidRDefault="0012299F" w:rsidP="0032280D">
      <w:pPr>
        <w:pStyle w:val="Default"/>
        <w:ind w:left="1134" w:hanging="1134"/>
        <w:jc w:val="both"/>
        <w:rPr>
          <w:sz w:val="23"/>
          <w:szCs w:val="23"/>
          <w:lang w:val="es-CR"/>
        </w:rPr>
      </w:pPr>
    </w:p>
    <w:p w14:paraId="32879908" w14:textId="77777777" w:rsidR="0012299F" w:rsidRPr="00041A77" w:rsidRDefault="0012299F" w:rsidP="0032280D">
      <w:pPr>
        <w:pStyle w:val="Default"/>
        <w:ind w:left="1134" w:hanging="1134"/>
        <w:jc w:val="both"/>
        <w:rPr>
          <w:sz w:val="23"/>
          <w:szCs w:val="23"/>
          <w:lang w:val="es-CR"/>
        </w:rPr>
      </w:pPr>
    </w:p>
    <w:tbl>
      <w:tblPr>
        <w:tblW w:w="9346" w:type="dxa"/>
        <w:tblLook w:val="04A0" w:firstRow="1" w:lastRow="0" w:firstColumn="1" w:lastColumn="0" w:noHBand="0" w:noVBand="1"/>
      </w:tblPr>
      <w:tblGrid>
        <w:gridCol w:w="416"/>
        <w:gridCol w:w="708"/>
        <w:gridCol w:w="426"/>
        <w:gridCol w:w="3693"/>
        <w:gridCol w:w="2250"/>
        <w:gridCol w:w="1853"/>
      </w:tblGrid>
      <w:tr w:rsidR="003C1D54" w:rsidRPr="003C1D54" w14:paraId="722BE595" w14:textId="77777777" w:rsidTr="0012299F">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2F48778" w14:textId="77777777" w:rsidR="003C1D54" w:rsidRPr="003C1D54" w:rsidRDefault="003C1D54" w:rsidP="003C1D54">
            <w:pPr>
              <w:jc w:val="center"/>
              <w:rPr>
                <w:rFonts w:ascii="Arial Narrow" w:eastAsia="Times New Roman" w:hAnsi="Arial Narrow" w:cs="Calibri"/>
                <w:b/>
                <w:bCs/>
                <w:color w:val="FFFFFF"/>
                <w:sz w:val="22"/>
                <w:szCs w:val="22"/>
              </w:rPr>
            </w:pPr>
            <w:r w:rsidRPr="003C1D54">
              <w:rPr>
                <w:rFonts w:ascii="Arial Narrow" w:eastAsia="Times New Roman" w:hAnsi="Arial Narrow" w:cs="Calibri"/>
                <w:b/>
                <w:bCs/>
                <w:color w:val="FFFFFF"/>
                <w:sz w:val="22"/>
                <w:szCs w:val="22"/>
              </w:rPr>
              <w:t>Norma / Política</w:t>
            </w:r>
          </w:p>
        </w:tc>
        <w:tc>
          <w:tcPr>
            <w:tcW w:w="36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19FDDBF1" w14:textId="77777777" w:rsidR="003C1D54" w:rsidRPr="003C1D54" w:rsidRDefault="003C1D54" w:rsidP="003C1D54">
            <w:pPr>
              <w:jc w:val="center"/>
              <w:rPr>
                <w:rFonts w:ascii="Arial Narrow" w:eastAsia="Times New Roman" w:hAnsi="Arial Narrow" w:cs="Calibri"/>
                <w:b/>
                <w:bCs/>
                <w:color w:val="FFFFFF"/>
                <w:sz w:val="22"/>
                <w:szCs w:val="22"/>
              </w:rPr>
            </w:pPr>
            <w:r w:rsidRPr="003C1D54">
              <w:rPr>
                <w:rFonts w:ascii="Arial Narrow" w:eastAsia="Times New Roman" w:hAnsi="Arial Narrow" w:cs="Calibri"/>
                <w:b/>
                <w:bCs/>
                <w:color w:val="FFFFFF"/>
                <w:sz w:val="22"/>
                <w:szCs w:val="22"/>
              </w:rPr>
              <w:t>Concepto</w:t>
            </w:r>
          </w:p>
        </w:tc>
        <w:tc>
          <w:tcPr>
            <w:tcW w:w="4103" w:type="dxa"/>
            <w:gridSpan w:val="2"/>
            <w:tcBorders>
              <w:top w:val="single" w:sz="8" w:space="0" w:color="auto"/>
              <w:left w:val="nil"/>
              <w:bottom w:val="single" w:sz="8" w:space="0" w:color="auto"/>
              <w:right w:val="single" w:sz="8" w:space="0" w:color="000000"/>
            </w:tcBorders>
            <w:shd w:val="clear" w:color="000000" w:fill="203764"/>
            <w:vAlign w:val="center"/>
            <w:hideMark/>
          </w:tcPr>
          <w:p w14:paraId="3AEB5BC2" w14:textId="77777777" w:rsidR="003C1D54" w:rsidRPr="003C1D54" w:rsidRDefault="003C1D54" w:rsidP="003C1D54">
            <w:pPr>
              <w:jc w:val="center"/>
              <w:rPr>
                <w:rFonts w:ascii="Arial Narrow" w:eastAsia="Times New Roman" w:hAnsi="Arial Narrow" w:cs="Calibri"/>
                <w:b/>
                <w:bCs/>
                <w:color w:val="FFFFFF"/>
                <w:sz w:val="22"/>
                <w:szCs w:val="22"/>
              </w:rPr>
            </w:pPr>
            <w:r w:rsidRPr="003C1D54">
              <w:rPr>
                <w:rFonts w:ascii="Arial Narrow" w:eastAsia="Times New Roman" w:hAnsi="Arial Narrow" w:cs="Calibri"/>
                <w:b/>
                <w:bCs/>
                <w:color w:val="FFFFFF"/>
                <w:sz w:val="22"/>
                <w:szCs w:val="22"/>
              </w:rPr>
              <w:t>Referencia</w:t>
            </w:r>
          </w:p>
        </w:tc>
      </w:tr>
      <w:tr w:rsidR="003C1D54" w:rsidRPr="006E5442" w14:paraId="3AD95020" w14:textId="77777777" w:rsidTr="0012299F">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1913899B" w14:textId="77777777" w:rsidR="003C1D54" w:rsidRPr="003C1D54" w:rsidRDefault="003C1D54" w:rsidP="003C1D54">
            <w:pPr>
              <w:rPr>
                <w:rFonts w:ascii="Arial Narrow" w:eastAsia="Times New Roman" w:hAnsi="Arial Narrow" w:cs="Calibri"/>
                <w:b/>
                <w:bCs/>
                <w:color w:val="FFFFFF"/>
                <w:sz w:val="22"/>
                <w:szCs w:val="22"/>
              </w:rPr>
            </w:pPr>
          </w:p>
        </w:tc>
        <w:tc>
          <w:tcPr>
            <w:tcW w:w="3693" w:type="dxa"/>
            <w:vMerge/>
            <w:tcBorders>
              <w:top w:val="single" w:sz="8" w:space="0" w:color="auto"/>
              <w:left w:val="single" w:sz="8" w:space="0" w:color="auto"/>
              <w:bottom w:val="nil"/>
              <w:right w:val="single" w:sz="8" w:space="0" w:color="auto"/>
            </w:tcBorders>
            <w:vAlign w:val="center"/>
            <w:hideMark/>
          </w:tcPr>
          <w:p w14:paraId="1D92B82E" w14:textId="77777777" w:rsidR="003C1D54" w:rsidRPr="003C1D54" w:rsidRDefault="003C1D54" w:rsidP="003C1D54">
            <w:pPr>
              <w:rPr>
                <w:rFonts w:ascii="Arial Narrow" w:eastAsia="Times New Roman" w:hAnsi="Arial Narrow" w:cs="Calibri"/>
                <w:b/>
                <w:bCs/>
                <w:color w:val="FFFFFF"/>
                <w:sz w:val="22"/>
                <w:szCs w:val="22"/>
              </w:rPr>
            </w:pPr>
          </w:p>
        </w:tc>
        <w:tc>
          <w:tcPr>
            <w:tcW w:w="2250" w:type="dxa"/>
            <w:tcBorders>
              <w:top w:val="nil"/>
              <w:left w:val="nil"/>
              <w:bottom w:val="nil"/>
              <w:right w:val="single" w:sz="8" w:space="0" w:color="auto"/>
            </w:tcBorders>
            <w:shd w:val="clear" w:color="000000" w:fill="203764"/>
            <w:vAlign w:val="center"/>
            <w:hideMark/>
          </w:tcPr>
          <w:p w14:paraId="20B09162" w14:textId="77777777" w:rsidR="003C1D54" w:rsidRPr="003C1D54" w:rsidRDefault="003C1D54" w:rsidP="003C1D54">
            <w:pPr>
              <w:jc w:val="center"/>
              <w:rPr>
                <w:rFonts w:ascii="Arial Narrow" w:eastAsia="Times New Roman" w:hAnsi="Arial Narrow" w:cs="Calibri"/>
                <w:b/>
                <w:bCs/>
                <w:color w:val="FFFFFF"/>
                <w:sz w:val="22"/>
                <w:szCs w:val="22"/>
              </w:rPr>
            </w:pPr>
            <w:r w:rsidRPr="003C1D54">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30C619D2" w14:textId="77777777" w:rsidR="003C1D54" w:rsidRPr="003C1D54" w:rsidRDefault="003C1D54" w:rsidP="003C1D54">
            <w:pPr>
              <w:jc w:val="center"/>
              <w:rPr>
                <w:rFonts w:ascii="Arial Narrow" w:eastAsia="Times New Roman" w:hAnsi="Arial Narrow" w:cs="Calibri"/>
                <w:b/>
                <w:bCs/>
                <w:color w:val="FFFFFF"/>
                <w:sz w:val="22"/>
                <w:szCs w:val="22"/>
                <w:lang w:val="es-CR"/>
              </w:rPr>
            </w:pPr>
            <w:r w:rsidRPr="003C1D54">
              <w:rPr>
                <w:rFonts w:ascii="Arial Narrow" w:eastAsia="Times New Roman" w:hAnsi="Arial Narrow" w:cs="Calibri"/>
                <w:b/>
                <w:bCs/>
                <w:color w:val="FFFFFF"/>
                <w:sz w:val="22"/>
                <w:szCs w:val="22"/>
                <w:lang w:val="es-CR"/>
              </w:rPr>
              <w:t>Normativa técnica y disposiciones adicionales</w:t>
            </w:r>
          </w:p>
        </w:tc>
      </w:tr>
      <w:tr w:rsidR="003C1D54" w:rsidRPr="003C1D54" w14:paraId="1A4C72B9" w14:textId="77777777" w:rsidTr="0012299F">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E3B65D" w14:textId="77777777" w:rsidR="003C1D54" w:rsidRPr="003C1D54" w:rsidRDefault="003C1D54" w:rsidP="003C1D54">
            <w:pPr>
              <w:jc w:val="center"/>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3D7E659" w14:textId="77777777" w:rsidR="003C1D54" w:rsidRPr="003C1D54" w:rsidRDefault="003C1D54" w:rsidP="003C1D54">
            <w:pPr>
              <w:jc w:val="center"/>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48</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CACD8FE" w14:textId="77777777" w:rsidR="003C1D54" w:rsidRPr="003C1D54" w:rsidRDefault="003C1D54" w:rsidP="003C1D54">
            <w:pPr>
              <w:jc w:val="center"/>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 xml:space="preserve"> </w:t>
            </w:r>
          </w:p>
        </w:tc>
        <w:tc>
          <w:tcPr>
            <w:tcW w:w="3693" w:type="dxa"/>
            <w:tcBorders>
              <w:top w:val="single" w:sz="8" w:space="0" w:color="auto"/>
              <w:left w:val="nil"/>
              <w:bottom w:val="single" w:sz="8" w:space="0" w:color="auto"/>
              <w:right w:val="single" w:sz="8" w:space="0" w:color="auto"/>
            </w:tcBorders>
            <w:shd w:val="clear" w:color="auto" w:fill="auto"/>
            <w:vAlign w:val="center"/>
            <w:hideMark/>
          </w:tcPr>
          <w:p w14:paraId="3E0D815C" w14:textId="77777777" w:rsidR="003C1D54" w:rsidRPr="003C1D54" w:rsidRDefault="003C1D54" w:rsidP="003C1D54">
            <w:pPr>
              <w:jc w:val="both"/>
              <w:rPr>
                <w:rFonts w:ascii="Arial Narrow" w:eastAsia="Times New Roman" w:hAnsi="Arial Narrow" w:cs="Calibri"/>
                <w:b/>
                <w:bCs/>
                <w:color w:val="000000"/>
                <w:sz w:val="22"/>
                <w:szCs w:val="22"/>
                <w:lang w:val="es-CR"/>
              </w:rPr>
            </w:pPr>
            <w:r w:rsidRPr="003C1D54">
              <w:rPr>
                <w:rFonts w:ascii="Arial Narrow" w:eastAsia="Times New Roman" w:hAnsi="Arial Narrow" w:cs="Calibri"/>
                <w:b/>
                <w:bCs/>
                <w:color w:val="000000"/>
                <w:sz w:val="22"/>
                <w:szCs w:val="22"/>
                <w:lang w:val="es-CR"/>
              </w:rPr>
              <w:t>Deterioro de activos financieros contabilizados al costo</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27286E48" w14:textId="77777777" w:rsidR="003C1D54" w:rsidRPr="003C1D54" w:rsidRDefault="003C1D54" w:rsidP="003C1D54">
            <w:pPr>
              <w:jc w:val="both"/>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 xml:space="preserve">NICSP N° 29 </w:t>
            </w:r>
            <w:r w:rsidRPr="003C1D54">
              <w:rPr>
                <w:rFonts w:ascii="Arial Narrow" w:eastAsia="Times New Roman" w:hAnsi="Arial Narrow" w:cs="Calibri"/>
                <w:b/>
                <w:bCs/>
                <w:color w:val="000000"/>
                <w:sz w:val="22"/>
                <w:szCs w:val="22"/>
              </w:rPr>
              <w:br/>
              <w:t>Párrafo 75.</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551B7B0D" w14:textId="77777777" w:rsidR="003C1D54" w:rsidRPr="003C1D54" w:rsidRDefault="003C1D54" w:rsidP="003C1D54">
            <w:pPr>
              <w:jc w:val="center"/>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 xml:space="preserve"> </w:t>
            </w:r>
          </w:p>
        </w:tc>
      </w:tr>
    </w:tbl>
    <w:p w14:paraId="3CEADA4A" w14:textId="77777777" w:rsidR="005F3A03" w:rsidRDefault="005F3A03" w:rsidP="0032280D">
      <w:pPr>
        <w:pStyle w:val="Default"/>
        <w:ind w:left="1134" w:hanging="1134"/>
        <w:jc w:val="both"/>
        <w:rPr>
          <w:sz w:val="23"/>
          <w:szCs w:val="23"/>
          <w:lang w:val="es-CR"/>
        </w:rPr>
      </w:pPr>
    </w:p>
    <w:p w14:paraId="153D3487" w14:textId="02728344" w:rsidR="0012299F" w:rsidRDefault="0012299F" w:rsidP="0012299F">
      <w:pPr>
        <w:pStyle w:val="Default"/>
        <w:ind w:left="1134" w:hanging="1134"/>
        <w:jc w:val="both"/>
        <w:rPr>
          <w:rFonts w:eastAsia="Arial"/>
          <w:b/>
          <w:sz w:val="22"/>
          <w:szCs w:val="22"/>
        </w:rPr>
      </w:pPr>
      <w:r w:rsidRPr="00F02F9D">
        <w:rPr>
          <w:rFonts w:eastAsia="Arial"/>
          <w:b/>
          <w:sz w:val="22"/>
          <w:szCs w:val="22"/>
        </w:rPr>
        <w:t>Política Contable</w:t>
      </w:r>
    </w:p>
    <w:p w14:paraId="766B80E8" w14:textId="77777777" w:rsidR="0012299F" w:rsidRPr="00041A77" w:rsidRDefault="0012299F" w:rsidP="0032280D">
      <w:pPr>
        <w:pStyle w:val="Default"/>
        <w:ind w:left="1134" w:hanging="1134"/>
        <w:jc w:val="both"/>
        <w:rPr>
          <w:sz w:val="23"/>
          <w:szCs w:val="23"/>
          <w:lang w:val="es-CR"/>
        </w:rPr>
      </w:pPr>
    </w:p>
    <w:p w14:paraId="3D6C9427" w14:textId="49F4A53E" w:rsidR="005F3A03" w:rsidRPr="00041A77" w:rsidRDefault="003C1D54" w:rsidP="003C1D54">
      <w:pPr>
        <w:pStyle w:val="Default"/>
        <w:ind w:left="1134" w:hanging="1134"/>
        <w:jc w:val="both"/>
        <w:rPr>
          <w:sz w:val="23"/>
          <w:szCs w:val="23"/>
          <w:lang w:val="es-CR"/>
        </w:rPr>
      </w:pPr>
      <w:r>
        <w:rPr>
          <w:sz w:val="23"/>
          <w:szCs w:val="23"/>
          <w:lang w:val="es-CR"/>
        </w:rPr>
        <w:t>5.48.0.02</w:t>
      </w:r>
      <w:r>
        <w:rPr>
          <w:sz w:val="23"/>
          <w:szCs w:val="23"/>
          <w:lang w:val="es-CR"/>
        </w:rPr>
        <w:tab/>
      </w:r>
      <w:r w:rsidRPr="003C1D54">
        <w:rPr>
          <w:sz w:val="23"/>
          <w:szCs w:val="23"/>
          <w:lang w:val="es-CR"/>
        </w:rPr>
        <w:t>El importe de la pérdida por deterioro será la diferencia entre el importe en libros del activo financiero y el valor presente de los flujos de efectivo futuros estimados descontados con la tasa actual de rentabilidad del mercado para activos financieros similares. Dicha pérdida por deterioro no se podrá revertir.</w:t>
      </w:r>
    </w:p>
    <w:p w14:paraId="0763356B" w14:textId="77777777" w:rsidR="005F3A03" w:rsidRPr="00041A77" w:rsidRDefault="005F3A03" w:rsidP="0032280D">
      <w:pPr>
        <w:pStyle w:val="Default"/>
        <w:ind w:left="1134" w:hanging="1134"/>
        <w:jc w:val="both"/>
        <w:rPr>
          <w:sz w:val="23"/>
          <w:szCs w:val="23"/>
          <w:lang w:val="es-CR"/>
        </w:rPr>
      </w:pPr>
    </w:p>
    <w:p w14:paraId="4F8C0497" w14:textId="77777777" w:rsidR="005F3A03" w:rsidRDefault="005F3A03" w:rsidP="0032280D">
      <w:pPr>
        <w:pStyle w:val="Default"/>
        <w:ind w:left="1134" w:hanging="1134"/>
        <w:jc w:val="both"/>
        <w:rPr>
          <w:sz w:val="23"/>
          <w:szCs w:val="23"/>
          <w:lang w:val="es-CR"/>
        </w:rPr>
      </w:pPr>
    </w:p>
    <w:p w14:paraId="0E2C8ABF" w14:textId="77777777" w:rsidR="0012299F" w:rsidRPr="00041A77" w:rsidRDefault="0012299F" w:rsidP="0032280D">
      <w:pPr>
        <w:pStyle w:val="Default"/>
        <w:ind w:left="1134" w:hanging="1134"/>
        <w:jc w:val="both"/>
        <w:rPr>
          <w:sz w:val="23"/>
          <w:szCs w:val="23"/>
          <w:lang w:val="es-CR"/>
        </w:rPr>
      </w:pPr>
    </w:p>
    <w:p w14:paraId="604BB8F3" w14:textId="223E67C7" w:rsidR="00E727B9" w:rsidRPr="003C1D54" w:rsidRDefault="003C1D54" w:rsidP="003C1D54">
      <w:pPr>
        <w:pStyle w:val="Ttulo2"/>
        <w:ind w:left="284"/>
        <w:jc w:val="both"/>
        <w:rPr>
          <w:rFonts w:ascii="Arial" w:eastAsia="Arial" w:hAnsi="Arial" w:cs="Arial"/>
          <w:b/>
          <w:bCs/>
          <w:sz w:val="22"/>
          <w:szCs w:val="22"/>
          <w:lang w:val="es-CR"/>
        </w:rPr>
      </w:pPr>
      <w:bookmarkStart w:id="168" w:name="_Toc172726303"/>
      <w:r w:rsidRPr="003C1D54">
        <w:rPr>
          <w:rFonts w:ascii="Arial" w:eastAsia="Arial" w:hAnsi="Arial" w:cs="Arial"/>
          <w:b/>
          <w:bCs/>
          <w:sz w:val="22"/>
          <w:szCs w:val="22"/>
          <w:lang w:val="es-CR"/>
        </w:rPr>
        <w:t>Intereses, comisiones y gastos sobre endeudamiento público</w:t>
      </w:r>
      <w:bookmarkEnd w:id="168"/>
    </w:p>
    <w:p w14:paraId="195CE84D" w14:textId="77777777" w:rsidR="00E727B9" w:rsidRDefault="00E727B9" w:rsidP="0032280D">
      <w:pPr>
        <w:pStyle w:val="Default"/>
        <w:ind w:left="1134" w:hanging="1134"/>
        <w:jc w:val="both"/>
        <w:rPr>
          <w:sz w:val="23"/>
          <w:szCs w:val="23"/>
          <w:lang w:val="es-CR"/>
        </w:rPr>
      </w:pPr>
    </w:p>
    <w:p w14:paraId="16DD7570" w14:textId="77777777" w:rsidR="0012299F" w:rsidRPr="00041A77" w:rsidRDefault="0012299F" w:rsidP="0032280D">
      <w:pPr>
        <w:pStyle w:val="Default"/>
        <w:ind w:left="1134" w:hanging="1134"/>
        <w:jc w:val="both"/>
        <w:rPr>
          <w:sz w:val="23"/>
          <w:szCs w:val="23"/>
          <w:lang w:val="es-CR"/>
        </w:rPr>
      </w:pPr>
    </w:p>
    <w:tbl>
      <w:tblPr>
        <w:tblW w:w="9369" w:type="dxa"/>
        <w:tblLook w:val="04A0" w:firstRow="1" w:lastRow="0" w:firstColumn="1" w:lastColumn="0" w:noHBand="0" w:noVBand="1"/>
      </w:tblPr>
      <w:tblGrid>
        <w:gridCol w:w="710"/>
        <w:gridCol w:w="417"/>
        <w:gridCol w:w="423"/>
        <w:gridCol w:w="3692"/>
        <w:gridCol w:w="2252"/>
        <w:gridCol w:w="1875"/>
      </w:tblGrid>
      <w:tr w:rsidR="003C1D54" w:rsidRPr="003C1D54" w14:paraId="56E019CD" w14:textId="77777777" w:rsidTr="0012299F">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F9DBA44" w14:textId="77777777" w:rsidR="003C1D54" w:rsidRPr="003C1D54" w:rsidRDefault="003C1D54" w:rsidP="003C1D54">
            <w:pPr>
              <w:jc w:val="center"/>
              <w:rPr>
                <w:rFonts w:ascii="Arial Narrow" w:eastAsia="Times New Roman" w:hAnsi="Arial Narrow" w:cs="Calibri"/>
                <w:b/>
                <w:bCs/>
                <w:color w:val="FFFFFF"/>
                <w:sz w:val="22"/>
                <w:szCs w:val="22"/>
              </w:rPr>
            </w:pPr>
            <w:r w:rsidRPr="003C1D54">
              <w:rPr>
                <w:rFonts w:ascii="Arial Narrow" w:eastAsia="Times New Roman"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00FF72E3" w14:textId="77777777" w:rsidR="003C1D54" w:rsidRPr="003C1D54" w:rsidRDefault="003C1D54" w:rsidP="003C1D54">
            <w:pPr>
              <w:jc w:val="center"/>
              <w:rPr>
                <w:rFonts w:ascii="Arial Narrow" w:eastAsia="Times New Roman" w:hAnsi="Arial Narrow" w:cs="Calibri"/>
                <w:b/>
                <w:bCs/>
                <w:color w:val="FFFFFF"/>
                <w:sz w:val="22"/>
                <w:szCs w:val="22"/>
              </w:rPr>
            </w:pPr>
            <w:r w:rsidRPr="003C1D54">
              <w:rPr>
                <w:rFonts w:ascii="Arial Narrow" w:eastAsia="Times New Roman" w:hAnsi="Arial Narrow" w:cs="Calibri"/>
                <w:b/>
                <w:bCs/>
                <w:color w:val="FFFFFF"/>
                <w:sz w:val="22"/>
                <w:szCs w:val="22"/>
              </w:rPr>
              <w:t>Concepto</w:t>
            </w:r>
          </w:p>
        </w:tc>
        <w:tc>
          <w:tcPr>
            <w:tcW w:w="4127" w:type="dxa"/>
            <w:gridSpan w:val="2"/>
            <w:tcBorders>
              <w:top w:val="single" w:sz="8" w:space="0" w:color="auto"/>
              <w:left w:val="nil"/>
              <w:bottom w:val="single" w:sz="8" w:space="0" w:color="auto"/>
              <w:right w:val="single" w:sz="8" w:space="0" w:color="000000"/>
            </w:tcBorders>
            <w:shd w:val="clear" w:color="000000" w:fill="203764"/>
            <w:vAlign w:val="center"/>
            <w:hideMark/>
          </w:tcPr>
          <w:p w14:paraId="62E71A12" w14:textId="77777777" w:rsidR="003C1D54" w:rsidRPr="003C1D54" w:rsidRDefault="003C1D54" w:rsidP="003C1D54">
            <w:pPr>
              <w:jc w:val="center"/>
              <w:rPr>
                <w:rFonts w:ascii="Arial Narrow" w:eastAsia="Times New Roman" w:hAnsi="Arial Narrow" w:cs="Calibri"/>
                <w:b/>
                <w:bCs/>
                <w:color w:val="FFFFFF"/>
                <w:sz w:val="22"/>
                <w:szCs w:val="22"/>
              </w:rPr>
            </w:pPr>
            <w:r w:rsidRPr="003C1D54">
              <w:rPr>
                <w:rFonts w:ascii="Arial Narrow" w:eastAsia="Times New Roman" w:hAnsi="Arial Narrow" w:cs="Calibri"/>
                <w:b/>
                <w:bCs/>
                <w:color w:val="FFFFFF"/>
                <w:sz w:val="22"/>
                <w:szCs w:val="22"/>
              </w:rPr>
              <w:t>Referencia</w:t>
            </w:r>
          </w:p>
        </w:tc>
      </w:tr>
      <w:tr w:rsidR="003C1D54" w:rsidRPr="006E5442" w14:paraId="48CC1005" w14:textId="77777777" w:rsidTr="0012299F">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E4ABD0A" w14:textId="77777777" w:rsidR="003C1D54" w:rsidRPr="003C1D54" w:rsidRDefault="003C1D54" w:rsidP="003C1D54">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4443143B" w14:textId="77777777" w:rsidR="003C1D54" w:rsidRPr="003C1D54" w:rsidRDefault="003C1D54" w:rsidP="003C1D54">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5C6BEEFA" w14:textId="77777777" w:rsidR="003C1D54" w:rsidRPr="003C1D54" w:rsidRDefault="003C1D54" w:rsidP="003C1D54">
            <w:pPr>
              <w:jc w:val="center"/>
              <w:rPr>
                <w:rFonts w:ascii="Arial Narrow" w:eastAsia="Times New Roman" w:hAnsi="Arial Narrow" w:cs="Calibri"/>
                <w:b/>
                <w:bCs/>
                <w:color w:val="FFFFFF"/>
                <w:sz w:val="22"/>
                <w:szCs w:val="22"/>
              </w:rPr>
            </w:pPr>
            <w:r w:rsidRPr="003C1D54">
              <w:rPr>
                <w:rFonts w:ascii="Arial Narrow" w:eastAsia="Times New Roman" w:hAnsi="Arial Narrow" w:cs="Calibri"/>
                <w:b/>
                <w:bCs/>
                <w:color w:val="FFFFFF"/>
                <w:sz w:val="22"/>
                <w:szCs w:val="22"/>
              </w:rPr>
              <w:t>Norma</w:t>
            </w:r>
          </w:p>
        </w:tc>
        <w:tc>
          <w:tcPr>
            <w:tcW w:w="1875" w:type="dxa"/>
            <w:tcBorders>
              <w:top w:val="nil"/>
              <w:left w:val="nil"/>
              <w:bottom w:val="nil"/>
              <w:right w:val="single" w:sz="8" w:space="0" w:color="auto"/>
            </w:tcBorders>
            <w:shd w:val="clear" w:color="000000" w:fill="203764"/>
            <w:vAlign w:val="center"/>
            <w:hideMark/>
          </w:tcPr>
          <w:p w14:paraId="33BBDAF7" w14:textId="77777777" w:rsidR="003C1D54" w:rsidRPr="003C1D54" w:rsidRDefault="003C1D54" w:rsidP="003C1D54">
            <w:pPr>
              <w:jc w:val="center"/>
              <w:rPr>
                <w:rFonts w:ascii="Arial Narrow" w:eastAsia="Times New Roman" w:hAnsi="Arial Narrow" w:cs="Calibri"/>
                <w:b/>
                <w:bCs/>
                <w:color w:val="FFFFFF"/>
                <w:sz w:val="22"/>
                <w:szCs w:val="22"/>
                <w:lang w:val="es-CR"/>
              </w:rPr>
            </w:pPr>
            <w:r w:rsidRPr="003C1D54">
              <w:rPr>
                <w:rFonts w:ascii="Arial Narrow" w:eastAsia="Times New Roman" w:hAnsi="Arial Narrow" w:cs="Calibri"/>
                <w:b/>
                <w:bCs/>
                <w:color w:val="FFFFFF"/>
                <w:sz w:val="22"/>
                <w:szCs w:val="22"/>
                <w:lang w:val="es-CR"/>
              </w:rPr>
              <w:t>Normativa técnica y disposiciones adicionales</w:t>
            </w:r>
          </w:p>
        </w:tc>
      </w:tr>
      <w:tr w:rsidR="003C1D54" w:rsidRPr="003C1D54" w14:paraId="271FF9D0" w14:textId="77777777" w:rsidTr="0012299F">
        <w:trPr>
          <w:trHeight w:val="850"/>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8F64EF" w14:textId="77777777" w:rsidR="003C1D54" w:rsidRPr="003C1D54" w:rsidRDefault="003C1D54" w:rsidP="003C1D54">
            <w:pPr>
              <w:jc w:val="center"/>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5</w:t>
            </w:r>
          </w:p>
        </w:tc>
        <w:tc>
          <w:tcPr>
            <w:tcW w:w="417" w:type="dxa"/>
            <w:tcBorders>
              <w:top w:val="single" w:sz="8" w:space="0" w:color="auto"/>
              <w:left w:val="nil"/>
              <w:bottom w:val="single" w:sz="8" w:space="0" w:color="auto"/>
              <w:right w:val="single" w:sz="8" w:space="0" w:color="auto"/>
            </w:tcBorders>
            <w:shd w:val="clear" w:color="auto" w:fill="auto"/>
            <w:noWrap/>
            <w:vAlign w:val="center"/>
            <w:hideMark/>
          </w:tcPr>
          <w:p w14:paraId="33200BDA" w14:textId="77777777" w:rsidR="003C1D54" w:rsidRPr="003C1D54" w:rsidRDefault="003C1D54" w:rsidP="003C1D54">
            <w:pPr>
              <w:jc w:val="center"/>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50</w:t>
            </w:r>
          </w:p>
        </w:tc>
        <w:tc>
          <w:tcPr>
            <w:tcW w:w="423" w:type="dxa"/>
            <w:tcBorders>
              <w:top w:val="single" w:sz="8" w:space="0" w:color="auto"/>
              <w:left w:val="nil"/>
              <w:bottom w:val="single" w:sz="8" w:space="0" w:color="auto"/>
              <w:right w:val="single" w:sz="8" w:space="0" w:color="auto"/>
            </w:tcBorders>
            <w:shd w:val="clear" w:color="auto" w:fill="auto"/>
            <w:vAlign w:val="center"/>
            <w:hideMark/>
          </w:tcPr>
          <w:p w14:paraId="6F737AAA" w14:textId="77777777" w:rsidR="003C1D54" w:rsidRPr="003C1D54" w:rsidRDefault="003C1D54" w:rsidP="003C1D54">
            <w:pPr>
              <w:jc w:val="center"/>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 xml:space="preserve"> </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3C35CF1C" w14:textId="77777777" w:rsidR="003C1D54" w:rsidRPr="003C1D54" w:rsidRDefault="003C1D54" w:rsidP="003C1D54">
            <w:pPr>
              <w:jc w:val="both"/>
              <w:rPr>
                <w:rFonts w:ascii="Arial Narrow" w:eastAsia="Times New Roman" w:hAnsi="Arial Narrow" w:cs="Calibri"/>
                <w:b/>
                <w:bCs/>
                <w:color w:val="000000"/>
                <w:sz w:val="22"/>
                <w:szCs w:val="22"/>
                <w:lang w:val="es-CR"/>
              </w:rPr>
            </w:pPr>
            <w:r w:rsidRPr="003C1D54">
              <w:rPr>
                <w:rFonts w:ascii="Arial Narrow" w:eastAsia="Times New Roman" w:hAnsi="Arial Narrow" w:cs="Calibri"/>
                <w:b/>
                <w:bCs/>
                <w:color w:val="000000"/>
                <w:sz w:val="22"/>
                <w:szCs w:val="22"/>
                <w:lang w:val="es-CR"/>
              </w:rPr>
              <w:t>Intereses, dividendos o distribuciones similares, pérdidas y ganancias de un instrumento financiero</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38CBCB99" w14:textId="77777777" w:rsidR="0012299F" w:rsidRDefault="003C1D54" w:rsidP="003C1D54">
            <w:pPr>
              <w:jc w:val="both"/>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NICSP N° 28</w:t>
            </w:r>
            <w:r w:rsidR="0012299F">
              <w:rPr>
                <w:rFonts w:ascii="Arial Narrow" w:eastAsia="Times New Roman" w:hAnsi="Arial Narrow" w:cs="Calibri"/>
                <w:b/>
                <w:bCs/>
                <w:color w:val="000000"/>
                <w:sz w:val="22"/>
                <w:szCs w:val="22"/>
              </w:rPr>
              <w:t>,</w:t>
            </w:r>
          </w:p>
          <w:p w14:paraId="775728AE" w14:textId="4A9E5FBE" w:rsidR="003C1D54" w:rsidRPr="003C1D54" w:rsidRDefault="003C1D54" w:rsidP="003C1D54">
            <w:pPr>
              <w:jc w:val="both"/>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Párrafos 40 y 41.</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14:paraId="65C08E4C" w14:textId="77777777" w:rsidR="003C1D54" w:rsidRPr="003C1D54" w:rsidRDefault="003C1D54" w:rsidP="003C1D54">
            <w:pPr>
              <w:jc w:val="center"/>
              <w:rPr>
                <w:rFonts w:ascii="Arial Narrow" w:eastAsia="Times New Roman" w:hAnsi="Arial Narrow" w:cs="Calibri"/>
                <w:b/>
                <w:bCs/>
                <w:color w:val="000000"/>
                <w:sz w:val="22"/>
                <w:szCs w:val="22"/>
              </w:rPr>
            </w:pPr>
            <w:r w:rsidRPr="003C1D54">
              <w:rPr>
                <w:rFonts w:ascii="Arial Narrow" w:eastAsia="Times New Roman" w:hAnsi="Arial Narrow" w:cs="Calibri"/>
                <w:b/>
                <w:bCs/>
                <w:color w:val="000000"/>
                <w:sz w:val="22"/>
                <w:szCs w:val="22"/>
              </w:rPr>
              <w:t xml:space="preserve"> </w:t>
            </w:r>
          </w:p>
        </w:tc>
      </w:tr>
    </w:tbl>
    <w:p w14:paraId="25A19989" w14:textId="77777777" w:rsidR="00E727B9" w:rsidRDefault="00E727B9" w:rsidP="0032280D">
      <w:pPr>
        <w:pStyle w:val="Default"/>
        <w:ind w:left="1134" w:hanging="1134"/>
        <w:jc w:val="both"/>
        <w:rPr>
          <w:sz w:val="23"/>
          <w:szCs w:val="23"/>
          <w:lang w:val="es-CR"/>
        </w:rPr>
      </w:pPr>
    </w:p>
    <w:p w14:paraId="534C6063" w14:textId="7AA11CC8" w:rsidR="0012299F" w:rsidRDefault="0012299F" w:rsidP="0012299F">
      <w:pPr>
        <w:pStyle w:val="Default"/>
        <w:ind w:left="1134" w:hanging="1134"/>
        <w:jc w:val="both"/>
        <w:rPr>
          <w:rFonts w:eastAsia="Arial"/>
          <w:b/>
          <w:sz w:val="22"/>
          <w:szCs w:val="22"/>
        </w:rPr>
      </w:pPr>
      <w:r w:rsidRPr="00F02F9D">
        <w:rPr>
          <w:rFonts w:eastAsia="Arial"/>
          <w:b/>
          <w:sz w:val="22"/>
          <w:szCs w:val="22"/>
        </w:rPr>
        <w:t>Política Contable</w:t>
      </w:r>
    </w:p>
    <w:p w14:paraId="6E5F2647" w14:textId="77777777" w:rsidR="0012299F" w:rsidRPr="00041A77" w:rsidRDefault="0012299F" w:rsidP="0032280D">
      <w:pPr>
        <w:pStyle w:val="Default"/>
        <w:ind w:left="1134" w:hanging="1134"/>
        <w:jc w:val="both"/>
        <w:rPr>
          <w:sz w:val="23"/>
          <w:szCs w:val="23"/>
          <w:lang w:val="es-CR"/>
        </w:rPr>
      </w:pPr>
    </w:p>
    <w:p w14:paraId="6AF6968D" w14:textId="5EEC3D06" w:rsidR="00E727B9" w:rsidRPr="003C1D54" w:rsidRDefault="003C1D54" w:rsidP="0032280D">
      <w:pPr>
        <w:pStyle w:val="Default"/>
        <w:ind w:left="1134" w:hanging="1134"/>
        <w:jc w:val="both"/>
        <w:rPr>
          <w:sz w:val="22"/>
          <w:szCs w:val="22"/>
          <w:lang w:val="es-CR"/>
        </w:rPr>
      </w:pPr>
      <w:r>
        <w:rPr>
          <w:sz w:val="22"/>
          <w:szCs w:val="22"/>
          <w:lang w:val="es-CR"/>
        </w:rPr>
        <w:t>5.50.0.01</w:t>
      </w:r>
      <w:r>
        <w:rPr>
          <w:sz w:val="22"/>
          <w:szCs w:val="22"/>
          <w:lang w:val="es-CR"/>
        </w:rPr>
        <w:tab/>
      </w:r>
      <w:r w:rsidRPr="003C1D54">
        <w:rPr>
          <w:sz w:val="22"/>
          <w:szCs w:val="22"/>
          <w:lang w:val="es-CR"/>
        </w:rPr>
        <w:t xml:space="preserve">Los intereses, dividendos o distribuciones similares, pérdidas y ganancias relativas a un instrumento financiero, se reconocerán como ingresos o gastos en el resultado, </w:t>
      </w:r>
      <w:r w:rsidR="0012299F" w:rsidRPr="003C1D54">
        <w:rPr>
          <w:sz w:val="22"/>
          <w:szCs w:val="22"/>
          <w:lang w:val="es-CR"/>
        </w:rPr>
        <w:t>de acuerdo con</w:t>
      </w:r>
      <w:r w:rsidRPr="003C1D54">
        <w:rPr>
          <w:sz w:val="22"/>
          <w:szCs w:val="22"/>
          <w:lang w:val="es-CR"/>
        </w:rPr>
        <w:t xml:space="preserve"> lo expuesto en el Capítulo de “Ingresos” del presente PGCN.</w:t>
      </w:r>
    </w:p>
    <w:p w14:paraId="74D7E2FC" w14:textId="77777777" w:rsidR="00E727B9" w:rsidRDefault="00E727B9" w:rsidP="0032280D">
      <w:pPr>
        <w:pStyle w:val="Default"/>
        <w:ind w:left="1134" w:hanging="1134"/>
        <w:jc w:val="both"/>
        <w:rPr>
          <w:sz w:val="23"/>
          <w:szCs w:val="23"/>
          <w:lang w:val="es-CR"/>
        </w:rPr>
      </w:pPr>
    </w:p>
    <w:p w14:paraId="70C00C11" w14:textId="77777777" w:rsidR="0012299F" w:rsidRDefault="0012299F" w:rsidP="0032280D">
      <w:pPr>
        <w:pStyle w:val="Default"/>
        <w:ind w:left="1134" w:hanging="1134"/>
        <w:jc w:val="both"/>
        <w:rPr>
          <w:sz w:val="23"/>
          <w:szCs w:val="23"/>
          <w:lang w:val="es-CR"/>
        </w:rPr>
      </w:pPr>
    </w:p>
    <w:p w14:paraId="6DE26268" w14:textId="77777777" w:rsidR="00C92C8E" w:rsidRDefault="00C92C8E" w:rsidP="0032280D">
      <w:pPr>
        <w:pStyle w:val="Default"/>
        <w:ind w:left="1134" w:hanging="1134"/>
        <w:jc w:val="both"/>
        <w:rPr>
          <w:sz w:val="23"/>
          <w:szCs w:val="23"/>
          <w:lang w:val="es-CR"/>
        </w:rPr>
      </w:pPr>
    </w:p>
    <w:p w14:paraId="77F303AF" w14:textId="1B415DF2" w:rsidR="00C92C8E" w:rsidRDefault="00C92C8E" w:rsidP="00C92C8E">
      <w:pPr>
        <w:pStyle w:val="Ttulo2"/>
        <w:ind w:left="284"/>
        <w:jc w:val="both"/>
        <w:rPr>
          <w:rFonts w:ascii="Arial" w:eastAsia="Arial" w:hAnsi="Arial" w:cs="Arial"/>
          <w:b/>
          <w:bCs/>
          <w:sz w:val="22"/>
          <w:szCs w:val="22"/>
          <w:lang w:val="es-CR"/>
        </w:rPr>
      </w:pPr>
      <w:bookmarkStart w:id="169" w:name="_Toc172726304"/>
      <w:r w:rsidRPr="00C92C8E">
        <w:rPr>
          <w:rFonts w:ascii="Arial" w:eastAsia="Arial" w:hAnsi="Arial" w:cs="Arial"/>
          <w:b/>
          <w:bCs/>
          <w:sz w:val="22"/>
          <w:szCs w:val="22"/>
          <w:lang w:val="es-CR"/>
        </w:rPr>
        <w:t>Diferencias de</w:t>
      </w:r>
      <w:r>
        <w:t xml:space="preserve"> </w:t>
      </w:r>
      <w:r w:rsidRPr="00C92C8E">
        <w:rPr>
          <w:rFonts w:ascii="Arial" w:eastAsia="Arial" w:hAnsi="Arial" w:cs="Arial"/>
          <w:b/>
          <w:bCs/>
          <w:sz w:val="22"/>
          <w:szCs w:val="22"/>
          <w:lang w:val="es-CR"/>
        </w:rPr>
        <w:t>Cambio</w:t>
      </w:r>
      <w:bookmarkEnd w:id="169"/>
    </w:p>
    <w:p w14:paraId="00C47349" w14:textId="77777777" w:rsidR="0012299F" w:rsidRPr="0012299F" w:rsidRDefault="0012299F" w:rsidP="0012299F">
      <w:pPr>
        <w:rPr>
          <w:lang w:val="es-CR"/>
        </w:rPr>
      </w:pPr>
    </w:p>
    <w:p w14:paraId="442BB1CF" w14:textId="77777777" w:rsidR="00E727B9" w:rsidRPr="00041A77" w:rsidRDefault="00E727B9" w:rsidP="0032280D">
      <w:pPr>
        <w:pStyle w:val="Default"/>
        <w:ind w:left="1134" w:hanging="1134"/>
        <w:jc w:val="both"/>
        <w:rPr>
          <w:sz w:val="23"/>
          <w:szCs w:val="23"/>
          <w:lang w:val="es-CR"/>
        </w:rPr>
      </w:pPr>
    </w:p>
    <w:tbl>
      <w:tblPr>
        <w:tblW w:w="9364" w:type="dxa"/>
        <w:tblLook w:val="04A0" w:firstRow="1" w:lastRow="0" w:firstColumn="1" w:lastColumn="0" w:noHBand="0" w:noVBand="1"/>
      </w:tblPr>
      <w:tblGrid>
        <w:gridCol w:w="416"/>
        <w:gridCol w:w="708"/>
        <w:gridCol w:w="563"/>
        <w:gridCol w:w="14"/>
        <w:gridCol w:w="3679"/>
        <w:gridCol w:w="14"/>
        <w:gridCol w:w="2109"/>
        <w:gridCol w:w="1844"/>
        <w:gridCol w:w="17"/>
      </w:tblGrid>
      <w:tr w:rsidR="00C92C8E" w:rsidRPr="00C92C8E" w14:paraId="4971A725" w14:textId="77777777" w:rsidTr="0012299F">
        <w:trPr>
          <w:trHeight w:val="300"/>
        </w:trPr>
        <w:tc>
          <w:tcPr>
            <w:tcW w:w="1701"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CCDA2D2" w14:textId="77777777" w:rsidR="00C92C8E" w:rsidRPr="00C92C8E" w:rsidRDefault="00C92C8E" w:rsidP="00C92C8E">
            <w:pPr>
              <w:jc w:val="center"/>
              <w:rPr>
                <w:rFonts w:ascii="Arial Narrow" w:eastAsia="Times New Roman" w:hAnsi="Arial Narrow" w:cs="Calibri"/>
                <w:b/>
                <w:bCs/>
                <w:color w:val="FFFFFF"/>
                <w:sz w:val="22"/>
                <w:szCs w:val="22"/>
              </w:rPr>
            </w:pPr>
            <w:r w:rsidRPr="00C92C8E">
              <w:rPr>
                <w:rFonts w:ascii="Arial Narrow" w:eastAsia="Times New Roman" w:hAnsi="Arial Narrow" w:cs="Calibri"/>
                <w:b/>
                <w:bCs/>
                <w:color w:val="FFFFFF"/>
                <w:sz w:val="22"/>
                <w:szCs w:val="22"/>
              </w:rPr>
              <w:t>Norma / Política</w:t>
            </w:r>
          </w:p>
        </w:tc>
        <w:tc>
          <w:tcPr>
            <w:tcW w:w="3693"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67EC1127" w14:textId="77777777" w:rsidR="00C92C8E" w:rsidRPr="00C92C8E" w:rsidRDefault="00C92C8E" w:rsidP="00C92C8E">
            <w:pPr>
              <w:jc w:val="center"/>
              <w:rPr>
                <w:rFonts w:ascii="Arial Narrow" w:eastAsia="Times New Roman" w:hAnsi="Arial Narrow" w:cs="Calibri"/>
                <w:b/>
                <w:bCs/>
                <w:color w:val="FFFFFF"/>
                <w:sz w:val="22"/>
                <w:szCs w:val="22"/>
              </w:rPr>
            </w:pPr>
            <w:r w:rsidRPr="00C92C8E">
              <w:rPr>
                <w:rFonts w:ascii="Arial Narrow" w:eastAsia="Times New Roman" w:hAnsi="Arial Narrow" w:cs="Calibri"/>
                <w:b/>
                <w:bCs/>
                <w:color w:val="FFFFFF"/>
                <w:sz w:val="22"/>
                <w:szCs w:val="22"/>
              </w:rPr>
              <w:t>Concepto</w:t>
            </w:r>
          </w:p>
        </w:tc>
        <w:tc>
          <w:tcPr>
            <w:tcW w:w="3970" w:type="dxa"/>
            <w:gridSpan w:val="3"/>
            <w:tcBorders>
              <w:top w:val="single" w:sz="8" w:space="0" w:color="auto"/>
              <w:left w:val="nil"/>
              <w:bottom w:val="single" w:sz="8" w:space="0" w:color="auto"/>
              <w:right w:val="single" w:sz="8" w:space="0" w:color="000000"/>
            </w:tcBorders>
            <w:shd w:val="clear" w:color="000000" w:fill="203764"/>
            <w:vAlign w:val="center"/>
            <w:hideMark/>
          </w:tcPr>
          <w:p w14:paraId="665AEE37" w14:textId="77777777" w:rsidR="00C92C8E" w:rsidRPr="00C92C8E" w:rsidRDefault="00C92C8E" w:rsidP="00C92C8E">
            <w:pPr>
              <w:jc w:val="center"/>
              <w:rPr>
                <w:rFonts w:ascii="Arial Narrow" w:eastAsia="Times New Roman" w:hAnsi="Arial Narrow" w:cs="Calibri"/>
                <w:b/>
                <w:bCs/>
                <w:color w:val="FFFFFF"/>
                <w:sz w:val="22"/>
                <w:szCs w:val="22"/>
              </w:rPr>
            </w:pPr>
            <w:r w:rsidRPr="00C92C8E">
              <w:rPr>
                <w:rFonts w:ascii="Arial Narrow" w:eastAsia="Times New Roman" w:hAnsi="Arial Narrow" w:cs="Calibri"/>
                <w:b/>
                <w:bCs/>
                <w:color w:val="FFFFFF"/>
                <w:sz w:val="22"/>
                <w:szCs w:val="22"/>
              </w:rPr>
              <w:t>Referencia</w:t>
            </w:r>
          </w:p>
        </w:tc>
      </w:tr>
      <w:tr w:rsidR="00C92C8E" w:rsidRPr="006E5442" w14:paraId="0D62CECD" w14:textId="77777777" w:rsidTr="0012299F">
        <w:trPr>
          <w:gridAfter w:val="1"/>
          <w:wAfter w:w="17" w:type="dxa"/>
          <w:trHeight w:val="850"/>
        </w:trPr>
        <w:tc>
          <w:tcPr>
            <w:tcW w:w="1701" w:type="dxa"/>
            <w:gridSpan w:val="4"/>
            <w:vMerge/>
            <w:tcBorders>
              <w:top w:val="single" w:sz="8" w:space="0" w:color="auto"/>
              <w:left w:val="single" w:sz="8" w:space="0" w:color="auto"/>
              <w:bottom w:val="nil"/>
              <w:right w:val="single" w:sz="8" w:space="0" w:color="000000"/>
            </w:tcBorders>
            <w:vAlign w:val="center"/>
            <w:hideMark/>
          </w:tcPr>
          <w:p w14:paraId="28261740" w14:textId="77777777" w:rsidR="00C92C8E" w:rsidRPr="00C92C8E" w:rsidRDefault="00C92C8E" w:rsidP="00C92C8E">
            <w:pPr>
              <w:rPr>
                <w:rFonts w:ascii="Arial Narrow" w:eastAsia="Times New Roman" w:hAnsi="Arial Narrow" w:cs="Calibri"/>
                <w:b/>
                <w:bCs/>
                <w:color w:val="FFFFFF"/>
                <w:sz w:val="22"/>
                <w:szCs w:val="22"/>
              </w:rPr>
            </w:pPr>
          </w:p>
        </w:tc>
        <w:tc>
          <w:tcPr>
            <w:tcW w:w="3693" w:type="dxa"/>
            <w:gridSpan w:val="2"/>
            <w:vMerge/>
            <w:tcBorders>
              <w:top w:val="single" w:sz="8" w:space="0" w:color="auto"/>
              <w:left w:val="single" w:sz="8" w:space="0" w:color="auto"/>
              <w:bottom w:val="nil"/>
              <w:right w:val="single" w:sz="8" w:space="0" w:color="auto"/>
            </w:tcBorders>
            <w:vAlign w:val="center"/>
            <w:hideMark/>
          </w:tcPr>
          <w:p w14:paraId="5856BFCD" w14:textId="77777777" w:rsidR="00C92C8E" w:rsidRPr="00C92C8E" w:rsidRDefault="00C92C8E" w:rsidP="00C92C8E">
            <w:pPr>
              <w:rPr>
                <w:rFonts w:ascii="Arial Narrow" w:eastAsia="Times New Roman" w:hAnsi="Arial Narrow" w:cs="Calibri"/>
                <w:b/>
                <w:bCs/>
                <w:color w:val="FFFFFF"/>
                <w:sz w:val="22"/>
                <w:szCs w:val="22"/>
              </w:rPr>
            </w:pPr>
          </w:p>
        </w:tc>
        <w:tc>
          <w:tcPr>
            <w:tcW w:w="2109" w:type="dxa"/>
            <w:tcBorders>
              <w:top w:val="nil"/>
              <w:left w:val="nil"/>
              <w:bottom w:val="nil"/>
              <w:right w:val="single" w:sz="8" w:space="0" w:color="auto"/>
            </w:tcBorders>
            <w:shd w:val="clear" w:color="000000" w:fill="203764"/>
            <w:vAlign w:val="center"/>
            <w:hideMark/>
          </w:tcPr>
          <w:p w14:paraId="1308F53D" w14:textId="77777777" w:rsidR="00C92C8E" w:rsidRPr="00C92C8E" w:rsidRDefault="00C92C8E" w:rsidP="00C92C8E">
            <w:pPr>
              <w:jc w:val="center"/>
              <w:rPr>
                <w:rFonts w:ascii="Arial Narrow" w:eastAsia="Times New Roman" w:hAnsi="Arial Narrow" w:cs="Calibri"/>
                <w:b/>
                <w:bCs/>
                <w:color w:val="FFFFFF"/>
                <w:sz w:val="22"/>
                <w:szCs w:val="22"/>
              </w:rPr>
            </w:pPr>
            <w:r w:rsidRPr="00C92C8E">
              <w:rPr>
                <w:rFonts w:ascii="Arial Narrow" w:eastAsia="Times New Roman" w:hAnsi="Arial Narrow" w:cs="Calibri"/>
                <w:b/>
                <w:bCs/>
                <w:color w:val="FFFFFF"/>
                <w:sz w:val="22"/>
                <w:szCs w:val="22"/>
              </w:rPr>
              <w:t>Norma</w:t>
            </w:r>
          </w:p>
        </w:tc>
        <w:tc>
          <w:tcPr>
            <w:tcW w:w="1844" w:type="dxa"/>
            <w:tcBorders>
              <w:top w:val="nil"/>
              <w:left w:val="nil"/>
              <w:bottom w:val="nil"/>
              <w:right w:val="single" w:sz="8" w:space="0" w:color="auto"/>
            </w:tcBorders>
            <w:shd w:val="clear" w:color="000000" w:fill="203764"/>
            <w:vAlign w:val="center"/>
            <w:hideMark/>
          </w:tcPr>
          <w:p w14:paraId="59B4EFDD" w14:textId="77777777" w:rsidR="00C92C8E" w:rsidRPr="00C92C8E" w:rsidRDefault="00C92C8E" w:rsidP="00C92C8E">
            <w:pPr>
              <w:jc w:val="center"/>
              <w:rPr>
                <w:rFonts w:ascii="Arial Narrow" w:eastAsia="Times New Roman" w:hAnsi="Arial Narrow" w:cs="Calibri"/>
                <w:b/>
                <w:bCs/>
                <w:color w:val="FFFFFF"/>
                <w:sz w:val="22"/>
                <w:szCs w:val="22"/>
                <w:lang w:val="es-CR"/>
              </w:rPr>
            </w:pPr>
            <w:r w:rsidRPr="00C92C8E">
              <w:rPr>
                <w:rFonts w:ascii="Arial Narrow" w:eastAsia="Times New Roman" w:hAnsi="Arial Narrow" w:cs="Calibri"/>
                <w:b/>
                <w:bCs/>
                <w:color w:val="FFFFFF"/>
                <w:sz w:val="22"/>
                <w:szCs w:val="22"/>
                <w:lang w:val="es-CR"/>
              </w:rPr>
              <w:t>Normativa técnica y disposiciones adicionales</w:t>
            </w:r>
          </w:p>
        </w:tc>
      </w:tr>
      <w:tr w:rsidR="00C92C8E" w:rsidRPr="00C92C8E" w14:paraId="7DB9D042" w14:textId="77777777" w:rsidTr="0012299F">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435F6"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10B6EDA5"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53</w:t>
            </w:r>
          </w:p>
        </w:tc>
        <w:tc>
          <w:tcPr>
            <w:tcW w:w="563" w:type="dxa"/>
            <w:tcBorders>
              <w:top w:val="single" w:sz="8" w:space="0" w:color="auto"/>
              <w:left w:val="nil"/>
              <w:bottom w:val="single" w:sz="8" w:space="0" w:color="auto"/>
              <w:right w:val="single" w:sz="8" w:space="0" w:color="auto"/>
            </w:tcBorders>
            <w:shd w:val="clear" w:color="auto" w:fill="auto"/>
            <w:vAlign w:val="center"/>
            <w:hideMark/>
          </w:tcPr>
          <w:p w14:paraId="54C78D29"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 xml:space="preserve"> </w:t>
            </w:r>
          </w:p>
        </w:tc>
        <w:tc>
          <w:tcPr>
            <w:tcW w:w="3693" w:type="dxa"/>
            <w:gridSpan w:val="2"/>
            <w:tcBorders>
              <w:top w:val="single" w:sz="8" w:space="0" w:color="auto"/>
              <w:left w:val="nil"/>
              <w:bottom w:val="single" w:sz="8" w:space="0" w:color="auto"/>
              <w:right w:val="single" w:sz="8" w:space="0" w:color="auto"/>
            </w:tcBorders>
            <w:shd w:val="clear" w:color="auto" w:fill="auto"/>
            <w:vAlign w:val="center"/>
            <w:hideMark/>
          </w:tcPr>
          <w:p w14:paraId="067F3CE8" w14:textId="77777777" w:rsidR="00C92C8E" w:rsidRP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Transacciones en moneda extranjera</w:t>
            </w:r>
          </w:p>
        </w:tc>
        <w:tc>
          <w:tcPr>
            <w:tcW w:w="2123" w:type="dxa"/>
            <w:gridSpan w:val="2"/>
            <w:tcBorders>
              <w:top w:val="single" w:sz="8" w:space="0" w:color="auto"/>
              <w:left w:val="nil"/>
              <w:bottom w:val="single" w:sz="8" w:space="0" w:color="auto"/>
              <w:right w:val="single" w:sz="8" w:space="0" w:color="auto"/>
            </w:tcBorders>
            <w:shd w:val="clear" w:color="auto" w:fill="auto"/>
            <w:vAlign w:val="center"/>
            <w:hideMark/>
          </w:tcPr>
          <w:p w14:paraId="31A53CB4" w14:textId="77777777" w:rsid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 xml:space="preserve">NICSP N° 4 </w:t>
            </w:r>
          </w:p>
          <w:p w14:paraId="5A50500B" w14:textId="359F0C3C" w:rsidR="00C92C8E" w:rsidRP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Párrafo 23.</w:t>
            </w:r>
          </w:p>
        </w:tc>
        <w:tc>
          <w:tcPr>
            <w:tcW w:w="1858" w:type="dxa"/>
            <w:gridSpan w:val="2"/>
            <w:tcBorders>
              <w:top w:val="single" w:sz="8" w:space="0" w:color="auto"/>
              <w:left w:val="nil"/>
              <w:bottom w:val="single" w:sz="8" w:space="0" w:color="auto"/>
              <w:right w:val="single" w:sz="8" w:space="0" w:color="auto"/>
            </w:tcBorders>
            <w:shd w:val="clear" w:color="auto" w:fill="auto"/>
            <w:vAlign w:val="center"/>
            <w:hideMark/>
          </w:tcPr>
          <w:p w14:paraId="561BA5F0"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 xml:space="preserve"> </w:t>
            </w:r>
          </w:p>
        </w:tc>
      </w:tr>
    </w:tbl>
    <w:p w14:paraId="5335F743" w14:textId="77777777" w:rsidR="00E727B9" w:rsidRDefault="00E727B9" w:rsidP="0032280D">
      <w:pPr>
        <w:pStyle w:val="Default"/>
        <w:ind w:left="1134" w:hanging="1134"/>
        <w:jc w:val="both"/>
        <w:rPr>
          <w:sz w:val="23"/>
          <w:szCs w:val="23"/>
          <w:lang w:val="es-CR"/>
        </w:rPr>
      </w:pPr>
    </w:p>
    <w:p w14:paraId="6C030C1F" w14:textId="77777777" w:rsidR="0012299F" w:rsidRDefault="0012299F" w:rsidP="0032280D">
      <w:pPr>
        <w:pStyle w:val="Default"/>
        <w:ind w:left="1134" w:hanging="1134"/>
        <w:jc w:val="both"/>
        <w:rPr>
          <w:sz w:val="23"/>
          <w:szCs w:val="23"/>
          <w:lang w:val="es-CR"/>
        </w:rPr>
      </w:pPr>
    </w:p>
    <w:p w14:paraId="049EEA5C" w14:textId="0DE1EB09" w:rsidR="0012299F" w:rsidRDefault="0012299F" w:rsidP="0012299F">
      <w:pPr>
        <w:pStyle w:val="Default"/>
        <w:ind w:left="1134" w:hanging="1134"/>
        <w:jc w:val="both"/>
        <w:rPr>
          <w:rFonts w:eastAsia="Arial"/>
          <w:b/>
          <w:sz w:val="22"/>
          <w:szCs w:val="22"/>
        </w:rPr>
      </w:pPr>
      <w:r w:rsidRPr="00F02F9D">
        <w:rPr>
          <w:rFonts w:eastAsia="Arial"/>
          <w:b/>
          <w:sz w:val="22"/>
          <w:szCs w:val="22"/>
        </w:rPr>
        <w:lastRenderedPageBreak/>
        <w:t>Política Contable</w:t>
      </w:r>
    </w:p>
    <w:p w14:paraId="35D9EE7C" w14:textId="77777777" w:rsidR="0012299F" w:rsidRPr="00041A77" w:rsidRDefault="0012299F" w:rsidP="0032280D">
      <w:pPr>
        <w:pStyle w:val="Default"/>
        <w:ind w:left="1134" w:hanging="1134"/>
        <w:jc w:val="both"/>
        <w:rPr>
          <w:sz w:val="23"/>
          <w:szCs w:val="23"/>
          <w:lang w:val="es-CR"/>
        </w:rPr>
      </w:pPr>
    </w:p>
    <w:p w14:paraId="4E557279" w14:textId="7C22C0D5" w:rsidR="00C92C8E" w:rsidRDefault="00C92C8E" w:rsidP="00C92C8E">
      <w:pPr>
        <w:pStyle w:val="Default"/>
        <w:ind w:left="1134" w:hanging="1134"/>
        <w:jc w:val="both"/>
        <w:rPr>
          <w:sz w:val="23"/>
          <w:szCs w:val="23"/>
          <w:lang w:val="es-CR"/>
        </w:rPr>
      </w:pPr>
      <w:r>
        <w:rPr>
          <w:sz w:val="23"/>
          <w:szCs w:val="23"/>
          <w:lang w:val="es-CR"/>
        </w:rPr>
        <w:t>5.53.0.01</w:t>
      </w:r>
      <w:r>
        <w:rPr>
          <w:sz w:val="23"/>
          <w:szCs w:val="23"/>
          <w:lang w:val="es-CR"/>
        </w:rPr>
        <w:tab/>
      </w:r>
      <w:r w:rsidRPr="00C92C8E">
        <w:rPr>
          <w:sz w:val="23"/>
          <w:szCs w:val="23"/>
          <w:lang w:val="es-CR"/>
        </w:rPr>
        <w:t xml:space="preserve">Una </w:t>
      </w:r>
      <w:r w:rsidRPr="00C92C8E">
        <w:rPr>
          <w:b/>
          <w:bCs/>
          <w:sz w:val="23"/>
          <w:szCs w:val="23"/>
          <w:lang w:val="es-CR"/>
        </w:rPr>
        <w:t xml:space="preserve">transacción en moneda extranjera </w:t>
      </w:r>
      <w:r w:rsidRPr="00C92C8E">
        <w:rPr>
          <w:sz w:val="23"/>
          <w:szCs w:val="23"/>
          <w:lang w:val="es-CR"/>
        </w:rPr>
        <w:t xml:space="preserve">es aquélla cuyo importe se denomina, o cuya liquidación se exige, en una moneda distinta de la funcional, entre las que se incluyen cuando una entidad: </w:t>
      </w:r>
    </w:p>
    <w:p w14:paraId="44418194" w14:textId="77777777" w:rsidR="00C92C8E" w:rsidRPr="00C92C8E" w:rsidRDefault="00C92C8E" w:rsidP="00C92C8E">
      <w:pPr>
        <w:pStyle w:val="Default"/>
        <w:ind w:left="1134" w:hanging="1134"/>
        <w:jc w:val="both"/>
        <w:rPr>
          <w:sz w:val="23"/>
          <w:szCs w:val="23"/>
          <w:lang w:val="es-CR"/>
        </w:rPr>
      </w:pPr>
    </w:p>
    <w:p w14:paraId="28E0C0DF" w14:textId="77777777" w:rsidR="00C92C8E" w:rsidRDefault="00C92C8E">
      <w:pPr>
        <w:pStyle w:val="Default"/>
        <w:numPr>
          <w:ilvl w:val="0"/>
          <w:numId w:val="305"/>
        </w:numPr>
        <w:spacing w:after="120"/>
        <w:ind w:left="1418" w:hanging="284"/>
        <w:jc w:val="both"/>
        <w:rPr>
          <w:sz w:val="23"/>
          <w:szCs w:val="23"/>
          <w:lang w:val="es-CR"/>
        </w:rPr>
      </w:pPr>
      <w:r>
        <w:rPr>
          <w:sz w:val="23"/>
          <w:szCs w:val="23"/>
          <w:lang w:val="es-CR"/>
        </w:rPr>
        <w:t>C</w:t>
      </w:r>
      <w:r w:rsidRPr="00C92C8E">
        <w:rPr>
          <w:sz w:val="23"/>
          <w:szCs w:val="23"/>
          <w:lang w:val="es-CR"/>
        </w:rPr>
        <w:t>ompra o vende bienes o servicios cuyo precio se establece en una moneda extranjera;</w:t>
      </w:r>
    </w:p>
    <w:p w14:paraId="3295F8CB" w14:textId="373C8C57" w:rsidR="00C92C8E" w:rsidRPr="00C92C8E" w:rsidRDefault="00C92C8E">
      <w:pPr>
        <w:pStyle w:val="Default"/>
        <w:numPr>
          <w:ilvl w:val="0"/>
          <w:numId w:val="305"/>
        </w:numPr>
        <w:spacing w:after="120"/>
        <w:ind w:left="1418" w:hanging="284"/>
        <w:jc w:val="both"/>
        <w:rPr>
          <w:sz w:val="23"/>
          <w:szCs w:val="23"/>
          <w:lang w:val="es-CR"/>
        </w:rPr>
      </w:pPr>
      <w:r w:rsidRPr="00C92C8E">
        <w:rPr>
          <w:sz w:val="23"/>
          <w:szCs w:val="23"/>
          <w:lang w:val="es-CR"/>
        </w:rPr>
        <w:t xml:space="preserve"> </w:t>
      </w:r>
      <w:r>
        <w:rPr>
          <w:sz w:val="23"/>
          <w:szCs w:val="23"/>
          <w:lang w:val="es-CR"/>
        </w:rPr>
        <w:t>P</w:t>
      </w:r>
      <w:r w:rsidRPr="00C92C8E">
        <w:rPr>
          <w:sz w:val="23"/>
          <w:szCs w:val="23"/>
          <w:lang w:val="es-CR"/>
        </w:rPr>
        <w:t xml:space="preserve">resta o toma prestados fondos, si los importes correspondientes se establecen a cobrar o pagar en una moneda extranjera; o </w:t>
      </w:r>
    </w:p>
    <w:p w14:paraId="3E764370" w14:textId="243E6D65" w:rsidR="00C92C8E" w:rsidRPr="00C92C8E" w:rsidRDefault="00C92C8E">
      <w:pPr>
        <w:pStyle w:val="Default"/>
        <w:numPr>
          <w:ilvl w:val="0"/>
          <w:numId w:val="305"/>
        </w:numPr>
        <w:ind w:left="1418" w:hanging="284"/>
        <w:jc w:val="both"/>
        <w:rPr>
          <w:sz w:val="23"/>
          <w:szCs w:val="23"/>
          <w:lang w:val="es-CR"/>
        </w:rPr>
      </w:pPr>
      <w:r>
        <w:rPr>
          <w:sz w:val="23"/>
          <w:szCs w:val="23"/>
          <w:lang w:val="es-CR"/>
        </w:rPr>
        <w:t>A</w:t>
      </w:r>
      <w:r w:rsidRPr="00C92C8E">
        <w:rPr>
          <w:sz w:val="23"/>
          <w:szCs w:val="23"/>
          <w:lang w:val="es-CR"/>
        </w:rPr>
        <w:t xml:space="preserve">dquiere o dispone de activos, o bien toma o liquida pasivos, en transacciones pactadas en moneda extranjera. </w:t>
      </w:r>
    </w:p>
    <w:p w14:paraId="03325487" w14:textId="77777777" w:rsidR="00E727B9" w:rsidRDefault="00E727B9" w:rsidP="0032280D">
      <w:pPr>
        <w:pStyle w:val="Default"/>
        <w:ind w:left="1134" w:hanging="1134"/>
        <w:jc w:val="both"/>
        <w:rPr>
          <w:sz w:val="23"/>
          <w:szCs w:val="23"/>
          <w:lang w:val="es-CR"/>
        </w:rPr>
      </w:pPr>
    </w:p>
    <w:p w14:paraId="0E700795" w14:textId="77777777" w:rsidR="0012299F" w:rsidRPr="00041A77" w:rsidRDefault="0012299F" w:rsidP="0032280D">
      <w:pPr>
        <w:pStyle w:val="Default"/>
        <w:ind w:left="1134" w:hanging="1134"/>
        <w:jc w:val="both"/>
        <w:rPr>
          <w:sz w:val="23"/>
          <w:szCs w:val="23"/>
          <w:lang w:val="es-CR"/>
        </w:rPr>
      </w:pPr>
    </w:p>
    <w:p w14:paraId="31EA335C" w14:textId="77777777" w:rsidR="00E727B9" w:rsidRPr="00041A77" w:rsidRDefault="00E727B9" w:rsidP="0032280D">
      <w:pPr>
        <w:pStyle w:val="Default"/>
        <w:ind w:left="1134" w:hanging="1134"/>
        <w:jc w:val="both"/>
        <w:rPr>
          <w:sz w:val="23"/>
          <w:szCs w:val="23"/>
          <w:lang w:val="es-CR"/>
        </w:rPr>
      </w:pPr>
    </w:p>
    <w:tbl>
      <w:tblPr>
        <w:tblW w:w="9346" w:type="dxa"/>
        <w:tblLook w:val="04A0" w:firstRow="1" w:lastRow="0" w:firstColumn="1" w:lastColumn="0" w:noHBand="0" w:noVBand="1"/>
      </w:tblPr>
      <w:tblGrid>
        <w:gridCol w:w="416"/>
        <w:gridCol w:w="708"/>
        <w:gridCol w:w="426"/>
        <w:gridCol w:w="3694"/>
        <w:gridCol w:w="2249"/>
        <w:gridCol w:w="1853"/>
      </w:tblGrid>
      <w:tr w:rsidR="00C92C8E" w:rsidRPr="00C92C8E" w14:paraId="3BFCEA69" w14:textId="77777777" w:rsidTr="0012299F">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37BFE96" w14:textId="77777777" w:rsidR="00C92C8E" w:rsidRPr="00C92C8E" w:rsidRDefault="00C92C8E" w:rsidP="00C92C8E">
            <w:pPr>
              <w:jc w:val="center"/>
              <w:rPr>
                <w:rFonts w:ascii="Arial Narrow" w:eastAsia="Times New Roman" w:hAnsi="Arial Narrow" w:cs="Calibri"/>
                <w:b/>
                <w:bCs/>
                <w:color w:val="FFFFFF"/>
                <w:sz w:val="22"/>
                <w:szCs w:val="22"/>
              </w:rPr>
            </w:pPr>
            <w:r w:rsidRPr="00C92C8E">
              <w:rPr>
                <w:rFonts w:ascii="Arial Narrow" w:eastAsia="Times New Roman" w:hAnsi="Arial Narrow" w:cs="Calibri"/>
                <w:b/>
                <w:bCs/>
                <w:color w:val="FFFFFF"/>
                <w:sz w:val="22"/>
                <w:szCs w:val="22"/>
              </w:rPr>
              <w:t>Norma / Política</w:t>
            </w:r>
          </w:p>
        </w:tc>
        <w:tc>
          <w:tcPr>
            <w:tcW w:w="3694" w:type="dxa"/>
            <w:vMerge w:val="restart"/>
            <w:tcBorders>
              <w:top w:val="single" w:sz="8" w:space="0" w:color="auto"/>
              <w:left w:val="single" w:sz="8" w:space="0" w:color="auto"/>
              <w:bottom w:val="nil"/>
              <w:right w:val="single" w:sz="8" w:space="0" w:color="auto"/>
            </w:tcBorders>
            <w:shd w:val="clear" w:color="000000" w:fill="203764"/>
            <w:vAlign w:val="center"/>
            <w:hideMark/>
          </w:tcPr>
          <w:p w14:paraId="36E27F0F" w14:textId="77777777" w:rsidR="00C92C8E" w:rsidRPr="00C92C8E" w:rsidRDefault="00C92C8E" w:rsidP="00C92C8E">
            <w:pPr>
              <w:jc w:val="center"/>
              <w:rPr>
                <w:rFonts w:ascii="Arial Narrow" w:eastAsia="Times New Roman" w:hAnsi="Arial Narrow" w:cs="Calibri"/>
                <w:b/>
                <w:bCs/>
                <w:color w:val="FFFFFF"/>
                <w:sz w:val="22"/>
                <w:szCs w:val="22"/>
              </w:rPr>
            </w:pPr>
            <w:r w:rsidRPr="00C92C8E">
              <w:rPr>
                <w:rFonts w:ascii="Arial Narrow" w:eastAsia="Times New Roman" w:hAnsi="Arial Narrow" w:cs="Calibri"/>
                <w:b/>
                <w:bCs/>
                <w:color w:val="FFFFFF"/>
                <w:sz w:val="22"/>
                <w:szCs w:val="22"/>
              </w:rPr>
              <w:t>Concepto</w:t>
            </w:r>
          </w:p>
        </w:tc>
        <w:tc>
          <w:tcPr>
            <w:tcW w:w="4102" w:type="dxa"/>
            <w:gridSpan w:val="2"/>
            <w:tcBorders>
              <w:top w:val="single" w:sz="8" w:space="0" w:color="auto"/>
              <w:left w:val="nil"/>
              <w:bottom w:val="single" w:sz="8" w:space="0" w:color="auto"/>
              <w:right w:val="single" w:sz="8" w:space="0" w:color="000000"/>
            </w:tcBorders>
            <w:shd w:val="clear" w:color="000000" w:fill="203764"/>
            <w:vAlign w:val="center"/>
            <w:hideMark/>
          </w:tcPr>
          <w:p w14:paraId="2A312FA1" w14:textId="77777777" w:rsidR="00C92C8E" w:rsidRPr="00C92C8E" w:rsidRDefault="00C92C8E" w:rsidP="00C92C8E">
            <w:pPr>
              <w:jc w:val="center"/>
              <w:rPr>
                <w:rFonts w:ascii="Arial Narrow" w:eastAsia="Times New Roman" w:hAnsi="Arial Narrow" w:cs="Calibri"/>
                <w:b/>
                <w:bCs/>
                <w:color w:val="FFFFFF"/>
                <w:sz w:val="22"/>
                <w:szCs w:val="22"/>
              </w:rPr>
            </w:pPr>
            <w:r w:rsidRPr="00C92C8E">
              <w:rPr>
                <w:rFonts w:ascii="Arial Narrow" w:eastAsia="Times New Roman" w:hAnsi="Arial Narrow" w:cs="Calibri"/>
                <w:b/>
                <w:bCs/>
                <w:color w:val="FFFFFF"/>
                <w:sz w:val="22"/>
                <w:szCs w:val="22"/>
              </w:rPr>
              <w:t>Referencia</w:t>
            </w:r>
          </w:p>
        </w:tc>
      </w:tr>
      <w:tr w:rsidR="00C92C8E" w:rsidRPr="006E5442" w14:paraId="43A39B42" w14:textId="77777777" w:rsidTr="0012299F">
        <w:trPr>
          <w:trHeight w:val="1320"/>
        </w:trPr>
        <w:tc>
          <w:tcPr>
            <w:tcW w:w="1550" w:type="dxa"/>
            <w:gridSpan w:val="3"/>
            <w:vMerge/>
            <w:tcBorders>
              <w:top w:val="single" w:sz="8" w:space="0" w:color="auto"/>
              <w:left w:val="single" w:sz="8" w:space="0" w:color="auto"/>
              <w:bottom w:val="nil"/>
              <w:right w:val="single" w:sz="8" w:space="0" w:color="000000"/>
            </w:tcBorders>
            <w:vAlign w:val="center"/>
            <w:hideMark/>
          </w:tcPr>
          <w:p w14:paraId="70B99D73" w14:textId="77777777" w:rsidR="00C92C8E" w:rsidRPr="00C92C8E" w:rsidRDefault="00C92C8E" w:rsidP="00C92C8E">
            <w:pPr>
              <w:rPr>
                <w:rFonts w:ascii="Arial Narrow" w:eastAsia="Times New Roman" w:hAnsi="Arial Narrow" w:cs="Calibri"/>
                <w:b/>
                <w:bCs/>
                <w:color w:val="FFFFFF"/>
                <w:sz w:val="22"/>
                <w:szCs w:val="22"/>
              </w:rPr>
            </w:pPr>
          </w:p>
        </w:tc>
        <w:tc>
          <w:tcPr>
            <w:tcW w:w="3694" w:type="dxa"/>
            <w:vMerge/>
            <w:tcBorders>
              <w:top w:val="single" w:sz="8" w:space="0" w:color="auto"/>
              <w:left w:val="single" w:sz="8" w:space="0" w:color="auto"/>
              <w:bottom w:val="nil"/>
              <w:right w:val="single" w:sz="8" w:space="0" w:color="auto"/>
            </w:tcBorders>
            <w:vAlign w:val="center"/>
            <w:hideMark/>
          </w:tcPr>
          <w:p w14:paraId="1BDA46C8" w14:textId="77777777" w:rsidR="00C92C8E" w:rsidRPr="00C92C8E" w:rsidRDefault="00C92C8E" w:rsidP="00C92C8E">
            <w:pPr>
              <w:rPr>
                <w:rFonts w:ascii="Arial Narrow" w:eastAsia="Times New Roman" w:hAnsi="Arial Narrow" w:cs="Calibri"/>
                <w:b/>
                <w:bCs/>
                <w:color w:val="FFFFFF"/>
                <w:sz w:val="22"/>
                <w:szCs w:val="22"/>
              </w:rPr>
            </w:pPr>
          </w:p>
        </w:tc>
        <w:tc>
          <w:tcPr>
            <w:tcW w:w="2249" w:type="dxa"/>
            <w:tcBorders>
              <w:top w:val="nil"/>
              <w:left w:val="nil"/>
              <w:bottom w:val="nil"/>
              <w:right w:val="single" w:sz="8" w:space="0" w:color="auto"/>
            </w:tcBorders>
            <w:shd w:val="clear" w:color="000000" w:fill="203764"/>
            <w:vAlign w:val="center"/>
            <w:hideMark/>
          </w:tcPr>
          <w:p w14:paraId="1FDA1FD4" w14:textId="77777777" w:rsidR="00C92C8E" w:rsidRPr="00C92C8E" w:rsidRDefault="00C92C8E" w:rsidP="00C92C8E">
            <w:pPr>
              <w:jc w:val="center"/>
              <w:rPr>
                <w:rFonts w:ascii="Arial Narrow" w:eastAsia="Times New Roman" w:hAnsi="Arial Narrow" w:cs="Calibri"/>
                <w:b/>
                <w:bCs/>
                <w:color w:val="FFFFFF"/>
                <w:sz w:val="22"/>
                <w:szCs w:val="22"/>
              </w:rPr>
            </w:pPr>
            <w:r w:rsidRPr="00C92C8E">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0E03D233" w14:textId="77777777" w:rsidR="00C92C8E" w:rsidRPr="00C92C8E" w:rsidRDefault="00C92C8E" w:rsidP="00C92C8E">
            <w:pPr>
              <w:jc w:val="center"/>
              <w:rPr>
                <w:rFonts w:ascii="Arial Narrow" w:eastAsia="Times New Roman" w:hAnsi="Arial Narrow" w:cs="Calibri"/>
                <w:b/>
                <w:bCs/>
                <w:color w:val="FFFFFF"/>
                <w:sz w:val="22"/>
                <w:szCs w:val="22"/>
                <w:lang w:val="es-CR"/>
              </w:rPr>
            </w:pPr>
            <w:r w:rsidRPr="00C92C8E">
              <w:rPr>
                <w:rFonts w:ascii="Arial Narrow" w:eastAsia="Times New Roman" w:hAnsi="Arial Narrow" w:cs="Calibri"/>
                <w:b/>
                <w:bCs/>
                <w:color w:val="FFFFFF"/>
                <w:sz w:val="22"/>
                <w:szCs w:val="22"/>
                <w:lang w:val="es-CR"/>
              </w:rPr>
              <w:t>Normativa técnica y disposiciones adicionales</w:t>
            </w:r>
          </w:p>
        </w:tc>
      </w:tr>
      <w:tr w:rsidR="00C92C8E" w:rsidRPr="00C92C8E" w14:paraId="31F8D2C7" w14:textId="77777777" w:rsidTr="0012299F">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81DAC"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EE7427F"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54</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8EEFB72"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 </w:t>
            </w:r>
          </w:p>
        </w:tc>
        <w:tc>
          <w:tcPr>
            <w:tcW w:w="3694" w:type="dxa"/>
            <w:tcBorders>
              <w:top w:val="single" w:sz="8" w:space="0" w:color="auto"/>
              <w:left w:val="nil"/>
              <w:bottom w:val="single" w:sz="8" w:space="0" w:color="auto"/>
              <w:right w:val="single" w:sz="8" w:space="0" w:color="auto"/>
            </w:tcBorders>
            <w:shd w:val="clear" w:color="auto" w:fill="auto"/>
            <w:vAlign w:val="center"/>
            <w:hideMark/>
          </w:tcPr>
          <w:p w14:paraId="3331212D" w14:textId="77777777" w:rsidR="00C92C8E" w:rsidRP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Reconocimiento inicial</w:t>
            </w:r>
          </w:p>
        </w:tc>
        <w:tc>
          <w:tcPr>
            <w:tcW w:w="2249" w:type="dxa"/>
            <w:tcBorders>
              <w:top w:val="single" w:sz="8" w:space="0" w:color="auto"/>
              <w:left w:val="nil"/>
              <w:bottom w:val="single" w:sz="8" w:space="0" w:color="auto"/>
              <w:right w:val="single" w:sz="8" w:space="0" w:color="auto"/>
            </w:tcBorders>
            <w:shd w:val="clear" w:color="auto" w:fill="auto"/>
            <w:vAlign w:val="center"/>
            <w:hideMark/>
          </w:tcPr>
          <w:p w14:paraId="0EB79C82" w14:textId="77777777" w:rsid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NICSP N° 4,</w:t>
            </w:r>
          </w:p>
          <w:p w14:paraId="7ED2903D" w14:textId="233DA38A" w:rsidR="00C92C8E" w:rsidRP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Párrafo 24.</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6EF46CA4" w14:textId="77777777" w:rsidR="00C92C8E" w:rsidRPr="00C92C8E" w:rsidRDefault="00C92C8E" w:rsidP="00C92C8E">
            <w:pP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 xml:space="preserve"> </w:t>
            </w:r>
          </w:p>
        </w:tc>
      </w:tr>
      <w:tr w:rsidR="00C92C8E" w:rsidRPr="00C92C8E" w14:paraId="604C0618" w14:textId="77777777" w:rsidTr="0012299F">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1BAF83B"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5</w:t>
            </w:r>
          </w:p>
        </w:tc>
        <w:tc>
          <w:tcPr>
            <w:tcW w:w="708" w:type="dxa"/>
            <w:tcBorders>
              <w:top w:val="nil"/>
              <w:left w:val="nil"/>
              <w:bottom w:val="single" w:sz="8" w:space="0" w:color="auto"/>
              <w:right w:val="single" w:sz="8" w:space="0" w:color="auto"/>
            </w:tcBorders>
            <w:shd w:val="clear" w:color="auto" w:fill="auto"/>
            <w:noWrap/>
            <w:vAlign w:val="center"/>
            <w:hideMark/>
          </w:tcPr>
          <w:p w14:paraId="6CD1C466"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54</w:t>
            </w:r>
          </w:p>
        </w:tc>
        <w:tc>
          <w:tcPr>
            <w:tcW w:w="426" w:type="dxa"/>
            <w:tcBorders>
              <w:top w:val="nil"/>
              <w:left w:val="nil"/>
              <w:bottom w:val="single" w:sz="8" w:space="0" w:color="auto"/>
              <w:right w:val="single" w:sz="8" w:space="0" w:color="auto"/>
            </w:tcBorders>
            <w:shd w:val="clear" w:color="auto" w:fill="auto"/>
            <w:vAlign w:val="center"/>
            <w:hideMark/>
          </w:tcPr>
          <w:p w14:paraId="46687C82"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1</w:t>
            </w:r>
          </w:p>
        </w:tc>
        <w:tc>
          <w:tcPr>
            <w:tcW w:w="3694" w:type="dxa"/>
            <w:tcBorders>
              <w:top w:val="nil"/>
              <w:left w:val="nil"/>
              <w:bottom w:val="single" w:sz="8" w:space="0" w:color="auto"/>
              <w:right w:val="single" w:sz="8" w:space="0" w:color="auto"/>
            </w:tcBorders>
            <w:shd w:val="clear" w:color="auto" w:fill="auto"/>
            <w:vAlign w:val="center"/>
            <w:hideMark/>
          </w:tcPr>
          <w:p w14:paraId="317D6005" w14:textId="77777777" w:rsidR="00C92C8E" w:rsidRP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Fecha de transacción</w:t>
            </w:r>
          </w:p>
        </w:tc>
        <w:tc>
          <w:tcPr>
            <w:tcW w:w="2249" w:type="dxa"/>
            <w:tcBorders>
              <w:top w:val="nil"/>
              <w:left w:val="nil"/>
              <w:bottom w:val="single" w:sz="8" w:space="0" w:color="auto"/>
              <w:right w:val="single" w:sz="8" w:space="0" w:color="auto"/>
            </w:tcBorders>
            <w:shd w:val="clear" w:color="auto" w:fill="auto"/>
            <w:vAlign w:val="center"/>
            <w:hideMark/>
          </w:tcPr>
          <w:p w14:paraId="53116131" w14:textId="77777777" w:rsid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NICSP N° 4,</w:t>
            </w:r>
          </w:p>
          <w:p w14:paraId="31D95CA9" w14:textId="3E580DAC" w:rsidR="00C92C8E" w:rsidRP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Párrafo 25,</w:t>
            </w:r>
          </w:p>
        </w:tc>
        <w:tc>
          <w:tcPr>
            <w:tcW w:w="1853" w:type="dxa"/>
            <w:tcBorders>
              <w:top w:val="nil"/>
              <w:left w:val="nil"/>
              <w:bottom w:val="single" w:sz="8" w:space="0" w:color="auto"/>
              <w:right w:val="single" w:sz="8" w:space="0" w:color="auto"/>
            </w:tcBorders>
            <w:shd w:val="clear" w:color="auto" w:fill="auto"/>
            <w:vAlign w:val="center"/>
            <w:hideMark/>
          </w:tcPr>
          <w:p w14:paraId="7AC485C0" w14:textId="77777777" w:rsidR="00C92C8E" w:rsidRPr="00C92C8E" w:rsidRDefault="00C92C8E" w:rsidP="00C92C8E">
            <w:pP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 xml:space="preserve"> </w:t>
            </w:r>
          </w:p>
        </w:tc>
      </w:tr>
      <w:tr w:rsidR="00C92C8E" w:rsidRPr="00C92C8E" w14:paraId="46A5E008" w14:textId="77777777" w:rsidTr="0012299F">
        <w:trPr>
          <w:trHeight w:val="85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F929D8F"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5</w:t>
            </w:r>
          </w:p>
        </w:tc>
        <w:tc>
          <w:tcPr>
            <w:tcW w:w="708" w:type="dxa"/>
            <w:tcBorders>
              <w:top w:val="nil"/>
              <w:left w:val="nil"/>
              <w:bottom w:val="single" w:sz="8" w:space="0" w:color="auto"/>
              <w:right w:val="single" w:sz="8" w:space="0" w:color="auto"/>
            </w:tcBorders>
            <w:shd w:val="clear" w:color="auto" w:fill="auto"/>
            <w:noWrap/>
            <w:vAlign w:val="center"/>
            <w:hideMark/>
          </w:tcPr>
          <w:p w14:paraId="16B364CC"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54</w:t>
            </w:r>
          </w:p>
        </w:tc>
        <w:tc>
          <w:tcPr>
            <w:tcW w:w="426" w:type="dxa"/>
            <w:tcBorders>
              <w:top w:val="nil"/>
              <w:left w:val="nil"/>
              <w:bottom w:val="single" w:sz="8" w:space="0" w:color="auto"/>
              <w:right w:val="single" w:sz="8" w:space="0" w:color="auto"/>
            </w:tcBorders>
            <w:shd w:val="clear" w:color="auto" w:fill="auto"/>
            <w:vAlign w:val="center"/>
            <w:hideMark/>
          </w:tcPr>
          <w:p w14:paraId="7B2EA485" w14:textId="77777777" w:rsidR="00C92C8E" w:rsidRPr="00C92C8E" w:rsidRDefault="00C92C8E" w:rsidP="00C92C8E">
            <w:pPr>
              <w:jc w:val="cente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2</w:t>
            </w:r>
          </w:p>
        </w:tc>
        <w:tc>
          <w:tcPr>
            <w:tcW w:w="3694" w:type="dxa"/>
            <w:tcBorders>
              <w:top w:val="nil"/>
              <w:left w:val="nil"/>
              <w:bottom w:val="single" w:sz="8" w:space="0" w:color="auto"/>
              <w:right w:val="single" w:sz="8" w:space="0" w:color="auto"/>
            </w:tcBorders>
            <w:shd w:val="clear" w:color="auto" w:fill="auto"/>
            <w:vAlign w:val="center"/>
            <w:hideMark/>
          </w:tcPr>
          <w:p w14:paraId="476A8E48" w14:textId="77777777" w:rsidR="00C92C8E" w:rsidRPr="00C92C8E" w:rsidRDefault="00C92C8E" w:rsidP="00C92C8E">
            <w:pPr>
              <w:jc w:val="both"/>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Tasa de cambio</w:t>
            </w:r>
          </w:p>
        </w:tc>
        <w:tc>
          <w:tcPr>
            <w:tcW w:w="2249" w:type="dxa"/>
            <w:tcBorders>
              <w:top w:val="nil"/>
              <w:left w:val="nil"/>
              <w:bottom w:val="single" w:sz="8" w:space="0" w:color="auto"/>
              <w:right w:val="single" w:sz="8" w:space="0" w:color="auto"/>
            </w:tcBorders>
            <w:shd w:val="clear" w:color="auto" w:fill="auto"/>
            <w:vAlign w:val="center"/>
            <w:hideMark/>
          </w:tcPr>
          <w:p w14:paraId="5C34648F" w14:textId="77777777" w:rsidR="00C92C8E" w:rsidRDefault="00C92C8E" w:rsidP="00C92C8E">
            <w:pPr>
              <w:jc w:val="both"/>
              <w:rPr>
                <w:rFonts w:ascii="Arial Narrow" w:eastAsia="Times New Roman" w:hAnsi="Arial Narrow" w:cs="Calibri"/>
                <w:b/>
                <w:bCs/>
                <w:color w:val="000000"/>
                <w:sz w:val="22"/>
                <w:szCs w:val="22"/>
                <w:lang w:val="es-CR"/>
              </w:rPr>
            </w:pPr>
            <w:r w:rsidRPr="00C92C8E">
              <w:rPr>
                <w:rFonts w:ascii="Arial Narrow" w:eastAsia="Times New Roman" w:hAnsi="Arial Narrow" w:cs="Calibri"/>
                <w:b/>
                <w:bCs/>
                <w:color w:val="000000"/>
                <w:sz w:val="22"/>
                <w:szCs w:val="22"/>
                <w:lang w:val="es-CR"/>
              </w:rPr>
              <w:t xml:space="preserve">NICSP N° 2. </w:t>
            </w:r>
          </w:p>
          <w:p w14:paraId="7D600C04" w14:textId="77777777" w:rsidR="00C92C8E" w:rsidRDefault="00C92C8E" w:rsidP="00C92C8E">
            <w:pPr>
              <w:jc w:val="both"/>
              <w:rPr>
                <w:rFonts w:ascii="Arial Narrow" w:eastAsia="Times New Roman" w:hAnsi="Arial Narrow" w:cs="Calibri"/>
                <w:b/>
                <w:bCs/>
                <w:color w:val="000000"/>
                <w:sz w:val="22"/>
                <w:szCs w:val="22"/>
                <w:lang w:val="es-CR"/>
              </w:rPr>
            </w:pPr>
            <w:r w:rsidRPr="00C92C8E">
              <w:rPr>
                <w:rFonts w:ascii="Arial Narrow" w:eastAsia="Times New Roman" w:hAnsi="Arial Narrow" w:cs="Calibri"/>
                <w:b/>
                <w:bCs/>
                <w:color w:val="000000"/>
                <w:sz w:val="22"/>
                <w:szCs w:val="22"/>
                <w:lang w:val="es-CR"/>
              </w:rPr>
              <w:t>Párrafo 36.</w:t>
            </w:r>
          </w:p>
          <w:p w14:paraId="684CFA22" w14:textId="77777777" w:rsidR="00C92C8E" w:rsidRDefault="00C92C8E" w:rsidP="00C92C8E">
            <w:pPr>
              <w:jc w:val="both"/>
              <w:rPr>
                <w:rFonts w:ascii="Arial Narrow" w:eastAsia="Times New Roman" w:hAnsi="Arial Narrow" w:cs="Calibri"/>
                <w:b/>
                <w:bCs/>
                <w:color w:val="000000"/>
                <w:sz w:val="22"/>
                <w:szCs w:val="22"/>
                <w:lang w:val="es-CR"/>
              </w:rPr>
            </w:pPr>
            <w:r w:rsidRPr="00C92C8E">
              <w:rPr>
                <w:rFonts w:ascii="Arial Narrow" w:eastAsia="Times New Roman" w:hAnsi="Arial Narrow" w:cs="Calibri"/>
                <w:b/>
                <w:bCs/>
                <w:color w:val="000000"/>
                <w:sz w:val="22"/>
                <w:szCs w:val="22"/>
                <w:lang w:val="es-CR"/>
              </w:rPr>
              <w:t>NICSP N° 4,</w:t>
            </w:r>
          </w:p>
          <w:p w14:paraId="5DE145AF" w14:textId="42DB0B4A" w:rsidR="00C92C8E" w:rsidRPr="00C92C8E" w:rsidRDefault="00C92C8E" w:rsidP="00C92C8E">
            <w:pPr>
              <w:jc w:val="both"/>
              <w:rPr>
                <w:rFonts w:ascii="Arial Narrow" w:eastAsia="Times New Roman" w:hAnsi="Arial Narrow" w:cs="Calibri"/>
                <w:b/>
                <w:bCs/>
                <w:color w:val="000000"/>
                <w:sz w:val="22"/>
                <w:szCs w:val="22"/>
                <w:lang w:val="es-CR"/>
              </w:rPr>
            </w:pPr>
            <w:r w:rsidRPr="00C92C8E">
              <w:rPr>
                <w:rFonts w:ascii="Arial Narrow" w:eastAsia="Times New Roman" w:hAnsi="Arial Narrow" w:cs="Calibri"/>
                <w:b/>
                <w:bCs/>
                <w:color w:val="000000"/>
                <w:sz w:val="22"/>
                <w:szCs w:val="22"/>
                <w:lang w:val="es-CR"/>
              </w:rPr>
              <w:t>Párrafo 25.</w:t>
            </w:r>
          </w:p>
        </w:tc>
        <w:tc>
          <w:tcPr>
            <w:tcW w:w="1853" w:type="dxa"/>
            <w:tcBorders>
              <w:top w:val="nil"/>
              <w:left w:val="nil"/>
              <w:bottom w:val="single" w:sz="8" w:space="0" w:color="auto"/>
              <w:right w:val="single" w:sz="8" w:space="0" w:color="auto"/>
            </w:tcBorders>
            <w:shd w:val="clear" w:color="auto" w:fill="auto"/>
            <w:vAlign w:val="center"/>
            <w:hideMark/>
          </w:tcPr>
          <w:p w14:paraId="263B2923" w14:textId="77777777" w:rsidR="00C92C8E" w:rsidRPr="00C92C8E" w:rsidRDefault="00C92C8E" w:rsidP="00C92C8E">
            <w:pPr>
              <w:rPr>
                <w:rFonts w:ascii="Arial Narrow" w:eastAsia="Times New Roman" w:hAnsi="Arial Narrow" w:cs="Calibri"/>
                <w:b/>
                <w:bCs/>
                <w:color w:val="000000"/>
                <w:sz w:val="22"/>
                <w:szCs w:val="22"/>
              </w:rPr>
            </w:pPr>
            <w:r w:rsidRPr="00C92C8E">
              <w:rPr>
                <w:rFonts w:ascii="Arial Narrow" w:eastAsia="Times New Roman" w:hAnsi="Arial Narrow" w:cs="Calibri"/>
                <w:b/>
                <w:bCs/>
                <w:color w:val="000000"/>
                <w:sz w:val="22"/>
                <w:szCs w:val="22"/>
              </w:rPr>
              <w:t>DGCN</w:t>
            </w:r>
          </w:p>
        </w:tc>
      </w:tr>
    </w:tbl>
    <w:p w14:paraId="180266B1" w14:textId="77777777" w:rsidR="0012299F" w:rsidRDefault="0012299F" w:rsidP="00C92C8E">
      <w:pPr>
        <w:pStyle w:val="Default"/>
        <w:ind w:left="1134" w:hanging="1134"/>
        <w:jc w:val="both"/>
        <w:rPr>
          <w:sz w:val="22"/>
          <w:szCs w:val="22"/>
          <w:lang w:val="es-CR"/>
        </w:rPr>
      </w:pPr>
    </w:p>
    <w:p w14:paraId="36030193" w14:textId="77777777" w:rsidR="0012299F" w:rsidRDefault="0012299F" w:rsidP="0012299F">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854BDD3" w14:textId="77777777" w:rsidR="0012299F" w:rsidRDefault="0012299F" w:rsidP="00C92C8E">
      <w:pPr>
        <w:pStyle w:val="Default"/>
        <w:ind w:left="1134" w:hanging="1134"/>
        <w:jc w:val="both"/>
        <w:rPr>
          <w:sz w:val="22"/>
          <w:szCs w:val="22"/>
          <w:lang w:val="es-CR"/>
        </w:rPr>
      </w:pPr>
    </w:p>
    <w:p w14:paraId="653CDE64" w14:textId="2F2A6440" w:rsidR="00C92C8E" w:rsidRDefault="00C92C8E" w:rsidP="00C92C8E">
      <w:pPr>
        <w:pStyle w:val="Default"/>
        <w:ind w:left="1134" w:hanging="1134"/>
        <w:jc w:val="both"/>
        <w:rPr>
          <w:sz w:val="22"/>
          <w:szCs w:val="22"/>
          <w:lang w:val="es-CR"/>
        </w:rPr>
      </w:pPr>
      <w:r>
        <w:rPr>
          <w:sz w:val="22"/>
          <w:szCs w:val="22"/>
          <w:lang w:val="es-CR"/>
        </w:rPr>
        <w:t>5.54.0.01</w:t>
      </w:r>
      <w:r>
        <w:rPr>
          <w:sz w:val="22"/>
          <w:szCs w:val="22"/>
          <w:lang w:val="es-CR"/>
        </w:rPr>
        <w:tab/>
      </w:r>
      <w:r w:rsidRPr="00C92C8E">
        <w:rPr>
          <w:sz w:val="22"/>
          <w:szCs w:val="22"/>
          <w:lang w:val="es-CR"/>
        </w:rPr>
        <w:t>Una transacción en moneda extranjera se registrará, en el momento de su reconocimiento inicial, utilizando la moneda funcional, aplicando al importe en moneda extranjera la tasa de cambio de contado existente entre la moneda funcional y la moneda extranjera a la fecha de la transacción.</w:t>
      </w:r>
    </w:p>
    <w:p w14:paraId="20EF36F3" w14:textId="77777777" w:rsidR="00C92C8E" w:rsidRPr="00C92C8E" w:rsidRDefault="00C92C8E" w:rsidP="00C92C8E">
      <w:pPr>
        <w:pStyle w:val="Default"/>
        <w:ind w:left="1134" w:hanging="1134"/>
        <w:jc w:val="both"/>
        <w:rPr>
          <w:sz w:val="22"/>
          <w:szCs w:val="22"/>
          <w:lang w:val="es-CR"/>
        </w:rPr>
      </w:pPr>
    </w:p>
    <w:p w14:paraId="2A48BE45" w14:textId="7514D4D2" w:rsidR="00C92C8E" w:rsidRDefault="00C92C8E" w:rsidP="00C92C8E">
      <w:pPr>
        <w:pStyle w:val="Default"/>
        <w:ind w:left="1134" w:hanging="1134"/>
        <w:jc w:val="both"/>
        <w:rPr>
          <w:sz w:val="22"/>
          <w:szCs w:val="22"/>
          <w:lang w:val="es-CR"/>
        </w:rPr>
      </w:pPr>
      <w:r>
        <w:rPr>
          <w:sz w:val="23"/>
          <w:szCs w:val="23"/>
          <w:lang w:val="es-CR"/>
        </w:rPr>
        <w:t>5.54.</w:t>
      </w:r>
      <w:r w:rsidRPr="00C92C8E">
        <w:rPr>
          <w:sz w:val="23"/>
          <w:szCs w:val="23"/>
          <w:lang w:val="es-CR"/>
        </w:rPr>
        <w:t>1.</w:t>
      </w:r>
      <w:r>
        <w:rPr>
          <w:sz w:val="23"/>
          <w:szCs w:val="23"/>
          <w:lang w:val="es-CR"/>
        </w:rPr>
        <w:t>01</w:t>
      </w:r>
      <w:r>
        <w:rPr>
          <w:sz w:val="23"/>
          <w:szCs w:val="23"/>
          <w:lang w:val="es-CR"/>
        </w:rPr>
        <w:tab/>
      </w:r>
      <w:r w:rsidRPr="00C92C8E">
        <w:rPr>
          <w:sz w:val="22"/>
          <w:szCs w:val="22"/>
          <w:lang w:val="es-CR"/>
        </w:rPr>
        <w:t>La fecha de una transacción es aquélla en la cual dicha transacción cumple las condiciones para su reconocimiento. La tasa de cambio a utilizar debe ser la más cercana a la fecha de la transacción.</w:t>
      </w:r>
    </w:p>
    <w:p w14:paraId="0D774537" w14:textId="77777777" w:rsidR="00C92C8E" w:rsidRPr="00C92C8E" w:rsidRDefault="00C92C8E" w:rsidP="00C92C8E">
      <w:pPr>
        <w:pStyle w:val="Default"/>
        <w:ind w:left="1134" w:hanging="1134"/>
        <w:jc w:val="both"/>
        <w:rPr>
          <w:sz w:val="22"/>
          <w:szCs w:val="22"/>
          <w:lang w:val="es-CR"/>
        </w:rPr>
      </w:pPr>
    </w:p>
    <w:p w14:paraId="43B833E9" w14:textId="4670EBDA" w:rsidR="00C92C8E" w:rsidRPr="00C92C8E" w:rsidRDefault="00C92C8E" w:rsidP="00C92C8E">
      <w:pPr>
        <w:pStyle w:val="Default"/>
        <w:ind w:left="1134" w:hanging="1134"/>
        <w:jc w:val="both"/>
        <w:rPr>
          <w:sz w:val="23"/>
          <w:szCs w:val="23"/>
          <w:lang w:val="es-CR"/>
        </w:rPr>
      </w:pPr>
      <w:r>
        <w:rPr>
          <w:sz w:val="22"/>
          <w:szCs w:val="22"/>
          <w:lang w:val="es-CR"/>
        </w:rPr>
        <w:t>5.54.</w:t>
      </w:r>
      <w:r w:rsidRPr="00C92C8E">
        <w:rPr>
          <w:sz w:val="22"/>
          <w:szCs w:val="22"/>
          <w:lang w:val="es-CR"/>
        </w:rPr>
        <w:t>2.</w:t>
      </w:r>
      <w:r>
        <w:rPr>
          <w:sz w:val="22"/>
          <w:szCs w:val="22"/>
          <w:lang w:val="es-CR"/>
        </w:rPr>
        <w:t>01</w:t>
      </w:r>
      <w:r>
        <w:rPr>
          <w:sz w:val="22"/>
          <w:szCs w:val="22"/>
          <w:lang w:val="es-CR"/>
        </w:rPr>
        <w:tab/>
      </w:r>
      <w:r w:rsidRPr="00C92C8E">
        <w:rPr>
          <w:sz w:val="22"/>
          <w:szCs w:val="22"/>
          <w:lang w:val="es-CR"/>
        </w:rPr>
        <w:t>Podrá utilizarse una tasa de cambio que se aproxime al cambio efectivo de los conjuntos de transacciones, tomando una media ponderada de las tasas de cambio de un período para contabilizar las transacciones en moneda extranjera, salvo que existan fluctuaciones significativas en los tipos de cambio. Este criterio será de aplicación restrictiva y estará sujeto a las condiciones y limitaciones que establezca la DGCN, a través de PPC, normativa contable o normativa tributaria al respecto, de acuerdo a los requerimientos técnicos de las Unidades Primarias</w:t>
      </w:r>
      <w:r w:rsidRPr="00C92C8E">
        <w:rPr>
          <w:sz w:val="23"/>
          <w:szCs w:val="23"/>
          <w:lang w:val="es-CR"/>
        </w:rPr>
        <w:t xml:space="preserve"> de Registro. </w:t>
      </w:r>
    </w:p>
    <w:p w14:paraId="0C48ABFB" w14:textId="77777777" w:rsidR="00E727B9" w:rsidRDefault="00E727B9" w:rsidP="0032280D">
      <w:pPr>
        <w:pStyle w:val="Default"/>
        <w:ind w:left="1134" w:hanging="1134"/>
        <w:jc w:val="both"/>
        <w:rPr>
          <w:sz w:val="23"/>
          <w:szCs w:val="23"/>
          <w:lang w:val="es-CR"/>
        </w:rPr>
      </w:pPr>
    </w:p>
    <w:p w14:paraId="427BE190" w14:textId="77777777" w:rsidR="0012299F" w:rsidRDefault="0012299F" w:rsidP="0032280D">
      <w:pPr>
        <w:pStyle w:val="Default"/>
        <w:ind w:left="1134" w:hanging="1134"/>
        <w:jc w:val="both"/>
        <w:rPr>
          <w:sz w:val="23"/>
          <w:szCs w:val="23"/>
          <w:lang w:val="es-CR"/>
        </w:rPr>
      </w:pPr>
    </w:p>
    <w:p w14:paraId="179A5623" w14:textId="77777777" w:rsidR="0012299F" w:rsidRPr="00041A77" w:rsidRDefault="0012299F" w:rsidP="0032280D">
      <w:pPr>
        <w:pStyle w:val="Default"/>
        <w:ind w:left="1134" w:hanging="1134"/>
        <w:jc w:val="both"/>
        <w:rPr>
          <w:sz w:val="23"/>
          <w:szCs w:val="23"/>
          <w:lang w:val="es-CR"/>
        </w:rPr>
      </w:pPr>
    </w:p>
    <w:p w14:paraId="57FE9C83" w14:textId="77777777" w:rsidR="00E727B9" w:rsidRPr="00C92C8E" w:rsidRDefault="00E727B9" w:rsidP="0032280D">
      <w:pPr>
        <w:pStyle w:val="Default"/>
        <w:ind w:left="1134" w:hanging="1134"/>
        <w:jc w:val="both"/>
        <w:rPr>
          <w:sz w:val="22"/>
          <w:szCs w:val="22"/>
          <w:lang w:val="es-CR"/>
        </w:rPr>
      </w:pPr>
    </w:p>
    <w:tbl>
      <w:tblPr>
        <w:tblW w:w="9346" w:type="dxa"/>
        <w:tblLayout w:type="fixed"/>
        <w:tblLook w:val="04A0" w:firstRow="1" w:lastRow="0" w:firstColumn="1" w:lastColumn="0" w:noHBand="0" w:noVBand="1"/>
      </w:tblPr>
      <w:tblGrid>
        <w:gridCol w:w="416"/>
        <w:gridCol w:w="708"/>
        <w:gridCol w:w="426"/>
        <w:gridCol w:w="3676"/>
        <w:gridCol w:w="2236"/>
        <w:gridCol w:w="1884"/>
      </w:tblGrid>
      <w:tr w:rsidR="002B5312" w:rsidRPr="002B5312" w14:paraId="3254519A" w14:textId="77777777" w:rsidTr="0012299F">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17E738D" w14:textId="77777777" w:rsidR="002B5312" w:rsidRPr="002B5312" w:rsidRDefault="002B5312" w:rsidP="002B5312">
            <w:pPr>
              <w:jc w:val="center"/>
              <w:rPr>
                <w:rFonts w:ascii="Arial Narrow" w:eastAsia="Times New Roman" w:hAnsi="Arial Narrow" w:cs="Calibri"/>
                <w:b/>
                <w:bCs/>
                <w:color w:val="FFFFFF"/>
                <w:sz w:val="22"/>
                <w:szCs w:val="22"/>
              </w:rPr>
            </w:pPr>
            <w:r w:rsidRPr="002B5312">
              <w:rPr>
                <w:rFonts w:ascii="Arial Narrow" w:eastAsia="Times New Roman" w:hAnsi="Arial Narrow" w:cs="Calibri"/>
                <w:b/>
                <w:bCs/>
                <w:color w:val="FFFFFF"/>
                <w:sz w:val="22"/>
                <w:szCs w:val="22"/>
              </w:rPr>
              <w:lastRenderedPageBreak/>
              <w:t>Norma / Política</w:t>
            </w:r>
          </w:p>
        </w:tc>
        <w:tc>
          <w:tcPr>
            <w:tcW w:w="3676" w:type="dxa"/>
            <w:vMerge w:val="restart"/>
            <w:tcBorders>
              <w:top w:val="single" w:sz="8" w:space="0" w:color="auto"/>
              <w:left w:val="single" w:sz="8" w:space="0" w:color="auto"/>
              <w:bottom w:val="nil"/>
              <w:right w:val="single" w:sz="8" w:space="0" w:color="auto"/>
            </w:tcBorders>
            <w:shd w:val="clear" w:color="000000" w:fill="203764"/>
            <w:vAlign w:val="center"/>
            <w:hideMark/>
          </w:tcPr>
          <w:p w14:paraId="5B23B180" w14:textId="77777777" w:rsidR="002B5312" w:rsidRPr="002B5312" w:rsidRDefault="002B5312" w:rsidP="002B5312">
            <w:pPr>
              <w:jc w:val="center"/>
              <w:rPr>
                <w:rFonts w:ascii="Arial Narrow" w:eastAsia="Times New Roman" w:hAnsi="Arial Narrow" w:cs="Calibri"/>
                <w:b/>
                <w:bCs/>
                <w:color w:val="FFFFFF"/>
                <w:sz w:val="22"/>
                <w:szCs w:val="22"/>
              </w:rPr>
            </w:pPr>
            <w:r w:rsidRPr="002B5312">
              <w:rPr>
                <w:rFonts w:ascii="Arial Narrow" w:eastAsia="Times New Roman" w:hAnsi="Arial Narrow" w:cs="Calibri"/>
                <w:b/>
                <w:bCs/>
                <w:color w:val="FFFFFF"/>
                <w:sz w:val="22"/>
                <w:szCs w:val="22"/>
              </w:rPr>
              <w:t>Concepto</w:t>
            </w:r>
          </w:p>
        </w:tc>
        <w:tc>
          <w:tcPr>
            <w:tcW w:w="4120" w:type="dxa"/>
            <w:gridSpan w:val="2"/>
            <w:tcBorders>
              <w:top w:val="single" w:sz="8" w:space="0" w:color="auto"/>
              <w:left w:val="nil"/>
              <w:bottom w:val="single" w:sz="8" w:space="0" w:color="auto"/>
              <w:right w:val="single" w:sz="8" w:space="0" w:color="000000"/>
            </w:tcBorders>
            <w:shd w:val="clear" w:color="000000" w:fill="203764"/>
            <w:vAlign w:val="center"/>
            <w:hideMark/>
          </w:tcPr>
          <w:p w14:paraId="035D6E12" w14:textId="77777777" w:rsidR="002B5312" w:rsidRPr="002B5312" w:rsidRDefault="002B5312" w:rsidP="002B5312">
            <w:pPr>
              <w:jc w:val="center"/>
              <w:rPr>
                <w:rFonts w:ascii="Arial Narrow" w:eastAsia="Times New Roman" w:hAnsi="Arial Narrow" w:cs="Calibri"/>
                <w:b/>
                <w:bCs/>
                <w:color w:val="FFFFFF"/>
                <w:sz w:val="22"/>
                <w:szCs w:val="22"/>
              </w:rPr>
            </w:pPr>
            <w:r w:rsidRPr="002B5312">
              <w:rPr>
                <w:rFonts w:ascii="Arial Narrow" w:eastAsia="Times New Roman" w:hAnsi="Arial Narrow" w:cs="Calibri"/>
                <w:b/>
                <w:bCs/>
                <w:color w:val="FFFFFF"/>
                <w:sz w:val="22"/>
                <w:szCs w:val="22"/>
              </w:rPr>
              <w:t>Referencia</w:t>
            </w:r>
          </w:p>
        </w:tc>
      </w:tr>
      <w:tr w:rsidR="002B5312" w:rsidRPr="006E5442" w14:paraId="283CA0A9" w14:textId="77777777" w:rsidTr="0012299F">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7CB4919" w14:textId="77777777" w:rsidR="002B5312" w:rsidRPr="002B5312" w:rsidRDefault="002B5312" w:rsidP="002B5312">
            <w:pPr>
              <w:rPr>
                <w:rFonts w:ascii="Arial Narrow" w:eastAsia="Times New Roman" w:hAnsi="Arial Narrow" w:cs="Calibri"/>
                <w:b/>
                <w:bCs/>
                <w:color w:val="FFFFFF"/>
                <w:sz w:val="22"/>
                <w:szCs w:val="22"/>
              </w:rPr>
            </w:pPr>
          </w:p>
        </w:tc>
        <w:tc>
          <w:tcPr>
            <w:tcW w:w="3676" w:type="dxa"/>
            <w:vMerge/>
            <w:tcBorders>
              <w:top w:val="single" w:sz="8" w:space="0" w:color="auto"/>
              <w:left w:val="single" w:sz="8" w:space="0" w:color="auto"/>
              <w:bottom w:val="nil"/>
              <w:right w:val="single" w:sz="8" w:space="0" w:color="auto"/>
            </w:tcBorders>
            <w:vAlign w:val="center"/>
            <w:hideMark/>
          </w:tcPr>
          <w:p w14:paraId="7CC04135" w14:textId="77777777" w:rsidR="002B5312" w:rsidRPr="002B5312" w:rsidRDefault="002B5312" w:rsidP="002B5312">
            <w:pPr>
              <w:rPr>
                <w:rFonts w:ascii="Arial Narrow" w:eastAsia="Times New Roman" w:hAnsi="Arial Narrow" w:cs="Calibri"/>
                <w:b/>
                <w:bCs/>
                <w:color w:val="FFFFFF"/>
                <w:sz w:val="22"/>
                <w:szCs w:val="22"/>
              </w:rPr>
            </w:pPr>
          </w:p>
        </w:tc>
        <w:tc>
          <w:tcPr>
            <w:tcW w:w="2236" w:type="dxa"/>
            <w:tcBorders>
              <w:top w:val="nil"/>
              <w:left w:val="nil"/>
              <w:bottom w:val="nil"/>
              <w:right w:val="single" w:sz="8" w:space="0" w:color="auto"/>
            </w:tcBorders>
            <w:shd w:val="clear" w:color="000000" w:fill="203764"/>
            <w:vAlign w:val="center"/>
            <w:hideMark/>
          </w:tcPr>
          <w:p w14:paraId="76929B7E" w14:textId="77777777" w:rsidR="002B5312" w:rsidRPr="002B5312" w:rsidRDefault="002B5312" w:rsidP="002B5312">
            <w:pPr>
              <w:jc w:val="center"/>
              <w:rPr>
                <w:rFonts w:ascii="Arial Narrow" w:eastAsia="Times New Roman" w:hAnsi="Arial Narrow" w:cs="Calibri"/>
                <w:b/>
                <w:bCs/>
                <w:color w:val="FFFFFF"/>
                <w:sz w:val="22"/>
                <w:szCs w:val="22"/>
              </w:rPr>
            </w:pPr>
            <w:r w:rsidRPr="002B5312">
              <w:rPr>
                <w:rFonts w:ascii="Arial Narrow" w:eastAsia="Times New Roman" w:hAnsi="Arial Narrow" w:cs="Calibri"/>
                <w:b/>
                <w:bCs/>
                <w:color w:val="FFFFFF"/>
                <w:sz w:val="22"/>
                <w:szCs w:val="22"/>
              </w:rPr>
              <w:t>Norma</w:t>
            </w:r>
          </w:p>
        </w:tc>
        <w:tc>
          <w:tcPr>
            <w:tcW w:w="1884" w:type="dxa"/>
            <w:tcBorders>
              <w:top w:val="nil"/>
              <w:left w:val="nil"/>
              <w:bottom w:val="nil"/>
              <w:right w:val="single" w:sz="8" w:space="0" w:color="auto"/>
            </w:tcBorders>
            <w:shd w:val="clear" w:color="000000" w:fill="203764"/>
            <w:vAlign w:val="center"/>
            <w:hideMark/>
          </w:tcPr>
          <w:p w14:paraId="716419BF" w14:textId="77777777" w:rsidR="002B5312" w:rsidRPr="002B5312" w:rsidRDefault="002B5312" w:rsidP="002B5312">
            <w:pPr>
              <w:jc w:val="center"/>
              <w:rPr>
                <w:rFonts w:ascii="Arial Narrow" w:eastAsia="Times New Roman" w:hAnsi="Arial Narrow" w:cs="Calibri"/>
                <w:b/>
                <w:bCs/>
                <w:color w:val="FFFFFF"/>
                <w:sz w:val="22"/>
                <w:szCs w:val="22"/>
                <w:lang w:val="es-CR"/>
              </w:rPr>
            </w:pPr>
            <w:r w:rsidRPr="002B5312">
              <w:rPr>
                <w:rFonts w:ascii="Arial Narrow" w:eastAsia="Times New Roman" w:hAnsi="Arial Narrow" w:cs="Calibri"/>
                <w:b/>
                <w:bCs/>
                <w:color w:val="FFFFFF"/>
                <w:sz w:val="22"/>
                <w:szCs w:val="22"/>
                <w:lang w:val="es-CR"/>
              </w:rPr>
              <w:t>Normativa técnica y disposiciones adicionales</w:t>
            </w:r>
          </w:p>
        </w:tc>
      </w:tr>
      <w:tr w:rsidR="002B5312" w:rsidRPr="002B5312" w14:paraId="367D7D2F" w14:textId="77777777" w:rsidTr="0012299F">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EC3901"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953AB63"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55</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9E2CE80"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 xml:space="preserve"> </w:t>
            </w:r>
          </w:p>
        </w:tc>
        <w:tc>
          <w:tcPr>
            <w:tcW w:w="3676" w:type="dxa"/>
            <w:tcBorders>
              <w:top w:val="single" w:sz="8" w:space="0" w:color="auto"/>
              <w:left w:val="nil"/>
              <w:bottom w:val="single" w:sz="8" w:space="0" w:color="auto"/>
              <w:right w:val="single" w:sz="8" w:space="0" w:color="auto"/>
            </w:tcBorders>
            <w:shd w:val="clear" w:color="auto" w:fill="auto"/>
            <w:vAlign w:val="center"/>
            <w:hideMark/>
          </w:tcPr>
          <w:p w14:paraId="0D190707" w14:textId="77777777" w:rsidR="002B5312" w:rsidRPr="002B5312" w:rsidRDefault="002B5312" w:rsidP="002B5312">
            <w:pPr>
              <w:jc w:val="both"/>
              <w:rPr>
                <w:rFonts w:ascii="Arial Narrow" w:eastAsia="Times New Roman" w:hAnsi="Arial Narrow" w:cs="Calibri"/>
                <w:b/>
                <w:bCs/>
                <w:color w:val="000000"/>
                <w:sz w:val="22"/>
                <w:szCs w:val="22"/>
                <w:lang w:val="es-CR"/>
              </w:rPr>
            </w:pPr>
            <w:r w:rsidRPr="002B5312">
              <w:rPr>
                <w:rFonts w:ascii="Arial Narrow" w:eastAsia="Times New Roman" w:hAnsi="Arial Narrow" w:cs="Calibri"/>
                <w:b/>
                <w:bCs/>
                <w:color w:val="000000"/>
                <w:sz w:val="22"/>
                <w:szCs w:val="22"/>
                <w:lang w:val="es-CR"/>
              </w:rPr>
              <w:t>Reconocimiento en los EEFF de la variación de las diferencias de cambio</w:t>
            </w:r>
          </w:p>
        </w:tc>
        <w:tc>
          <w:tcPr>
            <w:tcW w:w="2236" w:type="dxa"/>
            <w:tcBorders>
              <w:top w:val="single" w:sz="8" w:space="0" w:color="auto"/>
              <w:left w:val="nil"/>
              <w:bottom w:val="single" w:sz="8" w:space="0" w:color="auto"/>
              <w:right w:val="single" w:sz="8" w:space="0" w:color="auto"/>
            </w:tcBorders>
            <w:shd w:val="clear" w:color="auto" w:fill="auto"/>
            <w:vAlign w:val="center"/>
            <w:hideMark/>
          </w:tcPr>
          <w:p w14:paraId="53D74A14" w14:textId="77777777" w:rsidR="0012299F"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NICSP N° 4</w:t>
            </w:r>
            <w:r w:rsidR="0012299F">
              <w:rPr>
                <w:rFonts w:ascii="Arial Narrow" w:eastAsia="Times New Roman" w:hAnsi="Arial Narrow" w:cs="Calibri"/>
                <w:b/>
                <w:bCs/>
                <w:color w:val="000000"/>
                <w:sz w:val="22"/>
                <w:szCs w:val="22"/>
              </w:rPr>
              <w:t>,</w:t>
            </w:r>
          </w:p>
          <w:p w14:paraId="142F5B35" w14:textId="4885E60D" w:rsidR="002B5312" w:rsidRP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Párrafo 27.</w:t>
            </w:r>
          </w:p>
        </w:tc>
        <w:tc>
          <w:tcPr>
            <w:tcW w:w="1884" w:type="dxa"/>
            <w:tcBorders>
              <w:top w:val="single" w:sz="8" w:space="0" w:color="auto"/>
              <w:left w:val="nil"/>
              <w:bottom w:val="single" w:sz="8" w:space="0" w:color="auto"/>
              <w:right w:val="single" w:sz="8" w:space="0" w:color="auto"/>
            </w:tcBorders>
            <w:shd w:val="clear" w:color="auto" w:fill="auto"/>
            <w:vAlign w:val="center"/>
            <w:hideMark/>
          </w:tcPr>
          <w:p w14:paraId="77CAB48D"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 xml:space="preserve"> </w:t>
            </w:r>
          </w:p>
        </w:tc>
      </w:tr>
    </w:tbl>
    <w:p w14:paraId="3BD61D6B" w14:textId="77777777" w:rsidR="00E727B9" w:rsidRDefault="00E727B9" w:rsidP="004F797D">
      <w:pPr>
        <w:pStyle w:val="Default"/>
        <w:ind w:left="1134" w:hanging="1134"/>
        <w:jc w:val="both"/>
        <w:rPr>
          <w:sz w:val="22"/>
          <w:szCs w:val="22"/>
          <w:lang w:val="es-CR"/>
        </w:rPr>
      </w:pPr>
    </w:p>
    <w:p w14:paraId="5F205047" w14:textId="77777777" w:rsidR="0012299F" w:rsidRDefault="0012299F" w:rsidP="0012299F">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14715E9" w14:textId="77777777" w:rsidR="0012299F" w:rsidRPr="00C92C8E" w:rsidRDefault="0012299F" w:rsidP="004F797D">
      <w:pPr>
        <w:pStyle w:val="Default"/>
        <w:ind w:left="1134" w:hanging="1134"/>
        <w:jc w:val="both"/>
        <w:rPr>
          <w:sz w:val="22"/>
          <w:szCs w:val="22"/>
          <w:lang w:val="es-CR"/>
        </w:rPr>
      </w:pPr>
    </w:p>
    <w:p w14:paraId="648E8926" w14:textId="14FE002D" w:rsidR="002B5312" w:rsidRDefault="002B5312" w:rsidP="004F797D">
      <w:pPr>
        <w:pStyle w:val="Default"/>
        <w:ind w:left="1134" w:hanging="1134"/>
        <w:jc w:val="both"/>
        <w:rPr>
          <w:sz w:val="23"/>
          <w:szCs w:val="23"/>
          <w:lang w:val="es-CR"/>
        </w:rPr>
      </w:pPr>
      <w:r>
        <w:rPr>
          <w:sz w:val="23"/>
          <w:szCs w:val="23"/>
          <w:lang w:val="es-CR"/>
        </w:rPr>
        <w:t>5.55.0.01</w:t>
      </w:r>
      <w:r>
        <w:rPr>
          <w:sz w:val="23"/>
          <w:szCs w:val="23"/>
          <w:lang w:val="es-CR"/>
        </w:rPr>
        <w:tab/>
      </w:r>
      <w:r w:rsidRPr="002B5312">
        <w:rPr>
          <w:sz w:val="23"/>
          <w:szCs w:val="23"/>
          <w:lang w:val="es-CR"/>
        </w:rPr>
        <w:t xml:space="preserve">En </w:t>
      </w:r>
      <w:r w:rsidRPr="002B5312">
        <w:rPr>
          <w:sz w:val="22"/>
          <w:szCs w:val="22"/>
          <w:lang w:val="es-CR"/>
        </w:rPr>
        <w:t>cada</w:t>
      </w:r>
      <w:r w:rsidRPr="002B5312">
        <w:rPr>
          <w:sz w:val="23"/>
          <w:szCs w:val="23"/>
          <w:lang w:val="es-CR"/>
        </w:rPr>
        <w:t xml:space="preserve"> fecha de </w:t>
      </w:r>
      <w:r w:rsidRPr="002B5312">
        <w:rPr>
          <w:sz w:val="22"/>
          <w:szCs w:val="22"/>
          <w:lang w:val="es-CR"/>
        </w:rPr>
        <w:t>presentación</w:t>
      </w:r>
      <w:r w:rsidRPr="002B5312">
        <w:rPr>
          <w:sz w:val="23"/>
          <w:szCs w:val="23"/>
          <w:lang w:val="es-CR"/>
        </w:rPr>
        <w:t xml:space="preserve"> de los EEFF se deberán incluir:</w:t>
      </w:r>
    </w:p>
    <w:p w14:paraId="57EEA09D" w14:textId="77777777" w:rsidR="002B5312" w:rsidRPr="002B5312" w:rsidRDefault="002B5312" w:rsidP="004F797D">
      <w:pPr>
        <w:pStyle w:val="Default"/>
        <w:ind w:left="1134" w:hanging="1134"/>
        <w:jc w:val="both"/>
        <w:rPr>
          <w:sz w:val="23"/>
          <w:szCs w:val="23"/>
          <w:lang w:val="es-CR"/>
        </w:rPr>
      </w:pPr>
    </w:p>
    <w:p w14:paraId="4B306134" w14:textId="61BE04B6" w:rsidR="002B5312" w:rsidRPr="002B5312" w:rsidRDefault="002B5312">
      <w:pPr>
        <w:pStyle w:val="Default"/>
        <w:numPr>
          <w:ilvl w:val="0"/>
          <w:numId w:val="306"/>
        </w:numPr>
        <w:spacing w:after="120"/>
        <w:ind w:left="1418" w:hanging="284"/>
        <w:jc w:val="both"/>
        <w:rPr>
          <w:sz w:val="23"/>
          <w:szCs w:val="23"/>
          <w:lang w:val="es-CR"/>
        </w:rPr>
      </w:pPr>
      <w:r>
        <w:rPr>
          <w:sz w:val="23"/>
          <w:szCs w:val="23"/>
          <w:lang w:val="es-CR"/>
        </w:rPr>
        <w:t>L</w:t>
      </w:r>
      <w:r w:rsidRPr="002B5312">
        <w:rPr>
          <w:sz w:val="23"/>
          <w:szCs w:val="23"/>
          <w:lang w:val="es-CR"/>
        </w:rPr>
        <w:t xml:space="preserve">as partidas monetarias en moneda extranjera, las cuales se convertirán utilizando la tasa de cambio de cierre; </w:t>
      </w:r>
    </w:p>
    <w:p w14:paraId="1A0DDF09" w14:textId="1ED13091" w:rsidR="002B5312" w:rsidRPr="002B5312" w:rsidRDefault="002B5312">
      <w:pPr>
        <w:pStyle w:val="Default"/>
        <w:numPr>
          <w:ilvl w:val="0"/>
          <w:numId w:val="306"/>
        </w:numPr>
        <w:spacing w:after="120"/>
        <w:ind w:left="1418" w:hanging="284"/>
        <w:jc w:val="both"/>
        <w:rPr>
          <w:sz w:val="23"/>
          <w:szCs w:val="23"/>
          <w:lang w:val="es-CR"/>
        </w:rPr>
      </w:pPr>
      <w:r>
        <w:rPr>
          <w:sz w:val="23"/>
          <w:szCs w:val="23"/>
          <w:lang w:val="es-CR"/>
        </w:rPr>
        <w:t>L</w:t>
      </w:r>
      <w:r w:rsidRPr="002B5312">
        <w:rPr>
          <w:sz w:val="23"/>
          <w:szCs w:val="23"/>
          <w:lang w:val="es-CR"/>
        </w:rPr>
        <w:t xml:space="preserve">as partidas no monetarias en moneda extranjera que se midan en términos de costo histórico, las cuales se convertirán utilizando la tasa de cambio en la fecha de la transacción; y </w:t>
      </w:r>
    </w:p>
    <w:p w14:paraId="21321943" w14:textId="4A1B21B3" w:rsidR="002B5312" w:rsidRPr="002B5312" w:rsidRDefault="002B5312">
      <w:pPr>
        <w:pStyle w:val="Default"/>
        <w:numPr>
          <w:ilvl w:val="0"/>
          <w:numId w:val="306"/>
        </w:numPr>
        <w:ind w:left="1418" w:hanging="284"/>
        <w:jc w:val="both"/>
        <w:rPr>
          <w:sz w:val="23"/>
          <w:szCs w:val="23"/>
          <w:lang w:val="es-CR"/>
        </w:rPr>
      </w:pPr>
      <w:r>
        <w:rPr>
          <w:sz w:val="23"/>
          <w:szCs w:val="23"/>
          <w:lang w:val="es-CR"/>
        </w:rPr>
        <w:t>L</w:t>
      </w:r>
      <w:r w:rsidRPr="002B5312">
        <w:rPr>
          <w:sz w:val="23"/>
          <w:szCs w:val="23"/>
          <w:lang w:val="es-CR"/>
        </w:rPr>
        <w:t xml:space="preserve">as partidas no monetarias que se midan al valor razonable en una moneda extranjera, las cuales se convertirán utilizando las tasas de cambio de la fecha en que se determine este valor razonable. </w:t>
      </w:r>
    </w:p>
    <w:p w14:paraId="6F81593E" w14:textId="77777777" w:rsidR="00E727B9" w:rsidRDefault="00E727B9" w:rsidP="0032280D">
      <w:pPr>
        <w:pStyle w:val="Default"/>
        <w:ind w:left="1134" w:hanging="1134"/>
        <w:jc w:val="both"/>
        <w:rPr>
          <w:sz w:val="22"/>
          <w:szCs w:val="22"/>
          <w:lang w:val="es-CR"/>
        </w:rPr>
      </w:pPr>
    </w:p>
    <w:p w14:paraId="49B50128" w14:textId="77777777" w:rsidR="0012299F" w:rsidRPr="00C92C8E" w:rsidRDefault="0012299F" w:rsidP="0032280D">
      <w:pPr>
        <w:pStyle w:val="Default"/>
        <w:ind w:left="1134" w:hanging="1134"/>
        <w:jc w:val="both"/>
        <w:rPr>
          <w:sz w:val="22"/>
          <w:szCs w:val="22"/>
          <w:lang w:val="es-CR"/>
        </w:rPr>
      </w:pPr>
    </w:p>
    <w:p w14:paraId="182D264B" w14:textId="77777777" w:rsidR="0032280D" w:rsidRPr="00C92C8E" w:rsidRDefault="0032280D" w:rsidP="00773733">
      <w:pPr>
        <w:pStyle w:val="Default"/>
        <w:ind w:left="1134" w:hanging="1134"/>
        <w:jc w:val="both"/>
        <w:rPr>
          <w:sz w:val="22"/>
          <w:szCs w:val="22"/>
          <w:lang w:val="es-CR"/>
        </w:rPr>
      </w:pPr>
    </w:p>
    <w:tbl>
      <w:tblPr>
        <w:tblW w:w="9346" w:type="dxa"/>
        <w:tblLayout w:type="fixed"/>
        <w:tblLook w:val="04A0" w:firstRow="1" w:lastRow="0" w:firstColumn="1" w:lastColumn="0" w:noHBand="0" w:noVBand="1"/>
      </w:tblPr>
      <w:tblGrid>
        <w:gridCol w:w="416"/>
        <w:gridCol w:w="708"/>
        <w:gridCol w:w="426"/>
        <w:gridCol w:w="3690"/>
        <w:gridCol w:w="2251"/>
        <w:gridCol w:w="1855"/>
      </w:tblGrid>
      <w:tr w:rsidR="002B5312" w:rsidRPr="002B5312" w14:paraId="70D7D693" w14:textId="77777777" w:rsidTr="0012299F">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446C6D9" w14:textId="77777777" w:rsidR="002B5312" w:rsidRPr="002B5312" w:rsidRDefault="002B5312" w:rsidP="002B5312">
            <w:pPr>
              <w:jc w:val="center"/>
              <w:rPr>
                <w:rFonts w:ascii="Arial Narrow" w:eastAsia="Times New Roman" w:hAnsi="Arial Narrow" w:cs="Calibri"/>
                <w:b/>
                <w:bCs/>
                <w:color w:val="FFFFFF"/>
                <w:sz w:val="22"/>
                <w:szCs w:val="22"/>
              </w:rPr>
            </w:pPr>
            <w:r w:rsidRPr="002B5312">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A476D1D" w14:textId="77777777" w:rsidR="002B5312" w:rsidRPr="002B5312" w:rsidRDefault="002B5312" w:rsidP="002B5312">
            <w:pPr>
              <w:jc w:val="center"/>
              <w:rPr>
                <w:rFonts w:ascii="Arial Narrow" w:eastAsia="Times New Roman" w:hAnsi="Arial Narrow" w:cs="Calibri"/>
                <w:b/>
                <w:bCs/>
                <w:color w:val="FFFFFF"/>
                <w:sz w:val="22"/>
                <w:szCs w:val="22"/>
              </w:rPr>
            </w:pPr>
            <w:r w:rsidRPr="002B5312">
              <w:rPr>
                <w:rFonts w:ascii="Arial Narrow" w:eastAsia="Times New Roman" w:hAnsi="Arial Narrow" w:cs="Calibri"/>
                <w:b/>
                <w:bCs/>
                <w:color w:val="FFFFFF"/>
                <w:sz w:val="22"/>
                <w:szCs w:val="22"/>
              </w:rPr>
              <w:t>Concepto</w:t>
            </w:r>
          </w:p>
        </w:tc>
        <w:tc>
          <w:tcPr>
            <w:tcW w:w="4106" w:type="dxa"/>
            <w:gridSpan w:val="2"/>
            <w:tcBorders>
              <w:top w:val="single" w:sz="8" w:space="0" w:color="auto"/>
              <w:left w:val="nil"/>
              <w:bottom w:val="single" w:sz="8" w:space="0" w:color="auto"/>
              <w:right w:val="single" w:sz="8" w:space="0" w:color="000000"/>
            </w:tcBorders>
            <w:shd w:val="clear" w:color="000000" w:fill="203764"/>
            <w:vAlign w:val="center"/>
            <w:hideMark/>
          </w:tcPr>
          <w:p w14:paraId="0131DC2A" w14:textId="77777777" w:rsidR="002B5312" w:rsidRPr="002B5312" w:rsidRDefault="002B5312" w:rsidP="002B5312">
            <w:pPr>
              <w:jc w:val="center"/>
              <w:rPr>
                <w:rFonts w:ascii="Arial Narrow" w:eastAsia="Times New Roman" w:hAnsi="Arial Narrow" w:cs="Calibri"/>
                <w:b/>
                <w:bCs/>
                <w:color w:val="FFFFFF"/>
                <w:sz w:val="22"/>
                <w:szCs w:val="22"/>
              </w:rPr>
            </w:pPr>
            <w:r w:rsidRPr="002B5312">
              <w:rPr>
                <w:rFonts w:ascii="Arial Narrow" w:eastAsia="Times New Roman" w:hAnsi="Arial Narrow" w:cs="Calibri"/>
                <w:b/>
                <w:bCs/>
                <w:color w:val="FFFFFF"/>
                <w:sz w:val="22"/>
                <w:szCs w:val="22"/>
              </w:rPr>
              <w:t>Referencia</w:t>
            </w:r>
          </w:p>
        </w:tc>
      </w:tr>
      <w:tr w:rsidR="002B5312" w:rsidRPr="006E5442" w14:paraId="192A96A7" w14:textId="77777777" w:rsidTr="0012299F">
        <w:trPr>
          <w:trHeight w:val="1320"/>
        </w:trPr>
        <w:tc>
          <w:tcPr>
            <w:tcW w:w="1550" w:type="dxa"/>
            <w:gridSpan w:val="3"/>
            <w:vMerge/>
            <w:tcBorders>
              <w:top w:val="single" w:sz="8" w:space="0" w:color="auto"/>
              <w:left w:val="single" w:sz="8" w:space="0" w:color="auto"/>
              <w:bottom w:val="nil"/>
              <w:right w:val="single" w:sz="8" w:space="0" w:color="000000"/>
            </w:tcBorders>
            <w:vAlign w:val="center"/>
            <w:hideMark/>
          </w:tcPr>
          <w:p w14:paraId="234FC2C3" w14:textId="77777777" w:rsidR="002B5312" w:rsidRPr="002B5312" w:rsidRDefault="002B5312" w:rsidP="002B5312">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45EF6D82" w14:textId="77777777" w:rsidR="002B5312" w:rsidRPr="002B5312" w:rsidRDefault="002B5312" w:rsidP="002B5312">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0D48F6B0" w14:textId="77777777" w:rsidR="002B5312" w:rsidRPr="002B5312" w:rsidRDefault="002B5312" w:rsidP="002B5312">
            <w:pPr>
              <w:jc w:val="center"/>
              <w:rPr>
                <w:rFonts w:ascii="Arial Narrow" w:eastAsia="Times New Roman" w:hAnsi="Arial Narrow" w:cs="Calibri"/>
                <w:b/>
                <w:bCs/>
                <w:color w:val="FFFFFF"/>
                <w:sz w:val="22"/>
                <w:szCs w:val="22"/>
              </w:rPr>
            </w:pPr>
            <w:r w:rsidRPr="002B5312">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432C64FA" w14:textId="77777777" w:rsidR="002B5312" w:rsidRPr="002B5312" w:rsidRDefault="002B5312" w:rsidP="002B5312">
            <w:pPr>
              <w:jc w:val="center"/>
              <w:rPr>
                <w:rFonts w:ascii="Arial Narrow" w:eastAsia="Times New Roman" w:hAnsi="Arial Narrow" w:cs="Calibri"/>
                <w:b/>
                <w:bCs/>
                <w:color w:val="FFFFFF"/>
                <w:sz w:val="22"/>
                <w:szCs w:val="22"/>
                <w:lang w:val="es-CR"/>
              </w:rPr>
            </w:pPr>
            <w:r w:rsidRPr="002B5312">
              <w:rPr>
                <w:rFonts w:ascii="Arial Narrow" w:eastAsia="Times New Roman" w:hAnsi="Arial Narrow" w:cs="Calibri"/>
                <w:b/>
                <w:bCs/>
                <w:color w:val="FFFFFF"/>
                <w:sz w:val="22"/>
                <w:szCs w:val="22"/>
                <w:lang w:val="es-CR"/>
              </w:rPr>
              <w:t>Normativa técnica y disposiciones adicionales</w:t>
            </w:r>
          </w:p>
        </w:tc>
      </w:tr>
      <w:tr w:rsidR="002B5312" w:rsidRPr="002B5312" w14:paraId="244C85CD" w14:textId="77777777" w:rsidTr="0012299F">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E23141"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D884103"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56</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F32E4FB"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3E8769AB" w14:textId="77777777" w:rsidR="002B5312" w:rsidRP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Cambio de moneda funcional</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3CAB0B91" w14:textId="77777777" w:rsid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NICSP N° 4,</w:t>
            </w:r>
          </w:p>
          <w:p w14:paraId="6BEDA1F4" w14:textId="2EFD0B66" w:rsidR="002B5312" w:rsidRP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Párrafo 40.</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166B0FDE" w14:textId="77777777" w:rsidR="002B5312" w:rsidRPr="002B5312" w:rsidRDefault="002B5312" w:rsidP="002B5312">
            <w:pP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DGCN</w:t>
            </w:r>
          </w:p>
        </w:tc>
      </w:tr>
      <w:tr w:rsidR="002B5312" w:rsidRPr="002B5312" w14:paraId="7B104FA7" w14:textId="77777777" w:rsidTr="0012299F">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6B5CE42"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5</w:t>
            </w:r>
          </w:p>
        </w:tc>
        <w:tc>
          <w:tcPr>
            <w:tcW w:w="708" w:type="dxa"/>
            <w:tcBorders>
              <w:top w:val="nil"/>
              <w:left w:val="nil"/>
              <w:bottom w:val="single" w:sz="8" w:space="0" w:color="auto"/>
              <w:right w:val="single" w:sz="8" w:space="0" w:color="auto"/>
            </w:tcBorders>
            <w:shd w:val="clear" w:color="auto" w:fill="auto"/>
            <w:noWrap/>
            <w:vAlign w:val="center"/>
            <w:hideMark/>
          </w:tcPr>
          <w:p w14:paraId="27B68A14"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56</w:t>
            </w:r>
          </w:p>
        </w:tc>
        <w:tc>
          <w:tcPr>
            <w:tcW w:w="426" w:type="dxa"/>
            <w:tcBorders>
              <w:top w:val="nil"/>
              <w:left w:val="nil"/>
              <w:bottom w:val="single" w:sz="8" w:space="0" w:color="auto"/>
              <w:right w:val="single" w:sz="8" w:space="0" w:color="auto"/>
            </w:tcBorders>
            <w:shd w:val="clear" w:color="auto" w:fill="auto"/>
            <w:vAlign w:val="center"/>
            <w:hideMark/>
          </w:tcPr>
          <w:p w14:paraId="20DBDB6A"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1</w:t>
            </w:r>
          </w:p>
        </w:tc>
        <w:tc>
          <w:tcPr>
            <w:tcW w:w="3690" w:type="dxa"/>
            <w:tcBorders>
              <w:top w:val="nil"/>
              <w:left w:val="nil"/>
              <w:bottom w:val="single" w:sz="8" w:space="0" w:color="auto"/>
              <w:right w:val="single" w:sz="8" w:space="0" w:color="auto"/>
            </w:tcBorders>
            <w:shd w:val="clear" w:color="auto" w:fill="auto"/>
            <w:vAlign w:val="center"/>
            <w:hideMark/>
          </w:tcPr>
          <w:p w14:paraId="2D7D2330" w14:textId="77777777" w:rsidR="002B5312" w:rsidRP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Autorización de cambio</w:t>
            </w:r>
          </w:p>
        </w:tc>
        <w:tc>
          <w:tcPr>
            <w:tcW w:w="2251" w:type="dxa"/>
            <w:tcBorders>
              <w:top w:val="nil"/>
              <w:left w:val="nil"/>
              <w:bottom w:val="single" w:sz="8" w:space="0" w:color="auto"/>
              <w:right w:val="single" w:sz="8" w:space="0" w:color="auto"/>
            </w:tcBorders>
            <w:shd w:val="clear" w:color="auto" w:fill="auto"/>
            <w:vAlign w:val="center"/>
            <w:hideMark/>
          </w:tcPr>
          <w:p w14:paraId="0CE970A7" w14:textId="77777777" w:rsid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NICSP N° 4,</w:t>
            </w:r>
          </w:p>
          <w:p w14:paraId="34BBAC53" w14:textId="351BF742" w:rsidR="002B5312" w:rsidRP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Párrafo 41,</w:t>
            </w:r>
          </w:p>
        </w:tc>
        <w:tc>
          <w:tcPr>
            <w:tcW w:w="1855" w:type="dxa"/>
            <w:tcBorders>
              <w:top w:val="nil"/>
              <w:left w:val="nil"/>
              <w:bottom w:val="single" w:sz="8" w:space="0" w:color="auto"/>
              <w:right w:val="single" w:sz="8" w:space="0" w:color="auto"/>
            </w:tcBorders>
            <w:shd w:val="clear" w:color="auto" w:fill="auto"/>
            <w:vAlign w:val="center"/>
            <w:hideMark/>
          </w:tcPr>
          <w:p w14:paraId="1ECEB55C" w14:textId="77777777" w:rsidR="002B5312" w:rsidRPr="002B5312" w:rsidRDefault="002B5312" w:rsidP="002B5312">
            <w:pP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DGCN</w:t>
            </w:r>
          </w:p>
        </w:tc>
      </w:tr>
      <w:tr w:rsidR="002B5312" w:rsidRPr="002B5312" w14:paraId="044894F5" w14:textId="77777777" w:rsidTr="0012299F">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BCCB394"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5</w:t>
            </w:r>
          </w:p>
        </w:tc>
        <w:tc>
          <w:tcPr>
            <w:tcW w:w="708" w:type="dxa"/>
            <w:tcBorders>
              <w:top w:val="nil"/>
              <w:left w:val="nil"/>
              <w:bottom w:val="single" w:sz="8" w:space="0" w:color="auto"/>
              <w:right w:val="single" w:sz="8" w:space="0" w:color="auto"/>
            </w:tcBorders>
            <w:shd w:val="clear" w:color="auto" w:fill="auto"/>
            <w:noWrap/>
            <w:vAlign w:val="center"/>
            <w:hideMark/>
          </w:tcPr>
          <w:p w14:paraId="3711FC9F"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56</w:t>
            </w:r>
          </w:p>
        </w:tc>
        <w:tc>
          <w:tcPr>
            <w:tcW w:w="426" w:type="dxa"/>
            <w:tcBorders>
              <w:top w:val="nil"/>
              <w:left w:val="nil"/>
              <w:bottom w:val="single" w:sz="8" w:space="0" w:color="auto"/>
              <w:right w:val="single" w:sz="8" w:space="0" w:color="auto"/>
            </w:tcBorders>
            <w:shd w:val="clear" w:color="auto" w:fill="auto"/>
            <w:vAlign w:val="center"/>
            <w:hideMark/>
          </w:tcPr>
          <w:p w14:paraId="48154105" w14:textId="77777777" w:rsidR="002B5312" w:rsidRPr="002B5312" w:rsidRDefault="002B5312" w:rsidP="002B5312">
            <w:pPr>
              <w:jc w:val="cente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2</w:t>
            </w:r>
          </w:p>
        </w:tc>
        <w:tc>
          <w:tcPr>
            <w:tcW w:w="3690" w:type="dxa"/>
            <w:tcBorders>
              <w:top w:val="nil"/>
              <w:left w:val="nil"/>
              <w:bottom w:val="single" w:sz="8" w:space="0" w:color="auto"/>
              <w:right w:val="single" w:sz="8" w:space="0" w:color="auto"/>
            </w:tcBorders>
            <w:shd w:val="clear" w:color="auto" w:fill="auto"/>
            <w:vAlign w:val="center"/>
            <w:hideMark/>
          </w:tcPr>
          <w:p w14:paraId="726C2DD0" w14:textId="77777777" w:rsidR="002B5312" w:rsidRP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Efectos del cambio</w:t>
            </w:r>
          </w:p>
        </w:tc>
        <w:tc>
          <w:tcPr>
            <w:tcW w:w="2251" w:type="dxa"/>
            <w:tcBorders>
              <w:top w:val="nil"/>
              <w:left w:val="nil"/>
              <w:bottom w:val="single" w:sz="8" w:space="0" w:color="auto"/>
              <w:right w:val="single" w:sz="8" w:space="0" w:color="auto"/>
            </w:tcBorders>
            <w:shd w:val="clear" w:color="auto" w:fill="auto"/>
            <w:vAlign w:val="center"/>
            <w:hideMark/>
          </w:tcPr>
          <w:p w14:paraId="75E4B994" w14:textId="77777777" w:rsid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NICSP N° 4,</w:t>
            </w:r>
          </w:p>
          <w:p w14:paraId="3B266BF7" w14:textId="1C4A9FE4" w:rsidR="002B5312" w:rsidRPr="002B5312" w:rsidRDefault="002B5312" w:rsidP="002B5312">
            <w:pPr>
              <w:jc w:val="both"/>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Párrafo 42.</w:t>
            </w:r>
          </w:p>
        </w:tc>
        <w:tc>
          <w:tcPr>
            <w:tcW w:w="1855" w:type="dxa"/>
            <w:tcBorders>
              <w:top w:val="nil"/>
              <w:left w:val="nil"/>
              <w:bottom w:val="single" w:sz="8" w:space="0" w:color="auto"/>
              <w:right w:val="single" w:sz="8" w:space="0" w:color="auto"/>
            </w:tcBorders>
            <w:shd w:val="clear" w:color="auto" w:fill="auto"/>
            <w:vAlign w:val="center"/>
            <w:hideMark/>
          </w:tcPr>
          <w:p w14:paraId="4C08AFAE" w14:textId="77777777" w:rsidR="002B5312" w:rsidRPr="002B5312" w:rsidRDefault="002B5312" w:rsidP="002B5312">
            <w:pPr>
              <w:rPr>
                <w:rFonts w:ascii="Arial Narrow" w:eastAsia="Times New Roman" w:hAnsi="Arial Narrow" w:cs="Calibri"/>
                <w:b/>
                <w:bCs/>
                <w:color w:val="000000"/>
                <w:sz w:val="22"/>
                <w:szCs w:val="22"/>
              </w:rPr>
            </w:pPr>
            <w:r w:rsidRPr="002B5312">
              <w:rPr>
                <w:rFonts w:ascii="Arial Narrow" w:eastAsia="Times New Roman" w:hAnsi="Arial Narrow" w:cs="Calibri"/>
                <w:b/>
                <w:bCs/>
                <w:color w:val="000000"/>
                <w:sz w:val="22"/>
                <w:szCs w:val="22"/>
              </w:rPr>
              <w:t>DGCN</w:t>
            </w:r>
          </w:p>
        </w:tc>
      </w:tr>
    </w:tbl>
    <w:p w14:paraId="2E93677F" w14:textId="77777777" w:rsidR="0032280D" w:rsidRPr="00C92C8E" w:rsidRDefault="0032280D" w:rsidP="00773733">
      <w:pPr>
        <w:pStyle w:val="Default"/>
        <w:ind w:left="1134" w:hanging="1134"/>
        <w:jc w:val="both"/>
        <w:rPr>
          <w:sz w:val="22"/>
          <w:szCs w:val="22"/>
          <w:lang w:val="es-CR"/>
        </w:rPr>
      </w:pPr>
    </w:p>
    <w:p w14:paraId="3FFA2782" w14:textId="77777777" w:rsidR="0012299F" w:rsidRDefault="0012299F" w:rsidP="0012299F">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6CBABE19" w14:textId="77777777" w:rsidR="0032280D" w:rsidRPr="00C92C8E" w:rsidRDefault="0032280D" w:rsidP="00773733">
      <w:pPr>
        <w:pStyle w:val="Default"/>
        <w:ind w:left="1134" w:hanging="1134"/>
        <w:jc w:val="both"/>
        <w:rPr>
          <w:sz w:val="22"/>
          <w:szCs w:val="22"/>
          <w:lang w:val="es-CR"/>
        </w:rPr>
      </w:pPr>
    </w:p>
    <w:p w14:paraId="3DBFC8B7" w14:textId="3CB6E721" w:rsidR="002B5312" w:rsidRDefault="002B5312" w:rsidP="002B5312">
      <w:pPr>
        <w:pStyle w:val="Default"/>
        <w:ind w:left="1134" w:hanging="1134"/>
        <w:jc w:val="both"/>
        <w:rPr>
          <w:sz w:val="22"/>
          <w:szCs w:val="22"/>
          <w:lang w:val="es-CR"/>
        </w:rPr>
      </w:pPr>
      <w:r>
        <w:rPr>
          <w:sz w:val="22"/>
          <w:szCs w:val="22"/>
          <w:lang w:val="es-CR"/>
        </w:rPr>
        <w:t>5.56.0.01</w:t>
      </w:r>
      <w:r>
        <w:rPr>
          <w:sz w:val="22"/>
          <w:szCs w:val="22"/>
          <w:lang w:val="es-CR"/>
        </w:rPr>
        <w:tab/>
      </w:r>
      <w:r w:rsidRPr="002B5312">
        <w:rPr>
          <w:sz w:val="22"/>
          <w:szCs w:val="22"/>
          <w:lang w:val="es-CR"/>
        </w:rPr>
        <w:t xml:space="preserve">En caso de que el Gobierno de Costa Rica reemplazara la moneda funcional, la </w:t>
      </w:r>
      <w:r>
        <w:rPr>
          <w:sz w:val="22"/>
          <w:szCs w:val="22"/>
          <w:lang w:val="es-CR"/>
        </w:rPr>
        <w:t>Municipalidad</w:t>
      </w:r>
      <w:r w:rsidRPr="002B5312">
        <w:rPr>
          <w:sz w:val="22"/>
          <w:szCs w:val="22"/>
          <w:lang w:val="es-CR"/>
        </w:rPr>
        <w:t xml:space="preserve"> deberá aplicar los procedimientos de conversión que sean aplicables a la nueva moneda funcional de forma prospectiva, desde la fecha del cambio.</w:t>
      </w:r>
    </w:p>
    <w:p w14:paraId="17B2AB98" w14:textId="77777777" w:rsidR="002B5312" w:rsidRPr="002B5312" w:rsidRDefault="002B5312" w:rsidP="002B5312">
      <w:pPr>
        <w:pStyle w:val="Default"/>
        <w:ind w:left="1134" w:hanging="1134"/>
        <w:jc w:val="both"/>
        <w:rPr>
          <w:sz w:val="22"/>
          <w:szCs w:val="22"/>
          <w:lang w:val="es-CR"/>
        </w:rPr>
      </w:pPr>
    </w:p>
    <w:p w14:paraId="0337601C" w14:textId="5D158115" w:rsidR="002B5312" w:rsidRDefault="002B5312" w:rsidP="002B5312">
      <w:pPr>
        <w:pStyle w:val="Default"/>
        <w:ind w:left="1134" w:hanging="1134"/>
        <w:jc w:val="both"/>
        <w:rPr>
          <w:sz w:val="22"/>
          <w:szCs w:val="22"/>
          <w:lang w:val="es-CR"/>
        </w:rPr>
      </w:pPr>
      <w:r>
        <w:rPr>
          <w:sz w:val="22"/>
          <w:szCs w:val="22"/>
          <w:lang w:val="es-CR"/>
        </w:rPr>
        <w:t>5.56.0.02</w:t>
      </w:r>
      <w:r>
        <w:rPr>
          <w:sz w:val="22"/>
          <w:szCs w:val="22"/>
          <w:lang w:val="es-CR"/>
        </w:rPr>
        <w:tab/>
      </w:r>
      <w:r w:rsidRPr="002B5312">
        <w:rPr>
          <w:sz w:val="22"/>
          <w:szCs w:val="22"/>
          <w:lang w:val="es-CR"/>
        </w:rPr>
        <w:t xml:space="preserve">El efecto de un cambio de moneda funcional se contabilizará de forma prospectiva. En otras palabras, la </w:t>
      </w:r>
      <w:r>
        <w:rPr>
          <w:sz w:val="22"/>
          <w:szCs w:val="22"/>
          <w:lang w:val="es-CR"/>
        </w:rPr>
        <w:t>Municipalidad</w:t>
      </w:r>
      <w:r w:rsidRPr="002B5312">
        <w:rPr>
          <w:sz w:val="22"/>
          <w:szCs w:val="22"/>
          <w:lang w:val="es-CR"/>
        </w:rPr>
        <w:t xml:space="preserve"> convertirá todas las partidas a la nueva moneda funcional utilizando la tasa de cambio a la fecha en que se produzca aquél. Los importes resultantes ya convertidos, en el caso de partidas no monetarias, se considerarán como sus correspondientes costos históricos. Las diferencias de cambio procedentes de la conversión de un negocio en el extranjero, que se hubieran clasificado anteriormente como componentes de los activos netos/patrimonio de acuerdo con los párrafos 37 y 44(c), no se reconocerán en el resultado (ahorro o desahorro) hasta que se lleve a cabo la disposición del negocio en el extranjero</w:t>
      </w:r>
      <w:r>
        <w:rPr>
          <w:sz w:val="22"/>
          <w:szCs w:val="22"/>
          <w:lang w:val="es-CR"/>
        </w:rPr>
        <w:t>.</w:t>
      </w:r>
    </w:p>
    <w:p w14:paraId="0183E050" w14:textId="554640F8" w:rsidR="002B5312" w:rsidRPr="002B5312" w:rsidRDefault="002B5312" w:rsidP="002B5312">
      <w:pPr>
        <w:pStyle w:val="Default"/>
        <w:ind w:left="1134" w:hanging="1134"/>
        <w:jc w:val="both"/>
        <w:rPr>
          <w:sz w:val="22"/>
          <w:szCs w:val="22"/>
          <w:lang w:val="es-CR"/>
        </w:rPr>
      </w:pPr>
      <w:r w:rsidRPr="002B5312">
        <w:rPr>
          <w:sz w:val="22"/>
          <w:szCs w:val="22"/>
          <w:lang w:val="es-CR"/>
        </w:rPr>
        <w:t xml:space="preserve"> </w:t>
      </w:r>
    </w:p>
    <w:p w14:paraId="67280468" w14:textId="2F1FAC12" w:rsidR="0032280D" w:rsidRDefault="002B5312" w:rsidP="002B5312">
      <w:pPr>
        <w:pStyle w:val="Default"/>
        <w:ind w:left="1134" w:hanging="1134"/>
        <w:jc w:val="both"/>
        <w:rPr>
          <w:sz w:val="22"/>
          <w:szCs w:val="22"/>
          <w:lang w:val="es-CR"/>
        </w:rPr>
      </w:pPr>
      <w:r>
        <w:rPr>
          <w:sz w:val="22"/>
          <w:szCs w:val="22"/>
          <w:lang w:val="es-CR"/>
        </w:rPr>
        <w:lastRenderedPageBreak/>
        <w:t>5.56.</w:t>
      </w:r>
      <w:r w:rsidRPr="002B5312">
        <w:rPr>
          <w:sz w:val="22"/>
          <w:szCs w:val="22"/>
          <w:lang w:val="es-CR"/>
        </w:rPr>
        <w:t>1.</w:t>
      </w:r>
      <w:r>
        <w:rPr>
          <w:sz w:val="22"/>
          <w:szCs w:val="22"/>
          <w:lang w:val="es-CR"/>
        </w:rPr>
        <w:t>01</w:t>
      </w:r>
      <w:r>
        <w:rPr>
          <w:sz w:val="22"/>
          <w:szCs w:val="22"/>
          <w:lang w:val="es-CR"/>
        </w:rPr>
        <w:tab/>
        <w:t>La Municipaldad</w:t>
      </w:r>
      <w:r w:rsidRPr="002B5312">
        <w:rPr>
          <w:sz w:val="22"/>
          <w:szCs w:val="22"/>
          <w:lang w:val="es-CR"/>
        </w:rPr>
        <w:t xml:space="preserve"> sólo podrán cambiar la moneda funcional por directrices</w:t>
      </w:r>
      <w:r w:rsidRPr="002B5312">
        <w:rPr>
          <w:b/>
          <w:bCs/>
          <w:sz w:val="22"/>
          <w:szCs w:val="22"/>
          <w:lang w:val="es-CR"/>
        </w:rPr>
        <w:t xml:space="preserve"> </w:t>
      </w:r>
      <w:r w:rsidRPr="002B5312">
        <w:rPr>
          <w:sz w:val="22"/>
          <w:szCs w:val="22"/>
          <w:lang w:val="es-CR"/>
        </w:rPr>
        <w:t>del Gobierno de Costa Rica.</w:t>
      </w:r>
    </w:p>
    <w:p w14:paraId="7B1CDD6A" w14:textId="77777777" w:rsidR="002B5312" w:rsidRPr="002B5312" w:rsidRDefault="002B5312" w:rsidP="002B5312">
      <w:pPr>
        <w:pStyle w:val="Default"/>
        <w:ind w:left="1134" w:hanging="1134"/>
        <w:jc w:val="both"/>
        <w:rPr>
          <w:sz w:val="22"/>
          <w:szCs w:val="22"/>
          <w:lang w:val="es-CR"/>
        </w:rPr>
      </w:pPr>
    </w:p>
    <w:p w14:paraId="50ECEBF1" w14:textId="2B42D111" w:rsidR="00AF5E44" w:rsidRPr="002B5312" w:rsidRDefault="002B5312" w:rsidP="002B5312">
      <w:pPr>
        <w:pStyle w:val="Default"/>
        <w:ind w:left="1134" w:hanging="1134"/>
        <w:jc w:val="both"/>
        <w:rPr>
          <w:sz w:val="22"/>
          <w:szCs w:val="22"/>
          <w:lang w:val="es-CR"/>
        </w:rPr>
      </w:pPr>
      <w:r>
        <w:rPr>
          <w:sz w:val="22"/>
          <w:szCs w:val="22"/>
          <w:lang w:val="es-CR"/>
        </w:rPr>
        <w:t>5.56.</w:t>
      </w:r>
      <w:r w:rsidRPr="002B5312">
        <w:rPr>
          <w:sz w:val="22"/>
          <w:szCs w:val="22"/>
          <w:lang w:val="es-CR"/>
        </w:rPr>
        <w:t>2.</w:t>
      </w:r>
      <w:r>
        <w:rPr>
          <w:sz w:val="22"/>
          <w:szCs w:val="22"/>
          <w:lang w:val="es-CR"/>
        </w:rPr>
        <w:t>01</w:t>
      </w:r>
      <w:r>
        <w:rPr>
          <w:sz w:val="22"/>
          <w:szCs w:val="22"/>
          <w:lang w:val="es-CR"/>
        </w:rPr>
        <w:tab/>
      </w:r>
      <w:r w:rsidRPr="002B5312">
        <w:rPr>
          <w:sz w:val="22"/>
          <w:szCs w:val="22"/>
          <w:lang w:val="es-CR"/>
        </w:rPr>
        <w:t xml:space="preserve">El efecto de un cambio de moneda funcional se contabilizará de forma prospectiva, es decir, que </w:t>
      </w:r>
      <w:r>
        <w:rPr>
          <w:sz w:val="22"/>
          <w:szCs w:val="22"/>
          <w:lang w:val="es-CR"/>
        </w:rPr>
        <w:t>l</w:t>
      </w:r>
      <w:r w:rsidRPr="002B5312">
        <w:rPr>
          <w:sz w:val="22"/>
          <w:szCs w:val="22"/>
          <w:lang w:val="es-CR"/>
        </w:rPr>
        <w:t xml:space="preserve">a </w:t>
      </w:r>
      <w:r>
        <w:rPr>
          <w:sz w:val="22"/>
          <w:szCs w:val="22"/>
          <w:lang w:val="es-CR"/>
        </w:rPr>
        <w:t>Municipalidad</w:t>
      </w:r>
      <w:r w:rsidRPr="002B5312">
        <w:rPr>
          <w:sz w:val="22"/>
          <w:szCs w:val="22"/>
          <w:lang w:val="es-CR"/>
        </w:rPr>
        <w:t xml:space="preserve"> convertirá todas las partidas a la nueva moneda funcional utilizando la tasa de cambio a la fecha en que se produzca el mismo. Los importes resultantes ya convertidos, en el caso de partidas no monetarias, se considerarán a sus correspondientes costos históricos.</w:t>
      </w:r>
    </w:p>
    <w:p w14:paraId="0A88BB31" w14:textId="77777777" w:rsidR="00AF5E44" w:rsidRPr="002B5312" w:rsidRDefault="00AF5E44" w:rsidP="002B5312">
      <w:pPr>
        <w:pStyle w:val="Default"/>
        <w:ind w:left="1134" w:hanging="1134"/>
        <w:jc w:val="both"/>
        <w:rPr>
          <w:sz w:val="22"/>
          <w:szCs w:val="22"/>
          <w:lang w:val="es-CR"/>
        </w:rPr>
      </w:pPr>
    </w:p>
    <w:p w14:paraId="278DC5EA" w14:textId="77777777" w:rsidR="00AF5E44" w:rsidRDefault="00AF5E44" w:rsidP="002B5312">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91"/>
        <w:gridCol w:w="2251"/>
        <w:gridCol w:w="1854"/>
      </w:tblGrid>
      <w:tr w:rsidR="008568F2" w:rsidRPr="008568F2" w14:paraId="07127221" w14:textId="77777777" w:rsidTr="0012299F">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1F76BC1"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4BEDA52D"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Concepto</w:t>
            </w:r>
          </w:p>
        </w:tc>
        <w:tc>
          <w:tcPr>
            <w:tcW w:w="4105" w:type="dxa"/>
            <w:gridSpan w:val="2"/>
            <w:tcBorders>
              <w:top w:val="single" w:sz="8" w:space="0" w:color="auto"/>
              <w:left w:val="nil"/>
              <w:bottom w:val="single" w:sz="8" w:space="0" w:color="auto"/>
              <w:right w:val="single" w:sz="8" w:space="0" w:color="000000"/>
            </w:tcBorders>
            <w:shd w:val="clear" w:color="000000" w:fill="203764"/>
            <w:vAlign w:val="center"/>
            <w:hideMark/>
          </w:tcPr>
          <w:p w14:paraId="76E695EC"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Referencia</w:t>
            </w:r>
          </w:p>
        </w:tc>
      </w:tr>
      <w:tr w:rsidR="008568F2" w:rsidRPr="006E5442" w14:paraId="59850831" w14:textId="77777777" w:rsidTr="0012299F">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9B104F9" w14:textId="77777777" w:rsidR="008568F2" w:rsidRPr="008568F2" w:rsidRDefault="008568F2" w:rsidP="008568F2">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4718AC02" w14:textId="77777777" w:rsidR="008568F2" w:rsidRPr="008568F2" w:rsidRDefault="008568F2" w:rsidP="008568F2">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188BA39E"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4010A48A" w14:textId="77777777" w:rsidR="008568F2" w:rsidRPr="008568F2" w:rsidRDefault="008568F2" w:rsidP="008568F2">
            <w:pPr>
              <w:jc w:val="center"/>
              <w:rPr>
                <w:rFonts w:ascii="Arial Narrow" w:eastAsia="Times New Roman" w:hAnsi="Arial Narrow" w:cs="Calibri"/>
                <w:b/>
                <w:bCs/>
                <w:color w:val="FFFFFF"/>
                <w:sz w:val="22"/>
                <w:szCs w:val="22"/>
                <w:lang w:val="es-CR"/>
              </w:rPr>
            </w:pPr>
            <w:r w:rsidRPr="008568F2">
              <w:rPr>
                <w:rFonts w:ascii="Arial Narrow" w:eastAsia="Times New Roman" w:hAnsi="Arial Narrow" w:cs="Calibri"/>
                <w:b/>
                <w:bCs/>
                <w:color w:val="FFFFFF"/>
                <w:sz w:val="22"/>
                <w:szCs w:val="22"/>
                <w:lang w:val="es-CR"/>
              </w:rPr>
              <w:t>Normativa técnica y disposiciones adicionales</w:t>
            </w:r>
          </w:p>
        </w:tc>
      </w:tr>
      <w:tr w:rsidR="008568F2" w:rsidRPr="008568F2" w14:paraId="3AD2FC22" w14:textId="77777777" w:rsidTr="0012299F">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981345"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828253E"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57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72999EE"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 xml:space="preserve"> </w:t>
            </w: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42033A91" w14:textId="77777777" w:rsidR="008568F2" w:rsidRPr="008568F2" w:rsidRDefault="008568F2" w:rsidP="008568F2">
            <w:pPr>
              <w:jc w:val="both"/>
              <w:rPr>
                <w:rFonts w:ascii="Arial Narrow" w:eastAsia="Times New Roman" w:hAnsi="Arial Narrow" w:cs="Calibri"/>
                <w:b/>
                <w:bCs/>
                <w:color w:val="000000"/>
                <w:sz w:val="22"/>
                <w:szCs w:val="22"/>
                <w:lang w:val="es-CR"/>
              </w:rPr>
            </w:pPr>
            <w:r w:rsidRPr="008568F2">
              <w:rPr>
                <w:rFonts w:ascii="Arial Narrow" w:eastAsia="Times New Roman" w:hAnsi="Arial Narrow" w:cs="Calibri"/>
                <w:b/>
                <w:bCs/>
                <w:color w:val="000000"/>
                <w:sz w:val="22"/>
                <w:szCs w:val="22"/>
                <w:lang w:val="es-CR"/>
              </w:rPr>
              <w:t>Conversión a la moneda de presentación</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12293EF9" w14:textId="6E1CB7A1" w:rsidR="008568F2" w:rsidRDefault="008568F2" w:rsidP="008568F2">
            <w:pPr>
              <w:jc w:val="both"/>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NICSP N° 4</w:t>
            </w:r>
            <w:r w:rsidR="004F797D">
              <w:rPr>
                <w:rFonts w:ascii="Arial Narrow" w:eastAsia="Times New Roman" w:hAnsi="Arial Narrow" w:cs="Calibri"/>
                <w:b/>
                <w:bCs/>
                <w:color w:val="000000"/>
                <w:sz w:val="22"/>
                <w:szCs w:val="22"/>
              </w:rPr>
              <w:t>,</w:t>
            </w:r>
          </w:p>
          <w:p w14:paraId="10EAB73A" w14:textId="4606E919" w:rsidR="008568F2" w:rsidRPr="008568F2" w:rsidRDefault="008568F2" w:rsidP="008568F2">
            <w:pPr>
              <w:jc w:val="both"/>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Párrafo 43.</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1783EACA"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DGCN</w:t>
            </w:r>
          </w:p>
        </w:tc>
      </w:tr>
    </w:tbl>
    <w:p w14:paraId="0740F386" w14:textId="77777777" w:rsidR="008568F2" w:rsidRDefault="008568F2" w:rsidP="002B5312">
      <w:pPr>
        <w:pStyle w:val="Default"/>
        <w:ind w:left="1134" w:hanging="1134"/>
        <w:jc w:val="both"/>
        <w:rPr>
          <w:sz w:val="22"/>
          <w:szCs w:val="22"/>
          <w:lang w:val="es-CR"/>
        </w:rPr>
      </w:pPr>
    </w:p>
    <w:p w14:paraId="5081B400" w14:textId="1A2CF9C3" w:rsidR="0012299F" w:rsidRDefault="0012299F" w:rsidP="0012299F">
      <w:pPr>
        <w:pStyle w:val="Default"/>
        <w:ind w:left="1134" w:hanging="1134"/>
        <w:jc w:val="both"/>
        <w:rPr>
          <w:rFonts w:eastAsia="Arial"/>
          <w:b/>
          <w:sz w:val="22"/>
          <w:szCs w:val="22"/>
        </w:rPr>
      </w:pPr>
      <w:r w:rsidRPr="00F02F9D">
        <w:rPr>
          <w:rFonts w:eastAsia="Arial"/>
          <w:b/>
          <w:sz w:val="22"/>
          <w:szCs w:val="22"/>
        </w:rPr>
        <w:t>Política Contable</w:t>
      </w:r>
    </w:p>
    <w:p w14:paraId="2035F195" w14:textId="77777777" w:rsidR="0012299F" w:rsidRPr="002B5312" w:rsidRDefault="0012299F" w:rsidP="002B5312">
      <w:pPr>
        <w:pStyle w:val="Default"/>
        <w:ind w:left="1134" w:hanging="1134"/>
        <w:jc w:val="both"/>
        <w:rPr>
          <w:sz w:val="22"/>
          <w:szCs w:val="22"/>
          <w:lang w:val="es-CR"/>
        </w:rPr>
      </w:pPr>
    </w:p>
    <w:p w14:paraId="4A57596B" w14:textId="43206A6D" w:rsidR="00AF5E44" w:rsidRDefault="008568F2" w:rsidP="00773733">
      <w:pPr>
        <w:pStyle w:val="Default"/>
        <w:ind w:left="1134" w:hanging="1134"/>
        <w:jc w:val="both"/>
        <w:rPr>
          <w:sz w:val="22"/>
          <w:szCs w:val="22"/>
          <w:lang w:val="es-CR"/>
        </w:rPr>
      </w:pPr>
      <w:r>
        <w:rPr>
          <w:sz w:val="22"/>
          <w:szCs w:val="22"/>
          <w:lang w:val="es-CR"/>
        </w:rPr>
        <w:t>5.57.0.01</w:t>
      </w:r>
      <w:r>
        <w:rPr>
          <w:sz w:val="22"/>
          <w:szCs w:val="22"/>
          <w:lang w:val="es-CR"/>
        </w:rPr>
        <w:tab/>
      </w:r>
      <w:r w:rsidRPr="008568F2">
        <w:rPr>
          <w:sz w:val="22"/>
          <w:szCs w:val="22"/>
          <w:lang w:val="es-CR"/>
        </w:rPr>
        <w:t>Los EEFF deben presentarse en la moneda funcional. Si una entidad elabora información financiera en moneda diferente de la funcional, deberá convertir sus resultados y situación financiera a la moneda funcional.</w:t>
      </w:r>
    </w:p>
    <w:p w14:paraId="53417C16" w14:textId="77777777" w:rsidR="0012299F" w:rsidRDefault="0012299F" w:rsidP="00773733">
      <w:pPr>
        <w:pStyle w:val="Default"/>
        <w:ind w:left="1134" w:hanging="1134"/>
        <w:jc w:val="both"/>
        <w:rPr>
          <w:sz w:val="22"/>
          <w:szCs w:val="22"/>
          <w:lang w:val="es-CR"/>
        </w:rPr>
      </w:pPr>
    </w:p>
    <w:p w14:paraId="11619FD6" w14:textId="77777777" w:rsidR="0012299F" w:rsidRPr="008568F2" w:rsidRDefault="0012299F" w:rsidP="00773733">
      <w:pPr>
        <w:pStyle w:val="Default"/>
        <w:ind w:left="1134" w:hanging="1134"/>
        <w:jc w:val="both"/>
        <w:rPr>
          <w:sz w:val="22"/>
          <w:szCs w:val="22"/>
          <w:lang w:val="es-CR"/>
        </w:rPr>
      </w:pPr>
    </w:p>
    <w:p w14:paraId="0389EF9E" w14:textId="77777777" w:rsidR="00AF5E44" w:rsidRPr="00C92C8E" w:rsidRDefault="00AF5E44" w:rsidP="00773733">
      <w:pPr>
        <w:pStyle w:val="Default"/>
        <w:ind w:left="1134" w:hanging="1134"/>
        <w:jc w:val="both"/>
        <w:rPr>
          <w:sz w:val="22"/>
          <w:szCs w:val="22"/>
          <w:lang w:val="es-CR"/>
        </w:rPr>
      </w:pPr>
    </w:p>
    <w:tbl>
      <w:tblPr>
        <w:tblW w:w="9264" w:type="dxa"/>
        <w:tblLook w:val="04A0" w:firstRow="1" w:lastRow="0" w:firstColumn="1" w:lastColumn="0" w:noHBand="0" w:noVBand="1"/>
      </w:tblPr>
      <w:tblGrid>
        <w:gridCol w:w="416"/>
        <w:gridCol w:w="665"/>
        <w:gridCol w:w="427"/>
        <w:gridCol w:w="3727"/>
        <w:gridCol w:w="2241"/>
        <w:gridCol w:w="1788"/>
      </w:tblGrid>
      <w:tr w:rsidR="008568F2" w:rsidRPr="008568F2" w14:paraId="6424F45B" w14:textId="77777777" w:rsidTr="00D64D52">
        <w:trPr>
          <w:trHeight w:val="300"/>
        </w:trPr>
        <w:tc>
          <w:tcPr>
            <w:tcW w:w="150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AC94DC0"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Norma / Política</w:t>
            </w:r>
          </w:p>
        </w:tc>
        <w:tc>
          <w:tcPr>
            <w:tcW w:w="3727" w:type="dxa"/>
            <w:vMerge w:val="restart"/>
            <w:tcBorders>
              <w:top w:val="single" w:sz="8" w:space="0" w:color="auto"/>
              <w:left w:val="single" w:sz="8" w:space="0" w:color="auto"/>
              <w:bottom w:val="nil"/>
              <w:right w:val="single" w:sz="8" w:space="0" w:color="auto"/>
            </w:tcBorders>
            <w:shd w:val="clear" w:color="000000" w:fill="203764"/>
            <w:vAlign w:val="center"/>
            <w:hideMark/>
          </w:tcPr>
          <w:p w14:paraId="17B8AE65"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Concepto</w:t>
            </w:r>
          </w:p>
        </w:tc>
        <w:tc>
          <w:tcPr>
            <w:tcW w:w="4029" w:type="dxa"/>
            <w:gridSpan w:val="2"/>
            <w:tcBorders>
              <w:top w:val="single" w:sz="8" w:space="0" w:color="auto"/>
              <w:left w:val="nil"/>
              <w:bottom w:val="single" w:sz="8" w:space="0" w:color="auto"/>
              <w:right w:val="single" w:sz="8" w:space="0" w:color="000000"/>
            </w:tcBorders>
            <w:shd w:val="clear" w:color="000000" w:fill="203764"/>
            <w:vAlign w:val="center"/>
            <w:hideMark/>
          </w:tcPr>
          <w:p w14:paraId="2307250C"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Referencia</w:t>
            </w:r>
          </w:p>
        </w:tc>
      </w:tr>
      <w:tr w:rsidR="008568F2" w:rsidRPr="006E5442" w14:paraId="06A65BBA" w14:textId="77777777" w:rsidTr="00D64D52">
        <w:trPr>
          <w:trHeight w:val="850"/>
        </w:trPr>
        <w:tc>
          <w:tcPr>
            <w:tcW w:w="1508" w:type="dxa"/>
            <w:gridSpan w:val="3"/>
            <w:vMerge/>
            <w:tcBorders>
              <w:top w:val="single" w:sz="8" w:space="0" w:color="auto"/>
              <w:left w:val="single" w:sz="8" w:space="0" w:color="auto"/>
              <w:bottom w:val="nil"/>
              <w:right w:val="single" w:sz="8" w:space="0" w:color="000000"/>
            </w:tcBorders>
            <w:vAlign w:val="center"/>
            <w:hideMark/>
          </w:tcPr>
          <w:p w14:paraId="78BF2D55" w14:textId="77777777" w:rsidR="008568F2" w:rsidRPr="008568F2" w:rsidRDefault="008568F2" w:rsidP="008568F2">
            <w:pPr>
              <w:rPr>
                <w:rFonts w:ascii="Arial Narrow" w:eastAsia="Times New Roman" w:hAnsi="Arial Narrow" w:cs="Calibri"/>
                <w:b/>
                <w:bCs/>
                <w:color w:val="FFFFFF"/>
                <w:sz w:val="22"/>
                <w:szCs w:val="22"/>
              </w:rPr>
            </w:pPr>
          </w:p>
        </w:tc>
        <w:tc>
          <w:tcPr>
            <w:tcW w:w="3727" w:type="dxa"/>
            <w:vMerge/>
            <w:tcBorders>
              <w:top w:val="single" w:sz="8" w:space="0" w:color="auto"/>
              <w:left w:val="single" w:sz="8" w:space="0" w:color="auto"/>
              <w:bottom w:val="nil"/>
              <w:right w:val="single" w:sz="8" w:space="0" w:color="auto"/>
            </w:tcBorders>
            <w:vAlign w:val="center"/>
            <w:hideMark/>
          </w:tcPr>
          <w:p w14:paraId="593B13C2" w14:textId="77777777" w:rsidR="008568F2" w:rsidRPr="008568F2" w:rsidRDefault="008568F2" w:rsidP="008568F2">
            <w:pPr>
              <w:rPr>
                <w:rFonts w:ascii="Arial Narrow" w:eastAsia="Times New Roman" w:hAnsi="Arial Narrow" w:cs="Calibri"/>
                <w:b/>
                <w:bCs/>
                <w:color w:val="FFFFFF"/>
                <w:sz w:val="22"/>
                <w:szCs w:val="22"/>
              </w:rPr>
            </w:pPr>
          </w:p>
        </w:tc>
        <w:tc>
          <w:tcPr>
            <w:tcW w:w="2241" w:type="dxa"/>
            <w:tcBorders>
              <w:top w:val="nil"/>
              <w:left w:val="nil"/>
              <w:bottom w:val="nil"/>
              <w:right w:val="single" w:sz="8" w:space="0" w:color="auto"/>
            </w:tcBorders>
            <w:shd w:val="clear" w:color="000000" w:fill="203764"/>
            <w:vAlign w:val="center"/>
            <w:hideMark/>
          </w:tcPr>
          <w:p w14:paraId="4A71D94F"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Norma</w:t>
            </w:r>
          </w:p>
        </w:tc>
        <w:tc>
          <w:tcPr>
            <w:tcW w:w="1788" w:type="dxa"/>
            <w:tcBorders>
              <w:top w:val="nil"/>
              <w:left w:val="nil"/>
              <w:bottom w:val="nil"/>
              <w:right w:val="single" w:sz="8" w:space="0" w:color="auto"/>
            </w:tcBorders>
            <w:shd w:val="clear" w:color="000000" w:fill="203764"/>
            <w:vAlign w:val="center"/>
            <w:hideMark/>
          </w:tcPr>
          <w:p w14:paraId="0CAA91C1" w14:textId="77777777" w:rsidR="008568F2" w:rsidRPr="008568F2" w:rsidRDefault="008568F2" w:rsidP="008568F2">
            <w:pPr>
              <w:jc w:val="center"/>
              <w:rPr>
                <w:rFonts w:ascii="Arial Narrow" w:eastAsia="Times New Roman" w:hAnsi="Arial Narrow" w:cs="Calibri"/>
                <w:b/>
                <w:bCs/>
                <w:color w:val="FFFFFF"/>
                <w:sz w:val="22"/>
                <w:szCs w:val="22"/>
                <w:lang w:val="es-CR"/>
              </w:rPr>
            </w:pPr>
            <w:r w:rsidRPr="008568F2">
              <w:rPr>
                <w:rFonts w:ascii="Arial Narrow" w:eastAsia="Times New Roman" w:hAnsi="Arial Narrow" w:cs="Calibri"/>
                <w:b/>
                <w:bCs/>
                <w:color w:val="FFFFFF"/>
                <w:sz w:val="22"/>
                <w:szCs w:val="22"/>
                <w:lang w:val="es-CR"/>
              </w:rPr>
              <w:t>Normativa técnica y disposiciones adicionales</w:t>
            </w:r>
          </w:p>
        </w:tc>
      </w:tr>
      <w:tr w:rsidR="008568F2" w:rsidRPr="008568F2" w14:paraId="72AE21AA" w14:textId="77777777" w:rsidTr="00D64D5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19B468"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5</w:t>
            </w:r>
          </w:p>
        </w:tc>
        <w:tc>
          <w:tcPr>
            <w:tcW w:w="665" w:type="dxa"/>
            <w:tcBorders>
              <w:top w:val="single" w:sz="8" w:space="0" w:color="auto"/>
              <w:left w:val="nil"/>
              <w:bottom w:val="single" w:sz="8" w:space="0" w:color="auto"/>
              <w:right w:val="single" w:sz="8" w:space="0" w:color="auto"/>
            </w:tcBorders>
            <w:shd w:val="clear" w:color="auto" w:fill="auto"/>
            <w:noWrap/>
            <w:vAlign w:val="center"/>
            <w:hideMark/>
          </w:tcPr>
          <w:p w14:paraId="702AB858"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58</w:t>
            </w:r>
          </w:p>
        </w:tc>
        <w:tc>
          <w:tcPr>
            <w:tcW w:w="427" w:type="dxa"/>
            <w:tcBorders>
              <w:top w:val="single" w:sz="8" w:space="0" w:color="auto"/>
              <w:left w:val="nil"/>
              <w:bottom w:val="single" w:sz="8" w:space="0" w:color="auto"/>
              <w:right w:val="single" w:sz="8" w:space="0" w:color="auto"/>
            </w:tcBorders>
            <w:shd w:val="clear" w:color="auto" w:fill="auto"/>
            <w:vAlign w:val="center"/>
            <w:hideMark/>
          </w:tcPr>
          <w:p w14:paraId="31EEFB82"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 xml:space="preserve"> </w:t>
            </w:r>
          </w:p>
        </w:tc>
        <w:tc>
          <w:tcPr>
            <w:tcW w:w="3727" w:type="dxa"/>
            <w:tcBorders>
              <w:top w:val="single" w:sz="8" w:space="0" w:color="auto"/>
              <w:left w:val="nil"/>
              <w:bottom w:val="single" w:sz="8" w:space="0" w:color="auto"/>
              <w:right w:val="single" w:sz="8" w:space="0" w:color="auto"/>
            </w:tcBorders>
            <w:shd w:val="clear" w:color="auto" w:fill="auto"/>
            <w:vAlign w:val="center"/>
            <w:hideMark/>
          </w:tcPr>
          <w:p w14:paraId="383387AA" w14:textId="77777777" w:rsidR="008568F2" w:rsidRPr="008568F2" w:rsidRDefault="008568F2" w:rsidP="008568F2">
            <w:pPr>
              <w:jc w:val="both"/>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Información a revelar</w:t>
            </w:r>
          </w:p>
        </w:tc>
        <w:tc>
          <w:tcPr>
            <w:tcW w:w="2241" w:type="dxa"/>
            <w:tcBorders>
              <w:top w:val="single" w:sz="8" w:space="0" w:color="auto"/>
              <w:left w:val="nil"/>
              <w:bottom w:val="single" w:sz="8" w:space="0" w:color="auto"/>
              <w:right w:val="single" w:sz="8" w:space="0" w:color="auto"/>
            </w:tcBorders>
            <w:shd w:val="clear" w:color="auto" w:fill="auto"/>
            <w:vAlign w:val="center"/>
            <w:hideMark/>
          </w:tcPr>
          <w:p w14:paraId="310C340D" w14:textId="5EBD994B" w:rsidR="008568F2" w:rsidRDefault="008568F2" w:rsidP="008568F2">
            <w:pPr>
              <w:jc w:val="both"/>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NICSP N° 4</w:t>
            </w:r>
            <w:r w:rsidR="004F797D">
              <w:rPr>
                <w:rFonts w:ascii="Arial Narrow" w:eastAsia="Times New Roman" w:hAnsi="Arial Narrow" w:cs="Calibri"/>
                <w:b/>
                <w:bCs/>
                <w:color w:val="000000"/>
                <w:sz w:val="22"/>
                <w:szCs w:val="22"/>
              </w:rPr>
              <w:t>,</w:t>
            </w:r>
            <w:r w:rsidRPr="008568F2">
              <w:rPr>
                <w:rFonts w:ascii="Arial Narrow" w:eastAsia="Times New Roman" w:hAnsi="Arial Narrow" w:cs="Calibri"/>
                <w:b/>
                <w:bCs/>
                <w:color w:val="000000"/>
                <w:sz w:val="22"/>
                <w:szCs w:val="22"/>
              </w:rPr>
              <w:t xml:space="preserve"> </w:t>
            </w:r>
          </w:p>
          <w:p w14:paraId="2BE84BA4" w14:textId="61DB31A3" w:rsidR="008568F2" w:rsidRPr="008568F2" w:rsidRDefault="008568F2" w:rsidP="008568F2">
            <w:pPr>
              <w:jc w:val="both"/>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Párrafos 61, 63 y 66.</w:t>
            </w:r>
          </w:p>
        </w:tc>
        <w:tc>
          <w:tcPr>
            <w:tcW w:w="1788" w:type="dxa"/>
            <w:tcBorders>
              <w:top w:val="single" w:sz="8" w:space="0" w:color="auto"/>
              <w:left w:val="nil"/>
              <w:bottom w:val="single" w:sz="8" w:space="0" w:color="auto"/>
              <w:right w:val="single" w:sz="8" w:space="0" w:color="auto"/>
            </w:tcBorders>
            <w:shd w:val="clear" w:color="auto" w:fill="auto"/>
            <w:vAlign w:val="center"/>
            <w:hideMark/>
          </w:tcPr>
          <w:p w14:paraId="09AAA5FA"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 xml:space="preserve"> </w:t>
            </w:r>
          </w:p>
        </w:tc>
      </w:tr>
    </w:tbl>
    <w:p w14:paraId="138BCC68" w14:textId="77777777" w:rsidR="00AF5E44" w:rsidRDefault="00AF5E44" w:rsidP="00773733">
      <w:pPr>
        <w:pStyle w:val="Default"/>
        <w:ind w:left="1134" w:hanging="1134"/>
        <w:jc w:val="both"/>
        <w:rPr>
          <w:sz w:val="22"/>
          <w:szCs w:val="22"/>
          <w:lang w:val="es-CR"/>
        </w:rPr>
      </w:pPr>
    </w:p>
    <w:p w14:paraId="532E26BE" w14:textId="149D8437" w:rsidR="0012299F" w:rsidRDefault="0012299F" w:rsidP="0012299F">
      <w:pPr>
        <w:pStyle w:val="Default"/>
        <w:ind w:left="1134" w:hanging="1134"/>
        <w:jc w:val="both"/>
        <w:rPr>
          <w:rFonts w:eastAsia="Arial"/>
          <w:b/>
          <w:sz w:val="22"/>
          <w:szCs w:val="22"/>
        </w:rPr>
      </w:pPr>
      <w:r w:rsidRPr="00F02F9D">
        <w:rPr>
          <w:rFonts w:eastAsia="Arial"/>
          <w:b/>
          <w:sz w:val="22"/>
          <w:szCs w:val="22"/>
        </w:rPr>
        <w:t>Política Contable</w:t>
      </w:r>
    </w:p>
    <w:p w14:paraId="7B825CC7" w14:textId="77777777" w:rsidR="0012299F" w:rsidRPr="00C92C8E" w:rsidRDefault="0012299F" w:rsidP="00773733">
      <w:pPr>
        <w:pStyle w:val="Default"/>
        <w:ind w:left="1134" w:hanging="1134"/>
        <w:jc w:val="both"/>
        <w:rPr>
          <w:sz w:val="22"/>
          <w:szCs w:val="22"/>
          <w:lang w:val="es-CR"/>
        </w:rPr>
      </w:pPr>
    </w:p>
    <w:p w14:paraId="344DF5E8" w14:textId="3044E117" w:rsidR="008568F2" w:rsidRDefault="008568F2" w:rsidP="008568F2">
      <w:pPr>
        <w:pStyle w:val="Default"/>
        <w:ind w:left="1134" w:hanging="1134"/>
        <w:jc w:val="both"/>
        <w:rPr>
          <w:sz w:val="22"/>
          <w:szCs w:val="22"/>
          <w:lang w:val="es-CR"/>
        </w:rPr>
      </w:pPr>
      <w:r>
        <w:rPr>
          <w:sz w:val="22"/>
          <w:szCs w:val="22"/>
          <w:lang w:val="es-CR"/>
        </w:rPr>
        <w:t>5.58.0.01</w:t>
      </w:r>
      <w:r>
        <w:rPr>
          <w:sz w:val="22"/>
          <w:szCs w:val="22"/>
          <w:lang w:val="es-CR"/>
        </w:rPr>
        <w:tab/>
      </w:r>
      <w:r w:rsidRPr="008568F2">
        <w:rPr>
          <w:sz w:val="22"/>
          <w:szCs w:val="22"/>
          <w:lang w:val="es-CR"/>
        </w:rPr>
        <w:t>En los EEFF deberá revelarse la siguiente información:</w:t>
      </w:r>
    </w:p>
    <w:p w14:paraId="780CB0C4" w14:textId="77777777" w:rsidR="008568F2" w:rsidRPr="008568F2" w:rsidRDefault="008568F2" w:rsidP="008568F2">
      <w:pPr>
        <w:pStyle w:val="Default"/>
        <w:ind w:left="1134" w:hanging="1134"/>
        <w:jc w:val="both"/>
        <w:rPr>
          <w:sz w:val="22"/>
          <w:szCs w:val="22"/>
          <w:lang w:val="es-CR"/>
        </w:rPr>
      </w:pPr>
    </w:p>
    <w:p w14:paraId="2DDFA2F1" w14:textId="56E0106D" w:rsidR="008568F2" w:rsidRPr="008568F2" w:rsidRDefault="008568F2">
      <w:pPr>
        <w:pStyle w:val="Default"/>
        <w:numPr>
          <w:ilvl w:val="0"/>
          <w:numId w:val="308"/>
        </w:numPr>
        <w:spacing w:after="120"/>
        <w:ind w:left="1418" w:hanging="284"/>
        <w:jc w:val="both"/>
        <w:rPr>
          <w:sz w:val="22"/>
          <w:szCs w:val="22"/>
          <w:lang w:val="es-CR"/>
        </w:rPr>
      </w:pPr>
      <w:r>
        <w:rPr>
          <w:sz w:val="22"/>
          <w:szCs w:val="22"/>
          <w:lang w:val="es-CR"/>
        </w:rPr>
        <w:t>E</w:t>
      </w:r>
      <w:r w:rsidRPr="008568F2">
        <w:rPr>
          <w:sz w:val="22"/>
          <w:szCs w:val="22"/>
          <w:lang w:val="es-CR"/>
        </w:rPr>
        <w:t xml:space="preserve">l importe de las diferencias de cambio reconocidas en el resultado, con excepción de las procedentes de los instrumentos financieros medidos al valor razonable con cambios en los resultados; </w:t>
      </w:r>
    </w:p>
    <w:p w14:paraId="777AD356" w14:textId="1A4B90D7" w:rsidR="008568F2" w:rsidRPr="008568F2" w:rsidRDefault="008568F2">
      <w:pPr>
        <w:pStyle w:val="Default"/>
        <w:numPr>
          <w:ilvl w:val="0"/>
          <w:numId w:val="308"/>
        </w:numPr>
        <w:spacing w:after="120"/>
        <w:ind w:left="1418" w:hanging="284"/>
        <w:jc w:val="both"/>
        <w:rPr>
          <w:sz w:val="22"/>
          <w:szCs w:val="22"/>
          <w:lang w:val="es-CR"/>
        </w:rPr>
      </w:pPr>
      <w:r>
        <w:rPr>
          <w:sz w:val="22"/>
          <w:szCs w:val="22"/>
          <w:lang w:val="es-CR"/>
        </w:rPr>
        <w:t>L</w:t>
      </w:r>
      <w:r w:rsidRPr="008568F2">
        <w:rPr>
          <w:sz w:val="22"/>
          <w:szCs w:val="22"/>
          <w:lang w:val="es-CR"/>
        </w:rPr>
        <w:t xml:space="preserve">as diferencias netas de cambio clasificadas como un componente separado del patrimonio, así como una conciliación entre los importes de estas diferencias al principio y al final del período; </w:t>
      </w:r>
    </w:p>
    <w:p w14:paraId="19997C5E" w14:textId="147156F0" w:rsidR="008568F2" w:rsidRDefault="008568F2" w:rsidP="00D64D52">
      <w:pPr>
        <w:pStyle w:val="Default"/>
        <w:numPr>
          <w:ilvl w:val="0"/>
          <w:numId w:val="308"/>
        </w:numPr>
        <w:spacing w:after="120"/>
        <w:ind w:left="1418" w:hanging="284"/>
        <w:jc w:val="both"/>
        <w:rPr>
          <w:sz w:val="22"/>
          <w:szCs w:val="22"/>
          <w:lang w:val="es-CR"/>
        </w:rPr>
      </w:pPr>
      <w:r>
        <w:rPr>
          <w:sz w:val="22"/>
          <w:szCs w:val="22"/>
          <w:lang w:val="es-CR"/>
        </w:rPr>
        <w:t>E</w:t>
      </w:r>
      <w:r w:rsidRPr="008568F2">
        <w:rPr>
          <w:sz w:val="22"/>
          <w:szCs w:val="22"/>
          <w:lang w:val="es-CR"/>
        </w:rPr>
        <w:t>n caso de que corresponda, identificar cuando se haya producido un cambio en la moneda funcional;</w:t>
      </w:r>
    </w:p>
    <w:p w14:paraId="7A12006C" w14:textId="77777777" w:rsidR="008568F2" w:rsidRDefault="008568F2">
      <w:pPr>
        <w:pStyle w:val="Default"/>
        <w:numPr>
          <w:ilvl w:val="0"/>
          <w:numId w:val="308"/>
        </w:numPr>
        <w:spacing w:after="120"/>
        <w:ind w:left="1418" w:hanging="284"/>
        <w:jc w:val="both"/>
        <w:rPr>
          <w:sz w:val="22"/>
          <w:szCs w:val="22"/>
          <w:lang w:val="es-CR"/>
        </w:rPr>
      </w:pPr>
      <w:r w:rsidRPr="008568F2">
        <w:rPr>
          <w:sz w:val="22"/>
          <w:szCs w:val="22"/>
          <w:lang w:val="es-CR"/>
        </w:rPr>
        <w:t xml:space="preserve">Cuando una entidad presente sus EEFF u otra información financiera, en una moneda diferente de su moneda funcional y de su moneda de presentación, y al mismo tiempo no cumpla con la totalidad de los requisitos de las NICSP que resulten aplicables: </w:t>
      </w:r>
    </w:p>
    <w:p w14:paraId="51107414" w14:textId="0C8E69E5" w:rsidR="008568F2" w:rsidRDefault="008568F2">
      <w:pPr>
        <w:pStyle w:val="Default"/>
        <w:numPr>
          <w:ilvl w:val="0"/>
          <w:numId w:val="309"/>
        </w:numPr>
        <w:spacing w:after="120"/>
        <w:ind w:left="1701" w:hanging="142"/>
        <w:jc w:val="both"/>
        <w:rPr>
          <w:sz w:val="22"/>
          <w:szCs w:val="22"/>
          <w:lang w:val="es-CR"/>
        </w:rPr>
      </w:pPr>
      <w:r>
        <w:rPr>
          <w:sz w:val="22"/>
          <w:szCs w:val="22"/>
          <w:lang w:val="es-CR"/>
        </w:rPr>
        <w:t>I</w:t>
      </w:r>
      <w:r w:rsidRPr="008568F2">
        <w:rPr>
          <w:sz w:val="22"/>
          <w:szCs w:val="22"/>
          <w:lang w:val="es-CR"/>
        </w:rPr>
        <w:t xml:space="preserve">dentificará claramente esta información como complementaria; </w:t>
      </w:r>
    </w:p>
    <w:p w14:paraId="014823B3" w14:textId="77777777" w:rsidR="008568F2" w:rsidRDefault="008568F2">
      <w:pPr>
        <w:pStyle w:val="Default"/>
        <w:numPr>
          <w:ilvl w:val="0"/>
          <w:numId w:val="309"/>
        </w:numPr>
        <w:spacing w:after="120"/>
        <w:ind w:left="1701" w:hanging="142"/>
        <w:jc w:val="both"/>
        <w:rPr>
          <w:sz w:val="22"/>
          <w:szCs w:val="22"/>
          <w:lang w:val="es-CR"/>
        </w:rPr>
      </w:pPr>
      <w:r>
        <w:rPr>
          <w:sz w:val="22"/>
          <w:szCs w:val="22"/>
          <w:lang w:val="es-CR"/>
        </w:rPr>
        <w:t>R</w:t>
      </w:r>
      <w:r w:rsidRPr="008568F2">
        <w:rPr>
          <w:sz w:val="22"/>
          <w:szCs w:val="22"/>
          <w:lang w:val="es-CR"/>
        </w:rPr>
        <w:t xml:space="preserve">evelará la moneda en que se presenta esta información complementaria; y </w:t>
      </w:r>
    </w:p>
    <w:p w14:paraId="00AE5CF0" w14:textId="5DCFA05E" w:rsidR="008568F2" w:rsidRPr="008568F2" w:rsidRDefault="008568F2">
      <w:pPr>
        <w:pStyle w:val="Default"/>
        <w:numPr>
          <w:ilvl w:val="0"/>
          <w:numId w:val="309"/>
        </w:numPr>
        <w:spacing w:after="120"/>
        <w:ind w:left="1701" w:hanging="142"/>
        <w:jc w:val="both"/>
        <w:rPr>
          <w:sz w:val="22"/>
          <w:szCs w:val="22"/>
          <w:lang w:val="es-CR"/>
        </w:rPr>
      </w:pPr>
      <w:r w:rsidRPr="008568F2">
        <w:rPr>
          <w:sz w:val="22"/>
          <w:szCs w:val="22"/>
          <w:lang w:val="es-CR"/>
        </w:rPr>
        <w:lastRenderedPageBreak/>
        <w:t xml:space="preserve">Revelará la moneda funcional de la entidad, así como el método de conversión utilizado para confeccionar la información complementaria </w:t>
      </w:r>
    </w:p>
    <w:p w14:paraId="3C300A27" w14:textId="77777777" w:rsidR="008568F2" w:rsidRPr="008568F2" w:rsidRDefault="008568F2">
      <w:pPr>
        <w:pStyle w:val="Default"/>
        <w:numPr>
          <w:ilvl w:val="1"/>
          <w:numId w:val="307"/>
        </w:numPr>
        <w:rPr>
          <w:sz w:val="23"/>
          <w:szCs w:val="23"/>
          <w:lang w:val="es-CR"/>
        </w:rPr>
      </w:pPr>
    </w:p>
    <w:p w14:paraId="67FA3903" w14:textId="77777777" w:rsidR="00AF5E44" w:rsidRPr="00C92C8E" w:rsidRDefault="00AF5E44" w:rsidP="00773733">
      <w:pPr>
        <w:pStyle w:val="Default"/>
        <w:ind w:left="1134" w:hanging="1134"/>
        <w:jc w:val="both"/>
        <w:rPr>
          <w:sz w:val="22"/>
          <w:szCs w:val="22"/>
          <w:lang w:val="es-CR"/>
        </w:rPr>
      </w:pPr>
    </w:p>
    <w:tbl>
      <w:tblPr>
        <w:tblW w:w="9368" w:type="dxa"/>
        <w:tblLayout w:type="fixed"/>
        <w:tblLook w:val="04A0" w:firstRow="1" w:lastRow="0" w:firstColumn="1" w:lastColumn="0" w:noHBand="0" w:noVBand="1"/>
      </w:tblPr>
      <w:tblGrid>
        <w:gridCol w:w="416"/>
        <w:gridCol w:w="708"/>
        <w:gridCol w:w="426"/>
        <w:gridCol w:w="3693"/>
        <w:gridCol w:w="2250"/>
        <w:gridCol w:w="1875"/>
      </w:tblGrid>
      <w:tr w:rsidR="008568F2" w:rsidRPr="008568F2" w14:paraId="6210CA78" w14:textId="77777777" w:rsidTr="00D64D52">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7C06C9F"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Norma / Política</w:t>
            </w:r>
          </w:p>
        </w:tc>
        <w:tc>
          <w:tcPr>
            <w:tcW w:w="36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0C13FD03"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Concepto</w:t>
            </w:r>
          </w:p>
        </w:tc>
        <w:tc>
          <w:tcPr>
            <w:tcW w:w="4125" w:type="dxa"/>
            <w:gridSpan w:val="2"/>
            <w:tcBorders>
              <w:top w:val="single" w:sz="8" w:space="0" w:color="auto"/>
              <w:left w:val="nil"/>
              <w:bottom w:val="single" w:sz="8" w:space="0" w:color="auto"/>
              <w:right w:val="single" w:sz="8" w:space="0" w:color="000000"/>
            </w:tcBorders>
            <w:shd w:val="clear" w:color="000000" w:fill="203764"/>
            <w:vAlign w:val="center"/>
            <w:hideMark/>
          </w:tcPr>
          <w:p w14:paraId="75DE091E"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Referencia</w:t>
            </w:r>
          </w:p>
        </w:tc>
      </w:tr>
      <w:tr w:rsidR="008568F2" w:rsidRPr="006E5442" w14:paraId="6484D01F" w14:textId="77777777" w:rsidTr="00D64D52">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9344020" w14:textId="77777777" w:rsidR="008568F2" w:rsidRPr="008568F2" w:rsidRDefault="008568F2" w:rsidP="008568F2">
            <w:pPr>
              <w:rPr>
                <w:rFonts w:ascii="Arial Narrow" w:eastAsia="Times New Roman" w:hAnsi="Arial Narrow" w:cs="Calibri"/>
                <w:b/>
                <w:bCs/>
                <w:color w:val="FFFFFF"/>
                <w:sz w:val="22"/>
                <w:szCs w:val="22"/>
              </w:rPr>
            </w:pPr>
          </w:p>
        </w:tc>
        <w:tc>
          <w:tcPr>
            <w:tcW w:w="3693" w:type="dxa"/>
            <w:vMerge/>
            <w:tcBorders>
              <w:top w:val="single" w:sz="8" w:space="0" w:color="auto"/>
              <w:left w:val="single" w:sz="8" w:space="0" w:color="auto"/>
              <w:bottom w:val="nil"/>
              <w:right w:val="single" w:sz="8" w:space="0" w:color="auto"/>
            </w:tcBorders>
            <w:vAlign w:val="center"/>
            <w:hideMark/>
          </w:tcPr>
          <w:p w14:paraId="248CDFFF" w14:textId="77777777" w:rsidR="008568F2" w:rsidRPr="008568F2" w:rsidRDefault="008568F2" w:rsidP="008568F2">
            <w:pPr>
              <w:rPr>
                <w:rFonts w:ascii="Arial Narrow" w:eastAsia="Times New Roman" w:hAnsi="Arial Narrow" w:cs="Calibri"/>
                <w:b/>
                <w:bCs/>
                <w:color w:val="FFFFFF"/>
                <w:sz w:val="22"/>
                <w:szCs w:val="22"/>
              </w:rPr>
            </w:pPr>
          </w:p>
        </w:tc>
        <w:tc>
          <w:tcPr>
            <w:tcW w:w="2250" w:type="dxa"/>
            <w:tcBorders>
              <w:top w:val="nil"/>
              <w:left w:val="nil"/>
              <w:bottom w:val="nil"/>
              <w:right w:val="single" w:sz="8" w:space="0" w:color="auto"/>
            </w:tcBorders>
            <w:shd w:val="clear" w:color="000000" w:fill="203764"/>
            <w:vAlign w:val="center"/>
            <w:hideMark/>
          </w:tcPr>
          <w:p w14:paraId="4B7A0158" w14:textId="77777777" w:rsidR="008568F2" w:rsidRPr="008568F2" w:rsidRDefault="008568F2" w:rsidP="008568F2">
            <w:pPr>
              <w:jc w:val="center"/>
              <w:rPr>
                <w:rFonts w:ascii="Arial Narrow" w:eastAsia="Times New Roman" w:hAnsi="Arial Narrow" w:cs="Calibri"/>
                <w:b/>
                <w:bCs/>
                <w:color w:val="FFFFFF"/>
                <w:sz w:val="22"/>
                <w:szCs w:val="22"/>
              </w:rPr>
            </w:pPr>
            <w:r w:rsidRPr="008568F2">
              <w:rPr>
                <w:rFonts w:ascii="Arial Narrow" w:eastAsia="Times New Roman" w:hAnsi="Arial Narrow" w:cs="Calibri"/>
                <w:b/>
                <w:bCs/>
                <w:color w:val="FFFFFF"/>
                <w:sz w:val="22"/>
                <w:szCs w:val="22"/>
              </w:rPr>
              <w:t>Norma</w:t>
            </w:r>
          </w:p>
        </w:tc>
        <w:tc>
          <w:tcPr>
            <w:tcW w:w="1875" w:type="dxa"/>
            <w:tcBorders>
              <w:top w:val="nil"/>
              <w:left w:val="nil"/>
              <w:bottom w:val="nil"/>
              <w:right w:val="single" w:sz="8" w:space="0" w:color="auto"/>
            </w:tcBorders>
            <w:shd w:val="clear" w:color="000000" w:fill="203764"/>
            <w:vAlign w:val="center"/>
            <w:hideMark/>
          </w:tcPr>
          <w:p w14:paraId="2292604B" w14:textId="77777777" w:rsidR="008568F2" w:rsidRPr="008568F2" w:rsidRDefault="008568F2" w:rsidP="008568F2">
            <w:pPr>
              <w:jc w:val="center"/>
              <w:rPr>
                <w:rFonts w:ascii="Arial Narrow" w:eastAsia="Times New Roman" w:hAnsi="Arial Narrow" w:cs="Calibri"/>
                <w:b/>
                <w:bCs/>
                <w:color w:val="FFFFFF"/>
                <w:sz w:val="22"/>
                <w:szCs w:val="22"/>
                <w:lang w:val="es-CR"/>
              </w:rPr>
            </w:pPr>
            <w:r w:rsidRPr="008568F2">
              <w:rPr>
                <w:rFonts w:ascii="Arial Narrow" w:eastAsia="Times New Roman" w:hAnsi="Arial Narrow" w:cs="Calibri"/>
                <w:b/>
                <w:bCs/>
                <w:color w:val="FFFFFF"/>
                <w:sz w:val="22"/>
                <w:szCs w:val="22"/>
                <w:lang w:val="es-CR"/>
              </w:rPr>
              <w:t>Normativa técnica y disposiciones adicionales</w:t>
            </w:r>
          </w:p>
        </w:tc>
      </w:tr>
      <w:tr w:rsidR="008568F2" w:rsidRPr="008568F2" w14:paraId="3A40FC33" w14:textId="77777777" w:rsidTr="00D64D5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311BEA"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508B401"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59</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29EE5598"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 xml:space="preserve"> </w:t>
            </w:r>
          </w:p>
        </w:tc>
        <w:tc>
          <w:tcPr>
            <w:tcW w:w="3693" w:type="dxa"/>
            <w:tcBorders>
              <w:top w:val="single" w:sz="8" w:space="0" w:color="auto"/>
              <w:left w:val="nil"/>
              <w:bottom w:val="single" w:sz="8" w:space="0" w:color="auto"/>
              <w:right w:val="single" w:sz="8" w:space="0" w:color="auto"/>
            </w:tcBorders>
            <w:shd w:val="clear" w:color="auto" w:fill="auto"/>
            <w:vAlign w:val="center"/>
            <w:hideMark/>
          </w:tcPr>
          <w:p w14:paraId="375669C8" w14:textId="77777777" w:rsidR="008568F2" w:rsidRPr="008568F2" w:rsidRDefault="008568F2" w:rsidP="008568F2">
            <w:pPr>
              <w:jc w:val="both"/>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Disposiciones transitorias</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1DF40DEB" w14:textId="5F100580" w:rsidR="004F797D" w:rsidRDefault="008568F2" w:rsidP="008568F2">
            <w:pPr>
              <w:jc w:val="both"/>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NICSP N° 33</w:t>
            </w:r>
            <w:r w:rsidR="004F797D">
              <w:rPr>
                <w:rFonts w:ascii="Arial Narrow" w:eastAsia="Times New Roman" w:hAnsi="Arial Narrow" w:cs="Calibri"/>
                <w:b/>
                <w:bCs/>
                <w:color w:val="000000"/>
                <w:sz w:val="22"/>
                <w:szCs w:val="22"/>
              </w:rPr>
              <w:t>,</w:t>
            </w:r>
          </w:p>
          <w:p w14:paraId="0924F507" w14:textId="7866E1DF" w:rsidR="008568F2" w:rsidRPr="008568F2" w:rsidRDefault="008568F2" w:rsidP="008568F2">
            <w:pPr>
              <w:jc w:val="both"/>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Párrafo 85.</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14:paraId="69D8B913" w14:textId="77777777" w:rsidR="008568F2" w:rsidRPr="008568F2" w:rsidRDefault="008568F2" w:rsidP="008568F2">
            <w:pPr>
              <w:jc w:val="center"/>
              <w:rPr>
                <w:rFonts w:ascii="Arial Narrow" w:eastAsia="Times New Roman" w:hAnsi="Arial Narrow" w:cs="Calibri"/>
                <w:b/>
                <w:bCs/>
                <w:color w:val="000000"/>
                <w:sz w:val="22"/>
                <w:szCs w:val="22"/>
              </w:rPr>
            </w:pPr>
            <w:r w:rsidRPr="008568F2">
              <w:rPr>
                <w:rFonts w:ascii="Arial Narrow" w:eastAsia="Times New Roman" w:hAnsi="Arial Narrow" w:cs="Calibri"/>
                <w:b/>
                <w:bCs/>
                <w:color w:val="000000"/>
                <w:sz w:val="22"/>
                <w:szCs w:val="22"/>
              </w:rPr>
              <w:t xml:space="preserve"> </w:t>
            </w:r>
          </w:p>
        </w:tc>
      </w:tr>
    </w:tbl>
    <w:p w14:paraId="49C9A48E" w14:textId="77777777" w:rsidR="00B0159E" w:rsidRDefault="00B0159E" w:rsidP="00773733">
      <w:pPr>
        <w:pStyle w:val="Default"/>
        <w:ind w:left="1134" w:hanging="1134"/>
        <w:jc w:val="both"/>
        <w:rPr>
          <w:sz w:val="22"/>
          <w:szCs w:val="22"/>
          <w:lang w:val="es-CR"/>
        </w:rPr>
      </w:pPr>
    </w:p>
    <w:p w14:paraId="4D744095" w14:textId="0504FB25" w:rsidR="00D64D52" w:rsidRDefault="00D64D52" w:rsidP="00D64D52">
      <w:pPr>
        <w:pStyle w:val="Default"/>
        <w:ind w:left="1134" w:hanging="1134"/>
        <w:jc w:val="both"/>
        <w:rPr>
          <w:rFonts w:eastAsia="Arial"/>
          <w:b/>
          <w:sz w:val="22"/>
          <w:szCs w:val="22"/>
        </w:rPr>
      </w:pPr>
      <w:r w:rsidRPr="00F02F9D">
        <w:rPr>
          <w:rFonts w:eastAsia="Arial"/>
          <w:b/>
          <w:sz w:val="22"/>
          <w:szCs w:val="22"/>
        </w:rPr>
        <w:t>Política Contable</w:t>
      </w:r>
    </w:p>
    <w:p w14:paraId="75796713" w14:textId="77777777" w:rsidR="00D64D52" w:rsidRPr="00C92C8E" w:rsidRDefault="00D64D52" w:rsidP="00773733">
      <w:pPr>
        <w:pStyle w:val="Default"/>
        <w:ind w:left="1134" w:hanging="1134"/>
        <w:jc w:val="both"/>
        <w:rPr>
          <w:sz w:val="22"/>
          <w:szCs w:val="22"/>
          <w:lang w:val="es-CR"/>
        </w:rPr>
      </w:pPr>
    </w:p>
    <w:p w14:paraId="65D55AE8" w14:textId="6358A2E7" w:rsidR="008568F2" w:rsidRDefault="008568F2" w:rsidP="000F0577">
      <w:pPr>
        <w:pStyle w:val="Default"/>
        <w:ind w:left="1134" w:hanging="1134"/>
        <w:jc w:val="both"/>
        <w:rPr>
          <w:sz w:val="23"/>
          <w:szCs w:val="23"/>
          <w:lang w:val="es-CR"/>
        </w:rPr>
      </w:pPr>
      <w:r>
        <w:rPr>
          <w:sz w:val="23"/>
          <w:szCs w:val="23"/>
          <w:lang w:val="es-CR"/>
        </w:rPr>
        <w:t>5.59.0.01</w:t>
      </w:r>
      <w:r>
        <w:rPr>
          <w:sz w:val="23"/>
          <w:szCs w:val="23"/>
          <w:lang w:val="es-CR"/>
        </w:rPr>
        <w:tab/>
      </w:r>
      <w:r w:rsidRPr="008568F2">
        <w:rPr>
          <w:sz w:val="23"/>
          <w:szCs w:val="23"/>
          <w:lang w:val="es-CR"/>
        </w:rPr>
        <w:t>En la fecha de adopción de las NICSP, una entidad que las adopta por primera vez no necesita cumplir con los requerimientos de las diferencias de conversión acumuladas que existan en esa fecha. Si una entidad que adopta por primera vez las NICSP hace uso de esta exención</w:t>
      </w:r>
      <w:r>
        <w:rPr>
          <w:sz w:val="23"/>
          <w:szCs w:val="23"/>
          <w:lang w:val="es-CR"/>
        </w:rPr>
        <w:t>:</w:t>
      </w:r>
    </w:p>
    <w:p w14:paraId="595C81F1" w14:textId="77777777" w:rsidR="008568F2" w:rsidRPr="008568F2" w:rsidRDefault="008568F2" w:rsidP="000F0577">
      <w:pPr>
        <w:pStyle w:val="Default"/>
        <w:ind w:left="1134" w:hanging="1134"/>
        <w:jc w:val="both"/>
        <w:rPr>
          <w:sz w:val="23"/>
          <w:szCs w:val="23"/>
          <w:lang w:val="es-CR"/>
        </w:rPr>
      </w:pPr>
    </w:p>
    <w:p w14:paraId="450D5152" w14:textId="2887849B" w:rsidR="008568F2" w:rsidRPr="008568F2" w:rsidRDefault="008568F2">
      <w:pPr>
        <w:pStyle w:val="Default"/>
        <w:numPr>
          <w:ilvl w:val="0"/>
          <w:numId w:val="310"/>
        </w:numPr>
        <w:spacing w:after="120"/>
        <w:ind w:left="1418" w:hanging="284"/>
        <w:jc w:val="both"/>
        <w:rPr>
          <w:sz w:val="23"/>
          <w:szCs w:val="23"/>
          <w:lang w:val="es-CR"/>
        </w:rPr>
      </w:pPr>
      <w:r w:rsidRPr="008568F2">
        <w:rPr>
          <w:sz w:val="23"/>
          <w:szCs w:val="23"/>
          <w:lang w:val="es-CR"/>
        </w:rPr>
        <w:t xml:space="preserve">Las diferencias de conversión acumuladas de todos los negocios en el extranjero se considerarán nulas en la fecha de adopción de las NICSP; y </w:t>
      </w:r>
    </w:p>
    <w:p w14:paraId="2FAC9555" w14:textId="27F6F677" w:rsidR="00B0159E" w:rsidRPr="00C92C8E" w:rsidRDefault="008568F2">
      <w:pPr>
        <w:pStyle w:val="Default"/>
        <w:numPr>
          <w:ilvl w:val="0"/>
          <w:numId w:val="310"/>
        </w:numPr>
        <w:ind w:left="1418" w:hanging="284"/>
        <w:jc w:val="both"/>
        <w:rPr>
          <w:sz w:val="22"/>
          <w:szCs w:val="22"/>
          <w:lang w:val="es-CR"/>
        </w:rPr>
      </w:pPr>
      <w:r w:rsidRPr="008568F2">
        <w:rPr>
          <w:sz w:val="22"/>
          <w:szCs w:val="22"/>
          <w:lang w:val="es-CR"/>
        </w:rPr>
        <w:t>L</w:t>
      </w:r>
      <w:r w:rsidRPr="008568F2">
        <w:rPr>
          <w:sz w:val="23"/>
          <w:szCs w:val="23"/>
          <w:lang w:val="es-CR"/>
        </w:rPr>
        <w:t>a pérdida o ganancia por la disposición posterior de cualquier negocio en el extranjero, excluirá las diferencias de conversión que hayan surgido antes de la fecha en que se adoptan las NICSP, e incluirá las diferencias de conversión posteriores</w:t>
      </w:r>
    </w:p>
    <w:p w14:paraId="424B4A40" w14:textId="77777777" w:rsidR="00B0159E" w:rsidRDefault="00B0159E" w:rsidP="00773733">
      <w:pPr>
        <w:pStyle w:val="Default"/>
        <w:ind w:left="1134" w:hanging="1134"/>
        <w:jc w:val="both"/>
        <w:rPr>
          <w:sz w:val="22"/>
          <w:szCs w:val="22"/>
          <w:lang w:val="es-CR"/>
        </w:rPr>
      </w:pPr>
    </w:p>
    <w:p w14:paraId="5744995E" w14:textId="77777777" w:rsidR="00D64D52" w:rsidRPr="00C92C8E" w:rsidRDefault="00D64D52" w:rsidP="00773733">
      <w:pPr>
        <w:pStyle w:val="Default"/>
        <w:ind w:left="1134" w:hanging="1134"/>
        <w:jc w:val="both"/>
        <w:rPr>
          <w:sz w:val="22"/>
          <w:szCs w:val="22"/>
          <w:lang w:val="es-CR"/>
        </w:rPr>
      </w:pPr>
    </w:p>
    <w:p w14:paraId="1F2F915E" w14:textId="77777777" w:rsidR="00B0159E" w:rsidRPr="00C92C8E" w:rsidRDefault="00B0159E" w:rsidP="00773733">
      <w:pPr>
        <w:pStyle w:val="Default"/>
        <w:ind w:left="1134" w:hanging="1134"/>
        <w:jc w:val="both"/>
        <w:rPr>
          <w:sz w:val="22"/>
          <w:szCs w:val="22"/>
          <w:lang w:val="es-CR"/>
        </w:rPr>
      </w:pPr>
    </w:p>
    <w:p w14:paraId="388E791D" w14:textId="0BCE160A" w:rsidR="00B0159E" w:rsidRPr="004F797D" w:rsidRDefault="004F797D" w:rsidP="004F797D">
      <w:pPr>
        <w:pStyle w:val="Ttulo2"/>
        <w:ind w:left="284"/>
        <w:jc w:val="both"/>
        <w:rPr>
          <w:rFonts w:ascii="Arial" w:eastAsia="Arial" w:hAnsi="Arial" w:cs="Arial"/>
          <w:b/>
          <w:bCs/>
          <w:sz w:val="22"/>
          <w:szCs w:val="22"/>
          <w:lang w:val="es-CR"/>
        </w:rPr>
      </w:pPr>
      <w:bookmarkStart w:id="170" w:name="_Toc172726305"/>
      <w:r w:rsidRPr="004F797D">
        <w:rPr>
          <w:rFonts w:ascii="Arial" w:eastAsia="Arial" w:hAnsi="Arial" w:cs="Arial"/>
          <w:b/>
          <w:bCs/>
          <w:sz w:val="22"/>
          <w:szCs w:val="22"/>
          <w:lang w:val="es-CR"/>
        </w:rPr>
        <w:t>Resultados negativos por tenencia y por exposición a la inflación</w:t>
      </w:r>
      <w:bookmarkEnd w:id="170"/>
    </w:p>
    <w:p w14:paraId="2CCF37FA" w14:textId="77777777" w:rsidR="00C92C8E" w:rsidRDefault="00C92C8E" w:rsidP="00773733">
      <w:pPr>
        <w:pStyle w:val="Default"/>
        <w:ind w:left="1134" w:hanging="1134"/>
        <w:jc w:val="both"/>
        <w:rPr>
          <w:sz w:val="22"/>
          <w:szCs w:val="22"/>
          <w:lang w:val="es-CR"/>
        </w:rPr>
      </w:pPr>
    </w:p>
    <w:p w14:paraId="4F9A4A7E" w14:textId="77777777" w:rsidR="004F797D" w:rsidRDefault="004F797D" w:rsidP="00773733">
      <w:pPr>
        <w:pStyle w:val="Default"/>
        <w:ind w:left="1134" w:hanging="1134"/>
        <w:jc w:val="both"/>
        <w:rPr>
          <w:sz w:val="22"/>
          <w:szCs w:val="22"/>
          <w:lang w:val="es-CR"/>
        </w:rPr>
      </w:pPr>
    </w:p>
    <w:tbl>
      <w:tblPr>
        <w:tblW w:w="9368" w:type="dxa"/>
        <w:tblLook w:val="04A0" w:firstRow="1" w:lastRow="0" w:firstColumn="1" w:lastColumn="0" w:noHBand="0" w:noVBand="1"/>
      </w:tblPr>
      <w:tblGrid>
        <w:gridCol w:w="416"/>
        <w:gridCol w:w="708"/>
        <w:gridCol w:w="426"/>
        <w:gridCol w:w="3690"/>
        <w:gridCol w:w="2252"/>
        <w:gridCol w:w="1876"/>
      </w:tblGrid>
      <w:tr w:rsidR="004F797D" w:rsidRPr="004F797D" w14:paraId="31A2162F" w14:textId="77777777" w:rsidTr="00D64D52">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1C9454F" w14:textId="77777777" w:rsidR="004F797D" w:rsidRPr="004F797D" w:rsidRDefault="004F797D" w:rsidP="004F797D">
            <w:pPr>
              <w:jc w:val="center"/>
              <w:rPr>
                <w:rFonts w:ascii="Arial Narrow" w:eastAsia="Times New Roman" w:hAnsi="Arial Narrow" w:cs="Calibri"/>
                <w:b/>
                <w:bCs/>
                <w:color w:val="FFFFFF"/>
                <w:sz w:val="22"/>
                <w:szCs w:val="22"/>
              </w:rPr>
            </w:pPr>
            <w:r w:rsidRPr="004F797D">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1748752" w14:textId="77777777" w:rsidR="004F797D" w:rsidRPr="004F797D" w:rsidRDefault="004F797D" w:rsidP="004F797D">
            <w:pPr>
              <w:jc w:val="center"/>
              <w:rPr>
                <w:rFonts w:ascii="Arial Narrow" w:eastAsia="Times New Roman" w:hAnsi="Arial Narrow" w:cs="Calibri"/>
                <w:b/>
                <w:bCs/>
                <w:color w:val="FFFFFF"/>
                <w:sz w:val="22"/>
                <w:szCs w:val="22"/>
              </w:rPr>
            </w:pPr>
            <w:r w:rsidRPr="004F797D">
              <w:rPr>
                <w:rFonts w:ascii="Arial Narrow" w:eastAsia="Times New Roman" w:hAnsi="Arial Narrow" w:cs="Calibri"/>
                <w:b/>
                <w:bCs/>
                <w:color w:val="FFFFFF"/>
                <w:sz w:val="22"/>
                <w:szCs w:val="22"/>
              </w:rPr>
              <w:t>Concepto</w:t>
            </w:r>
          </w:p>
        </w:tc>
        <w:tc>
          <w:tcPr>
            <w:tcW w:w="4128" w:type="dxa"/>
            <w:gridSpan w:val="2"/>
            <w:tcBorders>
              <w:top w:val="single" w:sz="8" w:space="0" w:color="auto"/>
              <w:left w:val="nil"/>
              <w:bottom w:val="single" w:sz="8" w:space="0" w:color="auto"/>
              <w:right w:val="single" w:sz="8" w:space="0" w:color="000000"/>
            </w:tcBorders>
            <w:shd w:val="clear" w:color="000000" w:fill="203764"/>
            <w:vAlign w:val="center"/>
            <w:hideMark/>
          </w:tcPr>
          <w:p w14:paraId="0E78214C" w14:textId="77777777" w:rsidR="004F797D" w:rsidRPr="004F797D" w:rsidRDefault="004F797D" w:rsidP="004F797D">
            <w:pPr>
              <w:jc w:val="center"/>
              <w:rPr>
                <w:rFonts w:ascii="Arial Narrow" w:eastAsia="Times New Roman" w:hAnsi="Arial Narrow" w:cs="Calibri"/>
                <w:b/>
                <w:bCs/>
                <w:color w:val="FFFFFF"/>
                <w:sz w:val="22"/>
                <w:szCs w:val="22"/>
              </w:rPr>
            </w:pPr>
            <w:r w:rsidRPr="004F797D">
              <w:rPr>
                <w:rFonts w:ascii="Arial Narrow" w:eastAsia="Times New Roman" w:hAnsi="Arial Narrow" w:cs="Calibri"/>
                <w:b/>
                <w:bCs/>
                <w:color w:val="FFFFFF"/>
                <w:sz w:val="22"/>
                <w:szCs w:val="22"/>
              </w:rPr>
              <w:t>Referencia</w:t>
            </w:r>
          </w:p>
        </w:tc>
      </w:tr>
      <w:tr w:rsidR="004F797D" w:rsidRPr="006E5442" w14:paraId="7F4C06C0" w14:textId="77777777" w:rsidTr="00D64D52">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239DE0B" w14:textId="77777777" w:rsidR="004F797D" w:rsidRPr="004F797D" w:rsidRDefault="004F797D" w:rsidP="004F797D">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71082515" w14:textId="77777777" w:rsidR="004F797D" w:rsidRPr="004F797D" w:rsidRDefault="004F797D" w:rsidP="004F797D">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608395B5" w14:textId="77777777" w:rsidR="004F797D" w:rsidRPr="004F797D" w:rsidRDefault="004F797D" w:rsidP="004F797D">
            <w:pPr>
              <w:jc w:val="center"/>
              <w:rPr>
                <w:rFonts w:ascii="Arial Narrow" w:eastAsia="Times New Roman" w:hAnsi="Arial Narrow" w:cs="Calibri"/>
                <w:b/>
                <w:bCs/>
                <w:color w:val="FFFFFF"/>
                <w:sz w:val="22"/>
                <w:szCs w:val="22"/>
              </w:rPr>
            </w:pPr>
            <w:r w:rsidRPr="004F797D">
              <w:rPr>
                <w:rFonts w:ascii="Arial Narrow" w:eastAsia="Times New Roman" w:hAnsi="Arial Narrow" w:cs="Calibri"/>
                <w:b/>
                <w:bCs/>
                <w:color w:val="FFFFFF"/>
                <w:sz w:val="22"/>
                <w:szCs w:val="22"/>
              </w:rPr>
              <w:t>Norma</w:t>
            </w:r>
          </w:p>
        </w:tc>
        <w:tc>
          <w:tcPr>
            <w:tcW w:w="1876" w:type="dxa"/>
            <w:tcBorders>
              <w:top w:val="nil"/>
              <w:left w:val="nil"/>
              <w:bottom w:val="nil"/>
              <w:right w:val="single" w:sz="8" w:space="0" w:color="auto"/>
            </w:tcBorders>
            <w:shd w:val="clear" w:color="000000" w:fill="203764"/>
            <w:vAlign w:val="center"/>
            <w:hideMark/>
          </w:tcPr>
          <w:p w14:paraId="33131CFE" w14:textId="77777777" w:rsidR="004F797D" w:rsidRPr="004F797D" w:rsidRDefault="004F797D" w:rsidP="004F797D">
            <w:pPr>
              <w:jc w:val="center"/>
              <w:rPr>
                <w:rFonts w:ascii="Arial Narrow" w:eastAsia="Times New Roman" w:hAnsi="Arial Narrow" w:cs="Calibri"/>
                <w:b/>
                <w:bCs/>
                <w:color w:val="FFFFFF"/>
                <w:sz w:val="22"/>
                <w:szCs w:val="22"/>
                <w:lang w:val="es-CR"/>
              </w:rPr>
            </w:pPr>
            <w:r w:rsidRPr="004F797D">
              <w:rPr>
                <w:rFonts w:ascii="Arial Narrow" w:eastAsia="Times New Roman" w:hAnsi="Arial Narrow" w:cs="Calibri"/>
                <w:b/>
                <w:bCs/>
                <w:color w:val="FFFFFF"/>
                <w:sz w:val="22"/>
                <w:szCs w:val="22"/>
                <w:lang w:val="es-CR"/>
              </w:rPr>
              <w:t>Normativa técnica y disposiciones adicionales</w:t>
            </w:r>
          </w:p>
        </w:tc>
      </w:tr>
      <w:tr w:rsidR="004F797D" w:rsidRPr="004F797D" w14:paraId="2659BA75" w14:textId="77777777" w:rsidTr="00D64D5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BE2B9" w14:textId="77777777" w:rsidR="004F797D" w:rsidRPr="004F797D" w:rsidRDefault="004F797D" w:rsidP="004F797D">
            <w:pPr>
              <w:jc w:val="center"/>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7258722" w14:textId="77777777" w:rsidR="004F797D" w:rsidRPr="004F797D" w:rsidRDefault="004F797D" w:rsidP="004F797D">
            <w:pPr>
              <w:jc w:val="center"/>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60</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35BDF879" w14:textId="77777777" w:rsidR="004F797D" w:rsidRPr="004F797D" w:rsidRDefault="004F797D" w:rsidP="004F797D">
            <w:pPr>
              <w:jc w:val="center"/>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 xml:space="preserve">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53F1FA9F" w14:textId="77777777" w:rsidR="004F797D" w:rsidRPr="004F797D" w:rsidRDefault="004F797D" w:rsidP="004F797D">
            <w:pPr>
              <w:jc w:val="both"/>
              <w:rPr>
                <w:rFonts w:ascii="Arial Narrow" w:eastAsia="Times New Roman" w:hAnsi="Arial Narrow" w:cs="Calibri"/>
                <w:b/>
                <w:bCs/>
                <w:color w:val="000000"/>
                <w:sz w:val="22"/>
                <w:szCs w:val="22"/>
                <w:lang w:val="es-CR"/>
              </w:rPr>
            </w:pPr>
            <w:r w:rsidRPr="004F797D">
              <w:rPr>
                <w:rFonts w:ascii="Arial Narrow" w:eastAsia="Times New Roman" w:hAnsi="Arial Narrow" w:cs="Calibri"/>
                <w:b/>
                <w:bCs/>
                <w:color w:val="000000"/>
                <w:sz w:val="22"/>
                <w:szCs w:val="22"/>
                <w:lang w:val="es-CR"/>
              </w:rPr>
              <w:t>Resultados por tenencia y por exposición a la inflación</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58960598" w14:textId="77777777" w:rsidR="004F797D" w:rsidRDefault="004F797D" w:rsidP="004F797D">
            <w:pPr>
              <w:jc w:val="both"/>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NICSP N° 10</w:t>
            </w:r>
            <w:r>
              <w:rPr>
                <w:rFonts w:ascii="Arial Narrow" w:eastAsia="Times New Roman" w:hAnsi="Arial Narrow" w:cs="Calibri"/>
                <w:b/>
                <w:bCs/>
                <w:color w:val="000000"/>
                <w:sz w:val="22"/>
                <w:szCs w:val="22"/>
              </w:rPr>
              <w:t>,</w:t>
            </w:r>
          </w:p>
          <w:p w14:paraId="0528763D" w14:textId="7522F175" w:rsidR="004F797D" w:rsidRPr="004F797D" w:rsidRDefault="004F797D" w:rsidP="004F797D">
            <w:pPr>
              <w:jc w:val="both"/>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Párrafo 12.</w:t>
            </w:r>
          </w:p>
        </w:tc>
        <w:tc>
          <w:tcPr>
            <w:tcW w:w="1876" w:type="dxa"/>
            <w:tcBorders>
              <w:top w:val="single" w:sz="8" w:space="0" w:color="auto"/>
              <w:left w:val="nil"/>
              <w:bottom w:val="single" w:sz="8" w:space="0" w:color="auto"/>
              <w:right w:val="single" w:sz="8" w:space="0" w:color="auto"/>
            </w:tcBorders>
            <w:shd w:val="clear" w:color="auto" w:fill="auto"/>
            <w:vAlign w:val="center"/>
            <w:hideMark/>
          </w:tcPr>
          <w:p w14:paraId="7C4CB8C8" w14:textId="77777777" w:rsidR="004F797D" w:rsidRPr="004F797D" w:rsidRDefault="004F797D" w:rsidP="004F797D">
            <w:pPr>
              <w:jc w:val="center"/>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 xml:space="preserve"> </w:t>
            </w:r>
          </w:p>
        </w:tc>
      </w:tr>
    </w:tbl>
    <w:p w14:paraId="0C2B100B" w14:textId="77777777" w:rsidR="004F797D" w:rsidRDefault="004F797D" w:rsidP="00773733">
      <w:pPr>
        <w:pStyle w:val="Default"/>
        <w:ind w:left="1134" w:hanging="1134"/>
        <w:jc w:val="both"/>
        <w:rPr>
          <w:sz w:val="22"/>
          <w:szCs w:val="22"/>
          <w:lang w:val="es-CR"/>
        </w:rPr>
      </w:pPr>
    </w:p>
    <w:p w14:paraId="708B6F0D" w14:textId="4248BCD9" w:rsidR="00D64D52" w:rsidRDefault="00D64D52" w:rsidP="00D64D52">
      <w:pPr>
        <w:pStyle w:val="Default"/>
        <w:ind w:left="1134" w:hanging="1134"/>
        <w:jc w:val="both"/>
        <w:rPr>
          <w:rFonts w:eastAsia="Arial"/>
          <w:b/>
          <w:sz w:val="22"/>
          <w:szCs w:val="22"/>
        </w:rPr>
      </w:pPr>
      <w:r w:rsidRPr="00F02F9D">
        <w:rPr>
          <w:rFonts w:eastAsia="Arial"/>
          <w:b/>
          <w:sz w:val="22"/>
          <w:szCs w:val="22"/>
        </w:rPr>
        <w:t>Política Contable</w:t>
      </w:r>
    </w:p>
    <w:p w14:paraId="44D6691E" w14:textId="77777777" w:rsidR="00D64D52" w:rsidRDefault="00D64D52" w:rsidP="00773733">
      <w:pPr>
        <w:pStyle w:val="Default"/>
        <w:ind w:left="1134" w:hanging="1134"/>
        <w:jc w:val="both"/>
        <w:rPr>
          <w:sz w:val="22"/>
          <w:szCs w:val="22"/>
          <w:lang w:val="es-CR"/>
        </w:rPr>
      </w:pPr>
    </w:p>
    <w:p w14:paraId="37024447" w14:textId="6B8E7E97" w:rsidR="00C92C8E" w:rsidRPr="004F797D" w:rsidRDefault="004F797D" w:rsidP="00773733">
      <w:pPr>
        <w:pStyle w:val="Default"/>
        <w:ind w:left="1134" w:hanging="1134"/>
        <w:jc w:val="both"/>
        <w:rPr>
          <w:sz w:val="22"/>
          <w:szCs w:val="22"/>
          <w:lang w:val="es-CR"/>
        </w:rPr>
      </w:pPr>
      <w:r>
        <w:rPr>
          <w:sz w:val="22"/>
          <w:szCs w:val="22"/>
          <w:lang w:val="es-CR"/>
        </w:rPr>
        <w:t>5.60.0.01</w:t>
      </w:r>
      <w:r>
        <w:rPr>
          <w:sz w:val="22"/>
          <w:szCs w:val="22"/>
          <w:lang w:val="es-CR"/>
        </w:rPr>
        <w:tab/>
      </w:r>
      <w:r w:rsidRPr="004F797D">
        <w:rPr>
          <w:sz w:val="22"/>
          <w:szCs w:val="22"/>
          <w:lang w:val="es-CR"/>
        </w:rPr>
        <w:t>El resultado por la posición monetaria neta debe revelarse en el ERF de forma separada.</w:t>
      </w:r>
    </w:p>
    <w:p w14:paraId="096797D2" w14:textId="77777777" w:rsidR="00C92C8E" w:rsidRDefault="00C92C8E" w:rsidP="00773733">
      <w:pPr>
        <w:pStyle w:val="Default"/>
        <w:ind w:left="1134" w:hanging="1134"/>
        <w:jc w:val="both"/>
        <w:rPr>
          <w:sz w:val="22"/>
          <w:szCs w:val="22"/>
          <w:lang w:val="es-CR"/>
        </w:rPr>
      </w:pPr>
    </w:p>
    <w:p w14:paraId="60BC387C" w14:textId="77777777" w:rsidR="00D64D52" w:rsidRDefault="00D64D52" w:rsidP="00773733">
      <w:pPr>
        <w:pStyle w:val="Default"/>
        <w:ind w:left="1134" w:hanging="1134"/>
        <w:jc w:val="both"/>
        <w:rPr>
          <w:sz w:val="22"/>
          <w:szCs w:val="22"/>
          <w:lang w:val="es-CR"/>
        </w:rPr>
      </w:pPr>
    </w:p>
    <w:p w14:paraId="0C1DF943" w14:textId="77777777" w:rsidR="00C92C8E" w:rsidRDefault="00C92C8E" w:rsidP="00773733">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90"/>
        <w:gridCol w:w="2252"/>
        <w:gridCol w:w="1854"/>
      </w:tblGrid>
      <w:tr w:rsidR="004F797D" w:rsidRPr="004F797D" w14:paraId="37B91D94" w14:textId="77777777" w:rsidTr="00D64D52">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5BD2D3C" w14:textId="77777777" w:rsidR="004F797D" w:rsidRPr="004F797D" w:rsidRDefault="004F797D" w:rsidP="004F797D">
            <w:pPr>
              <w:jc w:val="center"/>
              <w:rPr>
                <w:rFonts w:ascii="Arial Narrow" w:eastAsia="Times New Roman" w:hAnsi="Arial Narrow" w:cs="Calibri"/>
                <w:b/>
                <w:bCs/>
                <w:color w:val="FFFFFF"/>
                <w:sz w:val="22"/>
                <w:szCs w:val="22"/>
              </w:rPr>
            </w:pPr>
            <w:r w:rsidRPr="004F797D">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57D3942" w14:textId="77777777" w:rsidR="004F797D" w:rsidRPr="004F797D" w:rsidRDefault="004F797D" w:rsidP="004F797D">
            <w:pPr>
              <w:jc w:val="center"/>
              <w:rPr>
                <w:rFonts w:ascii="Arial Narrow" w:eastAsia="Times New Roman" w:hAnsi="Arial Narrow" w:cs="Calibri"/>
                <w:b/>
                <w:bCs/>
                <w:color w:val="FFFFFF"/>
                <w:sz w:val="22"/>
                <w:szCs w:val="22"/>
              </w:rPr>
            </w:pPr>
            <w:r w:rsidRPr="004F797D">
              <w:rPr>
                <w:rFonts w:ascii="Arial Narrow" w:eastAsia="Times New Roman" w:hAnsi="Arial Narrow" w:cs="Calibri"/>
                <w:b/>
                <w:bCs/>
                <w:color w:val="FFFFFF"/>
                <w:sz w:val="22"/>
                <w:szCs w:val="22"/>
              </w:rPr>
              <w:t>Concepto</w:t>
            </w:r>
          </w:p>
        </w:tc>
        <w:tc>
          <w:tcPr>
            <w:tcW w:w="4106" w:type="dxa"/>
            <w:gridSpan w:val="2"/>
            <w:tcBorders>
              <w:top w:val="single" w:sz="8" w:space="0" w:color="auto"/>
              <w:left w:val="nil"/>
              <w:bottom w:val="single" w:sz="8" w:space="0" w:color="auto"/>
              <w:right w:val="single" w:sz="8" w:space="0" w:color="000000"/>
            </w:tcBorders>
            <w:shd w:val="clear" w:color="000000" w:fill="203764"/>
            <w:vAlign w:val="center"/>
            <w:hideMark/>
          </w:tcPr>
          <w:p w14:paraId="500A5704" w14:textId="77777777" w:rsidR="004F797D" w:rsidRPr="004F797D" w:rsidRDefault="004F797D" w:rsidP="004F797D">
            <w:pPr>
              <w:jc w:val="center"/>
              <w:rPr>
                <w:rFonts w:ascii="Arial Narrow" w:eastAsia="Times New Roman" w:hAnsi="Arial Narrow" w:cs="Calibri"/>
                <w:b/>
                <w:bCs/>
                <w:color w:val="FFFFFF"/>
                <w:sz w:val="22"/>
                <w:szCs w:val="22"/>
              </w:rPr>
            </w:pPr>
            <w:r w:rsidRPr="004F797D">
              <w:rPr>
                <w:rFonts w:ascii="Arial Narrow" w:eastAsia="Times New Roman" w:hAnsi="Arial Narrow" w:cs="Calibri"/>
                <w:b/>
                <w:bCs/>
                <w:color w:val="FFFFFF"/>
                <w:sz w:val="22"/>
                <w:szCs w:val="22"/>
              </w:rPr>
              <w:t>Referencia</w:t>
            </w:r>
          </w:p>
        </w:tc>
      </w:tr>
      <w:tr w:rsidR="004F797D" w:rsidRPr="006E5442" w14:paraId="4DA4956D" w14:textId="77777777" w:rsidTr="00D64D52">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53B08A89" w14:textId="77777777" w:rsidR="004F797D" w:rsidRPr="004F797D" w:rsidRDefault="004F797D" w:rsidP="004F797D">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36BF8675" w14:textId="77777777" w:rsidR="004F797D" w:rsidRPr="004F797D" w:rsidRDefault="004F797D" w:rsidP="004F797D">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6C96046D" w14:textId="77777777" w:rsidR="004F797D" w:rsidRPr="004F797D" w:rsidRDefault="004F797D" w:rsidP="004F797D">
            <w:pPr>
              <w:jc w:val="center"/>
              <w:rPr>
                <w:rFonts w:ascii="Arial Narrow" w:eastAsia="Times New Roman" w:hAnsi="Arial Narrow" w:cs="Calibri"/>
                <w:b/>
                <w:bCs/>
                <w:color w:val="FFFFFF"/>
                <w:sz w:val="22"/>
                <w:szCs w:val="22"/>
              </w:rPr>
            </w:pPr>
            <w:r w:rsidRPr="004F797D">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5234C634" w14:textId="77777777" w:rsidR="004F797D" w:rsidRPr="004F797D" w:rsidRDefault="004F797D" w:rsidP="004F797D">
            <w:pPr>
              <w:jc w:val="center"/>
              <w:rPr>
                <w:rFonts w:ascii="Arial Narrow" w:eastAsia="Times New Roman" w:hAnsi="Arial Narrow" w:cs="Calibri"/>
                <w:b/>
                <w:bCs/>
                <w:color w:val="FFFFFF"/>
                <w:sz w:val="22"/>
                <w:szCs w:val="22"/>
                <w:lang w:val="es-CR"/>
              </w:rPr>
            </w:pPr>
            <w:r w:rsidRPr="004F797D">
              <w:rPr>
                <w:rFonts w:ascii="Arial Narrow" w:eastAsia="Times New Roman" w:hAnsi="Arial Narrow" w:cs="Calibri"/>
                <w:b/>
                <w:bCs/>
                <w:color w:val="FFFFFF"/>
                <w:sz w:val="22"/>
                <w:szCs w:val="22"/>
                <w:lang w:val="es-CR"/>
              </w:rPr>
              <w:t>Normativa técnica y disposiciones adicionales</w:t>
            </w:r>
          </w:p>
        </w:tc>
      </w:tr>
      <w:tr w:rsidR="004F797D" w:rsidRPr="004F797D" w14:paraId="606C3D0D" w14:textId="77777777" w:rsidTr="00D64D5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055CF3" w14:textId="77777777" w:rsidR="004F797D" w:rsidRPr="004F797D" w:rsidRDefault="004F797D" w:rsidP="004F797D">
            <w:pPr>
              <w:jc w:val="center"/>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5</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ECBB4C2" w14:textId="77777777" w:rsidR="004F797D" w:rsidRPr="004F797D" w:rsidRDefault="004F797D" w:rsidP="004F797D">
            <w:pPr>
              <w:jc w:val="center"/>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61</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17E2788E" w14:textId="77777777" w:rsidR="004F797D" w:rsidRPr="004F797D" w:rsidRDefault="004F797D" w:rsidP="004F797D">
            <w:pPr>
              <w:jc w:val="center"/>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 xml:space="preserve">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66379FA6" w14:textId="77777777" w:rsidR="004F797D" w:rsidRPr="004F797D" w:rsidRDefault="004F797D" w:rsidP="004F797D">
            <w:pPr>
              <w:jc w:val="both"/>
              <w:rPr>
                <w:rFonts w:ascii="Arial Narrow" w:eastAsia="Times New Roman" w:hAnsi="Arial Narrow" w:cs="Calibri"/>
                <w:b/>
                <w:bCs/>
                <w:color w:val="000000"/>
                <w:sz w:val="22"/>
                <w:szCs w:val="22"/>
                <w:lang w:val="es-CR"/>
              </w:rPr>
            </w:pPr>
            <w:r w:rsidRPr="004F797D">
              <w:rPr>
                <w:rFonts w:ascii="Arial Narrow" w:eastAsia="Times New Roman" w:hAnsi="Arial Narrow" w:cs="Calibri"/>
                <w:b/>
                <w:bCs/>
                <w:color w:val="000000"/>
                <w:sz w:val="22"/>
                <w:szCs w:val="22"/>
                <w:lang w:val="es-CR"/>
              </w:rPr>
              <w:t>Exposición de resultados por tenencia y por exposición a la inflación</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7717819A" w14:textId="77777777" w:rsidR="004F797D" w:rsidRDefault="004F797D" w:rsidP="004F797D">
            <w:pPr>
              <w:jc w:val="both"/>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NICSP N° 10</w:t>
            </w:r>
            <w:r>
              <w:rPr>
                <w:rFonts w:ascii="Arial Narrow" w:eastAsia="Times New Roman" w:hAnsi="Arial Narrow" w:cs="Calibri"/>
                <w:b/>
                <w:bCs/>
                <w:color w:val="000000"/>
                <w:sz w:val="22"/>
                <w:szCs w:val="22"/>
              </w:rPr>
              <w:t>,</w:t>
            </w:r>
          </w:p>
          <w:p w14:paraId="7EF488C1" w14:textId="0BB9EF21" w:rsidR="004F797D" w:rsidRPr="004F797D" w:rsidRDefault="004F797D" w:rsidP="004F797D">
            <w:pPr>
              <w:jc w:val="both"/>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Párrafo 29.</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062F5212" w14:textId="77777777" w:rsidR="004F797D" w:rsidRPr="004F797D" w:rsidRDefault="004F797D" w:rsidP="004F797D">
            <w:pPr>
              <w:jc w:val="center"/>
              <w:rPr>
                <w:rFonts w:ascii="Arial Narrow" w:eastAsia="Times New Roman" w:hAnsi="Arial Narrow" w:cs="Calibri"/>
                <w:b/>
                <w:bCs/>
                <w:color w:val="000000"/>
                <w:sz w:val="22"/>
                <w:szCs w:val="22"/>
              </w:rPr>
            </w:pPr>
            <w:r w:rsidRPr="004F797D">
              <w:rPr>
                <w:rFonts w:ascii="Arial Narrow" w:eastAsia="Times New Roman" w:hAnsi="Arial Narrow" w:cs="Calibri"/>
                <w:b/>
                <w:bCs/>
                <w:color w:val="000000"/>
                <w:sz w:val="22"/>
                <w:szCs w:val="22"/>
              </w:rPr>
              <w:t xml:space="preserve"> </w:t>
            </w:r>
          </w:p>
        </w:tc>
      </w:tr>
    </w:tbl>
    <w:p w14:paraId="65BF9F5F" w14:textId="77777777" w:rsidR="004F797D" w:rsidRDefault="004F797D" w:rsidP="00773733">
      <w:pPr>
        <w:pStyle w:val="Default"/>
        <w:ind w:left="1134" w:hanging="1134"/>
        <w:jc w:val="both"/>
        <w:rPr>
          <w:sz w:val="22"/>
          <w:szCs w:val="22"/>
          <w:lang w:val="es-CR"/>
        </w:rPr>
      </w:pPr>
    </w:p>
    <w:p w14:paraId="11DA0E62" w14:textId="77777777" w:rsidR="00D64D52" w:rsidRDefault="00D64D52" w:rsidP="00D64D52">
      <w:pPr>
        <w:pStyle w:val="Default"/>
        <w:ind w:left="1134" w:hanging="1134"/>
        <w:jc w:val="both"/>
        <w:rPr>
          <w:rFonts w:eastAsia="Arial"/>
          <w:b/>
          <w:sz w:val="22"/>
          <w:szCs w:val="22"/>
        </w:rPr>
      </w:pPr>
      <w:r w:rsidRPr="00F02F9D">
        <w:rPr>
          <w:rFonts w:eastAsia="Arial"/>
          <w:b/>
          <w:sz w:val="22"/>
          <w:szCs w:val="22"/>
        </w:rPr>
        <w:lastRenderedPageBreak/>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537D8812" w14:textId="77777777" w:rsidR="00D64D52" w:rsidRDefault="00D64D52" w:rsidP="00773733">
      <w:pPr>
        <w:pStyle w:val="Default"/>
        <w:ind w:left="1134" w:hanging="1134"/>
        <w:jc w:val="both"/>
        <w:rPr>
          <w:sz w:val="22"/>
          <w:szCs w:val="22"/>
          <w:lang w:val="es-CR"/>
        </w:rPr>
      </w:pPr>
    </w:p>
    <w:p w14:paraId="3D4A9410" w14:textId="1F5B76EF" w:rsidR="00C92C8E" w:rsidRDefault="004F797D" w:rsidP="00773733">
      <w:pPr>
        <w:pStyle w:val="Default"/>
        <w:ind w:left="1134" w:hanging="1134"/>
        <w:jc w:val="both"/>
        <w:rPr>
          <w:sz w:val="22"/>
          <w:szCs w:val="22"/>
          <w:lang w:val="es-CR"/>
        </w:rPr>
      </w:pPr>
      <w:r>
        <w:rPr>
          <w:sz w:val="22"/>
          <w:szCs w:val="22"/>
          <w:lang w:val="es-CR"/>
        </w:rPr>
        <w:t>5.61.0.01</w:t>
      </w:r>
      <w:r>
        <w:rPr>
          <w:sz w:val="22"/>
          <w:szCs w:val="22"/>
          <w:lang w:val="es-CR"/>
        </w:rPr>
        <w:tab/>
      </w:r>
      <w:r w:rsidRPr="004F797D">
        <w:rPr>
          <w:sz w:val="22"/>
          <w:szCs w:val="22"/>
          <w:lang w:val="es-CR"/>
        </w:rPr>
        <w:t>El resultado por la posición monetaria neta será incluido en el ERF. El ajuste efectuado en los activos y obligaciones indexados, se compensará con el resultado por la posición monetaria neta.</w:t>
      </w:r>
    </w:p>
    <w:p w14:paraId="2FA7DC36" w14:textId="77777777" w:rsidR="00D64D52" w:rsidRDefault="00D64D52" w:rsidP="00773733">
      <w:pPr>
        <w:pStyle w:val="Default"/>
        <w:ind w:left="1134" w:hanging="1134"/>
        <w:jc w:val="both"/>
        <w:rPr>
          <w:sz w:val="22"/>
          <w:szCs w:val="22"/>
          <w:lang w:val="es-CR"/>
        </w:rPr>
      </w:pPr>
    </w:p>
    <w:p w14:paraId="080E3652" w14:textId="77777777" w:rsidR="00D64D52" w:rsidRPr="004F797D" w:rsidRDefault="00D64D52" w:rsidP="00773733">
      <w:pPr>
        <w:pStyle w:val="Default"/>
        <w:ind w:left="1134" w:hanging="1134"/>
        <w:jc w:val="both"/>
        <w:rPr>
          <w:sz w:val="22"/>
          <w:szCs w:val="22"/>
          <w:lang w:val="es-CR"/>
        </w:rPr>
      </w:pPr>
    </w:p>
    <w:p w14:paraId="4FECD78B" w14:textId="77777777" w:rsidR="00C92C8E" w:rsidRPr="004F797D" w:rsidRDefault="00C92C8E" w:rsidP="00773733">
      <w:pPr>
        <w:pStyle w:val="Default"/>
        <w:ind w:left="1134" w:hanging="1134"/>
        <w:jc w:val="both"/>
        <w:rPr>
          <w:sz w:val="22"/>
          <w:szCs w:val="22"/>
          <w:lang w:val="es-CR"/>
        </w:rPr>
      </w:pPr>
    </w:p>
    <w:tbl>
      <w:tblPr>
        <w:tblW w:w="9346" w:type="dxa"/>
        <w:tblLook w:val="04A0" w:firstRow="1" w:lastRow="0" w:firstColumn="1" w:lastColumn="0" w:noHBand="0" w:noVBand="1"/>
      </w:tblPr>
      <w:tblGrid>
        <w:gridCol w:w="540"/>
        <w:gridCol w:w="726"/>
        <w:gridCol w:w="520"/>
        <w:gridCol w:w="11"/>
        <w:gridCol w:w="3728"/>
        <w:gridCol w:w="11"/>
        <w:gridCol w:w="1967"/>
        <w:gridCol w:w="1843"/>
      </w:tblGrid>
      <w:tr w:rsidR="00EE2D22" w:rsidRPr="00EE2D22" w14:paraId="03300CEC" w14:textId="77777777" w:rsidTr="00D64D52">
        <w:trPr>
          <w:trHeight w:val="320"/>
        </w:trPr>
        <w:tc>
          <w:tcPr>
            <w:tcW w:w="1797" w:type="dxa"/>
            <w:gridSpan w:val="4"/>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6177AE50" w14:textId="77777777" w:rsidR="00EE2D22" w:rsidRPr="00EE2D22" w:rsidRDefault="00EE2D22" w:rsidP="00EE2D22">
            <w:pPr>
              <w:jc w:val="center"/>
              <w:rPr>
                <w:rFonts w:ascii="Arial Narrow" w:eastAsia="Times New Roman" w:hAnsi="Arial Narrow" w:cs="Calibri"/>
                <w:b/>
                <w:bCs/>
                <w:color w:val="FFFFFF"/>
                <w:sz w:val="22"/>
                <w:szCs w:val="22"/>
              </w:rPr>
            </w:pPr>
            <w:r w:rsidRPr="00EE2D22">
              <w:rPr>
                <w:rFonts w:ascii="Arial Narrow" w:eastAsia="Times New Roman" w:hAnsi="Arial Narrow" w:cs="Calibri"/>
                <w:b/>
                <w:bCs/>
                <w:color w:val="FFFFFF"/>
                <w:sz w:val="22"/>
                <w:szCs w:val="22"/>
              </w:rPr>
              <w:t>Norma / Política</w:t>
            </w:r>
          </w:p>
        </w:tc>
        <w:tc>
          <w:tcPr>
            <w:tcW w:w="3739" w:type="dxa"/>
            <w:gridSpan w:val="2"/>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47672E05" w14:textId="77777777" w:rsidR="00EE2D22" w:rsidRPr="00EE2D22" w:rsidRDefault="00EE2D22" w:rsidP="00EE2D22">
            <w:pPr>
              <w:jc w:val="center"/>
              <w:rPr>
                <w:rFonts w:ascii="Arial Narrow" w:eastAsia="Times New Roman" w:hAnsi="Arial Narrow" w:cs="Calibri"/>
                <w:b/>
                <w:bCs/>
                <w:color w:val="FFFFFF"/>
                <w:sz w:val="22"/>
                <w:szCs w:val="22"/>
              </w:rPr>
            </w:pPr>
            <w:r w:rsidRPr="00EE2D22">
              <w:rPr>
                <w:rFonts w:ascii="Arial Narrow" w:eastAsia="Times New Roman" w:hAnsi="Arial Narrow" w:cs="Calibri"/>
                <w:b/>
                <w:bCs/>
                <w:color w:val="FFFFFF"/>
                <w:sz w:val="22"/>
                <w:szCs w:val="22"/>
              </w:rPr>
              <w:t>Concepto</w:t>
            </w:r>
          </w:p>
        </w:tc>
        <w:tc>
          <w:tcPr>
            <w:tcW w:w="3810" w:type="dxa"/>
            <w:gridSpan w:val="2"/>
            <w:tcBorders>
              <w:top w:val="single" w:sz="8" w:space="0" w:color="auto"/>
              <w:left w:val="nil"/>
              <w:bottom w:val="single" w:sz="8" w:space="0" w:color="auto"/>
              <w:right w:val="single" w:sz="8" w:space="0" w:color="000000"/>
            </w:tcBorders>
            <w:shd w:val="clear" w:color="000000" w:fill="203764"/>
            <w:vAlign w:val="center"/>
            <w:hideMark/>
          </w:tcPr>
          <w:p w14:paraId="5C5D526D" w14:textId="77777777" w:rsidR="00EE2D22" w:rsidRPr="00EE2D22" w:rsidRDefault="00EE2D22" w:rsidP="00EE2D22">
            <w:pPr>
              <w:jc w:val="center"/>
              <w:rPr>
                <w:rFonts w:ascii="Arial Narrow" w:eastAsia="Times New Roman" w:hAnsi="Arial Narrow" w:cs="Calibri"/>
                <w:b/>
                <w:bCs/>
                <w:color w:val="FFFFFF"/>
                <w:sz w:val="22"/>
                <w:szCs w:val="22"/>
              </w:rPr>
            </w:pPr>
            <w:r w:rsidRPr="00EE2D22">
              <w:rPr>
                <w:rFonts w:ascii="Arial Narrow" w:eastAsia="Times New Roman" w:hAnsi="Arial Narrow" w:cs="Calibri"/>
                <w:b/>
                <w:bCs/>
                <w:color w:val="FFFFFF"/>
                <w:sz w:val="22"/>
                <w:szCs w:val="22"/>
              </w:rPr>
              <w:t>Referencia</w:t>
            </w:r>
          </w:p>
        </w:tc>
      </w:tr>
      <w:tr w:rsidR="00EE2D22" w:rsidRPr="006E5442" w14:paraId="4C6111CD" w14:textId="77777777" w:rsidTr="00D64D52">
        <w:trPr>
          <w:trHeight w:val="850"/>
        </w:trPr>
        <w:tc>
          <w:tcPr>
            <w:tcW w:w="1797" w:type="dxa"/>
            <w:gridSpan w:val="4"/>
            <w:vMerge/>
            <w:tcBorders>
              <w:top w:val="single" w:sz="8" w:space="0" w:color="auto"/>
              <w:left w:val="single" w:sz="8" w:space="0" w:color="auto"/>
              <w:bottom w:val="single" w:sz="8" w:space="0" w:color="000000"/>
              <w:right w:val="single" w:sz="8" w:space="0" w:color="000000"/>
            </w:tcBorders>
            <w:vAlign w:val="center"/>
            <w:hideMark/>
          </w:tcPr>
          <w:p w14:paraId="656C6DBC" w14:textId="77777777" w:rsidR="00EE2D22" w:rsidRPr="00EE2D22" w:rsidRDefault="00EE2D22" w:rsidP="00EE2D22">
            <w:pPr>
              <w:rPr>
                <w:rFonts w:ascii="Arial Narrow" w:eastAsia="Times New Roman" w:hAnsi="Arial Narrow" w:cs="Calibri"/>
                <w:b/>
                <w:bCs/>
                <w:color w:val="FFFFFF"/>
                <w:sz w:val="22"/>
                <w:szCs w:val="22"/>
              </w:rPr>
            </w:pPr>
          </w:p>
        </w:tc>
        <w:tc>
          <w:tcPr>
            <w:tcW w:w="3739" w:type="dxa"/>
            <w:gridSpan w:val="2"/>
            <w:vMerge/>
            <w:tcBorders>
              <w:top w:val="single" w:sz="8" w:space="0" w:color="auto"/>
              <w:left w:val="single" w:sz="8" w:space="0" w:color="auto"/>
              <w:bottom w:val="single" w:sz="8" w:space="0" w:color="000000"/>
              <w:right w:val="single" w:sz="8" w:space="0" w:color="auto"/>
            </w:tcBorders>
            <w:vAlign w:val="center"/>
            <w:hideMark/>
          </w:tcPr>
          <w:p w14:paraId="0BBAA164" w14:textId="77777777" w:rsidR="00EE2D22" w:rsidRPr="00EE2D22" w:rsidRDefault="00EE2D22" w:rsidP="00EE2D22">
            <w:pPr>
              <w:rPr>
                <w:rFonts w:ascii="Arial Narrow" w:eastAsia="Times New Roman" w:hAnsi="Arial Narrow" w:cs="Calibri"/>
                <w:b/>
                <w:bCs/>
                <w:color w:val="FFFFFF"/>
                <w:sz w:val="22"/>
                <w:szCs w:val="22"/>
              </w:rPr>
            </w:pPr>
          </w:p>
        </w:tc>
        <w:tc>
          <w:tcPr>
            <w:tcW w:w="1967" w:type="dxa"/>
            <w:tcBorders>
              <w:top w:val="nil"/>
              <w:left w:val="nil"/>
              <w:bottom w:val="single" w:sz="8" w:space="0" w:color="auto"/>
              <w:right w:val="single" w:sz="8" w:space="0" w:color="auto"/>
            </w:tcBorders>
            <w:shd w:val="clear" w:color="000000" w:fill="203764"/>
            <w:vAlign w:val="center"/>
            <w:hideMark/>
          </w:tcPr>
          <w:p w14:paraId="11CE2683" w14:textId="77777777" w:rsidR="00EE2D22" w:rsidRPr="00EE2D22" w:rsidRDefault="00EE2D22" w:rsidP="00EE2D22">
            <w:pPr>
              <w:jc w:val="center"/>
              <w:rPr>
                <w:rFonts w:ascii="Arial Narrow" w:eastAsia="Times New Roman" w:hAnsi="Arial Narrow" w:cs="Calibri"/>
                <w:b/>
                <w:bCs/>
                <w:color w:val="FFFFFF"/>
                <w:sz w:val="22"/>
                <w:szCs w:val="22"/>
              </w:rPr>
            </w:pPr>
            <w:r w:rsidRPr="00EE2D22">
              <w:rPr>
                <w:rFonts w:ascii="Arial Narrow" w:eastAsia="Times New Roman" w:hAnsi="Arial Narrow" w:cs="Calibri"/>
                <w:b/>
                <w:bCs/>
                <w:color w:val="FFFFFF"/>
                <w:sz w:val="22"/>
                <w:szCs w:val="22"/>
              </w:rPr>
              <w:t>Norma</w:t>
            </w:r>
          </w:p>
        </w:tc>
        <w:tc>
          <w:tcPr>
            <w:tcW w:w="1843" w:type="dxa"/>
            <w:tcBorders>
              <w:top w:val="nil"/>
              <w:left w:val="nil"/>
              <w:bottom w:val="single" w:sz="8" w:space="0" w:color="auto"/>
              <w:right w:val="single" w:sz="8" w:space="0" w:color="auto"/>
            </w:tcBorders>
            <w:shd w:val="clear" w:color="000000" w:fill="203764"/>
            <w:vAlign w:val="center"/>
            <w:hideMark/>
          </w:tcPr>
          <w:p w14:paraId="2CA8375F" w14:textId="77777777" w:rsidR="00EE2D22" w:rsidRPr="00EE2D22" w:rsidRDefault="00EE2D22" w:rsidP="00EE2D22">
            <w:pPr>
              <w:jc w:val="center"/>
              <w:rPr>
                <w:rFonts w:ascii="Arial Narrow" w:eastAsia="Times New Roman" w:hAnsi="Arial Narrow" w:cs="Calibri"/>
                <w:b/>
                <w:bCs/>
                <w:color w:val="FFFFFF"/>
                <w:sz w:val="22"/>
                <w:szCs w:val="22"/>
                <w:lang w:val="es-CR"/>
              </w:rPr>
            </w:pPr>
            <w:r w:rsidRPr="00EE2D22">
              <w:rPr>
                <w:rFonts w:ascii="Arial Narrow" w:eastAsia="Times New Roman" w:hAnsi="Arial Narrow" w:cs="Calibri"/>
                <w:b/>
                <w:bCs/>
                <w:color w:val="FFFFFF"/>
                <w:sz w:val="22"/>
                <w:szCs w:val="22"/>
                <w:lang w:val="es-CR"/>
              </w:rPr>
              <w:t>Normativa técnica y disposiciones adicionales</w:t>
            </w:r>
          </w:p>
        </w:tc>
      </w:tr>
      <w:tr w:rsidR="00EE2D22" w:rsidRPr="00EE2D22" w14:paraId="6B9F6D53" w14:textId="77777777" w:rsidTr="00D64D52">
        <w:trPr>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42F4BA97"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5</w:t>
            </w:r>
          </w:p>
        </w:tc>
        <w:tc>
          <w:tcPr>
            <w:tcW w:w="726" w:type="dxa"/>
            <w:tcBorders>
              <w:top w:val="nil"/>
              <w:left w:val="nil"/>
              <w:bottom w:val="single" w:sz="8" w:space="0" w:color="auto"/>
              <w:right w:val="single" w:sz="8" w:space="0" w:color="auto"/>
            </w:tcBorders>
            <w:shd w:val="clear" w:color="auto" w:fill="auto"/>
            <w:vAlign w:val="center"/>
            <w:hideMark/>
          </w:tcPr>
          <w:p w14:paraId="41A719E2" w14:textId="77777777" w:rsidR="00EE2D22" w:rsidRPr="00EE2D22" w:rsidRDefault="00EE2D22" w:rsidP="00D64D5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62</w:t>
            </w:r>
          </w:p>
        </w:tc>
        <w:tc>
          <w:tcPr>
            <w:tcW w:w="520" w:type="dxa"/>
            <w:tcBorders>
              <w:top w:val="nil"/>
              <w:left w:val="nil"/>
              <w:bottom w:val="single" w:sz="8" w:space="0" w:color="auto"/>
              <w:right w:val="single" w:sz="8" w:space="0" w:color="auto"/>
            </w:tcBorders>
            <w:shd w:val="clear" w:color="auto" w:fill="auto"/>
            <w:vAlign w:val="center"/>
            <w:hideMark/>
          </w:tcPr>
          <w:p w14:paraId="4298C393"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w:t>
            </w:r>
          </w:p>
        </w:tc>
        <w:tc>
          <w:tcPr>
            <w:tcW w:w="3739" w:type="dxa"/>
            <w:gridSpan w:val="2"/>
            <w:tcBorders>
              <w:top w:val="nil"/>
              <w:left w:val="nil"/>
              <w:bottom w:val="single" w:sz="8" w:space="0" w:color="auto"/>
              <w:right w:val="single" w:sz="8" w:space="0" w:color="auto"/>
            </w:tcBorders>
            <w:shd w:val="clear" w:color="auto" w:fill="auto"/>
            <w:vAlign w:val="center"/>
            <w:hideMark/>
          </w:tcPr>
          <w:p w14:paraId="7993BB63" w14:textId="77777777" w:rsidR="00EE2D22" w:rsidRPr="00EE2D22" w:rsidRDefault="00EE2D22" w:rsidP="00EE2D22">
            <w:pPr>
              <w:rPr>
                <w:rFonts w:ascii="Arial Narrow" w:eastAsia="Times New Roman" w:hAnsi="Arial Narrow" w:cs="Calibri"/>
                <w:b/>
                <w:bCs/>
                <w:color w:val="000000"/>
                <w:sz w:val="22"/>
                <w:szCs w:val="22"/>
                <w:lang w:val="es-CR"/>
              </w:rPr>
            </w:pPr>
            <w:r w:rsidRPr="00EE2D22">
              <w:rPr>
                <w:rFonts w:ascii="Arial Narrow" w:eastAsia="Times New Roman" w:hAnsi="Arial Narrow" w:cs="Calibri"/>
                <w:b/>
                <w:bCs/>
                <w:color w:val="000000"/>
                <w:sz w:val="22"/>
                <w:szCs w:val="22"/>
                <w:lang w:val="es-CR"/>
              </w:rPr>
              <w:t>Reconocimiento de las diferencias de cambio</w:t>
            </w:r>
          </w:p>
        </w:tc>
        <w:tc>
          <w:tcPr>
            <w:tcW w:w="1978" w:type="dxa"/>
            <w:gridSpan w:val="2"/>
            <w:tcBorders>
              <w:top w:val="nil"/>
              <w:left w:val="nil"/>
              <w:bottom w:val="single" w:sz="8" w:space="0" w:color="auto"/>
              <w:right w:val="single" w:sz="8" w:space="0" w:color="auto"/>
            </w:tcBorders>
            <w:shd w:val="clear" w:color="auto" w:fill="auto"/>
            <w:vAlign w:val="center"/>
            <w:hideMark/>
          </w:tcPr>
          <w:p w14:paraId="1080A1D1" w14:textId="77777777" w:rsidR="00D64D5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NICSP N° 12, </w:t>
            </w:r>
          </w:p>
          <w:p w14:paraId="3388AEC4" w14:textId="1E9D382C" w:rsidR="00EE2D22" w:rsidRPr="00EE2D2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Párrafo 32.</w:t>
            </w:r>
          </w:p>
        </w:tc>
        <w:tc>
          <w:tcPr>
            <w:tcW w:w="1843" w:type="dxa"/>
            <w:tcBorders>
              <w:top w:val="nil"/>
              <w:left w:val="nil"/>
              <w:bottom w:val="single" w:sz="8" w:space="0" w:color="auto"/>
              <w:right w:val="single" w:sz="8" w:space="0" w:color="auto"/>
            </w:tcBorders>
            <w:shd w:val="clear" w:color="auto" w:fill="auto"/>
            <w:vAlign w:val="center"/>
            <w:hideMark/>
          </w:tcPr>
          <w:p w14:paraId="1DA55AF7"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 </w:t>
            </w:r>
          </w:p>
        </w:tc>
      </w:tr>
      <w:tr w:rsidR="00EE2D22" w:rsidRPr="00EE2D22" w14:paraId="5FBF936E" w14:textId="77777777" w:rsidTr="00D64D52">
        <w:trPr>
          <w:trHeight w:val="30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E3200D0"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5</w:t>
            </w:r>
          </w:p>
        </w:tc>
        <w:tc>
          <w:tcPr>
            <w:tcW w:w="726" w:type="dxa"/>
            <w:tcBorders>
              <w:top w:val="nil"/>
              <w:left w:val="nil"/>
              <w:bottom w:val="single" w:sz="8" w:space="0" w:color="auto"/>
              <w:right w:val="single" w:sz="8" w:space="0" w:color="auto"/>
            </w:tcBorders>
            <w:shd w:val="clear" w:color="auto" w:fill="auto"/>
            <w:vAlign w:val="center"/>
            <w:hideMark/>
          </w:tcPr>
          <w:p w14:paraId="3F56088D" w14:textId="77777777" w:rsidR="00EE2D22" w:rsidRPr="00EE2D22" w:rsidRDefault="00EE2D22" w:rsidP="00D64D5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62</w:t>
            </w:r>
          </w:p>
        </w:tc>
        <w:tc>
          <w:tcPr>
            <w:tcW w:w="520" w:type="dxa"/>
            <w:tcBorders>
              <w:top w:val="nil"/>
              <w:left w:val="nil"/>
              <w:bottom w:val="single" w:sz="8" w:space="0" w:color="auto"/>
              <w:right w:val="nil"/>
            </w:tcBorders>
            <w:shd w:val="clear" w:color="auto" w:fill="auto"/>
            <w:vAlign w:val="center"/>
            <w:hideMark/>
          </w:tcPr>
          <w:p w14:paraId="6292CCA8"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1</w:t>
            </w:r>
          </w:p>
        </w:tc>
        <w:tc>
          <w:tcPr>
            <w:tcW w:w="3739" w:type="dxa"/>
            <w:gridSpan w:val="2"/>
            <w:tcBorders>
              <w:top w:val="nil"/>
              <w:left w:val="single" w:sz="8" w:space="0" w:color="auto"/>
              <w:bottom w:val="single" w:sz="8" w:space="0" w:color="auto"/>
              <w:right w:val="single" w:sz="8" w:space="0" w:color="auto"/>
            </w:tcBorders>
            <w:shd w:val="clear" w:color="auto" w:fill="auto"/>
            <w:vAlign w:val="center"/>
            <w:hideMark/>
          </w:tcPr>
          <w:p w14:paraId="34C23527" w14:textId="77777777" w:rsidR="00EE2D22" w:rsidRPr="00EE2D2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Diferencia de cambio</w:t>
            </w:r>
          </w:p>
        </w:tc>
        <w:tc>
          <w:tcPr>
            <w:tcW w:w="1978" w:type="dxa"/>
            <w:gridSpan w:val="2"/>
            <w:tcBorders>
              <w:top w:val="nil"/>
              <w:left w:val="nil"/>
              <w:bottom w:val="single" w:sz="8" w:space="0" w:color="auto"/>
              <w:right w:val="single" w:sz="8" w:space="0" w:color="auto"/>
            </w:tcBorders>
            <w:shd w:val="clear" w:color="auto" w:fill="auto"/>
            <w:vAlign w:val="center"/>
            <w:hideMark/>
          </w:tcPr>
          <w:p w14:paraId="0C7FE8EE" w14:textId="77777777" w:rsidR="00D64D5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NICSP N° 12, </w:t>
            </w:r>
          </w:p>
          <w:p w14:paraId="197DF721" w14:textId="31CC7A63" w:rsidR="00EE2D22" w:rsidRPr="00EE2D2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Párrafo 33.</w:t>
            </w:r>
          </w:p>
        </w:tc>
        <w:tc>
          <w:tcPr>
            <w:tcW w:w="1843" w:type="dxa"/>
            <w:tcBorders>
              <w:top w:val="nil"/>
              <w:left w:val="nil"/>
              <w:bottom w:val="single" w:sz="8" w:space="0" w:color="auto"/>
              <w:right w:val="single" w:sz="8" w:space="0" w:color="auto"/>
            </w:tcBorders>
            <w:shd w:val="clear" w:color="auto" w:fill="auto"/>
            <w:vAlign w:val="center"/>
            <w:hideMark/>
          </w:tcPr>
          <w:p w14:paraId="107E7E4A"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 </w:t>
            </w:r>
          </w:p>
        </w:tc>
      </w:tr>
      <w:tr w:rsidR="00EE2D22" w:rsidRPr="00EE2D22" w14:paraId="41B61ACD" w14:textId="77777777" w:rsidTr="00D64D52">
        <w:trPr>
          <w:trHeight w:val="30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387C5CA"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5</w:t>
            </w:r>
          </w:p>
        </w:tc>
        <w:tc>
          <w:tcPr>
            <w:tcW w:w="726" w:type="dxa"/>
            <w:tcBorders>
              <w:top w:val="nil"/>
              <w:left w:val="nil"/>
              <w:bottom w:val="single" w:sz="8" w:space="0" w:color="auto"/>
              <w:right w:val="single" w:sz="8" w:space="0" w:color="auto"/>
            </w:tcBorders>
            <w:shd w:val="clear" w:color="auto" w:fill="auto"/>
            <w:vAlign w:val="center"/>
            <w:hideMark/>
          </w:tcPr>
          <w:p w14:paraId="1ABBC6A1"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62</w:t>
            </w:r>
          </w:p>
        </w:tc>
        <w:tc>
          <w:tcPr>
            <w:tcW w:w="520" w:type="dxa"/>
            <w:tcBorders>
              <w:top w:val="nil"/>
              <w:left w:val="nil"/>
              <w:bottom w:val="single" w:sz="8" w:space="0" w:color="auto"/>
              <w:right w:val="single" w:sz="8" w:space="0" w:color="auto"/>
            </w:tcBorders>
            <w:shd w:val="clear" w:color="auto" w:fill="auto"/>
            <w:vAlign w:val="center"/>
            <w:hideMark/>
          </w:tcPr>
          <w:p w14:paraId="30BFC5B6"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2</w:t>
            </w:r>
          </w:p>
        </w:tc>
        <w:tc>
          <w:tcPr>
            <w:tcW w:w="3739" w:type="dxa"/>
            <w:gridSpan w:val="2"/>
            <w:tcBorders>
              <w:top w:val="nil"/>
              <w:left w:val="nil"/>
              <w:bottom w:val="single" w:sz="8" w:space="0" w:color="auto"/>
              <w:right w:val="single" w:sz="8" w:space="0" w:color="auto"/>
            </w:tcBorders>
            <w:shd w:val="clear" w:color="auto" w:fill="auto"/>
            <w:vAlign w:val="center"/>
            <w:hideMark/>
          </w:tcPr>
          <w:p w14:paraId="4810ABF0" w14:textId="77777777" w:rsidR="00EE2D22" w:rsidRPr="00EE2D22" w:rsidRDefault="00EE2D22" w:rsidP="00EE2D22">
            <w:pPr>
              <w:jc w:val="both"/>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Patrimonio / Resultados</w:t>
            </w:r>
          </w:p>
        </w:tc>
        <w:tc>
          <w:tcPr>
            <w:tcW w:w="1978" w:type="dxa"/>
            <w:gridSpan w:val="2"/>
            <w:tcBorders>
              <w:top w:val="nil"/>
              <w:left w:val="nil"/>
              <w:bottom w:val="single" w:sz="8" w:space="0" w:color="auto"/>
              <w:right w:val="single" w:sz="8" w:space="0" w:color="auto"/>
            </w:tcBorders>
            <w:shd w:val="clear" w:color="auto" w:fill="auto"/>
            <w:vAlign w:val="center"/>
            <w:hideMark/>
          </w:tcPr>
          <w:p w14:paraId="030BB9EB" w14:textId="77777777" w:rsidR="00D64D5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NICSP N° 12, </w:t>
            </w:r>
          </w:p>
          <w:p w14:paraId="42A0E157" w14:textId="2217B872" w:rsidR="00EE2D22" w:rsidRPr="00EE2D2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Párrafo 35.</w:t>
            </w:r>
          </w:p>
        </w:tc>
        <w:tc>
          <w:tcPr>
            <w:tcW w:w="1843" w:type="dxa"/>
            <w:tcBorders>
              <w:top w:val="nil"/>
              <w:left w:val="nil"/>
              <w:bottom w:val="single" w:sz="8" w:space="0" w:color="auto"/>
              <w:right w:val="single" w:sz="8" w:space="0" w:color="auto"/>
            </w:tcBorders>
            <w:shd w:val="clear" w:color="auto" w:fill="auto"/>
            <w:vAlign w:val="center"/>
            <w:hideMark/>
          </w:tcPr>
          <w:p w14:paraId="30F1A790" w14:textId="77777777" w:rsidR="00EE2D22" w:rsidRPr="00EE2D22" w:rsidRDefault="00EE2D22" w:rsidP="00EE2D22">
            <w:pPr>
              <w:ind w:firstLineChars="100" w:firstLine="220"/>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 </w:t>
            </w:r>
          </w:p>
        </w:tc>
      </w:tr>
      <w:tr w:rsidR="00EE2D22" w:rsidRPr="00EE2D22" w14:paraId="2A033109" w14:textId="77777777" w:rsidTr="00D64D52">
        <w:trPr>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22EFC00"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5</w:t>
            </w:r>
          </w:p>
        </w:tc>
        <w:tc>
          <w:tcPr>
            <w:tcW w:w="726" w:type="dxa"/>
            <w:tcBorders>
              <w:top w:val="nil"/>
              <w:left w:val="nil"/>
              <w:bottom w:val="single" w:sz="8" w:space="0" w:color="auto"/>
              <w:right w:val="single" w:sz="8" w:space="0" w:color="auto"/>
            </w:tcBorders>
            <w:shd w:val="clear" w:color="auto" w:fill="auto"/>
            <w:vAlign w:val="center"/>
            <w:hideMark/>
          </w:tcPr>
          <w:p w14:paraId="5F863117"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62</w:t>
            </w:r>
          </w:p>
        </w:tc>
        <w:tc>
          <w:tcPr>
            <w:tcW w:w="520" w:type="dxa"/>
            <w:tcBorders>
              <w:top w:val="nil"/>
              <w:left w:val="nil"/>
              <w:bottom w:val="single" w:sz="8" w:space="0" w:color="auto"/>
              <w:right w:val="single" w:sz="8" w:space="0" w:color="auto"/>
            </w:tcBorders>
            <w:shd w:val="clear" w:color="auto" w:fill="auto"/>
            <w:vAlign w:val="center"/>
            <w:hideMark/>
          </w:tcPr>
          <w:p w14:paraId="3A1615D3"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3</w:t>
            </w:r>
          </w:p>
        </w:tc>
        <w:tc>
          <w:tcPr>
            <w:tcW w:w="3739" w:type="dxa"/>
            <w:gridSpan w:val="2"/>
            <w:tcBorders>
              <w:top w:val="nil"/>
              <w:left w:val="nil"/>
              <w:bottom w:val="single" w:sz="8" w:space="0" w:color="auto"/>
              <w:right w:val="single" w:sz="8" w:space="0" w:color="auto"/>
            </w:tcBorders>
            <w:shd w:val="clear" w:color="auto" w:fill="auto"/>
            <w:vAlign w:val="center"/>
            <w:hideMark/>
          </w:tcPr>
          <w:p w14:paraId="7C5021A8" w14:textId="77777777" w:rsidR="00EE2D22" w:rsidRPr="00EE2D22" w:rsidRDefault="00EE2D22" w:rsidP="00EE2D22">
            <w:pPr>
              <w:jc w:val="both"/>
              <w:rPr>
                <w:rFonts w:ascii="Arial Narrow" w:eastAsia="Times New Roman" w:hAnsi="Arial Narrow" w:cs="Calibri"/>
                <w:b/>
                <w:bCs/>
                <w:color w:val="000000"/>
                <w:sz w:val="22"/>
                <w:szCs w:val="22"/>
                <w:lang w:val="es-CR"/>
              </w:rPr>
            </w:pPr>
            <w:r w:rsidRPr="00EE2D22">
              <w:rPr>
                <w:rFonts w:ascii="Arial Narrow" w:eastAsia="Times New Roman" w:hAnsi="Arial Narrow" w:cs="Calibri"/>
                <w:b/>
                <w:bCs/>
                <w:color w:val="000000"/>
                <w:sz w:val="22"/>
                <w:szCs w:val="22"/>
                <w:lang w:val="es-CR"/>
              </w:rPr>
              <w:t>Propiedades, planta y equipo revaluados</w:t>
            </w:r>
          </w:p>
        </w:tc>
        <w:tc>
          <w:tcPr>
            <w:tcW w:w="1978" w:type="dxa"/>
            <w:gridSpan w:val="2"/>
            <w:tcBorders>
              <w:top w:val="nil"/>
              <w:left w:val="nil"/>
              <w:bottom w:val="single" w:sz="8" w:space="0" w:color="auto"/>
              <w:right w:val="single" w:sz="8" w:space="0" w:color="auto"/>
            </w:tcBorders>
            <w:shd w:val="clear" w:color="auto" w:fill="auto"/>
            <w:vAlign w:val="center"/>
            <w:hideMark/>
          </w:tcPr>
          <w:p w14:paraId="2DB85B60" w14:textId="77777777" w:rsidR="00D64D5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NICSP N° 12, </w:t>
            </w:r>
          </w:p>
          <w:p w14:paraId="29281A5A" w14:textId="73E8314D" w:rsidR="00EE2D22" w:rsidRPr="00EE2D2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Párrafo 36.</w:t>
            </w:r>
          </w:p>
        </w:tc>
        <w:tc>
          <w:tcPr>
            <w:tcW w:w="1843" w:type="dxa"/>
            <w:tcBorders>
              <w:top w:val="nil"/>
              <w:left w:val="nil"/>
              <w:bottom w:val="single" w:sz="8" w:space="0" w:color="auto"/>
              <w:right w:val="single" w:sz="8" w:space="0" w:color="auto"/>
            </w:tcBorders>
            <w:shd w:val="clear" w:color="auto" w:fill="auto"/>
            <w:vAlign w:val="center"/>
            <w:hideMark/>
          </w:tcPr>
          <w:p w14:paraId="0287ACF7" w14:textId="77777777" w:rsidR="00EE2D22" w:rsidRPr="00EE2D22" w:rsidRDefault="00EE2D22" w:rsidP="00EE2D22">
            <w:pPr>
              <w:ind w:firstLineChars="100" w:firstLine="220"/>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 </w:t>
            </w:r>
          </w:p>
        </w:tc>
      </w:tr>
      <w:tr w:rsidR="00EE2D22" w:rsidRPr="00EE2D22" w14:paraId="273B6B8F" w14:textId="77777777" w:rsidTr="00D64D52">
        <w:trPr>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77CEDAD"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5</w:t>
            </w:r>
          </w:p>
        </w:tc>
        <w:tc>
          <w:tcPr>
            <w:tcW w:w="726" w:type="dxa"/>
            <w:tcBorders>
              <w:top w:val="nil"/>
              <w:left w:val="nil"/>
              <w:bottom w:val="single" w:sz="8" w:space="0" w:color="auto"/>
              <w:right w:val="single" w:sz="8" w:space="0" w:color="auto"/>
            </w:tcBorders>
            <w:shd w:val="clear" w:color="auto" w:fill="auto"/>
            <w:vAlign w:val="center"/>
            <w:hideMark/>
          </w:tcPr>
          <w:p w14:paraId="6EB6FAA9"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62</w:t>
            </w:r>
          </w:p>
        </w:tc>
        <w:tc>
          <w:tcPr>
            <w:tcW w:w="520" w:type="dxa"/>
            <w:tcBorders>
              <w:top w:val="nil"/>
              <w:left w:val="nil"/>
              <w:bottom w:val="single" w:sz="8" w:space="0" w:color="auto"/>
              <w:right w:val="single" w:sz="8" w:space="0" w:color="auto"/>
            </w:tcBorders>
            <w:shd w:val="clear" w:color="auto" w:fill="auto"/>
            <w:vAlign w:val="center"/>
            <w:hideMark/>
          </w:tcPr>
          <w:p w14:paraId="7CBB060C" w14:textId="77777777" w:rsidR="00EE2D22" w:rsidRPr="00EE2D22" w:rsidRDefault="00EE2D22" w:rsidP="00EE2D22">
            <w:pPr>
              <w:jc w:val="cente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4</w:t>
            </w:r>
          </w:p>
        </w:tc>
        <w:tc>
          <w:tcPr>
            <w:tcW w:w="3739" w:type="dxa"/>
            <w:gridSpan w:val="2"/>
            <w:tcBorders>
              <w:top w:val="nil"/>
              <w:left w:val="nil"/>
              <w:bottom w:val="single" w:sz="8" w:space="0" w:color="auto"/>
              <w:right w:val="single" w:sz="8" w:space="0" w:color="auto"/>
            </w:tcBorders>
            <w:shd w:val="clear" w:color="auto" w:fill="auto"/>
            <w:vAlign w:val="center"/>
            <w:hideMark/>
          </w:tcPr>
          <w:p w14:paraId="2DE406DA" w14:textId="77777777" w:rsidR="00EE2D22" w:rsidRPr="00EE2D22" w:rsidRDefault="00EE2D22" w:rsidP="00EE2D22">
            <w:pPr>
              <w:jc w:val="both"/>
              <w:rPr>
                <w:rFonts w:ascii="Arial Narrow" w:eastAsia="Times New Roman" w:hAnsi="Arial Narrow" w:cs="Calibri"/>
                <w:b/>
                <w:bCs/>
                <w:color w:val="000000"/>
                <w:sz w:val="22"/>
                <w:szCs w:val="22"/>
                <w:lang w:val="es-CR"/>
              </w:rPr>
            </w:pPr>
            <w:r w:rsidRPr="00EE2D22">
              <w:rPr>
                <w:rFonts w:ascii="Arial Narrow" w:eastAsia="Times New Roman" w:hAnsi="Arial Narrow" w:cs="Calibri"/>
                <w:b/>
                <w:bCs/>
                <w:color w:val="000000"/>
                <w:sz w:val="22"/>
                <w:szCs w:val="22"/>
                <w:lang w:val="es-CR"/>
              </w:rPr>
              <w:t>Inversión neta en un negocio extranjero</w:t>
            </w:r>
          </w:p>
        </w:tc>
        <w:tc>
          <w:tcPr>
            <w:tcW w:w="1978" w:type="dxa"/>
            <w:gridSpan w:val="2"/>
            <w:tcBorders>
              <w:top w:val="nil"/>
              <w:left w:val="nil"/>
              <w:bottom w:val="single" w:sz="8" w:space="0" w:color="auto"/>
              <w:right w:val="single" w:sz="8" w:space="0" w:color="auto"/>
            </w:tcBorders>
            <w:shd w:val="clear" w:color="auto" w:fill="auto"/>
            <w:vAlign w:val="center"/>
            <w:hideMark/>
          </w:tcPr>
          <w:p w14:paraId="6259DA61" w14:textId="77777777" w:rsidR="00D64D5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NICSP N° 12, </w:t>
            </w:r>
          </w:p>
          <w:p w14:paraId="1FE7A2DA" w14:textId="14963AC9" w:rsidR="00EE2D22" w:rsidRPr="00EE2D22" w:rsidRDefault="00EE2D22" w:rsidP="00EE2D22">
            <w:pPr>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Párrafo 37.</w:t>
            </w:r>
          </w:p>
        </w:tc>
        <w:tc>
          <w:tcPr>
            <w:tcW w:w="1843" w:type="dxa"/>
            <w:tcBorders>
              <w:top w:val="nil"/>
              <w:left w:val="nil"/>
              <w:bottom w:val="single" w:sz="8" w:space="0" w:color="auto"/>
              <w:right w:val="single" w:sz="8" w:space="0" w:color="auto"/>
            </w:tcBorders>
            <w:shd w:val="clear" w:color="auto" w:fill="auto"/>
            <w:vAlign w:val="center"/>
            <w:hideMark/>
          </w:tcPr>
          <w:p w14:paraId="145F4DE1" w14:textId="77777777" w:rsidR="00EE2D22" w:rsidRPr="00EE2D22" w:rsidRDefault="00EE2D22" w:rsidP="00EE2D22">
            <w:pPr>
              <w:ind w:firstLineChars="100" w:firstLine="220"/>
              <w:rPr>
                <w:rFonts w:ascii="Arial Narrow" w:eastAsia="Times New Roman" w:hAnsi="Arial Narrow" w:cs="Calibri"/>
                <w:b/>
                <w:bCs/>
                <w:color w:val="000000"/>
                <w:sz w:val="22"/>
                <w:szCs w:val="22"/>
              </w:rPr>
            </w:pPr>
            <w:r w:rsidRPr="00EE2D22">
              <w:rPr>
                <w:rFonts w:ascii="Arial Narrow" w:eastAsia="Times New Roman" w:hAnsi="Arial Narrow" w:cs="Calibri"/>
                <w:b/>
                <w:bCs/>
                <w:color w:val="000000"/>
                <w:sz w:val="22"/>
                <w:szCs w:val="22"/>
              </w:rPr>
              <w:t xml:space="preserve"> </w:t>
            </w:r>
          </w:p>
        </w:tc>
      </w:tr>
    </w:tbl>
    <w:p w14:paraId="7C272AE9" w14:textId="77777777" w:rsidR="00C92C8E" w:rsidRDefault="00C92C8E" w:rsidP="00773733">
      <w:pPr>
        <w:pStyle w:val="Default"/>
        <w:ind w:left="1134" w:hanging="1134"/>
        <w:jc w:val="both"/>
        <w:rPr>
          <w:sz w:val="22"/>
          <w:szCs w:val="22"/>
          <w:lang w:val="es-CR"/>
        </w:rPr>
      </w:pPr>
    </w:p>
    <w:p w14:paraId="21ADAB9C" w14:textId="77777777" w:rsidR="00D64D52" w:rsidRDefault="00D64D52" w:rsidP="00D64D52">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31898E0" w14:textId="77777777" w:rsidR="00D64D52" w:rsidRDefault="00D64D52" w:rsidP="00773733">
      <w:pPr>
        <w:pStyle w:val="Default"/>
        <w:ind w:left="1134" w:hanging="1134"/>
        <w:jc w:val="both"/>
        <w:rPr>
          <w:sz w:val="22"/>
          <w:szCs w:val="22"/>
          <w:lang w:val="es-CR"/>
        </w:rPr>
      </w:pPr>
    </w:p>
    <w:p w14:paraId="4B391B05" w14:textId="300A1F9C" w:rsidR="00EE2D22" w:rsidRPr="007354B0" w:rsidRDefault="00EE2D22" w:rsidP="007354B0">
      <w:pPr>
        <w:pStyle w:val="Default"/>
        <w:ind w:left="1134" w:hanging="1134"/>
        <w:jc w:val="both"/>
        <w:rPr>
          <w:sz w:val="22"/>
          <w:szCs w:val="22"/>
          <w:lang w:val="es-CR"/>
        </w:rPr>
      </w:pPr>
      <w:r w:rsidRPr="007354B0">
        <w:rPr>
          <w:sz w:val="22"/>
          <w:szCs w:val="22"/>
          <w:lang w:val="es-CR"/>
        </w:rPr>
        <w:t>5.62.0.01</w:t>
      </w:r>
      <w:r w:rsidRPr="007354B0">
        <w:rPr>
          <w:sz w:val="22"/>
          <w:szCs w:val="22"/>
          <w:lang w:val="es-CR"/>
        </w:rPr>
        <w:tab/>
        <w:t xml:space="preserve">Las diferencias de cambio que surjan al liquidar las partidas monetarias o al convertir las partidas monetarias a tipos diferentes de los que se utilizaron para su reconocimiento inicial, ya se hayan producido durante el período o en EEFF previos, </w:t>
      </w:r>
      <w:r w:rsidRPr="007354B0">
        <w:rPr>
          <w:b/>
          <w:bCs/>
          <w:sz w:val="22"/>
          <w:szCs w:val="22"/>
          <w:lang w:val="es-CR"/>
        </w:rPr>
        <w:t xml:space="preserve">se reconocerán en los resultados del período </w:t>
      </w:r>
      <w:r w:rsidRPr="007354B0">
        <w:rPr>
          <w:sz w:val="22"/>
          <w:szCs w:val="22"/>
          <w:lang w:val="es-CR"/>
        </w:rPr>
        <w:t xml:space="preserve">en el que aparezcan. </w:t>
      </w:r>
    </w:p>
    <w:p w14:paraId="1D4AB29D" w14:textId="77777777" w:rsidR="00EE2D22" w:rsidRPr="007354B0" w:rsidRDefault="00EE2D22" w:rsidP="007354B0">
      <w:pPr>
        <w:pStyle w:val="Default"/>
        <w:ind w:left="1134" w:hanging="1134"/>
        <w:jc w:val="both"/>
        <w:rPr>
          <w:sz w:val="22"/>
          <w:szCs w:val="22"/>
          <w:lang w:val="es-CR"/>
        </w:rPr>
      </w:pPr>
    </w:p>
    <w:p w14:paraId="554F42EC" w14:textId="4A430F48" w:rsidR="00EE2D22" w:rsidRPr="007354B0" w:rsidRDefault="00EE2D22" w:rsidP="007354B0">
      <w:pPr>
        <w:pStyle w:val="Default"/>
        <w:spacing w:after="20"/>
        <w:ind w:left="1134" w:hanging="1134"/>
        <w:jc w:val="both"/>
        <w:rPr>
          <w:sz w:val="22"/>
          <w:szCs w:val="22"/>
          <w:lang w:val="es-CR"/>
        </w:rPr>
      </w:pPr>
      <w:r w:rsidRPr="007354B0">
        <w:rPr>
          <w:sz w:val="22"/>
          <w:szCs w:val="22"/>
          <w:lang w:val="es-CR"/>
        </w:rPr>
        <w:t>5.62.1.01</w:t>
      </w:r>
      <w:r w:rsidRPr="007354B0">
        <w:rPr>
          <w:sz w:val="22"/>
          <w:szCs w:val="22"/>
          <w:lang w:val="es-CR"/>
        </w:rPr>
        <w:tab/>
        <w:t>Se reconocerán diferencias de cambio respecto de la tenencia y/o liquidación de partidas monetarias, pautadas en moneda extranjera, en la medida de la variación del tipo de cambio a la fecha de cierre y/o liquidación respecto del vigente a la fecha de transacción y/o de inicio del ejercicio, según sea el caso.</w:t>
      </w:r>
    </w:p>
    <w:p w14:paraId="5CC73039" w14:textId="77777777" w:rsidR="00EE2D22" w:rsidRPr="007354B0" w:rsidRDefault="00EE2D22" w:rsidP="007354B0">
      <w:pPr>
        <w:pStyle w:val="Default"/>
        <w:jc w:val="both"/>
        <w:rPr>
          <w:sz w:val="22"/>
          <w:szCs w:val="22"/>
          <w:lang w:val="es-CR"/>
        </w:rPr>
      </w:pPr>
    </w:p>
    <w:p w14:paraId="505BB1E0" w14:textId="0D84F1C6" w:rsidR="00C92C8E" w:rsidRPr="007354B0" w:rsidRDefault="00EE2D22" w:rsidP="007354B0">
      <w:pPr>
        <w:pStyle w:val="Default"/>
        <w:ind w:left="1134" w:hanging="1134"/>
        <w:jc w:val="both"/>
        <w:rPr>
          <w:sz w:val="22"/>
          <w:szCs w:val="22"/>
          <w:lang w:val="es-CR"/>
        </w:rPr>
      </w:pPr>
      <w:r w:rsidRPr="007354B0">
        <w:rPr>
          <w:sz w:val="22"/>
          <w:szCs w:val="22"/>
          <w:lang w:val="es-CR"/>
        </w:rPr>
        <w:t>5.62.1.02</w:t>
      </w:r>
      <w:r w:rsidRPr="007354B0">
        <w:rPr>
          <w:sz w:val="22"/>
          <w:szCs w:val="22"/>
          <w:lang w:val="es-CR"/>
        </w:rPr>
        <w:tab/>
        <w:t>En particular, la diferencia de cambio surgirá de la conversión a moneda funcional de las partidas monetarias en moneda extranjera, considerando la variación de las tasas de cambio entre las siguientes fechas:</w:t>
      </w:r>
    </w:p>
    <w:p w14:paraId="174420A1" w14:textId="77777777" w:rsidR="00EE2D22" w:rsidRPr="007354B0" w:rsidRDefault="00EE2D22" w:rsidP="007354B0">
      <w:pPr>
        <w:pStyle w:val="Default"/>
        <w:jc w:val="both"/>
        <w:rPr>
          <w:sz w:val="22"/>
          <w:szCs w:val="22"/>
          <w:lang w:val="es-CR"/>
        </w:rPr>
      </w:pPr>
    </w:p>
    <w:p w14:paraId="2BA4808E" w14:textId="2DD50051" w:rsidR="00EE2D22" w:rsidRPr="007354B0" w:rsidRDefault="00EE2D22">
      <w:pPr>
        <w:pStyle w:val="Default"/>
        <w:numPr>
          <w:ilvl w:val="1"/>
          <w:numId w:val="312"/>
        </w:numPr>
        <w:spacing w:after="20"/>
        <w:ind w:left="1418" w:hanging="284"/>
        <w:jc w:val="both"/>
        <w:rPr>
          <w:sz w:val="22"/>
          <w:szCs w:val="22"/>
          <w:lang w:val="es-CR"/>
        </w:rPr>
      </w:pPr>
      <w:r w:rsidRPr="007354B0">
        <w:rPr>
          <w:sz w:val="22"/>
          <w:szCs w:val="22"/>
          <w:lang w:val="es-CR"/>
        </w:rPr>
        <w:t>F</w:t>
      </w:r>
      <w:r w:rsidRPr="007354B0">
        <w:rPr>
          <w:b/>
          <w:bCs/>
          <w:sz w:val="22"/>
          <w:szCs w:val="22"/>
          <w:lang w:val="es-CR"/>
        </w:rPr>
        <w:t xml:space="preserve">echa de liquidación y fecha de origen de la transacción: </w:t>
      </w:r>
      <w:r w:rsidRPr="007354B0">
        <w:rPr>
          <w:sz w:val="22"/>
          <w:szCs w:val="22"/>
          <w:lang w:val="es-CR"/>
        </w:rPr>
        <w:t xml:space="preserve">en el caso de partidas originadas y liquidadas durante el ejercicio; </w:t>
      </w:r>
    </w:p>
    <w:p w14:paraId="60E486AD" w14:textId="4A5F35A4" w:rsidR="00EE2D22" w:rsidRPr="007354B0" w:rsidRDefault="00EE2D22">
      <w:pPr>
        <w:pStyle w:val="Default"/>
        <w:numPr>
          <w:ilvl w:val="1"/>
          <w:numId w:val="312"/>
        </w:numPr>
        <w:spacing w:after="20"/>
        <w:ind w:left="1418" w:hanging="284"/>
        <w:jc w:val="both"/>
        <w:rPr>
          <w:sz w:val="22"/>
          <w:szCs w:val="22"/>
          <w:lang w:val="es-CR"/>
        </w:rPr>
      </w:pPr>
      <w:r w:rsidRPr="007354B0">
        <w:rPr>
          <w:sz w:val="22"/>
          <w:szCs w:val="22"/>
          <w:lang w:val="es-CR"/>
        </w:rPr>
        <w:t>F</w:t>
      </w:r>
      <w:r w:rsidRPr="007354B0">
        <w:rPr>
          <w:b/>
          <w:bCs/>
          <w:sz w:val="22"/>
          <w:szCs w:val="22"/>
          <w:lang w:val="es-CR"/>
        </w:rPr>
        <w:t xml:space="preserve">echa de liquidación y fecha de inicio de ejercicio: </w:t>
      </w:r>
      <w:r w:rsidRPr="007354B0">
        <w:rPr>
          <w:sz w:val="22"/>
          <w:szCs w:val="22"/>
          <w:lang w:val="es-CR"/>
        </w:rPr>
        <w:t xml:space="preserve">en el caso de partidas originadas en ejercicios anteriores y liquidadas en el ejercicio; </w:t>
      </w:r>
    </w:p>
    <w:p w14:paraId="1DC2A1A2" w14:textId="30BA97AF" w:rsidR="00EE2D22" w:rsidRPr="007354B0" w:rsidRDefault="00EE2D22">
      <w:pPr>
        <w:pStyle w:val="Default"/>
        <w:numPr>
          <w:ilvl w:val="1"/>
          <w:numId w:val="312"/>
        </w:numPr>
        <w:ind w:left="1418" w:hanging="284"/>
        <w:jc w:val="both"/>
        <w:rPr>
          <w:sz w:val="22"/>
          <w:szCs w:val="22"/>
          <w:lang w:val="es-CR"/>
        </w:rPr>
      </w:pPr>
      <w:r w:rsidRPr="007354B0">
        <w:rPr>
          <w:sz w:val="22"/>
          <w:szCs w:val="22"/>
          <w:lang w:val="es-CR"/>
        </w:rPr>
        <w:t>F</w:t>
      </w:r>
      <w:r w:rsidRPr="007354B0">
        <w:rPr>
          <w:b/>
          <w:bCs/>
          <w:sz w:val="22"/>
          <w:szCs w:val="22"/>
          <w:lang w:val="es-CR"/>
        </w:rPr>
        <w:t xml:space="preserve">echa de cierre y fecha de origen de la transacción: </w:t>
      </w:r>
      <w:r w:rsidRPr="007354B0">
        <w:rPr>
          <w:sz w:val="22"/>
          <w:szCs w:val="22"/>
          <w:lang w:val="es-CR"/>
        </w:rPr>
        <w:t xml:space="preserve">en el caso de partidas originadas durante el ejercicio y mantenidas al cierre del mismo; y </w:t>
      </w:r>
    </w:p>
    <w:p w14:paraId="4EBF955F" w14:textId="43E189A1" w:rsidR="00EE2D22" w:rsidRPr="007354B0" w:rsidRDefault="00EE2D22">
      <w:pPr>
        <w:pStyle w:val="Default"/>
        <w:numPr>
          <w:ilvl w:val="1"/>
          <w:numId w:val="312"/>
        </w:numPr>
        <w:ind w:left="1418" w:hanging="284"/>
        <w:jc w:val="both"/>
        <w:rPr>
          <w:sz w:val="22"/>
          <w:szCs w:val="22"/>
          <w:lang w:val="es-CR"/>
        </w:rPr>
      </w:pPr>
      <w:r w:rsidRPr="007354B0">
        <w:rPr>
          <w:sz w:val="22"/>
          <w:szCs w:val="22"/>
          <w:lang w:val="es-CR"/>
        </w:rPr>
        <w:t>F</w:t>
      </w:r>
      <w:r w:rsidRPr="007354B0">
        <w:rPr>
          <w:b/>
          <w:bCs/>
          <w:sz w:val="22"/>
          <w:szCs w:val="22"/>
          <w:lang w:val="es-CR"/>
        </w:rPr>
        <w:t xml:space="preserve">echa de cierre y fecha de inicio del ejercicio: </w:t>
      </w:r>
      <w:r w:rsidRPr="007354B0">
        <w:rPr>
          <w:sz w:val="22"/>
          <w:szCs w:val="22"/>
          <w:lang w:val="es-CR"/>
        </w:rPr>
        <w:t xml:space="preserve">en el caso de partidas originadas en ejercicios anteriores y mantenidas al cierre del ejercicio. </w:t>
      </w:r>
    </w:p>
    <w:p w14:paraId="6D3A1FFB" w14:textId="77777777" w:rsidR="00EE2D22" w:rsidRPr="00D64D52" w:rsidRDefault="00EE2D22" w:rsidP="007354B0">
      <w:pPr>
        <w:pStyle w:val="Default"/>
        <w:numPr>
          <w:ilvl w:val="1"/>
          <w:numId w:val="311"/>
        </w:numPr>
        <w:jc w:val="both"/>
        <w:rPr>
          <w:sz w:val="22"/>
          <w:szCs w:val="22"/>
          <w:lang w:val="es-CR"/>
        </w:rPr>
      </w:pPr>
    </w:p>
    <w:p w14:paraId="69E9D18C" w14:textId="2CD9C08F" w:rsidR="00EE2D22" w:rsidRPr="007354B0" w:rsidRDefault="007354B0" w:rsidP="007354B0">
      <w:pPr>
        <w:pStyle w:val="Default"/>
        <w:ind w:left="1134" w:hanging="1134"/>
        <w:jc w:val="both"/>
        <w:rPr>
          <w:sz w:val="22"/>
          <w:szCs w:val="22"/>
          <w:lang w:val="es-CR"/>
        </w:rPr>
      </w:pPr>
      <w:r w:rsidRPr="007354B0">
        <w:rPr>
          <w:sz w:val="22"/>
          <w:szCs w:val="22"/>
          <w:lang w:val="es-CR"/>
        </w:rPr>
        <w:t>5.6</w:t>
      </w:r>
      <w:r w:rsidR="00EE2D22" w:rsidRPr="007354B0">
        <w:rPr>
          <w:sz w:val="22"/>
          <w:szCs w:val="22"/>
          <w:lang w:val="es-CR"/>
        </w:rPr>
        <w:t>2.</w:t>
      </w:r>
      <w:r w:rsidRPr="007354B0">
        <w:rPr>
          <w:sz w:val="22"/>
          <w:szCs w:val="22"/>
          <w:lang w:val="es-CR"/>
        </w:rPr>
        <w:t>2.01</w:t>
      </w:r>
      <w:r w:rsidRPr="007354B0">
        <w:rPr>
          <w:sz w:val="22"/>
          <w:szCs w:val="22"/>
          <w:lang w:val="es-CR"/>
        </w:rPr>
        <w:tab/>
      </w:r>
      <w:r w:rsidR="00EE2D22" w:rsidRPr="007354B0">
        <w:rPr>
          <w:sz w:val="22"/>
          <w:szCs w:val="22"/>
          <w:lang w:val="es-CR"/>
        </w:rPr>
        <w:t xml:space="preserve">Cuando se reconozca directamente en el patrimonio una pérdida o ganancia derivada de una partida no monetaria, cualquier diferencia de cambio, incluida en esa pérdida o ganancia, también se reconocerá directamente en el patrimonio. Cuando la pérdida o ganancia, derivada de una partida no monetaria, sea reconocida en resultados, cualquier diferencia de cambio, incluida en esta pérdida o ganancia, también se reconocerá en resultados. </w:t>
      </w:r>
    </w:p>
    <w:p w14:paraId="4A18E151" w14:textId="77777777" w:rsidR="00EE2D22" w:rsidRPr="007354B0" w:rsidRDefault="00EE2D22" w:rsidP="007354B0">
      <w:pPr>
        <w:pStyle w:val="Default"/>
        <w:jc w:val="both"/>
        <w:rPr>
          <w:sz w:val="22"/>
          <w:szCs w:val="22"/>
          <w:lang w:val="es-CR"/>
        </w:rPr>
      </w:pPr>
    </w:p>
    <w:p w14:paraId="3788CB20" w14:textId="0B16FA72" w:rsidR="00EE2D22" w:rsidRPr="007354B0" w:rsidRDefault="007354B0" w:rsidP="007354B0">
      <w:pPr>
        <w:pStyle w:val="Default"/>
        <w:ind w:left="1134" w:hanging="1134"/>
        <w:jc w:val="both"/>
        <w:rPr>
          <w:sz w:val="22"/>
          <w:szCs w:val="22"/>
          <w:lang w:val="es-CR"/>
        </w:rPr>
      </w:pPr>
      <w:r w:rsidRPr="007354B0">
        <w:rPr>
          <w:sz w:val="22"/>
          <w:szCs w:val="22"/>
          <w:lang w:val="es-CR"/>
        </w:rPr>
        <w:t>5.62.</w:t>
      </w:r>
      <w:r w:rsidR="00EE2D22" w:rsidRPr="007354B0">
        <w:rPr>
          <w:sz w:val="22"/>
          <w:szCs w:val="22"/>
          <w:lang w:val="es-CR"/>
        </w:rPr>
        <w:t>3.</w:t>
      </w:r>
      <w:r w:rsidRPr="007354B0">
        <w:rPr>
          <w:sz w:val="22"/>
          <w:szCs w:val="22"/>
          <w:lang w:val="es-CR"/>
        </w:rPr>
        <w:t>01</w:t>
      </w:r>
      <w:r w:rsidRPr="007354B0">
        <w:rPr>
          <w:sz w:val="22"/>
          <w:szCs w:val="22"/>
          <w:lang w:val="es-CR"/>
        </w:rPr>
        <w:tab/>
      </w:r>
      <w:r w:rsidR="00EE2D22" w:rsidRPr="007354B0">
        <w:rPr>
          <w:sz w:val="22"/>
          <w:szCs w:val="22"/>
          <w:lang w:val="es-CR"/>
        </w:rPr>
        <w:t xml:space="preserve">Cuando se reconozcan en el patrimonio, pérdidas o ganancias surgidas por la revaluación de las propiedades, planta y equipo y estos activos se midan en moneda extranjera, se requiere que el importe revaluado sea convertido utilizando la tasa de cambio a la fecha en que se determine el nuevo valor, lo que producirá una diferencia de cambio a reconocer también en el patrimonio. </w:t>
      </w:r>
    </w:p>
    <w:p w14:paraId="15E55748" w14:textId="77777777" w:rsidR="00EE2D22" w:rsidRPr="007354B0" w:rsidRDefault="00EE2D22" w:rsidP="007354B0">
      <w:pPr>
        <w:pStyle w:val="Default"/>
        <w:jc w:val="both"/>
        <w:rPr>
          <w:sz w:val="22"/>
          <w:szCs w:val="22"/>
          <w:lang w:val="es-CR"/>
        </w:rPr>
      </w:pPr>
    </w:p>
    <w:p w14:paraId="1A5211AB" w14:textId="27553BB5" w:rsidR="00EE2D22" w:rsidRPr="007354B0" w:rsidRDefault="007354B0" w:rsidP="007354B0">
      <w:pPr>
        <w:pStyle w:val="Default"/>
        <w:ind w:left="1134" w:hanging="1134"/>
        <w:jc w:val="both"/>
        <w:rPr>
          <w:sz w:val="22"/>
          <w:szCs w:val="22"/>
          <w:lang w:val="es-CR"/>
        </w:rPr>
      </w:pPr>
      <w:r w:rsidRPr="007354B0">
        <w:rPr>
          <w:sz w:val="22"/>
          <w:szCs w:val="22"/>
          <w:lang w:val="es-CR"/>
        </w:rPr>
        <w:t>5.62.</w:t>
      </w:r>
      <w:r w:rsidR="00EE2D22" w:rsidRPr="007354B0">
        <w:rPr>
          <w:sz w:val="22"/>
          <w:szCs w:val="22"/>
          <w:lang w:val="es-CR"/>
        </w:rPr>
        <w:t>4.</w:t>
      </w:r>
      <w:r w:rsidRPr="007354B0">
        <w:rPr>
          <w:sz w:val="22"/>
          <w:szCs w:val="22"/>
          <w:lang w:val="es-CR"/>
        </w:rPr>
        <w:t>01</w:t>
      </w:r>
      <w:r w:rsidRPr="007354B0">
        <w:rPr>
          <w:sz w:val="22"/>
          <w:szCs w:val="22"/>
          <w:lang w:val="es-CR"/>
        </w:rPr>
        <w:tab/>
      </w:r>
      <w:r w:rsidR="00EE2D22" w:rsidRPr="007354B0">
        <w:rPr>
          <w:sz w:val="22"/>
          <w:szCs w:val="22"/>
          <w:lang w:val="es-CR"/>
        </w:rPr>
        <w:t xml:space="preserve">Las diferencias de cambio surgidas en una partida monetaria que forme parte de la </w:t>
      </w:r>
      <w:r w:rsidR="00EE2D22" w:rsidRPr="007354B0">
        <w:rPr>
          <w:b/>
          <w:bCs/>
          <w:sz w:val="22"/>
          <w:szCs w:val="22"/>
          <w:lang w:val="es-CR"/>
        </w:rPr>
        <w:t>inversión neta en un negocio en el extranjero</w:t>
      </w:r>
      <w:r w:rsidR="00EE2D22" w:rsidRPr="007354B0">
        <w:rPr>
          <w:sz w:val="22"/>
          <w:szCs w:val="22"/>
          <w:lang w:val="es-CR"/>
        </w:rPr>
        <w:t xml:space="preserve">, se reconocerán en los resultados de los EEFF separados de la entidad que informa, o bien en los EEFF individuales del negocio en el extranjero, según resulte apropiado. En los EEFF que incluyan al negocio en el extranjero y a la entidad que informa (por ejemplo, los EFC si el negocio en el extranjero es una controlada), esas diferencias de cambio se reconocerán inicialmente como un componente separado del patrimonio y serán reconocidas posteriormente en los resultados cuando se disponga del negocio en el extranjero. </w:t>
      </w:r>
    </w:p>
    <w:p w14:paraId="47AF796D" w14:textId="77777777" w:rsidR="00EE2D22" w:rsidRDefault="00EE2D22" w:rsidP="00EE2D22">
      <w:pPr>
        <w:pStyle w:val="Default"/>
        <w:ind w:left="1134" w:hanging="1134"/>
        <w:jc w:val="both"/>
        <w:rPr>
          <w:sz w:val="22"/>
          <w:szCs w:val="22"/>
          <w:lang w:val="es-CR"/>
        </w:rPr>
      </w:pPr>
    </w:p>
    <w:p w14:paraId="017CA723" w14:textId="77777777" w:rsidR="007354B0" w:rsidRDefault="007354B0" w:rsidP="00EE2D22">
      <w:pPr>
        <w:pStyle w:val="Default"/>
        <w:ind w:left="1134" w:hanging="1134"/>
        <w:jc w:val="both"/>
        <w:rPr>
          <w:sz w:val="22"/>
          <w:szCs w:val="22"/>
          <w:lang w:val="es-CR"/>
        </w:rPr>
      </w:pPr>
    </w:p>
    <w:p w14:paraId="67BD3ACE" w14:textId="77777777" w:rsidR="007354B0" w:rsidRDefault="007354B0" w:rsidP="00EE2D22">
      <w:pPr>
        <w:pStyle w:val="Default"/>
        <w:ind w:left="1134" w:hanging="1134"/>
        <w:jc w:val="both"/>
        <w:rPr>
          <w:sz w:val="22"/>
          <w:szCs w:val="22"/>
          <w:lang w:val="es-CR"/>
        </w:rPr>
      </w:pPr>
    </w:p>
    <w:p w14:paraId="685C26C6" w14:textId="77777777" w:rsidR="007354B0" w:rsidRDefault="007354B0" w:rsidP="00EE2D22">
      <w:pPr>
        <w:pStyle w:val="Default"/>
        <w:ind w:left="1134" w:hanging="1134"/>
        <w:jc w:val="both"/>
        <w:rPr>
          <w:sz w:val="22"/>
          <w:szCs w:val="22"/>
          <w:lang w:val="es-CR"/>
        </w:rPr>
      </w:pPr>
    </w:p>
    <w:p w14:paraId="0F338957" w14:textId="2D0109AC" w:rsidR="007354B0" w:rsidRPr="009F48E0" w:rsidRDefault="007354B0" w:rsidP="007354B0">
      <w:pPr>
        <w:pStyle w:val="Ttulo1"/>
        <w:rPr>
          <w:b/>
          <w:bCs/>
          <w:lang w:val="es-CR"/>
        </w:rPr>
      </w:pPr>
      <w:bookmarkStart w:id="171" w:name="_Toc172726306"/>
      <w:r w:rsidRPr="009F48E0">
        <w:rPr>
          <w:rFonts w:ascii="Arial Narrow" w:hAnsi="Arial Narrow"/>
          <w:b/>
          <w:bCs/>
          <w:lang w:val="es-CR"/>
        </w:rPr>
        <w:t>CAPÍTULO</w:t>
      </w:r>
      <w:r w:rsidRPr="009F48E0">
        <w:rPr>
          <w:b/>
          <w:bCs/>
          <w:lang w:val="es-CR"/>
        </w:rPr>
        <w:t xml:space="preserve"> </w:t>
      </w:r>
      <w:r w:rsidRPr="008D294D">
        <w:rPr>
          <w:rFonts w:ascii="Arial Narrow" w:hAnsi="Arial Narrow"/>
          <w:b/>
          <w:bCs/>
          <w:lang w:val="es-CR"/>
        </w:rPr>
        <w:t>V</w:t>
      </w:r>
      <w:r>
        <w:rPr>
          <w:rFonts w:ascii="Arial Narrow" w:hAnsi="Arial Narrow"/>
          <w:b/>
          <w:bCs/>
          <w:lang w:val="es-CR"/>
        </w:rPr>
        <w:t>I</w:t>
      </w:r>
      <w:bookmarkEnd w:id="171"/>
    </w:p>
    <w:p w14:paraId="472880CF" w14:textId="77777777" w:rsidR="007354B0" w:rsidRDefault="007354B0" w:rsidP="007354B0">
      <w:pPr>
        <w:pStyle w:val="TDC1"/>
        <w:rPr>
          <w:rStyle w:val="Hipervnculo"/>
          <w:rFonts w:ascii="Arial Narrow" w:hAnsi="Arial Narrow"/>
          <w:b/>
          <w:bCs/>
          <w:sz w:val="20"/>
          <w:szCs w:val="20"/>
        </w:rPr>
      </w:pPr>
    </w:p>
    <w:p w14:paraId="240D8EF3" w14:textId="77777777" w:rsidR="00D64D52" w:rsidRPr="00D64D52" w:rsidRDefault="00D64D52" w:rsidP="00D64D52">
      <w:pPr>
        <w:rPr>
          <w:lang w:val="es-CR"/>
        </w:rPr>
      </w:pPr>
    </w:p>
    <w:p w14:paraId="77E2537F" w14:textId="5F1903AB" w:rsidR="007354B0" w:rsidRPr="009F48E0" w:rsidRDefault="007354B0" w:rsidP="007354B0">
      <w:pPr>
        <w:pStyle w:val="Ttulo2"/>
        <w:rPr>
          <w:rFonts w:ascii="Arial" w:hAnsi="Arial" w:cs="Arial"/>
          <w:b/>
          <w:bCs/>
          <w:sz w:val="28"/>
          <w:szCs w:val="28"/>
          <w:lang w:val="es-CR"/>
        </w:rPr>
      </w:pPr>
      <w:bookmarkStart w:id="172" w:name="_Toc172726307"/>
      <w:r w:rsidRPr="009F48E0">
        <w:rPr>
          <w:rFonts w:ascii="Arial" w:eastAsia="Arial" w:hAnsi="Arial" w:cs="Arial"/>
          <w:b/>
          <w:bCs/>
          <w:sz w:val="28"/>
          <w:szCs w:val="28"/>
          <w:lang w:val="es-CR"/>
        </w:rPr>
        <w:t>Políticas</w:t>
      </w:r>
      <w:r>
        <w:rPr>
          <w:rFonts w:ascii="Arial" w:eastAsia="Arial" w:hAnsi="Arial" w:cs="Arial"/>
          <w:b/>
          <w:bCs/>
          <w:sz w:val="28"/>
          <w:szCs w:val="28"/>
          <w:lang w:val="es-CR"/>
        </w:rPr>
        <w:t xml:space="preserve"> </w:t>
      </w:r>
      <w:r w:rsidRPr="00547734">
        <w:rPr>
          <w:rFonts w:ascii="Arial" w:hAnsi="Arial" w:cs="Arial"/>
          <w:b/>
          <w:bCs/>
          <w:sz w:val="28"/>
          <w:szCs w:val="28"/>
          <w:lang w:val="es-CR"/>
        </w:rPr>
        <w:t>Contabl</w:t>
      </w:r>
      <w:r w:rsidRPr="009F48E0">
        <w:rPr>
          <w:rFonts w:ascii="Arial" w:eastAsia="Arial" w:hAnsi="Arial" w:cs="Arial"/>
          <w:b/>
          <w:bCs/>
          <w:sz w:val="28"/>
          <w:szCs w:val="28"/>
          <w:lang w:val="es-CR"/>
        </w:rPr>
        <w:t>es</w:t>
      </w:r>
      <w:r w:rsidRPr="00547734">
        <w:rPr>
          <w:rFonts w:ascii="Arial" w:hAnsi="Arial" w:cs="Arial"/>
          <w:b/>
          <w:bCs/>
          <w:sz w:val="28"/>
          <w:szCs w:val="28"/>
          <w:lang w:val="es-CR"/>
        </w:rPr>
        <w:t xml:space="preserve"> Generales</w:t>
      </w:r>
      <w:r w:rsidRPr="009F48E0">
        <w:rPr>
          <w:rFonts w:ascii="Arial" w:eastAsia="Arial" w:hAnsi="Arial" w:cs="Arial"/>
          <w:b/>
          <w:bCs/>
          <w:sz w:val="28"/>
          <w:szCs w:val="28"/>
          <w:lang w:val="es-CR"/>
        </w:rPr>
        <w:t xml:space="preserve"> y Particulares</w:t>
      </w:r>
      <w:r w:rsidRPr="00547734">
        <w:rPr>
          <w:rFonts w:ascii="Arial" w:hAnsi="Arial" w:cs="Arial"/>
          <w:b/>
          <w:bCs/>
          <w:sz w:val="28"/>
          <w:szCs w:val="28"/>
          <w:lang w:val="es-CR"/>
        </w:rPr>
        <w:t xml:space="preserve"> </w:t>
      </w:r>
      <w:r w:rsidRPr="009F48E0">
        <w:rPr>
          <w:rFonts w:ascii="Arial" w:eastAsia="Arial" w:hAnsi="Arial" w:cs="Arial"/>
          <w:b/>
          <w:bCs/>
          <w:sz w:val="28"/>
          <w:szCs w:val="28"/>
          <w:lang w:val="es-CR"/>
        </w:rPr>
        <w:t xml:space="preserve">para </w:t>
      </w:r>
      <w:r>
        <w:rPr>
          <w:rFonts w:ascii="Arial" w:eastAsia="Arial" w:hAnsi="Arial" w:cs="Arial"/>
          <w:b/>
          <w:bCs/>
          <w:sz w:val="28"/>
          <w:szCs w:val="28"/>
          <w:lang w:val="es-CR"/>
        </w:rPr>
        <w:t>la elaboración de EEFF</w:t>
      </w:r>
      <w:bookmarkEnd w:id="172"/>
    </w:p>
    <w:p w14:paraId="40AA2839" w14:textId="77777777" w:rsidR="007354B0" w:rsidRPr="00D64D52" w:rsidRDefault="007354B0" w:rsidP="007354B0">
      <w:pPr>
        <w:pStyle w:val="Default"/>
        <w:rPr>
          <w:b/>
          <w:bCs/>
          <w:sz w:val="28"/>
          <w:szCs w:val="28"/>
          <w:lang w:val="es-CR"/>
        </w:rPr>
      </w:pPr>
    </w:p>
    <w:p w14:paraId="46E5EAEA" w14:textId="77777777" w:rsidR="00D64D52" w:rsidRPr="00D64D52" w:rsidRDefault="00D64D52" w:rsidP="007354B0">
      <w:pPr>
        <w:pStyle w:val="Default"/>
        <w:rPr>
          <w:b/>
          <w:bCs/>
          <w:sz w:val="28"/>
          <w:szCs w:val="28"/>
          <w:lang w:val="es-CR"/>
        </w:rPr>
      </w:pPr>
    </w:p>
    <w:p w14:paraId="5AD5DA90" w14:textId="54A55320" w:rsidR="007354B0" w:rsidRPr="000A3F77" w:rsidRDefault="007354B0" w:rsidP="007354B0">
      <w:pPr>
        <w:pStyle w:val="Ttulo2"/>
        <w:numPr>
          <w:ilvl w:val="0"/>
          <w:numId w:val="274"/>
        </w:numPr>
        <w:ind w:left="284" w:hanging="284"/>
        <w:rPr>
          <w:rFonts w:ascii="Arial" w:eastAsia="Arial" w:hAnsi="Arial" w:cs="Arial"/>
          <w:b/>
          <w:bCs/>
          <w:sz w:val="28"/>
          <w:szCs w:val="28"/>
          <w:lang w:val="es-CR"/>
        </w:rPr>
      </w:pPr>
      <w:bookmarkStart w:id="173" w:name="_Toc172726308"/>
      <w:r>
        <w:rPr>
          <w:rFonts w:ascii="Arial" w:eastAsia="Arial" w:hAnsi="Arial" w:cs="Arial"/>
          <w:b/>
          <w:bCs/>
          <w:sz w:val="28"/>
          <w:szCs w:val="28"/>
          <w:lang w:val="es-CR"/>
        </w:rPr>
        <w:t>Estados Financieros (EEFF)</w:t>
      </w:r>
      <w:bookmarkEnd w:id="173"/>
    </w:p>
    <w:p w14:paraId="592EA791" w14:textId="43D4F0A5" w:rsidR="007354B0" w:rsidRPr="00D64D52" w:rsidRDefault="007354B0" w:rsidP="007354B0">
      <w:pPr>
        <w:pStyle w:val="Default"/>
        <w:jc w:val="both"/>
        <w:rPr>
          <w:b/>
          <w:bCs/>
          <w:i/>
          <w:iCs/>
          <w:sz w:val="28"/>
          <w:szCs w:val="28"/>
        </w:rPr>
      </w:pPr>
    </w:p>
    <w:p w14:paraId="15792502" w14:textId="77777777" w:rsidR="00D64D52" w:rsidRPr="00D64D52" w:rsidRDefault="00D64D52" w:rsidP="007354B0">
      <w:pPr>
        <w:pStyle w:val="Default"/>
        <w:jc w:val="both"/>
        <w:rPr>
          <w:b/>
          <w:bCs/>
          <w:i/>
          <w:iCs/>
          <w:sz w:val="28"/>
          <w:szCs w:val="28"/>
        </w:rPr>
      </w:pPr>
    </w:p>
    <w:p w14:paraId="6DDF5D09" w14:textId="634EEFCF" w:rsidR="007354B0" w:rsidRPr="007448D2" w:rsidRDefault="007354B0" w:rsidP="007354B0">
      <w:pPr>
        <w:pStyle w:val="Ttulo2"/>
        <w:ind w:left="284"/>
        <w:rPr>
          <w:rFonts w:ascii="Arial" w:eastAsia="Arial" w:hAnsi="Arial" w:cs="Arial"/>
          <w:b/>
          <w:bCs/>
          <w:sz w:val="24"/>
          <w:szCs w:val="24"/>
          <w:lang w:val="es-CR"/>
        </w:rPr>
      </w:pPr>
      <w:bookmarkStart w:id="174" w:name="_Toc172726309"/>
      <w:r w:rsidRPr="007448D2">
        <w:rPr>
          <w:rFonts w:ascii="Arial" w:eastAsia="Arial" w:hAnsi="Arial" w:cs="Arial"/>
          <w:b/>
          <w:bCs/>
          <w:sz w:val="24"/>
          <w:szCs w:val="24"/>
          <w:lang w:val="es-CR"/>
        </w:rPr>
        <w:t>Generalidades los EEFF</w:t>
      </w:r>
      <w:bookmarkEnd w:id="174"/>
    </w:p>
    <w:p w14:paraId="1D382D6E" w14:textId="77777777" w:rsidR="007354B0" w:rsidRDefault="007354B0" w:rsidP="00EE2D22">
      <w:pPr>
        <w:pStyle w:val="Default"/>
        <w:ind w:left="1134" w:hanging="1134"/>
        <w:jc w:val="both"/>
        <w:rPr>
          <w:sz w:val="22"/>
          <w:szCs w:val="22"/>
          <w:lang w:val="es-CR"/>
        </w:rPr>
      </w:pPr>
    </w:p>
    <w:p w14:paraId="2CDA2220" w14:textId="77777777" w:rsidR="007354B0" w:rsidRDefault="007354B0" w:rsidP="00EE2D22">
      <w:pPr>
        <w:pStyle w:val="Default"/>
        <w:ind w:left="1134" w:hanging="1134"/>
        <w:jc w:val="both"/>
        <w:rPr>
          <w:sz w:val="22"/>
          <w:szCs w:val="22"/>
          <w:lang w:val="es-CR"/>
        </w:rPr>
      </w:pPr>
    </w:p>
    <w:tbl>
      <w:tblPr>
        <w:tblW w:w="9394" w:type="dxa"/>
        <w:tblLook w:val="04A0" w:firstRow="1" w:lastRow="0" w:firstColumn="1" w:lastColumn="0" w:noHBand="0" w:noVBand="1"/>
      </w:tblPr>
      <w:tblGrid>
        <w:gridCol w:w="540"/>
        <w:gridCol w:w="660"/>
        <w:gridCol w:w="520"/>
        <w:gridCol w:w="3740"/>
        <w:gridCol w:w="2043"/>
        <w:gridCol w:w="1891"/>
      </w:tblGrid>
      <w:tr w:rsidR="00706C25" w:rsidRPr="00706C25" w14:paraId="5BD7794E" w14:textId="77777777" w:rsidTr="00D64D52">
        <w:trPr>
          <w:trHeight w:val="320"/>
        </w:trPr>
        <w:tc>
          <w:tcPr>
            <w:tcW w:w="172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54B1A3D" w14:textId="77777777" w:rsidR="00706C25" w:rsidRPr="00706C25" w:rsidRDefault="00706C25" w:rsidP="00706C25">
            <w:pPr>
              <w:jc w:val="center"/>
              <w:rPr>
                <w:rFonts w:ascii="Arial Narrow" w:eastAsia="Times New Roman" w:hAnsi="Arial Narrow" w:cs="Calibri"/>
                <w:b/>
                <w:bCs/>
                <w:color w:val="FFFFFF"/>
                <w:sz w:val="22"/>
                <w:szCs w:val="22"/>
              </w:rPr>
            </w:pPr>
            <w:r w:rsidRPr="00706C25">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3A8701" w14:textId="77777777" w:rsidR="00706C25" w:rsidRPr="00706C25" w:rsidRDefault="00706C25" w:rsidP="00706C25">
            <w:pPr>
              <w:jc w:val="center"/>
              <w:rPr>
                <w:rFonts w:ascii="Arial Narrow" w:eastAsia="Times New Roman" w:hAnsi="Arial Narrow" w:cs="Calibri"/>
                <w:b/>
                <w:bCs/>
                <w:color w:val="FFFFFF"/>
                <w:sz w:val="22"/>
                <w:szCs w:val="22"/>
              </w:rPr>
            </w:pPr>
            <w:r w:rsidRPr="00706C25">
              <w:rPr>
                <w:rFonts w:ascii="Arial Narrow" w:eastAsia="Times New Roman" w:hAnsi="Arial Narrow" w:cs="Calibri"/>
                <w:b/>
                <w:bCs/>
                <w:color w:val="FFFFFF"/>
                <w:sz w:val="22"/>
                <w:szCs w:val="22"/>
              </w:rPr>
              <w:t>Concepto</w:t>
            </w:r>
          </w:p>
        </w:tc>
        <w:tc>
          <w:tcPr>
            <w:tcW w:w="3934" w:type="dxa"/>
            <w:gridSpan w:val="2"/>
            <w:tcBorders>
              <w:top w:val="single" w:sz="8" w:space="0" w:color="auto"/>
              <w:left w:val="nil"/>
              <w:bottom w:val="single" w:sz="8" w:space="0" w:color="auto"/>
              <w:right w:val="single" w:sz="8" w:space="0" w:color="000000"/>
            </w:tcBorders>
            <w:shd w:val="clear" w:color="000000" w:fill="203764"/>
            <w:vAlign w:val="center"/>
            <w:hideMark/>
          </w:tcPr>
          <w:p w14:paraId="0959F9F9" w14:textId="77777777" w:rsidR="00706C25" w:rsidRPr="00706C25" w:rsidRDefault="00706C25" w:rsidP="00706C25">
            <w:pPr>
              <w:jc w:val="center"/>
              <w:rPr>
                <w:rFonts w:ascii="Arial Narrow" w:eastAsia="Times New Roman" w:hAnsi="Arial Narrow" w:cs="Calibri"/>
                <w:b/>
                <w:bCs/>
                <w:color w:val="FFFFFF"/>
                <w:sz w:val="22"/>
                <w:szCs w:val="22"/>
              </w:rPr>
            </w:pPr>
            <w:r w:rsidRPr="00706C25">
              <w:rPr>
                <w:rFonts w:ascii="Arial Narrow" w:eastAsia="Times New Roman" w:hAnsi="Arial Narrow" w:cs="Calibri"/>
                <w:b/>
                <w:bCs/>
                <w:color w:val="FFFFFF"/>
                <w:sz w:val="22"/>
                <w:szCs w:val="22"/>
              </w:rPr>
              <w:t>Referencia</w:t>
            </w:r>
          </w:p>
        </w:tc>
      </w:tr>
      <w:tr w:rsidR="00706C25" w:rsidRPr="006E5442" w14:paraId="48A49094" w14:textId="77777777" w:rsidTr="00D64D52">
        <w:trPr>
          <w:trHeight w:val="850"/>
        </w:trPr>
        <w:tc>
          <w:tcPr>
            <w:tcW w:w="1720" w:type="dxa"/>
            <w:gridSpan w:val="3"/>
            <w:vMerge/>
            <w:tcBorders>
              <w:top w:val="single" w:sz="8" w:space="0" w:color="auto"/>
              <w:left w:val="single" w:sz="8" w:space="0" w:color="auto"/>
              <w:bottom w:val="nil"/>
              <w:right w:val="single" w:sz="8" w:space="0" w:color="000000"/>
            </w:tcBorders>
            <w:vAlign w:val="center"/>
            <w:hideMark/>
          </w:tcPr>
          <w:p w14:paraId="745599D9" w14:textId="77777777" w:rsidR="00706C25" w:rsidRPr="00706C25" w:rsidRDefault="00706C25" w:rsidP="00706C25">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12FC04FC" w14:textId="77777777" w:rsidR="00706C25" w:rsidRPr="00706C25" w:rsidRDefault="00706C25" w:rsidP="00706C25">
            <w:pPr>
              <w:rPr>
                <w:rFonts w:ascii="Arial Narrow" w:eastAsia="Times New Roman" w:hAnsi="Arial Narrow" w:cs="Calibri"/>
                <w:b/>
                <w:bCs/>
                <w:color w:val="FFFFFF"/>
                <w:sz w:val="22"/>
                <w:szCs w:val="22"/>
              </w:rPr>
            </w:pPr>
          </w:p>
        </w:tc>
        <w:tc>
          <w:tcPr>
            <w:tcW w:w="2043" w:type="dxa"/>
            <w:tcBorders>
              <w:top w:val="nil"/>
              <w:left w:val="nil"/>
              <w:bottom w:val="nil"/>
              <w:right w:val="single" w:sz="8" w:space="0" w:color="auto"/>
            </w:tcBorders>
            <w:shd w:val="clear" w:color="000000" w:fill="203764"/>
            <w:vAlign w:val="center"/>
            <w:hideMark/>
          </w:tcPr>
          <w:p w14:paraId="6957E16E" w14:textId="77777777" w:rsidR="00706C25" w:rsidRPr="00706C25" w:rsidRDefault="00706C25" w:rsidP="00706C25">
            <w:pPr>
              <w:jc w:val="center"/>
              <w:rPr>
                <w:rFonts w:ascii="Arial Narrow" w:eastAsia="Times New Roman" w:hAnsi="Arial Narrow" w:cs="Calibri"/>
                <w:b/>
                <w:bCs/>
                <w:color w:val="FFFFFF"/>
                <w:sz w:val="22"/>
                <w:szCs w:val="22"/>
              </w:rPr>
            </w:pPr>
            <w:r w:rsidRPr="00706C25">
              <w:rPr>
                <w:rFonts w:ascii="Arial Narrow" w:eastAsia="Times New Roman" w:hAnsi="Arial Narrow" w:cs="Calibri"/>
                <w:b/>
                <w:bCs/>
                <w:color w:val="FFFFFF"/>
                <w:sz w:val="22"/>
                <w:szCs w:val="22"/>
              </w:rPr>
              <w:t>Norma</w:t>
            </w:r>
          </w:p>
        </w:tc>
        <w:tc>
          <w:tcPr>
            <w:tcW w:w="1889" w:type="dxa"/>
            <w:tcBorders>
              <w:top w:val="nil"/>
              <w:left w:val="nil"/>
              <w:bottom w:val="nil"/>
              <w:right w:val="single" w:sz="8" w:space="0" w:color="auto"/>
            </w:tcBorders>
            <w:shd w:val="clear" w:color="000000" w:fill="203764"/>
            <w:vAlign w:val="center"/>
            <w:hideMark/>
          </w:tcPr>
          <w:p w14:paraId="6B702767" w14:textId="77777777" w:rsidR="00706C25" w:rsidRPr="00706C25" w:rsidRDefault="00706C25" w:rsidP="00706C25">
            <w:pPr>
              <w:jc w:val="center"/>
              <w:rPr>
                <w:rFonts w:ascii="Arial Narrow" w:eastAsia="Times New Roman" w:hAnsi="Arial Narrow" w:cs="Calibri"/>
                <w:b/>
                <w:bCs/>
                <w:color w:val="FFFFFF"/>
                <w:sz w:val="22"/>
                <w:szCs w:val="22"/>
                <w:lang w:val="es-CR"/>
              </w:rPr>
            </w:pPr>
            <w:r w:rsidRPr="00706C25">
              <w:rPr>
                <w:rFonts w:ascii="Arial Narrow" w:eastAsia="Times New Roman" w:hAnsi="Arial Narrow" w:cs="Calibri"/>
                <w:b/>
                <w:bCs/>
                <w:color w:val="FFFFFF"/>
                <w:sz w:val="22"/>
                <w:szCs w:val="22"/>
                <w:lang w:val="es-CR"/>
              </w:rPr>
              <w:t>Normativa técnica y disposiciones adicionales</w:t>
            </w:r>
          </w:p>
        </w:tc>
      </w:tr>
      <w:tr w:rsidR="00706C25" w:rsidRPr="00706C25" w14:paraId="6F14FDB0" w14:textId="77777777" w:rsidTr="00D64D52">
        <w:trPr>
          <w:trHeight w:val="570"/>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4B68D6" w14:textId="77777777" w:rsidR="00706C25" w:rsidRPr="00706C25" w:rsidRDefault="00706C25" w:rsidP="00D64D52">
            <w:pPr>
              <w:jc w:val="center"/>
              <w:rPr>
                <w:rFonts w:ascii="Arial Narrow" w:eastAsia="Times New Roman" w:hAnsi="Arial Narrow"/>
                <w:b/>
                <w:bCs/>
                <w:color w:val="000000"/>
                <w:sz w:val="22"/>
                <w:szCs w:val="22"/>
              </w:rPr>
            </w:pPr>
            <w:r w:rsidRPr="00706C25">
              <w:rPr>
                <w:rFonts w:ascii="Arial Narrow" w:eastAsia="Times New Roman" w:hAnsi="Arial Narrow"/>
                <w:b/>
                <w:bCs/>
                <w:color w:val="000000"/>
                <w:sz w:val="22"/>
                <w:szCs w:val="22"/>
              </w:rPr>
              <w:t>6</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2401C93D" w14:textId="77777777" w:rsidR="00706C25" w:rsidRPr="00706C25" w:rsidRDefault="00706C25" w:rsidP="00D64D52">
            <w:pPr>
              <w:jc w:val="center"/>
              <w:rPr>
                <w:rFonts w:ascii="Arial Narrow" w:eastAsia="Times New Roman" w:hAnsi="Arial Narrow"/>
                <w:b/>
                <w:bCs/>
                <w:color w:val="000000"/>
                <w:sz w:val="22"/>
                <w:szCs w:val="22"/>
              </w:rPr>
            </w:pPr>
            <w:r w:rsidRPr="00706C25">
              <w:rPr>
                <w:rFonts w:ascii="Arial Narrow" w:eastAsia="Times New Roman" w:hAnsi="Arial Narrow"/>
                <w:b/>
                <w:bCs/>
                <w:color w:val="000000"/>
                <w:sz w:val="22"/>
                <w:szCs w:val="22"/>
              </w:rPr>
              <w:t>1</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7391E76C" w14:textId="77777777" w:rsidR="00706C25" w:rsidRPr="00706C25" w:rsidRDefault="00706C25" w:rsidP="00706C25">
            <w:pPr>
              <w:jc w:val="center"/>
              <w:rPr>
                <w:rFonts w:ascii="Arial Narrow" w:eastAsia="Times New Roman" w:hAnsi="Arial Narrow" w:cs="Calibri"/>
                <w:b/>
                <w:bCs/>
                <w:color w:val="000000"/>
                <w:sz w:val="22"/>
                <w:szCs w:val="22"/>
              </w:rPr>
            </w:pPr>
            <w:r w:rsidRPr="00706C25">
              <w:rPr>
                <w:rFonts w:ascii="Arial Narrow" w:eastAsia="Times New Roman" w:hAnsi="Arial Narrow" w:cs="Calibri"/>
                <w:b/>
                <w:bCs/>
                <w:color w:val="000000"/>
                <w:sz w:val="22"/>
                <w:szCs w:val="22"/>
              </w:rPr>
              <w:t xml:space="preserve"> </w:t>
            </w: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3F681844" w14:textId="77777777" w:rsidR="00706C25" w:rsidRPr="00706C25" w:rsidRDefault="00706C25" w:rsidP="00706C25">
            <w:pPr>
              <w:rPr>
                <w:rFonts w:ascii="Arial Narrow" w:eastAsia="Times New Roman" w:hAnsi="Arial Narrow"/>
                <w:b/>
                <w:bCs/>
                <w:color w:val="000000"/>
                <w:sz w:val="22"/>
                <w:szCs w:val="22"/>
                <w:lang w:val="es-CR"/>
              </w:rPr>
            </w:pPr>
            <w:r w:rsidRPr="00706C25">
              <w:rPr>
                <w:rFonts w:ascii="Arial Narrow" w:eastAsia="Times New Roman" w:hAnsi="Arial Narrow"/>
                <w:b/>
                <w:bCs/>
                <w:color w:val="000000"/>
                <w:sz w:val="22"/>
                <w:szCs w:val="22"/>
                <w:lang w:val="es-CR"/>
              </w:rPr>
              <w:t>Información Financiera de Propósito General (IFPG)</w:t>
            </w:r>
          </w:p>
        </w:tc>
        <w:tc>
          <w:tcPr>
            <w:tcW w:w="2043" w:type="dxa"/>
            <w:tcBorders>
              <w:top w:val="single" w:sz="8" w:space="0" w:color="auto"/>
              <w:left w:val="nil"/>
              <w:bottom w:val="single" w:sz="8" w:space="0" w:color="auto"/>
              <w:right w:val="single" w:sz="8" w:space="0" w:color="auto"/>
            </w:tcBorders>
            <w:shd w:val="clear" w:color="auto" w:fill="auto"/>
            <w:vAlign w:val="center"/>
            <w:hideMark/>
          </w:tcPr>
          <w:p w14:paraId="1777B043" w14:textId="77777777" w:rsidR="00706C25" w:rsidRPr="00706C25" w:rsidRDefault="00706C25" w:rsidP="00706C25">
            <w:pPr>
              <w:rPr>
                <w:rFonts w:ascii="Arial Narrow" w:eastAsia="Times New Roman" w:hAnsi="Arial Narrow" w:cs="Calibri"/>
                <w:b/>
                <w:bCs/>
                <w:color w:val="000000"/>
                <w:sz w:val="22"/>
                <w:szCs w:val="22"/>
                <w:lang w:val="es-CR"/>
              </w:rPr>
            </w:pPr>
            <w:r w:rsidRPr="00706C25">
              <w:rPr>
                <w:rFonts w:ascii="Arial Narrow" w:eastAsia="Times New Roman" w:hAnsi="Arial Narrow" w:cs="Calibri"/>
                <w:b/>
                <w:bCs/>
                <w:color w:val="000000"/>
                <w:sz w:val="22"/>
                <w:szCs w:val="22"/>
                <w:lang w:val="es-CR"/>
              </w:rPr>
              <w:t> </w:t>
            </w:r>
          </w:p>
        </w:tc>
        <w:tc>
          <w:tcPr>
            <w:tcW w:w="1889" w:type="dxa"/>
            <w:tcBorders>
              <w:top w:val="single" w:sz="8" w:space="0" w:color="auto"/>
              <w:left w:val="nil"/>
              <w:bottom w:val="single" w:sz="8" w:space="0" w:color="auto"/>
              <w:right w:val="single" w:sz="8" w:space="0" w:color="auto"/>
            </w:tcBorders>
            <w:shd w:val="clear" w:color="auto" w:fill="auto"/>
            <w:vAlign w:val="center"/>
            <w:hideMark/>
          </w:tcPr>
          <w:p w14:paraId="65B1BFB9" w14:textId="77777777" w:rsidR="00706C25" w:rsidRPr="00706C25" w:rsidRDefault="00706C25" w:rsidP="00706C25">
            <w:pPr>
              <w:jc w:val="center"/>
              <w:rPr>
                <w:rFonts w:ascii="Arial Narrow" w:eastAsia="Times New Roman" w:hAnsi="Arial Narrow" w:cs="Calibri"/>
                <w:b/>
                <w:bCs/>
                <w:color w:val="000000"/>
                <w:sz w:val="22"/>
                <w:szCs w:val="22"/>
              </w:rPr>
            </w:pPr>
            <w:r w:rsidRPr="00706C25">
              <w:rPr>
                <w:rFonts w:ascii="Arial Narrow" w:eastAsia="Times New Roman" w:hAnsi="Arial Narrow" w:cs="Calibri"/>
                <w:b/>
                <w:bCs/>
                <w:color w:val="000000"/>
                <w:sz w:val="22"/>
                <w:szCs w:val="22"/>
                <w:lang w:val="es-CR"/>
              </w:rPr>
              <w:t xml:space="preserve"> </w:t>
            </w:r>
            <w:r w:rsidRPr="00706C25">
              <w:rPr>
                <w:rFonts w:ascii="Arial Narrow" w:eastAsia="Times New Roman" w:hAnsi="Arial Narrow" w:cs="Calibri"/>
                <w:b/>
                <w:bCs/>
                <w:color w:val="000000"/>
                <w:sz w:val="22"/>
                <w:szCs w:val="22"/>
              </w:rPr>
              <w:t>MCC –Fase I.</w:t>
            </w:r>
          </w:p>
        </w:tc>
      </w:tr>
      <w:tr w:rsidR="00706C25" w:rsidRPr="00706C25" w14:paraId="48D4F68C" w14:textId="77777777" w:rsidTr="00D64D52">
        <w:trPr>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13552ED8" w14:textId="77777777" w:rsidR="00706C25" w:rsidRPr="00706C25" w:rsidRDefault="00706C25" w:rsidP="00D64D52">
            <w:pPr>
              <w:jc w:val="center"/>
              <w:rPr>
                <w:rFonts w:ascii="Arial Narrow" w:eastAsia="Times New Roman" w:hAnsi="Arial Narrow"/>
                <w:b/>
                <w:bCs/>
                <w:color w:val="000000"/>
                <w:sz w:val="22"/>
                <w:szCs w:val="22"/>
              </w:rPr>
            </w:pPr>
            <w:r w:rsidRPr="00706C25">
              <w:rPr>
                <w:rFonts w:ascii="Arial Narrow" w:eastAsia="Times New Roman" w:hAnsi="Arial Narrow"/>
                <w:b/>
                <w:bCs/>
                <w:color w:val="000000"/>
                <w:sz w:val="22"/>
                <w:szCs w:val="22"/>
              </w:rPr>
              <w:t>6</w:t>
            </w:r>
          </w:p>
        </w:tc>
        <w:tc>
          <w:tcPr>
            <w:tcW w:w="660" w:type="dxa"/>
            <w:tcBorders>
              <w:top w:val="nil"/>
              <w:left w:val="nil"/>
              <w:bottom w:val="single" w:sz="8" w:space="0" w:color="auto"/>
              <w:right w:val="single" w:sz="8" w:space="0" w:color="auto"/>
            </w:tcBorders>
            <w:shd w:val="clear" w:color="auto" w:fill="auto"/>
            <w:vAlign w:val="center"/>
            <w:hideMark/>
          </w:tcPr>
          <w:p w14:paraId="45F2C925" w14:textId="77777777" w:rsidR="00706C25" w:rsidRPr="00706C25" w:rsidRDefault="00706C25" w:rsidP="00D64D52">
            <w:pPr>
              <w:jc w:val="center"/>
              <w:rPr>
                <w:rFonts w:ascii="Arial Narrow" w:eastAsia="Times New Roman" w:hAnsi="Arial Narrow"/>
                <w:b/>
                <w:bCs/>
                <w:color w:val="000000"/>
                <w:sz w:val="22"/>
                <w:szCs w:val="22"/>
              </w:rPr>
            </w:pPr>
            <w:r w:rsidRPr="00706C25">
              <w:rPr>
                <w:rFonts w:ascii="Arial Narrow" w:eastAsia="Times New Roman" w:hAnsi="Arial Narrow"/>
                <w:b/>
                <w:bCs/>
                <w:color w:val="000000"/>
                <w:sz w:val="22"/>
                <w:szCs w:val="22"/>
              </w:rPr>
              <w:t>1</w:t>
            </w:r>
          </w:p>
        </w:tc>
        <w:tc>
          <w:tcPr>
            <w:tcW w:w="520" w:type="dxa"/>
            <w:tcBorders>
              <w:top w:val="nil"/>
              <w:left w:val="nil"/>
              <w:bottom w:val="single" w:sz="8" w:space="0" w:color="auto"/>
              <w:right w:val="nil"/>
            </w:tcBorders>
            <w:shd w:val="clear" w:color="auto" w:fill="auto"/>
            <w:vAlign w:val="center"/>
            <w:hideMark/>
          </w:tcPr>
          <w:p w14:paraId="0E1B5E85" w14:textId="77777777" w:rsidR="00706C25" w:rsidRPr="00706C25" w:rsidRDefault="00706C25" w:rsidP="00706C25">
            <w:pPr>
              <w:jc w:val="center"/>
              <w:rPr>
                <w:rFonts w:ascii="Arial Narrow" w:eastAsia="Times New Roman" w:hAnsi="Arial Narrow" w:cs="Calibri"/>
                <w:b/>
                <w:bCs/>
                <w:color w:val="000000"/>
                <w:sz w:val="22"/>
                <w:szCs w:val="22"/>
              </w:rPr>
            </w:pPr>
            <w:r w:rsidRPr="00706C25">
              <w:rPr>
                <w:rFonts w:ascii="Arial Narrow" w:eastAsia="Times New Roman" w:hAnsi="Arial Narrow" w:cs="Calibri"/>
                <w:b/>
                <w:bCs/>
                <w:color w:val="000000"/>
                <w:sz w:val="22"/>
                <w:szCs w:val="22"/>
              </w:rPr>
              <w:t>1</w:t>
            </w:r>
          </w:p>
        </w:tc>
        <w:tc>
          <w:tcPr>
            <w:tcW w:w="3740" w:type="dxa"/>
            <w:tcBorders>
              <w:top w:val="nil"/>
              <w:left w:val="single" w:sz="8" w:space="0" w:color="auto"/>
              <w:bottom w:val="single" w:sz="8" w:space="0" w:color="auto"/>
              <w:right w:val="single" w:sz="8" w:space="0" w:color="auto"/>
            </w:tcBorders>
            <w:shd w:val="clear" w:color="auto" w:fill="auto"/>
            <w:vAlign w:val="center"/>
            <w:hideMark/>
          </w:tcPr>
          <w:p w14:paraId="4B05D222" w14:textId="77777777" w:rsidR="00706C25" w:rsidRPr="00706C25" w:rsidRDefault="00706C25" w:rsidP="00706C25">
            <w:pPr>
              <w:rPr>
                <w:rFonts w:ascii="Arial Narrow" w:eastAsia="Times New Roman" w:hAnsi="Arial Narrow"/>
                <w:b/>
                <w:bCs/>
                <w:color w:val="000000"/>
                <w:sz w:val="22"/>
                <w:szCs w:val="22"/>
              </w:rPr>
            </w:pPr>
            <w:r w:rsidRPr="00706C25">
              <w:rPr>
                <w:rFonts w:ascii="Arial Narrow" w:eastAsia="Times New Roman" w:hAnsi="Arial Narrow"/>
                <w:b/>
                <w:bCs/>
                <w:color w:val="000000"/>
                <w:sz w:val="22"/>
                <w:szCs w:val="22"/>
              </w:rPr>
              <w:t>EEFF</w:t>
            </w:r>
          </w:p>
        </w:tc>
        <w:tc>
          <w:tcPr>
            <w:tcW w:w="2043" w:type="dxa"/>
            <w:tcBorders>
              <w:top w:val="nil"/>
              <w:left w:val="nil"/>
              <w:bottom w:val="single" w:sz="8" w:space="0" w:color="auto"/>
              <w:right w:val="single" w:sz="8" w:space="0" w:color="auto"/>
            </w:tcBorders>
            <w:shd w:val="clear" w:color="auto" w:fill="auto"/>
            <w:vAlign w:val="center"/>
            <w:hideMark/>
          </w:tcPr>
          <w:p w14:paraId="395B3692" w14:textId="77777777" w:rsidR="00706C25" w:rsidRPr="00706C25" w:rsidRDefault="00706C25" w:rsidP="00706C25">
            <w:pPr>
              <w:rPr>
                <w:rFonts w:ascii="Arial Narrow" w:eastAsia="Times New Roman" w:hAnsi="Arial Narrow" w:cs="Calibri"/>
                <w:b/>
                <w:bCs/>
                <w:color w:val="000000"/>
                <w:sz w:val="22"/>
                <w:szCs w:val="22"/>
              </w:rPr>
            </w:pPr>
            <w:r w:rsidRPr="00706C25">
              <w:rPr>
                <w:rFonts w:ascii="Arial Narrow" w:eastAsia="Times New Roman" w:hAnsi="Arial Narrow" w:cs="Calibri"/>
                <w:b/>
                <w:bCs/>
                <w:color w:val="000000"/>
                <w:sz w:val="22"/>
                <w:szCs w:val="22"/>
              </w:rPr>
              <w:t> </w:t>
            </w:r>
          </w:p>
        </w:tc>
        <w:tc>
          <w:tcPr>
            <w:tcW w:w="1889" w:type="dxa"/>
            <w:tcBorders>
              <w:top w:val="nil"/>
              <w:left w:val="nil"/>
              <w:bottom w:val="single" w:sz="8" w:space="0" w:color="auto"/>
              <w:right w:val="single" w:sz="8" w:space="0" w:color="auto"/>
            </w:tcBorders>
            <w:shd w:val="clear" w:color="auto" w:fill="auto"/>
            <w:vAlign w:val="center"/>
            <w:hideMark/>
          </w:tcPr>
          <w:p w14:paraId="7B495F2B" w14:textId="77777777" w:rsidR="00706C25" w:rsidRPr="00706C25" w:rsidRDefault="00706C25" w:rsidP="00706C25">
            <w:pPr>
              <w:jc w:val="center"/>
              <w:rPr>
                <w:rFonts w:ascii="Arial Narrow" w:eastAsia="Times New Roman" w:hAnsi="Arial Narrow" w:cs="Calibri"/>
                <w:b/>
                <w:bCs/>
                <w:color w:val="000000"/>
                <w:sz w:val="22"/>
                <w:szCs w:val="22"/>
              </w:rPr>
            </w:pPr>
            <w:r w:rsidRPr="00706C25">
              <w:rPr>
                <w:rFonts w:ascii="Arial Narrow" w:eastAsia="Times New Roman" w:hAnsi="Arial Narrow" w:cs="Calibri"/>
                <w:b/>
                <w:bCs/>
                <w:color w:val="000000"/>
                <w:sz w:val="22"/>
                <w:szCs w:val="22"/>
              </w:rPr>
              <w:t>MCC Fase I</w:t>
            </w:r>
          </w:p>
        </w:tc>
      </w:tr>
    </w:tbl>
    <w:p w14:paraId="2C846B03" w14:textId="77777777" w:rsidR="007354B0" w:rsidRDefault="007354B0" w:rsidP="00EE2D22">
      <w:pPr>
        <w:pStyle w:val="Default"/>
        <w:ind w:left="1134" w:hanging="1134"/>
        <w:jc w:val="both"/>
        <w:rPr>
          <w:sz w:val="22"/>
          <w:szCs w:val="22"/>
          <w:lang w:val="es-CR"/>
        </w:rPr>
      </w:pPr>
    </w:p>
    <w:p w14:paraId="208AF1E0" w14:textId="77777777" w:rsidR="00D64D52" w:rsidRDefault="00D64D52" w:rsidP="00D64D52">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92000E9" w14:textId="77777777" w:rsidR="00D64D52" w:rsidRDefault="00D64D52" w:rsidP="00EE2D22">
      <w:pPr>
        <w:pStyle w:val="Default"/>
        <w:ind w:left="1134" w:hanging="1134"/>
        <w:jc w:val="both"/>
        <w:rPr>
          <w:sz w:val="22"/>
          <w:szCs w:val="22"/>
          <w:lang w:val="es-CR"/>
        </w:rPr>
      </w:pPr>
    </w:p>
    <w:p w14:paraId="5D9DBD98" w14:textId="78C73493" w:rsidR="002535C2" w:rsidRDefault="00681844" w:rsidP="00681844">
      <w:pPr>
        <w:pStyle w:val="Default"/>
        <w:ind w:left="1134" w:hanging="1134"/>
        <w:jc w:val="both"/>
        <w:rPr>
          <w:sz w:val="22"/>
          <w:szCs w:val="22"/>
          <w:lang w:val="es-CR"/>
        </w:rPr>
      </w:pPr>
      <w:r>
        <w:rPr>
          <w:sz w:val="22"/>
          <w:szCs w:val="22"/>
          <w:lang w:val="es-CR"/>
        </w:rPr>
        <w:t>6.1.0.01</w:t>
      </w:r>
      <w:r>
        <w:rPr>
          <w:sz w:val="22"/>
          <w:szCs w:val="22"/>
          <w:lang w:val="es-CR"/>
        </w:rPr>
        <w:tab/>
      </w:r>
      <w:r w:rsidR="002535C2" w:rsidRPr="00681844">
        <w:rPr>
          <w:sz w:val="22"/>
          <w:szCs w:val="22"/>
          <w:lang w:val="es-CR"/>
        </w:rPr>
        <w:t xml:space="preserve">La </w:t>
      </w:r>
      <w:r w:rsidR="002535C2" w:rsidRPr="00681844">
        <w:rPr>
          <w:b/>
          <w:bCs/>
          <w:sz w:val="22"/>
          <w:szCs w:val="22"/>
          <w:lang w:val="es-CR"/>
        </w:rPr>
        <w:t xml:space="preserve">IFPG </w:t>
      </w:r>
      <w:r w:rsidR="002535C2" w:rsidRPr="00681844">
        <w:rPr>
          <w:sz w:val="22"/>
          <w:szCs w:val="22"/>
          <w:lang w:val="es-CR"/>
        </w:rPr>
        <w:t>apoya y mejora la transparencia de la información financiera de los gobiernos y otras entidades del sector público, constituyendo informes financieros y no financieros que pretenden satisfacer las necesidades de información de los usuarios que no tienen autoridad para requerir la preparación de informes financieros específicos.</w:t>
      </w:r>
    </w:p>
    <w:p w14:paraId="5A6325A6" w14:textId="77777777" w:rsidR="00681844" w:rsidRPr="00681844" w:rsidRDefault="00681844" w:rsidP="00681844">
      <w:pPr>
        <w:pStyle w:val="Default"/>
        <w:ind w:left="1134" w:hanging="1134"/>
        <w:jc w:val="both"/>
        <w:rPr>
          <w:sz w:val="22"/>
          <w:szCs w:val="22"/>
          <w:lang w:val="es-CR"/>
        </w:rPr>
      </w:pPr>
    </w:p>
    <w:p w14:paraId="077F5FA4" w14:textId="017B786A" w:rsidR="002535C2" w:rsidRPr="00681844" w:rsidRDefault="00681844" w:rsidP="00681844">
      <w:pPr>
        <w:pStyle w:val="Default"/>
        <w:ind w:left="1134" w:hanging="1134"/>
        <w:jc w:val="both"/>
        <w:rPr>
          <w:sz w:val="22"/>
          <w:szCs w:val="22"/>
          <w:lang w:val="es-CR"/>
        </w:rPr>
      </w:pPr>
      <w:r>
        <w:rPr>
          <w:sz w:val="22"/>
          <w:szCs w:val="22"/>
          <w:lang w:val="es-CR"/>
        </w:rPr>
        <w:t>6.1.0.02</w:t>
      </w:r>
      <w:r>
        <w:rPr>
          <w:sz w:val="22"/>
          <w:szCs w:val="22"/>
          <w:lang w:val="es-CR"/>
        </w:rPr>
        <w:tab/>
      </w:r>
      <w:r w:rsidR="002535C2" w:rsidRPr="00681844">
        <w:rPr>
          <w:sz w:val="22"/>
          <w:szCs w:val="22"/>
          <w:lang w:val="es-CR"/>
        </w:rPr>
        <w:t xml:space="preserve">La IFPG contiene a los EEFF y la presentación de información que mejora, completa y amplía los mismos, a través del requerimiento de Estados Complementarios. </w:t>
      </w:r>
    </w:p>
    <w:p w14:paraId="5996F911" w14:textId="77777777" w:rsidR="00681844" w:rsidRDefault="00681844" w:rsidP="002535C2">
      <w:pPr>
        <w:pStyle w:val="Default"/>
        <w:ind w:left="1134" w:hanging="1134"/>
        <w:jc w:val="both"/>
        <w:rPr>
          <w:sz w:val="23"/>
          <w:szCs w:val="23"/>
          <w:lang w:val="es-CR"/>
        </w:rPr>
      </w:pPr>
    </w:p>
    <w:p w14:paraId="7152FD03" w14:textId="608B29F3" w:rsidR="007354B0" w:rsidRDefault="00681844" w:rsidP="002535C2">
      <w:pPr>
        <w:pStyle w:val="Default"/>
        <w:ind w:left="1134" w:hanging="1134"/>
        <w:jc w:val="both"/>
        <w:rPr>
          <w:sz w:val="23"/>
          <w:szCs w:val="23"/>
          <w:lang w:val="es-CR"/>
        </w:rPr>
      </w:pPr>
      <w:r>
        <w:rPr>
          <w:sz w:val="23"/>
          <w:szCs w:val="23"/>
          <w:lang w:val="es-CR"/>
        </w:rPr>
        <w:t>6.1.</w:t>
      </w:r>
      <w:r w:rsidR="002535C2" w:rsidRPr="002535C2">
        <w:rPr>
          <w:sz w:val="23"/>
          <w:szCs w:val="23"/>
          <w:lang w:val="es-CR"/>
        </w:rPr>
        <w:t>1.</w:t>
      </w:r>
      <w:r>
        <w:rPr>
          <w:sz w:val="23"/>
          <w:szCs w:val="23"/>
          <w:lang w:val="es-CR"/>
        </w:rPr>
        <w:t>01</w:t>
      </w:r>
      <w:r>
        <w:rPr>
          <w:sz w:val="23"/>
          <w:szCs w:val="23"/>
          <w:lang w:val="es-CR"/>
        </w:rPr>
        <w:tab/>
      </w:r>
      <w:r w:rsidR="002535C2" w:rsidRPr="002535C2">
        <w:rPr>
          <w:sz w:val="23"/>
          <w:szCs w:val="23"/>
          <w:lang w:val="es-CR"/>
        </w:rPr>
        <w:t xml:space="preserve">Los </w:t>
      </w:r>
      <w:r w:rsidR="002535C2" w:rsidRPr="002535C2">
        <w:rPr>
          <w:b/>
          <w:bCs/>
          <w:sz w:val="23"/>
          <w:szCs w:val="23"/>
          <w:lang w:val="es-CR"/>
        </w:rPr>
        <w:t xml:space="preserve">EEFF </w:t>
      </w:r>
      <w:r w:rsidR="002535C2" w:rsidRPr="002535C2">
        <w:rPr>
          <w:sz w:val="23"/>
          <w:szCs w:val="23"/>
          <w:lang w:val="es-CR"/>
        </w:rPr>
        <w:t xml:space="preserve">son parte de la IFPG como el núcleo de la misma. La forma en que se </w:t>
      </w:r>
      <w:r w:rsidRPr="002535C2">
        <w:rPr>
          <w:sz w:val="23"/>
          <w:szCs w:val="23"/>
          <w:lang w:val="es-CR"/>
        </w:rPr>
        <w:t>definen</w:t>
      </w:r>
      <w:r w:rsidR="002535C2" w:rsidRPr="002535C2">
        <w:rPr>
          <w:sz w:val="23"/>
          <w:szCs w:val="23"/>
          <w:lang w:val="es-CR"/>
        </w:rPr>
        <w:t xml:space="preserve"> reconoce y miden los elementos de los EEFF y las formas de presentación están incluida en la IFPG y deben ser el medio para que los funcionarios gubernamentales respondan por la administración de los recursos públicos, transformándose de esta manera en una herramienta de rendición de cuentas claras y transparentes, por los recursos que le han sido confiados</w:t>
      </w:r>
      <w:r w:rsidR="00D64D52">
        <w:rPr>
          <w:sz w:val="23"/>
          <w:szCs w:val="23"/>
          <w:lang w:val="es-CR"/>
        </w:rPr>
        <w:t>.</w:t>
      </w:r>
    </w:p>
    <w:p w14:paraId="712C2C50" w14:textId="77777777" w:rsidR="00D64D52" w:rsidRDefault="00D64D52" w:rsidP="002535C2">
      <w:pPr>
        <w:pStyle w:val="Default"/>
        <w:ind w:left="1134" w:hanging="1134"/>
        <w:jc w:val="both"/>
        <w:rPr>
          <w:sz w:val="23"/>
          <w:szCs w:val="23"/>
          <w:lang w:val="es-CR"/>
        </w:rPr>
      </w:pPr>
    </w:p>
    <w:p w14:paraId="734869DE" w14:textId="77777777" w:rsidR="00D64D52" w:rsidRPr="002535C2" w:rsidRDefault="00D64D52" w:rsidP="002535C2">
      <w:pPr>
        <w:pStyle w:val="Default"/>
        <w:ind w:left="1134" w:hanging="1134"/>
        <w:jc w:val="both"/>
        <w:rPr>
          <w:sz w:val="22"/>
          <w:szCs w:val="22"/>
          <w:lang w:val="es-CR"/>
        </w:rPr>
      </w:pPr>
    </w:p>
    <w:p w14:paraId="70C1F232" w14:textId="77777777" w:rsidR="007354B0" w:rsidRDefault="007354B0" w:rsidP="00EE2D22">
      <w:pPr>
        <w:pStyle w:val="Default"/>
        <w:ind w:left="1134" w:hanging="1134"/>
        <w:jc w:val="both"/>
        <w:rPr>
          <w:sz w:val="22"/>
          <w:szCs w:val="22"/>
          <w:lang w:val="es-CR"/>
        </w:rPr>
      </w:pPr>
    </w:p>
    <w:tbl>
      <w:tblPr>
        <w:tblW w:w="9347" w:type="dxa"/>
        <w:tblLook w:val="04A0" w:firstRow="1" w:lastRow="0" w:firstColumn="1" w:lastColumn="0" w:noHBand="0" w:noVBand="1"/>
      </w:tblPr>
      <w:tblGrid>
        <w:gridCol w:w="416"/>
        <w:gridCol w:w="708"/>
        <w:gridCol w:w="427"/>
        <w:gridCol w:w="3681"/>
        <w:gridCol w:w="2248"/>
        <w:gridCol w:w="1867"/>
      </w:tblGrid>
      <w:tr w:rsidR="00681844" w:rsidRPr="00681844" w14:paraId="475D6A04" w14:textId="77777777" w:rsidTr="00D64D52">
        <w:trPr>
          <w:trHeight w:val="300"/>
        </w:trPr>
        <w:tc>
          <w:tcPr>
            <w:tcW w:w="155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DD8FBE4" w14:textId="77777777" w:rsidR="00681844" w:rsidRPr="00681844" w:rsidRDefault="00681844" w:rsidP="00681844">
            <w:pPr>
              <w:jc w:val="center"/>
              <w:rPr>
                <w:rFonts w:ascii="Arial Narrow" w:eastAsia="Times New Roman" w:hAnsi="Arial Narrow" w:cs="Calibri"/>
                <w:b/>
                <w:bCs/>
                <w:color w:val="FFFFFF"/>
                <w:sz w:val="22"/>
                <w:szCs w:val="22"/>
              </w:rPr>
            </w:pPr>
            <w:r w:rsidRPr="00681844">
              <w:rPr>
                <w:rFonts w:ascii="Arial Narrow" w:eastAsia="Times New Roman" w:hAnsi="Arial Narrow" w:cs="Calibri"/>
                <w:b/>
                <w:bCs/>
                <w:color w:val="FFFFFF"/>
                <w:sz w:val="22"/>
                <w:szCs w:val="22"/>
              </w:rPr>
              <w:t>Norma / Política</w:t>
            </w:r>
          </w:p>
        </w:tc>
        <w:tc>
          <w:tcPr>
            <w:tcW w:w="36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28441BC4" w14:textId="77777777" w:rsidR="00681844" w:rsidRPr="00681844" w:rsidRDefault="00681844" w:rsidP="00681844">
            <w:pPr>
              <w:jc w:val="center"/>
              <w:rPr>
                <w:rFonts w:ascii="Arial Narrow" w:eastAsia="Times New Roman" w:hAnsi="Arial Narrow" w:cs="Calibri"/>
                <w:b/>
                <w:bCs/>
                <w:color w:val="FFFFFF"/>
                <w:sz w:val="22"/>
                <w:szCs w:val="22"/>
              </w:rPr>
            </w:pPr>
            <w:r w:rsidRPr="00681844">
              <w:rPr>
                <w:rFonts w:ascii="Arial Narrow" w:eastAsia="Times New Roman" w:hAnsi="Arial Narrow" w:cs="Calibri"/>
                <w:b/>
                <w:bCs/>
                <w:color w:val="FFFFFF"/>
                <w:sz w:val="22"/>
                <w:szCs w:val="22"/>
              </w:rPr>
              <w:t>Concepto</w:t>
            </w:r>
          </w:p>
        </w:tc>
        <w:tc>
          <w:tcPr>
            <w:tcW w:w="4115" w:type="dxa"/>
            <w:gridSpan w:val="2"/>
            <w:tcBorders>
              <w:top w:val="single" w:sz="8" w:space="0" w:color="auto"/>
              <w:left w:val="nil"/>
              <w:bottom w:val="single" w:sz="8" w:space="0" w:color="auto"/>
              <w:right w:val="single" w:sz="8" w:space="0" w:color="000000"/>
            </w:tcBorders>
            <w:shd w:val="clear" w:color="000000" w:fill="203764"/>
            <w:vAlign w:val="center"/>
            <w:hideMark/>
          </w:tcPr>
          <w:p w14:paraId="57EA020C" w14:textId="77777777" w:rsidR="00681844" w:rsidRPr="00681844" w:rsidRDefault="00681844" w:rsidP="00681844">
            <w:pPr>
              <w:jc w:val="center"/>
              <w:rPr>
                <w:rFonts w:ascii="Arial Narrow" w:eastAsia="Times New Roman" w:hAnsi="Arial Narrow" w:cs="Calibri"/>
                <w:b/>
                <w:bCs/>
                <w:color w:val="FFFFFF"/>
                <w:sz w:val="22"/>
                <w:szCs w:val="22"/>
              </w:rPr>
            </w:pPr>
            <w:r w:rsidRPr="00681844">
              <w:rPr>
                <w:rFonts w:ascii="Arial Narrow" w:eastAsia="Times New Roman" w:hAnsi="Arial Narrow" w:cs="Calibri"/>
                <w:b/>
                <w:bCs/>
                <w:color w:val="FFFFFF"/>
                <w:sz w:val="22"/>
                <w:szCs w:val="22"/>
              </w:rPr>
              <w:t>Referencia</w:t>
            </w:r>
          </w:p>
        </w:tc>
      </w:tr>
      <w:tr w:rsidR="00681844" w:rsidRPr="006E5442" w14:paraId="6371C076" w14:textId="77777777" w:rsidTr="00D64D52">
        <w:trPr>
          <w:trHeight w:val="850"/>
        </w:trPr>
        <w:tc>
          <w:tcPr>
            <w:tcW w:w="1551" w:type="dxa"/>
            <w:gridSpan w:val="3"/>
            <w:vMerge/>
            <w:tcBorders>
              <w:top w:val="single" w:sz="8" w:space="0" w:color="auto"/>
              <w:left w:val="single" w:sz="8" w:space="0" w:color="auto"/>
              <w:bottom w:val="nil"/>
              <w:right w:val="single" w:sz="8" w:space="0" w:color="000000"/>
            </w:tcBorders>
            <w:vAlign w:val="center"/>
            <w:hideMark/>
          </w:tcPr>
          <w:p w14:paraId="65B8E541" w14:textId="77777777" w:rsidR="00681844" w:rsidRPr="00681844" w:rsidRDefault="00681844" w:rsidP="00681844">
            <w:pPr>
              <w:rPr>
                <w:rFonts w:ascii="Arial Narrow" w:eastAsia="Times New Roman" w:hAnsi="Arial Narrow" w:cs="Calibri"/>
                <w:b/>
                <w:bCs/>
                <w:color w:val="FFFFFF"/>
                <w:sz w:val="22"/>
                <w:szCs w:val="22"/>
              </w:rPr>
            </w:pPr>
          </w:p>
        </w:tc>
        <w:tc>
          <w:tcPr>
            <w:tcW w:w="3681" w:type="dxa"/>
            <w:vMerge/>
            <w:tcBorders>
              <w:top w:val="single" w:sz="8" w:space="0" w:color="auto"/>
              <w:left w:val="single" w:sz="8" w:space="0" w:color="auto"/>
              <w:bottom w:val="nil"/>
              <w:right w:val="single" w:sz="8" w:space="0" w:color="auto"/>
            </w:tcBorders>
            <w:vAlign w:val="center"/>
            <w:hideMark/>
          </w:tcPr>
          <w:p w14:paraId="013FEB99" w14:textId="77777777" w:rsidR="00681844" w:rsidRPr="00681844" w:rsidRDefault="00681844" w:rsidP="00681844">
            <w:pPr>
              <w:rPr>
                <w:rFonts w:ascii="Arial Narrow" w:eastAsia="Times New Roman" w:hAnsi="Arial Narrow" w:cs="Calibri"/>
                <w:b/>
                <w:bCs/>
                <w:color w:val="FFFFFF"/>
                <w:sz w:val="22"/>
                <w:szCs w:val="22"/>
              </w:rPr>
            </w:pPr>
          </w:p>
        </w:tc>
        <w:tc>
          <w:tcPr>
            <w:tcW w:w="2248" w:type="dxa"/>
            <w:tcBorders>
              <w:top w:val="nil"/>
              <w:left w:val="nil"/>
              <w:bottom w:val="nil"/>
              <w:right w:val="single" w:sz="8" w:space="0" w:color="auto"/>
            </w:tcBorders>
            <w:shd w:val="clear" w:color="000000" w:fill="203764"/>
            <w:vAlign w:val="center"/>
            <w:hideMark/>
          </w:tcPr>
          <w:p w14:paraId="0C3DFF2A" w14:textId="77777777" w:rsidR="00681844" w:rsidRPr="00681844" w:rsidRDefault="00681844" w:rsidP="00681844">
            <w:pPr>
              <w:jc w:val="center"/>
              <w:rPr>
                <w:rFonts w:ascii="Arial Narrow" w:eastAsia="Times New Roman" w:hAnsi="Arial Narrow" w:cs="Calibri"/>
                <w:b/>
                <w:bCs/>
                <w:color w:val="FFFFFF"/>
                <w:sz w:val="22"/>
                <w:szCs w:val="22"/>
              </w:rPr>
            </w:pPr>
            <w:r w:rsidRPr="00681844">
              <w:rPr>
                <w:rFonts w:ascii="Arial Narrow" w:eastAsia="Times New Roman" w:hAnsi="Arial Narrow" w:cs="Calibri"/>
                <w:b/>
                <w:bCs/>
                <w:color w:val="FFFFFF"/>
                <w:sz w:val="22"/>
                <w:szCs w:val="22"/>
              </w:rPr>
              <w:t>Norma</w:t>
            </w:r>
          </w:p>
        </w:tc>
        <w:tc>
          <w:tcPr>
            <w:tcW w:w="1867" w:type="dxa"/>
            <w:tcBorders>
              <w:top w:val="nil"/>
              <w:left w:val="nil"/>
              <w:bottom w:val="nil"/>
              <w:right w:val="single" w:sz="8" w:space="0" w:color="auto"/>
            </w:tcBorders>
            <w:shd w:val="clear" w:color="000000" w:fill="203764"/>
            <w:vAlign w:val="center"/>
            <w:hideMark/>
          </w:tcPr>
          <w:p w14:paraId="417292AD" w14:textId="77777777" w:rsidR="00681844" w:rsidRPr="00681844" w:rsidRDefault="00681844" w:rsidP="00681844">
            <w:pPr>
              <w:jc w:val="center"/>
              <w:rPr>
                <w:rFonts w:ascii="Arial Narrow" w:eastAsia="Times New Roman" w:hAnsi="Arial Narrow" w:cs="Calibri"/>
                <w:b/>
                <w:bCs/>
                <w:color w:val="FFFFFF"/>
                <w:sz w:val="22"/>
                <w:szCs w:val="22"/>
                <w:lang w:val="es-CR"/>
              </w:rPr>
            </w:pPr>
            <w:r w:rsidRPr="00681844">
              <w:rPr>
                <w:rFonts w:ascii="Arial Narrow" w:eastAsia="Times New Roman" w:hAnsi="Arial Narrow" w:cs="Calibri"/>
                <w:b/>
                <w:bCs/>
                <w:color w:val="FFFFFF"/>
                <w:sz w:val="22"/>
                <w:szCs w:val="22"/>
                <w:lang w:val="es-CR"/>
              </w:rPr>
              <w:t>Normativa técnica y disposiciones adicionales</w:t>
            </w:r>
          </w:p>
        </w:tc>
      </w:tr>
      <w:tr w:rsidR="00681844" w:rsidRPr="00681844" w14:paraId="2C753E12" w14:textId="77777777" w:rsidTr="00D64D5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F16DA6" w14:textId="77777777" w:rsidR="00681844" w:rsidRPr="00681844" w:rsidRDefault="00681844" w:rsidP="00681844">
            <w:pPr>
              <w:jc w:val="center"/>
              <w:rPr>
                <w:rFonts w:ascii="Arial Narrow" w:eastAsia="Times New Roman" w:hAnsi="Arial Narrow" w:cs="Calibri"/>
                <w:b/>
                <w:bCs/>
                <w:color w:val="000000"/>
                <w:sz w:val="22"/>
                <w:szCs w:val="22"/>
              </w:rPr>
            </w:pPr>
            <w:r w:rsidRPr="00681844">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20839AB" w14:textId="77777777" w:rsidR="00681844" w:rsidRPr="00681844" w:rsidRDefault="00681844" w:rsidP="00681844">
            <w:pPr>
              <w:jc w:val="center"/>
              <w:rPr>
                <w:rFonts w:ascii="Arial Narrow" w:eastAsia="Times New Roman" w:hAnsi="Arial Narrow" w:cs="Calibri"/>
                <w:b/>
                <w:bCs/>
                <w:color w:val="000000"/>
                <w:sz w:val="22"/>
                <w:szCs w:val="22"/>
              </w:rPr>
            </w:pPr>
            <w:r w:rsidRPr="00681844">
              <w:rPr>
                <w:rFonts w:ascii="Arial Narrow" w:eastAsia="Times New Roman" w:hAnsi="Arial Narrow" w:cs="Calibri"/>
                <w:b/>
                <w:bCs/>
                <w:color w:val="000000"/>
                <w:sz w:val="22"/>
                <w:szCs w:val="22"/>
              </w:rPr>
              <w:t>2</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20993016" w14:textId="77777777" w:rsidR="00681844" w:rsidRPr="00681844" w:rsidRDefault="00681844" w:rsidP="00681844">
            <w:pPr>
              <w:jc w:val="center"/>
              <w:rPr>
                <w:rFonts w:ascii="Arial Narrow" w:eastAsia="Times New Roman" w:hAnsi="Arial Narrow" w:cs="Calibri"/>
                <w:b/>
                <w:bCs/>
                <w:color w:val="000000"/>
                <w:sz w:val="22"/>
                <w:szCs w:val="22"/>
              </w:rPr>
            </w:pPr>
            <w:r w:rsidRPr="00681844">
              <w:rPr>
                <w:rFonts w:ascii="Arial Narrow" w:eastAsia="Times New Roman" w:hAnsi="Arial Narrow" w:cs="Calibri"/>
                <w:b/>
                <w:bCs/>
                <w:color w:val="000000"/>
                <w:sz w:val="22"/>
                <w:szCs w:val="22"/>
              </w:rPr>
              <w:t xml:space="preserve"> </w:t>
            </w:r>
          </w:p>
        </w:tc>
        <w:tc>
          <w:tcPr>
            <w:tcW w:w="3681" w:type="dxa"/>
            <w:tcBorders>
              <w:top w:val="single" w:sz="8" w:space="0" w:color="auto"/>
              <w:left w:val="nil"/>
              <w:bottom w:val="single" w:sz="8" w:space="0" w:color="auto"/>
              <w:right w:val="single" w:sz="8" w:space="0" w:color="auto"/>
            </w:tcBorders>
            <w:shd w:val="clear" w:color="auto" w:fill="auto"/>
            <w:vAlign w:val="center"/>
            <w:hideMark/>
          </w:tcPr>
          <w:p w14:paraId="2FD6831A" w14:textId="77777777" w:rsidR="00681844" w:rsidRPr="00681844" w:rsidRDefault="00681844" w:rsidP="00681844">
            <w:pPr>
              <w:jc w:val="both"/>
              <w:rPr>
                <w:rFonts w:ascii="Arial Narrow" w:eastAsia="Times New Roman" w:hAnsi="Arial Narrow" w:cs="Calibri"/>
                <w:b/>
                <w:bCs/>
                <w:color w:val="000000"/>
                <w:sz w:val="22"/>
                <w:szCs w:val="22"/>
              </w:rPr>
            </w:pPr>
            <w:r w:rsidRPr="00681844">
              <w:rPr>
                <w:rFonts w:ascii="Arial Narrow" w:eastAsia="Times New Roman" w:hAnsi="Arial Narrow" w:cs="Calibri"/>
                <w:b/>
                <w:bCs/>
                <w:color w:val="000000"/>
                <w:sz w:val="22"/>
                <w:szCs w:val="22"/>
              </w:rPr>
              <w:t>Finalidad de los EEFF</w:t>
            </w:r>
          </w:p>
        </w:tc>
        <w:tc>
          <w:tcPr>
            <w:tcW w:w="2248" w:type="dxa"/>
            <w:tcBorders>
              <w:top w:val="single" w:sz="8" w:space="0" w:color="auto"/>
              <w:left w:val="nil"/>
              <w:bottom w:val="single" w:sz="8" w:space="0" w:color="auto"/>
              <w:right w:val="single" w:sz="8" w:space="0" w:color="auto"/>
            </w:tcBorders>
            <w:shd w:val="clear" w:color="auto" w:fill="auto"/>
            <w:vAlign w:val="center"/>
            <w:hideMark/>
          </w:tcPr>
          <w:p w14:paraId="5C32173D" w14:textId="77777777" w:rsidR="00D64D52" w:rsidRDefault="00681844" w:rsidP="00681844">
            <w:pPr>
              <w:jc w:val="both"/>
              <w:rPr>
                <w:rFonts w:ascii="Arial Narrow" w:eastAsia="Times New Roman" w:hAnsi="Arial Narrow" w:cs="Calibri"/>
                <w:b/>
                <w:bCs/>
                <w:color w:val="000000"/>
                <w:sz w:val="22"/>
                <w:szCs w:val="22"/>
              </w:rPr>
            </w:pPr>
            <w:r w:rsidRPr="00681844">
              <w:rPr>
                <w:rFonts w:ascii="Arial Narrow" w:eastAsia="Times New Roman" w:hAnsi="Arial Narrow" w:cs="Calibri"/>
                <w:b/>
                <w:bCs/>
                <w:color w:val="000000"/>
                <w:sz w:val="22"/>
                <w:szCs w:val="22"/>
              </w:rPr>
              <w:t>NICSP N° 1,</w:t>
            </w:r>
          </w:p>
          <w:p w14:paraId="53703E62" w14:textId="51C70C5C" w:rsidR="00681844" w:rsidRPr="00681844" w:rsidRDefault="00681844" w:rsidP="00681844">
            <w:pPr>
              <w:jc w:val="both"/>
              <w:rPr>
                <w:rFonts w:ascii="Arial Narrow" w:eastAsia="Times New Roman" w:hAnsi="Arial Narrow" w:cs="Calibri"/>
                <w:b/>
                <w:bCs/>
                <w:color w:val="000000"/>
                <w:sz w:val="22"/>
                <w:szCs w:val="22"/>
              </w:rPr>
            </w:pPr>
            <w:r w:rsidRPr="00681844">
              <w:rPr>
                <w:rFonts w:ascii="Arial Narrow" w:eastAsia="Times New Roman" w:hAnsi="Arial Narrow" w:cs="Calibri"/>
                <w:b/>
                <w:bCs/>
                <w:color w:val="000000"/>
                <w:sz w:val="22"/>
                <w:szCs w:val="22"/>
              </w:rPr>
              <w:t>Párrafo 15.</w:t>
            </w:r>
          </w:p>
        </w:tc>
        <w:tc>
          <w:tcPr>
            <w:tcW w:w="1867" w:type="dxa"/>
            <w:tcBorders>
              <w:top w:val="single" w:sz="8" w:space="0" w:color="auto"/>
              <w:left w:val="nil"/>
              <w:bottom w:val="single" w:sz="8" w:space="0" w:color="auto"/>
              <w:right w:val="single" w:sz="8" w:space="0" w:color="auto"/>
            </w:tcBorders>
            <w:shd w:val="clear" w:color="auto" w:fill="auto"/>
            <w:vAlign w:val="center"/>
            <w:hideMark/>
          </w:tcPr>
          <w:p w14:paraId="14160973" w14:textId="77777777" w:rsidR="00681844" w:rsidRPr="00681844" w:rsidRDefault="00681844" w:rsidP="00681844">
            <w:pPr>
              <w:jc w:val="center"/>
              <w:rPr>
                <w:rFonts w:ascii="Arial Narrow" w:eastAsia="Times New Roman" w:hAnsi="Arial Narrow" w:cs="Calibri"/>
                <w:b/>
                <w:bCs/>
                <w:color w:val="000000"/>
                <w:sz w:val="22"/>
                <w:szCs w:val="22"/>
              </w:rPr>
            </w:pPr>
            <w:r w:rsidRPr="00681844">
              <w:rPr>
                <w:rFonts w:ascii="Arial Narrow" w:eastAsia="Times New Roman" w:hAnsi="Arial Narrow" w:cs="Calibri"/>
                <w:b/>
                <w:bCs/>
                <w:color w:val="000000"/>
                <w:sz w:val="22"/>
                <w:szCs w:val="22"/>
              </w:rPr>
              <w:t xml:space="preserve"> </w:t>
            </w:r>
          </w:p>
        </w:tc>
      </w:tr>
    </w:tbl>
    <w:p w14:paraId="416B58E5" w14:textId="77777777" w:rsidR="007354B0" w:rsidRDefault="007354B0" w:rsidP="00EE2D22">
      <w:pPr>
        <w:pStyle w:val="Default"/>
        <w:ind w:left="1134" w:hanging="1134"/>
        <w:jc w:val="both"/>
        <w:rPr>
          <w:sz w:val="23"/>
          <w:szCs w:val="23"/>
          <w:lang w:val="es-CR"/>
        </w:rPr>
      </w:pPr>
    </w:p>
    <w:p w14:paraId="62839D30" w14:textId="1393EA35" w:rsidR="00D64D52" w:rsidRDefault="00D64D52" w:rsidP="00D64D52">
      <w:pPr>
        <w:pStyle w:val="Default"/>
        <w:ind w:left="1134" w:hanging="1134"/>
        <w:jc w:val="both"/>
        <w:rPr>
          <w:rFonts w:eastAsia="Arial"/>
          <w:b/>
          <w:sz w:val="22"/>
          <w:szCs w:val="22"/>
        </w:rPr>
      </w:pPr>
      <w:r w:rsidRPr="00F02F9D">
        <w:rPr>
          <w:rFonts w:eastAsia="Arial"/>
          <w:b/>
          <w:sz w:val="22"/>
          <w:szCs w:val="22"/>
        </w:rPr>
        <w:t>Política Contable</w:t>
      </w:r>
    </w:p>
    <w:p w14:paraId="25B66D16" w14:textId="77777777" w:rsidR="00D64D52" w:rsidRPr="00681844" w:rsidRDefault="00D64D52" w:rsidP="00EE2D22">
      <w:pPr>
        <w:pStyle w:val="Default"/>
        <w:ind w:left="1134" w:hanging="1134"/>
        <w:jc w:val="both"/>
        <w:rPr>
          <w:sz w:val="23"/>
          <w:szCs w:val="23"/>
          <w:lang w:val="es-CR"/>
        </w:rPr>
      </w:pPr>
    </w:p>
    <w:p w14:paraId="093FB6B4" w14:textId="5C541557" w:rsidR="00681844" w:rsidRDefault="00681844" w:rsidP="00681844">
      <w:pPr>
        <w:pStyle w:val="Default"/>
        <w:ind w:left="1134" w:hanging="1134"/>
        <w:jc w:val="both"/>
        <w:rPr>
          <w:sz w:val="23"/>
          <w:szCs w:val="23"/>
          <w:lang w:val="es-CR"/>
        </w:rPr>
      </w:pPr>
      <w:r>
        <w:rPr>
          <w:sz w:val="23"/>
          <w:szCs w:val="23"/>
          <w:lang w:val="es-CR"/>
        </w:rPr>
        <w:t>6.2.0.01</w:t>
      </w:r>
      <w:r>
        <w:rPr>
          <w:sz w:val="23"/>
          <w:szCs w:val="23"/>
          <w:lang w:val="es-CR"/>
        </w:rPr>
        <w:tab/>
      </w:r>
      <w:r w:rsidRPr="00681844">
        <w:rPr>
          <w:sz w:val="23"/>
          <w:szCs w:val="23"/>
          <w:lang w:val="es-CR"/>
        </w:rPr>
        <w:t xml:space="preserve">La finalidad de los EEFF es, fundamentalmente, suministrar información acerca de la situación financiera, resultados, y flujos de efectivo de una entidad, a efectos de que los usuarios de los mismos puedan tomar decisiones y constituir un medio para la rendición de cuentas de la entidad respecto de los recursos que le han sido confiados. Dichos </w:t>
      </w:r>
      <w:r>
        <w:rPr>
          <w:sz w:val="23"/>
          <w:szCs w:val="23"/>
          <w:lang w:val="es-CR"/>
        </w:rPr>
        <w:t>e</w:t>
      </w:r>
      <w:r w:rsidRPr="00681844">
        <w:rPr>
          <w:sz w:val="23"/>
          <w:szCs w:val="23"/>
          <w:lang w:val="es-CR"/>
        </w:rPr>
        <w:t>stados deberán suministrar, como mínimo, la siguiente información:</w:t>
      </w:r>
    </w:p>
    <w:p w14:paraId="12130D9B" w14:textId="77777777" w:rsidR="00681844" w:rsidRPr="00681844" w:rsidRDefault="00681844" w:rsidP="00681844">
      <w:pPr>
        <w:pStyle w:val="Default"/>
        <w:ind w:left="1134" w:hanging="1134"/>
        <w:jc w:val="both"/>
        <w:rPr>
          <w:sz w:val="23"/>
          <w:szCs w:val="23"/>
          <w:lang w:val="es-CR"/>
        </w:rPr>
      </w:pPr>
    </w:p>
    <w:p w14:paraId="6C50D08F" w14:textId="0A4E5637" w:rsidR="00681844" w:rsidRPr="00681844" w:rsidRDefault="00681844">
      <w:pPr>
        <w:pStyle w:val="Default"/>
        <w:numPr>
          <w:ilvl w:val="0"/>
          <w:numId w:val="313"/>
        </w:numPr>
        <w:spacing w:after="20"/>
        <w:ind w:left="1418" w:hanging="284"/>
        <w:jc w:val="both"/>
        <w:rPr>
          <w:sz w:val="22"/>
          <w:szCs w:val="22"/>
          <w:lang w:val="es-CR"/>
        </w:rPr>
      </w:pPr>
      <w:r>
        <w:rPr>
          <w:sz w:val="22"/>
          <w:szCs w:val="22"/>
          <w:lang w:val="es-CR"/>
        </w:rPr>
        <w:t>S</w:t>
      </w:r>
      <w:r w:rsidRPr="00681844">
        <w:rPr>
          <w:sz w:val="22"/>
          <w:szCs w:val="22"/>
          <w:lang w:val="es-CR"/>
        </w:rPr>
        <w:t xml:space="preserve">obre las fuentes de financiación, asignación y uso de los recursos financieros; </w:t>
      </w:r>
    </w:p>
    <w:p w14:paraId="735DEE7D" w14:textId="5B8C3D48" w:rsidR="00681844" w:rsidRPr="00681844" w:rsidRDefault="00681844">
      <w:pPr>
        <w:pStyle w:val="Default"/>
        <w:numPr>
          <w:ilvl w:val="0"/>
          <w:numId w:val="313"/>
        </w:numPr>
        <w:spacing w:after="20"/>
        <w:ind w:left="1418" w:hanging="284"/>
        <w:jc w:val="both"/>
        <w:rPr>
          <w:sz w:val="22"/>
          <w:szCs w:val="22"/>
          <w:lang w:val="es-CR"/>
        </w:rPr>
      </w:pPr>
      <w:r>
        <w:rPr>
          <w:sz w:val="22"/>
          <w:szCs w:val="22"/>
          <w:lang w:val="es-CR"/>
        </w:rPr>
        <w:t>S</w:t>
      </w:r>
      <w:r w:rsidRPr="00681844">
        <w:rPr>
          <w:sz w:val="22"/>
          <w:szCs w:val="22"/>
          <w:lang w:val="es-CR"/>
        </w:rPr>
        <w:t xml:space="preserve">obre la forma en que la entidad ha financiado sus actividades y cubierto sus necesidades de efectivo; </w:t>
      </w:r>
    </w:p>
    <w:p w14:paraId="75932B04" w14:textId="224813C5" w:rsidR="00681844" w:rsidRPr="00681844" w:rsidRDefault="00681844">
      <w:pPr>
        <w:pStyle w:val="Default"/>
        <w:numPr>
          <w:ilvl w:val="0"/>
          <w:numId w:val="313"/>
        </w:numPr>
        <w:spacing w:after="20"/>
        <w:ind w:left="1418" w:hanging="284"/>
        <w:jc w:val="both"/>
        <w:rPr>
          <w:sz w:val="22"/>
          <w:szCs w:val="22"/>
          <w:lang w:val="es-CR"/>
        </w:rPr>
      </w:pPr>
      <w:r>
        <w:rPr>
          <w:sz w:val="22"/>
          <w:szCs w:val="22"/>
          <w:lang w:val="es-CR"/>
        </w:rPr>
        <w:t>Q</w:t>
      </w:r>
      <w:r w:rsidRPr="00681844">
        <w:rPr>
          <w:sz w:val="22"/>
          <w:szCs w:val="22"/>
          <w:lang w:val="es-CR"/>
        </w:rPr>
        <w:t xml:space="preserve">ue la información presentada permita evaluar la capacidad de la entidad para financiar sus actividades y cumplir con sus obligaciones; </w:t>
      </w:r>
    </w:p>
    <w:p w14:paraId="29E6312A" w14:textId="43549FA1" w:rsidR="00681844" w:rsidRPr="00681844" w:rsidRDefault="00681844">
      <w:pPr>
        <w:pStyle w:val="Default"/>
        <w:numPr>
          <w:ilvl w:val="0"/>
          <w:numId w:val="313"/>
        </w:numPr>
        <w:spacing w:after="20"/>
        <w:ind w:left="1418" w:hanging="284"/>
        <w:jc w:val="both"/>
        <w:rPr>
          <w:sz w:val="22"/>
          <w:szCs w:val="22"/>
          <w:lang w:val="es-CR"/>
        </w:rPr>
      </w:pPr>
      <w:r>
        <w:rPr>
          <w:sz w:val="22"/>
          <w:szCs w:val="22"/>
          <w:lang w:val="es-CR"/>
        </w:rPr>
        <w:t>S</w:t>
      </w:r>
      <w:r w:rsidRPr="00681844">
        <w:rPr>
          <w:sz w:val="22"/>
          <w:szCs w:val="22"/>
          <w:lang w:val="es-CR"/>
        </w:rPr>
        <w:t xml:space="preserve">obre la condición financiera de la entidad y sus variaciones; e </w:t>
      </w:r>
    </w:p>
    <w:p w14:paraId="7EF8E3B5" w14:textId="12CAE5DA" w:rsidR="00681844" w:rsidRPr="00681844" w:rsidRDefault="00681844">
      <w:pPr>
        <w:pStyle w:val="Default"/>
        <w:numPr>
          <w:ilvl w:val="0"/>
          <w:numId w:val="313"/>
        </w:numPr>
        <w:ind w:left="1418" w:hanging="284"/>
        <w:jc w:val="both"/>
        <w:rPr>
          <w:sz w:val="22"/>
          <w:szCs w:val="22"/>
          <w:lang w:val="es-CR"/>
        </w:rPr>
      </w:pPr>
      <w:r>
        <w:rPr>
          <w:sz w:val="22"/>
          <w:szCs w:val="22"/>
          <w:lang w:val="es-CR"/>
        </w:rPr>
        <w:t>I</w:t>
      </w:r>
      <w:r w:rsidRPr="00681844">
        <w:rPr>
          <w:sz w:val="22"/>
          <w:szCs w:val="22"/>
          <w:lang w:val="es-CR"/>
        </w:rPr>
        <w:t xml:space="preserve">nformación agregada que sea útil para evaluar el rendimiento de la entidad en función de sus costos de servicios, eficiencia y logros. </w:t>
      </w:r>
    </w:p>
    <w:p w14:paraId="3F76EB3A" w14:textId="77777777" w:rsidR="007354B0" w:rsidRDefault="007354B0" w:rsidP="00EE2D22">
      <w:pPr>
        <w:pStyle w:val="Default"/>
        <w:ind w:left="1134" w:hanging="1134"/>
        <w:jc w:val="both"/>
        <w:rPr>
          <w:sz w:val="23"/>
          <w:szCs w:val="23"/>
          <w:lang w:val="es-CR"/>
        </w:rPr>
      </w:pPr>
    </w:p>
    <w:p w14:paraId="6320797F" w14:textId="77777777" w:rsidR="00D64D52" w:rsidRPr="00681844" w:rsidRDefault="00D64D52" w:rsidP="00EE2D22">
      <w:pPr>
        <w:pStyle w:val="Default"/>
        <w:ind w:left="1134" w:hanging="1134"/>
        <w:jc w:val="both"/>
        <w:rPr>
          <w:sz w:val="23"/>
          <w:szCs w:val="23"/>
          <w:lang w:val="es-CR"/>
        </w:rPr>
      </w:pPr>
    </w:p>
    <w:p w14:paraId="19484239" w14:textId="77777777" w:rsidR="007354B0" w:rsidRPr="00681844" w:rsidRDefault="007354B0" w:rsidP="00EE2D22">
      <w:pPr>
        <w:pStyle w:val="Default"/>
        <w:ind w:left="1134" w:hanging="1134"/>
        <w:jc w:val="both"/>
        <w:rPr>
          <w:sz w:val="23"/>
          <w:szCs w:val="23"/>
          <w:lang w:val="es-CR"/>
        </w:rPr>
      </w:pPr>
    </w:p>
    <w:tbl>
      <w:tblPr>
        <w:tblW w:w="8950" w:type="dxa"/>
        <w:tblLook w:val="04A0" w:firstRow="1" w:lastRow="0" w:firstColumn="1" w:lastColumn="0" w:noHBand="0" w:noVBand="1"/>
      </w:tblPr>
      <w:tblGrid>
        <w:gridCol w:w="416"/>
        <w:gridCol w:w="567"/>
        <w:gridCol w:w="425"/>
        <w:gridCol w:w="3544"/>
        <w:gridCol w:w="2126"/>
        <w:gridCol w:w="1872"/>
      </w:tblGrid>
      <w:tr w:rsidR="005B6A92" w:rsidRPr="005B6A92" w14:paraId="651B63DA" w14:textId="77777777" w:rsidTr="00D64D52">
        <w:trPr>
          <w:trHeight w:val="300"/>
        </w:trPr>
        <w:tc>
          <w:tcPr>
            <w:tcW w:w="140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64F8892" w14:textId="77777777" w:rsidR="005B6A92" w:rsidRPr="005B6A92" w:rsidRDefault="005B6A92" w:rsidP="005B6A92">
            <w:pPr>
              <w:jc w:val="center"/>
              <w:rPr>
                <w:rFonts w:ascii="Arial Narrow" w:eastAsia="Times New Roman" w:hAnsi="Arial Narrow" w:cs="Calibri"/>
                <w:b/>
                <w:bCs/>
                <w:color w:val="FFFFFF"/>
                <w:sz w:val="22"/>
                <w:szCs w:val="22"/>
              </w:rPr>
            </w:pPr>
            <w:r w:rsidRPr="005B6A92">
              <w:rPr>
                <w:rFonts w:ascii="Arial Narrow" w:eastAsia="Times New Roman" w:hAnsi="Arial Narrow" w:cs="Calibri"/>
                <w:b/>
                <w:bCs/>
                <w:color w:val="FFFFFF"/>
                <w:sz w:val="22"/>
                <w:szCs w:val="22"/>
              </w:rPr>
              <w:t>Norma / Política</w:t>
            </w:r>
          </w:p>
        </w:tc>
        <w:tc>
          <w:tcPr>
            <w:tcW w:w="3544" w:type="dxa"/>
            <w:vMerge w:val="restart"/>
            <w:tcBorders>
              <w:top w:val="single" w:sz="8" w:space="0" w:color="auto"/>
              <w:left w:val="single" w:sz="8" w:space="0" w:color="auto"/>
              <w:bottom w:val="nil"/>
              <w:right w:val="single" w:sz="8" w:space="0" w:color="auto"/>
            </w:tcBorders>
            <w:shd w:val="clear" w:color="000000" w:fill="203764"/>
            <w:vAlign w:val="center"/>
            <w:hideMark/>
          </w:tcPr>
          <w:p w14:paraId="24371445" w14:textId="77777777" w:rsidR="005B6A92" w:rsidRPr="005B6A92" w:rsidRDefault="005B6A92" w:rsidP="005B6A92">
            <w:pPr>
              <w:jc w:val="center"/>
              <w:rPr>
                <w:rFonts w:ascii="Arial Narrow" w:eastAsia="Times New Roman" w:hAnsi="Arial Narrow" w:cs="Calibri"/>
                <w:b/>
                <w:bCs/>
                <w:color w:val="FFFFFF"/>
                <w:sz w:val="22"/>
                <w:szCs w:val="22"/>
              </w:rPr>
            </w:pPr>
            <w:r w:rsidRPr="005B6A92">
              <w:rPr>
                <w:rFonts w:ascii="Arial Narrow" w:eastAsia="Times New Roman" w:hAnsi="Arial Narrow" w:cs="Calibri"/>
                <w:b/>
                <w:bCs/>
                <w:color w:val="FFFFFF"/>
                <w:sz w:val="22"/>
                <w:szCs w:val="22"/>
              </w:rPr>
              <w:t>Concepto</w:t>
            </w:r>
          </w:p>
        </w:tc>
        <w:tc>
          <w:tcPr>
            <w:tcW w:w="3998" w:type="dxa"/>
            <w:gridSpan w:val="2"/>
            <w:tcBorders>
              <w:top w:val="single" w:sz="8" w:space="0" w:color="auto"/>
              <w:left w:val="nil"/>
              <w:bottom w:val="single" w:sz="8" w:space="0" w:color="auto"/>
              <w:right w:val="single" w:sz="8" w:space="0" w:color="000000"/>
            </w:tcBorders>
            <w:shd w:val="clear" w:color="000000" w:fill="203764"/>
            <w:vAlign w:val="center"/>
            <w:hideMark/>
          </w:tcPr>
          <w:p w14:paraId="70115CA0" w14:textId="77777777" w:rsidR="005B6A92" w:rsidRPr="005B6A92" w:rsidRDefault="005B6A92" w:rsidP="005B6A92">
            <w:pPr>
              <w:jc w:val="center"/>
              <w:rPr>
                <w:rFonts w:ascii="Arial Narrow" w:eastAsia="Times New Roman" w:hAnsi="Arial Narrow" w:cs="Calibri"/>
                <w:b/>
                <w:bCs/>
                <w:color w:val="FFFFFF"/>
                <w:sz w:val="22"/>
                <w:szCs w:val="22"/>
              </w:rPr>
            </w:pPr>
            <w:r w:rsidRPr="005B6A92">
              <w:rPr>
                <w:rFonts w:ascii="Arial Narrow" w:eastAsia="Times New Roman" w:hAnsi="Arial Narrow" w:cs="Calibri"/>
                <w:b/>
                <w:bCs/>
                <w:color w:val="FFFFFF"/>
                <w:sz w:val="22"/>
                <w:szCs w:val="22"/>
              </w:rPr>
              <w:t>Referencia</w:t>
            </w:r>
          </w:p>
        </w:tc>
      </w:tr>
      <w:tr w:rsidR="005B6A92" w:rsidRPr="006E5442" w14:paraId="300A6F99" w14:textId="77777777" w:rsidTr="00D64D52">
        <w:trPr>
          <w:trHeight w:val="850"/>
        </w:trPr>
        <w:tc>
          <w:tcPr>
            <w:tcW w:w="1408" w:type="dxa"/>
            <w:gridSpan w:val="3"/>
            <w:vMerge/>
            <w:tcBorders>
              <w:top w:val="single" w:sz="8" w:space="0" w:color="auto"/>
              <w:left w:val="single" w:sz="8" w:space="0" w:color="auto"/>
              <w:bottom w:val="nil"/>
              <w:right w:val="single" w:sz="8" w:space="0" w:color="000000"/>
            </w:tcBorders>
            <w:vAlign w:val="center"/>
            <w:hideMark/>
          </w:tcPr>
          <w:p w14:paraId="66D29A9A" w14:textId="77777777" w:rsidR="005B6A92" w:rsidRPr="005B6A92" w:rsidRDefault="005B6A92" w:rsidP="005B6A92">
            <w:pPr>
              <w:rPr>
                <w:rFonts w:ascii="Arial Narrow" w:eastAsia="Times New Roman" w:hAnsi="Arial Narrow" w:cs="Calibri"/>
                <w:b/>
                <w:bCs/>
                <w:color w:val="FFFFFF"/>
                <w:sz w:val="22"/>
                <w:szCs w:val="22"/>
              </w:rPr>
            </w:pPr>
          </w:p>
        </w:tc>
        <w:tc>
          <w:tcPr>
            <w:tcW w:w="3544" w:type="dxa"/>
            <w:vMerge/>
            <w:tcBorders>
              <w:top w:val="single" w:sz="8" w:space="0" w:color="auto"/>
              <w:left w:val="single" w:sz="8" w:space="0" w:color="auto"/>
              <w:bottom w:val="nil"/>
              <w:right w:val="single" w:sz="8" w:space="0" w:color="auto"/>
            </w:tcBorders>
            <w:vAlign w:val="center"/>
            <w:hideMark/>
          </w:tcPr>
          <w:p w14:paraId="3882022D" w14:textId="77777777" w:rsidR="005B6A92" w:rsidRPr="005B6A92" w:rsidRDefault="005B6A92" w:rsidP="005B6A92">
            <w:pPr>
              <w:rPr>
                <w:rFonts w:ascii="Arial Narrow" w:eastAsia="Times New Roman" w:hAnsi="Arial Narrow" w:cs="Calibri"/>
                <w:b/>
                <w:bCs/>
                <w:color w:val="FFFFFF"/>
                <w:sz w:val="22"/>
                <w:szCs w:val="22"/>
              </w:rPr>
            </w:pPr>
          </w:p>
        </w:tc>
        <w:tc>
          <w:tcPr>
            <w:tcW w:w="2126" w:type="dxa"/>
            <w:tcBorders>
              <w:top w:val="nil"/>
              <w:left w:val="nil"/>
              <w:bottom w:val="nil"/>
              <w:right w:val="single" w:sz="8" w:space="0" w:color="auto"/>
            </w:tcBorders>
            <w:shd w:val="clear" w:color="000000" w:fill="203764"/>
            <w:vAlign w:val="center"/>
            <w:hideMark/>
          </w:tcPr>
          <w:p w14:paraId="6E9A5854" w14:textId="77777777" w:rsidR="005B6A92" w:rsidRPr="005B6A92" w:rsidRDefault="005B6A92" w:rsidP="005B6A92">
            <w:pPr>
              <w:jc w:val="center"/>
              <w:rPr>
                <w:rFonts w:ascii="Arial Narrow" w:eastAsia="Times New Roman" w:hAnsi="Arial Narrow" w:cs="Calibri"/>
                <w:b/>
                <w:bCs/>
                <w:color w:val="FFFFFF"/>
                <w:sz w:val="22"/>
                <w:szCs w:val="22"/>
              </w:rPr>
            </w:pPr>
            <w:r w:rsidRPr="005B6A92">
              <w:rPr>
                <w:rFonts w:ascii="Arial Narrow" w:eastAsia="Times New Roman" w:hAnsi="Arial Narrow" w:cs="Calibri"/>
                <w:b/>
                <w:bCs/>
                <w:color w:val="FFFFFF"/>
                <w:sz w:val="22"/>
                <w:szCs w:val="22"/>
              </w:rPr>
              <w:t>Norma</w:t>
            </w:r>
          </w:p>
        </w:tc>
        <w:tc>
          <w:tcPr>
            <w:tcW w:w="1867" w:type="dxa"/>
            <w:tcBorders>
              <w:top w:val="nil"/>
              <w:left w:val="nil"/>
              <w:bottom w:val="nil"/>
              <w:right w:val="single" w:sz="8" w:space="0" w:color="auto"/>
            </w:tcBorders>
            <w:shd w:val="clear" w:color="000000" w:fill="203764"/>
            <w:vAlign w:val="center"/>
            <w:hideMark/>
          </w:tcPr>
          <w:p w14:paraId="323B8281" w14:textId="77777777" w:rsidR="005B6A92" w:rsidRPr="005B6A92" w:rsidRDefault="005B6A92" w:rsidP="005B6A92">
            <w:pPr>
              <w:jc w:val="center"/>
              <w:rPr>
                <w:rFonts w:ascii="Arial Narrow" w:eastAsia="Times New Roman" w:hAnsi="Arial Narrow" w:cs="Calibri"/>
                <w:b/>
                <w:bCs/>
                <w:color w:val="FFFFFF"/>
                <w:sz w:val="22"/>
                <w:szCs w:val="22"/>
                <w:lang w:val="es-CR"/>
              </w:rPr>
            </w:pPr>
            <w:r w:rsidRPr="005B6A92">
              <w:rPr>
                <w:rFonts w:ascii="Arial Narrow" w:eastAsia="Times New Roman" w:hAnsi="Arial Narrow" w:cs="Calibri"/>
                <w:b/>
                <w:bCs/>
                <w:color w:val="FFFFFF"/>
                <w:sz w:val="22"/>
                <w:szCs w:val="22"/>
                <w:lang w:val="es-CR"/>
              </w:rPr>
              <w:t>Normativa técnica y disposiciones adicionales</w:t>
            </w:r>
          </w:p>
        </w:tc>
      </w:tr>
      <w:tr w:rsidR="005B6A92" w:rsidRPr="005B6A92" w14:paraId="10D1BE5F" w14:textId="77777777" w:rsidTr="00D64D52">
        <w:trPr>
          <w:trHeight w:val="85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68072B" w14:textId="77777777" w:rsidR="005B6A92" w:rsidRPr="005B6A92" w:rsidRDefault="005B6A92" w:rsidP="005B6A92">
            <w:pPr>
              <w:jc w:val="center"/>
              <w:rPr>
                <w:rFonts w:ascii="Arial Narrow" w:eastAsia="Times New Roman" w:hAnsi="Arial Narrow" w:cs="Calibri"/>
                <w:b/>
                <w:bCs/>
                <w:color w:val="000000"/>
                <w:sz w:val="22"/>
                <w:szCs w:val="22"/>
              </w:rPr>
            </w:pPr>
            <w:r w:rsidRPr="005B6A92">
              <w:rPr>
                <w:rFonts w:ascii="Arial Narrow" w:eastAsia="Times New Roman" w:hAnsi="Arial Narrow" w:cs="Calibri"/>
                <w:b/>
                <w:bCs/>
                <w:color w:val="000000"/>
                <w:sz w:val="22"/>
                <w:szCs w:val="22"/>
              </w:rPr>
              <w:t>6</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00E7B426" w14:textId="77777777" w:rsidR="005B6A92" w:rsidRPr="005B6A92" w:rsidRDefault="005B6A92" w:rsidP="005B6A92">
            <w:pPr>
              <w:jc w:val="center"/>
              <w:rPr>
                <w:rFonts w:ascii="Arial Narrow" w:eastAsia="Times New Roman" w:hAnsi="Arial Narrow" w:cs="Calibri"/>
                <w:b/>
                <w:bCs/>
                <w:color w:val="000000"/>
                <w:sz w:val="22"/>
                <w:szCs w:val="22"/>
              </w:rPr>
            </w:pPr>
            <w:r w:rsidRPr="005B6A92">
              <w:rPr>
                <w:rFonts w:ascii="Arial Narrow" w:eastAsia="Times New Roman" w:hAnsi="Arial Narrow" w:cs="Calibri"/>
                <w:b/>
                <w:bCs/>
                <w:color w:val="000000"/>
                <w:sz w:val="22"/>
                <w:szCs w:val="22"/>
              </w:rPr>
              <w:t>3</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53F6B9C5" w14:textId="77777777" w:rsidR="005B6A92" w:rsidRPr="005B6A92" w:rsidRDefault="005B6A92" w:rsidP="005B6A92">
            <w:pPr>
              <w:jc w:val="center"/>
              <w:rPr>
                <w:rFonts w:ascii="Arial Narrow" w:eastAsia="Times New Roman" w:hAnsi="Arial Narrow" w:cs="Calibri"/>
                <w:b/>
                <w:bCs/>
                <w:color w:val="000000"/>
                <w:sz w:val="22"/>
                <w:szCs w:val="22"/>
              </w:rPr>
            </w:pPr>
            <w:r w:rsidRPr="005B6A92">
              <w:rPr>
                <w:rFonts w:ascii="Arial Narrow" w:eastAsia="Times New Roman" w:hAnsi="Arial Narrow" w:cs="Calibri"/>
                <w:b/>
                <w:bCs/>
                <w:color w:val="000000"/>
                <w:sz w:val="22"/>
                <w:szCs w:val="22"/>
              </w:rPr>
              <w:t xml:space="preserve"> </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14:paraId="3B419B9A" w14:textId="77777777" w:rsidR="005B6A92" w:rsidRPr="005B6A92" w:rsidRDefault="005B6A92" w:rsidP="005B6A92">
            <w:pPr>
              <w:jc w:val="both"/>
              <w:rPr>
                <w:rFonts w:ascii="Arial Narrow" w:eastAsia="Times New Roman" w:hAnsi="Arial Narrow" w:cs="Calibri"/>
                <w:b/>
                <w:bCs/>
                <w:color w:val="000000"/>
                <w:sz w:val="22"/>
                <w:szCs w:val="22"/>
              </w:rPr>
            </w:pPr>
            <w:r w:rsidRPr="005B6A92">
              <w:rPr>
                <w:rFonts w:ascii="Arial Narrow" w:eastAsia="Times New Roman" w:hAnsi="Arial Narrow" w:cs="Calibri"/>
                <w:b/>
                <w:bCs/>
                <w:color w:val="000000"/>
                <w:sz w:val="22"/>
                <w:szCs w:val="22"/>
              </w:rPr>
              <w:t>EEFF</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7E034DF0" w14:textId="77777777" w:rsidR="00D64D52" w:rsidRDefault="005B6A92" w:rsidP="005B6A92">
            <w:pPr>
              <w:jc w:val="both"/>
              <w:rPr>
                <w:rFonts w:ascii="Arial Narrow" w:eastAsia="Times New Roman" w:hAnsi="Arial Narrow" w:cs="Calibri"/>
                <w:b/>
                <w:bCs/>
                <w:color w:val="000000"/>
                <w:sz w:val="22"/>
                <w:szCs w:val="22"/>
                <w:lang w:val="es-CR"/>
              </w:rPr>
            </w:pPr>
            <w:r w:rsidRPr="005B6A92">
              <w:rPr>
                <w:rFonts w:ascii="Arial Narrow" w:eastAsia="Times New Roman" w:hAnsi="Arial Narrow" w:cs="Calibri"/>
                <w:b/>
                <w:bCs/>
                <w:color w:val="000000"/>
                <w:sz w:val="22"/>
                <w:szCs w:val="22"/>
                <w:lang w:val="es-CR"/>
              </w:rPr>
              <w:t>NICSP N° 1,</w:t>
            </w:r>
          </w:p>
          <w:p w14:paraId="34253285" w14:textId="77777777" w:rsidR="00D64D52" w:rsidRDefault="005B6A92" w:rsidP="005B6A92">
            <w:pPr>
              <w:jc w:val="both"/>
              <w:rPr>
                <w:rFonts w:ascii="Arial Narrow" w:eastAsia="Times New Roman" w:hAnsi="Arial Narrow" w:cs="Calibri"/>
                <w:b/>
                <w:bCs/>
                <w:color w:val="000000"/>
                <w:sz w:val="22"/>
                <w:szCs w:val="22"/>
                <w:lang w:val="es-CR"/>
              </w:rPr>
            </w:pPr>
            <w:r w:rsidRPr="005B6A92">
              <w:rPr>
                <w:rFonts w:ascii="Arial Narrow" w:eastAsia="Times New Roman" w:hAnsi="Arial Narrow" w:cs="Calibri"/>
                <w:b/>
                <w:bCs/>
                <w:color w:val="000000"/>
                <w:sz w:val="22"/>
                <w:szCs w:val="22"/>
                <w:lang w:val="es-CR"/>
              </w:rPr>
              <w:t xml:space="preserve">Párrafo 21. </w:t>
            </w:r>
          </w:p>
          <w:p w14:paraId="5EFB2A80" w14:textId="0721BB90" w:rsidR="005B6A92" w:rsidRPr="005B6A92" w:rsidRDefault="005B6A92" w:rsidP="005B6A92">
            <w:pPr>
              <w:jc w:val="both"/>
              <w:rPr>
                <w:rFonts w:ascii="Arial Narrow" w:eastAsia="Times New Roman" w:hAnsi="Arial Narrow" w:cs="Calibri"/>
                <w:b/>
                <w:bCs/>
                <w:color w:val="000000"/>
                <w:sz w:val="22"/>
                <w:szCs w:val="22"/>
                <w:lang w:val="es-CR"/>
              </w:rPr>
            </w:pPr>
            <w:r w:rsidRPr="005B6A92">
              <w:rPr>
                <w:rFonts w:ascii="Arial Narrow" w:eastAsia="Times New Roman" w:hAnsi="Arial Narrow" w:cs="Calibri"/>
                <w:b/>
                <w:bCs/>
                <w:color w:val="000000"/>
                <w:sz w:val="22"/>
                <w:szCs w:val="22"/>
                <w:lang w:val="es-CR"/>
              </w:rPr>
              <w:t>NICSP N° 34 y 35.</w:t>
            </w:r>
          </w:p>
        </w:tc>
        <w:tc>
          <w:tcPr>
            <w:tcW w:w="1867" w:type="dxa"/>
            <w:tcBorders>
              <w:top w:val="single" w:sz="8" w:space="0" w:color="auto"/>
              <w:left w:val="nil"/>
              <w:bottom w:val="single" w:sz="8" w:space="0" w:color="auto"/>
              <w:right w:val="single" w:sz="8" w:space="0" w:color="auto"/>
            </w:tcBorders>
            <w:shd w:val="clear" w:color="auto" w:fill="auto"/>
            <w:vAlign w:val="center"/>
            <w:hideMark/>
          </w:tcPr>
          <w:p w14:paraId="241F0DE4" w14:textId="4353BF34" w:rsidR="00074322" w:rsidRPr="00074322" w:rsidRDefault="00074322" w:rsidP="005B6A92">
            <w:pPr>
              <w:jc w:val="center"/>
              <w:rPr>
                <w:rFonts w:ascii="Arial Narrow" w:eastAsia="Times New Roman" w:hAnsi="Arial Narrow" w:cs="Calibri"/>
                <w:b/>
                <w:bCs/>
                <w:color w:val="000000"/>
                <w:sz w:val="22"/>
                <w:szCs w:val="22"/>
                <w:lang w:val="es-CR"/>
              </w:rPr>
            </w:pPr>
            <w:r w:rsidRPr="00074322">
              <w:rPr>
                <w:rFonts w:ascii="Arial" w:hAnsi="Arial"/>
                <w:b/>
                <w:bCs/>
                <w:szCs w:val="18"/>
                <w:lang w:val="es-CR"/>
              </w:rPr>
              <w:t>R-CO-8-2007</w:t>
            </w:r>
            <w:r w:rsidRPr="00074322">
              <w:rPr>
                <w:rFonts w:ascii="Arial" w:hAnsi="Arial"/>
                <w:szCs w:val="18"/>
                <w:lang w:val="es-CR"/>
              </w:rPr>
              <w:t>.</w:t>
            </w:r>
            <w:r>
              <w:rPr>
                <w:rFonts w:ascii="Arial" w:hAnsi="Arial"/>
                <w:szCs w:val="18"/>
                <w:lang w:val="es-CR"/>
              </w:rPr>
              <w:t xml:space="preserve"> </w:t>
            </w:r>
            <w:r w:rsidRPr="00074322">
              <w:rPr>
                <w:rFonts w:ascii="Arial" w:hAnsi="Arial"/>
                <w:b/>
                <w:bCs/>
                <w:szCs w:val="18"/>
                <w:lang w:val="es-CR"/>
              </w:rPr>
              <w:t>Contralora General de la República</w:t>
            </w:r>
          </w:p>
          <w:p w14:paraId="649A5C3F" w14:textId="2D976589" w:rsidR="005B6A92" w:rsidRPr="005B6A92" w:rsidRDefault="005B6A92" w:rsidP="005B6A92">
            <w:pPr>
              <w:jc w:val="center"/>
              <w:rPr>
                <w:rFonts w:ascii="Arial Narrow" w:eastAsia="Times New Roman" w:hAnsi="Arial Narrow" w:cs="Calibri"/>
                <w:b/>
                <w:bCs/>
                <w:color w:val="000000"/>
                <w:sz w:val="22"/>
                <w:szCs w:val="22"/>
              </w:rPr>
            </w:pPr>
            <w:r w:rsidRPr="005B6A92">
              <w:rPr>
                <w:rFonts w:ascii="Arial Narrow" w:eastAsia="Times New Roman" w:hAnsi="Arial Narrow" w:cs="Calibri"/>
                <w:b/>
                <w:bCs/>
                <w:color w:val="000000"/>
                <w:sz w:val="22"/>
                <w:szCs w:val="22"/>
              </w:rPr>
              <w:t>DGCN</w:t>
            </w:r>
            <w:r w:rsidRPr="005B6A92">
              <w:rPr>
                <w:rFonts w:ascii="Arial Narrow" w:eastAsia="Times New Roman" w:hAnsi="Arial Narrow" w:cs="Calibri"/>
                <w:b/>
                <w:bCs/>
                <w:color w:val="000000"/>
                <w:sz w:val="22"/>
                <w:szCs w:val="22"/>
              </w:rPr>
              <w:br/>
              <w:t>MCC</w:t>
            </w:r>
          </w:p>
        </w:tc>
      </w:tr>
    </w:tbl>
    <w:p w14:paraId="0DB6A3BC" w14:textId="77777777" w:rsidR="007354B0" w:rsidRDefault="007354B0" w:rsidP="00EE2D22">
      <w:pPr>
        <w:pStyle w:val="Default"/>
        <w:ind w:left="1134" w:hanging="1134"/>
        <w:jc w:val="both"/>
        <w:rPr>
          <w:sz w:val="23"/>
          <w:szCs w:val="23"/>
          <w:lang w:val="es-CR"/>
        </w:rPr>
      </w:pPr>
    </w:p>
    <w:p w14:paraId="5E4A7956" w14:textId="77777777" w:rsidR="00D64D52" w:rsidRDefault="00D64D52" w:rsidP="00D64D52">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77785464" w14:textId="77777777" w:rsidR="00D64D52" w:rsidRDefault="00D64D52" w:rsidP="00EE2D22">
      <w:pPr>
        <w:pStyle w:val="Default"/>
        <w:ind w:left="1134" w:hanging="1134"/>
        <w:jc w:val="both"/>
        <w:rPr>
          <w:sz w:val="23"/>
          <w:szCs w:val="23"/>
          <w:lang w:val="es-CR"/>
        </w:rPr>
      </w:pPr>
    </w:p>
    <w:p w14:paraId="40C277AB" w14:textId="7CEE3BDF" w:rsidR="005B6A92" w:rsidRDefault="005B6A92" w:rsidP="005B6A92">
      <w:pPr>
        <w:pStyle w:val="Default"/>
        <w:ind w:left="1134" w:hanging="1134"/>
        <w:rPr>
          <w:sz w:val="22"/>
          <w:szCs w:val="22"/>
          <w:lang w:val="es-CR"/>
        </w:rPr>
      </w:pPr>
      <w:r>
        <w:rPr>
          <w:sz w:val="22"/>
          <w:szCs w:val="22"/>
          <w:lang w:val="es-CR"/>
        </w:rPr>
        <w:t>6.3.0.01</w:t>
      </w:r>
      <w:r>
        <w:rPr>
          <w:sz w:val="22"/>
          <w:szCs w:val="22"/>
          <w:lang w:val="es-CR"/>
        </w:rPr>
        <w:tab/>
      </w:r>
      <w:r w:rsidRPr="005B6A92">
        <w:rPr>
          <w:sz w:val="22"/>
          <w:szCs w:val="22"/>
          <w:lang w:val="es-CR"/>
        </w:rPr>
        <w:t>Los EEFF están integrados por</w:t>
      </w:r>
      <w:r>
        <w:rPr>
          <w:sz w:val="22"/>
          <w:szCs w:val="22"/>
          <w:lang w:val="es-CR"/>
        </w:rPr>
        <w:t xml:space="preserve"> (</w:t>
      </w:r>
      <w:r w:rsidRPr="005B6A92">
        <w:rPr>
          <w:sz w:val="20"/>
          <w:szCs w:val="20"/>
          <w:lang w:val="es-CR"/>
        </w:rPr>
        <w:t>Se considera importante aclarar que la base para la preparación de los EEFF es la Balanza de comprobación</w:t>
      </w:r>
      <w:r>
        <w:rPr>
          <w:sz w:val="20"/>
          <w:szCs w:val="20"/>
          <w:lang w:val="es-CR"/>
        </w:rPr>
        <w:t>)</w:t>
      </w:r>
      <w:r w:rsidRPr="005B6A92">
        <w:rPr>
          <w:sz w:val="22"/>
          <w:szCs w:val="22"/>
          <w:lang w:val="es-CR"/>
        </w:rPr>
        <w:t>:</w:t>
      </w:r>
    </w:p>
    <w:p w14:paraId="6B1F107A" w14:textId="77777777" w:rsidR="005B6A92" w:rsidRPr="005B6A92" w:rsidRDefault="005B6A92" w:rsidP="005B6A92">
      <w:pPr>
        <w:pStyle w:val="Default"/>
        <w:ind w:left="1134" w:hanging="1134"/>
        <w:rPr>
          <w:sz w:val="20"/>
          <w:szCs w:val="20"/>
          <w:lang w:val="es-CR"/>
        </w:rPr>
      </w:pPr>
    </w:p>
    <w:p w14:paraId="7F75BA0D" w14:textId="25A291F3" w:rsidR="005B6A92" w:rsidRPr="005B6A92" w:rsidRDefault="005B6A92">
      <w:pPr>
        <w:pStyle w:val="Default"/>
        <w:numPr>
          <w:ilvl w:val="0"/>
          <w:numId w:val="314"/>
        </w:numPr>
        <w:spacing w:after="120"/>
        <w:ind w:left="1418" w:hanging="284"/>
        <w:rPr>
          <w:sz w:val="22"/>
          <w:szCs w:val="22"/>
          <w:lang w:val="es-CR"/>
        </w:rPr>
      </w:pPr>
      <w:r w:rsidRPr="005B6A92">
        <w:rPr>
          <w:i/>
          <w:iCs/>
          <w:sz w:val="22"/>
          <w:szCs w:val="22"/>
          <w:lang w:val="es-CR"/>
        </w:rPr>
        <w:lastRenderedPageBreak/>
        <w:t xml:space="preserve">Estado de Situación Financiera o Balance General (ESF), </w:t>
      </w:r>
    </w:p>
    <w:p w14:paraId="626F8A3E" w14:textId="500B2E95" w:rsidR="005B6A92" w:rsidRPr="005B6A92" w:rsidRDefault="005B6A92">
      <w:pPr>
        <w:pStyle w:val="Default"/>
        <w:numPr>
          <w:ilvl w:val="0"/>
          <w:numId w:val="314"/>
        </w:numPr>
        <w:spacing w:after="120"/>
        <w:ind w:left="1418" w:hanging="284"/>
        <w:rPr>
          <w:sz w:val="22"/>
          <w:szCs w:val="22"/>
          <w:lang w:val="es-CR"/>
        </w:rPr>
      </w:pPr>
      <w:r w:rsidRPr="005B6A92">
        <w:rPr>
          <w:i/>
          <w:iCs/>
          <w:sz w:val="22"/>
          <w:szCs w:val="22"/>
          <w:lang w:val="es-CR"/>
        </w:rPr>
        <w:t xml:space="preserve">Estado de Rendimiento Financiero (ERF), </w:t>
      </w:r>
    </w:p>
    <w:p w14:paraId="0D3C1AD9" w14:textId="6D18456A" w:rsidR="005B6A92" w:rsidRPr="005B6A92" w:rsidRDefault="005B6A92">
      <w:pPr>
        <w:pStyle w:val="Default"/>
        <w:numPr>
          <w:ilvl w:val="0"/>
          <w:numId w:val="314"/>
        </w:numPr>
        <w:spacing w:after="120"/>
        <w:ind w:left="1418" w:hanging="284"/>
        <w:rPr>
          <w:sz w:val="22"/>
          <w:szCs w:val="22"/>
          <w:lang w:val="es-CR"/>
        </w:rPr>
      </w:pPr>
      <w:r w:rsidRPr="005B6A92">
        <w:rPr>
          <w:i/>
          <w:iCs/>
          <w:sz w:val="22"/>
          <w:szCs w:val="22"/>
          <w:lang w:val="es-CR"/>
        </w:rPr>
        <w:t xml:space="preserve">Estado de Cambios en el Patrimonio (ECP), </w:t>
      </w:r>
    </w:p>
    <w:p w14:paraId="55DEA0F1" w14:textId="7D87FDC9" w:rsidR="005B6A92" w:rsidRPr="005B6A92" w:rsidRDefault="005B6A92">
      <w:pPr>
        <w:pStyle w:val="Default"/>
        <w:numPr>
          <w:ilvl w:val="0"/>
          <w:numId w:val="314"/>
        </w:numPr>
        <w:spacing w:after="120"/>
        <w:ind w:left="1418" w:hanging="284"/>
        <w:rPr>
          <w:sz w:val="22"/>
          <w:szCs w:val="22"/>
          <w:lang w:val="es-CR"/>
        </w:rPr>
      </w:pPr>
      <w:r w:rsidRPr="005B6A92">
        <w:rPr>
          <w:i/>
          <w:iCs/>
          <w:sz w:val="22"/>
          <w:szCs w:val="22"/>
          <w:lang w:val="es-CR"/>
        </w:rPr>
        <w:t xml:space="preserve">Estado de Flujos de Efectivo (EFE), </w:t>
      </w:r>
    </w:p>
    <w:p w14:paraId="58D11A89" w14:textId="3F557687" w:rsidR="005B6A92" w:rsidRPr="005B6A92" w:rsidRDefault="005B6A92">
      <w:pPr>
        <w:pStyle w:val="Default"/>
        <w:numPr>
          <w:ilvl w:val="0"/>
          <w:numId w:val="314"/>
        </w:numPr>
        <w:spacing w:after="120"/>
        <w:ind w:left="1418" w:hanging="284"/>
        <w:rPr>
          <w:sz w:val="22"/>
          <w:szCs w:val="22"/>
          <w:lang w:val="es-CR"/>
        </w:rPr>
      </w:pPr>
      <w:r w:rsidRPr="005B6A92">
        <w:rPr>
          <w:i/>
          <w:iCs/>
          <w:sz w:val="22"/>
          <w:szCs w:val="22"/>
          <w:lang w:val="es-CR"/>
        </w:rPr>
        <w:t xml:space="preserve">Notas a los EEFF (Notas), y </w:t>
      </w:r>
    </w:p>
    <w:p w14:paraId="68F3E391" w14:textId="3CFFF737" w:rsidR="005B6A92" w:rsidRPr="005B6A92" w:rsidRDefault="005B6A92">
      <w:pPr>
        <w:pStyle w:val="Default"/>
        <w:numPr>
          <w:ilvl w:val="0"/>
          <w:numId w:val="314"/>
        </w:numPr>
        <w:ind w:left="1418" w:hanging="284"/>
        <w:rPr>
          <w:sz w:val="22"/>
          <w:szCs w:val="22"/>
        </w:rPr>
      </w:pPr>
      <w:r w:rsidRPr="005B6A92">
        <w:rPr>
          <w:i/>
          <w:iCs/>
          <w:sz w:val="22"/>
          <w:szCs w:val="22"/>
        </w:rPr>
        <w:t>EEFF Consolidados</w:t>
      </w:r>
      <w:r>
        <w:rPr>
          <w:i/>
          <w:iCs/>
          <w:sz w:val="22"/>
          <w:szCs w:val="22"/>
        </w:rPr>
        <w:t xml:space="preserve"> </w:t>
      </w:r>
      <w:r w:rsidRPr="005B6A92">
        <w:rPr>
          <w:i/>
          <w:iCs/>
          <w:sz w:val="22"/>
          <w:szCs w:val="22"/>
        </w:rPr>
        <w:t xml:space="preserve">(EFC). </w:t>
      </w:r>
    </w:p>
    <w:p w14:paraId="43A1D32A" w14:textId="77777777" w:rsidR="005B6A92" w:rsidRPr="005B6A92" w:rsidRDefault="005B6A92" w:rsidP="00EE2D22">
      <w:pPr>
        <w:pStyle w:val="Default"/>
        <w:ind w:left="1134" w:hanging="1134"/>
        <w:jc w:val="both"/>
        <w:rPr>
          <w:sz w:val="22"/>
          <w:szCs w:val="22"/>
          <w:lang w:val="es-CR"/>
        </w:rPr>
      </w:pPr>
    </w:p>
    <w:p w14:paraId="484D2D45" w14:textId="77777777" w:rsidR="005B6A92" w:rsidRDefault="005B6A92" w:rsidP="00EE2D22">
      <w:pPr>
        <w:pStyle w:val="Default"/>
        <w:ind w:left="1134" w:hanging="1134"/>
        <w:jc w:val="both"/>
        <w:rPr>
          <w:sz w:val="23"/>
          <w:szCs w:val="23"/>
          <w:lang w:val="es-CR"/>
        </w:rPr>
      </w:pPr>
    </w:p>
    <w:p w14:paraId="4A03EEC4" w14:textId="77777777" w:rsidR="005B6A92" w:rsidRDefault="005B6A92" w:rsidP="00EE2D22">
      <w:pPr>
        <w:pStyle w:val="Default"/>
        <w:ind w:left="1134" w:hanging="1134"/>
        <w:jc w:val="both"/>
        <w:rPr>
          <w:sz w:val="23"/>
          <w:szCs w:val="23"/>
          <w:lang w:val="es-CR"/>
        </w:rPr>
      </w:pPr>
    </w:p>
    <w:tbl>
      <w:tblPr>
        <w:tblW w:w="9374" w:type="dxa"/>
        <w:tblLook w:val="04A0" w:firstRow="1" w:lastRow="0" w:firstColumn="1" w:lastColumn="0" w:noHBand="0" w:noVBand="1"/>
      </w:tblPr>
      <w:tblGrid>
        <w:gridCol w:w="416"/>
        <w:gridCol w:w="708"/>
        <w:gridCol w:w="567"/>
        <w:gridCol w:w="3690"/>
        <w:gridCol w:w="2121"/>
        <w:gridCol w:w="1872"/>
      </w:tblGrid>
      <w:tr w:rsidR="00074322" w:rsidRPr="00074322" w14:paraId="267B9BBF" w14:textId="77777777" w:rsidTr="00294621">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0C5BF8C" w14:textId="77777777" w:rsidR="00074322" w:rsidRPr="00074322" w:rsidRDefault="00074322" w:rsidP="00074322">
            <w:pPr>
              <w:jc w:val="center"/>
              <w:rPr>
                <w:rFonts w:ascii="Arial Narrow" w:eastAsia="Times New Roman" w:hAnsi="Arial Narrow" w:cs="Calibri"/>
                <w:b/>
                <w:bCs/>
                <w:color w:val="FFFFFF"/>
                <w:sz w:val="22"/>
                <w:szCs w:val="22"/>
              </w:rPr>
            </w:pPr>
            <w:r w:rsidRPr="00074322">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D521695" w14:textId="77777777" w:rsidR="00074322" w:rsidRPr="00074322" w:rsidRDefault="00074322" w:rsidP="00074322">
            <w:pPr>
              <w:jc w:val="center"/>
              <w:rPr>
                <w:rFonts w:ascii="Arial Narrow" w:eastAsia="Times New Roman" w:hAnsi="Arial Narrow" w:cs="Calibri"/>
                <w:b/>
                <w:bCs/>
                <w:color w:val="FFFFFF"/>
                <w:sz w:val="22"/>
                <w:szCs w:val="22"/>
              </w:rPr>
            </w:pPr>
            <w:r w:rsidRPr="00074322">
              <w:rPr>
                <w:rFonts w:ascii="Arial Narrow" w:eastAsia="Times New Roman" w:hAnsi="Arial Narrow" w:cs="Calibri"/>
                <w:b/>
                <w:bCs/>
                <w:color w:val="FFFFFF"/>
                <w:sz w:val="22"/>
                <w:szCs w:val="22"/>
              </w:rPr>
              <w:t>Concepto</w:t>
            </w:r>
          </w:p>
        </w:tc>
        <w:tc>
          <w:tcPr>
            <w:tcW w:w="3993" w:type="dxa"/>
            <w:gridSpan w:val="2"/>
            <w:tcBorders>
              <w:top w:val="single" w:sz="8" w:space="0" w:color="auto"/>
              <w:left w:val="nil"/>
              <w:bottom w:val="single" w:sz="8" w:space="0" w:color="auto"/>
              <w:right w:val="single" w:sz="8" w:space="0" w:color="000000"/>
            </w:tcBorders>
            <w:shd w:val="clear" w:color="000000" w:fill="203764"/>
            <w:vAlign w:val="center"/>
            <w:hideMark/>
          </w:tcPr>
          <w:p w14:paraId="213918DD" w14:textId="77777777" w:rsidR="00074322" w:rsidRPr="00074322" w:rsidRDefault="00074322" w:rsidP="00074322">
            <w:pPr>
              <w:jc w:val="center"/>
              <w:rPr>
                <w:rFonts w:ascii="Arial Narrow" w:eastAsia="Times New Roman" w:hAnsi="Arial Narrow" w:cs="Calibri"/>
                <w:b/>
                <w:bCs/>
                <w:color w:val="FFFFFF"/>
                <w:sz w:val="22"/>
                <w:szCs w:val="22"/>
              </w:rPr>
            </w:pPr>
            <w:r w:rsidRPr="00074322">
              <w:rPr>
                <w:rFonts w:ascii="Arial Narrow" w:eastAsia="Times New Roman" w:hAnsi="Arial Narrow" w:cs="Calibri"/>
                <w:b/>
                <w:bCs/>
                <w:color w:val="FFFFFF"/>
                <w:sz w:val="22"/>
                <w:szCs w:val="22"/>
              </w:rPr>
              <w:t>Referencia</w:t>
            </w:r>
          </w:p>
        </w:tc>
      </w:tr>
      <w:tr w:rsidR="00074322" w:rsidRPr="006E5442" w14:paraId="2A94D5F8" w14:textId="77777777" w:rsidTr="00294621">
        <w:trPr>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6F12B079" w14:textId="77777777" w:rsidR="00074322" w:rsidRPr="00074322" w:rsidRDefault="00074322" w:rsidP="00074322">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3B08F3BD" w14:textId="77777777" w:rsidR="00074322" w:rsidRPr="00074322" w:rsidRDefault="00074322" w:rsidP="00074322">
            <w:pPr>
              <w:rPr>
                <w:rFonts w:ascii="Arial Narrow" w:eastAsia="Times New Roman" w:hAnsi="Arial Narrow" w:cs="Calibri"/>
                <w:b/>
                <w:bCs/>
                <w:color w:val="FFFFFF"/>
                <w:sz w:val="22"/>
                <w:szCs w:val="22"/>
              </w:rPr>
            </w:pPr>
          </w:p>
        </w:tc>
        <w:tc>
          <w:tcPr>
            <w:tcW w:w="2121" w:type="dxa"/>
            <w:tcBorders>
              <w:top w:val="nil"/>
              <w:left w:val="nil"/>
              <w:bottom w:val="nil"/>
              <w:right w:val="single" w:sz="8" w:space="0" w:color="auto"/>
            </w:tcBorders>
            <w:shd w:val="clear" w:color="000000" w:fill="203764"/>
            <w:vAlign w:val="center"/>
            <w:hideMark/>
          </w:tcPr>
          <w:p w14:paraId="617B7525" w14:textId="77777777" w:rsidR="00074322" w:rsidRPr="00074322" w:rsidRDefault="00074322" w:rsidP="00074322">
            <w:pPr>
              <w:jc w:val="center"/>
              <w:rPr>
                <w:rFonts w:ascii="Arial Narrow" w:eastAsia="Times New Roman" w:hAnsi="Arial Narrow" w:cs="Calibri"/>
                <w:b/>
                <w:bCs/>
                <w:color w:val="FFFFFF"/>
                <w:sz w:val="22"/>
                <w:szCs w:val="22"/>
              </w:rPr>
            </w:pPr>
            <w:r w:rsidRPr="00074322">
              <w:rPr>
                <w:rFonts w:ascii="Arial Narrow" w:eastAsia="Times New Roman" w:hAnsi="Arial Narrow" w:cs="Calibri"/>
                <w:b/>
                <w:bCs/>
                <w:color w:val="FFFFFF"/>
                <w:sz w:val="22"/>
                <w:szCs w:val="22"/>
              </w:rPr>
              <w:t>Norma</w:t>
            </w:r>
          </w:p>
        </w:tc>
        <w:tc>
          <w:tcPr>
            <w:tcW w:w="1872" w:type="dxa"/>
            <w:tcBorders>
              <w:top w:val="nil"/>
              <w:left w:val="nil"/>
              <w:bottom w:val="nil"/>
              <w:right w:val="single" w:sz="8" w:space="0" w:color="auto"/>
            </w:tcBorders>
            <w:shd w:val="clear" w:color="000000" w:fill="203764"/>
            <w:vAlign w:val="center"/>
            <w:hideMark/>
          </w:tcPr>
          <w:p w14:paraId="584A0453" w14:textId="77777777" w:rsidR="00074322" w:rsidRPr="00074322" w:rsidRDefault="00074322" w:rsidP="00074322">
            <w:pPr>
              <w:jc w:val="center"/>
              <w:rPr>
                <w:rFonts w:ascii="Arial Narrow" w:eastAsia="Times New Roman" w:hAnsi="Arial Narrow" w:cs="Calibri"/>
                <w:b/>
                <w:bCs/>
                <w:color w:val="FFFFFF"/>
                <w:sz w:val="22"/>
                <w:szCs w:val="22"/>
                <w:lang w:val="es-CR"/>
              </w:rPr>
            </w:pPr>
            <w:r w:rsidRPr="00074322">
              <w:rPr>
                <w:rFonts w:ascii="Arial Narrow" w:eastAsia="Times New Roman" w:hAnsi="Arial Narrow" w:cs="Calibri"/>
                <w:b/>
                <w:bCs/>
                <w:color w:val="FFFFFF"/>
                <w:sz w:val="22"/>
                <w:szCs w:val="22"/>
                <w:lang w:val="es-CR"/>
              </w:rPr>
              <w:t>Normativa técnica y disposiciones adicionales</w:t>
            </w:r>
          </w:p>
        </w:tc>
      </w:tr>
      <w:tr w:rsidR="00074322" w:rsidRPr="006E5442" w14:paraId="2DA3B687" w14:textId="77777777" w:rsidTr="00294621">
        <w:trPr>
          <w:trHeight w:val="141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E16190" w14:textId="77777777" w:rsidR="00074322" w:rsidRPr="00074322" w:rsidRDefault="00074322" w:rsidP="00D64D52">
            <w:pPr>
              <w:ind w:left="-122" w:right="-111"/>
              <w:jc w:val="center"/>
              <w:rPr>
                <w:rFonts w:ascii="Arial Narrow" w:eastAsia="Times New Roman" w:hAnsi="Arial Narrow" w:cs="Calibri"/>
                <w:b/>
                <w:bCs/>
                <w:color w:val="000000"/>
                <w:sz w:val="22"/>
                <w:szCs w:val="22"/>
              </w:rPr>
            </w:pPr>
            <w:r w:rsidRPr="00074322">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3689C51" w14:textId="77777777" w:rsidR="00074322" w:rsidRPr="00074322" w:rsidRDefault="00074322" w:rsidP="00074322">
            <w:pPr>
              <w:jc w:val="center"/>
              <w:rPr>
                <w:rFonts w:ascii="Arial Narrow" w:eastAsia="Times New Roman" w:hAnsi="Arial Narrow" w:cs="Calibri"/>
                <w:b/>
                <w:bCs/>
                <w:color w:val="000000"/>
                <w:sz w:val="22"/>
                <w:szCs w:val="22"/>
              </w:rPr>
            </w:pPr>
            <w:r w:rsidRPr="00074322">
              <w:rPr>
                <w:rFonts w:ascii="Arial Narrow" w:eastAsia="Times New Roman" w:hAnsi="Arial Narrow" w:cs="Calibri"/>
                <w:b/>
                <w:bCs/>
                <w:color w:val="000000"/>
                <w:sz w:val="22"/>
                <w:szCs w:val="22"/>
              </w:rPr>
              <w:t>4</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7F41A271" w14:textId="77777777" w:rsidR="00074322" w:rsidRPr="00074322" w:rsidRDefault="00074322" w:rsidP="00074322">
            <w:pPr>
              <w:jc w:val="center"/>
              <w:rPr>
                <w:rFonts w:ascii="Arial Narrow" w:eastAsia="Times New Roman" w:hAnsi="Arial Narrow" w:cs="Calibri"/>
                <w:b/>
                <w:bCs/>
                <w:color w:val="000000"/>
                <w:sz w:val="22"/>
                <w:szCs w:val="22"/>
              </w:rPr>
            </w:pPr>
            <w:r w:rsidRPr="00074322">
              <w:rPr>
                <w:rFonts w:ascii="Arial Narrow" w:eastAsia="Times New Roman" w:hAnsi="Arial Narrow" w:cs="Calibri"/>
                <w:b/>
                <w:bCs/>
                <w:color w:val="000000"/>
                <w:sz w:val="22"/>
                <w:szCs w:val="22"/>
              </w:rPr>
              <w:t xml:space="preserve">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1401D326" w14:textId="77777777" w:rsidR="00074322" w:rsidRPr="00074322" w:rsidRDefault="00074322" w:rsidP="00074322">
            <w:pPr>
              <w:jc w:val="both"/>
              <w:rPr>
                <w:rFonts w:ascii="Arial Narrow" w:eastAsia="Times New Roman" w:hAnsi="Arial Narrow" w:cs="Calibri"/>
                <w:b/>
                <w:bCs/>
                <w:color w:val="000000"/>
                <w:sz w:val="22"/>
                <w:szCs w:val="22"/>
              </w:rPr>
            </w:pPr>
            <w:r w:rsidRPr="00074322">
              <w:rPr>
                <w:rFonts w:ascii="Arial Narrow" w:eastAsia="Times New Roman" w:hAnsi="Arial Narrow" w:cs="Calibri"/>
                <w:b/>
                <w:bCs/>
                <w:color w:val="000000"/>
                <w:sz w:val="22"/>
                <w:szCs w:val="22"/>
              </w:rPr>
              <w:t>Estados Complementarios</w:t>
            </w:r>
          </w:p>
        </w:tc>
        <w:tc>
          <w:tcPr>
            <w:tcW w:w="2121" w:type="dxa"/>
            <w:tcBorders>
              <w:top w:val="single" w:sz="8" w:space="0" w:color="auto"/>
              <w:left w:val="nil"/>
              <w:bottom w:val="single" w:sz="8" w:space="0" w:color="auto"/>
              <w:right w:val="single" w:sz="8" w:space="0" w:color="auto"/>
            </w:tcBorders>
            <w:shd w:val="clear" w:color="auto" w:fill="auto"/>
            <w:vAlign w:val="center"/>
            <w:hideMark/>
          </w:tcPr>
          <w:p w14:paraId="63CC54AE" w14:textId="77777777" w:rsidR="00D64D52" w:rsidRDefault="00074322" w:rsidP="00074322">
            <w:pPr>
              <w:jc w:val="both"/>
              <w:rPr>
                <w:rFonts w:ascii="Arial Narrow" w:eastAsia="Times New Roman" w:hAnsi="Arial Narrow" w:cs="Calibri"/>
                <w:b/>
                <w:bCs/>
                <w:color w:val="000000"/>
                <w:sz w:val="22"/>
                <w:szCs w:val="22"/>
                <w:lang w:val="es-CR"/>
              </w:rPr>
            </w:pPr>
            <w:r w:rsidRPr="00074322">
              <w:rPr>
                <w:rFonts w:ascii="Arial Narrow" w:eastAsia="Times New Roman" w:hAnsi="Arial Narrow" w:cs="Calibri"/>
                <w:b/>
                <w:bCs/>
                <w:color w:val="000000"/>
                <w:sz w:val="22"/>
                <w:szCs w:val="22"/>
                <w:lang w:val="es-CR"/>
              </w:rPr>
              <w:t>NICSP N° 16,</w:t>
            </w:r>
          </w:p>
          <w:p w14:paraId="30CE499B" w14:textId="77777777" w:rsidR="00D64D52" w:rsidRDefault="00074322" w:rsidP="00074322">
            <w:pPr>
              <w:jc w:val="both"/>
              <w:rPr>
                <w:rFonts w:ascii="Arial Narrow" w:eastAsia="Times New Roman" w:hAnsi="Arial Narrow" w:cs="Calibri"/>
                <w:b/>
                <w:bCs/>
                <w:color w:val="000000"/>
                <w:sz w:val="22"/>
                <w:szCs w:val="22"/>
                <w:lang w:val="es-CR"/>
              </w:rPr>
            </w:pPr>
            <w:r w:rsidRPr="00074322">
              <w:rPr>
                <w:rFonts w:ascii="Arial Narrow" w:eastAsia="Times New Roman" w:hAnsi="Arial Narrow" w:cs="Calibri"/>
                <w:b/>
                <w:bCs/>
                <w:color w:val="000000"/>
                <w:sz w:val="22"/>
                <w:szCs w:val="22"/>
                <w:lang w:val="es-CR"/>
              </w:rPr>
              <w:t>NICSP N° 17,</w:t>
            </w:r>
          </w:p>
          <w:p w14:paraId="4E980F3D" w14:textId="77777777" w:rsidR="00D64D52" w:rsidRDefault="00074322" w:rsidP="00074322">
            <w:pPr>
              <w:jc w:val="both"/>
              <w:rPr>
                <w:rFonts w:ascii="Arial Narrow" w:eastAsia="Times New Roman" w:hAnsi="Arial Narrow" w:cs="Calibri"/>
                <w:b/>
                <w:bCs/>
                <w:color w:val="000000"/>
                <w:sz w:val="22"/>
                <w:szCs w:val="22"/>
                <w:lang w:val="es-CR"/>
              </w:rPr>
            </w:pPr>
            <w:r w:rsidRPr="00074322">
              <w:rPr>
                <w:rFonts w:ascii="Arial Narrow" w:eastAsia="Times New Roman" w:hAnsi="Arial Narrow" w:cs="Calibri"/>
                <w:b/>
                <w:bCs/>
                <w:color w:val="000000"/>
                <w:sz w:val="22"/>
                <w:szCs w:val="22"/>
                <w:lang w:val="es-CR"/>
              </w:rPr>
              <w:t>NICSP N° 18,</w:t>
            </w:r>
          </w:p>
          <w:p w14:paraId="250E034A" w14:textId="66D9DA49" w:rsidR="00074322" w:rsidRPr="00074322" w:rsidRDefault="00074322" w:rsidP="00074322">
            <w:pPr>
              <w:jc w:val="both"/>
              <w:rPr>
                <w:rFonts w:ascii="Arial Narrow" w:eastAsia="Times New Roman" w:hAnsi="Arial Narrow" w:cs="Calibri"/>
                <w:b/>
                <w:bCs/>
                <w:color w:val="000000"/>
                <w:sz w:val="22"/>
                <w:szCs w:val="22"/>
                <w:lang w:val="es-CR"/>
              </w:rPr>
            </w:pPr>
            <w:r w:rsidRPr="00074322">
              <w:rPr>
                <w:rFonts w:ascii="Arial Narrow" w:eastAsia="Times New Roman" w:hAnsi="Arial Narrow" w:cs="Calibri"/>
                <w:b/>
                <w:bCs/>
                <w:color w:val="000000"/>
                <w:sz w:val="22"/>
                <w:szCs w:val="22"/>
                <w:lang w:val="es-CR"/>
              </w:rPr>
              <w:t>NICSP N° 24</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25A10759" w14:textId="77777777" w:rsidR="00074322" w:rsidRPr="00074322" w:rsidRDefault="00074322" w:rsidP="00074322">
            <w:pPr>
              <w:jc w:val="center"/>
              <w:rPr>
                <w:rFonts w:ascii="Arial Narrow" w:eastAsia="Times New Roman" w:hAnsi="Arial Narrow" w:cs="Calibri"/>
                <w:b/>
                <w:bCs/>
                <w:color w:val="000000"/>
                <w:sz w:val="22"/>
                <w:szCs w:val="22"/>
                <w:lang w:val="es-CR"/>
              </w:rPr>
            </w:pPr>
            <w:r w:rsidRPr="00074322">
              <w:rPr>
                <w:rFonts w:ascii="Arial Narrow" w:eastAsia="Times New Roman" w:hAnsi="Arial Narrow" w:cs="Calibri"/>
                <w:b/>
                <w:bCs/>
                <w:color w:val="000000"/>
                <w:sz w:val="22"/>
                <w:szCs w:val="22"/>
                <w:lang w:val="es-CR"/>
              </w:rPr>
              <w:t>R-CO-8-2007. Contralora General de la República</w:t>
            </w:r>
            <w:r w:rsidRPr="00074322">
              <w:rPr>
                <w:rFonts w:ascii="Arial Narrow" w:eastAsia="Times New Roman" w:hAnsi="Arial Narrow" w:cs="Calibri"/>
                <w:b/>
                <w:bCs/>
                <w:color w:val="000000"/>
                <w:sz w:val="22"/>
                <w:szCs w:val="22"/>
                <w:lang w:val="es-CR"/>
              </w:rPr>
              <w:br/>
              <w:t>DGCN</w:t>
            </w:r>
            <w:r w:rsidRPr="00074322">
              <w:rPr>
                <w:rFonts w:ascii="Arial Narrow" w:eastAsia="Times New Roman" w:hAnsi="Arial Narrow" w:cs="Calibri"/>
                <w:b/>
                <w:bCs/>
                <w:color w:val="000000"/>
                <w:sz w:val="22"/>
                <w:szCs w:val="22"/>
                <w:lang w:val="es-CR"/>
              </w:rPr>
              <w:br/>
              <w:t>MCC</w:t>
            </w:r>
          </w:p>
        </w:tc>
      </w:tr>
    </w:tbl>
    <w:p w14:paraId="518AA2FB" w14:textId="77777777" w:rsidR="005B6A92" w:rsidRDefault="005B6A92" w:rsidP="00EE2D22">
      <w:pPr>
        <w:pStyle w:val="Default"/>
        <w:ind w:left="1134" w:hanging="1134"/>
        <w:jc w:val="both"/>
        <w:rPr>
          <w:sz w:val="23"/>
          <w:szCs w:val="23"/>
          <w:lang w:val="es-CR"/>
        </w:rPr>
      </w:pPr>
    </w:p>
    <w:p w14:paraId="63ABAC4E" w14:textId="700846ED" w:rsidR="00294621" w:rsidRPr="0030399E" w:rsidRDefault="00294621" w:rsidP="00294621">
      <w:pPr>
        <w:pStyle w:val="Default"/>
        <w:ind w:left="1134" w:hanging="1134"/>
        <w:jc w:val="both"/>
        <w:rPr>
          <w:rFonts w:eastAsia="Arial"/>
          <w:b/>
          <w:sz w:val="22"/>
          <w:szCs w:val="22"/>
          <w:lang w:val="es-CR"/>
        </w:rPr>
      </w:pPr>
      <w:r w:rsidRPr="0030399E">
        <w:rPr>
          <w:rFonts w:eastAsia="Arial"/>
          <w:b/>
          <w:sz w:val="22"/>
          <w:szCs w:val="22"/>
          <w:lang w:val="es-CR"/>
        </w:rPr>
        <w:t>Política Contable</w:t>
      </w:r>
    </w:p>
    <w:p w14:paraId="27EDAA51" w14:textId="77777777" w:rsidR="00294621" w:rsidRDefault="00294621" w:rsidP="00EE2D22">
      <w:pPr>
        <w:pStyle w:val="Default"/>
        <w:ind w:left="1134" w:hanging="1134"/>
        <w:jc w:val="both"/>
        <w:rPr>
          <w:sz w:val="23"/>
          <w:szCs w:val="23"/>
          <w:lang w:val="es-CR"/>
        </w:rPr>
      </w:pPr>
    </w:p>
    <w:p w14:paraId="07883172" w14:textId="4EF1D516" w:rsidR="00074322" w:rsidRPr="00294621" w:rsidRDefault="00074322" w:rsidP="00074322">
      <w:pPr>
        <w:pStyle w:val="Default"/>
        <w:ind w:left="1134" w:hanging="1134"/>
        <w:jc w:val="both"/>
        <w:rPr>
          <w:sz w:val="22"/>
          <w:szCs w:val="22"/>
          <w:lang w:val="es-CR"/>
        </w:rPr>
      </w:pPr>
      <w:r w:rsidRPr="00294621">
        <w:rPr>
          <w:sz w:val="22"/>
          <w:szCs w:val="22"/>
          <w:lang w:val="es-CR"/>
        </w:rPr>
        <w:t>6.4.0.01</w:t>
      </w:r>
      <w:r w:rsidRPr="00294621">
        <w:rPr>
          <w:sz w:val="22"/>
          <w:szCs w:val="22"/>
          <w:lang w:val="es-CR"/>
        </w:rPr>
        <w:tab/>
        <w:t xml:space="preserve">Son los otros estados que complementan la información requerida por la IFPG. Dichos   </w:t>
      </w:r>
      <w:r w:rsidRPr="00294621">
        <w:rPr>
          <w:b/>
          <w:bCs/>
          <w:sz w:val="22"/>
          <w:szCs w:val="22"/>
          <w:lang w:val="es-CR"/>
        </w:rPr>
        <w:t xml:space="preserve">Estados Complementarios, </w:t>
      </w:r>
      <w:r w:rsidRPr="00294621">
        <w:rPr>
          <w:sz w:val="22"/>
          <w:szCs w:val="22"/>
          <w:lang w:val="es-CR"/>
        </w:rPr>
        <w:t xml:space="preserve">para el presente PGCN, son: </w:t>
      </w:r>
    </w:p>
    <w:p w14:paraId="3C99E62F" w14:textId="77777777" w:rsidR="00074322" w:rsidRPr="00294621" w:rsidRDefault="00074322" w:rsidP="00074322">
      <w:pPr>
        <w:pStyle w:val="Default"/>
        <w:ind w:left="1134" w:hanging="1134"/>
        <w:jc w:val="both"/>
        <w:rPr>
          <w:sz w:val="22"/>
          <w:szCs w:val="22"/>
          <w:lang w:val="es-CR"/>
        </w:rPr>
      </w:pPr>
    </w:p>
    <w:p w14:paraId="143B7542" w14:textId="77777777" w:rsidR="00074322" w:rsidRPr="00294621" w:rsidRDefault="00074322">
      <w:pPr>
        <w:pStyle w:val="Default"/>
        <w:numPr>
          <w:ilvl w:val="0"/>
          <w:numId w:val="315"/>
        </w:numPr>
        <w:spacing w:after="120"/>
        <w:ind w:left="1418" w:hanging="284"/>
        <w:jc w:val="both"/>
        <w:rPr>
          <w:sz w:val="22"/>
          <w:szCs w:val="22"/>
          <w:lang w:val="es-CR"/>
        </w:rPr>
      </w:pPr>
      <w:r w:rsidRPr="00294621">
        <w:rPr>
          <w:sz w:val="22"/>
          <w:szCs w:val="22"/>
          <w:lang w:val="es-CR"/>
        </w:rPr>
        <w:t xml:space="preserve">Estado de Ejecución Presupuestaria (EEP) </w:t>
      </w:r>
    </w:p>
    <w:p w14:paraId="685E5FE2" w14:textId="6CA86BC6" w:rsidR="00074322" w:rsidRPr="00294621" w:rsidRDefault="00074322">
      <w:pPr>
        <w:pStyle w:val="Default"/>
        <w:numPr>
          <w:ilvl w:val="0"/>
          <w:numId w:val="315"/>
        </w:numPr>
        <w:spacing w:after="120"/>
        <w:ind w:left="1418" w:hanging="284"/>
        <w:jc w:val="both"/>
        <w:rPr>
          <w:sz w:val="22"/>
          <w:szCs w:val="22"/>
          <w:lang w:val="es-CR"/>
        </w:rPr>
      </w:pPr>
      <w:r w:rsidRPr="00294621">
        <w:rPr>
          <w:sz w:val="22"/>
          <w:szCs w:val="22"/>
          <w:lang w:val="es-CR"/>
        </w:rPr>
        <w:t xml:space="preserve">Estado de Conciliación de Resultados Contable y Presupuestario. </w:t>
      </w:r>
    </w:p>
    <w:p w14:paraId="079149DB" w14:textId="77C1422B" w:rsidR="00074322" w:rsidRPr="00294621" w:rsidRDefault="00074322">
      <w:pPr>
        <w:pStyle w:val="Default"/>
        <w:numPr>
          <w:ilvl w:val="0"/>
          <w:numId w:val="315"/>
        </w:numPr>
        <w:spacing w:after="120"/>
        <w:ind w:left="1418" w:hanging="284"/>
        <w:jc w:val="both"/>
        <w:rPr>
          <w:sz w:val="22"/>
          <w:szCs w:val="22"/>
          <w:lang w:val="es-CR"/>
        </w:rPr>
      </w:pPr>
      <w:r w:rsidRPr="00294621">
        <w:rPr>
          <w:sz w:val="22"/>
          <w:szCs w:val="22"/>
          <w:lang w:val="es-CR"/>
        </w:rPr>
        <w:t xml:space="preserve">Estado de la Deuda Pública. </w:t>
      </w:r>
    </w:p>
    <w:p w14:paraId="6BCB077C" w14:textId="5DF7F309" w:rsidR="00074322" w:rsidRPr="00294621" w:rsidRDefault="00074322">
      <w:pPr>
        <w:pStyle w:val="Default"/>
        <w:numPr>
          <w:ilvl w:val="0"/>
          <w:numId w:val="315"/>
        </w:numPr>
        <w:spacing w:after="120"/>
        <w:ind w:left="1418" w:hanging="284"/>
        <w:jc w:val="both"/>
        <w:rPr>
          <w:sz w:val="22"/>
          <w:szCs w:val="22"/>
          <w:lang w:val="es-CR"/>
        </w:rPr>
      </w:pPr>
      <w:r w:rsidRPr="00294621">
        <w:rPr>
          <w:sz w:val="22"/>
          <w:szCs w:val="22"/>
          <w:lang w:val="es-CR"/>
        </w:rPr>
        <w:t xml:space="preserve">Estado de Información Financiera por Segmentos. </w:t>
      </w:r>
    </w:p>
    <w:p w14:paraId="248030E9" w14:textId="2315B484" w:rsidR="00074322" w:rsidRPr="00294621" w:rsidRDefault="00074322">
      <w:pPr>
        <w:pStyle w:val="Default"/>
        <w:numPr>
          <w:ilvl w:val="0"/>
          <w:numId w:val="315"/>
        </w:numPr>
        <w:spacing w:after="120"/>
        <w:ind w:left="1418" w:hanging="284"/>
        <w:jc w:val="both"/>
        <w:rPr>
          <w:sz w:val="22"/>
          <w:szCs w:val="22"/>
          <w:lang w:val="es-CR"/>
        </w:rPr>
      </w:pPr>
      <w:r w:rsidRPr="00294621">
        <w:rPr>
          <w:sz w:val="22"/>
          <w:szCs w:val="22"/>
          <w:lang w:val="es-CR"/>
        </w:rPr>
        <w:t xml:space="preserve">Estado de Situación y Evolución de Bienes (No Concesionados y Concesionados), </w:t>
      </w:r>
    </w:p>
    <w:p w14:paraId="630502A8" w14:textId="28AC9305" w:rsidR="00074322" w:rsidRPr="00294621" w:rsidRDefault="00074322">
      <w:pPr>
        <w:pStyle w:val="Default"/>
        <w:numPr>
          <w:ilvl w:val="0"/>
          <w:numId w:val="315"/>
        </w:numPr>
        <w:spacing w:after="20"/>
        <w:ind w:left="1418" w:hanging="284"/>
        <w:jc w:val="both"/>
        <w:rPr>
          <w:sz w:val="22"/>
          <w:szCs w:val="22"/>
          <w:lang w:val="es-CR"/>
        </w:rPr>
      </w:pPr>
      <w:r w:rsidRPr="00294621">
        <w:rPr>
          <w:sz w:val="22"/>
          <w:szCs w:val="22"/>
          <w:lang w:val="es-CR"/>
        </w:rPr>
        <w:t>Notas a los otros Estados de la IFPG</w:t>
      </w:r>
      <w:r w:rsidR="00294621">
        <w:rPr>
          <w:sz w:val="22"/>
          <w:szCs w:val="22"/>
          <w:lang w:val="es-CR"/>
        </w:rPr>
        <w:t>.</w:t>
      </w:r>
    </w:p>
    <w:p w14:paraId="388E58B2" w14:textId="77777777" w:rsidR="005B6A92" w:rsidRDefault="005B6A92" w:rsidP="00EE2D22">
      <w:pPr>
        <w:pStyle w:val="Default"/>
        <w:ind w:left="1134" w:hanging="1134"/>
        <w:jc w:val="both"/>
        <w:rPr>
          <w:sz w:val="23"/>
          <w:szCs w:val="23"/>
          <w:lang w:val="es-CR"/>
        </w:rPr>
      </w:pPr>
    </w:p>
    <w:p w14:paraId="770AF8EE" w14:textId="77777777" w:rsidR="00294621" w:rsidRDefault="00294621" w:rsidP="00EE2D22">
      <w:pPr>
        <w:pStyle w:val="Default"/>
        <w:ind w:left="1134" w:hanging="1134"/>
        <w:jc w:val="both"/>
        <w:rPr>
          <w:sz w:val="23"/>
          <w:szCs w:val="23"/>
          <w:lang w:val="es-CR"/>
        </w:rPr>
      </w:pPr>
    </w:p>
    <w:p w14:paraId="7C79F3C6" w14:textId="77777777" w:rsidR="005B6A92" w:rsidRDefault="005B6A92" w:rsidP="00EE2D22">
      <w:pPr>
        <w:pStyle w:val="Default"/>
        <w:ind w:left="1134" w:hanging="1134"/>
        <w:jc w:val="both"/>
        <w:rPr>
          <w:sz w:val="23"/>
          <w:szCs w:val="23"/>
          <w:lang w:val="es-CR"/>
        </w:rPr>
      </w:pPr>
    </w:p>
    <w:tbl>
      <w:tblPr>
        <w:tblW w:w="9346" w:type="dxa"/>
        <w:tblLook w:val="04A0" w:firstRow="1" w:lastRow="0" w:firstColumn="1" w:lastColumn="0" w:noHBand="0" w:noVBand="1"/>
      </w:tblPr>
      <w:tblGrid>
        <w:gridCol w:w="416"/>
        <w:gridCol w:w="708"/>
        <w:gridCol w:w="463"/>
        <w:gridCol w:w="7"/>
        <w:gridCol w:w="3674"/>
        <w:gridCol w:w="7"/>
        <w:gridCol w:w="2240"/>
        <w:gridCol w:w="7"/>
        <w:gridCol w:w="1824"/>
      </w:tblGrid>
      <w:tr w:rsidR="00594878" w:rsidRPr="00594878" w14:paraId="639E2CFE" w14:textId="77777777" w:rsidTr="00B758C6">
        <w:trPr>
          <w:trHeight w:val="300"/>
        </w:trPr>
        <w:tc>
          <w:tcPr>
            <w:tcW w:w="159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29E94B5" w14:textId="77777777" w:rsidR="00594878" w:rsidRPr="00594878" w:rsidRDefault="00594878" w:rsidP="00594878">
            <w:pPr>
              <w:jc w:val="center"/>
              <w:rPr>
                <w:rFonts w:ascii="Arial Narrow" w:eastAsia="Times New Roman" w:hAnsi="Arial Narrow" w:cs="Calibri"/>
                <w:b/>
                <w:bCs/>
                <w:color w:val="FFFFFF"/>
                <w:sz w:val="22"/>
                <w:szCs w:val="22"/>
              </w:rPr>
            </w:pPr>
            <w:r w:rsidRPr="00594878">
              <w:rPr>
                <w:rFonts w:ascii="Arial Narrow" w:eastAsia="Times New Roman" w:hAnsi="Arial Narrow" w:cs="Calibri"/>
                <w:b/>
                <w:bCs/>
                <w:color w:val="FFFFFF"/>
                <w:sz w:val="22"/>
                <w:szCs w:val="22"/>
              </w:rPr>
              <w:t>Norma / Política</w:t>
            </w:r>
          </w:p>
        </w:tc>
        <w:tc>
          <w:tcPr>
            <w:tcW w:w="368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8BBC096" w14:textId="77777777" w:rsidR="00594878" w:rsidRPr="00594878" w:rsidRDefault="00594878" w:rsidP="00594878">
            <w:pPr>
              <w:jc w:val="center"/>
              <w:rPr>
                <w:rFonts w:ascii="Arial Narrow" w:eastAsia="Times New Roman" w:hAnsi="Arial Narrow" w:cs="Calibri"/>
                <w:b/>
                <w:bCs/>
                <w:color w:val="FFFFFF"/>
                <w:sz w:val="22"/>
                <w:szCs w:val="22"/>
              </w:rPr>
            </w:pPr>
            <w:r w:rsidRPr="00594878">
              <w:rPr>
                <w:rFonts w:ascii="Arial Narrow" w:eastAsia="Times New Roman" w:hAnsi="Arial Narrow" w:cs="Calibri"/>
                <w:b/>
                <w:bCs/>
                <w:color w:val="FFFFFF"/>
                <w:sz w:val="22"/>
                <w:szCs w:val="22"/>
              </w:rPr>
              <w:t>Concepto</w:t>
            </w:r>
          </w:p>
        </w:tc>
        <w:tc>
          <w:tcPr>
            <w:tcW w:w="4071" w:type="dxa"/>
            <w:gridSpan w:val="3"/>
            <w:tcBorders>
              <w:top w:val="single" w:sz="8" w:space="0" w:color="auto"/>
              <w:left w:val="nil"/>
              <w:bottom w:val="single" w:sz="8" w:space="0" w:color="auto"/>
              <w:right w:val="single" w:sz="8" w:space="0" w:color="000000"/>
            </w:tcBorders>
            <w:shd w:val="clear" w:color="000000" w:fill="203764"/>
            <w:vAlign w:val="center"/>
            <w:hideMark/>
          </w:tcPr>
          <w:p w14:paraId="55D83CB7" w14:textId="77777777" w:rsidR="00594878" w:rsidRPr="00594878" w:rsidRDefault="00594878" w:rsidP="00594878">
            <w:pPr>
              <w:jc w:val="center"/>
              <w:rPr>
                <w:rFonts w:ascii="Arial Narrow" w:eastAsia="Times New Roman" w:hAnsi="Arial Narrow" w:cs="Calibri"/>
                <w:b/>
                <w:bCs/>
                <w:color w:val="FFFFFF"/>
                <w:sz w:val="22"/>
                <w:szCs w:val="22"/>
              </w:rPr>
            </w:pPr>
            <w:r w:rsidRPr="00594878">
              <w:rPr>
                <w:rFonts w:ascii="Arial Narrow" w:eastAsia="Times New Roman" w:hAnsi="Arial Narrow" w:cs="Calibri"/>
                <w:b/>
                <w:bCs/>
                <w:color w:val="FFFFFF"/>
                <w:sz w:val="22"/>
                <w:szCs w:val="22"/>
              </w:rPr>
              <w:t>Referencia</w:t>
            </w:r>
          </w:p>
        </w:tc>
      </w:tr>
      <w:tr w:rsidR="00594878" w:rsidRPr="006E5442" w14:paraId="20182D9D" w14:textId="77777777" w:rsidTr="00B758C6">
        <w:trPr>
          <w:trHeight w:val="850"/>
        </w:trPr>
        <w:tc>
          <w:tcPr>
            <w:tcW w:w="1594" w:type="dxa"/>
            <w:gridSpan w:val="4"/>
            <w:vMerge/>
            <w:tcBorders>
              <w:top w:val="single" w:sz="8" w:space="0" w:color="auto"/>
              <w:left w:val="single" w:sz="8" w:space="0" w:color="auto"/>
              <w:bottom w:val="nil"/>
              <w:right w:val="single" w:sz="8" w:space="0" w:color="000000"/>
            </w:tcBorders>
            <w:vAlign w:val="center"/>
            <w:hideMark/>
          </w:tcPr>
          <w:p w14:paraId="4630F76C" w14:textId="77777777" w:rsidR="00594878" w:rsidRPr="00594878" w:rsidRDefault="00594878" w:rsidP="00594878">
            <w:pPr>
              <w:rPr>
                <w:rFonts w:ascii="Arial Narrow" w:eastAsia="Times New Roman" w:hAnsi="Arial Narrow" w:cs="Calibri"/>
                <w:b/>
                <w:bCs/>
                <w:color w:val="FFFFFF"/>
                <w:sz w:val="22"/>
                <w:szCs w:val="22"/>
              </w:rPr>
            </w:pPr>
          </w:p>
        </w:tc>
        <w:tc>
          <w:tcPr>
            <w:tcW w:w="3681" w:type="dxa"/>
            <w:gridSpan w:val="2"/>
            <w:vMerge/>
            <w:tcBorders>
              <w:top w:val="single" w:sz="8" w:space="0" w:color="auto"/>
              <w:left w:val="single" w:sz="8" w:space="0" w:color="auto"/>
              <w:bottom w:val="nil"/>
              <w:right w:val="single" w:sz="8" w:space="0" w:color="auto"/>
            </w:tcBorders>
            <w:vAlign w:val="center"/>
            <w:hideMark/>
          </w:tcPr>
          <w:p w14:paraId="5F90BA55" w14:textId="77777777" w:rsidR="00594878" w:rsidRPr="00594878" w:rsidRDefault="00594878" w:rsidP="00594878">
            <w:pPr>
              <w:rPr>
                <w:rFonts w:ascii="Arial Narrow" w:eastAsia="Times New Roman" w:hAnsi="Arial Narrow" w:cs="Calibri"/>
                <w:b/>
                <w:bCs/>
                <w:color w:val="FFFFFF"/>
                <w:sz w:val="22"/>
                <w:szCs w:val="22"/>
              </w:rPr>
            </w:pPr>
          </w:p>
        </w:tc>
        <w:tc>
          <w:tcPr>
            <w:tcW w:w="2247" w:type="dxa"/>
            <w:gridSpan w:val="2"/>
            <w:tcBorders>
              <w:top w:val="nil"/>
              <w:left w:val="nil"/>
              <w:bottom w:val="nil"/>
              <w:right w:val="single" w:sz="8" w:space="0" w:color="auto"/>
            </w:tcBorders>
            <w:shd w:val="clear" w:color="000000" w:fill="203764"/>
            <w:vAlign w:val="center"/>
            <w:hideMark/>
          </w:tcPr>
          <w:p w14:paraId="4E492F63" w14:textId="77777777" w:rsidR="00594878" w:rsidRPr="00594878" w:rsidRDefault="00594878" w:rsidP="00594878">
            <w:pPr>
              <w:jc w:val="center"/>
              <w:rPr>
                <w:rFonts w:ascii="Arial Narrow" w:eastAsia="Times New Roman" w:hAnsi="Arial Narrow" w:cs="Calibri"/>
                <w:b/>
                <w:bCs/>
                <w:color w:val="FFFFFF"/>
                <w:sz w:val="22"/>
                <w:szCs w:val="22"/>
              </w:rPr>
            </w:pPr>
            <w:r w:rsidRPr="00594878">
              <w:rPr>
                <w:rFonts w:ascii="Arial Narrow" w:eastAsia="Times New Roman" w:hAnsi="Arial Narrow" w:cs="Calibri"/>
                <w:b/>
                <w:bCs/>
                <w:color w:val="FFFFFF"/>
                <w:sz w:val="22"/>
                <w:szCs w:val="22"/>
              </w:rPr>
              <w:t>Norma</w:t>
            </w:r>
          </w:p>
        </w:tc>
        <w:tc>
          <w:tcPr>
            <w:tcW w:w="1824" w:type="dxa"/>
            <w:tcBorders>
              <w:top w:val="nil"/>
              <w:left w:val="nil"/>
              <w:bottom w:val="nil"/>
              <w:right w:val="single" w:sz="8" w:space="0" w:color="auto"/>
            </w:tcBorders>
            <w:shd w:val="clear" w:color="000000" w:fill="203764"/>
            <w:vAlign w:val="center"/>
            <w:hideMark/>
          </w:tcPr>
          <w:p w14:paraId="68ABC101" w14:textId="77777777" w:rsidR="00594878" w:rsidRPr="00594878" w:rsidRDefault="00594878" w:rsidP="00594878">
            <w:pPr>
              <w:jc w:val="center"/>
              <w:rPr>
                <w:rFonts w:ascii="Arial Narrow" w:eastAsia="Times New Roman" w:hAnsi="Arial Narrow" w:cs="Calibri"/>
                <w:b/>
                <w:bCs/>
                <w:color w:val="FFFFFF"/>
                <w:sz w:val="22"/>
                <w:szCs w:val="22"/>
                <w:lang w:val="es-CR"/>
              </w:rPr>
            </w:pPr>
            <w:r w:rsidRPr="00594878">
              <w:rPr>
                <w:rFonts w:ascii="Arial Narrow" w:eastAsia="Times New Roman" w:hAnsi="Arial Narrow" w:cs="Calibri"/>
                <w:b/>
                <w:bCs/>
                <w:color w:val="FFFFFF"/>
                <w:sz w:val="22"/>
                <w:szCs w:val="22"/>
                <w:lang w:val="es-CR"/>
              </w:rPr>
              <w:t>Normativa técnica y disposiciones adicionales</w:t>
            </w:r>
          </w:p>
        </w:tc>
      </w:tr>
      <w:tr w:rsidR="00594878" w:rsidRPr="006E5442" w14:paraId="14A2DD09" w14:textId="77777777" w:rsidTr="00B758C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9AA93D" w14:textId="77777777" w:rsidR="00594878" w:rsidRPr="00594878" w:rsidRDefault="00594878" w:rsidP="00594878">
            <w:pPr>
              <w:jc w:val="center"/>
              <w:rPr>
                <w:rFonts w:ascii="Arial Narrow" w:eastAsia="Times New Roman" w:hAnsi="Arial Narrow" w:cs="Calibri"/>
                <w:b/>
                <w:bCs/>
                <w:color w:val="000000"/>
                <w:sz w:val="22"/>
                <w:szCs w:val="22"/>
              </w:rPr>
            </w:pPr>
            <w:r w:rsidRPr="00594878">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A5B74C1" w14:textId="77777777" w:rsidR="00594878" w:rsidRPr="00594878" w:rsidRDefault="00594878" w:rsidP="00594878">
            <w:pPr>
              <w:jc w:val="center"/>
              <w:rPr>
                <w:rFonts w:ascii="Arial Narrow" w:eastAsia="Times New Roman" w:hAnsi="Arial Narrow" w:cs="Calibri"/>
                <w:b/>
                <w:bCs/>
                <w:color w:val="000000"/>
                <w:sz w:val="22"/>
                <w:szCs w:val="22"/>
              </w:rPr>
            </w:pPr>
            <w:r w:rsidRPr="00594878">
              <w:rPr>
                <w:rFonts w:ascii="Arial Narrow" w:eastAsia="Times New Roman" w:hAnsi="Arial Narrow" w:cs="Calibri"/>
                <w:b/>
                <w:bCs/>
                <w:color w:val="000000"/>
                <w:sz w:val="22"/>
                <w:szCs w:val="22"/>
              </w:rPr>
              <w:t>5</w:t>
            </w:r>
          </w:p>
        </w:tc>
        <w:tc>
          <w:tcPr>
            <w:tcW w:w="463" w:type="dxa"/>
            <w:tcBorders>
              <w:top w:val="single" w:sz="8" w:space="0" w:color="auto"/>
              <w:left w:val="nil"/>
              <w:bottom w:val="single" w:sz="8" w:space="0" w:color="auto"/>
              <w:right w:val="single" w:sz="8" w:space="0" w:color="auto"/>
            </w:tcBorders>
            <w:shd w:val="clear" w:color="auto" w:fill="auto"/>
            <w:vAlign w:val="center"/>
            <w:hideMark/>
          </w:tcPr>
          <w:p w14:paraId="219B0A06" w14:textId="77777777" w:rsidR="00594878" w:rsidRPr="00594878" w:rsidRDefault="00594878" w:rsidP="00594878">
            <w:pPr>
              <w:jc w:val="center"/>
              <w:rPr>
                <w:rFonts w:ascii="Arial Narrow" w:eastAsia="Times New Roman" w:hAnsi="Arial Narrow" w:cs="Calibri"/>
                <w:b/>
                <w:bCs/>
                <w:color w:val="000000"/>
                <w:sz w:val="22"/>
                <w:szCs w:val="22"/>
              </w:rPr>
            </w:pPr>
            <w:r w:rsidRPr="00594878">
              <w:rPr>
                <w:rFonts w:ascii="Arial Narrow" w:eastAsia="Times New Roman" w:hAnsi="Arial Narrow" w:cs="Calibri"/>
                <w:b/>
                <w:bCs/>
                <w:color w:val="000000"/>
                <w:sz w:val="22"/>
                <w:szCs w:val="22"/>
              </w:rPr>
              <w:t xml:space="preserve"> </w:t>
            </w:r>
          </w:p>
        </w:tc>
        <w:tc>
          <w:tcPr>
            <w:tcW w:w="3681" w:type="dxa"/>
            <w:gridSpan w:val="2"/>
            <w:tcBorders>
              <w:top w:val="single" w:sz="8" w:space="0" w:color="auto"/>
              <w:left w:val="nil"/>
              <w:bottom w:val="single" w:sz="8" w:space="0" w:color="auto"/>
              <w:right w:val="single" w:sz="8" w:space="0" w:color="auto"/>
            </w:tcBorders>
            <w:shd w:val="clear" w:color="auto" w:fill="auto"/>
            <w:vAlign w:val="center"/>
            <w:hideMark/>
          </w:tcPr>
          <w:p w14:paraId="53DC5009" w14:textId="77777777" w:rsidR="00594878" w:rsidRPr="00594878" w:rsidRDefault="00594878" w:rsidP="00594878">
            <w:pPr>
              <w:jc w:val="both"/>
              <w:rPr>
                <w:rFonts w:ascii="Arial Narrow" w:eastAsia="Times New Roman" w:hAnsi="Arial Narrow" w:cs="Calibri"/>
                <w:b/>
                <w:bCs/>
                <w:color w:val="000000"/>
                <w:sz w:val="22"/>
                <w:szCs w:val="22"/>
              </w:rPr>
            </w:pPr>
            <w:r w:rsidRPr="00594878">
              <w:rPr>
                <w:rFonts w:ascii="Arial Narrow" w:eastAsia="Times New Roman" w:hAnsi="Arial Narrow" w:cs="Calibri"/>
                <w:b/>
                <w:bCs/>
                <w:color w:val="000000"/>
                <w:sz w:val="22"/>
                <w:szCs w:val="22"/>
              </w:rPr>
              <w:t>Libros contables</w:t>
            </w:r>
          </w:p>
        </w:tc>
        <w:tc>
          <w:tcPr>
            <w:tcW w:w="2247" w:type="dxa"/>
            <w:gridSpan w:val="2"/>
            <w:tcBorders>
              <w:top w:val="single" w:sz="8" w:space="0" w:color="auto"/>
              <w:left w:val="nil"/>
              <w:bottom w:val="single" w:sz="8" w:space="0" w:color="auto"/>
              <w:right w:val="single" w:sz="8" w:space="0" w:color="auto"/>
            </w:tcBorders>
            <w:shd w:val="clear" w:color="auto" w:fill="auto"/>
            <w:vAlign w:val="center"/>
            <w:hideMark/>
          </w:tcPr>
          <w:p w14:paraId="45F74A87" w14:textId="77777777" w:rsidR="00594878" w:rsidRPr="00594878" w:rsidRDefault="00594878" w:rsidP="00594878">
            <w:pPr>
              <w:jc w:val="both"/>
              <w:rPr>
                <w:rFonts w:ascii="Arial Narrow" w:eastAsia="Times New Roman" w:hAnsi="Arial Narrow" w:cs="Calibri"/>
                <w:b/>
                <w:bCs/>
                <w:color w:val="000000"/>
                <w:sz w:val="22"/>
                <w:szCs w:val="22"/>
              </w:rPr>
            </w:pPr>
            <w:r w:rsidRPr="00594878">
              <w:rPr>
                <w:rFonts w:ascii="Arial Narrow" w:eastAsia="Times New Roman" w:hAnsi="Arial Narrow" w:cs="Calibri"/>
                <w:b/>
                <w:bCs/>
                <w:color w:val="000000"/>
                <w:sz w:val="22"/>
                <w:szCs w:val="22"/>
              </w:rPr>
              <w:t>NICSP N° 1.</w:t>
            </w:r>
          </w:p>
        </w:tc>
        <w:tc>
          <w:tcPr>
            <w:tcW w:w="1831" w:type="dxa"/>
            <w:gridSpan w:val="2"/>
            <w:tcBorders>
              <w:top w:val="single" w:sz="8" w:space="0" w:color="auto"/>
              <w:left w:val="nil"/>
              <w:bottom w:val="single" w:sz="8" w:space="0" w:color="auto"/>
              <w:right w:val="single" w:sz="8" w:space="0" w:color="auto"/>
            </w:tcBorders>
            <w:shd w:val="clear" w:color="auto" w:fill="auto"/>
            <w:vAlign w:val="center"/>
            <w:hideMark/>
          </w:tcPr>
          <w:p w14:paraId="3AF2EE0B" w14:textId="77777777" w:rsidR="00594878" w:rsidRPr="00594878" w:rsidRDefault="00594878" w:rsidP="00594878">
            <w:pPr>
              <w:jc w:val="center"/>
              <w:rPr>
                <w:rFonts w:ascii="Arial Narrow" w:eastAsia="Times New Roman" w:hAnsi="Arial Narrow" w:cs="Calibri"/>
                <w:b/>
                <w:bCs/>
                <w:color w:val="000000"/>
                <w:sz w:val="22"/>
                <w:szCs w:val="22"/>
                <w:lang w:val="es-CR"/>
              </w:rPr>
            </w:pPr>
            <w:r w:rsidRPr="00594878">
              <w:rPr>
                <w:rFonts w:ascii="Arial Narrow" w:eastAsia="Times New Roman" w:hAnsi="Arial Narrow" w:cs="Calibri"/>
                <w:b/>
                <w:bCs/>
                <w:color w:val="000000"/>
                <w:sz w:val="22"/>
                <w:szCs w:val="22"/>
                <w:lang w:val="es-CR"/>
              </w:rPr>
              <w:t>Nota técnica libros contables digitales</w:t>
            </w:r>
          </w:p>
        </w:tc>
      </w:tr>
    </w:tbl>
    <w:p w14:paraId="65822324" w14:textId="77777777" w:rsidR="00594878" w:rsidRDefault="00594878" w:rsidP="00EE2D22">
      <w:pPr>
        <w:pStyle w:val="Default"/>
        <w:ind w:left="1134" w:hanging="1134"/>
        <w:jc w:val="both"/>
        <w:rPr>
          <w:sz w:val="23"/>
          <w:szCs w:val="23"/>
          <w:lang w:val="es-CR"/>
        </w:rPr>
      </w:pPr>
    </w:p>
    <w:p w14:paraId="4A7692C5" w14:textId="5A57E931" w:rsidR="00B758C6" w:rsidRPr="0030399E" w:rsidRDefault="00B758C6" w:rsidP="00B758C6">
      <w:pPr>
        <w:pStyle w:val="Default"/>
        <w:ind w:left="1134" w:hanging="1134"/>
        <w:jc w:val="both"/>
        <w:rPr>
          <w:rFonts w:eastAsia="Arial"/>
          <w:b/>
          <w:sz w:val="22"/>
          <w:szCs w:val="22"/>
          <w:lang w:val="es-CR"/>
        </w:rPr>
      </w:pPr>
      <w:r w:rsidRPr="0030399E">
        <w:rPr>
          <w:rFonts w:eastAsia="Arial"/>
          <w:b/>
          <w:sz w:val="22"/>
          <w:szCs w:val="22"/>
          <w:lang w:val="es-CR"/>
        </w:rPr>
        <w:t>Política Contable</w:t>
      </w:r>
    </w:p>
    <w:p w14:paraId="07BBCB65" w14:textId="77777777" w:rsidR="00B758C6" w:rsidRDefault="00B758C6" w:rsidP="00EE2D22">
      <w:pPr>
        <w:pStyle w:val="Default"/>
        <w:ind w:left="1134" w:hanging="1134"/>
        <w:jc w:val="both"/>
        <w:rPr>
          <w:sz w:val="23"/>
          <w:szCs w:val="23"/>
          <w:lang w:val="es-CR"/>
        </w:rPr>
      </w:pPr>
    </w:p>
    <w:p w14:paraId="5C620BE9" w14:textId="2C918D7D" w:rsidR="00594878" w:rsidRPr="00594878" w:rsidRDefault="00594878" w:rsidP="00594878">
      <w:pPr>
        <w:pStyle w:val="Default"/>
        <w:ind w:left="1134" w:hanging="1134"/>
        <w:jc w:val="both"/>
        <w:rPr>
          <w:sz w:val="22"/>
          <w:szCs w:val="22"/>
          <w:lang w:val="es-CR"/>
        </w:rPr>
      </w:pPr>
      <w:r>
        <w:rPr>
          <w:sz w:val="22"/>
          <w:szCs w:val="22"/>
          <w:lang w:val="es-CR"/>
        </w:rPr>
        <w:t>6.5.0.01</w:t>
      </w:r>
      <w:r>
        <w:rPr>
          <w:sz w:val="22"/>
          <w:szCs w:val="22"/>
          <w:lang w:val="es-CR"/>
        </w:rPr>
        <w:tab/>
      </w:r>
      <w:r w:rsidRPr="00594878">
        <w:rPr>
          <w:sz w:val="22"/>
          <w:szCs w:val="22"/>
          <w:lang w:val="es-CR"/>
        </w:rPr>
        <w:t xml:space="preserve">Los libros de contabilidad o libros contables son conjuntos de registros especiales donde se anotan las diversas transacciones y operaciones de </w:t>
      </w:r>
      <w:r>
        <w:rPr>
          <w:sz w:val="22"/>
          <w:szCs w:val="22"/>
          <w:lang w:val="es-CR"/>
        </w:rPr>
        <w:t>la Municipalidad</w:t>
      </w:r>
      <w:r w:rsidRPr="00594878">
        <w:rPr>
          <w:sz w:val="22"/>
          <w:szCs w:val="22"/>
          <w:lang w:val="es-CR"/>
        </w:rPr>
        <w:t xml:space="preserve">, en forma cronológica y ordenada; con la finalidad de mostrar la situación en que se encuentra en períodos económicos distintos, sujetándose a las disposiciones de una técnica contable, además resultan de gran importancia debido a que permiten </w:t>
      </w:r>
      <w:r w:rsidRPr="00594878">
        <w:rPr>
          <w:sz w:val="22"/>
          <w:szCs w:val="22"/>
          <w:lang w:val="es-CR"/>
        </w:rPr>
        <w:lastRenderedPageBreak/>
        <w:t xml:space="preserve">registrar los movimientos y operaciones del </w:t>
      </w:r>
      <w:r>
        <w:rPr>
          <w:sz w:val="22"/>
          <w:szCs w:val="22"/>
          <w:lang w:val="es-CR"/>
        </w:rPr>
        <w:t>ayuntamiento</w:t>
      </w:r>
      <w:r w:rsidRPr="00594878">
        <w:rPr>
          <w:sz w:val="22"/>
          <w:szCs w:val="22"/>
          <w:lang w:val="es-CR"/>
        </w:rPr>
        <w:t>, genera garantía frente a terceras personas y a quienes tienen interés en el resultado de las operaciones, se obtiene información en cualquier momento de acuerdo a las necesidades y permite conocer los activos y las deudas y obligaciones.</w:t>
      </w:r>
      <w:r>
        <w:rPr>
          <w:sz w:val="22"/>
          <w:szCs w:val="22"/>
          <w:lang w:val="es-CR"/>
        </w:rPr>
        <w:t xml:space="preserve"> </w:t>
      </w:r>
      <w:r w:rsidRPr="00594878">
        <w:rPr>
          <w:sz w:val="22"/>
          <w:szCs w:val="22"/>
          <w:lang w:val="es-CR"/>
        </w:rPr>
        <w:t>Finalmente demuestra el estado financiero de</w:t>
      </w:r>
      <w:r>
        <w:rPr>
          <w:sz w:val="22"/>
          <w:szCs w:val="22"/>
          <w:lang w:val="es-CR"/>
        </w:rPr>
        <w:t xml:space="preserve"> </w:t>
      </w:r>
      <w:r w:rsidRPr="00594878">
        <w:rPr>
          <w:sz w:val="22"/>
          <w:szCs w:val="22"/>
          <w:lang w:val="es-CR"/>
        </w:rPr>
        <w:t>l</w:t>
      </w:r>
      <w:r>
        <w:rPr>
          <w:sz w:val="22"/>
          <w:szCs w:val="22"/>
          <w:lang w:val="es-CR"/>
        </w:rPr>
        <w:t>a</w:t>
      </w:r>
      <w:r w:rsidRPr="00594878">
        <w:rPr>
          <w:sz w:val="22"/>
          <w:szCs w:val="22"/>
          <w:lang w:val="es-CR"/>
        </w:rPr>
        <w:t xml:space="preserve"> </w:t>
      </w:r>
      <w:r>
        <w:rPr>
          <w:sz w:val="22"/>
          <w:szCs w:val="22"/>
          <w:lang w:val="es-CR"/>
        </w:rPr>
        <w:t>Municipalidad</w:t>
      </w:r>
      <w:r w:rsidRPr="00594878">
        <w:rPr>
          <w:sz w:val="22"/>
          <w:szCs w:val="22"/>
          <w:lang w:val="es-CR"/>
        </w:rPr>
        <w:t xml:space="preserve"> en un tiempo determinado y constituye los elementos de prueba sustentando con los documentos que ya existen la constancia de las operaciones que se realizan. De ahí la necesidad de que l</w:t>
      </w:r>
      <w:r>
        <w:rPr>
          <w:sz w:val="22"/>
          <w:szCs w:val="22"/>
          <w:lang w:val="es-CR"/>
        </w:rPr>
        <w:t>a</w:t>
      </w:r>
      <w:r w:rsidRPr="00594878">
        <w:rPr>
          <w:sz w:val="22"/>
          <w:szCs w:val="22"/>
          <w:lang w:val="es-CR"/>
        </w:rPr>
        <w:t xml:space="preserve"> </w:t>
      </w:r>
      <w:r>
        <w:rPr>
          <w:sz w:val="22"/>
          <w:szCs w:val="22"/>
          <w:lang w:val="es-CR"/>
        </w:rPr>
        <w:t>Municipalidad</w:t>
      </w:r>
      <w:r w:rsidRPr="00594878">
        <w:rPr>
          <w:sz w:val="22"/>
          <w:szCs w:val="22"/>
          <w:lang w:val="es-CR"/>
        </w:rPr>
        <w:t xml:space="preserve"> lleve los libros contables debidamente actualizados y que adopten el uso de los mismos en formato digital, conforme a las disposiciones que la Contabilidad Nacional dicte al efecto.</w:t>
      </w:r>
    </w:p>
    <w:p w14:paraId="6046F0D7" w14:textId="77777777" w:rsidR="005B6A92" w:rsidRDefault="005B6A92" w:rsidP="00594878">
      <w:pPr>
        <w:pStyle w:val="Default"/>
        <w:jc w:val="both"/>
        <w:rPr>
          <w:sz w:val="23"/>
          <w:szCs w:val="23"/>
          <w:lang w:val="es-CR"/>
        </w:rPr>
      </w:pPr>
    </w:p>
    <w:p w14:paraId="038177D2" w14:textId="77777777" w:rsidR="001E5F25" w:rsidRDefault="001E5F25" w:rsidP="00594878">
      <w:pPr>
        <w:pStyle w:val="Default"/>
        <w:jc w:val="both"/>
        <w:rPr>
          <w:sz w:val="23"/>
          <w:szCs w:val="23"/>
          <w:lang w:val="es-CR"/>
        </w:rPr>
      </w:pPr>
    </w:p>
    <w:p w14:paraId="2686BC77" w14:textId="77777777" w:rsidR="001E5F25" w:rsidRDefault="001E5F25" w:rsidP="00594878">
      <w:pPr>
        <w:pStyle w:val="Default"/>
        <w:jc w:val="both"/>
        <w:rPr>
          <w:sz w:val="23"/>
          <w:szCs w:val="23"/>
          <w:lang w:val="es-CR"/>
        </w:rPr>
      </w:pPr>
    </w:p>
    <w:tbl>
      <w:tblPr>
        <w:tblW w:w="9401" w:type="dxa"/>
        <w:tblLook w:val="04A0" w:firstRow="1" w:lastRow="0" w:firstColumn="1" w:lastColumn="0" w:noHBand="0" w:noVBand="1"/>
      </w:tblPr>
      <w:tblGrid>
        <w:gridCol w:w="540"/>
        <w:gridCol w:w="660"/>
        <w:gridCol w:w="520"/>
        <w:gridCol w:w="3740"/>
        <w:gridCol w:w="2043"/>
        <w:gridCol w:w="1891"/>
        <w:gridCol w:w="7"/>
      </w:tblGrid>
      <w:tr w:rsidR="001E5F25" w:rsidRPr="001E5F25" w14:paraId="345D1F3C" w14:textId="77777777" w:rsidTr="00B758C6">
        <w:trPr>
          <w:trHeight w:val="320"/>
        </w:trPr>
        <w:tc>
          <w:tcPr>
            <w:tcW w:w="1720"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76897C36" w14:textId="77777777" w:rsidR="001E5F25" w:rsidRPr="001E5F25" w:rsidRDefault="001E5F25" w:rsidP="001E5F25">
            <w:pPr>
              <w:jc w:val="center"/>
              <w:rPr>
                <w:rFonts w:ascii="Arial Narrow" w:eastAsia="Times New Roman" w:hAnsi="Arial Narrow" w:cs="Calibri"/>
                <w:b/>
                <w:bCs/>
                <w:color w:val="FFFFFF"/>
                <w:sz w:val="22"/>
                <w:szCs w:val="22"/>
              </w:rPr>
            </w:pPr>
            <w:r w:rsidRPr="001E5F25">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36F21F3" w14:textId="77777777" w:rsidR="001E5F25" w:rsidRPr="001E5F25" w:rsidRDefault="001E5F25" w:rsidP="001E5F25">
            <w:pPr>
              <w:jc w:val="center"/>
              <w:rPr>
                <w:rFonts w:ascii="Arial Narrow" w:eastAsia="Times New Roman" w:hAnsi="Arial Narrow" w:cs="Calibri"/>
                <w:b/>
                <w:bCs/>
                <w:color w:val="FFFFFF"/>
                <w:sz w:val="22"/>
                <w:szCs w:val="22"/>
              </w:rPr>
            </w:pPr>
            <w:r w:rsidRPr="001E5F25">
              <w:rPr>
                <w:rFonts w:ascii="Arial Narrow" w:eastAsia="Times New Roman" w:hAnsi="Arial Narrow" w:cs="Calibri"/>
                <w:b/>
                <w:bCs/>
                <w:color w:val="FFFFFF"/>
                <w:sz w:val="22"/>
                <w:szCs w:val="22"/>
              </w:rPr>
              <w:t>Concepto</w:t>
            </w:r>
          </w:p>
        </w:tc>
        <w:tc>
          <w:tcPr>
            <w:tcW w:w="3941" w:type="dxa"/>
            <w:gridSpan w:val="3"/>
            <w:tcBorders>
              <w:top w:val="single" w:sz="8" w:space="0" w:color="auto"/>
              <w:left w:val="nil"/>
              <w:bottom w:val="single" w:sz="8" w:space="0" w:color="auto"/>
              <w:right w:val="single" w:sz="8" w:space="0" w:color="000000"/>
            </w:tcBorders>
            <w:shd w:val="clear" w:color="000000" w:fill="203764"/>
            <w:vAlign w:val="center"/>
            <w:hideMark/>
          </w:tcPr>
          <w:p w14:paraId="29762458" w14:textId="77777777" w:rsidR="001E5F25" w:rsidRPr="001E5F25" w:rsidRDefault="001E5F25" w:rsidP="001E5F25">
            <w:pPr>
              <w:jc w:val="center"/>
              <w:rPr>
                <w:rFonts w:ascii="Arial Narrow" w:eastAsia="Times New Roman" w:hAnsi="Arial Narrow" w:cs="Calibri"/>
                <w:b/>
                <w:bCs/>
                <w:color w:val="FFFFFF"/>
                <w:sz w:val="22"/>
                <w:szCs w:val="22"/>
              </w:rPr>
            </w:pPr>
            <w:r w:rsidRPr="001E5F25">
              <w:rPr>
                <w:rFonts w:ascii="Arial Narrow" w:eastAsia="Times New Roman" w:hAnsi="Arial Narrow" w:cs="Calibri"/>
                <w:b/>
                <w:bCs/>
                <w:color w:val="FFFFFF"/>
                <w:sz w:val="22"/>
                <w:szCs w:val="22"/>
              </w:rPr>
              <w:t>Referencia</w:t>
            </w:r>
          </w:p>
        </w:tc>
      </w:tr>
      <w:tr w:rsidR="001E5F25" w:rsidRPr="006E5442" w14:paraId="6ABD88DD" w14:textId="77777777" w:rsidTr="00B758C6">
        <w:trPr>
          <w:gridAfter w:val="1"/>
          <w:wAfter w:w="7" w:type="dxa"/>
          <w:trHeight w:val="850"/>
        </w:trPr>
        <w:tc>
          <w:tcPr>
            <w:tcW w:w="1720" w:type="dxa"/>
            <w:gridSpan w:val="3"/>
            <w:vMerge/>
            <w:tcBorders>
              <w:top w:val="single" w:sz="8" w:space="0" w:color="auto"/>
              <w:left w:val="single" w:sz="8" w:space="0" w:color="auto"/>
              <w:bottom w:val="single" w:sz="8" w:space="0" w:color="000000"/>
              <w:right w:val="single" w:sz="8" w:space="0" w:color="000000"/>
            </w:tcBorders>
            <w:vAlign w:val="center"/>
            <w:hideMark/>
          </w:tcPr>
          <w:p w14:paraId="7383FD69" w14:textId="77777777" w:rsidR="001E5F25" w:rsidRPr="001E5F25" w:rsidRDefault="001E5F25" w:rsidP="001E5F25">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single" w:sz="8" w:space="0" w:color="000000"/>
              <w:right w:val="single" w:sz="8" w:space="0" w:color="auto"/>
            </w:tcBorders>
            <w:vAlign w:val="center"/>
            <w:hideMark/>
          </w:tcPr>
          <w:p w14:paraId="299DA353" w14:textId="77777777" w:rsidR="001E5F25" w:rsidRPr="001E5F25" w:rsidRDefault="001E5F25" w:rsidP="001E5F25">
            <w:pPr>
              <w:rPr>
                <w:rFonts w:ascii="Arial Narrow" w:eastAsia="Times New Roman" w:hAnsi="Arial Narrow" w:cs="Calibri"/>
                <w:b/>
                <w:bCs/>
                <w:color w:val="FFFFFF"/>
                <w:sz w:val="22"/>
                <w:szCs w:val="22"/>
              </w:rPr>
            </w:pPr>
          </w:p>
        </w:tc>
        <w:tc>
          <w:tcPr>
            <w:tcW w:w="2043" w:type="dxa"/>
            <w:tcBorders>
              <w:top w:val="nil"/>
              <w:left w:val="nil"/>
              <w:bottom w:val="single" w:sz="8" w:space="0" w:color="auto"/>
              <w:right w:val="single" w:sz="8" w:space="0" w:color="auto"/>
            </w:tcBorders>
            <w:shd w:val="clear" w:color="000000" w:fill="203764"/>
            <w:vAlign w:val="center"/>
            <w:hideMark/>
          </w:tcPr>
          <w:p w14:paraId="1F8F7C7F" w14:textId="77777777" w:rsidR="001E5F25" w:rsidRPr="001E5F25" w:rsidRDefault="001E5F25" w:rsidP="001E5F25">
            <w:pPr>
              <w:jc w:val="center"/>
              <w:rPr>
                <w:rFonts w:ascii="Arial Narrow" w:eastAsia="Times New Roman" w:hAnsi="Arial Narrow" w:cs="Calibri"/>
                <w:b/>
                <w:bCs/>
                <w:color w:val="FFFFFF"/>
                <w:sz w:val="22"/>
                <w:szCs w:val="22"/>
              </w:rPr>
            </w:pPr>
            <w:r w:rsidRPr="001E5F25">
              <w:rPr>
                <w:rFonts w:ascii="Arial Narrow" w:eastAsia="Times New Roman" w:hAnsi="Arial Narrow" w:cs="Calibri"/>
                <w:b/>
                <w:bCs/>
                <w:color w:val="FFFFFF"/>
                <w:sz w:val="22"/>
                <w:szCs w:val="22"/>
              </w:rPr>
              <w:t>Norma</w:t>
            </w:r>
          </w:p>
        </w:tc>
        <w:tc>
          <w:tcPr>
            <w:tcW w:w="1891" w:type="dxa"/>
            <w:tcBorders>
              <w:top w:val="nil"/>
              <w:left w:val="nil"/>
              <w:bottom w:val="single" w:sz="8" w:space="0" w:color="auto"/>
              <w:right w:val="single" w:sz="8" w:space="0" w:color="auto"/>
            </w:tcBorders>
            <w:shd w:val="clear" w:color="000000" w:fill="203764"/>
            <w:vAlign w:val="center"/>
            <w:hideMark/>
          </w:tcPr>
          <w:p w14:paraId="5EA7E9B4" w14:textId="77777777" w:rsidR="001E5F25" w:rsidRPr="001E5F25" w:rsidRDefault="001E5F25" w:rsidP="001E5F25">
            <w:pPr>
              <w:jc w:val="center"/>
              <w:rPr>
                <w:rFonts w:ascii="Arial Narrow" w:eastAsia="Times New Roman" w:hAnsi="Arial Narrow" w:cs="Calibri"/>
                <w:b/>
                <w:bCs/>
                <w:color w:val="FFFFFF"/>
                <w:sz w:val="22"/>
                <w:szCs w:val="22"/>
                <w:lang w:val="es-CR"/>
              </w:rPr>
            </w:pPr>
            <w:r w:rsidRPr="001E5F25">
              <w:rPr>
                <w:rFonts w:ascii="Arial Narrow" w:eastAsia="Times New Roman" w:hAnsi="Arial Narrow" w:cs="Calibri"/>
                <w:b/>
                <w:bCs/>
                <w:color w:val="FFFFFF"/>
                <w:sz w:val="22"/>
                <w:szCs w:val="22"/>
                <w:lang w:val="es-CR"/>
              </w:rPr>
              <w:t>Normativa técnica y disposiciones adicionales</w:t>
            </w:r>
          </w:p>
        </w:tc>
      </w:tr>
      <w:tr w:rsidR="001E5F25" w:rsidRPr="001E5F25" w14:paraId="7A21107A" w14:textId="77777777" w:rsidTr="00B758C6">
        <w:trPr>
          <w:gridAfter w:val="1"/>
          <w:wAfter w:w="7" w:type="dxa"/>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04386466"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660" w:type="dxa"/>
            <w:tcBorders>
              <w:top w:val="nil"/>
              <w:left w:val="nil"/>
              <w:bottom w:val="single" w:sz="8" w:space="0" w:color="auto"/>
              <w:right w:val="single" w:sz="8" w:space="0" w:color="auto"/>
            </w:tcBorders>
            <w:shd w:val="clear" w:color="auto" w:fill="auto"/>
            <w:vAlign w:val="center"/>
            <w:hideMark/>
          </w:tcPr>
          <w:p w14:paraId="027055EE" w14:textId="77777777" w:rsidR="001E5F25" w:rsidRPr="001E5F25" w:rsidRDefault="001E5F25" w:rsidP="00B758C6">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520" w:type="dxa"/>
            <w:tcBorders>
              <w:top w:val="nil"/>
              <w:left w:val="nil"/>
              <w:bottom w:val="single" w:sz="8" w:space="0" w:color="auto"/>
              <w:right w:val="single" w:sz="8" w:space="0" w:color="auto"/>
            </w:tcBorders>
            <w:shd w:val="clear" w:color="auto" w:fill="auto"/>
            <w:vAlign w:val="center"/>
            <w:hideMark/>
          </w:tcPr>
          <w:p w14:paraId="2A9D39C5"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 </w:t>
            </w:r>
          </w:p>
        </w:tc>
        <w:tc>
          <w:tcPr>
            <w:tcW w:w="3740" w:type="dxa"/>
            <w:tcBorders>
              <w:top w:val="nil"/>
              <w:left w:val="nil"/>
              <w:bottom w:val="single" w:sz="8" w:space="0" w:color="auto"/>
              <w:right w:val="single" w:sz="8" w:space="0" w:color="auto"/>
            </w:tcBorders>
            <w:shd w:val="clear" w:color="auto" w:fill="auto"/>
            <w:vAlign w:val="center"/>
            <w:hideMark/>
          </w:tcPr>
          <w:p w14:paraId="6CBDF7C8" w14:textId="77777777" w:rsidR="001E5F25" w:rsidRPr="001E5F25" w:rsidRDefault="001E5F25" w:rsidP="001E5F25">
            <w:pPr>
              <w:rPr>
                <w:rFonts w:ascii="Arial Narrow" w:eastAsia="Times New Roman" w:hAnsi="Arial Narrow" w:cs="Calibri"/>
                <w:b/>
                <w:bCs/>
                <w:color w:val="000000"/>
                <w:sz w:val="22"/>
                <w:szCs w:val="22"/>
                <w:lang w:val="es-CR"/>
              </w:rPr>
            </w:pPr>
            <w:r w:rsidRPr="001E5F25">
              <w:rPr>
                <w:rFonts w:ascii="Arial Narrow" w:eastAsia="Times New Roman" w:hAnsi="Arial Narrow" w:cs="Calibri"/>
                <w:b/>
                <w:bCs/>
                <w:color w:val="000000"/>
                <w:sz w:val="22"/>
                <w:szCs w:val="22"/>
                <w:lang w:val="es-CR"/>
              </w:rPr>
              <w:t>Reconocimiento de las diferencias de cambio</w:t>
            </w:r>
          </w:p>
        </w:tc>
        <w:tc>
          <w:tcPr>
            <w:tcW w:w="2043" w:type="dxa"/>
            <w:tcBorders>
              <w:top w:val="nil"/>
              <w:left w:val="nil"/>
              <w:bottom w:val="single" w:sz="8" w:space="0" w:color="auto"/>
              <w:right w:val="single" w:sz="8" w:space="0" w:color="auto"/>
            </w:tcBorders>
            <w:shd w:val="clear" w:color="auto" w:fill="auto"/>
            <w:vAlign w:val="center"/>
            <w:hideMark/>
          </w:tcPr>
          <w:p w14:paraId="4ED7B3DC" w14:textId="77777777" w:rsidR="001E5F25" w:rsidRPr="001E5F25" w:rsidRDefault="001E5F25" w:rsidP="001E5F25">
            <w:pPr>
              <w:rPr>
                <w:rFonts w:ascii="Arial Narrow" w:eastAsia="Times New Roman" w:hAnsi="Arial Narrow" w:cs="Calibri"/>
                <w:b/>
                <w:bCs/>
                <w:color w:val="000000"/>
                <w:sz w:val="22"/>
                <w:szCs w:val="22"/>
                <w:lang w:val="es-CR"/>
              </w:rPr>
            </w:pPr>
            <w:r w:rsidRPr="001E5F25">
              <w:rPr>
                <w:rFonts w:ascii="Arial Narrow" w:eastAsia="Times New Roman" w:hAnsi="Arial Narrow" w:cs="Calibri"/>
                <w:b/>
                <w:bCs/>
                <w:color w:val="000000"/>
                <w:sz w:val="22"/>
                <w:szCs w:val="22"/>
                <w:lang w:val="es-CR"/>
              </w:rPr>
              <w:t xml:space="preserve"> </w:t>
            </w:r>
          </w:p>
        </w:tc>
        <w:tc>
          <w:tcPr>
            <w:tcW w:w="1891" w:type="dxa"/>
            <w:tcBorders>
              <w:top w:val="nil"/>
              <w:left w:val="nil"/>
              <w:bottom w:val="single" w:sz="8" w:space="0" w:color="auto"/>
              <w:right w:val="single" w:sz="8" w:space="0" w:color="auto"/>
            </w:tcBorders>
            <w:shd w:val="clear" w:color="auto" w:fill="auto"/>
            <w:vAlign w:val="center"/>
            <w:hideMark/>
          </w:tcPr>
          <w:p w14:paraId="441BD0AB"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 xml:space="preserve">DGCN </w:t>
            </w:r>
          </w:p>
        </w:tc>
      </w:tr>
      <w:tr w:rsidR="001E5F25" w:rsidRPr="001E5F25" w14:paraId="3C72EFCD" w14:textId="77777777" w:rsidTr="00B758C6">
        <w:trPr>
          <w:gridAfter w:val="1"/>
          <w:wAfter w:w="7" w:type="dxa"/>
          <w:trHeight w:val="57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618208C9"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660" w:type="dxa"/>
            <w:tcBorders>
              <w:top w:val="nil"/>
              <w:left w:val="nil"/>
              <w:bottom w:val="single" w:sz="8" w:space="0" w:color="auto"/>
              <w:right w:val="single" w:sz="8" w:space="0" w:color="auto"/>
            </w:tcBorders>
            <w:shd w:val="clear" w:color="auto" w:fill="auto"/>
            <w:vAlign w:val="center"/>
            <w:hideMark/>
          </w:tcPr>
          <w:p w14:paraId="5497F995" w14:textId="77777777" w:rsidR="001E5F25" w:rsidRPr="001E5F25" w:rsidRDefault="001E5F25" w:rsidP="00B758C6">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520" w:type="dxa"/>
            <w:tcBorders>
              <w:top w:val="nil"/>
              <w:left w:val="nil"/>
              <w:bottom w:val="single" w:sz="8" w:space="0" w:color="auto"/>
              <w:right w:val="nil"/>
            </w:tcBorders>
            <w:shd w:val="clear" w:color="auto" w:fill="auto"/>
            <w:vAlign w:val="center"/>
            <w:hideMark/>
          </w:tcPr>
          <w:p w14:paraId="654EBEEA"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1</w:t>
            </w:r>
          </w:p>
        </w:tc>
        <w:tc>
          <w:tcPr>
            <w:tcW w:w="3740" w:type="dxa"/>
            <w:tcBorders>
              <w:top w:val="nil"/>
              <w:left w:val="single" w:sz="8" w:space="0" w:color="auto"/>
              <w:bottom w:val="single" w:sz="8" w:space="0" w:color="auto"/>
              <w:right w:val="single" w:sz="8" w:space="0" w:color="auto"/>
            </w:tcBorders>
            <w:shd w:val="clear" w:color="auto" w:fill="auto"/>
            <w:vAlign w:val="center"/>
            <w:hideMark/>
          </w:tcPr>
          <w:p w14:paraId="18FF0588" w14:textId="77777777" w:rsidR="001E5F25" w:rsidRPr="001E5F25" w:rsidRDefault="001E5F25" w:rsidP="001E5F25">
            <w:pP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Diferencia de cambio</w:t>
            </w:r>
          </w:p>
        </w:tc>
        <w:tc>
          <w:tcPr>
            <w:tcW w:w="2043" w:type="dxa"/>
            <w:tcBorders>
              <w:top w:val="nil"/>
              <w:left w:val="nil"/>
              <w:bottom w:val="single" w:sz="8" w:space="0" w:color="auto"/>
              <w:right w:val="single" w:sz="8" w:space="0" w:color="auto"/>
            </w:tcBorders>
            <w:shd w:val="clear" w:color="auto" w:fill="auto"/>
            <w:vAlign w:val="center"/>
            <w:hideMark/>
          </w:tcPr>
          <w:p w14:paraId="0A83E2D0" w14:textId="77777777" w:rsidR="001E5F25" w:rsidRPr="001E5F25" w:rsidRDefault="001E5F25" w:rsidP="001E5F25">
            <w:pP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NICSP N° 1,</w:t>
            </w:r>
            <w:r w:rsidRPr="001E5F25">
              <w:rPr>
                <w:rFonts w:ascii="Arial Narrow" w:eastAsia="Times New Roman" w:hAnsi="Arial Narrow" w:cs="Calibri"/>
                <w:b/>
                <w:bCs/>
                <w:color w:val="000000"/>
                <w:sz w:val="22"/>
                <w:szCs w:val="22"/>
              </w:rPr>
              <w:br/>
              <w:t>Párrafo 19.</w:t>
            </w:r>
          </w:p>
        </w:tc>
        <w:tc>
          <w:tcPr>
            <w:tcW w:w="1891" w:type="dxa"/>
            <w:tcBorders>
              <w:top w:val="nil"/>
              <w:left w:val="nil"/>
              <w:bottom w:val="single" w:sz="8" w:space="0" w:color="auto"/>
              <w:right w:val="single" w:sz="8" w:space="0" w:color="auto"/>
            </w:tcBorders>
            <w:shd w:val="clear" w:color="auto" w:fill="auto"/>
            <w:vAlign w:val="center"/>
            <w:hideMark/>
          </w:tcPr>
          <w:p w14:paraId="00A10614"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 xml:space="preserve"> </w:t>
            </w:r>
          </w:p>
        </w:tc>
      </w:tr>
      <w:tr w:rsidR="001E5F25" w:rsidRPr="001E5F25" w14:paraId="45DD3D5F" w14:textId="77777777" w:rsidTr="00B758C6">
        <w:trPr>
          <w:gridAfter w:val="1"/>
          <w:wAfter w:w="7" w:type="dxa"/>
          <w:trHeight w:val="30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206670B4"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660" w:type="dxa"/>
            <w:tcBorders>
              <w:top w:val="nil"/>
              <w:left w:val="nil"/>
              <w:bottom w:val="single" w:sz="8" w:space="0" w:color="auto"/>
              <w:right w:val="single" w:sz="8" w:space="0" w:color="auto"/>
            </w:tcBorders>
            <w:shd w:val="clear" w:color="auto" w:fill="auto"/>
            <w:vAlign w:val="center"/>
            <w:hideMark/>
          </w:tcPr>
          <w:p w14:paraId="14FE778B"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520" w:type="dxa"/>
            <w:tcBorders>
              <w:top w:val="nil"/>
              <w:left w:val="nil"/>
              <w:bottom w:val="single" w:sz="8" w:space="0" w:color="auto"/>
              <w:right w:val="single" w:sz="8" w:space="0" w:color="auto"/>
            </w:tcBorders>
            <w:shd w:val="clear" w:color="auto" w:fill="auto"/>
            <w:vAlign w:val="center"/>
            <w:hideMark/>
          </w:tcPr>
          <w:p w14:paraId="013CD449"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15A89E42" w14:textId="77777777" w:rsidR="001E5F25" w:rsidRPr="001E5F25" w:rsidRDefault="001E5F25" w:rsidP="001E5F25">
            <w:pPr>
              <w:jc w:val="both"/>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Patrimonio / Resultados</w:t>
            </w:r>
          </w:p>
        </w:tc>
        <w:tc>
          <w:tcPr>
            <w:tcW w:w="2043" w:type="dxa"/>
            <w:tcBorders>
              <w:top w:val="nil"/>
              <w:left w:val="nil"/>
              <w:bottom w:val="single" w:sz="8" w:space="0" w:color="auto"/>
              <w:right w:val="single" w:sz="8" w:space="0" w:color="auto"/>
            </w:tcBorders>
            <w:shd w:val="clear" w:color="auto" w:fill="auto"/>
            <w:vAlign w:val="center"/>
            <w:hideMark/>
          </w:tcPr>
          <w:p w14:paraId="00CC0420" w14:textId="77777777" w:rsidR="001E5F25" w:rsidRPr="001E5F25" w:rsidRDefault="001E5F25" w:rsidP="001E5F25">
            <w:pP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 </w:t>
            </w:r>
          </w:p>
        </w:tc>
        <w:tc>
          <w:tcPr>
            <w:tcW w:w="1891" w:type="dxa"/>
            <w:tcBorders>
              <w:top w:val="nil"/>
              <w:left w:val="nil"/>
              <w:bottom w:val="single" w:sz="8" w:space="0" w:color="auto"/>
              <w:right w:val="single" w:sz="8" w:space="0" w:color="auto"/>
            </w:tcBorders>
            <w:shd w:val="clear" w:color="auto" w:fill="auto"/>
            <w:vAlign w:val="center"/>
            <w:hideMark/>
          </w:tcPr>
          <w:p w14:paraId="2DC6FCCE"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IAESB</w:t>
            </w:r>
          </w:p>
        </w:tc>
      </w:tr>
      <w:tr w:rsidR="001E5F25" w:rsidRPr="001E5F25" w14:paraId="5F410E4D" w14:textId="77777777" w:rsidTr="00B758C6">
        <w:trPr>
          <w:gridAfter w:val="1"/>
          <w:wAfter w:w="7"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3883AA1"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660" w:type="dxa"/>
            <w:tcBorders>
              <w:top w:val="nil"/>
              <w:left w:val="nil"/>
              <w:bottom w:val="single" w:sz="8" w:space="0" w:color="auto"/>
              <w:right w:val="single" w:sz="8" w:space="0" w:color="auto"/>
            </w:tcBorders>
            <w:shd w:val="clear" w:color="auto" w:fill="auto"/>
            <w:vAlign w:val="center"/>
            <w:hideMark/>
          </w:tcPr>
          <w:p w14:paraId="2C3E1984"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520" w:type="dxa"/>
            <w:tcBorders>
              <w:top w:val="nil"/>
              <w:left w:val="nil"/>
              <w:bottom w:val="single" w:sz="8" w:space="0" w:color="auto"/>
              <w:right w:val="single" w:sz="8" w:space="0" w:color="auto"/>
            </w:tcBorders>
            <w:shd w:val="clear" w:color="auto" w:fill="auto"/>
            <w:vAlign w:val="center"/>
            <w:hideMark/>
          </w:tcPr>
          <w:p w14:paraId="6565AD6D"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08BB0B96" w14:textId="77777777" w:rsidR="001E5F25" w:rsidRPr="001E5F25" w:rsidRDefault="001E5F25" w:rsidP="001E5F25">
            <w:pPr>
              <w:jc w:val="both"/>
              <w:rPr>
                <w:rFonts w:ascii="Arial Narrow" w:eastAsia="Times New Roman" w:hAnsi="Arial Narrow" w:cs="Calibri"/>
                <w:b/>
                <w:bCs/>
                <w:color w:val="000000"/>
                <w:sz w:val="22"/>
                <w:szCs w:val="22"/>
                <w:lang w:val="es-CR"/>
              </w:rPr>
            </w:pPr>
            <w:r w:rsidRPr="001E5F25">
              <w:rPr>
                <w:rFonts w:ascii="Arial Narrow" w:eastAsia="Times New Roman" w:hAnsi="Arial Narrow" w:cs="Calibri"/>
                <w:b/>
                <w:bCs/>
                <w:color w:val="000000"/>
                <w:sz w:val="22"/>
                <w:szCs w:val="22"/>
                <w:lang w:val="es-CR"/>
              </w:rPr>
              <w:t>Propiedades, planta y equipo revaluados</w:t>
            </w:r>
          </w:p>
        </w:tc>
        <w:tc>
          <w:tcPr>
            <w:tcW w:w="2043" w:type="dxa"/>
            <w:tcBorders>
              <w:top w:val="nil"/>
              <w:left w:val="nil"/>
              <w:bottom w:val="single" w:sz="8" w:space="0" w:color="auto"/>
              <w:right w:val="single" w:sz="8" w:space="0" w:color="auto"/>
            </w:tcBorders>
            <w:shd w:val="clear" w:color="auto" w:fill="auto"/>
            <w:vAlign w:val="center"/>
            <w:hideMark/>
          </w:tcPr>
          <w:p w14:paraId="7ECEEE44" w14:textId="77777777" w:rsidR="001E5F25" w:rsidRDefault="001E5F25" w:rsidP="001E5F25">
            <w:pP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 xml:space="preserve">NICSP N° 12, </w:t>
            </w:r>
          </w:p>
          <w:p w14:paraId="0AB83CEE" w14:textId="19F8F4AA" w:rsidR="001E5F25" w:rsidRPr="001E5F25" w:rsidRDefault="001E5F25" w:rsidP="001E5F25">
            <w:pP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Párrafo 36.</w:t>
            </w:r>
          </w:p>
        </w:tc>
        <w:tc>
          <w:tcPr>
            <w:tcW w:w="1891" w:type="dxa"/>
            <w:tcBorders>
              <w:top w:val="nil"/>
              <w:left w:val="nil"/>
              <w:bottom w:val="single" w:sz="8" w:space="0" w:color="auto"/>
              <w:right w:val="single" w:sz="8" w:space="0" w:color="auto"/>
            </w:tcBorders>
            <w:shd w:val="clear" w:color="auto" w:fill="auto"/>
            <w:vAlign w:val="center"/>
            <w:hideMark/>
          </w:tcPr>
          <w:p w14:paraId="59063C38"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DGCN</w:t>
            </w:r>
          </w:p>
        </w:tc>
      </w:tr>
      <w:tr w:rsidR="001E5F25" w:rsidRPr="001E5F25" w14:paraId="7B48AB07" w14:textId="77777777" w:rsidTr="00B758C6">
        <w:trPr>
          <w:gridAfter w:val="1"/>
          <w:wAfter w:w="7" w:type="dxa"/>
          <w:trHeight w:val="320"/>
        </w:trPr>
        <w:tc>
          <w:tcPr>
            <w:tcW w:w="540" w:type="dxa"/>
            <w:tcBorders>
              <w:top w:val="nil"/>
              <w:left w:val="single" w:sz="8" w:space="0" w:color="auto"/>
              <w:bottom w:val="single" w:sz="8" w:space="0" w:color="auto"/>
              <w:right w:val="single" w:sz="8" w:space="0" w:color="auto"/>
            </w:tcBorders>
            <w:shd w:val="clear" w:color="auto" w:fill="auto"/>
            <w:vAlign w:val="center"/>
            <w:hideMark/>
          </w:tcPr>
          <w:p w14:paraId="5DCE97A2"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660" w:type="dxa"/>
            <w:tcBorders>
              <w:top w:val="nil"/>
              <w:left w:val="nil"/>
              <w:bottom w:val="single" w:sz="8" w:space="0" w:color="auto"/>
              <w:right w:val="single" w:sz="8" w:space="0" w:color="auto"/>
            </w:tcBorders>
            <w:shd w:val="clear" w:color="auto" w:fill="auto"/>
            <w:vAlign w:val="center"/>
            <w:hideMark/>
          </w:tcPr>
          <w:p w14:paraId="599BFEC3"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6</w:t>
            </w:r>
          </w:p>
        </w:tc>
        <w:tc>
          <w:tcPr>
            <w:tcW w:w="520" w:type="dxa"/>
            <w:tcBorders>
              <w:top w:val="nil"/>
              <w:left w:val="nil"/>
              <w:bottom w:val="single" w:sz="8" w:space="0" w:color="auto"/>
              <w:right w:val="single" w:sz="8" w:space="0" w:color="auto"/>
            </w:tcBorders>
            <w:shd w:val="clear" w:color="auto" w:fill="auto"/>
            <w:vAlign w:val="center"/>
            <w:hideMark/>
          </w:tcPr>
          <w:p w14:paraId="508961AB"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4</w:t>
            </w:r>
          </w:p>
        </w:tc>
        <w:tc>
          <w:tcPr>
            <w:tcW w:w="3740" w:type="dxa"/>
            <w:tcBorders>
              <w:top w:val="nil"/>
              <w:left w:val="nil"/>
              <w:bottom w:val="single" w:sz="8" w:space="0" w:color="auto"/>
              <w:right w:val="single" w:sz="8" w:space="0" w:color="auto"/>
            </w:tcBorders>
            <w:shd w:val="clear" w:color="auto" w:fill="auto"/>
            <w:vAlign w:val="center"/>
            <w:hideMark/>
          </w:tcPr>
          <w:p w14:paraId="4174CD5D" w14:textId="77777777" w:rsidR="001E5F25" w:rsidRPr="001E5F25" w:rsidRDefault="001E5F25" w:rsidP="001E5F25">
            <w:pPr>
              <w:jc w:val="both"/>
              <w:rPr>
                <w:rFonts w:ascii="Arial Narrow" w:eastAsia="Times New Roman" w:hAnsi="Arial Narrow" w:cs="Calibri"/>
                <w:b/>
                <w:bCs/>
                <w:color w:val="000000"/>
                <w:sz w:val="22"/>
                <w:szCs w:val="22"/>
                <w:lang w:val="es-CR"/>
              </w:rPr>
            </w:pPr>
            <w:r w:rsidRPr="001E5F25">
              <w:rPr>
                <w:rFonts w:ascii="Arial Narrow" w:eastAsia="Times New Roman" w:hAnsi="Arial Narrow" w:cs="Calibri"/>
                <w:b/>
                <w:bCs/>
                <w:color w:val="000000"/>
                <w:sz w:val="22"/>
                <w:szCs w:val="22"/>
                <w:lang w:val="es-CR"/>
              </w:rPr>
              <w:t>Inversión neta en un negocio extranjero</w:t>
            </w:r>
          </w:p>
        </w:tc>
        <w:tc>
          <w:tcPr>
            <w:tcW w:w="2043" w:type="dxa"/>
            <w:tcBorders>
              <w:top w:val="nil"/>
              <w:left w:val="nil"/>
              <w:bottom w:val="single" w:sz="8" w:space="0" w:color="auto"/>
              <w:right w:val="single" w:sz="8" w:space="0" w:color="auto"/>
            </w:tcBorders>
            <w:shd w:val="clear" w:color="auto" w:fill="auto"/>
            <w:vAlign w:val="center"/>
            <w:hideMark/>
          </w:tcPr>
          <w:p w14:paraId="4A0969A7" w14:textId="77777777" w:rsidR="001E5F25" w:rsidRDefault="001E5F25" w:rsidP="001E5F25">
            <w:pP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 xml:space="preserve">NICSP N° 12, </w:t>
            </w:r>
          </w:p>
          <w:p w14:paraId="38F7465F" w14:textId="63979A5A" w:rsidR="001E5F25" w:rsidRPr="001E5F25" w:rsidRDefault="001E5F25" w:rsidP="001E5F25">
            <w:pP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Párrafo 37.</w:t>
            </w:r>
          </w:p>
        </w:tc>
        <w:tc>
          <w:tcPr>
            <w:tcW w:w="1891" w:type="dxa"/>
            <w:tcBorders>
              <w:top w:val="nil"/>
              <w:left w:val="nil"/>
              <w:bottom w:val="single" w:sz="8" w:space="0" w:color="auto"/>
              <w:right w:val="single" w:sz="8" w:space="0" w:color="auto"/>
            </w:tcBorders>
            <w:shd w:val="clear" w:color="auto" w:fill="auto"/>
            <w:vAlign w:val="center"/>
            <w:hideMark/>
          </w:tcPr>
          <w:p w14:paraId="01537F56" w14:textId="77777777" w:rsidR="001E5F25" w:rsidRPr="001E5F25" w:rsidRDefault="001E5F25" w:rsidP="001E5F25">
            <w:pPr>
              <w:jc w:val="center"/>
              <w:rPr>
                <w:rFonts w:ascii="Arial Narrow" w:eastAsia="Times New Roman" w:hAnsi="Arial Narrow" w:cs="Calibri"/>
                <w:b/>
                <w:bCs/>
                <w:color w:val="000000"/>
                <w:sz w:val="22"/>
                <w:szCs w:val="22"/>
              </w:rPr>
            </w:pPr>
            <w:r w:rsidRPr="001E5F25">
              <w:rPr>
                <w:rFonts w:ascii="Arial Narrow" w:eastAsia="Times New Roman" w:hAnsi="Arial Narrow" w:cs="Calibri"/>
                <w:b/>
                <w:bCs/>
                <w:color w:val="000000"/>
                <w:sz w:val="22"/>
                <w:szCs w:val="22"/>
              </w:rPr>
              <w:t>DGCN</w:t>
            </w:r>
          </w:p>
        </w:tc>
      </w:tr>
    </w:tbl>
    <w:p w14:paraId="4898E6C1" w14:textId="77777777" w:rsidR="00594878" w:rsidRDefault="00594878" w:rsidP="00594878">
      <w:pPr>
        <w:pStyle w:val="Default"/>
        <w:jc w:val="both"/>
        <w:rPr>
          <w:sz w:val="23"/>
          <w:szCs w:val="23"/>
          <w:lang w:val="es-CR"/>
        </w:rPr>
      </w:pPr>
    </w:p>
    <w:p w14:paraId="0DC0D89D" w14:textId="77777777" w:rsidR="00B758C6" w:rsidRDefault="00B758C6" w:rsidP="00B758C6">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02D87D6" w14:textId="77777777" w:rsidR="00B758C6" w:rsidRDefault="00B758C6" w:rsidP="00594878">
      <w:pPr>
        <w:pStyle w:val="Default"/>
        <w:jc w:val="both"/>
        <w:rPr>
          <w:sz w:val="23"/>
          <w:szCs w:val="23"/>
          <w:lang w:val="es-CR"/>
        </w:rPr>
      </w:pPr>
    </w:p>
    <w:p w14:paraId="0CC382B6" w14:textId="0774ACBE" w:rsidR="001E5F25" w:rsidRDefault="001E5F25" w:rsidP="001E5F25">
      <w:pPr>
        <w:pStyle w:val="Default"/>
        <w:ind w:left="1134" w:hanging="1134"/>
        <w:jc w:val="both"/>
        <w:rPr>
          <w:sz w:val="22"/>
          <w:szCs w:val="22"/>
          <w:lang w:val="es-CR"/>
        </w:rPr>
      </w:pPr>
      <w:r>
        <w:rPr>
          <w:sz w:val="22"/>
          <w:szCs w:val="22"/>
          <w:lang w:val="es-CR"/>
        </w:rPr>
        <w:t>6.6.0.01</w:t>
      </w:r>
      <w:r>
        <w:rPr>
          <w:sz w:val="22"/>
          <w:szCs w:val="22"/>
          <w:lang w:val="es-CR"/>
        </w:rPr>
        <w:tab/>
      </w:r>
      <w:r w:rsidRPr="001E5F25">
        <w:rPr>
          <w:sz w:val="22"/>
          <w:szCs w:val="22"/>
          <w:lang w:val="es-CR"/>
        </w:rPr>
        <w:t>Teniendo en cuenta el SPC se formula la estructura de los EEFF y de los EFC para dicho sector, donde se estipula:</w:t>
      </w:r>
    </w:p>
    <w:p w14:paraId="69984CA0" w14:textId="77777777" w:rsidR="001E5F25" w:rsidRPr="001E5F25" w:rsidRDefault="001E5F25" w:rsidP="001E5F25">
      <w:pPr>
        <w:pStyle w:val="Default"/>
        <w:ind w:left="1134" w:hanging="1134"/>
        <w:jc w:val="both"/>
        <w:rPr>
          <w:sz w:val="22"/>
          <w:szCs w:val="22"/>
          <w:lang w:val="es-CR"/>
        </w:rPr>
      </w:pPr>
    </w:p>
    <w:p w14:paraId="437A456D" w14:textId="06D74BA4" w:rsidR="001E5F25" w:rsidRPr="001E5F25" w:rsidRDefault="001E5F25">
      <w:pPr>
        <w:pStyle w:val="Default"/>
        <w:numPr>
          <w:ilvl w:val="0"/>
          <w:numId w:val="316"/>
        </w:numPr>
        <w:spacing w:after="120"/>
        <w:ind w:left="1418" w:hanging="284"/>
        <w:jc w:val="both"/>
        <w:rPr>
          <w:sz w:val="22"/>
          <w:szCs w:val="22"/>
          <w:lang w:val="es-CR"/>
        </w:rPr>
      </w:pPr>
      <w:r>
        <w:rPr>
          <w:sz w:val="22"/>
          <w:szCs w:val="22"/>
          <w:lang w:val="es-CR"/>
        </w:rPr>
        <w:t>L</w:t>
      </w:r>
      <w:r w:rsidRPr="001E5F25">
        <w:rPr>
          <w:sz w:val="22"/>
          <w:szCs w:val="22"/>
          <w:lang w:val="es-CR"/>
        </w:rPr>
        <w:t xml:space="preserve">a clasificación en entes contables (EC); </w:t>
      </w:r>
    </w:p>
    <w:p w14:paraId="44C6411C" w14:textId="693FF11A" w:rsidR="001E5F25" w:rsidRPr="001E5F25" w:rsidRDefault="001E5F25">
      <w:pPr>
        <w:pStyle w:val="Default"/>
        <w:numPr>
          <w:ilvl w:val="0"/>
          <w:numId w:val="316"/>
        </w:numPr>
        <w:spacing w:after="120"/>
        <w:ind w:left="1418" w:hanging="284"/>
        <w:jc w:val="both"/>
        <w:rPr>
          <w:sz w:val="22"/>
          <w:szCs w:val="22"/>
          <w:lang w:val="es-CR"/>
        </w:rPr>
      </w:pPr>
      <w:r>
        <w:rPr>
          <w:sz w:val="22"/>
          <w:szCs w:val="22"/>
          <w:lang w:val="es-CR"/>
        </w:rPr>
        <w:t>L</w:t>
      </w:r>
      <w:r w:rsidRPr="001E5F25">
        <w:rPr>
          <w:sz w:val="22"/>
          <w:szCs w:val="22"/>
          <w:lang w:val="es-CR"/>
        </w:rPr>
        <w:t xml:space="preserve">as Normas que corresponde aplicar (NICSP o NIC/NIIF); </w:t>
      </w:r>
    </w:p>
    <w:p w14:paraId="04BCB933" w14:textId="5D20A089" w:rsidR="001E5F25" w:rsidRPr="001E5F25" w:rsidRDefault="001E5F25">
      <w:pPr>
        <w:pStyle w:val="Default"/>
        <w:numPr>
          <w:ilvl w:val="0"/>
          <w:numId w:val="316"/>
        </w:numPr>
        <w:spacing w:after="120"/>
        <w:ind w:left="1418" w:hanging="284"/>
        <w:jc w:val="both"/>
        <w:rPr>
          <w:sz w:val="22"/>
          <w:szCs w:val="22"/>
          <w:lang w:val="es-CR"/>
        </w:rPr>
      </w:pPr>
      <w:r>
        <w:rPr>
          <w:sz w:val="22"/>
          <w:szCs w:val="22"/>
          <w:lang w:val="es-CR"/>
        </w:rPr>
        <w:t>L</w:t>
      </w:r>
      <w:r w:rsidRPr="001E5F25">
        <w:rPr>
          <w:sz w:val="22"/>
          <w:szCs w:val="22"/>
          <w:lang w:val="es-CR"/>
        </w:rPr>
        <w:t xml:space="preserve">a Unidad de Consolidación (DGCN); </w:t>
      </w:r>
    </w:p>
    <w:p w14:paraId="57198DD4" w14:textId="52F55634" w:rsidR="001E5F25" w:rsidRPr="001E5F25" w:rsidRDefault="001E5F25">
      <w:pPr>
        <w:pStyle w:val="Default"/>
        <w:numPr>
          <w:ilvl w:val="0"/>
          <w:numId w:val="316"/>
        </w:numPr>
        <w:spacing w:after="120"/>
        <w:ind w:left="1418" w:hanging="284"/>
        <w:jc w:val="both"/>
        <w:rPr>
          <w:sz w:val="22"/>
          <w:szCs w:val="22"/>
          <w:lang w:val="es-CR"/>
        </w:rPr>
      </w:pPr>
      <w:r>
        <w:rPr>
          <w:sz w:val="22"/>
          <w:szCs w:val="22"/>
          <w:lang w:val="es-CR"/>
        </w:rPr>
        <w:t>L</w:t>
      </w:r>
      <w:r w:rsidRPr="001E5F25">
        <w:rPr>
          <w:sz w:val="22"/>
          <w:szCs w:val="22"/>
          <w:lang w:val="es-CR"/>
        </w:rPr>
        <w:t xml:space="preserve">os Centros de Consolidación; y </w:t>
      </w:r>
    </w:p>
    <w:p w14:paraId="7C324149" w14:textId="77777777" w:rsidR="001E5F25" w:rsidRDefault="001E5F25">
      <w:pPr>
        <w:pStyle w:val="Default"/>
        <w:numPr>
          <w:ilvl w:val="0"/>
          <w:numId w:val="316"/>
        </w:numPr>
        <w:ind w:left="1418" w:hanging="284"/>
        <w:jc w:val="both"/>
        <w:rPr>
          <w:sz w:val="22"/>
          <w:szCs w:val="22"/>
          <w:lang w:val="es-CR"/>
        </w:rPr>
      </w:pPr>
      <w:r>
        <w:rPr>
          <w:sz w:val="22"/>
          <w:szCs w:val="22"/>
          <w:lang w:val="es-CR"/>
        </w:rPr>
        <w:t>L</w:t>
      </w:r>
      <w:r w:rsidRPr="001E5F25">
        <w:rPr>
          <w:sz w:val="22"/>
          <w:szCs w:val="22"/>
          <w:lang w:val="es-CR"/>
        </w:rPr>
        <w:t>os responsables de la emisión de los EEFF y de los EFC.</w:t>
      </w:r>
    </w:p>
    <w:p w14:paraId="0A62CF9E" w14:textId="12C07417" w:rsidR="001E5F25" w:rsidRPr="001E5F25" w:rsidRDefault="001E5F25" w:rsidP="001E5F25">
      <w:pPr>
        <w:pStyle w:val="Default"/>
        <w:ind w:left="1418"/>
        <w:jc w:val="both"/>
        <w:rPr>
          <w:sz w:val="22"/>
          <w:szCs w:val="22"/>
          <w:lang w:val="es-CR"/>
        </w:rPr>
      </w:pPr>
      <w:r w:rsidRPr="001E5F25">
        <w:rPr>
          <w:sz w:val="22"/>
          <w:szCs w:val="22"/>
          <w:lang w:val="es-CR"/>
        </w:rPr>
        <w:t xml:space="preserve"> </w:t>
      </w:r>
    </w:p>
    <w:p w14:paraId="0F231431" w14:textId="3FBBD199" w:rsidR="001E5F25" w:rsidRDefault="001E5F25" w:rsidP="001E5F25">
      <w:pPr>
        <w:pStyle w:val="Default"/>
        <w:ind w:left="1134" w:hanging="1134"/>
        <w:jc w:val="both"/>
        <w:rPr>
          <w:sz w:val="22"/>
          <w:szCs w:val="22"/>
          <w:lang w:val="es-CR"/>
        </w:rPr>
      </w:pPr>
      <w:r>
        <w:rPr>
          <w:sz w:val="22"/>
          <w:szCs w:val="22"/>
          <w:lang w:val="es-CR"/>
        </w:rPr>
        <w:t>6.6.</w:t>
      </w:r>
      <w:r w:rsidRPr="001E5F25">
        <w:rPr>
          <w:sz w:val="22"/>
          <w:szCs w:val="22"/>
          <w:lang w:val="es-CR"/>
        </w:rPr>
        <w:t>1.</w:t>
      </w:r>
      <w:r>
        <w:rPr>
          <w:sz w:val="22"/>
          <w:szCs w:val="22"/>
          <w:lang w:val="es-CR"/>
        </w:rPr>
        <w:t>01</w:t>
      </w:r>
      <w:r>
        <w:rPr>
          <w:sz w:val="22"/>
          <w:szCs w:val="22"/>
          <w:lang w:val="es-CR"/>
        </w:rPr>
        <w:tab/>
      </w:r>
      <w:r w:rsidRPr="001E5F25">
        <w:rPr>
          <w:sz w:val="22"/>
          <w:szCs w:val="22"/>
          <w:lang w:val="es-CR"/>
        </w:rPr>
        <w:t>La responsabilidad en la preparación y presentación de los EEFF varía dentro de cada jurisdicción y entre jurisdicciones distintas, dependiendo de la estructura que las entidades tengan. Los EEFF deberán ser firmados por el Contador a cargo, el cual debe estar debidamente acreditado para ello, requiriéndose adicionalmente la firma y aprobación del Director Ejecutivo o jerarca de la entidad correspondiente, siendo ambos los responsables de dichos estados.</w:t>
      </w:r>
    </w:p>
    <w:p w14:paraId="697024A5" w14:textId="77777777" w:rsidR="001E5F25" w:rsidRPr="001E5F25" w:rsidRDefault="001E5F25" w:rsidP="001E5F25">
      <w:pPr>
        <w:pStyle w:val="Default"/>
        <w:ind w:left="1134" w:hanging="1134"/>
        <w:jc w:val="both"/>
        <w:rPr>
          <w:sz w:val="22"/>
          <w:szCs w:val="22"/>
          <w:lang w:val="es-CR"/>
        </w:rPr>
      </w:pPr>
    </w:p>
    <w:p w14:paraId="4FCA551F" w14:textId="2FB9C00B" w:rsidR="001E5F25" w:rsidRDefault="001E5F25" w:rsidP="001E5F25">
      <w:pPr>
        <w:pStyle w:val="Default"/>
        <w:ind w:left="1134" w:hanging="1134"/>
        <w:jc w:val="both"/>
        <w:rPr>
          <w:sz w:val="22"/>
          <w:szCs w:val="22"/>
          <w:lang w:val="es-CR"/>
        </w:rPr>
      </w:pPr>
      <w:r>
        <w:rPr>
          <w:sz w:val="22"/>
          <w:szCs w:val="22"/>
          <w:lang w:val="es-CR"/>
        </w:rPr>
        <w:t>6.6.</w:t>
      </w:r>
      <w:r w:rsidRPr="001E5F25">
        <w:rPr>
          <w:sz w:val="22"/>
          <w:szCs w:val="22"/>
          <w:lang w:val="es-CR"/>
        </w:rPr>
        <w:t>2.</w:t>
      </w:r>
      <w:r>
        <w:rPr>
          <w:sz w:val="22"/>
          <w:szCs w:val="22"/>
          <w:lang w:val="es-CR"/>
        </w:rPr>
        <w:t>01</w:t>
      </w:r>
      <w:r>
        <w:rPr>
          <w:sz w:val="22"/>
          <w:szCs w:val="22"/>
          <w:lang w:val="es-CR"/>
        </w:rPr>
        <w:tab/>
      </w:r>
      <w:r w:rsidRPr="001E5F25">
        <w:rPr>
          <w:sz w:val="22"/>
          <w:szCs w:val="22"/>
          <w:lang w:val="es-CR"/>
        </w:rPr>
        <w:t>Los contadores que firmen EEFF deberán reunir el nivel de conocimientos y experiencia establecido por las Normas Internacionales de Formación de Contadores del Consejo de Normas Internacionales de Formación de Contadurías (IAESB, por su sigla en inglés)69 de la IFAC encuadrados dentro de las leyes que regulan la Profesión Contable en Costa Rica.</w:t>
      </w:r>
    </w:p>
    <w:p w14:paraId="724F498C" w14:textId="77777777" w:rsidR="001E5F25" w:rsidRPr="001E5F25" w:rsidRDefault="001E5F25" w:rsidP="001E5F25">
      <w:pPr>
        <w:pStyle w:val="Default"/>
        <w:ind w:left="1134" w:hanging="1134"/>
        <w:jc w:val="both"/>
        <w:rPr>
          <w:sz w:val="22"/>
          <w:szCs w:val="22"/>
          <w:lang w:val="es-CR"/>
        </w:rPr>
      </w:pPr>
    </w:p>
    <w:p w14:paraId="20305E61" w14:textId="044C85DB" w:rsidR="001E5F25" w:rsidRDefault="001E5F25" w:rsidP="001E5F25">
      <w:pPr>
        <w:pStyle w:val="Default"/>
        <w:ind w:left="1134" w:hanging="1134"/>
        <w:jc w:val="both"/>
        <w:rPr>
          <w:sz w:val="22"/>
          <w:szCs w:val="22"/>
          <w:lang w:val="es-CR"/>
        </w:rPr>
      </w:pPr>
      <w:r>
        <w:rPr>
          <w:sz w:val="22"/>
          <w:szCs w:val="22"/>
          <w:lang w:val="es-CR"/>
        </w:rPr>
        <w:lastRenderedPageBreak/>
        <w:t>6.6.</w:t>
      </w:r>
      <w:r w:rsidRPr="001E5F25">
        <w:rPr>
          <w:sz w:val="22"/>
          <w:szCs w:val="22"/>
          <w:lang w:val="es-CR"/>
        </w:rPr>
        <w:t>3.</w:t>
      </w:r>
      <w:r>
        <w:rPr>
          <w:sz w:val="22"/>
          <w:szCs w:val="22"/>
          <w:lang w:val="es-CR"/>
        </w:rPr>
        <w:t>01</w:t>
      </w:r>
      <w:r>
        <w:rPr>
          <w:sz w:val="22"/>
          <w:szCs w:val="22"/>
          <w:lang w:val="es-CR"/>
        </w:rPr>
        <w:tab/>
        <w:t>La Municipalidad</w:t>
      </w:r>
      <w:r w:rsidRPr="001E5F25">
        <w:rPr>
          <w:sz w:val="22"/>
          <w:szCs w:val="22"/>
          <w:lang w:val="es-CR"/>
        </w:rPr>
        <w:t xml:space="preserve"> preparará y presentará EEFF auditados</w:t>
      </w:r>
      <w:r>
        <w:rPr>
          <w:sz w:val="22"/>
          <w:szCs w:val="22"/>
          <w:lang w:val="es-CR"/>
        </w:rPr>
        <w:t xml:space="preserve"> conforme la disponibilidad de recursos</w:t>
      </w:r>
      <w:r w:rsidRPr="001E5F25">
        <w:rPr>
          <w:sz w:val="22"/>
          <w:szCs w:val="22"/>
          <w:lang w:val="es-CR"/>
        </w:rPr>
        <w:t>.</w:t>
      </w:r>
    </w:p>
    <w:p w14:paraId="755B5CA3" w14:textId="77777777" w:rsidR="001E5F25" w:rsidRPr="001E5F25" w:rsidRDefault="001E5F25" w:rsidP="001E5F25">
      <w:pPr>
        <w:pStyle w:val="Default"/>
        <w:ind w:left="1134" w:hanging="1134"/>
        <w:jc w:val="both"/>
        <w:rPr>
          <w:sz w:val="22"/>
          <w:szCs w:val="22"/>
          <w:lang w:val="es-CR"/>
        </w:rPr>
      </w:pPr>
    </w:p>
    <w:p w14:paraId="28E3C466" w14:textId="56B9E2A4" w:rsidR="00594878" w:rsidRDefault="001E5F25" w:rsidP="001E5F25">
      <w:pPr>
        <w:pStyle w:val="Default"/>
        <w:ind w:left="1134" w:hanging="1134"/>
        <w:jc w:val="both"/>
        <w:rPr>
          <w:sz w:val="22"/>
          <w:szCs w:val="22"/>
          <w:lang w:val="es-CR"/>
        </w:rPr>
      </w:pPr>
      <w:r>
        <w:rPr>
          <w:sz w:val="22"/>
          <w:szCs w:val="22"/>
          <w:lang w:val="es-CR"/>
        </w:rPr>
        <w:t>6.6.</w:t>
      </w:r>
      <w:r w:rsidRPr="001E5F25">
        <w:rPr>
          <w:sz w:val="22"/>
          <w:szCs w:val="22"/>
          <w:lang w:val="es-CR"/>
        </w:rPr>
        <w:t>4.</w:t>
      </w:r>
      <w:r>
        <w:rPr>
          <w:sz w:val="22"/>
          <w:szCs w:val="22"/>
          <w:lang w:val="es-CR"/>
        </w:rPr>
        <w:t>01</w:t>
      </w:r>
      <w:r>
        <w:rPr>
          <w:sz w:val="22"/>
          <w:szCs w:val="22"/>
          <w:lang w:val="es-CR"/>
        </w:rPr>
        <w:tab/>
      </w:r>
      <w:r w:rsidRPr="001E5F25">
        <w:rPr>
          <w:sz w:val="22"/>
          <w:szCs w:val="22"/>
          <w:lang w:val="es-CR"/>
        </w:rPr>
        <w:t xml:space="preserve">Una vez definida la estructura contable a regir para el reconocimiento de transacciones y elaboración de EEFF, la DGCN determinará, a través de PPC o normativa contable, la estructura de elaboración y consolidación de información financiera </w:t>
      </w:r>
      <w:r>
        <w:rPr>
          <w:sz w:val="22"/>
          <w:szCs w:val="22"/>
          <w:lang w:val="es-CR"/>
        </w:rPr>
        <w:t>correspondiente</w:t>
      </w:r>
      <w:r w:rsidRPr="001E5F25">
        <w:rPr>
          <w:sz w:val="22"/>
          <w:szCs w:val="22"/>
          <w:lang w:val="es-CR"/>
        </w:rPr>
        <w:t>, así como la responsabilidad por la elaboración y emisión de EEFF para cada EC, así como de EFC</w:t>
      </w:r>
      <w:r w:rsidR="008E4648">
        <w:rPr>
          <w:sz w:val="22"/>
          <w:szCs w:val="22"/>
          <w:lang w:val="es-CR"/>
        </w:rPr>
        <w:t>.</w:t>
      </w:r>
    </w:p>
    <w:p w14:paraId="4BDF56A4" w14:textId="77777777" w:rsidR="00B758C6" w:rsidRDefault="00B758C6" w:rsidP="001E5F25">
      <w:pPr>
        <w:pStyle w:val="Default"/>
        <w:ind w:left="1134" w:hanging="1134"/>
        <w:jc w:val="both"/>
        <w:rPr>
          <w:sz w:val="22"/>
          <w:szCs w:val="22"/>
          <w:lang w:val="es-CR"/>
        </w:rPr>
      </w:pPr>
    </w:p>
    <w:p w14:paraId="768D929A" w14:textId="77777777" w:rsidR="008E4648" w:rsidRPr="001E5F25" w:rsidRDefault="008E4648" w:rsidP="001E5F25">
      <w:pPr>
        <w:pStyle w:val="Default"/>
        <w:ind w:left="1134" w:hanging="1134"/>
        <w:jc w:val="both"/>
        <w:rPr>
          <w:sz w:val="22"/>
          <w:szCs w:val="22"/>
          <w:lang w:val="es-CR"/>
        </w:rPr>
      </w:pPr>
    </w:p>
    <w:p w14:paraId="1F726713" w14:textId="77777777" w:rsidR="00594878" w:rsidRDefault="00594878" w:rsidP="001E5F25">
      <w:pPr>
        <w:pStyle w:val="Default"/>
        <w:jc w:val="both"/>
        <w:rPr>
          <w:sz w:val="22"/>
          <w:szCs w:val="22"/>
          <w:lang w:val="es-CR"/>
        </w:rPr>
      </w:pPr>
    </w:p>
    <w:tbl>
      <w:tblPr>
        <w:tblW w:w="9347" w:type="dxa"/>
        <w:tblLook w:val="04A0" w:firstRow="1" w:lastRow="0" w:firstColumn="1" w:lastColumn="0" w:noHBand="0" w:noVBand="1"/>
      </w:tblPr>
      <w:tblGrid>
        <w:gridCol w:w="416"/>
        <w:gridCol w:w="708"/>
        <w:gridCol w:w="427"/>
        <w:gridCol w:w="3663"/>
        <w:gridCol w:w="2236"/>
        <w:gridCol w:w="1897"/>
      </w:tblGrid>
      <w:tr w:rsidR="008E4648" w:rsidRPr="008E4648" w14:paraId="3F27A0D4" w14:textId="77777777" w:rsidTr="00B758C6">
        <w:trPr>
          <w:trHeight w:val="300"/>
        </w:trPr>
        <w:tc>
          <w:tcPr>
            <w:tcW w:w="155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4F32870" w14:textId="77777777" w:rsidR="008E4648" w:rsidRPr="008E4648" w:rsidRDefault="008E4648" w:rsidP="008E4648">
            <w:pPr>
              <w:jc w:val="center"/>
              <w:rPr>
                <w:rFonts w:ascii="Arial Narrow" w:eastAsia="Times New Roman" w:hAnsi="Arial Narrow" w:cs="Calibri"/>
                <w:b/>
                <w:bCs/>
                <w:color w:val="FFFFFF"/>
                <w:sz w:val="22"/>
                <w:szCs w:val="22"/>
              </w:rPr>
            </w:pPr>
            <w:r w:rsidRPr="008E4648">
              <w:rPr>
                <w:rFonts w:ascii="Arial Narrow" w:eastAsia="Times New Roman" w:hAnsi="Arial Narrow" w:cs="Calibri"/>
                <w:b/>
                <w:bCs/>
                <w:color w:val="FFFFFF"/>
                <w:sz w:val="22"/>
                <w:szCs w:val="22"/>
              </w:rPr>
              <w:t>Norma / Política</w:t>
            </w:r>
          </w:p>
        </w:tc>
        <w:tc>
          <w:tcPr>
            <w:tcW w:w="3663" w:type="dxa"/>
            <w:vMerge w:val="restart"/>
            <w:tcBorders>
              <w:top w:val="single" w:sz="8" w:space="0" w:color="auto"/>
              <w:left w:val="single" w:sz="8" w:space="0" w:color="auto"/>
              <w:bottom w:val="nil"/>
              <w:right w:val="single" w:sz="8" w:space="0" w:color="auto"/>
            </w:tcBorders>
            <w:shd w:val="clear" w:color="000000" w:fill="203764"/>
            <w:vAlign w:val="center"/>
            <w:hideMark/>
          </w:tcPr>
          <w:p w14:paraId="2F635862" w14:textId="77777777" w:rsidR="008E4648" w:rsidRPr="008E4648" w:rsidRDefault="008E4648" w:rsidP="008E4648">
            <w:pPr>
              <w:jc w:val="center"/>
              <w:rPr>
                <w:rFonts w:ascii="Arial Narrow" w:eastAsia="Times New Roman" w:hAnsi="Arial Narrow" w:cs="Calibri"/>
                <w:b/>
                <w:bCs/>
                <w:color w:val="FFFFFF"/>
                <w:sz w:val="22"/>
                <w:szCs w:val="22"/>
              </w:rPr>
            </w:pPr>
            <w:r w:rsidRPr="008E4648">
              <w:rPr>
                <w:rFonts w:ascii="Arial Narrow" w:eastAsia="Times New Roman" w:hAnsi="Arial Narrow" w:cs="Calibri"/>
                <w:b/>
                <w:bCs/>
                <w:color w:val="FFFFFF"/>
                <w:sz w:val="22"/>
                <w:szCs w:val="22"/>
              </w:rPr>
              <w:t>Concepto</w:t>
            </w:r>
          </w:p>
        </w:tc>
        <w:tc>
          <w:tcPr>
            <w:tcW w:w="4133" w:type="dxa"/>
            <w:gridSpan w:val="2"/>
            <w:tcBorders>
              <w:top w:val="single" w:sz="8" w:space="0" w:color="auto"/>
              <w:left w:val="nil"/>
              <w:bottom w:val="single" w:sz="8" w:space="0" w:color="auto"/>
              <w:right w:val="single" w:sz="8" w:space="0" w:color="000000"/>
            </w:tcBorders>
            <w:shd w:val="clear" w:color="000000" w:fill="203764"/>
            <w:vAlign w:val="center"/>
            <w:hideMark/>
          </w:tcPr>
          <w:p w14:paraId="11427FA5" w14:textId="77777777" w:rsidR="008E4648" w:rsidRPr="008E4648" w:rsidRDefault="008E4648" w:rsidP="008E4648">
            <w:pPr>
              <w:jc w:val="center"/>
              <w:rPr>
                <w:rFonts w:ascii="Arial Narrow" w:eastAsia="Times New Roman" w:hAnsi="Arial Narrow" w:cs="Calibri"/>
                <w:b/>
                <w:bCs/>
                <w:color w:val="FFFFFF"/>
                <w:sz w:val="22"/>
                <w:szCs w:val="22"/>
              </w:rPr>
            </w:pPr>
            <w:r w:rsidRPr="008E4648">
              <w:rPr>
                <w:rFonts w:ascii="Arial Narrow" w:eastAsia="Times New Roman" w:hAnsi="Arial Narrow" w:cs="Calibri"/>
                <w:b/>
                <w:bCs/>
                <w:color w:val="FFFFFF"/>
                <w:sz w:val="22"/>
                <w:szCs w:val="22"/>
              </w:rPr>
              <w:t>Referencia</w:t>
            </w:r>
          </w:p>
        </w:tc>
      </w:tr>
      <w:tr w:rsidR="008E4648" w:rsidRPr="006E5442" w14:paraId="26407893" w14:textId="77777777" w:rsidTr="00B758C6">
        <w:trPr>
          <w:trHeight w:val="850"/>
        </w:trPr>
        <w:tc>
          <w:tcPr>
            <w:tcW w:w="1551" w:type="dxa"/>
            <w:gridSpan w:val="3"/>
            <w:vMerge/>
            <w:tcBorders>
              <w:top w:val="single" w:sz="8" w:space="0" w:color="auto"/>
              <w:left w:val="single" w:sz="8" w:space="0" w:color="auto"/>
              <w:bottom w:val="nil"/>
              <w:right w:val="single" w:sz="8" w:space="0" w:color="000000"/>
            </w:tcBorders>
            <w:vAlign w:val="center"/>
            <w:hideMark/>
          </w:tcPr>
          <w:p w14:paraId="6E51AE38" w14:textId="77777777" w:rsidR="008E4648" w:rsidRPr="008E4648" w:rsidRDefault="008E4648" w:rsidP="008E4648">
            <w:pPr>
              <w:rPr>
                <w:rFonts w:ascii="Arial Narrow" w:eastAsia="Times New Roman" w:hAnsi="Arial Narrow" w:cs="Calibri"/>
                <w:b/>
                <w:bCs/>
                <w:color w:val="FFFFFF"/>
                <w:sz w:val="22"/>
                <w:szCs w:val="22"/>
              </w:rPr>
            </w:pPr>
          </w:p>
        </w:tc>
        <w:tc>
          <w:tcPr>
            <w:tcW w:w="3663" w:type="dxa"/>
            <w:vMerge/>
            <w:tcBorders>
              <w:top w:val="single" w:sz="8" w:space="0" w:color="auto"/>
              <w:left w:val="single" w:sz="8" w:space="0" w:color="auto"/>
              <w:bottom w:val="nil"/>
              <w:right w:val="single" w:sz="8" w:space="0" w:color="auto"/>
            </w:tcBorders>
            <w:vAlign w:val="center"/>
            <w:hideMark/>
          </w:tcPr>
          <w:p w14:paraId="4E9585F1" w14:textId="77777777" w:rsidR="008E4648" w:rsidRPr="008E4648" w:rsidRDefault="008E4648" w:rsidP="008E4648">
            <w:pPr>
              <w:rPr>
                <w:rFonts w:ascii="Arial Narrow" w:eastAsia="Times New Roman" w:hAnsi="Arial Narrow" w:cs="Calibri"/>
                <w:b/>
                <w:bCs/>
                <w:color w:val="FFFFFF"/>
                <w:sz w:val="22"/>
                <w:szCs w:val="22"/>
              </w:rPr>
            </w:pPr>
          </w:p>
        </w:tc>
        <w:tc>
          <w:tcPr>
            <w:tcW w:w="2236" w:type="dxa"/>
            <w:tcBorders>
              <w:top w:val="nil"/>
              <w:left w:val="nil"/>
              <w:bottom w:val="nil"/>
              <w:right w:val="single" w:sz="8" w:space="0" w:color="auto"/>
            </w:tcBorders>
            <w:shd w:val="clear" w:color="000000" w:fill="203764"/>
            <w:vAlign w:val="center"/>
            <w:hideMark/>
          </w:tcPr>
          <w:p w14:paraId="59404218" w14:textId="77777777" w:rsidR="008E4648" w:rsidRPr="008E4648" w:rsidRDefault="008E4648" w:rsidP="008E4648">
            <w:pPr>
              <w:jc w:val="center"/>
              <w:rPr>
                <w:rFonts w:ascii="Arial Narrow" w:eastAsia="Times New Roman" w:hAnsi="Arial Narrow" w:cs="Calibri"/>
                <w:b/>
                <w:bCs/>
                <w:color w:val="FFFFFF"/>
                <w:sz w:val="22"/>
                <w:szCs w:val="22"/>
              </w:rPr>
            </w:pPr>
            <w:r w:rsidRPr="008E4648">
              <w:rPr>
                <w:rFonts w:ascii="Arial Narrow" w:eastAsia="Times New Roman" w:hAnsi="Arial Narrow" w:cs="Calibri"/>
                <w:b/>
                <w:bCs/>
                <w:color w:val="FFFFFF"/>
                <w:sz w:val="22"/>
                <w:szCs w:val="22"/>
              </w:rPr>
              <w:t>Norma</w:t>
            </w:r>
          </w:p>
        </w:tc>
        <w:tc>
          <w:tcPr>
            <w:tcW w:w="1897" w:type="dxa"/>
            <w:tcBorders>
              <w:top w:val="nil"/>
              <w:left w:val="nil"/>
              <w:bottom w:val="nil"/>
              <w:right w:val="single" w:sz="8" w:space="0" w:color="auto"/>
            </w:tcBorders>
            <w:shd w:val="clear" w:color="000000" w:fill="203764"/>
            <w:vAlign w:val="center"/>
            <w:hideMark/>
          </w:tcPr>
          <w:p w14:paraId="113480DE" w14:textId="77777777" w:rsidR="008E4648" w:rsidRPr="008E4648" w:rsidRDefault="008E4648" w:rsidP="008E4648">
            <w:pPr>
              <w:jc w:val="center"/>
              <w:rPr>
                <w:rFonts w:ascii="Arial Narrow" w:eastAsia="Times New Roman" w:hAnsi="Arial Narrow" w:cs="Calibri"/>
                <w:b/>
                <w:bCs/>
                <w:color w:val="FFFFFF"/>
                <w:sz w:val="22"/>
                <w:szCs w:val="22"/>
                <w:lang w:val="es-CR"/>
              </w:rPr>
            </w:pPr>
            <w:r w:rsidRPr="008E4648">
              <w:rPr>
                <w:rFonts w:ascii="Arial Narrow" w:eastAsia="Times New Roman" w:hAnsi="Arial Narrow" w:cs="Calibri"/>
                <w:b/>
                <w:bCs/>
                <w:color w:val="FFFFFF"/>
                <w:sz w:val="22"/>
                <w:szCs w:val="22"/>
                <w:lang w:val="es-CR"/>
              </w:rPr>
              <w:t>Normativa técnica y disposiciones adicionales</w:t>
            </w:r>
          </w:p>
        </w:tc>
      </w:tr>
      <w:tr w:rsidR="008E4648" w:rsidRPr="008E4648" w14:paraId="54A9F592" w14:textId="77777777" w:rsidTr="00B758C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5E7486" w14:textId="77777777" w:rsidR="008E4648" w:rsidRPr="008E4648" w:rsidRDefault="008E4648" w:rsidP="008E4648">
            <w:pPr>
              <w:jc w:val="center"/>
              <w:rPr>
                <w:rFonts w:ascii="Arial Narrow" w:eastAsia="Times New Roman" w:hAnsi="Arial Narrow" w:cs="Calibri"/>
                <w:b/>
                <w:bCs/>
                <w:color w:val="000000"/>
                <w:sz w:val="22"/>
                <w:szCs w:val="22"/>
              </w:rPr>
            </w:pPr>
            <w:r w:rsidRPr="008E4648">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CA8F958" w14:textId="77777777" w:rsidR="008E4648" w:rsidRPr="008E4648" w:rsidRDefault="008E4648" w:rsidP="008E4648">
            <w:pPr>
              <w:jc w:val="center"/>
              <w:rPr>
                <w:rFonts w:ascii="Arial Narrow" w:eastAsia="Times New Roman" w:hAnsi="Arial Narrow" w:cs="Calibri"/>
                <w:b/>
                <w:bCs/>
                <w:color w:val="000000"/>
                <w:sz w:val="22"/>
                <w:szCs w:val="22"/>
              </w:rPr>
            </w:pPr>
            <w:r w:rsidRPr="008E4648">
              <w:rPr>
                <w:rFonts w:ascii="Arial Narrow" w:eastAsia="Times New Roman" w:hAnsi="Arial Narrow" w:cs="Calibri"/>
                <w:b/>
                <w:bCs/>
                <w:color w:val="000000"/>
                <w:sz w:val="22"/>
                <w:szCs w:val="22"/>
              </w:rPr>
              <w:t>7</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09727572" w14:textId="77777777" w:rsidR="008E4648" w:rsidRPr="008E4648" w:rsidRDefault="008E4648" w:rsidP="008E4648">
            <w:pPr>
              <w:jc w:val="center"/>
              <w:rPr>
                <w:rFonts w:ascii="Arial Narrow" w:eastAsia="Times New Roman" w:hAnsi="Arial Narrow" w:cs="Calibri"/>
                <w:b/>
                <w:bCs/>
                <w:color w:val="000000"/>
                <w:sz w:val="22"/>
                <w:szCs w:val="22"/>
              </w:rPr>
            </w:pPr>
            <w:r w:rsidRPr="008E4648">
              <w:rPr>
                <w:rFonts w:ascii="Arial Narrow" w:eastAsia="Times New Roman" w:hAnsi="Arial Narrow" w:cs="Calibri"/>
                <w:b/>
                <w:bCs/>
                <w:color w:val="000000"/>
                <w:sz w:val="22"/>
                <w:szCs w:val="22"/>
              </w:rPr>
              <w:t xml:space="preserve"> </w:t>
            </w:r>
          </w:p>
        </w:tc>
        <w:tc>
          <w:tcPr>
            <w:tcW w:w="3663" w:type="dxa"/>
            <w:tcBorders>
              <w:top w:val="single" w:sz="8" w:space="0" w:color="auto"/>
              <w:left w:val="nil"/>
              <w:bottom w:val="single" w:sz="8" w:space="0" w:color="auto"/>
              <w:right w:val="single" w:sz="8" w:space="0" w:color="auto"/>
            </w:tcBorders>
            <w:shd w:val="clear" w:color="auto" w:fill="auto"/>
            <w:vAlign w:val="center"/>
            <w:hideMark/>
          </w:tcPr>
          <w:p w14:paraId="07104D0A" w14:textId="77777777" w:rsidR="008E4648" w:rsidRPr="008E4648" w:rsidRDefault="008E4648" w:rsidP="008E4648">
            <w:pPr>
              <w:jc w:val="both"/>
              <w:rPr>
                <w:rFonts w:ascii="Arial Narrow" w:eastAsia="Times New Roman" w:hAnsi="Arial Narrow" w:cs="Calibri"/>
                <w:b/>
                <w:bCs/>
                <w:color w:val="000000"/>
                <w:sz w:val="22"/>
                <w:szCs w:val="22"/>
              </w:rPr>
            </w:pPr>
            <w:r w:rsidRPr="008E4648">
              <w:rPr>
                <w:rFonts w:ascii="Arial Narrow" w:eastAsia="Times New Roman" w:hAnsi="Arial Narrow" w:cs="Calibri"/>
                <w:b/>
                <w:bCs/>
                <w:color w:val="000000"/>
                <w:sz w:val="22"/>
                <w:szCs w:val="22"/>
              </w:rPr>
              <w:t>Identificación de los EEFF</w:t>
            </w:r>
          </w:p>
        </w:tc>
        <w:tc>
          <w:tcPr>
            <w:tcW w:w="2236" w:type="dxa"/>
            <w:tcBorders>
              <w:top w:val="single" w:sz="8" w:space="0" w:color="auto"/>
              <w:left w:val="nil"/>
              <w:bottom w:val="single" w:sz="8" w:space="0" w:color="auto"/>
              <w:right w:val="single" w:sz="8" w:space="0" w:color="auto"/>
            </w:tcBorders>
            <w:shd w:val="clear" w:color="auto" w:fill="auto"/>
            <w:vAlign w:val="center"/>
            <w:hideMark/>
          </w:tcPr>
          <w:p w14:paraId="17683C12" w14:textId="77777777" w:rsidR="008E4648" w:rsidRPr="008E4648" w:rsidRDefault="008E4648" w:rsidP="008E4648">
            <w:pPr>
              <w:jc w:val="both"/>
              <w:rPr>
                <w:rFonts w:ascii="Arial Narrow" w:eastAsia="Times New Roman" w:hAnsi="Arial Narrow" w:cs="Calibri"/>
                <w:b/>
                <w:bCs/>
                <w:color w:val="000000"/>
                <w:sz w:val="22"/>
                <w:szCs w:val="22"/>
              </w:rPr>
            </w:pPr>
            <w:r w:rsidRPr="008E4648">
              <w:rPr>
                <w:rFonts w:ascii="Arial Narrow" w:eastAsia="Times New Roman" w:hAnsi="Arial Narrow" w:cs="Calibri"/>
                <w:b/>
                <w:bCs/>
                <w:color w:val="000000"/>
                <w:sz w:val="22"/>
                <w:szCs w:val="22"/>
              </w:rPr>
              <w:t>NICSP N° 1.</w:t>
            </w:r>
            <w:r w:rsidRPr="008E4648">
              <w:rPr>
                <w:rFonts w:ascii="Arial Narrow" w:eastAsia="Times New Roman" w:hAnsi="Arial Narrow" w:cs="Calibri"/>
                <w:b/>
                <w:bCs/>
                <w:color w:val="000000"/>
                <w:sz w:val="22"/>
                <w:szCs w:val="22"/>
              </w:rPr>
              <w:br/>
              <w:t>Párrafos 61 y 63.</w:t>
            </w:r>
          </w:p>
        </w:tc>
        <w:tc>
          <w:tcPr>
            <w:tcW w:w="1897" w:type="dxa"/>
            <w:tcBorders>
              <w:top w:val="single" w:sz="8" w:space="0" w:color="auto"/>
              <w:left w:val="nil"/>
              <w:bottom w:val="single" w:sz="8" w:space="0" w:color="auto"/>
              <w:right w:val="single" w:sz="8" w:space="0" w:color="auto"/>
            </w:tcBorders>
            <w:shd w:val="clear" w:color="auto" w:fill="auto"/>
            <w:vAlign w:val="center"/>
            <w:hideMark/>
          </w:tcPr>
          <w:p w14:paraId="14D5444D" w14:textId="77777777" w:rsidR="008E4648" w:rsidRPr="008E4648" w:rsidRDefault="008E4648" w:rsidP="008E4648">
            <w:pPr>
              <w:jc w:val="center"/>
              <w:rPr>
                <w:rFonts w:ascii="Arial Narrow" w:eastAsia="Times New Roman" w:hAnsi="Arial Narrow" w:cs="Calibri"/>
                <w:b/>
                <w:bCs/>
                <w:color w:val="000000"/>
                <w:sz w:val="22"/>
                <w:szCs w:val="22"/>
              </w:rPr>
            </w:pPr>
            <w:r w:rsidRPr="008E4648">
              <w:rPr>
                <w:rFonts w:ascii="Arial Narrow" w:eastAsia="Times New Roman" w:hAnsi="Arial Narrow" w:cs="Calibri"/>
                <w:b/>
                <w:bCs/>
                <w:color w:val="000000"/>
                <w:sz w:val="22"/>
                <w:szCs w:val="22"/>
              </w:rPr>
              <w:t>DGCN</w:t>
            </w:r>
          </w:p>
        </w:tc>
      </w:tr>
    </w:tbl>
    <w:p w14:paraId="2F879343" w14:textId="77777777" w:rsidR="008E4648" w:rsidRDefault="008E4648" w:rsidP="001E5F25">
      <w:pPr>
        <w:pStyle w:val="Default"/>
        <w:jc w:val="both"/>
        <w:rPr>
          <w:sz w:val="22"/>
          <w:szCs w:val="22"/>
          <w:lang w:val="es-CR"/>
        </w:rPr>
      </w:pPr>
    </w:p>
    <w:p w14:paraId="754E50CF" w14:textId="1B7983CB" w:rsidR="00B758C6" w:rsidRDefault="00B758C6" w:rsidP="00B758C6">
      <w:pPr>
        <w:pStyle w:val="Default"/>
        <w:ind w:left="1134" w:hanging="1134"/>
        <w:jc w:val="both"/>
        <w:rPr>
          <w:rFonts w:eastAsia="Arial"/>
          <w:b/>
          <w:sz w:val="22"/>
          <w:szCs w:val="22"/>
        </w:rPr>
      </w:pPr>
      <w:r w:rsidRPr="00F02F9D">
        <w:rPr>
          <w:rFonts w:eastAsia="Arial"/>
          <w:b/>
          <w:sz w:val="22"/>
          <w:szCs w:val="22"/>
        </w:rPr>
        <w:t>Política Contable</w:t>
      </w:r>
    </w:p>
    <w:p w14:paraId="7277B457" w14:textId="77777777" w:rsidR="00B758C6" w:rsidRPr="001E5F25" w:rsidRDefault="00B758C6" w:rsidP="001E5F25">
      <w:pPr>
        <w:pStyle w:val="Default"/>
        <w:jc w:val="both"/>
        <w:rPr>
          <w:sz w:val="22"/>
          <w:szCs w:val="22"/>
          <w:lang w:val="es-CR"/>
        </w:rPr>
      </w:pPr>
    </w:p>
    <w:p w14:paraId="5EE9F636" w14:textId="5BE502BA" w:rsidR="008E4648" w:rsidRDefault="008E4648" w:rsidP="008E4648">
      <w:pPr>
        <w:pStyle w:val="Default"/>
        <w:ind w:left="1134" w:hanging="1134"/>
        <w:jc w:val="both"/>
        <w:rPr>
          <w:sz w:val="23"/>
          <w:szCs w:val="23"/>
          <w:lang w:val="es-CR"/>
        </w:rPr>
      </w:pPr>
      <w:r>
        <w:rPr>
          <w:sz w:val="23"/>
          <w:szCs w:val="23"/>
          <w:lang w:val="es-CR"/>
        </w:rPr>
        <w:t>6.7.0.01</w:t>
      </w:r>
      <w:r>
        <w:rPr>
          <w:sz w:val="23"/>
          <w:szCs w:val="23"/>
          <w:lang w:val="es-CR"/>
        </w:rPr>
        <w:tab/>
      </w:r>
      <w:r w:rsidRPr="008E4648">
        <w:rPr>
          <w:sz w:val="23"/>
          <w:szCs w:val="23"/>
          <w:lang w:val="es-CR"/>
        </w:rPr>
        <w:t>Los EEFF deberán estar claramente identificados, y se deben distinguir de cualquier otra información publicada por el EC. La siguiente información se mostrará en lugar destacado y se repetirá cuantas veces sea necesario para una correcta comprensión de la misma:</w:t>
      </w:r>
    </w:p>
    <w:p w14:paraId="2323A064" w14:textId="77777777" w:rsidR="008E4648" w:rsidRPr="008E4648" w:rsidRDefault="008E4648" w:rsidP="008E4648">
      <w:pPr>
        <w:pStyle w:val="Default"/>
        <w:jc w:val="both"/>
        <w:rPr>
          <w:sz w:val="23"/>
          <w:szCs w:val="23"/>
          <w:lang w:val="es-CR"/>
        </w:rPr>
      </w:pPr>
    </w:p>
    <w:p w14:paraId="6B6DF374" w14:textId="557F5E2C" w:rsidR="008E4648" w:rsidRPr="008E4648" w:rsidRDefault="008E4648">
      <w:pPr>
        <w:pStyle w:val="Default"/>
        <w:numPr>
          <w:ilvl w:val="0"/>
          <w:numId w:val="317"/>
        </w:numPr>
        <w:spacing w:after="120"/>
        <w:ind w:left="1418" w:hanging="284"/>
        <w:jc w:val="both"/>
        <w:rPr>
          <w:sz w:val="23"/>
          <w:szCs w:val="23"/>
          <w:lang w:val="es-CR"/>
        </w:rPr>
      </w:pPr>
      <w:r w:rsidRPr="008E4648">
        <w:rPr>
          <w:sz w:val="23"/>
          <w:szCs w:val="23"/>
          <w:lang w:val="es-CR"/>
        </w:rPr>
        <w:t xml:space="preserve">El nombre u otro tipo de identificación, de la entidad que presenta la información, así como cualquier cambio en esa información desde la fecha precedente a la que se informa; </w:t>
      </w:r>
    </w:p>
    <w:p w14:paraId="06AB1224" w14:textId="77777777" w:rsidR="008E4648" w:rsidRPr="008E4648" w:rsidRDefault="008E4648">
      <w:pPr>
        <w:pStyle w:val="Default"/>
        <w:numPr>
          <w:ilvl w:val="0"/>
          <w:numId w:val="317"/>
        </w:numPr>
        <w:spacing w:after="120"/>
        <w:ind w:left="1418" w:hanging="284"/>
        <w:jc w:val="both"/>
        <w:rPr>
          <w:sz w:val="23"/>
          <w:szCs w:val="23"/>
          <w:lang w:val="es-CR"/>
        </w:rPr>
      </w:pPr>
      <w:r w:rsidRPr="008E4648">
        <w:rPr>
          <w:sz w:val="23"/>
          <w:szCs w:val="23"/>
          <w:lang w:val="es-CR"/>
        </w:rPr>
        <w:t xml:space="preserve">Si los EEFF corresponden a una entidad individual o a la entidad económica; </w:t>
      </w:r>
    </w:p>
    <w:p w14:paraId="6347AD34" w14:textId="77777777" w:rsidR="008E4648" w:rsidRPr="008E4648" w:rsidRDefault="008E4648">
      <w:pPr>
        <w:pStyle w:val="Default"/>
        <w:numPr>
          <w:ilvl w:val="0"/>
          <w:numId w:val="317"/>
        </w:numPr>
        <w:spacing w:after="120"/>
        <w:ind w:left="1418" w:hanging="284"/>
        <w:jc w:val="both"/>
        <w:rPr>
          <w:sz w:val="23"/>
          <w:szCs w:val="23"/>
          <w:lang w:val="es-CR"/>
        </w:rPr>
      </w:pPr>
      <w:r w:rsidRPr="008E4648">
        <w:rPr>
          <w:sz w:val="23"/>
          <w:szCs w:val="23"/>
          <w:lang w:val="es-CR"/>
        </w:rPr>
        <w:t xml:space="preserve">La fecha sobre la que se informa o el período cubierto por los EEFF, según resulte adecuado conforme a la naturaleza de los mismos; </w:t>
      </w:r>
    </w:p>
    <w:p w14:paraId="131D75D2" w14:textId="77777777" w:rsidR="008E4648" w:rsidRDefault="008E4648">
      <w:pPr>
        <w:pStyle w:val="Default"/>
        <w:numPr>
          <w:ilvl w:val="0"/>
          <w:numId w:val="317"/>
        </w:numPr>
        <w:spacing w:after="120"/>
        <w:ind w:left="1418" w:hanging="284"/>
        <w:jc w:val="both"/>
        <w:rPr>
          <w:sz w:val="23"/>
          <w:szCs w:val="23"/>
          <w:lang w:val="es-CR"/>
        </w:rPr>
      </w:pPr>
      <w:r w:rsidRPr="008E4648">
        <w:rPr>
          <w:sz w:val="23"/>
          <w:szCs w:val="23"/>
          <w:lang w:val="es-CR"/>
        </w:rPr>
        <w:t xml:space="preserve">La moneda de presentación; y </w:t>
      </w:r>
    </w:p>
    <w:p w14:paraId="060CC129" w14:textId="77777777" w:rsidR="008E4648" w:rsidRDefault="008E4648">
      <w:pPr>
        <w:pStyle w:val="Default"/>
        <w:numPr>
          <w:ilvl w:val="0"/>
          <w:numId w:val="317"/>
        </w:numPr>
        <w:spacing w:after="120"/>
        <w:ind w:left="1418" w:hanging="284"/>
        <w:jc w:val="both"/>
        <w:rPr>
          <w:sz w:val="23"/>
          <w:szCs w:val="23"/>
          <w:lang w:val="es-CR"/>
        </w:rPr>
      </w:pPr>
      <w:r>
        <w:rPr>
          <w:sz w:val="23"/>
          <w:szCs w:val="23"/>
          <w:lang w:val="es-CR"/>
        </w:rPr>
        <w:t>E</w:t>
      </w:r>
      <w:r w:rsidRPr="008E4648">
        <w:rPr>
          <w:sz w:val="23"/>
          <w:szCs w:val="23"/>
          <w:lang w:val="es-CR"/>
        </w:rPr>
        <w:t xml:space="preserve">l grado de redondeo practicado al presentar las cifras de los EEFF. </w:t>
      </w:r>
    </w:p>
    <w:p w14:paraId="3F3BCC57" w14:textId="21F9C524" w:rsidR="00594878" w:rsidRPr="008E4648" w:rsidRDefault="008E4648">
      <w:pPr>
        <w:pStyle w:val="Default"/>
        <w:numPr>
          <w:ilvl w:val="0"/>
          <w:numId w:val="317"/>
        </w:numPr>
        <w:spacing w:after="120"/>
        <w:ind w:left="1418" w:hanging="284"/>
        <w:jc w:val="both"/>
        <w:rPr>
          <w:sz w:val="23"/>
          <w:szCs w:val="23"/>
          <w:lang w:val="es-CR"/>
        </w:rPr>
      </w:pPr>
      <w:r w:rsidRPr="008E4648">
        <w:rPr>
          <w:sz w:val="23"/>
          <w:szCs w:val="23"/>
          <w:lang w:val="es-CR"/>
        </w:rPr>
        <w:t>Asimismo, al pie de los EEFF se deberá incluir:</w:t>
      </w:r>
    </w:p>
    <w:p w14:paraId="15F201BD" w14:textId="3684307F" w:rsidR="008E4648" w:rsidRDefault="008E4648">
      <w:pPr>
        <w:pStyle w:val="Default"/>
        <w:numPr>
          <w:ilvl w:val="0"/>
          <w:numId w:val="318"/>
        </w:numPr>
        <w:spacing w:after="120"/>
        <w:ind w:left="1701" w:hanging="215"/>
        <w:jc w:val="both"/>
        <w:rPr>
          <w:sz w:val="23"/>
          <w:szCs w:val="23"/>
          <w:lang w:val="es-CR"/>
        </w:rPr>
      </w:pPr>
      <w:r>
        <w:rPr>
          <w:i/>
          <w:iCs/>
          <w:sz w:val="23"/>
          <w:szCs w:val="23"/>
        </w:rPr>
        <w:t>Elaborado por:</w:t>
      </w:r>
    </w:p>
    <w:p w14:paraId="380FB194" w14:textId="77777777" w:rsidR="008E4648" w:rsidRDefault="008E4648">
      <w:pPr>
        <w:pStyle w:val="Default"/>
        <w:numPr>
          <w:ilvl w:val="0"/>
          <w:numId w:val="318"/>
        </w:numPr>
        <w:spacing w:after="120"/>
        <w:ind w:left="1701" w:hanging="215"/>
        <w:jc w:val="both"/>
        <w:rPr>
          <w:sz w:val="23"/>
          <w:szCs w:val="23"/>
        </w:rPr>
      </w:pPr>
      <w:r>
        <w:rPr>
          <w:i/>
          <w:iCs/>
          <w:sz w:val="23"/>
          <w:szCs w:val="23"/>
        </w:rPr>
        <w:t xml:space="preserve">Revisado por: </w:t>
      </w:r>
    </w:p>
    <w:p w14:paraId="38547C95" w14:textId="4D1C5D72" w:rsidR="008E4648" w:rsidRPr="008E4648" w:rsidRDefault="008E4648">
      <w:pPr>
        <w:pStyle w:val="Default"/>
        <w:numPr>
          <w:ilvl w:val="0"/>
          <w:numId w:val="318"/>
        </w:numPr>
        <w:spacing w:after="120"/>
        <w:ind w:left="1701" w:hanging="215"/>
        <w:jc w:val="both"/>
        <w:rPr>
          <w:sz w:val="23"/>
          <w:szCs w:val="23"/>
          <w:lang w:val="es-CR"/>
        </w:rPr>
      </w:pPr>
      <w:r>
        <w:rPr>
          <w:i/>
          <w:iCs/>
          <w:sz w:val="23"/>
          <w:szCs w:val="23"/>
        </w:rPr>
        <w:t>Aprobado por:</w:t>
      </w:r>
    </w:p>
    <w:p w14:paraId="4B001E81" w14:textId="77777777" w:rsidR="00594878" w:rsidRDefault="00594878" w:rsidP="00594878">
      <w:pPr>
        <w:pStyle w:val="Default"/>
        <w:jc w:val="both"/>
        <w:rPr>
          <w:sz w:val="23"/>
          <w:szCs w:val="23"/>
          <w:lang w:val="es-CR"/>
        </w:rPr>
      </w:pPr>
    </w:p>
    <w:p w14:paraId="660B13C8" w14:textId="77777777" w:rsidR="00B758C6" w:rsidRDefault="00B758C6" w:rsidP="00594878">
      <w:pPr>
        <w:pStyle w:val="Default"/>
        <w:jc w:val="both"/>
        <w:rPr>
          <w:sz w:val="23"/>
          <w:szCs w:val="23"/>
          <w:lang w:val="es-CR"/>
        </w:rPr>
      </w:pPr>
    </w:p>
    <w:p w14:paraId="50814D0E" w14:textId="77777777" w:rsidR="00B758C6" w:rsidRDefault="00B758C6" w:rsidP="00594878">
      <w:pPr>
        <w:pStyle w:val="Default"/>
        <w:jc w:val="both"/>
        <w:rPr>
          <w:sz w:val="23"/>
          <w:szCs w:val="23"/>
          <w:lang w:val="es-CR"/>
        </w:rPr>
      </w:pPr>
    </w:p>
    <w:tbl>
      <w:tblPr>
        <w:tblW w:w="9347" w:type="dxa"/>
        <w:tblLook w:val="04A0" w:firstRow="1" w:lastRow="0" w:firstColumn="1" w:lastColumn="0" w:noHBand="0" w:noVBand="1"/>
      </w:tblPr>
      <w:tblGrid>
        <w:gridCol w:w="416"/>
        <w:gridCol w:w="708"/>
        <w:gridCol w:w="427"/>
        <w:gridCol w:w="3686"/>
        <w:gridCol w:w="2246"/>
        <w:gridCol w:w="1864"/>
      </w:tblGrid>
      <w:tr w:rsidR="00413A06" w:rsidRPr="00413A06" w14:paraId="256EBD42" w14:textId="77777777" w:rsidTr="00B758C6">
        <w:trPr>
          <w:trHeight w:val="300"/>
        </w:trPr>
        <w:tc>
          <w:tcPr>
            <w:tcW w:w="155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B4CA3DE"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Norma / Política</w:t>
            </w:r>
          </w:p>
        </w:tc>
        <w:tc>
          <w:tcPr>
            <w:tcW w:w="3686" w:type="dxa"/>
            <w:vMerge w:val="restart"/>
            <w:tcBorders>
              <w:top w:val="single" w:sz="8" w:space="0" w:color="auto"/>
              <w:left w:val="single" w:sz="8" w:space="0" w:color="auto"/>
              <w:bottom w:val="nil"/>
              <w:right w:val="single" w:sz="8" w:space="0" w:color="auto"/>
            </w:tcBorders>
            <w:shd w:val="clear" w:color="000000" w:fill="203764"/>
            <w:vAlign w:val="center"/>
            <w:hideMark/>
          </w:tcPr>
          <w:p w14:paraId="663739E9"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Concepto</w:t>
            </w:r>
          </w:p>
        </w:tc>
        <w:tc>
          <w:tcPr>
            <w:tcW w:w="4110" w:type="dxa"/>
            <w:gridSpan w:val="2"/>
            <w:tcBorders>
              <w:top w:val="single" w:sz="8" w:space="0" w:color="auto"/>
              <w:left w:val="nil"/>
              <w:bottom w:val="single" w:sz="8" w:space="0" w:color="auto"/>
              <w:right w:val="single" w:sz="8" w:space="0" w:color="000000"/>
            </w:tcBorders>
            <w:shd w:val="clear" w:color="000000" w:fill="203764"/>
            <w:vAlign w:val="center"/>
            <w:hideMark/>
          </w:tcPr>
          <w:p w14:paraId="6FB59DAC"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Referencia</w:t>
            </w:r>
          </w:p>
        </w:tc>
      </w:tr>
      <w:tr w:rsidR="00413A06" w:rsidRPr="006E5442" w14:paraId="3376E733" w14:textId="77777777" w:rsidTr="00B758C6">
        <w:trPr>
          <w:trHeight w:val="850"/>
        </w:trPr>
        <w:tc>
          <w:tcPr>
            <w:tcW w:w="1551" w:type="dxa"/>
            <w:gridSpan w:val="3"/>
            <w:vMerge/>
            <w:tcBorders>
              <w:top w:val="single" w:sz="8" w:space="0" w:color="auto"/>
              <w:left w:val="single" w:sz="8" w:space="0" w:color="auto"/>
              <w:bottom w:val="nil"/>
              <w:right w:val="single" w:sz="8" w:space="0" w:color="000000"/>
            </w:tcBorders>
            <w:vAlign w:val="center"/>
            <w:hideMark/>
          </w:tcPr>
          <w:p w14:paraId="245F4480" w14:textId="77777777" w:rsidR="00413A06" w:rsidRPr="00413A06" w:rsidRDefault="00413A06" w:rsidP="00413A06">
            <w:pPr>
              <w:rPr>
                <w:rFonts w:ascii="Arial Narrow" w:eastAsia="Times New Roman" w:hAnsi="Arial Narrow" w:cs="Calibri"/>
                <w:b/>
                <w:bCs/>
                <w:color w:val="FFFFFF"/>
                <w:sz w:val="22"/>
                <w:szCs w:val="22"/>
              </w:rPr>
            </w:pPr>
          </w:p>
        </w:tc>
        <w:tc>
          <w:tcPr>
            <w:tcW w:w="3686" w:type="dxa"/>
            <w:vMerge/>
            <w:tcBorders>
              <w:top w:val="single" w:sz="8" w:space="0" w:color="auto"/>
              <w:left w:val="single" w:sz="8" w:space="0" w:color="auto"/>
              <w:bottom w:val="nil"/>
              <w:right w:val="single" w:sz="8" w:space="0" w:color="auto"/>
            </w:tcBorders>
            <w:vAlign w:val="center"/>
            <w:hideMark/>
          </w:tcPr>
          <w:p w14:paraId="75D3ACD3" w14:textId="77777777" w:rsidR="00413A06" w:rsidRPr="00413A06" w:rsidRDefault="00413A06" w:rsidP="00413A06">
            <w:pPr>
              <w:rPr>
                <w:rFonts w:ascii="Arial Narrow" w:eastAsia="Times New Roman" w:hAnsi="Arial Narrow" w:cs="Calibri"/>
                <w:b/>
                <w:bCs/>
                <w:color w:val="FFFFFF"/>
                <w:sz w:val="22"/>
                <w:szCs w:val="22"/>
              </w:rPr>
            </w:pPr>
          </w:p>
        </w:tc>
        <w:tc>
          <w:tcPr>
            <w:tcW w:w="2246" w:type="dxa"/>
            <w:tcBorders>
              <w:top w:val="nil"/>
              <w:left w:val="nil"/>
              <w:bottom w:val="nil"/>
              <w:right w:val="single" w:sz="8" w:space="0" w:color="auto"/>
            </w:tcBorders>
            <w:shd w:val="clear" w:color="000000" w:fill="203764"/>
            <w:vAlign w:val="center"/>
            <w:hideMark/>
          </w:tcPr>
          <w:p w14:paraId="549A220C"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Norma</w:t>
            </w:r>
          </w:p>
        </w:tc>
        <w:tc>
          <w:tcPr>
            <w:tcW w:w="1864" w:type="dxa"/>
            <w:tcBorders>
              <w:top w:val="nil"/>
              <w:left w:val="nil"/>
              <w:bottom w:val="nil"/>
              <w:right w:val="single" w:sz="8" w:space="0" w:color="auto"/>
            </w:tcBorders>
            <w:shd w:val="clear" w:color="000000" w:fill="203764"/>
            <w:vAlign w:val="center"/>
            <w:hideMark/>
          </w:tcPr>
          <w:p w14:paraId="381908E4" w14:textId="77777777" w:rsidR="00413A06" w:rsidRPr="00413A06" w:rsidRDefault="00413A06" w:rsidP="00413A06">
            <w:pPr>
              <w:jc w:val="center"/>
              <w:rPr>
                <w:rFonts w:ascii="Arial Narrow" w:eastAsia="Times New Roman" w:hAnsi="Arial Narrow" w:cs="Calibri"/>
                <w:b/>
                <w:bCs/>
                <w:color w:val="FFFFFF"/>
                <w:sz w:val="22"/>
                <w:szCs w:val="22"/>
                <w:lang w:val="es-CR"/>
              </w:rPr>
            </w:pPr>
            <w:r w:rsidRPr="00413A06">
              <w:rPr>
                <w:rFonts w:ascii="Arial Narrow" w:eastAsia="Times New Roman" w:hAnsi="Arial Narrow" w:cs="Calibri"/>
                <w:b/>
                <w:bCs/>
                <w:color w:val="FFFFFF"/>
                <w:sz w:val="22"/>
                <w:szCs w:val="22"/>
                <w:lang w:val="es-CR"/>
              </w:rPr>
              <w:t>Normativa técnica y disposiciones adicionales</w:t>
            </w:r>
          </w:p>
        </w:tc>
      </w:tr>
      <w:tr w:rsidR="00413A06" w:rsidRPr="00413A06" w14:paraId="16C20D0D" w14:textId="77777777" w:rsidTr="00B758C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90573B"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36F6C1F"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8</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64939423"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14:paraId="0CA6E95F" w14:textId="77777777" w:rsidR="00413A06" w:rsidRPr="00413A06" w:rsidRDefault="00413A06" w:rsidP="00413A06">
            <w:pPr>
              <w:jc w:val="both"/>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Otras informaciones a revelar</w:t>
            </w:r>
          </w:p>
        </w:tc>
        <w:tc>
          <w:tcPr>
            <w:tcW w:w="2246" w:type="dxa"/>
            <w:tcBorders>
              <w:top w:val="single" w:sz="8" w:space="0" w:color="auto"/>
              <w:left w:val="nil"/>
              <w:bottom w:val="single" w:sz="8" w:space="0" w:color="auto"/>
              <w:right w:val="single" w:sz="8" w:space="0" w:color="auto"/>
            </w:tcBorders>
            <w:shd w:val="clear" w:color="auto" w:fill="auto"/>
            <w:vAlign w:val="center"/>
            <w:hideMark/>
          </w:tcPr>
          <w:p w14:paraId="3F645FB1" w14:textId="77777777" w:rsidR="00B758C6" w:rsidRDefault="00413A06" w:rsidP="00413A06">
            <w:pPr>
              <w:jc w:val="both"/>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NICSP N° 1.</w:t>
            </w:r>
          </w:p>
          <w:p w14:paraId="7A538F24" w14:textId="12220D49" w:rsidR="00413A06" w:rsidRPr="00413A06" w:rsidRDefault="00413A06" w:rsidP="00413A06">
            <w:pPr>
              <w:jc w:val="both"/>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Párrafo 150.</w:t>
            </w:r>
          </w:p>
        </w:tc>
        <w:tc>
          <w:tcPr>
            <w:tcW w:w="1864" w:type="dxa"/>
            <w:tcBorders>
              <w:top w:val="single" w:sz="8" w:space="0" w:color="auto"/>
              <w:left w:val="nil"/>
              <w:bottom w:val="single" w:sz="8" w:space="0" w:color="auto"/>
              <w:right w:val="single" w:sz="8" w:space="0" w:color="auto"/>
            </w:tcBorders>
            <w:shd w:val="clear" w:color="auto" w:fill="auto"/>
            <w:vAlign w:val="center"/>
            <w:hideMark/>
          </w:tcPr>
          <w:p w14:paraId="72A749AB"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 </w:t>
            </w:r>
          </w:p>
        </w:tc>
      </w:tr>
    </w:tbl>
    <w:p w14:paraId="31743481" w14:textId="77777777" w:rsidR="008E4648" w:rsidRDefault="008E4648" w:rsidP="00594878">
      <w:pPr>
        <w:pStyle w:val="Default"/>
        <w:jc w:val="both"/>
        <w:rPr>
          <w:sz w:val="23"/>
          <w:szCs w:val="23"/>
          <w:lang w:val="es-CR"/>
        </w:rPr>
      </w:pPr>
    </w:p>
    <w:p w14:paraId="73F13DF5" w14:textId="77777777" w:rsidR="00B758C6" w:rsidRDefault="00B758C6" w:rsidP="00594878">
      <w:pPr>
        <w:pStyle w:val="Default"/>
        <w:jc w:val="both"/>
        <w:rPr>
          <w:sz w:val="23"/>
          <w:szCs w:val="23"/>
          <w:lang w:val="es-CR"/>
        </w:rPr>
      </w:pPr>
    </w:p>
    <w:p w14:paraId="468B6BB0" w14:textId="1D57B985" w:rsidR="00B758C6" w:rsidRDefault="00B758C6" w:rsidP="00B758C6">
      <w:pPr>
        <w:pStyle w:val="Default"/>
        <w:ind w:left="1134" w:hanging="1134"/>
        <w:jc w:val="both"/>
        <w:rPr>
          <w:rFonts w:eastAsia="Arial"/>
          <w:b/>
          <w:sz w:val="22"/>
          <w:szCs w:val="22"/>
        </w:rPr>
      </w:pPr>
      <w:r w:rsidRPr="00F02F9D">
        <w:rPr>
          <w:rFonts w:eastAsia="Arial"/>
          <w:b/>
          <w:sz w:val="22"/>
          <w:szCs w:val="22"/>
        </w:rPr>
        <w:lastRenderedPageBreak/>
        <w:t>Política Contable</w:t>
      </w:r>
    </w:p>
    <w:p w14:paraId="45A0D801" w14:textId="77777777" w:rsidR="00B758C6" w:rsidRDefault="00B758C6" w:rsidP="00594878">
      <w:pPr>
        <w:pStyle w:val="Default"/>
        <w:jc w:val="both"/>
        <w:rPr>
          <w:sz w:val="23"/>
          <w:szCs w:val="23"/>
          <w:lang w:val="es-CR"/>
        </w:rPr>
      </w:pPr>
    </w:p>
    <w:p w14:paraId="32D42611" w14:textId="77777777" w:rsidR="00413A06" w:rsidRDefault="00413A06" w:rsidP="00413A06">
      <w:pPr>
        <w:pStyle w:val="Default"/>
        <w:ind w:left="1134" w:hanging="1134"/>
        <w:jc w:val="both"/>
        <w:rPr>
          <w:sz w:val="22"/>
          <w:szCs w:val="22"/>
          <w:lang w:val="es-CR"/>
        </w:rPr>
      </w:pPr>
      <w:r>
        <w:rPr>
          <w:sz w:val="22"/>
          <w:szCs w:val="22"/>
          <w:lang w:val="es-CR"/>
        </w:rPr>
        <w:t>6.8.0.01</w:t>
      </w:r>
      <w:r>
        <w:rPr>
          <w:sz w:val="22"/>
          <w:szCs w:val="22"/>
          <w:lang w:val="es-CR"/>
        </w:rPr>
        <w:tab/>
      </w:r>
      <w:r w:rsidRPr="00413A06">
        <w:rPr>
          <w:sz w:val="22"/>
          <w:szCs w:val="22"/>
          <w:lang w:val="es-CR"/>
        </w:rPr>
        <w:t>Las entidades revelarán la siguiente información, siempre que no haya sido revelada en otra parte de la información publicada con los EEFF:</w:t>
      </w:r>
    </w:p>
    <w:p w14:paraId="53E5BF42" w14:textId="133351C1" w:rsidR="00413A06" w:rsidRPr="00413A06" w:rsidRDefault="00413A06" w:rsidP="00413A06">
      <w:pPr>
        <w:pStyle w:val="Default"/>
        <w:ind w:left="1134" w:hanging="1134"/>
        <w:jc w:val="both"/>
        <w:rPr>
          <w:sz w:val="22"/>
          <w:szCs w:val="22"/>
          <w:lang w:val="es-CR"/>
        </w:rPr>
      </w:pPr>
      <w:r w:rsidRPr="00413A06">
        <w:rPr>
          <w:sz w:val="22"/>
          <w:szCs w:val="22"/>
          <w:lang w:val="es-CR"/>
        </w:rPr>
        <w:t xml:space="preserve"> </w:t>
      </w:r>
    </w:p>
    <w:p w14:paraId="2FE73306" w14:textId="05021AE1" w:rsidR="00413A06" w:rsidRPr="00413A06" w:rsidRDefault="00413A06">
      <w:pPr>
        <w:pStyle w:val="Default"/>
        <w:numPr>
          <w:ilvl w:val="0"/>
          <w:numId w:val="319"/>
        </w:numPr>
        <w:spacing w:after="120"/>
        <w:ind w:left="1418" w:hanging="284"/>
        <w:jc w:val="both"/>
        <w:rPr>
          <w:sz w:val="22"/>
          <w:szCs w:val="22"/>
          <w:lang w:val="es-CR"/>
        </w:rPr>
      </w:pPr>
      <w:r>
        <w:rPr>
          <w:sz w:val="22"/>
          <w:szCs w:val="22"/>
          <w:lang w:val="es-CR"/>
        </w:rPr>
        <w:t>E</w:t>
      </w:r>
      <w:r w:rsidRPr="00413A06">
        <w:rPr>
          <w:sz w:val="22"/>
          <w:szCs w:val="22"/>
          <w:lang w:val="es-CR"/>
        </w:rPr>
        <w:t xml:space="preserve">l domicilio y forma legal de la entidad, y jurisdicción en la que opera; </w:t>
      </w:r>
    </w:p>
    <w:p w14:paraId="539D442C" w14:textId="00B7059E" w:rsidR="00413A06" w:rsidRPr="00413A06" w:rsidRDefault="00413A06">
      <w:pPr>
        <w:pStyle w:val="Default"/>
        <w:numPr>
          <w:ilvl w:val="0"/>
          <w:numId w:val="319"/>
        </w:numPr>
        <w:spacing w:after="120"/>
        <w:ind w:left="1418" w:hanging="284"/>
        <w:jc w:val="both"/>
        <w:rPr>
          <w:sz w:val="22"/>
          <w:szCs w:val="22"/>
          <w:lang w:val="es-CR"/>
        </w:rPr>
      </w:pPr>
      <w:r>
        <w:rPr>
          <w:sz w:val="22"/>
          <w:szCs w:val="22"/>
          <w:lang w:val="es-CR"/>
        </w:rPr>
        <w:t>U</w:t>
      </w:r>
      <w:r w:rsidRPr="00413A06">
        <w:rPr>
          <w:sz w:val="22"/>
          <w:szCs w:val="22"/>
          <w:lang w:val="es-CR"/>
        </w:rPr>
        <w:t xml:space="preserve">na descripción de la naturaleza de las operaciones de la entidad y principales actividades; </w:t>
      </w:r>
    </w:p>
    <w:p w14:paraId="534D2167" w14:textId="60E5372B" w:rsidR="00413A06" w:rsidRPr="00413A06" w:rsidRDefault="00413A06">
      <w:pPr>
        <w:pStyle w:val="Default"/>
        <w:numPr>
          <w:ilvl w:val="0"/>
          <w:numId w:val="319"/>
        </w:numPr>
        <w:spacing w:after="120"/>
        <w:ind w:left="1418" w:hanging="284"/>
        <w:jc w:val="both"/>
        <w:rPr>
          <w:sz w:val="22"/>
          <w:szCs w:val="22"/>
          <w:lang w:val="es-CR"/>
        </w:rPr>
      </w:pPr>
      <w:r>
        <w:rPr>
          <w:sz w:val="22"/>
          <w:szCs w:val="22"/>
          <w:lang w:val="es-CR"/>
        </w:rPr>
        <w:t>U</w:t>
      </w:r>
      <w:r w:rsidRPr="00413A06">
        <w:rPr>
          <w:sz w:val="22"/>
          <w:szCs w:val="22"/>
          <w:lang w:val="es-CR"/>
        </w:rPr>
        <w:t xml:space="preserve">na referencia a la legislación pertinente que rige las operaciones de la entidad; y </w:t>
      </w:r>
    </w:p>
    <w:p w14:paraId="510748F4" w14:textId="248C7CA5" w:rsidR="00413A06" w:rsidRPr="00413A06" w:rsidRDefault="00413A06">
      <w:pPr>
        <w:pStyle w:val="Default"/>
        <w:numPr>
          <w:ilvl w:val="0"/>
          <w:numId w:val="319"/>
        </w:numPr>
        <w:ind w:left="1418" w:hanging="284"/>
        <w:jc w:val="both"/>
        <w:rPr>
          <w:sz w:val="22"/>
          <w:szCs w:val="22"/>
          <w:lang w:val="es-CR"/>
        </w:rPr>
      </w:pPr>
      <w:r>
        <w:rPr>
          <w:sz w:val="22"/>
          <w:szCs w:val="22"/>
          <w:lang w:val="es-CR"/>
        </w:rPr>
        <w:t>S</w:t>
      </w:r>
      <w:r w:rsidRPr="00413A06">
        <w:rPr>
          <w:sz w:val="22"/>
          <w:szCs w:val="22"/>
          <w:lang w:val="es-CR"/>
        </w:rPr>
        <w:t xml:space="preserve">i fuera pertinente, nombre de la entidad controladora directa y de la controladora última de la entidad económica. </w:t>
      </w:r>
    </w:p>
    <w:p w14:paraId="25B8074D" w14:textId="77777777" w:rsidR="008E4648" w:rsidRDefault="008E4648" w:rsidP="00594878">
      <w:pPr>
        <w:pStyle w:val="Default"/>
        <w:jc w:val="both"/>
        <w:rPr>
          <w:sz w:val="23"/>
          <w:szCs w:val="23"/>
          <w:lang w:val="es-CR"/>
        </w:rPr>
      </w:pPr>
    </w:p>
    <w:p w14:paraId="40690C87" w14:textId="77777777" w:rsidR="008E4648" w:rsidRDefault="008E4648" w:rsidP="00594878">
      <w:pPr>
        <w:pStyle w:val="Default"/>
        <w:jc w:val="both"/>
        <w:rPr>
          <w:sz w:val="23"/>
          <w:szCs w:val="23"/>
          <w:lang w:val="es-CR"/>
        </w:rPr>
      </w:pPr>
    </w:p>
    <w:p w14:paraId="0E0A0B74" w14:textId="77777777" w:rsidR="00413A06" w:rsidRPr="00413A06" w:rsidRDefault="00413A06" w:rsidP="00413A06">
      <w:pPr>
        <w:pStyle w:val="Default"/>
        <w:jc w:val="both"/>
        <w:rPr>
          <w:sz w:val="22"/>
          <w:szCs w:val="22"/>
          <w:lang w:val="es-CR"/>
        </w:rPr>
      </w:pPr>
      <w:r w:rsidRPr="00413A06">
        <w:rPr>
          <w:b/>
          <w:bCs/>
          <w:sz w:val="22"/>
          <w:szCs w:val="22"/>
          <w:lang w:val="es-CR"/>
        </w:rPr>
        <w:t xml:space="preserve"> </w:t>
      </w:r>
    </w:p>
    <w:tbl>
      <w:tblPr>
        <w:tblW w:w="9347" w:type="dxa"/>
        <w:tblLayout w:type="fixed"/>
        <w:tblLook w:val="04A0" w:firstRow="1" w:lastRow="0" w:firstColumn="1" w:lastColumn="0" w:noHBand="0" w:noVBand="1"/>
      </w:tblPr>
      <w:tblGrid>
        <w:gridCol w:w="416"/>
        <w:gridCol w:w="708"/>
        <w:gridCol w:w="464"/>
        <w:gridCol w:w="19"/>
        <w:gridCol w:w="3666"/>
        <w:gridCol w:w="19"/>
        <w:gridCol w:w="2227"/>
        <w:gridCol w:w="19"/>
        <w:gridCol w:w="1809"/>
      </w:tblGrid>
      <w:tr w:rsidR="00413A06" w:rsidRPr="00413A06" w14:paraId="256D05B6" w14:textId="77777777" w:rsidTr="00B758C6">
        <w:trPr>
          <w:trHeight w:val="300"/>
        </w:trPr>
        <w:tc>
          <w:tcPr>
            <w:tcW w:w="1607"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32660FD2"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Norma / Política</w:t>
            </w:r>
          </w:p>
        </w:tc>
        <w:tc>
          <w:tcPr>
            <w:tcW w:w="3685"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1079CB5A"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Concepto</w:t>
            </w:r>
          </w:p>
        </w:tc>
        <w:tc>
          <w:tcPr>
            <w:tcW w:w="4055" w:type="dxa"/>
            <w:gridSpan w:val="3"/>
            <w:tcBorders>
              <w:top w:val="single" w:sz="8" w:space="0" w:color="auto"/>
              <w:left w:val="nil"/>
              <w:bottom w:val="single" w:sz="8" w:space="0" w:color="auto"/>
              <w:right w:val="single" w:sz="8" w:space="0" w:color="000000"/>
            </w:tcBorders>
            <w:shd w:val="clear" w:color="000000" w:fill="203764"/>
            <w:vAlign w:val="center"/>
            <w:hideMark/>
          </w:tcPr>
          <w:p w14:paraId="2B7AE9ED"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Referencia</w:t>
            </w:r>
          </w:p>
        </w:tc>
      </w:tr>
      <w:tr w:rsidR="00413A06" w:rsidRPr="006E5442" w14:paraId="775798BA" w14:textId="77777777" w:rsidTr="00B758C6">
        <w:trPr>
          <w:trHeight w:val="850"/>
        </w:trPr>
        <w:tc>
          <w:tcPr>
            <w:tcW w:w="1607" w:type="dxa"/>
            <w:gridSpan w:val="4"/>
            <w:vMerge/>
            <w:tcBorders>
              <w:top w:val="single" w:sz="8" w:space="0" w:color="auto"/>
              <w:left w:val="single" w:sz="8" w:space="0" w:color="auto"/>
              <w:bottom w:val="nil"/>
              <w:right w:val="single" w:sz="8" w:space="0" w:color="000000"/>
            </w:tcBorders>
            <w:vAlign w:val="center"/>
            <w:hideMark/>
          </w:tcPr>
          <w:p w14:paraId="6280DE13" w14:textId="77777777" w:rsidR="00413A06" w:rsidRPr="00413A06" w:rsidRDefault="00413A06" w:rsidP="00413A06">
            <w:pPr>
              <w:rPr>
                <w:rFonts w:ascii="Arial Narrow" w:eastAsia="Times New Roman" w:hAnsi="Arial Narrow" w:cs="Calibri"/>
                <w:b/>
                <w:bCs/>
                <w:color w:val="FFFFFF"/>
                <w:sz w:val="22"/>
                <w:szCs w:val="22"/>
              </w:rPr>
            </w:pPr>
          </w:p>
        </w:tc>
        <w:tc>
          <w:tcPr>
            <w:tcW w:w="3685" w:type="dxa"/>
            <w:gridSpan w:val="2"/>
            <w:vMerge/>
            <w:tcBorders>
              <w:top w:val="single" w:sz="8" w:space="0" w:color="auto"/>
              <w:left w:val="single" w:sz="8" w:space="0" w:color="auto"/>
              <w:bottom w:val="nil"/>
              <w:right w:val="single" w:sz="8" w:space="0" w:color="auto"/>
            </w:tcBorders>
            <w:vAlign w:val="center"/>
            <w:hideMark/>
          </w:tcPr>
          <w:p w14:paraId="04D45945" w14:textId="77777777" w:rsidR="00413A06" w:rsidRPr="00413A06" w:rsidRDefault="00413A06" w:rsidP="00413A06">
            <w:pPr>
              <w:rPr>
                <w:rFonts w:ascii="Arial Narrow" w:eastAsia="Times New Roman" w:hAnsi="Arial Narrow" w:cs="Calibri"/>
                <w:b/>
                <w:bCs/>
                <w:color w:val="FFFFFF"/>
                <w:sz w:val="22"/>
                <w:szCs w:val="22"/>
              </w:rPr>
            </w:pPr>
          </w:p>
        </w:tc>
        <w:tc>
          <w:tcPr>
            <w:tcW w:w="2246" w:type="dxa"/>
            <w:gridSpan w:val="2"/>
            <w:tcBorders>
              <w:top w:val="nil"/>
              <w:left w:val="nil"/>
              <w:bottom w:val="nil"/>
              <w:right w:val="single" w:sz="8" w:space="0" w:color="auto"/>
            </w:tcBorders>
            <w:shd w:val="clear" w:color="000000" w:fill="203764"/>
            <w:vAlign w:val="center"/>
            <w:hideMark/>
          </w:tcPr>
          <w:p w14:paraId="617161CA"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Norma</w:t>
            </w:r>
          </w:p>
        </w:tc>
        <w:tc>
          <w:tcPr>
            <w:tcW w:w="1809" w:type="dxa"/>
            <w:tcBorders>
              <w:top w:val="nil"/>
              <w:left w:val="nil"/>
              <w:bottom w:val="nil"/>
              <w:right w:val="single" w:sz="8" w:space="0" w:color="auto"/>
            </w:tcBorders>
            <w:shd w:val="clear" w:color="000000" w:fill="203764"/>
            <w:vAlign w:val="center"/>
            <w:hideMark/>
          </w:tcPr>
          <w:p w14:paraId="55C1654A" w14:textId="77777777" w:rsidR="00413A06" w:rsidRPr="00413A06" w:rsidRDefault="00413A06" w:rsidP="00413A06">
            <w:pPr>
              <w:jc w:val="center"/>
              <w:rPr>
                <w:rFonts w:ascii="Arial Narrow" w:eastAsia="Times New Roman" w:hAnsi="Arial Narrow" w:cs="Calibri"/>
                <w:b/>
                <w:bCs/>
                <w:color w:val="FFFFFF"/>
                <w:sz w:val="22"/>
                <w:szCs w:val="22"/>
                <w:lang w:val="es-CR"/>
              </w:rPr>
            </w:pPr>
            <w:r w:rsidRPr="00413A06">
              <w:rPr>
                <w:rFonts w:ascii="Arial Narrow" w:eastAsia="Times New Roman" w:hAnsi="Arial Narrow" w:cs="Calibri"/>
                <w:b/>
                <w:bCs/>
                <w:color w:val="FFFFFF"/>
                <w:sz w:val="22"/>
                <w:szCs w:val="22"/>
                <w:lang w:val="es-CR"/>
              </w:rPr>
              <w:t>Normativa técnica y disposiciones adicionales</w:t>
            </w:r>
          </w:p>
        </w:tc>
      </w:tr>
      <w:tr w:rsidR="00413A06" w:rsidRPr="00413A06" w14:paraId="149FB6DD" w14:textId="77777777" w:rsidTr="00B758C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B1765"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10D7966"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9</w:t>
            </w:r>
          </w:p>
        </w:tc>
        <w:tc>
          <w:tcPr>
            <w:tcW w:w="464" w:type="dxa"/>
            <w:tcBorders>
              <w:top w:val="single" w:sz="8" w:space="0" w:color="auto"/>
              <w:left w:val="nil"/>
              <w:bottom w:val="single" w:sz="8" w:space="0" w:color="auto"/>
              <w:right w:val="single" w:sz="8" w:space="0" w:color="auto"/>
            </w:tcBorders>
            <w:shd w:val="clear" w:color="auto" w:fill="auto"/>
            <w:vAlign w:val="center"/>
            <w:hideMark/>
          </w:tcPr>
          <w:p w14:paraId="0CF713B3"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 xml:space="preserve"> </w:t>
            </w:r>
          </w:p>
        </w:tc>
        <w:tc>
          <w:tcPr>
            <w:tcW w:w="3685" w:type="dxa"/>
            <w:gridSpan w:val="2"/>
            <w:tcBorders>
              <w:top w:val="single" w:sz="8" w:space="0" w:color="auto"/>
              <w:left w:val="nil"/>
              <w:bottom w:val="single" w:sz="8" w:space="0" w:color="auto"/>
              <w:right w:val="single" w:sz="8" w:space="0" w:color="auto"/>
            </w:tcBorders>
            <w:shd w:val="clear" w:color="auto" w:fill="auto"/>
            <w:vAlign w:val="center"/>
            <w:hideMark/>
          </w:tcPr>
          <w:p w14:paraId="7DBB851A" w14:textId="77777777" w:rsidR="00413A06" w:rsidRPr="00413A06" w:rsidRDefault="00413A06" w:rsidP="00413A06">
            <w:pPr>
              <w:jc w:val="both"/>
              <w:rPr>
                <w:rFonts w:ascii="Arial Narrow" w:eastAsia="Times New Roman" w:hAnsi="Arial Narrow" w:cs="Calibri"/>
                <w:b/>
                <w:bCs/>
                <w:color w:val="000000"/>
                <w:sz w:val="22"/>
                <w:szCs w:val="22"/>
                <w:lang w:val="es-CR"/>
              </w:rPr>
            </w:pPr>
            <w:r w:rsidRPr="00413A06">
              <w:rPr>
                <w:rFonts w:ascii="Arial Narrow" w:eastAsia="Times New Roman" w:hAnsi="Arial Narrow" w:cs="Calibri"/>
                <w:b/>
                <w:bCs/>
                <w:color w:val="000000"/>
                <w:sz w:val="22"/>
                <w:szCs w:val="22"/>
                <w:lang w:val="es-CR"/>
              </w:rPr>
              <w:t>Presentación razonable y cumplimiento de las NICSP</w:t>
            </w:r>
          </w:p>
        </w:tc>
        <w:tc>
          <w:tcPr>
            <w:tcW w:w="2246" w:type="dxa"/>
            <w:gridSpan w:val="2"/>
            <w:tcBorders>
              <w:top w:val="single" w:sz="8" w:space="0" w:color="auto"/>
              <w:left w:val="nil"/>
              <w:bottom w:val="single" w:sz="8" w:space="0" w:color="auto"/>
              <w:right w:val="single" w:sz="8" w:space="0" w:color="auto"/>
            </w:tcBorders>
            <w:shd w:val="clear" w:color="auto" w:fill="auto"/>
            <w:vAlign w:val="center"/>
            <w:hideMark/>
          </w:tcPr>
          <w:p w14:paraId="08FB4425" w14:textId="77777777" w:rsidR="00B758C6" w:rsidRDefault="00413A06" w:rsidP="00413A06">
            <w:pPr>
              <w:jc w:val="both"/>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NICSP N° 1,</w:t>
            </w:r>
          </w:p>
          <w:p w14:paraId="1DEE36CD" w14:textId="27FF520B" w:rsidR="00413A06" w:rsidRPr="00413A06" w:rsidRDefault="00413A06" w:rsidP="00413A06">
            <w:pPr>
              <w:jc w:val="both"/>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Párrafo 27.</w:t>
            </w:r>
          </w:p>
        </w:tc>
        <w:tc>
          <w:tcPr>
            <w:tcW w:w="1826" w:type="dxa"/>
            <w:gridSpan w:val="2"/>
            <w:tcBorders>
              <w:top w:val="single" w:sz="8" w:space="0" w:color="auto"/>
              <w:left w:val="nil"/>
              <w:bottom w:val="single" w:sz="8" w:space="0" w:color="auto"/>
              <w:right w:val="single" w:sz="8" w:space="0" w:color="auto"/>
            </w:tcBorders>
            <w:shd w:val="clear" w:color="auto" w:fill="auto"/>
            <w:vAlign w:val="center"/>
            <w:hideMark/>
          </w:tcPr>
          <w:p w14:paraId="56B90FCB"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MCC</w:t>
            </w:r>
          </w:p>
        </w:tc>
      </w:tr>
    </w:tbl>
    <w:p w14:paraId="24B400A6" w14:textId="77777777" w:rsidR="00B758C6" w:rsidRDefault="00B758C6" w:rsidP="00413A06">
      <w:pPr>
        <w:pStyle w:val="Default"/>
        <w:ind w:left="1134" w:hanging="1134"/>
        <w:jc w:val="both"/>
        <w:rPr>
          <w:sz w:val="22"/>
          <w:szCs w:val="22"/>
          <w:lang w:val="es-CR"/>
        </w:rPr>
      </w:pPr>
    </w:p>
    <w:p w14:paraId="3E117CD0" w14:textId="796F6A1C" w:rsidR="00B758C6" w:rsidRDefault="00B758C6" w:rsidP="00B758C6">
      <w:pPr>
        <w:pStyle w:val="Default"/>
        <w:ind w:left="1134" w:hanging="1134"/>
        <w:jc w:val="both"/>
        <w:rPr>
          <w:rFonts w:eastAsia="Arial"/>
          <w:b/>
          <w:sz w:val="22"/>
          <w:szCs w:val="22"/>
        </w:rPr>
      </w:pPr>
      <w:r w:rsidRPr="00F02F9D">
        <w:rPr>
          <w:rFonts w:eastAsia="Arial"/>
          <w:b/>
          <w:sz w:val="22"/>
          <w:szCs w:val="22"/>
        </w:rPr>
        <w:t>Política Contable</w:t>
      </w:r>
    </w:p>
    <w:p w14:paraId="4549DF8A" w14:textId="77777777" w:rsidR="00B758C6" w:rsidRDefault="00B758C6" w:rsidP="00413A06">
      <w:pPr>
        <w:pStyle w:val="Default"/>
        <w:ind w:left="1134" w:hanging="1134"/>
        <w:jc w:val="both"/>
        <w:rPr>
          <w:sz w:val="22"/>
          <w:szCs w:val="22"/>
          <w:lang w:val="es-CR"/>
        </w:rPr>
      </w:pPr>
    </w:p>
    <w:p w14:paraId="0B1B3799" w14:textId="2889B0A1" w:rsidR="00413A06" w:rsidRPr="00413A06" w:rsidRDefault="00413A06" w:rsidP="00413A06">
      <w:pPr>
        <w:pStyle w:val="Default"/>
        <w:ind w:left="1134" w:hanging="1134"/>
        <w:jc w:val="both"/>
        <w:rPr>
          <w:sz w:val="22"/>
          <w:szCs w:val="22"/>
          <w:lang w:val="es-CR"/>
        </w:rPr>
      </w:pPr>
      <w:r>
        <w:rPr>
          <w:sz w:val="22"/>
          <w:szCs w:val="22"/>
          <w:lang w:val="es-CR"/>
        </w:rPr>
        <w:t>6.9.0.01</w:t>
      </w:r>
      <w:r>
        <w:rPr>
          <w:sz w:val="22"/>
          <w:szCs w:val="22"/>
          <w:lang w:val="es-CR"/>
        </w:rPr>
        <w:tab/>
      </w:r>
      <w:r w:rsidRPr="00413A06">
        <w:rPr>
          <w:sz w:val="22"/>
          <w:szCs w:val="22"/>
          <w:lang w:val="es-CR"/>
        </w:rPr>
        <w:t>Los EEFF presentarán razonablemente la situación financiera y el rendimiento financiero, así como los flujos de efectivo de una entidad. Dicha presentación requiere proporcionar la imagen fiel de los efectos de las transacciones, así como de otros sucesos y condiciones, de acuerdo con las definiciones y los criterios de reconocimiento de activos, pasivos, ingresos y gastos establecidos en las NICSP y en el presente PGCN.</w:t>
      </w:r>
    </w:p>
    <w:p w14:paraId="71119BD6" w14:textId="77777777" w:rsidR="008E4648" w:rsidRDefault="008E4648" w:rsidP="00594878">
      <w:pPr>
        <w:pStyle w:val="Default"/>
        <w:jc w:val="both"/>
        <w:rPr>
          <w:sz w:val="23"/>
          <w:szCs w:val="23"/>
          <w:lang w:val="es-CR"/>
        </w:rPr>
      </w:pPr>
    </w:p>
    <w:p w14:paraId="5C5777FD" w14:textId="77777777" w:rsidR="00413A06" w:rsidRDefault="00413A06" w:rsidP="00594878">
      <w:pPr>
        <w:pStyle w:val="Default"/>
        <w:jc w:val="both"/>
        <w:rPr>
          <w:sz w:val="23"/>
          <w:szCs w:val="23"/>
          <w:lang w:val="es-CR"/>
        </w:rPr>
      </w:pPr>
    </w:p>
    <w:tbl>
      <w:tblPr>
        <w:tblW w:w="9364" w:type="dxa"/>
        <w:tblLook w:val="04A0" w:firstRow="1" w:lastRow="0" w:firstColumn="1" w:lastColumn="0" w:noHBand="0" w:noVBand="1"/>
      </w:tblPr>
      <w:tblGrid>
        <w:gridCol w:w="416"/>
        <w:gridCol w:w="708"/>
        <w:gridCol w:w="567"/>
        <w:gridCol w:w="3695"/>
        <w:gridCol w:w="2117"/>
        <w:gridCol w:w="1853"/>
        <w:gridCol w:w="8"/>
      </w:tblGrid>
      <w:tr w:rsidR="00413A06" w:rsidRPr="00413A06" w14:paraId="176E8E8A" w14:textId="77777777" w:rsidTr="00B758C6">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B3CBDF7"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Norma / Política</w:t>
            </w:r>
          </w:p>
        </w:tc>
        <w:tc>
          <w:tcPr>
            <w:tcW w:w="3695" w:type="dxa"/>
            <w:vMerge w:val="restart"/>
            <w:tcBorders>
              <w:top w:val="single" w:sz="8" w:space="0" w:color="auto"/>
              <w:left w:val="single" w:sz="8" w:space="0" w:color="auto"/>
              <w:bottom w:val="nil"/>
              <w:right w:val="single" w:sz="8" w:space="0" w:color="auto"/>
            </w:tcBorders>
            <w:shd w:val="clear" w:color="000000" w:fill="203764"/>
            <w:vAlign w:val="center"/>
            <w:hideMark/>
          </w:tcPr>
          <w:p w14:paraId="6450A404"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Concepto</w:t>
            </w:r>
          </w:p>
        </w:tc>
        <w:tc>
          <w:tcPr>
            <w:tcW w:w="3978" w:type="dxa"/>
            <w:gridSpan w:val="3"/>
            <w:tcBorders>
              <w:top w:val="single" w:sz="8" w:space="0" w:color="auto"/>
              <w:left w:val="nil"/>
              <w:bottom w:val="single" w:sz="8" w:space="0" w:color="auto"/>
              <w:right w:val="single" w:sz="8" w:space="0" w:color="000000"/>
            </w:tcBorders>
            <w:shd w:val="clear" w:color="000000" w:fill="203764"/>
            <w:vAlign w:val="center"/>
            <w:hideMark/>
          </w:tcPr>
          <w:p w14:paraId="04B10DE4"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Referencia</w:t>
            </w:r>
          </w:p>
        </w:tc>
      </w:tr>
      <w:tr w:rsidR="00413A06" w:rsidRPr="006E5442" w14:paraId="5422BC29" w14:textId="77777777" w:rsidTr="00B758C6">
        <w:trPr>
          <w:gridAfter w:val="1"/>
          <w:wAfter w:w="8" w:type="dxa"/>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075F0C25" w14:textId="77777777" w:rsidR="00413A06" w:rsidRPr="00413A06" w:rsidRDefault="00413A06" w:rsidP="00413A06">
            <w:pPr>
              <w:rPr>
                <w:rFonts w:ascii="Arial Narrow" w:eastAsia="Times New Roman" w:hAnsi="Arial Narrow" w:cs="Calibri"/>
                <w:b/>
                <w:bCs/>
                <w:color w:val="FFFFFF"/>
                <w:sz w:val="22"/>
                <w:szCs w:val="22"/>
              </w:rPr>
            </w:pPr>
          </w:p>
        </w:tc>
        <w:tc>
          <w:tcPr>
            <w:tcW w:w="3695" w:type="dxa"/>
            <w:vMerge/>
            <w:tcBorders>
              <w:top w:val="single" w:sz="8" w:space="0" w:color="auto"/>
              <w:left w:val="single" w:sz="8" w:space="0" w:color="auto"/>
              <w:bottom w:val="nil"/>
              <w:right w:val="single" w:sz="8" w:space="0" w:color="auto"/>
            </w:tcBorders>
            <w:vAlign w:val="center"/>
            <w:hideMark/>
          </w:tcPr>
          <w:p w14:paraId="646189E8" w14:textId="77777777" w:rsidR="00413A06" w:rsidRPr="00413A06" w:rsidRDefault="00413A06" w:rsidP="00413A06">
            <w:pPr>
              <w:rPr>
                <w:rFonts w:ascii="Arial Narrow" w:eastAsia="Times New Roman" w:hAnsi="Arial Narrow" w:cs="Calibri"/>
                <w:b/>
                <w:bCs/>
                <w:color w:val="FFFFFF"/>
                <w:sz w:val="22"/>
                <w:szCs w:val="22"/>
              </w:rPr>
            </w:pPr>
          </w:p>
        </w:tc>
        <w:tc>
          <w:tcPr>
            <w:tcW w:w="2117" w:type="dxa"/>
            <w:tcBorders>
              <w:top w:val="nil"/>
              <w:left w:val="nil"/>
              <w:bottom w:val="nil"/>
              <w:right w:val="single" w:sz="8" w:space="0" w:color="auto"/>
            </w:tcBorders>
            <w:shd w:val="clear" w:color="000000" w:fill="203764"/>
            <w:vAlign w:val="center"/>
            <w:hideMark/>
          </w:tcPr>
          <w:p w14:paraId="0CF47867" w14:textId="77777777" w:rsidR="00413A06" w:rsidRPr="00413A06" w:rsidRDefault="00413A06" w:rsidP="00413A06">
            <w:pPr>
              <w:jc w:val="center"/>
              <w:rPr>
                <w:rFonts w:ascii="Arial Narrow" w:eastAsia="Times New Roman" w:hAnsi="Arial Narrow" w:cs="Calibri"/>
                <w:b/>
                <w:bCs/>
                <w:color w:val="FFFFFF"/>
                <w:sz w:val="22"/>
                <w:szCs w:val="22"/>
              </w:rPr>
            </w:pPr>
            <w:r w:rsidRPr="00413A06">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19BBC935" w14:textId="77777777" w:rsidR="00413A06" w:rsidRPr="00413A06" w:rsidRDefault="00413A06" w:rsidP="00413A06">
            <w:pPr>
              <w:jc w:val="center"/>
              <w:rPr>
                <w:rFonts w:ascii="Arial Narrow" w:eastAsia="Times New Roman" w:hAnsi="Arial Narrow" w:cs="Calibri"/>
                <w:b/>
                <w:bCs/>
                <w:color w:val="FFFFFF"/>
                <w:sz w:val="22"/>
                <w:szCs w:val="22"/>
                <w:lang w:val="es-CR"/>
              </w:rPr>
            </w:pPr>
            <w:r w:rsidRPr="00413A06">
              <w:rPr>
                <w:rFonts w:ascii="Arial Narrow" w:eastAsia="Times New Roman" w:hAnsi="Arial Narrow" w:cs="Calibri"/>
                <w:b/>
                <w:bCs/>
                <w:color w:val="FFFFFF"/>
                <w:sz w:val="22"/>
                <w:szCs w:val="22"/>
                <w:lang w:val="es-CR"/>
              </w:rPr>
              <w:t>Normativa técnica y disposiciones adicionales</w:t>
            </w:r>
          </w:p>
        </w:tc>
      </w:tr>
      <w:tr w:rsidR="00413A06" w:rsidRPr="00413A06" w14:paraId="64B8F9D4" w14:textId="77777777" w:rsidTr="00B758C6">
        <w:trPr>
          <w:gridAfter w:val="1"/>
          <w:wAfter w:w="8"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95CCA"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D89A0CD"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3EAB622"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 xml:space="preserve"> </w:t>
            </w:r>
          </w:p>
        </w:tc>
        <w:tc>
          <w:tcPr>
            <w:tcW w:w="3695" w:type="dxa"/>
            <w:tcBorders>
              <w:top w:val="single" w:sz="8" w:space="0" w:color="auto"/>
              <w:left w:val="nil"/>
              <w:bottom w:val="single" w:sz="8" w:space="0" w:color="auto"/>
              <w:right w:val="single" w:sz="8" w:space="0" w:color="auto"/>
            </w:tcBorders>
            <w:shd w:val="clear" w:color="auto" w:fill="auto"/>
            <w:vAlign w:val="center"/>
            <w:hideMark/>
          </w:tcPr>
          <w:p w14:paraId="3E5A1224" w14:textId="77777777" w:rsidR="00413A06" w:rsidRPr="00413A06" w:rsidRDefault="00413A06" w:rsidP="00413A06">
            <w:pPr>
              <w:jc w:val="both"/>
              <w:rPr>
                <w:rFonts w:ascii="Arial Narrow" w:eastAsia="Times New Roman" w:hAnsi="Arial Narrow" w:cs="Calibri"/>
                <w:b/>
                <w:bCs/>
                <w:color w:val="000000"/>
                <w:sz w:val="22"/>
                <w:szCs w:val="22"/>
                <w:lang w:val="es-CR"/>
              </w:rPr>
            </w:pPr>
            <w:r w:rsidRPr="00413A06">
              <w:rPr>
                <w:rFonts w:ascii="Arial Narrow" w:eastAsia="Times New Roman" w:hAnsi="Arial Narrow" w:cs="Calibri"/>
                <w:b/>
                <w:bCs/>
                <w:color w:val="000000"/>
                <w:sz w:val="22"/>
                <w:szCs w:val="22"/>
                <w:lang w:val="es-CR"/>
              </w:rPr>
              <w:t>Comisión Institucional de Adopción e Implementación de las NICSP</w:t>
            </w:r>
          </w:p>
        </w:tc>
        <w:tc>
          <w:tcPr>
            <w:tcW w:w="2117" w:type="dxa"/>
            <w:tcBorders>
              <w:top w:val="single" w:sz="8" w:space="0" w:color="auto"/>
              <w:left w:val="nil"/>
              <w:bottom w:val="single" w:sz="8" w:space="0" w:color="auto"/>
              <w:right w:val="single" w:sz="8" w:space="0" w:color="auto"/>
            </w:tcBorders>
            <w:shd w:val="clear" w:color="auto" w:fill="auto"/>
            <w:vAlign w:val="center"/>
            <w:hideMark/>
          </w:tcPr>
          <w:p w14:paraId="2076B61D" w14:textId="77777777" w:rsidR="00413A06" w:rsidRPr="00413A06" w:rsidRDefault="00413A06" w:rsidP="00413A06">
            <w:pPr>
              <w:jc w:val="both"/>
              <w:rPr>
                <w:rFonts w:ascii="Arial Narrow" w:eastAsia="Times New Roman" w:hAnsi="Arial Narrow" w:cs="Calibri"/>
                <w:b/>
                <w:bCs/>
                <w:color w:val="000000"/>
                <w:sz w:val="22"/>
                <w:szCs w:val="22"/>
                <w:lang w:val="es-CR"/>
              </w:rPr>
            </w:pPr>
            <w:r w:rsidRPr="00413A06">
              <w:rPr>
                <w:rFonts w:ascii="Arial Narrow" w:eastAsia="Times New Roman" w:hAnsi="Arial Narrow" w:cs="Calibri"/>
                <w:b/>
                <w:bCs/>
                <w:color w:val="000000"/>
                <w:sz w:val="22"/>
                <w:szCs w:val="22"/>
                <w:lang w:val="es-CR"/>
              </w:rPr>
              <w:t> </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05353182" w14:textId="77777777" w:rsidR="00413A06" w:rsidRPr="00413A06" w:rsidRDefault="00413A06" w:rsidP="00413A06">
            <w:pPr>
              <w:jc w:val="center"/>
              <w:rPr>
                <w:rFonts w:ascii="Arial Narrow" w:eastAsia="Times New Roman" w:hAnsi="Arial Narrow" w:cs="Calibri"/>
                <w:b/>
                <w:bCs/>
                <w:color w:val="000000"/>
                <w:sz w:val="22"/>
                <w:szCs w:val="22"/>
              </w:rPr>
            </w:pPr>
            <w:r w:rsidRPr="00413A06">
              <w:rPr>
                <w:rFonts w:ascii="Arial Narrow" w:eastAsia="Times New Roman" w:hAnsi="Arial Narrow" w:cs="Calibri"/>
                <w:b/>
                <w:bCs/>
                <w:color w:val="000000"/>
                <w:sz w:val="22"/>
                <w:szCs w:val="22"/>
              </w:rPr>
              <w:t>DGCN</w:t>
            </w:r>
          </w:p>
        </w:tc>
      </w:tr>
    </w:tbl>
    <w:p w14:paraId="640DC6A9" w14:textId="77777777" w:rsidR="00413A06" w:rsidRDefault="00413A06" w:rsidP="00594878">
      <w:pPr>
        <w:pStyle w:val="Default"/>
        <w:jc w:val="both"/>
        <w:rPr>
          <w:sz w:val="23"/>
          <w:szCs w:val="23"/>
          <w:lang w:val="es-CR"/>
        </w:rPr>
      </w:pPr>
    </w:p>
    <w:p w14:paraId="52FF2AF6" w14:textId="31FF3DFC" w:rsidR="00B758C6" w:rsidRDefault="00B758C6" w:rsidP="00B758C6">
      <w:pPr>
        <w:pStyle w:val="Default"/>
        <w:ind w:left="1134" w:hanging="1134"/>
        <w:jc w:val="both"/>
        <w:rPr>
          <w:rFonts w:eastAsia="Arial"/>
          <w:b/>
          <w:sz w:val="22"/>
          <w:szCs w:val="22"/>
        </w:rPr>
      </w:pPr>
      <w:r w:rsidRPr="00F02F9D">
        <w:rPr>
          <w:rFonts w:eastAsia="Arial"/>
          <w:b/>
          <w:sz w:val="22"/>
          <w:szCs w:val="22"/>
        </w:rPr>
        <w:t>Política Contable</w:t>
      </w:r>
    </w:p>
    <w:p w14:paraId="2D37DBFC" w14:textId="77777777" w:rsidR="00B758C6" w:rsidRDefault="00B758C6" w:rsidP="00594878">
      <w:pPr>
        <w:pStyle w:val="Default"/>
        <w:jc w:val="both"/>
        <w:rPr>
          <w:sz w:val="23"/>
          <w:szCs w:val="23"/>
          <w:lang w:val="es-CR"/>
        </w:rPr>
      </w:pPr>
    </w:p>
    <w:p w14:paraId="321E8823" w14:textId="087DD4D0" w:rsidR="00413A06" w:rsidRDefault="00AD41C7" w:rsidP="00AD41C7">
      <w:pPr>
        <w:pStyle w:val="Default"/>
        <w:ind w:left="1134" w:hanging="1134"/>
        <w:jc w:val="both"/>
        <w:rPr>
          <w:sz w:val="22"/>
          <w:szCs w:val="22"/>
          <w:lang w:val="es-CR"/>
        </w:rPr>
      </w:pPr>
      <w:r>
        <w:rPr>
          <w:sz w:val="22"/>
          <w:szCs w:val="22"/>
          <w:lang w:val="es-CR"/>
        </w:rPr>
        <w:t>6.10.0.01</w:t>
      </w:r>
      <w:r>
        <w:rPr>
          <w:sz w:val="22"/>
          <w:szCs w:val="22"/>
          <w:lang w:val="es-CR"/>
        </w:rPr>
        <w:tab/>
      </w:r>
      <w:r w:rsidR="00413A06" w:rsidRPr="00413A06">
        <w:rPr>
          <w:sz w:val="22"/>
          <w:szCs w:val="22"/>
          <w:lang w:val="es-CR"/>
        </w:rPr>
        <w:t xml:space="preserve">Las Normas Internacionales de Contabilidad del Sector Publico (NICSP), no es un asunto solamente contable sino que repercute en toda la estructura organizacional de cada Institución debido a que la información que se requiere para el reconocimiento, medición, revelación y presentación de los Estados Financieros depende de las unidades primarias que intervienen de una u otra forma en la Administración Financiera, como </w:t>
      </w:r>
      <w:r>
        <w:rPr>
          <w:sz w:val="22"/>
          <w:szCs w:val="22"/>
          <w:lang w:val="es-CR"/>
        </w:rPr>
        <w:t>lo son</w:t>
      </w:r>
      <w:r w:rsidR="00413A06" w:rsidRPr="00413A06">
        <w:rPr>
          <w:sz w:val="22"/>
          <w:szCs w:val="22"/>
          <w:lang w:val="es-CR"/>
        </w:rPr>
        <w:t xml:space="preserve">: </w:t>
      </w:r>
      <w:r w:rsidR="005F6B51">
        <w:rPr>
          <w:sz w:val="22"/>
          <w:szCs w:val="22"/>
          <w:lang w:val="es-CR"/>
        </w:rPr>
        <w:t xml:space="preserve">la Contabilidad; </w:t>
      </w:r>
      <w:r w:rsidR="00413A06" w:rsidRPr="00413A06">
        <w:rPr>
          <w:sz w:val="22"/>
          <w:szCs w:val="22"/>
          <w:lang w:val="es-CR"/>
        </w:rPr>
        <w:t>la</w:t>
      </w:r>
      <w:r w:rsidR="005F6B51">
        <w:rPr>
          <w:sz w:val="22"/>
          <w:szCs w:val="22"/>
          <w:lang w:val="es-CR"/>
        </w:rPr>
        <w:t xml:space="preserve"> Administración Tributaria</w:t>
      </w:r>
      <w:r w:rsidR="00413A06" w:rsidRPr="00413A06">
        <w:rPr>
          <w:sz w:val="22"/>
          <w:szCs w:val="22"/>
          <w:lang w:val="es-CR"/>
        </w:rPr>
        <w:t xml:space="preserve">; Recursos Humanos; Asesoría Legal; Proveeduría, Tesorería; Presupuesto; </w:t>
      </w:r>
      <w:r w:rsidR="005F6B51">
        <w:rPr>
          <w:sz w:val="22"/>
          <w:szCs w:val="22"/>
          <w:lang w:val="es-CR"/>
        </w:rPr>
        <w:t xml:space="preserve">Desarrollo Urbano; Proveeduría; Tecnologías de Información; </w:t>
      </w:r>
      <w:r w:rsidR="00413A06" w:rsidRPr="00413A06">
        <w:rPr>
          <w:sz w:val="22"/>
          <w:szCs w:val="22"/>
          <w:lang w:val="es-CR"/>
        </w:rPr>
        <w:t>Unidad Técnica</w:t>
      </w:r>
      <w:r w:rsidR="005F6B51">
        <w:rPr>
          <w:sz w:val="22"/>
          <w:szCs w:val="22"/>
          <w:lang w:val="es-CR"/>
        </w:rPr>
        <w:t xml:space="preserve"> de Gestión Vial</w:t>
      </w:r>
      <w:r w:rsidR="00413A06" w:rsidRPr="00413A06">
        <w:rPr>
          <w:sz w:val="22"/>
          <w:szCs w:val="22"/>
          <w:lang w:val="es-CR"/>
        </w:rPr>
        <w:t>, Servicios Generales.</w:t>
      </w:r>
    </w:p>
    <w:p w14:paraId="7761A07C" w14:textId="77777777" w:rsidR="00413A06" w:rsidRPr="00413A06" w:rsidRDefault="00413A06" w:rsidP="00413A06">
      <w:pPr>
        <w:pStyle w:val="Default"/>
        <w:jc w:val="both"/>
        <w:rPr>
          <w:sz w:val="22"/>
          <w:szCs w:val="22"/>
          <w:lang w:val="es-CR"/>
        </w:rPr>
      </w:pPr>
    </w:p>
    <w:p w14:paraId="520D05AC" w14:textId="4DEFD003" w:rsidR="00413A06" w:rsidRDefault="005F6B51" w:rsidP="00AD41C7">
      <w:pPr>
        <w:pStyle w:val="Default"/>
        <w:ind w:left="1134"/>
        <w:jc w:val="both"/>
        <w:rPr>
          <w:sz w:val="22"/>
          <w:szCs w:val="22"/>
          <w:lang w:val="es-CR"/>
        </w:rPr>
      </w:pPr>
      <w:r>
        <w:rPr>
          <w:sz w:val="22"/>
          <w:szCs w:val="22"/>
          <w:lang w:val="es-CR"/>
        </w:rPr>
        <w:t>La Municipalidad</w:t>
      </w:r>
      <w:r w:rsidR="00413A06" w:rsidRPr="00413A06">
        <w:rPr>
          <w:sz w:val="22"/>
          <w:szCs w:val="22"/>
          <w:lang w:val="es-CR"/>
        </w:rPr>
        <w:t xml:space="preserve"> deberá tener activa la Comisión de Implementación de NICSP, cuyo coordinador ser</w:t>
      </w:r>
      <w:r>
        <w:rPr>
          <w:sz w:val="22"/>
          <w:szCs w:val="22"/>
          <w:lang w:val="es-CR"/>
        </w:rPr>
        <w:t>á</w:t>
      </w:r>
      <w:r w:rsidR="00413A06" w:rsidRPr="00413A06">
        <w:rPr>
          <w:sz w:val="22"/>
          <w:szCs w:val="22"/>
          <w:lang w:val="es-CR"/>
        </w:rPr>
        <w:t xml:space="preserve"> el </w:t>
      </w:r>
      <w:r>
        <w:rPr>
          <w:sz w:val="22"/>
          <w:szCs w:val="22"/>
          <w:lang w:val="es-CR"/>
        </w:rPr>
        <w:t>Contador Municipal</w:t>
      </w:r>
      <w:r w:rsidR="00413A06" w:rsidRPr="00413A06">
        <w:rPr>
          <w:sz w:val="22"/>
          <w:szCs w:val="22"/>
          <w:lang w:val="es-CR"/>
        </w:rPr>
        <w:t>.</w:t>
      </w:r>
    </w:p>
    <w:p w14:paraId="58597085" w14:textId="7756A536" w:rsidR="00413A06" w:rsidRPr="00413A06" w:rsidRDefault="00413A06" w:rsidP="00413A06">
      <w:pPr>
        <w:pStyle w:val="Default"/>
        <w:jc w:val="both"/>
        <w:rPr>
          <w:sz w:val="22"/>
          <w:szCs w:val="22"/>
          <w:lang w:val="es-CR"/>
        </w:rPr>
      </w:pPr>
      <w:r w:rsidRPr="00413A06">
        <w:rPr>
          <w:sz w:val="22"/>
          <w:szCs w:val="22"/>
          <w:lang w:val="es-CR"/>
        </w:rPr>
        <w:lastRenderedPageBreak/>
        <w:t xml:space="preserve"> </w:t>
      </w:r>
    </w:p>
    <w:p w14:paraId="7A3E74EE" w14:textId="589F7777" w:rsidR="00413A06" w:rsidRDefault="00413A06" w:rsidP="00AD41C7">
      <w:pPr>
        <w:pStyle w:val="Default"/>
        <w:ind w:left="1134"/>
        <w:jc w:val="both"/>
        <w:rPr>
          <w:sz w:val="22"/>
          <w:szCs w:val="22"/>
          <w:lang w:val="es-CR"/>
        </w:rPr>
      </w:pPr>
      <w:r w:rsidRPr="00413A06">
        <w:rPr>
          <w:sz w:val="22"/>
          <w:szCs w:val="22"/>
          <w:lang w:val="es-CR"/>
        </w:rPr>
        <w:t>Es importante manifestar, que la coordinación de dicha comisión, se ha considerado conveniente que sea coordinada por el Director Administrativo y Financiero, o en caso de que esta figura no exista, el Oficial Mayor o puesto equivalente, dado que es el funcionario que tiene una relación más directa con las unidades primarias de información antes mencionadas, las cuales deben proporcionar la información en tiempo y forma con el fin de que el departamento contable de cada ente contable o en el caso del Poder Ejecutivo, la Contabilidad Nacional procedan a elaborar los Estados Financieros bajo el tratamiento de las NICSP.</w:t>
      </w:r>
    </w:p>
    <w:p w14:paraId="2029B914" w14:textId="77777777" w:rsidR="00413A06" w:rsidRPr="00413A06" w:rsidRDefault="00413A06" w:rsidP="00413A06">
      <w:pPr>
        <w:pStyle w:val="Default"/>
        <w:jc w:val="both"/>
        <w:rPr>
          <w:sz w:val="22"/>
          <w:szCs w:val="22"/>
          <w:lang w:val="es-CR"/>
        </w:rPr>
      </w:pPr>
    </w:p>
    <w:p w14:paraId="5C801496" w14:textId="30E876DF" w:rsidR="00413A06" w:rsidRDefault="00413A06" w:rsidP="00AD41C7">
      <w:pPr>
        <w:pStyle w:val="Default"/>
        <w:ind w:left="1134"/>
        <w:jc w:val="both"/>
        <w:rPr>
          <w:sz w:val="22"/>
          <w:szCs w:val="22"/>
          <w:lang w:val="es-CR"/>
        </w:rPr>
      </w:pPr>
      <w:r w:rsidRPr="00413A06">
        <w:rPr>
          <w:sz w:val="22"/>
          <w:szCs w:val="22"/>
          <w:lang w:val="es-CR"/>
        </w:rPr>
        <w:t>Esta comisión debe ser permanente en el tiempo y tendrá como objetivo el seguimiento y cumplimiento de todos los requerimientos que solicite la Contabilidad Nacional en el cumplimiento de las NICSP</w:t>
      </w:r>
      <w:r w:rsidR="00AD41C7">
        <w:rPr>
          <w:sz w:val="22"/>
          <w:szCs w:val="22"/>
          <w:lang w:val="es-CR"/>
        </w:rPr>
        <w:t xml:space="preserve"> y</w:t>
      </w:r>
      <w:r w:rsidRPr="00413A06">
        <w:rPr>
          <w:sz w:val="22"/>
          <w:szCs w:val="22"/>
          <w:lang w:val="es-CR"/>
        </w:rPr>
        <w:t xml:space="preserve"> Políticas Generales de Contabilidad.</w:t>
      </w:r>
    </w:p>
    <w:p w14:paraId="4918CDC4" w14:textId="7BADFAEB" w:rsidR="00413A06" w:rsidRPr="00413A06" w:rsidRDefault="00413A06" w:rsidP="00413A06">
      <w:pPr>
        <w:pStyle w:val="Default"/>
        <w:jc w:val="both"/>
        <w:rPr>
          <w:sz w:val="22"/>
          <w:szCs w:val="22"/>
          <w:lang w:val="es-CR"/>
        </w:rPr>
      </w:pPr>
      <w:r w:rsidRPr="00413A06">
        <w:rPr>
          <w:sz w:val="22"/>
          <w:szCs w:val="22"/>
          <w:lang w:val="es-CR"/>
        </w:rPr>
        <w:t xml:space="preserve"> </w:t>
      </w:r>
    </w:p>
    <w:p w14:paraId="579AA30E" w14:textId="38A2AB37" w:rsidR="00413A06" w:rsidRDefault="00413A06" w:rsidP="00AD41C7">
      <w:pPr>
        <w:pStyle w:val="Default"/>
        <w:ind w:left="1134"/>
        <w:jc w:val="both"/>
        <w:rPr>
          <w:sz w:val="22"/>
          <w:szCs w:val="22"/>
          <w:lang w:val="es-CR"/>
        </w:rPr>
      </w:pPr>
      <w:r w:rsidRPr="00413A06">
        <w:rPr>
          <w:sz w:val="22"/>
          <w:szCs w:val="22"/>
          <w:lang w:val="es-CR"/>
        </w:rPr>
        <w:t>Las funciones de dicha comisión son las siguientes:</w:t>
      </w:r>
    </w:p>
    <w:p w14:paraId="35B0250F" w14:textId="77777777" w:rsidR="00413A06" w:rsidRPr="00413A06" w:rsidRDefault="00413A06" w:rsidP="00413A06">
      <w:pPr>
        <w:pStyle w:val="Default"/>
        <w:jc w:val="both"/>
        <w:rPr>
          <w:sz w:val="22"/>
          <w:szCs w:val="22"/>
          <w:lang w:val="es-CR"/>
        </w:rPr>
      </w:pPr>
    </w:p>
    <w:p w14:paraId="626E3B88" w14:textId="51B4C48B" w:rsidR="00413A06" w:rsidRPr="00413A06" w:rsidRDefault="005F6B51">
      <w:pPr>
        <w:pStyle w:val="Default"/>
        <w:numPr>
          <w:ilvl w:val="0"/>
          <w:numId w:val="320"/>
        </w:numPr>
        <w:spacing w:after="120"/>
        <w:ind w:left="1418" w:hanging="284"/>
        <w:jc w:val="both"/>
        <w:rPr>
          <w:sz w:val="22"/>
          <w:szCs w:val="22"/>
          <w:lang w:val="es-CR"/>
        </w:rPr>
      </w:pPr>
      <w:r>
        <w:rPr>
          <w:sz w:val="22"/>
          <w:szCs w:val="22"/>
          <w:lang w:val="es-CR"/>
        </w:rPr>
        <w:t>R</w:t>
      </w:r>
      <w:r w:rsidR="00413A06" w:rsidRPr="00413A06">
        <w:rPr>
          <w:sz w:val="22"/>
          <w:szCs w:val="22"/>
          <w:lang w:val="es-CR"/>
        </w:rPr>
        <w:t xml:space="preserve">ealizar un FODA institucional que considere todos los impactos con respecto a la aplicación de los estándares de las NICSP, las Políticas Generales Contables y el cumplimiento de los demás requerimientos solicitados por parte de la Contabilidad Nacional. </w:t>
      </w:r>
    </w:p>
    <w:p w14:paraId="39EEBC61" w14:textId="1515E1C5" w:rsidR="00413A06" w:rsidRPr="00413A06" w:rsidRDefault="005F6B51">
      <w:pPr>
        <w:pStyle w:val="Default"/>
        <w:numPr>
          <w:ilvl w:val="0"/>
          <w:numId w:val="320"/>
        </w:numPr>
        <w:spacing w:after="120"/>
        <w:ind w:left="1418" w:hanging="284"/>
        <w:jc w:val="both"/>
        <w:rPr>
          <w:sz w:val="22"/>
          <w:szCs w:val="22"/>
          <w:lang w:val="es-CR"/>
        </w:rPr>
      </w:pPr>
      <w:r>
        <w:rPr>
          <w:sz w:val="22"/>
          <w:szCs w:val="22"/>
          <w:lang w:val="es-CR"/>
        </w:rPr>
        <w:t>A</w:t>
      </w:r>
      <w:r w:rsidR="00413A06" w:rsidRPr="00413A06">
        <w:rPr>
          <w:sz w:val="22"/>
          <w:szCs w:val="22"/>
          <w:lang w:val="es-CR"/>
        </w:rPr>
        <w:t xml:space="preserve">nalizar y aplicar la Matriz de Autoevaluación de NICSP, con el fin de detectar las brechas que dificultan el cumplimiento de dichas normas a nivel institucional. </w:t>
      </w:r>
    </w:p>
    <w:p w14:paraId="16BDA544" w14:textId="27111428" w:rsidR="00413A06" w:rsidRPr="00413A06" w:rsidRDefault="005F6B51">
      <w:pPr>
        <w:pStyle w:val="Default"/>
        <w:numPr>
          <w:ilvl w:val="0"/>
          <w:numId w:val="320"/>
        </w:numPr>
        <w:spacing w:after="120"/>
        <w:ind w:left="1418" w:hanging="284"/>
        <w:jc w:val="both"/>
        <w:rPr>
          <w:sz w:val="22"/>
          <w:szCs w:val="22"/>
          <w:lang w:val="es-CR"/>
        </w:rPr>
      </w:pPr>
      <w:r>
        <w:rPr>
          <w:sz w:val="22"/>
          <w:szCs w:val="22"/>
          <w:lang w:val="es-CR"/>
        </w:rPr>
        <w:t>E</w:t>
      </w:r>
      <w:r w:rsidR="00413A06" w:rsidRPr="00413A06">
        <w:rPr>
          <w:sz w:val="22"/>
          <w:szCs w:val="22"/>
          <w:lang w:val="es-CR"/>
        </w:rPr>
        <w:t xml:space="preserve">laborar los planes de acción con el fin de mitigar las brechas en NICSP, estableciendo los responsables de generar la información y los plazos acorde a lo dispuesto la Contabilidad Nacional. </w:t>
      </w:r>
    </w:p>
    <w:p w14:paraId="23DAE313" w14:textId="77777777" w:rsidR="005F6B51" w:rsidRDefault="005F6B51">
      <w:pPr>
        <w:pStyle w:val="Default"/>
        <w:numPr>
          <w:ilvl w:val="0"/>
          <w:numId w:val="320"/>
        </w:numPr>
        <w:spacing w:after="120"/>
        <w:ind w:left="1418" w:hanging="284"/>
        <w:jc w:val="both"/>
        <w:rPr>
          <w:sz w:val="22"/>
          <w:szCs w:val="22"/>
          <w:lang w:val="es-CR"/>
        </w:rPr>
      </w:pPr>
      <w:r>
        <w:rPr>
          <w:sz w:val="22"/>
          <w:szCs w:val="22"/>
          <w:lang w:val="es-CR"/>
        </w:rPr>
        <w:t>E</w:t>
      </w:r>
      <w:r w:rsidR="00413A06" w:rsidRPr="00413A06">
        <w:rPr>
          <w:sz w:val="22"/>
          <w:szCs w:val="22"/>
          <w:lang w:val="es-CR"/>
        </w:rPr>
        <w:t xml:space="preserve">stablecer la Estrategia de Adopción e Implementación de NICSP considerando los elementos de control como la coordinación, comunicación, ejecución y seguimiento </w:t>
      </w:r>
    </w:p>
    <w:p w14:paraId="1719590A" w14:textId="1F4608DA" w:rsidR="00413A06" w:rsidRPr="00413A06" w:rsidRDefault="005F6B51">
      <w:pPr>
        <w:pStyle w:val="Default"/>
        <w:numPr>
          <w:ilvl w:val="0"/>
          <w:numId w:val="320"/>
        </w:numPr>
        <w:spacing w:after="120"/>
        <w:ind w:left="1418" w:hanging="284"/>
        <w:jc w:val="both"/>
        <w:rPr>
          <w:sz w:val="22"/>
          <w:szCs w:val="22"/>
          <w:lang w:val="es-CR"/>
        </w:rPr>
      </w:pPr>
      <w:r>
        <w:rPr>
          <w:sz w:val="22"/>
          <w:szCs w:val="22"/>
          <w:lang w:val="es-CR"/>
        </w:rPr>
        <w:t>I</w:t>
      </w:r>
      <w:r w:rsidR="00413A06" w:rsidRPr="00413A06">
        <w:rPr>
          <w:sz w:val="22"/>
          <w:szCs w:val="22"/>
          <w:lang w:val="es-CR"/>
        </w:rPr>
        <w:t>ncluir dentro de la planificación formal de la institución, el proceso de implementación de las NICSP, con el fin de establecer los recursos técnicos, presupuestarios y financieros necesarios y que faciliten cumplir con las NICSP y con ello emitir estados financieros con un nivel de calidad optimo que permitan tomar las mejores decisiones a nivel gerencial.</w:t>
      </w:r>
    </w:p>
    <w:p w14:paraId="482BFA87" w14:textId="4DC245EC" w:rsidR="00413A06" w:rsidRPr="00413A06" w:rsidRDefault="005F6B51">
      <w:pPr>
        <w:pStyle w:val="Default"/>
        <w:numPr>
          <w:ilvl w:val="0"/>
          <w:numId w:val="320"/>
        </w:numPr>
        <w:spacing w:after="120"/>
        <w:ind w:left="1418" w:hanging="284"/>
        <w:jc w:val="both"/>
        <w:rPr>
          <w:color w:val="auto"/>
          <w:sz w:val="22"/>
          <w:szCs w:val="22"/>
          <w:lang w:val="es-CR"/>
        </w:rPr>
      </w:pPr>
      <w:r>
        <w:rPr>
          <w:color w:val="auto"/>
          <w:sz w:val="22"/>
          <w:szCs w:val="22"/>
          <w:lang w:val="es-CR"/>
        </w:rPr>
        <w:t>V</w:t>
      </w:r>
      <w:r w:rsidR="00413A06" w:rsidRPr="00413A06">
        <w:rPr>
          <w:color w:val="auto"/>
          <w:sz w:val="22"/>
          <w:szCs w:val="22"/>
          <w:lang w:val="es-CR"/>
        </w:rPr>
        <w:t xml:space="preserve">elar porque la implementación se efectúe según los lineamientos emitidos por el Rector. </w:t>
      </w:r>
    </w:p>
    <w:p w14:paraId="5A36D7BF" w14:textId="75E7FC80" w:rsidR="00413A06" w:rsidRPr="00413A06" w:rsidRDefault="005F6B51">
      <w:pPr>
        <w:pStyle w:val="Default"/>
        <w:numPr>
          <w:ilvl w:val="0"/>
          <w:numId w:val="320"/>
        </w:numPr>
        <w:spacing w:after="120"/>
        <w:ind w:left="1418" w:hanging="284"/>
        <w:jc w:val="both"/>
        <w:rPr>
          <w:color w:val="auto"/>
          <w:sz w:val="22"/>
          <w:szCs w:val="22"/>
          <w:lang w:val="es-CR"/>
        </w:rPr>
      </w:pPr>
      <w:r>
        <w:rPr>
          <w:color w:val="auto"/>
          <w:sz w:val="22"/>
          <w:szCs w:val="22"/>
          <w:lang w:val="es-CR"/>
        </w:rPr>
        <w:t>P</w:t>
      </w:r>
      <w:r w:rsidR="00413A06" w:rsidRPr="00413A06">
        <w:rPr>
          <w:color w:val="auto"/>
          <w:sz w:val="22"/>
          <w:szCs w:val="22"/>
          <w:lang w:val="es-CR"/>
        </w:rPr>
        <w:t xml:space="preserve">articipar en los procesos de capacitación que establezca la Contabilidad Nacional </w:t>
      </w:r>
    </w:p>
    <w:p w14:paraId="04FF97E7" w14:textId="014FC03B" w:rsidR="00413A06" w:rsidRPr="00413A06" w:rsidRDefault="005F6B51">
      <w:pPr>
        <w:pStyle w:val="Default"/>
        <w:numPr>
          <w:ilvl w:val="0"/>
          <w:numId w:val="320"/>
        </w:numPr>
        <w:spacing w:after="120"/>
        <w:ind w:left="1418" w:hanging="284"/>
        <w:jc w:val="both"/>
        <w:rPr>
          <w:color w:val="auto"/>
          <w:sz w:val="22"/>
          <w:szCs w:val="22"/>
          <w:lang w:val="es-CR"/>
        </w:rPr>
      </w:pPr>
      <w:r>
        <w:rPr>
          <w:color w:val="auto"/>
          <w:sz w:val="22"/>
          <w:szCs w:val="22"/>
          <w:lang w:val="es-CR"/>
        </w:rPr>
        <w:t>C</w:t>
      </w:r>
      <w:r w:rsidR="00413A06" w:rsidRPr="00413A06">
        <w:rPr>
          <w:color w:val="auto"/>
          <w:sz w:val="22"/>
          <w:szCs w:val="22"/>
          <w:lang w:val="es-CR"/>
        </w:rPr>
        <w:t xml:space="preserve">apacitar internamente sobre las disposiciones de NICSP. </w:t>
      </w:r>
    </w:p>
    <w:p w14:paraId="5C732067" w14:textId="39971DA3" w:rsidR="00413A06" w:rsidRPr="00413A06" w:rsidRDefault="005F6B51">
      <w:pPr>
        <w:pStyle w:val="Default"/>
        <w:numPr>
          <w:ilvl w:val="0"/>
          <w:numId w:val="320"/>
        </w:numPr>
        <w:spacing w:after="120"/>
        <w:ind w:left="1418" w:hanging="284"/>
        <w:jc w:val="both"/>
        <w:rPr>
          <w:color w:val="auto"/>
          <w:sz w:val="22"/>
          <w:szCs w:val="22"/>
          <w:lang w:val="es-CR"/>
        </w:rPr>
      </w:pPr>
      <w:r>
        <w:rPr>
          <w:color w:val="auto"/>
          <w:sz w:val="22"/>
          <w:szCs w:val="22"/>
          <w:lang w:val="es-CR"/>
        </w:rPr>
        <w:t>L</w:t>
      </w:r>
      <w:r w:rsidR="00413A06" w:rsidRPr="00413A06">
        <w:rPr>
          <w:color w:val="auto"/>
          <w:sz w:val="22"/>
          <w:szCs w:val="22"/>
          <w:lang w:val="es-CR"/>
        </w:rPr>
        <w:t xml:space="preserve">levar un control de minutas de las reuniones y acuerdos. </w:t>
      </w:r>
    </w:p>
    <w:p w14:paraId="47AF050E" w14:textId="48B8168A" w:rsidR="00413A06" w:rsidRPr="00413A06" w:rsidRDefault="005F6B51">
      <w:pPr>
        <w:pStyle w:val="Default"/>
        <w:numPr>
          <w:ilvl w:val="0"/>
          <w:numId w:val="320"/>
        </w:numPr>
        <w:ind w:left="1418" w:hanging="284"/>
        <w:jc w:val="both"/>
        <w:rPr>
          <w:color w:val="auto"/>
          <w:sz w:val="22"/>
          <w:szCs w:val="22"/>
          <w:lang w:val="es-CR"/>
        </w:rPr>
      </w:pPr>
      <w:r>
        <w:rPr>
          <w:color w:val="auto"/>
          <w:sz w:val="22"/>
          <w:szCs w:val="22"/>
          <w:lang w:val="es-CR"/>
        </w:rPr>
        <w:t>E</w:t>
      </w:r>
      <w:r w:rsidR="00413A06" w:rsidRPr="00413A06">
        <w:rPr>
          <w:color w:val="auto"/>
          <w:sz w:val="22"/>
          <w:szCs w:val="22"/>
          <w:lang w:val="es-CR"/>
        </w:rPr>
        <w:t xml:space="preserve">mitir una certificación a la Contabilidad Nacional del funcionamiento de la comisión, y los avances logrados de los planes de acción en forma trimestral para la adopción e implementación de las NICSP e incorporarlos en la revelación del Estado de Notas Contables dentro de los Estados Financieros trimestrales. </w:t>
      </w:r>
    </w:p>
    <w:p w14:paraId="6F4BC0AF" w14:textId="77777777" w:rsidR="00413A06" w:rsidRDefault="00413A06" w:rsidP="00413A06">
      <w:pPr>
        <w:pStyle w:val="Default"/>
        <w:rPr>
          <w:sz w:val="23"/>
          <w:szCs w:val="23"/>
          <w:lang w:val="es-CR"/>
        </w:rPr>
      </w:pPr>
    </w:p>
    <w:p w14:paraId="7C28CD55" w14:textId="77777777" w:rsidR="009A1449" w:rsidRDefault="009A1449" w:rsidP="00413A06">
      <w:pPr>
        <w:pStyle w:val="Default"/>
        <w:rPr>
          <w:sz w:val="23"/>
          <w:szCs w:val="23"/>
          <w:lang w:val="es-CR"/>
        </w:rPr>
      </w:pPr>
    </w:p>
    <w:p w14:paraId="50A93A1B" w14:textId="77777777" w:rsidR="009A1449" w:rsidRDefault="009A1449" w:rsidP="00413A06">
      <w:pPr>
        <w:pStyle w:val="Default"/>
        <w:rPr>
          <w:sz w:val="23"/>
          <w:szCs w:val="23"/>
          <w:lang w:val="es-CR"/>
        </w:rPr>
      </w:pPr>
    </w:p>
    <w:p w14:paraId="7B1D2250" w14:textId="77777777" w:rsidR="009A1449" w:rsidRDefault="009A1449" w:rsidP="00413A06">
      <w:pPr>
        <w:pStyle w:val="Default"/>
        <w:rPr>
          <w:sz w:val="23"/>
          <w:szCs w:val="23"/>
          <w:lang w:val="es-CR"/>
        </w:rPr>
      </w:pPr>
    </w:p>
    <w:p w14:paraId="310C1063" w14:textId="77777777" w:rsidR="009A1449" w:rsidRDefault="009A1449" w:rsidP="00413A06">
      <w:pPr>
        <w:pStyle w:val="Default"/>
        <w:rPr>
          <w:sz w:val="23"/>
          <w:szCs w:val="23"/>
          <w:lang w:val="es-CR"/>
        </w:rPr>
      </w:pPr>
    </w:p>
    <w:p w14:paraId="6938021F" w14:textId="77777777" w:rsidR="009A1449" w:rsidRDefault="009A1449" w:rsidP="00413A06">
      <w:pPr>
        <w:pStyle w:val="Default"/>
        <w:rPr>
          <w:sz w:val="23"/>
          <w:szCs w:val="23"/>
          <w:lang w:val="es-CR"/>
        </w:rPr>
      </w:pPr>
    </w:p>
    <w:p w14:paraId="7E7443B5" w14:textId="77777777" w:rsidR="009A1449" w:rsidRDefault="009A1449" w:rsidP="00413A06">
      <w:pPr>
        <w:pStyle w:val="Default"/>
        <w:rPr>
          <w:sz w:val="23"/>
          <w:szCs w:val="23"/>
          <w:lang w:val="es-CR"/>
        </w:rPr>
      </w:pPr>
    </w:p>
    <w:p w14:paraId="4E24CC4A" w14:textId="77777777" w:rsidR="00413A06" w:rsidRDefault="00413A06" w:rsidP="00594878">
      <w:pPr>
        <w:pStyle w:val="Default"/>
        <w:jc w:val="both"/>
        <w:rPr>
          <w:sz w:val="23"/>
          <w:szCs w:val="23"/>
          <w:lang w:val="es-CR"/>
        </w:rPr>
      </w:pPr>
    </w:p>
    <w:tbl>
      <w:tblPr>
        <w:tblW w:w="9383" w:type="dxa"/>
        <w:tblLook w:val="04A0" w:firstRow="1" w:lastRow="0" w:firstColumn="1" w:lastColumn="0" w:noHBand="0" w:noVBand="1"/>
      </w:tblPr>
      <w:tblGrid>
        <w:gridCol w:w="536"/>
        <w:gridCol w:w="706"/>
        <w:gridCol w:w="517"/>
        <w:gridCol w:w="3476"/>
        <w:gridCol w:w="2267"/>
        <w:gridCol w:w="1881"/>
      </w:tblGrid>
      <w:tr w:rsidR="00AD41C7" w:rsidRPr="009A1449" w14:paraId="6FA602A1" w14:textId="77777777" w:rsidTr="009A1449">
        <w:trPr>
          <w:trHeight w:val="320"/>
        </w:trPr>
        <w:tc>
          <w:tcPr>
            <w:tcW w:w="17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263A46B" w14:textId="77777777" w:rsidR="00AD41C7" w:rsidRPr="009A1449" w:rsidRDefault="00AD41C7" w:rsidP="00AD41C7">
            <w:pPr>
              <w:jc w:val="center"/>
              <w:rPr>
                <w:rFonts w:ascii="Arial Narrow" w:eastAsia="Times New Roman" w:hAnsi="Arial Narrow" w:cs="Calibri"/>
                <w:b/>
                <w:bCs/>
                <w:color w:val="FFFFFF"/>
                <w:sz w:val="22"/>
                <w:szCs w:val="22"/>
              </w:rPr>
            </w:pPr>
            <w:r w:rsidRPr="009A1449">
              <w:rPr>
                <w:rFonts w:ascii="Arial Narrow" w:eastAsia="Times New Roman" w:hAnsi="Arial Narrow" w:cs="Calibri"/>
                <w:b/>
                <w:bCs/>
                <w:color w:val="FFFFFF"/>
                <w:sz w:val="22"/>
                <w:szCs w:val="22"/>
              </w:rPr>
              <w:lastRenderedPageBreak/>
              <w:t>Norma / Política</w:t>
            </w:r>
          </w:p>
        </w:tc>
        <w:tc>
          <w:tcPr>
            <w:tcW w:w="3476" w:type="dxa"/>
            <w:vMerge w:val="restart"/>
            <w:tcBorders>
              <w:top w:val="single" w:sz="8" w:space="0" w:color="auto"/>
              <w:left w:val="single" w:sz="8" w:space="0" w:color="auto"/>
              <w:bottom w:val="nil"/>
              <w:right w:val="single" w:sz="8" w:space="0" w:color="auto"/>
            </w:tcBorders>
            <w:shd w:val="clear" w:color="000000" w:fill="203764"/>
            <w:vAlign w:val="center"/>
            <w:hideMark/>
          </w:tcPr>
          <w:p w14:paraId="73A79C8C" w14:textId="77777777" w:rsidR="00AD41C7" w:rsidRPr="009A1449" w:rsidRDefault="00AD41C7" w:rsidP="00AD41C7">
            <w:pPr>
              <w:jc w:val="center"/>
              <w:rPr>
                <w:rFonts w:ascii="Arial Narrow" w:eastAsia="Times New Roman" w:hAnsi="Arial Narrow" w:cs="Calibri"/>
                <w:b/>
                <w:bCs/>
                <w:color w:val="FFFFFF"/>
                <w:sz w:val="22"/>
                <w:szCs w:val="22"/>
              </w:rPr>
            </w:pPr>
            <w:r w:rsidRPr="009A1449">
              <w:rPr>
                <w:rFonts w:ascii="Arial Narrow" w:eastAsia="Times New Roman" w:hAnsi="Arial Narrow" w:cs="Calibri"/>
                <w:b/>
                <w:bCs/>
                <w:color w:val="FFFFFF"/>
                <w:sz w:val="22"/>
                <w:szCs w:val="22"/>
              </w:rPr>
              <w:t>Concepto</w:t>
            </w:r>
          </w:p>
        </w:tc>
        <w:tc>
          <w:tcPr>
            <w:tcW w:w="4148" w:type="dxa"/>
            <w:gridSpan w:val="2"/>
            <w:tcBorders>
              <w:top w:val="single" w:sz="8" w:space="0" w:color="auto"/>
              <w:left w:val="nil"/>
              <w:bottom w:val="single" w:sz="8" w:space="0" w:color="auto"/>
              <w:right w:val="single" w:sz="8" w:space="0" w:color="000000"/>
            </w:tcBorders>
            <w:shd w:val="clear" w:color="000000" w:fill="203764"/>
            <w:vAlign w:val="center"/>
            <w:hideMark/>
          </w:tcPr>
          <w:p w14:paraId="002D947C" w14:textId="77777777" w:rsidR="00AD41C7" w:rsidRPr="009A1449" w:rsidRDefault="00AD41C7" w:rsidP="00AD41C7">
            <w:pPr>
              <w:jc w:val="center"/>
              <w:rPr>
                <w:rFonts w:ascii="Arial Narrow" w:eastAsia="Times New Roman" w:hAnsi="Arial Narrow" w:cs="Calibri"/>
                <w:b/>
                <w:bCs/>
                <w:color w:val="FFFFFF"/>
                <w:sz w:val="22"/>
                <w:szCs w:val="22"/>
              </w:rPr>
            </w:pPr>
            <w:r w:rsidRPr="009A1449">
              <w:rPr>
                <w:rFonts w:ascii="Arial Narrow" w:eastAsia="Times New Roman" w:hAnsi="Arial Narrow" w:cs="Calibri"/>
                <w:b/>
                <w:bCs/>
                <w:color w:val="FFFFFF"/>
                <w:sz w:val="22"/>
                <w:szCs w:val="22"/>
              </w:rPr>
              <w:t>Referencia</w:t>
            </w:r>
          </w:p>
        </w:tc>
      </w:tr>
      <w:tr w:rsidR="00AD41C7" w:rsidRPr="009A1449" w14:paraId="58DD9C57" w14:textId="77777777" w:rsidTr="009A1449">
        <w:trPr>
          <w:trHeight w:val="850"/>
        </w:trPr>
        <w:tc>
          <w:tcPr>
            <w:tcW w:w="1759" w:type="dxa"/>
            <w:gridSpan w:val="3"/>
            <w:vMerge/>
            <w:tcBorders>
              <w:top w:val="single" w:sz="8" w:space="0" w:color="auto"/>
              <w:left w:val="single" w:sz="8" w:space="0" w:color="auto"/>
              <w:bottom w:val="nil"/>
              <w:right w:val="single" w:sz="8" w:space="0" w:color="000000"/>
            </w:tcBorders>
            <w:vAlign w:val="center"/>
            <w:hideMark/>
          </w:tcPr>
          <w:p w14:paraId="4EBFD36C" w14:textId="77777777" w:rsidR="00AD41C7" w:rsidRPr="009A1449" w:rsidRDefault="00AD41C7" w:rsidP="00AD41C7">
            <w:pPr>
              <w:rPr>
                <w:rFonts w:ascii="Arial Narrow" w:eastAsia="Times New Roman" w:hAnsi="Arial Narrow" w:cs="Calibri"/>
                <w:b/>
                <w:bCs/>
                <w:color w:val="FFFFFF"/>
                <w:sz w:val="22"/>
                <w:szCs w:val="22"/>
              </w:rPr>
            </w:pPr>
          </w:p>
        </w:tc>
        <w:tc>
          <w:tcPr>
            <w:tcW w:w="3476" w:type="dxa"/>
            <w:vMerge/>
            <w:tcBorders>
              <w:top w:val="single" w:sz="8" w:space="0" w:color="auto"/>
              <w:left w:val="single" w:sz="8" w:space="0" w:color="auto"/>
              <w:bottom w:val="nil"/>
              <w:right w:val="single" w:sz="8" w:space="0" w:color="auto"/>
            </w:tcBorders>
            <w:vAlign w:val="center"/>
            <w:hideMark/>
          </w:tcPr>
          <w:p w14:paraId="301EC4E8" w14:textId="77777777" w:rsidR="00AD41C7" w:rsidRPr="009A1449" w:rsidRDefault="00AD41C7" w:rsidP="00AD41C7">
            <w:pPr>
              <w:rPr>
                <w:rFonts w:ascii="Arial Narrow" w:eastAsia="Times New Roman" w:hAnsi="Arial Narrow" w:cs="Calibri"/>
                <w:b/>
                <w:bCs/>
                <w:color w:val="FFFFFF"/>
                <w:sz w:val="22"/>
                <w:szCs w:val="22"/>
              </w:rPr>
            </w:pPr>
          </w:p>
        </w:tc>
        <w:tc>
          <w:tcPr>
            <w:tcW w:w="2267" w:type="dxa"/>
            <w:tcBorders>
              <w:top w:val="nil"/>
              <w:left w:val="nil"/>
              <w:bottom w:val="nil"/>
              <w:right w:val="single" w:sz="8" w:space="0" w:color="auto"/>
            </w:tcBorders>
            <w:shd w:val="clear" w:color="000000" w:fill="203764"/>
            <w:vAlign w:val="center"/>
            <w:hideMark/>
          </w:tcPr>
          <w:p w14:paraId="2774B6A0" w14:textId="77777777" w:rsidR="00AD41C7" w:rsidRPr="009A1449" w:rsidRDefault="00AD41C7" w:rsidP="00AD41C7">
            <w:pPr>
              <w:jc w:val="center"/>
              <w:rPr>
                <w:rFonts w:ascii="Arial Narrow" w:eastAsia="Times New Roman" w:hAnsi="Arial Narrow" w:cs="Calibri"/>
                <w:b/>
                <w:bCs/>
                <w:color w:val="FFFFFF"/>
                <w:sz w:val="22"/>
                <w:szCs w:val="22"/>
              </w:rPr>
            </w:pPr>
            <w:r w:rsidRPr="009A1449">
              <w:rPr>
                <w:rFonts w:ascii="Arial Narrow" w:eastAsia="Times New Roman" w:hAnsi="Arial Narrow" w:cs="Calibri"/>
                <w:b/>
                <w:bCs/>
                <w:color w:val="FFFFFF"/>
                <w:sz w:val="22"/>
                <w:szCs w:val="22"/>
              </w:rPr>
              <w:t>Norma</w:t>
            </w:r>
          </w:p>
        </w:tc>
        <w:tc>
          <w:tcPr>
            <w:tcW w:w="1881" w:type="dxa"/>
            <w:tcBorders>
              <w:top w:val="nil"/>
              <w:left w:val="nil"/>
              <w:bottom w:val="nil"/>
              <w:right w:val="single" w:sz="8" w:space="0" w:color="auto"/>
            </w:tcBorders>
            <w:shd w:val="clear" w:color="000000" w:fill="203764"/>
            <w:vAlign w:val="center"/>
            <w:hideMark/>
          </w:tcPr>
          <w:p w14:paraId="438ED065" w14:textId="77777777" w:rsidR="00AD41C7" w:rsidRPr="009A1449" w:rsidRDefault="00AD41C7" w:rsidP="00AD41C7">
            <w:pPr>
              <w:jc w:val="center"/>
              <w:rPr>
                <w:rFonts w:ascii="Arial Narrow" w:eastAsia="Times New Roman" w:hAnsi="Arial Narrow" w:cs="Calibri"/>
                <w:b/>
                <w:bCs/>
                <w:color w:val="FFFFFF"/>
                <w:sz w:val="22"/>
                <w:szCs w:val="22"/>
                <w:lang w:val="es-CR"/>
              </w:rPr>
            </w:pPr>
            <w:r w:rsidRPr="009A1449">
              <w:rPr>
                <w:rFonts w:ascii="Arial Narrow" w:eastAsia="Times New Roman" w:hAnsi="Arial Narrow" w:cs="Calibri"/>
                <w:b/>
                <w:bCs/>
                <w:color w:val="FFFFFF"/>
                <w:sz w:val="22"/>
                <w:szCs w:val="22"/>
                <w:lang w:val="es-CR"/>
              </w:rPr>
              <w:t>Normativa técnica y disposiciones adicionales</w:t>
            </w:r>
          </w:p>
        </w:tc>
      </w:tr>
      <w:tr w:rsidR="00AD41C7" w:rsidRPr="009A1449" w14:paraId="6C663356" w14:textId="77777777" w:rsidTr="009A1449">
        <w:trPr>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C393CA" w14:textId="77777777" w:rsidR="00AD41C7" w:rsidRPr="009A1449" w:rsidRDefault="00AD41C7" w:rsidP="009A1449">
            <w:pPr>
              <w:jc w:val="center"/>
              <w:rPr>
                <w:rFonts w:ascii="Arial Narrow" w:eastAsia="Times New Roman" w:hAnsi="Arial Narrow"/>
                <w:b/>
                <w:bCs/>
                <w:color w:val="000000"/>
                <w:sz w:val="22"/>
                <w:szCs w:val="22"/>
              </w:rPr>
            </w:pPr>
            <w:r w:rsidRPr="009A1449">
              <w:rPr>
                <w:rFonts w:ascii="Arial Narrow" w:eastAsia="Times New Roman" w:hAnsi="Arial Narrow"/>
                <w:b/>
                <w:bCs/>
                <w:color w:val="000000"/>
                <w:sz w:val="22"/>
                <w:szCs w:val="22"/>
              </w:rPr>
              <w:t>6</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12099297" w14:textId="77777777" w:rsidR="00AD41C7" w:rsidRPr="009A1449" w:rsidRDefault="00AD41C7" w:rsidP="009A1449">
            <w:pPr>
              <w:ind w:firstLineChars="25" w:firstLine="55"/>
              <w:jc w:val="center"/>
              <w:rPr>
                <w:rFonts w:ascii="Arial Narrow" w:eastAsia="Times New Roman" w:hAnsi="Arial Narrow"/>
                <w:b/>
                <w:bCs/>
                <w:color w:val="000000"/>
                <w:sz w:val="22"/>
                <w:szCs w:val="22"/>
              </w:rPr>
            </w:pPr>
            <w:r w:rsidRPr="009A1449">
              <w:rPr>
                <w:rFonts w:ascii="Arial Narrow" w:eastAsia="Times New Roman" w:hAnsi="Arial Narrow"/>
                <w:b/>
                <w:bCs/>
                <w:color w:val="000000"/>
                <w:sz w:val="22"/>
                <w:szCs w:val="22"/>
              </w:rPr>
              <w:t>11</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1449550B" w14:textId="5B419C41" w:rsidR="00AD41C7" w:rsidRPr="009A1449" w:rsidRDefault="00AD41C7" w:rsidP="009A1449">
            <w:pPr>
              <w:jc w:val="center"/>
              <w:rPr>
                <w:rFonts w:ascii="Arial Narrow" w:eastAsia="Times New Roman" w:hAnsi="Arial Narrow" w:cs="Calibri"/>
                <w:b/>
                <w:bCs/>
                <w:color w:val="000000"/>
                <w:sz w:val="22"/>
                <w:szCs w:val="22"/>
              </w:rPr>
            </w:pPr>
          </w:p>
        </w:tc>
        <w:tc>
          <w:tcPr>
            <w:tcW w:w="3476" w:type="dxa"/>
            <w:tcBorders>
              <w:top w:val="single" w:sz="8" w:space="0" w:color="auto"/>
              <w:left w:val="nil"/>
              <w:bottom w:val="single" w:sz="8" w:space="0" w:color="auto"/>
              <w:right w:val="single" w:sz="8" w:space="0" w:color="auto"/>
            </w:tcBorders>
            <w:shd w:val="clear" w:color="auto" w:fill="auto"/>
            <w:vAlign w:val="center"/>
            <w:hideMark/>
          </w:tcPr>
          <w:p w14:paraId="5C504496" w14:textId="77777777" w:rsidR="00AD41C7" w:rsidRPr="009A1449" w:rsidRDefault="00AD41C7" w:rsidP="00AD41C7">
            <w:pPr>
              <w:rPr>
                <w:rFonts w:ascii="Arial Narrow" w:eastAsia="Times New Roman" w:hAnsi="Arial Narrow"/>
                <w:b/>
                <w:bCs/>
                <w:color w:val="000000"/>
                <w:sz w:val="22"/>
                <w:szCs w:val="22"/>
              </w:rPr>
            </w:pPr>
            <w:r w:rsidRPr="009A1449">
              <w:rPr>
                <w:rFonts w:ascii="Arial Narrow" w:eastAsia="Times New Roman" w:hAnsi="Arial Narrow"/>
                <w:b/>
                <w:bCs/>
                <w:color w:val="000000"/>
                <w:sz w:val="22"/>
                <w:szCs w:val="22"/>
              </w:rPr>
              <w:t>Información comparativa</w:t>
            </w:r>
          </w:p>
        </w:tc>
        <w:tc>
          <w:tcPr>
            <w:tcW w:w="2267" w:type="dxa"/>
            <w:tcBorders>
              <w:top w:val="single" w:sz="8" w:space="0" w:color="auto"/>
              <w:left w:val="nil"/>
              <w:bottom w:val="single" w:sz="8" w:space="0" w:color="auto"/>
              <w:right w:val="single" w:sz="8" w:space="0" w:color="auto"/>
            </w:tcBorders>
            <w:shd w:val="clear" w:color="auto" w:fill="auto"/>
            <w:vAlign w:val="center"/>
            <w:hideMark/>
          </w:tcPr>
          <w:p w14:paraId="74DF1073" w14:textId="77777777" w:rsidR="00AD41C7" w:rsidRPr="009A1449" w:rsidRDefault="00AD41C7" w:rsidP="00AD41C7">
            <w:pPr>
              <w:rPr>
                <w:rFonts w:ascii="Arial Narrow" w:eastAsia="Times New Roman" w:hAnsi="Arial Narrow" w:cs="Calibri"/>
                <w:b/>
                <w:bCs/>
                <w:color w:val="000000"/>
                <w:sz w:val="22"/>
                <w:szCs w:val="22"/>
              </w:rPr>
            </w:pPr>
            <w:r w:rsidRPr="009A1449">
              <w:rPr>
                <w:rFonts w:ascii="Arial Narrow" w:eastAsia="Times New Roman" w:hAnsi="Arial Narrow" w:cs="Calibri"/>
                <w:b/>
                <w:bCs/>
                <w:color w:val="000000"/>
                <w:sz w:val="22"/>
                <w:szCs w:val="22"/>
              </w:rPr>
              <w:t xml:space="preserve">NICSP N° 1, </w:t>
            </w:r>
          </w:p>
          <w:p w14:paraId="0E64142C" w14:textId="08EFDC32" w:rsidR="00AD41C7" w:rsidRPr="009A1449" w:rsidRDefault="00AD41C7" w:rsidP="00AD41C7">
            <w:pPr>
              <w:rPr>
                <w:rFonts w:ascii="Arial Narrow" w:eastAsia="Times New Roman" w:hAnsi="Arial Narrow" w:cs="Calibri"/>
                <w:b/>
                <w:bCs/>
                <w:color w:val="000000"/>
                <w:sz w:val="22"/>
                <w:szCs w:val="22"/>
              </w:rPr>
            </w:pPr>
            <w:r w:rsidRPr="009A1449">
              <w:rPr>
                <w:rFonts w:ascii="Arial Narrow" w:eastAsia="Times New Roman" w:hAnsi="Arial Narrow" w:cs="Calibri"/>
                <w:b/>
                <w:bCs/>
                <w:color w:val="000000"/>
                <w:sz w:val="22"/>
                <w:szCs w:val="22"/>
              </w:rPr>
              <w:t>Párrafos 53, 55</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3066A21E" w14:textId="77777777" w:rsidR="00AD41C7" w:rsidRPr="009A1449" w:rsidRDefault="00AD41C7" w:rsidP="00AD41C7">
            <w:pPr>
              <w:jc w:val="center"/>
              <w:rPr>
                <w:rFonts w:ascii="Arial Narrow" w:eastAsia="Times New Roman" w:hAnsi="Arial Narrow" w:cs="Calibri"/>
                <w:b/>
                <w:bCs/>
                <w:color w:val="000000"/>
                <w:sz w:val="22"/>
                <w:szCs w:val="22"/>
              </w:rPr>
            </w:pPr>
            <w:r w:rsidRPr="009A1449">
              <w:rPr>
                <w:rFonts w:ascii="Arial Narrow" w:eastAsia="Times New Roman" w:hAnsi="Arial Narrow" w:cs="Calibri"/>
                <w:b/>
                <w:bCs/>
                <w:color w:val="000000"/>
                <w:sz w:val="22"/>
                <w:szCs w:val="22"/>
              </w:rPr>
              <w:t xml:space="preserve"> </w:t>
            </w:r>
          </w:p>
        </w:tc>
      </w:tr>
      <w:tr w:rsidR="00AD41C7" w:rsidRPr="009A1449" w14:paraId="54C4971B" w14:textId="77777777" w:rsidTr="009A1449">
        <w:trPr>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27CC4D4D" w14:textId="77777777" w:rsidR="00AD41C7" w:rsidRPr="009A1449" w:rsidRDefault="00AD41C7" w:rsidP="009A1449">
            <w:pPr>
              <w:jc w:val="center"/>
              <w:rPr>
                <w:rFonts w:ascii="Arial Narrow" w:eastAsia="Times New Roman" w:hAnsi="Arial Narrow"/>
                <w:b/>
                <w:bCs/>
                <w:color w:val="000000"/>
                <w:sz w:val="22"/>
                <w:szCs w:val="22"/>
              </w:rPr>
            </w:pPr>
            <w:r w:rsidRPr="009A1449">
              <w:rPr>
                <w:rFonts w:ascii="Arial Narrow" w:eastAsia="Times New Roman" w:hAnsi="Arial Narrow"/>
                <w:b/>
                <w:bCs/>
                <w:color w:val="000000"/>
                <w:sz w:val="22"/>
                <w:szCs w:val="22"/>
              </w:rPr>
              <w:t>6</w:t>
            </w:r>
          </w:p>
        </w:tc>
        <w:tc>
          <w:tcPr>
            <w:tcW w:w="706" w:type="dxa"/>
            <w:tcBorders>
              <w:top w:val="nil"/>
              <w:left w:val="nil"/>
              <w:bottom w:val="single" w:sz="8" w:space="0" w:color="auto"/>
              <w:right w:val="single" w:sz="8" w:space="0" w:color="auto"/>
            </w:tcBorders>
            <w:shd w:val="clear" w:color="auto" w:fill="auto"/>
            <w:vAlign w:val="center"/>
            <w:hideMark/>
          </w:tcPr>
          <w:p w14:paraId="63BE3B8B" w14:textId="77777777" w:rsidR="00AD41C7" w:rsidRPr="009A1449" w:rsidRDefault="00AD41C7" w:rsidP="009A1449">
            <w:pPr>
              <w:ind w:firstLineChars="25" w:firstLine="55"/>
              <w:jc w:val="center"/>
              <w:rPr>
                <w:rFonts w:ascii="Arial Narrow" w:eastAsia="Times New Roman" w:hAnsi="Arial Narrow"/>
                <w:b/>
                <w:bCs/>
                <w:color w:val="000000"/>
                <w:sz w:val="22"/>
                <w:szCs w:val="22"/>
              </w:rPr>
            </w:pPr>
            <w:r w:rsidRPr="009A1449">
              <w:rPr>
                <w:rFonts w:ascii="Arial Narrow" w:eastAsia="Times New Roman" w:hAnsi="Arial Narrow"/>
                <w:b/>
                <w:bCs/>
                <w:color w:val="000000"/>
                <w:sz w:val="22"/>
                <w:szCs w:val="22"/>
              </w:rPr>
              <w:t>11</w:t>
            </w:r>
          </w:p>
        </w:tc>
        <w:tc>
          <w:tcPr>
            <w:tcW w:w="517" w:type="dxa"/>
            <w:tcBorders>
              <w:top w:val="nil"/>
              <w:left w:val="nil"/>
              <w:bottom w:val="single" w:sz="8" w:space="0" w:color="auto"/>
              <w:right w:val="nil"/>
            </w:tcBorders>
            <w:shd w:val="clear" w:color="auto" w:fill="auto"/>
            <w:vAlign w:val="center"/>
            <w:hideMark/>
          </w:tcPr>
          <w:p w14:paraId="13FF22A8" w14:textId="77777777" w:rsidR="00AD41C7" w:rsidRPr="009A1449" w:rsidRDefault="00AD41C7" w:rsidP="009A1449">
            <w:pPr>
              <w:jc w:val="center"/>
              <w:rPr>
                <w:rFonts w:ascii="Arial Narrow" w:eastAsia="Times New Roman" w:hAnsi="Arial Narrow" w:cs="Calibri"/>
                <w:b/>
                <w:bCs/>
                <w:color w:val="000000"/>
                <w:sz w:val="22"/>
                <w:szCs w:val="22"/>
              </w:rPr>
            </w:pPr>
            <w:r w:rsidRPr="009A1449">
              <w:rPr>
                <w:rFonts w:ascii="Arial Narrow" w:eastAsia="Times New Roman" w:hAnsi="Arial Narrow" w:cs="Calibri"/>
                <w:b/>
                <w:bCs/>
                <w:color w:val="000000"/>
                <w:sz w:val="22"/>
                <w:szCs w:val="22"/>
              </w:rPr>
              <w:t>1</w:t>
            </w:r>
          </w:p>
        </w:tc>
        <w:tc>
          <w:tcPr>
            <w:tcW w:w="3476" w:type="dxa"/>
            <w:tcBorders>
              <w:top w:val="nil"/>
              <w:left w:val="single" w:sz="8" w:space="0" w:color="auto"/>
              <w:bottom w:val="single" w:sz="8" w:space="0" w:color="auto"/>
              <w:right w:val="single" w:sz="8" w:space="0" w:color="auto"/>
            </w:tcBorders>
            <w:shd w:val="clear" w:color="auto" w:fill="auto"/>
            <w:vAlign w:val="center"/>
            <w:hideMark/>
          </w:tcPr>
          <w:p w14:paraId="3DE154BB" w14:textId="77777777" w:rsidR="00AD41C7" w:rsidRPr="009A1449" w:rsidRDefault="00AD41C7" w:rsidP="00AD41C7">
            <w:pPr>
              <w:rPr>
                <w:rFonts w:ascii="Arial Narrow" w:eastAsia="Times New Roman" w:hAnsi="Arial Narrow"/>
                <w:b/>
                <w:bCs/>
                <w:color w:val="000000"/>
                <w:sz w:val="22"/>
                <w:szCs w:val="22"/>
                <w:lang w:val="es-CR"/>
              </w:rPr>
            </w:pPr>
            <w:r w:rsidRPr="009A1449">
              <w:rPr>
                <w:rFonts w:ascii="Arial Narrow" w:eastAsia="Times New Roman" w:hAnsi="Arial Narrow"/>
                <w:b/>
                <w:bCs/>
                <w:color w:val="000000"/>
                <w:sz w:val="22"/>
                <w:szCs w:val="22"/>
                <w:lang w:val="es-CR"/>
              </w:rPr>
              <w:t>Modificaciones en las formas de presentación</w:t>
            </w:r>
          </w:p>
        </w:tc>
        <w:tc>
          <w:tcPr>
            <w:tcW w:w="2267" w:type="dxa"/>
            <w:tcBorders>
              <w:top w:val="nil"/>
              <w:left w:val="nil"/>
              <w:bottom w:val="single" w:sz="8" w:space="0" w:color="auto"/>
              <w:right w:val="single" w:sz="8" w:space="0" w:color="auto"/>
            </w:tcBorders>
            <w:shd w:val="clear" w:color="auto" w:fill="auto"/>
            <w:vAlign w:val="center"/>
            <w:hideMark/>
          </w:tcPr>
          <w:p w14:paraId="52D81A08" w14:textId="77777777" w:rsidR="00AD41C7" w:rsidRPr="009A1449" w:rsidRDefault="00AD41C7" w:rsidP="00AD41C7">
            <w:pPr>
              <w:rPr>
                <w:rFonts w:ascii="Arial Narrow" w:eastAsia="Times New Roman" w:hAnsi="Arial Narrow" w:cs="Calibri"/>
                <w:b/>
                <w:bCs/>
                <w:color w:val="000000"/>
                <w:sz w:val="22"/>
                <w:szCs w:val="22"/>
              </w:rPr>
            </w:pPr>
            <w:r w:rsidRPr="009A1449">
              <w:rPr>
                <w:rFonts w:ascii="Arial Narrow" w:eastAsia="Times New Roman" w:hAnsi="Arial Narrow" w:cs="Calibri"/>
                <w:b/>
                <w:bCs/>
                <w:color w:val="000000"/>
                <w:sz w:val="22"/>
                <w:szCs w:val="22"/>
              </w:rPr>
              <w:t xml:space="preserve">NICSP N° 1, </w:t>
            </w:r>
          </w:p>
          <w:p w14:paraId="087C71A3" w14:textId="2C870503" w:rsidR="00AD41C7" w:rsidRPr="009A1449" w:rsidRDefault="00AD41C7" w:rsidP="00AD41C7">
            <w:pPr>
              <w:rPr>
                <w:rFonts w:ascii="Arial Narrow" w:eastAsia="Times New Roman" w:hAnsi="Arial Narrow" w:cs="Calibri"/>
                <w:b/>
                <w:bCs/>
                <w:color w:val="000000"/>
                <w:sz w:val="22"/>
                <w:szCs w:val="22"/>
              </w:rPr>
            </w:pPr>
            <w:r w:rsidRPr="009A1449">
              <w:rPr>
                <w:rFonts w:ascii="Arial Narrow" w:eastAsia="Times New Roman" w:hAnsi="Arial Narrow" w:cs="Calibri"/>
                <w:b/>
                <w:bCs/>
                <w:color w:val="000000"/>
                <w:sz w:val="22"/>
                <w:szCs w:val="22"/>
              </w:rPr>
              <w:t>Párrafos 55 y 56.</w:t>
            </w:r>
          </w:p>
        </w:tc>
        <w:tc>
          <w:tcPr>
            <w:tcW w:w="1881" w:type="dxa"/>
            <w:tcBorders>
              <w:top w:val="nil"/>
              <w:left w:val="nil"/>
              <w:bottom w:val="single" w:sz="8" w:space="0" w:color="auto"/>
              <w:right w:val="single" w:sz="8" w:space="0" w:color="auto"/>
            </w:tcBorders>
            <w:shd w:val="clear" w:color="auto" w:fill="auto"/>
            <w:vAlign w:val="center"/>
            <w:hideMark/>
          </w:tcPr>
          <w:p w14:paraId="29203CAE" w14:textId="77777777" w:rsidR="00AD41C7" w:rsidRPr="009A1449" w:rsidRDefault="00AD41C7" w:rsidP="00AD41C7">
            <w:pPr>
              <w:jc w:val="center"/>
              <w:rPr>
                <w:rFonts w:ascii="Arial Narrow" w:eastAsia="Times New Roman" w:hAnsi="Arial Narrow" w:cs="Calibri"/>
                <w:b/>
                <w:bCs/>
                <w:color w:val="000000"/>
                <w:sz w:val="22"/>
                <w:szCs w:val="22"/>
              </w:rPr>
            </w:pPr>
            <w:r w:rsidRPr="009A1449">
              <w:rPr>
                <w:rFonts w:ascii="Arial Narrow" w:eastAsia="Times New Roman" w:hAnsi="Arial Narrow" w:cs="Calibri"/>
                <w:b/>
                <w:bCs/>
                <w:color w:val="000000"/>
                <w:sz w:val="22"/>
                <w:szCs w:val="22"/>
              </w:rPr>
              <w:t xml:space="preserve"> </w:t>
            </w:r>
          </w:p>
        </w:tc>
      </w:tr>
    </w:tbl>
    <w:p w14:paraId="38B3359F" w14:textId="77777777" w:rsidR="00413A06" w:rsidRDefault="00413A06" w:rsidP="00594878">
      <w:pPr>
        <w:pStyle w:val="Default"/>
        <w:jc w:val="both"/>
        <w:rPr>
          <w:sz w:val="23"/>
          <w:szCs w:val="23"/>
          <w:lang w:val="es-CR"/>
        </w:rPr>
      </w:pPr>
    </w:p>
    <w:p w14:paraId="383B6FED" w14:textId="77777777" w:rsidR="009A1449" w:rsidRDefault="009A1449" w:rsidP="009A1449">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79CC934A" w14:textId="77777777" w:rsidR="009A1449" w:rsidRDefault="009A1449" w:rsidP="00594878">
      <w:pPr>
        <w:pStyle w:val="Default"/>
        <w:jc w:val="both"/>
        <w:rPr>
          <w:sz w:val="23"/>
          <w:szCs w:val="23"/>
          <w:lang w:val="es-CR"/>
        </w:rPr>
      </w:pPr>
    </w:p>
    <w:p w14:paraId="6B691BF2" w14:textId="77777777" w:rsidR="00AD41C7" w:rsidRDefault="00AD41C7" w:rsidP="00AD41C7">
      <w:pPr>
        <w:pStyle w:val="Default"/>
        <w:ind w:left="1134" w:hanging="1134"/>
        <w:jc w:val="both"/>
        <w:rPr>
          <w:sz w:val="22"/>
          <w:szCs w:val="22"/>
          <w:lang w:val="es-CR"/>
        </w:rPr>
      </w:pPr>
      <w:r w:rsidRPr="00AD41C7">
        <w:rPr>
          <w:sz w:val="22"/>
          <w:szCs w:val="22"/>
          <w:lang w:val="es-CR"/>
        </w:rPr>
        <w:t>6.11.0.01</w:t>
      </w:r>
      <w:r>
        <w:rPr>
          <w:sz w:val="22"/>
          <w:szCs w:val="22"/>
          <w:lang w:val="es-CR"/>
        </w:rPr>
        <w:tab/>
      </w:r>
      <w:r w:rsidRPr="00AD41C7">
        <w:rPr>
          <w:sz w:val="22"/>
          <w:szCs w:val="22"/>
          <w:lang w:val="es-CR"/>
        </w:rPr>
        <w:t>La Municipalidad deberá presentar información comparativa, con respecto al período anterior, para toda clase de información cuantitativa incluida en los EEFF. No se requiere la presentación de dicho tipo de información con respecto a los EEFF en los que se adopta por primera vez la base contable de acumulación (o devengado) de acuerdo con las NICSP.</w:t>
      </w:r>
    </w:p>
    <w:p w14:paraId="42A02C8E" w14:textId="28449DDE" w:rsidR="00AD41C7" w:rsidRPr="00AD41C7" w:rsidRDefault="00AD41C7" w:rsidP="00AD41C7">
      <w:pPr>
        <w:pStyle w:val="Default"/>
        <w:ind w:left="1134" w:hanging="1134"/>
        <w:jc w:val="both"/>
        <w:rPr>
          <w:sz w:val="22"/>
          <w:szCs w:val="22"/>
          <w:lang w:val="es-CR"/>
        </w:rPr>
      </w:pPr>
      <w:r w:rsidRPr="00AD41C7">
        <w:rPr>
          <w:sz w:val="22"/>
          <w:szCs w:val="22"/>
          <w:lang w:val="es-CR"/>
        </w:rPr>
        <w:t xml:space="preserve"> </w:t>
      </w:r>
    </w:p>
    <w:p w14:paraId="15DA2525" w14:textId="09539004" w:rsidR="00AD41C7" w:rsidRDefault="00AD41C7" w:rsidP="00AD41C7">
      <w:pPr>
        <w:pStyle w:val="Default"/>
        <w:ind w:left="1134" w:hanging="1134"/>
        <w:jc w:val="both"/>
        <w:rPr>
          <w:sz w:val="22"/>
          <w:szCs w:val="22"/>
          <w:lang w:val="es-CR"/>
        </w:rPr>
      </w:pPr>
      <w:r w:rsidRPr="00AD41C7">
        <w:rPr>
          <w:sz w:val="22"/>
          <w:szCs w:val="22"/>
          <w:lang w:val="es-CR"/>
        </w:rPr>
        <w:t>6.11.0.02</w:t>
      </w:r>
      <w:r>
        <w:rPr>
          <w:sz w:val="22"/>
          <w:szCs w:val="22"/>
          <w:lang w:val="es-CR"/>
        </w:rPr>
        <w:tab/>
      </w:r>
      <w:r w:rsidRPr="00AD41C7">
        <w:rPr>
          <w:sz w:val="22"/>
          <w:szCs w:val="22"/>
          <w:lang w:val="es-CR"/>
        </w:rPr>
        <w:t xml:space="preserve">La información comparativa deberá incluirse también en la información de tipo descriptivo y narrativo, siempre que ello sea relevante para la adecuada comprensión de los EEFF del período corriente. </w:t>
      </w:r>
    </w:p>
    <w:p w14:paraId="5BBAADD2" w14:textId="77777777" w:rsidR="00AD41C7" w:rsidRPr="00AD41C7" w:rsidRDefault="00AD41C7" w:rsidP="00AD41C7">
      <w:pPr>
        <w:pStyle w:val="Default"/>
        <w:ind w:left="1134" w:hanging="1134"/>
        <w:jc w:val="both"/>
        <w:rPr>
          <w:sz w:val="22"/>
          <w:szCs w:val="22"/>
          <w:lang w:val="es-CR"/>
        </w:rPr>
      </w:pPr>
    </w:p>
    <w:p w14:paraId="7976BB31" w14:textId="0BF0A488" w:rsidR="00AD41C7" w:rsidRDefault="00AD41C7" w:rsidP="00AD41C7">
      <w:pPr>
        <w:pStyle w:val="Default"/>
        <w:ind w:left="1134" w:hanging="1134"/>
        <w:jc w:val="both"/>
        <w:rPr>
          <w:sz w:val="22"/>
          <w:szCs w:val="22"/>
          <w:lang w:val="es-CR"/>
        </w:rPr>
      </w:pPr>
      <w:r w:rsidRPr="00AD41C7">
        <w:rPr>
          <w:sz w:val="22"/>
          <w:szCs w:val="22"/>
          <w:lang w:val="es-CR"/>
        </w:rPr>
        <w:t>6.11.1.01</w:t>
      </w:r>
      <w:r>
        <w:rPr>
          <w:sz w:val="22"/>
          <w:szCs w:val="22"/>
          <w:lang w:val="es-CR"/>
        </w:rPr>
        <w:tab/>
      </w:r>
      <w:r w:rsidRPr="00AD41C7">
        <w:rPr>
          <w:sz w:val="22"/>
          <w:szCs w:val="22"/>
          <w:lang w:val="es-CR"/>
        </w:rPr>
        <w:t>Cuando se modifique la forma de presentación o la clasificación de los rubros de los EEFF, también deberán reclasificarse los importes correspondientes a la información comparativa, a menos que resultase impracticable hacerlo, sin perjuicio, en cualquiera de los casos, de revelar información adicional en las notas.</w:t>
      </w:r>
    </w:p>
    <w:p w14:paraId="6B71E87B" w14:textId="77777777" w:rsidR="00AD41C7" w:rsidRPr="00AD41C7" w:rsidRDefault="00AD41C7" w:rsidP="00AD41C7">
      <w:pPr>
        <w:pStyle w:val="Default"/>
        <w:ind w:left="1134" w:hanging="1134"/>
        <w:jc w:val="both"/>
        <w:rPr>
          <w:sz w:val="22"/>
          <w:szCs w:val="22"/>
          <w:lang w:val="es-CR"/>
        </w:rPr>
      </w:pPr>
    </w:p>
    <w:p w14:paraId="5AF83B9D" w14:textId="6E98569B" w:rsidR="00AD41C7" w:rsidRDefault="00AD41C7" w:rsidP="00AD41C7">
      <w:pPr>
        <w:pStyle w:val="Default"/>
        <w:ind w:left="1134" w:hanging="1134"/>
        <w:jc w:val="both"/>
        <w:rPr>
          <w:sz w:val="22"/>
          <w:szCs w:val="22"/>
          <w:lang w:val="es-CR"/>
        </w:rPr>
      </w:pPr>
      <w:r w:rsidRPr="00AD41C7">
        <w:rPr>
          <w:sz w:val="22"/>
          <w:szCs w:val="22"/>
          <w:lang w:val="es-CR"/>
        </w:rPr>
        <w:t>6.11.1.02</w:t>
      </w:r>
      <w:r>
        <w:rPr>
          <w:sz w:val="22"/>
          <w:szCs w:val="22"/>
          <w:lang w:val="es-CR"/>
        </w:rPr>
        <w:tab/>
      </w:r>
      <w:r w:rsidRPr="00AD41C7">
        <w:rPr>
          <w:sz w:val="22"/>
          <w:szCs w:val="22"/>
          <w:lang w:val="es-CR"/>
        </w:rPr>
        <w:t xml:space="preserve">Cuando los importes comparativos se reclasifiquen, la entidad deberá revelar: </w:t>
      </w:r>
    </w:p>
    <w:p w14:paraId="3F79359D" w14:textId="77777777" w:rsidR="00AD41C7" w:rsidRPr="00AD41C7" w:rsidRDefault="00AD41C7" w:rsidP="00AD41C7">
      <w:pPr>
        <w:pStyle w:val="Default"/>
        <w:ind w:left="1134" w:hanging="1134"/>
        <w:jc w:val="both"/>
        <w:rPr>
          <w:sz w:val="22"/>
          <w:szCs w:val="22"/>
          <w:lang w:val="es-CR"/>
        </w:rPr>
      </w:pPr>
    </w:p>
    <w:p w14:paraId="0013D6C6" w14:textId="4499657D" w:rsidR="00AD41C7" w:rsidRPr="00AD41C7" w:rsidRDefault="00AD41C7">
      <w:pPr>
        <w:pStyle w:val="Default"/>
        <w:numPr>
          <w:ilvl w:val="0"/>
          <w:numId w:val="322"/>
        </w:numPr>
        <w:spacing w:after="120"/>
        <w:ind w:left="1418" w:hanging="284"/>
        <w:jc w:val="both"/>
        <w:rPr>
          <w:sz w:val="22"/>
          <w:szCs w:val="22"/>
          <w:lang w:val="es-CR"/>
        </w:rPr>
      </w:pPr>
      <w:r>
        <w:rPr>
          <w:sz w:val="22"/>
          <w:szCs w:val="22"/>
          <w:lang w:val="es-CR"/>
        </w:rPr>
        <w:t>L</w:t>
      </w:r>
      <w:r w:rsidRPr="00AD41C7">
        <w:rPr>
          <w:sz w:val="22"/>
          <w:szCs w:val="22"/>
          <w:lang w:val="es-CR"/>
        </w:rPr>
        <w:t xml:space="preserve">a naturaleza de la reclasificación; </w:t>
      </w:r>
    </w:p>
    <w:p w14:paraId="14230A27" w14:textId="317C9DCB" w:rsidR="00AD41C7" w:rsidRPr="00AD41C7" w:rsidRDefault="00AD41C7">
      <w:pPr>
        <w:pStyle w:val="Default"/>
        <w:numPr>
          <w:ilvl w:val="0"/>
          <w:numId w:val="322"/>
        </w:numPr>
        <w:spacing w:after="120"/>
        <w:ind w:left="1418" w:hanging="284"/>
        <w:jc w:val="both"/>
        <w:rPr>
          <w:sz w:val="22"/>
          <w:szCs w:val="22"/>
          <w:lang w:val="es-CR"/>
        </w:rPr>
      </w:pPr>
      <w:r>
        <w:rPr>
          <w:sz w:val="22"/>
          <w:szCs w:val="22"/>
          <w:lang w:val="es-CR"/>
        </w:rPr>
        <w:t>E</w:t>
      </w:r>
      <w:r w:rsidRPr="00AD41C7">
        <w:rPr>
          <w:sz w:val="22"/>
          <w:szCs w:val="22"/>
          <w:lang w:val="es-CR"/>
        </w:rPr>
        <w:t xml:space="preserve">l importe de cada rubro o cuentas que se han reclasificado; y </w:t>
      </w:r>
    </w:p>
    <w:p w14:paraId="243E9130" w14:textId="77777777" w:rsidR="00AD41C7" w:rsidRDefault="00AD41C7">
      <w:pPr>
        <w:pStyle w:val="Default"/>
        <w:numPr>
          <w:ilvl w:val="0"/>
          <w:numId w:val="322"/>
        </w:numPr>
        <w:ind w:left="1418" w:hanging="284"/>
        <w:jc w:val="both"/>
        <w:rPr>
          <w:sz w:val="22"/>
          <w:szCs w:val="22"/>
          <w:lang w:val="es-CR"/>
        </w:rPr>
      </w:pPr>
      <w:r>
        <w:rPr>
          <w:sz w:val="22"/>
          <w:szCs w:val="22"/>
          <w:lang w:val="es-CR"/>
        </w:rPr>
        <w:t>E</w:t>
      </w:r>
      <w:r w:rsidRPr="00AD41C7">
        <w:rPr>
          <w:sz w:val="22"/>
          <w:szCs w:val="22"/>
          <w:lang w:val="es-CR"/>
        </w:rPr>
        <w:t>l motivo de la reclasificación.</w:t>
      </w:r>
    </w:p>
    <w:p w14:paraId="1F4931B2" w14:textId="099E981F" w:rsidR="00AD41C7" w:rsidRPr="00AD41C7" w:rsidRDefault="00AD41C7">
      <w:pPr>
        <w:pStyle w:val="Default"/>
        <w:numPr>
          <w:ilvl w:val="0"/>
          <w:numId w:val="321"/>
        </w:numPr>
        <w:jc w:val="both"/>
        <w:rPr>
          <w:sz w:val="22"/>
          <w:szCs w:val="22"/>
          <w:lang w:val="es-CR"/>
        </w:rPr>
      </w:pPr>
      <w:r w:rsidRPr="00AD41C7">
        <w:rPr>
          <w:sz w:val="22"/>
          <w:szCs w:val="22"/>
          <w:lang w:val="es-CR"/>
        </w:rPr>
        <w:t xml:space="preserve"> </w:t>
      </w:r>
    </w:p>
    <w:p w14:paraId="2F84BABA" w14:textId="4D8D0353" w:rsidR="00AD41C7" w:rsidRDefault="00722A4D" w:rsidP="00AD41C7">
      <w:pPr>
        <w:pStyle w:val="Default"/>
        <w:ind w:left="1134" w:hanging="1134"/>
        <w:jc w:val="both"/>
        <w:rPr>
          <w:sz w:val="22"/>
          <w:szCs w:val="22"/>
          <w:lang w:val="es-CR"/>
        </w:rPr>
      </w:pPr>
      <w:r>
        <w:rPr>
          <w:sz w:val="22"/>
          <w:szCs w:val="22"/>
          <w:lang w:val="es-CR"/>
        </w:rPr>
        <w:t>6.11.1.03</w:t>
      </w:r>
      <w:r>
        <w:rPr>
          <w:sz w:val="22"/>
          <w:szCs w:val="22"/>
          <w:lang w:val="es-CR"/>
        </w:rPr>
        <w:tab/>
      </w:r>
      <w:r w:rsidR="00AD41C7" w:rsidRPr="00AD41C7">
        <w:rPr>
          <w:sz w:val="22"/>
          <w:szCs w:val="22"/>
          <w:lang w:val="es-CR"/>
        </w:rPr>
        <w:t>Cuando la reclasificación de los importes comparativos resulte impracticable, la entidad revelará:</w:t>
      </w:r>
    </w:p>
    <w:p w14:paraId="707A1E31" w14:textId="77777777" w:rsidR="00722A4D" w:rsidRPr="00AD41C7" w:rsidRDefault="00722A4D" w:rsidP="00AD41C7">
      <w:pPr>
        <w:pStyle w:val="Default"/>
        <w:ind w:left="1134" w:hanging="1134"/>
        <w:jc w:val="both"/>
        <w:rPr>
          <w:sz w:val="22"/>
          <w:szCs w:val="22"/>
          <w:lang w:val="es-CR"/>
        </w:rPr>
      </w:pPr>
    </w:p>
    <w:p w14:paraId="11FC48DD" w14:textId="2DB23DC3" w:rsidR="00AD41C7" w:rsidRPr="00AD41C7" w:rsidRDefault="00722A4D">
      <w:pPr>
        <w:pStyle w:val="Default"/>
        <w:numPr>
          <w:ilvl w:val="0"/>
          <w:numId w:val="323"/>
        </w:numPr>
        <w:spacing w:after="120"/>
        <w:ind w:left="1418" w:hanging="284"/>
        <w:jc w:val="both"/>
        <w:rPr>
          <w:sz w:val="22"/>
          <w:szCs w:val="22"/>
          <w:lang w:val="es-CR"/>
        </w:rPr>
      </w:pPr>
      <w:r>
        <w:rPr>
          <w:sz w:val="22"/>
          <w:szCs w:val="22"/>
          <w:lang w:val="es-CR"/>
        </w:rPr>
        <w:t>E</w:t>
      </w:r>
      <w:r w:rsidR="00AD41C7" w:rsidRPr="00AD41C7">
        <w:rPr>
          <w:sz w:val="22"/>
          <w:szCs w:val="22"/>
          <w:lang w:val="es-CR"/>
        </w:rPr>
        <w:t xml:space="preserve">l motivo para no reclasificar los importes; y </w:t>
      </w:r>
    </w:p>
    <w:p w14:paraId="16841137" w14:textId="3FE8AB4A" w:rsidR="00AD41C7" w:rsidRDefault="00722A4D">
      <w:pPr>
        <w:pStyle w:val="Default"/>
        <w:numPr>
          <w:ilvl w:val="0"/>
          <w:numId w:val="323"/>
        </w:numPr>
        <w:ind w:left="1418" w:hanging="284"/>
        <w:jc w:val="both"/>
        <w:rPr>
          <w:sz w:val="22"/>
          <w:szCs w:val="22"/>
          <w:lang w:val="es-CR"/>
        </w:rPr>
      </w:pPr>
      <w:r>
        <w:rPr>
          <w:sz w:val="22"/>
          <w:szCs w:val="22"/>
          <w:lang w:val="es-CR"/>
        </w:rPr>
        <w:t>L</w:t>
      </w:r>
      <w:r w:rsidR="00AD41C7" w:rsidRPr="00AD41C7">
        <w:rPr>
          <w:sz w:val="22"/>
          <w:szCs w:val="22"/>
          <w:lang w:val="es-CR"/>
        </w:rPr>
        <w:t xml:space="preserve">a naturaleza de los ajustes que tendrían que haberse efectuado si los importes hubieran sido reclasificados. </w:t>
      </w:r>
    </w:p>
    <w:p w14:paraId="40EAF203" w14:textId="77777777" w:rsidR="009A1449" w:rsidRPr="00AD41C7" w:rsidRDefault="009A1449" w:rsidP="009A1449">
      <w:pPr>
        <w:pStyle w:val="Default"/>
        <w:ind w:left="1418"/>
        <w:jc w:val="both"/>
        <w:rPr>
          <w:sz w:val="22"/>
          <w:szCs w:val="22"/>
          <w:lang w:val="es-CR"/>
        </w:rPr>
      </w:pPr>
    </w:p>
    <w:p w14:paraId="48534C19" w14:textId="77777777" w:rsidR="00413A06" w:rsidRPr="00AD41C7" w:rsidRDefault="00413A06" w:rsidP="00AD41C7">
      <w:pPr>
        <w:pStyle w:val="Default"/>
        <w:jc w:val="both"/>
        <w:rPr>
          <w:sz w:val="22"/>
          <w:szCs w:val="22"/>
          <w:lang w:val="es-CR"/>
        </w:rPr>
      </w:pPr>
    </w:p>
    <w:p w14:paraId="63D9CCF0" w14:textId="77777777" w:rsidR="00413A06" w:rsidRPr="00AD41C7" w:rsidRDefault="00413A06" w:rsidP="00AD41C7">
      <w:pPr>
        <w:pStyle w:val="Default"/>
        <w:jc w:val="both"/>
        <w:rPr>
          <w:sz w:val="22"/>
          <w:szCs w:val="22"/>
          <w:lang w:val="es-CR"/>
        </w:rPr>
      </w:pPr>
    </w:p>
    <w:tbl>
      <w:tblPr>
        <w:tblW w:w="9414" w:type="dxa"/>
        <w:tblLook w:val="04A0" w:firstRow="1" w:lastRow="0" w:firstColumn="1" w:lastColumn="0" w:noHBand="0" w:noVBand="1"/>
      </w:tblPr>
      <w:tblGrid>
        <w:gridCol w:w="416"/>
        <w:gridCol w:w="662"/>
        <w:gridCol w:w="522"/>
        <w:gridCol w:w="3739"/>
        <w:gridCol w:w="2184"/>
        <w:gridCol w:w="1891"/>
      </w:tblGrid>
      <w:tr w:rsidR="004B7768" w:rsidRPr="004B7768" w14:paraId="0E47E396" w14:textId="77777777" w:rsidTr="009A1449">
        <w:trPr>
          <w:trHeight w:val="320"/>
        </w:trPr>
        <w:tc>
          <w:tcPr>
            <w:tcW w:w="1600"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5B2AE1EB" w14:textId="77777777" w:rsidR="004B7768" w:rsidRPr="004B7768" w:rsidRDefault="004B7768" w:rsidP="004B7768">
            <w:pPr>
              <w:jc w:val="center"/>
              <w:rPr>
                <w:rFonts w:ascii="Arial Narrow" w:eastAsia="Times New Roman" w:hAnsi="Arial Narrow" w:cs="Calibri"/>
                <w:b/>
                <w:bCs/>
                <w:color w:val="FFFFFF"/>
                <w:sz w:val="22"/>
                <w:szCs w:val="22"/>
              </w:rPr>
            </w:pPr>
            <w:r w:rsidRPr="004B7768">
              <w:rPr>
                <w:rFonts w:ascii="Arial Narrow" w:eastAsia="Times New Roman" w:hAnsi="Arial Narrow" w:cs="Calibri"/>
                <w:b/>
                <w:bCs/>
                <w:color w:val="FFFFFF"/>
                <w:sz w:val="22"/>
                <w:szCs w:val="22"/>
              </w:rPr>
              <w:t>Norma / Política</w:t>
            </w:r>
          </w:p>
        </w:tc>
        <w:tc>
          <w:tcPr>
            <w:tcW w:w="373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729C885" w14:textId="77777777" w:rsidR="004B7768" w:rsidRPr="004B7768" w:rsidRDefault="004B7768" w:rsidP="004B7768">
            <w:pPr>
              <w:jc w:val="center"/>
              <w:rPr>
                <w:rFonts w:ascii="Arial Narrow" w:eastAsia="Times New Roman" w:hAnsi="Arial Narrow" w:cs="Calibri"/>
                <w:b/>
                <w:bCs/>
                <w:color w:val="FFFFFF"/>
                <w:sz w:val="22"/>
                <w:szCs w:val="22"/>
              </w:rPr>
            </w:pPr>
            <w:r w:rsidRPr="004B7768">
              <w:rPr>
                <w:rFonts w:ascii="Arial Narrow" w:eastAsia="Times New Roman" w:hAnsi="Arial Narrow" w:cs="Calibri"/>
                <w:b/>
                <w:bCs/>
                <w:color w:val="FFFFFF"/>
                <w:sz w:val="22"/>
                <w:szCs w:val="22"/>
              </w:rPr>
              <w:t>Concepto</w:t>
            </w:r>
          </w:p>
        </w:tc>
        <w:tc>
          <w:tcPr>
            <w:tcW w:w="4075" w:type="dxa"/>
            <w:gridSpan w:val="2"/>
            <w:tcBorders>
              <w:top w:val="single" w:sz="8" w:space="0" w:color="auto"/>
              <w:left w:val="nil"/>
              <w:bottom w:val="single" w:sz="8" w:space="0" w:color="auto"/>
              <w:right w:val="single" w:sz="8" w:space="0" w:color="000000"/>
            </w:tcBorders>
            <w:shd w:val="clear" w:color="000000" w:fill="203764"/>
            <w:vAlign w:val="center"/>
            <w:hideMark/>
          </w:tcPr>
          <w:p w14:paraId="38FE491E" w14:textId="77777777" w:rsidR="004B7768" w:rsidRPr="004B7768" w:rsidRDefault="004B7768" w:rsidP="004B7768">
            <w:pPr>
              <w:jc w:val="center"/>
              <w:rPr>
                <w:rFonts w:ascii="Arial Narrow" w:eastAsia="Times New Roman" w:hAnsi="Arial Narrow" w:cs="Calibri"/>
                <w:b/>
                <w:bCs/>
                <w:color w:val="FFFFFF"/>
                <w:sz w:val="22"/>
                <w:szCs w:val="22"/>
              </w:rPr>
            </w:pPr>
            <w:r w:rsidRPr="004B7768">
              <w:rPr>
                <w:rFonts w:ascii="Arial Narrow" w:eastAsia="Times New Roman" w:hAnsi="Arial Narrow" w:cs="Calibri"/>
                <w:b/>
                <w:bCs/>
                <w:color w:val="FFFFFF"/>
                <w:sz w:val="22"/>
                <w:szCs w:val="22"/>
              </w:rPr>
              <w:t>Referencia</w:t>
            </w:r>
          </w:p>
        </w:tc>
      </w:tr>
      <w:tr w:rsidR="004B7768" w:rsidRPr="006E5442" w14:paraId="0D9FD593" w14:textId="77777777" w:rsidTr="009A1449">
        <w:trPr>
          <w:trHeight w:val="850"/>
        </w:trPr>
        <w:tc>
          <w:tcPr>
            <w:tcW w:w="1600" w:type="dxa"/>
            <w:gridSpan w:val="3"/>
            <w:vMerge/>
            <w:tcBorders>
              <w:top w:val="single" w:sz="8" w:space="0" w:color="auto"/>
              <w:left w:val="single" w:sz="8" w:space="0" w:color="auto"/>
              <w:bottom w:val="single" w:sz="8" w:space="0" w:color="000000"/>
              <w:right w:val="single" w:sz="8" w:space="0" w:color="000000"/>
            </w:tcBorders>
            <w:vAlign w:val="center"/>
            <w:hideMark/>
          </w:tcPr>
          <w:p w14:paraId="76F2A33E" w14:textId="77777777" w:rsidR="004B7768" w:rsidRPr="004B7768" w:rsidRDefault="004B7768" w:rsidP="004B7768">
            <w:pPr>
              <w:rPr>
                <w:rFonts w:ascii="Arial Narrow" w:eastAsia="Times New Roman" w:hAnsi="Arial Narrow" w:cs="Calibri"/>
                <w:b/>
                <w:bCs/>
                <w:color w:val="FFFFFF"/>
                <w:sz w:val="22"/>
                <w:szCs w:val="22"/>
              </w:rPr>
            </w:pPr>
          </w:p>
        </w:tc>
        <w:tc>
          <w:tcPr>
            <w:tcW w:w="3739" w:type="dxa"/>
            <w:vMerge/>
            <w:tcBorders>
              <w:top w:val="single" w:sz="8" w:space="0" w:color="auto"/>
              <w:left w:val="single" w:sz="8" w:space="0" w:color="auto"/>
              <w:bottom w:val="single" w:sz="8" w:space="0" w:color="000000"/>
              <w:right w:val="single" w:sz="8" w:space="0" w:color="auto"/>
            </w:tcBorders>
            <w:vAlign w:val="center"/>
            <w:hideMark/>
          </w:tcPr>
          <w:p w14:paraId="556D72BD" w14:textId="77777777" w:rsidR="004B7768" w:rsidRPr="004B7768" w:rsidRDefault="004B7768" w:rsidP="004B7768">
            <w:pPr>
              <w:rPr>
                <w:rFonts w:ascii="Arial Narrow" w:eastAsia="Times New Roman" w:hAnsi="Arial Narrow" w:cs="Calibri"/>
                <w:b/>
                <w:bCs/>
                <w:color w:val="FFFFFF"/>
                <w:sz w:val="22"/>
                <w:szCs w:val="22"/>
              </w:rPr>
            </w:pPr>
          </w:p>
        </w:tc>
        <w:tc>
          <w:tcPr>
            <w:tcW w:w="2184" w:type="dxa"/>
            <w:tcBorders>
              <w:top w:val="nil"/>
              <w:left w:val="nil"/>
              <w:bottom w:val="single" w:sz="8" w:space="0" w:color="auto"/>
              <w:right w:val="single" w:sz="8" w:space="0" w:color="auto"/>
            </w:tcBorders>
            <w:shd w:val="clear" w:color="000000" w:fill="203764"/>
            <w:vAlign w:val="center"/>
            <w:hideMark/>
          </w:tcPr>
          <w:p w14:paraId="62D7A82E" w14:textId="77777777" w:rsidR="004B7768" w:rsidRPr="004B7768" w:rsidRDefault="004B7768" w:rsidP="004B7768">
            <w:pPr>
              <w:jc w:val="center"/>
              <w:rPr>
                <w:rFonts w:ascii="Arial Narrow" w:eastAsia="Times New Roman" w:hAnsi="Arial Narrow" w:cs="Calibri"/>
                <w:b/>
                <w:bCs/>
                <w:color w:val="FFFFFF"/>
                <w:sz w:val="22"/>
                <w:szCs w:val="22"/>
              </w:rPr>
            </w:pPr>
            <w:r w:rsidRPr="004B7768">
              <w:rPr>
                <w:rFonts w:ascii="Arial Narrow" w:eastAsia="Times New Roman" w:hAnsi="Arial Narrow" w:cs="Calibri"/>
                <w:b/>
                <w:bCs/>
                <w:color w:val="FFFFFF"/>
                <w:sz w:val="22"/>
                <w:szCs w:val="22"/>
              </w:rPr>
              <w:t>Norma</w:t>
            </w:r>
          </w:p>
        </w:tc>
        <w:tc>
          <w:tcPr>
            <w:tcW w:w="1891" w:type="dxa"/>
            <w:tcBorders>
              <w:top w:val="nil"/>
              <w:left w:val="nil"/>
              <w:bottom w:val="single" w:sz="8" w:space="0" w:color="auto"/>
              <w:right w:val="single" w:sz="8" w:space="0" w:color="auto"/>
            </w:tcBorders>
            <w:shd w:val="clear" w:color="000000" w:fill="203764"/>
            <w:vAlign w:val="center"/>
            <w:hideMark/>
          </w:tcPr>
          <w:p w14:paraId="065BDFA8" w14:textId="77777777" w:rsidR="004B7768" w:rsidRPr="004B7768" w:rsidRDefault="004B7768" w:rsidP="004B7768">
            <w:pPr>
              <w:jc w:val="center"/>
              <w:rPr>
                <w:rFonts w:ascii="Arial Narrow" w:eastAsia="Times New Roman" w:hAnsi="Arial Narrow" w:cs="Calibri"/>
                <w:b/>
                <w:bCs/>
                <w:color w:val="FFFFFF"/>
                <w:sz w:val="22"/>
                <w:szCs w:val="22"/>
                <w:lang w:val="es-CR"/>
              </w:rPr>
            </w:pPr>
            <w:r w:rsidRPr="004B7768">
              <w:rPr>
                <w:rFonts w:ascii="Arial Narrow" w:eastAsia="Times New Roman" w:hAnsi="Arial Narrow" w:cs="Calibri"/>
                <w:b/>
                <w:bCs/>
                <w:color w:val="FFFFFF"/>
                <w:sz w:val="22"/>
                <w:szCs w:val="22"/>
                <w:lang w:val="es-CR"/>
              </w:rPr>
              <w:t>Normativa técnica y disposiciones adicionales</w:t>
            </w:r>
          </w:p>
        </w:tc>
      </w:tr>
      <w:tr w:rsidR="004B7768" w:rsidRPr="004B7768" w14:paraId="58DF5172" w14:textId="77777777" w:rsidTr="009A1449">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7D11BF4"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3C2A3848" w14:textId="77777777" w:rsidR="004B7768" w:rsidRPr="004B7768" w:rsidRDefault="004B7768" w:rsidP="004B7768">
            <w:pPr>
              <w:ind w:firstLineChars="100" w:firstLine="220"/>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12</w:t>
            </w:r>
          </w:p>
        </w:tc>
        <w:tc>
          <w:tcPr>
            <w:tcW w:w="520" w:type="dxa"/>
            <w:tcBorders>
              <w:top w:val="nil"/>
              <w:left w:val="nil"/>
              <w:bottom w:val="single" w:sz="8" w:space="0" w:color="auto"/>
              <w:right w:val="single" w:sz="8" w:space="0" w:color="auto"/>
            </w:tcBorders>
            <w:shd w:val="clear" w:color="auto" w:fill="auto"/>
            <w:vAlign w:val="center"/>
            <w:hideMark/>
          </w:tcPr>
          <w:p w14:paraId="3ABDF76D"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 </w:t>
            </w:r>
          </w:p>
        </w:tc>
        <w:tc>
          <w:tcPr>
            <w:tcW w:w="3739" w:type="dxa"/>
            <w:tcBorders>
              <w:top w:val="nil"/>
              <w:left w:val="nil"/>
              <w:bottom w:val="single" w:sz="8" w:space="0" w:color="auto"/>
              <w:right w:val="single" w:sz="8" w:space="0" w:color="auto"/>
            </w:tcBorders>
            <w:shd w:val="clear" w:color="auto" w:fill="auto"/>
            <w:vAlign w:val="center"/>
            <w:hideMark/>
          </w:tcPr>
          <w:p w14:paraId="24C9DF33" w14:textId="77777777" w:rsidR="004B7768" w:rsidRPr="004B7768" w:rsidRDefault="004B7768" w:rsidP="004B7768">
            <w:pP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Anualidad</w:t>
            </w:r>
          </w:p>
        </w:tc>
        <w:tc>
          <w:tcPr>
            <w:tcW w:w="2184" w:type="dxa"/>
            <w:tcBorders>
              <w:top w:val="nil"/>
              <w:left w:val="nil"/>
              <w:bottom w:val="single" w:sz="8" w:space="0" w:color="auto"/>
              <w:right w:val="single" w:sz="8" w:space="0" w:color="auto"/>
            </w:tcBorders>
            <w:shd w:val="clear" w:color="auto" w:fill="auto"/>
            <w:vAlign w:val="center"/>
            <w:hideMark/>
          </w:tcPr>
          <w:p w14:paraId="6F846FC1" w14:textId="77777777" w:rsidR="004B7768" w:rsidRPr="004B7768" w:rsidRDefault="004B7768" w:rsidP="004B7768">
            <w:pP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NICSP N° 1,</w:t>
            </w:r>
            <w:r w:rsidRPr="004B7768">
              <w:rPr>
                <w:rFonts w:ascii="Arial Narrow" w:eastAsia="Times New Roman" w:hAnsi="Arial Narrow" w:cs="Calibri"/>
                <w:b/>
                <w:bCs/>
                <w:color w:val="000000"/>
                <w:sz w:val="22"/>
                <w:szCs w:val="22"/>
              </w:rPr>
              <w:br/>
              <w:t>Párrafos 3 y 66.</w:t>
            </w:r>
          </w:p>
        </w:tc>
        <w:tc>
          <w:tcPr>
            <w:tcW w:w="1891" w:type="dxa"/>
            <w:tcBorders>
              <w:top w:val="nil"/>
              <w:left w:val="nil"/>
              <w:bottom w:val="single" w:sz="8" w:space="0" w:color="auto"/>
              <w:right w:val="single" w:sz="8" w:space="0" w:color="auto"/>
            </w:tcBorders>
            <w:shd w:val="clear" w:color="auto" w:fill="auto"/>
            <w:vAlign w:val="center"/>
            <w:hideMark/>
          </w:tcPr>
          <w:p w14:paraId="46C04336"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 xml:space="preserve">DGCN </w:t>
            </w:r>
          </w:p>
        </w:tc>
      </w:tr>
      <w:tr w:rsidR="004B7768" w:rsidRPr="006E5442" w14:paraId="327648C8" w14:textId="77777777" w:rsidTr="009A1449">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A4472A9"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7EEF749D" w14:textId="77777777" w:rsidR="004B7768" w:rsidRPr="004B7768" w:rsidRDefault="004B7768" w:rsidP="004B7768">
            <w:pPr>
              <w:ind w:firstLineChars="100" w:firstLine="220"/>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12</w:t>
            </w:r>
          </w:p>
        </w:tc>
        <w:tc>
          <w:tcPr>
            <w:tcW w:w="520" w:type="dxa"/>
            <w:tcBorders>
              <w:top w:val="nil"/>
              <w:left w:val="nil"/>
              <w:bottom w:val="single" w:sz="8" w:space="0" w:color="auto"/>
              <w:right w:val="nil"/>
            </w:tcBorders>
            <w:shd w:val="clear" w:color="auto" w:fill="auto"/>
            <w:vAlign w:val="center"/>
            <w:hideMark/>
          </w:tcPr>
          <w:p w14:paraId="4359A638"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1</w:t>
            </w:r>
          </w:p>
        </w:tc>
        <w:tc>
          <w:tcPr>
            <w:tcW w:w="3739" w:type="dxa"/>
            <w:tcBorders>
              <w:top w:val="nil"/>
              <w:left w:val="single" w:sz="8" w:space="0" w:color="auto"/>
              <w:bottom w:val="single" w:sz="8" w:space="0" w:color="auto"/>
              <w:right w:val="single" w:sz="8" w:space="0" w:color="auto"/>
            </w:tcBorders>
            <w:shd w:val="clear" w:color="auto" w:fill="auto"/>
            <w:vAlign w:val="center"/>
            <w:hideMark/>
          </w:tcPr>
          <w:p w14:paraId="614A7D7F" w14:textId="77777777" w:rsidR="004B7768" w:rsidRPr="004B7768" w:rsidRDefault="004B7768" w:rsidP="004B7768">
            <w:pP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Período contable</w:t>
            </w:r>
          </w:p>
        </w:tc>
        <w:tc>
          <w:tcPr>
            <w:tcW w:w="2184" w:type="dxa"/>
            <w:tcBorders>
              <w:top w:val="nil"/>
              <w:left w:val="nil"/>
              <w:bottom w:val="single" w:sz="8" w:space="0" w:color="auto"/>
              <w:right w:val="single" w:sz="8" w:space="0" w:color="auto"/>
            </w:tcBorders>
            <w:shd w:val="clear" w:color="auto" w:fill="auto"/>
            <w:vAlign w:val="center"/>
            <w:hideMark/>
          </w:tcPr>
          <w:p w14:paraId="01BD5219" w14:textId="77777777" w:rsidR="004B7768" w:rsidRPr="004B7768" w:rsidRDefault="004B7768" w:rsidP="004B7768">
            <w:pP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NICSP N° 1,</w:t>
            </w:r>
            <w:r w:rsidRPr="004B7768">
              <w:rPr>
                <w:rFonts w:ascii="Arial Narrow" w:eastAsia="Times New Roman" w:hAnsi="Arial Narrow" w:cs="Calibri"/>
                <w:b/>
                <w:bCs/>
                <w:color w:val="000000"/>
                <w:sz w:val="22"/>
                <w:szCs w:val="22"/>
              </w:rPr>
              <w:br/>
              <w:t>Párrafos 3 y 66.</w:t>
            </w:r>
          </w:p>
        </w:tc>
        <w:tc>
          <w:tcPr>
            <w:tcW w:w="1891" w:type="dxa"/>
            <w:tcBorders>
              <w:top w:val="nil"/>
              <w:left w:val="nil"/>
              <w:bottom w:val="single" w:sz="8" w:space="0" w:color="auto"/>
              <w:right w:val="single" w:sz="8" w:space="0" w:color="auto"/>
            </w:tcBorders>
            <w:shd w:val="clear" w:color="auto" w:fill="auto"/>
            <w:vAlign w:val="center"/>
            <w:hideMark/>
          </w:tcPr>
          <w:p w14:paraId="668C4B98" w14:textId="76106A03" w:rsidR="004B7768" w:rsidRDefault="004B7768" w:rsidP="009A1449">
            <w:pPr>
              <w:jc w:val="both"/>
              <w:rPr>
                <w:rFonts w:ascii="Arial" w:hAnsi="Arial"/>
                <w:b/>
                <w:bCs/>
                <w:szCs w:val="18"/>
                <w:lang w:val="es-CR"/>
              </w:rPr>
            </w:pPr>
            <w:r>
              <w:rPr>
                <w:rFonts w:ascii="Arial" w:hAnsi="Arial"/>
                <w:b/>
                <w:bCs/>
                <w:szCs w:val="18"/>
                <w:lang w:val="es-CR"/>
              </w:rPr>
              <w:t>Código Municipal</w:t>
            </w:r>
          </w:p>
          <w:p w14:paraId="27F0B40E" w14:textId="77777777" w:rsidR="004B7768" w:rsidRDefault="004B7768" w:rsidP="009A1449">
            <w:pPr>
              <w:jc w:val="both"/>
              <w:rPr>
                <w:rFonts w:ascii="Arial Narrow" w:eastAsia="Times New Roman" w:hAnsi="Arial Narrow" w:cs="Calibri"/>
                <w:b/>
                <w:bCs/>
                <w:color w:val="000000"/>
                <w:sz w:val="22"/>
                <w:szCs w:val="22"/>
                <w:lang w:val="es-CR"/>
              </w:rPr>
            </w:pPr>
            <w:r w:rsidRPr="004B7768">
              <w:rPr>
                <w:rFonts w:ascii="Arial" w:eastAsia="Times New Roman" w:hAnsi="Arial" w:cs="Calibri"/>
                <w:b/>
                <w:bCs/>
                <w:color w:val="000000"/>
                <w:szCs w:val="18"/>
                <w:lang w:val="es-CR"/>
              </w:rPr>
              <w:t>LAFRPP y su Reglamento</w:t>
            </w:r>
            <w:r w:rsidRPr="004B7768">
              <w:rPr>
                <w:rFonts w:ascii="Arial Narrow" w:eastAsia="Times New Roman" w:hAnsi="Arial Narrow" w:cs="Calibri"/>
                <w:b/>
                <w:bCs/>
                <w:color w:val="000000"/>
                <w:sz w:val="22"/>
                <w:szCs w:val="22"/>
                <w:lang w:val="es-CR"/>
              </w:rPr>
              <w:t xml:space="preserve"> </w:t>
            </w:r>
          </w:p>
          <w:p w14:paraId="57033E35" w14:textId="7F4CCEBD" w:rsidR="004B7768" w:rsidRPr="004B7768" w:rsidRDefault="004B7768" w:rsidP="009A1449">
            <w:pPr>
              <w:jc w:val="both"/>
              <w:rPr>
                <w:rFonts w:ascii="Arial" w:hAnsi="Arial"/>
                <w:b/>
                <w:bCs/>
                <w:szCs w:val="18"/>
                <w:lang w:val="es-CR"/>
              </w:rPr>
            </w:pPr>
            <w:r w:rsidRPr="004B7768">
              <w:rPr>
                <w:rFonts w:ascii="Arial" w:hAnsi="Arial"/>
                <w:b/>
                <w:bCs/>
                <w:szCs w:val="18"/>
                <w:lang w:val="es-CR"/>
              </w:rPr>
              <w:t>R-CO-8-2007 de la CGR</w:t>
            </w:r>
          </w:p>
        </w:tc>
      </w:tr>
      <w:tr w:rsidR="004B7768" w:rsidRPr="004B7768" w14:paraId="7CAED8E6" w14:textId="77777777" w:rsidTr="009A1449">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ED2DCBF"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lastRenderedPageBreak/>
              <w:t>6</w:t>
            </w:r>
          </w:p>
        </w:tc>
        <w:tc>
          <w:tcPr>
            <w:tcW w:w="662" w:type="dxa"/>
            <w:tcBorders>
              <w:top w:val="nil"/>
              <w:left w:val="nil"/>
              <w:bottom w:val="single" w:sz="8" w:space="0" w:color="auto"/>
              <w:right w:val="single" w:sz="8" w:space="0" w:color="auto"/>
            </w:tcBorders>
            <w:shd w:val="clear" w:color="auto" w:fill="auto"/>
            <w:vAlign w:val="center"/>
            <w:hideMark/>
          </w:tcPr>
          <w:p w14:paraId="7A6B7F26"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12</w:t>
            </w:r>
          </w:p>
        </w:tc>
        <w:tc>
          <w:tcPr>
            <w:tcW w:w="520" w:type="dxa"/>
            <w:tcBorders>
              <w:top w:val="nil"/>
              <w:left w:val="nil"/>
              <w:bottom w:val="single" w:sz="8" w:space="0" w:color="auto"/>
              <w:right w:val="single" w:sz="8" w:space="0" w:color="auto"/>
            </w:tcBorders>
            <w:shd w:val="clear" w:color="auto" w:fill="auto"/>
            <w:vAlign w:val="center"/>
            <w:hideMark/>
          </w:tcPr>
          <w:p w14:paraId="08F9C713"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2</w:t>
            </w:r>
          </w:p>
        </w:tc>
        <w:tc>
          <w:tcPr>
            <w:tcW w:w="3739" w:type="dxa"/>
            <w:tcBorders>
              <w:top w:val="nil"/>
              <w:left w:val="nil"/>
              <w:bottom w:val="single" w:sz="8" w:space="0" w:color="auto"/>
              <w:right w:val="single" w:sz="8" w:space="0" w:color="auto"/>
            </w:tcBorders>
            <w:shd w:val="clear" w:color="auto" w:fill="auto"/>
            <w:vAlign w:val="center"/>
            <w:hideMark/>
          </w:tcPr>
          <w:p w14:paraId="7156D786" w14:textId="77777777" w:rsidR="004B7768" w:rsidRPr="004B7768" w:rsidRDefault="004B7768" w:rsidP="004B7768">
            <w:pPr>
              <w:jc w:val="both"/>
              <w:rPr>
                <w:rFonts w:ascii="Arial Narrow" w:eastAsia="Times New Roman" w:hAnsi="Arial Narrow" w:cs="Calibri"/>
                <w:b/>
                <w:bCs/>
                <w:color w:val="000000"/>
                <w:sz w:val="22"/>
                <w:szCs w:val="22"/>
                <w:lang w:val="es-CR"/>
              </w:rPr>
            </w:pPr>
            <w:r w:rsidRPr="004B7768">
              <w:rPr>
                <w:rFonts w:ascii="Arial Narrow" w:eastAsia="Times New Roman" w:hAnsi="Arial Narrow" w:cs="Calibri"/>
                <w:b/>
                <w:bCs/>
                <w:color w:val="000000"/>
                <w:sz w:val="22"/>
                <w:szCs w:val="22"/>
                <w:lang w:val="es-CR"/>
              </w:rPr>
              <w:t>Información a presentar por las entidades</w:t>
            </w:r>
          </w:p>
        </w:tc>
        <w:tc>
          <w:tcPr>
            <w:tcW w:w="2184" w:type="dxa"/>
            <w:tcBorders>
              <w:top w:val="nil"/>
              <w:left w:val="nil"/>
              <w:bottom w:val="single" w:sz="8" w:space="0" w:color="auto"/>
              <w:right w:val="single" w:sz="8" w:space="0" w:color="auto"/>
            </w:tcBorders>
            <w:shd w:val="clear" w:color="auto" w:fill="auto"/>
            <w:vAlign w:val="center"/>
            <w:hideMark/>
          </w:tcPr>
          <w:p w14:paraId="2B9735A7" w14:textId="77777777" w:rsidR="004B7768" w:rsidRPr="004B7768" w:rsidRDefault="004B7768" w:rsidP="004B7768">
            <w:pP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NICSP N° 1,</w:t>
            </w:r>
            <w:r w:rsidRPr="004B7768">
              <w:rPr>
                <w:rFonts w:ascii="Arial Narrow" w:eastAsia="Times New Roman" w:hAnsi="Arial Narrow" w:cs="Calibri"/>
                <w:b/>
                <w:bCs/>
                <w:color w:val="000000"/>
                <w:sz w:val="22"/>
                <w:szCs w:val="22"/>
              </w:rPr>
              <w:br/>
              <w:t>Párrafos 3 y 66.</w:t>
            </w:r>
          </w:p>
        </w:tc>
        <w:tc>
          <w:tcPr>
            <w:tcW w:w="1891" w:type="dxa"/>
            <w:tcBorders>
              <w:top w:val="nil"/>
              <w:left w:val="nil"/>
              <w:bottom w:val="single" w:sz="8" w:space="0" w:color="auto"/>
              <w:right w:val="single" w:sz="8" w:space="0" w:color="auto"/>
            </w:tcBorders>
            <w:shd w:val="clear" w:color="auto" w:fill="auto"/>
            <w:vAlign w:val="center"/>
            <w:hideMark/>
          </w:tcPr>
          <w:p w14:paraId="62F218D0" w14:textId="749839D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 xml:space="preserve">DGCN </w:t>
            </w:r>
          </w:p>
        </w:tc>
      </w:tr>
      <w:tr w:rsidR="004B7768" w:rsidRPr="004B7768" w14:paraId="055E136F" w14:textId="77777777" w:rsidTr="009A1449">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AC3DAA0"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26A71BB2"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12</w:t>
            </w:r>
          </w:p>
        </w:tc>
        <w:tc>
          <w:tcPr>
            <w:tcW w:w="520" w:type="dxa"/>
            <w:tcBorders>
              <w:top w:val="nil"/>
              <w:left w:val="nil"/>
              <w:bottom w:val="single" w:sz="8" w:space="0" w:color="auto"/>
              <w:right w:val="single" w:sz="8" w:space="0" w:color="auto"/>
            </w:tcBorders>
            <w:shd w:val="clear" w:color="auto" w:fill="auto"/>
            <w:vAlign w:val="center"/>
            <w:hideMark/>
          </w:tcPr>
          <w:p w14:paraId="73DE40E5" w14:textId="77777777"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3</w:t>
            </w:r>
          </w:p>
        </w:tc>
        <w:tc>
          <w:tcPr>
            <w:tcW w:w="3739" w:type="dxa"/>
            <w:tcBorders>
              <w:top w:val="nil"/>
              <w:left w:val="nil"/>
              <w:bottom w:val="single" w:sz="8" w:space="0" w:color="auto"/>
              <w:right w:val="single" w:sz="8" w:space="0" w:color="auto"/>
            </w:tcBorders>
            <w:shd w:val="clear" w:color="auto" w:fill="auto"/>
            <w:vAlign w:val="center"/>
            <w:hideMark/>
          </w:tcPr>
          <w:p w14:paraId="306C8B1A" w14:textId="77777777" w:rsidR="004B7768" w:rsidRPr="004B7768" w:rsidRDefault="004B7768" w:rsidP="004B7768">
            <w:pPr>
              <w:jc w:val="both"/>
              <w:rPr>
                <w:rFonts w:ascii="Arial Narrow" w:eastAsia="Times New Roman" w:hAnsi="Arial Narrow" w:cs="Calibri"/>
                <w:b/>
                <w:bCs/>
                <w:color w:val="000000"/>
                <w:sz w:val="22"/>
                <w:szCs w:val="22"/>
                <w:lang w:val="es-CR"/>
              </w:rPr>
            </w:pPr>
            <w:r w:rsidRPr="004B7768">
              <w:rPr>
                <w:rFonts w:ascii="Arial Narrow" w:eastAsia="Times New Roman" w:hAnsi="Arial Narrow" w:cs="Calibri"/>
                <w:b/>
                <w:bCs/>
                <w:color w:val="000000"/>
                <w:sz w:val="22"/>
                <w:szCs w:val="22"/>
                <w:lang w:val="es-CR"/>
              </w:rPr>
              <w:t>Auxiliares e informaciones contables intermedias</w:t>
            </w:r>
          </w:p>
        </w:tc>
        <w:tc>
          <w:tcPr>
            <w:tcW w:w="2184" w:type="dxa"/>
            <w:tcBorders>
              <w:top w:val="nil"/>
              <w:left w:val="nil"/>
              <w:bottom w:val="single" w:sz="8" w:space="0" w:color="auto"/>
              <w:right w:val="single" w:sz="8" w:space="0" w:color="auto"/>
            </w:tcBorders>
            <w:shd w:val="clear" w:color="auto" w:fill="auto"/>
            <w:vAlign w:val="center"/>
            <w:hideMark/>
          </w:tcPr>
          <w:p w14:paraId="4F212C4D" w14:textId="77777777" w:rsidR="004B7768" w:rsidRPr="004B7768" w:rsidRDefault="004B7768" w:rsidP="004B7768">
            <w:pP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NICSP N° 1,</w:t>
            </w:r>
            <w:r w:rsidRPr="004B7768">
              <w:rPr>
                <w:rFonts w:ascii="Arial Narrow" w:eastAsia="Times New Roman" w:hAnsi="Arial Narrow" w:cs="Calibri"/>
                <w:b/>
                <w:bCs/>
                <w:color w:val="000000"/>
                <w:sz w:val="22"/>
                <w:szCs w:val="22"/>
              </w:rPr>
              <w:br/>
              <w:t>Párrafos 3 y 66.</w:t>
            </w:r>
          </w:p>
        </w:tc>
        <w:tc>
          <w:tcPr>
            <w:tcW w:w="1891" w:type="dxa"/>
            <w:tcBorders>
              <w:top w:val="nil"/>
              <w:left w:val="nil"/>
              <w:bottom w:val="single" w:sz="8" w:space="0" w:color="auto"/>
              <w:right w:val="single" w:sz="8" w:space="0" w:color="auto"/>
            </w:tcBorders>
            <w:shd w:val="clear" w:color="auto" w:fill="auto"/>
            <w:vAlign w:val="center"/>
            <w:hideMark/>
          </w:tcPr>
          <w:p w14:paraId="46AD673B" w14:textId="0EEFE0CC" w:rsidR="004B7768" w:rsidRPr="004B7768" w:rsidRDefault="004B7768" w:rsidP="004B7768">
            <w:pPr>
              <w:jc w:val="center"/>
              <w:rPr>
                <w:rFonts w:ascii="Arial Narrow" w:eastAsia="Times New Roman" w:hAnsi="Arial Narrow" w:cs="Calibri"/>
                <w:b/>
                <w:bCs/>
                <w:color w:val="000000"/>
                <w:sz w:val="22"/>
                <w:szCs w:val="22"/>
              </w:rPr>
            </w:pPr>
            <w:r w:rsidRPr="004B7768">
              <w:rPr>
                <w:rFonts w:ascii="Arial Narrow" w:eastAsia="Times New Roman" w:hAnsi="Arial Narrow" w:cs="Calibri"/>
                <w:b/>
                <w:bCs/>
                <w:color w:val="000000"/>
                <w:sz w:val="22"/>
                <w:szCs w:val="22"/>
              </w:rPr>
              <w:t xml:space="preserve"> DGCN</w:t>
            </w:r>
          </w:p>
        </w:tc>
      </w:tr>
    </w:tbl>
    <w:p w14:paraId="23F94E5A" w14:textId="77777777" w:rsidR="00413A06" w:rsidRPr="00AD41C7" w:rsidRDefault="00413A06" w:rsidP="00AD41C7">
      <w:pPr>
        <w:pStyle w:val="Default"/>
        <w:jc w:val="both"/>
        <w:rPr>
          <w:sz w:val="22"/>
          <w:szCs w:val="22"/>
          <w:lang w:val="es-CR"/>
        </w:rPr>
      </w:pPr>
    </w:p>
    <w:p w14:paraId="4CE2BECB" w14:textId="77777777" w:rsidR="009A1449" w:rsidRDefault="009A1449" w:rsidP="009A1449">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564A54CF" w14:textId="77777777" w:rsidR="00413A06" w:rsidRPr="00AD41C7" w:rsidRDefault="00413A06" w:rsidP="00AD41C7">
      <w:pPr>
        <w:pStyle w:val="Default"/>
        <w:jc w:val="both"/>
        <w:rPr>
          <w:sz w:val="22"/>
          <w:szCs w:val="22"/>
          <w:lang w:val="es-CR"/>
        </w:rPr>
      </w:pPr>
    </w:p>
    <w:p w14:paraId="69C9E647" w14:textId="6418AFC8" w:rsidR="004B7768" w:rsidRPr="004B7768" w:rsidRDefault="004B7768" w:rsidP="004B7768">
      <w:pPr>
        <w:pStyle w:val="Default"/>
        <w:ind w:left="1134" w:hanging="1134"/>
        <w:jc w:val="both"/>
        <w:rPr>
          <w:sz w:val="22"/>
          <w:szCs w:val="22"/>
          <w:lang w:val="es-CR"/>
        </w:rPr>
      </w:pPr>
      <w:r>
        <w:rPr>
          <w:sz w:val="22"/>
          <w:szCs w:val="22"/>
          <w:lang w:val="es-CR"/>
        </w:rPr>
        <w:t>6.12.0.01</w:t>
      </w:r>
      <w:r>
        <w:rPr>
          <w:sz w:val="22"/>
          <w:szCs w:val="22"/>
          <w:lang w:val="es-CR"/>
        </w:rPr>
        <w:tab/>
      </w:r>
      <w:r w:rsidRPr="004B7768">
        <w:rPr>
          <w:sz w:val="22"/>
          <w:szCs w:val="22"/>
          <w:lang w:val="es-CR"/>
        </w:rPr>
        <w:t xml:space="preserve">Los EEFF se elaborarán con una periodicidad anual, sin perjuicio que la DGCN podrá solicitar informaciones contables intermedias (mensuales, trimestrales, cuatrimestrales, semestrales). </w:t>
      </w:r>
    </w:p>
    <w:p w14:paraId="019412C1" w14:textId="786706EA" w:rsidR="004B7768" w:rsidRPr="004B7768" w:rsidRDefault="004B7768" w:rsidP="004B7768">
      <w:pPr>
        <w:pStyle w:val="Default"/>
        <w:jc w:val="both"/>
        <w:rPr>
          <w:sz w:val="22"/>
          <w:szCs w:val="22"/>
          <w:lang w:val="es-CR"/>
        </w:rPr>
      </w:pPr>
    </w:p>
    <w:p w14:paraId="28A02B3D" w14:textId="046F682D" w:rsidR="004B7768" w:rsidRDefault="004B7768" w:rsidP="004B7768">
      <w:pPr>
        <w:pStyle w:val="Default"/>
        <w:ind w:left="1134" w:hanging="1134"/>
        <w:jc w:val="both"/>
        <w:rPr>
          <w:sz w:val="22"/>
          <w:szCs w:val="22"/>
          <w:lang w:val="es-CR"/>
        </w:rPr>
      </w:pPr>
      <w:r>
        <w:rPr>
          <w:sz w:val="22"/>
          <w:szCs w:val="22"/>
          <w:lang w:val="es-CR"/>
        </w:rPr>
        <w:t>6.12.</w:t>
      </w:r>
      <w:r w:rsidRPr="004B7768">
        <w:rPr>
          <w:sz w:val="22"/>
          <w:szCs w:val="22"/>
          <w:lang w:val="es-CR"/>
        </w:rPr>
        <w:t>1.</w:t>
      </w:r>
      <w:r>
        <w:rPr>
          <w:sz w:val="22"/>
          <w:szCs w:val="22"/>
          <w:lang w:val="es-CR"/>
        </w:rPr>
        <w:t>01</w:t>
      </w:r>
      <w:r>
        <w:rPr>
          <w:sz w:val="22"/>
          <w:szCs w:val="22"/>
          <w:lang w:val="es-CR"/>
        </w:rPr>
        <w:tab/>
      </w:r>
      <w:r w:rsidRPr="004B7768">
        <w:rPr>
          <w:sz w:val="22"/>
          <w:szCs w:val="22"/>
          <w:lang w:val="es-CR"/>
        </w:rPr>
        <w:t xml:space="preserve">El período contable de anualidad se considerará desde el 1 de enero al 31 de diciembre de cada año. </w:t>
      </w:r>
    </w:p>
    <w:p w14:paraId="31779B31" w14:textId="77777777" w:rsidR="004B7768" w:rsidRPr="004B7768" w:rsidRDefault="004B7768" w:rsidP="004B7768">
      <w:pPr>
        <w:pStyle w:val="Default"/>
        <w:ind w:left="1134" w:hanging="1134"/>
        <w:jc w:val="both"/>
        <w:rPr>
          <w:sz w:val="22"/>
          <w:szCs w:val="22"/>
          <w:lang w:val="es-CR"/>
        </w:rPr>
      </w:pPr>
    </w:p>
    <w:p w14:paraId="23A794AF" w14:textId="5B6B1F29" w:rsidR="004B7768" w:rsidRDefault="004B7768" w:rsidP="004B7768">
      <w:pPr>
        <w:pStyle w:val="Default"/>
        <w:ind w:left="1134" w:hanging="1134"/>
        <w:jc w:val="both"/>
        <w:rPr>
          <w:sz w:val="22"/>
          <w:szCs w:val="22"/>
          <w:lang w:val="es-CR"/>
        </w:rPr>
      </w:pPr>
      <w:r>
        <w:rPr>
          <w:sz w:val="22"/>
          <w:szCs w:val="22"/>
          <w:lang w:val="es-CR"/>
        </w:rPr>
        <w:t>6.12.</w:t>
      </w:r>
      <w:r w:rsidRPr="004B7768">
        <w:rPr>
          <w:sz w:val="22"/>
          <w:szCs w:val="22"/>
          <w:lang w:val="es-CR"/>
        </w:rPr>
        <w:t>2.</w:t>
      </w:r>
      <w:r>
        <w:rPr>
          <w:sz w:val="22"/>
          <w:szCs w:val="22"/>
          <w:lang w:val="es-CR"/>
        </w:rPr>
        <w:t>01</w:t>
      </w:r>
      <w:r>
        <w:rPr>
          <w:sz w:val="22"/>
          <w:szCs w:val="22"/>
          <w:lang w:val="es-CR"/>
        </w:rPr>
        <w:tab/>
      </w:r>
      <w:r w:rsidRPr="004B7768">
        <w:rPr>
          <w:sz w:val="22"/>
          <w:szCs w:val="22"/>
          <w:lang w:val="es-CR"/>
        </w:rPr>
        <w:t xml:space="preserve">La periodicidad la determinara la </w:t>
      </w:r>
      <w:r>
        <w:rPr>
          <w:sz w:val="22"/>
          <w:szCs w:val="22"/>
          <w:lang w:val="es-CR"/>
        </w:rPr>
        <w:t>C</w:t>
      </w:r>
      <w:r w:rsidRPr="004B7768">
        <w:rPr>
          <w:sz w:val="22"/>
          <w:szCs w:val="22"/>
          <w:lang w:val="es-CR"/>
        </w:rPr>
        <w:t>ontabilidad Nacional a través de los medios establecidos de comunicación.</w:t>
      </w:r>
    </w:p>
    <w:p w14:paraId="75CD3567" w14:textId="77777777" w:rsidR="004B7768" w:rsidRPr="004B7768" w:rsidRDefault="004B7768" w:rsidP="004B7768">
      <w:pPr>
        <w:pStyle w:val="Default"/>
        <w:ind w:left="1134" w:hanging="1134"/>
        <w:jc w:val="both"/>
        <w:rPr>
          <w:sz w:val="22"/>
          <w:szCs w:val="22"/>
          <w:lang w:val="es-CR"/>
        </w:rPr>
      </w:pPr>
    </w:p>
    <w:p w14:paraId="4D101EEB" w14:textId="67EA137D" w:rsidR="00413A06" w:rsidRDefault="004B7768" w:rsidP="004B7768">
      <w:pPr>
        <w:pStyle w:val="Default"/>
        <w:ind w:left="1134" w:hanging="1134"/>
        <w:jc w:val="both"/>
        <w:rPr>
          <w:sz w:val="22"/>
          <w:szCs w:val="22"/>
          <w:lang w:val="es-CR"/>
        </w:rPr>
      </w:pPr>
      <w:r>
        <w:rPr>
          <w:sz w:val="22"/>
          <w:szCs w:val="22"/>
          <w:lang w:val="es-CR"/>
        </w:rPr>
        <w:t>6.12.</w:t>
      </w:r>
      <w:r w:rsidRPr="004B7768">
        <w:rPr>
          <w:sz w:val="22"/>
          <w:szCs w:val="22"/>
          <w:lang w:val="es-CR"/>
        </w:rPr>
        <w:t>3.</w:t>
      </w:r>
      <w:r>
        <w:rPr>
          <w:sz w:val="22"/>
          <w:szCs w:val="22"/>
          <w:lang w:val="es-CR"/>
        </w:rPr>
        <w:t>01</w:t>
      </w:r>
      <w:r>
        <w:rPr>
          <w:sz w:val="22"/>
          <w:szCs w:val="22"/>
          <w:lang w:val="es-CR"/>
        </w:rPr>
        <w:tab/>
      </w:r>
      <w:r w:rsidRPr="004B7768">
        <w:rPr>
          <w:sz w:val="22"/>
          <w:szCs w:val="22"/>
          <w:lang w:val="es-CR"/>
        </w:rPr>
        <w:t>La DGCN, a través de los procedimientos y las PPC o normativa contable, determinará los diferentes auxiliares a requerir y toda otra información contable intermedia.</w:t>
      </w:r>
    </w:p>
    <w:p w14:paraId="41A978A4" w14:textId="77777777" w:rsidR="0019208A" w:rsidRPr="004B7768" w:rsidRDefault="0019208A" w:rsidP="004B7768">
      <w:pPr>
        <w:pStyle w:val="Default"/>
        <w:ind w:left="1134" w:hanging="1134"/>
        <w:jc w:val="both"/>
        <w:rPr>
          <w:sz w:val="22"/>
          <w:szCs w:val="22"/>
          <w:lang w:val="es-CR"/>
        </w:rPr>
      </w:pPr>
    </w:p>
    <w:p w14:paraId="6B6AFB6B" w14:textId="77777777" w:rsidR="00413A06" w:rsidRDefault="00413A06" w:rsidP="00AD41C7">
      <w:pPr>
        <w:pStyle w:val="Default"/>
        <w:jc w:val="both"/>
        <w:rPr>
          <w:sz w:val="22"/>
          <w:szCs w:val="22"/>
          <w:lang w:val="es-CR"/>
        </w:rPr>
      </w:pPr>
    </w:p>
    <w:p w14:paraId="6B443839" w14:textId="77777777" w:rsidR="009A1449" w:rsidRPr="00AD41C7" w:rsidRDefault="009A1449" w:rsidP="00AD41C7">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88"/>
        <w:gridCol w:w="2253"/>
        <w:gridCol w:w="1855"/>
      </w:tblGrid>
      <w:tr w:rsidR="0019208A" w:rsidRPr="0019208A" w14:paraId="3CB68539" w14:textId="77777777" w:rsidTr="009A1449">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48A6003" w14:textId="77777777" w:rsidR="0019208A" w:rsidRPr="0019208A" w:rsidRDefault="0019208A" w:rsidP="0019208A">
            <w:pPr>
              <w:jc w:val="center"/>
              <w:rPr>
                <w:rFonts w:ascii="Arial Narrow" w:eastAsia="Times New Roman" w:hAnsi="Arial Narrow" w:cs="Calibri"/>
                <w:b/>
                <w:bCs/>
                <w:color w:val="FFFFFF"/>
                <w:sz w:val="22"/>
                <w:szCs w:val="22"/>
              </w:rPr>
            </w:pPr>
            <w:r w:rsidRPr="0019208A">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1B92042C" w14:textId="77777777" w:rsidR="0019208A" w:rsidRPr="0019208A" w:rsidRDefault="0019208A" w:rsidP="0019208A">
            <w:pPr>
              <w:jc w:val="center"/>
              <w:rPr>
                <w:rFonts w:ascii="Arial Narrow" w:eastAsia="Times New Roman" w:hAnsi="Arial Narrow" w:cs="Calibri"/>
                <w:b/>
                <w:bCs/>
                <w:color w:val="FFFFFF"/>
                <w:sz w:val="22"/>
                <w:szCs w:val="22"/>
              </w:rPr>
            </w:pPr>
            <w:r w:rsidRPr="0019208A">
              <w:rPr>
                <w:rFonts w:ascii="Arial Narrow" w:eastAsia="Times New Roman" w:hAnsi="Arial Narrow" w:cs="Calibri"/>
                <w:b/>
                <w:bCs/>
                <w:color w:val="FFFFFF"/>
                <w:sz w:val="22"/>
                <w:szCs w:val="22"/>
              </w:rPr>
              <w:t>Concepto</w:t>
            </w:r>
          </w:p>
        </w:tc>
        <w:tc>
          <w:tcPr>
            <w:tcW w:w="4108" w:type="dxa"/>
            <w:gridSpan w:val="2"/>
            <w:tcBorders>
              <w:top w:val="single" w:sz="8" w:space="0" w:color="auto"/>
              <w:left w:val="nil"/>
              <w:bottom w:val="single" w:sz="8" w:space="0" w:color="auto"/>
              <w:right w:val="single" w:sz="8" w:space="0" w:color="000000"/>
            </w:tcBorders>
            <w:shd w:val="clear" w:color="000000" w:fill="203764"/>
            <w:vAlign w:val="center"/>
            <w:hideMark/>
          </w:tcPr>
          <w:p w14:paraId="4BB6BE7C" w14:textId="77777777" w:rsidR="0019208A" w:rsidRPr="0019208A" w:rsidRDefault="0019208A" w:rsidP="0019208A">
            <w:pPr>
              <w:jc w:val="center"/>
              <w:rPr>
                <w:rFonts w:ascii="Arial Narrow" w:eastAsia="Times New Roman" w:hAnsi="Arial Narrow" w:cs="Calibri"/>
                <w:b/>
                <w:bCs/>
                <w:color w:val="FFFFFF"/>
                <w:sz w:val="22"/>
                <w:szCs w:val="22"/>
              </w:rPr>
            </w:pPr>
            <w:r w:rsidRPr="0019208A">
              <w:rPr>
                <w:rFonts w:ascii="Arial Narrow" w:eastAsia="Times New Roman" w:hAnsi="Arial Narrow" w:cs="Calibri"/>
                <w:b/>
                <w:bCs/>
                <w:color w:val="FFFFFF"/>
                <w:sz w:val="22"/>
                <w:szCs w:val="22"/>
              </w:rPr>
              <w:t>Referencia</w:t>
            </w:r>
          </w:p>
        </w:tc>
      </w:tr>
      <w:tr w:rsidR="0019208A" w:rsidRPr="006E5442" w14:paraId="4C7BD8C3" w14:textId="77777777" w:rsidTr="009A1449">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1219DF2" w14:textId="77777777" w:rsidR="0019208A" w:rsidRPr="0019208A" w:rsidRDefault="0019208A" w:rsidP="0019208A">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41B51645" w14:textId="77777777" w:rsidR="0019208A" w:rsidRPr="0019208A" w:rsidRDefault="0019208A" w:rsidP="0019208A">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5B24283C" w14:textId="77777777" w:rsidR="0019208A" w:rsidRPr="0019208A" w:rsidRDefault="0019208A" w:rsidP="0019208A">
            <w:pPr>
              <w:jc w:val="center"/>
              <w:rPr>
                <w:rFonts w:ascii="Arial Narrow" w:eastAsia="Times New Roman" w:hAnsi="Arial Narrow" w:cs="Calibri"/>
                <w:b/>
                <w:bCs/>
                <w:color w:val="FFFFFF"/>
                <w:sz w:val="22"/>
                <w:szCs w:val="22"/>
              </w:rPr>
            </w:pPr>
            <w:r w:rsidRPr="0019208A">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15287777" w14:textId="77777777" w:rsidR="0019208A" w:rsidRPr="0019208A" w:rsidRDefault="0019208A" w:rsidP="0019208A">
            <w:pPr>
              <w:jc w:val="center"/>
              <w:rPr>
                <w:rFonts w:ascii="Arial Narrow" w:eastAsia="Times New Roman" w:hAnsi="Arial Narrow" w:cs="Calibri"/>
                <w:b/>
                <w:bCs/>
                <w:color w:val="FFFFFF"/>
                <w:sz w:val="22"/>
                <w:szCs w:val="22"/>
                <w:lang w:val="es-CR"/>
              </w:rPr>
            </w:pPr>
            <w:r w:rsidRPr="0019208A">
              <w:rPr>
                <w:rFonts w:ascii="Arial Narrow" w:eastAsia="Times New Roman" w:hAnsi="Arial Narrow" w:cs="Calibri"/>
                <w:b/>
                <w:bCs/>
                <w:color w:val="FFFFFF"/>
                <w:sz w:val="22"/>
                <w:szCs w:val="22"/>
                <w:lang w:val="es-CR"/>
              </w:rPr>
              <w:t>Normativa técnica y disposiciones adicionales</w:t>
            </w:r>
          </w:p>
        </w:tc>
      </w:tr>
      <w:tr w:rsidR="0019208A" w:rsidRPr="0019208A" w14:paraId="0D33C586" w14:textId="77777777" w:rsidTr="009A1449">
        <w:trPr>
          <w:trHeight w:val="60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378416" w14:textId="77777777" w:rsidR="0019208A" w:rsidRPr="0019208A" w:rsidRDefault="0019208A" w:rsidP="0019208A">
            <w:pPr>
              <w:jc w:val="center"/>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AD31243" w14:textId="77777777" w:rsidR="0019208A" w:rsidRPr="0019208A" w:rsidRDefault="0019208A" w:rsidP="0019208A">
            <w:pPr>
              <w:jc w:val="center"/>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13</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E707F1C" w14:textId="77777777" w:rsidR="0019208A" w:rsidRPr="0019208A" w:rsidRDefault="0019208A" w:rsidP="0019208A">
            <w:pPr>
              <w:jc w:val="center"/>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 xml:space="preserve">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6CC94F27" w14:textId="77777777" w:rsidR="0019208A" w:rsidRPr="0019208A" w:rsidRDefault="0019208A" w:rsidP="0019208A">
            <w:pPr>
              <w:jc w:val="both"/>
              <w:rPr>
                <w:rFonts w:ascii="Arial Narrow" w:eastAsia="Times New Roman" w:hAnsi="Arial Narrow" w:cs="Calibri"/>
                <w:b/>
                <w:bCs/>
                <w:color w:val="000000"/>
                <w:sz w:val="22"/>
                <w:szCs w:val="22"/>
                <w:lang w:val="es-CR"/>
              </w:rPr>
            </w:pPr>
            <w:r w:rsidRPr="0019208A">
              <w:rPr>
                <w:rFonts w:ascii="Arial Narrow" w:eastAsia="Times New Roman" w:hAnsi="Arial Narrow" w:cs="Calibri"/>
                <w:b/>
                <w:bCs/>
                <w:color w:val="000000"/>
                <w:sz w:val="22"/>
                <w:szCs w:val="22"/>
                <w:lang w:val="es-CR"/>
              </w:rPr>
              <w:t>Hechos ocurridos después de la fecha sobre la que se informa</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629085E8" w14:textId="77777777" w:rsidR="009A1449" w:rsidRDefault="0019208A" w:rsidP="0019208A">
            <w:pPr>
              <w:jc w:val="both"/>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NICSP N° 14,</w:t>
            </w:r>
          </w:p>
          <w:p w14:paraId="01EE8049" w14:textId="0FA5B153" w:rsidR="0019208A" w:rsidRPr="0019208A" w:rsidRDefault="009A1449" w:rsidP="0019208A">
            <w:pPr>
              <w:jc w:val="both"/>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P</w:t>
            </w:r>
            <w:r w:rsidR="0019208A" w:rsidRPr="0019208A">
              <w:rPr>
                <w:rFonts w:ascii="Arial Narrow" w:eastAsia="Times New Roman" w:hAnsi="Arial Narrow" w:cs="Calibri"/>
                <w:b/>
                <w:bCs/>
                <w:color w:val="000000"/>
                <w:sz w:val="22"/>
                <w:szCs w:val="22"/>
              </w:rPr>
              <w:t>árrafo 5.</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35BC2066" w14:textId="77777777" w:rsidR="0019208A" w:rsidRPr="0019208A" w:rsidRDefault="0019208A" w:rsidP="0019208A">
            <w:pPr>
              <w:jc w:val="center"/>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 xml:space="preserve"> </w:t>
            </w:r>
          </w:p>
        </w:tc>
      </w:tr>
    </w:tbl>
    <w:p w14:paraId="5B84FF8B" w14:textId="77777777" w:rsidR="00413A06" w:rsidRDefault="00413A06" w:rsidP="00AD41C7">
      <w:pPr>
        <w:pStyle w:val="Default"/>
        <w:jc w:val="both"/>
        <w:rPr>
          <w:sz w:val="22"/>
          <w:szCs w:val="22"/>
          <w:lang w:val="es-CR"/>
        </w:rPr>
      </w:pPr>
    </w:p>
    <w:p w14:paraId="19610533" w14:textId="77777777" w:rsidR="009A1449" w:rsidRDefault="009A1449" w:rsidP="009A1449">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6E4FA3F" w14:textId="77777777" w:rsidR="009A1449" w:rsidRPr="00AD41C7" w:rsidRDefault="009A1449" w:rsidP="00AD41C7">
      <w:pPr>
        <w:pStyle w:val="Default"/>
        <w:jc w:val="both"/>
        <w:rPr>
          <w:sz w:val="22"/>
          <w:szCs w:val="22"/>
          <w:lang w:val="es-CR"/>
        </w:rPr>
      </w:pPr>
    </w:p>
    <w:p w14:paraId="078C97CB" w14:textId="488C65C5" w:rsidR="0019208A" w:rsidRDefault="0019208A" w:rsidP="0019208A">
      <w:pPr>
        <w:pStyle w:val="Default"/>
        <w:ind w:left="1134" w:hanging="1134"/>
        <w:jc w:val="both"/>
        <w:rPr>
          <w:sz w:val="22"/>
          <w:szCs w:val="22"/>
          <w:lang w:val="es-CR"/>
        </w:rPr>
      </w:pPr>
      <w:r>
        <w:rPr>
          <w:sz w:val="22"/>
          <w:szCs w:val="22"/>
          <w:lang w:val="es-CR"/>
        </w:rPr>
        <w:t>6.13.0.01</w:t>
      </w:r>
      <w:r>
        <w:rPr>
          <w:sz w:val="22"/>
          <w:szCs w:val="22"/>
          <w:lang w:val="es-CR"/>
        </w:rPr>
        <w:tab/>
      </w:r>
      <w:r w:rsidRPr="0019208A">
        <w:rPr>
          <w:sz w:val="22"/>
          <w:szCs w:val="22"/>
          <w:lang w:val="es-CR"/>
        </w:rPr>
        <w:t>Son todos aquellos sucesos, ya sean favorables o desfavorables, que se han producido entre la fecha sobre la que se informa y la fecha de autorización de los EEFF para su emisión.</w:t>
      </w:r>
    </w:p>
    <w:p w14:paraId="3A5343DE" w14:textId="77777777" w:rsidR="0019208A" w:rsidRPr="0019208A" w:rsidRDefault="0019208A" w:rsidP="0019208A">
      <w:pPr>
        <w:pStyle w:val="Default"/>
        <w:ind w:left="1134" w:hanging="1134"/>
        <w:jc w:val="both"/>
        <w:rPr>
          <w:sz w:val="22"/>
          <w:szCs w:val="22"/>
          <w:lang w:val="es-CR"/>
        </w:rPr>
      </w:pPr>
    </w:p>
    <w:p w14:paraId="37A80430" w14:textId="3A1145DA" w:rsidR="0019208A" w:rsidRDefault="0019208A" w:rsidP="0019208A">
      <w:pPr>
        <w:pStyle w:val="Default"/>
        <w:ind w:left="1134" w:hanging="1134"/>
        <w:jc w:val="both"/>
        <w:rPr>
          <w:sz w:val="22"/>
          <w:szCs w:val="22"/>
          <w:lang w:val="es-CR"/>
        </w:rPr>
      </w:pPr>
      <w:r>
        <w:rPr>
          <w:sz w:val="22"/>
          <w:szCs w:val="22"/>
          <w:lang w:val="es-CR"/>
        </w:rPr>
        <w:t>6.13.0.02</w:t>
      </w:r>
      <w:r>
        <w:rPr>
          <w:sz w:val="22"/>
          <w:szCs w:val="22"/>
          <w:lang w:val="es-CR"/>
        </w:rPr>
        <w:tab/>
      </w:r>
      <w:r w:rsidRPr="0019208A">
        <w:rPr>
          <w:sz w:val="22"/>
          <w:szCs w:val="22"/>
          <w:lang w:val="es-CR"/>
        </w:rPr>
        <w:t>Pueden identificarse dos tipos de tales sucesos:</w:t>
      </w:r>
    </w:p>
    <w:p w14:paraId="0D37BB91" w14:textId="77777777" w:rsidR="009A1449" w:rsidRPr="0019208A" w:rsidRDefault="009A1449" w:rsidP="0019208A">
      <w:pPr>
        <w:pStyle w:val="Default"/>
        <w:ind w:left="1134" w:hanging="1134"/>
        <w:jc w:val="both"/>
        <w:rPr>
          <w:sz w:val="22"/>
          <w:szCs w:val="22"/>
          <w:lang w:val="es-CR"/>
        </w:rPr>
      </w:pPr>
    </w:p>
    <w:p w14:paraId="43B57D2E" w14:textId="7A4F2CC3" w:rsidR="0019208A" w:rsidRPr="0019208A" w:rsidRDefault="0019208A">
      <w:pPr>
        <w:pStyle w:val="Default"/>
        <w:numPr>
          <w:ilvl w:val="0"/>
          <w:numId w:val="324"/>
        </w:numPr>
        <w:spacing w:after="120"/>
        <w:ind w:left="1418" w:hanging="284"/>
        <w:jc w:val="both"/>
        <w:rPr>
          <w:sz w:val="22"/>
          <w:szCs w:val="22"/>
          <w:lang w:val="es-CR"/>
        </w:rPr>
      </w:pPr>
      <w:r>
        <w:rPr>
          <w:sz w:val="22"/>
          <w:szCs w:val="22"/>
          <w:lang w:val="es-CR"/>
        </w:rPr>
        <w:t>A</w:t>
      </w:r>
      <w:r w:rsidRPr="0019208A">
        <w:rPr>
          <w:sz w:val="22"/>
          <w:szCs w:val="22"/>
          <w:lang w:val="es-CR"/>
        </w:rPr>
        <w:t xml:space="preserve">quellos que suministran evidencia de condiciones que ya existían en la fecha sobre la que se informa (hechos posteriores a la fecha sobre la que se informa que implican ajuste); y </w:t>
      </w:r>
    </w:p>
    <w:p w14:paraId="24901C17" w14:textId="78AD7E07" w:rsidR="0019208A" w:rsidRPr="0019208A" w:rsidRDefault="0019208A">
      <w:pPr>
        <w:pStyle w:val="Default"/>
        <w:numPr>
          <w:ilvl w:val="0"/>
          <w:numId w:val="324"/>
        </w:numPr>
        <w:ind w:left="1418" w:hanging="284"/>
        <w:jc w:val="both"/>
        <w:rPr>
          <w:sz w:val="22"/>
          <w:szCs w:val="22"/>
          <w:lang w:val="es-CR"/>
        </w:rPr>
      </w:pPr>
      <w:r>
        <w:rPr>
          <w:sz w:val="22"/>
          <w:szCs w:val="22"/>
          <w:lang w:val="es-CR"/>
        </w:rPr>
        <w:t>A</w:t>
      </w:r>
      <w:r w:rsidRPr="0019208A">
        <w:rPr>
          <w:sz w:val="22"/>
          <w:szCs w:val="22"/>
          <w:lang w:val="es-CR"/>
        </w:rPr>
        <w:t xml:space="preserve">quellos que son indicativos de condiciones que han aparecido después de la fecha sobre la que se informa (hechos posteriores a la fecha sobre la que se informa que no implican ajuste). </w:t>
      </w:r>
    </w:p>
    <w:p w14:paraId="464031BB" w14:textId="77777777" w:rsidR="00413A06" w:rsidRPr="00AD41C7" w:rsidRDefault="00413A06" w:rsidP="00AD41C7">
      <w:pPr>
        <w:pStyle w:val="Default"/>
        <w:jc w:val="both"/>
        <w:rPr>
          <w:sz w:val="22"/>
          <w:szCs w:val="22"/>
          <w:lang w:val="es-CR"/>
        </w:rPr>
      </w:pPr>
    </w:p>
    <w:p w14:paraId="26DBEC27" w14:textId="77D5E0E3" w:rsidR="00413A06" w:rsidRPr="00AD41C7" w:rsidRDefault="0019208A" w:rsidP="0019208A">
      <w:pPr>
        <w:pStyle w:val="Default"/>
        <w:ind w:left="1276"/>
        <w:jc w:val="both"/>
        <w:rPr>
          <w:sz w:val="22"/>
          <w:szCs w:val="22"/>
          <w:lang w:val="es-CR"/>
        </w:rPr>
      </w:pPr>
      <w:r w:rsidRPr="0019208A">
        <w:rPr>
          <w:noProof/>
          <w:sz w:val="22"/>
          <w:szCs w:val="22"/>
          <w:lang w:val="es-CR" w:eastAsia="es-CR"/>
        </w:rPr>
        <w:drawing>
          <wp:inline distT="0" distB="0" distL="0" distR="0" wp14:anchorId="63214B90" wp14:editId="03C1658F">
            <wp:extent cx="5085470" cy="1304322"/>
            <wp:effectExtent l="0" t="0" r="1270" b="0"/>
            <wp:docPr id="1417643092" name="Picture 1" descr="A blue and white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43092" name="Picture 1" descr="A blue and white rectangular sign&#10;&#10;Description automatically generated"/>
                    <pic:cNvPicPr/>
                  </pic:nvPicPr>
                  <pic:blipFill>
                    <a:blip r:embed="rId8"/>
                    <a:stretch>
                      <a:fillRect/>
                    </a:stretch>
                  </pic:blipFill>
                  <pic:spPr>
                    <a:xfrm>
                      <a:off x="0" y="0"/>
                      <a:ext cx="5135688" cy="1317202"/>
                    </a:xfrm>
                    <a:prstGeom prst="rect">
                      <a:avLst/>
                    </a:prstGeom>
                  </pic:spPr>
                </pic:pic>
              </a:graphicData>
            </a:graphic>
          </wp:inline>
        </w:drawing>
      </w:r>
    </w:p>
    <w:p w14:paraId="2A1DE08F" w14:textId="77777777" w:rsidR="00413A06" w:rsidRPr="00AD41C7" w:rsidRDefault="00413A06" w:rsidP="00AD41C7">
      <w:pPr>
        <w:pStyle w:val="Default"/>
        <w:jc w:val="both"/>
        <w:rPr>
          <w:sz w:val="22"/>
          <w:szCs w:val="22"/>
          <w:lang w:val="es-CR"/>
        </w:rPr>
      </w:pPr>
    </w:p>
    <w:p w14:paraId="47BC7E94" w14:textId="77777777" w:rsidR="00413A06" w:rsidRPr="00AD41C7" w:rsidRDefault="00413A06" w:rsidP="00AD41C7">
      <w:pPr>
        <w:pStyle w:val="Default"/>
        <w:jc w:val="both"/>
        <w:rPr>
          <w:sz w:val="22"/>
          <w:szCs w:val="22"/>
          <w:lang w:val="es-CR"/>
        </w:rPr>
      </w:pPr>
    </w:p>
    <w:tbl>
      <w:tblPr>
        <w:tblW w:w="9377" w:type="dxa"/>
        <w:tblLook w:val="04A0" w:firstRow="1" w:lastRow="0" w:firstColumn="1" w:lastColumn="0" w:noHBand="0" w:noVBand="1"/>
      </w:tblPr>
      <w:tblGrid>
        <w:gridCol w:w="416"/>
        <w:gridCol w:w="708"/>
        <w:gridCol w:w="422"/>
        <w:gridCol w:w="14"/>
        <w:gridCol w:w="3674"/>
        <w:gridCol w:w="14"/>
        <w:gridCol w:w="2239"/>
        <w:gridCol w:w="14"/>
        <w:gridCol w:w="1862"/>
        <w:gridCol w:w="14"/>
      </w:tblGrid>
      <w:tr w:rsidR="0019208A" w:rsidRPr="0019208A" w14:paraId="2244E846" w14:textId="77777777" w:rsidTr="009A1449">
        <w:trPr>
          <w:trHeight w:val="300"/>
        </w:trPr>
        <w:tc>
          <w:tcPr>
            <w:tcW w:w="1560"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08E6D37" w14:textId="77777777" w:rsidR="0019208A" w:rsidRPr="0019208A" w:rsidRDefault="0019208A" w:rsidP="0019208A">
            <w:pPr>
              <w:jc w:val="center"/>
              <w:rPr>
                <w:rFonts w:ascii="Arial Narrow" w:eastAsia="Times New Roman" w:hAnsi="Arial Narrow" w:cs="Calibri"/>
                <w:b/>
                <w:bCs/>
                <w:color w:val="FFFFFF"/>
                <w:sz w:val="22"/>
                <w:szCs w:val="22"/>
              </w:rPr>
            </w:pPr>
            <w:r w:rsidRPr="0019208A">
              <w:rPr>
                <w:rFonts w:ascii="Arial Narrow" w:eastAsia="Times New Roman" w:hAnsi="Arial Narrow" w:cs="Calibri"/>
                <w:b/>
                <w:bCs/>
                <w:color w:val="FFFFFF"/>
                <w:sz w:val="22"/>
                <w:szCs w:val="22"/>
              </w:rPr>
              <w:t>Norma / Política</w:t>
            </w:r>
          </w:p>
        </w:tc>
        <w:tc>
          <w:tcPr>
            <w:tcW w:w="3688"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300AF18" w14:textId="77777777" w:rsidR="0019208A" w:rsidRPr="0019208A" w:rsidRDefault="0019208A" w:rsidP="0019208A">
            <w:pPr>
              <w:jc w:val="center"/>
              <w:rPr>
                <w:rFonts w:ascii="Arial Narrow" w:eastAsia="Times New Roman" w:hAnsi="Arial Narrow" w:cs="Calibri"/>
                <w:b/>
                <w:bCs/>
                <w:color w:val="FFFFFF"/>
                <w:sz w:val="22"/>
                <w:szCs w:val="22"/>
              </w:rPr>
            </w:pPr>
            <w:r w:rsidRPr="0019208A">
              <w:rPr>
                <w:rFonts w:ascii="Arial Narrow" w:eastAsia="Times New Roman" w:hAnsi="Arial Narrow" w:cs="Calibri"/>
                <w:b/>
                <w:bCs/>
                <w:color w:val="FFFFFF"/>
                <w:sz w:val="22"/>
                <w:szCs w:val="22"/>
              </w:rPr>
              <w:t>Concepto</w:t>
            </w:r>
          </w:p>
        </w:tc>
        <w:tc>
          <w:tcPr>
            <w:tcW w:w="4129" w:type="dxa"/>
            <w:gridSpan w:val="4"/>
            <w:tcBorders>
              <w:top w:val="single" w:sz="8" w:space="0" w:color="auto"/>
              <w:left w:val="nil"/>
              <w:bottom w:val="single" w:sz="8" w:space="0" w:color="auto"/>
              <w:right w:val="single" w:sz="8" w:space="0" w:color="000000"/>
            </w:tcBorders>
            <w:shd w:val="clear" w:color="000000" w:fill="203764"/>
            <w:vAlign w:val="center"/>
            <w:hideMark/>
          </w:tcPr>
          <w:p w14:paraId="5C4A1CEF" w14:textId="77777777" w:rsidR="0019208A" w:rsidRPr="0019208A" w:rsidRDefault="0019208A" w:rsidP="0019208A">
            <w:pPr>
              <w:jc w:val="center"/>
              <w:rPr>
                <w:rFonts w:ascii="Arial Narrow" w:eastAsia="Times New Roman" w:hAnsi="Arial Narrow" w:cs="Calibri"/>
                <w:b/>
                <w:bCs/>
                <w:color w:val="FFFFFF"/>
                <w:sz w:val="22"/>
                <w:szCs w:val="22"/>
              </w:rPr>
            </w:pPr>
            <w:r w:rsidRPr="0019208A">
              <w:rPr>
                <w:rFonts w:ascii="Arial Narrow" w:eastAsia="Times New Roman" w:hAnsi="Arial Narrow" w:cs="Calibri"/>
                <w:b/>
                <w:bCs/>
                <w:color w:val="FFFFFF"/>
                <w:sz w:val="22"/>
                <w:szCs w:val="22"/>
              </w:rPr>
              <w:t>Referencia</w:t>
            </w:r>
          </w:p>
        </w:tc>
      </w:tr>
      <w:tr w:rsidR="0019208A" w:rsidRPr="006E5442" w14:paraId="2C26F367" w14:textId="77777777" w:rsidTr="009A1449">
        <w:trPr>
          <w:trHeight w:val="850"/>
        </w:trPr>
        <w:tc>
          <w:tcPr>
            <w:tcW w:w="1560" w:type="dxa"/>
            <w:gridSpan w:val="4"/>
            <w:vMerge/>
            <w:tcBorders>
              <w:top w:val="single" w:sz="8" w:space="0" w:color="auto"/>
              <w:left w:val="single" w:sz="8" w:space="0" w:color="auto"/>
              <w:bottom w:val="nil"/>
              <w:right w:val="single" w:sz="8" w:space="0" w:color="000000"/>
            </w:tcBorders>
            <w:vAlign w:val="center"/>
            <w:hideMark/>
          </w:tcPr>
          <w:p w14:paraId="488F8B0A" w14:textId="77777777" w:rsidR="0019208A" w:rsidRPr="0019208A" w:rsidRDefault="0019208A" w:rsidP="0019208A">
            <w:pPr>
              <w:rPr>
                <w:rFonts w:ascii="Arial Narrow" w:eastAsia="Times New Roman" w:hAnsi="Arial Narrow" w:cs="Calibri"/>
                <w:b/>
                <w:bCs/>
                <w:color w:val="FFFFFF"/>
                <w:sz w:val="22"/>
                <w:szCs w:val="22"/>
              </w:rPr>
            </w:pPr>
          </w:p>
        </w:tc>
        <w:tc>
          <w:tcPr>
            <w:tcW w:w="3688" w:type="dxa"/>
            <w:gridSpan w:val="2"/>
            <w:vMerge/>
            <w:tcBorders>
              <w:top w:val="single" w:sz="8" w:space="0" w:color="auto"/>
              <w:left w:val="single" w:sz="8" w:space="0" w:color="auto"/>
              <w:bottom w:val="nil"/>
              <w:right w:val="single" w:sz="8" w:space="0" w:color="auto"/>
            </w:tcBorders>
            <w:vAlign w:val="center"/>
            <w:hideMark/>
          </w:tcPr>
          <w:p w14:paraId="45D5CEA8" w14:textId="77777777" w:rsidR="0019208A" w:rsidRPr="0019208A" w:rsidRDefault="0019208A" w:rsidP="0019208A">
            <w:pPr>
              <w:rPr>
                <w:rFonts w:ascii="Arial Narrow" w:eastAsia="Times New Roman" w:hAnsi="Arial Narrow" w:cs="Calibri"/>
                <w:b/>
                <w:bCs/>
                <w:color w:val="FFFFFF"/>
                <w:sz w:val="22"/>
                <w:szCs w:val="22"/>
              </w:rPr>
            </w:pPr>
          </w:p>
        </w:tc>
        <w:tc>
          <w:tcPr>
            <w:tcW w:w="2253" w:type="dxa"/>
            <w:gridSpan w:val="2"/>
            <w:tcBorders>
              <w:top w:val="nil"/>
              <w:left w:val="nil"/>
              <w:bottom w:val="nil"/>
              <w:right w:val="single" w:sz="8" w:space="0" w:color="auto"/>
            </w:tcBorders>
            <w:shd w:val="clear" w:color="000000" w:fill="203764"/>
            <w:vAlign w:val="center"/>
            <w:hideMark/>
          </w:tcPr>
          <w:p w14:paraId="3665DC92" w14:textId="77777777" w:rsidR="0019208A" w:rsidRPr="0019208A" w:rsidRDefault="0019208A" w:rsidP="0019208A">
            <w:pPr>
              <w:jc w:val="center"/>
              <w:rPr>
                <w:rFonts w:ascii="Arial Narrow" w:eastAsia="Times New Roman" w:hAnsi="Arial Narrow" w:cs="Calibri"/>
                <w:b/>
                <w:bCs/>
                <w:color w:val="FFFFFF"/>
                <w:sz w:val="22"/>
                <w:szCs w:val="22"/>
              </w:rPr>
            </w:pPr>
            <w:r w:rsidRPr="0019208A">
              <w:rPr>
                <w:rFonts w:ascii="Arial Narrow" w:eastAsia="Times New Roman" w:hAnsi="Arial Narrow" w:cs="Calibri"/>
                <w:b/>
                <w:bCs/>
                <w:color w:val="FFFFFF"/>
                <w:sz w:val="22"/>
                <w:szCs w:val="22"/>
              </w:rPr>
              <w:t>Norma</w:t>
            </w:r>
          </w:p>
        </w:tc>
        <w:tc>
          <w:tcPr>
            <w:tcW w:w="1876" w:type="dxa"/>
            <w:gridSpan w:val="2"/>
            <w:tcBorders>
              <w:top w:val="nil"/>
              <w:left w:val="nil"/>
              <w:bottom w:val="nil"/>
              <w:right w:val="single" w:sz="8" w:space="0" w:color="auto"/>
            </w:tcBorders>
            <w:shd w:val="clear" w:color="000000" w:fill="203764"/>
            <w:vAlign w:val="center"/>
            <w:hideMark/>
          </w:tcPr>
          <w:p w14:paraId="7CCBA933" w14:textId="77777777" w:rsidR="0019208A" w:rsidRPr="0019208A" w:rsidRDefault="0019208A" w:rsidP="0019208A">
            <w:pPr>
              <w:jc w:val="center"/>
              <w:rPr>
                <w:rFonts w:ascii="Arial Narrow" w:eastAsia="Times New Roman" w:hAnsi="Arial Narrow" w:cs="Calibri"/>
                <w:b/>
                <w:bCs/>
                <w:color w:val="FFFFFF"/>
                <w:sz w:val="22"/>
                <w:szCs w:val="22"/>
                <w:lang w:val="es-CR"/>
              </w:rPr>
            </w:pPr>
            <w:r w:rsidRPr="0019208A">
              <w:rPr>
                <w:rFonts w:ascii="Arial Narrow" w:eastAsia="Times New Roman" w:hAnsi="Arial Narrow" w:cs="Calibri"/>
                <w:b/>
                <w:bCs/>
                <w:color w:val="FFFFFF"/>
                <w:sz w:val="22"/>
                <w:szCs w:val="22"/>
                <w:lang w:val="es-CR"/>
              </w:rPr>
              <w:t>Normativa técnica y disposiciones adicionales</w:t>
            </w:r>
          </w:p>
        </w:tc>
      </w:tr>
      <w:tr w:rsidR="0019208A" w:rsidRPr="006E5442" w14:paraId="707A23D0" w14:textId="77777777" w:rsidTr="009A1449">
        <w:trPr>
          <w:gridAfter w:val="1"/>
          <w:wAfter w:w="14" w:type="dxa"/>
          <w:trHeight w:val="94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548338" w14:textId="77777777" w:rsidR="0019208A" w:rsidRPr="0019208A" w:rsidRDefault="0019208A" w:rsidP="0019208A">
            <w:pPr>
              <w:jc w:val="center"/>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E3ADC26" w14:textId="77777777" w:rsidR="0019208A" w:rsidRPr="0019208A" w:rsidRDefault="0019208A" w:rsidP="0019208A">
            <w:pPr>
              <w:jc w:val="center"/>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14</w:t>
            </w:r>
          </w:p>
        </w:tc>
        <w:tc>
          <w:tcPr>
            <w:tcW w:w="422" w:type="dxa"/>
            <w:tcBorders>
              <w:top w:val="single" w:sz="8" w:space="0" w:color="auto"/>
              <w:left w:val="nil"/>
              <w:bottom w:val="single" w:sz="8" w:space="0" w:color="auto"/>
              <w:right w:val="single" w:sz="8" w:space="0" w:color="auto"/>
            </w:tcBorders>
            <w:shd w:val="clear" w:color="auto" w:fill="auto"/>
            <w:vAlign w:val="center"/>
            <w:hideMark/>
          </w:tcPr>
          <w:p w14:paraId="131C91B9" w14:textId="77777777" w:rsidR="0019208A" w:rsidRPr="0019208A" w:rsidRDefault="0019208A" w:rsidP="0019208A">
            <w:pPr>
              <w:jc w:val="center"/>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 xml:space="preserve"> </w:t>
            </w:r>
          </w:p>
        </w:tc>
        <w:tc>
          <w:tcPr>
            <w:tcW w:w="3688" w:type="dxa"/>
            <w:gridSpan w:val="2"/>
            <w:tcBorders>
              <w:top w:val="single" w:sz="8" w:space="0" w:color="auto"/>
              <w:left w:val="nil"/>
              <w:bottom w:val="single" w:sz="8" w:space="0" w:color="auto"/>
              <w:right w:val="single" w:sz="8" w:space="0" w:color="auto"/>
            </w:tcBorders>
            <w:shd w:val="clear" w:color="auto" w:fill="auto"/>
            <w:vAlign w:val="center"/>
            <w:hideMark/>
          </w:tcPr>
          <w:p w14:paraId="4A0F199C" w14:textId="77777777" w:rsidR="0019208A" w:rsidRPr="0019208A" w:rsidRDefault="0019208A" w:rsidP="0019208A">
            <w:pPr>
              <w:jc w:val="both"/>
              <w:rPr>
                <w:rFonts w:ascii="Arial Narrow" w:eastAsia="Times New Roman" w:hAnsi="Arial Narrow" w:cs="Calibri"/>
                <w:b/>
                <w:bCs/>
                <w:color w:val="000000"/>
                <w:sz w:val="22"/>
                <w:szCs w:val="22"/>
                <w:lang w:val="es-CR"/>
              </w:rPr>
            </w:pPr>
            <w:r w:rsidRPr="0019208A">
              <w:rPr>
                <w:rFonts w:ascii="Arial Narrow" w:eastAsia="Times New Roman" w:hAnsi="Arial Narrow" w:cs="Calibri"/>
                <w:b/>
                <w:bCs/>
                <w:color w:val="000000"/>
                <w:sz w:val="22"/>
                <w:szCs w:val="22"/>
                <w:lang w:val="es-CR"/>
              </w:rPr>
              <w:t>Fecha en la que se autoriza su emisión</w:t>
            </w:r>
          </w:p>
        </w:tc>
        <w:tc>
          <w:tcPr>
            <w:tcW w:w="2253" w:type="dxa"/>
            <w:gridSpan w:val="2"/>
            <w:tcBorders>
              <w:top w:val="single" w:sz="8" w:space="0" w:color="auto"/>
              <w:left w:val="nil"/>
              <w:bottom w:val="single" w:sz="8" w:space="0" w:color="auto"/>
              <w:right w:val="single" w:sz="8" w:space="0" w:color="auto"/>
            </w:tcBorders>
            <w:shd w:val="clear" w:color="auto" w:fill="auto"/>
            <w:vAlign w:val="center"/>
            <w:hideMark/>
          </w:tcPr>
          <w:p w14:paraId="57BC6676" w14:textId="77777777" w:rsidR="009A1449" w:rsidRDefault="0019208A" w:rsidP="0019208A">
            <w:pPr>
              <w:jc w:val="both"/>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NICSP N° 14,</w:t>
            </w:r>
          </w:p>
          <w:p w14:paraId="40564060" w14:textId="22F979A5" w:rsidR="0019208A" w:rsidRPr="0019208A" w:rsidRDefault="0019208A" w:rsidP="0019208A">
            <w:pPr>
              <w:jc w:val="both"/>
              <w:rPr>
                <w:rFonts w:ascii="Arial Narrow" w:eastAsia="Times New Roman" w:hAnsi="Arial Narrow" w:cs="Calibri"/>
                <w:b/>
                <w:bCs/>
                <w:color w:val="000000"/>
                <w:sz w:val="22"/>
                <w:szCs w:val="22"/>
              </w:rPr>
            </w:pPr>
            <w:r w:rsidRPr="0019208A">
              <w:rPr>
                <w:rFonts w:ascii="Arial Narrow" w:eastAsia="Times New Roman" w:hAnsi="Arial Narrow" w:cs="Calibri"/>
                <w:b/>
                <w:bCs/>
                <w:color w:val="000000"/>
                <w:sz w:val="22"/>
                <w:szCs w:val="22"/>
              </w:rPr>
              <w:t>Párrafo 6.</w:t>
            </w:r>
          </w:p>
        </w:tc>
        <w:tc>
          <w:tcPr>
            <w:tcW w:w="1876" w:type="dxa"/>
            <w:gridSpan w:val="2"/>
            <w:tcBorders>
              <w:top w:val="single" w:sz="8" w:space="0" w:color="auto"/>
              <w:left w:val="nil"/>
              <w:bottom w:val="single" w:sz="8" w:space="0" w:color="auto"/>
              <w:right w:val="single" w:sz="8" w:space="0" w:color="auto"/>
            </w:tcBorders>
            <w:shd w:val="clear" w:color="auto" w:fill="auto"/>
            <w:vAlign w:val="center"/>
            <w:hideMark/>
          </w:tcPr>
          <w:p w14:paraId="47F08063" w14:textId="77777777" w:rsidR="0019208A" w:rsidRPr="0019208A" w:rsidRDefault="0019208A" w:rsidP="009A1449">
            <w:pPr>
              <w:jc w:val="both"/>
              <w:rPr>
                <w:rFonts w:ascii="Arial Narrow" w:eastAsia="Times New Roman" w:hAnsi="Arial Narrow" w:cs="Calibri"/>
                <w:b/>
                <w:bCs/>
                <w:color w:val="000000"/>
                <w:sz w:val="22"/>
                <w:szCs w:val="22"/>
                <w:lang w:val="es-CR"/>
              </w:rPr>
            </w:pPr>
            <w:r w:rsidRPr="0019208A">
              <w:rPr>
                <w:rFonts w:ascii="Arial Narrow" w:eastAsia="Times New Roman" w:hAnsi="Arial Narrow" w:cs="Calibri"/>
                <w:b/>
                <w:bCs/>
                <w:color w:val="000000"/>
                <w:sz w:val="22"/>
                <w:szCs w:val="22"/>
                <w:lang w:val="es-CR"/>
              </w:rPr>
              <w:t xml:space="preserve">LAFRPP y su Reglamento </w:t>
            </w:r>
            <w:r w:rsidRPr="0019208A">
              <w:rPr>
                <w:rFonts w:ascii="Arial Narrow" w:eastAsia="Times New Roman" w:hAnsi="Arial Narrow" w:cs="Calibri"/>
                <w:b/>
                <w:bCs/>
                <w:color w:val="000000"/>
                <w:sz w:val="22"/>
                <w:szCs w:val="22"/>
                <w:lang w:val="es-CR"/>
              </w:rPr>
              <w:br/>
              <w:t xml:space="preserve">R-CO-8-2007 de la CGR </w:t>
            </w:r>
          </w:p>
        </w:tc>
      </w:tr>
    </w:tbl>
    <w:p w14:paraId="296DB3A7" w14:textId="77777777" w:rsidR="00413A06" w:rsidRDefault="00413A06" w:rsidP="00AD41C7">
      <w:pPr>
        <w:pStyle w:val="Default"/>
        <w:jc w:val="both"/>
        <w:rPr>
          <w:sz w:val="22"/>
          <w:szCs w:val="22"/>
          <w:lang w:val="es-CR"/>
        </w:rPr>
      </w:pPr>
    </w:p>
    <w:p w14:paraId="534F88FD" w14:textId="1FCAA663" w:rsidR="00812C12" w:rsidRPr="0030399E" w:rsidRDefault="00812C12" w:rsidP="00812C12">
      <w:pPr>
        <w:pStyle w:val="Default"/>
        <w:ind w:left="1134" w:hanging="1134"/>
        <w:jc w:val="both"/>
        <w:rPr>
          <w:rFonts w:eastAsia="Arial"/>
          <w:b/>
          <w:sz w:val="22"/>
          <w:szCs w:val="22"/>
          <w:lang w:val="es-CR"/>
        </w:rPr>
      </w:pPr>
      <w:r w:rsidRPr="0030399E">
        <w:rPr>
          <w:rFonts w:eastAsia="Arial"/>
          <w:b/>
          <w:sz w:val="22"/>
          <w:szCs w:val="22"/>
          <w:lang w:val="es-CR"/>
        </w:rPr>
        <w:t>Política Contable</w:t>
      </w:r>
    </w:p>
    <w:p w14:paraId="2C97B6E0" w14:textId="77777777" w:rsidR="00812C12" w:rsidRDefault="00812C12" w:rsidP="00AD41C7">
      <w:pPr>
        <w:pStyle w:val="Default"/>
        <w:jc w:val="both"/>
        <w:rPr>
          <w:sz w:val="22"/>
          <w:szCs w:val="22"/>
          <w:lang w:val="es-CR"/>
        </w:rPr>
      </w:pPr>
    </w:p>
    <w:p w14:paraId="43C80DD9" w14:textId="3C5DF111" w:rsidR="0019208A" w:rsidRDefault="0019208A" w:rsidP="001367B2">
      <w:pPr>
        <w:pStyle w:val="Default"/>
        <w:ind w:left="1134" w:hanging="1134"/>
        <w:jc w:val="both"/>
        <w:rPr>
          <w:sz w:val="22"/>
          <w:szCs w:val="22"/>
          <w:lang w:val="es-CR"/>
        </w:rPr>
      </w:pPr>
      <w:r>
        <w:rPr>
          <w:sz w:val="22"/>
          <w:szCs w:val="22"/>
          <w:lang w:val="es-CR"/>
        </w:rPr>
        <w:t>6.14.0.01</w:t>
      </w:r>
      <w:r w:rsidR="001367B2">
        <w:rPr>
          <w:sz w:val="22"/>
          <w:szCs w:val="22"/>
          <w:lang w:val="es-CR"/>
        </w:rPr>
        <w:tab/>
      </w:r>
      <w:r w:rsidRPr="0019208A">
        <w:rPr>
          <w:sz w:val="22"/>
          <w:szCs w:val="22"/>
          <w:lang w:val="es-CR"/>
        </w:rPr>
        <w:t>La fecha de emisión de los EEFF es aquélla en que los mismos son remitidos por el Ministerio de Hacienda a la Contraloría General de la República (conforme al plazo establecido en la normativa legal). La opinión de la Contraloría se efectúa sobre la base de dichos EEFF terminados</w:t>
      </w:r>
      <w:r w:rsidR="00812C12">
        <w:rPr>
          <w:sz w:val="22"/>
          <w:szCs w:val="22"/>
          <w:lang w:val="es-CR"/>
        </w:rPr>
        <w:t>.</w:t>
      </w:r>
    </w:p>
    <w:p w14:paraId="47F19834" w14:textId="77777777" w:rsidR="00812C12" w:rsidRPr="0019208A" w:rsidRDefault="00812C12" w:rsidP="001367B2">
      <w:pPr>
        <w:pStyle w:val="Default"/>
        <w:ind w:left="1134" w:hanging="1134"/>
        <w:jc w:val="both"/>
        <w:rPr>
          <w:sz w:val="22"/>
          <w:szCs w:val="22"/>
          <w:lang w:val="es-CR"/>
        </w:rPr>
      </w:pPr>
    </w:p>
    <w:p w14:paraId="261552CD" w14:textId="77777777" w:rsidR="00413A06" w:rsidRPr="00AD41C7" w:rsidRDefault="00413A06" w:rsidP="00AD41C7">
      <w:pPr>
        <w:pStyle w:val="Default"/>
        <w:jc w:val="both"/>
        <w:rPr>
          <w:sz w:val="22"/>
          <w:szCs w:val="22"/>
          <w:lang w:val="es-CR"/>
        </w:rPr>
      </w:pPr>
    </w:p>
    <w:p w14:paraId="400EE6B5" w14:textId="77777777" w:rsidR="00413A06" w:rsidRPr="00AD41C7" w:rsidRDefault="00413A06" w:rsidP="00AD41C7">
      <w:pPr>
        <w:pStyle w:val="Default"/>
        <w:jc w:val="both"/>
        <w:rPr>
          <w:sz w:val="22"/>
          <w:szCs w:val="22"/>
          <w:lang w:val="es-CR"/>
        </w:rPr>
      </w:pPr>
    </w:p>
    <w:tbl>
      <w:tblPr>
        <w:tblW w:w="9346" w:type="dxa"/>
        <w:tblLayout w:type="fixed"/>
        <w:tblLook w:val="04A0" w:firstRow="1" w:lastRow="0" w:firstColumn="1" w:lastColumn="0" w:noHBand="0" w:noVBand="1"/>
      </w:tblPr>
      <w:tblGrid>
        <w:gridCol w:w="416"/>
        <w:gridCol w:w="696"/>
        <w:gridCol w:w="421"/>
        <w:gridCol w:w="12"/>
        <w:gridCol w:w="3677"/>
        <w:gridCol w:w="12"/>
        <w:gridCol w:w="2241"/>
        <w:gridCol w:w="12"/>
        <w:gridCol w:w="1859"/>
      </w:tblGrid>
      <w:tr w:rsidR="001367B2" w:rsidRPr="001367B2" w14:paraId="00CD5531" w14:textId="77777777" w:rsidTr="00812C12">
        <w:trPr>
          <w:trHeight w:val="300"/>
        </w:trPr>
        <w:tc>
          <w:tcPr>
            <w:tcW w:w="1545"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EE2490F" w14:textId="77777777" w:rsidR="001367B2" w:rsidRPr="001367B2" w:rsidRDefault="001367B2" w:rsidP="001367B2">
            <w:pPr>
              <w:jc w:val="center"/>
              <w:rPr>
                <w:rFonts w:ascii="Arial Narrow" w:eastAsia="Times New Roman" w:hAnsi="Arial Narrow" w:cs="Calibri"/>
                <w:b/>
                <w:bCs/>
                <w:color w:val="FFFFFF"/>
                <w:sz w:val="22"/>
                <w:szCs w:val="22"/>
              </w:rPr>
            </w:pPr>
            <w:r w:rsidRPr="001367B2">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A19ABD9" w14:textId="77777777" w:rsidR="001367B2" w:rsidRPr="001367B2" w:rsidRDefault="001367B2" w:rsidP="001367B2">
            <w:pPr>
              <w:jc w:val="center"/>
              <w:rPr>
                <w:rFonts w:ascii="Arial Narrow" w:eastAsia="Times New Roman" w:hAnsi="Arial Narrow" w:cs="Calibri"/>
                <w:b/>
                <w:bCs/>
                <w:color w:val="FFFFFF"/>
                <w:sz w:val="22"/>
                <w:szCs w:val="22"/>
              </w:rPr>
            </w:pPr>
            <w:r w:rsidRPr="001367B2">
              <w:rPr>
                <w:rFonts w:ascii="Arial Narrow" w:eastAsia="Times New Roman" w:hAnsi="Arial Narrow" w:cs="Calibri"/>
                <w:b/>
                <w:bCs/>
                <w:color w:val="FFFFFF"/>
                <w:sz w:val="22"/>
                <w:szCs w:val="22"/>
              </w:rPr>
              <w:t>Concepto</w:t>
            </w:r>
          </w:p>
        </w:tc>
        <w:tc>
          <w:tcPr>
            <w:tcW w:w="4112" w:type="dxa"/>
            <w:gridSpan w:val="3"/>
            <w:tcBorders>
              <w:top w:val="single" w:sz="8" w:space="0" w:color="auto"/>
              <w:left w:val="nil"/>
              <w:bottom w:val="single" w:sz="8" w:space="0" w:color="auto"/>
              <w:right w:val="single" w:sz="8" w:space="0" w:color="000000"/>
            </w:tcBorders>
            <w:shd w:val="clear" w:color="000000" w:fill="203764"/>
            <w:vAlign w:val="center"/>
            <w:hideMark/>
          </w:tcPr>
          <w:p w14:paraId="25E29726" w14:textId="77777777" w:rsidR="001367B2" w:rsidRPr="001367B2" w:rsidRDefault="001367B2" w:rsidP="001367B2">
            <w:pPr>
              <w:jc w:val="center"/>
              <w:rPr>
                <w:rFonts w:ascii="Arial Narrow" w:eastAsia="Times New Roman" w:hAnsi="Arial Narrow" w:cs="Calibri"/>
                <w:b/>
                <w:bCs/>
                <w:color w:val="FFFFFF"/>
                <w:sz w:val="22"/>
                <w:szCs w:val="22"/>
              </w:rPr>
            </w:pPr>
            <w:r w:rsidRPr="001367B2">
              <w:rPr>
                <w:rFonts w:ascii="Arial Narrow" w:eastAsia="Times New Roman" w:hAnsi="Arial Narrow" w:cs="Calibri"/>
                <w:b/>
                <w:bCs/>
                <w:color w:val="FFFFFF"/>
                <w:sz w:val="22"/>
                <w:szCs w:val="22"/>
              </w:rPr>
              <w:t>Referencia</w:t>
            </w:r>
          </w:p>
        </w:tc>
      </w:tr>
      <w:tr w:rsidR="001367B2" w:rsidRPr="006E5442" w14:paraId="1F0D8BD5" w14:textId="77777777" w:rsidTr="00812C12">
        <w:trPr>
          <w:trHeight w:val="850"/>
        </w:trPr>
        <w:tc>
          <w:tcPr>
            <w:tcW w:w="1545" w:type="dxa"/>
            <w:gridSpan w:val="4"/>
            <w:vMerge/>
            <w:tcBorders>
              <w:top w:val="single" w:sz="8" w:space="0" w:color="auto"/>
              <w:left w:val="single" w:sz="8" w:space="0" w:color="auto"/>
              <w:bottom w:val="nil"/>
              <w:right w:val="single" w:sz="8" w:space="0" w:color="000000"/>
            </w:tcBorders>
            <w:vAlign w:val="center"/>
            <w:hideMark/>
          </w:tcPr>
          <w:p w14:paraId="6049D7BF" w14:textId="77777777" w:rsidR="001367B2" w:rsidRPr="001367B2" w:rsidRDefault="001367B2" w:rsidP="001367B2">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0BE694E8" w14:textId="77777777" w:rsidR="001367B2" w:rsidRPr="001367B2" w:rsidRDefault="001367B2" w:rsidP="001367B2">
            <w:pPr>
              <w:rPr>
                <w:rFonts w:ascii="Arial Narrow" w:eastAsia="Times New Roman" w:hAnsi="Arial Narrow" w:cs="Calibri"/>
                <w:b/>
                <w:bCs/>
                <w:color w:val="FFFFFF"/>
                <w:sz w:val="22"/>
                <w:szCs w:val="22"/>
              </w:rPr>
            </w:pPr>
          </w:p>
        </w:tc>
        <w:tc>
          <w:tcPr>
            <w:tcW w:w="2253" w:type="dxa"/>
            <w:gridSpan w:val="2"/>
            <w:tcBorders>
              <w:top w:val="nil"/>
              <w:left w:val="nil"/>
              <w:bottom w:val="nil"/>
              <w:right w:val="single" w:sz="8" w:space="0" w:color="auto"/>
            </w:tcBorders>
            <w:shd w:val="clear" w:color="000000" w:fill="203764"/>
            <w:vAlign w:val="center"/>
            <w:hideMark/>
          </w:tcPr>
          <w:p w14:paraId="27EB310B" w14:textId="77777777" w:rsidR="001367B2" w:rsidRPr="001367B2" w:rsidRDefault="001367B2" w:rsidP="001367B2">
            <w:pPr>
              <w:jc w:val="center"/>
              <w:rPr>
                <w:rFonts w:ascii="Arial Narrow" w:eastAsia="Times New Roman" w:hAnsi="Arial Narrow" w:cs="Calibri"/>
                <w:b/>
                <w:bCs/>
                <w:color w:val="FFFFFF"/>
                <w:sz w:val="22"/>
                <w:szCs w:val="22"/>
              </w:rPr>
            </w:pPr>
            <w:r w:rsidRPr="001367B2">
              <w:rPr>
                <w:rFonts w:ascii="Arial Narrow" w:eastAsia="Times New Roman" w:hAnsi="Arial Narrow" w:cs="Calibri"/>
                <w:b/>
                <w:bCs/>
                <w:color w:val="FFFFFF"/>
                <w:sz w:val="22"/>
                <w:szCs w:val="22"/>
              </w:rPr>
              <w:t>Norma</w:t>
            </w:r>
          </w:p>
        </w:tc>
        <w:tc>
          <w:tcPr>
            <w:tcW w:w="1859" w:type="dxa"/>
            <w:tcBorders>
              <w:top w:val="nil"/>
              <w:left w:val="nil"/>
              <w:bottom w:val="nil"/>
              <w:right w:val="single" w:sz="8" w:space="0" w:color="auto"/>
            </w:tcBorders>
            <w:shd w:val="clear" w:color="000000" w:fill="203764"/>
            <w:vAlign w:val="center"/>
            <w:hideMark/>
          </w:tcPr>
          <w:p w14:paraId="04C545A5" w14:textId="77777777" w:rsidR="001367B2" w:rsidRPr="001367B2" w:rsidRDefault="001367B2" w:rsidP="001367B2">
            <w:pPr>
              <w:jc w:val="center"/>
              <w:rPr>
                <w:rFonts w:ascii="Arial Narrow" w:eastAsia="Times New Roman" w:hAnsi="Arial Narrow" w:cs="Calibri"/>
                <w:b/>
                <w:bCs/>
                <w:color w:val="FFFFFF"/>
                <w:sz w:val="22"/>
                <w:szCs w:val="22"/>
                <w:lang w:val="es-CR"/>
              </w:rPr>
            </w:pPr>
            <w:r w:rsidRPr="001367B2">
              <w:rPr>
                <w:rFonts w:ascii="Arial Narrow" w:eastAsia="Times New Roman" w:hAnsi="Arial Narrow" w:cs="Calibri"/>
                <w:b/>
                <w:bCs/>
                <w:color w:val="FFFFFF"/>
                <w:sz w:val="22"/>
                <w:szCs w:val="22"/>
                <w:lang w:val="es-CR"/>
              </w:rPr>
              <w:t>Normativa técnica y disposiciones adicionales</w:t>
            </w:r>
          </w:p>
        </w:tc>
      </w:tr>
      <w:tr w:rsidR="001367B2" w:rsidRPr="001367B2" w14:paraId="663DB687" w14:textId="77777777" w:rsidTr="00812C12">
        <w:trPr>
          <w:trHeight w:val="94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A2964" w14:textId="77777777" w:rsidR="001367B2" w:rsidRPr="001367B2" w:rsidRDefault="001367B2" w:rsidP="001367B2">
            <w:pPr>
              <w:jc w:val="center"/>
              <w:rPr>
                <w:rFonts w:ascii="Arial Narrow" w:eastAsia="Times New Roman" w:hAnsi="Arial Narrow" w:cs="Calibri"/>
                <w:b/>
                <w:bCs/>
                <w:color w:val="000000"/>
                <w:sz w:val="22"/>
                <w:szCs w:val="22"/>
              </w:rPr>
            </w:pPr>
            <w:r w:rsidRPr="001367B2">
              <w:rPr>
                <w:rFonts w:ascii="Arial Narrow" w:eastAsia="Times New Roman" w:hAnsi="Arial Narrow" w:cs="Calibri"/>
                <w:b/>
                <w:bCs/>
                <w:color w:val="000000"/>
                <w:sz w:val="22"/>
                <w:szCs w:val="22"/>
              </w:rPr>
              <w:t>6</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31D2D851" w14:textId="77777777" w:rsidR="001367B2" w:rsidRPr="001367B2" w:rsidRDefault="001367B2" w:rsidP="001367B2">
            <w:pPr>
              <w:jc w:val="center"/>
              <w:rPr>
                <w:rFonts w:ascii="Arial Narrow" w:eastAsia="Times New Roman" w:hAnsi="Arial Narrow" w:cs="Calibri"/>
                <w:b/>
                <w:bCs/>
                <w:color w:val="000000"/>
                <w:sz w:val="22"/>
                <w:szCs w:val="22"/>
              </w:rPr>
            </w:pPr>
            <w:r w:rsidRPr="001367B2">
              <w:rPr>
                <w:rFonts w:ascii="Arial Narrow" w:eastAsia="Times New Roman" w:hAnsi="Arial Narrow" w:cs="Calibri"/>
                <w:b/>
                <w:bCs/>
                <w:color w:val="000000"/>
                <w:sz w:val="22"/>
                <w:szCs w:val="22"/>
              </w:rPr>
              <w:t>15</w:t>
            </w:r>
          </w:p>
        </w:tc>
        <w:tc>
          <w:tcPr>
            <w:tcW w:w="421" w:type="dxa"/>
            <w:tcBorders>
              <w:top w:val="single" w:sz="8" w:space="0" w:color="auto"/>
              <w:left w:val="nil"/>
              <w:bottom w:val="single" w:sz="8" w:space="0" w:color="auto"/>
              <w:right w:val="single" w:sz="8" w:space="0" w:color="auto"/>
            </w:tcBorders>
            <w:shd w:val="clear" w:color="auto" w:fill="auto"/>
            <w:vAlign w:val="center"/>
            <w:hideMark/>
          </w:tcPr>
          <w:p w14:paraId="00C15FFD" w14:textId="77777777" w:rsidR="001367B2" w:rsidRPr="001367B2" w:rsidRDefault="001367B2" w:rsidP="001367B2">
            <w:pPr>
              <w:jc w:val="center"/>
              <w:rPr>
                <w:rFonts w:ascii="Arial Narrow" w:eastAsia="Times New Roman" w:hAnsi="Arial Narrow" w:cs="Calibri"/>
                <w:b/>
                <w:bCs/>
                <w:color w:val="000000"/>
                <w:sz w:val="22"/>
                <w:szCs w:val="22"/>
              </w:rPr>
            </w:pPr>
            <w:r w:rsidRPr="001367B2">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158C281B" w14:textId="77777777" w:rsidR="001367B2" w:rsidRPr="001367B2" w:rsidRDefault="001367B2" w:rsidP="001367B2">
            <w:pPr>
              <w:jc w:val="both"/>
              <w:rPr>
                <w:rFonts w:ascii="Arial Narrow" w:eastAsia="Times New Roman" w:hAnsi="Arial Narrow" w:cs="Calibri"/>
                <w:b/>
                <w:bCs/>
                <w:color w:val="000000"/>
                <w:sz w:val="22"/>
                <w:szCs w:val="22"/>
                <w:lang w:val="es-CR"/>
              </w:rPr>
            </w:pPr>
            <w:r w:rsidRPr="001367B2">
              <w:rPr>
                <w:rFonts w:ascii="Arial Narrow" w:eastAsia="Times New Roman" w:hAnsi="Arial Narrow" w:cs="Calibri"/>
                <w:b/>
                <w:bCs/>
                <w:color w:val="000000"/>
                <w:sz w:val="22"/>
                <w:szCs w:val="22"/>
                <w:lang w:val="es-CR"/>
              </w:rPr>
              <w:t>Tratamiento de los hechos ocurridos después de la fecha sobre la que se informa</w:t>
            </w:r>
          </w:p>
        </w:tc>
        <w:tc>
          <w:tcPr>
            <w:tcW w:w="2253" w:type="dxa"/>
            <w:gridSpan w:val="2"/>
            <w:tcBorders>
              <w:top w:val="single" w:sz="8" w:space="0" w:color="auto"/>
              <w:left w:val="nil"/>
              <w:bottom w:val="single" w:sz="8" w:space="0" w:color="auto"/>
              <w:right w:val="single" w:sz="8" w:space="0" w:color="auto"/>
            </w:tcBorders>
            <w:shd w:val="clear" w:color="auto" w:fill="auto"/>
            <w:vAlign w:val="center"/>
            <w:hideMark/>
          </w:tcPr>
          <w:p w14:paraId="3CEB5A51" w14:textId="77777777" w:rsidR="001367B2" w:rsidRPr="001367B2" w:rsidRDefault="001367B2" w:rsidP="001367B2">
            <w:pPr>
              <w:jc w:val="both"/>
              <w:rPr>
                <w:rFonts w:ascii="Arial Narrow" w:eastAsia="Times New Roman" w:hAnsi="Arial Narrow" w:cs="Calibri"/>
                <w:b/>
                <w:bCs/>
                <w:color w:val="000000"/>
                <w:sz w:val="22"/>
                <w:szCs w:val="22"/>
              </w:rPr>
            </w:pPr>
            <w:r w:rsidRPr="001367B2">
              <w:rPr>
                <w:rFonts w:ascii="Arial Narrow" w:eastAsia="Times New Roman" w:hAnsi="Arial Narrow" w:cs="Calibri"/>
                <w:b/>
                <w:bCs/>
                <w:color w:val="000000"/>
                <w:sz w:val="22"/>
                <w:szCs w:val="22"/>
              </w:rPr>
              <w:t>NICSP N° 14,</w:t>
            </w:r>
            <w:r w:rsidRPr="001367B2">
              <w:rPr>
                <w:rFonts w:ascii="Arial Narrow" w:eastAsia="Times New Roman" w:hAnsi="Arial Narrow" w:cs="Calibri"/>
                <w:b/>
                <w:bCs/>
                <w:color w:val="000000"/>
                <w:sz w:val="22"/>
                <w:szCs w:val="22"/>
              </w:rPr>
              <w:br/>
              <w:t>Párrafos 9 a 13.</w:t>
            </w:r>
          </w:p>
        </w:tc>
        <w:tc>
          <w:tcPr>
            <w:tcW w:w="1871" w:type="dxa"/>
            <w:gridSpan w:val="2"/>
            <w:tcBorders>
              <w:top w:val="single" w:sz="8" w:space="0" w:color="auto"/>
              <w:left w:val="nil"/>
              <w:bottom w:val="single" w:sz="8" w:space="0" w:color="auto"/>
              <w:right w:val="single" w:sz="8" w:space="0" w:color="auto"/>
            </w:tcBorders>
            <w:shd w:val="clear" w:color="auto" w:fill="auto"/>
            <w:vAlign w:val="center"/>
            <w:hideMark/>
          </w:tcPr>
          <w:p w14:paraId="2BF4B7D8" w14:textId="77777777" w:rsidR="001367B2" w:rsidRPr="001367B2" w:rsidRDefault="001367B2" w:rsidP="001367B2">
            <w:pPr>
              <w:jc w:val="center"/>
              <w:rPr>
                <w:rFonts w:ascii="Arial Narrow" w:eastAsia="Times New Roman" w:hAnsi="Arial Narrow" w:cs="Calibri"/>
                <w:b/>
                <w:bCs/>
                <w:color w:val="000000"/>
                <w:sz w:val="22"/>
                <w:szCs w:val="22"/>
              </w:rPr>
            </w:pPr>
            <w:r w:rsidRPr="001367B2">
              <w:rPr>
                <w:rFonts w:ascii="Arial Narrow" w:eastAsia="Times New Roman" w:hAnsi="Arial Narrow" w:cs="Calibri"/>
                <w:b/>
                <w:bCs/>
                <w:color w:val="000000"/>
                <w:sz w:val="22"/>
                <w:szCs w:val="22"/>
              </w:rPr>
              <w:t xml:space="preserve"> </w:t>
            </w:r>
          </w:p>
        </w:tc>
      </w:tr>
    </w:tbl>
    <w:p w14:paraId="4A510439" w14:textId="77777777" w:rsidR="00413A06" w:rsidRDefault="00413A06" w:rsidP="00AD41C7">
      <w:pPr>
        <w:pStyle w:val="Default"/>
        <w:jc w:val="both"/>
        <w:rPr>
          <w:sz w:val="22"/>
          <w:szCs w:val="22"/>
          <w:lang w:val="es-CR"/>
        </w:rPr>
      </w:pPr>
    </w:p>
    <w:p w14:paraId="64BEE5EF" w14:textId="77777777" w:rsidR="00812C12" w:rsidRDefault="00812C12" w:rsidP="00812C12">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7E985CD" w14:textId="77777777" w:rsidR="00812C12" w:rsidRDefault="00812C12" w:rsidP="00AD41C7">
      <w:pPr>
        <w:pStyle w:val="Default"/>
        <w:jc w:val="both"/>
        <w:rPr>
          <w:sz w:val="22"/>
          <w:szCs w:val="22"/>
          <w:lang w:val="es-CR"/>
        </w:rPr>
      </w:pPr>
    </w:p>
    <w:p w14:paraId="2F755DAA" w14:textId="029CF000" w:rsidR="001367B2" w:rsidRDefault="001367B2" w:rsidP="001367B2">
      <w:pPr>
        <w:pStyle w:val="Default"/>
        <w:ind w:left="1134" w:hanging="1134"/>
        <w:jc w:val="both"/>
        <w:rPr>
          <w:sz w:val="22"/>
          <w:szCs w:val="22"/>
          <w:lang w:val="es-CR"/>
        </w:rPr>
      </w:pPr>
      <w:r>
        <w:rPr>
          <w:sz w:val="22"/>
          <w:szCs w:val="22"/>
          <w:lang w:val="es-CR"/>
        </w:rPr>
        <w:t>6.15.0.01</w:t>
      </w:r>
      <w:r>
        <w:rPr>
          <w:sz w:val="22"/>
          <w:szCs w:val="22"/>
          <w:lang w:val="es-CR"/>
        </w:rPr>
        <w:tab/>
      </w:r>
      <w:r w:rsidRPr="001367B2">
        <w:rPr>
          <w:sz w:val="22"/>
          <w:szCs w:val="22"/>
          <w:lang w:val="es-CR"/>
        </w:rPr>
        <w:t>Dentro del período de hechos ocurridos después de la fecha sobre la que se informa, el gobierno puede anunciar medidas o políticas públicas o generarse hechos ajenos al mismo que pueden originar las siguientes acciones:</w:t>
      </w:r>
    </w:p>
    <w:p w14:paraId="4C2C6BB1" w14:textId="77777777" w:rsidR="001367B2" w:rsidRPr="001367B2" w:rsidRDefault="001367B2" w:rsidP="001367B2">
      <w:pPr>
        <w:pStyle w:val="Default"/>
        <w:ind w:left="1134" w:hanging="1134"/>
        <w:jc w:val="both"/>
        <w:rPr>
          <w:sz w:val="22"/>
          <w:szCs w:val="22"/>
          <w:lang w:val="es-CR"/>
        </w:rPr>
      </w:pPr>
    </w:p>
    <w:p w14:paraId="005ADF21" w14:textId="798912EF" w:rsidR="001367B2" w:rsidRDefault="001367B2" w:rsidP="001367B2">
      <w:pPr>
        <w:pStyle w:val="Default"/>
        <w:spacing w:after="120"/>
        <w:ind w:left="1418"/>
        <w:jc w:val="both"/>
        <w:rPr>
          <w:sz w:val="22"/>
          <w:szCs w:val="22"/>
          <w:lang w:val="es-CR"/>
        </w:rPr>
      </w:pPr>
      <w:r w:rsidRPr="001367B2">
        <w:rPr>
          <w:b/>
          <w:bCs/>
          <w:sz w:val="22"/>
          <w:szCs w:val="22"/>
          <w:lang w:val="es-CR"/>
        </w:rPr>
        <w:t>Implicar ajustes a los EEFF</w:t>
      </w:r>
    </w:p>
    <w:p w14:paraId="449704B2" w14:textId="4F1B623B" w:rsidR="001367B2" w:rsidRPr="001367B2" w:rsidRDefault="001367B2">
      <w:pPr>
        <w:pStyle w:val="Default"/>
        <w:numPr>
          <w:ilvl w:val="0"/>
          <w:numId w:val="326"/>
        </w:numPr>
        <w:spacing w:after="120"/>
        <w:ind w:left="1418" w:hanging="284"/>
        <w:jc w:val="both"/>
        <w:rPr>
          <w:sz w:val="22"/>
          <w:szCs w:val="22"/>
          <w:lang w:val="es-CR"/>
        </w:rPr>
      </w:pPr>
      <w:r>
        <w:rPr>
          <w:sz w:val="22"/>
          <w:szCs w:val="22"/>
          <w:lang w:val="es-CR"/>
        </w:rPr>
        <w:t>L</w:t>
      </w:r>
      <w:r w:rsidRPr="001367B2">
        <w:rPr>
          <w:sz w:val="22"/>
          <w:szCs w:val="22"/>
          <w:lang w:val="es-CR"/>
        </w:rPr>
        <w:t xml:space="preserve">a resolución de un litigio judicial, que confirma que la entidad tenía una obligación presente en dicha fecha; </w:t>
      </w:r>
    </w:p>
    <w:p w14:paraId="1F937AC1" w14:textId="77777777" w:rsidR="001367B2" w:rsidRDefault="001367B2">
      <w:pPr>
        <w:pStyle w:val="Default"/>
        <w:numPr>
          <w:ilvl w:val="0"/>
          <w:numId w:val="326"/>
        </w:numPr>
        <w:spacing w:after="120"/>
        <w:ind w:left="1418" w:hanging="284"/>
        <w:jc w:val="both"/>
        <w:rPr>
          <w:sz w:val="22"/>
          <w:szCs w:val="22"/>
          <w:lang w:val="es-CR"/>
        </w:rPr>
      </w:pPr>
      <w:r>
        <w:rPr>
          <w:sz w:val="22"/>
          <w:szCs w:val="22"/>
          <w:lang w:val="es-CR"/>
        </w:rPr>
        <w:t>L</w:t>
      </w:r>
      <w:r w:rsidRPr="001367B2">
        <w:rPr>
          <w:sz w:val="22"/>
          <w:szCs w:val="22"/>
          <w:lang w:val="es-CR"/>
        </w:rPr>
        <w:t xml:space="preserve">a recepción de información, dentro del período de hechos ocurridos después de la fecha sobre la que se informa, que indique o confirme el deterioro de un activo a la fecha que se informa, o el ajuste de la pérdida por deterioro reconocida previamente para tal activo; </w:t>
      </w:r>
    </w:p>
    <w:p w14:paraId="2A0002E2" w14:textId="77D90179" w:rsidR="001367B2" w:rsidRPr="001367B2" w:rsidRDefault="001367B2">
      <w:pPr>
        <w:pStyle w:val="Default"/>
        <w:numPr>
          <w:ilvl w:val="0"/>
          <w:numId w:val="326"/>
        </w:numPr>
        <w:spacing w:after="120"/>
        <w:ind w:left="1418" w:hanging="284"/>
        <w:jc w:val="both"/>
        <w:rPr>
          <w:sz w:val="22"/>
          <w:szCs w:val="22"/>
          <w:lang w:val="es-CR"/>
        </w:rPr>
      </w:pPr>
      <w:r>
        <w:rPr>
          <w:sz w:val="22"/>
          <w:szCs w:val="22"/>
          <w:lang w:val="es-CR"/>
        </w:rPr>
        <w:t>L</w:t>
      </w:r>
      <w:r w:rsidRPr="001367B2">
        <w:rPr>
          <w:sz w:val="22"/>
          <w:szCs w:val="22"/>
          <w:lang w:val="es-CR"/>
        </w:rPr>
        <w:t xml:space="preserve">a determinación del costo de los activos comprados o del importe de los activos vendidos antes de dicha fecha; </w:t>
      </w:r>
    </w:p>
    <w:p w14:paraId="5D7B620E" w14:textId="0373FEFD" w:rsidR="001367B2" w:rsidRPr="001367B2" w:rsidRDefault="001367B2">
      <w:pPr>
        <w:pStyle w:val="Default"/>
        <w:numPr>
          <w:ilvl w:val="0"/>
          <w:numId w:val="326"/>
        </w:numPr>
        <w:spacing w:after="120"/>
        <w:ind w:left="1418" w:hanging="284"/>
        <w:jc w:val="both"/>
        <w:rPr>
          <w:sz w:val="22"/>
          <w:szCs w:val="22"/>
          <w:lang w:val="es-CR"/>
        </w:rPr>
      </w:pPr>
      <w:r>
        <w:rPr>
          <w:sz w:val="22"/>
          <w:szCs w:val="22"/>
          <w:lang w:val="es-CR"/>
        </w:rPr>
        <w:t>L</w:t>
      </w:r>
      <w:r w:rsidRPr="001367B2">
        <w:rPr>
          <w:sz w:val="22"/>
          <w:szCs w:val="22"/>
          <w:lang w:val="es-CR"/>
        </w:rPr>
        <w:t xml:space="preserve">a determinación del importe de ingresos cobrados durante el período sobre el que se informa a ser compartidos con otros gobiernos bajo un acuerdo de distribución e ingresos en vigor durante dicho período; </w:t>
      </w:r>
    </w:p>
    <w:p w14:paraId="616D97A3" w14:textId="3C81297B" w:rsidR="001367B2" w:rsidRPr="001367B2" w:rsidRDefault="001367B2">
      <w:pPr>
        <w:pStyle w:val="Default"/>
        <w:numPr>
          <w:ilvl w:val="0"/>
          <w:numId w:val="326"/>
        </w:numPr>
        <w:spacing w:after="120"/>
        <w:ind w:left="1418" w:hanging="284"/>
        <w:jc w:val="both"/>
        <w:rPr>
          <w:sz w:val="22"/>
          <w:szCs w:val="22"/>
          <w:lang w:val="es-CR"/>
        </w:rPr>
      </w:pPr>
      <w:r>
        <w:rPr>
          <w:sz w:val="22"/>
          <w:szCs w:val="22"/>
          <w:lang w:val="es-CR"/>
        </w:rPr>
        <w:t>L</w:t>
      </w:r>
      <w:r w:rsidRPr="001367B2">
        <w:rPr>
          <w:sz w:val="22"/>
          <w:szCs w:val="22"/>
          <w:lang w:val="es-CR"/>
        </w:rPr>
        <w:t xml:space="preserve">a determinación de los pagos por desempeño y aguinaldo otorgados al personal, si en la fecha sobre la que se informa la entidad tiene una obligación implícita, ya sea de carácter legal o simplemente asumida por la entidad, de efectuar tales pagos, como resultado de hechos anteriores a esa fecha; y </w:t>
      </w:r>
    </w:p>
    <w:p w14:paraId="445F3F47" w14:textId="4A057B86" w:rsidR="001367B2" w:rsidRPr="001367B2" w:rsidRDefault="001367B2">
      <w:pPr>
        <w:pStyle w:val="Default"/>
        <w:numPr>
          <w:ilvl w:val="0"/>
          <w:numId w:val="326"/>
        </w:numPr>
        <w:ind w:left="1418" w:hanging="284"/>
        <w:jc w:val="both"/>
        <w:rPr>
          <w:sz w:val="22"/>
          <w:szCs w:val="22"/>
          <w:lang w:val="es-CR"/>
        </w:rPr>
      </w:pPr>
      <w:r>
        <w:rPr>
          <w:sz w:val="22"/>
          <w:szCs w:val="22"/>
          <w:lang w:val="es-CR"/>
        </w:rPr>
        <w:lastRenderedPageBreak/>
        <w:t>E</w:t>
      </w:r>
      <w:r w:rsidRPr="001367B2">
        <w:rPr>
          <w:sz w:val="22"/>
          <w:szCs w:val="22"/>
          <w:lang w:val="es-CR"/>
        </w:rPr>
        <w:t xml:space="preserve">l descubrimiento de fraudes o errores que demuestren que los EEFF eran incorrectos. </w:t>
      </w:r>
    </w:p>
    <w:p w14:paraId="150B5253" w14:textId="77777777" w:rsidR="001367B2" w:rsidRPr="001367B2" w:rsidRDefault="001367B2">
      <w:pPr>
        <w:pStyle w:val="Default"/>
        <w:numPr>
          <w:ilvl w:val="1"/>
          <w:numId w:val="325"/>
        </w:numPr>
        <w:ind w:left="1418" w:hanging="284"/>
        <w:jc w:val="both"/>
        <w:rPr>
          <w:sz w:val="22"/>
          <w:szCs w:val="22"/>
          <w:lang w:val="es-CR"/>
        </w:rPr>
      </w:pPr>
    </w:p>
    <w:p w14:paraId="3E7004F4" w14:textId="6CE6E9C7" w:rsidR="001367B2" w:rsidRDefault="001367B2" w:rsidP="001367B2">
      <w:pPr>
        <w:pStyle w:val="Default"/>
        <w:ind w:left="1134" w:hanging="1134"/>
        <w:jc w:val="both"/>
        <w:rPr>
          <w:sz w:val="22"/>
          <w:szCs w:val="22"/>
          <w:lang w:val="es-CR"/>
        </w:rPr>
      </w:pPr>
      <w:r>
        <w:rPr>
          <w:sz w:val="22"/>
          <w:szCs w:val="22"/>
          <w:lang w:val="es-CR"/>
        </w:rPr>
        <w:t>5.15.0.02</w:t>
      </w:r>
      <w:r>
        <w:rPr>
          <w:sz w:val="22"/>
          <w:szCs w:val="22"/>
          <w:lang w:val="es-CR"/>
        </w:rPr>
        <w:tab/>
        <w:t>La Municipalidad</w:t>
      </w:r>
      <w:r w:rsidRPr="001367B2">
        <w:rPr>
          <w:sz w:val="22"/>
          <w:szCs w:val="22"/>
          <w:lang w:val="es-CR"/>
        </w:rPr>
        <w:t xml:space="preserve"> debe proceder a modificar los importes reconocidos en sus EEFF para reflejar la incidencia de los hechos ocurridos después de la fecha sobre la que se informa, que impliquen ajustes; entre otras, pueden identificarse las siguientes situaciones: </w:t>
      </w:r>
    </w:p>
    <w:p w14:paraId="2232AE1A" w14:textId="77777777" w:rsidR="001367B2" w:rsidRPr="001367B2" w:rsidRDefault="001367B2" w:rsidP="001367B2">
      <w:pPr>
        <w:pStyle w:val="Default"/>
        <w:ind w:left="1134" w:hanging="1134"/>
        <w:jc w:val="both"/>
        <w:rPr>
          <w:sz w:val="22"/>
          <w:szCs w:val="22"/>
          <w:lang w:val="es-CR"/>
        </w:rPr>
      </w:pPr>
    </w:p>
    <w:p w14:paraId="6A7AD82F" w14:textId="543C654A" w:rsidR="001367B2" w:rsidRPr="001367B2" w:rsidRDefault="001367B2" w:rsidP="001367B2">
      <w:pPr>
        <w:pStyle w:val="Default"/>
        <w:ind w:left="1134"/>
        <w:jc w:val="both"/>
        <w:rPr>
          <w:sz w:val="22"/>
          <w:szCs w:val="22"/>
          <w:lang w:val="es-CR"/>
        </w:rPr>
      </w:pPr>
      <w:r>
        <w:rPr>
          <w:b/>
          <w:bCs/>
          <w:sz w:val="22"/>
          <w:szCs w:val="22"/>
          <w:lang w:val="es-CR"/>
        </w:rPr>
        <w:t>N</w:t>
      </w:r>
      <w:r w:rsidRPr="001367B2">
        <w:rPr>
          <w:b/>
          <w:bCs/>
          <w:sz w:val="22"/>
          <w:szCs w:val="22"/>
          <w:lang w:val="es-CR"/>
        </w:rPr>
        <w:t xml:space="preserve">o implicar ajustes a los EEFF </w:t>
      </w:r>
    </w:p>
    <w:p w14:paraId="05C47139" w14:textId="77777777" w:rsidR="001367B2" w:rsidRPr="001367B2" w:rsidRDefault="001367B2" w:rsidP="001367B2">
      <w:pPr>
        <w:pStyle w:val="Default"/>
        <w:jc w:val="both"/>
        <w:rPr>
          <w:sz w:val="22"/>
          <w:szCs w:val="22"/>
          <w:lang w:val="es-CR"/>
        </w:rPr>
      </w:pPr>
    </w:p>
    <w:p w14:paraId="5C384BA2" w14:textId="3E49D463" w:rsidR="001367B2" w:rsidRDefault="00912BB5" w:rsidP="00912BB5">
      <w:pPr>
        <w:pStyle w:val="Default"/>
        <w:ind w:left="1134" w:hanging="1134"/>
        <w:jc w:val="both"/>
        <w:rPr>
          <w:sz w:val="22"/>
          <w:szCs w:val="22"/>
          <w:lang w:val="es-CR"/>
        </w:rPr>
      </w:pPr>
      <w:r>
        <w:rPr>
          <w:sz w:val="22"/>
          <w:szCs w:val="22"/>
          <w:lang w:val="es-CR"/>
        </w:rPr>
        <w:t>5.13.0.03</w:t>
      </w:r>
      <w:r>
        <w:rPr>
          <w:sz w:val="22"/>
          <w:szCs w:val="22"/>
          <w:lang w:val="es-CR"/>
        </w:rPr>
        <w:tab/>
      </w:r>
      <w:r w:rsidR="001367B2" w:rsidRPr="001367B2">
        <w:rPr>
          <w:sz w:val="22"/>
          <w:szCs w:val="22"/>
          <w:lang w:val="es-CR"/>
        </w:rPr>
        <w:t>Entre otras, las siguientes situaciones de hechos ocurridos después de la fecha sobre la que se informa no implican ajustes:</w:t>
      </w:r>
    </w:p>
    <w:p w14:paraId="2317B562" w14:textId="77777777" w:rsidR="00912BB5" w:rsidRPr="001367B2" w:rsidRDefault="00912BB5" w:rsidP="00912BB5">
      <w:pPr>
        <w:pStyle w:val="Default"/>
        <w:ind w:left="1134" w:hanging="1134"/>
        <w:jc w:val="both"/>
        <w:rPr>
          <w:sz w:val="22"/>
          <w:szCs w:val="22"/>
          <w:lang w:val="es-CR"/>
        </w:rPr>
      </w:pPr>
    </w:p>
    <w:p w14:paraId="121DE45E" w14:textId="0086AB32" w:rsidR="001367B2" w:rsidRPr="001367B2" w:rsidRDefault="00912BB5">
      <w:pPr>
        <w:pStyle w:val="Default"/>
        <w:numPr>
          <w:ilvl w:val="0"/>
          <w:numId w:val="327"/>
        </w:numPr>
        <w:ind w:left="1418" w:hanging="284"/>
        <w:jc w:val="both"/>
        <w:rPr>
          <w:sz w:val="22"/>
          <w:szCs w:val="22"/>
          <w:lang w:val="es-CR"/>
        </w:rPr>
      </w:pPr>
      <w:r>
        <w:rPr>
          <w:sz w:val="22"/>
          <w:szCs w:val="22"/>
          <w:lang w:val="es-CR"/>
        </w:rPr>
        <w:t>C</w:t>
      </w:r>
      <w:r w:rsidR="001367B2" w:rsidRPr="001367B2">
        <w:rPr>
          <w:sz w:val="22"/>
          <w:szCs w:val="22"/>
          <w:lang w:val="es-CR"/>
        </w:rPr>
        <w:t xml:space="preserve">uando </w:t>
      </w:r>
      <w:r>
        <w:rPr>
          <w:sz w:val="22"/>
          <w:szCs w:val="22"/>
          <w:lang w:val="es-CR"/>
        </w:rPr>
        <w:t>l</w:t>
      </w:r>
      <w:r w:rsidR="001367B2" w:rsidRPr="001367B2">
        <w:rPr>
          <w:sz w:val="22"/>
          <w:szCs w:val="22"/>
          <w:lang w:val="es-CR"/>
        </w:rPr>
        <w:t xml:space="preserve">a </w:t>
      </w:r>
      <w:r>
        <w:rPr>
          <w:sz w:val="22"/>
          <w:szCs w:val="22"/>
          <w:lang w:val="es-CR"/>
        </w:rPr>
        <w:t>Municipalidad</w:t>
      </w:r>
      <w:r w:rsidR="001367B2" w:rsidRPr="001367B2">
        <w:rPr>
          <w:sz w:val="22"/>
          <w:szCs w:val="22"/>
          <w:lang w:val="es-CR"/>
        </w:rPr>
        <w:t xml:space="preserve"> ha adoptado una política de revalorizar regularmente la propiedad a su valor razonable y ocurre una reducción justificada en dicho valor entre la fecha sobre la que se informa y la fecha en que los EEFF son autorizados para su publicación. La caída en dicho valor no está normalmente relacionada con las condiciones de la propiedad en la fecha sobre la que se informa, sino que refleja las circunstancias ocurridas en el período siguiente; y </w:t>
      </w:r>
    </w:p>
    <w:p w14:paraId="1FCEAF4F" w14:textId="77777777" w:rsidR="001367B2" w:rsidRPr="001367B2" w:rsidRDefault="001367B2" w:rsidP="00912BB5">
      <w:pPr>
        <w:pStyle w:val="Default"/>
        <w:ind w:left="1418" w:hanging="284"/>
        <w:jc w:val="both"/>
        <w:rPr>
          <w:sz w:val="22"/>
          <w:szCs w:val="22"/>
          <w:lang w:val="es-CR"/>
        </w:rPr>
      </w:pPr>
    </w:p>
    <w:p w14:paraId="76BA5AF8" w14:textId="338E9F89" w:rsidR="001367B2" w:rsidRDefault="00912BB5">
      <w:pPr>
        <w:pStyle w:val="Default"/>
        <w:numPr>
          <w:ilvl w:val="0"/>
          <w:numId w:val="327"/>
        </w:numPr>
        <w:ind w:left="1418" w:hanging="284"/>
        <w:jc w:val="both"/>
        <w:rPr>
          <w:sz w:val="22"/>
          <w:szCs w:val="22"/>
          <w:lang w:val="es-CR"/>
        </w:rPr>
      </w:pPr>
      <w:r>
        <w:rPr>
          <w:sz w:val="22"/>
          <w:szCs w:val="22"/>
          <w:lang w:val="es-CR"/>
        </w:rPr>
        <w:t>C</w:t>
      </w:r>
      <w:r w:rsidR="001367B2" w:rsidRPr="001367B2">
        <w:rPr>
          <w:sz w:val="22"/>
          <w:szCs w:val="22"/>
          <w:lang w:val="es-CR"/>
        </w:rPr>
        <w:t xml:space="preserve">uando </w:t>
      </w:r>
      <w:r>
        <w:rPr>
          <w:sz w:val="22"/>
          <w:szCs w:val="22"/>
          <w:lang w:val="es-CR"/>
        </w:rPr>
        <w:t>l</w:t>
      </w:r>
      <w:r w:rsidR="001367B2" w:rsidRPr="001367B2">
        <w:rPr>
          <w:sz w:val="22"/>
          <w:szCs w:val="22"/>
          <w:lang w:val="es-CR"/>
        </w:rPr>
        <w:t xml:space="preserve">a </w:t>
      </w:r>
      <w:r>
        <w:rPr>
          <w:sz w:val="22"/>
          <w:szCs w:val="22"/>
          <w:lang w:val="es-CR"/>
        </w:rPr>
        <w:t>Municipalidad</w:t>
      </w:r>
      <w:r w:rsidR="001367B2" w:rsidRPr="001367B2">
        <w:rPr>
          <w:sz w:val="22"/>
          <w:szCs w:val="22"/>
          <w:lang w:val="es-CR"/>
        </w:rPr>
        <w:t xml:space="preserve"> que gestiona determinados programas de servicios a la comunidad decide, después de la fecha sobre la que se informa, pero antes que los EEFF sean autorizados para su publicación, distribuir beneficios adicionales directa o indirectamente a los participantes en esos programas. La </w:t>
      </w:r>
      <w:r>
        <w:rPr>
          <w:sz w:val="22"/>
          <w:szCs w:val="22"/>
          <w:lang w:val="es-CR"/>
        </w:rPr>
        <w:t>Municipalidad</w:t>
      </w:r>
      <w:r w:rsidR="001367B2" w:rsidRPr="001367B2">
        <w:rPr>
          <w:sz w:val="22"/>
          <w:szCs w:val="22"/>
          <w:lang w:val="es-CR"/>
        </w:rPr>
        <w:t xml:space="preserve"> no ajustar</w:t>
      </w:r>
      <w:r>
        <w:rPr>
          <w:sz w:val="22"/>
          <w:szCs w:val="22"/>
          <w:lang w:val="es-CR"/>
        </w:rPr>
        <w:t>á</w:t>
      </w:r>
      <w:r w:rsidR="001367B2" w:rsidRPr="001367B2">
        <w:rPr>
          <w:sz w:val="22"/>
          <w:szCs w:val="22"/>
          <w:lang w:val="es-CR"/>
        </w:rPr>
        <w:t xml:space="preserve"> el importe de los gastos reconocidos en sus EEFF en el período actual sobre el que se informa, aunque los beneficios adicionales pueden reunir las condiciones para su revelación como hechos que no implican ajustes.</w:t>
      </w:r>
    </w:p>
    <w:p w14:paraId="59B23ADB" w14:textId="77777777" w:rsidR="00555C70" w:rsidRDefault="00555C70" w:rsidP="00555C70">
      <w:pPr>
        <w:pStyle w:val="Prrafodelista"/>
        <w:rPr>
          <w:sz w:val="22"/>
          <w:szCs w:val="22"/>
          <w:lang w:val="es-CR"/>
        </w:rPr>
      </w:pPr>
    </w:p>
    <w:p w14:paraId="51AC4A7B" w14:textId="77777777" w:rsidR="00555C70" w:rsidRDefault="00555C70" w:rsidP="00555C70">
      <w:pPr>
        <w:pStyle w:val="Default"/>
        <w:jc w:val="both"/>
        <w:rPr>
          <w:sz w:val="22"/>
          <w:szCs w:val="22"/>
          <w:lang w:val="es-CR"/>
        </w:rPr>
      </w:pPr>
    </w:p>
    <w:tbl>
      <w:tblPr>
        <w:tblW w:w="9405" w:type="dxa"/>
        <w:tblLook w:val="04A0" w:firstRow="1" w:lastRow="0" w:firstColumn="1" w:lastColumn="0" w:noHBand="0" w:noVBand="1"/>
      </w:tblPr>
      <w:tblGrid>
        <w:gridCol w:w="416"/>
        <w:gridCol w:w="706"/>
        <w:gridCol w:w="517"/>
        <w:gridCol w:w="10"/>
        <w:gridCol w:w="3710"/>
        <w:gridCol w:w="10"/>
        <w:gridCol w:w="2134"/>
        <w:gridCol w:w="1882"/>
        <w:gridCol w:w="20"/>
      </w:tblGrid>
      <w:tr w:rsidR="00555C70" w:rsidRPr="00812C12" w14:paraId="1D673A0A" w14:textId="77777777" w:rsidTr="00812C12">
        <w:trPr>
          <w:trHeight w:val="320"/>
        </w:trPr>
        <w:tc>
          <w:tcPr>
            <w:tcW w:w="1649"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75B81BD7" w14:textId="77777777" w:rsidR="00555C70" w:rsidRPr="00812C12" w:rsidRDefault="00555C70" w:rsidP="00555C70">
            <w:pPr>
              <w:jc w:val="center"/>
              <w:rPr>
                <w:rFonts w:ascii="Arial Narrow" w:eastAsia="Times New Roman" w:hAnsi="Arial Narrow" w:cs="Calibri"/>
                <w:b/>
                <w:bCs/>
                <w:color w:val="FFFFFF"/>
                <w:sz w:val="22"/>
                <w:szCs w:val="22"/>
              </w:rPr>
            </w:pPr>
            <w:r w:rsidRPr="00812C12">
              <w:rPr>
                <w:rFonts w:ascii="Arial Narrow" w:eastAsia="Times New Roman" w:hAnsi="Arial Narrow" w:cs="Calibri"/>
                <w:b/>
                <w:bCs/>
                <w:color w:val="FFFFFF"/>
                <w:sz w:val="22"/>
                <w:szCs w:val="22"/>
              </w:rPr>
              <w:t>Norma / Política</w:t>
            </w:r>
          </w:p>
        </w:tc>
        <w:tc>
          <w:tcPr>
            <w:tcW w:w="372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310FA32" w14:textId="77777777" w:rsidR="00555C70" w:rsidRPr="00812C12" w:rsidRDefault="00555C70" w:rsidP="00555C70">
            <w:pPr>
              <w:jc w:val="center"/>
              <w:rPr>
                <w:rFonts w:ascii="Arial Narrow" w:eastAsia="Times New Roman" w:hAnsi="Arial Narrow" w:cs="Calibri"/>
                <w:b/>
                <w:bCs/>
                <w:color w:val="FFFFFF"/>
                <w:sz w:val="22"/>
                <w:szCs w:val="22"/>
              </w:rPr>
            </w:pPr>
            <w:r w:rsidRPr="00812C12">
              <w:rPr>
                <w:rFonts w:ascii="Arial Narrow" w:eastAsia="Times New Roman" w:hAnsi="Arial Narrow" w:cs="Calibri"/>
                <w:b/>
                <w:bCs/>
                <w:color w:val="FFFFFF"/>
                <w:sz w:val="22"/>
                <w:szCs w:val="22"/>
              </w:rPr>
              <w:t>Concepto</w:t>
            </w:r>
          </w:p>
        </w:tc>
        <w:tc>
          <w:tcPr>
            <w:tcW w:w="4036" w:type="dxa"/>
            <w:gridSpan w:val="3"/>
            <w:tcBorders>
              <w:top w:val="single" w:sz="8" w:space="0" w:color="auto"/>
              <w:left w:val="nil"/>
              <w:bottom w:val="single" w:sz="8" w:space="0" w:color="auto"/>
              <w:right w:val="single" w:sz="8" w:space="0" w:color="000000"/>
            </w:tcBorders>
            <w:shd w:val="clear" w:color="000000" w:fill="203764"/>
            <w:vAlign w:val="center"/>
            <w:hideMark/>
          </w:tcPr>
          <w:p w14:paraId="2D5B2A01" w14:textId="77777777" w:rsidR="00555C70" w:rsidRPr="00812C12" w:rsidRDefault="00555C70" w:rsidP="00555C70">
            <w:pPr>
              <w:jc w:val="center"/>
              <w:rPr>
                <w:rFonts w:ascii="Arial Narrow" w:eastAsia="Times New Roman" w:hAnsi="Arial Narrow" w:cs="Calibri"/>
                <w:b/>
                <w:bCs/>
                <w:color w:val="FFFFFF"/>
                <w:sz w:val="22"/>
                <w:szCs w:val="22"/>
              </w:rPr>
            </w:pPr>
            <w:r w:rsidRPr="00812C12">
              <w:rPr>
                <w:rFonts w:ascii="Arial Narrow" w:eastAsia="Times New Roman" w:hAnsi="Arial Narrow" w:cs="Calibri"/>
                <w:b/>
                <w:bCs/>
                <w:color w:val="FFFFFF"/>
                <w:sz w:val="22"/>
                <w:szCs w:val="22"/>
              </w:rPr>
              <w:t>Referencia</w:t>
            </w:r>
          </w:p>
        </w:tc>
      </w:tr>
      <w:tr w:rsidR="00555C70" w:rsidRPr="00812C12" w14:paraId="4A5FF258" w14:textId="77777777" w:rsidTr="00812C12">
        <w:trPr>
          <w:gridAfter w:val="1"/>
          <w:wAfter w:w="20" w:type="dxa"/>
          <w:trHeight w:val="850"/>
        </w:trPr>
        <w:tc>
          <w:tcPr>
            <w:tcW w:w="1649" w:type="dxa"/>
            <w:gridSpan w:val="4"/>
            <w:vMerge/>
            <w:tcBorders>
              <w:top w:val="single" w:sz="8" w:space="0" w:color="auto"/>
              <w:left w:val="single" w:sz="8" w:space="0" w:color="auto"/>
              <w:bottom w:val="nil"/>
              <w:right w:val="single" w:sz="8" w:space="0" w:color="000000"/>
            </w:tcBorders>
            <w:vAlign w:val="center"/>
            <w:hideMark/>
          </w:tcPr>
          <w:p w14:paraId="1C2A44A9" w14:textId="77777777" w:rsidR="00555C70" w:rsidRPr="00812C12" w:rsidRDefault="00555C70" w:rsidP="00555C70">
            <w:pPr>
              <w:rPr>
                <w:rFonts w:ascii="Arial Narrow" w:eastAsia="Times New Roman" w:hAnsi="Arial Narrow" w:cs="Calibri"/>
                <w:b/>
                <w:bCs/>
                <w:color w:val="FFFFFF"/>
                <w:sz w:val="22"/>
                <w:szCs w:val="22"/>
              </w:rPr>
            </w:pPr>
          </w:p>
        </w:tc>
        <w:tc>
          <w:tcPr>
            <w:tcW w:w="3720" w:type="dxa"/>
            <w:gridSpan w:val="2"/>
            <w:vMerge/>
            <w:tcBorders>
              <w:top w:val="single" w:sz="8" w:space="0" w:color="auto"/>
              <w:left w:val="single" w:sz="8" w:space="0" w:color="auto"/>
              <w:bottom w:val="nil"/>
              <w:right w:val="single" w:sz="8" w:space="0" w:color="auto"/>
            </w:tcBorders>
            <w:vAlign w:val="center"/>
            <w:hideMark/>
          </w:tcPr>
          <w:p w14:paraId="1C98D59F" w14:textId="77777777" w:rsidR="00555C70" w:rsidRPr="00812C12" w:rsidRDefault="00555C70" w:rsidP="00555C70">
            <w:pPr>
              <w:rPr>
                <w:rFonts w:ascii="Arial Narrow" w:eastAsia="Times New Roman" w:hAnsi="Arial Narrow" w:cs="Calibri"/>
                <w:b/>
                <w:bCs/>
                <w:color w:val="FFFFFF"/>
                <w:sz w:val="22"/>
                <w:szCs w:val="22"/>
              </w:rPr>
            </w:pPr>
          </w:p>
        </w:tc>
        <w:tc>
          <w:tcPr>
            <w:tcW w:w="2134" w:type="dxa"/>
            <w:tcBorders>
              <w:top w:val="nil"/>
              <w:left w:val="nil"/>
              <w:bottom w:val="nil"/>
              <w:right w:val="single" w:sz="8" w:space="0" w:color="auto"/>
            </w:tcBorders>
            <w:shd w:val="clear" w:color="000000" w:fill="203764"/>
            <w:vAlign w:val="center"/>
            <w:hideMark/>
          </w:tcPr>
          <w:p w14:paraId="2E480084" w14:textId="77777777" w:rsidR="00555C70" w:rsidRPr="00812C12" w:rsidRDefault="00555C70" w:rsidP="00555C70">
            <w:pPr>
              <w:jc w:val="center"/>
              <w:rPr>
                <w:rFonts w:ascii="Arial Narrow" w:eastAsia="Times New Roman" w:hAnsi="Arial Narrow" w:cs="Calibri"/>
                <w:b/>
                <w:bCs/>
                <w:color w:val="FFFFFF"/>
                <w:sz w:val="22"/>
                <w:szCs w:val="22"/>
              </w:rPr>
            </w:pPr>
            <w:r w:rsidRPr="00812C12">
              <w:rPr>
                <w:rFonts w:ascii="Arial Narrow" w:eastAsia="Times New Roman" w:hAnsi="Arial Narrow" w:cs="Calibri"/>
                <w:b/>
                <w:bCs/>
                <w:color w:val="FFFFFF"/>
                <w:sz w:val="22"/>
                <w:szCs w:val="22"/>
              </w:rPr>
              <w:t>Norma</w:t>
            </w:r>
          </w:p>
        </w:tc>
        <w:tc>
          <w:tcPr>
            <w:tcW w:w="1882" w:type="dxa"/>
            <w:tcBorders>
              <w:top w:val="nil"/>
              <w:left w:val="nil"/>
              <w:bottom w:val="nil"/>
              <w:right w:val="single" w:sz="8" w:space="0" w:color="auto"/>
            </w:tcBorders>
            <w:shd w:val="clear" w:color="000000" w:fill="203764"/>
            <w:vAlign w:val="center"/>
            <w:hideMark/>
          </w:tcPr>
          <w:p w14:paraId="1B4893EF" w14:textId="77777777" w:rsidR="00555C70" w:rsidRPr="00812C12" w:rsidRDefault="00555C70" w:rsidP="00555C70">
            <w:pPr>
              <w:jc w:val="center"/>
              <w:rPr>
                <w:rFonts w:ascii="Arial Narrow" w:eastAsia="Times New Roman" w:hAnsi="Arial Narrow" w:cs="Calibri"/>
                <w:b/>
                <w:bCs/>
                <w:color w:val="FFFFFF"/>
                <w:sz w:val="22"/>
                <w:szCs w:val="22"/>
                <w:lang w:val="es-CR"/>
              </w:rPr>
            </w:pPr>
            <w:r w:rsidRPr="00812C12">
              <w:rPr>
                <w:rFonts w:ascii="Arial Narrow" w:eastAsia="Times New Roman" w:hAnsi="Arial Narrow" w:cs="Calibri"/>
                <w:b/>
                <w:bCs/>
                <w:color w:val="FFFFFF"/>
                <w:sz w:val="22"/>
                <w:szCs w:val="22"/>
                <w:lang w:val="es-CR"/>
              </w:rPr>
              <w:t>Normativa técnica y disposiciones adicionales</w:t>
            </w:r>
          </w:p>
        </w:tc>
      </w:tr>
      <w:tr w:rsidR="00555C70" w:rsidRPr="00812C12" w14:paraId="06F32663" w14:textId="77777777" w:rsidTr="00812C12">
        <w:trPr>
          <w:gridAfter w:val="1"/>
          <w:wAfter w:w="20"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E0EE7D" w14:textId="77777777" w:rsidR="00555C70" w:rsidRPr="00812C12" w:rsidRDefault="00555C70" w:rsidP="00812C12">
            <w:pPr>
              <w:jc w:val="center"/>
              <w:rPr>
                <w:rFonts w:ascii="Arial Narrow" w:eastAsia="Times New Roman" w:hAnsi="Arial Narrow"/>
                <w:b/>
                <w:bCs/>
                <w:color w:val="000000"/>
                <w:sz w:val="22"/>
                <w:szCs w:val="22"/>
              </w:rPr>
            </w:pPr>
            <w:r w:rsidRPr="00812C12">
              <w:rPr>
                <w:rFonts w:ascii="Arial Narrow" w:eastAsia="Times New Roman" w:hAnsi="Arial Narrow"/>
                <w:b/>
                <w:bCs/>
                <w:color w:val="000000"/>
                <w:sz w:val="22"/>
                <w:szCs w:val="22"/>
              </w:rPr>
              <w:t>6</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192A070E" w14:textId="77777777" w:rsidR="00555C70" w:rsidRPr="00812C12" w:rsidRDefault="00555C70" w:rsidP="00812C12">
            <w:pPr>
              <w:jc w:val="center"/>
              <w:rPr>
                <w:rFonts w:ascii="Arial Narrow" w:eastAsia="Times New Roman" w:hAnsi="Arial Narrow"/>
                <w:b/>
                <w:bCs/>
                <w:color w:val="000000"/>
                <w:sz w:val="22"/>
                <w:szCs w:val="22"/>
              </w:rPr>
            </w:pPr>
            <w:r w:rsidRPr="00812C12">
              <w:rPr>
                <w:rFonts w:ascii="Arial Narrow" w:eastAsia="Times New Roman" w:hAnsi="Arial Narrow"/>
                <w:b/>
                <w:bCs/>
                <w:color w:val="000000"/>
                <w:sz w:val="22"/>
                <w:szCs w:val="22"/>
              </w:rPr>
              <w:t>16</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7C5D6F29" w14:textId="77777777" w:rsidR="00555C70" w:rsidRPr="00812C12" w:rsidRDefault="00555C70" w:rsidP="00555C70">
            <w:pPr>
              <w:jc w:val="center"/>
              <w:rPr>
                <w:rFonts w:ascii="Arial Narrow" w:eastAsia="Times New Roman" w:hAnsi="Arial Narrow" w:cs="Calibri"/>
                <w:b/>
                <w:bCs/>
                <w:color w:val="000000"/>
                <w:sz w:val="22"/>
                <w:szCs w:val="22"/>
              </w:rPr>
            </w:pPr>
            <w:r w:rsidRPr="00812C12">
              <w:rPr>
                <w:rFonts w:ascii="Arial Narrow" w:eastAsia="Times New Roman" w:hAnsi="Arial Narrow" w:cs="Calibri"/>
                <w:b/>
                <w:bCs/>
                <w:color w:val="000000"/>
                <w:sz w:val="22"/>
                <w:szCs w:val="22"/>
              </w:rPr>
              <w:t xml:space="preserve"> </w:t>
            </w:r>
          </w:p>
        </w:tc>
        <w:tc>
          <w:tcPr>
            <w:tcW w:w="3720" w:type="dxa"/>
            <w:gridSpan w:val="2"/>
            <w:tcBorders>
              <w:top w:val="single" w:sz="8" w:space="0" w:color="auto"/>
              <w:left w:val="nil"/>
              <w:bottom w:val="single" w:sz="8" w:space="0" w:color="auto"/>
              <w:right w:val="single" w:sz="8" w:space="0" w:color="auto"/>
            </w:tcBorders>
            <w:shd w:val="clear" w:color="auto" w:fill="auto"/>
            <w:vAlign w:val="center"/>
            <w:hideMark/>
          </w:tcPr>
          <w:p w14:paraId="277E7840" w14:textId="77777777" w:rsidR="00555C70" w:rsidRPr="00812C12" w:rsidRDefault="00555C70" w:rsidP="00555C70">
            <w:pPr>
              <w:rPr>
                <w:rFonts w:ascii="Arial Narrow" w:eastAsia="Times New Roman" w:hAnsi="Arial Narrow"/>
                <w:b/>
                <w:bCs/>
                <w:color w:val="000000"/>
                <w:sz w:val="22"/>
                <w:szCs w:val="22"/>
              </w:rPr>
            </w:pPr>
            <w:r w:rsidRPr="00812C12">
              <w:rPr>
                <w:rFonts w:ascii="Arial Narrow" w:eastAsia="Times New Roman" w:hAnsi="Arial Narrow"/>
                <w:b/>
                <w:bCs/>
                <w:color w:val="000000"/>
                <w:sz w:val="22"/>
                <w:szCs w:val="22"/>
              </w:rPr>
              <w:t>Ente en marcha</w:t>
            </w:r>
          </w:p>
        </w:tc>
        <w:tc>
          <w:tcPr>
            <w:tcW w:w="2144" w:type="dxa"/>
            <w:gridSpan w:val="2"/>
            <w:tcBorders>
              <w:top w:val="single" w:sz="8" w:space="0" w:color="auto"/>
              <w:left w:val="nil"/>
              <w:bottom w:val="single" w:sz="8" w:space="0" w:color="auto"/>
              <w:right w:val="single" w:sz="8" w:space="0" w:color="auto"/>
            </w:tcBorders>
            <w:shd w:val="clear" w:color="auto" w:fill="auto"/>
            <w:vAlign w:val="center"/>
            <w:hideMark/>
          </w:tcPr>
          <w:p w14:paraId="39D7E892" w14:textId="77777777" w:rsidR="00555C70" w:rsidRPr="00812C12" w:rsidRDefault="00555C70" w:rsidP="00555C70">
            <w:pPr>
              <w:rPr>
                <w:rFonts w:ascii="Arial Narrow" w:eastAsia="Times New Roman" w:hAnsi="Arial Narrow" w:cs="Calibri"/>
                <w:b/>
                <w:bCs/>
                <w:color w:val="000000"/>
                <w:sz w:val="22"/>
                <w:szCs w:val="22"/>
              </w:rPr>
            </w:pPr>
            <w:r w:rsidRPr="00812C12">
              <w:rPr>
                <w:rFonts w:ascii="Arial Narrow" w:eastAsia="Times New Roman" w:hAnsi="Arial Narrow" w:cs="Calibri"/>
                <w:b/>
                <w:bCs/>
                <w:color w:val="000000"/>
                <w:sz w:val="22"/>
                <w:szCs w:val="22"/>
              </w:rPr>
              <w:t>NICSP N° 14,</w:t>
            </w:r>
            <w:r w:rsidRPr="00812C12">
              <w:rPr>
                <w:rFonts w:ascii="Arial Narrow" w:eastAsia="Times New Roman" w:hAnsi="Arial Narrow" w:cs="Calibri"/>
                <w:b/>
                <w:bCs/>
                <w:color w:val="000000"/>
                <w:sz w:val="22"/>
                <w:szCs w:val="22"/>
              </w:rPr>
              <w:br/>
              <w:t>Párrafos 18.</w:t>
            </w:r>
          </w:p>
        </w:tc>
        <w:tc>
          <w:tcPr>
            <w:tcW w:w="1882" w:type="dxa"/>
            <w:tcBorders>
              <w:top w:val="single" w:sz="8" w:space="0" w:color="auto"/>
              <w:left w:val="nil"/>
              <w:bottom w:val="single" w:sz="8" w:space="0" w:color="auto"/>
              <w:right w:val="single" w:sz="8" w:space="0" w:color="auto"/>
            </w:tcBorders>
            <w:shd w:val="clear" w:color="auto" w:fill="auto"/>
            <w:vAlign w:val="center"/>
            <w:hideMark/>
          </w:tcPr>
          <w:p w14:paraId="2B020128" w14:textId="77777777" w:rsidR="00555C70" w:rsidRPr="00812C12" w:rsidRDefault="00555C70" w:rsidP="00555C70">
            <w:pPr>
              <w:jc w:val="center"/>
              <w:rPr>
                <w:rFonts w:ascii="Arial Narrow" w:eastAsia="Times New Roman" w:hAnsi="Arial Narrow" w:cs="Calibri"/>
                <w:b/>
                <w:bCs/>
                <w:color w:val="000000"/>
                <w:sz w:val="22"/>
                <w:szCs w:val="22"/>
              </w:rPr>
            </w:pPr>
            <w:r w:rsidRPr="00812C12">
              <w:rPr>
                <w:rFonts w:ascii="Arial Narrow" w:eastAsia="Times New Roman" w:hAnsi="Arial Narrow" w:cs="Calibri"/>
                <w:b/>
                <w:bCs/>
                <w:color w:val="000000"/>
                <w:sz w:val="22"/>
                <w:szCs w:val="22"/>
              </w:rPr>
              <w:t xml:space="preserve"> </w:t>
            </w:r>
          </w:p>
        </w:tc>
      </w:tr>
      <w:tr w:rsidR="00555C70" w:rsidRPr="00812C12" w14:paraId="3B9CC694" w14:textId="77777777" w:rsidTr="00812C12">
        <w:trPr>
          <w:gridAfter w:val="1"/>
          <w:wAfter w:w="20" w:type="dxa"/>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914690D" w14:textId="77777777" w:rsidR="00555C70" w:rsidRPr="00812C12" w:rsidRDefault="00555C70" w:rsidP="00812C12">
            <w:pPr>
              <w:jc w:val="center"/>
              <w:rPr>
                <w:rFonts w:ascii="Arial Narrow" w:eastAsia="Times New Roman" w:hAnsi="Arial Narrow"/>
                <w:b/>
                <w:bCs/>
                <w:color w:val="000000"/>
                <w:sz w:val="22"/>
                <w:szCs w:val="22"/>
              </w:rPr>
            </w:pPr>
            <w:r w:rsidRPr="00812C12">
              <w:rPr>
                <w:rFonts w:ascii="Arial Narrow" w:eastAsia="Times New Roman" w:hAnsi="Arial Narrow"/>
                <w:b/>
                <w:bCs/>
                <w:color w:val="000000"/>
                <w:sz w:val="22"/>
                <w:szCs w:val="22"/>
              </w:rPr>
              <w:t>6</w:t>
            </w:r>
          </w:p>
        </w:tc>
        <w:tc>
          <w:tcPr>
            <w:tcW w:w="706" w:type="dxa"/>
            <w:tcBorders>
              <w:top w:val="nil"/>
              <w:left w:val="nil"/>
              <w:bottom w:val="single" w:sz="8" w:space="0" w:color="auto"/>
              <w:right w:val="single" w:sz="8" w:space="0" w:color="auto"/>
            </w:tcBorders>
            <w:shd w:val="clear" w:color="auto" w:fill="auto"/>
            <w:vAlign w:val="center"/>
            <w:hideMark/>
          </w:tcPr>
          <w:p w14:paraId="5F0EDD54" w14:textId="77777777" w:rsidR="00555C70" w:rsidRPr="00812C12" w:rsidRDefault="00555C70" w:rsidP="00812C12">
            <w:pPr>
              <w:jc w:val="center"/>
              <w:rPr>
                <w:rFonts w:ascii="Arial Narrow" w:eastAsia="Times New Roman" w:hAnsi="Arial Narrow"/>
                <w:b/>
                <w:bCs/>
                <w:color w:val="000000"/>
                <w:sz w:val="22"/>
                <w:szCs w:val="22"/>
              </w:rPr>
            </w:pPr>
            <w:r w:rsidRPr="00812C12">
              <w:rPr>
                <w:rFonts w:ascii="Arial Narrow" w:eastAsia="Times New Roman" w:hAnsi="Arial Narrow"/>
                <w:b/>
                <w:bCs/>
                <w:color w:val="000000"/>
                <w:sz w:val="22"/>
                <w:szCs w:val="22"/>
              </w:rPr>
              <w:t>16</w:t>
            </w:r>
          </w:p>
        </w:tc>
        <w:tc>
          <w:tcPr>
            <w:tcW w:w="517" w:type="dxa"/>
            <w:tcBorders>
              <w:top w:val="nil"/>
              <w:left w:val="nil"/>
              <w:bottom w:val="single" w:sz="8" w:space="0" w:color="auto"/>
              <w:right w:val="nil"/>
            </w:tcBorders>
            <w:shd w:val="clear" w:color="auto" w:fill="auto"/>
            <w:vAlign w:val="center"/>
            <w:hideMark/>
          </w:tcPr>
          <w:p w14:paraId="584DD5E7" w14:textId="77777777" w:rsidR="00555C70" w:rsidRPr="00812C12" w:rsidRDefault="00555C70" w:rsidP="00555C70">
            <w:pPr>
              <w:jc w:val="center"/>
              <w:rPr>
                <w:rFonts w:ascii="Arial Narrow" w:eastAsia="Times New Roman" w:hAnsi="Arial Narrow" w:cs="Calibri"/>
                <w:b/>
                <w:bCs/>
                <w:color w:val="000000"/>
                <w:sz w:val="22"/>
                <w:szCs w:val="22"/>
              </w:rPr>
            </w:pPr>
            <w:r w:rsidRPr="00812C12">
              <w:rPr>
                <w:rFonts w:ascii="Arial Narrow" w:eastAsia="Times New Roman" w:hAnsi="Arial Narrow" w:cs="Calibri"/>
                <w:b/>
                <w:bCs/>
                <w:color w:val="000000"/>
                <w:sz w:val="22"/>
                <w:szCs w:val="22"/>
              </w:rPr>
              <w:t>1</w:t>
            </w:r>
          </w:p>
        </w:tc>
        <w:tc>
          <w:tcPr>
            <w:tcW w:w="3720" w:type="dxa"/>
            <w:gridSpan w:val="2"/>
            <w:tcBorders>
              <w:top w:val="nil"/>
              <w:left w:val="single" w:sz="8" w:space="0" w:color="auto"/>
              <w:bottom w:val="single" w:sz="8" w:space="0" w:color="auto"/>
              <w:right w:val="single" w:sz="8" w:space="0" w:color="auto"/>
            </w:tcBorders>
            <w:shd w:val="clear" w:color="auto" w:fill="auto"/>
            <w:vAlign w:val="center"/>
            <w:hideMark/>
          </w:tcPr>
          <w:p w14:paraId="3D13D875" w14:textId="77777777" w:rsidR="00555C70" w:rsidRPr="00812C12" w:rsidRDefault="00555C70" w:rsidP="00555C70">
            <w:pPr>
              <w:rPr>
                <w:rFonts w:ascii="Arial Narrow" w:eastAsia="Times New Roman" w:hAnsi="Arial Narrow"/>
                <w:b/>
                <w:bCs/>
                <w:color w:val="000000"/>
                <w:sz w:val="22"/>
                <w:szCs w:val="22"/>
                <w:lang w:val="es-CR"/>
              </w:rPr>
            </w:pPr>
            <w:r w:rsidRPr="00812C12">
              <w:rPr>
                <w:rFonts w:ascii="Arial Narrow" w:eastAsia="Times New Roman" w:hAnsi="Arial Narrow"/>
                <w:b/>
                <w:bCs/>
                <w:color w:val="000000"/>
                <w:sz w:val="22"/>
                <w:szCs w:val="22"/>
                <w:lang w:val="es-CR"/>
              </w:rPr>
              <w:t>Liquidación o cesar en sus operaciones</w:t>
            </w:r>
          </w:p>
        </w:tc>
        <w:tc>
          <w:tcPr>
            <w:tcW w:w="2144" w:type="dxa"/>
            <w:gridSpan w:val="2"/>
            <w:tcBorders>
              <w:top w:val="nil"/>
              <w:left w:val="nil"/>
              <w:bottom w:val="single" w:sz="8" w:space="0" w:color="auto"/>
              <w:right w:val="single" w:sz="8" w:space="0" w:color="auto"/>
            </w:tcBorders>
            <w:shd w:val="clear" w:color="auto" w:fill="auto"/>
            <w:vAlign w:val="center"/>
            <w:hideMark/>
          </w:tcPr>
          <w:p w14:paraId="3D63DCAB" w14:textId="77777777" w:rsidR="00555C70" w:rsidRPr="00812C12" w:rsidRDefault="00555C70" w:rsidP="00555C70">
            <w:pPr>
              <w:rPr>
                <w:rFonts w:ascii="Arial Narrow" w:eastAsia="Times New Roman" w:hAnsi="Arial Narrow" w:cs="Calibri"/>
                <w:b/>
                <w:bCs/>
                <w:color w:val="000000"/>
                <w:sz w:val="22"/>
                <w:szCs w:val="22"/>
              </w:rPr>
            </w:pPr>
            <w:r w:rsidRPr="00812C12">
              <w:rPr>
                <w:rFonts w:ascii="Arial Narrow" w:eastAsia="Times New Roman" w:hAnsi="Arial Narrow" w:cs="Calibri"/>
                <w:b/>
                <w:bCs/>
                <w:color w:val="000000"/>
                <w:sz w:val="22"/>
                <w:szCs w:val="22"/>
              </w:rPr>
              <w:t>NICSP N° 14,</w:t>
            </w:r>
            <w:r w:rsidRPr="00812C12">
              <w:rPr>
                <w:rFonts w:ascii="Arial Narrow" w:eastAsia="Times New Roman" w:hAnsi="Arial Narrow" w:cs="Calibri"/>
                <w:b/>
                <w:bCs/>
                <w:color w:val="000000"/>
                <w:sz w:val="22"/>
                <w:szCs w:val="22"/>
              </w:rPr>
              <w:br/>
              <w:t>Párrafos 18.</w:t>
            </w:r>
          </w:p>
        </w:tc>
        <w:tc>
          <w:tcPr>
            <w:tcW w:w="1882" w:type="dxa"/>
            <w:tcBorders>
              <w:top w:val="nil"/>
              <w:left w:val="nil"/>
              <w:bottom w:val="single" w:sz="8" w:space="0" w:color="auto"/>
              <w:right w:val="single" w:sz="8" w:space="0" w:color="auto"/>
            </w:tcBorders>
            <w:shd w:val="clear" w:color="auto" w:fill="auto"/>
            <w:vAlign w:val="center"/>
            <w:hideMark/>
          </w:tcPr>
          <w:p w14:paraId="3B154FA2" w14:textId="77777777" w:rsidR="00555C70" w:rsidRPr="00812C12" w:rsidRDefault="00555C70" w:rsidP="00555C70">
            <w:pPr>
              <w:jc w:val="center"/>
              <w:rPr>
                <w:rFonts w:ascii="Arial Narrow" w:eastAsia="Times New Roman" w:hAnsi="Arial Narrow" w:cs="Calibri"/>
                <w:b/>
                <w:bCs/>
                <w:color w:val="000000"/>
                <w:sz w:val="22"/>
                <w:szCs w:val="22"/>
              </w:rPr>
            </w:pPr>
            <w:r w:rsidRPr="00812C12">
              <w:rPr>
                <w:rFonts w:ascii="Arial Narrow" w:eastAsia="Times New Roman" w:hAnsi="Arial Narrow" w:cs="Calibri"/>
                <w:b/>
                <w:bCs/>
                <w:color w:val="000000"/>
                <w:sz w:val="22"/>
                <w:szCs w:val="22"/>
              </w:rPr>
              <w:t xml:space="preserve"> </w:t>
            </w:r>
          </w:p>
        </w:tc>
      </w:tr>
    </w:tbl>
    <w:p w14:paraId="0DC4D677" w14:textId="77777777" w:rsidR="00555C70" w:rsidRDefault="00555C70" w:rsidP="00555C70">
      <w:pPr>
        <w:pStyle w:val="Default"/>
        <w:jc w:val="both"/>
        <w:rPr>
          <w:sz w:val="22"/>
          <w:szCs w:val="22"/>
          <w:lang w:val="es-CR"/>
        </w:rPr>
      </w:pPr>
    </w:p>
    <w:p w14:paraId="1C09ACB2" w14:textId="77777777" w:rsidR="00812C12" w:rsidRDefault="00812C12" w:rsidP="00812C12">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662EC23" w14:textId="77777777" w:rsidR="00812C12" w:rsidRPr="00555C70" w:rsidRDefault="00812C12" w:rsidP="00555C70">
      <w:pPr>
        <w:pStyle w:val="Default"/>
        <w:jc w:val="both"/>
        <w:rPr>
          <w:sz w:val="22"/>
          <w:szCs w:val="22"/>
          <w:lang w:val="es-CR"/>
        </w:rPr>
      </w:pPr>
    </w:p>
    <w:p w14:paraId="2B905B7E" w14:textId="3A32E20F" w:rsidR="00555C70" w:rsidRDefault="00555C70" w:rsidP="00555C70">
      <w:pPr>
        <w:pStyle w:val="Default"/>
        <w:ind w:left="1134" w:hanging="1134"/>
        <w:jc w:val="both"/>
        <w:rPr>
          <w:sz w:val="22"/>
          <w:szCs w:val="22"/>
          <w:lang w:val="es-CR"/>
        </w:rPr>
      </w:pPr>
      <w:r>
        <w:rPr>
          <w:sz w:val="22"/>
          <w:szCs w:val="22"/>
          <w:lang w:val="es-CR"/>
        </w:rPr>
        <w:t>6.16.0.01</w:t>
      </w:r>
      <w:r>
        <w:rPr>
          <w:sz w:val="22"/>
          <w:szCs w:val="22"/>
          <w:lang w:val="es-CR"/>
        </w:rPr>
        <w:tab/>
      </w:r>
      <w:r w:rsidRPr="00555C70">
        <w:rPr>
          <w:sz w:val="22"/>
          <w:szCs w:val="22"/>
          <w:lang w:val="es-CR"/>
        </w:rPr>
        <w:t xml:space="preserve">La </w:t>
      </w:r>
      <w:r>
        <w:rPr>
          <w:sz w:val="22"/>
          <w:szCs w:val="22"/>
          <w:lang w:val="es-CR"/>
        </w:rPr>
        <w:t>MBA</w:t>
      </w:r>
      <w:r w:rsidRPr="00555C70">
        <w:rPr>
          <w:sz w:val="22"/>
          <w:szCs w:val="22"/>
          <w:lang w:val="es-CR"/>
        </w:rPr>
        <w:t xml:space="preserve"> </w:t>
      </w:r>
      <w:r w:rsidRPr="00555C70">
        <w:rPr>
          <w:b/>
          <w:bCs/>
          <w:sz w:val="22"/>
          <w:szCs w:val="22"/>
          <w:lang w:val="es-CR"/>
        </w:rPr>
        <w:t xml:space="preserve">no </w:t>
      </w:r>
      <w:r w:rsidRPr="00555C70">
        <w:rPr>
          <w:sz w:val="22"/>
          <w:szCs w:val="22"/>
          <w:lang w:val="es-CR"/>
        </w:rPr>
        <w:t xml:space="preserve">preparará EEFF si los responsables de preparar los mismos o el órgano de gobierno determinan, después de la fecha sobre la que se informa, que existe </w:t>
      </w:r>
      <w:r w:rsidRPr="00555C70">
        <w:rPr>
          <w:b/>
          <w:bCs/>
          <w:sz w:val="22"/>
          <w:szCs w:val="22"/>
          <w:lang w:val="es-CR"/>
        </w:rPr>
        <w:t>la intención de liquidar la entidad o cesar en sus operaciones</w:t>
      </w:r>
      <w:r w:rsidRPr="00555C70">
        <w:rPr>
          <w:sz w:val="22"/>
          <w:szCs w:val="22"/>
          <w:lang w:val="es-CR"/>
        </w:rPr>
        <w:t>, o que no existe otra alternativa más realista que hacerlo así, prevaleciendo la premisa básica de “ente en marcha”.</w:t>
      </w:r>
    </w:p>
    <w:p w14:paraId="0EE0A681" w14:textId="77777777" w:rsidR="00812C12" w:rsidRPr="00555C70" w:rsidRDefault="00812C12" w:rsidP="00555C70">
      <w:pPr>
        <w:pStyle w:val="Default"/>
        <w:ind w:left="1134" w:hanging="1134"/>
        <w:jc w:val="both"/>
        <w:rPr>
          <w:sz w:val="22"/>
          <w:szCs w:val="22"/>
          <w:lang w:val="es-CR"/>
        </w:rPr>
      </w:pPr>
    </w:p>
    <w:p w14:paraId="16AB09F1" w14:textId="22042AC5" w:rsidR="001367B2" w:rsidRPr="00555C70" w:rsidRDefault="00555C70" w:rsidP="00555C70">
      <w:pPr>
        <w:pStyle w:val="Default"/>
        <w:ind w:left="1134" w:hanging="1134"/>
        <w:jc w:val="both"/>
        <w:rPr>
          <w:sz w:val="22"/>
          <w:szCs w:val="22"/>
          <w:lang w:val="es-CR"/>
        </w:rPr>
      </w:pPr>
      <w:r>
        <w:rPr>
          <w:sz w:val="22"/>
          <w:szCs w:val="22"/>
          <w:lang w:val="es-CR"/>
        </w:rPr>
        <w:t>6.16.</w:t>
      </w:r>
      <w:r w:rsidRPr="00555C70">
        <w:rPr>
          <w:sz w:val="22"/>
          <w:szCs w:val="22"/>
          <w:lang w:val="es-CR"/>
        </w:rPr>
        <w:t>1.</w:t>
      </w:r>
      <w:r>
        <w:rPr>
          <w:sz w:val="22"/>
          <w:szCs w:val="22"/>
          <w:lang w:val="es-CR"/>
        </w:rPr>
        <w:t>01</w:t>
      </w:r>
      <w:r>
        <w:rPr>
          <w:sz w:val="22"/>
          <w:szCs w:val="22"/>
          <w:lang w:val="es-CR"/>
        </w:rPr>
        <w:tab/>
      </w:r>
      <w:r w:rsidRPr="00555C70">
        <w:rPr>
          <w:b/>
          <w:bCs/>
          <w:sz w:val="22"/>
          <w:szCs w:val="22"/>
          <w:lang w:val="es-CR"/>
        </w:rPr>
        <w:t xml:space="preserve">La intención de liquidar la entidad o cesar en sus operaciones </w:t>
      </w:r>
      <w:r w:rsidRPr="00555C70">
        <w:rPr>
          <w:sz w:val="22"/>
          <w:szCs w:val="22"/>
          <w:lang w:val="es-CR"/>
        </w:rPr>
        <w:t>deberá quedar formalizada por escrito y autorizada por autoridad competente.</w:t>
      </w:r>
    </w:p>
    <w:p w14:paraId="43694EE1" w14:textId="77777777" w:rsidR="00413A06" w:rsidRDefault="00413A06" w:rsidP="00AD41C7">
      <w:pPr>
        <w:pStyle w:val="Default"/>
        <w:jc w:val="both"/>
        <w:rPr>
          <w:sz w:val="22"/>
          <w:szCs w:val="22"/>
          <w:lang w:val="es-CR"/>
        </w:rPr>
      </w:pPr>
    </w:p>
    <w:p w14:paraId="1C8EFA3E" w14:textId="77777777" w:rsidR="00812C12" w:rsidRDefault="00812C12" w:rsidP="00AD41C7">
      <w:pPr>
        <w:pStyle w:val="Default"/>
        <w:jc w:val="both"/>
        <w:rPr>
          <w:sz w:val="22"/>
          <w:szCs w:val="22"/>
          <w:lang w:val="es-CR"/>
        </w:rPr>
      </w:pPr>
    </w:p>
    <w:p w14:paraId="37C313F7" w14:textId="77777777" w:rsidR="00812C12" w:rsidRDefault="00812C12" w:rsidP="00AD41C7">
      <w:pPr>
        <w:pStyle w:val="Default"/>
        <w:jc w:val="both"/>
        <w:rPr>
          <w:sz w:val="22"/>
          <w:szCs w:val="22"/>
          <w:lang w:val="es-CR"/>
        </w:rPr>
      </w:pPr>
    </w:p>
    <w:p w14:paraId="5AF48118" w14:textId="77777777" w:rsidR="00812C12" w:rsidRDefault="00812C12" w:rsidP="00AD41C7">
      <w:pPr>
        <w:pStyle w:val="Default"/>
        <w:jc w:val="both"/>
        <w:rPr>
          <w:sz w:val="22"/>
          <w:szCs w:val="22"/>
          <w:lang w:val="es-CR"/>
        </w:rPr>
      </w:pPr>
    </w:p>
    <w:p w14:paraId="0CAE3917" w14:textId="77777777" w:rsidR="00812C12" w:rsidRPr="00AD41C7" w:rsidRDefault="00812C12" w:rsidP="00AD41C7">
      <w:pPr>
        <w:pStyle w:val="Default"/>
        <w:jc w:val="both"/>
        <w:rPr>
          <w:sz w:val="22"/>
          <w:szCs w:val="22"/>
          <w:lang w:val="es-CR"/>
        </w:rPr>
      </w:pPr>
    </w:p>
    <w:p w14:paraId="4070C61D" w14:textId="77777777" w:rsidR="00413A06" w:rsidRPr="00AD41C7" w:rsidRDefault="00413A06" w:rsidP="00AD41C7">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96"/>
        <w:gridCol w:w="2249"/>
        <w:gridCol w:w="1851"/>
      </w:tblGrid>
      <w:tr w:rsidR="00555C70" w:rsidRPr="00555C70" w14:paraId="0C51A4E1" w14:textId="77777777" w:rsidTr="00812C12">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ADA0656" w14:textId="77777777" w:rsidR="00555C70" w:rsidRPr="00555C70" w:rsidRDefault="00555C70" w:rsidP="00555C70">
            <w:pPr>
              <w:jc w:val="center"/>
              <w:rPr>
                <w:rFonts w:ascii="Arial Narrow" w:eastAsia="Times New Roman" w:hAnsi="Arial Narrow" w:cs="Calibri"/>
                <w:b/>
                <w:bCs/>
                <w:color w:val="FFFFFF"/>
                <w:sz w:val="22"/>
                <w:szCs w:val="22"/>
              </w:rPr>
            </w:pPr>
            <w:r w:rsidRPr="00555C70">
              <w:rPr>
                <w:rFonts w:ascii="Arial Narrow" w:eastAsia="Times New Roman" w:hAnsi="Arial Narrow" w:cs="Calibri"/>
                <w:b/>
                <w:bCs/>
                <w:color w:val="FFFFFF"/>
                <w:sz w:val="22"/>
                <w:szCs w:val="22"/>
              </w:rPr>
              <w:lastRenderedPageBreak/>
              <w:t>Norma / Política</w:t>
            </w:r>
          </w:p>
        </w:tc>
        <w:tc>
          <w:tcPr>
            <w:tcW w:w="3696" w:type="dxa"/>
            <w:vMerge w:val="restart"/>
            <w:tcBorders>
              <w:top w:val="single" w:sz="8" w:space="0" w:color="auto"/>
              <w:left w:val="single" w:sz="8" w:space="0" w:color="auto"/>
              <w:bottom w:val="nil"/>
              <w:right w:val="single" w:sz="8" w:space="0" w:color="auto"/>
            </w:tcBorders>
            <w:shd w:val="clear" w:color="000000" w:fill="203764"/>
            <w:vAlign w:val="center"/>
            <w:hideMark/>
          </w:tcPr>
          <w:p w14:paraId="5931E490" w14:textId="77777777" w:rsidR="00555C70" w:rsidRPr="00555C70" w:rsidRDefault="00555C70" w:rsidP="00555C70">
            <w:pPr>
              <w:jc w:val="center"/>
              <w:rPr>
                <w:rFonts w:ascii="Arial Narrow" w:eastAsia="Times New Roman" w:hAnsi="Arial Narrow" w:cs="Calibri"/>
                <w:b/>
                <w:bCs/>
                <w:color w:val="FFFFFF"/>
                <w:sz w:val="22"/>
                <w:szCs w:val="22"/>
              </w:rPr>
            </w:pPr>
            <w:r w:rsidRPr="00555C70">
              <w:rPr>
                <w:rFonts w:ascii="Arial Narrow" w:eastAsia="Times New Roman" w:hAnsi="Arial Narrow" w:cs="Calibri"/>
                <w:b/>
                <w:bCs/>
                <w:color w:val="FFFFFF"/>
                <w:sz w:val="22"/>
                <w:szCs w:val="22"/>
              </w:rPr>
              <w:t>Concepto</w:t>
            </w:r>
          </w:p>
        </w:tc>
        <w:tc>
          <w:tcPr>
            <w:tcW w:w="4100" w:type="dxa"/>
            <w:gridSpan w:val="2"/>
            <w:tcBorders>
              <w:top w:val="single" w:sz="8" w:space="0" w:color="auto"/>
              <w:left w:val="nil"/>
              <w:bottom w:val="single" w:sz="8" w:space="0" w:color="auto"/>
              <w:right w:val="single" w:sz="8" w:space="0" w:color="000000"/>
            </w:tcBorders>
            <w:shd w:val="clear" w:color="000000" w:fill="203764"/>
            <w:vAlign w:val="center"/>
            <w:hideMark/>
          </w:tcPr>
          <w:p w14:paraId="6A1A418D" w14:textId="77777777" w:rsidR="00555C70" w:rsidRPr="00555C70" w:rsidRDefault="00555C70" w:rsidP="00555C70">
            <w:pPr>
              <w:jc w:val="center"/>
              <w:rPr>
                <w:rFonts w:ascii="Arial Narrow" w:eastAsia="Times New Roman" w:hAnsi="Arial Narrow" w:cs="Calibri"/>
                <w:b/>
                <w:bCs/>
                <w:color w:val="FFFFFF"/>
                <w:sz w:val="22"/>
                <w:szCs w:val="22"/>
              </w:rPr>
            </w:pPr>
            <w:r w:rsidRPr="00555C70">
              <w:rPr>
                <w:rFonts w:ascii="Arial Narrow" w:eastAsia="Times New Roman" w:hAnsi="Arial Narrow" w:cs="Calibri"/>
                <w:b/>
                <w:bCs/>
                <w:color w:val="FFFFFF"/>
                <w:sz w:val="22"/>
                <w:szCs w:val="22"/>
              </w:rPr>
              <w:t>Referencia</w:t>
            </w:r>
          </w:p>
        </w:tc>
      </w:tr>
      <w:tr w:rsidR="00555C70" w:rsidRPr="006E5442" w14:paraId="77C02CD1" w14:textId="77777777" w:rsidTr="00812C12">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32EF95F" w14:textId="77777777" w:rsidR="00555C70" w:rsidRPr="00555C70" w:rsidRDefault="00555C70" w:rsidP="00555C70">
            <w:pPr>
              <w:rPr>
                <w:rFonts w:ascii="Arial Narrow" w:eastAsia="Times New Roman" w:hAnsi="Arial Narrow" w:cs="Calibri"/>
                <w:b/>
                <w:bCs/>
                <w:color w:val="FFFFFF"/>
                <w:sz w:val="22"/>
                <w:szCs w:val="22"/>
              </w:rPr>
            </w:pPr>
          </w:p>
        </w:tc>
        <w:tc>
          <w:tcPr>
            <w:tcW w:w="3696" w:type="dxa"/>
            <w:vMerge/>
            <w:tcBorders>
              <w:top w:val="single" w:sz="8" w:space="0" w:color="auto"/>
              <w:left w:val="single" w:sz="8" w:space="0" w:color="auto"/>
              <w:bottom w:val="nil"/>
              <w:right w:val="single" w:sz="8" w:space="0" w:color="auto"/>
            </w:tcBorders>
            <w:vAlign w:val="center"/>
            <w:hideMark/>
          </w:tcPr>
          <w:p w14:paraId="2C217CBE" w14:textId="77777777" w:rsidR="00555C70" w:rsidRPr="00555C70" w:rsidRDefault="00555C70" w:rsidP="00555C70">
            <w:pPr>
              <w:rPr>
                <w:rFonts w:ascii="Arial Narrow" w:eastAsia="Times New Roman" w:hAnsi="Arial Narrow" w:cs="Calibri"/>
                <w:b/>
                <w:bCs/>
                <w:color w:val="FFFFFF"/>
                <w:sz w:val="22"/>
                <w:szCs w:val="22"/>
              </w:rPr>
            </w:pPr>
          </w:p>
        </w:tc>
        <w:tc>
          <w:tcPr>
            <w:tcW w:w="2249" w:type="dxa"/>
            <w:tcBorders>
              <w:top w:val="nil"/>
              <w:left w:val="nil"/>
              <w:bottom w:val="nil"/>
              <w:right w:val="single" w:sz="8" w:space="0" w:color="auto"/>
            </w:tcBorders>
            <w:shd w:val="clear" w:color="000000" w:fill="203764"/>
            <w:vAlign w:val="center"/>
            <w:hideMark/>
          </w:tcPr>
          <w:p w14:paraId="1BBB4697" w14:textId="77777777" w:rsidR="00555C70" w:rsidRPr="00555C70" w:rsidRDefault="00555C70" w:rsidP="00555C70">
            <w:pPr>
              <w:jc w:val="center"/>
              <w:rPr>
                <w:rFonts w:ascii="Arial Narrow" w:eastAsia="Times New Roman" w:hAnsi="Arial Narrow" w:cs="Calibri"/>
                <w:b/>
                <w:bCs/>
                <w:color w:val="FFFFFF"/>
                <w:sz w:val="22"/>
                <w:szCs w:val="22"/>
              </w:rPr>
            </w:pPr>
            <w:r w:rsidRPr="00555C70">
              <w:rPr>
                <w:rFonts w:ascii="Arial Narrow" w:eastAsia="Times New Roman" w:hAnsi="Arial Narrow" w:cs="Calibri"/>
                <w:b/>
                <w:bCs/>
                <w:color w:val="FFFFFF"/>
                <w:sz w:val="22"/>
                <w:szCs w:val="22"/>
              </w:rPr>
              <w:t>Norma</w:t>
            </w:r>
          </w:p>
        </w:tc>
        <w:tc>
          <w:tcPr>
            <w:tcW w:w="1851" w:type="dxa"/>
            <w:tcBorders>
              <w:top w:val="nil"/>
              <w:left w:val="nil"/>
              <w:bottom w:val="nil"/>
              <w:right w:val="single" w:sz="8" w:space="0" w:color="auto"/>
            </w:tcBorders>
            <w:shd w:val="clear" w:color="000000" w:fill="203764"/>
            <w:vAlign w:val="center"/>
            <w:hideMark/>
          </w:tcPr>
          <w:p w14:paraId="7A8FBFDB" w14:textId="77777777" w:rsidR="00555C70" w:rsidRPr="00555C70" w:rsidRDefault="00555C70" w:rsidP="00555C70">
            <w:pPr>
              <w:jc w:val="center"/>
              <w:rPr>
                <w:rFonts w:ascii="Arial Narrow" w:eastAsia="Times New Roman" w:hAnsi="Arial Narrow" w:cs="Calibri"/>
                <w:b/>
                <w:bCs/>
                <w:color w:val="FFFFFF"/>
                <w:sz w:val="22"/>
                <w:szCs w:val="22"/>
                <w:lang w:val="es-CR"/>
              </w:rPr>
            </w:pPr>
            <w:r w:rsidRPr="00555C70">
              <w:rPr>
                <w:rFonts w:ascii="Arial Narrow" w:eastAsia="Times New Roman" w:hAnsi="Arial Narrow" w:cs="Calibri"/>
                <w:b/>
                <w:bCs/>
                <w:color w:val="FFFFFF"/>
                <w:sz w:val="22"/>
                <w:szCs w:val="22"/>
                <w:lang w:val="es-CR"/>
              </w:rPr>
              <w:t>Normativa técnica y disposiciones adicionales</w:t>
            </w:r>
          </w:p>
        </w:tc>
      </w:tr>
      <w:tr w:rsidR="00555C70" w:rsidRPr="00555C70" w14:paraId="487A179D" w14:textId="77777777" w:rsidTr="00812C1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843C4C" w14:textId="77777777" w:rsidR="00555C70" w:rsidRPr="00555C70" w:rsidRDefault="00555C70" w:rsidP="00555C70">
            <w:pPr>
              <w:jc w:val="center"/>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609F884" w14:textId="77777777" w:rsidR="00555C70" w:rsidRPr="00555C70" w:rsidRDefault="00555C70" w:rsidP="00555C70">
            <w:pPr>
              <w:jc w:val="center"/>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17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078FAFAE" w14:textId="77777777" w:rsidR="00555C70" w:rsidRPr="00555C70" w:rsidRDefault="00555C70" w:rsidP="00555C70">
            <w:pPr>
              <w:jc w:val="center"/>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 xml:space="preserve"> </w:t>
            </w:r>
          </w:p>
        </w:tc>
        <w:tc>
          <w:tcPr>
            <w:tcW w:w="3696" w:type="dxa"/>
            <w:tcBorders>
              <w:top w:val="single" w:sz="8" w:space="0" w:color="auto"/>
              <w:left w:val="nil"/>
              <w:bottom w:val="single" w:sz="8" w:space="0" w:color="auto"/>
              <w:right w:val="single" w:sz="8" w:space="0" w:color="auto"/>
            </w:tcBorders>
            <w:shd w:val="clear" w:color="auto" w:fill="auto"/>
            <w:vAlign w:val="center"/>
            <w:hideMark/>
          </w:tcPr>
          <w:p w14:paraId="2E5363E1" w14:textId="77777777" w:rsidR="00555C70" w:rsidRPr="00555C70" w:rsidRDefault="00555C70" w:rsidP="00555C70">
            <w:pPr>
              <w:jc w:val="both"/>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Reestructuración</w:t>
            </w:r>
          </w:p>
        </w:tc>
        <w:tc>
          <w:tcPr>
            <w:tcW w:w="2249" w:type="dxa"/>
            <w:tcBorders>
              <w:top w:val="single" w:sz="8" w:space="0" w:color="auto"/>
              <w:left w:val="nil"/>
              <w:bottom w:val="single" w:sz="8" w:space="0" w:color="auto"/>
              <w:right w:val="single" w:sz="8" w:space="0" w:color="auto"/>
            </w:tcBorders>
            <w:shd w:val="clear" w:color="auto" w:fill="auto"/>
            <w:vAlign w:val="center"/>
            <w:hideMark/>
          </w:tcPr>
          <w:p w14:paraId="7DE6BAFE" w14:textId="77777777" w:rsidR="00812C12" w:rsidRDefault="00555C70" w:rsidP="00555C70">
            <w:pPr>
              <w:jc w:val="both"/>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NICSP N° 14,</w:t>
            </w:r>
          </w:p>
          <w:p w14:paraId="502B7505" w14:textId="7378D741" w:rsidR="00555C70" w:rsidRPr="00555C70" w:rsidRDefault="00555C70" w:rsidP="00555C70">
            <w:pPr>
              <w:jc w:val="both"/>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Párrafo 25.</w:t>
            </w:r>
          </w:p>
        </w:tc>
        <w:tc>
          <w:tcPr>
            <w:tcW w:w="1851" w:type="dxa"/>
            <w:tcBorders>
              <w:top w:val="single" w:sz="8" w:space="0" w:color="auto"/>
              <w:left w:val="nil"/>
              <w:bottom w:val="single" w:sz="8" w:space="0" w:color="auto"/>
              <w:right w:val="single" w:sz="8" w:space="0" w:color="auto"/>
            </w:tcBorders>
            <w:shd w:val="clear" w:color="auto" w:fill="auto"/>
            <w:vAlign w:val="center"/>
            <w:hideMark/>
          </w:tcPr>
          <w:p w14:paraId="2E352931" w14:textId="77777777" w:rsidR="00555C70" w:rsidRPr="00555C70" w:rsidRDefault="00555C70" w:rsidP="00555C70">
            <w:pPr>
              <w:jc w:val="center"/>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 xml:space="preserve"> </w:t>
            </w:r>
          </w:p>
        </w:tc>
      </w:tr>
    </w:tbl>
    <w:p w14:paraId="125D561A" w14:textId="77777777" w:rsidR="00413A06" w:rsidRDefault="00413A06" w:rsidP="00AD41C7">
      <w:pPr>
        <w:pStyle w:val="Default"/>
        <w:jc w:val="both"/>
        <w:rPr>
          <w:sz w:val="22"/>
          <w:szCs w:val="22"/>
          <w:lang w:val="es-CR"/>
        </w:rPr>
      </w:pPr>
    </w:p>
    <w:p w14:paraId="63FFD96F" w14:textId="77777777" w:rsidR="00812C12" w:rsidRDefault="00812C12" w:rsidP="00812C12">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0D0C41A" w14:textId="77777777" w:rsidR="00812C12" w:rsidRPr="00AD41C7" w:rsidRDefault="00812C12" w:rsidP="00AD41C7">
      <w:pPr>
        <w:pStyle w:val="Default"/>
        <w:jc w:val="both"/>
        <w:rPr>
          <w:sz w:val="22"/>
          <w:szCs w:val="22"/>
          <w:lang w:val="es-CR"/>
        </w:rPr>
      </w:pPr>
    </w:p>
    <w:p w14:paraId="42F4A859" w14:textId="633F3AEA" w:rsidR="00555C70" w:rsidRDefault="00555C70" w:rsidP="00555C70">
      <w:pPr>
        <w:pStyle w:val="Default"/>
        <w:ind w:left="1134" w:hanging="1134"/>
        <w:jc w:val="both"/>
        <w:rPr>
          <w:sz w:val="22"/>
          <w:szCs w:val="22"/>
          <w:lang w:val="es-CR"/>
        </w:rPr>
      </w:pPr>
      <w:r>
        <w:rPr>
          <w:sz w:val="23"/>
          <w:szCs w:val="23"/>
          <w:lang w:val="es-CR"/>
        </w:rPr>
        <w:t>6.17.0.01</w:t>
      </w:r>
      <w:r>
        <w:rPr>
          <w:sz w:val="23"/>
          <w:szCs w:val="23"/>
          <w:lang w:val="es-CR"/>
        </w:rPr>
        <w:tab/>
      </w:r>
      <w:r w:rsidRPr="00555C70">
        <w:rPr>
          <w:sz w:val="23"/>
          <w:szCs w:val="23"/>
          <w:lang w:val="es-CR"/>
        </w:rPr>
        <w:t xml:space="preserve">Cuando una reestructuración anunciada después de la fecha sobre la que se informa se ajusta a la </w:t>
      </w:r>
      <w:r w:rsidRPr="00555C70">
        <w:rPr>
          <w:sz w:val="22"/>
          <w:szCs w:val="22"/>
          <w:lang w:val="es-CR"/>
        </w:rPr>
        <w:t>definición de un hecho que no implica ajuste, se realizará una adecuada revelación de información sobre el particular.</w:t>
      </w:r>
    </w:p>
    <w:p w14:paraId="32BF8E46" w14:textId="77777777" w:rsidR="00555C70" w:rsidRPr="00555C70" w:rsidRDefault="00555C70" w:rsidP="00555C70">
      <w:pPr>
        <w:pStyle w:val="Default"/>
        <w:ind w:left="1134" w:hanging="1134"/>
        <w:jc w:val="both"/>
        <w:rPr>
          <w:sz w:val="22"/>
          <w:szCs w:val="22"/>
          <w:lang w:val="es-CR"/>
        </w:rPr>
      </w:pPr>
    </w:p>
    <w:p w14:paraId="0F9E4B01" w14:textId="3EEB260A" w:rsidR="00413A06" w:rsidRPr="00AD41C7" w:rsidRDefault="00555C70" w:rsidP="00555C70">
      <w:pPr>
        <w:pStyle w:val="Default"/>
        <w:ind w:left="1134"/>
        <w:jc w:val="both"/>
        <w:rPr>
          <w:sz w:val="22"/>
          <w:szCs w:val="22"/>
          <w:lang w:val="es-CR"/>
        </w:rPr>
      </w:pPr>
      <w:r w:rsidRPr="00555C70">
        <w:rPr>
          <w:sz w:val="22"/>
          <w:szCs w:val="22"/>
          <w:lang w:val="es-CR"/>
        </w:rPr>
        <w:t>El simple hecho de que una reestructuración implique la disposición de un componente de la entidad, no conduce a cuestionarse la capacidad de la entidad para continuar siendo un negocio en marcha. Sin embargo, cuando una reestructuración anunciada después de la fecha sobre la que se informa implica que una entidad ya no se considera un ente en marcha, pueden cambiar la</w:t>
      </w:r>
      <w:r w:rsidRPr="00555C70">
        <w:rPr>
          <w:sz w:val="23"/>
          <w:szCs w:val="23"/>
          <w:lang w:val="es-CR"/>
        </w:rPr>
        <w:t xml:space="preserve"> naturaleza y los importes de activos y pasivos.</w:t>
      </w:r>
    </w:p>
    <w:p w14:paraId="70255A33" w14:textId="77777777" w:rsidR="00413A06" w:rsidRDefault="00413A06" w:rsidP="00AD41C7">
      <w:pPr>
        <w:pStyle w:val="Default"/>
        <w:jc w:val="both"/>
        <w:rPr>
          <w:sz w:val="22"/>
          <w:szCs w:val="22"/>
          <w:lang w:val="es-CR"/>
        </w:rPr>
      </w:pPr>
    </w:p>
    <w:p w14:paraId="23F9CD61" w14:textId="77777777" w:rsidR="00812C12" w:rsidRPr="00AD41C7" w:rsidRDefault="00812C12" w:rsidP="00AD41C7">
      <w:pPr>
        <w:pStyle w:val="Default"/>
        <w:jc w:val="both"/>
        <w:rPr>
          <w:sz w:val="22"/>
          <w:szCs w:val="22"/>
          <w:lang w:val="es-CR"/>
        </w:rPr>
      </w:pPr>
    </w:p>
    <w:p w14:paraId="49728DEC" w14:textId="77777777" w:rsidR="00413A06" w:rsidRPr="00AD41C7" w:rsidRDefault="00413A06" w:rsidP="00AD41C7">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89"/>
        <w:gridCol w:w="2253"/>
        <w:gridCol w:w="1854"/>
      </w:tblGrid>
      <w:tr w:rsidR="00555C70" w:rsidRPr="00555C70" w14:paraId="26434F6E" w14:textId="77777777" w:rsidTr="00812C12">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0E64816" w14:textId="77777777" w:rsidR="00555C70" w:rsidRPr="00555C70" w:rsidRDefault="00555C70" w:rsidP="00555C70">
            <w:pPr>
              <w:jc w:val="center"/>
              <w:rPr>
                <w:rFonts w:ascii="Arial Narrow" w:eastAsia="Times New Roman" w:hAnsi="Arial Narrow" w:cs="Calibri"/>
                <w:b/>
                <w:bCs/>
                <w:color w:val="FFFFFF"/>
                <w:sz w:val="22"/>
                <w:szCs w:val="22"/>
              </w:rPr>
            </w:pPr>
            <w:r w:rsidRPr="00555C70">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6835A1" w14:textId="77777777" w:rsidR="00555C70" w:rsidRPr="00555C70" w:rsidRDefault="00555C70" w:rsidP="00555C70">
            <w:pPr>
              <w:jc w:val="center"/>
              <w:rPr>
                <w:rFonts w:ascii="Arial Narrow" w:eastAsia="Times New Roman" w:hAnsi="Arial Narrow" w:cs="Calibri"/>
                <w:b/>
                <w:bCs/>
                <w:color w:val="FFFFFF"/>
                <w:sz w:val="22"/>
                <w:szCs w:val="22"/>
              </w:rPr>
            </w:pPr>
            <w:r w:rsidRPr="00555C70">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61DE3FD2" w14:textId="77777777" w:rsidR="00555C70" w:rsidRPr="00555C70" w:rsidRDefault="00555C70" w:rsidP="00555C70">
            <w:pPr>
              <w:jc w:val="center"/>
              <w:rPr>
                <w:rFonts w:ascii="Arial Narrow" w:eastAsia="Times New Roman" w:hAnsi="Arial Narrow" w:cs="Calibri"/>
                <w:b/>
                <w:bCs/>
                <w:color w:val="FFFFFF"/>
                <w:sz w:val="22"/>
                <w:szCs w:val="22"/>
              </w:rPr>
            </w:pPr>
            <w:r w:rsidRPr="00555C70">
              <w:rPr>
                <w:rFonts w:ascii="Arial Narrow" w:eastAsia="Times New Roman" w:hAnsi="Arial Narrow" w:cs="Calibri"/>
                <w:b/>
                <w:bCs/>
                <w:color w:val="FFFFFF"/>
                <w:sz w:val="22"/>
                <w:szCs w:val="22"/>
              </w:rPr>
              <w:t>Referencia</w:t>
            </w:r>
          </w:p>
        </w:tc>
      </w:tr>
      <w:tr w:rsidR="00555C70" w:rsidRPr="006E5442" w14:paraId="663EFCA9" w14:textId="77777777" w:rsidTr="00812C12">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7F4AF743" w14:textId="77777777" w:rsidR="00555C70" w:rsidRPr="00555C70" w:rsidRDefault="00555C70" w:rsidP="00555C70">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79FCD067" w14:textId="77777777" w:rsidR="00555C70" w:rsidRPr="00555C70" w:rsidRDefault="00555C70" w:rsidP="00555C70">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72D4046A" w14:textId="77777777" w:rsidR="00555C70" w:rsidRPr="00555C70" w:rsidRDefault="00555C70" w:rsidP="00555C70">
            <w:pPr>
              <w:jc w:val="center"/>
              <w:rPr>
                <w:rFonts w:ascii="Arial Narrow" w:eastAsia="Times New Roman" w:hAnsi="Arial Narrow" w:cs="Calibri"/>
                <w:b/>
                <w:bCs/>
                <w:color w:val="FFFFFF"/>
                <w:sz w:val="22"/>
                <w:szCs w:val="22"/>
              </w:rPr>
            </w:pPr>
            <w:r w:rsidRPr="00555C70">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4ABA403B" w14:textId="77777777" w:rsidR="00555C70" w:rsidRPr="00555C70" w:rsidRDefault="00555C70" w:rsidP="00555C70">
            <w:pPr>
              <w:jc w:val="center"/>
              <w:rPr>
                <w:rFonts w:ascii="Arial Narrow" w:eastAsia="Times New Roman" w:hAnsi="Arial Narrow" w:cs="Calibri"/>
                <w:b/>
                <w:bCs/>
                <w:color w:val="FFFFFF"/>
                <w:sz w:val="22"/>
                <w:szCs w:val="22"/>
                <w:lang w:val="es-CR"/>
              </w:rPr>
            </w:pPr>
            <w:r w:rsidRPr="00555C70">
              <w:rPr>
                <w:rFonts w:ascii="Arial Narrow" w:eastAsia="Times New Roman" w:hAnsi="Arial Narrow" w:cs="Calibri"/>
                <w:b/>
                <w:bCs/>
                <w:color w:val="FFFFFF"/>
                <w:sz w:val="22"/>
                <w:szCs w:val="22"/>
                <w:lang w:val="es-CR"/>
              </w:rPr>
              <w:t>Normativa técnica y disposiciones adicionales</w:t>
            </w:r>
          </w:p>
        </w:tc>
      </w:tr>
      <w:tr w:rsidR="00555C70" w:rsidRPr="00555C70" w14:paraId="13DD3E8A" w14:textId="77777777" w:rsidTr="00812C1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6FC872" w14:textId="77777777" w:rsidR="00555C70" w:rsidRPr="00555C70" w:rsidRDefault="00555C70" w:rsidP="00555C70">
            <w:pPr>
              <w:jc w:val="center"/>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0698A37" w14:textId="77777777" w:rsidR="00555C70" w:rsidRPr="00555C70" w:rsidRDefault="00555C70" w:rsidP="00555C70">
            <w:pPr>
              <w:jc w:val="center"/>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18</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1BE840CA" w14:textId="77777777" w:rsidR="00555C70" w:rsidRPr="00555C70" w:rsidRDefault="00555C70" w:rsidP="00555C70">
            <w:pPr>
              <w:jc w:val="center"/>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 xml:space="preserve">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380A52EF" w14:textId="77777777" w:rsidR="00555C70" w:rsidRPr="00555C70" w:rsidRDefault="00555C70" w:rsidP="00555C70">
            <w:pPr>
              <w:jc w:val="both"/>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Información a revelar</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33638FE4" w14:textId="77777777" w:rsidR="00812C12" w:rsidRDefault="00555C70" w:rsidP="00555C70">
            <w:pPr>
              <w:jc w:val="both"/>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NICSP N° 14,</w:t>
            </w:r>
          </w:p>
          <w:p w14:paraId="7F1C7496" w14:textId="1E1F5744" w:rsidR="00555C70" w:rsidRPr="00555C70" w:rsidRDefault="00555C70" w:rsidP="00555C70">
            <w:pPr>
              <w:jc w:val="both"/>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Párrafos 26, 28 y 30.</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01B18F90" w14:textId="77777777" w:rsidR="00555C70" w:rsidRPr="00555C70" w:rsidRDefault="00555C70" w:rsidP="00555C70">
            <w:pPr>
              <w:jc w:val="center"/>
              <w:rPr>
                <w:rFonts w:ascii="Arial Narrow" w:eastAsia="Times New Roman" w:hAnsi="Arial Narrow" w:cs="Calibri"/>
                <w:b/>
                <w:bCs/>
                <w:color w:val="000000"/>
                <w:sz w:val="22"/>
                <w:szCs w:val="22"/>
              </w:rPr>
            </w:pPr>
            <w:r w:rsidRPr="00555C70">
              <w:rPr>
                <w:rFonts w:ascii="Arial Narrow" w:eastAsia="Times New Roman" w:hAnsi="Arial Narrow" w:cs="Calibri"/>
                <w:b/>
                <w:bCs/>
                <w:color w:val="000000"/>
                <w:sz w:val="22"/>
                <w:szCs w:val="22"/>
              </w:rPr>
              <w:t xml:space="preserve"> </w:t>
            </w:r>
          </w:p>
        </w:tc>
      </w:tr>
    </w:tbl>
    <w:p w14:paraId="12500404" w14:textId="77777777" w:rsidR="008E4648" w:rsidRDefault="008E4648" w:rsidP="00AD41C7">
      <w:pPr>
        <w:pStyle w:val="Default"/>
        <w:jc w:val="both"/>
        <w:rPr>
          <w:sz w:val="22"/>
          <w:szCs w:val="22"/>
          <w:lang w:val="es-CR"/>
        </w:rPr>
      </w:pPr>
    </w:p>
    <w:p w14:paraId="7132ED87" w14:textId="77777777" w:rsidR="00812C12" w:rsidRPr="00812C12" w:rsidRDefault="00812C12" w:rsidP="00812C12">
      <w:pPr>
        <w:pStyle w:val="Default"/>
        <w:ind w:left="1134" w:hanging="1134"/>
        <w:jc w:val="both"/>
        <w:rPr>
          <w:rFonts w:eastAsia="Arial"/>
          <w:b/>
          <w:sz w:val="22"/>
          <w:szCs w:val="22"/>
          <w:lang w:val="es-CR"/>
        </w:rPr>
      </w:pPr>
      <w:r w:rsidRPr="00812C12">
        <w:rPr>
          <w:rFonts w:eastAsia="Arial"/>
          <w:b/>
          <w:sz w:val="22"/>
          <w:szCs w:val="22"/>
          <w:lang w:val="es-CR"/>
        </w:rPr>
        <w:t>Políticas Contables</w:t>
      </w:r>
    </w:p>
    <w:p w14:paraId="5FD7B476" w14:textId="77777777" w:rsidR="00812C12" w:rsidRPr="00AD41C7" w:rsidRDefault="00812C12" w:rsidP="00AD41C7">
      <w:pPr>
        <w:pStyle w:val="Default"/>
        <w:jc w:val="both"/>
        <w:rPr>
          <w:sz w:val="22"/>
          <w:szCs w:val="22"/>
          <w:lang w:val="es-CR"/>
        </w:rPr>
      </w:pPr>
    </w:p>
    <w:p w14:paraId="6B0E03B4" w14:textId="63FCAEB2" w:rsidR="007448D2" w:rsidRDefault="00812C12" w:rsidP="00812C12">
      <w:pPr>
        <w:pStyle w:val="Default"/>
        <w:ind w:left="1134" w:hanging="1134"/>
        <w:jc w:val="both"/>
        <w:rPr>
          <w:sz w:val="22"/>
          <w:szCs w:val="22"/>
          <w:lang w:val="es-CR"/>
        </w:rPr>
      </w:pPr>
      <w:r>
        <w:rPr>
          <w:sz w:val="22"/>
          <w:szCs w:val="22"/>
          <w:lang w:val="es-CR"/>
        </w:rPr>
        <w:t>6.18.0.01</w:t>
      </w:r>
      <w:r>
        <w:rPr>
          <w:sz w:val="22"/>
          <w:szCs w:val="22"/>
          <w:lang w:val="es-CR"/>
        </w:rPr>
        <w:tab/>
      </w:r>
      <w:r w:rsidR="007448D2" w:rsidRPr="00812C12">
        <w:rPr>
          <w:sz w:val="22"/>
          <w:szCs w:val="22"/>
          <w:lang w:val="es-CR"/>
        </w:rPr>
        <w:t>Las entidades deberán revelar en Notas a los EEFF, lo siguiente:</w:t>
      </w:r>
    </w:p>
    <w:p w14:paraId="13C5B892" w14:textId="77777777" w:rsidR="00812C12" w:rsidRPr="00812C12" w:rsidRDefault="00812C12" w:rsidP="00812C12">
      <w:pPr>
        <w:pStyle w:val="Default"/>
        <w:jc w:val="both"/>
        <w:rPr>
          <w:sz w:val="22"/>
          <w:szCs w:val="22"/>
          <w:lang w:val="es-CR"/>
        </w:rPr>
      </w:pPr>
    </w:p>
    <w:p w14:paraId="13B10E20" w14:textId="0E92953D" w:rsidR="007448D2" w:rsidRPr="00812C12" w:rsidRDefault="007448D2" w:rsidP="00812C12">
      <w:pPr>
        <w:pStyle w:val="Default"/>
        <w:numPr>
          <w:ilvl w:val="0"/>
          <w:numId w:val="430"/>
        </w:numPr>
        <w:spacing w:after="120"/>
        <w:ind w:left="1418" w:hanging="284"/>
        <w:jc w:val="both"/>
        <w:rPr>
          <w:sz w:val="22"/>
          <w:szCs w:val="22"/>
          <w:lang w:val="es-CR"/>
        </w:rPr>
      </w:pPr>
      <w:r w:rsidRPr="00812C12">
        <w:rPr>
          <w:b/>
          <w:bCs/>
          <w:sz w:val="22"/>
          <w:szCs w:val="22"/>
          <w:lang w:val="es-CR"/>
        </w:rPr>
        <w:t xml:space="preserve">Fecha de autorización: </w:t>
      </w:r>
      <w:r w:rsidRPr="00812C12">
        <w:rPr>
          <w:sz w:val="22"/>
          <w:szCs w:val="22"/>
          <w:lang w:val="es-CR"/>
        </w:rPr>
        <w:t xml:space="preserve">para emisión de los EEFF y la fecha en que han sido autorizados para su publicación, así como quién ha dado esta autorización. En el caso de que otro órgano tenga poder para modificar los EEFF tras la emisión, la entidad deberá revelar este hecho. </w:t>
      </w:r>
    </w:p>
    <w:p w14:paraId="0A778D50" w14:textId="20AD4EFE" w:rsidR="007448D2" w:rsidRPr="00812C12" w:rsidRDefault="007448D2" w:rsidP="00812C12">
      <w:pPr>
        <w:pStyle w:val="Default"/>
        <w:numPr>
          <w:ilvl w:val="0"/>
          <w:numId w:val="430"/>
        </w:numPr>
        <w:spacing w:after="120"/>
        <w:ind w:left="1418" w:hanging="284"/>
        <w:jc w:val="both"/>
        <w:rPr>
          <w:sz w:val="22"/>
          <w:szCs w:val="22"/>
          <w:lang w:val="es-CR"/>
        </w:rPr>
      </w:pPr>
      <w:r w:rsidRPr="00812C12">
        <w:rPr>
          <w:b/>
          <w:bCs/>
          <w:sz w:val="22"/>
          <w:szCs w:val="22"/>
          <w:lang w:val="es-CR"/>
        </w:rPr>
        <w:t xml:space="preserve">Actualización de las revelaciones sobre condiciones existentes a la fecha sobre la que se informa: </w:t>
      </w:r>
      <w:r w:rsidRPr="00812C12">
        <w:rPr>
          <w:sz w:val="22"/>
          <w:szCs w:val="22"/>
          <w:lang w:val="es-CR"/>
        </w:rPr>
        <w:t xml:space="preserve">si después de la fecha de los EEFF, pero antes de que los mismos fueran autorizados para su emisión, una entidad recibe información acerca de condiciones que existían ya en dicha fecha, a la luz de la información recibida debe actualizar las revelaciones que estén relacionadas con tales condiciones. </w:t>
      </w:r>
    </w:p>
    <w:p w14:paraId="2774E592" w14:textId="068FD736" w:rsidR="007448D2" w:rsidRPr="00812C12" w:rsidRDefault="007448D2" w:rsidP="00812C12">
      <w:pPr>
        <w:pStyle w:val="Default"/>
        <w:numPr>
          <w:ilvl w:val="0"/>
          <w:numId w:val="430"/>
        </w:numPr>
        <w:spacing w:after="120"/>
        <w:ind w:left="1418" w:hanging="284"/>
        <w:jc w:val="both"/>
        <w:rPr>
          <w:sz w:val="22"/>
          <w:szCs w:val="22"/>
          <w:lang w:val="es-CR"/>
        </w:rPr>
      </w:pPr>
      <w:r w:rsidRPr="00812C12">
        <w:rPr>
          <w:b/>
          <w:bCs/>
          <w:sz w:val="22"/>
          <w:szCs w:val="22"/>
          <w:lang w:val="es-CR"/>
        </w:rPr>
        <w:t xml:space="preserve">Revelación de hechos ocurridos después de la fecha sobre la que se informa y que no implican ajustes: </w:t>
      </w:r>
      <w:r w:rsidRPr="00812C12">
        <w:rPr>
          <w:sz w:val="22"/>
          <w:szCs w:val="22"/>
          <w:lang w:val="es-CR"/>
        </w:rPr>
        <w:t xml:space="preserve">la información tiene importancia relativa, o es material, cuando su omisión o presentación errónea pueda influir en las decisiones económicas de los usuarios, tomadas a partir de los EEFF. Concordantemente, las entidades deberán revelar la siguiente información para cada una de las categorías significativas de hechos ocurridos después de la fecha sobre la que se informa, que no implican ajustes: </w:t>
      </w:r>
    </w:p>
    <w:p w14:paraId="4A97CBA9" w14:textId="2FFCC6A8" w:rsidR="007448D2" w:rsidRPr="00812C12" w:rsidRDefault="00812C12" w:rsidP="00812C12">
      <w:pPr>
        <w:pStyle w:val="Default"/>
        <w:numPr>
          <w:ilvl w:val="0"/>
          <w:numId w:val="431"/>
        </w:numPr>
        <w:spacing w:after="120"/>
        <w:ind w:left="1701" w:hanging="141"/>
        <w:jc w:val="both"/>
        <w:rPr>
          <w:sz w:val="22"/>
          <w:szCs w:val="22"/>
          <w:lang w:val="es-CR"/>
        </w:rPr>
      </w:pPr>
      <w:r>
        <w:rPr>
          <w:sz w:val="22"/>
          <w:szCs w:val="22"/>
          <w:lang w:val="es-CR"/>
        </w:rPr>
        <w:t>L</w:t>
      </w:r>
      <w:r w:rsidR="007448D2" w:rsidRPr="00812C12">
        <w:rPr>
          <w:sz w:val="22"/>
          <w:szCs w:val="22"/>
          <w:lang w:val="es-CR"/>
        </w:rPr>
        <w:t xml:space="preserve">a naturaleza del evento; y </w:t>
      </w:r>
    </w:p>
    <w:p w14:paraId="3C6CE005" w14:textId="1BF59259" w:rsidR="007448D2" w:rsidRPr="00812C12" w:rsidRDefault="00812C12" w:rsidP="00812C12">
      <w:pPr>
        <w:pStyle w:val="Default"/>
        <w:numPr>
          <w:ilvl w:val="0"/>
          <w:numId w:val="431"/>
        </w:numPr>
        <w:spacing w:after="120"/>
        <w:ind w:left="1701" w:hanging="141"/>
        <w:jc w:val="both"/>
        <w:rPr>
          <w:sz w:val="22"/>
          <w:szCs w:val="22"/>
          <w:lang w:val="es-CR"/>
        </w:rPr>
      </w:pPr>
      <w:r>
        <w:rPr>
          <w:sz w:val="22"/>
          <w:szCs w:val="22"/>
          <w:lang w:val="es-CR"/>
        </w:rPr>
        <w:lastRenderedPageBreak/>
        <w:t>U</w:t>
      </w:r>
      <w:r w:rsidR="007448D2" w:rsidRPr="00812C12">
        <w:rPr>
          <w:sz w:val="22"/>
          <w:szCs w:val="22"/>
          <w:lang w:val="es-CR"/>
        </w:rPr>
        <w:t xml:space="preserve">na estimación de sus efectos financieros, o un pronunciamiento sobre la imposibilidad de realizar tal estimación. </w:t>
      </w:r>
    </w:p>
    <w:p w14:paraId="37DB008D" w14:textId="1A078B19" w:rsidR="007448D2" w:rsidRDefault="007448D2" w:rsidP="007448D2">
      <w:pPr>
        <w:pStyle w:val="Default"/>
        <w:rPr>
          <w:sz w:val="23"/>
          <w:szCs w:val="23"/>
          <w:lang w:val="es-CR"/>
        </w:rPr>
      </w:pPr>
    </w:p>
    <w:p w14:paraId="17EEC87C" w14:textId="77777777" w:rsidR="00812C12" w:rsidRDefault="00812C12" w:rsidP="007448D2">
      <w:pPr>
        <w:pStyle w:val="Default"/>
        <w:rPr>
          <w:sz w:val="23"/>
          <w:szCs w:val="23"/>
          <w:lang w:val="es-CR"/>
        </w:rPr>
      </w:pPr>
    </w:p>
    <w:p w14:paraId="697BB1E1" w14:textId="77777777" w:rsidR="00812C12" w:rsidRDefault="00812C12" w:rsidP="007448D2">
      <w:pPr>
        <w:pStyle w:val="Default"/>
        <w:rPr>
          <w:sz w:val="23"/>
          <w:szCs w:val="23"/>
          <w:lang w:val="es-CR"/>
        </w:rPr>
      </w:pPr>
    </w:p>
    <w:p w14:paraId="0BD09B54" w14:textId="77777777" w:rsidR="007448D2" w:rsidRPr="007448D2" w:rsidRDefault="007448D2" w:rsidP="007448D2">
      <w:pPr>
        <w:pStyle w:val="Default"/>
        <w:rPr>
          <w:sz w:val="23"/>
          <w:szCs w:val="23"/>
          <w:lang w:val="es-CR"/>
        </w:rPr>
      </w:pPr>
    </w:p>
    <w:p w14:paraId="5B41B788" w14:textId="67B0E7CE" w:rsidR="008E4648" w:rsidRPr="007448D2" w:rsidRDefault="007448D2" w:rsidP="007448D2">
      <w:pPr>
        <w:pStyle w:val="Ttulo2"/>
        <w:ind w:left="284"/>
        <w:rPr>
          <w:rFonts w:ascii="Arial" w:eastAsia="Arial" w:hAnsi="Arial" w:cs="Arial"/>
          <w:b/>
          <w:bCs/>
          <w:sz w:val="24"/>
          <w:szCs w:val="24"/>
          <w:lang w:val="es-CR"/>
        </w:rPr>
      </w:pPr>
      <w:bookmarkStart w:id="175" w:name="_Toc172726310"/>
      <w:r w:rsidRPr="007448D2">
        <w:rPr>
          <w:rFonts w:ascii="Arial" w:eastAsia="Arial" w:hAnsi="Arial" w:cs="Arial"/>
          <w:b/>
          <w:bCs/>
          <w:sz w:val="24"/>
          <w:szCs w:val="24"/>
          <w:lang w:val="es-CR"/>
        </w:rPr>
        <w:t>Estado de Situación Financiera o Balance General</w:t>
      </w:r>
      <w:bookmarkEnd w:id="175"/>
    </w:p>
    <w:p w14:paraId="1BFF99A2" w14:textId="77777777" w:rsidR="008E4648" w:rsidRPr="00AD41C7" w:rsidRDefault="008E4648" w:rsidP="00AD41C7">
      <w:pPr>
        <w:pStyle w:val="Default"/>
        <w:jc w:val="both"/>
        <w:rPr>
          <w:sz w:val="22"/>
          <w:szCs w:val="22"/>
          <w:lang w:val="es-CR"/>
        </w:rPr>
      </w:pPr>
    </w:p>
    <w:p w14:paraId="4F0B66DE" w14:textId="77777777" w:rsidR="008E4648" w:rsidRPr="00AD41C7" w:rsidRDefault="008E4648" w:rsidP="00AD41C7">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88"/>
        <w:gridCol w:w="2254"/>
        <w:gridCol w:w="1854"/>
      </w:tblGrid>
      <w:tr w:rsidR="007448D2" w:rsidRPr="007448D2" w14:paraId="6B52BA41" w14:textId="77777777" w:rsidTr="0012372A">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0ECA11B" w14:textId="77777777" w:rsidR="007448D2" w:rsidRPr="007448D2" w:rsidRDefault="007448D2" w:rsidP="007448D2">
            <w:pPr>
              <w:jc w:val="center"/>
              <w:rPr>
                <w:rFonts w:ascii="Arial Narrow" w:eastAsia="Times New Roman" w:hAnsi="Arial Narrow" w:cs="Calibri"/>
                <w:b/>
                <w:bCs/>
                <w:color w:val="FFFFFF"/>
                <w:sz w:val="22"/>
                <w:szCs w:val="22"/>
              </w:rPr>
            </w:pPr>
            <w:r w:rsidRPr="007448D2">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20ED64AC" w14:textId="77777777" w:rsidR="007448D2" w:rsidRPr="007448D2" w:rsidRDefault="007448D2" w:rsidP="007448D2">
            <w:pPr>
              <w:jc w:val="center"/>
              <w:rPr>
                <w:rFonts w:ascii="Arial Narrow" w:eastAsia="Times New Roman" w:hAnsi="Arial Narrow" w:cs="Calibri"/>
                <w:b/>
                <w:bCs/>
                <w:color w:val="FFFFFF"/>
                <w:sz w:val="22"/>
                <w:szCs w:val="22"/>
              </w:rPr>
            </w:pPr>
            <w:r w:rsidRPr="007448D2">
              <w:rPr>
                <w:rFonts w:ascii="Arial Narrow" w:eastAsia="Times New Roman" w:hAnsi="Arial Narrow" w:cs="Calibri"/>
                <w:b/>
                <w:bCs/>
                <w:color w:val="FFFFFF"/>
                <w:sz w:val="22"/>
                <w:szCs w:val="22"/>
              </w:rPr>
              <w:t>Concepto</w:t>
            </w:r>
          </w:p>
        </w:tc>
        <w:tc>
          <w:tcPr>
            <w:tcW w:w="4108" w:type="dxa"/>
            <w:gridSpan w:val="2"/>
            <w:tcBorders>
              <w:top w:val="single" w:sz="8" w:space="0" w:color="auto"/>
              <w:left w:val="nil"/>
              <w:bottom w:val="single" w:sz="8" w:space="0" w:color="auto"/>
              <w:right w:val="single" w:sz="8" w:space="0" w:color="000000"/>
            </w:tcBorders>
            <w:shd w:val="clear" w:color="000000" w:fill="203764"/>
            <w:vAlign w:val="center"/>
            <w:hideMark/>
          </w:tcPr>
          <w:p w14:paraId="4E3BE87C" w14:textId="77777777" w:rsidR="007448D2" w:rsidRPr="007448D2" w:rsidRDefault="007448D2" w:rsidP="007448D2">
            <w:pPr>
              <w:jc w:val="center"/>
              <w:rPr>
                <w:rFonts w:ascii="Arial Narrow" w:eastAsia="Times New Roman" w:hAnsi="Arial Narrow" w:cs="Calibri"/>
                <w:b/>
                <w:bCs/>
                <w:color w:val="FFFFFF"/>
                <w:sz w:val="22"/>
                <w:szCs w:val="22"/>
              </w:rPr>
            </w:pPr>
            <w:r w:rsidRPr="007448D2">
              <w:rPr>
                <w:rFonts w:ascii="Arial Narrow" w:eastAsia="Times New Roman" w:hAnsi="Arial Narrow" w:cs="Calibri"/>
                <w:b/>
                <w:bCs/>
                <w:color w:val="FFFFFF"/>
                <w:sz w:val="22"/>
                <w:szCs w:val="22"/>
              </w:rPr>
              <w:t>Referencia</w:t>
            </w:r>
          </w:p>
        </w:tc>
      </w:tr>
      <w:tr w:rsidR="007448D2" w:rsidRPr="006E5442" w14:paraId="25D3CBE5" w14:textId="77777777" w:rsidTr="0012372A">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5FC04E51" w14:textId="77777777" w:rsidR="007448D2" w:rsidRPr="007448D2" w:rsidRDefault="007448D2" w:rsidP="007448D2">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6F895942" w14:textId="77777777" w:rsidR="007448D2" w:rsidRPr="007448D2" w:rsidRDefault="007448D2" w:rsidP="007448D2">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03321F08" w14:textId="77777777" w:rsidR="007448D2" w:rsidRPr="007448D2" w:rsidRDefault="007448D2" w:rsidP="007448D2">
            <w:pPr>
              <w:jc w:val="center"/>
              <w:rPr>
                <w:rFonts w:ascii="Arial Narrow" w:eastAsia="Times New Roman" w:hAnsi="Arial Narrow" w:cs="Calibri"/>
                <w:b/>
                <w:bCs/>
                <w:color w:val="FFFFFF"/>
                <w:sz w:val="22"/>
                <w:szCs w:val="22"/>
              </w:rPr>
            </w:pPr>
            <w:r w:rsidRPr="007448D2">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34DD38AB" w14:textId="77777777" w:rsidR="007448D2" w:rsidRPr="007448D2" w:rsidRDefault="007448D2" w:rsidP="007448D2">
            <w:pPr>
              <w:jc w:val="center"/>
              <w:rPr>
                <w:rFonts w:ascii="Arial Narrow" w:eastAsia="Times New Roman" w:hAnsi="Arial Narrow" w:cs="Calibri"/>
                <w:b/>
                <w:bCs/>
                <w:color w:val="FFFFFF"/>
                <w:sz w:val="22"/>
                <w:szCs w:val="22"/>
                <w:lang w:val="es-CR"/>
              </w:rPr>
            </w:pPr>
            <w:r w:rsidRPr="007448D2">
              <w:rPr>
                <w:rFonts w:ascii="Arial Narrow" w:eastAsia="Times New Roman" w:hAnsi="Arial Narrow" w:cs="Calibri"/>
                <w:b/>
                <w:bCs/>
                <w:color w:val="FFFFFF"/>
                <w:sz w:val="22"/>
                <w:szCs w:val="22"/>
                <w:lang w:val="es-CR"/>
              </w:rPr>
              <w:t>Normativa técnica y disposiciones adicionales</w:t>
            </w:r>
          </w:p>
        </w:tc>
      </w:tr>
      <w:tr w:rsidR="007448D2" w:rsidRPr="006E5442" w14:paraId="13A0A9A4" w14:textId="77777777" w:rsidTr="0012372A">
        <w:trPr>
          <w:trHeight w:val="85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41DD84" w14:textId="77777777" w:rsidR="007448D2" w:rsidRPr="007448D2" w:rsidRDefault="007448D2" w:rsidP="007448D2">
            <w:pPr>
              <w:jc w:val="center"/>
              <w:rPr>
                <w:rFonts w:ascii="Arial Narrow" w:eastAsia="Times New Roman" w:hAnsi="Arial Narrow" w:cs="Calibri"/>
                <w:b/>
                <w:bCs/>
                <w:color w:val="000000"/>
                <w:sz w:val="22"/>
                <w:szCs w:val="22"/>
              </w:rPr>
            </w:pPr>
            <w:r w:rsidRPr="007448D2">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EDBFC2C" w14:textId="77777777" w:rsidR="007448D2" w:rsidRPr="007448D2" w:rsidRDefault="007448D2" w:rsidP="007448D2">
            <w:pPr>
              <w:jc w:val="center"/>
              <w:rPr>
                <w:rFonts w:ascii="Arial Narrow" w:eastAsia="Times New Roman" w:hAnsi="Arial Narrow" w:cs="Calibri"/>
                <w:b/>
                <w:bCs/>
                <w:color w:val="000000"/>
                <w:sz w:val="22"/>
                <w:szCs w:val="22"/>
              </w:rPr>
            </w:pPr>
            <w:r w:rsidRPr="007448D2">
              <w:rPr>
                <w:rFonts w:ascii="Arial Narrow" w:eastAsia="Times New Roman" w:hAnsi="Arial Narrow" w:cs="Calibri"/>
                <w:b/>
                <w:bCs/>
                <w:color w:val="000000"/>
                <w:sz w:val="22"/>
                <w:szCs w:val="22"/>
              </w:rPr>
              <w:t>19</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866216A" w14:textId="77777777" w:rsidR="007448D2" w:rsidRPr="007448D2" w:rsidRDefault="007448D2" w:rsidP="007448D2">
            <w:pPr>
              <w:jc w:val="center"/>
              <w:rPr>
                <w:rFonts w:ascii="Arial Narrow" w:eastAsia="Times New Roman" w:hAnsi="Arial Narrow" w:cs="Calibri"/>
                <w:b/>
                <w:bCs/>
                <w:color w:val="000000"/>
                <w:sz w:val="22"/>
                <w:szCs w:val="22"/>
              </w:rPr>
            </w:pPr>
            <w:r w:rsidRPr="007448D2">
              <w:rPr>
                <w:rFonts w:ascii="Arial Narrow" w:eastAsia="Times New Roman" w:hAnsi="Arial Narrow" w:cs="Calibri"/>
                <w:b/>
                <w:bCs/>
                <w:color w:val="000000"/>
                <w:sz w:val="22"/>
                <w:szCs w:val="22"/>
              </w:rPr>
              <w:t xml:space="preserve">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611CBC0B" w14:textId="77777777" w:rsidR="007448D2" w:rsidRPr="007448D2" w:rsidRDefault="007448D2" w:rsidP="007448D2">
            <w:pPr>
              <w:jc w:val="both"/>
              <w:rPr>
                <w:rFonts w:ascii="Arial Narrow" w:eastAsia="Times New Roman" w:hAnsi="Arial Narrow" w:cs="Calibri"/>
                <w:b/>
                <w:bCs/>
                <w:color w:val="000000"/>
                <w:sz w:val="22"/>
                <w:szCs w:val="22"/>
                <w:lang w:val="es-CR"/>
              </w:rPr>
            </w:pPr>
            <w:r w:rsidRPr="007448D2">
              <w:rPr>
                <w:rFonts w:ascii="Arial Narrow" w:eastAsia="Times New Roman" w:hAnsi="Arial Narrow" w:cs="Calibri"/>
                <w:b/>
                <w:bCs/>
                <w:color w:val="000000"/>
                <w:sz w:val="22"/>
                <w:szCs w:val="22"/>
                <w:lang w:val="es-CR"/>
              </w:rPr>
              <w:t>La distinción entre corriente y no corriente</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6BA43221" w14:textId="77777777" w:rsidR="0006523D" w:rsidRDefault="007448D2" w:rsidP="007448D2">
            <w:pPr>
              <w:jc w:val="both"/>
              <w:rPr>
                <w:rFonts w:ascii="Arial Narrow" w:eastAsia="Times New Roman" w:hAnsi="Arial Narrow" w:cs="Calibri"/>
                <w:b/>
                <w:bCs/>
                <w:color w:val="000000"/>
                <w:sz w:val="22"/>
                <w:szCs w:val="22"/>
                <w:lang w:val="es-CR"/>
              </w:rPr>
            </w:pPr>
            <w:r w:rsidRPr="007448D2">
              <w:rPr>
                <w:rFonts w:ascii="Arial Narrow" w:eastAsia="Times New Roman" w:hAnsi="Arial Narrow" w:cs="Calibri"/>
                <w:b/>
                <w:bCs/>
                <w:color w:val="000000"/>
                <w:sz w:val="22"/>
                <w:szCs w:val="22"/>
                <w:lang w:val="es-CR"/>
              </w:rPr>
              <w:t>NICSP N° 1,</w:t>
            </w:r>
          </w:p>
          <w:p w14:paraId="2666D85A" w14:textId="79667BB1" w:rsidR="007448D2" w:rsidRPr="007448D2" w:rsidRDefault="007448D2" w:rsidP="007448D2">
            <w:pPr>
              <w:jc w:val="both"/>
              <w:rPr>
                <w:rFonts w:ascii="Arial Narrow" w:eastAsia="Times New Roman" w:hAnsi="Arial Narrow" w:cs="Calibri"/>
                <w:b/>
                <w:bCs/>
                <w:color w:val="000000"/>
                <w:sz w:val="22"/>
                <w:szCs w:val="22"/>
                <w:lang w:val="es-CR"/>
              </w:rPr>
            </w:pPr>
            <w:r w:rsidRPr="007448D2">
              <w:rPr>
                <w:rFonts w:ascii="Arial Narrow" w:eastAsia="Times New Roman" w:hAnsi="Arial Narrow" w:cs="Calibri"/>
                <w:b/>
                <w:bCs/>
                <w:color w:val="000000"/>
                <w:sz w:val="22"/>
                <w:szCs w:val="22"/>
                <w:lang w:val="es-CR"/>
              </w:rPr>
              <w:t>Párrafos 70, 71, 76, 78 a 80 y 84 a 87.</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5286ACD1" w14:textId="77777777" w:rsidR="007448D2" w:rsidRPr="007448D2" w:rsidRDefault="007448D2" w:rsidP="007448D2">
            <w:pPr>
              <w:jc w:val="center"/>
              <w:rPr>
                <w:rFonts w:ascii="Arial Narrow" w:eastAsia="Times New Roman" w:hAnsi="Arial Narrow" w:cs="Calibri"/>
                <w:b/>
                <w:bCs/>
                <w:color w:val="000000"/>
                <w:sz w:val="22"/>
                <w:szCs w:val="22"/>
                <w:lang w:val="es-CR"/>
              </w:rPr>
            </w:pPr>
            <w:r w:rsidRPr="007448D2">
              <w:rPr>
                <w:rFonts w:ascii="Arial Narrow" w:eastAsia="Times New Roman" w:hAnsi="Arial Narrow" w:cs="Calibri"/>
                <w:b/>
                <w:bCs/>
                <w:color w:val="000000"/>
                <w:sz w:val="22"/>
                <w:szCs w:val="22"/>
                <w:lang w:val="es-CR"/>
              </w:rPr>
              <w:t xml:space="preserve"> </w:t>
            </w:r>
          </w:p>
        </w:tc>
      </w:tr>
    </w:tbl>
    <w:p w14:paraId="663C9899" w14:textId="77777777" w:rsidR="008E4648" w:rsidRDefault="008E4648" w:rsidP="00AD41C7">
      <w:pPr>
        <w:pStyle w:val="Default"/>
        <w:jc w:val="both"/>
        <w:rPr>
          <w:sz w:val="22"/>
          <w:szCs w:val="22"/>
          <w:lang w:val="es-CR"/>
        </w:rPr>
      </w:pPr>
    </w:p>
    <w:p w14:paraId="61776C28" w14:textId="77777777" w:rsidR="0012372A" w:rsidRPr="0030399E" w:rsidRDefault="0012372A" w:rsidP="0012372A">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782C95B0" w14:textId="77777777" w:rsidR="0012372A" w:rsidRPr="00AD41C7" w:rsidRDefault="0012372A" w:rsidP="00AD41C7">
      <w:pPr>
        <w:pStyle w:val="Default"/>
        <w:jc w:val="both"/>
        <w:rPr>
          <w:sz w:val="22"/>
          <w:szCs w:val="22"/>
          <w:lang w:val="es-CR"/>
        </w:rPr>
      </w:pPr>
    </w:p>
    <w:p w14:paraId="2FB827E1" w14:textId="77777777" w:rsidR="00C70A3C" w:rsidRDefault="00C70A3C" w:rsidP="00C70A3C">
      <w:pPr>
        <w:pStyle w:val="Default"/>
        <w:ind w:left="1134" w:hanging="1134"/>
        <w:jc w:val="both"/>
        <w:rPr>
          <w:sz w:val="22"/>
          <w:szCs w:val="22"/>
          <w:lang w:val="es-CR"/>
        </w:rPr>
      </w:pPr>
      <w:r>
        <w:rPr>
          <w:sz w:val="22"/>
          <w:szCs w:val="22"/>
          <w:lang w:val="es-CR"/>
        </w:rPr>
        <w:t>6.19.0.01</w:t>
      </w:r>
      <w:r>
        <w:rPr>
          <w:sz w:val="22"/>
          <w:szCs w:val="22"/>
          <w:lang w:val="es-CR"/>
        </w:rPr>
        <w:tab/>
      </w:r>
      <w:r w:rsidR="007448D2" w:rsidRPr="00C70A3C">
        <w:rPr>
          <w:sz w:val="22"/>
          <w:szCs w:val="22"/>
          <w:lang w:val="es-CR"/>
        </w:rPr>
        <w:t>Las entidades deberán exponer sus activos y pasivos en corrientes y no corrientes, como categorías separadas dentro del ESF, para lo cual se entenderá por:</w:t>
      </w:r>
    </w:p>
    <w:p w14:paraId="4E958601" w14:textId="2BEFF5DF" w:rsidR="007448D2" w:rsidRPr="00C70A3C" w:rsidRDefault="007448D2" w:rsidP="00C70A3C">
      <w:pPr>
        <w:pStyle w:val="Default"/>
        <w:ind w:left="1134" w:hanging="1134"/>
        <w:jc w:val="both"/>
        <w:rPr>
          <w:sz w:val="22"/>
          <w:szCs w:val="22"/>
          <w:lang w:val="es-CR"/>
        </w:rPr>
      </w:pPr>
      <w:r w:rsidRPr="00C70A3C">
        <w:rPr>
          <w:sz w:val="22"/>
          <w:szCs w:val="22"/>
          <w:lang w:val="es-CR"/>
        </w:rPr>
        <w:t xml:space="preserve"> </w:t>
      </w:r>
    </w:p>
    <w:p w14:paraId="5C328B3B" w14:textId="77777777" w:rsidR="00683023" w:rsidRDefault="007448D2">
      <w:pPr>
        <w:pStyle w:val="Default"/>
        <w:numPr>
          <w:ilvl w:val="1"/>
          <w:numId w:val="329"/>
        </w:numPr>
        <w:spacing w:after="18"/>
        <w:ind w:left="1418" w:hanging="284"/>
        <w:jc w:val="both"/>
        <w:rPr>
          <w:sz w:val="22"/>
          <w:szCs w:val="22"/>
          <w:lang w:val="es-CR"/>
        </w:rPr>
      </w:pPr>
      <w:r w:rsidRPr="00C70A3C">
        <w:rPr>
          <w:b/>
          <w:bCs/>
          <w:sz w:val="22"/>
          <w:szCs w:val="22"/>
          <w:lang w:val="es-CR"/>
        </w:rPr>
        <w:t xml:space="preserve">Activos Corrientes: </w:t>
      </w:r>
      <w:r w:rsidRPr="00C70A3C">
        <w:rPr>
          <w:sz w:val="22"/>
          <w:szCs w:val="22"/>
          <w:lang w:val="es-CR"/>
        </w:rPr>
        <w:t>El que se espera recuperar dentro de los doce meses posteriores a la fecha sobre la que se informa y cuando satisfaga alguno de los siguientes criterios:</w:t>
      </w:r>
    </w:p>
    <w:p w14:paraId="5199025D" w14:textId="471A6F74" w:rsidR="00683023" w:rsidRDefault="007448D2" w:rsidP="00683023">
      <w:pPr>
        <w:pStyle w:val="Default"/>
        <w:spacing w:after="18"/>
        <w:ind w:left="1134"/>
        <w:jc w:val="both"/>
        <w:rPr>
          <w:sz w:val="22"/>
          <w:szCs w:val="22"/>
          <w:lang w:val="es-CR"/>
        </w:rPr>
      </w:pPr>
      <w:r w:rsidRPr="00C70A3C">
        <w:rPr>
          <w:sz w:val="22"/>
          <w:szCs w:val="22"/>
          <w:lang w:val="es-CR"/>
        </w:rPr>
        <w:t xml:space="preserve"> </w:t>
      </w:r>
    </w:p>
    <w:p w14:paraId="5942B6E5" w14:textId="0046C01C" w:rsidR="007448D2" w:rsidRPr="00C70A3C" w:rsidRDefault="00683023">
      <w:pPr>
        <w:pStyle w:val="Default"/>
        <w:numPr>
          <w:ilvl w:val="0"/>
          <w:numId w:val="331"/>
        </w:numPr>
        <w:spacing w:after="120"/>
        <w:ind w:left="1701" w:hanging="153"/>
        <w:jc w:val="both"/>
        <w:rPr>
          <w:sz w:val="22"/>
          <w:szCs w:val="22"/>
          <w:lang w:val="es-CR"/>
        </w:rPr>
      </w:pPr>
      <w:r>
        <w:rPr>
          <w:sz w:val="22"/>
          <w:szCs w:val="22"/>
          <w:lang w:val="es-CR"/>
        </w:rPr>
        <w:t>S</w:t>
      </w:r>
      <w:r w:rsidR="007448D2" w:rsidRPr="00C70A3C">
        <w:rPr>
          <w:sz w:val="22"/>
          <w:szCs w:val="22"/>
          <w:lang w:val="es-CR"/>
        </w:rPr>
        <w:t xml:space="preserve">e espera realizar, o se mantiene para vender o consumir, en el transcurso del ciclo normal de la operación de la entidad (tiempo que ésta tarda en transformar entradas o recursos en salidas), aun cuando no se haya previsto su realización dentro de los doce meses posteriores a la fecha sobre la que se informa; </w:t>
      </w:r>
    </w:p>
    <w:p w14:paraId="34F05975" w14:textId="01F3E8DD" w:rsidR="00683023" w:rsidRDefault="00683023">
      <w:pPr>
        <w:pStyle w:val="Default"/>
        <w:numPr>
          <w:ilvl w:val="0"/>
          <w:numId w:val="331"/>
        </w:numPr>
        <w:spacing w:after="120"/>
        <w:ind w:left="1701" w:hanging="153"/>
        <w:jc w:val="both"/>
        <w:rPr>
          <w:sz w:val="22"/>
          <w:szCs w:val="22"/>
          <w:lang w:val="es-CR"/>
        </w:rPr>
      </w:pPr>
      <w:r>
        <w:rPr>
          <w:sz w:val="22"/>
          <w:szCs w:val="22"/>
          <w:lang w:val="es-CR"/>
        </w:rPr>
        <w:t>S</w:t>
      </w:r>
      <w:r w:rsidR="007448D2" w:rsidRPr="00C70A3C">
        <w:rPr>
          <w:sz w:val="22"/>
          <w:szCs w:val="22"/>
          <w:lang w:val="es-CR"/>
        </w:rPr>
        <w:t xml:space="preserve">e mantiene fundamentalmente para negociación70; </w:t>
      </w:r>
    </w:p>
    <w:p w14:paraId="1A7FB306" w14:textId="1C32867B" w:rsidR="007448D2" w:rsidRPr="00C70A3C" w:rsidRDefault="00683023">
      <w:pPr>
        <w:pStyle w:val="Default"/>
        <w:numPr>
          <w:ilvl w:val="0"/>
          <w:numId w:val="331"/>
        </w:numPr>
        <w:spacing w:after="120"/>
        <w:ind w:left="1701" w:hanging="153"/>
        <w:jc w:val="both"/>
        <w:rPr>
          <w:sz w:val="22"/>
          <w:szCs w:val="22"/>
          <w:lang w:val="es-CR"/>
        </w:rPr>
      </w:pPr>
      <w:r>
        <w:rPr>
          <w:sz w:val="22"/>
          <w:szCs w:val="22"/>
          <w:lang w:val="es-CR"/>
        </w:rPr>
        <w:t>L</w:t>
      </w:r>
      <w:r w:rsidR="007448D2" w:rsidRPr="00C70A3C">
        <w:rPr>
          <w:sz w:val="22"/>
          <w:szCs w:val="22"/>
          <w:lang w:val="es-CR"/>
        </w:rPr>
        <w:t xml:space="preserve">a parte corriente de los activos financieros no corrientes; </w:t>
      </w:r>
    </w:p>
    <w:p w14:paraId="30039A37" w14:textId="31ABA2BF" w:rsidR="007448D2" w:rsidRPr="00C70A3C" w:rsidRDefault="00683023">
      <w:pPr>
        <w:pStyle w:val="Default"/>
        <w:numPr>
          <w:ilvl w:val="0"/>
          <w:numId w:val="331"/>
        </w:numPr>
        <w:spacing w:after="120"/>
        <w:ind w:left="1701" w:hanging="153"/>
        <w:jc w:val="both"/>
        <w:rPr>
          <w:sz w:val="22"/>
          <w:szCs w:val="22"/>
          <w:lang w:val="es-CR"/>
        </w:rPr>
      </w:pPr>
      <w:r>
        <w:rPr>
          <w:sz w:val="22"/>
          <w:szCs w:val="22"/>
          <w:lang w:val="es-CR"/>
        </w:rPr>
        <w:t>S</w:t>
      </w:r>
      <w:r w:rsidR="007448D2" w:rsidRPr="00C70A3C">
        <w:rPr>
          <w:sz w:val="22"/>
          <w:szCs w:val="22"/>
          <w:lang w:val="es-CR"/>
        </w:rPr>
        <w:t xml:space="preserve">e espera realizar dentro de los doce meses posteriores a la fecha sobre la que se informa; o </w:t>
      </w:r>
    </w:p>
    <w:p w14:paraId="153FE9D4" w14:textId="18480FDD" w:rsidR="007448D2" w:rsidRPr="00C70A3C" w:rsidRDefault="00683023">
      <w:pPr>
        <w:pStyle w:val="Default"/>
        <w:numPr>
          <w:ilvl w:val="0"/>
          <w:numId w:val="331"/>
        </w:numPr>
        <w:ind w:left="1701" w:hanging="153"/>
        <w:jc w:val="both"/>
        <w:rPr>
          <w:sz w:val="22"/>
          <w:szCs w:val="22"/>
          <w:lang w:val="es-CR"/>
        </w:rPr>
      </w:pPr>
      <w:r>
        <w:rPr>
          <w:sz w:val="22"/>
          <w:szCs w:val="22"/>
          <w:lang w:val="es-CR"/>
        </w:rPr>
        <w:t>S</w:t>
      </w:r>
      <w:r w:rsidR="007448D2" w:rsidRPr="00C70A3C">
        <w:rPr>
          <w:sz w:val="22"/>
          <w:szCs w:val="22"/>
          <w:lang w:val="es-CR"/>
        </w:rPr>
        <w:t xml:space="preserve">e trate de efectivo u otro medio equivalente al efectivo, cuya utilización no esté restringida, para ser intercambiado o usado para cancelar un pasivo, al menos dentro de los doce meses siguientes a la fecha sobre la que se informa. </w:t>
      </w:r>
    </w:p>
    <w:p w14:paraId="4FFA262F" w14:textId="77777777" w:rsidR="007448D2" w:rsidRPr="00C70A3C" w:rsidRDefault="007448D2" w:rsidP="00683023">
      <w:pPr>
        <w:pStyle w:val="Default"/>
        <w:ind w:left="360"/>
        <w:jc w:val="both"/>
        <w:rPr>
          <w:sz w:val="22"/>
          <w:szCs w:val="22"/>
          <w:lang w:val="es-CR"/>
        </w:rPr>
      </w:pPr>
    </w:p>
    <w:p w14:paraId="77247D87" w14:textId="77777777" w:rsidR="00683023" w:rsidRDefault="007448D2">
      <w:pPr>
        <w:pStyle w:val="Default"/>
        <w:numPr>
          <w:ilvl w:val="1"/>
          <w:numId w:val="329"/>
        </w:numPr>
        <w:spacing w:after="18"/>
        <w:ind w:left="1418" w:hanging="284"/>
        <w:jc w:val="both"/>
        <w:rPr>
          <w:sz w:val="22"/>
          <w:szCs w:val="22"/>
          <w:lang w:val="es-CR"/>
        </w:rPr>
      </w:pPr>
      <w:r w:rsidRPr="00C70A3C">
        <w:rPr>
          <w:b/>
          <w:bCs/>
          <w:sz w:val="22"/>
          <w:szCs w:val="22"/>
          <w:lang w:val="es-CR"/>
        </w:rPr>
        <w:t xml:space="preserve">Activos No Corrientes: </w:t>
      </w:r>
      <w:r w:rsidRPr="00C70A3C">
        <w:rPr>
          <w:sz w:val="22"/>
          <w:szCs w:val="22"/>
          <w:lang w:val="es-CR"/>
        </w:rPr>
        <w:t xml:space="preserve">El resto de los activos, no considerados en los corrientes, serán considerados como no corrientes. </w:t>
      </w:r>
    </w:p>
    <w:p w14:paraId="5E10FAA4" w14:textId="77777777" w:rsidR="00683023" w:rsidRDefault="00683023" w:rsidP="00683023">
      <w:pPr>
        <w:pStyle w:val="Default"/>
        <w:spacing w:after="18"/>
        <w:ind w:left="1418"/>
        <w:jc w:val="both"/>
        <w:rPr>
          <w:sz w:val="22"/>
          <w:szCs w:val="22"/>
          <w:lang w:val="es-CR"/>
        </w:rPr>
      </w:pPr>
    </w:p>
    <w:p w14:paraId="37E5B61F" w14:textId="67E5C102" w:rsidR="007448D2" w:rsidRDefault="007448D2">
      <w:pPr>
        <w:pStyle w:val="Default"/>
        <w:numPr>
          <w:ilvl w:val="1"/>
          <w:numId w:val="329"/>
        </w:numPr>
        <w:spacing w:after="18"/>
        <w:ind w:left="1418" w:hanging="284"/>
        <w:jc w:val="both"/>
        <w:rPr>
          <w:sz w:val="22"/>
          <w:szCs w:val="22"/>
          <w:lang w:val="es-CR"/>
        </w:rPr>
      </w:pPr>
      <w:r w:rsidRPr="00683023">
        <w:rPr>
          <w:b/>
          <w:bCs/>
          <w:sz w:val="22"/>
          <w:szCs w:val="22"/>
          <w:lang w:val="es-CR"/>
        </w:rPr>
        <w:t xml:space="preserve">Pasivos Corrientes: </w:t>
      </w:r>
      <w:r w:rsidRPr="00683023">
        <w:rPr>
          <w:sz w:val="22"/>
          <w:szCs w:val="22"/>
          <w:lang w:val="es-CR"/>
        </w:rPr>
        <w:t>El que corresponda cancelar dentro de los doce meses posteriores a la fecha sobre la que se informa, y que además satisfaga alguno de los siguientes criterios: a. se espere liquidar en el ciclo normal de la operación de la entidad;</w:t>
      </w:r>
    </w:p>
    <w:p w14:paraId="1693EAA6" w14:textId="77777777" w:rsidR="00683023" w:rsidRPr="00683023" w:rsidRDefault="00683023" w:rsidP="00683023">
      <w:pPr>
        <w:pStyle w:val="Default"/>
        <w:spacing w:after="18"/>
        <w:jc w:val="both"/>
        <w:rPr>
          <w:sz w:val="22"/>
          <w:szCs w:val="22"/>
          <w:lang w:val="es-CR"/>
        </w:rPr>
      </w:pPr>
    </w:p>
    <w:p w14:paraId="02889696" w14:textId="08A8789C" w:rsidR="007448D2" w:rsidRPr="00C70A3C" w:rsidRDefault="00683023">
      <w:pPr>
        <w:pStyle w:val="Default"/>
        <w:numPr>
          <w:ilvl w:val="0"/>
          <w:numId w:val="332"/>
        </w:numPr>
        <w:spacing w:after="120"/>
        <w:ind w:left="1843" w:hanging="142"/>
        <w:jc w:val="both"/>
        <w:rPr>
          <w:sz w:val="22"/>
          <w:szCs w:val="22"/>
          <w:lang w:val="es-CR"/>
        </w:rPr>
      </w:pPr>
      <w:r>
        <w:rPr>
          <w:sz w:val="22"/>
          <w:szCs w:val="22"/>
          <w:lang w:val="es-CR"/>
        </w:rPr>
        <w:t>S</w:t>
      </w:r>
      <w:r w:rsidR="007448D2" w:rsidRPr="00C70A3C">
        <w:rPr>
          <w:sz w:val="22"/>
          <w:szCs w:val="22"/>
          <w:lang w:val="es-CR"/>
        </w:rPr>
        <w:t xml:space="preserve">e mantenga fundamentalmente para negociación </w:t>
      </w:r>
    </w:p>
    <w:p w14:paraId="4D05AB5E" w14:textId="2C451716" w:rsidR="007448D2" w:rsidRPr="00C70A3C" w:rsidRDefault="00683023">
      <w:pPr>
        <w:pStyle w:val="Default"/>
        <w:numPr>
          <w:ilvl w:val="0"/>
          <w:numId w:val="332"/>
        </w:numPr>
        <w:spacing w:after="120"/>
        <w:ind w:left="1843" w:hanging="142"/>
        <w:jc w:val="both"/>
        <w:rPr>
          <w:sz w:val="22"/>
          <w:szCs w:val="22"/>
          <w:lang w:val="es-CR"/>
        </w:rPr>
      </w:pPr>
      <w:r>
        <w:rPr>
          <w:sz w:val="22"/>
          <w:szCs w:val="22"/>
          <w:lang w:val="es-CR"/>
        </w:rPr>
        <w:t>D</w:t>
      </w:r>
      <w:r w:rsidR="007448D2" w:rsidRPr="00C70A3C">
        <w:rPr>
          <w:sz w:val="22"/>
          <w:szCs w:val="22"/>
          <w:lang w:val="es-CR"/>
        </w:rPr>
        <w:t xml:space="preserve">eba liquidarse dentro del período de los doce meses posteriores a la fecha sobre la que se informa; </w:t>
      </w:r>
    </w:p>
    <w:p w14:paraId="6D8C1BCD" w14:textId="1096F5BB" w:rsidR="007448D2" w:rsidRPr="00C70A3C" w:rsidRDefault="00683023">
      <w:pPr>
        <w:pStyle w:val="Default"/>
        <w:numPr>
          <w:ilvl w:val="0"/>
          <w:numId w:val="332"/>
        </w:numPr>
        <w:spacing w:after="120"/>
        <w:ind w:left="1843" w:hanging="142"/>
        <w:jc w:val="both"/>
        <w:rPr>
          <w:sz w:val="22"/>
          <w:szCs w:val="22"/>
          <w:lang w:val="es-CR"/>
        </w:rPr>
      </w:pPr>
      <w:r>
        <w:rPr>
          <w:sz w:val="22"/>
          <w:szCs w:val="22"/>
          <w:lang w:val="es-CR"/>
        </w:rPr>
        <w:lastRenderedPageBreak/>
        <w:t>L</w:t>
      </w:r>
      <w:r w:rsidR="007448D2" w:rsidRPr="00C70A3C">
        <w:rPr>
          <w:sz w:val="22"/>
          <w:szCs w:val="22"/>
          <w:lang w:val="es-CR"/>
        </w:rPr>
        <w:t xml:space="preserve">a entidad no tenga un derecho incondicional para aplazar la cancelación del pasivo durante al menos, los doce meses siguientes a la fecha sobre la que se informa; </w:t>
      </w:r>
    </w:p>
    <w:p w14:paraId="33137279" w14:textId="0F34D11F" w:rsidR="007448D2" w:rsidRPr="00C70A3C" w:rsidRDefault="00683023">
      <w:pPr>
        <w:pStyle w:val="Default"/>
        <w:numPr>
          <w:ilvl w:val="0"/>
          <w:numId w:val="332"/>
        </w:numPr>
        <w:ind w:left="1843" w:hanging="142"/>
        <w:jc w:val="both"/>
        <w:rPr>
          <w:sz w:val="22"/>
          <w:szCs w:val="22"/>
          <w:lang w:val="es-CR"/>
        </w:rPr>
      </w:pPr>
      <w:r>
        <w:rPr>
          <w:sz w:val="22"/>
          <w:szCs w:val="22"/>
          <w:lang w:val="es-CR"/>
        </w:rPr>
        <w:t>L</w:t>
      </w:r>
      <w:r w:rsidR="007448D2" w:rsidRPr="00C70A3C">
        <w:rPr>
          <w:sz w:val="22"/>
          <w:szCs w:val="22"/>
          <w:lang w:val="es-CR"/>
        </w:rPr>
        <w:t xml:space="preserve">as condiciones de un pasivo que puedan dar lugar, a elección de la otra parte, a su liquidación mediante la emisión de instrumentos de patrimonio, no afectan a su clasificación; y </w:t>
      </w:r>
    </w:p>
    <w:p w14:paraId="0C1B4E1F" w14:textId="77777777" w:rsidR="007448D2" w:rsidRPr="00C70A3C" w:rsidRDefault="007448D2" w:rsidP="00683023">
      <w:pPr>
        <w:pStyle w:val="Default"/>
        <w:ind w:left="720"/>
        <w:jc w:val="both"/>
        <w:rPr>
          <w:sz w:val="22"/>
          <w:szCs w:val="22"/>
          <w:lang w:val="es-CR"/>
        </w:rPr>
      </w:pPr>
    </w:p>
    <w:p w14:paraId="0E90BDA7" w14:textId="51FA253E" w:rsidR="007448D2" w:rsidRPr="00C70A3C" w:rsidRDefault="007448D2">
      <w:pPr>
        <w:pStyle w:val="Default"/>
        <w:numPr>
          <w:ilvl w:val="1"/>
          <w:numId w:val="329"/>
        </w:numPr>
        <w:spacing w:after="18"/>
        <w:ind w:left="1418" w:hanging="284"/>
        <w:jc w:val="both"/>
        <w:rPr>
          <w:sz w:val="22"/>
          <w:szCs w:val="22"/>
          <w:lang w:val="es-CR"/>
        </w:rPr>
      </w:pPr>
      <w:r w:rsidRPr="00C70A3C">
        <w:rPr>
          <w:sz w:val="22"/>
          <w:szCs w:val="22"/>
          <w:lang w:val="es-CR"/>
        </w:rPr>
        <w:t xml:space="preserve">Otras </w:t>
      </w:r>
      <w:r w:rsidRPr="00683023">
        <w:rPr>
          <w:b/>
          <w:bCs/>
          <w:sz w:val="22"/>
          <w:szCs w:val="22"/>
          <w:lang w:val="es-CR"/>
        </w:rPr>
        <w:t>consideraciones</w:t>
      </w:r>
      <w:r w:rsidRPr="00C70A3C">
        <w:rPr>
          <w:sz w:val="22"/>
          <w:szCs w:val="22"/>
          <w:lang w:val="es-CR"/>
        </w:rPr>
        <w:t xml:space="preserve"> sobre Pasivos Corrientes: </w:t>
      </w:r>
    </w:p>
    <w:p w14:paraId="31FDA3BB" w14:textId="11EAD018" w:rsidR="007448D2" w:rsidRPr="00683023" w:rsidRDefault="00683023">
      <w:pPr>
        <w:pStyle w:val="Default"/>
        <w:numPr>
          <w:ilvl w:val="0"/>
          <w:numId w:val="333"/>
        </w:numPr>
        <w:spacing w:after="120"/>
        <w:ind w:left="1560" w:hanging="142"/>
        <w:jc w:val="both"/>
        <w:rPr>
          <w:sz w:val="22"/>
          <w:szCs w:val="22"/>
          <w:lang w:val="es-CR"/>
        </w:rPr>
      </w:pPr>
      <w:r>
        <w:rPr>
          <w:sz w:val="22"/>
          <w:szCs w:val="22"/>
          <w:lang w:val="es-CR"/>
        </w:rPr>
        <w:t>S</w:t>
      </w:r>
      <w:r w:rsidR="007448D2" w:rsidRPr="00C70A3C">
        <w:rPr>
          <w:sz w:val="22"/>
          <w:szCs w:val="22"/>
          <w:lang w:val="es-CR"/>
        </w:rPr>
        <w:t xml:space="preserve">i una entidad incumple un compromiso adquirido en un contrato de préstamo a largo plazo antes de la fecha sobre la que se informa, con el efecto de que el pasivo se haga exigible a voluntad del </w:t>
      </w:r>
    </w:p>
    <w:p w14:paraId="6A7F0E14" w14:textId="77777777" w:rsidR="007448D2" w:rsidRPr="00C70A3C" w:rsidRDefault="007448D2">
      <w:pPr>
        <w:pStyle w:val="Default"/>
        <w:numPr>
          <w:ilvl w:val="0"/>
          <w:numId w:val="333"/>
        </w:numPr>
        <w:spacing w:after="120"/>
        <w:ind w:left="1560" w:hanging="142"/>
        <w:jc w:val="both"/>
        <w:rPr>
          <w:sz w:val="22"/>
          <w:szCs w:val="22"/>
          <w:lang w:val="es-CR"/>
        </w:rPr>
      </w:pPr>
      <w:r w:rsidRPr="00C70A3C">
        <w:rPr>
          <w:sz w:val="22"/>
          <w:szCs w:val="22"/>
          <w:lang w:val="es-CR"/>
        </w:rPr>
        <w:t xml:space="preserve">otorgante, tal pasivo se clasificará como corriente, aún si el otorgante hubiera acordado, después de la fecha sobre la que se informa y antes de que los EEFF hubieran sido autorizados para su publicación, no exigir el pago como consecuencia del incumplimiento. </w:t>
      </w:r>
    </w:p>
    <w:p w14:paraId="274C0A9B" w14:textId="0FBF748A" w:rsidR="007448D2" w:rsidRPr="00C70A3C" w:rsidRDefault="00683023">
      <w:pPr>
        <w:pStyle w:val="Default"/>
        <w:numPr>
          <w:ilvl w:val="0"/>
          <w:numId w:val="333"/>
        </w:numPr>
        <w:spacing w:after="120"/>
        <w:ind w:left="1560" w:hanging="142"/>
        <w:jc w:val="both"/>
        <w:rPr>
          <w:sz w:val="22"/>
          <w:szCs w:val="22"/>
          <w:lang w:val="es-CR"/>
        </w:rPr>
      </w:pPr>
      <w:r>
        <w:rPr>
          <w:sz w:val="22"/>
          <w:szCs w:val="22"/>
          <w:lang w:val="es-CR"/>
        </w:rPr>
        <w:t>R</w:t>
      </w:r>
      <w:r w:rsidR="007448D2" w:rsidRPr="00C70A3C">
        <w:rPr>
          <w:sz w:val="22"/>
          <w:szCs w:val="22"/>
          <w:lang w:val="es-CR"/>
        </w:rPr>
        <w:t xml:space="preserve">especto a los préstamos clasificados como pasivos corrientes, si se produjese cualquiera de los siguientes eventos entre la fecha sobre la que se informa y la fecha en que los EEFF son autorizados para su publicación, estos hechos cumplen las condiciones para revelarse como que los mismos no requieren ajustes, de acuerdo con las NICSP y a lo estipulado en el presente PGCN: </w:t>
      </w:r>
    </w:p>
    <w:p w14:paraId="2B3FA105" w14:textId="14EFE9FE" w:rsidR="007448D2" w:rsidRPr="00C70A3C" w:rsidRDefault="00683023">
      <w:pPr>
        <w:pStyle w:val="Default"/>
        <w:numPr>
          <w:ilvl w:val="0"/>
          <w:numId w:val="333"/>
        </w:numPr>
        <w:spacing w:after="120"/>
        <w:ind w:left="1560" w:hanging="142"/>
        <w:jc w:val="both"/>
        <w:rPr>
          <w:sz w:val="22"/>
          <w:szCs w:val="22"/>
          <w:lang w:val="es-CR"/>
        </w:rPr>
      </w:pPr>
      <w:r>
        <w:rPr>
          <w:sz w:val="22"/>
          <w:szCs w:val="22"/>
          <w:lang w:val="es-CR"/>
        </w:rPr>
        <w:t>R</w:t>
      </w:r>
      <w:r w:rsidR="007448D2" w:rsidRPr="00C70A3C">
        <w:rPr>
          <w:sz w:val="22"/>
          <w:szCs w:val="22"/>
          <w:lang w:val="es-CR"/>
        </w:rPr>
        <w:t xml:space="preserve">efinanciación a largo plazo; </w:t>
      </w:r>
    </w:p>
    <w:p w14:paraId="431105F2" w14:textId="3EF43B96" w:rsidR="007448D2" w:rsidRPr="00C70A3C" w:rsidRDefault="00683023">
      <w:pPr>
        <w:pStyle w:val="Default"/>
        <w:numPr>
          <w:ilvl w:val="0"/>
          <w:numId w:val="333"/>
        </w:numPr>
        <w:spacing w:after="120"/>
        <w:ind w:left="1560" w:hanging="142"/>
        <w:jc w:val="both"/>
        <w:rPr>
          <w:sz w:val="22"/>
          <w:szCs w:val="22"/>
          <w:lang w:val="es-CR"/>
        </w:rPr>
      </w:pPr>
      <w:r>
        <w:rPr>
          <w:sz w:val="22"/>
          <w:szCs w:val="22"/>
          <w:lang w:val="es-CR"/>
        </w:rPr>
        <w:t>R</w:t>
      </w:r>
      <w:r w:rsidR="007448D2" w:rsidRPr="00C70A3C">
        <w:rPr>
          <w:sz w:val="22"/>
          <w:szCs w:val="22"/>
          <w:lang w:val="es-CR"/>
        </w:rPr>
        <w:t xml:space="preserve">ectificación del incumplimiento del contrato de préstamo a largo plazo; y </w:t>
      </w:r>
    </w:p>
    <w:p w14:paraId="7F1DF98A" w14:textId="71EBE9EB" w:rsidR="007448D2" w:rsidRDefault="00683023">
      <w:pPr>
        <w:pStyle w:val="Default"/>
        <w:numPr>
          <w:ilvl w:val="0"/>
          <w:numId w:val="333"/>
        </w:numPr>
        <w:spacing w:after="18"/>
        <w:ind w:left="1560" w:hanging="142"/>
        <w:jc w:val="both"/>
        <w:rPr>
          <w:sz w:val="22"/>
          <w:szCs w:val="22"/>
          <w:lang w:val="es-CR"/>
        </w:rPr>
      </w:pPr>
      <w:r>
        <w:rPr>
          <w:sz w:val="22"/>
          <w:szCs w:val="22"/>
          <w:lang w:val="es-CR"/>
        </w:rPr>
        <w:t>C</w:t>
      </w:r>
      <w:r w:rsidR="007448D2" w:rsidRPr="00C70A3C">
        <w:rPr>
          <w:sz w:val="22"/>
          <w:szCs w:val="22"/>
          <w:lang w:val="es-CR"/>
        </w:rPr>
        <w:t>oncesión, por parte del prestamista, de un período de gracia para rectificar el incumplimiento del contrato de préstamo a largo plazo que finalice, al menos, doce meses después de la fecha sobre la que se informa.</w:t>
      </w:r>
    </w:p>
    <w:p w14:paraId="5B4850D4" w14:textId="77777777" w:rsidR="00683023" w:rsidRPr="00C70A3C" w:rsidRDefault="00683023">
      <w:pPr>
        <w:pStyle w:val="Default"/>
        <w:numPr>
          <w:ilvl w:val="0"/>
          <w:numId w:val="330"/>
        </w:numPr>
        <w:spacing w:after="18"/>
        <w:jc w:val="both"/>
        <w:rPr>
          <w:sz w:val="22"/>
          <w:szCs w:val="22"/>
          <w:lang w:val="es-CR"/>
        </w:rPr>
      </w:pPr>
    </w:p>
    <w:p w14:paraId="3BFB212A" w14:textId="0F5FFFF3" w:rsidR="007448D2" w:rsidRDefault="007448D2">
      <w:pPr>
        <w:pStyle w:val="Default"/>
        <w:numPr>
          <w:ilvl w:val="1"/>
          <w:numId w:val="329"/>
        </w:numPr>
        <w:spacing w:after="18"/>
        <w:ind w:left="1418" w:hanging="284"/>
        <w:jc w:val="both"/>
        <w:rPr>
          <w:sz w:val="22"/>
          <w:szCs w:val="22"/>
          <w:lang w:val="es-CR"/>
        </w:rPr>
      </w:pPr>
      <w:r w:rsidRPr="00C70A3C">
        <w:rPr>
          <w:sz w:val="22"/>
          <w:szCs w:val="22"/>
          <w:lang w:val="es-CR"/>
        </w:rPr>
        <w:t>Pas</w:t>
      </w:r>
      <w:r w:rsidRPr="00C70A3C">
        <w:rPr>
          <w:b/>
          <w:bCs/>
          <w:sz w:val="22"/>
          <w:szCs w:val="22"/>
          <w:lang w:val="es-CR"/>
        </w:rPr>
        <w:t xml:space="preserve">ivos No </w:t>
      </w:r>
      <w:r w:rsidRPr="00683023">
        <w:rPr>
          <w:sz w:val="22"/>
          <w:szCs w:val="22"/>
          <w:lang w:val="es-CR"/>
        </w:rPr>
        <w:t>Corrientes</w:t>
      </w:r>
      <w:r w:rsidRPr="00C70A3C">
        <w:rPr>
          <w:b/>
          <w:bCs/>
          <w:sz w:val="22"/>
          <w:szCs w:val="22"/>
          <w:lang w:val="es-CR"/>
        </w:rPr>
        <w:t xml:space="preserve">: </w:t>
      </w:r>
      <w:r w:rsidRPr="00C70A3C">
        <w:rPr>
          <w:sz w:val="22"/>
          <w:szCs w:val="22"/>
          <w:lang w:val="es-CR"/>
        </w:rPr>
        <w:t>El resto de los pasivos no considerados en los corrientes, serán considerados como no corrientes.</w:t>
      </w:r>
    </w:p>
    <w:p w14:paraId="772B5237" w14:textId="77777777" w:rsidR="002D4804" w:rsidRPr="00C70A3C" w:rsidRDefault="002D4804" w:rsidP="002D4804">
      <w:pPr>
        <w:pStyle w:val="Default"/>
        <w:spacing w:after="18"/>
        <w:ind w:left="1418"/>
        <w:jc w:val="both"/>
        <w:rPr>
          <w:sz w:val="22"/>
          <w:szCs w:val="22"/>
          <w:lang w:val="es-CR"/>
        </w:rPr>
      </w:pPr>
    </w:p>
    <w:p w14:paraId="2C340FD1" w14:textId="2535AF30" w:rsidR="007448D2" w:rsidRDefault="007448D2">
      <w:pPr>
        <w:pStyle w:val="Default"/>
        <w:numPr>
          <w:ilvl w:val="1"/>
          <w:numId w:val="329"/>
        </w:numPr>
        <w:spacing w:after="18"/>
        <w:ind w:left="1418" w:hanging="284"/>
        <w:jc w:val="both"/>
        <w:rPr>
          <w:sz w:val="22"/>
          <w:szCs w:val="22"/>
          <w:lang w:val="es-CR"/>
        </w:rPr>
      </w:pPr>
      <w:r w:rsidRPr="00C70A3C">
        <w:rPr>
          <w:sz w:val="22"/>
          <w:szCs w:val="22"/>
          <w:lang w:val="es-CR"/>
        </w:rPr>
        <w:t>Otras consideraciones sobre Pasivos no Corrientes:</w:t>
      </w:r>
    </w:p>
    <w:p w14:paraId="544CA79F" w14:textId="77777777" w:rsidR="00683023" w:rsidRPr="00C70A3C" w:rsidRDefault="00683023" w:rsidP="00683023">
      <w:pPr>
        <w:pStyle w:val="Default"/>
        <w:spacing w:after="18"/>
        <w:ind w:left="1418"/>
        <w:jc w:val="both"/>
        <w:rPr>
          <w:sz w:val="22"/>
          <w:szCs w:val="22"/>
          <w:lang w:val="es-CR"/>
        </w:rPr>
      </w:pPr>
    </w:p>
    <w:p w14:paraId="0A1C0944" w14:textId="77777777" w:rsidR="00683023" w:rsidRDefault="007448D2">
      <w:pPr>
        <w:pStyle w:val="Default"/>
        <w:numPr>
          <w:ilvl w:val="0"/>
          <w:numId w:val="334"/>
        </w:numPr>
        <w:spacing w:after="120"/>
        <w:ind w:left="1701" w:hanging="142"/>
        <w:jc w:val="both"/>
        <w:rPr>
          <w:sz w:val="22"/>
          <w:szCs w:val="22"/>
          <w:lang w:val="es-CR"/>
        </w:rPr>
      </w:pPr>
      <w:r w:rsidRPr="00C70A3C">
        <w:rPr>
          <w:sz w:val="22"/>
          <w:szCs w:val="22"/>
          <w:lang w:val="es-CR"/>
        </w:rPr>
        <w:t>Si una entidad tuviera la expectativa y, además, la facultad de renovar o refinanciar una obligación al menos durante los doce meses siguientes a la fecha del período sobre el que se informa, de acuerdo con las condiciones de financiación existentes, clasificará la obligación como no corriente, aun cuando de otro modo sería cancelada a corto plazo.</w:t>
      </w:r>
    </w:p>
    <w:p w14:paraId="4A1D57ED" w14:textId="7BC54331" w:rsidR="00683023" w:rsidRDefault="007448D2">
      <w:pPr>
        <w:pStyle w:val="Default"/>
        <w:numPr>
          <w:ilvl w:val="0"/>
          <w:numId w:val="334"/>
        </w:numPr>
        <w:spacing w:after="18"/>
        <w:ind w:left="1701" w:hanging="142"/>
        <w:jc w:val="both"/>
        <w:rPr>
          <w:sz w:val="22"/>
          <w:szCs w:val="22"/>
          <w:lang w:val="es-CR"/>
        </w:rPr>
      </w:pPr>
      <w:r w:rsidRPr="00683023">
        <w:rPr>
          <w:sz w:val="22"/>
          <w:szCs w:val="22"/>
          <w:lang w:val="es-CR"/>
        </w:rPr>
        <w:t>Se clasificarán como no corrientes los pasivos respecto de los cuales ocurra cualquiera de las siguientes situaciones antes de la fecha sobre la que se informa:</w:t>
      </w:r>
    </w:p>
    <w:p w14:paraId="41052BB3" w14:textId="77777777" w:rsidR="00683023" w:rsidRPr="00683023" w:rsidRDefault="00683023" w:rsidP="00683023">
      <w:pPr>
        <w:pStyle w:val="Default"/>
        <w:spacing w:after="18"/>
        <w:ind w:left="1701"/>
        <w:jc w:val="both"/>
        <w:rPr>
          <w:sz w:val="22"/>
          <w:szCs w:val="22"/>
          <w:lang w:val="es-CR"/>
        </w:rPr>
      </w:pPr>
    </w:p>
    <w:p w14:paraId="5A79DA2E" w14:textId="30CDAF39" w:rsidR="007448D2" w:rsidRPr="00C70A3C" w:rsidRDefault="00683023">
      <w:pPr>
        <w:pStyle w:val="Default"/>
        <w:numPr>
          <w:ilvl w:val="1"/>
          <w:numId w:val="335"/>
        </w:numPr>
        <w:spacing w:after="120"/>
        <w:ind w:left="1990" w:hanging="210"/>
        <w:jc w:val="both"/>
        <w:rPr>
          <w:sz w:val="22"/>
          <w:szCs w:val="22"/>
          <w:lang w:val="es-CR"/>
        </w:rPr>
      </w:pPr>
      <w:r>
        <w:rPr>
          <w:sz w:val="22"/>
          <w:szCs w:val="22"/>
          <w:lang w:val="es-CR"/>
        </w:rPr>
        <w:t>R</w:t>
      </w:r>
      <w:r w:rsidR="007448D2" w:rsidRPr="00C70A3C">
        <w:rPr>
          <w:sz w:val="22"/>
          <w:szCs w:val="22"/>
          <w:lang w:val="es-CR"/>
        </w:rPr>
        <w:t xml:space="preserve">efinanciación a largo plazo; </w:t>
      </w:r>
    </w:p>
    <w:p w14:paraId="0FB3FC9E" w14:textId="796EFCF2" w:rsidR="007448D2" w:rsidRPr="00C70A3C" w:rsidRDefault="00683023">
      <w:pPr>
        <w:pStyle w:val="Default"/>
        <w:numPr>
          <w:ilvl w:val="1"/>
          <w:numId w:val="335"/>
        </w:numPr>
        <w:spacing w:after="120"/>
        <w:ind w:left="1990" w:hanging="210"/>
        <w:jc w:val="both"/>
        <w:rPr>
          <w:sz w:val="22"/>
          <w:szCs w:val="22"/>
          <w:lang w:val="es-CR"/>
        </w:rPr>
      </w:pPr>
      <w:r>
        <w:rPr>
          <w:sz w:val="22"/>
          <w:szCs w:val="22"/>
          <w:lang w:val="es-CR"/>
        </w:rPr>
        <w:t>R</w:t>
      </w:r>
      <w:r w:rsidR="007448D2" w:rsidRPr="00C70A3C">
        <w:rPr>
          <w:sz w:val="22"/>
          <w:szCs w:val="22"/>
          <w:lang w:val="es-CR"/>
        </w:rPr>
        <w:t xml:space="preserve">ectificación del incumplimiento del contrato de préstamo a largo plazo; y </w:t>
      </w:r>
    </w:p>
    <w:p w14:paraId="06EEEE14" w14:textId="6789CB4C" w:rsidR="007448D2" w:rsidRPr="00C70A3C" w:rsidRDefault="00683023">
      <w:pPr>
        <w:pStyle w:val="Default"/>
        <w:numPr>
          <w:ilvl w:val="1"/>
          <w:numId w:val="335"/>
        </w:numPr>
        <w:ind w:left="1985" w:hanging="207"/>
        <w:jc w:val="both"/>
        <w:rPr>
          <w:sz w:val="22"/>
          <w:szCs w:val="22"/>
          <w:lang w:val="es-CR"/>
        </w:rPr>
      </w:pPr>
      <w:r>
        <w:rPr>
          <w:sz w:val="22"/>
          <w:szCs w:val="22"/>
          <w:lang w:val="es-CR"/>
        </w:rPr>
        <w:t>C</w:t>
      </w:r>
      <w:r w:rsidR="007448D2" w:rsidRPr="00C70A3C">
        <w:rPr>
          <w:sz w:val="22"/>
          <w:szCs w:val="22"/>
          <w:lang w:val="es-CR"/>
        </w:rPr>
        <w:t xml:space="preserve">oncesión, por parte del prestamista, de un período de gracia para rectificar el incumplimiento del contrato de préstamo a largo plazo que finalice, al menos, doce meses después de la fecha sobre la que se informa. </w:t>
      </w:r>
    </w:p>
    <w:p w14:paraId="61C86098" w14:textId="2BD48700" w:rsidR="007448D2" w:rsidRPr="002D4804" w:rsidRDefault="007448D2">
      <w:pPr>
        <w:pStyle w:val="Default"/>
        <w:numPr>
          <w:ilvl w:val="1"/>
          <w:numId w:val="330"/>
        </w:numPr>
        <w:rPr>
          <w:sz w:val="23"/>
          <w:szCs w:val="23"/>
          <w:lang w:val="es-CR"/>
        </w:rPr>
      </w:pPr>
    </w:p>
    <w:p w14:paraId="5F2E9882" w14:textId="77777777" w:rsidR="007448D2" w:rsidRDefault="007448D2" w:rsidP="007448D2">
      <w:pPr>
        <w:pStyle w:val="Default"/>
        <w:rPr>
          <w:sz w:val="23"/>
          <w:szCs w:val="23"/>
          <w:lang w:val="es-CR"/>
        </w:rPr>
      </w:pPr>
    </w:p>
    <w:p w14:paraId="38B94B56" w14:textId="77777777" w:rsidR="004F40D9" w:rsidRDefault="004F40D9" w:rsidP="007448D2">
      <w:pPr>
        <w:pStyle w:val="Default"/>
        <w:rPr>
          <w:sz w:val="23"/>
          <w:szCs w:val="23"/>
          <w:lang w:val="es-CR"/>
        </w:rPr>
      </w:pPr>
    </w:p>
    <w:p w14:paraId="0CFFC096" w14:textId="77777777" w:rsidR="004F40D9" w:rsidRDefault="004F40D9" w:rsidP="007448D2">
      <w:pPr>
        <w:pStyle w:val="Default"/>
        <w:rPr>
          <w:sz w:val="23"/>
          <w:szCs w:val="23"/>
          <w:lang w:val="es-CR"/>
        </w:rPr>
      </w:pPr>
    </w:p>
    <w:p w14:paraId="785CD06C" w14:textId="77777777" w:rsidR="004F40D9" w:rsidRPr="007448D2" w:rsidRDefault="004F40D9" w:rsidP="007448D2">
      <w:pPr>
        <w:pStyle w:val="Default"/>
        <w:rPr>
          <w:sz w:val="23"/>
          <w:szCs w:val="23"/>
          <w:lang w:val="es-CR"/>
        </w:rPr>
      </w:pPr>
    </w:p>
    <w:tbl>
      <w:tblPr>
        <w:tblW w:w="9346" w:type="dxa"/>
        <w:tblLook w:val="04A0" w:firstRow="1" w:lastRow="0" w:firstColumn="1" w:lastColumn="0" w:noHBand="0" w:noVBand="1"/>
      </w:tblPr>
      <w:tblGrid>
        <w:gridCol w:w="416"/>
        <w:gridCol w:w="708"/>
        <w:gridCol w:w="426"/>
        <w:gridCol w:w="3689"/>
        <w:gridCol w:w="2253"/>
        <w:gridCol w:w="1854"/>
      </w:tblGrid>
      <w:tr w:rsidR="002D4804" w:rsidRPr="002D4804" w14:paraId="3D2D2D16" w14:textId="77777777" w:rsidTr="004F40D9">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A8B6439" w14:textId="77777777" w:rsidR="002D4804" w:rsidRPr="002D4804" w:rsidRDefault="002D4804" w:rsidP="002D4804">
            <w:pPr>
              <w:jc w:val="center"/>
              <w:rPr>
                <w:rFonts w:ascii="Arial Narrow" w:eastAsia="Times New Roman" w:hAnsi="Arial Narrow" w:cs="Calibri"/>
                <w:b/>
                <w:bCs/>
                <w:color w:val="FFFFFF"/>
                <w:sz w:val="22"/>
                <w:szCs w:val="22"/>
              </w:rPr>
            </w:pPr>
            <w:r w:rsidRPr="002D4804">
              <w:rPr>
                <w:rFonts w:ascii="Arial Narrow" w:eastAsia="Times New Roman" w:hAnsi="Arial Narrow" w:cs="Calibri"/>
                <w:b/>
                <w:bCs/>
                <w:color w:val="FFFFFF"/>
                <w:sz w:val="22"/>
                <w:szCs w:val="22"/>
              </w:rPr>
              <w:lastRenderedPageBreak/>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6090AD61" w14:textId="77777777" w:rsidR="002D4804" w:rsidRPr="002D4804" w:rsidRDefault="002D4804" w:rsidP="002D4804">
            <w:pPr>
              <w:jc w:val="center"/>
              <w:rPr>
                <w:rFonts w:ascii="Arial Narrow" w:eastAsia="Times New Roman" w:hAnsi="Arial Narrow" w:cs="Calibri"/>
                <w:b/>
                <w:bCs/>
                <w:color w:val="FFFFFF"/>
                <w:sz w:val="22"/>
                <w:szCs w:val="22"/>
              </w:rPr>
            </w:pPr>
            <w:r w:rsidRPr="002D4804">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295857CD" w14:textId="77777777" w:rsidR="002D4804" w:rsidRPr="002D4804" w:rsidRDefault="002D4804" w:rsidP="002D4804">
            <w:pPr>
              <w:jc w:val="center"/>
              <w:rPr>
                <w:rFonts w:ascii="Arial Narrow" w:eastAsia="Times New Roman" w:hAnsi="Arial Narrow" w:cs="Calibri"/>
                <w:b/>
                <w:bCs/>
                <w:color w:val="FFFFFF"/>
                <w:sz w:val="22"/>
                <w:szCs w:val="22"/>
              </w:rPr>
            </w:pPr>
            <w:r w:rsidRPr="002D4804">
              <w:rPr>
                <w:rFonts w:ascii="Arial Narrow" w:eastAsia="Times New Roman" w:hAnsi="Arial Narrow" w:cs="Calibri"/>
                <w:b/>
                <w:bCs/>
                <w:color w:val="FFFFFF"/>
                <w:sz w:val="22"/>
                <w:szCs w:val="22"/>
              </w:rPr>
              <w:t>Referencia</w:t>
            </w:r>
          </w:p>
        </w:tc>
      </w:tr>
      <w:tr w:rsidR="002D4804" w:rsidRPr="006E5442" w14:paraId="70A2DF58" w14:textId="77777777" w:rsidTr="004F40D9">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09278820" w14:textId="77777777" w:rsidR="002D4804" w:rsidRPr="002D4804" w:rsidRDefault="002D4804" w:rsidP="002D4804">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4C9DF304" w14:textId="77777777" w:rsidR="002D4804" w:rsidRPr="002D4804" w:rsidRDefault="002D4804" w:rsidP="002D4804">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6280AD8D" w14:textId="77777777" w:rsidR="002D4804" w:rsidRPr="002D4804" w:rsidRDefault="002D4804" w:rsidP="002D4804">
            <w:pPr>
              <w:jc w:val="center"/>
              <w:rPr>
                <w:rFonts w:ascii="Arial Narrow" w:eastAsia="Times New Roman" w:hAnsi="Arial Narrow" w:cs="Calibri"/>
                <w:b/>
                <w:bCs/>
                <w:color w:val="FFFFFF"/>
                <w:sz w:val="22"/>
                <w:szCs w:val="22"/>
              </w:rPr>
            </w:pPr>
            <w:r w:rsidRPr="002D4804">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7D8EF6E6" w14:textId="77777777" w:rsidR="002D4804" w:rsidRPr="002D4804" w:rsidRDefault="002D4804" w:rsidP="002D4804">
            <w:pPr>
              <w:jc w:val="center"/>
              <w:rPr>
                <w:rFonts w:ascii="Arial Narrow" w:eastAsia="Times New Roman" w:hAnsi="Arial Narrow" w:cs="Calibri"/>
                <w:b/>
                <w:bCs/>
                <w:color w:val="FFFFFF"/>
                <w:sz w:val="22"/>
                <w:szCs w:val="22"/>
                <w:lang w:val="es-CR"/>
              </w:rPr>
            </w:pPr>
            <w:r w:rsidRPr="002D4804">
              <w:rPr>
                <w:rFonts w:ascii="Arial Narrow" w:eastAsia="Times New Roman" w:hAnsi="Arial Narrow" w:cs="Calibri"/>
                <w:b/>
                <w:bCs/>
                <w:color w:val="FFFFFF"/>
                <w:sz w:val="22"/>
                <w:szCs w:val="22"/>
                <w:lang w:val="es-CR"/>
              </w:rPr>
              <w:t>Normativa técnica y disposiciones adicionales</w:t>
            </w:r>
          </w:p>
        </w:tc>
      </w:tr>
      <w:tr w:rsidR="002D4804" w:rsidRPr="002D4804" w14:paraId="15940D8B" w14:textId="77777777" w:rsidTr="004F40D9">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5F34AC" w14:textId="77777777" w:rsidR="002D4804" w:rsidRPr="002D4804" w:rsidRDefault="002D4804" w:rsidP="002D4804">
            <w:pPr>
              <w:jc w:val="center"/>
              <w:rPr>
                <w:rFonts w:ascii="Arial Narrow" w:eastAsia="Times New Roman" w:hAnsi="Arial Narrow" w:cs="Calibri"/>
                <w:b/>
                <w:bCs/>
                <w:color w:val="000000"/>
                <w:sz w:val="22"/>
                <w:szCs w:val="22"/>
              </w:rPr>
            </w:pPr>
            <w:r w:rsidRPr="002D4804">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6746E25" w14:textId="77777777" w:rsidR="002D4804" w:rsidRPr="002D4804" w:rsidRDefault="002D4804" w:rsidP="002D4804">
            <w:pPr>
              <w:jc w:val="center"/>
              <w:rPr>
                <w:rFonts w:ascii="Arial Narrow" w:eastAsia="Times New Roman" w:hAnsi="Arial Narrow" w:cs="Calibri"/>
                <w:b/>
                <w:bCs/>
                <w:color w:val="000000"/>
                <w:sz w:val="22"/>
                <w:szCs w:val="22"/>
              </w:rPr>
            </w:pPr>
            <w:r w:rsidRPr="002D4804">
              <w:rPr>
                <w:rFonts w:ascii="Arial Narrow" w:eastAsia="Times New Roman" w:hAnsi="Arial Narrow" w:cs="Calibri"/>
                <w:b/>
                <w:bCs/>
                <w:color w:val="000000"/>
                <w:sz w:val="22"/>
                <w:szCs w:val="22"/>
              </w:rPr>
              <w:t>20</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1BB25C1B" w14:textId="77777777" w:rsidR="002D4804" w:rsidRPr="002D4804" w:rsidRDefault="002D4804" w:rsidP="002D4804">
            <w:pPr>
              <w:jc w:val="center"/>
              <w:rPr>
                <w:rFonts w:ascii="Arial Narrow" w:eastAsia="Times New Roman" w:hAnsi="Arial Narrow" w:cs="Calibri"/>
                <w:b/>
                <w:bCs/>
                <w:color w:val="000000"/>
                <w:sz w:val="22"/>
                <w:szCs w:val="22"/>
              </w:rPr>
            </w:pPr>
            <w:r w:rsidRPr="002D4804">
              <w:rPr>
                <w:rFonts w:ascii="Arial Narrow" w:eastAsia="Times New Roman" w:hAnsi="Arial Narrow" w:cs="Calibri"/>
                <w:b/>
                <w:bCs/>
                <w:color w:val="000000"/>
                <w:sz w:val="22"/>
                <w:szCs w:val="22"/>
              </w:rPr>
              <w:t xml:space="preserve">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24844968" w14:textId="77777777" w:rsidR="002D4804" w:rsidRPr="002D4804" w:rsidRDefault="002D4804" w:rsidP="002D4804">
            <w:pPr>
              <w:jc w:val="both"/>
              <w:rPr>
                <w:rFonts w:ascii="Arial Narrow" w:eastAsia="Times New Roman" w:hAnsi="Arial Narrow" w:cs="Calibri"/>
                <w:b/>
                <w:bCs/>
                <w:color w:val="000000"/>
                <w:sz w:val="22"/>
                <w:szCs w:val="22"/>
                <w:lang w:val="es-CR"/>
              </w:rPr>
            </w:pPr>
            <w:r w:rsidRPr="002D4804">
              <w:rPr>
                <w:rFonts w:ascii="Arial Narrow" w:eastAsia="Times New Roman" w:hAnsi="Arial Narrow" w:cs="Calibri"/>
                <w:b/>
                <w:bCs/>
                <w:color w:val="000000"/>
                <w:sz w:val="22"/>
                <w:szCs w:val="22"/>
                <w:lang w:val="es-CR"/>
              </w:rPr>
              <w:t>Información a revelar en el ESF</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31A6236C" w14:textId="77777777" w:rsidR="00F57D66" w:rsidRDefault="002D4804" w:rsidP="002D4804">
            <w:pPr>
              <w:jc w:val="both"/>
              <w:rPr>
                <w:rFonts w:ascii="Arial Narrow" w:eastAsia="Times New Roman" w:hAnsi="Arial Narrow" w:cs="Calibri"/>
                <w:b/>
                <w:bCs/>
                <w:color w:val="000000"/>
                <w:sz w:val="22"/>
                <w:szCs w:val="22"/>
              </w:rPr>
            </w:pPr>
            <w:r w:rsidRPr="002D4804">
              <w:rPr>
                <w:rFonts w:ascii="Arial Narrow" w:eastAsia="Times New Roman" w:hAnsi="Arial Narrow" w:cs="Calibri"/>
                <w:b/>
                <w:bCs/>
                <w:color w:val="000000"/>
                <w:sz w:val="22"/>
                <w:szCs w:val="22"/>
              </w:rPr>
              <w:t>NICSP N° 1,</w:t>
            </w:r>
          </w:p>
          <w:p w14:paraId="0200ED35" w14:textId="27242B84" w:rsidR="002D4804" w:rsidRPr="002D4804" w:rsidRDefault="002D4804" w:rsidP="002D4804">
            <w:pPr>
              <w:jc w:val="both"/>
              <w:rPr>
                <w:rFonts w:ascii="Arial Narrow" w:eastAsia="Times New Roman" w:hAnsi="Arial Narrow" w:cs="Calibri"/>
                <w:b/>
                <w:bCs/>
                <w:color w:val="000000"/>
                <w:sz w:val="22"/>
                <w:szCs w:val="22"/>
              </w:rPr>
            </w:pPr>
            <w:r w:rsidRPr="002D4804">
              <w:rPr>
                <w:rFonts w:ascii="Arial Narrow" w:eastAsia="Times New Roman" w:hAnsi="Arial Narrow" w:cs="Calibri"/>
                <w:b/>
                <w:bCs/>
                <w:color w:val="000000"/>
                <w:sz w:val="22"/>
                <w:szCs w:val="22"/>
              </w:rPr>
              <w:t>Párrafos 75, 88, 89 y 91.</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7898B63C" w14:textId="77777777" w:rsidR="002D4804" w:rsidRPr="002D4804" w:rsidRDefault="002D4804" w:rsidP="002D4804">
            <w:pPr>
              <w:jc w:val="center"/>
              <w:rPr>
                <w:rFonts w:ascii="Arial Narrow" w:eastAsia="Times New Roman" w:hAnsi="Arial Narrow" w:cs="Calibri"/>
                <w:b/>
                <w:bCs/>
                <w:color w:val="000000"/>
                <w:sz w:val="22"/>
                <w:szCs w:val="22"/>
              </w:rPr>
            </w:pPr>
            <w:r w:rsidRPr="002D4804">
              <w:rPr>
                <w:rFonts w:ascii="Arial Narrow" w:eastAsia="Times New Roman" w:hAnsi="Arial Narrow" w:cs="Calibri"/>
                <w:b/>
                <w:bCs/>
                <w:color w:val="000000"/>
                <w:sz w:val="22"/>
                <w:szCs w:val="22"/>
              </w:rPr>
              <w:t xml:space="preserve"> </w:t>
            </w:r>
          </w:p>
        </w:tc>
      </w:tr>
    </w:tbl>
    <w:p w14:paraId="2E8357E4" w14:textId="77777777" w:rsidR="008E4648" w:rsidRDefault="008E4648" w:rsidP="00AD41C7">
      <w:pPr>
        <w:pStyle w:val="Default"/>
        <w:jc w:val="both"/>
        <w:rPr>
          <w:sz w:val="22"/>
          <w:szCs w:val="22"/>
          <w:lang w:val="es-CR"/>
        </w:rPr>
      </w:pPr>
    </w:p>
    <w:p w14:paraId="0AE28499" w14:textId="77777777" w:rsidR="004F40D9" w:rsidRDefault="004F40D9" w:rsidP="004F40D9">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7EFEAA91" w14:textId="77777777" w:rsidR="004F40D9" w:rsidRPr="00AD41C7" w:rsidRDefault="004F40D9" w:rsidP="00AD41C7">
      <w:pPr>
        <w:pStyle w:val="Default"/>
        <w:jc w:val="both"/>
        <w:rPr>
          <w:sz w:val="22"/>
          <w:szCs w:val="22"/>
          <w:lang w:val="es-CR"/>
        </w:rPr>
      </w:pPr>
    </w:p>
    <w:p w14:paraId="21677A96" w14:textId="018ADE24" w:rsidR="002D4804" w:rsidRDefault="002D4804" w:rsidP="002D4804">
      <w:pPr>
        <w:pStyle w:val="Default"/>
        <w:ind w:left="1134" w:hanging="1134"/>
        <w:jc w:val="both"/>
        <w:rPr>
          <w:sz w:val="22"/>
          <w:szCs w:val="22"/>
          <w:lang w:val="es-CR"/>
        </w:rPr>
      </w:pPr>
      <w:r>
        <w:rPr>
          <w:sz w:val="22"/>
          <w:szCs w:val="22"/>
          <w:lang w:val="es-CR"/>
        </w:rPr>
        <w:t>6.20.0.01</w:t>
      </w:r>
      <w:r>
        <w:rPr>
          <w:sz w:val="22"/>
          <w:szCs w:val="22"/>
          <w:lang w:val="es-CR"/>
        </w:rPr>
        <w:tab/>
      </w:r>
      <w:r w:rsidRPr="002D4804">
        <w:rPr>
          <w:sz w:val="22"/>
          <w:szCs w:val="22"/>
          <w:lang w:val="es-CR"/>
        </w:rPr>
        <w:t>A efectos de evaluar la liquidez y la solvencia de la entidad, se deberá informar: la fecha esperada de realización de los activos y pasivos financieros como así también la fecha de recuperación y cancelación de los activos y pasivos no monetarios.</w:t>
      </w:r>
    </w:p>
    <w:p w14:paraId="2B032DFE" w14:textId="0800CA8F" w:rsidR="002D4804" w:rsidRPr="002D4804" w:rsidRDefault="002D4804" w:rsidP="002D4804">
      <w:pPr>
        <w:pStyle w:val="Default"/>
        <w:jc w:val="both"/>
        <w:rPr>
          <w:sz w:val="22"/>
          <w:szCs w:val="22"/>
          <w:lang w:val="es-CR"/>
        </w:rPr>
      </w:pPr>
      <w:r w:rsidRPr="002D4804">
        <w:rPr>
          <w:sz w:val="22"/>
          <w:szCs w:val="22"/>
          <w:lang w:val="es-CR"/>
        </w:rPr>
        <w:t xml:space="preserve"> </w:t>
      </w:r>
    </w:p>
    <w:p w14:paraId="34082AFD" w14:textId="40B8F0E9" w:rsidR="002D4804" w:rsidRDefault="002D4804" w:rsidP="00F57D66">
      <w:pPr>
        <w:pStyle w:val="Default"/>
        <w:ind w:left="1134" w:hanging="1134"/>
        <w:jc w:val="both"/>
        <w:rPr>
          <w:sz w:val="22"/>
          <w:szCs w:val="22"/>
          <w:lang w:val="es-CR"/>
        </w:rPr>
      </w:pPr>
      <w:r>
        <w:rPr>
          <w:sz w:val="22"/>
          <w:szCs w:val="22"/>
          <w:lang w:val="es-CR"/>
        </w:rPr>
        <w:t>6.20.0.02</w:t>
      </w:r>
      <w:r>
        <w:rPr>
          <w:sz w:val="22"/>
          <w:szCs w:val="22"/>
          <w:lang w:val="es-CR"/>
        </w:rPr>
        <w:tab/>
      </w:r>
      <w:r w:rsidRPr="002D4804">
        <w:rPr>
          <w:sz w:val="22"/>
          <w:szCs w:val="22"/>
          <w:lang w:val="es-CR"/>
        </w:rPr>
        <w:t>El ESF incluirá, como mínimo, las siguientes partidas:</w:t>
      </w:r>
    </w:p>
    <w:p w14:paraId="4589FCCD" w14:textId="77777777" w:rsidR="002D4804" w:rsidRPr="002D4804" w:rsidRDefault="002D4804" w:rsidP="002D4804">
      <w:pPr>
        <w:pStyle w:val="Default"/>
        <w:jc w:val="both"/>
        <w:rPr>
          <w:sz w:val="22"/>
          <w:szCs w:val="22"/>
          <w:lang w:val="es-CR"/>
        </w:rPr>
      </w:pPr>
    </w:p>
    <w:p w14:paraId="3865EADA" w14:textId="5D5DE95D"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P</w:t>
      </w:r>
      <w:r w:rsidRPr="002D4804">
        <w:rPr>
          <w:sz w:val="22"/>
          <w:szCs w:val="22"/>
          <w:lang w:val="es-CR"/>
        </w:rPr>
        <w:t xml:space="preserve">ropiedades, planta y equipo; </w:t>
      </w:r>
    </w:p>
    <w:p w14:paraId="38EF76DA" w14:textId="04AE6332"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P</w:t>
      </w:r>
      <w:r w:rsidRPr="002D4804">
        <w:rPr>
          <w:sz w:val="22"/>
          <w:szCs w:val="22"/>
          <w:lang w:val="es-CR"/>
        </w:rPr>
        <w:t xml:space="preserve">ropiedades de inversión; </w:t>
      </w:r>
    </w:p>
    <w:p w14:paraId="10004D15" w14:textId="18D5D8DB"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A</w:t>
      </w:r>
      <w:r w:rsidRPr="002D4804">
        <w:rPr>
          <w:sz w:val="22"/>
          <w:szCs w:val="22"/>
          <w:lang w:val="es-CR"/>
        </w:rPr>
        <w:t xml:space="preserve">ctivos intangibles; </w:t>
      </w:r>
    </w:p>
    <w:p w14:paraId="7699E5CF" w14:textId="03C18F01"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A</w:t>
      </w:r>
      <w:r w:rsidRPr="002D4804">
        <w:rPr>
          <w:sz w:val="22"/>
          <w:szCs w:val="22"/>
          <w:lang w:val="es-CR"/>
        </w:rPr>
        <w:t xml:space="preserve">ctivos financieros (excluidos los mencionados en los apartados (e), (g), (h) e (i) siguientes); </w:t>
      </w:r>
    </w:p>
    <w:p w14:paraId="09122579" w14:textId="35A2FAC7"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I</w:t>
      </w:r>
      <w:r w:rsidRPr="002D4804">
        <w:rPr>
          <w:sz w:val="22"/>
          <w:szCs w:val="22"/>
          <w:lang w:val="es-CR"/>
        </w:rPr>
        <w:t xml:space="preserve">nversiones contabilizadas utilizando el método de la participación; </w:t>
      </w:r>
    </w:p>
    <w:p w14:paraId="37486F18" w14:textId="77777777" w:rsidR="002D4804" w:rsidRDefault="002D4804">
      <w:pPr>
        <w:pStyle w:val="Default"/>
        <w:numPr>
          <w:ilvl w:val="0"/>
          <w:numId w:val="338"/>
        </w:numPr>
        <w:spacing w:after="120"/>
        <w:ind w:left="1418" w:hanging="284"/>
        <w:jc w:val="both"/>
        <w:rPr>
          <w:sz w:val="22"/>
          <w:szCs w:val="22"/>
          <w:lang w:val="es-CR"/>
        </w:rPr>
      </w:pPr>
      <w:r>
        <w:rPr>
          <w:sz w:val="22"/>
          <w:szCs w:val="22"/>
          <w:lang w:val="es-CR"/>
        </w:rPr>
        <w:t>I</w:t>
      </w:r>
      <w:r w:rsidRPr="002D4804">
        <w:rPr>
          <w:sz w:val="22"/>
          <w:szCs w:val="22"/>
          <w:lang w:val="es-CR"/>
        </w:rPr>
        <w:t xml:space="preserve">nventarios; </w:t>
      </w:r>
    </w:p>
    <w:p w14:paraId="26FDB354" w14:textId="70DAB6A5"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C</w:t>
      </w:r>
      <w:r w:rsidRPr="002D4804">
        <w:rPr>
          <w:sz w:val="22"/>
          <w:szCs w:val="22"/>
          <w:lang w:val="es-CR"/>
        </w:rPr>
        <w:t xml:space="preserve">uentas por cobrar por transacciones sin contraprestación; </w:t>
      </w:r>
    </w:p>
    <w:p w14:paraId="6DD55FAD" w14:textId="52FFEC07"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C</w:t>
      </w:r>
      <w:r w:rsidRPr="002D4804">
        <w:rPr>
          <w:sz w:val="22"/>
          <w:szCs w:val="22"/>
          <w:lang w:val="es-CR"/>
        </w:rPr>
        <w:t xml:space="preserve">uentas por cobrar por transacciones con contraprestación; </w:t>
      </w:r>
    </w:p>
    <w:p w14:paraId="2DC45899" w14:textId="3A705FA6"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E</w:t>
      </w:r>
      <w:r w:rsidRPr="002D4804">
        <w:rPr>
          <w:sz w:val="22"/>
          <w:szCs w:val="22"/>
          <w:lang w:val="es-CR"/>
        </w:rPr>
        <w:t xml:space="preserve">fectivo y equivalentes al efectivo; </w:t>
      </w:r>
    </w:p>
    <w:p w14:paraId="6087BD06" w14:textId="09441C1E"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I</w:t>
      </w:r>
      <w:r w:rsidRPr="002D4804">
        <w:rPr>
          <w:sz w:val="22"/>
          <w:szCs w:val="22"/>
          <w:lang w:val="es-CR"/>
        </w:rPr>
        <w:t xml:space="preserve">mpuestos y cuentas por pagar de transferencias; </w:t>
      </w:r>
    </w:p>
    <w:p w14:paraId="526B680B" w14:textId="358DB7BA"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C</w:t>
      </w:r>
      <w:r w:rsidRPr="002D4804">
        <w:rPr>
          <w:sz w:val="22"/>
          <w:szCs w:val="22"/>
          <w:lang w:val="es-CR"/>
        </w:rPr>
        <w:t xml:space="preserve">uentas por pagar por transacciones con contraprestación; </w:t>
      </w:r>
    </w:p>
    <w:p w14:paraId="7D83582B" w14:textId="5F489137"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P</w:t>
      </w:r>
      <w:r w:rsidRPr="002D4804">
        <w:rPr>
          <w:sz w:val="22"/>
          <w:szCs w:val="22"/>
          <w:lang w:val="es-CR"/>
        </w:rPr>
        <w:t xml:space="preserve">rovisiones; </w:t>
      </w:r>
    </w:p>
    <w:p w14:paraId="32DA5239" w14:textId="59380952"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P</w:t>
      </w:r>
      <w:r w:rsidRPr="002D4804">
        <w:rPr>
          <w:sz w:val="22"/>
          <w:szCs w:val="22"/>
          <w:lang w:val="es-CR"/>
        </w:rPr>
        <w:t xml:space="preserve">asivos financieros (excluidos los mencionados en los apartados (j), (k) y (l) precedentes; </w:t>
      </w:r>
    </w:p>
    <w:p w14:paraId="7C911E0F" w14:textId="34394E1D" w:rsidR="002D4804" w:rsidRPr="002D4804" w:rsidRDefault="002D4804">
      <w:pPr>
        <w:pStyle w:val="Default"/>
        <w:numPr>
          <w:ilvl w:val="0"/>
          <w:numId w:val="338"/>
        </w:numPr>
        <w:spacing w:after="120"/>
        <w:ind w:left="1418" w:hanging="284"/>
        <w:jc w:val="both"/>
        <w:rPr>
          <w:sz w:val="22"/>
          <w:szCs w:val="22"/>
          <w:lang w:val="es-CR"/>
        </w:rPr>
      </w:pPr>
      <w:r>
        <w:rPr>
          <w:sz w:val="22"/>
          <w:szCs w:val="22"/>
          <w:lang w:val="es-CR"/>
        </w:rPr>
        <w:t>I</w:t>
      </w:r>
      <w:r w:rsidRPr="002D4804">
        <w:rPr>
          <w:sz w:val="22"/>
          <w:szCs w:val="22"/>
          <w:lang w:val="es-CR"/>
        </w:rPr>
        <w:t xml:space="preserve">ntereses minoritarios, presentados dentro del patrimonio; </w:t>
      </w:r>
    </w:p>
    <w:p w14:paraId="049370F8" w14:textId="77777777" w:rsidR="00F57D66" w:rsidRDefault="002D4804">
      <w:pPr>
        <w:pStyle w:val="Default"/>
        <w:numPr>
          <w:ilvl w:val="0"/>
          <w:numId w:val="338"/>
        </w:numPr>
        <w:spacing w:after="120"/>
        <w:ind w:left="1418" w:hanging="284"/>
        <w:jc w:val="both"/>
        <w:rPr>
          <w:sz w:val="22"/>
          <w:szCs w:val="22"/>
          <w:lang w:val="es-CR"/>
        </w:rPr>
      </w:pPr>
      <w:r>
        <w:rPr>
          <w:sz w:val="22"/>
          <w:szCs w:val="22"/>
          <w:lang w:val="es-CR"/>
        </w:rPr>
        <w:t>P</w:t>
      </w:r>
      <w:r w:rsidRPr="002D4804">
        <w:rPr>
          <w:sz w:val="22"/>
          <w:szCs w:val="22"/>
          <w:lang w:val="es-CR"/>
        </w:rPr>
        <w:t xml:space="preserve">atrimonio atribuible a los propietarios de la entidad controladora; y </w:t>
      </w:r>
    </w:p>
    <w:p w14:paraId="0132E02C" w14:textId="0B84E6B5" w:rsidR="002D4804" w:rsidRPr="00F57D66" w:rsidRDefault="002D4804">
      <w:pPr>
        <w:pStyle w:val="Default"/>
        <w:numPr>
          <w:ilvl w:val="0"/>
          <w:numId w:val="338"/>
        </w:numPr>
        <w:spacing w:after="120"/>
        <w:ind w:left="1418" w:hanging="284"/>
        <w:jc w:val="both"/>
        <w:rPr>
          <w:sz w:val="22"/>
          <w:szCs w:val="22"/>
          <w:lang w:val="es-CR"/>
        </w:rPr>
      </w:pPr>
      <w:r w:rsidRPr="00F57D66">
        <w:rPr>
          <w:sz w:val="22"/>
          <w:szCs w:val="22"/>
          <w:lang w:val="es-CR"/>
        </w:rPr>
        <w:t xml:space="preserve">Cualquier otra partida adicional que sea relevante para la comprensión de la situación financiera de la entidad, para lo cual deberá basarse en una evaluación de: </w:t>
      </w:r>
    </w:p>
    <w:p w14:paraId="05207501" w14:textId="52C0C726" w:rsidR="002D4804" w:rsidRPr="002D4804" w:rsidRDefault="002D4804">
      <w:pPr>
        <w:pStyle w:val="Default"/>
        <w:numPr>
          <w:ilvl w:val="1"/>
          <w:numId w:val="337"/>
        </w:numPr>
        <w:spacing w:after="120"/>
        <w:ind w:left="1701" w:hanging="142"/>
        <w:jc w:val="both"/>
        <w:rPr>
          <w:sz w:val="22"/>
          <w:szCs w:val="22"/>
          <w:lang w:val="es-CR"/>
        </w:rPr>
      </w:pPr>
      <w:r w:rsidRPr="002D4804">
        <w:rPr>
          <w:sz w:val="22"/>
          <w:szCs w:val="22"/>
          <w:lang w:val="es-CR"/>
        </w:rPr>
        <w:t xml:space="preserve">La naturaleza y liquidez de los activos; </w:t>
      </w:r>
    </w:p>
    <w:p w14:paraId="49355778" w14:textId="1939F80D" w:rsidR="002D4804" w:rsidRPr="002D4804" w:rsidRDefault="002D4804">
      <w:pPr>
        <w:pStyle w:val="Default"/>
        <w:numPr>
          <w:ilvl w:val="1"/>
          <w:numId w:val="337"/>
        </w:numPr>
        <w:spacing w:after="120"/>
        <w:ind w:left="1701" w:hanging="142"/>
        <w:jc w:val="both"/>
        <w:rPr>
          <w:sz w:val="22"/>
          <w:szCs w:val="22"/>
          <w:lang w:val="es-CR"/>
        </w:rPr>
      </w:pPr>
      <w:r w:rsidRPr="002D4804">
        <w:rPr>
          <w:sz w:val="22"/>
          <w:szCs w:val="22"/>
          <w:lang w:val="es-CR"/>
        </w:rPr>
        <w:t xml:space="preserve">La función de los activos dentro de la entidad; y </w:t>
      </w:r>
    </w:p>
    <w:p w14:paraId="1E696199" w14:textId="44EDA185" w:rsidR="002D4804" w:rsidRPr="002D4804" w:rsidRDefault="002D4804">
      <w:pPr>
        <w:pStyle w:val="Default"/>
        <w:numPr>
          <w:ilvl w:val="1"/>
          <w:numId w:val="337"/>
        </w:numPr>
        <w:ind w:left="1701" w:hanging="142"/>
        <w:jc w:val="both"/>
        <w:rPr>
          <w:sz w:val="22"/>
          <w:szCs w:val="22"/>
          <w:lang w:val="es-CR"/>
        </w:rPr>
      </w:pPr>
      <w:r w:rsidRPr="002D4804">
        <w:rPr>
          <w:sz w:val="22"/>
          <w:szCs w:val="22"/>
          <w:lang w:val="es-CR"/>
        </w:rPr>
        <w:t xml:space="preserve">Los importes, la naturaleza y el plazo de los pasivos. </w:t>
      </w:r>
    </w:p>
    <w:p w14:paraId="4BD1FD9A" w14:textId="77777777" w:rsidR="002D4804" w:rsidRPr="002D4804" w:rsidRDefault="002D4804">
      <w:pPr>
        <w:pStyle w:val="Default"/>
        <w:numPr>
          <w:ilvl w:val="1"/>
          <w:numId w:val="336"/>
        </w:numPr>
        <w:rPr>
          <w:sz w:val="23"/>
          <w:szCs w:val="23"/>
          <w:lang w:val="es-CR"/>
        </w:rPr>
      </w:pPr>
    </w:p>
    <w:p w14:paraId="56536CA9" w14:textId="77777777" w:rsidR="008E4648" w:rsidRDefault="008E4648" w:rsidP="00AD41C7">
      <w:pPr>
        <w:pStyle w:val="Default"/>
        <w:jc w:val="both"/>
        <w:rPr>
          <w:sz w:val="22"/>
          <w:szCs w:val="22"/>
          <w:lang w:val="es-CR"/>
        </w:rPr>
      </w:pPr>
    </w:p>
    <w:p w14:paraId="728DAAEC" w14:textId="77777777" w:rsidR="004F40D9" w:rsidRDefault="004F40D9" w:rsidP="00AD41C7">
      <w:pPr>
        <w:pStyle w:val="Default"/>
        <w:jc w:val="both"/>
        <w:rPr>
          <w:sz w:val="22"/>
          <w:szCs w:val="22"/>
          <w:lang w:val="es-CR"/>
        </w:rPr>
      </w:pPr>
    </w:p>
    <w:p w14:paraId="03E6130D" w14:textId="77777777" w:rsidR="004F40D9" w:rsidRDefault="004F40D9" w:rsidP="00AD41C7">
      <w:pPr>
        <w:pStyle w:val="Default"/>
        <w:jc w:val="both"/>
        <w:rPr>
          <w:sz w:val="22"/>
          <w:szCs w:val="22"/>
          <w:lang w:val="es-CR"/>
        </w:rPr>
      </w:pPr>
    </w:p>
    <w:p w14:paraId="320D6DDA" w14:textId="77777777" w:rsidR="004F40D9" w:rsidRDefault="004F40D9" w:rsidP="00AD41C7">
      <w:pPr>
        <w:pStyle w:val="Default"/>
        <w:jc w:val="both"/>
        <w:rPr>
          <w:sz w:val="22"/>
          <w:szCs w:val="22"/>
          <w:lang w:val="es-CR"/>
        </w:rPr>
      </w:pPr>
    </w:p>
    <w:p w14:paraId="422B958A" w14:textId="77777777" w:rsidR="004F40D9" w:rsidRDefault="004F40D9" w:rsidP="00AD41C7">
      <w:pPr>
        <w:pStyle w:val="Default"/>
        <w:jc w:val="both"/>
        <w:rPr>
          <w:sz w:val="22"/>
          <w:szCs w:val="22"/>
          <w:lang w:val="es-CR"/>
        </w:rPr>
      </w:pPr>
    </w:p>
    <w:p w14:paraId="3EDF3065" w14:textId="77777777" w:rsidR="004F40D9" w:rsidRDefault="004F40D9" w:rsidP="00AD41C7">
      <w:pPr>
        <w:pStyle w:val="Default"/>
        <w:jc w:val="both"/>
        <w:rPr>
          <w:sz w:val="22"/>
          <w:szCs w:val="22"/>
          <w:lang w:val="es-CR"/>
        </w:rPr>
      </w:pPr>
    </w:p>
    <w:p w14:paraId="0D2468D1" w14:textId="77777777" w:rsidR="004F40D9" w:rsidRDefault="004F40D9" w:rsidP="00AD41C7">
      <w:pPr>
        <w:pStyle w:val="Default"/>
        <w:jc w:val="both"/>
        <w:rPr>
          <w:sz w:val="22"/>
          <w:szCs w:val="22"/>
          <w:lang w:val="es-CR"/>
        </w:rPr>
      </w:pPr>
    </w:p>
    <w:tbl>
      <w:tblPr>
        <w:tblW w:w="9436" w:type="dxa"/>
        <w:tblLook w:val="04A0" w:firstRow="1" w:lastRow="0" w:firstColumn="1" w:lastColumn="0" w:noHBand="0" w:noVBand="1"/>
      </w:tblPr>
      <w:tblGrid>
        <w:gridCol w:w="536"/>
        <w:gridCol w:w="706"/>
        <w:gridCol w:w="517"/>
        <w:gridCol w:w="3618"/>
        <w:gridCol w:w="2168"/>
        <w:gridCol w:w="1882"/>
        <w:gridCol w:w="9"/>
      </w:tblGrid>
      <w:tr w:rsidR="00F57D66" w:rsidRPr="00F57D66" w14:paraId="63F5AA7F" w14:textId="77777777" w:rsidTr="004F40D9">
        <w:trPr>
          <w:trHeight w:val="320"/>
        </w:trPr>
        <w:tc>
          <w:tcPr>
            <w:tcW w:w="1759"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6E3A120" w14:textId="77777777" w:rsidR="00F57D66" w:rsidRPr="00F57D66" w:rsidRDefault="00F57D66" w:rsidP="00F57D66">
            <w:pPr>
              <w:jc w:val="center"/>
              <w:rPr>
                <w:rFonts w:ascii="Arial Narrow" w:eastAsia="Times New Roman" w:hAnsi="Arial Narrow" w:cs="Calibri"/>
                <w:b/>
                <w:bCs/>
                <w:color w:val="FFFFFF"/>
                <w:sz w:val="22"/>
                <w:szCs w:val="22"/>
              </w:rPr>
            </w:pPr>
            <w:r w:rsidRPr="00F57D66">
              <w:rPr>
                <w:rFonts w:ascii="Arial Narrow" w:eastAsia="Times New Roman" w:hAnsi="Arial Narrow" w:cs="Calibri"/>
                <w:b/>
                <w:bCs/>
                <w:color w:val="FFFFFF"/>
                <w:sz w:val="22"/>
                <w:szCs w:val="22"/>
              </w:rPr>
              <w:lastRenderedPageBreak/>
              <w:t>Norma / Política</w:t>
            </w:r>
          </w:p>
        </w:tc>
        <w:tc>
          <w:tcPr>
            <w:tcW w:w="3618" w:type="dxa"/>
            <w:vMerge w:val="restart"/>
            <w:tcBorders>
              <w:top w:val="single" w:sz="8" w:space="0" w:color="auto"/>
              <w:left w:val="single" w:sz="8" w:space="0" w:color="auto"/>
              <w:bottom w:val="nil"/>
              <w:right w:val="single" w:sz="8" w:space="0" w:color="auto"/>
            </w:tcBorders>
            <w:shd w:val="clear" w:color="000000" w:fill="203764"/>
            <w:vAlign w:val="center"/>
            <w:hideMark/>
          </w:tcPr>
          <w:p w14:paraId="45A925C3" w14:textId="77777777" w:rsidR="00F57D66" w:rsidRPr="00F57D66" w:rsidRDefault="00F57D66" w:rsidP="00F57D66">
            <w:pPr>
              <w:jc w:val="center"/>
              <w:rPr>
                <w:rFonts w:ascii="Arial Narrow" w:eastAsia="Times New Roman" w:hAnsi="Arial Narrow" w:cs="Calibri"/>
                <w:b/>
                <w:bCs/>
                <w:color w:val="FFFFFF"/>
                <w:sz w:val="22"/>
                <w:szCs w:val="22"/>
              </w:rPr>
            </w:pPr>
            <w:r w:rsidRPr="00F57D66">
              <w:rPr>
                <w:rFonts w:ascii="Arial Narrow" w:eastAsia="Times New Roman" w:hAnsi="Arial Narrow" w:cs="Calibri"/>
                <w:b/>
                <w:bCs/>
                <w:color w:val="FFFFFF"/>
                <w:sz w:val="22"/>
                <w:szCs w:val="22"/>
              </w:rPr>
              <w:t>Concepto</w:t>
            </w:r>
          </w:p>
        </w:tc>
        <w:tc>
          <w:tcPr>
            <w:tcW w:w="4059" w:type="dxa"/>
            <w:gridSpan w:val="3"/>
            <w:tcBorders>
              <w:top w:val="single" w:sz="8" w:space="0" w:color="auto"/>
              <w:left w:val="nil"/>
              <w:bottom w:val="single" w:sz="8" w:space="0" w:color="auto"/>
              <w:right w:val="single" w:sz="8" w:space="0" w:color="000000"/>
            </w:tcBorders>
            <w:shd w:val="clear" w:color="000000" w:fill="203764"/>
            <w:vAlign w:val="center"/>
            <w:hideMark/>
          </w:tcPr>
          <w:p w14:paraId="051A7B37" w14:textId="77777777" w:rsidR="00F57D66" w:rsidRPr="00F57D66" w:rsidRDefault="00F57D66" w:rsidP="00F57D66">
            <w:pPr>
              <w:jc w:val="center"/>
              <w:rPr>
                <w:rFonts w:ascii="Arial Narrow" w:eastAsia="Times New Roman" w:hAnsi="Arial Narrow" w:cs="Calibri"/>
                <w:b/>
                <w:bCs/>
                <w:color w:val="FFFFFF"/>
                <w:sz w:val="22"/>
                <w:szCs w:val="22"/>
              </w:rPr>
            </w:pPr>
            <w:r w:rsidRPr="00F57D66">
              <w:rPr>
                <w:rFonts w:ascii="Arial Narrow" w:eastAsia="Times New Roman" w:hAnsi="Arial Narrow" w:cs="Calibri"/>
                <w:b/>
                <w:bCs/>
                <w:color w:val="FFFFFF"/>
                <w:sz w:val="22"/>
                <w:szCs w:val="22"/>
              </w:rPr>
              <w:t>Referencia</w:t>
            </w:r>
          </w:p>
        </w:tc>
      </w:tr>
      <w:tr w:rsidR="00F57D66" w:rsidRPr="006E5442" w14:paraId="73A472C8" w14:textId="77777777" w:rsidTr="004F40D9">
        <w:trPr>
          <w:gridAfter w:val="1"/>
          <w:wAfter w:w="9" w:type="dxa"/>
          <w:trHeight w:val="850"/>
        </w:trPr>
        <w:tc>
          <w:tcPr>
            <w:tcW w:w="1759" w:type="dxa"/>
            <w:gridSpan w:val="3"/>
            <w:vMerge/>
            <w:tcBorders>
              <w:top w:val="single" w:sz="8" w:space="0" w:color="auto"/>
              <w:left w:val="single" w:sz="8" w:space="0" w:color="auto"/>
              <w:bottom w:val="nil"/>
              <w:right w:val="single" w:sz="8" w:space="0" w:color="000000"/>
            </w:tcBorders>
            <w:vAlign w:val="center"/>
            <w:hideMark/>
          </w:tcPr>
          <w:p w14:paraId="629AA8D8" w14:textId="77777777" w:rsidR="00F57D66" w:rsidRPr="00F57D66" w:rsidRDefault="00F57D66" w:rsidP="00F57D66">
            <w:pPr>
              <w:rPr>
                <w:rFonts w:ascii="Arial Narrow" w:eastAsia="Times New Roman" w:hAnsi="Arial Narrow" w:cs="Calibri"/>
                <w:b/>
                <w:bCs/>
                <w:color w:val="FFFFFF"/>
                <w:sz w:val="22"/>
                <w:szCs w:val="22"/>
              </w:rPr>
            </w:pPr>
          </w:p>
        </w:tc>
        <w:tc>
          <w:tcPr>
            <w:tcW w:w="3618" w:type="dxa"/>
            <w:vMerge/>
            <w:tcBorders>
              <w:top w:val="single" w:sz="8" w:space="0" w:color="auto"/>
              <w:left w:val="single" w:sz="8" w:space="0" w:color="auto"/>
              <w:bottom w:val="nil"/>
              <w:right w:val="single" w:sz="8" w:space="0" w:color="auto"/>
            </w:tcBorders>
            <w:vAlign w:val="center"/>
            <w:hideMark/>
          </w:tcPr>
          <w:p w14:paraId="624C5716" w14:textId="77777777" w:rsidR="00F57D66" w:rsidRPr="00F57D66" w:rsidRDefault="00F57D66" w:rsidP="00F57D66">
            <w:pPr>
              <w:rPr>
                <w:rFonts w:ascii="Arial Narrow" w:eastAsia="Times New Roman" w:hAnsi="Arial Narrow" w:cs="Calibri"/>
                <w:b/>
                <w:bCs/>
                <w:color w:val="FFFFFF"/>
                <w:sz w:val="22"/>
                <w:szCs w:val="22"/>
              </w:rPr>
            </w:pPr>
          </w:p>
        </w:tc>
        <w:tc>
          <w:tcPr>
            <w:tcW w:w="2168" w:type="dxa"/>
            <w:tcBorders>
              <w:top w:val="nil"/>
              <w:left w:val="nil"/>
              <w:bottom w:val="nil"/>
              <w:right w:val="single" w:sz="8" w:space="0" w:color="auto"/>
            </w:tcBorders>
            <w:shd w:val="clear" w:color="000000" w:fill="203764"/>
            <w:vAlign w:val="center"/>
            <w:hideMark/>
          </w:tcPr>
          <w:p w14:paraId="25B5C10F" w14:textId="77777777" w:rsidR="00F57D66" w:rsidRPr="00F57D66" w:rsidRDefault="00F57D66" w:rsidP="00F57D66">
            <w:pPr>
              <w:jc w:val="center"/>
              <w:rPr>
                <w:rFonts w:ascii="Arial Narrow" w:eastAsia="Times New Roman" w:hAnsi="Arial Narrow" w:cs="Calibri"/>
                <w:b/>
                <w:bCs/>
                <w:color w:val="FFFFFF"/>
                <w:sz w:val="22"/>
                <w:szCs w:val="22"/>
              </w:rPr>
            </w:pPr>
            <w:r w:rsidRPr="00F57D66">
              <w:rPr>
                <w:rFonts w:ascii="Arial Narrow" w:eastAsia="Times New Roman" w:hAnsi="Arial Narrow" w:cs="Calibri"/>
                <w:b/>
                <w:bCs/>
                <w:color w:val="FFFFFF"/>
                <w:sz w:val="22"/>
                <w:szCs w:val="22"/>
              </w:rPr>
              <w:t>Norma</w:t>
            </w:r>
          </w:p>
        </w:tc>
        <w:tc>
          <w:tcPr>
            <w:tcW w:w="1882" w:type="dxa"/>
            <w:tcBorders>
              <w:top w:val="nil"/>
              <w:left w:val="nil"/>
              <w:bottom w:val="nil"/>
              <w:right w:val="single" w:sz="8" w:space="0" w:color="auto"/>
            </w:tcBorders>
            <w:shd w:val="clear" w:color="000000" w:fill="203764"/>
            <w:vAlign w:val="center"/>
            <w:hideMark/>
          </w:tcPr>
          <w:p w14:paraId="48BC1CAA" w14:textId="77777777" w:rsidR="00F57D66" w:rsidRPr="00F57D66" w:rsidRDefault="00F57D66" w:rsidP="00F57D66">
            <w:pPr>
              <w:jc w:val="center"/>
              <w:rPr>
                <w:rFonts w:ascii="Arial Narrow" w:eastAsia="Times New Roman" w:hAnsi="Arial Narrow" w:cs="Calibri"/>
                <w:b/>
                <w:bCs/>
                <w:color w:val="FFFFFF"/>
                <w:sz w:val="22"/>
                <w:szCs w:val="22"/>
                <w:lang w:val="es-CR"/>
              </w:rPr>
            </w:pPr>
            <w:r w:rsidRPr="00F57D66">
              <w:rPr>
                <w:rFonts w:ascii="Arial Narrow" w:eastAsia="Times New Roman" w:hAnsi="Arial Narrow" w:cs="Calibri"/>
                <w:b/>
                <w:bCs/>
                <w:color w:val="FFFFFF"/>
                <w:sz w:val="22"/>
                <w:szCs w:val="22"/>
                <w:lang w:val="es-CR"/>
              </w:rPr>
              <w:t>Normativa técnica y disposiciones adicionales</w:t>
            </w:r>
          </w:p>
        </w:tc>
      </w:tr>
      <w:tr w:rsidR="00F57D66" w:rsidRPr="00F57D66" w14:paraId="0C3C9D17" w14:textId="77777777" w:rsidTr="004F40D9">
        <w:trPr>
          <w:gridAfter w:val="1"/>
          <w:wAfter w:w="9" w:type="dxa"/>
          <w:trHeight w:val="57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D4585F" w14:textId="77777777" w:rsidR="00F57D66" w:rsidRPr="00F57D66" w:rsidRDefault="00F57D66" w:rsidP="004F40D9">
            <w:pPr>
              <w:jc w:val="center"/>
              <w:rPr>
                <w:rFonts w:ascii="Arial Narrow" w:eastAsia="Times New Roman" w:hAnsi="Arial Narrow"/>
                <w:b/>
                <w:bCs/>
                <w:color w:val="000000"/>
                <w:sz w:val="22"/>
                <w:szCs w:val="22"/>
              </w:rPr>
            </w:pPr>
            <w:r w:rsidRPr="00F57D66">
              <w:rPr>
                <w:rFonts w:ascii="Arial Narrow" w:eastAsia="Times New Roman" w:hAnsi="Arial Narrow"/>
                <w:b/>
                <w:bCs/>
                <w:color w:val="000000"/>
                <w:sz w:val="22"/>
                <w:szCs w:val="22"/>
              </w:rPr>
              <w:t>6</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1B4EF5C7" w14:textId="77777777" w:rsidR="00F57D66" w:rsidRPr="00F57D66" w:rsidRDefault="00F57D66" w:rsidP="004F40D9">
            <w:pPr>
              <w:ind w:firstLineChars="100" w:firstLine="220"/>
              <w:jc w:val="center"/>
              <w:rPr>
                <w:rFonts w:ascii="Arial Narrow" w:eastAsia="Times New Roman" w:hAnsi="Arial Narrow"/>
                <w:b/>
                <w:bCs/>
                <w:color w:val="000000"/>
                <w:sz w:val="22"/>
                <w:szCs w:val="22"/>
              </w:rPr>
            </w:pPr>
            <w:r w:rsidRPr="00F57D66">
              <w:rPr>
                <w:rFonts w:ascii="Arial Narrow" w:eastAsia="Times New Roman" w:hAnsi="Arial Narrow"/>
                <w:b/>
                <w:bCs/>
                <w:color w:val="000000"/>
                <w:sz w:val="22"/>
                <w:szCs w:val="22"/>
              </w:rPr>
              <w:t>21</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3F378EC9" w14:textId="77777777" w:rsidR="00F57D66" w:rsidRPr="00F57D66" w:rsidRDefault="00F57D66" w:rsidP="00F57D66">
            <w:pPr>
              <w:jc w:val="center"/>
              <w:rPr>
                <w:rFonts w:ascii="Arial Narrow" w:eastAsia="Times New Roman" w:hAnsi="Arial Narrow" w:cs="Calibri"/>
                <w:b/>
                <w:bCs/>
                <w:color w:val="000000"/>
                <w:sz w:val="22"/>
                <w:szCs w:val="22"/>
              </w:rPr>
            </w:pPr>
            <w:r w:rsidRPr="00F57D66">
              <w:rPr>
                <w:rFonts w:ascii="Arial Narrow" w:eastAsia="Times New Roman" w:hAnsi="Arial Narrow" w:cs="Calibri"/>
                <w:b/>
                <w:bCs/>
                <w:color w:val="000000"/>
                <w:sz w:val="22"/>
                <w:szCs w:val="22"/>
              </w:rPr>
              <w:t xml:space="preserve"> </w:t>
            </w:r>
          </w:p>
        </w:tc>
        <w:tc>
          <w:tcPr>
            <w:tcW w:w="3618" w:type="dxa"/>
            <w:tcBorders>
              <w:top w:val="single" w:sz="8" w:space="0" w:color="auto"/>
              <w:left w:val="nil"/>
              <w:bottom w:val="single" w:sz="8" w:space="0" w:color="auto"/>
              <w:right w:val="single" w:sz="8" w:space="0" w:color="auto"/>
            </w:tcBorders>
            <w:shd w:val="clear" w:color="auto" w:fill="auto"/>
            <w:vAlign w:val="center"/>
            <w:hideMark/>
          </w:tcPr>
          <w:p w14:paraId="516D9766" w14:textId="77777777" w:rsidR="00F57D66" w:rsidRPr="00F57D66" w:rsidRDefault="00F57D66" w:rsidP="00F57D66">
            <w:pPr>
              <w:rPr>
                <w:rFonts w:ascii="Arial Narrow" w:eastAsia="Times New Roman" w:hAnsi="Arial Narrow"/>
                <w:b/>
                <w:bCs/>
                <w:color w:val="000000"/>
                <w:sz w:val="22"/>
                <w:szCs w:val="22"/>
              </w:rPr>
            </w:pPr>
            <w:r w:rsidRPr="00F57D66">
              <w:rPr>
                <w:rFonts w:ascii="Arial Narrow" w:eastAsia="Times New Roman" w:hAnsi="Arial Narrow"/>
                <w:b/>
                <w:bCs/>
                <w:color w:val="000000"/>
                <w:sz w:val="22"/>
                <w:szCs w:val="22"/>
              </w:rPr>
              <w:t>Conceptos “Otros”</w:t>
            </w:r>
          </w:p>
        </w:tc>
        <w:tc>
          <w:tcPr>
            <w:tcW w:w="2168" w:type="dxa"/>
            <w:tcBorders>
              <w:top w:val="single" w:sz="8" w:space="0" w:color="auto"/>
              <w:left w:val="nil"/>
              <w:bottom w:val="single" w:sz="8" w:space="0" w:color="auto"/>
              <w:right w:val="single" w:sz="8" w:space="0" w:color="auto"/>
            </w:tcBorders>
            <w:shd w:val="clear" w:color="auto" w:fill="auto"/>
            <w:vAlign w:val="center"/>
            <w:hideMark/>
          </w:tcPr>
          <w:p w14:paraId="745610D9" w14:textId="77777777" w:rsidR="00F57D66" w:rsidRPr="00F57D66" w:rsidRDefault="00F57D66" w:rsidP="00F57D66">
            <w:pPr>
              <w:rPr>
                <w:rFonts w:ascii="Arial Narrow" w:eastAsia="Times New Roman" w:hAnsi="Arial Narrow" w:cs="Calibri"/>
                <w:b/>
                <w:bCs/>
                <w:color w:val="000000"/>
                <w:sz w:val="22"/>
                <w:szCs w:val="22"/>
              </w:rPr>
            </w:pPr>
            <w:r w:rsidRPr="00F57D66">
              <w:rPr>
                <w:rFonts w:ascii="Arial Narrow" w:eastAsia="Times New Roman" w:hAnsi="Arial Narrow" w:cs="Calibri"/>
                <w:b/>
                <w:bCs/>
                <w:color w:val="000000"/>
                <w:sz w:val="22"/>
                <w:szCs w:val="22"/>
              </w:rPr>
              <w:t>PárraNICSP N° 1,</w:t>
            </w:r>
            <w:r w:rsidRPr="00F57D66">
              <w:rPr>
                <w:rFonts w:ascii="Arial Narrow" w:eastAsia="Times New Roman" w:hAnsi="Arial Narrow" w:cs="Calibri"/>
                <w:b/>
                <w:bCs/>
                <w:color w:val="000000"/>
                <w:sz w:val="22"/>
                <w:szCs w:val="22"/>
              </w:rPr>
              <w:br/>
              <w:t>Párrafo 13.</w:t>
            </w:r>
          </w:p>
        </w:tc>
        <w:tc>
          <w:tcPr>
            <w:tcW w:w="1882" w:type="dxa"/>
            <w:tcBorders>
              <w:top w:val="single" w:sz="8" w:space="0" w:color="auto"/>
              <w:left w:val="nil"/>
              <w:bottom w:val="single" w:sz="8" w:space="0" w:color="auto"/>
              <w:right w:val="single" w:sz="8" w:space="0" w:color="auto"/>
            </w:tcBorders>
            <w:shd w:val="clear" w:color="auto" w:fill="auto"/>
            <w:vAlign w:val="center"/>
            <w:hideMark/>
          </w:tcPr>
          <w:p w14:paraId="24D14B25" w14:textId="77777777" w:rsidR="00F57D66" w:rsidRPr="00F57D66" w:rsidRDefault="00F57D66" w:rsidP="004F40D9">
            <w:pPr>
              <w:jc w:val="both"/>
              <w:rPr>
                <w:rFonts w:ascii="Arial Narrow" w:eastAsia="Times New Roman" w:hAnsi="Arial Narrow" w:cs="Calibri"/>
                <w:b/>
                <w:bCs/>
                <w:color w:val="000000"/>
                <w:sz w:val="22"/>
                <w:szCs w:val="22"/>
              </w:rPr>
            </w:pPr>
            <w:r w:rsidRPr="00F57D66">
              <w:rPr>
                <w:rFonts w:ascii="Arial Narrow" w:eastAsia="Times New Roman" w:hAnsi="Arial Narrow" w:cs="Calibri"/>
                <w:b/>
                <w:bCs/>
                <w:color w:val="000000"/>
                <w:sz w:val="22"/>
                <w:szCs w:val="22"/>
              </w:rPr>
              <w:t>MCC - Punto 7.2.</w:t>
            </w:r>
          </w:p>
        </w:tc>
      </w:tr>
      <w:tr w:rsidR="00F57D66" w:rsidRPr="00F57D66" w14:paraId="06045076" w14:textId="77777777" w:rsidTr="004F40D9">
        <w:trPr>
          <w:gridAfter w:val="1"/>
          <w:wAfter w:w="9" w:type="dxa"/>
          <w:trHeight w:val="570"/>
        </w:trPr>
        <w:tc>
          <w:tcPr>
            <w:tcW w:w="536" w:type="dxa"/>
            <w:tcBorders>
              <w:top w:val="nil"/>
              <w:left w:val="single" w:sz="8" w:space="0" w:color="auto"/>
              <w:bottom w:val="single" w:sz="8" w:space="0" w:color="auto"/>
              <w:right w:val="single" w:sz="8" w:space="0" w:color="auto"/>
            </w:tcBorders>
            <w:shd w:val="clear" w:color="auto" w:fill="auto"/>
            <w:vAlign w:val="center"/>
            <w:hideMark/>
          </w:tcPr>
          <w:p w14:paraId="0C633C3F" w14:textId="77777777" w:rsidR="00F57D66" w:rsidRPr="00F57D66" w:rsidRDefault="00F57D66" w:rsidP="004F40D9">
            <w:pPr>
              <w:jc w:val="center"/>
              <w:rPr>
                <w:rFonts w:ascii="Arial Narrow" w:eastAsia="Times New Roman" w:hAnsi="Arial Narrow"/>
                <w:b/>
                <w:bCs/>
                <w:color w:val="000000"/>
                <w:sz w:val="22"/>
                <w:szCs w:val="22"/>
              </w:rPr>
            </w:pPr>
            <w:r w:rsidRPr="00F57D66">
              <w:rPr>
                <w:rFonts w:ascii="Arial Narrow" w:eastAsia="Times New Roman" w:hAnsi="Arial Narrow"/>
                <w:b/>
                <w:bCs/>
                <w:color w:val="000000"/>
                <w:sz w:val="22"/>
                <w:szCs w:val="22"/>
              </w:rPr>
              <w:t>6</w:t>
            </w:r>
          </w:p>
        </w:tc>
        <w:tc>
          <w:tcPr>
            <w:tcW w:w="706" w:type="dxa"/>
            <w:tcBorders>
              <w:top w:val="nil"/>
              <w:left w:val="nil"/>
              <w:bottom w:val="single" w:sz="8" w:space="0" w:color="auto"/>
              <w:right w:val="single" w:sz="8" w:space="0" w:color="auto"/>
            </w:tcBorders>
            <w:shd w:val="clear" w:color="auto" w:fill="auto"/>
            <w:vAlign w:val="center"/>
            <w:hideMark/>
          </w:tcPr>
          <w:p w14:paraId="560AFBE7" w14:textId="77777777" w:rsidR="00F57D66" w:rsidRPr="00F57D66" w:rsidRDefault="00F57D66" w:rsidP="004F40D9">
            <w:pPr>
              <w:ind w:firstLineChars="100" w:firstLine="220"/>
              <w:jc w:val="center"/>
              <w:rPr>
                <w:rFonts w:ascii="Arial Narrow" w:eastAsia="Times New Roman" w:hAnsi="Arial Narrow"/>
                <w:b/>
                <w:bCs/>
                <w:color w:val="000000"/>
                <w:sz w:val="22"/>
                <w:szCs w:val="22"/>
              </w:rPr>
            </w:pPr>
            <w:r w:rsidRPr="00F57D66">
              <w:rPr>
                <w:rFonts w:ascii="Arial Narrow" w:eastAsia="Times New Roman" w:hAnsi="Arial Narrow"/>
                <w:b/>
                <w:bCs/>
                <w:color w:val="000000"/>
                <w:sz w:val="22"/>
                <w:szCs w:val="22"/>
              </w:rPr>
              <w:t>21</w:t>
            </w:r>
          </w:p>
        </w:tc>
        <w:tc>
          <w:tcPr>
            <w:tcW w:w="517" w:type="dxa"/>
            <w:tcBorders>
              <w:top w:val="nil"/>
              <w:left w:val="nil"/>
              <w:bottom w:val="single" w:sz="8" w:space="0" w:color="auto"/>
              <w:right w:val="nil"/>
            </w:tcBorders>
            <w:shd w:val="clear" w:color="auto" w:fill="auto"/>
            <w:vAlign w:val="center"/>
            <w:hideMark/>
          </w:tcPr>
          <w:p w14:paraId="7E6E9D8A" w14:textId="77777777" w:rsidR="00F57D66" w:rsidRPr="00F57D66" w:rsidRDefault="00F57D66" w:rsidP="00F57D66">
            <w:pPr>
              <w:jc w:val="center"/>
              <w:rPr>
                <w:rFonts w:ascii="Arial Narrow" w:eastAsia="Times New Roman" w:hAnsi="Arial Narrow" w:cs="Calibri"/>
                <w:b/>
                <w:bCs/>
                <w:color w:val="000000"/>
                <w:sz w:val="22"/>
                <w:szCs w:val="22"/>
              </w:rPr>
            </w:pPr>
            <w:r w:rsidRPr="00F57D66">
              <w:rPr>
                <w:rFonts w:ascii="Arial Narrow" w:eastAsia="Times New Roman" w:hAnsi="Arial Narrow" w:cs="Calibri"/>
                <w:b/>
                <w:bCs/>
                <w:color w:val="000000"/>
                <w:sz w:val="22"/>
                <w:szCs w:val="22"/>
              </w:rPr>
              <w:t>1</w:t>
            </w:r>
          </w:p>
        </w:tc>
        <w:tc>
          <w:tcPr>
            <w:tcW w:w="3618" w:type="dxa"/>
            <w:tcBorders>
              <w:top w:val="nil"/>
              <w:left w:val="single" w:sz="8" w:space="0" w:color="auto"/>
              <w:bottom w:val="single" w:sz="8" w:space="0" w:color="auto"/>
              <w:right w:val="single" w:sz="8" w:space="0" w:color="auto"/>
            </w:tcBorders>
            <w:shd w:val="clear" w:color="auto" w:fill="auto"/>
            <w:vAlign w:val="center"/>
            <w:hideMark/>
          </w:tcPr>
          <w:p w14:paraId="749EA20D" w14:textId="77777777" w:rsidR="00F57D66" w:rsidRPr="00F57D66" w:rsidRDefault="00F57D66" w:rsidP="00F57D66">
            <w:pPr>
              <w:rPr>
                <w:rFonts w:ascii="Arial Narrow" w:eastAsia="Times New Roman" w:hAnsi="Arial Narrow"/>
                <w:b/>
                <w:bCs/>
                <w:color w:val="000000"/>
                <w:sz w:val="22"/>
                <w:szCs w:val="22"/>
              </w:rPr>
            </w:pPr>
            <w:r w:rsidRPr="00F57D66">
              <w:rPr>
                <w:rFonts w:ascii="Arial Narrow" w:eastAsia="Times New Roman" w:hAnsi="Arial Narrow"/>
                <w:b/>
                <w:bCs/>
                <w:color w:val="000000"/>
                <w:sz w:val="22"/>
                <w:szCs w:val="22"/>
              </w:rPr>
              <w:t>Límites</w:t>
            </w:r>
          </w:p>
        </w:tc>
        <w:tc>
          <w:tcPr>
            <w:tcW w:w="2168" w:type="dxa"/>
            <w:tcBorders>
              <w:top w:val="nil"/>
              <w:left w:val="nil"/>
              <w:bottom w:val="single" w:sz="8" w:space="0" w:color="auto"/>
              <w:right w:val="single" w:sz="8" w:space="0" w:color="auto"/>
            </w:tcBorders>
            <w:shd w:val="clear" w:color="auto" w:fill="auto"/>
            <w:vAlign w:val="center"/>
            <w:hideMark/>
          </w:tcPr>
          <w:p w14:paraId="04BBD4B9" w14:textId="77777777" w:rsidR="00F57D66" w:rsidRPr="00F57D66" w:rsidRDefault="00F57D66" w:rsidP="00F57D66">
            <w:pPr>
              <w:rPr>
                <w:rFonts w:ascii="Arial Narrow" w:eastAsia="Times New Roman" w:hAnsi="Arial Narrow" w:cs="Calibri"/>
                <w:b/>
                <w:bCs/>
                <w:color w:val="000000"/>
                <w:sz w:val="22"/>
                <w:szCs w:val="22"/>
              </w:rPr>
            </w:pPr>
            <w:r w:rsidRPr="00F57D66">
              <w:rPr>
                <w:rFonts w:ascii="Arial Narrow" w:eastAsia="Times New Roman" w:hAnsi="Arial Narrow" w:cs="Calibri"/>
                <w:b/>
                <w:bCs/>
                <w:color w:val="000000"/>
                <w:sz w:val="22"/>
                <w:szCs w:val="22"/>
              </w:rPr>
              <w:t>NICSP N° 14,</w:t>
            </w:r>
            <w:r w:rsidRPr="00F57D66">
              <w:rPr>
                <w:rFonts w:ascii="Arial Narrow" w:eastAsia="Times New Roman" w:hAnsi="Arial Narrow" w:cs="Calibri"/>
                <w:b/>
                <w:bCs/>
                <w:color w:val="000000"/>
                <w:sz w:val="22"/>
                <w:szCs w:val="22"/>
              </w:rPr>
              <w:br/>
              <w:t>Párrafos 18.</w:t>
            </w:r>
          </w:p>
        </w:tc>
        <w:tc>
          <w:tcPr>
            <w:tcW w:w="1882" w:type="dxa"/>
            <w:tcBorders>
              <w:top w:val="nil"/>
              <w:left w:val="nil"/>
              <w:bottom w:val="single" w:sz="8" w:space="0" w:color="auto"/>
              <w:right w:val="single" w:sz="8" w:space="0" w:color="auto"/>
            </w:tcBorders>
            <w:shd w:val="clear" w:color="auto" w:fill="auto"/>
            <w:vAlign w:val="center"/>
            <w:hideMark/>
          </w:tcPr>
          <w:p w14:paraId="34DC6465" w14:textId="77777777" w:rsidR="00F57D66" w:rsidRPr="00F57D66" w:rsidRDefault="00F57D66" w:rsidP="004F40D9">
            <w:pPr>
              <w:jc w:val="both"/>
              <w:rPr>
                <w:rFonts w:ascii="Arial Narrow" w:eastAsia="Times New Roman" w:hAnsi="Arial Narrow" w:cs="Calibri"/>
                <w:b/>
                <w:bCs/>
                <w:color w:val="000000"/>
                <w:sz w:val="22"/>
                <w:szCs w:val="22"/>
              </w:rPr>
            </w:pPr>
            <w:r w:rsidRPr="00F57D66">
              <w:rPr>
                <w:rFonts w:ascii="Arial Narrow" w:eastAsia="Times New Roman" w:hAnsi="Arial Narrow" w:cs="Calibri"/>
                <w:b/>
                <w:bCs/>
                <w:color w:val="000000"/>
                <w:sz w:val="22"/>
                <w:szCs w:val="22"/>
              </w:rPr>
              <w:t xml:space="preserve">DGCN </w:t>
            </w:r>
          </w:p>
        </w:tc>
      </w:tr>
    </w:tbl>
    <w:p w14:paraId="38DFD6CB" w14:textId="77777777" w:rsidR="00F57D66" w:rsidRDefault="00F57D66" w:rsidP="00AD41C7">
      <w:pPr>
        <w:pStyle w:val="Default"/>
        <w:jc w:val="both"/>
        <w:rPr>
          <w:sz w:val="22"/>
          <w:szCs w:val="22"/>
          <w:lang w:val="es-CR"/>
        </w:rPr>
      </w:pPr>
    </w:p>
    <w:p w14:paraId="0DD7729D" w14:textId="77777777" w:rsidR="004F40D9" w:rsidRDefault="004F40D9" w:rsidP="004F40D9">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58E61599" w14:textId="77777777" w:rsidR="004F40D9" w:rsidRDefault="004F40D9" w:rsidP="00AD41C7">
      <w:pPr>
        <w:pStyle w:val="Default"/>
        <w:jc w:val="both"/>
        <w:rPr>
          <w:sz w:val="22"/>
          <w:szCs w:val="22"/>
          <w:lang w:val="es-CR"/>
        </w:rPr>
      </w:pPr>
    </w:p>
    <w:p w14:paraId="0F814815" w14:textId="3A331AA4" w:rsidR="00F57D66" w:rsidRPr="00F57D66" w:rsidRDefault="00F57D66" w:rsidP="00F57D66">
      <w:pPr>
        <w:pStyle w:val="Default"/>
        <w:ind w:left="1134" w:hanging="1134"/>
        <w:jc w:val="both"/>
        <w:rPr>
          <w:sz w:val="22"/>
          <w:szCs w:val="22"/>
          <w:lang w:val="es-CR"/>
        </w:rPr>
      </w:pPr>
      <w:r>
        <w:rPr>
          <w:sz w:val="22"/>
          <w:szCs w:val="22"/>
          <w:lang w:val="es-CR"/>
        </w:rPr>
        <w:t>6.21.0.01</w:t>
      </w:r>
      <w:r>
        <w:rPr>
          <w:sz w:val="22"/>
          <w:szCs w:val="22"/>
          <w:lang w:val="es-CR"/>
        </w:rPr>
        <w:tab/>
      </w:r>
      <w:r w:rsidRPr="00F57D66">
        <w:rPr>
          <w:sz w:val="22"/>
          <w:szCs w:val="22"/>
          <w:lang w:val="es-CR"/>
        </w:rPr>
        <w:t xml:space="preserve">Las entidades deberán aplicar los criterios establecidos en el MCC, en los puntos 8.1 </w:t>
      </w:r>
      <w:r w:rsidRPr="00F57D66">
        <w:rPr>
          <w:i/>
          <w:iCs/>
          <w:sz w:val="22"/>
          <w:szCs w:val="22"/>
          <w:lang w:val="es-CR"/>
        </w:rPr>
        <w:t xml:space="preserve">Relevancia </w:t>
      </w:r>
      <w:r w:rsidRPr="00F57D66">
        <w:rPr>
          <w:sz w:val="22"/>
          <w:szCs w:val="22"/>
          <w:lang w:val="es-CR"/>
        </w:rPr>
        <w:t xml:space="preserve">y 8.7.1 </w:t>
      </w:r>
      <w:r w:rsidRPr="00F57D66">
        <w:rPr>
          <w:i/>
          <w:iCs/>
          <w:sz w:val="22"/>
          <w:szCs w:val="22"/>
          <w:lang w:val="es-CR"/>
        </w:rPr>
        <w:t>Materialidad / Importancia relativa</w:t>
      </w:r>
      <w:r w:rsidRPr="00F57D66">
        <w:rPr>
          <w:sz w:val="22"/>
          <w:szCs w:val="22"/>
          <w:lang w:val="es-CR"/>
        </w:rPr>
        <w:t xml:space="preserve">, cuando definan los montos a imputar a las cuentas contables </w:t>
      </w:r>
      <w:r w:rsidRPr="00F57D66">
        <w:rPr>
          <w:b/>
          <w:bCs/>
          <w:sz w:val="22"/>
          <w:szCs w:val="22"/>
          <w:lang w:val="es-CR"/>
        </w:rPr>
        <w:t xml:space="preserve">“Otros” </w:t>
      </w:r>
      <w:r w:rsidRPr="00F57D66">
        <w:rPr>
          <w:sz w:val="22"/>
          <w:szCs w:val="22"/>
          <w:lang w:val="es-CR"/>
        </w:rPr>
        <w:t>y denominaciones análogas</w:t>
      </w:r>
      <w:r w:rsidRPr="00F57D66">
        <w:rPr>
          <w:b/>
          <w:bCs/>
          <w:sz w:val="22"/>
          <w:szCs w:val="22"/>
          <w:lang w:val="es-CR"/>
        </w:rPr>
        <w:t xml:space="preserve">. </w:t>
      </w:r>
    </w:p>
    <w:p w14:paraId="6DB718C8" w14:textId="47D9640E" w:rsidR="00F57D66" w:rsidRPr="00F57D66" w:rsidRDefault="00F57D66" w:rsidP="00F57D66">
      <w:pPr>
        <w:pStyle w:val="Default"/>
        <w:jc w:val="both"/>
        <w:rPr>
          <w:sz w:val="22"/>
          <w:szCs w:val="22"/>
          <w:lang w:val="es-CR"/>
        </w:rPr>
      </w:pPr>
    </w:p>
    <w:p w14:paraId="75416C6B" w14:textId="2F6E48BB" w:rsidR="00F57D66" w:rsidRDefault="00F57D66" w:rsidP="00F57D66">
      <w:pPr>
        <w:pStyle w:val="Default"/>
        <w:ind w:left="1134" w:hanging="1134"/>
        <w:jc w:val="both"/>
        <w:rPr>
          <w:sz w:val="22"/>
          <w:szCs w:val="22"/>
          <w:lang w:val="es-CR"/>
        </w:rPr>
      </w:pPr>
      <w:r>
        <w:rPr>
          <w:sz w:val="22"/>
          <w:szCs w:val="22"/>
          <w:lang w:val="es-CR"/>
        </w:rPr>
        <w:t>6.21.</w:t>
      </w:r>
      <w:r w:rsidRPr="00F57D66">
        <w:rPr>
          <w:sz w:val="22"/>
          <w:szCs w:val="22"/>
          <w:lang w:val="es-CR"/>
        </w:rPr>
        <w:t>1.</w:t>
      </w:r>
      <w:r>
        <w:rPr>
          <w:sz w:val="22"/>
          <w:szCs w:val="22"/>
          <w:lang w:val="es-CR"/>
        </w:rPr>
        <w:t>01</w:t>
      </w:r>
      <w:r>
        <w:rPr>
          <w:sz w:val="22"/>
          <w:szCs w:val="22"/>
          <w:lang w:val="es-CR"/>
        </w:rPr>
        <w:tab/>
      </w:r>
      <w:r w:rsidRPr="00F57D66">
        <w:rPr>
          <w:sz w:val="22"/>
          <w:szCs w:val="22"/>
          <w:lang w:val="es-CR"/>
        </w:rPr>
        <w:t>Cuando el saldo de las cuentas (o aperturas inferiores) “Otros” y denominaciones análogas supere el 5% del saldo total del nivel del cual depende, deberán aprobarse aperturas adicionales.</w:t>
      </w:r>
    </w:p>
    <w:p w14:paraId="665B5C76" w14:textId="77777777" w:rsidR="00F57D66" w:rsidRDefault="00F57D66" w:rsidP="00F57D66">
      <w:pPr>
        <w:pStyle w:val="Default"/>
        <w:ind w:left="1134" w:hanging="1134"/>
        <w:jc w:val="both"/>
        <w:rPr>
          <w:sz w:val="22"/>
          <w:szCs w:val="22"/>
          <w:lang w:val="es-CR"/>
        </w:rPr>
      </w:pPr>
    </w:p>
    <w:p w14:paraId="72757128" w14:textId="77777777" w:rsidR="00F57D66" w:rsidRDefault="00F57D66" w:rsidP="00F57D66">
      <w:pPr>
        <w:pStyle w:val="Default"/>
        <w:ind w:left="1134" w:hanging="1134"/>
        <w:jc w:val="both"/>
        <w:rPr>
          <w:sz w:val="22"/>
          <w:szCs w:val="22"/>
          <w:lang w:val="es-CR"/>
        </w:rPr>
      </w:pPr>
    </w:p>
    <w:p w14:paraId="2132C1FB" w14:textId="77777777" w:rsidR="00F57D66" w:rsidRDefault="00F57D66" w:rsidP="00F57D66">
      <w:pPr>
        <w:pStyle w:val="Default"/>
        <w:ind w:left="1134" w:hanging="1134"/>
        <w:jc w:val="both"/>
        <w:rPr>
          <w:sz w:val="22"/>
          <w:szCs w:val="22"/>
          <w:lang w:val="es-CR"/>
        </w:rPr>
      </w:pPr>
    </w:p>
    <w:p w14:paraId="7C72E043" w14:textId="77777777" w:rsidR="00F57D66" w:rsidRDefault="00F57D66" w:rsidP="00F57D66">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90"/>
        <w:gridCol w:w="2251"/>
        <w:gridCol w:w="1855"/>
      </w:tblGrid>
      <w:tr w:rsidR="00F026C0" w:rsidRPr="00B81FB3" w14:paraId="5502DBDE" w14:textId="77777777" w:rsidTr="004F40D9">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54C9222" w14:textId="77777777" w:rsidR="00B81FB3" w:rsidRPr="00B81FB3" w:rsidRDefault="00B81FB3" w:rsidP="00B81FB3">
            <w:pPr>
              <w:jc w:val="center"/>
              <w:rPr>
                <w:rFonts w:ascii="Arial Narrow" w:eastAsia="Times New Roman" w:hAnsi="Arial Narrow" w:cs="Calibri"/>
                <w:b/>
                <w:bCs/>
                <w:color w:val="FFFFFF"/>
                <w:sz w:val="22"/>
                <w:szCs w:val="22"/>
              </w:rPr>
            </w:pPr>
            <w:r w:rsidRPr="00B81FB3">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58EF2F9" w14:textId="77777777" w:rsidR="00B81FB3" w:rsidRPr="00B81FB3" w:rsidRDefault="00B81FB3" w:rsidP="00B81FB3">
            <w:pPr>
              <w:jc w:val="center"/>
              <w:rPr>
                <w:rFonts w:ascii="Arial Narrow" w:eastAsia="Times New Roman" w:hAnsi="Arial Narrow" w:cs="Calibri"/>
                <w:b/>
                <w:bCs/>
                <w:color w:val="FFFFFF"/>
                <w:sz w:val="22"/>
                <w:szCs w:val="22"/>
              </w:rPr>
            </w:pPr>
            <w:r w:rsidRPr="00B81FB3">
              <w:rPr>
                <w:rFonts w:ascii="Arial Narrow" w:eastAsia="Times New Roman" w:hAnsi="Arial Narrow" w:cs="Calibri"/>
                <w:b/>
                <w:bCs/>
                <w:color w:val="FFFFFF"/>
                <w:sz w:val="22"/>
                <w:szCs w:val="22"/>
              </w:rPr>
              <w:t>Concepto</w:t>
            </w:r>
          </w:p>
        </w:tc>
        <w:tc>
          <w:tcPr>
            <w:tcW w:w="4106" w:type="dxa"/>
            <w:gridSpan w:val="2"/>
            <w:tcBorders>
              <w:top w:val="single" w:sz="8" w:space="0" w:color="auto"/>
              <w:left w:val="nil"/>
              <w:bottom w:val="single" w:sz="8" w:space="0" w:color="auto"/>
              <w:right w:val="single" w:sz="8" w:space="0" w:color="000000"/>
            </w:tcBorders>
            <w:shd w:val="clear" w:color="000000" w:fill="203764"/>
            <w:vAlign w:val="center"/>
            <w:hideMark/>
          </w:tcPr>
          <w:p w14:paraId="080C2562" w14:textId="77777777" w:rsidR="00B81FB3" w:rsidRPr="00B81FB3" w:rsidRDefault="00B81FB3" w:rsidP="00B81FB3">
            <w:pPr>
              <w:jc w:val="center"/>
              <w:rPr>
                <w:rFonts w:ascii="Arial Narrow" w:eastAsia="Times New Roman" w:hAnsi="Arial Narrow" w:cs="Calibri"/>
                <w:b/>
                <w:bCs/>
                <w:color w:val="FFFFFF"/>
                <w:sz w:val="22"/>
                <w:szCs w:val="22"/>
              </w:rPr>
            </w:pPr>
            <w:r w:rsidRPr="00B81FB3">
              <w:rPr>
                <w:rFonts w:ascii="Arial Narrow" w:eastAsia="Times New Roman" w:hAnsi="Arial Narrow" w:cs="Calibri"/>
                <w:b/>
                <w:bCs/>
                <w:color w:val="FFFFFF"/>
                <w:sz w:val="22"/>
                <w:szCs w:val="22"/>
              </w:rPr>
              <w:t>Referencia</w:t>
            </w:r>
          </w:p>
        </w:tc>
      </w:tr>
      <w:tr w:rsidR="00F026C0" w:rsidRPr="006E5442" w14:paraId="47DC29CA" w14:textId="77777777" w:rsidTr="004F40D9">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9B9C77C" w14:textId="77777777" w:rsidR="00B81FB3" w:rsidRPr="00B81FB3" w:rsidRDefault="00B81FB3" w:rsidP="00B81FB3">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1726D935" w14:textId="77777777" w:rsidR="00B81FB3" w:rsidRPr="00B81FB3" w:rsidRDefault="00B81FB3" w:rsidP="00B81FB3">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48679514" w14:textId="77777777" w:rsidR="00B81FB3" w:rsidRPr="00B81FB3" w:rsidRDefault="00B81FB3" w:rsidP="00B81FB3">
            <w:pPr>
              <w:jc w:val="center"/>
              <w:rPr>
                <w:rFonts w:ascii="Arial Narrow" w:eastAsia="Times New Roman" w:hAnsi="Arial Narrow" w:cs="Calibri"/>
                <w:b/>
                <w:bCs/>
                <w:color w:val="FFFFFF"/>
                <w:sz w:val="22"/>
                <w:szCs w:val="22"/>
              </w:rPr>
            </w:pPr>
            <w:r w:rsidRPr="00B81FB3">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48CEFD67" w14:textId="77777777" w:rsidR="00B81FB3" w:rsidRPr="00B81FB3" w:rsidRDefault="00B81FB3" w:rsidP="00B81FB3">
            <w:pPr>
              <w:jc w:val="center"/>
              <w:rPr>
                <w:rFonts w:ascii="Arial Narrow" w:eastAsia="Times New Roman" w:hAnsi="Arial Narrow" w:cs="Calibri"/>
                <w:b/>
                <w:bCs/>
                <w:color w:val="FFFFFF"/>
                <w:sz w:val="22"/>
                <w:szCs w:val="22"/>
                <w:lang w:val="es-CR"/>
              </w:rPr>
            </w:pPr>
            <w:r w:rsidRPr="00B81FB3">
              <w:rPr>
                <w:rFonts w:ascii="Arial Narrow" w:eastAsia="Times New Roman" w:hAnsi="Arial Narrow" w:cs="Calibri"/>
                <w:b/>
                <w:bCs/>
                <w:color w:val="FFFFFF"/>
                <w:sz w:val="22"/>
                <w:szCs w:val="22"/>
                <w:lang w:val="es-CR"/>
              </w:rPr>
              <w:t>Normativa técnica y disposiciones adicionales</w:t>
            </w:r>
          </w:p>
        </w:tc>
      </w:tr>
      <w:tr w:rsidR="00F026C0" w:rsidRPr="00B81FB3" w14:paraId="46E3A6B6" w14:textId="77777777" w:rsidTr="004F40D9">
        <w:trPr>
          <w:trHeight w:val="169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3C0E43" w14:textId="77777777" w:rsidR="00B81FB3" w:rsidRPr="00B81FB3" w:rsidRDefault="00B81FB3" w:rsidP="00B81FB3">
            <w:pPr>
              <w:jc w:val="center"/>
              <w:rPr>
                <w:rFonts w:ascii="Arial Narrow" w:eastAsia="Times New Roman" w:hAnsi="Arial Narrow" w:cs="Calibri"/>
                <w:b/>
                <w:bCs/>
                <w:color w:val="000000"/>
                <w:sz w:val="22"/>
                <w:szCs w:val="22"/>
              </w:rPr>
            </w:pPr>
            <w:r w:rsidRPr="00B81FB3">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EFBFF0C" w14:textId="77777777" w:rsidR="00B81FB3" w:rsidRPr="00B81FB3" w:rsidRDefault="00B81FB3" w:rsidP="00B81FB3">
            <w:pPr>
              <w:jc w:val="center"/>
              <w:rPr>
                <w:rFonts w:ascii="Arial Narrow" w:eastAsia="Times New Roman" w:hAnsi="Arial Narrow" w:cs="Calibri"/>
                <w:b/>
                <w:bCs/>
                <w:color w:val="000000"/>
                <w:sz w:val="22"/>
                <w:szCs w:val="22"/>
              </w:rPr>
            </w:pPr>
            <w:r w:rsidRPr="00B81FB3">
              <w:rPr>
                <w:rFonts w:ascii="Arial Narrow" w:eastAsia="Times New Roman" w:hAnsi="Arial Narrow" w:cs="Calibri"/>
                <w:b/>
                <w:bCs/>
                <w:color w:val="000000"/>
                <w:sz w:val="22"/>
                <w:szCs w:val="22"/>
              </w:rPr>
              <w:t>23</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4745FFA" w14:textId="77777777" w:rsidR="00B81FB3" w:rsidRPr="00B81FB3" w:rsidRDefault="00B81FB3" w:rsidP="00B81FB3">
            <w:pPr>
              <w:jc w:val="center"/>
              <w:rPr>
                <w:rFonts w:ascii="Arial Narrow" w:eastAsia="Times New Roman" w:hAnsi="Arial Narrow" w:cs="Calibri"/>
                <w:b/>
                <w:bCs/>
                <w:color w:val="000000"/>
                <w:sz w:val="22"/>
                <w:szCs w:val="22"/>
              </w:rPr>
            </w:pPr>
            <w:r w:rsidRPr="00B81FB3">
              <w:rPr>
                <w:rFonts w:ascii="Arial Narrow" w:eastAsia="Times New Roman" w:hAnsi="Arial Narrow" w:cs="Calibri"/>
                <w:b/>
                <w:bCs/>
                <w:color w:val="000000"/>
                <w:sz w:val="22"/>
                <w:szCs w:val="22"/>
              </w:rPr>
              <w:t xml:space="preserve">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0F92D3F6" w14:textId="77777777" w:rsidR="00B81FB3" w:rsidRPr="00B81FB3" w:rsidRDefault="00B81FB3" w:rsidP="00B81FB3">
            <w:pPr>
              <w:jc w:val="both"/>
              <w:rPr>
                <w:rFonts w:ascii="Arial Narrow" w:eastAsia="Times New Roman" w:hAnsi="Arial Narrow" w:cs="Calibri"/>
                <w:b/>
                <w:bCs/>
                <w:color w:val="000000"/>
                <w:sz w:val="22"/>
                <w:szCs w:val="22"/>
                <w:lang w:val="es-CR"/>
              </w:rPr>
            </w:pPr>
            <w:r w:rsidRPr="00B81FB3">
              <w:rPr>
                <w:rFonts w:ascii="Arial Narrow" w:eastAsia="Times New Roman" w:hAnsi="Arial Narrow" w:cs="Calibri"/>
                <w:b/>
                <w:bCs/>
                <w:color w:val="000000"/>
                <w:sz w:val="22"/>
                <w:szCs w:val="22"/>
                <w:lang w:val="es-CR"/>
              </w:rPr>
              <w:t>Información a presentar en las Notas al ESF</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3807880C" w14:textId="77777777" w:rsidR="00F026C0" w:rsidRDefault="00B81FB3" w:rsidP="00B81FB3">
            <w:pPr>
              <w:jc w:val="both"/>
              <w:rPr>
                <w:rFonts w:ascii="Arial Narrow" w:eastAsia="Times New Roman" w:hAnsi="Arial Narrow" w:cs="Calibri"/>
                <w:b/>
                <w:bCs/>
                <w:color w:val="000000"/>
                <w:sz w:val="22"/>
                <w:szCs w:val="22"/>
                <w:lang w:val="es-CR"/>
              </w:rPr>
            </w:pPr>
            <w:r w:rsidRPr="00B81FB3">
              <w:rPr>
                <w:rFonts w:ascii="Arial Narrow" w:eastAsia="Times New Roman" w:hAnsi="Arial Narrow" w:cs="Calibri"/>
                <w:b/>
                <w:bCs/>
                <w:color w:val="000000"/>
                <w:sz w:val="22"/>
                <w:szCs w:val="22"/>
                <w:lang w:val="es-CR"/>
              </w:rPr>
              <w:t>NICSP N° 1,</w:t>
            </w:r>
          </w:p>
          <w:p w14:paraId="4C353455" w14:textId="77777777" w:rsidR="00F026C0" w:rsidRDefault="00B81FB3" w:rsidP="00B81FB3">
            <w:pPr>
              <w:jc w:val="both"/>
              <w:rPr>
                <w:rFonts w:ascii="Arial Narrow" w:eastAsia="Times New Roman" w:hAnsi="Arial Narrow" w:cs="Calibri"/>
                <w:b/>
                <w:bCs/>
                <w:color w:val="000000"/>
                <w:sz w:val="22"/>
                <w:szCs w:val="22"/>
                <w:lang w:val="es-CR"/>
              </w:rPr>
            </w:pPr>
            <w:r w:rsidRPr="00B81FB3">
              <w:rPr>
                <w:rFonts w:ascii="Arial Narrow" w:eastAsia="Times New Roman" w:hAnsi="Arial Narrow" w:cs="Calibri"/>
                <w:b/>
                <w:bCs/>
                <w:color w:val="000000"/>
                <w:sz w:val="22"/>
                <w:szCs w:val="22"/>
                <w:lang w:val="es-CR"/>
              </w:rPr>
              <w:t>Párrafo 93 a 96 y 98.</w:t>
            </w:r>
          </w:p>
          <w:p w14:paraId="6EDFC9A9" w14:textId="337C8CE0" w:rsidR="00F026C0" w:rsidRDefault="00B81FB3" w:rsidP="00B81FB3">
            <w:pPr>
              <w:jc w:val="both"/>
              <w:rPr>
                <w:rFonts w:ascii="Arial Narrow" w:eastAsia="Times New Roman" w:hAnsi="Arial Narrow" w:cs="Calibri"/>
                <w:b/>
                <w:bCs/>
                <w:color w:val="000000"/>
                <w:sz w:val="22"/>
                <w:szCs w:val="22"/>
                <w:lang w:val="es-CR"/>
              </w:rPr>
            </w:pPr>
            <w:r w:rsidRPr="00B81FB3">
              <w:rPr>
                <w:rFonts w:ascii="Arial Narrow" w:eastAsia="Times New Roman" w:hAnsi="Arial Narrow" w:cs="Calibri"/>
                <w:b/>
                <w:bCs/>
                <w:color w:val="000000"/>
                <w:sz w:val="22"/>
                <w:szCs w:val="22"/>
                <w:lang w:val="es-CR"/>
              </w:rPr>
              <w:t>NICSP N° 21,</w:t>
            </w:r>
          </w:p>
          <w:p w14:paraId="3B63779D" w14:textId="77777777" w:rsidR="00F026C0" w:rsidRDefault="00B81FB3" w:rsidP="00B81FB3">
            <w:pPr>
              <w:jc w:val="both"/>
              <w:rPr>
                <w:rFonts w:ascii="Arial Narrow" w:eastAsia="Times New Roman" w:hAnsi="Arial Narrow" w:cs="Calibri"/>
                <w:b/>
                <w:bCs/>
                <w:color w:val="000000"/>
                <w:sz w:val="22"/>
                <w:szCs w:val="22"/>
                <w:lang w:val="es-CR"/>
              </w:rPr>
            </w:pPr>
            <w:r w:rsidRPr="00B81FB3">
              <w:rPr>
                <w:rFonts w:ascii="Arial Narrow" w:eastAsia="Times New Roman" w:hAnsi="Arial Narrow" w:cs="Calibri"/>
                <w:b/>
                <w:bCs/>
                <w:color w:val="000000"/>
                <w:sz w:val="22"/>
                <w:szCs w:val="22"/>
                <w:lang w:val="es-CR"/>
              </w:rPr>
              <w:t>Párrafo 72 A.</w:t>
            </w:r>
          </w:p>
          <w:p w14:paraId="1B59EBB2" w14:textId="0298CFAB" w:rsidR="00F026C0" w:rsidRDefault="00B81FB3" w:rsidP="00B81FB3">
            <w:pPr>
              <w:jc w:val="both"/>
              <w:rPr>
                <w:rFonts w:ascii="Arial Narrow" w:eastAsia="Times New Roman" w:hAnsi="Arial Narrow" w:cs="Calibri"/>
                <w:b/>
                <w:bCs/>
                <w:color w:val="000000"/>
                <w:sz w:val="22"/>
                <w:szCs w:val="22"/>
                <w:lang w:val="es-CR"/>
              </w:rPr>
            </w:pPr>
            <w:r w:rsidRPr="00B81FB3">
              <w:rPr>
                <w:rFonts w:ascii="Arial Narrow" w:eastAsia="Times New Roman" w:hAnsi="Arial Narrow" w:cs="Calibri"/>
                <w:b/>
                <w:bCs/>
                <w:color w:val="000000"/>
                <w:sz w:val="22"/>
                <w:szCs w:val="22"/>
                <w:lang w:val="es-CR"/>
              </w:rPr>
              <w:t>NICSP N° 23,</w:t>
            </w:r>
          </w:p>
          <w:p w14:paraId="0EDA4B8D" w14:textId="60684633" w:rsidR="00B81FB3" w:rsidRPr="00B81FB3" w:rsidRDefault="00B81FB3" w:rsidP="00B81FB3">
            <w:pPr>
              <w:jc w:val="both"/>
              <w:rPr>
                <w:rFonts w:ascii="Arial Narrow" w:eastAsia="Times New Roman" w:hAnsi="Arial Narrow" w:cs="Calibri"/>
                <w:b/>
                <w:bCs/>
                <w:color w:val="000000"/>
                <w:sz w:val="22"/>
                <w:szCs w:val="22"/>
                <w:lang w:val="es-CR"/>
              </w:rPr>
            </w:pPr>
            <w:r w:rsidRPr="00B81FB3">
              <w:rPr>
                <w:rFonts w:ascii="Arial Narrow" w:eastAsia="Times New Roman" w:hAnsi="Arial Narrow" w:cs="Calibri"/>
                <w:b/>
                <w:bCs/>
                <w:color w:val="000000"/>
                <w:sz w:val="22"/>
                <w:szCs w:val="22"/>
                <w:lang w:val="es-CR"/>
              </w:rPr>
              <w:t>Párrafo 106.</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67912920" w14:textId="77777777" w:rsidR="00B81FB3" w:rsidRPr="00B81FB3" w:rsidRDefault="00B81FB3" w:rsidP="00B81FB3">
            <w:pPr>
              <w:jc w:val="center"/>
              <w:rPr>
                <w:rFonts w:ascii="Arial Narrow" w:eastAsia="Times New Roman" w:hAnsi="Arial Narrow" w:cs="Calibri"/>
                <w:b/>
                <w:bCs/>
                <w:color w:val="000000"/>
                <w:sz w:val="22"/>
                <w:szCs w:val="22"/>
              </w:rPr>
            </w:pPr>
            <w:r w:rsidRPr="00B81FB3">
              <w:rPr>
                <w:rFonts w:ascii="Arial Narrow" w:eastAsia="Times New Roman" w:hAnsi="Arial Narrow" w:cs="Calibri"/>
                <w:b/>
                <w:bCs/>
                <w:color w:val="000000"/>
                <w:sz w:val="22"/>
                <w:szCs w:val="22"/>
              </w:rPr>
              <w:t xml:space="preserve">DGCN </w:t>
            </w:r>
          </w:p>
        </w:tc>
      </w:tr>
    </w:tbl>
    <w:p w14:paraId="027D1475" w14:textId="77777777" w:rsidR="00F57D66" w:rsidRDefault="00F57D66" w:rsidP="00F57D66">
      <w:pPr>
        <w:pStyle w:val="Default"/>
        <w:ind w:left="1134" w:hanging="1134"/>
        <w:jc w:val="both"/>
        <w:rPr>
          <w:sz w:val="22"/>
          <w:szCs w:val="22"/>
          <w:lang w:val="es-CR"/>
        </w:rPr>
      </w:pPr>
    </w:p>
    <w:p w14:paraId="577A3AA2" w14:textId="77777777" w:rsidR="004F40D9" w:rsidRDefault="004F40D9" w:rsidP="004F40D9">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FDD4A5A" w14:textId="77777777" w:rsidR="004F40D9" w:rsidRDefault="004F40D9" w:rsidP="00F57D66">
      <w:pPr>
        <w:pStyle w:val="Default"/>
        <w:ind w:left="1134" w:hanging="1134"/>
        <w:jc w:val="both"/>
        <w:rPr>
          <w:sz w:val="22"/>
          <w:szCs w:val="22"/>
          <w:lang w:val="es-CR"/>
        </w:rPr>
      </w:pPr>
    </w:p>
    <w:p w14:paraId="142D8562" w14:textId="7CA27C23" w:rsidR="00B81FB3" w:rsidRDefault="00B81FB3" w:rsidP="00B81FB3">
      <w:pPr>
        <w:pStyle w:val="Default"/>
        <w:ind w:left="1134" w:hanging="1134"/>
        <w:jc w:val="both"/>
        <w:rPr>
          <w:sz w:val="22"/>
          <w:szCs w:val="22"/>
          <w:lang w:val="es-CR"/>
        </w:rPr>
      </w:pPr>
      <w:r>
        <w:rPr>
          <w:sz w:val="22"/>
          <w:szCs w:val="22"/>
          <w:lang w:val="es-CR"/>
        </w:rPr>
        <w:t>6.23.0.01</w:t>
      </w:r>
      <w:r>
        <w:rPr>
          <w:sz w:val="22"/>
          <w:szCs w:val="22"/>
          <w:lang w:val="es-CR"/>
        </w:rPr>
        <w:tab/>
      </w:r>
      <w:r w:rsidRPr="00B81FB3">
        <w:rPr>
          <w:sz w:val="22"/>
          <w:szCs w:val="22"/>
          <w:lang w:val="es-CR"/>
        </w:rPr>
        <w:t xml:space="preserve">La </w:t>
      </w:r>
      <w:r w:rsidR="00F026C0">
        <w:rPr>
          <w:sz w:val="22"/>
          <w:szCs w:val="22"/>
          <w:lang w:val="es-CR"/>
        </w:rPr>
        <w:t>Municipalidad</w:t>
      </w:r>
      <w:r w:rsidRPr="00B81FB3">
        <w:rPr>
          <w:sz w:val="22"/>
          <w:szCs w:val="22"/>
          <w:lang w:val="es-CR"/>
        </w:rPr>
        <w:t xml:space="preserve"> revelará en el ESF o en las Notas, el detalle de las cuentas o subcuentas de los rubros presentados.</w:t>
      </w:r>
    </w:p>
    <w:p w14:paraId="67B278D0" w14:textId="77777777" w:rsidR="00B81FB3" w:rsidRPr="00B81FB3" w:rsidRDefault="00B81FB3" w:rsidP="00B81FB3">
      <w:pPr>
        <w:pStyle w:val="Default"/>
        <w:ind w:left="1134" w:hanging="1134"/>
        <w:jc w:val="both"/>
        <w:rPr>
          <w:sz w:val="22"/>
          <w:szCs w:val="22"/>
          <w:lang w:val="es-CR"/>
        </w:rPr>
      </w:pPr>
    </w:p>
    <w:p w14:paraId="73A6A8C6" w14:textId="77777777" w:rsidR="00B81FB3" w:rsidRDefault="00B81FB3" w:rsidP="00B81FB3">
      <w:pPr>
        <w:pStyle w:val="Default"/>
        <w:ind w:left="1134" w:hanging="1134"/>
        <w:jc w:val="both"/>
        <w:rPr>
          <w:sz w:val="22"/>
          <w:szCs w:val="22"/>
          <w:lang w:val="es-CR"/>
        </w:rPr>
      </w:pPr>
      <w:r>
        <w:rPr>
          <w:sz w:val="22"/>
          <w:szCs w:val="22"/>
          <w:lang w:val="es-CR"/>
        </w:rPr>
        <w:t>6.23.0.02</w:t>
      </w:r>
      <w:r>
        <w:rPr>
          <w:sz w:val="22"/>
          <w:szCs w:val="22"/>
          <w:lang w:val="es-CR"/>
        </w:rPr>
        <w:tab/>
      </w:r>
      <w:r w:rsidRPr="00B81FB3">
        <w:rPr>
          <w:sz w:val="22"/>
          <w:szCs w:val="22"/>
          <w:lang w:val="es-CR"/>
        </w:rPr>
        <w:t>El detalle de las clasificaciones adicionales dependerá de los requerimientos de cada una de las NICSP, así como la naturaleza, proporción y función de los importes afectados, por lo cual el nivel de información a suministrar variará para cada rubro en función de:</w:t>
      </w:r>
    </w:p>
    <w:p w14:paraId="3162C995" w14:textId="129B876A" w:rsidR="00B81FB3" w:rsidRPr="00B81FB3" w:rsidRDefault="00B81FB3" w:rsidP="00B81FB3">
      <w:pPr>
        <w:pStyle w:val="Default"/>
        <w:ind w:left="1134" w:hanging="1134"/>
        <w:jc w:val="both"/>
        <w:rPr>
          <w:sz w:val="22"/>
          <w:szCs w:val="22"/>
          <w:lang w:val="es-CR"/>
        </w:rPr>
      </w:pPr>
      <w:r w:rsidRPr="00B81FB3">
        <w:rPr>
          <w:sz w:val="22"/>
          <w:szCs w:val="22"/>
          <w:lang w:val="es-CR"/>
        </w:rPr>
        <w:t xml:space="preserve"> </w:t>
      </w:r>
    </w:p>
    <w:p w14:paraId="35DC2FD2" w14:textId="24499CB8" w:rsidR="00B81FB3" w:rsidRPr="00B81FB3" w:rsidRDefault="00B81FB3">
      <w:pPr>
        <w:pStyle w:val="Default"/>
        <w:numPr>
          <w:ilvl w:val="0"/>
          <w:numId w:val="343"/>
        </w:numPr>
        <w:spacing w:after="120"/>
        <w:ind w:left="1418" w:hanging="284"/>
        <w:jc w:val="both"/>
        <w:rPr>
          <w:sz w:val="22"/>
          <w:szCs w:val="22"/>
          <w:lang w:val="es-CR"/>
        </w:rPr>
      </w:pPr>
      <w:r>
        <w:rPr>
          <w:sz w:val="22"/>
          <w:szCs w:val="22"/>
          <w:lang w:val="es-CR"/>
        </w:rPr>
        <w:t>L</w:t>
      </w:r>
      <w:r w:rsidRPr="00B81FB3">
        <w:rPr>
          <w:sz w:val="22"/>
          <w:szCs w:val="22"/>
          <w:lang w:val="es-CR"/>
        </w:rPr>
        <w:t xml:space="preserve">as partidas de propiedades, planta y equipo se desagregarán por clases; </w:t>
      </w:r>
    </w:p>
    <w:p w14:paraId="5B236B32" w14:textId="4429FABD" w:rsidR="00B81FB3" w:rsidRPr="00B81FB3" w:rsidRDefault="00B81FB3">
      <w:pPr>
        <w:pStyle w:val="Default"/>
        <w:numPr>
          <w:ilvl w:val="0"/>
          <w:numId w:val="343"/>
        </w:numPr>
        <w:spacing w:after="120"/>
        <w:ind w:left="1418" w:hanging="284"/>
        <w:jc w:val="both"/>
        <w:rPr>
          <w:sz w:val="22"/>
          <w:szCs w:val="22"/>
          <w:lang w:val="es-CR"/>
        </w:rPr>
      </w:pPr>
      <w:r>
        <w:rPr>
          <w:sz w:val="22"/>
          <w:szCs w:val="22"/>
          <w:lang w:val="es-CR"/>
        </w:rPr>
        <w:t>L</w:t>
      </w:r>
      <w:r w:rsidRPr="00B81FB3">
        <w:rPr>
          <w:sz w:val="22"/>
          <w:szCs w:val="22"/>
          <w:lang w:val="es-CR"/>
        </w:rPr>
        <w:t xml:space="preserve">os criterios desarrollados por la entidad para distinguir los activos no generadores de efectivo de los activos generadores de efectivo; </w:t>
      </w:r>
    </w:p>
    <w:p w14:paraId="7B6A3E9C" w14:textId="77777777" w:rsidR="00F22551" w:rsidRDefault="00B81FB3">
      <w:pPr>
        <w:pStyle w:val="Default"/>
        <w:numPr>
          <w:ilvl w:val="0"/>
          <w:numId w:val="343"/>
        </w:numPr>
        <w:spacing w:after="120"/>
        <w:ind w:left="1418" w:hanging="284"/>
        <w:jc w:val="both"/>
        <w:rPr>
          <w:sz w:val="22"/>
          <w:szCs w:val="22"/>
          <w:lang w:val="es-CR"/>
        </w:rPr>
      </w:pPr>
      <w:r>
        <w:rPr>
          <w:sz w:val="22"/>
          <w:szCs w:val="22"/>
          <w:lang w:val="es-CR"/>
        </w:rPr>
        <w:t>E</w:t>
      </w:r>
      <w:r w:rsidRPr="00B81FB3">
        <w:rPr>
          <w:sz w:val="22"/>
          <w:szCs w:val="22"/>
          <w:lang w:val="es-CR"/>
        </w:rPr>
        <w:t xml:space="preserve">l importe de los activos reconocidos que están sujetos a restricciones y la naturaleza de dichas restricciones; </w:t>
      </w:r>
    </w:p>
    <w:p w14:paraId="7BA5A8B9" w14:textId="61F0767F" w:rsidR="00B81FB3" w:rsidRPr="004F40D9" w:rsidRDefault="00B81FB3" w:rsidP="004F40D9">
      <w:pPr>
        <w:pStyle w:val="Default"/>
        <w:numPr>
          <w:ilvl w:val="0"/>
          <w:numId w:val="343"/>
        </w:numPr>
        <w:spacing w:after="120"/>
        <w:ind w:left="1418" w:hanging="284"/>
        <w:jc w:val="both"/>
        <w:rPr>
          <w:sz w:val="22"/>
          <w:szCs w:val="22"/>
          <w:lang w:val="es-CR"/>
        </w:rPr>
      </w:pPr>
      <w:r w:rsidRPr="00F22551">
        <w:rPr>
          <w:sz w:val="22"/>
          <w:szCs w:val="22"/>
          <w:lang w:val="es-CR"/>
        </w:rPr>
        <w:t>Las cuentas por cobrar se desagregarán en concepto de:</w:t>
      </w:r>
    </w:p>
    <w:p w14:paraId="2DF4BCDC" w14:textId="77777777" w:rsidR="00B81FB3" w:rsidRDefault="00B81FB3">
      <w:pPr>
        <w:pStyle w:val="Default"/>
        <w:numPr>
          <w:ilvl w:val="0"/>
          <w:numId w:val="340"/>
        </w:numPr>
        <w:spacing w:after="120"/>
        <w:ind w:left="1701" w:hanging="153"/>
        <w:jc w:val="both"/>
        <w:rPr>
          <w:sz w:val="22"/>
          <w:szCs w:val="22"/>
          <w:lang w:val="es-CR"/>
        </w:rPr>
      </w:pPr>
      <w:r w:rsidRPr="000B34AC">
        <w:rPr>
          <w:sz w:val="22"/>
          <w:szCs w:val="22"/>
          <w:lang w:val="es-CR"/>
        </w:rPr>
        <w:t>Impuestos</w:t>
      </w:r>
      <w:r w:rsidRPr="00B81FB3">
        <w:rPr>
          <w:sz w:val="22"/>
          <w:szCs w:val="22"/>
          <w:lang w:val="es-CR"/>
        </w:rPr>
        <w:t xml:space="preserve"> y otros ingresos sin contraprestación, </w:t>
      </w:r>
    </w:p>
    <w:p w14:paraId="46B584A2" w14:textId="77777777" w:rsidR="00B81FB3" w:rsidRDefault="00B81FB3">
      <w:pPr>
        <w:pStyle w:val="Default"/>
        <w:numPr>
          <w:ilvl w:val="0"/>
          <w:numId w:val="340"/>
        </w:numPr>
        <w:spacing w:after="120"/>
        <w:ind w:left="1701" w:hanging="153"/>
        <w:jc w:val="both"/>
        <w:rPr>
          <w:sz w:val="22"/>
          <w:szCs w:val="22"/>
          <w:lang w:val="es-CR"/>
        </w:rPr>
      </w:pPr>
      <w:r w:rsidRPr="00B81FB3">
        <w:rPr>
          <w:sz w:val="22"/>
          <w:szCs w:val="22"/>
        </w:rPr>
        <w:lastRenderedPageBreak/>
        <w:t xml:space="preserve">De partes relacionadas, </w:t>
      </w:r>
    </w:p>
    <w:p w14:paraId="1D301B9F" w14:textId="77777777" w:rsidR="00B81FB3" w:rsidRDefault="00B81FB3">
      <w:pPr>
        <w:pStyle w:val="Default"/>
        <w:numPr>
          <w:ilvl w:val="0"/>
          <w:numId w:val="340"/>
        </w:numPr>
        <w:spacing w:after="120"/>
        <w:ind w:left="1701" w:hanging="153"/>
        <w:jc w:val="both"/>
        <w:rPr>
          <w:sz w:val="22"/>
          <w:szCs w:val="22"/>
          <w:lang w:val="es-CR"/>
        </w:rPr>
      </w:pPr>
      <w:r w:rsidRPr="00B81FB3">
        <w:rPr>
          <w:sz w:val="22"/>
          <w:szCs w:val="22"/>
        </w:rPr>
        <w:t xml:space="preserve">Pagos anticipados, y </w:t>
      </w:r>
    </w:p>
    <w:p w14:paraId="7335F0D4" w14:textId="2055F8A2" w:rsidR="00B81FB3" w:rsidRPr="00B81FB3" w:rsidRDefault="00B81FB3">
      <w:pPr>
        <w:pStyle w:val="Default"/>
        <w:numPr>
          <w:ilvl w:val="0"/>
          <w:numId w:val="340"/>
        </w:numPr>
        <w:spacing w:after="20"/>
        <w:ind w:left="1701" w:hanging="153"/>
        <w:jc w:val="both"/>
        <w:rPr>
          <w:sz w:val="22"/>
          <w:szCs w:val="22"/>
          <w:lang w:val="es-CR"/>
        </w:rPr>
      </w:pPr>
      <w:r w:rsidRPr="00B81FB3">
        <w:rPr>
          <w:sz w:val="22"/>
          <w:szCs w:val="22"/>
        </w:rPr>
        <w:t xml:space="preserve">Otros importes; </w:t>
      </w:r>
    </w:p>
    <w:p w14:paraId="7764D9CB" w14:textId="77777777" w:rsidR="00B81FB3" w:rsidRPr="00B81FB3" w:rsidRDefault="00B81FB3">
      <w:pPr>
        <w:pStyle w:val="Default"/>
        <w:numPr>
          <w:ilvl w:val="1"/>
          <w:numId w:val="339"/>
        </w:numPr>
        <w:jc w:val="both"/>
        <w:rPr>
          <w:sz w:val="22"/>
          <w:szCs w:val="22"/>
        </w:rPr>
      </w:pPr>
    </w:p>
    <w:p w14:paraId="7304266C" w14:textId="33D15F81" w:rsidR="00B81FB3" w:rsidRPr="00B81FB3" w:rsidRDefault="00F22551">
      <w:pPr>
        <w:pStyle w:val="Default"/>
        <w:numPr>
          <w:ilvl w:val="0"/>
          <w:numId w:val="343"/>
        </w:numPr>
        <w:spacing w:after="120"/>
        <w:ind w:left="1418" w:hanging="284"/>
        <w:jc w:val="both"/>
        <w:rPr>
          <w:sz w:val="22"/>
          <w:szCs w:val="22"/>
          <w:lang w:val="es-CR"/>
        </w:rPr>
      </w:pPr>
      <w:r w:rsidRPr="00F22551">
        <w:rPr>
          <w:sz w:val="22"/>
          <w:szCs w:val="22"/>
          <w:lang w:val="es-CR"/>
        </w:rPr>
        <w:t>L</w:t>
      </w:r>
      <w:r w:rsidR="00B81FB3" w:rsidRPr="00B81FB3">
        <w:rPr>
          <w:sz w:val="22"/>
          <w:szCs w:val="22"/>
          <w:lang w:val="es-CR"/>
        </w:rPr>
        <w:t xml:space="preserve">os inventarios se clasificarán en categorías tales como mercaderías, materias primas, materiales, productos en curso y productos terminados; </w:t>
      </w:r>
    </w:p>
    <w:p w14:paraId="007C9E44" w14:textId="2D086E08" w:rsidR="00B81FB3" w:rsidRPr="004F40D9" w:rsidRDefault="00F22551" w:rsidP="004F40D9">
      <w:pPr>
        <w:pStyle w:val="Default"/>
        <w:numPr>
          <w:ilvl w:val="0"/>
          <w:numId w:val="343"/>
        </w:numPr>
        <w:spacing w:after="120"/>
        <w:ind w:left="1418" w:hanging="284"/>
        <w:jc w:val="both"/>
        <w:rPr>
          <w:sz w:val="22"/>
          <w:szCs w:val="22"/>
          <w:lang w:val="es-CR"/>
        </w:rPr>
      </w:pPr>
      <w:r>
        <w:rPr>
          <w:sz w:val="22"/>
          <w:szCs w:val="22"/>
          <w:lang w:val="es-CR"/>
        </w:rPr>
        <w:t>L</w:t>
      </w:r>
      <w:r w:rsidR="00B81FB3" w:rsidRPr="00B81FB3">
        <w:rPr>
          <w:sz w:val="22"/>
          <w:szCs w:val="22"/>
          <w:lang w:val="es-CR"/>
        </w:rPr>
        <w:t xml:space="preserve">as cuentas por pagar por impuestos y transferencias, se desagregarán en; </w:t>
      </w:r>
    </w:p>
    <w:p w14:paraId="0142E9CF" w14:textId="3D0D8DB1" w:rsidR="00B81FB3" w:rsidRPr="00B81FB3" w:rsidRDefault="00B81FB3">
      <w:pPr>
        <w:pStyle w:val="Default"/>
        <w:numPr>
          <w:ilvl w:val="1"/>
          <w:numId w:val="341"/>
        </w:numPr>
        <w:spacing w:after="18"/>
        <w:ind w:left="1701" w:hanging="142"/>
        <w:jc w:val="both"/>
        <w:rPr>
          <w:sz w:val="22"/>
          <w:szCs w:val="22"/>
          <w:lang w:val="es-CR"/>
        </w:rPr>
      </w:pPr>
      <w:r>
        <w:rPr>
          <w:sz w:val="22"/>
          <w:szCs w:val="22"/>
          <w:lang w:val="es-CR"/>
        </w:rPr>
        <w:t>D</w:t>
      </w:r>
      <w:r w:rsidRPr="00B81FB3">
        <w:rPr>
          <w:sz w:val="22"/>
          <w:szCs w:val="22"/>
          <w:lang w:val="es-CR"/>
        </w:rPr>
        <w:t xml:space="preserve">evoluciones de impuestos, </w:t>
      </w:r>
    </w:p>
    <w:p w14:paraId="7F106550" w14:textId="4F20EA49" w:rsidR="00B81FB3" w:rsidRPr="00B81FB3" w:rsidRDefault="00B81FB3">
      <w:pPr>
        <w:pStyle w:val="Default"/>
        <w:numPr>
          <w:ilvl w:val="0"/>
          <w:numId w:val="341"/>
        </w:numPr>
        <w:ind w:left="1701" w:hanging="142"/>
        <w:jc w:val="both"/>
        <w:rPr>
          <w:sz w:val="22"/>
          <w:szCs w:val="22"/>
        </w:rPr>
      </w:pPr>
      <w:r>
        <w:rPr>
          <w:sz w:val="22"/>
          <w:szCs w:val="22"/>
        </w:rPr>
        <w:t>P</w:t>
      </w:r>
      <w:r w:rsidRPr="00B81FB3">
        <w:rPr>
          <w:sz w:val="22"/>
          <w:szCs w:val="22"/>
        </w:rPr>
        <w:t xml:space="preserve">or transferencias; </w:t>
      </w:r>
    </w:p>
    <w:p w14:paraId="330BBA55" w14:textId="77777777" w:rsidR="00B81FB3" w:rsidRPr="00B81FB3" w:rsidRDefault="00B81FB3">
      <w:pPr>
        <w:pStyle w:val="Default"/>
        <w:numPr>
          <w:ilvl w:val="1"/>
          <w:numId w:val="339"/>
        </w:numPr>
        <w:jc w:val="both"/>
        <w:rPr>
          <w:sz w:val="22"/>
          <w:szCs w:val="22"/>
        </w:rPr>
      </w:pPr>
    </w:p>
    <w:p w14:paraId="63F80F17" w14:textId="4F7395D1" w:rsidR="00B81FB3" w:rsidRPr="00B81FB3" w:rsidRDefault="00F22551">
      <w:pPr>
        <w:pStyle w:val="Default"/>
        <w:numPr>
          <w:ilvl w:val="0"/>
          <w:numId w:val="343"/>
        </w:numPr>
        <w:spacing w:after="120"/>
        <w:ind w:left="1418" w:hanging="284"/>
        <w:jc w:val="both"/>
        <w:rPr>
          <w:sz w:val="22"/>
          <w:szCs w:val="22"/>
          <w:lang w:val="es-CR"/>
        </w:rPr>
      </w:pPr>
      <w:r w:rsidRPr="00F22551">
        <w:rPr>
          <w:sz w:val="22"/>
          <w:szCs w:val="22"/>
          <w:lang w:val="es-CR"/>
        </w:rPr>
        <w:t>I</w:t>
      </w:r>
      <w:r w:rsidR="00B81FB3" w:rsidRPr="00B81FB3">
        <w:rPr>
          <w:sz w:val="22"/>
          <w:szCs w:val="22"/>
          <w:lang w:val="es-CR"/>
        </w:rPr>
        <w:t xml:space="preserve">mportes a pagar a otras entidades pertenecientes a la entidad económica; </w:t>
      </w:r>
    </w:p>
    <w:p w14:paraId="3E67D8BF" w14:textId="7B134DE8" w:rsidR="00B81FB3" w:rsidRPr="00B81FB3" w:rsidRDefault="00F22551">
      <w:pPr>
        <w:pStyle w:val="Default"/>
        <w:numPr>
          <w:ilvl w:val="0"/>
          <w:numId w:val="343"/>
        </w:numPr>
        <w:spacing w:after="120"/>
        <w:ind w:left="1418" w:hanging="284"/>
        <w:jc w:val="both"/>
        <w:rPr>
          <w:sz w:val="22"/>
          <w:szCs w:val="22"/>
          <w:lang w:val="es-CR"/>
        </w:rPr>
      </w:pPr>
      <w:r>
        <w:rPr>
          <w:sz w:val="22"/>
          <w:szCs w:val="22"/>
          <w:lang w:val="es-CR"/>
        </w:rPr>
        <w:t>L</w:t>
      </w:r>
      <w:r w:rsidR="00B81FB3" w:rsidRPr="00B81FB3">
        <w:rPr>
          <w:sz w:val="22"/>
          <w:szCs w:val="22"/>
          <w:lang w:val="es-CR"/>
        </w:rPr>
        <w:t xml:space="preserve">as provisiones se desagregarán en provisiones por beneficios a los empleados y otras partidas; </w:t>
      </w:r>
    </w:p>
    <w:p w14:paraId="30F2E6BD" w14:textId="31C235A1" w:rsidR="00B81FB3" w:rsidRPr="00B81FB3" w:rsidRDefault="00F22551">
      <w:pPr>
        <w:pStyle w:val="Default"/>
        <w:numPr>
          <w:ilvl w:val="0"/>
          <w:numId w:val="343"/>
        </w:numPr>
        <w:spacing w:after="120"/>
        <w:ind w:left="1418" w:hanging="284"/>
        <w:jc w:val="both"/>
        <w:rPr>
          <w:sz w:val="22"/>
          <w:szCs w:val="22"/>
          <w:lang w:val="es-CR"/>
        </w:rPr>
      </w:pPr>
      <w:r>
        <w:rPr>
          <w:sz w:val="22"/>
          <w:szCs w:val="22"/>
          <w:lang w:val="es-CR"/>
        </w:rPr>
        <w:t>E</w:t>
      </w:r>
      <w:r w:rsidR="00B81FB3" w:rsidRPr="00B81FB3">
        <w:rPr>
          <w:sz w:val="22"/>
          <w:szCs w:val="22"/>
          <w:lang w:val="es-CR"/>
        </w:rPr>
        <w:t xml:space="preserve">l importe de los pasivos reconocidos con respecto a los activos transferidos sujetos a condiciones; </w:t>
      </w:r>
    </w:p>
    <w:p w14:paraId="718AA1D8" w14:textId="05A6267B" w:rsidR="00B81FB3" w:rsidRPr="00B81FB3" w:rsidRDefault="00F22551">
      <w:pPr>
        <w:pStyle w:val="Default"/>
        <w:numPr>
          <w:ilvl w:val="0"/>
          <w:numId w:val="343"/>
        </w:numPr>
        <w:spacing w:after="120"/>
        <w:ind w:left="1418" w:hanging="284"/>
        <w:jc w:val="both"/>
        <w:rPr>
          <w:sz w:val="22"/>
          <w:szCs w:val="22"/>
          <w:lang w:val="es-CR"/>
        </w:rPr>
      </w:pPr>
      <w:r>
        <w:rPr>
          <w:sz w:val="22"/>
          <w:szCs w:val="22"/>
          <w:lang w:val="es-CR"/>
        </w:rPr>
        <w:t>L</w:t>
      </w:r>
      <w:r w:rsidR="00B81FB3" w:rsidRPr="00B81FB3">
        <w:rPr>
          <w:sz w:val="22"/>
          <w:szCs w:val="22"/>
          <w:lang w:val="es-CR"/>
        </w:rPr>
        <w:t xml:space="preserve">a existencia e importes de cualquier cobro anticipado con respecto a las transacciones sin contraprestación; </w:t>
      </w:r>
    </w:p>
    <w:p w14:paraId="6E6FDCB8" w14:textId="0DC6DB2F" w:rsidR="00B81FB3" w:rsidRPr="00B81FB3" w:rsidRDefault="00F22551">
      <w:pPr>
        <w:pStyle w:val="Default"/>
        <w:numPr>
          <w:ilvl w:val="0"/>
          <w:numId w:val="343"/>
        </w:numPr>
        <w:spacing w:after="120"/>
        <w:ind w:left="1418" w:hanging="284"/>
        <w:jc w:val="both"/>
        <w:rPr>
          <w:sz w:val="22"/>
          <w:szCs w:val="22"/>
          <w:lang w:val="es-CR"/>
        </w:rPr>
      </w:pPr>
      <w:r>
        <w:rPr>
          <w:sz w:val="22"/>
          <w:szCs w:val="22"/>
          <w:lang w:val="es-CR"/>
        </w:rPr>
        <w:t>E</w:t>
      </w:r>
      <w:r w:rsidR="00B81FB3" w:rsidRPr="00B81FB3">
        <w:rPr>
          <w:sz w:val="22"/>
          <w:szCs w:val="22"/>
          <w:lang w:val="es-CR"/>
        </w:rPr>
        <w:t xml:space="preserve">l importe de cualquier pasivo condonado; y </w:t>
      </w:r>
    </w:p>
    <w:p w14:paraId="1A98C5EA" w14:textId="4F42714F" w:rsidR="00B81FB3" w:rsidRPr="004F40D9" w:rsidRDefault="00F22551" w:rsidP="004F40D9">
      <w:pPr>
        <w:pStyle w:val="Default"/>
        <w:numPr>
          <w:ilvl w:val="0"/>
          <w:numId w:val="343"/>
        </w:numPr>
        <w:spacing w:after="120"/>
        <w:ind w:left="1418" w:hanging="284"/>
        <w:jc w:val="both"/>
        <w:rPr>
          <w:sz w:val="22"/>
          <w:szCs w:val="22"/>
          <w:lang w:val="es-CR"/>
        </w:rPr>
      </w:pPr>
      <w:r>
        <w:rPr>
          <w:sz w:val="22"/>
          <w:szCs w:val="22"/>
          <w:lang w:val="es-CR"/>
        </w:rPr>
        <w:t>L</w:t>
      </w:r>
      <w:r w:rsidR="00B81FB3" w:rsidRPr="00B81FB3">
        <w:rPr>
          <w:sz w:val="22"/>
          <w:szCs w:val="22"/>
          <w:lang w:val="es-CR"/>
        </w:rPr>
        <w:t>os componentes del patrimonio se desagregarán en capital aportado, resultados acumulados y reservas, mostrando por separado:</w:t>
      </w:r>
    </w:p>
    <w:p w14:paraId="0BEA074B" w14:textId="21926BCB" w:rsidR="00F026C0" w:rsidRDefault="00B81FB3">
      <w:pPr>
        <w:pStyle w:val="Default"/>
        <w:numPr>
          <w:ilvl w:val="1"/>
          <w:numId w:val="342"/>
        </w:numPr>
        <w:spacing w:after="120"/>
        <w:ind w:left="1701" w:hanging="142"/>
        <w:jc w:val="both"/>
        <w:rPr>
          <w:sz w:val="22"/>
          <w:szCs w:val="22"/>
          <w:lang w:val="es-CR"/>
        </w:rPr>
      </w:pPr>
      <w:r>
        <w:rPr>
          <w:sz w:val="22"/>
          <w:szCs w:val="22"/>
          <w:lang w:val="es-CR"/>
        </w:rPr>
        <w:t>E</w:t>
      </w:r>
      <w:r w:rsidRPr="00B81FB3">
        <w:rPr>
          <w:sz w:val="22"/>
          <w:szCs w:val="22"/>
          <w:lang w:val="es-CR"/>
        </w:rPr>
        <w:t>l capital aportado, que deberá ser igual al total acumulado, de la participación del gobierno en los activos netos/patrimonio de la entidad será probablemente una combinación de capital aportado más la acumulación de resultados y reservas de la entidad, lo cual reflejará</w:t>
      </w:r>
      <w:r w:rsidR="00F026C0">
        <w:rPr>
          <w:sz w:val="22"/>
          <w:szCs w:val="22"/>
          <w:lang w:val="es-CR"/>
        </w:rPr>
        <w:t>:</w:t>
      </w:r>
    </w:p>
    <w:p w14:paraId="6A06AD55" w14:textId="0059E580" w:rsidR="00B81FB3" w:rsidRPr="00B81FB3" w:rsidRDefault="00F026C0">
      <w:pPr>
        <w:pStyle w:val="Default"/>
        <w:numPr>
          <w:ilvl w:val="1"/>
          <w:numId w:val="342"/>
        </w:numPr>
        <w:spacing w:after="120"/>
        <w:ind w:left="1701" w:hanging="142"/>
        <w:jc w:val="both"/>
        <w:rPr>
          <w:sz w:val="22"/>
          <w:szCs w:val="22"/>
          <w:lang w:val="es-CR"/>
        </w:rPr>
      </w:pPr>
      <w:r>
        <w:rPr>
          <w:sz w:val="22"/>
          <w:szCs w:val="22"/>
          <w:lang w:val="es-CR"/>
        </w:rPr>
        <w:t>L</w:t>
      </w:r>
      <w:r w:rsidR="00B81FB3" w:rsidRPr="00B81FB3">
        <w:rPr>
          <w:sz w:val="22"/>
          <w:szCs w:val="22"/>
          <w:lang w:val="es-CR"/>
        </w:rPr>
        <w:t xml:space="preserve">os activos netos/patrimonios atribuibles a las operaciones de la entidad; </w:t>
      </w:r>
    </w:p>
    <w:p w14:paraId="1D349290" w14:textId="3E8965F9" w:rsidR="00B81FB3" w:rsidRPr="00B81FB3" w:rsidRDefault="00B81FB3">
      <w:pPr>
        <w:pStyle w:val="Default"/>
        <w:numPr>
          <w:ilvl w:val="1"/>
          <w:numId w:val="342"/>
        </w:numPr>
        <w:spacing w:after="120"/>
        <w:ind w:left="1701" w:hanging="142"/>
        <w:jc w:val="both"/>
        <w:rPr>
          <w:sz w:val="22"/>
          <w:szCs w:val="22"/>
        </w:rPr>
      </w:pPr>
      <w:r>
        <w:rPr>
          <w:sz w:val="22"/>
          <w:szCs w:val="22"/>
        </w:rPr>
        <w:t>L</w:t>
      </w:r>
      <w:r w:rsidRPr="00B81FB3">
        <w:rPr>
          <w:sz w:val="22"/>
          <w:szCs w:val="22"/>
        </w:rPr>
        <w:t xml:space="preserve">os resultados acumulados; </w:t>
      </w:r>
    </w:p>
    <w:p w14:paraId="04E75B62" w14:textId="0C1F2566" w:rsidR="00B81FB3" w:rsidRPr="00B81FB3" w:rsidRDefault="00B81FB3">
      <w:pPr>
        <w:pStyle w:val="Default"/>
        <w:numPr>
          <w:ilvl w:val="1"/>
          <w:numId w:val="342"/>
        </w:numPr>
        <w:spacing w:after="120"/>
        <w:ind w:left="1701" w:hanging="142"/>
        <w:jc w:val="both"/>
        <w:rPr>
          <w:sz w:val="22"/>
          <w:szCs w:val="22"/>
          <w:lang w:val="es-CR"/>
        </w:rPr>
      </w:pPr>
      <w:r w:rsidRPr="00B81FB3">
        <w:rPr>
          <w:sz w:val="22"/>
          <w:szCs w:val="22"/>
          <w:lang w:val="es-CR"/>
        </w:rPr>
        <w:t xml:space="preserve">Las reservas, incluyendo una descripción de la naturaleza y destino de cada reserva que figure en el patrimonio; y </w:t>
      </w:r>
    </w:p>
    <w:p w14:paraId="3AA97380" w14:textId="09DE92E4" w:rsidR="00B81FB3" w:rsidRPr="00B81FB3" w:rsidRDefault="00B81FB3">
      <w:pPr>
        <w:pStyle w:val="Default"/>
        <w:numPr>
          <w:ilvl w:val="1"/>
          <w:numId w:val="342"/>
        </w:numPr>
        <w:ind w:left="1701" w:hanging="142"/>
        <w:jc w:val="both"/>
        <w:rPr>
          <w:sz w:val="22"/>
          <w:szCs w:val="22"/>
        </w:rPr>
      </w:pPr>
      <w:r>
        <w:rPr>
          <w:sz w:val="22"/>
          <w:szCs w:val="22"/>
        </w:rPr>
        <w:t>L</w:t>
      </w:r>
      <w:r w:rsidRPr="00B81FB3">
        <w:rPr>
          <w:sz w:val="22"/>
          <w:szCs w:val="22"/>
        </w:rPr>
        <w:t xml:space="preserve">os intereses minoritarios. </w:t>
      </w:r>
    </w:p>
    <w:p w14:paraId="79D9AD64" w14:textId="77777777" w:rsidR="00B81FB3" w:rsidRDefault="00B81FB3" w:rsidP="00B81FB3">
      <w:pPr>
        <w:pStyle w:val="Default"/>
        <w:ind w:left="1134" w:hanging="1134"/>
        <w:jc w:val="both"/>
        <w:rPr>
          <w:sz w:val="22"/>
          <w:szCs w:val="22"/>
          <w:lang w:val="es-CR"/>
        </w:rPr>
      </w:pPr>
    </w:p>
    <w:p w14:paraId="2928D636" w14:textId="77777777" w:rsidR="004F40D9" w:rsidRPr="00B81FB3" w:rsidRDefault="004F40D9" w:rsidP="00B81FB3">
      <w:pPr>
        <w:pStyle w:val="Default"/>
        <w:ind w:left="1134" w:hanging="1134"/>
        <w:jc w:val="both"/>
        <w:rPr>
          <w:sz w:val="22"/>
          <w:szCs w:val="22"/>
          <w:lang w:val="es-CR"/>
        </w:rPr>
      </w:pPr>
    </w:p>
    <w:p w14:paraId="30C76CCB" w14:textId="77777777" w:rsidR="00F57D66" w:rsidRPr="00B81FB3" w:rsidRDefault="00F57D66" w:rsidP="00B81FB3">
      <w:pPr>
        <w:pStyle w:val="Default"/>
        <w:jc w:val="both"/>
        <w:rPr>
          <w:sz w:val="22"/>
          <w:szCs w:val="22"/>
          <w:lang w:val="es-CR"/>
        </w:rPr>
      </w:pPr>
    </w:p>
    <w:tbl>
      <w:tblPr>
        <w:tblW w:w="9394" w:type="dxa"/>
        <w:tblLook w:val="04A0" w:firstRow="1" w:lastRow="0" w:firstColumn="1" w:lastColumn="0" w:noHBand="0" w:noVBand="1"/>
      </w:tblPr>
      <w:tblGrid>
        <w:gridCol w:w="537"/>
        <w:gridCol w:w="706"/>
        <w:gridCol w:w="517"/>
        <w:gridCol w:w="3720"/>
        <w:gridCol w:w="2023"/>
        <w:gridCol w:w="1882"/>
        <w:gridCol w:w="9"/>
      </w:tblGrid>
      <w:tr w:rsidR="005C6889" w:rsidRPr="004F40D9" w14:paraId="53968435" w14:textId="77777777" w:rsidTr="004F40D9">
        <w:trPr>
          <w:trHeight w:val="320"/>
        </w:trPr>
        <w:tc>
          <w:tcPr>
            <w:tcW w:w="176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908D0EA" w14:textId="77777777" w:rsidR="005C6889" w:rsidRPr="004F40D9" w:rsidRDefault="005C6889" w:rsidP="005C6889">
            <w:pPr>
              <w:jc w:val="center"/>
              <w:rPr>
                <w:rFonts w:ascii="Arial Narrow" w:eastAsia="Times New Roman" w:hAnsi="Arial Narrow" w:cs="Calibri"/>
                <w:b/>
                <w:bCs/>
                <w:color w:val="FFFFFF"/>
                <w:sz w:val="22"/>
                <w:szCs w:val="22"/>
              </w:rPr>
            </w:pPr>
            <w:r w:rsidRPr="004F40D9">
              <w:rPr>
                <w:rFonts w:ascii="Arial Narrow" w:eastAsia="Times New Roman" w:hAnsi="Arial Narrow" w:cs="Calibri"/>
                <w:b/>
                <w:bCs/>
                <w:color w:val="FFFFFF"/>
                <w:sz w:val="22"/>
                <w:szCs w:val="22"/>
              </w:rPr>
              <w:t>Norma / Política</w:t>
            </w:r>
          </w:p>
        </w:tc>
        <w:tc>
          <w:tcPr>
            <w:tcW w:w="372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2437D9F" w14:textId="77777777" w:rsidR="005C6889" w:rsidRPr="004F40D9" w:rsidRDefault="005C6889" w:rsidP="005C6889">
            <w:pPr>
              <w:jc w:val="center"/>
              <w:rPr>
                <w:rFonts w:ascii="Arial Narrow" w:eastAsia="Times New Roman" w:hAnsi="Arial Narrow" w:cs="Calibri"/>
                <w:b/>
                <w:bCs/>
                <w:color w:val="FFFFFF"/>
                <w:sz w:val="22"/>
                <w:szCs w:val="22"/>
              </w:rPr>
            </w:pPr>
            <w:r w:rsidRPr="004F40D9">
              <w:rPr>
                <w:rFonts w:ascii="Arial Narrow" w:eastAsia="Times New Roman" w:hAnsi="Arial Narrow" w:cs="Calibri"/>
                <w:b/>
                <w:bCs/>
                <w:color w:val="FFFFFF"/>
                <w:sz w:val="22"/>
                <w:szCs w:val="22"/>
              </w:rPr>
              <w:t>Concepto</w:t>
            </w:r>
          </w:p>
        </w:tc>
        <w:tc>
          <w:tcPr>
            <w:tcW w:w="3914" w:type="dxa"/>
            <w:gridSpan w:val="3"/>
            <w:tcBorders>
              <w:top w:val="single" w:sz="8" w:space="0" w:color="auto"/>
              <w:left w:val="nil"/>
              <w:bottom w:val="single" w:sz="8" w:space="0" w:color="auto"/>
              <w:right w:val="single" w:sz="8" w:space="0" w:color="000000"/>
            </w:tcBorders>
            <w:shd w:val="clear" w:color="000000" w:fill="203764"/>
            <w:vAlign w:val="center"/>
            <w:hideMark/>
          </w:tcPr>
          <w:p w14:paraId="423703B8" w14:textId="77777777" w:rsidR="005C6889" w:rsidRPr="004F40D9" w:rsidRDefault="005C6889" w:rsidP="005C6889">
            <w:pPr>
              <w:jc w:val="center"/>
              <w:rPr>
                <w:rFonts w:ascii="Arial Narrow" w:eastAsia="Times New Roman" w:hAnsi="Arial Narrow" w:cs="Calibri"/>
                <w:b/>
                <w:bCs/>
                <w:color w:val="FFFFFF"/>
                <w:sz w:val="22"/>
                <w:szCs w:val="22"/>
              </w:rPr>
            </w:pPr>
            <w:r w:rsidRPr="004F40D9">
              <w:rPr>
                <w:rFonts w:ascii="Arial Narrow" w:eastAsia="Times New Roman" w:hAnsi="Arial Narrow" w:cs="Calibri"/>
                <w:b/>
                <w:bCs/>
                <w:color w:val="FFFFFF"/>
                <w:sz w:val="22"/>
                <w:szCs w:val="22"/>
              </w:rPr>
              <w:t>Referencia</w:t>
            </w:r>
          </w:p>
        </w:tc>
      </w:tr>
      <w:tr w:rsidR="005C6889" w:rsidRPr="004F40D9" w14:paraId="3326365D" w14:textId="77777777" w:rsidTr="004F40D9">
        <w:trPr>
          <w:gridAfter w:val="1"/>
          <w:wAfter w:w="9" w:type="dxa"/>
          <w:trHeight w:val="850"/>
        </w:trPr>
        <w:tc>
          <w:tcPr>
            <w:tcW w:w="1760" w:type="dxa"/>
            <w:gridSpan w:val="3"/>
            <w:vMerge/>
            <w:tcBorders>
              <w:top w:val="single" w:sz="8" w:space="0" w:color="auto"/>
              <w:left w:val="single" w:sz="8" w:space="0" w:color="auto"/>
              <w:bottom w:val="nil"/>
              <w:right w:val="single" w:sz="8" w:space="0" w:color="000000"/>
            </w:tcBorders>
            <w:vAlign w:val="center"/>
            <w:hideMark/>
          </w:tcPr>
          <w:p w14:paraId="505AC157" w14:textId="77777777" w:rsidR="005C6889" w:rsidRPr="004F40D9" w:rsidRDefault="005C6889" w:rsidP="005C6889">
            <w:pPr>
              <w:rPr>
                <w:rFonts w:ascii="Arial Narrow" w:eastAsia="Times New Roman" w:hAnsi="Arial Narrow" w:cs="Calibri"/>
                <w:b/>
                <w:bCs/>
                <w:color w:val="FFFFFF"/>
                <w:sz w:val="22"/>
                <w:szCs w:val="22"/>
              </w:rPr>
            </w:pPr>
          </w:p>
        </w:tc>
        <w:tc>
          <w:tcPr>
            <w:tcW w:w="3720" w:type="dxa"/>
            <w:vMerge/>
            <w:tcBorders>
              <w:top w:val="single" w:sz="8" w:space="0" w:color="auto"/>
              <w:left w:val="single" w:sz="8" w:space="0" w:color="auto"/>
              <w:bottom w:val="nil"/>
              <w:right w:val="single" w:sz="8" w:space="0" w:color="auto"/>
            </w:tcBorders>
            <w:vAlign w:val="center"/>
            <w:hideMark/>
          </w:tcPr>
          <w:p w14:paraId="44B80983" w14:textId="77777777" w:rsidR="005C6889" w:rsidRPr="004F40D9" w:rsidRDefault="005C6889" w:rsidP="005C6889">
            <w:pPr>
              <w:rPr>
                <w:rFonts w:ascii="Arial Narrow" w:eastAsia="Times New Roman" w:hAnsi="Arial Narrow" w:cs="Calibri"/>
                <w:b/>
                <w:bCs/>
                <w:color w:val="FFFFFF"/>
                <w:sz w:val="22"/>
                <w:szCs w:val="22"/>
              </w:rPr>
            </w:pPr>
          </w:p>
        </w:tc>
        <w:tc>
          <w:tcPr>
            <w:tcW w:w="2023" w:type="dxa"/>
            <w:tcBorders>
              <w:top w:val="nil"/>
              <w:left w:val="nil"/>
              <w:bottom w:val="nil"/>
              <w:right w:val="single" w:sz="8" w:space="0" w:color="auto"/>
            </w:tcBorders>
            <w:shd w:val="clear" w:color="000000" w:fill="203764"/>
            <w:vAlign w:val="center"/>
            <w:hideMark/>
          </w:tcPr>
          <w:p w14:paraId="6351B770" w14:textId="77777777" w:rsidR="005C6889" w:rsidRPr="004F40D9" w:rsidRDefault="005C6889" w:rsidP="005C6889">
            <w:pPr>
              <w:jc w:val="center"/>
              <w:rPr>
                <w:rFonts w:ascii="Arial Narrow" w:eastAsia="Times New Roman" w:hAnsi="Arial Narrow" w:cs="Calibri"/>
                <w:b/>
                <w:bCs/>
                <w:color w:val="FFFFFF"/>
                <w:sz w:val="22"/>
                <w:szCs w:val="22"/>
              </w:rPr>
            </w:pPr>
            <w:r w:rsidRPr="004F40D9">
              <w:rPr>
                <w:rFonts w:ascii="Arial Narrow" w:eastAsia="Times New Roman" w:hAnsi="Arial Narrow" w:cs="Calibri"/>
                <w:b/>
                <w:bCs/>
                <w:color w:val="FFFFFF"/>
                <w:sz w:val="22"/>
                <w:szCs w:val="22"/>
              </w:rPr>
              <w:t>Norma</w:t>
            </w:r>
          </w:p>
        </w:tc>
        <w:tc>
          <w:tcPr>
            <w:tcW w:w="1882" w:type="dxa"/>
            <w:tcBorders>
              <w:top w:val="nil"/>
              <w:left w:val="nil"/>
              <w:bottom w:val="nil"/>
              <w:right w:val="single" w:sz="8" w:space="0" w:color="auto"/>
            </w:tcBorders>
            <w:shd w:val="clear" w:color="000000" w:fill="203764"/>
            <w:vAlign w:val="center"/>
            <w:hideMark/>
          </w:tcPr>
          <w:p w14:paraId="50F71D27" w14:textId="77777777" w:rsidR="005C6889" w:rsidRPr="004F40D9" w:rsidRDefault="005C6889" w:rsidP="005C6889">
            <w:pPr>
              <w:jc w:val="center"/>
              <w:rPr>
                <w:rFonts w:ascii="Arial Narrow" w:eastAsia="Times New Roman" w:hAnsi="Arial Narrow" w:cs="Calibri"/>
                <w:b/>
                <w:bCs/>
                <w:color w:val="FFFFFF"/>
                <w:sz w:val="22"/>
                <w:szCs w:val="22"/>
                <w:lang w:val="es-CR"/>
              </w:rPr>
            </w:pPr>
            <w:r w:rsidRPr="004F40D9">
              <w:rPr>
                <w:rFonts w:ascii="Arial Narrow" w:eastAsia="Times New Roman" w:hAnsi="Arial Narrow" w:cs="Calibri"/>
                <w:b/>
                <w:bCs/>
                <w:color w:val="FFFFFF"/>
                <w:sz w:val="22"/>
                <w:szCs w:val="22"/>
                <w:lang w:val="es-CR"/>
              </w:rPr>
              <w:t>Normativa técnica y disposiciones adicionales</w:t>
            </w:r>
          </w:p>
        </w:tc>
      </w:tr>
      <w:tr w:rsidR="005C6889" w:rsidRPr="004F40D9" w14:paraId="7D7CC156" w14:textId="77777777" w:rsidTr="004F40D9">
        <w:trPr>
          <w:gridAfter w:val="1"/>
          <w:wAfter w:w="9" w:type="dxa"/>
          <w:trHeight w:val="320"/>
        </w:trPr>
        <w:tc>
          <w:tcPr>
            <w:tcW w:w="5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00556A" w14:textId="77777777" w:rsidR="005C6889" w:rsidRPr="004F40D9" w:rsidRDefault="005C6889" w:rsidP="004F40D9">
            <w:pPr>
              <w:jc w:val="center"/>
              <w:rPr>
                <w:rFonts w:ascii="Arial Narrow" w:eastAsia="Times New Roman" w:hAnsi="Arial Narrow"/>
                <w:b/>
                <w:bCs/>
                <w:color w:val="000000"/>
                <w:sz w:val="22"/>
                <w:szCs w:val="22"/>
              </w:rPr>
            </w:pPr>
            <w:r w:rsidRPr="004F40D9">
              <w:rPr>
                <w:rFonts w:ascii="Arial Narrow" w:eastAsia="Times New Roman" w:hAnsi="Arial Narrow"/>
                <w:b/>
                <w:bCs/>
                <w:color w:val="000000"/>
                <w:sz w:val="22"/>
                <w:szCs w:val="22"/>
              </w:rPr>
              <w:t>6</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13D9B63A" w14:textId="77777777" w:rsidR="005C6889" w:rsidRPr="004F40D9" w:rsidRDefault="005C6889" w:rsidP="004F40D9">
            <w:pPr>
              <w:ind w:firstLineChars="25" w:firstLine="55"/>
              <w:jc w:val="center"/>
              <w:rPr>
                <w:rFonts w:ascii="Arial Narrow" w:eastAsia="Times New Roman" w:hAnsi="Arial Narrow"/>
                <w:b/>
                <w:bCs/>
                <w:color w:val="000000"/>
                <w:sz w:val="22"/>
                <w:szCs w:val="22"/>
              </w:rPr>
            </w:pPr>
            <w:r w:rsidRPr="004F40D9">
              <w:rPr>
                <w:rFonts w:ascii="Arial Narrow" w:eastAsia="Times New Roman" w:hAnsi="Arial Narrow"/>
                <w:b/>
                <w:bCs/>
                <w:color w:val="000000"/>
                <w:sz w:val="22"/>
                <w:szCs w:val="22"/>
              </w:rPr>
              <w:t>24</w:t>
            </w:r>
          </w:p>
        </w:tc>
        <w:tc>
          <w:tcPr>
            <w:tcW w:w="517" w:type="dxa"/>
            <w:tcBorders>
              <w:top w:val="single" w:sz="8" w:space="0" w:color="auto"/>
              <w:left w:val="nil"/>
              <w:bottom w:val="single" w:sz="8" w:space="0" w:color="auto"/>
              <w:right w:val="single" w:sz="8" w:space="0" w:color="auto"/>
            </w:tcBorders>
            <w:shd w:val="clear" w:color="auto" w:fill="auto"/>
            <w:vAlign w:val="center"/>
            <w:hideMark/>
          </w:tcPr>
          <w:p w14:paraId="22308612" w14:textId="77777777" w:rsidR="005C6889" w:rsidRPr="004F40D9" w:rsidRDefault="005C6889" w:rsidP="005C6889">
            <w:pPr>
              <w:jc w:val="center"/>
              <w:rPr>
                <w:rFonts w:ascii="Arial Narrow" w:eastAsia="Times New Roman" w:hAnsi="Arial Narrow" w:cs="Calibri"/>
                <w:b/>
                <w:bCs/>
                <w:color w:val="000000"/>
                <w:sz w:val="22"/>
                <w:szCs w:val="22"/>
              </w:rPr>
            </w:pPr>
            <w:r w:rsidRPr="004F40D9">
              <w:rPr>
                <w:rFonts w:ascii="Arial Narrow" w:eastAsia="Times New Roman" w:hAnsi="Arial Narrow" w:cs="Calibri"/>
                <w:b/>
                <w:bCs/>
                <w:color w:val="000000"/>
                <w:sz w:val="22"/>
                <w:szCs w:val="22"/>
              </w:rPr>
              <w:t xml:space="preserve"> </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14:paraId="3A942074" w14:textId="77777777" w:rsidR="005C6889" w:rsidRPr="004F40D9" w:rsidRDefault="005C6889" w:rsidP="005C6889">
            <w:pPr>
              <w:rPr>
                <w:rFonts w:ascii="Arial Narrow" w:eastAsia="Times New Roman" w:hAnsi="Arial Narrow"/>
                <w:b/>
                <w:bCs/>
                <w:color w:val="000000"/>
                <w:sz w:val="22"/>
                <w:szCs w:val="22"/>
              </w:rPr>
            </w:pPr>
            <w:r w:rsidRPr="004F40D9">
              <w:rPr>
                <w:rFonts w:ascii="Arial Narrow" w:eastAsia="Times New Roman" w:hAnsi="Arial Narrow"/>
                <w:b/>
                <w:bCs/>
                <w:color w:val="000000"/>
                <w:sz w:val="22"/>
                <w:szCs w:val="22"/>
              </w:rPr>
              <w:t>Modelo de ESF</w:t>
            </w:r>
          </w:p>
        </w:tc>
        <w:tc>
          <w:tcPr>
            <w:tcW w:w="2023" w:type="dxa"/>
            <w:tcBorders>
              <w:top w:val="single" w:sz="8" w:space="0" w:color="auto"/>
              <w:left w:val="nil"/>
              <w:bottom w:val="single" w:sz="8" w:space="0" w:color="auto"/>
              <w:right w:val="single" w:sz="8" w:space="0" w:color="auto"/>
            </w:tcBorders>
            <w:shd w:val="clear" w:color="auto" w:fill="auto"/>
            <w:vAlign w:val="center"/>
            <w:hideMark/>
          </w:tcPr>
          <w:p w14:paraId="5FADD9A8" w14:textId="77777777" w:rsidR="005C6889" w:rsidRPr="004F40D9" w:rsidRDefault="005C6889" w:rsidP="005C6889">
            <w:pPr>
              <w:rPr>
                <w:rFonts w:ascii="Arial Narrow" w:eastAsia="Times New Roman" w:hAnsi="Arial Narrow" w:cs="Calibri"/>
                <w:b/>
                <w:bCs/>
                <w:color w:val="000000"/>
                <w:sz w:val="22"/>
                <w:szCs w:val="22"/>
              </w:rPr>
            </w:pPr>
            <w:r w:rsidRPr="004F40D9">
              <w:rPr>
                <w:rFonts w:ascii="Arial Narrow" w:eastAsia="Times New Roman" w:hAnsi="Arial Narrow" w:cs="Calibri"/>
                <w:b/>
                <w:bCs/>
                <w:color w:val="000000"/>
                <w:sz w:val="22"/>
                <w:szCs w:val="22"/>
              </w:rPr>
              <w:t> </w:t>
            </w:r>
          </w:p>
        </w:tc>
        <w:tc>
          <w:tcPr>
            <w:tcW w:w="1882" w:type="dxa"/>
            <w:tcBorders>
              <w:top w:val="single" w:sz="8" w:space="0" w:color="auto"/>
              <w:left w:val="nil"/>
              <w:bottom w:val="single" w:sz="8" w:space="0" w:color="auto"/>
              <w:right w:val="single" w:sz="8" w:space="0" w:color="auto"/>
            </w:tcBorders>
            <w:shd w:val="clear" w:color="auto" w:fill="auto"/>
            <w:vAlign w:val="center"/>
            <w:hideMark/>
          </w:tcPr>
          <w:p w14:paraId="2B83E1DE" w14:textId="77777777" w:rsidR="005C6889" w:rsidRPr="004F40D9" w:rsidRDefault="005C6889" w:rsidP="005C6889">
            <w:pPr>
              <w:jc w:val="center"/>
              <w:rPr>
                <w:rFonts w:ascii="Arial Narrow" w:eastAsia="Times New Roman" w:hAnsi="Arial Narrow" w:cs="Calibri"/>
                <w:b/>
                <w:bCs/>
                <w:color w:val="000000"/>
                <w:sz w:val="22"/>
                <w:szCs w:val="22"/>
              </w:rPr>
            </w:pPr>
            <w:r w:rsidRPr="004F40D9">
              <w:rPr>
                <w:rFonts w:ascii="Arial Narrow" w:eastAsia="Times New Roman" w:hAnsi="Arial Narrow" w:cs="Calibri"/>
                <w:b/>
                <w:bCs/>
                <w:color w:val="000000"/>
                <w:sz w:val="22"/>
                <w:szCs w:val="22"/>
              </w:rPr>
              <w:t xml:space="preserve">DGCN </w:t>
            </w:r>
          </w:p>
        </w:tc>
      </w:tr>
      <w:tr w:rsidR="005C6889" w:rsidRPr="004F40D9" w14:paraId="6471467A" w14:textId="77777777" w:rsidTr="004F40D9">
        <w:trPr>
          <w:gridAfter w:val="1"/>
          <w:wAfter w:w="9" w:type="dxa"/>
          <w:trHeight w:val="320"/>
        </w:trPr>
        <w:tc>
          <w:tcPr>
            <w:tcW w:w="537" w:type="dxa"/>
            <w:tcBorders>
              <w:top w:val="nil"/>
              <w:left w:val="single" w:sz="8" w:space="0" w:color="auto"/>
              <w:bottom w:val="single" w:sz="8" w:space="0" w:color="auto"/>
              <w:right w:val="single" w:sz="8" w:space="0" w:color="auto"/>
            </w:tcBorders>
            <w:shd w:val="clear" w:color="auto" w:fill="auto"/>
            <w:vAlign w:val="center"/>
            <w:hideMark/>
          </w:tcPr>
          <w:p w14:paraId="3611E938" w14:textId="77777777" w:rsidR="005C6889" w:rsidRPr="004F40D9" w:rsidRDefault="005C6889" w:rsidP="004F40D9">
            <w:pPr>
              <w:jc w:val="center"/>
              <w:rPr>
                <w:rFonts w:ascii="Arial Narrow" w:eastAsia="Times New Roman" w:hAnsi="Arial Narrow"/>
                <w:b/>
                <w:bCs/>
                <w:color w:val="000000"/>
                <w:sz w:val="22"/>
                <w:szCs w:val="22"/>
              </w:rPr>
            </w:pPr>
            <w:r w:rsidRPr="004F40D9">
              <w:rPr>
                <w:rFonts w:ascii="Arial Narrow" w:eastAsia="Times New Roman" w:hAnsi="Arial Narrow"/>
                <w:b/>
                <w:bCs/>
                <w:color w:val="000000"/>
                <w:sz w:val="22"/>
                <w:szCs w:val="22"/>
              </w:rPr>
              <w:t>6</w:t>
            </w:r>
          </w:p>
        </w:tc>
        <w:tc>
          <w:tcPr>
            <w:tcW w:w="706" w:type="dxa"/>
            <w:tcBorders>
              <w:top w:val="nil"/>
              <w:left w:val="nil"/>
              <w:bottom w:val="single" w:sz="8" w:space="0" w:color="auto"/>
              <w:right w:val="single" w:sz="8" w:space="0" w:color="auto"/>
            </w:tcBorders>
            <w:shd w:val="clear" w:color="auto" w:fill="auto"/>
            <w:vAlign w:val="center"/>
            <w:hideMark/>
          </w:tcPr>
          <w:p w14:paraId="682CCF40" w14:textId="77777777" w:rsidR="005C6889" w:rsidRPr="004F40D9" w:rsidRDefault="005C6889" w:rsidP="004F40D9">
            <w:pPr>
              <w:ind w:firstLineChars="25" w:firstLine="55"/>
              <w:jc w:val="center"/>
              <w:rPr>
                <w:rFonts w:ascii="Arial Narrow" w:eastAsia="Times New Roman" w:hAnsi="Arial Narrow"/>
                <w:b/>
                <w:bCs/>
                <w:color w:val="000000"/>
                <w:sz w:val="22"/>
                <w:szCs w:val="22"/>
              </w:rPr>
            </w:pPr>
            <w:r w:rsidRPr="004F40D9">
              <w:rPr>
                <w:rFonts w:ascii="Arial Narrow" w:eastAsia="Times New Roman" w:hAnsi="Arial Narrow"/>
                <w:b/>
                <w:bCs/>
                <w:color w:val="000000"/>
                <w:sz w:val="22"/>
                <w:szCs w:val="22"/>
              </w:rPr>
              <w:t>24</w:t>
            </w:r>
          </w:p>
        </w:tc>
        <w:tc>
          <w:tcPr>
            <w:tcW w:w="517" w:type="dxa"/>
            <w:tcBorders>
              <w:top w:val="nil"/>
              <w:left w:val="nil"/>
              <w:bottom w:val="single" w:sz="8" w:space="0" w:color="auto"/>
              <w:right w:val="nil"/>
            </w:tcBorders>
            <w:shd w:val="clear" w:color="auto" w:fill="auto"/>
            <w:vAlign w:val="center"/>
            <w:hideMark/>
          </w:tcPr>
          <w:p w14:paraId="1A17B626" w14:textId="77777777" w:rsidR="005C6889" w:rsidRPr="004F40D9" w:rsidRDefault="005C6889" w:rsidP="005C6889">
            <w:pPr>
              <w:jc w:val="center"/>
              <w:rPr>
                <w:rFonts w:ascii="Arial Narrow" w:eastAsia="Times New Roman" w:hAnsi="Arial Narrow" w:cs="Calibri"/>
                <w:b/>
                <w:bCs/>
                <w:color w:val="000000"/>
                <w:sz w:val="22"/>
                <w:szCs w:val="22"/>
              </w:rPr>
            </w:pPr>
            <w:r w:rsidRPr="004F40D9">
              <w:rPr>
                <w:rFonts w:ascii="Arial Narrow" w:eastAsia="Times New Roman" w:hAnsi="Arial Narrow" w:cs="Calibri"/>
                <w:b/>
                <w:bCs/>
                <w:color w:val="000000"/>
                <w:sz w:val="22"/>
                <w:szCs w:val="22"/>
              </w:rPr>
              <w:t>1</w:t>
            </w:r>
          </w:p>
        </w:tc>
        <w:tc>
          <w:tcPr>
            <w:tcW w:w="3720" w:type="dxa"/>
            <w:tcBorders>
              <w:top w:val="nil"/>
              <w:left w:val="single" w:sz="8" w:space="0" w:color="auto"/>
              <w:bottom w:val="single" w:sz="8" w:space="0" w:color="auto"/>
              <w:right w:val="single" w:sz="8" w:space="0" w:color="auto"/>
            </w:tcBorders>
            <w:shd w:val="clear" w:color="auto" w:fill="auto"/>
            <w:vAlign w:val="center"/>
            <w:hideMark/>
          </w:tcPr>
          <w:p w14:paraId="1AB398DD" w14:textId="77777777" w:rsidR="005C6889" w:rsidRPr="004F40D9" w:rsidRDefault="005C6889" w:rsidP="005C6889">
            <w:pPr>
              <w:rPr>
                <w:rFonts w:ascii="Arial Narrow" w:eastAsia="Times New Roman" w:hAnsi="Arial Narrow"/>
                <w:b/>
                <w:bCs/>
                <w:color w:val="000000"/>
                <w:sz w:val="22"/>
                <w:szCs w:val="22"/>
              </w:rPr>
            </w:pPr>
            <w:r w:rsidRPr="004F40D9">
              <w:rPr>
                <w:rFonts w:ascii="Arial Narrow" w:eastAsia="Times New Roman" w:hAnsi="Arial Narrow"/>
                <w:b/>
                <w:bCs/>
                <w:color w:val="000000"/>
                <w:sz w:val="22"/>
                <w:szCs w:val="22"/>
              </w:rPr>
              <w:t>Exposición de saldo nulo</w:t>
            </w:r>
          </w:p>
        </w:tc>
        <w:tc>
          <w:tcPr>
            <w:tcW w:w="2023" w:type="dxa"/>
            <w:tcBorders>
              <w:top w:val="nil"/>
              <w:left w:val="nil"/>
              <w:bottom w:val="single" w:sz="8" w:space="0" w:color="auto"/>
              <w:right w:val="single" w:sz="8" w:space="0" w:color="auto"/>
            </w:tcBorders>
            <w:shd w:val="clear" w:color="auto" w:fill="auto"/>
            <w:vAlign w:val="center"/>
            <w:hideMark/>
          </w:tcPr>
          <w:p w14:paraId="76FC0D94" w14:textId="77777777" w:rsidR="005C6889" w:rsidRPr="004F40D9" w:rsidRDefault="005C6889" w:rsidP="005C6889">
            <w:pPr>
              <w:rPr>
                <w:rFonts w:ascii="Arial Narrow" w:eastAsia="Times New Roman" w:hAnsi="Arial Narrow" w:cs="Calibri"/>
                <w:b/>
                <w:bCs/>
                <w:color w:val="000000"/>
                <w:sz w:val="22"/>
                <w:szCs w:val="22"/>
              </w:rPr>
            </w:pPr>
            <w:r w:rsidRPr="004F40D9">
              <w:rPr>
                <w:rFonts w:ascii="Arial Narrow" w:eastAsia="Times New Roman" w:hAnsi="Arial Narrow" w:cs="Calibri"/>
                <w:b/>
                <w:bCs/>
                <w:color w:val="000000"/>
                <w:sz w:val="22"/>
                <w:szCs w:val="22"/>
              </w:rPr>
              <w:t> </w:t>
            </w:r>
          </w:p>
        </w:tc>
        <w:tc>
          <w:tcPr>
            <w:tcW w:w="1882" w:type="dxa"/>
            <w:tcBorders>
              <w:top w:val="nil"/>
              <w:left w:val="nil"/>
              <w:bottom w:val="single" w:sz="8" w:space="0" w:color="auto"/>
              <w:right w:val="single" w:sz="8" w:space="0" w:color="auto"/>
            </w:tcBorders>
            <w:shd w:val="clear" w:color="auto" w:fill="auto"/>
            <w:vAlign w:val="center"/>
            <w:hideMark/>
          </w:tcPr>
          <w:p w14:paraId="3EA1E8EB" w14:textId="77777777" w:rsidR="005C6889" w:rsidRPr="004F40D9" w:rsidRDefault="005C6889" w:rsidP="005C6889">
            <w:pPr>
              <w:jc w:val="center"/>
              <w:rPr>
                <w:rFonts w:ascii="Arial Narrow" w:eastAsia="Times New Roman" w:hAnsi="Arial Narrow" w:cs="Calibri"/>
                <w:b/>
                <w:bCs/>
                <w:color w:val="000000"/>
                <w:sz w:val="22"/>
                <w:szCs w:val="22"/>
              </w:rPr>
            </w:pPr>
            <w:r w:rsidRPr="004F40D9">
              <w:rPr>
                <w:rFonts w:ascii="Arial Narrow" w:eastAsia="Times New Roman" w:hAnsi="Arial Narrow" w:cs="Calibri"/>
                <w:b/>
                <w:bCs/>
                <w:color w:val="000000"/>
                <w:sz w:val="22"/>
                <w:szCs w:val="22"/>
              </w:rPr>
              <w:t xml:space="preserve">DGCN </w:t>
            </w:r>
          </w:p>
        </w:tc>
      </w:tr>
    </w:tbl>
    <w:p w14:paraId="015AC9D1" w14:textId="77777777" w:rsidR="00F57D66" w:rsidRDefault="00F57D66" w:rsidP="00B81FB3">
      <w:pPr>
        <w:pStyle w:val="Default"/>
        <w:jc w:val="both"/>
        <w:rPr>
          <w:sz w:val="22"/>
          <w:szCs w:val="22"/>
          <w:lang w:val="es-CR"/>
        </w:rPr>
      </w:pPr>
    </w:p>
    <w:p w14:paraId="055985D7" w14:textId="77777777" w:rsidR="004F40D9" w:rsidRDefault="004F40D9" w:rsidP="004F40D9">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1F471767" w14:textId="77777777" w:rsidR="004F40D9" w:rsidRDefault="004F40D9" w:rsidP="00B81FB3">
      <w:pPr>
        <w:pStyle w:val="Default"/>
        <w:jc w:val="both"/>
        <w:rPr>
          <w:sz w:val="22"/>
          <w:szCs w:val="22"/>
          <w:lang w:val="es-CR"/>
        </w:rPr>
      </w:pPr>
    </w:p>
    <w:p w14:paraId="0325C50A" w14:textId="17AE9500" w:rsidR="005C6889" w:rsidRDefault="005C6889" w:rsidP="005C6889">
      <w:pPr>
        <w:pStyle w:val="Default"/>
        <w:ind w:left="1134" w:hanging="1134"/>
        <w:jc w:val="both"/>
        <w:rPr>
          <w:sz w:val="22"/>
          <w:szCs w:val="22"/>
          <w:lang w:val="es-CR"/>
        </w:rPr>
      </w:pPr>
      <w:r>
        <w:rPr>
          <w:sz w:val="22"/>
          <w:szCs w:val="22"/>
          <w:lang w:val="es-CR"/>
        </w:rPr>
        <w:t>6.24.0.01</w:t>
      </w:r>
      <w:r>
        <w:rPr>
          <w:sz w:val="22"/>
          <w:szCs w:val="22"/>
          <w:lang w:val="es-CR"/>
        </w:rPr>
        <w:tab/>
      </w:r>
      <w:r w:rsidRPr="005C6889">
        <w:rPr>
          <w:sz w:val="22"/>
          <w:szCs w:val="22"/>
          <w:lang w:val="es-CR"/>
        </w:rPr>
        <w:t>En el Anexo I se adjunta el modelo que rige la presentación de un ESF y la información en él contenida, es la mínima que</w:t>
      </w:r>
      <w:r>
        <w:rPr>
          <w:sz w:val="22"/>
          <w:szCs w:val="22"/>
          <w:lang w:val="es-CR"/>
        </w:rPr>
        <w:t xml:space="preserve"> solicita cumplir la DGCN a</w:t>
      </w:r>
      <w:r w:rsidRPr="005C6889">
        <w:rPr>
          <w:sz w:val="22"/>
          <w:szCs w:val="22"/>
          <w:lang w:val="es-CR"/>
        </w:rPr>
        <w:t xml:space="preserve"> las entidades gubernamentales.</w:t>
      </w:r>
    </w:p>
    <w:p w14:paraId="7BFDCEDF" w14:textId="77777777" w:rsidR="005C6889" w:rsidRPr="005C6889" w:rsidRDefault="005C6889" w:rsidP="005C6889">
      <w:pPr>
        <w:pStyle w:val="Default"/>
        <w:ind w:left="1134" w:hanging="1134"/>
        <w:jc w:val="both"/>
        <w:rPr>
          <w:sz w:val="22"/>
          <w:szCs w:val="22"/>
          <w:lang w:val="es-CR"/>
        </w:rPr>
      </w:pPr>
    </w:p>
    <w:p w14:paraId="0DCD4264" w14:textId="10D7AFFB" w:rsidR="00F57D66" w:rsidRPr="005C6889" w:rsidRDefault="005C6889" w:rsidP="005C6889">
      <w:pPr>
        <w:pStyle w:val="Default"/>
        <w:ind w:left="1134" w:hanging="1134"/>
        <w:jc w:val="both"/>
        <w:rPr>
          <w:sz w:val="22"/>
          <w:szCs w:val="22"/>
          <w:lang w:val="es-CR"/>
        </w:rPr>
      </w:pPr>
      <w:r>
        <w:rPr>
          <w:sz w:val="22"/>
          <w:szCs w:val="22"/>
          <w:lang w:val="es-CR"/>
        </w:rPr>
        <w:lastRenderedPageBreak/>
        <w:t>6.24.</w:t>
      </w:r>
      <w:r w:rsidRPr="005C6889">
        <w:rPr>
          <w:sz w:val="22"/>
          <w:szCs w:val="22"/>
          <w:lang w:val="es-CR"/>
        </w:rPr>
        <w:t>1.</w:t>
      </w:r>
      <w:r>
        <w:rPr>
          <w:sz w:val="22"/>
          <w:szCs w:val="22"/>
          <w:lang w:val="es-CR"/>
        </w:rPr>
        <w:t>01</w:t>
      </w:r>
      <w:r>
        <w:rPr>
          <w:sz w:val="22"/>
          <w:szCs w:val="22"/>
          <w:lang w:val="es-CR"/>
        </w:rPr>
        <w:tab/>
      </w:r>
      <w:r w:rsidRPr="005C6889">
        <w:rPr>
          <w:sz w:val="22"/>
          <w:szCs w:val="22"/>
          <w:lang w:val="es-CR"/>
        </w:rPr>
        <w:t>En los Estados a presentar a la DGCN deberá establecerse, en nota aclaratoria, si la entidad no presenta saldos ni ha tenido transacciones en algunas de sus partidas o componentes, debiendo exponer las mismas aun teniendo saldo nulo.</w:t>
      </w:r>
    </w:p>
    <w:p w14:paraId="2FB952B1" w14:textId="77777777" w:rsidR="00F57D66" w:rsidRDefault="00F57D66" w:rsidP="00B81FB3">
      <w:pPr>
        <w:pStyle w:val="Default"/>
        <w:jc w:val="both"/>
        <w:rPr>
          <w:sz w:val="22"/>
          <w:szCs w:val="22"/>
          <w:lang w:val="es-CR"/>
        </w:rPr>
      </w:pPr>
    </w:p>
    <w:p w14:paraId="050480ED" w14:textId="77777777" w:rsidR="004F40D9" w:rsidRDefault="004F40D9" w:rsidP="00B81FB3">
      <w:pPr>
        <w:pStyle w:val="Default"/>
        <w:jc w:val="both"/>
        <w:rPr>
          <w:sz w:val="22"/>
          <w:szCs w:val="22"/>
          <w:lang w:val="es-CR"/>
        </w:rPr>
      </w:pPr>
    </w:p>
    <w:p w14:paraId="668E976F" w14:textId="77777777" w:rsidR="004F40D9" w:rsidRPr="00B81FB3" w:rsidRDefault="004F40D9" w:rsidP="00B81FB3">
      <w:pPr>
        <w:pStyle w:val="Default"/>
        <w:jc w:val="both"/>
        <w:rPr>
          <w:sz w:val="22"/>
          <w:szCs w:val="22"/>
          <w:lang w:val="es-CR"/>
        </w:rPr>
      </w:pPr>
    </w:p>
    <w:p w14:paraId="47DB1220" w14:textId="77777777" w:rsidR="00F57D66" w:rsidRDefault="00F57D66" w:rsidP="00B81FB3">
      <w:pPr>
        <w:pStyle w:val="Default"/>
        <w:jc w:val="both"/>
        <w:rPr>
          <w:sz w:val="22"/>
          <w:szCs w:val="22"/>
          <w:lang w:val="es-CR"/>
        </w:rPr>
      </w:pPr>
    </w:p>
    <w:p w14:paraId="7C309226" w14:textId="00BAE6BA" w:rsidR="005C6889" w:rsidRPr="00B81FB3" w:rsidRDefault="005C6889" w:rsidP="005C6889">
      <w:pPr>
        <w:pStyle w:val="Ttulo2"/>
        <w:ind w:left="284"/>
        <w:rPr>
          <w:rFonts w:ascii="Arial" w:hAnsi="Arial" w:cs="Arial"/>
          <w:sz w:val="22"/>
          <w:szCs w:val="22"/>
          <w:lang w:val="es-CR"/>
        </w:rPr>
      </w:pPr>
      <w:bookmarkStart w:id="176" w:name="_Toc172726311"/>
      <w:r w:rsidRPr="005C6889">
        <w:rPr>
          <w:rFonts w:ascii="Arial" w:eastAsia="Arial" w:hAnsi="Arial" w:cs="Arial"/>
          <w:b/>
          <w:bCs/>
          <w:sz w:val="24"/>
          <w:szCs w:val="24"/>
          <w:lang w:val="es-CR"/>
        </w:rPr>
        <w:t>Estado de Rendimiento Financiero</w:t>
      </w:r>
      <w:bookmarkEnd w:id="176"/>
    </w:p>
    <w:p w14:paraId="25E8E78A" w14:textId="77777777" w:rsidR="00F57D66" w:rsidRPr="00B81FB3" w:rsidRDefault="00F57D66" w:rsidP="00B81FB3">
      <w:pPr>
        <w:pStyle w:val="Default"/>
        <w:jc w:val="both"/>
        <w:rPr>
          <w:sz w:val="22"/>
          <w:szCs w:val="22"/>
          <w:lang w:val="es-CR"/>
        </w:rPr>
      </w:pPr>
    </w:p>
    <w:p w14:paraId="7E4B9DB7" w14:textId="77777777" w:rsidR="00F57D66" w:rsidRPr="00B81FB3" w:rsidRDefault="00F57D66" w:rsidP="00B81FB3">
      <w:pPr>
        <w:pStyle w:val="Default"/>
        <w:jc w:val="both"/>
        <w:rPr>
          <w:sz w:val="22"/>
          <w:szCs w:val="22"/>
          <w:lang w:val="es-CR"/>
        </w:rPr>
      </w:pPr>
    </w:p>
    <w:tbl>
      <w:tblPr>
        <w:tblW w:w="9375" w:type="dxa"/>
        <w:tblLook w:val="04A0" w:firstRow="1" w:lastRow="0" w:firstColumn="1" w:lastColumn="0" w:noHBand="0" w:noVBand="1"/>
      </w:tblPr>
      <w:tblGrid>
        <w:gridCol w:w="416"/>
        <w:gridCol w:w="839"/>
        <w:gridCol w:w="422"/>
        <w:gridCol w:w="14"/>
        <w:gridCol w:w="3675"/>
        <w:gridCol w:w="14"/>
        <w:gridCol w:w="2123"/>
        <w:gridCol w:w="1856"/>
        <w:gridCol w:w="16"/>
      </w:tblGrid>
      <w:tr w:rsidR="005C6889" w:rsidRPr="005C6889" w14:paraId="53CE316D" w14:textId="77777777" w:rsidTr="003F694B">
        <w:trPr>
          <w:trHeight w:val="300"/>
        </w:trPr>
        <w:tc>
          <w:tcPr>
            <w:tcW w:w="1691"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A549914" w14:textId="77777777" w:rsidR="005C6889" w:rsidRPr="005C6889" w:rsidRDefault="005C6889" w:rsidP="005C6889">
            <w:pPr>
              <w:jc w:val="center"/>
              <w:rPr>
                <w:rFonts w:ascii="Arial Narrow" w:eastAsia="Times New Roman" w:hAnsi="Arial Narrow" w:cs="Calibri"/>
                <w:b/>
                <w:bCs/>
                <w:color w:val="FFFFFF"/>
                <w:sz w:val="22"/>
                <w:szCs w:val="22"/>
              </w:rPr>
            </w:pPr>
            <w:r w:rsidRPr="005C6889">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A8165A3" w14:textId="77777777" w:rsidR="005C6889" w:rsidRPr="005C6889" w:rsidRDefault="005C6889" w:rsidP="005C6889">
            <w:pPr>
              <w:jc w:val="center"/>
              <w:rPr>
                <w:rFonts w:ascii="Arial Narrow" w:eastAsia="Times New Roman" w:hAnsi="Arial Narrow" w:cs="Calibri"/>
                <w:b/>
                <w:bCs/>
                <w:color w:val="FFFFFF"/>
                <w:sz w:val="22"/>
                <w:szCs w:val="22"/>
              </w:rPr>
            </w:pPr>
            <w:r w:rsidRPr="005C6889">
              <w:rPr>
                <w:rFonts w:ascii="Arial Narrow" w:eastAsia="Times New Roman" w:hAnsi="Arial Narrow" w:cs="Calibri"/>
                <w:b/>
                <w:bCs/>
                <w:color w:val="FFFFFF"/>
                <w:sz w:val="22"/>
                <w:szCs w:val="22"/>
              </w:rPr>
              <w:t>Concepto</w:t>
            </w:r>
          </w:p>
        </w:tc>
        <w:tc>
          <w:tcPr>
            <w:tcW w:w="3995" w:type="dxa"/>
            <w:gridSpan w:val="3"/>
            <w:tcBorders>
              <w:top w:val="single" w:sz="8" w:space="0" w:color="auto"/>
              <w:left w:val="nil"/>
              <w:bottom w:val="single" w:sz="8" w:space="0" w:color="auto"/>
              <w:right w:val="single" w:sz="8" w:space="0" w:color="000000"/>
            </w:tcBorders>
            <w:shd w:val="clear" w:color="000000" w:fill="203764"/>
            <w:vAlign w:val="center"/>
            <w:hideMark/>
          </w:tcPr>
          <w:p w14:paraId="11250219" w14:textId="77777777" w:rsidR="005C6889" w:rsidRPr="005C6889" w:rsidRDefault="005C6889" w:rsidP="005C6889">
            <w:pPr>
              <w:jc w:val="center"/>
              <w:rPr>
                <w:rFonts w:ascii="Arial Narrow" w:eastAsia="Times New Roman" w:hAnsi="Arial Narrow" w:cs="Calibri"/>
                <w:b/>
                <w:bCs/>
                <w:color w:val="FFFFFF"/>
                <w:sz w:val="22"/>
                <w:szCs w:val="22"/>
              </w:rPr>
            </w:pPr>
            <w:r w:rsidRPr="005C6889">
              <w:rPr>
                <w:rFonts w:ascii="Arial Narrow" w:eastAsia="Times New Roman" w:hAnsi="Arial Narrow" w:cs="Calibri"/>
                <w:b/>
                <w:bCs/>
                <w:color w:val="FFFFFF"/>
                <w:sz w:val="22"/>
                <w:szCs w:val="22"/>
              </w:rPr>
              <w:t>Referencia</w:t>
            </w:r>
          </w:p>
        </w:tc>
      </w:tr>
      <w:tr w:rsidR="005C6889" w:rsidRPr="006E5442" w14:paraId="561D364F" w14:textId="77777777" w:rsidTr="003F694B">
        <w:trPr>
          <w:gridAfter w:val="1"/>
          <w:wAfter w:w="16" w:type="dxa"/>
          <w:trHeight w:val="850"/>
        </w:trPr>
        <w:tc>
          <w:tcPr>
            <w:tcW w:w="1691" w:type="dxa"/>
            <w:gridSpan w:val="4"/>
            <w:vMerge/>
            <w:tcBorders>
              <w:top w:val="single" w:sz="8" w:space="0" w:color="auto"/>
              <w:left w:val="single" w:sz="8" w:space="0" w:color="auto"/>
              <w:bottom w:val="nil"/>
              <w:right w:val="single" w:sz="8" w:space="0" w:color="000000"/>
            </w:tcBorders>
            <w:vAlign w:val="center"/>
            <w:hideMark/>
          </w:tcPr>
          <w:p w14:paraId="284B1337" w14:textId="77777777" w:rsidR="005C6889" w:rsidRPr="005C6889" w:rsidRDefault="005C6889" w:rsidP="005C6889">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632CFF0B" w14:textId="77777777" w:rsidR="005C6889" w:rsidRPr="005C6889" w:rsidRDefault="005C6889" w:rsidP="005C6889">
            <w:pPr>
              <w:rPr>
                <w:rFonts w:ascii="Arial Narrow" w:eastAsia="Times New Roman" w:hAnsi="Arial Narrow" w:cs="Calibri"/>
                <w:b/>
                <w:bCs/>
                <w:color w:val="FFFFFF"/>
                <w:sz w:val="22"/>
                <w:szCs w:val="22"/>
              </w:rPr>
            </w:pPr>
          </w:p>
        </w:tc>
        <w:tc>
          <w:tcPr>
            <w:tcW w:w="2123" w:type="dxa"/>
            <w:tcBorders>
              <w:top w:val="nil"/>
              <w:left w:val="nil"/>
              <w:bottom w:val="nil"/>
              <w:right w:val="single" w:sz="8" w:space="0" w:color="auto"/>
            </w:tcBorders>
            <w:shd w:val="clear" w:color="000000" w:fill="203764"/>
            <w:vAlign w:val="center"/>
            <w:hideMark/>
          </w:tcPr>
          <w:p w14:paraId="50412F92" w14:textId="77777777" w:rsidR="005C6889" w:rsidRPr="005C6889" w:rsidRDefault="005C6889" w:rsidP="005C6889">
            <w:pPr>
              <w:jc w:val="center"/>
              <w:rPr>
                <w:rFonts w:ascii="Arial Narrow" w:eastAsia="Times New Roman" w:hAnsi="Arial Narrow" w:cs="Calibri"/>
                <w:b/>
                <w:bCs/>
                <w:color w:val="FFFFFF"/>
                <w:sz w:val="22"/>
                <w:szCs w:val="22"/>
              </w:rPr>
            </w:pPr>
            <w:r w:rsidRPr="005C6889">
              <w:rPr>
                <w:rFonts w:ascii="Arial Narrow" w:eastAsia="Times New Roman" w:hAnsi="Arial Narrow" w:cs="Calibri"/>
                <w:b/>
                <w:bCs/>
                <w:color w:val="FFFFFF"/>
                <w:sz w:val="22"/>
                <w:szCs w:val="22"/>
              </w:rPr>
              <w:t>Norma</w:t>
            </w:r>
          </w:p>
        </w:tc>
        <w:tc>
          <w:tcPr>
            <w:tcW w:w="1856" w:type="dxa"/>
            <w:tcBorders>
              <w:top w:val="nil"/>
              <w:left w:val="nil"/>
              <w:bottom w:val="nil"/>
              <w:right w:val="single" w:sz="8" w:space="0" w:color="auto"/>
            </w:tcBorders>
            <w:shd w:val="clear" w:color="000000" w:fill="203764"/>
            <w:vAlign w:val="center"/>
            <w:hideMark/>
          </w:tcPr>
          <w:p w14:paraId="6FCAE76D" w14:textId="77777777" w:rsidR="005C6889" w:rsidRPr="005C6889" w:rsidRDefault="005C6889" w:rsidP="005C6889">
            <w:pPr>
              <w:jc w:val="center"/>
              <w:rPr>
                <w:rFonts w:ascii="Arial Narrow" w:eastAsia="Times New Roman" w:hAnsi="Arial Narrow" w:cs="Calibri"/>
                <w:b/>
                <w:bCs/>
                <w:color w:val="FFFFFF"/>
                <w:sz w:val="22"/>
                <w:szCs w:val="22"/>
                <w:lang w:val="es-CR"/>
              </w:rPr>
            </w:pPr>
            <w:r w:rsidRPr="005C6889">
              <w:rPr>
                <w:rFonts w:ascii="Arial Narrow" w:eastAsia="Times New Roman" w:hAnsi="Arial Narrow" w:cs="Calibri"/>
                <w:b/>
                <w:bCs/>
                <w:color w:val="FFFFFF"/>
                <w:sz w:val="22"/>
                <w:szCs w:val="22"/>
                <w:lang w:val="es-CR"/>
              </w:rPr>
              <w:t>Normativa técnica y disposiciones adicionales</w:t>
            </w:r>
          </w:p>
        </w:tc>
      </w:tr>
      <w:tr w:rsidR="005C6889" w:rsidRPr="005C6889" w14:paraId="1B57F025" w14:textId="77777777" w:rsidTr="003F694B">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B95C53" w14:textId="77777777" w:rsidR="005C6889" w:rsidRPr="005C6889" w:rsidRDefault="005C6889" w:rsidP="005C6889">
            <w:pPr>
              <w:jc w:val="center"/>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6</w:t>
            </w:r>
          </w:p>
        </w:tc>
        <w:tc>
          <w:tcPr>
            <w:tcW w:w="839" w:type="dxa"/>
            <w:tcBorders>
              <w:top w:val="single" w:sz="8" w:space="0" w:color="auto"/>
              <w:left w:val="nil"/>
              <w:bottom w:val="single" w:sz="8" w:space="0" w:color="auto"/>
              <w:right w:val="single" w:sz="8" w:space="0" w:color="auto"/>
            </w:tcBorders>
            <w:shd w:val="clear" w:color="auto" w:fill="auto"/>
            <w:noWrap/>
            <w:vAlign w:val="center"/>
            <w:hideMark/>
          </w:tcPr>
          <w:p w14:paraId="1717BE03" w14:textId="77777777" w:rsidR="005C6889" w:rsidRPr="005C6889" w:rsidRDefault="005C6889" w:rsidP="005C6889">
            <w:pPr>
              <w:jc w:val="center"/>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25</w:t>
            </w:r>
          </w:p>
        </w:tc>
        <w:tc>
          <w:tcPr>
            <w:tcW w:w="422" w:type="dxa"/>
            <w:tcBorders>
              <w:top w:val="single" w:sz="8" w:space="0" w:color="auto"/>
              <w:left w:val="nil"/>
              <w:bottom w:val="single" w:sz="8" w:space="0" w:color="auto"/>
              <w:right w:val="single" w:sz="8" w:space="0" w:color="auto"/>
            </w:tcBorders>
            <w:shd w:val="clear" w:color="auto" w:fill="auto"/>
            <w:vAlign w:val="center"/>
            <w:hideMark/>
          </w:tcPr>
          <w:p w14:paraId="04E1351D" w14:textId="77777777" w:rsidR="005C6889" w:rsidRPr="005C6889" w:rsidRDefault="005C6889" w:rsidP="005C6889">
            <w:pPr>
              <w:jc w:val="center"/>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4EBF399B" w14:textId="77777777" w:rsidR="005C6889" w:rsidRPr="005C6889" w:rsidRDefault="005C6889" w:rsidP="005C6889">
            <w:pPr>
              <w:jc w:val="both"/>
              <w:rPr>
                <w:rFonts w:ascii="Arial Narrow" w:eastAsia="Times New Roman" w:hAnsi="Arial Narrow" w:cs="Calibri"/>
                <w:b/>
                <w:bCs/>
                <w:color w:val="000000"/>
                <w:sz w:val="22"/>
                <w:szCs w:val="22"/>
                <w:lang w:val="es-CR"/>
              </w:rPr>
            </w:pPr>
            <w:r w:rsidRPr="005C6889">
              <w:rPr>
                <w:rFonts w:ascii="Arial Narrow" w:eastAsia="Times New Roman" w:hAnsi="Arial Narrow" w:cs="Calibri"/>
                <w:b/>
                <w:bCs/>
                <w:color w:val="000000"/>
                <w:sz w:val="22"/>
                <w:szCs w:val="22"/>
                <w:lang w:val="es-CR"/>
              </w:rPr>
              <w:t>Resultado (ahorro / desahorro) del período</w:t>
            </w:r>
          </w:p>
        </w:tc>
        <w:tc>
          <w:tcPr>
            <w:tcW w:w="2137" w:type="dxa"/>
            <w:gridSpan w:val="2"/>
            <w:tcBorders>
              <w:top w:val="single" w:sz="8" w:space="0" w:color="auto"/>
              <w:left w:val="nil"/>
              <w:bottom w:val="single" w:sz="8" w:space="0" w:color="auto"/>
              <w:right w:val="single" w:sz="8" w:space="0" w:color="auto"/>
            </w:tcBorders>
            <w:shd w:val="clear" w:color="auto" w:fill="auto"/>
            <w:vAlign w:val="center"/>
            <w:hideMark/>
          </w:tcPr>
          <w:p w14:paraId="4CC7D1B4" w14:textId="77777777" w:rsidR="005C6889" w:rsidRDefault="005C6889" w:rsidP="005C6889">
            <w:pPr>
              <w:jc w:val="both"/>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NICSP N° 1,</w:t>
            </w:r>
          </w:p>
          <w:p w14:paraId="1911BF43" w14:textId="35A9C3C3" w:rsidR="005C6889" w:rsidRPr="005C6889" w:rsidRDefault="005C6889" w:rsidP="005C6889">
            <w:pPr>
              <w:jc w:val="both"/>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Párrafo 99.</w:t>
            </w:r>
          </w:p>
        </w:tc>
        <w:tc>
          <w:tcPr>
            <w:tcW w:w="1870" w:type="dxa"/>
            <w:gridSpan w:val="2"/>
            <w:tcBorders>
              <w:top w:val="single" w:sz="8" w:space="0" w:color="auto"/>
              <w:left w:val="nil"/>
              <w:bottom w:val="single" w:sz="8" w:space="0" w:color="auto"/>
              <w:right w:val="single" w:sz="8" w:space="0" w:color="auto"/>
            </w:tcBorders>
            <w:shd w:val="clear" w:color="auto" w:fill="auto"/>
            <w:vAlign w:val="center"/>
            <w:hideMark/>
          </w:tcPr>
          <w:p w14:paraId="58E3198C" w14:textId="77777777" w:rsidR="005C6889" w:rsidRPr="005C6889" w:rsidRDefault="005C6889" w:rsidP="005C6889">
            <w:pPr>
              <w:jc w:val="center"/>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 xml:space="preserve"> </w:t>
            </w:r>
          </w:p>
        </w:tc>
      </w:tr>
    </w:tbl>
    <w:p w14:paraId="15DB26B5" w14:textId="77777777" w:rsidR="00F57D66" w:rsidRDefault="00F57D66" w:rsidP="00B81FB3">
      <w:pPr>
        <w:pStyle w:val="Default"/>
        <w:jc w:val="both"/>
        <w:rPr>
          <w:sz w:val="22"/>
          <w:szCs w:val="22"/>
          <w:lang w:val="es-CR"/>
        </w:rPr>
      </w:pPr>
    </w:p>
    <w:p w14:paraId="556E8540"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32D2A0C5" w14:textId="77777777" w:rsidR="003F694B" w:rsidRPr="00B81FB3" w:rsidRDefault="003F694B" w:rsidP="00B81FB3">
      <w:pPr>
        <w:pStyle w:val="Default"/>
        <w:jc w:val="both"/>
        <w:rPr>
          <w:sz w:val="22"/>
          <w:szCs w:val="22"/>
          <w:lang w:val="es-CR"/>
        </w:rPr>
      </w:pPr>
    </w:p>
    <w:p w14:paraId="3079C08C" w14:textId="3E0081FB" w:rsidR="00F57D66" w:rsidRPr="005C6889" w:rsidRDefault="005C6889" w:rsidP="005C6889">
      <w:pPr>
        <w:pStyle w:val="Default"/>
        <w:ind w:left="1134" w:hanging="1134"/>
        <w:jc w:val="both"/>
        <w:rPr>
          <w:sz w:val="22"/>
          <w:szCs w:val="22"/>
          <w:lang w:val="es-CR"/>
        </w:rPr>
      </w:pPr>
      <w:r w:rsidRPr="005C6889">
        <w:rPr>
          <w:sz w:val="22"/>
          <w:szCs w:val="22"/>
          <w:lang w:val="es-CR"/>
        </w:rPr>
        <w:t>6.25.0.01</w:t>
      </w:r>
      <w:r w:rsidRPr="005C6889">
        <w:rPr>
          <w:sz w:val="22"/>
          <w:szCs w:val="22"/>
          <w:lang w:val="es-CR"/>
        </w:rPr>
        <w:tab/>
        <w:t>Todas las partidas de ingresos y gastos reconocidas en un período deberán incluirse en el resultado del mismo, a menos que una NICSP establezca lo contrario.</w:t>
      </w:r>
    </w:p>
    <w:p w14:paraId="2AA0F279" w14:textId="77777777" w:rsidR="00F57D66" w:rsidRDefault="00F57D66" w:rsidP="00B81FB3">
      <w:pPr>
        <w:pStyle w:val="Default"/>
        <w:jc w:val="both"/>
        <w:rPr>
          <w:sz w:val="22"/>
          <w:szCs w:val="22"/>
          <w:lang w:val="es-CR"/>
        </w:rPr>
      </w:pPr>
    </w:p>
    <w:p w14:paraId="1AD91657" w14:textId="77777777" w:rsidR="003F694B" w:rsidRPr="00B81FB3" w:rsidRDefault="003F694B" w:rsidP="00B81FB3">
      <w:pPr>
        <w:pStyle w:val="Default"/>
        <w:jc w:val="both"/>
        <w:rPr>
          <w:sz w:val="22"/>
          <w:szCs w:val="22"/>
          <w:lang w:val="es-CR"/>
        </w:rPr>
      </w:pPr>
    </w:p>
    <w:p w14:paraId="65E7C99A" w14:textId="77777777" w:rsidR="00F57D66" w:rsidRPr="00B81FB3" w:rsidRDefault="00F57D66" w:rsidP="00B81FB3">
      <w:pPr>
        <w:pStyle w:val="Default"/>
        <w:jc w:val="both"/>
        <w:rPr>
          <w:sz w:val="22"/>
          <w:szCs w:val="22"/>
          <w:lang w:val="es-CR"/>
        </w:rPr>
      </w:pPr>
    </w:p>
    <w:tbl>
      <w:tblPr>
        <w:tblW w:w="9346" w:type="dxa"/>
        <w:tblLook w:val="04A0" w:firstRow="1" w:lastRow="0" w:firstColumn="1" w:lastColumn="0" w:noHBand="0" w:noVBand="1"/>
      </w:tblPr>
      <w:tblGrid>
        <w:gridCol w:w="416"/>
        <w:gridCol w:w="708"/>
        <w:gridCol w:w="421"/>
        <w:gridCol w:w="15"/>
        <w:gridCol w:w="3674"/>
        <w:gridCol w:w="15"/>
        <w:gridCol w:w="2238"/>
        <w:gridCol w:w="15"/>
        <w:gridCol w:w="1844"/>
      </w:tblGrid>
      <w:tr w:rsidR="005C6889" w:rsidRPr="005C6889" w14:paraId="1374CD78" w14:textId="77777777" w:rsidTr="003F694B">
        <w:trPr>
          <w:trHeight w:val="300"/>
        </w:trPr>
        <w:tc>
          <w:tcPr>
            <w:tcW w:w="1560"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8B87828" w14:textId="77777777" w:rsidR="005C6889" w:rsidRPr="005C6889" w:rsidRDefault="005C6889" w:rsidP="005C6889">
            <w:pPr>
              <w:jc w:val="center"/>
              <w:rPr>
                <w:rFonts w:ascii="Arial Narrow" w:eastAsia="Times New Roman" w:hAnsi="Arial Narrow" w:cs="Calibri"/>
                <w:b/>
                <w:bCs/>
                <w:color w:val="FFFFFF"/>
                <w:sz w:val="22"/>
                <w:szCs w:val="22"/>
              </w:rPr>
            </w:pPr>
            <w:r w:rsidRPr="005C6889">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7E65446" w14:textId="77777777" w:rsidR="005C6889" w:rsidRPr="005C6889" w:rsidRDefault="005C6889" w:rsidP="005C6889">
            <w:pPr>
              <w:jc w:val="center"/>
              <w:rPr>
                <w:rFonts w:ascii="Arial Narrow" w:eastAsia="Times New Roman" w:hAnsi="Arial Narrow" w:cs="Calibri"/>
                <w:b/>
                <w:bCs/>
                <w:color w:val="FFFFFF"/>
                <w:sz w:val="22"/>
                <w:szCs w:val="22"/>
              </w:rPr>
            </w:pPr>
            <w:r w:rsidRPr="005C6889">
              <w:rPr>
                <w:rFonts w:ascii="Arial Narrow" w:eastAsia="Times New Roman" w:hAnsi="Arial Narrow" w:cs="Calibri"/>
                <w:b/>
                <w:bCs/>
                <w:color w:val="FFFFFF"/>
                <w:sz w:val="22"/>
                <w:szCs w:val="22"/>
              </w:rPr>
              <w:t>Concepto</w:t>
            </w:r>
          </w:p>
        </w:tc>
        <w:tc>
          <w:tcPr>
            <w:tcW w:w="4097" w:type="dxa"/>
            <w:gridSpan w:val="3"/>
            <w:tcBorders>
              <w:top w:val="single" w:sz="8" w:space="0" w:color="auto"/>
              <w:left w:val="nil"/>
              <w:bottom w:val="single" w:sz="8" w:space="0" w:color="auto"/>
              <w:right w:val="single" w:sz="8" w:space="0" w:color="000000"/>
            </w:tcBorders>
            <w:shd w:val="clear" w:color="000000" w:fill="203764"/>
            <w:vAlign w:val="center"/>
            <w:hideMark/>
          </w:tcPr>
          <w:p w14:paraId="6A3BCEAE" w14:textId="77777777" w:rsidR="005C6889" w:rsidRPr="005C6889" w:rsidRDefault="005C6889" w:rsidP="005C6889">
            <w:pPr>
              <w:jc w:val="center"/>
              <w:rPr>
                <w:rFonts w:ascii="Arial Narrow" w:eastAsia="Times New Roman" w:hAnsi="Arial Narrow" w:cs="Calibri"/>
                <w:b/>
                <w:bCs/>
                <w:color w:val="FFFFFF"/>
                <w:sz w:val="22"/>
                <w:szCs w:val="22"/>
              </w:rPr>
            </w:pPr>
            <w:r w:rsidRPr="005C6889">
              <w:rPr>
                <w:rFonts w:ascii="Arial Narrow" w:eastAsia="Times New Roman" w:hAnsi="Arial Narrow" w:cs="Calibri"/>
                <w:b/>
                <w:bCs/>
                <w:color w:val="FFFFFF"/>
                <w:sz w:val="22"/>
                <w:szCs w:val="22"/>
              </w:rPr>
              <w:t>Referencia</w:t>
            </w:r>
          </w:p>
        </w:tc>
      </w:tr>
      <w:tr w:rsidR="005C6889" w:rsidRPr="006E5442" w14:paraId="5280E055" w14:textId="77777777" w:rsidTr="003F694B">
        <w:trPr>
          <w:trHeight w:val="850"/>
        </w:trPr>
        <w:tc>
          <w:tcPr>
            <w:tcW w:w="1560" w:type="dxa"/>
            <w:gridSpan w:val="4"/>
            <w:vMerge/>
            <w:tcBorders>
              <w:top w:val="single" w:sz="8" w:space="0" w:color="auto"/>
              <w:left w:val="single" w:sz="8" w:space="0" w:color="auto"/>
              <w:bottom w:val="nil"/>
              <w:right w:val="single" w:sz="8" w:space="0" w:color="000000"/>
            </w:tcBorders>
            <w:vAlign w:val="center"/>
            <w:hideMark/>
          </w:tcPr>
          <w:p w14:paraId="02FB296C" w14:textId="77777777" w:rsidR="005C6889" w:rsidRPr="005C6889" w:rsidRDefault="005C6889" w:rsidP="005C6889">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7870C9E1" w14:textId="77777777" w:rsidR="005C6889" w:rsidRPr="005C6889" w:rsidRDefault="005C6889" w:rsidP="005C6889">
            <w:pPr>
              <w:rPr>
                <w:rFonts w:ascii="Arial Narrow" w:eastAsia="Times New Roman" w:hAnsi="Arial Narrow" w:cs="Calibri"/>
                <w:b/>
                <w:bCs/>
                <w:color w:val="FFFFFF"/>
                <w:sz w:val="22"/>
                <w:szCs w:val="22"/>
              </w:rPr>
            </w:pPr>
          </w:p>
        </w:tc>
        <w:tc>
          <w:tcPr>
            <w:tcW w:w="2253" w:type="dxa"/>
            <w:gridSpan w:val="2"/>
            <w:tcBorders>
              <w:top w:val="nil"/>
              <w:left w:val="nil"/>
              <w:bottom w:val="nil"/>
              <w:right w:val="single" w:sz="8" w:space="0" w:color="auto"/>
            </w:tcBorders>
            <w:shd w:val="clear" w:color="000000" w:fill="203764"/>
            <w:vAlign w:val="center"/>
            <w:hideMark/>
          </w:tcPr>
          <w:p w14:paraId="19FDBF0B" w14:textId="77777777" w:rsidR="005C6889" w:rsidRPr="005C6889" w:rsidRDefault="005C6889" w:rsidP="005C6889">
            <w:pPr>
              <w:jc w:val="center"/>
              <w:rPr>
                <w:rFonts w:ascii="Arial Narrow" w:eastAsia="Times New Roman" w:hAnsi="Arial Narrow" w:cs="Calibri"/>
                <w:b/>
                <w:bCs/>
                <w:color w:val="FFFFFF"/>
                <w:sz w:val="22"/>
                <w:szCs w:val="22"/>
              </w:rPr>
            </w:pPr>
            <w:r w:rsidRPr="005C6889">
              <w:rPr>
                <w:rFonts w:ascii="Arial Narrow" w:eastAsia="Times New Roman" w:hAnsi="Arial Narrow" w:cs="Calibri"/>
                <w:b/>
                <w:bCs/>
                <w:color w:val="FFFFFF"/>
                <w:sz w:val="22"/>
                <w:szCs w:val="22"/>
              </w:rPr>
              <w:t>Norma</w:t>
            </w:r>
          </w:p>
        </w:tc>
        <w:tc>
          <w:tcPr>
            <w:tcW w:w="1844" w:type="dxa"/>
            <w:tcBorders>
              <w:top w:val="nil"/>
              <w:left w:val="nil"/>
              <w:bottom w:val="nil"/>
              <w:right w:val="single" w:sz="8" w:space="0" w:color="auto"/>
            </w:tcBorders>
            <w:shd w:val="clear" w:color="000000" w:fill="203764"/>
            <w:vAlign w:val="center"/>
            <w:hideMark/>
          </w:tcPr>
          <w:p w14:paraId="3696CE9B" w14:textId="77777777" w:rsidR="005C6889" w:rsidRPr="005C6889" w:rsidRDefault="005C6889" w:rsidP="005C6889">
            <w:pPr>
              <w:jc w:val="center"/>
              <w:rPr>
                <w:rFonts w:ascii="Arial Narrow" w:eastAsia="Times New Roman" w:hAnsi="Arial Narrow" w:cs="Calibri"/>
                <w:b/>
                <w:bCs/>
                <w:color w:val="FFFFFF"/>
                <w:sz w:val="22"/>
                <w:szCs w:val="22"/>
                <w:lang w:val="es-CR"/>
              </w:rPr>
            </w:pPr>
            <w:r w:rsidRPr="005C6889">
              <w:rPr>
                <w:rFonts w:ascii="Arial Narrow" w:eastAsia="Times New Roman" w:hAnsi="Arial Narrow" w:cs="Calibri"/>
                <w:b/>
                <w:bCs/>
                <w:color w:val="FFFFFF"/>
                <w:sz w:val="22"/>
                <w:szCs w:val="22"/>
                <w:lang w:val="es-CR"/>
              </w:rPr>
              <w:t>Normativa técnica y disposiciones adicionales</w:t>
            </w:r>
          </w:p>
        </w:tc>
      </w:tr>
      <w:tr w:rsidR="005C6889" w:rsidRPr="005C6889" w14:paraId="26BF9F99" w14:textId="77777777" w:rsidTr="003F694B">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2AF66B" w14:textId="77777777" w:rsidR="005C6889" w:rsidRPr="005C6889" w:rsidRDefault="005C6889" w:rsidP="005C6889">
            <w:pPr>
              <w:jc w:val="center"/>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C3C4308" w14:textId="77777777" w:rsidR="005C6889" w:rsidRPr="005C6889" w:rsidRDefault="005C6889" w:rsidP="005C6889">
            <w:pPr>
              <w:jc w:val="center"/>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26</w:t>
            </w:r>
          </w:p>
        </w:tc>
        <w:tc>
          <w:tcPr>
            <w:tcW w:w="421" w:type="dxa"/>
            <w:tcBorders>
              <w:top w:val="single" w:sz="8" w:space="0" w:color="auto"/>
              <w:left w:val="nil"/>
              <w:bottom w:val="single" w:sz="8" w:space="0" w:color="auto"/>
              <w:right w:val="single" w:sz="8" w:space="0" w:color="auto"/>
            </w:tcBorders>
            <w:shd w:val="clear" w:color="auto" w:fill="auto"/>
            <w:vAlign w:val="center"/>
            <w:hideMark/>
          </w:tcPr>
          <w:p w14:paraId="3EE473C8" w14:textId="77777777" w:rsidR="005C6889" w:rsidRPr="005C6889" w:rsidRDefault="005C6889" w:rsidP="005C6889">
            <w:pPr>
              <w:jc w:val="center"/>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5D3A8C62" w14:textId="77777777" w:rsidR="005C6889" w:rsidRPr="005C6889" w:rsidRDefault="005C6889" w:rsidP="005C6889">
            <w:pPr>
              <w:jc w:val="both"/>
              <w:rPr>
                <w:rFonts w:ascii="Arial Narrow" w:eastAsia="Times New Roman" w:hAnsi="Arial Narrow" w:cs="Calibri"/>
                <w:b/>
                <w:bCs/>
                <w:color w:val="000000"/>
                <w:sz w:val="22"/>
                <w:szCs w:val="22"/>
                <w:lang w:val="es-CR"/>
              </w:rPr>
            </w:pPr>
            <w:r w:rsidRPr="005C6889">
              <w:rPr>
                <w:rFonts w:ascii="Arial Narrow" w:eastAsia="Times New Roman" w:hAnsi="Arial Narrow" w:cs="Calibri"/>
                <w:b/>
                <w:bCs/>
                <w:color w:val="000000"/>
                <w:sz w:val="22"/>
                <w:szCs w:val="22"/>
                <w:lang w:val="es-CR"/>
              </w:rPr>
              <w:t>Información a presentar en el ERF</w:t>
            </w:r>
          </w:p>
        </w:tc>
        <w:tc>
          <w:tcPr>
            <w:tcW w:w="2253" w:type="dxa"/>
            <w:gridSpan w:val="2"/>
            <w:tcBorders>
              <w:top w:val="single" w:sz="8" w:space="0" w:color="auto"/>
              <w:left w:val="nil"/>
              <w:bottom w:val="single" w:sz="8" w:space="0" w:color="auto"/>
              <w:right w:val="single" w:sz="8" w:space="0" w:color="auto"/>
            </w:tcBorders>
            <w:shd w:val="clear" w:color="auto" w:fill="auto"/>
            <w:vAlign w:val="center"/>
            <w:hideMark/>
          </w:tcPr>
          <w:p w14:paraId="3D83369A" w14:textId="77777777" w:rsidR="003F694B" w:rsidRDefault="005C6889" w:rsidP="005C6889">
            <w:pPr>
              <w:jc w:val="both"/>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NICSP N° 1,</w:t>
            </w:r>
          </w:p>
          <w:p w14:paraId="2A286571" w14:textId="4932D0DB" w:rsidR="005C6889" w:rsidRPr="005C6889" w:rsidRDefault="003F694B" w:rsidP="005C6889">
            <w:pPr>
              <w:jc w:val="both"/>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P</w:t>
            </w:r>
            <w:r w:rsidR="005C6889" w:rsidRPr="005C6889">
              <w:rPr>
                <w:rFonts w:ascii="Arial Narrow" w:eastAsia="Times New Roman" w:hAnsi="Arial Narrow" w:cs="Calibri"/>
                <w:b/>
                <w:bCs/>
                <w:color w:val="000000"/>
                <w:sz w:val="22"/>
                <w:szCs w:val="22"/>
              </w:rPr>
              <w:t>árrafos 102, 103 y 109.</w:t>
            </w:r>
          </w:p>
        </w:tc>
        <w:tc>
          <w:tcPr>
            <w:tcW w:w="1859" w:type="dxa"/>
            <w:gridSpan w:val="2"/>
            <w:tcBorders>
              <w:top w:val="single" w:sz="8" w:space="0" w:color="auto"/>
              <w:left w:val="nil"/>
              <w:bottom w:val="single" w:sz="8" w:space="0" w:color="auto"/>
              <w:right w:val="single" w:sz="8" w:space="0" w:color="auto"/>
            </w:tcBorders>
            <w:shd w:val="clear" w:color="auto" w:fill="auto"/>
            <w:vAlign w:val="center"/>
            <w:hideMark/>
          </w:tcPr>
          <w:p w14:paraId="6AC871B8" w14:textId="77777777" w:rsidR="005C6889" w:rsidRPr="005C6889" w:rsidRDefault="005C6889" w:rsidP="005C6889">
            <w:pPr>
              <w:jc w:val="center"/>
              <w:rPr>
                <w:rFonts w:ascii="Arial Narrow" w:eastAsia="Times New Roman" w:hAnsi="Arial Narrow" w:cs="Calibri"/>
                <w:b/>
                <w:bCs/>
                <w:color w:val="000000"/>
                <w:sz w:val="22"/>
                <w:szCs w:val="22"/>
              </w:rPr>
            </w:pPr>
            <w:r w:rsidRPr="005C6889">
              <w:rPr>
                <w:rFonts w:ascii="Arial Narrow" w:eastAsia="Times New Roman" w:hAnsi="Arial Narrow" w:cs="Calibri"/>
                <w:b/>
                <w:bCs/>
                <w:color w:val="000000"/>
                <w:sz w:val="22"/>
                <w:szCs w:val="22"/>
              </w:rPr>
              <w:t xml:space="preserve">DGCN </w:t>
            </w:r>
          </w:p>
        </w:tc>
      </w:tr>
    </w:tbl>
    <w:p w14:paraId="676B87CF" w14:textId="77777777" w:rsidR="00F57D66" w:rsidRDefault="00F57D66" w:rsidP="00B81FB3">
      <w:pPr>
        <w:pStyle w:val="Default"/>
        <w:jc w:val="both"/>
        <w:rPr>
          <w:sz w:val="22"/>
          <w:szCs w:val="22"/>
          <w:lang w:val="es-CR"/>
        </w:rPr>
      </w:pPr>
    </w:p>
    <w:p w14:paraId="2124D560"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C07C532" w14:textId="77777777" w:rsidR="003F694B" w:rsidRDefault="003F694B" w:rsidP="00B81FB3">
      <w:pPr>
        <w:pStyle w:val="Default"/>
        <w:jc w:val="both"/>
        <w:rPr>
          <w:sz w:val="22"/>
          <w:szCs w:val="22"/>
          <w:lang w:val="es-CR"/>
        </w:rPr>
      </w:pPr>
    </w:p>
    <w:p w14:paraId="556B06FA" w14:textId="77777777" w:rsidR="00985F87" w:rsidRDefault="00985F87" w:rsidP="00985F87">
      <w:pPr>
        <w:pStyle w:val="Default"/>
        <w:ind w:left="1134" w:hanging="1134"/>
        <w:jc w:val="both"/>
        <w:rPr>
          <w:sz w:val="22"/>
          <w:szCs w:val="22"/>
          <w:lang w:val="es-CR"/>
        </w:rPr>
      </w:pPr>
      <w:r>
        <w:rPr>
          <w:sz w:val="22"/>
          <w:szCs w:val="22"/>
          <w:lang w:val="es-CR"/>
        </w:rPr>
        <w:t>6.26.0.01</w:t>
      </w:r>
      <w:r>
        <w:rPr>
          <w:sz w:val="22"/>
          <w:szCs w:val="22"/>
          <w:lang w:val="es-CR"/>
        </w:rPr>
        <w:tab/>
      </w:r>
      <w:r w:rsidR="005C6889" w:rsidRPr="00985F87">
        <w:rPr>
          <w:sz w:val="22"/>
          <w:szCs w:val="22"/>
          <w:lang w:val="es-CR"/>
        </w:rPr>
        <w:t xml:space="preserve">Las entidades agruparán en el ERF los gastos e ingresos en Resultados por Operaciones y Resultados Distintos de Operaciones, utilizando una </w:t>
      </w:r>
      <w:r w:rsidR="005C6889" w:rsidRPr="00985F87">
        <w:rPr>
          <w:b/>
          <w:bCs/>
          <w:sz w:val="22"/>
          <w:szCs w:val="22"/>
          <w:lang w:val="es-CR"/>
        </w:rPr>
        <w:t xml:space="preserve">clasificación basada en la naturaleza </w:t>
      </w:r>
      <w:r w:rsidR="005C6889" w:rsidRPr="00985F87">
        <w:rPr>
          <w:sz w:val="22"/>
          <w:szCs w:val="22"/>
          <w:lang w:val="es-CR"/>
        </w:rPr>
        <w:t>de los mismos. Ambos constituyen el resultado del período.</w:t>
      </w:r>
    </w:p>
    <w:p w14:paraId="57B08639" w14:textId="58F8A1FB" w:rsidR="005C6889" w:rsidRPr="00985F87" w:rsidRDefault="005C6889" w:rsidP="00985F87">
      <w:pPr>
        <w:pStyle w:val="Default"/>
        <w:ind w:left="1134" w:hanging="1134"/>
        <w:jc w:val="both"/>
        <w:rPr>
          <w:sz w:val="22"/>
          <w:szCs w:val="22"/>
          <w:lang w:val="es-CR"/>
        </w:rPr>
      </w:pPr>
      <w:r w:rsidRPr="00985F87">
        <w:rPr>
          <w:sz w:val="22"/>
          <w:szCs w:val="22"/>
          <w:lang w:val="es-CR"/>
        </w:rPr>
        <w:t xml:space="preserve"> </w:t>
      </w:r>
    </w:p>
    <w:p w14:paraId="2A1A214F" w14:textId="66390EAC" w:rsidR="005C6889" w:rsidRDefault="00985F87" w:rsidP="00985F87">
      <w:pPr>
        <w:pStyle w:val="Default"/>
        <w:ind w:left="1134" w:hanging="1134"/>
        <w:jc w:val="both"/>
        <w:rPr>
          <w:sz w:val="22"/>
          <w:szCs w:val="22"/>
          <w:lang w:val="es-CR"/>
        </w:rPr>
      </w:pPr>
      <w:r>
        <w:rPr>
          <w:sz w:val="22"/>
          <w:szCs w:val="22"/>
          <w:lang w:val="es-CR"/>
        </w:rPr>
        <w:t>6.26.0.02</w:t>
      </w:r>
      <w:r>
        <w:rPr>
          <w:sz w:val="22"/>
          <w:szCs w:val="22"/>
          <w:lang w:val="es-CR"/>
        </w:rPr>
        <w:tab/>
      </w:r>
      <w:r w:rsidR="005C6889" w:rsidRPr="00985F87">
        <w:rPr>
          <w:sz w:val="22"/>
          <w:szCs w:val="22"/>
          <w:lang w:val="es-CR"/>
        </w:rPr>
        <w:t>En el ERF se incluirán, como mínimo, en cuentas que presenten los importes siguientes para el período:</w:t>
      </w:r>
    </w:p>
    <w:p w14:paraId="09CC6B44" w14:textId="77777777" w:rsidR="00985F87" w:rsidRPr="00985F87" w:rsidRDefault="00985F87" w:rsidP="00985F87">
      <w:pPr>
        <w:pStyle w:val="Default"/>
        <w:ind w:left="1134" w:hanging="1134"/>
        <w:jc w:val="both"/>
        <w:rPr>
          <w:sz w:val="22"/>
          <w:szCs w:val="22"/>
          <w:lang w:val="es-CR"/>
        </w:rPr>
      </w:pPr>
    </w:p>
    <w:p w14:paraId="477C9D0E" w14:textId="1C8166D7" w:rsidR="005C6889" w:rsidRPr="00985F87" w:rsidRDefault="00985F87">
      <w:pPr>
        <w:pStyle w:val="Default"/>
        <w:numPr>
          <w:ilvl w:val="0"/>
          <w:numId w:val="345"/>
        </w:numPr>
        <w:spacing w:after="120"/>
        <w:ind w:left="1418" w:hanging="284"/>
        <w:jc w:val="both"/>
        <w:rPr>
          <w:sz w:val="22"/>
          <w:szCs w:val="22"/>
        </w:rPr>
      </w:pPr>
      <w:r>
        <w:rPr>
          <w:sz w:val="22"/>
          <w:szCs w:val="22"/>
        </w:rPr>
        <w:t>I</w:t>
      </w:r>
      <w:r w:rsidR="005C6889" w:rsidRPr="00985F87">
        <w:rPr>
          <w:sz w:val="22"/>
          <w:szCs w:val="22"/>
        </w:rPr>
        <w:t xml:space="preserve">ngresos; </w:t>
      </w:r>
    </w:p>
    <w:p w14:paraId="12A1F542" w14:textId="0736E0F0" w:rsidR="005C6889" w:rsidRPr="00985F87" w:rsidRDefault="00985F87">
      <w:pPr>
        <w:pStyle w:val="Default"/>
        <w:numPr>
          <w:ilvl w:val="0"/>
          <w:numId w:val="345"/>
        </w:numPr>
        <w:spacing w:after="120"/>
        <w:ind w:left="1418" w:hanging="284"/>
        <w:jc w:val="both"/>
        <w:rPr>
          <w:sz w:val="22"/>
          <w:szCs w:val="22"/>
        </w:rPr>
      </w:pPr>
      <w:r>
        <w:rPr>
          <w:sz w:val="22"/>
          <w:szCs w:val="22"/>
        </w:rPr>
        <w:t>C</w:t>
      </w:r>
      <w:r w:rsidR="005C6889" w:rsidRPr="00985F87">
        <w:rPr>
          <w:sz w:val="22"/>
          <w:szCs w:val="22"/>
        </w:rPr>
        <w:t xml:space="preserve">ostos financieros; </w:t>
      </w:r>
    </w:p>
    <w:p w14:paraId="060AE3FF" w14:textId="49F9FAA1" w:rsidR="005C6889" w:rsidRPr="00985F87" w:rsidRDefault="00985F87">
      <w:pPr>
        <w:pStyle w:val="Default"/>
        <w:numPr>
          <w:ilvl w:val="0"/>
          <w:numId w:val="345"/>
        </w:numPr>
        <w:spacing w:after="120"/>
        <w:ind w:left="1418" w:hanging="284"/>
        <w:jc w:val="both"/>
        <w:rPr>
          <w:sz w:val="22"/>
          <w:szCs w:val="22"/>
          <w:lang w:val="es-CR"/>
        </w:rPr>
      </w:pPr>
      <w:r w:rsidRPr="00985F87">
        <w:rPr>
          <w:sz w:val="22"/>
          <w:szCs w:val="22"/>
          <w:lang w:val="es-CR"/>
        </w:rPr>
        <w:t>G</w:t>
      </w:r>
      <w:r w:rsidR="005C6889" w:rsidRPr="00985F87">
        <w:rPr>
          <w:b/>
          <w:bCs/>
          <w:sz w:val="22"/>
          <w:szCs w:val="22"/>
          <w:lang w:val="es-CR"/>
        </w:rPr>
        <w:t xml:space="preserve">anancia o pérdida antes de impuestos reconocida en la disposición de activos o liquidación de pasivos atribuible a operaciones en discontinuación </w:t>
      </w:r>
    </w:p>
    <w:p w14:paraId="28B9C7E5" w14:textId="77777777" w:rsidR="00985F87" w:rsidRDefault="00985F87">
      <w:pPr>
        <w:pStyle w:val="Default"/>
        <w:numPr>
          <w:ilvl w:val="0"/>
          <w:numId w:val="345"/>
        </w:numPr>
        <w:spacing w:after="20"/>
        <w:ind w:left="1418" w:hanging="284"/>
        <w:jc w:val="both"/>
        <w:rPr>
          <w:sz w:val="22"/>
          <w:szCs w:val="22"/>
          <w:lang w:val="es-CR"/>
        </w:rPr>
      </w:pPr>
      <w:r>
        <w:rPr>
          <w:sz w:val="22"/>
          <w:szCs w:val="22"/>
          <w:lang w:val="es-CR"/>
        </w:rPr>
        <w:t>E</w:t>
      </w:r>
      <w:r w:rsidR="005C6889" w:rsidRPr="00985F87">
        <w:rPr>
          <w:sz w:val="22"/>
          <w:szCs w:val="22"/>
          <w:lang w:val="es-CR"/>
        </w:rPr>
        <w:t>l importe de ingresos de transacciones sin contraprestación reconocidos durante el período en función de las principales clases, mostrando por separado:</w:t>
      </w:r>
    </w:p>
    <w:p w14:paraId="6AD94F47" w14:textId="7791A026" w:rsidR="005C6889" w:rsidRPr="00985F87" w:rsidRDefault="005C6889">
      <w:pPr>
        <w:pStyle w:val="Default"/>
        <w:numPr>
          <w:ilvl w:val="0"/>
          <w:numId w:val="344"/>
        </w:numPr>
        <w:spacing w:after="20"/>
        <w:jc w:val="both"/>
        <w:rPr>
          <w:sz w:val="22"/>
          <w:szCs w:val="22"/>
          <w:lang w:val="es-CR"/>
        </w:rPr>
      </w:pPr>
      <w:r w:rsidRPr="00985F87">
        <w:rPr>
          <w:sz w:val="22"/>
          <w:szCs w:val="22"/>
          <w:lang w:val="es-CR"/>
        </w:rPr>
        <w:t xml:space="preserve"> </w:t>
      </w:r>
    </w:p>
    <w:p w14:paraId="2DC345FD" w14:textId="5452624A" w:rsidR="005C6889" w:rsidRPr="00985F87" w:rsidRDefault="00985F87">
      <w:pPr>
        <w:pStyle w:val="Default"/>
        <w:numPr>
          <w:ilvl w:val="0"/>
          <w:numId w:val="346"/>
        </w:numPr>
        <w:spacing w:after="120"/>
        <w:ind w:left="1701" w:hanging="142"/>
        <w:jc w:val="both"/>
        <w:rPr>
          <w:sz w:val="22"/>
          <w:szCs w:val="22"/>
          <w:lang w:val="es-CR"/>
        </w:rPr>
      </w:pPr>
      <w:r>
        <w:rPr>
          <w:sz w:val="22"/>
          <w:szCs w:val="22"/>
          <w:lang w:val="es-CR"/>
        </w:rPr>
        <w:t>I</w:t>
      </w:r>
      <w:r w:rsidR="005C6889" w:rsidRPr="00985F87">
        <w:rPr>
          <w:sz w:val="22"/>
          <w:szCs w:val="22"/>
          <w:lang w:val="es-CR"/>
        </w:rPr>
        <w:t xml:space="preserve">mpuestos, conforme a las principales clases de impuestos; y </w:t>
      </w:r>
    </w:p>
    <w:p w14:paraId="3760C3AB" w14:textId="724B75FE" w:rsidR="005C6889" w:rsidRPr="00985F87" w:rsidRDefault="00985F87">
      <w:pPr>
        <w:pStyle w:val="Default"/>
        <w:numPr>
          <w:ilvl w:val="0"/>
          <w:numId w:val="346"/>
        </w:numPr>
        <w:spacing w:after="20"/>
        <w:ind w:left="1701" w:hanging="141"/>
        <w:jc w:val="both"/>
        <w:rPr>
          <w:sz w:val="22"/>
          <w:szCs w:val="22"/>
          <w:lang w:val="es-CR"/>
        </w:rPr>
      </w:pPr>
      <w:r>
        <w:rPr>
          <w:sz w:val="22"/>
          <w:szCs w:val="22"/>
          <w:lang w:val="es-CR"/>
        </w:rPr>
        <w:t>T</w:t>
      </w:r>
      <w:r w:rsidR="005C6889" w:rsidRPr="00985F87">
        <w:rPr>
          <w:sz w:val="22"/>
          <w:szCs w:val="22"/>
          <w:lang w:val="es-CR"/>
        </w:rPr>
        <w:t xml:space="preserve">ransferencias, conforme a las principales clases de ingresos por transferencias; </w:t>
      </w:r>
    </w:p>
    <w:p w14:paraId="163F38E9" w14:textId="04A473D5" w:rsidR="005C6889" w:rsidRPr="00985F87" w:rsidRDefault="00985F87">
      <w:pPr>
        <w:pStyle w:val="Default"/>
        <w:numPr>
          <w:ilvl w:val="0"/>
          <w:numId w:val="345"/>
        </w:numPr>
        <w:spacing w:after="120"/>
        <w:ind w:left="1418" w:hanging="284"/>
        <w:jc w:val="both"/>
        <w:rPr>
          <w:sz w:val="22"/>
          <w:szCs w:val="22"/>
          <w:lang w:val="es-CR"/>
        </w:rPr>
      </w:pPr>
      <w:r>
        <w:rPr>
          <w:sz w:val="22"/>
          <w:szCs w:val="22"/>
          <w:lang w:val="es-CR"/>
        </w:rPr>
        <w:lastRenderedPageBreak/>
        <w:t>P</w:t>
      </w:r>
      <w:r w:rsidR="005C6889" w:rsidRPr="00985F87">
        <w:rPr>
          <w:sz w:val="22"/>
          <w:szCs w:val="22"/>
          <w:lang w:val="es-CR"/>
        </w:rPr>
        <w:t xml:space="preserve">articipación en el resultado de las asociadas y negocios conjuntos contabilizados por el método de la participación; </w:t>
      </w:r>
    </w:p>
    <w:p w14:paraId="1277088E" w14:textId="1C5EADAF" w:rsidR="005C6889" w:rsidRPr="00985F87" w:rsidRDefault="00985F87">
      <w:pPr>
        <w:pStyle w:val="Default"/>
        <w:numPr>
          <w:ilvl w:val="0"/>
          <w:numId w:val="345"/>
        </w:numPr>
        <w:spacing w:after="120"/>
        <w:ind w:left="1418" w:hanging="284"/>
        <w:jc w:val="both"/>
        <w:rPr>
          <w:sz w:val="22"/>
          <w:szCs w:val="22"/>
          <w:lang w:val="es-CR"/>
        </w:rPr>
      </w:pPr>
      <w:r>
        <w:rPr>
          <w:sz w:val="22"/>
          <w:szCs w:val="22"/>
          <w:lang w:val="es-CR"/>
        </w:rPr>
        <w:t>R</w:t>
      </w:r>
      <w:r w:rsidR="005C6889" w:rsidRPr="00985F87">
        <w:rPr>
          <w:sz w:val="22"/>
          <w:szCs w:val="22"/>
          <w:lang w:val="es-CR"/>
        </w:rPr>
        <w:t xml:space="preserve">esultado (ahorro o desahorro); y </w:t>
      </w:r>
    </w:p>
    <w:p w14:paraId="7B8FF51E" w14:textId="7E597F8C" w:rsidR="005C6889" w:rsidRDefault="00985F87">
      <w:pPr>
        <w:pStyle w:val="Default"/>
        <w:numPr>
          <w:ilvl w:val="0"/>
          <w:numId w:val="345"/>
        </w:numPr>
        <w:spacing w:after="120"/>
        <w:ind w:left="1418" w:hanging="284"/>
        <w:jc w:val="both"/>
        <w:rPr>
          <w:sz w:val="22"/>
          <w:szCs w:val="22"/>
          <w:lang w:val="es-CR"/>
        </w:rPr>
      </w:pPr>
      <w:r>
        <w:rPr>
          <w:sz w:val="22"/>
          <w:szCs w:val="22"/>
          <w:lang w:val="es-CR"/>
        </w:rPr>
        <w:t>D</w:t>
      </w:r>
      <w:r w:rsidR="005C6889" w:rsidRPr="00985F87">
        <w:rPr>
          <w:sz w:val="22"/>
          <w:szCs w:val="22"/>
          <w:lang w:val="es-CR"/>
        </w:rPr>
        <w:t>istribuciones del resultado del período:</w:t>
      </w:r>
    </w:p>
    <w:p w14:paraId="5CBB6F51" w14:textId="7D466930" w:rsidR="005C6889" w:rsidRPr="00985F87" w:rsidRDefault="00985F87">
      <w:pPr>
        <w:pStyle w:val="Default"/>
        <w:numPr>
          <w:ilvl w:val="0"/>
          <w:numId w:val="347"/>
        </w:numPr>
        <w:spacing w:after="120"/>
        <w:ind w:left="1701" w:hanging="142"/>
        <w:jc w:val="both"/>
        <w:rPr>
          <w:sz w:val="22"/>
          <w:szCs w:val="22"/>
          <w:lang w:val="es-CR"/>
        </w:rPr>
      </w:pPr>
      <w:r>
        <w:rPr>
          <w:sz w:val="22"/>
          <w:szCs w:val="22"/>
          <w:lang w:val="es-CR"/>
        </w:rPr>
        <w:t>R</w:t>
      </w:r>
      <w:r w:rsidR="005C6889" w:rsidRPr="00985F87">
        <w:rPr>
          <w:sz w:val="22"/>
          <w:szCs w:val="22"/>
          <w:lang w:val="es-CR"/>
        </w:rPr>
        <w:t xml:space="preserve">esultado del período atribuido a los intereses minoritarios; y </w:t>
      </w:r>
    </w:p>
    <w:p w14:paraId="1DAA542A" w14:textId="7AAE26FB" w:rsidR="005C6889" w:rsidRPr="00985F87" w:rsidRDefault="00985F87">
      <w:pPr>
        <w:pStyle w:val="Default"/>
        <w:numPr>
          <w:ilvl w:val="0"/>
          <w:numId w:val="347"/>
        </w:numPr>
        <w:ind w:left="1701" w:hanging="141"/>
        <w:jc w:val="both"/>
        <w:rPr>
          <w:sz w:val="22"/>
          <w:szCs w:val="22"/>
          <w:lang w:val="es-CR"/>
        </w:rPr>
      </w:pPr>
      <w:r>
        <w:rPr>
          <w:sz w:val="22"/>
          <w:szCs w:val="22"/>
          <w:lang w:val="es-CR"/>
        </w:rPr>
        <w:t>R</w:t>
      </w:r>
      <w:r w:rsidR="005C6889" w:rsidRPr="00985F87">
        <w:rPr>
          <w:sz w:val="22"/>
          <w:szCs w:val="22"/>
          <w:lang w:val="es-CR"/>
        </w:rPr>
        <w:t xml:space="preserve">esultados atribuibles a los propietarios de la entidad controladora. </w:t>
      </w:r>
    </w:p>
    <w:p w14:paraId="48EA921F" w14:textId="77777777" w:rsidR="005C6889" w:rsidRDefault="005C6889" w:rsidP="00B81FB3">
      <w:pPr>
        <w:pStyle w:val="Default"/>
        <w:jc w:val="both"/>
        <w:rPr>
          <w:sz w:val="22"/>
          <w:szCs w:val="22"/>
          <w:lang w:val="es-CR"/>
        </w:rPr>
      </w:pPr>
    </w:p>
    <w:p w14:paraId="45AD0BC3" w14:textId="77777777" w:rsidR="00985F87" w:rsidRDefault="00985F87" w:rsidP="00B81FB3">
      <w:pPr>
        <w:pStyle w:val="Default"/>
        <w:jc w:val="both"/>
        <w:rPr>
          <w:sz w:val="22"/>
          <w:szCs w:val="22"/>
          <w:lang w:val="es-CR"/>
        </w:rPr>
      </w:pPr>
    </w:p>
    <w:p w14:paraId="1A05F58F" w14:textId="77777777" w:rsidR="003F694B" w:rsidRPr="00B81FB3" w:rsidRDefault="003F694B" w:rsidP="00B81FB3">
      <w:pPr>
        <w:pStyle w:val="Default"/>
        <w:jc w:val="both"/>
        <w:rPr>
          <w:sz w:val="22"/>
          <w:szCs w:val="22"/>
          <w:lang w:val="es-CR"/>
        </w:rPr>
      </w:pPr>
    </w:p>
    <w:tbl>
      <w:tblPr>
        <w:tblW w:w="9353" w:type="dxa"/>
        <w:tblLook w:val="04A0" w:firstRow="1" w:lastRow="0" w:firstColumn="1" w:lastColumn="0" w:noHBand="0" w:noVBand="1"/>
      </w:tblPr>
      <w:tblGrid>
        <w:gridCol w:w="416"/>
        <w:gridCol w:w="850"/>
        <w:gridCol w:w="433"/>
        <w:gridCol w:w="7"/>
        <w:gridCol w:w="3683"/>
        <w:gridCol w:w="7"/>
        <w:gridCol w:w="2107"/>
        <w:gridCol w:w="1841"/>
        <w:gridCol w:w="9"/>
      </w:tblGrid>
      <w:tr w:rsidR="00985F87" w:rsidRPr="00985F87" w14:paraId="7B67A43B" w14:textId="77777777" w:rsidTr="003F694B">
        <w:trPr>
          <w:trHeight w:val="300"/>
        </w:trPr>
        <w:tc>
          <w:tcPr>
            <w:tcW w:w="1706"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2F99FD8" w14:textId="77777777" w:rsidR="00985F87" w:rsidRPr="00985F87" w:rsidRDefault="00985F87" w:rsidP="00985F87">
            <w:pPr>
              <w:jc w:val="center"/>
              <w:rPr>
                <w:rFonts w:ascii="Arial Narrow" w:eastAsia="Times New Roman" w:hAnsi="Arial Narrow" w:cs="Calibri"/>
                <w:b/>
                <w:bCs/>
                <w:color w:val="FFFFFF"/>
                <w:sz w:val="22"/>
                <w:szCs w:val="22"/>
              </w:rPr>
            </w:pPr>
            <w:r w:rsidRPr="00985F87">
              <w:rPr>
                <w:rFonts w:ascii="Arial Narrow" w:eastAsia="Times New Roman" w:hAnsi="Arial Narrow" w:cs="Calibri"/>
                <w:b/>
                <w:bCs/>
                <w:color w:val="FFFFFF"/>
                <w:sz w:val="22"/>
                <w:szCs w:val="22"/>
              </w:rPr>
              <w:t>Norma / Política</w:t>
            </w:r>
          </w:p>
        </w:tc>
        <w:tc>
          <w:tcPr>
            <w:tcW w:w="369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D75E9FF" w14:textId="77777777" w:rsidR="00985F87" w:rsidRPr="00985F87" w:rsidRDefault="00985F87" w:rsidP="00985F87">
            <w:pPr>
              <w:jc w:val="center"/>
              <w:rPr>
                <w:rFonts w:ascii="Arial Narrow" w:eastAsia="Times New Roman" w:hAnsi="Arial Narrow" w:cs="Calibri"/>
                <w:b/>
                <w:bCs/>
                <w:color w:val="FFFFFF"/>
                <w:sz w:val="22"/>
                <w:szCs w:val="22"/>
              </w:rPr>
            </w:pPr>
            <w:r w:rsidRPr="00985F87">
              <w:rPr>
                <w:rFonts w:ascii="Arial Narrow" w:eastAsia="Times New Roman" w:hAnsi="Arial Narrow" w:cs="Calibri"/>
                <w:b/>
                <w:bCs/>
                <w:color w:val="FFFFFF"/>
                <w:sz w:val="22"/>
                <w:szCs w:val="22"/>
              </w:rPr>
              <w:t>Concepto</w:t>
            </w:r>
          </w:p>
        </w:tc>
        <w:tc>
          <w:tcPr>
            <w:tcW w:w="3957" w:type="dxa"/>
            <w:gridSpan w:val="3"/>
            <w:tcBorders>
              <w:top w:val="single" w:sz="8" w:space="0" w:color="auto"/>
              <w:left w:val="nil"/>
              <w:bottom w:val="single" w:sz="8" w:space="0" w:color="auto"/>
              <w:right w:val="single" w:sz="8" w:space="0" w:color="000000"/>
            </w:tcBorders>
            <w:shd w:val="clear" w:color="000000" w:fill="203764"/>
            <w:vAlign w:val="center"/>
            <w:hideMark/>
          </w:tcPr>
          <w:p w14:paraId="2F9ED53F" w14:textId="77777777" w:rsidR="00985F87" w:rsidRPr="00985F87" w:rsidRDefault="00985F87" w:rsidP="00985F87">
            <w:pPr>
              <w:jc w:val="center"/>
              <w:rPr>
                <w:rFonts w:ascii="Arial Narrow" w:eastAsia="Times New Roman" w:hAnsi="Arial Narrow" w:cs="Calibri"/>
                <w:b/>
                <w:bCs/>
                <w:color w:val="FFFFFF"/>
                <w:sz w:val="22"/>
                <w:szCs w:val="22"/>
              </w:rPr>
            </w:pPr>
            <w:r w:rsidRPr="00985F87">
              <w:rPr>
                <w:rFonts w:ascii="Arial Narrow" w:eastAsia="Times New Roman" w:hAnsi="Arial Narrow" w:cs="Calibri"/>
                <w:b/>
                <w:bCs/>
                <w:color w:val="FFFFFF"/>
                <w:sz w:val="22"/>
                <w:szCs w:val="22"/>
              </w:rPr>
              <w:t>Referencia</w:t>
            </w:r>
          </w:p>
        </w:tc>
      </w:tr>
      <w:tr w:rsidR="00985F87" w:rsidRPr="006E5442" w14:paraId="6F8AC5B3" w14:textId="77777777" w:rsidTr="003F694B">
        <w:trPr>
          <w:gridAfter w:val="1"/>
          <w:wAfter w:w="9" w:type="dxa"/>
          <w:trHeight w:val="850"/>
        </w:trPr>
        <w:tc>
          <w:tcPr>
            <w:tcW w:w="1706" w:type="dxa"/>
            <w:gridSpan w:val="4"/>
            <w:vMerge/>
            <w:tcBorders>
              <w:top w:val="single" w:sz="8" w:space="0" w:color="auto"/>
              <w:left w:val="single" w:sz="8" w:space="0" w:color="auto"/>
              <w:bottom w:val="nil"/>
              <w:right w:val="single" w:sz="8" w:space="0" w:color="000000"/>
            </w:tcBorders>
            <w:vAlign w:val="center"/>
            <w:hideMark/>
          </w:tcPr>
          <w:p w14:paraId="52145D2D" w14:textId="77777777" w:rsidR="00985F87" w:rsidRPr="00985F87" w:rsidRDefault="00985F87" w:rsidP="00985F87">
            <w:pPr>
              <w:rPr>
                <w:rFonts w:ascii="Arial Narrow" w:eastAsia="Times New Roman" w:hAnsi="Arial Narrow" w:cs="Calibri"/>
                <w:b/>
                <w:bCs/>
                <w:color w:val="FFFFFF"/>
                <w:sz w:val="22"/>
                <w:szCs w:val="22"/>
              </w:rPr>
            </w:pPr>
          </w:p>
        </w:tc>
        <w:tc>
          <w:tcPr>
            <w:tcW w:w="3690" w:type="dxa"/>
            <w:gridSpan w:val="2"/>
            <w:vMerge/>
            <w:tcBorders>
              <w:top w:val="single" w:sz="8" w:space="0" w:color="auto"/>
              <w:left w:val="single" w:sz="8" w:space="0" w:color="auto"/>
              <w:bottom w:val="nil"/>
              <w:right w:val="single" w:sz="8" w:space="0" w:color="auto"/>
            </w:tcBorders>
            <w:vAlign w:val="center"/>
            <w:hideMark/>
          </w:tcPr>
          <w:p w14:paraId="724756FE" w14:textId="77777777" w:rsidR="00985F87" w:rsidRPr="00985F87" w:rsidRDefault="00985F87" w:rsidP="00985F87">
            <w:pPr>
              <w:rPr>
                <w:rFonts w:ascii="Arial Narrow" w:eastAsia="Times New Roman" w:hAnsi="Arial Narrow" w:cs="Calibri"/>
                <w:b/>
                <w:bCs/>
                <w:color w:val="FFFFFF"/>
                <w:sz w:val="22"/>
                <w:szCs w:val="22"/>
              </w:rPr>
            </w:pPr>
          </w:p>
        </w:tc>
        <w:tc>
          <w:tcPr>
            <w:tcW w:w="2107" w:type="dxa"/>
            <w:tcBorders>
              <w:top w:val="nil"/>
              <w:left w:val="nil"/>
              <w:bottom w:val="nil"/>
              <w:right w:val="single" w:sz="8" w:space="0" w:color="auto"/>
            </w:tcBorders>
            <w:shd w:val="clear" w:color="000000" w:fill="203764"/>
            <w:vAlign w:val="center"/>
            <w:hideMark/>
          </w:tcPr>
          <w:p w14:paraId="35E151B3" w14:textId="77777777" w:rsidR="00985F87" w:rsidRPr="00985F87" w:rsidRDefault="00985F87" w:rsidP="00985F87">
            <w:pPr>
              <w:jc w:val="center"/>
              <w:rPr>
                <w:rFonts w:ascii="Arial Narrow" w:eastAsia="Times New Roman" w:hAnsi="Arial Narrow" w:cs="Calibri"/>
                <w:b/>
                <w:bCs/>
                <w:color w:val="FFFFFF"/>
                <w:sz w:val="22"/>
                <w:szCs w:val="22"/>
              </w:rPr>
            </w:pPr>
            <w:r w:rsidRPr="00985F87">
              <w:rPr>
                <w:rFonts w:ascii="Arial Narrow" w:eastAsia="Times New Roman" w:hAnsi="Arial Narrow" w:cs="Calibri"/>
                <w:b/>
                <w:bCs/>
                <w:color w:val="FFFFFF"/>
                <w:sz w:val="22"/>
                <w:szCs w:val="22"/>
              </w:rPr>
              <w:t>Norma</w:t>
            </w:r>
          </w:p>
        </w:tc>
        <w:tc>
          <w:tcPr>
            <w:tcW w:w="1841" w:type="dxa"/>
            <w:tcBorders>
              <w:top w:val="nil"/>
              <w:left w:val="nil"/>
              <w:bottom w:val="nil"/>
              <w:right w:val="single" w:sz="8" w:space="0" w:color="auto"/>
            </w:tcBorders>
            <w:shd w:val="clear" w:color="000000" w:fill="203764"/>
            <w:vAlign w:val="center"/>
            <w:hideMark/>
          </w:tcPr>
          <w:p w14:paraId="20080A95" w14:textId="77777777" w:rsidR="00985F87" w:rsidRPr="00985F87" w:rsidRDefault="00985F87" w:rsidP="00985F87">
            <w:pPr>
              <w:jc w:val="center"/>
              <w:rPr>
                <w:rFonts w:ascii="Arial Narrow" w:eastAsia="Times New Roman" w:hAnsi="Arial Narrow" w:cs="Calibri"/>
                <w:b/>
                <w:bCs/>
                <w:color w:val="FFFFFF"/>
                <w:sz w:val="22"/>
                <w:szCs w:val="22"/>
                <w:lang w:val="es-CR"/>
              </w:rPr>
            </w:pPr>
            <w:r w:rsidRPr="00985F87">
              <w:rPr>
                <w:rFonts w:ascii="Arial Narrow" w:eastAsia="Times New Roman" w:hAnsi="Arial Narrow" w:cs="Calibri"/>
                <w:b/>
                <w:bCs/>
                <w:color w:val="FFFFFF"/>
                <w:sz w:val="22"/>
                <w:szCs w:val="22"/>
                <w:lang w:val="es-CR"/>
              </w:rPr>
              <w:t>Normativa técnica y disposiciones adicionales</w:t>
            </w:r>
          </w:p>
        </w:tc>
      </w:tr>
      <w:tr w:rsidR="00985F87" w:rsidRPr="00985F87" w14:paraId="27837D31" w14:textId="77777777" w:rsidTr="003F694B">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CF607C" w14:textId="77777777" w:rsidR="00985F87" w:rsidRPr="00985F87" w:rsidRDefault="00985F87" w:rsidP="00985F87">
            <w:pPr>
              <w:jc w:val="center"/>
              <w:rPr>
                <w:rFonts w:ascii="Arial Narrow" w:eastAsia="Times New Roman" w:hAnsi="Arial Narrow" w:cs="Calibri"/>
                <w:b/>
                <w:bCs/>
                <w:color w:val="000000"/>
                <w:sz w:val="22"/>
                <w:szCs w:val="22"/>
              </w:rPr>
            </w:pPr>
            <w:r w:rsidRPr="00985F87">
              <w:rPr>
                <w:rFonts w:ascii="Arial Narrow" w:eastAsia="Times New Roman" w:hAnsi="Arial Narrow" w:cs="Calibri"/>
                <w:b/>
                <w:bCs/>
                <w:color w:val="000000"/>
                <w:sz w:val="22"/>
                <w:szCs w:val="22"/>
              </w:rPr>
              <w:t>6</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63B543A5" w14:textId="77777777" w:rsidR="00985F87" w:rsidRPr="00985F87" w:rsidRDefault="00985F87" w:rsidP="00985F87">
            <w:pPr>
              <w:jc w:val="center"/>
              <w:rPr>
                <w:rFonts w:ascii="Arial Narrow" w:eastAsia="Times New Roman" w:hAnsi="Arial Narrow" w:cs="Calibri"/>
                <w:b/>
                <w:bCs/>
                <w:color w:val="000000"/>
                <w:sz w:val="22"/>
                <w:szCs w:val="22"/>
              </w:rPr>
            </w:pPr>
            <w:r w:rsidRPr="00985F87">
              <w:rPr>
                <w:rFonts w:ascii="Arial Narrow" w:eastAsia="Times New Roman" w:hAnsi="Arial Narrow" w:cs="Calibri"/>
                <w:b/>
                <w:bCs/>
                <w:color w:val="000000"/>
                <w:sz w:val="22"/>
                <w:szCs w:val="22"/>
              </w:rPr>
              <w:t>27</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3BF0FF89" w14:textId="77777777" w:rsidR="00985F87" w:rsidRPr="00985F87" w:rsidRDefault="00985F87" w:rsidP="00985F87">
            <w:pPr>
              <w:jc w:val="center"/>
              <w:rPr>
                <w:rFonts w:ascii="Arial Narrow" w:eastAsia="Times New Roman" w:hAnsi="Arial Narrow" w:cs="Calibri"/>
                <w:b/>
                <w:bCs/>
                <w:color w:val="000000"/>
                <w:sz w:val="22"/>
                <w:szCs w:val="22"/>
              </w:rPr>
            </w:pPr>
            <w:r w:rsidRPr="00985F87">
              <w:rPr>
                <w:rFonts w:ascii="Arial Narrow" w:eastAsia="Times New Roman" w:hAnsi="Arial Narrow" w:cs="Calibri"/>
                <w:b/>
                <w:bCs/>
                <w:color w:val="000000"/>
                <w:sz w:val="22"/>
                <w:szCs w:val="22"/>
              </w:rPr>
              <w:t xml:space="preserve"> </w:t>
            </w:r>
          </w:p>
        </w:tc>
        <w:tc>
          <w:tcPr>
            <w:tcW w:w="3690" w:type="dxa"/>
            <w:gridSpan w:val="2"/>
            <w:tcBorders>
              <w:top w:val="single" w:sz="8" w:space="0" w:color="auto"/>
              <w:left w:val="nil"/>
              <w:bottom w:val="single" w:sz="8" w:space="0" w:color="auto"/>
              <w:right w:val="single" w:sz="8" w:space="0" w:color="auto"/>
            </w:tcBorders>
            <w:shd w:val="clear" w:color="auto" w:fill="auto"/>
            <w:vAlign w:val="center"/>
            <w:hideMark/>
          </w:tcPr>
          <w:p w14:paraId="27880882" w14:textId="77777777" w:rsidR="00985F87" w:rsidRPr="00985F87" w:rsidRDefault="00985F87" w:rsidP="00985F87">
            <w:pPr>
              <w:jc w:val="both"/>
              <w:rPr>
                <w:rFonts w:ascii="Arial Narrow" w:eastAsia="Times New Roman" w:hAnsi="Arial Narrow" w:cs="Calibri"/>
                <w:b/>
                <w:bCs/>
                <w:color w:val="000000"/>
                <w:sz w:val="22"/>
                <w:szCs w:val="22"/>
              </w:rPr>
            </w:pPr>
            <w:r w:rsidRPr="00985F87">
              <w:rPr>
                <w:rFonts w:ascii="Arial Narrow" w:eastAsia="Times New Roman" w:hAnsi="Arial Narrow" w:cs="Calibri"/>
                <w:b/>
                <w:bCs/>
                <w:color w:val="000000"/>
                <w:sz w:val="22"/>
                <w:szCs w:val="22"/>
              </w:rPr>
              <w:t>Resultado (ahorro / desahorro)</w:t>
            </w:r>
          </w:p>
        </w:tc>
        <w:tc>
          <w:tcPr>
            <w:tcW w:w="2114" w:type="dxa"/>
            <w:gridSpan w:val="2"/>
            <w:tcBorders>
              <w:top w:val="single" w:sz="8" w:space="0" w:color="auto"/>
              <w:left w:val="nil"/>
              <w:bottom w:val="single" w:sz="8" w:space="0" w:color="auto"/>
              <w:right w:val="single" w:sz="8" w:space="0" w:color="auto"/>
            </w:tcBorders>
            <w:shd w:val="clear" w:color="auto" w:fill="auto"/>
            <w:vAlign w:val="center"/>
            <w:hideMark/>
          </w:tcPr>
          <w:p w14:paraId="28BB1F9F" w14:textId="77777777" w:rsidR="00985F87" w:rsidRPr="00985F87" w:rsidRDefault="00985F87" w:rsidP="00985F87">
            <w:pPr>
              <w:jc w:val="both"/>
              <w:rPr>
                <w:rFonts w:ascii="Arial Narrow" w:eastAsia="Times New Roman" w:hAnsi="Arial Narrow" w:cs="Calibri"/>
                <w:b/>
                <w:bCs/>
                <w:color w:val="000000"/>
                <w:sz w:val="22"/>
                <w:szCs w:val="22"/>
              </w:rPr>
            </w:pPr>
            <w:r w:rsidRPr="00985F87">
              <w:rPr>
                <w:rFonts w:ascii="Arial Narrow" w:eastAsia="Times New Roman" w:hAnsi="Arial Narrow" w:cs="Calibri"/>
                <w:b/>
                <w:bCs/>
                <w:color w:val="000000"/>
                <w:sz w:val="22"/>
                <w:szCs w:val="22"/>
              </w:rPr>
              <w:t>NICSP N° 1,</w:t>
            </w:r>
          </w:p>
        </w:tc>
        <w:tc>
          <w:tcPr>
            <w:tcW w:w="1848" w:type="dxa"/>
            <w:gridSpan w:val="2"/>
            <w:tcBorders>
              <w:top w:val="single" w:sz="8" w:space="0" w:color="auto"/>
              <w:left w:val="nil"/>
              <w:bottom w:val="single" w:sz="8" w:space="0" w:color="auto"/>
              <w:right w:val="single" w:sz="8" w:space="0" w:color="auto"/>
            </w:tcBorders>
            <w:shd w:val="clear" w:color="auto" w:fill="auto"/>
            <w:vAlign w:val="center"/>
            <w:hideMark/>
          </w:tcPr>
          <w:p w14:paraId="2DB8D9AD" w14:textId="77777777" w:rsidR="00985F87" w:rsidRPr="00985F87" w:rsidRDefault="00985F87" w:rsidP="00985F87">
            <w:pPr>
              <w:jc w:val="center"/>
              <w:rPr>
                <w:rFonts w:ascii="Arial Narrow" w:eastAsia="Times New Roman" w:hAnsi="Arial Narrow" w:cs="Calibri"/>
                <w:b/>
                <w:bCs/>
                <w:color w:val="000000"/>
                <w:sz w:val="22"/>
                <w:szCs w:val="22"/>
              </w:rPr>
            </w:pPr>
            <w:r w:rsidRPr="00985F87">
              <w:rPr>
                <w:rFonts w:ascii="Arial Narrow" w:eastAsia="Times New Roman" w:hAnsi="Arial Narrow" w:cs="Calibri"/>
                <w:b/>
                <w:bCs/>
                <w:color w:val="000000"/>
                <w:sz w:val="22"/>
                <w:szCs w:val="22"/>
              </w:rPr>
              <w:t xml:space="preserve">DGCN </w:t>
            </w:r>
          </w:p>
        </w:tc>
      </w:tr>
    </w:tbl>
    <w:p w14:paraId="4DF0BF21" w14:textId="77777777" w:rsidR="00F57D66" w:rsidRDefault="00F57D66" w:rsidP="00B81FB3">
      <w:pPr>
        <w:pStyle w:val="Default"/>
        <w:jc w:val="both"/>
        <w:rPr>
          <w:sz w:val="22"/>
          <w:szCs w:val="22"/>
          <w:lang w:val="es-CR"/>
        </w:rPr>
      </w:pPr>
    </w:p>
    <w:p w14:paraId="3FC628D5"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4E0D132" w14:textId="77777777" w:rsidR="003F694B" w:rsidRPr="00B81FB3" w:rsidRDefault="003F694B" w:rsidP="00B81FB3">
      <w:pPr>
        <w:pStyle w:val="Default"/>
        <w:jc w:val="both"/>
        <w:rPr>
          <w:sz w:val="22"/>
          <w:szCs w:val="22"/>
          <w:lang w:val="es-CR"/>
        </w:rPr>
      </w:pPr>
    </w:p>
    <w:p w14:paraId="698B61C8" w14:textId="286A769D" w:rsidR="00985F87" w:rsidRPr="00985F87" w:rsidRDefault="000B34AC" w:rsidP="00985F87">
      <w:pPr>
        <w:pStyle w:val="Default"/>
        <w:ind w:left="1134" w:hanging="1134"/>
        <w:jc w:val="both"/>
        <w:rPr>
          <w:sz w:val="23"/>
          <w:szCs w:val="23"/>
          <w:lang w:val="es-CR"/>
        </w:rPr>
      </w:pPr>
      <w:r>
        <w:rPr>
          <w:sz w:val="23"/>
          <w:szCs w:val="23"/>
          <w:lang w:val="es-CR"/>
        </w:rPr>
        <w:t>6</w:t>
      </w:r>
      <w:r w:rsidR="00985F87" w:rsidRPr="00985F87">
        <w:rPr>
          <w:sz w:val="23"/>
          <w:szCs w:val="23"/>
          <w:lang w:val="es-CR"/>
        </w:rPr>
        <w:t>.27.0.01</w:t>
      </w:r>
      <w:r w:rsidR="00985F87" w:rsidRPr="00985F87">
        <w:rPr>
          <w:sz w:val="23"/>
          <w:szCs w:val="23"/>
          <w:lang w:val="es-CR"/>
        </w:rPr>
        <w:tab/>
      </w:r>
      <w:r w:rsidR="00985F87" w:rsidRPr="00985F87">
        <w:rPr>
          <w:b/>
          <w:bCs/>
          <w:sz w:val="23"/>
          <w:szCs w:val="23"/>
          <w:lang w:val="es-CR"/>
        </w:rPr>
        <w:t>De las operaciones:</w:t>
      </w:r>
      <w:r w:rsidR="00985F87" w:rsidRPr="00985F87">
        <w:rPr>
          <w:sz w:val="23"/>
          <w:szCs w:val="23"/>
          <w:lang w:val="es-CR"/>
        </w:rPr>
        <w:t xml:space="preserve"> Es la diferencia entre los ingresos y gastos provenientes de las actividades que el ente lleva a cabo con el fin de alcanzar los objetivos básicos. </w:t>
      </w:r>
    </w:p>
    <w:p w14:paraId="0AC9D373" w14:textId="77777777" w:rsidR="00985F87" w:rsidRDefault="00985F87" w:rsidP="00985F87">
      <w:pPr>
        <w:pStyle w:val="Default"/>
        <w:jc w:val="both"/>
        <w:rPr>
          <w:sz w:val="23"/>
          <w:szCs w:val="23"/>
          <w:lang w:val="es-CR"/>
        </w:rPr>
      </w:pPr>
    </w:p>
    <w:p w14:paraId="06217D6E" w14:textId="375502DB" w:rsidR="00F57D66" w:rsidRPr="00985F87" w:rsidRDefault="000B34AC" w:rsidP="00985F87">
      <w:pPr>
        <w:pStyle w:val="Default"/>
        <w:ind w:left="1276" w:hanging="1276"/>
        <w:jc w:val="both"/>
        <w:rPr>
          <w:sz w:val="22"/>
          <w:szCs w:val="22"/>
          <w:lang w:val="es-CR"/>
        </w:rPr>
      </w:pPr>
      <w:r>
        <w:rPr>
          <w:sz w:val="23"/>
          <w:szCs w:val="23"/>
          <w:lang w:val="es-CR"/>
        </w:rPr>
        <w:t>6</w:t>
      </w:r>
      <w:r w:rsidR="00985F87" w:rsidRPr="00985F87">
        <w:rPr>
          <w:sz w:val="23"/>
          <w:szCs w:val="23"/>
          <w:lang w:val="es-CR"/>
        </w:rPr>
        <w:t>.27.0.02</w:t>
      </w:r>
      <w:r w:rsidR="00985F87" w:rsidRPr="00985F87">
        <w:rPr>
          <w:sz w:val="23"/>
          <w:szCs w:val="23"/>
          <w:lang w:val="es-CR"/>
        </w:rPr>
        <w:tab/>
      </w:r>
      <w:r w:rsidR="00985F87" w:rsidRPr="00985F87">
        <w:rPr>
          <w:b/>
          <w:bCs/>
          <w:sz w:val="23"/>
          <w:szCs w:val="23"/>
          <w:lang w:val="es-CR"/>
        </w:rPr>
        <w:t>Distinto de las operaciones:</w:t>
      </w:r>
      <w:r w:rsidR="00985F87" w:rsidRPr="00985F87">
        <w:rPr>
          <w:sz w:val="23"/>
          <w:szCs w:val="23"/>
          <w:lang w:val="es-CR"/>
        </w:rPr>
        <w:t xml:space="preserve"> Es la diferencia entre los ingresos y gastos provenientes de las actividades de inversión (tenencia de activos) y de financiación de las operaciones del ente.</w:t>
      </w:r>
    </w:p>
    <w:p w14:paraId="1811BDAC" w14:textId="77777777" w:rsidR="00F57D66" w:rsidRDefault="00F57D66" w:rsidP="00B81FB3">
      <w:pPr>
        <w:pStyle w:val="Default"/>
        <w:jc w:val="both"/>
        <w:rPr>
          <w:sz w:val="22"/>
          <w:szCs w:val="22"/>
          <w:lang w:val="es-CR"/>
        </w:rPr>
      </w:pPr>
    </w:p>
    <w:p w14:paraId="68D33780" w14:textId="77777777" w:rsidR="00CC126B" w:rsidRDefault="00CC126B" w:rsidP="00B81FB3">
      <w:pPr>
        <w:pStyle w:val="Default"/>
        <w:jc w:val="both"/>
        <w:rPr>
          <w:sz w:val="22"/>
          <w:szCs w:val="22"/>
          <w:lang w:val="es-CR"/>
        </w:rPr>
      </w:pPr>
    </w:p>
    <w:p w14:paraId="7E24495A" w14:textId="77777777" w:rsidR="00CC126B" w:rsidRPr="00B81FB3" w:rsidRDefault="00CC126B" w:rsidP="00B81FB3">
      <w:pPr>
        <w:pStyle w:val="Default"/>
        <w:jc w:val="both"/>
        <w:rPr>
          <w:sz w:val="22"/>
          <w:szCs w:val="22"/>
          <w:lang w:val="es-CR"/>
        </w:rPr>
      </w:pPr>
    </w:p>
    <w:tbl>
      <w:tblPr>
        <w:tblW w:w="9346" w:type="dxa"/>
        <w:tblLook w:val="04A0" w:firstRow="1" w:lastRow="0" w:firstColumn="1" w:lastColumn="0" w:noHBand="0" w:noVBand="1"/>
      </w:tblPr>
      <w:tblGrid>
        <w:gridCol w:w="416"/>
        <w:gridCol w:w="708"/>
        <w:gridCol w:w="433"/>
        <w:gridCol w:w="7"/>
        <w:gridCol w:w="3685"/>
        <w:gridCol w:w="7"/>
        <w:gridCol w:w="2244"/>
        <w:gridCol w:w="7"/>
        <w:gridCol w:w="1839"/>
      </w:tblGrid>
      <w:tr w:rsidR="00CC126B" w:rsidRPr="00CC126B" w14:paraId="73554158" w14:textId="77777777" w:rsidTr="003F694B">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3D4949A4" w14:textId="77777777" w:rsidR="00CC126B" w:rsidRPr="00CC126B" w:rsidRDefault="00CC126B" w:rsidP="00CC126B">
            <w:pPr>
              <w:jc w:val="center"/>
              <w:rPr>
                <w:rFonts w:ascii="Arial Narrow" w:eastAsia="Times New Roman" w:hAnsi="Arial Narrow" w:cs="Calibri"/>
                <w:b/>
                <w:bCs/>
                <w:color w:val="FFFFFF"/>
                <w:sz w:val="22"/>
                <w:szCs w:val="22"/>
              </w:rPr>
            </w:pPr>
            <w:r w:rsidRPr="00CC126B">
              <w:rPr>
                <w:rFonts w:ascii="Arial Narrow" w:eastAsia="Times New Roman" w:hAnsi="Arial Narrow" w:cs="Calibri"/>
                <w:b/>
                <w:bCs/>
                <w:color w:val="FFFFFF"/>
                <w:sz w:val="22"/>
                <w:szCs w:val="22"/>
              </w:rPr>
              <w:t>Norma / Política</w:t>
            </w:r>
          </w:p>
        </w:tc>
        <w:tc>
          <w:tcPr>
            <w:tcW w:w="3692"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F9AE515" w14:textId="77777777" w:rsidR="00CC126B" w:rsidRPr="00CC126B" w:rsidRDefault="00CC126B" w:rsidP="00CC126B">
            <w:pPr>
              <w:jc w:val="center"/>
              <w:rPr>
                <w:rFonts w:ascii="Arial Narrow" w:eastAsia="Times New Roman" w:hAnsi="Arial Narrow" w:cs="Calibri"/>
                <w:b/>
                <w:bCs/>
                <w:color w:val="FFFFFF"/>
                <w:sz w:val="22"/>
                <w:szCs w:val="22"/>
              </w:rPr>
            </w:pPr>
            <w:r w:rsidRPr="00CC126B">
              <w:rPr>
                <w:rFonts w:ascii="Arial Narrow" w:eastAsia="Times New Roman" w:hAnsi="Arial Narrow" w:cs="Calibri"/>
                <w:b/>
                <w:bCs/>
                <w:color w:val="FFFFFF"/>
                <w:sz w:val="22"/>
                <w:szCs w:val="22"/>
              </w:rPr>
              <w:t>Concepto</w:t>
            </w:r>
          </w:p>
        </w:tc>
        <w:tc>
          <w:tcPr>
            <w:tcW w:w="4090" w:type="dxa"/>
            <w:gridSpan w:val="3"/>
            <w:tcBorders>
              <w:top w:val="single" w:sz="8" w:space="0" w:color="auto"/>
              <w:left w:val="nil"/>
              <w:bottom w:val="single" w:sz="8" w:space="0" w:color="auto"/>
              <w:right w:val="single" w:sz="8" w:space="0" w:color="000000"/>
            </w:tcBorders>
            <w:shd w:val="clear" w:color="000000" w:fill="203764"/>
            <w:vAlign w:val="center"/>
            <w:hideMark/>
          </w:tcPr>
          <w:p w14:paraId="34531B90" w14:textId="77777777" w:rsidR="00CC126B" w:rsidRPr="00CC126B" w:rsidRDefault="00CC126B" w:rsidP="00CC126B">
            <w:pPr>
              <w:jc w:val="center"/>
              <w:rPr>
                <w:rFonts w:ascii="Arial Narrow" w:eastAsia="Times New Roman" w:hAnsi="Arial Narrow" w:cs="Calibri"/>
                <w:b/>
                <w:bCs/>
                <w:color w:val="FFFFFF"/>
                <w:sz w:val="22"/>
                <w:szCs w:val="22"/>
              </w:rPr>
            </w:pPr>
            <w:r w:rsidRPr="00CC126B">
              <w:rPr>
                <w:rFonts w:ascii="Arial Narrow" w:eastAsia="Times New Roman" w:hAnsi="Arial Narrow" w:cs="Calibri"/>
                <w:b/>
                <w:bCs/>
                <w:color w:val="FFFFFF"/>
                <w:sz w:val="22"/>
                <w:szCs w:val="22"/>
              </w:rPr>
              <w:t>Referencia</w:t>
            </w:r>
          </w:p>
        </w:tc>
      </w:tr>
      <w:tr w:rsidR="00CC126B" w:rsidRPr="006E5442" w14:paraId="10A77948" w14:textId="77777777" w:rsidTr="003F694B">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28B8CB99" w14:textId="77777777" w:rsidR="00CC126B" w:rsidRPr="00CC126B" w:rsidRDefault="00CC126B" w:rsidP="00CC126B">
            <w:pPr>
              <w:rPr>
                <w:rFonts w:ascii="Arial Narrow" w:eastAsia="Times New Roman" w:hAnsi="Arial Narrow" w:cs="Calibri"/>
                <w:b/>
                <w:bCs/>
                <w:color w:val="FFFFFF"/>
                <w:sz w:val="22"/>
                <w:szCs w:val="22"/>
              </w:rPr>
            </w:pPr>
          </w:p>
        </w:tc>
        <w:tc>
          <w:tcPr>
            <w:tcW w:w="3692" w:type="dxa"/>
            <w:gridSpan w:val="2"/>
            <w:vMerge/>
            <w:tcBorders>
              <w:top w:val="single" w:sz="8" w:space="0" w:color="auto"/>
              <w:left w:val="single" w:sz="8" w:space="0" w:color="auto"/>
              <w:bottom w:val="nil"/>
              <w:right w:val="single" w:sz="8" w:space="0" w:color="auto"/>
            </w:tcBorders>
            <w:vAlign w:val="center"/>
            <w:hideMark/>
          </w:tcPr>
          <w:p w14:paraId="54678585" w14:textId="77777777" w:rsidR="00CC126B" w:rsidRPr="00CC126B" w:rsidRDefault="00CC126B" w:rsidP="00CC126B">
            <w:pPr>
              <w:rPr>
                <w:rFonts w:ascii="Arial Narrow" w:eastAsia="Times New Roman" w:hAnsi="Arial Narrow" w:cs="Calibri"/>
                <w:b/>
                <w:bCs/>
                <w:color w:val="FFFFFF"/>
                <w:sz w:val="22"/>
                <w:szCs w:val="22"/>
              </w:rPr>
            </w:pPr>
          </w:p>
        </w:tc>
        <w:tc>
          <w:tcPr>
            <w:tcW w:w="2251" w:type="dxa"/>
            <w:gridSpan w:val="2"/>
            <w:tcBorders>
              <w:top w:val="nil"/>
              <w:left w:val="nil"/>
              <w:bottom w:val="nil"/>
              <w:right w:val="single" w:sz="8" w:space="0" w:color="auto"/>
            </w:tcBorders>
            <w:shd w:val="clear" w:color="000000" w:fill="203764"/>
            <w:vAlign w:val="center"/>
            <w:hideMark/>
          </w:tcPr>
          <w:p w14:paraId="227A3076" w14:textId="77777777" w:rsidR="00CC126B" w:rsidRPr="00CC126B" w:rsidRDefault="00CC126B" w:rsidP="00CC126B">
            <w:pPr>
              <w:jc w:val="center"/>
              <w:rPr>
                <w:rFonts w:ascii="Arial Narrow" w:eastAsia="Times New Roman" w:hAnsi="Arial Narrow" w:cs="Calibri"/>
                <w:b/>
                <w:bCs/>
                <w:color w:val="FFFFFF"/>
                <w:sz w:val="22"/>
                <w:szCs w:val="22"/>
              </w:rPr>
            </w:pPr>
            <w:r w:rsidRPr="00CC126B">
              <w:rPr>
                <w:rFonts w:ascii="Arial Narrow" w:eastAsia="Times New Roman" w:hAnsi="Arial Narrow" w:cs="Calibri"/>
                <w:b/>
                <w:bCs/>
                <w:color w:val="FFFFFF"/>
                <w:sz w:val="22"/>
                <w:szCs w:val="22"/>
              </w:rPr>
              <w:t>Norma</w:t>
            </w:r>
          </w:p>
        </w:tc>
        <w:tc>
          <w:tcPr>
            <w:tcW w:w="1839" w:type="dxa"/>
            <w:tcBorders>
              <w:top w:val="nil"/>
              <w:left w:val="nil"/>
              <w:bottom w:val="nil"/>
              <w:right w:val="single" w:sz="8" w:space="0" w:color="auto"/>
            </w:tcBorders>
            <w:shd w:val="clear" w:color="000000" w:fill="203764"/>
            <w:vAlign w:val="center"/>
            <w:hideMark/>
          </w:tcPr>
          <w:p w14:paraId="44A1DCFC" w14:textId="77777777" w:rsidR="00CC126B" w:rsidRPr="00CC126B" w:rsidRDefault="00CC126B" w:rsidP="00CC126B">
            <w:pPr>
              <w:jc w:val="center"/>
              <w:rPr>
                <w:rFonts w:ascii="Arial Narrow" w:eastAsia="Times New Roman" w:hAnsi="Arial Narrow" w:cs="Calibri"/>
                <w:b/>
                <w:bCs/>
                <w:color w:val="FFFFFF"/>
                <w:sz w:val="22"/>
                <w:szCs w:val="22"/>
                <w:lang w:val="es-CR"/>
              </w:rPr>
            </w:pPr>
            <w:r w:rsidRPr="00CC126B">
              <w:rPr>
                <w:rFonts w:ascii="Arial Narrow" w:eastAsia="Times New Roman" w:hAnsi="Arial Narrow" w:cs="Calibri"/>
                <w:b/>
                <w:bCs/>
                <w:color w:val="FFFFFF"/>
                <w:sz w:val="22"/>
                <w:szCs w:val="22"/>
                <w:lang w:val="es-CR"/>
              </w:rPr>
              <w:t>Normativa técnica y disposiciones adicionales</w:t>
            </w:r>
          </w:p>
        </w:tc>
      </w:tr>
      <w:tr w:rsidR="00CC126B" w:rsidRPr="00CC126B" w14:paraId="70B61543" w14:textId="77777777" w:rsidTr="003F694B">
        <w:trPr>
          <w:trHeight w:val="113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E46872" w14:textId="77777777" w:rsidR="00CC126B" w:rsidRPr="00CC126B" w:rsidRDefault="00CC126B" w:rsidP="00CC126B">
            <w:pPr>
              <w:jc w:val="center"/>
              <w:rPr>
                <w:rFonts w:ascii="Arial Narrow" w:eastAsia="Times New Roman" w:hAnsi="Arial Narrow" w:cs="Calibri"/>
                <w:b/>
                <w:bCs/>
                <w:color w:val="000000"/>
                <w:sz w:val="22"/>
                <w:szCs w:val="22"/>
              </w:rPr>
            </w:pPr>
            <w:r w:rsidRPr="00CC126B">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C87941C" w14:textId="77777777" w:rsidR="00CC126B" w:rsidRPr="00CC126B" w:rsidRDefault="00CC126B" w:rsidP="00CC126B">
            <w:pPr>
              <w:jc w:val="center"/>
              <w:rPr>
                <w:rFonts w:ascii="Arial Narrow" w:eastAsia="Times New Roman" w:hAnsi="Arial Narrow" w:cs="Calibri"/>
                <w:b/>
                <w:bCs/>
                <w:color w:val="000000"/>
                <w:sz w:val="22"/>
                <w:szCs w:val="22"/>
              </w:rPr>
            </w:pPr>
            <w:r w:rsidRPr="00CC126B">
              <w:rPr>
                <w:rFonts w:ascii="Arial Narrow" w:eastAsia="Times New Roman" w:hAnsi="Arial Narrow" w:cs="Calibri"/>
                <w:b/>
                <w:bCs/>
                <w:color w:val="000000"/>
                <w:sz w:val="22"/>
                <w:szCs w:val="22"/>
              </w:rPr>
              <w:t>28</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2849E6F1" w14:textId="77777777" w:rsidR="00CC126B" w:rsidRPr="00CC126B" w:rsidRDefault="00CC126B" w:rsidP="00CC126B">
            <w:pPr>
              <w:jc w:val="center"/>
              <w:rPr>
                <w:rFonts w:ascii="Arial Narrow" w:eastAsia="Times New Roman" w:hAnsi="Arial Narrow" w:cs="Calibri"/>
                <w:b/>
                <w:bCs/>
                <w:color w:val="000000"/>
                <w:sz w:val="22"/>
                <w:szCs w:val="22"/>
              </w:rPr>
            </w:pPr>
            <w:r w:rsidRPr="00CC126B">
              <w:rPr>
                <w:rFonts w:ascii="Arial Narrow" w:eastAsia="Times New Roman" w:hAnsi="Arial Narrow" w:cs="Calibri"/>
                <w:b/>
                <w:bCs/>
                <w:color w:val="000000"/>
                <w:sz w:val="22"/>
                <w:szCs w:val="22"/>
              </w:rPr>
              <w:t xml:space="preserve"> </w:t>
            </w:r>
          </w:p>
        </w:tc>
        <w:tc>
          <w:tcPr>
            <w:tcW w:w="3692" w:type="dxa"/>
            <w:gridSpan w:val="2"/>
            <w:tcBorders>
              <w:top w:val="single" w:sz="8" w:space="0" w:color="auto"/>
              <w:left w:val="nil"/>
              <w:bottom w:val="single" w:sz="8" w:space="0" w:color="auto"/>
              <w:right w:val="single" w:sz="8" w:space="0" w:color="auto"/>
            </w:tcBorders>
            <w:shd w:val="clear" w:color="auto" w:fill="auto"/>
            <w:vAlign w:val="center"/>
            <w:hideMark/>
          </w:tcPr>
          <w:p w14:paraId="362D6D44" w14:textId="77777777" w:rsidR="00CC126B" w:rsidRPr="00CC126B" w:rsidRDefault="00CC126B" w:rsidP="00CC126B">
            <w:pPr>
              <w:jc w:val="both"/>
              <w:rPr>
                <w:rFonts w:ascii="Arial Narrow" w:eastAsia="Times New Roman" w:hAnsi="Arial Narrow" w:cs="Calibri"/>
                <w:b/>
                <w:bCs/>
                <w:color w:val="000000"/>
                <w:sz w:val="22"/>
                <w:szCs w:val="22"/>
              </w:rPr>
            </w:pPr>
            <w:r w:rsidRPr="00CC126B">
              <w:rPr>
                <w:rFonts w:ascii="Arial Narrow" w:eastAsia="Times New Roman" w:hAnsi="Arial Narrow" w:cs="Calibri"/>
                <w:b/>
                <w:bCs/>
                <w:color w:val="000000"/>
                <w:sz w:val="22"/>
                <w:szCs w:val="22"/>
              </w:rPr>
              <w:t>Instrumentos Financieros</w:t>
            </w:r>
          </w:p>
        </w:tc>
        <w:tc>
          <w:tcPr>
            <w:tcW w:w="2251" w:type="dxa"/>
            <w:gridSpan w:val="2"/>
            <w:tcBorders>
              <w:top w:val="single" w:sz="8" w:space="0" w:color="auto"/>
              <w:left w:val="nil"/>
              <w:bottom w:val="single" w:sz="8" w:space="0" w:color="auto"/>
              <w:right w:val="single" w:sz="8" w:space="0" w:color="auto"/>
            </w:tcBorders>
            <w:shd w:val="clear" w:color="auto" w:fill="auto"/>
            <w:vAlign w:val="center"/>
            <w:hideMark/>
          </w:tcPr>
          <w:p w14:paraId="07768537" w14:textId="77777777" w:rsidR="00CC126B" w:rsidRDefault="00CC126B" w:rsidP="00CC126B">
            <w:pPr>
              <w:jc w:val="both"/>
              <w:rPr>
                <w:rFonts w:ascii="Arial Narrow" w:eastAsia="Times New Roman" w:hAnsi="Arial Narrow" w:cs="Calibri"/>
                <w:b/>
                <w:bCs/>
                <w:color w:val="000000"/>
                <w:sz w:val="22"/>
                <w:szCs w:val="22"/>
                <w:lang w:val="es-CR"/>
              </w:rPr>
            </w:pPr>
            <w:r w:rsidRPr="00CC126B">
              <w:rPr>
                <w:rFonts w:ascii="Arial Narrow" w:eastAsia="Times New Roman" w:hAnsi="Arial Narrow" w:cs="Calibri"/>
                <w:b/>
                <w:bCs/>
                <w:color w:val="000000"/>
                <w:sz w:val="22"/>
                <w:szCs w:val="22"/>
                <w:lang w:val="es-CR"/>
              </w:rPr>
              <w:t>NICSP N° 28,</w:t>
            </w:r>
          </w:p>
          <w:p w14:paraId="5079C476" w14:textId="77777777" w:rsidR="00CC126B" w:rsidRDefault="00CC126B" w:rsidP="00CC126B">
            <w:pPr>
              <w:jc w:val="both"/>
              <w:rPr>
                <w:rFonts w:ascii="Arial Narrow" w:eastAsia="Times New Roman" w:hAnsi="Arial Narrow" w:cs="Calibri"/>
                <w:b/>
                <w:bCs/>
                <w:color w:val="000000"/>
                <w:sz w:val="22"/>
                <w:szCs w:val="22"/>
                <w:lang w:val="es-CR"/>
              </w:rPr>
            </w:pPr>
            <w:r w:rsidRPr="00CC126B">
              <w:rPr>
                <w:rFonts w:ascii="Arial Narrow" w:eastAsia="Times New Roman" w:hAnsi="Arial Narrow" w:cs="Calibri"/>
                <w:b/>
                <w:bCs/>
                <w:color w:val="000000"/>
                <w:sz w:val="22"/>
                <w:szCs w:val="22"/>
                <w:lang w:val="es-CR"/>
              </w:rPr>
              <w:t>Párrafo 44.</w:t>
            </w:r>
          </w:p>
          <w:p w14:paraId="7E9F650F" w14:textId="27004592" w:rsidR="00CC126B" w:rsidRDefault="00CC126B" w:rsidP="00CC126B">
            <w:pPr>
              <w:jc w:val="both"/>
              <w:rPr>
                <w:rFonts w:ascii="Arial Narrow" w:eastAsia="Times New Roman" w:hAnsi="Arial Narrow" w:cs="Calibri"/>
                <w:b/>
                <w:bCs/>
                <w:color w:val="000000"/>
                <w:sz w:val="22"/>
                <w:szCs w:val="22"/>
                <w:lang w:val="es-CR"/>
              </w:rPr>
            </w:pPr>
            <w:r w:rsidRPr="00CC126B">
              <w:rPr>
                <w:rFonts w:ascii="Arial Narrow" w:eastAsia="Times New Roman" w:hAnsi="Arial Narrow" w:cs="Calibri"/>
                <w:b/>
                <w:bCs/>
                <w:color w:val="000000"/>
                <w:sz w:val="22"/>
                <w:szCs w:val="22"/>
                <w:lang w:val="es-CR"/>
              </w:rPr>
              <w:t>NICSP N° 30,</w:t>
            </w:r>
          </w:p>
          <w:p w14:paraId="07C588A6" w14:textId="23FEBCD8" w:rsidR="00CC126B" w:rsidRPr="00CC126B" w:rsidRDefault="00CC126B" w:rsidP="00CC126B">
            <w:pPr>
              <w:jc w:val="both"/>
              <w:rPr>
                <w:rFonts w:ascii="Arial Narrow" w:eastAsia="Times New Roman" w:hAnsi="Arial Narrow" w:cs="Calibri"/>
                <w:b/>
                <w:bCs/>
                <w:color w:val="000000"/>
                <w:sz w:val="22"/>
                <w:szCs w:val="22"/>
                <w:lang w:val="es-CR"/>
              </w:rPr>
            </w:pPr>
            <w:r w:rsidRPr="00CC126B">
              <w:rPr>
                <w:rFonts w:ascii="Arial Narrow" w:eastAsia="Times New Roman" w:hAnsi="Arial Narrow" w:cs="Calibri"/>
                <w:b/>
                <w:bCs/>
                <w:color w:val="000000"/>
                <w:sz w:val="22"/>
                <w:szCs w:val="22"/>
                <w:lang w:val="es-CR"/>
              </w:rPr>
              <w:t>Párrafo 24.</w:t>
            </w:r>
          </w:p>
        </w:tc>
        <w:tc>
          <w:tcPr>
            <w:tcW w:w="1846" w:type="dxa"/>
            <w:gridSpan w:val="2"/>
            <w:tcBorders>
              <w:top w:val="single" w:sz="8" w:space="0" w:color="auto"/>
              <w:left w:val="nil"/>
              <w:bottom w:val="single" w:sz="8" w:space="0" w:color="auto"/>
              <w:right w:val="single" w:sz="8" w:space="0" w:color="auto"/>
            </w:tcBorders>
            <w:shd w:val="clear" w:color="auto" w:fill="auto"/>
            <w:vAlign w:val="center"/>
            <w:hideMark/>
          </w:tcPr>
          <w:p w14:paraId="4017EB99" w14:textId="77777777" w:rsidR="00CC126B" w:rsidRPr="00CC126B" w:rsidRDefault="00CC126B" w:rsidP="00CC126B">
            <w:pPr>
              <w:jc w:val="center"/>
              <w:rPr>
                <w:rFonts w:ascii="Arial Narrow" w:eastAsia="Times New Roman" w:hAnsi="Arial Narrow" w:cs="Calibri"/>
                <w:b/>
                <w:bCs/>
                <w:color w:val="000000"/>
                <w:sz w:val="22"/>
                <w:szCs w:val="22"/>
                <w:lang w:val="es-CR"/>
              </w:rPr>
            </w:pPr>
            <w:r w:rsidRPr="00CC126B">
              <w:rPr>
                <w:rFonts w:ascii="Arial Narrow" w:eastAsia="Times New Roman" w:hAnsi="Arial Narrow" w:cs="Calibri"/>
                <w:b/>
                <w:bCs/>
                <w:color w:val="000000"/>
                <w:sz w:val="22"/>
                <w:szCs w:val="22"/>
                <w:lang w:val="es-CR"/>
              </w:rPr>
              <w:t> </w:t>
            </w:r>
          </w:p>
        </w:tc>
      </w:tr>
    </w:tbl>
    <w:p w14:paraId="2E72D63B" w14:textId="77777777" w:rsidR="00F57D66" w:rsidRDefault="00F57D66" w:rsidP="00B81FB3">
      <w:pPr>
        <w:pStyle w:val="Default"/>
        <w:jc w:val="both"/>
        <w:rPr>
          <w:sz w:val="22"/>
          <w:szCs w:val="22"/>
          <w:lang w:val="es-CR"/>
        </w:rPr>
      </w:pPr>
    </w:p>
    <w:p w14:paraId="33C77355" w14:textId="3EDCD5F1" w:rsidR="003F694B" w:rsidRDefault="003F694B" w:rsidP="003F694B">
      <w:pPr>
        <w:pStyle w:val="Default"/>
        <w:ind w:left="1134" w:hanging="1134"/>
        <w:jc w:val="both"/>
        <w:rPr>
          <w:rFonts w:eastAsia="Arial"/>
          <w:b/>
          <w:sz w:val="22"/>
          <w:szCs w:val="22"/>
        </w:rPr>
      </w:pPr>
      <w:r w:rsidRPr="00F02F9D">
        <w:rPr>
          <w:rFonts w:eastAsia="Arial"/>
          <w:b/>
          <w:sz w:val="22"/>
          <w:szCs w:val="22"/>
        </w:rPr>
        <w:t>Política Contable</w:t>
      </w:r>
    </w:p>
    <w:p w14:paraId="65456F30" w14:textId="77777777" w:rsidR="003F694B" w:rsidRPr="00B81FB3" w:rsidRDefault="003F694B" w:rsidP="00B81FB3">
      <w:pPr>
        <w:pStyle w:val="Default"/>
        <w:jc w:val="both"/>
        <w:rPr>
          <w:sz w:val="22"/>
          <w:szCs w:val="22"/>
          <w:lang w:val="es-CR"/>
        </w:rPr>
      </w:pPr>
    </w:p>
    <w:p w14:paraId="59E08FD5" w14:textId="28592511" w:rsidR="00CC126B" w:rsidRDefault="00CC126B" w:rsidP="00CC126B">
      <w:pPr>
        <w:pStyle w:val="Default"/>
        <w:ind w:left="1134" w:hanging="1134"/>
        <w:jc w:val="both"/>
        <w:rPr>
          <w:sz w:val="22"/>
          <w:szCs w:val="22"/>
          <w:lang w:val="es-CR"/>
        </w:rPr>
      </w:pPr>
      <w:r>
        <w:rPr>
          <w:sz w:val="22"/>
          <w:szCs w:val="22"/>
          <w:lang w:val="es-CR"/>
        </w:rPr>
        <w:t>6.28.0.01</w:t>
      </w:r>
      <w:r>
        <w:rPr>
          <w:sz w:val="22"/>
          <w:szCs w:val="22"/>
          <w:lang w:val="es-CR"/>
        </w:rPr>
        <w:tab/>
      </w:r>
      <w:r w:rsidRPr="00CC126B">
        <w:rPr>
          <w:sz w:val="22"/>
          <w:szCs w:val="22"/>
          <w:lang w:val="es-CR"/>
        </w:rPr>
        <w:t>Las entidades deberán revelar en el ERF o en Notas a dicho estado la siguiente información relacionada con instrumentos financieros, sin perjuicio de lo requerido en otros Capítulos del presente PGCN:</w:t>
      </w:r>
    </w:p>
    <w:p w14:paraId="4CC043AF" w14:textId="77777777" w:rsidR="00CC126B" w:rsidRPr="00CC126B" w:rsidRDefault="00CC126B" w:rsidP="00CC126B">
      <w:pPr>
        <w:pStyle w:val="Default"/>
        <w:ind w:left="1134" w:hanging="1134"/>
        <w:jc w:val="both"/>
        <w:rPr>
          <w:sz w:val="22"/>
          <w:szCs w:val="22"/>
          <w:lang w:val="es-CR"/>
        </w:rPr>
      </w:pPr>
    </w:p>
    <w:p w14:paraId="16FABD77" w14:textId="26981253" w:rsidR="00CC126B" w:rsidRDefault="00CC126B">
      <w:pPr>
        <w:pStyle w:val="Default"/>
        <w:numPr>
          <w:ilvl w:val="0"/>
          <w:numId w:val="348"/>
        </w:numPr>
        <w:spacing w:after="20"/>
        <w:ind w:left="1418" w:hanging="284"/>
        <w:jc w:val="both"/>
        <w:rPr>
          <w:sz w:val="22"/>
          <w:szCs w:val="22"/>
          <w:lang w:val="es-CR"/>
        </w:rPr>
      </w:pPr>
      <w:r>
        <w:rPr>
          <w:sz w:val="22"/>
          <w:szCs w:val="22"/>
          <w:lang w:val="es-CR"/>
        </w:rPr>
        <w:t>G</w:t>
      </w:r>
      <w:r w:rsidRPr="00CC126B">
        <w:rPr>
          <w:sz w:val="22"/>
          <w:szCs w:val="22"/>
          <w:lang w:val="es-CR"/>
        </w:rPr>
        <w:t>anancias o pérdidas netas por:</w:t>
      </w:r>
    </w:p>
    <w:p w14:paraId="32EE9FB5" w14:textId="77777777" w:rsidR="00CC126B" w:rsidRPr="00CC126B" w:rsidRDefault="00CC126B" w:rsidP="00CC126B">
      <w:pPr>
        <w:pStyle w:val="Default"/>
        <w:spacing w:after="20"/>
        <w:ind w:left="1418"/>
        <w:jc w:val="both"/>
        <w:rPr>
          <w:sz w:val="22"/>
          <w:szCs w:val="22"/>
          <w:lang w:val="es-CR"/>
        </w:rPr>
      </w:pPr>
    </w:p>
    <w:p w14:paraId="2C4344F7" w14:textId="07B58CBA" w:rsidR="00CC126B" w:rsidRPr="00CC126B" w:rsidRDefault="00CC126B">
      <w:pPr>
        <w:pStyle w:val="Default"/>
        <w:numPr>
          <w:ilvl w:val="0"/>
          <w:numId w:val="349"/>
        </w:numPr>
        <w:spacing w:after="120"/>
        <w:ind w:left="1701" w:hanging="153"/>
        <w:jc w:val="both"/>
        <w:rPr>
          <w:sz w:val="22"/>
          <w:szCs w:val="22"/>
          <w:lang w:val="es-CR"/>
        </w:rPr>
      </w:pPr>
      <w:r>
        <w:rPr>
          <w:sz w:val="22"/>
          <w:szCs w:val="22"/>
          <w:lang w:val="es-CR"/>
        </w:rPr>
        <w:t>A</w:t>
      </w:r>
      <w:r w:rsidRPr="00CC126B">
        <w:rPr>
          <w:sz w:val="22"/>
          <w:szCs w:val="22"/>
          <w:lang w:val="es-CR"/>
        </w:rPr>
        <w:t xml:space="preserve">ctivos financieros o pasivos financieros al valor razonable con cambios en resultados (ahorro o desahorro), mostrando de forma separada las correspondientes a los activos financieros o pasivos financieros designados como tales en el reconocimiento inicial, y las de los activos financieros y pasivos financieros que se hayan clasificado como mantenidos para negociar; </w:t>
      </w:r>
    </w:p>
    <w:p w14:paraId="2BB97D31" w14:textId="57441903" w:rsidR="00CC126B" w:rsidRPr="00CC126B" w:rsidRDefault="00CC126B">
      <w:pPr>
        <w:pStyle w:val="Default"/>
        <w:numPr>
          <w:ilvl w:val="0"/>
          <w:numId w:val="349"/>
        </w:numPr>
        <w:spacing w:after="120"/>
        <w:ind w:left="1701" w:hanging="153"/>
        <w:jc w:val="both"/>
        <w:rPr>
          <w:sz w:val="22"/>
          <w:szCs w:val="22"/>
          <w:lang w:val="es-CR"/>
        </w:rPr>
      </w:pPr>
      <w:r>
        <w:rPr>
          <w:sz w:val="22"/>
          <w:szCs w:val="22"/>
          <w:lang w:val="es-CR"/>
        </w:rPr>
        <w:lastRenderedPageBreak/>
        <w:t>A</w:t>
      </w:r>
      <w:r w:rsidRPr="00CC126B">
        <w:rPr>
          <w:sz w:val="22"/>
          <w:szCs w:val="22"/>
          <w:lang w:val="es-CR"/>
        </w:rPr>
        <w:t xml:space="preserve">ctivos financieros disponibles para la venta, mostrando por separado el importe de la ganancia o pérdida reconocida directamente en los activos netos/patrimonio durante el período y el importe que ha sido reclasificado de los activos netos/patrimonio y reconocido directamente en resultados (ahorro o desahorro) del período; </w:t>
      </w:r>
    </w:p>
    <w:p w14:paraId="060482E4" w14:textId="20CB9392" w:rsidR="00CC126B" w:rsidRPr="00CC126B" w:rsidRDefault="00CC126B">
      <w:pPr>
        <w:pStyle w:val="Default"/>
        <w:numPr>
          <w:ilvl w:val="0"/>
          <w:numId w:val="349"/>
        </w:numPr>
        <w:spacing w:after="120"/>
        <w:ind w:left="1701" w:hanging="153"/>
        <w:jc w:val="both"/>
        <w:rPr>
          <w:sz w:val="22"/>
          <w:szCs w:val="22"/>
          <w:lang w:val="es-CR"/>
        </w:rPr>
      </w:pPr>
      <w:r>
        <w:rPr>
          <w:sz w:val="22"/>
          <w:szCs w:val="22"/>
          <w:lang w:val="es-CR"/>
        </w:rPr>
        <w:t>I</w:t>
      </w:r>
      <w:r w:rsidRPr="00CC126B">
        <w:rPr>
          <w:sz w:val="22"/>
          <w:szCs w:val="22"/>
          <w:lang w:val="es-CR"/>
        </w:rPr>
        <w:t xml:space="preserve">nversiones mantenidas hasta el vencimiento; </w:t>
      </w:r>
    </w:p>
    <w:p w14:paraId="761E203E" w14:textId="1D4B4F22" w:rsidR="00CC126B" w:rsidRPr="00CC126B" w:rsidRDefault="00CC126B">
      <w:pPr>
        <w:pStyle w:val="Default"/>
        <w:numPr>
          <w:ilvl w:val="0"/>
          <w:numId w:val="349"/>
        </w:numPr>
        <w:spacing w:after="120"/>
        <w:ind w:left="1701" w:hanging="153"/>
        <w:jc w:val="both"/>
        <w:rPr>
          <w:sz w:val="22"/>
          <w:szCs w:val="22"/>
          <w:lang w:val="es-CR"/>
        </w:rPr>
      </w:pPr>
      <w:r>
        <w:rPr>
          <w:sz w:val="22"/>
          <w:szCs w:val="22"/>
          <w:lang w:val="es-CR"/>
        </w:rPr>
        <w:t>P</w:t>
      </w:r>
      <w:r w:rsidRPr="00CC126B">
        <w:rPr>
          <w:sz w:val="22"/>
          <w:szCs w:val="22"/>
          <w:lang w:val="es-CR"/>
        </w:rPr>
        <w:t xml:space="preserve">réstamos y cuentas por cobrar; y </w:t>
      </w:r>
    </w:p>
    <w:p w14:paraId="7CC7EC4C" w14:textId="13EA0741" w:rsidR="00CC126B" w:rsidRDefault="00CC126B">
      <w:pPr>
        <w:pStyle w:val="Default"/>
        <w:numPr>
          <w:ilvl w:val="0"/>
          <w:numId w:val="349"/>
        </w:numPr>
        <w:spacing w:after="20"/>
        <w:ind w:left="1701" w:hanging="153"/>
        <w:jc w:val="both"/>
        <w:rPr>
          <w:sz w:val="22"/>
          <w:szCs w:val="22"/>
          <w:lang w:val="es-CR"/>
        </w:rPr>
      </w:pPr>
      <w:r>
        <w:rPr>
          <w:sz w:val="22"/>
          <w:szCs w:val="22"/>
          <w:lang w:val="es-CR"/>
        </w:rPr>
        <w:t>P</w:t>
      </w:r>
      <w:r w:rsidRPr="00CC126B">
        <w:rPr>
          <w:sz w:val="22"/>
          <w:szCs w:val="22"/>
          <w:lang w:val="es-CR"/>
        </w:rPr>
        <w:t xml:space="preserve">asivos financieros medidos al costo amortizado; </w:t>
      </w:r>
    </w:p>
    <w:p w14:paraId="6989929C" w14:textId="77777777" w:rsidR="00CC126B" w:rsidRDefault="00CC126B" w:rsidP="00CC126B">
      <w:pPr>
        <w:pStyle w:val="Default"/>
        <w:spacing w:after="20"/>
        <w:jc w:val="both"/>
        <w:rPr>
          <w:sz w:val="22"/>
          <w:szCs w:val="22"/>
          <w:lang w:val="es-CR"/>
        </w:rPr>
      </w:pPr>
    </w:p>
    <w:p w14:paraId="1CC11087" w14:textId="5DCA5DC3" w:rsidR="00CC126B" w:rsidRPr="00CC126B" w:rsidRDefault="00CC126B">
      <w:pPr>
        <w:pStyle w:val="Default"/>
        <w:numPr>
          <w:ilvl w:val="0"/>
          <w:numId w:val="348"/>
        </w:numPr>
        <w:spacing w:after="120"/>
        <w:ind w:left="1418" w:hanging="284"/>
        <w:jc w:val="both"/>
        <w:rPr>
          <w:sz w:val="22"/>
          <w:szCs w:val="22"/>
          <w:lang w:val="es-CR"/>
        </w:rPr>
      </w:pPr>
      <w:r>
        <w:rPr>
          <w:sz w:val="22"/>
          <w:szCs w:val="22"/>
          <w:lang w:val="es-CR"/>
        </w:rPr>
        <w:t>I</w:t>
      </w:r>
      <w:r w:rsidRPr="00CC126B">
        <w:rPr>
          <w:sz w:val="22"/>
          <w:szCs w:val="22"/>
          <w:lang w:val="es-CR"/>
        </w:rPr>
        <w:t xml:space="preserve">mportes totales de los ingresos y de los gastos por intereses (calculados utilizando el método de la tasa de interés efectiva) producidos por los activos financieros y los pasivos financieros que no se midan al valor razonable con cambios en resultados (ahorro o desahorro); </w:t>
      </w:r>
    </w:p>
    <w:p w14:paraId="35A3DAB1" w14:textId="02446E8D" w:rsidR="00CC126B" w:rsidRDefault="00CC126B">
      <w:pPr>
        <w:pStyle w:val="Default"/>
        <w:numPr>
          <w:ilvl w:val="0"/>
          <w:numId w:val="348"/>
        </w:numPr>
        <w:spacing w:after="20"/>
        <w:ind w:left="1418" w:hanging="284"/>
        <w:jc w:val="both"/>
        <w:rPr>
          <w:sz w:val="22"/>
          <w:szCs w:val="22"/>
          <w:lang w:val="es-CR"/>
        </w:rPr>
      </w:pPr>
      <w:r>
        <w:rPr>
          <w:sz w:val="22"/>
          <w:szCs w:val="22"/>
          <w:lang w:val="es-CR"/>
        </w:rPr>
        <w:t>I</w:t>
      </w:r>
      <w:r w:rsidRPr="00CC126B">
        <w:rPr>
          <w:sz w:val="22"/>
          <w:szCs w:val="22"/>
          <w:lang w:val="es-CR"/>
        </w:rPr>
        <w:t>ngresos y gastos por comisiones (distintos de los importes incluidos al determinar la tasa de interés efectiva) que surjan de:</w:t>
      </w:r>
    </w:p>
    <w:p w14:paraId="5D2197F2" w14:textId="77777777" w:rsidR="00CC126B" w:rsidRPr="00CC126B" w:rsidRDefault="00CC126B" w:rsidP="00CC126B">
      <w:pPr>
        <w:pStyle w:val="Default"/>
        <w:spacing w:after="20"/>
        <w:ind w:left="1418"/>
        <w:jc w:val="both"/>
        <w:rPr>
          <w:sz w:val="22"/>
          <w:szCs w:val="22"/>
          <w:lang w:val="es-CR"/>
        </w:rPr>
      </w:pPr>
    </w:p>
    <w:p w14:paraId="6A09955C" w14:textId="3AC666C8" w:rsidR="00CC126B" w:rsidRPr="00CC126B" w:rsidRDefault="00CC126B">
      <w:pPr>
        <w:pStyle w:val="Default"/>
        <w:numPr>
          <w:ilvl w:val="0"/>
          <w:numId w:val="350"/>
        </w:numPr>
        <w:spacing w:after="120"/>
        <w:ind w:left="1701" w:hanging="153"/>
        <w:jc w:val="both"/>
        <w:rPr>
          <w:sz w:val="22"/>
          <w:szCs w:val="22"/>
          <w:lang w:val="es-CR"/>
        </w:rPr>
      </w:pPr>
      <w:r>
        <w:rPr>
          <w:sz w:val="22"/>
          <w:szCs w:val="22"/>
          <w:lang w:val="es-CR"/>
        </w:rPr>
        <w:t>A</w:t>
      </w:r>
      <w:r w:rsidRPr="00CC126B">
        <w:rPr>
          <w:sz w:val="22"/>
          <w:szCs w:val="22"/>
          <w:lang w:val="es-CR"/>
        </w:rPr>
        <w:t xml:space="preserve">ctivos financieros o pasivos financieros que no se midan al valor razonable con cambios en resultados (ahorro o desahorro); y </w:t>
      </w:r>
    </w:p>
    <w:p w14:paraId="0CB3DB31" w14:textId="4289CBCD" w:rsidR="00CC126B" w:rsidRPr="00CC126B" w:rsidRDefault="00CC126B">
      <w:pPr>
        <w:pStyle w:val="Default"/>
        <w:numPr>
          <w:ilvl w:val="0"/>
          <w:numId w:val="350"/>
        </w:numPr>
        <w:spacing w:after="120"/>
        <w:ind w:left="1701" w:hanging="153"/>
        <w:jc w:val="both"/>
        <w:rPr>
          <w:sz w:val="22"/>
          <w:szCs w:val="22"/>
          <w:lang w:val="es-CR"/>
        </w:rPr>
      </w:pPr>
      <w:r>
        <w:rPr>
          <w:sz w:val="22"/>
          <w:szCs w:val="22"/>
          <w:lang w:val="es-CR"/>
        </w:rPr>
        <w:t>A</w:t>
      </w:r>
      <w:r w:rsidRPr="00CC126B">
        <w:rPr>
          <w:sz w:val="22"/>
          <w:szCs w:val="22"/>
          <w:lang w:val="es-CR"/>
        </w:rPr>
        <w:t xml:space="preserve">ctividades fiduciarias o de administración que supongan la tenencia o inversión de activos por cuenta de individuos, fideicomisos, planes de prestaciones por retiro y otras instituciones; </w:t>
      </w:r>
    </w:p>
    <w:p w14:paraId="6AECA870" w14:textId="06C909A5" w:rsidR="00CC126B" w:rsidRPr="00CC126B" w:rsidRDefault="00CC126B">
      <w:pPr>
        <w:pStyle w:val="Default"/>
        <w:numPr>
          <w:ilvl w:val="0"/>
          <w:numId w:val="350"/>
        </w:numPr>
        <w:spacing w:after="120"/>
        <w:ind w:left="1701" w:hanging="153"/>
        <w:jc w:val="both"/>
        <w:rPr>
          <w:sz w:val="22"/>
          <w:szCs w:val="22"/>
          <w:lang w:val="es-CR"/>
        </w:rPr>
      </w:pPr>
      <w:r>
        <w:rPr>
          <w:sz w:val="22"/>
          <w:szCs w:val="22"/>
          <w:lang w:val="es-CR"/>
        </w:rPr>
        <w:t>I</w:t>
      </w:r>
      <w:r w:rsidRPr="00CC126B">
        <w:rPr>
          <w:sz w:val="22"/>
          <w:szCs w:val="22"/>
          <w:lang w:val="es-CR"/>
        </w:rPr>
        <w:t xml:space="preserve">ngresos por intereses sobre activos financieros deteriorados, devengados; </w:t>
      </w:r>
    </w:p>
    <w:p w14:paraId="1406AF06" w14:textId="21109C23" w:rsidR="00CC126B" w:rsidRPr="00CC126B" w:rsidRDefault="00CC126B">
      <w:pPr>
        <w:pStyle w:val="Default"/>
        <w:numPr>
          <w:ilvl w:val="0"/>
          <w:numId w:val="350"/>
        </w:numPr>
        <w:spacing w:after="120"/>
        <w:ind w:left="1701" w:hanging="153"/>
        <w:jc w:val="both"/>
        <w:rPr>
          <w:sz w:val="22"/>
          <w:szCs w:val="22"/>
          <w:lang w:val="es-CR"/>
        </w:rPr>
      </w:pPr>
      <w:r>
        <w:rPr>
          <w:sz w:val="22"/>
          <w:szCs w:val="22"/>
          <w:lang w:val="es-CR"/>
        </w:rPr>
        <w:t>E</w:t>
      </w:r>
      <w:r w:rsidRPr="00CC126B">
        <w:rPr>
          <w:sz w:val="22"/>
          <w:szCs w:val="22"/>
          <w:lang w:val="es-CR"/>
        </w:rPr>
        <w:t xml:space="preserve">l importe de las pérdidas por deterioro para cada clase de activo financiero; y </w:t>
      </w:r>
    </w:p>
    <w:p w14:paraId="384C524A" w14:textId="2A10BD87" w:rsidR="00F57D66" w:rsidRPr="003F694B" w:rsidRDefault="00CC126B" w:rsidP="00B81FB3">
      <w:pPr>
        <w:pStyle w:val="Default"/>
        <w:numPr>
          <w:ilvl w:val="0"/>
          <w:numId w:val="350"/>
        </w:numPr>
        <w:ind w:left="1701" w:hanging="153"/>
        <w:jc w:val="both"/>
        <w:rPr>
          <w:sz w:val="22"/>
          <w:szCs w:val="22"/>
          <w:lang w:val="es-CR"/>
        </w:rPr>
      </w:pPr>
      <w:r>
        <w:rPr>
          <w:sz w:val="22"/>
          <w:szCs w:val="22"/>
          <w:lang w:val="es-CR"/>
        </w:rPr>
        <w:t>E</w:t>
      </w:r>
      <w:r w:rsidRPr="00CC126B">
        <w:rPr>
          <w:sz w:val="22"/>
          <w:szCs w:val="22"/>
          <w:lang w:val="es-CR"/>
        </w:rPr>
        <w:t xml:space="preserve">l importe de los costos de la transacción que se hayan contabilizado como deducciones de los instrumentos de patrimonio. </w:t>
      </w:r>
    </w:p>
    <w:p w14:paraId="1215CBE1" w14:textId="77777777" w:rsidR="00CC126B" w:rsidRDefault="00CC126B" w:rsidP="00B81FB3">
      <w:pPr>
        <w:pStyle w:val="Default"/>
        <w:jc w:val="both"/>
        <w:rPr>
          <w:sz w:val="22"/>
          <w:szCs w:val="22"/>
          <w:lang w:val="es-CR"/>
        </w:rPr>
      </w:pPr>
    </w:p>
    <w:p w14:paraId="1F4500D8" w14:textId="77777777" w:rsidR="00CC126B" w:rsidRPr="00B81FB3" w:rsidRDefault="00CC126B" w:rsidP="00B81FB3">
      <w:pPr>
        <w:pStyle w:val="Default"/>
        <w:jc w:val="both"/>
        <w:rPr>
          <w:sz w:val="22"/>
          <w:szCs w:val="22"/>
          <w:lang w:val="es-CR"/>
        </w:rPr>
      </w:pPr>
    </w:p>
    <w:p w14:paraId="3C1C0F6E" w14:textId="77777777" w:rsidR="00F57D66" w:rsidRPr="00B81FB3" w:rsidRDefault="00F57D66" w:rsidP="00B81FB3">
      <w:pPr>
        <w:pStyle w:val="Default"/>
        <w:jc w:val="both"/>
        <w:rPr>
          <w:sz w:val="22"/>
          <w:szCs w:val="22"/>
          <w:lang w:val="es-CR"/>
        </w:rPr>
      </w:pPr>
    </w:p>
    <w:tbl>
      <w:tblPr>
        <w:tblW w:w="9364" w:type="dxa"/>
        <w:tblLook w:val="04A0" w:firstRow="1" w:lastRow="0" w:firstColumn="1" w:lastColumn="0" w:noHBand="0" w:noVBand="1"/>
      </w:tblPr>
      <w:tblGrid>
        <w:gridCol w:w="416"/>
        <w:gridCol w:w="850"/>
        <w:gridCol w:w="425"/>
        <w:gridCol w:w="3689"/>
        <w:gridCol w:w="2123"/>
        <w:gridCol w:w="1855"/>
        <w:gridCol w:w="6"/>
      </w:tblGrid>
      <w:tr w:rsidR="00D033EC" w:rsidRPr="00D033EC" w14:paraId="56EFAA47" w14:textId="77777777" w:rsidTr="003F694B">
        <w:trPr>
          <w:trHeight w:val="300"/>
        </w:trPr>
        <w:tc>
          <w:tcPr>
            <w:tcW w:w="169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2427A1E" w14:textId="77777777" w:rsidR="00D033EC" w:rsidRPr="00D033EC" w:rsidRDefault="00D033EC" w:rsidP="00D033EC">
            <w:pPr>
              <w:jc w:val="center"/>
              <w:rPr>
                <w:rFonts w:ascii="Arial Narrow" w:eastAsia="Times New Roman" w:hAnsi="Arial Narrow" w:cs="Calibri"/>
                <w:b/>
                <w:bCs/>
                <w:color w:val="FFFFFF"/>
                <w:sz w:val="22"/>
                <w:szCs w:val="22"/>
              </w:rPr>
            </w:pPr>
            <w:r w:rsidRPr="00D033EC">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6B538725" w14:textId="77777777" w:rsidR="00D033EC" w:rsidRPr="00D033EC" w:rsidRDefault="00D033EC" w:rsidP="00D033EC">
            <w:pPr>
              <w:jc w:val="center"/>
              <w:rPr>
                <w:rFonts w:ascii="Arial Narrow" w:eastAsia="Times New Roman" w:hAnsi="Arial Narrow" w:cs="Calibri"/>
                <w:b/>
                <w:bCs/>
                <w:color w:val="FFFFFF"/>
                <w:sz w:val="22"/>
                <w:szCs w:val="22"/>
              </w:rPr>
            </w:pPr>
            <w:r w:rsidRPr="00D033EC">
              <w:rPr>
                <w:rFonts w:ascii="Arial Narrow" w:eastAsia="Times New Roman" w:hAnsi="Arial Narrow" w:cs="Calibri"/>
                <w:b/>
                <w:bCs/>
                <w:color w:val="FFFFFF"/>
                <w:sz w:val="22"/>
                <w:szCs w:val="22"/>
              </w:rPr>
              <w:t>Concepto</w:t>
            </w:r>
          </w:p>
        </w:tc>
        <w:tc>
          <w:tcPr>
            <w:tcW w:w="3984" w:type="dxa"/>
            <w:gridSpan w:val="3"/>
            <w:tcBorders>
              <w:top w:val="single" w:sz="8" w:space="0" w:color="auto"/>
              <w:left w:val="nil"/>
              <w:bottom w:val="single" w:sz="8" w:space="0" w:color="auto"/>
              <w:right w:val="single" w:sz="8" w:space="0" w:color="000000"/>
            </w:tcBorders>
            <w:shd w:val="clear" w:color="000000" w:fill="203764"/>
            <w:vAlign w:val="center"/>
            <w:hideMark/>
          </w:tcPr>
          <w:p w14:paraId="7E7483C2" w14:textId="77777777" w:rsidR="00D033EC" w:rsidRPr="00D033EC" w:rsidRDefault="00D033EC" w:rsidP="00D033EC">
            <w:pPr>
              <w:jc w:val="center"/>
              <w:rPr>
                <w:rFonts w:ascii="Arial Narrow" w:eastAsia="Times New Roman" w:hAnsi="Arial Narrow" w:cs="Calibri"/>
                <w:b/>
                <w:bCs/>
                <w:color w:val="FFFFFF"/>
                <w:sz w:val="22"/>
                <w:szCs w:val="22"/>
              </w:rPr>
            </w:pPr>
            <w:r w:rsidRPr="00D033EC">
              <w:rPr>
                <w:rFonts w:ascii="Arial Narrow" w:eastAsia="Times New Roman" w:hAnsi="Arial Narrow" w:cs="Calibri"/>
                <w:b/>
                <w:bCs/>
                <w:color w:val="FFFFFF"/>
                <w:sz w:val="22"/>
                <w:szCs w:val="22"/>
              </w:rPr>
              <w:t>Referencia</w:t>
            </w:r>
          </w:p>
        </w:tc>
      </w:tr>
      <w:tr w:rsidR="00D033EC" w:rsidRPr="006E5442" w14:paraId="25F1A195" w14:textId="77777777" w:rsidTr="003F694B">
        <w:trPr>
          <w:gridAfter w:val="1"/>
          <w:wAfter w:w="6" w:type="dxa"/>
          <w:trHeight w:val="850"/>
        </w:trPr>
        <w:tc>
          <w:tcPr>
            <w:tcW w:w="1691" w:type="dxa"/>
            <w:gridSpan w:val="3"/>
            <w:vMerge/>
            <w:tcBorders>
              <w:top w:val="single" w:sz="8" w:space="0" w:color="auto"/>
              <w:left w:val="single" w:sz="8" w:space="0" w:color="auto"/>
              <w:bottom w:val="nil"/>
              <w:right w:val="single" w:sz="8" w:space="0" w:color="000000"/>
            </w:tcBorders>
            <w:vAlign w:val="center"/>
            <w:hideMark/>
          </w:tcPr>
          <w:p w14:paraId="436448EC" w14:textId="77777777" w:rsidR="00D033EC" w:rsidRPr="00D033EC" w:rsidRDefault="00D033EC" w:rsidP="00D033EC">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794E6B7C" w14:textId="77777777" w:rsidR="00D033EC" w:rsidRPr="00D033EC" w:rsidRDefault="00D033EC" w:rsidP="00D033EC">
            <w:pPr>
              <w:rPr>
                <w:rFonts w:ascii="Arial Narrow" w:eastAsia="Times New Roman" w:hAnsi="Arial Narrow" w:cs="Calibri"/>
                <w:b/>
                <w:bCs/>
                <w:color w:val="FFFFFF"/>
                <w:sz w:val="22"/>
                <w:szCs w:val="22"/>
              </w:rPr>
            </w:pPr>
          </w:p>
        </w:tc>
        <w:tc>
          <w:tcPr>
            <w:tcW w:w="2123" w:type="dxa"/>
            <w:tcBorders>
              <w:top w:val="nil"/>
              <w:left w:val="nil"/>
              <w:bottom w:val="nil"/>
              <w:right w:val="single" w:sz="8" w:space="0" w:color="auto"/>
            </w:tcBorders>
            <w:shd w:val="clear" w:color="000000" w:fill="203764"/>
            <w:vAlign w:val="center"/>
            <w:hideMark/>
          </w:tcPr>
          <w:p w14:paraId="507E6783" w14:textId="77777777" w:rsidR="00D033EC" w:rsidRPr="00D033EC" w:rsidRDefault="00D033EC" w:rsidP="00D033EC">
            <w:pPr>
              <w:jc w:val="center"/>
              <w:rPr>
                <w:rFonts w:ascii="Arial Narrow" w:eastAsia="Times New Roman" w:hAnsi="Arial Narrow" w:cs="Calibri"/>
                <w:b/>
                <w:bCs/>
                <w:color w:val="FFFFFF"/>
                <w:sz w:val="22"/>
                <w:szCs w:val="22"/>
              </w:rPr>
            </w:pPr>
            <w:r w:rsidRPr="00D033EC">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1C55E2FC" w14:textId="77777777" w:rsidR="00D033EC" w:rsidRPr="00D033EC" w:rsidRDefault="00D033EC" w:rsidP="00D033EC">
            <w:pPr>
              <w:jc w:val="center"/>
              <w:rPr>
                <w:rFonts w:ascii="Arial Narrow" w:eastAsia="Times New Roman" w:hAnsi="Arial Narrow" w:cs="Calibri"/>
                <w:b/>
                <w:bCs/>
                <w:color w:val="FFFFFF"/>
                <w:sz w:val="22"/>
                <w:szCs w:val="22"/>
                <w:lang w:val="es-CR"/>
              </w:rPr>
            </w:pPr>
            <w:r w:rsidRPr="00D033EC">
              <w:rPr>
                <w:rFonts w:ascii="Arial Narrow" w:eastAsia="Times New Roman" w:hAnsi="Arial Narrow" w:cs="Calibri"/>
                <w:b/>
                <w:bCs/>
                <w:color w:val="FFFFFF"/>
                <w:sz w:val="22"/>
                <w:szCs w:val="22"/>
                <w:lang w:val="es-CR"/>
              </w:rPr>
              <w:t>Normativa técnica y disposiciones adicionales</w:t>
            </w:r>
          </w:p>
        </w:tc>
      </w:tr>
      <w:tr w:rsidR="00D033EC" w:rsidRPr="00D033EC" w14:paraId="399CEEFF" w14:textId="77777777" w:rsidTr="003F694B">
        <w:trPr>
          <w:gridAfter w:val="1"/>
          <w:wAfter w:w="6"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D0A845" w14:textId="77777777" w:rsidR="00D033EC" w:rsidRPr="00D033EC" w:rsidRDefault="00D033EC" w:rsidP="00D033EC">
            <w:pPr>
              <w:jc w:val="center"/>
              <w:rPr>
                <w:rFonts w:ascii="Arial Narrow" w:eastAsia="Times New Roman" w:hAnsi="Arial Narrow" w:cs="Calibri"/>
                <w:b/>
                <w:bCs/>
                <w:color w:val="000000"/>
                <w:sz w:val="22"/>
                <w:szCs w:val="22"/>
              </w:rPr>
            </w:pPr>
            <w:r w:rsidRPr="00D033EC">
              <w:rPr>
                <w:rFonts w:ascii="Arial Narrow" w:eastAsia="Times New Roman" w:hAnsi="Arial Narrow" w:cs="Calibri"/>
                <w:b/>
                <w:bCs/>
                <w:color w:val="000000"/>
                <w:sz w:val="22"/>
                <w:szCs w:val="22"/>
              </w:rPr>
              <w:t>6</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7CD4426B" w14:textId="77777777" w:rsidR="00D033EC" w:rsidRPr="00D033EC" w:rsidRDefault="00D033EC" w:rsidP="00D033EC">
            <w:pPr>
              <w:jc w:val="center"/>
              <w:rPr>
                <w:rFonts w:ascii="Arial Narrow" w:eastAsia="Times New Roman" w:hAnsi="Arial Narrow" w:cs="Calibri"/>
                <w:b/>
                <w:bCs/>
                <w:color w:val="000000"/>
                <w:sz w:val="22"/>
                <w:szCs w:val="22"/>
              </w:rPr>
            </w:pPr>
            <w:r w:rsidRPr="00D033EC">
              <w:rPr>
                <w:rFonts w:ascii="Arial Narrow" w:eastAsia="Times New Roman" w:hAnsi="Arial Narrow" w:cs="Calibri"/>
                <w:b/>
                <w:bCs/>
                <w:color w:val="000000"/>
                <w:sz w:val="22"/>
                <w:szCs w:val="22"/>
              </w:rPr>
              <w:t>31</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7604FD87" w14:textId="77777777" w:rsidR="00D033EC" w:rsidRPr="00D033EC" w:rsidRDefault="00D033EC" w:rsidP="00D033EC">
            <w:pPr>
              <w:jc w:val="center"/>
              <w:rPr>
                <w:rFonts w:ascii="Arial Narrow" w:eastAsia="Times New Roman" w:hAnsi="Arial Narrow" w:cs="Calibri"/>
                <w:b/>
                <w:bCs/>
                <w:color w:val="000000"/>
                <w:sz w:val="22"/>
                <w:szCs w:val="22"/>
              </w:rPr>
            </w:pPr>
            <w:r w:rsidRPr="00D033EC">
              <w:rPr>
                <w:rFonts w:ascii="Arial Narrow" w:eastAsia="Times New Roman" w:hAnsi="Arial Narrow" w:cs="Calibri"/>
                <w:b/>
                <w:bCs/>
                <w:color w:val="000000"/>
                <w:sz w:val="22"/>
                <w:szCs w:val="22"/>
              </w:rPr>
              <w:t xml:space="preserve">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387F0B38" w14:textId="77777777" w:rsidR="00D033EC" w:rsidRPr="00D033EC" w:rsidRDefault="00D033EC" w:rsidP="00D033EC">
            <w:pPr>
              <w:jc w:val="both"/>
              <w:rPr>
                <w:rFonts w:ascii="Arial Narrow" w:eastAsia="Times New Roman" w:hAnsi="Arial Narrow" w:cs="Calibri"/>
                <w:b/>
                <w:bCs/>
                <w:color w:val="000000"/>
                <w:sz w:val="22"/>
                <w:szCs w:val="22"/>
                <w:lang w:val="es-CR"/>
              </w:rPr>
            </w:pPr>
            <w:r w:rsidRPr="00D033EC">
              <w:rPr>
                <w:rFonts w:ascii="Arial Narrow" w:eastAsia="Times New Roman" w:hAnsi="Arial Narrow" w:cs="Calibri"/>
                <w:b/>
                <w:bCs/>
                <w:color w:val="000000"/>
                <w:sz w:val="22"/>
                <w:szCs w:val="22"/>
                <w:lang w:val="es-CR"/>
              </w:rPr>
              <w:t>Información a revelar en Notas</w:t>
            </w:r>
          </w:p>
        </w:tc>
        <w:tc>
          <w:tcPr>
            <w:tcW w:w="2123" w:type="dxa"/>
            <w:tcBorders>
              <w:top w:val="single" w:sz="8" w:space="0" w:color="auto"/>
              <w:left w:val="nil"/>
              <w:bottom w:val="single" w:sz="8" w:space="0" w:color="auto"/>
              <w:right w:val="single" w:sz="8" w:space="0" w:color="auto"/>
            </w:tcBorders>
            <w:shd w:val="clear" w:color="auto" w:fill="auto"/>
            <w:vAlign w:val="center"/>
            <w:hideMark/>
          </w:tcPr>
          <w:p w14:paraId="0E8434D5" w14:textId="77777777" w:rsidR="00D033EC" w:rsidRDefault="00D033EC" w:rsidP="00D033EC">
            <w:pPr>
              <w:jc w:val="both"/>
              <w:rPr>
                <w:rFonts w:ascii="Arial Narrow" w:eastAsia="Times New Roman" w:hAnsi="Arial Narrow" w:cs="Calibri"/>
                <w:b/>
                <w:bCs/>
                <w:color w:val="000000"/>
                <w:sz w:val="22"/>
                <w:szCs w:val="22"/>
              </w:rPr>
            </w:pPr>
            <w:r w:rsidRPr="00D033EC">
              <w:rPr>
                <w:rFonts w:ascii="Arial Narrow" w:eastAsia="Times New Roman" w:hAnsi="Arial Narrow" w:cs="Calibri"/>
                <w:b/>
                <w:bCs/>
                <w:color w:val="000000"/>
                <w:sz w:val="22"/>
                <w:szCs w:val="22"/>
              </w:rPr>
              <w:t>NICSP N° 1,</w:t>
            </w:r>
          </w:p>
          <w:p w14:paraId="7CDE41D3" w14:textId="39C67BB2" w:rsidR="00D033EC" w:rsidRPr="00D033EC" w:rsidRDefault="00D033EC" w:rsidP="00D033EC">
            <w:pPr>
              <w:jc w:val="both"/>
              <w:rPr>
                <w:rFonts w:ascii="Arial Narrow" w:eastAsia="Times New Roman" w:hAnsi="Arial Narrow" w:cs="Calibri"/>
                <w:b/>
                <w:bCs/>
                <w:color w:val="000000"/>
                <w:sz w:val="22"/>
                <w:szCs w:val="22"/>
              </w:rPr>
            </w:pPr>
            <w:r w:rsidRPr="00D033EC">
              <w:rPr>
                <w:rFonts w:ascii="Arial Narrow" w:eastAsia="Times New Roman" w:hAnsi="Arial Narrow" w:cs="Calibri"/>
                <w:b/>
                <w:bCs/>
                <w:color w:val="000000"/>
                <w:sz w:val="22"/>
                <w:szCs w:val="22"/>
              </w:rPr>
              <w:t>Párrafos 106 a 109.</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75903DBA" w14:textId="77777777" w:rsidR="00D033EC" w:rsidRPr="00D033EC" w:rsidRDefault="00D033EC" w:rsidP="00D033EC">
            <w:pPr>
              <w:jc w:val="center"/>
              <w:rPr>
                <w:rFonts w:ascii="Arial Narrow" w:eastAsia="Times New Roman" w:hAnsi="Arial Narrow" w:cs="Calibri"/>
                <w:b/>
                <w:bCs/>
                <w:color w:val="000000"/>
                <w:sz w:val="22"/>
                <w:szCs w:val="22"/>
              </w:rPr>
            </w:pPr>
            <w:r w:rsidRPr="00D033EC">
              <w:rPr>
                <w:rFonts w:ascii="Arial Narrow" w:eastAsia="Times New Roman" w:hAnsi="Arial Narrow" w:cs="Calibri"/>
                <w:b/>
                <w:bCs/>
                <w:color w:val="000000"/>
                <w:sz w:val="22"/>
                <w:szCs w:val="22"/>
              </w:rPr>
              <w:t xml:space="preserve"> </w:t>
            </w:r>
          </w:p>
        </w:tc>
      </w:tr>
    </w:tbl>
    <w:p w14:paraId="4351594C" w14:textId="77777777" w:rsidR="00D033EC" w:rsidRDefault="00D033EC" w:rsidP="00D033EC">
      <w:pPr>
        <w:pStyle w:val="Default"/>
        <w:jc w:val="both"/>
        <w:rPr>
          <w:sz w:val="23"/>
          <w:szCs w:val="23"/>
          <w:lang w:val="es-CR"/>
        </w:rPr>
      </w:pPr>
    </w:p>
    <w:p w14:paraId="7FB2D495" w14:textId="0B7A6D3B" w:rsidR="003F694B" w:rsidRDefault="003F694B" w:rsidP="003F694B">
      <w:pPr>
        <w:pStyle w:val="Default"/>
        <w:ind w:left="1134" w:hanging="1134"/>
        <w:jc w:val="both"/>
        <w:rPr>
          <w:rFonts w:eastAsia="Arial"/>
          <w:b/>
          <w:sz w:val="22"/>
          <w:szCs w:val="22"/>
        </w:rPr>
      </w:pPr>
      <w:r w:rsidRPr="00F02F9D">
        <w:rPr>
          <w:rFonts w:eastAsia="Arial"/>
          <w:b/>
          <w:sz w:val="22"/>
          <w:szCs w:val="22"/>
        </w:rPr>
        <w:t>Política Contable</w:t>
      </w:r>
    </w:p>
    <w:p w14:paraId="4520358A" w14:textId="77777777" w:rsidR="003F694B" w:rsidRDefault="003F694B" w:rsidP="00D033EC">
      <w:pPr>
        <w:pStyle w:val="Default"/>
        <w:jc w:val="both"/>
        <w:rPr>
          <w:sz w:val="23"/>
          <w:szCs w:val="23"/>
          <w:lang w:val="es-CR"/>
        </w:rPr>
      </w:pPr>
    </w:p>
    <w:p w14:paraId="2E9779AC" w14:textId="2E951568" w:rsidR="00D033EC" w:rsidRDefault="00EA5E97" w:rsidP="00EA5E97">
      <w:pPr>
        <w:pStyle w:val="Default"/>
        <w:ind w:left="1134" w:hanging="1134"/>
        <w:rPr>
          <w:sz w:val="23"/>
          <w:szCs w:val="23"/>
          <w:lang w:val="es-CR"/>
        </w:rPr>
      </w:pPr>
      <w:r>
        <w:rPr>
          <w:sz w:val="23"/>
          <w:szCs w:val="23"/>
          <w:lang w:val="es-CR"/>
        </w:rPr>
        <w:t>6.31.0.01</w:t>
      </w:r>
      <w:r>
        <w:rPr>
          <w:sz w:val="23"/>
          <w:szCs w:val="23"/>
          <w:lang w:val="es-CR"/>
        </w:rPr>
        <w:tab/>
      </w:r>
      <w:r w:rsidR="00D033EC" w:rsidRPr="00D033EC">
        <w:rPr>
          <w:sz w:val="23"/>
          <w:szCs w:val="23"/>
          <w:lang w:val="es-CR"/>
        </w:rPr>
        <w:t>Las entidades deberán revelar en Notas al ERF la siguiente información, salvo que la misma fuera presentada en el ERF:</w:t>
      </w:r>
    </w:p>
    <w:p w14:paraId="0F86B865" w14:textId="77777777" w:rsidR="00D033EC" w:rsidRPr="00D033EC" w:rsidRDefault="00D033EC" w:rsidP="00D033EC">
      <w:pPr>
        <w:pStyle w:val="Default"/>
        <w:rPr>
          <w:sz w:val="23"/>
          <w:szCs w:val="23"/>
          <w:lang w:val="es-CR"/>
        </w:rPr>
      </w:pPr>
    </w:p>
    <w:p w14:paraId="0423848B" w14:textId="53AF3CEA" w:rsidR="00D033EC" w:rsidRDefault="00D033EC">
      <w:pPr>
        <w:pStyle w:val="Default"/>
        <w:numPr>
          <w:ilvl w:val="0"/>
          <w:numId w:val="353"/>
        </w:numPr>
        <w:spacing w:after="18"/>
        <w:ind w:left="1418" w:hanging="284"/>
        <w:rPr>
          <w:sz w:val="23"/>
          <w:szCs w:val="23"/>
          <w:lang w:val="es-CR"/>
        </w:rPr>
      </w:pPr>
      <w:r>
        <w:rPr>
          <w:sz w:val="23"/>
          <w:szCs w:val="23"/>
          <w:lang w:val="es-CR"/>
        </w:rPr>
        <w:t>S</w:t>
      </w:r>
      <w:r w:rsidRPr="00D033EC">
        <w:rPr>
          <w:sz w:val="23"/>
          <w:szCs w:val="23"/>
          <w:lang w:val="es-CR"/>
        </w:rPr>
        <w:t>e expondrán por separado las partidas de ingresos y gastos que sean materiales o que tengan importancia relativa, teniendo en cuenta las siguientes circunstancias para la separación de las partidas de ingresos y gastos, a saber:</w:t>
      </w:r>
    </w:p>
    <w:p w14:paraId="20A6D72F" w14:textId="77777777" w:rsidR="00D033EC" w:rsidRPr="00D033EC" w:rsidRDefault="00D033EC" w:rsidP="00D033EC">
      <w:pPr>
        <w:pStyle w:val="Default"/>
        <w:spacing w:after="18"/>
        <w:rPr>
          <w:sz w:val="23"/>
          <w:szCs w:val="23"/>
          <w:lang w:val="es-CR"/>
        </w:rPr>
      </w:pPr>
    </w:p>
    <w:p w14:paraId="61A07FCB" w14:textId="533857E3" w:rsidR="00D033EC" w:rsidRPr="00D033EC" w:rsidRDefault="00D033EC">
      <w:pPr>
        <w:pStyle w:val="Default"/>
        <w:numPr>
          <w:ilvl w:val="0"/>
          <w:numId w:val="352"/>
        </w:numPr>
        <w:ind w:left="1701" w:hanging="153"/>
        <w:rPr>
          <w:sz w:val="23"/>
          <w:szCs w:val="23"/>
          <w:lang w:val="es-CR"/>
        </w:rPr>
      </w:pPr>
      <w:r>
        <w:rPr>
          <w:sz w:val="23"/>
          <w:szCs w:val="23"/>
          <w:lang w:val="es-CR"/>
        </w:rPr>
        <w:t>L</w:t>
      </w:r>
      <w:r w:rsidRPr="00D033EC">
        <w:rPr>
          <w:sz w:val="23"/>
          <w:szCs w:val="23"/>
          <w:lang w:val="es-CR"/>
        </w:rPr>
        <w:t xml:space="preserve">a rebaja del valor de los inventarios hasta su valor realizable neto, o de los elementos de propiedades, planta y equipo hasta su importe recuperable o importe recuperable de servicio, lo que sea apropiado, así como la reversión de tales rebajas; </w:t>
      </w:r>
    </w:p>
    <w:p w14:paraId="2EE042FB" w14:textId="668267DE" w:rsidR="00D033EC" w:rsidRPr="00D033EC" w:rsidRDefault="00D033EC">
      <w:pPr>
        <w:pStyle w:val="Default"/>
        <w:numPr>
          <w:ilvl w:val="0"/>
          <w:numId w:val="352"/>
        </w:numPr>
        <w:spacing w:after="20"/>
        <w:ind w:left="1701" w:hanging="153"/>
        <w:rPr>
          <w:sz w:val="23"/>
          <w:szCs w:val="23"/>
          <w:lang w:val="es-CR"/>
        </w:rPr>
      </w:pPr>
      <w:r>
        <w:rPr>
          <w:sz w:val="23"/>
          <w:szCs w:val="23"/>
          <w:lang w:val="es-CR"/>
        </w:rPr>
        <w:lastRenderedPageBreak/>
        <w:t>R</w:t>
      </w:r>
      <w:r w:rsidRPr="00D033EC">
        <w:rPr>
          <w:sz w:val="23"/>
          <w:szCs w:val="23"/>
          <w:lang w:val="es-CR"/>
        </w:rPr>
        <w:t xml:space="preserve">eestructuración de las actividades de una entidad y la reversión de cualquier provisión dotada para hacer frente a los costos de la misma; </w:t>
      </w:r>
    </w:p>
    <w:p w14:paraId="6C766748" w14:textId="272D06B6" w:rsidR="00D033EC" w:rsidRPr="00D033EC" w:rsidRDefault="00D033EC">
      <w:pPr>
        <w:pStyle w:val="Default"/>
        <w:numPr>
          <w:ilvl w:val="0"/>
          <w:numId w:val="352"/>
        </w:numPr>
        <w:spacing w:after="20"/>
        <w:ind w:left="1701" w:hanging="153"/>
        <w:rPr>
          <w:sz w:val="23"/>
          <w:szCs w:val="23"/>
          <w:lang w:val="es-CR"/>
        </w:rPr>
      </w:pPr>
      <w:r>
        <w:rPr>
          <w:sz w:val="23"/>
          <w:szCs w:val="23"/>
          <w:lang w:val="es-CR"/>
        </w:rPr>
        <w:t>L</w:t>
      </w:r>
      <w:r w:rsidRPr="00D033EC">
        <w:rPr>
          <w:sz w:val="23"/>
          <w:szCs w:val="23"/>
          <w:lang w:val="es-CR"/>
        </w:rPr>
        <w:t xml:space="preserve">a disposición de partidas de propiedades, planta y equipo; </w:t>
      </w:r>
    </w:p>
    <w:p w14:paraId="156515AB" w14:textId="71773BB4" w:rsidR="00D033EC" w:rsidRPr="00D033EC" w:rsidRDefault="00D033EC">
      <w:pPr>
        <w:pStyle w:val="Default"/>
        <w:numPr>
          <w:ilvl w:val="0"/>
          <w:numId w:val="352"/>
        </w:numPr>
        <w:spacing w:after="20"/>
        <w:ind w:left="1701" w:hanging="153"/>
        <w:rPr>
          <w:sz w:val="23"/>
          <w:szCs w:val="23"/>
          <w:lang w:val="es-CR"/>
        </w:rPr>
      </w:pPr>
      <w:r>
        <w:rPr>
          <w:sz w:val="23"/>
          <w:szCs w:val="23"/>
          <w:lang w:val="es-CR"/>
        </w:rPr>
        <w:t>P</w:t>
      </w:r>
      <w:r w:rsidRPr="00D033EC">
        <w:rPr>
          <w:sz w:val="23"/>
          <w:szCs w:val="23"/>
          <w:lang w:val="es-CR"/>
        </w:rPr>
        <w:t xml:space="preserve">rivatizaciones u otras disposiciones de inversiones; </w:t>
      </w:r>
    </w:p>
    <w:p w14:paraId="61FCF2CC" w14:textId="38E02EBD" w:rsidR="00D033EC" w:rsidRDefault="00D033EC">
      <w:pPr>
        <w:pStyle w:val="Default"/>
        <w:numPr>
          <w:ilvl w:val="0"/>
          <w:numId w:val="352"/>
        </w:numPr>
        <w:spacing w:after="20"/>
        <w:ind w:left="1701" w:hanging="153"/>
        <w:rPr>
          <w:sz w:val="23"/>
          <w:szCs w:val="23"/>
        </w:rPr>
      </w:pPr>
      <w:r>
        <w:rPr>
          <w:sz w:val="23"/>
          <w:szCs w:val="23"/>
        </w:rPr>
        <w:t xml:space="preserve">Operaciones en discontinuación; </w:t>
      </w:r>
    </w:p>
    <w:p w14:paraId="3FFB665C" w14:textId="4B3B0DDC" w:rsidR="00D033EC" w:rsidRPr="00D033EC" w:rsidRDefault="00D033EC">
      <w:pPr>
        <w:pStyle w:val="Default"/>
        <w:numPr>
          <w:ilvl w:val="0"/>
          <w:numId w:val="352"/>
        </w:numPr>
        <w:spacing w:after="20"/>
        <w:ind w:left="1701" w:hanging="153"/>
        <w:rPr>
          <w:sz w:val="23"/>
          <w:szCs w:val="23"/>
          <w:lang w:val="es-CR"/>
        </w:rPr>
      </w:pPr>
      <w:r>
        <w:rPr>
          <w:sz w:val="23"/>
          <w:szCs w:val="23"/>
          <w:lang w:val="es-CR"/>
        </w:rPr>
        <w:t>C</w:t>
      </w:r>
      <w:r w:rsidRPr="00D033EC">
        <w:rPr>
          <w:sz w:val="23"/>
          <w:szCs w:val="23"/>
          <w:lang w:val="es-CR"/>
        </w:rPr>
        <w:t xml:space="preserve">ancelaciones de pagos por litigios; y </w:t>
      </w:r>
    </w:p>
    <w:p w14:paraId="0CA8EFBF" w14:textId="4340B727" w:rsidR="00D033EC" w:rsidRDefault="00D033EC">
      <w:pPr>
        <w:pStyle w:val="Default"/>
        <w:numPr>
          <w:ilvl w:val="0"/>
          <w:numId w:val="352"/>
        </w:numPr>
        <w:spacing w:after="20"/>
        <w:ind w:left="1701" w:hanging="153"/>
        <w:rPr>
          <w:sz w:val="23"/>
          <w:szCs w:val="23"/>
          <w:lang w:val="es-CR"/>
        </w:rPr>
      </w:pPr>
      <w:r>
        <w:rPr>
          <w:sz w:val="23"/>
          <w:szCs w:val="23"/>
          <w:lang w:val="es-CR"/>
        </w:rPr>
        <w:t>O</w:t>
      </w:r>
      <w:r w:rsidRPr="00D033EC">
        <w:rPr>
          <w:sz w:val="23"/>
          <w:szCs w:val="23"/>
          <w:lang w:val="es-CR"/>
        </w:rPr>
        <w:t>tras reversiones de provisiones;</w:t>
      </w:r>
    </w:p>
    <w:p w14:paraId="2A92A0A1" w14:textId="1C809A37" w:rsidR="00D033EC" w:rsidRPr="00D033EC" w:rsidRDefault="00D033EC">
      <w:pPr>
        <w:pStyle w:val="Default"/>
        <w:numPr>
          <w:ilvl w:val="0"/>
          <w:numId w:val="351"/>
        </w:numPr>
        <w:spacing w:after="20"/>
        <w:rPr>
          <w:sz w:val="23"/>
          <w:szCs w:val="23"/>
          <w:lang w:val="es-CR"/>
        </w:rPr>
      </w:pPr>
      <w:r w:rsidRPr="00D033EC">
        <w:rPr>
          <w:sz w:val="23"/>
          <w:szCs w:val="23"/>
          <w:lang w:val="es-CR"/>
        </w:rPr>
        <w:t xml:space="preserve"> </w:t>
      </w:r>
    </w:p>
    <w:p w14:paraId="562905B9" w14:textId="2B344EDD" w:rsidR="00D033EC" w:rsidRDefault="00D033EC">
      <w:pPr>
        <w:pStyle w:val="Default"/>
        <w:numPr>
          <w:ilvl w:val="0"/>
          <w:numId w:val="353"/>
        </w:numPr>
        <w:spacing w:after="18"/>
        <w:ind w:left="1418" w:hanging="284"/>
        <w:rPr>
          <w:sz w:val="23"/>
          <w:szCs w:val="23"/>
          <w:lang w:val="es-CR"/>
        </w:rPr>
      </w:pPr>
      <w:r>
        <w:rPr>
          <w:sz w:val="23"/>
          <w:szCs w:val="23"/>
          <w:lang w:val="es-CR"/>
        </w:rPr>
        <w:t>L</w:t>
      </w:r>
      <w:r w:rsidRPr="00D033EC">
        <w:rPr>
          <w:sz w:val="23"/>
          <w:szCs w:val="23"/>
          <w:lang w:val="es-CR"/>
        </w:rPr>
        <w:t>a subclasificación del total de ingresos clasificada de forma apropiada para las operaciones de la entidad; y</w:t>
      </w:r>
    </w:p>
    <w:p w14:paraId="197F7624" w14:textId="77777777" w:rsidR="00D033EC" w:rsidRPr="00D033EC" w:rsidRDefault="00D033EC" w:rsidP="00D033EC">
      <w:pPr>
        <w:pStyle w:val="Default"/>
        <w:spacing w:after="20"/>
        <w:rPr>
          <w:sz w:val="23"/>
          <w:szCs w:val="23"/>
          <w:lang w:val="es-CR"/>
        </w:rPr>
      </w:pPr>
    </w:p>
    <w:p w14:paraId="7ECD5DC0" w14:textId="0F01903B" w:rsidR="00D033EC" w:rsidRPr="00D033EC" w:rsidRDefault="00EA5E97">
      <w:pPr>
        <w:pStyle w:val="Default"/>
        <w:numPr>
          <w:ilvl w:val="0"/>
          <w:numId w:val="353"/>
        </w:numPr>
        <w:spacing w:after="18"/>
        <w:ind w:left="1418" w:hanging="284"/>
        <w:rPr>
          <w:sz w:val="23"/>
          <w:szCs w:val="23"/>
          <w:lang w:val="es-CR"/>
        </w:rPr>
      </w:pPr>
      <w:r>
        <w:rPr>
          <w:sz w:val="23"/>
          <w:szCs w:val="23"/>
          <w:lang w:val="es-CR"/>
        </w:rPr>
        <w:t>U</w:t>
      </w:r>
      <w:r w:rsidR="00D033EC" w:rsidRPr="00D033EC">
        <w:rPr>
          <w:sz w:val="23"/>
          <w:szCs w:val="23"/>
          <w:lang w:val="es-CR"/>
        </w:rPr>
        <w:t xml:space="preserve">n desglose de los gastos, utilizando una clasificación basada en la naturaleza de los mismos o en su función dentro de la entidad. </w:t>
      </w:r>
    </w:p>
    <w:p w14:paraId="5DD5C8B4" w14:textId="77777777" w:rsidR="00D033EC" w:rsidRDefault="00D033EC" w:rsidP="00D033EC">
      <w:pPr>
        <w:pStyle w:val="Default"/>
        <w:jc w:val="both"/>
        <w:rPr>
          <w:sz w:val="23"/>
          <w:szCs w:val="23"/>
          <w:lang w:val="es-CR"/>
        </w:rPr>
      </w:pPr>
    </w:p>
    <w:p w14:paraId="1FA5A6F7" w14:textId="77777777" w:rsidR="00D033EC" w:rsidRDefault="00D033EC" w:rsidP="00D033EC">
      <w:pPr>
        <w:pStyle w:val="Default"/>
        <w:jc w:val="both"/>
        <w:rPr>
          <w:sz w:val="23"/>
          <w:szCs w:val="23"/>
          <w:lang w:val="es-CR"/>
        </w:rPr>
      </w:pPr>
    </w:p>
    <w:tbl>
      <w:tblPr>
        <w:tblW w:w="9346" w:type="dxa"/>
        <w:tblLook w:val="04A0" w:firstRow="1" w:lastRow="0" w:firstColumn="1" w:lastColumn="0" w:noHBand="0" w:noVBand="1"/>
      </w:tblPr>
      <w:tblGrid>
        <w:gridCol w:w="416"/>
        <w:gridCol w:w="706"/>
        <w:gridCol w:w="428"/>
        <w:gridCol w:w="3720"/>
        <w:gridCol w:w="2267"/>
        <w:gridCol w:w="1809"/>
      </w:tblGrid>
      <w:tr w:rsidR="00EA5E97" w:rsidRPr="00EA5E97" w14:paraId="42A8052A" w14:textId="77777777" w:rsidTr="003F694B">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0612F88" w14:textId="77777777" w:rsidR="00EA5E97" w:rsidRPr="00EA5E97" w:rsidRDefault="00EA5E97" w:rsidP="00EA5E97">
            <w:pPr>
              <w:jc w:val="center"/>
              <w:rPr>
                <w:rFonts w:ascii="Arial Narrow" w:eastAsia="Times New Roman" w:hAnsi="Arial Narrow" w:cs="Calibri"/>
                <w:b/>
                <w:bCs/>
                <w:color w:val="FFFFFF"/>
                <w:sz w:val="22"/>
                <w:szCs w:val="22"/>
              </w:rPr>
            </w:pPr>
            <w:r w:rsidRPr="00EA5E97">
              <w:rPr>
                <w:rFonts w:ascii="Arial Narrow" w:eastAsia="Times New Roman" w:hAnsi="Arial Narrow" w:cs="Calibri"/>
                <w:b/>
                <w:bCs/>
                <w:color w:val="FFFFFF"/>
                <w:sz w:val="22"/>
                <w:szCs w:val="22"/>
              </w:rPr>
              <w:t>Norma / Política</w:t>
            </w:r>
          </w:p>
        </w:tc>
        <w:tc>
          <w:tcPr>
            <w:tcW w:w="372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B694BA0" w14:textId="77777777" w:rsidR="00EA5E97" w:rsidRPr="00EA5E97" w:rsidRDefault="00EA5E97" w:rsidP="00EA5E97">
            <w:pPr>
              <w:jc w:val="center"/>
              <w:rPr>
                <w:rFonts w:ascii="Arial Narrow" w:eastAsia="Times New Roman" w:hAnsi="Arial Narrow" w:cs="Calibri"/>
                <w:b/>
                <w:bCs/>
                <w:color w:val="FFFFFF"/>
                <w:sz w:val="22"/>
                <w:szCs w:val="22"/>
              </w:rPr>
            </w:pPr>
            <w:r w:rsidRPr="00EA5E97">
              <w:rPr>
                <w:rFonts w:ascii="Arial Narrow" w:eastAsia="Times New Roman" w:hAnsi="Arial Narrow" w:cs="Calibri"/>
                <w:b/>
                <w:bCs/>
                <w:color w:val="FFFFFF"/>
                <w:sz w:val="22"/>
                <w:szCs w:val="22"/>
              </w:rPr>
              <w:t>Concepto</w:t>
            </w:r>
          </w:p>
        </w:tc>
        <w:tc>
          <w:tcPr>
            <w:tcW w:w="4076" w:type="dxa"/>
            <w:gridSpan w:val="2"/>
            <w:tcBorders>
              <w:top w:val="single" w:sz="8" w:space="0" w:color="auto"/>
              <w:left w:val="nil"/>
              <w:bottom w:val="single" w:sz="8" w:space="0" w:color="auto"/>
              <w:right w:val="single" w:sz="8" w:space="0" w:color="000000"/>
            </w:tcBorders>
            <w:shd w:val="clear" w:color="000000" w:fill="203764"/>
            <w:vAlign w:val="center"/>
            <w:hideMark/>
          </w:tcPr>
          <w:p w14:paraId="5186FD16" w14:textId="77777777" w:rsidR="00EA5E97" w:rsidRPr="00EA5E97" w:rsidRDefault="00EA5E97" w:rsidP="00EA5E97">
            <w:pPr>
              <w:jc w:val="center"/>
              <w:rPr>
                <w:rFonts w:ascii="Arial Narrow" w:eastAsia="Times New Roman" w:hAnsi="Arial Narrow" w:cs="Calibri"/>
                <w:b/>
                <w:bCs/>
                <w:color w:val="FFFFFF"/>
                <w:sz w:val="22"/>
                <w:szCs w:val="22"/>
              </w:rPr>
            </w:pPr>
            <w:r w:rsidRPr="00EA5E97">
              <w:rPr>
                <w:rFonts w:ascii="Arial Narrow" w:eastAsia="Times New Roman" w:hAnsi="Arial Narrow" w:cs="Calibri"/>
                <w:b/>
                <w:bCs/>
                <w:color w:val="FFFFFF"/>
                <w:sz w:val="22"/>
                <w:szCs w:val="22"/>
              </w:rPr>
              <w:t>Referencia</w:t>
            </w:r>
          </w:p>
        </w:tc>
      </w:tr>
      <w:tr w:rsidR="00EA5E97" w:rsidRPr="006E5442" w14:paraId="2C14656B" w14:textId="77777777" w:rsidTr="003F694B">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2DB03BC" w14:textId="77777777" w:rsidR="00EA5E97" w:rsidRPr="00EA5E97" w:rsidRDefault="00EA5E97" w:rsidP="00EA5E97">
            <w:pPr>
              <w:rPr>
                <w:rFonts w:ascii="Arial Narrow" w:eastAsia="Times New Roman" w:hAnsi="Arial Narrow" w:cs="Calibri"/>
                <w:b/>
                <w:bCs/>
                <w:color w:val="FFFFFF"/>
                <w:sz w:val="22"/>
                <w:szCs w:val="22"/>
              </w:rPr>
            </w:pPr>
          </w:p>
        </w:tc>
        <w:tc>
          <w:tcPr>
            <w:tcW w:w="3720" w:type="dxa"/>
            <w:vMerge/>
            <w:tcBorders>
              <w:top w:val="single" w:sz="8" w:space="0" w:color="auto"/>
              <w:left w:val="single" w:sz="8" w:space="0" w:color="auto"/>
              <w:bottom w:val="nil"/>
              <w:right w:val="single" w:sz="8" w:space="0" w:color="auto"/>
            </w:tcBorders>
            <w:vAlign w:val="center"/>
            <w:hideMark/>
          </w:tcPr>
          <w:p w14:paraId="672B1737" w14:textId="77777777" w:rsidR="00EA5E97" w:rsidRPr="00EA5E97" w:rsidRDefault="00EA5E97" w:rsidP="00EA5E97">
            <w:pPr>
              <w:rPr>
                <w:rFonts w:ascii="Arial Narrow" w:eastAsia="Times New Roman" w:hAnsi="Arial Narrow" w:cs="Calibri"/>
                <w:b/>
                <w:bCs/>
                <w:color w:val="FFFFFF"/>
                <w:sz w:val="22"/>
                <w:szCs w:val="22"/>
              </w:rPr>
            </w:pPr>
          </w:p>
        </w:tc>
        <w:tc>
          <w:tcPr>
            <w:tcW w:w="2267" w:type="dxa"/>
            <w:tcBorders>
              <w:top w:val="nil"/>
              <w:left w:val="nil"/>
              <w:bottom w:val="nil"/>
              <w:right w:val="single" w:sz="8" w:space="0" w:color="auto"/>
            </w:tcBorders>
            <w:shd w:val="clear" w:color="000000" w:fill="203764"/>
            <w:vAlign w:val="center"/>
            <w:hideMark/>
          </w:tcPr>
          <w:p w14:paraId="7B26839A" w14:textId="77777777" w:rsidR="00EA5E97" w:rsidRPr="00EA5E97" w:rsidRDefault="00EA5E97" w:rsidP="00EA5E97">
            <w:pPr>
              <w:jc w:val="center"/>
              <w:rPr>
                <w:rFonts w:ascii="Arial Narrow" w:eastAsia="Times New Roman" w:hAnsi="Arial Narrow" w:cs="Calibri"/>
                <w:b/>
                <w:bCs/>
                <w:color w:val="FFFFFF"/>
                <w:sz w:val="22"/>
                <w:szCs w:val="22"/>
              </w:rPr>
            </w:pPr>
            <w:r w:rsidRPr="00EA5E97">
              <w:rPr>
                <w:rFonts w:ascii="Arial Narrow" w:eastAsia="Times New Roman" w:hAnsi="Arial Narrow" w:cs="Calibri"/>
                <w:b/>
                <w:bCs/>
                <w:color w:val="FFFFFF"/>
                <w:sz w:val="22"/>
                <w:szCs w:val="22"/>
              </w:rPr>
              <w:t>Norma</w:t>
            </w:r>
          </w:p>
        </w:tc>
        <w:tc>
          <w:tcPr>
            <w:tcW w:w="1809" w:type="dxa"/>
            <w:tcBorders>
              <w:top w:val="nil"/>
              <w:left w:val="nil"/>
              <w:bottom w:val="nil"/>
              <w:right w:val="single" w:sz="8" w:space="0" w:color="auto"/>
            </w:tcBorders>
            <w:shd w:val="clear" w:color="000000" w:fill="203764"/>
            <w:vAlign w:val="center"/>
            <w:hideMark/>
          </w:tcPr>
          <w:p w14:paraId="0F9396FF" w14:textId="77777777" w:rsidR="00EA5E97" w:rsidRPr="00EA5E97" w:rsidRDefault="00EA5E97" w:rsidP="00EA5E97">
            <w:pPr>
              <w:jc w:val="center"/>
              <w:rPr>
                <w:rFonts w:ascii="Arial Narrow" w:eastAsia="Times New Roman" w:hAnsi="Arial Narrow" w:cs="Calibri"/>
                <w:b/>
                <w:bCs/>
                <w:color w:val="FFFFFF"/>
                <w:sz w:val="22"/>
                <w:szCs w:val="22"/>
                <w:lang w:val="es-CR"/>
              </w:rPr>
            </w:pPr>
            <w:r w:rsidRPr="00EA5E97">
              <w:rPr>
                <w:rFonts w:ascii="Arial Narrow" w:eastAsia="Times New Roman" w:hAnsi="Arial Narrow" w:cs="Calibri"/>
                <w:b/>
                <w:bCs/>
                <w:color w:val="FFFFFF"/>
                <w:sz w:val="22"/>
                <w:szCs w:val="22"/>
                <w:lang w:val="es-CR"/>
              </w:rPr>
              <w:t>Normativa técnica y disposiciones adicionales</w:t>
            </w:r>
          </w:p>
        </w:tc>
      </w:tr>
      <w:tr w:rsidR="00EA5E97" w:rsidRPr="00EA5E97" w14:paraId="6909598D" w14:textId="77777777" w:rsidTr="003F694B">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8376DD" w14:textId="77777777" w:rsidR="00EA5E97" w:rsidRPr="00EA5E97" w:rsidRDefault="00EA5E97" w:rsidP="00EA5E97">
            <w:pPr>
              <w:jc w:val="right"/>
              <w:rPr>
                <w:rFonts w:ascii="Arial Narrow" w:eastAsia="Times New Roman" w:hAnsi="Arial Narrow"/>
                <w:b/>
                <w:bCs/>
                <w:color w:val="000000"/>
                <w:sz w:val="22"/>
                <w:szCs w:val="22"/>
              </w:rPr>
            </w:pPr>
            <w:r w:rsidRPr="00EA5E97">
              <w:rPr>
                <w:rFonts w:ascii="Arial Narrow" w:eastAsia="Times New Roman" w:hAnsi="Arial Narrow"/>
                <w:b/>
                <w:bCs/>
                <w:color w:val="000000"/>
                <w:sz w:val="22"/>
                <w:szCs w:val="22"/>
              </w:rPr>
              <w:t>6</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3F73D094" w14:textId="77777777" w:rsidR="00EA5E97" w:rsidRPr="00EA5E97" w:rsidRDefault="00EA5E97" w:rsidP="00EA5E97">
            <w:pPr>
              <w:ind w:firstLineChars="100" w:firstLine="220"/>
              <w:rPr>
                <w:rFonts w:ascii="Arial Narrow" w:eastAsia="Times New Roman" w:hAnsi="Arial Narrow"/>
                <w:b/>
                <w:bCs/>
                <w:color w:val="000000"/>
                <w:sz w:val="22"/>
                <w:szCs w:val="22"/>
              </w:rPr>
            </w:pPr>
            <w:r w:rsidRPr="00EA5E97">
              <w:rPr>
                <w:rFonts w:ascii="Arial Narrow" w:eastAsia="Times New Roman" w:hAnsi="Arial Narrow"/>
                <w:b/>
                <w:bCs/>
                <w:color w:val="000000"/>
                <w:sz w:val="22"/>
                <w:szCs w:val="22"/>
              </w:rPr>
              <w:t>32</w:t>
            </w:r>
          </w:p>
        </w:tc>
        <w:tc>
          <w:tcPr>
            <w:tcW w:w="428" w:type="dxa"/>
            <w:tcBorders>
              <w:top w:val="single" w:sz="8" w:space="0" w:color="auto"/>
              <w:left w:val="nil"/>
              <w:bottom w:val="single" w:sz="8" w:space="0" w:color="auto"/>
              <w:right w:val="single" w:sz="8" w:space="0" w:color="auto"/>
            </w:tcBorders>
            <w:shd w:val="clear" w:color="auto" w:fill="auto"/>
            <w:vAlign w:val="center"/>
            <w:hideMark/>
          </w:tcPr>
          <w:p w14:paraId="5915A4DE" w14:textId="77777777" w:rsidR="00EA5E97" w:rsidRPr="00EA5E97" w:rsidRDefault="00EA5E97" w:rsidP="00EA5E97">
            <w:pPr>
              <w:jc w:val="center"/>
              <w:rPr>
                <w:rFonts w:ascii="Arial Narrow" w:eastAsia="Times New Roman" w:hAnsi="Arial Narrow" w:cs="Calibri"/>
                <w:b/>
                <w:bCs/>
                <w:color w:val="000000"/>
                <w:sz w:val="22"/>
                <w:szCs w:val="22"/>
              </w:rPr>
            </w:pPr>
            <w:r w:rsidRPr="00EA5E97">
              <w:rPr>
                <w:rFonts w:ascii="Arial Narrow" w:eastAsia="Times New Roman" w:hAnsi="Arial Narrow" w:cs="Calibri"/>
                <w:b/>
                <w:bCs/>
                <w:color w:val="000000"/>
                <w:sz w:val="22"/>
                <w:szCs w:val="22"/>
              </w:rPr>
              <w:t xml:space="preserve"> </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14:paraId="2E62B017" w14:textId="77777777" w:rsidR="00EA5E97" w:rsidRPr="00EA5E97" w:rsidRDefault="00EA5E97" w:rsidP="00EA5E97">
            <w:pPr>
              <w:rPr>
                <w:rFonts w:ascii="Arial Narrow" w:eastAsia="Times New Roman" w:hAnsi="Arial Narrow"/>
                <w:b/>
                <w:bCs/>
                <w:color w:val="000000"/>
                <w:sz w:val="22"/>
                <w:szCs w:val="22"/>
              </w:rPr>
            </w:pPr>
            <w:r w:rsidRPr="00EA5E97">
              <w:rPr>
                <w:rFonts w:ascii="Arial Narrow" w:eastAsia="Times New Roman" w:hAnsi="Arial Narrow"/>
                <w:b/>
                <w:bCs/>
                <w:color w:val="000000"/>
                <w:sz w:val="22"/>
                <w:szCs w:val="22"/>
              </w:rPr>
              <w:t>Modelo de ERF</w:t>
            </w:r>
          </w:p>
        </w:tc>
        <w:tc>
          <w:tcPr>
            <w:tcW w:w="2267" w:type="dxa"/>
            <w:tcBorders>
              <w:top w:val="single" w:sz="8" w:space="0" w:color="auto"/>
              <w:left w:val="nil"/>
              <w:bottom w:val="single" w:sz="8" w:space="0" w:color="auto"/>
              <w:right w:val="single" w:sz="8" w:space="0" w:color="auto"/>
            </w:tcBorders>
            <w:shd w:val="clear" w:color="auto" w:fill="auto"/>
            <w:vAlign w:val="center"/>
            <w:hideMark/>
          </w:tcPr>
          <w:p w14:paraId="1B0A3B39" w14:textId="77777777" w:rsidR="00EA5E97" w:rsidRPr="00EA5E97" w:rsidRDefault="00EA5E97" w:rsidP="00EA5E97">
            <w:pPr>
              <w:rPr>
                <w:rFonts w:ascii="Arial Narrow" w:eastAsia="Times New Roman" w:hAnsi="Arial Narrow" w:cs="Calibri"/>
                <w:b/>
                <w:bCs/>
                <w:color w:val="000000"/>
                <w:sz w:val="22"/>
                <w:szCs w:val="22"/>
              </w:rPr>
            </w:pPr>
            <w:r w:rsidRPr="00EA5E97">
              <w:rPr>
                <w:rFonts w:ascii="Arial Narrow" w:eastAsia="Times New Roman" w:hAnsi="Arial Narrow" w:cs="Calibri"/>
                <w:b/>
                <w:bCs/>
                <w:color w:val="000000"/>
                <w:sz w:val="22"/>
                <w:szCs w:val="22"/>
              </w:rPr>
              <w:t> </w:t>
            </w:r>
          </w:p>
        </w:tc>
        <w:tc>
          <w:tcPr>
            <w:tcW w:w="1809" w:type="dxa"/>
            <w:tcBorders>
              <w:top w:val="single" w:sz="8" w:space="0" w:color="auto"/>
              <w:left w:val="nil"/>
              <w:bottom w:val="single" w:sz="8" w:space="0" w:color="auto"/>
              <w:right w:val="single" w:sz="8" w:space="0" w:color="auto"/>
            </w:tcBorders>
            <w:shd w:val="clear" w:color="auto" w:fill="auto"/>
            <w:vAlign w:val="center"/>
            <w:hideMark/>
          </w:tcPr>
          <w:p w14:paraId="728EBD84" w14:textId="77777777" w:rsidR="00EA5E97" w:rsidRPr="00EA5E97" w:rsidRDefault="00EA5E97" w:rsidP="00EA5E97">
            <w:pPr>
              <w:jc w:val="center"/>
              <w:rPr>
                <w:rFonts w:ascii="Arial Narrow" w:eastAsia="Times New Roman" w:hAnsi="Arial Narrow" w:cs="Calibri"/>
                <w:b/>
                <w:bCs/>
                <w:color w:val="000000"/>
                <w:sz w:val="22"/>
                <w:szCs w:val="22"/>
              </w:rPr>
            </w:pPr>
            <w:r w:rsidRPr="00EA5E97">
              <w:rPr>
                <w:rFonts w:ascii="Arial Narrow" w:eastAsia="Times New Roman" w:hAnsi="Arial Narrow" w:cs="Calibri"/>
                <w:b/>
                <w:bCs/>
                <w:color w:val="000000"/>
                <w:sz w:val="22"/>
                <w:szCs w:val="22"/>
              </w:rPr>
              <w:t xml:space="preserve">DGCN </w:t>
            </w:r>
          </w:p>
        </w:tc>
      </w:tr>
      <w:tr w:rsidR="00EA5E97" w:rsidRPr="00EA5E97" w14:paraId="015AE6C9" w14:textId="77777777" w:rsidTr="003F694B">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6BD65F1" w14:textId="77777777" w:rsidR="00EA5E97" w:rsidRPr="00EA5E97" w:rsidRDefault="00EA5E97" w:rsidP="00EA5E97">
            <w:pPr>
              <w:jc w:val="right"/>
              <w:rPr>
                <w:rFonts w:ascii="Arial Narrow" w:eastAsia="Times New Roman" w:hAnsi="Arial Narrow"/>
                <w:b/>
                <w:bCs/>
                <w:color w:val="000000"/>
                <w:sz w:val="22"/>
                <w:szCs w:val="22"/>
              </w:rPr>
            </w:pPr>
            <w:r w:rsidRPr="00EA5E97">
              <w:rPr>
                <w:rFonts w:ascii="Arial Narrow" w:eastAsia="Times New Roman" w:hAnsi="Arial Narrow"/>
                <w:b/>
                <w:bCs/>
                <w:color w:val="000000"/>
                <w:sz w:val="22"/>
                <w:szCs w:val="22"/>
              </w:rPr>
              <w:t>6</w:t>
            </w:r>
          </w:p>
        </w:tc>
        <w:tc>
          <w:tcPr>
            <w:tcW w:w="706" w:type="dxa"/>
            <w:tcBorders>
              <w:top w:val="nil"/>
              <w:left w:val="nil"/>
              <w:bottom w:val="single" w:sz="8" w:space="0" w:color="auto"/>
              <w:right w:val="single" w:sz="8" w:space="0" w:color="auto"/>
            </w:tcBorders>
            <w:shd w:val="clear" w:color="auto" w:fill="auto"/>
            <w:vAlign w:val="center"/>
            <w:hideMark/>
          </w:tcPr>
          <w:p w14:paraId="4AFCA1B9" w14:textId="77777777" w:rsidR="00EA5E97" w:rsidRPr="00EA5E97" w:rsidRDefault="00EA5E97" w:rsidP="00EA5E97">
            <w:pPr>
              <w:ind w:firstLineChars="100" w:firstLine="220"/>
              <w:rPr>
                <w:rFonts w:ascii="Arial Narrow" w:eastAsia="Times New Roman" w:hAnsi="Arial Narrow"/>
                <w:b/>
                <w:bCs/>
                <w:color w:val="000000"/>
                <w:sz w:val="22"/>
                <w:szCs w:val="22"/>
              </w:rPr>
            </w:pPr>
            <w:r w:rsidRPr="00EA5E97">
              <w:rPr>
                <w:rFonts w:ascii="Arial Narrow" w:eastAsia="Times New Roman" w:hAnsi="Arial Narrow"/>
                <w:b/>
                <w:bCs/>
                <w:color w:val="000000"/>
                <w:sz w:val="22"/>
                <w:szCs w:val="22"/>
              </w:rPr>
              <w:t>32</w:t>
            </w:r>
          </w:p>
        </w:tc>
        <w:tc>
          <w:tcPr>
            <w:tcW w:w="428" w:type="dxa"/>
            <w:tcBorders>
              <w:top w:val="nil"/>
              <w:left w:val="nil"/>
              <w:bottom w:val="single" w:sz="8" w:space="0" w:color="auto"/>
              <w:right w:val="nil"/>
            </w:tcBorders>
            <w:shd w:val="clear" w:color="auto" w:fill="auto"/>
            <w:vAlign w:val="center"/>
            <w:hideMark/>
          </w:tcPr>
          <w:p w14:paraId="58D50182" w14:textId="77777777" w:rsidR="00EA5E97" w:rsidRPr="00EA5E97" w:rsidRDefault="00EA5E97" w:rsidP="00EA5E97">
            <w:pPr>
              <w:jc w:val="center"/>
              <w:rPr>
                <w:rFonts w:ascii="Arial Narrow" w:eastAsia="Times New Roman" w:hAnsi="Arial Narrow" w:cs="Calibri"/>
                <w:b/>
                <w:bCs/>
                <w:color w:val="000000"/>
                <w:sz w:val="22"/>
                <w:szCs w:val="22"/>
              </w:rPr>
            </w:pPr>
            <w:r w:rsidRPr="00EA5E97">
              <w:rPr>
                <w:rFonts w:ascii="Arial Narrow" w:eastAsia="Times New Roman" w:hAnsi="Arial Narrow" w:cs="Calibri"/>
                <w:b/>
                <w:bCs/>
                <w:color w:val="000000"/>
                <w:sz w:val="22"/>
                <w:szCs w:val="22"/>
              </w:rPr>
              <w:t>1</w:t>
            </w:r>
          </w:p>
        </w:tc>
        <w:tc>
          <w:tcPr>
            <w:tcW w:w="3720" w:type="dxa"/>
            <w:tcBorders>
              <w:top w:val="nil"/>
              <w:left w:val="single" w:sz="8" w:space="0" w:color="auto"/>
              <w:bottom w:val="single" w:sz="8" w:space="0" w:color="auto"/>
              <w:right w:val="single" w:sz="8" w:space="0" w:color="auto"/>
            </w:tcBorders>
            <w:shd w:val="clear" w:color="auto" w:fill="auto"/>
            <w:vAlign w:val="center"/>
            <w:hideMark/>
          </w:tcPr>
          <w:p w14:paraId="7EA7C71E" w14:textId="77777777" w:rsidR="00EA5E97" w:rsidRPr="00EA5E97" w:rsidRDefault="00EA5E97" w:rsidP="00EA5E97">
            <w:pPr>
              <w:rPr>
                <w:rFonts w:ascii="Arial Narrow" w:eastAsia="Times New Roman" w:hAnsi="Arial Narrow"/>
                <w:b/>
                <w:bCs/>
                <w:color w:val="000000"/>
                <w:sz w:val="22"/>
                <w:szCs w:val="22"/>
              </w:rPr>
            </w:pPr>
            <w:r w:rsidRPr="00EA5E97">
              <w:rPr>
                <w:rFonts w:ascii="Arial Narrow" w:eastAsia="Times New Roman" w:hAnsi="Arial Narrow"/>
                <w:b/>
                <w:bCs/>
                <w:color w:val="000000"/>
                <w:sz w:val="22"/>
                <w:szCs w:val="22"/>
              </w:rPr>
              <w:t>Exposición de saldo nulo</w:t>
            </w:r>
          </w:p>
        </w:tc>
        <w:tc>
          <w:tcPr>
            <w:tcW w:w="2267" w:type="dxa"/>
            <w:tcBorders>
              <w:top w:val="nil"/>
              <w:left w:val="nil"/>
              <w:bottom w:val="single" w:sz="8" w:space="0" w:color="auto"/>
              <w:right w:val="single" w:sz="8" w:space="0" w:color="auto"/>
            </w:tcBorders>
            <w:shd w:val="clear" w:color="auto" w:fill="auto"/>
            <w:vAlign w:val="center"/>
            <w:hideMark/>
          </w:tcPr>
          <w:p w14:paraId="058EC383" w14:textId="77777777" w:rsidR="00EA5E97" w:rsidRPr="00EA5E97" w:rsidRDefault="00EA5E97" w:rsidP="00EA5E97">
            <w:pPr>
              <w:rPr>
                <w:rFonts w:ascii="Arial Narrow" w:eastAsia="Times New Roman" w:hAnsi="Arial Narrow" w:cs="Calibri"/>
                <w:b/>
                <w:bCs/>
                <w:color w:val="000000"/>
                <w:sz w:val="22"/>
                <w:szCs w:val="22"/>
              </w:rPr>
            </w:pPr>
            <w:r w:rsidRPr="00EA5E97">
              <w:rPr>
                <w:rFonts w:ascii="Arial Narrow" w:eastAsia="Times New Roman" w:hAnsi="Arial Narrow" w:cs="Calibri"/>
                <w:b/>
                <w:bCs/>
                <w:color w:val="000000"/>
                <w:sz w:val="22"/>
                <w:szCs w:val="22"/>
              </w:rPr>
              <w:t> </w:t>
            </w:r>
          </w:p>
        </w:tc>
        <w:tc>
          <w:tcPr>
            <w:tcW w:w="1809" w:type="dxa"/>
            <w:tcBorders>
              <w:top w:val="nil"/>
              <w:left w:val="nil"/>
              <w:bottom w:val="single" w:sz="8" w:space="0" w:color="auto"/>
              <w:right w:val="single" w:sz="8" w:space="0" w:color="auto"/>
            </w:tcBorders>
            <w:shd w:val="clear" w:color="auto" w:fill="auto"/>
            <w:vAlign w:val="center"/>
            <w:hideMark/>
          </w:tcPr>
          <w:p w14:paraId="50EF2492" w14:textId="77777777" w:rsidR="00EA5E97" w:rsidRPr="00EA5E97" w:rsidRDefault="00EA5E97" w:rsidP="00EA5E97">
            <w:pPr>
              <w:jc w:val="center"/>
              <w:rPr>
                <w:rFonts w:ascii="Arial Narrow" w:eastAsia="Times New Roman" w:hAnsi="Arial Narrow" w:cs="Calibri"/>
                <w:b/>
                <w:bCs/>
                <w:color w:val="000000"/>
                <w:sz w:val="22"/>
                <w:szCs w:val="22"/>
              </w:rPr>
            </w:pPr>
            <w:r w:rsidRPr="00EA5E97">
              <w:rPr>
                <w:rFonts w:ascii="Arial Narrow" w:eastAsia="Times New Roman" w:hAnsi="Arial Narrow" w:cs="Calibri"/>
                <w:b/>
                <w:bCs/>
                <w:color w:val="000000"/>
                <w:sz w:val="22"/>
                <w:szCs w:val="22"/>
              </w:rPr>
              <w:t xml:space="preserve">DGCN </w:t>
            </w:r>
          </w:p>
        </w:tc>
      </w:tr>
    </w:tbl>
    <w:p w14:paraId="230DC2D4" w14:textId="77777777" w:rsidR="00EA5E97" w:rsidRDefault="00EA5E97" w:rsidP="00D033EC">
      <w:pPr>
        <w:pStyle w:val="Default"/>
        <w:jc w:val="both"/>
        <w:rPr>
          <w:sz w:val="23"/>
          <w:szCs w:val="23"/>
          <w:lang w:val="es-CR"/>
        </w:rPr>
      </w:pPr>
    </w:p>
    <w:p w14:paraId="303EC61B"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5EE91E5D" w14:textId="77777777" w:rsidR="003F694B" w:rsidRDefault="003F694B" w:rsidP="00D033EC">
      <w:pPr>
        <w:pStyle w:val="Default"/>
        <w:jc w:val="both"/>
        <w:rPr>
          <w:sz w:val="23"/>
          <w:szCs w:val="23"/>
          <w:lang w:val="es-CR"/>
        </w:rPr>
      </w:pPr>
    </w:p>
    <w:p w14:paraId="6A51D3CF" w14:textId="05EEFB44" w:rsidR="00EA5E97" w:rsidRDefault="00EA5E97" w:rsidP="00EA5E97">
      <w:pPr>
        <w:pStyle w:val="Default"/>
        <w:ind w:left="1134" w:hanging="1134"/>
        <w:jc w:val="both"/>
        <w:rPr>
          <w:sz w:val="22"/>
          <w:szCs w:val="22"/>
          <w:lang w:val="es-CR"/>
        </w:rPr>
      </w:pPr>
      <w:r>
        <w:rPr>
          <w:sz w:val="22"/>
          <w:szCs w:val="22"/>
          <w:lang w:val="es-CR"/>
        </w:rPr>
        <w:t>6.32.0.01</w:t>
      </w:r>
      <w:r>
        <w:rPr>
          <w:sz w:val="22"/>
          <w:szCs w:val="22"/>
          <w:lang w:val="es-CR"/>
        </w:rPr>
        <w:tab/>
      </w:r>
      <w:r w:rsidRPr="00EA5E97">
        <w:rPr>
          <w:sz w:val="22"/>
          <w:szCs w:val="22"/>
          <w:lang w:val="es-CR"/>
        </w:rPr>
        <w:t xml:space="preserve">En el Anexo I se adjunta el modelo que rige la presentación del ERF y la información en él contenida, es la mínima que las entidades gubernamentales deben cumplir. </w:t>
      </w:r>
    </w:p>
    <w:p w14:paraId="312B405E" w14:textId="77777777" w:rsidR="00EA5E97" w:rsidRPr="00EA5E97" w:rsidRDefault="00EA5E97" w:rsidP="00EA5E97">
      <w:pPr>
        <w:pStyle w:val="Default"/>
        <w:ind w:left="1134" w:hanging="1134"/>
        <w:jc w:val="both"/>
        <w:rPr>
          <w:sz w:val="22"/>
          <w:szCs w:val="22"/>
          <w:lang w:val="es-CR"/>
        </w:rPr>
      </w:pPr>
    </w:p>
    <w:p w14:paraId="04462D99" w14:textId="2E85DBE4" w:rsidR="00EA5E97" w:rsidRPr="00EA5E97" w:rsidRDefault="00EA5E97" w:rsidP="00EA5E97">
      <w:pPr>
        <w:pStyle w:val="Default"/>
        <w:ind w:left="1134" w:hanging="1134"/>
        <w:jc w:val="both"/>
        <w:rPr>
          <w:sz w:val="22"/>
          <w:szCs w:val="22"/>
          <w:lang w:val="es-CR"/>
        </w:rPr>
      </w:pPr>
      <w:r>
        <w:rPr>
          <w:sz w:val="22"/>
          <w:szCs w:val="22"/>
          <w:lang w:val="es-CR"/>
        </w:rPr>
        <w:t>6.32.</w:t>
      </w:r>
      <w:r w:rsidRPr="00EA5E97">
        <w:rPr>
          <w:sz w:val="22"/>
          <w:szCs w:val="22"/>
          <w:lang w:val="es-CR"/>
        </w:rPr>
        <w:t>1.</w:t>
      </w:r>
      <w:r>
        <w:rPr>
          <w:sz w:val="22"/>
          <w:szCs w:val="22"/>
          <w:lang w:val="es-CR"/>
        </w:rPr>
        <w:t>01</w:t>
      </w:r>
      <w:r>
        <w:rPr>
          <w:sz w:val="22"/>
          <w:szCs w:val="22"/>
          <w:lang w:val="es-CR"/>
        </w:rPr>
        <w:tab/>
      </w:r>
      <w:r w:rsidRPr="00EA5E97">
        <w:rPr>
          <w:sz w:val="22"/>
          <w:szCs w:val="22"/>
          <w:lang w:val="es-CR"/>
        </w:rPr>
        <w:t>En los Estados a presentar a la DGCN deberá establecerse, en nota aclaratoria, sí la entidad no ha tenido transacciones en algunas de sus partidas o componentes, debiendo exponer las mismas aun teniendo saldo nulo.</w:t>
      </w:r>
    </w:p>
    <w:p w14:paraId="7F9D5315" w14:textId="77777777" w:rsidR="00EA5E97" w:rsidRDefault="00EA5E97" w:rsidP="00D033EC">
      <w:pPr>
        <w:pStyle w:val="Default"/>
        <w:jc w:val="both"/>
        <w:rPr>
          <w:sz w:val="23"/>
          <w:szCs w:val="23"/>
          <w:lang w:val="es-CR"/>
        </w:rPr>
      </w:pPr>
    </w:p>
    <w:p w14:paraId="5CE8888B" w14:textId="77777777" w:rsidR="00D033EC" w:rsidRDefault="00D033EC" w:rsidP="00D033EC">
      <w:pPr>
        <w:pStyle w:val="Default"/>
        <w:jc w:val="both"/>
        <w:rPr>
          <w:sz w:val="23"/>
          <w:szCs w:val="23"/>
          <w:lang w:val="es-CR"/>
        </w:rPr>
      </w:pPr>
    </w:p>
    <w:p w14:paraId="10384F7B" w14:textId="77777777" w:rsidR="00D033EC" w:rsidRDefault="00D033EC" w:rsidP="00D033EC">
      <w:pPr>
        <w:pStyle w:val="Default"/>
        <w:jc w:val="both"/>
        <w:rPr>
          <w:sz w:val="23"/>
          <w:szCs w:val="23"/>
          <w:lang w:val="es-CR"/>
        </w:rPr>
      </w:pPr>
    </w:p>
    <w:p w14:paraId="32AE66FD" w14:textId="5313E158" w:rsidR="00D033EC" w:rsidRPr="00E81926" w:rsidRDefault="00E81926" w:rsidP="00E81926">
      <w:pPr>
        <w:pStyle w:val="Ttulo2"/>
        <w:ind w:left="284"/>
        <w:rPr>
          <w:rFonts w:ascii="Arial" w:eastAsia="Arial" w:hAnsi="Arial" w:cs="Arial"/>
          <w:b/>
          <w:bCs/>
          <w:sz w:val="24"/>
          <w:szCs w:val="24"/>
          <w:lang w:val="es-CR"/>
        </w:rPr>
      </w:pPr>
      <w:bookmarkStart w:id="177" w:name="_Toc172726312"/>
      <w:r w:rsidRPr="00E81926">
        <w:rPr>
          <w:rFonts w:ascii="Arial" w:eastAsia="Arial" w:hAnsi="Arial" w:cs="Arial"/>
          <w:b/>
          <w:bCs/>
          <w:sz w:val="24"/>
          <w:szCs w:val="24"/>
          <w:lang w:val="es-CR"/>
        </w:rPr>
        <w:t>Estado de Cambios en el Patrimonio</w:t>
      </w:r>
      <w:bookmarkEnd w:id="177"/>
    </w:p>
    <w:p w14:paraId="2944A164" w14:textId="77777777" w:rsidR="00D033EC" w:rsidRDefault="00D033EC" w:rsidP="00D033EC">
      <w:pPr>
        <w:pStyle w:val="Default"/>
        <w:jc w:val="both"/>
        <w:rPr>
          <w:sz w:val="23"/>
          <w:szCs w:val="23"/>
          <w:lang w:val="es-CR"/>
        </w:rPr>
      </w:pPr>
    </w:p>
    <w:p w14:paraId="46FE26EE" w14:textId="77777777" w:rsidR="00D033EC" w:rsidRDefault="00D033EC"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33"/>
        <w:gridCol w:w="7"/>
        <w:gridCol w:w="3682"/>
        <w:gridCol w:w="7"/>
        <w:gridCol w:w="2246"/>
        <w:gridCol w:w="7"/>
        <w:gridCol w:w="1840"/>
      </w:tblGrid>
      <w:tr w:rsidR="00E81926" w:rsidRPr="00E81926" w14:paraId="2EECE299" w14:textId="77777777" w:rsidTr="003F694B">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E896355"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27B49DE7"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Concepto</w:t>
            </w:r>
          </w:p>
        </w:tc>
        <w:tc>
          <w:tcPr>
            <w:tcW w:w="4093" w:type="dxa"/>
            <w:gridSpan w:val="3"/>
            <w:tcBorders>
              <w:top w:val="single" w:sz="8" w:space="0" w:color="auto"/>
              <w:left w:val="nil"/>
              <w:bottom w:val="single" w:sz="8" w:space="0" w:color="auto"/>
              <w:right w:val="single" w:sz="8" w:space="0" w:color="000000"/>
            </w:tcBorders>
            <w:shd w:val="clear" w:color="000000" w:fill="203764"/>
            <w:vAlign w:val="center"/>
            <w:hideMark/>
          </w:tcPr>
          <w:p w14:paraId="571A81A8"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Referencia</w:t>
            </w:r>
          </w:p>
        </w:tc>
      </w:tr>
      <w:tr w:rsidR="00E81926" w:rsidRPr="006E5442" w14:paraId="77CA3D0B" w14:textId="77777777" w:rsidTr="003F694B">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50BDD5E2" w14:textId="77777777" w:rsidR="00E81926" w:rsidRPr="00E81926" w:rsidRDefault="00E81926" w:rsidP="00E81926">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1DC311D3" w14:textId="77777777" w:rsidR="00E81926" w:rsidRPr="00E81926" w:rsidRDefault="00E81926" w:rsidP="00E81926">
            <w:pPr>
              <w:rPr>
                <w:rFonts w:ascii="Arial Narrow" w:eastAsia="Times New Roman" w:hAnsi="Arial Narrow" w:cs="Calibri"/>
                <w:b/>
                <w:bCs/>
                <w:color w:val="FFFFFF"/>
                <w:sz w:val="22"/>
                <w:szCs w:val="22"/>
              </w:rPr>
            </w:pPr>
          </w:p>
        </w:tc>
        <w:tc>
          <w:tcPr>
            <w:tcW w:w="2253" w:type="dxa"/>
            <w:gridSpan w:val="2"/>
            <w:tcBorders>
              <w:top w:val="nil"/>
              <w:left w:val="nil"/>
              <w:bottom w:val="nil"/>
              <w:right w:val="single" w:sz="8" w:space="0" w:color="auto"/>
            </w:tcBorders>
            <w:shd w:val="clear" w:color="000000" w:fill="203764"/>
            <w:vAlign w:val="center"/>
            <w:hideMark/>
          </w:tcPr>
          <w:p w14:paraId="5F8F9382"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Norma</w:t>
            </w:r>
          </w:p>
        </w:tc>
        <w:tc>
          <w:tcPr>
            <w:tcW w:w="1840" w:type="dxa"/>
            <w:tcBorders>
              <w:top w:val="nil"/>
              <w:left w:val="nil"/>
              <w:bottom w:val="nil"/>
              <w:right w:val="single" w:sz="8" w:space="0" w:color="auto"/>
            </w:tcBorders>
            <w:shd w:val="clear" w:color="000000" w:fill="203764"/>
            <w:vAlign w:val="center"/>
            <w:hideMark/>
          </w:tcPr>
          <w:p w14:paraId="221AC37C" w14:textId="77777777" w:rsidR="00E81926" w:rsidRPr="00E81926" w:rsidRDefault="00E81926" w:rsidP="00E81926">
            <w:pPr>
              <w:jc w:val="center"/>
              <w:rPr>
                <w:rFonts w:ascii="Arial Narrow" w:eastAsia="Times New Roman" w:hAnsi="Arial Narrow" w:cs="Calibri"/>
                <w:b/>
                <w:bCs/>
                <w:color w:val="FFFFFF"/>
                <w:sz w:val="22"/>
                <w:szCs w:val="22"/>
                <w:lang w:val="es-CR"/>
              </w:rPr>
            </w:pPr>
            <w:r w:rsidRPr="00E81926">
              <w:rPr>
                <w:rFonts w:ascii="Arial Narrow" w:eastAsia="Times New Roman" w:hAnsi="Arial Narrow" w:cs="Calibri"/>
                <w:b/>
                <w:bCs/>
                <w:color w:val="FFFFFF"/>
                <w:sz w:val="22"/>
                <w:szCs w:val="22"/>
                <w:lang w:val="es-CR"/>
              </w:rPr>
              <w:t>Normativa técnica y disposiciones adicionales</w:t>
            </w:r>
          </w:p>
        </w:tc>
      </w:tr>
      <w:tr w:rsidR="00E81926" w:rsidRPr="006E5442" w14:paraId="413E4B66" w14:textId="77777777" w:rsidTr="003F694B">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94B666"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8263401"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33</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6CA5F91B"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36526CA2" w14:textId="77777777" w:rsidR="00E81926" w:rsidRPr="00E81926" w:rsidRDefault="00E81926" w:rsidP="00E81926">
            <w:pPr>
              <w:jc w:val="both"/>
              <w:rPr>
                <w:rFonts w:ascii="Arial Narrow" w:eastAsia="Times New Roman" w:hAnsi="Arial Narrow" w:cs="Calibri"/>
                <w:b/>
                <w:bCs/>
                <w:color w:val="000000"/>
                <w:sz w:val="22"/>
                <w:szCs w:val="22"/>
                <w:lang w:val="es-CR"/>
              </w:rPr>
            </w:pPr>
            <w:r w:rsidRPr="00E81926">
              <w:rPr>
                <w:rFonts w:ascii="Arial Narrow" w:eastAsia="Times New Roman" w:hAnsi="Arial Narrow" w:cs="Calibri"/>
                <w:b/>
                <w:bCs/>
                <w:color w:val="000000"/>
                <w:sz w:val="22"/>
                <w:szCs w:val="22"/>
                <w:lang w:val="es-CR"/>
              </w:rPr>
              <w:t>Información a incluir en el ECP</w:t>
            </w:r>
          </w:p>
        </w:tc>
        <w:tc>
          <w:tcPr>
            <w:tcW w:w="2253" w:type="dxa"/>
            <w:gridSpan w:val="2"/>
            <w:tcBorders>
              <w:top w:val="single" w:sz="8" w:space="0" w:color="auto"/>
              <w:left w:val="nil"/>
              <w:bottom w:val="single" w:sz="8" w:space="0" w:color="auto"/>
              <w:right w:val="single" w:sz="8" w:space="0" w:color="auto"/>
            </w:tcBorders>
            <w:shd w:val="clear" w:color="auto" w:fill="auto"/>
            <w:vAlign w:val="center"/>
            <w:hideMark/>
          </w:tcPr>
          <w:p w14:paraId="0038DABF" w14:textId="77777777" w:rsidR="00DB5D8E" w:rsidRDefault="00E81926" w:rsidP="00E81926">
            <w:pPr>
              <w:jc w:val="both"/>
              <w:rPr>
                <w:rFonts w:ascii="Arial Narrow" w:eastAsia="Times New Roman" w:hAnsi="Arial Narrow" w:cs="Calibri"/>
                <w:b/>
                <w:bCs/>
                <w:color w:val="000000"/>
                <w:sz w:val="22"/>
                <w:szCs w:val="22"/>
                <w:lang w:val="es-CR"/>
              </w:rPr>
            </w:pPr>
            <w:r w:rsidRPr="00E81926">
              <w:rPr>
                <w:rFonts w:ascii="Arial Narrow" w:eastAsia="Times New Roman" w:hAnsi="Arial Narrow" w:cs="Calibri"/>
                <w:b/>
                <w:bCs/>
                <w:color w:val="000000"/>
                <w:sz w:val="22"/>
                <w:szCs w:val="22"/>
                <w:lang w:val="es-CR"/>
              </w:rPr>
              <w:t>NICSP N° 1,</w:t>
            </w:r>
          </w:p>
          <w:p w14:paraId="131E4504" w14:textId="7FBC91F8" w:rsidR="00E81926" w:rsidRPr="00E81926" w:rsidRDefault="00E81926" w:rsidP="00E81926">
            <w:pPr>
              <w:jc w:val="both"/>
              <w:rPr>
                <w:rFonts w:ascii="Arial Narrow" w:eastAsia="Times New Roman" w:hAnsi="Arial Narrow" w:cs="Calibri"/>
                <w:b/>
                <w:bCs/>
                <w:color w:val="000000"/>
                <w:sz w:val="22"/>
                <w:szCs w:val="22"/>
                <w:lang w:val="es-CR"/>
              </w:rPr>
            </w:pPr>
            <w:r w:rsidRPr="00E81926">
              <w:rPr>
                <w:rFonts w:ascii="Arial Narrow" w:eastAsia="Times New Roman" w:hAnsi="Arial Narrow" w:cs="Calibri"/>
                <w:b/>
                <w:bCs/>
                <w:color w:val="000000"/>
                <w:sz w:val="22"/>
                <w:szCs w:val="22"/>
                <w:lang w:val="es-CR"/>
              </w:rPr>
              <w:t>Párrafos 118 y 120 a 125.</w:t>
            </w:r>
          </w:p>
        </w:tc>
        <w:tc>
          <w:tcPr>
            <w:tcW w:w="1847" w:type="dxa"/>
            <w:gridSpan w:val="2"/>
            <w:tcBorders>
              <w:top w:val="single" w:sz="8" w:space="0" w:color="auto"/>
              <w:left w:val="nil"/>
              <w:bottom w:val="single" w:sz="8" w:space="0" w:color="auto"/>
              <w:right w:val="single" w:sz="8" w:space="0" w:color="auto"/>
            </w:tcBorders>
            <w:shd w:val="clear" w:color="auto" w:fill="auto"/>
            <w:vAlign w:val="center"/>
            <w:hideMark/>
          </w:tcPr>
          <w:p w14:paraId="0B4A6CD8" w14:textId="77777777" w:rsidR="00E81926" w:rsidRPr="00E81926" w:rsidRDefault="00E81926" w:rsidP="00E81926">
            <w:pPr>
              <w:jc w:val="center"/>
              <w:rPr>
                <w:rFonts w:ascii="Arial Narrow" w:eastAsia="Times New Roman" w:hAnsi="Arial Narrow" w:cs="Calibri"/>
                <w:b/>
                <w:bCs/>
                <w:color w:val="000000"/>
                <w:sz w:val="22"/>
                <w:szCs w:val="22"/>
                <w:lang w:val="es-CR"/>
              </w:rPr>
            </w:pPr>
            <w:r w:rsidRPr="00E81926">
              <w:rPr>
                <w:rFonts w:ascii="Arial Narrow" w:eastAsia="Times New Roman" w:hAnsi="Arial Narrow" w:cs="Calibri"/>
                <w:b/>
                <w:bCs/>
                <w:color w:val="000000"/>
                <w:sz w:val="22"/>
                <w:szCs w:val="22"/>
                <w:lang w:val="es-CR"/>
              </w:rPr>
              <w:t xml:space="preserve"> </w:t>
            </w:r>
          </w:p>
        </w:tc>
      </w:tr>
    </w:tbl>
    <w:p w14:paraId="6A0998B6" w14:textId="77777777" w:rsidR="00D033EC" w:rsidRDefault="00D033EC" w:rsidP="00D033EC">
      <w:pPr>
        <w:pStyle w:val="Default"/>
        <w:jc w:val="both"/>
        <w:rPr>
          <w:sz w:val="23"/>
          <w:szCs w:val="23"/>
          <w:lang w:val="es-CR"/>
        </w:rPr>
      </w:pPr>
    </w:p>
    <w:p w14:paraId="5CADC581" w14:textId="77777777" w:rsidR="003F694B" w:rsidRPr="0030399E" w:rsidRDefault="003F694B" w:rsidP="003F694B">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460F86A8" w14:textId="77777777" w:rsidR="003F694B" w:rsidRDefault="003F694B" w:rsidP="00D033EC">
      <w:pPr>
        <w:pStyle w:val="Default"/>
        <w:jc w:val="both"/>
        <w:rPr>
          <w:sz w:val="23"/>
          <w:szCs w:val="23"/>
          <w:lang w:val="es-CR"/>
        </w:rPr>
      </w:pPr>
    </w:p>
    <w:p w14:paraId="4CF3E937" w14:textId="79A65BC6" w:rsidR="00DB5D8E" w:rsidRDefault="00DB5D8E" w:rsidP="00DB5D8E">
      <w:pPr>
        <w:pStyle w:val="Default"/>
        <w:ind w:left="1134" w:hanging="1134"/>
        <w:jc w:val="both"/>
        <w:rPr>
          <w:b/>
          <w:bCs/>
          <w:sz w:val="22"/>
          <w:szCs w:val="22"/>
          <w:lang w:val="es-CR"/>
        </w:rPr>
      </w:pPr>
      <w:r>
        <w:rPr>
          <w:b/>
          <w:bCs/>
          <w:sz w:val="22"/>
          <w:szCs w:val="22"/>
          <w:lang w:val="es-CR"/>
        </w:rPr>
        <w:t>6.33.0.01</w:t>
      </w:r>
      <w:r>
        <w:rPr>
          <w:b/>
          <w:bCs/>
          <w:sz w:val="22"/>
          <w:szCs w:val="22"/>
          <w:lang w:val="es-CR"/>
        </w:rPr>
        <w:tab/>
        <w:t xml:space="preserve">La Municipalidad </w:t>
      </w:r>
      <w:r w:rsidR="00E81926" w:rsidRPr="00DB5D8E">
        <w:rPr>
          <w:b/>
          <w:bCs/>
          <w:sz w:val="22"/>
          <w:szCs w:val="22"/>
          <w:lang w:val="es-CR"/>
        </w:rPr>
        <w:t>presentará un ECP donde se informará:</w:t>
      </w:r>
    </w:p>
    <w:p w14:paraId="343FB4F3" w14:textId="27FDC178" w:rsidR="00E81926" w:rsidRPr="00DB5D8E" w:rsidRDefault="00E81926" w:rsidP="00DB5D8E">
      <w:pPr>
        <w:pStyle w:val="Default"/>
        <w:ind w:left="1134" w:hanging="1134"/>
        <w:jc w:val="both"/>
        <w:rPr>
          <w:sz w:val="22"/>
          <w:szCs w:val="22"/>
          <w:lang w:val="es-CR"/>
        </w:rPr>
      </w:pPr>
      <w:r w:rsidRPr="00DB5D8E">
        <w:rPr>
          <w:b/>
          <w:bCs/>
          <w:sz w:val="22"/>
          <w:szCs w:val="22"/>
          <w:lang w:val="es-CR"/>
        </w:rPr>
        <w:t xml:space="preserve"> </w:t>
      </w:r>
    </w:p>
    <w:p w14:paraId="0B0DA5B9" w14:textId="7CBDE671" w:rsidR="00E81926" w:rsidRPr="00DB5D8E" w:rsidRDefault="00DB5D8E">
      <w:pPr>
        <w:pStyle w:val="Default"/>
        <w:numPr>
          <w:ilvl w:val="0"/>
          <w:numId w:val="355"/>
        </w:numPr>
        <w:spacing w:after="120"/>
        <w:ind w:left="1418" w:hanging="357"/>
        <w:jc w:val="both"/>
        <w:rPr>
          <w:sz w:val="22"/>
          <w:szCs w:val="22"/>
          <w:lang w:val="es-CR"/>
        </w:rPr>
      </w:pPr>
      <w:r>
        <w:rPr>
          <w:sz w:val="22"/>
          <w:szCs w:val="22"/>
          <w:lang w:val="es-CR"/>
        </w:rPr>
        <w:t>E</w:t>
      </w:r>
      <w:r w:rsidR="00E81926" w:rsidRPr="00DB5D8E">
        <w:rPr>
          <w:sz w:val="22"/>
          <w:szCs w:val="22"/>
          <w:lang w:val="es-CR"/>
        </w:rPr>
        <w:t xml:space="preserve">l resultado del período; </w:t>
      </w:r>
    </w:p>
    <w:p w14:paraId="259B5CB6" w14:textId="249A1576" w:rsidR="00E81926" w:rsidRPr="00DB5D8E" w:rsidRDefault="00DB5D8E">
      <w:pPr>
        <w:pStyle w:val="Default"/>
        <w:numPr>
          <w:ilvl w:val="0"/>
          <w:numId w:val="355"/>
        </w:numPr>
        <w:spacing w:after="120"/>
        <w:ind w:left="1418" w:hanging="357"/>
        <w:jc w:val="both"/>
        <w:rPr>
          <w:sz w:val="22"/>
          <w:szCs w:val="22"/>
          <w:lang w:val="es-CR"/>
        </w:rPr>
      </w:pPr>
      <w:r>
        <w:rPr>
          <w:sz w:val="22"/>
          <w:szCs w:val="22"/>
          <w:lang w:val="es-CR"/>
        </w:rPr>
        <w:t>L</w:t>
      </w:r>
      <w:r w:rsidR="00E81926" w:rsidRPr="00DB5D8E">
        <w:rPr>
          <w:sz w:val="22"/>
          <w:szCs w:val="22"/>
          <w:lang w:val="es-CR"/>
        </w:rPr>
        <w:t xml:space="preserve">os ajustes a los resultados acumulados; </w:t>
      </w:r>
    </w:p>
    <w:p w14:paraId="544075ED" w14:textId="263B7E51" w:rsidR="00E81926" w:rsidRPr="00DB5D8E" w:rsidRDefault="00DB5D8E">
      <w:pPr>
        <w:pStyle w:val="Default"/>
        <w:numPr>
          <w:ilvl w:val="0"/>
          <w:numId w:val="355"/>
        </w:numPr>
        <w:spacing w:after="120"/>
        <w:ind w:left="1418" w:hanging="357"/>
        <w:jc w:val="both"/>
        <w:rPr>
          <w:sz w:val="22"/>
          <w:szCs w:val="22"/>
          <w:lang w:val="es-CR"/>
        </w:rPr>
      </w:pPr>
      <w:r>
        <w:rPr>
          <w:sz w:val="22"/>
          <w:szCs w:val="22"/>
          <w:lang w:val="es-CR"/>
        </w:rPr>
        <w:lastRenderedPageBreak/>
        <w:t>C</w:t>
      </w:r>
      <w:r w:rsidR="00E81926" w:rsidRPr="00DB5D8E">
        <w:rPr>
          <w:sz w:val="22"/>
          <w:szCs w:val="22"/>
          <w:lang w:val="es-CR"/>
        </w:rPr>
        <w:t xml:space="preserve">ada partida de ingresos y gastos del período que, según lo requerido por otras Normas, se reconozcan directamente en el patrimonio, y el total de estas partidas; </w:t>
      </w:r>
    </w:p>
    <w:p w14:paraId="47F8EDB3" w14:textId="18D157C5" w:rsidR="00E81926" w:rsidRPr="00DB5D8E" w:rsidRDefault="00DB5D8E">
      <w:pPr>
        <w:pStyle w:val="Default"/>
        <w:numPr>
          <w:ilvl w:val="0"/>
          <w:numId w:val="355"/>
        </w:numPr>
        <w:spacing w:after="120"/>
        <w:ind w:left="1418" w:hanging="357"/>
        <w:jc w:val="both"/>
        <w:rPr>
          <w:sz w:val="22"/>
          <w:szCs w:val="22"/>
          <w:lang w:val="es-CR"/>
        </w:rPr>
      </w:pPr>
      <w:r>
        <w:rPr>
          <w:sz w:val="22"/>
          <w:szCs w:val="22"/>
          <w:lang w:val="es-CR"/>
        </w:rPr>
        <w:t>E</w:t>
      </w:r>
      <w:r w:rsidR="00E81926" w:rsidRPr="00DB5D8E">
        <w:rPr>
          <w:sz w:val="22"/>
          <w:szCs w:val="22"/>
          <w:lang w:val="es-CR"/>
        </w:rPr>
        <w:t xml:space="preserve">l total de los ingresos y gastos del período; </w:t>
      </w:r>
    </w:p>
    <w:p w14:paraId="33C3B562" w14:textId="09B5CFCA" w:rsidR="00E81926" w:rsidRPr="00DB5D8E" w:rsidRDefault="00DB5D8E">
      <w:pPr>
        <w:pStyle w:val="Default"/>
        <w:numPr>
          <w:ilvl w:val="0"/>
          <w:numId w:val="355"/>
        </w:numPr>
        <w:spacing w:after="120"/>
        <w:ind w:left="1418" w:hanging="357"/>
        <w:jc w:val="both"/>
        <w:rPr>
          <w:sz w:val="22"/>
          <w:szCs w:val="22"/>
          <w:lang w:val="es-CR"/>
        </w:rPr>
      </w:pPr>
      <w:r>
        <w:rPr>
          <w:sz w:val="22"/>
          <w:szCs w:val="22"/>
          <w:lang w:val="es-CR"/>
        </w:rPr>
        <w:t>P</w:t>
      </w:r>
      <w:r w:rsidR="00E81926" w:rsidRPr="00DB5D8E">
        <w:rPr>
          <w:sz w:val="22"/>
          <w:szCs w:val="22"/>
          <w:lang w:val="es-CR"/>
        </w:rPr>
        <w:t xml:space="preserve">ara cada componente del patrimonio revelado por separado, los efectos de los cambios en las políticas contables y en la corrección de errores reconocidos; </w:t>
      </w:r>
    </w:p>
    <w:p w14:paraId="761243C5" w14:textId="27B04BA0" w:rsidR="00E81926" w:rsidRPr="00DB5D8E" w:rsidRDefault="00DB5D8E">
      <w:pPr>
        <w:pStyle w:val="Default"/>
        <w:numPr>
          <w:ilvl w:val="0"/>
          <w:numId w:val="355"/>
        </w:numPr>
        <w:spacing w:after="120"/>
        <w:ind w:left="1418" w:hanging="357"/>
        <w:jc w:val="both"/>
        <w:rPr>
          <w:sz w:val="22"/>
          <w:szCs w:val="22"/>
          <w:lang w:val="es-CR"/>
        </w:rPr>
      </w:pPr>
      <w:r>
        <w:rPr>
          <w:sz w:val="22"/>
          <w:szCs w:val="22"/>
          <w:lang w:val="es-CR"/>
        </w:rPr>
        <w:t>L</w:t>
      </w:r>
      <w:r w:rsidR="00E81926" w:rsidRPr="00DB5D8E">
        <w:rPr>
          <w:sz w:val="22"/>
          <w:szCs w:val="22"/>
          <w:lang w:val="es-CR"/>
        </w:rPr>
        <w:t xml:space="preserve">os gastos e ingresos totales de la entidad, incluyendo en ellos los importes que se hayan reconocido directamente en las cuentas del patrimonio; y </w:t>
      </w:r>
    </w:p>
    <w:p w14:paraId="35BECE3C" w14:textId="34412451" w:rsidR="00E81926" w:rsidRPr="00DB5D8E" w:rsidRDefault="00DB5D8E">
      <w:pPr>
        <w:pStyle w:val="Default"/>
        <w:numPr>
          <w:ilvl w:val="0"/>
          <w:numId w:val="355"/>
        </w:numPr>
        <w:ind w:left="1418"/>
        <w:jc w:val="both"/>
        <w:rPr>
          <w:sz w:val="22"/>
          <w:szCs w:val="22"/>
          <w:lang w:val="es-CR"/>
        </w:rPr>
      </w:pPr>
      <w:r>
        <w:rPr>
          <w:sz w:val="22"/>
          <w:szCs w:val="22"/>
          <w:lang w:val="es-CR"/>
        </w:rPr>
        <w:t>L</w:t>
      </w:r>
      <w:r w:rsidR="00E81926" w:rsidRPr="00DB5D8E">
        <w:rPr>
          <w:sz w:val="22"/>
          <w:szCs w:val="22"/>
          <w:lang w:val="es-CR"/>
        </w:rPr>
        <w:t xml:space="preserve">os ajustes y las reexpresiones retroactivas que se realizan sobre el saldo de los resultados acumulados. </w:t>
      </w:r>
    </w:p>
    <w:p w14:paraId="73FA9C66" w14:textId="77777777" w:rsidR="00E81926" w:rsidRPr="00DB5D8E" w:rsidRDefault="00E81926" w:rsidP="00DB5D8E">
      <w:pPr>
        <w:pStyle w:val="Default"/>
        <w:jc w:val="both"/>
        <w:rPr>
          <w:sz w:val="22"/>
          <w:szCs w:val="22"/>
          <w:lang w:val="es-CR"/>
        </w:rPr>
      </w:pPr>
    </w:p>
    <w:p w14:paraId="704EF5A1" w14:textId="3641D36B" w:rsidR="00E81926" w:rsidRDefault="00DB5D8E" w:rsidP="00DB5D8E">
      <w:pPr>
        <w:pStyle w:val="Default"/>
        <w:ind w:left="1134" w:hanging="1134"/>
        <w:jc w:val="both"/>
        <w:rPr>
          <w:b/>
          <w:bCs/>
          <w:sz w:val="22"/>
          <w:szCs w:val="22"/>
        </w:rPr>
      </w:pPr>
      <w:r>
        <w:rPr>
          <w:b/>
          <w:bCs/>
          <w:sz w:val="22"/>
          <w:szCs w:val="22"/>
        </w:rPr>
        <w:t>6.33.0.02</w:t>
      </w:r>
      <w:r>
        <w:rPr>
          <w:b/>
          <w:bCs/>
          <w:sz w:val="22"/>
          <w:szCs w:val="22"/>
        </w:rPr>
        <w:tab/>
      </w:r>
      <w:r w:rsidR="00E81926" w:rsidRPr="00DB5D8E">
        <w:rPr>
          <w:b/>
          <w:bCs/>
          <w:sz w:val="22"/>
          <w:szCs w:val="22"/>
        </w:rPr>
        <w:t>También deberá mostrarse:</w:t>
      </w:r>
    </w:p>
    <w:p w14:paraId="5C2C6DDC" w14:textId="77777777" w:rsidR="00DB5D8E" w:rsidRPr="00DB5D8E" w:rsidRDefault="00DB5D8E" w:rsidP="00DB5D8E">
      <w:pPr>
        <w:pStyle w:val="Default"/>
        <w:ind w:left="1134" w:hanging="1134"/>
        <w:jc w:val="both"/>
        <w:rPr>
          <w:sz w:val="22"/>
          <w:szCs w:val="22"/>
        </w:rPr>
      </w:pPr>
    </w:p>
    <w:p w14:paraId="20321601" w14:textId="673746A1" w:rsidR="00E81926" w:rsidRPr="00DB5D8E" w:rsidRDefault="00DB5D8E">
      <w:pPr>
        <w:pStyle w:val="Default"/>
        <w:numPr>
          <w:ilvl w:val="1"/>
          <w:numId w:val="356"/>
        </w:numPr>
        <w:spacing w:after="20"/>
        <w:ind w:left="1418"/>
        <w:jc w:val="both"/>
        <w:rPr>
          <w:sz w:val="22"/>
          <w:szCs w:val="22"/>
          <w:lang w:val="es-CR"/>
        </w:rPr>
      </w:pPr>
      <w:r w:rsidRPr="00DB5D8E">
        <w:rPr>
          <w:sz w:val="22"/>
          <w:szCs w:val="22"/>
          <w:lang w:val="es-CR"/>
        </w:rPr>
        <w:t>E</w:t>
      </w:r>
      <w:r w:rsidR="00E81926" w:rsidRPr="00DB5D8E">
        <w:rPr>
          <w:sz w:val="22"/>
          <w:szCs w:val="22"/>
          <w:lang w:val="es-CR"/>
        </w:rPr>
        <w:t xml:space="preserve">l cambio global en el patrimonio durante un período representado por: a. el importe del resultado total del período (diferencia entre otros ingresos y gastos reconocidos directamente como cambios en el patrimonio); </w:t>
      </w:r>
    </w:p>
    <w:p w14:paraId="3C82E939" w14:textId="6B5DD107" w:rsidR="00E81926" w:rsidRPr="00DB5D8E" w:rsidRDefault="00DB5D8E">
      <w:pPr>
        <w:pStyle w:val="Default"/>
        <w:numPr>
          <w:ilvl w:val="1"/>
          <w:numId w:val="356"/>
        </w:numPr>
        <w:ind w:left="1418"/>
        <w:jc w:val="both"/>
        <w:rPr>
          <w:sz w:val="22"/>
          <w:szCs w:val="22"/>
          <w:lang w:val="es-CR"/>
        </w:rPr>
      </w:pPr>
      <w:r>
        <w:rPr>
          <w:sz w:val="22"/>
          <w:szCs w:val="22"/>
          <w:lang w:val="es-CR"/>
        </w:rPr>
        <w:t>L</w:t>
      </w:r>
      <w:r w:rsidR="00E81926" w:rsidRPr="00DB5D8E">
        <w:rPr>
          <w:sz w:val="22"/>
          <w:szCs w:val="22"/>
          <w:lang w:val="es-CR"/>
        </w:rPr>
        <w:t xml:space="preserve">las contribuciones de los propietarios y distribuciones a los mismos, que incluyen las transferencias efectuadas por el gobierno, actuando en su condición de propietario, a un organismo gubernamental; y </w:t>
      </w:r>
    </w:p>
    <w:p w14:paraId="1E22B652" w14:textId="2630EEC7" w:rsidR="00E81926" w:rsidRPr="00DB5D8E" w:rsidRDefault="00DB5D8E">
      <w:pPr>
        <w:pStyle w:val="Default"/>
        <w:numPr>
          <w:ilvl w:val="1"/>
          <w:numId w:val="356"/>
        </w:numPr>
        <w:ind w:left="1418"/>
        <w:jc w:val="both"/>
        <w:rPr>
          <w:sz w:val="22"/>
          <w:szCs w:val="22"/>
          <w:lang w:val="es-CR"/>
        </w:rPr>
      </w:pPr>
      <w:r>
        <w:rPr>
          <w:sz w:val="22"/>
          <w:szCs w:val="22"/>
          <w:lang w:val="es-CR"/>
        </w:rPr>
        <w:t>L</w:t>
      </w:r>
      <w:r w:rsidR="00E81926" w:rsidRPr="00DB5D8E">
        <w:rPr>
          <w:sz w:val="22"/>
          <w:szCs w:val="22"/>
          <w:lang w:val="es-CR"/>
        </w:rPr>
        <w:t xml:space="preserve">os incrementos o disminuciones de revaluación y ciertas diferencias de cambio, que se reconozcan directamente como cambios en el patrimonio. </w:t>
      </w:r>
    </w:p>
    <w:p w14:paraId="5073ED35" w14:textId="77777777" w:rsidR="00E81926" w:rsidRDefault="00E81926" w:rsidP="00E81926">
      <w:pPr>
        <w:pStyle w:val="Prrafodelista"/>
        <w:rPr>
          <w:sz w:val="23"/>
          <w:szCs w:val="23"/>
          <w:lang w:val="es-CR"/>
        </w:rPr>
      </w:pPr>
    </w:p>
    <w:p w14:paraId="4D9BF3BB" w14:textId="77777777" w:rsidR="003F694B" w:rsidRDefault="003F694B" w:rsidP="00E81926">
      <w:pPr>
        <w:pStyle w:val="Prrafodelista"/>
        <w:rPr>
          <w:sz w:val="23"/>
          <w:szCs w:val="23"/>
          <w:lang w:val="es-CR"/>
        </w:rPr>
      </w:pPr>
    </w:p>
    <w:p w14:paraId="40F3772E" w14:textId="77777777" w:rsidR="00E81926" w:rsidRDefault="00E81926"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90"/>
        <w:gridCol w:w="2251"/>
        <w:gridCol w:w="1855"/>
      </w:tblGrid>
      <w:tr w:rsidR="00E81926" w:rsidRPr="00E81926" w14:paraId="6B92BD44" w14:textId="77777777" w:rsidTr="003F694B">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16472F5"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59AE5C9"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Concepto</w:t>
            </w:r>
          </w:p>
        </w:tc>
        <w:tc>
          <w:tcPr>
            <w:tcW w:w="4106" w:type="dxa"/>
            <w:gridSpan w:val="2"/>
            <w:tcBorders>
              <w:top w:val="single" w:sz="8" w:space="0" w:color="auto"/>
              <w:left w:val="nil"/>
              <w:bottom w:val="single" w:sz="8" w:space="0" w:color="auto"/>
              <w:right w:val="single" w:sz="8" w:space="0" w:color="000000"/>
            </w:tcBorders>
            <w:shd w:val="clear" w:color="000000" w:fill="203764"/>
            <w:vAlign w:val="center"/>
            <w:hideMark/>
          </w:tcPr>
          <w:p w14:paraId="526E467B"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Referencia</w:t>
            </w:r>
          </w:p>
        </w:tc>
      </w:tr>
      <w:tr w:rsidR="00E81926" w:rsidRPr="006E5442" w14:paraId="298746AE" w14:textId="77777777" w:rsidTr="003F694B">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7773B8B6" w14:textId="77777777" w:rsidR="00E81926" w:rsidRPr="00E81926" w:rsidRDefault="00E81926" w:rsidP="00E81926">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2D82043F" w14:textId="77777777" w:rsidR="00E81926" w:rsidRPr="00E81926" w:rsidRDefault="00E81926" w:rsidP="00E81926">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6FE9AE8A"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72D9D32C" w14:textId="77777777" w:rsidR="00E81926" w:rsidRPr="00E81926" w:rsidRDefault="00E81926" w:rsidP="00E81926">
            <w:pPr>
              <w:jc w:val="center"/>
              <w:rPr>
                <w:rFonts w:ascii="Arial Narrow" w:eastAsia="Times New Roman" w:hAnsi="Arial Narrow" w:cs="Calibri"/>
                <w:b/>
                <w:bCs/>
                <w:color w:val="FFFFFF"/>
                <w:sz w:val="22"/>
                <w:szCs w:val="22"/>
                <w:lang w:val="es-CR"/>
              </w:rPr>
            </w:pPr>
            <w:r w:rsidRPr="00E81926">
              <w:rPr>
                <w:rFonts w:ascii="Arial Narrow" w:eastAsia="Times New Roman" w:hAnsi="Arial Narrow" w:cs="Calibri"/>
                <w:b/>
                <w:bCs/>
                <w:color w:val="FFFFFF"/>
                <w:sz w:val="22"/>
                <w:szCs w:val="22"/>
                <w:lang w:val="es-CR"/>
              </w:rPr>
              <w:t>Normativa técnica y disposiciones adicionales</w:t>
            </w:r>
          </w:p>
        </w:tc>
      </w:tr>
      <w:tr w:rsidR="00E81926" w:rsidRPr="00E81926" w14:paraId="1708C904" w14:textId="77777777" w:rsidTr="003F694B">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AF5940"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2FFD67F"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36</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BD4B5B4"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0A4BA611" w14:textId="77777777" w:rsidR="00E81926" w:rsidRPr="00E81926" w:rsidRDefault="00E81926" w:rsidP="00E81926">
            <w:pPr>
              <w:jc w:val="both"/>
              <w:rPr>
                <w:rFonts w:ascii="Arial Narrow" w:eastAsia="Times New Roman" w:hAnsi="Arial Narrow" w:cs="Calibri"/>
                <w:b/>
                <w:bCs/>
                <w:color w:val="000000"/>
                <w:sz w:val="22"/>
                <w:szCs w:val="22"/>
                <w:lang w:val="es-CR"/>
              </w:rPr>
            </w:pPr>
            <w:r w:rsidRPr="00E81926">
              <w:rPr>
                <w:rFonts w:ascii="Arial Narrow" w:eastAsia="Times New Roman" w:hAnsi="Arial Narrow" w:cs="Calibri"/>
                <w:b/>
                <w:bCs/>
                <w:color w:val="000000"/>
                <w:sz w:val="22"/>
                <w:szCs w:val="22"/>
                <w:lang w:val="es-CR"/>
              </w:rPr>
              <w:t>Información a incluir en las Notas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491DB1B0" w14:textId="77777777" w:rsidR="00DB5D8E" w:rsidRDefault="00E81926" w:rsidP="00E81926">
            <w:pPr>
              <w:jc w:val="both"/>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NICSP N° 1,</w:t>
            </w:r>
          </w:p>
          <w:p w14:paraId="132E8E54" w14:textId="67C69A63" w:rsidR="00E81926" w:rsidRPr="00E81926" w:rsidRDefault="00E81926" w:rsidP="00E81926">
            <w:pPr>
              <w:jc w:val="both"/>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Párrafo 119.</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7C16F02C"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 </w:t>
            </w:r>
          </w:p>
        </w:tc>
      </w:tr>
    </w:tbl>
    <w:p w14:paraId="140778A2" w14:textId="77777777" w:rsidR="00E81926" w:rsidRDefault="00E81926" w:rsidP="00D033EC">
      <w:pPr>
        <w:pStyle w:val="Default"/>
        <w:jc w:val="both"/>
        <w:rPr>
          <w:sz w:val="23"/>
          <w:szCs w:val="23"/>
          <w:lang w:val="es-CR"/>
        </w:rPr>
      </w:pPr>
    </w:p>
    <w:p w14:paraId="09F0823E"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69FF8079" w14:textId="77777777" w:rsidR="003F694B" w:rsidRDefault="003F694B" w:rsidP="00D033EC">
      <w:pPr>
        <w:pStyle w:val="Default"/>
        <w:jc w:val="both"/>
        <w:rPr>
          <w:sz w:val="23"/>
          <w:szCs w:val="23"/>
          <w:lang w:val="es-CR"/>
        </w:rPr>
      </w:pPr>
    </w:p>
    <w:p w14:paraId="1993068A" w14:textId="6B42D4A3" w:rsidR="00E81926" w:rsidRDefault="00DB5D8E" w:rsidP="00DB5D8E">
      <w:pPr>
        <w:pStyle w:val="Default"/>
        <w:ind w:left="1134" w:hanging="1134"/>
        <w:jc w:val="both"/>
        <w:rPr>
          <w:sz w:val="23"/>
          <w:szCs w:val="23"/>
          <w:lang w:val="es-CR"/>
        </w:rPr>
      </w:pPr>
      <w:r>
        <w:rPr>
          <w:sz w:val="23"/>
          <w:szCs w:val="23"/>
          <w:lang w:val="es-CR"/>
        </w:rPr>
        <w:t>6.36.0.01</w:t>
      </w:r>
      <w:r>
        <w:rPr>
          <w:sz w:val="23"/>
          <w:szCs w:val="23"/>
          <w:lang w:val="es-CR"/>
        </w:rPr>
        <w:tab/>
      </w:r>
      <w:r w:rsidR="00E81926" w:rsidRPr="00E81926">
        <w:rPr>
          <w:sz w:val="23"/>
          <w:szCs w:val="23"/>
          <w:lang w:val="es-CR"/>
        </w:rPr>
        <w:t>Cada partida del ECP se relacionará con la información correspondiente en las Notas. También deberá presentarse en las notas la siguiente información:</w:t>
      </w:r>
    </w:p>
    <w:p w14:paraId="3B53BC12" w14:textId="77777777" w:rsidR="00DB5D8E" w:rsidRPr="00E81926" w:rsidRDefault="00DB5D8E" w:rsidP="00DB5D8E">
      <w:pPr>
        <w:pStyle w:val="Default"/>
        <w:ind w:left="1134" w:hanging="1134"/>
        <w:jc w:val="both"/>
        <w:rPr>
          <w:sz w:val="23"/>
          <w:szCs w:val="23"/>
          <w:lang w:val="es-CR"/>
        </w:rPr>
      </w:pPr>
    </w:p>
    <w:p w14:paraId="386EA650" w14:textId="6844DC38" w:rsidR="00E81926" w:rsidRPr="00E81926" w:rsidRDefault="00DB5D8E">
      <w:pPr>
        <w:pStyle w:val="Default"/>
        <w:numPr>
          <w:ilvl w:val="3"/>
          <w:numId w:val="357"/>
        </w:numPr>
        <w:spacing w:after="120"/>
        <w:ind w:left="1418" w:hanging="284"/>
        <w:jc w:val="both"/>
        <w:rPr>
          <w:sz w:val="23"/>
          <w:szCs w:val="23"/>
          <w:lang w:val="es-CR"/>
        </w:rPr>
      </w:pPr>
      <w:r>
        <w:rPr>
          <w:sz w:val="23"/>
          <w:szCs w:val="23"/>
          <w:lang w:val="es-CR"/>
        </w:rPr>
        <w:t>L</w:t>
      </w:r>
      <w:r w:rsidR="00E81926" w:rsidRPr="00E81926">
        <w:rPr>
          <w:sz w:val="23"/>
          <w:szCs w:val="23"/>
          <w:lang w:val="es-CR"/>
        </w:rPr>
        <w:t xml:space="preserve">as transacciones con los propietarios, si las hubiese, mostrando separadamente las distribuciones a los mismos; </w:t>
      </w:r>
    </w:p>
    <w:p w14:paraId="07EF29AA" w14:textId="75A3AEE4" w:rsidR="00E81926" w:rsidRPr="00E81926" w:rsidRDefault="00DB5D8E">
      <w:pPr>
        <w:pStyle w:val="Default"/>
        <w:numPr>
          <w:ilvl w:val="3"/>
          <w:numId w:val="357"/>
        </w:numPr>
        <w:spacing w:after="120"/>
        <w:ind w:left="1418" w:hanging="284"/>
        <w:jc w:val="both"/>
        <w:rPr>
          <w:sz w:val="23"/>
          <w:szCs w:val="23"/>
          <w:lang w:val="es-CR"/>
        </w:rPr>
      </w:pPr>
      <w:r>
        <w:rPr>
          <w:sz w:val="23"/>
          <w:szCs w:val="23"/>
          <w:lang w:val="es-CR"/>
        </w:rPr>
        <w:t>E</w:t>
      </w:r>
      <w:r w:rsidR="00E81926" w:rsidRPr="00E81926">
        <w:rPr>
          <w:sz w:val="23"/>
          <w:szCs w:val="23"/>
          <w:lang w:val="es-CR"/>
        </w:rPr>
        <w:t xml:space="preserve">l saldo de los resultados acumulados al inicio del período y a la fecha sobre la que se informa, y los cambios operados durante el período; </w:t>
      </w:r>
    </w:p>
    <w:p w14:paraId="7D1E0B69" w14:textId="03F0B19F" w:rsidR="00E81926" w:rsidRPr="00E81926" w:rsidRDefault="00DB5D8E">
      <w:pPr>
        <w:pStyle w:val="Default"/>
        <w:numPr>
          <w:ilvl w:val="3"/>
          <w:numId w:val="357"/>
        </w:numPr>
        <w:spacing w:after="120"/>
        <w:ind w:left="1418" w:hanging="284"/>
        <w:jc w:val="both"/>
        <w:rPr>
          <w:sz w:val="23"/>
          <w:szCs w:val="23"/>
          <w:lang w:val="es-CR"/>
        </w:rPr>
      </w:pPr>
      <w:r>
        <w:rPr>
          <w:sz w:val="23"/>
          <w:szCs w:val="23"/>
          <w:lang w:val="es-CR"/>
        </w:rPr>
        <w:t>L</w:t>
      </w:r>
      <w:r w:rsidR="00E81926" w:rsidRPr="00E81926">
        <w:rPr>
          <w:sz w:val="23"/>
          <w:szCs w:val="23"/>
          <w:lang w:val="es-CR"/>
        </w:rPr>
        <w:t xml:space="preserve">os ajustes y las reexpresiones retroactivas que se realizaron sobre el saldo de los resultados acumulados; y </w:t>
      </w:r>
    </w:p>
    <w:p w14:paraId="04A8C53E" w14:textId="3C2FA3CA" w:rsidR="00E81926" w:rsidRPr="00E81926" w:rsidRDefault="00DB5D8E">
      <w:pPr>
        <w:pStyle w:val="Default"/>
        <w:numPr>
          <w:ilvl w:val="3"/>
          <w:numId w:val="357"/>
        </w:numPr>
        <w:ind w:left="1418" w:hanging="284"/>
        <w:jc w:val="both"/>
        <w:rPr>
          <w:sz w:val="23"/>
          <w:szCs w:val="23"/>
          <w:lang w:val="es-CR"/>
        </w:rPr>
      </w:pPr>
      <w:r>
        <w:rPr>
          <w:sz w:val="23"/>
          <w:szCs w:val="23"/>
          <w:lang w:val="es-CR"/>
        </w:rPr>
        <w:t>L</w:t>
      </w:r>
      <w:r w:rsidR="00E81926" w:rsidRPr="00E81926">
        <w:rPr>
          <w:sz w:val="23"/>
          <w:szCs w:val="23"/>
          <w:lang w:val="es-CR"/>
        </w:rPr>
        <w:t xml:space="preserve">os cambios más significativos operados en el patrimonio entre el inicio el cierre. </w:t>
      </w:r>
    </w:p>
    <w:p w14:paraId="2D895362" w14:textId="77777777" w:rsidR="00D033EC" w:rsidRDefault="00D033EC" w:rsidP="00D033EC">
      <w:pPr>
        <w:pStyle w:val="Default"/>
        <w:jc w:val="both"/>
        <w:rPr>
          <w:sz w:val="23"/>
          <w:szCs w:val="23"/>
          <w:lang w:val="es-CR"/>
        </w:rPr>
      </w:pPr>
    </w:p>
    <w:p w14:paraId="233FE654" w14:textId="77777777" w:rsidR="003F694B" w:rsidRDefault="003F694B" w:rsidP="00D033EC">
      <w:pPr>
        <w:pStyle w:val="Default"/>
        <w:jc w:val="both"/>
        <w:rPr>
          <w:sz w:val="23"/>
          <w:szCs w:val="23"/>
          <w:lang w:val="es-CR"/>
        </w:rPr>
      </w:pPr>
    </w:p>
    <w:p w14:paraId="2B231B10" w14:textId="77777777" w:rsidR="003F694B" w:rsidRDefault="003F694B" w:rsidP="00D033EC">
      <w:pPr>
        <w:pStyle w:val="Default"/>
        <w:jc w:val="both"/>
        <w:rPr>
          <w:sz w:val="23"/>
          <w:szCs w:val="23"/>
          <w:lang w:val="es-CR"/>
        </w:rPr>
      </w:pPr>
    </w:p>
    <w:p w14:paraId="20A2F8B0" w14:textId="77777777" w:rsidR="003F694B" w:rsidRDefault="003F694B" w:rsidP="00D033EC">
      <w:pPr>
        <w:pStyle w:val="Default"/>
        <w:jc w:val="both"/>
        <w:rPr>
          <w:sz w:val="23"/>
          <w:szCs w:val="23"/>
          <w:lang w:val="es-CR"/>
        </w:rPr>
      </w:pPr>
    </w:p>
    <w:p w14:paraId="418BAC62" w14:textId="77777777" w:rsidR="003F694B" w:rsidRDefault="003F694B" w:rsidP="00D033EC">
      <w:pPr>
        <w:pStyle w:val="Default"/>
        <w:jc w:val="both"/>
        <w:rPr>
          <w:sz w:val="23"/>
          <w:szCs w:val="23"/>
          <w:lang w:val="es-CR"/>
        </w:rPr>
      </w:pPr>
    </w:p>
    <w:p w14:paraId="71BBE17F" w14:textId="77777777" w:rsidR="003F694B" w:rsidRDefault="003F694B" w:rsidP="00D033EC">
      <w:pPr>
        <w:pStyle w:val="Default"/>
        <w:jc w:val="both"/>
        <w:rPr>
          <w:sz w:val="23"/>
          <w:szCs w:val="23"/>
          <w:lang w:val="es-CR"/>
        </w:rPr>
      </w:pPr>
    </w:p>
    <w:p w14:paraId="43E02490" w14:textId="77777777" w:rsidR="00E81926" w:rsidRDefault="00E81926" w:rsidP="00D033EC">
      <w:pPr>
        <w:pStyle w:val="Default"/>
        <w:jc w:val="both"/>
        <w:rPr>
          <w:sz w:val="23"/>
          <w:szCs w:val="23"/>
          <w:lang w:val="es-CR"/>
        </w:rPr>
      </w:pPr>
    </w:p>
    <w:tbl>
      <w:tblPr>
        <w:tblW w:w="9346" w:type="dxa"/>
        <w:tblLook w:val="04A0" w:firstRow="1" w:lastRow="0" w:firstColumn="1" w:lastColumn="0" w:noHBand="0" w:noVBand="1"/>
      </w:tblPr>
      <w:tblGrid>
        <w:gridCol w:w="416"/>
        <w:gridCol w:w="706"/>
        <w:gridCol w:w="428"/>
        <w:gridCol w:w="3720"/>
        <w:gridCol w:w="2267"/>
        <w:gridCol w:w="1809"/>
      </w:tblGrid>
      <w:tr w:rsidR="00E81926" w:rsidRPr="00E81926" w14:paraId="2926A821" w14:textId="77777777" w:rsidTr="003F694B">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92743BE"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lastRenderedPageBreak/>
              <w:t>Norma / Política</w:t>
            </w:r>
          </w:p>
        </w:tc>
        <w:tc>
          <w:tcPr>
            <w:tcW w:w="372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25ECF19"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Concepto</w:t>
            </w:r>
          </w:p>
        </w:tc>
        <w:tc>
          <w:tcPr>
            <w:tcW w:w="4076" w:type="dxa"/>
            <w:gridSpan w:val="2"/>
            <w:tcBorders>
              <w:top w:val="single" w:sz="8" w:space="0" w:color="auto"/>
              <w:left w:val="nil"/>
              <w:bottom w:val="single" w:sz="8" w:space="0" w:color="auto"/>
              <w:right w:val="single" w:sz="8" w:space="0" w:color="000000"/>
            </w:tcBorders>
            <w:shd w:val="clear" w:color="000000" w:fill="203764"/>
            <w:vAlign w:val="center"/>
            <w:hideMark/>
          </w:tcPr>
          <w:p w14:paraId="3A3BF4AF"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Referencia</w:t>
            </w:r>
          </w:p>
        </w:tc>
      </w:tr>
      <w:tr w:rsidR="00E81926" w:rsidRPr="006E5442" w14:paraId="47744939" w14:textId="77777777" w:rsidTr="003F694B">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B0CC990" w14:textId="77777777" w:rsidR="00E81926" w:rsidRPr="00E81926" w:rsidRDefault="00E81926" w:rsidP="00E81926">
            <w:pPr>
              <w:rPr>
                <w:rFonts w:ascii="Arial Narrow" w:eastAsia="Times New Roman" w:hAnsi="Arial Narrow" w:cs="Calibri"/>
                <w:b/>
                <w:bCs/>
                <w:color w:val="FFFFFF"/>
                <w:sz w:val="22"/>
                <w:szCs w:val="22"/>
              </w:rPr>
            </w:pPr>
          </w:p>
        </w:tc>
        <w:tc>
          <w:tcPr>
            <w:tcW w:w="3720" w:type="dxa"/>
            <w:vMerge/>
            <w:tcBorders>
              <w:top w:val="single" w:sz="8" w:space="0" w:color="auto"/>
              <w:left w:val="single" w:sz="8" w:space="0" w:color="auto"/>
              <w:bottom w:val="nil"/>
              <w:right w:val="single" w:sz="8" w:space="0" w:color="auto"/>
            </w:tcBorders>
            <w:vAlign w:val="center"/>
            <w:hideMark/>
          </w:tcPr>
          <w:p w14:paraId="449D6F68" w14:textId="77777777" w:rsidR="00E81926" w:rsidRPr="00E81926" w:rsidRDefault="00E81926" w:rsidP="00E81926">
            <w:pPr>
              <w:rPr>
                <w:rFonts w:ascii="Arial Narrow" w:eastAsia="Times New Roman" w:hAnsi="Arial Narrow" w:cs="Calibri"/>
                <w:b/>
                <w:bCs/>
                <w:color w:val="FFFFFF"/>
                <w:sz w:val="22"/>
                <w:szCs w:val="22"/>
              </w:rPr>
            </w:pPr>
          </w:p>
        </w:tc>
        <w:tc>
          <w:tcPr>
            <w:tcW w:w="2267" w:type="dxa"/>
            <w:tcBorders>
              <w:top w:val="nil"/>
              <w:left w:val="nil"/>
              <w:bottom w:val="nil"/>
              <w:right w:val="single" w:sz="8" w:space="0" w:color="auto"/>
            </w:tcBorders>
            <w:shd w:val="clear" w:color="000000" w:fill="203764"/>
            <w:vAlign w:val="center"/>
            <w:hideMark/>
          </w:tcPr>
          <w:p w14:paraId="66C7B74E"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Norma</w:t>
            </w:r>
          </w:p>
        </w:tc>
        <w:tc>
          <w:tcPr>
            <w:tcW w:w="1809" w:type="dxa"/>
            <w:tcBorders>
              <w:top w:val="nil"/>
              <w:left w:val="nil"/>
              <w:bottom w:val="nil"/>
              <w:right w:val="single" w:sz="8" w:space="0" w:color="auto"/>
            </w:tcBorders>
            <w:shd w:val="clear" w:color="000000" w:fill="203764"/>
            <w:vAlign w:val="center"/>
            <w:hideMark/>
          </w:tcPr>
          <w:p w14:paraId="16D012F7" w14:textId="77777777" w:rsidR="00E81926" w:rsidRPr="00E81926" w:rsidRDefault="00E81926" w:rsidP="00E81926">
            <w:pPr>
              <w:jc w:val="center"/>
              <w:rPr>
                <w:rFonts w:ascii="Arial Narrow" w:eastAsia="Times New Roman" w:hAnsi="Arial Narrow" w:cs="Calibri"/>
                <w:b/>
                <w:bCs/>
                <w:color w:val="FFFFFF"/>
                <w:sz w:val="22"/>
                <w:szCs w:val="22"/>
                <w:lang w:val="es-CR"/>
              </w:rPr>
            </w:pPr>
            <w:r w:rsidRPr="00E81926">
              <w:rPr>
                <w:rFonts w:ascii="Arial Narrow" w:eastAsia="Times New Roman" w:hAnsi="Arial Narrow" w:cs="Calibri"/>
                <w:b/>
                <w:bCs/>
                <w:color w:val="FFFFFF"/>
                <w:sz w:val="22"/>
                <w:szCs w:val="22"/>
                <w:lang w:val="es-CR"/>
              </w:rPr>
              <w:t>Normativa técnica y disposiciones adicionales</w:t>
            </w:r>
          </w:p>
        </w:tc>
      </w:tr>
      <w:tr w:rsidR="00E81926" w:rsidRPr="00E81926" w14:paraId="0DA62887" w14:textId="77777777" w:rsidTr="003F694B">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29F216" w14:textId="77777777" w:rsidR="00E81926" w:rsidRPr="00E81926" w:rsidRDefault="00E81926" w:rsidP="003F694B">
            <w:pPr>
              <w:jc w:val="cente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6</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0B3922CB" w14:textId="77777777" w:rsidR="00E81926" w:rsidRPr="00E81926" w:rsidRDefault="00E81926" w:rsidP="003F694B">
            <w:pPr>
              <w:ind w:firstLineChars="16" w:firstLine="35"/>
              <w:jc w:val="cente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37</w:t>
            </w:r>
          </w:p>
        </w:tc>
        <w:tc>
          <w:tcPr>
            <w:tcW w:w="428" w:type="dxa"/>
            <w:tcBorders>
              <w:top w:val="single" w:sz="8" w:space="0" w:color="auto"/>
              <w:left w:val="nil"/>
              <w:bottom w:val="single" w:sz="8" w:space="0" w:color="auto"/>
              <w:right w:val="single" w:sz="8" w:space="0" w:color="auto"/>
            </w:tcBorders>
            <w:shd w:val="clear" w:color="auto" w:fill="auto"/>
            <w:vAlign w:val="center"/>
            <w:hideMark/>
          </w:tcPr>
          <w:p w14:paraId="29F86F55"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 </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14:paraId="3AD3E273" w14:textId="77777777" w:rsidR="00E81926" w:rsidRPr="00E81926" w:rsidRDefault="00E81926" w:rsidP="00E81926">
            <w:pP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Modelo de ECP</w:t>
            </w:r>
          </w:p>
        </w:tc>
        <w:tc>
          <w:tcPr>
            <w:tcW w:w="2267" w:type="dxa"/>
            <w:tcBorders>
              <w:top w:val="single" w:sz="8" w:space="0" w:color="auto"/>
              <w:left w:val="nil"/>
              <w:bottom w:val="single" w:sz="8" w:space="0" w:color="auto"/>
              <w:right w:val="single" w:sz="8" w:space="0" w:color="auto"/>
            </w:tcBorders>
            <w:shd w:val="clear" w:color="auto" w:fill="auto"/>
            <w:vAlign w:val="center"/>
            <w:hideMark/>
          </w:tcPr>
          <w:p w14:paraId="6DA3360F" w14:textId="77777777" w:rsidR="00E81926" w:rsidRPr="00E81926" w:rsidRDefault="00E81926" w:rsidP="00E81926">
            <w:pP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w:t>
            </w:r>
          </w:p>
        </w:tc>
        <w:tc>
          <w:tcPr>
            <w:tcW w:w="1809" w:type="dxa"/>
            <w:tcBorders>
              <w:top w:val="single" w:sz="8" w:space="0" w:color="auto"/>
              <w:left w:val="nil"/>
              <w:bottom w:val="single" w:sz="8" w:space="0" w:color="auto"/>
              <w:right w:val="single" w:sz="8" w:space="0" w:color="auto"/>
            </w:tcBorders>
            <w:shd w:val="clear" w:color="auto" w:fill="auto"/>
            <w:vAlign w:val="center"/>
            <w:hideMark/>
          </w:tcPr>
          <w:p w14:paraId="295DC6F3"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DGCN </w:t>
            </w:r>
          </w:p>
        </w:tc>
      </w:tr>
      <w:tr w:rsidR="00E81926" w:rsidRPr="00E81926" w14:paraId="1AA86DE1" w14:textId="77777777" w:rsidTr="003F694B">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A6D8B20" w14:textId="77777777" w:rsidR="00E81926" w:rsidRPr="00E81926" w:rsidRDefault="00E81926" w:rsidP="003F694B">
            <w:pPr>
              <w:jc w:val="cente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6</w:t>
            </w:r>
          </w:p>
        </w:tc>
        <w:tc>
          <w:tcPr>
            <w:tcW w:w="706" w:type="dxa"/>
            <w:tcBorders>
              <w:top w:val="nil"/>
              <w:left w:val="nil"/>
              <w:bottom w:val="single" w:sz="8" w:space="0" w:color="auto"/>
              <w:right w:val="single" w:sz="8" w:space="0" w:color="auto"/>
            </w:tcBorders>
            <w:shd w:val="clear" w:color="auto" w:fill="auto"/>
            <w:vAlign w:val="center"/>
            <w:hideMark/>
          </w:tcPr>
          <w:p w14:paraId="177F1A6D" w14:textId="77777777" w:rsidR="00E81926" w:rsidRPr="00E81926" w:rsidRDefault="00E81926" w:rsidP="003F694B">
            <w:pPr>
              <w:ind w:firstLineChars="16" w:firstLine="35"/>
              <w:jc w:val="cente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37</w:t>
            </w:r>
          </w:p>
        </w:tc>
        <w:tc>
          <w:tcPr>
            <w:tcW w:w="428" w:type="dxa"/>
            <w:tcBorders>
              <w:top w:val="nil"/>
              <w:left w:val="nil"/>
              <w:bottom w:val="single" w:sz="8" w:space="0" w:color="auto"/>
              <w:right w:val="nil"/>
            </w:tcBorders>
            <w:shd w:val="clear" w:color="auto" w:fill="auto"/>
            <w:vAlign w:val="center"/>
            <w:hideMark/>
          </w:tcPr>
          <w:p w14:paraId="02258C3C"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1</w:t>
            </w:r>
          </w:p>
        </w:tc>
        <w:tc>
          <w:tcPr>
            <w:tcW w:w="3720" w:type="dxa"/>
            <w:tcBorders>
              <w:top w:val="nil"/>
              <w:left w:val="single" w:sz="8" w:space="0" w:color="auto"/>
              <w:bottom w:val="single" w:sz="8" w:space="0" w:color="auto"/>
              <w:right w:val="single" w:sz="8" w:space="0" w:color="auto"/>
            </w:tcBorders>
            <w:shd w:val="clear" w:color="auto" w:fill="auto"/>
            <w:vAlign w:val="center"/>
            <w:hideMark/>
          </w:tcPr>
          <w:p w14:paraId="75819BF5" w14:textId="77777777" w:rsidR="00E81926" w:rsidRPr="00E81926" w:rsidRDefault="00E81926" w:rsidP="00E81926">
            <w:pP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Exposición de saldo nulo</w:t>
            </w:r>
          </w:p>
        </w:tc>
        <w:tc>
          <w:tcPr>
            <w:tcW w:w="2267" w:type="dxa"/>
            <w:tcBorders>
              <w:top w:val="nil"/>
              <w:left w:val="nil"/>
              <w:bottom w:val="single" w:sz="8" w:space="0" w:color="auto"/>
              <w:right w:val="single" w:sz="8" w:space="0" w:color="auto"/>
            </w:tcBorders>
            <w:shd w:val="clear" w:color="auto" w:fill="auto"/>
            <w:vAlign w:val="center"/>
            <w:hideMark/>
          </w:tcPr>
          <w:p w14:paraId="0848EEC2" w14:textId="77777777" w:rsidR="00E81926" w:rsidRPr="00E81926" w:rsidRDefault="00E81926" w:rsidP="00E81926">
            <w:pP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w:t>
            </w:r>
          </w:p>
        </w:tc>
        <w:tc>
          <w:tcPr>
            <w:tcW w:w="1809" w:type="dxa"/>
            <w:tcBorders>
              <w:top w:val="nil"/>
              <w:left w:val="nil"/>
              <w:bottom w:val="single" w:sz="8" w:space="0" w:color="auto"/>
              <w:right w:val="single" w:sz="8" w:space="0" w:color="auto"/>
            </w:tcBorders>
            <w:shd w:val="clear" w:color="auto" w:fill="auto"/>
            <w:vAlign w:val="center"/>
            <w:hideMark/>
          </w:tcPr>
          <w:p w14:paraId="70FC507B"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DGCN </w:t>
            </w:r>
          </w:p>
        </w:tc>
      </w:tr>
    </w:tbl>
    <w:p w14:paraId="320EDFA5" w14:textId="77777777" w:rsidR="00E81926" w:rsidRDefault="00E81926" w:rsidP="00D033EC">
      <w:pPr>
        <w:pStyle w:val="Default"/>
        <w:jc w:val="both"/>
        <w:rPr>
          <w:sz w:val="23"/>
          <w:szCs w:val="23"/>
          <w:lang w:val="es-CR"/>
        </w:rPr>
      </w:pPr>
    </w:p>
    <w:p w14:paraId="54B673CE"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18176626" w14:textId="77777777" w:rsidR="003F694B" w:rsidRDefault="003F694B" w:rsidP="00D033EC">
      <w:pPr>
        <w:pStyle w:val="Default"/>
        <w:jc w:val="both"/>
        <w:rPr>
          <w:sz w:val="23"/>
          <w:szCs w:val="23"/>
          <w:lang w:val="es-CR"/>
        </w:rPr>
      </w:pPr>
    </w:p>
    <w:p w14:paraId="6BD2452B" w14:textId="1FAE589B" w:rsidR="00E81926" w:rsidRDefault="00DB5D8E" w:rsidP="00DB5D8E">
      <w:pPr>
        <w:pStyle w:val="Default"/>
        <w:ind w:left="1134" w:hanging="1134"/>
        <w:jc w:val="both"/>
        <w:rPr>
          <w:sz w:val="22"/>
          <w:szCs w:val="22"/>
          <w:lang w:val="es-CR"/>
        </w:rPr>
      </w:pPr>
      <w:r>
        <w:rPr>
          <w:sz w:val="22"/>
          <w:szCs w:val="22"/>
          <w:lang w:val="es-CR"/>
        </w:rPr>
        <w:t>6.37.0.01</w:t>
      </w:r>
      <w:r>
        <w:rPr>
          <w:sz w:val="22"/>
          <w:szCs w:val="22"/>
          <w:lang w:val="es-CR"/>
        </w:rPr>
        <w:tab/>
      </w:r>
      <w:r w:rsidR="00E81926" w:rsidRPr="00DB5D8E">
        <w:rPr>
          <w:sz w:val="22"/>
          <w:szCs w:val="22"/>
          <w:lang w:val="es-CR"/>
        </w:rPr>
        <w:t xml:space="preserve">En el Anexo I se adjunta el modelo que rige la presentación del ECP y la información en él contenida, es la mínima que las entidades gubernamentales deben cumplir. </w:t>
      </w:r>
    </w:p>
    <w:p w14:paraId="0F463365" w14:textId="77777777" w:rsidR="00DB5D8E" w:rsidRPr="00DB5D8E" w:rsidRDefault="00DB5D8E" w:rsidP="00DB5D8E">
      <w:pPr>
        <w:pStyle w:val="Default"/>
        <w:ind w:left="1134" w:hanging="1134"/>
        <w:jc w:val="both"/>
        <w:rPr>
          <w:sz w:val="22"/>
          <w:szCs w:val="22"/>
          <w:lang w:val="es-CR"/>
        </w:rPr>
      </w:pPr>
    </w:p>
    <w:p w14:paraId="250B8BB9" w14:textId="170B27BE" w:rsidR="00E81926" w:rsidRPr="00DB5D8E" w:rsidRDefault="00DB5D8E" w:rsidP="001D5B69">
      <w:pPr>
        <w:pStyle w:val="Default"/>
        <w:ind w:left="1134" w:hanging="1134"/>
        <w:jc w:val="both"/>
        <w:rPr>
          <w:sz w:val="22"/>
          <w:szCs w:val="22"/>
          <w:lang w:val="es-CR"/>
        </w:rPr>
      </w:pPr>
      <w:r>
        <w:rPr>
          <w:sz w:val="22"/>
          <w:szCs w:val="22"/>
          <w:lang w:val="es-CR"/>
        </w:rPr>
        <w:t>6.37.</w:t>
      </w:r>
      <w:r w:rsidR="00E81926" w:rsidRPr="00DB5D8E">
        <w:rPr>
          <w:sz w:val="22"/>
          <w:szCs w:val="22"/>
          <w:lang w:val="es-CR"/>
        </w:rPr>
        <w:t>1.</w:t>
      </w:r>
      <w:r>
        <w:rPr>
          <w:sz w:val="22"/>
          <w:szCs w:val="22"/>
          <w:lang w:val="es-CR"/>
        </w:rPr>
        <w:t>01</w:t>
      </w:r>
      <w:r w:rsidR="001D5B69">
        <w:rPr>
          <w:sz w:val="22"/>
          <w:szCs w:val="22"/>
          <w:lang w:val="es-CR"/>
        </w:rPr>
        <w:tab/>
      </w:r>
      <w:r w:rsidR="00E81926" w:rsidRPr="00DB5D8E">
        <w:rPr>
          <w:sz w:val="22"/>
          <w:szCs w:val="22"/>
          <w:lang w:val="es-CR"/>
        </w:rPr>
        <w:t>En los Estados a presentar a la DGCN deberá establecerse, en nota aclaratoria, si la entidad no presenta saldos ni ha tenido transacciones en algunas de sus partidas o componentes, debiendo exponer las mismas aun teniendo saldo nulo.</w:t>
      </w:r>
    </w:p>
    <w:p w14:paraId="1768D4F0" w14:textId="77777777" w:rsidR="00D033EC" w:rsidRDefault="00D033EC" w:rsidP="00D033EC">
      <w:pPr>
        <w:pStyle w:val="Default"/>
        <w:jc w:val="both"/>
        <w:rPr>
          <w:sz w:val="23"/>
          <w:szCs w:val="23"/>
          <w:lang w:val="es-CR"/>
        </w:rPr>
      </w:pPr>
    </w:p>
    <w:p w14:paraId="5980CA7C" w14:textId="77777777" w:rsidR="003F694B" w:rsidRDefault="003F694B" w:rsidP="00D033EC">
      <w:pPr>
        <w:pStyle w:val="Default"/>
        <w:jc w:val="both"/>
        <w:rPr>
          <w:sz w:val="23"/>
          <w:szCs w:val="23"/>
          <w:lang w:val="es-CR"/>
        </w:rPr>
      </w:pPr>
    </w:p>
    <w:p w14:paraId="54F542F1" w14:textId="77777777" w:rsidR="00E81926" w:rsidRDefault="00E81926" w:rsidP="00D033EC">
      <w:pPr>
        <w:pStyle w:val="Default"/>
        <w:jc w:val="both"/>
        <w:rPr>
          <w:sz w:val="23"/>
          <w:szCs w:val="23"/>
          <w:lang w:val="es-CR"/>
        </w:rPr>
      </w:pPr>
    </w:p>
    <w:p w14:paraId="45D18FE1" w14:textId="1C4003FE" w:rsidR="00E81926" w:rsidRDefault="00E81926" w:rsidP="00E81926">
      <w:pPr>
        <w:pStyle w:val="Ttulo2"/>
        <w:ind w:left="284"/>
        <w:rPr>
          <w:sz w:val="23"/>
          <w:szCs w:val="23"/>
          <w:lang w:val="es-CR"/>
        </w:rPr>
      </w:pPr>
      <w:bookmarkStart w:id="178" w:name="_Toc172726313"/>
      <w:r w:rsidRPr="00E81926">
        <w:rPr>
          <w:rFonts w:ascii="Arial" w:eastAsia="Arial" w:hAnsi="Arial" w:cs="Arial"/>
          <w:b/>
          <w:bCs/>
          <w:sz w:val="24"/>
          <w:szCs w:val="24"/>
          <w:lang w:val="es-CR"/>
        </w:rPr>
        <w:t>Estado de Flujos de Efectivo</w:t>
      </w:r>
      <w:bookmarkEnd w:id="178"/>
    </w:p>
    <w:p w14:paraId="27443D09" w14:textId="77777777" w:rsidR="00D033EC" w:rsidRDefault="00D033EC" w:rsidP="00D033EC">
      <w:pPr>
        <w:pStyle w:val="Default"/>
        <w:jc w:val="both"/>
        <w:rPr>
          <w:sz w:val="23"/>
          <w:szCs w:val="23"/>
          <w:lang w:val="es-CR"/>
        </w:rPr>
      </w:pPr>
    </w:p>
    <w:tbl>
      <w:tblPr>
        <w:tblW w:w="9346" w:type="dxa"/>
        <w:tblLook w:val="04A0" w:firstRow="1" w:lastRow="0" w:firstColumn="1" w:lastColumn="0" w:noHBand="0" w:noVBand="1"/>
      </w:tblPr>
      <w:tblGrid>
        <w:gridCol w:w="416"/>
        <w:gridCol w:w="706"/>
        <w:gridCol w:w="428"/>
        <w:gridCol w:w="3720"/>
        <w:gridCol w:w="2268"/>
        <w:gridCol w:w="1808"/>
      </w:tblGrid>
      <w:tr w:rsidR="00E81926" w:rsidRPr="00E81926" w14:paraId="0426504B" w14:textId="77777777" w:rsidTr="003F694B">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AA5C31D"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Norma / Política</w:t>
            </w:r>
          </w:p>
        </w:tc>
        <w:tc>
          <w:tcPr>
            <w:tcW w:w="3720" w:type="dxa"/>
            <w:vMerge w:val="restart"/>
            <w:tcBorders>
              <w:top w:val="single" w:sz="8" w:space="0" w:color="auto"/>
              <w:left w:val="single" w:sz="8" w:space="0" w:color="auto"/>
              <w:bottom w:val="nil"/>
              <w:right w:val="single" w:sz="8" w:space="0" w:color="auto"/>
            </w:tcBorders>
            <w:shd w:val="clear" w:color="000000" w:fill="203764"/>
            <w:vAlign w:val="center"/>
            <w:hideMark/>
          </w:tcPr>
          <w:p w14:paraId="743B258B"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Concepto</w:t>
            </w:r>
          </w:p>
        </w:tc>
        <w:tc>
          <w:tcPr>
            <w:tcW w:w="4076" w:type="dxa"/>
            <w:gridSpan w:val="2"/>
            <w:tcBorders>
              <w:top w:val="single" w:sz="8" w:space="0" w:color="auto"/>
              <w:left w:val="nil"/>
              <w:bottom w:val="single" w:sz="8" w:space="0" w:color="auto"/>
              <w:right w:val="single" w:sz="8" w:space="0" w:color="000000"/>
            </w:tcBorders>
            <w:shd w:val="clear" w:color="000000" w:fill="203764"/>
            <w:vAlign w:val="center"/>
            <w:hideMark/>
          </w:tcPr>
          <w:p w14:paraId="1C1C48EC"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Referencia</w:t>
            </w:r>
          </w:p>
        </w:tc>
      </w:tr>
      <w:tr w:rsidR="00E81926" w:rsidRPr="006E5442" w14:paraId="7A7F1341" w14:textId="77777777" w:rsidTr="003F694B">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CE2F675" w14:textId="77777777" w:rsidR="00E81926" w:rsidRPr="00E81926" w:rsidRDefault="00E81926" w:rsidP="00E81926">
            <w:pPr>
              <w:rPr>
                <w:rFonts w:ascii="Arial Narrow" w:eastAsia="Times New Roman" w:hAnsi="Arial Narrow" w:cs="Calibri"/>
                <w:b/>
                <w:bCs/>
                <w:color w:val="FFFFFF"/>
                <w:sz w:val="22"/>
                <w:szCs w:val="22"/>
              </w:rPr>
            </w:pPr>
          </w:p>
        </w:tc>
        <w:tc>
          <w:tcPr>
            <w:tcW w:w="3720" w:type="dxa"/>
            <w:vMerge/>
            <w:tcBorders>
              <w:top w:val="single" w:sz="8" w:space="0" w:color="auto"/>
              <w:left w:val="single" w:sz="8" w:space="0" w:color="auto"/>
              <w:bottom w:val="nil"/>
              <w:right w:val="single" w:sz="8" w:space="0" w:color="auto"/>
            </w:tcBorders>
            <w:vAlign w:val="center"/>
            <w:hideMark/>
          </w:tcPr>
          <w:p w14:paraId="3A15BC99" w14:textId="77777777" w:rsidR="00E81926" w:rsidRPr="00E81926" w:rsidRDefault="00E81926" w:rsidP="00E81926">
            <w:pPr>
              <w:rPr>
                <w:rFonts w:ascii="Arial Narrow" w:eastAsia="Times New Roman" w:hAnsi="Arial Narrow" w:cs="Calibri"/>
                <w:b/>
                <w:bCs/>
                <w:color w:val="FFFFFF"/>
                <w:sz w:val="22"/>
                <w:szCs w:val="22"/>
              </w:rPr>
            </w:pPr>
          </w:p>
        </w:tc>
        <w:tc>
          <w:tcPr>
            <w:tcW w:w="2268" w:type="dxa"/>
            <w:tcBorders>
              <w:top w:val="nil"/>
              <w:left w:val="nil"/>
              <w:bottom w:val="nil"/>
              <w:right w:val="single" w:sz="8" w:space="0" w:color="auto"/>
            </w:tcBorders>
            <w:shd w:val="clear" w:color="000000" w:fill="203764"/>
            <w:vAlign w:val="center"/>
            <w:hideMark/>
          </w:tcPr>
          <w:p w14:paraId="6EF1081B" w14:textId="77777777" w:rsidR="00E81926" w:rsidRPr="00E81926" w:rsidRDefault="00E81926" w:rsidP="00E81926">
            <w:pPr>
              <w:jc w:val="center"/>
              <w:rPr>
                <w:rFonts w:ascii="Arial Narrow" w:eastAsia="Times New Roman" w:hAnsi="Arial Narrow" w:cs="Calibri"/>
                <w:b/>
                <w:bCs/>
                <w:color w:val="FFFFFF"/>
                <w:sz w:val="22"/>
                <w:szCs w:val="22"/>
              </w:rPr>
            </w:pPr>
            <w:r w:rsidRPr="00E81926">
              <w:rPr>
                <w:rFonts w:ascii="Arial Narrow" w:eastAsia="Times New Roman" w:hAnsi="Arial Narrow" w:cs="Calibri"/>
                <w:b/>
                <w:bCs/>
                <w:color w:val="FFFFFF"/>
                <w:sz w:val="22"/>
                <w:szCs w:val="22"/>
              </w:rPr>
              <w:t>Norma</w:t>
            </w:r>
          </w:p>
        </w:tc>
        <w:tc>
          <w:tcPr>
            <w:tcW w:w="1808" w:type="dxa"/>
            <w:tcBorders>
              <w:top w:val="nil"/>
              <w:left w:val="nil"/>
              <w:bottom w:val="nil"/>
              <w:right w:val="single" w:sz="8" w:space="0" w:color="auto"/>
            </w:tcBorders>
            <w:shd w:val="clear" w:color="000000" w:fill="203764"/>
            <w:vAlign w:val="center"/>
            <w:hideMark/>
          </w:tcPr>
          <w:p w14:paraId="2FD0DB70" w14:textId="77777777" w:rsidR="00E81926" w:rsidRPr="00E81926" w:rsidRDefault="00E81926" w:rsidP="00E81926">
            <w:pPr>
              <w:jc w:val="center"/>
              <w:rPr>
                <w:rFonts w:ascii="Arial Narrow" w:eastAsia="Times New Roman" w:hAnsi="Arial Narrow" w:cs="Calibri"/>
                <w:b/>
                <w:bCs/>
                <w:color w:val="FFFFFF"/>
                <w:sz w:val="22"/>
                <w:szCs w:val="22"/>
                <w:lang w:val="es-CR"/>
              </w:rPr>
            </w:pPr>
            <w:r w:rsidRPr="00E81926">
              <w:rPr>
                <w:rFonts w:ascii="Arial Narrow" w:eastAsia="Times New Roman" w:hAnsi="Arial Narrow" w:cs="Calibri"/>
                <w:b/>
                <w:bCs/>
                <w:color w:val="FFFFFF"/>
                <w:sz w:val="22"/>
                <w:szCs w:val="22"/>
                <w:lang w:val="es-CR"/>
              </w:rPr>
              <w:t>Normativa técnica y disposiciones adicionales</w:t>
            </w:r>
          </w:p>
        </w:tc>
      </w:tr>
      <w:tr w:rsidR="00E81926" w:rsidRPr="00E81926" w14:paraId="2F24AEEF" w14:textId="77777777" w:rsidTr="003F694B">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128DF6" w14:textId="77777777" w:rsidR="00E81926" w:rsidRPr="00E81926" w:rsidRDefault="00E81926" w:rsidP="003F694B">
            <w:pPr>
              <w:jc w:val="cente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6</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7ADCFF30" w14:textId="77777777" w:rsidR="00E81926" w:rsidRPr="00E81926" w:rsidRDefault="00E81926" w:rsidP="003F694B">
            <w:pPr>
              <w:jc w:val="cente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38</w:t>
            </w:r>
          </w:p>
        </w:tc>
        <w:tc>
          <w:tcPr>
            <w:tcW w:w="428" w:type="dxa"/>
            <w:tcBorders>
              <w:top w:val="single" w:sz="8" w:space="0" w:color="auto"/>
              <w:left w:val="nil"/>
              <w:bottom w:val="single" w:sz="8" w:space="0" w:color="auto"/>
              <w:right w:val="single" w:sz="8" w:space="0" w:color="auto"/>
            </w:tcBorders>
            <w:shd w:val="clear" w:color="auto" w:fill="auto"/>
            <w:vAlign w:val="center"/>
            <w:hideMark/>
          </w:tcPr>
          <w:p w14:paraId="0B36D924"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 </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14:paraId="5234E191" w14:textId="77777777" w:rsidR="00E81926" w:rsidRPr="00E81926" w:rsidRDefault="00E81926" w:rsidP="00E81926">
            <w:pPr>
              <w:rPr>
                <w:rFonts w:ascii="Arial Narrow" w:eastAsia="Times New Roman" w:hAnsi="Arial Narrow"/>
                <w:b/>
                <w:bCs/>
                <w:color w:val="000000"/>
                <w:sz w:val="22"/>
                <w:szCs w:val="22"/>
                <w:lang w:val="es-CR"/>
              </w:rPr>
            </w:pPr>
            <w:r w:rsidRPr="00E81926">
              <w:rPr>
                <w:rFonts w:ascii="Arial Narrow" w:eastAsia="Times New Roman" w:hAnsi="Arial Narrow"/>
                <w:b/>
                <w:bCs/>
                <w:color w:val="000000"/>
                <w:sz w:val="22"/>
                <w:szCs w:val="22"/>
                <w:lang w:val="es-CR"/>
              </w:rPr>
              <w:t>Información sobre flujos de efectivo</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0C884B9" w14:textId="77777777" w:rsidR="00E81926" w:rsidRDefault="00E81926" w:rsidP="00E81926">
            <w:pP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NICSP N° 2, </w:t>
            </w:r>
          </w:p>
          <w:p w14:paraId="51BE46F3" w14:textId="47D56675" w:rsidR="00E81926" w:rsidRPr="00E81926" w:rsidRDefault="00E81926" w:rsidP="00E81926">
            <w:pP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Párrafos 1 y 2.</w:t>
            </w:r>
          </w:p>
        </w:tc>
        <w:tc>
          <w:tcPr>
            <w:tcW w:w="1808" w:type="dxa"/>
            <w:tcBorders>
              <w:top w:val="single" w:sz="8" w:space="0" w:color="auto"/>
              <w:left w:val="nil"/>
              <w:bottom w:val="single" w:sz="8" w:space="0" w:color="auto"/>
              <w:right w:val="single" w:sz="8" w:space="0" w:color="auto"/>
            </w:tcBorders>
            <w:shd w:val="clear" w:color="auto" w:fill="auto"/>
            <w:vAlign w:val="center"/>
            <w:hideMark/>
          </w:tcPr>
          <w:p w14:paraId="0BB4B8DD"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 </w:t>
            </w:r>
          </w:p>
        </w:tc>
      </w:tr>
      <w:tr w:rsidR="00E81926" w:rsidRPr="00E81926" w14:paraId="600EE318" w14:textId="77777777" w:rsidTr="003F694B">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D57C697" w14:textId="77777777" w:rsidR="00E81926" w:rsidRPr="00E81926" w:rsidRDefault="00E81926" w:rsidP="003F694B">
            <w:pPr>
              <w:jc w:val="cente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6</w:t>
            </w:r>
          </w:p>
        </w:tc>
        <w:tc>
          <w:tcPr>
            <w:tcW w:w="706" w:type="dxa"/>
            <w:tcBorders>
              <w:top w:val="nil"/>
              <w:left w:val="nil"/>
              <w:bottom w:val="single" w:sz="8" w:space="0" w:color="auto"/>
              <w:right w:val="single" w:sz="8" w:space="0" w:color="auto"/>
            </w:tcBorders>
            <w:shd w:val="clear" w:color="auto" w:fill="auto"/>
            <w:vAlign w:val="center"/>
            <w:hideMark/>
          </w:tcPr>
          <w:p w14:paraId="1B6A5870" w14:textId="77777777" w:rsidR="00E81926" w:rsidRPr="00E81926" w:rsidRDefault="00E81926" w:rsidP="003F694B">
            <w:pPr>
              <w:jc w:val="cente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38</w:t>
            </w:r>
          </w:p>
        </w:tc>
        <w:tc>
          <w:tcPr>
            <w:tcW w:w="428" w:type="dxa"/>
            <w:tcBorders>
              <w:top w:val="nil"/>
              <w:left w:val="nil"/>
              <w:bottom w:val="single" w:sz="8" w:space="0" w:color="auto"/>
              <w:right w:val="nil"/>
            </w:tcBorders>
            <w:shd w:val="clear" w:color="auto" w:fill="auto"/>
            <w:vAlign w:val="center"/>
            <w:hideMark/>
          </w:tcPr>
          <w:p w14:paraId="59CF8266"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1</w:t>
            </w:r>
          </w:p>
        </w:tc>
        <w:tc>
          <w:tcPr>
            <w:tcW w:w="3720" w:type="dxa"/>
            <w:tcBorders>
              <w:top w:val="nil"/>
              <w:left w:val="single" w:sz="8" w:space="0" w:color="auto"/>
              <w:bottom w:val="single" w:sz="8" w:space="0" w:color="auto"/>
              <w:right w:val="single" w:sz="8" w:space="0" w:color="auto"/>
            </w:tcBorders>
            <w:shd w:val="clear" w:color="auto" w:fill="auto"/>
            <w:vAlign w:val="center"/>
            <w:hideMark/>
          </w:tcPr>
          <w:p w14:paraId="08CA685D" w14:textId="77777777" w:rsidR="00E81926" w:rsidRPr="00E81926" w:rsidRDefault="00E81926" w:rsidP="00E81926">
            <w:pPr>
              <w:rPr>
                <w:rFonts w:ascii="Arial Narrow" w:eastAsia="Times New Roman" w:hAnsi="Arial Narrow"/>
                <w:b/>
                <w:bCs/>
                <w:color w:val="000000"/>
                <w:sz w:val="22"/>
                <w:szCs w:val="22"/>
              </w:rPr>
            </w:pPr>
            <w:r w:rsidRPr="00E81926">
              <w:rPr>
                <w:rFonts w:ascii="Arial Narrow" w:eastAsia="Times New Roman" w:hAnsi="Arial Narrow"/>
                <w:b/>
                <w:bCs/>
                <w:color w:val="000000"/>
                <w:sz w:val="22"/>
                <w:szCs w:val="22"/>
              </w:rPr>
              <w:t>Beneficios</w:t>
            </w:r>
          </w:p>
        </w:tc>
        <w:tc>
          <w:tcPr>
            <w:tcW w:w="2268" w:type="dxa"/>
            <w:tcBorders>
              <w:top w:val="nil"/>
              <w:left w:val="nil"/>
              <w:bottom w:val="single" w:sz="8" w:space="0" w:color="auto"/>
              <w:right w:val="single" w:sz="8" w:space="0" w:color="auto"/>
            </w:tcBorders>
            <w:shd w:val="clear" w:color="auto" w:fill="auto"/>
            <w:vAlign w:val="center"/>
            <w:hideMark/>
          </w:tcPr>
          <w:p w14:paraId="029E3C3B" w14:textId="77777777" w:rsidR="00E81926" w:rsidRDefault="00E81926" w:rsidP="00E81926">
            <w:pP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NICSP N° 2, </w:t>
            </w:r>
          </w:p>
          <w:p w14:paraId="58125B13" w14:textId="07988E78" w:rsidR="00E81926" w:rsidRPr="00E81926" w:rsidRDefault="00E81926" w:rsidP="00E81926">
            <w:pP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Párrafos 5 y 7.</w:t>
            </w:r>
          </w:p>
        </w:tc>
        <w:tc>
          <w:tcPr>
            <w:tcW w:w="1808" w:type="dxa"/>
            <w:tcBorders>
              <w:top w:val="nil"/>
              <w:left w:val="nil"/>
              <w:bottom w:val="single" w:sz="8" w:space="0" w:color="auto"/>
              <w:right w:val="single" w:sz="8" w:space="0" w:color="auto"/>
            </w:tcBorders>
            <w:shd w:val="clear" w:color="auto" w:fill="auto"/>
            <w:vAlign w:val="center"/>
            <w:hideMark/>
          </w:tcPr>
          <w:p w14:paraId="533CD6F2" w14:textId="77777777" w:rsidR="00E81926" w:rsidRPr="00E81926" w:rsidRDefault="00E81926" w:rsidP="00E81926">
            <w:pPr>
              <w:jc w:val="center"/>
              <w:rPr>
                <w:rFonts w:ascii="Arial Narrow" w:eastAsia="Times New Roman" w:hAnsi="Arial Narrow" w:cs="Calibri"/>
                <w:b/>
                <w:bCs/>
                <w:color w:val="000000"/>
                <w:sz w:val="22"/>
                <w:szCs w:val="22"/>
              </w:rPr>
            </w:pPr>
            <w:r w:rsidRPr="00E81926">
              <w:rPr>
                <w:rFonts w:ascii="Arial Narrow" w:eastAsia="Times New Roman" w:hAnsi="Arial Narrow" w:cs="Calibri"/>
                <w:b/>
                <w:bCs/>
                <w:color w:val="000000"/>
                <w:sz w:val="22"/>
                <w:szCs w:val="22"/>
              </w:rPr>
              <w:t xml:space="preserve"> </w:t>
            </w:r>
          </w:p>
        </w:tc>
      </w:tr>
    </w:tbl>
    <w:p w14:paraId="3F971BD1" w14:textId="77777777" w:rsidR="00D033EC" w:rsidRDefault="00D033EC" w:rsidP="00D033EC">
      <w:pPr>
        <w:pStyle w:val="Default"/>
        <w:jc w:val="both"/>
        <w:rPr>
          <w:sz w:val="23"/>
          <w:szCs w:val="23"/>
          <w:lang w:val="es-CR"/>
        </w:rPr>
      </w:pPr>
    </w:p>
    <w:p w14:paraId="7D01DCB9"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34676105" w14:textId="77777777" w:rsidR="003F694B" w:rsidRDefault="003F694B" w:rsidP="00D033EC">
      <w:pPr>
        <w:pStyle w:val="Default"/>
        <w:jc w:val="both"/>
        <w:rPr>
          <w:sz w:val="23"/>
          <w:szCs w:val="23"/>
          <w:lang w:val="es-CR"/>
        </w:rPr>
      </w:pPr>
    </w:p>
    <w:p w14:paraId="273DA2E0" w14:textId="0143FD53" w:rsidR="00EF5AD3" w:rsidRDefault="001D5B69" w:rsidP="001D5B69">
      <w:pPr>
        <w:pStyle w:val="Default"/>
        <w:ind w:left="1134" w:hanging="1134"/>
        <w:jc w:val="both"/>
        <w:rPr>
          <w:sz w:val="23"/>
          <w:szCs w:val="23"/>
          <w:lang w:val="es-CR"/>
        </w:rPr>
      </w:pPr>
      <w:r>
        <w:rPr>
          <w:sz w:val="23"/>
          <w:szCs w:val="23"/>
          <w:lang w:val="es-CR"/>
        </w:rPr>
        <w:t>6.38.0.01</w:t>
      </w:r>
      <w:r>
        <w:rPr>
          <w:sz w:val="23"/>
          <w:szCs w:val="23"/>
          <w:lang w:val="es-CR"/>
        </w:rPr>
        <w:tab/>
      </w:r>
      <w:r w:rsidR="00EF5AD3" w:rsidRPr="00EF5AD3">
        <w:rPr>
          <w:sz w:val="23"/>
          <w:szCs w:val="23"/>
          <w:lang w:val="es-CR"/>
        </w:rPr>
        <w:t>La información sobre los flujos de efectivo de las entidades del sector público debe ser útil para los usuarios de los EEFF, al proporcionarles información respecto a la forma en que la entidad genera y usa su efectivo y equivalentes al efectivo.</w:t>
      </w:r>
    </w:p>
    <w:p w14:paraId="1FC063E4" w14:textId="77777777" w:rsidR="003F694B" w:rsidRPr="00EF5AD3" w:rsidRDefault="003F694B" w:rsidP="001D5B69">
      <w:pPr>
        <w:pStyle w:val="Default"/>
        <w:ind w:left="1134" w:hanging="1134"/>
        <w:jc w:val="both"/>
        <w:rPr>
          <w:sz w:val="23"/>
          <w:szCs w:val="23"/>
          <w:lang w:val="es-CR"/>
        </w:rPr>
      </w:pPr>
    </w:p>
    <w:p w14:paraId="1FA793DB" w14:textId="4E7FFE3C" w:rsidR="00EF5AD3" w:rsidRDefault="001D5B69" w:rsidP="001D5B69">
      <w:pPr>
        <w:pStyle w:val="Default"/>
        <w:ind w:left="1134" w:hanging="1134"/>
        <w:jc w:val="both"/>
        <w:rPr>
          <w:b/>
          <w:bCs/>
          <w:sz w:val="23"/>
          <w:szCs w:val="23"/>
          <w:lang w:val="es-CR"/>
        </w:rPr>
      </w:pPr>
      <w:r>
        <w:rPr>
          <w:sz w:val="23"/>
          <w:szCs w:val="23"/>
          <w:lang w:val="es-CR"/>
        </w:rPr>
        <w:t>6.38.</w:t>
      </w:r>
      <w:r w:rsidR="00EF5AD3" w:rsidRPr="00EF5AD3">
        <w:rPr>
          <w:sz w:val="23"/>
          <w:szCs w:val="23"/>
          <w:lang w:val="es-CR"/>
        </w:rPr>
        <w:t>1.</w:t>
      </w:r>
      <w:r>
        <w:rPr>
          <w:sz w:val="23"/>
          <w:szCs w:val="23"/>
          <w:lang w:val="es-CR"/>
        </w:rPr>
        <w:t>01</w:t>
      </w:r>
      <w:r>
        <w:rPr>
          <w:sz w:val="23"/>
          <w:szCs w:val="23"/>
          <w:lang w:val="es-CR"/>
        </w:rPr>
        <w:tab/>
      </w:r>
      <w:r w:rsidR="00EF5AD3" w:rsidRPr="00EF5AD3">
        <w:rPr>
          <w:sz w:val="23"/>
          <w:szCs w:val="23"/>
          <w:lang w:val="es-CR"/>
        </w:rPr>
        <w:t>El EFE debe proporcionar, entre otros</w:t>
      </w:r>
      <w:r>
        <w:rPr>
          <w:sz w:val="23"/>
          <w:szCs w:val="23"/>
          <w:lang w:val="es-CR"/>
        </w:rPr>
        <w:t xml:space="preserve"> </w:t>
      </w:r>
      <w:r w:rsidR="00EF5AD3" w:rsidRPr="00EF5AD3">
        <w:rPr>
          <w:sz w:val="23"/>
          <w:szCs w:val="23"/>
          <w:lang w:val="es-CR"/>
        </w:rPr>
        <w:t>beneficios</w:t>
      </w:r>
      <w:r>
        <w:rPr>
          <w:sz w:val="23"/>
          <w:szCs w:val="23"/>
          <w:lang w:val="es-CR"/>
        </w:rPr>
        <w:t xml:space="preserve">, </w:t>
      </w:r>
      <w:r>
        <w:rPr>
          <w:b/>
          <w:bCs/>
          <w:sz w:val="23"/>
          <w:szCs w:val="23"/>
          <w:lang w:val="es-CR"/>
        </w:rPr>
        <w:t>p</w:t>
      </w:r>
      <w:r w:rsidR="00EF5AD3" w:rsidRPr="001D5B69">
        <w:rPr>
          <w:b/>
          <w:bCs/>
          <w:sz w:val="23"/>
          <w:szCs w:val="23"/>
          <w:lang w:val="es-CR"/>
        </w:rPr>
        <w:t>ermitir a los usuarios determinar:</w:t>
      </w:r>
    </w:p>
    <w:p w14:paraId="4E79419A" w14:textId="77777777" w:rsidR="001D5B69" w:rsidRPr="001D5B69" w:rsidRDefault="001D5B69" w:rsidP="001D5B69">
      <w:pPr>
        <w:pStyle w:val="Default"/>
        <w:jc w:val="both"/>
        <w:rPr>
          <w:b/>
          <w:bCs/>
          <w:sz w:val="23"/>
          <w:szCs w:val="23"/>
          <w:lang w:val="es-CR"/>
        </w:rPr>
      </w:pPr>
    </w:p>
    <w:p w14:paraId="1D4B62F6" w14:textId="77777777" w:rsidR="001D5B69" w:rsidRDefault="001D5B69">
      <w:pPr>
        <w:pStyle w:val="Default"/>
        <w:numPr>
          <w:ilvl w:val="0"/>
          <w:numId w:val="358"/>
        </w:numPr>
        <w:spacing w:after="120"/>
        <w:ind w:left="1418" w:hanging="284"/>
        <w:jc w:val="both"/>
        <w:rPr>
          <w:sz w:val="23"/>
          <w:szCs w:val="23"/>
          <w:lang w:val="es-CR"/>
        </w:rPr>
      </w:pPr>
      <w:r>
        <w:rPr>
          <w:sz w:val="23"/>
          <w:szCs w:val="23"/>
          <w:lang w:val="es-CR"/>
        </w:rPr>
        <w:t>L</w:t>
      </w:r>
      <w:r w:rsidR="00EF5AD3" w:rsidRPr="00EF5AD3">
        <w:rPr>
          <w:sz w:val="23"/>
          <w:szCs w:val="23"/>
          <w:lang w:val="es-CR"/>
        </w:rPr>
        <w:t xml:space="preserve">a forma en que la entidad que informa ha obtenido el efectivo que necesitaba para financiar sus actividades; </w:t>
      </w:r>
    </w:p>
    <w:p w14:paraId="11B34863" w14:textId="77777777" w:rsidR="001D5B69" w:rsidRDefault="001D5B69">
      <w:pPr>
        <w:pStyle w:val="Default"/>
        <w:numPr>
          <w:ilvl w:val="0"/>
          <w:numId w:val="358"/>
        </w:numPr>
        <w:spacing w:after="120"/>
        <w:ind w:left="1418" w:hanging="284"/>
        <w:jc w:val="both"/>
        <w:rPr>
          <w:sz w:val="23"/>
          <w:szCs w:val="23"/>
          <w:lang w:val="es-CR"/>
        </w:rPr>
      </w:pPr>
      <w:r>
        <w:rPr>
          <w:sz w:val="23"/>
          <w:szCs w:val="23"/>
          <w:lang w:val="es-CR"/>
        </w:rPr>
        <w:t>L</w:t>
      </w:r>
      <w:r w:rsidR="00EF5AD3" w:rsidRPr="00EF5AD3">
        <w:rPr>
          <w:sz w:val="23"/>
          <w:szCs w:val="23"/>
          <w:lang w:val="es-CR"/>
        </w:rPr>
        <w:t xml:space="preserve">a forma en que ha usado dicho efectivo; </w:t>
      </w:r>
    </w:p>
    <w:p w14:paraId="3A951E1A" w14:textId="25ECC66C" w:rsidR="00EF5AD3" w:rsidRPr="00EF5AD3" w:rsidRDefault="001D5B69">
      <w:pPr>
        <w:pStyle w:val="Default"/>
        <w:numPr>
          <w:ilvl w:val="0"/>
          <w:numId w:val="358"/>
        </w:numPr>
        <w:spacing w:after="120"/>
        <w:ind w:left="1418" w:hanging="284"/>
        <w:jc w:val="both"/>
        <w:rPr>
          <w:sz w:val="23"/>
          <w:szCs w:val="23"/>
          <w:lang w:val="es-CR"/>
        </w:rPr>
      </w:pPr>
      <w:r>
        <w:rPr>
          <w:sz w:val="23"/>
          <w:szCs w:val="23"/>
          <w:lang w:val="es-CR"/>
        </w:rPr>
        <w:t>L</w:t>
      </w:r>
      <w:r w:rsidR="00EF5AD3" w:rsidRPr="00EF5AD3">
        <w:rPr>
          <w:sz w:val="23"/>
          <w:szCs w:val="23"/>
          <w:lang w:val="es-CR"/>
        </w:rPr>
        <w:t xml:space="preserve">as fechas en que se producen los flujos de efectivo; y </w:t>
      </w:r>
    </w:p>
    <w:p w14:paraId="05B093E8" w14:textId="4772646C" w:rsidR="00EF5AD3" w:rsidRPr="00EF5AD3" w:rsidRDefault="001D5B69">
      <w:pPr>
        <w:pStyle w:val="Default"/>
        <w:numPr>
          <w:ilvl w:val="0"/>
          <w:numId w:val="358"/>
        </w:numPr>
        <w:spacing w:after="120"/>
        <w:ind w:left="1418" w:hanging="284"/>
        <w:jc w:val="both"/>
        <w:rPr>
          <w:sz w:val="23"/>
          <w:szCs w:val="23"/>
          <w:lang w:val="es-CR"/>
        </w:rPr>
      </w:pPr>
      <w:r>
        <w:rPr>
          <w:sz w:val="23"/>
          <w:szCs w:val="23"/>
          <w:lang w:val="es-CR"/>
        </w:rPr>
        <w:t>E</w:t>
      </w:r>
      <w:r w:rsidR="00EF5AD3" w:rsidRPr="00EF5AD3">
        <w:rPr>
          <w:sz w:val="23"/>
          <w:szCs w:val="23"/>
          <w:lang w:val="es-CR"/>
        </w:rPr>
        <w:t xml:space="preserve">l grado de certidumbre relativa de su generación; </w:t>
      </w:r>
    </w:p>
    <w:p w14:paraId="6226D131" w14:textId="196A8EC8" w:rsidR="00EF5AD3" w:rsidRPr="00EF5AD3" w:rsidRDefault="001D5B69">
      <w:pPr>
        <w:pStyle w:val="Default"/>
        <w:numPr>
          <w:ilvl w:val="0"/>
          <w:numId w:val="358"/>
        </w:numPr>
        <w:spacing w:after="120"/>
        <w:ind w:left="1418" w:hanging="284"/>
        <w:jc w:val="both"/>
        <w:rPr>
          <w:sz w:val="23"/>
          <w:szCs w:val="23"/>
          <w:lang w:val="es-CR"/>
        </w:rPr>
      </w:pPr>
      <w:r>
        <w:rPr>
          <w:sz w:val="23"/>
          <w:szCs w:val="23"/>
          <w:lang w:val="es-CR"/>
        </w:rPr>
        <w:t>A</w:t>
      </w:r>
      <w:r w:rsidR="00EF5AD3" w:rsidRPr="00EF5AD3">
        <w:rPr>
          <w:sz w:val="23"/>
          <w:szCs w:val="23"/>
          <w:lang w:val="es-CR"/>
        </w:rPr>
        <w:t xml:space="preserve">yudar a predecir las necesidades futuras de efectivo de la entidad, la capacidad de la misma para generar flujos de efectivo en el futuro y para financiar los cambios que se produzcan en el alcance y naturaleza de sus actividades; </w:t>
      </w:r>
    </w:p>
    <w:p w14:paraId="0634418F" w14:textId="6904FA35" w:rsidR="00EF5AD3" w:rsidRPr="00EF5AD3" w:rsidRDefault="001D5B69">
      <w:pPr>
        <w:pStyle w:val="Default"/>
        <w:numPr>
          <w:ilvl w:val="0"/>
          <w:numId w:val="358"/>
        </w:numPr>
        <w:spacing w:after="120"/>
        <w:ind w:left="1418" w:hanging="284"/>
        <w:jc w:val="both"/>
        <w:rPr>
          <w:sz w:val="23"/>
          <w:szCs w:val="23"/>
          <w:lang w:val="es-CR"/>
        </w:rPr>
      </w:pPr>
      <w:r>
        <w:rPr>
          <w:sz w:val="23"/>
          <w:szCs w:val="23"/>
          <w:lang w:val="es-CR"/>
        </w:rPr>
        <w:lastRenderedPageBreak/>
        <w:t>P</w:t>
      </w:r>
      <w:r w:rsidR="00EF5AD3" w:rsidRPr="00EF5AD3">
        <w:rPr>
          <w:sz w:val="23"/>
          <w:szCs w:val="23"/>
          <w:lang w:val="es-CR"/>
        </w:rPr>
        <w:t xml:space="preserve">roporcionar los medios a través de los que la entidad puede sustentar su rendición de cuentas por los flujos de entrada y salida de efectivo durante el ejercicio sobre el que se informa; </w:t>
      </w:r>
    </w:p>
    <w:p w14:paraId="1DC3CEFD" w14:textId="4412511C" w:rsidR="00EF5AD3" w:rsidRPr="00EF5AD3" w:rsidRDefault="001D5B69">
      <w:pPr>
        <w:pStyle w:val="Default"/>
        <w:numPr>
          <w:ilvl w:val="0"/>
          <w:numId w:val="358"/>
        </w:numPr>
        <w:spacing w:after="120"/>
        <w:ind w:left="1418" w:hanging="284"/>
        <w:jc w:val="both"/>
        <w:rPr>
          <w:sz w:val="23"/>
          <w:szCs w:val="23"/>
          <w:lang w:val="es-CR"/>
        </w:rPr>
      </w:pPr>
      <w:r>
        <w:rPr>
          <w:sz w:val="23"/>
          <w:szCs w:val="23"/>
          <w:lang w:val="es-CR"/>
        </w:rPr>
        <w:t>S</w:t>
      </w:r>
      <w:r w:rsidR="00EF5AD3" w:rsidRPr="00EF5AD3">
        <w:rPr>
          <w:sz w:val="23"/>
          <w:szCs w:val="23"/>
          <w:lang w:val="es-CR"/>
        </w:rPr>
        <w:t xml:space="preserve">uministrar información que permita a los usuarios evaluar los cambios en el patrimonio de la entidad, su estructura financiera (incluyendo su liquidez y solvencia) y su capacidad para modificar tanto los importes como las fechas de cobros y pagos, a fin de adaptarse a la evolución de las circunstancias y a las oportunidades que se puedan presentar; </w:t>
      </w:r>
    </w:p>
    <w:p w14:paraId="7BE870AF" w14:textId="23DA873E" w:rsidR="00EF5AD3" w:rsidRPr="00EF5AD3" w:rsidRDefault="001D5B69">
      <w:pPr>
        <w:pStyle w:val="Default"/>
        <w:numPr>
          <w:ilvl w:val="0"/>
          <w:numId w:val="358"/>
        </w:numPr>
        <w:spacing w:after="120"/>
        <w:ind w:left="1418" w:hanging="284"/>
        <w:jc w:val="both"/>
        <w:rPr>
          <w:sz w:val="23"/>
          <w:szCs w:val="23"/>
          <w:lang w:val="es-CR"/>
        </w:rPr>
      </w:pPr>
      <w:r>
        <w:rPr>
          <w:sz w:val="23"/>
          <w:szCs w:val="23"/>
          <w:lang w:val="es-CR"/>
        </w:rPr>
        <w:t>F</w:t>
      </w:r>
      <w:r w:rsidR="00EF5AD3" w:rsidRPr="00EF5AD3">
        <w:rPr>
          <w:sz w:val="23"/>
          <w:szCs w:val="23"/>
          <w:lang w:val="es-CR"/>
        </w:rPr>
        <w:t xml:space="preserve">ortalecer la comparabilidad de la información sobre el resultado de las operaciones de diferentes entidades, puesto que elimina los efectos de utilizar distintos tratamientos contables para las mismas transacciones y hechos económicos; y </w:t>
      </w:r>
    </w:p>
    <w:p w14:paraId="1F37F34B" w14:textId="2D11EE81" w:rsidR="00EF5AD3" w:rsidRDefault="001D5B69">
      <w:pPr>
        <w:pStyle w:val="Default"/>
        <w:numPr>
          <w:ilvl w:val="0"/>
          <w:numId w:val="358"/>
        </w:numPr>
        <w:ind w:left="1418" w:hanging="284"/>
        <w:jc w:val="both"/>
        <w:rPr>
          <w:sz w:val="23"/>
          <w:szCs w:val="23"/>
          <w:lang w:val="es-CR"/>
        </w:rPr>
      </w:pPr>
      <w:r>
        <w:rPr>
          <w:sz w:val="23"/>
          <w:szCs w:val="23"/>
          <w:lang w:val="es-CR"/>
        </w:rPr>
        <w:t>C</w:t>
      </w:r>
      <w:r w:rsidR="00EF5AD3" w:rsidRPr="00EF5AD3">
        <w:rPr>
          <w:sz w:val="23"/>
          <w:szCs w:val="23"/>
          <w:lang w:val="es-CR"/>
        </w:rPr>
        <w:t xml:space="preserve">omo información histórica los flujos de efectivo se usan como indicador del importe, oportunidad y certidumbre de los flujos de efectivo futuros. </w:t>
      </w:r>
    </w:p>
    <w:p w14:paraId="21E7DA5D" w14:textId="77777777" w:rsidR="001D5B69" w:rsidRDefault="001D5B69" w:rsidP="001D5B69">
      <w:pPr>
        <w:pStyle w:val="Default"/>
        <w:jc w:val="both"/>
        <w:rPr>
          <w:sz w:val="23"/>
          <w:szCs w:val="23"/>
          <w:lang w:val="es-CR"/>
        </w:rPr>
      </w:pPr>
    </w:p>
    <w:p w14:paraId="5953F89D" w14:textId="77777777" w:rsidR="001D5B69" w:rsidRPr="00EF5AD3" w:rsidRDefault="001D5B69" w:rsidP="001D5B69">
      <w:pPr>
        <w:pStyle w:val="Default"/>
        <w:jc w:val="both"/>
        <w:rPr>
          <w:sz w:val="23"/>
          <w:szCs w:val="23"/>
          <w:lang w:val="es-CR"/>
        </w:rPr>
      </w:pPr>
    </w:p>
    <w:p w14:paraId="276222F3" w14:textId="77777777" w:rsidR="00D033EC" w:rsidRDefault="00D033EC" w:rsidP="00D033EC">
      <w:pPr>
        <w:pStyle w:val="Default"/>
        <w:jc w:val="both"/>
        <w:rPr>
          <w:sz w:val="23"/>
          <w:szCs w:val="23"/>
          <w:lang w:val="es-CR"/>
        </w:rPr>
      </w:pPr>
    </w:p>
    <w:tbl>
      <w:tblPr>
        <w:tblW w:w="9315" w:type="dxa"/>
        <w:tblLook w:val="04A0" w:firstRow="1" w:lastRow="0" w:firstColumn="1" w:lastColumn="0" w:noHBand="0" w:noVBand="1"/>
      </w:tblPr>
      <w:tblGrid>
        <w:gridCol w:w="416"/>
        <w:gridCol w:w="662"/>
        <w:gridCol w:w="330"/>
        <w:gridCol w:w="3739"/>
        <w:gridCol w:w="2279"/>
        <w:gridCol w:w="1889"/>
      </w:tblGrid>
      <w:tr w:rsidR="00EF5AD3" w:rsidRPr="00EF5AD3" w14:paraId="62AFFC2B" w14:textId="77777777" w:rsidTr="003F694B">
        <w:trPr>
          <w:trHeight w:val="320"/>
        </w:trPr>
        <w:tc>
          <w:tcPr>
            <w:tcW w:w="140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57D7961"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Norma / Política</w:t>
            </w:r>
          </w:p>
        </w:tc>
        <w:tc>
          <w:tcPr>
            <w:tcW w:w="373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9A638D5"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Concepto</w:t>
            </w:r>
          </w:p>
        </w:tc>
        <w:tc>
          <w:tcPr>
            <w:tcW w:w="4168" w:type="dxa"/>
            <w:gridSpan w:val="2"/>
            <w:tcBorders>
              <w:top w:val="single" w:sz="8" w:space="0" w:color="auto"/>
              <w:left w:val="nil"/>
              <w:bottom w:val="single" w:sz="8" w:space="0" w:color="auto"/>
              <w:right w:val="single" w:sz="8" w:space="0" w:color="000000"/>
            </w:tcBorders>
            <w:shd w:val="clear" w:color="000000" w:fill="203764"/>
            <w:vAlign w:val="center"/>
            <w:hideMark/>
          </w:tcPr>
          <w:p w14:paraId="38DF1EDE"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Referencia</w:t>
            </w:r>
          </w:p>
        </w:tc>
      </w:tr>
      <w:tr w:rsidR="00EF5AD3" w:rsidRPr="006E5442" w14:paraId="633AE61C" w14:textId="77777777" w:rsidTr="003F694B">
        <w:trPr>
          <w:trHeight w:val="850"/>
        </w:trPr>
        <w:tc>
          <w:tcPr>
            <w:tcW w:w="1408" w:type="dxa"/>
            <w:gridSpan w:val="3"/>
            <w:vMerge/>
            <w:tcBorders>
              <w:top w:val="single" w:sz="8" w:space="0" w:color="auto"/>
              <w:left w:val="single" w:sz="8" w:space="0" w:color="auto"/>
              <w:bottom w:val="nil"/>
              <w:right w:val="single" w:sz="8" w:space="0" w:color="000000"/>
            </w:tcBorders>
            <w:vAlign w:val="center"/>
            <w:hideMark/>
          </w:tcPr>
          <w:p w14:paraId="1469EF71" w14:textId="77777777" w:rsidR="00EF5AD3" w:rsidRPr="00EF5AD3" w:rsidRDefault="00EF5AD3" w:rsidP="00EF5AD3">
            <w:pPr>
              <w:rPr>
                <w:rFonts w:ascii="Arial Narrow" w:eastAsia="Times New Roman" w:hAnsi="Arial Narrow" w:cs="Calibri"/>
                <w:b/>
                <w:bCs/>
                <w:color w:val="FFFFFF"/>
                <w:sz w:val="22"/>
                <w:szCs w:val="22"/>
              </w:rPr>
            </w:pPr>
          </w:p>
        </w:tc>
        <w:tc>
          <w:tcPr>
            <w:tcW w:w="3739" w:type="dxa"/>
            <w:vMerge/>
            <w:tcBorders>
              <w:top w:val="single" w:sz="8" w:space="0" w:color="auto"/>
              <w:left w:val="single" w:sz="8" w:space="0" w:color="auto"/>
              <w:bottom w:val="nil"/>
              <w:right w:val="single" w:sz="8" w:space="0" w:color="auto"/>
            </w:tcBorders>
            <w:vAlign w:val="center"/>
            <w:hideMark/>
          </w:tcPr>
          <w:p w14:paraId="3F137228" w14:textId="77777777" w:rsidR="00EF5AD3" w:rsidRPr="00EF5AD3" w:rsidRDefault="00EF5AD3" w:rsidP="00EF5AD3">
            <w:pPr>
              <w:rPr>
                <w:rFonts w:ascii="Arial Narrow" w:eastAsia="Times New Roman" w:hAnsi="Arial Narrow" w:cs="Calibri"/>
                <w:b/>
                <w:bCs/>
                <w:color w:val="FFFFFF"/>
                <w:sz w:val="22"/>
                <w:szCs w:val="22"/>
              </w:rPr>
            </w:pPr>
          </w:p>
        </w:tc>
        <w:tc>
          <w:tcPr>
            <w:tcW w:w="2279" w:type="dxa"/>
            <w:tcBorders>
              <w:top w:val="nil"/>
              <w:left w:val="nil"/>
              <w:bottom w:val="nil"/>
              <w:right w:val="single" w:sz="8" w:space="0" w:color="auto"/>
            </w:tcBorders>
            <w:shd w:val="clear" w:color="000000" w:fill="203764"/>
            <w:vAlign w:val="center"/>
            <w:hideMark/>
          </w:tcPr>
          <w:p w14:paraId="680F3388"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Norma</w:t>
            </w:r>
          </w:p>
        </w:tc>
        <w:tc>
          <w:tcPr>
            <w:tcW w:w="1889" w:type="dxa"/>
            <w:tcBorders>
              <w:top w:val="nil"/>
              <w:left w:val="nil"/>
              <w:bottom w:val="nil"/>
              <w:right w:val="single" w:sz="8" w:space="0" w:color="auto"/>
            </w:tcBorders>
            <w:shd w:val="clear" w:color="000000" w:fill="203764"/>
            <w:vAlign w:val="center"/>
            <w:hideMark/>
          </w:tcPr>
          <w:p w14:paraId="2A38E1CB" w14:textId="77777777" w:rsidR="00EF5AD3" w:rsidRPr="00EF5AD3" w:rsidRDefault="00EF5AD3" w:rsidP="00EF5AD3">
            <w:pPr>
              <w:jc w:val="center"/>
              <w:rPr>
                <w:rFonts w:ascii="Arial Narrow" w:eastAsia="Times New Roman" w:hAnsi="Arial Narrow" w:cs="Calibri"/>
                <w:b/>
                <w:bCs/>
                <w:color w:val="FFFFFF"/>
                <w:sz w:val="22"/>
                <w:szCs w:val="22"/>
                <w:lang w:val="es-CR"/>
              </w:rPr>
            </w:pPr>
            <w:r w:rsidRPr="00EF5AD3">
              <w:rPr>
                <w:rFonts w:ascii="Arial Narrow" w:eastAsia="Times New Roman" w:hAnsi="Arial Narrow" w:cs="Calibri"/>
                <w:b/>
                <w:bCs/>
                <w:color w:val="FFFFFF"/>
                <w:sz w:val="22"/>
                <w:szCs w:val="22"/>
                <w:lang w:val="es-CR"/>
              </w:rPr>
              <w:t>Normativa técnica y disposiciones adicionales</w:t>
            </w:r>
          </w:p>
        </w:tc>
      </w:tr>
      <w:tr w:rsidR="00EF5AD3" w:rsidRPr="00EF5AD3" w14:paraId="194EFF02" w14:textId="77777777" w:rsidTr="003F694B">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9AB74E" w14:textId="77777777" w:rsidR="00EF5AD3" w:rsidRPr="00EF5AD3" w:rsidRDefault="00EF5AD3" w:rsidP="003F694B">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6</w:t>
            </w:r>
          </w:p>
        </w:tc>
        <w:tc>
          <w:tcPr>
            <w:tcW w:w="662" w:type="dxa"/>
            <w:tcBorders>
              <w:top w:val="single" w:sz="8" w:space="0" w:color="auto"/>
              <w:left w:val="nil"/>
              <w:bottom w:val="single" w:sz="8" w:space="0" w:color="auto"/>
              <w:right w:val="single" w:sz="8" w:space="0" w:color="auto"/>
            </w:tcBorders>
            <w:shd w:val="clear" w:color="auto" w:fill="auto"/>
            <w:vAlign w:val="center"/>
            <w:hideMark/>
          </w:tcPr>
          <w:p w14:paraId="7B772431" w14:textId="77777777" w:rsidR="00EF5AD3" w:rsidRPr="00EF5AD3" w:rsidRDefault="00EF5AD3" w:rsidP="003F694B">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39</w:t>
            </w:r>
          </w:p>
        </w:tc>
        <w:tc>
          <w:tcPr>
            <w:tcW w:w="330" w:type="dxa"/>
            <w:tcBorders>
              <w:top w:val="single" w:sz="8" w:space="0" w:color="auto"/>
              <w:left w:val="nil"/>
              <w:bottom w:val="single" w:sz="8" w:space="0" w:color="auto"/>
              <w:right w:val="single" w:sz="8" w:space="0" w:color="auto"/>
            </w:tcBorders>
            <w:shd w:val="clear" w:color="auto" w:fill="auto"/>
            <w:vAlign w:val="center"/>
            <w:hideMark/>
          </w:tcPr>
          <w:p w14:paraId="24B46B7B"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 </w:t>
            </w:r>
          </w:p>
        </w:tc>
        <w:tc>
          <w:tcPr>
            <w:tcW w:w="3739" w:type="dxa"/>
            <w:tcBorders>
              <w:top w:val="single" w:sz="8" w:space="0" w:color="auto"/>
              <w:left w:val="nil"/>
              <w:bottom w:val="single" w:sz="8" w:space="0" w:color="auto"/>
              <w:right w:val="single" w:sz="8" w:space="0" w:color="auto"/>
            </w:tcBorders>
            <w:shd w:val="clear" w:color="auto" w:fill="auto"/>
            <w:vAlign w:val="center"/>
            <w:hideMark/>
          </w:tcPr>
          <w:p w14:paraId="388C14F1" w14:textId="77777777" w:rsidR="00EF5AD3" w:rsidRPr="00EF5AD3" w:rsidRDefault="00EF5AD3" w:rsidP="00EF5AD3">
            <w:pPr>
              <w:rPr>
                <w:rFonts w:ascii="Arial Narrow" w:eastAsia="Times New Roman" w:hAnsi="Arial Narrow" w:cs="Calibri"/>
                <w:b/>
                <w:bCs/>
                <w:color w:val="000000"/>
                <w:sz w:val="22"/>
                <w:szCs w:val="22"/>
                <w:lang w:val="es-CR"/>
              </w:rPr>
            </w:pPr>
            <w:r w:rsidRPr="00EF5AD3">
              <w:rPr>
                <w:rFonts w:ascii="Arial Narrow" w:eastAsia="Times New Roman" w:hAnsi="Arial Narrow" w:cs="Calibri"/>
                <w:b/>
                <w:bCs/>
                <w:color w:val="000000"/>
                <w:sz w:val="22"/>
                <w:szCs w:val="22"/>
                <w:lang w:val="es-CR"/>
              </w:rPr>
              <w:t>Información a presentar en el EFE</w:t>
            </w:r>
          </w:p>
        </w:tc>
        <w:tc>
          <w:tcPr>
            <w:tcW w:w="2279" w:type="dxa"/>
            <w:tcBorders>
              <w:top w:val="single" w:sz="8" w:space="0" w:color="auto"/>
              <w:left w:val="nil"/>
              <w:bottom w:val="single" w:sz="8" w:space="0" w:color="auto"/>
              <w:right w:val="single" w:sz="8" w:space="0" w:color="auto"/>
            </w:tcBorders>
            <w:shd w:val="clear" w:color="auto" w:fill="auto"/>
            <w:vAlign w:val="center"/>
            <w:hideMark/>
          </w:tcPr>
          <w:p w14:paraId="710C316C" w14:textId="77777777" w:rsidR="00EF5AD3" w:rsidRPr="00EF5AD3" w:rsidRDefault="00EF5AD3" w:rsidP="00EF5AD3">
            <w:pP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NICSP N° 2, </w:t>
            </w:r>
            <w:r w:rsidRPr="00EF5AD3">
              <w:rPr>
                <w:rFonts w:ascii="Arial Narrow" w:eastAsia="Times New Roman" w:hAnsi="Arial Narrow" w:cs="Calibri"/>
                <w:b/>
                <w:bCs/>
                <w:color w:val="000000"/>
                <w:sz w:val="22"/>
                <w:szCs w:val="22"/>
              </w:rPr>
              <w:br/>
              <w:t>Párrafo 18.</w:t>
            </w:r>
          </w:p>
        </w:tc>
        <w:tc>
          <w:tcPr>
            <w:tcW w:w="1889" w:type="dxa"/>
            <w:tcBorders>
              <w:top w:val="single" w:sz="8" w:space="0" w:color="auto"/>
              <w:left w:val="nil"/>
              <w:bottom w:val="single" w:sz="8" w:space="0" w:color="auto"/>
              <w:right w:val="single" w:sz="8" w:space="0" w:color="auto"/>
            </w:tcBorders>
            <w:shd w:val="clear" w:color="auto" w:fill="auto"/>
            <w:vAlign w:val="center"/>
            <w:hideMark/>
          </w:tcPr>
          <w:p w14:paraId="7BD0EE32"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 </w:t>
            </w:r>
          </w:p>
        </w:tc>
      </w:tr>
      <w:tr w:rsidR="00EF5AD3" w:rsidRPr="00EF5AD3" w14:paraId="2599E65B" w14:textId="77777777" w:rsidTr="003F694B">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699B989" w14:textId="77777777" w:rsidR="00EF5AD3" w:rsidRPr="00EF5AD3" w:rsidRDefault="00EF5AD3" w:rsidP="003F694B">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526F6D06" w14:textId="77777777" w:rsidR="00EF5AD3" w:rsidRPr="00EF5AD3" w:rsidRDefault="00EF5AD3" w:rsidP="003F694B">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39</w:t>
            </w:r>
          </w:p>
        </w:tc>
        <w:tc>
          <w:tcPr>
            <w:tcW w:w="330" w:type="dxa"/>
            <w:tcBorders>
              <w:top w:val="nil"/>
              <w:left w:val="nil"/>
              <w:bottom w:val="single" w:sz="8" w:space="0" w:color="auto"/>
              <w:right w:val="nil"/>
            </w:tcBorders>
            <w:shd w:val="clear" w:color="auto" w:fill="auto"/>
            <w:vAlign w:val="center"/>
            <w:hideMark/>
          </w:tcPr>
          <w:p w14:paraId="17B6581F"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1</w:t>
            </w:r>
          </w:p>
        </w:tc>
        <w:tc>
          <w:tcPr>
            <w:tcW w:w="3739" w:type="dxa"/>
            <w:tcBorders>
              <w:top w:val="nil"/>
              <w:left w:val="single" w:sz="8" w:space="0" w:color="auto"/>
              <w:bottom w:val="single" w:sz="8" w:space="0" w:color="auto"/>
              <w:right w:val="single" w:sz="8" w:space="0" w:color="auto"/>
            </w:tcBorders>
            <w:shd w:val="clear" w:color="auto" w:fill="auto"/>
            <w:vAlign w:val="center"/>
            <w:hideMark/>
          </w:tcPr>
          <w:p w14:paraId="495F680A" w14:textId="77777777" w:rsidR="00EF5AD3" w:rsidRPr="00EF5AD3" w:rsidRDefault="00EF5AD3" w:rsidP="00EF5AD3">
            <w:pP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Significatividad o materialidad</w:t>
            </w:r>
          </w:p>
        </w:tc>
        <w:tc>
          <w:tcPr>
            <w:tcW w:w="2279" w:type="dxa"/>
            <w:tcBorders>
              <w:top w:val="nil"/>
              <w:left w:val="nil"/>
              <w:bottom w:val="single" w:sz="8" w:space="0" w:color="auto"/>
              <w:right w:val="single" w:sz="8" w:space="0" w:color="auto"/>
            </w:tcBorders>
            <w:shd w:val="clear" w:color="auto" w:fill="auto"/>
            <w:vAlign w:val="center"/>
            <w:hideMark/>
          </w:tcPr>
          <w:p w14:paraId="6C272C1C" w14:textId="77777777" w:rsidR="00EF5AD3" w:rsidRPr="00EF5AD3" w:rsidRDefault="00EF5AD3" w:rsidP="00EF5AD3">
            <w:pP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 </w:t>
            </w:r>
          </w:p>
        </w:tc>
        <w:tc>
          <w:tcPr>
            <w:tcW w:w="1889" w:type="dxa"/>
            <w:tcBorders>
              <w:top w:val="nil"/>
              <w:left w:val="nil"/>
              <w:bottom w:val="single" w:sz="8" w:space="0" w:color="auto"/>
              <w:right w:val="single" w:sz="8" w:space="0" w:color="auto"/>
            </w:tcBorders>
            <w:shd w:val="clear" w:color="auto" w:fill="auto"/>
            <w:vAlign w:val="center"/>
            <w:hideMark/>
          </w:tcPr>
          <w:p w14:paraId="35D41E44"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DGCN</w:t>
            </w:r>
          </w:p>
        </w:tc>
      </w:tr>
    </w:tbl>
    <w:p w14:paraId="08AA89C9" w14:textId="77777777" w:rsidR="00EF5AD3" w:rsidRDefault="00EF5AD3" w:rsidP="00D033EC">
      <w:pPr>
        <w:pStyle w:val="Default"/>
        <w:jc w:val="both"/>
        <w:rPr>
          <w:sz w:val="23"/>
          <w:szCs w:val="23"/>
          <w:lang w:val="es-CR"/>
        </w:rPr>
      </w:pPr>
    </w:p>
    <w:p w14:paraId="33A39EC4"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4E72C85" w14:textId="77777777" w:rsidR="003F694B" w:rsidRDefault="003F694B" w:rsidP="00D033EC">
      <w:pPr>
        <w:pStyle w:val="Default"/>
        <w:jc w:val="both"/>
        <w:rPr>
          <w:sz w:val="23"/>
          <w:szCs w:val="23"/>
          <w:lang w:val="es-CR"/>
        </w:rPr>
      </w:pPr>
    </w:p>
    <w:p w14:paraId="3D9F7A3C" w14:textId="77777777" w:rsidR="001D5B69" w:rsidRDefault="001D5B69" w:rsidP="001D5B69">
      <w:pPr>
        <w:pStyle w:val="Default"/>
        <w:ind w:left="1134" w:hanging="1134"/>
        <w:jc w:val="both"/>
        <w:rPr>
          <w:b/>
          <w:bCs/>
          <w:sz w:val="22"/>
          <w:szCs w:val="22"/>
          <w:lang w:val="es-CR"/>
        </w:rPr>
      </w:pPr>
      <w:r>
        <w:rPr>
          <w:sz w:val="22"/>
          <w:szCs w:val="22"/>
          <w:lang w:val="es-CR"/>
        </w:rPr>
        <w:t>6.39.0.01</w:t>
      </w:r>
      <w:r>
        <w:rPr>
          <w:sz w:val="22"/>
          <w:szCs w:val="22"/>
          <w:lang w:val="es-CR"/>
        </w:rPr>
        <w:tab/>
      </w:r>
      <w:r w:rsidR="00EF5AD3" w:rsidRPr="001D5B69">
        <w:rPr>
          <w:sz w:val="22"/>
          <w:szCs w:val="22"/>
          <w:lang w:val="es-CR"/>
        </w:rPr>
        <w:t xml:space="preserve">El EFE debe informar acerca de los flujos de efectivo habidos durante el período, clasificándolos por </w:t>
      </w:r>
      <w:r w:rsidR="00EF5AD3" w:rsidRPr="001D5B69">
        <w:rPr>
          <w:b/>
          <w:bCs/>
          <w:sz w:val="22"/>
          <w:szCs w:val="22"/>
          <w:lang w:val="es-CR"/>
        </w:rPr>
        <w:t>actividades de operación, de inversión y de financiación.</w:t>
      </w:r>
    </w:p>
    <w:p w14:paraId="05CF6668" w14:textId="6D50537B" w:rsidR="00EF5AD3" w:rsidRPr="001D5B69" w:rsidRDefault="00EF5AD3" w:rsidP="001D5B69">
      <w:pPr>
        <w:pStyle w:val="Default"/>
        <w:ind w:left="1134" w:hanging="1134"/>
        <w:jc w:val="both"/>
        <w:rPr>
          <w:sz w:val="22"/>
          <w:szCs w:val="22"/>
          <w:lang w:val="es-CR"/>
        </w:rPr>
      </w:pPr>
      <w:r w:rsidRPr="001D5B69">
        <w:rPr>
          <w:b/>
          <w:bCs/>
          <w:sz w:val="22"/>
          <w:szCs w:val="22"/>
          <w:lang w:val="es-CR"/>
        </w:rPr>
        <w:t xml:space="preserve"> </w:t>
      </w:r>
    </w:p>
    <w:p w14:paraId="59C01946" w14:textId="01B73A9D" w:rsidR="00EF5AD3" w:rsidRDefault="001D5B69" w:rsidP="001D5B69">
      <w:pPr>
        <w:pStyle w:val="Default"/>
        <w:ind w:left="1134" w:hanging="1134"/>
        <w:jc w:val="both"/>
        <w:rPr>
          <w:sz w:val="22"/>
          <w:szCs w:val="22"/>
          <w:lang w:val="es-CR"/>
        </w:rPr>
      </w:pPr>
      <w:r>
        <w:rPr>
          <w:sz w:val="22"/>
          <w:szCs w:val="22"/>
          <w:lang w:val="es-CR"/>
        </w:rPr>
        <w:t>6.39.</w:t>
      </w:r>
      <w:r w:rsidR="00EF5AD3" w:rsidRPr="001D5B69">
        <w:rPr>
          <w:sz w:val="22"/>
          <w:szCs w:val="22"/>
          <w:lang w:val="es-CR"/>
        </w:rPr>
        <w:t>1.</w:t>
      </w:r>
      <w:r>
        <w:rPr>
          <w:sz w:val="22"/>
          <w:szCs w:val="22"/>
          <w:lang w:val="es-CR"/>
        </w:rPr>
        <w:t>01</w:t>
      </w:r>
      <w:r>
        <w:rPr>
          <w:sz w:val="22"/>
          <w:szCs w:val="22"/>
          <w:lang w:val="es-CR"/>
        </w:rPr>
        <w:tab/>
      </w:r>
      <w:r w:rsidR="00EF5AD3" w:rsidRPr="001D5B69">
        <w:rPr>
          <w:sz w:val="22"/>
          <w:szCs w:val="22"/>
          <w:lang w:val="es-CR"/>
        </w:rPr>
        <w:t xml:space="preserve">Las entidades deberán aplicar los criterios establecidos en el MCC punto 7.2 </w:t>
      </w:r>
      <w:r w:rsidR="00EF5AD3" w:rsidRPr="001D5B69">
        <w:rPr>
          <w:i/>
          <w:iCs/>
          <w:sz w:val="22"/>
          <w:szCs w:val="22"/>
          <w:lang w:val="es-CR"/>
        </w:rPr>
        <w:t>Relevancia / Importancia relativa o Materialidad o Significatividad</w:t>
      </w:r>
      <w:r w:rsidR="00EF5AD3" w:rsidRPr="001D5B69">
        <w:rPr>
          <w:sz w:val="22"/>
          <w:szCs w:val="22"/>
          <w:lang w:val="es-CR"/>
        </w:rPr>
        <w:t>, cuando definan la apertura a exponer de las partidas incluidas en las actividades (operación, inversión y de financiación). Cuando el monto a imputar a las cuentas supere el 15% del total imputado a la actividad de la cual depende, deberán exponerse en aperturas adicionales.</w:t>
      </w:r>
    </w:p>
    <w:p w14:paraId="7A295604" w14:textId="77777777" w:rsidR="003F694B" w:rsidRPr="001D5B69" w:rsidRDefault="003F694B" w:rsidP="001D5B69">
      <w:pPr>
        <w:pStyle w:val="Default"/>
        <w:ind w:left="1134" w:hanging="1134"/>
        <w:jc w:val="both"/>
        <w:rPr>
          <w:sz w:val="22"/>
          <w:szCs w:val="22"/>
          <w:lang w:val="es-CR"/>
        </w:rPr>
      </w:pPr>
    </w:p>
    <w:p w14:paraId="07138F25" w14:textId="77777777" w:rsidR="00D033EC" w:rsidRDefault="00D033EC" w:rsidP="00D033EC">
      <w:pPr>
        <w:pStyle w:val="Default"/>
        <w:jc w:val="both"/>
        <w:rPr>
          <w:sz w:val="23"/>
          <w:szCs w:val="23"/>
          <w:lang w:val="es-CR"/>
        </w:rPr>
      </w:pPr>
    </w:p>
    <w:p w14:paraId="583D3BA9" w14:textId="77777777" w:rsidR="00D033EC" w:rsidRDefault="00D033EC" w:rsidP="00D033EC">
      <w:pPr>
        <w:pStyle w:val="Default"/>
        <w:jc w:val="both"/>
        <w:rPr>
          <w:sz w:val="23"/>
          <w:szCs w:val="23"/>
          <w:lang w:val="es-CR"/>
        </w:rPr>
      </w:pPr>
    </w:p>
    <w:tbl>
      <w:tblPr>
        <w:tblW w:w="9374" w:type="dxa"/>
        <w:tblLook w:val="04A0" w:firstRow="1" w:lastRow="0" w:firstColumn="1" w:lastColumn="0" w:noHBand="0" w:noVBand="1"/>
      </w:tblPr>
      <w:tblGrid>
        <w:gridCol w:w="413"/>
        <w:gridCol w:w="662"/>
        <w:gridCol w:w="475"/>
        <w:gridCol w:w="3700"/>
        <w:gridCol w:w="2253"/>
        <w:gridCol w:w="1859"/>
        <w:gridCol w:w="12"/>
      </w:tblGrid>
      <w:tr w:rsidR="00EF5AD3" w:rsidRPr="00EF5AD3" w14:paraId="09AE930F" w14:textId="77777777" w:rsidTr="003F694B">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AD6ABBF"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Norma / Política</w:t>
            </w:r>
          </w:p>
        </w:tc>
        <w:tc>
          <w:tcPr>
            <w:tcW w:w="3702" w:type="dxa"/>
            <w:vMerge w:val="restart"/>
            <w:tcBorders>
              <w:top w:val="single" w:sz="8" w:space="0" w:color="auto"/>
              <w:left w:val="single" w:sz="8" w:space="0" w:color="auto"/>
              <w:bottom w:val="nil"/>
              <w:right w:val="single" w:sz="8" w:space="0" w:color="auto"/>
            </w:tcBorders>
            <w:shd w:val="clear" w:color="000000" w:fill="203764"/>
            <w:vAlign w:val="center"/>
            <w:hideMark/>
          </w:tcPr>
          <w:p w14:paraId="38877B01"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Concepto</w:t>
            </w:r>
          </w:p>
        </w:tc>
        <w:tc>
          <w:tcPr>
            <w:tcW w:w="4122" w:type="dxa"/>
            <w:gridSpan w:val="3"/>
            <w:tcBorders>
              <w:top w:val="single" w:sz="8" w:space="0" w:color="auto"/>
              <w:left w:val="nil"/>
              <w:bottom w:val="single" w:sz="8" w:space="0" w:color="auto"/>
              <w:right w:val="single" w:sz="8" w:space="0" w:color="000000"/>
            </w:tcBorders>
            <w:shd w:val="clear" w:color="000000" w:fill="203764"/>
            <w:vAlign w:val="center"/>
            <w:hideMark/>
          </w:tcPr>
          <w:p w14:paraId="4086AD2E"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Referencia</w:t>
            </w:r>
          </w:p>
        </w:tc>
      </w:tr>
      <w:tr w:rsidR="00EF5AD3" w:rsidRPr="006E5442" w14:paraId="62282027" w14:textId="77777777" w:rsidTr="003F694B">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094C55A8" w14:textId="77777777" w:rsidR="00EF5AD3" w:rsidRPr="00EF5AD3" w:rsidRDefault="00EF5AD3" w:rsidP="00EF5AD3">
            <w:pPr>
              <w:rPr>
                <w:rFonts w:ascii="Arial Narrow" w:eastAsia="Times New Roman" w:hAnsi="Arial Narrow" w:cs="Calibri"/>
                <w:b/>
                <w:bCs/>
                <w:color w:val="FFFFFF"/>
                <w:sz w:val="22"/>
                <w:szCs w:val="22"/>
              </w:rPr>
            </w:pPr>
          </w:p>
        </w:tc>
        <w:tc>
          <w:tcPr>
            <w:tcW w:w="3702" w:type="dxa"/>
            <w:vMerge/>
            <w:tcBorders>
              <w:top w:val="single" w:sz="8" w:space="0" w:color="auto"/>
              <w:left w:val="single" w:sz="8" w:space="0" w:color="auto"/>
              <w:bottom w:val="nil"/>
              <w:right w:val="single" w:sz="8" w:space="0" w:color="auto"/>
            </w:tcBorders>
            <w:vAlign w:val="center"/>
            <w:hideMark/>
          </w:tcPr>
          <w:p w14:paraId="507ED224" w14:textId="77777777" w:rsidR="00EF5AD3" w:rsidRPr="00EF5AD3" w:rsidRDefault="00EF5AD3" w:rsidP="00EF5AD3">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2C508D31"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Norma</w:t>
            </w:r>
          </w:p>
        </w:tc>
        <w:tc>
          <w:tcPr>
            <w:tcW w:w="1868" w:type="dxa"/>
            <w:gridSpan w:val="2"/>
            <w:tcBorders>
              <w:top w:val="nil"/>
              <w:left w:val="nil"/>
              <w:bottom w:val="nil"/>
              <w:right w:val="single" w:sz="8" w:space="0" w:color="auto"/>
            </w:tcBorders>
            <w:shd w:val="clear" w:color="000000" w:fill="203764"/>
            <w:vAlign w:val="center"/>
            <w:hideMark/>
          </w:tcPr>
          <w:p w14:paraId="294549AC" w14:textId="77777777" w:rsidR="00EF5AD3" w:rsidRPr="00EF5AD3" w:rsidRDefault="00EF5AD3" w:rsidP="00EF5AD3">
            <w:pPr>
              <w:jc w:val="center"/>
              <w:rPr>
                <w:rFonts w:ascii="Arial Narrow" w:eastAsia="Times New Roman" w:hAnsi="Arial Narrow" w:cs="Calibri"/>
                <w:b/>
                <w:bCs/>
                <w:color w:val="FFFFFF"/>
                <w:sz w:val="22"/>
                <w:szCs w:val="22"/>
                <w:lang w:val="es-CR"/>
              </w:rPr>
            </w:pPr>
            <w:r w:rsidRPr="00EF5AD3">
              <w:rPr>
                <w:rFonts w:ascii="Arial Narrow" w:eastAsia="Times New Roman" w:hAnsi="Arial Narrow" w:cs="Calibri"/>
                <w:b/>
                <w:bCs/>
                <w:color w:val="FFFFFF"/>
                <w:sz w:val="22"/>
                <w:szCs w:val="22"/>
                <w:lang w:val="es-CR"/>
              </w:rPr>
              <w:t>Normativa técnica y disposiciones adicionales</w:t>
            </w:r>
          </w:p>
        </w:tc>
      </w:tr>
      <w:tr w:rsidR="00EF5AD3" w:rsidRPr="00EF5AD3" w14:paraId="04063E86" w14:textId="77777777" w:rsidTr="003F694B">
        <w:trPr>
          <w:gridAfter w:val="1"/>
          <w:wAfter w:w="12" w:type="dxa"/>
          <w:trHeight w:val="570"/>
        </w:trPr>
        <w:tc>
          <w:tcPr>
            <w:tcW w:w="4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665BC0" w14:textId="77777777" w:rsidR="00EF5AD3" w:rsidRPr="00EF5AD3" w:rsidRDefault="00EF5AD3" w:rsidP="00EF5AD3">
            <w:pPr>
              <w:jc w:val="right"/>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6</w:t>
            </w:r>
          </w:p>
        </w:tc>
        <w:tc>
          <w:tcPr>
            <w:tcW w:w="662" w:type="dxa"/>
            <w:tcBorders>
              <w:top w:val="single" w:sz="8" w:space="0" w:color="auto"/>
              <w:left w:val="nil"/>
              <w:bottom w:val="single" w:sz="8" w:space="0" w:color="auto"/>
              <w:right w:val="single" w:sz="8" w:space="0" w:color="auto"/>
            </w:tcBorders>
            <w:shd w:val="clear" w:color="auto" w:fill="auto"/>
            <w:vAlign w:val="center"/>
            <w:hideMark/>
          </w:tcPr>
          <w:p w14:paraId="49DA9796" w14:textId="77777777" w:rsidR="00EF5AD3" w:rsidRPr="00EF5AD3" w:rsidRDefault="00EF5AD3" w:rsidP="00EF5AD3">
            <w:pPr>
              <w:ind w:firstLineChars="100" w:firstLine="220"/>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40</w:t>
            </w:r>
          </w:p>
        </w:tc>
        <w:tc>
          <w:tcPr>
            <w:tcW w:w="475" w:type="dxa"/>
            <w:tcBorders>
              <w:top w:val="single" w:sz="8" w:space="0" w:color="auto"/>
              <w:left w:val="nil"/>
              <w:bottom w:val="single" w:sz="8" w:space="0" w:color="auto"/>
              <w:right w:val="single" w:sz="8" w:space="0" w:color="auto"/>
            </w:tcBorders>
            <w:shd w:val="clear" w:color="auto" w:fill="auto"/>
            <w:vAlign w:val="center"/>
            <w:hideMark/>
          </w:tcPr>
          <w:p w14:paraId="61F6303B"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 </w:t>
            </w:r>
          </w:p>
        </w:tc>
        <w:tc>
          <w:tcPr>
            <w:tcW w:w="3699" w:type="dxa"/>
            <w:tcBorders>
              <w:top w:val="single" w:sz="8" w:space="0" w:color="auto"/>
              <w:left w:val="nil"/>
              <w:bottom w:val="single" w:sz="8" w:space="0" w:color="auto"/>
              <w:right w:val="single" w:sz="8" w:space="0" w:color="auto"/>
            </w:tcBorders>
            <w:shd w:val="clear" w:color="auto" w:fill="auto"/>
            <w:vAlign w:val="center"/>
            <w:hideMark/>
          </w:tcPr>
          <w:p w14:paraId="3CA52000" w14:textId="77777777" w:rsidR="00EF5AD3" w:rsidRPr="00EF5AD3" w:rsidRDefault="00EF5AD3" w:rsidP="00EF5AD3">
            <w:pP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Actividades de Operación</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25C96E4D" w14:textId="77777777" w:rsidR="00EF5AD3" w:rsidRPr="00EF5AD3" w:rsidRDefault="00EF5AD3" w:rsidP="00EF5AD3">
            <w:pP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NICSP N° 2, </w:t>
            </w:r>
            <w:r w:rsidRPr="00EF5AD3">
              <w:rPr>
                <w:rFonts w:ascii="Arial Narrow" w:eastAsia="Times New Roman" w:hAnsi="Arial Narrow" w:cs="Calibri"/>
                <w:b/>
                <w:bCs/>
                <w:color w:val="000000"/>
                <w:sz w:val="22"/>
                <w:szCs w:val="22"/>
              </w:rPr>
              <w:br/>
              <w:t>Párrafos 21 y 22.</w:t>
            </w:r>
          </w:p>
        </w:tc>
        <w:tc>
          <w:tcPr>
            <w:tcW w:w="1859" w:type="dxa"/>
            <w:tcBorders>
              <w:top w:val="single" w:sz="8" w:space="0" w:color="auto"/>
              <w:left w:val="nil"/>
              <w:bottom w:val="single" w:sz="8" w:space="0" w:color="auto"/>
              <w:right w:val="single" w:sz="8" w:space="0" w:color="auto"/>
            </w:tcBorders>
            <w:shd w:val="clear" w:color="auto" w:fill="auto"/>
            <w:vAlign w:val="center"/>
            <w:hideMark/>
          </w:tcPr>
          <w:p w14:paraId="3B9952B2"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 </w:t>
            </w:r>
          </w:p>
        </w:tc>
      </w:tr>
      <w:tr w:rsidR="00EF5AD3" w:rsidRPr="00EF5AD3" w14:paraId="32BB50D0" w14:textId="77777777" w:rsidTr="003F694B">
        <w:trPr>
          <w:gridAfter w:val="1"/>
          <w:wAfter w:w="12" w:type="dxa"/>
          <w:trHeight w:val="57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E995592" w14:textId="77777777" w:rsidR="00EF5AD3" w:rsidRPr="00EF5AD3" w:rsidRDefault="00EF5AD3" w:rsidP="00EF5AD3">
            <w:pPr>
              <w:jc w:val="right"/>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5B74B966" w14:textId="77777777" w:rsidR="00EF5AD3" w:rsidRPr="00EF5AD3" w:rsidRDefault="00EF5AD3" w:rsidP="00EF5AD3">
            <w:pPr>
              <w:ind w:firstLineChars="100" w:firstLine="220"/>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40</w:t>
            </w:r>
          </w:p>
        </w:tc>
        <w:tc>
          <w:tcPr>
            <w:tcW w:w="475" w:type="dxa"/>
            <w:tcBorders>
              <w:top w:val="nil"/>
              <w:left w:val="nil"/>
              <w:bottom w:val="single" w:sz="8" w:space="0" w:color="auto"/>
              <w:right w:val="nil"/>
            </w:tcBorders>
            <w:shd w:val="clear" w:color="auto" w:fill="auto"/>
            <w:vAlign w:val="center"/>
            <w:hideMark/>
          </w:tcPr>
          <w:p w14:paraId="27F96588"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1</w:t>
            </w:r>
          </w:p>
        </w:tc>
        <w:tc>
          <w:tcPr>
            <w:tcW w:w="3699" w:type="dxa"/>
            <w:tcBorders>
              <w:top w:val="nil"/>
              <w:left w:val="single" w:sz="8" w:space="0" w:color="auto"/>
              <w:bottom w:val="single" w:sz="8" w:space="0" w:color="auto"/>
              <w:right w:val="single" w:sz="8" w:space="0" w:color="auto"/>
            </w:tcBorders>
            <w:shd w:val="clear" w:color="auto" w:fill="auto"/>
            <w:vAlign w:val="center"/>
            <w:hideMark/>
          </w:tcPr>
          <w:p w14:paraId="25B8E654" w14:textId="77777777" w:rsidR="00EF5AD3" w:rsidRPr="00EF5AD3" w:rsidRDefault="00EF5AD3" w:rsidP="00EF5AD3">
            <w:pP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Autorizaciones presupuestarias</w:t>
            </w:r>
          </w:p>
        </w:tc>
        <w:tc>
          <w:tcPr>
            <w:tcW w:w="2254" w:type="dxa"/>
            <w:tcBorders>
              <w:top w:val="nil"/>
              <w:left w:val="nil"/>
              <w:bottom w:val="single" w:sz="8" w:space="0" w:color="auto"/>
              <w:right w:val="single" w:sz="8" w:space="0" w:color="auto"/>
            </w:tcBorders>
            <w:shd w:val="clear" w:color="auto" w:fill="auto"/>
            <w:vAlign w:val="center"/>
            <w:hideMark/>
          </w:tcPr>
          <w:p w14:paraId="4168E8C7" w14:textId="77777777" w:rsidR="00EF5AD3" w:rsidRPr="00EF5AD3" w:rsidRDefault="00EF5AD3" w:rsidP="00EF5AD3">
            <w:pP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NICSP N° 2, </w:t>
            </w:r>
            <w:r w:rsidRPr="00EF5AD3">
              <w:rPr>
                <w:rFonts w:ascii="Arial Narrow" w:eastAsia="Times New Roman" w:hAnsi="Arial Narrow" w:cs="Calibri"/>
                <w:b/>
                <w:bCs/>
                <w:color w:val="000000"/>
                <w:sz w:val="22"/>
                <w:szCs w:val="22"/>
              </w:rPr>
              <w:br/>
              <w:t>Párrafo 24.</w:t>
            </w:r>
          </w:p>
        </w:tc>
        <w:tc>
          <w:tcPr>
            <w:tcW w:w="1859" w:type="dxa"/>
            <w:tcBorders>
              <w:top w:val="nil"/>
              <w:left w:val="nil"/>
              <w:bottom w:val="single" w:sz="8" w:space="0" w:color="auto"/>
              <w:right w:val="single" w:sz="8" w:space="0" w:color="auto"/>
            </w:tcBorders>
            <w:shd w:val="clear" w:color="auto" w:fill="auto"/>
            <w:vAlign w:val="center"/>
            <w:hideMark/>
          </w:tcPr>
          <w:p w14:paraId="70B6DFF9"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 </w:t>
            </w:r>
          </w:p>
        </w:tc>
      </w:tr>
    </w:tbl>
    <w:p w14:paraId="24B1B68E" w14:textId="77777777" w:rsidR="00D033EC" w:rsidRDefault="00D033EC" w:rsidP="00D033EC">
      <w:pPr>
        <w:pStyle w:val="Default"/>
        <w:jc w:val="both"/>
        <w:rPr>
          <w:sz w:val="23"/>
          <w:szCs w:val="23"/>
          <w:lang w:val="es-CR"/>
        </w:rPr>
      </w:pPr>
    </w:p>
    <w:p w14:paraId="0DBEEE32" w14:textId="77777777" w:rsidR="003F694B" w:rsidRDefault="003F694B" w:rsidP="00D033EC">
      <w:pPr>
        <w:pStyle w:val="Default"/>
        <w:jc w:val="both"/>
        <w:rPr>
          <w:sz w:val="23"/>
          <w:szCs w:val="23"/>
          <w:lang w:val="es-CR"/>
        </w:rPr>
      </w:pPr>
    </w:p>
    <w:p w14:paraId="45D593ED" w14:textId="77777777" w:rsidR="003F694B" w:rsidRDefault="003F694B" w:rsidP="00D033EC">
      <w:pPr>
        <w:pStyle w:val="Default"/>
        <w:jc w:val="both"/>
        <w:rPr>
          <w:sz w:val="23"/>
          <w:szCs w:val="23"/>
          <w:lang w:val="es-CR"/>
        </w:rPr>
      </w:pPr>
    </w:p>
    <w:p w14:paraId="29630427"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lastRenderedPageBreak/>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3E3243E2" w14:textId="77777777" w:rsidR="003F694B" w:rsidRDefault="003F694B" w:rsidP="00D033EC">
      <w:pPr>
        <w:pStyle w:val="Default"/>
        <w:jc w:val="both"/>
        <w:rPr>
          <w:sz w:val="23"/>
          <w:szCs w:val="23"/>
          <w:lang w:val="es-CR"/>
        </w:rPr>
      </w:pPr>
    </w:p>
    <w:p w14:paraId="045FD8CF" w14:textId="16B74827" w:rsidR="00EF5AD3" w:rsidRDefault="001D5B69" w:rsidP="001D5B69">
      <w:pPr>
        <w:pStyle w:val="Default"/>
        <w:ind w:left="1134" w:hanging="1134"/>
        <w:jc w:val="both"/>
        <w:rPr>
          <w:sz w:val="22"/>
          <w:szCs w:val="22"/>
          <w:lang w:val="es-CR"/>
        </w:rPr>
      </w:pPr>
      <w:r>
        <w:rPr>
          <w:sz w:val="22"/>
          <w:szCs w:val="22"/>
          <w:lang w:val="es-CR"/>
        </w:rPr>
        <w:t>6.40,0.01</w:t>
      </w:r>
      <w:r>
        <w:rPr>
          <w:sz w:val="22"/>
          <w:szCs w:val="22"/>
          <w:lang w:val="es-CR"/>
        </w:rPr>
        <w:tab/>
      </w:r>
      <w:r w:rsidR="00EF5AD3" w:rsidRPr="001D5B69">
        <w:rPr>
          <w:sz w:val="22"/>
          <w:szCs w:val="22"/>
          <w:lang w:val="es-CR"/>
        </w:rPr>
        <w:t>El importe de los flujos de efectivo procedentes de actividades de operación es un indicador clave del grado en que</w:t>
      </w:r>
      <w:r>
        <w:rPr>
          <w:sz w:val="22"/>
          <w:szCs w:val="22"/>
          <w:lang w:val="es-CR"/>
        </w:rPr>
        <w:t xml:space="preserve"> </w:t>
      </w:r>
      <w:r w:rsidR="00EF5AD3" w:rsidRPr="001D5B69">
        <w:rPr>
          <w:sz w:val="22"/>
          <w:szCs w:val="22"/>
          <w:lang w:val="es-CR"/>
        </w:rPr>
        <w:t>las operaciones de la entidad se hallan financiadas por:</w:t>
      </w:r>
    </w:p>
    <w:p w14:paraId="3F9DFCD0" w14:textId="77777777" w:rsidR="001D5B69" w:rsidRPr="001D5B69" w:rsidRDefault="001D5B69" w:rsidP="001D5B69">
      <w:pPr>
        <w:pStyle w:val="Default"/>
        <w:jc w:val="both"/>
        <w:rPr>
          <w:sz w:val="22"/>
          <w:szCs w:val="22"/>
          <w:lang w:val="es-CR"/>
        </w:rPr>
      </w:pPr>
    </w:p>
    <w:p w14:paraId="6C0D352B" w14:textId="7DD1EDFF" w:rsidR="00EF5AD3" w:rsidRPr="001D5B69" w:rsidRDefault="001D5B69">
      <w:pPr>
        <w:pStyle w:val="Default"/>
        <w:numPr>
          <w:ilvl w:val="3"/>
          <w:numId w:val="359"/>
        </w:numPr>
        <w:spacing w:after="120"/>
        <w:ind w:left="1418" w:hanging="284"/>
        <w:jc w:val="both"/>
        <w:rPr>
          <w:sz w:val="22"/>
          <w:szCs w:val="22"/>
          <w:lang w:val="es-CR"/>
        </w:rPr>
      </w:pPr>
      <w:r>
        <w:rPr>
          <w:sz w:val="22"/>
          <w:szCs w:val="22"/>
          <w:lang w:val="es-CR"/>
        </w:rPr>
        <w:t>I</w:t>
      </w:r>
      <w:r w:rsidR="00EF5AD3" w:rsidRPr="001D5B69">
        <w:rPr>
          <w:sz w:val="22"/>
          <w:szCs w:val="22"/>
          <w:lang w:val="es-CR"/>
        </w:rPr>
        <w:t xml:space="preserve">mpuestos (directa e indirectamente); o </w:t>
      </w:r>
    </w:p>
    <w:p w14:paraId="51BDA6C2" w14:textId="3035D5D1" w:rsidR="00EF5AD3" w:rsidRPr="001D5B69" w:rsidRDefault="001D5B69">
      <w:pPr>
        <w:pStyle w:val="Default"/>
        <w:numPr>
          <w:ilvl w:val="3"/>
          <w:numId w:val="359"/>
        </w:numPr>
        <w:ind w:left="1418" w:hanging="284"/>
        <w:jc w:val="both"/>
        <w:rPr>
          <w:sz w:val="22"/>
          <w:szCs w:val="22"/>
          <w:lang w:val="es-CR"/>
        </w:rPr>
      </w:pPr>
      <w:r>
        <w:rPr>
          <w:sz w:val="22"/>
          <w:szCs w:val="22"/>
          <w:lang w:val="es-CR"/>
        </w:rPr>
        <w:t>L</w:t>
      </w:r>
      <w:r w:rsidR="00EF5AD3" w:rsidRPr="001D5B69">
        <w:rPr>
          <w:sz w:val="22"/>
          <w:szCs w:val="22"/>
          <w:lang w:val="es-CR"/>
        </w:rPr>
        <w:t>os receptores de los bienes y servicios suministrados por la entidad.</w:t>
      </w:r>
    </w:p>
    <w:p w14:paraId="73B34F4B" w14:textId="77777777" w:rsidR="00EF5AD3" w:rsidRPr="001D5B69" w:rsidRDefault="00EF5AD3" w:rsidP="001D5B69">
      <w:pPr>
        <w:pStyle w:val="Default"/>
        <w:jc w:val="both"/>
        <w:rPr>
          <w:sz w:val="22"/>
          <w:szCs w:val="22"/>
          <w:lang w:val="es-CR"/>
        </w:rPr>
      </w:pPr>
    </w:p>
    <w:p w14:paraId="53C5107A" w14:textId="6E3D375F" w:rsidR="00D033EC" w:rsidRPr="001D5B69" w:rsidRDefault="001D5B69" w:rsidP="001D5B69">
      <w:pPr>
        <w:pStyle w:val="Default"/>
        <w:ind w:left="1134" w:hanging="1134"/>
        <w:jc w:val="both"/>
        <w:rPr>
          <w:sz w:val="22"/>
          <w:szCs w:val="22"/>
          <w:lang w:val="es-CR"/>
        </w:rPr>
      </w:pPr>
      <w:r>
        <w:rPr>
          <w:sz w:val="22"/>
          <w:szCs w:val="22"/>
          <w:lang w:val="es-CR"/>
        </w:rPr>
        <w:t>6.40.0.02</w:t>
      </w:r>
      <w:r>
        <w:rPr>
          <w:sz w:val="22"/>
          <w:szCs w:val="22"/>
          <w:lang w:val="es-CR"/>
        </w:rPr>
        <w:tab/>
      </w:r>
      <w:r w:rsidR="00EF5AD3" w:rsidRPr="001D5B69">
        <w:rPr>
          <w:sz w:val="22"/>
          <w:szCs w:val="22"/>
          <w:lang w:val="es-CR"/>
        </w:rPr>
        <w:t xml:space="preserve">Los flujos de efectivo procedentes de actividades de operación se derivan fundamentalmente, de las transacciones que constituyen la principal fuente de generación de efectivo de la </w:t>
      </w:r>
      <w:r w:rsidR="00277E4F">
        <w:rPr>
          <w:sz w:val="22"/>
          <w:szCs w:val="22"/>
          <w:lang w:val="es-CR"/>
        </w:rPr>
        <w:t>Municipalidad</w:t>
      </w:r>
      <w:r w:rsidR="00EF5AD3" w:rsidRPr="001D5B69">
        <w:rPr>
          <w:sz w:val="22"/>
          <w:szCs w:val="22"/>
          <w:lang w:val="es-CR"/>
        </w:rPr>
        <w:t>, pudiéndose identificar dentro de dichos flujos:</w:t>
      </w:r>
    </w:p>
    <w:p w14:paraId="282763F5" w14:textId="77777777" w:rsidR="00EF5AD3" w:rsidRPr="001D5B69" w:rsidRDefault="00EF5AD3" w:rsidP="001D5B69">
      <w:pPr>
        <w:pStyle w:val="Default"/>
        <w:jc w:val="both"/>
        <w:rPr>
          <w:sz w:val="22"/>
          <w:szCs w:val="22"/>
          <w:lang w:val="es-CR"/>
        </w:rPr>
      </w:pPr>
    </w:p>
    <w:p w14:paraId="0A326B99" w14:textId="1EC5B46B" w:rsidR="00EF5AD3" w:rsidRPr="001D5B69" w:rsidRDefault="001D5B69">
      <w:pPr>
        <w:pStyle w:val="Default"/>
        <w:numPr>
          <w:ilvl w:val="0"/>
          <w:numId w:val="360"/>
        </w:numPr>
        <w:spacing w:after="120"/>
        <w:ind w:left="1418" w:hanging="284"/>
        <w:jc w:val="both"/>
        <w:rPr>
          <w:sz w:val="22"/>
          <w:szCs w:val="22"/>
          <w:lang w:val="es-CR"/>
        </w:rPr>
      </w:pPr>
      <w:r>
        <w:rPr>
          <w:sz w:val="22"/>
          <w:szCs w:val="22"/>
          <w:lang w:val="es-CR"/>
        </w:rPr>
        <w:t>C</w:t>
      </w:r>
      <w:r w:rsidR="00EF5AD3" w:rsidRPr="001D5B69">
        <w:rPr>
          <w:sz w:val="22"/>
          <w:szCs w:val="22"/>
          <w:lang w:val="es-CR"/>
        </w:rPr>
        <w:t xml:space="preserve">obros en efectivo en concepto de impuestos, contribuciones y multas; </w:t>
      </w:r>
    </w:p>
    <w:p w14:paraId="4B568BE5" w14:textId="6BB75DF0" w:rsidR="00EF5AD3" w:rsidRPr="001D5B69" w:rsidRDefault="001D5B69">
      <w:pPr>
        <w:pStyle w:val="Default"/>
        <w:numPr>
          <w:ilvl w:val="0"/>
          <w:numId w:val="360"/>
        </w:numPr>
        <w:spacing w:after="120"/>
        <w:ind w:left="1418" w:hanging="284"/>
        <w:jc w:val="both"/>
        <w:rPr>
          <w:sz w:val="22"/>
          <w:szCs w:val="22"/>
          <w:lang w:val="es-CR"/>
        </w:rPr>
      </w:pPr>
      <w:r>
        <w:rPr>
          <w:sz w:val="22"/>
          <w:szCs w:val="22"/>
          <w:lang w:val="es-CR"/>
        </w:rPr>
        <w:t>C</w:t>
      </w:r>
      <w:r w:rsidR="00EF5AD3" w:rsidRPr="001D5B69">
        <w:rPr>
          <w:sz w:val="22"/>
          <w:szCs w:val="22"/>
          <w:lang w:val="es-CR"/>
        </w:rPr>
        <w:t xml:space="preserve">obros en efectivo en concepto de cargos por bienes y servicios suministrados por la entidad; </w:t>
      </w:r>
    </w:p>
    <w:p w14:paraId="5241BCB0" w14:textId="49D5A925" w:rsidR="00EF5AD3" w:rsidRPr="001D5B69" w:rsidRDefault="001D5B69">
      <w:pPr>
        <w:pStyle w:val="Default"/>
        <w:numPr>
          <w:ilvl w:val="0"/>
          <w:numId w:val="360"/>
        </w:numPr>
        <w:spacing w:after="120"/>
        <w:ind w:left="1418" w:hanging="284"/>
        <w:jc w:val="both"/>
        <w:rPr>
          <w:sz w:val="22"/>
          <w:szCs w:val="22"/>
          <w:lang w:val="es-CR"/>
        </w:rPr>
      </w:pPr>
      <w:r>
        <w:rPr>
          <w:sz w:val="22"/>
          <w:szCs w:val="22"/>
          <w:lang w:val="es-CR"/>
        </w:rPr>
        <w:t>C</w:t>
      </w:r>
      <w:r w:rsidR="00EF5AD3" w:rsidRPr="001D5B69">
        <w:rPr>
          <w:sz w:val="22"/>
          <w:szCs w:val="22"/>
          <w:lang w:val="es-CR"/>
        </w:rPr>
        <w:t xml:space="preserve">obros en efectivo en concepto de subvenciones o transferencias y otras asignaciones o dotaciones presupuestarias hechas por el gobierno central o por otras entidades del sector público; </w:t>
      </w:r>
    </w:p>
    <w:p w14:paraId="3EF08660" w14:textId="4BA5C507" w:rsidR="00EF5AD3" w:rsidRPr="001D5B69" w:rsidRDefault="001D5B69">
      <w:pPr>
        <w:pStyle w:val="Default"/>
        <w:numPr>
          <w:ilvl w:val="0"/>
          <w:numId w:val="360"/>
        </w:numPr>
        <w:spacing w:after="120"/>
        <w:ind w:left="1418" w:hanging="284"/>
        <w:jc w:val="both"/>
        <w:rPr>
          <w:sz w:val="22"/>
          <w:szCs w:val="22"/>
          <w:lang w:val="es-CR"/>
        </w:rPr>
      </w:pPr>
      <w:r>
        <w:rPr>
          <w:sz w:val="22"/>
          <w:szCs w:val="22"/>
          <w:lang w:val="es-CR"/>
        </w:rPr>
        <w:t>C</w:t>
      </w:r>
      <w:r w:rsidR="00EF5AD3" w:rsidRPr="001D5B69">
        <w:rPr>
          <w:sz w:val="22"/>
          <w:szCs w:val="22"/>
          <w:lang w:val="es-CR"/>
        </w:rPr>
        <w:t xml:space="preserve">obros en efectivo procedentes de regalías, cuotas, comisiones y otros ingresos; </w:t>
      </w:r>
    </w:p>
    <w:p w14:paraId="781DD03E" w14:textId="0695D190" w:rsidR="00EF5AD3" w:rsidRPr="001D5B69" w:rsidRDefault="001D5B69">
      <w:pPr>
        <w:pStyle w:val="Default"/>
        <w:numPr>
          <w:ilvl w:val="0"/>
          <w:numId w:val="360"/>
        </w:numPr>
        <w:spacing w:after="120"/>
        <w:ind w:left="1418" w:hanging="284"/>
        <w:jc w:val="both"/>
        <w:rPr>
          <w:sz w:val="22"/>
          <w:szCs w:val="22"/>
          <w:lang w:val="es-CR"/>
        </w:rPr>
      </w:pPr>
      <w:r>
        <w:rPr>
          <w:sz w:val="22"/>
          <w:szCs w:val="22"/>
          <w:lang w:val="es-CR"/>
        </w:rPr>
        <w:t>P</w:t>
      </w:r>
      <w:r w:rsidR="00EF5AD3" w:rsidRPr="001D5B69">
        <w:rPr>
          <w:sz w:val="22"/>
          <w:szCs w:val="22"/>
          <w:lang w:val="es-CR"/>
        </w:rPr>
        <w:t xml:space="preserve">agos en efectivo a proveedores por el suministro de bienes y servicios; </w:t>
      </w:r>
    </w:p>
    <w:p w14:paraId="2ACAD21C" w14:textId="780185B8" w:rsidR="00EF5AD3" w:rsidRPr="001D5B69" w:rsidRDefault="001D5B69">
      <w:pPr>
        <w:pStyle w:val="Default"/>
        <w:numPr>
          <w:ilvl w:val="0"/>
          <w:numId w:val="360"/>
        </w:numPr>
        <w:spacing w:after="120"/>
        <w:ind w:left="1418" w:hanging="284"/>
        <w:jc w:val="both"/>
        <w:rPr>
          <w:sz w:val="22"/>
          <w:szCs w:val="22"/>
          <w:lang w:val="es-CR"/>
        </w:rPr>
      </w:pPr>
      <w:r>
        <w:rPr>
          <w:sz w:val="22"/>
          <w:szCs w:val="22"/>
          <w:lang w:val="es-CR"/>
        </w:rPr>
        <w:t>P</w:t>
      </w:r>
      <w:r w:rsidR="00EF5AD3" w:rsidRPr="001D5B69">
        <w:rPr>
          <w:sz w:val="22"/>
          <w:szCs w:val="22"/>
          <w:lang w:val="es-CR"/>
        </w:rPr>
        <w:t xml:space="preserve">agos en efectivo a y por cuenta de los empleados; </w:t>
      </w:r>
    </w:p>
    <w:p w14:paraId="2B0AC9EB" w14:textId="51EC2E93" w:rsidR="00EF5AD3" w:rsidRPr="001D5B69" w:rsidRDefault="001D5B69">
      <w:pPr>
        <w:pStyle w:val="Default"/>
        <w:numPr>
          <w:ilvl w:val="0"/>
          <w:numId w:val="360"/>
        </w:numPr>
        <w:spacing w:after="120"/>
        <w:ind w:left="1418" w:hanging="284"/>
        <w:jc w:val="both"/>
        <w:rPr>
          <w:sz w:val="22"/>
          <w:szCs w:val="22"/>
          <w:lang w:val="es-CR"/>
        </w:rPr>
      </w:pPr>
      <w:r>
        <w:rPr>
          <w:sz w:val="22"/>
          <w:szCs w:val="22"/>
          <w:lang w:val="es-CR"/>
        </w:rPr>
        <w:t>P</w:t>
      </w:r>
      <w:r w:rsidR="00EF5AD3" w:rsidRPr="001D5B69">
        <w:rPr>
          <w:sz w:val="22"/>
          <w:szCs w:val="22"/>
          <w:lang w:val="es-CR"/>
        </w:rPr>
        <w:t xml:space="preserve">agos en efectivo en concepto de los impuestos </w:t>
      </w:r>
      <w:r w:rsidR="00277E4F">
        <w:rPr>
          <w:sz w:val="22"/>
          <w:szCs w:val="22"/>
          <w:lang w:val="es-CR"/>
        </w:rPr>
        <w:t>s</w:t>
      </w:r>
      <w:r w:rsidR="00EF5AD3" w:rsidRPr="001D5B69">
        <w:rPr>
          <w:sz w:val="22"/>
          <w:szCs w:val="22"/>
          <w:lang w:val="es-CR"/>
        </w:rPr>
        <w:t>o</w:t>
      </w:r>
      <w:r w:rsidR="00277E4F">
        <w:rPr>
          <w:sz w:val="22"/>
          <w:szCs w:val="22"/>
          <w:lang w:val="es-CR"/>
        </w:rPr>
        <w:t>bre</w:t>
      </w:r>
      <w:r w:rsidR="00EF5AD3" w:rsidRPr="001D5B69">
        <w:rPr>
          <w:sz w:val="22"/>
          <w:szCs w:val="22"/>
          <w:lang w:val="es-CR"/>
        </w:rPr>
        <w:t xml:space="preserve"> la renta (según proceda), en relación con las actividades de operación; </w:t>
      </w:r>
    </w:p>
    <w:p w14:paraId="29EF9C8A" w14:textId="5FEDA742" w:rsidR="00EF5AD3" w:rsidRDefault="001D5B69">
      <w:pPr>
        <w:pStyle w:val="Default"/>
        <w:numPr>
          <w:ilvl w:val="0"/>
          <w:numId w:val="360"/>
        </w:numPr>
        <w:ind w:left="1134"/>
        <w:jc w:val="both"/>
        <w:rPr>
          <w:sz w:val="22"/>
          <w:szCs w:val="22"/>
          <w:lang w:val="es-CR"/>
        </w:rPr>
      </w:pPr>
      <w:r>
        <w:rPr>
          <w:sz w:val="22"/>
          <w:szCs w:val="22"/>
          <w:lang w:val="es-CR"/>
        </w:rPr>
        <w:t>C</w:t>
      </w:r>
      <w:r w:rsidR="00EF5AD3" w:rsidRPr="001D5B69">
        <w:rPr>
          <w:sz w:val="22"/>
          <w:szCs w:val="22"/>
          <w:lang w:val="es-CR"/>
        </w:rPr>
        <w:t xml:space="preserve">obros o pagos en efectivo derivados de resolución de litigios. </w:t>
      </w:r>
    </w:p>
    <w:p w14:paraId="3B6887FB" w14:textId="77777777" w:rsidR="00277E4F" w:rsidRPr="001D5B69" w:rsidRDefault="00277E4F" w:rsidP="00277E4F">
      <w:pPr>
        <w:pStyle w:val="Default"/>
        <w:jc w:val="both"/>
        <w:rPr>
          <w:sz w:val="22"/>
          <w:szCs w:val="22"/>
          <w:lang w:val="es-CR"/>
        </w:rPr>
      </w:pPr>
    </w:p>
    <w:p w14:paraId="3CB0DD30" w14:textId="4C34BB65" w:rsidR="00EF5AD3" w:rsidRPr="001D5B69" w:rsidRDefault="00277E4F" w:rsidP="00277E4F">
      <w:pPr>
        <w:pStyle w:val="Default"/>
        <w:ind w:left="1134" w:hanging="1134"/>
        <w:jc w:val="both"/>
        <w:rPr>
          <w:sz w:val="22"/>
          <w:szCs w:val="22"/>
          <w:lang w:val="es-CR"/>
        </w:rPr>
      </w:pPr>
      <w:r>
        <w:rPr>
          <w:sz w:val="22"/>
          <w:szCs w:val="22"/>
          <w:lang w:val="es-CR"/>
        </w:rPr>
        <w:t>6.40.</w:t>
      </w:r>
      <w:r w:rsidR="00EF5AD3" w:rsidRPr="001D5B69">
        <w:rPr>
          <w:sz w:val="22"/>
          <w:szCs w:val="22"/>
          <w:lang w:val="es-CR"/>
        </w:rPr>
        <w:t>1.</w:t>
      </w:r>
      <w:r>
        <w:rPr>
          <w:sz w:val="22"/>
          <w:szCs w:val="22"/>
          <w:lang w:val="es-CR"/>
        </w:rPr>
        <w:t>01</w:t>
      </w:r>
      <w:r w:rsidR="00EF5AD3" w:rsidRPr="001D5B69">
        <w:rPr>
          <w:sz w:val="22"/>
          <w:szCs w:val="22"/>
          <w:lang w:val="es-CR"/>
        </w:rPr>
        <w:t xml:space="preserve"> Cuando la </w:t>
      </w:r>
      <w:r>
        <w:rPr>
          <w:sz w:val="22"/>
          <w:szCs w:val="22"/>
          <w:lang w:val="es-CR"/>
        </w:rPr>
        <w:t>Municipalidad</w:t>
      </w:r>
      <w:r w:rsidR="00EF5AD3" w:rsidRPr="001D5B69">
        <w:rPr>
          <w:sz w:val="22"/>
          <w:szCs w:val="22"/>
          <w:lang w:val="es-CR"/>
        </w:rPr>
        <w:t xml:space="preserve"> no pueda identificar separadamente las asignaciones o autorizaciones presupuestarias como actividades corrientes, inversiones de capital y contribuciones de capital, dichas asignaciones o autorizaciones presupuestarias deberán clasificarse como flujos de efectivo provenientes de las actividades de operación y este hecho deberá revelarse en las notas a los EEFF, explicando las razones de tal impedimento.</w:t>
      </w:r>
    </w:p>
    <w:p w14:paraId="47CC96FF" w14:textId="77777777" w:rsidR="00D033EC" w:rsidRDefault="00D033EC" w:rsidP="00D033EC">
      <w:pPr>
        <w:pStyle w:val="Default"/>
        <w:jc w:val="both"/>
        <w:rPr>
          <w:sz w:val="23"/>
          <w:szCs w:val="23"/>
          <w:lang w:val="es-CR"/>
        </w:rPr>
      </w:pPr>
    </w:p>
    <w:p w14:paraId="65A52D67" w14:textId="77777777" w:rsidR="00D033EC" w:rsidRDefault="00D033EC" w:rsidP="00D033EC">
      <w:pPr>
        <w:pStyle w:val="Default"/>
        <w:jc w:val="both"/>
        <w:rPr>
          <w:sz w:val="23"/>
          <w:szCs w:val="23"/>
          <w:lang w:val="es-CR"/>
        </w:rPr>
      </w:pPr>
    </w:p>
    <w:p w14:paraId="58ABFD00" w14:textId="77777777" w:rsidR="00EF5AD3" w:rsidRPr="00D033EC" w:rsidRDefault="00D033EC" w:rsidP="00D033EC">
      <w:pPr>
        <w:pStyle w:val="Default"/>
        <w:jc w:val="both"/>
        <w:rPr>
          <w:sz w:val="23"/>
          <w:szCs w:val="23"/>
          <w:lang w:val="es-CR"/>
        </w:rPr>
      </w:pPr>
      <w:r w:rsidRPr="00D033EC">
        <w:rPr>
          <w:sz w:val="23"/>
          <w:szCs w:val="23"/>
          <w:lang w:val="es-CR"/>
        </w:rPr>
        <w:t xml:space="preserve"> </w:t>
      </w:r>
    </w:p>
    <w:tbl>
      <w:tblPr>
        <w:tblW w:w="9368" w:type="dxa"/>
        <w:tblLook w:val="04A0" w:firstRow="1" w:lastRow="0" w:firstColumn="1" w:lastColumn="0" w:noHBand="0" w:noVBand="1"/>
      </w:tblPr>
      <w:tblGrid>
        <w:gridCol w:w="416"/>
        <w:gridCol w:w="708"/>
        <w:gridCol w:w="433"/>
        <w:gridCol w:w="15"/>
        <w:gridCol w:w="3675"/>
        <w:gridCol w:w="15"/>
        <w:gridCol w:w="2237"/>
        <w:gridCol w:w="15"/>
        <w:gridCol w:w="1839"/>
        <w:gridCol w:w="15"/>
      </w:tblGrid>
      <w:tr w:rsidR="00EF5AD3" w:rsidRPr="00EF5AD3" w14:paraId="29D1781B" w14:textId="77777777" w:rsidTr="003F694B">
        <w:trPr>
          <w:trHeight w:val="300"/>
        </w:trPr>
        <w:tc>
          <w:tcPr>
            <w:tcW w:w="1572"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5915CB14"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Norma / Política</w:t>
            </w:r>
          </w:p>
        </w:tc>
        <w:tc>
          <w:tcPr>
            <w:tcW w:w="369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41CB58D"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Concepto</w:t>
            </w:r>
          </w:p>
        </w:tc>
        <w:tc>
          <w:tcPr>
            <w:tcW w:w="4106" w:type="dxa"/>
            <w:gridSpan w:val="4"/>
            <w:tcBorders>
              <w:top w:val="single" w:sz="8" w:space="0" w:color="auto"/>
              <w:left w:val="nil"/>
              <w:bottom w:val="single" w:sz="8" w:space="0" w:color="auto"/>
              <w:right w:val="single" w:sz="8" w:space="0" w:color="000000"/>
            </w:tcBorders>
            <w:shd w:val="clear" w:color="000000" w:fill="203764"/>
            <w:vAlign w:val="center"/>
            <w:hideMark/>
          </w:tcPr>
          <w:p w14:paraId="4C6DC2A8"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Referencia</w:t>
            </w:r>
          </w:p>
        </w:tc>
      </w:tr>
      <w:tr w:rsidR="00EF5AD3" w:rsidRPr="006E5442" w14:paraId="0ECC5359" w14:textId="77777777" w:rsidTr="003F694B">
        <w:trPr>
          <w:trHeight w:val="850"/>
        </w:trPr>
        <w:tc>
          <w:tcPr>
            <w:tcW w:w="1572" w:type="dxa"/>
            <w:gridSpan w:val="4"/>
            <w:vMerge/>
            <w:tcBorders>
              <w:top w:val="single" w:sz="8" w:space="0" w:color="auto"/>
              <w:left w:val="single" w:sz="8" w:space="0" w:color="auto"/>
              <w:bottom w:val="nil"/>
              <w:right w:val="single" w:sz="8" w:space="0" w:color="000000"/>
            </w:tcBorders>
            <w:vAlign w:val="center"/>
            <w:hideMark/>
          </w:tcPr>
          <w:p w14:paraId="63F96BD0" w14:textId="77777777" w:rsidR="00EF5AD3" w:rsidRPr="00EF5AD3" w:rsidRDefault="00EF5AD3" w:rsidP="00EF5AD3">
            <w:pPr>
              <w:rPr>
                <w:rFonts w:ascii="Arial Narrow" w:eastAsia="Times New Roman" w:hAnsi="Arial Narrow" w:cs="Calibri"/>
                <w:b/>
                <w:bCs/>
                <w:color w:val="FFFFFF"/>
                <w:sz w:val="22"/>
                <w:szCs w:val="22"/>
              </w:rPr>
            </w:pPr>
          </w:p>
        </w:tc>
        <w:tc>
          <w:tcPr>
            <w:tcW w:w="3690" w:type="dxa"/>
            <w:gridSpan w:val="2"/>
            <w:vMerge/>
            <w:tcBorders>
              <w:top w:val="single" w:sz="8" w:space="0" w:color="auto"/>
              <w:left w:val="single" w:sz="8" w:space="0" w:color="auto"/>
              <w:bottom w:val="nil"/>
              <w:right w:val="single" w:sz="8" w:space="0" w:color="auto"/>
            </w:tcBorders>
            <w:vAlign w:val="center"/>
            <w:hideMark/>
          </w:tcPr>
          <w:p w14:paraId="72A9F9C1" w14:textId="77777777" w:rsidR="00EF5AD3" w:rsidRPr="00EF5AD3" w:rsidRDefault="00EF5AD3" w:rsidP="00EF5AD3">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7DDF503A" w14:textId="77777777" w:rsidR="00EF5AD3" w:rsidRPr="00EF5AD3" w:rsidRDefault="00EF5AD3" w:rsidP="00EF5AD3">
            <w:pPr>
              <w:jc w:val="center"/>
              <w:rPr>
                <w:rFonts w:ascii="Arial Narrow" w:eastAsia="Times New Roman" w:hAnsi="Arial Narrow" w:cs="Calibri"/>
                <w:b/>
                <w:bCs/>
                <w:color w:val="FFFFFF"/>
                <w:sz w:val="22"/>
                <w:szCs w:val="22"/>
              </w:rPr>
            </w:pPr>
            <w:r w:rsidRPr="00EF5AD3">
              <w:rPr>
                <w:rFonts w:ascii="Arial Narrow" w:eastAsia="Times New Roman" w:hAnsi="Arial Narrow" w:cs="Calibri"/>
                <w:b/>
                <w:bCs/>
                <w:color w:val="FFFFFF"/>
                <w:sz w:val="22"/>
                <w:szCs w:val="22"/>
              </w:rPr>
              <w:t>Norma</w:t>
            </w:r>
          </w:p>
        </w:tc>
        <w:tc>
          <w:tcPr>
            <w:tcW w:w="1854" w:type="dxa"/>
            <w:gridSpan w:val="2"/>
            <w:tcBorders>
              <w:top w:val="nil"/>
              <w:left w:val="nil"/>
              <w:bottom w:val="nil"/>
              <w:right w:val="single" w:sz="8" w:space="0" w:color="auto"/>
            </w:tcBorders>
            <w:shd w:val="clear" w:color="000000" w:fill="203764"/>
            <w:vAlign w:val="center"/>
            <w:hideMark/>
          </w:tcPr>
          <w:p w14:paraId="7B15CFA8" w14:textId="77777777" w:rsidR="00EF5AD3" w:rsidRPr="00EF5AD3" w:rsidRDefault="00EF5AD3" w:rsidP="00EF5AD3">
            <w:pPr>
              <w:jc w:val="center"/>
              <w:rPr>
                <w:rFonts w:ascii="Arial Narrow" w:eastAsia="Times New Roman" w:hAnsi="Arial Narrow" w:cs="Calibri"/>
                <w:b/>
                <w:bCs/>
                <w:color w:val="FFFFFF"/>
                <w:sz w:val="22"/>
                <w:szCs w:val="22"/>
                <w:lang w:val="es-CR"/>
              </w:rPr>
            </w:pPr>
            <w:r w:rsidRPr="00EF5AD3">
              <w:rPr>
                <w:rFonts w:ascii="Arial Narrow" w:eastAsia="Times New Roman" w:hAnsi="Arial Narrow" w:cs="Calibri"/>
                <w:b/>
                <w:bCs/>
                <w:color w:val="FFFFFF"/>
                <w:sz w:val="22"/>
                <w:szCs w:val="22"/>
                <w:lang w:val="es-CR"/>
              </w:rPr>
              <w:t>Normativa técnica y disposiciones adicionales</w:t>
            </w:r>
          </w:p>
        </w:tc>
      </w:tr>
      <w:tr w:rsidR="00EF5AD3" w:rsidRPr="00EF5AD3" w14:paraId="68F327B5" w14:textId="77777777" w:rsidTr="003F694B">
        <w:trPr>
          <w:gridAfter w:val="1"/>
          <w:wAfter w:w="15"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A645C9"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8D022A9"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41</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23CE83CA"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 </w:t>
            </w:r>
          </w:p>
        </w:tc>
        <w:tc>
          <w:tcPr>
            <w:tcW w:w="3690" w:type="dxa"/>
            <w:gridSpan w:val="2"/>
            <w:tcBorders>
              <w:top w:val="single" w:sz="8" w:space="0" w:color="auto"/>
              <w:left w:val="nil"/>
              <w:bottom w:val="single" w:sz="8" w:space="0" w:color="auto"/>
              <w:right w:val="single" w:sz="8" w:space="0" w:color="auto"/>
            </w:tcBorders>
            <w:shd w:val="clear" w:color="auto" w:fill="auto"/>
            <w:vAlign w:val="center"/>
            <w:hideMark/>
          </w:tcPr>
          <w:p w14:paraId="44A2A06B" w14:textId="77777777" w:rsidR="00EF5AD3" w:rsidRPr="00EF5AD3" w:rsidRDefault="00EF5AD3" w:rsidP="00EF5AD3">
            <w:pPr>
              <w:jc w:val="both"/>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Actividades de Inversión</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46BF54EE" w14:textId="77777777" w:rsidR="00277E4F" w:rsidRDefault="00EF5AD3" w:rsidP="00EF5AD3">
            <w:pPr>
              <w:jc w:val="both"/>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NICSP N° 2,</w:t>
            </w:r>
          </w:p>
          <w:p w14:paraId="2DF10004" w14:textId="27C1895C" w:rsidR="00EF5AD3" w:rsidRPr="00EF5AD3" w:rsidRDefault="00EF5AD3" w:rsidP="00EF5AD3">
            <w:pPr>
              <w:jc w:val="both"/>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Párrafo 25.</w:t>
            </w:r>
          </w:p>
        </w:tc>
        <w:tc>
          <w:tcPr>
            <w:tcW w:w="1854" w:type="dxa"/>
            <w:gridSpan w:val="2"/>
            <w:tcBorders>
              <w:top w:val="single" w:sz="8" w:space="0" w:color="auto"/>
              <w:left w:val="nil"/>
              <w:bottom w:val="single" w:sz="8" w:space="0" w:color="auto"/>
              <w:right w:val="single" w:sz="8" w:space="0" w:color="auto"/>
            </w:tcBorders>
            <w:shd w:val="clear" w:color="auto" w:fill="auto"/>
            <w:vAlign w:val="center"/>
            <w:hideMark/>
          </w:tcPr>
          <w:p w14:paraId="119A5673" w14:textId="77777777" w:rsidR="00EF5AD3" w:rsidRPr="00EF5AD3" w:rsidRDefault="00EF5AD3" w:rsidP="00EF5AD3">
            <w:pPr>
              <w:jc w:val="center"/>
              <w:rPr>
                <w:rFonts w:ascii="Arial Narrow" w:eastAsia="Times New Roman" w:hAnsi="Arial Narrow" w:cs="Calibri"/>
                <w:b/>
                <w:bCs/>
                <w:color w:val="000000"/>
                <w:sz w:val="22"/>
                <w:szCs w:val="22"/>
              </w:rPr>
            </w:pPr>
            <w:r w:rsidRPr="00EF5AD3">
              <w:rPr>
                <w:rFonts w:ascii="Arial Narrow" w:eastAsia="Times New Roman" w:hAnsi="Arial Narrow" w:cs="Calibri"/>
                <w:b/>
                <w:bCs/>
                <w:color w:val="000000"/>
                <w:sz w:val="22"/>
                <w:szCs w:val="22"/>
              </w:rPr>
              <w:t xml:space="preserve"> </w:t>
            </w:r>
          </w:p>
        </w:tc>
      </w:tr>
    </w:tbl>
    <w:p w14:paraId="3E85B6C3" w14:textId="7E6736BD" w:rsidR="00D033EC" w:rsidRDefault="00D033EC" w:rsidP="00D033EC">
      <w:pPr>
        <w:pStyle w:val="Default"/>
        <w:jc w:val="both"/>
        <w:rPr>
          <w:sz w:val="23"/>
          <w:szCs w:val="23"/>
          <w:lang w:val="es-CR"/>
        </w:rPr>
      </w:pPr>
    </w:p>
    <w:p w14:paraId="0338C4D9"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5FD82CBA" w14:textId="77777777" w:rsidR="003F694B" w:rsidRDefault="003F694B" w:rsidP="00D033EC">
      <w:pPr>
        <w:pStyle w:val="Default"/>
        <w:jc w:val="both"/>
        <w:rPr>
          <w:sz w:val="23"/>
          <w:szCs w:val="23"/>
          <w:lang w:val="es-CR"/>
        </w:rPr>
      </w:pPr>
    </w:p>
    <w:p w14:paraId="40006300" w14:textId="0E637468" w:rsidR="00EF5AD3" w:rsidRPr="00277E4F" w:rsidRDefault="00277E4F" w:rsidP="00277E4F">
      <w:pPr>
        <w:pStyle w:val="Default"/>
        <w:ind w:left="1134" w:hanging="1134"/>
        <w:jc w:val="both"/>
        <w:rPr>
          <w:sz w:val="22"/>
          <w:szCs w:val="22"/>
          <w:lang w:val="es-CR"/>
        </w:rPr>
      </w:pPr>
      <w:r>
        <w:rPr>
          <w:sz w:val="22"/>
          <w:szCs w:val="22"/>
          <w:lang w:val="es-CR"/>
        </w:rPr>
        <w:t>6.41.0.01</w:t>
      </w:r>
      <w:r>
        <w:rPr>
          <w:sz w:val="22"/>
          <w:szCs w:val="22"/>
          <w:lang w:val="es-CR"/>
        </w:rPr>
        <w:tab/>
      </w:r>
      <w:r w:rsidR="00EF5AD3" w:rsidRPr="00277E4F">
        <w:rPr>
          <w:sz w:val="22"/>
          <w:szCs w:val="22"/>
          <w:lang w:val="es-CR"/>
        </w:rPr>
        <w:t xml:space="preserve">Son los flujos de efectivo que representan los desembolsos realizados para constituir los recursos con que se pretende contribuir a la prestación de servicios de la </w:t>
      </w:r>
      <w:r w:rsidR="00CF2686">
        <w:rPr>
          <w:sz w:val="22"/>
          <w:szCs w:val="22"/>
          <w:lang w:val="es-CR"/>
        </w:rPr>
        <w:t>Municipalidad</w:t>
      </w:r>
      <w:r w:rsidR="00EF5AD3" w:rsidRPr="00277E4F">
        <w:rPr>
          <w:sz w:val="22"/>
          <w:szCs w:val="22"/>
          <w:lang w:val="es-CR"/>
        </w:rPr>
        <w:t xml:space="preserve"> en el futuro. Constituyen flujos de efectivo provenientes de las actividades de inversión los siguientes:</w:t>
      </w:r>
    </w:p>
    <w:p w14:paraId="0815DFC7" w14:textId="77777777" w:rsidR="00EF5AD3" w:rsidRPr="000B34AC" w:rsidRDefault="00EF5AD3" w:rsidP="00277E4F">
      <w:pPr>
        <w:pStyle w:val="Default"/>
        <w:jc w:val="both"/>
        <w:rPr>
          <w:sz w:val="22"/>
          <w:szCs w:val="22"/>
          <w:lang w:val="es-CR"/>
        </w:rPr>
      </w:pPr>
    </w:p>
    <w:p w14:paraId="4A3693C9" w14:textId="348A983F" w:rsidR="00EF5AD3" w:rsidRPr="00277E4F" w:rsidRDefault="00277E4F">
      <w:pPr>
        <w:pStyle w:val="Default"/>
        <w:numPr>
          <w:ilvl w:val="0"/>
          <w:numId w:val="361"/>
        </w:numPr>
        <w:spacing w:after="120"/>
        <w:ind w:left="1418" w:hanging="284"/>
        <w:jc w:val="both"/>
        <w:rPr>
          <w:sz w:val="22"/>
          <w:szCs w:val="22"/>
          <w:lang w:val="es-CR"/>
        </w:rPr>
      </w:pPr>
      <w:r w:rsidRPr="00277E4F">
        <w:rPr>
          <w:sz w:val="22"/>
          <w:szCs w:val="22"/>
          <w:lang w:val="es-CR"/>
        </w:rPr>
        <w:lastRenderedPageBreak/>
        <w:t>P</w:t>
      </w:r>
      <w:r w:rsidR="00EF5AD3" w:rsidRPr="00277E4F">
        <w:rPr>
          <w:sz w:val="22"/>
          <w:szCs w:val="22"/>
          <w:lang w:val="es-CR"/>
        </w:rPr>
        <w:t xml:space="preserve">agos en efectivo para adquirir bienes concesionados y no concesionados. Estos pagos incluyen los relacionados con los costos de desarrollo capitalizados y los activos fijos construidos por la propia entidad; </w:t>
      </w:r>
    </w:p>
    <w:p w14:paraId="2AD06339" w14:textId="50FDA58B" w:rsidR="00EF5AD3" w:rsidRPr="00277E4F" w:rsidRDefault="00277E4F">
      <w:pPr>
        <w:pStyle w:val="Default"/>
        <w:numPr>
          <w:ilvl w:val="0"/>
          <w:numId w:val="361"/>
        </w:numPr>
        <w:spacing w:after="120"/>
        <w:ind w:left="1418" w:hanging="284"/>
        <w:jc w:val="both"/>
        <w:rPr>
          <w:sz w:val="22"/>
          <w:szCs w:val="22"/>
          <w:lang w:val="es-CR"/>
        </w:rPr>
      </w:pPr>
      <w:r>
        <w:rPr>
          <w:sz w:val="22"/>
          <w:szCs w:val="22"/>
          <w:lang w:val="es-CR"/>
        </w:rPr>
        <w:t>C</w:t>
      </w:r>
      <w:r w:rsidR="00EF5AD3" w:rsidRPr="00277E4F">
        <w:rPr>
          <w:sz w:val="22"/>
          <w:szCs w:val="22"/>
          <w:lang w:val="es-CR"/>
        </w:rPr>
        <w:t xml:space="preserve">obros en efectivo por ventas de activos fijos; </w:t>
      </w:r>
    </w:p>
    <w:p w14:paraId="177B4AC4" w14:textId="00559286" w:rsidR="00EF5AD3" w:rsidRPr="00277E4F" w:rsidRDefault="00277E4F">
      <w:pPr>
        <w:pStyle w:val="Default"/>
        <w:numPr>
          <w:ilvl w:val="0"/>
          <w:numId w:val="361"/>
        </w:numPr>
        <w:spacing w:after="120"/>
        <w:ind w:left="1418" w:hanging="284"/>
        <w:jc w:val="both"/>
        <w:rPr>
          <w:sz w:val="22"/>
          <w:szCs w:val="22"/>
          <w:lang w:val="es-CR"/>
        </w:rPr>
      </w:pPr>
      <w:r>
        <w:rPr>
          <w:sz w:val="22"/>
          <w:szCs w:val="22"/>
          <w:lang w:val="es-CR"/>
        </w:rPr>
        <w:t>P</w:t>
      </w:r>
      <w:r w:rsidR="00EF5AD3" w:rsidRPr="00277E4F">
        <w:rPr>
          <w:sz w:val="22"/>
          <w:szCs w:val="22"/>
          <w:lang w:val="es-CR"/>
        </w:rPr>
        <w:t xml:space="preserve">agos en efectivo por la adquisición de instrumentos de pasivo, emitidos por otras entidades, así como participaciones en negocios conjuntos (distintos de los pagos por esos mismos títulos e instrumentos que sean considerados efectivo y equivalentes al efectivo, y de los que se tengan para intermediación u otros acuerdos comerciales habituales); </w:t>
      </w:r>
    </w:p>
    <w:p w14:paraId="4CB937FD" w14:textId="0BB6D6A8" w:rsidR="00EF5AD3" w:rsidRPr="00277E4F" w:rsidRDefault="00277E4F">
      <w:pPr>
        <w:pStyle w:val="Default"/>
        <w:numPr>
          <w:ilvl w:val="0"/>
          <w:numId w:val="361"/>
        </w:numPr>
        <w:spacing w:after="120"/>
        <w:ind w:left="1418" w:hanging="284"/>
        <w:jc w:val="both"/>
        <w:rPr>
          <w:sz w:val="22"/>
          <w:szCs w:val="22"/>
          <w:lang w:val="es-CR"/>
        </w:rPr>
      </w:pPr>
      <w:r>
        <w:rPr>
          <w:sz w:val="22"/>
          <w:szCs w:val="22"/>
          <w:lang w:val="es-CR"/>
        </w:rPr>
        <w:t>C</w:t>
      </w:r>
      <w:r w:rsidR="00EF5AD3" w:rsidRPr="00277E4F">
        <w:rPr>
          <w:sz w:val="22"/>
          <w:szCs w:val="22"/>
          <w:lang w:val="es-CR"/>
        </w:rPr>
        <w:t xml:space="preserve">obros en efectivo derivados del reembolso de anticipos y préstamos </w:t>
      </w:r>
      <w:r w:rsidR="00CF2686">
        <w:rPr>
          <w:sz w:val="22"/>
          <w:szCs w:val="22"/>
          <w:lang w:val="es-CR"/>
        </w:rPr>
        <w:t>de</w:t>
      </w:r>
      <w:r w:rsidR="00EF5AD3" w:rsidRPr="00277E4F">
        <w:rPr>
          <w:sz w:val="22"/>
          <w:szCs w:val="22"/>
          <w:lang w:val="es-CR"/>
        </w:rPr>
        <w:t xml:space="preserve"> terceros (distintos de anticipos y préstamos hechos por instituciones financieras públicas); </w:t>
      </w:r>
    </w:p>
    <w:p w14:paraId="3A565D9A" w14:textId="77777777" w:rsidR="00EF5AD3" w:rsidRDefault="00EF5AD3" w:rsidP="00D033EC">
      <w:pPr>
        <w:pStyle w:val="Default"/>
        <w:jc w:val="both"/>
        <w:rPr>
          <w:sz w:val="23"/>
          <w:szCs w:val="23"/>
          <w:lang w:val="es-CR"/>
        </w:rPr>
      </w:pPr>
    </w:p>
    <w:p w14:paraId="77373DF3" w14:textId="77777777" w:rsidR="00032C24" w:rsidRDefault="00032C24" w:rsidP="00D033EC">
      <w:pPr>
        <w:pStyle w:val="Default"/>
        <w:jc w:val="both"/>
        <w:rPr>
          <w:sz w:val="23"/>
          <w:szCs w:val="23"/>
          <w:lang w:val="es-CR"/>
        </w:rPr>
      </w:pPr>
    </w:p>
    <w:p w14:paraId="1FED39AA" w14:textId="77777777" w:rsidR="00EF5AD3" w:rsidRDefault="00EF5AD3"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91"/>
        <w:gridCol w:w="2251"/>
        <w:gridCol w:w="1854"/>
      </w:tblGrid>
      <w:tr w:rsidR="00D62F9A" w:rsidRPr="00D62F9A" w14:paraId="285DAC0D" w14:textId="77777777" w:rsidTr="003F694B">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5B75E0B"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9FBA4A"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Concepto</w:t>
            </w:r>
          </w:p>
        </w:tc>
        <w:tc>
          <w:tcPr>
            <w:tcW w:w="4105" w:type="dxa"/>
            <w:gridSpan w:val="2"/>
            <w:tcBorders>
              <w:top w:val="single" w:sz="8" w:space="0" w:color="auto"/>
              <w:left w:val="nil"/>
              <w:bottom w:val="single" w:sz="8" w:space="0" w:color="auto"/>
              <w:right w:val="single" w:sz="8" w:space="0" w:color="000000"/>
            </w:tcBorders>
            <w:shd w:val="clear" w:color="000000" w:fill="203764"/>
            <w:vAlign w:val="center"/>
            <w:hideMark/>
          </w:tcPr>
          <w:p w14:paraId="78BA911B"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Referencia</w:t>
            </w:r>
          </w:p>
        </w:tc>
      </w:tr>
      <w:tr w:rsidR="00D62F9A" w:rsidRPr="006E5442" w14:paraId="332EE8B5" w14:textId="77777777" w:rsidTr="003F694B">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2C9E3049" w14:textId="77777777" w:rsidR="00D62F9A" w:rsidRPr="00D62F9A" w:rsidRDefault="00D62F9A" w:rsidP="00D62F9A">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4BAF37E3" w14:textId="77777777" w:rsidR="00D62F9A" w:rsidRPr="00D62F9A" w:rsidRDefault="00D62F9A" w:rsidP="00D62F9A">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1BFFD15D"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400FA4B7" w14:textId="77777777" w:rsidR="00D62F9A" w:rsidRPr="00D62F9A" w:rsidRDefault="00D62F9A" w:rsidP="00D62F9A">
            <w:pPr>
              <w:jc w:val="center"/>
              <w:rPr>
                <w:rFonts w:ascii="Arial Narrow" w:eastAsia="Times New Roman" w:hAnsi="Arial Narrow" w:cs="Calibri"/>
                <w:b/>
                <w:bCs/>
                <w:color w:val="FFFFFF"/>
                <w:sz w:val="22"/>
                <w:szCs w:val="22"/>
                <w:lang w:val="es-CR"/>
              </w:rPr>
            </w:pPr>
            <w:r w:rsidRPr="00D62F9A">
              <w:rPr>
                <w:rFonts w:ascii="Arial Narrow" w:eastAsia="Times New Roman" w:hAnsi="Arial Narrow" w:cs="Calibri"/>
                <w:b/>
                <w:bCs/>
                <w:color w:val="FFFFFF"/>
                <w:sz w:val="22"/>
                <w:szCs w:val="22"/>
                <w:lang w:val="es-CR"/>
              </w:rPr>
              <w:t>Normativa técnica y disposiciones adicionales</w:t>
            </w:r>
          </w:p>
        </w:tc>
      </w:tr>
      <w:tr w:rsidR="00D62F9A" w:rsidRPr="00D62F9A" w14:paraId="18E9155F" w14:textId="77777777" w:rsidTr="003F694B">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A234A2"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EC9EC43"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42</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3379B622"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5F4D107D" w14:textId="77777777" w:rsidR="00D62F9A" w:rsidRPr="00D62F9A" w:rsidRDefault="00D62F9A" w:rsidP="00D62F9A">
            <w:pPr>
              <w:jc w:val="both"/>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Actividades de Financiación</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247BAD8E" w14:textId="77777777" w:rsidR="003F694B" w:rsidRDefault="00D62F9A" w:rsidP="00D62F9A">
            <w:pPr>
              <w:jc w:val="both"/>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NICSP N° 2,</w:t>
            </w:r>
          </w:p>
          <w:p w14:paraId="2A7E78F5" w14:textId="511B6EEF" w:rsidR="00D62F9A" w:rsidRPr="00D62F9A" w:rsidRDefault="00D62F9A" w:rsidP="00D62F9A">
            <w:pPr>
              <w:jc w:val="both"/>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Párrafo 26.</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50F317E9"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r>
    </w:tbl>
    <w:p w14:paraId="5F20FC26" w14:textId="77777777" w:rsidR="00EF5AD3" w:rsidRDefault="00EF5AD3" w:rsidP="00D033EC">
      <w:pPr>
        <w:pStyle w:val="Default"/>
        <w:jc w:val="both"/>
        <w:rPr>
          <w:sz w:val="23"/>
          <w:szCs w:val="23"/>
          <w:lang w:val="es-CR"/>
        </w:rPr>
      </w:pPr>
    </w:p>
    <w:p w14:paraId="0577C2FF" w14:textId="77777777" w:rsidR="003F694B" w:rsidRDefault="003F694B" w:rsidP="003F694B">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8920933" w14:textId="77777777" w:rsidR="003F694B" w:rsidRDefault="003F694B" w:rsidP="00D033EC">
      <w:pPr>
        <w:pStyle w:val="Default"/>
        <w:jc w:val="both"/>
        <w:rPr>
          <w:sz w:val="23"/>
          <w:szCs w:val="23"/>
          <w:lang w:val="es-CR"/>
        </w:rPr>
      </w:pPr>
    </w:p>
    <w:p w14:paraId="51FDF3B1" w14:textId="535368BE" w:rsidR="00D62F9A" w:rsidRDefault="00CF2686" w:rsidP="00CF2686">
      <w:pPr>
        <w:pStyle w:val="Default"/>
        <w:ind w:left="1134" w:hanging="1134"/>
        <w:jc w:val="both"/>
        <w:rPr>
          <w:sz w:val="22"/>
          <w:szCs w:val="22"/>
          <w:lang w:val="es-CR"/>
        </w:rPr>
      </w:pPr>
      <w:r>
        <w:rPr>
          <w:sz w:val="22"/>
          <w:szCs w:val="22"/>
          <w:lang w:val="es-CR"/>
        </w:rPr>
        <w:t>6.42.0.01</w:t>
      </w:r>
      <w:r>
        <w:rPr>
          <w:sz w:val="22"/>
          <w:szCs w:val="22"/>
          <w:lang w:val="es-CR"/>
        </w:rPr>
        <w:tab/>
      </w:r>
      <w:r w:rsidR="00D62F9A" w:rsidRPr="00CF2686">
        <w:rPr>
          <w:sz w:val="22"/>
          <w:szCs w:val="22"/>
          <w:lang w:val="es-CR"/>
        </w:rPr>
        <w:t>La información sobre los flujos de efectivo procedentes de las actividades de financiación, es importante, ya que resulta de utilidad al efectuar la predicción de necesidades de efectivo para cubrir compromisos con los suministradores de capital a la entidad. Los flujos de efectivo que surgen de actividades de financiación son:</w:t>
      </w:r>
    </w:p>
    <w:p w14:paraId="4BE3C163" w14:textId="77777777" w:rsidR="00CF2686" w:rsidRPr="00CF2686" w:rsidRDefault="00CF2686" w:rsidP="00CF2686">
      <w:pPr>
        <w:pStyle w:val="Default"/>
        <w:ind w:left="1134" w:hanging="1134"/>
        <w:jc w:val="both"/>
        <w:rPr>
          <w:sz w:val="22"/>
          <w:szCs w:val="22"/>
          <w:lang w:val="es-CR"/>
        </w:rPr>
      </w:pPr>
    </w:p>
    <w:p w14:paraId="167A9C94" w14:textId="73606441" w:rsidR="00D62F9A" w:rsidRPr="00CF2686" w:rsidRDefault="00CF2686">
      <w:pPr>
        <w:pStyle w:val="Default"/>
        <w:numPr>
          <w:ilvl w:val="0"/>
          <w:numId w:val="362"/>
        </w:numPr>
        <w:spacing w:after="120"/>
        <w:ind w:left="1418" w:hanging="284"/>
        <w:jc w:val="both"/>
        <w:rPr>
          <w:sz w:val="22"/>
          <w:szCs w:val="22"/>
          <w:lang w:val="es-CR"/>
        </w:rPr>
      </w:pPr>
      <w:r>
        <w:rPr>
          <w:sz w:val="22"/>
          <w:szCs w:val="22"/>
          <w:lang w:val="es-CR"/>
        </w:rPr>
        <w:t>C</w:t>
      </w:r>
      <w:r w:rsidR="00D62F9A" w:rsidRPr="00CF2686">
        <w:rPr>
          <w:sz w:val="22"/>
          <w:szCs w:val="22"/>
          <w:lang w:val="es-CR"/>
        </w:rPr>
        <w:t xml:space="preserve">obros en efectivo procedentes de, préstamos, bonos, cédulas hipotecarias y otros fondos tomados en préstamo, a largo o a corto plazo; </w:t>
      </w:r>
    </w:p>
    <w:p w14:paraId="0E03A2ED" w14:textId="77777777" w:rsidR="00CF2686" w:rsidRDefault="00CF2686">
      <w:pPr>
        <w:pStyle w:val="Default"/>
        <w:numPr>
          <w:ilvl w:val="0"/>
          <w:numId w:val="362"/>
        </w:numPr>
        <w:spacing w:after="120"/>
        <w:ind w:left="1418" w:hanging="284"/>
        <w:jc w:val="both"/>
        <w:rPr>
          <w:sz w:val="22"/>
          <w:szCs w:val="22"/>
          <w:lang w:val="es-CR"/>
        </w:rPr>
      </w:pPr>
      <w:r>
        <w:rPr>
          <w:sz w:val="22"/>
          <w:szCs w:val="22"/>
          <w:lang w:val="es-CR"/>
        </w:rPr>
        <w:t>R</w:t>
      </w:r>
      <w:r w:rsidR="00D62F9A" w:rsidRPr="00CF2686">
        <w:rPr>
          <w:sz w:val="22"/>
          <w:szCs w:val="22"/>
          <w:lang w:val="es-CR"/>
        </w:rPr>
        <w:t>eembolsos de los fondos tomados en préstamo;</w:t>
      </w:r>
    </w:p>
    <w:p w14:paraId="78D593FB" w14:textId="430ECC6A" w:rsidR="00D62F9A" w:rsidRPr="00CF2686" w:rsidRDefault="00CF2686">
      <w:pPr>
        <w:pStyle w:val="Default"/>
        <w:numPr>
          <w:ilvl w:val="0"/>
          <w:numId w:val="362"/>
        </w:numPr>
        <w:spacing w:after="120"/>
        <w:ind w:left="1418" w:hanging="284"/>
        <w:jc w:val="both"/>
        <w:rPr>
          <w:sz w:val="22"/>
          <w:szCs w:val="22"/>
          <w:lang w:val="es-CR"/>
        </w:rPr>
      </w:pPr>
      <w:r>
        <w:rPr>
          <w:sz w:val="22"/>
          <w:szCs w:val="22"/>
          <w:lang w:val="es-CR"/>
        </w:rPr>
        <w:t>Pagos realizados por concepto de amortización e intereses de préstamos tomados a corto o largo plazo;</w:t>
      </w:r>
      <w:r w:rsidR="00D62F9A" w:rsidRPr="00CF2686">
        <w:rPr>
          <w:sz w:val="22"/>
          <w:szCs w:val="22"/>
          <w:lang w:val="es-CR"/>
        </w:rPr>
        <w:t xml:space="preserve"> y </w:t>
      </w:r>
    </w:p>
    <w:p w14:paraId="349B098F" w14:textId="7C36BFF0" w:rsidR="00D62F9A" w:rsidRDefault="00CF2686">
      <w:pPr>
        <w:pStyle w:val="Default"/>
        <w:numPr>
          <w:ilvl w:val="0"/>
          <w:numId w:val="362"/>
        </w:numPr>
        <w:ind w:left="1418" w:hanging="284"/>
        <w:jc w:val="both"/>
        <w:rPr>
          <w:sz w:val="22"/>
          <w:szCs w:val="22"/>
          <w:lang w:val="es-CR"/>
        </w:rPr>
      </w:pPr>
      <w:r>
        <w:rPr>
          <w:sz w:val="22"/>
          <w:szCs w:val="22"/>
          <w:lang w:val="es-CR"/>
        </w:rPr>
        <w:t>P</w:t>
      </w:r>
      <w:r w:rsidR="00D62F9A" w:rsidRPr="00CF2686">
        <w:rPr>
          <w:sz w:val="22"/>
          <w:szCs w:val="22"/>
          <w:lang w:val="es-CR"/>
        </w:rPr>
        <w:t>agos realizados por el arrendatario para reducir la deuda pendiente procedente de un arrendamiento financiero.</w:t>
      </w:r>
    </w:p>
    <w:p w14:paraId="333B23E7" w14:textId="77777777" w:rsidR="003F694B" w:rsidRPr="00CF2686" w:rsidRDefault="003F694B" w:rsidP="003F694B">
      <w:pPr>
        <w:pStyle w:val="Default"/>
        <w:ind w:left="1418"/>
        <w:jc w:val="both"/>
        <w:rPr>
          <w:sz w:val="22"/>
          <w:szCs w:val="22"/>
          <w:lang w:val="es-CR"/>
        </w:rPr>
      </w:pPr>
    </w:p>
    <w:p w14:paraId="14CEC981" w14:textId="77777777" w:rsidR="00D62F9A" w:rsidRDefault="00D62F9A" w:rsidP="00D033EC">
      <w:pPr>
        <w:pStyle w:val="Default"/>
        <w:jc w:val="both"/>
        <w:rPr>
          <w:sz w:val="23"/>
          <w:szCs w:val="23"/>
          <w:lang w:val="es-CR"/>
        </w:rPr>
      </w:pPr>
    </w:p>
    <w:p w14:paraId="2ECB9300" w14:textId="77777777" w:rsidR="00CF2686" w:rsidRDefault="00CF2686" w:rsidP="00D033EC">
      <w:pPr>
        <w:pStyle w:val="Default"/>
        <w:jc w:val="both"/>
        <w:rPr>
          <w:sz w:val="23"/>
          <w:szCs w:val="23"/>
          <w:lang w:val="es-CR"/>
        </w:rPr>
      </w:pPr>
    </w:p>
    <w:tbl>
      <w:tblPr>
        <w:tblW w:w="9357" w:type="dxa"/>
        <w:tblLook w:val="04A0" w:firstRow="1" w:lastRow="0" w:firstColumn="1" w:lastColumn="0" w:noHBand="0" w:noVBand="1"/>
      </w:tblPr>
      <w:tblGrid>
        <w:gridCol w:w="416"/>
        <w:gridCol w:w="726"/>
        <w:gridCol w:w="408"/>
        <w:gridCol w:w="3739"/>
        <w:gridCol w:w="2214"/>
        <w:gridCol w:w="1843"/>
        <w:gridCol w:w="11"/>
      </w:tblGrid>
      <w:tr w:rsidR="00D62F9A" w:rsidRPr="00D62F9A" w14:paraId="5EC719DF" w14:textId="77777777" w:rsidTr="00032C24">
        <w:trPr>
          <w:trHeight w:val="320"/>
        </w:trPr>
        <w:tc>
          <w:tcPr>
            <w:tcW w:w="1550"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45AEEA29"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Norma / Política</w:t>
            </w:r>
          </w:p>
        </w:tc>
        <w:tc>
          <w:tcPr>
            <w:tcW w:w="373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259FE69"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Concepto</w:t>
            </w:r>
          </w:p>
        </w:tc>
        <w:tc>
          <w:tcPr>
            <w:tcW w:w="4068" w:type="dxa"/>
            <w:gridSpan w:val="3"/>
            <w:tcBorders>
              <w:top w:val="single" w:sz="8" w:space="0" w:color="auto"/>
              <w:left w:val="nil"/>
              <w:bottom w:val="single" w:sz="8" w:space="0" w:color="auto"/>
              <w:right w:val="single" w:sz="8" w:space="0" w:color="000000"/>
            </w:tcBorders>
            <w:shd w:val="clear" w:color="000000" w:fill="203764"/>
            <w:vAlign w:val="center"/>
            <w:hideMark/>
          </w:tcPr>
          <w:p w14:paraId="3181E1FB"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Referencia</w:t>
            </w:r>
          </w:p>
        </w:tc>
      </w:tr>
      <w:tr w:rsidR="00D62F9A" w:rsidRPr="006E5442" w14:paraId="14A6505D" w14:textId="77777777" w:rsidTr="00032C24">
        <w:trPr>
          <w:gridAfter w:val="1"/>
          <w:wAfter w:w="11" w:type="dxa"/>
          <w:trHeight w:val="850"/>
        </w:trPr>
        <w:tc>
          <w:tcPr>
            <w:tcW w:w="1550" w:type="dxa"/>
            <w:gridSpan w:val="3"/>
            <w:vMerge/>
            <w:tcBorders>
              <w:top w:val="single" w:sz="8" w:space="0" w:color="auto"/>
              <w:left w:val="single" w:sz="8" w:space="0" w:color="auto"/>
              <w:bottom w:val="single" w:sz="8" w:space="0" w:color="000000"/>
              <w:right w:val="single" w:sz="8" w:space="0" w:color="000000"/>
            </w:tcBorders>
            <w:vAlign w:val="center"/>
            <w:hideMark/>
          </w:tcPr>
          <w:p w14:paraId="173868FD" w14:textId="77777777" w:rsidR="00D62F9A" w:rsidRPr="00D62F9A" w:rsidRDefault="00D62F9A" w:rsidP="00D62F9A">
            <w:pPr>
              <w:rPr>
                <w:rFonts w:ascii="Arial Narrow" w:eastAsia="Times New Roman" w:hAnsi="Arial Narrow" w:cs="Calibri"/>
                <w:b/>
                <w:bCs/>
                <w:color w:val="FFFFFF"/>
                <w:sz w:val="22"/>
                <w:szCs w:val="22"/>
              </w:rPr>
            </w:pPr>
          </w:p>
        </w:tc>
        <w:tc>
          <w:tcPr>
            <w:tcW w:w="3739" w:type="dxa"/>
            <w:vMerge/>
            <w:tcBorders>
              <w:top w:val="single" w:sz="8" w:space="0" w:color="auto"/>
              <w:left w:val="single" w:sz="8" w:space="0" w:color="auto"/>
              <w:bottom w:val="single" w:sz="8" w:space="0" w:color="000000"/>
              <w:right w:val="single" w:sz="8" w:space="0" w:color="auto"/>
            </w:tcBorders>
            <w:vAlign w:val="center"/>
            <w:hideMark/>
          </w:tcPr>
          <w:p w14:paraId="6A2077BE" w14:textId="77777777" w:rsidR="00D62F9A" w:rsidRPr="00D62F9A" w:rsidRDefault="00D62F9A" w:rsidP="00D62F9A">
            <w:pPr>
              <w:rPr>
                <w:rFonts w:ascii="Arial Narrow" w:eastAsia="Times New Roman" w:hAnsi="Arial Narrow" w:cs="Calibri"/>
                <w:b/>
                <w:bCs/>
                <w:color w:val="FFFFFF"/>
                <w:sz w:val="22"/>
                <w:szCs w:val="22"/>
              </w:rPr>
            </w:pPr>
          </w:p>
        </w:tc>
        <w:tc>
          <w:tcPr>
            <w:tcW w:w="2214" w:type="dxa"/>
            <w:tcBorders>
              <w:top w:val="nil"/>
              <w:left w:val="nil"/>
              <w:bottom w:val="single" w:sz="8" w:space="0" w:color="auto"/>
              <w:right w:val="single" w:sz="8" w:space="0" w:color="auto"/>
            </w:tcBorders>
            <w:shd w:val="clear" w:color="000000" w:fill="203764"/>
            <w:vAlign w:val="center"/>
            <w:hideMark/>
          </w:tcPr>
          <w:p w14:paraId="7A9E98F3"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Norma</w:t>
            </w:r>
          </w:p>
        </w:tc>
        <w:tc>
          <w:tcPr>
            <w:tcW w:w="1843" w:type="dxa"/>
            <w:tcBorders>
              <w:top w:val="nil"/>
              <w:left w:val="nil"/>
              <w:bottom w:val="single" w:sz="8" w:space="0" w:color="auto"/>
              <w:right w:val="single" w:sz="8" w:space="0" w:color="auto"/>
            </w:tcBorders>
            <w:shd w:val="clear" w:color="000000" w:fill="203764"/>
            <w:vAlign w:val="center"/>
            <w:hideMark/>
          </w:tcPr>
          <w:p w14:paraId="315E95D1" w14:textId="77777777" w:rsidR="00D62F9A" w:rsidRPr="00D62F9A" w:rsidRDefault="00D62F9A" w:rsidP="00D62F9A">
            <w:pPr>
              <w:jc w:val="center"/>
              <w:rPr>
                <w:rFonts w:ascii="Arial Narrow" w:eastAsia="Times New Roman" w:hAnsi="Arial Narrow" w:cs="Calibri"/>
                <w:b/>
                <w:bCs/>
                <w:color w:val="FFFFFF"/>
                <w:sz w:val="22"/>
                <w:szCs w:val="22"/>
                <w:lang w:val="es-CR"/>
              </w:rPr>
            </w:pPr>
            <w:r w:rsidRPr="00D62F9A">
              <w:rPr>
                <w:rFonts w:ascii="Arial Narrow" w:eastAsia="Times New Roman" w:hAnsi="Arial Narrow" w:cs="Calibri"/>
                <w:b/>
                <w:bCs/>
                <w:color w:val="FFFFFF"/>
                <w:sz w:val="22"/>
                <w:szCs w:val="22"/>
                <w:lang w:val="es-CR"/>
              </w:rPr>
              <w:t>Normativa técnica y disposiciones adicionales</w:t>
            </w:r>
          </w:p>
        </w:tc>
      </w:tr>
      <w:tr w:rsidR="00D62F9A" w:rsidRPr="00D62F9A" w14:paraId="363B2189" w14:textId="77777777" w:rsidTr="00032C24">
        <w:trPr>
          <w:gridAfter w:val="1"/>
          <w:wAfter w:w="11" w:type="dxa"/>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B65C6AB"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6</w:t>
            </w:r>
          </w:p>
        </w:tc>
        <w:tc>
          <w:tcPr>
            <w:tcW w:w="726" w:type="dxa"/>
            <w:tcBorders>
              <w:top w:val="nil"/>
              <w:left w:val="nil"/>
              <w:bottom w:val="single" w:sz="8" w:space="0" w:color="auto"/>
              <w:right w:val="single" w:sz="8" w:space="0" w:color="auto"/>
            </w:tcBorders>
            <w:shd w:val="clear" w:color="auto" w:fill="auto"/>
            <w:vAlign w:val="center"/>
            <w:hideMark/>
          </w:tcPr>
          <w:p w14:paraId="1A836185" w14:textId="77777777" w:rsidR="00D62F9A" w:rsidRPr="00D62F9A" w:rsidRDefault="00D62F9A" w:rsidP="000B34AC">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43</w:t>
            </w:r>
          </w:p>
        </w:tc>
        <w:tc>
          <w:tcPr>
            <w:tcW w:w="408" w:type="dxa"/>
            <w:tcBorders>
              <w:top w:val="nil"/>
              <w:left w:val="nil"/>
              <w:bottom w:val="single" w:sz="8" w:space="0" w:color="auto"/>
              <w:right w:val="single" w:sz="8" w:space="0" w:color="auto"/>
            </w:tcBorders>
            <w:shd w:val="clear" w:color="auto" w:fill="auto"/>
            <w:vAlign w:val="center"/>
            <w:hideMark/>
          </w:tcPr>
          <w:p w14:paraId="3D40E529"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w:t>
            </w:r>
          </w:p>
        </w:tc>
        <w:tc>
          <w:tcPr>
            <w:tcW w:w="3739" w:type="dxa"/>
            <w:tcBorders>
              <w:top w:val="nil"/>
              <w:left w:val="nil"/>
              <w:bottom w:val="single" w:sz="8" w:space="0" w:color="auto"/>
              <w:right w:val="single" w:sz="8" w:space="0" w:color="auto"/>
            </w:tcBorders>
            <w:shd w:val="clear" w:color="auto" w:fill="auto"/>
            <w:vAlign w:val="center"/>
            <w:hideMark/>
          </w:tcPr>
          <w:p w14:paraId="7DA4386C" w14:textId="77777777" w:rsidR="00D62F9A" w:rsidRPr="00D62F9A" w:rsidRDefault="00D62F9A" w:rsidP="00D62F9A">
            <w:pPr>
              <w:rPr>
                <w:rFonts w:ascii="Arial Narrow" w:eastAsia="Times New Roman" w:hAnsi="Arial Narrow" w:cs="Calibri"/>
                <w:b/>
                <w:bCs/>
                <w:color w:val="000000"/>
                <w:sz w:val="22"/>
                <w:szCs w:val="22"/>
                <w:lang w:val="es-CR"/>
              </w:rPr>
            </w:pPr>
            <w:r w:rsidRPr="00D62F9A">
              <w:rPr>
                <w:rFonts w:ascii="Arial Narrow" w:eastAsia="Times New Roman" w:hAnsi="Arial Narrow" w:cs="Calibri"/>
                <w:b/>
                <w:bCs/>
                <w:color w:val="000000"/>
                <w:sz w:val="22"/>
                <w:szCs w:val="22"/>
                <w:lang w:val="es-CR"/>
              </w:rPr>
              <w:t>Método para la elaboración del EFE</w:t>
            </w:r>
          </w:p>
        </w:tc>
        <w:tc>
          <w:tcPr>
            <w:tcW w:w="2214" w:type="dxa"/>
            <w:tcBorders>
              <w:top w:val="nil"/>
              <w:left w:val="nil"/>
              <w:bottom w:val="single" w:sz="8" w:space="0" w:color="auto"/>
              <w:right w:val="single" w:sz="8" w:space="0" w:color="auto"/>
            </w:tcBorders>
            <w:shd w:val="clear" w:color="auto" w:fill="auto"/>
            <w:vAlign w:val="center"/>
            <w:hideMark/>
          </w:tcPr>
          <w:p w14:paraId="201581F8" w14:textId="77777777" w:rsidR="00D62F9A" w:rsidRPr="00D62F9A" w:rsidRDefault="00D62F9A" w:rsidP="00D62F9A">
            <w:pP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NICSP N° 2,</w:t>
            </w:r>
            <w:r w:rsidRPr="00D62F9A">
              <w:rPr>
                <w:rFonts w:ascii="Arial Narrow" w:eastAsia="Times New Roman" w:hAnsi="Arial Narrow" w:cs="Calibri"/>
                <w:b/>
                <w:bCs/>
                <w:color w:val="000000"/>
                <w:sz w:val="22"/>
                <w:szCs w:val="22"/>
              </w:rPr>
              <w:br/>
              <w:t>Párrafo 27.</w:t>
            </w:r>
          </w:p>
        </w:tc>
        <w:tc>
          <w:tcPr>
            <w:tcW w:w="1843" w:type="dxa"/>
            <w:tcBorders>
              <w:top w:val="nil"/>
              <w:left w:val="nil"/>
              <w:bottom w:val="single" w:sz="8" w:space="0" w:color="auto"/>
              <w:right w:val="single" w:sz="8" w:space="0" w:color="auto"/>
            </w:tcBorders>
            <w:shd w:val="clear" w:color="auto" w:fill="auto"/>
            <w:vAlign w:val="center"/>
            <w:hideMark/>
          </w:tcPr>
          <w:p w14:paraId="7427CEF2"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DGCN </w:t>
            </w:r>
          </w:p>
        </w:tc>
      </w:tr>
      <w:tr w:rsidR="00D62F9A" w:rsidRPr="00D62F9A" w14:paraId="6411F390" w14:textId="77777777" w:rsidTr="00032C24">
        <w:trPr>
          <w:gridAfter w:val="1"/>
          <w:wAfter w:w="11" w:type="dxa"/>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58255EB"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6</w:t>
            </w:r>
          </w:p>
        </w:tc>
        <w:tc>
          <w:tcPr>
            <w:tcW w:w="726" w:type="dxa"/>
            <w:tcBorders>
              <w:top w:val="nil"/>
              <w:left w:val="nil"/>
              <w:bottom w:val="single" w:sz="8" w:space="0" w:color="auto"/>
              <w:right w:val="single" w:sz="8" w:space="0" w:color="auto"/>
            </w:tcBorders>
            <w:shd w:val="clear" w:color="auto" w:fill="auto"/>
            <w:vAlign w:val="center"/>
            <w:hideMark/>
          </w:tcPr>
          <w:p w14:paraId="4426E758" w14:textId="77777777" w:rsidR="00D62F9A" w:rsidRPr="00D62F9A" w:rsidRDefault="00D62F9A" w:rsidP="000B34AC">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43</w:t>
            </w:r>
          </w:p>
        </w:tc>
        <w:tc>
          <w:tcPr>
            <w:tcW w:w="408" w:type="dxa"/>
            <w:tcBorders>
              <w:top w:val="nil"/>
              <w:left w:val="nil"/>
              <w:bottom w:val="single" w:sz="8" w:space="0" w:color="auto"/>
              <w:right w:val="nil"/>
            </w:tcBorders>
            <w:shd w:val="clear" w:color="auto" w:fill="auto"/>
            <w:vAlign w:val="center"/>
            <w:hideMark/>
          </w:tcPr>
          <w:p w14:paraId="2386060B"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1</w:t>
            </w:r>
          </w:p>
        </w:tc>
        <w:tc>
          <w:tcPr>
            <w:tcW w:w="3739" w:type="dxa"/>
            <w:tcBorders>
              <w:top w:val="nil"/>
              <w:left w:val="single" w:sz="8" w:space="0" w:color="auto"/>
              <w:bottom w:val="single" w:sz="8" w:space="0" w:color="auto"/>
              <w:right w:val="single" w:sz="8" w:space="0" w:color="auto"/>
            </w:tcBorders>
            <w:shd w:val="clear" w:color="auto" w:fill="auto"/>
            <w:vAlign w:val="center"/>
            <w:hideMark/>
          </w:tcPr>
          <w:p w14:paraId="67A29D20" w14:textId="77777777" w:rsidR="00D62F9A" w:rsidRPr="00D62F9A" w:rsidRDefault="00D62F9A" w:rsidP="00D62F9A">
            <w:pP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Procedimientos del Método Directo</w:t>
            </w:r>
          </w:p>
        </w:tc>
        <w:tc>
          <w:tcPr>
            <w:tcW w:w="2214" w:type="dxa"/>
            <w:tcBorders>
              <w:top w:val="nil"/>
              <w:left w:val="nil"/>
              <w:bottom w:val="single" w:sz="8" w:space="0" w:color="auto"/>
              <w:right w:val="single" w:sz="8" w:space="0" w:color="auto"/>
            </w:tcBorders>
            <w:shd w:val="clear" w:color="auto" w:fill="auto"/>
            <w:vAlign w:val="center"/>
            <w:hideMark/>
          </w:tcPr>
          <w:p w14:paraId="6472B940" w14:textId="77777777" w:rsidR="00D62F9A" w:rsidRPr="00D62F9A" w:rsidRDefault="00D62F9A" w:rsidP="00D62F9A">
            <w:pP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NICSP N° 2,</w:t>
            </w:r>
            <w:r w:rsidRPr="00D62F9A">
              <w:rPr>
                <w:rFonts w:ascii="Arial Narrow" w:eastAsia="Times New Roman" w:hAnsi="Arial Narrow" w:cs="Calibri"/>
                <w:b/>
                <w:bCs/>
                <w:color w:val="000000"/>
                <w:sz w:val="22"/>
                <w:szCs w:val="22"/>
              </w:rPr>
              <w:br/>
              <w:t>Párrafo 28.</w:t>
            </w:r>
          </w:p>
        </w:tc>
        <w:tc>
          <w:tcPr>
            <w:tcW w:w="1843" w:type="dxa"/>
            <w:tcBorders>
              <w:top w:val="nil"/>
              <w:left w:val="nil"/>
              <w:bottom w:val="single" w:sz="8" w:space="0" w:color="auto"/>
              <w:right w:val="single" w:sz="8" w:space="0" w:color="auto"/>
            </w:tcBorders>
            <w:shd w:val="clear" w:color="auto" w:fill="auto"/>
            <w:vAlign w:val="center"/>
            <w:hideMark/>
          </w:tcPr>
          <w:p w14:paraId="2039CA48"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r>
      <w:tr w:rsidR="00D62F9A" w:rsidRPr="00D62F9A" w14:paraId="54B43150" w14:textId="77777777" w:rsidTr="00032C24">
        <w:trPr>
          <w:gridAfter w:val="1"/>
          <w:wAfter w:w="11" w:type="dxa"/>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FB9B920"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6</w:t>
            </w:r>
          </w:p>
        </w:tc>
        <w:tc>
          <w:tcPr>
            <w:tcW w:w="726" w:type="dxa"/>
            <w:tcBorders>
              <w:top w:val="nil"/>
              <w:left w:val="nil"/>
              <w:bottom w:val="single" w:sz="8" w:space="0" w:color="auto"/>
              <w:right w:val="single" w:sz="8" w:space="0" w:color="auto"/>
            </w:tcBorders>
            <w:shd w:val="clear" w:color="auto" w:fill="auto"/>
            <w:vAlign w:val="center"/>
            <w:hideMark/>
          </w:tcPr>
          <w:p w14:paraId="32FFC3FD" w14:textId="77777777" w:rsidR="00D62F9A" w:rsidRPr="00D62F9A" w:rsidRDefault="00D62F9A" w:rsidP="000B34AC">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43</w:t>
            </w:r>
          </w:p>
        </w:tc>
        <w:tc>
          <w:tcPr>
            <w:tcW w:w="408" w:type="dxa"/>
            <w:tcBorders>
              <w:top w:val="nil"/>
              <w:left w:val="nil"/>
              <w:bottom w:val="single" w:sz="8" w:space="0" w:color="auto"/>
              <w:right w:val="single" w:sz="8" w:space="0" w:color="auto"/>
            </w:tcBorders>
            <w:shd w:val="clear" w:color="auto" w:fill="auto"/>
            <w:vAlign w:val="center"/>
            <w:hideMark/>
          </w:tcPr>
          <w:p w14:paraId="190E7FB4"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2</w:t>
            </w:r>
          </w:p>
        </w:tc>
        <w:tc>
          <w:tcPr>
            <w:tcW w:w="3739" w:type="dxa"/>
            <w:tcBorders>
              <w:top w:val="nil"/>
              <w:left w:val="nil"/>
              <w:bottom w:val="single" w:sz="8" w:space="0" w:color="auto"/>
              <w:right w:val="single" w:sz="8" w:space="0" w:color="auto"/>
            </w:tcBorders>
            <w:shd w:val="clear" w:color="auto" w:fill="auto"/>
            <w:vAlign w:val="center"/>
            <w:hideMark/>
          </w:tcPr>
          <w:p w14:paraId="5C45D81B" w14:textId="77777777" w:rsidR="00D62F9A" w:rsidRPr="00D62F9A" w:rsidRDefault="00D62F9A" w:rsidP="00D62F9A">
            <w:pPr>
              <w:jc w:val="both"/>
              <w:rPr>
                <w:rFonts w:ascii="Arial Narrow" w:eastAsia="Times New Roman" w:hAnsi="Arial Narrow" w:cs="Calibri"/>
                <w:b/>
                <w:bCs/>
                <w:color w:val="000000"/>
                <w:sz w:val="22"/>
                <w:szCs w:val="22"/>
                <w:lang w:val="es-CR"/>
              </w:rPr>
            </w:pPr>
            <w:r w:rsidRPr="00D62F9A">
              <w:rPr>
                <w:rFonts w:ascii="Arial Narrow" w:eastAsia="Times New Roman" w:hAnsi="Arial Narrow" w:cs="Calibri"/>
                <w:b/>
                <w:bCs/>
                <w:color w:val="000000"/>
                <w:sz w:val="22"/>
                <w:szCs w:val="22"/>
                <w:lang w:val="es-CR"/>
              </w:rPr>
              <w:t>Actividades de operación bajo el método directo</w:t>
            </w:r>
          </w:p>
        </w:tc>
        <w:tc>
          <w:tcPr>
            <w:tcW w:w="2214" w:type="dxa"/>
            <w:tcBorders>
              <w:top w:val="nil"/>
              <w:left w:val="nil"/>
              <w:bottom w:val="single" w:sz="8" w:space="0" w:color="auto"/>
              <w:right w:val="single" w:sz="8" w:space="0" w:color="auto"/>
            </w:tcBorders>
            <w:shd w:val="clear" w:color="auto" w:fill="auto"/>
            <w:vAlign w:val="center"/>
            <w:hideMark/>
          </w:tcPr>
          <w:p w14:paraId="7E807B17" w14:textId="77777777" w:rsidR="00D62F9A" w:rsidRPr="00D62F9A" w:rsidRDefault="00D62F9A" w:rsidP="00D62F9A">
            <w:pP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NICSP N° 2,</w:t>
            </w:r>
            <w:r w:rsidRPr="00D62F9A">
              <w:rPr>
                <w:rFonts w:ascii="Arial Narrow" w:eastAsia="Times New Roman" w:hAnsi="Arial Narrow" w:cs="Calibri"/>
                <w:b/>
                <w:bCs/>
                <w:color w:val="000000"/>
                <w:sz w:val="22"/>
                <w:szCs w:val="22"/>
              </w:rPr>
              <w:br/>
              <w:t>Párrafo 29.</w:t>
            </w:r>
          </w:p>
        </w:tc>
        <w:tc>
          <w:tcPr>
            <w:tcW w:w="1843" w:type="dxa"/>
            <w:tcBorders>
              <w:top w:val="nil"/>
              <w:left w:val="nil"/>
              <w:bottom w:val="single" w:sz="8" w:space="0" w:color="auto"/>
              <w:right w:val="single" w:sz="8" w:space="0" w:color="auto"/>
            </w:tcBorders>
            <w:shd w:val="clear" w:color="auto" w:fill="auto"/>
            <w:vAlign w:val="center"/>
            <w:hideMark/>
          </w:tcPr>
          <w:p w14:paraId="21FF2827"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r>
      <w:tr w:rsidR="00D62F9A" w:rsidRPr="00D62F9A" w14:paraId="3A85327E" w14:textId="77777777" w:rsidTr="00032C24">
        <w:trPr>
          <w:gridAfter w:val="1"/>
          <w:wAfter w:w="11" w:type="dxa"/>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FD4BF67"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6</w:t>
            </w:r>
          </w:p>
        </w:tc>
        <w:tc>
          <w:tcPr>
            <w:tcW w:w="726" w:type="dxa"/>
            <w:tcBorders>
              <w:top w:val="nil"/>
              <w:left w:val="nil"/>
              <w:bottom w:val="single" w:sz="8" w:space="0" w:color="auto"/>
              <w:right w:val="single" w:sz="8" w:space="0" w:color="auto"/>
            </w:tcBorders>
            <w:shd w:val="clear" w:color="auto" w:fill="auto"/>
            <w:vAlign w:val="center"/>
            <w:hideMark/>
          </w:tcPr>
          <w:p w14:paraId="3FBF9721" w14:textId="77777777" w:rsidR="00D62F9A" w:rsidRPr="00D62F9A" w:rsidRDefault="00D62F9A" w:rsidP="000B34AC">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43</w:t>
            </w:r>
          </w:p>
        </w:tc>
        <w:tc>
          <w:tcPr>
            <w:tcW w:w="408" w:type="dxa"/>
            <w:tcBorders>
              <w:top w:val="nil"/>
              <w:left w:val="nil"/>
              <w:bottom w:val="single" w:sz="8" w:space="0" w:color="auto"/>
              <w:right w:val="single" w:sz="8" w:space="0" w:color="auto"/>
            </w:tcBorders>
            <w:shd w:val="clear" w:color="auto" w:fill="auto"/>
            <w:vAlign w:val="center"/>
            <w:hideMark/>
          </w:tcPr>
          <w:p w14:paraId="3415961F"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3</w:t>
            </w:r>
          </w:p>
        </w:tc>
        <w:tc>
          <w:tcPr>
            <w:tcW w:w="3739" w:type="dxa"/>
            <w:tcBorders>
              <w:top w:val="nil"/>
              <w:left w:val="nil"/>
              <w:bottom w:val="single" w:sz="8" w:space="0" w:color="auto"/>
              <w:right w:val="single" w:sz="8" w:space="0" w:color="auto"/>
            </w:tcBorders>
            <w:shd w:val="clear" w:color="auto" w:fill="auto"/>
            <w:vAlign w:val="center"/>
            <w:hideMark/>
          </w:tcPr>
          <w:p w14:paraId="3B2CE187" w14:textId="77777777" w:rsidR="00D62F9A" w:rsidRPr="00D62F9A" w:rsidRDefault="00D62F9A" w:rsidP="00D62F9A">
            <w:pPr>
              <w:jc w:val="both"/>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Criterio transitorio</w:t>
            </w:r>
          </w:p>
        </w:tc>
        <w:tc>
          <w:tcPr>
            <w:tcW w:w="2214" w:type="dxa"/>
            <w:tcBorders>
              <w:top w:val="nil"/>
              <w:left w:val="nil"/>
              <w:bottom w:val="single" w:sz="8" w:space="0" w:color="auto"/>
              <w:right w:val="single" w:sz="8" w:space="0" w:color="auto"/>
            </w:tcBorders>
            <w:shd w:val="clear" w:color="auto" w:fill="auto"/>
            <w:vAlign w:val="center"/>
            <w:hideMark/>
          </w:tcPr>
          <w:p w14:paraId="43D4CFB6" w14:textId="77777777" w:rsidR="00D62F9A" w:rsidRPr="00D62F9A" w:rsidRDefault="00D62F9A" w:rsidP="00D62F9A">
            <w:pP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w:t>
            </w:r>
          </w:p>
        </w:tc>
        <w:tc>
          <w:tcPr>
            <w:tcW w:w="1843" w:type="dxa"/>
            <w:tcBorders>
              <w:top w:val="nil"/>
              <w:left w:val="nil"/>
              <w:bottom w:val="single" w:sz="8" w:space="0" w:color="auto"/>
              <w:right w:val="single" w:sz="8" w:space="0" w:color="auto"/>
            </w:tcBorders>
            <w:shd w:val="clear" w:color="auto" w:fill="auto"/>
            <w:vAlign w:val="center"/>
            <w:hideMark/>
          </w:tcPr>
          <w:p w14:paraId="56314086"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DGCN </w:t>
            </w:r>
          </w:p>
        </w:tc>
      </w:tr>
    </w:tbl>
    <w:p w14:paraId="1D508505"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lastRenderedPageBreak/>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1E633E81" w14:textId="77777777" w:rsidR="00D62F9A" w:rsidRDefault="00D62F9A" w:rsidP="00D033EC">
      <w:pPr>
        <w:pStyle w:val="Default"/>
        <w:jc w:val="both"/>
        <w:rPr>
          <w:sz w:val="23"/>
          <w:szCs w:val="23"/>
          <w:lang w:val="es-CR"/>
        </w:rPr>
      </w:pPr>
    </w:p>
    <w:p w14:paraId="6DC413B6" w14:textId="0809E999" w:rsidR="00D62F9A" w:rsidRDefault="00CF2686" w:rsidP="00CF2686">
      <w:pPr>
        <w:pStyle w:val="Default"/>
        <w:ind w:left="1134" w:hanging="1134"/>
        <w:jc w:val="both"/>
        <w:rPr>
          <w:sz w:val="22"/>
          <w:szCs w:val="22"/>
          <w:lang w:val="es-CR"/>
        </w:rPr>
      </w:pPr>
      <w:r>
        <w:rPr>
          <w:sz w:val="22"/>
          <w:szCs w:val="22"/>
          <w:lang w:val="es-CR"/>
        </w:rPr>
        <w:t>6.43.0.01</w:t>
      </w:r>
      <w:r>
        <w:rPr>
          <w:sz w:val="22"/>
          <w:szCs w:val="22"/>
          <w:lang w:val="es-CR"/>
        </w:rPr>
        <w:tab/>
      </w:r>
      <w:r w:rsidR="00D62F9A" w:rsidRPr="00CF2686">
        <w:rPr>
          <w:sz w:val="22"/>
          <w:szCs w:val="22"/>
          <w:lang w:val="es-CR"/>
        </w:rPr>
        <w:t xml:space="preserve">Como criterio general el método a utilizar para la elaboración del EFE será el </w:t>
      </w:r>
      <w:r w:rsidR="00D62F9A" w:rsidRPr="00CF2686">
        <w:rPr>
          <w:b/>
          <w:bCs/>
          <w:sz w:val="22"/>
          <w:szCs w:val="22"/>
          <w:lang w:val="es-CR"/>
        </w:rPr>
        <w:t>“Método Directo”</w:t>
      </w:r>
      <w:r w:rsidR="00D62F9A" w:rsidRPr="00CF2686">
        <w:rPr>
          <w:sz w:val="22"/>
          <w:szCs w:val="22"/>
          <w:lang w:val="es-CR"/>
        </w:rPr>
        <w:t>, tomando los montos brutos a incorporar en dicho Estado de la base de datos del subsistema de contabilidad.</w:t>
      </w:r>
    </w:p>
    <w:p w14:paraId="36E4B3F2" w14:textId="77777777" w:rsidR="00DF5D4E" w:rsidRPr="00CF2686" w:rsidRDefault="00DF5D4E" w:rsidP="00CF2686">
      <w:pPr>
        <w:pStyle w:val="Default"/>
        <w:ind w:left="1134" w:hanging="1134"/>
        <w:jc w:val="both"/>
        <w:rPr>
          <w:sz w:val="22"/>
          <w:szCs w:val="22"/>
          <w:lang w:val="es-CR"/>
        </w:rPr>
      </w:pPr>
    </w:p>
    <w:p w14:paraId="10383EA0" w14:textId="551AD142" w:rsidR="00D62F9A" w:rsidRDefault="00CF2686" w:rsidP="00CF2686">
      <w:pPr>
        <w:pStyle w:val="Default"/>
        <w:ind w:left="1134" w:hanging="1134"/>
        <w:jc w:val="both"/>
        <w:rPr>
          <w:sz w:val="22"/>
          <w:szCs w:val="22"/>
          <w:lang w:val="es-CR"/>
        </w:rPr>
      </w:pPr>
      <w:r>
        <w:rPr>
          <w:sz w:val="22"/>
          <w:szCs w:val="22"/>
          <w:lang w:val="es-CR"/>
        </w:rPr>
        <w:t>6.43.</w:t>
      </w:r>
      <w:r w:rsidR="00D62F9A" w:rsidRPr="00CF2686">
        <w:rPr>
          <w:sz w:val="22"/>
          <w:szCs w:val="22"/>
          <w:lang w:val="es-CR"/>
        </w:rPr>
        <w:t>1.</w:t>
      </w:r>
      <w:r>
        <w:rPr>
          <w:sz w:val="22"/>
          <w:szCs w:val="22"/>
          <w:lang w:val="es-CR"/>
        </w:rPr>
        <w:t>01</w:t>
      </w:r>
      <w:r>
        <w:rPr>
          <w:sz w:val="22"/>
          <w:szCs w:val="22"/>
          <w:lang w:val="es-CR"/>
        </w:rPr>
        <w:tab/>
      </w:r>
      <w:r w:rsidR="00D62F9A" w:rsidRPr="00CF2686">
        <w:rPr>
          <w:sz w:val="22"/>
          <w:szCs w:val="22"/>
          <w:lang w:val="es-CR"/>
        </w:rPr>
        <w:t>En el método directo, la información acerca de las principales categorías de cobros o pagos en términos brutos puede ser obtenida por uno de los siguientes procedimientos:</w:t>
      </w:r>
    </w:p>
    <w:p w14:paraId="5EB592A8" w14:textId="77777777" w:rsidR="00DF5D4E" w:rsidRPr="00CF2686" w:rsidRDefault="00DF5D4E" w:rsidP="00CF2686">
      <w:pPr>
        <w:pStyle w:val="Default"/>
        <w:ind w:left="1134" w:hanging="1134"/>
        <w:jc w:val="both"/>
        <w:rPr>
          <w:sz w:val="22"/>
          <w:szCs w:val="22"/>
          <w:lang w:val="es-CR"/>
        </w:rPr>
      </w:pPr>
    </w:p>
    <w:p w14:paraId="58C748A8" w14:textId="1783F3D0" w:rsidR="00D62F9A" w:rsidRPr="00CF2686" w:rsidRDefault="00CF2686">
      <w:pPr>
        <w:pStyle w:val="Default"/>
        <w:numPr>
          <w:ilvl w:val="0"/>
          <w:numId w:val="363"/>
        </w:numPr>
        <w:spacing w:after="120"/>
        <w:ind w:left="1418" w:hanging="284"/>
        <w:jc w:val="both"/>
        <w:rPr>
          <w:sz w:val="22"/>
          <w:szCs w:val="22"/>
          <w:lang w:val="es-CR"/>
        </w:rPr>
      </w:pPr>
      <w:r>
        <w:rPr>
          <w:sz w:val="22"/>
          <w:szCs w:val="22"/>
          <w:lang w:val="es-CR"/>
        </w:rPr>
        <w:t>U</w:t>
      </w:r>
      <w:r w:rsidR="00D62F9A" w:rsidRPr="00CF2686">
        <w:rPr>
          <w:sz w:val="22"/>
          <w:szCs w:val="22"/>
          <w:lang w:val="es-CR"/>
        </w:rPr>
        <w:t xml:space="preserve">tilizando los registros contables de la entidad, o </w:t>
      </w:r>
    </w:p>
    <w:p w14:paraId="703B2846" w14:textId="75D94EAB" w:rsidR="00D62F9A" w:rsidRPr="00CF2686" w:rsidRDefault="00CF2686">
      <w:pPr>
        <w:pStyle w:val="Default"/>
        <w:numPr>
          <w:ilvl w:val="0"/>
          <w:numId w:val="363"/>
        </w:numPr>
        <w:spacing w:after="120"/>
        <w:ind w:left="1418" w:hanging="284"/>
        <w:jc w:val="both"/>
        <w:rPr>
          <w:sz w:val="22"/>
          <w:szCs w:val="22"/>
          <w:lang w:val="es-CR"/>
        </w:rPr>
      </w:pPr>
      <w:r>
        <w:rPr>
          <w:sz w:val="22"/>
          <w:szCs w:val="22"/>
          <w:lang w:val="es-CR"/>
        </w:rPr>
        <w:t>A</w:t>
      </w:r>
      <w:r w:rsidR="00D62F9A" w:rsidRPr="00CF2686">
        <w:rPr>
          <w:sz w:val="22"/>
          <w:szCs w:val="22"/>
          <w:lang w:val="es-CR"/>
        </w:rPr>
        <w:t xml:space="preserve">justando los ingresos y gastos de operación, así como otras partidas del ERF, en relación con: </w:t>
      </w:r>
    </w:p>
    <w:p w14:paraId="70CF5861" w14:textId="77777777" w:rsidR="00CF2686" w:rsidRDefault="00CF2686">
      <w:pPr>
        <w:pStyle w:val="Default"/>
        <w:numPr>
          <w:ilvl w:val="0"/>
          <w:numId w:val="354"/>
        </w:numPr>
        <w:spacing w:after="120"/>
        <w:ind w:left="1560" w:hanging="142"/>
        <w:jc w:val="both"/>
        <w:rPr>
          <w:sz w:val="22"/>
          <w:szCs w:val="22"/>
          <w:lang w:val="es-CR"/>
        </w:rPr>
      </w:pPr>
      <w:r>
        <w:rPr>
          <w:sz w:val="22"/>
          <w:szCs w:val="22"/>
          <w:lang w:val="es-CR"/>
        </w:rPr>
        <w:t>L</w:t>
      </w:r>
      <w:r w:rsidR="00D62F9A" w:rsidRPr="00CF2686">
        <w:rPr>
          <w:sz w:val="22"/>
          <w:szCs w:val="22"/>
          <w:lang w:val="es-CR"/>
        </w:rPr>
        <w:t xml:space="preserve">os cambios habidos durante el período en los inventarios y en las cuentas por cobrar y por pagar derivadas de las actividades de operación; </w:t>
      </w:r>
    </w:p>
    <w:p w14:paraId="2FD5C2A9" w14:textId="567B6397" w:rsidR="00CF2686" w:rsidRDefault="00CF2686">
      <w:pPr>
        <w:pStyle w:val="Default"/>
        <w:numPr>
          <w:ilvl w:val="0"/>
          <w:numId w:val="354"/>
        </w:numPr>
        <w:spacing w:after="120"/>
        <w:ind w:left="1560" w:hanging="142"/>
        <w:jc w:val="both"/>
        <w:rPr>
          <w:sz w:val="22"/>
          <w:szCs w:val="22"/>
          <w:lang w:val="es-CR"/>
        </w:rPr>
      </w:pPr>
      <w:r>
        <w:rPr>
          <w:sz w:val="22"/>
          <w:szCs w:val="22"/>
          <w:lang w:val="es-CR"/>
        </w:rPr>
        <w:t>O</w:t>
      </w:r>
      <w:r w:rsidR="00D62F9A" w:rsidRPr="00CF2686">
        <w:rPr>
          <w:sz w:val="22"/>
          <w:szCs w:val="22"/>
          <w:lang w:val="es-CR"/>
        </w:rPr>
        <w:t xml:space="preserve">tras partidas distintas del efectivo; y </w:t>
      </w:r>
    </w:p>
    <w:p w14:paraId="378A8BDB" w14:textId="369988AA" w:rsidR="00D62F9A" w:rsidRPr="00CF2686" w:rsidRDefault="00CF2686">
      <w:pPr>
        <w:pStyle w:val="Default"/>
        <w:numPr>
          <w:ilvl w:val="0"/>
          <w:numId w:val="354"/>
        </w:numPr>
        <w:spacing w:after="18"/>
        <w:ind w:left="1560" w:hanging="142"/>
        <w:jc w:val="both"/>
        <w:rPr>
          <w:sz w:val="22"/>
          <w:szCs w:val="22"/>
          <w:lang w:val="es-CR"/>
        </w:rPr>
      </w:pPr>
      <w:r>
        <w:rPr>
          <w:sz w:val="22"/>
          <w:szCs w:val="22"/>
          <w:lang w:val="es-CR"/>
        </w:rPr>
        <w:t>O</w:t>
      </w:r>
      <w:r w:rsidR="00D62F9A" w:rsidRPr="00CF2686">
        <w:rPr>
          <w:sz w:val="22"/>
          <w:szCs w:val="22"/>
          <w:lang w:val="es-CR"/>
        </w:rPr>
        <w:t xml:space="preserve">tras partidas cuyos efectos monetarios se consideran flujos de efectivo, de inversión o financiación. </w:t>
      </w:r>
    </w:p>
    <w:p w14:paraId="59241711" w14:textId="77777777" w:rsidR="00D62F9A" w:rsidRPr="00CF2686" w:rsidRDefault="00D62F9A" w:rsidP="00CF2686">
      <w:pPr>
        <w:pStyle w:val="Default"/>
        <w:jc w:val="both"/>
        <w:rPr>
          <w:sz w:val="22"/>
          <w:szCs w:val="22"/>
          <w:lang w:val="es-CR"/>
        </w:rPr>
      </w:pPr>
    </w:p>
    <w:p w14:paraId="5895BE17" w14:textId="50EB4164" w:rsidR="00D62F9A" w:rsidRDefault="00DF5D4E" w:rsidP="00DF5D4E">
      <w:pPr>
        <w:pStyle w:val="Default"/>
        <w:ind w:left="1134" w:hanging="1134"/>
        <w:jc w:val="both"/>
        <w:rPr>
          <w:sz w:val="22"/>
          <w:szCs w:val="22"/>
          <w:lang w:val="es-CR"/>
        </w:rPr>
      </w:pPr>
      <w:r>
        <w:rPr>
          <w:sz w:val="22"/>
          <w:szCs w:val="22"/>
          <w:lang w:val="es-CR"/>
        </w:rPr>
        <w:t>6.43.</w:t>
      </w:r>
      <w:r w:rsidR="00D62F9A" w:rsidRPr="00CF2686">
        <w:rPr>
          <w:sz w:val="22"/>
          <w:szCs w:val="22"/>
          <w:lang w:val="es-CR"/>
        </w:rPr>
        <w:t>2.</w:t>
      </w:r>
      <w:r>
        <w:rPr>
          <w:sz w:val="22"/>
          <w:szCs w:val="22"/>
          <w:lang w:val="es-CR"/>
        </w:rPr>
        <w:t>01</w:t>
      </w:r>
      <w:r>
        <w:rPr>
          <w:sz w:val="22"/>
          <w:szCs w:val="22"/>
          <w:lang w:val="es-CR"/>
        </w:rPr>
        <w:tab/>
      </w:r>
      <w:r w:rsidR="00D62F9A" w:rsidRPr="00CF2686">
        <w:rPr>
          <w:sz w:val="22"/>
          <w:szCs w:val="22"/>
          <w:lang w:val="es-CR"/>
        </w:rPr>
        <w:t xml:space="preserve">La </w:t>
      </w:r>
      <w:r>
        <w:rPr>
          <w:sz w:val="22"/>
          <w:szCs w:val="22"/>
          <w:lang w:val="es-CR"/>
        </w:rPr>
        <w:t>Municipalidad</w:t>
      </w:r>
      <w:r w:rsidR="00D62F9A" w:rsidRPr="00CF2686">
        <w:rPr>
          <w:sz w:val="22"/>
          <w:szCs w:val="22"/>
          <w:lang w:val="es-CR"/>
        </w:rPr>
        <w:t xml:space="preserve"> deben suministrar una conciliación entre el resultado de las actividades ordinarias y el flujo de efectivo neto de las actividades de operación. Esta conciliación puede presentarse como parte del EFE o en las notas a los EEFF.</w:t>
      </w:r>
    </w:p>
    <w:p w14:paraId="4BA17610" w14:textId="77777777" w:rsidR="00DF5D4E" w:rsidRPr="00CF2686" w:rsidRDefault="00DF5D4E" w:rsidP="00DF5D4E">
      <w:pPr>
        <w:pStyle w:val="Default"/>
        <w:ind w:left="1134" w:hanging="1134"/>
        <w:jc w:val="both"/>
        <w:rPr>
          <w:sz w:val="22"/>
          <w:szCs w:val="22"/>
          <w:lang w:val="es-CR"/>
        </w:rPr>
      </w:pPr>
    </w:p>
    <w:p w14:paraId="3684D5D5" w14:textId="69B1E26B" w:rsidR="00D62F9A" w:rsidRPr="00CF2686" w:rsidRDefault="00DF5D4E" w:rsidP="00DF5D4E">
      <w:pPr>
        <w:pStyle w:val="Default"/>
        <w:ind w:left="1134" w:hanging="1134"/>
        <w:jc w:val="both"/>
        <w:rPr>
          <w:sz w:val="22"/>
          <w:szCs w:val="22"/>
          <w:lang w:val="es-CR"/>
        </w:rPr>
      </w:pPr>
      <w:r>
        <w:rPr>
          <w:sz w:val="22"/>
          <w:szCs w:val="22"/>
          <w:lang w:val="es-CR"/>
        </w:rPr>
        <w:t>6.43.</w:t>
      </w:r>
      <w:r w:rsidR="00D62F9A" w:rsidRPr="00CF2686">
        <w:rPr>
          <w:sz w:val="22"/>
          <w:szCs w:val="22"/>
          <w:lang w:val="es-CR"/>
        </w:rPr>
        <w:t>3.</w:t>
      </w:r>
      <w:r>
        <w:rPr>
          <w:sz w:val="22"/>
          <w:szCs w:val="22"/>
          <w:lang w:val="es-CR"/>
        </w:rPr>
        <w:t>01</w:t>
      </w:r>
      <w:r>
        <w:rPr>
          <w:sz w:val="22"/>
          <w:szCs w:val="22"/>
          <w:lang w:val="es-CR"/>
        </w:rPr>
        <w:tab/>
      </w:r>
      <w:r w:rsidR="00D62F9A" w:rsidRPr="00CF2686">
        <w:rPr>
          <w:sz w:val="22"/>
          <w:szCs w:val="22"/>
          <w:lang w:val="es-CR"/>
        </w:rPr>
        <w:t>Para los tres primeros años desde el inicio de aplicación de las NICSP y hasta tanto se tenga la base contable completa y apta para producir en forma automática la presentación del EFE por el “Método Directo”, se realizará en forma manual.</w:t>
      </w:r>
    </w:p>
    <w:p w14:paraId="1C4A9280" w14:textId="77777777" w:rsidR="00D62F9A" w:rsidRDefault="00D62F9A" w:rsidP="00D033EC">
      <w:pPr>
        <w:pStyle w:val="Default"/>
        <w:jc w:val="both"/>
        <w:rPr>
          <w:sz w:val="23"/>
          <w:szCs w:val="23"/>
          <w:lang w:val="es-CR"/>
        </w:rPr>
      </w:pPr>
    </w:p>
    <w:p w14:paraId="0E7B10C9" w14:textId="77777777" w:rsidR="00032C24" w:rsidRDefault="00032C24" w:rsidP="00D033EC">
      <w:pPr>
        <w:pStyle w:val="Default"/>
        <w:jc w:val="both"/>
        <w:rPr>
          <w:sz w:val="23"/>
          <w:szCs w:val="23"/>
          <w:lang w:val="es-CR"/>
        </w:rPr>
      </w:pPr>
    </w:p>
    <w:p w14:paraId="67F6E2B7" w14:textId="77777777" w:rsidR="00D62F9A" w:rsidRDefault="00D62F9A"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87"/>
        <w:gridCol w:w="2254"/>
        <w:gridCol w:w="1855"/>
      </w:tblGrid>
      <w:tr w:rsidR="00D62F9A" w:rsidRPr="00D62F9A" w14:paraId="35CDF5B7" w14:textId="77777777" w:rsidTr="00032C24">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F554D77"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89AE70"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Concepto</w:t>
            </w:r>
          </w:p>
        </w:tc>
        <w:tc>
          <w:tcPr>
            <w:tcW w:w="4109" w:type="dxa"/>
            <w:gridSpan w:val="2"/>
            <w:tcBorders>
              <w:top w:val="single" w:sz="8" w:space="0" w:color="auto"/>
              <w:left w:val="nil"/>
              <w:bottom w:val="single" w:sz="8" w:space="0" w:color="auto"/>
              <w:right w:val="single" w:sz="8" w:space="0" w:color="000000"/>
            </w:tcBorders>
            <w:shd w:val="clear" w:color="000000" w:fill="203764"/>
            <w:vAlign w:val="center"/>
            <w:hideMark/>
          </w:tcPr>
          <w:p w14:paraId="2AF5E138"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Referencia</w:t>
            </w:r>
          </w:p>
        </w:tc>
      </w:tr>
      <w:tr w:rsidR="00D62F9A" w:rsidRPr="006E5442" w14:paraId="754CEF58" w14:textId="77777777" w:rsidTr="00032C24">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9583530" w14:textId="77777777" w:rsidR="00D62F9A" w:rsidRPr="00D62F9A" w:rsidRDefault="00D62F9A" w:rsidP="00D62F9A">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07FD45C3" w14:textId="77777777" w:rsidR="00D62F9A" w:rsidRPr="00D62F9A" w:rsidRDefault="00D62F9A" w:rsidP="00D62F9A">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1A69FCB8"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6F10DF21" w14:textId="77777777" w:rsidR="00D62F9A" w:rsidRPr="00D62F9A" w:rsidRDefault="00D62F9A" w:rsidP="00D62F9A">
            <w:pPr>
              <w:jc w:val="center"/>
              <w:rPr>
                <w:rFonts w:ascii="Arial Narrow" w:eastAsia="Times New Roman" w:hAnsi="Arial Narrow" w:cs="Calibri"/>
                <w:b/>
                <w:bCs/>
                <w:color w:val="FFFFFF"/>
                <w:sz w:val="22"/>
                <w:szCs w:val="22"/>
                <w:lang w:val="es-CR"/>
              </w:rPr>
            </w:pPr>
            <w:r w:rsidRPr="00D62F9A">
              <w:rPr>
                <w:rFonts w:ascii="Arial Narrow" w:eastAsia="Times New Roman" w:hAnsi="Arial Narrow" w:cs="Calibri"/>
                <w:b/>
                <w:bCs/>
                <w:color w:val="FFFFFF"/>
                <w:sz w:val="22"/>
                <w:szCs w:val="22"/>
                <w:lang w:val="es-CR"/>
              </w:rPr>
              <w:t>Normativa técnica y disposiciones adicionales</w:t>
            </w:r>
          </w:p>
        </w:tc>
      </w:tr>
      <w:tr w:rsidR="00D62F9A" w:rsidRPr="00D62F9A" w14:paraId="0F1EBC7D" w14:textId="77777777" w:rsidTr="00032C24">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86F4A3"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B63D9D3"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44</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10A82782"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1E004E04" w14:textId="77777777" w:rsidR="00D62F9A" w:rsidRPr="00D62F9A" w:rsidRDefault="00D62F9A" w:rsidP="00D62F9A">
            <w:pPr>
              <w:jc w:val="both"/>
              <w:rPr>
                <w:rFonts w:ascii="Arial Narrow" w:eastAsia="Times New Roman" w:hAnsi="Arial Narrow" w:cs="Calibri"/>
                <w:b/>
                <w:bCs/>
                <w:color w:val="000000"/>
                <w:sz w:val="22"/>
                <w:szCs w:val="22"/>
                <w:lang w:val="es-CR"/>
              </w:rPr>
            </w:pPr>
            <w:r w:rsidRPr="00D62F9A">
              <w:rPr>
                <w:rFonts w:ascii="Arial Narrow" w:eastAsia="Times New Roman" w:hAnsi="Arial Narrow" w:cs="Calibri"/>
                <w:b/>
                <w:bCs/>
                <w:color w:val="000000"/>
                <w:sz w:val="22"/>
                <w:szCs w:val="22"/>
                <w:lang w:val="es-CR"/>
              </w:rPr>
              <w:t>Flujos de efectivo en términos netos</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3D45C61D" w14:textId="77777777" w:rsidR="00032C24" w:rsidRDefault="00D62F9A" w:rsidP="00D62F9A">
            <w:pPr>
              <w:jc w:val="both"/>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NICSP N° 2,</w:t>
            </w:r>
          </w:p>
          <w:p w14:paraId="0CBDB43E" w14:textId="67337CC0" w:rsidR="00D62F9A" w:rsidRPr="00D62F9A" w:rsidRDefault="00D62F9A" w:rsidP="00D62F9A">
            <w:pPr>
              <w:jc w:val="both"/>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Párrafos 32 a 34.</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64B85842"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r>
    </w:tbl>
    <w:p w14:paraId="78BE6537" w14:textId="77777777" w:rsidR="00D62F9A" w:rsidRDefault="00D62F9A" w:rsidP="00D033EC">
      <w:pPr>
        <w:pStyle w:val="Default"/>
        <w:jc w:val="both"/>
        <w:rPr>
          <w:sz w:val="23"/>
          <w:szCs w:val="23"/>
          <w:lang w:val="es-CR"/>
        </w:rPr>
      </w:pPr>
    </w:p>
    <w:p w14:paraId="48B3620D"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07FFA56" w14:textId="77777777" w:rsidR="00032C24" w:rsidRDefault="00032C24" w:rsidP="00D033EC">
      <w:pPr>
        <w:pStyle w:val="Default"/>
        <w:jc w:val="both"/>
        <w:rPr>
          <w:sz w:val="23"/>
          <w:szCs w:val="23"/>
          <w:lang w:val="es-CR"/>
        </w:rPr>
      </w:pPr>
    </w:p>
    <w:p w14:paraId="109EA0D0" w14:textId="77777777" w:rsidR="00DF5D4E" w:rsidRDefault="00DF5D4E" w:rsidP="00DF5D4E">
      <w:pPr>
        <w:pStyle w:val="Default"/>
        <w:ind w:left="1134" w:hanging="1134"/>
        <w:jc w:val="both"/>
        <w:rPr>
          <w:sz w:val="22"/>
          <w:szCs w:val="22"/>
          <w:lang w:val="es-CR"/>
        </w:rPr>
      </w:pPr>
      <w:r>
        <w:rPr>
          <w:sz w:val="22"/>
          <w:szCs w:val="22"/>
          <w:lang w:val="es-CR"/>
        </w:rPr>
        <w:t>6.44.0.01</w:t>
      </w:r>
      <w:r>
        <w:rPr>
          <w:sz w:val="22"/>
          <w:szCs w:val="22"/>
          <w:lang w:val="es-CR"/>
        </w:rPr>
        <w:tab/>
      </w:r>
      <w:r w:rsidR="00D62F9A" w:rsidRPr="00DF5D4E">
        <w:rPr>
          <w:sz w:val="22"/>
          <w:szCs w:val="22"/>
          <w:lang w:val="es-CR"/>
        </w:rPr>
        <w:t>Los siguientes flujos de efectivo procedentes de los diferentes tipos de actividades de operación, de inversión y de financiación, pueden presentarse en términos netos:</w:t>
      </w:r>
    </w:p>
    <w:p w14:paraId="43406A07" w14:textId="2214BCE0" w:rsidR="00D62F9A" w:rsidRPr="00DF5D4E" w:rsidRDefault="00D62F9A" w:rsidP="00DF5D4E">
      <w:pPr>
        <w:pStyle w:val="Default"/>
        <w:ind w:left="1134" w:hanging="1134"/>
        <w:jc w:val="both"/>
        <w:rPr>
          <w:sz w:val="22"/>
          <w:szCs w:val="22"/>
          <w:lang w:val="es-CR"/>
        </w:rPr>
      </w:pPr>
      <w:r w:rsidRPr="00DF5D4E">
        <w:rPr>
          <w:sz w:val="22"/>
          <w:szCs w:val="22"/>
          <w:lang w:val="es-CR"/>
        </w:rPr>
        <w:t xml:space="preserve"> </w:t>
      </w:r>
    </w:p>
    <w:p w14:paraId="1D0BF43F" w14:textId="5D011ABB" w:rsidR="00D62F9A" w:rsidRPr="00C63C7A" w:rsidRDefault="00DF5D4E">
      <w:pPr>
        <w:pStyle w:val="Default"/>
        <w:numPr>
          <w:ilvl w:val="0"/>
          <w:numId w:val="364"/>
        </w:numPr>
        <w:ind w:left="1418" w:hanging="284"/>
        <w:jc w:val="both"/>
        <w:rPr>
          <w:sz w:val="22"/>
          <w:szCs w:val="22"/>
          <w:lang w:val="es-CR"/>
        </w:rPr>
      </w:pPr>
      <w:r w:rsidRPr="00C63C7A">
        <w:rPr>
          <w:sz w:val="22"/>
          <w:szCs w:val="22"/>
          <w:lang w:val="es-CR"/>
        </w:rPr>
        <w:t>C</w:t>
      </w:r>
      <w:r w:rsidR="00D62F9A" w:rsidRPr="00C63C7A">
        <w:rPr>
          <w:sz w:val="22"/>
          <w:szCs w:val="22"/>
          <w:lang w:val="es-CR"/>
        </w:rPr>
        <w:t xml:space="preserve">obros y pagos por cuenta de clientes, contribuyentes o beneficiarios, siempre y cuando los flujos de efectivo reflejen la actividad de la otra parte más la correspondiente a la entidad. Se refiere sólo a las transacciones en que los saldos de efectivo resultantes son controlados por la </w:t>
      </w:r>
      <w:r w:rsidRPr="00C63C7A">
        <w:rPr>
          <w:sz w:val="22"/>
          <w:szCs w:val="22"/>
          <w:lang w:val="es-CR"/>
        </w:rPr>
        <w:t>Municipalidad</w:t>
      </w:r>
      <w:r w:rsidR="00D62F9A" w:rsidRPr="00C63C7A">
        <w:rPr>
          <w:sz w:val="22"/>
          <w:szCs w:val="22"/>
          <w:lang w:val="es-CR"/>
        </w:rPr>
        <w:t>, por ejemplo:</w:t>
      </w:r>
    </w:p>
    <w:p w14:paraId="630E93E6" w14:textId="77777777" w:rsidR="00DF5D4E" w:rsidRPr="00DF5D4E" w:rsidRDefault="00DF5D4E" w:rsidP="00D62F9A">
      <w:pPr>
        <w:pStyle w:val="Default"/>
        <w:rPr>
          <w:sz w:val="22"/>
          <w:szCs w:val="22"/>
          <w:lang w:val="es-CR"/>
        </w:rPr>
      </w:pPr>
    </w:p>
    <w:p w14:paraId="6EA5CFDA" w14:textId="29A817E0" w:rsidR="00D62F9A" w:rsidRPr="00DF5D4E" w:rsidRDefault="00DF5D4E" w:rsidP="00032C24">
      <w:pPr>
        <w:pStyle w:val="Default"/>
        <w:numPr>
          <w:ilvl w:val="0"/>
          <w:numId w:val="365"/>
        </w:numPr>
        <w:spacing w:after="120"/>
        <w:ind w:left="1560" w:hanging="142"/>
        <w:jc w:val="both"/>
        <w:rPr>
          <w:sz w:val="22"/>
          <w:szCs w:val="22"/>
          <w:lang w:val="es-CR"/>
        </w:rPr>
      </w:pPr>
      <w:r>
        <w:rPr>
          <w:sz w:val="22"/>
          <w:szCs w:val="22"/>
          <w:lang w:val="es-CR"/>
        </w:rPr>
        <w:t>L</w:t>
      </w:r>
      <w:r w:rsidR="00D62F9A" w:rsidRPr="00DF5D4E">
        <w:rPr>
          <w:sz w:val="22"/>
          <w:szCs w:val="22"/>
          <w:lang w:val="es-CR"/>
        </w:rPr>
        <w:t xml:space="preserve">a recaudación de impuestos efectuada por </w:t>
      </w:r>
      <w:r>
        <w:rPr>
          <w:sz w:val="22"/>
          <w:szCs w:val="22"/>
          <w:lang w:val="es-CR"/>
        </w:rPr>
        <w:t>la Municipalidad</w:t>
      </w:r>
      <w:r w:rsidR="00D62F9A" w:rsidRPr="00DF5D4E">
        <w:rPr>
          <w:sz w:val="22"/>
          <w:szCs w:val="22"/>
          <w:lang w:val="es-CR"/>
        </w:rPr>
        <w:t xml:space="preserve"> por cuenta de</w:t>
      </w:r>
      <w:r>
        <w:rPr>
          <w:sz w:val="22"/>
          <w:szCs w:val="22"/>
          <w:lang w:val="es-CR"/>
        </w:rPr>
        <w:t>l Poder Ejecutivo u otro ente del Estado que corresponda</w:t>
      </w:r>
      <w:r w:rsidR="00D62F9A" w:rsidRPr="00DF5D4E">
        <w:rPr>
          <w:sz w:val="22"/>
          <w:szCs w:val="22"/>
          <w:lang w:val="es-CR"/>
        </w:rPr>
        <w:t xml:space="preserve">; </w:t>
      </w:r>
    </w:p>
    <w:p w14:paraId="4E6EE16F" w14:textId="174CF0FE" w:rsidR="00D62F9A" w:rsidRPr="00DF5D4E" w:rsidRDefault="00DF5D4E" w:rsidP="00032C24">
      <w:pPr>
        <w:pStyle w:val="Default"/>
        <w:numPr>
          <w:ilvl w:val="0"/>
          <w:numId w:val="365"/>
        </w:numPr>
        <w:spacing w:after="120"/>
        <w:ind w:left="1560" w:hanging="142"/>
        <w:jc w:val="both"/>
        <w:rPr>
          <w:sz w:val="22"/>
          <w:szCs w:val="22"/>
          <w:lang w:val="es-CR"/>
        </w:rPr>
      </w:pPr>
      <w:r>
        <w:rPr>
          <w:sz w:val="22"/>
          <w:szCs w:val="22"/>
          <w:lang w:val="es-CR"/>
        </w:rPr>
        <w:t>L</w:t>
      </w:r>
      <w:r w:rsidR="00D62F9A" w:rsidRPr="00DF5D4E">
        <w:rPr>
          <w:sz w:val="22"/>
          <w:szCs w:val="22"/>
          <w:lang w:val="es-CR"/>
        </w:rPr>
        <w:t xml:space="preserve">os alquileres cobrados por cuenta y pagados a los poseedores de propiedades de inversión; </w:t>
      </w:r>
    </w:p>
    <w:p w14:paraId="0ECB4275" w14:textId="457AA316" w:rsidR="00D62F9A" w:rsidRPr="00DF5D4E" w:rsidRDefault="00DF5D4E" w:rsidP="00032C24">
      <w:pPr>
        <w:pStyle w:val="Default"/>
        <w:numPr>
          <w:ilvl w:val="0"/>
          <w:numId w:val="365"/>
        </w:numPr>
        <w:spacing w:after="120"/>
        <w:ind w:left="1560" w:hanging="142"/>
        <w:jc w:val="both"/>
        <w:rPr>
          <w:sz w:val="22"/>
          <w:szCs w:val="22"/>
          <w:lang w:val="es-CR"/>
        </w:rPr>
      </w:pPr>
      <w:r>
        <w:rPr>
          <w:sz w:val="22"/>
          <w:szCs w:val="22"/>
          <w:lang w:val="es-CR"/>
        </w:rPr>
        <w:lastRenderedPageBreak/>
        <w:t>C</w:t>
      </w:r>
      <w:r w:rsidR="00D62F9A" w:rsidRPr="00DF5D4E">
        <w:rPr>
          <w:sz w:val="22"/>
          <w:szCs w:val="22"/>
          <w:lang w:val="es-CR"/>
        </w:rPr>
        <w:t xml:space="preserve">obros y pagos procedentes de partidas en las que la rotación es elevada, los importes grandes y el vencimiento próximo. Por ejemplo: </w:t>
      </w:r>
    </w:p>
    <w:p w14:paraId="26C141E5" w14:textId="79D07328" w:rsidR="00D62F9A" w:rsidRPr="00DF5D4E" w:rsidRDefault="00C63C7A" w:rsidP="00032C24">
      <w:pPr>
        <w:pStyle w:val="Default"/>
        <w:numPr>
          <w:ilvl w:val="0"/>
          <w:numId w:val="366"/>
        </w:numPr>
        <w:spacing w:after="120"/>
        <w:ind w:left="1843" w:hanging="283"/>
        <w:jc w:val="both"/>
        <w:rPr>
          <w:sz w:val="22"/>
          <w:szCs w:val="22"/>
          <w:lang w:val="es-CR"/>
        </w:rPr>
      </w:pPr>
      <w:r>
        <w:rPr>
          <w:sz w:val="22"/>
          <w:szCs w:val="22"/>
          <w:lang w:val="es-CR"/>
        </w:rPr>
        <w:t>L</w:t>
      </w:r>
      <w:r w:rsidR="00D62F9A" w:rsidRPr="00DF5D4E">
        <w:rPr>
          <w:sz w:val="22"/>
          <w:szCs w:val="22"/>
          <w:lang w:val="es-CR"/>
        </w:rPr>
        <w:t xml:space="preserve">a compra y venta de inversiones financieras; y </w:t>
      </w:r>
    </w:p>
    <w:p w14:paraId="5F09BB4B" w14:textId="2BA3089A" w:rsidR="00D62F9A" w:rsidRPr="00DF5D4E" w:rsidRDefault="00C63C7A" w:rsidP="00032C24">
      <w:pPr>
        <w:pStyle w:val="Default"/>
        <w:numPr>
          <w:ilvl w:val="0"/>
          <w:numId w:val="366"/>
        </w:numPr>
        <w:ind w:left="1843" w:hanging="283"/>
        <w:jc w:val="both"/>
        <w:rPr>
          <w:sz w:val="22"/>
          <w:szCs w:val="22"/>
          <w:lang w:val="es-CR"/>
        </w:rPr>
      </w:pPr>
      <w:r>
        <w:rPr>
          <w:sz w:val="22"/>
          <w:szCs w:val="22"/>
          <w:lang w:val="es-CR"/>
        </w:rPr>
        <w:t>O</w:t>
      </w:r>
      <w:r w:rsidR="00D62F9A" w:rsidRPr="00DF5D4E">
        <w:rPr>
          <w:sz w:val="22"/>
          <w:szCs w:val="22"/>
          <w:lang w:val="es-CR"/>
        </w:rPr>
        <w:t xml:space="preserve">tros préstamos a corto plazo, por ejemplo, los que tienen un período de vencimiento de tres meses o menos. </w:t>
      </w:r>
    </w:p>
    <w:p w14:paraId="3A11B46A" w14:textId="77777777" w:rsidR="00D62F9A" w:rsidRDefault="00D62F9A" w:rsidP="00D033EC">
      <w:pPr>
        <w:pStyle w:val="Default"/>
        <w:jc w:val="both"/>
        <w:rPr>
          <w:sz w:val="23"/>
          <w:szCs w:val="23"/>
          <w:lang w:val="es-CR"/>
        </w:rPr>
      </w:pPr>
    </w:p>
    <w:p w14:paraId="0FFEAD5E" w14:textId="77777777" w:rsidR="00D62F9A" w:rsidRDefault="00D62F9A" w:rsidP="00D033EC">
      <w:pPr>
        <w:pStyle w:val="Default"/>
        <w:jc w:val="both"/>
        <w:rPr>
          <w:sz w:val="23"/>
          <w:szCs w:val="23"/>
          <w:lang w:val="es-CR"/>
        </w:rPr>
      </w:pPr>
    </w:p>
    <w:p w14:paraId="573E2EBA" w14:textId="77777777" w:rsidR="00032C24" w:rsidRDefault="00032C24" w:rsidP="00D033EC">
      <w:pPr>
        <w:pStyle w:val="Default"/>
        <w:jc w:val="both"/>
        <w:rPr>
          <w:sz w:val="23"/>
          <w:szCs w:val="23"/>
          <w:lang w:val="es-CR"/>
        </w:rPr>
      </w:pPr>
    </w:p>
    <w:tbl>
      <w:tblPr>
        <w:tblW w:w="9346" w:type="dxa"/>
        <w:tblLook w:val="04A0" w:firstRow="1" w:lastRow="0" w:firstColumn="1" w:lastColumn="0" w:noHBand="0" w:noVBand="1"/>
      </w:tblPr>
      <w:tblGrid>
        <w:gridCol w:w="416"/>
        <w:gridCol w:w="662"/>
        <w:gridCol w:w="472"/>
        <w:gridCol w:w="3739"/>
        <w:gridCol w:w="2279"/>
        <w:gridCol w:w="1778"/>
      </w:tblGrid>
      <w:tr w:rsidR="00D62F9A" w:rsidRPr="00D62F9A" w14:paraId="626B74D9" w14:textId="77777777" w:rsidTr="00032C24">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5612D45"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Norma / Política</w:t>
            </w:r>
          </w:p>
        </w:tc>
        <w:tc>
          <w:tcPr>
            <w:tcW w:w="3739" w:type="dxa"/>
            <w:vMerge w:val="restart"/>
            <w:tcBorders>
              <w:top w:val="single" w:sz="8" w:space="0" w:color="auto"/>
              <w:left w:val="single" w:sz="8" w:space="0" w:color="auto"/>
              <w:bottom w:val="nil"/>
              <w:right w:val="single" w:sz="8" w:space="0" w:color="auto"/>
            </w:tcBorders>
            <w:shd w:val="clear" w:color="000000" w:fill="203764"/>
            <w:vAlign w:val="center"/>
            <w:hideMark/>
          </w:tcPr>
          <w:p w14:paraId="2C129F30"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Concepto</w:t>
            </w:r>
          </w:p>
        </w:tc>
        <w:tc>
          <w:tcPr>
            <w:tcW w:w="4057" w:type="dxa"/>
            <w:gridSpan w:val="2"/>
            <w:tcBorders>
              <w:top w:val="single" w:sz="8" w:space="0" w:color="auto"/>
              <w:left w:val="nil"/>
              <w:bottom w:val="single" w:sz="8" w:space="0" w:color="auto"/>
              <w:right w:val="single" w:sz="8" w:space="0" w:color="000000"/>
            </w:tcBorders>
            <w:shd w:val="clear" w:color="000000" w:fill="203764"/>
            <w:vAlign w:val="center"/>
            <w:hideMark/>
          </w:tcPr>
          <w:p w14:paraId="6171B64C"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Referencia</w:t>
            </w:r>
          </w:p>
        </w:tc>
      </w:tr>
      <w:tr w:rsidR="00D62F9A" w:rsidRPr="006E5442" w14:paraId="0C7CABC2" w14:textId="77777777" w:rsidTr="00032C24">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F6E909B" w14:textId="77777777" w:rsidR="00D62F9A" w:rsidRPr="00D62F9A" w:rsidRDefault="00D62F9A" w:rsidP="00D62F9A">
            <w:pPr>
              <w:rPr>
                <w:rFonts w:ascii="Arial Narrow" w:eastAsia="Times New Roman" w:hAnsi="Arial Narrow" w:cs="Calibri"/>
                <w:b/>
                <w:bCs/>
                <w:color w:val="FFFFFF"/>
                <w:sz w:val="22"/>
                <w:szCs w:val="22"/>
              </w:rPr>
            </w:pPr>
          </w:p>
        </w:tc>
        <w:tc>
          <w:tcPr>
            <w:tcW w:w="3739" w:type="dxa"/>
            <w:vMerge/>
            <w:tcBorders>
              <w:top w:val="single" w:sz="8" w:space="0" w:color="auto"/>
              <w:left w:val="single" w:sz="8" w:space="0" w:color="auto"/>
              <w:bottom w:val="nil"/>
              <w:right w:val="single" w:sz="8" w:space="0" w:color="auto"/>
            </w:tcBorders>
            <w:vAlign w:val="center"/>
            <w:hideMark/>
          </w:tcPr>
          <w:p w14:paraId="5FAE7A1A" w14:textId="77777777" w:rsidR="00D62F9A" w:rsidRPr="00D62F9A" w:rsidRDefault="00D62F9A" w:rsidP="00D62F9A">
            <w:pPr>
              <w:rPr>
                <w:rFonts w:ascii="Arial Narrow" w:eastAsia="Times New Roman" w:hAnsi="Arial Narrow" w:cs="Calibri"/>
                <w:b/>
                <w:bCs/>
                <w:color w:val="FFFFFF"/>
                <w:sz w:val="22"/>
                <w:szCs w:val="22"/>
              </w:rPr>
            </w:pPr>
          </w:p>
        </w:tc>
        <w:tc>
          <w:tcPr>
            <w:tcW w:w="2279" w:type="dxa"/>
            <w:tcBorders>
              <w:top w:val="nil"/>
              <w:left w:val="nil"/>
              <w:bottom w:val="nil"/>
              <w:right w:val="single" w:sz="8" w:space="0" w:color="auto"/>
            </w:tcBorders>
            <w:shd w:val="clear" w:color="000000" w:fill="203764"/>
            <w:vAlign w:val="center"/>
            <w:hideMark/>
          </w:tcPr>
          <w:p w14:paraId="438F1196" w14:textId="77777777" w:rsidR="00D62F9A" w:rsidRPr="00D62F9A" w:rsidRDefault="00D62F9A" w:rsidP="00D62F9A">
            <w:pPr>
              <w:jc w:val="center"/>
              <w:rPr>
                <w:rFonts w:ascii="Arial Narrow" w:eastAsia="Times New Roman" w:hAnsi="Arial Narrow" w:cs="Calibri"/>
                <w:b/>
                <w:bCs/>
                <w:color w:val="FFFFFF"/>
                <w:sz w:val="22"/>
                <w:szCs w:val="22"/>
              </w:rPr>
            </w:pPr>
            <w:r w:rsidRPr="00D62F9A">
              <w:rPr>
                <w:rFonts w:ascii="Arial Narrow" w:eastAsia="Times New Roman" w:hAnsi="Arial Narrow" w:cs="Calibri"/>
                <w:b/>
                <w:bCs/>
                <w:color w:val="FFFFFF"/>
                <w:sz w:val="22"/>
                <w:szCs w:val="22"/>
              </w:rPr>
              <w:t>Norma</w:t>
            </w:r>
          </w:p>
        </w:tc>
        <w:tc>
          <w:tcPr>
            <w:tcW w:w="1778" w:type="dxa"/>
            <w:tcBorders>
              <w:top w:val="nil"/>
              <w:left w:val="nil"/>
              <w:bottom w:val="nil"/>
              <w:right w:val="single" w:sz="8" w:space="0" w:color="auto"/>
            </w:tcBorders>
            <w:shd w:val="clear" w:color="000000" w:fill="203764"/>
            <w:vAlign w:val="center"/>
            <w:hideMark/>
          </w:tcPr>
          <w:p w14:paraId="62A26EAC" w14:textId="77777777" w:rsidR="00D62F9A" w:rsidRPr="00D62F9A" w:rsidRDefault="00D62F9A" w:rsidP="00D62F9A">
            <w:pPr>
              <w:jc w:val="center"/>
              <w:rPr>
                <w:rFonts w:ascii="Arial Narrow" w:eastAsia="Times New Roman" w:hAnsi="Arial Narrow" w:cs="Calibri"/>
                <w:b/>
                <w:bCs/>
                <w:color w:val="FFFFFF"/>
                <w:sz w:val="22"/>
                <w:szCs w:val="22"/>
                <w:lang w:val="es-CR"/>
              </w:rPr>
            </w:pPr>
            <w:r w:rsidRPr="00D62F9A">
              <w:rPr>
                <w:rFonts w:ascii="Arial Narrow" w:eastAsia="Times New Roman" w:hAnsi="Arial Narrow" w:cs="Calibri"/>
                <w:b/>
                <w:bCs/>
                <w:color w:val="FFFFFF"/>
                <w:sz w:val="22"/>
                <w:szCs w:val="22"/>
                <w:lang w:val="es-CR"/>
              </w:rPr>
              <w:t>Normativa técnica y disposiciones adicionales</w:t>
            </w:r>
          </w:p>
        </w:tc>
      </w:tr>
      <w:tr w:rsidR="00D62F9A" w:rsidRPr="00D62F9A" w14:paraId="228F4F39" w14:textId="77777777" w:rsidTr="00032C24">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D5DAD7" w14:textId="77777777" w:rsidR="00D62F9A" w:rsidRPr="00D62F9A" w:rsidRDefault="00D62F9A" w:rsidP="00032C24">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6</w:t>
            </w:r>
          </w:p>
        </w:tc>
        <w:tc>
          <w:tcPr>
            <w:tcW w:w="662" w:type="dxa"/>
            <w:tcBorders>
              <w:top w:val="single" w:sz="8" w:space="0" w:color="auto"/>
              <w:left w:val="nil"/>
              <w:bottom w:val="single" w:sz="8" w:space="0" w:color="auto"/>
              <w:right w:val="single" w:sz="8" w:space="0" w:color="auto"/>
            </w:tcBorders>
            <w:shd w:val="clear" w:color="auto" w:fill="auto"/>
            <w:vAlign w:val="center"/>
            <w:hideMark/>
          </w:tcPr>
          <w:p w14:paraId="183927C6" w14:textId="77777777" w:rsidR="00D62F9A" w:rsidRPr="00D62F9A" w:rsidRDefault="00D62F9A" w:rsidP="00032C24">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45</w:t>
            </w:r>
          </w:p>
        </w:tc>
        <w:tc>
          <w:tcPr>
            <w:tcW w:w="472" w:type="dxa"/>
            <w:tcBorders>
              <w:top w:val="single" w:sz="8" w:space="0" w:color="auto"/>
              <w:left w:val="nil"/>
              <w:bottom w:val="single" w:sz="8" w:space="0" w:color="auto"/>
              <w:right w:val="single" w:sz="8" w:space="0" w:color="auto"/>
            </w:tcBorders>
            <w:shd w:val="clear" w:color="auto" w:fill="auto"/>
            <w:vAlign w:val="center"/>
            <w:hideMark/>
          </w:tcPr>
          <w:p w14:paraId="63B79D36"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c>
          <w:tcPr>
            <w:tcW w:w="3739" w:type="dxa"/>
            <w:tcBorders>
              <w:top w:val="single" w:sz="8" w:space="0" w:color="auto"/>
              <w:left w:val="nil"/>
              <w:bottom w:val="single" w:sz="8" w:space="0" w:color="auto"/>
              <w:right w:val="single" w:sz="8" w:space="0" w:color="auto"/>
            </w:tcBorders>
            <w:shd w:val="clear" w:color="auto" w:fill="auto"/>
            <w:vAlign w:val="center"/>
            <w:hideMark/>
          </w:tcPr>
          <w:p w14:paraId="161708FF" w14:textId="77777777" w:rsidR="00D62F9A" w:rsidRPr="00D62F9A" w:rsidRDefault="00D62F9A" w:rsidP="00D62F9A">
            <w:pPr>
              <w:rPr>
                <w:rFonts w:ascii="Arial Narrow" w:eastAsia="Times New Roman" w:hAnsi="Arial Narrow" w:cs="Calibri"/>
                <w:b/>
                <w:bCs/>
                <w:color w:val="000000"/>
                <w:sz w:val="22"/>
                <w:szCs w:val="22"/>
                <w:lang w:val="es-CR"/>
              </w:rPr>
            </w:pPr>
            <w:r w:rsidRPr="00D62F9A">
              <w:rPr>
                <w:rFonts w:ascii="Arial Narrow" w:eastAsia="Times New Roman" w:hAnsi="Arial Narrow" w:cs="Calibri"/>
                <w:b/>
                <w:bCs/>
                <w:color w:val="000000"/>
                <w:sz w:val="22"/>
                <w:szCs w:val="22"/>
                <w:lang w:val="es-CR"/>
              </w:rPr>
              <w:t>Flujos de efectivo en moneda extranjera</w:t>
            </w:r>
          </w:p>
        </w:tc>
        <w:tc>
          <w:tcPr>
            <w:tcW w:w="2279" w:type="dxa"/>
            <w:tcBorders>
              <w:top w:val="single" w:sz="8" w:space="0" w:color="auto"/>
              <w:left w:val="nil"/>
              <w:bottom w:val="single" w:sz="8" w:space="0" w:color="auto"/>
              <w:right w:val="single" w:sz="8" w:space="0" w:color="auto"/>
            </w:tcBorders>
            <w:shd w:val="clear" w:color="auto" w:fill="auto"/>
            <w:vAlign w:val="center"/>
            <w:hideMark/>
          </w:tcPr>
          <w:p w14:paraId="0CC0D317" w14:textId="77777777" w:rsidR="00D62F9A" w:rsidRPr="00D62F9A" w:rsidRDefault="00D62F9A" w:rsidP="00D62F9A">
            <w:pP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NICSP N° 2, </w:t>
            </w:r>
            <w:r w:rsidRPr="00D62F9A">
              <w:rPr>
                <w:rFonts w:ascii="Arial Narrow" w:eastAsia="Times New Roman" w:hAnsi="Arial Narrow" w:cs="Calibri"/>
                <w:b/>
                <w:bCs/>
                <w:color w:val="000000"/>
                <w:sz w:val="22"/>
                <w:szCs w:val="22"/>
              </w:rPr>
              <w:br/>
              <w:t>Párrafos 36 y 39.</w:t>
            </w:r>
          </w:p>
        </w:tc>
        <w:tc>
          <w:tcPr>
            <w:tcW w:w="1778" w:type="dxa"/>
            <w:tcBorders>
              <w:top w:val="single" w:sz="8" w:space="0" w:color="auto"/>
              <w:left w:val="nil"/>
              <w:bottom w:val="single" w:sz="8" w:space="0" w:color="auto"/>
              <w:right w:val="single" w:sz="8" w:space="0" w:color="auto"/>
            </w:tcBorders>
            <w:shd w:val="clear" w:color="auto" w:fill="auto"/>
            <w:vAlign w:val="center"/>
            <w:hideMark/>
          </w:tcPr>
          <w:p w14:paraId="5C6ED286"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r>
      <w:tr w:rsidR="00D62F9A" w:rsidRPr="00D62F9A" w14:paraId="4C7AD738" w14:textId="77777777" w:rsidTr="00032C24">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EDF10CD" w14:textId="77777777" w:rsidR="00D62F9A" w:rsidRPr="00D62F9A" w:rsidRDefault="00D62F9A" w:rsidP="00032C24">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7E94732B" w14:textId="77777777" w:rsidR="00D62F9A" w:rsidRPr="00D62F9A" w:rsidRDefault="00D62F9A" w:rsidP="00032C24">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45</w:t>
            </w:r>
          </w:p>
        </w:tc>
        <w:tc>
          <w:tcPr>
            <w:tcW w:w="472" w:type="dxa"/>
            <w:tcBorders>
              <w:top w:val="nil"/>
              <w:left w:val="nil"/>
              <w:bottom w:val="single" w:sz="8" w:space="0" w:color="auto"/>
              <w:right w:val="nil"/>
            </w:tcBorders>
            <w:shd w:val="clear" w:color="auto" w:fill="auto"/>
            <w:vAlign w:val="center"/>
            <w:hideMark/>
          </w:tcPr>
          <w:p w14:paraId="20132BA3"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1</w:t>
            </w:r>
          </w:p>
        </w:tc>
        <w:tc>
          <w:tcPr>
            <w:tcW w:w="3739" w:type="dxa"/>
            <w:tcBorders>
              <w:top w:val="nil"/>
              <w:left w:val="single" w:sz="8" w:space="0" w:color="auto"/>
              <w:bottom w:val="single" w:sz="8" w:space="0" w:color="auto"/>
              <w:right w:val="single" w:sz="8" w:space="0" w:color="auto"/>
            </w:tcBorders>
            <w:shd w:val="clear" w:color="auto" w:fill="auto"/>
            <w:vAlign w:val="center"/>
            <w:hideMark/>
          </w:tcPr>
          <w:p w14:paraId="1A7DDF2A" w14:textId="77777777" w:rsidR="00D62F9A" w:rsidRPr="00D62F9A" w:rsidRDefault="00D62F9A" w:rsidP="00D62F9A">
            <w:pPr>
              <w:rPr>
                <w:rFonts w:ascii="Arial Narrow" w:eastAsia="Times New Roman" w:hAnsi="Arial Narrow" w:cs="Calibri"/>
                <w:b/>
                <w:bCs/>
                <w:color w:val="000000"/>
                <w:sz w:val="22"/>
                <w:szCs w:val="22"/>
                <w:lang w:val="es-CR"/>
              </w:rPr>
            </w:pPr>
            <w:r w:rsidRPr="00D62F9A">
              <w:rPr>
                <w:rFonts w:ascii="Arial Narrow" w:eastAsia="Times New Roman" w:hAnsi="Arial Narrow" w:cs="Calibri"/>
                <w:b/>
                <w:bCs/>
                <w:color w:val="000000"/>
                <w:sz w:val="22"/>
                <w:szCs w:val="22"/>
                <w:lang w:val="es-CR"/>
              </w:rPr>
              <w:t>Pérdidas y ganancias no realizadas</w:t>
            </w:r>
          </w:p>
        </w:tc>
        <w:tc>
          <w:tcPr>
            <w:tcW w:w="2279" w:type="dxa"/>
            <w:tcBorders>
              <w:top w:val="nil"/>
              <w:left w:val="nil"/>
              <w:bottom w:val="single" w:sz="8" w:space="0" w:color="auto"/>
              <w:right w:val="single" w:sz="8" w:space="0" w:color="auto"/>
            </w:tcBorders>
            <w:shd w:val="clear" w:color="auto" w:fill="auto"/>
            <w:vAlign w:val="center"/>
            <w:hideMark/>
          </w:tcPr>
          <w:p w14:paraId="69E704A7" w14:textId="77777777" w:rsidR="00D62F9A" w:rsidRPr="00D62F9A" w:rsidRDefault="00D62F9A" w:rsidP="00D62F9A">
            <w:pP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NICSP N° 2, </w:t>
            </w:r>
            <w:r w:rsidRPr="00D62F9A">
              <w:rPr>
                <w:rFonts w:ascii="Arial Narrow" w:eastAsia="Times New Roman" w:hAnsi="Arial Narrow" w:cs="Calibri"/>
                <w:b/>
                <w:bCs/>
                <w:color w:val="000000"/>
                <w:sz w:val="22"/>
                <w:szCs w:val="22"/>
              </w:rPr>
              <w:br/>
              <w:t>Párrafo 39.</w:t>
            </w:r>
          </w:p>
        </w:tc>
        <w:tc>
          <w:tcPr>
            <w:tcW w:w="1778" w:type="dxa"/>
            <w:tcBorders>
              <w:top w:val="nil"/>
              <w:left w:val="nil"/>
              <w:bottom w:val="single" w:sz="8" w:space="0" w:color="auto"/>
              <w:right w:val="single" w:sz="8" w:space="0" w:color="auto"/>
            </w:tcBorders>
            <w:shd w:val="clear" w:color="auto" w:fill="auto"/>
            <w:vAlign w:val="center"/>
            <w:hideMark/>
          </w:tcPr>
          <w:p w14:paraId="5EAA75EC" w14:textId="77777777" w:rsidR="00D62F9A" w:rsidRPr="00D62F9A" w:rsidRDefault="00D62F9A" w:rsidP="00D62F9A">
            <w:pPr>
              <w:jc w:val="center"/>
              <w:rPr>
                <w:rFonts w:ascii="Arial Narrow" w:eastAsia="Times New Roman" w:hAnsi="Arial Narrow" w:cs="Calibri"/>
                <w:b/>
                <w:bCs/>
                <w:color w:val="000000"/>
                <w:sz w:val="22"/>
                <w:szCs w:val="22"/>
              </w:rPr>
            </w:pPr>
            <w:r w:rsidRPr="00D62F9A">
              <w:rPr>
                <w:rFonts w:ascii="Arial Narrow" w:eastAsia="Times New Roman" w:hAnsi="Arial Narrow" w:cs="Calibri"/>
                <w:b/>
                <w:bCs/>
                <w:color w:val="000000"/>
                <w:sz w:val="22"/>
                <w:szCs w:val="22"/>
              </w:rPr>
              <w:t xml:space="preserve"> </w:t>
            </w:r>
          </w:p>
        </w:tc>
      </w:tr>
    </w:tbl>
    <w:p w14:paraId="13A719D8" w14:textId="77777777" w:rsidR="00D62F9A" w:rsidRDefault="00D62F9A" w:rsidP="00D033EC">
      <w:pPr>
        <w:pStyle w:val="Default"/>
        <w:jc w:val="both"/>
        <w:rPr>
          <w:sz w:val="23"/>
          <w:szCs w:val="23"/>
          <w:lang w:val="es-CR"/>
        </w:rPr>
      </w:pPr>
    </w:p>
    <w:p w14:paraId="404A63B5"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7229951D" w14:textId="77777777" w:rsidR="00032C24" w:rsidRDefault="00032C24" w:rsidP="00D033EC">
      <w:pPr>
        <w:pStyle w:val="Default"/>
        <w:jc w:val="both"/>
        <w:rPr>
          <w:sz w:val="23"/>
          <w:szCs w:val="23"/>
          <w:lang w:val="es-CR"/>
        </w:rPr>
      </w:pPr>
    </w:p>
    <w:p w14:paraId="4C95456C" w14:textId="06C4CEBA" w:rsidR="00D62F9A" w:rsidRPr="00C63C7A" w:rsidRDefault="00C63C7A" w:rsidP="00C63C7A">
      <w:pPr>
        <w:pStyle w:val="Default"/>
        <w:ind w:left="1134" w:hanging="1134"/>
        <w:jc w:val="both"/>
        <w:rPr>
          <w:sz w:val="22"/>
          <w:szCs w:val="22"/>
          <w:lang w:val="es-CR"/>
        </w:rPr>
      </w:pPr>
      <w:r>
        <w:rPr>
          <w:sz w:val="22"/>
          <w:szCs w:val="22"/>
          <w:lang w:val="es-CR"/>
        </w:rPr>
        <w:t>6.45.0.01</w:t>
      </w:r>
      <w:r>
        <w:rPr>
          <w:sz w:val="22"/>
          <w:szCs w:val="22"/>
          <w:lang w:val="es-CR"/>
        </w:rPr>
        <w:tab/>
      </w:r>
      <w:r w:rsidR="00D62F9A" w:rsidRPr="00C63C7A">
        <w:rPr>
          <w:sz w:val="22"/>
          <w:szCs w:val="22"/>
          <w:lang w:val="es-CR"/>
        </w:rPr>
        <w:t xml:space="preserve">Los flujos de efectivo procedentes de transacciones en moneda extranjera se convertirán a moneda funcional (Colones) aplicando al importe en moneda extranjera la tasa de cambio entre ambas monedas en la fecha en que se produjo cada flujo en cuestión. El efecto que la variación en las tasas de cambio tiene sobre el efectivo y los equivalentes al efectivo, mantenidos o debidos en moneda extranjera, será objeto de presentación en el EFE para permitir la conciliación entre las existencias de efectivo al inicio y al final del período. Este importe se presentará por separado de los flujos procedentes de las actividades de operación, de inversión y de financiación, y en el mismo se incluirán las diferencias que, en su caso, hubieran resultado de haber presentado esos flujos al tipo de cambio de cierre. </w:t>
      </w:r>
    </w:p>
    <w:p w14:paraId="5A8B11D0" w14:textId="77777777" w:rsidR="00C63C7A" w:rsidRDefault="00C63C7A" w:rsidP="00C63C7A">
      <w:pPr>
        <w:pStyle w:val="Default"/>
        <w:jc w:val="both"/>
        <w:rPr>
          <w:sz w:val="22"/>
          <w:szCs w:val="22"/>
          <w:lang w:val="es-CR"/>
        </w:rPr>
      </w:pPr>
    </w:p>
    <w:p w14:paraId="03633F7C" w14:textId="54F85877" w:rsidR="00D62F9A" w:rsidRPr="00C63C7A" w:rsidRDefault="00C63C7A" w:rsidP="00C63C7A">
      <w:pPr>
        <w:pStyle w:val="Default"/>
        <w:ind w:left="1134" w:hanging="1134"/>
        <w:jc w:val="both"/>
        <w:rPr>
          <w:sz w:val="22"/>
          <w:szCs w:val="22"/>
          <w:lang w:val="es-CR"/>
        </w:rPr>
      </w:pPr>
      <w:r>
        <w:rPr>
          <w:sz w:val="22"/>
          <w:szCs w:val="22"/>
          <w:lang w:val="es-CR"/>
        </w:rPr>
        <w:t>6.45.</w:t>
      </w:r>
      <w:r w:rsidR="00D62F9A" w:rsidRPr="00C63C7A">
        <w:rPr>
          <w:sz w:val="22"/>
          <w:szCs w:val="22"/>
          <w:lang w:val="es-CR"/>
        </w:rPr>
        <w:t>1.</w:t>
      </w:r>
      <w:r>
        <w:rPr>
          <w:sz w:val="22"/>
          <w:szCs w:val="22"/>
          <w:lang w:val="es-CR"/>
        </w:rPr>
        <w:t>01</w:t>
      </w:r>
      <w:r>
        <w:rPr>
          <w:sz w:val="22"/>
          <w:szCs w:val="22"/>
          <w:lang w:val="es-CR"/>
        </w:rPr>
        <w:tab/>
      </w:r>
      <w:r w:rsidR="00D62F9A" w:rsidRPr="00C63C7A">
        <w:rPr>
          <w:sz w:val="22"/>
          <w:szCs w:val="22"/>
          <w:lang w:val="es-CR"/>
        </w:rPr>
        <w:t>Las pérdidas o ganancias no realizadas, por diferencias de cambio en moneda extranjera, no generan flujos de efectivo.</w:t>
      </w:r>
    </w:p>
    <w:p w14:paraId="7F17B7AA" w14:textId="77777777" w:rsidR="00D62F9A" w:rsidRDefault="00D62F9A" w:rsidP="00D62F9A">
      <w:pPr>
        <w:pStyle w:val="Default"/>
        <w:jc w:val="both"/>
        <w:rPr>
          <w:sz w:val="23"/>
          <w:szCs w:val="23"/>
          <w:lang w:val="es-CR"/>
        </w:rPr>
      </w:pPr>
    </w:p>
    <w:p w14:paraId="3BDC26EF" w14:textId="77777777" w:rsidR="00C63C7A" w:rsidRDefault="00C63C7A" w:rsidP="00D62F9A">
      <w:pPr>
        <w:pStyle w:val="Default"/>
        <w:jc w:val="both"/>
        <w:rPr>
          <w:sz w:val="23"/>
          <w:szCs w:val="23"/>
          <w:lang w:val="es-CR"/>
        </w:rPr>
      </w:pPr>
    </w:p>
    <w:p w14:paraId="7C8D8C19" w14:textId="77777777" w:rsidR="00032C24" w:rsidRDefault="00032C24" w:rsidP="00D62F9A">
      <w:pPr>
        <w:pStyle w:val="Default"/>
        <w:jc w:val="both"/>
        <w:rPr>
          <w:sz w:val="23"/>
          <w:szCs w:val="23"/>
          <w:lang w:val="es-CR"/>
        </w:rPr>
      </w:pPr>
    </w:p>
    <w:tbl>
      <w:tblPr>
        <w:tblW w:w="9346" w:type="dxa"/>
        <w:tblLook w:val="04A0" w:firstRow="1" w:lastRow="0" w:firstColumn="1" w:lastColumn="0" w:noHBand="0" w:noVBand="1"/>
      </w:tblPr>
      <w:tblGrid>
        <w:gridCol w:w="416"/>
        <w:gridCol w:w="662"/>
        <w:gridCol w:w="472"/>
        <w:gridCol w:w="138"/>
        <w:gridCol w:w="3601"/>
        <w:gridCol w:w="138"/>
        <w:gridCol w:w="2141"/>
        <w:gridCol w:w="138"/>
        <w:gridCol w:w="1640"/>
      </w:tblGrid>
      <w:tr w:rsidR="00D576D7" w:rsidRPr="00D576D7" w14:paraId="47BC8BC3" w14:textId="77777777" w:rsidTr="00032C24">
        <w:trPr>
          <w:trHeight w:val="320"/>
        </w:trPr>
        <w:tc>
          <w:tcPr>
            <w:tcW w:w="1688"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AB79606"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 / Política</w:t>
            </w:r>
          </w:p>
        </w:tc>
        <w:tc>
          <w:tcPr>
            <w:tcW w:w="373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10033315"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Concepto</w:t>
            </w:r>
          </w:p>
        </w:tc>
        <w:tc>
          <w:tcPr>
            <w:tcW w:w="3919" w:type="dxa"/>
            <w:gridSpan w:val="3"/>
            <w:tcBorders>
              <w:top w:val="single" w:sz="8" w:space="0" w:color="auto"/>
              <w:left w:val="nil"/>
              <w:bottom w:val="single" w:sz="8" w:space="0" w:color="auto"/>
              <w:right w:val="single" w:sz="8" w:space="0" w:color="000000"/>
            </w:tcBorders>
            <w:shd w:val="clear" w:color="000000" w:fill="203764"/>
            <w:vAlign w:val="center"/>
            <w:hideMark/>
          </w:tcPr>
          <w:p w14:paraId="65CB6A5E"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Referencia</w:t>
            </w:r>
          </w:p>
        </w:tc>
      </w:tr>
      <w:tr w:rsidR="00D576D7" w:rsidRPr="006E5442" w14:paraId="2AE7300B" w14:textId="77777777" w:rsidTr="00032C24">
        <w:trPr>
          <w:trHeight w:val="850"/>
        </w:trPr>
        <w:tc>
          <w:tcPr>
            <w:tcW w:w="1688" w:type="dxa"/>
            <w:gridSpan w:val="4"/>
            <w:vMerge/>
            <w:tcBorders>
              <w:top w:val="single" w:sz="8" w:space="0" w:color="auto"/>
              <w:left w:val="single" w:sz="8" w:space="0" w:color="auto"/>
              <w:bottom w:val="nil"/>
              <w:right w:val="single" w:sz="8" w:space="0" w:color="000000"/>
            </w:tcBorders>
            <w:vAlign w:val="center"/>
            <w:hideMark/>
          </w:tcPr>
          <w:p w14:paraId="274A9C19" w14:textId="77777777" w:rsidR="00D576D7" w:rsidRPr="00D576D7" w:rsidRDefault="00D576D7" w:rsidP="00D576D7">
            <w:pPr>
              <w:rPr>
                <w:rFonts w:ascii="Arial Narrow" w:eastAsia="Times New Roman" w:hAnsi="Arial Narrow" w:cs="Calibri"/>
                <w:b/>
                <w:bCs/>
                <w:color w:val="FFFFFF"/>
                <w:sz w:val="22"/>
                <w:szCs w:val="22"/>
              </w:rPr>
            </w:pPr>
          </w:p>
        </w:tc>
        <w:tc>
          <w:tcPr>
            <w:tcW w:w="3739" w:type="dxa"/>
            <w:gridSpan w:val="2"/>
            <w:vMerge/>
            <w:tcBorders>
              <w:top w:val="single" w:sz="8" w:space="0" w:color="auto"/>
              <w:left w:val="single" w:sz="8" w:space="0" w:color="auto"/>
              <w:bottom w:val="nil"/>
              <w:right w:val="single" w:sz="8" w:space="0" w:color="auto"/>
            </w:tcBorders>
            <w:vAlign w:val="center"/>
            <w:hideMark/>
          </w:tcPr>
          <w:p w14:paraId="74531FE7" w14:textId="77777777" w:rsidR="00D576D7" w:rsidRPr="00D576D7" w:rsidRDefault="00D576D7" w:rsidP="00D576D7">
            <w:pPr>
              <w:rPr>
                <w:rFonts w:ascii="Arial Narrow" w:eastAsia="Times New Roman" w:hAnsi="Arial Narrow" w:cs="Calibri"/>
                <w:b/>
                <w:bCs/>
                <w:color w:val="FFFFFF"/>
                <w:sz w:val="22"/>
                <w:szCs w:val="22"/>
              </w:rPr>
            </w:pPr>
          </w:p>
        </w:tc>
        <w:tc>
          <w:tcPr>
            <w:tcW w:w="2279" w:type="dxa"/>
            <w:gridSpan w:val="2"/>
            <w:tcBorders>
              <w:top w:val="nil"/>
              <w:left w:val="nil"/>
              <w:bottom w:val="nil"/>
              <w:right w:val="single" w:sz="8" w:space="0" w:color="auto"/>
            </w:tcBorders>
            <w:shd w:val="clear" w:color="000000" w:fill="203764"/>
            <w:vAlign w:val="center"/>
            <w:hideMark/>
          </w:tcPr>
          <w:p w14:paraId="33FBE34B"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w:t>
            </w:r>
          </w:p>
        </w:tc>
        <w:tc>
          <w:tcPr>
            <w:tcW w:w="1640" w:type="dxa"/>
            <w:tcBorders>
              <w:top w:val="nil"/>
              <w:left w:val="nil"/>
              <w:bottom w:val="nil"/>
              <w:right w:val="single" w:sz="8" w:space="0" w:color="auto"/>
            </w:tcBorders>
            <w:shd w:val="clear" w:color="000000" w:fill="203764"/>
            <w:vAlign w:val="center"/>
            <w:hideMark/>
          </w:tcPr>
          <w:p w14:paraId="614B902E" w14:textId="77777777" w:rsidR="00D576D7" w:rsidRPr="00D576D7" w:rsidRDefault="00D576D7" w:rsidP="00D576D7">
            <w:pPr>
              <w:jc w:val="center"/>
              <w:rPr>
                <w:rFonts w:ascii="Arial Narrow" w:eastAsia="Times New Roman" w:hAnsi="Arial Narrow" w:cs="Calibri"/>
                <w:b/>
                <w:bCs/>
                <w:color w:val="FFFFFF"/>
                <w:sz w:val="22"/>
                <w:szCs w:val="22"/>
                <w:lang w:val="es-CR"/>
              </w:rPr>
            </w:pPr>
            <w:r w:rsidRPr="00D576D7">
              <w:rPr>
                <w:rFonts w:ascii="Arial Narrow" w:eastAsia="Times New Roman" w:hAnsi="Arial Narrow" w:cs="Calibri"/>
                <w:b/>
                <w:bCs/>
                <w:color w:val="FFFFFF"/>
                <w:sz w:val="22"/>
                <w:szCs w:val="22"/>
                <w:lang w:val="es-CR"/>
              </w:rPr>
              <w:t>Normativa técnica y disposiciones adicionales</w:t>
            </w:r>
          </w:p>
        </w:tc>
      </w:tr>
      <w:tr w:rsidR="00D576D7" w:rsidRPr="00D576D7" w14:paraId="0CC50C51" w14:textId="77777777" w:rsidTr="00032C24">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2AEF17" w14:textId="77777777" w:rsidR="00D576D7" w:rsidRPr="00D576D7" w:rsidRDefault="00D576D7" w:rsidP="00032C24">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6</w:t>
            </w:r>
          </w:p>
        </w:tc>
        <w:tc>
          <w:tcPr>
            <w:tcW w:w="662" w:type="dxa"/>
            <w:tcBorders>
              <w:top w:val="single" w:sz="8" w:space="0" w:color="auto"/>
              <w:left w:val="nil"/>
              <w:bottom w:val="single" w:sz="8" w:space="0" w:color="auto"/>
              <w:right w:val="single" w:sz="8" w:space="0" w:color="auto"/>
            </w:tcBorders>
            <w:shd w:val="clear" w:color="auto" w:fill="auto"/>
            <w:vAlign w:val="center"/>
            <w:hideMark/>
          </w:tcPr>
          <w:p w14:paraId="4422F7B5" w14:textId="77777777" w:rsidR="00D576D7" w:rsidRPr="00D576D7" w:rsidRDefault="00D576D7" w:rsidP="00D576D7">
            <w:pPr>
              <w:ind w:firstLineChars="100" w:firstLine="220"/>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46</w:t>
            </w:r>
          </w:p>
        </w:tc>
        <w:tc>
          <w:tcPr>
            <w:tcW w:w="472" w:type="dxa"/>
            <w:tcBorders>
              <w:top w:val="single" w:sz="8" w:space="0" w:color="auto"/>
              <w:left w:val="nil"/>
              <w:bottom w:val="single" w:sz="8" w:space="0" w:color="auto"/>
              <w:right w:val="single" w:sz="8" w:space="0" w:color="auto"/>
            </w:tcBorders>
            <w:shd w:val="clear" w:color="auto" w:fill="auto"/>
            <w:vAlign w:val="center"/>
            <w:hideMark/>
          </w:tcPr>
          <w:p w14:paraId="0C85B6FF"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c>
          <w:tcPr>
            <w:tcW w:w="3739" w:type="dxa"/>
            <w:gridSpan w:val="2"/>
            <w:tcBorders>
              <w:top w:val="single" w:sz="8" w:space="0" w:color="auto"/>
              <w:left w:val="nil"/>
              <w:bottom w:val="single" w:sz="8" w:space="0" w:color="auto"/>
              <w:right w:val="single" w:sz="8" w:space="0" w:color="auto"/>
            </w:tcBorders>
            <w:shd w:val="clear" w:color="auto" w:fill="auto"/>
            <w:vAlign w:val="center"/>
            <w:hideMark/>
          </w:tcPr>
          <w:p w14:paraId="00CA0FC2" w14:textId="77777777" w:rsidR="00D576D7" w:rsidRPr="00D576D7" w:rsidRDefault="00D576D7" w:rsidP="00D576D7">
            <w:pPr>
              <w:rPr>
                <w:rFonts w:ascii="Arial Narrow" w:eastAsia="Times New Roman" w:hAnsi="Arial Narrow" w:cs="Calibri"/>
                <w:b/>
                <w:bCs/>
                <w:color w:val="000000"/>
                <w:sz w:val="22"/>
                <w:szCs w:val="22"/>
                <w:lang w:val="es-CR"/>
              </w:rPr>
            </w:pPr>
            <w:r w:rsidRPr="00D576D7">
              <w:rPr>
                <w:rFonts w:ascii="Arial Narrow" w:eastAsia="Times New Roman" w:hAnsi="Arial Narrow" w:cs="Calibri"/>
                <w:b/>
                <w:bCs/>
                <w:color w:val="000000"/>
                <w:sz w:val="22"/>
                <w:szCs w:val="22"/>
                <w:lang w:val="es-CR"/>
              </w:rPr>
              <w:t>Flujos de efectivo en moneda extranjera</w:t>
            </w:r>
          </w:p>
        </w:tc>
        <w:tc>
          <w:tcPr>
            <w:tcW w:w="2279" w:type="dxa"/>
            <w:gridSpan w:val="2"/>
            <w:tcBorders>
              <w:top w:val="single" w:sz="8" w:space="0" w:color="auto"/>
              <w:left w:val="nil"/>
              <w:bottom w:val="single" w:sz="8" w:space="0" w:color="auto"/>
              <w:right w:val="single" w:sz="8" w:space="0" w:color="auto"/>
            </w:tcBorders>
            <w:shd w:val="clear" w:color="auto" w:fill="auto"/>
            <w:vAlign w:val="center"/>
            <w:hideMark/>
          </w:tcPr>
          <w:p w14:paraId="62CB4504" w14:textId="77777777" w:rsidR="00D576D7" w:rsidRPr="00D576D7" w:rsidRDefault="00D576D7" w:rsidP="00D576D7">
            <w:pP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NICSP N° 4, </w:t>
            </w:r>
            <w:r w:rsidRPr="00D576D7">
              <w:rPr>
                <w:rFonts w:ascii="Arial Narrow" w:eastAsia="Times New Roman" w:hAnsi="Arial Narrow" w:cs="Calibri"/>
                <w:b/>
                <w:bCs/>
                <w:color w:val="000000"/>
                <w:sz w:val="22"/>
                <w:szCs w:val="22"/>
              </w:rPr>
              <w:br/>
              <w:t>Párrafo 26.</w:t>
            </w:r>
          </w:p>
        </w:tc>
        <w:tc>
          <w:tcPr>
            <w:tcW w:w="1778" w:type="dxa"/>
            <w:gridSpan w:val="2"/>
            <w:tcBorders>
              <w:top w:val="single" w:sz="8" w:space="0" w:color="auto"/>
              <w:left w:val="nil"/>
              <w:bottom w:val="single" w:sz="8" w:space="0" w:color="auto"/>
              <w:right w:val="single" w:sz="8" w:space="0" w:color="auto"/>
            </w:tcBorders>
            <w:shd w:val="clear" w:color="auto" w:fill="auto"/>
            <w:vAlign w:val="center"/>
            <w:hideMark/>
          </w:tcPr>
          <w:p w14:paraId="2B23857E"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r>
      <w:tr w:rsidR="00D576D7" w:rsidRPr="00D576D7" w14:paraId="02E0CCF7" w14:textId="77777777" w:rsidTr="00032C24">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E763539" w14:textId="77777777" w:rsidR="00D576D7" w:rsidRPr="00D576D7" w:rsidRDefault="00D576D7" w:rsidP="00032C24">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17E4B595" w14:textId="77777777" w:rsidR="00D576D7" w:rsidRPr="00D576D7" w:rsidRDefault="00D576D7" w:rsidP="00D576D7">
            <w:pPr>
              <w:ind w:firstLineChars="100" w:firstLine="220"/>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46</w:t>
            </w:r>
          </w:p>
        </w:tc>
        <w:tc>
          <w:tcPr>
            <w:tcW w:w="472" w:type="dxa"/>
            <w:tcBorders>
              <w:top w:val="nil"/>
              <w:left w:val="nil"/>
              <w:bottom w:val="single" w:sz="8" w:space="0" w:color="auto"/>
              <w:right w:val="nil"/>
            </w:tcBorders>
            <w:shd w:val="clear" w:color="auto" w:fill="auto"/>
            <w:vAlign w:val="center"/>
            <w:hideMark/>
          </w:tcPr>
          <w:p w14:paraId="3C16E1EE"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1</w:t>
            </w:r>
          </w:p>
        </w:tc>
        <w:tc>
          <w:tcPr>
            <w:tcW w:w="3739" w:type="dxa"/>
            <w:gridSpan w:val="2"/>
            <w:tcBorders>
              <w:top w:val="nil"/>
              <w:left w:val="single" w:sz="8" w:space="0" w:color="auto"/>
              <w:bottom w:val="single" w:sz="8" w:space="0" w:color="auto"/>
              <w:right w:val="single" w:sz="8" w:space="0" w:color="auto"/>
            </w:tcBorders>
            <w:shd w:val="clear" w:color="auto" w:fill="auto"/>
            <w:vAlign w:val="center"/>
            <w:hideMark/>
          </w:tcPr>
          <w:p w14:paraId="54E64844" w14:textId="77777777" w:rsidR="00D576D7" w:rsidRPr="00D576D7" w:rsidRDefault="00D576D7" w:rsidP="00D576D7">
            <w:pP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Identificación</w:t>
            </w:r>
          </w:p>
        </w:tc>
        <w:tc>
          <w:tcPr>
            <w:tcW w:w="2279" w:type="dxa"/>
            <w:gridSpan w:val="2"/>
            <w:tcBorders>
              <w:top w:val="nil"/>
              <w:left w:val="nil"/>
              <w:bottom w:val="single" w:sz="8" w:space="0" w:color="auto"/>
              <w:right w:val="single" w:sz="8" w:space="0" w:color="auto"/>
            </w:tcBorders>
            <w:shd w:val="clear" w:color="auto" w:fill="auto"/>
            <w:vAlign w:val="center"/>
            <w:hideMark/>
          </w:tcPr>
          <w:p w14:paraId="216F4C9F" w14:textId="77777777" w:rsidR="00D576D7" w:rsidRPr="00D576D7" w:rsidRDefault="00D576D7" w:rsidP="00D576D7">
            <w:pP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c>
          <w:tcPr>
            <w:tcW w:w="1778" w:type="dxa"/>
            <w:gridSpan w:val="2"/>
            <w:tcBorders>
              <w:top w:val="nil"/>
              <w:left w:val="nil"/>
              <w:bottom w:val="single" w:sz="8" w:space="0" w:color="auto"/>
              <w:right w:val="single" w:sz="8" w:space="0" w:color="auto"/>
            </w:tcBorders>
            <w:shd w:val="clear" w:color="auto" w:fill="auto"/>
            <w:vAlign w:val="center"/>
            <w:hideMark/>
          </w:tcPr>
          <w:p w14:paraId="45DB232A"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DGCN</w:t>
            </w:r>
          </w:p>
        </w:tc>
      </w:tr>
    </w:tbl>
    <w:p w14:paraId="431818D3" w14:textId="77777777" w:rsidR="00D62F9A" w:rsidRDefault="00D62F9A" w:rsidP="00D62F9A">
      <w:pPr>
        <w:pStyle w:val="Default"/>
        <w:jc w:val="both"/>
        <w:rPr>
          <w:sz w:val="23"/>
          <w:szCs w:val="23"/>
          <w:lang w:val="es-CR"/>
        </w:rPr>
      </w:pPr>
    </w:p>
    <w:p w14:paraId="44E3399B"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2196FD0" w14:textId="77777777" w:rsidR="00032C24" w:rsidRDefault="00032C24" w:rsidP="00D62F9A">
      <w:pPr>
        <w:pStyle w:val="Default"/>
        <w:jc w:val="both"/>
        <w:rPr>
          <w:sz w:val="23"/>
          <w:szCs w:val="23"/>
          <w:lang w:val="es-CR"/>
        </w:rPr>
      </w:pPr>
    </w:p>
    <w:p w14:paraId="6CBD8EC3" w14:textId="65753B0C" w:rsidR="00D576D7" w:rsidRPr="00C63C7A" w:rsidRDefault="00C63C7A" w:rsidP="00C63C7A">
      <w:pPr>
        <w:pStyle w:val="Default"/>
        <w:ind w:left="1134" w:hanging="1134"/>
        <w:jc w:val="both"/>
        <w:rPr>
          <w:sz w:val="22"/>
          <w:szCs w:val="22"/>
          <w:lang w:val="es-CR"/>
        </w:rPr>
      </w:pPr>
      <w:r w:rsidRPr="00C63C7A">
        <w:rPr>
          <w:sz w:val="22"/>
          <w:szCs w:val="22"/>
          <w:lang w:val="es-CR"/>
        </w:rPr>
        <w:t>6.46.0.01</w:t>
      </w:r>
      <w:r w:rsidRPr="00C63C7A">
        <w:rPr>
          <w:sz w:val="22"/>
          <w:szCs w:val="22"/>
          <w:lang w:val="es-CR"/>
        </w:rPr>
        <w:tab/>
      </w:r>
      <w:r w:rsidR="00D576D7" w:rsidRPr="00C63C7A">
        <w:rPr>
          <w:sz w:val="22"/>
          <w:szCs w:val="22"/>
          <w:lang w:val="es-CR"/>
        </w:rPr>
        <w:t xml:space="preserve">Las </w:t>
      </w:r>
      <w:r w:rsidR="00D576D7" w:rsidRPr="00C63C7A">
        <w:rPr>
          <w:b/>
          <w:bCs/>
          <w:sz w:val="22"/>
          <w:szCs w:val="22"/>
          <w:lang w:val="es-CR"/>
        </w:rPr>
        <w:t xml:space="preserve">variaciones en la tasa de cambio </w:t>
      </w:r>
      <w:r w:rsidR="00D576D7" w:rsidRPr="00C63C7A">
        <w:rPr>
          <w:sz w:val="22"/>
          <w:szCs w:val="22"/>
          <w:lang w:val="es-CR"/>
        </w:rPr>
        <w:t xml:space="preserve">pueden tener efectos en el efectivo o equivalentes de efectivo que la entidad tiene o adeuda en moneda extranjera. Aunque estos cambios no son flujos de efectivo, el efecto de las variaciones de las tasas de cambio sobre el efectivo y los equivalentes al efectivo, mantenidos o adeudados en moneda extranjera, será objeto de presentación en el EFE para permitir la conciliación entre el efectivo y equivalentes al efectivo al principio y al final del </w:t>
      </w:r>
      <w:r w:rsidR="00D576D7" w:rsidRPr="00C63C7A">
        <w:rPr>
          <w:sz w:val="22"/>
          <w:szCs w:val="22"/>
          <w:lang w:val="es-CR"/>
        </w:rPr>
        <w:lastRenderedPageBreak/>
        <w:t>período. Estos importes se presentan separadamente, según provengan de las actividades de operación, inversión o financiación, e incluyen las diferencias que se hubieran producido si dichos flujos de efectivo se hubieran presentado al tipo de cambio del final del ejercicio.</w:t>
      </w:r>
    </w:p>
    <w:p w14:paraId="57E708B7" w14:textId="77777777" w:rsidR="00C63C7A" w:rsidRPr="00C63C7A" w:rsidRDefault="00C63C7A" w:rsidP="00C63C7A">
      <w:pPr>
        <w:pStyle w:val="Default"/>
        <w:ind w:left="1134" w:hanging="1134"/>
        <w:jc w:val="both"/>
        <w:rPr>
          <w:sz w:val="22"/>
          <w:szCs w:val="22"/>
          <w:lang w:val="es-CR"/>
        </w:rPr>
      </w:pPr>
    </w:p>
    <w:p w14:paraId="745B1C33" w14:textId="4B99C707" w:rsidR="00D62F9A" w:rsidRPr="00C63C7A" w:rsidRDefault="00C63C7A" w:rsidP="00C63C7A">
      <w:pPr>
        <w:pStyle w:val="Default"/>
        <w:ind w:left="1134" w:hanging="1134"/>
        <w:jc w:val="both"/>
        <w:rPr>
          <w:sz w:val="22"/>
          <w:szCs w:val="22"/>
          <w:lang w:val="es-CR"/>
        </w:rPr>
      </w:pPr>
      <w:r w:rsidRPr="00C63C7A">
        <w:rPr>
          <w:sz w:val="22"/>
          <w:szCs w:val="22"/>
          <w:lang w:val="es-CR"/>
        </w:rPr>
        <w:t>6.46.</w:t>
      </w:r>
      <w:r w:rsidR="00D576D7" w:rsidRPr="00C63C7A">
        <w:rPr>
          <w:sz w:val="22"/>
          <w:szCs w:val="22"/>
          <w:lang w:val="es-CR"/>
        </w:rPr>
        <w:t>1.</w:t>
      </w:r>
      <w:r w:rsidRPr="00C63C7A">
        <w:rPr>
          <w:sz w:val="22"/>
          <w:szCs w:val="22"/>
          <w:lang w:val="es-CR"/>
        </w:rPr>
        <w:t>01</w:t>
      </w:r>
      <w:r w:rsidRPr="00C63C7A">
        <w:rPr>
          <w:sz w:val="22"/>
          <w:szCs w:val="22"/>
          <w:lang w:val="es-CR"/>
        </w:rPr>
        <w:tab/>
      </w:r>
      <w:r w:rsidR="00D576D7" w:rsidRPr="00C63C7A">
        <w:rPr>
          <w:sz w:val="22"/>
          <w:szCs w:val="22"/>
          <w:lang w:val="es-CR"/>
        </w:rPr>
        <w:t>Como caso de excepción, si resultare complejo o costoso la identificación separada de las actividades de operación, inversión o financiación, las diferencias de cambios serán imputadas como de financiación, debiendo explicar en Nota las razones de tal impedimento.</w:t>
      </w:r>
    </w:p>
    <w:p w14:paraId="050D297F" w14:textId="77777777" w:rsidR="00D62F9A" w:rsidRDefault="00D62F9A" w:rsidP="00C63C7A">
      <w:pPr>
        <w:pStyle w:val="Default"/>
        <w:jc w:val="both"/>
        <w:rPr>
          <w:sz w:val="23"/>
          <w:szCs w:val="23"/>
          <w:lang w:val="es-CR"/>
        </w:rPr>
      </w:pPr>
    </w:p>
    <w:p w14:paraId="30C4EA9C" w14:textId="77777777" w:rsidR="00032C24" w:rsidRDefault="00032C24" w:rsidP="00C63C7A">
      <w:pPr>
        <w:pStyle w:val="Default"/>
        <w:jc w:val="both"/>
        <w:rPr>
          <w:sz w:val="23"/>
          <w:szCs w:val="23"/>
          <w:lang w:val="es-CR"/>
        </w:rPr>
      </w:pPr>
    </w:p>
    <w:p w14:paraId="6F276E4D" w14:textId="77777777" w:rsidR="00D62F9A" w:rsidRPr="00D62F9A" w:rsidRDefault="00D62F9A" w:rsidP="00D62F9A">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87"/>
        <w:gridCol w:w="2254"/>
        <w:gridCol w:w="1855"/>
      </w:tblGrid>
      <w:tr w:rsidR="00D576D7" w:rsidRPr="00D576D7" w14:paraId="3CB35F2B" w14:textId="77777777" w:rsidTr="00032C24">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5184B19"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0005CE56"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Concepto</w:t>
            </w:r>
          </w:p>
        </w:tc>
        <w:tc>
          <w:tcPr>
            <w:tcW w:w="4109" w:type="dxa"/>
            <w:gridSpan w:val="2"/>
            <w:tcBorders>
              <w:top w:val="single" w:sz="8" w:space="0" w:color="auto"/>
              <w:left w:val="nil"/>
              <w:bottom w:val="single" w:sz="8" w:space="0" w:color="auto"/>
              <w:right w:val="single" w:sz="8" w:space="0" w:color="000000"/>
            </w:tcBorders>
            <w:shd w:val="clear" w:color="000000" w:fill="203764"/>
            <w:vAlign w:val="center"/>
            <w:hideMark/>
          </w:tcPr>
          <w:p w14:paraId="79C95AF5"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Referencia</w:t>
            </w:r>
          </w:p>
        </w:tc>
      </w:tr>
      <w:tr w:rsidR="00D576D7" w:rsidRPr="006E5442" w14:paraId="2C71E4E0" w14:textId="77777777" w:rsidTr="00032C24">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856C71E" w14:textId="77777777" w:rsidR="00D576D7" w:rsidRPr="00D576D7" w:rsidRDefault="00D576D7" w:rsidP="00D576D7">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4421A337" w14:textId="77777777" w:rsidR="00D576D7" w:rsidRPr="00D576D7" w:rsidRDefault="00D576D7" w:rsidP="00D576D7">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597F3C3C"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0136C00A" w14:textId="77777777" w:rsidR="00D576D7" w:rsidRPr="00D576D7" w:rsidRDefault="00D576D7" w:rsidP="00D576D7">
            <w:pPr>
              <w:jc w:val="center"/>
              <w:rPr>
                <w:rFonts w:ascii="Arial Narrow" w:eastAsia="Times New Roman" w:hAnsi="Arial Narrow" w:cs="Calibri"/>
                <w:b/>
                <w:bCs/>
                <w:color w:val="FFFFFF"/>
                <w:sz w:val="22"/>
                <w:szCs w:val="22"/>
                <w:lang w:val="es-CR"/>
              </w:rPr>
            </w:pPr>
            <w:r w:rsidRPr="00D576D7">
              <w:rPr>
                <w:rFonts w:ascii="Arial Narrow" w:eastAsia="Times New Roman" w:hAnsi="Arial Narrow" w:cs="Calibri"/>
                <w:b/>
                <w:bCs/>
                <w:color w:val="FFFFFF"/>
                <w:sz w:val="22"/>
                <w:szCs w:val="22"/>
                <w:lang w:val="es-CR"/>
              </w:rPr>
              <w:t>Normativa técnica y disposiciones adicionales</w:t>
            </w:r>
          </w:p>
        </w:tc>
      </w:tr>
      <w:tr w:rsidR="00D576D7" w:rsidRPr="00D576D7" w14:paraId="16EA1B72" w14:textId="77777777" w:rsidTr="00032C24">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66236B"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1698E22"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47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97E90C4"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0784B2B5" w14:textId="77777777" w:rsidR="00D576D7" w:rsidRPr="00D576D7" w:rsidRDefault="00D576D7" w:rsidP="00D576D7">
            <w:pPr>
              <w:jc w:val="both"/>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Intereses</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44EEDBC9" w14:textId="77777777" w:rsidR="00C63C7A" w:rsidRDefault="00D576D7" w:rsidP="00D576D7">
            <w:pPr>
              <w:jc w:val="both"/>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NICSP N° 2,</w:t>
            </w:r>
          </w:p>
          <w:p w14:paraId="08C874D7" w14:textId="4A80A961" w:rsidR="00D576D7" w:rsidRPr="00D576D7" w:rsidRDefault="00D576D7" w:rsidP="00D576D7">
            <w:pPr>
              <w:jc w:val="both"/>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Párrafos 40 y 41.</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0D372098"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r>
    </w:tbl>
    <w:p w14:paraId="2169D94C" w14:textId="77777777" w:rsidR="00D62F9A" w:rsidRDefault="00D62F9A" w:rsidP="00D033EC">
      <w:pPr>
        <w:pStyle w:val="Default"/>
        <w:jc w:val="both"/>
        <w:rPr>
          <w:sz w:val="23"/>
          <w:szCs w:val="23"/>
          <w:lang w:val="es-CR"/>
        </w:rPr>
      </w:pPr>
    </w:p>
    <w:p w14:paraId="3DCCC338"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1A3D5403" w14:textId="77777777" w:rsidR="00032C24" w:rsidRDefault="00032C24" w:rsidP="00D033EC">
      <w:pPr>
        <w:pStyle w:val="Default"/>
        <w:jc w:val="both"/>
        <w:rPr>
          <w:sz w:val="23"/>
          <w:szCs w:val="23"/>
          <w:lang w:val="es-CR"/>
        </w:rPr>
      </w:pPr>
    </w:p>
    <w:p w14:paraId="3D674ABA" w14:textId="058CED8F" w:rsidR="00D576D7" w:rsidRDefault="00C63C7A" w:rsidP="00C63C7A">
      <w:pPr>
        <w:pStyle w:val="Default"/>
        <w:ind w:left="1134" w:hanging="1134"/>
        <w:jc w:val="both"/>
        <w:rPr>
          <w:sz w:val="22"/>
          <w:szCs w:val="22"/>
          <w:lang w:val="es-CR"/>
        </w:rPr>
      </w:pPr>
      <w:r>
        <w:rPr>
          <w:sz w:val="22"/>
          <w:szCs w:val="22"/>
          <w:lang w:val="es-CR"/>
        </w:rPr>
        <w:t>6.47.0.01</w:t>
      </w:r>
      <w:r>
        <w:rPr>
          <w:sz w:val="22"/>
          <w:szCs w:val="22"/>
          <w:lang w:val="es-CR"/>
        </w:rPr>
        <w:tab/>
      </w:r>
      <w:r w:rsidR="00D576D7" w:rsidRPr="00C63C7A">
        <w:rPr>
          <w:sz w:val="22"/>
          <w:szCs w:val="22"/>
          <w:lang w:val="es-CR"/>
        </w:rPr>
        <w:t>Los flujos de efectivo provenientes de intereses recibidos y pagados, deben ser clasificados, período a período, como pertenecientes a actividades de operación, de inversión o de financiación.</w:t>
      </w:r>
    </w:p>
    <w:p w14:paraId="43192179" w14:textId="77777777" w:rsidR="00C63C7A" w:rsidRPr="00C63C7A" w:rsidRDefault="00C63C7A" w:rsidP="00C63C7A">
      <w:pPr>
        <w:pStyle w:val="Default"/>
        <w:ind w:left="1134" w:hanging="1134"/>
        <w:jc w:val="both"/>
        <w:rPr>
          <w:sz w:val="22"/>
          <w:szCs w:val="22"/>
          <w:lang w:val="es-CR"/>
        </w:rPr>
      </w:pPr>
    </w:p>
    <w:p w14:paraId="0D1B0EA9" w14:textId="65AD9BE2" w:rsidR="00D576D7" w:rsidRPr="00C63C7A" w:rsidRDefault="00C63C7A" w:rsidP="00C63C7A">
      <w:pPr>
        <w:pStyle w:val="Default"/>
        <w:ind w:left="1134" w:hanging="1134"/>
        <w:jc w:val="both"/>
        <w:rPr>
          <w:sz w:val="22"/>
          <w:szCs w:val="22"/>
          <w:lang w:val="es-CR"/>
        </w:rPr>
      </w:pPr>
      <w:r>
        <w:rPr>
          <w:sz w:val="22"/>
          <w:szCs w:val="22"/>
          <w:lang w:val="es-CR"/>
        </w:rPr>
        <w:t>6.47.0.02</w:t>
      </w:r>
      <w:r>
        <w:rPr>
          <w:sz w:val="22"/>
          <w:szCs w:val="22"/>
          <w:lang w:val="es-CR"/>
        </w:rPr>
        <w:tab/>
      </w:r>
      <w:r w:rsidR="00D576D7" w:rsidRPr="00C63C7A">
        <w:rPr>
          <w:sz w:val="22"/>
          <w:szCs w:val="22"/>
          <w:lang w:val="es-CR"/>
        </w:rPr>
        <w:t>El importe total de intereses pagados durante el ejercicio se presentará, en el EFE, tanto si ha sido reconocido como gasto del mismo o si ha sido capitalizado.</w:t>
      </w:r>
    </w:p>
    <w:p w14:paraId="52A4669D" w14:textId="77777777" w:rsidR="00D576D7" w:rsidRDefault="00D576D7" w:rsidP="00D033EC">
      <w:pPr>
        <w:pStyle w:val="Default"/>
        <w:jc w:val="both"/>
        <w:rPr>
          <w:sz w:val="23"/>
          <w:szCs w:val="23"/>
          <w:lang w:val="es-CR"/>
        </w:rPr>
      </w:pPr>
    </w:p>
    <w:p w14:paraId="69774398" w14:textId="77777777" w:rsidR="00032C24" w:rsidRDefault="00032C24" w:rsidP="00D033EC">
      <w:pPr>
        <w:pStyle w:val="Default"/>
        <w:jc w:val="both"/>
        <w:rPr>
          <w:sz w:val="23"/>
          <w:szCs w:val="23"/>
          <w:lang w:val="es-CR"/>
        </w:rPr>
      </w:pPr>
    </w:p>
    <w:p w14:paraId="4696A1F5" w14:textId="77777777" w:rsidR="00D576D7" w:rsidRDefault="00D576D7" w:rsidP="00D033EC">
      <w:pPr>
        <w:pStyle w:val="Default"/>
        <w:jc w:val="both"/>
        <w:rPr>
          <w:sz w:val="23"/>
          <w:szCs w:val="23"/>
          <w:lang w:val="es-CR"/>
        </w:rPr>
      </w:pPr>
    </w:p>
    <w:tbl>
      <w:tblPr>
        <w:tblW w:w="9369" w:type="dxa"/>
        <w:tblLayout w:type="fixed"/>
        <w:tblLook w:val="04A0" w:firstRow="1" w:lastRow="0" w:firstColumn="1" w:lastColumn="0" w:noHBand="0" w:noVBand="1"/>
      </w:tblPr>
      <w:tblGrid>
        <w:gridCol w:w="416"/>
        <w:gridCol w:w="708"/>
        <w:gridCol w:w="426"/>
        <w:gridCol w:w="3692"/>
        <w:gridCol w:w="2252"/>
        <w:gridCol w:w="1875"/>
      </w:tblGrid>
      <w:tr w:rsidR="00D576D7" w:rsidRPr="00D576D7" w14:paraId="2ED08905" w14:textId="77777777" w:rsidTr="00032C24">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1C240B92"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2DDC9AB6"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Concepto</w:t>
            </w:r>
          </w:p>
        </w:tc>
        <w:tc>
          <w:tcPr>
            <w:tcW w:w="4127" w:type="dxa"/>
            <w:gridSpan w:val="2"/>
            <w:tcBorders>
              <w:top w:val="single" w:sz="8" w:space="0" w:color="auto"/>
              <w:left w:val="nil"/>
              <w:bottom w:val="single" w:sz="8" w:space="0" w:color="auto"/>
              <w:right w:val="single" w:sz="8" w:space="0" w:color="000000"/>
            </w:tcBorders>
            <w:shd w:val="clear" w:color="000000" w:fill="203764"/>
            <w:vAlign w:val="center"/>
            <w:hideMark/>
          </w:tcPr>
          <w:p w14:paraId="0327F437"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Referencia</w:t>
            </w:r>
          </w:p>
        </w:tc>
      </w:tr>
      <w:tr w:rsidR="00D576D7" w:rsidRPr="006E5442" w14:paraId="2EF30A1A" w14:textId="77777777" w:rsidTr="00032C24">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112550A6" w14:textId="77777777" w:rsidR="00D576D7" w:rsidRPr="00D576D7" w:rsidRDefault="00D576D7" w:rsidP="00D576D7">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5F93B3E3" w14:textId="77777777" w:rsidR="00D576D7" w:rsidRPr="00D576D7" w:rsidRDefault="00D576D7" w:rsidP="00D576D7">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40690586"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w:t>
            </w:r>
          </w:p>
        </w:tc>
        <w:tc>
          <w:tcPr>
            <w:tcW w:w="1875" w:type="dxa"/>
            <w:tcBorders>
              <w:top w:val="nil"/>
              <w:left w:val="nil"/>
              <w:bottom w:val="nil"/>
              <w:right w:val="single" w:sz="8" w:space="0" w:color="auto"/>
            </w:tcBorders>
            <w:shd w:val="clear" w:color="000000" w:fill="203764"/>
            <w:vAlign w:val="center"/>
            <w:hideMark/>
          </w:tcPr>
          <w:p w14:paraId="1805BB67" w14:textId="77777777" w:rsidR="00D576D7" w:rsidRPr="00D576D7" w:rsidRDefault="00D576D7" w:rsidP="00D576D7">
            <w:pPr>
              <w:jc w:val="center"/>
              <w:rPr>
                <w:rFonts w:ascii="Arial Narrow" w:eastAsia="Times New Roman" w:hAnsi="Arial Narrow" w:cs="Calibri"/>
                <w:b/>
                <w:bCs/>
                <w:color w:val="FFFFFF"/>
                <w:sz w:val="22"/>
                <w:szCs w:val="22"/>
                <w:lang w:val="es-CR"/>
              </w:rPr>
            </w:pPr>
            <w:r w:rsidRPr="00D576D7">
              <w:rPr>
                <w:rFonts w:ascii="Arial Narrow" w:eastAsia="Times New Roman" w:hAnsi="Arial Narrow" w:cs="Calibri"/>
                <w:b/>
                <w:bCs/>
                <w:color w:val="FFFFFF"/>
                <w:sz w:val="22"/>
                <w:szCs w:val="22"/>
                <w:lang w:val="es-CR"/>
              </w:rPr>
              <w:t>Normativa técnica y disposiciones adicionales</w:t>
            </w:r>
          </w:p>
        </w:tc>
      </w:tr>
      <w:tr w:rsidR="00D576D7" w:rsidRPr="00D576D7" w14:paraId="57881030" w14:textId="77777777" w:rsidTr="00032C24">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D75D50"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D23A60C"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48</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4BA5E7FC"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36C18F48" w14:textId="77777777" w:rsidR="00D576D7" w:rsidRPr="00D576D7" w:rsidRDefault="00D576D7" w:rsidP="00D576D7">
            <w:pPr>
              <w:jc w:val="both"/>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Transacciones no monetarias</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0BC3D890" w14:textId="77777777" w:rsidR="00032C24" w:rsidRDefault="00D576D7" w:rsidP="00D576D7">
            <w:pPr>
              <w:jc w:val="both"/>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NICSP N° 2,</w:t>
            </w:r>
          </w:p>
          <w:p w14:paraId="3AA283BD" w14:textId="21491553" w:rsidR="00D576D7" w:rsidRPr="00D576D7" w:rsidRDefault="00D576D7" w:rsidP="00D576D7">
            <w:pPr>
              <w:jc w:val="both"/>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Párrafos 54 y 55.</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14:paraId="07A4C78D"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r>
    </w:tbl>
    <w:p w14:paraId="48027EA2" w14:textId="77777777" w:rsidR="00D576D7" w:rsidRDefault="00D576D7" w:rsidP="00D033EC">
      <w:pPr>
        <w:pStyle w:val="Default"/>
        <w:jc w:val="both"/>
        <w:rPr>
          <w:sz w:val="23"/>
          <w:szCs w:val="23"/>
          <w:lang w:val="es-CR"/>
        </w:rPr>
      </w:pPr>
    </w:p>
    <w:p w14:paraId="6003D475"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1C00A698" w14:textId="77777777" w:rsidR="00032C24" w:rsidRDefault="00032C24" w:rsidP="00D033EC">
      <w:pPr>
        <w:pStyle w:val="Default"/>
        <w:jc w:val="both"/>
        <w:rPr>
          <w:sz w:val="23"/>
          <w:szCs w:val="23"/>
          <w:lang w:val="es-CR"/>
        </w:rPr>
      </w:pPr>
    </w:p>
    <w:p w14:paraId="5D411F07" w14:textId="2A793960" w:rsidR="00D576D7" w:rsidRDefault="00C63C7A" w:rsidP="00C63C7A">
      <w:pPr>
        <w:pStyle w:val="Default"/>
        <w:ind w:left="1134" w:hanging="1134"/>
        <w:jc w:val="both"/>
        <w:rPr>
          <w:sz w:val="22"/>
          <w:szCs w:val="22"/>
          <w:lang w:val="es-CR"/>
        </w:rPr>
      </w:pPr>
      <w:r>
        <w:rPr>
          <w:sz w:val="22"/>
          <w:szCs w:val="22"/>
          <w:lang w:val="es-CR"/>
        </w:rPr>
        <w:t>6.48.0.01</w:t>
      </w:r>
      <w:r>
        <w:rPr>
          <w:sz w:val="22"/>
          <w:szCs w:val="22"/>
          <w:lang w:val="es-CR"/>
        </w:rPr>
        <w:tab/>
      </w:r>
      <w:r w:rsidR="00D576D7" w:rsidRPr="00C63C7A">
        <w:rPr>
          <w:sz w:val="22"/>
          <w:szCs w:val="22"/>
          <w:lang w:val="es-CR"/>
        </w:rPr>
        <w:t>Las operaciones de inversión o financiación, que no han supuesto el uso de efectivo o equivalentes al efectivo, deben excluirse del estado de flujos de efectivo. Son ejemplos de transacciones no monetarias:</w:t>
      </w:r>
    </w:p>
    <w:p w14:paraId="5A0D5B22" w14:textId="77777777" w:rsidR="00C63C7A" w:rsidRPr="00C63C7A" w:rsidRDefault="00C63C7A" w:rsidP="00C63C7A">
      <w:pPr>
        <w:pStyle w:val="Default"/>
        <w:ind w:left="1134" w:hanging="1134"/>
        <w:jc w:val="both"/>
        <w:rPr>
          <w:sz w:val="22"/>
          <w:szCs w:val="22"/>
          <w:lang w:val="es-CR"/>
        </w:rPr>
      </w:pPr>
    </w:p>
    <w:p w14:paraId="2650269D" w14:textId="413151A0" w:rsidR="00D576D7" w:rsidRPr="00C63C7A" w:rsidRDefault="00C63C7A">
      <w:pPr>
        <w:pStyle w:val="Default"/>
        <w:numPr>
          <w:ilvl w:val="0"/>
          <w:numId w:val="367"/>
        </w:numPr>
        <w:spacing w:after="120"/>
        <w:ind w:left="1418" w:hanging="284"/>
        <w:jc w:val="both"/>
        <w:rPr>
          <w:sz w:val="22"/>
          <w:szCs w:val="22"/>
          <w:lang w:val="es-CR"/>
        </w:rPr>
      </w:pPr>
      <w:r>
        <w:rPr>
          <w:sz w:val="22"/>
          <w:szCs w:val="22"/>
          <w:lang w:val="es-CR"/>
        </w:rPr>
        <w:t>L</w:t>
      </w:r>
      <w:r w:rsidR="00D576D7" w:rsidRPr="00C63C7A">
        <w:rPr>
          <w:sz w:val="22"/>
          <w:szCs w:val="22"/>
          <w:lang w:val="es-CR"/>
        </w:rPr>
        <w:t xml:space="preserve">a adquisición de activos mediante su intercambio por otros activos, asumiendo directamente los pasivos por su financiación o por medio de operaciones de arrendamiento financiero; y </w:t>
      </w:r>
    </w:p>
    <w:p w14:paraId="6BE60B0E" w14:textId="295F2B54" w:rsidR="00D576D7" w:rsidRPr="00C63C7A" w:rsidRDefault="00C63C7A">
      <w:pPr>
        <w:pStyle w:val="Default"/>
        <w:numPr>
          <w:ilvl w:val="0"/>
          <w:numId w:val="367"/>
        </w:numPr>
        <w:ind w:left="1418" w:hanging="284"/>
        <w:jc w:val="both"/>
        <w:rPr>
          <w:sz w:val="22"/>
          <w:szCs w:val="22"/>
          <w:lang w:val="es-CR"/>
        </w:rPr>
      </w:pPr>
      <w:r>
        <w:rPr>
          <w:sz w:val="22"/>
          <w:szCs w:val="22"/>
          <w:lang w:val="es-CR"/>
        </w:rPr>
        <w:t>L</w:t>
      </w:r>
      <w:r w:rsidR="00D576D7" w:rsidRPr="00C63C7A">
        <w:rPr>
          <w:sz w:val="22"/>
          <w:szCs w:val="22"/>
          <w:lang w:val="es-CR"/>
        </w:rPr>
        <w:t>a conversión de deuda en patrimonio.</w:t>
      </w:r>
    </w:p>
    <w:p w14:paraId="5ADB02F1" w14:textId="77777777" w:rsidR="00D576D7" w:rsidRDefault="00D576D7" w:rsidP="00D033EC">
      <w:pPr>
        <w:pStyle w:val="Default"/>
        <w:jc w:val="both"/>
        <w:rPr>
          <w:sz w:val="23"/>
          <w:szCs w:val="23"/>
          <w:lang w:val="es-CR"/>
        </w:rPr>
      </w:pPr>
    </w:p>
    <w:p w14:paraId="39B89D2B" w14:textId="77777777" w:rsidR="00D576D7" w:rsidRDefault="00D576D7" w:rsidP="00D033EC">
      <w:pPr>
        <w:pStyle w:val="Default"/>
        <w:jc w:val="both"/>
        <w:rPr>
          <w:sz w:val="23"/>
          <w:szCs w:val="23"/>
          <w:lang w:val="es-CR"/>
        </w:rPr>
      </w:pPr>
    </w:p>
    <w:p w14:paraId="75F74ECE" w14:textId="77777777" w:rsidR="00032C24" w:rsidRDefault="00032C24" w:rsidP="00D033EC">
      <w:pPr>
        <w:pStyle w:val="Default"/>
        <w:jc w:val="both"/>
        <w:rPr>
          <w:sz w:val="23"/>
          <w:szCs w:val="23"/>
          <w:lang w:val="es-CR"/>
        </w:rPr>
      </w:pPr>
    </w:p>
    <w:p w14:paraId="6095EC80" w14:textId="77777777" w:rsidR="00032C24" w:rsidRDefault="00032C24" w:rsidP="00D033EC">
      <w:pPr>
        <w:pStyle w:val="Default"/>
        <w:jc w:val="both"/>
        <w:rPr>
          <w:sz w:val="23"/>
          <w:szCs w:val="23"/>
          <w:lang w:val="es-CR"/>
        </w:rPr>
      </w:pPr>
    </w:p>
    <w:p w14:paraId="400A5367" w14:textId="77777777" w:rsidR="00032C24" w:rsidRDefault="00032C24" w:rsidP="00D033EC">
      <w:pPr>
        <w:pStyle w:val="Default"/>
        <w:jc w:val="both"/>
        <w:rPr>
          <w:sz w:val="23"/>
          <w:szCs w:val="23"/>
          <w:lang w:val="es-CR"/>
        </w:rPr>
      </w:pPr>
    </w:p>
    <w:tbl>
      <w:tblPr>
        <w:tblW w:w="9355" w:type="dxa"/>
        <w:tblLook w:val="04A0" w:firstRow="1" w:lastRow="0" w:firstColumn="1" w:lastColumn="0" w:noHBand="0" w:noVBand="1"/>
      </w:tblPr>
      <w:tblGrid>
        <w:gridCol w:w="416"/>
        <w:gridCol w:w="709"/>
        <w:gridCol w:w="438"/>
        <w:gridCol w:w="8"/>
        <w:gridCol w:w="3684"/>
        <w:gridCol w:w="8"/>
        <w:gridCol w:w="2243"/>
        <w:gridCol w:w="8"/>
        <w:gridCol w:w="1833"/>
        <w:gridCol w:w="8"/>
      </w:tblGrid>
      <w:tr w:rsidR="00D576D7" w:rsidRPr="00D576D7" w14:paraId="4D4472B2" w14:textId="77777777" w:rsidTr="00032C24">
        <w:trPr>
          <w:trHeight w:val="300"/>
        </w:trPr>
        <w:tc>
          <w:tcPr>
            <w:tcW w:w="1571"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56A5F8FC"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lastRenderedPageBreak/>
              <w:t>Norma / Política</w:t>
            </w:r>
          </w:p>
        </w:tc>
        <w:tc>
          <w:tcPr>
            <w:tcW w:w="3692"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84DAFD8"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Concepto</w:t>
            </w:r>
          </w:p>
        </w:tc>
        <w:tc>
          <w:tcPr>
            <w:tcW w:w="4092" w:type="dxa"/>
            <w:gridSpan w:val="4"/>
            <w:tcBorders>
              <w:top w:val="single" w:sz="8" w:space="0" w:color="auto"/>
              <w:left w:val="nil"/>
              <w:bottom w:val="single" w:sz="8" w:space="0" w:color="auto"/>
              <w:right w:val="single" w:sz="8" w:space="0" w:color="000000"/>
            </w:tcBorders>
            <w:shd w:val="clear" w:color="000000" w:fill="203764"/>
            <w:vAlign w:val="center"/>
            <w:hideMark/>
          </w:tcPr>
          <w:p w14:paraId="175FB236"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Referencia</w:t>
            </w:r>
          </w:p>
        </w:tc>
      </w:tr>
      <w:tr w:rsidR="00D576D7" w:rsidRPr="006E5442" w14:paraId="4D419F37" w14:textId="77777777" w:rsidTr="00032C24">
        <w:trPr>
          <w:trHeight w:val="850"/>
        </w:trPr>
        <w:tc>
          <w:tcPr>
            <w:tcW w:w="1571" w:type="dxa"/>
            <w:gridSpan w:val="4"/>
            <w:vMerge/>
            <w:tcBorders>
              <w:top w:val="single" w:sz="8" w:space="0" w:color="auto"/>
              <w:left w:val="single" w:sz="8" w:space="0" w:color="auto"/>
              <w:bottom w:val="nil"/>
              <w:right w:val="single" w:sz="8" w:space="0" w:color="000000"/>
            </w:tcBorders>
            <w:vAlign w:val="center"/>
            <w:hideMark/>
          </w:tcPr>
          <w:p w14:paraId="55F0EF87" w14:textId="77777777" w:rsidR="00D576D7" w:rsidRPr="00D576D7" w:rsidRDefault="00D576D7" w:rsidP="00D576D7">
            <w:pPr>
              <w:rPr>
                <w:rFonts w:ascii="Arial Narrow" w:eastAsia="Times New Roman" w:hAnsi="Arial Narrow" w:cs="Calibri"/>
                <w:b/>
                <w:bCs/>
                <w:color w:val="FFFFFF"/>
                <w:sz w:val="22"/>
                <w:szCs w:val="22"/>
              </w:rPr>
            </w:pPr>
          </w:p>
        </w:tc>
        <w:tc>
          <w:tcPr>
            <w:tcW w:w="3692" w:type="dxa"/>
            <w:gridSpan w:val="2"/>
            <w:vMerge/>
            <w:tcBorders>
              <w:top w:val="single" w:sz="8" w:space="0" w:color="auto"/>
              <w:left w:val="single" w:sz="8" w:space="0" w:color="auto"/>
              <w:bottom w:val="nil"/>
              <w:right w:val="single" w:sz="8" w:space="0" w:color="auto"/>
            </w:tcBorders>
            <w:vAlign w:val="center"/>
            <w:hideMark/>
          </w:tcPr>
          <w:p w14:paraId="1721F838" w14:textId="77777777" w:rsidR="00D576D7" w:rsidRPr="00D576D7" w:rsidRDefault="00D576D7" w:rsidP="00D576D7">
            <w:pPr>
              <w:rPr>
                <w:rFonts w:ascii="Arial Narrow" w:eastAsia="Times New Roman" w:hAnsi="Arial Narrow" w:cs="Calibri"/>
                <w:b/>
                <w:bCs/>
                <w:color w:val="FFFFFF"/>
                <w:sz w:val="22"/>
                <w:szCs w:val="22"/>
              </w:rPr>
            </w:pPr>
          </w:p>
        </w:tc>
        <w:tc>
          <w:tcPr>
            <w:tcW w:w="2251" w:type="dxa"/>
            <w:gridSpan w:val="2"/>
            <w:tcBorders>
              <w:top w:val="nil"/>
              <w:left w:val="nil"/>
              <w:bottom w:val="nil"/>
              <w:right w:val="single" w:sz="8" w:space="0" w:color="auto"/>
            </w:tcBorders>
            <w:shd w:val="clear" w:color="000000" w:fill="203764"/>
            <w:vAlign w:val="center"/>
            <w:hideMark/>
          </w:tcPr>
          <w:p w14:paraId="0D3C3E95"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w:t>
            </w:r>
          </w:p>
        </w:tc>
        <w:tc>
          <w:tcPr>
            <w:tcW w:w="1841" w:type="dxa"/>
            <w:gridSpan w:val="2"/>
            <w:tcBorders>
              <w:top w:val="nil"/>
              <w:left w:val="nil"/>
              <w:bottom w:val="nil"/>
              <w:right w:val="single" w:sz="8" w:space="0" w:color="auto"/>
            </w:tcBorders>
            <w:shd w:val="clear" w:color="000000" w:fill="203764"/>
            <w:vAlign w:val="center"/>
            <w:hideMark/>
          </w:tcPr>
          <w:p w14:paraId="5B39A37B" w14:textId="77777777" w:rsidR="00D576D7" w:rsidRPr="00D576D7" w:rsidRDefault="00D576D7" w:rsidP="00D576D7">
            <w:pPr>
              <w:jc w:val="center"/>
              <w:rPr>
                <w:rFonts w:ascii="Arial Narrow" w:eastAsia="Times New Roman" w:hAnsi="Arial Narrow" w:cs="Calibri"/>
                <w:b/>
                <w:bCs/>
                <w:color w:val="FFFFFF"/>
                <w:sz w:val="22"/>
                <w:szCs w:val="22"/>
                <w:lang w:val="es-CR"/>
              </w:rPr>
            </w:pPr>
            <w:r w:rsidRPr="00D576D7">
              <w:rPr>
                <w:rFonts w:ascii="Arial Narrow" w:eastAsia="Times New Roman" w:hAnsi="Arial Narrow" w:cs="Calibri"/>
                <w:b/>
                <w:bCs/>
                <w:color w:val="FFFFFF"/>
                <w:sz w:val="22"/>
                <w:szCs w:val="22"/>
                <w:lang w:val="es-CR"/>
              </w:rPr>
              <w:t>Normativa técnica y disposiciones adicionales</w:t>
            </w:r>
          </w:p>
        </w:tc>
      </w:tr>
      <w:tr w:rsidR="00D576D7" w:rsidRPr="00D576D7" w14:paraId="2690B7DF" w14:textId="77777777" w:rsidTr="00032C24">
        <w:trPr>
          <w:gridAfter w:val="1"/>
          <w:wAfter w:w="8"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85F2A5"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6</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52BA92D6"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49</w:t>
            </w:r>
          </w:p>
        </w:tc>
        <w:tc>
          <w:tcPr>
            <w:tcW w:w="438" w:type="dxa"/>
            <w:tcBorders>
              <w:top w:val="single" w:sz="8" w:space="0" w:color="auto"/>
              <w:left w:val="nil"/>
              <w:bottom w:val="single" w:sz="8" w:space="0" w:color="auto"/>
              <w:right w:val="single" w:sz="8" w:space="0" w:color="auto"/>
            </w:tcBorders>
            <w:shd w:val="clear" w:color="auto" w:fill="auto"/>
            <w:vAlign w:val="center"/>
            <w:hideMark/>
          </w:tcPr>
          <w:p w14:paraId="5A9FEEFC"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c>
          <w:tcPr>
            <w:tcW w:w="3692" w:type="dxa"/>
            <w:gridSpan w:val="2"/>
            <w:tcBorders>
              <w:top w:val="single" w:sz="8" w:space="0" w:color="auto"/>
              <w:left w:val="nil"/>
              <w:bottom w:val="single" w:sz="8" w:space="0" w:color="auto"/>
              <w:right w:val="single" w:sz="8" w:space="0" w:color="auto"/>
            </w:tcBorders>
            <w:shd w:val="clear" w:color="auto" w:fill="auto"/>
            <w:vAlign w:val="center"/>
            <w:hideMark/>
          </w:tcPr>
          <w:p w14:paraId="44A0322E" w14:textId="77777777" w:rsidR="00D576D7" w:rsidRPr="00D576D7" w:rsidRDefault="00D576D7" w:rsidP="00D576D7">
            <w:pPr>
              <w:jc w:val="both"/>
              <w:rPr>
                <w:rFonts w:ascii="Arial Narrow" w:eastAsia="Times New Roman" w:hAnsi="Arial Narrow" w:cs="Calibri"/>
                <w:b/>
                <w:bCs/>
                <w:color w:val="000000"/>
                <w:sz w:val="22"/>
                <w:szCs w:val="22"/>
                <w:lang w:val="es-CR"/>
              </w:rPr>
            </w:pPr>
            <w:r w:rsidRPr="00D576D7">
              <w:rPr>
                <w:rFonts w:ascii="Arial Narrow" w:eastAsia="Times New Roman" w:hAnsi="Arial Narrow" w:cs="Calibri"/>
                <w:b/>
                <w:bCs/>
                <w:color w:val="000000"/>
                <w:sz w:val="22"/>
                <w:szCs w:val="22"/>
                <w:lang w:val="es-CR"/>
              </w:rPr>
              <w:t>Componentes de la partida de efectivo y equivalentes al efectivo</w:t>
            </w:r>
          </w:p>
        </w:tc>
        <w:tc>
          <w:tcPr>
            <w:tcW w:w="2251" w:type="dxa"/>
            <w:gridSpan w:val="2"/>
            <w:tcBorders>
              <w:top w:val="single" w:sz="8" w:space="0" w:color="auto"/>
              <w:left w:val="nil"/>
              <w:bottom w:val="single" w:sz="8" w:space="0" w:color="auto"/>
              <w:right w:val="single" w:sz="8" w:space="0" w:color="auto"/>
            </w:tcBorders>
            <w:shd w:val="clear" w:color="auto" w:fill="auto"/>
            <w:vAlign w:val="center"/>
            <w:hideMark/>
          </w:tcPr>
          <w:p w14:paraId="3D90963B" w14:textId="77777777" w:rsidR="00032C24" w:rsidRDefault="00D576D7" w:rsidP="00D576D7">
            <w:pPr>
              <w:jc w:val="both"/>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NICSP N° 2,</w:t>
            </w:r>
          </w:p>
          <w:p w14:paraId="50B1F97C" w14:textId="5F11810C" w:rsidR="00D576D7" w:rsidRPr="00D576D7" w:rsidRDefault="00D576D7" w:rsidP="00D576D7">
            <w:pPr>
              <w:jc w:val="both"/>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Párrafo 56.</w:t>
            </w:r>
          </w:p>
        </w:tc>
        <w:tc>
          <w:tcPr>
            <w:tcW w:w="1841" w:type="dxa"/>
            <w:gridSpan w:val="2"/>
            <w:tcBorders>
              <w:top w:val="single" w:sz="8" w:space="0" w:color="auto"/>
              <w:left w:val="nil"/>
              <w:bottom w:val="single" w:sz="8" w:space="0" w:color="auto"/>
              <w:right w:val="single" w:sz="8" w:space="0" w:color="auto"/>
            </w:tcBorders>
            <w:shd w:val="clear" w:color="auto" w:fill="auto"/>
            <w:vAlign w:val="center"/>
            <w:hideMark/>
          </w:tcPr>
          <w:p w14:paraId="56BCDDAA"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r>
    </w:tbl>
    <w:p w14:paraId="7CF324CC" w14:textId="77777777" w:rsidR="00D576D7" w:rsidRDefault="00D576D7" w:rsidP="00D033EC">
      <w:pPr>
        <w:pStyle w:val="Default"/>
        <w:jc w:val="both"/>
        <w:rPr>
          <w:sz w:val="23"/>
          <w:szCs w:val="23"/>
          <w:lang w:val="es-CR"/>
        </w:rPr>
      </w:pPr>
    </w:p>
    <w:p w14:paraId="77163B26"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595D9B28" w14:textId="77777777" w:rsidR="00032C24" w:rsidRDefault="00032C24" w:rsidP="00D033EC">
      <w:pPr>
        <w:pStyle w:val="Default"/>
        <w:jc w:val="both"/>
        <w:rPr>
          <w:sz w:val="23"/>
          <w:szCs w:val="23"/>
          <w:lang w:val="es-CR"/>
        </w:rPr>
      </w:pPr>
    </w:p>
    <w:p w14:paraId="6BD7686E" w14:textId="15BD799C" w:rsidR="00D576D7" w:rsidRPr="00C63C7A" w:rsidRDefault="00C63C7A" w:rsidP="00C63C7A">
      <w:pPr>
        <w:pStyle w:val="Default"/>
        <w:ind w:left="1134" w:hanging="1134"/>
        <w:jc w:val="both"/>
        <w:rPr>
          <w:sz w:val="22"/>
          <w:szCs w:val="22"/>
          <w:lang w:val="es-CR"/>
        </w:rPr>
      </w:pPr>
      <w:r>
        <w:rPr>
          <w:sz w:val="22"/>
          <w:szCs w:val="22"/>
          <w:lang w:val="es-CR"/>
        </w:rPr>
        <w:t>6.46.0.01</w:t>
      </w:r>
      <w:r>
        <w:rPr>
          <w:sz w:val="22"/>
          <w:szCs w:val="22"/>
          <w:lang w:val="es-CR"/>
        </w:rPr>
        <w:tab/>
      </w:r>
      <w:r w:rsidR="00D576D7" w:rsidRPr="00C63C7A">
        <w:rPr>
          <w:sz w:val="22"/>
          <w:szCs w:val="22"/>
          <w:lang w:val="es-CR"/>
        </w:rPr>
        <w:t>Las entidades deben revelar los componentes de la partida de efectivo y equivalentes al efectivo, y deben presentar una conciliación de los saldos que figuran en su EFE con las partidas equivalentes en el ESF</w:t>
      </w:r>
      <w:r w:rsidR="00D576D7" w:rsidRPr="00C63C7A">
        <w:rPr>
          <w:b/>
          <w:bCs/>
          <w:sz w:val="22"/>
          <w:szCs w:val="22"/>
          <w:lang w:val="es-CR"/>
        </w:rPr>
        <w:t>.</w:t>
      </w:r>
    </w:p>
    <w:p w14:paraId="132CCF83" w14:textId="77777777" w:rsidR="00D576D7" w:rsidRDefault="00D576D7" w:rsidP="00D033EC">
      <w:pPr>
        <w:pStyle w:val="Default"/>
        <w:jc w:val="both"/>
        <w:rPr>
          <w:sz w:val="23"/>
          <w:szCs w:val="23"/>
          <w:lang w:val="es-CR"/>
        </w:rPr>
      </w:pPr>
    </w:p>
    <w:p w14:paraId="602E5BA1" w14:textId="77777777" w:rsidR="00032C24" w:rsidRDefault="00032C24" w:rsidP="00D033EC">
      <w:pPr>
        <w:pStyle w:val="Default"/>
        <w:jc w:val="both"/>
        <w:rPr>
          <w:sz w:val="23"/>
          <w:szCs w:val="23"/>
          <w:lang w:val="es-CR"/>
        </w:rPr>
      </w:pPr>
    </w:p>
    <w:p w14:paraId="467B4430" w14:textId="77777777" w:rsidR="00D576D7" w:rsidRDefault="00D576D7" w:rsidP="00D033EC">
      <w:pPr>
        <w:pStyle w:val="Default"/>
        <w:jc w:val="both"/>
        <w:rPr>
          <w:sz w:val="23"/>
          <w:szCs w:val="23"/>
          <w:lang w:val="es-CR"/>
        </w:rPr>
      </w:pPr>
    </w:p>
    <w:tbl>
      <w:tblPr>
        <w:tblW w:w="9368" w:type="dxa"/>
        <w:tblLook w:val="04A0" w:firstRow="1" w:lastRow="0" w:firstColumn="1" w:lastColumn="0" w:noHBand="0" w:noVBand="1"/>
      </w:tblPr>
      <w:tblGrid>
        <w:gridCol w:w="529"/>
        <w:gridCol w:w="737"/>
        <w:gridCol w:w="425"/>
        <w:gridCol w:w="49"/>
        <w:gridCol w:w="3583"/>
        <w:gridCol w:w="49"/>
        <w:gridCol w:w="2172"/>
        <w:gridCol w:w="49"/>
        <w:gridCol w:w="1719"/>
        <w:gridCol w:w="56"/>
      </w:tblGrid>
      <w:tr w:rsidR="00D576D7" w:rsidRPr="00D576D7" w14:paraId="3A25F19E" w14:textId="77777777" w:rsidTr="00032C24">
        <w:trPr>
          <w:trHeight w:val="320"/>
        </w:trPr>
        <w:tc>
          <w:tcPr>
            <w:tcW w:w="1740"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3F94E3F0"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 / Política</w:t>
            </w:r>
          </w:p>
        </w:tc>
        <w:tc>
          <w:tcPr>
            <w:tcW w:w="3632"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DF93FA2"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Concepto</w:t>
            </w:r>
          </w:p>
        </w:tc>
        <w:tc>
          <w:tcPr>
            <w:tcW w:w="3996" w:type="dxa"/>
            <w:gridSpan w:val="4"/>
            <w:tcBorders>
              <w:top w:val="single" w:sz="8" w:space="0" w:color="auto"/>
              <w:left w:val="nil"/>
              <w:bottom w:val="single" w:sz="8" w:space="0" w:color="auto"/>
              <w:right w:val="single" w:sz="8" w:space="0" w:color="000000"/>
            </w:tcBorders>
            <w:shd w:val="clear" w:color="000000" w:fill="203764"/>
            <w:vAlign w:val="center"/>
            <w:hideMark/>
          </w:tcPr>
          <w:p w14:paraId="6E0B14B2"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Referencia</w:t>
            </w:r>
          </w:p>
        </w:tc>
      </w:tr>
      <w:tr w:rsidR="00D576D7" w:rsidRPr="006E5442" w14:paraId="7EE26EF5" w14:textId="77777777" w:rsidTr="00032C24">
        <w:trPr>
          <w:trHeight w:val="850"/>
        </w:trPr>
        <w:tc>
          <w:tcPr>
            <w:tcW w:w="1740" w:type="dxa"/>
            <w:gridSpan w:val="4"/>
            <w:vMerge/>
            <w:tcBorders>
              <w:top w:val="single" w:sz="8" w:space="0" w:color="auto"/>
              <w:left w:val="single" w:sz="8" w:space="0" w:color="auto"/>
              <w:bottom w:val="nil"/>
              <w:right w:val="single" w:sz="8" w:space="0" w:color="000000"/>
            </w:tcBorders>
            <w:vAlign w:val="center"/>
            <w:hideMark/>
          </w:tcPr>
          <w:p w14:paraId="5CB3051A" w14:textId="77777777" w:rsidR="00D576D7" w:rsidRPr="00D576D7" w:rsidRDefault="00D576D7" w:rsidP="00D576D7">
            <w:pPr>
              <w:rPr>
                <w:rFonts w:ascii="Arial Narrow" w:eastAsia="Times New Roman" w:hAnsi="Arial Narrow" w:cs="Calibri"/>
                <w:b/>
                <w:bCs/>
                <w:color w:val="FFFFFF"/>
                <w:sz w:val="22"/>
                <w:szCs w:val="22"/>
              </w:rPr>
            </w:pPr>
          </w:p>
        </w:tc>
        <w:tc>
          <w:tcPr>
            <w:tcW w:w="3632" w:type="dxa"/>
            <w:gridSpan w:val="2"/>
            <w:vMerge/>
            <w:tcBorders>
              <w:top w:val="single" w:sz="8" w:space="0" w:color="auto"/>
              <w:left w:val="single" w:sz="8" w:space="0" w:color="auto"/>
              <w:bottom w:val="nil"/>
              <w:right w:val="single" w:sz="8" w:space="0" w:color="auto"/>
            </w:tcBorders>
            <w:vAlign w:val="center"/>
            <w:hideMark/>
          </w:tcPr>
          <w:p w14:paraId="5AD793F4" w14:textId="77777777" w:rsidR="00D576D7" w:rsidRPr="00D576D7" w:rsidRDefault="00D576D7" w:rsidP="00D576D7">
            <w:pPr>
              <w:rPr>
                <w:rFonts w:ascii="Arial Narrow" w:eastAsia="Times New Roman" w:hAnsi="Arial Narrow" w:cs="Calibri"/>
                <w:b/>
                <w:bCs/>
                <w:color w:val="FFFFFF"/>
                <w:sz w:val="22"/>
                <w:szCs w:val="22"/>
              </w:rPr>
            </w:pPr>
          </w:p>
        </w:tc>
        <w:tc>
          <w:tcPr>
            <w:tcW w:w="2221" w:type="dxa"/>
            <w:gridSpan w:val="2"/>
            <w:tcBorders>
              <w:top w:val="nil"/>
              <w:left w:val="nil"/>
              <w:bottom w:val="nil"/>
              <w:right w:val="single" w:sz="8" w:space="0" w:color="auto"/>
            </w:tcBorders>
            <w:shd w:val="clear" w:color="000000" w:fill="203764"/>
            <w:vAlign w:val="center"/>
            <w:hideMark/>
          </w:tcPr>
          <w:p w14:paraId="1B53EBDB" w14:textId="77777777" w:rsidR="00D576D7" w:rsidRPr="00D576D7" w:rsidRDefault="00D576D7" w:rsidP="00D576D7">
            <w:pPr>
              <w:jc w:val="center"/>
              <w:rPr>
                <w:rFonts w:ascii="Arial Narrow" w:eastAsia="Times New Roman" w:hAnsi="Arial Narrow" w:cs="Calibri"/>
                <w:b/>
                <w:bCs/>
                <w:color w:val="FFFFFF"/>
                <w:sz w:val="22"/>
                <w:szCs w:val="22"/>
              </w:rPr>
            </w:pPr>
            <w:r w:rsidRPr="00D576D7">
              <w:rPr>
                <w:rFonts w:ascii="Arial Narrow" w:eastAsia="Times New Roman" w:hAnsi="Arial Narrow" w:cs="Calibri"/>
                <w:b/>
                <w:bCs/>
                <w:color w:val="FFFFFF"/>
                <w:sz w:val="22"/>
                <w:szCs w:val="22"/>
              </w:rPr>
              <w:t>Norma</w:t>
            </w:r>
          </w:p>
        </w:tc>
        <w:tc>
          <w:tcPr>
            <w:tcW w:w="1775" w:type="dxa"/>
            <w:gridSpan w:val="2"/>
            <w:tcBorders>
              <w:top w:val="nil"/>
              <w:left w:val="nil"/>
              <w:bottom w:val="nil"/>
              <w:right w:val="single" w:sz="8" w:space="0" w:color="auto"/>
            </w:tcBorders>
            <w:shd w:val="clear" w:color="000000" w:fill="203764"/>
            <w:vAlign w:val="center"/>
            <w:hideMark/>
          </w:tcPr>
          <w:p w14:paraId="7D8BFFD4" w14:textId="77777777" w:rsidR="00D576D7" w:rsidRPr="00D576D7" w:rsidRDefault="00D576D7" w:rsidP="00D576D7">
            <w:pPr>
              <w:jc w:val="center"/>
              <w:rPr>
                <w:rFonts w:ascii="Arial Narrow" w:eastAsia="Times New Roman" w:hAnsi="Arial Narrow" w:cs="Calibri"/>
                <w:b/>
                <w:bCs/>
                <w:color w:val="FFFFFF"/>
                <w:sz w:val="22"/>
                <w:szCs w:val="22"/>
                <w:lang w:val="es-CR"/>
              </w:rPr>
            </w:pPr>
            <w:r w:rsidRPr="00D576D7">
              <w:rPr>
                <w:rFonts w:ascii="Arial Narrow" w:eastAsia="Times New Roman" w:hAnsi="Arial Narrow" w:cs="Calibri"/>
                <w:b/>
                <w:bCs/>
                <w:color w:val="FFFFFF"/>
                <w:sz w:val="22"/>
                <w:szCs w:val="22"/>
                <w:lang w:val="es-CR"/>
              </w:rPr>
              <w:t>Normativa técnica y disposiciones adicionales</w:t>
            </w:r>
          </w:p>
        </w:tc>
      </w:tr>
      <w:tr w:rsidR="00D576D7" w:rsidRPr="00D576D7" w14:paraId="5BAF8FE1" w14:textId="77777777" w:rsidTr="00032C24">
        <w:trPr>
          <w:gridAfter w:val="1"/>
          <w:wAfter w:w="56" w:type="dxa"/>
          <w:trHeight w:val="570"/>
        </w:trPr>
        <w:tc>
          <w:tcPr>
            <w:tcW w:w="5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7B273" w14:textId="77777777" w:rsidR="00D576D7" w:rsidRPr="00D576D7" w:rsidRDefault="00D576D7" w:rsidP="00032C24">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6</w:t>
            </w:r>
          </w:p>
        </w:tc>
        <w:tc>
          <w:tcPr>
            <w:tcW w:w="737" w:type="dxa"/>
            <w:tcBorders>
              <w:top w:val="single" w:sz="8" w:space="0" w:color="auto"/>
              <w:left w:val="nil"/>
              <w:bottom w:val="single" w:sz="8" w:space="0" w:color="auto"/>
              <w:right w:val="single" w:sz="8" w:space="0" w:color="auto"/>
            </w:tcBorders>
            <w:shd w:val="clear" w:color="auto" w:fill="auto"/>
            <w:vAlign w:val="center"/>
            <w:hideMark/>
          </w:tcPr>
          <w:p w14:paraId="3B15D2F3" w14:textId="77777777" w:rsidR="00D576D7" w:rsidRPr="00D576D7" w:rsidRDefault="00D576D7" w:rsidP="00032C24">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50</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4F4A80B4"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c>
          <w:tcPr>
            <w:tcW w:w="3632" w:type="dxa"/>
            <w:gridSpan w:val="2"/>
            <w:tcBorders>
              <w:top w:val="single" w:sz="8" w:space="0" w:color="auto"/>
              <w:left w:val="nil"/>
              <w:bottom w:val="single" w:sz="8" w:space="0" w:color="auto"/>
              <w:right w:val="single" w:sz="8" w:space="0" w:color="auto"/>
            </w:tcBorders>
            <w:shd w:val="clear" w:color="auto" w:fill="auto"/>
            <w:vAlign w:val="center"/>
            <w:hideMark/>
          </w:tcPr>
          <w:p w14:paraId="78385DB7" w14:textId="77777777" w:rsidR="00D576D7" w:rsidRPr="00D576D7" w:rsidRDefault="00D576D7" w:rsidP="00D576D7">
            <w:pP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Otra información a revelar</w:t>
            </w:r>
          </w:p>
        </w:tc>
        <w:tc>
          <w:tcPr>
            <w:tcW w:w="2221" w:type="dxa"/>
            <w:gridSpan w:val="2"/>
            <w:tcBorders>
              <w:top w:val="single" w:sz="8" w:space="0" w:color="auto"/>
              <w:left w:val="nil"/>
              <w:bottom w:val="single" w:sz="8" w:space="0" w:color="auto"/>
              <w:right w:val="single" w:sz="8" w:space="0" w:color="auto"/>
            </w:tcBorders>
            <w:shd w:val="clear" w:color="auto" w:fill="auto"/>
            <w:vAlign w:val="center"/>
            <w:hideMark/>
          </w:tcPr>
          <w:p w14:paraId="25703E00" w14:textId="77777777" w:rsidR="00D576D7" w:rsidRPr="00D576D7" w:rsidRDefault="00D576D7" w:rsidP="00D576D7">
            <w:pP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NICSP N° 4, </w:t>
            </w:r>
            <w:r w:rsidRPr="00D576D7">
              <w:rPr>
                <w:rFonts w:ascii="Arial Narrow" w:eastAsia="Times New Roman" w:hAnsi="Arial Narrow" w:cs="Calibri"/>
                <w:b/>
                <w:bCs/>
                <w:color w:val="000000"/>
                <w:sz w:val="22"/>
                <w:szCs w:val="22"/>
              </w:rPr>
              <w:br/>
              <w:t>Párrafos 59 y 61.</w:t>
            </w:r>
          </w:p>
        </w:tc>
        <w:tc>
          <w:tcPr>
            <w:tcW w:w="1768" w:type="dxa"/>
            <w:gridSpan w:val="2"/>
            <w:tcBorders>
              <w:top w:val="single" w:sz="8" w:space="0" w:color="auto"/>
              <w:left w:val="nil"/>
              <w:bottom w:val="single" w:sz="8" w:space="0" w:color="auto"/>
              <w:right w:val="single" w:sz="8" w:space="0" w:color="auto"/>
            </w:tcBorders>
            <w:shd w:val="clear" w:color="auto" w:fill="auto"/>
            <w:vAlign w:val="center"/>
            <w:hideMark/>
          </w:tcPr>
          <w:p w14:paraId="5E075E0A" w14:textId="77777777" w:rsidR="00D576D7" w:rsidRPr="00D576D7" w:rsidRDefault="00D576D7" w:rsidP="00D576D7">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r>
      <w:tr w:rsidR="00D576D7" w:rsidRPr="00D576D7" w14:paraId="5B94E77D" w14:textId="77777777" w:rsidTr="00032C24">
        <w:trPr>
          <w:gridAfter w:val="1"/>
          <w:wAfter w:w="56" w:type="dxa"/>
          <w:trHeight w:val="32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792F9A4E" w14:textId="77777777" w:rsidR="00D576D7" w:rsidRPr="00D576D7" w:rsidRDefault="00D576D7" w:rsidP="00032C24">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6</w:t>
            </w:r>
          </w:p>
        </w:tc>
        <w:tc>
          <w:tcPr>
            <w:tcW w:w="737" w:type="dxa"/>
            <w:tcBorders>
              <w:top w:val="nil"/>
              <w:left w:val="nil"/>
              <w:bottom w:val="single" w:sz="8" w:space="0" w:color="auto"/>
              <w:right w:val="single" w:sz="8" w:space="0" w:color="auto"/>
            </w:tcBorders>
            <w:shd w:val="clear" w:color="auto" w:fill="auto"/>
            <w:vAlign w:val="center"/>
            <w:hideMark/>
          </w:tcPr>
          <w:p w14:paraId="323F8DEF" w14:textId="77777777" w:rsidR="00D576D7" w:rsidRPr="00D576D7" w:rsidRDefault="00D576D7" w:rsidP="00032C24">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50</w:t>
            </w:r>
          </w:p>
        </w:tc>
        <w:tc>
          <w:tcPr>
            <w:tcW w:w="425" w:type="dxa"/>
            <w:tcBorders>
              <w:top w:val="nil"/>
              <w:left w:val="nil"/>
              <w:bottom w:val="single" w:sz="8" w:space="0" w:color="auto"/>
              <w:right w:val="nil"/>
            </w:tcBorders>
            <w:shd w:val="clear" w:color="auto" w:fill="auto"/>
            <w:vAlign w:val="center"/>
            <w:hideMark/>
          </w:tcPr>
          <w:p w14:paraId="4B34DD5E" w14:textId="77777777" w:rsidR="00D576D7" w:rsidRPr="00D576D7" w:rsidRDefault="00D576D7" w:rsidP="00032C24">
            <w:pPr>
              <w:jc w:val="cente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1</w:t>
            </w:r>
          </w:p>
        </w:tc>
        <w:tc>
          <w:tcPr>
            <w:tcW w:w="3632" w:type="dxa"/>
            <w:gridSpan w:val="2"/>
            <w:tcBorders>
              <w:top w:val="nil"/>
              <w:left w:val="single" w:sz="8" w:space="0" w:color="auto"/>
              <w:bottom w:val="single" w:sz="8" w:space="0" w:color="auto"/>
              <w:right w:val="single" w:sz="8" w:space="0" w:color="auto"/>
            </w:tcBorders>
            <w:shd w:val="clear" w:color="auto" w:fill="auto"/>
            <w:vAlign w:val="center"/>
            <w:hideMark/>
          </w:tcPr>
          <w:p w14:paraId="461D4D4B" w14:textId="77777777" w:rsidR="00D576D7" w:rsidRPr="00D576D7" w:rsidRDefault="00D576D7" w:rsidP="00D576D7">
            <w:pP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Gestión de la Tesorería</w:t>
            </w:r>
          </w:p>
        </w:tc>
        <w:tc>
          <w:tcPr>
            <w:tcW w:w="2221" w:type="dxa"/>
            <w:gridSpan w:val="2"/>
            <w:tcBorders>
              <w:top w:val="nil"/>
              <w:left w:val="nil"/>
              <w:bottom w:val="single" w:sz="8" w:space="0" w:color="auto"/>
              <w:right w:val="single" w:sz="8" w:space="0" w:color="auto"/>
            </w:tcBorders>
            <w:shd w:val="clear" w:color="auto" w:fill="auto"/>
            <w:vAlign w:val="center"/>
            <w:hideMark/>
          </w:tcPr>
          <w:p w14:paraId="6D2B1088" w14:textId="77777777" w:rsidR="00D576D7" w:rsidRPr="00D576D7" w:rsidRDefault="00D576D7" w:rsidP="00D576D7">
            <w:pPr>
              <w:rPr>
                <w:rFonts w:ascii="Arial Narrow" w:eastAsia="Times New Roman" w:hAnsi="Arial Narrow" w:cs="Calibri"/>
                <w:b/>
                <w:bCs/>
                <w:color w:val="000000"/>
                <w:sz w:val="22"/>
                <w:szCs w:val="22"/>
              </w:rPr>
            </w:pPr>
            <w:r w:rsidRPr="00D576D7">
              <w:rPr>
                <w:rFonts w:ascii="Arial Narrow" w:eastAsia="Times New Roman" w:hAnsi="Arial Narrow" w:cs="Calibri"/>
                <w:b/>
                <w:bCs/>
                <w:color w:val="000000"/>
                <w:sz w:val="22"/>
                <w:szCs w:val="22"/>
              </w:rPr>
              <w:t xml:space="preserve"> </w:t>
            </w:r>
          </w:p>
        </w:tc>
        <w:tc>
          <w:tcPr>
            <w:tcW w:w="1768" w:type="dxa"/>
            <w:gridSpan w:val="2"/>
            <w:tcBorders>
              <w:top w:val="nil"/>
              <w:left w:val="nil"/>
              <w:bottom w:val="single" w:sz="8" w:space="0" w:color="auto"/>
              <w:right w:val="single" w:sz="8" w:space="0" w:color="auto"/>
            </w:tcBorders>
            <w:shd w:val="clear" w:color="auto" w:fill="auto"/>
            <w:vAlign w:val="center"/>
            <w:hideMark/>
          </w:tcPr>
          <w:p w14:paraId="28262CE4" w14:textId="4650B39F" w:rsidR="00D576D7" w:rsidRPr="00D576D7" w:rsidRDefault="00D576D7" w:rsidP="00D576D7">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CGR</w:t>
            </w:r>
          </w:p>
        </w:tc>
      </w:tr>
    </w:tbl>
    <w:p w14:paraId="7E5FBF93" w14:textId="77777777" w:rsidR="00D576D7" w:rsidRDefault="00D576D7" w:rsidP="00D033EC">
      <w:pPr>
        <w:pStyle w:val="Default"/>
        <w:jc w:val="both"/>
        <w:rPr>
          <w:sz w:val="23"/>
          <w:szCs w:val="23"/>
          <w:lang w:val="es-CR"/>
        </w:rPr>
      </w:pPr>
    </w:p>
    <w:p w14:paraId="084D94A1"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79BDFADB" w14:textId="77777777" w:rsidR="00032C24" w:rsidRDefault="00032C24" w:rsidP="00D033EC">
      <w:pPr>
        <w:pStyle w:val="Default"/>
        <w:jc w:val="both"/>
        <w:rPr>
          <w:sz w:val="23"/>
          <w:szCs w:val="23"/>
          <w:lang w:val="es-CR"/>
        </w:rPr>
      </w:pPr>
    </w:p>
    <w:p w14:paraId="64B13553" w14:textId="77777777" w:rsidR="00C63C7A" w:rsidRDefault="00C63C7A" w:rsidP="00C63C7A">
      <w:pPr>
        <w:pStyle w:val="Default"/>
        <w:ind w:left="1134" w:hanging="1134"/>
        <w:jc w:val="both"/>
        <w:rPr>
          <w:sz w:val="22"/>
          <w:szCs w:val="22"/>
          <w:lang w:val="es-CR"/>
        </w:rPr>
      </w:pPr>
      <w:r>
        <w:rPr>
          <w:sz w:val="22"/>
          <w:szCs w:val="22"/>
          <w:lang w:val="es-CR"/>
        </w:rPr>
        <w:t>6.50.0.01</w:t>
      </w:r>
      <w:r>
        <w:rPr>
          <w:sz w:val="22"/>
          <w:szCs w:val="22"/>
          <w:lang w:val="es-CR"/>
        </w:rPr>
        <w:tab/>
        <w:t>C</w:t>
      </w:r>
      <w:r w:rsidR="00D576D7" w:rsidRPr="00C63C7A">
        <w:rPr>
          <w:sz w:val="22"/>
          <w:szCs w:val="22"/>
          <w:lang w:val="es-CR"/>
        </w:rPr>
        <w:t>ada partida del EFE se relacionará con la información correspondiente en las Notas.</w:t>
      </w:r>
    </w:p>
    <w:p w14:paraId="1821041C" w14:textId="77777777" w:rsidR="00C63C7A" w:rsidRDefault="00C63C7A" w:rsidP="00C63C7A">
      <w:pPr>
        <w:pStyle w:val="Default"/>
        <w:ind w:left="1134" w:hanging="1134"/>
        <w:jc w:val="both"/>
        <w:rPr>
          <w:sz w:val="22"/>
          <w:szCs w:val="22"/>
          <w:lang w:val="es-CR"/>
        </w:rPr>
      </w:pPr>
    </w:p>
    <w:p w14:paraId="396F9D8E" w14:textId="77777777" w:rsidR="00C63C7A" w:rsidRDefault="00C63C7A" w:rsidP="00C63C7A">
      <w:pPr>
        <w:pStyle w:val="Default"/>
        <w:ind w:left="1134" w:hanging="1134"/>
        <w:jc w:val="both"/>
        <w:rPr>
          <w:sz w:val="22"/>
          <w:szCs w:val="22"/>
          <w:lang w:val="es-CR"/>
        </w:rPr>
      </w:pPr>
      <w:r>
        <w:rPr>
          <w:sz w:val="22"/>
          <w:szCs w:val="22"/>
          <w:lang w:val="es-CR"/>
        </w:rPr>
        <w:t>6.50.0.02</w:t>
      </w:r>
      <w:r>
        <w:rPr>
          <w:sz w:val="22"/>
          <w:szCs w:val="22"/>
          <w:lang w:val="es-CR"/>
        </w:rPr>
        <w:tab/>
      </w:r>
      <w:r w:rsidR="00D576D7" w:rsidRPr="00C63C7A">
        <w:rPr>
          <w:sz w:val="22"/>
          <w:szCs w:val="22"/>
          <w:lang w:val="es-CR"/>
        </w:rPr>
        <w:t>Las entidades también deberán reflejar en las mismas los siguientes casos:</w:t>
      </w:r>
    </w:p>
    <w:p w14:paraId="6A180A83" w14:textId="1F3B1A60" w:rsidR="00D576D7" w:rsidRPr="00C63C7A" w:rsidRDefault="00D576D7" w:rsidP="00C63C7A">
      <w:pPr>
        <w:pStyle w:val="Default"/>
        <w:ind w:left="1134" w:hanging="1134"/>
        <w:jc w:val="both"/>
        <w:rPr>
          <w:sz w:val="22"/>
          <w:szCs w:val="22"/>
          <w:lang w:val="es-CR"/>
        </w:rPr>
      </w:pPr>
      <w:r w:rsidRPr="00C63C7A">
        <w:rPr>
          <w:sz w:val="22"/>
          <w:szCs w:val="22"/>
          <w:lang w:val="es-CR"/>
        </w:rPr>
        <w:t xml:space="preserve"> </w:t>
      </w:r>
    </w:p>
    <w:p w14:paraId="37582CF1" w14:textId="43720869" w:rsidR="00D576D7" w:rsidRPr="00C63C7A" w:rsidRDefault="00C63C7A">
      <w:pPr>
        <w:pStyle w:val="Default"/>
        <w:numPr>
          <w:ilvl w:val="0"/>
          <w:numId w:val="368"/>
        </w:numPr>
        <w:spacing w:after="120"/>
        <w:ind w:left="1418" w:hanging="284"/>
        <w:jc w:val="both"/>
        <w:rPr>
          <w:sz w:val="22"/>
          <w:szCs w:val="22"/>
          <w:lang w:val="es-CR"/>
        </w:rPr>
      </w:pPr>
      <w:r>
        <w:rPr>
          <w:sz w:val="22"/>
          <w:szCs w:val="22"/>
          <w:lang w:val="es-CR"/>
        </w:rPr>
        <w:t>L</w:t>
      </w:r>
      <w:r w:rsidR="00D576D7" w:rsidRPr="00C63C7A">
        <w:rPr>
          <w:sz w:val="22"/>
          <w:szCs w:val="22"/>
          <w:lang w:val="es-CR"/>
        </w:rPr>
        <w:t xml:space="preserve">as transacciones no monetarias que no han supuesto el uso de efectivo o equivalentes de efectivo; </w:t>
      </w:r>
    </w:p>
    <w:p w14:paraId="4CC0DBDD" w14:textId="63573373" w:rsidR="00D576D7" w:rsidRPr="00C63C7A" w:rsidRDefault="00C63C7A">
      <w:pPr>
        <w:pStyle w:val="Default"/>
        <w:numPr>
          <w:ilvl w:val="0"/>
          <w:numId w:val="368"/>
        </w:numPr>
        <w:spacing w:after="120"/>
        <w:ind w:left="1418" w:hanging="284"/>
        <w:jc w:val="both"/>
        <w:rPr>
          <w:sz w:val="22"/>
          <w:szCs w:val="22"/>
          <w:lang w:val="es-CR"/>
        </w:rPr>
      </w:pPr>
      <w:r>
        <w:rPr>
          <w:sz w:val="22"/>
          <w:szCs w:val="22"/>
          <w:lang w:val="es-CR"/>
        </w:rPr>
        <w:t>C</w:t>
      </w:r>
      <w:r w:rsidR="00D576D7" w:rsidRPr="00C63C7A">
        <w:rPr>
          <w:sz w:val="22"/>
          <w:szCs w:val="22"/>
          <w:lang w:val="es-CR"/>
        </w:rPr>
        <w:t xml:space="preserve">ualquier importe significativo de sus saldos de efectivo y equivalentes al efectivo que no esté disponible para ser utilizado por la entidad económica a la que pertenece; </w:t>
      </w:r>
    </w:p>
    <w:p w14:paraId="1DBF7D9C" w14:textId="3764760A" w:rsidR="00D576D7" w:rsidRPr="00C63C7A" w:rsidRDefault="00C63C7A">
      <w:pPr>
        <w:pStyle w:val="Default"/>
        <w:numPr>
          <w:ilvl w:val="0"/>
          <w:numId w:val="368"/>
        </w:numPr>
        <w:spacing w:after="120"/>
        <w:ind w:left="1418" w:hanging="284"/>
        <w:jc w:val="both"/>
        <w:rPr>
          <w:sz w:val="22"/>
          <w:szCs w:val="22"/>
          <w:lang w:val="es-CR"/>
        </w:rPr>
      </w:pPr>
      <w:r>
        <w:rPr>
          <w:sz w:val="22"/>
          <w:szCs w:val="22"/>
          <w:lang w:val="es-CR"/>
        </w:rPr>
        <w:t>E</w:t>
      </w:r>
      <w:r w:rsidR="00D576D7" w:rsidRPr="00C63C7A">
        <w:rPr>
          <w:sz w:val="22"/>
          <w:szCs w:val="22"/>
          <w:lang w:val="es-CR"/>
        </w:rPr>
        <w:t xml:space="preserve">l importe de los préstamos no dispuestos, que se habiliten o estén disponibles para actividades de operación o para el pago de operaciones de inversión o financiación, indicando las restricciones sobre el uso de tales medios financieros; </w:t>
      </w:r>
    </w:p>
    <w:p w14:paraId="53E9BCE2" w14:textId="15BA1818" w:rsidR="00D576D7" w:rsidRPr="00C63C7A" w:rsidRDefault="00C63C7A">
      <w:pPr>
        <w:pStyle w:val="Default"/>
        <w:numPr>
          <w:ilvl w:val="0"/>
          <w:numId w:val="368"/>
        </w:numPr>
        <w:spacing w:after="18"/>
        <w:ind w:left="1418" w:hanging="284"/>
        <w:jc w:val="both"/>
        <w:rPr>
          <w:sz w:val="22"/>
          <w:szCs w:val="22"/>
          <w:lang w:val="es-CR"/>
        </w:rPr>
      </w:pPr>
      <w:r w:rsidRPr="00C63C7A">
        <w:rPr>
          <w:sz w:val="22"/>
          <w:szCs w:val="22"/>
          <w:lang w:val="es-CR"/>
        </w:rPr>
        <w:t>E</w:t>
      </w:r>
      <w:r w:rsidR="00D576D7" w:rsidRPr="00C63C7A">
        <w:rPr>
          <w:sz w:val="22"/>
          <w:szCs w:val="22"/>
          <w:lang w:val="es-CR"/>
        </w:rPr>
        <w:t xml:space="preserve">l importe y naturaleza de los saldos de efectivo sobre los que existan restricciones. </w:t>
      </w:r>
    </w:p>
    <w:p w14:paraId="49001579" w14:textId="77777777" w:rsidR="00D576D7" w:rsidRPr="00C63C7A" w:rsidRDefault="00D576D7" w:rsidP="00C63C7A">
      <w:pPr>
        <w:pStyle w:val="Default"/>
        <w:jc w:val="both"/>
        <w:rPr>
          <w:sz w:val="22"/>
          <w:szCs w:val="22"/>
          <w:lang w:val="es-CR"/>
        </w:rPr>
      </w:pPr>
    </w:p>
    <w:p w14:paraId="57B2DF9A" w14:textId="2FA26F13" w:rsidR="00D576D7" w:rsidRPr="00C63C7A" w:rsidRDefault="00C63C7A" w:rsidP="00032C24">
      <w:pPr>
        <w:pStyle w:val="Default"/>
        <w:ind w:left="1134" w:hanging="1134"/>
        <w:jc w:val="both"/>
        <w:rPr>
          <w:sz w:val="22"/>
          <w:szCs w:val="22"/>
          <w:lang w:val="es-CR"/>
        </w:rPr>
      </w:pPr>
      <w:r>
        <w:rPr>
          <w:sz w:val="22"/>
          <w:szCs w:val="22"/>
          <w:lang w:val="es-CR"/>
        </w:rPr>
        <w:t>6.50.</w:t>
      </w:r>
      <w:r w:rsidR="00D576D7" w:rsidRPr="00C63C7A">
        <w:rPr>
          <w:sz w:val="22"/>
          <w:szCs w:val="22"/>
          <w:lang w:val="es-CR"/>
        </w:rPr>
        <w:t>1.</w:t>
      </w:r>
      <w:r>
        <w:rPr>
          <w:sz w:val="22"/>
          <w:szCs w:val="22"/>
          <w:lang w:val="es-CR"/>
        </w:rPr>
        <w:t>01</w:t>
      </w:r>
      <w:r>
        <w:rPr>
          <w:sz w:val="22"/>
          <w:szCs w:val="22"/>
          <w:lang w:val="es-CR"/>
        </w:rPr>
        <w:tab/>
      </w:r>
      <w:r w:rsidR="00D576D7" w:rsidRPr="00C63C7A">
        <w:rPr>
          <w:sz w:val="22"/>
          <w:szCs w:val="22"/>
          <w:lang w:val="es-CR"/>
        </w:rPr>
        <w:t>El EFE debe ir acompañado por un análisis de gestión del Tesoro Nacional, que será elaborado por la Tesorería Nacional de la República.</w:t>
      </w:r>
    </w:p>
    <w:p w14:paraId="17E47BE9" w14:textId="77777777" w:rsidR="00D576D7" w:rsidRDefault="00D576D7" w:rsidP="00D033EC">
      <w:pPr>
        <w:pStyle w:val="Default"/>
        <w:jc w:val="both"/>
        <w:rPr>
          <w:sz w:val="23"/>
          <w:szCs w:val="23"/>
          <w:lang w:val="es-CR"/>
        </w:rPr>
      </w:pPr>
    </w:p>
    <w:p w14:paraId="5AC9A32A" w14:textId="77777777" w:rsidR="004319FE" w:rsidRDefault="004319FE" w:rsidP="00D033EC">
      <w:pPr>
        <w:pStyle w:val="Default"/>
        <w:jc w:val="both"/>
        <w:rPr>
          <w:sz w:val="23"/>
          <w:szCs w:val="23"/>
          <w:lang w:val="es-CR"/>
        </w:rPr>
      </w:pPr>
    </w:p>
    <w:p w14:paraId="65E7F129" w14:textId="77777777" w:rsidR="00032C24" w:rsidRDefault="00032C24" w:rsidP="00D033EC">
      <w:pPr>
        <w:pStyle w:val="Default"/>
        <w:jc w:val="both"/>
        <w:rPr>
          <w:sz w:val="23"/>
          <w:szCs w:val="23"/>
          <w:lang w:val="es-CR"/>
        </w:rPr>
      </w:pPr>
    </w:p>
    <w:p w14:paraId="5683C6A7" w14:textId="77777777" w:rsidR="00032C24" w:rsidRDefault="00032C24" w:rsidP="00D033EC">
      <w:pPr>
        <w:pStyle w:val="Default"/>
        <w:jc w:val="both"/>
        <w:rPr>
          <w:sz w:val="23"/>
          <w:szCs w:val="23"/>
          <w:lang w:val="es-CR"/>
        </w:rPr>
      </w:pPr>
    </w:p>
    <w:p w14:paraId="07096B70" w14:textId="77777777" w:rsidR="00032C24" w:rsidRDefault="00032C24" w:rsidP="00D033EC">
      <w:pPr>
        <w:pStyle w:val="Default"/>
        <w:jc w:val="both"/>
        <w:rPr>
          <w:sz w:val="23"/>
          <w:szCs w:val="23"/>
          <w:lang w:val="es-CR"/>
        </w:rPr>
      </w:pPr>
    </w:p>
    <w:p w14:paraId="250826C2" w14:textId="77777777" w:rsidR="00032C24" w:rsidRDefault="00032C24" w:rsidP="00D033EC">
      <w:pPr>
        <w:pStyle w:val="Default"/>
        <w:jc w:val="both"/>
        <w:rPr>
          <w:sz w:val="23"/>
          <w:szCs w:val="23"/>
          <w:lang w:val="es-CR"/>
        </w:rPr>
      </w:pPr>
    </w:p>
    <w:p w14:paraId="22095B89" w14:textId="77777777" w:rsidR="00032C24" w:rsidRDefault="00032C24" w:rsidP="00D033EC">
      <w:pPr>
        <w:pStyle w:val="Default"/>
        <w:jc w:val="both"/>
        <w:rPr>
          <w:sz w:val="23"/>
          <w:szCs w:val="23"/>
          <w:lang w:val="es-CR"/>
        </w:rPr>
      </w:pPr>
    </w:p>
    <w:p w14:paraId="6B38A725" w14:textId="77777777" w:rsidR="00032C24" w:rsidRDefault="00032C24" w:rsidP="00D033EC">
      <w:pPr>
        <w:pStyle w:val="Default"/>
        <w:jc w:val="both"/>
        <w:rPr>
          <w:sz w:val="23"/>
          <w:szCs w:val="23"/>
          <w:lang w:val="es-CR"/>
        </w:rPr>
      </w:pPr>
    </w:p>
    <w:p w14:paraId="5ED184ED" w14:textId="77777777" w:rsidR="00D576D7" w:rsidRDefault="00D576D7" w:rsidP="00D033EC">
      <w:pPr>
        <w:pStyle w:val="Default"/>
        <w:jc w:val="both"/>
        <w:rPr>
          <w:sz w:val="23"/>
          <w:szCs w:val="23"/>
          <w:lang w:val="es-CR"/>
        </w:rPr>
      </w:pPr>
    </w:p>
    <w:tbl>
      <w:tblPr>
        <w:tblW w:w="9399" w:type="dxa"/>
        <w:tblLook w:val="04A0" w:firstRow="1" w:lastRow="0" w:firstColumn="1" w:lastColumn="0" w:noHBand="0" w:noVBand="1"/>
      </w:tblPr>
      <w:tblGrid>
        <w:gridCol w:w="416"/>
        <w:gridCol w:w="708"/>
        <w:gridCol w:w="426"/>
        <w:gridCol w:w="3739"/>
        <w:gridCol w:w="2279"/>
        <w:gridCol w:w="1814"/>
        <w:gridCol w:w="17"/>
      </w:tblGrid>
      <w:tr w:rsidR="004319FE" w:rsidRPr="004319FE" w14:paraId="4E4D1B3E" w14:textId="77777777" w:rsidTr="00032C24">
        <w:trPr>
          <w:gridAfter w:val="1"/>
          <w:wAfter w:w="17" w:type="dxa"/>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5335B64"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lastRenderedPageBreak/>
              <w:t>Norma / Política</w:t>
            </w:r>
          </w:p>
        </w:tc>
        <w:tc>
          <w:tcPr>
            <w:tcW w:w="3739" w:type="dxa"/>
            <w:vMerge w:val="restart"/>
            <w:tcBorders>
              <w:top w:val="single" w:sz="8" w:space="0" w:color="auto"/>
              <w:left w:val="single" w:sz="8" w:space="0" w:color="auto"/>
              <w:bottom w:val="nil"/>
              <w:right w:val="single" w:sz="8" w:space="0" w:color="auto"/>
            </w:tcBorders>
            <w:shd w:val="clear" w:color="000000" w:fill="203764"/>
            <w:vAlign w:val="center"/>
            <w:hideMark/>
          </w:tcPr>
          <w:p w14:paraId="2E45DDE7"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Concepto</w:t>
            </w:r>
          </w:p>
        </w:tc>
        <w:tc>
          <w:tcPr>
            <w:tcW w:w="4093" w:type="dxa"/>
            <w:gridSpan w:val="2"/>
            <w:tcBorders>
              <w:top w:val="single" w:sz="8" w:space="0" w:color="auto"/>
              <w:left w:val="nil"/>
              <w:bottom w:val="single" w:sz="8" w:space="0" w:color="auto"/>
              <w:right w:val="single" w:sz="8" w:space="0" w:color="000000"/>
            </w:tcBorders>
            <w:shd w:val="clear" w:color="000000" w:fill="203764"/>
            <w:vAlign w:val="center"/>
            <w:hideMark/>
          </w:tcPr>
          <w:p w14:paraId="495EA0D6"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Referencia</w:t>
            </w:r>
          </w:p>
        </w:tc>
      </w:tr>
      <w:tr w:rsidR="004319FE" w:rsidRPr="006E5442" w14:paraId="1B808D2D" w14:textId="77777777" w:rsidTr="00032C24">
        <w:trPr>
          <w:gridAfter w:val="1"/>
          <w:wAfter w:w="17" w:type="dxa"/>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7F1AE9C5" w14:textId="77777777" w:rsidR="004319FE" w:rsidRPr="004319FE" w:rsidRDefault="004319FE" w:rsidP="004319FE">
            <w:pPr>
              <w:rPr>
                <w:rFonts w:ascii="Arial Narrow" w:eastAsia="Times New Roman" w:hAnsi="Arial Narrow" w:cs="Calibri"/>
                <w:b/>
                <w:bCs/>
                <w:color w:val="FFFFFF"/>
                <w:sz w:val="22"/>
                <w:szCs w:val="22"/>
              </w:rPr>
            </w:pPr>
          </w:p>
        </w:tc>
        <w:tc>
          <w:tcPr>
            <w:tcW w:w="3739" w:type="dxa"/>
            <w:vMerge/>
            <w:tcBorders>
              <w:top w:val="single" w:sz="8" w:space="0" w:color="auto"/>
              <w:left w:val="single" w:sz="8" w:space="0" w:color="auto"/>
              <w:bottom w:val="nil"/>
              <w:right w:val="single" w:sz="8" w:space="0" w:color="auto"/>
            </w:tcBorders>
            <w:vAlign w:val="center"/>
            <w:hideMark/>
          </w:tcPr>
          <w:p w14:paraId="46871903" w14:textId="77777777" w:rsidR="004319FE" w:rsidRPr="004319FE" w:rsidRDefault="004319FE" w:rsidP="004319FE">
            <w:pPr>
              <w:rPr>
                <w:rFonts w:ascii="Arial Narrow" w:eastAsia="Times New Roman" w:hAnsi="Arial Narrow" w:cs="Calibri"/>
                <w:b/>
                <w:bCs/>
                <w:color w:val="FFFFFF"/>
                <w:sz w:val="22"/>
                <w:szCs w:val="22"/>
              </w:rPr>
            </w:pPr>
          </w:p>
        </w:tc>
        <w:tc>
          <w:tcPr>
            <w:tcW w:w="2279" w:type="dxa"/>
            <w:tcBorders>
              <w:top w:val="nil"/>
              <w:left w:val="nil"/>
              <w:bottom w:val="nil"/>
              <w:right w:val="single" w:sz="8" w:space="0" w:color="auto"/>
            </w:tcBorders>
            <w:shd w:val="clear" w:color="000000" w:fill="203764"/>
            <w:vAlign w:val="center"/>
            <w:hideMark/>
          </w:tcPr>
          <w:p w14:paraId="47D7580A"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Norma</w:t>
            </w:r>
          </w:p>
        </w:tc>
        <w:tc>
          <w:tcPr>
            <w:tcW w:w="1814" w:type="dxa"/>
            <w:tcBorders>
              <w:top w:val="nil"/>
              <w:left w:val="nil"/>
              <w:bottom w:val="nil"/>
              <w:right w:val="single" w:sz="8" w:space="0" w:color="auto"/>
            </w:tcBorders>
            <w:shd w:val="clear" w:color="000000" w:fill="203764"/>
            <w:vAlign w:val="center"/>
            <w:hideMark/>
          </w:tcPr>
          <w:p w14:paraId="2B594A35" w14:textId="77777777" w:rsidR="004319FE" w:rsidRPr="004319FE" w:rsidRDefault="004319FE" w:rsidP="004319FE">
            <w:pPr>
              <w:jc w:val="center"/>
              <w:rPr>
                <w:rFonts w:ascii="Arial Narrow" w:eastAsia="Times New Roman" w:hAnsi="Arial Narrow" w:cs="Calibri"/>
                <w:b/>
                <w:bCs/>
                <w:color w:val="FFFFFF"/>
                <w:sz w:val="22"/>
                <w:szCs w:val="22"/>
                <w:lang w:val="es-CR"/>
              </w:rPr>
            </w:pPr>
            <w:r w:rsidRPr="004319FE">
              <w:rPr>
                <w:rFonts w:ascii="Arial Narrow" w:eastAsia="Times New Roman" w:hAnsi="Arial Narrow" w:cs="Calibri"/>
                <w:b/>
                <w:bCs/>
                <w:color w:val="FFFFFF"/>
                <w:sz w:val="22"/>
                <w:szCs w:val="22"/>
                <w:lang w:val="es-CR"/>
              </w:rPr>
              <w:t>Normativa técnica y disposiciones adicionales</w:t>
            </w:r>
          </w:p>
        </w:tc>
      </w:tr>
      <w:tr w:rsidR="004319FE" w:rsidRPr="004319FE" w14:paraId="4CD30722" w14:textId="77777777" w:rsidTr="00032C24">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B4BA7C" w14:textId="77777777" w:rsidR="004319FE" w:rsidRPr="004319FE" w:rsidRDefault="004319FE" w:rsidP="00032C24">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962F74C" w14:textId="77777777" w:rsidR="004319FE" w:rsidRPr="004319FE" w:rsidRDefault="004319FE" w:rsidP="00032C24">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53</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34B5E6B1"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 xml:space="preserve"> </w:t>
            </w:r>
          </w:p>
        </w:tc>
        <w:tc>
          <w:tcPr>
            <w:tcW w:w="3739" w:type="dxa"/>
            <w:tcBorders>
              <w:top w:val="single" w:sz="8" w:space="0" w:color="auto"/>
              <w:left w:val="nil"/>
              <w:bottom w:val="single" w:sz="8" w:space="0" w:color="auto"/>
              <w:right w:val="single" w:sz="8" w:space="0" w:color="auto"/>
            </w:tcBorders>
            <w:shd w:val="clear" w:color="auto" w:fill="auto"/>
            <w:vAlign w:val="center"/>
            <w:hideMark/>
          </w:tcPr>
          <w:p w14:paraId="415FE41A" w14:textId="77777777" w:rsidR="004319FE" w:rsidRPr="004319FE" w:rsidRDefault="004319FE" w:rsidP="004319FE">
            <w:pP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Modelo de EFE</w:t>
            </w:r>
          </w:p>
        </w:tc>
        <w:tc>
          <w:tcPr>
            <w:tcW w:w="2279" w:type="dxa"/>
            <w:tcBorders>
              <w:top w:val="single" w:sz="8" w:space="0" w:color="auto"/>
              <w:left w:val="nil"/>
              <w:bottom w:val="single" w:sz="8" w:space="0" w:color="auto"/>
              <w:right w:val="single" w:sz="8" w:space="0" w:color="auto"/>
            </w:tcBorders>
            <w:shd w:val="clear" w:color="auto" w:fill="auto"/>
            <w:vAlign w:val="center"/>
            <w:hideMark/>
          </w:tcPr>
          <w:p w14:paraId="16BE7E15" w14:textId="77777777" w:rsidR="004319FE" w:rsidRPr="004319FE" w:rsidRDefault="004319FE" w:rsidP="004319FE">
            <w:pP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 </w:t>
            </w:r>
          </w:p>
        </w:tc>
        <w:tc>
          <w:tcPr>
            <w:tcW w:w="1831" w:type="dxa"/>
            <w:gridSpan w:val="2"/>
            <w:tcBorders>
              <w:top w:val="single" w:sz="8" w:space="0" w:color="auto"/>
              <w:left w:val="nil"/>
              <w:bottom w:val="single" w:sz="8" w:space="0" w:color="auto"/>
              <w:right w:val="single" w:sz="8" w:space="0" w:color="auto"/>
            </w:tcBorders>
            <w:shd w:val="clear" w:color="auto" w:fill="auto"/>
            <w:vAlign w:val="center"/>
            <w:hideMark/>
          </w:tcPr>
          <w:p w14:paraId="24F7ADCB"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DGCN</w:t>
            </w:r>
          </w:p>
        </w:tc>
      </w:tr>
      <w:tr w:rsidR="004319FE" w:rsidRPr="004319FE" w14:paraId="4A1A46DF" w14:textId="77777777" w:rsidTr="00032C24">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6C57AA4" w14:textId="77777777" w:rsidR="004319FE" w:rsidRPr="004319FE" w:rsidRDefault="004319FE" w:rsidP="00032C24">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70FED6DE" w14:textId="77777777" w:rsidR="004319FE" w:rsidRPr="004319FE" w:rsidRDefault="004319FE" w:rsidP="00032C24">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53</w:t>
            </w:r>
          </w:p>
        </w:tc>
        <w:tc>
          <w:tcPr>
            <w:tcW w:w="426" w:type="dxa"/>
            <w:tcBorders>
              <w:top w:val="nil"/>
              <w:left w:val="nil"/>
              <w:bottom w:val="single" w:sz="8" w:space="0" w:color="auto"/>
              <w:right w:val="nil"/>
            </w:tcBorders>
            <w:shd w:val="clear" w:color="auto" w:fill="auto"/>
            <w:vAlign w:val="center"/>
            <w:hideMark/>
          </w:tcPr>
          <w:p w14:paraId="7B85F510"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1</w:t>
            </w:r>
          </w:p>
        </w:tc>
        <w:tc>
          <w:tcPr>
            <w:tcW w:w="3739" w:type="dxa"/>
            <w:tcBorders>
              <w:top w:val="nil"/>
              <w:left w:val="single" w:sz="8" w:space="0" w:color="auto"/>
              <w:bottom w:val="single" w:sz="8" w:space="0" w:color="auto"/>
              <w:right w:val="single" w:sz="8" w:space="0" w:color="auto"/>
            </w:tcBorders>
            <w:shd w:val="clear" w:color="auto" w:fill="auto"/>
            <w:vAlign w:val="center"/>
            <w:hideMark/>
          </w:tcPr>
          <w:p w14:paraId="5D174EBD" w14:textId="77777777" w:rsidR="004319FE" w:rsidRPr="004319FE" w:rsidRDefault="004319FE" w:rsidP="004319FE">
            <w:pP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Exposición saldo nulo</w:t>
            </w:r>
          </w:p>
        </w:tc>
        <w:tc>
          <w:tcPr>
            <w:tcW w:w="2279" w:type="dxa"/>
            <w:tcBorders>
              <w:top w:val="nil"/>
              <w:left w:val="nil"/>
              <w:bottom w:val="single" w:sz="8" w:space="0" w:color="auto"/>
              <w:right w:val="single" w:sz="8" w:space="0" w:color="auto"/>
            </w:tcBorders>
            <w:shd w:val="clear" w:color="auto" w:fill="auto"/>
            <w:vAlign w:val="center"/>
            <w:hideMark/>
          </w:tcPr>
          <w:p w14:paraId="6234801A" w14:textId="77777777" w:rsidR="004319FE" w:rsidRPr="004319FE" w:rsidRDefault="004319FE" w:rsidP="004319FE">
            <w:pP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 xml:space="preserve"> </w:t>
            </w:r>
          </w:p>
        </w:tc>
        <w:tc>
          <w:tcPr>
            <w:tcW w:w="1831" w:type="dxa"/>
            <w:gridSpan w:val="2"/>
            <w:tcBorders>
              <w:top w:val="nil"/>
              <w:left w:val="nil"/>
              <w:bottom w:val="single" w:sz="8" w:space="0" w:color="auto"/>
              <w:right w:val="single" w:sz="8" w:space="0" w:color="auto"/>
            </w:tcBorders>
            <w:shd w:val="clear" w:color="auto" w:fill="auto"/>
            <w:vAlign w:val="center"/>
            <w:hideMark/>
          </w:tcPr>
          <w:p w14:paraId="13233E50"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DGCN</w:t>
            </w:r>
          </w:p>
        </w:tc>
      </w:tr>
    </w:tbl>
    <w:p w14:paraId="472ECE3B" w14:textId="77777777" w:rsidR="00D576D7" w:rsidRDefault="00D576D7" w:rsidP="00D033EC">
      <w:pPr>
        <w:pStyle w:val="Default"/>
        <w:jc w:val="both"/>
        <w:rPr>
          <w:sz w:val="23"/>
          <w:szCs w:val="23"/>
          <w:lang w:val="es-CR"/>
        </w:rPr>
      </w:pPr>
    </w:p>
    <w:p w14:paraId="4B9B51B2"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853A2DA" w14:textId="77777777" w:rsidR="00032C24" w:rsidRDefault="00032C24" w:rsidP="00D033EC">
      <w:pPr>
        <w:pStyle w:val="Default"/>
        <w:jc w:val="both"/>
        <w:rPr>
          <w:sz w:val="23"/>
          <w:szCs w:val="23"/>
          <w:lang w:val="es-CR"/>
        </w:rPr>
      </w:pPr>
    </w:p>
    <w:p w14:paraId="6322949E" w14:textId="5970F761" w:rsidR="004319FE" w:rsidRPr="00C66D80" w:rsidRDefault="00C66D80" w:rsidP="00C66D80">
      <w:pPr>
        <w:pStyle w:val="Default"/>
        <w:ind w:left="1134" w:hanging="1134"/>
        <w:jc w:val="both"/>
        <w:rPr>
          <w:sz w:val="22"/>
          <w:szCs w:val="22"/>
          <w:lang w:val="es-CR"/>
        </w:rPr>
      </w:pPr>
      <w:r>
        <w:rPr>
          <w:sz w:val="22"/>
          <w:szCs w:val="22"/>
          <w:lang w:val="es-CR"/>
        </w:rPr>
        <w:t>6.53.0.01</w:t>
      </w:r>
      <w:r>
        <w:rPr>
          <w:sz w:val="22"/>
          <w:szCs w:val="22"/>
          <w:lang w:val="es-CR"/>
        </w:rPr>
        <w:tab/>
      </w:r>
      <w:r w:rsidR="004319FE" w:rsidRPr="00C66D80">
        <w:rPr>
          <w:sz w:val="22"/>
          <w:szCs w:val="22"/>
          <w:lang w:val="es-CR"/>
        </w:rPr>
        <w:t xml:space="preserve">En el Anexo I se adjunta el modelo que rige la presentación del EFE y la información en él contenida, es la mínima que las entidades gubernamentales deben cumplir. </w:t>
      </w:r>
    </w:p>
    <w:p w14:paraId="701D5BC7" w14:textId="77777777" w:rsidR="00C66D80" w:rsidRDefault="00C66D80" w:rsidP="00C66D80">
      <w:pPr>
        <w:pStyle w:val="Default"/>
        <w:jc w:val="both"/>
        <w:rPr>
          <w:b/>
          <w:bCs/>
          <w:sz w:val="22"/>
          <w:szCs w:val="22"/>
          <w:lang w:val="es-CR"/>
        </w:rPr>
      </w:pPr>
    </w:p>
    <w:p w14:paraId="4C11D140" w14:textId="4D25F0B9" w:rsidR="00D576D7" w:rsidRPr="00C66D80" w:rsidRDefault="00C66D80" w:rsidP="00C66D80">
      <w:pPr>
        <w:pStyle w:val="Default"/>
        <w:ind w:left="1134" w:hanging="1134"/>
        <w:jc w:val="both"/>
        <w:rPr>
          <w:sz w:val="22"/>
          <w:szCs w:val="22"/>
          <w:lang w:val="es-CR"/>
        </w:rPr>
      </w:pPr>
      <w:r w:rsidRPr="00C66D80">
        <w:rPr>
          <w:sz w:val="22"/>
          <w:szCs w:val="22"/>
          <w:lang w:val="es-CR"/>
        </w:rPr>
        <w:t>6.53.</w:t>
      </w:r>
      <w:r w:rsidR="004319FE" w:rsidRPr="00C66D80">
        <w:rPr>
          <w:sz w:val="22"/>
          <w:szCs w:val="22"/>
          <w:lang w:val="es-CR"/>
        </w:rPr>
        <w:t>1.</w:t>
      </w:r>
      <w:r w:rsidRPr="00C66D80">
        <w:rPr>
          <w:sz w:val="22"/>
          <w:szCs w:val="22"/>
          <w:lang w:val="es-CR"/>
        </w:rPr>
        <w:t>01</w:t>
      </w:r>
      <w:r w:rsidRPr="00C66D80">
        <w:rPr>
          <w:sz w:val="22"/>
          <w:szCs w:val="22"/>
          <w:lang w:val="es-CR"/>
        </w:rPr>
        <w:tab/>
      </w:r>
      <w:r w:rsidR="004319FE" w:rsidRPr="00C66D80">
        <w:rPr>
          <w:sz w:val="22"/>
          <w:szCs w:val="22"/>
          <w:lang w:val="es-CR"/>
        </w:rPr>
        <w:t>En los Estados a presentar a la DGCN se deberá establecer, en nota aclaratoria, si la entidad no presenta saldos ni ha tenido transacciones en algunas de sus partidas o componentes, debiendo exponer las mismas aun teniendo saldo nulo.</w:t>
      </w:r>
    </w:p>
    <w:p w14:paraId="18867BAD" w14:textId="77777777" w:rsidR="00D576D7" w:rsidRDefault="00D576D7" w:rsidP="00D033EC">
      <w:pPr>
        <w:pStyle w:val="Default"/>
        <w:jc w:val="both"/>
        <w:rPr>
          <w:sz w:val="23"/>
          <w:szCs w:val="23"/>
          <w:lang w:val="es-CR"/>
        </w:rPr>
      </w:pPr>
    </w:p>
    <w:p w14:paraId="03A5D08F" w14:textId="77777777" w:rsidR="00D576D7" w:rsidRDefault="00D576D7" w:rsidP="00D033EC">
      <w:pPr>
        <w:pStyle w:val="Default"/>
        <w:jc w:val="both"/>
        <w:rPr>
          <w:sz w:val="23"/>
          <w:szCs w:val="23"/>
          <w:lang w:val="es-CR"/>
        </w:rPr>
      </w:pPr>
    </w:p>
    <w:p w14:paraId="01B8D6CA" w14:textId="77777777" w:rsidR="00D576D7" w:rsidRDefault="00D576D7" w:rsidP="00D033EC">
      <w:pPr>
        <w:pStyle w:val="Default"/>
        <w:jc w:val="both"/>
        <w:rPr>
          <w:sz w:val="23"/>
          <w:szCs w:val="23"/>
          <w:lang w:val="es-CR"/>
        </w:rPr>
      </w:pPr>
    </w:p>
    <w:p w14:paraId="4101FFA4" w14:textId="77777777" w:rsidR="00032C24" w:rsidRDefault="00032C24" w:rsidP="00D033EC">
      <w:pPr>
        <w:pStyle w:val="Default"/>
        <w:jc w:val="both"/>
        <w:rPr>
          <w:sz w:val="23"/>
          <w:szCs w:val="23"/>
          <w:lang w:val="es-CR"/>
        </w:rPr>
      </w:pPr>
    </w:p>
    <w:p w14:paraId="6C0ACC68" w14:textId="3EFFB659" w:rsidR="00D576D7" w:rsidRPr="004319FE" w:rsidRDefault="004319FE" w:rsidP="004319FE">
      <w:pPr>
        <w:pStyle w:val="Ttulo2"/>
        <w:ind w:left="284"/>
        <w:rPr>
          <w:rFonts w:ascii="Arial" w:eastAsia="Arial" w:hAnsi="Arial" w:cs="Arial"/>
          <w:b/>
          <w:bCs/>
          <w:sz w:val="24"/>
          <w:szCs w:val="24"/>
          <w:lang w:val="es-CR"/>
        </w:rPr>
      </w:pPr>
      <w:bookmarkStart w:id="179" w:name="_Toc172726314"/>
      <w:r w:rsidRPr="004319FE">
        <w:rPr>
          <w:rFonts w:ascii="Arial" w:eastAsia="Arial" w:hAnsi="Arial" w:cs="Arial"/>
          <w:b/>
          <w:bCs/>
          <w:sz w:val="24"/>
          <w:szCs w:val="24"/>
          <w:lang w:val="es-CR"/>
        </w:rPr>
        <w:t>Notas a la IFPG</w:t>
      </w:r>
      <w:bookmarkEnd w:id="179"/>
    </w:p>
    <w:p w14:paraId="344FFC4B" w14:textId="77777777" w:rsidR="00D576D7" w:rsidRDefault="00D576D7" w:rsidP="00D033EC">
      <w:pPr>
        <w:pStyle w:val="Default"/>
        <w:jc w:val="both"/>
        <w:rPr>
          <w:sz w:val="23"/>
          <w:szCs w:val="23"/>
          <w:lang w:val="es-CR"/>
        </w:rPr>
      </w:pPr>
    </w:p>
    <w:p w14:paraId="0C67D297" w14:textId="77777777" w:rsidR="00D576D7" w:rsidRDefault="00D576D7"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88"/>
        <w:gridCol w:w="2253"/>
        <w:gridCol w:w="1855"/>
      </w:tblGrid>
      <w:tr w:rsidR="004319FE" w:rsidRPr="004319FE" w14:paraId="4197E629" w14:textId="77777777" w:rsidTr="00032C24">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3A49C51"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7D0D96D4"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Concepto</w:t>
            </w:r>
          </w:p>
        </w:tc>
        <w:tc>
          <w:tcPr>
            <w:tcW w:w="4108" w:type="dxa"/>
            <w:gridSpan w:val="2"/>
            <w:tcBorders>
              <w:top w:val="single" w:sz="8" w:space="0" w:color="auto"/>
              <w:left w:val="nil"/>
              <w:bottom w:val="single" w:sz="8" w:space="0" w:color="auto"/>
              <w:right w:val="single" w:sz="8" w:space="0" w:color="000000"/>
            </w:tcBorders>
            <w:shd w:val="clear" w:color="000000" w:fill="203764"/>
            <w:vAlign w:val="center"/>
            <w:hideMark/>
          </w:tcPr>
          <w:p w14:paraId="0D604731"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Referencia</w:t>
            </w:r>
          </w:p>
        </w:tc>
      </w:tr>
      <w:tr w:rsidR="004319FE" w:rsidRPr="006E5442" w14:paraId="26814ACB" w14:textId="77777777" w:rsidTr="00032C24">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7B65980B" w14:textId="77777777" w:rsidR="004319FE" w:rsidRPr="004319FE" w:rsidRDefault="004319FE" w:rsidP="004319FE">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0386E672" w14:textId="77777777" w:rsidR="004319FE" w:rsidRPr="004319FE" w:rsidRDefault="004319FE" w:rsidP="004319FE">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69434E0C"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561609C2" w14:textId="77777777" w:rsidR="004319FE" w:rsidRPr="004319FE" w:rsidRDefault="004319FE" w:rsidP="004319FE">
            <w:pPr>
              <w:jc w:val="center"/>
              <w:rPr>
                <w:rFonts w:ascii="Arial Narrow" w:eastAsia="Times New Roman" w:hAnsi="Arial Narrow" w:cs="Calibri"/>
                <w:b/>
                <w:bCs/>
                <w:color w:val="FFFFFF"/>
                <w:sz w:val="22"/>
                <w:szCs w:val="22"/>
                <w:lang w:val="es-CR"/>
              </w:rPr>
            </w:pPr>
            <w:r w:rsidRPr="004319FE">
              <w:rPr>
                <w:rFonts w:ascii="Arial Narrow" w:eastAsia="Times New Roman" w:hAnsi="Arial Narrow" w:cs="Calibri"/>
                <w:b/>
                <w:bCs/>
                <w:color w:val="FFFFFF"/>
                <w:sz w:val="22"/>
                <w:szCs w:val="22"/>
                <w:lang w:val="es-CR"/>
              </w:rPr>
              <w:t>Normativa técnica y disposiciones adicionales</w:t>
            </w:r>
          </w:p>
        </w:tc>
      </w:tr>
      <w:tr w:rsidR="004319FE" w:rsidRPr="004319FE" w14:paraId="3312E1E8" w14:textId="77777777" w:rsidTr="00032C24">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1F1620"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8A0B54C"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54</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857FF1F"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 xml:space="preserve">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42E33249" w14:textId="77777777" w:rsidR="004319FE" w:rsidRPr="004319FE" w:rsidRDefault="004319FE" w:rsidP="004319FE">
            <w:pPr>
              <w:jc w:val="both"/>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Notas</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3FA24A2B" w14:textId="77777777" w:rsidR="00032C24" w:rsidRDefault="004319FE" w:rsidP="004319FE">
            <w:pPr>
              <w:jc w:val="both"/>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NICSP N° 1,</w:t>
            </w:r>
          </w:p>
          <w:p w14:paraId="210CF52F" w14:textId="59196E1E" w:rsidR="004319FE" w:rsidRPr="004319FE" w:rsidRDefault="004319FE" w:rsidP="004319FE">
            <w:pPr>
              <w:jc w:val="both"/>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Párrafo 127.</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0926DDAD"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 </w:t>
            </w:r>
          </w:p>
        </w:tc>
      </w:tr>
    </w:tbl>
    <w:p w14:paraId="4784AE16" w14:textId="77777777" w:rsidR="00D576D7" w:rsidRDefault="00D576D7" w:rsidP="00D033EC">
      <w:pPr>
        <w:pStyle w:val="Default"/>
        <w:jc w:val="both"/>
        <w:rPr>
          <w:sz w:val="23"/>
          <w:szCs w:val="23"/>
          <w:lang w:val="es-CR"/>
        </w:rPr>
      </w:pPr>
    </w:p>
    <w:p w14:paraId="50EFA232" w14:textId="77777777" w:rsidR="00032C24" w:rsidRDefault="00032C24" w:rsidP="00032C24">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96199EF" w14:textId="77777777" w:rsidR="00032C24" w:rsidRDefault="00032C24" w:rsidP="00D033EC">
      <w:pPr>
        <w:pStyle w:val="Default"/>
        <w:jc w:val="both"/>
        <w:rPr>
          <w:sz w:val="23"/>
          <w:szCs w:val="23"/>
          <w:lang w:val="es-CR"/>
        </w:rPr>
      </w:pPr>
    </w:p>
    <w:p w14:paraId="58D8BDAD" w14:textId="0DB3F163" w:rsidR="004D5BA6" w:rsidRDefault="00C66D80" w:rsidP="00C66D80">
      <w:pPr>
        <w:pStyle w:val="Default"/>
        <w:ind w:left="1134" w:hanging="1134"/>
        <w:jc w:val="both"/>
        <w:rPr>
          <w:sz w:val="23"/>
          <w:szCs w:val="23"/>
          <w:lang w:val="es-CR"/>
        </w:rPr>
      </w:pPr>
      <w:r>
        <w:rPr>
          <w:sz w:val="23"/>
          <w:szCs w:val="23"/>
          <w:lang w:val="es-CR"/>
        </w:rPr>
        <w:t>6.54.0.01</w:t>
      </w:r>
      <w:r>
        <w:rPr>
          <w:sz w:val="23"/>
          <w:szCs w:val="23"/>
          <w:lang w:val="es-CR"/>
        </w:rPr>
        <w:tab/>
      </w:r>
      <w:r w:rsidR="004D5BA6">
        <w:rPr>
          <w:sz w:val="23"/>
          <w:szCs w:val="23"/>
          <w:lang w:val="es-CR"/>
        </w:rPr>
        <w:t xml:space="preserve">Las Notas </w:t>
      </w:r>
      <w:r w:rsidR="004319FE" w:rsidRPr="004319FE">
        <w:rPr>
          <w:sz w:val="23"/>
          <w:szCs w:val="23"/>
          <w:lang w:val="es-CR"/>
        </w:rPr>
        <w:t>conten</w:t>
      </w:r>
      <w:r w:rsidR="004D5BA6">
        <w:rPr>
          <w:sz w:val="23"/>
          <w:szCs w:val="23"/>
          <w:lang w:val="es-CR"/>
        </w:rPr>
        <w:t>d</w:t>
      </w:r>
      <w:r w:rsidR="004319FE" w:rsidRPr="004319FE">
        <w:rPr>
          <w:sz w:val="23"/>
          <w:szCs w:val="23"/>
          <w:lang w:val="es-CR"/>
        </w:rPr>
        <w:t>r</w:t>
      </w:r>
      <w:r w:rsidR="004D5BA6">
        <w:rPr>
          <w:sz w:val="23"/>
          <w:szCs w:val="23"/>
          <w:lang w:val="es-CR"/>
        </w:rPr>
        <w:t>án</w:t>
      </w:r>
      <w:r w:rsidR="004319FE" w:rsidRPr="004319FE">
        <w:rPr>
          <w:sz w:val="23"/>
          <w:szCs w:val="23"/>
          <w:lang w:val="es-CR"/>
        </w:rPr>
        <w:t xml:space="preserve"> información adicional en los estados principales y complementarios. Éstas proporcionan </w:t>
      </w:r>
      <w:r w:rsidR="004D5BA6">
        <w:rPr>
          <w:sz w:val="23"/>
          <w:szCs w:val="23"/>
          <w:lang w:val="es-CR"/>
        </w:rPr>
        <w:t xml:space="preserve">a los lectores </w:t>
      </w:r>
      <w:r w:rsidR="004319FE" w:rsidRPr="004319FE">
        <w:rPr>
          <w:sz w:val="23"/>
          <w:szCs w:val="23"/>
          <w:lang w:val="es-CR"/>
        </w:rPr>
        <w:t>descripciones narrativas o desagregaciones de partidas reveladas en dichos estados y contienen información sobre las que no cumplen las condiciones para ser reconocidas en los estados.</w:t>
      </w:r>
    </w:p>
    <w:p w14:paraId="355B9073" w14:textId="79E4C7FA" w:rsidR="004D5BA6" w:rsidRDefault="004319FE" w:rsidP="00C66D80">
      <w:pPr>
        <w:pStyle w:val="Default"/>
        <w:ind w:left="1134" w:hanging="1134"/>
        <w:jc w:val="both"/>
        <w:rPr>
          <w:sz w:val="23"/>
          <w:szCs w:val="23"/>
          <w:lang w:val="es-CR"/>
        </w:rPr>
      </w:pPr>
      <w:r w:rsidRPr="004319FE">
        <w:rPr>
          <w:sz w:val="23"/>
          <w:szCs w:val="23"/>
          <w:lang w:val="es-CR"/>
        </w:rPr>
        <w:t xml:space="preserve"> </w:t>
      </w:r>
    </w:p>
    <w:p w14:paraId="6085452C" w14:textId="283AFC10" w:rsidR="00C66D80" w:rsidRDefault="004D5BA6" w:rsidP="00C66D80">
      <w:pPr>
        <w:pStyle w:val="Default"/>
        <w:ind w:left="1134" w:hanging="1134"/>
        <w:jc w:val="both"/>
        <w:rPr>
          <w:sz w:val="23"/>
          <w:szCs w:val="23"/>
          <w:lang w:val="es-CR"/>
        </w:rPr>
      </w:pPr>
      <w:r>
        <w:rPr>
          <w:sz w:val="23"/>
          <w:szCs w:val="23"/>
          <w:lang w:val="es-CR"/>
        </w:rPr>
        <w:t>6.54.0.02</w:t>
      </w:r>
      <w:r>
        <w:rPr>
          <w:sz w:val="23"/>
          <w:szCs w:val="23"/>
          <w:lang w:val="es-CR"/>
        </w:rPr>
        <w:tab/>
      </w:r>
      <w:r w:rsidR="004319FE" w:rsidRPr="00C66D80">
        <w:rPr>
          <w:sz w:val="23"/>
          <w:szCs w:val="23"/>
          <w:lang w:val="es-CR"/>
        </w:rPr>
        <w:t>La estructura de las notas deberá</w:t>
      </w:r>
      <w:r>
        <w:rPr>
          <w:sz w:val="23"/>
          <w:szCs w:val="23"/>
          <w:lang w:val="es-CR"/>
        </w:rPr>
        <w:t xml:space="preserve"> pr</w:t>
      </w:r>
      <w:r w:rsidR="004319FE" w:rsidRPr="004319FE">
        <w:rPr>
          <w:sz w:val="23"/>
          <w:szCs w:val="23"/>
          <w:lang w:val="es-CR"/>
        </w:rPr>
        <w:t xml:space="preserve">esentar información acerca de las bases para la preparación de los EEFF y sobre las políticas contables específicas utilizadas, a saber: </w:t>
      </w:r>
    </w:p>
    <w:p w14:paraId="467D21BC" w14:textId="77777777" w:rsidR="00C66D80" w:rsidRDefault="00C66D80" w:rsidP="00C66D80">
      <w:pPr>
        <w:pStyle w:val="Default"/>
        <w:jc w:val="both"/>
        <w:rPr>
          <w:sz w:val="23"/>
          <w:szCs w:val="23"/>
          <w:lang w:val="es-CR"/>
        </w:rPr>
      </w:pPr>
    </w:p>
    <w:p w14:paraId="4EE3EF38" w14:textId="72805B20" w:rsidR="004319FE" w:rsidRPr="00C66D80" w:rsidRDefault="004D5BA6">
      <w:pPr>
        <w:pStyle w:val="Default"/>
        <w:numPr>
          <w:ilvl w:val="0"/>
          <w:numId w:val="369"/>
        </w:numPr>
        <w:spacing w:after="120"/>
        <w:ind w:left="1418" w:hanging="284"/>
        <w:jc w:val="both"/>
        <w:rPr>
          <w:color w:val="auto"/>
          <w:lang w:val="es-CR"/>
        </w:rPr>
      </w:pPr>
      <w:r>
        <w:rPr>
          <w:sz w:val="23"/>
          <w:szCs w:val="23"/>
          <w:lang w:val="es-CR"/>
        </w:rPr>
        <w:t>L</w:t>
      </w:r>
      <w:r w:rsidR="004319FE" w:rsidRPr="004319FE">
        <w:rPr>
          <w:sz w:val="23"/>
          <w:szCs w:val="23"/>
          <w:lang w:val="es-CR"/>
        </w:rPr>
        <w:t xml:space="preserve">a base o bases de medición utilizadas al preparar los EEFF; </w:t>
      </w:r>
    </w:p>
    <w:p w14:paraId="195D208C" w14:textId="7D55CA58" w:rsidR="004319FE" w:rsidRPr="004319FE" w:rsidRDefault="004D5BA6">
      <w:pPr>
        <w:pStyle w:val="Default"/>
        <w:numPr>
          <w:ilvl w:val="0"/>
          <w:numId w:val="369"/>
        </w:numPr>
        <w:spacing w:after="120"/>
        <w:ind w:left="1418" w:hanging="284"/>
        <w:jc w:val="both"/>
        <w:rPr>
          <w:sz w:val="23"/>
          <w:szCs w:val="23"/>
          <w:lang w:val="es-CR"/>
        </w:rPr>
      </w:pPr>
      <w:r>
        <w:rPr>
          <w:sz w:val="23"/>
          <w:szCs w:val="23"/>
          <w:lang w:val="es-CR"/>
        </w:rPr>
        <w:t>E</w:t>
      </w:r>
      <w:r w:rsidR="004319FE" w:rsidRPr="004319FE">
        <w:rPr>
          <w:sz w:val="23"/>
          <w:szCs w:val="23"/>
          <w:lang w:val="es-CR"/>
        </w:rPr>
        <w:t xml:space="preserve">l grado en que la </w:t>
      </w:r>
      <w:r>
        <w:rPr>
          <w:sz w:val="23"/>
          <w:szCs w:val="23"/>
          <w:lang w:val="es-CR"/>
        </w:rPr>
        <w:t>Municipalidad</w:t>
      </w:r>
      <w:r w:rsidR="004319FE" w:rsidRPr="004319FE">
        <w:rPr>
          <w:sz w:val="23"/>
          <w:szCs w:val="23"/>
          <w:lang w:val="es-CR"/>
        </w:rPr>
        <w:t xml:space="preserve"> ha aplicado alguna de las disposiciones transitorias de alguna de las NICSP; </w:t>
      </w:r>
    </w:p>
    <w:p w14:paraId="24B64F3C" w14:textId="3F03ED67" w:rsidR="004319FE" w:rsidRPr="004319FE" w:rsidRDefault="00C66D80">
      <w:pPr>
        <w:pStyle w:val="Default"/>
        <w:numPr>
          <w:ilvl w:val="0"/>
          <w:numId w:val="369"/>
        </w:numPr>
        <w:spacing w:after="120"/>
        <w:ind w:left="1418" w:hanging="284"/>
        <w:jc w:val="both"/>
        <w:rPr>
          <w:sz w:val="23"/>
          <w:szCs w:val="23"/>
          <w:lang w:val="es-CR"/>
        </w:rPr>
      </w:pPr>
      <w:r>
        <w:rPr>
          <w:sz w:val="23"/>
          <w:szCs w:val="23"/>
          <w:lang w:val="es-CR"/>
        </w:rPr>
        <w:t>L</w:t>
      </w:r>
      <w:r w:rsidR="004319FE" w:rsidRPr="004319FE">
        <w:rPr>
          <w:sz w:val="23"/>
          <w:szCs w:val="23"/>
          <w:lang w:val="es-CR"/>
        </w:rPr>
        <w:t xml:space="preserve">as demás políticas contables utilizadas que sean relevantes para la comprensión de los EEFF; y </w:t>
      </w:r>
    </w:p>
    <w:p w14:paraId="010A895E" w14:textId="5F4C9A49" w:rsidR="004319FE" w:rsidRPr="004319FE" w:rsidRDefault="00C66D80">
      <w:pPr>
        <w:pStyle w:val="Default"/>
        <w:numPr>
          <w:ilvl w:val="0"/>
          <w:numId w:val="369"/>
        </w:numPr>
        <w:spacing w:after="120"/>
        <w:ind w:left="1418" w:hanging="284"/>
        <w:jc w:val="both"/>
        <w:rPr>
          <w:sz w:val="23"/>
          <w:szCs w:val="23"/>
          <w:lang w:val="es-CR"/>
        </w:rPr>
      </w:pPr>
      <w:r>
        <w:rPr>
          <w:sz w:val="23"/>
          <w:szCs w:val="23"/>
          <w:lang w:val="es-CR"/>
        </w:rPr>
        <w:t>R</w:t>
      </w:r>
      <w:r w:rsidR="004319FE" w:rsidRPr="004319FE">
        <w:rPr>
          <w:sz w:val="23"/>
          <w:szCs w:val="23"/>
          <w:lang w:val="es-CR"/>
        </w:rPr>
        <w:t xml:space="preserve">evelar las diferencias entre los juicios profesionales y las estimaciones utilizadas, que tengan un efecto significativo sobre los importes reconocidos en los EEFF; </w:t>
      </w:r>
    </w:p>
    <w:p w14:paraId="3B65B5B7" w14:textId="6616761F" w:rsidR="004319FE" w:rsidRPr="004319FE" w:rsidRDefault="00C66D80">
      <w:pPr>
        <w:pStyle w:val="Default"/>
        <w:numPr>
          <w:ilvl w:val="0"/>
          <w:numId w:val="369"/>
        </w:numPr>
        <w:spacing w:after="120"/>
        <w:ind w:left="1418" w:hanging="284"/>
        <w:jc w:val="both"/>
        <w:rPr>
          <w:sz w:val="23"/>
          <w:szCs w:val="23"/>
          <w:lang w:val="es-CR"/>
        </w:rPr>
      </w:pPr>
      <w:r>
        <w:rPr>
          <w:sz w:val="23"/>
          <w:szCs w:val="23"/>
          <w:lang w:val="es-CR"/>
        </w:rPr>
        <w:lastRenderedPageBreak/>
        <w:t>R</w:t>
      </w:r>
      <w:r w:rsidR="004319FE" w:rsidRPr="004319FE">
        <w:rPr>
          <w:sz w:val="23"/>
          <w:szCs w:val="23"/>
          <w:lang w:val="es-CR"/>
        </w:rPr>
        <w:t xml:space="preserve">evelar la información requerida por las NICSP que no se presenta en los estados principales y complementarios de los EEFF; y </w:t>
      </w:r>
    </w:p>
    <w:p w14:paraId="36A201B0" w14:textId="0E393E32" w:rsidR="004319FE" w:rsidRDefault="00C66D80">
      <w:pPr>
        <w:pStyle w:val="Default"/>
        <w:numPr>
          <w:ilvl w:val="0"/>
          <w:numId w:val="369"/>
        </w:numPr>
        <w:ind w:left="1418" w:hanging="284"/>
        <w:jc w:val="both"/>
        <w:rPr>
          <w:sz w:val="23"/>
          <w:szCs w:val="23"/>
          <w:lang w:val="es-CR"/>
        </w:rPr>
      </w:pPr>
      <w:r>
        <w:rPr>
          <w:sz w:val="23"/>
          <w:szCs w:val="23"/>
          <w:lang w:val="es-CR"/>
        </w:rPr>
        <w:t>Su</w:t>
      </w:r>
      <w:r w:rsidR="004319FE" w:rsidRPr="004319FE">
        <w:rPr>
          <w:sz w:val="23"/>
          <w:szCs w:val="23"/>
          <w:lang w:val="es-CR"/>
        </w:rPr>
        <w:t>ministrar la información adicional que, no presentándose en los estados principales y complementarios de los EEFF, sea relevante para la comprensión de alguno de ellos.</w:t>
      </w:r>
    </w:p>
    <w:p w14:paraId="49A1ACF0" w14:textId="77777777" w:rsidR="00032C24" w:rsidRPr="004319FE" w:rsidRDefault="00032C24" w:rsidP="00032C24">
      <w:pPr>
        <w:pStyle w:val="Default"/>
        <w:ind w:left="1418"/>
        <w:jc w:val="both"/>
        <w:rPr>
          <w:sz w:val="23"/>
          <w:szCs w:val="23"/>
          <w:lang w:val="es-CR"/>
        </w:rPr>
      </w:pPr>
    </w:p>
    <w:p w14:paraId="40F76566" w14:textId="77777777" w:rsidR="00D576D7" w:rsidRDefault="00D576D7" w:rsidP="00D033EC">
      <w:pPr>
        <w:pStyle w:val="Default"/>
        <w:jc w:val="both"/>
        <w:rPr>
          <w:sz w:val="23"/>
          <w:szCs w:val="23"/>
          <w:lang w:val="es-CR"/>
        </w:rPr>
      </w:pPr>
    </w:p>
    <w:p w14:paraId="24820705" w14:textId="77777777" w:rsidR="00D576D7" w:rsidRDefault="00D576D7"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91"/>
        <w:gridCol w:w="2251"/>
        <w:gridCol w:w="1854"/>
      </w:tblGrid>
      <w:tr w:rsidR="004319FE" w:rsidRPr="004319FE" w14:paraId="6BD6908F" w14:textId="77777777" w:rsidTr="001F18A0">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4E42D59"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20ACA353"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Concepto</w:t>
            </w:r>
          </w:p>
        </w:tc>
        <w:tc>
          <w:tcPr>
            <w:tcW w:w="4105" w:type="dxa"/>
            <w:gridSpan w:val="2"/>
            <w:tcBorders>
              <w:top w:val="single" w:sz="8" w:space="0" w:color="auto"/>
              <w:left w:val="nil"/>
              <w:bottom w:val="single" w:sz="8" w:space="0" w:color="auto"/>
              <w:right w:val="single" w:sz="8" w:space="0" w:color="000000"/>
            </w:tcBorders>
            <w:shd w:val="clear" w:color="000000" w:fill="203764"/>
            <w:vAlign w:val="center"/>
            <w:hideMark/>
          </w:tcPr>
          <w:p w14:paraId="1A027887"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Referencia</w:t>
            </w:r>
          </w:p>
        </w:tc>
      </w:tr>
      <w:tr w:rsidR="004319FE" w:rsidRPr="006E5442" w14:paraId="56AD2F98" w14:textId="77777777" w:rsidTr="001F18A0">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21749CA9" w14:textId="77777777" w:rsidR="004319FE" w:rsidRPr="004319FE" w:rsidRDefault="004319FE" w:rsidP="004319FE">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11AAC9A7" w14:textId="77777777" w:rsidR="004319FE" w:rsidRPr="004319FE" w:rsidRDefault="004319FE" w:rsidP="004319FE">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6006BF5E" w14:textId="77777777" w:rsidR="004319FE" w:rsidRPr="004319FE" w:rsidRDefault="004319FE" w:rsidP="004319FE">
            <w:pPr>
              <w:jc w:val="center"/>
              <w:rPr>
                <w:rFonts w:ascii="Arial Narrow" w:eastAsia="Times New Roman" w:hAnsi="Arial Narrow" w:cs="Calibri"/>
                <w:b/>
                <w:bCs/>
                <w:color w:val="FFFFFF"/>
                <w:sz w:val="22"/>
                <w:szCs w:val="22"/>
              </w:rPr>
            </w:pPr>
            <w:r w:rsidRPr="004319FE">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7DE85FB9" w14:textId="77777777" w:rsidR="004319FE" w:rsidRPr="004319FE" w:rsidRDefault="004319FE" w:rsidP="004319FE">
            <w:pPr>
              <w:jc w:val="center"/>
              <w:rPr>
                <w:rFonts w:ascii="Arial Narrow" w:eastAsia="Times New Roman" w:hAnsi="Arial Narrow" w:cs="Calibri"/>
                <w:b/>
                <w:bCs/>
                <w:color w:val="FFFFFF"/>
                <w:sz w:val="22"/>
                <w:szCs w:val="22"/>
                <w:lang w:val="es-CR"/>
              </w:rPr>
            </w:pPr>
            <w:r w:rsidRPr="004319FE">
              <w:rPr>
                <w:rFonts w:ascii="Arial Narrow" w:eastAsia="Times New Roman" w:hAnsi="Arial Narrow" w:cs="Calibri"/>
                <w:b/>
                <w:bCs/>
                <w:color w:val="FFFFFF"/>
                <w:sz w:val="22"/>
                <w:szCs w:val="22"/>
                <w:lang w:val="es-CR"/>
              </w:rPr>
              <w:t>Normativa técnica y disposiciones adicionales</w:t>
            </w:r>
          </w:p>
        </w:tc>
      </w:tr>
      <w:tr w:rsidR="004319FE" w:rsidRPr="004319FE" w14:paraId="4DD2072B" w14:textId="77777777" w:rsidTr="001F18A0">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07CFEE"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FC0C503"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55</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152DEFA"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 xml:space="preserve"> </w:t>
            </w: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43410353" w14:textId="77777777" w:rsidR="004319FE" w:rsidRPr="004319FE" w:rsidRDefault="004319FE" w:rsidP="004319FE">
            <w:pPr>
              <w:jc w:val="both"/>
              <w:rPr>
                <w:rFonts w:ascii="Arial Narrow" w:eastAsia="Times New Roman" w:hAnsi="Arial Narrow" w:cs="Calibri"/>
                <w:b/>
                <w:bCs/>
                <w:color w:val="000000"/>
                <w:sz w:val="22"/>
                <w:szCs w:val="22"/>
                <w:lang w:val="es-CR"/>
              </w:rPr>
            </w:pPr>
            <w:r w:rsidRPr="004319FE">
              <w:rPr>
                <w:rFonts w:ascii="Arial Narrow" w:eastAsia="Times New Roman" w:hAnsi="Arial Narrow" w:cs="Calibri"/>
                <w:b/>
                <w:bCs/>
                <w:color w:val="000000"/>
                <w:sz w:val="22"/>
                <w:szCs w:val="22"/>
                <w:lang w:val="es-CR"/>
              </w:rPr>
              <w:t>Orden de presentación de las Notas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1E659211" w14:textId="77777777" w:rsidR="001F18A0" w:rsidRDefault="004319FE" w:rsidP="004319FE">
            <w:pPr>
              <w:jc w:val="both"/>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NICSP N° 1,</w:t>
            </w:r>
          </w:p>
          <w:p w14:paraId="30294D36" w14:textId="610881B9" w:rsidR="004319FE" w:rsidRPr="004319FE" w:rsidRDefault="004319FE" w:rsidP="004319FE">
            <w:pPr>
              <w:jc w:val="both"/>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Párrafo 129.</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3B83E417" w14:textId="77777777" w:rsidR="004319FE" w:rsidRPr="004319FE" w:rsidRDefault="004319FE" w:rsidP="004319FE">
            <w:pPr>
              <w:jc w:val="center"/>
              <w:rPr>
                <w:rFonts w:ascii="Arial Narrow" w:eastAsia="Times New Roman" w:hAnsi="Arial Narrow" w:cs="Calibri"/>
                <w:b/>
                <w:bCs/>
                <w:color w:val="000000"/>
                <w:sz w:val="22"/>
                <w:szCs w:val="22"/>
              </w:rPr>
            </w:pPr>
            <w:r w:rsidRPr="004319FE">
              <w:rPr>
                <w:rFonts w:ascii="Arial Narrow" w:eastAsia="Times New Roman" w:hAnsi="Arial Narrow" w:cs="Calibri"/>
                <w:b/>
                <w:bCs/>
                <w:color w:val="000000"/>
                <w:sz w:val="22"/>
                <w:szCs w:val="22"/>
              </w:rPr>
              <w:t> </w:t>
            </w:r>
          </w:p>
        </w:tc>
      </w:tr>
    </w:tbl>
    <w:p w14:paraId="3E6AC56E" w14:textId="77777777" w:rsidR="004319FE" w:rsidRDefault="004319FE" w:rsidP="00D033EC">
      <w:pPr>
        <w:pStyle w:val="Default"/>
        <w:jc w:val="both"/>
        <w:rPr>
          <w:sz w:val="23"/>
          <w:szCs w:val="23"/>
          <w:lang w:val="es-CR"/>
        </w:rPr>
      </w:pPr>
    </w:p>
    <w:p w14:paraId="4059003D" w14:textId="43244CD7" w:rsidR="001F18A0" w:rsidRDefault="001F18A0" w:rsidP="001F18A0">
      <w:pPr>
        <w:pStyle w:val="Default"/>
        <w:ind w:left="1134" w:hanging="1134"/>
        <w:jc w:val="both"/>
        <w:rPr>
          <w:rFonts w:eastAsia="Arial"/>
          <w:b/>
          <w:sz w:val="22"/>
          <w:szCs w:val="22"/>
        </w:rPr>
      </w:pPr>
      <w:r w:rsidRPr="00F02F9D">
        <w:rPr>
          <w:rFonts w:eastAsia="Arial"/>
          <w:b/>
          <w:sz w:val="22"/>
          <w:szCs w:val="22"/>
        </w:rPr>
        <w:t>Política Contable</w:t>
      </w:r>
    </w:p>
    <w:p w14:paraId="0F51633E" w14:textId="77777777" w:rsidR="001F18A0" w:rsidRDefault="001F18A0" w:rsidP="00D033EC">
      <w:pPr>
        <w:pStyle w:val="Default"/>
        <w:jc w:val="both"/>
        <w:rPr>
          <w:sz w:val="23"/>
          <w:szCs w:val="23"/>
          <w:lang w:val="es-CR"/>
        </w:rPr>
      </w:pPr>
    </w:p>
    <w:p w14:paraId="694D5C22" w14:textId="1AD72726" w:rsidR="004D5BA6" w:rsidRPr="004D5BA6" w:rsidRDefault="004D5BA6" w:rsidP="004D5BA6">
      <w:pPr>
        <w:pStyle w:val="Default"/>
        <w:ind w:left="1134" w:hanging="1134"/>
        <w:jc w:val="both"/>
        <w:rPr>
          <w:sz w:val="22"/>
          <w:szCs w:val="22"/>
          <w:lang w:val="es-CR"/>
        </w:rPr>
      </w:pPr>
      <w:r>
        <w:rPr>
          <w:sz w:val="22"/>
          <w:szCs w:val="22"/>
          <w:lang w:val="es-CR"/>
        </w:rPr>
        <w:t>6.55.0.01</w:t>
      </w:r>
      <w:r>
        <w:rPr>
          <w:sz w:val="22"/>
          <w:szCs w:val="22"/>
          <w:lang w:val="es-CR"/>
        </w:rPr>
        <w:tab/>
      </w:r>
      <w:r w:rsidRPr="004D5BA6">
        <w:rPr>
          <w:sz w:val="22"/>
          <w:szCs w:val="22"/>
          <w:lang w:val="es-CR"/>
        </w:rPr>
        <w:t xml:space="preserve">Las Notas se presentarán en el siguiente orden: </w:t>
      </w:r>
    </w:p>
    <w:p w14:paraId="0F2D4A6A" w14:textId="77777777" w:rsidR="004D5BA6" w:rsidRPr="004D5BA6" w:rsidRDefault="004D5BA6" w:rsidP="004D5BA6">
      <w:pPr>
        <w:pStyle w:val="Default"/>
        <w:jc w:val="both"/>
        <w:rPr>
          <w:sz w:val="22"/>
          <w:szCs w:val="22"/>
          <w:lang w:val="es-CR"/>
        </w:rPr>
      </w:pPr>
    </w:p>
    <w:p w14:paraId="4BE0B851" w14:textId="48C783C3" w:rsidR="004319FE" w:rsidRPr="004D5BA6" w:rsidRDefault="004319FE">
      <w:pPr>
        <w:pStyle w:val="Default"/>
        <w:numPr>
          <w:ilvl w:val="0"/>
          <w:numId w:val="370"/>
        </w:numPr>
        <w:spacing w:after="120"/>
        <w:ind w:left="1418" w:hanging="284"/>
        <w:jc w:val="both"/>
        <w:rPr>
          <w:sz w:val="22"/>
          <w:szCs w:val="22"/>
          <w:lang w:val="es-CR"/>
        </w:rPr>
      </w:pPr>
      <w:r w:rsidRPr="004D5BA6">
        <w:rPr>
          <w:sz w:val="22"/>
          <w:szCs w:val="22"/>
          <w:lang w:val="es-CR"/>
        </w:rPr>
        <w:t xml:space="preserve">Cumplimientos de las NICSP: en las Notas, se efectuará una declaración explícita y sin reservas, del cumplimiento completo de las NICSP, como así también se deberán destacar las NICSP que no se aplican porque la entidad no realiza la transacción que la Norma regula y su posible reversión. Los EEFF cumplen con las NICSP siempre y cuando se cumplan con todos los requisitos solicitados en las mismas, en la medida que las entidades realicen todas las transacciones en ellas dispuestas. </w:t>
      </w:r>
    </w:p>
    <w:p w14:paraId="070BE335" w14:textId="11C3CA76" w:rsidR="004319FE" w:rsidRPr="004D5BA6" w:rsidRDefault="004319FE">
      <w:pPr>
        <w:pStyle w:val="Default"/>
        <w:numPr>
          <w:ilvl w:val="0"/>
          <w:numId w:val="370"/>
        </w:numPr>
        <w:spacing w:after="120"/>
        <w:ind w:left="1418" w:hanging="284"/>
        <w:jc w:val="both"/>
        <w:rPr>
          <w:sz w:val="22"/>
          <w:szCs w:val="22"/>
          <w:lang w:val="es-CR"/>
        </w:rPr>
      </w:pPr>
      <w:r w:rsidRPr="004D5BA6">
        <w:rPr>
          <w:sz w:val="22"/>
          <w:szCs w:val="22"/>
          <w:lang w:val="es-CR"/>
        </w:rPr>
        <w:t xml:space="preserve">Un resumen de las políticas contables significativas aplicadas. </w:t>
      </w:r>
    </w:p>
    <w:p w14:paraId="2529B9D4" w14:textId="77777777" w:rsidR="004D5BA6" w:rsidRDefault="004319FE">
      <w:pPr>
        <w:pStyle w:val="Default"/>
        <w:numPr>
          <w:ilvl w:val="0"/>
          <w:numId w:val="370"/>
        </w:numPr>
        <w:spacing w:after="120"/>
        <w:ind w:left="1418" w:hanging="284"/>
        <w:jc w:val="both"/>
        <w:rPr>
          <w:sz w:val="22"/>
          <w:szCs w:val="22"/>
          <w:lang w:val="es-CR"/>
        </w:rPr>
      </w:pPr>
      <w:r w:rsidRPr="004D5BA6">
        <w:rPr>
          <w:sz w:val="22"/>
          <w:szCs w:val="22"/>
          <w:lang w:val="es-CR"/>
        </w:rPr>
        <w:t xml:space="preserve">Información de apoyo para las partidas presentadas en los estados principales y complementarios de los EEFF. </w:t>
      </w:r>
    </w:p>
    <w:p w14:paraId="1CFF1B4C" w14:textId="6BD6A94C" w:rsidR="004D5BA6" w:rsidRPr="004D5BA6" w:rsidRDefault="004319FE">
      <w:pPr>
        <w:pStyle w:val="Default"/>
        <w:numPr>
          <w:ilvl w:val="0"/>
          <w:numId w:val="370"/>
        </w:numPr>
        <w:spacing w:after="120"/>
        <w:ind w:left="1418" w:hanging="284"/>
        <w:jc w:val="both"/>
        <w:rPr>
          <w:sz w:val="22"/>
          <w:szCs w:val="22"/>
          <w:lang w:val="es-CR"/>
        </w:rPr>
      </w:pPr>
      <w:r w:rsidRPr="004D5BA6">
        <w:rPr>
          <w:sz w:val="22"/>
          <w:szCs w:val="22"/>
          <w:lang w:val="es-CR"/>
        </w:rPr>
        <w:t xml:space="preserve">Otras revelaciones de información, que incluyan: </w:t>
      </w:r>
    </w:p>
    <w:p w14:paraId="2B7722EE" w14:textId="38A02FA6" w:rsidR="004319FE" w:rsidRPr="004D5BA6" w:rsidRDefault="004D5BA6">
      <w:pPr>
        <w:pStyle w:val="Default"/>
        <w:numPr>
          <w:ilvl w:val="1"/>
          <w:numId w:val="371"/>
        </w:numPr>
        <w:spacing w:after="120"/>
        <w:ind w:left="1701" w:hanging="142"/>
        <w:jc w:val="both"/>
        <w:rPr>
          <w:sz w:val="22"/>
          <w:szCs w:val="22"/>
          <w:lang w:val="es-CR"/>
        </w:rPr>
      </w:pPr>
      <w:r>
        <w:rPr>
          <w:sz w:val="22"/>
          <w:szCs w:val="22"/>
          <w:lang w:val="es-CR"/>
        </w:rPr>
        <w:t>P</w:t>
      </w:r>
      <w:r w:rsidR="004319FE" w:rsidRPr="004D5BA6">
        <w:rPr>
          <w:sz w:val="22"/>
          <w:szCs w:val="22"/>
          <w:lang w:val="es-CR"/>
        </w:rPr>
        <w:t xml:space="preserve">asivos contingentes; y </w:t>
      </w:r>
    </w:p>
    <w:p w14:paraId="1483CBB9" w14:textId="21E8C54A" w:rsidR="004319FE" w:rsidRPr="004D5BA6" w:rsidRDefault="004D5BA6">
      <w:pPr>
        <w:pStyle w:val="Default"/>
        <w:numPr>
          <w:ilvl w:val="1"/>
          <w:numId w:val="371"/>
        </w:numPr>
        <w:ind w:left="1701" w:hanging="142"/>
        <w:jc w:val="both"/>
        <w:rPr>
          <w:sz w:val="22"/>
          <w:szCs w:val="22"/>
          <w:lang w:val="es-CR"/>
        </w:rPr>
      </w:pPr>
      <w:r>
        <w:rPr>
          <w:sz w:val="22"/>
          <w:szCs w:val="22"/>
          <w:lang w:val="es-CR"/>
        </w:rPr>
        <w:t>R</w:t>
      </w:r>
      <w:r w:rsidR="004319FE" w:rsidRPr="004D5BA6">
        <w:rPr>
          <w:sz w:val="22"/>
          <w:szCs w:val="22"/>
          <w:lang w:val="es-CR"/>
        </w:rPr>
        <w:t xml:space="preserve">evelaciones de información no financiera, por ejemplo, los objetivos y políticas de gestión del riesgo financiero. </w:t>
      </w:r>
    </w:p>
    <w:p w14:paraId="1F2B21B8" w14:textId="77777777" w:rsidR="004319FE" w:rsidRDefault="004319FE" w:rsidP="004D5BA6">
      <w:pPr>
        <w:pStyle w:val="Default"/>
        <w:rPr>
          <w:sz w:val="23"/>
          <w:szCs w:val="23"/>
          <w:lang w:val="es-CR"/>
        </w:rPr>
      </w:pPr>
    </w:p>
    <w:p w14:paraId="03F1838D" w14:textId="77777777" w:rsidR="001F18A0" w:rsidRDefault="001F18A0" w:rsidP="004D5BA6">
      <w:pPr>
        <w:pStyle w:val="Default"/>
        <w:rPr>
          <w:sz w:val="23"/>
          <w:szCs w:val="23"/>
          <w:lang w:val="es-CR"/>
        </w:rPr>
      </w:pPr>
    </w:p>
    <w:p w14:paraId="1363DB49" w14:textId="77777777" w:rsidR="004D5BA6" w:rsidRPr="004319FE" w:rsidRDefault="004D5BA6" w:rsidP="004D5BA6">
      <w:pPr>
        <w:pStyle w:val="Default"/>
        <w:rPr>
          <w:sz w:val="23"/>
          <w:szCs w:val="23"/>
          <w:lang w:val="es-CR"/>
        </w:rPr>
      </w:pPr>
    </w:p>
    <w:tbl>
      <w:tblPr>
        <w:tblW w:w="9346" w:type="dxa"/>
        <w:tblLook w:val="04A0" w:firstRow="1" w:lastRow="0" w:firstColumn="1" w:lastColumn="0" w:noHBand="0" w:noVBand="1"/>
      </w:tblPr>
      <w:tblGrid>
        <w:gridCol w:w="416"/>
        <w:gridCol w:w="708"/>
        <w:gridCol w:w="426"/>
        <w:gridCol w:w="3691"/>
        <w:gridCol w:w="2251"/>
        <w:gridCol w:w="1854"/>
      </w:tblGrid>
      <w:tr w:rsidR="00F2409C" w:rsidRPr="00F2409C" w14:paraId="5ECBDC20" w14:textId="77777777" w:rsidTr="001F18A0">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CE340CB" w14:textId="77777777" w:rsidR="00F2409C" w:rsidRPr="00F2409C" w:rsidRDefault="00F2409C" w:rsidP="00F2409C">
            <w:pPr>
              <w:jc w:val="center"/>
              <w:rPr>
                <w:rFonts w:ascii="Arial Narrow" w:eastAsia="Times New Roman" w:hAnsi="Arial Narrow" w:cs="Calibri"/>
                <w:b/>
                <w:bCs/>
                <w:color w:val="FFFFFF"/>
                <w:sz w:val="22"/>
                <w:szCs w:val="22"/>
              </w:rPr>
            </w:pPr>
            <w:r w:rsidRPr="00F2409C">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153999D2" w14:textId="77777777" w:rsidR="00F2409C" w:rsidRPr="00F2409C" w:rsidRDefault="00F2409C" w:rsidP="00F2409C">
            <w:pPr>
              <w:jc w:val="center"/>
              <w:rPr>
                <w:rFonts w:ascii="Arial Narrow" w:eastAsia="Times New Roman" w:hAnsi="Arial Narrow" w:cs="Calibri"/>
                <w:b/>
                <w:bCs/>
                <w:color w:val="FFFFFF"/>
                <w:sz w:val="22"/>
                <w:szCs w:val="22"/>
              </w:rPr>
            </w:pPr>
            <w:r w:rsidRPr="00F2409C">
              <w:rPr>
                <w:rFonts w:ascii="Arial Narrow" w:eastAsia="Times New Roman" w:hAnsi="Arial Narrow" w:cs="Calibri"/>
                <w:b/>
                <w:bCs/>
                <w:color w:val="FFFFFF"/>
                <w:sz w:val="22"/>
                <w:szCs w:val="22"/>
              </w:rPr>
              <w:t>Concepto</w:t>
            </w:r>
          </w:p>
        </w:tc>
        <w:tc>
          <w:tcPr>
            <w:tcW w:w="4105" w:type="dxa"/>
            <w:gridSpan w:val="2"/>
            <w:tcBorders>
              <w:top w:val="single" w:sz="8" w:space="0" w:color="auto"/>
              <w:left w:val="nil"/>
              <w:bottom w:val="single" w:sz="8" w:space="0" w:color="auto"/>
              <w:right w:val="single" w:sz="8" w:space="0" w:color="000000"/>
            </w:tcBorders>
            <w:shd w:val="clear" w:color="000000" w:fill="203764"/>
            <w:vAlign w:val="center"/>
            <w:hideMark/>
          </w:tcPr>
          <w:p w14:paraId="5DCEBA3F" w14:textId="77777777" w:rsidR="00F2409C" w:rsidRPr="00F2409C" w:rsidRDefault="00F2409C" w:rsidP="00F2409C">
            <w:pPr>
              <w:jc w:val="center"/>
              <w:rPr>
                <w:rFonts w:ascii="Arial Narrow" w:eastAsia="Times New Roman" w:hAnsi="Arial Narrow" w:cs="Calibri"/>
                <w:b/>
                <w:bCs/>
                <w:color w:val="FFFFFF"/>
                <w:sz w:val="22"/>
                <w:szCs w:val="22"/>
              </w:rPr>
            </w:pPr>
            <w:r w:rsidRPr="00F2409C">
              <w:rPr>
                <w:rFonts w:ascii="Arial Narrow" w:eastAsia="Times New Roman" w:hAnsi="Arial Narrow" w:cs="Calibri"/>
                <w:b/>
                <w:bCs/>
                <w:color w:val="FFFFFF"/>
                <w:sz w:val="22"/>
                <w:szCs w:val="22"/>
              </w:rPr>
              <w:t>Referencia</w:t>
            </w:r>
          </w:p>
        </w:tc>
      </w:tr>
      <w:tr w:rsidR="00F2409C" w:rsidRPr="006E5442" w14:paraId="5369CE06" w14:textId="77777777" w:rsidTr="001F18A0">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DC89E47" w14:textId="77777777" w:rsidR="00F2409C" w:rsidRPr="00F2409C" w:rsidRDefault="00F2409C" w:rsidP="00F2409C">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246CDDCA" w14:textId="77777777" w:rsidR="00F2409C" w:rsidRPr="00F2409C" w:rsidRDefault="00F2409C" w:rsidP="00F2409C">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7F85599B" w14:textId="77777777" w:rsidR="00F2409C" w:rsidRPr="00F2409C" w:rsidRDefault="00F2409C" w:rsidP="00F2409C">
            <w:pPr>
              <w:jc w:val="center"/>
              <w:rPr>
                <w:rFonts w:ascii="Arial Narrow" w:eastAsia="Times New Roman" w:hAnsi="Arial Narrow" w:cs="Calibri"/>
                <w:b/>
                <w:bCs/>
                <w:color w:val="FFFFFF"/>
                <w:sz w:val="22"/>
                <w:szCs w:val="22"/>
              </w:rPr>
            </w:pPr>
            <w:r w:rsidRPr="00F2409C">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39CB9D99" w14:textId="77777777" w:rsidR="00F2409C" w:rsidRPr="00F2409C" w:rsidRDefault="00F2409C" w:rsidP="00F2409C">
            <w:pPr>
              <w:jc w:val="center"/>
              <w:rPr>
                <w:rFonts w:ascii="Arial Narrow" w:eastAsia="Times New Roman" w:hAnsi="Arial Narrow" w:cs="Calibri"/>
                <w:b/>
                <w:bCs/>
                <w:color w:val="FFFFFF"/>
                <w:sz w:val="22"/>
                <w:szCs w:val="22"/>
                <w:lang w:val="es-CR"/>
              </w:rPr>
            </w:pPr>
            <w:r w:rsidRPr="00F2409C">
              <w:rPr>
                <w:rFonts w:ascii="Arial Narrow" w:eastAsia="Times New Roman" w:hAnsi="Arial Narrow" w:cs="Calibri"/>
                <w:b/>
                <w:bCs/>
                <w:color w:val="FFFFFF"/>
                <w:sz w:val="22"/>
                <w:szCs w:val="22"/>
                <w:lang w:val="es-CR"/>
              </w:rPr>
              <w:t>Normativa técnica y disposiciones adicionales</w:t>
            </w:r>
          </w:p>
        </w:tc>
      </w:tr>
      <w:tr w:rsidR="00F2409C" w:rsidRPr="00F2409C" w14:paraId="78F9FCB9" w14:textId="77777777" w:rsidTr="001F18A0">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11950C" w14:textId="77777777" w:rsidR="00F2409C" w:rsidRPr="00F2409C" w:rsidRDefault="00F2409C" w:rsidP="00F2409C">
            <w:pPr>
              <w:jc w:val="center"/>
              <w:rPr>
                <w:rFonts w:ascii="Arial Narrow" w:eastAsia="Times New Roman" w:hAnsi="Arial Narrow" w:cs="Calibri"/>
                <w:b/>
                <w:bCs/>
                <w:color w:val="000000"/>
                <w:sz w:val="22"/>
                <w:szCs w:val="22"/>
              </w:rPr>
            </w:pPr>
            <w:r w:rsidRPr="00F2409C">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68FB12B" w14:textId="77777777" w:rsidR="00F2409C" w:rsidRPr="00F2409C" w:rsidRDefault="00F2409C" w:rsidP="00F2409C">
            <w:pPr>
              <w:jc w:val="center"/>
              <w:rPr>
                <w:rFonts w:ascii="Arial Narrow" w:eastAsia="Times New Roman" w:hAnsi="Arial Narrow" w:cs="Calibri"/>
                <w:b/>
                <w:bCs/>
                <w:color w:val="000000"/>
                <w:sz w:val="22"/>
                <w:szCs w:val="22"/>
              </w:rPr>
            </w:pPr>
            <w:r w:rsidRPr="00F2409C">
              <w:rPr>
                <w:rFonts w:ascii="Arial Narrow" w:eastAsia="Times New Roman" w:hAnsi="Arial Narrow" w:cs="Calibri"/>
                <w:b/>
                <w:bCs/>
                <w:color w:val="000000"/>
                <w:sz w:val="22"/>
                <w:szCs w:val="22"/>
              </w:rPr>
              <w:t>56</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118CA739" w14:textId="77777777" w:rsidR="00F2409C" w:rsidRPr="00F2409C" w:rsidRDefault="00F2409C" w:rsidP="00F2409C">
            <w:pPr>
              <w:jc w:val="center"/>
              <w:rPr>
                <w:rFonts w:ascii="Arial Narrow" w:eastAsia="Times New Roman" w:hAnsi="Arial Narrow" w:cs="Calibri"/>
                <w:b/>
                <w:bCs/>
                <w:color w:val="000000"/>
                <w:sz w:val="22"/>
                <w:szCs w:val="22"/>
              </w:rPr>
            </w:pPr>
            <w:r w:rsidRPr="00F2409C">
              <w:rPr>
                <w:rFonts w:ascii="Arial Narrow" w:eastAsia="Times New Roman" w:hAnsi="Arial Narrow" w:cs="Calibri"/>
                <w:b/>
                <w:bCs/>
                <w:color w:val="000000"/>
                <w:sz w:val="22"/>
                <w:szCs w:val="22"/>
              </w:rPr>
              <w:t xml:space="preserve"> </w:t>
            </w: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5BF7FF0F" w14:textId="77777777" w:rsidR="00F2409C" w:rsidRPr="00F2409C" w:rsidRDefault="00F2409C" w:rsidP="00F2409C">
            <w:pPr>
              <w:jc w:val="both"/>
              <w:rPr>
                <w:rFonts w:ascii="Arial Narrow" w:eastAsia="Times New Roman" w:hAnsi="Arial Narrow" w:cs="Calibri"/>
                <w:b/>
                <w:bCs/>
                <w:color w:val="000000"/>
                <w:sz w:val="22"/>
                <w:szCs w:val="22"/>
              </w:rPr>
            </w:pPr>
            <w:r w:rsidRPr="00F2409C">
              <w:rPr>
                <w:rFonts w:ascii="Arial Narrow" w:eastAsia="Times New Roman" w:hAnsi="Arial Narrow" w:cs="Calibri"/>
                <w:b/>
                <w:bCs/>
                <w:color w:val="000000"/>
                <w:sz w:val="22"/>
                <w:szCs w:val="22"/>
              </w:rPr>
              <w:t>Materialidad</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70EC07E3" w14:textId="77777777" w:rsidR="001F18A0" w:rsidRDefault="00F2409C" w:rsidP="00F2409C">
            <w:pPr>
              <w:jc w:val="both"/>
              <w:rPr>
                <w:rFonts w:ascii="Arial Narrow" w:eastAsia="Times New Roman" w:hAnsi="Arial Narrow" w:cs="Calibri"/>
                <w:b/>
                <w:bCs/>
                <w:color w:val="000000"/>
                <w:sz w:val="22"/>
                <w:szCs w:val="22"/>
              </w:rPr>
            </w:pPr>
            <w:r w:rsidRPr="00F2409C">
              <w:rPr>
                <w:rFonts w:ascii="Arial Narrow" w:eastAsia="Times New Roman" w:hAnsi="Arial Narrow" w:cs="Calibri"/>
                <w:b/>
                <w:bCs/>
                <w:color w:val="000000"/>
                <w:sz w:val="22"/>
                <w:szCs w:val="22"/>
              </w:rPr>
              <w:t>NICSP N° 1,</w:t>
            </w:r>
          </w:p>
          <w:p w14:paraId="5400DBFB" w14:textId="7D062CA7" w:rsidR="00F2409C" w:rsidRPr="00F2409C" w:rsidRDefault="00F2409C" w:rsidP="00F2409C">
            <w:pPr>
              <w:jc w:val="both"/>
              <w:rPr>
                <w:rFonts w:ascii="Arial Narrow" w:eastAsia="Times New Roman" w:hAnsi="Arial Narrow" w:cs="Calibri"/>
                <w:b/>
                <w:bCs/>
                <w:color w:val="000000"/>
                <w:sz w:val="22"/>
                <w:szCs w:val="22"/>
              </w:rPr>
            </w:pPr>
            <w:r w:rsidRPr="00F2409C">
              <w:rPr>
                <w:rFonts w:ascii="Arial Narrow" w:eastAsia="Times New Roman" w:hAnsi="Arial Narrow" w:cs="Calibri"/>
                <w:b/>
                <w:bCs/>
                <w:color w:val="000000"/>
                <w:sz w:val="22"/>
                <w:szCs w:val="22"/>
              </w:rPr>
              <w:t>Párrafo 46.</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40041DDA" w14:textId="77777777" w:rsidR="00F2409C" w:rsidRPr="00F2409C" w:rsidRDefault="00F2409C" w:rsidP="00F2409C">
            <w:pPr>
              <w:jc w:val="center"/>
              <w:rPr>
                <w:rFonts w:ascii="Arial Narrow" w:eastAsia="Times New Roman" w:hAnsi="Arial Narrow" w:cs="Calibri"/>
                <w:b/>
                <w:bCs/>
                <w:color w:val="000000"/>
                <w:sz w:val="22"/>
                <w:szCs w:val="22"/>
              </w:rPr>
            </w:pPr>
            <w:r w:rsidRPr="00F2409C">
              <w:rPr>
                <w:rFonts w:ascii="Arial Narrow" w:eastAsia="Times New Roman" w:hAnsi="Arial Narrow" w:cs="Calibri"/>
                <w:b/>
                <w:bCs/>
                <w:color w:val="000000"/>
                <w:sz w:val="22"/>
                <w:szCs w:val="22"/>
              </w:rPr>
              <w:t>MCC</w:t>
            </w:r>
          </w:p>
        </w:tc>
      </w:tr>
    </w:tbl>
    <w:p w14:paraId="6497AA8C" w14:textId="54B95B72" w:rsidR="004319FE" w:rsidRDefault="004319FE" w:rsidP="004319FE">
      <w:pPr>
        <w:pStyle w:val="Default"/>
        <w:rPr>
          <w:sz w:val="23"/>
          <w:szCs w:val="23"/>
          <w:lang w:val="es-CR"/>
        </w:rPr>
      </w:pPr>
    </w:p>
    <w:p w14:paraId="0A92D02A" w14:textId="5A784DFA" w:rsidR="001F18A0" w:rsidRDefault="001F18A0" w:rsidP="001F18A0">
      <w:pPr>
        <w:pStyle w:val="Default"/>
        <w:ind w:left="1134" w:hanging="1134"/>
        <w:jc w:val="both"/>
        <w:rPr>
          <w:rFonts w:eastAsia="Arial"/>
          <w:b/>
          <w:sz w:val="22"/>
          <w:szCs w:val="22"/>
        </w:rPr>
      </w:pPr>
      <w:r w:rsidRPr="00F02F9D">
        <w:rPr>
          <w:rFonts w:eastAsia="Arial"/>
          <w:b/>
          <w:sz w:val="22"/>
          <w:szCs w:val="22"/>
        </w:rPr>
        <w:t>Política Contable</w:t>
      </w:r>
    </w:p>
    <w:p w14:paraId="21D885D4" w14:textId="77777777" w:rsidR="001F18A0" w:rsidRDefault="001F18A0" w:rsidP="004319FE">
      <w:pPr>
        <w:pStyle w:val="Default"/>
        <w:rPr>
          <w:sz w:val="23"/>
          <w:szCs w:val="23"/>
          <w:lang w:val="es-CR"/>
        </w:rPr>
      </w:pPr>
    </w:p>
    <w:p w14:paraId="2C946129" w14:textId="6125427D" w:rsidR="00F2409C" w:rsidRPr="00F2409C" w:rsidRDefault="004D5BA6" w:rsidP="004D5BA6">
      <w:pPr>
        <w:pStyle w:val="Default"/>
        <w:ind w:left="1134" w:hanging="1134"/>
        <w:jc w:val="both"/>
        <w:rPr>
          <w:sz w:val="23"/>
          <w:szCs w:val="23"/>
          <w:lang w:val="es-CR"/>
        </w:rPr>
      </w:pPr>
      <w:r>
        <w:rPr>
          <w:sz w:val="23"/>
          <w:szCs w:val="23"/>
          <w:lang w:val="es-CR"/>
        </w:rPr>
        <w:t>6.56.0.01</w:t>
      </w:r>
      <w:r>
        <w:rPr>
          <w:sz w:val="23"/>
          <w:szCs w:val="23"/>
          <w:lang w:val="es-CR"/>
        </w:rPr>
        <w:tab/>
      </w:r>
      <w:r w:rsidR="00F2409C" w:rsidRPr="00F2409C">
        <w:rPr>
          <w:sz w:val="23"/>
          <w:szCs w:val="23"/>
          <w:lang w:val="es-CR"/>
        </w:rPr>
        <w:t>Una partida que no tenga la suficiente materialidad o importancia relativa como para requerir presentación separada en los EEFF puede, sin embargo, tenerla para ser presentada en las notas.</w:t>
      </w:r>
    </w:p>
    <w:p w14:paraId="08B10BF4" w14:textId="77777777" w:rsidR="00D576D7" w:rsidRDefault="00D576D7" w:rsidP="00D033EC">
      <w:pPr>
        <w:pStyle w:val="Default"/>
        <w:jc w:val="both"/>
        <w:rPr>
          <w:sz w:val="23"/>
          <w:szCs w:val="23"/>
          <w:lang w:val="es-CR"/>
        </w:rPr>
      </w:pPr>
    </w:p>
    <w:p w14:paraId="0AAB1681" w14:textId="77777777" w:rsidR="00D576D7" w:rsidRDefault="00D576D7"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92"/>
        <w:gridCol w:w="2251"/>
        <w:gridCol w:w="1853"/>
      </w:tblGrid>
      <w:tr w:rsidR="00DB5D8E" w:rsidRPr="00DB5D8E" w14:paraId="532A5592" w14:textId="77777777" w:rsidTr="001F18A0">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CF838B3" w14:textId="77777777" w:rsidR="00DB5D8E" w:rsidRPr="00DB5D8E" w:rsidRDefault="00DB5D8E" w:rsidP="00DB5D8E">
            <w:pPr>
              <w:jc w:val="center"/>
              <w:rPr>
                <w:rFonts w:ascii="Arial Narrow" w:eastAsia="Times New Roman" w:hAnsi="Arial Narrow" w:cs="Calibri"/>
                <w:b/>
                <w:bCs/>
                <w:color w:val="FFFFFF"/>
                <w:sz w:val="22"/>
                <w:szCs w:val="22"/>
              </w:rPr>
            </w:pPr>
            <w:r w:rsidRPr="00DB5D8E">
              <w:rPr>
                <w:rFonts w:ascii="Arial Narrow" w:eastAsia="Times New Roman" w:hAnsi="Arial Narrow" w:cs="Calibri"/>
                <w:b/>
                <w:bCs/>
                <w:color w:val="FFFFFF"/>
                <w:sz w:val="22"/>
                <w:szCs w:val="22"/>
              </w:rPr>
              <w:lastRenderedPageBreak/>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49A3E672" w14:textId="77777777" w:rsidR="00DB5D8E" w:rsidRPr="00DB5D8E" w:rsidRDefault="00DB5D8E" w:rsidP="00DB5D8E">
            <w:pPr>
              <w:jc w:val="center"/>
              <w:rPr>
                <w:rFonts w:ascii="Arial Narrow" w:eastAsia="Times New Roman" w:hAnsi="Arial Narrow" w:cs="Calibri"/>
                <w:b/>
                <w:bCs/>
                <w:color w:val="FFFFFF"/>
                <w:sz w:val="22"/>
                <w:szCs w:val="22"/>
              </w:rPr>
            </w:pPr>
            <w:r w:rsidRPr="00DB5D8E">
              <w:rPr>
                <w:rFonts w:ascii="Arial Narrow" w:eastAsia="Times New Roman" w:hAnsi="Arial Narrow" w:cs="Calibri"/>
                <w:b/>
                <w:bCs/>
                <w:color w:val="FFFFFF"/>
                <w:sz w:val="22"/>
                <w:szCs w:val="22"/>
              </w:rPr>
              <w:t>Concepto</w:t>
            </w:r>
          </w:p>
        </w:tc>
        <w:tc>
          <w:tcPr>
            <w:tcW w:w="4104" w:type="dxa"/>
            <w:gridSpan w:val="2"/>
            <w:tcBorders>
              <w:top w:val="single" w:sz="8" w:space="0" w:color="auto"/>
              <w:left w:val="nil"/>
              <w:bottom w:val="single" w:sz="8" w:space="0" w:color="auto"/>
              <w:right w:val="single" w:sz="8" w:space="0" w:color="000000"/>
            </w:tcBorders>
            <w:shd w:val="clear" w:color="000000" w:fill="203764"/>
            <w:vAlign w:val="center"/>
            <w:hideMark/>
          </w:tcPr>
          <w:p w14:paraId="2FCC7ED4" w14:textId="77777777" w:rsidR="00DB5D8E" w:rsidRPr="00DB5D8E" w:rsidRDefault="00DB5D8E" w:rsidP="00DB5D8E">
            <w:pPr>
              <w:jc w:val="center"/>
              <w:rPr>
                <w:rFonts w:ascii="Arial Narrow" w:eastAsia="Times New Roman" w:hAnsi="Arial Narrow" w:cs="Calibri"/>
                <w:b/>
                <w:bCs/>
                <w:color w:val="FFFFFF"/>
                <w:sz w:val="22"/>
                <w:szCs w:val="22"/>
              </w:rPr>
            </w:pPr>
            <w:r w:rsidRPr="00DB5D8E">
              <w:rPr>
                <w:rFonts w:ascii="Arial Narrow" w:eastAsia="Times New Roman" w:hAnsi="Arial Narrow" w:cs="Calibri"/>
                <w:b/>
                <w:bCs/>
                <w:color w:val="FFFFFF"/>
                <w:sz w:val="22"/>
                <w:szCs w:val="22"/>
              </w:rPr>
              <w:t>Referencia</w:t>
            </w:r>
          </w:p>
        </w:tc>
      </w:tr>
      <w:tr w:rsidR="00DB5D8E" w:rsidRPr="006E5442" w14:paraId="7408D6D5" w14:textId="77777777" w:rsidTr="001F18A0">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1A21919E" w14:textId="77777777" w:rsidR="00DB5D8E" w:rsidRPr="00DB5D8E" w:rsidRDefault="00DB5D8E" w:rsidP="00DB5D8E">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14DC0A21" w14:textId="77777777" w:rsidR="00DB5D8E" w:rsidRPr="00DB5D8E" w:rsidRDefault="00DB5D8E" w:rsidP="00DB5D8E">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587D6283" w14:textId="77777777" w:rsidR="00DB5D8E" w:rsidRPr="00DB5D8E" w:rsidRDefault="00DB5D8E" w:rsidP="00DB5D8E">
            <w:pPr>
              <w:jc w:val="center"/>
              <w:rPr>
                <w:rFonts w:ascii="Arial Narrow" w:eastAsia="Times New Roman" w:hAnsi="Arial Narrow" w:cs="Calibri"/>
                <w:b/>
                <w:bCs/>
                <w:color w:val="FFFFFF"/>
                <w:sz w:val="22"/>
                <w:szCs w:val="22"/>
              </w:rPr>
            </w:pPr>
            <w:r w:rsidRPr="00DB5D8E">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5D392337" w14:textId="77777777" w:rsidR="00DB5D8E" w:rsidRPr="00DB5D8E" w:rsidRDefault="00DB5D8E" w:rsidP="00DB5D8E">
            <w:pPr>
              <w:jc w:val="center"/>
              <w:rPr>
                <w:rFonts w:ascii="Arial Narrow" w:eastAsia="Times New Roman" w:hAnsi="Arial Narrow" w:cs="Calibri"/>
                <w:b/>
                <w:bCs/>
                <w:color w:val="FFFFFF"/>
                <w:sz w:val="22"/>
                <w:szCs w:val="22"/>
                <w:lang w:val="es-CR"/>
              </w:rPr>
            </w:pPr>
            <w:r w:rsidRPr="00DB5D8E">
              <w:rPr>
                <w:rFonts w:ascii="Arial Narrow" w:eastAsia="Times New Roman" w:hAnsi="Arial Narrow" w:cs="Calibri"/>
                <w:b/>
                <w:bCs/>
                <w:color w:val="FFFFFF"/>
                <w:sz w:val="22"/>
                <w:szCs w:val="22"/>
                <w:lang w:val="es-CR"/>
              </w:rPr>
              <w:t>Normativa técnica y disposiciones adicionales</w:t>
            </w:r>
          </w:p>
        </w:tc>
      </w:tr>
      <w:tr w:rsidR="00DB5D8E" w:rsidRPr="00DB5D8E" w14:paraId="496F7C63" w14:textId="77777777" w:rsidTr="001F18A0">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26B220" w14:textId="77777777" w:rsidR="00DB5D8E" w:rsidRPr="00DB5D8E" w:rsidRDefault="00DB5D8E" w:rsidP="00DB5D8E">
            <w:pPr>
              <w:jc w:val="center"/>
              <w:rPr>
                <w:rFonts w:ascii="Arial Narrow" w:eastAsia="Times New Roman" w:hAnsi="Arial Narrow" w:cs="Calibri"/>
                <w:b/>
                <w:bCs/>
                <w:color w:val="000000"/>
                <w:sz w:val="22"/>
                <w:szCs w:val="22"/>
              </w:rPr>
            </w:pPr>
            <w:r w:rsidRPr="00DB5D8E">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18C3C21" w14:textId="77777777" w:rsidR="00DB5D8E" w:rsidRPr="00DB5D8E" w:rsidRDefault="00DB5D8E" w:rsidP="00DB5D8E">
            <w:pPr>
              <w:jc w:val="center"/>
              <w:rPr>
                <w:rFonts w:ascii="Arial Narrow" w:eastAsia="Times New Roman" w:hAnsi="Arial Narrow" w:cs="Calibri"/>
                <w:b/>
                <w:bCs/>
                <w:color w:val="000000"/>
                <w:sz w:val="22"/>
                <w:szCs w:val="22"/>
              </w:rPr>
            </w:pPr>
            <w:r w:rsidRPr="00DB5D8E">
              <w:rPr>
                <w:rFonts w:ascii="Arial Narrow" w:eastAsia="Times New Roman" w:hAnsi="Arial Narrow" w:cs="Calibri"/>
                <w:b/>
                <w:bCs/>
                <w:color w:val="000000"/>
                <w:sz w:val="22"/>
                <w:szCs w:val="22"/>
              </w:rPr>
              <w:t>57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2BEBBB45" w14:textId="77777777" w:rsidR="00DB5D8E" w:rsidRPr="00DB5D8E" w:rsidRDefault="00DB5D8E" w:rsidP="00DB5D8E">
            <w:pPr>
              <w:jc w:val="center"/>
              <w:rPr>
                <w:rFonts w:ascii="Arial Narrow" w:eastAsia="Times New Roman" w:hAnsi="Arial Narrow" w:cs="Calibri"/>
                <w:b/>
                <w:bCs/>
                <w:color w:val="000000"/>
                <w:sz w:val="22"/>
                <w:szCs w:val="22"/>
              </w:rPr>
            </w:pPr>
            <w:r w:rsidRPr="00DB5D8E">
              <w:rPr>
                <w:rFonts w:ascii="Arial Narrow" w:eastAsia="Times New Roman" w:hAnsi="Arial Narrow" w:cs="Calibri"/>
                <w:b/>
                <w:bCs/>
                <w:color w:val="000000"/>
                <w:sz w:val="22"/>
                <w:szCs w:val="22"/>
              </w:rPr>
              <w:t xml:space="preserve"> </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0D7C1485" w14:textId="77777777" w:rsidR="00DB5D8E" w:rsidRPr="00DB5D8E" w:rsidRDefault="00DB5D8E" w:rsidP="00DB5D8E">
            <w:pPr>
              <w:jc w:val="both"/>
              <w:rPr>
                <w:rFonts w:ascii="Arial Narrow" w:eastAsia="Times New Roman" w:hAnsi="Arial Narrow" w:cs="Calibri"/>
                <w:b/>
                <w:bCs/>
                <w:color w:val="000000"/>
                <w:sz w:val="22"/>
                <w:szCs w:val="22"/>
              </w:rPr>
            </w:pPr>
            <w:r w:rsidRPr="00DB5D8E">
              <w:rPr>
                <w:rFonts w:ascii="Arial Narrow" w:eastAsia="Times New Roman" w:hAnsi="Arial Narrow" w:cs="Calibri"/>
                <w:b/>
                <w:bCs/>
                <w:color w:val="000000"/>
                <w:sz w:val="22"/>
                <w:szCs w:val="22"/>
              </w:rPr>
              <w:t>Estimaciones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6C6B0CAF" w14:textId="77777777" w:rsidR="001F18A0" w:rsidRDefault="00DB5D8E" w:rsidP="00DB5D8E">
            <w:pPr>
              <w:jc w:val="both"/>
              <w:rPr>
                <w:rFonts w:ascii="Arial Narrow" w:eastAsia="Times New Roman" w:hAnsi="Arial Narrow" w:cs="Calibri"/>
                <w:b/>
                <w:bCs/>
                <w:color w:val="000000"/>
                <w:sz w:val="22"/>
                <w:szCs w:val="22"/>
              </w:rPr>
            </w:pPr>
            <w:r w:rsidRPr="00DB5D8E">
              <w:rPr>
                <w:rFonts w:ascii="Arial Narrow" w:eastAsia="Times New Roman" w:hAnsi="Arial Narrow" w:cs="Calibri"/>
                <w:b/>
                <w:bCs/>
                <w:color w:val="000000"/>
                <w:sz w:val="22"/>
                <w:szCs w:val="22"/>
              </w:rPr>
              <w:t>NICSP N° 1,</w:t>
            </w:r>
          </w:p>
          <w:p w14:paraId="6C2BEC9C" w14:textId="6C7F584A" w:rsidR="00DB5D8E" w:rsidRPr="00DB5D8E" w:rsidRDefault="00DB5D8E" w:rsidP="00DB5D8E">
            <w:pPr>
              <w:jc w:val="both"/>
              <w:rPr>
                <w:rFonts w:ascii="Arial Narrow" w:eastAsia="Times New Roman" w:hAnsi="Arial Narrow" w:cs="Calibri"/>
                <w:b/>
                <w:bCs/>
                <w:color w:val="000000"/>
                <w:sz w:val="22"/>
                <w:szCs w:val="22"/>
              </w:rPr>
            </w:pPr>
            <w:r w:rsidRPr="00DB5D8E">
              <w:rPr>
                <w:rFonts w:ascii="Arial Narrow" w:eastAsia="Times New Roman" w:hAnsi="Arial Narrow" w:cs="Calibri"/>
                <w:b/>
                <w:bCs/>
                <w:color w:val="000000"/>
                <w:sz w:val="22"/>
                <w:szCs w:val="22"/>
              </w:rPr>
              <w:t>Párrafo 140.</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6C2102A6" w14:textId="77777777" w:rsidR="00DB5D8E" w:rsidRPr="00DB5D8E" w:rsidRDefault="00DB5D8E" w:rsidP="00DB5D8E">
            <w:pPr>
              <w:jc w:val="center"/>
              <w:rPr>
                <w:rFonts w:ascii="Arial Narrow" w:eastAsia="Times New Roman" w:hAnsi="Arial Narrow" w:cs="Calibri"/>
                <w:b/>
                <w:bCs/>
                <w:color w:val="000000"/>
                <w:sz w:val="22"/>
                <w:szCs w:val="22"/>
              </w:rPr>
            </w:pPr>
            <w:r w:rsidRPr="00DB5D8E">
              <w:rPr>
                <w:rFonts w:ascii="Arial Narrow" w:eastAsia="Times New Roman" w:hAnsi="Arial Narrow" w:cs="Calibri"/>
                <w:b/>
                <w:bCs/>
                <w:color w:val="000000"/>
                <w:sz w:val="22"/>
                <w:szCs w:val="22"/>
              </w:rPr>
              <w:t> </w:t>
            </w:r>
          </w:p>
        </w:tc>
      </w:tr>
    </w:tbl>
    <w:p w14:paraId="137F4BEA" w14:textId="77777777" w:rsidR="00D576D7" w:rsidRDefault="00D576D7" w:rsidP="00D033EC">
      <w:pPr>
        <w:pStyle w:val="Default"/>
        <w:jc w:val="both"/>
        <w:rPr>
          <w:sz w:val="23"/>
          <w:szCs w:val="23"/>
          <w:lang w:val="es-CR"/>
        </w:rPr>
      </w:pPr>
    </w:p>
    <w:p w14:paraId="185906F9" w14:textId="154784CF" w:rsidR="001F18A0" w:rsidRDefault="001F18A0" w:rsidP="001F18A0">
      <w:pPr>
        <w:pStyle w:val="Default"/>
        <w:ind w:left="1134" w:hanging="1134"/>
        <w:jc w:val="both"/>
        <w:rPr>
          <w:rFonts w:eastAsia="Arial"/>
          <w:b/>
          <w:sz w:val="22"/>
          <w:szCs w:val="22"/>
        </w:rPr>
      </w:pPr>
      <w:r w:rsidRPr="00F02F9D">
        <w:rPr>
          <w:rFonts w:eastAsia="Arial"/>
          <w:b/>
          <w:sz w:val="22"/>
          <w:szCs w:val="22"/>
        </w:rPr>
        <w:t>Política Contable</w:t>
      </w:r>
    </w:p>
    <w:p w14:paraId="11FFAB3D" w14:textId="77777777" w:rsidR="001F18A0" w:rsidRDefault="001F18A0" w:rsidP="00D033EC">
      <w:pPr>
        <w:pStyle w:val="Default"/>
        <w:jc w:val="both"/>
        <w:rPr>
          <w:sz w:val="23"/>
          <w:szCs w:val="23"/>
          <w:lang w:val="es-CR"/>
        </w:rPr>
      </w:pPr>
    </w:p>
    <w:p w14:paraId="3D9B8313" w14:textId="216EB118" w:rsidR="00DB5D8E" w:rsidRDefault="004D5BA6" w:rsidP="004D5BA6">
      <w:pPr>
        <w:pStyle w:val="Default"/>
        <w:ind w:left="1134" w:hanging="1134"/>
        <w:jc w:val="both"/>
        <w:rPr>
          <w:sz w:val="22"/>
          <w:szCs w:val="22"/>
          <w:lang w:val="es-CR"/>
        </w:rPr>
      </w:pPr>
      <w:r>
        <w:rPr>
          <w:sz w:val="22"/>
          <w:szCs w:val="22"/>
          <w:lang w:val="es-CR"/>
        </w:rPr>
        <w:t>6.57.0.01</w:t>
      </w:r>
      <w:r>
        <w:rPr>
          <w:sz w:val="22"/>
          <w:szCs w:val="22"/>
          <w:lang w:val="es-CR"/>
        </w:rPr>
        <w:tab/>
      </w:r>
      <w:r w:rsidR="00DB5D8E" w:rsidRPr="004D5BA6">
        <w:rPr>
          <w:sz w:val="22"/>
          <w:szCs w:val="22"/>
          <w:lang w:val="es-CR"/>
        </w:rPr>
        <w:t>Se revelará en las notas información sobre los supuestos clave acerca del futuro, así como otros datos clave para la estimación de la incertidumbre en la fecha sobre la que se informa, siempre que lleven asociado un riesgo significativo de suponer ajustes materiales en el valor en libros de los activos o pasivos dentro del año próximo. Con respecto a esos activos y pasivos, las notas incluirán detalles de:</w:t>
      </w:r>
    </w:p>
    <w:p w14:paraId="66BD9837" w14:textId="77777777" w:rsidR="004D5BA6" w:rsidRPr="004D5BA6" w:rsidRDefault="004D5BA6" w:rsidP="004D5BA6">
      <w:pPr>
        <w:pStyle w:val="Default"/>
        <w:ind w:left="1134" w:hanging="1134"/>
        <w:jc w:val="both"/>
        <w:rPr>
          <w:sz w:val="22"/>
          <w:szCs w:val="22"/>
          <w:lang w:val="es-CR"/>
        </w:rPr>
      </w:pPr>
    </w:p>
    <w:p w14:paraId="12004792" w14:textId="336A55C2" w:rsidR="00DB5D8E" w:rsidRPr="004D5BA6" w:rsidRDefault="004D5BA6">
      <w:pPr>
        <w:pStyle w:val="Default"/>
        <w:numPr>
          <w:ilvl w:val="0"/>
          <w:numId w:val="372"/>
        </w:numPr>
        <w:spacing w:after="120"/>
        <w:ind w:left="1134"/>
        <w:jc w:val="both"/>
        <w:rPr>
          <w:sz w:val="22"/>
          <w:szCs w:val="22"/>
        </w:rPr>
      </w:pPr>
      <w:r>
        <w:rPr>
          <w:sz w:val="22"/>
          <w:szCs w:val="22"/>
        </w:rPr>
        <w:t>S</w:t>
      </w:r>
      <w:r w:rsidR="00DB5D8E" w:rsidRPr="004D5BA6">
        <w:rPr>
          <w:sz w:val="22"/>
          <w:szCs w:val="22"/>
        </w:rPr>
        <w:t xml:space="preserve">u naturaleza; y </w:t>
      </w:r>
    </w:p>
    <w:p w14:paraId="2FC67372" w14:textId="74D3400D" w:rsidR="00DB5D8E" w:rsidRPr="004D5BA6" w:rsidRDefault="004D5BA6">
      <w:pPr>
        <w:pStyle w:val="Default"/>
        <w:numPr>
          <w:ilvl w:val="0"/>
          <w:numId w:val="372"/>
        </w:numPr>
        <w:ind w:left="1134"/>
        <w:jc w:val="both"/>
        <w:rPr>
          <w:sz w:val="22"/>
          <w:szCs w:val="22"/>
          <w:lang w:val="es-CR"/>
        </w:rPr>
      </w:pPr>
      <w:r>
        <w:rPr>
          <w:sz w:val="22"/>
          <w:szCs w:val="22"/>
          <w:lang w:val="es-CR"/>
        </w:rPr>
        <w:t>S</w:t>
      </w:r>
      <w:r w:rsidR="00DB5D8E" w:rsidRPr="004D5BA6">
        <w:rPr>
          <w:sz w:val="22"/>
          <w:szCs w:val="22"/>
          <w:lang w:val="es-CR"/>
        </w:rPr>
        <w:t xml:space="preserve">u importe en libros en la fecha sobre la que se informa. </w:t>
      </w:r>
    </w:p>
    <w:p w14:paraId="547D3434" w14:textId="77777777" w:rsidR="00D576D7" w:rsidRDefault="00D576D7" w:rsidP="00D033EC">
      <w:pPr>
        <w:pStyle w:val="Default"/>
        <w:jc w:val="both"/>
        <w:rPr>
          <w:sz w:val="23"/>
          <w:szCs w:val="23"/>
          <w:lang w:val="es-CR"/>
        </w:rPr>
      </w:pPr>
    </w:p>
    <w:p w14:paraId="169ABE1D" w14:textId="77777777" w:rsidR="00D576D7" w:rsidRDefault="00D576D7"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93"/>
        <w:gridCol w:w="2252"/>
        <w:gridCol w:w="1851"/>
      </w:tblGrid>
      <w:tr w:rsidR="00D263E2" w:rsidRPr="00D263E2" w14:paraId="331505FD" w14:textId="77777777" w:rsidTr="001F18A0">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EC6365E"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Norma / Política</w:t>
            </w:r>
          </w:p>
        </w:tc>
        <w:tc>
          <w:tcPr>
            <w:tcW w:w="36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05206E26"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Concepto</w:t>
            </w:r>
          </w:p>
        </w:tc>
        <w:tc>
          <w:tcPr>
            <w:tcW w:w="4103" w:type="dxa"/>
            <w:gridSpan w:val="2"/>
            <w:tcBorders>
              <w:top w:val="single" w:sz="8" w:space="0" w:color="auto"/>
              <w:left w:val="nil"/>
              <w:bottom w:val="single" w:sz="8" w:space="0" w:color="auto"/>
              <w:right w:val="single" w:sz="8" w:space="0" w:color="000000"/>
            </w:tcBorders>
            <w:shd w:val="clear" w:color="000000" w:fill="203764"/>
            <w:vAlign w:val="center"/>
            <w:hideMark/>
          </w:tcPr>
          <w:p w14:paraId="482E4B8C"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Referencia</w:t>
            </w:r>
          </w:p>
        </w:tc>
      </w:tr>
      <w:tr w:rsidR="00D263E2" w:rsidRPr="006E5442" w14:paraId="37E6D1D7" w14:textId="77777777" w:rsidTr="001F18A0">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893835E" w14:textId="77777777" w:rsidR="00D263E2" w:rsidRPr="00D263E2" w:rsidRDefault="00D263E2" w:rsidP="00D263E2">
            <w:pPr>
              <w:rPr>
                <w:rFonts w:ascii="Arial Narrow" w:eastAsia="Times New Roman" w:hAnsi="Arial Narrow" w:cs="Calibri"/>
                <w:b/>
                <w:bCs/>
                <w:color w:val="FFFFFF"/>
                <w:sz w:val="22"/>
                <w:szCs w:val="22"/>
              </w:rPr>
            </w:pPr>
          </w:p>
        </w:tc>
        <w:tc>
          <w:tcPr>
            <w:tcW w:w="3693" w:type="dxa"/>
            <w:vMerge/>
            <w:tcBorders>
              <w:top w:val="single" w:sz="8" w:space="0" w:color="auto"/>
              <w:left w:val="single" w:sz="8" w:space="0" w:color="auto"/>
              <w:bottom w:val="nil"/>
              <w:right w:val="single" w:sz="8" w:space="0" w:color="auto"/>
            </w:tcBorders>
            <w:vAlign w:val="center"/>
            <w:hideMark/>
          </w:tcPr>
          <w:p w14:paraId="5E23796D" w14:textId="77777777" w:rsidR="00D263E2" w:rsidRPr="00D263E2" w:rsidRDefault="00D263E2" w:rsidP="00D263E2">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11F620FE"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Norma</w:t>
            </w:r>
          </w:p>
        </w:tc>
        <w:tc>
          <w:tcPr>
            <w:tcW w:w="1851" w:type="dxa"/>
            <w:tcBorders>
              <w:top w:val="nil"/>
              <w:left w:val="nil"/>
              <w:bottom w:val="nil"/>
              <w:right w:val="single" w:sz="8" w:space="0" w:color="auto"/>
            </w:tcBorders>
            <w:shd w:val="clear" w:color="000000" w:fill="203764"/>
            <w:vAlign w:val="center"/>
            <w:hideMark/>
          </w:tcPr>
          <w:p w14:paraId="2A5C744F" w14:textId="77777777" w:rsidR="00D263E2" w:rsidRPr="00D263E2" w:rsidRDefault="00D263E2" w:rsidP="00D263E2">
            <w:pPr>
              <w:jc w:val="center"/>
              <w:rPr>
                <w:rFonts w:ascii="Arial Narrow" w:eastAsia="Times New Roman" w:hAnsi="Arial Narrow" w:cs="Calibri"/>
                <w:b/>
                <w:bCs/>
                <w:color w:val="FFFFFF"/>
                <w:sz w:val="22"/>
                <w:szCs w:val="22"/>
                <w:lang w:val="es-CR"/>
              </w:rPr>
            </w:pPr>
            <w:r w:rsidRPr="00D263E2">
              <w:rPr>
                <w:rFonts w:ascii="Arial Narrow" w:eastAsia="Times New Roman" w:hAnsi="Arial Narrow" w:cs="Calibri"/>
                <w:b/>
                <w:bCs/>
                <w:color w:val="FFFFFF"/>
                <w:sz w:val="22"/>
                <w:szCs w:val="22"/>
                <w:lang w:val="es-CR"/>
              </w:rPr>
              <w:t>Normativa técnica y disposiciones adicionales</w:t>
            </w:r>
          </w:p>
        </w:tc>
      </w:tr>
      <w:tr w:rsidR="00D263E2" w:rsidRPr="00D263E2" w14:paraId="6A8B2B54" w14:textId="77777777" w:rsidTr="001F18A0">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0D0876"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80A6B29"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58</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2BDEAFE"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xml:space="preserve"> </w:t>
            </w:r>
          </w:p>
        </w:tc>
        <w:tc>
          <w:tcPr>
            <w:tcW w:w="3693" w:type="dxa"/>
            <w:tcBorders>
              <w:top w:val="single" w:sz="8" w:space="0" w:color="auto"/>
              <w:left w:val="nil"/>
              <w:bottom w:val="single" w:sz="8" w:space="0" w:color="auto"/>
              <w:right w:val="single" w:sz="8" w:space="0" w:color="auto"/>
            </w:tcBorders>
            <w:shd w:val="clear" w:color="auto" w:fill="auto"/>
            <w:vAlign w:val="center"/>
            <w:hideMark/>
          </w:tcPr>
          <w:p w14:paraId="7AED1013" w14:textId="77777777" w:rsidR="00D263E2" w:rsidRPr="00D263E2" w:rsidRDefault="00D263E2" w:rsidP="00D263E2">
            <w:pPr>
              <w:jc w:val="both"/>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Modificaciones</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20D69FEB" w14:textId="77777777" w:rsidR="001F18A0" w:rsidRDefault="00D263E2" w:rsidP="00D263E2">
            <w:pPr>
              <w:jc w:val="both"/>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NICSP N° 1,</w:t>
            </w:r>
          </w:p>
          <w:p w14:paraId="738EA834" w14:textId="6162A812" w:rsidR="00D263E2" w:rsidRPr="00D263E2" w:rsidRDefault="00D263E2" w:rsidP="00D263E2">
            <w:pPr>
              <w:jc w:val="both"/>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Párrafos 55 y 56.</w:t>
            </w:r>
          </w:p>
        </w:tc>
        <w:tc>
          <w:tcPr>
            <w:tcW w:w="1851" w:type="dxa"/>
            <w:tcBorders>
              <w:top w:val="single" w:sz="8" w:space="0" w:color="auto"/>
              <w:left w:val="nil"/>
              <w:bottom w:val="single" w:sz="8" w:space="0" w:color="auto"/>
              <w:right w:val="single" w:sz="8" w:space="0" w:color="auto"/>
            </w:tcBorders>
            <w:shd w:val="clear" w:color="auto" w:fill="auto"/>
            <w:vAlign w:val="center"/>
            <w:hideMark/>
          </w:tcPr>
          <w:p w14:paraId="42D7C41C"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w:t>
            </w:r>
          </w:p>
        </w:tc>
      </w:tr>
    </w:tbl>
    <w:p w14:paraId="38C023C5" w14:textId="77777777" w:rsidR="00D576D7" w:rsidRDefault="00D576D7" w:rsidP="00D033EC">
      <w:pPr>
        <w:pStyle w:val="Default"/>
        <w:jc w:val="both"/>
        <w:rPr>
          <w:sz w:val="23"/>
          <w:szCs w:val="23"/>
          <w:lang w:val="es-CR"/>
        </w:rPr>
      </w:pPr>
    </w:p>
    <w:p w14:paraId="5CCA3EEF" w14:textId="77777777" w:rsidR="001F18A0" w:rsidRDefault="001F18A0" w:rsidP="001F18A0">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78BBEEEF" w14:textId="77777777" w:rsidR="001F18A0" w:rsidRDefault="001F18A0" w:rsidP="00D033EC">
      <w:pPr>
        <w:pStyle w:val="Default"/>
        <w:jc w:val="both"/>
        <w:rPr>
          <w:sz w:val="23"/>
          <w:szCs w:val="23"/>
          <w:lang w:val="es-CR"/>
        </w:rPr>
      </w:pPr>
    </w:p>
    <w:p w14:paraId="322964F4" w14:textId="72C052F8" w:rsidR="00D263E2" w:rsidRDefault="00D263E2" w:rsidP="00D263E2">
      <w:pPr>
        <w:pStyle w:val="Default"/>
        <w:ind w:left="1134" w:hanging="1134"/>
        <w:jc w:val="both"/>
        <w:rPr>
          <w:sz w:val="22"/>
          <w:szCs w:val="22"/>
          <w:lang w:val="es-CR"/>
        </w:rPr>
      </w:pPr>
      <w:r w:rsidRPr="00D263E2">
        <w:rPr>
          <w:sz w:val="22"/>
          <w:szCs w:val="22"/>
          <w:lang w:val="es-CR"/>
        </w:rPr>
        <w:t>6.58.0.01</w:t>
      </w:r>
      <w:r w:rsidRPr="00D263E2">
        <w:rPr>
          <w:sz w:val="22"/>
          <w:szCs w:val="22"/>
          <w:lang w:val="es-CR"/>
        </w:rPr>
        <w:tab/>
        <w:t>Modificaciones: Cuando se modifique la forma de presentación o la clasificación de las partidas de los EEFF, también deberán reclasificarse los importes correspondientes a la información comparativa, a menos que resultase impracticable hacerlo.</w:t>
      </w:r>
    </w:p>
    <w:p w14:paraId="2F129C39" w14:textId="77777777" w:rsidR="00D263E2" w:rsidRPr="00D263E2" w:rsidRDefault="00D263E2" w:rsidP="00D263E2">
      <w:pPr>
        <w:pStyle w:val="Default"/>
        <w:ind w:left="1134" w:hanging="1134"/>
        <w:jc w:val="both"/>
        <w:rPr>
          <w:sz w:val="22"/>
          <w:szCs w:val="22"/>
          <w:lang w:val="es-CR"/>
        </w:rPr>
      </w:pPr>
    </w:p>
    <w:p w14:paraId="7912A886" w14:textId="7DCD478C" w:rsidR="00D263E2" w:rsidRDefault="00D263E2" w:rsidP="00D263E2">
      <w:pPr>
        <w:pStyle w:val="Default"/>
        <w:ind w:left="1134" w:hanging="1134"/>
        <w:jc w:val="both"/>
        <w:rPr>
          <w:sz w:val="22"/>
          <w:szCs w:val="22"/>
          <w:lang w:val="es-CR"/>
        </w:rPr>
      </w:pPr>
      <w:r>
        <w:rPr>
          <w:sz w:val="22"/>
          <w:szCs w:val="22"/>
          <w:lang w:val="es-CR"/>
        </w:rPr>
        <w:t>6.58.0.02</w:t>
      </w:r>
      <w:r>
        <w:rPr>
          <w:sz w:val="22"/>
          <w:szCs w:val="22"/>
          <w:lang w:val="es-CR"/>
        </w:rPr>
        <w:tab/>
      </w:r>
      <w:r w:rsidRPr="00D263E2">
        <w:rPr>
          <w:sz w:val="22"/>
          <w:szCs w:val="22"/>
          <w:lang w:val="es-CR"/>
        </w:rPr>
        <w:t>Cuando dichos importes se reclasifiquen, deberá revelarse:</w:t>
      </w:r>
    </w:p>
    <w:p w14:paraId="4F29FB02" w14:textId="77777777" w:rsidR="00D263E2" w:rsidRPr="00D263E2" w:rsidRDefault="00D263E2" w:rsidP="00D263E2">
      <w:pPr>
        <w:pStyle w:val="Default"/>
        <w:ind w:left="1134" w:hanging="1134"/>
        <w:jc w:val="both"/>
        <w:rPr>
          <w:sz w:val="22"/>
          <w:szCs w:val="22"/>
          <w:lang w:val="es-CR"/>
        </w:rPr>
      </w:pPr>
    </w:p>
    <w:p w14:paraId="5BD80C3F" w14:textId="719F7453" w:rsidR="00D263E2" w:rsidRPr="00D263E2" w:rsidRDefault="00D263E2">
      <w:pPr>
        <w:pStyle w:val="Default"/>
        <w:numPr>
          <w:ilvl w:val="0"/>
          <w:numId w:val="373"/>
        </w:numPr>
        <w:spacing w:after="120"/>
        <w:ind w:left="1418" w:hanging="284"/>
        <w:jc w:val="both"/>
        <w:rPr>
          <w:sz w:val="22"/>
          <w:szCs w:val="22"/>
          <w:lang w:val="es-CR"/>
        </w:rPr>
      </w:pPr>
      <w:r>
        <w:rPr>
          <w:sz w:val="22"/>
          <w:szCs w:val="22"/>
          <w:lang w:val="es-CR"/>
        </w:rPr>
        <w:t>L</w:t>
      </w:r>
      <w:r w:rsidRPr="00D263E2">
        <w:rPr>
          <w:sz w:val="22"/>
          <w:szCs w:val="22"/>
          <w:lang w:val="es-CR"/>
        </w:rPr>
        <w:t xml:space="preserve">a naturaleza de la reclasificación; </w:t>
      </w:r>
    </w:p>
    <w:p w14:paraId="0A5AB890" w14:textId="35F27A9A" w:rsidR="00D263E2" w:rsidRPr="00D263E2" w:rsidRDefault="00D263E2">
      <w:pPr>
        <w:pStyle w:val="Default"/>
        <w:numPr>
          <w:ilvl w:val="0"/>
          <w:numId w:val="373"/>
        </w:numPr>
        <w:spacing w:after="120"/>
        <w:ind w:left="1418" w:hanging="284"/>
        <w:jc w:val="both"/>
        <w:rPr>
          <w:sz w:val="22"/>
          <w:szCs w:val="22"/>
          <w:lang w:val="es-CR"/>
        </w:rPr>
      </w:pPr>
      <w:r>
        <w:rPr>
          <w:sz w:val="22"/>
          <w:szCs w:val="22"/>
          <w:lang w:val="es-CR"/>
        </w:rPr>
        <w:t>E</w:t>
      </w:r>
      <w:r w:rsidRPr="00D263E2">
        <w:rPr>
          <w:sz w:val="22"/>
          <w:szCs w:val="22"/>
          <w:lang w:val="es-CR"/>
        </w:rPr>
        <w:t xml:space="preserve">l importe de cada partida o grupo de partidas que se han reclasificado; y </w:t>
      </w:r>
    </w:p>
    <w:p w14:paraId="55672076" w14:textId="28F5EE8C" w:rsidR="00D263E2" w:rsidRPr="00D263E2" w:rsidRDefault="00D263E2">
      <w:pPr>
        <w:pStyle w:val="Default"/>
        <w:numPr>
          <w:ilvl w:val="0"/>
          <w:numId w:val="373"/>
        </w:numPr>
        <w:ind w:left="1418" w:hanging="284"/>
        <w:jc w:val="both"/>
        <w:rPr>
          <w:sz w:val="22"/>
          <w:szCs w:val="22"/>
          <w:lang w:val="es-CR"/>
        </w:rPr>
      </w:pPr>
      <w:r>
        <w:rPr>
          <w:sz w:val="22"/>
          <w:szCs w:val="22"/>
          <w:lang w:val="es-CR"/>
        </w:rPr>
        <w:t>E</w:t>
      </w:r>
      <w:r w:rsidRPr="00D263E2">
        <w:rPr>
          <w:sz w:val="22"/>
          <w:szCs w:val="22"/>
          <w:lang w:val="es-CR"/>
        </w:rPr>
        <w:t xml:space="preserve">l motivo de la reclasificación. </w:t>
      </w:r>
    </w:p>
    <w:p w14:paraId="705538E3" w14:textId="77777777" w:rsidR="00D263E2" w:rsidRPr="00D263E2" w:rsidRDefault="00D263E2" w:rsidP="00D263E2">
      <w:pPr>
        <w:pStyle w:val="Default"/>
        <w:jc w:val="both"/>
        <w:rPr>
          <w:sz w:val="22"/>
          <w:szCs w:val="22"/>
          <w:lang w:val="es-CR"/>
        </w:rPr>
      </w:pPr>
    </w:p>
    <w:p w14:paraId="10745D7F" w14:textId="419AF0E2" w:rsidR="00D263E2" w:rsidRDefault="008A7EB8" w:rsidP="008A7EB8">
      <w:pPr>
        <w:pStyle w:val="Default"/>
        <w:ind w:left="1134" w:hanging="1134"/>
        <w:jc w:val="both"/>
        <w:rPr>
          <w:sz w:val="22"/>
          <w:szCs w:val="22"/>
          <w:lang w:val="es-CR"/>
        </w:rPr>
      </w:pPr>
      <w:r>
        <w:rPr>
          <w:sz w:val="22"/>
          <w:szCs w:val="22"/>
          <w:lang w:val="es-CR"/>
        </w:rPr>
        <w:t>56.58.0.03</w:t>
      </w:r>
      <w:r>
        <w:rPr>
          <w:sz w:val="22"/>
          <w:szCs w:val="22"/>
          <w:lang w:val="es-CR"/>
        </w:rPr>
        <w:tab/>
      </w:r>
      <w:r w:rsidR="00D263E2" w:rsidRPr="00D263E2">
        <w:rPr>
          <w:sz w:val="22"/>
          <w:szCs w:val="22"/>
          <w:lang w:val="es-CR"/>
        </w:rPr>
        <w:t>Cuando la reclasificación de los importes comparativos resulte impracticable, deberá revelarse:</w:t>
      </w:r>
    </w:p>
    <w:p w14:paraId="5F2FC579" w14:textId="77777777" w:rsidR="008A7EB8" w:rsidRPr="00D263E2" w:rsidRDefault="008A7EB8" w:rsidP="008A7EB8">
      <w:pPr>
        <w:pStyle w:val="Default"/>
        <w:ind w:left="1134" w:hanging="1134"/>
        <w:jc w:val="both"/>
        <w:rPr>
          <w:sz w:val="22"/>
          <w:szCs w:val="22"/>
          <w:lang w:val="es-CR"/>
        </w:rPr>
      </w:pPr>
    </w:p>
    <w:p w14:paraId="5B337C85" w14:textId="5F65FAD1" w:rsidR="00D263E2" w:rsidRPr="00D263E2" w:rsidRDefault="008A7EB8">
      <w:pPr>
        <w:pStyle w:val="Default"/>
        <w:numPr>
          <w:ilvl w:val="0"/>
          <w:numId w:val="374"/>
        </w:numPr>
        <w:spacing w:after="120"/>
        <w:ind w:left="1418" w:hanging="284"/>
        <w:jc w:val="both"/>
        <w:rPr>
          <w:sz w:val="22"/>
          <w:szCs w:val="22"/>
          <w:lang w:val="es-CR"/>
        </w:rPr>
      </w:pPr>
      <w:r>
        <w:rPr>
          <w:sz w:val="22"/>
          <w:szCs w:val="22"/>
          <w:lang w:val="es-CR"/>
        </w:rPr>
        <w:t>E</w:t>
      </w:r>
      <w:r w:rsidR="00D263E2" w:rsidRPr="00D263E2">
        <w:rPr>
          <w:sz w:val="22"/>
          <w:szCs w:val="22"/>
          <w:lang w:val="es-CR"/>
        </w:rPr>
        <w:t xml:space="preserve">l motivo para no reclasificar los importes; y </w:t>
      </w:r>
    </w:p>
    <w:p w14:paraId="613CDAAC" w14:textId="6C72F38F" w:rsidR="00D263E2" w:rsidRPr="00D263E2" w:rsidRDefault="008A7EB8">
      <w:pPr>
        <w:pStyle w:val="Default"/>
        <w:numPr>
          <w:ilvl w:val="0"/>
          <w:numId w:val="374"/>
        </w:numPr>
        <w:ind w:left="1418" w:hanging="284"/>
        <w:jc w:val="both"/>
        <w:rPr>
          <w:sz w:val="22"/>
          <w:szCs w:val="22"/>
          <w:lang w:val="es-CR"/>
        </w:rPr>
      </w:pPr>
      <w:r>
        <w:rPr>
          <w:sz w:val="22"/>
          <w:szCs w:val="22"/>
          <w:lang w:val="es-CR"/>
        </w:rPr>
        <w:t>L</w:t>
      </w:r>
      <w:r w:rsidR="00D263E2" w:rsidRPr="00D263E2">
        <w:rPr>
          <w:sz w:val="22"/>
          <w:szCs w:val="22"/>
          <w:lang w:val="es-CR"/>
        </w:rPr>
        <w:t xml:space="preserve">a naturaleza de los ajustes que tendrían que haberse efectuado si los importes hubieran sido reclasificados. </w:t>
      </w:r>
    </w:p>
    <w:p w14:paraId="624F35B6" w14:textId="77777777" w:rsidR="00D263E2" w:rsidRDefault="00D263E2" w:rsidP="00D033EC">
      <w:pPr>
        <w:pStyle w:val="Default"/>
        <w:jc w:val="both"/>
        <w:rPr>
          <w:sz w:val="23"/>
          <w:szCs w:val="23"/>
          <w:lang w:val="es-CR"/>
        </w:rPr>
      </w:pPr>
    </w:p>
    <w:p w14:paraId="070CF5F3" w14:textId="77777777" w:rsidR="00D263E2" w:rsidRDefault="00D263E2" w:rsidP="00D033EC">
      <w:pPr>
        <w:pStyle w:val="Default"/>
        <w:jc w:val="both"/>
        <w:rPr>
          <w:sz w:val="23"/>
          <w:szCs w:val="23"/>
          <w:lang w:val="es-CR"/>
        </w:rPr>
      </w:pPr>
    </w:p>
    <w:p w14:paraId="5F84311D" w14:textId="77777777" w:rsidR="008A7EB8" w:rsidRDefault="008A7EB8" w:rsidP="00D033EC">
      <w:pPr>
        <w:pStyle w:val="Default"/>
        <w:jc w:val="both"/>
        <w:rPr>
          <w:sz w:val="23"/>
          <w:szCs w:val="23"/>
          <w:lang w:val="es-CR"/>
        </w:rPr>
      </w:pPr>
    </w:p>
    <w:p w14:paraId="24AC6CD1" w14:textId="77777777" w:rsidR="008A7EB8" w:rsidRDefault="008A7EB8" w:rsidP="00D033EC">
      <w:pPr>
        <w:pStyle w:val="Default"/>
        <w:jc w:val="both"/>
        <w:rPr>
          <w:sz w:val="23"/>
          <w:szCs w:val="23"/>
          <w:lang w:val="es-CR"/>
        </w:rPr>
      </w:pPr>
    </w:p>
    <w:p w14:paraId="2E62192D" w14:textId="77777777" w:rsidR="008A7EB8" w:rsidRDefault="008A7EB8" w:rsidP="00D033EC">
      <w:pPr>
        <w:pStyle w:val="Default"/>
        <w:jc w:val="both"/>
        <w:rPr>
          <w:sz w:val="23"/>
          <w:szCs w:val="23"/>
          <w:lang w:val="es-CR"/>
        </w:rPr>
      </w:pPr>
    </w:p>
    <w:p w14:paraId="79955D31" w14:textId="77777777" w:rsidR="001F18A0" w:rsidRDefault="001F18A0" w:rsidP="00D033EC">
      <w:pPr>
        <w:pStyle w:val="Default"/>
        <w:jc w:val="both"/>
        <w:rPr>
          <w:sz w:val="23"/>
          <w:szCs w:val="23"/>
          <w:lang w:val="es-CR"/>
        </w:rPr>
      </w:pPr>
    </w:p>
    <w:tbl>
      <w:tblPr>
        <w:tblW w:w="9346" w:type="dxa"/>
        <w:tblLook w:val="04A0" w:firstRow="1" w:lastRow="0" w:firstColumn="1" w:lastColumn="0" w:noHBand="0" w:noVBand="1"/>
      </w:tblPr>
      <w:tblGrid>
        <w:gridCol w:w="416"/>
        <w:gridCol w:w="662"/>
        <w:gridCol w:w="330"/>
        <w:gridCol w:w="9"/>
        <w:gridCol w:w="3730"/>
        <w:gridCol w:w="9"/>
        <w:gridCol w:w="2270"/>
        <w:gridCol w:w="9"/>
        <w:gridCol w:w="1911"/>
      </w:tblGrid>
      <w:tr w:rsidR="00D263E2" w:rsidRPr="00D263E2" w14:paraId="636BEE0F" w14:textId="77777777" w:rsidTr="001F18A0">
        <w:trPr>
          <w:trHeight w:val="320"/>
        </w:trPr>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78C01E0E"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lastRenderedPageBreak/>
              <w:t>Norma / Política</w:t>
            </w:r>
          </w:p>
        </w:tc>
        <w:tc>
          <w:tcPr>
            <w:tcW w:w="3739" w:type="dxa"/>
            <w:gridSpan w:val="2"/>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D4DF193"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Concepto</w:t>
            </w:r>
          </w:p>
        </w:tc>
        <w:tc>
          <w:tcPr>
            <w:tcW w:w="4190" w:type="dxa"/>
            <w:gridSpan w:val="3"/>
            <w:tcBorders>
              <w:top w:val="single" w:sz="8" w:space="0" w:color="auto"/>
              <w:left w:val="nil"/>
              <w:bottom w:val="single" w:sz="8" w:space="0" w:color="auto"/>
              <w:right w:val="single" w:sz="8" w:space="0" w:color="000000"/>
            </w:tcBorders>
            <w:shd w:val="clear" w:color="000000" w:fill="203764"/>
            <w:vAlign w:val="center"/>
            <w:hideMark/>
          </w:tcPr>
          <w:p w14:paraId="32398339"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Referencia</w:t>
            </w:r>
          </w:p>
        </w:tc>
      </w:tr>
      <w:tr w:rsidR="00D263E2" w:rsidRPr="006E5442" w14:paraId="524F9A74" w14:textId="77777777" w:rsidTr="001F18A0">
        <w:trPr>
          <w:trHeight w:val="850"/>
        </w:trPr>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14:paraId="3E9892CF" w14:textId="77777777" w:rsidR="00D263E2" w:rsidRPr="00D263E2" w:rsidRDefault="00D263E2" w:rsidP="00D263E2">
            <w:pPr>
              <w:rPr>
                <w:rFonts w:ascii="Arial Narrow" w:eastAsia="Times New Roman" w:hAnsi="Arial Narrow" w:cs="Calibri"/>
                <w:b/>
                <w:bCs/>
                <w:color w:val="FFFFFF"/>
                <w:sz w:val="22"/>
                <w:szCs w:val="22"/>
              </w:rPr>
            </w:pPr>
          </w:p>
        </w:tc>
        <w:tc>
          <w:tcPr>
            <w:tcW w:w="3739" w:type="dxa"/>
            <w:gridSpan w:val="2"/>
            <w:vMerge/>
            <w:tcBorders>
              <w:top w:val="single" w:sz="8" w:space="0" w:color="auto"/>
              <w:left w:val="single" w:sz="8" w:space="0" w:color="auto"/>
              <w:bottom w:val="single" w:sz="8" w:space="0" w:color="000000"/>
              <w:right w:val="single" w:sz="8" w:space="0" w:color="auto"/>
            </w:tcBorders>
            <w:vAlign w:val="center"/>
            <w:hideMark/>
          </w:tcPr>
          <w:p w14:paraId="7E44F579" w14:textId="77777777" w:rsidR="00D263E2" w:rsidRPr="00D263E2" w:rsidRDefault="00D263E2" w:rsidP="00D263E2">
            <w:pPr>
              <w:rPr>
                <w:rFonts w:ascii="Arial Narrow" w:eastAsia="Times New Roman" w:hAnsi="Arial Narrow" w:cs="Calibri"/>
                <w:b/>
                <w:bCs/>
                <w:color w:val="FFFFFF"/>
                <w:sz w:val="22"/>
                <w:szCs w:val="22"/>
              </w:rPr>
            </w:pPr>
          </w:p>
        </w:tc>
        <w:tc>
          <w:tcPr>
            <w:tcW w:w="2279" w:type="dxa"/>
            <w:gridSpan w:val="2"/>
            <w:tcBorders>
              <w:top w:val="nil"/>
              <w:left w:val="nil"/>
              <w:bottom w:val="single" w:sz="8" w:space="0" w:color="auto"/>
              <w:right w:val="single" w:sz="8" w:space="0" w:color="auto"/>
            </w:tcBorders>
            <w:shd w:val="clear" w:color="000000" w:fill="203764"/>
            <w:vAlign w:val="center"/>
            <w:hideMark/>
          </w:tcPr>
          <w:p w14:paraId="368A20D6"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Norma</w:t>
            </w:r>
          </w:p>
        </w:tc>
        <w:tc>
          <w:tcPr>
            <w:tcW w:w="1911" w:type="dxa"/>
            <w:tcBorders>
              <w:top w:val="nil"/>
              <w:left w:val="nil"/>
              <w:bottom w:val="single" w:sz="8" w:space="0" w:color="auto"/>
              <w:right w:val="single" w:sz="8" w:space="0" w:color="auto"/>
            </w:tcBorders>
            <w:shd w:val="clear" w:color="000000" w:fill="203764"/>
            <w:vAlign w:val="center"/>
            <w:hideMark/>
          </w:tcPr>
          <w:p w14:paraId="6C1A9193" w14:textId="77777777" w:rsidR="00D263E2" w:rsidRPr="00D263E2" w:rsidRDefault="00D263E2" w:rsidP="00D263E2">
            <w:pPr>
              <w:jc w:val="center"/>
              <w:rPr>
                <w:rFonts w:ascii="Arial Narrow" w:eastAsia="Times New Roman" w:hAnsi="Arial Narrow" w:cs="Calibri"/>
                <w:b/>
                <w:bCs/>
                <w:color w:val="FFFFFF"/>
                <w:sz w:val="22"/>
                <w:szCs w:val="22"/>
                <w:lang w:val="es-CR"/>
              </w:rPr>
            </w:pPr>
            <w:r w:rsidRPr="00D263E2">
              <w:rPr>
                <w:rFonts w:ascii="Arial Narrow" w:eastAsia="Times New Roman" w:hAnsi="Arial Narrow" w:cs="Calibri"/>
                <w:b/>
                <w:bCs/>
                <w:color w:val="FFFFFF"/>
                <w:sz w:val="22"/>
                <w:szCs w:val="22"/>
                <w:lang w:val="es-CR"/>
              </w:rPr>
              <w:t>Normativa técnica y disposiciones adicionales</w:t>
            </w:r>
          </w:p>
        </w:tc>
      </w:tr>
      <w:tr w:rsidR="00D263E2" w:rsidRPr="00D263E2" w14:paraId="75809543"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2E53D44"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3F6C2D79" w14:textId="77777777" w:rsidR="00D263E2" w:rsidRPr="00D263E2" w:rsidRDefault="00D263E2" w:rsidP="000B34AC">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59</w:t>
            </w:r>
          </w:p>
        </w:tc>
        <w:tc>
          <w:tcPr>
            <w:tcW w:w="330" w:type="dxa"/>
            <w:tcBorders>
              <w:top w:val="nil"/>
              <w:left w:val="nil"/>
              <w:bottom w:val="single" w:sz="8" w:space="0" w:color="auto"/>
              <w:right w:val="single" w:sz="8" w:space="0" w:color="auto"/>
            </w:tcBorders>
            <w:shd w:val="clear" w:color="auto" w:fill="auto"/>
            <w:vAlign w:val="center"/>
            <w:hideMark/>
          </w:tcPr>
          <w:p w14:paraId="341957A5"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w:t>
            </w:r>
          </w:p>
        </w:tc>
        <w:tc>
          <w:tcPr>
            <w:tcW w:w="3739" w:type="dxa"/>
            <w:gridSpan w:val="2"/>
            <w:tcBorders>
              <w:top w:val="nil"/>
              <w:left w:val="nil"/>
              <w:bottom w:val="single" w:sz="8" w:space="0" w:color="auto"/>
              <w:right w:val="single" w:sz="8" w:space="0" w:color="auto"/>
            </w:tcBorders>
            <w:shd w:val="clear" w:color="auto" w:fill="auto"/>
            <w:vAlign w:val="center"/>
            <w:hideMark/>
          </w:tcPr>
          <w:p w14:paraId="4B4422DE" w14:textId="77777777" w:rsidR="00D263E2" w:rsidRPr="00D263E2" w:rsidRDefault="00D263E2" w:rsidP="00D263E2">
            <w:pP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Políticas contables</w:t>
            </w:r>
          </w:p>
        </w:tc>
        <w:tc>
          <w:tcPr>
            <w:tcW w:w="2279" w:type="dxa"/>
            <w:gridSpan w:val="2"/>
            <w:tcBorders>
              <w:top w:val="nil"/>
              <w:left w:val="nil"/>
              <w:bottom w:val="single" w:sz="8" w:space="0" w:color="auto"/>
              <w:right w:val="single" w:sz="8" w:space="0" w:color="auto"/>
            </w:tcBorders>
            <w:shd w:val="clear" w:color="auto" w:fill="auto"/>
            <w:vAlign w:val="center"/>
            <w:hideMark/>
          </w:tcPr>
          <w:p w14:paraId="0FFA74E5" w14:textId="77777777" w:rsidR="00D263E2" w:rsidRPr="00D263E2" w:rsidRDefault="00D263E2" w:rsidP="00D263E2">
            <w:pP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xml:space="preserve">NICSP N° 3, </w:t>
            </w:r>
            <w:r w:rsidRPr="00D263E2">
              <w:rPr>
                <w:rFonts w:ascii="Arial Narrow" w:eastAsia="Times New Roman" w:hAnsi="Arial Narrow" w:cs="Calibri"/>
                <w:b/>
                <w:bCs/>
                <w:color w:val="000000"/>
                <w:sz w:val="22"/>
                <w:szCs w:val="22"/>
              </w:rPr>
              <w:br/>
              <w:t>Párrafo 3.</w:t>
            </w:r>
          </w:p>
        </w:tc>
        <w:tc>
          <w:tcPr>
            <w:tcW w:w="1920" w:type="dxa"/>
            <w:gridSpan w:val="2"/>
            <w:tcBorders>
              <w:top w:val="nil"/>
              <w:left w:val="nil"/>
              <w:bottom w:val="single" w:sz="8" w:space="0" w:color="auto"/>
              <w:right w:val="single" w:sz="8" w:space="0" w:color="auto"/>
            </w:tcBorders>
            <w:shd w:val="clear" w:color="auto" w:fill="auto"/>
            <w:vAlign w:val="center"/>
            <w:hideMark/>
          </w:tcPr>
          <w:p w14:paraId="16632B4B"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w:t>
            </w:r>
          </w:p>
        </w:tc>
      </w:tr>
      <w:tr w:rsidR="00D263E2" w:rsidRPr="00D263E2" w14:paraId="59DE0AE4"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0EB344F"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3A42960A" w14:textId="77777777" w:rsidR="00D263E2" w:rsidRPr="00D263E2" w:rsidRDefault="00D263E2" w:rsidP="000B34AC">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59</w:t>
            </w:r>
          </w:p>
        </w:tc>
        <w:tc>
          <w:tcPr>
            <w:tcW w:w="330" w:type="dxa"/>
            <w:tcBorders>
              <w:top w:val="nil"/>
              <w:left w:val="nil"/>
              <w:bottom w:val="single" w:sz="8" w:space="0" w:color="auto"/>
              <w:right w:val="nil"/>
            </w:tcBorders>
            <w:shd w:val="clear" w:color="auto" w:fill="auto"/>
            <w:vAlign w:val="center"/>
            <w:hideMark/>
          </w:tcPr>
          <w:p w14:paraId="2782C138"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1</w:t>
            </w:r>
          </w:p>
        </w:tc>
        <w:tc>
          <w:tcPr>
            <w:tcW w:w="3739" w:type="dxa"/>
            <w:gridSpan w:val="2"/>
            <w:tcBorders>
              <w:top w:val="nil"/>
              <w:left w:val="single" w:sz="8" w:space="0" w:color="auto"/>
              <w:bottom w:val="single" w:sz="8" w:space="0" w:color="auto"/>
              <w:right w:val="single" w:sz="8" w:space="0" w:color="auto"/>
            </w:tcBorders>
            <w:shd w:val="clear" w:color="auto" w:fill="auto"/>
            <w:vAlign w:val="center"/>
            <w:hideMark/>
          </w:tcPr>
          <w:p w14:paraId="5E3B550A" w14:textId="77777777" w:rsidR="00D263E2" w:rsidRPr="00D263E2" w:rsidRDefault="00D263E2" w:rsidP="00D263E2">
            <w:pPr>
              <w:rPr>
                <w:rFonts w:ascii="Arial Narrow" w:eastAsia="Times New Roman" w:hAnsi="Arial Narrow" w:cs="Calibri"/>
                <w:b/>
                <w:bCs/>
                <w:color w:val="000000"/>
                <w:sz w:val="22"/>
                <w:szCs w:val="22"/>
                <w:lang w:val="es-CR"/>
              </w:rPr>
            </w:pPr>
            <w:r w:rsidRPr="00D263E2">
              <w:rPr>
                <w:rFonts w:ascii="Arial Narrow" w:eastAsia="Times New Roman" w:hAnsi="Arial Narrow" w:cs="Calibri"/>
                <w:b/>
                <w:bCs/>
                <w:color w:val="000000"/>
                <w:sz w:val="22"/>
                <w:szCs w:val="22"/>
                <w:lang w:val="es-CR"/>
              </w:rPr>
              <w:t>Selección y aplicación de las políticas contables</w:t>
            </w:r>
          </w:p>
        </w:tc>
        <w:tc>
          <w:tcPr>
            <w:tcW w:w="2279" w:type="dxa"/>
            <w:gridSpan w:val="2"/>
            <w:tcBorders>
              <w:top w:val="nil"/>
              <w:left w:val="nil"/>
              <w:bottom w:val="single" w:sz="8" w:space="0" w:color="auto"/>
              <w:right w:val="single" w:sz="8" w:space="0" w:color="auto"/>
            </w:tcBorders>
            <w:shd w:val="clear" w:color="auto" w:fill="auto"/>
            <w:vAlign w:val="center"/>
            <w:hideMark/>
          </w:tcPr>
          <w:p w14:paraId="253A365A" w14:textId="77777777" w:rsidR="00D263E2" w:rsidRPr="00D263E2" w:rsidRDefault="00D263E2" w:rsidP="00D263E2">
            <w:pP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xml:space="preserve">NICSP N° 3, </w:t>
            </w:r>
            <w:r w:rsidRPr="00D263E2">
              <w:rPr>
                <w:rFonts w:ascii="Arial Narrow" w:eastAsia="Times New Roman" w:hAnsi="Arial Narrow" w:cs="Calibri"/>
                <w:b/>
                <w:bCs/>
                <w:color w:val="000000"/>
                <w:sz w:val="22"/>
                <w:szCs w:val="22"/>
              </w:rPr>
              <w:br/>
              <w:t>Párrafos 9 y 11.</w:t>
            </w:r>
          </w:p>
        </w:tc>
        <w:tc>
          <w:tcPr>
            <w:tcW w:w="1920" w:type="dxa"/>
            <w:gridSpan w:val="2"/>
            <w:tcBorders>
              <w:top w:val="nil"/>
              <w:left w:val="nil"/>
              <w:bottom w:val="single" w:sz="8" w:space="0" w:color="auto"/>
              <w:right w:val="single" w:sz="8" w:space="0" w:color="auto"/>
            </w:tcBorders>
            <w:shd w:val="clear" w:color="auto" w:fill="auto"/>
            <w:vAlign w:val="center"/>
            <w:hideMark/>
          </w:tcPr>
          <w:p w14:paraId="4543ECBE"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xml:space="preserve">DGCN </w:t>
            </w:r>
          </w:p>
        </w:tc>
      </w:tr>
      <w:tr w:rsidR="00D263E2" w:rsidRPr="00D263E2" w14:paraId="0ABC5791"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654ACD0"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69767530" w14:textId="77777777" w:rsidR="00D263E2" w:rsidRPr="00D263E2" w:rsidRDefault="00D263E2" w:rsidP="000B34AC">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59</w:t>
            </w:r>
          </w:p>
        </w:tc>
        <w:tc>
          <w:tcPr>
            <w:tcW w:w="330" w:type="dxa"/>
            <w:tcBorders>
              <w:top w:val="nil"/>
              <w:left w:val="nil"/>
              <w:bottom w:val="single" w:sz="8" w:space="0" w:color="auto"/>
              <w:right w:val="single" w:sz="8" w:space="0" w:color="auto"/>
            </w:tcBorders>
            <w:shd w:val="clear" w:color="auto" w:fill="auto"/>
            <w:vAlign w:val="center"/>
            <w:hideMark/>
          </w:tcPr>
          <w:p w14:paraId="007A932D"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2</w:t>
            </w:r>
          </w:p>
        </w:tc>
        <w:tc>
          <w:tcPr>
            <w:tcW w:w="3739" w:type="dxa"/>
            <w:gridSpan w:val="2"/>
            <w:tcBorders>
              <w:top w:val="nil"/>
              <w:left w:val="nil"/>
              <w:bottom w:val="single" w:sz="8" w:space="0" w:color="auto"/>
              <w:right w:val="single" w:sz="8" w:space="0" w:color="auto"/>
            </w:tcBorders>
            <w:shd w:val="clear" w:color="auto" w:fill="auto"/>
            <w:vAlign w:val="center"/>
            <w:hideMark/>
          </w:tcPr>
          <w:p w14:paraId="796CC590" w14:textId="77777777" w:rsidR="00D263E2" w:rsidRPr="00D263E2" w:rsidRDefault="00D263E2" w:rsidP="00D263E2">
            <w:pPr>
              <w:jc w:val="both"/>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Directrices de la DGCN</w:t>
            </w:r>
          </w:p>
        </w:tc>
        <w:tc>
          <w:tcPr>
            <w:tcW w:w="2279" w:type="dxa"/>
            <w:gridSpan w:val="2"/>
            <w:tcBorders>
              <w:top w:val="nil"/>
              <w:left w:val="nil"/>
              <w:bottom w:val="single" w:sz="8" w:space="0" w:color="auto"/>
              <w:right w:val="single" w:sz="8" w:space="0" w:color="auto"/>
            </w:tcBorders>
            <w:shd w:val="clear" w:color="auto" w:fill="auto"/>
            <w:vAlign w:val="center"/>
            <w:hideMark/>
          </w:tcPr>
          <w:p w14:paraId="5CE42990" w14:textId="77777777" w:rsidR="00D263E2" w:rsidRPr="00D263E2" w:rsidRDefault="00D263E2" w:rsidP="00D263E2">
            <w:pP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NICSP N° 3,</w:t>
            </w:r>
            <w:r w:rsidRPr="00D263E2">
              <w:rPr>
                <w:rFonts w:ascii="Arial Narrow" w:eastAsia="Times New Roman" w:hAnsi="Arial Narrow" w:cs="Calibri"/>
                <w:b/>
                <w:bCs/>
                <w:color w:val="000000"/>
                <w:sz w:val="22"/>
                <w:szCs w:val="22"/>
              </w:rPr>
              <w:br/>
              <w:t>Párrafo 12.</w:t>
            </w:r>
          </w:p>
        </w:tc>
        <w:tc>
          <w:tcPr>
            <w:tcW w:w="1920" w:type="dxa"/>
            <w:gridSpan w:val="2"/>
            <w:tcBorders>
              <w:top w:val="nil"/>
              <w:left w:val="nil"/>
              <w:bottom w:val="single" w:sz="8" w:space="0" w:color="auto"/>
              <w:right w:val="single" w:sz="8" w:space="0" w:color="auto"/>
            </w:tcBorders>
            <w:shd w:val="clear" w:color="auto" w:fill="auto"/>
            <w:vAlign w:val="center"/>
            <w:hideMark/>
          </w:tcPr>
          <w:p w14:paraId="381B4F42"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xml:space="preserve"> </w:t>
            </w:r>
          </w:p>
        </w:tc>
      </w:tr>
      <w:tr w:rsidR="00D263E2" w:rsidRPr="00D263E2" w14:paraId="775F9AAA"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6781F2D"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795108D1" w14:textId="77777777" w:rsidR="00D263E2" w:rsidRPr="00D263E2" w:rsidRDefault="00D263E2" w:rsidP="000B34AC">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59</w:t>
            </w:r>
          </w:p>
        </w:tc>
        <w:tc>
          <w:tcPr>
            <w:tcW w:w="330" w:type="dxa"/>
            <w:tcBorders>
              <w:top w:val="nil"/>
              <w:left w:val="nil"/>
              <w:bottom w:val="single" w:sz="8" w:space="0" w:color="auto"/>
              <w:right w:val="single" w:sz="8" w:space="0" w:color="auto"/>
            </w:tcBorders>
            <w:shd w:val="clear" w:color="auto" w:fill="auto"/>
            <w:vAlign w:val="center"/>
            <w:hideMark/>
          </w:tcPr>
          <w:p w14:paraId="34CC235A"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3</w:t>
            </w:r>
          </w:p>
        </w:tc>
        <w:tc>
          <w:tcPr>
            <w:tcW w:w="3739" w:type="dxa"/>
            <w:gridSpan w:val="2"/>
            <w:tcBorders>
              <w:top w:val="nil"/>
              <w:left w:val="nil"/>
              <w:bottom w:val="single" w:sz="8" w:space="0" w:color="auto"/>
              <w:right w:val="single" w:sz="8" w:space="0" w:color="auto"/>
            </w:tcBorders>
            <w:shd w:val="clear" w:color="auto" w:fill="auto"/>
            <w:vAlign w:val="center"/>
            <w:hideMark/>
          </w:tcPr>
          <w:p w14:paraId="1674FD0E" w14:textId="77777777" w:rsidR="00D263E2" w:rsidRPr="00D263E2" w:rsidRDefault="00D263E2" w:rsidP="00D263E2">
            <w:pPr>
              <w:jc w:val="both"/>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Juicio Profesional</w:t>
            </w:r>
          </w:p>
        </w:tc>
        <w:tc>
          <w:tcPr>
            <w:tcW w:w="2279" w:type="dxa"/>
            <w:gridSpan w:val="2"/>
            <w:tcBorders>
              <w:top w:val="nil"/>
              <w:left w:val="nil"/>
              <w:bottom w:val="single" w:sz="8" w:space="0" w:color="auto"/>
              <w:right w:val="single" w:sz="8" w:space="0" w:color="auto"/>
            </w:tcBorders>
            <w:shd w:val="clear" w:color="auto" w:fill="auto"/>
            <w:vAlign w:val="center"/>
            <w:hideMark/>
          </w:tcPr>
          <w:p w14:paraId="211CAEE5" w14:textId="77777777" w:rsidR="00D263E2" w:rsidRPr="00D263E2" w:rsidRDefault="00D263E2" w:rsidP="00D263E2">
            <w:pP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NICSP N° 3,</w:t>
            </w:r>
            <w:r w:rsidRPr="00D263E2">
              <w:rPr>
                <w:rFonts w:ascii="Arial Narrow" w:eastAsia="Times New Roman" w:hAnsi="Arial Narrow" w:cs="Calibri"/>
                <w:b/>
                <w:bCs/>
                <w:color w:val="000000"/>
                <w:sz w:val="22"/>
                <w:szCs w:val="22"/>
              </w:rPr>
              <w:br/>
              <w:t>Párrafos 14 y 15.</w:t>
            </w:r>
          </w:p>
        </w:tc>
        <w:tc>
          <w:tcPr>
            <w:tcW w:w="1920" w:type="dxa"/>
            <w:gridSpan w:val="2"/>
            <w:tcBorders>
              <w:top w:val="nil"/>
              <w:left w:val="nil"/>
              <w:bottom w:val="single" w:sz="8" w:space="0" w:color="auto"/>
              <w:right w:val="single" w:sz="8" w:space="0" w:color="auto"/>
            </w:tcBorders>
            <w:shd w:val="clear" w:color="auto" w:fill="auto"/>
            <w:vAlign w:val="center"/>
            <w:hideMark/>
          </w:tcPr>
          <w:p w14:paraId="646E527E"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w:t>
            </w:r>
          </w:p>
        </w:tc>
      </w:tr>
    </w:tbl>
    <w:p w14:paraId="682CB257" w14:textId="169807DE" w:rsidR="00D263E2" w:rsidRDefault="00D263E2" w:rsidP="00D033EC">
      <w:pPr>
        <w:pStyle w:val="Default"/>
        <w:jc w:val="both"/>
        <w:rPr>
          <w:sz w:val="23"/>
          <w:szCs w:val="23"/>
          <w:lang w:val="es-CR"/>
        </w:rPr>
      </w:pPr>
    </w:p>
    <w:p w14:paraId="192158D2" w14:textId="77777777" w:rsidR="001F18A0" w:rsidRDefault="001F18A0" w:rsidP="001F18A0">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02C6A129" w14:textId="77777777" w:rsidR="001F18A0" w:rsidRDefault="001F18A0" w:rsidP="00D033EC">
      <w:pPr>
        <w:pStyle w:val="Default"/>
        <w:jc w:val="both"/>
        <w:rPr>
          <w:sz w:val="23"/>
          <w:szCs w:val="23"/>
          <w:lang w:val="es-CR"/>
        </w:rPr>
      </w:pPr>
    </w:p>
    <w:p w14:paraId="195B8921" w14:textId="0BACB335" w:rsidR="00D263E2" w:rsidRDefault="008A7EB8" w:rsidP="008A7EB8">
      <w:pPr>
        <w:pStyle w:val="Default"/>
        <w:ind w:left="1134" w:hanging="1134"/>
        <w:jc w:val="both"/>
        <w:rPr>
          <w:sz w:val="22"/>
          <w:szCs w:val="22"/>
          <w:lang w:val="es-CR"/>
        </w:rPr>
      </w:pPr>
      <w:r>
        <w:rPr>
          <w:sz w:val="22"/>
          <w:szCs w:val="22"/>
          <w:lang w:val="es-CR"/>
        </w:rPr>
        <w:t>6.59.0.01</w:t>
      </w:r>
      <w:r>
        <w:rPr>
          <w:sz w:val="22"/>
          <w:szCs w:val="22"/>
          <w:lang w:val="es-CR"/>
        </w:rPr>
        <w:tab/>
      </w:r>
      <w:r w:rsidR="00D263E2" w:rsidRPr="008A7EB8">
        <w:rPr>
          <w:sz w:val="22"/>
          <w:szCs w:val="22"/>
          <w:lang w:val="es-CR"/>
        </w:rPr>
        <w:t>En el presente PGCN se establece, conjuntamente con las NICSP, la normativa que se deberá aplicar ante las siguientes situaciones:</w:t>
      </w:r>
    </w:p>
    <w:p w14:paraId="3A3B910C" w14:textId="77777777" w:rsidR="008A7EB8" w:rsidRPr="008A7EB8" w:rsidRDefault="008A7EB8" w:rsidP="008A7EB8">
      <w:pPr>
        <w:pStyle w:val="Default"/>
        <w:ind w:left="1134" w:hanging="1134"/>
        <w:jc w:val="both"/>
        <w:rPr>
          <w:sz w:val="22"/>
          <w:szCs w:val="22"/>
          <w:lang w:val="es-CR"/>
        </w:rPr>
      </w:pPr>
    </w:p>
    <w:p w14:paraId="67A87327" w14:textId="235DBB64" w:rsidR="00D263E2" w:rsidRPr="008A7EB8" w:rsidRDefault="008A7EB8">
      <w:pPr>
        <w:pStyle w:val="Default"/>
        <w:numPr>
          <w:ilvl w:val="0"/>
          <w:numId w:val="375"/>
        </w:numPr>
        <w:spacing w:after="120"/>
        <w:ind w:left="1418" w:hanging="284"/>
        <w:jc w:val="both"/>
        <w:rPr>
          <w:sz w:val="22"/>
          <w:szCs w:val="22"/>
          <w:lang w:val="es-CR"/>
        </w:rPr>
      </w:pPr>
      <w:r>
        <w:rPr>
          <w:sz w:val="22"/>
          <w:szCs w:val="22"/>
          <w:lang w:val="es-CR"/>
        </w:rPr>
        <w:t>L</w:t>
      </w:r>
      <w:r w:rsidR="00D263E2" w:rsidRPr="008A7EB8">
        <w:rPr>
          <w:sz w:val="22"/>
          <w:szCs w:val="22"/>
          <w:lang w:val="es-CR"/>
        </w:rPr>
        <w:t xml:space="preserve">a selección y aplicación de políticas contables; </w:t>
      </w:r>
    </w:p>
    <w:p w14:paraId="445699E7" w14:textId="687658DA" w:rsidR="00D263E2" w:rsidRPr="008A7EB8" w:rsidRDefault="008A7EB8">
      <w:pPr>
        <w:pStyle w:val="Default"/>
        <w:numPr>
          <w:ilvl w:val="0"/>
          <w:numId w:val="375"/>
        </w:numPr>
        <w:spacing w:after="120"/>
        <w:ind w:left="1418" w:hanging="284"/>
        <w:jc w:val="both"/>
        <w:rPr>
          <w:sz w:val="22"/>
          <w:szCs w:val="22"/>
          <w:lang w:val="es-CR"/>
        </w:rPr>
      </w:pPr>
      <w:r>
        <w:rPr>
          <w:sz w:val="22"/>
          <w:szCs w:val="22"/>
          <w:lang w:val="es-CR"/>
        </w:rPr>
        <w:t>L</w:t>
      </w:r>
      <w:r w:rsidR="00D263E2" w:rsidRPr="008A7EB8">
        <w:rPr>
          <w:sz w:val="22"/>
          <w:szCs w:val="22"/>
          <w:lang w:val="es-CR"/>
        </w:rPr>
        <w:t>a contabilización de los cambios en las mismas, en las estimaciones contables;</w:t>
      </w:r>
    </w:p>
    <w:p w14:paraId="495AFAA0" w14:textId="1BE33EB9" w:rsidR="00D263E2" w:rsidRPr="008A7EB8" w:rsidRDefault="008A7EB8">
      <w:pPr>
        <w:pStyle w:val="Default"/>
        <w:numPr>
          <w:ilvl w:val="0"/>
          <w:numId w:val="375"/>
        </w:numPr>
        <w:spacing w:after="120"/>
        <w:ind w:left="1418" w:hanging="284"/>
        <w:jc w:val="both"/>
        <w:rPr>
          <w:sz w:val="22"/>
          <w:szCs w:val="22"/>
          <w:lang w:val="es-CR"/>
        </w:rPr>
      </w:pPr>
      <w:r>
        <w:rPr>
          <w:sz w:val="22"/>
          <w:szCs w:val="22"/>
          <w:lang w:val="es-CR"/>
        </w:rPr>
        <w:t>L</w:t>
      </w:r>
      <w:r w:rsidR="00D263E2" w:rsidRPr="008A7EB8">
        <w:rPr>
          <w:sz w:val="22"/>
          <w:szCs w:val="22"/>
          <w:lang w:val="es-CR"/>
        </w:rPr>
        <w:t xml:space="preserve">a corrección de errores de períodos anteriores. </w:t>
      </w:r>
    </w:p>
    <w:p w14:paraId="424D9F72" w14:textId="77777777" w:rsidR="00D263E2" w:rsidRPr="008A7EB8" w:rsidRDefault="00D263E2" w:rsidP="008A7EB8">
      <w:pPr>
        <w:pStyle w:val="Default"/>
        <w:jc w:val="both"/>
        <w:rPr>
          <w:sz w:val="22"/>
          <w:szCs w:val="22"/>
          <w:lang w:val="es-CR"/>
        </w:rPr>
      </w:pPr>
    </w:p>
    <w:p w14:paraId="64AE3A51" w14:textId="6C4C9098" w:rsidR="00D263E2" w:rsidRPr="008A7EB8" w:rsidRDefault="008A7EB8" w:rsidP="008A7EB8">
      <w:pPr>
        <w:pStyle w:val="Default"/>
        <w:ind w:left="1134" w:hanging="1134"/>
        <w:jc w:val="both"/>
        <w:rPr>
          <w:sz w:val="22"/>
          <w:szCs w:val="22"/>
          <w:lang w:val="es-CR"/>
        </w:rPr>
      </w:pPr>
      <w:r>
        <w:rPr>
          <w:sz w:val="22"/>
          <w:szCs w:val="22"/>
          <w:lang w:val="es-CR"/>
        </w:rPr>
        <w:t>6.59.</w:t>
      </w:r>
      <w:r w:rsidR="00D263E2" w:rsidRPr="008A7EB8">
        <w:rPr>
          <w:sz w:val="22"/>
          <w:szCs w:val="22"/>
          <w:lang w:val="es-CR"/>
        </w:rPr>
        <w:t>1.</w:t>
      </w:r>
      <w:r>
        <w:rPr>
          <w:sz w:val="22"/>
          <w:szCs w:val="22"/>
          <w:lang w:val="es-CR"/>
        </w:rPr>
        <w:t>01</w:t>
      </w:r>
      <w:r w:rsidR="00D263E2" w:rsidRPr="008A7EB8">
        <w:rPr>
          <w:sz w:val="22"/>
          <w:szCs w:val="22"/>
          <w:lang w:val="es-CR"/>
        </w:rPr>
        <w:t xml:space="preserve"> </w:t>
      </w:r>
      <w:r>
        <w:rPr>
          <w:sz w:val="22"/>
          <w:szCs w:val="22"/>
          <w:lang w:val="es-CR"/>
        </w:rPr>
        <w:tab/>
      </w:r>
      <w:r w:rsidR="00D263E2" w:rsidRPr="008A7EB8">
        <w:rPr>
          <w:sz w:val="22"/>
          <w:szCs w:val="22"/>
          <w:lang w:val="es-CR"/>
        </w:rPr>
        <w:t xml:space="preserve">Las políticas contables aplicables a las transacciones están sustentadas en el presente PGCN, basado en las NICSP, considerando además cualquier Guía de Implementación que resulte de aplicación obligatoria por el IPSASB para la misma y, supletoriamente, en las NIIF/NIC, en el MCC y en las directrices y notas técnicas emitidas por de la DGCN. </w:t>
      </w:r>
    </w:p>
    <w:p w14:paraId="0B002FCA" w14:textId="77777777" w:rsidR="00D263E2" w:rsidRPr="008A7EB8" w:rsidRDefault="00D263E2" w:rsidP="008A7EB8">
      <w:pPr>
        <w:pStyle w:val="Default"/>
        <w:jc w:val="both"/>
        <w:rPr>
          <w:sz w:val="22"/>
          <w:szCs w:val="22"/>
          <w:lang w:val="es-CR"/>
        </w:rPr>
      </w:pPr>
    </w:p>
    <w:p w14:paraId="5F90BEC5" w14:textId="77777777" w:rsidR="008A7EB8" w:rsidRDefault="008A7EB8" w:rsidP="008A7EB8">
      <w:pPr>
        <w:pStyle w:val="Default"/>
        <w:ind w:left="1134" w:hanging="1134"/>
        <w:jc w:val="both"/>
        <w:rPr>
          <w:sz w:val="22"/>
          <w:szCs w:val="22"/>
          <w:lang w:val="es-CR"/>
        </w:rPr>
      </w:pPr>
      <w:r>
        <w:rPr>
          <w:sz w:val="22"/>
          <w:szCs w:val="22"/>
          <w:lang w:val="es-CR"/>
        </w:rPr>
        <w:t>6.59.</w:t>
      </w:r>
      <w:r w:rsidR="00D263E2" w:rsidRPr="008A7EB8">
        <w:rPr>
          <w:sz w:val="22"/>
          <w:szCs w:val="22"/>
          <w:lang w:val="es-CR"/>
        </w:rPr>
        <w:t>2.</w:t>
      </w:r>
      <w:r>
        <w:rPr>
          <w:sz w:val="22"/>
          <w:szCs w:val="22"/>
          <w:lang w:val="es-CR"/>
        </w:rPr>
        <w:t>01</w:t>
      </w:r>
      <w:r>
        <w:rPr>
          <w:sz w:val="22"/>
          <w:szCs w:val="22"/>
          <w:lang w:val="es-CR"/>
        </w:rPr>
        <w:tab/>
      </w:r>
      <w:r w:rsidR="00D263E2" w:rsidRPr="008A7EB8">
        <w:rPr>
          <w:sz w:val="22"/>
          <w:szCs w:val="22"/>
          <w:lang w:val="es-CR"/>
        </w:rPr>
        <w:t xml:space="preserve">Las directrices de la DGCN que sean aplicables específicamente a una transacción o a otros hechos o condiciones, deberán estar sustentadas en el juicio profesional sobre el desarrollo y aplicación de una política contable, a fin de suministrar información que sea: </w:t>
      </w:r>
    </w:p>
    <w:p w14:paraId="6F9C4C41" w14:textId="77777777" w:rsidR="008A7EB8" w:rsidRDefault="008A7EB8" w:rsidP="008A7EB8">
      <w:pPr>
        <w:pStyle w:val="Default"/>
        <w:ind w:left="1134" w:hanging="1134"/>
        <w:jc w:val="both"/>
        <w:rPr>
          <w:sz w:val="22"/>
          <w:szCs w:val="22"/>
          <w:lang w:val="es-CR"/>
        </w:rPr>
      </w:pPr>
    </w:p>
    <w:p w14:paraId="2F550525" w14:textId="77777777" w:rsidR="008A7EB8" w:rsidRDefault="008A7EB8">
      <w:pPr>
        <w:pStyle w:val="Default"/>
        <w:numPr>
          <w:ilvl w:val="0"/>
          <w:numId w:val="376"/>
        </w:numPr>
        <w:spacing w:after="120"/>
        <w:ind w:left="1418" w:hanging="284"/>
        <w:jc w:val="both"/>
        <w:rPr>
          <w:sz w:val="22"/>
          <w:szCs w:val="22"/>
          <w:lang w:val="es-CR"/>
        </w:rPr>
      </w:pPr>
      <w:r>
        <w:rPr>
          <w:sz w:val="22"/>
          <w:szCs w:val="22"/>
          <w:lang w:val="es-CR"/>
        </w:rPr>
        <w:t>Re</w:t>
      </w:r>
      <w:r w:rsidR="00D263E2" w:rsidRPr="008A7EB8">
        <w:rPr>
          <w:sz w:val="22"/>
          <w:szCs w:val="22"/>
          <w:lang w:val="es-CR"/>
        </w:rPr>
        <w:t xml:space="preserve">levante para el proceso de toma de decisiones de los usuarios; y </w:t>
      </w:r>
    </w:p>
    <w:p w14:paraId="2F4141D0" w14:textId="7B095028" w:rsidR="00D263E2" w:rsidRPr="008A7EB8" w:rsidRDefault="008A7EB8">
      <w:pPr>
        <w:pStyle w:val="Default"/>
        <w:numPr>
          <w:ilvl w:val="0"/>
          <w:numId w:val="376"/>
        </w:numPr>
        <w:spacing w:after="120"/>
        <w:ind w:left="1418" w:hanging="284"/>
        <w:jc w:val="both"/>
        <w:rPr>
          <w:sz w:val="22"/>
          <w:szCs w:val="22"/>
          <w:lang w:val="es-CR"/>
        </w:rPr>
      </w:pPr>
      <w:r w:rsidRPr="008A7EB8">
        <w:rPr>
          <w:sz w:val="22"/>
          <w:szCs w:val="22"/>
          <w:lang w:val="es-CR"/>
        </w:rPr>
        <w:t>F</w:t>
      </w:r>
      <w:r w:rsidR="00D263E2" w:rsidRPr="008A7EB8">
        <w:rPr>
          <w:sz w:val="22"/>
          <w:szCs w:val="22"/>
          <w:lang w:val="es-CR"/>
        </w:rPr>
        <w:t xml:space="preserve">iable, en el sentido de que los estados financieros: </w:t>
      </w:r>
    </w:p>
    <w:p w14:paraId="48B23F5B" w14:textId="77777777" w:rsidR="00D263E2" w:rsidRPr="008A7EB8" w:rsidRDefault="00D263E2" w:rsidP="008A7EB8">
      <w:pPr>
        <w:pStyle w:val="Default"/>
        <w:jc w:val="both"/>
        <w:rPr>
          <w:sz w:val="22"/>
          <w:szCs w:val="22"/>
          <w:lang w:val="es-CR"/>
        </w:rPr>
      </w:pPr>
    </w:p>
    <w:p w14:paraId="7935746D" w14:textId="7A3FE3E1" w:rsidR="00D263E2" w:rsidRPr="008A7EB8" w:rsidRDefault="008A7EB8">
      <w:pPr>
        <w:pStyle w:val="Default"/>
        <w:numPr>
          <w:ilvl w:val="0"/>
          <w:numId w:val="377"/>
        </w:numPr>
        <w:spacing w:after="120"/>
        <w:ind w:left="1701" w:hanging="142"/>
        <w:jc w:val="both"/>
        <w:rPr>
          <w:sz w:val="22"/>
          <w:szCs w:val="22"/>
          <w:lang w:val="es-CR"/>
        </w:rPr>
      </w:pPr>
      <w:r>
        <w:rPr>
          <w:sz w:val="22"/>
          <w:szCs w:val="22"/>
          <w:lang w:val="es-CR"/>
        </w:rPr>
        <w:t>P</w:t>
      </w:r>
      <w:r w:rsidR="00D263E2" w:rsidRPr="008A7EB8">
        <w:rPr>
          <w:sz w:val="22"/>
          <w:szCs w:val="22"/>
          <w:lang w:val="es-CR"/>
        </w:rPr>
        <w:t xml:space="preserve">resenten de forma fidedigna la situación financiera, el rendimiento financiero y los flujos de efectivo de la entidad; </w:t>
      </w:r>
    </w:p>
    <w:p w14:paraId="12C068CB" w14:textId="2D91BC13" w:rsidR="00D263E2" w:rsidRPr="008A7EB8" w:rsidRDefault="008A7EB8">
      <w:pPr>
        <w:pStyle w:val="Default"/>
        <w:numPr>
          <w:ilvl w:val="0"/>
          <w:numId w:val="377"/>
        </w:numPr>
        <w:spacing w:after="120"/>
        <w:ind w:left="1701" w:hanging="142"/>
        <w:jc w:val="both"/>
        <w:rPr>
          <w:sz w:val="22"/>
          <w:szCs w:val="22"/>
          <w:lang w:val="es-CR"/>
        </w:rPr>
      </w:pPr>
      <w:r>
        <w:rPr>
          <w:sz w:val="22"/>
          <w:szCs w:val="22"/>
          <w:lang w:val="es-CR"/>
        </w:rPr>
        <w:t>R</w:t>
      </w:r>
      <w:r w:rsidR="00D263E2" w:rsidRPr="008A7EB8">
        <w:rPr>
          <w:sz w:val="22"/>
          <w:szCs w:val="22"/>
          <w:lang w:val="es-CR"/>
        </w:rPr>
        <w:t xml:space="preserve">eflejen la esencia económica de las transacciones, otros eventos y condiciones y no simplemente su forma legal; </w:t>
      </w:r>
    </w:p>
    <w:p w14:paraId="7A80FC80" w14:textId="567F3788" w:rsidR="00D263E2" w:rsidRPr="008A7EB8" w:rsidRDefault="008A7EB8">
      <w:pPr>
        <w:pStyle w:val="Default"/>
        <w:numPr>
          <w:ilvl w:val="0"/>
          <w:numId w:val="377"/>
        </w:numPr>
        <w:spacing w:after="120"/>
        <w:ind w:left="1701" w:hanging="142"/>
        <w:jc w:val="both"/>
        <w:rPr>
          <w:sz w:val="22"/>
          <w:szCs w:val="22"/>
          <w:lang w:val="es-CR"/>
        </w:rPr>
      </w:pPr>
      <w:r>
        <w:rPr>
          <w:sz w:val="22"/>
          <w:szCs w:val="22"/>
          <w:lang w:val="es-CR"/>
        </w:rPr>
        <w:t>S</w:t>
      </w:r>
      <w:r w:rsidR="00D263E2" w:rsidRPr="008A7EB8">
        <w:rPr>
          <w:sz w:val="22"/>
          <w:szCs w:val="22"/>
          <w:lang w:val="es-CR"/>
        </w:rPr>
        <w:t xml:space="preserve">ean neutrales, es decir, libres de prejuicios o sesgos; </w:t>
      </w:r>
    </w:p>
    <w:p w14:paraId="4163A2A7" w14:textId="67FB0A9C" w:rsidR="00D263E2" w:rsidRPr="008A7EB8" w:rsidRDefault="008A7EB8">
      <w:pPr>
        <w:pStyle w:val="Default"/>
        <w:numPr>
          <w:ilvl w:val="0"/>
          <w:numId w:val="377"/>
        </w:numPr>
        <w:spacing w:after="120"/>
        <w:ind w:left="1701" w:hanging="142"/>
        <w:jc w:val="both"/>
        <w:rPr>
          <w:sz w:val="22"/>
          <w:szCs w:val="22"/>
          <w:lang w:val="es-CR"/>
        </w:rPr>
      </w:pPr>
      <w:r w:rsidRPr="008A7EB8">
        <w:rPr>
          <w:sz w:val="22"/>
          <w:szCs w:val="22"/>
          <w:lang w:val="es-CR"/>
        </w:rPr>
        <w:t>S</w:t>
      </w:r>
      <w:r w:rsidR="00D263E2" w:rsidRPr="008A7EB8">
        <w:rPr>
          <w:sz w:val="22"/>
          <w:szCs w:val="22"/>
          <w:lang w:val="es-CR"/>
        </w:rPr>
        <w:t xml:space="preserve">ean prudentes; y </w:t>
      </w:r>
    </w:p>
    <w:p w14:paraId="2663A6BA" w14:textId="63F034C2" w:rsidR="00D263E2" w:rsidRPr="008A7EB8" w:rsidRDefault="008A7EB8">
      <w:pPr>
        <w:pStyle w:val="Default"/>
        <w:numPr>
          <w:ilvl w:val="0"/>
          <w:numId w:val="377"/>
        </w:numPr>
        <w:ind w:left="1701" w:hanging="141"/>
        <w:jc w:val="both"/>
        <w:rPr>
          <w:sz w:val="22"/>
          <w:szCs w:val="22"/>
          <w:lang w:val="es-CR"/>
        </w:rPr>
      </w:pPr>
      <w:r w:rsidRPr="008A7EB8">
        <w:rPr>
          <w:sz w:val="22"/>
          <w:szCs w:val="22"/>
          <w:lang w:val="es-CR"/>
        </w:rPr>
        <w:t>E</w:t>
      </w:r>
      <w:r w:rsidR="00D263E2" w:rsidRPr="008A7EB8">
        <w:rPr>
          <w:sz w:val="22"/>
          <w:szCs w:val="22"/>
          <w:lang w:val="es-CR"/>
        </w:rPr>
        <w:t xml:space="preserve">stén completos en todos sus términos materiales y significativos. </w:t>
      </w:r>
    </w:p>
    <w:p w14:paraId="5800010A" w14:textId="77777777" w:rsidR="00D263E2" w:rsidRPr="008A7EB8" w:rsidRDefault="00D263E2" w:rsidP="008A7EB8">
      <w:pPr>
        <w:pStyle w:val="Default"/>
        <w:jc w:val="both"/>
        <w:rPr>
          <w:sz w:val="22"/>
          <w:szCs w:val="22"/>
          <w:lang w:val="es-CR"/>
        </w:rPr>
      </w:pPr>
    </w:p>
    <w:p w14:paraId="1131CFFF" w14:textId="6E6580F8" w:rsidR="008A7EB8" w:rsidRDefault="008A7EB8" w:rsidP="008A7EB8">
      <w:pPr>
        <w:pStyle w:val="Default"/>
        <w:spacing w:after="20"/>
        <w:ind w:left="1134" w:hanging="1134"/>
        <w:jc w:val="both"/>
        <w:rPr>
          <w:sz w:val="22"/>
          <w:szCs w:val="22"/>
          <w:lang w:val="es-CR"/>
        </w:rPr>
      </w:pPr>
      <w:r>
        <w:rPr>
          <w:sz w:val="22"/>
          <w:szCs w:val="22"/>
          <w:lang w:val="es-CR"/>
        </w:rPr>
        <w:t>6.59.</w:t>
      </w:r>
      <w:r w:rsidR="00D263E2" w:rsidRPr="008A7EB8">
        <w:rPr>
          <w:sz w:val="22"/>
          <w:szCs w:val="22"/>
          <w:lang w:val="es-CR"/>
        </w:rPr>
        <w:t>3.</w:t>
      </w:r>
      <w:r>
        <w:rPr>
          <w:sz w:val="22"/>
          <w:szCs w:val="22"/>
          <w:lang w:val="es-CR"/>
        </w:rPr>
        <w:t>01</w:t>
      </w:r>
      <w:r>
        <w:rPr>
          <w:sz w:val="22"/>
          <w:szCs w:val="22"/>
          <w:lang w:val="es-CR"/>
        </w:rPr>
        <w:tab/>
      </w:r>
      <w:r w:rsidR="00D263E2" w:rsidRPr="008A7EB8">
        <w:rPr>
          <w:sz w:val="22"/>
          <w:szCs w:val="22"/>
          <w:lang w:val="es-CR"/>
        </w:rPr>
        <w:t>Al realizar los juicios profesionales, la DGCN se referirá y considerará su aplicabilidad, en orden descendente, sobre la base de las siguientes fuentes:</w:t>
      </w:r>
    </w:p>
    <w:p w14:paraId="0704CDE2" w14:textId="77777777" w:rsidR="008A7EB8" w:rsidRDefault="008A7EB8" w:rsidP="008A7EB8">
      <w:pPr>
        <w:pStyle w:val="Default"/>
        <w:spacing w:after="20"/>
        <w:ind w:left="1134" w:hanging="1134"/>
        <w:jc w:val="both"/>
        <w:rPr>
          <w:sz w:val="22"/>
          <w:szCs w:val="22"/>
          <w:lang w:val="es-CR"/>
        </w:rPr>
      </w:pPr>
    </w:p>
    <w:p w14:paraId="64554DCF" w14:textId="77777777" w:rsidR="008A7EB8" w:rsidRDefault="00D263E2">
      <w:pPr>
        <w:pStyle w:val="Default"/>
        <w:numPr>
          <w:ilvl w:val="0"/>
          <w:numId w:val="378"/>
        </w:numPr>
        <w:spacing w:after="120"/>
        <w:ind w:left="1418" w:hanging="284"/>
        <w:jc w:val="both"/>
        <w:rPr>
          <w:sz w:val="22"/>
          <w:szCs w:val="22"/>
          <w:lang w:val="es-CR"/>
        </w:rPr>
      </w:pPr>
      <w:r w:rsidRPr="008A7EB8">
        <w:rPr>
          <w:sz w:val="22"/>
          <w:szCs w:val="22"/>
          <w:lang w:val="es-CR"/>
        </w:rPr>
        <w:t>MCC;</w:t>
      </w:r>
    </w:p>
    <w:p w14:paraId="181B6C06" w14:textId="77777777" w:rsidR="008A7EB8" w:rsidRDefault="008A7EB8">
      <w:pPr>
        <w:pStyle w:val="Default"/>
        <w:numPr>
          <w:ilvl w:val="0"/>
          <w:numId w:val="378"/>
        </w:numPr>
        <w:spacing w:after="120"/>
        <w:ind w:left="1418" w:hanging="284"/>
        <w:jc w:val="both"/>
        <w:rPr>
          <w:sz w:val="22"/>
          <w:szCs w:val="22"/>
          <w:lang w:val="es-CR"/>
        </w:rPr>
      </w:pPr>
      <w:r w:rsidRPr="008A7EB8">
        <w:rPr>
          <w:sz w:val="22"/>
          <w:szCs w:val="22"/>
          <w:lang w:val="es-CR"/>
        </w:rPr>
        <w:lastRenderedPageBreak/>
        <w:t>L</w:t>
      </w:r>
      <w:r w:rsidR="00D263E2" w:rsidRPr="008A7EB8">
        <w:rPr>
          <w:sz w:val="22"/>
          <w:szCs w:val="22"/>
          <w:lang w:val="es-CR"/>
        </w:rPr>
        <w:t xml:space="preserve">os requisitos establecidos por las NICSP que traten temas similares o relacionados; </w:t>
      </w:r>
    </w:p>
    <w:p w14:paraId="2DEE5E73" w14:textId="77777777" w:rsidR="008A7EB8" w:rsidRDefault="008A7EB8">
      <w:pPr>
        <w:pStyle w:val="Default"/>
        <w:numPr>
          <w:ilvl w:val="0"/>
          <w:numId w:val="378"/>
        </w:numPr>
        <w:spacing w:after="120"/>
        <w:ind w:left="1418" w:hanging="284"/>
        <w:jc w:val="both"/>
        <w:rPr>
          <w:sz w:val="22"/>
          <w:szCs w:val="22"/>
          <w:lang w:val="es-CR"/>
        </w:rPr>
      </w:pPr>
      <w:r w:rsidRPr="008A7EB8">
        <w:rPr>
          <w:sz w:val="22"/>
          <w:szCs w:val="22"/>
          <w:lang w:val="es-CR"/>
        </w:rPr>
        <w:t>L</w:t>
      </w:r>
      <w:r w:rsidR="00D263E2" w:rsidRPr="008A7EB8">
        <w:rPr>
          <w:sz w:val="22"/>
          <w:szCs w:val="22"/>
          <w:lang w:val="es-CR"/>
        </w:rPr>
        <w:t xml:space="preserve">as definiciones, criterios de reconocimiento y medición de activos, pasivos, ingresos y gastos establecidos en otras NICSP; </w:t>
      </w:r>
    </w:p>
    <w:p w14:paraId="5BE4AA48" w14:textId="77777777" w:rsidR="008A7EB8" w:rsidRDefault="008A7EB8">
      <w:pPr>
        <w:pStyle w:val="Default"/>
        <w:numPr>
          <w:ilvl w:val="0"/>
          <w:numId w:val="378"/>
        </w:numPr>
        <w:spacing w:after="120"/>
        <w:ind w:left="1418" w:hanging="284"/>
        <w:jc w:val="both"/>
        <w:rPr>
          <w:sz w:val="22"/>
          <w:szCs w:val="22"/>
          <w:lang w:val="es-CR"/>
        </w:rPr>
      </w:pPr>
      <w:r w:rsidRPr="008A7EB8">
        <w:rPr>
          <w:sz w:val="22"/>
          <w:szCs w:val="22"/>
          <w:lang w:val="es-CR"/>
        </w:rPr>
        <w:t>C</w:t>
      </w:r>
      <w:r w:rsidR="00D263E2" w:rsidRPr="008A7EB8">
        <w:rPr>
          <w:sz w:val="22"/>
          <w:szCs w:val="22"/>
          <w:lang w:val="es-CR"/>
        </w:rPr>
        <w:t xml:space="preserve">uando no se tenga NICSP, se aplicará NIIF/NIC; y </w:t>
      </w:r>
    </w:p>
    <w:p w14:paraId="033DB62C" w14:textId="7C797E06" w:rsidR="00D263E2" w:rsidRPr="008A7EB8" w:rsidRDefault="008A7EB8">
      <w:pPr>
        <w:pStyle w:val="Default"/>
        <w:numPr>
          <w:ilvl w:val="0"/>
          <w:numId w:val="378"/>
        </w:numPr>
        <w:spacing w:after="120"/>
        <w:ind w:left="1418" w:hanging="284"/>
        <w:jc w:val="both"/>
        <w:rPr>
          <w:sz w:val="22"/>
          <w:szCs w:val="22"/>
          <w:lang w:val="es-CR"/>
        </w:rPr>
      </w:pPr>
      <w:r w:rsidRPr="008A7EB8">
        <w:rPr>
          <w:sz w:val="22"/>
          <w:szCs w:val="22"/>
          <w:lang w:val="es-CR"/>
        </w:rPr>
        <w:t>P</w:t>
      </w:r>
      <w:r w:rsidR="00D263E2" w:rsidRPr="008A7EB8">
        <w:rPr>
          <w:sz w:val="22"/>
          <w:szCs w:val="22"/>
          <w:lang w:val="es-CR"/>
        </w:rPr>
        <w:t xml:space="preserve">odría considerar también los pronunciamientos más recientes de otras instituciones emisoras de normas y las prácticas aceptadas del sector público o privado, sólo en la medida que estas no entren en conflicto. </w:t>
      </w:r>
    </w:p>
    <w:p w14:paraId="71825B5F" w14:textId="6EE748FC" w:rsidR="00D263E2" w:rsidRDefault="00D263E2" w:rsidP="008A7EB8">
      <w:pPr>
        <w:pStyle w:val="Default"/>
        <w:ind w:left="1069"/>
        <w:rPr>
          <w:sz w:val="23"/>
          <w:szCs w:val="23"/>
          <w:lang w:val="es-CR"/>
        </w:rPr>
      </w:pPr>
    </w:p>
    <w:p w14:paraId="0D104755" w14:textId="77777777" w:rsidR="001F18A0" w:rsidRDefault="001F18A0" w:rsidP="008A7EB8">
      <w:pPr>
        <w:pStyle w:val="Default"/>
        <w:ind w:left="1069"/>
        <w:rPr>
          <w:sz w:val="23"/>
          <w:szCs w:val="23"/>
          <w:lang w:val="es-CR"/>
        </w:rPr>
      </w:pPr>
    </w:p>
    <w:p w14:paraId="6951E6E5" w14:textId="77777777" w:rsidR="008A7EB8" w:rsidRPr="00D263E2" w:rsidRDefault="008A7EB8" w:rsidP="008A7EB8">
      <w:pPr>
        <w:pStyle w:val="Default"/>
        <w:ind w:left="1069"/>
        <w:rPr>
          <w:sz w:val="23"/>
          <w:szCs w:val="23"/>
          <w:lang w:val="es-CR"/>
        </w:rPr>
      </w:pPr>
    </w:p>
    <w:tbl>
      <w:tblPr>
        <w:tblW w:w="9346" w:type="dxa"/>
        <w:tblLook w:val="04A0" w:firstRow="1" w:lastRow="0" w:firstColumn="1" w:lastColumn="0" w:noHBand="0" w:noVBand="1"/>
      </w:tblPr>
      <w:tblGrid>
        <w:gridCol w:w="416"/>
        <w:gridCol w:w="708"/>
        <w:gridCol w:w="426"/>
        <w:gridCol w:w="3691"/>
        <w:gridCol w:w="2251"/>
        <w:gridCol w:w="1854"/>
      </w:tblGrid>
      <w:tr w:rsidR="00D263E2" w:rsidRPr="00D263E2" w14:paraId="6C30C78C" w14:textId="77777777" w:rsidTr="001F18A0">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84D1123"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4F973A77"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Concepto</w:t>
            </w:r>
          </w:p>
        </w:tc>
        <w:tc>
          <w:tcPr>
            <w:tcW w:w="4105" w:type="dxa"/>
            <w:gridSpan w:val="2"/>
            <w:tcBorders>
              <w:top w:val="single" w:sz="8" w:space="0" w:color="auto"/>
              <w:left w:val="nil"/>
              <w:bottom w:val="single" w:sz="8" w:space="0" w:color="auto"/>
              <w:right w:val="single" w:sz="8" w:space="0" w:color="000000"/>
            </w:tcBorders>
            <w:shd w:val="clear" w:color="000000" w:fill="203764"/>
            <w:vAlign w:val="center"/>
            <w:hideMark/>
          </w:tcPr>
          <w:p w14:paraId="77AABD65"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Referencia</w:t>
            </w:r>
          </w:p>
        </w:tc>
      </w:tr>
      <w:tr w:rsidR="00D263E2" w:rsidRPr="006E5442" w14:paraId="39ACE302" w14:textId="77777777" w:rsidTr="001F18A0">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26642971" w14:textId="77777777" w:rsidR="00D263E2" w:rsidRPr="00D263E2" w:rsidRDefault="00D263E2" w:rsidP="00D263E2">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6B9696F6" w14:textId="77777777" w:rsidR="00D263E2" w:rsidRPr="00D263E2" w:rsidRDefault="00D263E2" w:rsidP="00D263E2">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0B2A3D14" w14:textId="77777777" w:rsidR="00D263E2" w:rsidRPr="00D263E2" w:rsidRDefault="00D263E2" w:rsidP="00D263E2">
            <w:pPr>
              <w:jc w:val="center"/>
              <w:rPr>
                <w:rFonts w:ascii="Arial Narrow" w:eastAsia="Times New Roman" w:hAnsi="Arial Narrow" w:cs="Calibri"/>
                <w:b/>
                <w:bCs/>
                <w:color w:val="FFFFFF"/>
                <w:sz w:val="22"/>
                <w:szCs w:val="22"/>
              </w:rPr>
            </w:pPr>
            <w:r w:rsidRPr="00D263E2">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6E75D658" w14:textId="77777777" w:rsidR="00D263E2" w:rsidRPr="00D263E2" w:rsidRDefault="00D263E2" w:rsidP="00D263E2">
            <w:pPr>
              <w:jc w:val="center"/>
              <w:rPr>
                <w:rFonts w:ascii="Arial Narrow" w:eastAsia="Times New Roman" w:hAnsi="Arial Narrow" w:cs="Calibri"/>
                <w:b/>
                <w:bCs/>
                <w:color w:val="FFFFFF"/>
                <w:sz w:val="22"/>
                <w:szCs w:val="22"/>
                <w:lang w:val="es-CR"/>
              </w:rPr>
            </w:pPr>
            <w:r w:rsidRPr="00D263E2">
              <w:rPr>
                <w:rFonts w:ascii="Arial Narrow" w:eastAsia="Times New Roman" w:hAnsi="Arial Narrow" w:cs="Calibri"/>
                <w:b/>
                <w:bCs/>
                <w:color w:val="FFFFFF"/>
                <w:sz w:val="22"/>
                <w:szCs w:val="22"/>
                <w:lang w:val="es-CR"/>
              </w:rPr>
              <w:t>Normativa técnica y disposiciones adicionales</w:t>
            </w:r>
          </w:p>
        </w:tc>
      </w:tr>
      <w:tr w:rsidR="00D263E2" w:rsidRPr="00D263E2" w14:paraId="5AAC05A7" w14:textId="77777777" w:rsidTr="001F18A0">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8D9314"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A502774"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60</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0066807"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xml:space="preserve"> </w:t>
            </w: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70D1BB0B" w14:textId="77777777" w:rsidR="00D263E2" w:rsidRPr="00D263E2" w:rsidRDefault="00D263E2" w:rsidP="00D263E2">
            <w:pPr>
              <w:jc w:val="both"/>
              <w:rPr>
                <w:rFonts w:ascii="Arial Narrow" w:eastAsia="Times New Roman" w:hAnsi="Arial Narrow" w:cs="Calibri"/>
                <w:b/>
                <w:bCs/>
                <w:color w:val="000000"/>
                <w:sz w:val="22"/>
                <w:szCs w:val="22"/>
                <w:lang w:val="es-CR"/>
              </w:rPr>
            </w:pPr>
            <w:r w:rsidRPr="00D263E2">
              <w:rPr>
                <w:rFonts w:ascii="Arial Narrow" w:eastAsia="Times New Roman" w:hAnsi="Arial Narrow" w:cs="Calibri"/>
                <w:b/>
                <w:bCs/>
                <w:color w:val="000000"/>
                <w:sz w:val="22"/>
                <w:szCs w:val="22"/>
                <w:lang w:val="es-CR"/>
              </w:rPr>
              <w:t>Uniformidad de las políticas contables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53625DCF" w14:textId="77777777" w:rsidR="008A7EB8" w:rsidRDefault="00D263E2" w:rsidP="00D263E2">
            <w:pPr>
              <w:jc w:val="both"/>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NICSP N° 3,</w:t>
            </w:r>
          </w:p>
          <w:p w14:paraId="3901816B" w14:textId="41D2E9DB" w:rsidR="00D263E2" w:rsidRPr="00D263E2" w:rsidRDefault="00D263E2" w:rsidP="00D263E2">
            <w:pPr>
              <w:jc w:val="both"/>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Párrafo 16.</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09CEB96B" w14:textId="77777777" w:rsidR="00D263E2" w:rsidRPr="00D263E2" w:rsidRDefault="00D263E2" w:rsidP="00D263E2">
            <w:pPr>
              <w:jc w:val="center"/>
              <w:rPr>
                <w:rFonts w:ascii="Arial Narrow" w:eastAsia="Times New Roman" w:hAnsi="Arial Narrow" w:cs="Calibri"/>
                <w:b/>
                <w:bCs/>
                <w:color w:val="000000"/>
                <w:sz w:val="22"/>
                <w:szCs w:val="22"/>
              </w:rPr>
            </w:pPr>
            <w:r w:rsidRPr="00D263E2">
              <w:rPr>
                <w:rFonts w:ascii="Arial Narrow" w:eastAsia="Times New Roman" w:hAnsi="Arial Narrow" w:cs="Calibri"/>
                <w:b/>
                <w:bCs/>
                <w:color w:val="000000"/>
                <w:sz w:val="22"/>
                <w:szCs w:val="22"/>
              </w:rPr>
              <w:t> </w:t>
            </w:r>
          </w:p>
        </w:tc>
      </w:tr>
    </w:tbl>
    <w:p w14:paraId="0EFFC4F2" w14:textId="77777777" w:rsidR="00D263E2" w:rsidRDefault="00D263E2" w:rsidP="00D033EC">
      <w:pPr>
        <w:pStyle w:val="Default"/>
        <w:jc w:val="both"/>
        <w:rPr>
          <w:sz w:val="23"/>
          <w:szCs w:val="23"/>
          <w:lang w:val="es-CR"/>
        </w:rPr>
      </w:pPr>
    </w:p>
    <w:p w14:paraId="52417CBE" w14:textId="31215670" w:rsidR="001F18A0" w:rsidRDefault="001F18A0" w:rsidP="001F18A0">
      <w:pPr>
        <w:pStyle w:val="Default"/>
        <w:ind w:left="1134" w:hanging="1134"/>
        <w:jc w:val="both"/>
        <w:rPr>
          <w:rFonts w:eastAsia="Arial"/>
          <w:b/>
          <w:sz w:val="22"/>
          <w:szCs w:val="22"/>
        </w:rPr>
      </w:pPr>
      <w:r w:rsidRPr="00F02F9D">
        <w:rPr>
          <w:rFonts w:eastAsia="Arial"/>
          <w:b/>
          <w:sz w:val="22"/>
          <w:szCs w:val="22"/>
        </w:rPr>
        <w:t>Política Contable</w:t>
      </w:r>
    </w:p>
    <w:p w14:paraId="784D8DAF" w14:textId="77777777" w:rsidR="001F18A0" w:rsidRDefault="001F18A0" w:rsidP="00D033EC">
      <w:pPr>
        <w:pStyle w:val="Default"/>
        <w:jc w:val="both"/>
        <w:rPr>
          <w:sz w:val="23"/>
          <w:szCs w:val="23"/>
          <w:lang w:val="es-CR"/>
        </w:rPr>
      </w:pPr>
    </w:p>
    <w:p w14:paraId="1864BDDF" w14:textId="7180FBF3" w:rsidR="00D263E2" w:rsidRDefault="008A7EB8" w:rsidP="008A7EB8">
      <w:pPr>
        <w:pStyle w:val="Default"/>
        <w:ind w:left="1134" w:hanging="1134"/>
        <w:jc w:val="both"/>
        <w:rPr>
          <w:sz w:val="23"/>
          <w:szCs w:val="23"/>
          <w:lang w:val="es-CR"/>
        </w:rPr>
      </w:pPr>
      <w:r>
        <w:rPr>
          <w:sz w:val="23"/>
          <w:szCs w:val="23"/>
          <w:lang w:val="es-CR"/>
        </w:rPr>
        <w:t>6.60.0.01</w:t>
      </w:r>
      <w:r>
        <w:rPr>
          <w:sz w:val="23"/>
          <w:szCs w:val="23"/>
          <w:lang w:val="es-CR"/>
        </w:rPr>
        <w:tab/>
      </w:r>
      <w:r w:rsidR="00D263E2" w:rsidRPr="00D263E2">
        <w:rPr>
          <w:sz w:val="23"/>
          <w:szCs w:val="23"/>
          <w:lang w:val="es-CR"/>
        </w:rPr>
        <w:t xml:space="preserve">Las </w:t>
      </w:r>
      <w:r w:rsidR="00D263E2" w:rsidRPr="008A7EB8">
        <w:rPr>
          <w:sz w:val="22"/>
          <w:szCs w:val="22"/>
          <w:lang w:val="es-CR"/>
        </w:rPr>
        <w:t>políticas</w:t>
      </w:r>
      <w:r w:rsidR="00D263E2" w:rsidRPr="00D263E2">
        <w:rPr>
          <w:sz w:val="23"/>
          <w:szCs w:val="23"/>
          <w:lang w:val="es-CR"/>
        </w:rPr>
        <w:t xml:space="preserve"> contables se seleccionarán y aplicarán de manera uniforme para transacciones, otros eventos y condiciones que sean similares, a menos que una NICSP o el presente PGCN exija o permita específicamente establecer categorías de partidas para las cuales podría ser apropiado aplicar diferentes políticas. Si una Norma exige o permite establecer esas categorías, se seleccionará una política contable adecuada, y se aplicará de manera uniforme a cada categoría.</w:t>
      </w:r>
    </w:p>
    <w:p w14:paraId="6FD06A88" w14:textId="77777777" w:rsidR="000B34AC" w:rsidRPr="00D263E2" w:rsidRDefault="000B34AC" w:rsidP="008A7EB8">
      <w:pPr>
        <w:pStyle w:val="Default"/>
        <w:ind w:left="1134" w:hanging="1134"/>
        <w:jc w:val="both"/>
        <w:rPr>
          <w:sz w:val="23"/>
          <w:szCs w:val="23"/>
          <w:lang w:val="es-CR"/>
        </w:rPr>
      </w:pPr>
    </w:p>
    <w:p w14:paraId="5F5FDC46" w14:textId="77777777" w:rsidR="00D263E2" w:rsidRDefault="00D263E2" w:rsidP="00D033EC">
      <w:pPr>
        <w:pStyle w:val="Default"/>
        <w:jc w:val="both"/>
        <w:rPr>
          <w:sz w:val="23"/>
          <w:szCs w:val="23"/>
          <w:lang w:val="es-CR"/>
        </w:rPr>
      </w:pPr>
    </w:p>
    <w:p w14:paraId="672BCF4B" w14:textId="77777777" w:rsidR="001F18A0" w:rsidRDefault="001F18A0"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33"/>
        <w:gridCol w:w="7"/>
        <w:gridCol w:w="3682"/>
        <w:gridCol w:w="7"/>
        <w:gridCol w:w="2245"/>
        <w:gridCol w:w="7"/>
        <w:gridCol w:w="1841"/>
      </w:tblGrid>
      <w:tr w:rsidR="000B34AC" w:rsidRPr="000B34AC" w14:paraId="0B455B7E" w14:textId="77777777" w:rsidTr="001F18A0">
        <w:trPr>
          <w:trHeight w:val="32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0C29C019" w14:textId="77777777" w:rsidR="000B34AC" w:rsidRPr="000B34AC" w:rsidRDefault="000B34AC" w:rsidP="000B34AC">
            <w:pPr>
              <w:jc w:val="center"/>
              <w:rPr>
                <w:rFonts w:ascii="Arial Narrow" w:eastAsia="Times New Roman" w:hAnsi="Arial Narrow" w:cs="Calibri"/>
                <w:b/>
                <w:bCs/>
                <w:color w:val="FFFFFF"/>
                <w:sz w:val="22"/>
                <w:szCs w:val="22"/>
              </w:rPr>
            </w:pPr>
            <w:r w:rsidRPr="000B34AC">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8BB296B" w14:textId="77777777" w:rsidR="000B34AC" w:rsidRPr="000B34AC" w:rsidRDefault="000B34AC" w:rsidP="000B34AC">
            <w:pPr>
              <w:jc w:val="center"/>
              <w:rPr>
                <w:rFonts w:ascii="Arial Narrow" w:eastAsia="Times New Roman" w:hAnsi="Arial Narrow" w:cs="Calibri"/>
                <w:b/>
                <w:bCs/>
                <w:color w:val="FFFFFF"/>
                <w:sz w:val="22"/>
                <w:szCs w:val="22"/>
              </w:rPr>
            </w:pPr>
            <w:r w:rsidRPr="000B34AC">
              <w:rPr>
                <w:rFonts w:ascii="Arial Narrow" w:eastAsia="Times New Roman" w:hAnsi="Arial Narrow" w:cs="Calibri"/>
                <w:b/>
                <w:bCs/>
                <w:color w:val="FFFFFF"/>
                <w:sz w:val="22"/>
                <w:szCs w:val="22"/>
              </w:rPr>
              <w:t>Concepto</w:t>
            </w:r>
          </w:p>
        </w:tc>
        <w:tc>
          <w:tcPr>
            <w:tcW w:w="4093" w:type="dxa"/>
            <w:gridSpan w:val="3"/>
            <w:tcBorders>
              <w:top w:val="single" w:sz="8" w:space="0" w:color="auto"/>
              <w:left w:val="nil"/>
              <w:bottom w:val="single" w:sz="8" w:space="0" w:color="auto"/>
              <w:right w:val="single" w:sz="8" w:space="0" w:color="000000"/>
            </w:tcBorders>
            <w:shd w:val="clear" w:color="000000" w:fill="203764"/>
            <w:vAlign w:val="center"/>
            <w:hideMark/>
          </w:tcPr>
          <w:p w14:paraId="7F30B965" w14:textId="77777777" w:rsidR="000B34AC" w:rsidRPr="000B34AC" w:rsidRDefault="000B34AC" w:rsidP="000B34AC">
            <w:pPr>
              <w:jc w:val="center"/>
              <w:rPr>
                <w:rFonts w:ascii="Arial Narrow" w:eastAsia="Times New Roman" w:hAnsi="Arial Narrow" w:cs="Calibri"/>
                <w:b/>
                <w:bCs/>
                <w:color w:val="FFFFFF"/>
                <w:sz w:val="22"/>
                <w:szCs w:val="22"/>
              </w:rPr>
            </w:pPr>
            <w:r w:rsidRPr="000B34AC">
              <w:rPr>
                <w:rFonts w:ascii="Arial Narrow" w:eastAsia="Times New Roman" w:hAnsi="Arial Narrow" w:cs="Calibri"/>
                <w:b/>
                <w:bCs/>
                <w:color w:val="FFFFFF"/>
                <w:sz w:val="22"/>
                <w:szCs w:val="22"/>
              </w:rPr>
              <w:t>Referencia</w:t>
            </w:r>
          </w:p>
        </w:tc>
      </w:tr>
      <w:tr w:rsidR="000B34AC" w:rsidRPr="006E5442" w14:paraId="121AB6D2" w14:textId="77777777" w:rsidTr="001F18A0">
        <w:trPr>
          <w:trHeight w:val="1320"/>
        </w:trPr>
        <w:tc>
          <w:tcPr>
            <w:tcW w:w="1564" w:type="dxa"/>
            <w:gridSpan w:val="4"/>
            <w:vMerge/>
            <w:tcBorders>
              <w:top w:val="single" w:sz="8" w:space="0" w:color="auto"/>
              <w:left w:val="single" w:sz="8" w:space="0" w:color="auto"/>
              <w:bottom w:val="nil"/>
              <w:right w:val="single" w:sz="8" w:space="0" w:color="000000"/>
            </w:tcBorders>
            <w:vAlign w:val="center"/>
            <w:hideMark/>
          </w:tcPr>
          <w:p w14:paraId="7ED3B7BA" w14:textId="77777777" w:rsidR="000B34AC" w:rsidRPr="000B34AC" w:rsidRDefault="000B34AC" w:rsidP="000B34AC">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1B3C5B4D" w14:textId="77777777" w:rsidR="000B34AC" w:rsidRPr="000B34AC" w:rsidRDefault="000B34AC" w:rsidP="000B34AC">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75874ED8" w14:textId="77777777" w:rsidR="000B34AC" w:rsidRPr="000B34AC" w:rsidRDefault="000B34AC" w:rsidP="000B34AC">
            <w:pPr>
              <w:jc w:val="center"/>
              <w:rPr>
                <w:rFonts w:ascii="Arial Narrow" w:eastAsia="Times New Roman" w:hAnsi="Arial Narrow" w:cs="Calibri"/>
                <w:b/>
                <w:bCs/>
                <w:color w:val="FFFFFF"/>
                <w:sz w:val="22"/>
                <w:szCs w:val="22"/>
              </w:rPr>
            </w:pPr>
            <w:r w:rsidRPr="000B34AC">
              <w:rPr>
                <w:rFonts w:ascii="Arial Narrow" w:eastAsia="Times New Roman" w:hAnsi="Arial Narrow" w:cs="Calibri"/>
                <w:b/>
                <w:bCs/>
                <w:color w:val="FFFFFF"/>
                <w:sz w:val="22"/>
                <w:szCs w:val="22"/>
              </w:rPr>
              <w:t>Norma</w:t>
            </w:r>
          </w:p>
        </w:tc>
        <w:tc>
          <w:tcPr>
            <w:tcW w:w="1841" w:type="dxa"/>
            <w:tcBorders>
              <w:top w:val="nil"/>
              <w:left w:val="nil"/>
              <w:bottom w:val="nil"/>
              <w:right w:val="single" w:sz="8" w:space="0" w:color="auto"/>
            </w:tcBorders>
            <w:shd w:val="clear" w:color="000000" w:fill="203764"/>
            <w:vAlign w:val="center"/>
            <w:hideMark/>
          </w:tcPr>
          <w:p w14:paraId="62E8A54F" w14:textId="77777777" w:rsidR="000B34AC" w:rsidRPr="000B34AC" w:rsidRDefault="000B34AC" w:rsidP="000B34AC">
            <w:pPr>
              <w:jc w:val="center"/>
              <w:rPr>
                <w:rFonts w:ascii="Arial Narrow" w:eastAsia="Times New Roman" w:hAnsi="Arial Narrow" w:cs="Calibri"/>
                <w:b/>
                <w:bCs/>
                <w:color w:val="FFFFFF"/>
                <w:sz w:val="22"/>
                <w:szCs w:val="22"/>
                <w:lang w:val="es-CR"/>
              </w:rPr>
            </w:pPr>
            <w:r w:rsidRPr="000B34AC">
              <w:rPr>
                <w:rFonts w:ascii="Arial Narrow" w:eastAsia="Times New Roman" w:hAnsi="Arial Narrow" w:cs="Calibri"/>
                <w:b/>
                <w:bCs/>
                <w:color w:val="FFFFFF"/>
                <w:sz w:val="22"/>
                <w:szCs w:val="22"/>
                <w:lang w:val="es-CR"/>
              </w:rPr>
              <w:t>Normativa técnica y disposiciones adicionales</w:t>
            </w:r>
          </w:p>
        </w:tc>
      </w:tr>
      <w:tr w:rsidR="000B34AC" w:rsidRPr="000B34AC" w14:paraId="325CD9E3" w14:textId="77777777" w:rsidTr="001F18A0">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E45814"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413BD2C"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61</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444D2CE2"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5FBFA328" w14:textId="77777777" w:rsidR="000B34AC" w:rsidRPr="000B34AC" w:rsidRDefault="000B34AC" w:rsidP="000B34AC">
            <w:pPr>
              <w:jc w:val="both"/>
              <w:rPr>
                <w:rFonts w:ascii="Arial Narrow" w:eastAsia="Times New Roman" w:hAnsi="Arial Narrow" w:cs="Calibri"/>
                <w:b/>
                <w:bCs/>
                <w:color w:val="000000"/>
                <w:sz w:val="22"/>
                <w:szCs w:val="22"/>
                <w:lang w:val="es-CR"/>
              </w:rPr>
            </w:pPr>
            <w:r w:rsidRPr="000B34AC">
              <w:rPr>
                <w:rFonts w:ascii="Arial Narrow" w:eastAsia="Times New Roman" w:hAnsi="Arial Narrow" w:cs="Calibri"/>
                <w:b/>
                <w:bCs/>
                <w:color w:val="000000"/>
                <w:sz w:val="22"/>
                <w:szCs w:val="22"/>
                <w:lang w:val="es-CR"/>
              </w:rPr>
              <w:t>Cambios en las políticas contables</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3260B5A2" w14:textId="77777777" w:rsidR="000B34AC" w:rsidRDefault="000B34AC" w:rsidP="000B34AC">
            <w:pPr>
              <w:jc w:val="both"/>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NICSP N° 3,</w:t>
            </w:r>
          </w:p>
          <w:p w14:paraId="55E31331" w14:textId="74566B56" w:rsidR="000B34AC" w:rsidRPr="000B34AC" w:rsidRDefault="000B34AC" w:rsidP="000B34AC">
            <w:pPr>
              <w:jc w:val="both"/>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Párrafo 17.</w:t>
            </w:r>
          </w:p>
        </w:tc>
        <w:tc>
          <w:tcPr>
            <w:tcW w:w="1848" w:type="dxa"/>
            <w:gridSpan w:val="2"/>
            <w:tcBorders>
              <w:top w:val="single" w:sz="8" w:space="0" w:color="auto"/>
              <w:left w:val="nil"/>
              <w:bottom w:val="single" w:sz="8" w:space="0" w:color="auto"/>
              <w:right w:val="single" w:sz="8" w:space="0" w:color="auto"/>
            </w:tcBorders>
            <w:shd w:val="clear" w:color="auto" w:fill="auto"/>
            <w:vAlign w:val="center"/>
            <w:hideMark/>
          </w:tcPr>
          <w:p w14:paraId="03641A98" w14:textId="77777777" w:rsidR="000B34AC" w:rsidRPr="000B34AC" w:rsidRDefault="000B34AC" w:rsidP="000B34AC">
            <w:pP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 xml:space="preserve"> </w:t>
            </w:r>
          </w:p>
        </w:tc>
      </w:tr>
      <w:tr w:rsidR="000B34AC" w:rsidRPr="000B34AC" w14:paraId="6E884A82"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F1FBACC"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noWrap/>
            <w:vAlign w:val="center"/>
            <w:hideMark/>
          </w:tcPr>
          <w:p w14:paraId="6F4DFC13"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61</w:t>
            </w:r>
          </w:p>
        </w:tc>
        <w:tc>
          <w:tcPr>
            <w:tcW w:w="433" w:type="dxa"/>
            <w:tcBorders>
              <w:top w:val="nil"/>
              <w:left w:val="nil"/>
              <w:bottom w:val="single" w:sz="8" w:space="0" w:color="auto"/>
              <w:right w:val="single" w:sz="8" w:space="0" w:color="auto"/>
            </w:tcBorders>
            <w:shd w:val="clear" w:color="auto" w:fill="auto"/>
            <w:vAlign w:val="center"/>
            <w:hideMark/>
          </w:tcPr>
          <w:p w14:paraId="1DCC482F"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1</w:t>
            </w:r>
          </w:p>
        </w:tc>
        <w:tc>
          <w:tcPr>
            <w:tcW w:w="3689" w:type="dxa"/>
            <w:gridSpan w:val="2"/>
            <w:tcBorders>
              <w:top w:val="nil"/>
              <w:left w:val="nil"/>
              <w:bottom w:val="single" w:sz="8" w:space="0" w:color="auto"/>
              <w:right w:val="single" w:sz="8" w:space="0" w:color="auto"/>
            </w:tcBorders>
            <w:shd w:val="clear" w:color="auto" w:fill="auto"/>
            <w:vAlign w:val="center"/>
            <w:hideMark/>
          </w:tcPr>
          <w:p w14:paraId="40FA007A" w14:textId="77777777" w:rsidR="000B34AC" w:rsidRPr="000B34AC" w:rsidRDefault="000B34AC" w:rsidP="000B34AC">
            <w:pPr>
              <w:jc w:val="both"/>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Constituyen cambios</w:t>
            </w:r>
          </w:p>
        </w:tc>
        <w:tc>
          <w:tcPr>
            <w:tcW w:w="2252" w:type="dxa"/>
            <w:gridSpan w:val="2"/>
            <w:tcBorders>
              <w:top w:val="nil"/>
              <w:left w:val="nil"/>
              <w:bottom w:val="single" w:sz="8" w:space="0" w:color="auto"/>
              <w:right w:val="single" w:sz="8" w:space="0" w:color="auto"/>
            </w:tcBorders>
            <w:shd w:val="clear" w:color="auto" w:fill="auto"/>
            <w:vAlign w:val="center"/>
            <w:hideMark/>
          </w:tcPr>
          <w:p w14:paraId="51F68527" w14:textId="77777777" w:rsidR="000B34AC" w:rsidRDefault="000B34AC" w:rsidP="000B34AC">
            <w:pPr>
              <w:jc w:val="both"/>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NICSP N° 3,</w:t>
            </w:r>
          </w:p>
          <w:p w14:paraId="51F11426" w14:textId="7760A713" w:rsidR="000B34AC" w:rsidRPr="000B34AC" w:rsidRDefault="000B34AC" w:rsidP="000B34AC">
            <w:pPr>
              <w:jc w:val="both"/>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Párrafos 19, 20 y 22.</w:t>
            </w:r>
          </w:p>
        </w:tc>
        <w:tc>
          <w:tcPr>
            <w:tcW w:w="1848" w:type="dxa"/>
            <w:gridSpan w:val="2"/>
            <w:tcBorders>
              <w:top w:val="nil"/>
              <w:left w:val="nil"/>
              <w:bottom w:val="single" w:sz="8" w:space="0" w:color="auto"/>
              <w:right w:val="single" w:sz="8" w:space="0" w:color="auto"/>
            </w:tcBorders>
            <w:shd w:val="clear" w:color="auto" w:fill="auto"/>
            <w:vAlign w:val="center"/>
            <w:hideMark/>
          </w:tcPr>
          <w:p w14:paraId="289EC8C1" w14:textId="77777777" w:rsidR="000B34AC" w:rsidRPr="000B34AC" w:rsidRDefault="000B34AC" w:rsidP="000B34AC">
            <w:pP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 xml:space="preserve"> </w:t>
            </w:r>
          </w:p>
        </w:tc>
      </w:tr>
      <w:tr w:rsidR="000B34AC" w:rsidRPr="000B34AC" w14:paraId="32201812"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D9F587B"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noWrap/>
            <w:vAlign w:val="center"/>
            <w:hideMark/>
          </w:tcPr>
          <w:p w14:paraId="65125F3E"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61</w:t>
            </w:r>
          </w:p>
        </w:tc>
        <w:tc>
          <w:tcPr>
            <w:tcW w:w="433" w:type="dxa"/>
            <w:tcBorders>
              <w:top w:val="nil"/>
              <w:left w:val="nil"/>
              <w:bottom w:val="single" w:sz="8" w:space="0" w:color="auto"/>
              <w:right w:val="single" w:sz="8" w:space="0" w:color="auto"/>
            </w:tcBorders>
            <w:shd w:val="clear" w:color="auto" w:fill="auto"/>
            <w:vAlign w:val="center"/>
            <w:hideMark/>
          </w:tcPr>
          <w:p w14:paraId="0CDCB168" w14:textId="77777777" w:rsidR="000B34AC" w:rsidRPr="000B34AC" w:rsidRDefault="000B34AC" w:rsidP="000B34AC">
            <w:pPr>
              <w:jc w:val="cente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2</w:t>
            </w:r>
          </w:p>
        </w:tc>
        <w:tc>
          <w:tcPr>
            <w:tcW w:w="3689" w:type="dxa"/>
            <w:gridSpan w:val="2"/>
            <w:tcBorders>
              <w:top w:val="nil"/>
              <w:left w:val="nil"/>
              <w:bottom w:val="single" w:sz="8" w:space="0" w:color="auto"/>
              <w:right w:val="single" w:sz="8" w:space="0" w:color="auto"/>
            </w:tcBorders>
            <w:shd w:val="clear" w:color="auto" w:fill="auto"/>
            <w:vAlign w:val="center"/>
            <w:hideMark/>
          </w:tcPr>
          <w:p w14:paraId="098E9B22" w14:textId="77777777" w:rsidR="000B34AC" w:rsidRPr="000B34AC" w:rsidRDefault="000B34AC" w:rsidP="000B34AC">
            <w:pPr>
              <w:jc w:val="both"/>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No constituyen cambios</w:t>
            </w:r>
          </w:p>
        </w:tc>
        <w:tc>
          <w:tcPr>
            <w:tcW w:w="2252" w:type="dxa"/>
            <w:gridSpan w:val="2"/>
            <w:tcBorders>
              <w:top w:val="nil"/>
              <w:left w:val="nil"/>
              <w:bottom w:val="single" w:sz="8" w:space="0" w:color="auto"/>
              <w:right w:val="single" w:sz="8" w:space="0" w:color="auto"/>
            </w:tcBorders>
            <w:shd w:val="clear" w:color="auto" w:fill="auto"/>
            <w:vAlign w:val="center"/>
            <w:hideMark/>
          </w:tcPr>
          <w:p w14:paraId="49E6B4DB" w14:textId="77777777" w:rsidR="000B34AC" w:rsidRDefault="000B34AC" w:rsidP="000B34AC">
            <w:pPr>
              <w:jc w:val="both"/>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NICSP N° 3.</w:t>
            </w:r>
          </w:p>
          <w:p w14:paraId="3EE20B3E" w14:textId="4EEBDF6A" w:rsidR="000B34AC" w:rsidRPr="000B34AC" w:rsidRDefault="000B34AC" w:rsidP="000B34AC">
            <w:pPr>
              <w:jc w:val="both"/>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Párrafo 21.</w:t>
            </w:r>
          </w:p>
        </w:tc>
        <w:tc>
          <w:tcPr>
            <w:tcW w:w="1848" w:type="dxa"/>
            <w:gridSpan w:val="2"/>
            <w:tcBorders>
              <w:top w:val="nil"/>
              <w:left w:val="nil"/>
              <w:bottom w:val="single" w:sz="8" w:space="0" w:color="auto"/>
              <w:right w:val="single" w:sz="8" w:space="0" w:color="auto"/>
            </w:tcBorders>
            <w:shd w:val="clear" w:color="auto" w:fill="auto"/>
            <w:vAlign w:val="center"/>
            <w:hideMark/>
          </w:tcPr>
          <w:p w14:paraId="00D62397" w14:textId="77777777" w:rsidR="000B34AC" w:rsidRPr="000B34AC" w:rsidRDefault="000B34AC" w:rsidP="000B34AC">
            <w:pPr>
              <w:rPr>
                <w:rFonts w:ascii="Arial Narrow" w:eastAsia="Times New Roman" w:hAnsi="Arial Narrow" w:cs="Calibri"/>
                <w:b/>
                <w:bCs/>
                <w:color w:val="000000"/>
                <w:sz w:val="22"/>
                <w:szCs w:val="22"/>
              </w:rPr>
            </w:pPr>
            <w:r w:rsidRPr="000B34AC">
              <w:rPr>
                <w:rFonts w:ascii="Arial Narrow" w:eastAsia="Times New Roman" w:hAnsi="Arial Narrow" w:cs="Calibri"/>
                <w:b/>
                <w:bCs/>
                <w:color w:val="000000"/>
                <w:sz w:val="22"/>
                <w:szCs w:val="22"/>
              </w:rPr>
              <w:t xml:space="preserve"> </w:t>
            </w:r>
          </w:p>
        </w:tc>
      </w:tr>
    </w:tbl>
    <w:p w14:paraId="68DFFC62" w14:textId="77777777" w:rsidR="000B34AC" w:rsidRDefault="000B34AC" w:rsidP="00D033EC">
      <w:pPr>
        <w:pStyle w:val="Default"/>
        <w:jc w:val="both"/>
        <w:rPr>
          <w:sz w:val="23"/>
          <w:szCs w:val="23"/>
          <w:lang w:val="es-CR"/>
        </w:rPr>
      </w:pPr>
    </w:p>
    <w:p w14:paraId="451B90E3" w14:textId="77777777" w:rsidR="001F18A0" w:rsidRDefault="001F18A0" w:rsidP="001F18A0">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519B1258" w14:textId="77777777" w:rsidR="001F18A0" w:rsidRDefault="001F18A0" w:rsidP="00D033EC">
      <w:pPr>
        <w:pStyle w:val="Default"/>
        <w:jc w:val="both"/>
        <w:rPr>
          <w:sz w:val="23"/>
          <w:szCs w:val="23"/>
          <w:lang w:val="es-CR"/>
        </w:rPr>
      </w:pPr>
    </w:p>
    <w:p w14:paraId="063D751E" w14:textId="3C122B96" w:rsidR="000869C1" w:rsidRDefault="000869C1" w:rsidP="000869C1">
      <w:pPr>
        <w:pStyle w:val="Default"/>
        <w:ind w:left="1134" w:hanging="1134"/>
        <w:jc w:val="both"/>
        <w:rPr>
          <w:sz w:val="22"/>
          <w:szCs w:val="22"/>
          <w:lang w:val="es-CR"/>
        </w:rPr>
      </w:pPr>
      <w:r>
        <w:rPr>
          <w:sz w:val="22"/>
          <w:szCs w:val="22"/>
          <w:lang w:val="es-CR"/>
        </w:rPr>
        <w:t>6.61.0.01</w:t>
      </w:r>
      <w:r>
        <w:rPr>
          <w:sz w:val="22"/>
          <w:szCs w:val="22"/>
          <w:lang w:val="es-CR"/>
        </w:rPr>
        <w:tab/>
      </w:r>
      <w:r w:rsidRPr="000869C1">
        <w:rPr>
          <w:sz w:val="22"/>
          <w:szCs w:val="22"/>
          <w:lang w:val="es-CR"/>
        </w:rPr>
        <w:t>Una política contable sólo se cambiará si tal cambio:</w:t>
      </w:r>
    </w:p>
    <w:p w14:paraId="6004E30E" w14:textId="77777777" w:rsidR="000869C1" w:rsidRPr="000869C1" w:rsidRDefault="000869C1" w:rsidP="000869C1">
      <w:pPr>
        <w:pStyle w:val="Default"/>
        <w:ind w:left="1134" w:hanging="1134"/>
        <w:jc w:val="both"/>
        <w:rPr>
          <w:sz w:val="22"/>
          <w:szCs w:val="22"/>
          <w:lang w:val="es-CR"/>
        </w:rPr>
      </w:pPr>
    </w:p>
    <w:p w14:paraId="7EC2AA4E" w14:textId="5C4E31A2" w:rsidR="000869C1" w:rsidRPr="000869C1" w:rsidRDefault="000869C1">
      <w:pPr>
        <w:pStyle w:val="Default"/>
        <w:numPr>
          <w:ilvl w:val="0"/>
          <w:numId w:val="380"/>
        </w:numPr>
        <w:spacing w:after="120"/>
        <w:ind w:left="1418" w:hanging="284"/>
        <w:jc w:val="both"/>
        <w:rPr>
          <w:sz w:val="22"/>
          <w:szCs w:val="22"/>
          <w:lang w:val="es-CR"/>
        </w:rPr>
      </w:pPr>
      <w:r>
        <w:rPr>
          <w:sz w:val="22"/>
          <w:szCs w:val="22"/>
          <w:lang w:val="es-CR"/>
        </w:rPr>
        <w:t>S</w:t>
      </w:r>
      <w:r w:rsidRPr="000869C1">
        <w:rPr>
          <w:sz w:val="22"/>
          <w:szCs w:val="22"/>
          <w:lang w:val="es-CR"/>
        </w:rPr>
        <w:t xml:space="preserve">e requiere por una NICSP o por el presente PGCN; o </w:t>
      </w:r>
    </w:p>
    <w:p w14:paraId="0D0C6B33" w14:textId="6FAC2A01" w:rsidR="000869C1" w:rsidRPr="000869C1" w:rsidRDefault="000869C1">
      <w:pPr>
        <w:pStyle w:val="Default"/>
        <w:numPr>
          <w:ilvl w:val="0"/>
          <w:numId w:val="380"/>
        </w:numPr>
        <w:ind w:left="1418" w:hanging="284"/>
        <w:jc w:val="both"/>
        <w:rPr>
          <w:sz w:val="22"/>
          <w:szCs w:val="22"/>
          <w:lang w:val="es-CR"/>
        </w:rPr>
      </w:pPr>
      <w:r>
        <w:rPr>
          <w:sz w:val="22"/>
          <w:szCs w:val="22"/>
          <w:lang w:val="es-CR"/>
        </w:rPr>
        <w:lastRenderedPageBreak/>
        <w:t>L</w:t>
      </w:r>
      <w:r w:rsidRPr="000869C1">
        <w:rPr>
          <w:sz w:val="22"/>
          <w:szCs w:val="22"/>
          <w:lang w:val="es-CR"/>
        </w:rPr>
        <w:t xml:space="preserve">leva a que los EEFF suministren información más fiable y relevante sobre los efectos de las transacciones, otros eventos y condiciones que afecten a la situación financiera, el rendimiento financiero o los flujos de efectivo de la entidad. </w:t>
      </w:r>
    </w:p>
    <w:p w14:paraId="3079368E" w14:textId="77777777" w:rsidR="000869C1" w:rsidRPr="000869C1" w:rsidRDefault="000869C1" w:rsidP="000869C1">
      <w:pPr>
        <w:pStyle w:val="Default"/>
        <w:jc w:val="both"/>
        <w:rPr>
          <w:sz w:val="22"/>
          <w:szCs w:val="22"/>
          <w:lang w:val="es-CR"/>
        </w:rPr>
      </w:pPr>
    </w:p>
    <w:p w14:paraId="5BB4FE50" w14:textId="3968A673" w:rsidR="000869C1" w:rsidRPr="000869C1" w:rsidRDefault="000869C1" w:rsidP="000869C1">
      <w:pPr>
        <w:pStyle w:val="Default"/>
        <w:ind w:left="1134" w:hanging="1134"/>
        <w:jc w:val="both"/>
        <w:rPr>
          <w:sz w:val="22"/>
          <w:szCs w:val="22"/>
          <w:lang w:val="es-CR"/>
        </w:rPr>
      </w:pPr>
      <w:r>
        <w:rPr>
          <w:sz w:val="22"/>
          <w:szCs w:val="22"/>
          <w:lang w:val="es-CR"/>
        </w:rPr>
        <w:t>6.61.</w:t>
      </w:r>
      <w:r w:rsidRPr="000869C1">
        <w:rPr>
          <w:sz w:val="22"/>
          <w:szCs w:val="22"/>
          <w:lang w:val="es-CR"/>
        </w:rPr>
        <w:t>1.</w:t>
      </w:r>
      <w:r>
        <w:rPr>
          <w:sz w:val="22"/>
          <w:szCs w:val="22"/>
          <w:lang w:val="es-CR"/>
        </w:rPr>
        <w:t>01</w:t>
      </w:r>
      <w:r>
        <w:rPr>
          <w:sz w:val="22"/>
          <w:szCs w:val="22"/>
          <w:lang w:val="es-CR"/>
        </w:rPr>
        <w:tab/>
      </w:r>
      <w:r w:rsidRPr="000869C1">
        <w:rPr>
          <w:sz w:val="22"/>
          <w:szCs w:val="22"/>
          <w:lang w:val="es-CR"/>
        </w:rPr>
        <w:t xml:space="preserve">Constituyen cambios en las políticas contables: </w:t>
      </w:r>
    </w:p>
    <w:p w14:paraId="498D3567" w14:textId="77777777" w:rsidR="000869C1" w:rsidRPr="000869C1" w:rsidRDefault="000869C1" w:rsidP="000869C1">
      <w:pPr>
        <w:pStyle w:val="Default"/>
        <w:jc w:val="both"/>
        <w:rPr>
          <w:sz w:val="22"/>
          <w:szCs w:val="22"/>
          <w:lang w:val="es-CR"/>
        </w:rPr>
      </w:pPr>
    </w:p>
    <w:p w14:paraId="4946914D" w14:textId="5CC23DFC" w:rsidR="000869C1" w:rsidRPr="000869C1" w:rsidRDefault="000869C1">
      <w:pPr>
        <w:pStyle w:val="Default"/>
        <w:numPr>
          <w:ilvl w:val="0"/>
          <w:numId w:val="381"/>
        </w:numPr>
        <w:spacing w:after="120"/>
        <w:ind w:left="1418" w:hanging="284"/>
        <w:jc w:val="both"/>
        <w:rPr>
          <w:sz w:val="22"/>
          <w:szCs w:val="22"/>
          <w:lang w:val="es-CR"/>
        </w:rPr>
      </w:pPr>
      <w:r>
        <w:rPr>
          <w:sz w:val="22"/>
          <w:szCs w:val="22"/>
          <w:lang w:val="es-CR"/>
        </w:rPr>
        <w:t>U</w:t>
      </w:r>
      <w:r w:rsidRPr="000869C1">
        <w:rPr>
          <w:sz w:val="22"/>
          <w:szCs w:val="22"/>
          <w:lang w:val="es-CR"/>
        </w:rPr>
        <w:t xml:space="preserve">n cambio de una base contable a otra base; y </w:t>
      </w:r>
    </w:p>
    <w:p w14:paraId="71E16091" w14:textId="77777777" w:rsidR="002E2EB1" w:rsidRDefault="000869C1">
      <w:pPr>
        <w:pStyle w:val="Default"/>
        <w:numPr>
          <w:ilvl w:val="0"/>
          <w:numId w:val="381"/>
        </w:numPr>
        <w:spacing w:after="120"/>
        <w:ind w:left="1418" w:hanging="284"/>
        <w:jc w:val="both"/>
        <w:rPr>
          <w:sz w:val="22"/>
          <w:szCs w:val="22"/>
          <w:lang w:val="es-CR"/>
        </w:rPr>
      </w:pPr>
      <w:r>
        <w:rPr>
          <w:sz w:val="22"/>
          <w:szCs w:val="22"/>
          <w:lang w:val="es-CR"/>
        </w:rPr>
        <w:t>U</w:t>
      </w:r>
      <w:r w:rsidRPr="000869C1">
        <w:rPr>
          <w:sz w:val="22"/>
          <w:szCs w:val="22"/>
          <w:lang w:val="es-CR"/>
        </w:rPr>
        <w:t xml:space="preserve">n cambio en el tratamiento contable, reconocimiento o medición de una transacción o hecho, dentro de la aplicación de un mismo método contable. </w:t>
      </w:r>
    </w:p>
    <w:p w14:paraId="56E882FC" w14:textId="6E428B4A" w:rsidR="000869C1" w:rsidRDefault="000869C1">
      <w:pPr>
        <w:pStyle w:val="Default"/>
        <w:numPr>
          <w:ilvl w:val="0"/>
          <w:numId w:val="381"/>
        </w:numPr>
        <w:ind w:left="1418" w:hanging="284"/>
        <w:jc w:val="both"/>
        <w:rPr>
          <w:sz w:val="22"/>
          <w:szCs w:val="22"/>
          <w:lang w:val="es-CR"/>
        </w:rPr>
      </w:pPr>
      <w:r w:rsidRPr="002E2EB1">
        <w:rPr>
          <w:sz w:val="22"/>
          <w:szCs w:val="22"/>
          <w:lang w:val="es-CR"/>
        </w:rPr>
        <w:t>La aplicación por primera vez de una política que consista en la revaluación de activos, de acuerdo con la NICSP N° 17 “Propiedades, Planta y Equipo” o la NICSP N° 31 “Activos Intangibles”, es un cambio de política contable que ha de ser tratado como una revaluación, de acuerdo con dichas Normas o con lo establecido en el presente PGCN.</w:t>
      </w:r>
    </w:p>
    <w:p w14:paraId="6E241B38" w14:textId="77777777" w:rsidR="002E2EB1" w:rsidRPr="002E2EB1" w:rsidRDefault="002E2EB1" w:rsidP="002E2EB1">
      <w:pPr>
        <w:pStyle w:val="Default"/>
        <w:ind w:left="1418"/>
        <w:jc w:val="both"/>
        <w:rPr>
          <w:sz w:val="22"/>
          <w:szCs w:val="22"/>
          <w:lang w:val="es-CR"/>
        </w:rPr>
      </w:pPr>
    </w:p>
    <w:p w14:paraId="3780BB97" w14:textId="77777777" w:rsidR="002E2EB1" w:rsidRDefault="002E2EB1" w:rsidP="002E2EB1">
      <w:pPr>
        <w:pStyle w:val="Default"/>
        <w:spacing w:after="18"/>
        <w:ind w:left="1134" w:hanging="1134"/>
        <w:jc w:val="both"/>
        <w:rPr>
          <w:sz w:val="22"/>
          <w:szCs w:val="22"/>
          <w:lang w:val="es-CR"/>
        </w:rPr>
      </w:pPr>
      <w:r>
        <w:rPr>
          <w:sz w:val="22"/>
          <w:szCs w:val="22"/>
          <w:lang w:val="es-CR"/>
        </w:rPr>
        <w:t>6.61.</w:t>
      </w:r>
      <w:r w:rsidR="000869C1" w:rsidRPr="000869C1">
        <w:rPr>
          <w:sz w:val="22"/>
          <w:szCs w:val="22"/>
          <w:lang w:val="es-CR"/>
        </w:rPr>
        <w:t>2.</w:t>
      </w:r>
      <w:r>
        <w:rPr>
          <w:sz w:val="22"/>
          <w:szCs w:val="22"/>
          <w:lang w:val="es-CR"/>
        </w:rPr>
        <w:t>01</w:t>
      </w:r>
      <w:r>
        <w:rPr>
          <w:sz w:val="22"/>
          <w:szCs w:val="22"/>
          <w:lang w:val="es-CR"/>
        </w:rPr>
        <w:tab/>
      </w:r>
      <w:r w:rsidR="000869C1" w:rsidRPr="000869C1">
        <w:rPr>
          <w:sz w:val="22"/>
          <w:szCs w:val="22"/>
          <w:lang w:val="es-CR"/>
        </w:rPr>
        <w:t>No constituyen cambios en las políticas contables:</w:t>
      </w:r>
    </w:p>
    <w:p w14:paraId="51A801D9" w14:textId="79A7DAC5" w:rsidR="002E2EB1" w:rsidRDefault="000869C1" w:rsidP="002E2EB1">
      <w:pPr>
        <w:pStyle w:val="Default"/>
        <w:spacing w:after="18"/>
        <w:ind w:left="1134" w:hanging="1134"/>
        <w:jc w:val="both"/>
        <w:rPr>
          <w:sz w:val="22"/>
          <w:szCs w:val="22"/>
          <w:lang w:val="es-CR"/>
        </w:rPr>
      </w:pPr>
      <w:r w:rsidRPr="000869C1">
        <w:rPr>
          <w:sz w:val="22"/>
          <w:szCs w:val="22"/>
          <w:lang w:val="es-CR"/>
        </w:rPr>
        <w:t xml:space="preserve"> </w:t>
      </w:r>
    </w:p>
    <w:p w14:paraId="30F5F4C2" w14:textId="168BD99A" w:rsidR="000869C1" w:rsidRPr="000869C1" w:rsidRDefault="000869C1" w:rsidP="002E2EB1">
      <w:pPr>
        <w:pStyle w:val="Default"/>
        <w:spacing w:after="120"/>
        <w:ind w:left="1418" w:hanging="284"/>
        <w:jc w:val="both"/>
        <w:rPr>
          <w:sz w:val="22"/>
          <w:szCs w:val="22"/>
          <w:lang w:val="es-CR"/>
        </w:rPr>
      </w:pPr>
      <w:r w:rsidRPr="000869C1">
        <w:rPr>
          <w:sz w:val="22"/>
          <w:szCs w:val="22"/>
          <w:lang w:val="es-CR"/>
        </w:rPr>
        <w:t xml:space="preserve">a) </w:t>
      </w:r>
      <w:r w:rsidR="002E2EB1">
        <w:rPr>
          <w:sz w:val="22"/>
          <w:szCs w:val="22"/>
          <w:lang w:val="es-CR"/>
        </w:rPr>
        <w:t>L</w:t>
      </w:r>
      <w:r w:rsidRPr="000869C1">
        <w:rPr>
          <w:sz w:val="22"/>
          <w:szCs w:val="22"/>
          <w:lang w:val="es-CR"/>
        </w:rPr>
        <w:t xml:space="preserve">a aplicación de una política contable para transacciones, otros eventos o condiciones que difieren sustancialmente de aquéllos que han ocurrido previamente; y </w:t>
      </w:r>
    </w:p>
    <w:p w14:paraId="66BB8FF0" w14:textId="2577E91E" w:rsidR="000869C1" w:rsidRDefault="000869C1" w:rsidP="002E2EB1">
      <w:pPr>
        <w:pStyle w:val="Default"/>
        <w:spacing w:after="18"/>
        <w:ind w:left="1418" w:hanging="284"/>
        <w:jc w:val="both"/>
        <w:rPr>
          <w:sz w:val="22"/>
          <w:szCs w:val="22"/>
          <w:lang w:val="es-CR"/>
        </w:rPr>
      </w:pPr>
      <w:r w:rsidRPr="000869C1">
        <w:rPr>
          <w:sz w:val="22"/>
          <w:szCs w:val="22"/>
          <w:lang w:val="es-CR"/>
        </w:rPr>
        <w:t xml:space="preserve">b) </w:t>
      </w:r>
      <w:r w:rsidR="002E2EB1">
        <w:rPr>
          <w:sz w:val="22"/>
          <w:szCs w:val="22"/>
          <w:lang w:val="es-CR"/>
        </w:rPr>
        <w:t>L</w:t>
      </w:r>
      <w:r w:rsidRPr="000869C1">
        <w:rPr>
          <w:sz w:val="22"/>
          <w:szCs w:val="22"/>
          <w:lang w:val="es-CR"/>
        </w:rPr>
        <w:t>a aplicación de una nueva política contable para transacciones, otros eventos o condiciones que no han ocurrido anteriormente o que, de ocurrir, carecieron de materialidad.</w:t>
      </w:r>
    </w:p>
    <w:p w14:paraId="4C88CF24" w14:textId="77777777" w:rsidR="001F18A0" w:rsidRDefault="001F18A0" w:rsidP="002E2EB1">
      <w:pPr>
        <w:pStyle w:val="Default"/>
        <w:spacing w:after="18"/>
        <w:ind w:left="1418" w:hanging="284"/>
        <w:jc w:val="both"/>
        <w:rPr>
          <w:sz w:val="22"/>
          <w:szCs w:val="22"/>
          <w:lang w:val="es-CR"/>
        </w:rPr>
      </w:pPr>
    </w:p>
    <w:p w14:paraId="32167574" w14:textId="77777777" w:rsidR="001F18A0" w:rsidRPr="000869C1" w:rsidRDefault="001F18A0" w:rsidP="002E2EB1">
      <w:pPr>
        <w:pStyle w:val="Default"/>
        <w:spacing w:after="18"/>
        <w:ind w:left="1418" w:hanging="284"/>
        <w:jc w:val="both"/>
        <w:rPr>
          <w:sz w:val="22"/>
          <w:szCs w:val="22"/>
          <w:lang w:val="es-CR"/>
        </w:rPr>
      </w:pPr>
    </w:p>
    <w:p w14:paraId="448DE5BF" w14:textId="77777777" w:rsidR="000869C1" w:rsidRPr="000869C1" w:rsidRDefault="000869C1">
      <w:pPr>
        <w:pStyle w:val="Default"/>
        <w:numPr>
          <w:ilvl w:val="1"/>
          <w:numId w:val="379"/>
        </w:numPr>
        <w:rPr>
          <w:sz w:val="23"/>
          <w:szCs w:val="23"/>
          <w:lang w:val="es-CR"/>
        </w:rPr>
      </w:pPr>
    </w:p>
    <w:tbl>
      <w:tblPr>
        <w:tblW w:w="9326" w:type="dxa"/>
        <w:tblLook w:val="04A0" w:firstRow="1" w:lastRow="0" w:firstColumn="1" w:lastColumn="0" w:noHBand="0" w:noVBand="1"/>
      </w:tblPr>
      <w:tblGrid>
        <w:gridCol w:w="416"/>
        <w:gridCol w:w="708"/>
        <w:gridCol w:w="522"/>
        <w:gridCol w:w="17"/>
        <w:gridCol w:w="3722"/>
        <w:gridCol w:w="17"/>
        <w:gridCol w:w="2101"/>
        <w:gridCol w:w="1823"/>
      </w:tblGrid>
      <w:tr w:rsidR="00B436AA" w:rsidRPr="00B436AA" w14:paraId="561599B7" w14:textId="77777777" w:rsidTr="001F18A0">
        <w:trPr>
          <w:trHeight w:val="320"/>
        </w:trPr>
        <w:tc>
          <w:tcPr>
            <w:tcW w:w="1663" w:type="dxa"/>
            <w:gridSpan w:val="4"/>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70CD7059" w14:textId="77777777" w:rsidR="00B436AA" w:rsidRPr="00B436AA" w:rsidRDefault="00B436AA" w:rsidP="00B436AA">
            <w:pPr>
              <w:jc w:val="center"/>
              <w:rPr>
                <w:rFonts w:ascii="Arial Narrow" w:eastAsia="Times New Roman" w:hAnsi="Arial Narrow" w:cs="Calibri"/>
                <w:b/>
                <w:bCs/>
                <w:color w:val="FFFFFF"/>
                <w:sz w:val="22"/>
                <w:szCs w:val="22"/>
              </w:rPr>
            </w:pPr>
            <w:r w:rsidRPr="00B436AA">
              <w:rPr>
                <w:rFonts w:ascii="Arial Narrow" w:eastAsia="Times New Roman" w:hAnsi="Arial Narrow" w:cs="Calibri"/>
                <w:b/>
                <w:bCs/>
                <w:color w:val="FFFFFF"/>
                <w:sz w:val="22"/>
                <w:szCs w:val="22"/>
              </w:rPr>
              <w:t>Norma / Política</w:t>
            </w:r>
          </w:p>
        </w:tc>
        <w:tc>
          <w:tcPr>
            <w:tcW w:w="3739" w:type="dxa"/>
            <w:gridSpan w:val="2"/>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45C04E4" w14:textId="77777777" w:rsidR="00B436AA" w:rsidRPr="00B436AA" w:rsidRDefault="00B436AA" w:rsidP="00B436AA">
            <w:pPr>
              <w:jc w:val="center"/>
              <w:rPr>
                <w:rFonts w:ascii="Arial Narrow" w:eastAsia="Times New Roman" w:hAnsi="Arial Narrow" w:cs="Calibri"/>
                <w:b/>
                <w:bCs/>
                <w:color w:val="FFFFFF"/>
                <w:sz w:val="22"/>
                <w:szCs w:val="22"/>
              </w:rPr>
            </w:pPr>
            <w:r w:rsidRPr="00B436AA">
              <w:rPr>
                <w:rFonts w:ascii="Arial Narrow" w:eastAsia="Times New Roman" w:hAnsi="Arial Narrow" w:cs="Calibri"/>
                <w:b/>
                <w:bCs/>
                <w:color w:val="FFFFFF"/>
                <w:sz w:val="22"/>
                <w:szCs w:val="22"/>
              </w:rPr>
              <w:t>Concepto</w:t>
            </w:r>
          </w:p>
        </w:tc>
        <w:tc>
          <w:tcPr>
            <w:tcW w:w="3924" w:type="dxa"/>
            <w:gridSpan w:val="2"/>
            <w:tcBorders>
              <w:top w:val="single" w:sz="8" w:space="0" w:color="auto"/>
              <w:left w:val="nil"/>
              <w:bottom w:val="single" w:sz="8" w:space="0" w:color="auto"/>
              <w:right w:val="single" w:sz="8" w:space="0" w:color="000000"/>
            </w:tcBorders>
            <w:shd w:val="clear" w:color="000000" w:fill="203764"/>
            <w:vAlign w:val="center"/>
            <w:hideMark/>
          </w:tcPr>
          <w:p w14:paraId="29344A5D" w14:textId="77777777" w:rsidR="00B436AA" w:rsidRPr="00B436AA" w:rsidRDefault="00B436AA" w:rsidP="00B436AA">
            <w:pPr>
              <w:jc w:val="center"/>
              <w:rPr>
                <w:rFonts w:ascii="Arial Narrow" w:eastAsia="Times New Roman" w:hAnsi="Arial Narrow" w:cs="Calibri"/>
                <w:b/>
                <w:bCs/>
                <w:color w:val="FFFFFF"/>
                <w:sz w:val="22"/>
                <w:szCs w:val="22"/>
              </w:rPr>
            </w:pPr>
            <w:r w:rsidRPr="00B436AA">
              <w:rPr>
                <w:rFonts w:ascii="Arial Narrow" w:eastAsia="Times New Roman" w:hAnsi="Arial Narrow" w:cs="Calibri"/>
                <w:b/>
                <w:bCs/>
                <w:color w:val="FFFFFF"/>
                <w:sz w:val="22"/>
                <w:szCs w:val="22"/>
              </w:rPr>
              <w:t>Referencia</w:t>
            </w:r>
          </w:p>
        </w:tc>
      </w:tr>
      <w:tr w:rsidR="00B436AA" w:rsidRPr="006E5442" w14:paraId="28BCE17E" w14:textId="77777777" w:rsidTr="001F18A0">
        <w:trPr>
          <w:trHeight w:val="850"/>
        </w:trPr>
        <w:tc>
          <w:tcPr>
            <w:tcW w:w="1663" w:type="dxa"/>
            <w:gridSpan w:val="4"/>
            <w:vMerge/>
            <w:tcBorders>
              <w:top w:val="single" w:sz="8" w:space="0" w:color="auto"/>
              <w:left w:val="single" w:sz="8" w:space="0" w:color="auto"/>
              <w:bottom w:val="single" w:sz="8" w:space="0" w:color="000000"/>
              <w:right w:val="single" w:sz="8" w:space="0" w:color="000000"/>
            </w:tcBorders>
            <w:vAlign w:val="center"/>
            <w:hideMark/>
          </w:tcPr>
          <w:p w14:paraId="15B6E9B5" w14:textId="77777777" w:rsidR="00B436AA" w:rsidRPr="00B436AA" w:rsidRDefault="00B436AA" w:rsidP="00B436AA">
            <w:pPr>
              <w:rPr>
                <w:rFonts w:ascii="Arial Narrow" w:eastAsia="Times New Roman" w:hAnsi="Arial Narrow" w:cs="Calibri"/>
                <w:b/>
                <w:bCs/>
                <w:color w:val="FFFFFF"/>
                <w:sz w:val="22"/>
                <w:szCs w:val="22"/>
              </w:rPr>
            </w:pPr>
          </w:p>
        </w:tc>
        <w:tc>
          <w:tcPr>
            <w:tcW w:w="3739" w:type="dxa"/>
            <w:gridSpan w:val="2"/>
            <w:vMerge/>
            <w:tcBorders>
              <w:top w:val="single" w:sz="8" w:space="0" w:color="auto"/>
              <w:left w:val="single" w:sz="8" w:space="0" w:color="auto"/>
              <w:bottom w:val="single" w:sz="8" w:space="0" w:color="000000"/>
              <w:right w:val="single" w:sz="8" w:space="0" w:color="auto"/>
            </w:tcBorders>
            <w:vAlign w:val="center"/>
            <w:hideMark/>
          </w:tcPr>
          <w:p w14:paraId="253091A2" w14:textId="77777777" w:rsidR="00B436AA" w:rsidRPr="00B436AA" w:rsidRDefault="00B436AA" w:rsidP="00B436AA">
            <w:pPr>
              <w:rPr>
                <w:rFonts w:ascii="Arial Narrow" w:eastAsia="Times New Roman" w:hAnsi="Arial Narrow" w:cs="Calibri"/>
                <w:b/>
                <w:bCs/>
                <w:color w:val="FFFFFF"/>
                <w:sz w:val="22"/>
                <w:szCs w:val="22"/>
              </w:rPr>
            </w:pPr>
          </w:p>
        </w:tc>
        <w:tc>
          <w:tcPr>
            <w:tcW w:w="2101" w:type="dxa"/>
            <w:tcBorders>
              <w:top w:val="nil"/>
              <w:left w:val="nil"/>
              <w:bottom w:val="single" w:sz="8" w:space="0" w:color="auto"/>
              <w:right w:val="single" w:sz="8" w:space="0" w:color="auto"/>
            </w:tcBorders>
            <w:shd w:val="clear" w:color="000000" w:fill="203764"/>
            <w:vAlign w:val="center"/>
            <w:hideMark/>
          </w:tcPr>
          <w:p w14:paraId="534FB543" w14:textId="77777777" w:rsidR="00B436AA" w:rsidRPr="00B436AA" w:rsidRDefault="00B436AA" w:rsidP="00B436AA">
            <w:pPr>
              <w:jc w:val="center"/>
              <w:rPr>
                <w:rFonts w:ascii="Arial Narrow" w:eastAsia="Times New Roman" w:hAnsi="Arial Narrow" w:cs="Calibri"/>
                <w:b/>
                <w:bCs/>
                <w:color w:val="FFFFFF"/>
                <w:sz w:val="22"/>
                <w:szCs w:val="22"/>
              </w:rPr>
            </w:pPr>
            <w:r w:rsidRPr="00B436AA">
              <w:rPr>
                <w:rFonts w:ascii="Arial Narrow" w:eastAsia="Times New Roman" w:hAnsi="Arial Narrow" w:cs="Calibri"/>
                <w:b/>
                <w:bCs/>
                <w:color w:val="FFFFFF"/>
                <w:sz w:val="22"/>
                <w:szCs w:val="22"/>
              </w:rPr>
              <w:t>Norma</w:t>
            </w:r>
          </w:p>
        </w:tc>
        <w:tc>
          <w:tcPr>
            <w:tcW w:w="1823" w:type="dxa"/>
            <w:tcBorders>
              <w:top w:val="nil"/>
              <w:left w:val="nil"/>
              <w:bottom w:val="single" w:sz="8" w:space="0" w:color="auto"/>
              <w:right w:val="single" w:sz="8" w:space="0" w:color="auto"/>
            </w:tcBorders>
            <w:shd w:val="clear" w:color="000000" w:fill="203764"/>
            <w:vAlign w:val="center"/>
            <w:hideMark/>
          </w:tcPr>
          <w:p w14:paraId="33E9BB22" w14:textId="77777777" w:rsidR="00B436AA" w:rsidRPr="00B436AA" w:rsidRDefault="00B436AA" w:rsidP="00B436AA">
            <w:pPr>
              <w:jc w:val="center"/>
              <w:rPr>
                <w:rFonts w:ascii="Arial Narrow" w:eastAsia="Times New Roman" w:hAnsi="Arial Narrow" w:cs="Calibri"/>
                <w:b/>
                <w:bCs/>
                <w:color w:val="FFFFFF"/>
                <w:sz w:val="22"/>
                <w:szCs w:val="22"/>
                <w:lang w:val="es-CR"/>
              </w:rPr>
            </w:pPr>
            <w:r w:rsidRPr="00B436AA">
              <w:rPr>
                <w:rFonts w:ascii="Arial Narrow" w:eastAsia="Times New Roman" w:hAnsi="Arial Narrow" w:cs="Calibri"/>
                <w:b/>
                <w:bCs/>
                <w:color w:val="FFFFFF"/>
                <w:sz w:val="22"/>
                <w:szCs w:val="22"/>
                <w:lang w:val="es-CR"/>
              </w:rPr>
              <w:t>Normativa técnica y disposiciones adicionales</w:t>
            </w:r>
          </w:p>
        </w:tc>
      </w:tr>
      <w:tr w:rsidR="00B436AA" w:rsidRPr="00B436AA" w14:paraId="2298A0B1"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12365F4"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760B30E8" w14:textId="77777777" w:rsidR="00B436AA" w:rsidRPr="00B436AA" w:rsidRDefault="00B436AA" w:rsidP="001F18A0">
            <w:pPr>
              <w:ind w:firstLineChars="25" w:firstLine="55"/>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62</w:t>
            </w:r>
          </w:p>
        </w:tc>
        <w:tc>
          <w:tcPr>
            <w:tcW w:w="522" w:type="dxa"/>
            <w:tcBorders>
              <w:top w:val="nil"/>
              <w:left w:val="nil"/>
              <w:bottom w:val="single" w:sz="8" w:space="0" w:color="auto"/>
              <w:right w:val="single" w:sz="8" w:space="0" w:color="auto"/>
            </w:tcBorders>
            <w:shd w:val="clear" w:color="auto" w:fill="auto"/>
            <w:vAlign w:val="center"/>
            <w:hideMark/>
          </w:tcPr>
          <w:p w14:paraId="26602A72"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w:t>
            </w:r>
          </w:p>
        </w:tc>
        <w:tc>
          <w:tcPr>
            <w:tcW w:w="3739" w:type="dxa"/>
            <w:gridSpan w:val="2"/>
            <w:tcBorders>
              <w:top w:val="nil"/>
              <w:left w:val="nil"/>
              <w:bottom w:val="single" w:sz="8" w:space="0" w:color="auto"/>
              <w:right w:val="single" w:sz="8" w:space="0" w:color="auto"/>
            </w:tcBorders>
            <w:shd w:val="clear" w:color="auto" w:fill="auto"/>
            <w:vAlign w:val="center"/>
            <w:hideMark/>
          </w:tcPr>
          <w:p w14:paraId="52491C1F" w14:textId="77777777" w:rsidR="00B436AA" w:rsidRPr="00B436AA" w:rsidRDefault="00B436AA" w:rsidP="00B436AA">
            <w:pPr>
              <w:rPr>
                <w:rFonts w:ascii="Arial Narrow" w:eastAsia="Times New Roman" w:hAnsi="Arial Narrow" w:cs="Calibri"/>
                <w:b/>
                <w:bCs/>
                <w:color w:val="000000"/>
                <w:sz w:val="22"/>
                <w:szCs w:val="22"/>
                <w:lang w:val="es-CR"/>
              </w:rPr>
            </w:pPr>
            <w:r w:rsidRPr="00B436AA">
              <w:rPr>
                <w:rFonts w:ascii="Arial Narrow" w:eastAsia="Times New Roman" w:hAnsi="Arial Narrow" w:cs="Calibri"/>
                <w:b/>
                <w:bCs/>
                <w:color w:val="000000"/>
                <w:sz w:val="22"/>
                <w:szCs w:val="22"/>
                <w:lang w:val="es-CR"/>
              </w:rPr>
              <w:t>Aplicación de cambios en las políticas contables</w:t>
            </w:r>
          </w:p>
        </w:tc>
        <w:tc>
          <w:tcPr>
            <w:tcW w:w="2118" w:type="dxa"/>
            <w:gridSpan w:val="2"/>
            <w:tcBorders>
              <w:top w:val="nil"/>
              <w:left w:val="nil"/>
              <w:bottom w:val="single" w:sz="8" w:space="0" w:color="auto"/>
              <w:right w:val="single" w:sz="8" w:space="0" w:color="auto"/>
            </w:tcBorders>
            <w:shd w:val="clear" w:color="auto" w:fill="auto"/>
            <w:vAlign w:val="center"/>
            <w:hideMark/>
          </w:tcPr>
          <w:p w14:paraId="59C8C0C1" w14:textId="77777777" w:rsidR="00B436AA" w:rsidRPr="00B436AA" w:rsidRDefault="00B436AA" w:rsidP="00B436AA">
            <w:pP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xml:space="preserve">NICSP N° 3, </w:t>
            </w:r>
            <w:r w:rsidRPr="00B436AA">
              <w:rPr>
                <w:rFonts w:ascii="Arial Narrow" w:eastAsia="Times New Roman" w:hAnsi="Arial Narrow" w:cs="Calibri"/>
                <w:b/>
                <w:bCs/>
                <w:color w:val="000000"/>
                <w:sz w:val="22"/>
                <w:szCs w:val="22"/>
              </w:rPr>
              <w:br/>
              <w:t>Párrafo 24.</w:t>
            </w:r>
          </w:p>
        </w:tc>
        <w:tc>
          <w:tcPr>
            <w:tcW w:w="1823" w:type="dxa"/>
            <w:tcBorders>
              <w:top w:val="nil"/>
              <w:left w:val="nil"/>
              <w:bottom w:val="single" w:sz="8" w:space="0" w:color="auto"/>
              <w:right w:val="single" w:sz="8" w:space="0" w:color="auto"/>
            </w:tcBorders>
            <w:shd w:val="clear" w:color="auto" w:fill="auto"/>
            <w:vAlign w:val="center"/>
            <w:hideMark/>
          </w:tcPr>
          <w:p w14:paraId="059790BF"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w:t>
            </w:r>
          </w:p>
        </w:tc>
      </w:tr>
      <w:tr w:rsidR="00B436AA" w:rsidRPr="00B436AA" w14:paraId="79FDF98B"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4596DB5"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05D29691" w14:textId="77777777" w:rsidR="00B436AA" w:rsidRPr="00B436AA" w:rsidRDefault="00B436AA" w:rsidP="001F18A0">
            <w:pPr>
              <w:ind w:firstLineChars="25" w:firstLine="55"/>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62</w:t>
            </w:r>
          </w:p>
        </w:tc>
        <w:tc>
          <w:tcPr>
            <w:tcW w:w="522" w:type="dxa"/>
            <w:tcBorders>
              <w:top w:val="nil"/>
              <w:left w:val="nil"/>
              <w:bottom w:val="single" w:sz="8" w:space="0" w:color="auto"/>
              <w:right w:val="nil"/>
            </w:tcBorders>
            <w:shd w:val="clear" w:color="auto" w:fill="auto"/>
            <w:vAlign w:val="center"/>
            <w:hideMark/>
          </w:tcPr>
          <w:p w14:paraId="7AE6FC08"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1</w:t>
            </w:r>
          </w:p>
        </w:tc>
        <w:tc>
          <w:tcPr>
            <w:tcW w:w="3739" w:type="dxa"/>
            <w:gridSpan w:val="2"/>
            <w:tcBorders>
              <w:top w:val="nil"/>
              <w:left w:val="single" w:sz="8" w:space="0" w:color="auto"/>
              <w:bottom w:val="single" w:sz="8" w:space="0" w:color="auto"/>
              <w:right w:val="single" w:sz="8" w:space="0" w:color="auto"/>
            </w:tcBorders>
            <w:shd w:val="clear" w:color="auto" w:fill="auto"/>
            <w:vAlign w:val="center"/>
            <w:hideMark/>
          </w:tcPr>
          <w:p w14:paraId="0A5FCA6D" w14:textId="77777777" w:rsidR="00B436AA" w:rsidRPr="00B436AA" w:rsidRDefault="00B436AA" w:rsidP="00B436AA">
            <w:pP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Aplicación retroactiva</w:t>
            </w:r>
          </w:p>
        </w:tc>
        <w:tc>
          <w:tcPr>
            <w:tcW w:w="2118" w:type="dxa"/>
            <w:gridSpan w:val="2"/>
            <w:tcBorders>
              <w:top w:val="nil"/>
              <w:left w:val="nil"/>
              <w:bottom w:val="single" w:sz="8" w:space="0" w:color="auto"/>
              <w:right w:val="single" w:sz="8" w:space="0" w:color="auto"/>
            </w:tcBorders>
            <w:shd w:val="clear" w:color="auto" w:fill="auto"/>
            <w:vAlign w:val="center"/>
            <w:hideMark/>
          </w:tcPr>
          <w:p w14:paraId="17E57378" w14:textId="77777777" w:rsidR="00B436AA" w:rsidRPr="00B436AA" w:rsidRDefault="00B436AA" w:rsidP="00B436AA">
            <w:pP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xml:space="preserve">NICSP N° 3, </w:t>
            </w:r>
            <w:r w:rsidRPr="00B436AA">
              <w:rPr>
                <w:rFonts w:ascii="Arial Narrow" w:eastAsia="Times New Roman" w:hAnsi="Arial Narrow" w:cs="Calibri"/>
                <w:b/>
                <w:bCs/>
                <w:color w:val="000000"/>
                <w:sz w:val="22"/>
                <w:szCs w:val="22"/>
              </w:rPr>
              <w:br/>
              <w:t>Párrafos 27 y 31.</w:t>
            </w:r>
          </w:p>
        </w:tc>
        <w:tc>
          <w:tcPr>
            <w:tcW w:w="1823" w:type="dxa"/>
            <w:tcBorders>
              <w:top w:val="nil"/>
              <w:left w:val="nil"/>
              <w:bottom w:val="single" w:sz="8" w:space="0" w:color="auto"/>
              <w:right w:val="single" w:sz="8" w:space="0" w:color="auto"/>
            </w:tcBorders>
            <w:shd w:val="clear" w:color="auto" w:fill="auto"/>
            <w:vAlign w:val="center"/>
            <w:hideMark/>
          </w:tcPr>
          <w:p w14:paraId="588B7B17"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w:t>
            </w:r>
          </w:p>
        </w:tc>
      </w:tr>
      <w:tr w:rsidR="00B436AA" w:rsidRPr="00B436AA" w14:paraId="63F15A32"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F5B41AF"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0AF3978A"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62</w:t>
            </w:r>
          </w:p>
        </w:tc>
        <w:tc>
          <w:tcPr>
            <w:tcW w:w="522" w:type="dxa"/>
            <w:tcBorders>
              <w:top w:val="nil"/>
              <w:left w:val="nil"/>
              <w:bottom w:val="single" w:sz="8" w:space="0" w:color="auto"/>
              <w:right w:val="single" w:sz="8" w:space="0" w:color="auto"/>
            </w:tcBorders>
            <w:shd w:val="clear" w:color="auto" w:fill="auto"/>
            <w:vAlign w:val="center"/>
            <w:hideMark/>
          </w:tcPr>
          <w:p w14:paraId="3E094F1E"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2</w:t>
            </w:r>
          </w:p>
        </w:tc>
        <w:tc>
          <w:tcPr>
            <w:tcW w:w="3739" w:type="dxa"/>
            <w:gridSpan w:val="2"/>
            <w:tcBorders>
              <w:top w:val="nil"/>
              <w:left w:val="nil"/>
              <w:bottom w:val="single" w:sz="8" w:space="0" w:color="auto"/>
              <w:right w:val="single" w:sz="8" w:space="0" w:color="auto"/>
            </w:tcBorders>
            <w:shd w:val="clear" w:color="auto" w:fill="auto"/>
            <w:vAlign w:val="center"/>
            <w:hideMark/>
          </w:tcPr>
          <w:p w14:paraId="062CFE67" w14:textId="77777777" w:rsidR="00B436AA" w:rsidRPr="00B436AA" w:rsidRDefault="00B436AA" w:rsidP="00B436AA">
            <w:pPr>
              <w:jc w:val="both"/>
              <w:rPr>
                <w:rFonts w:ascii="Arial Narrow" w:eastAsia="Times New Roman" w:hAnsi="Arial Narrow" w:cs="Calibri"/>
                <w:b/>
                <w:bCs/>
                <w:color w:val="000000"/>
                <w:sz w:val="22"/>
                <w:szCs w:val="22"/>
                <w:lang w:val="es-CR"/>
              </w:rPr>
            </w:pPr>
            <w:r w:rsidRPr="00B436AA">
              <w:rPr>
                <w:rFonts w:ascii="Arial Narrow" w:eastAsia="Times New Roman" w:hAnsi="Arial Narrow" w:cs="Calibri"/>
                <w:b/>
                <w:bCs/>
                <w:color w:val="000000"/>
                <w:sz w:val="22"/>
                <w:szCs w:val="22"/>
                <w:lang w:val="es-CR"/>
              </w:rPr>
              <w:t>Limitaciones a la aplicación retroactiva</w:t>
            </w:r>
          </w:p>
        </w:tc>
        <w:tc>
          <w:tcPr>
            <w:tcW w:w="2118" w:type="dxa"/>
            <w:gridSpan w:val="2"/>
            <w:tcBorders>
              <w:top w:val="nil"/>
              <w:left w:val="nil"/>
              <w:bottom w:val="single" w:sz="8" w:space="0" w:color="auto"/>
              <w:right w:val="single" w:sz="8" w:space="0" w:color="auto"/>
            </w:tcBorders>
            <w:shd w:val="clear" w:color="auto" w:fill="auto"/>
            <w:vAlign w:val="center"/>
            <w:hideMark/>
          </w:tcPr>
          <w:p w14:paraId="07287A5B" w14:textId="77777777" w:rsidR="00B436AA" w:rsidRPr="00B436AA" w:rsidRDefault="00B436AA" w:rsidP="00B436AA">
            <w:pP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NICSP N° 3,</w:t>
            </w:r>
            <w:r w:rsidRPr="00B436AA">
              <w:rPr>
                <w:rFonts w:ascii="Arial Narrow" w:eastAsia="Times New Roman" w:hAnsi="Arial Narrow" w:cs="Calibri"/>
                <w:b/>
                <w:bCs/>
                <w:color w:val="000000"/>
                <w:sz w:val="22"/>
                <w:szCs w:val="22"/>
              </w:rPr>
              <w:br/>
              <w:t>Párrafo 28.</w:t>
            </w:r>
          </w:p>
        </w:tc>
        <w:tc>
          <w:tcPr>
            <w:tcW w:w="1823" w:type="dxa"/>
            <w:tcBorders>
              <w:top w:val="nil"/>
              <w:left w:val="nil"/>
              <w:bottom w:val="single" w:sz="8" w:space="0" w:color="auto"/>
              <w:right w:val="single" w:sz="8" w:space="0" w:color="auto"/>
            </w:tcBorders>
            <w:shd w:val="clear" w:color="auto" w:fill="auto"/>
            <w:vAlign w:val="center"/>
            <w:hideMark/>
          </w:tcPr>
          <w:p w14:paraId="36EAACBB"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xml:space="preserve"> </w:t>
            </w:r>
          </w:p>
        </w:tc>
      </w:tr>
      <w:tr w:rsidR="00B436AA" w:rsidRPr="00B436AA" w14:paraId="7A7EDB5F"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D1E2F51"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4A0A19A1"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62</w:t>
            </w:r>
          </w:p>
        </w:tc>
        <w:tc>
          <w:tcPr>
            <w:tcW w:w="522" w:type="dxa"/>
            <w:tcBorders>
              <w:top w:val="nil"/>
              <w:left w:val="nil"/>
              <w:bottom w:val="single" w:sz="8" w:space="0" w:color="auto"/>
              <w:right w:val="single" w:sz="8" w:space="0" w:color="auto"/>
            </w:tcBorders>
            <w:shd w:val="clear" w:color="auto" w:fill="auto"/>
            <w:vAlign w:val="center"/>
            <w:hideMark/>
          </w:tcPr>
          <w:p w14:paraId="00862237"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3</w:t>
            </w:r>
          </w:p>
        </w:tc>
        <w:tc>
          <w:tcPr>
            <w:tcW w:w="3739" w:type="dxa"/>
            <w:gridSpan w:val="2"/>
            <w:tcBorders>
              <w:top w:val="nil"/>
              <w:left w:val="nil"/>
              <w:bottom w:val="single" w:sz="8" w:space="0" w:color="auto"/>
              <w:right w:val="single" w:sz="8" w:space="0" w:color="auto"/>
            </w:tcBorders>
            <w:shd w:val="clear" w:color="auto" w:fill="auto"/>
            <w:vAlign w:val="center"/>
            <w:hideMark/>
          </w:tcPr>
          <w:p w14:paraId="34DB3A99" w14:textId="77777777" w:rsidR="00B436AA" w:rsidRPr="00B436AA" w:rsidRDefault="00B436AA" w:rsidP="00B436AA">
            <w:pPr>
              <w:jc w:val="both"/>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Concepto de aplicación impracticable</w:t>
            </w:r>
          </w:p>
        </w:tc>
        <w:tc>
          <w:tcPr>
            <w:tcW w:w="2118" w:type="dxa"/>
            <w:gridSpan w:val="2"/>
            <w:tcBorders>
              <w:top w:val="nil"/>
              <w:left w:val="nil"/>
              <w:bottom w:val="single" w:sz="8" w:space="0" w:color="auto"/>
              <w:right w:val="single" w:sz="8" w:space="0" w:color="auto"/>
            </w:tcBorders>
            <w:shd w:val="clear" w:color="auto" w:fill="auto"/>
            <w:vAlign w:val="center"/>
            <w:hideMark/>
          </w:tcPr>
          <w:p w14:paraId="5963D646" w14:textId="77777777" w:rsidR="00B436AA" w:rsidRPr="00B436AA" w:rsidRDefault="00B436AA" w:rsidP="00B436AA">
            <w:pP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NICSP N° 3,</w:t>
            </w:r>
            <w:r w:rsidRPr="00B436AA">
              <w:rPr>
                <w:rFonts w:ascii="Arial Narrow" w:eastAsia="Times New Roman" w:hAnsi="Arial Narrow" w:cs="Calibri"/>
                <w:b/>
                <w:bCs/>
                <w:color w:val="000000"/>
                <w:sz w:val="22"/>
                <w:szCs w:val="22"/>
              </w:rPr>
              <w:br/>
              <w:t>Párrafo 7.</w:t>
            </w:r>
          </w:p>
        </w:tc>
        <w:tc>
          <w:tcPr>
            <w:tcW w:w="1823" w:type="dxa"/>
            <w:tcBorders>
              <w:top w:val="nil"/>
              <w:left w:val="nil"/>
              <w:bottom w:val="single" w:sz="8" w:space="0" w:color="auto"/>
              <w:right w:val="single" w:sz="8" w:space="0" w:color="auto"/>
            </w:tcBorders>
            <w:shd w:val="clear" w:color="auto" w:fill="auto"/>
            <w:vAlign w:val="center"/>
            <w:hideMark/>
          </w:tcPr>
          <w:p w14:paraId="662026D6"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w:t>
            </w:r>
          </w:p>
        </w:tc>
      </w:tr>
      <w:tr w:rsidR="00B436AA" w:rsidRPr="00B436AA" w14:paraId="34BF2039"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FB2C079"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378ED0A1"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62</w:t>
            </w:r>
          </w:p>
        </w:tc>
        <w:tc>
          <w:tcPr>
            <w:tcW w:w="522" w:type="dxa"/>
            <w:tcBorders>
              <w:top w:val="nil"/>
              <w:left w:val="nil"/>
              <w:bottom w:val="single" w:sz="8" w:space="0" w:color="auto"/>
              <w:right w:val="single" w:sz="8" w:space="0" w:color="auto"/>
            </w:tcBorders>
            <w:shd w:val="clear" w:color="auto" w:fill="auto"/>
            <w:vAlign w:val="center"/>
            <w:hideMark/>
          </w:tcPr>
          <w:p w14:paraId="7CE66EE6"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4</w:t>
            </w:r>
          </w:p>
        </w:tc>
        <w:tc>
          <w:tcPr>
            <w:tcW w:w="3739" w:type="dxa"/>
            <w:gridSpan w:val="2"/>
            <w:tcBorders>
              <w:top w:val="nil"/>
              <w:left w:val="nil"/>
              <w:bottom w:val="single" w:sz="8" w:space="0" w:color="auto"/>
              <w:right w:val="single" w:sz="8" w:space="0" w:color="auto"/>
            </w:tcBorders>
            <w:shd w:val="clear" w:color="auto" w:fill="auto"/>
            <w:vAlign w:val="center"/>
            <w:hideMark/>
          </w:tcPr>
          <w:p w14:paraId="2F397986" w14:textId="77777777" w:rsidR="00B436AA" w:rsidRPr="00B436AA" w:rsidRDefault="00B436AA" w:rsidP="00B436AA">
            <w:pPr>
              <w:jc w:val="both"/>
              <w:rPr>
                <w:rFonts w:ascii="Arial Narrow" w:eastAsia="Times New Roman" w:hAnsi="Arial Narrow" w:cs="Calibri"/>
                <w:b/>
                <w:bCs/>
                <w:color w:val="000000"/>
                <w:sz w:val="22"/>
                <w:szCs w:val="22"/>
                <w:lang w:val="es-CR"/>
              </w:rPr>
            </w:pPr>
            <w:r w:rsidRPr="00B436AA">
              <w:rPr>
                <w:rFonts w:ascii="Arial Narrow" w:eastAsia="Times New Roman" w:hAnsi="Arial Narrow" w:cs="Calibri"/>
                <w:b/>
                <w:bCs/>
                <w:color w:val="000000"/>
                <w:sz w:val="22"/>
                <w:szCs w:val="22"/>
                <w:lang w:val="es-CR"/>
              </w:rPr>
              <w:t>Ajuste a los saldos iniciales</w:t>
            </w:r>
          </w:p>
        </w:tc>
        <w:tc>
          <w:tcPr>
            <w:tcW w:w="2118" w:type="dxa"/>
            <w:gridSpan w:val="2"/>
            <w:tcBorders>
              <w:top w:val="nil"/>
              <w:left w:val="nil"/>
              <w:bottom w:val="single" w:sz="8" w:space="0" w:color="auto"/>
              <w:right w:val="single" w:sz="8" w:space="0" w:color="auto"/>
            </w:tcBorders>
            <w:shd w:val="clear" w:color="auto" w:fill="auto"/>
            <w:vAlign w:val="center"/>
            <w:hideMark/>
          </w:tcPr>
          <w:p w14:paraId="4AF7C8D8" w14:textId="77777777" w:rsidR="00B436AA" w:rsidRPr="00B436AA" w:rsidRDefault="00B436AA" w:rsidP="00B436AA">
            <w:pP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NICSP N° 3,</w:t>
            </w:r>
            <w:r w:rsidRPr="00B436AA">
              <w:rPr>
                <w:rFonts w:ascii="Arial Narrow" w:eastAsia="Times New Roman" w:hAnsi="Arial Narrow" w:cs="Calibri"/>
                <w:b/>
                <w:bCs/>
                <w:color w:val="000000"/>
                <w:sz w:val="22"/>
                <w:szCs w:val="22"/>
              </w:rPr>
              <w:br/>
              <w:t>Párrafo 29.</w:t>
            </w:r>
          </w:p>
        </w:tc>
        <w:tc>
          <w:tcPr>
            <w:tcW w:w="1823" w:type="dxa"/>
            <w:tcBorders>
              <w:top w:val="nil"/>
              <w:left w:val="nil"/>
              <w:bottom w:val="single" w:sz="8" w:space="0" w:color="auto"/>
              <w:right w:val="single" w:sz="8" w:space="0" w:color="auto"/>
            </w:tcBorders>
            <w:shd w:val="clear" w:color="auto" w:fill="auto"/>
            <w:vAlign w:val="center"/>
            <w:hideMark/>
          </w:tcPr>
          <w:p w14:paraId="1EE0E508"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xml:space="preserve"> </w:t>
            </w:r>
          </w:p>
        </w:tc>
      </w:tr>
      <w:tr w:rsidR="00B436AA" w:rsidRPr="00B436AA" w14:paraId="220E0B60"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3440D04"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04B411EC"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62</w:t>
            </w:r>
          </w:p>
        </w:tc>
        <w:tc>
          <w:tcPr>
            <w:tcW w:w="522" w:type="dxa"/>
            <w:tcBorders>
              <w:top w:val="nil"/>
              <w:left w:val="nil"/>
              <w:bottom w:val="single" w:sz="8" w:space="0" w:color="auto"/>
              <w:right w:val="single" w:sz="8" w:space="0" w:color="auto"/>
            </w:tcBorders>
            <w:shd w:val="clear" w:color="auto" w:fill="auto"/>
            <w:vAlign w:val="center"/>
            <w:hideMark/>
          </w:tcPr>
          <w:p w14:paraId="0B203872"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5</w:t>
            </w:r>
          </w:p>
        </w:tc>
        <w:tc>
          <w:tcPr>
            <w:tcW w:w="3739" w:type="dxa"/>
            <w:gridSpan w:val="2"/>
            <w:tcBorders>
              <w:top w:val="nil"/>
              <w:left w:val="nil"/>
              <w:bottom w:val="single" w:sz="8" w:space="0" w:color="auto"/>
              <w:right w:val="single" w:sz="8" w:space="0" w:color="auto"/>
            </w:tcBorders>
            <w:shd w:val="clear" w:color="auto" w:fill="auto"/>
            <w:vAlign w:val="center"/>
            <w:hideMark/>
          </w:tcPr>
          <w:p w14:paraId="6E22193F" w14:textId="77777777" w:rsidR="00B436AA" w:rsidRPr="00B436AA" w:rsidRDefault="00B436AA" w:rsidP="00B436AA">
            <w:pPr>
              <w:jc w:val="both"/>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Aplicación prospectiva</w:t>
            </w:r>
          </w:p>
        </w:tc>
        <w:tc>
          <w:tcPr>
            <w:tcW w:w="2118" w:type="dxa"/>
            <w:gridSpan w:val="2"/>
            <w:tcBorders>
              <w:top w:val="nil"/>
              <w:left w:val="nil"/>
              <w:bottom w:val="single" w:sz="8" w:space="0" w:color="auto"/>
              <w:right w:val="single" w:sz="8" w:space="0" w:color="auto"/>
            </w:tcBorders>
            <w:shd w:val="clear" w:color="auto" w:fill="auto"/>
            <w:vAlign w:val="center"/>
            <w:hideMark/>
          </w:tcPr>
          <w:p w14:paraId="2D2F69B1" w14:textId="77777777" w:rsidR="00B436AA" w:rsidRPr="00B436AA" w:rsidRDefault="00B436AA" w:rsidP="00B436AA">
            <w:pP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NICSP N° 3,</w:t>
            </w:r>
            <w:r w:rsidRPr="00B436AA">
              <w:rPr>
                <w:rFonts w:ascii="Arial Narrow" w:eastAsia="Times New Roman" w:hAnsi="Arial Narrow" w:cs="Calibri"/>
                <w:b/>
                <w:bCs/>
                <w:color w:val="000000"/>
                <w:sz w:val="22"/>
                <w:szCs w:val="22"/>
              </w:rPr>
              <w:br/>
              <w:t>Párrafo 7.</w:t>
            </w:r>
          </w:p>
        </w:tc>
        <w:tc>
          <w:tcPr>
            <w:tcW w:w="1823" w:type="dxa"/>
            <w:tcBorders>
              <w:top w:val="nil"/>
              <w:left w:val="nil"/>
              <w:bottom w:val="single" w:sz="8" w:space="0" w:color="auto"/>
              <w:right w:val="single" w:sz="8" w:space="0" w:color="auto"/>
            </w:tcBorders>
            <w:shd w:val="clear" w:color="auto" w:fill="auto"/>
            <w:vAlign w:val="center"/>
            <w:hideMark/>
          </w:tcPr>
          <w:p w14:paraId="0EF6830C" w14:textId="77777777" w:rsidR="00B436AA" w:rsidRPr="00B436AA" w:rsidRDefault="00B436AA" w:rsidP="00B436AA">
            <w:pPr>
              <w:ind w:firstLineChars="100" w:firstLine="220"/>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xml:space="preserve"> </w:t>
            </w:r>
          </w:p>
        </w:tc>
      </w:tr>
      <w:tr w:rsidR="00B436AA" w:rsidRPr="00B436AA" w14:paraId="52C89D98"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FD71534" w14:textId="77777777" w:rsidR="00B436AA" w:rsidRPr="00B436AA" w:rsidRDefault="00B436AA" w:rsidP="00B436AA">
            <w:pPr>
              <w:jc w:val="center"/>
              <w:rPr>
                <w:rFonts w:ascii="Arial Narrow" w:eastAsia="Times New Roman" w:hAnsi="Arial Narrow" w:cs="Calibri"/>
                <w:b/>
                <w:bCs/>
                <w:color w:val="000000"/>
                <w:sz w:val="24"/>
                <w:szCs w:val="24"/>
              </w:rPr>
            </w:pPr>
            <w:r w:rsidRPr="00B436AA">
              <w:rPr>
                <w:rFonts w:ascii="Arial Narrow" w:eastAsia="Times New Roman" w:hAnsi="Arial Narrow" w:cs="Calibri"/>
                <w:b/>
                <w:bCs/>
                <w:color w:val="000000"/>
                <w:sz w:val="24"/>
                <w:szCs w:val="24"/>
              </w:rPr>
              <w:t>6</w:t>
            </w:r>
          </w:p>
        </w:tc>
        <w:tc>
          <w:tcPr>
            <w:tcW w:w="708" w:type="dxa"/>
            <w:tcBorders>
              <w:top w:val="nil"/>
              <w:left w:val="nil"/>
              <w:bottom w:val="single" w:sz="8" w:space="0" w:color="auto"/>
              <w:right w:val="single" w:sz="8" w:space="0" w:color="auto"/>
            </w:tcBorders>
            <w:shd w:val="clear" w:color="auto" w:fill="auto"/>
            <w:vAlign w:val="center"/>
            <w:hideMark/>
          </w:tcPr>
          <w:p w14:paraId="49552FA0" w14:textId="77777777" w:rsidR="00B436AA" w:rsidRPr="00B436AA" w:rsidRDefault="00B436AA" w:rsidP="00B436AA">
            <w:pPr>
              <w:jc w:val="cente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62</w:t>
            </w:r>
          </w:p>
        </w:tc>
        <w:tc>
          <w:tcPr>
            <w:tcW w:w="522" w:type="dxa"/>
            <w:tcBorders>
              <w:top w:val="nil"/>
              <w:left w:val="nil"/>
              <w:bottom w:val="single" w:sz="8" w:space="0" w:color="auto"/>
              <w:right w:val="single" w:sz="8" w:space="0" w:color="auto"/>
            </w:tcBorders>
            <w:shd w:val="clear" w:color="auto" w:fill="auto"/>
            <w:vAlign w:val="center"/>
            <w:hideMark/>
          </w:tcPr>
          <w:p w14:paraId="6410EEC1" w14:textId="77777777" w:rsidR="00B436AA" w:rsidRPr="00B436AA" w:rsidRDefault="00B436AA" w:rsidP="00B436AA">
            <w:pPr>
              <w:jc w:val="center"/>
              <w:rPr>
                <w:rFonts w:ascii="Arial Narrow" w:eastAsia="Times New Roman" w:hAnsi="Arial Narrow" w:cs="Calibri"/>
                <w:b/>
                <w:bCs/>
                <w:color w:val="000000"/>
                <w:sz w:val="24"/>
                <w:szCs w:val="24"/>
              </w:rPr>
            </w:pPr>
            <w:r w:rsidRPr="00B436AA">
              <w:rPr>
                <w:rFonts w:ascii="Arial Narrow" w:eastAsia="Times New Roman" w:hAnsi="Arial Narrow" w:cs="Calibri"/>
                <w:b/>
                <w:bCs/>
                <w:color w:val="000000"/>
                <w:sz w:val="24"/>
                <w:szCs w:val="24"/>
              </w:rPr>
              <w:t>6</w:t>
            </w:r>
          </w:p>
        </w:tc>
        <w:tc>
          <w:tcPr>
            <w:tcW w:w="3739" w:type="dxa"/>
            <w:gridSpan w:val="2"/>
            <w:tcBorders>
              <w:top w:val="nil"/>
              <w:left w:val="nil"/>
              <w:bottom w:val="single" w:sz="8" w:space="0" w:color="auto"/>
              <w:right w:val="single" w:sz="8" w:space="0" w:color="auto"/>
            </w:tcBorders>
            <w:shd w:val="clear" w:color="auto" w:fill="auto"/>
            <w:vAlign w:val="center"/>
            <w:hideMark/>
          </w:tcPr>
          <w:p w14:paraId="78A455F3" w14:textId="77777777" w:rsidR="00B436AA" w:rsidRPr="00B436AA" w:rsidRDefault="00B436AA" w:rsidP="00B436AA">
            <w:pPr>
              <w:jc w:val="both"/>
              <w:rPr>
                <w:rFonts w:ascii="Arial Narrow" w:eastAsia="Times New Roman" w:hAnsi="Arial Narrow" w:cs="Calibri"/>
                <w:b/>
                <w:bCs/>
                <w:color w:val="000000"/>
                <w:sz w:val="24"/>
                <w:szCs w:val="24"/>
              </w:rPr>
            </w:pPr>
            <w:r w:rsidRPr="00B436AA">
              <w:rPr>
                <w:rFonts w:ascii="Arial Narrow" w:eastAsia="Times New Roman" w:hAnsi="Arial Narrow" w:cs="Calibri"/>
                <w:b/>
                <w:bCs/>
                <w:color w:val="000000"/>
                <w:sz w:val="24"/>
                <w:szCs w:val="24"/>
              </w:rPr>
              <w:t>No realización de ajustes</w:t>
            </w:r>
          </w:p>
        </w:tc>
        <w:tc>
          <w:tcPr>
            <w:tcW w:w="2118" w:type="dxa"/>
            <w:gridSpan w:val="2"/>
            <w:tcBorders>
              <w:top w:val="nil"/>
              <w:left w:val="nil"/>
              <w:bottom w:val="single" w:sz="8" w:space="0" w:color="auto"/>
              <w:right w:val="single" w:sz="8" w:space="0" w:color="auto"/>
            </w:tcBorders>
            <w:shd w:val="clear" w:color="auto" w:fill="auto"/>
            <w:vAlign w:val="center"/>
            <w:hideMark/>
          </w:tcPr>
          <w:p w14:paraId="5382446F" w14:textId="77777777" w:rsidR="00B436AA" w:rsidRPr="00B436AA" w:rsidRDefault="00B436AA" w:rsidP="00B436AA">
            <w:pPr>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xml:space="preserve">NICSP N° 3, </w:t>
            </w:r>
            <w:r w:rsidRPr="00B436AA">
              <w:rPr>
                <w:rFonts w:ascii="Arial Narrow" w:eastAsia="Times New Roman" w:hAnsi="Arial Narrow" w:cs="Calibri"/>
                <w:b/>
                <w:bCs/>
                <w:color w:val="000000"/>
                <w:sz w:val="22"/>
                <w:szCs w:val="22"/>
              </w:rPr>
              <w:br/>
              <w:t>Párrafos 30 y 32.</w:t>
            </w:r>
          </w:p>
        </w:tc>
        <w:tc>
          <w:tcPr>
            <w:tcW w:w="1823" w:type="dxa"/>
            <w:tcBorders>
              <w:top w:val="nil"/>
              <w:left w:val="nil"/>
              <w:bottom w:val="single" w:sz="8" w:space="0" w:color="auto"/>
              <w:right w:val="single" w:sz="8" w:space="0" w:color="auto"/>
            </w:tcBorders>
            <w:shd w:val="clear" w:color="auto" w:fill="auto"/>
            <w:vAlign w:val="center"/>
            <w:hideMark/>
          </w:tcPr>
          <w:p w14:paraId="47884B96" w14:textId="77777777" w:rsidR="00B436AA" w:rsidRPr="00B436AA" w:rsidRDefault="00B436AA" w:rsidP="00B436AA">
            <w:pPr>
              <w:ind w:firstLineChars="100" w:firstLine="220"/>
              <w:rPr>
                <w:rFonts w:ascii="Arial Narrow" w:eastAsia="Times New Roman" w:hAnsi="Arial Narrow" w:cs="Calibri"/>
                <w:b/>
                <w:bCs/>
                <w:color w:val="000000"/>
                <w:sz w:val="22"/>
                <w:szCs w:val="22"/>
              </w:rPr>
            </w:pPr>
            <w:r w:rsidRPr="00B436AA">
              <w:rPr>
                <w:rFonts w:ascii="Arial Narrow" w:eastAsia="Times New Roman" w:hAnsi="Arial Narrow" w:cs="Calibri"/>
                <w:b/>
                <w:bCs/>
                <w:color w:val="000000"/>
                <w:sz w:val="22"/>
                <w:szCs w:val="22"/>
              </w:rPr>
              <w:t xml:space="preserve"> </w:t>
            </w:r>
          </w:p>
        </w:tc>
      </w:tr>
    </w:tbl>
    <w:p w14:paraId="3A500482" w14:textId="77777777" w:rsidR="00D263E2" w:rsidRDefault="00D263E2" w:rsidP="00D033EC">
      <w:pPr>
        <w:pStyle w:val="Default"/>
        <w:jc w:val="both"/>
        <w:rPr>
          <w:sz w:val="23"/>
          <w:szCs w:val="23"/>
          <w:lang w:val="es-CR"/>
        </w:rPr>
      </w:pPr>
    </w:p>
    <w:p w14:paraId="2E17CA44" w14:textId="77777777" w:rsidR="001F18A0" w:rsidRDefault="001F18A0" w:rsidP="001F18A0">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7F8C7DA" w14:textId="77777777" w:rsidR="001F18A0" w:rsidRDefault="001F18A0" w:rsidP="00D033EC">
      <w:pPr>
        <w:pStyle w:val="Default"/>
        <w:jc w:val="both"/>
        <w:rPr>
          <w:sz w:val="23"/>
          <w:szCs w:val="23"/>
          <w:lang w:val="es-CR"/>
        </w:rPr>
      </w:pPr>
    </w:p>
    <w:p w14:paraId="3C2756ED" w14:textId="76645F2D" w:rsidR="00B436AA" w:rsidRDefault="001D6FBE" w:rsidP="001D6FBE">
      <w:pPr>
        <w:pStyle w:val="Default"/>
        <w:ind w:left="1134" w:hanging="1134"/>
        <w:jc w:val="both"/>
        <w:rPr>
          <w:sz w:val="22"/>
          <w:szCs w:val="22"/>
          <w:lang w:val="es-CR"/>
        </w:rPr>
      </w:pPr>
      <w:r>
        <w:rPr>
          <w:sz w:val="22"/>
          <w:szCs w:val="22"/>
          <w:lang w:val="es-CR"/>
        </w:rPr>
        <w:t>6.62.0.01</w:t>
      </w:r>
      <w:r>
        <w:rPr>
          <w:sz w:val="22"/>
          <w:szCs w:val="22"/>
          <w:lang w:val="es-CR"/>
        </w:rPr>
        <w:tab/>
      </w:r>
      <w:r w:rsidR="00B436AA" w:rsidRPr="00684EF3">
        <w:rPr>
          <w:sz w:val="22"/>
          <w:szCs w:val="22"/>
          <w:lang w:val="es-CR"/>
        </w:rPr>
        <w:t>Las entidades contabilizarán un cambio en las políticas contables derivado de:</w:t>
      </w:r>
    </w:p>
    <w:p w14:paraId="4E935A0E" w14:textId="77777777" w:rsidR="001D6FBE" w:rsidRPr="00684EF3" w:rsidRDefault="001D6FBE" w:rsidP="001D6FBE">
      <w:pPr>
        <w:pStyle w:val="Default"/>
        <w:ind w:left="1134" w:hanging="1134"/>
        <w:jc w:val="both"/>
        <w:rPr>
          <w:sz w:val="22"/>
          <w:szCs w:val="22"/>
          <w:lang w:val="es-CR"/>
        </w:rPr>
      </w:pPr>
    </w:p>
    <w:p w14:paraId="4C3E9498" w14:textId="737BB2BA" w:rsidR="00B436AA" w:rsidRPr="00684EF3" w:rsidRDefault="001D6FBE">
      <w:pPr>
        <w:pStyle w:val="Default"/>
        <w:numPr>
          <w:ilvl w:val="0"/>
          <w:numId w:val="383"/>
        </w:numPr>
        <w:spacing w:after="120"/>
        <w:ind w:left="1418" w:hanging="284"/>
        <w:jc w:val="both"/>
        <w:rPr>
          <w:sz w:val="22"/>
          <w:szCs w:val="22"/>
          <w:lang w:val="es-CR"/>
        </w:rPr>
      </w:pPr>
      <w:r>
        <w:rPr>
          <w:sz w:val="22"/>
          <w:szCs w:val="22"/>
          <w:lang w:val="es-CR"/>
        </w:rPr>
        <w:t>L</w:t>
      </w:r>
      <w:r w:rsidR="00B436AA" w:rsidRPr="00684EF3">
        <w:rPr>
          <w:sz w:val="22"/>
          <w:szCs w:val="22"/>
          <w:lang w:val="es-CR"/>
        </w:rPr>
        <w:t xml:space="preserve">a aplicación inicial de una NICSP, de acuerdo con las disposiciones transitorias específicas de tal Norma, si las hubiere; y </w:t>
      </w:r>
    </w:p>
    <w:p w14:paraId="79B787E5" w14:textId="77777777" w:rsidR="001D6FBE" w:rsidRDefault="001D6FBE">
      <w:pPr>
        <w:pStyle w:val="Default"/>
        <w:numPr>
          <w:ilvl w:val="0"/>
          <w:numId w:val="383"/>
        </w:numPr>
        <w:ind w:left="1418" w:hanging="284"/>
        <w:jc w:val="both"/>
        <w:rPr>
          <w:color w:val="auto"/>
          <w:sz w:val="22"/>
          <w:szCs w:val="22"/>
          <w:lang w:val="es-CR"/>
        </w:rPr>
      </w:pPr>
      <w:r>
        <w:rPr>
          <w:color w:val="auto"/>
          <w:sz w:val="22"/>
          <w:szCs w:val="22"/>
          <w:lang w:val="es-CR"/>
        </w:rPr>
        <w:lastRenderedPageBreak/>
        <w:t>C</w:t>
      </w:r>
      <w:r w:rsidR="00B436AA" w:rsidRPr="00684EF3">
        <w:rPr>
          <w:color w:val="auto"/>
          <w:sz w:val="22"/>
          <w:szCs w:val="22"/>
          <w:lang w:val="es-CR"/>
        </w:rPr>
        <w:t>uando una entidad cambie una política contable, ya sea por la aplicación inicial de una NICSP que no incluya una disposición transitoria específica aplicable a tal cambio, o porque haya decidido cambiarla de forma voluntaria, en cuyo caso aplicará dicho cambio retroactivamente.</w:t>
      </w:r>
    </w:p>
    <w:p w14:paraId="7C9CBB78" w14:textId="5DAE1063" w:rsidR="00B436AA" w:rsidRPr="00684EF3" w:rsidRDefault="00B436AA" w:rsidP="001D6FBE">
      <w:pPr>
        <w:pStyle w:val="Default"/>
        <w:jc w:val="both"/>
        <w:rPr>
          <w:color w:val="auto"/>
          <w:sz w:val="22"/>
          <w:szCs w:val="22"/>
          <w:lang w:val="es-CR"/>
        </w:rPr>
      </w:pPr>
      <w:r w:rsidRPr="00684EF3">
        <w:rPr>
          <w:color w:val="auto"/>
          <w:sz w:val="22"/>
          <w:szCs w:val="22"/>
          <w:lang w:val="es-CR"/>
        </w:rPr>
        <w:t xml:space="preserve"> </w:t>
      </w:r>
    </w:p>
    <w:p w14:paraId="46A9A7F5" w14:textId="1C64A043" w:rsidR="001D6FBE" w:rsidRDefault="001D6FBE" w:rsidP="001D6FBE">
      <w:pPr>
        <w:pStyle w:val="Default"/>
        <w:spacing w:after="21"/>
        <w:ind w:left="1134" w:hanging="1134"/>
        <w:jc w:val="both"/>
        <w:rPr>
          <w:color w:val="auto"/>
          <w:sz w:val="22"/>
          <w:szCs w:val="22"/>
          <w:lang w:val="es-CR"/>
        </w:rPr>
      </w:pPr>
      <w:r>
        <w:rPr>
          <w:color w:val="auto"/>
          <w:sz w:val="22"/>
          <w:szCs w:val="22"/>
          <w:lang w:val="es-CR"/>
        </w:rPr>
        <w:t>6.62.</w:t>
      </w:r>
      <w:r w:rsidR="00B436AA" w:rsidRPr="00684EF3">
        <w:rPr>
          <w:color w:val="auto"/>
          <w:sz w:val="22"/>
          <w:szCs w:val="22"/>
          <w:lang w:val="es-CR"/>
        </w:rPr>
        <w:t>1</w:t>
      </w:r>
      <w:r>
        <w:rPr>
          <w:color w:val="auto"/>
          <w:sz w:val="22"/>
          <w:szCs w:val="22"/>
          <w:lang w:val="es-CR"/>
        </w:rPr>
        <w:t>.01</w:t>
      </w:r>
      <w:r w:rsidR="00B436AA" w:rsidRPr="00684EF3">
        <w:rPr>
          <w:color w:val="auto"/>
          <w:sz w:val="22"/>
          <w:szCs w:val="22"/>
          <w:lang w:val="es-CR"/>
        </w:rPr>
        <w:t xml:space="preserve"> </w:t>
      </w:r>
      <w:r>
        <w:rPr>
          <w:color w:val="auto"/>
          <w:sz w:val="22"/>
          <w:szCs w:val="22"/>
          <w:lang w:val="es-CR"/>
        </w:rPr>
        <w:tab/>
      </w:r>
      <w:r w:rsidR="00B436AA" w:rsidRPr="00684EF3">
        <w:rPr>
          <w:color w:val="auto"/>
          <w:sz w:val="22"/>
          <w:szCs w:val="22"/>
          <w:lang w:val="es-CR"/>
        </w:rPr>
        <w:t xml:space="preserve">Cuando un cambio en una política contable se aplique retroactivamente, la entidad </w:t>
      </w:r>
      <w:r w:rsidR="00B436AA" w:rsidRPr="001D6FBE">
        <w:rPr>
          <w:sz w:val="22"/>
          <w:szCs w:val="22"/>
          <w:lang w:val="es-CR"/>
        </w:rPr>
        <w:t>deberá</w:t>
      </w:r>
      <w:r w:rsidR="00B436AA" w:rsidRPr="00684EF3">
        <w:rPr>
          <w:color w:val="auto"/>
          <w:sz w:val="22"/>
          <w:szCs w:val="22"/>
          <w:lang w:val="es-CR"/>
        </w:rPr>
        <w:t>:</w:t>
      </w:r>
    </w:p>
    <w:p w14:paraId="08B9D8F2" w14:textId="77777777" w:rsidR="001D6FBE" w:rsidRDefault="001D6FBE" w:rsidP="001D6FBE">
      <w:pPr>
        <w:pStyle w:val="Default"/>
        <w:spacing w:after="21"/>
        <w:ind w:left="1134" w:hanging="1134"/>
        <w:jc w:val="both"/>
        <w:rPr>
          <w:color w:val="auto"/>
          <w:sz w:val="22"/>
          <w:szCs w:val="22"/>
          <w:lang w:val="es-CR"/>
        </w:rPr>
      </w:pPr>
    </w:p>
    <w:p w14:paraId="180AC701" w14:textId="77777777" w:rsidR="001D6FBE" w:rsidRDefault="001D6FBE">
      <w:pPr>
        <w:pStyle w:val="Default"/>
        <w:numPr>
          <w:ilvl w:val="0"/>
          <w:numId w:val="384"/>
        </w:numPr>
        <w:spacing w:after="120"/>
        <w:ind w:left="1418" w:hanging="284"/>
        <w:jc w:val="both"/>
        <w:rPr>
          <w:color w:val="auto"/>
          <w:sz w:val="22"/>
          <w:szCs w:val="22"/>
          <w:lang w:val="es-CR"/>
        </w:rPr>
      </w:pPr>
      <w:r>
        <w:rPr>
          <w:color w:val="auto"/>
          <w:sz w:val="22"/>
          <w:szCs w:val="22"/>
          <w:lang w:val="es-CR"/>
        </w:rPr>
        <w:t>A</w:t>
      </w:r>
      <w:r w:rsidR="00B436AA" w:rsidRPr="00684EF3">
        <w:rPr>
          <w:color w:val="auto"/>
          <w:sz w:val="22"/>
          <w:szCs w:val="22"/>
          <w:lang w:val="es-CR"/>
        </w:rPr>
        <w:t xml:space="preserve">justar los saldos iniciales de cada componente afectado del patrimonio para el período anterior más antiguo que se presente; </w:t>
      </w:r>
    </w:p>
    <w:p w14:paraId="29E57853" w14:textId="77777777" w:rsidR="001D6FBE" w:rsidRDefault="001D6FBE">
      <w:pPr>
        <w:pStyle w:val="Default"/>
        <w:numPr>
          <w:ilvl w:val="0"/>
          <w:numId w:val="384"/>
        </w:numPr>
        <w:spacing w:after="120"/>
        <w:ind w:left="1418" w:hanging="284"/>
        <w:jc w:val="both"/>
        <w:rPr>
          <w:color w:val="auto"/>
          <w:sz w:val="22"/>
          <w:szCs w:val="22"/>
          <w:lang w:val="es-CR"/>
        </w:rPr>
      </w:pPr>
      <w:r w:rsidRPr="001D6FBE">
        <w:rPr>
          <w:color w:val="auto"/>
          <w:sz w:val="22"/>
          <w:szCs w:val="22"/>
          <w:lang w:val="es-CR"/>
        </w:rPr>
        <w:t>R</w:t>
      </w:r>
      <w:r w:rsidR="00B436AA" w:rsidRPr="001D6FBE">
        <w:rPr>
          <w:color w:val="auto"/>
          <w:sz w:val="22"/>
          <w:szCs w:val="22"/>
          <w:lang w:val="es-CR"/>
        </w:rPr>
        <w:t>evelar información acerca de los demás importes comparativos para cada período anterior presentado, como si la nueva política contable se hubiese estado aplicando siempre; y</w:t>
      </w:r>
    </w:p>
    <w:p w14:paraId="7272B245" w14:textId="120A22CB" w:rsidR="00B436AA" w:rsidRPr="001D6FBE" w:rsidRDefault="001D6FBE">
      <w:pPr>
        <w:pStyle w:val="Default"/>
        <w:numPr>
          <w:ilvl w:val="0"/>
          <w:numId w:val="384"/>
        </w:numPr>
        <w:spacing w:after="21"/>
        <w:ind w:left="1418" w:hanging="284"/>
        <w:jc w:val="both"/>
        <w:rPr>
          <w:color w:val="auto"/>
          <w:sz w:val="22"/>
          <w:szCs w:val="22"/>
          <w:lang w:val="es-CR"/>
        </w:rPr>
      </w:pPr>
      <w:r w:rsidRPr="001D6FBE">
        <w:rPr>
          <w:color w:val="auto"/>
          <w:sz w:val="22"/>
          <w:szCs w:val="22"/>
          <w:lang w:val="es-CR"/>
        </w:rPr>
        <w:t>A</w:t>
      </w:r>
      <w:r w:rsidR="00B436AA" w:rsidRPr="001D6FBE">
        <w:rPr>
          <w:color w:val="auto"/>
          <w:sz w:val="22"/>
          <w:szCs w:val="22"/>
          <w:lang w:val="es-CR"/>
        </w:rPr>
        <w:t xml:space="preserve">justar los resultados (ahorro / desahorro) acumulados del período. Sin embargo, los ajustes pueden hacerse contra otro componente del patrimonio, cuando así lo estipulen las NICSP y el presente PGCN. </w:t>
      </w:r>
    </w:p>
    <w:p w14:paraId="40698C05" w14:textId="77777777" w:rsidR="00B436AA" w:rsidRPr="00684EF3" w:rsidRDefault="00B436AA" w:rsidP="00684EF3">
      <w:pPr>
        <w:pStyle w:val="Default"/>
        <w:jc w:val="both"/>
        <w:rPr>
          <w:color w:val="auto"/>
          <w:sz w:val="22"/>
          <w:szCs w:val="22"/>
          <w:lang w:val="es-CR"/>
        </w:rPr>
      </w:pPr>
    </w:p>
    <w:p w14:paraId="68E78A1A" w14:textId="5C34A645" w:rsidR="00B436AA" w:rsidRPr="00684EF3" w:rsidRDefault="00BA4120" w:rsidP="00BA4120">
      <w:pPr>
        <w:pStyle w:val="Default"/>
        <w:ind w:left="1134" w:hanging="1134"/>
        <w:jc w:val="both"/>
        <w:rPr>
          <w:color w:val="auto"/>
          <w:sz w:val="22"/>
          <w:szCs w:val="22"/>
          <w:lang w:val="es-CR"/>
        </w:rPr>
      </w:pPr>
      <w:r>
        <w:rPr>
          <w:color w:val="auto"/>
          <w:sz w:val="22"/>
          <w:szCs w:val="22"/>
          <w:lang w:val="es-CR"/>
        </w:rPr>
        <w:t>6.62.</w:t>
      </w:r>
      <w:r w:rsidR="00B436AA" w:rsidRPr="00684EF3">
        <w:rPr>
          <w:color w:val="auto"/>
          <w:sz w:val="22"/>
          <w:szCs w:val="22"/>
          <w:lang w:val="es-CR"/>
        </w:rPr>
        <w:t>2</w:t>
      </w:r>
      <w:r>
        <w:rPr>
          <w:color w:val="auto"/>
          <w:sz w:val="22"/>
          <w:szCs w:val="22"/>
          <w:lang w:val="es-CR"/>
        </w:rPr>
        <w:t>.01</w:t>
      </w:r>
      <w:r>
        <w:rPr>
          <w:color w:val="auto"/>
          <w:sz w:val="22"/>
          <w:szCs w:val="22"/>
          <w:lang w:val="es-CR"/>
        </w:rPr>
        <w:tab/>
      </w:r>
      <w:r w:rsidR="00B436AA" w:rsidRPr="00684EF3">
        <w:rPr>
          <w:color w:val="auto"/>
          <w:sz w:val="22"/>
          <w:szCs w:val="22"/>
          <w:lang w:val="es-CR"/>
        </w:rPr>
        <w:t>Cuando sea requerida la aplicación retroactiva, el cambio en la política contable</w:t>
      </w:r>
      <w:r>
        <w:rPr>
          <w:color w:val="auto"/>
          <w:sz w:val="22"/>
          <w:szCs w:val="22"/>
          <w:lang w:val="es-CR"/>
        </w:rPr>
        <w:t>,</w:t>
      </w:r>
      <w:r w:rsidR="00B436AA" w:rsidRPr="00684EF3">
        <w:rPr>
          <w:color w:val="auto"/>
          <w:sz w:val="22"/>
          <w:szCs w:val="22"/>
          <w:lang w:val="es-CR"/>
        </w:rPr>
        <w:t xml:space="preserve"> se aplicará retroactivamente, salvo y en la medida en que fuera impracticable determinar los efectos del cambio en cada período específico o el efecto acumulado. </w:t>
      </w:r>
    </w:p>
    <w:p w14:paraId="15AA0986" w14:textId="77777777" w:rsidR="00B436AA" w:rsidRPr="00684EF3" w:rsidRDefault="00B436AA" w:rsidP="00684EF3">
      <w:pPr>
        <w:pStyle w:val="Default"/>
        <w:jc w:val="both"/>
        <w:rPr>
          <w:color w:val="auto"/>
          <w:sz w:val="22"/>
          <w:szCs w:val="22"/>
          <w:lang w:val="es-CR"/>
        </w:rPr>
      </w:pPr>
    </w:p>
    <w:p w14:paraId="324AB425" w14:textId="2C8FCC43" w:rsidR="00BA4120" w:rsidRDefault="00BA4120" w:rsidP="00BA4120">
      <w:pPr>
        <w:pStyle w:val="Default"/>
        <w:spacing w:after="18"/>
        <w:ind w:left="1134" w:hanging="1134"/>
        <w:jc w:val="both"/>
        <w:rPr>
          <w:color w:val="auto"/>
          <w:sz w:val="22"/>
          <w:szCs w:val="22"/>
          <w:lang w:val="es-CR"/>
        </w:rPr>
      </w:pPr>
      <w:r>
        <w:rPr>
          <w:color w:val="auto"/>
          <w:sz w:val="22"/>
          <w:szCs w:val="22"/>
          <w:lang w:val="es-CR"/>
        </w:rPr>
        <w:t>6.62.</w:t>
      </w:r>
      <w:r w:rsidR="00B436AA" w:rsidRPr="00684EF3">
        <w:rPr>
          <w:color w:val="auto"/>
          <w:sz w:val="22"/>
          <w:szCs w:val="22"/>
          <w:lang w:val="es-CR"/>
        </w:rPr>
        <w:t>3</w:t>
      </w:r>
      <w:r>
        <w:rPr>
          <w:color w:val="auto"/>
          <w:sz w:val="22"/>
          <w:szCs w:val="22"/>
          <w:lang w:val="es-CR"/>
        </w:rPr>
        <w:t>.01</w:t>
      </w:r>
      <w:r>
        <w:rPr>
          <w:color w:val="auto"/>
          <w:sz w:val="22"/>
          <w:szCs w:val="22"/>
          <w:lang w:val="es-CR"/>
        </w:rPr>
        <w:tab/>
      </w:r>
      <w:r w:rsidR="00B436AA" w:rsidRPr="00684EF3">
        <w:rPr>
          <w:color w:val="auto"/>
          <w:sz w:val="22"/>
          <w:szCs w:val="22"/>
          <w:lang w:val="es-CR"/>
        </w:rPr>
        <w:t>La aplicación de un requerimiento es impracticable cuando la entidad no puede aplicarlo después de haber hecho un esfuerzo razonable para hacerlo. Para un período anterior en particular, es impracticable aplicar un cambio en una política contable retroactivamente o realizar una reexpresión retroactiva para corregir un error si:</w:t>
      </w:r>
    </w:p>
    <w:p w14:paraId="32C855FF" w14:textId="77777777" w:rsidR="00BA4120" w:rsidRDefault="00BA4120" w:rsidP="00BA4120">
      <w:pPr>
        <w:pStyle w:val="Default"/>
        <w:spacing w:after="18"/>
        <w:ind w:left="1134" w:hanging="1134"/>
        <w:jc w:val="both"/>
        <w:rPr>
          <w:color w:val="auto"/>
          <w:sz w:val="22"/>
          <w:szCs w:val="22"/>
          <w:lang w:val="es-CR"/>
        </w:rPr>
      </w:pPr>
    </w:p>
    <w:p w14:paraId="2B2AB0D9" w14:textId="77777777" w:rsidR="00BA4120" w:rsidRDefault="00BA4120">
      <w:pPr>
        <w:pStyle w:val="Default"/>
        <w:numPr>
          <w:ilvl w:val="0"/>
          <w:numId w:val="385"/>
        </w:numPr>
        <w:spacing w:after="120"/>
        <w:ind w:left="1418" w:hanging="284"/>
        <w:jc w:val="both"/>
        <w:rPr>
          <w:color w:val="auto"/>
          <w:sz w:val="22"/>
          <w:szCs w:val="22"/>
          <w:lang w:val="es-CR"/>
        </w:rPr>
      </w:pPr>
      <w:r>
        <w:rPr>
          <w:color w:val="auto"/>
          <w:sz w:val="22"/>
          <w:szCs w:val="22"/>
          <w:lang w:val="es-CR"/>
        </w:rPr>
        <w:t>L</w:t>
      </w:r>
      <w:r w:rsidR="00B436AA" w:rsidRPr="00684EF3">
        <w:rPr>
          <w:color w:val="auto"/>
          <w:sz w:val="22"/>
          <w:szCs w:val="22"/>
          <w:lang w:val="es-CR"/>
        </w:rPr>
        <w:t>os efectos de la aplicación o de la reexpresión retroactiva no son determinables;</w:t>
      </w:r>
    </w:p>
    <w:p w14:paraId="17B4737B" w14:textId="3753F6AA" w:rsidR="00B436AA" w:rsidRPr="00BA4120" w:rsidRDefault="00BA4120">
      <w:pPr>
        <w:pStyle w:val="Default"/>
        <w:numPr>
          <w:ilvl w:val="0"/>
          <w:numId w:val="385"/>
        </w:numPr>
        <w:spacing w:after="120"/>
        <w:ind w:left="1418" w:hanging="284"/>
        <w:jc w:val="both"/>
        <w:rPr>
          <w:color w:val="auto"/>
          <w:sz w:val="22"/>
          <w:szCs w:val="22"/>
          <w:lang w:val="es-CR"/>
        </w:rPr>
      </w:pPr>
      <w:r w:rsidRPr="00BA4120">
        <w:rPr>
          <w:color w:val="auto"/>
          <w:sz w:val="22"/>
          <w:szCs w:val="22"/>
          <w:lang w:val="es-CR"/>
        </w:rPr>
        <w:t>L</w:t>
      </w:r>
      <w:r w:rsidR="00B436AA" w:rsidRPr="00BA4120">
        <w:rPr>
          <w:color w:val="auto"/>
          <w:sz w:val="22"/>
          <w:szCs w:val="22"/>
          <w:lang w:val="es-CR"/>
        </w:rPr>
        <w:t xml:space="preserve">a aplicación o la reexpresión retroactivas implican establecer suposiciones acerca de cuáles hubieran podido ser las intenciones de la gerencia en ese período; o </w:t>
      </w:r>
    </w:p>
    <w:p w14:paraId="177E4CCD" w14:textId="1F40AD42" w:rsidR="00BA4120" w:rsidRDefault="00BA4120">
      <w:pPr>
        <w:pStyle w:val="Default"/>
        <w:numPr>
          <w:ilvl w:val="0"/>
          <w:numId w:val="385"/>
        </w:numPr>
        <w:spacing w:after="120"/>
        <w:ind w:left="1418" w:hanging="284"/>
        <w:jc w:val="both"/>
        <w:rPr>
          <w:color w:val="auto"/>
          <w:sz w:val="22"/>
          <w:szCs w:val="22"/>
          <w:lang w:val="es-CR"/>
        </w:rPr>
      </w:pPr>
      <w:r>
        <w:rPr>
          <w:color w:val="auto"/>
          <w:sz w:val="22"/>
          <w:szCs w:val="22"/>
          <w:lang w:val="es-CR"/>
        </w:rPr>
        <w:t>L</w:t>
      </w:r>
      <w:r w:rsidR="00B436AA" w:rsidRPr="00684EF3">
        <w:rPr>
          <w:color w:val="auto"/>
          <w:sz w:val="22"/>
          <w:szCs w:val="22"/>
          <w:lang w:val="es-CR"/>
        </w:rPr>
        <w:t xml:space="preserve">a aplicación o la reexpresión retroactivas requieren estimaciones de importes significativos y que sea imposible distinguir objetivamente información de tales estimaciones que: </w:t>
      </w:r>
    </w:p>
    <w:p w14:paraId="00BEE6EA" w14:textId="34B455C6" w:rsidR="00B436AA" w:rsidRPr="00684EF3" w:rsidRDefault="00BA4120">
      <w:pPr>
        <w:pStyle w:val="Default"/>
        <w:numPr>
          <w:ilvl w:val="0"/>
          <w:numId w:val="386"/>
        </w:numPr>
        <w:spacing w:after="120"/>
        <w:ind w:left="1701" w:hanging="142"/>
        <w:jc w:val="both"/>
        <w:rPr>
          <w:color w:val="auto"/>
          <w:sz w:val="22"/>
          <w:szCs w:val="22"/>
          <w:lang w:val="es-CR"/>
        </w:rPr>
      </w:pPr>
      <w:r>
        <w:rPr>
          <w:color w:val="auto"/>
          <w:sz w:val="22"/>
          <w:szCs w:val="22"/>
          <w:lang w:val="es-CR"/>
        </w:rPr>
        <w:t>S</w:t>
      </w:r>
      <w:r w:rsidR="00B436AA" w:rsidRPr="00684EF3">
        <w:rPr>
          <w:color w:val="auto"/>
          <w:sz w:val="22"/>
          <w:szCs w:val="22"/>
          <w:lang w:val="es-CR"/>
        </w:rPr>
        <w:t xml:space="preserve">uministre evidencia de las circunstancias que existían en la fecha o fechas en que tales importes fueron reconocidos, medidos o revelados en la correspondiente información; y </w:t>
      </w:r>
    </w:p>
    <w:p w14:paraId="36AD5F72" w14:textId="0A1FD69C" w:rsidR="00B436AA" w:rsidRPr="00684EF3" w:rsidRDefault="00BA4120">
      <w:pPr>
        <w:pStyle w:val="Default"/>
        <w:numPr>
          <w:ilvl w:val="0"/>
          <w:numId w:val="386"/>
        </w:numPr>
        <w:ind w:left="1701" w:hanging="141"/>
        <w:jc w:val="both"/>
        <w:rPr>
          <w:color w:val="auto"/>
          <w:sz w:val="22"/>
          <w:szCs w:val="22"/>
          <w:lang w:val="es-CR"/>
        </w:rPr>
      </w:pPr>
      <w:r>
        <w:rPr>
          <w:color w:val="auto"/>
          <w:sz w:val="22"/>
          <w:szCs w:val="22"/>
          <w:lang w:val="es-CR"/>
        </w:rPr>
        <w:t>T</w:t>
      </w:r>
      <w:r w:rsidR="00B436AA" w:rsidRPr="00684EF3">
        <w:rPr>
          <w:color w:val="auto"/>
          <w:sz w:val="22"/>
          <w:szCs w:val="22"/>
          <w:lang w:val="es-CR"/>
        </w:rPr>
        <w:t xml:space="preserve">endría que haber estado disponible cuando los estados financieros del período previo fueron autorizados para su emisión. </w:t>
      </w:r>
    </w:p>
    <w:p w14:paraId="34337A59" w14:textId="77777777" w:rsidR="00B436AA" w:rsidRPr="00684EF3" w:rsidRDefault="00B436AA" w:rsidP="00BA4120">
      <w:pPr>
        <w:pStyle w:val="Default"/>
        <w:jc w:val="both"/>
        <w:rPr>
          <w:color w:val="auto"/>
          <w:sz w:val="22"/>
          <w:szCs w:val="22"/>
          <w:lang w:val="es-CR"/>
        </w:rPr>
      </w:pPr>
    </w:p>
    <w:p w14:paraId="23576889" w14:textId="58C8636F" w:rsidR="00B436AA" w:rsidRPr="00684EF3" w:rsidRDefault="00BA4120" w:rsidP="00BA4120">
      <w:pPr>
        <w:pStyle w:val="Default"/>
        <w:ind w:left="1134" w:hanging="1134"/>
        <w:jc w:val="both"/>
        <w:rPr>
          <w:color w:val="auto"/>
          <w:sz w:val="22"/>
          <w:szCs w:val="22"/>
          <w:lang w:val="es-CR"/>
        </w:rPr>
      </w:pPr>
      <w:r>
        <w:rPr>
          <w:color w:val="auto"/>
          <w:sz w:val="22"/>
          <w:szCs w:val="22"/>
          <w:lang w:val="es-CR"/>
        </w:rPr>
        <w:t>6.62.</w:t>
      </w:r>
      <w:r w:rsidR="00B436AA" w:rsidRPr="00684EF3">
        <w:rPr>
          <w:color w:val="auto"/>
          <w:sz w:val="22"/>
          <w:szCs w:val="22"/>
          <w:lang w:val="es-CR"/>
        </w:rPr>
        <w:t>4</w:t>
      </w:r>
      <w:r>
        <w:rPr>
          <w:color w:val="auto"/>
          <w:sz w:val="22"/>
          <w:szCs w:val="22"/>
          <w:lang w:val="es-CR"/>
        </w:rPr>
        <w:t>.01</w:t>
      </w:r>
      <w:r>
        <w:rPr>
          <w:color w:val="auto"/>
          <w:sz w:val="22"/>
          <w:szCs w:val="22"/>
          <w:lang w:val="es-CR"/>
        </w:rPr>
        <w:tab/>
      </w:r>
      <w:r w:rsidR="00B436AA" w:rsidRPr="00684EF3">
        <w:rPr>
          <w:color w:val="auto"/>
          <w:sz w:val="22"/>
          <w:szCs w:val="22"/>
          <w:lang w:val="es-CR"/>
        </w:rPr>
        <w:t xml:space="preserve">Cuando sea impracticable determinar los efectos que se derivan, en cada período específico, del cambio de una política contable sobre la información comparativa en uno o más períodos anteriores para los que se presente información, la entidad aplicará la nueva política contable a los saldos iniciales de los activos y pasivos al principio del período más antiguo para el que la aplicación retroactiva sea practicable -que podría ser el propio período corriente- y efectuará el correspondiente ajuste a los saldos iniciales de cada componente del patrimonio que se vea afectado para ese período. </w:t>
      </w:r>
    </w:p>
    <w:p w14:paraId="6B520DF5" w14:textId="77777777" w:rsidR="00B436AA" w:rsidRPr="00684EF3" w:rsidRDefault="00B436AA" w:rsidP="00684EF3">
      <w:pPr>
        <w:pStyle w:val="Default"/>
        <w:jc w:val="both"/>
        <w:rPr>
          <w:color w:val="auto"/>
          <w:sz w:val="22"/>
          <w:szCs w:val="22"/>
          <w:lang w:val="es-CR"/>
        </w:rPr>
      </w:pPr>
    </w:p>
    <w:p w14:paraId="0C0A20FE" w14:textId="77777777" w:rsidR="00BA4120" w:rsidRDefault="00BA4120" w:rsidP="00BA4120">
      <w:pPr>
        <w:pStyle w:val="Default"/>
        <w:spacing w:after="21"/>
        <w:ind w:left="1134" w:hanging="1134"/>
        <w:jc w:val="both"/>
        <w:rPr>
          <w:color w:val="auto"/>
          <w:sz w:val="22"/>
          <w:szCs w:val="22"/>
          <w:lang w:val="es-CR"/>
        </w:rPr>
      </w:pPr>
      <w:r>
        <w:rPr>
          <w:color w:val="auto"/>
          <w:sz w:val="22"/>
          <w:szCs w:val="22"/>
          <w:lang w:val="es-CR"/>
        </w:rPr>
        <w:t>6.62.</w:t>
      </w:r>
      <w:r w:rsidR="00B436AA" w:rsidRPr="00684EF3">
        <w:rPr>
          <w:color w:val="auto"/>
          <w:sz w:val="22"/>
          <w:szCs w:val="22"/>
          <w:lang w:val="es-CR"/>
        </w:rPr>
        <w:t>5</w:t>
      </w:r>
      <w:r>
        <w:rPr>
          <w:color w:val="auto"/>
          <w:sz w:val="22"/>
          <w:szCs w:val="22"/>
          <w:lang w:val="es-CR"/>
        </w:rPr>
        <w:t>.01</w:t>
      </w:r>
      <w:r>
        <w:rPr>
          <w:color w:val="auto"/>
          <w:sz w:val="22"/>
          <w:szCs w:val="22"/>
          <w:lang w:val="es-CR"/>
        </w:rPr>
        <w:tab/>
      </w:r>
      <w:r w:rsidR="00B436AA" w:rsidRPr="00684EF3">
        <w:rPr>
          <w:color w:val="auto"/>
          <w:sz w:val="22"/>
          <w:szCs w:val="22"/>
          <w:lang w:val="es-CR"/>
        </w:rPr>
        <w:t>La aplicación prospectiva de un cambio en una política contable y del reconocimiento del efecto de un cambio en una estimación contable consiste, respectivamente, en:</w:t>
      </w:r>
    </w:p>
    <w:p w14:paraId="26D50FC5" w14:textId="77777777" w:rsidR="00BA4120" w:rsidRDefault="00BA4120" w:rsidP="00BA4120">
      <w:pPr>
        <w:pStyle w:val="Default"/>
        <w:spacing w:after="21"/>
        <w:ind w:left="1134" w:hanging="1134"/>
        <w:jc w:val="both"/>
        <w:rPr>
          <w:color w:val="auto"/>
          <w:sz w:val="22"/>
          <w:szCs w:val="22"/>
          <w:lang w:val="es-CR"/>
        </w:rPr>
      </w:pPr>
    </w:p>
    <w:p w14:paraId="6C292C2C" w14:textId="77777777" w:rsidR="00BA4120" w:rsidRDefault="00BA4120">
      <w:pPr>
        <w:pStyle w:val="Default"/>
        <w:numPr>
          <w:ilvl w:val="0"/>
          <w:numId w:val="387"/>
        </w:numPr>
        <w:spacing w:after="120"/>
        <w:ind w:left="1418" w:hanging="284"/>
        <w:jc w:val="both"/>
        <w:rPr>
          <w:color w:val="auto"/>
          <w:sz w:val="22"/>
          <w:szCs w:val="22"/>
          <w:lang w:val="es-CR"/>
        </w:rPr>
      </w:pPr>
      <w:r>
        <w:rPr>
          <w:color w:val="auto"/>
          <w:sz w:val="22"/>
          <w:szCs w:val="22"/>
          <w:lang w:val="es-CR"/>
        </w:rPr>
        <w:lastRenderedPageBreak/>
        <w:t>L</w:t>
      </w:r>
      <w:r w:rsidR="00B436AA" w:rsidRPr="00684EF3">
        <w:rPr>
          <w:color w:val="auto"/>
          <w:sz w:val="22"/>
          <w:szCs w:val="22"/>
          <w:lang w:val="es-CR"/>
        </w:rPr>
        <w:t xml:space="preserve">a aplicación de la nueva política contable a las transacciones, otros sucesos y condiciones ocurridos tras la fecha en que se cambió la política; y </w:t>
      </w:r>
    </w:p>
    <w:p w14:paraId="65F4C2C7" w14:textId="6D86EC6E" w:rsidR="00B436AA" w:rsidRPr="00BA4120" w:rsidRDefault="00BA4120">
      <w:pPr>
        <w:pStyle w:val="Default"/>
        <w:numPr>
          <w:ilvl w:val="0"/>
          <w:numId w:val="387"/>
        </w:numPr>
        <w:spacing w:after="21"/>
        <w:ind w:left="1418" w:hanging="284"/>
        <w:jc w:val="both"/>
        <w:rPr>
          <w:color w:val="auto"/>
          <w:sz w:val="22"/>
          <w:szCs w:val="22"/>
          <w:lang w:val="es-CR"/>
        </w:rPr>
      </w:pPr>
      <w:r w:rsidRPr="00BA4120">
        <w:rPr>
          <w:color w:val="auto"/>
          <w:sz w:val="22"/>
          <w:szCs w:val="22"/>
          <w:lang w:val="es-CR"/>
        </w:rPr>
        <w:t>E</w:t>
      </w:r>
      <w:r w:rsidR="00B436AA" w:rsidRPr="00BA4120">
        <w:rPr>
          <w:color w:val="auto"/>
          <w:sz w:val="22"/>
          <w:szCs w:val="22"/>
          <w:lang w:val="es-CR"/>
        </w:rPr>
        <w:t xml:space="preserve">l reconocimiento del efecto del cambio en la estimación contable para el período corriente y los futuros, afectados por dicho cambio. </w:t>
      </w:r>
    </w:p>
    <w:p w14:paraId="4F1605CA" w14:textId="77777777" w:rsidR="00B436AA" w:rsidRPr="00BA4120" w:rsidRDefault="00B436AA">
      <w:pPr>
        <w:pStyle w:val="Default"/>
        <w:numPr>
          <w:ilvl w:val="1"/>
          <w:numId w:val="382"/>
        </w:numPr>
        <w:jc w:val="both"/>
        <w:rPr>
          <w:color w:val="auto"/>
          <w:sz w:val="22"/>
          <w:szCs w:val="22"/>
          <w:lang w:val="es-CR"/>
        </w:rPr>
      </w:pPr>
    </w:p>
    <w:p w14:paraId="1AE8EA3B" w14:textId="12CEEBB1" w:rsidR="00B436AA" w:rsidRPr="00684EF3" w:rsidRDefault="00BA4120" w:rsidP="00BA4120">
      <w:pPr>
        <w:pStyle w:val="Default"/>
        <w:ind w:left="1134" w:hanging="1134"/>
        <w:jc w:val="both"/>
        <w:rPr>
          <w:color w:val="auto"/>
          <w:sz w:val="22"/>
          <w:szCs w:val="22"/>
          <w:lang w:val="es-CR"/>
        </w:rPr>
      </w:pPr>
      <w:r>
        <w:rPr>
          <w:color w:val="auto"/>
          <w:sz w:val="22"/>
          <w:szCs w:val="22"/>
          <w:lang w:val="es-CR"/>
        </w:rPr>
        <w:t>6.62.</w:t>
      </w:r>
      <w:r w:rsidR="00B436AA" w:rsidRPr="00684EF3">
        <w:rPr>
          <w:color w:val="auto"/>
          <w:sz w:val="22"/>
          <w:szCs w:val="22"/>
          <w:lang w:val="es-CR"/>
        </w:rPr>
        <w:t>6</w:t>
      </w:r>
      <w:r>
        <w:rPr>
          <w:color w:val="auto"/>
          <w:sz w:val="22"/>
          <w:szCs w:val="22"/>
          <w:lang w:val="es-CR"/>
        </w:rPr>
        <w:t>.01</w:t>
      </w:r>
      <w:r>
        <w:rPr>
          <w:color w:val="auto"/>
          <w:sz w:val="22"/>
          <w:szCs w:val="22"/>
          <w:lang w:val="es-CR"/>
        </w:rPr>
        <w:tab/>
      </w:r>
      <w:r w:rsidR="00B436AA" w:rsidRPr="00684EF3">
        <w:rPr>
          <w:color w:val="auto"/>
          <w:sz w:val="22"/>
          <w:szCs w:val="22"/>
          <w:lang w:val="es-CR"/>
        </w:rPr>
        <w:t xml:space="preserve">Cuando sea impracticable determinar el efecto acumulado, al principio del período corriente, por la aplicación de una nueva política contable a todos los períodos anteriores, la entidad ajustará la información comparativa aplicando la nueva política contable de forma prospectiva, desde la fecha más antigua en que sea practicable hacerlo. En consecuencia, se ignorará la porción del ajuste acumulado de los activos, pasivos y patrimonio surgido antes de esa fecha. </w:t>
      </w:r>
    </w:p>
    <w:p w14:paraId="3324C9BC" w14:textId="77777777" w:rsidR="00B436AA" w:rsidRDefault="00B436AA" w:rsidP="00D033EC">
      <w:pPr>
        <w:pStyle w:val="Default"/>
        <w:jc w:val="both"/>
        <w:rPr>
          <w:sz w:val="23"/>
          <w:szCs w:val="23"/>
          <w:lang w:val="es-CR"/>
        </w:rPr>
      </w:pPr>
    </w:p>
    <w:p w14:paraId="18FCF0D1" w14:textId="77777777" w:rsidR="00D263E2" w:rsidRDefault="00D263E2" w:rsidP="00D033EC">
      <w:pPr>
        <w:pStyle w:val="Default"/>
        <w:jc w:val="both"/>
        <w:rPr>
          <w:sz w:val="23"/>
          <w:szCs w:val="23"/>
          <w:lang w:val="es-CR"/>
        </w:rPr>
      </w:pPr>
    </w:p>
    <w:p w14:paraId="72049B08" w14:textId="77777777" w:rsidR="00D263E2" w:rsidRDefault="00D263E2" w:rsidP="00D033EC">
      <w:pPr>
        <w:pStyle w:val="Default"/>
        <w:jc w:val="both"/>
        <w:rPr>
          <w:sz w:val="23"/>
          <w:szCs w:val="23"/>
          <w:lang w:val="es-CR"/>
        </w:rPr>
      </w:pPr>
    </w:p>
    <w:tbl>
      <w:tblPr>
        <w:tblW w:w="9346" w:type="dxa"/>
        <w:tblLook w:val="04A0" w:firstRow="1" w:lastRow="0" w:firstColumn="1" w:lastColumn="0" w:noHBand="0" w:noVBand="1"/>
      </w:tblPr>
      <w:tblGrid>
        <w:gridCol w:w="318"/>
        <w:gridCol w:w="806"/>
        <w:gridCol w:w="429"/>
        <w:gridCol w:w="3667"/>
        <w:gridCol w:w="2241"/>
        <w:gridCol w:w="1885"/>
      </w:tblGrid>
      <w:tr w:rsidR="00CA264C" w:rsidRPr="00CA264C" w14:paraId="5D3B9387" w14:textId="77777777" w:rsidTr="001F18A0">
        <w:trPr>
          <w:trHeight w:val="300"/>
        </w:trPr>
        <w:tc>
          <w:tcPr>
            <w:tcW w:w="1553"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020979F" w14:textId="77777777" w:rsidR="00CA264C" w:rsidRPr="00CA264C" w:rsidRDefault="00CA264C" w:rsidP="00CA264C">
            <w:pPr>
              <w:jc w:val="center"/>
              <w:rPr>
                <w:rFonts w:ascii="Arial Narrow" w:eastAsia="Times New Roman" w:hAnsi="Arial Narrow" w:cs="Calibri"/>
                <w:b/>
                <w:bCs/>
                <w:color w:val="FFFFFF"/>
                <w:sz w:val="22"/>
                <w:szCs w:val="22"/>
              </w:rPr>
            </w:pPr>
            <w:r w:rsidRPr="00CA264C">
              <w:rPr>
                <w:rFonts w:ascii="Arial Narrow" w:eastAsia="Times New Roman" w:hAnsi="Arial Narrow" w:cs="Calibri"/>
                <w:b/>
                <w:bCs/>
                <w:color w:val="FFFFFF"/>
                <w:sz w:val="22"/>
                <w:szCs w:val="22"/>
              </w:rPr>
              <w:t>Norma / Política</w:t>
            </w:r>
          </w:p>
        </w:tc>
        <w:tc>
          <w:tcPr>
            <w:tcW w:w="3667"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65951D" w14:textId="77777777" w:rsidR="00CA264C" w:rsidRPr="00CA264C" w:rsidRDefault="00CA264C" w:rsidP="00CA264C">
            <w:pPr>
              <w:jc w:val="center"/>
              <w:rPr>
                <w:rFonts w:ascii="Arial Narrow" w:eastAsia="Times New Roman" w:hAnsi="Arial Narrow" w:cs="Calibri"/>
                <w:b/>
                <w:bCs/>
                <w:color w:val="FFFFFF"/>
                <w:sz w:val="22"/>
                <w:szCs w:val="22"/>
              </w:rPr>
            </w:pPr>
            <w:r w:rsidRPr="00CA264C">
              <w:rPr>
                <w:rFonts w:ascii="Arial Narrow" w:eastAsia="Times New Roman" w:hAnsi="Arial Narrow" w:cs="Calibri"/>
                <w:b/>
                <w:bCs/>
                <w:color w:val="FFFFFF"/>
                <w:sz w:val="22"/>
                <w:szCs w:val="22"/>
              </w:rPr>
              <w:t>Concepto</w:t>
            </w:r>
          </w:p>
        </w:tc>
        <w:tc>
          <w:tcPr>
            <w:tcW w:w="4126" w:type="dxa"/>
            <w:gridSpan w:val="2"/>
            <w:tcBorders>
              <w:top w:val="single" w:sz="8" w:space="0" w:color="auto"/>
              <w:left w:val="nil"/>
              <w:bottom w:val="single" w:sz="8" w:space="0" w:color="auto"/>
              <w:right w:val="single" w:sz="8" w:space="0" w:color="000000"/>
            </w:tcBorders>
            <w:shd w:val="clear" w:color="000000" w:fill="203764"/>
            <w:vAlign w:val="center"/>
            <w:hideMark/>
          </w:tcPr>
          <w:p w14:paraId="7D165804" w14:textId="77777777" w:rsidR="00CA264C" w:rsidRPr="00CA264C" w:rsidRDefault="00CA264C" w:rsidP="00CA264C">
            <w:pPr>
              <w:jc w:val="center"/>
              <w:rPr>
                <w:rFonts w:ascii="Arial Narrow" w:eastAsia="Times New Roman" w:hAnsi="Arial Narrow" w:cs="Calibri"/>
                <w:b/>
                <w:bCs/>
                <w:color w:val="FFFFFF"/>
                <w:sz w:val="22"/>
                <w:szCs w:val="22"/>
              </w:rPr>
            </w:pPr>
            <w:r w:rsidRPr="00CA264C">
              <w:rPr>
                <w:rFonts w:ascii="Arial Narrow" w:eastAsia="Times New Roman" w:hAnsi="Arial Narrow" w:cs="Calibri"/>
                <w:b/>
                <w:bCs/>
                <w:color w:val="FFFFFF"/>
                <w:sz w:val="22"/>
                <w:szCs w:val="22"/>
              </w:rPr>
              <w:t>Referencia</w:t>
            </w:r>
          </w:p>
        </w:tc>
      </w:tr>
      <w:tr w:rsidR="00CA264C" w:rsidRPr="006E5442" w14:paraId="26A5B633" w14:textId="77777777" w:rsidTr="001F18A0">
        <w:trPr>
          <w:trHeight w:val="850"/>
        </w:trPr>
        <w:tc>
          <w:tcPr>
            <w:tcW w:w="1553" w:type="dxa"/>
            <w:gridSpan w:val="3"/>
            <w:vMerge/>
            <w:tcBorders>
              <w:top w:val="single" w:sz="8" w:space="0" w:color="auto"/>
              <w:left w:val="single" w:sz="8" w:space="0" w:color="auto"/>
              <w:bottom w:val="nil"/>
              <w:right w:val="single" w:sz="8" w:space="0" w:color="000000"/>
            </w:tcBorders>
            <w:vAlign w:val="center"/>
            <w:hideMark/>
          </w:tcPr>
          <w:p w14:paraId="51978878" w14:textId="77777777" w:rsidR="00CA264C" w:rsidRPr="00CA264C" w:rsidRDefault="00CA264C" w:rsidP="00CA264C">
            <w:pPr>
              <w:rPr>
                <w:rFonts w:ascii="Arial Narrow" w:eastAsia="Times New Roman" w:hAnsi="Arial Narrow" w:cs="Calibri"/>
                <w:b/>
                <w:bCs/>
                <w:color w:val="FFFFFF"/>
                <w:sz w:val="22"/>
                <w:szCs w:val="22"/>
              </w:rPr>
            </w:pPr>
          </w:p>
        </w:tc>
        <w:tc>
          <w:tcPr>
            <w:tcW w:w="3667" w:type="dxa"/>
            <w:vMerge/>
            <w:tcBorders>
              <w:top w:val="single" w:sz="8" w:space="0" w:color="auto"/>
              <w:left w:val="single" w:sz="8" w:space="0" w:color="auto"/>
              <w:bottom w:val="nil"/>
              <w:right w:val="single" w:sz="8" w:space="0" w:color="auto"/>
            </w:tcBorders>
            <w:vAlign w:val="center"/>
            <w:hideMark/>
          </w:tcPr>
          <w:p w14:paraId="3D5B490C" w14:textId="77777777" w:rsidR="00CA264C" w:rsidRPr="00CA264C" w:rsidRDefault="00CA264C" w:rsidP="00CA264C">
            <w:pPr>
              <w:rPr>
                <w:rFonts w:ascii="Arial Narrow" w:eastAsia="Times New Roman" w:hAnsi="Arial Narrow" w:cs="Calibri"/>
                <w:b/>
                <w:bCs/>
                <w:color w:val="FFFFFF"/>
                <w:sz w:val="22"/>
                <w:szCs w:val="22"/>
              </w:rPr>
            </w:pPr>
          </w:p>
        </w:tc>
        <w:tc>
          <w:tcPr>
            <w:tcW w:w="2241" w:type="dxa"/>
            <w:tcBorders>
              <w:top w:val="nil"/>
              <w:left w:val="nil"/>
              <w:bottom w:val="nil"/>
              <w:right w:val="single" w:sz="8" w:space="0" w:color="auto"/>
            </w:tcBorders>
            <w:shd w:val="clear" w:color="000000" w:fill="203764"/>
            <w:vAlign w:val="center"/>
            <w:hideMark/>
          </w:tcPr>
          <w:p w14:paraId="720E28F3" w14:textId="77777777" w:rsidR="00CA264C" w:rsidRPr="00CA264C" w:rsidRDefault="00CA264C" w:rsidP="00CA264C">
            <w:pPr>
              <w:jc w:val="center"/>
              <w:rPr>
                <w:rFonts w:ascii="Arial Narrow" w:eastAsia="Times New Roman" w:hAnsi="Arial Narrow" w:cs="Calibri"/>
                <w:b/>
                <w:bCs/>
                <w:color w:val="FFFFFF"/>
                <w:sz w:val="22"/>
                <w:szCs w:val="22"/>
              </w:rPr>
            </w:pPr>
            <w:r w:rsidRPr="00CA264C">
              <w:rPr>
                <w:rFonts w:ascii="Arial Narrow" w:eastAsia="Times New Roman" w:hAnsi="Arial Narrow" w:cs="Calibri"/>
                <w:b/>
                <w:bCs/>
                <w:color w:val="FFFFFF"/>
                <w:sz w:val="22"/>
                <w:szCs w:val="22"/>
              </w:rPr>
              <w:t>Norma</w:t>
            </w:r>
          </w:p>
        </w:tc>
        <w:tc>
          <w:tcPr>
            <w:tcW w:w="1885" w:type="dxa"/>
            <w:tcBorders>
              <w:top w:val="nil"/>
              <w:left w:val="nil"/>
              <w:bottom w:val="nil"/>
              <w:right w:val="single" w:sz="8" w:space="0" w:color="auto"/>
            </w:tcBorders>
            <w:shd w:val="clear" w:color="000000" w:fill="203764"/>
            <w:vAlign w:val="center"/>
            <w:hideMark/>
          </w:tcPr>
          <w:p w14:paraId="2445D915" w14:textId="77777777" w:rsidR="00CA264C" w:rsidRPr="00CA264C" w:rsidRDefault="00CA264C" w:rsidP="00CA264C">
            <w:pPr>
              <w:jc w:val="center"/>
              <w:rPr>
                <w:rFonts w:ascii="Arial Narrow" w:eastAsia="Times New Roman" w:hAnsi="Arial Narrow" w:cs="Calibri"/>
                <w:b/>
                <w:bCs/>
                <w:color w:val="FFFFFF"/>
                <w:sz w:val="22"/>
                <w:szCs w:val="22"/>
                <w:lang w:val="es-CR"/>
              </w:rPr>
            </w:pPr>
            <w:r w:rsidRPr="00CA264C">
              <w:rPr>
                <w:rFonts w:ascii="Arial Narrow" w:eastAsia="Times New Roman" w:hAnsi="Arial Narrow" w:cs="Calibri"/>
                <w:b/>
                <w:bCs/>
                <w:color w:val="FFFFFF"/>
                <w:sz w:val="22"/>
                <w:szCs w:val="22"/>
                <w:lang w:val="es-CR"/>
              </w:rPr>
              <w:t>Normativa técnica y disposiciones adicionales</w:t>
            </w:r>
          </w:p>
        </w:tc>
      </w:tr>
      <w:tr w:rsidR="00CA264C" w:rsidRPr="00CA264C" w14:paraId="31647E0F" w14:textId="77777777" w:rsidTr="001F18A0">
        <w:trPr>
          <w:trHeight w:val="570"/>
        </w:trPr>
        <w:tc>
          <w:tcPr>
            <w:tcW w:w="3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4B8583" w14:textId="77777777" w:rsidR="00CA264C" w:rsidRPr="00CA264C" w:rsidRDefault="00CA264C" w:rsidP="00CA264C">
            <w:pPr>
              <w:jc w:val="center"/>
              <w:rPr>
                <w:rFonts w:ascii="Arial Narrow" w:eastAsia="Times New Roman" w:hAnsi="Arial Narrow" w:cs="Calibri"/>
                <w:b/>
                <w:bCs/>
                <w:color w:val="000000"/>
                <w:sz w:val="22"/>
                <w:szCs w:val="22"/>
              </w:rPr>
            </w:pPr>
            <w:r w:rsidRPr="00CA264C">
              <w:rPr>
                <w:rFonts w:ascii="Arial Narrow" w:eastAsia="Times New Roman" w:hAnsi="Arial Narrow" w:cs="Calibri"/>
                <w:b/>
                <w:bCs/>
                <w:color w:val="000000"/>
                <w:sz w:val="22"/>
                <w:szCs w:val="22"/>
              </w:rPr>
              <w:t>6</w:t>
            </w:r>
          </w:p>
        </w:tc>
        <w:tc>
          <w:tcPr>
            <w:tcW w:w="806" w:type="dxa"/>
            <w:tcBorders>
              <w:top w:val="single" w:sz="8" w:space="0" w:color="auto"/>
              <w:left w:val="nil"/>
              <w:bottom w:val="single" w:sz="8" w:space="0" w:color="auto"/>
              <w:right w:val="single" w:sz="8" w:space="0" w:color="auto"/>
            </w:tcBorders>
            <w:shd w:val="clear" w:color="auto" w:fill="auto"/>
            <w:noWrap/>
            <w:vAlign w:val="center"/>
            <w:hideMark/>
          </w:tcPr>
          <w:p w14:paraId="724DDB43" w14:textId="77777777" w:rsidR="00CA264C" w:rsidRPr="00CA264C" w:rsidRDefault="00CA264C" w:rsidP="00CA264C">
            <w:pPr>
              <w:jc w:val="center"/>
              <w:rPr>
                <w:rFonts w:ascii="Arial Narrow" w:eastAsia="Times New Roman" w:hAnsi="Arial Narrow" w:cs="Calibri"/>
                <w:b/>
                <w:bCs/>
                <w:color w:val="000000"/>
                <w:sz w:val="22"/>
                <w:szCs w:val="22"/>
              </w:rPr>
            </w:pPr>
            <w:r w:rsidRPr="00CA264C">
              <w:rPr>
                <w:rFonts w:ascii="Arial Narrow" w:eastAsia="Times New Roman" w:hAnsi="Arial Narrow" w:cs="Calibri"/>
                <w:b/>
                <w:bCs/>
                <w:color w:val="000000"/>
                <w:sz w:val="22"/>
                <w:szCs w:val="22"/>
              </w:rPr>
              <w:t>63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2FE19007" w14:textId="77777777" w:rsidR="00CA264C" w:rsidRPr="00CA264C" w:rsidRDefault="00CA264C" w:rsidP="00CA264C">
            <w:pPr>
              <w:jc w:val="center"/>
              <w:rPr>
                <w:rFonts w:ascii="Arial Narrow" w:eastAsia="Times New Roman" w:hAnsi="Arial Narrow" w:cs="Calibri"/>
                <w:b/>
                <w:bCs/>
                <w:color w:val="000000"/>
                <w:sz w:val="22"/>
                <w:szCs w:val="22"/>
              </w:rPr>
            </w:pPr>
            <w:r w:rsidRPr="00CA264C">
              <w:rPr>
                <w:rFonts w:ascii="Arial Narrow" w:eastAsia="Times New Roman" w:hAnsi="Arial Narrow" w:cs="Calibri"/>
                <w:b/>
                <w:bCs/>
                <w:color w:val="000000"/>
                <w:sz w:val="22"/>
                <w:szCs w:val="22"/>
              </w:rPr>
              <w:t xml:space="preserve"> </w:t>
            </w:r>
          </w:p>
        </w:tc>
        <w:tc>
          <w:tcPr>
            <w:tcW w:w="3667" w:type="dxa"/>
            <w:tcBorders>
              <w:top w:val="single" w:sz="8" w:space="0" w:color="auto"/>
              <w:left w:val="nil"/>
              <w:bottom w:val="single" w:sz="8" w:space="0" w:color="auto"/>
              <w:right w:val="single" w:sz="8" w:space="0" w:color="auto"/>
            </w:tcBorders>
            <w:shd w:val="clear" w:color="auto" w:fill="auto"/>
            <w:vAlign w:val="center"/>
            <w:hideMark/>
          </w:tcPr>
          <w:p w14:paraId="7B5F2B97" w14:textId="77777777" w:rsidR="00CA264C" w:rsidRPr="00CA264C" w:rsidRDefault="00CA264C" w:rsidP="00CA264C">
            <w:pPr>
              <w:jc w:val="both"/>
              <w:rPr>
                <w:rFonts w:ascii="Arial Narrow" w:eastAsia="Times New Roman" w:hAnsi="Arial Narrow" w:cs="Calibri"/>
                <w:b/>
                <w:bCs/>
                <w:color w:val="000000"/>
                <w:sz w:val="22"/>
                <w:szCs w:val="22"/>
              </w:rPr>
            </w:pPr>
            <w:r w:rsidRPr="00CA264C">
              <w:rPr>
                <w:rFonts w:ascii="Arial Narrow" w:eastAsia="Times New Roman" w:hAnsi="Arial Narrow" w:cs="Calibri"/>
                <w:b/>
                <w:bCs/>
                <w:color w:val="000000"/>
                <w:sz w:val="22"/>
                <w:szCs w:val="22"/>
              </w:rPr>
              <w:t>Información a revelar</w:t>
            </w:r>
          </w:p>
        </w:tc>
        <w:tc>
          <w:tcPr>
            <w:tcW w:w="2241" w:type="dxa"/>
            <w:tcBorders>
              <w:top w:val="single" w:sz="8" w:space="0" w:color="auto"/>
              <w:left w:val="nil"/>
              <w:bottom w:val="single" w:sz="8" w:space="0" w:color="auto"/>
              <w:right w:val="single" w:sz="8" w:space="0" w:color="auto"/>
            </w:tcBorders>
            <w:shd w:val="clear" w:color="auto" w:fill="auto"/>
            <w:vAlign w:val="center"/>
            <w:hideMark/>
          </w:tcPr>
          <w:p w14:paraId="06737E45" w14:textId="77777777" w:rsidR="001F18A0" w:rsidRDefault="00CA264C" w:rsidP="00CA264C">
            <w:pPr>
              <w:jc w:val="both"/>
              <w:rPr>
                <w:rFonts w:ascii="Arial Narrow" w:eastAsia="Times New Roman" w:hAnsi="Arial Narrow" w:cs="Calibri"/>
                <w:b/>
                <w:bCs/>
                <w:color w:val="000000"/>
                <w:sz w:val="22"/>
                <w:szCs w:val="22"/>
              </w:rPr>
            </w:pPr>
            <w:r w:rsidRPr="00CA264C">
              <w:rPr>
                <w:rFonts w:ascii="Arial Narrow" w:eastAsia="Times New Roman" w:hAnsi="Arial Narrow" w:cs="Calibri"/>
                <w:b/>
                <w:bCs/>
                <w:color w:val="000000"/>
                <w:sz w:val="22"/>
                <w:szCs w:val="22"/>
              </w:rPr>
              <w:t>NICSP N° 3,</w:t>
            </w:r>
          </w:p>
          <w:p w14:paraId="0D1831E6" w14:textId="12DEBFDF" w:rsidR="00CA264C" w:rsidRPr="00CA264C" w:rsidRDefault="00CA264C" w:rsidP="00CA264C">
            <w:pPr>
              <w:jc w:val="both"/>
              <w:rPr>
                <w:rFonts w:ascii="Arial Narrow" w:eastAsia="Times New Roman" w:hAnsi="Arial Narrow" w:cs="Calibri"/>
                <w:b/>
                <w:bCs/>
                <w:color w:val="000000"/>
                <w:sz w:val="22"/>
                <w:szCs w:val="22"/>
              </w:rPr>
            </w:pPr>
            <w:r w:rsidRPr="00CA264C">
              <w:rPr>
                <w:rFonts w:ascii="Arial Narrow" w:eastAsia="Times New Roman" w:hAnsi="Arial Narrow" w:cs="Calibri"/>
                <w:b/>
                <w:bCs/>
                <w:color w:val="000000"/>
                <w:sz w:val="22"/>
                <w:szCs w:val="22"/>
              </w:rPr>
              <w:t>Párrafos 33 a 36.</w:t>
            </w:r>
          </w:p>
        </w:tc>
        <w:tc>
          <w:tcPr>
            <w:tcW w:w="1885" w:type="dxa"/>
            <w:tcBorders>
              <w:top w:val="single" w:sz="8" w:space="0" w:color="auto"/>
              <w:left w:val="nil"/>
              <w:bottom w:val="single" w:sz="8" w:space="0" w:color="auto"/>
              <w:right w:val="single" w:sz="8" w:space="0" w:color="auto"/>
            </w:tcBorders>
            <w:shd w:val="clear" w:color="auto" w:fill="auto"/>
            <w:vAlign w:val="center"/>
            <w:hideMark/>
          </w:tcPr>
          <w:p w14:paraId="743F09B6" w14:textId="77777777" w:rsidR="00CA264C" w:rsidRPr="00CA264C" w:rsidRDefault="00CA264C" w:rsidP="00CA264C">
            <w:pPr>
              <w:jc w:val="center"/>
              <w:rPr>
                <w:rFonts w:ascii="Arial Narrow" w:eastAsia="Times New Roman" w:hAnsi="Arial Narrow" w:cs="Calibri"/>
                <w:b/>
                <w:bCs/>
                <w:color w:val="000000"/>
                <w:sz w:val="22"/>
                <w:szCs w:val="22"/>
              </w:rPr>
            </w:pPr>
            <w:r w:rsidRPr="00CA264C">
              <w:rPr>
                <w:rFonts w:ascii="Arial Narrow" w:eastAsia="Times New Roman" w:hAnsi="Arial Narrow" w:cs="Calibri"/>
                <w:b/>
                <w:bCs/>
                <w:color w:val="000000"/>
                <w:sz w:val="22"/>
                <w:szCs w:val="22"/>
              </w:rPr>
              <w:t> </w:t>
            </w:r>
          </w:p>
        </w:tc>
      </w:tr>
    </w:tbl>
    <w:p w14:paraId="193D5BED" w14:textId="77777777" w:rsidR="00D263E2" w:rsidRDefault="00D263E2" w:rsidP="00D033EC">
      <w:pPr>
        <w:pStyle w:val="Default"/>
        <w:jc w:val="both"/>
        <w:rPr>
          <w:sz w:val="23"/>
          <w:szCs w:val="23"/>
          <w:lang w:val="es-CR"/>
        </w:rPr>
      </w:pPr>
    </w:p>
    <w:p w14:paraId="0F5B27E3" w14:textId="0DE660C1" w:rsidR="001F18A0" w:rsidRDefault="001F18A0" w:rsidP="001F18A0">
      <w:pPr>
        <w:pStyle w:val="Default"/>
        <w:ind w:left="1134" w:hanging="1134"/>
        <w:jc w:val="both"/>
        <w:rPr>
          <w:rFonts w:eastAsia="Arial"/>
          <w:b/>
          <w:sz w:val="22"/>
          <w:szCs w:val="22"/>
        </w:rPr>
      </w:pPr>
      <w:r w:rsidRPr="00F02F9D">
        <w:rPr>
          <w:rFonts w:eastAsia="Arial"/>
          <w:b/>
          <w:sz w:val="22"/>
          <w:szCs w:val="22"/>
        </w:rPr>
        <w:t>Política Contable</w:t>
      </w:r>
    </w:p>
    <w:p w14:paraId="4A78978F" w14:textId="77777777" w:rsidR="001F18A0" w:rsidRDefault="001F18A0" w:rsidP="00D033EC">
      <w:pPr>
        <w:pStyle w:val="Default"/>
        <w:jc w:val="both"/>
        <w:rPr>
          <w:sz w:val="23"/>
          <w:szCs w:val="23"/>
          <w:lang w:val="es-CR"/>
        </w:rPr>
      </w:pPr>
    </w:p>
    <w:p w14:paraId="0E9E69E7" w14:textId="77777777" w:rsidR="00B735D8" w:rsidRDefault="00B735D8" w:rsidP="00B735D8">
      <w:pPr>
        <w:pStyle w:val="Default"/>
        <w:ind w:left="1134" w:hanging="1134"/>
        <w:jc w:val="both"/>
        <w:rPr>
          <w:sz w:val="22"/>
          <w:szCs w:val="22"/>
          <w:lang w:val="es-CR"/>
        </w:rPr>
      </w:pPr>
      <w:r>
        <w:rPr>
          <w:sz w:val="22"/>
          <w:szCs w:val="22"/>
          <w:lang w:val="es-CR"/>
        </w:rPr>
        <w:t>6.63.0.01</w:t>
      </w:r>
      <w:r>
        <w:rPr>
          <w:sz w:val="22"/>
          <w:szCs w:val="22"/>
          <w:lang w:val="es-CR"/>
        </w:rPr>
        <w:tab/>
      </w:r>
      <w:r w:rsidR="00CA264C" w:rsidRPr="00B735D8">
        <w:rPr>
          <w:sz w:val="22"/>
          <w:szCs w:val="22"/>
          <w:lang w:val="es-CR"/>
        </w:rPr>
        <w:t>Las entidades deberán presentar información en el ejercicio en que se produce el cambio y podrá omitirse en los EEFF de períodos posteriores, en la medida en que el cambio responda a los siguientes requisitos:</w:t>
      </w:r>
    </w:p>
    <w:p w14:paraId="75658B4E" w14:textId="2758A428" w:rsidR="00CA264C" w:rsidRPr="00B735D8" w:rsidRDefault="00CA264C" w:rsidP="00B735D8">
      <w:pPr>
        <w:pStyle w:val="Default"/>
        <w:ind w:left="1134" w:hanging="1134"/>
        <w:jc w:val="both"/>
        <w:rPr>
          <w:sz w:val="22"/>
          <w:szCs w:val="22"/>
          <w:lang w:val="es-CR"/>
        </w:rPr>
      </w:pPr>
      <w:r w:rsidRPr="00B735D8">
        <w:rPr>
          <w:sz w:val="22"/>
          <w:szCs w:val="22"/>
          <w:lang w:val="es-CR"/>
        </w:rPr>
        <w:t xml:space="preserve"> </w:t>
      </w:r>
    </w:p>
    <w:p w14:paraId="7B802170" w14:textId="77777777" w:rsidR="00B735D8" w:rsidRDefault="00CA264C">
      <w:pPr>
        <w:pStyle w:val="Default"/>
        <w:numPr>
          <w:ilvl w:val="0"/>
          <w:numId w:val="388"/>
        </w:numPr>
        <w:spacing w:after="20"/>
        <w:ind w:left="1418" w:hanging="284"/>
        <w:jc w:val="both"/>
        <w:rPr>
          <w:sz w:val="22"/>
          <w:szCs w:val="22"/>
          <w:lang w:val="es-CR"/>
        </w:rPr>
      </w:pPr>
      <w:r w:rsidRPr="00B735D8">
        <w:rPr>
          <w:sz w:val="22"/>
          <w:szCs w:val="22"/>
          <w:lang w:val="es-CR"/>
        </w:rPr>
        <w:t xml:space="preserve">Cuando la </w:t>
      </w:r>
      <w:r w:rsidRPr="00B735D8">
        <w:rPr>
          <w:b/>
          <w:bCs/>
          <w:sz w:val="22"/>
          <w:szCs w:val="22"/>
          <w:lang w:val="es-CR"/>
        </w:rPr>
        <w:t xml:space="preserve">aplicación por primera vez de una NICSP </w:t>
      </w:r>
      <w:r w:rsidRPr="00B735D8">
        <w:rPr>
          <w:sz w:val="22"/>
          <w:szCs w:val="22"/>
          <w:lang w:val="es-CR"/>
        </w:rPr>
        <w:t>tenga efecto en el período corriente o en alguno anterior, salvo que fuera impracticable determinar el importe del ajuste o pudiera tener un efecto sobre períodos futuros, una entidad revelará:</w:t>
      </w:r>
    </w:p>
    <w:p w14:paraId="539E263F" w14:textId="20085A62" w:rsidR="00CA264C" w:rsidRPr="00B735D8" w:rsidRDefault="00CA264C" w:rsidP="00B735D8">
      <w:pPr>
        <w:pStyle w:val="Default"/>
        <w:spacing w:after="20"/>
        <w:ind w:left="1418"/>
        <w:jc w:val="both"/>
        <w:rPr>
          <w:sz w:val="22"/>
          <w:szCs w:val="22"/>
          <w:lang w:val="es-CR"/>
        </w:rPr>
      </w:pPr>
      <w:r w:rsidRPr="00B735D8">
        <w:rPr>
          <w:sz w:val="22"/>
          <w:szCs w:val="22"/>
          <w:lang w:val="es-CR"/>
        </w:rPr>
        <w:t xml:space="preserve"> </w:t>
      </w:r>
    </w:p>
    <w:p w14:paraId="752E22EA" w14:textId="47CA8182" w:rsidR="00CA264C" w:rsidRPr="00B735D8" w:rsidRDefault="00B735D8">
      <w:pPr>
        <w:pStyle w:val="Default"/>
        <w:numPr>
          <w:ilvl w:val="0"/>
          <w:numId w:val="389"/>
        </w:numPr>
        <w:spacing w:after="120"/>
        <w:ind w:left="1843" w:hanging="142"/>
        <w:jc w:val="both"/>
        <w:rPr>
          <w:sz w:val="22"/>
          <w:szCs w:val="22"/>
          <w:lang w:val="es-CR"/>
        </w:rPr>
      </w:pPr>
      <w:r>
        <w:rPr>
          <w:sz w:val="22"/>
          <w:szCs w:val="22"/>
          <w:lang w:val="es-CR"/>
        </w:rPr>
        <w:t>E</w:t>
      </w:r>
      <w:r w:rsidR="00CA264C" w:rsidRPr="00B735D8">
        <w:rPr>
          <w:sz w:val="22"/>
          <w:szCs w:val="22"/>
          <w:lang w:val="es-CR"/>
        </w:rPr>
        <w:t xml:space="preserve">l título de la Norma; </w:t>
      </w:r>
    </w:p>
    <w:p w14:paraId="05FE57A8" w14:textId="47E0E3CA" w:rsidR="00CA264C" w:rsidRPr="00B735D8" w:rsidRDefault="00B735D8">
      <w:pPr>
        <w:pStyle w:val="Default"/>
        <w:numPr>
          <w:ilvl w:val="0"/>
          <w:numId w:val="389"/>
        </w:numPr>
        <w:spacing w:after="120"/>
        <w:ind w:left="1843" w:hanging="142"/>
        <w:jc w:val="both"/>
        <w:rPr>
          <w:sz w:val="22"/>
          <w:szCs w:val="22"/>
          <w:lang w:val="es-CR"/>
        </w:rPr>
      </w:pPr>
      <w:r>
        <w:rPr>
          <w:sz w:val="22"/>
          <w:szCs w:val="22"/>
          <w:lang w:val="es-CR"/>
        </w:rPr>
        <w:t>E</w:t>
      </w:r>
      <w:r w:rsidR="00CA264C" w:rsidRPr="00B735D8">
        <w:rPr>
          <w:sz w:val="22"/>
          <w:szCs w:val="22"/>
          <w:lang w:val="es-CR"/>
        </w:rPr>
        <w:t xml:space="preserve">n su caso, que el cambio en la política contable se ha efectuado de acuerdo con su disposición transitoria; </w:t>
      </w:r>
    </w:p>
    <w:p w14:paraId="09758A32" w14:textId="2E10AE8B" w:rsidR="00CA264C" w:rsidRPr="00B735D8" w:rsidRDefault="00B735D8">
      <w:pPr>
        <w:pStyle w:val="Default"/>
        <w:numPr>
          <w:ilvl w:val="0"/>
          <w:numId w:val="389"/>
        </w:numPr>
        <w:spacing w:after="120"/>
        <w:ind w:left="1843" w:hanging="142"/>
        <w:jc w:val="both"/>
        <w:rPr>
          <w:sz w:val="22"/>
          <w:szCs w:val="22"/>
          <w:lang w:val="es-CR"/>
        </w:rPr>
      </w:pPr>
      <w:r>
        <w:rPr>
          <w:sz w:val="22"/>
          <w:szCs w:val="22"/>
          <w:lang w:val="es-CR"/>
        </w:rPr>
        <w:t>L</w:t>
      </w:r>
      <w:r w:rsidR="00CA264C" w:rsidRPr="00B735D8">
        <w:rPr>
          <w:sz w:val="22"/>
          <w:szCs w:val="22"/>
          <w:lang w:val="es-CR"/>
        </w:rPr>
        <w:t xml:space="preserve">a naturaleza del cambio en la política contable; </w:t>
      </w:r>
    </w:p>
    <w:p w14:paraId="7D43628C" w14:textId="01DE18E0" w:rsidR="00CA264C" w:rsidRPr="00B735D8" w:rsidRDefault="00B735D8">
      <w:pPr>
        <w:pStyle w:val="Default"/>
        <w:numPr>
          <w:ilvl w:val="0"/>
          <w:numId w:val="389"/>
        </w:numPr>
        <w:spacing w:after="120"/>
        <w:ind w:left="1843" w:hanging="142"/>
        <w:jc w:val="both"/>
        <w:rPr>
          <w:sz w:val="22"/>
          <w:szCs w:val="22"/>
          <w:lang w:val="es-CR"/>
        </w:rPr>
      </w:pPr>
      <w:r>
        <w:rPr>
          <w:sz w:val="22"/>
          <w:szCs w:val="22"/>
          <w:lang w:val="es-CR"/>
        </w:rPr>
        <w:t>C</w:t>
      </w:r>
      <w:r w:rsidR="00CA264C" w:rsidRPr="00B735D8">
        <w:rPr>
          <w:sz w:val="22"/>
          <w:szCs w:val="22"/>
          <w:lang w:val="es-CR"/>
        </w:rPr>
        <w:t xml:space="preserve">uando resulte aplicable, una descripción de la disposición transitoria; </w:t>
      </w:r>
    </w:p>
    <w:p w14:paraId="735CB7B5" w14:textId="65E94EAC" w:rsidR="00B735D8" w:rsidRDefault="00B735D8">
      <w:pPr>
        <w:pStyle w:val="Default"/>
        <w:numPr>
          <w:ilvl w:val="0"/>
          <w:numId w:val="389"/>
        </w:numPr>
        <w:spacing w:after="120"/>
        <w:ind w:left="1843" w:hanging="142"/>
        <w:jc w:val="both"/>
        <w:rPr>
          <w:sz w:val="22"/>
          <w:szCs w:val="22"/>
          <w:lang w:val="es-CR"/>
        </w:rPr>
      </w:pPr>
      <w:r>
        <w:rPr>
          <w:sz w:val="22"/>
          <w:szCs w:val="22"/>
          <w:lang w:val="es-CR"/>
        </w:rPr>
        <w:t>C</w:t>
      </w:r>
      <w:r w:rsidR="00CA264C" w:rsidRPr="00B735D8">
        <w:rPr>
          <w:sz w:val="22"/>
          <w:szCs w:val="22"/>
          <w:lang w:val="es-CR"/>
        </w:rPr>
        <w:t xml:space="preserve">uando resulte aplicable, la disposición transitoria que podría tener efectos sobre períodos futuros; </w:t>
      </w:r>
    </w:p>
    <w:p w14:paraId="48611327" w14:textId="7968A73C" w:rsidR="00CA264C" w:rsidRPr="00B735D8" w:rsidRDefault="00B735D8">
      <w:pPr>
        <w:pStyle w:val="Default"/>
        <w:numPr>
          <w:ilvl w:val="0"/>
          <w:numId w:val="389"/>
        </w:numPr>
        <w:spacing w:after="120"/>
        <w:ind w:left="1843" w:hanging="142"/>
        <w:jc w:val="both"/>
        <w:rPr>
          <w:sz w:val="22"/>
          <w:szCs w:val="22"/>
          <w:lang w:val="es-CR"/>
        </w:rPr>
      </w:pPr>
      <w:r>
        <w:rPr>
          <w:sz w:val="22"/>
          <w:szCs w:val="22"/>
          <w:lang w:val="es-CR"/>
        </w:rPr>
        <w:t>P</w:t>
      </w:r>
      <w:r w:rsidR="00CA264C" w:rsidRPr="00B735D8">
        <w:rPr>
          <w:sz w:val="22"/>
          <w:szCs w:val="22"/>
          <w:lang w:val="es-CR"/>
        </w:rPr>
        <w:t xml:space="preserve">ara el período corriente y para cada período anterior del que se presente información, en la medida en que sea practicable, el importe del ajuste para cada línea de partida de los estados financieros afectados; </w:t>
      </w:r>
    </w:p>
    <w:p w14:paraId="4F288F91" w14:textId="1C324565" w:rsidR="00CA264C" w:rsidRPr="00B735D8" w:rsidRDefault="00B735D8">
      <w:pPr>
        <w:pStyle w:val="Default"/>
        <w:numPr>
          <w:ilvl w:val="0"/>
          <w:numId w:val="389"/>
        </w:numPr>
        <w:spacing w:after="120"/>
        <w:ind w:left="1843" w:hanging="142"/>
        <w:jc w:val="both"/>
        <w:rPr>
          <w:sz w:val="22"/>
          <w:szCs w:val="22"/>
          <w:lang w:val="es-CR"/>
        </w:rPr>
      </w:pPr>
      <w:r>
        <w:rPr>
          <w:sz w:val="22"/>
          <w:szCs w:val="22"/>
          <w:lang w:val="es-CR"/>
        </w:rPr>
        <w:t>E</w:t>
      </w:r>
      <w:r w:rsidR="00CA264C" w:rsidRPr="00B735D8">
        <w:rPr>
          <w:sz w:val="22"/>
          <w:szCs w:val="22"/>
          <w:lang w:val="es-CR"/>
        </w:rPr>
        <w:t xml:space="preserve">l importe del ajuste relativo a períodos anteriores presentados, en la medida en que sea practicable; y </w:t>
      </w:r>
    </w:p>
    <w:p w14:paraId="621883B1" w14:textId="520FD8AB" w:rsidR="00CA264C" w:rsidRDefault="00B735D8">
      <w:pPr>
        <w:pStyle w:val="Default"/>
        <w:numPr>
          <w:ilvl w:val="0"/>
          <w:numId w:val="389"/>
        </w:numPr>
        <w:ind w:left="1843" w:hanging="142"/>
        <w:jc w:val="both"/>
        <w:rPr>
          <w:sz w:val="22"/>
          <w:szCs w:val="22"/>
          <w:lang w:val="es-CR"/>
        </w:rPr>
      </w:pPr>
      <w:r>
        <w:rPr>
          <w:sz w:val="22"/>
          <w:szCs w:val="22"/>
          <w:lang w:val="es-CR"/>
        </w:rPr>
        <w:t>S</w:t>
      </w:r>
      <w:r w:rsidR="00CA264C" w:rsidRPr="00B735D8">
        <w:rPr>
          <w:sz w:val="22"/>
          <w:szCs w:val="22"/>
          <w:lang w:val="es-CR"/>
        </w:rPr>
        <w:t>i la aplicación retroactiva, fuera impracticable para un período previo en concreto, o para períodos anteriores sobre los que se presente información, las circunstancias que conducen a la existencia de esa situación y una descripción de cómo y desde cuándo se ha aplicado el cambio en la política contable.</w:t>
      </w:r>
    </w:p>
    <w:p w14:paraId="39FD3DE8" w14:textId="77777777" w:rsidR="00B735D8" w:rsidRPr="00B735D8" w:rsidRDefault="00B735D8" w:rsidP="00B735D8">
      <w:pPr>
        <w:pStyle w:val="Default"/>
        <w:spacing w:after="20"/>
        <w:ind w:left="720"/>
        <w:jc w:val="both"/>
        <w:rPr>
          <w:sz w:val="22"/>
          <w:szCs w:val="22"/>
          <w:lang w:val="es-CR"/>
        </w:rPr>
      </w:pPr>
    </w:p>
    <w:p w14:paraId="61810B38" w14:textId="488A8A42" w:rsidR="00CA264C" w:rsidRDefault="00CA264C">
      <w:pPr>
        <w:pStyle w:val="Default"/>
        <w:numPr>
          <w:ilvl w:val="0"/>
          <w:numId w:val="388"/>
        </w:numPr>
        <w:spacing w:after="20"/>
        <w:ind w:left="1418" w:hanging="284"/>
        <w:jc w:val="both"/>
        <w:rPr>
          <w:sz w:val="22"/>
          <w:szCs w:val="22"/>
          <w:lang w:val="es-CR"/>
        </w:rPr>
      </w:pPr>
      <w:r w:rsidRPr="00B735D8">
        <w:rPr>
          <w:sz w:val="22"/>
          <w:szCs w:val="22"/>
          <w:lang w:val="es-CR"/>
        </w:rPr>
        <w:lastRenderedPageBreak/>
        <w:t xml:space="preserve">Cuando un </w:t>
      </w:r>
      <w:r w:rsidRPr="00B735D8">
        <w:rPr>
          <w:b/>
          <w:bCs/>
          <w:sz w:val="22"/>
          <w:szCs w:val="22"/>
          <w:lang w:val="es-CR"/>
        </w:rPr>
        <w:t xml:space="preserve">cambio voluntario en una política contable </w:t>
      </w:r>
      <w:r w:rsidRPr="00B735D8">
        <w:rPr>
          <w:sz w:val="22"/>
          <w:szCs w:val="22"/>
          <w:lang w:val="es-CR"/>
        </w:rPr>
        <w:t>tenga efecto en el período corriente o en algún período anterior, excepto que fuera impracticable determinar el importe del ajuste, o pudiera tener efecto sobre períodos futuros, la entidad revelará: i. la naturaleza del cambio en la política contable;</w:t>
      </w:r>
    </w:p>
    <w:p w14:paraId="0627DAF6" w14:textId="77777777" w:rsidR="00B735D8" w:rsidRPr="00B735D8" w:rsidRDefault="00B735D8" w:rsidP="00B735D8">
      <w:pPr>
        <w:pStyle w:val="Default"/>
        <w:spacing w:after="20"/>
        <w:ind w:left="1418"/>
        <w:jc w:val="both"/>
        <w:rPr>
          <w:sz w:val="22"/>
          <w:szCs w:val="22"/>
          <w:lang w:val="es-CR"/>
        </w:rPr>
      </w:pPr>
    </w:p>
    <w:p w14:paraId="2E984F18" w14:textId="59F4D3A1" w:rsidR="00CA264C" w:rsidRPr="00B735D8" w:rsidRDefault="00B735D8">
      <w:pPr>
        <w:pStyle w:val="Default"/>
        <w:numPr>
          <w:ilvl w:val="0"/>
          <w:numId w:val="390"/>
        </w:numPr>
        <w:spacing w:after="120"/>
        <w:ind w:left="1701" w:hanging="142"/>
        <w:jc w:val="both"/>
        <w:rPr>
          <w:sz w:val="22"/>
          <w:szCs w:val="22"/>
          <w:lang w:val="es-CR"/>
        </w:rPr>
      </w:pPr>
      <w:r>
        <w:rPr>
          <w:sz w:val="22"/>
          <w:szCs w:val="22"/>
          <w:lang w:val="es-CR"/>
        </w:rPr>
        <w:t>L</w:t>
      </w:r>
      <w:r w:rsidR="00CA264C" w:rsidRPr="00B735D8">
        <w:rPr>
          <w:sz w:val="22"/>
          <w:szCs w:val="22"/>
          <w:lang w:val="es-CR"/>
        </w:rPr>
        <w:t xml:space="preserve">as razones por las que la aplicación de la nueva política contable suministra información más fiable y relevante; </w:t>
      </w:r>
    </w:p>
    <w:p w14:paraId="241F06D7" w14:textId="5DC518E5" w:rsidR="00CA264C" w:rsidRPr="00B735D8" w:rsidRDefault="00B735D8">
      <w:pPr>
        <w:pStyle w:val="Default"/>
        <w:numPr>
          <w:ilvl w:val="0"/>
          <w:numId w:val="390"/>
        </w:numPr>
        <w:spacing w:after="120"/>
        <w:ind w:left="1701" w:hanging="142"/>
        <w:jc w:val="both"/>
        <w:rPr>
          <w:sz w:val="22"/>
          <w:szCs w:val="22"/>
          <w:lang w:val="es-CR"/>
        </w:rPr>
      </w:pPr>
      <w:r>
        <w:rPr>
          <w:sz w:val="22"/>
          <w:szCs w:val="22"/>
          <w:lang w:val="es-CR"/>
        </w:rPr>
        <w:t>P</w:t>
      </w:r>
      <w:r w:rsidR="00CA264C" w:rsidRPr="00B735D8">
        <w:rPr>
          <w:sz w:val="22"/>
          <w:szCs w:val="22"/>
          <w:lang w:val="es-CR"/>
        </w:rPr>
        <w:t xml:space="preserve">ara el período corriente y para cada período anterior del que se presente información, en la medida en que sea practicable, el importe del ajuste para cada línea de partida de los estados financieros afectados; </w:t>
      </w:r>
    </w:p>
    <w:p w14:paraId="6F087B6B" w14:textId="77777777" w:rsidR="00B735D8" w:rsidRDefault="00B735D8">
      <w:pPr>
        <w:pStyle w:val="Default"/>
        <w:numPr>
          <w:ilvl w:val="0"/>
          <w:numId w:val="390"/>
        </w:numPr>
        <w:spacing w:after="120"/>
        <w:ind w:left="1701" w:hanging="142"/>
        <w:jc w:val="both"/>
        <w:rPr>
          <w:sz w:val="22"/>
          <w:szCs w:val="22"/>
          <w:lang w:val="es-CR"/>
        </w:rPr>
      </w:pPr>
      <w:r>
        <w:rPr>
          <w:sz w:val="22"/>
          <w:szCs w:val="22"/>
          <w:lang w:val="es-CR"/>
        </w:rPr>
        <w:t>E</w:t>
      </w:r>
      <w:r w:rsidR="00CA264C" w:rsidRPr="00B735D8">
        <w:rPr>
          <w:sz w:val="22"/>
          <w:szCs w:val="22"/>
          <w:lang w:val="es-CR"/>
        </w:rPr>
        <w:t xml:space="preserve">l importe del ajuste relativo a períodos anteriores presentados, en la medida en que sea practicable; y </w:t>
      </w:r>
    </w:p>
    <w:p w14:paraId="40C53C42" w14:textId="741E439B" w:rsidR="00CA264C" w:rsidRDefault="00B735D8">
      <w:pPr>
        <w:pStyle w:val="Default"/>
        <w:numPr>
          <w:ilvl w:val="0"/>
          <w:numId w:val="390"/>
        </w:numPr>
        <w:spacing w:after="18"/>
        <w:ind w:left="1701" w:hanging="141"/>
        <w:jc w:val="both"/>
        <w:rPr>
          <w:sz w:val="22"/>
          <w:szCs w:val="22"/>
          <w:lang w:val="es-CR"/>
        </w:rPr>
      </w:pPr>
      <w:r>
        <w:rPr>
          <w:sz w:val="22"/>
          <w:szCs w:val="22"/>
          <w:lang w:val="es-CR"/>
        </w:rPr>
        <w:t>S</w:t>
      </w:r>
      <w:r w:rsidR="00CA264C" w:rsidRPr="00B735D8">
        <w:rPr>
          <w:sz w:val="22"/>
          <w:szCs w:val="22"/>
          <w:lang w:val="es-CR"/>
        </w:rPr>
        <w:t>i la aplicación retroactiva fuera impracticable para un período anterior en particular, o para períodos anteriores presentados, las circunstancias que conducen a la existencia de esa condición, y una descripción de cómo y desde cuándo se ha aplicado el cambio en la política contable.</w:t>
      </w:r>
    </w:p>
    <w:p w14:paraId="53B85308" w14:textId="77777777" w:rsidR="00B735D8" w:rsidRPr="00B735D8" w:rsidRDefault="00B735D8" w:rsidP="00B735D8">
      <w:pPr>
        <w:pStyle w:val="Default"/>
        <w:spacing w:after="18"/>
        <w:jc w:val="both"/>
        <w:rPr>
          <w:sz w:val="22"/>
          <w:szCs w:val="22"/>
          <w:lang w:val="es-CR"/>
        </w:rPr>
      </w:pPr>
    </w:p>
    <w:p w14:paraId="181A87B8" w14:textId="77777777" w:rsidR="00B735D8" w:rsidRDefault="00CA264C">
      <w:pPr>
        <w:pStyle w:val="Default"/>
        <w:numPr>
          <w:ilvl w:val="0"/>
          <w:numId w:val="388"/>
        </w:numPr>
        <w:spacing w:after="20"/>
        <w:ind w:left="1418" w:hanging="284"/>
        <w:jc w:val="both"/>
        <w:rPr>
          <w:sz w:val="22"/>
          <w:szCs w:val="22"/>
          <w:lang w:val="es-CR"/>
        </w:rPr>
      </w:pPr>
      <w:r w:rsidRPr="00B735D8">
        <w:rPr>
          <w:sz w:val="22"/>
          <w:szCs w:val="22"/>
          <w:lang w:val="es-CR"/>
        </w:rPr>
        <w:t>Cuando una entidad no haya aplicado</w:t>
      </w:r>
      <w:r w:rsidRPr="00B735D8">
        <w:rPr>
          <w:b/>
          <w:bCs/>
          <w:sz w:val="22"/>
          <w:szCs w:val="22"/>
          <w:lang w:val="es-CR"/>
        </w:rPr>
        <w:t xml:space="preserve"> una nueva NICSP </w:t>
      </w:r>
      <w:r w:rsidRPr="00B735D8">
        <w:rPr>
          <w:sz w:val="22"/>
          <w:szCs w:val="22"/>
          <w:lang w:val="es-CR"/>
        </w:rPr>
        <w:t>que habiendo sido emitida todavía no ha entrado en vigor, la entidad revelará:</w:t>
      </w:r>
    </w:p>
    <w:p w14:paraId="7AE95045" w14:textId="7E40D439" w:rsidR="00B735D8" w:rsidRDefault="00CA264C" w:rsidP="00B735D8">
      <w:pPr>
        <w:pStyle w:val="Default"/>
        <w:spacing w:after="20"/>
        <w:ind w:left="1418"/>
        <w:jc w:val="both"/>
        <w:rPr>
          <w:sz w:val="22"/>
          <w:szCs w:val="22"/>
          <w:lang w:val="es-CR"/>
        </w:rPr>
      </w:pPr>
      <w:r w:rsidRPr="00B735D8">
        <w:rPr>
          <w:sz w:val="22"/>
          <w:szCs w:val="22"/>
          <w:lang w:val="es-CR"/>
        </w:rPr>
        <w:t xml:space="preserve"> </w:t>
      </w:r>
    </w:p>
    <w:p w14:paraId="69A59427" w14:textId="7473158D" w:rsidR="00CA264C" w:rsidRPr="00B735D8" w:rsidRDefault="00B735D8">
      <w:pPr>
        <w:pStyle w:val="Default"/>
        <w:numPr>
          <w:ilvl w:val="0"/>
          <w:numId w:val="391"/>
        </w:numPr>
        <w:spacing w:after="120"/>
        <w:ind w:left="1701" w:hanging="142"/>
        <w:jc w:val="both"/>
        <w:rPr>
          <w:sz w:val="22"/>
          <w:szCs w:val="22"/>
          <w:lang w:val="es-CR"/>
        </w:rPr>
      </w:pPr>
      <w:r>
        <w:rPr>
          <w:sz w:val="22"/>
          <w:szCs w:val="22"/>
          <w:lang w:val="es-CR"/>
        </w:rPr>
        <w:t>E</w:t>
      </w:r>
      <w:r w:rsidR="00CA264C" w:rsidRPr="00B735D8">
        <w:rPr>
          <w:sz w:val="22"/>
          <w:szCs w:val="22"/>
          <w:lang w:val="es-CR"/>
        </w:rPr>
        <w:t xml:space="preserve">ste hecho; </w:t>
      </w:r>
    </w:p>
    <w:p w14:paraId="4B554105" w14:textId="77777777" w:rsidR="00B735D8" w:rsidRDefault="00B735D8">
      <w:pPr>
        <w:pStyle w:val="Default"/>
        <w:numPr>
          <w:ilvl w:val="0"/>
          <w:numId w:val="391"/>
        </w:numPr>
        <w:spacing w:after="120"/>
        <w:ind w:left="1701" w:hanging="142"/>
        <w:jc w:val="both"/>
        <w:rPr>
          <w:sz w:val="22"/>
          <w:szCs w:val="22"/>
          <w:lang w:val="es-CR"/>
        </w:rPr>
      </w:pPr>
      <w:r>
        <w:rPr>
          <w:sz w:val="22"/>
          <w:szCs w:val="22"/>
          <w:lang w:val="es-CR"/>
        </w:rPr>
        <w:t>I</w:t>
      </w:r>
      <w:r w:rsidR="00CA264C" w:rsidRPr="00B735D8">
        <w:rPr>
          <w:sz w:val="22"/>
          <w:szCs w:val="22"/>
          <w:lang w:val="es-CR"/>
        </w:rPr>
        <w:t xml:space="preserve">nformación relevante, conocida o razonablemente estimada, para evaluar el posible impacto que la aplicación de la nueva Norma tendría sobre los EEFF de la entidad en el período en que se aplique por primera vez; y </w:t>
      </w:r>
    </w:p>
    <w:p w14:paraId="597123E2" w14:textId="20AC4A10" w:rsidR="00CA264C" w:rsidRPr="00B735D8" w:rsidRDefault="00B735D8">
      <w:pPr>
        <w:pStyle w:val="Default"/>
        <w:numPr>
          <w:ilvl w:val="0"/>
          <w:numId w:val="391"/>
        </w:numPr>
        <w:spacing w:after="20"/>
        <w:ind w:left="1701" w:hanging="141"/>
        <w:jc w:val="both"/>
        <w:rPr>
          <w:sz w:val="22"/>
          <w:szCs w:val="22"/>
          <w:lang w:val="es-CR"/>
        </w:rPr>
      </w:pPr>
      <w:r>
        <w:rPr>
          <w:sz w:val="22"/>
          <w:szCs w:val="22"/>
          <w:lang w:val="es-CR"/>
        </w:rPr>
        <w:t>C</w:t>
      </w:r>
      <w:r w:rsidR="00CA264C" w:rsidRPr="00B735D8">
        <w:rPr>
          <w:sz w:val="22"/>
          <w:szCs w:val="22"/>
          <w:lang w:val="es-CR"/>
        </w:rPr>
        <w:t xml:space="preserve">omo mínimo la siguiente información: </w:t>
      </w:r>
    </w:p>
    <w:p w14:paraId="26338114" w14:textId="77777777" w:rsidR="00B735D8" w:rsidRDefault="00B735D8" w:rsidP="00B735D8">
      <w:pPr>
        <w:pStyle w:val="Default"/>
        <w:spacing w:after="20"/>
        <w:ind w:left="2138"/>
        <w:jc w:val="both"/>
        <w:rPr>
          <w:sz w:val="22"/>
          <w:szCs w:val="22"/>
          <w:lang w:val="es-CR"/>
        </w:rPr>
      </w:pPr>
    </w:p>
    <w:p w14:paraId="4841023F" w14:textId="20EBB50F" w:rsidR="00CA264C" w:rsidRPr="00B735D8" w:rsidRDefault="00B735D8">
      <w:pPr>
        <w:pStyle w:val="Default"/>
        <w:numPr>
          <w:ilvl w:val="0"/>
          <w:numId w:val="392"/>
        </w:numPr>
        <w:spacing w:after="120"/>
        <w:ind w:left="2126" w:hanging="357"/>
        <w:jc w:val="both"/>
        <w:rPr>
          <w:sz w:val="22"/>
          <w:szCs w:val="22"/>
          <w:lang w:val="es-CR"/>
        </w:rPr>
      </w:pPr>
      <w:r>
        <w:rPr>
          <w:sz w:val="22"/>
          <w:szCs w:val="22"/>
          <w:lang w:val="es-CR"/>
        </w:rPr>
        <w:t>E</w:t>
      </w:r>
      <w:r w:rsidR="00CA264C" w:rsidRPr="00B735D8">
        <w:rPr>
          <w:sz w:val="22"/>
          <w:szCs w:val="22"/>
          <w:lang w:val="es-CR"/>
        </w:rPr>
        <w:t xml:space="preserve">l título de la nueva NICSP; </w:t>
      </w:r>
    </w:p>
    <w:p w14:paraId="01001896" w14:textId="1D11B750" w:rsidR="00CA264C" w:rsidRPr="00B735D8" w:rsidRDefault="00B735D8">
      <w:pPr>
        <w:pStyle w:val="Default"/>
        <w:numPr>
          <w:ilvl w:val="0"/>
          <w:numId w:val="392"/>
        </w:numPr>
        <w:spacing w:after="120"/>
        <w:ind w:left="2126" w:hanging="357"/>
        <w:jc w:val="both"/>
        <w:rPr>
          <w:sz w:val="22"/>
          <w:szCs w:val="22"/>
          <w:lang w:val="es-CR"/>
        </w:rPr>
      </w:pPr>
      <w:r>
        <w:rPr>
          <w:sz w:val="22"/>
          <w:szCs w:val="22"/>
          <w:lang w:val="es-CR"/>
        </w:rPr>
        <w:t>L</w:t>
      </w:r>
      <w:r w:rsidR="00CA264C" w:rsidRPr="00B735D8">
        <w:rPr>
          <w:sz w:val="22"/>
          <w:szCs w:val="22"/>
          <w:lang w:val="es-CR"/>
        </w:rPr>
        <w:t xml:space="preserve">a naturaleza del cambio o cambios inminentes en la política contable; </w:t>
      </w:r>
    </w:p>
    <w:p w14:paraId="7BBBE2F8" w14:textId="6365BED3" w:rsidR="00CA264C" w:rsidRPr="00B735D8" w:rsidRDefault="00B735D8">
      <w:pPr>
        <w:pStyle w:val="Default"/>
        <w:numPr>
          <w:ilvl w:val="0"/>
          <w:numId w:val="392"/>
        </w:numPr>
        <w:spacing w:after="120"/>
        <w:ind w:left="2126" w:hanging="357"/>
        <w:jc w:val="both"/>
        <w:rPr>
          <w:sz w:val="22"/>
          <w:szCs w:val="22"/>
          <w:lang w:val="es-CR"/>
        </w:rPr>
      </w:pPr>
      <w:r>
        <w:rPr>
          <w:sz w:val="22"/>
          <w:szCs w:val="22"/>
          <w:lang w:val="es-CR"/>
        </w:rPr>
        <w:t>L</w:t>
      </w:r>
      <w:r w:rsidR="00CA264C" w:rsidRPr="00B735D8">
        <w:rPr>
          <w:sz w:val="22"/>
          <w:szCs w:val="22"/>
          <w:lang w:val="es-CR"/>
        </w:rPr>
        <w:t xml:space="preserve">a fecha en la cual es requerida la aplicación de la Norma; </w:t>
      </w:r>
    </w:p>
    <w:p w14:paraId="71FF31F0" w14:textId="0A3200D8" w:rsidR="00CA264C" w:rsidRPr="00B735D8" w:rsidRDefault="00B735D8">
      <w:pPr>
        <w:pStyle w:val="Default"/>
        <w:numPr>
          <w:ilvl w:val="0"/>
          <w:numId w:val="392"/>
        </w:numPr>
        <w:spacing w:after="120"/>
        <w:ind w:left="2126" w:hanging="357"/>
        <w:jc w:val="both"/>
        <w:rPr>
          <w:sz w:val="22"/>
          <w:szCs w:val="22"/>
          <w:lang w:val="es-CR"/>
        </w:rPr>
      </w:pPr>
      <w:r>
        <w:rPr>
          <w:sz w:val="22"/>
          <w:szCs w:val="22"/>
          <w:lang w:val="es-CR"/>
        </w:rPr>
        <w:t>L</w:t>
      </w:r>
      <w:r w:rsidR="00CA264C" w:rsidRPr="00B735D8">
        <w:rPr>
          <w:sz w:val="22"/>
          <w:szCs w:val="22"/>
          <w:lang w:val="es-CR"/>
        </w:rPr>
        <w:t xml:space="preserve">a fecha a partir de la cual está previsto aplicar la Norma por primera vez; y </w:t>
      </w:r>
    </w:p>
    <w:p w14:paraId="66DBF9E6" w14:textId="3745BD8B" w:rsidR="00B735D8" w:rsidRDefault="00B735D8">
      <w:pPr>
        <w:pStyle w:val="Default"/>
        <w:numPr>
          <w:ilvl w:val="0"/>
          <w:numId w:val="392"/>
        </w:numPr>
        <w:spacing w:after="120"/>
        <w:ind w:left="2127" w:hanging="357"/>
        <w:jc w:val="both"/>
        <w:rPr>
          <w:sz w:val="22"/>
          <w:szCs w:val="22"/>
          <w:lang w:val="es-CR"/>
        </w:rPr>
      </w:pPr>
      <w:r>
        <w:rPr>
          <w:sz w:val="22"/>
          <w:szCs w:val="22"/>
          <w:lang w:val="es-CR"/>
        </w:rPr>
        <w:t>U</w:t>
      </w:r>
      <w:r w:rsidR="00CA264C" w:rsidRPr="00B735D8">
        <w:rPr>
          <w:sz w:val="22"/>
          <w:szCs w:val="22"/>
          <w:lang w:val="es-CR"/>
        </w:rPr>
        <w:t>na u otra de las siguientes informaciones:</w:t>
      </w:r>
    </w:p>
    <w:p w14:paraId="5BAE4C92" w14:textId="3DF87781" w:rsidR="00B735D8" w:rsidRDefault="00B735D8">
      <w:pPr>
        <w:pStyle w:val="Default"/>
        <w:numPr>
          <w:ilvl w:val="0"/>
          <w:numId w:val="393"/>
        </w:numPr>
        <w:spacing w:after="120"/>
        <w:ind w:left="2410" w:hanging="357"/>
        <w:jc w:val="both"/>
        <w:rPr>
          <w:sz w:val="22"/>
          <w:szCs w:val="22"/>
          <w:lang w:val="es-CR"/>
        </w:rPr>
      </w:pPr>
      <w:r>
        <w:rPr>
          <w:sz w:val="22"/>
          <w:szCs w:val="22"/>
          <w:lang w:val="es-CR"/>
        </w:rPr>
        <w:t>U</w:t>
      </w:r>
      <w:r w:rsidR="00CA264C" w:rsidRPr="00B735D8">
        <w:rPr>
          <w:sz w:val="22"/>
          <w:szCs w:val="22"/>
          <w:lang w:val="es-CR"/>
        </w:rPr>
        <w:t xml:space="preserve">na explicación del impacto esperado, derivado de la aplicación inicial de la Norma o Interpretación, sobre los EEFF de la entidad; o </w:t>
      </w:r>
    </w:p>
    <w:p w14:paraId="35B89D7E" w14:textId="110E3C3A" w:rsidR="00CA264C" w:rsidRPr="00B735D8" w:rsidRDefault="00B735D8">
      <w:pPr>
        <w:pStyle w:val="Default"/>
        <w:numPr>
          <w:ilvl w:val="0"/>
          <w:numId w:val="393"/>
        </w:numPr>
        <w:spacing w:after="20"/>
        <w:ind w:left="2410"/>
        <w:jc w:val="both"/>
        <w:rPr>
          <w:sz w:val="22"/>
          <w:szCs w:val="22"/>
          <w:lang w:val="es-CR"/>
        </w:rPr>
      </w:pPr>
      <w:r>
        <w:rPr>
          <w:sz w:val="22"/>
          <w:szCs w:val="22"/>
          <w:lang w:val="es-CR"/>
        </w:rPr>
        <w:t>S</w:t>
      </w:r>
      <w:r w:rsidR="00CA264C" w:rsidRPr="00B735D8">
        <w:rPr>
          <w:sz w:val="22"/>
          <w:szCs w:val="22"/>
          <w:lang w:val="es-CR"/>
        </w:rPr>
        <w:t xml:space="preserve">i el impacto fuera desconocido o no pudiera ser estimado razonablemente, una declaración a tal efecto. </w:t>
      </w:r>
    </w:p>
    <w:p w14:paraId="067EC272" w14:textId="77777777" w:rsidR="00CA264C" w:rsidRPr="00B735D8" w:rsidRDefault="00CA264C" w:rsidP="00B735D8">
      <w:pPr>
        <w:pStyle w:val="Default"/>
        <w:ind w:left="360"/>
        <w:jc w:val="both"/>
        <w:rPr>
          <w:sz w:val="22"/>
          <w:szCs w:val="22"/>
          <w:lang w:val="es-CR"/>
        </w:rPr>
      </w:pPr>
    </w:p>
    <w:p w14:paraId="4C359EB5" w14:textId="77777777" w:rsidR="00CA264C" w:rsidRDefault="00CA264C" w:rsidP="00B735D8">
      <w:pPr>
        <w:pStyle w:val="Default"/>
        <w:jc w:val="both"/>
        <w:rPr>
          <w:sz w:val="22"/>
          <w:szCs w:val="22"/>
          <w:lang w:val="es-CR"/>
        </w:rPr>
      </w:pPr>
    </w:p>
    <w:p w14:paraId="48AE5239" w14:textId="77777777" w:rsidR="001F18A0" w:rsidRDefault="001F18A0" w:rsidP="00B735D8">
      <w:pPr>
        <w:pStyle w:val="Default"/>
        <w:jc w:val="both"/>
        <w:rPr>
          <w:sz w:val="22"/>
          <w:szCs w:val="22"/>
          <w:lang w:val="es-CR"/>
        </w:rPr>
      </w:pPr>
    </w:p>
    <w:p w14:paraId="0E3638E8" w14:textId="77777777" w:rsidR="001F18A0" w:rsidRDefault="001F18A0" w:rsidP="00B735D8">
      <w:pPr>
        <w:pStyle w:val="Default"/>
        <w:jc w:val="both"/>
        <w:rPr>
          <w:sz w:val="22"/>
          <w:szCs w:val="22"/>
          <w:lang w:val="es-CR"/>
        </w:rPr>
      </w:pPr>
    </w:p>
    <w:p w14:paraId="02465143" w14:textId="77777777" w:rsidR="001F18A0" w:rsidRDefault="001F18A0" w:rsidP="00B735D8">
      <w:pPr>
        <w:pStyle w:val="Default"/>
        <w:jc w:val="both"/>
        <w:rPr>
          <w:sz w:val="22"/>
          <w:szCs w:val="22"/>
          <w:lang w:val="es-CR"/>
        </w:rPr>
      </w:pPr>
    </w:p>
    <w:p w14:paraId="71B3A5CD" w14:textId="77777777" w:rsidR="001F18A0" w:rsidRDefault="001F18A0" w:rsidP="00B735D8">
      <w:pPr>
        <w:pStyle w:val="Default"/>
        <w:jc w:val="both"/>
        <w:rPr>
          <w:sz w:val="22"/>
          <w:szCs w:val="22"/>
          <w:lang w:val="es-CR"/>
        </w:rPr>
      </w:pPr>
    </w:p>
    <w:p w14:paraId="7564CF90" w14:textId="77777777" w:rsidR="001F18A0" w:rsidRDefault="001F18A0" w:rsidP="00B735D8">
      <w:pPr>
        <w:pStyle w:val="Default"/>
        <w:jc w:val="both"/>
        <w:rPr>
          <w:sz w:val="22"/>
          <w:szCs w:val="22"/>
          <w:lang w:val="es-CR"/>
        </w:rPr>
      </w:pPr>
    </w:p>
    <w:p w14:paraId="20DE9915" w14:textId="77777777" w:rsidR="001F18A0" w:rsidRDefault="001F18A0" w:rsidP="00B735D8">
      <w:pPr>
        <w:pStyle w:val="Default"/>
        <w:jc w:val="both"/>
        <w:rPr>
          <w:sz w:val="22"/>
          <w:szCs w:val="22"/>
          <w:lang w:val="es-CR"/>
        </w:rPr>
      </w:pPr>
    </w:p>
    <w:p w14:paraId="1802E521" w14:textId="77777777" w:rsidR="001F18A0" w:rsidRDefault="001F18A0" w:rsidP="00B735D8">
      <w:pPr>
        <w:pStyle w:val="Default"/>
        <w:jc w:val="both"/>
        <w:rPr>
          <w:sz w:val="22"/>
          <w:szCs w:val="22"/>
          <w:lang w:val="es-CR"/>
        </w:rPr>
      </w:pPr>
    </w:p>
    <w:p w14:paraId="67BB40A2" w14:textId="77777777" w:rsidR="001F18A0" w:rsidRDefault="001F18A0" w:rsidP="00B735D8">
      <w:pPr>
        <w:pStyle w:val="Default"/>
        <w:jc w:val="both"/>
        <w:rPr>
          <w:sz w:val="22"/>
          <w:szCs w:val="22"/>
          <w:lang w:val="es-CR"/>
        </w:rPr>
      </w:pPr>
    </w:p>
    <w:p w14:paraId="6D35BA9D" w14:textId="77777777" w:rsidR="001F18A0" w:rsidRDefault="001F18A0" w:rsidP="00B735D8">
      <w:pPr>
        <w:pStyle w:val="Default"/>
        <w:jc w:val="both"/>
        <w:rPr>
          <w:sz w:val="22"/>
          <w:szCs w:val="22"/>
          <w:lang w:val="es-CR"/>
        </w:rPr>
      </w:pPr>
    </w:p>
    <w:p w14:paraId="109E8517" w14:textId="77777777" w:rsidR="001F18A0" w:rsidRPr="00B735D8" w:rsidRDefault="001F18A0" w:rsidP="00B735D8">
      <w:pPr>
        <w:pStyle w:val="Default"/>
        <w:jc w:val="both"/>
        <w:rPr>
          <w:sz w:val="22"/>
          <w:szCs w:val="22"/>
          <w:lang w:val="es-CR"/>
        </w:rPr>
      </w:pPr>
    </w:p>
    <w:p w14:paraId="660F052F" w14:textId="77777777" w:rsidR="00D263E2" w:rsidRPr="00B735D8" w:rsidRDefault="00D263E2" w:rsidP="00B735D8">
      <w:pPr>
        <w:pStyle w:val="Default"/>
        <w:jc w:val="both"/>
        <w:rPr>
          <w:sz w:val="22"/>
          <w:szCs w:val="22"/>
          <w:lang w:val="es-CR"/>
        </w:rPr>
      </w:pPr>
    </w:p>
    <w:p w14:paraId="487B8EE5" w14:textId="5D48BC5C" w:rsidR="00D576D7" w:rsidRPr="009B6B91" w:rsidRDefault="009B6B91" w:rsidP="009B6B91">
      <w:pPr>
        <w:pStyle w:val="Ttulo2"/>
        <w:ind w:left="284"/>
        <w:rPr>
          <w:rFonts w:ascii="Arial" w:eastAsia="Arial" w:hAnsi="Arial" w:cs="Arial"/>
          <w:b/>
          <w:bCs/>
          <w:sz w:val="24"/>
          <w:szCs w:val="24"/>
          <w:lang w:val="es-CR"/>
        </w:rPr>
      </w:pPr>
      <w:bookmarkStart w:id="180" w:name="_Toc172726315"/>
      <w:r w:rsidRPr="009B6B91">
        <w:rPr>
          <w:rFonts w:ascii="Arial" w:eastAsia="Arial" w:hAnsi="Arial" w:cs="Arial"/>
          <w:b/>
          <w:bCs/>
          <w:sz w:val="24"/>
          <w:szCs w:val="24"/>
          <w:lang w:val="es-CR"/>
        </w:rPr>
        <w:lastRenderedPageBreak/>
        <w:t>Cambios en las estimaciones contables</w:t>
      </w:r>
      <w:bookmarkEnd w:id="180"/>
    </w:p>
    <w:p w14:paraId="0D710CD5" w14:textId="77777777" w:rsidR="00D576D7" w:rsidRPr="00B735D8" w:rsidRDefault="00D576D7" w:rsidP="00B735D8">
      <w:pPr>
        <w:pStyle w:val="Default"/>
        <w:jc w:val="both"/>
        <w:rPr>
          <w:sz w:val="22"/>
          <w:szCs w:val="22"/>
          <w:lang w:val="es-CR"/>
        </w:rPr>
      </w:pPr>
    </w:p>
    <w:p w14:paraId="1360FF1E" w14:textId="77777777" w:rsidR="00D576D7" w:rsidRPr="00B735D8" w:rsidRDefault="00D576D7" w:rsidP="00B735D8">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90"/>
        <w:gridCol w:w="2252"/>
        <w:gridCol w:w="1854"/>
      </w:tblGrid>
      <w:tr w:rsidR="009B6B91" w:rsidRPr="009B6B91" w14:paraId="24D92113" w14:textId="77777777" w:rsidTr="001F18A0">
        <w:trPr>
          <w:trHeight w:val="32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7E094EE" w14:textId="77777777" w:rsidR="009B6B91" w:rsidRPr="009B6B91" w:rsidRDefault="009B6B91" w:rsidP="009B6B91">
            <w:pPr>
              <w:jc w:val="center"/>
              <w:rPr>
                <w:rFonts w:ascii="Arial Narrow" w:eastAsia="Times New Roman" w:hAnsi="Arial Narrow" w:cs="Calibri"/>
                <w:b/>
                <w:bCs/>
                <w:color w:val="FFFFFF"/>
                <w:sz w:val="22"/>
                <w:szCs w:val="22"/>
              </w:rPr>
            </w:pPr>
            <w:r w:rsidRPr="009B6B91">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DBE38B7" w14:textId="77777777" w:rsidR="009B6B91" w:rsidRPr="009B6B91" w:rsidRDefault="009B6B91" w:rsidP="009B6B91">
            <w:pPr>
              <w:jc w:val="center"/>
              <w:rPr>
                <w:rFonts w:ascii="Arial Narrow" w:eastAsia="Times New Roman" w:hAnsi="Arial Narrow" w:cs="Calibri"/>
                <w:b/>
                <w:bCs/>
                <w:color w:val="FFFFFF"/>
                <w:sz w:val="22"/>
                <w:szCs w:val="22"/>
              </w:rPr>
            </w:pPr>
            <w:r w:rsidRPr="009B6B91">
              <w:rPr>
                <w:rFonts w:ascii="Arial Narrow" w:eastAsia="Times New Roman" w:hAnsi="Arial Narrow" w:cs="Calibri"/>
                <w:b/>
                <w:bCs/>
                <w:color w:val="FFFFFF"/>
                <w:sz w:val="22"/>
                <w:szCs w:val="22"/>
              </w:rPr>
              <w:t>Concepto</w:t>
            </w:r>
          </w:p>
        </w:tc>
        <w:tc>
          <w:tcPr>
            <w:tcW w:w="4106" w:type="dxa"/>
            <w:gridSpan w:val="2"/>
            <w:tcBorders>
              <w:top w:val="single" w:sz="8" w:space="0" w:color="auto"/>
              <w:left w:val="nil"/>
              <w:bottom w:val="single" w:sz="8" w:space="0" w:color="auto"/>
              <w:right w:val="single" w:sz="8" w:space="0" w:color="000000"/>
            </w:tcBorders>
            <w:shd w:val="clear" w:color="000000" w:fill="203764"/>
            <w:vAlign w:val="center"/>
            <w:hideMark/>
          </w:tcPr>
          <w:p w14:paraId="45929E8B" w14:textId="77777777" w:rsidR="009B6B91" w:rsidRPr="009B6B91" w:rsidRDefault="009B6B91" w:rsidP="009B6B91">
            <w:pPr>
              <w:jc w:val="center"/>
              <w:rPr>
                <w:rFonts w:ascii="Arial Narrow" w:eastAsia="Times New Roman" w:hAnsi="Arial Narrow" w:cs="Calibri"/>
                <w:b/>
                <w:bCs/>
                <w:color w:val="FFFFFF"/>
                <w:sz w:val="22"/>
                <w:szCs w:val="22"/>
              </w:rPr>
            </w:pPr>
            <w:r w:rsidRPr="009B6B91">
              <w:rPr>
                <w:rFonts w:ascii="Arial Narrow" w:eastAsia="Times New Roman" w:hAnsi="Arial Narrow" w:cs="Calibri"/>
                <w:b/>
                <w:bCs/>
                <w:color w:val="FFFFFF"/>
                <w:sz w:val="22"/>
                <w:szCs w:val="22"/>
              </w:rPr>
              <w:t>Referencia</w:t>
            </w:r>
          </w:p>
        </w:tc>
      </w:tr>
      <w:tr w:rsidR="009B6B91" w:rsidRPr="006E5442" w14:paraId="219F5EB8" w14:textId="77777777" w:rsidTr="001F18A0">
        <w:trPr>
          <w:trHeight w:val="1320"/>
        </w:trPr>
        <w:tc>
          <w:tcPr>
            <w:tcW w:w="1550" w:type="dxa"/>
            <w:gridSpan w:val="3"/>
            <w:vMerge/>
            <w:tcBorders>
              <w:top w:val="single" w:sz="8" w:space="0" w:color="auto"/>
              <w:left w:val="single" w:sz="8" w:space="0" w:color="auto"/>
              <w:bottom w:val="nil"/>
              <w:right w:val="single" w:sz="8" w:space="0" w:color="000000"/>
            </w:tcBorders>
            <w:vAlign w:val="center"/>
            <w:hideMark/>
          </w:tcPr>
          <w:p w14:paraId="38D6A2EE" w14:textId="77777777" w:rsidR="009B6B91" w:rsidRPr="009B6B91" w:rsidRDefault="009B6B91" w:rsidP="009B6B91">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1D3553D0" w14:textId="77777777" w:rsidR="009B6B91" w:rsidRPr="009B6B91" w:rsidRDefault="009B6B91" w:rsidP="009B6B91">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21DD13C1" w14:textId="77777777" w:rsidR="009B6B91" w:rsidRPr="009B6B91" w:rsidRDefault="009B6B91" w:rsidP="009B6B91">
            <w:pPr>
              <w:jc w:val="center"/>
              <w:rPr>
                <w:rFonts w:ascii="Arial Narrow" w:eastAsia="Times New Roman" w:hAnsi="Arial Narrow" w:cs="Calibri"/>
                <w:b/>
                <w:bCs/>
                <w:color w:val="FFFFFF"/>
                <w:sz w:val="22"/>
                <w:szCs w:val="22"/>
              </w:rPr>
            </w:pPr>
            <w:r w:rsidRPr="009B6B91">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394B87A4" w14:textId="77777777" w:rsidR="009B6B91" w:rsidRPr="009B6B91" w:rsidRDefault="009B6B91" w:rsidP="009B6B91">
            <w:pPr>
              <w:jc w:val="center"/>
              <w:rPr>
                <w:rFonts w:ascii="Arial Narrow" w:eastAsia="Times New Roman" w:hAnsi="Arial Narrow" w:cs="Calibri"/>
                <w:b/>
                <w:bCs/>
                <w:color w:val="FFFFFF"/>
                <w:sz w:val="22"/>
                <w:szCs w:val="22"/>
                <w:lang w:val="es-CR"/>
              </w:rPr>
            </w:pPr>
            <w:r w:rsidRPr="009B6B91">
              <w:rPr>
                <w:rFonts w:ascii="Arial Narrow" w:eastAsia="Times New Roman" w:hAnsi="Arial Narrow" w:cs="Calibri"/>
                <w:b/>
                <w:bCs/>
                <w:color w:val="FFFFFF"/>
                <w:sz w:val="22"/>
                <w:szCs w:val="22"/>
                <w:lang w:val="es-CR"/>
              </w:rPr>
              <w:t>Normativa técnica y disposiciones adicionales</w:t>
            </w:r>
          </w:p>
        </w:tc>
      </w:tr>
      <w:tr w:rsidR="009B6B91" w:rsidRPr="009B6B91" w14:paraId="027BE53B" w14:textId="77777777" w:rsidTr="001F18A0">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017EE6"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66E3764"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64</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D4FB84A"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265DDB3B" w14:textId="77777777" w:rsidR="009B6B91" w:rsidRP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Estimaciones contables</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664D850A" w14:textId="77777777" w:rsid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NICSP N° 3,</w:t>
            </w:r>
          </w:p>
          <w:p w14:paraId="79B03315" w14:textId="08F62747" w:rsidR="009B6B91" w:rsidRP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Párrafos 37 y 38.</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77A4A5DC" w14:textId="77777777" w:rsidR="009B6B91" w:rsidRPr="009B6B91" w:rsidRDefault="009B6B91" w:rsidP="009B6B91">
            <w:pP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 xml:space="preserve"> </w:t>
            </w:r>
          </w:p>
        </w:tc>
      </w:tr>
      <w:tr w:rsidR="009B6B91" w:rsidRPr="009B6B91" w14:paraId="29D31378"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615C918"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noWrap/>
            <w:vAlign w:val="center"/>
            <w:hideMark/>
          </w:tcPr>
          <w:p w14:paraId="6CD0948E"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64</w:t>
            </w:r>
          </w:p>
        </w:tc>
        <w:tc>
          <w:tcPr>
            <w:tcW w:w="426" w:type="dxa"/>
            <w:tcBorders>
              <w:top w:val="nil"/>
              <w:left w:val="nil"/>
              <w:bottom w:val="single" w:sz="8" w:space="0" w:color="auto"/>
              <w:right w:val="single" w:sz="8" w:space="0" w:color="auto"/>
            </w:tcBorders>
            <w:shd w:val="clear" w:color="auto" w:fill="auto"/>
            <w:vAlign w:val="center"/>
            <w:hideMark/>
          </w:tcPr>
          <w:p w14:paraId="18DFFF94"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1</w:t>
            </w:r>
          </w:p>
        </w:tc>
        <w:tc>
          <w:tcPr>
            <w:tcW w:w="3690" w:type="dxa"/>
            <w:tcBorders>
              <w:top w:val="nil"/>
              <w:left w:val="nil"/>
              <w:bottom w:val="single" w:sz="8" w:space="0" w:color="auto"/>
              <w:right w:val="single" w:sz="8" w:space="0" w:color="auto"/>
            </w:tcBorders>
            <w:shd w:val="clear" w:color="auto" w:fill="auto"/>
            <w:vAlign w:val="center"/>
            <w:hideMark/>
          </w:tcPr>
          <w:p w14:paraId="645C8B22" w14:textId="77777777" w:rsidR="009B6B91" w:rsidRP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Cambios en las estimaciones</w:t>
            </w:r>
          </w:p>
        </w:tc>
        <w:tc>
          <w:tcPr>
            <w:tcW w:w="2252" w:type="dxa"/>
            <w:tcBorders>
              <w:top w:val="nil"/>
              <w:left w:val="nil"/>
              <w:bottom w:val="single" w:sz="8" w:space="0" w:color="auto"/>
              <w:right w:val="single" w:sz="8" w:space="0" w:color="auto"/>
            </w:tcBorders>
            <w:shd w:val="clear" w:color="auto" w:fill="auto"/>
            <w:vAlign w:val="center"/>
            <w:hideMark/>
          </w:tcPr>
          <w:p w14:paraId="785D4672" w14:textId="77777777" w:rsid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NICSP N° 3,</w:t>
            </w:r>
          </w:p>
          <w:p w14:paraId="4D52844C" w14:textId="5C851401" w:rsidR="009B6B91" w:rsidRP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Párrafo 39.</w:t>
            </w:r>
          </w:p>
        </w:tc>
        <w:tc>
          <w:tcPr>
            <w:tcW w:w="1854" w:type="dxa"/>
            <w:tcBorders>
              <w:top w:val="nil"/>
              <w:left w:val="nil"/>
              <w:bottom w:val="single" w:sz="8" w:space="0" w:color="auto"/>
              <w:right w:val="single" w:sz="8" w:space="0" w:color="auto"/>
            </w:tcBorders>
            <w:shd w:val="clear" w:color="auto" w:fill="auto"/>
            <w:vAlign w:val="center"/>
            <w:hideMark/>
          </w:tcPr>
          <w:p w14:paraId="71AA357E" w14:textId="77777777" w:rsidR="009B6B91" w:rsidRPr="009B6B91" w:rsidRDefault="009B6B91" w:rsidP="009B6B91">
            <w:pP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 xml:space="preserve"> </w:t>
            </w:r>
          </w:p>
        </w:tc>
      </w:tr>
      <w:tr w:rsidR="009B6B91" w:rsidRPr="009B6B91" w14:paraId="45605ED5" w14:textId="77777777" w:rsidTr="001F18A0">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19E9D44"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noWrap/>
            <w:vAlign w:val="center"/>
            <w:hideMark/>
          </w:tcPr>
          <w:p w14:paraId="5D03F5CB"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64</w:t>
            </w:r>
          </w:p>
        </w:tc>
        <w:tc>
          <w:tcPr>
            <w:tcW w:w="426" w:type="dxa"/>
            <w:tcBorders>
              <w:top w:val="nil"/>
              <w:left w:val="nil"/>
              <w:bottom w:val="single" w:sz="8" w:space="0" w:color="auto"/>
              <w:right w:val="single" w:sz="8" w:space="0" w:color="auto"/>
            </w:tcBorders>
            <w:shd w:val="clear" w:color="auto" w:fill="auto"/>
            <w:vAlign w:val="center"/>
            <w:hideMark/>
          </w:tcPr>
          <w:p w14:paraId="7BF96082" w14:textId="77777777" w:rsidR="009B6B91" w:rsidRPr="009B6B91" w:rsidRDefault="009B6B91" w:rsidP="009B6B91">
            <w:pPr>
              <w:jc w:val="cente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2</w:t>
            </w:r>
          </w:p>
        </w:tc>
        <w:tc>
          <w:tcPr>
            <w:tcW w:w="3690" w:type="dxa"/>
            <w:tcBorders>
              <w:top w:val="nil"/>
              <w:left w:val="nil"/>
              <w:bottom w:val="single" w:sz="8" w:space="0" w:color="auto"/>
              <w:right w:val="single" w:sz="8" w:space="0" w:color="auto"/>
            </w:tcBorders>
            <w:shd w:val="clear" w:color="auto" w:fill="auto"/>
            <w:vAlign w:val="center"/>
            <w:hideMark/>
          </w:tcPr>
          <w:p w14:paraId="28F84D6B" w14:textId="77777777" w:rsidR="009B6B91" w:rsidRP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Dificultad de distinción</w:t>
            </w:r>
          </w:p>
        </w:tc>
        <w:tc>
          <w:tcPr>
            <w:tcW w:w="2252" w:type="dxa"/>
            <w:tcBorders>
              <w:top w:val="nil"/>
              <w:left w:val="nil"/>
              <w:bottom w:val="single" w:sz="8" w:space="0" w:color="auto"/>
              <w:right w:val="single" w:sz="8" w:space="0" w:color="auto"/>
            </w:tcBorders>
            <w:shd w:val="clear" w:color="auto" w:fill="auto"/>
            <w:vAlign w:val="center"/>
            <w:hideMark/>
          </w:tcPr>
          <w:p w14:paraId="171596B4" w14:textId="77777777" w:rsid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NICSP N° 3.</w:t>
            </w:r>
          </w:p>
          <w:p w14:paraId="58BED4D1" w14:textId="0575E66D" w:rsidR="009B6B91" w:rsidRPr="009B6B91" w:rsidRDefault="009B6B91" w:rsidP="009B6B91">
            <w:pPr>
              <w:jc w:val="both"/>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Párrafo 40.</w:t>
            </w:r>
          </w:p>
        </w:tc>
        <w:tc>
          <w:tcPr>
            <w:tcW w:w="1854" w:type="dxa"/>
            <w:tcBorders>
              <w:top w:val="nil"/>
              <w:left w:val="nil"/>
              <w:bottom w:val="single" w:sz="8" w:space="0" w:color="auto"/>
              <w:right w:val="single" w:sz="8" w:space="0" w:color="auto"/>
            </w:tcBorders>
            <w:shd w:val="clear" w:color="auto" w:fill="auto"/>
            <w:vAlign w:val="center"/>
            <w:hideMark/>
          </w:tcPr>
          <w:p w14:paraId="2BF732B0" w14:textId="77777777" w:rsidR="009B6B91" w:rsidRPr="009B6B91" w:rsidRDefault="009B6B91" w:rsidP="009B6B91">
            <w:pPr>
              <w:rPr>
                <w:rFonts w:ascii="Arial Narrow" w:eastAsia="Times New Roman" w:hAnsi="Arial Narrow" w:cs="Calibri"/>
                <w:b/>
                <w:bCs/>
                <w:color w:val="000000"/>
                <w:sz w:val="22"/>
                <w:szCs w:val="22"/>
              </w:rPr>
            </w:pPr>
            <w:r w:rsidRPr="009B6B91">
              <w:rPr>
                <w:rFonts w:ascii="Arial Narrow" w:eastAsia="Times New Roman" w:hAnsi="Arial Narrow" w:cs="Calibri"/>
                <w:b/>
                <w:bCs/>
                <w:color w:val="000000"/>
                <w:sz w:val="22"/>
                <w:szCs w:val="22"/>
              </w:rPr>
              <w:t xml:space="preserve"> </w:t>
            </w:r>
          </w:p>
        </w:tc>
      </w:tr>
    </w:tbl>
    <w:p w14:paraId="15C0CC8E" w14:textId="77777777" w:rsidR="00D576D7" w:rsidRDefault="00D576D7" w:rsidP="00B735D8">
      <w:pPr>
        <w:pStyle w:val="Default"/>
        <w:jc w:val="both"/>
        <w:rPr>
          <w:sz w:val="22"/>
          <w:szCs w:val="22"/>
          <w:lang w:val="es-CR"/>
        </w:rPr>
      </w:pPr>
    </w:p>
    <w:p w14:paraId="737AAC97" w14:textId="77777777" w:rsidR="001F18A0" w:rsidRDefault="001F18A0" w:rsidP="001F18A0">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401C8A2" w14:textId="77777777" w:rsidR="001F18A0" w:rsidRPr="00B735D8" w:rsidRDefault="001F18A0" w:rsidP="00B735D8">
      <w:pPr>
        <w:pStyle w:val="Default"/>
        <w:jc w:val="both"/>
        <w:rPr>
          <w:sz w:val="22"/>
          <w:szCs w:val="22"/>
          <w:lang w:val="es-CR"/>
        </w:rPr>
      </w:pPr>
    </w:p>
    <w:p w14:paraId="757EC84F" w14:textId="77777777" w:rsidR="009B6B91" w:rsidRDefault="009B6B91" w:rsidP="009B6B91">
      <w:pPr>
        <w:pStyle w:val="Default"/>
        <w:ind w:left="1134" w:hanging="1134"/>
        <w:jc w:val="both"/>
        <w:rPr>
          <w:sz w:val="22"/>
          <w:szCs w:val="22"/>
        </w:rPr>
      </w:pPr>
      <w:r>
        <w:rPr>
          <w:sz w:val="22"/>
          <w:szCs w:val="22"/>
          <w:lang w:val="es-CR"/>
        </w:rPr>
        <w:t>6.64.0.01</w:t>
      </w:r>
      <w:r>
        <w:rPr>
          <w:sz w:val="22"/>
          <w:szCs w:val="22"/>
          <w:lang w:val="es-CR"/>
        </w:rPr>
        <w:tab/>
      </w:r>
      <w:r w:rsidRPr="009B6B91">
        <w:rPr>
          <w:sz w:val="22"/>
          <w:szCs w:val="22"/>
          <w:lang w:val="es-CR"/>
        </w:rPr>
        <w:t xml:space="preserve">El uso de estimaciones razonables es una parte esencial de la preparación de los EEFF y no perjudica su fiabilidad. El proceso de estimación implica la utilización de juicios profesionales basados en la información fiable disponible más reciente. </w:t>
      </w:r>
      <w:r w:rsidRPr="009B6B91">
        <w:rPr>
          <w:sz w:val="22"/>
          <w:szCs w:val="22"/>
        </w:rPr>
        <w:t>Podrían requerirse estimaciones para:</w:t>
      </w:r>
    </w:p>
    <w:p w14:paraId="52EDBAE1" w14:textId="0BFC9F7A" w:rsidR="009B6B91" w:rsidRPr="009B6B91" w:rsidRDefault="009B6B91" w:rsidP="009B6B91">
      <w:pPr>
        <w:pStyle w:val="Default"/>
        <w:ind w:left="1134" w:hanging="1134"/>
        <w:jc w:val="both"/>
        <w:rPr>
          <w:sz w:val="22"/>
          <w:szCs w:val="22"/>
        </w:rPr>
      </w:pPr>
      <w:r w:rsidRPr="009B6B91">
        <w:rPr>
          <w:sz w:val="22"/>
          <w:szCs w:val="22"/>
        </w:rPr>
        <w:t xml:space="preserve"> </w:t>
      </w:r>
    </w:p>
    <w:p w14:paraId="052721EF" w14:textId="5E9FDFE2" w:rsidR="009B6B91" w:rsidRPr="009B6B91" w:rsidRDefault="009B6B91">
      <w:pPr>
        <w:pStyle w:val="Default"/>
        <w:numPr>
          <w:ilvl w:val="0"/>
          <w:numId w:val="394"/>
        </w:numPr>
        <w:spacing w:after="120"/>
        <w:ind w:left="1418" w:hanging="284"/>
        <w:jc w:val="both"/>
        <w:rPr>
          <w:sz w:val="22"/>
          <w:szCs w:val="22"/>
          <w:lang w:val="es-CR"/>
        </w:rPr>
      </w:pPr>
      <w:r>
        <w:rPr>
          <w:sz w:val="22"/>
          <w:szCs w:val="22"/>
          <w:lang w:val="es-CR"/>
        </w:rPr>
        <w:t>I</w:t>
      </w:r>
      <w:r w:rsidRPr="009B6B91">
        <w:rPr>
          <w:sz w:val="22"/>
          <w:szCs w:val="22"/>
          <w:lang w:val="es-CR"/>
        </w:rPr>
        <w:t xml:space="preserve">ngresos fiscales adeudados al gobierno; </w:t>
      </w:r>
    </w:p>
    <w:p w14:paraId="494D7948" w14:textId="69D8E9AC" w:rsidR="009B6B91" w:rsidRPr="009B6B91" w:rsidRDefault="009B6B91">
      <w:pPr>
        <w:pStyle w:val="Default"/>
        <w:numPr>
          <w:ilvl w:val="0"/>
          <w:numId w:val="394"/>
        </w:numPr>
        <w:spacing w:after="120"/>
        <w:ind w:left="1418" w:hanging="284"/>
        <w:jc w:val="both"/>
        <w:rPr>
          <w:sz w:val="22"/>
          <w:szCs w:val="22"/>
          <w:lang w:val="es-CR"/>
        </w:rPr>
      </w:pPr>
      <w:r>
        <w:rPr>
          <w:sz w:val="22"/>
          <w:szCs w:val="22"/>
          <w:lang w:val="es-CR"/>
        </w:rPr>
        <w:t>D</w:t>
      </w:r>
      <w:r w:rsidRPr="009B6B91">
        <w:rPr>
          <w:sz w:val="22"/>
          <w:szCs w:val="22"/>
          <w:lang w:val="es-CR"/>
        </w:rPr>
        <w:t xml:space="preserve">euda sobre tributos de dudoso cobro; </w:t>
      </w:r>
    </w:p>
    <w:p w14:paraId="3C32A67C" w14:textId="24A42113" w:rsidR="009B6B91" w:rsidRPr="009B6B91" w:rsidRDefault="009B6B91">
      <w:pPr>
        <w:pStyle w:val="Default"/>
        <w:numPr>
          <w:ilvl w:val="0"/>
          <w:numId w:val="394"/>
        </w:numPr>
        <w:spacing w:after="120"/>
        <w:ind w:left="1418" w:hanging="284"/>
        <w:jc w:val="both"/>
        <w:rPr>
          <w:sz w:val="22"/>
          <w:szCs w:val="22"/>
          <w:lang w:val="es-CR"/>
        </w:rPr>
      </w:pPr>
      <w:r>
        <w:rPr>
          <w:sz w:val="22"/>
          <w:szCs w:val="22"/>
          <w:lang w:val="es-CR"/>
        </w:rPr>
        <w:t>E</w:t>
      </w:r>
      <w:r w:rsidRPr="009B6B91">
        <w:rPr>
          <w:sz w:val="22"/>
          <w:szCs w:val="22"/>
          <w:lang w:val="es-CR"/>
        </w:rPr>
        <w:t xml:space="preserve">l valor razonable de activos o pasivos financieros; </w:t>
      </w:r>
    </w:p>
    <w:p w14:paraId="7E29A907" w14:textId="0FC00978" w:rsidR="009B6B91" w:rsidRPr="009B6B91" w:rsidRDefault="009B6B91">
      <w:pPr>
        <w:pStyle w:val="Default"/>
        <w:numPr>
          <w:ilvl w:val="0"/>
          <w:numId w:val="394"/>
        </w:numPr>
        <w:spacing w:after="120"/>
        <w:ind w:left="1418" w:hanging="284"/>
        <w:jc w:val="both"/>
        <w:rPr>
          <w:sz w:val="22"/>
          <w:szCs w:val="22"/>
          <w:lang w:val="es-CR"/>
        </w:rPr>
      </w:pPr>
      <w:r>
        <w:rPr>
          <w:sz w:val="22"/>
          <w:szCs w:val="22"/>
          <w:lang w:val="es-CR"/>
        </w:rPr>
        <w:t>L</w:t>
      </w:r>
      <w:r w:rsidRPr="009B6B91">
        <w:rPr>
          <w:sz w:val="22"/>
          <w:szCs w:val="22"/>
          <w:lang w:val="es-CR"/>
        </w:rPr>
        <w:t xml:space="preserve">as vidas útiles o patrones previsibles de consumo de los beneficios económicos futuros o potencial de servicio incorporado en los activos depreciables, o sobre el porcentaje de terminación de la carretera en construcción; y </w:t>
      </w:r>
    </w:p>
    <w:p w14:paraId="1F466469" w14:textId="1D68D27E" w:rsidR="009B6B91" w:rsidRPr="009B6B91" w:rsidRDefault="009B6B91">
      <w:pPr>
        <w:pStyle w:val="Default"/>
        <w:numPr>
          <w:ilvl w:val="0"/>
          <w:numId w:val="394"/>
        </w:numPr>
        <w:spacing w:after="120"/>
        <w:ind w:left="1418" w:hanging="284"/>
        <w:jc w:val="both"/>
        <w:rPr>
          <w:sz w:val="22"/>
          <w:szCs w:val="22"/>
          <w:lang w:val="es-CR"/>
        </w:rPr>
      </w:pPr>
      <w:r>
        <w:rPr>
          <w:sz w:val="22"/>
          <w:szCs w:val="22"/>
          <w:lang w:val="es-CR"/>
        </w:rPr>
        <w:t>L</w:t>
      </w:r>
      <w:r w:rsidRPr="009B6B91">
        <w:rPr>
          <w:sz w:val="22"/>
          <w:szCs w:val="22"/>
          <w:lang w:val="es-CR"/>
        </w:rPr>
        <w:t xml:space="preserve">as obligaciones por garantías concedidas. </w:t>
      </w:r>
    </w:p>
    <w:p w14:paraId="6A86D527" w14:textId="37211A59" w:rsidR="009B6B91" w:rsidRPr="009B6B91" w:rsidRDefault="009B6B91">
      <w:pPr>
        <w:pStyle w:val="Default"/>
        <w:numPr>
          <w:ilvl w:val="0"/>
          <w:numId w:val="394"/>
        </w:numPr>
        <w:spacing w:after="120"/>
        <w:ind w:left="1418" w:hanging="284"/>
        <w:jc w:val="both"/>
        <w:rPr>
          <w:sz w:val="22"/>
          <w:szCs w:val="22"/>
          <w:lang w:val="es-CR"/>
        </w:rPr>
      </w:pPr>
      <w:r>
        <w:rPr>
          <w:sz w:val="22"/>
          <w:szCs w:val="22"/>
          <w:lang w:val="es-CR"/>
        </w:rPr>
        <w:t>O</w:t>
      </w:r>
      <w:r w:rsidRPr="009B6B91">
        <w:rPr>
          <w:sz w:val="22"/>
          <w:szCs w:val="22"/>
          <w:lang w:val="es-CR"/>
        </w:rPr>
        <w:t xml:space="preserve">bsolescencia de los inventarios. </w:t>
      </w:r>
    </w:p>
    <w:p w14:paraId="079C8434" w14:textId="77777777" w:rsidR="008840FF" w:rsidRDefault="008840FF" w:rsidP="009B6B91">
      <w:pPr>
        <w:pStyle w:val="Default"/>
        <w:jc w:val="both"/>
        <w:rPr>
          <w:sz w:val="22"/>
          <w:szCs w:val="22"/>
          <w:lang w:val="es-CR"/>
        </w:rPr>
      </w:pPr>
    </w:p>
    <w:p w14:paraId="1DE7FBAC" w14:textId="4F350C72" w:rsidR="008840FF" w:rsidRDefault="008840FF" w:rsidP="008840FF">
      <w:pPr>
        <w:pStyle w:val="Default"/>
        <w:ind w:left="1134" w:hanging="1134"/>
        <w:jc w:val="both"/>
        <w:rPr>
          <w:sz w:val="22"/>
          <w:szCs w:val="22"/>
          <w:lang w:val="es-CR"/>
        </w:rPr>
      </w:pPr>
      <w:r>
        <w:rPr>
          <w:sz w:val="22"/>
          <w:szCs w:val="22"/>
          <w:lang w:val="es-CR"/>
        </w:rPr>
        <w:t>6.64.</w:t>
      </w:r>
      <w:r w:rsidR="009B6B91" w:rsidRPr="009B6B91">
        <w:rPr>
          <w:sz w:val="22"/>
          <w:szCs w:val="22"/>
          <w:lang w:val="es-CR"/>
        </w:rPr>
        <w:t>1.</w:t>
      </w:r>
      <w:r>
        <w:rPr>
          <w:sz w:val="22"/>
          <w:szCs w:val="22"/>
          <w:lang w:val="es-CR"/>
        </w:rPr>
        <w:t>01</w:t>
      </w:r>
      <w:r>
        <w:rPr>
          <w:sz w:val="22"/>
          <w:szCs w:val="22"/>
          <w:lang w:val="es-CR"/>
        </w:rPr>
        <w:tab/>
      </w:r>
      <w:r w:rsidR="009B6B91" w:rsidRPr="009B6B91">
        <w:rPr>
          <w:sz w:val="22"/>
          <w:szCs w:val="22"/>
          <w:lang w:val="es-CR"/>
        </w:rPr>
        <w:t xml:space="preserve">La </w:t>
      </w:r>
      <w:r>
        <w:rPr>
          <w:sz w:val="22"/>
          <w:szCs w:val="22"/>
          <w:lang w:val="es-CR"/>
        </w:rPr>
        <w:t>Municipalidad</w:t>
      </w:r>
      <w:r w:rsidR="009B6B91" w:rsidRPr="009B6B91">
        <w:rPr>
          <w:sz w:val="22"/>
          <w:szCs w:val="22"/>
          <w:lang w:val="es-CR"/>
        </w:rPr>
        <w:t xml:space="preserve"> revisará sus estimaciones como consecuencia de nueva información obtenida o de poseer más experiencia. La revisión de la estimación, por su propia naturaleza, no está relacionada con períodos anteriores ni tampoco es una corrección de un error.</w:t>
      </w:r>
    </w:p>
    <w:p w14:paraId="3FE4BBD7" w14:textId="2690D92B" w:rsidR="008840FF" w:rsidRDefault="009B6B91" w:rsidP="008840FF">
      <w:pPr>
        <w:pStyle w:val="Default"/>
        <w:ind w:left="1134" w:hanging="1134"/>
        <w:jc w:val="both"/>
        <w:rPr>
          <w:sz w:val="22"/>
          <w:szCs w:val="22"/>
          <w:lang w:val="es-CR"/>
        </w:rPr>
      </w:pPr>
      <w:r w:rsidRPr="009B6B91">
        <w:rPr>
          <w:sz w:val="22"/>
          <w:szCs w:val="22"/>
          <w:lang w:val="es-CR"/>
        </w:rPr>
        <w:t xml:space="preserve"> </w:t>
      </w:r>
    </w:p>
    <w:p w14:paraId="7652FB4F" w14:textId="24FD5ACB" w:rsidR="009B6B91" w:rsidRDefault="008840FF" w:rsidP="008840FF">
      <w:pPr>
        <w:pStyle w:val="Default"/>
        <w:ind w:left="1134" w:hanging="1134"/>
        <w:jc w:val="both"/>
        <w:rPr>
          <w:sz w:val="22"/>
          <w:szCs w:val="22"/>
          <w:lang w:val="es-CR"/>
        </w:rPr>
      </w:pPr>
      <w:r>
        <w:rPr>
          <w:sz w:val="22"/>
          <w:szCs w:val="22"/>
          <w:lang w:val="es-CR"/>
        </w:rPr>
        <w:t>6.64.2.01</w:t>
      </w:r>
      <w:r>
        <w:rPr>
          <w:sz w:val="22"/>
          <w:szCs w:val="22"/>
          <w:lang w:val="es-CR"/>
        </w:rPr>
        <w:tab/>
      </w:r>
      <w:r w:rsidR="009B6B91" w:rsidRPr="009B6B91">
        <w:rPr>
          <w:sz w:val="22"/>
          <w:szCs w:val="22"/>
          <w:lang w:val="es-CR"/>
        </w:rPr>
        <w:t xml:space="preserve">Cuando sea difícil distinguir entre un cambio de política contable y un cambio en una estimación contable, el mismo se tratará como si fuera un cambio en una estimación contable. </w:t>
      </w:r>
    </w:p>
    <w:p w14:paraId="641D495C" w14:textId="77777777" w:rsidR="001F18A0" w:rsidRPr="009B6B91" w:rsidRDefault="001F18A0" w:rsidP="008840FF">
      <w:pPr>
        <w:pStyle w:val="Default"/>
        <w:ind w:left="1134" w:hanging="1134"/>
        <w:jc w:val="both"/>
        <w:rPr>
          <w:sz w:val="22"/>
          <w:szCs w:val="22"/>
          <w:lang w:val="es-CR"/>
        </w:rPr>
      </w:pPr>
    </w:p>
    <w:p w14:paraId="2046B6C1" w14:textId="77777777" w:rsidR="00D576D7" w:rsidRDefault="00D576D7" w:rsidP="00B735D8">
      <w:pPr>
        <w:pStyle w:val="Default"/>
        <w:jc w:val="both"/>
        <w:rPr>
          <w:sz w:val="22"/>
          <w:szCs w:val="22"/>
          <w:lang w:val="es-CR"/>
        </w:rPr>
      </w:pPr>
    </w:p>
    <w:p w14:paraId="35F86284" w14:textId="77777777" w:rsidR="008840FF" w:rsidRDefault="008840FF" w:rsidP="00B735D8">
      <w:pPr>
        <w:pStyle w:val="Default"/>
        <w:jc w:val="both"/>
        <w:rPr>
          <w:sz w:val="22"/>
          <w:szCs w:val="22"/>
          <w:lang w:val="es-CR"/>
        </w:rPr>
      </w:pPr>
    </w:p>
    <w:tbl>
      <w:tblPr>
        <w:tblW w:w="9346" w:type="dxa"/>
        <w:tblLook w:val="04A0" w:firstRow="1" w:lastRow="0" w:firstColumn="1" w:lastColumn="0" w:noHBand="0" w:noVBand="1"/>
      </w:tblPr>
      <w:tblGrid>
        <w:gridCol w:w="416"/>
        <w:gridCol w:w="708"/>
        <w:gridCol w:w="433"/>
        <w:gridCol w:w="7"/>
        <w:gridCol w:w="3684"/>
        <w:gridCol w:w="7"/>
        <w:gridCol w:w="2245"/>
        <w:gridCol w:w="7"/>
        <w:gridCol w:w="1839"/>
      </w:tblGrid>
      <w:tr w:rsidR="008840FF" w:rsidRPr="008840FF" w14:paraId="0B8AB907" w14:textId="77777777" w:rsidTr="001F18A0">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7D3E5F6" w14:textId="77777777" w:rsidR="008840FF" w:rsidRPr="008840FF" w:rsidRDefault="008840FF" w:rsidP="008840FF">
            <w:pPr>
              <w:jc w:val="center"/>
              <w:rPr>
                <w:rFonts w:ascii="Arial Narrow" w:eastAsia="Times New Roman" w:hAnsi="Arial Narrow" w:cs="Calibri"/>
                <w:b/>
                <w:bCs/>
                <w:color w:val="FFFFFF"/>
                <w:sz w:val="22"/>
                <w:szCs w:val="22"/>
              </w:rPr>
            </w:pPr>
            <w:r w:rsidRPr="008840FF">
              <w:rPr>
                <w:rFonts w:ascii="Arial Narrow" w:eastAsia="Times New Roman" w:hAnsi="Arial Narrow" w:cs="Calibri"/>
                <w:b/>
                <w:bCs/>
                <w:color w:val="FFFFFF"/>
                <w:sz w:val="22"/>
                <w:szCs w:val="22"/>
              </w:rPr>
              <w:t>Norma / Política</w:t>
            </w:r>
          </w:p>
        </w:tc>
        <w:tc>
          <w:tcPr>
            <w:tcW w:w="369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729FA7D" w14:textId="77777777" w:rsidR="008840FF" w:rsidRPr="008840FF" w:rsidRDefault="008840FF" w:rsidP="008840FF">
            <w:pPr>
              <w:jc w:val="center"/>
              <w:rPr>
                <w:rFonts w:ascii="Arial Narrow" w:eastAsia="Times New Roman" w:hAnsi="Arial Narrow" w:cs="Calibri"/>
                <w:b/>
                <w:bCs/>
                <w:color w:val="FFFFFF"/>
                <w:sz w:val="22"/>
                <w:szCs w:val="22"/>
              </w:rPr>
            </w:pPr>
            <w:r w:rsidRPr="008840FF">
              <w:rPr>
                <w:rFonts w:ascii="Arial Narrow" w:eastAsia="Times New Roman" w:hAnsi="Arial Narrow" w:cs="Calibri"/>
                <w:b/>
                <w:bCs/>
                <w:color w:val="FFFFFF"/>
                <w:sz w:val="22"/>
                <w:szCs w:val="22"/>
              </w:rPr>
              <w:t>Concepto</w:t>
            </w:r>
          </w:p>
        </w:tc>
        <w:tc>
          <w:tcPr>
            <w:tcW w:w="4091" w:type="dxa"/>
            <w:gridSpan w:val="3"/>
            <w:tcBorders>
              <w:top w:val="single" w:sz="8" w:space="0" w:color="auto"/>
              <w:left w:val="nil"/>
              <w:bottom w:val="single" w:sz="8" w:space="0" w:color="auto"/>
              <w:right w:val="single" w:sz="8" w:space="0" w:color="000000"/>
            </w:tcBorders>
            <w:shd w:val="clear" w:color="000000" w:fill="203764"/>
            <w:vAlign w:val="center"/>
            <w:hideMark/>
          </w:tcPr>
          <w:p w14:paraId="307B76D6" w14:textId="77777777" w:rsidR="008840FF" w:rsidRPr="008840FF" w:rsidRDefault="008840FF" w:rsidP="008840FF">
            <w:pPr>
              <w:jc w:val="center"/>
              <w:rPr>
                <w:rFonts w:ascii="Arial Narrow" w:eastAsia="Times New Roman" w:hAnsi="Arial Narrow" w:cs="Calibri"/>
                <w:b/>
                <w:bCs/>
                <w:color w:val="FFFFFF"/>
                <w:sz w:val="22"/>
                <w:szCs w:val="22"/>
              </w:rPr>
            </w:pPr>
            <w:r w:rsidRPr="008840FF">
              <w:rPr>
                <w:rFonts w:ascii="Arial Narrow" w:eastAsia="Times New Roman" w:hAnsi="Arial Narrow" w:cs="Calibri"/>
                <w:b/>
                <w:bCs/>
                <w:color w:val="FFFFFF"/>
                <w:sz w:val="22"/>
                <w:szCs w:val="22"/>
              </w:rPr>
              <w:t>Referencia</w:t>
            </w:r>
          </w:p>
        </w:tc>
      </w:tr>
      <w:tr w:rsidR="008840FF" w:rsidRPr="006E5442" w14:paraId="50E31D7E" w14:textId="77777777" w:rsidTr="001F18A0">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63E8E761" w14:textId="77777777" w:rsidR="008840FF" w:rsidRPr="008840FF" w:rsidRDefault="008840FF" w:rsidP="008840FF">
            <w:pPr>
              <w:rPr>
                <w:rFonts w:ascii="Arial Narrow" w:eastAsia="Times New Roman" w:hAnsi="Arial Narrow" w:cs="Calibri"/>
                <w:b/>
                <w:bCs/>
                <w:color w:val="FFFFFF"/>
                <w:sz w:val="22"/>
                <w:szCs w:val="22"/>
              </w:rPr>
            </w:pPr>
          </w:p>
        </w:tc>
        <w:tc>
          <w:tcPr>
            <w:tcW w:w="3691" w:type="dxa"/>
            <w:gridSpan w:val="2"/>
            <w:vMerge/>
            <w:tcBorders>
              <w:top w:val="single" w:sz="8" w:space="0" w:color="auto"/>
              <w:left w:val="single" w:sz="8" w:space="0" w:color="auto"/>
              <w:bottom w:val="nil"/>
              <w:right w:val="single" w:sz="8" w:space="0" w:color="auto"/>
            </w:tcBorders>
            <w:vAlign w:val="center"/>
            <w:hideMark/>
          </w:tcPr>
          <w:p w14:paraId="79016A06" w14:textId="77777777" w:rsidR="008840FF" w:rsidRPr="008840FF" w:rsidRDefault="008840FF" w:rsidP="008840FF">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464D56B3" w14:textId="77777777" w:rsidR="008840FF" w:rsidRPr="008840FF" w:rsidRDefault="008840FF" w:rsidP="008840FF">
            <w:pPr>
              <w:jc w:val="center"/>
              <w:rPr>
                <w:rFonts w:ascii="Arial Narrow" w:eastAsia="Times New Roman" w:hAnsi="Arial Narrow" w:cs="Calibri"/>
                <w:b/>
                <w:bCs/>
                <w:color w:val="FFFFFF"/>
                <w:sz w:val="22"/>
                <w:szCs w:val="22"/>
              </w:rPr>
            </w:pPr>
            <w:r w:rsidRPr="008840FF">
              <w:rPr>
                <w:rFonts w:ascii="Arial Narrow" w:eastAsia="Times New Roman" w:hAnsi="Arial Narrow" w:cs="Calibri"/>
                <w:b/>
                <w:bCs/>
                <w:color w:val="FFFFFF"/>
                <w:sz w:val="22"/>
                <w:szCs w:val="22"/>
              </w:rPr>
              <w:t>Norma</w:t>
            </w:r>
          </w:p>
        </w:tc>
        <w:tc>
          <w:tcPr>
            <w:tcW w:w="1839" w:type="dxa"/>
            <w:tcBorders>
              <w:top w:val="nil"/>
              <w:left w:val="nil"/>
              <w:bottom w:val="nil"/>
              <w:right w:val="single" w:sz="8" w:space="0" w:color="auto"/>
            </w:tcBorders>
            <w:shd w:val="clear" w:color="000000" w:fill="203764"/>
            <w:vAlign w:val="center"/>
            <w:hideMark/>
          </w:tcPr>
          <w:p w14:paraId="2003E7DF" w14:textId="77777777" w:rsidR="008840FF" w:rsidRPr="008840FF" w:rsidRDefault="008840FF" w:rsidP="008840FF">
            <w:pPr>
              <w:jc w:val="center"/>
              <w:rPr>
                <w:rFonts w:ascii="Arial Narrow" w:eastAsia="Times New Roman" w:hAnsi="Arial Narrow" w:cs="Calibri"/>
                <w:b/>
                <w:bCs/>
                <w:color w:val="FFFFFF"/>
                <w:sz w:val="22"/>
                <w:szCs w:val="22"/>
                <w:lang w:val="es-CR"/>
              </w:rPr>
            </w:pPr>
            <w:r w:rsidRPr="008840FF">
              <w:rPr>
                <w:rFonts w:ascii="Arial Narrow" w:eastAsia="Times New Roman" w:hAnsi="Arial Narrow" w:cs="Calibri"/>
                <w:b/>
                <w:bCs/>
                <w:color w:val="FFFFFF"/>
                <w:sz w:val="22"/>
                <w:szCs w:val="22"/>
                <w:lang w:val="es-CR"/>
              </w:rPr>
              <w:t>Normativa técnica y disposiciones adicionales</w:t>
            </w:r>
          </w:p>
        </w:tc>
      </w:tr>
      <w:tr w:rsidR="008840FF" w:rsidRPr="008840FF" w14:paraId="1CA33255" w14:textId="77777777" w:rsidTr="001F18A0">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EF4F8E" w14:textId="77777777" w:rsidR="008840FF" w:rsidRPr="008840FF" w:rsidRDefault="008840FF" w:rsidP="008840FF">
            <w:pPr>
              <w:jc w:val="center"/>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ECBB9D2" w14:textId="77777777" w:rsidR="008840FF" w:rsidRPr="008840FF" w:rsidRDefault="008840FF" w:rsidP="008840FF">
            <w:pPr>
              <w:jc w:val="center"/>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65</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68A4B92E" w14:textId="77777777" w:rsidR="008840FF" w:rsidRPr="008840FF" w:rsidRDefault="008840FF" w:rsidP="008840FF">
            <w:pPr>
              <w:jc w:val="center"/>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 xml:space="preserve"> </w:t>
            </w:r>
          </w:p>
        </w:tc>
        <w:tc>
          <w:tcPr>
            <w:tcW w:w="3691" w:type="dxa"/>
            <w:gridSpan w:val="2"/>
            <w:tcBorders>
              <w:top w:val="single" w:sz="8" w:space="0" w:color="auto"/>
              <w:left w:val="nil"/>
              <w:bottom w:val="single" w:sz="8" w:space="0" w:color="auto"/>
              <w:right w:val="single" w:sz="8" w:space="0" w:color="auto"/>
            </w:tcBorders>
            <w:shd w:val="clear" w:color="auto" w:fill="auto"/>
            <w:vAlign w:val="center"/>
            <w:hideMark/>
          </w:tcPr>
          <w:p w14:paraId="1260F859" w14:textId="77777777" w:rsidR="008840FF" w:rsidRPr="008840FF" w:rsidRDefault="008840FF" w:rsidP="008840FF">
            <w:pPr>
              <w:jc w:val="both"/>
              <w:rPr>
                <w:rFonts w:ascii="Arial Narrow" w:eastAsia="Times New Roman" w:hAnsi="Arial Narrow" w:cs="Calibri"/>
                <w:b/>
                <w:bCs/>
                <w:color w:val="000000"/>
                <w:sz w:val="22"/>
                <w:szCs w:val="22"/>
                <w:lang w:val="es-CR"/>
              </w:rPr>
            </w:pPr>
            <w:r w:rsidRPr="008840FF">
              <w:rPr>
                <w:rFonts w:ascii="Arial Narrow" w:eastAsia="Times New Roman" w:hAnsi="Arial Narrow" w:cs="Calibri"/>
                <w:b/>
                <w:bCs/>
                <w:color w:val="000000"/>
                <w:sz w:val="22"/>
                <w:szCs w:val="22"/>
                <w:lang w:val="es-CR"/>
              </w:rPr>
              <w:t>Efectos de cambios en las estimaciones contables</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1810CA47" w14:textId="77777777" w:rsidR="008840FF" w:rsidRDefault="008840FF" w:rsidP="008840FF">
            <w:pPr>
              <w:jc w:val="both"/>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NICSP N° 3,</w:t>
            </w:r>
          </w:p>
          <w:p w14:paraId="2D24319E" w14:textId="7F952747" w:rsidR="008840FF" w:rsidRPr="008840FF" w:rsidRDefault="008840FF" w:rsidP="008840FF">
            <w:pPr>
              <w:jc w:val="both"/>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Párrafos 41 a 43.</w:t>
            </w:r>
          </w:p>
        </w:tc>
        <w:tc>
          <w:tcPr>
            <w:tcW w:w="1846" w:type="dxa"/>
            <w:gridSpan w:val="2"/>
            <w:tcBorders>
              <w:top w:val="single" w:sz="8" w:space="0" w:color="auto"/>
              <w:left w:val="nil"/>
              <w:bottom w:val="single" w:sz="8" w:space="0" w:color="auto"/>
              <w:right w:val="single" w:sz="8" w:space="0" w:color="auto"/>
            </w:tcBorders>
            <w:shd w:val="clear" w:color="auto" w:fill="auto"/>
            <w:vAlign w:val="center"/>
            <w:hideMark/>
          </w:tcPr>
          <w:p w14:paraId="60905895" w14:textId="77777777" w:rsidR="008840FF" w:rsidRPr="008840FF" w:rsidRDefault="008840FF" w:rsidP="008840FF">
            <w:pPr>
              <w:jc w:val="center"/>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 </w:t>
            </w:r>
          </w:p>
        </w:tc>
      </w:tr>
    </w:tbl>
    <w:p w14:paraId="2D83FE53" w14:textId="77777777" w:rsidR="008840FF" w:rsidRDefault="008840FF" w:rsidP="00B735D8">
      <w:pPr>
        <w:pStyle w:val="Default"/>
        <w:jc w:val="both"/>
        <w:rPr>
          <w:sz w:val="22"/>
          <w:szCs w:val="22"/>
          <w:lang w:val="es-CR"/>
        </w:rPr>
      </w:pPr>
    </w:p>
    <w:p w14:paraId="42CFE2BA" w14:textId="77777777" w:rsidR="001F18A0" w:rsidRDefault="001F18A0" w:rsidP="001F18A0">
      <w:pPr>
        <w:pStyle w:val="Default"/>
        <w:ind w:left="1134" w:hanging="1134"/>
        <w:jc w:val="both"/>
        <w:rPr>
          <w:rFonts w:eastAsia="Arial"/>
          <w:b/>
          <w:sz w:val="22"/>
          <w:szCs w:val="22"/>
        </w:rPr>
      </w:pPr>
      <w:r w:rsidRPr="00F02F9D">
        <w:rPr>
          <w:rFonts w:eastAsia="Arial"/>
          <w:b/>
          <w:sz w:val="22"/>
          <w:szCs w:val="22"/>
        </w:rPr>
        <w:lastRenderedPageBreak/>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1C8559BA" w14:textId="77777777" w:rsidR="001F18A0" w:rsidRDefault="001F18A0" w:rsidP="00B735D8">
      <w:pPr>
        <w:pStyle w:val="Default"/>
        <w:jc w:val="both"/>
        <w:rPr>
          <w:sz w:val="22"/>
          <w:szCs w:val="22"/>
          <w:lang w:val="es-CR"/>
        </w:rPr>
      </w:pPr>
    </w:p>
    <w:p w14:paraId="49BEC025" w14:textId="7DCB43FC" w:rsidR="008840FF" w:rsidRDefault="008840FF" w:rsidP="008840FF">
      <w:pPr>
        <w:pStyle w:val="Default"/>
        <w:ind w:left="1134" w:hanging="1134"/>
        <w:jc w:val="both"/>
        <w:rPr>
          <w:sz w:val="22"/>
          <w:szCs w:val="22"/>
          <w:lang w:val="es-CR"/>
        </w:rPr>
      </w:pPr>
      <w:r>
        <w:rPr>
          <w:sz w:val="22"/>
          <w:szCs w:val="22"/>
          <w:lang w:val="es-CR"/>
        </w:rPr>
        <w:t>6.65.0.01</w:t>
      </w:r>
      <w:r>
        <w:rPr>
          <w:sz w:val="22"/>
          <w:szCs w:val="22"/>
          <w:lang w:val="es-CR"/>
        </w:rPr>
        <w:tab/>
      </w:r>
      <w:r w:rsidRPr="008840FF">
        <w:rPr>
          <w:sz w:val="22"/>
          <w:szCs w:val="22"/>
          <w:lang w:val="es-CR"/>
        </w:rPr>
        <w:t>El efecto de un cambio en una estimación contable, se reconocerá en forma prospectiva:</w:t>
      </w:r>
    </w:p>
    <w:p w14:paraId="54876CEE" w14:textId="77777777" w:rsidR="008840FF" w:rsidRPr="008840FF" w:rsidRDefault="008840FF" w:rsidP="008840FF">
      <w:pPr>
        <w:pStyle w:val="Default"/>
        <w:ind w:left="1134" w:hanging="1134"/>
        <w:jc w:val="both"/>
        <w:rPr>
          <w:sz w:val="22"/>
          <w:szCs w:val="22"/>
          <w:lang w:val="es-CR"/>
        </w:rPr>
      </w:pPr>
    </w:p>
    <w:p w14:paraId="064CF465" w14:textId="77777777" w:rsidR="008840FF" w:rsidRDefault="008840FF">
      <w:pPr>
        <w:pStyle w:val="Default"/>
        <w:numPr>
          <w:ilvl w:val="1"/>
          <w:numId w:val="395"/>
        </w:numPr>
        <w:spacing w:after="20"/>
        <w:ind w:left="1418" w:hanging="284"/>
        <w:jc w:val="both"/>
        <w:rPr>
          <w:sz w:val="22"/>
          <w:szCs w:val="22"/>
          <w:lang w:val="es-CR"/>
        </w:rPr>
      </w:pPr>
      <w:r>
        <w:rPr>
          <w:sz w:val="22"/>
          <w:szCs w:val="22"/>
          <w:lang w:val="es-CR"/>
        </w:rPr>
        <w:t>E</w:t>
      </w:r>
      <w:r w:rsidRPr="008840FF">
        <w:rPr>
          <w:sz w:val="22"/>
          <w:szCs w:val="22"/>
          <w:lang w:val="es-CR"/>
        </w:rPr>
        <w:t xml:space="preserve">n </w:t>
      </w:r>
      <w:r w:rsidRPr="008840FF">
        <w:rPr>
          <w:b/>
          <w:bCs/>
          <w:sz w:val="22"/>
          <w:szCs w:val="22"/>
          <w:lang w:val="es-CR"/>
        </w:rPr>
        <w:t xml:space="preserve">el resultado </w:t>
      </w:r>
      <w:r w:rsidRPr="008840FF">
        <w:rPr>
          <w:sz w:val="22"/>
          <w:szCs w:val="22"/>
          <w:lang w:val="es-CR"/>
        </w:rPr>
        <w:t>(ahorro / desahorro) del:</w:t>
      </w:r>
    </w:p>
    <w:p w14:paraId="76C42106" w14:textId="4A5DA9EE" w:rsidR="008840FF" w:rsidRDefault="008840FF" w:rsidP="008840FF">
      <w:pPr>
        <w:pStyle w:val="Default"/>
        <w:spacing w:after="20"/>
        <w:ind w:left="360"/>
        <w:jc w:val="both"/>
        <w:rPr>
          <w:sz w:val="22"/>
          <w:szCs w:val="22"/>
          <w:lang w:val="es-CR"/>
        </w:rPr>
      </w:pPr>
      <w:r w:rsidRPr="008840FF">
        <w:rPr>
          <w:sz w:val="22"/>
          <w:szCs w:val="22"/>
          <w:lang w:val="es-CR"/>
        </w:rPr>
        <w:t xml:space="preserve"> </w:t>
      </w:r>
    </w:p>
    <w:p w14:paraId="35DE1732" w14:textId="5D2518C9" w:rsidR="008840FF" w:rsidRPr="008840FF" w:rsidRDefault="008840FF">
      <w:pPr>
        <w:pStyle w:val="Default"/>
        <w:numPr>
          <w:ilvl w:val="0"/>
          <w:numId w:val="396"/>
        </w:numPr>
        <w:spacing w:after="120"/>
        <w:ind w:left="1633" w:hanging="85"/>
        <w:jc w:val="both"/>
        <w:rPr>
          <w:sz w:val="22"/>
          <w:szCs w:val="22"/>
          <w:lang w:val="es-CR"/>
        </w:rPr>
      </w:pPr>
      <w:r>
        <w:rPr>
          <w:sz w:val="22"/>
          <w:szCs w:val="22"/>
          <w:lang w:val="es-CR"/>
        </w:rPr>
        <w:t>P</w:t>
      </w:r>
      <w:r w:rsidRPr="008840FF">
        <w:rPr>
          <w:sz w:val="22"/>
          <w:szCs w:val="22"/>
          <w:lang w:val="es-CR"/>
        </w:rPr>
        <w:t xml:space="preserve">eríodo en que tiene lugar el cambio, si éste afecta a un sólo período; o </w:t>
      </w:r>
    </w:p>
    <w:p w14:paraId="242CA525" w14:textId="324CE0ED" w:rsidR="008840FF" w:rsidRPr="008840FF" w:rsidRDefault="008840FF">
      <w:pPr>
        <w:pStyle w:val="Default"/>
        <w:numPr>
          <w:ilvl w:val="0"/>
          <w:numId w:val="396"/>
        </w:numPr>
        <w:ind w:hanging="87"/>
        <w:jc w:val="both"/>
        <w:rPr>
          <w:sz w:val="22"/>
          <w:szCs w:val="22"/>
          <w:lang w:val="es-CR"/>
        </w:rPr>
      </w:pPr>
      <w:r>
        <w:rPr>
          <w:sz w:val="22"/>
          <w:szCs w:val="22"/>
          <w:lang w:val="es-CR"/>
        </w:rPr>
        <w:t>P</w:t>
      </w:r>
      <w:r w:rsidRPr="008840FF">
        <w:rPr>
          <w:sz w:val="22"/>
          <w:szCs w:val="22"/>
          <w:lang w:val="es-CR"/>
        </w:rPr>
        <w:t xml:space="preserve">eríodo del cambio y períodos futuros, si el mismo afectase a todos ellos. El efecto, si lo hubiera, sobre períodos futuros, se reconocerá en dichos períodos. </w:t>
      </w:r>
    </w:p>
    <w:p w14:paraId="5FC836F5" w14:textId="77777777" w:rsidR="008840FF" w:rsidRPr="008840FF" w:rsidRDefault="008840FF" w:rsidP="008840FF">
      <w:pPr>
        <w:pStyle w:val="Default"/>
        <w:ind w:left="360"/>
        <w:jc w:val="both"/>
        <w:rPr>
          <w:sz w:val="22"/>
          <w:szCs w:val="22"/>
          <w:lang w:val="es-CR"/>
        </w:rPr>
      </w:pPr>
    </w:p>
    <w:p w14:paraId="1EF14FE3" w14:textId="07F2F575" w:rsidR="008840FF" w:rsidRPr="008840FF" w:rsidRDefault="008840FF">
      <w:pPr>
        <w:pStyle w:val="Default"/>
        <w:numPr>
          <w:ilvl w:val="1"/>
          <w:numId w:val="395"/>
        </w:numPr>
        <w:spacing w:after="20"/>
        <w:ind w:left="1418" w:hanging="284"/>
        <w:jc w:val="both"/>
        <w:rPr>
          <w:sz w:val="22"/>
          <w:szCs w:val="22"/>
          <w:lang w:val="es-CR"/>
        </w:rPr>
      </w:pPr>
      <w:r>
        <w:rPr>
          <w:sz w:val="22"/>
          <w:szCs w:val="22"/>
          <w:lang w:val="es-CR"/>
        </w:rPr>
        <w:t>E</w:t>
      </w:r>
      <w:r w:rsidRPr="008840FF">
        <w:rPr>
          <w:sz w:val="22"/>
          <w:szCs w:val="22"/>
          <w:lang w:val="es-CR"/>
        </w:rPr>
        <w:t xml:space="preserve">n los activos y pasivos, o si se refiere a una partida del patrimonio, deberá ser reconocido ajustando </w:t>
      </w:r>
      <w:r w:rsidRPr="008840FF">
        <w:rPr>
          <w:b/>
          <w:bCs/>
          <w:sz w:val="22"/>
          <w:szCs w:val="22"/>
          <w:lang w:val="es-CR"/>
        </w:rPr>
        <w:t xml:space="preserve">el valor en libros </w:t>
      </w:r>
      <w:r w:rsidRPr="008840FF">
        <w:rPr>
          <w:sz w:val="22"/>
          <w:szCs w:val="22"/>
          <w:lang w:val="es-CR"/>
        </w:rPr>
        <w:t xml:space="preserve">de la correspondiente partida de </w:t>
      </w:r>
      <w:r w:rsidRPr="008840FF">
        <w:rPr>
          <w:b/>
          <w:bCs/>
          <w:sz w:val="22"/>
          <w:szCs w:val="22"/>
          <w:lang w:val="es-CR"/>
        </w:rPr>
        <w:t xml:space="preserve">activo, pasivo o patrimonio </w:t>
      </w:r>
      <w:r w:rsidRPr="008840FF">
        <w:rPr>
          <w:sz w:val="22"/>
          <w:szCs w:val="22"/>
          <w:lang w:val="es-CR"/>
        </w:rPr>
        <w:t xml:space="preserve">en el período en que tiene lugar el cambio. </w:t>
      </w:r>
    </w:p>
    <w:p w14:paraId="2A928D1C" w14:textId="77777777" w:rsidR="008840FF" w:rsidRPr="008840FF" w:rsidRDefault="008840FF" w:rsidP="008840FF">
      <w:pPr>
        <w:pStyle w:val="Default"/>
        <w:jc w:val="both"/>
        <w:rPr>
          <w:sz w:val="22"/>
          <w:szCs w:val="22"/>
          <w:lang w:val="es-CR"/>
        </w:rPr>
      </w:pPr>
    </w:p>
    <w:p w14:paraId="613C24AA" w14:textId="34B05051" w:rsidR="008840FF" w:rsidRPr="008840FF" w:rsidRDefault="008840FF" w:rsidP="008840FF">
      <w:pPr>
        <w:pStyle w:val="Default"/>
        <w:ind w:left="1134" w:hanging="1134"/>
        <w:jc w:val="both"/>
        <w:rPr>
          <w:sz w:val="22"/>
          <w:szCs w:val="22"/>
          <w:lang w:val="es-CR"/>
        </w:rPr>
      </w:pPr>
      <w:r>
        <w:rPr>
          <w:sz w:val="22"/>
          <w:szCs w:val="22"/>
          <w:lang w:val="es-CR"/>
        </w:rPr>
        <w:t>6.65.0.02</w:t>
      </w:r>
      <w:r>
        <w:rPr>
          <w:sz w:val="22"/>
          <w:szCs w:val="22"/>
          <w:lang w:val="es-CR"/>
        </w:rPr>
        <w:tab/>
      </w:r>
      <w:r w:rsidRPr="008840FF">
        <w:rPr>
          <w:sz w:val="22"/>
          <w:szCs w:val="22"/>
          <w:lang w:val="es-CR"/>
        </w:rPr>
        <w:t>El cambio en una estimación contable significa que el cambio se aplica a transacciones, otros eventos y condiciones, desde la fecha del cambio en la estimación.</w:t>
      </w:r>
    </w:p>
    <w:p w14:paraId="46C8E0BD" w14:textId="77777777" w:rsidR="008840FF" w:rsidRDefault="008840FF" w:rsidP="008840FF">
      <w:pPr>
        <w:pStyle w:val="Default"/>
        <w:jc w:val="both"/>
        <w:rPr>
          <w:sz w:val="22"/>
          <w:szCs w:val="22"/>
          <w:lang w:val="es-CR"/>
        </w:rPr>
      </w:pPr>
    </w:p>
    <w:p w14:paraId="706CDD57" w14:textId="77777777" w:rsidR="00090576" w:rsidRPr="008840FF" w:rsidRDefault="00090576" w:rsidP="008840FF">
      <w:pPr>
        <w:pStyle w:val="Default"/>
        <w:jc w:val="both"/>
        <w:rPr>
          <w:sz w:val="22"/>
          <w:szCs w:val="22"/>
          <w:lang w:val="es-CR"/>
        </w:rPr>
      </w:pPr>
    </w:p>
    <w:p w14:paraId="199D5AAE" w14:textId="77777777" w:rsidR="008840FF" w:rsidRPr="008840FF" w:rsidRDefault="008840FF" w:rsidP="008840FF">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89"/>
        <w:gridCol w:w="2253"/>
        <w:gridCol w:w="1854"/>
      </w:tblGrid>
      <w:tr w:rsidR="008840FF" w:rsidRPr="008840FF" w14:paraId="2C75A882" w14:textId="77777777" w:rsidTr="0009057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8B685FB" w14:textId="77777777" w:rsidR="008840FF" w:rsidRPr="008840FF" w:rsidRDefault="008840FF" w:rsidP="008840FF">
            <w:pPr>
              <w:jc w:val="center"/>
              <w:rPr>
                <w:rFonts w:ascii="Arial Narrow" w:eastAsia="Times New Roman" w:hAnsi="Arial Narrow" w:cs="Calibri"/>
                <w:b/>
                <w:bCs/>
                <w:color w:val="FFFFFF"/>
                <w:sz w:val="22"/>
                <w:szCs w:val="22"/>
              </w:rPr>
            </w:pPr>
            <w:r w:rsidRPr="008840FF">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0D3EEAF1" w14:textId="77777777" w:rsidR="008840FF" w:rsidRPr="008840FF" w:rsidRDefault="008840FF" w:rsidP="008840FF">
            <w:pPr>
              <w:jc w:val="center"/>
              <w:rPr>
                <w:rFonts w:ascii="Arial Narrow" w:eastAsia="Times New Roman" w:hAnsi="Arial Narrow" w:cs="Calibri"/>
                <w:b/>
                <w:bCs/>
                <w:color w:val="FFFFFF"/>
                <w:sz w:val="22"/>
                <w:szCs w:val="22"/>
              </w:rPr>
            </w:pPr>
            <w:r w:rsidRPr="008840FF">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41C7E3A9" w14:textId="77777777" w:rsidR="008840FF" w:rsidRPr="008840FF" w:rsidRDefault="008840FF" w:rsidP="008840FF">
            <w:pPr>
              <w:jc w:val="center"/>
              <w:rPr>
                <w:rFonts w:ascii="Arial Narrow" w:eastAsia="Times New Roman" w:hAnsi="Arial Narrow" w:cs="Calibri"/>
                <w:b/>
                <w:bCs/>
                <w:color w:val="FFFFFF"/>
                <w:sz w:val="22"/>
                <w:szCs w:val="22"/>
              </w:rPr>
            </w:pPr>
            <w:r w:rsidRPr="008840FF">
              <w:rPr>
                <w:rFonts w:ascii="Arial Narrow" w:eastAsia="Times New Roman" w:hAnsi="Arial Narrow" w:cs="Calibri"/>
                <w:b/>
                <w:bCs/>
                <w:color w:val="FFFFFF"/>
                <w:sz w:val="22"/>
                <w:szCs w:val="22"/>
              </w:rPr>
              <w:t>Referencia</w:t>
            </w:r>
          </w:p>
        </w:tc>
      </w:tr>
      <w:tr w:rsidR="008840FF" w:rsidRPr="006E5442" w14:paraId="666DF637" w14:textId="77777777" w:rsidTr="00090576">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8CE3C19" w14:textId="77777777" w:rsidR="008840FF" w:rsidRPr="008840FF" w:rsidRDefault="008840FF" w:rsidP="008840FF">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5AE45FC0" w14:textId="77777777" w:rsidR="008840FF" w:rsidRPr="008840FF" w:rsidRDefault="008840FF" w:rsidP="008840FF">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063A2C55" w14:textId="77777777" w:rsidR="008840FF" w:rsidRPr="008840FF" w:rsidRDefault="008840FF" w:rsidP="008840FF">
            <w:pPr>
              <w:jc w:val="center"/>
              <w:rPr>
                <w:rFonts w:ascii="Arial Narrow" w:eastAsia="Times New Roman" w:hAnsi="Arial Narrow" w:cs="Calibri"/>
                <w:b/>
                <w:bCs/>
                <w:color w:val="FFFFFF"/>
                <w:sz w:val="22"/>
                <w:szCs w:val="22"/>
              </w:rPr>
            </w:pPr>
            <w:r w:rsidRPr="008840FF">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00C37BB8" w14:textId="77777777" w:rsidR="008840FF" w:rsidRPr="008840FF" w:rsidRDefault="008840FF" w:rsidP="008840FF">
            <w:pPr>
              <w:jc w:val="center"/>
              <w:rPr>
                <w:rFonts w:ascii="Arial Narrow" w:eastAsia="Times New Roman" w:hAnsi="Arial Narrow" w:cs="Calibri"/>
                <w:b/>
                <w:bCs/>
                <w:color w:val="FFFFFF"/>
                <w:sz w:val="22"/>
                <w:szCs w:val="22"/>
                <w:lang w:val="es-CR"/>
              </w:rPr>
            </w:pPr>
            <w:r w:rsidRPr="008840FF">
              <w:rPr>
                <w:rFonts w:ascii="Arial Narrow" w:eastAsia="Times New Roman" w:hAnsi="Arial Narrow" w:cs="Calibri"/>
                <w:b/>
                <w:bCs/>
                <w:color w:val="FFFFFF"/>
                <w:sz w:val="22"/>
                <w:szCs w:val="22"/>
                <w:lang w:val="es-CR"/>
              </w:rPr>
              <w:t>Normativa técnica y disposiciones adicionales</w:t>
            </w:r>
          </w:p>
        </w:tc>
      </w:tr>
      <w:tr w:rsidR="008840FF" w:rsidRPr="008840FF" w14:paraId="4483B2E5" w14:textId="77777777" w:rsidTr="0009057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8B9AEA" w14:textId="77777777" w:rsidR="008840FF" w:rsidRPr="008840FF" w:rsidRDefault="008840FF" w:rsidP="008840FF">
            <w:pPr>
              <w:jc w:val="center"/>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DC2B669" w14:textId="77777777" w:rsidR="008840FF" w:rsidRPr="008840FF" w:rsidRDefault="008840FF" w:rsidP="008840FF">
            <w:pPr>
              <w:jc w:val="center"/>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66</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1DCA4D8" w14:textId="77777777" w:rsidR="008840FF" w:rsidRPr="008840FF" w:rsidRDefault="008840FF" w:rsidP="008840FF">
            <w:pPr>
              <w:jc w:val="center"/>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 xml:space="preserve">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38ACF658" w14:textId="77777777" w:rsidR="008840FF" w:rsidRPr="008840FF" w:rsidRDefault="008840FF" w:rsidP="008840FF">
            <w:pPr>
              <w:jc w:val="both"/>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Información a revelar</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626F5EBC" w14:textId="77777777" w:rsidR="00090576" w:rsidRDefault="008840FF" w:rsidP="008840FF">
            <w:pPr>
              <w:jc w:val="both"/>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NICSP N° 3,</w:t>
            </w:r>
          </w:p>
          <w:p w14:paraId="5E735BD1" w14:textId="0A470AA0" w:rsidR="008840FF" w:rsidRPr="008840FF" w:rsidRDefault="008840FF" w:rsidP="008840FF">
            <w:pPr>
              <w:jc w:val="both"/>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Párrafos 44 a 45.</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0A965691" w14:textId="77777777" w:rsidR="008840FF" w:rsidRPr="008840FF" w:rsidRDefault="008840FF" w:rsidP="008840FF">
            <w:pPr>
              <w:jc w:val="center"/>
              <w:rPr>
                <w:rFonts w:ascii="Arial Narrow" w:eastAsia="Times New Roman" w:hAnsi="Arial Narrow" w:cs="Calibri"/>
                <w:b/>
                <w:bCs/>
                <w:color w:val="000000"/>
                <w:sz w:val="22"/>
                <w:szCs w:val="22"/>
              </w:rPr>
            </w:pPr>
            <w:r w:rsidRPr="008840FF">
              <w:rPr>
                <w:rFonts w:ascii="Arial Narrow" w:eastAsia="Times New Roman" w:hAnsi="Arial Narrow" w:cs="Calibri"/>
                <w:b/>
                <w:bCs/>
                <w:color w:val="000000"/>
                <w:sz w:val="22"/>
                <w:szCs w:val="22"/>
              </w:rPr>
              <w:t> </w:t>
            </w:r>
          </w:p>
        </w:tc>
      </w:tr>
    </w:tbl>
    <w:p w14:paraId="28931E9E" w14:textId="77777777" w:rsidR="008840FF" w:rsidRDefault="008840FF" w:rsidP="00B735D8">
      <w:pPr>
        <w:pStyle w:val="Default"/>
        <w:jc w:val="both"/>
        <w:rPr>
          <w:sz w:val="22"/>
          <w:szCs w:val="22"/>
          <w:lang w:val="es-CR"/>
        </w:rPr>
      </w:pPr>
    </w:p>
    <w:p w14:paraId="7F90685D" w14:textId="77777777" w:rsidR="00090576" w:rsidRDefault="00090576" w:rsidP="00090576">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D0D1770" w14:textId="77777777" w:rsidR="00090576" w:rsidRDefault="00090576" w:rsidP="00B735D8">
      <w:pPr>
        <w:pStyle w:val="Default"/>
        <w:jc w:val="both"/>
        <w:rPr>
          <w:sz w:val="22"/>
          <w:szCs w:val="22"/>
          <w:lang w:val="es-CR"/>
        </w:rPr>
      </w:pPr>
    </w:p>
    <w:p w14:paraId="22462A9E" w14:textId="364B33D7" w:rsidR="008840FF" w:rsidRDefault="00061D0C" w:rsidP="00061D0C">
      <w:pPr>
        <w:pStyle w:val="Default"/>
        <w:ind w:left="1134" w:hanging="1134"/>
        <w:jc w:val="both"/>
        <w:rPr>
          <w:sz w:val="22"/>
          <w:szCs w:val="22"/>
          <w:lang w:val="es-CR"/>
        </w:rPr>
      </w:pPr>
      <w:r>
        <w:rPr>
          <w:sz w:val="22"/>
          <w:szCs w:val="22"/>
          <w:lang w:val="es-CR"/>
        </w:rPr>
        <w:t>6.67.0.01</w:t>
      </w:r>
      <w:r>
        <w:rPr>
          <w:sz w:val="22"/>
          <w:szCs w:val="22"/>
          <w:lang w:val="es-CR"/>
        </w:rPr>
        <w:tab/>
      </w:r>
      <w:r w:rsidR="008840FF" w:rsidRPr="008840FF">
        <w:rPr>
          <w:sz w:val="22"/>
          <w:szCs w:val="22"/>
          <w:lang w:val="es-CR"/>
        </w:rPr>
        <w:t>La entidad revelará la naturaleza e importe de cualquier cambio en una estimación contable que haya producido efectos en el período corriente, o que se espere vaya a producirlos en períodos futuros, excepto por la revelación de información del efecto sobre períodos futuros, en el caso de que fuera impracticable estimar ese efecto.</w:t>
      </w:r>
    </w:p>
    <w:p w14:paraId="59F6F98E" w14:textId="77777777" w:rsidR="00061D0C" w:rsidRPr="008840FF" w:rsidRDefault="00061D0C" w:rsidP="00061D0C">
      <w:pPr>
        <w:pStyle w:val="Default"/>
        <w:ind w:left="1134" w:hanging="1134"/>
        <w:jc w:val="both"/>
        <w:rPr>
          <w:sz w:val="22"/>
          <w:szCs w:val="22"/>
          <w:lang w:val="es-CR"/>
        </w:rPr>
      </w:pPr>
    </w:p>
    <w:p w14:paraId="3D3BB846" w14:textId="23C82125" w:rsidR="008840FF" w:rsidRPr="008840FF" w:rsidRDefault="00061D0C" w:rsidP="00061D0C">
      <w:pPr>
        <w:pStyle w:val="Default"/>
        <w:ind w:left="1134" w:hanging="1134"/>
        <w:jc w:val="both"/>
        <w:rPr>
          <w:sz w:val="22"/>
          <w:szCs w:val="22"/>
          <w:lang w:val="es-CR"/>
        </w:rPr>
      </w:pPr>
      <w:r>
        <w:rPr>
          <w:sz w:val="22"/>
          <w:szCs w:val="22"/>
          <w:lang w:val="es-CR"/>
        </w:rPr>
        <w:t>6.67.0.02</w:t>
      </w:r>
      <w:r>
        <w:rPr>
          <w:sz w:val="22"/>
          <w:szCs w:val="22"/>
          <w:lang w:val="es-CR"/>
        </w:rPr>
        <w:tab/>
      </w:r>
      <w:r w:rsidR="008840FF" w:rsidRPr="008840FF">
        <w:rPr>
          <w:sz w:val="22"/>
          <w:szCs w:val="22"/>
          <w:lang w:val="es-CR"/>
        </w:rPr>
        <w:t>Si no se informa el importe del efecto en períodos futuros debido a que la estimación es impracticable, la entidad revelará este hecho.</w:t>
      </w:r>
    </w:p>
    <w:p w14:paraId="5B3D26FD" w14:textId="77777777" w:rsidR="008840FF" w:rsidRDefault="008840FF" w:rsidP="00B735D8">
      <w:pPr>
        <w:pStyle w:val="Default"/>
        <w:jc w:val="both"/>
        <w:rPr>
          <w:sz w:val="22"/>
          <w:szCs w:val="22"/>
          <w:lang w:val="es-CR"/>
        </w:rPr>
      </w:pPr>
    </w:p>
    <w:p w14:paraId="14D63DC3" w14:textId="77777777" w:rsidR="00061D0C" w:rsidRDefault="00061D0C" w:rsidP="00B735D8">
      <w:pPr>
        <w:pStyle w:val="Default"/>
        <w:jc w:val="both"/>
        <w:rPr>
          <w:sz w:val="22"/>
          <w:szCs w:val="22"/>
          <w:lang w:val="es-CR"/>
        </w:rPr>
      </w:pPr>
    </w:p>
    <w:p w14:paraId="4FCA803A" w14:textId="77777777" w:rsidR="00090576" w:rsidRDefault="00090576" w:rsidP="00B735D8">
      <w:pPr>
        <w:pStyle w:val="Default"/>
        <w:jc w:val="both"/>
        <w:rPr>
          <w:sz w:val="22"/>
          <w:szCs w:val="22"/>
          <w:lang w:val="es-CR"/>
        </w:rPr>
      </w:pPr>
    </w:p>
    <w:p w14:paraId="4BACB66D" w14:textId="77777777" w:rsidR="00090576" w:rsidRDefault="00090576" w:rsidP="00B735D8">
      <w:pPr>
        <w:pStyle w:val="Default"/>
        <w:jc w:val="both"/>
        <w:rPr>
          <w:sz w:val="22"/>
          <w:szCs w:val="22"/>
          <w:lang w:val="es-CR"/>
        </w:rPr>
      </w:pPr>
    </w:p>
    <w:p w14:paraId="2988CE4F" w14:textId="14382652" w:rsidR="008840FF" w:rsidRDefault="00061D0C" w:rsidP="00061D0C">
      <w:pPr>
        <w:pStyle w:val="Ttulo2"/>
        <w:ind w:left="284"/>
        <w:rPr>
          <w:sz w:val="22"/>
          <w:szCs w:val="22"/>
          <w:lang w:val="es-CR"/>
        </w:rPr>
      </w:pPr>
      <w:bookmarkStart w:id="181" w:name="_Toc172726316"/>
      <w:r w:rsidRPr="00061D0C">
        <w:rPr>
          <w:rFonts w:ascii="Arial" w:eastAsia="Arial" w:hAnsi="Arial" w:cs="Arial"/>
          <w:b/>
          <w:bCs/>
          <w:sz w:val="24"/>
          <w:szCs w:val="24"/>
          <w:lang w:val="es-CR"/>
        </w:rPr>
        <w:t>Errores</w:t>
      </w:r>
      <w:bookmarkEnd w:id="181"/>
    </w:p>
    <w:p w14:paraId="6988A705" w14:textId="77777777" w:rsidR="008840FF" w:rsidRDefault="008840FF" w:rsidP="00B735D8">
      <w:pPr>
        <w:pStyle w:val="Default"/>
        <w:jc w:val="both"/>
        <w:rPr>
          <w:sz w:val="22"/>
          <w:szCs w:val="22"/>
          <w:lang w:val="es-CR"/>
        </w:rPr>
      </w:pPr>
    </w:p>
    <w:p w14:paraId="3DE2475B" w14:textId="77777777" w:rsidR="00061D0C" w:rsidRDefault="00061D0C" w:rsidP="00B735D8">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88"/>
        <w:gridCol w:w="2253"/>
        <w:gridCol w:w="1855"/>
      </w:tblGrid>
      <w:tr w:rsidR="00061D0C" w:rsidRPr="00061D0C" w14:paraId="61CC9135" w14:textId="77777777" w:rsidTr="0009057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3AF80AA" w14:textId="77777777" w:rsidR="00061D0C" w:rsidRPr="00061D0C" w:rsidRDefault="00061D0C" w:rsidP="00061D0C">
            <w:pPr>
              <w:jc w:val="center"/>
              <w:rPr>
                <w:rFonts w:ascii="Arial Narrow" w:eastAsia="Times New Roman" w:hAnsi="Arial Narrow" w:cs="Calibri"/>
                <w:b/>
                <w:bCs/>
                <w:color w:val="FFFFFF"/>
                <w:sz w:val="22"/>
                <w:szCs w:val="22"/>
              </w:rPr>
            </w:pPr>
            <w:r w:rsidRPr="00061D0C">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0EE7D792" w14:textId="77777777" w:rsidR="00061D0C" w:rsidRPr="00061D0C" w:rsidRDefault="00061D0C" w:rsidP="00061D0C">
            <w:pPr>
              <w:jc w:val="center"/>
              <w:rPr>
                <w:rFonts w:ascii="Arial Narrow" w:eastAsia="Times New Roman" w:hAnsi="Arial Narrow" w:cs="Calibri"/>
                <w:b/>
                <w:bCs/>
                <w:color w:val="FFFFFF"/>
                <w:sz w:val="22"/>
                <w:szCs w:val="22"/>
              </w:rPr>
            </w:pPr>
            <w:r w:rsidRPr="00061D0C">
              <w:rPr>
                <w:rFonts w:ascii="Arial Narrow" w:eastAsia="Times New Roman" w:hAnsi="Arial Narrow" w:cs="Calibri"/>
                <w:b/>
                <w:bCs/>
                <w:color w:val="FFFFFF"/>
                <w:sz w:val="22"/>
                <w:szCs w:val="22"/>
              </w:rPr>
              <w:t>Concepto</w:t>
            </w:r>
          </w:p>
        </w:tc>
        <w:tc>
          <w:tcPr>
            <w:tcW w:w="4108" w:type="dxa"/>
            <w:gridSpan w:val="2"/>
            <w:tcBorders>
              <w:top w:val="single" w:sz="8" w:space="0" w:color="auto"/>
              <w:left w:val="nil"/>
              <w:bottom w:val="single" w:sz="8" w:space="0" w:color="auto"/>
              <w:right w:val="single" w:sz="8" w:space="0" w:color="000000"/>
            </w:tcBorders>
            <w:shd w:val="clear" w:color="000000" w:fill="203764"/>
            <w:vAlign w:val="center"/>
            <w:hideMark/>
          </w:tcPr>
          <w:p w14:paraId="6F45BF66" w14:textId="77777777" w:rsidR="00061D0C" w:rsidRPr="00061D0C" w:rsidRDefault="00061D0C" w:rsidP="00061D0C">
            <w:pPr>
              <w:jc w:val="center"/>
              <w:rPr>
                <w:rFonts w:ascii="Arial Narrow" w:eastAsia="Times New Roman" w:hAnsi="Arial Narrow" w:cs="Calibri"/>
                <w:b/>
                <w:bCs/>
                <w:color w:val="FFFFFF"/>
                <w:sz w:val="22"/>
                <w:szCs w:val="22"/>
              </w:rPr>
            </w:pPr>
            <w:r w:rsidRPr="00061D0C">
              <w:rPr>
                <w:rFonts w:ascii="Arial Narrow" w:eastAsia="Times New Roman" w:hAnsi="Arial Narrow" w:cs="Calibri"/>
                <w:b/>
                <w:bCs/>
                <w:color w:val="FFFFFF"/>
                <w:sz w:val="22"/>
                <w:szCs w:val="22"/>
              </w:rPr>
              <w:t>Referencia</w:t>
            </w:r>
          </w:p>
        </w:tc>
      </w:tr>
      <w:tr w:rsidR="00061D0C" w:rsidRPr="006E5442" w14:paraId="5ECE0F8C" w14:textId="77777777" w:rsidTr="00090576">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7FEB807B" w14:textId="77777777" w:rsidR="00061D0C" w:rsidRPr="00061D0C" w:rsidRDefault="00061D0C" w:rsidP="00061D0C">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08ACF3E9" w14:textId="77777777" w:rsidR="00061D0C" w:rsidRPr="00061D0C" w:rsidRDefault="00061D0C" w:rsidP="00061D0C">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6E15E39F" w14:textId="77777777" w:rsidR="00061D0C" w:rsidRPr="00061D0C" w:rsidRDefault="00061D0C" w:rsidP="00061D0C">
            <w:pPr>
              <w:jc w:val="center"/>
              <w:rPr>
                <w:rFonts w:ascii="Arial Narrow" w:eastAsia="Times New Roman" w:hAnsi="Arial Narrow" w:cs="Calibri"/>
                <w:b/>
                <w:bCs/>
                <w:color w:val="FFFFFF"/>
                <w:sz w:val="22"/>
                <w:szCs w:val="22"/>
              </w:rPr>
            </w:pPr>
            <w:r w:rsidRPr="00061D0C">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58CA2A85" w14:textId="77777777" w:rsidR="00061D0C" w:rsidRPr="00061D0C" w:rsidRDefault="00061D0C" w:rsidP="00061D0C">
            <w:pPr>
              <w:jc w:val="center"/>
              <w:rPr>
                <w:rFonts w:ascii="Arial Narrow" w:eastAsia="Times New Roman" w:hAnsi="Arial Narrow" w:cs="Calibri"/>
                <w:b/>
                <w:bCs/>
                <w:color w:val="FFFFFF"/>
                <w:sz w:val="22"/>
                <w:szCs w:val="22"/>
                <w:lang w:val="es-CR"/>
              </w:rPr>
            </w:pPr>
            <w:r w:rsidRPr="00061D0C">
              <w:rPr>
                <w:rFonts w:ascii="Arial Narrow" w:eastAsia="Times New Roman" w:hAnsi="Arial Narrow" w:cs="Calibri"/>
                <w:b/>
                <w:bCs/>
                <w:color w:val="FFFFFF"/>
                <w:sz w:val="22"/>
                <w:szCs w:val="22"/>
                <w:lang w:val="es-CR"/>
              </w:rPr>
              <w:t>Normativa técnica y disposiciones adicionales</w:t>
            </w:r>
          </w:p>
        </w:tc>
      </w:tr>
      <w:tr w:rsidR="00061D0C" w:rsidRPr="00061D0C" w14:paraId="4E61FD26" w14:textId="77777777" w:rsidTr="0009057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3768E5" w14:textId="77777777" w:rsidR="00061D0C" w:rsidRPr="00061D0C" w:rsidRDefault="00061D0C" w:rsidP="00061D0C">
            <w:pPr>
              <w:jc w:val="center"/>
              <w:rPr>
                <w:rFonts w:ascii="Arial Narrow" w:eastAsia="Times New Roman" w:hAnsi="Arial Narrow" w:cs="Calibri"/>
                <w:b/>
                <w:bCs/>
                <w:color w:val="000000"/>
                <w:sz w:val="22"/>
                <w:szCs w:val="22"/>
              </w:rPr>
            </w:pPr>
            <w:r w:rsidRPr="00061D0C">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2BFD668" w14:textId="77777777" w:rsidR="00061D0C" w:rsidRPr="00061D0C" w:rsidRDefault="00061D0C" w:rsidP="00061D0C">
            <w:pPr>
              <w:jc w:val="center"/>
              <w:rPr>
                <w:rFonts w:ascii="Arial Narrow" w:eastAsia="Times New Roman" w:hAnsi="Arial Narrow" w:cs="Calibri"/>
                <w:b/>
                <w:bCs/>
                <w:color w:val="000000"/>
                <w:sz w:val="22"/>
                <w:szCs w:val="22"/>
              </w:rPr>
            </w:pPr>
            <w:r w:rsidRPr="00061D0C">
              <w:rPr>
                <w:rFonts w:ascii="Arial Narrow" w:eastAsia="Times New Roman" w:hAnsi="Arial Narrow" w:cs="Calibri"/>
                <w:b/>
                <w:bCs/>
                <w:color w:val="000000"/>
                <w:sz w:val="22"/>
                <w:szCs w:val="22"/>
              </w:rPr>
              <w:t>67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4913CFB" w14:textId="77777777" w:rsidR="00061D0C" w:rsidRPr="00061D0C" w:rsidRDefault="00061D0C" w:rsidP="00061D0C">
            <w:pPr>
              <w:jc w:val="center"/>
              <w:rPr>
                <w:rFonts w:ascii="Arial Narrow" w:eastAsia="Times New Roman" w:hAnsi="Arial Narrow" w:cs="Calibri"/>
                <w:b/>
                <w:bCs/>
                <w:color w:val="000000"/>
                <w:sz w:val="22"/>
                <w:szCs w:val="22"/>
              </w:rPr>
            </w:pPr>
            <w:r w:rsidRPr="00061D0C">
              <w:rPr>
                <w:rFonts w:ascii="Arial Narrow" w:eastAsia="Times New Roman" w:hAnsi="Arial Narrow" w:cs="Calibri"/>
                <w:b/>
                <w:bCs/>
                <w:color w:val="000000"/>
                <w:sz w:val="22"/>
                <w:szCs w:val="22"/>
              </w:rPr>
              <w:t xml:space="preserve">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62DD43EC" w14:textId="77777777" w:rsidR="00061D0C" w:rsidRPr="00061D0C" w:rsidRDefault="00061D0C" w:rsidP="00061D0C">
            <w:pPr>
              <w:jc w:val="both"/>
              <w:rPr>
                <w:rFonts w:ascii="Arial Narrow" w:eastAsia="Times New Roman" w:hAnsi="Arial Narrow" w:cs="Calibri"/>
                <w:b/>
                <w:bCs/>
                <w:color w:val="000000"/>
                <w:sz w:val="22"/>
                <w:szCs w:val="22"/>
              </w:rPr>
            </w:pPr>
            <w:r w:rsidRPr="00061D0C">
              <w:rPr>
                <w:rFonts w:ascii="Arial Narrow" w:eastAsia="Times New Roman" w:hAnsi="Arial Narrow" w:cs="Calibri"/>
                <w:b/>
                <w:bCs/>
                <w:color w:val="000000"/>
                <w:sz w:val="22"/>
                <w:szCs w:val="22"/>
              </w:rPr>
              <w:t>Errores del período corriente</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014B3730" w14:textId="77777777" w:rsidR="00090576" w:rsidRDefault="00061D0C" w:rsidP="00061D0C">
            <w:pPr>
              <w:jc w:val="both"/>
              <w:rPr>
                <w:rFonts w:ascii="Arial Narrow" w:eastAsia="Times New Roman" w:hAnsi="Arial Narrow" w:cs="Calibri"/>
                <w:b/>
                <w:bCs/>
                <w:color w:val="000000"/>
                <w:sz w:val="22"/>
                <w:szCs w:val="22"/>
              </w:rPr>
            </w:pPr>
            <w:r w:rsidRPr="00061D0C">
              <w:rPr>
                <w:rFonts w:ascii="Arial Narrow" w:eastAsia="Times New Roman" w:hAnsi="Arial Narrow" w:cs="Calibri"/>
                <w:b/>
                <w:bCs/>
                <w:color w:val="000000"/>
                <w:sz w:val="22"/>
                <w:szCs w:val="22"/>
              </w:rPr>
              <w:t>NICSP N° 3,</w:t>
            </w:r>
          </w:p>
          <w:p w14:paraId="5D838D4C" w14:textId="64252D64" w:rsidR="00061D0C" w:rsidRPr="00061D0C" w:rsidRDefault="00061D0C" w:rsidP="00061D0C">
            <w:pPr>
              <w:jc w:val="both"/>
              <w:rPr>
                <w:rFonts w:ascii="Arial Narrow" w:eastAsia="Times New Roman" w:hAnsi="Arial Narrow" w:cs="Calibri"/>
                <w:b/>
                <w:bCs/>
                <w:color w:val="000000"/>
                <w:sz w:val="22"/>
                <w:szCs w:val="22"/>
              </w:rPr>
            </w:pPr>
            <w:r w:rsidRPr="00061D0C">
              <w:rPr>
                <w:rFonts w:ascii="Arial Narrow" w:eastAsia="Times New Roman" w:hAnsi="Arial Narrow" w:cs="Calibri"/>
                <w:b/>
                <w:bCs/>
                <w:color w:val="000000"/>
                <w:sz w:val="22"/>
                <w:szCs w:val="22"/>
              </w:rPr>
              <w:t>Párrafo 46.</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1AD09146" w14:textId="77777777" w:rsidR="00061D0C" w:rsidRPr="00061D0C" w:rsidRDefault="00061D0C" w:rsidP="00061D0C">
            <w:pPr>
              <w:jc w:val="center"/>
              <w:rPr>
                <w:rFonts w:ascii="Arial Narrow" w:eastAsia="Times New Roman" w:hAnsi="Arial Narrow" w:cs="Calibri"/>
                <w:b/>
                <w:bCs/>
                <w:color w:val="000000"/>
                <w:sz w:val="22"/>
                <w:szCs w:val="22"/>
              </w:rPr>
            </w:pPr>
            <w:r w:rsidRPr="00061D0C">
              <w:rPr>
                <w:rFonts w:ascii="Arial Narrow" w:eastAsia="Times New Roman" w:hAnsi="Arial Narrow" w:cs="Calibri"/>
                <w:b/>
                <w:bCs/>
                <w:color w:val="000000"/>
                <w:sz w:val="22"/>
                <w:szCs w:val="22"/>
              </w:rPr>
              <w:t> </w:t>
            </w:r>
          </w:p>
        </w:tc>
      </w:tr>
    </w:tbl>
    <w:p w14:paraId="51C3A324" w14:textId="77777777" w:rsidR="008840FF" w:rsidRDefault="008840FF" w:rsidP="00B735D8">
      <w:pPr>
        <w:pStyle w:val="Default"/>
        <w:jc w:val="both"/>
        <w:rPr>
          <w:sz w:val="22"/>
          <w:szCs w:val="22"/>
          <w:lang w:val="es-CR"/>
        </w:rPr>
      </w:pPr>
    </w:p>
    <w:p w14:paraId="2F24A5C4" w14:textId="77777777" w:rsidR="00090576" w:rsidRDefault="00090576" w:rsidP="00090576">
      <w:pPr>
        <w:pStyle w:val="Default"/>
        <w:ind w:left="1134" w:hanging="1134"/>
        <w:jc w:val="both"/>
        <w:rPr>
          <w:rFonts w:eastAsia="Arial"/>
          <w:b/>
          <w:sz w:val="22"/>
          <w:szCs w:val="22"/>
        </w:rPr>
      </w:pPr>
    </w:p>
    <w:p w14:paraId="6918C92F" w14:textId="77777777" w:rsidR="00090576" w:rsidRDefault="00090576" w:rsidP="00090576">
      <w:pPr>
        <w:pStyle w:val="Default"/>
        <w:ind w:left="1134" w:hanging="1134"/>
        <w:jc w:val="both"/>
        <w:rPr>
          <w:rFonts w:eastAsia="Arial"/>
          <w:b/>
          <w:sz w:val="22"/>
          <w:szCs w:val="22"/>
        </w:rPr>
      </w:pPr>
    </w:p>
    <w:p w14:paraId="26924AEF" w14:textId="7B3296EF" w:rsidR="00090576" w:rsidRDefault="00090576" w:rsidP="00090576">
      <w:pPr>
        <w:pStyle w:val="Default"/>
        <w:ind w:left="1134" w:hanging="1134"/>
        <w:jc w:val="both"/>
        <w:rPr>
          <w:rFonts w:eastAsia="Arial"/>
          <w:b/>
          <w:sz w:val="22"/>
          <w:szCs w:val="22"/>
        </w:rPr>
      </w:pPr>
      <w:r w:rsidRPr="00F02F9D">
        <w:rPr>
          <w:rFonts w:eastAsia="Arial"/>
          <w:b/>
          <w:sz w:val="22"/>
          <w:szCs w:val="22"/>
        </w:rPr>
        <w:lastRenderedPageBreak/>
        <w:t>Política Contable</w:t>
      </w:r>
    </w:p>
    <w:p w14:paraId="05E6496E" w14:textId="77777777" w:rsidR="00090576" w:rsidRDefault="00090576" w:rsidP="00B735D8">
      <w:pPr>
        <w:pStyle w:val="Default"/>
        <w:jc w:val="both"/>
        <w:rPr>
          <w:sz w:val="22"/>
          <w:szCs w:val="22"/>
          <w:lang w:val="es-CR"/>
        </w:rPr>
      </w:pPr>
    </w:p>
    <w:p w14:paraId="674F4F03" w14:textId="49F271AD" w:rsidR="008840FF" w:rsidRPr="00061D0C" w:rsidRDefault="00061D0C" w:rsidP="00061D0C">
      <w:pPr>
        <w:pStyle w:val="Default"/>
        <w:ind w:left="1134" w:hanging="1134"/>
        <w:jc w:val="both"/>
        <w:rPr>
          <w:sz w:val="22"/>
          <w:szCs w:val="22"/>
          <w:lang w:val="es-CR"/>
        </w:rPr>
      </w:pPr>
      <w:r>
        <w:rPr>
          <w:sz w:val="22"/>
          <w:szCs w:val="22"/>
          <w:lang w:val="es-CR"/>
        </w:rPr>
        <w:t>6.67.0.01</w:t>
      </w:r>
      <w:r>
        <w:rPr>
          <w:sz w:val="22"/>
          <w:szCs w:val="22"/>
          <w:lang w:val="es-CR"/>
        </w:rPr>
        <w:tab/>
      </w:r>
      <w:r w:rsidRPr="00061D0C">
        <w:rPr>
          <w:sz w:val="22"/>
          <w:szCs w:val="22"/>
          <w:lang w:val="es-CR"/>
        </w:rPr>
        <w:t>Los errores pueden surgir al reconocer, medir, presentar o revelar la información de los elementos de los EEFF. Los errores potenciales del período corriente, descubiertos en este mismo período, se corregirán antes de que los estados financieros se autoricen para su emisión.</w:t>
      </w:r>
    </w:p>
    <w:p w14:paraId="06FB9B92" w14:textId="77777777" w:rsidR="008840FF" w:rsidRDefault="008840FF" w:rsidP="00B735D8">
      <w:pPr>
        <w:pStyle w:val="Default"/>
        <w:jc w:val="both"/>
        <w:rPr>
          <w:sz w:val="22"/>
          <w:szCs w:val="22"/>
          <w:lang w:val="es-CR"/>
        </w:rPr>
      </w:pPr>
    </w:p>
    <w:p w14:paraId="7D365302" w14:textId="77777777" w:rsidR="008840FF" w:rsidRDefault="008840FF" w:rsidP="00B735D8">
      <w:pPr>
        <w:pStyle w:val="Default"/>
        <w:jc w:val="both"/>
        <w:rPr>
          <w:sz w:val="22"/>
          <w:szCs w:val="22"/>
          <w:lang w:val="es-CR"/>
        </w:rPr>
      </w:pPr>
    </w:p>
    <w:p w14:paraId="3CBA6B8F" w14:textId="77777777" w:rsidR="008840FF" w:rsidRDefault="008840FF" w:rsidP="00B735D8">
      <w:pPr>
        <w:pStyle w:val="Default"/>
        <w:jc w:val="both"/>
        <w:rPr>
          <w:sz w:val="22"/>
          <w:szCs w:val="22"/>
          <w:lang w:val="es-CR"/>
        </w:rPr>
      </w:pPr>
    </w:p>
    <w:tbl>
      <w:tblPr>
        <w:tblW w:w="9346" w:type="dxa"/>
        <w:tblLook w:val="04A0" w:firstRow="1" w:lastRow="0" w:firstColumn="1" w:lastColumn="0" w:noHBand="0" w:noVBand="1"/>
      </w:tblPr>
      <w:tblGrid>
        <w:gridCol w:w="416"/>
        <w:gridCol w:w="662"/>
        <w:gridCol w:w="330"/>
        <w:gridCol w:w="9"/>
        <w:gridCol w:w="3730"/>
        <w:gridCol w:w="9"/>
        <w:gridCol w:w="2270"/>
        <w:gridCol w:w="9"/>
        <w:gridCol w:w="1911"/>
      </w:tblGrid>
      <w:tr w:rsidR="005B11E9" w:rsidRPr="005B11E9" w14:paraId="401DD9BB" w14:textId="77777777" w:rsidTr="00090576">
        <w:trPr>
          <w:trHeight w:val="320"/>
        </w:trPr>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75EA66C8" w14:textId="77777777" w:rsidR="005B11E9" w:rsidRPr="005B11E9" w:rsidRDefault="005B11E9" w:rsidP="005B11E9">
            <w:pPr>
              <w:jc w:val="center"/>
              <w:rPr>
                <w:rFonts w:ascii="Arial Narrow" w:eastAsia="Times New Roman" w:hAnsi="Arial Narrow" w:cs="Calibri"/>
                <w:b/>
                <w:bCs/>
                <w:color w:val="FFFFFF"/>
                <w:sz w:val="22"/>
                <w:szCs w:val="22"/>
              </w:rPr>
            </w:pPr>
            <w:r w:rsidRPr="005B11E9">
              <w:rPr>
                <w:rFonts w:ascii="Arial Narrow" w:eastAsia="Times New Roman" w:hAnsi="Arial Narrow" w:cs="Calibri"/>
                <w:b/>
                <w:bCs/>
                <w:color w:val="FFFFFF"/>
                <w:sz w:val="22"/>
                <w:szCs w:val="22"/>
              </w:rPr>
              <w:t>Norma / Política</w:t>
            </w:r>
          </w:p>
        </w:tc>
        <w:tc>
          <w:tcPr>
            <w:tcW w:w="3739" w:type="dxa"/>
            <w:gridSpan w:val="2"/>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C76080F" w14:textId="77777777" w:rsidR="005B11E9" w:rsidRPr="005B11E9" w:rsidRDefault="005B11E9" w:rsidP="005B11E9">
            <w:pPr>
              <w:jc w:val="center"/>
              <w:rPr>
                <w:rFonts w:ascii="Arial Narrow" w:eastAsia="Times New Roman" w:hAnsi="Arial Narrow" w:cs="Calibri"/>
                <w:b/>
                <w:bCs/>
                <w:color w:val="FFFFFF"/>
                <w:sz w:val="22"/>
                <w:szCs w:val="22"/>
              </w:rPr>
            </w:pPr>
            <w:r w:rsidRPr="005B11E9">
              <w:rPr>
                <w:rFonts w:ascii="Arial Narrow" w:eastAsia="Times New Roman" w:hAnsi="Arial Narrow" w:cs="Calibri"/>
                <w:b/>
                <w:bCs/>
                <w:color w:val="FFFFFF"/>
                <w:sz w:val="22"/>
                <w:szCs w:val="22"/>
              </w:rPr>
              <w:t>Concepto</w:t>
            </w:r>
          </w:p>
        </w:tc>
        <w:tc>
          <w:tcPr>
            <w:tcW w:w="4190" w:type="dxa"/>
            <w:gridSpan w:val="3"/>
            <w:tcBorders>
              <w:top w:val="single" w:sz="8" w:space="0" w:color="auto"/>
              <w:left w:val="nil"/>
              <w:bottom w:val="single" w:sz="8" w:space="0" w:color="auto"/>
              <w:right w:val="single" w:sz="8" w:space="0" w:color="000000"/>
            </w:tcBorders>
            <w:shd w:val="clear" w:color="000000" w:fill="203764"/>
            <w:vAlign w:val="center"/>
            <w:hideMark/>
          </w:tcPr>
          <w:p w14:paraId="171FF59A" w14:textId="77777777" w:rsidR="005B11E9" w:rsidRPr="005B11E9" w:rsidRDefault="005B11E9" w:rsidP="005B11E9">
            <w:pPr>
              <w:jc w:val="center"/>
              <w:rPr>
                <w:rFonts w:ascii="Arial Narrow" w:eastAsia="Times New Roman" w:hAnsi="Arial Narrow" w:cs="Calibri"/>
                <w:b/>
                <w:bCs/>
                <w:color w:val="FFFFFF"/>
                <w:sz w:val="22"/>
                <w:szCs w:val="22"/>
              </w:rPr>
            </w:pPr>
            <w:r w:rsidRPr="005B11E9">
              <w:rPr>
                <w:rFonts w:ascii="Arial Narrow" w:eastAsia="Times New Roman" w:hAnsi="Arial Narrow" w:cs="Calibri"/>
                <w:b/>
                <w:bCs/>
                <w:color w:val="FFFFFF"/>
                <w:sz w:val="22"/>
                <w:szCs w:val="22"/>
              </w:rPr>
              <w:t>Referencia</w:t>
            </w:r>
          </w:p>
        </w:tc>
      </w:tr>
      <w:tr w:rsidR="005B11E9" w:rsidRPr="006E5442" w14:paraId="11CC3061" w14:textId="77777777" w:rsidTr="00090576">
        <w:trPr>
          <w:trHeight w:val="850"/>
        </w:trPr>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14:paraId="5436AB08" w14:textId="77777777" w:rsidR="005B11E9" w:rsidRPr="005B11E9" w:rsidRDefault="005B11E9" w:rsidP="005B11E9">
            <w:pPr>
              <w:rPr>
                <w:rFonts w:ascii="Arial Narrow" w:eastAsia="Times New Roman" w:hAnsi="Arial Narrow" w:cs="Calibri"/>
                <w:b/>
                <w:bCs/>
                <w:color w:val="FFFFFF"/>
                <w:sz w:val="22"/>
                <w:szCs w:val="22"/>
              </w:rPr>
            </w:pPr>
          </w:p>
        </w:tc>
        <w:tc>
          <w:tcPr>
            <w:tcW w:w="3739" w:type="dxa"/>
            <w:gridSpan w:val="2"/>
            <w:vMerge/>
            <w:tcBorders>
              <w:top w:val="single" w:sz="8" w:space="0" w:color="auto"/>
              <w:left w:val="single" w:sz="8" w:space="0" w:color="auto"/>
              <w:bottom w:val="single" w:sz="8" w:space="0" w:color="000000"/>
              <w:right w:val="single" w:sz="8" w:space="0" w:color="auto"/>
            </w:tcBorders>
            <w:vAlign w:val="center"/>
            <w:hideMark/>
          </w:tcPr>
          <w:p w14:paraId="504C326A" w14:textId="77777777" w:rsidR="005B11E9" w:rsidRPr="005B11E9" w:rsidRDefault="005B11E9" w:rsidP="005B11E9">
            <w:pPr>
              <w:rPr>
                <w:rFonts w:ascii="Arial Narrow" w:eastAsia="Times New Roman" w:hAnsi="Arial Narrow" w:cs="Calibri"/>
                <w:b/>
                <w:bCs/>
                <w:color w:val="FFFFFF"/>
                <w:sz w:val="22"/>
                <w:szCs w:val="22"/>
              </w:rPr>
            </w:pPr>
          </w:p>
        </w:tc>
        <w:tc>
          <w:tcPr>
            <w:tcW w:w="2279" w:type="dxa"/>
            <w:gridSpan w:val="2"/>
            <w:tcBorders>
              <w:top w:val="nil"/>
              <w:left w:val="nil"/>
              <w:bottom w:val="single" w:sz="8" w:space="0" w:color="auto"/>
              <w:right w:val="single" w:sz="8" w:space="0" w:color="auto"/>
            </w:tcBorders>
            <w:shd w:val="clear" w:color="000000" w:fill="203764"/>
            <w:vAlign w:val="center"/>
            <w:hideMark/>
          </w:tcPr>
          <w:p w14:paraId="1636E48D" w14:textId="77777777" w:rsidR="005B11E9" w:rsidRPr="005B11E9" w:rsidRDefault="005B11E9" w:rsidP="005B11E9">
            <w:pPr>
              <w:jc w:val="center"/>
              <w:rPr>
                <w:rFonts w:ascii="Arial Narrow" w:eastAsia="Times New Roman" w:hAnsi="Arial Narrow" w:cs="Calibri"/>
                <w:b/>
                <w:bCs/>
                <w:color w:val="FFFFFF"/>
                <w:sz w:val="22"/>
                <w:szCs w:val="22"/>
              </w:rPr>
            </w:pPr>
            <w:r w:rsidRPr="005B11E9">
              <w:rPr>
                <w:rFonts w:ascii="Arial Narrow" w:eastAsia="Times New Roman" w:hAnsi="Arial Narrow" w:cs="Calibri"/>
                <w:b/>
                <w:bCs/>
                <w:color w:val="FFFFFF"/>
                <w:sz w:val="22"/>
                <w:szCs w:val="22"/>
              </w:rPr>
              <w:t>Norma</w:t>
            </w:r>
          </w:p>
        </w:tc>
        <w:tc>
          <w:tcPr>
            <w:tcW w:w="1911" w:type="dxa"/>
            <w:tcBorders>
              <w:top w:val="nil"/>
              <w:left w:val="nil"/>
              <w:bottom w:val="single" w:sz="8" w:space="0" w:color="auto"/>
              <w:right w:val="single" w:sz="8" w:space="0" w:color="auto"/>
            </w:tcBorders>
            <w:shd w:val="clear" w:color="000000" w:fill="203764"/>
            <w:vAlign w:val="center"/>
            <w:hideMark/>
          </w:tcPr>
          <w:p w14:paraId="52EAB91B" w14:textId="77777777" w:rsidR="005B11E9" w:rsidRPr="005B11E9" w:rsidRDefault="005B11E9" w:rsidP="005B11E9">
            <w:pPr>
              <w:jc w:val="center"/>
              <w:rPr>
                <w:rFonts w:ascii="Arial Narrow" w:eastAsia="Times New Roman" w:hAnsi="Arial Narrow" w:cs="Calibri"/>
                <w:b/>
                <w:bCs/>
                <w:color w:val="FFFFFF"/>
                <w:sz w:val="22"/>
                <w:szCs w:val="22"/>
                <w:lang w:val="es-CR"/>
              </w:rPr>
            </w:pPr>
            <w:r w:rsidRPr="005B11E9">
              <w:rPr>
                <w:rFonts w:ascii="Arial Narrow" w:eastAsia="Times New Roman" w:hAnsi="Arial Narrow" w:cs="Calibri"/>
                <w:b/>
                <w:bCs/>
                <w:color w:val="FFFFFF"/>
                <w:sz w:val="22"/>
                <w:szCs w:val="22"/>
                <w:lang w:val="es-CR"/>
              </w:rPr>
              <w:t>Normativa técnica y disposiciones adicionales</w:t>
            </w:r>
          </w:p>
        </w:tc>
      </w:tr>
      <w:tr w:rsidR="005B11E9" w:rsidRPr="005B11E9" w14:paraId="3CA98639" w14:textId="77777777" w:rsidTr="00090576">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168BE78"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0A5FFB81" w14:textId="77777777" w:rsidR="005B11E9" w:rsidRPr="005B11E9" w:rsidRDefault="005B11E9" w:rsidP="00090576">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68</w:t>
            </w:r>
          </w:p>
        </w:tc>
        <w:tc>
          <w:tcPr>
            <w:tcW w:w="330" w:type="dxa"/>
            <w:tcBorders>
              <w:top w:val="nil"/>
              <w:left w:val="nil"/>
              <w:bottom w:val="single" w:sz="8" w:space="0" w:color="auto"/>
              <w:right w:val="single" w:sz="8" w:space="0" w:color="auto"/>
            </w:tcBorders>
            <w:shd w:val="clear" w:color="auto" w:fill="auto"/>
            <w:vAlign w:val="center"/>
            <w:hideMark/>
          </w:tcPr>
          <w:p w14:paraId="1F404BA6"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w:t>
            </w:r>
          </w:p>
        </w:tc>
        <w:tc>
          <w:tcPr>
            <w:tcW w:w="3739" w:type="dxa"/>
            <w:gridSpan w:val="2"/>
            <w:tcBorders>
              <w:top w:val="nil"/>
              <w:left w:val="nil"/>
              <w:bottom w:val="single" w:sz="8" w:space="0" w:color="auto"/>
              <w:right w:val="single" w:sz="8" w:space="0" w:color="auto"/>
            </w:tcBorders>
            <w:shd w:val="clear" w:color="auto" w:fill="auto"/>
            <w:vAlign w:val="center"/>
            <w:hideMark/>
          </w:tcPr>
          <w:p w14:paraId="00A2D33C" w14:textId="77777777" w:rsidR="005B11E9" w:rsidRPr="005B11E9" w:rsidRDefault="005B11E9" w:rsidP="005B11E9">
            <w:pP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Errores de períodos anteriores</w:t>
            </w:r>
          </w:p>
        </w:tc>
        <w:tc>
          <w:tcPr>
            <w:tcW w:w="2279" w:type="dxa"/>
            <w:gridSpan w:val="2"/>
            <w:tcBorders>
              <w:top w:val="nil"/>
              <w:left w:val="nil"/>
              <w:bottom w:val="single" w:sz="8" w:space="0" w:color="auto"/>
              <w:right w:val="single" w:sz="8" w:space="0" w:color="auto"/>
            </w:tcBorders>
            <w:shd w:val="clear" w:color="auto" w:fill="auto"/>
            <w:vAlign w:val="center"/>
            <w:hideMark/>
          </w:tcPr>
          <w:p w14:paraId="018E538E" w14:textId="77777777" w:rsidR="005B11E9" w:rsidRPr="005B11E9" w:rsidRDefault="005B11E9" w:rsidP="005B11E9">
            <w:pP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xml:space="preserve">NICSP N° 3, </w:t>
            </w:r>
            <w:r w:rsidRPr="005B11E9">
              <w:rPr>
                <w:rFonts w:ascii="Arial Narrow" w:eastAsia="Times New Roman" w:hAnsi="Arial Narrow" w:cs="Calibri"/>
                <w:b/>
                <w:bCs/>
                <w:color w:val="000000"/>
                <w:sz w:val="22"/>
                <w:szCs w:val="22"/>
              </w:rPr>
              <w:br/>
              <w:t>Párrafo 47.</w:t>
            </w:r>
          </w:p>
        </w:tc>
        <w:tc>
          <w:tcPr>
            <w:tcW w:w="1920" w:type="dxa"/>
            <w:gridSpan w:val="2"/>
            <w:tcBorders>
              <w:top w:val="nil"/>
              <w:left w:val="nil"/>
              <w:bottom w:val="single" w:sz="8" w:space="0" w:color="auto"/>
              <w:right w:val="single" w:sz="8" w:space="0" w:color="auto"/>
            </w:tcBorders>
            <w:shd w:val="clear" w:color="auto" w:fill="auto"/>
            <w:vAlign w:val="center"/>
            <w:hideMark/>
          </w:tcPr>
          <w:p w14:paraId="4C282F40"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w:t>
            </w:r>
          </w:p>
        </w:tc>
      </w:tr>
      <w:tr w:rsidR="005B11E9" w:rsidRPr="005B11E9" w14:paraId="0B483727" w14:textId="77777777" w:rsidTr="00090576">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E8F0D60"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6100FF74" w14:textId="77777777" w:rsidR="005B11E9" w:rsidRPr="005B11E9" w:rsidRDefault="005B11E9" w:rsidP="00090576">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68</w:t>
            </w:r>
          </w:p>
        </w:tc>
        <w:tc>
          <w:tcPr>
            <w:tcW w:w="330" w:type="dxa"/>
            <w:tcBorders>
              <w:top w:val="nil"/>
              <w:left w:val="nil"/>
              <w:bottom w:val="single" w:sz="8" w:space="0" w:color="auto"/>
              <w:right w:val="nil"/>
            </w:tcBorders>
            <w:shd w:val="clear" w:color="auto" w:fill="auto"/>
            <w:vAlign w:val="center"/>
            <w:hideMark/>
          </w:tcPr>
          <w:p w14:paraId="7E54EE56"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1</w:t>
            </w:r>
          </w:p>
        </w:tc>
        <w:tc>
          <w:tcPr>
            <w:tcW w:w="3739" w:type="dxa"/>
            <w:gridSpan w:val="2"/>
            <w:tcBorders>
              <w:top w:val="nil"/>
              <w:left w:val="single" w:sz="8" w:space="0" w:color="auto"/>
              <w:bottom w:val="single" w:sz="8" w:space="0" w:color="auto"/>
              <w:right w:val="single" w:sz="8" w:space="0" w:color="auto"/>
            </w:tcBorders>
            <w:shd w:val="clear" w:color="auto" w:fill="auto"/>
            <w:vAlign w:val="center"/>
            <w:hideMark/>
          </w:tcPr>
          <w:p w14:paraId="1B485A59" w14:textId="77777777" w:rsidR="005B11E9" w:rsidRPr="005B11E9" w:rsidRDefault="005B11E9" w:rsidP="005B11E9">
            <w:pPr>
              <w:rPr>
                <w:rFonts w:ascii="Arial Narrow" w:eastAsia="Times New Roman" w:hAnsi="Arial Narrow" w:cs="Calibri"/>
                <w:b/>
                <w:bCs/>
                <w:color w:val="000000"/>
                <w:sz w:val="22"/>
                <w:szCs w:val="22"/>
                <w:lang w:val="es-CR"/>
              </w:rPr>
            </w:pPr>
            <w:r w:rsidRPr="005B11E9">
              <w:rPr>
                <w:rFonts w:ascii="Arial Narrow" w:eastAsia="Times New Roman" w:hAnsi="Arial Narrow" w:cs="Calibri"/>
                <w:b/>
                <w:bCs/>
                <w:color w:val="000000"/>
                <w:sz w:val="22"/>
                <w:szCs w:val="22"/>
                <w:lang w:val="es-CR"/>
              </w:rPr>
              <w:t>Limitaciones de una reexpresión retroactiva</w:t>
            </w:r>
          </w:p>
        </w:tc>
        <w:tc>
          <w:tcPr>
            <w:tcW w:w="2279" w:type="dxa"/>
            <w:gridSpan w:val="2"/>
            <w:tcBorders>
              <w:top w:val="nil"/>
              <w:left w:val="nil"/>
              <w:bottom w:val="single" w:sz="8" w:space="0" w:color="auto"/>
              <w:right w:val="single" w:sz="8" w:space="0" w:color="auto"/>
            </w:tcBorders>
            <w:shd w:val="clear" w:color="auto" w:fill="auto"/>
            <w:vAlign w:val="center"/>
            <w:hideMark/>
          </w:tcPr>
          <w:p w14:paraId="41BEBA9C" w14:textId="77777777" w:rsidR="005B11E9" w:rsidRPr="005B11E9" w:rsidRDefault="005B11E9" w:rsidP="005B11E9">
            <w:pP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xml:space="preserve">NICSP N° 3, </w:t>
            </w:r>
            <w:r w:rsidRPr="005B11E9">
              <w:rPr>
                <w:rFonts w:ascii="Arial Narrow" w:eastAsia="Times New Roman" w:hAnsi="Arial Narrow" w:cs="Calibri"/>
                <w:b/>
                <w:bCs/>
                <w:color w:val="000000"/>
                <w:sz w:val="22"/>
                <w:szCs w:val="22"/>
              </w:rPr>
              <w:br/>
              <w:t>Párrafo 48.</w:t>
            </w:r>
          </w:p>
        </w:tc>
        <w:tc>
          <w:tcPr>
            <w:tcW w:w="1920" w:type="dxa"/>
            <w:gridSpan w:val="2"/>
            <w:tcBorders>
              <w:top w:val="nil"/>
              <w:left w:val="nil"/>
              <w:bottom w:val="single" w:sz="8" w:space="0" w:color="auto"/>
              <w:right w:val="single" w:sz="8" w:space="0" w:color="auto"/>
            </w:tcBorders>
            <w:shd w:val="clear" w:color="auto" w:fill="auto"/>
            <w:vAlign w:val="center"/>
            <w:hideMark/>
          </w:tcPr>
          <w:p w14:paraId="4D09C7F1"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w:t>
            </w:r>
          </w:p>
        </w:tc>
      </w:tr>
      <w:tr w:rsidR="005B11E9" w:rsidRPr="005B11E9" w14:paraId="3158D44C" w14:textId="77777777" w:rsidTr="00090576">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C789B65"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69EE75CA" w14:textId="77777777" w:rsidR="005B11E9" w:rsidRPr="005B11E9" w:rsidRDefault="005B11E9" w:rsidP="00090576">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68</w:t>
            </w:r>
          </w:p>
        </w:tc>
        <w:tc>
          <w:tcPr>
            <w:tcW w:w="330" w:type="dxa"/>
            <w:tcBorders>
              <w:top w:val="nil"/>
              <w:left w:val="nil"/>
              <w:bottom w:val="single" w:sz="8" w:space="0" w:color="auto"/>
              <w:right w:val="single" w:sz="8" w:space="0" w:color="auto"/>
            </w:tcBorders>
            <w:shd w:val="clear" w:color="auto" w:fill="auto"/>
            <w:vAlign w:val="center"/>
            <w:hideMark/>
          </w:tcPr>
          <w:p w14:paraId="7C29A936"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2</w:t>
            </w:r>
          </w:p>
        </w:tc>
        <w:tc>
          <w:tcPr>
            <w:tcW w:w="3739" w:type="dxa"/>
            <w:gridSpan w:val="2"/>
            <w:tcBorders>
              <w:top w:val="nil"/>
              <w:left w:val="nil"/>
              <w:bottom w:val="single" w:sz="8" w:space="0" w:color="auto"/>
              <w:right w:val="single" w:sz="8" w:space="0" w:color="auto"/>
            </w:tcBorders>
            <w:shd w:val="clear" w:color="auto" w:fill="auto"/>
            <w:vAlign w:val="center"/>
            <w:hideMark/>
          </w:tcPr>
          <w:p w14:paraId="654D6CDC" w14:textId="77777777" w:rsidR="005B11E9" w:rsidRPr="005B11E9" w:rsidRDefault="005B11E9" w:rsidP="005B11E9">
            <w:pPr>
              <w:jc w:val="both"/>
              <w:rPr>
                <w:rFonts w:ascii="Arial Narrow" w:eastAsia="Times New Roman" w:hAnsi="Arial Narrow" w:cs="Calibri"/>
                <w:b/>
                <w:bCs/>
                <w:color w:val="000000"/>
                <w:sz w:val="22"/>
                <w:szCs w:val="22"/>
                <w:lang w:val="es-CR"/>
              </w:rPr>
            </w:pPr>
            <w:r w:rsidRPr="005B11E9">
              <w:rPr>
                <w:rFonts w:ascii="Arial Narrow" w:eastAsia="Times New Roman" w:hAnsi="Arial Narrow" w:cs="Calibri"/>
                <w:b/>
                <w:bCs/>
                <w:color w:val="000000"/>
                <w:sz w:val="22"/>
                <w:szCs w:val="22"/>
                <w:lang w:val="es-CR"/>
              </w:rPr>
              <w:t>Impracticabilidad de determinar los efectos que se derivan</w:t>
            </w:r>
          </w:p>
        </w:tc>
        <w:tc>
          <w:tcPr>
            <w:tcW w:w="2279" w:type="dxa"/>
            <w:gridSpan w:val="2"/>
            <w:tcBorders>
              <w:top w:val="nil"/>
              <w:left w:val="nil"/>
              <w:bottom w:val="single" w:sz="8" w:space="0" w:color="auto"/>
              <w:right w:val="single" w:sz="8" w:space="0" w:color="auto"/>
            </w:tcBorders>
            <w:shd w:val="clear" w:color="auto" w:fill="auto"/>
            <w:vAlign w:val="center"/>
            <w:hideMark/>
          </w:tcPr>
          <w:p w14:paraId="665611A8" w14:textId="77777777" w:rsidR="005B11E9" w:rsidRPr="005B11E9" w:rsidRDefault="005B11E9" w:rsidP="005B11E9">
            <w:pP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NICSP N° 3,</w:t>
            </w:r>
            <w:r w:rsidRPr="005B11E9">
              <w:rPr>
                <w:rFonts w:ascii="Arial Narrow" w:eastAsia="Times New Roman" w:hAnsi="Arial Narrow" w:cs="Calibri"/>
                <w:b/>
                <w:bCs/>
                <w:color w:val="000000"/>
                <w:sz w:val="22"/>
                <w:szCs w:val="22"/>
              </w:rPr>
              <w:br/>
              <w:t>Párrafo 49.</w:t>
            </w:r>
          </w:p>
        </w:tc>
        <w:tc>
          <w:tcPr>
            <w:tcW w:w="1920" w:type="dxa"/>
            <w:gridSpan w:val="2"/>
            <w:tcBorders>
              <w:top w:val="nil"/>
              <w:left w:val="nil"/>
              <w:bottom w:val="single" w:sz="8" w:space="0" w:color="auto"/>
              <w:right w:val="single" w:sz="8" w:space="0" w:color="auto"/>
            </w:tcBorders>
            <w:shd w:val="clear" w:color="auto" w:fill="auto"/>
            <w:vAlign w:val="center"/>
            <w:hideMark/>
          </w:tcPr>
          <w:p w14:paraId="0EF03CCA"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xml:space="preserve"> </w:t>
            </w:r>
          </w:p>
        </w:tc>
      </w:tr>
      <w:tr w:rsidR="005B11E9" w:rsidRPr="005B11E9" w14:paraId="5B955D9C" w14:textId="77777777" w:rsidTr="00090576">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7D522F4"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06AABF17" w14:textId="77777777" w:rsidR="005B11E9" w:rsidRPr="005B11E9" w:rsidRDefault="005B11E9" w:rsidP="00090576">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68</w:t>
            </w:r>
          </w:p>
        </w:tc>
        <w:tc>
          <w:tcPr>
            <w:tcW w:w="330" w:type="dxa"/>
            <w:tcBorders>
              <w:top w:val="nil"/>
              <w:left w:val="nil"/>
              <w:bottom w:val="single" w:sz="8" w:space="0" w:color="auto"/>
              <w:right w:val="single" w:sz="8" w:space="0" w:color="auto"/>
            </w:tcBorders>
            <w:shd w:val="clear" w:color="auto" w:fill="auto"/>
            <w:vAlign w:val="center"/>
            <w:hideMark/>
          </w:tcPr>
          <w:p w14:paraId="5F717DAA"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3</w:t>
            </w:r>
          </w:p>
        </w:tc>
        <w:tc>
          <w:tcPr>
            <w:tcW w:w="3739" w:type="dxa"/>
            <w:gridSpan w:val="2"/>
            <w:tcBorders>
              <w:top w:val="nil"/>
              <w:left w:val="nil"/>
              <w:bottom w:val="single" w:sz="8" w:space="0" w:color="auto"/>
              <w:right w:val="single" w:sz="8" w:space="0" w:color="auto"/>
            </w:tcBorders>
            <w:shd w:val="clear" w:color="auto" w:fill="auto"/>
            <w:vAlign w:val="center"/>
            <w:hideMark/>
          </w:tcPr>
          <w:p w14:paraId="1FEED853" w14:textId="77777777" w:rsidR="005B11E9" w:rsidRPr="005B11E9" w:rsidRDefault="005B11E9" w:rsidP="005B11E9">
            <w:pPr>
              <w:jc w:val="both"/>
              <w:rPr>
                <w:rFonts w:ascii="Arial Narrow" w:eastAsia="Times New Roman" w:hAnsi="Arial Narrow" w:cs="Calibri"/>
                <w:b/>
                <w:bCs/>
                <w:color w:val="000000"/>
                <w:sz w:val="22"/>
                <w:szCs w:val="22"/>
                <w:lang w:val="es-CR"/>
              </w:rPr>
            </w:pPr>
            <w:r w:rsidRPr="005B11E9">
              <w:rPr>
                <w:rFonts w:ascii="Arial Narrow" w:eastAsia="Times New Roman" w:hAnsi="Arial Narrow" w:cs="Calibri"/>
                <w:b/>
                <w:bCs/>
                <w:color w:val="000000"/>
                <w:sz w:val="22"/>
                <w:szCs w:val="22"/>
                <w:lang w:val="es-CR"/>
              </w:rPr>
              <w:t>Impracticabilidad de determinar los efectos acumulados</w:t>
            </w:r>
          </w:p>
        </w:tc>
        <w:tc>
          <w:tcPr>
            <w:tcW w:w="2279" w:type="dxa"/>
            <w:gridSpan w:val="2"/>
            <w:tcBorders>
              <w:top w:val="nil"/>
              <w:left w:val="nil"/>
              <w:bottom w:val="single" w:sz="8" w:space="0" w:color="auto"/>
              <w:right w:val="single" w:sz="8" w:space="0" w:color="auto"/>
            </w:tcBorders>
            <w:shd w:val="clear" w:color="auto" w:fill="auto"/>
            <w:vAlign w:val="center"/>
            <w:hideMark/>
          </w:tcPr>
          <w:p w14:paraId="28ED9B68" w14:textId="77777777" w:rsidR="005B11E9" w:rsidRPr="005B11E9" w:rsidRDefault="005B11E9" w:rsidP="005B11E9">
            <w:pP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NICSP N° 3,</w:t>
            </w:r>
            <w:r w:rsidRPr="005B11E9">
              <w:rPr>
                <w:rFonts w:ascii="Arial Narrow" w:eastAsia="Times New Roman" w:hAnsi="Arial Narrow" w:cs="Calibri"/>
                <w:b/>
                <w:bCs/>
                <w:color w:val="000000"/>
                <w:sz w:val="22"/>
                <w:szCs w:val="22"/>
              </w:rPr>
              <w:br/>
              <w:t>Párrafo 50.</w:t>
            </w:r>
          </w:p>
        </w:tc>
        <w:tc>
          <w:tcPr>
            <w:tcW w:w="1920" w:type="dxa"/>
            <w:gridSpan w:val="2"/>
            <w:tcBorders>
              <w:top w:val="nil"/>
              <w:left w:val="nil"/>
              <w:bottom w:val="single" w:sz="8" w:space="0" w:color="auto"/>
              <w:right w:val="single" w:sz="8" w:space="0" w:color="auto"/>
            </w:tcBorders>
            <w:shd w:val="clear" w:color="auto" w:fill="auto"/>
            <w:vAlign w:val="center"/>
            <w:hideMark/>
          </w:tcPr>
          <w:p w14:paraId="3E6FA18C"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w:t>
            </w:r>
          </w:p>
        </w:tc>
      </w:tr>
      <w:tr w:rsidR="005B11E9" w:rsidRPr="005B11E9" w14:paraId="17F494CF" w14:textId="77777777" w:rsidTr="00090576">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C351D24"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6CAB9E08" w14:textId="77777777" w:rsidR="005B11E9" w:rsidRPr="005B11E9" w:rsidRDefault="005B11E9" w:rsidP="00090576">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68</w:t>
            </w:r>
          </w:p>
        </w:tc>
        <w:tc>
          <w:tcPr>
            <w:tcW w:w="330" w:type="dxa"/>
            <w:tcBorders>
              <w:top w:val="nil"/>
              <w:left w:val="nil"/>
              <w:bottom w:val="single" w:sz="8" w:space="0" w:color="auto"/>
              <w:right w:val="single" w:sz="8" w:space="0" w:color="auto"/>
            </w:tcBorders>
            <w:shd w:val="clear" w:color="auto" w:fill="auto"/>
            <w:vAlign w:val="center"/>
            <w:hideMark/>
          </w:tcPr>
          <w:p w14:paraId="0EDA7C57"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4</w:t>
            </w:r>
          </w:p>
        </w:tc>
        <w:tc>
          <w:tcPr>
            <w:tcW w:w="3739" w:type="dxa"/>
            <w:gridSpan w:val="2"/>
            <w:tcBorders>
              <w:top w:val="nil"/>
              <w:left w:val="nil"/>
              <w:bottom w:val="single" w:sz="8" w:space="0" w:color="auto"/>
              <w:right w:val="single" w:sz="8" w:space="0" w:color="auto"/>
            </w:tcBorders>
            <w:shd w:val="clear" w:color="auto" w:fill="auto"/>
            <w:vAlign w:val="center"/>
            <w:hideMark/>
          </w:tcPr>
          <w:p w14:paraId="6EE0CA94" w14:textId="77777777" w:rsidR="005B11E9" w:rsidRPr="005B11E9" w:rsidRDefault="005B11E9" w:rsidP="005B11E9">
            <w:pPr>
              <w:jc w:val="both"/>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AREA</w:t>
            </w:r>
          </w:p>
        </w:tc>
        <w:tc>
          <w:tcPr>
            <w:tcW w:w="2279" w:type="dxa"/>
            <w:gridSpan w:val="2"/>
            <w:tcBorders>
              <w:top w:val="nil"/>
              <w:left w:val="nil"/>
              <w:bottom w:val="single" w:sz="8" w:space="0" w:color="auto"/>
              <w:right w:val="single" w:sz="8" w:space="0" w:color="auto"/>
            </w:tcBorders>
            <w:shd w:val="clear" w:color="auto" w:fill="auto"/>
            <w:vAlign w:val="center"/>
            <w:hideMark/>
          </w:tcPr>
          <w:p w14:paraId="40C879B7" w14:textId="77777777" w:rsidR="005B11E9" w:rsidRPr="005B11E9" w:rsidRDefault="005B11E9" w:rsidP="005B11E9">
            <w:pP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NICSP N° 3,</w:t>
            </w:r>
            <w:r w:rsidRPr="005B11E9">
              <w:rPr>
                <w:rFonts w:ascii="Arial Narrow" w:eastAsia="Times New Roman" w:hAnsi="Arial Narrow" w:cs="Calibri"/>
                <w:b/>
                <w:bCs/>
                <w:color w:val="000000"/>
                <w:sz w:val="22"/>
                <w:szCs w:val="22"/>
              </w:rPr>
              <w:br/>
              <w:t>Párrafo 51.</w:t>
            </w:r>
          </w:p>
        </w:tc>
        <w:tc>
          <w:tcPr>
            <w:tcW w:w="1920" w:type="dxa"/>
            <w:gridSpan w:val="2"/>
            <w:tcBorders>
              <w:top w:val="nil"/>
              <w:left w:val="nil"/>
              <w:bottom w:val="single" w:sz="8" w:space="0" w:color="auto"/>
              <w:right w:val="single" w:sz="8" w:space="0" w:color="auto"/>
            </w:tcBorders>
            <w:shd w:val="clear" w:color="auto" w:fill="auto"/>
            <w:vAlign w:val="center"/>
            <w:hideMark/>
          </w:tcPr>
          <w:p w14:paraId="65F23553"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xml:space="preserve"> </w:t>
            </w:r>
          </w:p>
        </w:tc>
      </w:tr>
      <w:tr w:rsidR="005B11E9" w:rsidRPr="005B11E9" w14:paraId="615BEB77" w14:textId="77777777" w:rsidTr="00090576">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CFD9302"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w:t>
            </w:r>
          </w:p>
        </w:tc>
        <w:tc>
          <w:tcPr>
            <w:tcW w:w="662" w:type="dxa"/>
            <w:tcBorders>
              <w:top w:val="nil"/>
              <w:left w:val="nil"/>
              <w:bottom w:val="single" w:sz="8" w:space="0" w:color="auto"/>
              <w:right w:val="single" w:sz="8" w:space="0" w:color="auto"/>
            </w:tcBorders>
            <w:shd w:val="clear" w:color="auto" w:fill="auto"/>
            <w:vAlign w:val="center"/>
            <w:hideMark/>
          </w:tcPr>
          <w:p w14:paraId="46FD63FB" w14:textId="77777777" w:rsidR="005B11E9" w:rsidRPr="005B11E9" w:rsidRDefault="005B11E9" w:rsidP="00090576">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68</w:t>
            </w:r>
          </w:p>
        </w:tc>
        <w:tc>
          <w:tcPr>
            <w:tcW w:w="330" w:type="dxa"/>
            <w:tcBorders>
              <w:top w:val="nil"/>
              <w:left w:val="nil"/>
              <w:bottom w:val="single" w:sz="8" w:space="0" w:color="auto"/>
              <w:right w:val="single" w:sz="8" w:space="0" w:color="auto"/>
            </w:tcBorders>
            <w:shd w:val="clear" w:color="auto" w:fill="auto"/>
            <w:vAlign w:val="center"/>
            <w:hideMark/>
          </w:tcPr>
          <w:p w14:paraId="01F16D21" w14:textId="77777777" w:rsidR="005B11E9" w:rsidRPr="005B11E9" w:rsidRDefault="005B11E9" w:rsidP="005B11E9">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5</w:t>
            </w:r>
          </w:p>
        </w:tc>
        <w:tc>
          <w:tcPr>
            <w:tcW w:w="3739" w:type="dxa"/>
            <w:gridSpan w:val="2"/>
            <w:tcBorders>
              <w:top w:val="nil"/>
              <w:left w:val="nil"/>
              <w:bottom w:val="single" w:sz="8" w:space="0" w:color="auto"/>
              <w:right w:val="single" w:sz="8" w:space="0" w:color="auto"/>
            </w:tcBorders>
            <w:shd w:val="clear" w:color="auto" w:fill="auto"/>
            <w:vAlign w:val="center"/>
            <w:hideMark/>
          </w:tcPr>
          <w:p w14:paraId="25F42F68" w14:textId="77777777" w:rsidR="005B11E9" w:rsidRPr="005B11E9" w:rsidRDefault="005B11E9" w:rsidP="005B11E9">
            <w:pPr>
              <w:jc w:val="both"/>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No realización de ajustes</w:t>
            </w:r>
          </w:p>
        </w:tc>
        <w:tc>
          <w:tcPr>
            <w:tcW w:w="2279" w:type="dxa"/>
            <w:gridSpan w:val="2"/>
            <w:tcBorders>
              <w:top w:val="nil"/>
              <w:left w:val="nil"/>
              <w:bottom w:val="single" w:sz="8" w:space="0" w:color="auto"/>
              <w:right w:val="single" w:sz="8" w:space="0" w:color="auto"/>
            </w:tcBorders>
            <w:shd w:val="clear" w:color="auto" w:fill="auto"/>
            <w:vAlign w:val="center"/>
            <w:hideMark/>
          </w:tcPr>
          <w:p w14:paraId="23CB66E7" w14:textId="77777777" w:rsidR="005B11E9" w:rsidRPr="005B11E9" w:rsidRDefault="005B11E9" w:rsidP="005B11E9">
            <w:pP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NICSP N° 3,</w:t>
            </w:r>
            <w:r w:rsidRPr="005B11E9">
              <w:rPr>
                <w:rFonts w:ascii="Arial Narrow" w:eastAsia="Times New Roman" w:hAnsi="Arial Narrow" w:cs="Calibri"/>
                <w:b/>
                <w:bCs/>
                <w:color w:val="000000"/>
                <w:sz w:val="22"/>
                <w:szCs w:val="22"/>
              </w:rPr>
              <w:br/>
              <w:t>Párrafo 52.</w:t>
            </w:r>
          </w:p>
        </w:tc>
        <w:tc>
          <w:tcPr>
            <w:tcW w:w="1920" w:type="dxa"/>
            <w:gridSpan w:val="2"/>
            <w:tcBorders>
              <w:top w:val="nil"/>
              <w:left w:val="nil"/>
              <w:bottom w:val="single" w:sz="8" w:space="0" w:color="auto"/>
              <w:right w:val="single" w:sz="8" w:space="0" w:color="auto"/>
            </w:tcBorders>
            <w:shd w:val="clear" w:color="auto" w:fill="auto"/>
            <w:vAlign w:val="center"/>
            <w:hideMark/>
          </w:tcPr>
          <w:p w14:paraId="4D376649" w14:textId="77777777" w:rsidR="005B11E9" w:rsidRPr="005B11E9" w:rsidRDefault="005B11E9" w:rsidP="005B11E9">
            <w:pPr>
              <w:ind w:firstLineChars="100" w:firstLine="220"/>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xml:space="preserve"> </w:t>
            </w:r>
          </w:p>
        </w:tc>
      </w:tr>
      <w:tr w:rsidR="005B11E9" w:rsidRPr="005B11E9" w14:paraId="39676447" w14:textId="77777777" w:rsidTr="00090576">
        <w:trPr>
          <w:trHeight w:val="6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E65121E" w14:textId="77777777" w:rsidR="005B11E9" w:rsidRPr="005B11E9" w:rsidRDefault="005B11E9" w:rsidP="005B11E9">
            <w:pPr>
              <w:jc w:val="center"/>
              <w:rPr>
                <w:rFonts w:ascii="Arial Narrow" w:eastAsia="Times New Roman" w:hAnsi="Arial Narrow" w:cs="Calibri"/>
                <w:b/>
                <w:bCs/>
                <w:color w:val="000000"/>
                <w:sz w:val="24"/>
                <w:szCs w:val="24"/>
              </w:rPr>
            </w:pPr>
            <w:r w:rsidRPr="005B11E9">
              <w:rPr>
                <w:rFonts w:ascii="Arial Narrow" w:eastAsia="Times New Roman" w:hAnsi="Arial Narrow" w:cs="Calibri"/>
                <w:b/>
                <w:bCs/>
                <w:color w:val="000000"/>
                <w:sz w:val="24"/>
                <w:szCs w:val="24"/>
              </w:rPr>
              <w:t>6</w:t>
            </w:r>
          </w:p>
        </w:tc>
        <w:tc>
          <w:tcPr>
            <w:tcW w:w="662" w:type="dxa"/>
            <w:tcBorders>
              <w:top w:val="nil"/>
              <w:left w:val="nil"/>
              <w:bottom w:val="single" w:sz="8" w:space="0" w:color="auto"/>
              <w:right w:val="single" w:sz="8" w:space="0" w:color="auto"/>
            </w:tcBorders>
            <w:shd w:val="clear" w:color="auto" w:fill="auto"/>
            <w:vAlign w:val="center"/>
            <w:hideMark/>
          </w:tcPr>
          <w:p w14:paraId="2674D33B" w14:textId="77777777" w:rsidR="005B11E9" w:rsidRPr="005B11E9" w:rsidRDefault="005B11E9" w:rsidP="00090576">
            <w:pPr>
              <w:jc w:val="cente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68</w:t>
            </w:r>
          </w:p>
        </w:tc>
        <w:tc>
          <w:tcPr>
            <w:tcW w:w="330" w:type="dxa"/>
            <w:tcBorders>
              <w:top w:val="nil"/>
              <w:left w:val="nil"/>
              <w:bottom w:val="single" w:sz="8" w:space="0" w:color="auto"/>
              <w:right w:val="single" w:sz="8" w:space="0" w:color="auto"/>
            </w:tcBorders>
            <w:shd w:val="clear" w:color="auto" w:fill="auto"/>
            <w:vAlign w:val="center"/>
            <w:hideMark/>
          </w:tcPr>
          <w:p w14:paraId="6AD8391A" w14:textId="77777777" w:rsidR="005B11E9" w:rsidRPr="005B11E9" w:rsidRDefault="005B11E9" w:rsidP="005B11E9">
            <w:pPr>
              <w:jc w:val="center"/>
              <w:rPr>
                <w:rFonts w:ascii="Arial Narrow" w:eastAsia="Times New Roman" w:hAnsi="Arial Narrow" w:cs="Calibri"/>
                <w:b/>
                <w:bCs/>
                <w:color w:val="000000"/>
                <w:sz w:val="24"/>
                <w:szCs w:val="24"/>
              </w:rPr>
            </w:pPr>
            <w:r w:rsidRPr="005B11E9">
              <w:rPr>
                <w:rFonts w:ascii="Arial Narrow" w:eastAsia="Times New Roman" w:hAnsi="Arial Narrow" w:cs="Calibri"/>
                <w:b/>
                <w:bCs/>
                <w:color w:val="000000"/>
                <w:sz w:val="24"/>
                <w:szCs w:val="24"/>
              </w:rPr>
              <w:t>6</w:t>
            </w:r>
          </w:p>
        </w:tc>
        <w:tc>
          <w:tcPr>
            <w:tcW w:w="3739" w:type="dxa"/>
            <w:gridSpan w:val="2"/>
            <w:tcBorders>
              <w:top w:val="nil"/>
              <w:left w:val="nil"/>
              <w:bottom w:val="single" w:sz="8" w:space="0" w:color="auto"/>
              <w:right w:val="single" w:sz="8" w:space="0" w:color="auto"/>
            </w:tcBorders>
            <w:shd w:val="clear" w:color="auto" w:fill="auto"/>
            <w:vAlign w:val="center"/>
            <w:hideMark/>
          </w:tcPr>
          <w:p w14:paraId="04137CE8" w14:textId="77777777" w:rsidR="005B11E9" w:rsidRPr="005B11E9" w:rsidRDefault="005B11E9" w:rsidP="005B11E9">
            <w:pPr>
              <w:jc w:val="both"/>
              <w:rPr>
                <w:rFonts w:ascii="Arial Narrow" w:eastAsia="Times New Roman" w:hAnsi="Arial Narrow" w:cs="Calibri"/>
                <w:b/>
                <w:bCs/>
                <w:color w:val="000000"/>
                <w:sz w:val="24"/>
                <w:szCs w:val="24"/>
              </w:rPr>
            </w:pPr>
            <w:r w:rsidRPr="005B11E9">
              <w:rPr>
                <w:rFonts w:ascii="Arial Narrow" w:eastAsia="Times New Roman" w:hAnsi="Arial Narrow" w:cs="Calibri"/>
                <w:b/>
                <w:bCs/>
                <w:color w:val="000000"/>
                <w:sz w:val="24"/>
                <w:szCs w:val="24"/>
              </w:rPr>
              <w:t>Diferencia con estimaciones contables</w:t>
            </w:r>
          </w:p>
        </w:tc>
        <w:tc>
          <w:tcPr>
            <w:tcW w:w="2279" w:type="dxa"/>
            <w:gridSpan w:val="2"/>
            <w:tcBorders>
              <w:top w:val="nil"/>
              <w:left w:val="nil"/>
              <w:bottom w:val="single" w:sz="8" w:space="0" w:color="auto"/>
              <w:right w:val="single" w:sz="8" w:space="0" w:color="auto"/>
            </w:tcBorders>
            <w:shd w:val="clear" w:color="auto" w:fill="auto"/>
            <w:vAlign w:val="center"/>
            <w:hideMark/>
          </w:tcPr>
          <w:p w14:paraId="7AAB7777" w14:textId="77777777" w:rsidR="005B11E9" w:rsidRPr="005B11E9" w:rsidRDefault="005B11E9" w:rsidP="005B11E9">
            <w:pPr>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xml:space="preserve">NICSP N° 3, </w:t>
            </w:r>
            <w:r w:rsidRPr="005B11E9">
              <w:rPr>
                <w:rFonts w:ascii="Arial Narrow" w:eastAsia="Times New Roman" w:hAnsi="Arial Narrow" w:cs="Calibri"/>
                <w:b/>
                <w:bCs/>
                <w:color w:val="000000"/>
                <w:sz w:val="22"/>
                <w:szCs w:val="22"/>
              </w:rPr>
              <w:br/>
              <w:t>Párrafos 53.</w:t>
            </w:r>
          </w:p>
        </w:tc>
        <w:tc>
          <w:tcPr>
            <w:tcW w:w="1920" w:type="dxa"/>
            <w:gridSpan w:val="2"/>
            <w:tcBorders>
              <w:top w:val="nil"/>
              <w:left w:val="nil"/>
              <w:bottom w:val="single" w:sz="8" w:space="0" w:color="auto"/>
              <w:right w:val="single" w:sz="8" w:space="0" w:color="auto"/>
            </w:tcBorders>
            <w:shd w:val="clear" w:color="auto" w:fill="auto"/>
            <w:vAlign w:val="center"/>
            <w:hideMark/>
          </w:tcPr>
          <w:p w14:paraId="1F13105C" w14:textId="77777777" w:rsidR="005B11E9" w:rsidRPr="005B11E9" w:rsidRDefault="005B11E9" w:rsidP="005B11E9">
            <w:pPr>
              <w:ind w:firstLineChars="100" w:firstLine="220"/>
              <w:rPr>
                <w:rFonts w:ascii="Arial Narrow" w:eastAsia="Times New Roman" w:hAnsi="Arial Narrow" w:cs="Calibri"/>
                <w:b/>
                <w:bCs/>
                <w:color w:val="000000"/>
                <w:sz w:val="22"/>
                <w:szCs w:val="22"/>
              </w:rPr>
            </w:pPr>
            <w:r w:rsidRPr="005B11E9">
              <w:rPr>
                <w:rFonts w:ascii="Arial Narrow" w:eastAsia="Times New Roman" w:hAnsi="Arial Narrow" w:cs="Calibri"/>
                <w:b/>
                <w:bCs/>
                <w:color w:val="000000"/>
                <w:sz w:val="22"/>
                <w:szCs w:val="22"/>
              </w:rPr>
              <w:t xml:space="preserve"> </w:t>
            </w:r>
          </w:p>
        </w:tc>
      </w:tr>
    </w:tbl>
    <w:p w14:paraId="2FB719E1" w14:textId="77777777" w:rsidR="008840FF" w:rsidRDefault="008840FF" w:rsidP="00B735D8">
      <w:pPr>
        <w:pStyle w:val="Default"/>
        <w:jc w:val="both"/>
        <w:rPr>
          <w:sz w:val="22"/>
          <w:szCs w:val="22"/>
          <w:lang w:val="es-CR"/>
        </w:rPr>
      </w:pPr>
    </w:p>
    <w:p w14:paraId="6BA77412" w14:textId="77777777" w:rsidR="00090576" w:rsidRDefault="00090576" w:rsidP="00090576">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3881EE80" w14:textId="77777777" w:rsidR="00090576" w:rsidRDefault="00090576" w:rsidP="00B735D8">
      <w:pPr>
        <w:pStyle w:val="Default"/>
        <w:jc w:val="both"/>
        <w:rPr>
          <w:sz w:val="22"/>
          <w:szCs w:val="22"/>
          <w:lang w:val="es-CR"/>
        </w:rPr>
      </w:pPr>
    </w:p>
    <w:p w14:paraId="2A9018D2" w14:textId="104DC70A" w:rsidR="005B11E9" w:rsidRDefault="006B1409" w:rsidP="006B1409">
      <w:pPr>
        <w:pStyle w:val="Default"/>
        <w:ind w:left="1134" w:hanging="1134"/>
        <w:jc w:val="both"/>
        <w:rPr>
          <w:sz w:val="22"/>
          <w:szCs w:val="22"/>
          <w:lang w:val="es-CR"/>
        </w:rPr>
      </w:pPr>
      <w:r>
        <w:rPr>
          <w:sz w:val="22"/>
          <w:szCs w:val="22"/>
          <w:lang w:val="es-CR"/>
        </w:rPr>
        <w:t>6,68.0.01</w:t>
      </w:r>
      <w:r>
        <w:rPr>
          <w:sz w:val="22"/>
          <w:szCs w:val="22"/>
          <w:lang w:val="es-CR"/>
        </w:rPr>
        <w:tab/>
        <w:t>L</w:t>
      </w:r>
      <w:r w:rsidR="005B11E9" w:rsidRPr="006B1409">
        <w:rPr>
          <w:sz w:val="22"/>
          <w:szCs w:val="22"/>
          <w:lang w:val="es-CR"/>
        </w:rPr>
        <w:t xml:space="preserve">a </w:t>
      </w:r>
      <w:r>
        <w:rPr>
          <w:sz w:val="22"/>
          <w:szCs w:val="22"/>
          <w:lang w:val="es-CR"/>
        </w:rPr>
        <w:t>Municipalidad</w:t>
      </w:r>
      <w:r w:rsidR="005B11E9" w:rsidRPr="006B1409">
        <w:rPr>
          <w:sz w:val="22"/>
          <w:szCs w:val="22"/>
          <w:lang w:val="es-CR"/>
        </w:rPr>
        <w:t xml:space="preserve"> corr</w:t>
      </w:r>
      <w:r>
        <w:rPr>
          <w:sz w:val="22"/>
          <w:szCs w:val="22"/>
          <w:lang w:val="es-CR"/>
        </w:rPr>
        <w:t>egirá</w:t>
      </w:r>
      <w:r w:rsidR="005B11E9" w:rsidRPr="006B1409">
        <w:rPr>
          <w:sz w:val="22"/>
          <w:szCs w:val="22"/>
          <w:lang w:val="es-CR"/>
        </w:rPr>
        <w:t xml:space="preserve"> los errores materiales de períodos anteriores, de forma retroactiva, en los primeros EEFF formulados después de haberlos descubierto, deberá:</w:t>
      </w:r>
    </w:p>
    <w:p w14:paraId="363C97AD" w14:textId="77777777" w:rsidR="006B1409" w:rsidRPr="006B1409" w:rsidRDefault="006B1409" w:rsidP="006B1409">
      <w:pPr>
        <w:pStyle w:val="Default"/>
        <w:ind w:left="1134" w:hanging="1134"/>
        <w:jc w:val="both"/>
        <w:rPr>
          <w:sz w:val="22"/>
          <w:szCs w:val="22"/>
          <w:lang w:val="es-CR"/>
        </w:rPr>
      </w:pPr>
    </w:p>
    <w:p w14:paraId="751504BB" w14:textId="12D97412" w:rsidR="005B11E9" w:rsidRPr="006B1409" w:rsidRDefault="006B1409">
      <w:pPr>
        <w:pStyle w:val="Default"/>
        <w:numPr>
          <w:ilvl w:val="0"/>
          <w:numId w:val="397"/>
        </w:numPr>
        <w:spacing w:after="120"/>
        <w:ind w:left="1418" w:hanging="284"/>
        <w:jc w:val="both"/>
        <w:rPr>
          <w:sz w:val="22"/>
          <w:szCs w:val="22"/>
          <w:lang w:val="es-CR"/>
        </w:rPr>
      </w:pPr>
      <w:r w:rsidRPr="006B1409">
        <w:rPr>
          <w:sz w:val="22"/>
          <w:szCs w:val="22"/>
          <w:lang w:val="es-CR"/>
        </w:rPr>
        <w:t>Reexpresar</w:t>
      </w:r>
      <w:r w:rsidR="005B11E9" w:rsidRPr="006B1409">
        <w:rPr>
          <w:sz w:val="22"/>
          <w:szCs w:val="22"/>
          <w:lang w:val="es-CR"/>
        </w:rPr>
        <w:t xml:space="preserve"> la información comparativa para el período o períodos anteriores en los que se originó el error; o </w:t>
      </w:r>
    </w:p>
    <w:p w14:paraId="42636EF9" w14:textId="6D7F4C97" w:rsidR="005B11E9" w:rsidRPr="006B1409" w:rsidRDefault="006B1409">
      <w:pPr>
        <w:pStyle w:val="Default"/>
        <w:numPr>
          <w:ilvl w:val="0"/>
          <w:numId w:val="397"/>
        </w:numPr>
        <w:ind w:left="1418" w:hanging="284"/>
        <w:jc w:val="both"/>
        <w:rPr>
          <w:sz w:val="22"/>
          <w:szCs w:val="22"/>
          <w:lang w:val="es-CR"/>
        </w:rPr>
      </w:pPr>
      <w:r>
        <w:rPr>
          <w:sz w:val="22"/>
          <w:szCs w:val="22"/>
          <w:lang w:val="es-CR"/>
        </w:rPr>
        <w:t>S</w:t>
      </w:r>
      <w:r w:rsidR="005B11E9" w:rsidRPr="006B1409">
        <w:rPr>
          <w:sz w:val="22"/>
          <w:szCs w:val="22"/>
          <w:lang w:val="es-CR"/>
        </w:rPr>
        <w:t xml:space="preserve">i el error ocurrió con anterioridad al período más antiguo para el que se presenta información, reexpresar los saldos iniciales de activos, pasivos y patrimonio para dicho período. </w:t>
      </w:r>
    </w:p>
    <w:p w14:paraId="7BA515CE" w14:textId="77777777" w:rsidR="005B11E9" w:rsidRPr="006B1409" w:rsidRDefault="005B11E9" w:rsidP="006B1409">
      <w:pPr>
        <w:pStyle w:val="Default"/>
        <w:jc w:val="both"/>
        <w:rPr>
          <w:sz w:val="22"/>
          <w:szCs w:val="22"/>
          <w:lang w:val="es-CR"/>
        </w:rPr>
      </w:pPr>
    </w:p>
    <w:p w14:paraId="19851C01" w14:textId="7A3E14E6" w:rsidR="005B11E9" w:rsidRPr="006B1409" w:rsidRDefault="006B1409" w:rsidP="006B1409">
      <w:pPr>
        <w:pStyle w:val="Default"/>
        <w:ind w:left="1134" w:hanging="1134"/>
        <w:jc w:val="both"/>
        <w:rPr>
          <w:sz w:val="22"/>
          <w:szCs w:val="22"/>
          <w:lang w:val="es-CR"/>
        </w:rPr>
      </w:pPr>
      <w:r>
        <w:rPr>
          <w:sz w:val="22"/>
          <w:szCs w:val="22"/>
          <w:lang w:val="es-CR"/>
        </w:rPr>
        <w:t>6.68.</w:t>
      </w:r>
      <w:r w:rsidR="005B11E9" w:rsidRPr="006B1409">
        <w:rPr>
          <w:sz w:val="22"/>
          <w:szCs w:val="22"/>
          <w:lang w:val="es-CR"/>
        </w:rPr>
        <w:t>1.</w:t>
      </w:r>
      <w:r>
        <w:rPr>
          <w:sz w:val="22"/>
          <w:szCs w:val="22"/>
          <w:lang w:val="es-CR"/>
        </w:rPr>
        <w:t>01</w:t>
      </w:r>
      <w:r>
        <w:rPr>
          <w:sz w:val="22"/>
          <w:szCs w:val="22"/>
          <w:lang w:val="es-CR"/>
        </w:rPr>
        <w:tab/>
      </w:r>
      <w:r w:rsidR="005B11E9" w:rsidRPr="006B1409">
        <w:rPr>
          <w:sz w:val="22"/>
          <w:szCs w:val="22"/>
          <w:lang w:val="es-CR"/>
        </w:rPr>
        <w:t xml:space="preserve">El error correspondiente a un período anterior se corregirá mediante una reexpresión retroactiva, salvo que sea impracticable determinar los efectos en cada período específico o el efecto acumulado del error. </w:t>
      </w:r>
    </w:p>
    <w:p w14:paraId="22902071" w14:textId="77777777" w:rsidR="005B11E9" w:rsidRPr="006B1409" w:rsidRDefault="005B11E9" w:rsidP="006B1409">
      <w:pPr>
        <w:pStyle w:val="Default"/>
        <w:jc w:val="both"/>
        <w:rPr>
          <w:sz w:val="22"/>
          <w:szCs w:val="22"/>
          <w:lang w:val="es-CR"/>
        </w:rPr>
      </w:pPr>
    </w:p>
    <w:p w14:paraId="0E394CDF" w14:textId="11328D39" w:rsidR="005B11E9" w:rsidRPr="006B1409" w:rsidRDefault="006B1409" w:rsidP="006B1409">
      <w:pPr>
        <w:pStyle w:val="Default"/>
        <w:ind w:left="1134" w:hanging="1134"/>
        <w:jc w:val="both"/>
        <w:rPr>
          <w:sz w:val="22"/>
          <w:szCs w:val="22"/>
          <w:lang w:val="es-CR"/>
        </w:rPr>
      </w:pPr>
      <w:r>
        <w:rPr>
          <w:sz w:val="22"/>
          <w:szCs w:val="22"/>
          <w:lang w:val="es-CR"/>
        </w:rPr>
        <w:t>6.68</w:t>
      </w:r>
      <w:r w:rsidR="005B11E9" w:rsidRPr="006B1409">
        <w:rPr>
          <w:sz w:val="22"/>
          <w:szCs w:val="22"/>
          <w:lang w:val="es-CR"/>
        </w:rPr>
        <w:t>2.</w:t>
      </w:r>
      <w:r>
        <w:rPr>
          <w:sz w:val="22"/>
          <w:szCs w:val="22"/>
          <w:lang w:val="es-CR"/>
        </w:rPr>
        <w:t>01</w:t>
      </w:r>
      <w:r>
        <w:rPr>
          <w:sz w:val="22"/>
          <w:szCs w:val="22"/>
          <w:lang w:val="es-CR"/>
        </w:rPr>
        <w:tab/>
      </w:r>
      <w:r w:rsidR="005B11E9" w:rsidRPr="006B1409">
        <w:rPr>
          <w:sz w:val="22"/>
          <w:szCs w:val="22"/>
          <w:lang w:val="es-CR"/>
        </w:rPr>
        <w:t xml:space="preserve">Cuando sea impracticable determinar los efectos que se derivan, en cada período específico, de un error sobre la información comparativa de uno o más períodos anteriores para los que se presente información, la entidad reexpresará los saldos iniciales de los activos, pasivos y patrimonio para los períodos más antiguos en los cuales tal reexpresión retroactiva sea practicable (que podría también ser el propio período corriente). </w:t>
      </w:r>
    </w:p>
    <w:p w14:paraId="4746B4DE" w14:textId="77777777" w:rsidR="005B11E9" w:rsidRPr="006B1409" w:rsidRDefault="005B11E9" w:rsidP="006B1409">
      <w:pPr>
        <w:pStyle w:val="Default"/>
        <w:jc w:val="both"/>
        <w:rPr>
          <w:sz w:val="22"/>
          <w:szCs w:val="22"/>
          <w:lang w:val="es-CR"/>
        </w:rPr>
      </w:pPr>
    </w:p>
    <w:p w14:paraId="7E9588C7" w14:textId="0F92E2AF" w:rsidR="005B11E9" w:rsidRPr="006B1409" w:rsidRDefault="006B1409" w:rsidP="006B1409">
      <w:pPr>
        <w:pStyle w:val="Default"/>
        <w:ind w:left="1134" w:hanging="1134"/>
        <w:jc w:val="both"/>
        <w:rPr>
          <w:sz w:val="22"/>
          <w:szCs w:val="22"/>
          <w:lang w:val="es-CR"/>
        </w:rPr>
      </w:pPr>
      <w:r>
        <w:rPr>
          <w:sz w:val="22"/>
          <w:szCs w:val="22"/>
          <w:lang w:val="es-CR"/>
        </w:rPr>
        <w:lastRenderedPageBreak/>
        <w:t>6.68.</w:t>
      </w:r>
      <w:r w:rsidR="005B11E9" w:rsidRPr="006B1409">
        <w:rPr>
          <w:sz w:val="22"/>
          <w:szCs w:val="22"/>
          <w:lang w:val="es-CR"/>
        </w:rPr>
        <w:t>3.</w:t>
      </w:r>
      <w:r>
        <w:rPr>
          <w:sz w:val="22"/>
          <w:szCs w:val="22"/>
          <w:lang w:val="es-CR"/>
        </w:rPr>
        <w:t>01</w:t>
      </w:r>
      <w:r>
        <w:rPr>
          <w:sz w:val="22"/>
          <w:szCs w:val="22"/>
          <w:lang w:val="es-CR"/>
        </w:rPr>
        <w:tab/>
      </w:r>
      <w:r w:rsidR="005B11E9" w:rsidRPr="006B1409">
        <w:rPr>
          <w:sz w:val="22"/>
          <w:szCs w:val="22"/>
          <w:lang w:val="es-CR"/>
        </w:rPr>
        <w:t xml:space="preserve">Cuando sea impracticable determinar el efecto acumulado, al principio del período corriente, de un error sobre todos los períodos anteriores, la entidad reexpresará la información comparativa corrigiendo el error de forma prospectiva, desde la fecha más remota en que sea posible hacerlo. </w:t>
      </w:r>
    </w:p>
    <w:p w14:paraId="49AD3C38" w14:textId="77777777" w:rsidR="005B11E9" w:rsidRPr="006B1409" w:rsidRDefault="005B11E9" w:rsidP="006B1409">
      <w:pPr>
        <w:pStyle w:val="Default"/>
        <w:ind w:left="1134" w:hanging="1134"/>
        <w:jc w:val="both"/>
        <w:rPr>
          <w:sz w:val="22"/>
          <w:szCs w:val="22"/>
          <w:lang w:val="es-CR"/>
        </w:rPr>
      </w:pPr>
    </w:p>
    <w:p w14:paraId="15EC08FD" w14:textId="2B8CB9F2" w:rsidR="005B11E9" w:rsidRPr="006B1409" w:rsidRDefault="006B1409" w:rsidP="006B1409">
      <w:pPr>
        <w:pStyle w:val="Default"/>
        <w:ind w:left="1134" w:hanging="1134"/>
        <w:jc w:val="both"/>
        <w:rPr>
          <w:sz w:val="22"/>
          <w:szCs w:val="22"/>
          <w:lang w:val="es-CR"/>
        </w:rPr>
      </w:pPr>
      <w:r>
        <w:rPr>
          <w:sz w:val="22"/>
          <w:szCs w:val="22"/>
          <w:lang w:val="es-CR"/>
        </w:rPr>
        <w:t>6.68.</w:t>
      </w:r>
      <w:r w:rsidR="005B11E9" w:rsidRPr="006B1409">
        <w:rPr>
          <w:sz w:val="22"/>
          <w:szCs w:val="22"/>
          <w:lang w:val="es-CR"/>
        </w:rPr>
        <w:t>4.</w:t>
      </w:r>
      <w:r>
        <w:rPr>
          <w:sz w:val="22"/>
          <w:szCs w:val="22"/>
          <w:lang w:val="es-CR"/>
        </w:rPr>
        <w:t>01</w:t>
      </w:r>
      <w:r>
        <w:rPr>
          <w:sz w:val="22"/>
          <w:szCs w:val="22"/>
          <w:lang w:val="es-CR"/>
        </w:rPr>
        <w:tab/>
      </w:r>
      <w:r w:rsidR="005B11E9" w:rsidRPr="006B1409">
        <w:rPr>
          <w:sz w:val="22"/>
          <w:szCs w:val="22"/>
          <w:lang w:val="es-CR"/>
        </w:rPr>
        <w:t xml:space="preserve">El efecto de la corrección de un error de períodos anteriores, no se incluirá en el resultado (ahorro / desahorro) del período en el que se descubra el error, afectando los resultados de ejercicios anteriores a través de Ajustes de Resultados de Ejercicios Anteriores (AREA). </w:t>
      </w:r>
    </w:p>
    <w:p w14:paraId="1B2180D1" w14:textId="77777777" w:rsidR="005B11E9" w:rsidRPr="006B1409" w:rsidRDefault="005B11E9" w:rsidP="006B1409">
      <w:pPr>
        <w:pStyle w:val="Default"/>
        <w:ind w:left="1134" w:hanging="1134"/>
        <w:jc w:val="both"/>
        <w:rPr>
          <w:sz w:val="22"/>
          <w:szCs w:val="22"/>
          <w:lang w:val="es-CR"/>
        </w:rPr>
      </w:pPr>
    </w:p>
    <w:p w14:paraId="6F57A086" w14:textId="4E4E7DCA" w:rsidR="005B11E9" w:rsidRPr="006B1409" w:rsidRDefault="006B1409" w:rsidP="006B1409">
      <w:pPr>
        <w:pStyle w:val="Default"/>
        <w:ind w:left="1134" w:hanging="1134"/>
        <w:jc w:val="both"/>
        <w:rPr>
          <w:sz w:val="22"/>
          <w:szCs w:val="22"/>
          <w:lang w:val="es-CR"/>
        </w:rPr>
      </w:pPr>
      <w:r>
        <w:rPr>
          <w:sz w:val="22"/>
          <w:szCs w:val="22"/>
          <w:lang w:val="es-CR"/>
        </w:rPr>
        <w:t>6.68.</w:t>
      </w:r>
      <w:r w:rsidR="005B11E9" w:rsidRPr="006B1409">
        <w:rPr>
          <w:sz w:val="22"/>
          <w:szCs w:val="22"/>
          <w:lang w:val="es-CR"/>
        </w:rPr>
        <w:t>5.</w:t>
      </w:r>
      <w:r>
        <w:rPr>
          <w:sz w:val="22"/>
          <w:szCs w:val="22"/>
          <w:lang w:val="es-CR"/>
        </w:rPr>
        <w:t>01</w:t>
      </w:r>
      <w:r>
        <w:rPr>
          <w:sz w:val="22"/>
          <w:szCs w:val="22"/>
          <w:lang w:val="es-CR"/>
        </w:rPr>
        <w:tab/>
      </w:r>
      <w:r w:rsidR="005B11E9" w:rsidRPr="006B1409">
        <w:rPr>
          <w:sz w:val="22"/>
          <w:szCs w:val="22"/>
          <w:lang w:val="es-CR"/>
        </w:rPr>
        <w:t xml:space="preserve">Cuando sea impracticable determinar el importe de un error para todos los períodos previos, la entidad reexpresará la información comparativa de forma prospectiva desde la fecha más remota posible. En consecuencia, se ignorará la porción del ajuste acumulado de activos, pasivos y patrimonio que haya surgido antes de esa fecha. </w:t>
      </w:r>
    </w:p>
    <w:p w14:paraId="0FB62347" w14:textId="77777777" w:rsidR="005B11E9" w:rsidRPr="006B1409" w:rsidRDefault="005B11E9" w:rsidP="006B1409">
      <w:pPr>
        <w:pStyle w:val="Default"/>
        <w:ind w:left="1134" w:hanging="1134"/>
        <w:jc w:val="both"/>
        <w:rPr>
          <w:sz w:val="22"/>
          <w:szCs w:val="22"/>
          <w:lang w:val="es-CR"/>
        </w:rPr>
      </w:pPr>
    </w:p>
    <w:p w14:paraId="5974122A" w14:textId="4618C6F4" w:rsidR="005B11E9" w:rsidRPr="006B1409" w:rsidRDefault="006B1409" w:rsidP="006B1409">
      <w:pPr>
        <w:pStyle w:val="Default"/>
        <w:ind w:left="1134" w:hanging="1134"/>
        <w:jc w:val="both"/>
        <w:rPr>
          <w:sz w:val="22"/>
          <w:szCs w:val="22"/>
          <w:lang w:val="es-CR"/>
        </w:rPr>
      </w:pPr>
      <w:r>
        <w:rPr>
          <w:sz w:val="22"/>
          <w:szCs w:val="22"/>
          <w:lang w:val="es-CR"/>
        </w:rPr>
        <w:t>6.68.</w:t>
      </w:r>
      <w:r w:rsidR="005B11E9" w:rsidRPr="006B1409">
        <w:rPr>
          <w:sz w:val="22"/>
          <w:szCs w:val="22"/>
          <w:lang w:val="es-CR"/>
        </w:rPr>
        <w:t>6.</w:t>
      </w:r>
      <w:r>
        <w:rPr>
          <w:sz w:val="22"/>
          <w:szCs w:val="22"/>
          <w:lang w:val="es-CR"/>
        </w:rPr>
        <w:t>01</w:t>
      </w:r>
      <w:r>
        <w:rPr>
          <w:sz w:val="22"/>
          <w:szCs w:val="22"/>
          <w:lang w:val="es-CR"/>
        </w:rPr>
        <w:tab/>
      </w:r>
      <w:r w:rsidR="005B11E9" w:rsidRPr="006B1409">
        <w:rPr>
          <w:sz w:val="22"/>
          <w:szCs w:val="22"/>
          <w:lang w:val="es-CR"/>
        </w:rPr>
        <w:t xml:space="preserve">La corrección de errores puede distinguirse con facilidad de los cambios en las estimaciones contables. Las estimaciones contables son, por su naturaleza, aproximaciones que pueden necesitar revisión cuando se tenga conocimiento de información adicional. </w:t>
      </w:r>
    </w:p>
    <w:p w14:paraId="2BAC5CE7" w14:textId="77777777" w:rsidR="008840FF" w:rsidRDefault="008840FF" w:rsidP="006B1409">
      <w:pPr>
        <w:pStyle w:val="Default"/>
        <w:ind w:left="1134" w:hanging="1134"/>
        <w:jc w:val="both"/>
        <w:rPr>
          <w:sz w:val="22"/>
          <w:szCs w:val="22"/>
          <w:lang w:val="es-CR"/>
        </w:rPr>
      </w:pPr>
    </w:p>
    <w:p w14:paraId="31F12214" w14:textId="77777777" w:rsidR="008840FF" w:rsidRDefault="008840FF" w:rsidP="00B735D8">
      <w:pPr>
        <w:pStyle w:val="Default"/>
        <w:jc w:val="both"/>
        <w:rPr>
          <w:sz w:val="22"/>
          <w:szCs w:val="22"/>
          <w:lang w:val="es-CR"/>
        </w:rPr>
      </w:pPr>
    </w:p>
    <w:p w14:paraId="4CB41C6B" w14:textId="77777777" w:rsidR="00090576" w:rsidRDefault="00090576" w:rsidP="00B735D8">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90"/>
        <w:gridCol w:w="2251"/>
        <w:gridCol w:w="1855"/>
      </w:tblGrid>
      <w:tr w:rsidR="009732EF" w:rsidRPr="009732EF" w14:paraId="0206446D" w14:textId="77777777" w:rsidTr="0009057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1E34A47" w14:textId="77777777" w:rsidR="009732EF" w:rsidRPr="009732EF" w:rsidRDefault="009732EF" w:rsidP="009732EF">
            <w:pPr>
              <w:jc w:val="center"/>
              <w:rPr>
                <w:rFonts w:ascii="Arial Narrow" w:eastAsia="Times New Roman" w:hAnsi="Arial Narrow" w:cs="Calibri"/>
                <w:b/>
                <w:bCs/>
                <w:color w:val="FFFFFF"/>
                <w:sz w:val="22"/>
                <w:szCs w:val="22"/>
              </w:rPr>
            </w:pPr>
            <w:r w:rsidRPr="009732EF">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A578A9" w14:textId="77777777" w:rsidR="009732EF" w:rsidRPr="009732EF" w:rsidRDefault="009732EF" w:rsidP="009732EF">
            <w:pPr>
              <w:jc w:val="center"/>
              <w:rPr>
                <w:rFonts w:ascii="Arial Narrow" w:eastAsia="Times New Roman" w:hAnsi="Arial Narrow" w:cs="Calibri"/>
                <w:b/>
                <w:bCs/>
                <w:color w:val="FFFFFF"/>
                <w:sz w:val="22"/>
                <w:szCs w:val="22"/>
              </w:rPr>
            </w:pPr>
            <w:r w:rsidRPr="009732EF">
              <w:rPr>
                <w:rFonts w:ascii="Arial Narrow" w:eastAsia="Times New Roman" w:hAnsi="Arial Narrow" w:cs="Calibri"/>
                <w:b/>
                <w:bCs/>
                <w:color w:val="FFFFFF"/>
                <w:sz w:val="22"/>
                <w:szCs w:val="22"/>
              </w:rPr>
              <w:t>Concepto</w:t>
            </w:r>
          </w:p>
        </w:tc>
        <w:tc>
          <w:tcPr>
            <w:tcW w:w="4106" w:type="dxa"/>
            <w:gridSpan w:val="2"/>
            <w:tcBorders>
              <w:top w:val="single" w:sz="8" w:space="0" w:color="auto"/>
              <w:left w:val="nil"/>
              <w:bottom w:val="single" w:sz="8" w:space="0" w:color="auto"/>
              <w:right w:val="single" w:sz="8" w:space="0" w:color="000000"/>
            </w:tcBorders>
            <w:shd w:val="clear" w:color="000000" w:fill="203764"/>
            <w:vAlign w:val="center"/>
            <w:hideMark/>
          </w:tcPr>
          <w:p w14:paraId="6212B067" w14:textId="77777777" w:rsidR="009732EF" w:rsidRPr="009732EF" w:rsidRDefault="009732EF" w:rsidP="009732EF">
            <w:pPr>
              <w:jc w:val="center"/>
              <w:rPr>
                <w:rFonts w:ascii="Arial Narrow" w:eastAsia="Times New Roman" w:hAnsi="Arial Narrow" w:cs="Calibri"/>
                <w:b/>
                <w:bCs/>
                <w:color w:val="FFFFFF"/>
                <w:sz w:val="22"/>
                <w:szCs w:val="22"/>
              </w:rPr>
            </w:pPr>
            <w:r w:rsidRPr="009732EF">
              <w:rPr>
                <w:rFonts w:ascii="Arial Narrow" w:eastAsia="Times New Roman" w:hAnsi="Arial Narrow" w:cs="Calibri"/>
                <w:b/>
                <w:bCs/>
                <w:color w:val="FFFFFF"/>
                <w:sz w:val="22"/>
                <w:szCs w:val="22"/>
              </w:rPr>
              <w:t>Referencia</w:t>
            </w:r>
          </w:p>
        </w:tc>
      </w:tr>
      <w:tr w:rsidR="009732EF" w:rsidRPr="006E5442" w14:paraId="5DFD5CAC" w14:textId="77777777" w:rsidTr="00090576">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57BB761" w14:textId="77777777" w:rsidR="009732EF" w:rsidRPr="009732EF" w:rsidRDefault="009732EF" w:rsidP="009732EF">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3636DD68" w14:textId="77777777" w:rsidR="009732EF" w:rsidRPr="009732EF" w:rsidRDefault="009732EF" w:rsidP="009732EF">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71D8AF1A" w14:textId="77777777" w:rsidR="009732EF" w:rsidRPr="009732EF" w:rsidRDefault="009732EF" w:rsidP="009732EF">
            <w:pPr>
              <w:jc w:val="center"/>
              <w:rPr>
                <w:rFonts w:ascii="Arial Narrow" w:eastAsia="Times New Roman" w:hAnsi="Arial Narrow" w:cs="Calibri"/>
                <w:b/>
                <w:bCs/>
                <w:color w:val="FFFFFF"/>
                <w:sz w:val="22"/>
                <w:szCs w:val="22"/>
              </w:rPr>
            </w:pPr>
            <w:r w:rsidRPr="009732EF">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20C26DDC" w14:textId="77777777" w:rsidR="009732EF" w:rsidRPr="009732EF" w:rsidRDefault="009732EF" w:rsidP="009732EF">
            <w:pPr>
              <w:jc w:val="center"/>
              <w:rPr>
                <w:rFonts w:ascii="Arial Narrow" w:eastAsia="Times New Roman" w:hAnsi="Arial Narrow" w:cs="Calibri"/>
                <w:b/>
                <w:bCs/>
                <w:color w:val="FFFFFF"/>
                <w:sz w:val="22"/>
                <w:szCs w:val="22"/>
                <w:lang w:val="es-CR"/>
              </w:rPr>
            </w:pPr>
            <w:r w:rsidRPr="009732EF">
              <w:rPr>
                <w:rFonts w:ascii="Arial Narrow" w:eastAsia="Times New Roman" w:hAnsi="Arial Narrow" w:cs="Calibri"/>
                <w:b/>
                <w:bCs/>
                <w:color w:val="FFFFFF"/>
                <w:sz w:val="22"/>
                <w:szCs w:val="22"/>
                <w:lang w:val="es-CR"/>
              </w:rPr>
              <w:t>Normativa técnica y disposiciones adicionales</w:t>
            </w:r>
          </w:p>
        </w:tc>
      </w:tr>
      <w:tr w:rsidR="009732EF" w:rsidRPr="009732EF" w14:paraId="40AEDE9A" w14:textId="77777777" w:rsidTr="0009057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D924D3" w14:textId="77777777" w:rsidR="009732EF" w:rsidRPr="009732EF" w:rsidRDefault="009732EF" w:rsidP="009732EF">
            <w:pPr>
              <w:jc w:val="center"/>
              <w:rPr>
                <w:rFonts w:ascii="Arial Narrow" w:eastAsia="Times New Roman" w:hAnsi="Arial Narrow" w:cs="Calibri"/>
                <w:b/>
                <w:bCs/>
                <w:color w:val="000000"/>
                <w:sz w:val="22"/>
                <w:szCs w:val="22"/>
              </w:rPr>
            </w:pPr>
            <w:r w:rsidRPr="009732EF">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4669389" w14:textId="77777777" w:rsidR="009732EF" w:rsidRPr="009732EF" w:rsidRDefault="009732EF" w:rsidP="009732EF">
            <w:pPr>
              <w:jc w:val="center"/>
              <w:rPr>
                <w:rFonts w:ascii="Arial Narrow" w:eastAsia="Times New Roman" w:hAnsi="Arial Narrow" w:cs="Calibri"/>
                <w:b/>
                <w:bCs/>
                <w:color w:val="000000"/>
                <w:sz w:val="22"/>
                <w:szCs w:val="22"/>
              </w:rPr>
            </w:pPr>
            <w:r w:rsidRPr="009732EF">
              <w:rPr>
                <w:rFonts w:ascii="Arial Narrow" w:eastAsia="Times New Roman" w:hAnsi="Arial Narrow" w:cs="Calibri"/>
                <w:b/>
                <w:bCs/>
                <w:color w:val="000000"/>
                <w:sz w:val="22"/>
                <w:szCs w:val="22"/>
              </w:rPr>
              <w:t>69</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E36C34A" w14:textId="77777777" w:rsidR="009732EF" w:rsidRPr="009732EF" w:rsidRDefault="009732EF" w:rsidP="009732EF">
            <w:pPr>
              <w:jc w:val="center"/>
              <w:rPr>
                <w:rFonts w:ascii="Arial Narrow" w:eastAsia="Times New Roman" w:hAnsi="Arial Narrow" w:cs="Calibri"/>
                <w:b/>
                <w:bCs/>
                <w:color w:val="000000"/>
                <w:sz w:val="22"/>
                <w:szCs w:val="22"/>
              </w:rPr>
            </w:pPr>
            <w:r w:rsidRPr="009732EF">
              <w:rPr>
                <w:rFonts w:ascii="Arial Narrow" w:eastAsia="Times New Roman" w:hAnsi="Arial Narrow" w:cs="Calibri"/>
                <w:b/>
                <w:bCs/>
                <w:color w:val="000000"/>
                <w:sz w:val="22"/>
                <w:szCs w:val="22"/>
              </w:rPr>
              <w:t xml:space="preserve">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75EEC386" w14:textId="77777777" w:rsidR="009732EF" w:rsidRPr="009732EF" w:rsidRDefault="009732EF" w:rsidP="009732EF">
            <w:pPr>
              <w:jc w:val="both"/>
              <w:rPr>
                <w:rFonts w:ascii="Arial Narrow" w:eastAsia="Times New Roman" w:hAnsi="Arial Narrow" w:cs="Calibri"/>
                <w:b/>
                <w:bCs/>
                <w:color w:val="000000"/>
                <w:sz w:val="22"/>
                <w:szCs w:val="22"/>
                <w:lang w:val="es-CR"/>
              </w:rPr>
            </w:pPr>
            <w:r w:rsidRPr="009732EF">
              <w:rPr>
                <w:rFonts w:ascii="Arial Narrow" w:eastAsia="Times New Roman" w:hAnsi="Arial Narrow" w:cs="Calibri"/>
                <w:b/>
                <w:bCs/>
                <w:color w:val="000000"/>
                <w:sz w:val="22"/>
                <w:szCs w:val="22"/>
                <w:lang w:val="es-CR"/>
              </w:rPr>
              <w:t>Información a revelar sobre errores de períodos anteriores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1C79C5BC" w14:textId="77777777" w:rsidR="009732EF" w:rsidRDefault="009732EF" w:rsidP="009732EF">
            <w:pPr>
              <w:jc w:val="both"/>
              <w:rPr>
                <w:rFonts w:ascii="Arial Narrow" w:eastAsia="Times New Roman" w:hAnsi="Arial Narrow" w:cs="Calibri"/>
                <w:b/>
                <w:bCs/>
                <w:color w:val="000000"/>
                <w:sz w:val="22"/>
                <w:szCs w:val="22"/>
              </w:rPr>
            </w:pPr>
            <w:r w:rsidRPr="009732EF">
              <w:rPr>
                <w:rFonts w:ascii="Arial Narrow" w:eastAsia="Times New Roman" w:hAnsi="Arial Narrow" w:cs="Calibri"/>
                <w:b/>
                <w:bCs/>
                <w:color w:val="000000"/>
                <w:sz w:val="22"/>
                <w:szCs w:val="22"/>
              </w:rPr>
              <w:t>NICSP N° 3,</w:t>
            </w:r>
          </w:p>
          <w:p w14:paraId="63CFDD1F" w14:textId="242E3A28" w:rsidR="009732EF" w:rsidRPr="009732EF" w:rsidRDefault="009732EF" w:rsidP="009732EF">
            <w:pPr>
              <w:jc w:val="both"/>
              <w:rPr>
                <w:rFonts w:ascii="Arial Narrow" w:eastAsia="Times New Roman" w:hAnsi="Arial Narrow" w:cs="Calibri"/>
                <w:b/>
                <w:bCs/>
                <w:color w:val="000000"/>
                <w:sz w:val="22"/>
                <w:szCs w:val="22"/>
              </w:rPr>
            </w:pPr>
            <w:r w:rsidRPr="009732EF">
              <w:rPr>
                <w:rFonts w:ascii="Arial Narrow" w:eastAsia="Times New Roman" w:hAnsi="Arial Narrow" w:cs="Calibri"/>
                <w:b/>
                <w:bCs/>
                <w:color w:val="000000"/>
                <w:sz w:val="22"/>
                <w:szCs w:val="22"/>
              </w:rPr>
              <w:t>Párrafo 54.</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3862C867" w14:textId="77777777" w:rsidR="009732EF" w:rsidRPr="009732EF" w:rsidRDefault="009732EF" w:rsidP="009732EF">
            <w:pPr>
              <w:jc w:val="center"/>
              <w:rPr>
                <w:rFonts w:ascii="Arial Narrow" w:eastAsia="Times New Roman" w:hAnsi="Arial Narrow" w:cs="Calibri"/>
                <w:b/>
                <w:bCs/>
                <w:color w:val="000000"/>
                <w:sz w:val="22"/>
                <w:szCs w:val="22"/>
              </w:rPr>
            </w:pPr>
            <w:r w:rsidRPr="009732EF">
              <w:rPr>
                <w:rFonts w:ascii="Arial Narrow" w:eastAsia="Times New Roman" w:hAnsi="Arial Narrow" w:cs="Calibri"/>
                <w:b/>
                <w:bCs/>
                <w:color w:val="000000"/>
                <w:sz w:val="22"/>
                <w:szCs w:val="22"/>
              </w:rPr>
              <w:t> </w:t>
            </w:r>
          </w:p>
        </w:tc>
      </w:tr>
    </w:tbl>
    <w:p w14:paraId="2CE6840B" w14:textId="77777777" w:rsidR="009732EF" w:rsidRDefault="009732EF" w:rsidP="00B735D8">
      <w:pPr>
        <w:pStyle w:val="Default"/>
        <w:jc w:val="both"/>
        <w:rPr>
          <w:sz w:val="22"/>
          <w:szCs w:val="22"/>
          <w:lang w:val="es-CR"/>
        </w:rPr>
      </w:pPr>
    </w:p>
    <w:p w14:paraId="3E936077" w14:textId="58D78D21" w:rsidR="00090576" w:rsidRDefault="00090576" w:rsidP="00090576">
      <w:pPr>
        <w:pStyle w:val="Default"/>
        <w:ind w:left="1134" w:hanging="1134"/>
        <w:jc w:val="both"/>
        <w:rPr>
          <w:rFonts w:eastAsia="Arial"/>
          <w:b/>
          <w:sz w:val="22"/>
          <w:szCs w:val="22"/>
        </w:rPr>
      </w:pPr>
      <w:r w:rsidRPr="00F02F9D">
        <w:rPr>
          <w:rFonts w:eastAsia="Arial"/>
          <w:b/>
          <w:sz w:val="22"/>
          <w:szCs w:val="22"/>
        </w:rPr>
        <w:t>Política Contable</w:t>
      </w:r>
    </w:p>
    <w:p w14:paraId="55DA9BAF" w14:textId="77777777" w:rsidR="00090576" w:rsidRDefault="00090576" w:rsidP="00B735D8">
      <w:pPr>
        <w:pStyle w:val="Default"/>
        <w:jc w:val="both"/>
        <w:rPr>
          <w:sz w:val="22"/>
          <w:szCs w:val="22"/>
          <w:lang w:val="es-CR"/>
        </w:rPr>
      </w:pPr>
    </w:p>
    <w:p w14:paraId="2DA3FF70" w14:textId="75418B3C" w:rsidR="009732EF" w:rsidRDefault="00A942A9" w:rsidP="00A942A9">
      <w:pPr>
        <w:pStyle w:val="Default"/>
        <w:ind w:left="1134" w:hanging="1134"/>
        <w:jc w:val="both"/>
        <w:rPr>
          <w:sz w:val="22"/>
          <w:szCs w:val="22"/>
          <w:lang w:val="es-CR"/>
        </w:rPr>
      </w:pPr>
      <w:r>
        <w:rPr>
          <w:sz w:val="22"/>
          <w:szCs w:val="22"/>
          <w:lang w:val="es-CR"/>
        </w:rPr>
        <w:t>6.69.0.01</w:t>
      </w:r>
      <w:r>
        <w:rPr>
          <w:sz w:val="22"/>
          <w:szCs w:val="22"/>
          <w:lang w:val="es-CR"/>
        </w:rPr>
        <w:tab/>
      </w:r>
      <w:r w:rsidR="009732EF" w:rsidRPr="00A942A9">
        <w:rPr>
          <w:sz w:val="22"/>
          <w:szCs w:val="22"/>
          <w:lang w:val="es-CR"/>
        </w:rPr>
        <w:t>L</w:t>
      </w:r>
      <w:r>
        <w:rPr>
          <w:sz w:val="22"/>
          <w:szCs w:val="22"/>
          <w:lang w:val="es-CR"/>
        </w:rPr>
        <w:t>a</w:t>
      </w:r>
      <w:r w:rsidR="009732EF" w:rsidRPr="00A942A9">
        <w:rPr>
          <w:sz w:val="22"/>
          <w:szCs w:val="22"/>
          <w:lang w:val="es-CR"/>
        </w:rPr>
        <w:t xml:space="preserve"> </w:t>
      </w:r>
      <w:r>
        <w:rPr>
          <w:sz w:val="22"/>
          <w:szCs w:val="22"/>
          <w:lang w:val="es-CR"/>
        </w:rPr>
        <w:t>Municipalidad</w:t>
      </w:r>
      <w:r w:rsidR="009732EF" w:rsidRPr="00A942A9">
        <w:rPr>
          <w:sz w:val="22"/>
          <w:szCs w:val="22"/>
          <w:lang w:val="es-CR"/>
        </w:rPr>
        <w:t xml:space="preserve"> revelará, en el período en que lo detectan, pudiendo omitirse en los EEFF de períodos posteriores, la siguiente información:</w:t>
      </w:r>
    </w:p>
    <w:p w14:paraId="5DCB6FC5" w14:textId="77777777" w:rsidR="00A942A9" w:rsidRPr="00A942A9" w:rsidRDefault="00A942A9" w:rsidP="00A942A9">
      <w:pPr>
        <w:pStyle w:val="Default"/>
        <w:ind w:left="1134" w:hanging="1134"/>
        <w:jc w:val="both"/>
        <w:rPr>
          <w:sz w:val="22"/>
          <w:szCs w:val="22"/>
          <w:lang w:val="es-CR"/>
        </w:rPr>
      </w:pPr>
    </w:p>
    <w:p w14:paraId="078B4754" w14:textId="183E8170" w:rsidR="009732EF" w:rsidRPr="00A942A9" w:rsidRDefault="00A942A9">
      <w:pPr>
        <w:pStyle w:val="Default"/>
        <w:numPr>
          <w:ilvl w:val="0"/>
          <w:numId w:val="399"/>
        </w:numPr>
        <w:spacing w:after="120"/>
        <w:ind w:left="1418" w:hanging="284"/>
        <w:jc w:val="both"/>
        <w:rPr>
          <w:sz w:val="22"/>
          <w:szCs w:val="22"/>
          <w:lang w:val="es-CR"/>
        </w:rPr>
      </w:pPr>
      <w:r>
        <w:rPr>
          <w:sz w:val="22"/>
          <w:szCs w:val="22"/>
          <w:lang w:val="es-CR"/>
        </w:rPr>
        <w:t>L</w:t>
      </w:r>
      <w:r w:rsidR="009732EF" w:rsidRPr="00A942A9">
        <w:rPr>
          <w:sz w:val="22"/>
          <w:szCs w:val="22"/>
          <w:lang w:val="es-CR"/>
        </w:rPr>
        <w:t xml:space="preserve">a naturaleza del error del período anterior; </w:t>
      </w:r>
    </w:p>
    <w:p w14:paraId="053C1A9D" w14:textId="1B4275E5" w:rsidR="009732EF" w:rsidRPr="00A942A9" w:rsidRDefault="00A942A9">
      <w:pPr>
        <w:pStyle w:val="Default"/>
        <w:numPr>
          <w:ilvl w:val="0"/>
          <w:numId w:val="399"/>
        </w:numPr>
        <w:spacing w:after="120"/>
        <w:ind w:left="1418" w:hanging="284"/>
        <w:jc w:val="both"/>
        <w:rPr>
          <w:sz w:val="22"/>
          <w:szCs w:val="22"/>
          <w:lang w:val="es-CR"/>
        </w:rPr>
      </w:pPr>
      <w:r>
        <w:rPr>
          <w:sz w:val="22"/>
          <w:szCs w:val="22"/>
          <w:lang w:val="es-CR"/>
        </w:rPr>
        <w:t>P</w:t>
      </w:r>
      <w:r w:rsidR="009732EF" w:rsidRPr="00A942A9">
        <w:rPr>
          <w:sz w:val="22"/>
          <w:szCs w:val="22"/>
          <w:lang w:val="es-CR"/>
        </w:rPr>
        <w:t xml:space="preserve">ara cada período anterior presentado, en la medida que sea practicable, el importe de la corrección por cada línea de partida del estado financiero afectado; </w:t>
      </w:r>
    </w:p>
    <w:p w14:paraId="6DD5BC3E" w14:textId="5EFE6D28" w:rsidR="009732EF" w:rsidRPr="00A942A9" w:rsidRDefault="00A942A9">
      <w:pPr>
        <w:pStyle w:val="Default"/>
        <w:numPr>
          <w:ilvl w:val="0"/>
          <w:numId w:val="399"/>
        </w:numPr>
        <w:spacing w:after="20"/>
        <w:ind w:left="1418" w:hanging="284"/>
        <w:jc w:val="both"/>
        <w:rPr>
          <w:sz w:val="22"/>
          <w:szCs w:val="22"/>
          <w:lang w:val="es-CR"/>
        </w:rPr>
      </w:pPr>
      <w:r>
        <w:rPr>
          <w:sz w:val="22"/>
          <w:szCs w:val="22"/>
          <w:lang w:val="es-CR"/>
        </w:rPr>
        <w:t>E</w:t>
      </w:r>
      <w:r w:rsidR="009732EF" w:rsidRPr="00A942A9">
        <w:rPr>
          <w:sz w:val="22"/>
          <w:szCs w:val="22"/>
          <w:lang w:val="es-CR"/>
        </w:rPr>
        <w:t xml:space="preserve">l importe del ajuste al principio del período anterior más antiguo sobre el que se presente información; y </w:t>
      </w:r>
    </w:p>
    <w:p w14:paraId="671B2AE3" w14:textId="5F0982F2" w:rsidR="009732EF" w:rsidRPr="00A942A9" w:rsidRDefault="00A942A9">
      <w:pPr>
        <w:pStyle w:val="Default"/>
        <w:numPr>
          <w:ilvl w:val="0"/>
          <w:numId w:val="399"/>
        </w:numPr>
        <w:ind w:left="1418" w:hanging="284"/>
        <w:jc w:val="both"/>
        <w:rPr>
          <w:sz w:val="22"/>
          <w:szCs w:val="22"/>
          <w:lang w:val="es-CR"/>
        </w:rPr>
      </w:pPr>
      <w:r>
        <w:rPr>
          <w:sz w:val="22"/>
          <w:szCs w:val="22"/>
          <w:lang w:val="es-CR"/>
        </w:rPr>
        <w:t>S</w:t>
      </w:r>
      <w:r w:rsidR="009732EF" w:rsidRPr="00A942A9">
        <w:rPr>
          <w:sz w:val="22"/>
          <w:szCs w:val="22"/>
          <w:lang w:val="es-CR"/>
        </w:rPr>
        <w:t xml:space="preserve">i fuera impracticable la reexpresión retroactiva para un período anterior en particular, las circunstancias que conducen a esa situación, junto con una descripción de cómo y desde cuándo se ha corregido el error. </w:t>
      </w:r>
    </w:p>
    <w:p w14:paraId="3BA3941B" w14:textId="18492720" w:rsidR="009732EF" w:rsidRPr="009732EF" w:rsidRDefault="009732EF">
      <w:pPr>
        <w:pStyle w:val="Default"/>
        <w:numPr>
          <w:ilvl w:val="0"/>
          <w:numId w:val="398"/>
        </w:numPr>
        <w:rPr>
          <w:sz w:val="23"/>
          <w:szCs w:val="23"/>
          <w:lang w:val="es-CR"/>
        </w:rPr>
      </w:pPr>
    </w:p>
    <w:p w14:paraId="6090F15B" w14:textId="77777777" w:rsidR="008840FF" w:rsidRDefault="008840FF" w:rsidP="00B735D8">
      <w:pPr>
        <w:pStyle w:val="Default"/>
        <w:jc w:val="both"/>
        <w:rPr>
          <w:sz w:val="22"/>
          <w:szCs w:val="22"/>
          <w:lang w:val="es-CR"/>
        </w:rPr>
      </w:pPr>
    </w:p>
    <w:p w14:paraId="302F7BBE" w14:textId="77777777" w:rsidR="003A7486" w:rsidRDefault="003A7486" w:rsidP="00B735D8">
      <w:pPr>
        <w:pStyle w:val="Default"/>
        <w:jc w:val="both"/>
        <w:rPr>
          <w:sz w:val="22"/>
          <w:szCs w:val="22"/>
          <w:lang w:val="es-CR"/>
        </w:rPr>
      </w:pPr>
    </w:p>
    <w:p w14:paraId="436AAD58" w14:textId="77777777" w:rsidR="003A7486" w:rsidRDefault="003A7486" w:rsidP="00B735D8">
      <w:pPr>
        <w:pStyle w:val="Default"/>
        <w:jc w:val="both"/>
        <w:rPr>
          <w:sz w:val="22"/>
          <w:szCs w:val="22"/>
          <w:lang w:val="es-CR"/>
        </w:rPr>
      </w:pPr>
    </w:p>
    <w:p w14:paraId="26E2F042" w14:textId="77777777" w:rsidR="003A7486" w:rsidRDefault="003A7486" w:rsidP="00B735D8">
      <w:pPr>
        <w:pStyle w:val="Default"/>
        <w:jc w:val="both"/>
        <w:rPr>
          <w:sz w:val="22"/>
          <w:szCs w:val="22"/>
          <w:lang w:val="es-CR"/>
        </w:rPr>
      </w:pPr>
    </w:p>
    <w:p w14:paraId="5DA1F206" w14:textId="77777777" w:rsidR="003A7486" w:rsidRDefault="003A7486" w:rsidP="00B735D8">
      <w:pPr>
        <w:pStyle w:val="Default"/>
        <w:jc w:val="both"/>
        <w:rPr>
          <w:sz w:val="22"/>
          <w:szCs w:val="22"/>
          <w:lang w:val="es-CR"/>
        </w:rPr>
      </w:pPr>
    </w:p>
    <w:p w14:paraId="2C2275C6" w14:textId="77777777" w:rsidR="003A7486" w:rsidRDefault="003A7486" w:rsidP="00B735D8">
      <w:pPr>
        <w:pStyle w:val="Default"/>
        <w:jc w:val="both"/>
        <w:rPr>
          <w:sz w:val="22"/>
          <w:szCs w:val="22"/>
          <w:lang w:val="es-CR"/>
        </w:rPr>
      </w:pPr>
    </w:p>
    <w:p w14:paraId="472F80FC" w14:textId="77777777" w:rsidR="003A7486" w:rsidRDefault="003A7486" w:rsidP="00B735D8">
      <w:pPr>
        <w:pStyle w:val="Default"/>
        <w:jc w:val="both"/>
        <w:rPr>
          <w:sz w:val="22"/>
          <w:szCs w:val="22"/>
          <w:lang w:val="es-CR"/>
        </w:rPr>
      </w:pPr>
    </w:p>
    <w:p w14:paraId="2FDADDBD" w14:textId="77777777" w:rsidR="003A7486" w:rsidRDefault="003A7486" w:rsidP="00B735D8">
      <w:pPr>
        <w:pStyle w:val="Default"/>
        <w:jc w:val="both"/>
        <w:rPr>
          <w:sz w:val="22"/>
          <w:szCs w:val="22"/>
          <w:lang w:val="es-CR"/>
        </w:rPr>
      </w:pPr>
    </w:p>
    <w:p w14:paraId="06749CC5" w14:textId="24738248" w:rsidR="008840FF" w:rsidRPr="00A942A9" w:rsidRDefault="00A942A9" w:rsidP="00A942A9">
      <w:pPr>
        <w:pStyle w:val="Ttulo2"/>
        <w:ind w:left="284"/>
        <w:rPr>
          <w:rFonts w:ascii="Arial" w:eastAsia="Arial" w:hAnsi="Arial" w:cs="Arial"/>
          <w:b/>
          <w:bCs/>
          <w:sz w:val="24"/>
          <w:szCs w:val="24"/>
          <w:lang w:val="es-CR"/>
        </w:rPr>
      </w:pPr>
      <w:bookmarkStart w:id="182" w:name="_Toc172726317"/>
      <w:r w:rsidRPr="00A942A9">
        <w:rPr>
          <w:rFonts w:ascii="Arial" w:eastAsia="Arial" w:hAnsi="Arial" w:cs="Arial"/>
          <w:b/>
          <w:bCs/>
          <w:sz w:val="24"/>
          <w:szCs w:val="24"/>
          <w:lang w:val="es-CR"/>
        </w:rPr>
        <w:lastRenderedPageBreak/>
        <w:t>Impracticabilidad de la aplicación y de la reexpresión retroactivas</w:t>
      </w:r>
      <w:bookmarkEnd w:id="182"/>
    </w:p>
    <w:p w14:paraId="4D616877" w14:textId="77777777" w:rsidR="008840FF" w:rsidRDefault="008840FF" w:rsidP="00B735D8">
      <w:pPr>
        <w:pStyle w:val="Default"/>
        <w:jc w:val="both"/>
        <w:rPr>
          <w:sz w:val="22"/>
          <w:szCs w:val="22"/>
          <w:lang w:val="es-CR"/>
        </w:rPr>
      </w:pPr>
    </w:p>
    <w:p w14:paraId="47D34F4E" w14:textId="77777777" w:rsidR="008840FF" w:rsidRDefault="008840FF" w:rsidP="00B735D8">
      <w:pPr>
        <w:pStyle w:val="Default"/>
        <w:jc w:val="both"/>
        <w:rPr>
          <w:sz w:val="22"/>
          <w:szCs w:val="22"/>
          <w:lang w:val="es-CR"/>
        </w:rPr>
      </w:pPr>
    </w:p>
    <w:tbl>
      <w:tblPr>
        <w:tblW w:w="9355" w:type="dxa"/>
        <w:tblLook w:val="04A0" w:firstRow="1" w:lastRow="0" w:firstColumn="1" w:lastColumn="0" w:noHBand="0" w:noVBand="1"/>
      </w:tblPr>
      <w:tblGrid>
        <w:gridCol w:w="416"/>
        <w:gridCol w:w="709"/>
        <w:gridCol w:w="425"/>
        <w:gridCol w:w="8"/>
        <w:gridCol w:w="3679"/>
        <w:gridCol w:w="8"/>
        <w:gridCol w:w="2246"/>
        <w:gridCol w:w="8"/>
        <w:gridCol w:w="1848"/>
        <w:gridCol w:w="8"/>
      </w:tblGrid>
      <w:tr w:rsidR="00A942A9" w:rsidRPr="00A942A9" w14:paraId="23C9318D" w14:textId="77777777" w:rsidTr="003A7486">
        <w:trPr>
          <w:trHeight w:val="300"/>
        </w:trPr>
        <w:tc>
          <w:tcPr>
            <w:tcW w:w="1558"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7E075B72" w14:textId="77777777" w:rsidR="00A942A9" w:rsidRPr="00A942A9" w:rsidRDefault="00A942A9" w:rsidP="00A942A9">
            <w:pPr>
              <w:jc w:val="center"/>
              <w:rPr>
                <w:rFonts w:ascii="Arial Narrow" w:eastAsia="Times New Roman" w:hAnsi="Arial Narrow" w:cs="Calibri"/>
                <w:b/>
                <w:bCs/>
                <w:color w:val="FFFFFF"/>
                <w:sz w:val="22"/>
                <w:szCs w:val="22"/>
              </w:rPr>
            </w:pPr>
            <w:r w:rsidRPr="00A942A9">
              <w:rPr>
                <w:rFonts w:ascii="Arial Narrow" w:eastAsia="Times New Roman" w:hAnsi="Arial Narrow" w:cs="Calibri"/>
                <w:b/>
                <w:bCs/>
                <w:color w:val="FFFFFF"/>
                <w:sz w:val="22"/>
                <w:szCs w:val="22"/>
              </w:rPr>
              <w:t>Norma / Política</w:t>
            </w:r>
          </w:p>
        </w:tc>
        <w:tc>
          <w:tcPr>
            <w:tcW w:w="3687"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B4C2F07" w14:textId="77777777" w:rsidR="00A942A9" w:rsidRPr="00A942A9" w:rsidRDefault="00A942A9" w:rsidP="00A942A9">
            <w:pPr>
              <w:jc w:val="center"/>
              <w:rPr>
                <w:rFonts w:ascii="Arial Narrow" w:eastAsia="Times New Roman" w:hAnsi="Arial Narrow" w:cs="Calibri"/>
                <w:b/>
                <w:bCs/>
                <w:color w:val="FFFFFF"/>
                <w:sz w:val="22"/>
                <w:szCs w:val="22"/>
              </w:rPr>
            </w:pPr>
            <w:r w:rsidRPr="00A942A9">
              <w:rPr>
                <w:rFonts w:ascii="Arial Narrow" w:eastAsia="Times New Roman" w:hAnsi="Arial Narrow" w:cs="Calibri"/>
                <w:b/>
                <w:bCs/>
                <w:color w:val="FFFFFF"/>
                <w:sz w:val="22"/>
                <w:szCs w:val="22"/>
              </w:rPr>
              <w:t>Concepto</w:t>
            </w:r>
          </w:p>
        </w:tc>
        <w:tc>
          <w:tcPr>
            <w:tcW w:w="4110" w:type="dxa"/>
            <w:gridSpan w:val="4"/>
            <w:tcBorders>
              <w:top w:val="single" w:sz="8" w:space="0" w:color="auto"/>
              <w:left w:val="nil"/>
              <w:bottom w:val="single" w:sz="8" w:space="0" w:color="auto"/>
              <w:right w:val="single" w:sz="8" w:space="0" w:color="000000"/>
            </w:tcBorders>
            <w:shd w:val="clear" w:color="000000" w:fill="203764"/>
            <w:vAlign w:val="center"/>
            <w:hideMark/>
          </w:tcPr>
          <w:p w14:paraId="34B5213F" w14:textId="77777777" w:rsidR="00A942A9" w:rsidRPr="00A942A9" w:rsidRDefault="00A942A9" w:rsidP="00A942A9">
            <w:pPr>
              <w:jc w:val="center"/>
              <w:rPr>
                <w:rFonts w:ascii="Arial Narrow" w:eastAsia="Times New Roman" w:hAnsi="Arial Narrow" w:cs="Calibri"/>
                <w:b/>
                <w:bCs/>
                <w:color w:val="FFFFFF"/>
                <w:sz w:val="22"/>
                <w:szCs w:val="22"/>
              </w:rPr>
            </w:pPr>
            <w:r w:rsidRPr="00A942A9">
              <w:rPr>
                <w:rFonts w:ascii="Arial Narrow" w:eastAsia="Times New Roman" w:hAnsi="Arial Narrow" w:cs="Calibri"/>
                <w:b/>
                <w:bCs/>
                <w:color w:val="FFFFFF"/>
                <w:sz w:val="22"/>
                <w:szCs w:val="22"/>
              </w:rPr>
              <w:t>Referencia</w:t>
            </w:r>
          </w:p>
        </w:tc>
      </w:tr>
      <w:tr w:rsidR="00A942A9" w:rsidRPr="006E5442" w14:paraId="01D501CA" w14:textId="77777777" w:rsidTr="003A7486">
        <w:trPr>
          <w:trHeight w:val="850"/>
        </w:trPr>
        <w:tc>
          <w:tcPr>
            <w:tcW w:w="1558" w:type="dxa"/>
            <w:gridSpan w:val="4"/>
            <w:vMerge/>
            <w:tcBorders>
              <w:top w:val="single" w:sz="8" w:space="0" w:color="auto"/>
              <w:left w:val="single" w:sz="8" w:space="0" w:color="auto"/>
              <w:bottom w:val="nil"/>
              <w:right w:val="single" w:sz="8" w:space="0" w:color="000000"/>
            </w:tcBorders>
            <w:vAlign w:val="center"/>
            <w:hideMark/>
          </w:tcPr>
          <w:p w14:paraId="787EA285" w14:textId="77777777" w:rsidR="00A942A9" w:rsidRPr="00A942A9" w:rsidRDefault="00A942A9" w:rsidP="00A942A9">
            <w:pPr>
              <w:rPr>
                <w:rFonts w:ascii="Arial Narrow" w:eastAsia="Times New Roman" w:hAnsi="Arial Narrow" w:cs="Calibri"/>
                <w:b/>
                <w:bCs/>
                <w:color w:val="FFFFFF"/>
                <w:sz w:val="22"/>
                <w:szCs w:val="22"/>
              </w:rPr>
            </w:pPr>
          </w:p>
        </w:tc>
        <w:tc>
          <w:tcPr>
            <w:tcW w:w="3687" w:type="dxa"/>
            <w:gridSpan w:val="2"/>
            <w:vMerge/>
            <w:tcBorders>
              <w:top w:val="single" w:sz="8" w:space="0" w:color="auto"/>
              <w:left w:val="single" w:sz="8" w:space="0" w:color="auto"/>
              <w:bottom w:val="nil"/>
              <w:right w:val="single" w:sz="8" w:space="0" w:color="auto"/>
            </w:tcBorders>
            <w:vAlign w:val="center"/>
            <w:hideMark/>
          </w:tcPr>
          <w:p w14:paraId="2D2DC047" w14:textId="77777777" w:rsidR="00A942A9" w:rsidRPr="00A942A9" w:rsidRDefault="00A942A9" w:rsidP="00A942A9">
            <w:pPr>
              <w:rPr>
                <w:rFonts w:ascii="Arial Narrow" w:eastAsia="Times New Roman" w:hAnsi="Arial Narrow" w:cs="Calibri"/>
                <w:b/>
                <w:bCs/>
                <w:color w:val="FFFFFF"/>
                <w:sz w:val="22"/>
                <w:szCs w:val="22"/>
              </w:rPr>
            </w:pPr>
          </w:p>
        </w:tc>
        <w:tc>
          <w:tcPr>
            <w:tcW w:w="2254" w:type="dxa"/>
            <w:gridSpan w:val="2"/>
            <w:tcBorders>
              <w:top w:val="nil"/>
              <w:left w:val="nil"/>
              <w:bottom w:val="nil"/>
              <w:right w:val="single" w:sz="8" w:space="0" w:color="auto"/>
            </w:tcBorders>
            <w:shd w:val="clear" w:color="000000" w:fill="203764"/>
            <w:vAlign w:val="center"/>
            <w:hideMark/>
          </w:tcPr>
          <w:p w14:paraId="4F36364A" w14:textId="77777777" w:rsidR="00A942A9" w:rsidRPr="00A942A9" w:rsidRDefault="00A942A9" w:rsidP="00A942A9">
            <w:pPr>
              <w:jc w:val="center"/>
              <w:rPr>
                <w:rFonts w:ascii="Arial Narrow" w:eastAsia="Times New Roman" w:hAnsi="Arial Narrow" w:cs="Calibri"/>
                <w:b/>
                <w:bCs/>
                <w:color w:val="FFFFFF"/>
                <w:sz w:val="22"/>
                <w:szCs w:val="22"/>
              </w:rPr>
            </w:pPr>
            <w:r w:rsidRPr="00A942A9">
              <w:rPr>
                <w:rFonts w:ascii="Arial Narrow" w:eastAsia="Times New Roman" w:hAnsi="Arial Narrow" w:cs="Calibri"/>
                <w:b/>
                <w:bCs/>
                <w:color w:val="FFFFFF"/>
                <w:sz w:val="22"/>
                <w:szCs w:val="22"/>
              </w:rPr>
              <w:t>Norma</w:t>
            </w:r>
          </w:p>
        </w:tc>
        <w:tc>
          <w:tcPr>
            <w:tcW w:w="1856" w:type="dxa"/>
            <w:gridSpan w:val="2"/>
            <w:tcBorders>
              <w:top w:val="nil"/>
              <w:left w:val="nil"/>
              <w:bottom w:val="nil"/>
              <w:right w:val="single" w:sz="8" w:space="0" w:color="auto"/>
            </w:tcBorders>
            <w:shd w:val="clear" w:color="000000" w:fill="203764"/>
            <w:vAlign w:val="center"/>
            <w:hideMark/>
          </w:tcPr>
          <w:p w14:paraId="6DCD8E32" w14:textId="77777777" w:rsidR="00A942A9" w:rsidRPr="00A942A9" w:rsidRDefault="00A942A9" w:rsidP="00A942A9">
            <w:pPr>
              <w:jc w:val="center"/>
              <w:rPr>
                <w:rFonts w:ascii="Arial Narrow" w:eastAsia="Times New Roman" w:hAnsi="Arial Narrow" w:cs="Calibri"/>
                <w:b/>
                <w:bCs/>
                <w:color w:val="FFFFFF"/>
                <w:sz w:val="22"/>
                <w:szCs w:val="22"/>
                <w:lang w:val="es-CR"/>
              </w:rPr>
            </w:pPr>
            <w:r w:rsidRPr="00A942A9">
              <w:rPr>
                <w:rFonts w:ascii="Arial Narrow" w:eastAsia="Times New Roman" w:hAnsi="Arial Narrow" w:cs="Calibri"/>
                <w:b/>
                <w:bCs/>
                <w:color w:val="FFFFFF"/>
                <w:sz w:val="22"/>
                <w:szCs w:val="22"/>
                <w:lang w:val="es-CR"/>
              </w:rPr>
              <w:t>Normativa técnica y disposiciones adicionales</w:t>
            </w:r>
          </w:p>
        </w:tc>
      </w:tr>
      <w:tr w:rsidR="00A942A9" w:rsidRPr="00A942A9" w14:paraId="357B6B03" w14:textId="77777777" w:rsidTr="003A7486">
        <w:trPr>
          <w:gridAfter w:val="1"/>
          <w:wAfter w:w="8"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B24BF7" w14:textId="77777777" w:rsidR="00A942A9" w:rsidRPr="00A942A9" w:rsidRDefault="00A942A9" w:rsidP="00A942A9">
            <w:pPr>
              <w:jc w:val="center"/>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6</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A193BAB" w14:textId="77777777" w:rsidR="00A942A9" w:rsidRPr="00A942A9" w:rsidRDefault="00A942A9" w:rsidP="00A942A9">
            <w:pPr>
              <w:jc w:val="center"/>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70</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4512E00B" w14:textId="77777777" w:rsidR="00A942A9" w:rsidRPr="00A942A9" w:rsidRDefault="00A942A9" w:rsidP="00A942A9">
            <w:pPr>
              <w:jc w:val="center"/>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 xml:space="preserve"> </w:t>
            </w:r>
          </w:p>
        </w:tc>
        <w:tc>
          <w:tcPr>
            <w:tcW w:w="3687" w:type="dxa"/>
            <w:gridSpan w:val="2"/>
            <w:tcBorders>
              <w:top w:val="single" w:sz="8" w:space="0" w:color="auto"/>
              <w:left w:val="nil"/>
              <w:bottom w:val="single" w:sz="8" w:space="0" w:color="auto"/>
              <w:right w:val="single" w:sz="8" w:space="0" w:color="auto"/>
            </w:tcBorders>
            <w:shd w:val="clear" w:color="auto" w:fill="auto"/>
            <w:vAlign w:val="center"/>
            <w:hideMark/>
          </w:tcPr>
          <w:p w14:paraId="0029E66F" w14:textId="77777777" w:rsidR="00A942A9" w:rsidRPr="00A942A9" w:rsidRDefault="00A942A9" w:rsidP="00A942A9">
            <w:pPr>
              <w:jc w:val="both"/>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Algunos casos</w:t>
            </w:r>
          </w:p>
        </w:tc>
        <w:tc>
          <w:tcPr>
            <w:tcW w:w="2254" w:type="dxa"/>
            <w:gridSpan w:val="2"/>
            <w:tcBorders>
              <w:top w:val="single" w:sz="8" w:space="0" w:color="auto"/>
              <w:left w:val="nil"/>
              <w:bottom w:val="single" w:sz="8" w:space="0" w:color="auto"/>
              <w:right w:val="single" w:sz="8" w:space="0" w:color="auto"/>
            </w:tcBorders>
            <w:shd w:val="clear" w:color="auto" w:fill="auto"/>
            <w:vAlign w:val="center"/>
            <w:hideMark/>
          </w:tcPr>
          <w:p w14:paraId="165CAF6A" w14:textId="77777777" w:rsidR="003A7486" w:rsidRDefault="00A942A9" w:rsidP="00A942A9">
            <w:pPr>
              <w:jc w:val="both"/>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NICSP N° 3,</w:t>
            </w:r>
          </w:p>
          <w:p w14:paraId="6279DB08" w14:textId="03ACC70B" w:rsidR="00A942A9" w:rsidRPr="00A942A9" w:rsidRDefault="00A942A9" w:rsidP="00A942A9">
            <w:pPr>
              <w:jc w:val="both"/>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Párrafos 55, 57 y 58.</w:t>
            </w:r>
          </w:p>
        </w:tc>
        <w:tc>
          <w:tcPr>
            <w:tcW w:w="1856" w:type="dxa"/>
            <w:gridSpan w:val="2"/>
            <w:tcBorders>
              <w:top w:val="single" w:sz="8" w:space="0" w:color="auto"/>
              <w:left w:val="nil"/>
              <w:bottom w:val="single" w:sz="8" w:space="0" w:color="auto"/>
              <w:right w:val="single" w:sz="8" w:space="0" w:color="auto"/>
            </w:tcBorders>
            <w:shd w:val="clear" w:color="auto" w:fill="auto"/>
            <w:vAlign w:val="center"/>
            <w:hideMark/>
          </w:tcPr>
          <w:p w14:paraId="77D4B046" w14:textId="77777777" w:rsidR="00A942A9" w:rsidRPr="00A942A9" w:rsidRDefault="00A942A9" w:rsidP="00A942A9">
            <w:pPr>
              <w:jc w:val="center"/>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 </w:t>
            </w:r>
          </w:p>
        </w:tc>
      </w:tr>
    </w:tbl>
    <w:p w14:paraId="6D6B27E4" w14:textId="77777777" w:rsidR="008840FF" w:rsidRDefault="008840FF" w:rsidP="00B735D8">
      <w:pPr>
        <w:pStyle w:val="Default"/>
        <w:jc w:val="both"/>
        <w:rPr>
          <w:sz w:val="22"/>
          <w:szCs w:val="22"/>
          <w:lang w:val="es-CR"/>
        </w:rPr>
      </w:pPr>
    </w:p>
    <w:p w14:paraId="75981748" w14:textId="77777777" w:rsidR="003A7486" w:rsidRDefault="003A7486" w:rsidP="003A7486">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67DABEF" w14:textId="77777777" w:rsidR="00A942A9" w:rsidRPr="00A942A9" w:rsidRDefault="00A942A9" w:rsidP="00A942A9">
      <w:pPr>
        <w:autoSpaceDE w:val="0"/>
        <w:autoSpaceDN w:val="0"/>
        <w:adjustRightInd w:val="0"/>
        <w:rPr>
          <w:rFonts w:ascii="Symbol" w:hAnsi="Symbol" w:cs="Symbol"/>
          <w:color w:val="000000"/>
          <w:sz w:val="24"/>
          <w:szCs w:val="24"/>
        </w:rPr>
      </w:pPr>
    </w:p>
    <w:p w14:paraId="3E39BF06" w14:textId="450C877C" w:rsidR="00A942A9" w:rsidRDefault="00A942A9" w:rsidP="00A942A9">
      <w:pPr>
        <w:autoSpaceDE w:val="0"/>
        <w:autoSpaceDN w:val="0"/>
        <w:adjustRightInd w:val="0"/>
        <w:spacing w:after="35"/>
        <w:ind w:left="1134" w:hanging="1134"/>
        <w:jc w:val="both"/>
        <w:rPr>
          <w:rFonts w:ascii="Arial" w:hAnsi="Arial"/>
          <w:color w:val="000000"/>
          <w:sz w:val="22"/>
          <w:szCs w:val="22"/>
          <w:lang w:val="es-CR"/>
        </w:rPr>
      </w:pPr>
      <w:r>
        <w:rPr>
          <w:rFonts w:ascii="Arial" w:hAnsi="Arial"/>
          <w:color w:val="000000"/>
          <w:sz w:val="22"/>
          <w:szCs w:val="22"/>
          <w:lang w:val="es-CR"/>
        </w:rPr>
        <w:t>6.70.0.01</w:t>
      </w:r>
      <w:r>
        <w:rPr>
          <w:rFonts w:ascii="Arial" w:hAnsi="Arial"/>
          <w:color w:val="000000"/>
          <w:sz w:val="22"/>
          <w:szCs w:val="22"/>
          <w:lang w:val="es-CR"/>
        </w:rPr>
        <w:tab/>
      </w:r>
      <w:r w:rsidRPr="00A942A9">
        <w:rPr>
          <w:rFonts w:ascii="Arial" w:hAnsi="Arial"/>
          <w:color w:val="000000"/>
          <w:sz w:val="22"/>
          <w:szCs w:val="22"/>
          <w:lang w:val="es-CR"/>
        </w:rPr>
        <w:t xml:space="preserve">En algunas circunstancias, cuando se desea conseguir la comparabilidad con el período corriente, el ajuste de la información comparativa de uno o más períodos anteriores es impracticable. Por ejemplo, los datos podrían no haberse obtenido en el período o períodos anteriores, de forma que permitan la aplicación retroactiva de una nueva política contable, o la reexpresión retroactiva para corregir un error de un período anterior, como consecuencia de lo cual la reconstrucción de la información es impracticable. </w:t>
      </w:r>
    </w:p>
    <w:p w14:paraId="716233C0" w14:textId="77777777" w:rsidR="00A942A9" w:rsidRPr="00A942A9" w:rsidRDefault="00A942A9" w:rsidP="00A942A9">
      <w:pPr>
        <w:autoSpaceDE w:val="0"/>
        <w:autoSpaceDN w:val="0"/>
        <w:adjustRightInd w:val="0"/>
        <w:spacing w:after="35"/>
        <w:jc w:val="both"/>
        <w:rPr>
          <w:rFonts w:ascii="Arial" w:hAnsi="Arial"/>
          <w:color w:val="000000"/>
          <w:sz w:val="22"/>
          <w:szCs w:val="22"/>
          <w:lang w:val="es-CR"/>
        </w:rPr>
      </w:pPr>
    </w:p>
    <w:p w14:paraId="3D5A7576" w14:textId="7D125B6B" w:rsidR="00A942A9" w:rsidRDefault="00A942A9" w:rsidP="00A942A9">
      <w:pPr>
        <w:autoSpaceDE w:val="0"/>
        <w:autoSpaceDN w:val="0"/>
        <w:adjustRightInd w:val="0"/>
        <w:ind w:left="1134" w:hanging="1134"/>
        <w:jc w:val="both"/>
        <w:rPr>
          <w:rFonts w:ascii="Arial" w:hAnsi="Arial"/>
          <w:color w:val="000000"/>
          <w:sz w:val="22"/>
          <w:szCs w:val="22"/>
          <w:lang w:val="es-CR"/>
        </w:rPr>
      </w:pPr>
      <w:r>
        <w:rPr>
          <w:rFonts w:ascii="Arial" w:hAnsi="Arial"/>
          <w:color w:val="000000"/>
          <w:sz w:val="22"/>
          <w:szCs w:val="22"/>
          <w:lang w:val="es-CR"/>
        </w:rPr>
        <w:t>6.70.0.02</w:t>
      </w:r>
      <w:r>
        <w:rPr>
          <w:rFonts w:ascii="Arial" w:hAnsi="Arial"/>
          <w:color w:val="000000"/>
          <w:sz w:val="22"/>
          <w:szCs w:val="22"/>
          <w:lang w:val="es-CR"/>
        </w:rPr>
        <w:tab/>
      </w:r>
      <w:r w:rsidRPr="00A942A9">
        <w:rPr>
          <w:rFonts w:ascii="Arial" w:hAnsi="Arial"/>
          <w:color w:val="000000"/>
          <w:sz w:val="22"/>
          <w:szCs w:val="22"/>
          <w:lang w:val="es-CR"/>
        </w:rPr>
        <w:t>Cuando la aplicación o la reexpresión retroactivas exijan efectuar estimaciones significativas, para las que sea imposible distinguir aquellos dos tipos de información, resultará impracticable aplicar la nueva política contable o corregir el error del período previo de forma retroactiva.</w:t>
      </w:r>
    </w:p>
    <w:p w14:paraId="0C3C7190" w14:textId="5F683F8A" w:rsidR="00A942A9" w:rsidRPr="00A942A9" w:rsidRDefault="00A942A9" w:rsidP="00A942A9">
      <w:pPr>
        <w:autoSpaceDE w:val="0"/>
        <w:autoSpaceDN w:val="0"/>
        <w:adjustRightInd w:val="0"/>
        <w:jc w:val="both"/>
        <w:rPr>
          <w:rFonts w:ascii="Arial" w:hAnsi="Arial"/>
          <w:color w:val="000000"/>
          <w:sz w:val="22"/>
          <w:szCs w:val="22"/>
          <w:lang w:val="es-CR"/>
        </w:rPr>
      </w:pPr>
      <w:r w:rsidRPr="00A942A9">
        <w:rPr>
          <w:rFonts w:ascii="Arial" w:hAnsi="Arial"/>
          <w:color w:val="000000"/>
          <w:sz w:val="22"/>
          <w:szCs w:val="22"/>
          <w:lang w:val="es-CR"/>
        </w:rPr>
        <w:t xml:space="preserve"> </w:t>
      </w:r>
    </w:p>
    <w:p w14:paraId="749770B0" w14:textId="198D0679" w:rsidR="00A942A9" w:rsidRPr="00A942A9" w:rsidRDefault="00A942A9" w:rsidP="00A942A9">
      <w:pPr>
        <w:autoSpaceDE w:val="0"/>
        <w:autoSpaceDN w:val="0"/>
        <w:adjustRightInd w:val="0"/>
        <w:ind w:left="1134" w:hanging="1134"/>
        <w:jc w:val="both"/>
        <w:rPr>
          <w:rFonts w:ascii="Arial" w:hAnsi="Arial"/>
          <w:color w:val="000000"/>
          <w:sz w:val="22"/>
          <w:szCs w:val="22"/>
          <w:lang w:val="es-CR"/>
        </w:rPr>
      </w:pPr>
      <w:r>
        <w:rPr>
          <w:rFonts w:ascii="Arial" w:hAnsi="Arial"/>
          <w:color w:val="000000"/>
          <w:sz w:val="22"/>
          <w:szCs w:val="22"/>
          <w:lang w:val="es-CR"/>
        </w:rPr>
        <w:t>6.70.0.03</w:t>
      </w:r>
      <w:r>
        <w:rPr>
          <w:rFonts w:ascii="Arial" w:hAnsi="Arial"/>
          <w:color w:val="000000"/>
          <w:sz w:val="22"/>
          <w:szCs w:val="22"/>
          <w:lang w:val="es-CR"/>
        </w:rPr>
        <w:tab/>
      </w:r>
      <w:r w:rsidRPr="00A942A9">
        <w:rPr>
          <w:rFonts w:ascii="Arial" w:hAnsi="Arial"/>
          <w:color w:val="000000"/>
          <w:sz w:val="22"/>
          <w:szCs w:val="22"/>
          <w:lang w:val="es-CR"/>
        </w:rPr>
        <w:t xml:space="preserve">Cuando se esté aplicando una nueva política contable o se corrijan importes de un período anterior, no deberán establecerse hipótesis retroactivas, ya sea que consistan en suposiciones acerca de las intenciones de la gerencia en un período previo o en estimaciones de los importes que se hubieran reconocido, medido o revelado en tal período anterior. </w:t>
      </w:r>
    </w:p>
    <w:p w14:paraId="15B68E50" w14:textId="77777777" w:rsidR="008840FF" w:rsidRDefault="008840FF" w:rsidP="00B735D8">
      <w:pPr>
        <w:pStyle w:val="Default"/>
        <w:jc w:val="both"/>
        <w:rPr>
          <w:sz w:val="22"/>
          <w:szCs w:val="22"/>
          <w:lang w:val="es-CR"/>
        </w:rPr>
      </w:pPr>
    </w:p>
    <w:p w14:paraId="644586E8" w14:textId="77777777" w:rsidR="003A7486" w:rsidRPr="00B735D8" w:rsidRDefault="003A7486" w:rsidP="00B735D8">
      <w:pPr>
        <w:pStyle w:val="Default"/>
        <w:jc w:val="both"/>
        <w:rPr>
          <w:sz w:val="22"/>
          <w:szCs w:val="22"/>
          <w:lang w:val="es-CR"/>
        </w:rPr>
      </w:pPr>
    </w:p>
    <w:p w14:paraId="7FCFD838" w14:textId="77777777" w:rsidR="00D576D7" w:rsidRPr="00B735D8" w:rsidRDefault="00D576D7" w:rsidP="00B735D8">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90"/>
        <w:gridCol w:w="2251"/>
        <w:gridCol w:w="1855"/>
      </w:tblGrid>
      <w:tr w:rsidR="00A942A9" w:rsidRPr="00A942A9" w14:paraId="27CB2449" w14:textId="77777777" w:rsidTr="003A748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1D13027" w14:textId="77777777" w:rsidR="00A942A9" w:rsidRPr="00A942A9" w:rsidRDefault="00A942A9" w:rsidP="00A942A9">
            <w:pPr>
              <w:jc w:val="center"/>
              <w:rPr>
                <w:rFonts w:ascii="Arial Narrow" w:eastAsia="Times New Roman" w:hAnsi="Arial Narrow" w:cs="Calibri"/>
                <w:b/>
                <w:bCs/>
                <w:color w:val="FFFFFF"/>
                <w:sz w:val="22"/>
                <w:szCs w:val="22"/>
              </w:rPr>
            </w:pPr>
            <w:r w:rsidRPr="00A942A9">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1313292" w14:textId="77777777" w:rsidR="00A942A9" w:rsidRPr="00A942A9" w:rsidRDefault="00A942A9" w:rsidP="00A942A9">
            <w:pPr>
              <w:jc w:val="center"/>
              <w:rPr>
                <w:rFonts w:ascii="Arial Narrow" w:eastAsia="Times New Roman" w:hAnsi="Arial Narrow" w:cs="Calibri"/>
                <w:b/>
                <w:bCs/>
                <w:color w:val="FFFFFF"/>
                <w:sz w:val="22"/>
                <w:szCs w:val="22"/>
              </w:rPr>
            </w:pPr>
            <w:r w:rsidRPr="00A942A9">
              <w:rPr>
                <w:rFonts w:ascii="Arial Narrow" w:eastAsia="Times New Roman" w:hAnsi="Arial Narrow" w:cs="Calibri"/>
                <w:b/>
                <w:bCs/>
                <w:color w:val="FFFFFF"/>
                <w:sz w:val="22"/>
                <w:szCs w:val="22"/>
              </w:rPr>
              <w:t>Concepto</w:t>
            </w:r>
          </w:p>
        </w:tc>
        <w:tc>
          <w:tcPr>
            <w:tcW w:w="4106" w:type="dxa"/>
            <w:gridSpan w:val="2"/>
            <w:tcBorders>
              <w:top w:val="single" w:sz="8" w:space="0" w:color="auto"/>
              <w:left w:val="nil"/>
              <w:bottom w:val="single" w:sz="8" w:space="0" w:color="auto"/>
              <w:right w:val="single" w:sz="8" w:space="0" w:color="000000"/>
            </w:tcBorders>
            <w:shd w:val="clear" w:color="000000" w:fill="203764"/>
            <w:vAlign w:val="center"/>
            <w:hideMark/>
          </w:tcPr>
          <w:p w14:paraId="576DBBD1" w14:textId="77777777" w:rsidR="00A942A9" w:rsidRPr="00A942A9" w:rsidRDefault="00A942A9" w:rsidP="00A942A9">
            <w:pPr>
              <w:jc w:val="center"/>
              <w:rPr>
                <w:rFonts w:ascii="Arial Narrow" w:eastAsia="Times New Roman" w:hAnsi="Arial Narrow" w:cs="Calibri"/>
                <w:b/>
                <w:bCs/>
                <w:color w:val="FFFFFF"/>
                <w:sz w:val="22"/>
                <w:szCs w:val="22"/>
              </w:rPr>
            </w:pPr>
            <w:r w:rsidRPr="00A942A9">
              <w:rPr>
                <w:rFonts w:ascii="Arial Narrow" w:eastAsia="Times New Roman" w:hAnsi="Arial Narrow" w:cs="Calibri"/>
                <w:b/>
                <w:bCs/>
                <w:color w:val="FFFFFF"/>
                <w:sz w:val="22"/>
                <w:szCs w:val="22"/>
              </w:rPr>
              <w:t>Referencia</w:t>
            </w:r>
          </w:p>
        </w:tc>
      </w:tr>
      <w:tr w:rsidR="00A942A9" w:rsidRPr="006E5442" w14:paraId="321F9509" w14:textId="77777777" w:rsidTr="003A7486">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73BBDEA" w14:textId="77777777" w:rsidR="00A942A9" w:rsidRPr="00A942A9" w:rsidRDefault="00A942A9" w:rsidP="00A942A9">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09F19918" w14:textId="77777777" w:rsidR="00A942A9" w:rsidRPr="00A942A9" w:rsidRDefault="00A942A9" w:rsidP="00A942A9">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148AF474" w14:textId="77777777" w:rsidR="00A942A9" w:rsidRPr="00A942A9" w:rsidRDefault="00A942A9" w:rsidP="00A942A9">
            <w:pPr>
              <w:jc w:val="center"/>
              <w:rPr>
                <w:rFonts w:ascii="Arial Narrow" w:eastAsia="Times New Roman" w:hAnsi="Arial Narrow" w:cs="Calibri"/>
                <w:b/>
                <w:bCs/>
                <w:color w:val="FFFFFF"/>
                <w:sz w:val="22"/>
                <w:szCs w:val="22"/>
              </w:rPr>
            </w:pPr>
            <w:r w:rsidRPr="00A942A9">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31D0CB9A" w14:textId="77777777" w:rsidR="00A942A9" w:rsidRPr="00A942A9" w:rsidRDefault="00A942A9" w:rsidP="00A942A9">
            <w:pPr>
              <w:jc w:val="center"/>
              <w:rPr>
                <w:rFonts w:ascii="Arial Narrow" w:eastAsia="Times New Roman" w:hAnsi="Arial Narrow" w:cs="Calibri"/>
                <w:b/>
                <w:bCs/>
                <w:color w:val="FFFFFF"/>
                <w:sz w:val="22"/>
                <w:szCs w:val="22"/>
                <w:lang w:val="es-CR"/>
              </w:rPr>
            </w:pPr>
            <w:r w:rsidRPr="00A942A9">
              <w:rPr>
                <w:rFonts w:ascii="Arial Narrow" w:eastAsia="Times New Roman" w:hAnsi="Arial Narrow" w:cs="Calibri"/>
                <w:b/>
                <w:bCs/>
                <w:color w:val="FFFFFF"/>
                <w:sz w:val="22"/>
                <w:szCs w:val="22"/>
                <w:lang w:val="es-CR"/>
              </w:rPr>
              <w:t>Normativa técnica y disposiciones adicionales</w:t>
            </w:r>
          </w:p>
        </w:tc>
      </w:tr>
      <w:tr w:rsidR="00A942A9" w:rsidRPr="00A942A9" w14:paraId="5893EF09" w14:textId="77777777" w:rsidTr="003A748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535B1" w14:textId="77777777" w:rsidR="00A942A9" w:rsidRPr="00A942A9" w:rsidRDefault="00A942A9" w:rsidP="00A942A9">
            <w:pPr>
              <w:jc w:val="center"/>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D097C59" w14:textId="77777777" w:rsidR="00A942A9" w:rsidRPr="00A942A9" w:rsidRDefault="00A942A9" w:rsidP="00A942A9">
            <w:pPr>
              <w:jc w:val="center"/>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71</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4FF45340" w14:textId="77777777" w:rsidR="00A942A9" w:rsidRPr="00A942A9" w:rsidRDefault="00A942A9" w:rsidP="00A942A9">
            <w:pPr>
              <w:jc w:val="center"/>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 xml:space="preserve">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6B2A9949" w14:textId="77777777" w:rsidR="00A942A9" w:rsidRPr="00A942A9" w:rsidRDefault="00A942A9" w:rsidP="00A942A9">
            <w:pPr>
              <w:jc w:val="both"/>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Información a revelar</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3C2389DF" w14:textId="77777777" w:rsidR="003A7486" w:rsidRDefault="00A942A9" w:rsidP="00A942A9">
            <w:pPr>
              <w:jc w:val="both"/>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NICSP N° 3,</w:t>
            </w:r>
          </w:p>
          <w:p w14:paraId="5C4779F5" w14:textId="0A035012" w:rsidR="00A942A9" w:rsidRPr="00A942A9" w:rsidRDefault="00A942A9" w:rsidP="00A942A9">
            <w:pPr>
              <w:jc w:val="both"/>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Párrafo 14.</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3D1E9055" w14:textId="77777777" w:rsidR="00A942A9" w:rsidRPr="00A942A9" w:rsidRDefault="00A942A9" w:rsidP="00A942A9">
            <w:pPr>
              <w:jc w:val="center"/>
              <w:rPr>
                <w:rFonts w:ascii="Arial Narrow" w:eastAsia="Times New Roman" w:hAnsi="Arial Narrow" w:cs="Calibri"/>
                <w:b/>
                <w:bCs/>
                <w:color w:val="000000"/>
                <w:sz w:val="22"/>
                <w:szCs w:val="22"/>
              </w:rPr>
            </w:pPr>
            <w:r w:rsidRPr="00A942A9">
              <w:rPr>
                <w:rFonts w:ascii="Arial Narrow" w:eastAsia="Times New Roman" w:hAnsi="Arial Narrow" w:cs="Calibri"/>
                <w:b/>
                <w:bCs/>
                <w:color w:val="000000"/>
                <w:sz w:val="22"/>
                <w:szCs w:val="22"/>
              </w:rPr>
              <w:t> </w:t>
            </w:r>
          </w:p>
        </w:tc>
      </w:tr>
    </w:tbl>
    <w:p w14:paraId="11766F0F" w14:textId="77777777" w:rsidR="00D576D7" w:rsidRDefault="00D576D7" w:rsidP="00B735D8">
      <w:pPr>
        <w:pStyle w:val="Default"/>
        <w:jc w:val="both"/>
        <w:rPr>
          <w:sz w:val="22"/>
          <w:szCs w:val="22"/>
          <w:lang w:val="es-CR"/>
        </w:rPr>
      </w:pPr>
    </w:p>
    <w:p w14:paraId="41885E17" w14:textId="77777777" w:rsidR="003A7486" w:rsidRDefault="003A7486" w:rsidP="003A7486">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15F70BB2" w14:textId="77777777" w:rsidR="003A7486" w:rsidRPr="00B735D8" w:rsidRDefault="003A7486" w:rsidP="00B735D8">
      <w:pPr>
        <w:pStyle w:val="Default"/>
        <w:jc w:val="both"/>
        <w:rPr>
          <w:sz w:val="22"/>
          <w:szCs w:val="22"/>
          <w:lang w:val="es-CR"/>
        </w:rPr>
      </w:pPr>
    </w:p>
    <w:p w14:paraId="19E3BBDF" w14:textId="10EF6AF0" w:rsidR="001A31C5" w:rsidRDefault="0073700C" w:rsidP="0073700C">
      <w:pPr>
        <w:pStyle w:val="Default"/>
        <w:ind w:left="1134" w:hanging="1134"/>
        <w:jc w:val="both"/>
        <w:rPr>
          <w:sz w:val="22"/>
          <w:szCs w:val="22"/>
          <w:lang w:val="es-CR"/>
        </w:rPr>
      </w:pPr>
      <w:r>
        <w:rPr>
          <w:sz w:val="22"/>
          <w:szCs w:val="22"/>
          <w:lang w:val="es-CR"/>
        </w:rPr>
        <w:t>6.71.0.01</w:t>
      </w:r>
      <w:r>
        <w:rPr>
          <w:sz w:val="22"/>
          <w:szCs w:val="22"/>
          <w:lang w:val="es-CR"/>
        </w:rPr>
        <w:tab/>
      </w:r>
      <w:r w:rsidR="001A31C5" w:rsidRPr="0073700C">
        <w:rPr>
          <w:sz w:val="22"/>
          <w:szCs w:val="22"/>
          <w:lang w:val="es-CR"/>
        </w:rPr>
        <w:t xml:space="preserve">La </w:t>
      </w:r>
      <w:r>
        <w:rPr>
          <w:sz w:val="22"/>
          <w:szCs w:val="22"/>
          <w:lang w:val="es-CR"/>
        </w:rPr>
        <w:t>Municipalidad</w:t>
      </w:r>
      <w:r w:rsidR="001A31C5" w:rsidRPr="0073700C">
        <w:rPr>
          <w:sz w:val="22"/>
          <w:szCs w:val="22"/>
          <w:lang w:val="es-CR"/>
        </w:rPr>
        <w:t xml:space="preserve"> deberá presentar una comparación entre los importes del presupuesto aprobado por </w:t>
      </w:r>
      <w:r>
        <w:rPr>
          <w:sz w:val="22"/>
          <w:szCs w:val="22"/>
          <w:lang w:val="es-CR"/>
        </w:rPr>
        <w:t>e</w:t>
      </w:r>
      <w:r w:rsidR="001A31C5" w:rsidRPr="0073700C">
        <w:rPr>
          <w:sz w:val="22"/>
          <w:szCs w:val="22"/>
          <w:lang w:val="es-CR"/>
        </w:rPr>
        <w:t xml:space="preserve">l </w:t>
      </w:r>
      <w:r>
        <w:rPr>
          <w:sz w:val="22"/>
          <w:szCs w:val="22"/>
          <w:lang w:val="es-CR"/>
        </w:rPr>
        <w:t>Concejo</w:t>
      </w:r>
      <w:r w:rsidR="001A31C5" w:rsidRPr="0073700C">
        <w:rPr>
          <w:sz w:val="22"/>
          <w:szCs w:val="22"/>
          <w:lang w:val="es-CR"/>
        </w:rPr>
        <w:t xml:space="preserve"> y la CGR, conjuntamente con las modificaciones efectuadas durante el ejercicio, con los importes que surgen de la ejecución del presupuesto.</w:t>
      </w:r>
      <w:r>
        <w:rPr>
          <w:sz w:val="22"/>
          <w:szCs w:val="22"/>
          <w:lang w:val="es-CR"/>
        </w:rPr>
        <w:t>La</w:t>
      </w:r>
      <w:r w:rsidR="001A31C5" w:rsidRPr="0073700C">
        <w:rPr>
          <w:sz w:val="22"/>
          <w:szCs w:val="22"/>
          <w:lang w:val="es-CR"/>
        </w:rPr>
        <w:t xml:space="preserve"> </w:t>
      </w:r>
      <w:r>
        <w:rPr>
          <w:sz w:val="22"/>
          <w:szCs w:val="22"/>
          <w:lang w:val="es-CR"/>
        </w:rPr>
        <w:t>Municipalidad</w:t>
      </w:r>
      <w:r w:rsidR="001A31C5" w:rsidRPr="0073700C">
        <w:rPr>
          <w:sz w:val="22"/>
          <w:szCs w:val="22"/>
          <w:lang w:val="es-CR"/>
        </w:rPr>
        <w:t xml:space="preserve"> también deberá explicar, en Notas, las razones de las diferencias materiales entre los montos presupuestados y los montos ejecutados. La comparación de los importes del presupuesto y los realizados se presentará separadamente para cada nivel según el siguiente detalle:</w:t>
      </w:r>
    </w:p>
    <w:p w14:paraId="56833BFE" w14:textId="77777777" w:rsidR="0073700C" w:rsidRPr="0073700C" w:rsidRDefault="0073700C" w:rsidP="0073700C">
      <w:pPr>
        <w:pStyle w:val="Default"/>
        <w:ind w:left="1134" w:hanging="1134"/>
        <w:jc w:val="both"/>
        <w:rPr>
          <w:sz w:val="22"/>
          <w:szCs w:val="22"/>
          <w:lang w:val="es-CR"/>
        </w:rPr>
      </w:pPr>
    </w:p>
    <w:p w14:paraId="50AB19A0" w14:textId="2B2866C9" w:rsidR="001A31C5" w:rsidRPr="0073700C" w:rsidRDefault="0073700C">
      <w:pPr>
        <w:pStyle w:val="Default"/>
        <w:numPr>
          <w:ilvl w:val="0"/>
          <w:numId w:val="401"/>
        </w:numPr>
        <w:spacing w:after="120"/>
        <w:ind w:left="1418" w:hanging="284"/>
        <w:jc w:val="both"/>
        <w:rPr>
          <w:sz w:val="22"/>
          <w:szCs w:val="22"/>
          <w:lang w:val="es-CR"/>
        </w:rPr>
      </w:pPr>
      <w:r>
        <w:rPr>
          <w:sz w:val="22"/>
          <w:szCs w:val="22"/>
          <w:lang w:val="es-CR"/>
        </w:rPr>
        <w:t>L</w:t>
      </w:r>
      <w:r w:rsidR="001A31C5" w:rsidRPr="0073700C">
        <w:rPr>
          <w:sz w:val="22"/>
          <w:szCs w:val="22"/>
          <w:lang w:val="es-CR"/>
        </w:rPr>
        <w:t xml:space="preserve">os importes iniciales y finales del presupuesto; </w:t>
      </w:r>
    </w:p>
    <w:p w14:paraId="4F02F121" w14:textId="3AA6E179" w:rsidR="001A31C5" w:rsidRPr="0073700C" w:rsidRDefault="0073700C">
      <w:pPr>
        <w:pStyle w:val="Default"/>
        <w:numPr>
          <w:ilvl w:val="0"/>
          <w:numId w:val="401"/>
        </w:numPr>
        <w:spacing w:after="120"/>
        <w:ind w:left="1418" w:hanging="284"/>
        <w:jc w:val="both"/>
        <w:rPr>
          <w:sz w:val="22"/>
          <w:szCs w:val="22"/>
          <w:lang w:val="es-CR"/>
        </w:rPr>
      </w:pPr>
      <w:r>
        <w:rPr>
          <w:sz w:val="22"/>
          <w:szCs w:val="22"/>
          <w:lang w:val="es-CR"/>
        </w:rPr>
        <w:t>L</w:t>
      </w:r>
      <w:r w:rsidR="001A31C5" w:rsidRPr="0073700C">
        <w:rPr>
          <w:sz w:val="22"/>
          <w:szCs w:val="22"/>
          <w:lang w:val="es-CR"/>
        </w:rPr>
        <w:t xml:space="preserve">os importes ejecutados según una base comparable; y </w:t>
      </w:r>
    </w:p>
    <w:p w14:paraId="3EE96F4E" w14:textId="58FD854B" w:rsidR="001A31C5" w:rsidRPr="0073700C" w:rsidRDefault="0073700C">
      <w:pPr>
        <w:pStyle w:val="Default"/>
        <w:numPr>
          <w:ilvl w:val="0"/>
          <w:numId w:val="401"/>
        </w:numPr>
        <w:ind w:left="1418" w:hanging="284"/>
        <w:jc w:val="both"/>
        <w:rPr>
          <w:sz w:val="22"/>
          <w:szCs w:val="22"/>
          <w:lang w:val="es-CR"/>
        </w:rPr>
      </w:pPr>
      <w:r>
        <w:rPr>
          <w:sz w:val="22"/>
          <w:szCs w:val="22"/>
          <w:lang w:val="es-CR"/>
        </w:rPr>
        <w:lastRenderedPageBreak/>
        <w:t>P</w:t>
      </w:r>
      <w:r w:rsidR="001A31C5" w:rsidRPr="0073700C">
        <w:rPr>
          <w:sz w:val="22"/>
          <w:szCs w:val="22"/>
          <w:lang w:val="es-CR"/>
        </w:rPr>
        <w:t xml:space="preserve">or medio de una nota de información a revelar, una explicación de las diferencias materiales entre el presupuesto para el que la entidad tiene la obligación pública de rendir cuentas y los importes que surgen de la ejecución del presupuesto. </w:t>
      </w:r>
    </w:p>
    <w:p w14:paraId="57C0F696" w14:textId="77777777" w:rsidR="00D576D7" w:rsidRDefault="00D576D7" w:rsidP="00B735D8">
      <w:pPr>
        <w:pStyle w:val="Default"/>
        <w:jc w:val="both"/>
        <w:rPr>
          <w:sz w:val="22"/>
          <w:szCs w:val="22"/>
          <w:lang w:val="es-CR"/>
        </w:rPr>
      </w:pPr>
    </w:p>
    <w:p w14:paraId="416E68EA" w14:textId="77777777" w:rsidR="003A7486" w:rsidRDefault="003A7486" w:rsidP="00B735D8">
      <w:pPr>
        <w:pStyle w:val="Default"/>
        <w:jc w:val="both"/>
        <w:rPr>
          <w:sz w:val="22"/>
          <w:szCs w:val="22"/>
          <w:lang w:val="es-CR"/>
        </w:rPr>
      </w:pPr>
    </w:p>
    <w:p w14:paraId="28EE20CF" w14:textId="77777777" w:rsidR="001A31C5" w:rsidRDefault="001A31C5" w:rsidP="00B735D8">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87"/>
        <w:gridCol w:w="2254"/>
        <w:gridCol w:w="1855"/>
      </w:tblGrid>
      <w:tr w:rsidR="001A31C5" w:rsidRPr="001A31C5" w14:paraId="6CE815C6" w14:textId="77777777" w:rsidTr="003A748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C78BFE9"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4F671D84"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Concepto</w:t>
            </w:r>
          </w:p>
        </w:tc>
        <w:tc>
          <w:tcPr>
            <w:tcW w:w="4109" w:type="dxa"/>
            <w:gridSpan w:val="2"/>
            <w:tcBorders>
              <w:top w:val="single" w:sz="8" w:space="0" w:color="auto"/>
              <w:left w:val="nil"/>
              <w:bottom w:val="single" w:sz="8" w:space="0" w:color="auto"/>
              <w:right w:val="single" w:sz="8" w:space="0" w:color="000000"/>
            </w:tcBorders>
            <w:shd w:val="clear" w:color="000000" w:fill="203764"/>
            <w:vAlign w:val="center"/>
            <w:hideMark/>
          </w:tcPr>
          <w:p w14:paraId="41E442EB"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Referencia</w:t>
            </w:r>
          </w:p>
        </w:tc>
      </w:tr>
      <w:tr w:rsidR="001A31C5" w:rsidRPr="006E5442" w14:paraId="50BD2802" w14:textId="77777777" w:rsidTr="003A7486">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1E98360E" w14:textId="77777777" w:rsidR="001A31C5" w:rsidRPr="001A31C5" w:rsidRDefault="001A31C5" w:rsidP="001A31C5">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505E8AEE" w14:textId="77777777" w:rsidR="001A31C5" w:rsidRPr="001A31C5" w:rsidRDefault="001A31C5" w:rsidP="001A31C5">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5604B01D"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0CE538B5" w14:textId="77777777" w:rsidR="001A31C5" w:rsidRPr="001A31C5" w:rsidRDefault="001A31C5" w:rsidP="001A31C5">
            <w:pPr>
              <w:jc w:val="center"/>
              <w:rPr>
                <w:rFonts w:ascii="Arial Narrow" w:eastAsia="Times New Roman" w:hAnsi="Arial Narrow" w:cs="Calibri"/>
                <w:b/>
                <w:bCs/>
                <w:color w:val="FFFFFF"/>
                <w:sz w:val="22"/>
                <w:szCs w:val="22"/>
                <w:lang w:val="es-CR"/>
              </w:rPr>
            </w:pPr>
            <w:r w:rsidRPr="001A31C5">
              <w:rPr>
                <w:rFonts w:ascii="Arial Narrow" w:eastAsia="Times New Roman" w:hAnsi="Arial Narrow" w:cs="Calibri"/>
                <w:b/>
                <w:bCs/>
                <w:color w:val="FFFFFF"/>
                <w:sz w:val="22"/>
                <w:szCs w:val="22"/>
                <w:lang w:val="es-CR"/>
              </w:rPr>
              <w:t>Normativa técnica y disposiciones adicionales</w:t>
            </w:r>
          </w:p>
        </w:tc>
      </w:tr>
      <w:tr w:rsidR="001A31C5" w:rsidRPr="001A31C5" w14:paraId="4EA9E28D" w14:textId="77777777" w:rsidTr="003A7486">
        <w:trPr>
          <w:trHeight w:val="85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B4ADAC"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57743E6"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72</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0B74B309"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xml:space="preserve"> </w:t>
            </w: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17052A00" w14:textId="77777777" w:rsidR="001A31C5" w:rsidRPr="001A31C5" w:rsidRDefault="001A31C5" w:rsidP="001A31C5">
            <w:pPr>
              <w:jc w:val="both"/>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Notas al EEP</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7C40C5D2" w14:textId="77777777" w:rsidR="0073700C" w:rsidRDefault="001A31C5" w:rsidP="001A31C5">
            <w:pPr>
              <w:jc w:val="both"/>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NICSP N° 3,</w:t>
            </w:r>
          </w:p>
          <w:p w14:paraId="3C2911A6" w14:textId="366FDB67" w:rsidR="001A31C5" w:rsidRPr="001A31C5" w:rsidRDefault="001A31C5" w:rsidP="001A31C5">
            <w:pPr>
              <w:jc w:val="both"/>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Párrafos 14, 15, 19, 29, 31, 32, 39, 40, 43 y 45.</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0E96EA5E"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w:t>
            </w:r>
          </w:p>
        </w:tc>
      </w:tr>
    </w:tbl>
    <w:p w14:paraId="4D817660" w14:textId="77777777" w:rsidR="001A31C5" w:rsidRDefault="001A31C5" w:rsidP="00B735D8">
      <w:pPr>
        <w:pStyle w:val="Default"/>
        <w:jc w:val="both"/>
        <w:rPr>
          <w:sz w:val="22"/>
          <w:szCs w:val="22"/>
          <w:lang w:val="es-CR"/>
        </w:rPr>
      </w:pPr>
    </w:p>
    <w:p w14:paraId="55BFA741" w14:textId="713587EA" w:rsidR="003A7486" w:rsidRDefault="003A7486" w:rsidP="003A7486">
      <w:pPr>
        <w:pStyle w:val="Default"/>
        <w:ind w:left="1134" w:hanging="1134"/>
        <w:jc w:val="both"/>
        <w:rPr>
          <w:rFonts w:eastAsia="Arial"/>
          <w:b/>
          <w:sz w:val="22"/>
          <w:szCs w:val="22"/>
        </w:rPr>
      </w:pPr>
      <w:r w:rsidRPr="00F02F9D">
        <w:rPr>
          <w:rFonts w:eastAsia="Arial"/>
          <w:b/>
          <w:sz w:val="22"/>
          <w:szCs w:val="22"/>
        </w:rPr>
        <w:t>Política Contable</w:t>
      </w:r>
    </w:p>
    <w:p w14:paraId="1380F83B" w14:textId="77777777" w:rsidR="003A7486" w:rsidRPr="00B735D8" w:rsidRDefault="003A7486" w:rsidP="00B735D8">
      <w:pPr>
        <w:pStyle w:val="Default"/>
        <w:jc w:val="both"/>
        <w:rPr>
          <w:sz w:val="22"/>
          <w:szCs w:val="22"/>
          <w:lang w:val="es-CR"/>
        </w:rPr>
      </w:pPr>
    </w:p>
    <w:p w14:paraId="17450231" w14:textId="7DBF5154" w:rsidR="001A31C5" w:rsidRDefault="0073700C" w:rsidP="0073700C">
      <w:pPr>
        <w:pStyle w:val="Default"/>
        <w:ind w:left="1134" w:hanging="1134"/>
        <w:jc w:val="both"/>
        <w:rPr>
          <w:sz w:val="22"/>
          <w:szCs w:val="22"/>
          <w:lang w:val="es-CR"/>
        </w:rPr>
      </w:pPr>
      <w:r>
        <w:rPr>
          <w:sz w:val="22"/>
          <w:szCs w:val="22"/>
          <w:lang w:val="es-CR"/>
        </w:rPr>
        <w:t>6.72.0.01</w:t>
      </w:r>
      <w:r>
        <w:rPr>
          <w:sz w:val="22"/>
          <w:szCs w:val="22"/>
          <w:lang w:val="es-CR"/>
        </w:rPr>
        <w:tab/>
      </w:r>
      <w:r w:rsidR="001A31C5" w:rsidRPr="0073700C">
        <w:rPr>
          <w:sz w:val="22"/>
          <w:szCs w:val="22"/>
          <w:lang w:val="es-CR"/>
        </w:rPr>
        <w:t xml:space="preserve">Cada diferencia que surja del EEP, se relacionará con la información correspondiente en las notas. La </w:t>
      </w:r>
      <w:r>
        <w:rPr>
          <w:sz w:val="22"/>
          <w:szCs w:val="22"/>
          <w:lang w:val="es-CR"/>
        </w:rPr>
        <w:t>Municipalidad</w:t>
      </w:r>
      <w:r w:rsidR="001A31C5" w:rsidRPr="0073700C">
        <w:rPr>
          <w:sz w:val="22"/>
          <w:szCs w:val="22"/>
          <w:lang w:val="es-CR"/>
        </w:rPr>
        <w:t xml:space="preserve"> también deberá reflejar en notas los siguientes casos:</w:t>
      </w:r>
    </w:p>
    <w:p w14:paraId="2F1EAF0F" w14:textId="77777777" w:rsidR="0073700C" w:rsidRPr="0073700C" w:rsidRDefault="0073700C" w:rsidP="0073700C">
      <w:pPr>
        <w:pStyle w:val="Default"/>
        <w:ind w:left="1134" w:hanging="1134"/>
        <w:jc w:val="both"/>
        <w:rPr>
          <w:sz w:val="22"/>
          <w:szCs w:val="22"/>
          <w:lang w:val="es-CR"/>
        </w:rPr>
      </w:pPr>
    </w:p>
    <w:p w14:paraId="4D71C0A1" w14:textId="62578C02" w:rsidR="001A31C5" w:rsidRPr="0073700C" w:rsidRDefault="0073700C">
      <w:pPr>
        <w:pStyle w:val="Default"/>
        <w:numPr>
          <w:ilvl w:val="0"/>
          <w:numId w:val="402"/>
        </w:numPr>
        <w:spacing w:after="20"/>
        <w:ind w:left="1418" w:hanging="284"/>
        <w:jc w:val="both"/>
        <w:rPr>
          <w:sz w:val="22"/>
          <w:szCs w:val="22"/>
          <w:lang w:val="es-CR"/>
        </w:rPr>
      </w:pPr>
      <w:r>
        <w:rPr>
          <w:sz w:val="22"/>
          <w:szCs w:val="22"/>
          <w:lang w:val="es-CR"/>
        </w:rPr>
        <w:t>U</w:t>
      </w:r>
      <w:r w:rsidR="001A31C5" w:rsidRPr="0073700C">
        <w:rPr>
          <w:sz w:val="22"/>
          <w:szCs w:val="22"/>
          <w:lang w:val="es-CR"/>
        </w:rPr>
        <w:t xml:space="preserve">na explicación de si los cambios entre el presupuesto inicial y final son una consecuencia de redistribuciones dentro del presupuesto, o de otros factores; </w:t>
      </w:r>
    </w:p>
    <w:p w14:paraId="1FF7CE7C" w14:textId="39D720CD" w:rsidR="001A31C5" w:rsidRPr="0073700C" w:rsidRDefault="0073700C">
      <w:pPr>
        <w:pStyle w:val="Default"/>
        <w:numPr>
          <w:ilvl w:val="0"/>
          <w:numId w:val="402"/>
        </w:numPr>
        <w:spacing w:after="20"/>
        <w:ind w:left="1418" w:hanging="284"/>
        <w:jc w:val="both"/>
        <w:rPr>
          <w:sz w:val="22"/>
          <w:szCs w:val="22"/>
          <w:lang w:val="es-CR"/>
        </w:rPr>
      </w:pPr>
      <w:r>
        <w:rPr>
          <w:sz w:val="22"/>
          <w:szCs w:val="22"/>
          <w:lang w:val="es-CR"/>
        </w:rPr>
        <w:t>L</w:t>
      </w:r>
      <w:r w:rsidR="001A31C5" w:rsidRPr="0073700C">
        <w:rPr>
          <w:sz w:val="22"/>
          <w:szCs w:val="22"/>
          <w:lang w:val="es-CR"/>
        </w:rPr>
        <w:t xml:space="preserve">as diferencias entre los montos del presupuesto ejecutado (devengado) y el presupuesto final; </w:t>
      </w:r>
    </w:p>
    <w:p w14:paraId="00B93767" w14:textId="3C52A634" w:rsidR="001A31C5" w:rsidRPr="0073700C" w:rsidRDefault="0073700C">
      <w:pPr>
        <w:pStyle w:val="Default"/>
        <w:numPr>
          <w:ilvl w:val="0"/>
          <w:numId w:val="402"/>
        </w:numPr>
        <w:spacing w:after="20"/>
        <w:ind w:left="1418" w:hanging="284"/>
        <w:jc w:val="both"/>
        <w:rPr>
          <w:sz w:val="22"/>
          <w:szCs w:val="22"/>
          <w:lang w:val="es-CR"/>
        </w:rPr>
      </w:pPr>
      <w:r>
        <w:rPr>
          <w:sz w:val="22"/>
          <w:szCs w:val="22"/>
          <w:lang w:val="es-CR"/>
        </w:rPr>
        <w:t>L</w:t>
      </w:r>
      <w:r w:rsidR="001A31C5" w:rsidRPr="0073700C">
        <w:rPr>
          <w:sz w:val="22"/>
          <w:szCs w:val="22"/>
          <w:lang w:val="es-CR"/>
        </w:rPr>
        <w:t xml:space="preserve">a base de registro del presupuesto, su clasificación presupuestaria y si la misma está integrada con el Plan de Cuentas Contable; </w:t>
      </w:r>
    </w:p>
    <w:p w14:paraId="5C8F216A" w14:textId="17D6D687" w:rsidR="001A31C5" w:rsidRPr="0073700C" w:rsidRDefault="0073700C">
      <w:pPr>
        <w:pStyle w:val="Default"/>
        <w:numPr>
          <w:ilvl w:val="0"/>
          <w:numId w:val="402"/>
        </w:numPr>
        <w:spacing w:after="20"/>
        <w:ind w:left="1418" w:hanging="284"/>
        <w:jc w:val="both"/>
        <w:rPr>
          <w:sz w:val="22"/>
          <w:szCs w:val="22"/>
          <w:lang w:val="es-CR"/>
        </w:rPr>
      </w:pPr>
      <w:r>
        <w:rPr>
          <w:sz w:val="22"/>
          <w:szCs w:val="22"/>
          <w:lang w:val="es-CR"/>
        </w:rPr>
        <w:t>E</w:t>
      </w:r>
      <w:r w:rsidR="001A31C5" w:rsidRPr="0073700C">
        <w:rPr>
          <w:sz w:val="22"/>
          <w:szCs w:val="22"/>
          <w:lang w:val="es-CR"/>
        </w:rPr>
        <w:t xml:space="preserve">l período del presupuesto aprobado; </w:t>
      </w:r>
    </w:p>
    <w:p w14:paraId="7A01C5C8" w14:textId="64973FE1" w:rsidR="001A31C5" w:rsidRPr="0073700C" w:rsidRDefault="0073700C">
      <w:pPr>
        <w:pStyle w:val="Default"/>
        <w:numPr>
          <w:ilvl w:val="0"/>
          <w:numId w:val="402"/>
        </w:numPr>
        <w:spacing w:after="20"/>
        <w:ind w:left="1418" w:hanging="284"/>
        <w:jc w:val="both"/>
        <w:rPr>
          <w:sz w:val="22"/>
          <w:szCs w:val="22"/>
          <w:lang w:val="es-CR"/>
        </w:rPr>
      </w:pPr>
      <w:r>
        <w:rPr>
          <w:sz w:val="22"/>
          <w:szCs w:val="22"/>
          <w:lang w:val="es-CR"/>
        </w:rPr>
        <w:t>U</w:t>
      </w:r>
      <w:r w:rsidR="001A31C5" w:rsidRPr="0073700C">
        <w:rPr>
          <w:sz w:val="22"/>
          <w:szCs w:val="22"/>
          <w:lang w:val="es-CR"/>
        </w:rPr>
        <w:t xml:space="preserve">n detalle de los principales compromisos no devengados al cierre; </w:t>
      </w:r>
    </w:p>
    <w:p w14:paraId="70CD3EE3" w14:textId="4CB70978" w:rsidR="001A31C5" w:rsidRPr="0073700C" w:rsidRDefault="0073700C">
      <w:pPr>
        <w:pStyle w:val="Default"/>
        <w:numPr>
          <w:ilvl w:val="0"/>
          <w:numId w:val="402"/>
        </w:numPr>
        <w:ind w:left="1418" w:hanging="284"/>
        <w:jc w:val="both"/>
        <w:rPr>
          <w:sz w:val="22"/>
          <w:szCs w:val="22"/>
          <w:lang w:val="es-CR"/>
        </w:rPr>
      </w:pPr>
      <w:r>
        <w:rPr>
          <w:sz w:val="22"/>
          <w:szCs w:val="22"/>
          <w:lang w:val="es-CR"/>
        </w:rPr>
        <w:t>L</w:t>
      </w:r>
      <w:r w:rsidR="001A31C5" w:rsidRPr="0073700C">
        <w:rPr>
          <w:sz w:val="22"/>
          <w:szCs w:val="22"/>
          <w:lang w:val="es-CR"/>
        </w:rPr>
        <w:t xml:space="preserve">as diferencias que surjan de la utilización de bases de registro diferentes. </w:t>
      </w:r>
    </w:p>
    <w:p w14:paraId="1D5223DC" w14:textId="77777777" w:rsidR="00D576D7" w:rsidRDefault="00D576D7" w:rsidP="00B735D8">
      <w:pPr>
        <w:pStyle w:val="Default"/>
        <w:jc w:val="both"/>
        <w:rPr>
          <w:sz w:val="22"/>
          <w:szCs w:val="22"/>
          <w:lang w:val="es-CR"/>
        </w:rPr>
      </w:pPr>
    </w:p>
    <w:p w14:paraId="7187BCD4" w14:textId="77777777" w:rsidR="003A7486" w:rsidRDefault="003A7486" w:rsidP="00B735D8">
      <w:pPr>
        <w:pStyle w:val="Default"/>
        <w:jc w:val="both"/>
        <w:rPr>
          <w:sz w:val="22"/>
          <w:szCs w:val="22"/>
          <w:lang w:val="es-CR"/>
        </w:rPr>
      </w:pPr>
    </w:p>
    <w:p w14:paraId="38551860" w14:textId="77777777" w:rsidR="003A7486" w:rsidRDefault="003A7486" w:rsidP="00B735D8">
      <w:pPr>
        <w:pStyle w:val="Default"/>
        <w:jc w:val="both"/>
        <w:rPr>
          <w:sz w:val="22"/>
          <w:szCs w:val="22"/>
          <w:lang w:val="es-CR"/>
        </w:rPr>
      </w:pPr>
    </w:p>
    <w:p w14:paraId="79D90248" w14:textId="77777777" w:rsidR="001A31C5" w:rsidRDefault="001A31C5" w:rsidP="00B735D8">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92"/>
        <w:gridCol w:w="2251"/>
        <w:gridCol w:w="1853"/>
      </w:tblGrid>
      <w:tr w:rsidR="001A31C5" w:rsidRPr="001A31C5" w14:paraId="582CAACD" w14:textId="77777777" w:rsidTr="003A748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761EA64"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6269ED4C"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Concepto</w:t>
            </w:r>
          </w:p>
        </w:tc>
        <w:tc>
          <w:tcPr>
            <w:tcW w:w="4104" w:type="dxa"/>
            <w:gridSpan w:val="2"/>
            <w:tcBorders>
              <w:top w:val="single" w:sz="8" w:space="0" w:color="auto"/>
              <w:left w:val="nil"/>
              <w:bottom w:val="single" w:sz="8" w:space="0" w:color="auto"/>
              <w:right w:val="single" w:sz="8" w:space="0" w:color="000000"/>
            </w:tcBorders>
            <w:shd w:val="clear" w:color="000000" w:fill="203764"/>
            <w:vAlign w:val="center"/>
            <w:hideMark/>
          </w:tcPr>
          <w:p w14:paraId="14C156D3"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Referencia</w:t>
            </w:r>
          </w:p>
        </w:tc>
      </w:tr>
      <w:tr w:rsidR="001A31C5" w:rsidRPr="006E5442" w14:paraId="3E18AA40" w14:textId="77777777" w:rsidTr="003A7486">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4A1659F" w14:textId="77777777" w:rsidR="001A31C5" w:rsidRPr="001A31C5" w:rsidRDefault="001A31C5" w:rsidP="001A31C5">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7EC454DB" w14:textId="77777777" w:rsidR="001A31C5" w:rsidRPr="001A31C5" w:rsidRDefault="001A31C5" w:rsidP="001A31C5">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4CF85C6E"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6EFEC000" w14:textId="77777777" w:rsidR="001A31C5" w:rsidRPr="001A31C5" w:rsidRDefault="001A31C5" w:rsidP="001A31C5">
            <w:pPr>
              <w:jc w:val="center"/>
              <w:rPr>
                <w:rFonts w:ascii="Arial Narrow" w:eastAsia="Times New Roman" w:hAnsi="Arial Narrow" w:cs="Calibri"/>
                <w:b/>
                <w:bCs/>
                <w:color w:val="FFFFFF"/>
                <w:sz w:val="22"/>
                <w:szCs w:val="22"/>
                <w:lang w:val="es-CR"/>
              </w:rPr>
            </w:pPr>
            <w:r w:rsidRPr="001A31C5">
              <w:rPr>
                <w:rFonts w:ascii="Arial Narrow" w:eastAsia="Times New Roman" w:hAnsi="Arial Narrow" w:cs="Calibri"/>
                <w:b/>
                <w:bCs/>
                <w:color w:val="FFFFFF"/>
                <w:sz w:val="22"/>
                <w:szCs w:val="22"/>
                <w:lang w:val="es-CR"/>
              </w:rPr>
              <w:t>Normativa técnica y disposiciones adicionales</w:t>
            </w:r>
          </w:p>
        </w:tc>
      </w:tr>
      <w:tr w:rsidR="001A31C5" w:rsidRPr="001A31C5" w14:paraId="10809384" w14:textId="77777777" w:rsidTr="003A748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48229B"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1164677B"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73</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3E2A4FC"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xml:space="preserve"> </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38E04671" w14:textId="77777777" w:rsidR="001A31C5" w:rsidRPr="001A31C5" w:rsidRDefault="001A31C5" w:rsidP="001A31C5">
            <w:pPr>
              <w:jc w:val="both"/>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Bases Comparables</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019FBD1E" w14:textId="77777777" w:rsidR="0073700C" w:rsidRDefault="001A31C5" w:rsidP="001A31C5">
            <w:pPr>
              <w:jc w:val="both"/>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xml:space="preserve">NICSP N° 24, </w:t>
            </w:r>
          </w:p>
          <w:p w14:paraId="0EFB304D" w14:textId="0B7AD08F" w:rsidR="001A31C5" w:rsidRPr="001A31C5" w:rsidRDefault="001A31C5" w:rsidP="001A31C5">
            <w:pPr>
              <w:jc w:val="both"/>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Párrafo 31.</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5578A5E1"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w:t>
            </w:r>
          </w:p>
        </w:tc>
      </w:tr>
    </w:tbl>
    <w:p w14:paraId="5C357C8B" w14:textId="77777777" w:rsidR="001A31C5" w:rsidRDefault="001A31C5" w:rsidP="00B735D8">
      <w:pPr>
        <w:pStyle w:val="Default"/>
        <w:jc w:val="both"/>
        <w:rPr>
          <w:sz w:val="22"/>
          <w:szCs w:val="22"/>
          <w:lang w:val="es-CR"/>
        </w:rPr>
      </w:pPr>
    </w:p>
    <w:p w14:paraId="3652F13A" w14:textId="52E7C138" w:rsidR="003A7486" w:rsidRDefault="003A7486" w:rsidP="003A7486">
      <w:pPr>
        <w:pStyle w:val="Default"/>
        <w:ind w:left="1134" w:hanging="1134"/>
        <w:jc w:val="both"/>
        <w:rPr>
          <w:rFonts w:eastAsia="Arial"/>
          <w:b/>
          <w:sz w:val="22"/>
          <w:szCs w:val="22"/>
        </w:rPr>
      </w:pPr>
      <w:r w:rsidRPr="00F02F9D">
        <w:rPr>
          <w:rFonts w:eastAsia="Arial"/>
          <w:b/>
          <w:sz w:val="22"/>
          <w:szCs w:val="22"/>
        </w:rPr>
        <w:t>Política Contable</w:t>
      </w:r>
    </w:p>
    <w:p w14:paraId="3B0E800B" w14:textId="77777777" w:rsidR="003A7486" w:rsidRPr="00B735D8" w:rsidRDefault="003A7486" w:rsidP="00B735D8">
      <w:pPr>
        <w:pStyle w:val="Default"/>
        <w:jc w:val="both"/>
        <w:rPr>
          <w:sz w:val="22"/>
          <w:szCs w:val="22"/>
          <w:lang w:val="es-CR"/>
        </w:rPr>
      </w:pPr>
    </w:p>
    <w:p w14:paraId="0D043FB5" w14:textId="3EEF4656" w:rsidR="00D576D7" w:rsidRPr="0073700C" w:rsidRDefault="0073700C" w:rsidP="0073700C">
      <w:pPr>
        <w:pStyle w:val="Default"/>
        <w:ind w:left="1134" w:hanging="1134"/>
        <w:jc w:val="both"/>
        <w:rPr>
          <w:sz w:val="22"/>
          <w:szCs w:val="22"/>
          <w:lang w:val="es-CR"/>
        </w:rPr>
      </w:pPr>
      <w:r>
        <w:rPr>
          <w:sz w:val="22"/>
          <w:szCs w:val="22"/>
          <w:lang w:val="es-CR"/>
        </w:rPr>
        <w:t>6.73.0.01</w:t>
      </w:r>
      <w:r>
        <w:rPr>
          <w:sz w:val="22"/>
          <w:szCs w:val="22"/>
          <w:lang w:val="es-CR"/>
        </w:rPr>
        <w:tab/>
      </w:r>
      <w:r w:rsidR="001A31C5" w:rsidRPr="0073700C">
        <w:rPr>
          <w:sz w:val="22"/>
          <w:szCs w:val="22"/>
          <w:lang w:val="es-CR"/>
        </w:rPr>
        <w:t>Todas las comparaciones de los importes presupuestados (finales) y ejecutados se presentarán sobre bases comparables al presupuesto inicial y referidos a igual período.</w:t>
      </w:r>
    </w:p>
    <w:p w14:paraId="537E80A1" w14:textId="77777777" w:rsidR="00D62F9A" w:rsidRPr="00B735D8" w:rsidRDefault="00D62F9A" w:rsidP="00B735D8">
      <w:pPr>
        <w:pStyle w:val="Default"/>
        <w:jc w:val="both"/>
        <w:rPr>
          <w:sz w:val="22"/>
          <w:szCs w:val="22"/>
          <w:lang w:val="es-CR"/>
        </w:rPr>
      </w:pPr>
    </w:p>
    <w:p w14:paraId="6B031151" w14:textId="77777777" w:rsidR="00D62F9A" w:rsidRDefault="00D62F9A" w:rsidP="00B735D8">
      <w:pPr>
        <w:pStyle w:val="Default"/>
        <w:jc w:val="both"/>
        <w:rPr>
          <w:sz w:val="22"/>
          <w:szCs w:val="22"/>
          <w:lang w:val="es-CR"/>
        </w:rPr>
      </w:pPr>
    </w:p>
    <w:p w14:paraId="4FBBC76F" w14:textId="77777777" w:rsidR="003A7486" w:rsidRDefault="003A7486" w:rsidP="00B735D8">
      <w:pPr>
        <w:pStyle w:val="Default"/>
        <w:jc w:val="both"/>
        <w:rPr>
          <w:sz w:val="22"/>
          <w:szCs w:val="22"/>
          <w:lang w:val="es-CR"/>
        </w:rPr>
      </w:pPr>
    </w:p>
    <w:p w14:paraId="0C5D12FB" w14:textId="77777777" w:rsidR="003A7486" w:rsidRDefault="003A7486" w:rsidP="00B735D8">
      <w:pPr>
        <w:pStyle w:val="Default"/>
        <w:jc w:val="both"/>
        <w:rPr>
          <w:sz w:val="22"/>
          <w:szCs w:val="22"/>
          <w:lang w:val="es-CR"/>
        </w:rPr>
      </w:pPr>
    </w:p>
    <w:p w14:paraId="5108B045" w14:textId="77777777" w:rsidR="003A7486" w:rsidRDefault="003A7486" w:rsidP="00B735D8">
      <w:pPr>
        <w:pStyle w:val="Default"/>
        <w:jc w:val="both"/>
        <w:rPr>
          <w:sz w:val="22"/>
          <w:szCs w:val="22"/>
          <w:lang w:val="es-CR"/>
        </w:rPr>
      </w:pPr>
    </w:p>
    <w:p w14:paraId="3C1F85BB" w14:textId="77777777" w:rsidR="003A7486" w:rsidRDefault="003A7486" w:rsidP="00B735D8">
      <w:pPr>
        <w:pStyle w:val="Default"/>
        <w:jc w:val="both"/>
        <w:rPr>
          <w:sz w:val="22"/>
          <w:szCs w:val="22"/>
          <w:lang w:val="es-CR"/>
        </w:rPr>
      </w:pPr>
    </w:p>
    <w:p w14:paraId="3F97E765" w14:textId="77777777" w:rsidR="003A7486" w:rsidRDefault="003A7486" w:rsidP="00B735D8">
      <w:pPr>
        <w:pStyle w:val="Default"/>
        <w:jc w:val="both"/>
        <w:rPr>
          <w:sz w:val="22"/>
          <w:szCs w:val="22"/>
          <w:lang w:val="es-CR"/>
        </w:rPr>
      </w:pPr>
    </w:p>
    <w:p w14:paraId="078BE934" w14:textId="77777777" w:rsidR="003A7486" w:rsidRDefault="003A7486" w:rsidP="00B735D8">
      <w:pPr>
        <w:pStyle w:val="Default"/>
        <w:jc w:val="both"/>
        <w:rPr>
          <w:sz w:val="22"/>
          <w:szCs w:val="22"/>
          <w:lang w:val="es-CR"/>
        </w:rPr>
      </w:pPr>
    </w:p>
    <w:p w14:paraId="0C6D0FD2" w14:textId="77777777" w:rsidR="003A7486" w:rsidRPr="00B735D8" w:rsidRDefault="003A7486" w:rsidP="00B735D8">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3673"/>
        <w:gridCol w:w="2237"/>
        <w:gridCol w:w="1886"/>
      </w:tblGrid>
      <w:tr w:rsidR="001A31C5" w:rsidRPr="001A31C5" w14:paraId="484B6419" w14:textId="77777777" w:rsidTr="003A7486">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3C7B282" w14:textId="77777777" w:rsidR="001A31C5" w:rsidRPr="001A31C5" w:rsidRDefault="001A31C5" w:rsidP="009D13CC">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lastRenderedPageBreak/>
              <w:t>Norma / Política</w:t>
            </w:r>
          </w:p>
        </w:tc>
        <w:tc>
          <w:tcPr>
            <w:tcW w:w="3673" w:type="dxa"/>
            <w:vMerge w:val="restart"/>
            <w:tcBorders>
              <w:top w:val="single" w:sz="8" w:space="0" w:color="auto"/>
              <w:left w:val="single" w:sz="8" w:space="0" w:color="auto"/>
              <w:bottom w:val="nil"/>
              <w:right w:val="single" w:sz="8" w:space="0" w:color="auto"/>
            </w:tcBorders>
            <w:shd w:val="clear" w:color="000000" w:fill="203764"/>
            <w:vAlign w:val="center"/>
            <w:hideMark/>
          </w:tcPr>
          <w:p w14:paraId="7F1804AF" w14:textId="77777777" w:rsidR="001A31C5" w:rsidRPr="001A31C5" w:rsidRDefault="001A31C5" w:rsidP="009D13CC">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Concepto</w:t>
            </w:r>
          </w:p>
        </w:tc>
        <w:tc>
          <w:tcPr>
            <w:tcW w:w="4123" w:type="dxa"/>
            <w:gridSpan w:val="2"/>
            <w:tcBorders>
              <w:top w:val="single" w:sz="8" w:space="0" w:color="auto"/>
              <w:left w:val="nil"/>
              <w:bottom w:val="single" w:sz="8" w:space="0" w:color="auto"/>
              <w:right w:val="single" w:sz="8" w:space="0" w:color="000000"/>
            </w:tcBorders>
            <w:shd w:val="clear" w:color="000000" w:fill="203764"/>
            <w:vAlign w:val="center"/>
            <w:hideMark/>
          </w:tcPr>
          <w:p w14:paraId="57789726" w14:textId="77777777" w:rsidR="001A31C5" w:rsidRPr="001A31C5" w:rsidRDefault="001A31C5" w:rsidP="009D13CC">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Referencia</w:t>
            </w:r>
          </w:p>
        </w:tc>
      </w:tr>
      <w:tr w:rsidR="001A31C5" w:rsidRPr="006E5442" w14:paraId="362204AF" w14:textId="77777777" w:rsidTr="003A7486">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0F4BDE03" w14:textId="77777777" w:rsidR="001A31C5" w:rsidRPr="001A31C5" w:rsidRDefault="001A31C5" w:rsidP="009D13CC">
            <w:pPr>
              <w:rPr>
                <w:rFonts w:ascii="Arial Narrow" w:eastAsia="Times New Roman" w:hAnsi="Arial Narrow" w:cs="Calibri"/>
                <w:b/>
                <w:bCs/>
                <w:color w:val="FFFFFF"/>
                <w:sz w:val="22"/>
                <w:szCs w:val="22"/>
              </w:rPr>
            </w:pPr>
          </w:p>
        </w:tc>
        <w:tc>
          <w:tcPr>
            <w:tcW w:w="3673" w:type="dxa"/>
            <w:vMerge/>
            <w:tcBorders>
              <w:top w:val="single" w:sz="8" w:space="0" w:color="auto"/>
              <w:left w:val="single" w:sz="8" w:space="0" w:color="auto"/>
              <w:bottom w:val="nil"/>
              <w:right w:val="single" w:sz="8" w:space="0" w:color="auto"/>
            </w:tcBorders>
            <w:vAlign w:val="center"/>
            <w:hideMark/>
          </w:tcPr>
          <w:p w14:paraId="6C90E524" w14:textId="77777777" w:rsidR="001A31C5" w:rsidRPr="001A31C5" w:rsidRDefault="001A31C5" w:rsidP="009D13CC">
            <w:pPr>
              <w:rPr>
                <w:rFonts w:ascii="Arial Narrow" w:eastAsia="Times New Roman" w:hAnsi="Arial Narrow" w:cs="Calibri"/>
                <w:b/>
                <w:bCs/>
                <w:color w:val="FFFFFF"/>
                <w:sz w:val="22"/>
                <w:szCs w:val="22"/>
              </w:rPr>
            </w:pPr>
          </w:p>
        </w:tc>
        <w:tc>
          <w:tcPr>
            <w:tcW w:w="2237" w:type="dxa"/>
            <w:tcBorders>
              <w:top w:val="nil"/>
              <w:left w:val="nil"/>
              <w:bottom w:val="nil"/>
              <w:right w:val="single" w:sz="8" w:space="0" w:color="auto"/>
            </w:tcBorders>
            <w:shd w:val="clear" w:color="000000" w:fill="203764"/>
            <w:vAlign w:val="center"/>
            <w:hideMark/>
          </w:tcPr>
          <w:p w14:paraId="0DB37DEF" w14:textId="77777777" w:rsidR="001A31C5" w:rsidRPr="001A31C5" w:rsidRDefault="001A31C5" w:rsidP="009D13CC">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Norma</w:t>
            </w:r>
          </w:p>
        </w:tc>
        <w:tc>
          <w:tcPr>
            <w:tcW w:w="1886" w:type="dxa"/>
            <w:tcBorders>
              <w:top w:val="nil"/>
              <w:left w:val="nil"/>
              <w:bottom w:val="nil"/>
              <w:right w:val="single" w:sz="8" w:space="0" w:color="auto"/>
            </w:tcBorders>
            <w:shd w:val="clear" w:color="000000" w:fill="203764"/>
            <w:vAlign w:val="center"/>
            <w:hideMark/>
          </w:tcPr>
          <w:p w14:paraId="39F2E402" w14:textId="77777777" w:rsidR="001A31C5" w:rsidRPr="001A31C5" w:rsidRDefault="001A31C5" w:rsidP="009D13CC">
            <w:pPr>
              <w:jc w:val="center"/>
              <w:rPr>
                <w:rFonts w:ascii="Arial Narrow" w:eastAsia="Times New Roman" w:hAnsi="Arial Narrow" w:cs="Calibri"/>
                <w:b/>
                <w:bCs/>
                <w:color w:val="FFFFFF"/>
                <w:sz w:val="22"/>
                <w:szCs w:val="22"/>
                <w:lang w:val="es-CR"/>
              </w:rPr>
            </w:pPr>
            <w:r w:rsidRPr="001A31C5">
              <w:rPr>
                <w:rFonts w:ascii="Arial Narrow" w:eastAsia="Times New Roman" w:hAnsi="Arial Narrow" w:cs="Calibri"/>
                <w:b/>
                <w:bCs/>
                <w:color w:val="FFFFFF"/>
                <w:sz w:val="22"/>
                <w:szCs w:val="22"/>
                <w:lang w:val="es-CR"/>
              </w:rPr>
              <w:t>Normativa técnica y disposiciones adicionales</w:t>
            </w:r>
          </w:p>
        </w:tc>
      </w:tr>
      <w:tr w:rsidR="001A31C5" w:rsidRPr="001A31C5" w14:paraId="3A5D7EB4" w14:textId="77777777" w:rsidTr="003A7486">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1A6CE3" w14:textId="77777777" w:rsidR="001A31C5" w:rsidRPr="001A31C5" w:rsidRDefault="001A31C5" w:rsidP="009D13CC">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AD02CF6" w14:textId="39A14865" w:rsidR="001A31C5" w:rsidRPr="001A31C5" w:rsidRDefault="001A31C5" w:rsidP="009D13CC">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7</w:t>
            </w:r>
            <w:r>
              <w:rPr>
                <w:rFonts w:ascii="Arial Narrow" w:eastAsia="Times New Roman" w:hAnsi="Arial Narrow" w:cs="Calibri"/>
                <w:b/>
                <w:bCs/>
                <w:color w:val="000000"/>
                <w:sz w:val="22"/>
                <w:szCs w:val="22"/>
              </w:rPr>
              <w:t>4</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F59B3CD" w14:textId="77777777" w:rsidR="001A31C5" w:rsidRPr="001A31C5" w:rsidRDefault="001A31C5" w:rsidP="009D13CC">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xml:space="preserve"> </w:t>
            </w:r>
          </w:p>
        </w:tc>
        <w:tc>
          <w:tcPr>
            <w:tcW w:w="3673" w:type="dxa"/>
            <w:tcBorders>
              <w:top w:val="single" w:sz="8" w:space="0" w:color="auto"/>
              <w:left w:val="nil"/>
              <w:bottom w:val="single" w:sz="8" w:space="0" w:color="auto"/>
              <w:right w:val="single" w:sz="8" w:space="0" w:color="auto"/>
            </w:tcBorders>
            <w:shd w:val="clear" w:color="auto" w:fill="auto"/>
            <w:vAlign w:val="center"/>
            <w:hideMark/>
          </w:tcPr>
          <w:p w14:paraId="2F53C8E4" w14:textId="2BED91DF" w:rsidR="001A31C5" w:rsidRPr="001A31C5" w:rsidRDefault="001A31C5" w:rsidP="009D13CC">
            <w:pPr>
              <w:jc w:val="both"/>
              <w:rPr>
                <w:rFonts w:ascii="Arial Narrow" w:eastAsia="Times New Roman" w:hAnsi="Arial Narrow" w:cs="Calibri"/>
                <w:b/>
                <w:bCs/>
                <w:color w:val="000000"/>
                <w:sz w:val="22"/>
                <w:szCs w:val="22"/>
                <w:lang w:val="es-CR"/>
              </w:rPr>
            </w:pPr>
            <w:r w:rsidRPr="001A31C5">
              <w:rPr>
                <w:rFonts w:ascii="Arial Narrow" w:eastAsia="Times New Roman" w:hAnsi="Arial Narrow" w:cs="Calibri"/>
                <w:b/>
                <w:bCs/>
                <w:color w:val="000000"/>
                <w:sz w:val="22"/>
                <w:szCs w:val="22"/>
                <w:lang w:val="es-CR"/>
              </w:rPr>
              <w:t>Compromisos no devengados al c</w:t>
            </w:r>
            <w:r>
              <w:rPr>
                <w:rFonts w:ascii="Arial Narrow" w:eastAsia="Times New Roman" w:hAnsi="Arial Narrow" w:cs="Calibri"/>
                <w:b/>
                <w:bCs/>
                <w:color w:val="000000"/>
                <w:sz w:val="22"/>
                <w:szCs w:val="22"/>
                <w:lang w:val="es-CR"/>
              </w:rPr>
              <w:t>ierre</w:t>
            </w:r>
          </w:p>
        </w:tc>
        <w:tc>
          <w:tcPr>
            <w:tcW w:w="2237" w:type="dxa"/>
            <w:tcBorders>
              <w:top w:val="single" w:sz="8" w:space="0" w:color="auto"/>
              <w:left w:val="nil"/>
              <w:bottom w:val="single" w:sz="8" w:space="0" w:color="auto"/>
              <w:right w:val="single" w:sz="8" w:space="0" w:color="auto"/>
            </w:tcBorders>
            <w:shd w:val="clear" w:color="auto" w:fill="auto"/>
            <w:vAlign w:val="center"/>
            <w:hideMark/>
          </w:tcPr>
          <w:p w14:paraId="3C4EB1C3" w14:textId="02484FB8" w:rsidR="001A31C5" w:rsidRPr="001A31C5" w:rsidRDefault="001A31C5" w:rsidP="009D13CC">
            <w:pPr>
              <w:jc w:val="both"/>
              <w:rPr>
                <w:rFonts w:ascii="Arial Narrow" w:eastAsia="Times New Roman" w:hAnsi="Arial Narrow" w:cs="Calibri"/>
                <w:b/>
                <w:bCs/>
                <w:color w:val="000000"/>
                <w:sz w:val="22"/>
                <w:szCs w:val="22"/>
                <w:lang w:val="es-CR"/>
              </w:rPr>
            </w:pPr>
          </w:p>
        </w:tc>
        <w:tc>
          <w:tcPr>
            <w:tcW w:w="1886" w:type="dxa"/>
            <w:tcBorders>
              <w:top w:val="single" w:sz="8" w:space="0" w:color="auto"/>
              <w:left w:val="nil"/>
              <w:bottom w:val="single" w:sz="8" w:space="0" w:color="auto"/>
              <w:right w:val="single" w:sz="8" w:space="0" w:color="auto"/>
            </w:tcBorders>
            <w:shd w:val="clear" w:color="auto" w:fill="auto"/>
            <w:vAlign w:val="center"/>
            <w:hideMark/>
          </w:tcPr>
          <w:p w14:paraId="7E72FF4E" w14:textId="3A07D0F1" w:rsidR="005F3F7D" w:rsidRDefault="005F3F7D" w:rsidP="001A31C5">
            <w:pPr>
              <w:pStyle w:val="Default"/>
              <w:jc w:val="center"/>
              <w:rPr>
                <w:b/>
                <w:bCs/>
                <w:sz w:val="22"/>
                <w:szCs w:val="22"/>
              </w:rPr>
            </w:pPr>
            <w:r>
              <w:rPr>
                <w:b/>
                <w:bCs/>
                <w:sz w:val="22"/>
                <w:szCs w:val="22"/>
              </w:rPr>
              <w:t>Código Municipal</w:t>
            </w:r>
          </w:p>
          <w:p w14:paraId="2A71F23F" w14:textId="4E571950" w:rsidR="001A31C5" w:rsidRDefault="001A31C5" w:rsidP="001A31C5">
            <w:pPr>
              <w:pStyle w:val="Default"/>
              <w:jc w:val="center"/>
              <w:rPr>
                <w:sz w:val="22"/>
                <w:szCs w:val="22"/>
              </w:rPr>
            </w:pPr>
            <w:r>
              <w:rPr>
                <w:b/>
                <w:bCs/>
                <w:sz w:val="22"/>
                <w:szCs w:val="22"/>
              </w:rPr>
              <w:t xml:space="preserve">RLAFRPP </w:t>
            </w:r>
          </w:p>
          <w:p w14:paraId="32066500" w14:textId="50F0001E" w:rsidR="001A31C5" w:rsidRPr="001A31C5" w:rsidRDefault="001A31C5" w:rsidP="009D13CC">
            <w:pPr>
              <w:jc w:val="center"/>
              <w:rPr>
                <w:rFonts w:ascii="Arial Narrow" w:eastAsia="Times New Roman" w:hAnsi="Arial Narrow" w:cs="Calibri"/>
                <w:b/>
                <w:bCs/>
                <w:color w:val="000000"/>
                <w:sz w:val="22"/>
                <w:szCs w:val="22"/>
              </w:rPr>
            </w:pPr>
          </w:p>
        </w:tc>
      </w:tr>
    </w:tbl>
    <w:p w14:paraId="26AD3F64" w14:textId="77777777" w:rsidR="00D62F9A" w:rsidRDefault="00D62F9A" w:rsidP="00D033EC">
      <w:pPr>
        <w:pStyle w:val="Default"/>
        <w:jc w:val="both"/>
        <w:rPr>
          <w:sz w:val="23"/>
          <w:szCs w:val="23"/>
          <w:lang w:val="es-CR"/>
        </w:rPr>
      </w:pPr>
    </w:p>
    <w:p w14:paraId="602B973E" w14:textId="395780C1" w:rsidR="003A7486" w:rsidRDefault="003A7486" w:rsidP="003A7486">
      <w:pPr>
        <w:pStyle w:val="Default"/>
        <w:ind w:left="1134" w:hanging="1134"/>
        <w:jc w:val="both"/>
        <w:rPr>
          <w:rFonts w:eastAsia="Arial"/>
          <w:b/>
          <w:sz w:val="22"/>
          <w:szCs w:val="22"/>
        </w:rPr>
      </w:pPr>
      <w:r w:rsidRPr="00F02F9D">
        <w:rPr>
          <w:rFonts w:eastAsia="Arial"/>
          <w:b/>
          <w:sz w:val="22"/>
          <w:szCs w:val="22"/>
        </w:rPr>
        <w:t>Política Contable</w:t>
      </w:r>
    </w:p>
    <w:p w14:paraId="0253B3F6" w14:textId="77777777" w:rsidR="003A7486" w:rsidRDefault="003A7486" w:rsidP="00D033EC">
      <w:pPr>
        <w:pStyle w:val="Default"/>
        <w:jc w:val="both"/>
        <w:rPr>
          <w:sz w:val="23"/>
          <w:szCs w:val="23"/>
          <w:lang w:val="es-CR"/>
        </w:rPr>
      </w:pPr>
    </w:p>
    <w:p w14:paraId="5B63C4F7" w14:textId="5FDB7167" w:rsidR="00D62F9A" w:rsidRPr="0073700C" w:rsidRDefault="0073700C" w:rsidP="0073700C">
      <w:pPr>
        <w:pStyle w:val="Default"/>
        <w:ind w:left="1134" w:hanging="1134"/>
        <w:jc w:val="both"/>
        <w:rPr>
          <w:sz w:val="22"/>
          <w:szCs w:val="22"/>
          <w:lang w:val="es-CR"/>
        </w:rPr>
      </w:pPr>
      <w:r>
        <w:rPr>
          <w:sz w:val="22"/>
          <w:szCs w:val="22"/>
          <w:lang w:val="es-CR"/>
        </w:rPr>
        <w:t>6.73.0.01</w:t>
      </w:r>
      <w:r>
        <w:rPr>
          <w:sz w:val="22"/>
          <w:szCs w:val="22"/>
          <w:lang w:val="es-CR"/>
        </w:rPr>
        <w:tab/>
      </w:r>
      <w:r w:rsidR="001A31C5" w:rsidRPr="0073700C">
        <w:rPr>
          <w:sz w:val="22"/>
          <w:szCs w:val="22"/>
          <w:lang w:val="es-CR"/>
        </w:rPr>
        <w:t>Son los compromisos contractuales no reconocidos contablemente al cierre del ejercicio.</w:t>
      </w:r>
    </w:p>
    <w:p w14:paraId="0B0DBD93" w14:textId="77777777" w:rsidR="00D62F9A" w:rsidRDefault="00D62F9A" w:rsidP="00D033EC">
      <w:pPr>
        <w:pStyle w:val="Default"/>
        <w:jc w:val="both"/>
        <w:rPr>
          <w:sz w:val="23"/>
          <w:szCs w:val="23"/>
          <w:lang w:val="es-CR"/>
        </w:rPr>
      </w:pPr>
    </w:p>
    <w:p w14:paraId="719858FB" w14:textId="77777777" w:rsidR="00D62F9A" w:rsidRDefault="00D62F9A" w:rsidP="00D033EC">
      <w:pPr>
        <w:pStyle w:val="Default"/>
        <w:jc w:val="both"/>
        <w:rPr>
          <w:sz w:val="23"/>
          <w:szCs w:val="23"/>
          <w:lang w:val="es-CR"/>
        </w:rPr>
      </w:pPr>
    </w:p>
    <w:p w14:paraId="4DEC708B" w14:textId="77777777" w:rsidR="00D62F9A" w:rsidRDefault="00D62F9A"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92"/>
        <w:gridCol w:w="2252"/>
        <w:gridCol w:w="1852"/>
      </w:tblGrid>
      <w:tr w:rsidR="001A31C5" w:rsidRPr="001A31C5" w14:paraId="35C5DB6A" w14:textId="77777777" w:rsidTr="005F3F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7B55AD8"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Norma / Política</w:t>
            </w:r>
          </w:p>
        </w:tc>
        <w:tc>
          <w:tcPr>
            <w:tcW w:w="36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636AE3CA"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Concepto</w:t>
            </w:r>
          </w:p>
        </w:tc>
        <w:tc>
          <w:tcPr>
            <w:tcW w:w="4104" w:type="dxa"/>
            <w:gridSpan w:val="2"/>
            <w:tcBorders>
              <w:top w:val="single" w:sz="8" w:space="0" w:color="auto"/>
              <w:left w:val="nil"/>
              <w:bottom w:val="single" w:sz="8" w:space="0" w:color="auto"/>
              <w:right w:val="single" w:sz="8" w:space="0" w:color="000000"/>
            </w:tcBorders>
            <w:shd w:val="clear" w:color="000000" w:fill="203764"/>
            <w:vAlign w:val="center"/>
            <w:hideMark/>
          </w:tcPr>
          <w:p w14:paraId="16B195A0"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Referencia</w:t>
            </w:r>
          </w:p>
        </w:tc>
      </w:tr>
      <w:tr w:rsidR="001A31C5" w:rsidRPr="006E5442" w14:paraId="4FA27ADF" w14:textId="77777777" w:rsidTr="005F3F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027F4582" w14:textId="77777777" w:rsidR="001A31C5" w:rsidRPr="001A31C5" w:rsidRDefault="001A31C5" w:rsidP="001A31C5">
            <w:pPr>
              <w:rPr>
                <w:rFonts w:ascii="Arial Narrow" w:eastAsia="Times New Roman" w:hAnsi="Arial Narrow" w:cs="Calibri"/>
                <w:b/>
                <w:bCs/>
                <w:color w:val="FFFFFF"/>
                <w:sz w:val="22"/>
                <w:szCs w:val="22"/>
              </w:rPr>
            </w:pPr>
          </w:p>
        </w:tc>
        <w:tc>
          <w:tcPr>
            <w:tcW w:w="3692" w:type="dxa"/>
            <w:vMerge/>
            <w:tcBorders>
              <w:top w:val="single" w:sz="8" w:space="0" w:color="auto"/>
              <w:left w:val="single" w:sz="8" w:space="0" w:color="auto"/>
              <w:bottom w:val="nil"/>
              <w:right w:val="single" w:sz="8" w:space="0" w:color="auto"/>
            </w:tcBorders>
            <w:vAlign w:val="center"/>
            <w:hideMark/>
          </w:tcPr>
          <w:p w14:paraId="679A3117" w14:textId="77777777" w:rsidR="001A31C5" w:rsidRPr="001A31C5" w:rsidRDefault="001A31C5" w:rsidP="001A31C5">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215A2749" w14:textId="77777777" w:rsidR="001A31C5" w:rsidRPr="001A31C5" w:rsidRDefault="001A31C5" w:rsidP="001A31C5">
            <w:pPr>
              <w:jc w:val="center"/>
              <w:rPr>
                <w:rFonts w:ascii="Arial Narrow" w:eastAsia="Times New Roman" w:hAnsi="Arial Narrow" w:cs="Calibri"/>
                <w:b/>
                <w:bCs/>
                <w:color w:val="FFFFFF"/>
                <w:sz w:val="22"/>
                <w:szCs w:val="22"/>
              </w:rPr>
            </w:pPr>
            <w:r w:rsidRPr="001A31C5">
              <w:rPr>
                <w:rFonts w:ascii="Arial Narrow" w:eastAsia="Times New Roman" w:hAnsi="Arial Narrow" w:cs="Calibri"/>
                <w:b/>
                <w:bCs/>
                <w:color w:val="FFFFFF"/>
                <w:sz w:val="22"/>
                <w:szCs w:val="22"/>
              </w:rPr>
              <w:t>Norma</w:t>
            </w:r>
          </w:p>
        </w:tc>
        <w:tc>
          <w:tcPr>
            <w:tcW w:w="1852" w:type="dxa"/>
            <w:tcBorders>
              <w:top w:val="nil"/>
              <w:left w:val="nil"/>
              <w:bottom w:val="nil"/>
              <w:right w:val="single" w:sz="8" w:space="0" w:color="auto"/>
            </w:tcBorders>
            <w:shd w:val="clear" w:color="000000" w:fill="203764"/>
            <w:vAlign w:val="center"/>
            <w:hideMark/>
          </w:tcPr>
          <w:p w14:paraId="1AA1E387" w14:textId="77777777" w:rsidR="001A31C5" w:rsidRPr="001A31C5" w:rsidRDefault="001A31C5" w:rsidP="001A31C5">
            <w:pPr>
              <w:jc w:val="center"/>
              <w:rPr>
                <w:rFonts w:ascii="Arial Narrow" w:eastAsia="Times New Roman" w:hAnsi="Arial Narrow" w:cs="Calibri"/>
                <w:b/>
                <w:bCs/>
                <w:color w:val="FFFFFF"/>
                <w:sz w:val="22"/>
                <w:szCs w:val="22"/>
                <w:lang w:val="es-CR"/>
              </w:rPr>
            </w:pPr>
            <w:r w:rsidRPr="001A31C5">
              <w:rPr>
                <w:rFonts w:ascii="Arial Narrow" w:eastAsia="Times New Roman" w:hAnsi="Arial Narrow" w:cs="Calibri"/>
                <w:b/>
                <w:bCs/>
                <w:color w:val="FFFFFF"/>
                <w:sz w:val="22"/>
                <w:szCs w:val="22"/>
                <w:lang w:val="es-CR"/>
              </w:rPr>
              <w:t>Normativa técnica y disposiciones adicionales</w:t>
            </w:r>
          </w:p>
        </w:tc>
      </w:tr>
      <w:tr w:rsidR="001A31C5" w:rsidRPr="001A31C5" w14:paraId="1F8A0F67"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50AC22"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CE85623"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75</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83D68FC"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xml:space="preserve"> </w:t>
            </w:r>
          </w:p>
        </w:tc>
        <w:tc>
          <w:tcPr>
            <w:tcW w:w="3692" w:type="dxa"/>
            <w:tcBorders>
              <w:top w:val="single" w:sz="8" w:space="0" w:color="auto"/>
              <w:left w:val="nil"/>
              <w:bottom w:val="single" w:sz="8" w:space="0" w:color="auto"/>
              <w:right w:val="single" w:sz="8" w:space="0" w:color="auto"/>
            </w:tcBorders>
            <w:shd w:val="clear" w:color="auto" w:fill="auto"/>
            <w:vAlign w:val="center"/>
            <w:hideMark/>
          </w:tcPr>
          <w:p w14:paraId="46F17772" w14:textId="77777777" w:rsidR="001A31C5" w:rsidRPr="001A31C5" w:rsidRDefault="001A31C5" w:rsidP="001A31C5">
            <w:pPr>
              <w:jc w:val="both"/>
              <w:rPr>
                <w:rFonts w:ascii="Arial Narrow" w:eastAsia="Times New Roman" w:hAnsi="Arial Narrow" w:cs="Calibri"/>
                <w:b/>
                <w:bCs/>
                <w:color w:val="000000"/>
                <w:sz w:val="22"/>
                <w:szCs w:val="22"/>
                <w:lang w:val="es-CR"/>
              </w:rPr>
            </w:pPr>
            <w:r w:rsidRPr="001A31C5">
              <w:rPr>
                <w:rFonts w:ascii="Arial Narrow" w:eastAsia="Times New Roman" w:hAnsi="Arial Narrow" w:cs="Calibri"/>
                <w:b/>
                <w:bCs/>
                <w:color w:val="000000"/>
                <w:sz w:val="22"/>
                <w:szCs w:val="22"/>
                <w:lang w:val="es-CR"/>
              </w:rPr>
              <w:t>Información presupuestaria integrada con los EEFF principales</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41D58DDB" w14:textId="77777777" w:rsidR="00B33B54" w:rsidRPr="00B33B54" w:rsidRDefault="00B33B54" w:rsidP="00B33B54">
            <w:pPr>
              <w:jc w:val="both"/>
              <w:rPr>
                <w:rFonts w:ascii="Arial Narrow" w:eastAsia="Times New Roman" w:hAnsi="Arial Narrow" w:cs="Calibri"/>
                <w:b/>
                <w:bCs/>
                <w:color w:val="000000"/>
                <w:sz w:val="22"/>
                <w:szCs w:val="22"/>
              </w:rPr>
            </w:pPr>
            <w:r w:rsidRPr="00B33B54">
              <w:rPr>
                <w:rFonts w:ascii="Arial Narrow" w:eastAsia="Times New Roman" w:hAnsi="Arial Narrow" w:cs="Calibri"/>
                <w:b/>
                <w:bCs/>
                <w:color w:val="000000"/>
                <w:sz w:val="22"/>
                <w:szCs w:val="22"/>
              </w:rPr>
              <w:t xml:space="preserve">NICSP N° 24, </w:t>
            </w:r>
          </w:p>
          <w:p w14:paraId="38801978" w14:textId="4EE56E35" w:rsidR="001A31C5" w:rsidRPr="001A31C5" w:rsidRDefault="00B33B54" w:rsidP="00B33B54">
            <w:pPr>
              <w:jc w:val="both"/>
              <w:rPr>
                <w:rFonts w:ascii="Arial Narrow" w:eastAsia="Times New Roman" w:hAnsi="Arial Narrow" w:cs="Calibri"/>
                <w:b/>
                <w:bCs/>
                <w:color w:val="000000"/>
                <w:sz w:val="22"/>
                <w:szCs w:val="22"/>
              </w:rPr>
            </w:pPr>
            <w:r w:rsidRPr="00B33B54">
              <w:rPr>
                <w:rFonts w:ascii="Arial Narrow" w:eastAsia="Times New Roman" w:hAnsi="Arial Narrow" w:cs="Calibri"/>
                <w:b/>
                <w:bCs/>
                <w:color w:val="000000"/>
                <w:sz w:val="22"/>
                <w:szCs w:val="22"/>
              </w:rPr>
              <w:t xml:space="preserve">Párrafos 21 y 22. </w:t>
            </w:r>
          </w:p>
        </w:tc>
        <w:tc>
          <w:tcPr>
            <w:tcW w:w="1852" w:type="dxa"/>
            <w:tcBorders>
              <w:top w:val="single" w:sz="8" w:space="0" w:color="auto"/>
              <w:left w:val="nil"/>
              <w:bottom w:val="single" w:sz="8" w:space="0" w:color="auto"/>
              <w:right w:val="single" w:sz="8" w:space="0" w:color="auto"/>
            </w:tcBorders>
            <w:shd w:val="clear" w:color="auto" w:fill="auto"/>
            <w:vAlign w:val="center"/>
            <w:hideMark/>
          </w:tcPr>
          <w:p w14:paraId="255DEE42" w14:textId="77777777" w:rsidR="001A31C5" w:rsidRPr="001A31C5" w:rsidRDefault="001A31C5" w:rsidP="001A31C5">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w:t>
            </w:r>
          </w:p>
        </w:tc>
      </w:tr>
      <w:tr w:rsidR="00B33B54" w:rsidRPr="00B33B54" w14:paraId="6AAEA6B7"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tcPr>
          <w:p w14:paraId="2B056409" w14:textId="0F61B1C6" w:rsidR="00B33B54" w:rsidRPr="001A31C5" w:rsidRDefault="00B33B54" w:rsidP="00B33B54">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tcPr>
          <w:p w14:paraId="08DB6672" w14:textId="31EDA8CF" w:rsidR="00B33B54" w:rsidRPr="001A31C5" w:rsidRDefault="00B33B54" w:rsidP="00B33B54">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75</w:t>
            </w:r>
          </w:p>
        </w:tc>
        <w:tc>
          <w:tcPr>
            <w:tcW w:w="426" w:type="dxa"/>
            <w:tcBorders>
              <w:top w:val="single" w:sz="8" w:space="0" w:color="auto"/>
              <w:left w:val="nil"/>
              <w:bottom w:val="single" w:sz="8" w:space="0" w:color="auto"/>
              <w:right w:val="single" w:sz="8" w:space="0" w:color="auto"/>
            </w:tcBorders>
            <w:shd w:val="clear" w:color="auto" w:fill="auto"/>
            <w:vAlign w:val="center"/>
          </w:tcPr>
          <w:p w14:paraId="63F5C73A" w14:textId="7AE93F08" w:rsidR="00B33B54" w:rsidRPr="001A31C5" w:rsidRDefault="00B33B54" w:rsidP="00B33B54">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1</w:t>
            </w:r>
          </w:p>
        </w:tc>
        <w:tc>
          <w:tcPr>
            <w:tcW w:w="3692" w:type="dxa"/>
            <w:tcBorders>
              <w:top w:val="single" w:sz="8" w:space="0" w:color="auto"/>
              <w:left w:val="nil"/>
              <w:bottom w:val="single" w:sz="8" w:space="0" w:color="auto"/>
              <w:right w:val="single" w:sz="8" w:space="0" w:color="auto"/>
            </w:tcBorders>
            <w:shd w:val="clear" w:color="auto" w:fill="auto"/>
            <w:vAlign w:val="center"/>
          </w:tcPr>
          <w:p w14:paraId="66E8F587" w14:textId="3337F2AB" w:rsidR="00B33B54" w:rsidRPr="00B33B54" w:rsidRDefault="00B33B54" w:rsidP="00B33B54">
            <w:pPr>
              <w:jc w:val="both"/>
              <w:rPr>
                <w:rFonts w:ascii="Arial Narrow" w:eastAsia="Times New Roman" w:hAnsi="Arial Narrow" w:cs="Calibri"/>
                <w:b/>
                <w:bCs/>
                <w:color w:val="000000"/>
                <w:sz w:val="22"/>
                <w:szCs w:val="22"/>
                <w:lang w:val="es-CR"/>
              </w:rPr>
            </w:pPr>
            <w:r w:rsidRPr="00B33B54">
              <w:rPr>
                <w:rFonts w:ascii="Arial Narrow" w:eastAsia="Times New Roman" w:hAnsi="Arial Narrow" w:cs="Calibri"/>
                <w:b/>
                <w:bCs/>
                <w:color w:val="000000"/>
                <w:sz w:val="22"/>
                <w:szCs w:val="22"/>
                <w:lang w:val="es-CR"/>
              </w:rPr>
              <w:t xml:space="preserve">Presentación del EEP e información según otros clasificadores </w:t>
            </w:r>
          </w:p>
        </w:tc>
        <w:tc>
          <w:tcPr>
            <w:tcW w:w="2252" w:type="dxa"/>
            <w:tcBorders>
              <w:top w:val="single" w:sz="8" w:space="0" w:color="auto"/>
              <w:left w:val="nil"/>
              <w:bottom w:val="single" w:sz="8" w:space="0" w:color="auto"/>
              <w:right w:val="single" w:sz="8" w:space="0" w:color="auto"/>
            </w:tcBorders>
            <w:shd w:val="clear" w:color="auto" w:fill="auto"/>
            <w:vAlign w:val="center"/>
          </w:tcPr>
          <w:p w14:paraId="6043B394" w14:textId="77777777" w:rsidR="00B33B54" w:rsidRDefault="00B33B54" w:rsidP="00B33B54">
            <w:pPr>
              <w:jc w:val="both"/>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xml:space="preserve">NICSP N° 24, </w:t>
            </w:r>
          </w:p>
          <w:p w14:paraId="122026BE" w14:textId="204D29F5" w:rsidR="00B33B54" w:rsidRPr="00B33B54" w:rsidRDefault="00B33B54" w:rsidP="00B33B54">
            <w:pPr>
              <w:jc w:val="both"/>
              <w:rPr>
                <w:rFonts w:ascii="Arial Narrow" w:eastAsia="Times New Roman" w:hAnsi="Arial Narrow" w:cs="Calibri"/>
                <w:b/>
                <w:bCs/>
                <w:color w:val="000000"/>
                <w:sz w:val="22"/>
                <w:szCs w:val="22"/>
                <w:lang w:val="es-CR"/>
              </w:rPr>
            </w:pPr>
            <w:r w:rsidRPr="001A31C5">
              <w:rPr>
                <w:rFonts w:ascii="Arial Narrow" w:eastAsia="Times New Roman" w:hAnsi="Arial Narrow" w:cs="Calibri"/>
                <w:b/>
                <w:bCs/>
                <w:color w:val="000000"/>
                <w:sz w:val="22"/>
                <w:szCs w:val="22"/>
              </w:rPr>
              <w:t>Párrafo</w:t>
            </w:r>
            <w:r>
              <w:rPr>
                <w:rFonts w:ascii="Arial Narrow" w:eastAsia="Times New Roman" w:hAnsi="Arial Narrow" w:cs="Calibri"/>
                <w:b/>
                <w:bCs/>
                <w:color w:val="000000"/>
                <w:sz w:val="22"/>
                <w:szCs w:val="22"/>
              </w:rPr>
              <w:t xml:space="preserve"> </w:t>
            </w:r>
            <w:r w:rsidRPr="001A31C5">
              <w:rPr>
                <w:rFonts w:ascii="Arial Narrow" w:eastAsia="Times New Roman" w:hAnsi="Arial Narrow" w:cs="Calibri"/>
                <w:b/>
                <w:bCs/>
                <w:color w:val="000000"/>
                <w:sz w:val="22"/>
                <w:szCs w:val="22"/>
              </w:rPr>
              <w:t>2</w:t>
            </w:r>
            <w:r>
              <w:rPr>
                <w:rFonts w:ascii="Arial Narrow" w:eastAsia="Times New Roman" w:hAnsi="Arial Narrow" w:cs="Calibri"/>
                <w:b/>
                <w:bCs/>
                <w:color w:val="000000"/>
                <w:sz w:val="22"/>
                <w:szCs w:val="22"/>
              </w:rPr>
              <w:t>3</w:t>
            </w:r>
            <w:r w:rsidRPr="001A31C5">
              <w:rPr>
                <w:rFonts w:ascii="Arial Narrow" w:eastAsia="Times New Roman" w:hAnsi="Arial Narrow" w:cs="Calibri"/>
                <w:b/>
                <w:bCs/>
                <w:color w:val="000000"/>
                <w:sz w:val="22"/>
                <w:szCs w:val="22"/>
              </w:rPr>
              <w:t>.</w:t>
            </w:r>
          </w:p>
        </w:tc>
        <w:tc>
          <w:tcPr>
            <w:tcW w:w="1852" w:type="dxa"/>
            <w:tcBorders>
              <w:top w:val="single" w:sz="8" w:space="0" w:color="auto"/>
              <w:left w:val="nil"/>
              <w:bottom w:val="single" w:sz="8" w:space="0" w:color="auto"/>
              <w:right w:val="single" w:sz="8" w:space="0" w:color="auto"/>
            </w:tcBorders>
            <w:shd w:val="clear" w:color="auto" w:fill="auto"/>
            <w:vAlign w:val="center"/>
          </w:tcPr>
          <w:p w14:paraId="767B13AC" w14:textId="01EBD851" w:rsidR="00B33B54" w:rsidRPr="00B33B54" w:rsidRDefault="00B33B54" w:rsidP="00B33B54">
            <w:pPr>
              <w:jc w:val="both"/>
              <w:rPr>
                <w:rFonts w:ascii="Arial Narrow" w:eastAsia="Times New Roman" w:hAnsi="Arial Narrow" w:cs="Calibri"/>
                <w:b/>
                <w:bCs/>
                <w:color w:val="000000"/>
                <w:sz w:val="22"/>
                <w:szCs w:val="22"/>
                <w:lang w:val="es-CR"/>
              </w:rPr>
            </w:pPr>
            <w:r w:rsidRPr="00B33B54">
              <w:rPr>
                <w:rFonts w:ascii="Arial Narrow" w:eastAsia="Times New Roman" w:hAnsi="Arial Narrow" w:cs="Calibri"/>
                <w:b/>
                <w:bCs/>
                <w:color w:val="000000"/>
                <w:sz w:val="22"/>
                <w:szCs w:val="22"/>
                <w:lang w:val="es-CR"/>
              </w:rPr>
              <w:t xml:space="preserve">DGCN </w:t>
            </w:r>
          </w:p>
        </w:tc>
      </w:tr>
      <w:tr w:rsidR="00B33B54" w:rsidRPr="001A31C5" w14:paraId="20C089FC"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tcPr>
          <w:p w14:paraId="16A62662" w14:textId="064156FE" w:rsidR="00B33B54" w:rsidRPr="001A31C5" w:rsidRDefault="00B33B54" w:rsidP="00B33B54">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tcPr>
          <w:p w14:paraId="7F1B40E2" w14:textId="13B2FDA2" w:rsidR="00B33B54" w:rsidRPr="001A31C5" w:rsidRDefault="00B33B54" w:rsidP="00B33B54">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75</w:t>
            </w:r>
          </w:p>
        </w:tc>
        <w:tc>
          <w:tcPr>
            <w:tcW w:w="426" w:type="dxa"/>
            <w:tcBorders>
              <w:top w:val="single" w:sz="8" w:space="0" w:color="auto"/>
              <w:left w:val="nil"/>
              <w:bottom w:val="single" w:sz="8" w:space="0" w:color="auto"/>
              <w:right w:val="single" w:sz="8" w:space="0" w:color="auto"/>
            </w:tcBorders>
            <w:shd w:val="clear" w:color="auto" w:fill="auto"/>
            <w:vAlign w:val="center"/>
          </w:tcPr>
          <w:p w14:paraId="539522A6" w14:textId="6124208F" w:rsidR="00B33B54" w:rsidRPr="001A31C5" w:rsidRDefault="00B33B54" w:rsidP="00B33B54">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2</w:t>
            </w:r>
          </w:p>
        </w:tc>
        <w:tc>
          <w:tcPr>
            <w:tcW w:w="3692" w:type="dxa"/>
            <w:tcBorders>
              <w:top w:val="single" w:sz="8" w:space="0" w:color="auto"/>
              <w:left w:val="nil"/>
              <w:bottom w:val="single" w:sz="8" w:space="0" w:color="auto"/>
              <w:right w:val="single" w:sz="8" w:space="0" w:color="auto"/>
            </w:tcBorders>
            <w:shd w:val="clear" w:color="auto" w:fill="auto"/>
            <w:vAlign w:val="center"/>
          </w:tcPr>
          <w:p w14:paraId="1B5F2096" w14:textId="51E55253" w:rsidR="00B33B54" w:rsidRPr="00B33B54" w:rsidRDefault="00B33B54" w:rsidP="00B33B54">
            <w:pPr>
              <w:jc w:val="both"/>
              <w:rPr>
                <w:rFonts w:ascii="Arial Narrow" w:eastAsia="Times New Roman" w:hAnsi="Arial Narrow" w:cs="Calibri"/>
                <w:b/>
                <w:bCs/>
                <w:color w:val="000000"/>
                <w:sz w:val="22"/>
                <w:szCs w:val="22"/>
                <w:lang w:val="es-CR"/>
              </w:rPr>
            </w:pPr>
            <w:r w:rsidRPr="00B33B54">
              <w:rPr>
                <w:rFonts w:ascii="Arial Narrow" w:eastAsia="Times New Roman" w:hAnsi="Arial Narrow" w:cs="Calibri"/>
                <w:b/>
                <w:bCs/>
                <w:color w:val="000000"/>
                <w:sz w:val="22"/>
                <w:szCs w:val="22"/>
                <w:lang w:val="es-CR"/>
              </w:rPr>
              <w:t xml:space="preserve">Exposición saldo nulo </w:t>
            </w:r>
          </w:p>
        </w:tc>
        <w:tc>
          <w:tcPr>
            <w:tcW w:w="2252" w:type="dxa"/>
            <w:tcBorders>
              <w:top w:val="single" w:sz="8" w:space="0" w:color="auto"/>
              <w:left w:val="nil"/>
              <w:bottom w:val="single" w:sz="8" w:space="0" w:color="auto"/>
              <w:right w:val="single" w:sz="8" w:space="0" w:color="auto"/>
            </w:tcBorders>
            <w:shd w:val="clear" w:color="auto" w:fill="auto"/>
            <w:vAlign w:val="center"/>
          </w:tcPr>
          <w:p w14:paraId="2B71CBA6" w14:textId="77777777" w:rsidR="00B33B54" w:rsidRPr="001A31C5" w:rsidRDefault="00B33B54" w:rsidP="00B33B54">
            <w:pPr>
              <w:jc w:val="both"/>
              <w:rPr>
                <w:rFonts w:ascii="Arial Narrow" w:eastAsia="Times New Roman" w:hAnsi="Arial Narrow" w:cs="Calibri"/>
                <w:b/>
                <w:bCs/>
                <w:color w:val="000000"/>
                <w:sz w:val="22"/>
                <w:szCs w:val="22"/>
              </w:rPr>
            </w:pPr>
          </w:p>
        </w:tc>
        <w:tc>
          <w:tcPr>
            <w:tcW w:w="1852" w:type="dxa"/>
            <w:tcBorders>
              <w:top w:val="single" w:sz="8" w:space="0" w:color="auto"/>
              <w:left w:val="nil"/>
              <w:bottom w:val="single" w:sz="8" w:space="0" w:color="auto"/>
              <w:right w:val="single" w:sz="8" w:space="0" w:color="auto"/>
            </w:tcBorders>
            <w:shd w:val="clear" w:color="auto" w:fill="auto"/>
            <w:vAlign w:val="center"/>
          </w:tcPr>
          <w:p w14:paraId="479E58C6" w14:textId="2FAC5955" w:rsidR="00B33B54" w:rsidRPr="00B33B54" w:rsidRDefault="00B33B54" w:rsidP="00B33B54">
            <w:pPr>
              <w:jc w:val="both"/>
              <w:rPr>
                <w:rFonts w:ascii="Arial Narrow" w:eastAsia="Times New Roman" w:hAnsi="Arial Narrow" w:cs="Calibri"/>
                <w:b/>
                <w:bCs/>
                <w:color w:val="000000"/>
                <w:sz w:val="22"/>
                <w:szCs w:val="22"/>
                <w:lang w:val="es-CR"/>
              </w:rPr>
            </w:pPr>
            <w:r w:rsidRPr="00B33B54">
              <w:rPr>
                <w:rFonts w:ascii="Arial Narrow" w:eastAsia="Times New Roman" w:hAnsi="Arial Narrow" w:cs="Calibri"/>
                <w:b/>
                <w:bCs/>
                <w:color w:val="000000"/>
                <w:sz w:val="22"/>
                <w:szCs w:val="22"/>
                <w:lang w:val="es-CR"/>
              </w:rPr>
              <w:t xml:space="preserve">DGCN </w:t>
            </w:r>
          </w:p>
        </w:tc>
      </w:tr>
      <w:tr w:rsidR="00B33B54" w:rsidRPr="00B33B54" w14:paraId="6CB35AC8"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tcPr>
          <w:p w14:paraId="55AF7CD2" w14:textId="0104EB81" w:rsidR="00B33B54" w:rsidRPr="001A31C5" w:rsidRDefault="00B33B54" w:rsidP="00B33B54">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tcPr>
          <w:p w14:paraId="48546EC3" w14:textId="34CB6B89" w:rsidR="00B33B54" w:rsidRPr="001A31C5" w:rsidRDefault="00B33B54" w:rsidP="00B33B54">
            <w:pPr>
              <w:jc w:val="center"/>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75</w:t>
            </w:r>
          </w:p>
        </w:tc>
        <w:tc>
          <w:tcPr>
            <w:tcW w:w="426" w:type="dxa"/>
            <w:tcBorders>
              <w:top w:val="single" w:sz="8" w:space="0" w:color="auto"/>
              <w:left w:val="nil"/>
              <w:bottom w:val="single" w:sz="8" w:space="0" w:color="auto"/>
              <w:right w:val="single" w:sz="8" w:space="0" w:color="auto"/>
            </w:tcBorders>
            <w:shd w:val="clear" w:color="auto" w:fill="auto"/>
            <w:vAlign w:val="center"/>
          </w:tcPr>
          <w:p w14:paraId="6A2A0CF3" w14:textId="4201FFEA" w:rsidR="00B33B54" w:rsidRPr="001A31C5" w:rsidRDefault="00B33B54" w:rsidP="00B33B54">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3</w:t>
            </w:r>
          </w:p>
        </w:tc>
        <w:tc>
          <w:tcPr>
            <w:tcW w:w="3692" w:type="dxa"/>
            <w:tcBorders>
              <w:top w:val="single" w:sz="8" w:space="0" w:color="auto"/>
              <w:left w:val="nil"/>
              <w:bottom w:val="single" w:sz="8" w:space="0" w:color="auto"/>
              <w:right w:val="single" w:sz="8" w:space="0" w:color="auto"/>
            </w:tcBorders>
            <w:shd w:val="clear" w:color="auto" w:fill="auto"/>
            <w:vAlign w:val="center"/>
          </w:tcPr>
          <w:p w14:paraId="6A3FA582" w14:textId="6DB02BA1" w:rsidR="00B33B54" w:rsidRPr="00B33B54" w:rsidRDefault="00B33B54" w:rsidP="00B33B54">
            <w:pPr>
              <w:jc w:val="both"/>
              <w:rPr>
                <w:rFonts w:ascii="Arial Narrow" w:eastAsia="Times New Roman" w:hAnsi="Arial Narrow" w:cs="Calibri"/>
                <w:b/>
                <w:bCs/>
                <w:color w:val="000000"/>
                <w:sz w:val="22"/>
                <w:szCs w:val="22"/>
                <w:lang w:val="es-CR"/>
              </w:rPr>
            </w:pPr>
            <w:r w:rsidRPr="00B33B54">
              <w:rPr>
                <w:rFonts w:ascii="Arial Narrow" w:eastAsia="Times New Roman" w:hAnsi="Arial Narrow" w:cs="Calibri"/>
                <w:b/>
                <w:bCs/>
                <w:color w:val="000000"/>
                <w:sz w:val="22"/>
                <w:szCs w:val="22"/>
                <w:lang w:val="es-CR"/>
              </w:rPr>
              <w:t xml:space="preserve">Conciliación de flujos de efectivo con información presupuestaria </w:t>
            </w:r>
          </w:p>
        </w:tc>
        <w:tc>
          <w:tcPr>
            <w:tcW w:w="2252" w:type="dxa"/>
            <w:tcBorders>
              <w:top w:val="single" w:sz="8" w:space="0" w:color="auto"/>
              <w:left w:val="nil"/>
              <w:bottom w:val="single" w:sz="8" w:space="0" w:color="auto"/>
              <w:right w:val="single" w:sz="8" w:space="0" w:color="auto"/>
            </w:tcBorders>
            <w:shd w:val="clear" w:color="auto" w:fill="auto"/>
            <w:vAlign w:val="center"/>
          </w:tcPr>
          <w:p w14:paraId="22352AEB" w14:textId="77777777" w:rsidR="00B33B54" w:rsidRDefault="00B33B54" w:rsidP="00B33B54">
            <w:pPr>
              <w:jc w:val="both"/>
              <w:rPr>
                <w:rFonts w:ascii="Arial Narrow" w:eastAsia="Times New Roman" w:hAnsi="Arial Narrow" w:cs="Calibri"/>
                <w:b/>
                <w:bCs/>
                <w:color w:val="000000"/>
                <w:sz w:val="22"/>
                <w:szCs w:val="22"/>
              </w:rPr>
            </w:pPr>
            <w:r w:rsidRPr="001A31C5">
              <w:rPr>
                <w:rFonts w:ascii="Arial Narrow" w:eastAsia="Times New Roman" w:hAnsi="Arial Narrow" w:cs="Calibri"/>
                <w:b/>
                <w:bCs/>
                <w:color w:val="000000"/>
                <w:sz w:val="22"/>
                <w:szCs w:val="22"/>
              </w:rPr>
              <w:t xml:space="preserve">NICSP N° 24, </w:t>
            </w:r>
          </w:p>
          <w:p w14:paraId="26BD6743" w14:textId="27771049" w:rsidR="00B33B54" w:rsidRPr="00B33B54" w:rsidRDefault="00B33B54" w:rsidP="00B33B54">
            <w:pPr>
              <w:jc w:val="both"/>
              <w:rPr>
                <w:rFonts w:ascii="Arial Narrow" w:eastAsia="Times New Roman" w:hAnsi="Arial Narrow" w:cs="Calibri"/>
                <w:b/>
                <w:bCs/>
                <w:color w:val="000000"/>
                <w:sz w:val="22"/>
                <w:szCs w:val="22"/>
                <w:lang w:val="es-CR"/>
              </w:rPr>
            </w:pPr>
            <w:r w:rsidRPr="001A31C5">
              <w:rPr>
                <w:rFonts w:ascii="Arial Narrow" w:eastAsia="Times New Roman" w:hAnsi="Arial Narrow" w:cs="Calibri"/>
                <w:b/>
                <w:bCs/>
                <w:color w:val="000000"/>
                <w:sz w:val="22"/>
                <w:szCs w:val="22"/>
              </w:rPr>
              <w:t xml:space="preserve">Párrafos </w:t>
            </w:r>
            <w:r>
              <w:rPr>
                <w:rFonts w:ascii="Arial Narrow" w:eastAsia="Times New Roman" w:hAnsi="Arial Narrow" w:cs="Calibri"/>
                <w:b/>
                <w:bCs/>
                <w:color w:val="000000"/>
                <w:sz w:val="22"/>
                <w:szCs w:val="22"/>
              </w:rPr>
              <w:t>47</w:t>
            </w:r>
            <w:r w:rsidRPr="001A31C5">
              <w:rPr>
                <w:rFonts w:ascii="Arial Narrow" w:eastAsia="Times New Roman" w:hAnsi="Arial Narrow" w:cs="Calibri"/>
                <w:b/>
                <w:bCs/>
                <w:color w:val="000000"/>
                <w:sz w:val="22"/>
                <w:szCs w:val="22"/>
              </w:rPr>
              <w:t xml:space="preserve"> y </w:t>
            </w:r>
            <w:r>
              <w:rPr>
                <w:rFonts w:ascii="Arial Narrow" w:eastAsia="Times New Roman" w:hAnsi="Arial Narrow" w:cs="Calibri"/>
                <w:b/>
                <w:bCs/>
                <w:color w:val="000000"/>
                <w:sz w:val="22"/>
                <w:szCs w:val="22"/>
              </w:rPr>
              <w:t>48</w:t>
            </w:r>
            <w:r w:rsidRPr="001A31C5">
              <w:rPr>
                <w:rFonts w:ascii="Arial Narrow" w:eastAsia="Times New Roman" w:hAnsi="Arial Narrow" w:cs="Calibri"/>
                <w:b/>
                <w:bCs/>
                <w:color w:val="000000"/>
                <w:sz w:val="22"/>
                <w:szCs w:val="22"/>
              </w:rPr>
              <w:t>.</w:t>
            </w:r>
          </w:p>
        </w:tc>
        <w:tc>
          <w:tcPr>
            <w:tcW w:w="1852" w:type="dxa"/>
            <w:tcBorders>
              <w:top w:val="single" w:sz="8" w:space="0" w:color="auto"/>
              <w:left w:val="nil"/>
              <w:bottom w:val="single" w:sz="8" w:space="0" w:color="auto"/>
              <w:right w:val="single" w:sz="8" w:space="0" w:color="auto"/>
            </w:tcBorders>
            <w:shd w:val="clear" w:color="auto" w:fill="auto"/>
            <w:vAlign w:val="center"/>
          </w:tcPr>
          <w:p w14:paraId="4B2F328E" w14:textId="4FD64503" w:rsidR="00B33B54" w:rsidRPr="00B33B54" w:rsidRDefault="00B33B54" w:rsidP="00B33B54">
            <w:pPr>
              <w:jc w:val="both"/>
              <w:rPr>
                <w:rFonts w:ascii="Arial Narrow" w:eastAsia="Times New Roman" w:hAnsi="Arial Narrow" w:cs="Calibri"/>
                <w:b/>
                <w:bCs/>
                <w:color w:val="000000"/>
                <w:sz w:val="22"/>
                <w:szCs w:val="22"/>
                <w:lang w:val="es-CR"/>
              </w:rPr>
            </w:pPr>
            <w:r w:rsidRPr="00B33B54">
              <w:rPr>
                <w:rFonts w:ascii="Arial Narrow" w:eastAsia="Times New Roman" w:hAnsi="Arial Narrow" w:cs="Calibri"/>
                <w:b/>
                <w:bCs/>
                <w:color w:val="000000"/>
                <w:sz w:val="22"/>
                <w:szCs w:val="22"/>
                <w:lang w:val="es-CR"/>
              </w:rPr>
              <w:t xml:space="preserve">DGCN Nota Técnica </w:t>
            </w:r>
          </w:p>
        </w:tc>
      </w:tr>
    </w:tbl>
    <w:p w14:paraId="44F949D8" w14:textId="77777777" w:rsidR="00D62F9A" w:rsidRDefault="00D62F9A" w:rsidP="00D033EC">
      <w:pPr>
        <w:pStyle w:val="Default"/>
        <w:jc w:val="both"/>
        <w:rPr>
          <w:sz w:val="23"/>
          <w:szCs w:val="23"/>
          <w:lang w:val="es-CR"/>
        </w:rPr>
      </w:pPr>
    </w:p>
    <w:p w14:paraId="70288B15" w14:textId="77777777" w:rsidR="005F3F7D" w:rsidRDefault="005F3F7D" w:rsidP="005F3F7D">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D174115" w14:textId="77777777" w:rsidR="005F3F7D" w:rsidRDefault="005F3F7D" w:rsidP="00D033EC">
      <w:pPr>
        <w:pStyle w:val="Default"/>
        <w:jc w:val="both"/>
        <w:rPr>
          <w:sz w:val="23"/>
          <w:szCs w:val="23"/>
          <w:lang w:val="es-CR"/>
        </w:rPr>
      </w:pPr>
    </w:p>
    <w:p w14:paraId="1FA0BFEE" w14:textId="5A300888" w:rsidR="00B33B54" w:rsidRDefault="001439EB" w:rsidP="001439EB">
      <w:pPr>
        <w:pStyle w:val="Default"/>
        <w:ind w:left="1134" w:hanging="1134"/>
        <w:jc w:val="both"/>
        <w:rPr>
          <w:sz w:val="22"/>
          <w:szCs w:val="22"/>
          <w:lang w:val="es-CR"/>
        </w:rPr>
      </w:pPr>
      <w:r>
        <w:rPr>
          <w:sz w:val="22"/>
          <w:szCs w:val="22"/>
          <w:lang w:val="es-CR"/>
        </w:rPr>
        <w:t>6.75.0.01</w:t>
      </w:r>
      <w:r>
        <w:rPr>
          <w:sz w:val="22"/>
          <w:szCs w:val="22"/>
          <w:lang w:val="es-CR"/>
        </w:rPr>
        <w:tab/>
      </w:r>
      <w:r w:rsidR="00B33B54" w:rsidRPr="001439EB">
        <w:rPr>
          <w:sz w:val="22"/>
          <w:szCs w:val="22"/>
          <w:lang w:val="es-CR"/>
        </w:rPr>
        <w:t>L</w:t>
      </w:r>
      <w:r>
        <w:rPr>
          <w:sz w:val="22"/>
          <w:szCs w:val="22"/>
          <w:lang w:val="es-CR"/>
        </w:rPr>
        <w:t>a</w:t>
      </w:r>
      <w:r w:rsidR="00B33B54" w:rsidRPr="001439EB">
        <w:rPr>
          <w:sz w:val="22"/>
          <w:szCs w:val="22"/>
          <w:lang w:val="es-CR"/>
        </w:rPr>
        <w:t xml:space="preserve"> </w:t>
      </w:r>
      <w:r>
        <w:rPr>
          <w:sz w:val="22"/>
          <w:szCs w:val="22"/>
          <w:lang w:val="es-CR"/>
        </w:rPr>
        <w:t>Municipalidad</w:t>
      </w:r>
      <w:r w:rsidR="00B33B54" w:rsidRPr="001439EB">
        <w:rPr>
          <w:sz w:val="22"/>
          <w:szCs w:val="22"/>
          <w:lang w:val="es-CR"/>
        </w:rPr>
        <w:t xml:space="preserve"> presentará una comparación con los importes del presupuesto y los ejecutados como columnas adicionales en los estados financieros principales, sólo cuando los estados financieros y el presupuesto se preparen sobre bases comparables. </w:t>
      </w:r>
    </w:p>
    <w:p w14:paraId="2596D662" w14:textId="77777777" w:rsidR="001439EB" w:rsidRPr="001439EB" w:rsidRDefault="001439EB" w:rsidP="001439EB">
      <w:pPr>
        <w:pStyle w:val="Default"/>
        <w:ind w:left="1134" w:hanging="1134"/>
        <w:jc w:val="both"/>
        <w:rPr>
          <w:sz w:val="22"/>
          <w:szCs w:val="22"/>
          <w:lang w:val="es-CR"/>
        </w:rPr>
      </w:pPr>
    </w:p>
    <w:p w14:paraId="310817FA" w14:textId="593658C0" w:rsidR="00B33B54" w:rsidRPr="001439EB" w:rsidRDefault="001439EB" w:rsidP="001439EB">
      <w:pPr>
        <w:pStyle w:val="Default"/>
        <w:ind w:left="1134" w:hanging="1134"/>
        <w:jc w:val="both"/>
        <w:rPr>
          <w:sz w:val="22"/>
          <w:szCs w:val="22"/>
          <w:lang w:val="es-CR"/>
        </w:rPr>
      </w:pPr>
      <w:r>
        <w:rPr>
          <w:sz w:val="22"/>
          <w:szCs w:val="22"/>
          <w:lang w:val="es-CR"/>
        </w:rPr>
        <w:t>6.75.</w:t>
      </w:r>
      <w:r w:rsidR="00B33B54" w:rsidRPr="001439EB">
        <w:rPr>
          <w:sz w:val="22"/>
          <w:szCs w:val="22"/>
          <w:lang w:val="es-CR"/>
        </w:rPr>
        <w:t>1.</w:t>
      </w:r>
      <w:r>
        <w:rPr>
          <w:sz w:val="22"/>
          <w:szCs w:val="22"/>
          <w:lang w:val="es-CR"/>
        </w:rPr>
        <w:t>01</w:t>
      </w:r>
      <w:r>
        <w:rPr>
          <w:sz w:val="22"/>
          <w:szCs w:val="22"/>
          <w:lang w:val="es-CR"/>
        </w:rPr>
        <w:tab/>
      </w:r>
      <w:r w:rsidR="00B33B54" w:rsidRPr="001439EB">
        <w:rPr>
          <w:sz w:val="22"/>
          <w:szCs w:val="22"/>
          <w:lang w:val="es-CR"/>
        </w:rPr>
        <w:t xml:space="preserve">En tanto y en cuanto los estados financieros y el presupuesto se preparen sobre bases no comparables, se presentará el EEP como un estado individual, conjuntamente con los EEFF principales, y su exposición se apoyará sobre la base de los clasificadores presupuestarios vigentes. </w:t>
      </w:r>
    </w:p>
    <w:p w14:paraId="1E8C93FC" w14:textId="77777777" w:rsidR="00B33B54" w:rsidRPr="001439EB" w:rsidRDefault="00B33B54" w:rsidP="001439EB">
      <w:pPr>
        <w:pStyle w:val="Default"/>
        <w:jc w:val="both"/>
        <w:rPr>
          <w:sz w:val="22"/>
          <w:szCs w:val="22"/>
          <w:lang w:val="es-CR"/>
        </w:rPr>
      </w:pPr>
    </w:p>
    <w:p w14:paraId="1215ECF0" w14:textId="6B139102" w:rsidR="00B33B54" w:rsidRDefault="001439EB" w:rsidP="001439EB">
      <w:pPr>
        <w:pStyle w:val="Default"/>
        <w:ind w:left="1134" w:hanging="1134"/>
        <w:jc w:val="both"/>
        <w:rPr>
          <w:sz w:val="22"/>
          <w:szCs w:val="22"/>
          <w:lang w:val="es-CR"/>
        </w:rPr>
      </w:pPr>
      <w:r>
        <w:rPr>
          <w:sz w:val="22"/>
          <w:szCs w:val="22"/>
          <w:lang w:val="es-CR"/>
        </w:rPr>
        <w:t>6.75.1.02</w:t>
      </w:r>
      <w:r>
        <w:rPr>
          <w:sz w:val="22"/>
          <w:szCs w:val="22"/>
          <w:lang w:val="es-CR"/>
        </w:rPr>
        <w:tab/>
      </w:r>
      <w:r w:rsidR="00B33B54" w:rsidRPr="001439EB">
        <w:rPr>
          <w:sz w:val="22"/>
          <w:szCs w:val="22"/>
          <w:lang w:val="es-CR"/>
        </w:rPr>
        <w:t>Sin perjuicio de la presentación de información presupuestaria clasificada según diferentes finalidades (objetos del gasto, funcional, fuentes de financiamiento, entre otras), se considerará EEP aquél a través del cual se presente el resultado financiero presupuestado y ejecutado (desagregado en sus componentes corriente y de capital), así como las fuentes y aplicaciones financieras presupuestadas y ejecutadas. A efectos de la presentación y desagregación de la información del EEP, se utilizará el clasificador económico de ingresos y de gastos.</w:t>
      </w:r>
    </w:p>
    <w:p w14:paraId="16BAAAA2" w14:textId="77777777" w:rsidR="001439EB" w:rsidRPr="001439EB" w:rsidRDefault="001439EB" w:rsidP="001439EB">
      <w:pPr>
        <w:pStyle w:val="Default"/>
        <w:ind w:left="1134" w:hanging="1134"/>
        <w:jc w:val="both"/>
        <w:rPr>
          <w:sz w:val="22"/>
          <w:szCs w:val="22"/>
          <w:lang w:val="es-CR"/>
        </w:rPr>
      </w:pPr>
    </w:p>
    <w:p w14:paraId="6E2F641D" w14:textId="0D1EFD68" w:rsidR="00B33B54" w:rsidRPr="001439EB" w:rsidRDefault="001439EB" w:rsidP="001439EB">
      <w:pPr>
        <w:pStyle w:val="Default"/>
        <w:ind w:left="1134" w:hanging="1134"/>
        <w:jc w:val="both"/>
        <w:rPr>
          <w:sz w:val="22"/>
          <w:szCs w:val="22"/>
          <w:lang w:val="es-CR"/>
        </w:rPr>
      </w:pPr>
      <w:r>
        <w:rPr>
          <w:sz w:val="22"/>
          <w:szCs w:val="22"/>
          <w:lang w:val="es-CR"/>
        </w:rPr>
        <w:t>6.75.</w:t>
      </w:r>
      <w:r w:rsidR="00B33B54" w:rsidRPr="001439EB">
        <w:rPr>
          <w:sz w:val="22"/>
          <w:szCs w:val="22"/>
          <w:lang w:val="es-CR"/>
        </w:rPr>
        <w:t>2.</w:t>
      </w:r>
      <w:r>
        <w:rPr>
          <w:sz w:val="22"/>
          <w:szCs w:val="22"/>
          <w:lang w:val="es-CR"/>
        </w:rPr>
        <w:t>01</w:t>
      </w:r>
      <w:r>
        <w:rPr>
          <w:sz w:val="22"/>
          <w:szCs w:val="22"/>
          <w:lang w:val="es-CR"/>
        </w:rPr>
        <w:tab/>
      </w:r>
      <w:r w:rsidR="00B33B54" w:rsidRPr="001439EB">
        <w:rPr>
          <w:sz w:val="22"/>
          <w:szCs w:val="22"/>
          <w:lang w:val="es-CR"/>
        </w:rPr>
        <w:t xml:space="preserve">En los Estados a presentar a la DGCN deberá establecerse en nota aclaratoria si la </w:t>
      </w:r>
      <w:r>
        <w:rPr>
          <w:sz w:val="22"/>
          <w:szCs w:val="22"/>
          <w:lang w:val="es-CR"/>
        </w:rPr>
        <w:t>Municipalidad</w:t>
      </w:r>
      <w:r w:rsidR="00B33B54" w:rsidRPr="001439EB">
        <w:rPr>
          <w:sz w:val="22"/>
          <w:szCs w:val="22"/>
          <w:lang w:val="es-CR"/>
        </w:rPr>
        <w:t xml:space="preserve"> no presenta saldos ni ha tenido transacciones en algunas de sus partidas o componentes, debiendo exponer las mismas aun teniendo saldo nulo. </w:t>
      </w:r>
    </w:p>
    <w:p w14:paraId="2B209DD4" w14:textId="77777777" w:rsidR="00B33B54" w:rsidRPr="001439EB" w:rsidRDefault="00B33B54" w:rsidP="001439EB">
      <w:pPr>
        <w:pStyle w:val="Default"/>
        <w:ind w:left="1134" w:hanging="1134"/>
        <w:jc w:val="both"/>
        <w:rPr>
          <w:sz w:val="22"/>
          <w:szCs w:val="22"/>
          <w:lang w:val="es-CR"/>
        </w:rPr>
      </w:pPr>
    </w:p>
    <w:p w14:paraId="44625597" w14:textId="5DC74B90" w:rsidR="00B33B54" w:rsidRPr="001439EB" w:rsidRDefault="001439EB" w:rsidP="001439EB">
      <w:pPr>
        <w:pStyle w:val="Default"/>
        <w:ind w:left="1134" w:hanging="1134"/>
        <w:jc w:val="both"/>
        <w:rPr>
          <w:sz w:val="22"/>
          <w:szCs w:val="22"/>
          <w:lang w:val="es-CR"/>
        </w:rPr>
      </w:pPr>
      <w:r>
        <w:rPr>
          <w:sz w:val="22"/>
          <w:szCs w:val="22"/>
          <w:lang w:val="es-CR"/>
        </w:rPr>
        <w:t>6.75.</w:t>
      </w:r>
      <w:r w:rsidR="00B33B54" w:rsidRPr="001439EB">
        <w:rPr>
          <w:sz w:val="22"/>
          <w:szCs w:val="22"/>
          <w:lang w:val="es-CR"/>
        </w:rPr>
        <w:t>3.</w:t>
      </w:r>
      <w:r>
        <w:rPr>
          <w:sz w:val="22"/>
          <w:szCs w:val="22"/>
          <w:lang w:val="es-CR"/>
        </w:rPr>
        <w:t>01</w:t>
      </w:r>
      <w:r>
        <w:rPr>
          <w:sz w:val="22"/>
          <w:szCs w:val="22"/>
          <w:lang w:val="es-CR"/>
        </w:rPr>
        <w:tab/>
      </w:r>
      <w:r w:rsidR="00B33B54" w:rsidRPr="001439EB">
        <w:rPr>
          <w:sz w:val="22"/>
          <w:szCs w:val="22"/>
          <w:lang w:val="es-CR"/>
        </w:rPr>
        <w:t xml:space="preserve">Mientras se presente el EEP en los términos de la Política 1 anterior, deberá exponerse en Notas </w:t>
      </w:r>
      <w:r w:rsidR="00B33B54" w:rsidRPr="001439EB">
        <w:rPr>
          <w:b/>
          <w:bCs/>
          <w:sz w:val="22"/>
          <w:szCs w:val="22"/>
          <w:lang w:val="es-CR"/>
        </w:rPr>
        <w:t>una conciliación</w:t>
      </w:r>
      <w:r w:rsidR="00B33B54" w:rsidRPr="001439EB">
        <w:rPr>
          <w:sz w:val="22"/>
          <w:szCs w:val="22"/>
          <w:lang w:val="es-CR"/>
        </w:rPr>
        <w:t xml:space="preserve"> entre los flujos de efectivo totales y los gastos presupuestarios pagados e ingresos presupuestarios percibidos, conforme lo estipulado a continuación: </w:t>
      </w:r>
    </w:p>
    <w:p w14:paraId="4BE6EC9F" w14:textId="77777777" w:rsidR="001439EB" w:rsidRDefault="001439EB" w:rsidP="001439EB">
      <w:pPr>
        <w:pStyle w:val="Default"/>
        <w:ind w:left="1134" w:hanging="1134"/>
        <w:jc w:val="both"/>
        <w:rPr>
          <w:sz w:val="22"/>
          <w:szCs w:val="22"/>
          <w:lang w:val="es-CR"/>
        </w:rPr>
      </w:pPr>
    </w:p>
    <w:p w14:paraId="1D539A12" w14:textId="2D293388" w:rsidR="00B33B54" w:rsidRPr="001439EB" w:rsidRDefault="001439EB">
      <w:pPr>
        <w:pStyle w:val="Default"/>
        <w:numPr>
          <w:ilvl w:val="0"/>
          <w:numId w:val="403"/>
        </w:numPr>
        <w:spacing w:after="120"/>
        <w:ind w:left="1418" w:hanging="284"/>
        <w:jc w:val="both"/>
        <w:rPr>
          <w:sz w:val="22"/>
          <w:szCs w:val="22"/>
          <w:lang w:val="es-CR"/>
        </w:rPr>
      </w:pPr>
      <w:r>
        <w:rPr>
          <w:sz w:val="22"/>
          <w:szCs w:val="22"/>
          <w:lang w:val="es-CR"/>
        </w:rPr>
        <w:t>L</w:t>
      </w:r>
      <w:r w:rsidR="00B33B54" w:rsidRPr="001439EB">
        <w:rPr>
          <w:sz w:val="22"/>
          <w:szCs w:val="22"/>
          <w:lang w:val="es-CR"/>
        </w:rPr>
        <w:t xml:space="preserve">a información se comparará a nivel de flujos de operación, de inversión y de financiamiento que surgen del EFE; </w:t>
      </w:r>
    </w:p>
    <w:p w14:paraId="2311B6CE" w14:textId="77777777" w:rsidR="001439EB" w:rsidRDefault="001439EB">
      <w:pPr>
        <w:pStyle w:val="Default"/>
        <w:numPr>
          <w:ilvl w:val="0"/>
          <w:numId w:val="403"/>
        </w:numPr>
        <w:spacing w:after="120"/>
        <w:ind w:left="1418" w:hanging="284"/>
        <w:jc w:val="both"/>
        <w:rPr>
          <w:sz w:val="22"/>
          <w:szCs w:val="22"/>
          <w:lang w:val="es-CR"/>
        </w:rPr>
      </w:pPr>
      <w:r>
        <w:rPr>
          <w:sz w:val="22"/>
          <w:szCs w:val="22"/>
          <w:lang w:val="es-CR"/>
        </w:rPr>
        <w:t>L</w:t>
      </w:r>
      <w:r w:rsidR="0073700C" w:rsidRPr="001439EB">
        <w:rPr>
          <w:sz w:val="22"/>
          <w:szCs w:val="22"/>
          <w:lang w:val="es-CR"/>
        </w:rPr>
        <w:t xml:space="preserve">os gastos pagados e ingresos percibidos presupuestarios se reexpresarán a efectos de ser agrupados en las tres clases de flujos anteriores; </w:t>
      </w:r>
    </w:p>
    <w:p w14:paraId="19C3D946" w14:textId="53FCC4AB" w:rsidR="0073700C" w:rsidRPr="001439EB" w:rsidRDefault="001439EB">
      <w:pPr>
        <w:pStyle w:val="Default"/>
        <w:numPr>
          <w:ilvl w:val="0"/>
          <w:numId w:val="403"/>
        </w:numPr>
        <w:spacing w:after="120"/>
        <w:ind w:left="1418" w:hanging="284"/>
        <w:jc w:val="both"/>
        <w:rPr>
          <w:sz w:val="22"/>
          <w:szCs w:val="22"/>
          <w:lang w:val="es-CR"/>
        </w:rPr>
      </w:pPr>
      <w:r w:rsidRPr="001439EB">
        <w:rPr>
          <w:sz w:val="22"/>
          <w:szCs w:val="22"/>
          <w:lang w:val="es-CR"/>
        </w:rPr>
        <w:t>S</w:t>
      </w:r>
      <w:r w:rsidR="0073700C" w:rsidRPr="001439EB">
        <w:rPr>
          <w:sz w:val="22"/>
          <w:szCs w:val="22"/>
          <w:lang w:val="es-CR"/>
        </w:rPr>
        <w:t xml:space="preserve">e identificarán las diferencias entre los flujos de fondos del EFE y los presupuestarios; </w:t>
      </w:r>
    </w:p>
    <w:p w14:paraId="5923901F" w14:textId="445CC968" w:rsidR="001439EB" w:rsidRDefault="001439EB">
      <w:pPr>
        <w:pStyle w:val="Default"/>
        <w:numPr>
          <w:ilvl w:val="0"/>
          <w:numId w:val="403"/>
        </w:numPr>
        <w:spacing w:after="18"/>
        <w:ind w:left="1418" w:hanging="284"/>
        <w:jc w:val="both"/>
        <w:rPr>
          <w:sz w:val="22"/>
          <w:szCs w:val="22"/>
          <w:lang w:val="es-CR"/>
        </w:rPr>
      </w:pPr>
      <w:r>
        <w:rPr>
          <w:sz w:val="22"/>
          <w:szCs w:val="22"/>
          <w:lang w:val="es-CR"/>
        </w:rPr>
        <w:t>S</w:t>
      </w:r>
      <w:r w:rsidR="0073700C" w:rsidRPr="001439EB">
        <w:rPr>
          <w:sz w:val="22"/>
          <w:szCs w:val="22"/>
          <w:lang w:val="es-CR"/>
        </w:rPr>
        <w:t>e clasificarán dichas diferencias, sobre la base de lo desarrollado en el apartado siguiente, en:</w:t>
      </w:r>
    </w:p>
    <w:p w14:paraId="5117EA99" w14:textId="77777777" w:rsidR="001439EB" w:rsidRDefault="001439EB" w:rsidP="001439EB">
      <w:pPr>
        <w:pStyle w:val="Default"/>
        <w:spacing w:after="18"/>
        <w:ind w:left="720"/>
        <w:jc w:val="both"/>
        <w:rPr>
          <w:sz w:val="22"/>
          <w:szCs w:val="22"/>
          <w:lang w:val="es-CR"/>
        </w:rPr>
      </w:pPr>
    </w:p>
    <w:p w14:paraId="51AF0BBE" w14:textId="77777777" w:rsidR="001439EB" w:rsidRDefault="001439EB">
      <w:pPr>
        <w:pStyle w:val="Default"/>
        <w:numPr>
          <w:ilvl w:val="0"/>
          <w:numId w:val="404"/>
        </w:numPr>
        <w:spacing w:after="120"/>
        <w:ind w:left="1701" w:hanging="142"/>
        <w:jc w:val="both"/>
        <w:rPr>
          <w:sz w:val="22"/>
          <w:szCs w:val="22"/>
          <w:lang w:val="es-CR"/>
        </w:rPr>
      </w:pPr>
      <w:r>
        <w:rPr>
          <w:sz w:val="22"/>
          <w:szCs w:val="22"/>
          <w:lang w:val="es-CR"/>
        </w:rPr>
        <w:t>D</w:t>
      </w:r>
      <w:r w:rsidR="0073700C" w:rsidRPr="001439EB">
        <w:rPr>
          <w:sz w:val="22"/>
          <w:szCs w:val="22"/>
          <w:lang w:val="es-CR"/>
        </w:rPr>
        <w:t xml:space="preserve">iferencias en las bases; </w:t>
      </w:r>
    </w:p>
    <w:p w14:paraId="2576E553" w14:textId="77777777" w:rsidR="001439EB" w:rsidRPr="001439EB" w:rsidRDefault="001439EB">
      <w:pPr>
        <w:pStyle w:val="Default"/>
        <w:numPr>
          <w:ilvl w:val="0"/>
          <w:numId w:val="404"/>
        </w:numPr>
        <w:spacing w:after="120"/>
        <w:ind w:left="1701" w:hanging="142"/>
        <w:jc w:val="both"/>
        <w:rPr>
          <w:sz w:val="22"/>
          <w:szCs w:val="22"/>
          <w:lang w:val="es-CR"/>
        </w:rPr>
      </w:pPr>
      <w:r w:rsidRPr="001439EB">
        <w:rPr>
          <w:sz w:val="22"/>
          <w:szCs w:val="22"/>
        </w:rPr>
        <w:t>D</w:t>
      </w:r>
      <w:r w:rsidR="0073700C" w:rsidRPr="001439EB">
        <w:rPr>
          <w:sz w:val="22"/>
          <w:szCs w:val="22"/>
        </w:rPr>
        <w:t>iferencias temporales; y</w:t>
      </w:r>
    </w:p>
    <w:p w14:paraId="678AD2CF" w14:textId="76B5547B" w:rsidR="0073700C" w:rsidRPr="001439EB" w:rsidRDefault="001439EB" w:rsidP="005F3F7D">
      <w:pPr>
        <w:pStyle w:val="Default"/>
        <w:numPr>
          <w:ilvl w:val="0"/>
          <w:numId w:val="404"/>
        </w:numPr>
        <w:ind w:left="1701" w:hanging="142"/>
        <w:jc w:val="both"/>
        <w:rPr>
          <w:sz w:val="22"/>
          <w:szCs w:val="22"/>
          <w:lang w:val="es-CR"/>
        </w:rPr>
      </w:pPr>
      <w:r w:rsidRPr="001439EB">
        <w:rPr>
          <w:sz w:val="22"/>
          <w:szCs w:val="22"/>
          <w:lang w:val="es-CR"/>
        </w:rPr>
        <w:t>D</w:t>
      </w:r>
      <w:r w:rsidR="0073700C" w:rsidRPr="001439EB">
        <w:rPr>
          <w:sz w:val="22"/>
          <w:szCs w:val="22"/>
          <w:lang w:val="es-CR"/>
        </w:rPr>
        <w:t xml:space="preserve">iferencias en las entidades. </w:t>
      </w:r>
    </w:p>
    <w:p w14:paraId="53C62C8F" w14:textId="77777777" w:rsidR="0073700C" w:rsidRPr="001439EB" w:rsidRDefault="0073700C">
      <w:pPr>
        <w:pStyle w:val="Default"/>
        <w:numPr>
          <w:ilvl w:val="2"/>
          <w:numId w:val="400"/>
        </w:numPr>
        <w:ind w:left="360"/>
        <w:jc w:val="both"/>
        <w:rPr>
          <w:sz w:val="22"/>
          <w:szCs w:val="22"/>
          <w:lang w:val="es-CR"/>
        </w:rPr>
      </w:pPr>
    </w:p>
    <w:p w14:paraId="74A85039" w14:textId="77777777" w:rsidR="0073700C" w:rsidRPr="001439EB" w:rsidRDefault="0073700C">
      <w:pPr>
        <w:pStyle w:val="Default"/>
        <w:numPr>
          <w:ilvl w:val="2"/>
          <w:numId w:val="400"/>
        </w:numPr>
        <w:ind w:left="360"/>
        <w:jc w:val="both"/>
        <w:rPr>
          <w:sz w:val="22"/>
          <w:szCs w:val="22"/>
          <w:lang w:val="es-CR"/>
        </w:rPr>
      </w:pPr>
    </w:p>
    <w:p w14:paraId="7101A3D3" w14:textId="3667E8C5" w:rsidR="001439EB" w:rsidRDefault="001439EB" w:rsidP="001439EB">
      <w:pPr>
        <w:pStyle w:val="Default"/>
        <w:ind w:left="1134" w:hanging="1134"/>
        <w:jc w:val="both"/>
        <w:rPr>
          <w:sz w:val="22"/>
          <w:szCs w:val="22"/>
          <w:lang w:val="es-CR"/>
        </w:rPr>
      </w:pPr>
      <w:r>
        <w:rPr>
          <w:sz w:val="22"/>
          <w:szCs w:val="22"/>
          <w:lang w:val="es-CR"/>
        </w:rPr>
        <w:t>6.75.</w:t>
      </w:r>
      <w:r w:rsidRPr="001439EB">
        <w:rPr>
          <w:sz w:val="22"/>
          <w:szCs w:val="22"/>
          <w:lang w:val="es-CR"/>
        </w:rPr>
        <w:t>3.</w:t>
      </w:r>
      <w:r>
        <w:rPr>
          <w:sz w:val="22"/>
          <w:szCs w:val="22"/>
          <w:lang w:val="es-CR"/>
        </w:rPr>
        <w:t>02</w:t>
      </w:r>
      <w:r>
        <w:rPr>
          <w:sz w:val="22"/>
          <w:szCs w:val="22"/>
          <w:lang w:val="es-CR"/>
        </w:rPr>
        <w:tab/>
      </w:r>
      <w:r w:rsidR="0073700C" w:rsidRPr="001439EB">
        <w:rPr>
          <w:sz w:val="22"/>
          <w:szCs w:val="22"/>
          <w:lang w:val="es-CR"/>
        </w:rPr>
        <w:t>La DGCN, a través de NotaTécnica, podrá establecer un modelo de presentación de la información requerida en la presente Política, e incluso establecer la obligatoriedad de su presentación en un estado separado, en lugar de en las Notas, no siendo obligatoria su presentación sino hasta una vez aprobado dicho modelo.</w:t>
      </w:r>
    </w:p>
    <w:p w14:paraId="781A9895" w14:textId="4BB16F24" w:rsidR="0073700C" w:rsidRPr="001439EB" w:rsidRDefault="0073700C" w:rsidP="001439EB">
      <w:pPr>
        <w:pStyle w:val="Default"/>
        <w:ind w:left="1134" w:hanging="1134"/>
        <w:jc w:val="both"/>
        <w:rPr>
          <w:sz w:val="22"/>
          <w:szCs w:val="22"/>
          <w:lang w:val="es-CR"/>
        </w:rPr>
      </w:pPr>
      <w:r w:rsidRPr="001439EB">
        <w:rPr>
          <w:sz w:val="22"/>
          <w:szCs w:val="22"/>
          <w:lang w:val="es-CR"/>
        </w:rPr>
        <w:t xml:space="preserve"> </w:t>
      </w:r>
    </w:p>
    <w:p w14:paraId="2B4A6607" w14:textId="475221DB" w:rsidR="00B33B54" w:rsidRPr="001439EB" w:rsidRDefault="001439EB" w:rsidP="001439EB">
      <w:pPr>
        <w:pStyle w:val="Default"/>
        <w:ind w:left="1134" w:hanging="1134"/>
        <w:jc w:val="both"/>
        <w:rPr>
          <w:sz w:val="22"/>
          <w:szCs w:val="22"/>
          <w:lang w:val="es-CR"/>
        </w:rPr>
      </w:pPr>
      <w:r>
        <w:rPr>
          <w:sz w:val="22"/>
          <w:szCs w:val="22"/>
          <w:lang w:val="es-CR"/>
        </w:rPr>
        <w:t>6.75.</w:t>
      </w:r>
      <w:r w:rsidRPr="001439EB">
        <w:rPr>
          <w:sz w:val="22"/>
          <w:szCs w:val="22"/>
          <w:lang w:val="es-CR"/>
        </w:rPr>
        <w:t>3.</w:t>
      </w:r>
      <w:r>
        <w:rPr>
          <w:sz w:val="22"/>
          <w:szCs w:val="22"/>
          <w:lang w:val="es-CR"/>
        </w:rPr>
        <w:t>03</w:t>
      </w:r>
      <w:r>
        <w:rPr>
          <w:sz w:val="22"/>
          <w:szCs w:val="22"/>
          <w:lang w:val="es-CR"/>
        </w:rPr>
        <w:tab/>
      </w:r>
      <w:r w:rsidR="0073700C" w:rsidRPr="001439EB">
        <w:rPr>
          <w:sz w:val="22"/>
          <w:szCs w:val="22"/>
          <w:lang w:val="es-CR"/>
        </w:rPr>
        <w:t>Cuando los estados financieros y el presupuesto no se preparan con una base comparable, se conciliarán con los cobros en efectivo totales y los pagos en efectivo totales identificando por separado cualquier diferencia en las bases</w:t>
      </w:r>
      <w:r>
        <w:rPr>
          <w:sz w:val="22"/>
          <w:szCs w:val="22"/>
          <w:lang w:val="es-CR"/>
        </w:rPr>
        <w:t xml:space="preserve"> y</w:t>
      </w:r>
      <w:r w:rsidR="0073700C" w:rsidRPr="001439EB">
        <w:rPr>
          <w:sz w:val="22"/>
          <w:szCs w:val="22"/>
          <w:lang w:val="es-CR"/>
        </w:rPr>
        <w:t xml:space="preserve"> tiempo.</w:t>
      </w:r>
    </w:p>
    <w:p w14:paraId="473DED0F" w14:textId="77777777" w:rsidR="0013505B" w:rsidRDefault="0013505B" w:rsidP="0013505B">
      <w:pPr>
        <w:pStyle w:val="Default"/>
        <w:jc w:val="both"/>
        <w:rPr>
          <w:sz w:val="22"/>
          <w:szCs w:val="22"/>
          <w:lang w:val="es-CR"/>
        </w:rPr>
      </w:pPr>
    </w:p>
    <w:p w14:paraId="263E6570" w14:textId="77777777" w:rsidR="0013505B" w:rsidRDefault="0013505B" w:rsidP="0013505B">
      <w:pPr>
        <w:pStyle w:val="Default"/>
        <w:ind w:firstLine="720"/>
        <w:jc w:val="both"/>
        <w:rPr>
          <w:sz w:val="22"/>
          <w:szCs w:val="22"/>
          <w:lang w:val="es-CR"/>
        </w:rPr>
      </w:pPr>
    </w:p>
    <w:p w14:paraId="177EB32D" w14:textId="77777777" w:rsidR="0013505B" w:rsidRDefault="0013505B" w:rsidP="0013505B">
      <w:pPr>
        <w:pStyle w:val="Default"/>
        <w:jc w:val="both"/>
        <w:rPr>
          <w:sz w:val="22"/>
          <w:szCs w:val="22"/>
          <w:lang w:val="es-CR"/>
        </w:rPr>
      </w:pPr>
    </w:p>
    <w:tbl>
      <w:tblPr>
        <w:tblW w:w="9346" w:type="dxa"/>
        <w:tblLook w:val="04A0" w:firstRow="1" w:lastRow="0" w:firstColumn="1" w:lastColumn="0" w:noHBand="0" w:noVBand="1"/>
      </w:tblPr>
      <w:tblGrid>
        <w:gridCol w:w="416"/>
        <w:gridCol w:w="708"/>
        <w:gridCol w:w="426"/>
        <w:gridCol w:w="16"/>
        <w:gridCol w:w="3674"/>
        <w:gridCol w:w="16"/>
        <w:gridCol w:w="2237"/>
        <w:gridCol w:w="16"/>
        <w:gridCol w:w="1837"/>
      </w:tblGrid>
      <w:tr w:rsidR="0013505B" w:rsidRPr="0013505B" w14:paraId="6D45493A" w14:textId="77777777" w:rsidTr="005F3F7D">
        <w:trPr>
          <w:trHeight w:val="300"/>
        </w:trPr>
        <w:tc>
          <w:tcPr>
            <w:tcW w:w="1566"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91875F9"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 / Política</w:t>
            </w:r>
          </w:p>
        </w:tc>
        <w:tc>
          <w:tcPr>
            <w:tcW w:w="369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6A72BEB3"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Concepto</w:t>
            </w:r>
          </w:p>
        </w:tc>
        <w:tc>
          <w:tcPr>
            <w:tcW w:w="4090" w:type="dxa"/>
            <w:gridSpan w:val="3"/>
            <w:tcBorders>
              <w:top w:val="single" w:sz="8" w:space="0" w:color="auto"/>
              <w:left w:val="nil"/>
              <w:bottom w:val="single" w:sz="8" w:space="0" w:color="auto"/>
              <w:right w:val="single" w:sz="8" w:space="0" w:color="000000"/>
            </w:tcBorders>
            <w:shd w:val="clear" w:color="000000" w:fill="203764"/>
            <w:vAlign w:val="center"/>
            <w:hideMark/>
          </w:tcPr>
          <w:p w14:paraId="4F0AD2C9"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Referencia</w:t>
            </w:r>
          </w:p>
        </w:tc>
      </w:tr>
      <w:tr w:rsidR="0013505B" w:rsidRPr="006E5442" w14:paraId="3E5CF1ED" w14:textId="77777777" w:rsidTr="005F3F7D">
        <w:trPr>
          <w:trHeight w:val="850"/>
        </w:trPr>
        <w:tc>
          <w:tcPr>
            <w:tcW w:w="1566" w:type="dxa"/>
            <w:gridSpan w:val="4"/>
            <w:vMerge/>
            <w:tcBorders>
              <w:top w:val="single" w:sz="8" w:space="0" w:color="auto"/>
              <w:left w:val="single" w:sz="8" w:space="0" w:color="auto"/>
              <w:bottom w:val="nil"/>
              <w:right w:val="single" w:sz="8" w:space="0" w:color="000000"/>
            </w:tcBorders>
            <w:vAlign w:val="center"/>
            <w:hideMark/>
          </w:tcPr>
          <w:p w14:paraId="1617189B" w14:textId="77777777" w:rsidR="0013505B" w:rsidRPr="0013505B" w:rsidRDefault="0013505B" w:rsidP="0013505B">
            <w:pPr>
              <w:rPr>
                <w:rFonts w:ascii="Arial Narrow" w:eastAsia="Times New Roman" w:hAnsi="Arial Narrow" w:cs="Calibri"/>
                <w:b/>
                <w:bCs/>
                <w:color w:val="FFFFFF"/>
                <w:sz w:val="22"/>
                <w:szCs w:val="22"/>
              </w:rPr>
            </w:pPr>
          </w:p>
        </w:tc>
        <w:tc>
          <w:tcPr>
            <w:tcW w:w="3690" w:type="dxa"/>
            <w:gridSpan w:val="2"/>
            <w:vMerge/>
            <w:tcBorders>
              <w:top w:val="single" w:sz="8" w:space="0" w:color="auto"/>
              <w:left w:val="single" w:sz="8" w:space="0" w:color="auto"/>
              <w:bottom w:val="nil"/>
              <w:right w:val="single" w:sz="8" w:space="0" w:color="auto"/>
            </w:tcBorders>
            <w:vAlign w:val="center"/>
            <w:hideMark/>
          </w:tcPr>
          <w:p w14:paraId="0F17A065" w14:textId="77777777" w:rsidR="0013505B" w:rsidRPr="0013505B" w:rsidRDefault="0013505B" w:rsidP="0013505B">
            <w:pPr>
              <w:rPr>
                <w:rFonts w:ascii="Arial Narrow" w:eastAsia="Times New Roman" w:hAnsi="Arial Narrow" w:cs="Calibri"/>
                <w:b/>
                <w:bCs/>
                <w:color w:val="FFFFFF"/>
                <w:sz w:val="22"/>
                <w:szCs w:val="22"/>
              </w:rPr>
            </w:pPr>
          </w:p>
        </w:tc>
        <w:tc>
          <w:tcPr>
            <w:tcW w:w="2253" w:type="dxa"/>
            <w:gridSpan w:val="2"/>
            <w:tcBorders>
              <w:top w:val="nil"/>
              <w:left w:val="nil"/>
              <w:bottom w:val="nil"/>
              <w:right w:val="single" w:sz="8" w:space="0" w:color="auto"/>
            </w:tcBorders>
            <w:shd w:val="clear" w:color="000000" w:fill="203764"/>
            <w:vAlign w:val="center"/>
            <w:hideMark/>
          </w:tcPr>
          <w:p w14:paraId="1870EB01"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w:t>
            </w:r>
          </w:p>
        </w:tc>
        <w:tc>
          <w:tcPr>
            <w:tcW w:w="1837" w:type="dxa"/>
            <w:tcBorders>
              <w:top w:val="nil"/>
              <w:left w:val="nil"/>
              <w:bottom w:val="nil"/>
              <w:right w:val="single" w:sz="8" w:space="0" w:color="auto"/>
            </w:tcBorders>
            <w:shd w:val="clear" w:color="000000" w:fill="203764"/>
            <w:vAlign w:val="center"/>
            <w:hideMark/>
          </w:tcPr>
          <w:p w14:paraId="3EF45490" w14:textId="77777777" w:rsidR="0013505B" w:rsidRPr="0013505B" w:rsidRDefault="0013505B" w:rsidP="0013505B">
            <w:pPr>
              <w:jc w:val="center"/>
              <w:rPr>
                <w:rFonts w:ascii="Arial Narrow" w:eastAsia="Times New Roman" w:hAnsi="Arial Narrow" w:cs="Calibri"/>
                <w:b/>
                <w:bCs/>
                <w:color w:val="FFFFFF"/>
                <w:sz w:val="22"/>
                <w:szCs w:val="22"/>
                <w:lang w:val="es-CR"/>
              </w:rPr>
            </w:pPr>
            <w:r w:rsidRPr="0013505B">
              <w:rPr>
                <w:rFonts w:ascii="Arial Narrow" w:eastAsia="Times New Roman" w:hAnsi="Arial Narrow" w:cs="Calibri"/>
                <w:b/>
                <w:bCs/>
                <w:color w:val="FFFFFF"/>
                <w:sz w:val="22"/>
                <w:szCs w:val="22"/>
                <w:lang w:val="es-CR"/>
              </w:rPr>
              <w:t>Normativa técnica y disposiciones adicionales</w:t>
            </w:r>
          </w:p>
        </w:tc>
      </w:tr>
      <w:tr w:rsidR="0013505B" w:rsidRPr="0013505B" w14:paraId="179B0CFD"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B9F43B"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EDB3AD4"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76</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0B6C7DC2"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 xml:space="preserve"> </w:t>
            </w:r>
          </w:p>
        </w:tc>
        <w:tc>
          <w:tcPr>
            <w:tcW w:w="3690" w:type="dxa"/>
            <w:gridSpan w:val="2"/>
            <w:tcBorders>
              <w:top w:val="single" w:sz="8" w:space="0" w:color="auto"/>
              <w:left w:val="nil"/>
              <w:bottom w:val="single" w:sz="8" w:space="0" w:color="auto"/>
              <w:right w:val="single" w:sz="8" w:space="0" w:color="auto"/>
            </w:tcBorders>
            <w:shd w:val="clear" w:color="auto" w:fill="auto"/>
            <w:vAlign w:val="center"/>
            <w:hideMark/>
          </w:tcPr>
          <w:p w14:paraId="5C212B6E" w14:textId="77777777"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Información comparativa</w:t>
            </w:r>
          </w:p>
        </w:tc>
        <w:tc>
          <w:tcPr>
            <w:tcW w:w="2253" w:type="dxa"/>
            <w:gridSpan w:val="2"/>
            <w:tcBorders>
              <w:top w:val="single" w:sz="8" w:space="0" w:color="auto"/>
              <w:left w:val="nil"/>
              <w:bottom w:val="single" w:sz="8" w:space="0" w:color="auto"/>
              <w:right w:val="single" w:sz="8" w:space="0" w:color="auto"/>
            </w:tcBorders>
            <w:shd w:val="clear" w:color="auto" w:fill="auto"/>
            <w:vAlign w:val="center"/>
            <w:hideMark/>
          </w:tcPr>
          <w:p w14:paraId="12D5E8A6" w14:textId="77777777" w:rsidR="005F3F7D"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NICSP N° 24,</w:t>
            </w:r>
          </w:p>
          <w:p w14:paraId="7F8BFE63" w14:textId="28099640"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Párrafos 52 y 53.</w:t>
            </w:r>
          </w:p>
        </w:tc>
        <w:tc>
          <w:tcPr>
            <w:tcW w:w="1853" w:type="dxa"/>
            <w:gridSpan w:val="2"/>
            <w:tcBorders>
              <w:top w:val="single" w:sz="8" w:space="0" w:color="auto"/>
              <w:left w:val="nil"/>
              <w:bottom w:val="single" w:sz="8" w:space="0" w:color="auto"/>
              <w:right w:val="single" w:sz="8" w:space="0" w:color="auto"/>
            </w:tcBorders>
            <w:shd w:val="clear" w:color="auto" w:fill="auto"/>
            <w:vAlign w:val="center"/>
            <w:hideMark/>
          </w:tcPr>
          <w:p w14:paraId="38AB1D97"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 </w:t>
            </w:r>
          </w:p>
        </w:tc>
      </w:tr>
    </w:tbl>
    <w:p w14:paraId="5AD2AE56" w14:textId="77777777" w:rsidR="005F3F7D" w:rsidRDefault="005F3F7D" w:rsidP="0013505B">
      <w:pPr>
        <w:pStyle w:val="Default"/>
        <w:jc w:val="both"/>
        <w:rPr>
          <w:sz w:val="22"/>
          <w:szCs w:val="22"/>
          <w:lang w:val="es-CR"/>
        </w:rPr>
      </w:pPr>
    </w:p>
    <w:p w14:paraId="5C0CC19C" w14:textId="77777777" w:rsidR="005F3F7D" w:rsidRDefault="005F3F7D" w:rsidP="005F3F7D">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F286738" w14:textId="77777777" w:rsidR="005F3F7D" w:rsidRDefault="005F3F7D" w:rsidP="0013505B">
      <w:pPr>
        <w:pStyle w:val="Default"/>
        <w:jc w:val="both"/>
        <w:rPr>
          <w:sz w:val="22"/>
          <w:szCs w:val="22"/>
          <w:lang w:val="es-CR"/>
        </w:rPr>
      </w:pPr>
    </w:p>
    <w:p w14:paraId="5DF484B4" w14:textId="717BE35C" w:rsidR="0013505B" w:rsidRPr="0013505B" w:rsidRDefault="0013505B" w:rsidP="0013505B">
      <w:pPr>
        <w:pStyle w:val="Default"/>
        <w:ind w:left="1134" w:hanging="1134"/>
        <w:jc w:val="both"/>
        <w:rPr>
          <w:sz w:val="22"/>
          <w:szCs w:val="22"/>
          <w:lang w:val="es-CR"/>
        </w:rPr>
      </w:pPr>
      <w:r>
        <w:rPr>
          <w:sz w:val="22"/>
          <w:szCs w:val="22"/>
          <w:lang w:val="es-CR"/>
        </w:rPr>
        <w:t>6.76.0.01</w:t>
      </w:r>
      <w:r>
        <w:rPr>
          <w:sz w:val="22"/>
          <w:szCs w:val="22"/>
          <w:lang w:val="es-CR"/>
        </w:rPr>
        <w:tab/>
      </w:r>
      <w:r w:rsidRPr="0013505B">
        <w:rPr>
          <w:sz w:val="22"/>
          <w:szCs w:val="22"/>
          <w:lang w:val="es-CR"/>
        </w:rPr>
        <w:t>No se requiere que la información del presente apartado se presente en términos comparativos con respecto al período anterior.</w:t>
      </w:r>
    </w:p>
    <w:p w14:paraId="2837F524" w14:textId="77777777" w:rsidR="0013505B" w:rsidRDefault="0013505B" w:rsidP="0013505B">
      <w:pPr>
        <w:pStyle w:val="Default"/>
        <w:ind w:firstLine="720"/>
        <w:jc w:val="both"/>
        <w:rPr>
          <w:sz w:val="22"/>
          <w:szCs w:val="22"/>
          <w:lang w:val="es-CR"/>
        </w:rPr>
      </w:pPr>
    </w:p>
    <w:p w14:paraId="06F48436" w14:textId="77777777" w:rsidR="005F3F7D" w:rsidRDefault="005F3F7D" w:rsidP="0013505B">
      <w:pPr>
        <w:pStyle w:val="Default"/>
        <w:ind w:firstLine="720"/>
        <w:jc w:val="both"/>
        <w:rPr>
          <w:sz w:val="22"/>
          <w:szCs w:val="22"/>
          <w:lang w:val="es-CR"/>
        </w:rPr>
      </w:pPr>
    </w:p>
    <w:p w14:paraId="011E3727" w14:textId="77777777" w:rsidR="005F3F7D" w:rsidRDefault="005F3F7D" w:rsidP="0013505B">
      <w:pPr>
        <w:pStyle w:val="Default"/>
        <w:ind w:firstLine="720"/>
        <w:jc w:val="both"/>
        <w:rPr>
          <w:sz w:val="22"/>
          <w:szCs w:val="22"/>
          <w:lang w:val="es-CR"/>
        </w:rPr>
      </w:pPr>
    </w:p>
    <w:p w14:paraId="670F59AF" w14:textId="77777777" w:rsidR="005F3F7D" w:rsidRDefault="005F3F7D" w:rsidP="0013505B">
      <w:pPr>
        <w:pStyle w:val="Default"/>
        <w:ind w:firstLine="720"/>
        <w:jc w:val="both"/>
        <w:rPr>
          <w:sz w:val="22"/>
          <w:szCs w:val="22"/>
          <w:lang w:val="es-CR"/>
        </w:rPr>
      </w:pPr>
    </w:p>
    <w:p w14:paraId="713ABE9E" w14:textId="77777777" w:rsidR="005F3F7D" w:rsidRDefault="005F3F7D" w:rsidP="0013505B">
      <w:pPr>
        <w:pStyle w:val="Default"/>
        <w:ind w:firstLine="720"/>
        <w:jc w:val="both"/>
        <w:rPr>
          <w:sz w:val="22"/>
          <w:szCs w:val="22"/>
          <w:lang w:val="es-CR"/>
        </w:rPr>
      </w:pPr>
    </w:p>
    <w:p w14:paraId="6FB53642" w14:textId="77777777" w:rsidR="005F3F7D" w:rsidRDefault="005F3F7D" w:rsidP="0013505B">
      <w:pPr>
        <w:pStyle w:val="Default"/>
        <w:ind w:firstLine="720"/>
        <w:jc w:val="both"/>
        <w:rPr>
          <w:sz w:val="22"/>
          <w:szCs w:val="22"/>
          <w:lang w:val="es-CR"/>
        </w:rPr>
      </w:pPr>
    </w:p>
    <w:p w14:paraId="21142871" w14:textId="77777777" w:rsidR="005F3F7D" w:rsidRDefault="005F3F7D" w:rsidP="0013505B">
      <w:pPr>
        <w:pStyle w:val="Default"/>
        <w:ind w:firstLine="720"/>
        <w:jc w:val="both"/>
        <w:rPr>
          <w:sz w:val="22"/>
          <w:szCs w:val="22"/>
          <w:lang w:val="es-CR"/>
        </w:rPr>
      </w:pPr>
    </w:p>
    <w:p w14:paraId="7662A35F" w14:textId="77777777" w:rsidR="0013505B" w:rsidRDefault="0013505B" w:rsidP="0013505B">
      <w:pPr>
        <w:pStyle w:val="Default"/>
        <w:jc w:val="both"/>
        <w:rPr>
          <w:sz w:val="22"/>
          <w:szCs w:val="22"/>
          <w:lang w:val="es-CR"/>
        </w:rPr>
      </w:pPr>
    </w:p>
    <w:p w14:paraId="595BB50C" w14:textId="77777777" w:rsidR="00D62F9A" w:rsidRDefault="00D62F9A" w:rsidP="00D033EC">
      <w:pPr>
        <w:pStyle w:val="Default"/>
        <w:jc w:val="both"/>
        <w:rPr>
          <w:sz w:val="23"/>
          <w:szCs w:val="23"/>
          <w:lang w:val="es-CR"/>
        </w:rPr>
      </w:pPr>
    </w:p>
    <w:p w14:paraId="0647EEB6" w14:textId="75A3B394" w:rsidR="00D62F9A" w:rsidRPr="00F83921" w:rsidRDefault="00F83921" w:rsidP="00F83921">
      <w:pPr>
        <w:pStyle w:val="Ttulo2"/>
        <w:ind w:left="284"/>
        <w:rPr>
          <w:rFonts w:ascii="Arial" w:eastAsia="Arial" w:hAnsi="Arial" w:cs="Arial"/>
          <w:b/>
          <w:bCs/>
          <w:sz w:val="24"/>
          <w:szCs w:val="24"/>
          <w:lang w:val="es-CR"/>
        </w:rPr>
      </w:pPr>
      <w:bookmarkStart w:id="183" w:name="_Toc172726318"/>
      <w:r w:rsidRPr="00F83921">
        <w:rPr>
          <w:rFonts w:ascii="Arial" w:eastAsia="Arial" w:hAnsi="Arial" w:cs="Arial"/>
          <w:b/>
          <w:bCs/>
          <w:sz w:val="24"/>
          <w:szCs w:val="24"/>
          <w:lang w:val="es-CR"/>
        </w:rPr>
        <w:lastRenderedPageBreak/>
        <w:t>Estado de Conciliación de Resultados Contable y Presupuestario</w:t>
      </w:r>
      <w:bookmarkEnd w:id="183"/>
    </w:p>
    <w:p w14:paraId="00A9E499" w14:textId="77777777" w:rsidR="00D62F9A" w:rsidRDefault="00D62F9A" w:rsidP="00D033EC">
      <w:pPr>
        <w:pStyle w:val="Default"/>
        <w:jc w:val="both"/>
        <w:rPr>
          <w:sz w:val="23"/>
          <w:szCs w:val="23"/>
          <w:lang w:val="es-CR"/>
        </w:rPr>
      </w:pPr>
    </w:p>
    <w:p w14:paraId="4CC752D7" w14:textId="77777777" w:rsidR="00D62F9A" w:rsidRDefault="00D62F9A"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33"/>
        <w:gridCol w:w="7"/>
        <w:gridCol w:w="3683"/>
        <w:gridCol w:w="7"/>
        <w:gridCol w:w="2246"/>
        <w:gridCol w:w="7"/>
        <w:gridCol w:w="1839"/>
      </w:tblGrid>
      <w:tr w:rsidR="0013505B" w:rsidRPr="0013505B" w14:paraId="718E59A5" w14:textId="77777777" w:rsidTr="005F3F7D">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8B06944"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 / Política</w:t>
            </w:r>
          </w:p>
        </w:tc>
        <w:tc>
          <w:tcPr>
            <w:tcW w:w="369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2C324D4"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Concepto</w:t>
            </w:r>
          </w:p>
        </w:tc>
        <w:tc>
          <w:tcPr>
            <w:tcW w:w="4092" w:type="dxa"/>
            <w:gridSpan w:val="3"/>
            <w:tcBorders>
              <w:top w:val="single" w:sz="8" w:space="0" w:color="auto"/>
              <w:left w:val="nil"/>
              <w:bottom w:val="single" w:sz="8" w:space="0" w:color="auto"/>
              <w:right w:val="single" w:sz="8" w:space="0" w:color="000000"/>
            </w:tcBorders>
            <w:shd w:val="clear" w:color="000000" w:fill="203764"/>
            <w:vAlign w:val="center"/>
            <w:hideMark/>
          </w:tcPr>
          <w:p w14:paraId="5368ABA9"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Referencia</w:t>
            </w:r>
          </w:p>
        </w:tc>
      </w:tr>
      <w:tr w:rsidR="0013505B" w:rsidRPr="006E5442" w14:paraId="1BF01AE6" w14:textId="77777777" w:rsidTr="005F3F7D">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7D11F451" w14:textId="77777777" w:rsidR="0013505B" w:rsidRPr="0013505B" w:rsidRDefault="0013505B" w:rsidP="0013505B">
            <w:pPr>
              <w:rPr>
                <w:rFonts w:ascii="Arial Narrow" w:eastAsia="Times New Roman" w:hAnsi="Arial Narrow" w:cs="Calibri"/>
                <w:b/>
                <w:bCs/>
                <w:color w:val="FFFFFF"/>
                <w:sz w:val="22"/>
                <w:szCs w:val="22"/>
              </w:rPr>
            </w:pPr>
          </w:p>
        </w:tc>
        <w:tc>
          <w:tcPr>
            <w:tcW w:w="3690" w:type="dxa"/>
            <w:gridSpan w:val="2"/>
            <w:vMerge/>
            <w:tcBorders>
              <w:top w:val="single" w:sz="8" w:space="0" w:color="auto"/>
              <w:left w:val="single" w:sz="8" w:space="0" w:color="auto"/>
              <w:bottom w:val="nil"/>
              <w:right w:val="single" w:sz="8" w:space="0" w:color="auto"/>
            </w:tcBorders>
            <w:vAlign w:val="center"/>
            <w:hideMark/>
          </w:tcPr>
          <w:p w14:paraId="34D6BE7D" w14:textId="77777777" w:rsidR="0013505B" w:rsidRPr="0013505B" w:rsidRDefault="0013505B" w:rsidP="0013505B">
            <w:pPr>
              <w:rPr>
                <w:rFonts w:ascii="Arial Narrow" w:eastAsia="Times New Roman" w:hAnsi="Arial Narrow" w:cs="Calibri"/>
                <w:b/>
                <w:bCs/>
                <w:color w:val="FFFFFF"/>
                <w:sz w:val="22"/>
                <w:szCs w:val="22"/>
              </w:rPr>
            </w:pPr>
          </w:p>
        </w:tc>
        <w:tc>
          <w:tcPr>
            <w:tcW w:w="2253" w:type="dxa"/>
            <w:gridSpan w:val="2"/>
            <w:tcBorders>
              <w:top w:val="nil"/>
              <w:left w:val="nil"/>
              <w:bottom w:val="nil"/>
              <w:right w:val="single" w:sz="8" w:space="0" w:color="auto"/>
            </w:tcBorders>
            <w:shd w:val="clear" w:color="000000" w:fill="203764"/>
            <w:vAlign w:val="center"/>
            <w:hideMark/>
          </w:tcPr>
          <w:p w14:paraId="2D568D04"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w:t>
            </w:r>
          </w:p>
        </w:tc>
        <w:tc>
          <w:tcPr>
            <w:tcW w:w="1839" w:type="dxa"/>
            <w:tcBorders>
              <w:top w:val="nil"/>
              <w:left w:val="nil"/>
              <w:bottom w:val="nil"/>
              <w:right w:val="single" w:sz="8" w:space="0" w:color="auto"/>
            </w:tcBorders>
            <w:shd w:val="clear" w:color="000000" w:fill="203764"/>
            <w:vAlign w:val="center"/>
            <w:hideMark/>
          </w:tcPr>
          <w:p w14:paraId="6C6C907E" w14:textId="77777777" w:rsidR="0013505B" w:rsidRPr="0013505B" w:rsidRDefault="0013505B" w:rsidP="0013505B">
            <w:pPr>
              <w:jc w:val="center"/>
              <w:rPr>
                <w:rFonts w:ascii="Arial Narrow" w:eastAsia="Times New Roman" w:hAnsi="Arial Narrow" w:cs="Calibri"/>
                <w:b/>
                <w:bCs/>
                <w:color w:val="FFFFFF"/>
                <w:sz w:val="22"/>
                <w:szCs w:val="22"/>
                <w:lang w:val="es-CR"/>
              </w:rPr>
            </w:pPr>
            <w:r w:rsidRPr="0013505B">
              <w:rPr>
                <w:rFonts w:ascii="Arial Narrow" w:eastAsia="Times New Roman" w:hAnsi="Arial Narrow" w:cs="Calibri"/>
                <w:b/>
                <w:bCs/>
                <w:color w:val="FFFFFF"/>
                <w:sz w:val="22"/>
                <w:szCs w:val="22"/>
                <w:lang w:val="es-CR"/>
              </w:rPr>
              <w:t>Normativa técnica y disposiciones adicionales</w:t>
            </w:r>
          </w:p>
        </w:tc>
      </w:tr>
      <w:tr w:rsidR="0013505B" w:rsidRPr="0013505B" w14:paraId="774920E6"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4BD66"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1922D5B6"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77</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686D70EB"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 xml:space="preserve"> </w:t>
            </w:r>
          </w:p>
        </w:tc>
        <w:tc>
          <w:tcPr>
            <w:tcW w:w="3690" w:type="dxa"/>
            <w:gridSpan w:val="2"/>
            <w:tcBorders>
              <w:top w:val="single" w:sz="8" w:space="0" w:color="auto"/>
              <w:left w:val="nil"/>
              <w:bottom w:val="single" w:sz="8" w:space="0" w:color="auto"/>
              <w:right w:val="single" w:sz="8" w:space="0" w:color="auto"/>
            </w:tcBorders>
            <w:shd w:val="clear" w:color="auto" w:fill="auto"/>
            <w:vAlign w:val="center"/>
            <w:hideMark/>
          </w:tcPr>
          <w:p w14:paraId="4991E45A" w14:textId="77777777"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Conciliación</w:t>
            </w:r>
          </w:p>
        </w:tc>
        <w:tc>
          <w:tcPr>
            <w:tcW w:w="2253" w:type="dxa"/>
            <w:gridSpan w:val="2"/>
            <w:tcBorders>
              <w:top w:val="single" w:sz="8" w:space="0" w:color="auto"/>
              <w:left w:val="nil"/>
              <w:bottom w:val="single" w:sz="8" w:space="0" w:color="auto"/>
              <w:right w:val="single" w:sz="8" w:space="0" w:color="auto"/>
            </w:tcBorders>
            <w:shd w:val="clear" w:color="auto" w:fill="auto"/>
            <w:vAlign w:val="center"/>
            <w:hideMark/>
          </w:tcPr>
          <w:p w14:paraId="024F40C0" w14:textId="77777777" w:rsidR="005F3F7D"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NICSP N° 24,</w:t>
            </w:r>
          </w:p>
          <w:p w14:paraId="7CF229A2" w14:textId="7F1C78B2"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Párrafos 52.</w:t>
            </w:r>
          </w:p>
        </w:tc>
        <w:tc>
          <w:tcPr>
            <w:tcW w:w="1846" w:type="dxa"/>
            <w:gridSpan w:val="2"/>
            <w:tcBorders>
              <w:top w:val="single" w:sz="8" w:space="0" w:color="auto"/>
              <w:left w:val="nil"/>
              <w:bottom w:val="single" w:sz="8" w:space="0" w:color="auto"/>
              <w:right w:val="single" w:sz="8" w:space="0" w:color="auto"/>
            </w:tcBorders>
            <w:shd w:val="clear" w:color="auto" w:fill="auto"/>
            <w:vAlign w:val="center"/>
            <w:hideMark/>
          </w:tcPr>
          <w:p w14:paraId="71341CFE"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DGCN Nota Técnica</w:t>
            </w:r>
          </w:p>
        </w:tc>
      </w:tr>
    </w:tbl>
    <w:p w14:paraId="4BCD35B4" w14:textId="77777777" w:rsidR="00D62F9A" w:rsidRDefault="00D62F9A" w:rsidP="00D033EC">
      <w:pPr>
        <w:pStyle w:val="Default"/>
        <w:jc w:val="both"/>
        <w:rPr>
          <w:sz w:val="23"/>
          <w:szCs w:val="23"/>
          <w:lang w:val="es-CR"/>
        </w:rPr>
      </w:pPr>
    </w:p>
    <w:p w14:paraId="313E9156" w14:textId="5CE7BCEB" w:rsidR="005F3F7D" w:rsidRDefault="005F3F7D" w:rsidP="005F3F7D">
      <w:pPr>
        <w:pStyle w:val="Default"/>
        <w:ind w:left="1134" w:hanging="1134"/>
        <w:jc w:val="both"/>
        <w:rPr>
          <w:rFonts w:eastAsia="Arial"/>
          <w:b/>
          <w:sz w:val="22"/>
          <w:szCs w:val="22"/>
        </w:rPr>
      </w:pPr>
      <w:r w:rsidRPr="00F02F9D">
        <w:rPr>
          <w:rFonts w:eastAsia="Arial"/>
          <w:b/>
          <w:sz w:val="22"/>
          <w:szCs w:val="22"/>
        </w:rPr>
        <w:t>Política Contable</w:t>
      </w:r>
    </w:p>
    <w:p w14:paraId="103A8CF7" w14:textId="77777777" w:rsidR="005F3F7D" w:rsidRDefault="005F3F7D" w:rsidP="00D033EC">
      <w:pPr>
        <w:pStyle w:val="Default"/>
        <w:jc w:val="both"/>
        <w:rPr>
          <w:sz w:val="23"/>
          <w:szCs w:val="23"/>
          <w:lang w:val="es-CR"/>
        </w:rPr>
      </w:pPr>
    </w:p>
    <w:p w14:paraId="379E0168" w14:textId="2EB1E3B1" w:rsidR="0013505B" w:rsidRPr="0084077D" w:rsidRDefault="0084077D" w:rsidP="0084077D">
      <w:pPr>
        <w:pStyle w:val="Default"/>
        <w:ind w:left="1134" w:hanging="1134"/>
        <w:jc w:val="both"/>
        <w:rPr>
          <w:sz w:val="22"/>
          <w:szCs w:val="22"/>
          <w:lang w:val="es-CR"/>
        </w:rPr>
      </w:pPr>
      <w:r>
        <w:rPr>
          <w:sz w:val="22"/>
          <w:szCs w:val="22"/>
          <w:lang w:val="es-CR"/>
        </w:rPr>
        <w:t>6.77.0.01</w:t>
      </w:r>
      <w:r>
        <w:rPr>
          <w:sz w:val="22"/>
          <w:szCs w:val="22"/>
          <w:lang w:val="es-CR"/>
        </w:rPr>
        <w:tab/>
      </w:r>
      <w:r w:rsidR="0013505B" w:rsidRPr="0084077D">
        <w:rPr>
          <w:sz w:val="22"/>
          <w:szCs w:val="22"/>
          <w:lang w:val="es-CR"/>
        </w:rPr>
        <w:t>A efectos de cumplir con la integración del presupuesto y contabilidad, deberá formularse y exponerse una conciliación entre los resultados contable y presupuestario, según las pautas y definiciones que establezca la DGCN a través de Nota Técnica. No se requiere que dicha conciliación se presente en términos comparativos con respecto al período anterior, no siendo obligatoria su presentación sino hasta una vez aprobado dicho modelo.</w:t>
      </w:r>
    </w:p>
    <w:p w14:paraId="2C26200F" w14:textId="77777777" w:rsidR="00D62F9A" w:rsidRDefault="00D62F9A" w:rsidP="00D033EC">
      <w:pPr>
        <w:pStyle w:val="Default"/>
        <w:jc w:val="both"/>
        <w:rPr>
          <w:sz w:val="23"/>
          <w:szCs w:val="23"/>
          <w:lang w:val="es-CR"/>
        </w:rPr>
      </w:pPr>
    </w:p>
    <w:p w14:paraId="6D2E0B7D" w14:textId="77777777" w:rsidR="005F3F7D" w:rsidRDefault="005F3F7D" w:rsidP="00D033EC">
      <w:pPr>
        <w:pStyle w:val="Default"/>
        <w:jc w:val="both"/>
        <w:rPr>
          <w:sz w:val="23"/>
          <w:szCs w:val="23"/>
          <w:lang w:val="es-CR"/>
        </w:rPr>
      </w:pPr>
    </w:p>
    <w:p w14:paraId="06A84442" w14:textId="77777777" w:rsidR="0013505B" w:rsidRDefault="0013505B"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90"/>
        <w:gridCol w:w="2253"/>
        <w:gridCol w:w="1853"/>
      </w:tblGrid>
      <w:tr w:rsidR="0013505B" w:rsidRPr="0013505B" w14:paraId="34FDD1B1" w14:textId="77777777" w:rsidTr="005F3F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0CDA4DB"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 / Política</w:t>
            </w:r>
          </w:p>
        </w:tc>
        <w:tc>
          <w:tcPr>
            <w:tcW w:w="369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C3A38BA"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Concepto</w:t>
            </w:r>
          </w:p>
        </w:tc>
        <w:tc>
          <w:tcPr>
            <w:tcW w:w="4106" w:type="dxa"/>
            <w:gridSpan w:val="2"/>
            <w:tcBorders>
              <w:top w:val="single" w:sz="8" w:space="0" w:color="auto"/>
              <w:left w:val="nil"/>
              <w:bottom w:val="single" w:sz="8" w:space="0" w:color="auto"/>
              <w:right w:val="single" w:sz="8" w:space="0" w:color="000000"/>
            </w:tcBorders>
            <w:shd w:val="clear" w:color="000000" w:fill="203764"/>
            <w:vAlign w:val="center"/>
            <w:hideMark/>
          </w:tcPr>
          <w:p w14:paraId="409F293D"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Referencia</w:t>
            </w:r>
          </w:p>
        </w:tc>
      </w:tr>
      <w:tr w:rsidR="0013505B" w:rsidRPr="006E5442" w14:paraId="54D4BC9E" w14:textId="77777777" w:rsidTr="005F3F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0862468D" w14:textId="77777777" w:rsidR="0013505B" w:rsidRPr="0013505B" w:rsidRDefault="0013505B" w:rsidP="0013505B">
            <w:pPr>
              <w:rPr>
                <w:rFonts w:ascii="Arial Narrow" w:eastAsia="Times New Roman" w:hAnsi="Arial Narrow" w:cs="Calibri"/>
                <w:b/>
                <w:bCs/>
                <w:color w:val="FFFFFF"/>
                <w:sz w:val="22"/>
                <w:szCs w:val="22"/>
              </w:rPr>
            </w:pPr>
          </w:p>
        </w:tc>
        <w:tc>
          <w:tcPr>
            <w:tcW w:w="3690" w:type="dxa"/>
            <w:vMerge/>
            <w:tcBorders>
              <w:top w:val="single" w:sz="8" w:space="0" w:color="auto"/>
              <w:left w:val="single" w:sz="8" w:space="0" w:color="auto"/>
              <w:bottom w:val="nil"/>
              <w:right w:val="single" w:sz="8" w:space="0" w:color="auto"/>
            </w:tcBorders>
            <w:vAlign w:val="center"/>
            <w:hideMark/>
          </w:tcPr>
          <w:p w14:paraId="3D393B22" w14:textId="77777777" w:rsidR="0013505B" w:rsidRPr="0013505B" w:rsidRDefault="0013505B" w:rsidP="0013505B">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579E4BC3"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6ECD4B75" w14:textId="77777777" w:rsidR="0013505B" w:rsidRPr="0013505B" w:rsidRDefault="0013505B" w:rsidP="0013505B">
            <w:pPr>
              <w:jc w:val="center"/>
              <w:rPr>
                <w:rFonts w:ascii="Arial Narrow" w:eastAsia="Times New Roman" w:hAnsi="Arial Narrow" w:cs="Calibri"/>
                <w:b/>
                <w:bCs/>
                <w:color w:val="FFFFFF"/>
                <w:sz w:val="22"/>
                <w:szCs w:val="22"/>
                <w:lang w:val="es-CR"/>
              </w:rPr>
            </w:pPr>
            <w:r w:rsidRPr="0013505B">
              <w:rPr>
                <w:rFonts w:ascii="Arial Narrow" w:eastAsia="Times New Roman" w:hAnsi="Arial Narrow" w:cs="Calibri"/>
                <w:b/>
                <w:bCs/>
                <w:color w:val="FFFFFF"/>
                <w:sz w:val="22"/>
                <w:szCs w:val="22"/>
                <w:lang w:val="es-CR"/>
              </w:rPr>
              <w:t>Normativa técnica y disposiciones adicionales</w:t>
            </w:r>
          </w:p>
        </w:tc>
      </w:tr>
      <w:tr w:rsidR="0013505B" w:rsidRPr="0013505B" w14:paraId="5FC93897"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54CFA5"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0AEA30A"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78</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6B19604"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 xml:space="preserve"> </w:t>
            </w:r>
          </w:p>
        </w:tc>
        <w:tc>
          <w:tcPr>
            <w:tcW w:w="3690" w:type="dxa"/>
            <w:tcBorders>
              <w:top w:val="single" w:sz="8" w:space="0" w:color="auto"/>
              <w:left w:val="nil"/>
              <w:bottom w:val="single" w:sz="8" w:space="0" w:color="auto"/>
              <w:right w:val="single" w:sz="8" w:space="0" w:color="auto"/>
            </w:tcBorders>
            <w:shd w:val="clear" w:color="auto" w:fill="auto"/>
            <w:vAlign w:val="center"/>
            <w:hideMark/>
          </w:tcPr>
          <w:p w14:paraId="75D50871" w14:textId="77777777"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Clasificación de las diferencias</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0BB1B9D3" w14:textId="77777777" w:rsidR="005F3F7D"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NICSP N° 24,</w:t>
            </w:r>
          </w:p>
          <w:p w14:paraId="08B1D3F6" w14:textId="3857645B"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Párrafos 48.</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291D300D"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 xml:space="preserve">DGCN </w:t>
            </w:r>
          </w:p>
        </w:tc>
      </w:tr>
    </w:tbl>
    <w:p w14:paraId="7CC975EA" w14:textId="77777777" w:rsidR="0013505B" w:rsidRDefault="0013505B" w:rsidP="00D033EC">
      <w:pPr>
        <w:pStyle w:val="Default"/>
        <w:jc w:val="both"/>
        <w:rPr>
          <w:sz w:val="23"/>
          <w:szCs w:val="23"/>
          <w:lang w:val="es-CR"/>
        </w:rPr>
      </w:pPr>
    </w:p>
    <w:p w14:paraId="471E9992" w14:textId="77777777" w:rsidR="005F3F7D" w:rsidRDefault="005F3F7D" w:rsidP="005F3F7D">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4F0DB6D" w14:textId="77777777" w:rsidR="005F3F7D" w:rsidRDefault="005F3F7D" w:rsidP="00D033EC">
      <w:pPr>
        <w:pStyle w:val="Default"/>
        <w:jc w:val="both"/>
        <w:rPr>
          <w:sz w:val="23"/>
          <w:szCs w:val="23"/>
          <w:lang w:val="es-CR"/>
        </w:rPr>
      </w:pPr>
    </w:p>
    <w:p w14:paraId="43E762A5" w14:textId="728A569C" w:rsidR="0013505B" w:rsidRDefault="0013505B" w:rsidP="005F3F7D">
      <w:pPr>
        <w:pStyle w:val="Default"/>
        <w:numPr>
          <w:ilvl w:val="3"/>
          <w:numId w:val="405"/>
        </w:numPr>
        <w:ind w:left="1134" w:hanging="1134"/>
        <w:jc w:val="both"/>
        <w:rPr>
          <w:sz w:val="22"/>
          <w:szCs w:val="22"/>
          <w:lang w:val="es-CR"/>
        </w:rPr>
      </w:pPr>
      <w:r w:rsidRPr="0084077D">
        <w:rPr>
          <w:sz w:val="22"/>
          <w:szCs w:val="22"/>
          <w:lang w:val="es-CR"/>
        </w:rPr>
        <w:t xml:space="preserve">Las diferencias totales que surjan de dicha </w:t>
      </w:r>
      <w:r w:rsidR="005F3F7D" w:rsidRPr="0084077D">
        <w:rPr>
          <w:sz w:val="22"/>
          <w:szCs w:val="22"/>
          <w:lang w:val="es-CR"/>
        </w:rPr>
        <w:t>conciliación</w:t>
      </w:r>
      <w:r w:rsidRPr="0084077D">
        <w:rPr>
          <w:sz w:val="22"/>
          <w:szCs w:val="22"/>
          <w:lang w:val="es-CR"/>
        </w:rPr>
        <w:t xml:space="preserve"> se agruparán en:</w:t>
      </w:r>
    </w:p>
    <w:p w14:paraId="1E34501B" w14:textId="77777777" w:rsidR="005F3F7D" w:rsidRPr="0084077D" w:rsidRDefault="005F3F7D" w:rsidP="005F3F7D">
      <w:pPr>
        <w:pStyle w:val="Default"/>
        <w:ind w:left="900"/>
        <w:jc w:val="both"/>
        <w:rPr>
          <w:sz w:val="22"/>
          <w:szCs w:val="22"/>
          <w:lang w:val="es-CR"/>
        </w:rPr>
      </w:pPr>
    </w:p>
    <w:p w14:paraId="292F8341" w14:textId="77777777" w:rsidR="0084077D" w:rsidRDefault="0013505B">
      <w:pPr>
        <w:pStyle w:val="Default"/>
        <w:numPr>
          <w:ilvl w:val="0"/>
          <w:numId w:val="406"/>
        </w:numPr>
        <w:spacing w:after="120"/>
        <w:ind w:left="1418" w:hanging="284"/>
        <w:jc w:val="both"/>
        <w:rPr>
          <w:sz w:val="23"/>
          <w:szCs w:val="23"/>
          <w:lang w:val="es-CR"/>
        </w:rPr>
      </w:pPr>
      <w:r w:rsidRPr="0013505B">
        <w:rPr>
          <w:b/>
          <w:bCs/>
          <w:sz w:val="23"/>
          <w:szCs w:val="23"/>
          <w:lang w:val="es-CR"/>
        </w:rPr>
        <w:t>Diferencias en las bases</w:t>
      </w:r>
      <w:r w:rsidRPr="0013505B">
        <w:rPr>
          <w:sz w:val="23"/>
          <w:szCs w:val="23"/>
          <w:lang w:val="es-CR"/>
        </w:rPr>
        <w:t>: que tienen lugar cuando el presupuesto aprobado (así como su ejecución) se prepara con una base distinta de la base contable.</w:t>
      </w:r>
    </w:p>
    <w:p w14:paraId="4B2B000A" w14:textId="1ECB277C" w:rsidR="0013505B" w:rsidRPr="0013505B" w:rsidRDefault="0013505B">
      <w:pPr>
        <w:pStyle w:val="Default"/>
        <w:numPr>
          <w:ilvl w:val="0"/>
          <w:numId w:val="406"/>
        </w:numPr>
        <w:spacing w:after="120"/>
        <w:ind w:left="1418" w:hanging="284"/>
        <w:jc w:val="both"/>
        <w:rPr>
          <w:sz w:val="23"/>
          <w:szCs w:val="23"/>
          <w:lang w:val="es-CR"/>
        </w:rPr>
      </w:pPr>
      <w:r w:rsidRPr="0013505B">
        <w:rPr>
          <w:b/>
          <w:bCs/>
          <w:sz w:val="23"/>
          <w:szCs w:val="23"/>
          <w:lang w:val="es-CR"/>
        </w:rPr>
        <w:t>Diferencias temporales</w:t>
      </w:r>
      <w:r w:rsidRPr="0013505B">
        <w:rPr>
          <w:sz w:val="23"/>
          <w:szCs w:val="23"/>
          <w:lang w:val="es-CR"/>
        </w:rPr>
        <w:t xml:space="preserve">: que tienen lugar cuando el período del presupuesto difiere del período de presentación reflejado en los EEFF. </w:t>
      </w:r>
    </w:p>
    <w:p w14:paraId="4BAD532D" w14:textId="72B695D6" w:rsidR="0013505B" w:rsidRPr="0013505B" w:rsidRDefault="0013505B">
      <w:pPr>
        <w:pStyle w:val="Default"/>
        <w:numPr>
          <w:ilvl w:val="0"/>
          <w:numId w:val="406"/>
        </w:numPr>
        <w:spacing w:after="120"/>
        <w:ind w:left="1418" w:hanging="284"/>
        <w:jc w:val="both"/>
        <w:rPr>
          <w:sz w:val="23"/>
          <w:szCs w:val="23"/>
          <w:lang w:val="es-CR"/>
        </w:rPr>
      </w:pPr>
      <w:r w:rsidRPr="0013505B">
        <w:rPr>
          <w:b/>
          <w:bCs/>
          <w:sz w:val="23"/>
          <w:szCs w:val="23"/>
          <w:lang w:val="es-CR"/>
        </w:rPr>
        <w:t xml:space="preserve">Diferencias de las entidades: </w:t>
      </w:r>
      <w:r w:rsidRPr="0013505B">
        <w:rPr>
          <w:sz w:val="23"/>
          <w:szCs w:val="23"/>
          <w:lang w:val="es-CR"/>
        </w:rPr>
        <w:t xml:space="preserve">que tienen lugar cuando el presupuesto omite programas o entidades que son parte de la entidad para la cual se preparan los EEFF. </w:t>
      </w:r>
    </w:p>
    <w:p w14:paraId="535CD37E" w14:textId="3352A102" w:rsidR="0013505B" w:rsidRPr="0013505B" w:rsidRDefault="0013505B">
      <w:pPr>
        <w:pStyle w:val="Default"/>
        <w:numPr>
          <w:ilvl w:val="0"/>
          <w:numId w:val="406"/>
        </w:numPr>
        <w:spacing w:after="120"/>
        <w:ind w:left="1418" w:hanging="284"/>
        <w:jc w:val="both"/>
        <w:rPr>
          <w:sz w:val="23"/>
          <w:szCs w:val="23"/>
          <w:lang w:val="es-CR"/>
        </w:rPr>
      </w:pPr>
      <w:r w:rsidRPr="0013505B">
        <w:rPr>
          <w:b/>
          <w:bCs/>
          <w:sz w:val="23"/>
          <w:szCs w:val="23"/>
          <w:lang w:val="es-CR"/>
        </w:rPr>
        <w:t xml:space="preserve">Diferencias en las metodologías: </w:t>
      </w:r>
      <w:r w:rsidRPr="0013505B">
        <w:rPr>
          <w:sz w:val="23"/>
          <w:szCs w:val="23"/>
          <w:lang w:val="es-CR"/>
        </w:rPr>
        <w:t xml:space="preserve">que tiene lugar cuando se utilizan metodologías diferentes en el registro. </w:t>
      </w:r>
    </w:p>
    <w:p w14:paraId="1E4A1ED9" w14:textId="77777777" w:rsidR="0084077D" w:rsidRDefault="0013505B">
      <w:pPr>
        <w:pStyle w:val="Default"/>
        <w:numPr>
          <w:ilvl w:val="0"/>
          <w:numId w:val="406"/>
        </w:numPr>
        <w:spacing w:after="120"/>
        <w:ind w:left="1418" w:hanging="284"/>
        <w:jc w:val="both"/>
        <w:rPr>
          <w:sz w:val="23"/>
          <w:szCs w:val="23"/>
          <w:lang w:val="es-CR"/>
        </w:rPr>
      </w:pPr>
      <w:r w:rsidRPr="0013505B">
        <w:rPr>
          <w:b/>
          <w:bCs/>
          <w:sz w:val="23"/>
          <w:szCs w:val="23"/>
          <w:lang w:val="es-CR"/>
        </w:rPr>
        <w:t xml:space="preserve">Diferencias por movimientos sin impacto presupuestario: </w:t>
      </w:r>
      <w:r w:rsidRPr="0013505B">
        <w:rPr>
          <w:sz w:val="23"/>
          <w:szCs w:val="23"/>
          <w:lang w:val="es-CR"/>
        </w:rPr>
        <w:t xml:space="preserve">que tiene lugar cuando se efectúan ajustes contables, registros de depreciaciones y amortizaciones, pérdidas por deterioro y otros movimientos sin incidencia presupuestaria. </w:t>
      </w:r>
    </w:p>
    <w:p w14:paraId="142731EF" w14:textId="7E0B9B1A" w:rsidR="0013505B" w:rsidRPr="0013505B" w:rsidRDefault="0013505B">
      <w:pPr>
        <w:pStyle w:val="Default"/>
        <w:numPr>
          <w:ilvl w:val="0"/>
          <w:numId w:val="406"/>
        </w:numPr>
        <w:spacing w:after="120"/>
        <w:ind w:left="1418" w:hanging="284"/>
        <w:jc w:val="both"/>
        <w:rPr>
          <w:sz w:val="23"/>
          <w:szCs w:val="23"/>
          <w:lang w:val="es-CR"/>
        </w:rPr>
      </w:pPr>
      <w:r w:rsidRPr="0013505B">
        <w:rPr>
          <w:b/>
          <w:bCs/>
          <w:sz w:val="23"/>
          <w:szCs w:val="23"/>
          <w:lang w:val="es-CR"/>
        </w:rPr>
        <w:t>Diferencias por Formatos</w:t>
      </w:r>
      <w:r w:rsidRPr="0013505B">
        <w:rPr>
          <w:sz w:val="23"/>
          <w:szCs w:val="23"/>
          <w:lang w:val="es-CR"/>
        </w:rPr>
        <w:t>: que tienen lugar en los casos de presentaciones con esquemas de formatos y/o clasificaciones adoptados en forma diferente para la presentación de los EEFF y el presupuesto (así como su ejecución)</w:t>
      </w:r>
      <w:r w:rsidRPr="0013505B">
        <w:rPr>
          <w:b/>
          <w:bCs/>
          <w:sz w:val="23"/>
          <w:szCs w:val="23"/>
          <w:lang w:val="es-CR"/>
        </w:rPr>
        <w:t xml:space="preserve">. </w:t>
      </w:r>
    </w:p>
    <w:p w14:paraId="3EB35E7D" w14:textId="12C61308" w:rsidR="0013505B" w:rsidRPr="0013505B" w:rsidRDefault="0013505B">
      <w:pPr>
        <w:pStyle w:val="Default"/>
        <w:numPr>
          <w:ilvl w:val="0"/>
          <w:numId w:val="406"/>
        </w:numPr>
        <w:ind w:left="1418" w:hanging="284"/>
        <w:jc w:val="both"/>
        <w:rPr>
          <w:sz w:val="23"/>
          <w:szCs w:val="23"/>
          <w:lang w:val="es-CR"/>
        </w:rPr>
      </w:pPr>
      <w:r w:rsidRPr="0013505B">
        <w:rPr>
          <w:b/>
          <w:bCs/>
          <w:sz w:val="23"/>
          <w:szCs w:val="23"/>
          <w:lang w:val="es-CR"/>
        </w:rPr>
        <w:lastRenderedPageBreak/>
        <w:t xml:space="preserve">Otras Diferencias: </w:t>
      </w:r>
      <w:r w:rsidRPr="0013505B">
        <w:rPr>
          <w:sz w:val="23"/>
          <w:szCs w:val="23"/>
          <w:lang w:val="es-CR"/>
        </w:rPr>
        <w:t xml:space="preserve">que pueden tener lugar en la operatoria especifica de la Administración Financiera de Costa Rica. </w:t>
      </w:r>
    </w:p>
    <w:p w14:paraId="5CAB1F9F" w14:textId="77777777" w:rsidR="00D62F9A" w:rsidRDefault="00D62F9A" w:rsidP="00D033EC">
      <w:pPr>
        <w:pStyle w:val="Default"/>
        <w:jc w:val="both"/>
        <w:rPr>
          <w:sz w:val="23"/>
          <w:szCs w:val="23"/>
          <w:lang w:val="es-CR"/>
        </w:rPr>
      </w:pPr>
    </w:p>
    <w:p w14:paraId="74D23101" w14:textId="77777777" w:rsidR="005F3F7D" w:rsidRDefault="005F3F7D" w:rsidP="00D033EC">
      <w:pPr>
        <w:pStyle w:val="Default"/>
        <w:jc w:val="both"/>
        <w:rPr>
          <w:sz w:val="23"/>
          <w:szCs w:val="23"/>
          <w:lang w:val="es-CR"/>
        </w:rPr>
      </w:pPr>
    </w:p>
    <w:p w14:paraId="163A529B" w14:textId="77777777" w:rsidR="0013505B" w:rsidRDefault="0013505B"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87"/>
        <w:gridCol w:w="2254"/>
        <w:gridCol w:w="1855"/>
      </w:tblGrid>
      <w:tr w:rsidR="0013505B" w:rsidRPr="0013505B" w14:paraId="325AD12F" w14:textId="77777777" w:rsidTr="005F3F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7DC039D"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4E839E76"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Concepto</w:t>
            </w:r>
          </w:p>
        </w:tc>
        <w:tc>
          <w:tcPr>
            <w:tcW w:w="4109" w:type="dxa"/>
            <w:gridSpan w:val="2"/>
            <w:tcBorders>
              <w:top w:val="single" w:sz="8" w:space="0" w:color="auto"/>
              <w:left w:val="nil"/>
              <w:bottom w:val="single" w:sz="8" w:space="0" w:color="auto"/>
              <w:right w:val="single" w:sz="8" w:space="0" w:color="000000"/>
            </w:tcBorders>
            <w:shd w:val="clear" w:color="000000" w:fill="203764"/>
            <w:vAlign w:val="center"/>
            <w:hideMark/>
          </w:tcPr>
          <w:p w14:paraId="2A62FB98"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Referencia</w:t>
            </w:r>
          </w:p>
        </w:tc>
      </w:tr>
      <w:tr w:rsidR="0013505B" w:rsidRPr="006E5442" w14:paraId="2369827D" w14:textId="77777777" w:rsidTr="005F3F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117BF2E" w14:textId="77777777" w:rsidR="0013505B" w:rsidRPr="0013505B" w:rsidRDefault="0013505B" w:rsidP="0013505B">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670E3002" w14:textId="77777777" w:rsidR="0013505B" w:rsidRPr="0013505B" w:rsidRDefault="0013505B" w:rsidP="0013505B">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2654B6F0"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1AFAD27B" w14:textId="77777777" w:rsidR="0013505B" w:rsidRPr="0013505B" w:rsidRDefault="0013505B" w:rsidP="0013505B">
            <w:pPr>
              <w:jc w:val="center"/>
              <w:rPr>
                <w:rFonts w:ascii="Arial Narrow" w:eastAsia="Times New Roman" w:hAnsi="Arial Narrow" w:cs="Calibri"/>
                <w:b/>
                <w:bCs/>
                <w:color w:val="FFFFFF"/>
                <w:sz w:val="22"/>
                <w:szCs w:val="22"/>
                <w:lang w:val="es-CR"/>
              </w:rPr>
            </w:pPr>
            <w:r w:rsidRPr="0013505B">
              <w:rPr>
                <w:rFonts w:ascii="Arial Narrow" w:eastAsia="Times New Roman" w:hAnsi="Arial Narrow" w:cs="Calibri"/>
                <w:b/>
                <w:bCs/>
                <w:color w:val="FFFFFF"/>
                <w:sz w:val="22"/>
                <w:szCs w:val="22"/>
                <w:lang w:val="es-CR"/>
              </w:rPr>
              <w:t>Normativa técnica y disposiciones adicionales</w:t>
            </w:r>
          </w:p>
        </w:tc>
      </w:tr>
      <w:tr w:rsidR="0013505B" w:rsidRPr="0013505B" w14:paraId="4FB5FEDA"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BFCC08"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603017B"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79</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4C5CBCD3"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 xml:space="preserve"> </w:t>
            </w: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1CC4CF22" w14:textId="77777777"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Notas</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3A0C5A17" w14:textId="77777777" w:rsidR="005F3F7D"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NICSP N° 24,</w:t>
            </w:r>
          </w:p>
          <w:p w14:paraId="454B1515" w14:textId="410D65EF"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Párrafos 14.</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6C749646"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 xml:space="preserve">DGCN </w:t>
            </w:r>
          </w:p>
        </w:tc>
      </w:tr>
    </w:tbl>
    <w:p w14:paraId="7FF92650" w14:textId="77777777" w:rsidR="0013505B" w:rsidRDefault="0013505B" w:rsidP="00D033EC">
      <w:pPr>
        <w:pStyle w:val="Default"/>
        <w:jc w:val="both"/>
        <w:rPr>
          <w:sz w:val="23"/>
          <w:szCs w:val="23"/>
          <w:lang w:val="es-CR"/>
        </w:rPr>
      </w:pPr>
    </w:p>
    <w:p w14:paraId="27D76DC2" w14:textId="749FA328" w:rsidR="005F3F7D" w:rsidRDefault="005F3F7D" w:rsidP="005F3F7D">
      <w:pPr>
        <w:pStyle w:val="Default"/>
        <w:ind w:left="1134" w:hanging="1134"/>
        <w:jc w:val="both"/>
        <w:rPr>
          <w:rFonts w:eastAsia="Arial"/>
          <w:b/>
          <w:sz w:val="22"/>
          <w:szCs w:val="22"/>
        </w:rPr>
      </w:pPr>
      <w:r w:rsidRPr="00F02F9D">
        <w:rPr>
          <w:rFonts w:eastAsia="Arial"/>
          <w:b/>
          <w:sz w:val="22"/>
          <w:szCs w:val="22"/>
        </w:rPr>
        <w:t>Política Contable</w:t>
      </w:r>
    </w:p>
    <w:p w14:paraId="57CE7E7D" w14:textId="77777777" w:rsidR="005F3F7D" w:rsidRDefault="005F3F7D" w:rsidP="00D033EC">
      <w:pPr>
        <w:pStyle w:val="Default"/>
        <w:jc w:val="both"/>
        <w:rPr>
          <w:sz w:val="23"/>
          <w:szCs w:val="23"/>
          <w:lang w:val="es-CR"/>
        </w:rPr>
      </w:pPr>
    </w:p>
    <w:p w14:paraId="0F6EFB9E" w14:textId="66BA8432" w:rsidR="0013505B" w:rsidRPr="0084077D" w:rsidRDefault="0084077D" w:rsidP="0013505B">
      <w:pPr>
        <w:pStyle w:val="Default"/>
        <w:ind w:left="1134" w:hanging="1134"/>
        <w:jc w:val="both"/>
        <w:rPr>
          <w:sz w:val="22"/>
          <w:szCs w:val="22"/>
          <w:lang w:val="es-CR"/>
        </w:rPr>
      </w:pPr>
      <w:r>
        <w:rPr>
          <w:sz w:val="22"/>
          <w:szCs w:val="22"/>
          <w:lang w:val="es-CR"/>
        </w:rPr>
        <w:t>6.79.0.01</w:t>
      </w:r>
      <w:r>
        <w:rPr>
          <w:sz w:val="22"/>
          <w:szCs w:val="22"/>
          <w:lang w:val="es-CR"/>
        </w:rPr>
        <w:tab/>
      </w:r>
      <w:r w:rsidR="0013505B" w:rsidRPr="0084077D">
        <w:rPr>
          <w:sz w:val="22"/>
          <w:szCs w:val="22"/>
          <w:lang w:val="es-CR"/>
        </w:rPr>
        <w:t>Cada diferencia que surja del ECRCyP, se relacionará con la información correspondiente en las notas, debiéndose identificar las principales causales de las diferencias, agrupadas según lo indicado anteriormente, a menos que esta explicación se incluya en otros documentos públicos emitidos junto con los EEFF y se haga una referencia cruzada a esos documentos en las notas.</w:t>
      </w:r>
    </w:p>
    <w:p w14:paraId="2673A6CE" w14:textId="77777777" w:rsidR="00D62F9A" w:rsidRDefault="00D62F9A" w:rsidP="00D033EC">
      <w:pPr>
        <w:pStyle w:val="Default"/>
        <w:jc w:val="both"/>
        <w:rPr>
          <w:sz w:val="23"/>
          <w:szCs w:val="23"/>
          <w:lang w:val="es-CR"/>
        </w:rPr>
      </w:pPr>
    </w:p>
    <w:p w14:paraId="5E89A802" w14:textId="77777777" w:rsidR="00D62F9A" w:rsidRDefault="00D62F9A" w:rsidP="00D033EC">
      <w:pPr>
        <w:pStyle w:val="Default"/>
        <w:jc w:val="both"/>
        <w:rPr>
          <w:sz w:val="23"/>
          <w:szCs w:val="23"/>
          <w:lang w:val="es-CR"/>
        </w:rPr>
      </w:pPr>
    </w:p>
    <w:p w14:paraId="17FA67B6" w14:textId="77777777" w:rsidR="00D62F9A" w:rsidRDefault="00D62F9A" w:rsidP="00D033EC">
      <w:pPr>
        <w:pStyle w:val="Default"/>
        <w:jc w:val="both"/>
        <w:rPr>
          <w:sz w:val="23"/>
          <w:szCs w:val="23"/>
          <w:lang w:val="es-CR"/>
        </w:rPr>
      </w:pPr>
    </w:p>
    <w:tbl>
      <w:tblPr>
        <w:tblW w:w="9346" w:type="dxa"/>
        <w:tblLook w:val="04A0" w:firstRow="1" w:lastRow="0" w:firstColumn="1" w:lastColumn="0" w:noHBand="0" w:noVBand="1"/>
      </w:tblPr>
      <w:tblGrid>
        <w:gridCol w:w="416"/>
        <w:gridCol w:w="708"/>
        <w:gridCol w:w="426"/>
        <w:gridCol w:w="3687"/>
        <w:gridCol w:w="2254"/>
        <w:gridCol w:w="1855"/>
      </w:tblGrid>
      <w:tr w:rsidR="0013505B" w:rsidRPr="0013505B" w14:paraId="2632B12B" w14:textId="77777777" w:rsidTr="005F3F7D">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50618C29"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494AF2EF"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Concepto</w:t>
            </w:r>
          </w:p>
        </w:tc>
        <w:tc>
          <w:tcPr>
            <w:tcW w:w="4109" w:type="dxa"/>
            <w:gridSpan w:val="2"/>
            <w:tcBorders>
              <w:top w:val="single" w:sz="8" w:space="0" w:color="auto"/>
              <w:left w:val="nil"/>
              <w:bottom w:val="single" w:sz="8" w:space="0" w:color="auto"/>
              <w:right w:val="single" w:sz="8" w:space="0" w:color="000000"/>
            </w:tcBorders>
            <w:shd w:val="clear" w:color="000000" w:fill="203764"/>
            <w:vAlign w:val="center"/>
            <w:hideMark/>
          </w:tcPr>
          <w:p w14:paraId="5B56A632"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Referencia</w:t>
            </w:r>
          </w:p>
        </w:tc>
      </w:tr>
      <w:tr w:rsidR="0013505B" w:rsidRPr="006E5442" w14:paraId="28CDC95D" w14:textId="77777777" w:rsidTr="005F3F7D">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01C392C5" w14:textId="77777777" w:rsidR="0013505B" w:rsidRPr="0013505B" w:rsidRDefault="0013505B" w:rsidP="0013505B">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46E2425E" w14:textId="77777777" w:rsidR="0013505B" w:rsidRPr="0013505B" w:rsidRDefault="0013505B" w:rsidP="0013505B">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7118EFD5" w14:textId="77777777" w:rsidR="0013505B" w:rsidRPr="0013505B" w:rsidRDefault="0013505B" w:rsidP="0013505B">
            <w:pPr>
              <w:jc w:val="center"/>
              <w:rPr>
                <w:rFonts w:ascii="Arial Narrow" w:eastAsia="Times New Roman" w:hAnsi="Arial Narrow" w:cs="Calibri"/>
                <w:b/>
                <w:bCs/>
                <w:color w:val="FFFFFF"/>
                <w:sz w:val="22"/>
                <w:szCs w:val="22"/>
              </w:rPr>
            </w:pPr>
            <w:r w:rsidRPr="0013505B">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64B5AD7F" w14:textId="77777777" w:rsidR="0013505B" w:rsidRPr="0013505B" w:rsidRDefault="0013505B" w:rsidP="0013505B">
            <w:pPr>
              <w:jc w:val="center"/>
              <w:rPr>
                <w:rFonts w:ascii="Arial Narrow" w:eastAsia="Times New Roman" w:hAnsi="Arial Narrow" w:cs="Calibri"/>
                <w:b/>
                <w:bCs/>
                <w:color w:val="FFFFFF"/>
                <w:sz w:val="22"/>
                <w:szCs w:val="22"/>
                <w:lang w:val="es-CR"/>
              </w:rPr>
            </w:pPr>
            <w:r w:rsidRPr="0013505B">
              <w:rPr>
                <w:rFonts w:ascii="Arial Narrow" w:eastAsia="Times New Roman" w:hAnsi="Arial Narrow" w:cs="Calibri"/>
                <w:b/>
                <w:bCs/>
                <w:color w:val="FFFFFF"/>
                <w:sz w:val="22"/>
                <w:szCs w:val="22"/>
                <w:lang w:val="es-CR"/>
              </w:rPr>
              <w:t>Normativa técnica y disposiciones adicionales</w:t>
            </w:r>
          </w:p>
        </w:tc>
      </w:tr>
      <w:tr w:rsidR="0013505B" w:rsidRPr="0013505B" w14:paraId="08E91265" w14:textId="77777777" w:rsidTr="005F3F7D">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B2C1A9"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9BC582B"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80</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298F597E"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 xml:space="preserve"> </w:t>
            </w: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7B68F184" w14:textId="77777777"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Modelo del ECRCyP</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422BED5E" w14:textId="77777777" w:rsidR="005F3F7D"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NICSP N° 24,</w:t>
            </w:r>
          </w:p>
          <w:p w14:paraId="04063E62" w14:textId="76DE1DD8" w:rsidR="0013505B" w:rsidRPr="0013505B" w:rsidRDefault="0013505B" w:rsidP="0013505B">
            <w:pPr>
              <w:jc w:val="both"/>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Párrafos 14.</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7E93D897" w14:textId="77777777" w:rsidR="0013505B" w:rsidRPr="0013505B" w:rsidRDefault="0013505B" w:rsidP="0013505B">
            <w:pPr>
              <w:jc w:val="center"/>
              <w:rPr>
                <w:rFonts w:ascii="Arial Narrow" w:eastAsia="Times New Roman" w:hAnsi="Arial Narrow" w:cs="Calibri"/>
                <w:b/>
                <w:bCs/>
                <w:color w:val="000000"/>
                <w:sz w:val="22"/>
                <w:szCs w:val="22"/>
              </w:rPr>
            </w:pPr>
            <w:r w:rsidRPr="0013505B">
              <w:rPr>
                <w:rFonts w:ascii="Arial Narrow" w:eastAsia="Times New Roman" w:hAnsi="Arial Narrow" w:cs="Calibri"/>
                <w:b/>
                <w:bCs/>
                <w:color w:val="000000"/>
                <w:sz w:val="22"/>
                <w:szCs w:val="22"/>
              </w:rPr>
              <w:t>DGCN Nota Técnica</w:t>
            </w:r>
          </w:p>
        </w:tc>
      </w:tr>
    </w:tbl>
    <w:p w14:paraId="7175F633" w14:textId="77777777" w:rsidR="00D62F9A" w:rsidRDefault="00D62F9A" w:rsidP="00D033EC">
      <w:pPr>
        <w:pStyle w:val="Default"/>
        <w:jc w:val="both"/>
        <w:rPr>
          <w:sz w:val="23"/>
          <w:szCs w:val="23"/>
          <w:lang w:val="es-CR"/>
        </w:rPr>
      </w:pPr>
    </w:p>
    <w:p w14:paraId="5464E316" w14:textId="49A57F52" w:rsidR="005F3F7D" w:rsidRDefault="005F3F7D" w:rsidP="005F3F7D">
      <w:pPr>
        <w:pStyle w:val="Default"/>
        <w:ind w:left="1134" w:hanging="1134"/>
        <w:jc w:val="both"/>
        <w:rPr>
          <w:rFonts w:eastAsia="Arial"/>
          <w:b/>
          <w:sz w:val="22"/>
          <w:szCs w:val="22"/>
        </w:rPr>
      </w:pPr>
      <w:r w:rsidRPr="00F02F9D">
        <w:rPr>
          <w:rFonts w:eastAsia="Arial"/>
          <w:b/>
          <w:sz w:val="22"/>
          <w:szCs w:val="22"/>
        </w:rPr>
        <w:t>Política Contable</w:t>
      </w:r>
    </w:p>
    <w:p w14:paraId="26779391" w14:textId="77777777" w:rsidR="005F3F7D" w:rsidRDefault="005F3F7D" w:rsidP="00D033EC">
      <w:pPr>
        <w:pStyle w:val="Default"/>
        <w:jc w:val="both"/>
        <w:rPr>
          <w:sz w:val="23"/>
          <w:szCs w:val="23"/>
          <w:lang w:val="es-CR"/>
        </w:rPr>
      </w:pPr>
    </w:p>
    <w:p w14:paraId="36AA23C9" w14:textId="7AE1E110" w:rsidR="00D62F9A" w:rsidRPr="0013505B" w:rsidRDefault="0013505B" w:rsidP="0013505B">
      <w:pPr>
        <w:pStyle w:val="Default"/>
        <w:ind w:left="1134" w:hanging="1134"/>
        <w:jc w:val="both"/>
        <w:rPr>
          <w:sz w:val="22"/>
          <w:szCs w:val="22"/>
          <w:lang w:val="es-CR"/>
        </w:rPr>
      </w:pPr>
      <w:r>
        <w:rPr>
          <w:sz w:val="22"/>
          <w:szCs w:val="22"/>
          <w:lang w:val="es-CR"/>
        </w:rPr>
        <w:t>6.80.0.01</w:t>
      </w:r>
      <w:r>
        <w:rPr>
          <w:sz w:val="22"/>
          <w:szCs w:val="22"/>
          <w:lang w:val="es-CR"/>
        </w:rPr>
        <w:tab/>
      </w:r>
      <w:r w:rsidRPr="0013505B">
        <w:rPr>
          <w:sz w:val="22"/>
          <w:szCs w:val="22"/>
          <w:lang w:val="es-CR"/>
        </w:rPr>
        <w:t>El Modelo de presentación del ECRCyP será aprobado oportunamente por la DGCN a través de Nota Técnica no siendo obligatoria su presentación sino hasta una vez aprobado dicho modelo.</w:t>
      </w:r>
    </w:p>
    <w:p w14:paraId="0039EEC3" w14:textId="77777777" w:rsidR="00D62F9A" w:rsidRDefault="00D62F9A" w:rsidP="00D033EC">
      <w:pPr>
        <w:pStyle w:val="Default"/>
        <w:jc w:val="both"/>
        <w:rPr>
          <w:sz w:val="23"/>
          <w:szCs w:val="23"/>
          <w:lang w:val="es-CR"/>
        </w:rPr>
      </w:pPr>
    </w:p>
    <w:p w14:paraId="2695BE7C" w14:textId="77777777" w:rsidR="005F3F7D" w:rsidRDefault="005F3F7D" w:rsidP="00D033EC">
      <w:pPr>
        <w:pStyle w:val="Default"/>
        <w:jc w:val="both"/>
        <w:rPr>
          <w:sz w:val="23"/>
          <w:szCs w:val="23"/>
          <w:lang w:val="es-CR"/>
        </w:rPr>
      </w:pPr>
    </w:p>
    <w:p w14:paraId="33A51098" w14:textId="77777777" w:rsidR="00D62F9A" w:rsidRDefault="00D62F9A" w:rsidP="00D033EC">
      <w:pPr>
        <w:pStyle w:val="Default"/>
        <w:jc w:val="both"/>
        <w:rPr>
          <w:sz w:val="23"/>
          <w:szCs w:val="23"/>
          <w:lang w:val="es-CR"/>
        </w:rPr>
      </w:pPr>
    </w:p>
    <w:p w14:paraId="0CCAAA22" w14:textId="77777777" w:rsidR="00DE74C9" w:rsidRDefault="00DE74C9" w:rsidP="00D033EC">
      <w:pPr>
        <w:pStyle w:val="Default"/>
        <w:jc w:val="both"/>
        <w:rPr>
          <w:sz w:val="23"/>
          <w:szCs w:val="23"/>
          <w:lang w:val="es-CR"/>
        </w:rPr>
      </w:pPr>
    </w:p>
    <w:p w14:paraId="1B6131D6" w14:textId="4EDC4C2A" w:rsidR="00D62F9A" w:rsidRPr="0013505B" w:rsidRDefault="0013505B" w:rsidP="0013505B">
      <w:pPr>
        <w:pStyle w:val="Ttulo2"/>
        <w:ind w:left="284"/>
        <w:rPr>
          <w:rFonts w:ascii="Arial" w:eastAsia="Arial" w:hAnsi="Arial" w:cs="Arial"/>
          <w:b/>
          <w:bCs/>
          <w:sz w:val="24"/>
          <w:szCs w:val="24"/>
          <w:lang w:val="es-CR"/>
        </w:rPr>
      </w:pPr>
      <w:bookmarkStart w:id="184" w:name="_Toc172726319"/>
      <w:r w:rsidRPr="0013505B">
        <w:rPr>
          <w:rFonts w:ascii="Arial" w:eastAsia="Arial" w:hAnsi="Arial" w:cs="Arial"/>
          <w:b/>
          <w:bCs/>
          <w:sz w:val="24"/>
          <w:szCs w:val="24"/>
          <w:lang w:val="es-CR"/>
        </w:rPr>
        <w:t>Estado de la Deuda Pública</w:t>
      </w:r>
      <w:bookmarkEnd w:id="184"/>
    </w:p>
    <w:p w14:paraId="7393EC27" w14:textId="77777777" w:rsidR="00D62F9A" w:rsidRDefault="00D62F9A" w:rsidP="00D033EC">
      <w:pPr>
        <w:pStyle w:val="Default"/>
        <w:jc w:val="both"/>
        <w:rPr>
          <w:sz w:val="23"/>
          <w:szCs w:val="23"/>
          <w:lang w:val="es-CR"/>
        </w:rPr>
      </w:pPr>
    </w:p>
    <w:tbl>
      <w:tblPr>
        <w:tblW w:w="9354" w:type="dxa"/>
        <w:tblLook w:val="04A0" w:firstRow="1" w:lastRow="0" w:firstColumn="1" w:lastColumn="0" w:noHBand="0" w:noVBand="1"/>
      </w:tblPr>
      <w:tblGrid>
        <w:gridCol w:w="416"/>
        <w:gridCol w:w="708"/>
        <w:gridCol w:w="350"/>
        <w:gridCol w:w="17"/>
        <w:gridCol w:w="3722"/>
        <w:gridCol w:w="17"/>
        <w:gridCol w:w="2262"/>
        <w:gridCol w:w="17"/>
        <w:gridCol w:w="1837"/>
        <w:gridCol w:w="8"/>
      </w:tblGrid>
      <w:tr w:rsidR="0084077D" w:rsidRPr="0084077D" w14:paraId="5DA8836E" w14:textId="77777777" w:rsidTr="005F3F7D">
        <w:trPr>
          <w:trHeight w:val="320"/>
        </w:trPr>
        <w:tc>
          <w:tcPr>
            <w:tcW w:w="1491"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03A2F16" w14:textId="77777777" w:rsidR="0084077D" w:rsidRPr="0084077D" w:rsidRDefault="0084077D" w:rsidP="0084077D">
            <w:pPr>
              <w:jc w:val="center"/>
              <w:rPr>
                <w:rFonts w:ascii="Arial Narrow" w:eastAsia="Times New Roman" w:hAnsi="Arial Narrow" w:cs="Calibri"/>
                <w:b/>
                <w:bCs/>
                <w:color w:val="FFFFFF"/>
                <w:sz w:val="22"/>
                <w:szCs w:val="22"/>
              </w:rPr>
            </w:pPr>
            <w:r w:rsidRPr="0084077D">
              <w:rPr>
                <w:rFonts w:ascii="Arial Narrow" w:eastAsia="Times New Roman" w:hAnsi="Arial Narrow" w:cs="Calibri"/>
                <w:b/>
                <w:bCs/>
                <w:color w:val="FFFFFF"/>
                <w:sz w:val="22"/>
                <w:szCs w:val="22"/>
              </w:rPr>
              <w:t>Norma / Política</w:t>
            </w:r>
          </w:p>
        </w:tc>
        <w:tc>
          <w:tcPr>
            <w:tcW w:w="373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32D0F8B" w14:textId="77777777" w:rsidR="0084077D" w:rsidRPr="0084077D" w:rsidRDefault="0084077D" w:rsidP="0084077D">
            <w:pPr>
              <w:jc w:val="center"/>
              <w:rPr>
                <w:rFonts w:ascii="Arial Narrow" w:eastAsia="Times New Roman" w:hAnsi="Arial Narrow" w:cs="Calibri"/>
                <w:b/>
                <w:bCs/>
                <w:color w:val="FFFFFF"/>
                <w:sz w:val="22"/>
                <w:szCs w:val="22"/>
              </w:rPr>
            </w:pPr>
            <w:r w:rsidRPr="0084077D">
              <w:rPr>
                <w:rFonts w:ascii="Arial Narrow" w:eastAsia="Times New Roman" w:hAnsi="Arial Narrow" w:cs="Calibri"/>
                <w:b/>
                <w:bCs/>
                <w:color w:val="FFFFFF"/>
                <w:sz w:val="22"/>
                <w:szCs w:val="22"/>
              </w:rPr>
              <w:t>Concepto</w:t>
            </w:r>
          </w:p>
        </w:tc>
        <w:tc>
          <w:tcPr>
            <w:tcW w:w="4124" w:type="dxa"/>
            <w:gridSpan w:val="4"/>
            <w:tcBorders>
              <w:top w:val="single" w:sz="8" w:space="0" w:color="auto"/>
              <w:left w:val="nil"/>
              <w:bottom w:val="single" w:sz="8" w:space="0" w:color="auto"/>
              <w:right w:val="single" w:sz="8" w:space="0" w:color="000000"/>
            </w:tcBorders>
            <w:shd w:val="clear" w:color="000000" w:fill="203764"/>
            <w:vAlign w:val="center"/>
            <w:hideMark/>
          </w:tcPr>
          <w:p w14:paraId="22BA3C50" w14:textId="77777777" w:rsidR="0084077D" w:rsidRPr="0084077D" w:rsidRDefault="0084077D" w:rsidP="0084077D">
            <w:pPr>
              <w:jc w:val="center"/>
              <w:rPr>
                <w:rFonts w:ascii="Arial Narrow" w:eastAsia="Times New Roman" w:hAnsi="Arial Narrow" w:cs="Calibri"/>
                <w:b/>
                <w:bCs/>
                <w:color w:val="FFFFFF"/>
                <w:sz w:val="22"/>
                <w:szCs w:val="22"/>
              </w:rPr>
            </w:pPr>
            <w:r w:rsidRPr="0084077D">
              <w:rPr>
                <w:rFonts w:ascii="Arial Narrow" w:eastAsia="Times New Roman" w:hAnsi="Arial Narrow" w:cs="Calibri"/>
                <w:b/>
                <w:bCs/>
                <w:color w:val="FFFFFF"/>
                <w:sz w:val="22"/>
                <w:szCs w:val="22"/>
              </w:rPr>
              <w:t>Referencia</w:t>
            </w:r>
          </w:p>
        </w:tc>
      </w:tr>
      <w:tr w:rsidR="0084077D" w:rsidRPr="006E5442" w14:paraId="0258AFA9" w14:textId="77777777" w:rsidTr="005F3F7D">
        <w:trPr>
          <w:trHeight w:val="850"/>
        </w:trPr>
        <w:tc>
          <w:tcPr>
            <w:tcW w:w="1491" w:type="dxa"/>
            <w:gridSpan w:val="4"/>
            <w:vMerge/>
            <w:tcBorders>
              <w:top w:val="single" w:sz="8" w:space="0" w:color="auto"/>
              <w:left w:val="single" w:sz="8" w:space="0" w:color="auto"/>
              <w:bottom w:val="nil"/>
              <w:right w:val="single" w:sz="8" w:space="0" w:color="000000"/>
            </w:tcBorders>
            <w:vAlign w:val="center"/>
            <w:hideMark/>
          </w:tcPr>
          <w:p w14:paraId="24C6FFE9" w14:textId="77777777" w:rsidR="0084077D" w:rsidRPr="0084077D" w:rsidRDefault="0084077D" w:rsidP="0084077D">
            <w:pPr>
              <w:rPr>
                <w:rFonts w:ascii="Arial Narrow" w:eastAsia="Times New Roman" w:hAnsi="Arial Narrow" w:cs="Calibri"/>
                <w:b/>
                <w:bCs/>
                <w:color w:val="FFFFFF"/>
                <w:sz w:val="22"/>
                <w:szCs w:val="22"/>
              </w:rPr>
            </w:pPr>
          </w:p>
        </w:tc>
        <w:tc>
          <w:tcPr>
            <w:tcW w:w="3739" w:type="dxa"/>
            <w:gridSpan w:val="2"/>
            <w:vMerge/>
            <w:tcBorders>
              <w:top w:val="single" w:sz="8" w:space="0" w:color="auto"/>
              <w:left w:val="single" w:sz="8" w:space="0" w:color="auto"/>
              <w:bottom w:val="nil"/>
              <w:right w:val="single" w:sz="8" w:space="0" w:color="auto"/>
            </w:tcBorders>
            <w:vAlign w:val="center"/>
            <w:hideMark/>
          </w:tcPr>
          <w:p w14:paraId="0154452C" w14:textId="77777777" w:rsidR="0084077D" w:rsidRPr="0084077D" w:rsidRDefault="0084077D" w:rsidP="0084077D">
            <w:pPr>
              <w:rPr>
                <w:rFonts w:ascii="Arial Narrow" w:eastAsia="Times New Roman" w:hAnsi="Arial Narrow" w:cs="Calibri"/>
                <w:b/>
                <w:bCs/>
                <w:color w:val="FFFFFF"/>
                <w:sz w:val="22"/>
                <w:szCs w:val="22"/>
              </w:rPr>
            </w:pPr>
          </w:p>
        </w:tc>
        <w:tc>
          <w:tcPr>
            <w:tcW w:w="2279" w:type="dxa"/>
            <w:gridSpan w:val="2"/>
            <w:tcBorders>
              <w:top w:val="nil"/>
              <w:left w:val="nil"/>
              <w:bottom w:val="nil"/>
              <w:right w:val="single" w:sz="8" w:space="0" w:color="auto"/>
            </w:tcBorders>
            <w:shd w:val="clear" w:color="000000" w:fill="203764"/>
            <w:vAlign w:val="center"/>
            <w:hideMark/>
          </w:tcPr>
          <w:p w14:paraId="18EE4CF4" w14:textId="77777777" w:rsidR="0084077D" w:rsidRPr="0084077D" w:rsidRDefault="0084077D" w:rsidP="0084077D">
            <w:pPr>
              <w:jc w:val="center"/>
              <w:rPr>
                <w:rFonts w:ascii="Arial Narrow" w:eastAsia="Times New Roman" w:hAnsi="Arial Narrow" w:cs="Calibri"/>
                <w:b/>
                <w:bCs/>
                <w:color w:val="FFFFFF"/>
                <w:sz w:val="22"/>
                <w:szCs w:val="22"/>
              </w:rPr>
            </w:pPr>
            <w:r w:rsidRPr="0084077D">
              <w:rPr>
                <w:rFonts w:ascii="Arial Narrow" w:eastAsia="Times New Roman" w:hAnsi="Arial Narrow" w:cs="Calibri"/>
                <w:b/>
                <w:bCs/>
                <w:color w:val="FFFFFF"/>
                <w:sz w:val="22"/>
                <w:szCs w:val="22"/>
              </w:rPr>
              <w:t>Norma</w:t>
            </w:r>
          </w:p>
        </w:tc>
        <w:tc>
          <w:tcPr>
            <w:tcW w:w="1845" w:type="dxa"/>
            <w:gridSpan w:val="2"/>
            <w:tcBorders>
              <w:top w:val="nil"/>
              <w:left w:val="nil"/>
              <w:bottom w:val="nil"/>
              <w:right w:val="single" w:sz="8" w:space="0" w:color="auto"/>
            </w:tcBorders>
            <w:shd w:val="clear" w:color="000000" w:fill="203764"/>
            <w:vAlign w:val="center"/>
            <w:hideMark/>
          </w:tcPr>
          <w:p w14:paraId="090AE750" w14:textId="77777777" w:rsidR="0084077D" w:rsidRPr="0084077D" w:rsidRDefault="0084077D" w:rsidP="0084077D">
            <w:pPr>
              <w:jc w:val="center"/>
              <w:rPr>
                <w:rFonts w:ascii="Arial Narrow" w:eastAsia="Times New Roman" w:hAnsi="Arial Narrow" w:cs="Calibri"/>
                <w:b/>
                <w:bCs/>
                <w:color w:val="FFFFFF"/>
                <w:sz w:val="22"/>
                <w:szCs w:val="22"/>
                <w:lang w:val="es-CR"/>
              </w:rPr>
            </w:pPr>
            <w:r w:rsidRPr="0084077D">
              <w:rPr>
                <w:rFonts w:ascii="Arial Narrow" w:eastAsia="Times New Roman" w:hAnsi="Arial Narrow" w:cs="Calibri"/>
                <w:b/>
                <w:bCs/>
                <w:color w:val="FFFFFF"/>
                <w:sz w:val="22"/>
                <w:szCs w:val="22"/>
                <w:lang w:val="es-CR"/>
              </w:rPr>
              <w:t>Normativa técnica y disposiciones adicionales</w:t>
            </w:r>
          </w:p>
        </w:tc>
      </w:tr>
      <w:tr w:rsidR="0084077D" w:rsidRPr="0084077D" w14:paraId="5EF43BDA" w14:textId="77777777" w:rsidTr="005F3F7D">
        <w:trPr>
          <w:gridAfter w:val="1"/>
          <w:wAfter w:w="8" w:type="dxa"/>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579C15" w14:textId="77777777" w:rsidR="0084077D" w:rsidRPr="0084077D" w:rsidRDefault="0084077D" w:rsidP="005F3F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7F0B9DDE" w14:textId="77777777" w:rsidR="0084077D" w:rsidRPr="0084077D" w:rsidRDefault="0084077D" w:rsidP="005F3F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81</w:t>
            </w:r>
          </w:p>
        </w:tc>
        <w:tc>
          <w:tcPr>
            <w:tcW w:w="350" w:type="dxa"/>
            <w:tcBorders>
              <w:top w:val="single" w:sz="8" w:space="0" w:color="auto"/>
              <w:left w:val="nil"/>
              <w:bottom w:val="single" w:sz="8" w:space="0" w:color="auto"/>
              <w:right w:val="single" w:sz="8" w:space="0" w:color="auto"/>
            </w:tcBorders>
            <w:shd w:val="clear" w:color="auto" w:fill="auto"/>
            <w:vAlign w:val="center"/>
            <w:hideMark/>
          </w:tcPr>
          <w:p w14:paraId="7BB44ABD" w14:textId="77777777" w:rsidR="0084077D" w:rsidRPr="0084077D" w:rsidRDefault="0084077D" w:rsidP="008407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 xml:space="preserve"> </w:t>
            </w:r>
          </w:p>
        </w:tc>
        <w:tc>
          <w:tcPr>
            <w:tcW w:w="3739" w:type="dxa"/>
            <w:gridSpan w:val="2"/>
            <w:tcBorders>
              <w:top w:val="single" w:sz="8" w:space="0" w:color="auto"/>
              <w:left w:val="nil"/>
              <w:bottom w:val="single" w:sz="8" w:space="0" w:color="auto"/>
              <w:right w:val="single" w:sz="8" w:space="0" w:color="auto"/>
            </w:tcBorders>
            <w:shd w:val="clear" w:color="auto" w:fill="auto"/>
            <w:vAlign w:val="center"/>
            <w:hideMark/>
          </w:tcPr>
          <w:p w14:paraId="4EA42B45" w14:textId="77777777" w:rsidR="0084077D" w:rsidRPr="0084077D" w:rsidRDefault="0084077D" w:rsidP="0084077D">
            <w:pP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Cumplimiento legal</w:t>
            </w:r>
          </w:p>
        </w:tc>
        <w:tc>
          <w:tcPr>
            <w:tcW w:w="2279" w:type="dxa"/>
            <w:gridSpan w:val="2"/>
            <w:tcBorders>
              <w:top w:val="single" w:sz="8" w:space="0" w:color="auto"/>
              <w:left w:val="nil"/>
              <w:bottom w:val="single" w:sz="8" w:space="0" w:color="auto"/>
              <w:right w:val="single" w:sz="8" w:space="0" w:color="auto"/>
            </w:tcBorders>
            <w:shd w:val="clear" w:color="auto" w:fill="auto"/>
            <w:vAlign w:val="center"/>
            <w:hideMark/>
          </w:tcPr>
          <w:p w14:paraId="0B1CE497" w14:textId="77777777" w:rsidR="0084077D" w:rsidRPr="0084077D" w:rsidRDefault="0084077D" w:rsidP="0084077D">
            <w:pP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 </w:t>
            </w:r>
          </w:p>
        </w:tc>
        <w:tc>
          <w:tcPr>
            <w:tcW w:w="1854" w:type="dxa"/>
            <w:gridSpan w:val="2"/>
            <w:tcBorders>
              <w:top w:val="single" w:sz="8" w:space="0" w:color="auto"/>
              <w:left w:val="nil"/>
              <w:bottom w:val="single" w:sz="8" w:space="0" w:color="auto"/>
              <w:right w:val="single" w:sz="8" w:space="0" w:color="auto"/>
            </w:tcBorders>
            <w:shd w:val="clear" w:color="auto" w:fill="auto"/>
            <w:vAlign w:val="center"/>
            <w:hideMark/>
          </w:tcPr>
          <w:p w14:paraId="6E7A2542" w14:textId="77777777" w:rsidR="0084077D" w:rsidRPr="0084077D" w:rsidRDefault="0084077D" w:rsidP="008407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LAFRPPP Art.80</w:t>
            </w:r>
          </w:p>
        </w:tc>
      </w:tr>
      <w:tr w:rsidR="0084077D" w:rsidRPr="0084077D" w14:paraId="5FA6CC53" w14:textId="77777777" w:rsidTr="005F3F7D">
        <w:trPr>
          <w:gridAfter w:val="1"/>
          <w:wAfter w:w="8" w:type="dxa"/>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AA9032B" w14:textId="77777777" w:rsidR="0084077D" w:rsidRPr="0084077D" w:rsidRDefault="0084077D" w:rsidP="005F3F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20EB74D2" w14:textId="77777777" w:rsidR="0084077D" w:rsidRPr="0084077D" w:rsidRDefault="0084077D" w:rsidP="005F3F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81</w:t>
            </w:r>
          </w:p>
        </w:tc>
        <w:tc>
          <w:tcPr>
            <w:tcW w:w="350" w:type="dxa"/>
            <w:tcBorders>
              <w:top w:val="nil"/>
              <w:left w:val="nil"/>
              <w:bottom w:val="single" w:sz="8" w:space="0" w:color="auto"/>
              <w:right w:val="nil"/>
            </w:tcBorders>
            <w:shd w:val="clear" w:color="auto" w:fill="auto"/>
            <w:vAlign w:val="center"/>
            <w:hideMark/>
          </w:tcPr>
          <w:p w14:paraId="03ED5ADC" w14:textId="77777777" w:rsidR="0084077D" w:rsidRPr="0084077D" w:rsidRDefault="0084077D" w:rsidP="008407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1</w:t>
            </w:r>
          </w:p>
        </w:tc>
        <w:tc>
          <w:tcPr>
            <w:tcW w:w="3739" w:type="dxa"/>
            <w:gridSpan w:val="2"/>
            <w:tcBorders>
              <w:top w:val="nil"/>
              <w:left w:val="single" w:sz="8" w:space="0" w:color="auto"/>
              <w:bottom w:val="single" w:sz="8" w:space="0" w:color="auto"/>
              <w:right w:val="single" w:sz="8" w:space="0" w:color="auto"/>
            </w:tcBorders>
            <w:shd w:val="clear" w:color="auto" w:fill="auto"/>
            <w:vAlign w:val="center"/>
            <w:hideMark/>
          </w:tcPr>
          <w:p w14:paraId="43C350BC" w14:textId="77777777" w:rsidR="0084077D" w:rsidRPr="0084077D" w:rsidRDefault="0084077D" w:rsidP="0084077D">
            <w:pPr>
              <w:rPr>
                <w:rFonts w:ascii="Arial Narrow" w:eastAsia="Times New Roman" w:hAnsi="Arial Narrow" w:cs="Calibri"/>
                <w:b/>
                <w:bCs/>
                <w:color w:val="000000"/>
                <w:sz w:val="22"/>
                <w:szCs w:val="22"/>
                <w:lang w:val="es-CR"/>
              </w:rPr>
            </w:pPr>
            <w:r w:rsidRPr="0084077D">
              <w:rPr>
                <w:rFonts w:ascii="Arial Narrow" w:eastAsia="Times New Roman" w:hAnsi="Arial Narrow" w:cs="Calibri"/>
                <w:b/>
                <w:bCs/>
                <w:color w:val="000000"/>
                <w:sz w:val="22"/>
                <w:szCs w:val="22"/>
                <w:lang w:val="es-CR"/>
              </w:rPr>
              <w:t xml:space="preserve">Responsable de la elaboración del EDP </w:t>
            </w:r>
          </w:p>
        </w:tc>
        <w:tc>
          <w:tcPr>
            <w:tcW w:w="2279" w:type="dxa"/>
            <w:gridSpan w:val="2"/>
            <w:tcBorders>
              <w:top w:val="nil"/>
              <w:left w:val="nil"/>
              <w:bottom w:val="single" w:sz="8" w:space="0" w:color="auto"/>
              <w:right w:val="single" w:sz="8" w:space="0" w:color="auto"/>
            </w:tcBorders>
            <w:shd w:val="clear" w:color="auto" w:fill="auto"/>
            <w:vAlign w:val="center"/>
            <w:hideMark/>
          </w:tcPr>
          <w:p w14:paraId="36FD1995" w14:textId="77777777" w:rsidR="0084077D" w:rsidRPr="0084077D" w:rsidRDefault="0084077D" w:rsidP="0084077D">
            <w:pPr>
              <w:rPr>
                <w:rFonts w:ascii="Arial Narrow" w:eastAsia="Times New Roman" w:hAnsi="Arial Narrow" w:cs="Calibri"/>
                <w:b/>
                <w:bCs/>
                <w:color w:val="000000"/>
                <w:sz w:val="22"/>
                <w:szCs w:val="22"/>
                <w:lang w:val="es-CR"/>
              </w:rPr>
            </w:pPr>
            <w:r w:rsidRPr="0084077D">
              <w:rPr>
                <w:rFonts w:ascii="Arial Narrow" w:eastAsia="Times New Roman" w:hAnsi="Arial Narrow" w:cs="Calibri"/>
                <w:b/>
                <w:bCs/>
                <w:color w:val="000000"/>
                <w:sz w:val="22"/>
                <w:szCs w:val="22"/>
                <w:lang w:val="es-CR"/>
              </w:rPr>
              <w:t xml:space="preserve"> </w:t>
            </w:r>
          </w:p>
        </w:tc>
        <w:tc>
          <w:tcPr>
            <w:tcW w:w="1854" w:type="dxa"/>
            <w:gridSpan w:val="2"/>
            <w:tcBorders>
              <w:top w:val="nil"/>
              <w:left w:val="nil"/>
              <w:bottom w:val="single" w:sz="8" w:space="0" w:color="auto"/>
              <w:right w:val="single" w:sz="8" w:space="0" w:color="auto"/>
            </w:tcBorders>
            <w:shd w:val="clear" w:color="auto" w:fill="auto"/>
            <w:vAlign w:val="center"/>
            <w:hideMark/>
          </w:tcPr>
          <w:p w14:paraId="26CB4871" w14:textId="77777777" w:rsidR="0084077D" w:rsidRPr="0084077D" w:rsidRDefault="0084077D" w:rsidP="008407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DGCN</w:t>
            </w:r>
          </w:p>
        </w:tc>
      </w:tr>
    </w:tbl>
    <w:p w14:paraId="44E557F3" w14:textId="77777777" w:rsidR="00D62F9A" w:rsidRDefault="00D62F9A" w:rsidP="00D033EC">
      <w:pPr>
        <w:pStyle w:val="Default"/>
        <w:jc w:val="both"/>
        <w:rPr>
          <w:sz w:val="23"/>
          <w:szCs w:val="23"/>
          <w:lang w:val="es-CR"/>
        </w:rPr>
      </w:pPr>
    </w:p>
    <w:p w14:paraId="06087380" w14:textId="77777777" w:rsidR="005F3F7D" w:rsidRDefault="005F3F7D" w:rsidP="005F3F7D">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36EEE65E" w14:textId="77777777" w:rsidR="005F3F7D" w:rsidRDefault="005F3F7D" w:rsidP="00D033EC">
      <w:pPr>
        <w:pStyle w:val="Default"/>
        <w:jc w:val="both"/>
        <w:rPr>
          <w:sz w:val="23"/>
          <w:szCs w:val="23"/>
          <w:lang w:val="es-CR"/>
        </w:rPr>
      </w:pPr>
    </w:p>
    <w:p w14:paraId="2C34C9F1" w14:textId="0C0A3818" w:rsidR="0084077D" w:rsidRPr="0084077D" w:rsidRDefault="0084077D" w:rsidP="0084077D">
      <w:pPr>
        <w:pStyle w:val="Default"/>
        <w:ind w:left="1134" w:hanging="1134"/>
        <w:jc w:val="both"/>
        <w:rPr>
          <w:sz w:val="22"/>
          <w:szCs w:val="22"/>
          <w:lang w:val="es-CR"/>
        </w:rPr>
      </w:pPr>
      <w:r>
        <w:rPr>
          <w:sz w:val="22"/>
          <w:szCs w:val="22"/>
          <w:lang w:val="es-CR"/>
        </w:rPr>
        <w:t>6.81.0.01</w:t>
      </w:r>
      <w:r>
        <w:rPr>
          <w:sz w:val="22"/>
          <w:szCs w:val="22"/>
          <w:lang w:val="es-CR"/>
        </w:rPr>
        <w:tab/>
      </w:r>
      <w:r w:rsidRPr="0084077D">
        <w:rPr>
          <w:sz w:val="22"/>
          <w:szCs w:val="22"/>
          <w:lang w:val="es-CR"/>
        </w:rPr>
        <w:t xml:space="preserve">La </w:t>
      </w:r>
      <w:r>
        <w:rPr>
          <w:sz w:val="22"/>
          <w:szCs w:val="22"/>
          <w:lang w:val="es-CR"/>
        </w:rPr>
        <w:t>Contabilidad Municipal</w:t>
      </w:r>
      <w:r w:rsidRPr="0084077D">
        <w:rPr>
          <w:sz w:val="22"/>
          <w:szCs w:val="22"/>
          <w:lang w:val="es-CR"/>
        </w:rPr>
        <w:t xml:space="preserve"> deberá presentar el Estado de la Deuda Pública</w:t>
      </w:r>
      <w:r>
        <w:rPr>
          <w:sz w:val="22"/>
          <w:szCs w:val="22"/>
          <w:lang w:val="es-CR"/>
        </w:rPr>
        <w:t xml:space="preserve"> al cierre de cada Mes</w:t>
      </w:r>
      <w:r w:rsidRPr="0084077D">
        <w:rPr>
          <w:sz w:val="22"/>
          <w:szCs w:val="22"/>
          <w:lang w:val="es-CR"/>
        </w:rPr>
        <w:t>.</w:t>
      </w:r>
    </w:p>
    <w:p w14:paraId="579612B2" w14:textId="77777777" w:rsidR="0084077D" w:rsidRPr="001A273B" w:rsidRDefault="0084077D" w:rsidP="0084077D">
      <w:pPr>
        <w:pStyle w:val="Default"/>
        <w:rPr>
          <w:lang w:val="es-CR"/>
        </w:rPr>
      </w:pPr>
    </w:p>
    <w:p w14:paraId="33581467" w14:textId="6CB06CC3" w:rsidR="0084077D" w:rsidRPr="0084077D" w:rsidRDefault="0084077D" w:rsidP="0084077D">
      <w:pPr>
        <w:pStyle w:val="Default"/>
        <w:ind w:left="1134" w:hanging="1134"/>
        <w:jc w:val="both"/>
        <w:rPr>
          <w:sz w:val="22"/>
          <w:szCs w:val="22"/>
          <w:lang w:val="es-CR"/>
        </w:rPr>
      </w:pPr>
      <w:r>
        <w:rPr>
          <w:sz w:val="22"/>
          <w:szCs w:val="22"/>
          <w:lang w:val="es-CR"/>
        </w:rPr>
        <w:t>6.81.</w:t>
      </w:r>
      <w:r w:rsidRPr="0084077D">
        <w:rPr>
          <w:sz w:val="22"/>
          <w:szCs w:val="22"/>
          <w:lang w:val="es-CR"/>
        </w:rPr>
        <w:t>1.</w:t>
      </w:r>
      <w:r>
        <w:rPr>
          <w:sz w:val="22"/>
          <w:szCs w:val="22"/>
          <w:lang w:val="es-CR"/>
        </w:rPr>
        <w:t>01</w:t>
      </w:r>
      <w:r>
        <w:rPr>
          <w:sz w:val="22"/>
          <w:szCs w:val="22"/>
          <w:lang w:val="es-CR"/>
        </w:rPr>
        <w:tab/>
      </w:r>
      <w:r w:rsidRPr="0084077D">
        <w:rPr>
          <w:sz w:val="22"/>
          <w:szCs w:val="22"/>
          <w:lang w:val="es-CR"/>
        </w:rPr>
        <w:t xml:space="preserve">La </w:t>
      </w:r>
      <w:r>
        <w:rPr>
          <w:sz w:val="22"/>
          <w:szCs w:val="22"/>
          <w:lang w:val="es-CR"/>
        </w:rPr>
        <w:t>Contabilidad Municipal</w:t>
      </w:r>
      <w:r w:rsidRPr="0084077D">
        <w:rPr>
          <w:sz w:val="22"/>
          <w:szCs w:val="22"/>
          <w:lang w:val="es-CR"/>
        </w:rPr>
        <w:t xml:space="preserve">, será la responsable de la elaboración del mencionado Estado, sobre la base de las pautas dadas en el presente PGCN y con el alcance, contenido y aclaraciones que requiera la DGCN. </w:t>
      </w:r>
    </w:p>
    <w:p w14:paraId="1DC2FA6D" w14:textId="77777777" w:rsidR="00D62F9A" w:rsidRDefault="00D62F9A" w:rsidP="0084077D">
      <w:pPr>
        <w:pStyle w:val="Default"/>
        <w:ind w:left="1134" w:hanging="1134"/>
        <w:jc w:val="both"/>
        <w:rPr>
          <w:sz w:val="22"/>
          <w:szCs w:val="22"/>
          <w:lang w:val="es-CR"/>
        </w:rPr>
      </w:pPr>
    </w:p>
    <w:p w14:paraId="125BFD9B" w14:textId="77777777" w:rsidR="005F3F7D" w:rsidRPr="0084077D" w:rsidRDefault="005F3F7D" w:rsidP="0084077D">
      <w:pPr>
        <w:pStyle w:val="Default"/>
        <w:ind w:left="1134" w:hanging="1134"/>
        <w:jc w:val="both"/>
        <w:rPr>
          <w:sz w:val="22"/>
          <w:szCs w:val="22"/>
          <w:lang w:val="es-CR"/>
        </w:rPr>
      </w:pPr>
    </w:p>
    <w:p w14:paraId="1E856C71" w14:textId="77777777" w:rsidR="00D62F9A" w:rsidRPr="0084077D" w:rsidRDefault="00D62F9A" w:rsidP="00D033EC">
      <w:pPr>
        <w:pStyle w:val="Default"/>
        <w:jc w:val="both"/>
        <w:rPr>
          <w:sz w:val="22"/>
          <w:szCs w:val="22"/>
          <w:lang w:val="es-CR"/>
        </w:rPr>
      </w:pPr>
    </w:p>
    <w:tbl>
      <w:tblPr>
        <w:tblW w:w="9346" w:type="dxa"/>
        <w:tblLayout w:type="fixed"/>
        <w:tblLook w:val="04A0" w:firstRow="1" w:lastRow="0" w:firstColumn="1" w:lastColumn="0" w:noHBand="0" w:noVBand="1"/>
      </w:tblPr>
      <w:tblGrid>
        <w:gridCol w:w="416"/>
        <w:gridCol w:w="708"/>
        <w:gridCol w:w="421"/>
        <w:gridCol w:w="15"/>
        <w:gridCol w:w="3674"/>
        <w:gridCol w:w="15"/>
        <w:gridCol w:w="2236"/>
        <w:gridCol w:w="15"/>
        <w:gridCol w:w="1846"/>
      </w:tblGrid>
      <w:tr w:rsidR="0084077D" w:rsidRPr="0084077D" w14:paraId="251B0239" w14:textId="77777777" w:rsidTr="00161368">
        <w:trPr>
          <w:trHeight w:val="300"/>
        </w:trPr>
        <w:tc>
          <w:tcPr>
            <w:tcW w:w="1560"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0581CF9C" w14:textId="77777777" w:rsidR="0084077D" w:rsidRPr="0084077D" w:rsidRDefault="0084077D" w:rsidP="0084077D">
            <w:pPr>
              <w:jc w:val="center"/>
              <w:rPr>
                <w:rFonts w:ascii="Arial Narrow" w:eastAsia="Times New Roman" w:hAnsi="Arial Narrow" w:cs="Calibri"/>
                <w:b/>
                <w:bCs/>
                <w:color w:val="FFFFFF"/>
                <w:sz w:val="22"/>
                <w:szCs w:val="22"/>
              </w:rPr>
            </w:pPr>
            <w:r w:rsidRPr="0084077D">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60063BD5" w14:textId="77777777" w:rsidR="0084077D" w:rsidRPr="0084077D" w:rsidRDefault="0084077D" w:rsidP="0084077D">
            <w:pPr>
              <w:jc w:val="center"/>
              <w:rPr>
                <w:rFonts w:ascii="Arial Narrow" w:eastAsia="Times New Roman" w:hAnsi="Arial Narrow" w:cs="Calibri"/>
                <w:b/>
                <w:bCs/>
                <w:color w:val="FFFFFF"/>
                <w:sz w:val="22"/>
                <w:szCs w:val="22"/>
              </w:rPr>
            </w:pPr>
            <w:r w:rsidRPr="0084077D">
              <w:rPr>
                <w:rFonts w:ascii="Arial Narrow" w:eastAsia="Times New Roman" w:hAnsi="Arial Narrow" w:cs="Calibri"/>
                <w:b/>
                <w:bCs/>
                <w:color w:val="FFFFFF"/>
                <w:sz w:val="22"/>
                <w:szCs w:val="22"/>
              </w:rPr>
              <w:t>Concepto</w:t>
            </w:r>
          </w:p>
        </w:tc>
        <w:tc>
          <w:tcPr>
            <w:tcW w:w="4097" w:type="dxa"/>
            <w:gridSpan w:val="3"/>
            <w:tcBorders>
              <w:top w:val="single" w:sz="8" w:space="0" w:color="auto"/>
              <w:left w:val="nil"/>
              <w:bottom w:val="single" w:sz="8" w:space="0" w:color="auto"/>
              <w:right w:val="single" w:sz="8" w:space="0" w:color="000000"/>
            </w:tcBorders>
            <w:shd w:val="clear" w:color="000000" w:fill="203764"/>
            <w:vAlign w:val="center"/>
            <w:hideMark/>
          </w:tcPr>
          <w:p w14:paraId="6A324201" w14:textId="77777777" w:rsidR="0084077D" w:rsidRPr="0084077D" w:rsidRDefault="0084077D" w:rsidP="0084077D">
            <w:pPr>
              <w:jc w:val="center"/>
              <w:rPr>
                <w:rFonts w:ascii="Arial Narrow" w:eastAsia="Times New Roman" w:hAnsi="Arial Narrow" w:cs="Calibri"/>
                <w:b/>
                <w:bCs/>
                <w:color w:val="FFFFFF"/>
                <w:sz w:val="22"/>
                <w:szCs w:val="22"/>
              </w:rPr>
            </w:pPr>
            <w:r w:rsidRPr="0084077D">
              <w:rPr>
                <w:rFonts w:ascii="Arial Narrow" w:eastAsia="Times New Roman" w:hAnsi="Arial Narrow" w:cs="Calibri"/>
                <w:b/>
                <w:bCs/>
                <w:color w:val="FFFFFF"/>
                <w:sz w:val="22"/>
                <w:szCs w:val="22"/>
              </w:rPr>
              <w:t>Referencia</w:t>
            </w:r>
          </w:p>
        </w:tc>
      </w:tr>
      <w:tr w:rsidR="0084077D" w:rsidRPr="006E5442" w14:paraId="0D29BE23" w14:textId="77777777" w:rsidTr="00161368">
        <w:trPr>
          <w:trHeight w:val="850"/>
        </w:trPr>
        <w:tc>
          <w:tcPr>
            <w:tcW w:w="1560" w:type="dxa"/>
            <w:gridSpan w:val="4"/>
            <w:vMerge/>
            <w:tcBorders>
              <w:top w:val="single" w:sz="8" w:space="0" w:color="auto"/>
              <w:left w:val="single" w:sz="8" w:space="0" w:color="auto"/>
              <w:bottom w:val="nil"/>
              <w:right w:val="single" w:sz="8" w:space="0" w:color="000000"/>
            </w:tcBorders>
            <w:vAlign w:val="center"/>
            <w:hideMark/>
          </w:tcPr>
          <w:p w14:paraId="183100BA" w14:textId="77777777" w:rsidR="0084077D" w:rsidRPr="0084077D" w:rsidRDefault="0084077D" w:rsidP="0084077D">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2AF5A601" w14:textId="77777777" w:rsidR="0084077D" w:rsidRPr="0084077D" w:rsidRDefault="0084077D" w:rsidP="0084077D">
            <w:pPr>
              <w:rPr>
                <w:rFonts w:ascii="Arial Narrow" w:eastAsia="Times New Roman" w:hAnsi="Arial Narrow" w:cs="Calibri"/>
                <w:b/>
                <w:bCs/>
                <w:color w:val="FFFFFF"/>
                <w:sz w:val="22"/>
                <w:szCs w:val="22"/>
              </w:rPr>
            </w:pPr>
          </w:p>
        </w:tc>
        <w:tc>
          <w:tcPr>
            <w:tcW w:w="2251" w:type="dxa"/>
            <w:gridSpan w:val="2"/>
            <w:tcBorders>
              <w:top w:val="nil"/>
              <w:left w:val="nil"/>
              <w:bottom w:val="nil"/>
              <w:right w:val="single" w:sz="8" w:space="0" w:color="auto"/>
            </w:tcBorders>
            <w:shd w:val="clear" w:color="000000" w:fill="203764"/>
            <w:vAlign w:val="center"/>
            <w:hideMark/>
          </w:tcPr>
          <w:p w14:paraId="2CEE4450" w14:textId="77777777" w:rsidR="0084077D" w:rsidRPr="0084077D" w:rsidRDefault="0084077D" w:rsidP="0084077D">
            <w:pPr>
              <w:jc w:val="center"/>
              <w:rPr>
                <w:rFonts w:ascii="Arial Narrow" w:eastAsia="Times New Roman" w:hAnsi="Arial Narrow" w:cs="Calibri"/>
                <w:b/>
                <w:bCs/>
                <w:color w:val="FFFFFF"/>
                <w:sz w:val="22"/>
                <w:szCs w:val="22"/>
              </w:rPr>
            </w:pPr>
            <w:r w:rsidRPr="0084077D">
              <w:rPr>
                <w:rFonts w:ascii="Arial Narrow" w:eastAsia="Times New Roman" w:hAnsi="Arial Narrow" w:cs="Calibri"/>
                <w:b/>
                <w:bCs/>
                <w:color w:val="FFFFFF"/>
                <w:sz w:val="22"/>
                <w:szCs w:val="22"/>
              </w:rPr>
              <w:t>Norma</w:t>
            </w:r>
          </w:p>
        </w:tc>
        <w:tc>
          <w:tcPr>
            <w:tcW w:w="1846" w:type="dxa"/>
            <w:tcBorders>
              <w:top w:val="nil"/>
              <w:left w:val="nil"/>
              <w:bottom w:val="nil"/>
              <w:right w:val="single" w:sz="8" w:space="0" w:color="auto"/>
            </w:tcBorders>
            <w:shd w:val="clear" w:color="000000" w:fill="203764"/>
            <w:vAlign w:val="center"/>
            <w:hideMark/>
          </w:tcPr>
          <w:p w14:paraId="4BBF83A2" w14:textId="77777777" w:rsidR="0084077D" w:rsidRPr="0084077D" w:rsidRDefault="0084077D" w:rsidP="0084077D">
            <w:pPr>
              <w:jc w:val="center"/>
              <w:rPr>
                <w:rFonts w:ascii="Arial Narrow" w:eastAsia="Times New Roman" w:hAnsi="Arial Narrow" w:cs="Calibri"/>
                <w:b/>
                <w:bCs/>
                <w:color w:val="FFFFFF"/>
                <w:sz w:val="22"/>
                <w:szCs w:val="22"/>
                <w:lang w:val="es-CR"/>
              </w:rPr>
            </w:pPr>
            <w:r w:rsidRPr="0084077D">
              <w:rPr>
                <w:rFonts w:ascii="Arial Narrow" w:eastAsia="Times New Roman" w:hAnsi="Arial Narrow" w:cs="Calibri"/>
                <w:b/>
                <w:bCs/>
                <w:color w:val="FFFFFF"/>
                <w:sz w:val="22"/>
                <w:szCs w:val="22"/>
                <w:lang w:val="es-CR"/>
              </w:rPr>
              <w:t>Normativa técnica y disposiciones adicionales</w:t>
            </w:r>
          </w:p>
        </w:tc>
      </w:tr>
      <w:tr w:rsidR="0084077D" w:rsidRPr="0084077D" w14:paraId="25165F34" w14:textId="77777777" w:rsidTr="00161368">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7007DB" w14:textId="77777777" w:rsidR="0084077D" w:rsidRPr="0084077D" w:rsidRDefault="0084077D" w:rsidP="008407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5EA0673" w14:textId="77777777" w:rsidR="0084077D" w:rsidRPr="0084077D" w:rsidRDefault="0084077D" w:rsidP="008407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82</w:t>
            </w:r>
          </w:p>
        </w:tc>
        <w:tc>
          <w:tcPr>
            <w:tcW w:w="421" w:type="dxa"/>
            <w:tcBorders>
              <w:top w:val="single" w:sz="8" w:space="0" w:color="auto"/>
              <w:left w:val="nil"/>
              <w:bottom w:val="single" w:sz="8" w:space="0" w:color="auto"/>
              <w:right w:val="single" w:sz="8" w:space="0" w:color="auto"/>
            </w:tcBorders>
            <w:shd w:val="clear" w:color="auto" w:fill="auto"/>
            <w:vAlign w:val="center"/>
            <w:hideMark/>
          </w:tcPr>
          <w:p w14:paraId="7E060B7E" w14:textId="77777777" w:rsidR="0084077D" w:rsidRPr="0084077D" w:rsidRDefault="0084077D" w:rsidP="008407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48F3D6EF" w14:textId="77777777" w:rsidR="0084077D" w:rsidRPr="0084077D" w:rsidRDefault="0084077D" w:rsidP="0084077D">
            <w:pPr>
              <w:jc w:val="both"/>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Contenido</w:t>
            </w:r>
          </w:p>
        </w:tc>
        <w:tc>
          <w:tcPr>
            <w:tcW w:w="2251" w:type="dxa"/>
            <w:gridSpan w:val="2"/>
            <w:tcBorders>
              <w:top w:val="single" w:sz="8" w:space="0" w:color="auto"/>
              <w:left w:val="nil"/>
              <w:bottom w:val="single" w:sz="8" w:space="0" w:color="auto"/>
              <w:right w:val="single" w:sz="8" w:space="0" w:color="auto"/>
            </w:tcBorders>
            <w:shd w:val="clear" w:color="auto" w:fill="auto"/>
            <w:vAlign w:val="center"/>
            <w:hideMark/>
          </w:tcPr>
          <w:p w14:paraId="4D8979E5" w14:textId="77777777" w:rsidR="0084077D" w:rsidRPr="0084077D" w:rsidRDefault="0084077D" w:rsidP="0084077D">
            <w:pPr>
              <w:jc w:val="both"/>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 xml:space="preserve"> </w:t>
            </w:r>
          </w:p>
        </w:tc>
        <w:tc>
          <w:tcPr>
            <w:tcW w:w="1861" w:type="dxa"/>
            <w:gridSpan w:val="2"/>
            <w:tcBorders>
              <w:top w:val="single" w:sz="8" w:space="0" w:color="auto"/>
              <w:left w:val="nil"/>
              <w:bottom w:val="single" w:sz="8" w:space="0" w:color="auto"/>
              <w:right w:val="single" w:sz="8" w:space="0" w:color="auto"/>
            </w:tcBorders>
            <w:shd w:val="clear" w:color="auto" w:fill="auto"/>
            <w:vAlign w:val="center"/>
            <w:hideMark/>
          </w:tcPr>
          <w:p w14:paraId="2E1635B0" w14:textId="77777777" w:rsidR="0084077D" w:rsidRPr="0084077D" w:rsidRDefault="0084077D" w:rsidP="0084077D">
            <w:pPr>
              <w:jc w:val="center"/>
              <w:rPr>
                <w:rFonts w:ascii="Arial Narrow" w:eastAsia="Times New Roman" w:hAnsi="Arial Narrow" w:cs="Calibri"/>
                <w:b/>
                <w:bCs/>
                <w:color w:val="000000"/>
                <w:sz w:val="22"/>
                <w:szCs w:val="22"/>
              </w:rPr>
            </w:pPr>
            <w:r w:rsidRPr="0084077D">
              <w:rPr>
                <w:rFonts w:ascii="Arial Narrow" w:eastAsia="Times New Roman" w:hAnsi="Arial Narrow" w:cs="Calibri"/>
                <w:b/>
                <w:bCs/>
                <w:color w:val="000000"/>
                <w:sz w:val="22"/>
                <w:szCs w:val="22"/>
              </w:rPr>
              <w:t>DGCN</w:t>
            </w:r>
          </w:p>
        </w:tc>
      </w:tr>
    </w:tbl>
    <w:p w14:paraId="694BB1BC" w14:textId="77777777" w:rsidR="00D62F9A" w:rsidRDefault="00D62F9A" w:rsidP="00D033EC">
      <w:pPr>
        <w:pStyle w:val="Default"/>
        <w:jc w:val="both"/>
        <w:rPr>
          <w:sz w:val="22"/>
          <w:szCs w:val="22"/>
          <w:lang w:val="es-CR"/>
        </w:rPr>
      </w:pPr>
    </w:p>
    <w:p w14:paraId="120B250D" w14:textId="77777777" w:rsidR="00161368" w:rsidRDefault="00161368" w:rsidP="00161368">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6FE07C3D" w14:textId="77777777" w:rsidR="00161368" w:rsidRPr="0084077D" w:rsidRDefault="00161368" w:rsidP="00D033EC">
      <w:pPr>
        <w:pStyle w:val="Default"/>
        <w:jc w:val="both"/>
        <w:rPr>
          <w:sz w:val="22"/>
          <w:szCs w:val="22"/>
          <w:lang w:val="es-CR"/>
        </w:rPr>
      </w:pPr>
    </w:p>
    <w:p w14:paraId="45F0F297" w14:textId="41DDB0EF" w:rsidR="007354B0" w:rsidRDefault="0084077D" w:rsidP="0084077D">
      <w:pPr>
        <w:pStyle w:val="Default"/>
        <w:ind w:left="1134" w:hanging="1134"/>
        <w:jc w:val="both"/>
        <w:rPr>
          <w:sz w:val="22"/>
          <w:szCs w:val="22"/>
          <w:lang w:val="es-CR"/>
        </w:rPr>
      </w:pPr>
      <w:r>
        <w:rPr>
          <w:sz w:val="22"/>
          <w:szCs w:val="22"/>
          <w:lang w:val="es-CR"/>
        </w:rPr>
        <w:t>6.82.0.01</w:t>
      </w:r>
      <w:r>
        <w:rPr>
          <w:sz w:val="22"/>
          <w:szCs w:val="22"/>
          <w:lang w:val="es-CR"/>
        </w:rPr>
        <w:tab/>
      </w:r>
      <w:r w:rsidRPr="0084077D">
        <w:rPr>
          <w:sz w:val="22"/>
          <w:szCs w:val="22"/>
          <w:lang w:val="es-CR"/>
        </w:rPr>
        <w:t>En el EDP se expondrá la deuda pública total, separada en deuda pública interna y externa y, dentro de esta última, se efectuará una desagregación por sectores, detallando los saldos iniciales, los ajustes a dicho saldo, los movimientos (incrementos y disminuciones), los intereses y los gastos para arribar a la deuda al cierre del ejercicio.</w:t>
      </w:r>
    </w:p>
    <w:p w14:paraId="2F0009FC" w14:textId="77777777" w:rsidR="00DE74C9" w:rsidRDefault="00DE74C9" w:rsidP="0084077D">
      <w:pPr>
        <w:pStyle w:val="Default"/>
        <w:ind w:left="1134" w:hanging="1134"/>
        <w:jc w:val="both"/>
        <w:rPr>
          <w:sz w:val="22"/>
          <w:szCs w:val="22"/>
          <w:lang w:val="es-CR"/>
        </w:rPr>
      </w:pPr>
    </w:p>
    <w:p w14:paraId="554206A0" w14:textId="77777777" w:rsidR="00161368" w:rsidRDefault="00161368" w:rsidP="0084077D">
      <w:pPr>
        <w:pStyle w:val="Default"/>
        <w:ind w:left="1134" w:hanging="1134"/>
        <w:jc w:val="both"/>
        <w:rPr>
          <w:sz w:val="22"/>
          <w:szCs w:val="22"/>
          <w:lang w:val="es-CR"/>
        </w:rPr>
      </w:pPr>
    </w:p>
    <w:p w14:paraId="23B82A4E" w14:textId="77777777" w:rsidR="00DE74C9" w:rsidRDefault="00DE74C9" w:rsidP="0084077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5"/>
        <w:gridCol w:w="8"/>
        <w:gridCol w:w="3681"/>
        <w:gridCol w:w="8"/>
        <w:gridCol w:w="2244"/>
        <w:gridCol w:w="8"/>
        <w:gridCol w:w="1848"/>
      </w:tblGrid>
      <w:tr w:rsidR="00DE74C9" w:rsidRPr="00DE74C9" w14:paraId="29965713" w14:textId="77777777" w:rsidTr="00161368">
        <w:trPr>
          <w:trHeight w:val="300"/>
        </w:trPr>
        <w:tc>
          <w:tcPr>
            <w:tcW w:w="1557"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402E17A" w14:textId="77777777" w:rsidR="00DE74C9" w:rsidRPr="00DE74C9" w:rsidRDefault="00DE74C9" w:rsidP="00DE74C9">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D90D172" w14:textId="77777777" w:rsidR="00DE74C9" w:rsidRPr="00DE74C9" w:rsidRDefault="00DE74C9" w:rsidP="00DE74C9">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Concepto</w:t>
            </w:r>
          </w:p>
        </w:tc>
        <w:tc>
          <w:tcPr>
            <w:tcW w:w="4100" w:type="dxa"/>
            <w:gridSpan w:val="3"/>
            <w:tcBorders>
              <w:top w:val="single" w:sz="8" w:space="0" w:color="auto"/>
              <w:left w:val="nil"/>
              <w:bottom w:val="single" w:sz="8" w:space="0" w:color="auto"/>
              <w:right w:val="single" w:sz="8" w:space="0" w:color="000000"/>
            </w:tcBorders>
            <w:shd w:val="clear" w:color="000000" w:fill="203764"/>
            <w:vAlign w:val="center"/>
            <w:hideMark/>
          </w:tcPr>
          <w:p w14:paraId="47BFF13C" w14:textId="77777777" w:rsidR="00DE74C9" w:rsidRPr="00DE74C9" w:rsidRDefault="00DE74C9" w:rsidP="00DE74C9">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Referencia</w:t>
            </w:r>
          </w:p>
        </w:tc>
      </w:tr>
      <w:tr w:rsidR="00DE74C9" w:rsidRPr="006E5442" w14:paraId="68FB85D7" w14:textId="77777777" w:rsidTr="00161368">
        <w:trPr>
          <w:trHeight w:val="850"/>
        </w:trPr>
        <w:tc>
          <w:tcPr>
            <w:tcW w:w="1557" w:type="dxa"/>
            <w:gridSpan w:val="4"/>
            <w:vMerge/>
            <w:tcBorders>
              <w:top w:val="single" w:sz="8" w:space="0" w:color="auto"/>
              <w:left w:val="single" w:sz="8" w:space="0" w:color="auto"/>
              <w:bottom w:val="nil"/>
              <w:right w:val="single" w:sz="8" w:space="0" w:color="000000"/>
            </w:tcBorders>
            <w:vAlign w:val="center"/>
            <w:hideMark/>
          </w:tcPr>
          <w:p w14:paraId="07974A4C" w14:textId="77777777" w:rsidR="00DE74C9" w:rsidRPr="00DE74C9" w:rsidRDefault="00DE74C9" w:rsidP="00DE74C9">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520A09A5" w14:textId="77777777" w:rsidR="00DE74C9" w:rsidRPr="00DE74C9" w:rsidRDefault="00DE74C9" w:rsidP="00DE74C9">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6620D615" w14:textId="77777777" w:rsidR="00DE74C9" w:rsidRPr="00DE74C9" w:rsidRDefault="00DE74C9" w:rsidP="00DE74C9">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Norma</w:t>
            </w:r>
          </w:p>
        </w:tc>
        <w:tc>
          <w:tcPr>
            <w:tcW w:w="1848" w:type="dxa"/>
            <w:tcBorders>
              <w:top w:val="nil"/>
              <w:left w:val="nil"/>
              <w:bottom w:val="nil"/>
              <w:right w:val="single" w:sz="8" w:space="0" w:color="auto"/>
            </w:tcBorders>
            <w:shd w:val="clear" w:color="000000" w:fill="203764"/>
            <w:vAlign w:val="center"/>
            <w:hideMark/>
          </w:tcPr>
          <w:p w14:paraId="14C1C6FD" w14:textId="77777777" w:rsidR="00DE74C9" w:rsidRPr="00DE74C9" w:rsidRDefault="00DE74C9" w:rsidP="00DE74C9">
            <w:pPr>
              <w:jc w:val="center"/>
              <w:rPr>
                <w:rFonts w:ascii="Arial Narrow" w:eastAsia="Times New Roman" w:hAnsi="Arial Narrow" w:cs="Calibri"/>
                <w:b/>
                <w:bCs/>
                <w:color w:val="FFFFFF"/>
                <w:sz w:val="22"/>
                <w:szCs w:val="22"/>
                <w:lang w:val="es-CR"/>
              </w:rPr>
            </w:pPr>
            <w:r w:rsidRPr="00DE74C9">
              <w:rPr>
                <w:rFonts w:ascii="Arial Narrow" w:eastAsia="Times New Roman" w:hAnsi="Arial Narrow" w:cs="Calibri"/>
                <w:b/>
                <w:bCs/>
                <w:color w:val="FFFFFF"/>
                <w:sz w:val="22"/>
                <w:szCs w:val="22"/>
                <w:lang w:val="es-CR"/>
              </w:rPr>
              <w:t>Normativa técnica y disposiciones adicionales</w:t>
            </w:r>
          </w:p>
        </w:tc>
      </w:tr>
      <w:tr w:rsidR="00DE74C9" w:rsidRPr="00DE74C9" w14:paraId="5ED4971B" w14:textId="77777777" w:rsidTr="00161368">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4A7036" w14:textId="77777777" w:rsidR="00DE74C9" w:rsidRPr="00DE74C9" w:rsidRDefault="00DE74C9" w:rsidP="00DE74C9">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6BF78B3" w14:textId="77777777" w:rsidR="00DE74C9" w:rsidRPr="00DE74C9" w:rsidRDefault="00DE74C9" w:rsidP="00DE74C9">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83</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7A861D87" w14:textId="77777777" w:rsidR="00DE74C9" w:rsidRPr="00DE74C9" w:rsidRDefault="00DE74C9" w:rsidP="00DE74C9">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0627AE38" w14:textId="77777777" w:rsidR="00DE74C9" w:rsidRPr="00DE74C9" w:rsidRDefault="00DE74C9" w:rsidP="00DE74C9">
            <w:pPr>
              <w:jc w:val="both"/>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Base de datos</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3B535CA8" w14:textId="77777777" w:rsidR="00DE74C9" w:rsidRPr="00DE74C9" w:rsidRDefault="00DE74C9" w:rsidP="00DE74C9">
            <w:pPr>
              <w:jc w:val="both"/>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 xml:space="preserve"> </w:t>
            </w:r>
          </w:p>
        </w:tc>
        <w:tc>
          <w:tcPr>
            <w:tcW w:w="1856" w:type="dxa"/>
            <w:gridSpan w:val="2"/>
            <w:tcBorders>
              <w:top w:val="single" w:sz="8" w:space="0" w:color="auto"/>
              <w:left w:val="nil"/>
              <w:bottom w:val="single" w:sz="8" w:space="0" w:color="auto"/>
              <w:right w:val="single" w:sz="8" w:space="0" w:color="auto"/>
            </w:tcBorders>
            <w:shd w:val="clear" w:color="auto" w:fill="auto"/>
            <w:vAlign w:val="center"/>
            <w:hideMark/>
          </w:tcPr>
          <w:p w14:paraId="0816695C" w14:textId="77777777" w:rsidR="00DE74C9" w:rsidRPr="00DE74C9" w:rsidRDefault="00DE74C9" w:rsidP="00DE74C9">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DGCN</w:t>
            </w:r>
          </w:p>
        </w:tc>
      </w:tr>
    </w:tbl>
    <w:p w14:paraId="6B6601F2" w14:textId="77777777" w:rsidR="00DE74C9" w:rsidRDefault="00DE74C9" w:rsidP="0084077D">
      <w:pPr>
        <w:pStyle w:val="Default"/>
        <w:ind w:left="1134" w:hanging="1134"/>
        <w:jc w:val="both"/>
        <w:rPr>
          <w:sz w:val="22"/>
          <w:szCs w:val="22"/>
          <w:lang w:val="es-CR"/>
        </w:rPr>
      </w:pPr>
    </w:p>
    <w:p w14:paraId="5A447FA1" w14:textId="3C3C019A" w:rsidR="00161368" w:rsidRDefault="00161368" w:rsidP="00161368">
      <w:pPr>
        <w:pStyle w:val="Default"/>
        <w:ind w:left="1134" w:hanging="1134"/>
        <w:jc w:val="both"/>
        <w:rPr>
          <w:rFonts w:eastAsia="Arial"/>
          <w:b/>
          <w:sz w:val="22"/>
          <w:szCs w:val="22"/>
        </w:rPr>
      </w:pPr>
      <w:r w:rsidRPr="00F02F9D">
        <w:rPr>
          <w:rFonts w:eastAsia="Arial"/>
          <w:b/>
          <w:sz w:val="22"/>
          <w:szCs w:val="22"/>
        </w:rPr>
        <w:t>Política Contable</w:t>
      </w:r>
    </w:p>
    <w:p w14:paraId="170C9F35" w14:textId="77777777" w:rsidR="00161368" w:rsidRDefault="00161368" w:rsidP="0084077D">
      <w:pPr>
        <w:pStyle w:val="Default"/>
        <w:ind w:left="1134" w:hanging="1134"/>
        <w:jc w:val="both"/>
        <w:rPr>
          <w:sz w:val="22"/>
          <w:szCs w:val="22"/>
          <w:lang w:val="es-CR"/>
        </w:rPr>
      </w:pPr>
    </w:p>
    <w:p w14:paraId="2BA69BDF" w14:textId="6011E09A" w:rsidR="00DE74C9" w:rsidRPr="00DE74C9" w:rsidRDefault="00DE74C9" w:rsidP="0084077D">
      <w:pPr>
        <w:pStyle w:val="Default"/>
        <w:ind w:left="1134" w:hanging="1134"/>
        <w:jc w:val="both"/>
        <w:rPr>
          <w:sz w:val="22"/>
          <w:szCs w:val="22"/>
          <w:lang w:val="es-CR"/>
        </w:rPr>
      </w:pPr>
      <w:r>
        <w:rPr>
          <w:sz w:val="22"/>
          <w:szCs w:val="22"/>
          <w:lang w:val="es-CR"/>
        </w:rPr>
        <w:t>6.83.0.01</w:t>
      </w:r>
      <w:r>
        <w:rPr>
          <w:sz w:val="22"/>
          <w:szCs w:val="22"/>
          <w:lang w:val="es-CR"/>
        </w:rPr>
        <w:tab/>
      </w:r>
      <w:r w:rsidRPr="00DE74C9">
        <w:rPr>
          <w:sz w:val="22"/>
          <w:szCs w:val="22"/>
          <w:lang w:val="es-CR"/>
        </w:rPr>
        <w:t>Los datos expuestos en el EDP deben surgir de la integración de las bases de datos de los subsistemas de contabilidad y de crédito público (SIGADE), para lo cual los movimientos de las cuentas que componen dicho estado y todas las aperturas expuestas deben estar relacionadas con el Plan de Cuentas Contable que es parte integrante del presente PGCN.</w:t>
      </w:r>
    </w:p>
    <w:p w14:paraId="443EC4C6" w14:textId="77777777" w:rsidR="00DE74C9" w:rsidRDefault="00DE74C9" w:rsidP="0084077D">
      <w:pPr>
        <w:pStyle w:val="Default"/>
        <w:ind w:left="1134" w:hanging="1134"/>
        <w:jc w:val="both"/>
        <w:rPr>
          <w:sz w:val="22"/>
          <w:szCs w:val="22"/>
          <w:lang w:val="es-CR"/>
        </w:rPr>
      </w:pPr>
    </w:p>
    <w:p w14:paraId="2CF33586" w14:textId="77777777" w:rsidR="00161368" w:rsidRDefault="00161368" w:rsidP="0084077D">
      <w:pPr>
        <w:pStyle w:val="Default"/>
        <w:ind w:left="1134" w:hanging="1134"/>
        <w:jc w:val="both"/>
        <w:rPr>
          <w:sz w:val="22"/>
          <w:szCs w:val="22"/>
          <w:lang w:val="es-CR"/>
        </w:rPr>
      </w:pPr>
    </w:p>
    <w:p w14:paraId="6FD83D70" w14:textId="77777777" w:rsidR="00DE74C9" w:rsidRDefault="00DE74C9" w:rsidP="0084077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33"/>
        <w:gridCol w:w="7"/>
        <w:gridCol w:w="3682"/>
        <w:gridCol w:w="7"/>
        <w:gridCol w:w="2245"/>
        <w:gridCol w:w="7"/>
        <w:gridCol w:w="1841"/>
      </w:tblGrid>
      <w:tr w:rsidR="00DE74C9" w:rsidRPr="00DE74C9" w14:paraId="70BDD5FF" w14:textId="77777777" w:rsidTr="00161368">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B5AAAA5" w14:textId="77777777" w:rsidR="00DE74C9" w:rsidRPr="00DE74C9" w:rsidRDefault="00DE74C9" w:rsidP="009D13CC">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0513423" w14:textId="77777777" w:rsidR="00DE74C9" w:rsidRPr="00DE74C9" w:rsidRDefault="00DE74C9" w:rsidP="009D13CC">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Concepto</w:t>
            </w:r>
          </w:p>
        </w:tc>
        <w:tc>
          <w:tcPr>
            <w:tcW w:w="4093" w:type="dxa"/>
            <w:gridSpan w:val="3"/>
            <w:tcBorders>
              <w:top w:val="single" w:sz="8" w:space="0" w:color="auto"/>
              <w:left w:val="nil"/>
              <w:bottom w:val="single" w:sz="8" w:space="0" w:color="auto"/>
              <w:right w:val="single" w:sz="8" w:space="0" w:color="000000"/>
            </w:tcBorders>
            <w:shd w:val="clear" w:color="000000" w:fill="203764"/>
            <w:vAlign w:val="center"/>
            <w:hideMark/>
          </w:tcPr>
          <w:p w14:paraId="564A0565" w14:textId="77777777" w:rsidR="00DE74C9" w:rsidRPr="00DE74C9" w:rsidRDefault="00DE74C9" w:rsidP="009D13CC">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Referencia</w:t>
            </w:r>
          </w:p>
        </w:tc>
      </w:tr>
      <w:tr w:rsidR="00DE74C9" w:rsidRPr="006E5442" w14:paraId="52E2F48A" w14:textId="77777777" w:rsidTr="00161368">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3DC77D77" w14:textId="77777777" w:rsidR="00DE74C9" w:rsidRPr="00DE74C9" w:rsidRDefault="00DE74C9" w:rsidP="009D13CC">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29251260" w14:textId="77777777" w:rsidR="00DE74C9" w:rsidRPr="00DE74C9" w:rsidRDefault="00DE74C9" w:rsidP="009D13CC">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0E3EC60B" w14:textId="77777777" w:rsidR="00DE74C9" w:rsidRPr="00DE74C9" w:rsidRDefault="00DE74C9" w:rsidP="009D13CC">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Norma</w:t>
            </w:r>
          </w:p>
        </w:tc>
        <w:tc>
          <w:tcPr>
            <w:tcW w:w="1841" w:type="dxa"/>
            <w:tcBorders>
              <w:top w:val="nil"/>
              <w:left w:val="nil"/>
              <w:bottom w:val="nil"/>
              <w:right w:val="single" w:sz="8" w:space="0" w:color="auto"/>
            </w:tcBorders>
            <w:shd w:val="clear" w:color="000000" w:fill="203764"/>
            <w:vAlign w:val="center"/>
            <w:hideMark/>
          </w:tcPr>
          <w:p w14:paraId="19404D52" w14:textId="77777777" w:rsidR="00DE74C9" w:rsidRPr="00DE74C9" w:rsidRDefault="00DE74C9" w:rsidP="009D13CC">
            <w:pPr>
              <w:jc w:val="center"/>
              <w:rPr>
                <w:rFonts w:ascii="Arial Narrow" w:eastAsia="Times New Roman" w:hAnsi="Arial Narrow" w:cs="Calibri"/>
                <w:b/>
                <w:bCs/>
                <w:color w:val="FFFFFF"/>
                <w:sz w:val="22"/>
                <w:szCs w:val="22"/>
                <w:lang w:val="es-CR"/>
              </w:rPr>
            </w:pPr>
            <w:r w:rsidRPr="00DE74C9">
              <w:rPr>
                <w:rFonts w:ascii="Arial Narrow" w:eastAsia="Times New Roman" w:hAnsi="Arial Narrow" w:cs="Calibri"/>
                <w:b/>
                <w:bCs/>
                <w:color w:val="FFFFFF"/>
                <w:sz w:val="22"/>
                <w:szCs w:val="22"/>
                <w:lang w:val="es-CR"/>
              </w:rPr>
              <w:t>Normativa técnica y disposiciones adicionales</w:t>
            </w:r>
          </w:p>
        </w:tc>
      </w:tr>
      <w:tr w:rsidR="00DE74C9" w:rsidRPr="00DE74C9" w14:paraId="7824D3E6" w14:textId="77777777" w:rsidTr="00161368">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CC4359" w14:textId="77777777" w:rsidR="00DE74C9" w:rsidRPr="00DE74C9" w:rsidRDefault="00DE74C9" w:rsidP="009D13CC">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24098C8" w14:textId="78E268DF" w:rsidR="00DE74C9" w:rsidRPr="00DE74C9" w:rsidRDefault="00DE74C9" w:rsidP="009D13CC">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8</w:t>
            </w:r>
            <w:r>
              <w:rPr>
                <w:rFonts w:ascii="Arial Narrow" w:eastAsia="Times New Roman" w:hAnsi="Arial Narrow" w:cs="Calibri"/>
                <w:b/>
                <w:bCs/>
                <w:color w:val="000000"/>
                <w:sz w:val="22"/>
                <w:szCs w:val="22"/>
              </w:rPr>
              <w:t>4</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2331F644" w14:textId="77777777" w:rsidR="00DE74C9" w:rsidRPr="00DE74C9" w:rsidRDefault="00DE74C9" w:rsidP="009D13CC">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4EC15EBA" w14:textId="67150E64" w:rsidR="00DE74C9" w:rsidRPr="00DE74C9" w:rsidRDefault="00DE74C9" w:rsidP="009D13CC">
            <w:pPr>
              <w:jc w:val="both"/>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Notas</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6B5BDF1B" w14:textId="77777777" w:rsidR="00DE74C9" w:rsidRPr="00DE74C9" w:rsidRDefault="00DE74C9" w:rsidP="009D13CC">
            <w:pPr>
              <w:jc w:val="both"/>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 xml:space="preserve"> </w:t>
            </w:r>
          </w:p>
        </w:tc>
        <w:tc>
          <w:tcPr>
            <w:tcW w:w="1848" w:type="dxa"/>
            <w:gridSpan w:val="2"/>
            <w:tcBorders>
              <w:top w:val="single" w:sz="8" w:space="0" w:color="auto"/>
              <w:left w:val="nil"/>
              <w:bottom w:val="single" w:sz="8" w:space="0" w:color="auto"/>
              <w:right w:val="single" w:sz="8" w:space="0" w:color="auto"/>
            </w:tcBorders>
            <w:shd w:val="clear" w:color="auto" w:fill="auto"/>
            <w:vAlign w:val="center"/>
            <w:hideMark/>
          </w:tcPr>
          <w:p w14:paraId="3E8B1156" w14:textId="77777777" w:rsidR="00DE74C9" w:rsidRPr="00DE74C9" w:rsidRDefault="00DE74C9" w:rsidP="009D13CC">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DGCN</w:t>
            </w:r>
          </w:p>
        </w:tc>
      </w:tr>
    </w:tbl>
    <w:p w14:paraId="10837F04" w14:textId="77777777" w:rsidR="00DE74C9" w:rsidRDefault="00DE74C9" w:rsidP="0084077D">
      <w:pPr>
        <w:pStyle w:val="Default"/>
        <w:ind w:left="1134" w:hanging="1134"/>
        <w:jc w:val="both"/>
        <w:rPr>
          <w:sz w:val="22"/>
          <w:szCs w:val="22"/>
          <w:lang w:val="es-CR"/>
        </w:rPr>
      </w:pPr>
    </w:p>
    <w:p w14:paraId="62638C95" w14:textId="5299E5E0" w:rsidR="00161368" w:rsidRDefault="00161368" w:rsidP="00161368">
      <w:pPr>
        <w:pStyle w:val="Default"/>
        <w:ind w:left="1134" w:hanging="1134"/>
        <w:jc w:val="both"/>
        <w:rPr>
          <w:rFonts w:eastAsia="Arial"/>
          <w:b/>
          <w:sz w:val="22"/>
          <w:szCs w:val="22"/>
        </w:rPr>
      </w:pPr>
      <w:r w:rsidRPr="00F02F9D">
        <w:rPr>
          <w:rFonts w:eastAsia="Arial"/>
          <w:b/>
          <w:sz w:val="22"/>
          <w:szCs w:val="22"/>
        </w:rPr>
        <w:t>Política Contable</w:t>
      </w:r>
    </w:p>
    <w:p w14:paraId="23FAAA4A" w14:textId="77777777" w:rsidR="00161368" w:rsidRDefault="00161368" w:rsidP="0084077D">
      <w:pPr>
        <w:pStyle w:val="Default"/>
        <w:ind w:left="1134" w:hanging="1134"/>
        <w:jc w:val="both"/>
        <w:rPr>
          <w:sz w:val="22"/>
          <w:szCs w:val="22"/>
          <w:lang w:val="es-CR"/>
        </w:rPr>
      </w:pPr>
    </w:p>
    <w:p w14:paraId="38682B71" w14:textId="3C1A7976" w:rsidR="00DE74C9" w:rsidRPr="00DE74C9" w:rsidRDefault="00DE74C9" w:rsidP="0084077D">
      <w:pPr>
        <w:pStyle w:val="Default"/>
        <w:ind w:left="1134" w:hanging="1134"/>
        <w:jc w:val="both"/>
        <w:rPr>
          <w:sz w:val="22"/>
          <w:szCs w:val="22"/>
          <w:lang w:val="es-CR"/>
        </w:rPr>
      </w:pPr>
      <w:r>
        <w:rPr>
          <w:sz w:val="22"/>
          <w:szCs w:val="22"/>
          <w:lang w:val="es-CR"/>
        </w:rPr>
        <w:t>6.84.0.01</w:t>
      </w:r>
      <w:r>
        <w:rPr>
          <w:sz w:val="22"/>
          <w:szCs w:val="22"/>
          <w:lang w:val="es-CR"/>
        </w:rPr>
        <w:tab/>
      </w:r>
      <w:r w:rsidRPr="00DE74C9">
        <w:rPr>
          <w:sz w:val="22"/>
          <w:szCs w:val="22"/>
          <w:lang w:val="es-CR"/>
        </w:rPr>
        <w:t>Cada rubro expuesto en el EDP, se relacionará con la información correspondiente en las notas.</w:t>
      </w:r>
    </w:p>
    <w:p w14:paraId="236DD337" w14:textId="77777777" w:rsidR="00DE74C9" w:rsidRDefault="00DE74C9" w:rsidP="0084077D">
      <w:pPr>
        <w:pStyle w:val="Default"/>
        <w:ind w:left="1134" w:hanging="1134"/>
        <w:jc w:val="both"/>
        <w:rPr>
          <w:sz w:val="22"/>
          <w:szCs w:val="22"/>
          <w:lang w:val="es-CR"/>
        </w:rPr>
      </w:pPr>
    </w:p>
    <w:p w14:paraId="7C0B7994" w14:textId="77777777" w:rsidR="00161368" w:rsidRDefault="00161368" w:rsidP="0084077D">
      <w:pPr>
        <w:pStyle w:val="Default"/>
        <w:ind w:left="1134" w:hanging="1134"/>
        <w:jc w:val="both"/>
        <w:rPr>
          <w:sz w:val="22"/>
          <w:szCs w:val="22"/>
          <w:lang w:val="es-CR"/>
        </w:rPr>
      </w:pPr>
    </w:p>
    <w:p w14:paraId="62367E84" w14:textId="77777777" w:rsidR="00DE74C9" w:rsidRDefault="00DE74C9" w:rsidP="0084077D">
      <w:pPr>
        <w:pStyle w:val="Default"/>
        <w:ind w:left="1134" w:hanging="1134"/>
        <w:jc w:val="both"/>
        <w:rPr>
          <w:sz w:val="22"/>
          <w:szCs w:val="22"/>
          <w:lang w:val="es-CR"/>
        </w:rPr>
      </w:pPr>
    </w:p>
    <w:tbl>
      <w:tblPr>
        <w:tblW w:w="9346" w:type="dxa"/>
        <w:tblLook w:val="04A0" w:firstRow="1" w:lastRow="0" w:firstColumn="1" w:lastColumn="0" w:noHBand="0" w:noVBand="1"/>
      </w:tblPr>
      <w:tblGrid>
        <w:gridCol w:w="414"/>
        <w:gridCol w:w="710"/>
        <w:gridCol w:w="330"/>
        <w:gridCol w:w="152"/>
        <w:gridCol w:w="3549"/>
        <w:gridCol w:w="152"/>
        <w:gridCol w:w="2103"/>
        <w:gridCol w:w="153"/>
        <w:gridCol w:w="1783"/>
      </w:tblGrid>
      <w:tr w:rsidR="00DE74C9" w:rsidRPr="00DE74C9" w14:paraId="342C7898" w14:textId="77777777" w:rsidTr="004B6B45">
        <w:trPr>
          <w:trHeight w:val="320"/>
        </w:trPr>
        <w:tc>
          <w:tcPr>
            <w:tcW w:w="1606"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5ECBD4A1" w14:textId="77777777" w:rsidR="00DE74C9" w:rsidRPr="00DE74C9" w:rsidRDefault="00DE74C9" w:rsidP="00DE74C9">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lastRenderedPageBreak/>
              <w:t>Norma / Política</w:t>
            </w:r>
          </w:p>
        </w:tc>
        <w:tc>
          <w:tcPr>
            <w:tcW w:w="370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CA919E7" w14:textId="77777777" w:rsidR="00DE74C9" w:rsidRPr="00DE74C9" w:rsidRDefault="00DE74C9" w:rsidP="00DE74C9">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Concepto</w:t>
            </w:r>
          </w:p>
        </w:tc>
        <w:tc>
          <w:tcPr>
            <w:tcW w:w="4039" w:type="dxa"/>
            <w:gridSpan w:val="3"/>
            <w:tcBorders>
              <w:top w:val="single" w:sz="8" w:space="0" w:color="auto"/>
              <w:left w:val="nil"/>
              <w:bottom w:val="single" w:sz="8" w:space="0" w:color="auto"/>
              <w:right w:val="single" w:sz="8" w:space="0" w:color="000000"/>
            </w:tcBorders>
            <w:shd w:val="clear" w:color="000000" w:fill="203764"/>
            <w:vAlign w:val="center"/>
            <w:hideMark/>
          </w:tcPr>
          <w:p w14:paraId="0E537E99" w14:textId="77777777" w:rsidR="00DE74C9" w:rsidRPr="00DE74C9" w:rsidRDefault="00DE74C9" w:rsidP="00DE74C9">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Referencia</w:t>
            </w:r>
          </w:p>
        </w:tc>
      </w:tr>
      <w:tr w:rsidR="00DE74C9" w:rsidRPr="006E5442" w14:paraId="4ED189FF" w14:textId="77777777" w:rsidTr="004B6B45">
        <w:trPr>
          <w:trHeight w:val="850"/>
        </w:trPr>
        <w:tc>
          <w:tcPr>
            <w:tcW w:w="1606" w:type="dxa"/>
            <w:gridSpan w:val="4"/>
            <w:vMerge/>
            <w:tcBorders>
              <w:top w:val="single" w:sz="8" w:space="0" w:color="auto"/>
              <w:left w:val="single" w:sz="8" w:space="0" w:color="auto"/>
              <w:bottom w:val="nil"/>
              <w:right w:val="single" w:sz="8" w:space="0" w:color="000000"/>
            </w:tcBorders>
            <w:vAlign w:val="center"/>
            <w:hideMark/>
          </w:tcPr>
          <w:p w14:paraId="291B1DDC" w14:textId="77777777" w:rsidR="00DE74C9" w:rsidRPr="00DE74C9" w:rsidRDefault="00DE74C9" w:rsidP="00DE74C9">
            <w:pPr>
              <w:rPr>
                <w:rFonts w:ascii="Arial Narrow" w:eastAsia="Times New Roman" w:hAnsi="Arial Narrow" w:cs="Calibri"/>
                <w:b/>
                <w:bCs/>
                <w:color w:val="FFFFFF"/>
                <w:sz w:val="22"/>
                <w:szCs w:val="22"/>
              </w:rPr>
            </w:pPr>
          </w:p>
        </w:tc>
        <w:tc>
          <w:tcPr>
            <w:tcW w:w="3701" w:type="dxa"/>
            <w:gridSpan w:val="2"/>
            <w:vMerge/>
            <w:tcBorders>
              <w:top w:val="single" w:sz="8" w:space="0" w:color="auto"/>
              <w:left w:val="single" w:sz="8" w:space="0" w:color="auto"/>
              <w:bottom w:val="nil"/>
              <w:right w:val="single" w:sz="8" w:space="0" w:color="auto"/>
            </w:tcBorders>
            <w:vAlign w:val="center"/>
            <w:hideMark/>
          </w:tcPr>
          <w:p w14:paraId="10555512" w14:textId="77777777" w:rsidR="00DE74C9" w:rsidRPr="00DE74C9" w:rsidRDefault="00DE74C9" w:rsidP="00DE74C9">
            <w:pPr>
              <w:rPr>
                <w:rFonts w:ascii="Arial Narrow" w:eastAsia="Times New Roman" w:hAnsi="Arial Narrow" w:cs="Calibri"/>
                <w:b/>
                <w:bCs/>
                <w:color w:val="FFFFFF"/>
                <w:sz w:val="22"/>
                <w:szCs w:val="22"/>
              </w:rPr>
            </w:pPr>
          </w:p>
        </w:tc>
        <w:tc>
          <w:tcPr>
            <w:tcW w:w="2256" w:type="dxa"/>
            <w:gridSpan w:val="2"/>
            <w:tcBorders>
              <w:top w:val="nil"/>
              <w:left w:val="nil"/>
              <w:bottom w:val="nil"/>
              <w:right w:val="single" w:sz="8" w:space="0" w:color="auto"/>
            </w:tcBorders>
            <w:shd w:val="clear" w:color="000000" w:fill="203764"/>
            <w:vAlign w:val="center"/>
            <w:hideMark/>
          </w:tcPr>
          <w:p w14:paraId="34AD4657" w14:textId="77777777" w:rsidR="00DE74C9" w:rsidRPr="00DE74C9" w:rsidRDefault="00DE74C9" w:rsidP="00DE74C9">
            <w:pPr>
              <w:jc w:val="center"/>
              <w:rPr>
                <w:rFonts w:ascii="Arial Narrow" w:eastAsia="Times New Roman" w:hAnsi="Arial Narrow" w:cs="Calibri"/>
                <w:b/>
                <w:bCs/>
                <w:color w:val="FFFFFF"/>
                <w:sz w:val="22"/>
                <w:szCs w:val="22"/>
              </w:rPr>
            </w:pPr>
            <w:r w:rsidRPr="00DE74C9">
              <w:rPr>
                <w:rFonts w:ascii="Arial Narrow" w:eastAsia="Times New Roman" w:hAnsi="Arial Narrow" w:cs="Calibri"/>
                <w:b/>
                <w:bCs/>
                <w:color w:val="FFFFFF"/>
                <w:sz w:val="22"/>
                <w:szCs w:val="22"/>
              </w:rPr>
              <w:t>Norma</w:t>
            </w:r>
          </w:p>
        </w:tc>
        <w:tc>
          <w:tcPr>
            <w:tcW w:w="1783" w:type="dxa"/>
            <w:tcBorders>
              <w:top w:val="nil"/>
              <w:left w:val="nil"/>
              <w:bottom w:val="nil"/>
              <w:right w:val="single" w:sz="8" w:space="0" w:color="auto"/>
            </w:tcBorders>
            <w:shd w:val="clear" w:color="000000" w:fill="203764"/>
            <w:vAlign w:val="center"/>
            <w:hideMark/>
          </w:tcPr>
          <w:p w14:paraId="76705749" w14:textId="77777777" w:rsidR="00DE74C9" w:rsidRPr="00DE74C9" w:rsidRDefault="00DE74C9" w:rsidP="00DE74C9">
            <w:pPr>
              <w:jc w:val="center"/>
              <w:rPr>
                <w:rFonts w:ascii="Arial Narrow" w:eastAsia="Times New Roman" w:hAnsi="Arial Narrow" w:cs="Calibri"/>
                <w:b/>
                <w:bCs/>
                <w:color w:val="FFFFFF"/>
                <w:sz w:val="22"/>
                <w:szCs w:val="22"/>
                <w:lang w:val="es-CR"/>
              </w:rPr>
            </w:pPr>
            <w:r w:rsidRPr="00DE74C9">
              <w:rPr>
                <w:rFonts w:ascii="Arial Narrow" w:eastAsia="Times New Roman" w:hAnsi="Arial Narrow" w:cs="Calibri"/>
                <w:b/>
                <w:bCs/>
                <w:color w:val="FFFFFF"/>
                <w:sz w:val="22"/>
                <w:szCs w:val="22"/>
                <w:lang w:val="es-CR"/>
              </w:rPr>
              <w:t>Normativa técnica y disposiciones adicionales</w:t>
            </w:r>
          </w:p>
        </w:tc>
      </w:tr>
      <w:tr w:rsidR="00DE74C9" w:rsidRPr="00DE74C9" w14:paraId="3A56315A" w14:textId="77777777" w:rsidTr="004B6B45">
        <w:trPr>
          <w:trHeight w:val="320"/>
        </w:trPr>
        <w:tc>
          <w:tcPr>
            <w:tcW w:w="4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A7ECDA" w14:textId="77777777" w:rsidR="00DE74C9" w:rsidRPr="00DE74C9" w:rsidRDefault="00DE74C9" w:rsidP="00161368">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6</w:t>
            </w:r>
          </w:p>
        </w:tc>
        <w:tc>
          <w:tcPr>
            <w:tcW w:w="710" w:type="dxa"/>
            <w:tcBorders>
              <w:top w:val="single" w:sz="8" w:space="0" w:color="auto"/>
              <w:left w:val="nil"/>
              <w:bottom w:val="single" w:sz="8" w:space="0" w:color="auto"/>
              <w:right w:val="single" w:sz="8" w:space="0" w:color="auto"/>
            </w:tcBorders>
            <w:shd w:val="clear" w:color="auto" w:fill="auto"/>
            <w:vAlign w:val="center"/>
            <w:hideMark/>
          </w:tcPr>
          <w:p w14:paraId="603652A4" w14:textId="77777777" w:rsidR="00DE74C9" w:rsidRPr="00DE74C9" w:rsidRDefault="00DE74C9" w:rsidP="00DE74C9">
            <w:pPr>
              <w:ind w:firstLineChars="100" w:firstLine="220"/>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85</w:t>
            </w:r>
          </w:p>
        </w:tc>
        <w:tc>
          <w:tcPr>
            <w:tcW w:w="330" w:type="dxa"/>
            <w:tcBorders>
              <w:top w:val="single" w:sz="8" w:space="0" w:color="auto"/>
              <w:left w:val="nil"/>
              <w:bottom w:val="single" w:sz="8" w:space="0" w:color="auto"/>
              <w:right w:val="single" w:sz="8" w:space="0" w:color="auto"/>
            </w:tcBorders>
            <w:shd w:val="clear" w:color="auto" w:fill="auto"/>
            <w:vAlign w:val="center"/>
            <w:hideMark/>
          </w:tcPr>
          <w:p w14:paraId="1F0D498D" w14:textId="77777777" w:rsidR="00DE74C9" w:rsidRPr="00DE74C9" w:rsidRDefault="00DE74C9" w:rsidP="00DE74C9">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 xml:space="preserve"> </w:t>
            </w:r>
          </w:p>
        </w:tc>
        <w:tc>
          <w:tcPr>
            <w:tcW w:w="3701" w:type="dxa"/>
            <w:gridSpan w:val="2"/>
            <w:tcBorders>
              <w:top w:val="single" w:sz="8" w:space="0" w:color="auto"/>
              <w:left w:val="nil"/>
              <w:bottom w:val="single" w:sz="8" w:space="0" w:color="auto"/>
              <w:right w:val="single" w:sz="8" w:space="0" w:color="auto"/>
            </w:tcBorders>
            <w:shd w:val="clear" w:color="auto" w:fill="auto"/>
            <w:vAlign w:val="center"/>
            <w:hideMark/>
          </w:tcPr>
          <w:p w14:paraId="5BCB763F" w14:textId="77777777" w:rsidR="00DE74C9" w:rsidRPr="00DE74C9" w:rsidRDefault="00DE74C9" w:rsidP="00DE74C9">
            <w:pP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Modelo de EDP</w:t>
            </w:r>
          </w:p>
        </w:tc>
        <w:tc>
          <w:tcPr>
            <w:tcW w:w="2255" w:type="dxa"/>
            <w:gridSpan w:val="2"/>
            <w:tcBorders>
              <w:top w:val="single" w:sz="8" w:space="0" w:color="auto"/>
              <w:left w:val="nil"/>
              <w:bottom w:val="single" w:sz="8" w:space="0" w:color="auto"/>
              <w:right w:val="single" w:sz="8" w:space="0" w:color="auto"/>
            </w:tcBorders>
            <w:shd w:val="clear" w:color="auto" w:fill="auto"/>
            <w:vAlign w:val="center"/>
            <w:hideMark/>
          </w:tcPr>
          <w:p w14:paraId="2784286E" w14:textId="77777777" w:rsidR="00DE74C9" w:rsidRPr="00DE74C9" w:rsidRDefault="00DE74C9" w:rsidP="00DE74C9">
            <w:pP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 </w:t>
            </w:r>
          </w:p>
        </w:tc>
        <w:tc>
          <w:tcPr>
            <w:tcW w:w="1936" w:type="dxa"/>
            <w:gridSpan w:val="2"/>
            <w:tcBorders>
              <w:top w:val="single" w:sz="8" w:space="0" w:color="auto"/>
              <w:left w:val="nil"/>
              <w:bottom w:val="single" w:sz="8" w:space="0" w:color="auto"/>
              <w:right w:val="single" w:sz="8" w:space="0" w:color="auto"/>
            </w:tcBorders>
            <w:shd w:val="clear" w:color="auto" w:fill="auto"/>
            <w:vAlign w:val="center"/>
            <w:hideMark/>
          </w:tcPr>
          <w:p w14:paraId="140FB9C3" w14:textId="77777777" w:rsidR="00DE74C9" w:rsidRPr="00DE74C9" w:rsidRDefault="00DE74C9" w:rsidP="00DE74C9">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DGCN</w:t>
            </w:r>
          </w:p>
        </w:tc>
      </w:tr>
      <w:tr w:rsidR="00DE74C9" w:rsidRPr="00DE74C9" w14:paraId="17E37599" w14:textId="77777777" w:rsidTr="004B6B45">
        <w:trPr>
          <w:trHeight w:val="320"/>
        </w:trPr>
        <w:tc>
          <w:tcPr>
            <w:tcW w:w="414" w:type="dxa"/>
            <w:tcBorders>
              <w:top w:val="nil"/>
              <w:left w:val="single" w:sz="8" w:space="0" w:color="auto"/>
              <w:bottom w:val="single" w:sz="8" w:space="0" w:color="auto"/>
              <w:right w:val="single" w:sz="8" w:space="0" w:color="auto"/>
            </w:tcBorders>
            <w:shd w:val="clear" w:color="auto" w:fill="auto"/>
            <w:vAlign w:val="center"/>
            <w:hideMark/>
          </w:tcPr>
          <w:p w14:paraId="17B0166D" w14:textId="77777777" w:rsidR="00DE74C9" w:rsidRPr="00DE74C9" w:rsidRDefault="00DE74C9" w:rsidP="00161368">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6</w:t>
            </w:r>
          </w:p>
        </w:tc>
        <w:tc>
          <w:tcPr>
            <w:tcW w:w="710" w:type="dxa"/>
            <w:tcBorders>
              <w:top w:val="nil"/>
              <w:left w:val="nil"/>
              <w:bottom w:val="single" w:sz="8" w:space="0" w:color="auto"/>
              <w:right w:val="single" w:sz="8" w:space="0" w:color="auto"/>
            </w:tcBorders>
            <w:shd w:val="clear" w:color="auto" w:fill="auto"/>
            <w:vAlign w:val="center"/>
            <w:hideMark/>
          </w:tcPr>
          <w:p w14:paraId="59590712" w14:textId="77777777" w:rsidR="00DE74C9" w:rsidRPr="00DE74C9" w:rsidRDefault="00DE74C9" w:rsidP="00DE74C9">
            <w:pPr>
              <w:ind w:firstLineChars="100" w:firstLine="220"/>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85</w:t>
            </w:r>
          </w:p>
        </w:tc>
        <w:tc>
          <w:tcPr>
            <w:tcW w:w="330" w:type="dxa"/>
            <w:tcBorders>
              <w:top w:val="nil"/>
              <w:left w:val="nil"/>
              <w:bottom w:val="single" w:sz="8" w:space="0" w:color="auto"/>
              <w:right w:val="nil"/>
            </w:tcBorders>
            <w:shd w:val="clear" w:color="auto" w:fill="auto"/>
            <w:vAlign w:val="center"/>
            <w:hideMark/>
          </w:tcPr>
          <w:p w14:paraId="47713593" w14:textId="77777777" w:rsidR="00DE74C9" w:rsidRPr="00DE74C9" w:rsidRDefault="00DE74C9" w:rsidP="00DE74C9">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1</w:t>
            </w:r>
          </w:p>
        </w:tc>
        <w:tc>
          <w:tcPr>
            <w:tcW w:w="3701" w:type="dxa"/>
            <w:gridSpan w:val="2"/>
            <w:tcBorders>
              <w:top w:val="nil"/>
              <w:left w:val="single" w:sz="8" w:space="0" w:color="auto"/>
              <w:bottom w:val="single" w:sz="8" w:space="0" w:color="auto"/>
              <w:right w:val="single" w:sz="8" w:space="0" w:color="auto"/>
            </w:tcBorders>
            <w:shd w:val="clear" w:color="auto" w:fill="auto"/>
            <w:vAlign w:val="center"/>
            <w:hideMark/>
          </w:tcPr>
          <w:p w14:paraId="5D2121CA" w14:textId="77777777" w:rsidR="00DE74C9" w:rsidRPr="00DE74C9" w:rsidRDefault="00DE74C9" w:rsidP="00DE74C9">
            <w:pP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Exposición saldo nulo</w:t>
            </w:r>
          </w:p>
        </w:tc>
        <w:tc>
          <w:tcPr>
            <w:tcW w:w="2255" w:type="dxa"/>
            <w:gridSpan w:val="2"/>
            <w:tcBorders>
              <w:top w:val="nil"/>
              <w:left w:val="nil"/>
              <w:bottom w:val="single" w:sz="8" w:space="0" w:color="auto"/>
              <w:right w:val="single" w:sz="8" w:space="0" w:color="auto"/>
            </w:tcBorders>
            <w:shd w:val="clear" w:color="auto" w:fill="auto"/>
            <w:vAlign w:val="center"/>
            <w:hideMark/>
          </w:tcPr>
          <w:p w14:paraId="5B1A36F8" w14:textId="77777777" w:rsidR="00DE74C9" w:rsidRPr="00DE74C9" w:rsidRDefault="00DE74C9" w:rsidP="00DE74C9">
            <w:pP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 xml:space="preserve"> </w:t>
            </w:r>
          </w:p>
        </w:tc>
        <w:tc>
          <w:tcPr>
            <w:tcW w:w="1936" w:type="dxa"/>
            <w:gridSpan w:val="2"/>
            <w:tcBorders>
              <w:top w:val="nil"/>
              <w:left w:val="nil"/>
              <w:bottom w:val="single" w:sz="8" w:space="0" w:color="auto"/>
              <w:right w:val="single" w:sz="8" w:space="0" w:color="auto"/>
            </w:tcBorders>
            <w:shd w:val="clear" w:color="auto" w:fill="auto"/>
            <w:vAlign w:val="center"/>
            <w:hideMark/>
          </w:tcPr>
          <w:p w14:paraId="17BBBA36" w14:textId="77777777" w:rsidR="00DE74C9" w:rsidRPr="00DE74C9" w:rsidRDefault="00DE74C9" w:rsidP="00DE74C9">
            <w:pPr>
              <w:jc w:val="center"/>
              <w:rPr>
                <w:rFonts w:ascii="Arial Narrow" w:eastAsia="Times New Roman" w:hAnsi="Arial Narrow" w:cs="Calibri"/>
                <w:b/>
                <w:bCs/>
                <w:color w:val="000000"/>
                <w:sz w:val="22"/>
                <w:szCs w:val="22"/>
              </w:rPr>
            </w:pPr>
            <w:r w:rsidRPr="00DE74C9">
              <w:rPr>
                <w:rFonts w:ascii="Arial Narrow" w:eastAsia="Times New Roman" w:hAnsi="Arial Narrow" w:cs="Calibri"/>
                <w:b/>
                <w:bCs/>
                <w:color w:val="000000"/>
                <w:sz w:val="22"/>
                <w:szCs w:val="22"/>
              </w:rPr>
              <w:t>DGCN</w:t>
            </w:r>
          </w:p>
        </w:tc>
      </w:tr>
    </w:tbl>
    <w:p w14:paraId="2B863CB5" w14:textId="77777777" w:rsidR="00DE74C9" w:rsidRDefault="00DE74C9" w:rsidP="0084077D">
      <w:pPr>
        <w:pStyle w:val="Default"/>
        <w:ind w:left="1134" w:hanging="1134"/>
        <w:jc w:val="both"/>
        <w:rPr>
          <w:sz w:val="22"/>
          <w:szCs w:val="22"/>
          <w:lang w:val="es-CR"/>
        </w:rPr>
      </w:pPr>
    </w:p>
    <w:p w14:paraId="396AA1B1" w14:textId="77777777" w:rsidR="00161368" w:rsidRDefault="00161368" w:rsidP="00161368">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358B3B31" w14:textId="77777777" w:rsidR="00161368" w:rsidRDefault="00161368" w:rsidP="0084077D">
      <w:pPr>
        <w:pStyle w:val="Default"/>
        <w:ind w:left="1134" w:hanging="1134"/>
        <w:jc w:val="both"/>
        <w:rPr>
          <w:sz w:val="22"/>
          <w:szCs w:val="22"/>
          <w:lang w:val="es-CR"/>
        </w:rPr>
      </w:pPr>
    </w:p>
    <w:p w14:paraId="6C7F34BA" w14:textId="4128B155" w:rsidR="00DE74C9" w:rsidRPr="00DE74C9" w:rsidRDefault="00DE74C9" w:rsidP="00DE74C9">
      <w:pPr>
        <w:pStyle w:val="Default"/>
        <w:ind w:left="1134" w:hanging="1134"/>
        <w:jc w:val="both"/>
        <w:rPr>
          <w:sz w:val="22"/>
          <w:szCs w:val="22"/>
          <w:lang w:val="es-CR"/>
        </w:rPr>
      </w:pPr>
      <w:r>
        <w:rPr>
          <w:sz w:val="22"/>
          <w:szCs w:val="22"/>
          <w:lang w:val="es-CR"/>
        </w:rPr>
        <w:t>6.85.0.01</w:t>
      </w:r>
      <w:r>
        <w:rPr>
          <w:sz w:val="22"/>
          <w:szCs w:val="22"/>
          <w:lang w:val="es-CR"/>
        </w:rPr>
        <w:tab/>
      </w:r>
      <w:r w:rsidRPr="00DE74C9">
        <w:rPr>
          <w:sz w:val="22"/>
          <w:szCs w:val="22"/>
          <w:lang w:val="es-CR"/>
        </w:rPr>
        <w:t xml:space="preserve">En el Anexo I se adjunta las plantillas con el modelo que rige para la presentación del EDP y la información en él contenida, es la mínima que debe informarse. La </w:t>
      </w:r>
      <w:r>
        <w:rPr>
          <w:sz w:val="22"/>
          <w:szCs w:val="22"/>
          <w:lang w:val="es-CR"/>
        </w:rPr>
        <w:t xml:space="preserve">Municipalidad deberá atender los requerimientos de información sobre el EDP realizados por la </w:t>
      </w:r>
      <w:r w:rsidRPr="00DE74C9">
        <w:rPr>
          <w:sz w:val="22"/>
          <w:szCs w:val="22"/>
          <w:lang w:val="es-CR"/>
        </w:rPr>
        <w:t xml:space="preserve">DGCN </w:t>
      </w:r>
      <w:r>
        <w:rPr>
          <w:sz w:val="22"/>
          <w:szCs w:val="22"/>
          <w:lang w:val="es-CR"/>
        </w:rPr>
        <w:t>mediante</w:t>
      </w:r>
      <w:r w:rsidRPr="00DE74C9">
        <w:rPr>
          <w:sz w:val="22"/>
          <w:szCs w:val="22"/>
          <w:lang w:val="es-CR"/>
        </w:rPr>
        <w:t xml:space="preserve"> documento</w:t>
      </w:r>
      <w:r>
        <w:rPr>
          <w:sz w:val="22"/>
          <w:szCs w:val="22"/>
          <w:lang w:val="es-CR"/>
        </w:rPr>
        <w:t>s</w:t>
      </w:r>
      <w:r w:rsidRPr="00DE74C9">
        <w:rPr>
          <w:sz w:val="22"/>
          <w:szCs w:val="22"/>
          <w:lang w:val="es-CR"/>
        </w:rPr>
        <w:t xml:space="preserve"> </w:t>
      </w:r>
      <w:r>
        <w:rPr>
          <w:sz w:val="22"/>
          <w:szCs w:val="22"/>
          <w:lang w:val="es-CR"/>
        </w:rPr>
        <w:t>de</w:t>
      </w:r>
      <w:r w:rsidRPr="00DE74C9">
        <w:rPr>
          <w:sz w:val="22"/>
          <w:szCs w:val="22"/>
          <w:lang w:val="es-CR"/>
        </w:rPr>
        <w:t xml:space="preserve"> solicitud de información.</w:t>
      </w:r>
    </w:p>
    <w:p w14:paraId="15028321" w14:textId="77777777" w:rsidR="00DE74C9" w:rsidRPr="00DE74C9" w:rsidRDefault="00DE74C9" w:rsidP="00DE74C9">
      <w:pPr>
        <w:pStyle w:val="Default"/>
        <w:ind w:left="1134" w:hanging="1134"/>
        <w:jc w:val="both"/>
        <w:rPr>
          <w:sz w:val="22"/>
          <w:szCs w:val="22"/>
          <w:lang w:val="es-CR"/>
        </w:rPr>
      </w:pPr>
    </w:p>
    <w:p w14:paraId="1C6D3CC4" w14:textId="13BBC76B" w:rsidR="00DE74C9" w:rsidRPr="00DE74C9" w:rsidRDefault="00DE74C9" w:rsidP="00DE74C9">
      <w:pPr>
        <w:pStyle w:val="Default"/>
        <w:ind w:left="1134" w:hanging="1134"/>
        <w:jc w:val="both"/>
        <w:rPr>
          <w:sz w:val="22"/>
          <w:szCs w:val="22"/>
          <w:lang w:val="es-CR"/>
        </w:rPr>
      </w:pPr>
      <w:r>
        <w:rPr>
          <w:sz w:val="22"/>
          <w:szCs w:val="22"/>
          <w:lang w:val="es-CR"/>
        </w:rPr>
        <w:t>6.85.</w:t>
      </w:r>
      <w:r w:rsidRPr="00DE74C9">
        <w:rPr>
          <w:sz w:val="22"/>
          <w:szCs w:val="22"/>
          <w:lang w:val="es-CR"/>
        </w:rPr>
        <w:t>1.</w:t>
      </w:r>
      <w:r>
        <w:rPr>
          <w:sz w:val="22"/>
          <w:szCs w:val="22"/>
          <w:lang w:val="es-CR"/>
        </w:rPr>
        <w:t>01</w:t>
      </w:r>
      <w:r>
        <w:rPr>
          <w:sz w:val="22"/>
          <w:szCs w:val="22"/>
          <w:lang w:val="es-CR"/>
        </w:rPr>
        <w:tab/>
      </w:r>
      <w:r w:rsidRPr="00DE74C9">
        <w:rPr>
          <w:sz w:val="22"/>
          <w:szCs w:val="22"/>
          <w:lang w:val="es-CR"/>
        </w:rPr>
        <w:t xml:space="preserve">Deberá establecerse, en nota aclaratoria, si no se presentan saldos ni han existido transacciones en algunas de las partidas o componentes del EDP, debiendo exponer las mismas aún teniendo saldo nulo. </w:t>
      </w:r>
    </w:p>
    <w:p w14:paraId="6752B6D7" w14:textId="77777777" w:rsidR="00DE74C9" w:rsidRDefault="00DE74C9" w:rsidP="00DE74C9">
      <w:pPr>
        <w:pStyle w:val="Default"/>
        <w:ind w:left="1134" w:hanging="1134"/>
        <w:jc w:val="both"/>
        <w:rPr>
          <w:sz w:val="22"/>
          <w:szCs w:val="22"/>
          <w:lang w:val="es-CR"/>
        </w:rPr>
      </w:pPr>
    </w:p>
    <w:p w14:paraId="438FF410" w14:textId="77777777" w:rsidR="002236BD" w:rsidRDefault="002236BD" w:rsidP="00DE74C9">
      <w:pPr>
        <w:pStyle w:val="Default"/>
        <w:ind w:left="1134" w:hanging="1134"/>
        <w:jc w:val="both"/>
        <w:rPr>
          <w:sz w:val="22"/>
          <w:szCs w:val="22"/>
          <w:lang w:val="es-CR"/>
        </w:rPr>
      </w:pPr>
    </w:p>
    <w:p w14:paraId="628DD9FF" w14:textId="77777777" w:rsidR="004B6B45" w:rsidRPr="00DE74C9" w:rsidRDefault="004B6B45" w:rsidP="00DE74C9">
      <w:pPr>
        <w:pStyle w:val="Default"/>
        <w:ind w:left="1134" w:hanging="1134"/>
        <w:jc w:val="both"/>
        <w:rPr>
          <w:sz w:val="22"/>
          <w:szCs w:val="22"/>
          <w:lang w:val="es-CR"/>
        </w:rPr>
      </w:pPr>
    </w:p>
    <w:p w14:paraId="26D51809" w14:textId="77777777" w:rsidR="00DE74C9" w:rsidRDefault="00DE74C9" w:rsidP="0084077D">
      <w:pPr>
        <w:pStyle w:val="Default"/>
        <w:ind w:left="1134" w:hanging="1134"/>
        <w:jc w:val="both"/>
        <w:rPr>
          <w:sz w:val="22"/>
          <w:szCs w:val="22"/>
          <w:lang w:val="es-CR"/>
        </w:rPr>
      </w:pPr>
    </w:p>
    <w:p w14:paraId="3E781506" w14:textId="25DE185C" w:rsidR="00DE74C9" w:rsidRPr="00DE74C9" w:rsidRDefault="00DE74C9" w:rsidP="00DE74C9">
      <w:pPr>
        <w:pStyle w:val="Ttulo2"/>
        <w:ind w:left="284"/>
        <w:rPr>
          <w:rFonts w:ascii="Arial" w:eastAsia="Arial" w:hAnsi="Arial" w:cs="Arial"/>
          <w:b/>
          <w:bCs/>
          <w:sz w:val="24"/>
          <w:szCs w:val="24"/>
          <w:lang w:val="es-CR"/>
        </w:rPr>
      </w:pPr>
      <w:bookmarkStart w:id="185" w:name="_Toc172726320"/>
      <w:r w:rsidRPr="00DE74C9">
        <w:rPr>
          <w:rFonts w:ascii="Arial" w:eastAsia="Arial" w:hAnsi="Arial" w:cs="Arial"/>
          <w:b/>
          <w:bCs/>
          <w:sz w:val="24"/>
          <w:szCs w:val="24"/>
          <w:lang w:val="es-CR"/>
        </w:rPr>
        <w:t>Estado de Información Financiera por Segmentos</w:t>
      </w:r>
      <w:bookmarkEnd w:id="185"/>
    </w:p>
    <w:p w14:paraId="566D2479" w14:textId="77777777" w:rsidR="00DE74C9" w:rsidRPr="00DE74C9" w:rsidRDefault="00DE74C9" w:rsidP="00DE74C9">
      <w:pPr>
        <w:pStyle w:val="Ttulo2"/>
        <w:ind w:left="284"/>
        <w:rPr>
          <w:rFonts w:ascii="Arial" w:eastAsia="Arial" w:hAnsi="Arial" w:cs="Arial"/>
          <w:b/>
          <w:bCs/>
          <w:sz w:val="24"/>
          <w:szCs w:val="24"/>
          <w:lang w:val="es-CR"/>
        </w:rPr>
      </w:pPr>
    </w:p>
    <w:p w14:paraId="5B63C63A" w14:textId="77777777" w:rsidR="00DE74C9" w:rsidRDefault="00DE74C9" w:rsidP="0084077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7"/>
        <w:gridCol w:w="2254"/>
        <w:gridCol w:w="1855"/>
      </w:tblGrid>
      <w:tr w:rsidR="002236BD" w:rsidRPr="002236BD" w14:paraId="620DC97C" w14:textId="77777777" w:rsidTr="004B6B45">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C2849E5" w14:textId="77777777" w:rsidR="002236BD" w:rsidRPr="002236BD" w:rsidRDefault="002236BD" w:rsidP="002236BD">
            <w:pPr>
              <w:jc w:val="center"/>
              <w:rPr>
                <w:rFonts w:ascii="Arial Narrow" w:eastAsia="Times New Roman" w:hAnsi="Arial Narrow" w:cs="Calibri"/>
                <w:b/>
                <w:bCs/>
                <w:color w:val="FFFFFF"/>
                <w:sz w:val="22"/>
                <w:szCs w:val="22"/>
              </w:rPr>
            </w:pPr>
            <w:r w:rsidRPr="002236BD">
              <w:rPr>
                <w:rFonts w:ascii="Arial Narrow" w:eastAsia="Times New Roman" w:hAnsi="Arial Narrow" w:cs="Calibri"/>
                <w:b/>
                <w:bCs/>
                <w:color w:val="FFFFFF"/>
                <w:sz w:val="22"/>
                <w:szCs w:val="22"/>
              </w:rPr>
              <w:t>Norma / Política</w:t>
            </w:r>
          </w:p>
        </w:tc>
        <w:tc>
          <w:tcPr>
            <w:tcW w:w="3687" w:type="dxa"/>
            <w:vMerge w:val="restart"/>
            <w:tcBorders>
              <w:top w:val="single" w:sz="8" w:space="0" w:color="auto"/>
              <w:left w:val="single" w:sz="8" w:space="0" w:color="auto"/>
              <w:bottom w:val="nil"/>
              <w:right w:val="single" w:sz="8" w:space="0" w:color="auto"/>
            </w:tcBorders>
            <w:shd w:val="clear" w:color="000000" w:fill="203764"/>
            <w:vAlign w:val="center"/>
            <w:hideMark/>
          </w:tcPr>
          <w:p w14:paraId="00A79882" w14:textId="77777777" w:rsidR="002236BD" w:rsidRPr="002236BD" w:rsidRDefault="002236BD" w:rsidP="002236BD">
            <w:pPr>
              <w:jc w:val="center"/>
              <w:rPr>
                <w:rFonts w:ascii="Arial Narrow" w:eastAsia="Times New Roman" w:hAnsi="Arial Narrow" w:cs="Calibri"/>
                <w:b/>
                <w:bCs/>
                <w:color w:val="FFFFFF"/>
                <w:sz w:val="22"/>
                <w:szCs w:val="22"/>
              </w:rPr>
            </w:pPr>
            <w:r w:rsidRPr="002236BD">
              <w:rPr>
                <w:rFonts w:ascii="Arial Narrow" w:eastAsia="Times New Roman" w:hAnsi="Arial Narrow" w:cs="Calibri"/>
                <w:b/>
                <w:bCs/>
                <w:color w:val="FFFFFF"/>
                <w:sz w:val="22"/>
                <w:szCs w:val="22"/>
              </w:rPr>
              <w:t>Concepto</w:t>
            </w:r>
          </w:p>
        </w:tc>
        <w:tc>
          <w:tcPr>
            <w:tcW w:w="4109" w:type="dxa"/>
            <w:gridSpan w:val="2"/>
            <w:tcBorders>
              <w:top w:val="single" w:sz="8" w:space="0" w:color="auto"/>
              <w:left w:val="nil"/>
              <w:bottom w:val="single" w:sz="8" w:space="0" w:color="auto"/>
              <w:right w:val="single" w:sz="8" w:space="0" w:color="000000"/>
            </w:tcBorders>
            <w:shd w:val="clear" w:color="000000" w:fill="203764"/>
            <w:vAlign w:val="center"/>
            <w:hideMark/>
          </w:tcPr>
          <w:p w14:paraId="38925D30" w14:textId="77777777" w:rsidR="002236BD" w:rsidRPr="002236BD" w:rsidRDefault="002236BD" w:rsidP="002236BD">
            <w:pPr>
              <w:jc w:val="center"/>
              <w:rPr>
                <w:rFonts w:ascii="Arial Narrow" w:eastAsia="Times New Roman" w:hAnsi="Arial Narrow" w:cs="Calibri"/>
                <w:b/>
                <w:bCs/>
                <w:color w:val="FFFFFF"/>
                <w:sz w:val="22"/>
                <w:szCs w:val="22"/>
              </w:rPr>
            </w:pPr>
            <w:r w:rsidRPr="002236BD">
              <w:rPr>
                <w:rFonts w:ascii="Arial Narrow" w:eastAsia="Times New Roman" w:hAnsi="Arial Narrow" w:cs="Calibri"/>
                <w:b/>
                <w:bCs/>
                <w:color w:val="FFFFFF"/>
                <w:sz w:val="22"/>
                <w:szCs w:val="22"/>
              </w:rPr>
              <w:t>Referencia</w:t>
            </w:r>
          </w:p>
        </w:tc>
      </w:tr>
      <w:tr w:rsidR="002236BD" w:rsidRPr="006E5442" w14:paraId="57EAB3AA" w14:textId="77777777" w:rsidTr="004B6B45">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5F7978D" w14:textId="77777777" w:rsidR="002236BD" w:rsidRPr="002236BD" w:rsidRDefault="002236BD" w:rsidP="002236BD">
            <w:pPr>
              <w:rPr>
                <w:rFonts w:ascii="Arial Narrow" w:eastAsia="Times New Roman" w:hAnsi="Arial Narrow" w:cs="Calibri"/>
                <w:b/>
                <w:bCs/>
                <w:color w:val="FFFFFF"/>
                <w:sz w:val="22"/>
                <w:szCs w:val="22"/>
              </w:rPr>
            </w:pPr>
          </w:p>
        </w:tc>
        <w:tc>
          <w:tcPr>
            <w:tcW w:w="3687" w:type="dxa"/>
            <w:vMerge/>
            <w:tcBorders>
              <w:top w:val="single" w:sz="8" w:space="0" w:color="auto"/>
              <w:left w:val="single" w:sz="8" w:space="0" w:color="auto"/>
              <w:bottom w:val="nil"/>
              <w:right w:val="single" w:sz="8" w:space="0" w:color="auto"/>
            </w:tcBorders>
            <w:vAlign w:val="center"/>
            <w:hideMark/>
          </w:tcPr>
          <w:p w14:paraId="467DDF94" w14:textId="77777777" w:rsidR="002236BD" w:rsidRPr="002236BD" w:rsidRDefault="002236BD" w:rsidP="002236BD">
            <w:pPr>
              <w:rPr>
                <w:rFonts w:ascii="Arial Narrow" w:eastAsia="Times New Roman" w:hAnsi="Arial Narrow" w:cs="Calibri"/>
                <w:b/>
                <w:bCs/>
                <w:color w:val="FFFFFF"/>
                <w:sz w:val="22"/>
                <w:szCs w:val="22"/>
              </w:rPr>
            </w:pPr>
          </w:p>
        </w:tc>
        <w:tc>
          <w:tcPr>
            <w:tcW w:w="2254" w:type="dxa"/>
            <w:tcBorders>
              <w:top w:val="nil"/>
              <w:left w:val="nil"/>
              <w:bottom w:val="nil"/>
              <w:right w:val="single" w:sz="8" w:space="0" w:color="auto"/>
            </w:tcBorders>
            <w:shd w:val="clear" w:color="000000" w:fill="203764"/>
            <w:vAlign w:val="center"/>
            <w:hideMark/>
          </w:tcPr>
          <w:p w14:paraId="65F7050F" w14:textId="77777777" w:rsidR="002236BD" w:rsidRPr="002236BD" w:rsidRDefault="002236BD" w:rsidP="002236BD">
            <w:pPr>
              <w:jc w:val="center"/>
              <w:rPr>
                <w:rFonts w:ascii="Arial Narrow" w:eastAsia="Times New Roman" w:hAnsi="Arial Narrow" w:cs="Calibri"/>
                <w:b/>
                <w:bCs/>
                <w:color w:val="FFFFFF"/>
                <w:sz w:val="22"/>
                <w:szCs w:val="22"/>
              </w:rPr>
            </w:pPr>
            <w:r w:rsidRPr="002236BD">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5089F78D" w14:textId="77777777" w:rsidR="002236BD" w:rsidRPr="002236BD" w:rsidRDefault="002236BD" w:rsidP="002236BD">
            <w:pPr>
              <w:jc w:val="center"/>
              <w:rPr>
                <w:rFonts w:ascii="Arial Narrow" w:eastAsia="Times New Roman" w:hAnsi="Arial Narrow" w:cs="Calibri"/>
                <w:b/>
                <w:bCs/>
                <w:color w:val="FFFFFF"/>
                <w:sz w:val="22"/>
                <w:szCs w:val="22"/>
                <w:lang w:val="es-CR"/>
              </w:rPr>
            </w:pPr>
            <w:r w:rsidRPr="002236BD">
              <w:rPr>
                <w:rFonts w:ascii="Arial Narrow" w:eastAsia="Times New Roman" w:hAnsi="Arial Narrow" w:cs="Calibri"/>
                <w:b/>
                <w:bCs/>
                <w:color w:val="FFFFFF"/>
                <w:sz w:val="22"/>
                <w:szCs w:val="22"/>
                <w:lang w:val="es-CR"/>
              </w:rPr>
              <w:t>Normativa técnica y disposiciones adicionales</w:t>
            </w:r>
          </w:p>
        </w:tc>
      </w:tr>
      <w:tr w:rsidR="002236BD" w:rsidRPr="002236BD" w14:paraId="72DB6B9C" w14:textId="77777777" w:rsidTr="004B6B4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FB599F" w14:textId="77777777" w:rsidR="002236BD" w:rsidRPr="002236BD" w:rsidRDefault="002236BD" w:rsidP="002236BD">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2AA12F0" w14:textId="77777777" w:rsidR="002236BD" w:rsidRPr="002236BD" w:rsidRDefault="002236BD" w:rsidP="002236BD">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86</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51A5436C" w14:textId="77777777" w:rsidR="002236BD" w:rsidRPr="002236BD" w:rsidRDefault="002236BD" w:rsidP="002236BD">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 xml:space="preserve"> </w:t>
            </w:r>
          </w:p>
        </w:tc>
        <w:tc>
          <w:tcPr>
            <w:tcW w:w="3687" w:type="dxa"/>
            <w:tcBorders>
              <w:top w:val="single" w:sz="8" w:space="0" w:color="auto"/>
              <w:left w:val="nil"/>
              <w:bottom w:val="single" w:sz="8" w:space="0" w:color="auto"/>
              <w:right w:val="single" w:sz="8" w:space="0" w:color="auto"/>
            </w:tcBorders>
            <w:shd w:val="clear" w:color="auto" w:fill="auto"/>
            <w:vAlign w:val="center"/>
            <w:hideMark/>
          </w:tcPr>
          <w:p w14:paraId="4C1875F4" w14:textId="77777777" w:rsidR="002236BD" w:rsidRPr="002236BD" w:rsidRDefault="002236BD" w:rsidP="002236BD">
            <w:pPr>
              <w:jc w:val="both"/>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EIFS</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14:paraId="7BBCB336" w14:textId="11342185" w:rsidR="004B6B45" w:rsidRDefault="002236BD" w:rsidP="002236BD">
            <w:pPr>
              <w:jc w:val="both"/>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NICSP N° 18,</w:t>
            </w:r>
          </w:p>
          <w:p w14:paraId="6171FBD0" w14:textId="6F14603B" w:rsidR="002236BD" w:rsidRPr="002236BD" w:rsidRDefault="002236BD" w:rsidP="002236BD">
            <w:pPr>
              <w:jc w:val="both"/>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Párrafos 6 y 7.</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6CD64329" w14:textId="77777777" w:rsidR="002236BD" w:rsidRPr="002236BD" w:rsidRDefault="002236BD" w:rsidP="002236BD">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DGCN</w:t>
            </w:r>
          </w:p>
        </w:tc>
      </w:tr>
    </w:tbl>
    <w:p w14:paraId="4A62048A" w14:textId="77777777" w:rsidR="00DE74C9" w:rsidRDefault="00DE74C9" w:rsidP="0084077D">
      <w:pPr>
        <w:pStyle w:val="Default"/>
        <w:ind w:left="1134" w:hanging="1134"/>
        <w:jc w:val="both"/>
        <w:rPr>
          <w:sz w:val="22"/>
          <w:szCs w:val="22"/>
          <w:lang w:val="es-CR"/>
        </w:rPr>
      </w:pPr>
    </w:p>
    <w:p w14:paraId="25D4872C" w14:textId="276089C7" w:rsidR="004B6B45" w:rsidRDefault="004B6B45" w:rsidP="004B6B45">
      <w:pPr>
        <w:pStyle w:val="Default"/>
        <w:ind w:left="1134" w:hanging="1134"/>
        <w:jc w:val="both"/>
        <w:rPr>
          <w:rFonts w:eastAsia="Arial"/>
          <w:b/>
          <w:sz w:val="22"/>
          <w:szCs w:val="22"/>
        </w:rPr>
      </w:pPr>
      <w:r w:rsidRPr="00F02F9D">
        <w:rPr>
          <w:rFonts w:eastAsia="Arial"/>
          <w:b/>
          <w:sz w:val="22"/>
          <w:szCs w:val="22"/>
        </w:rPr>
        <w:t>Política Contable</w:t>
      </w:r>
    </w:p>
    <w:p w14:paraId="4841F804" w14:textId="77777777" w:rsidR="004B6B45" w:rsidRDefault="004B6B45" w:rsidP="0084077D">
      <w:pPr>
        <w:pStyle w:val="Default"/>
        <w:ind w:left="1134" w:hanging="1134"/>
        <w:jc w:val="both"/>
        <w:rPr>
          <w:sz w:val="22"/>
          <w:szCs w:val="22"/>
          <w:lang w:val="es-CR"/>
        </w:rPr>
      </w:pPr>
    </w:p>
    <w:p w14:paraId="4B7C624C" w14:textId="50726226" w:rsidR="002236BD" w:rsidRDefault="002236BD" w:rsidP="002236BD">
      <w:pPr>
        <w:pStyle w:val="Default"/>
        <w:ind w:left="1134" w:hanging="1134"/>
        <w:jc w:val="both"/>
        <w:rPr>
          <w:sz w:val="22"/>
          <w:szCs w:val="22"/>
          <w:lang w:val="es-CR"/>
        </w:rPr>
      </w:pPr>
      <w:r>
        <w:rPr>
          <w:sz w:val="22"/>
          <w:szCs w:val="22"/>
          <w:lang w:val="es-CR"/>
        </w:rPr>
        <w:t>6.86.0.01</w:t>
      </w:r>
      <w:r>
        <w:rPr>
          <w:sz w:val="22"/>
          <w:szCs w:val="22"/>
          <w:lang w:val="es-CR"/>
        </w:rPr>
        <w:tab/>
      </w:r>
      <w:r w:rsidRPr="002236BD">
        <w:rPr>
          <w:sz w:val="22"/>
          <w:szCs w:val="22"/>
          <w:lang w:val="es-CR"/>
        </w:rPr>
        <w:t>Son EIFS para el SPC:</w:t>
      </w:r>
    </w:p>
    <w:p w14:paraId="6D53899A" w14:textId="77777777" w:rsidR="002236BD" w:rsidRPr="002236BD" w:rsidRDefault="002236BD" w:rsidP="002236BD">
      <w:pPr>
        <w:pStyle w:val="Default"/>
        <w:ind w:left="1134" w:hanging="1134"/>
        <w:jc w:val="both"/>
        <w:rPr>
          <w:sz w:val="22"/>
          <w:szCs w:val="22"/>
          <w:lang w:val="es-CR"/>
        </w:rPr>
      </w:pPr>
    </w:p>
    <w:p w14:paraId="7DD3DEA3" w14:textId="37B61E34" w:rsidR="002236BD" w:rsidRPr="002236BD" w:rsidRDefault="002236BD">
      <w:pPr>
        <w:pStyle w:val="Default"/>
        <w:numPr>
          <w:ilvl w:val="0"/>
          <w:numId w:val="407"/>
        </w:numPr>
        <w:spacing w:after="120"/>
        <w:ind w:left="1418" w:hanging="284"/>
        <w:jc w:val="both"/>
        <w:rPr>
          <w:sz w:val="22"/>
          <w:szCs w:val="22"/>
          <w:lang w:val="es-CR"/>
        </w:rPr>
      </w:pPr>
      <w:r>
        <w:rPr>
          <w:sz w:val="22"/>
          <w:szCs w:val="22"/>
          <w:lang w:val="es-CR"/>
        </w:rPr>
        <w:t>L</w:t>
      </w:r>
      <w:r w:rsidRPr="002236BD">
        <w:rPr>
          <w:sz w:val="22"/>
          <w:szCs w:val="22"/>
          <w:lang w:val="es-CR"/>
        </w:rPr>
        <w:t xml:space="preserve">os EIFS del Gobierno de la República: los elaborará la DGCN; </w:t>
      </w:r>
    </w:p>
    <w:p w14:paraId="44111C09" w14:textId="49F60C8F" w:rsidR="002236BD" w:rsidRPr="002236BD" w:rsidRDefault="002236BD">
      <w:pPr>
        <w:pStyle w:val="Default"/>
        <w:numPr>
          <w:ilvl w:val="0"/>
          <w:numId w:val="407"/>
        </w:numPr>
        <w:spacing w:after="120"/>
        <w:ind w:left="1418" w:hanging="284"/>
        <w:jc w:val="both"/>
        <w:rPr>
          <w:sz w:val="22"/>
          <w:szCs w:val="22"/>
          <w:lang w:val="es-CR"/>
        </w:rPr>
      </w:pPr>
      <w:r>
        <w:rPr>
          <w:sz w:val="22"/>
          <w:szCs w:val="22"/>
          <w:lang w:val="es-CR"/>
        </w:rPr>
        <w:t>L</w:t>
      </w:r>
      <w:r w:rsidRPr="002236BD">
        <w:rPr>
          <w:sz w:val="22"/>
          <w:szCs w:val="22"/>
          <w:lang w:val="es-CR"/>
        </w:rPr>
        <w:t xml:space="preserve">os EIFS de los Gobiernos Locales: los elaborarán cada uno de los municipios; y </w:t>
      </w:r>
    </w:p>
    <w:p w14:paraId="5F6D52D2" w14:textId="1C7F84E9" w:rsidR="002236BD" w:rsidRPr="002236BD" w:rsidRDefault="002236BD">
      <w:pPr>
        <w:pStyle w:val="Default"/>
        <w:numPr>
          <w:ilvl w:val="0"/>
          <w:numId w:val="407"/>
        </w:numPr>
        <w:ind w:left="1418" w:hanging="284"/>
        <w:jc w:val="both"/>
        <w:rPr>
          <w:sz w:val="22"/>
          <w:szCs w:val="22"/>
          <w:lang w:val="es-CR"/>
        </w:rPr>
      </w:pPr>
      <w:r>
        <w:rPr>
          <w:sz w:val="22"/>
          <w:szCs w:val="22"/>
          <w:lang w:val="es-CR"/>
        </w:rPr>
        <w:t>L</w:t>
      </w:r>
      <w:r w:rsidRPr="002236BD">
        <w:rPr>
          <w:sz w:val="22"/>
          <w:szCs w:val="22"/>
          <w:lang w:val="es-CR"/>
        </w:rPr>
        <w:t xml:space="preserve">os EIFS consolidados del Gobierno General: los elaborará la DGCN. </w:t>
      </w:r>
    </w:p>
    <w:p w14:paraId="128D9FCD" w14:textId="77777777" w:rsidR="002236BD" w:rsidRDefault="002236BD" w:rsidP="0084077D">
      <w:pPr>
        <w:pStyle w:val="Default"/>
        <w:ind w:left="1134" w:hanging="1134"/>
        <w:jc w:val="both"/>
        <w:rPr>
          <w:sz w:val="22"/>
          <w:szCs w:val="22"/>
          <w:lang w:val="es-CR"/>
        </w:rPr>
      </w:pPr>
    </w:p>
    <w:p w14:paraId="2B851C6D" w14:textId="77777777" w:rsidR="002236BD" w:rsidRDefault="002236BD" w:rsidP="0084077D">
      <w:pPr>
        <w:pStyle w:val="Default"/>
        <w:ind w:left="1134" w:hanging="1134"/>
        <w:jc w:val="both"/>
        <w:rPr>
          <w:sz w:val="22"/>
          <w:szCs w:val="22"/>
          <w:lang w:val="es-CR"/>
        </w:rPr>
      </w:pPr>
    </w:p>
    <w:p w14:paraId="09728FB5" w14:textId="77777777" w:rsidR="004B6B45" w:rsidRDefault="004B6B45" w:rsidP="0084077D">
      <w:pPr>
        <w:pStyle w:val="Default"/>
        <w:ind w:left="1134" w:hanging="1134"/>
        <w:jc w:val="both"/>
        <w:rPr>
          <w:sz w:val="22"/>
          <w:szCs w:val="22"/>
          <w:lang w:val="es-CR"/>
        </w:rPr>
      </w:pPr>
    </w:p>
    <w:p w14:paraId="13A65D1D" w14:textId="77777777" w:rsidR="004B6B45" w:rsidRDefault="004B6B45" w:rsidP="0084077D">
      <w:pPr>
        <w:pStyle w:val="Default"/>
        <w:ind w:left="1134" w:hanging="1134"/>
        <w:jc w:val="both"/>
        <w:rPr>
          <w:sz w:val="22"/>
          <w:szCs w:val="22"/>
          <w:lang w:val="es-CR"/>
        </w:rPr>
      </w:pPr>
    </w:p>
    <w:p w14:paraId="1D962B83" w14:textId="77777777" w:rsidR="004B6B45" w:rsidRDefault="004B6B45" w:rsidP="0084077D">
      <w:pPr>
        <w:pStyle w:val="Default"/>
        <w:ind w:left="1134" w:hanging="1134"/>
        <w:jc w:val="both"/>
        <w:rPr>
          <w:sz w:val="22"/>
          <w:szCs w:val="22"/>
          <w:lang w:val="es-CR"/>
        </w:rPr>
      </w:pPr>
    </w:p>
    <w:p w14:paraId="712135B0" w14:textId="77777777" w:rsidR="004B6B45" w:rsidRDefault="004B6B45" w:rsidP="0084077D">
      <w:pPr>
        <w:pStyle w:val="Default"/>
        <w:ind w:left="1134" w:hanging="1134"/>
        <w:jc w:val="both"/>
        <w:rPr>
          <w:sz w:val="22"/>
          <w:szCs w:val="22"/>
          <w:lang w:val="es-CR"/>
        </w:rPr>
      </w:pPr>
    </w:p>
    <w:p w14:paraId="3232BB11" w14:textId="77777777" w:rsidR="004B6B45" w:rsidRDefault="004B6B45" w:rsidP="0084077D">
      <w:pPr>
        <w:pStyle w:val="Default"/>
        <w:ind w:left="1134" w:hanging="1134"/>
        <w:jc w:val="both"/>
        <w:rPr>
          <w:sz w:val="22"/>
          <w:szCs w:val="22"/>
          <w:lang w:val="es-CR"/>
        </w:rPr>
      </w:pPr>
    </w:p>
    <w:p w14:paraId="1CBE5FD7" w14:textId="77777777" w:rsidR="004B6B45" w:rsidRDefault="004B6B45" w:rsidP="0084077D">
      <w:pPr>
        <w:pStyle w:val="Default"/>
        <w:ind w:left="1134" w:hanging="1134"/>
        <w:jc w:val="both"/>
        <w:rPr>
          <w:sz w:val="22"/>
          <w:szCs w:val="22"/>
          <w:lang w:val="es-CR"/>
        </w:rPr>
      </w:pPr>
    </w:p>
    <w:p w14:paraId="2872C7F1" w14:textId="77777777" w:rsidR="004B6B45" w:rsidRDefault="004B6B45" w:rsidP="0084077D">
      <w:pPr>
        <w:pStyle w:val="Default"/>
        <w:ind w:left="1134" w:hanging="1134"/>
        <w:jc w:val="both"/>
        <w:rPr>
          <w:sz w:val="22"/>
          <w:szCs w:val="22"/>
          <w:lang w:val="es-CR"/>
        </w:rPr>
      </w:pPr>
    </w:p>
    <w:p w14:paraId="38176DD2" w14:textId="77777777" w:rsidR="004B6B45" w:rsidRDefault="004B6B45" w:rsidP="0084077D">
      <w:pPr>
        <w:pStyle w:val="Default"/>
        <w:ind w:left="1134" w:hanging="1134"/>
        <w:jc w:val="both"/>
        <w:rPr>
          <w:sz w:val="22"/>
          <w:szCs w:val="22"/>
          <w:lang w:val="es-CR"/>
        </w:rPr>
      </w:pPr>
    </w:p>
    <w:p w14:paraId="362F8E6E" w14:textId="77777777" w:rsidR="004B6B45" w:rsidRDefault="004B6B45" w:rsidP="0084077D">
      <w:pPr>
        <w:pStyle w:val="Default"/>
        <w:ind w:left="1134" w:hanging="1134"/>
        <w:jc w:val="both"/>
        <w:rPr>
          <w:sz w:val="22"/>
          <w:szCs w:val="22"/>
          <w:lang w:val="es-CR"/>
        </w:rPr>
      </w:pPr>
    </w:p>
    <w:p w14:paraId="6744F8A9" w14:textId="77777777" w:rsidR="004B6B45" w:rsidRDefault="004B6B45" w:rsidP="0084077D">
      <w:pPr>
        <w:pStyle w:val="Default"/>
        <w:ind w:left="1134" w:hanging="1134"/>
        <w:jc w:val="both"/>
        <w:rPr>
          <w:sz w:val="22"/>
          <w:szCs w:val="22"/>
          <w:lang w:val="es-CR"/>
        </w:rPr>
      </w:pPr>
    </w:p>
    <w:p w14:paraId="6D198DB0" w14:textId="77777777" w:rsidR="004B6B45" w:rsidRDefault="004B6B45" w:rsidP="0084077D">
      <w:pPr>
        <w:pStyle w:val="Default"/>
        <w:ind w:left="1134" w:hanging="1134"/>
        <w:jc w:val="both"/>
        <w:rPr>
          <w:sz w:val="22"/>
          <w:szCs w:val="22"/>
          <w:lang w:val="es-CR"/>
        </w:rPr>
      </w:pPr>
    </w:p>
    <w:tbl>
      <w:tblPr>
        <w:tblW w:w="9339" w:type="dxa"/>
        <w:tblLook w:val="04A0" w:firstRow="1" w:lastRow="0" w:firstColumn="1" w:lastColumn="0" w:noHBand="0" w:noVBand="1"/>
      </w:tblPr>
      <w:tblGrid>
        <w:gridCol w:w="416"/>
        <w:gridCol w:w="708"/>
        <w:gridCol w:w="520"/>
        <w:gridCol w:w="143"/>
        <w:gridCol w:w="3448"/>
        <w:gridCol w:w="148"/>
        <w:gridCol w:w="1972"/>
        <w:gridCol w:w="150"/>
        <w:gridCol w:w="1817"/>
        <w:gridCol w:w="17"/>
      </w:tblGrid>
      <w:tr w:rsidR="002236BD" w:rsidRPr="002236BD" w14:paraId="004054AB" w14:textId="77777777" w:rsidTr="004B6B45">
        <w:trPr>
          <w:trHeight w:val="320"/>
        </w:trPr>
        <w:tc>
          <w:tcPr>
            <w:tcW w:w="1787"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DDF5AFA" w14:textId="77777777" w:rsidR="002236BD" w:rsidRPr="002236BD" w:rsidRDefault="002236BD" w:rsidP="002236BD">
            <w:pPr>
              <w:jc w:val="center"/>
              <w:rPr>
                <w:rFonts w:ascii="Arial Narrow" w:eastAsia="Times New Roman" w:hAnsi="Arial Narrow" w:cs="Calibri"/>
                <w:b/>
                <w:bCs/>
                <w:color w:val="FFFFFF"/>
                <w:sz w:val="22"/>
                <w:szCs w:val="22"/>
              </w:rPr>
            </w:pPr>
            <w:r w:rsidRPr="002236BD">
              <w:rPr>
                <w:rFonts w:ascii="Arial Narrow" w:eastAsia="Times New Roman" w:hAnsi="Arial Narrow" w:cs="Calibri"/>
                <w:b/>
                <w:bCs/>
                <w:color w:val="FFFFFF"/>
                <w:sz w:val="22"/>
                <w:szCs w:val="22"/>
              </w:rPr>
              <w:lastRenderedPageBreak/>
              <w:t>Norma / Política</w:t>
            </w:r>
          </w:p>
        </w:tc>
        <w:tc>
          <w:tcPr>
            <w:tcW w:w="3596"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2CB2279A" w14:textId="77777777" w:rsidR="002236BD" w:rsidRPr="002236BD" w:rsidRDefault="002236BD" w:rsidP="002236BD">
            <w:pPr>
              <w:jc w:val="center"/>
              <w:rPr>
                <w:rFonts w:ascii="Arial Narrow" w:eastAsia="Times New Roman" w:hAnsi="Arial Narrow" w:cs="Calibri"/>
                <w:b/>
                <w:bCs/>
                <w:color w:val="FFFFFF"/>
                <w:sz w:val="22"/>
                <w:szCs w:val="22"/>
              </w:rPr>
            </w:pPr>
            <w:r w:rsidRPr="002236BD">
              <w:rPr>
                <w:rFonts w:ascii="Arial Narrow" w:eastAsia="Times New Roman" w:hAnsi="Arial Narrow" w:cs="Calibri"/>
                <w:b/>
                <w:bCs/>
                <w:color w:val="FFFFFF"/>
                <w:sz w:val="22"/>
                <w:szCs w:val="22"/>
              </w:rPr>
              <w:t>Concepto</w:t>
            </w:r>
          </w:p>
        </w:tc>
        <w:tc>
          <w:tcPr>
            <w:tcW w:w="3956" w:type="dxa"/>
            <w:gridSpan w:val="4"/>
            <w:tcBorders>
              <w:top w:val="single" w:sz="8" w:space="0" w:color="auto"/>
              <w:left w:val="nil"/>
              <w:bottom w:val="single" w:sz="8" w:space="0" w:color="auto"/>
              <w:right w:val="single" w:sz="8" w:space="0" w:color="000000"/>
            </w:tcBorders>
            <w:shd w:val="clear" w:color="000000" w:fill="203764"/>
            <w:vAlign w:val="center"/>
            <w:hideMark/>
          </w:tcPr>
          <w:p w14:paraId="49A5FF4F" w14:textId="77777777" w:rsidR="002236BD" w:rsidRPr="002236BD" w:rsidRDefault="002236BD" w:rsidP="002236BD">
            <w:pPr>
              <w:jc w:val="center"/>
              <w:rPr>
                <w:rFonts w:ascii="Arial Narrow" w:eastAsia="Times New Roman" w:hAnsi="Arial Narrow" w:cs="Calibri"/>
                <w:b/>
                <w:bCs/>
                <w:color w:val="FFFFFF"/>
                <w:sz w:val="22"/>
                <w:szCs w:val="22"/>
              </w:rPr>
            </w:pPr>
            <w:r w:rsidRPr="002236BD">
              <w:rPr>
                <w:rFonts w:ascii="Arial Narrow" w:eastAsia="Times New Roman" w:hAnsi="Arial Narrow" w:cs="Calibri"/>
                <w:b/>
                <w:bCs/>
                <w:color w:val="FFFFFF"/>
                <w:sz w:val="22"/>
                <w:szCs w:val="22"/>
              </w:rPr>
              <w:t>Referencia</w:t>
            </w:r>
          </w:p>
        </w:tc>
      </w:tr>
      <w:tr w:rsidR="002236BD" w:rsidRPr="006E5442" w14:paraId="1ADC115F" w14:textId="77777777" w:rsidTr="004B6B45">
        <w:trPr>
          <w:trHeight w:val="850"/>
        </w:trPr>
        <w:tc>
          <w:tcPr>
            <w:tcW w:w="1787" w:type="dxa"/>
            <w:gridSpan w:val="4"/>
            <w:vMerge/>
            <w:tcBorders>
              <w:top w:val="single" w:sz="8" w:space="0" w:color="auto"/>
              <w:left w:val="single" w:sz="8" w:space="0" w:color="auto"/>
              <w:bottom w:val="nil"/>
              <w:right w:val="single" w:sz="8" w:space="0" w:color="000000"/>
            </w:tcBorders>
            <w:vAlign w:val="center"/>
            <w:hideMark/>
          </w:tcPr>
          <w:p w14:paraId="3EFCC4DD" w14:textId="77777777" w:rsidR="002236BD" w:rsidRPr="002236BD" w:rsidRDefault="002236BD" w:rsidP="002236BD">
            <w:pPr>
              <w:rPr>
                <w:rFonts w:ascii="Arial Narrow" w:eastAsia="Times New Roman" w:hAnsi="Arial Narrow" w:cs="Calibri"/>
                <w:b/>
                <w:bCs/>
                <w:color w:val="FFFFFF"/>
                <w:sz w:val="22"/>
                <w:szCs w:val="22"/>
              </w:rPr>
            </w:pPr>
          </w:p>
        </w:tc>
        <w:tc>
          <w:tcPr>
            <w:tcW w:w="3596" w:type="dxa"/>
            <w:gridSpan w:val="2"/>
            <w:vMerge/>
            <w:tcBorders>
              <w:top w:val="single" w:sz="8" w:space="0" w:color="auto"/>
              <w:left w:val="single" w:sz="8" w:space="0" w:color="auto"/>
              <w:bottom w:val="nil"/>
              <w:right w:val="single" w:sz="8" w:space="0" w:color="auto"/>
            </w:tcBorders>
            <w:vAlign w:val="center"/>
            <w:hideMark/>
          </w:tcPr>
          <w:p w14:paraId="02193A97" w14:textId="77777777" w:rsidR="002236BD" w:rsidRPr="002236BD" w:rsidRDefault="002236BD" w:rsidP="002236BD">
            <w:pPr>
              <w:rPr>
                <w:rFonts w:ascii="Arial Narrow" w:eastAsia="Times New Roman" w:hAnsi="Arial Narrow" w:cs="Calibri"/>
                <w:b/>
                <w:bCs/>
                <w:color w:val="FFFFFF"/>
                <w:sz w:val="22"/>
                <w:szCs w:val="22"/>
              </w:rPr>
            </w:pPr>
          </w:p>
        </w:tc>
        <w:tc>
          <w:tcPr>
            <w:tcW w:w="2122" w:type="dxa"/>
            <w:gridSpan w:val="2"/>
            <w:tcBorders>
              <w:top w:val="nil"/>
              <w:left w:val="nil"/>
              <w:bottom w:val="nil"/>
              <w:right w:val="single" w:sz="8" w:space="0" w:color="auto"/>
            </w:tcBorders>
            <w:shd w:val="clear" w:color="000000" w:fill="203764"/>
            <w:vAlign w:val="center"/>
            <w:hideMark/>
          </w:tcPr>
          <w:p w14:paraId="1CE96EBA" w14:textId="77777777" w:rsidR="002236BD" w:rsidRPr="002236BD" w:rsidRDefault="002236BD" w:rsidP="002236BD">
            <w:pPr>
              <w:jc w:val="center"/>
              <w:rPr>
                <w:rFonts w:ascii="Arial Narrow" w:eastAsia="Times New Roman" w:hAnsi="Arial Narrow" w:cs="Calibri"/>
                <w:b/>
                <w:bCs/>
                <w:color w:val="FFFFFF"/>
                <w:sz w:val="22"/>
                <w:szCs w:val="22"/>
              </w:rPr>
            </w:pPr>
            <w:r w:rsidRPr="002236BD">
              <w:rPr>
                <w:rFonts w:ascii="Arial Narrow" w:eastAsia="Times New Roman" w:hAnsi="Arial Narrow" w:cs="Calibri"/>
                <w:b/>
                <w:bCs/>
                <w:color w:val="FFFFFF"/>
                <w:sz w:val="22"/>
                <w:szCs w:val="22"/>
              </w:rPr>
              <w:t>Norma</w:t>
            </w:r>
          </w:p>
        </w:tc>
        <w:tc>
          <w:tcPr>
            <w:tcW w:w="1834" w:type="dxa"/>
            <w:gridSpan w:val="2"/>
            <w:tcBorders>
              <w:top w:val="nil"/>
              <w:left w:val="nil"/>
              <w:bottom w:val="nil"/>
              <w:right w:val="single" w:sz="8" w:space="0" w:color="auto"/>
            </w:tcBorders>
            <w:shd w:val="clear" w:color="000000" w:fill="203764"/>
            <w:vAlign w:val="center"/>
            <w:hideMark/>
          </w:tcPr>
          <w:p w14:paraId="42498E12" w14:textId="77777777" w:rsidR="002236BD" w:rsidRPr="002236BD" w:rsidRDefault="002236BD" w:rsidP="002236BD">
            <w:pPr>
              <w:jc w:val="center"/>
              <w:rPr>
                <w:rFonts w:ascii="Arial Narrow" w:eastAsia="Times New Roman" w:hAnsi="Arial Narrow" w:cs="Calibri"/>
                <w:b/>
                <w:bCs/>
                <w:color w:val="FFFFFF"/>
                <w:sz w:val="22"/>
                <w:szCs w:val="22"/>
                <w:lang w:val="es-CR"/>
              </w:rPr>
            </w:pPr>
            <w:r w:rsidRPr="002236BD">
              <w:rPr>
                <w:rFonts w:ascii="Arial Narrow" w:eastAsia="Times New Roman" w:hAnsi="Arial Narrow" w:cs="Calibri"/>
                <w:b/>
                <w:bCs/>
                <w:color w:val="FFFFFF"/>
                <w:sz w:val="22"/>
                <w:szCs w:val="22"/>
                <w:lang w:val="es-CR"/>
              </w:rPr>
              <w:t>Normativa técnica y disposiciones adicionales</w:t>
            </w:r>
          </w:p>
        </w:tc>
      </w:tr>
      <w:tr w:rsidR="002236BD" w:rsidRPr="002236BD" w14:paraId="273498D2" w14:textId="77777777" w:rsidTr="004B6B45">
        <w:trPr>
          <w:gridAfter w:val="1"/>
          <w:wAfter w:w="17"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933245" w14:textId="77777777" w:rsidR="002236BD" w:rsidRPr="002236BD" w:rsidRDefault="002236BD" w:rsidP="004B6B45">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34FC42DB" w14:textId="77777777" w:rsidR="002236BD" w:rsidRPr="002236BD" w:rsidRDefault="002236BD" w:rsidP="004B6B45">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87</w:t>
            </w:r>
          </w:p>
        </w:tc>
        <w:tc>
          <w:tcPr>
            <w:tcW w:w="520" w:type="dxa"/>
            <w:tcBorders>
              <w:top w:val="single" w:sz="8" w:space="0" w:color="auto"/>
              <w:left w:val="nil"/>
              <w:bottom w:val="single" w:sz="8" w:space="0" w:color="auto"/>
              <w:right w:val="single" w:sz="8" w:space="0" w:color="auto"/>
            </w:tcBorders>
            <w:shd w:val="clear" w:color="auto" w:fill="auto"/>
            <w:vAlign w:val="center"/>
            <w:hideMark/>
          </w:tcPr>
          <w:p w14:paraId="4C9D9177" w14:textId="77777777" w:rsidR="002236BD" w:rsidRPr="002236BD" w:rsidRDefault="002236BD" w:rsidP="002236BD">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 xml:space="preserve"> </w:t>
            </w:r>
          </w:p>
        </w:tc>
        <w:tc>
          <w:tcPr>
            <w:tcW w:w="3591" w:type="dxa"/>
            <w:gridSpan w:val="2"/>
            <w:tcBorders>
              <w:top w:val="single" w:sz="8" w:space="0" w:color="auto"/>
              <w:left w:val="nil"/>
              <w:bottom w:val="single" w:sz="8" w:space="0" w:color="auto"/>
              <w:right w:val="single" w:sz="8" w:space="0" w:color="auto"/>
            </w:tcBorders>
            <w:shd w:val="clear" w:color="auto" w:fill="auto"/>
            <w:vAlign w:val="center"/>
            <w:hideMark/>
          </w:tcPr>
          <w:p w14:paraId="53E26E20" w14:textId="77777777" w:rsidR="002236BD" w:rsidRPr="002236BD" w:rsidRDefault="002236BD" w:rsidP="002236BD">
            <w:pP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Definición de segmento</w:t>
            </w:r>
          </w:p>
        </w:tc>
        <w:tc>
          <w:tcPr>
            <w:tcW w:w="2120" w:type="dxa"/>
            <w:gridSpan w:val="2"/>
            <w:tcBorders>
              <w:top w:val="single" w:sz="8" w:space="0" w:color="auto"/>
              <w:left w:val="nil"/>
              <w:bottom w:val="single" w:sz="8" w:space="0" w:color="auto"/>
              <w:right w:val="single" w:sz="8" w:space="0" w:color="auto"/>
            </w:tcBorders>
            <w:shd w:val="clear" w:color="auto" w:fill="auto"/>
            <w:vAlign w:val="center"/>
            <w:hideMark/>
          </w:tcPr>
          <w:p w14:paraId="30A7B10B" w14:textId="77777777" w:rsidR="002236BD" w:rsidRPr="002236BD" w:rsidRDefault="002236BD" w:rsidP="002236BD">
            <w:pP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NICSP N° 18,</w:t>
            </w:r>
            <w:r w:rsidRPr="002236BD">
              <w:rPr>
                <w:rFonts w:ascii="Arial Narrow" w:eastAsia="Times New Roman" w:hAnsi="Arial Narrow" w:cs="Calibri"/>
                <w:b/>
                <w:bCs/>
                <w:color w:val="000000"/>
                <w:sz w:val="22"/>
                <w:szCs w:val="22"/>
              </w:rPr>
              <w:br/>
              <w:t>Párrafo 9 y 12.</w:t>
            </w:r>
          </w:p>
        </w:tc>
        <w:tc>
          <w:tcPr>
            <w:tcW w:w="1967" w:type="dxa"/>
            <w:gridSpan w:val="2"/>
            <w:tcBorders>
              <w:top w:val="single" w:sz="8" w:space="0" w:color="auto"/>
              <w:left w:val="nil"/>
              <w:bottom w:val="single" w:sz="8" w:space="0" w:color="auto"/>
              <w:right w:val="single" w:sz="8" w:space="0" w:color="auto"/>
            </w:tcBorders>
            <w:shd w:val="clear" w:color="auto" w:fill="auto"/>
            <w:vAlign w:val="center"/>
            <w:hideMark/>
          </w:tcPr>
          <w:p w14:paraId="2C3FD0A8" w14:textId="77777777" w:rsidR="002236BD" w:rsidRPr="002236BD" w:rsidRDefault="002236BD" w:rsidP="002236BD">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 </w:t>
            </w:r>
          </w:p>
        </w:tc>
      </w:tr>
      <w:tr w:rsidR="002236BD" w:rsidRPr="006E5442" w14:paraId="11E6EEB4" w14:textId="77777777" w:rsidTr="004B6B45">
        <w:trPr>
          <w:gridAfter w:val="1"/>
          <w:wAfter w:w="17" w:type="dxa"/>
          <w:trHeight w:val="85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7D77753" w14:textId="77777777" w:rsidR="002236BD" w:rsidRPr="002236BD" w:rsidRDefault="002236BD" w:rsidP="004B6B45">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6</w:t>
            </w:r>
          </w:p>
        </w:tc>
        <w:tc>
          <w:tcPr>
            <w:tcW w:w="708" w:type="dxa"/>
            <w:tcBorders>
              <w:top w:val="nil"/>
              <w:left w:val="nil"/>
              <w:bottom w:val="single" w:sz="8" w:space="0" w:color="auto"/>
              <w:right w:val="single" w:sz="8" w:space="0" w:color="auto"/>
            </w:tcBorders>
            <w:shd w:val="clear" w:color="auto" w:fill="auto"/>
            <w:vAlign w:val="center"/>
            <w:hideMark/>
          </w:tcPr>
          <w:p w14:paraId="10096620" w14:textId="77777777" w:rsidR="002236BD" w:rsidRPr="002236BD" w:rsidRDefault="002236BD" w:rsidP="004B6B45">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87</w:t>
            </w:r>
          </w:p>
        </w:tc>
        <w:tc>
          <w:tcPr>
            <w:tcW w:w="520" w:type="dxa"/>
            <w:tcBorders>
              <w:top w:val="nil"/>
              <w:left w:val="nil"/>
              <w:bottom w:val="single" w:sz="8" w:space="0" w:color="auto"/>
              <w:right w:val="nil"/>
            </w:tcBorders>
            <w:shd w:val="clear" w:color="auto" w:fill="auto"/>
            <w:vAlign w:val="center"/>
            <w:hideMark/>
          </w:tcPr>
          <w:p w14:paraId="539F8B3A" w14:textId="77777777" w:rsidR="002236BD" w:rsidRPr="002236BD" w:rsidRDefault="002236BD" w:rsidP="002236BD">
            <w:pPr>
              <w:jc w:val="center"/>
              <w:rPr>
                <w:rFonts w:ascii="Arial Narrow" w:eastAsia="Times New Roman" w:hAnsi="Arial Narrow" w:cs="Calibri"/>
                <w:b/>
                <w:bCs/>
                <w:color w:val="000000"/>
                <w:sz w:val="22"/>
                <w:szCs w:val="22"/>
              </w:rPr>
            </w:pPr>
            <w:r w:rsidRPr="002236BD">
              <w:rPr>
                <w:rFonts w:ascii="Arial Narrow" w:eastAsia="Times New Roman" w:hAnsi="Arial Narrow" w:cs="Calibri"/>
                <w:b/>
                <w:bCs/>
                <w:color w:val="000000"/>
                <w:sz w:val="22"/>
                <w:szCs w:val="22"/>
              </w:rPr>
              <w:t>1</w:t>
            </w:r>
          </w:p>
        </w:tc>
        <w:tc>
          <w:tcPr>
            <w:tcW w:w="3591" w:type="dxa"/>
            <w:gridSpan w:val="2"/>
            <w:tcBorders>
              <w:top w:val="nil"/>
              <w:left w:val="single" w:sz="8" w:space="0" w:color="auto"/>
              <w:bottom w:val="single" w:sz="8" w:space="0" w:color="auto"/>
              <w:right w:val="single" w:sz="8" w:space="0" w:color="auto"/>
            </w:tcBorders>
            <w:shd w:val="clear" w:color="auto" w:fill="auto"/>
            <w:vAlign w:val="center"/>
            <w:hideMark/>
          </w:tcPr>
          <w:p w14:paraId="2AAD135A" w14:textId="77777777" w:rsidR="002236BD" w:rsidRPr="002236BD" w:rsidRDefault="002236BD" w:rsidP="002236BD">
            <w:pPr>
              <w:rPr>
                <w:rFonts w:ascii="Arial Narrow" w:eastAsia="Times New Roman" w:hAnsi="Arial Narrow" w:cs="Calibri"/>
                <w:b/>
                <w:bCs/>
                <w:color w:val="000000"/>
                <w:sz w:val="22"/>
                <w:szCs w:val="22"/>
                <w:lang w:val="es-CR"/>
              </w:rPr>
            </w:pPr>
            <w:r w:rsidRPr="002236BD">
              <w:rPr>
                <w:rFonts w:ascii="Arial Narrow" w:eastAsia="Times New Roman" w:hAnsi="Arial Narrow" w:cs="Calibri"/>
                <w:b/>
                <w:bCs/>
                <w:color w:val="000000"/>
                <w:sz w:val="22"/>
                <w:szCs w:val="22"/>
                <w:lang w:val="es-CR"/>
              </w:rPr>
              <w:t>Segmentos para la administración financiera de Costa Rica</w:t>
            </w:r>
          </w:p>
        </w:tc>
        <w:tc>
          <w:tcPr>
            <w:tcW w:w="2120" w:type="dxa"/>
            <w:gridSpan w:val="2"/>
            <w:tcBorders>
              <w:top w:val="nil"/>
              <w:left w:val="nil"/>
              <w:bottom w:val="single" w:sz="8" w:space="0" w:color="auto"/>
              <w:right w:val="single" w:sz="8" w:space="0" w:color="auto"/>
            </w:tcBorders>
            <w:shd w:val="clear" w:color="auto" w:fill="auto"/>
            <w:vAlign w:val="center"/>
            <w:hideMark/>
          </w:tcPr>
          <w:p w14:paraId="4CCC3105" w14:textId="77777777" w:rsidR="002236BD" w:rsidRPr="002236BD" w:rsidRDefault="002236BD" w:rsidP="002236BD">
            <w:pPr>
              <w:rPr>
                <w:rFonts w:ascii="Arial Narrow" w:eastAsia="Times New Roman" w:hAnsi="Arial Narrow" w:cs="Calibri"/>
                <w:b/>
                <w:bCs/>
                <w:color w:val="000000"/>
                <w:sz w:val="22"/>
                <w:szCs w:val="22"/>
                <w:lang w:val="es-CR"/>
              </w:rPr>
            </w:pPr>
            <w:r w:rsidRPr="002236BD">
              <w:rPr>
                <w:rFonts w:ascii="Arial Narrow" w:eastAsia="Times New Roman" w:hAnsi="Arial Narrow" w:cs="Calibri"/>
                <w:b/>
                <w:bCs/>
                <w:color w:val="000000"/>
                <w:sz w:val="22"/>
                <w:szCs w:val="22"/>
                <w:lang w:val="es-CR"/>
              </w:rPr>
              <w:t xml:space="preserve"> </w:t>
            </w:r>
          </w:p>
        </w:tc>
        <w:tc>
          <w:tcPr>
            <w:tcW w:w="1967" w:type="dxa"/>
            <w:gridSpan w:val="2"/>
            <w:tcBorders>
              <w:top w:val="nil"/>
              <w:left w:val="nil"/>
              <w:bottom w:val="single" w:sz="8" w:space="0" w:color="auto"/>
              <w:right w:val="single" w:sz="8" w:space="0" w:color="auto"/>
            </w:tcBorders>
            <w:shd w:val="clear" w:color="auto" w:fill="auto"/>
            <w:vAlign w:val="center"/>
            <w:hideMark/>
          </w:tcPr>
          <w:p w14:paraId="5081780A" w14:textId="77777777" w:rsidR="002236BD" w:rsidRPr="002236BD" w:rsidRDefault="002236BD" w:rsidP="002236BD">
            <w:pPr>
              <w:jc w:val="both"/>
              <w:rPr>
                <w:rFonts w:ascii="Arial Narrow" w:eastAsia="Times New Roman" w:hAnsi="Arial Narrow" w:cs="Calibri"/>
                <w:b/>
                <w:bCs/>
                <w:color w:val="000000"/>
                <w:sz w:val="22"/>
                <w:szCs w:val="22"/>
                <w:lang w:val="es-CR"/>
              </w:rPr>
            </w:pPr>
            <w:r w:rsidRPr="002236BD">
              <w:rPr>
                <w:rFonts w:ascii="Arial Narrow" w:eastAsia="Times New Roman" w:hAnsi="Arial Narrow" w:cs="Calibri"/>
                <w:b/>
                <w:bCs/>
                <w:color w:val="000000"/>
                <w:sz w:val="22"/>
                <w:szCs w:val="22"/>
                <w:lang w:val="es-CR"/>
              </w:rPr>
              <w:t>Clasificador Funcional del Gasto para el SPC</w:t>
            </w:r>
            <w:r w:rsidRPr="002236BD">
              <w:rPr>
                <w:rFonts w:ascii="Arial Narrow" w:eastAsia="Times New Roman" w:hAnsi="Arial Narrow" w:cs="Calibri"/>
                <w:b/>
                <w:bCs/>
                <w:color w:val="000000"/>
                <w:sz w:val="22"/>
                <w:szCs w:val="22"/>
                <w:lang w:val="es-CR"/>
              </w:rPr>
              <w:br/>
              <w:t>DGCN</w:t>
            </w:r>
          </w:p>
        </w:tc>
      </w:tr>
    </w:tbl>
    <w:p w14:paraId="1D179DED" w14:textId="77777777" w:rsidR="002236BD" w:rsidRDefault="002236BD" w:rsidP="0084077D">
      <w:pPr>
        <w:pStyle w:val="Default"/>
        <w:ind w:left="1134" w:hanging="1134"/>
        <w:jc w:val="both"/>
        <w:rPr>
          <w:sz w:val="22"/>
          <w:szCs w:val="22"/>
          <w:lang w:val="es-CR"/>
        </w:rPr>
      </w:pPr>
    </w:p>
    <w:p w14:paraId="67D657C8" w14:textId="77777777" w:rsidR="004B6B45" w:rsidRPr="0030399E" w:rsidRDefault="004B6B45" w:rsidP="004B6B45">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2FEE6646" w14:textId="77777777" w:rsidR="004B6B45" w:rsidRDefault="004B6B45" w:rsidP="0084077D">
      <w:pPr>
        <w:pStyle w:val="Default"/>
        <w:ind w:left="1134" w:hanging="1134"/>
        <w:jc w:val="both"/>
        <w:rPr>
          <w:sz w:val="22"/>
          <w:szCs w:val="22"/>
          <w:lang w:val="es-CR"/>
        </w:rPr>
      </w:pPr>
    </w:p>
    <w:p w14:paraId="5EE10540" w14:textId="676A94AE" w:rsidR="002236BD" w:rsidRDefault="002236BD" w:rsidP="002236BD">
      <w:pPr>
        <w:pStyle w:val="Default"/>
        <w:ind w:left="1134" w:hanging="1134"/>
        <w:jc w:val="both"/>
        <w:rPr>
          <w:sz w:val="22"/>
          <w:szCs w:val="22"/>
          <w:lang w:val="es-CR"/>
        </w:rPr>
      </w:pPr>
      <w:r>
        <w:rPr>
          <w:sz w:val="22"/>
          <w:szCs w:val="22"/>
          <w:lang w:val="es-CR"/>
        </w:rPr>
        <w:t>6.87.0.01</w:t>
      </w:r>
      <w:r>
        <w:rPr>
          <w:sz w:val="22"/>
          <w:szCs w:val="22"/>
          <w:lang w:val="es-CR"/>
        </w:rPr>
        <w:tab/>
      </w:r>
      <w:r w:rsidRPr="002236BD">
        <w:rPr>
          <w:sz w:val="22"/>
          <w:szCs w:val="22"/>
          <w:lang w:val="es-CR"/>
        </w:rPr>
        <w:t>Se define al segmento como una actividad o grupo de actividades de la entidad, que son identificables y para las cuales es apropiado presentar información financiera separada con el fin de:</w:t>
      </w:r>
    </w:p>
    <w:p w14:paraId="0EFC7E42" w14:textId="77777777" w:rsidR="002236BD" w:rsidRPr="002236BD" w:rsidRDefault="002236BD" w:rsidP="002236BD">
      <w:pPr>
        <w:pStyle w:val="Default"/>
        <w:ind w:left="1134" w:hanging="1134"/>
        <w:jc w:val="both"/>
        <w:rPr>
          <w:sz w:val="22"/>
          <w:szCs w:val="22"/>
          <w:lang w:val="es-CR"/>
        </w:rPr>
      </w:pPr>
    </w:p>
    <w:p w14:paraId="79936347" w14:textId="1055DD84" w:rsidR="002236BD" w:rsidRPr="002236BD" w:rsidRDefault="002236BD">
      <w:pPr>
        <w:pStyle w:val="Default"/>
        <w:numPr>
          <w:ilvl w:val="0"/>
          <w:numId w:val="408"/>
        </w:numPr>
        <w:spacing w:after="120"/>
        <w:ind w:left="1418" w:hanging="284"/>
        <w:jc w:val="both"/>
        <w:rPr>
          <w:sz w:val="22"/>
          <w:szCs w:val="22"/>
          <w:lang w:val="es-CR"/>
        </w:rPr>
      </w:pPr>
      <w:r>
        <w:rPr>
          <w:sz w:val="22"/>
          <w:szCs w:val="22"/>
          <w:lang w:val="es-CR"/>
        </w:rPr>
        <w:t>E</w:t>
      </w:r>
      <w:r w:rsidRPr="002236BD">
        <w:rPr>
          <w:sz w:val="22"/>
          <w:szCs w:val="22"/>
          <w:lang w:val="es-CR"/>
        </w:rPr>
        <w:t xml:space="preserve">valuar el rendimiento pasado de la entidad en la consecución de sus objetivos; y </w:t>
      </w:r>
    </w:p>
    <w:p w14:paraId="2654A4BD" w14:textId="16B6FE37" w:rsidR="002236BD" w:rsidRPr="002236BD" w:rsidRDefault="002236BD">
      <w:pPr>
        <w:pStyle w:val="Default"/>
        <w:numPr>
          <w:ilvl w:val="0"/>
          <w:numId w:val="408"/>
        </w:numPr>
        <w:ind w:left="1418" w:hanging="284"/>
        <w:jc w:val="both"/>
        <w:rPr>
          <w:sz w:val="22"/>
          <w:szCs w:val="22"/>
          <w:lang w:val="es-CR"/>
        </w:rPr>
      </w:pPr>
      <w:r>
        <w:rPr>
          <w:sz w:val="22"/>
          <w:szCs w:val="22"/>
          <w:lang w:val="es-CR"/>
        </w:rPr>
        <w:t>T</w:t>
      </w:r>
      <w:r w:rsidRPr="002236BD">
        <w:rPr>
          <w:sz w:val="22"/>
          <w:szCs w:val="22"/>
          <w:lang w:val="es-CR"/>
        </w:rPr>
        <w:t xml:space="preserve">omar decisiones respecto de la futura asignación de recursos. </w:t>
      </w:r>
    </w:p>
    <w:p w14:paraId="44B8AD40" w14:textId="77777777" w:rsidR="002236BD" w:rsidRPr="002236BD" w:rsidRDefault="002236BD" w:rsidP="002236BD">
      <w:pPr>
        <w:pStyle w:val="Default"/>
        <w:jc w:val="both"/>
        <w:rPr>
          <w:sz w:val="22"/>
          <w:szCs w:val="22"/>
          <w:lang w:val="es-CR"/>
        </w:rPr>
      </w:pPr>
    </w:p>
    <w:p w14:paraId="7BDB3A20" w14:textId="6BC2023B" w:rsidR="002236BD" w:rsidRDefault="002236BD" w:rsidP="002236BD">
      <w:pPr>
        <w:pStyle w:val="Default"/>
        <w:ind w:left="1134" w:hanging="1134"/>
        <w:jc w:val="both"/>
        <w:rPr>
          <w:sz w:val="22"/>
          <w:szCs w:val="22"/>
          <w:lang w:val="es-CR"/>
        </w:rPr>
      </w:pPr>
      <w:r>
        <w:rPr>
          <w:sz w:val="22"/>
          <w:szCs w:val="22"/>
          <w:lang w:val="es-CR"/>
        </w:rPr>
        <w:t>6.87.1.01</w:t>
      </w:r>
      <w:r>
        <w:rPr>
          <w:sz w:val="22"/>
          <w:szCs w:val="22"/>
          <w:lang w:val="es-CR"/>
        </w:rPr>
        <w:tab/>
      </w:r>
      <w:r w:rsidRPr="002236BD">
        <w:rPr>
          <w:sz w:val="22"/>
          <w:szCs w:val="22"/>
          <w:lang w:val="es-CR"/>
        </w:rPr>
        <w:t>La información financiera por segmentos en Costa Rica se presentará con la clasificación de funciones establecida en el Clasificador Funcional del Gasto para el Sector Público Costarricense.</w:t>
      </w:r>
    </w:p>
    <w:p w14:paraId="02594829" w14:textId="77777777" w:rsidR="00A85169" w:rsidRDefault="00A85169" w:rsidP="002236BD">
      <w:pPr>
        <w:pStyle w:val="Default"/>
        <w:ind w:left="1134" w:hanging="1134"/>
        <w:jc w:val="both"/>
        <w:rPr>
          <w:sz w:val="22"/>
          <w:szCs w:val="22"/>
          <w:lang w:val="es-CR"/>
        </w:rPr>
      </w:pPr>
    </w:p>
    <w:p w14:paraId="34E6897A" w14:textId="77777777" w:rsidR="00A85169" w:rsidRDefault="00A85169" w:rsidP="002236BD">
      <w:pPr>
        <w:pStyle w:val="Default"/>
        <w:ind w:left="1134" w:hanging="1134"/>
        <w:jc w:val="both"/>
        <w:rPr>
          <w:sz w:val="22"/>
          <w:szCs w:val="22"/>
          <w:lang w:val="es-CR"/>
        </w:rPr>
      </w:pPr>
    </w:p>
    <w:p w14:paraId="19DFF7C4" w14:textId="77777777" w:rsidR="004B6B45" w:rsidRDefault="004B6B45" w:rsidP="002236BD">
      <w:pPr>
        <w:pStyle w:val="Default"/>
        <w:ind w:left="1134" w:hanging="1134"/>
        <w:jc w:val="both"/>
        <w:rPr>
          <w:sz w:val="22"/>
          <w:szCs w:val="22"/>
          <w:lang w:val="es-CR"/>
        </w:rPr>
      </w:pPr>
    </w:p>
    <w:tbl>
      <w:tblPr>
        <w:tblW w:w="9353" w:type="dxa"/>
        <w:tblLook w:val="04A0" w:firstRow="1" w:lastRow="0" w:firstColumn="1" w:lastColumn="0" w:noHBand="0" w:noVBand="1"/>
      </w:tblPr>
      <w:tblGrid>
        <w:gridCol w:w="416"/>
        <w:gridCol w:w="850"/>
        <w:gridCol w:w="433"/>
        <w:gridCol w:w="7"/>
        <w:gridCol w:w="3682"/>
        <w:gridCol w:w="7"/>
        <w:gridCol w:w="2108"/>
        <w:gridCol w:w="1842"/>
        <w:gridCol w:w="8"/>
      </w:tblGrid>
      <w:tr w:rsidR="00A85169" w:rsidRPr="00A85169" w14:paraId="14B72822" w14:textId="77777777" w:rsidTr="004B6B45">
        <w:trPr>
          <w:trHeight w:val="320"/>
        </w:trPr>
        <w:tc>
          <w:tcPr>
            <w:tcW w:w="1706"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2482641"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4F05591"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Concepto</w:t>
            </w:r>
          </w:p>
        </w:tc>
        <w:tc>
          <w:tcPr>
            <w:tcW w:w="3958" w:type="dxa"/>
            <w:gridSpan w:val="3"/>
            <w:tcBorders>
              <w:top w:val="single" w:sz="8" w:space="0" w:color="auto"/>
              <w:left w:val="nil"/>
              <w:bottom w:val="single" w:sz="8" w:space="0" w:color="auto"/>
              <w:right w:val="single" w:sz="8" w:space="0" w:color="000000"/>
            </w:tcBorders>
            <w:shd w:val="clear" w:color="000000" w:fill="203764"/>
            <w:vAlign w:val="center"/>
            <w:hideMark/>
          </w:tcPr>
          <w:p w14:paraId="530F803B"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Referencia</w:t>
            </w:r>
          </w:p>
        </w:tc>
      </w:tr>
      <w:tr w:rsidR="00A85169" w:rsidRPr="006E5442" w14:paraId="5601D7F7" w14:textId="77777777" w:rsidTr="004B6B45">
        <w:trPr>
          <w:gridAfter w:val="1"/>
          <w:wAfter w:w="8" w:type="dxa"/>
          <w:trHeight w:val="1320"/>
        </w:trPr>
        <w:tc>
          <w:tcPr>
            <w:tcW w:w="1706" w:type="dxa"/>
            <w:gridSpan w:val="4"/>
            <w:vMerge/>
            <w:tcBorders>
              <w:top w:val="single" w:sz="8" w:space="0" w:color="auto"/>
              <w:left w:val="single" w:sz="8" w:space="0" w:color="auto"/>
              <w:bottom w:val="nil"/>
              <w:right w:val="single" w:sz="8" w:space="0" w:color="000000"/>
            </w:tcBorders>
            <w:vAlign w:val="center"/>
            <w:hideMark/>
          </w:tcPr>
          <w:p w14:paraId="518B6BE1" w14:textId="77777777" w:rsidR="00A85169" w:rsidRPr="00A85169" w:rsidRDefault="00A85169" w:rsidP="00A85169">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6CB6742C" w14:textId="77777777" w:rsidR="00A85169" w:rsidRPr="00A85169" w:rsidRDefault="00A85169" w:rsidP="00A85169">
            <w:pPr>
              <w:rPr>
                <w:rFonts w:ascii="Arial Narrow" w:eastAsia="Times New Roman" w:hAnsi="Arial Narrow" w:cs="Calibri"/>
                <w:b/>
                <w:bCs/>
                <w:color w:val="FFFFFF"/>
                <w:sz w:val="22"/>
                <w:szCs w:val="22"/>
              </w:rPr>
            </w:pPr>
          </w:p>
        </w:tc>
        <w:tc>
          <w:tcPr>
            <w:tcW w:w="2108" w:type="dxa"/>
            <w:tcBorders>
              <w:top w:val="nil"/>
              <w:left w:val="nil"/>
              <w:bottom w:val="nil"/>
              <w:right w:val="single" w:sz="8" w:space="0" w:color="auto"/>
            </w:tcBorders>
            <w:shd w:val="clear" w:color="000000" w:fill="203764"/>
            <w:vAlign w:val="center"/>
            <w:hideMark/>
          </w:tcPr>
          <w:p w14:paraId="2E93A93B"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71D00FFA" w14:textId="77777777" w:rsidR="00A85169" w:rsidRPr="00A85169" w:rsidRDefault="00A85169" w:rsidP="00A85169">
            <w:pPr>
              <w:jc w:val="center"/>
              <w:rPr>
                <w:rFonts w:ascii="Arial Narrow" w:eastAsia="Times New Roman" w:hAnsi="Arial Narrow" w:cs="Calibri"/>
                <w:b/>
                <w:bCs/>
                <w:color w:val="FFFFFF"/>
                <w:sz w:val="22"/>
                <w:szCs w:val="22"/>
                <w:lang w:val="es-CR"/>
              </w:rPr>
            </w:pPr>
            <w:r w:rsidRPr="00A85169">
              <w:rPr>
                <w:rFonts w:ascii="Arial Narrow" w:eastAsia="Times New Roman" w:hAnsi="Arial Narrow" w:cs="Calibri"/>
                <w:b/>
                <w:bCs/>
                <w:color w:val="FFFFFF"/>
                <w:sz w:val="22"/>
                <w:szCs w:val="22"/>
                <w:lang w:val="es-CR"/>
              </w:rPr>
              <w:t>Normativa técnica y disposiciones adicionales</w:t>
            </w:r>
          </w:p>
        </w:tc>
      </w:tr>
      <w:tr w:rsidR="00A85169" w:rsidRPr="00A85169" w14:paraId="44B7EFBD" w14:textId="77777777" w:rsidTr="004B6B4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C6F92C"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6</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2F51C9AD"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88</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6FB2D0A1"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39FAA813" w14:textId="77777777" w:rsidR="00A85169" w:rsidRPr="00A85169" w:rsidRDefault="00A85169" w:rsidP="00A85169">
            <w:pPr>
              <w:jc w:val="both"/>
              <w:rPr>
                <w:rFonts w:ascii="Arial Narrow" w:eastAsia="Times New Roman" w:hAnsi="Arial Narrow" w:cs="Calibri"/>
                <w:b/>
                <w:bCs/>
                <w:color w:val="000000"/>
                <w:sz w:val="22"/>
                <w:szCs w:val="22"/>
                <w:lang w:val="es-CR"/>
              </w:rPr>
            </w:pPr>
            <w:r w:rsidRPr="00A85169">
              <w:rPr>
                <w:rFonts w:ascii="Arial Narrow" w:eastAsia="Times New Roman" w:hAnsi="Arial Narrow" w:cs="Calibri"/>
                <w:b/>
                <w:bCs/>
                <w:color w:val="000000"/>
                <w:sz w:val="22"/>
                <w:szCs w:val="22"/>
                <w:lang w:val="es-CR"/>
              </w:rPr>
              <w:t>Atribución de partidas a un segmento</w:t>
            </w:r>
          </w:p>
        </w:tc>
        <w:tc>
          <w:tcPr>
            <w:tcW w:w="2115" w:type="dxa"/>
            <w:gridSpan w:val="2"/>
            <w:tcBorders>
              <w:top w:val="single" w:sz="8" w:space="0" w:color="auto"/>
              <w:left w:val="nil"/>
              <w:bottom w:val="single" w:sz="8" w:space="0" w:color="auto"/>
              <w:right w:val="single" w:sz="8" w:space="0" w:color="auto"/>
            </w:tcBorders>
            <w:shd w:val="clear" w:color="auto" w:fill="auto"/>
            <w:vAlign w:val="center"/>
            <w:hideMark/>
          </w:tcPr>
          <w:p w14:paraId="19043BEC" w14:textId="77777777" w:rsidR="004B6B45"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NICSP N° 18,</w:t>
            </w:r>
          </w:p>
          <w:p w14:paraId="600EB6D8" w14:textId="41B35D04"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Párrafo 28.</w:t>
            </w:r>
          </w:p>
        </w:tc>
        <w:tc>
          <w:tcPr>
            <w:tcW w:w="1849" w:type="dxa"/>
            <w:gridSpan w:val="2"/>
            <w:tcBorders>
              <w:top w:val="single" w:sz="8" w:space="0" w:color="auto"/>
              <w:left w:val="nil"/>
              <w:bottom w:val="single" w:sz="8" w:space="0" w:color="auto"/>
              <w:right w:val="single" w:sz="8" w:space="0" w:color="auto"/>
            </w:tcBorders>
            <w:shd w:val="clear" w:color="auto" w:fill="auto"/>
            <w:vAlign w:val="center"/>
            <w:hideMark/>
          </w:tcPr>
          <w:p w14:paraId="2F89636C" w14:textId="77777777" w:rsidR="00A85169" w:rsidRPr="00A85169" w:rsidRDefault="00A85169" w:rsidP="00A85169">
            <w:pP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xml:space="preserve"> </w:t>
            </w:r>
          </w:p>
        </w:tc>
      </w:tr>
      <w:tr w:rsidR="00A85169" w:rsidRPr="00A85169" w14:paraId="6E34CABA" w14:textId="77777777" w:rsidTr="004B6B45">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F7506C4"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6</w:t>
            </w:r>
          </w:p>
        </w:tc>
        <w:tc>
          <w:tcPr>
            <w:tcW w:w="850" w:type="dxa"/>
            <w:tcBorders>
              <w:top w:val="nil"/>
              <w:left w:val="nil"/>
              <w:bottom w:val="single" w:sz="8" w:space="0" w:color="auto"/>
              <w:right w:val="single" w:sz="8" w:space="0" w:color="auto"/>
            </w:tcBorders>
            <w:shd w:val="clear" w:color="auto" w:fill="auto"/>
            <w:noWrap/>
            <w:vAlign w:val="center"/>
            <w:hideMark/>
          </w:tcPr>
          <w:p w14:paraId="279176A1"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88</w:t>
            </w:r>
          </w:p>
        </w:tc>
        <w:tc>
          <w:tcPr>
            <w:tcW w:w="433" w:type="dxa"/>
            <w:tcBorders>
              <w:top w:val="nil"/>
              <w:left w:val="nil"/>
              <w:bottom w:val="single" w:sz="8" w:space="0" w:color="auto"/>
              <w:right w:val="single" w:sz="8" w:space="0" w:color="auto"/>
            </w:tcBorders>
            <w:shd w:val="clear" w:color="auto" w:fill="auto"/>
            <w:vAlign w:val="center"/>
            <w:hideMark/>
          </w:tcPr>
          <w:p w14:paraId="1280C7C5"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1</w:t>
            </w:r>
          </w:p>
        </w:tc>
        <w:tc>
          <w:tcPr>
            <w:tcW w:w="3689" w:type="dxa"/>
            <w:gridSpan w:val="2"/>
            <w:tcBorders>
              <w:top w:val="nil"/>
              <w:left w:val="nil"/>
              <w:bottom w:val="single" w:sz="8" w:space="0" w:color="auto"/>
              <w:right w:val="single" w:sz="8" w:space="0" w:color="auto"/>
            </w:tcBorders>
            <w:shd w:val="clear" w:color="auto" w:fill="auto"/>
            <w:vAlign w:val="center"/>
            <w:hideMark/>
          </w:tcPr>
          <w:p w14:paraId="717C9CC4" w14:textId="77777777" w:rsidR="00A85169" w:rsidRPr="00A85169" w:rsidRDefault="00A85169" w:rsidP="00A85169">
            <w:pPr>
              <w:jc w:val="both"/>
              <w:rPr>
                <w:rFonts w:ascii="Arial Narrow" w:eastAsia="Times New Roman" w:hAnsi="Arial Narrow" w:cs="Calibri"/>
                <w:b/>
                <w:bCs/>
                <w:color w:val="000000"/>
                <w:sz w:val="22"/>
                <w:szCs w:val="22"/>
                <w:lang w:val="es-CR"/>
              </w:rPr>
            </w:pPr>
            <w:r w:rsidRPr="00A85169">
              <w:rPr>
                <w:rFonts w:ascii="Arial Narrow" w:eastAsia="Times New Roman" w:hAnsi="Arial Narrow" w:cs="Calibri"/>
                <w:b/>
                <w:bCs/>
                <w:color w:val="000000"/>
                <w:sz w:val="22"/>
                <w:szCs w:val="22"/>
                <w:lang w:val="es-CR"/>
              </w:rPr>
              <w:t>Asignación de las partidas a los segmentos</w:t>
            </w:r>
          </w:p>
        </w:tc>
        <w:tc>
          <w:tcPr>
            <w:tcW w:w="2115" w:type="dxa"/>
            <w:gridSpan w:val="2"/>
            <w:tcBorders>
              <w:top w:val="nil"/>
              <w:left w:val="nil"/>
              <w:bottom w:val="single" w:sz="8" w:space="0" w:color="auto"/>
              <w:right w:val="single" w:sz="8" w:space="0" w:color="auto"/>
            </w:tcBorders>
            <w:shd w:val="clear" w:color="auto" w:fill="auto"/>
            <w:vAlign w:val="center"/>
            <w:hideMark/>
          </w:tcPr>
          <w:p w14:paraId="47B0700D" w14:textId="77777777" w:rsidR="004B6B45"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NICSP N° 18,</w:t>
            </w:r>
          </w:p>
          <w:p w14:paraId="549700FD" w14:textId="6640314E"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Párrafo 31.</w:t>
            </w:r>
          </w:p>
        </w:tc>
        <w:tc>
          <w:tcPr>
            <w:tcW w:w="1849" w:type="dxa"/>
            <w:gridSpan w:val="2"/>
            <w:tcBorders>
              <w:top w:val="nil"/>
              <w:left w:val="nil"/>
              <w:bottom w:val="single" w:sz="8" w:space="0" w:color="auto"/>
              <w:right w:val="single" w:sz="8" w:space="0" w:color="auto"/>
            </w:tcBorders>
            <w:shd w:val="clear" w:color="auto" w:fill="auto"/>
            <w:vAlign w:val="center"/>
            <w:hideMark/>
          </w:tcPr>
          <w:p w14:paraId="400DD86E" w14:textId="77777777"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DGCN</w:t>
            </w:r>
          </w:p>
        </w:tc>
      </w:tr>
      <w:tr w:rsidR="00A85169" w:rsidRPr="006E5442" w14:paraId="34CBBACD" w14:textId="77777777" w:rsidTr="004B6B45">
        <w:trPr>
          <w:trHeight w:val="129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A522872"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6</w:t>
            </w:r>
          </w:p>
        </w:tc>
        <w:tc>
          <w:tcPr>
            <w:tcW w:w="850" w:type="dxa"/>
            <w:tcBorders>
              <w:top w:val="nil"/>
              <w:left w:val="nil"/>
              <w:bottom w:val="single" w:sz="8" w:space="0" w:color="auto"/>
              <w:right w:val="single" w:sz="8" w:space="0" w:color="auto"/>
            </w:tcBorders>
            <w:shd w:val="clear" w:color="auto" w:fill="auto"/>
            <w:noWrap/>
            <w:vAlign w:val="center"/>
            <w:hideMark/>
          </w:tcPr>
          <w:p w14:paraId="3CE68664"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88</w:t>
            </w:r>
          </w:p>
        </w:tc>
        <w:tc>
          <w:tcPr>
            <w:tcW w:w="433" w:type="dxa"/>
            <w:tcBorders>
              <w:top w:val="nil"/>
              <w:left w:val="nil"/>
              <w:bottom w:val="single" w:sz="8" w:space="0" w:color="auto"/>
              <w:right w:val="single" w:sz="8" w:space="0" w:color="auto"/>
            </w:tcBorders>
            <w:shd w:val="clear" w:color="auto" w:fill="auto"/>
            <w:vAlign w:val="center"/>
            <w:hideMark/>
          </w:tcPr>
          <w:p w14:paraId="72BE703C"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2</w:t>
            </w:r>
          </w:p>
        </w:tc>
        <w:tc>
          <w:tcPr>
            <w:tcW w:w="3689" w:type="dxa"/>
            <w:gridSpan w:val="2"/>
            <w:tcBorders>
              <w:top w:val="nil"/>
              <w:left w:val="nil"/>
              <w:bottom w:val="single" w:sz="8" w:space="0" w:color="auto"/>
              <w:right w:val="single" w:sz="8" w:space="0" w:color="auto"/>
            </w:tcBorders>
            <w:shd w:val="clear" w:color="auto" w:fill="auto"/>
            <w:vAlign w:val="center"/>
            <w:hideMark/>
          </w:tcPr>
          <w:p w14:paraId="0EE499B2" w14:textId="77777777"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Segmento financiero</w:t>
            </w:r>
          </w:p>
        </w:tc>
        <w:tc>
          <w:tcPr>
            <w:tcW w:w="2115" w:type="dxa"/>
            <w:gridSpan w:val="2"/>
            <w:tcBorders>
              <w:top w:val="nil"/>
              <w:left w:val="nil"/>
              <w:bottom w:val="single" w:sz="8" w:space="0" w:color="auto"/>
              <w:right w:val="single" w:sz="8" w:space="0" w:color="auto"/>
            </w:tcBorders>
            <w:shd w:val="clear" w:color="auto" w:fill="auto"/>
            <w:vAlign w:val="center"/>
            <w:hideMark/>
          </w:tcPr>
          <w:p w14:paraId="72E90AB7" w14:textId="77777777"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w:t>
            </w:r>
          </w:p>
        </w:tc>
        <w:tc>
          <w:tcPr>
            <w:tcW w:w="1849" w:type="dxa"/>
            <w:gridSpan w:val="2"/>
            <w:tcBorders>
              <w:top w:val="nil"/>
              <w:left w:val="nil"/>
              <w:bottom w:val="single" w:sz="8" w:space="0" w:color="auto"/>
              <w:right w:val="single" w:sz="8" w:space="0" w:color="auto"/>
            </w:tcBorders>
            <w:shd w:val="clear" w:color="auto" w:fill="auto"/>
            <w:vAlign w:val="center"/>
            <w:hideMark/>
          </w:tcPr>
          <w:p w14:paraId="714D1280" w14:textId="4EF4E25C" w:rsidR="00A85169" w:rsidRPr="00A85169" w:rsidRDefault="00A85169" w:rsidP="00A85169">
            <w:pPr>
              <w:rPr>
                <w:rFonts w:ascii="Arial Narrow" w:eastAsia="Times New Roman" w:hAnsi="Arial Narrow" w:cs="Calibri"/>
                <w:b/>
                <w:bCs/>
                <w:color w:val="000000"/>
                <w:sz w:val="22"/>
                <w:szCs w:val="22"/>
                <w:lang w:val="es-CR"/>
              </w:rPr>
            </w:pPr>
            <w:r w:rsidRPr="00A85169">
              <w:rPr>
                <w:rFonts w:ascii="Arial Narrow" w:eastAsia="Times New Roman" w:hAnsi="Arial Narrow" w:cs="Calibri"/>
                <w:b/>
                <w:bCs/>
                <w:color w:val="000000"/>
                <w:sz w:val="22"/>
                <w:szCs w:val="22"/>
                <w:lang w:val="es-CR"/>
              </w:rPr>
              <w:t>Clasificador Funcional del Gobierno de Costa Rica</w:t>
            </w:r>
            <w:r w:rsidRPr="00A85169">
              <w:rPr>
                <w:rFonts w:ascii="Arial Narrow" w:eastAsia="Times New Roman" w:hAnsi="Arial Narrow" w:cs="Calibri"/>
                <w:b/>
                <w:bCs/>
                <w:color w:val="000000"/>
                <w:sz w:val="22"/>
                <w:szCs w:val="22"/>
                <w:lang w:val="es-CR"/>
              </w:rPr>
              <w:br/>
              <w:t>DGCN</w:t>
            </w:r>
          </w:p>
        </w:tc>
      </w:tr>
    </w:tbl>
    <w:p w14:paraId="034AD2F9" w14:textId="77777777" w:rsidR="00A85169" w:rsidRDefault="00A85169" w:rsidP="002236BD">
      <w:pPr>
        <w:pStyle w:val="Default"/>
        <w:ind w:left="1134" w:hanging="1134"/>
        <w:jc w:val="both"/>
        <w:rPr>
          <w:sz w:val="22"/>
          <w:szCs w:val="22"/>
          <w:lang w:val="es-CR"/>
        </w:rPr>
      </w:pPr>
    </w:p>
    <w:p w14:paraId="10715CE1" w14:textId="77777777" w:rsidR="004B6B45" w:rsidRPr="0030399E" w:rsidRDefault="004B6B45" w:rsidP="004B6B45">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25F0581F" w14:textId="77777777" w:rsidR="004B6B45" w:rsidRDefault="004B6B45" w:rsidP="002236BD">
      <w:pPr>
        <w:pStyle w:val="Default"/>
        <w:ind w:left="1134" w:hanging="1134"/>
        <w:jc w:val="both"/>
        <w:rPr>
          <w:sz w:val="22"/>
          <w:szCs w:val="22"/>
          <w:lang w:val="es-CR"/>
        </w:rPr>
      </w:pPr>
    </w:p>
    <w:p w14:paraId="76CC6371" w14:textId="53174CBF" w:rsidR="00A85169" w:rsidRPr="00934E58" w:rsidRDefault="00934E58" w:rsidP="00934E58">
      <w:pPr>
        <w:pStyle w:val="Default"/>
        <w:ind w:left="1134" w:hanging="1134"/>
        <w:jc w:val="both"/>
        <w:rPr>
          <w:sz w:val="22"/>
          <w:szCs w:val="22"/>
          <w:lang w:val="es-CR"/>
        </w:rPr>
      </w:pPr>
      <w:r>
        <w:rPr>
          <w:sz w:val="22"/>
          <w:szCs w:val="22"/>
          <w:lang w:val="es-CR"/>
        </w:rPr>
        <w:t>6.88.0.01</w:t>
      </w:r>
      <w:r>
        <w:rPr>
          <w:sz w:val="22"/>
          <w:szCs w:val="22"/>
          <w:lang w:val="es-CR"/>
        </w:rPr>
        <w:tab/>
      </w:r>
      <w:r w:rsidR="00A85169" w:rsidRPr="00934E58">
        <w:rPr>
          <w:sz w:val="22"/>
          <w:szCs w:val="22"/>
          <w:lang w:val="es-CR"/>
        </w:rPr>
        <w:t>En los ingresos, gastos, activos y pasivos de los segmentos, se incluyen tanto los importes de las partidas que le son directamente atribuibles, como los que pueden asignárseles utilizando una base razonable de reparto.</w:t>
      </w:r>
    </w:p>
    <w:p w14:paraId="26A2D94F" w14:textId="77777777" w:rsidR="00A85169" w:rsidRPr="00934E58" w:rsidRDefault="00A85169" w:rsidP="00934E58">
      <w:pPr>
        <w:pStyle w:val="Default"/>
        <w:jc w:val="both"/>
        <w:rPr>
          <w:sz w:val="22"/>
          <w:szCs w:val="22"/>
          <w:lang w:val="es-CR"/>
        </w:rPr>
      </w:pPr>
    </w:p>
    <w:p w14:paraId="507768EA" w14:textId="4EB3F809" w:rsidR="00A85169" w:rsidRDefault="00A85169" w:rsidP="00934E58">
      <w:pPr>
        <w:pStyle w:val="Default"/>
        <w:ind w:left="1134" w:hanging="1134"/>
        <w:jc w:val="both"/>
        <w:rPr>
          <w:sz w:val="22"/>
          <w:szCs w:val="22"/>
          <w:lang w:val="es-CR"/>
        </w:rPr>
      </w:pPr>
      <w:r w:rsidRPr="00934E58">
        <w:rPr>
          <w:sz w:val="22"/>
          <w:szCs w:val="22"/>
          <w:lang w:val="es-CR"/>
        </w:rPr>
        <w:t>6.88.1.01</w:t>
      </w:r>
      <w:r w:rsidRPr="00934E58">
        <w:rPr>
          <w:sz w:val="22"/>
          <w:szCs w:val="22"/>
          <w:lang w:val="es-CR"/>
        </w:rPr>
        <w:tab/>
        <w:t xml:space="preserve">La asignación de partidas a los segmentos podrá ser: </w:t>
      </w:r>
    </w:p>
    <w:p w14:paraId="465ABA0B" w14:textId="77777777" w:rsidR="00934E58" w:rsidRPr="00934E58" w:rsidRDefault="00934E58" w:rsidP="00934E58">
      <w:pPr>
        <w:pStyle w:val="Default"/>
        <w:ind w:left="1134" w:hanging="1134"/>
        <w:jc w:val="both"/>
        <w:rPr>
          <w:sz w:val="22"/>
          <w:szCs w:val="22"/>
          <w:lang w:val="es-CR"/>
        </w:rPr>
      </w:pPr>
    </w:p>
    <w:p w14:paraId="1000C236" w14:textId="52B711B9" w:rsidR="00A85169" w:rsidRPr="00934E58" w:rsidRDefault="00A85169">
      <w:pPr>
        <w:pStyle w:val="Default"/>
        <w:numPr>
          <w:ilvl w:val="0"/>
          <w:numId w:val="411"/>
        </w:numPr>
        <w:spacing w:after="120"/>
        <w:ind w:left="1418" w:hanging="284"/>
        <w:jc w:val="both"/>
        <w:rPr>
          <w:sz w:val="22"/>
          <w:szCs w:val="22"/>
          <w:lang w:val="es-CR"/>
        </w:rPr>
      </w:pPr>
      <w:r w:rsidRPr="00934E58">
        <w:rPr>
          <w:b/>
          <w:bCs/>
          <w:sz w:val="22"/>
          <w:szCs w:val="22"/>
          <w:lang w:val="es-CR"/>
        </w:rPr>
        <w:t xml:space="preserve">Partidas directamente atribuibles a los segmentos: </w:t>
      </w:r>
      <w:r w:rsidRPr="00934E58">
        <w:rPr>
          <w:sz w:val="22"/>
          <w:szCs w:val="22"/>
          <w:lang w:val="es-CR"/>
        </w:rPr>
        <w:t xml:space="preserve">A efectos de la asignación directa de los ingresos, gastos, activos y pasivos a los segmentos, todas las </w:t>
      </w:r>
      <w:r w:rsidRPr="00934E58">
        <w:rPr>
          <w:sz w:val="22"/>
          <w:szCs w:val="22"/>
          <w:lang w:val="es-CR"/>
        </w:rPr>
        <w:lastRenderedPageBreak/>
        <w:t xml:space="preserve">transacciones registradas deben hacerse con la carga del código de funciones establecido en el Clasificador Funcional del Gasto. </w:t>
      </w:r>
    </w:p>
    <w:p w14:paraId="082745FF" w14:textId="1B1E7A66" w:rsidR="00A85169" w:rsidRPr="00934E58" w:rsidRDefault="00A85169">
      <w:pPr>
        <w:pStyle w:val="Default"/>
        <w:numPr>
          <w:ilvl w:val="0"/>
          <w:numId w:val="411"/>
        </w:numPr>
        <w:spacing w:after="120"/>
        <w:ind w:left="1418" w:hanging="284"/>
        <w:jc w:val="both"/>
        <w:rPr>
          <w:sz w:val="22"/>
          <w:szCs w:val="22"/>
          <w:lang w:val="es-CR"/>
        </w:rPr>
      </w:pPr>
      <w:r w:rsidRPr="00934E58">
        <w:rPr>
          <w:b/>
          <w:bCs/>
          <w:sz w:val="22"/>
          <w:szCs w:val="22"/>
          <w:lang w:val="es-CR"/>
        </w:rPr>
        <w:t xml:space="preserve">Partidas indirectas asignadas a los segmentos: </w:t>
      </w:r>
      <w:r w:rsidRPr="00934E58">
        <w:rPr>
          <w:sz w:val="22"/>
          <w:szCs w:val="22"/>
          <w:lang w:val="es-CR"/>
        </w:rPr>
        <w:t xml:space="preserve">Cuando los ingresos, gastos, activos y pasivos son comunes a varios segmentos (gastos administrativos), se establecerá una “base razonable” (Bases Razonable: se estipulará en las Normas Particulares de Contabilidad) de asignación o distribución en los distintos segmentos. </w:t>
      </w:r>
    </w:p>
    <w:p w14:paraId="3D0519F8" w14:textId="3B8CDC3B" w:rsidR="00A85169" w:rsidRPr="00934E58" w:rsidRDefault="00934E58">
      <w:pPr>
        <w:pStyle w:val="Default"/>
        <w:numPr>
          <w:ilvl w:val="0"/>
          <w:numId w:val="411"/>
        </w:numPr>
        <w:ind w:left="1418" w:hanging="284"/>
        <w:jc w:val="both"/>
        <w:rPr>
          <w:sz w:val="22"/>
          <w:szCs w:val="22"/>
          <w:lang w:val="es-CR"/>
        </w:rPr>
      </w:pPr>
      <w:r>
        <w:rPr>
          <w:b/>
          <w:bCs/>
          <w:sz w:val="22"/>
          <w:szCs w:val="22"/>
          <w:lang w:val="es-CR"/>
        </w:rPr>
        <w:t>P</w:t>
      </w:r>
      <w:r w:rsidR="00A85169" w:rsidRPr="00934E58">
        <w:rPr>
          <w:b/>
          <w:bCs/>
          <w:sz w:val="22"/>
          <w:szCs w:val="22"/>
          <w:lang w:val="es-CR"/>
        </w:rPr>
        <w:t xml:space="preserve">artidas no asignadas a los segmentos: </w:t>
      </w:r>
      <w:r w:rsidR="00A85169" w:rsidRPr="00934E58">
        <w:rPr>
          <w:sz w:val="22"/>
          <w:szCs w:val="22"/>
          <w:lang w:val="es-CR"/>
        </w:rPr>
        <w:t xml:space="preserve">Los ingresos, gastos, activos y pasivos que no hayan sido atribuidos o asignados, pueden presentarse como importes no asignados al hacer la conciliación de las revelaciones del segmento con el ingreso total de la entidad. </w:t>
      </w:r>
    </w:p>
    <w:p w14:paraId="07C21A96" w14:textId="77777777" w:rsidR="00A85169" w:rsidRPr="00934E58" w:rsidRDefault="00A85169" w:rsidP="00934E58">
      <w:pPr>
        <w:pStyle w:val="Default"/>
        <w:jc w:val="both"/>
        <w:rPr>
          <w:sz w:val="22"/>
          <w:szCs w:val="22"/>
          <w:lang w:val="es-CR"/>
        </w:rPr>
      </w:pPr>
    </w:p>
    <w:p w14:paraId="3C8297A7" w14:textId="34ED1678" w:rsidR="00A85169" w:rsidRPr="00934E58" w:rsidRDefault="00934E58" w:rsidP="00934E58">
      <w:pPr>
        <w:pStyle w:val="Default"/>
        <w:ind w:left="1134" w:hanging="1134"/>
        <w:jc w:val="both"/>
        <w:rPr>
          <w:sz w:val="22"/>
          <w:szCs w:val="22"/>
          <w:lang w:val="es-CR"/>
        </w:rPr>
      </w:pPr>
      <w:r>
        <w:rPr>
          <w:sz w:val="22"/>
          <w:szCs w:val="22"/>
          <w:lang w:val="es-CR"/>
        </w:rPr>
        <w:t>6.88.</w:t>
      </w:r>
      <w:r w:rsidR="00A85169" w:rsidRPr="00934E58">
        <w:rPr>
          <w:sz w:val="22"/>
          <w:szCs w:val="22"/>
          <w:lang w:val="es-CR"/>
        </w:rPr>
        <w:t>2.</w:t>
      </w:r>
      <w:r>
        <w:rPr>
          <w:sz w:val="22"/>
          <w:szCs w:val="22"/>
          <w:lang w:val="es-CR"/>
        </w:rPr>
        <w:t>01</w:t>
      </w:r>
      <w:r>
        <w:rPr>
          <w:sz w:val="22"/>
          <w:szCs w:val="22"/>
          <w:lang w:val="es-CR"/>
        </w:rPr>
        <w:tab/>
      </w:r>
      <w:r w:rsidR="00A85169" w:rsidRPr="00934E58">
        <w:rPr>
          <w:b/>
          <w:bCs/>
          <w:sz w:val="22"/>
          <w:szCs w:val="22"/>
          <w:lang w:val="es-CR"/>
        </w:rPr>
        <w:t xml:space="preserve">Segmento Financiero: </w:t>
      </w:r>
      <w:r w:rsidR="00A85169" w:rsidRPr="00934E58">
        <w:rPr>
          <w:sz w:val="22"/>
          <w:szCs w:val="22"/>
          <w:lang w:val="es-CR"/>
        </w:rPr>
        <w:t xml:space="preserve">La función de financiamiento no está contemplada dentro del Clasificador Funcional del Gobierno de Costa Rica. Dado que es necesaria su identificación, a los efectos de la presente información se incluirán y contemplarán todas las actividades necesarias de financiación (intereses, préstamos, dividendos, adelantos, etc.). Las Normas Particulares de Contabilidad establecerán el código a ingresar para dicho segmento. </w:t>
      </w:r>
    </w:p>
    <w:p w14:paraId="18D0B400" w14:textId="77777777" w:rsidR="00A85169" w:rsidRDefault="00A85169" w:rsidP="002236BD">
      <w:pPr>
        <w:pStyle w:val="Default"/>
        <w:ind w:left="1134" w:hanging="1134"/>
        <w:jc w:val="both"/>
        <w:rPr>
          <w:sz w:val="22"/>
          <w:szCs w:val="22"/>
          <w:lang w:val="es-CR"/>
        </w:rPr>
      </w:pPr>
    </w:p>
    <w:p w14:paraId="313FD044" w14:textId="77777777" w:rsidR="00A85169" w:rsidRDefault="00A85169" w:rsidP="002236BD">
      <w:pPr>
        <w:pStyle w:val="Default"/>
        <w:ind w:left="1134" w:hanging="1134"/>
        <w:jc w:val="both"/>
        <w:rPr>
          <w:sz w:val="22"/>
          <w:szCs w:val="22"/>
          <w:lang w:val="es-CR"/>
        </w:rPr>
      </w:pPr>
    </w:p>
    <w:p w14:paraId="1DFA7C8F" w14:textId="77777777" w:rsidR="004B6B45" w:rsidRDefault="004B6B45"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33"/>
        <w:gridCol w:w="7"/>
        <w:gridCol w:w="3681"/>
        <w:gridCol w:w="7"/>
        <w:gridCol w:w="2246"/>
        <w:gridCol w:w="7"/>
        <w:gridCol w:w="1841"/>
      </w:tblGrid>
      <w:tr w:rsidR="00A85169" w:rsidRPr="00A85169" w14:paraId="0769732C" w14:textId="77777777" w:rsidTr="004B6B45">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4C1965E9"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 / Política</w:t>
            </w:r>
          </w:p>
        </w:tc>
        <w:tc>
          <w:tcPr>
            <w:tcW w:w="3688"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56772CA"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Concepto</w:t>
            </w:r>
          </w:p>
        </w:tc>
        <w:tc>
          <w:tcPr>
            <w:tcW w:w="4094" w:type="dxa"/>
            <w:gridSpan w:val="3"/>
            <w:tcBorders>
              <w:top w:val="single" w:sz="8" w:space="0" w:color="auto"/>
              <w:left w:val="nil"/>
              <w:bottom w:val="single" w:sz="8" w:space="0" w:color="auto"/>
              <w:right w:val="single" w:sz="8" w:space="0" w:color="000000"/>
            </w:tcBorders>
            <w:shd w:val="clear" w:color="000000" w:fill="203764"/>
            <w:vAlign w:val="center"/>
            <w:hideMark/>
          </w:tcPr>
          <w:p w14:paraId="6CAB6C5F"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Referencia</w:t>
            </w:r>
          </w:p>
        </w:tc>
      </w:tr>
      <w:tr w:rsidR="00A85169" w:rsidRPr="006E5442" w14:paraId="4B1A9ADD" w14:textId="77777777" w:rsidTr="004B6B45">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73741FCB" w14:textId="77777777" w:rsidR="00A85169" w:rsidRPr="00A85169" w:rsidRDefault="00A85169" w:rsidP="00A85169">
            <w:pPr>
              <w:rPr>
                <w:rFonts w:ascii="Arial Narrow" w:eastAsia="Times New Roman" w:hAnsi="Arial Narrow" w:cs="Calibri"/>
                <w:b/>
                <w:bCs/>
                <w:color w:val="FFFFFF"/>
                <w:sz w:val="22"/>
                <w:szCs w:val="22"/>
              </w:rPr>
            </w:pPr>
          </w:p>
        </w:tc>
        <w:tc>
          <w:tcPr>
            <w:tcW w:w="3688" w:type="dxa"/>
            <w:gridSpan w:val="2"/>
            <w:vMerge/>
            <w:tcBorders>
              <w:top w:val="single" w:sz="8" w:space="0" w:color="auto"/>
              <w:left w:val="single" w:sz="8" w:space="0" w:color="auto"/>
              <w:bottom w:val="nil"/>
              <w:right w:val="single" w:sz="8" w:space="0" w:color="auto"/>
            </w:tcBorders>
            <w:vAlign w:val="center"/>
            <w:hideMark/>
          </w:tcPr>
          <w:p w14:paraId="48F4B385" w14:textId="77777777" w:rsidR="00A85169" w:rsidRPr="00A85169" w:rsidRDefault="00A85169" w:rsidP="00A85169">
            <w:pPr>
              <w:rPr>
                <w:rFonts w:ascii="Arial Narrow" w:eastAsia="Times New Roman" w:hAnsi="Arial Narrow" w:cs="Calibri"/>
                <w:b/>
                <w:bCs/>
                <w:color w:val="FFFFFF"/>
                <w:sz w:val="22"/>
                <w:szCs w:val="22"/>
              </w:rPr>
            </w:pPr>
          </w:p>
        </w:tc>
        <w:tc>
          <w:tcPr>
            <w:tcW w:w="2253" w:type="dxa"/>
            <w:gridSpan w:val="2"/>
            <w:tcBorders>
              <w:top w:val="nil"/>
              <w:left w:val="nil"/>
              <w:bottom w:val="nil"/>
              <w:right w:val="single" w:sz="8" w:space="0" w:color="auto"/>
            </w:tcBorders>
            <w:shd w:val="clear" w:color="000000" w:fill="203764"/>
            <w:vAlign w:val="center"/>
            <w:hideMark/>
          </w:tcPr>
          <w:p w14:paraId="6E97CA0F"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w:t>
            </w:r>
          </w:p>
        </w:tc>
        <w:tc>
          <w:tcPr>
            <w:tcW w:w="1841" w:type="dxa"/>
            <w:tcBorders>
              <w:top w:val="nil"/>
              <w:left w:val="nil"/>
              <w:bottom w:val="nil"/>
              <w:right w:val="single" w:sz="8" w:space="0" w:color="auto"/>
            </w:tcBorders>
            <w:shd w:val="clear" w:color="000000" w:fill="203764"/>
            <w:vAlign w:val="center"/>
            <w:hideMark/>
          </w:tcPr>
          <w:p w14:paraId="502F8BFF" w14:textId="77777777" w:rsidR="00A85169" w:rsidRPr="00A85169" w:rsidRDefault="00A85169" w:rsidP="00A85169">
            <w:pPr>
              <w:jc w:val="center"/>
              <w:rPr>
                <w:rFonts w:ascii="Arial Narrow" w:eastAsia="Times New Roman" w:hAnsi="Arial Narrow" w:cs="Calibri"/>
                <w:b/>
                <w:bCs/>
                <w:color w:val="FFFFFF"/>
                <w:sz w:val="22"/>
                <w:szCs w:val="22"/>
                <w:lang w:val="es-CR"/>
              </w:rPr>
            </w:pPr>
            <w:r w:rsidRPr="00A85169">
              <w:rPr>
                <w:rFonts w:ascii="Arial Narrow" w:eastAsia="Times New Roman" w:hAnsi="Arial Narrow" w:cs="Calibri"/>
                <w:b/>
                <w:bCs/>
                <w:color w:val="FFFFFF"/>
                <w:sz w:val="22"/>
                <w:szCs w:val="22"/>
                <w:lang w:val="es-CR"/>
              </w:rPr>
              <w:t>Normativa técnica y disposiciones adicionales</w:t>
            </w:r>
          </w:p>
        </w:tc>
      </w:tr>
      <w:tr w:rsidR="00A85169" w:rsidRPr="00A85169" w14:paraId="7BF9AE9D" w14:textId="77777777" w:rsidTr="004B6B4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B3F955"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171250B"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89</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7CA6F7CD"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xml:space="preserve"> </w:t>
            </w:r>
          </w:p>
        </w:tc>
        <w:tc>
          <w:tcPr>
            <w:tcW w:w="3688" w:type="dxa"/>
            <w:gridSpan w:val="2"/>
            <w:tcBorders>
              <w:top w:val="single" w:sz="8" w:space="0" w:color="auto"/>
              <w:left w:val="nil"/>
              <w:bottom w:val="single" w:sz="8" w:space="0" w:color="auto"/>
              <w:right w:val="single" w:sz="8" w:space="0" w:color="auto"/>
            </w:tcBorders>
            <w:shd w:val="clear" w:color="auto" w:fill="auto"/>
            <w:vAlign w:val="center"/>
            <w:hideMark/>
          </w:tcPr>
          <w:p w14:paraId="2C7D6763" w14:textId="77517F3A"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xml:space="preserve">Ingreso por </w:t>
            </w:r>
            <w:r w:rsidR="00934E58">
              <w:rPr>
                <w:rFonts w:ascii="Arial Narrow" w:eastAsia="Times New Roman" w:hAnsi="Arial Narrow" w:cs="Calibri"/>
                <w:b/>
                <w:bCs/>
                <w:color w:val="000000"/>
                <w:sz w:val="22"/>
                <w:szCs w:val="22"/>
              </w:rPr>
              <w:t>segment</w:t>
            </w:r>
          </w:p>
        </w:tc>
        <w:tc>
          <w:tcPr>
            <w:tcW w:w="2253" w:type="dxa"/>
            <w:gridSpan w:val="2"/>
            <w:tcBorders>
              <w:top w:val="single" w:sz="8" w:space="0" w:color="auto"/>
              <w:left w:val="nil"/>
              <w:bottom w:val="single" w:sz="8" w:space="0" w:color="auto"/>
              <w:right w:val="single" w:sz="8" w:space="0" w:color="auto"/>
            </w:tcBorders>
            <w:shd w:val="clear" w:color="auto" w:fill="auto"/>
            <w:vAlign w:val="center"/>
            <w:hideMark/>
          </w:tcPr>
          <w:p w14:paraId="7BBAD6D1" w14:textId="77777777" w:rsidR="004B6B45"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NICSP N° 18,</w:t>
            </w:r>
          </w:p>
          <w:p w14:paraId="61F41ACD" w14:textId="043B8DC8"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Párrafo 27.</w:t>
            </w:r>
          </w:p>
        </w:tc>
        <w:tc>
          <w:tcPr>
            <w:tcW w:w="1848" w:type="dxa"/>
            <w:gridSpan w:val="2"/>
            <w:tcBorders>
              <w:top w:val="single" w:sz="8" w:space="0" w:color="auto"/>
              <w:left w:val="nil"/>
              <w:bottom w:val="single" w:sz="8" w:space="0" w:color="auto"/>
              <w:right w:val="single" w:sz="8" w:space="0" w:color="auto"/>
            </w:tcBorders>
            <w:shd w:val="clear" w:color="auto" w:fill="auto"/>
            <w:vAlign w:val="center"/>
            <w:hideMark/>
          </w:tcPr>
          <w:p w14:paraId="6CB52281"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w:t>
            </w:r>
          </w:p>
        </w:tc>
      </w:tr>
    </w:tbl>
    <w:p w14:paraId="52A9FA91" w14:textId="77777777" w:rsidR="00A85169" w:rsidRDefault="00A85169" w:rsidP="002236BD">
      <w:pPr>
        <w:pStyle w:val="Default"/>
        <w:ind w:left="1134" w:hanging="1134"/>
        <w:jc w:val="both"/>
        <w:rPr>
          <w:sz w:val="22"/>
          <w:szCs w:val="22"/>
          <w:lang w:val="es-CR"/>
        </w:rPr>
      </w:pPr>
    </w:p>
    <w:p w14:paraId="2CC8ADED" w14:textId="0E6C0044" w:rsidR="004B6B45" w:rsidRDefault="004B6B45" w:rsidP="004B6B45">
      <w:pPr>
        <w:pStyle w:val="Default"/>
        <w:ind w:left="1134" w:hanging="1134"/>
        <w:jc w:val="both"/>
        <w:rPr>
          <w:rFonts w:eastAsia="Arial"/>
          <w:b/>
          <w:sz w:val="22"/>
          <w:szCs w:val="22"/>
        </w:rPr>
      </w:pPr>
      <w:r w:rsidRPr="00F02F9D">
        <w:rPr>
          <w:rFonts w:eastAsia="Arial"/>
          <w:b/>
          <w:sz w:val="22"/>
          <w:szCs w:val="22"/>
        </w:rPr>
        <w:t>Política Contable</w:t>
      </w:r>
    </w:p>
    <w:p w14:paraId="22658C6B" w14:textId="77777777" w:rsidR="004B6B45" w:rsidRDefault="004B6B45" w:rsidP="002236BD">
      <w:pPr>
        <w:pStyle w:val="Default"/>
        <w:ind w:left="1134" w:hanging="1134"/>
        <w:jc w:val="both"/>
        <w:rPr>
          <w:sz w:val="22"/>
          <w:szCs w:val="22"/>
          <w:lang w:val="es-CR"/>
        </w:rPr>
      </w:pPr>
    </w:p>
    <w:p w14:paraId="1E1F9248" w14:textId="0FC13828" w:rsidR="00A85169" w:rsidRDefault="00934E58" w:rsidP="00934E58">
      <w:pPr>
        <w:pStyle w:val="Default"/>
        <w:ind w:left="1134" w:hanging="1134"/>
        <w:jc w:val="both"/>
        <w:rPr>
          <w:sz w:val="22"/>
          <w:szCs w:val="22"/>
          <w:lang w:val="es-CR"/>
        </w:rPr>
      </w:pPr>
      <w:r>
        <w:rPr>
          <w:sz w:val="22"/>
          <w:szCs w:val="22"/>
          <w:lang w:val="es-CR"/>
        </w:rPr>
        <w:t>6.89.0.01</w:t>
      </w:r>
      <w:r>
        <w:rPr>
          <w:sz w:val="22"/>
          <w:szCs w:val="22"/>
          <w:lang w:val="es-CR"/>
        </w:rPr>
        <w:tab/>
      </w:r>
      <w:r w:rsidR="00A85169" w:rsidRPr="00934E58">
        <w:rPr>
          <w:sz w:val="22"/>
          <w:szCs w:val="22"/>
          <w:lang w:val="es-CR"/>
        </w:rPr>
        <w:t>Son los ingresos que, figurando en el ERF, son directamente atribuibles al segmento, más la parte relevante de los ingresos generales de la entidad que puedan ser distribuidos al mismo, utilizando una base razonable de reparto y que provengan, o bien de asignaciones presupuestarias o similares, o de subsidios, transferencias, multas, derechos o ventas a clientes externos, o bien de transacciones con otros segmentos de la misma entidad. Se incluyen, entre otros, los siguientes:</w:t>
      </w:r>
    </w:p>
    <w:p w14:paraId="0450C067" w14:textId="77777777" w:rsidR="00934E58" w:rsidRPr="00934E58" w:rsidRDefault="00934E58" w:rsidP="00934E58">
      <w:pPr>
        <w:pStyle w:val="Default"/>
        <w:ind w:left="1134" w:hanging="1134"/>
        <w:jc w:val="both"/>
        <w:rPr>
          <w:sz w:val="22"/>
          <w:szCs w:val="22"/>
          <w:lang w:val="es-CR"/>
        </w:rPr>
      </w:pPr>
    </w:p>
    <w:p w14:paraId="3C3B956B" w14:textId="315883D6" w:rsidR="00A85169" w:rsidRPr="00934E58" w:rsidRDefault="00934E58">
      <w:pPr>
        <w:pStyle w:val="Default"/>
        <w:numPr>
          <w:ilvl w:val="0"/>
          <w:numId w:val="410"/>
        </w:numPr>
        <w:spacing w:after="120"/>
        <w:ind w:left="1418" w:hanging="284"/>
        <w:jc w:val="both"/>
        <w:rPr>
          <w:sz w:val="22"/>
          <w:szCs w:val="22"/>
          <w:lang w:val="es-CR"/>
        </w:rPr>
      </w:pPr>
      <w:r>
        <w:rPr>
          <w:sz w:val="22"/>
          <w:szCs w:val="22"/>
          <w:lang w:val="es-CR"/>
        </w:rPr>
        <w:t>L</w:t>
      </w:r>
      <w:r w:rsidR="00A85169" w:rsidRPr="00934E58">
        <w:rPr>
          <w:sz w:val="22"/>
          <w:szCs w:val="22"/>
          <w:lang w:val="es-CR"/>
        </w:rPr>
        <w:t xml:space="preserve">a participación de la entidad en el resultado neto de las asociadas, negocios conjuntos u otras inversiones contabilizadas mediante el método de la participación, siempre y cuando tales partidas se incluyan en los ingresos consolidados o totales de la entidad; y </w:t>
      </w:r>
    </w:p>
    <w:p w14:paraId="322EC0F4" w14:textId="2E4E4FC8" w:rsidR="00A85169" w:rsidRPr="00934E58" w:rsidRDefault="00934E58">
      <w:pPr>
        <w:pStyle w:val="Default"/>
        <w:numPr>
          <w:ilvl w:val="0"/>
          <w:numId w:val="410"/>
        </w:numPr>
        <w:ind w:left="1418" w:hanging="284"/>
        <w:jc w:val="both"/>
        <w:rPr>
          <w:sz w:val="22"/>
          <w:szCs w:val="22"/>
          <w:lang w:val="es-CR"/>
        </w:rPr>
      </w:pPr>
      <w:r>
        <w:rPr>
          <w:sz w:val="22"/>
          <w:szCs w:val="22"/>
          <w:lang w:val="es-CR"/>
        </w:rPr>
        <w:t>L</w:t>
      </w:r>
      <w:r w:rsidR="00A85169" w:rsidRPr="00934E58">
        <w:rPr>
          <w:sz w:val="22"/>
          <w:szCs w:val="22"/>
          <w:lang w:val="es-CR"/>
        </w:rPr>
        <w:t xml:space="preserve">a porción de los ingresos correspondientes a los negocios conjuntos que se contabilizan por el método de participación, de acuerdo con la NICSP N° 37 </w:t>
      </w:r>
      <w:r w:rsidR="00A85169" w:rsidRPr="00934E58">
        <w:rPr>
          <w:i/>
          <w:iCs/>
          <w:sz w:val="22"/>
          <w:szCs w:val="22"/>
          <w:lang w:val="es-CR"/>
        </w:rPr>
        <w:t>Acuerdos Conjuntos</w:t>
      </w:r>
      <w:r w:rsidR="00A85169" w:rsidRPr="00934E58">
        <w:rPr>
          <w:sz w:val="22"/>
          <w:szCs w:val="22"/>
          <w:lang w:val="es-CR"/>
        </w:rPr>
        <w:t xml:space="preserve">. </w:t>
      </w:r>
    </w:p>
    <w:p w14:paraId="5418E65D" w14:textId="77777777" w:rsidR="00A85169" w:rsidRDefault="00A85169" w:rsidP="002236BD">
      <w:pPr>
        <w:pStyle w:val="Default"/>
        <w:ind w:left="1134" w:hanging="1134"/>
        <w:jc w:val="both"/>
        <w:rPr>
          <w:sz w:val="22"/>
          <w:szCs w:val="22"/>
          <w:lang w:val="es-CR"/>
        </w:rPr>
      </w:pPr>
    </w:p>
    <w:p w14:paraId="1CFEE168" w14:textId="77777777" w:rsidR="00A85169" w:rsidRDefault="00A85169"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93"/>
        <w:gridCol w:w="2250"/>
        <w:gridCol w:w="1853"/>
      </w:tblGrid>
      <w:tr w:rsidR="00A85169" w:rsidRPr="00A85169" w14:paraId="798E6B77" w14:textId="77777777" w:rsidTr="004B6B45">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4D4D2C49"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 / Política</w:t>
            </w:r>
          </w:p>
        </w:tc>
        <w:tc>
          <w:tcPr>
            <w:tcW w:w="36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24A8C77C"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Concepto</w:t>
            </w:r>
          </w:p>
        </w:tc>
        <w:tc>
          <w:tcPr>
            <w:tcW w:w="4103" w:type="dxa"/>
            <w:gridSpan w:val="2"/>
            <w:tcBorders>
              <w:top w:val="single" w:sz="8" w:space="0" w:color="auto"/>
              <w:left w:val="nil"/>
              <w:bottom w:val="single" w:sz="8" w:space="0" w:color="auto"/>
              <w:right w:val="single" w:sz="8" w:space="0" w:color="000000"/>
            </w:tcBorders>
            <w:shd w:val="clear" w:color="000000" w:fill="203764"/>
            <w:vAlign w:val="center"/>
            <w:hideMark/>
          </w:tcPr>
          <w:p w14:paraId="79F9A727"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Referencia</w:t>
            </w:r>
          </w:p>
        </w:tc>
      </w:tr>
      <w:tr w:rsidR="00A85169" w:rsidRPr="006E5442" w14:paraId="443C08BE" w14:textId="77777777" w:rsidTr="004B6B45">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7BDAE70" w14:textId="77777777" w:rsidR="00A85169" w:rsidRPr="00A85169" w:rsidRDefault="00A85169" w:rsidP="00A85169">
            <w:pPr>
              <w:rPr>
                <w:rFonts w:ascii="Arial Narrow" w:eastAsia="Times New Roman" w:hAnsi="Arial Narrow" w:cs="Calibri"/>
                <w:b/>
                <w:bCs/>
                <w:color w:val="FFFFFF"/>
                <w:sz w:val="22"/>
                <w:szCs w:val="22"/>
              </w:rPr>
            </w:pPr>
          </w:p>
        </w:tc>
        <w:tc>
          <w:tcPr>
            <w:tcW w:w="3693" w:type="dxa"/>
            <w:vMerge/>
            <w:tcBorders>
              <w:top w:val="single" w:sz="8" w:space="0" w:color="auto"/>
              <w:left w:val="single" w:sz="8" w:space="0" w:color="auto"/>
              <w:bottom w:val="nil"/>
              <w:right w:val="single" w:sz="8" w:space="0" w:color="auto"/>
            </w:tcBorders>
            <w:vAlign w:val="center"/>
            <w:hideMark/>
          </w:tcPr>
          <w:p w14:paraId="72D9E26A" w14:textId="77777777" w:rsidR="00A85169" w:rsidRPr="00A85169" w:rsidRDefault="00A85169" w:rsidP="00A85169">
            <w:pPr>
              <w:rPr>
                <w:rFonts w:ascii="Arial Narrow" w:eastAsia="Times New Roman" w:hAnsi="Arial Narrow" w:cs="Calibri"/>
                <w:b/>
                <w:bCs/>
                <w:color w:val="FFFFFF"/>
                <w:sz w:val="22"/>
                <w:szCs w:val="22"/>
              </w:rPr>
            </w:pPr>
          </w:p>
        </w:tc>
        <w:tc>
          <w:tcPr>
            <w:tcW w:w="2250" w:type="dxa"/>
            <w:tcBorders>
              <w:top w:val="nil"/>
              <w:left w:val="nil"/>
              <w:bottom w:val="nil"/>
              <w:right w:val="single" w:sz="8" w:space="0" w:color="auto"/>
            </w:tcBorders>
            <w:shd w:val="clear" w:color="000000" w:fill="203764"/>
            <w:vAlign w:val="center"/>
            <w:hideMark/>
          </w:tcPr>
          <w:p w14:paraId="2BCFF3A5"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w:t>
            </w:r>
          </w:p>
        </w:tc>
        <w:tc>
          <w:tcPr>
            <w:tcW w:w="1853" w:type="dxa"/>
            <w:tcBorders>
              <w:top w:val="nil"/>
              <w:left w:val="nil"/>
              <w:bottom w:val="nil"/>
              <w:right w:val="single" w:sz="8" w:space="0" w:color="auto"/>
            </w:tcBorders>
            <w:shd w:val="clear" w:color="000000" w:fill="203764"/>
            <w:vAlign w:val="center"/>
            <w:hideMark/>
          </w:tcPr>
          <w:p w14:paraId="63C2D396" w14:textId="77777777" w:rsidR="00A85169" w:rsidRPr="00A85169" w:rsidRDefault="00A85169" w:rsidP="00A85169">
            <w:pPr>
              <w:jc w:val="center"/>
              <w:rPr>
                <w:rFonts w:ascii="Arial Narrow" w:eastAsia="Times New Roman" w:hAnsi="Arial Narrow" w:cs="Calibri"/>
                <w:b/>
                <w:bCs/>
                <w:color w:val="FFFFFF"/>
                <w:sz w:val="22"/>
                <w:szCs w:val="22"/>
                <w:lang w:val="es-CR"/>
              </w:rPr>
            </w:pPr>
            <w:r w:rsidRPr="00A85169">
              <w:rPr>
                <w:rFonts w:ascii="Arial Narrow" w:eastAsia="Times New Roman" w:hAnsi="Arial Narrow" w:cs="Calibri"/>
                <w:b/>
                <w:bCs/>
                <w:color w:val="FFFFFF"/>
                <w:sz w:val="22"/>
                <w:szCs w:val="22"/>
                <w:lang w:val="es-CR"/>
              </w:rPr>
              <w:t>Normativa técnica y disposiciones adicionales</w:t>
            </w:r>
          </w:p>
        </w:tc>
      </w:tr>
      <w:tr w:rsidR="00A85169" w:rsidRPr="00A85169" w14:paraId="2A73A9B6" w14:textId="77777777" w:rsidTr="004B6B4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284667"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A21AE0A"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90</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791EA08D"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xml:space="preserve"> </w:t>
            </w:r>
          </w:p>
        </w:tc>
        <w:tc>
          <w:tcPr>
            <w:tcW w:w="3693" w:type="dxa"/>
            <w:tcBorders>
              <w:top w:val="single" w:sz="8" w:space="0" w:color="auto"/>
              <w:left w:val="nil"/>
              <w:bottom w:val="single" w:sz="8" w:space="0" w:color="auto"/>
              <w:right w:val="single" w:sz="8" w:space="0" w:color="auto"/>
            </w:tcBorders>
            <w:shd w:val="clear" w:color="auto" w:fill="auto"/>
            <w:vAlign w:val="center"/>
            <w:hideMark/>
          </w:tcPr>
          <w:p w14:paraId="27024938" w14:textId="77777777"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Transferencias inter-segmentos</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15F927D0" w14:textId="77777777" w:rsidR="004B6B45"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NICSP N° 18,</w:t>
            </w:r>
          </w:p>
          <w:p w14:paraId="1DBFB6E6" w14:textId="655200E4"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Párrafo 67.</w:t>
            </w:r>
          </w:p>
        </w:tc>
        <w:tc>
          <w:tcPr>
            <w:tcW w:w="1853" w:type="dxa"/>
            <w:tcBorders>
              <w:top w:val="single" w:sz="8" w:space="0" w:color="auto"/>
              <w:left w:val="nil"/>
              <w:bottom w:val="single" w:sz="8" w:space="0" w:color="auto"/>
              <w:right w:val="single" w:sz="8" w:space="0" w:color="auto"/>
            </w:tcBorders>
            <w:shd w:val="clear" w:color="auto" w:fill="auto"/>
            <w:vAlign w:val="center"/>
            <w:hideMark/>
          </w:tcPr>
          <w:p w14:paraId="5ED848F4"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w:t>
            </w:r>
          </w:p>
        </w:tc>
      </w:tr>
    </w:tbl>
    <w:p w14:paraId="12790924" w14:textId="376FDA0A" w:rsidR="004B6B45" w:rsidRDefault="004B6B45" w:rsidP="004B6B45">
      <w:pPr>
        <w:pStyle w:val="Default"/>
        <w:ind w:left="1134" w:hanging="1134"/>
        <w:jc w:val="both"/>
        <w:rPr>
          <w:rFonts w:eastAsia="Arial"/>
          <w:b/>
          <w:sz w:val="22"/>
          <w:szCs w:val="22"/>
        </w:rPr>
      </w:pPr>
      <w:r w:rsidRPr="00F02F9D">
        <w:rPr>
          <w:rFonts w:eastAsia="Arial"/>
          <w:b/>
          <w:sz w:val="22"/>
          <w:szCs w:val="22"/>
        </w:rPr>
        <w:lastRenderedPageBreak/>
        <w:t>Política Contable</w:t>
      </w:r>
    </w:p>
    <w:p w14:paraId="778B76D8" w14:textId="6DDD1B64" w:rsidR="00A85169" w:rsidRDefault="00A85169" w:rsidP="002236BD">
      <w:pPr>
        <w:pStyle w:val="Default"/>
        <w:ind w:left="1134" w:hanging="1134"/>
        <w:jc w:val="both"/>
        <w:rPr>
          <w:sz w:val="22"/>
          <w:szCs w:val="22"/>
          <w:lang w:val="es-CR"/>
        </w:rPr>
      </w:pPr>
    </w:p>
    <w:p w14:paraId="3FB2F85C" w14:textId="6BA52AA0" w:rsidR="00A85169" w:rsidRPr="00A85169" w:rsidRDefault="00934E58" w:rsidP="002236BD">
      <w:pPr>
        <w:pStyle w:val="Default"/>
        <w:ind w:left="1134" w:hanging="1134"/>
        <w:jc w:val="both"/>
        <w:rPr>
          <w:sz w:val="22"/>
          <w:szCs w:val="22"/>
          <w:lang w:val="es-CR"/>
        </w:rPr>
      </w:pPr>
      <w:r>
        <w:rPr>
          <w:sz w:val="23"/>
          <w:szCs w:val="23"/>
          <w:lang w:val="es-CR"/>
        </w:rPr>
        <w:t>6.90.0.01</w:t>
      </w:r>
      <w:r>
        <w:rPr>
          <w:sz w:val="23"/>
          <w:szCs w:val="23"/>
          <w:lang w:val="es-CR"/>
        </w:rPr>
        <w:tab/>
      </w:r>
      <w:r w:rsidR="00A85169" w:rsidRPr="00A85169">
        <w:rPr>
          <w:sz w:val="23"/>
          <w:szCs w:val="23"/>
          <w:lang w:val="es-CR"/>
        </w:rPr>
        <w:t>Al medir e informar sobre el ingreso del segmento procedente de transacciones con otros segmentos, los precios de venta inter-segmentos (o transferencias inter-segmentos) deben fijarse sobre las mismas bases en que ellas se produjeron. Tanto las bases de fijación de los precios inter-segmentos, como cualquier cambio en los criterios utilizados, deben ser objeto de revelación en los EEFF.</w:t>
      </w:r>
    </w:p>
    <w:p w14:paraId="713E64BA" w14:textId="77777777" w:rsidR="00A85169" w:rsidRDefault="00A85169" w:rsidP="002236BD">
      <w:pPr>
        <w:pStyle w:val="Default"/>
        <w:ind w:left="1134" w:hanging="1134"/>
        <w:jc w:val="both"/>
        <w:rPr>
          <w:sz w:val="22"/>
          <w:szCs w:val="22"/>
          <w:lang w:val="es-CR"/>
        </w:rPr>
      </w:pPr>
    </w:p>
    <w:p w14:paraId="4EE56E6F" w14:textId="77777777" w:rsidR="004B6B45" w:rsidRDefault="004B6B45" w:rsidP="002236BD">
      <w:pPr>
        <w:pStyle w:val="Default"/>
        <w:ind w:left="1134" w:hanging="1134"/>
        <w:jc w:val="both"/>
        <w:rPr>
          <w:sz w:val="22"/>
          <w:szCs w:val="22"/>
          <w:lang w:val="es-CR"/>
        </w:rPr>
      </w:pPr>
    </w:p>
    <w:tbl>
      <w:tblPr>
        <w:tblW w:w="9354" w:type="dxa"/>
        <w:tblLook w:val="04A0" w:firstRow="1" w:lastRow="0" w:firstColumn="1" w:lastColumn="0" w:noHBand="0" w:noVBand="1"/>
      </w:tblPr>
      <w:tblGrid>
        <w:gridCol w:w="416"/>
        <w:gridCol w:w="708"/>
        <w:gridCol w:w="433"/>
        <w:gridCol w:w="15"/>
        <w:gridCol w:w="3675"/>
        <w:gridCol w:w="15"/>
        <w:gridCol w:w="2237"/>
        <w:gridCol w:w="15"/>
        <w:gridCol w:w="1832"/>
        <w:gridCol w:w="8"/>
      </w:tblGrid>
      <w:tr w:rsidR="00A85169" w:rsidRPr="00A85169" w14:paraId="3D3773BD" w14:textId="77777777" w:rsidTr="004B6B45">
        <w:trPr>
          <w:trHeight w:val="300"/>
        </w:trPr>
        <w:tc>
          <w:tcPr>
            <w:tcW w:w="1572"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D682BDC"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 / Política</w:t>
            </w:r>
          </w:p>
        </w:tc>
        <w:tc>
          <w:tcPr>
            <w:tcW w:w="369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0678CEF"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Concepto</w:t>
            </w:r>
          </w:p>
        </w:tc>
        <w:tc>
          <w:tcPr>
            <w:tcW w:w="4092" w:type="dxa"/>
            <w:gridSpan w:val="4"/>
            <w:tcBorders>
              <w:top w:val="single" w:sz="8" w:space="0" w:color="auto"/>
              <w:left w:val="nil"/>
              <w:bottom w:val="single" w:sz="8" w:space="0" w:color="auto"/>
              <w:right w:val="single" w:sz="8" w:space="0" w:color="000000"/>
            </w:tcBorders>
            <w:shd w:val="clear" w:color="000000" w:fill="203764"/>
            <w:vAlign w:val="center"/>
            <w:hideMark/>
          </w:tcPr>
          <w:p w14:paraId="2F9689F6"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Referencia</w:t>
            </w:r>
          </w:p>
        </w:tc>
      </w:tr>
      <w:tr w:rsidR="00A85169" w:rsidRPr="006E5442" w14:paraId="34D355A5" w14:textId="77777777" w:rsidTr="004B6B45">
        <w:trPr>
          <w:trHeight w:val="850"/>
        </w:trPr>
        <w:tc>
          <w:tcPr>
            <w:tcW w:w="1572" w:type="dxa"/>
            <w:gridSpan w:val="4"/>
            <w:vMerge/>
            <w:tcBorders>
              <w:top w:val="single" w:sz="8" w:space="0" w:color="auto"/>
              <w:left w:val="single" w:sz="8" w:space="0" w:color="auto"/>
              <w:bottom w:val="nil"/>
              <w:right w:val="single" w:sz="8" w:space="0" w:color="000000"/>
            </w:tcBorders>
            <w:vAlign w:val="center"/>
            <w:hideMark/>
          </w:tcPr>
          <w:p w14:paraId="135FFD8B" w14:textId="77777777" w:rsidR="00A85169" w:rsidRPr="00A85169" w:rsidRDefault="00A85169" w:rsidP="00A85169">
            <w:pPr>
              <w:rPr>
                <w:rFonts w:ascii="Arial Narrow" w:eastAsia="Times New Roman" w:hAnsi="Arial Narrow" w:cs="Calibri"/>
                <w:b/>
                <w:bCs/>
                <w:color w:val="FFFFFF"/>
                <w:sz w:val="22"/>
                <w:szCs w:val="22"/>
              </w:rPr>
            </w:pPr>
          </w:p>
        </w:tc>
        <w:tc>
          <w:tcPr>
            <w:tcW w:w="3690" w:type="dxa"/>
            <w:gridSpan w:val="2"/>
            <w:vMerge/>
            <w:tcBorders>
              <w:top w:val="single" w:sz="8" w:space="0" w:color="auto"/>
              <w:left w:val="single" w:sz="8" w:space="0" w:color="auto"/>
              <w:bottom w:val="nil"/>
              <w:right w:val="single" w:sz="8" w:space="0" w:color="auto"/>
            </w:tcBorders>
            <w:vAlign w:val="center"/>
            <w:hideMark/>
          </w:tcPr>
          <w:p w14:paraId="648E75D7" w14:textId="77777777" w:rsidR="00A85169" w:rsidRPr="00A85169" w:rsidRDefault="00A85169" w:rsidP="00A85169">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484BA9B9"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w:t>
            </w:r>
          </w:p>
        </w:tc>
        <w:tc>
          <w:tcPr>
            <w:tcW w:w="1840" w:type="dxa"/>
            <w:gridSpan w:val="2"/>
            <w:tcBorders>
              <w:top w:val="nil"/>
              <w:left w:val="nil"/>
              <w:bottom w:val="nil"/>
              <w:right w:val="single" w:sz="8" w:space="0" w:color="auto"/>
            </w:tcBorders>
            <w:shd w:val="clear" w:color="000000" w:fill="203764"/>
            <w:vAlign w:val="center"/>
            <w:hideMark/>
          </w:tcPr>
          <w:p w14:paraId="19BAF846" w14:textId="77777777" w:rsidR="00A85169" w:rsidRPr="00A85169" w:rsidRDefault="00A85169" w:rsidP="00A85169">
            <w:pPr>
              <w:jc w:val="center"/>
              <w:rPr>
                <w:rFonts w:ascii="Arial Narrow" w:eastAsia="Times New Roman" w:hAnsi="Arial Narrow" w:cs="Calibri"/>
                <w:b/>
                <w:bCs/>
                <w:color w:val="FFFFFF"/>
                <w:sz w:val="22"/>
                <w:szCs w:val="22"/>
                <w:lang w:val="es-CR"/>
              </w:rPr>
            </w:pPr>
            <w:r w:rsidRPr="00A85169">
              <w:rPr>
                <w:rFonts w:ascii="Arial Narrow" w:eastAsia="Times New Roman" w:hAnsi="Arial Narrow" w:cs="Calibri"/>
                <w:b/>
                <w:bCs/>
                <w:color w:val="FFFFFF"/>
                <w:sz w:val="22"/>
                <w:szCs w:val="22"/>
                <w:lang w:val="es-CR"/>
              </w:rPr>
              <w:t>Normativa técnica y disposiciones adicionales</w:t>
            </w:r>
          </w:p>
        </w:tc>
      </w:tr>
      <w:tr w:rsidR="00A85169" w:rsidRPr="00A85169" w14:paraId="5DCBF596" w14:textId="77777777" w:rsidTr="004B6B45">
        <w:trPr>
          <w:gridAfter w:val="1"/>
          <w:wAfter w:w="8"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8967F8"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4666471"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91</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17282A9B"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xml:space="preserve"> </w:t>
            </w:r>
          </w:p>
        </w:tc>
        <w:tc>
          <w:tcPr>
            <w:tcW w:w="3690" w:type="dxa"/>
            <w:gridSpan w:val="2"/>
            <w:tcBorders>
              <w:top w:val="single" w:sz="8" w:space="0" w:color="auto"/>
              <w:left w:val="nil"/>
              <w:bottom w:val="single" w:sz="8" w:space="0" w:color="auto"/>
              <w:right w:val="single" w:sz="8" w:space="0" w:color="auto"/>
            </w:tcBorders>
            <w:shd w:val="clear" w:color="auto" w:fill="auto"/>
            <w:vAlign w:val="center"/>
            <w:hideMark/>
          </w:tcPr>
          <w:p w14:paraId="7AF730FB" w14:textId="77777777" w:rsidR="00A85169" w:rsidRPr="00A85169" w:rsidRDefault="00A85169" w:rsidP="00A85169">
            <w:pPr>
              <w:jc w:val="both"/>
              <w:rPr>
                <w:rFonts w:ascii="Arial Narrow" w:eastAsia="Times New Roman" w:hAnsi="Arial Narrow" w:cs="Calibri"/>
                <w:b/>
                <w:bCs/>
                <w:color w:val="000000"/>
                <w:sz w:val="22"/>
                <w:szCs w:val="22"/>
                <w:lang w:val="es-CR"/>
              </w:rPr>
            </w:pPr>
            <w:r w:rsidRPr="00A85169">
              <w:rPr>
                <w:rFonts w:ascii="Arial Narrow" w:eastAsia="Times New Roman" w:hAnsi="Arial Narrow" w:cs="Calibri"/>
                <w:b/>
                <w:bCs/>
                <w:color w:val="000000"/>
                <w:sz w:val="22"/>
                <w:szCs w:val="22"/>
                <w:lang w:val="es-CR"/>
              </w:rPr>
              <w:t>No se consideran ingresos por segmento</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594BD273" w14:textId="77777777" w:rsidR="004B6B45"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NICSP N° 18,</w:t>
            </w:r>
          </w:p>
          <w:p w14:paraId="781F019E" w14:textId="53E6D37A"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Párrafo 27.</w:t>
            </w:r>
          </w:p>
        </w:tc>
        <w:tc>
          <w:tcPr>
            <w:tcW w:w="1847" w:type="dxa"/>
            <w:gridSpan w:val="2"/>
            <w:tcBorders>
              <w:top w:val="single" w:sz="8" w:space="0" w:color="auto"/>
              <w:left w:val="nil"/>
              <w:bottom w:val="single" w:sz="8" w:space="0" w:color="auto"/>
              <w:right w:val="single" w:sz="8" w:space="0" w:color="auto"/>
            </w:tcBorders>
            <w:shd w:val="clear" w:color="auto" w:fill="auto"/>
            <w:vAlign w:val="center"/>
            <w:hideMark/>
          </w:tcPr>
          <w:p w14:paraId="588E1517"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w:t>
            </w:r>
          </w:p>
        </w:tc>
      </w:tr>
    </w:tbl>
    <w:p w14:paraId="28A1776E" w14:textId="77777777" w:rsidR="00A85169" w:rsidRDefault="00A85169" w:rsidP="002236BD">
      <w:pPr>
        <w:pStyle w:val="Default"/>
        <w:ind w:left="1134" w:hanging="1134"/>
        <w:jc w:val="both"/>
        <w:rPr>
          <w:sz w:val="22"/>
          <w:szCs w:val="22"/>
          <w:lang w:val="es-CR"/>
        </w:rPr>
      </w:pPr>
    </w:p>
    <w:p w14:paraId="523AFB26" w14:textId="12CE95DB" w:rsidR="004B6B45" w:rsidRDefault="004B6B45" w:rsidP="004B6B45">
      <w:pPr>
        <w:pStyle w:val="Default"/>
        <w:ind w:left="1134" w:hanging="1134"/>
        <w:jc w:val="both"/>
        <w:rPr>
          <w:rFonts w:eastAsia="Arial"/>
          <w:b/>
          <w:sz w:val="22"/>
          <w:szCs w:val="22"/>
        </w:rPr>
      </w:pPr>
      <w:r w:rsidRPr="00F02F9D">
        <w:rPr>
          <w:rFonts w:eastAsia="Arial"/>
          <w:b/>
          <w:sz w:val="22"/>
          <w:szCs w:val="22"/>
        </w:rPr>
        <w:t>Política Contable</w:t>
      </w:r>
    </w:p>
    <w:p w14:paraId="3C06215F" w14:textId="77777777" w:rsidR="004B6B45" w:rsidRDefault="004B6B45" w:rsidP="002236BD">
      <w:pPr>
        <w:pStyle w:val="Default"/>
        <w:ind w:left="1134" w:hanging="1134"/>
        <w:jc w:val="both"/>
        <w:rPr>
          <w:sz w:val="22"/>
          <w:szCs w:val="22"/>
          <w:lang w:val="es-CR"/>
        </w:rPr>
      </w:pPr>
    </w:p>
    <w:p w14:paraId="28C3CAE2" w14:textId="423A8E14" w:rsidR="00A85169" w:rsidRDefault="00934E58" w:rsidP="00934E58">
      <w:pPr>
        <w:pStyle w:val="Default"/>
        <w:ind w:left="1134" w:hanging="1134"/>
        <w:jc w:val="both"/>
        <w:rPr>
          <w:sz w:val="22"/>
          <w:szCs w:val="22"/>
          <w:lang w:val="es-CR"/>
        </w:rPr>
      </w:pPr>
      <w:r>
        <w:rPr>
          <w:sz w:val="22"/>
          <w:szCs w:val="22"/>
          <w:lang w:val="es-CR"/>
        </w:rPr>
        <w:t>6.91.0.01</w:t>
      </w:r>
      <w:r>
        <w:rPr>
          <w:sz w:val="22"/>
          <w:szCs w:val="22"/>
          <w:lang w:val="es-CR"/>
        </w:rPr>
        <w:tab/>
      </w:r>
      <w:r w:rsidR="00A85169" w:rsidRPr="00934E58">
        <w:rPr>
          <w:sz w:val="22"/>
          <w:szCs w:val="22"/>
          <w:lang w:val="es-CR"/>
        </w:rPr>
        <w:t xml:space="preserve">No son considerados ingresos del segmento los siguientes: </w:t>
      </w:r>
    </w:p>
    <w:p w14:paraId="328FBCE8" w14:textId="77777777" w:rsidR="00934E58" w:rsidRPr="00934E58" w:rsidRDefault="00934E58" w:rsidP="00934E58">
      <w:pPr>
        <w:pStyle w:val="Default"/>
        <w:jc w:val="both"/>
        <w:rPr>
          <w:sz w:val="22"/>
          <w:szCs w:val="22"/>
          <w:lang w:val="es-CR"/>
        </w:rPr>
      </w:pPr>
    </w:p>
    <w:p w14:paraId="7A4B0375" w14:textId="5355F58F" w:rsidR="00A85169" w:rsidRPr="00934E58" w:rsidRDefault="00934E58">
      <w:pPr>
        <w:pStyle w:val="Default"/>
        <w:numPr>
          <w:ilvl w:val="0"/>
          <w:numId w:val="409"/>
        </w:numPr>
        <w:spacing w:after="120"/>
        <w:ind w:left="1418" w:hanging="284"/>
        <w:jc w:val="both"/>
        <w:rPr>
          <w:sz w:val="22"/>
          <w:szCs w:val="22"/>
          <w:lang w:val="es-CR"/>
        </w:rPr>
      </w:pPr>
      <w:r>
        <w:rPr>
          <w:sz w:val="22"/>
          <w:szCs w:val="22"/>
          <w:lang w:val="es-CR"/>
        </w:rPr>
        <w:t>L</w:t>
      </w:r>
      <w:r w:rsidR="00A85169" w:rsidRPr="00934E58">
        <w:rPr>
          <w:sz w:val="22"/>
          <w:szCs w:val="22"/>
          <w:lang w:val="es-CR"/>
        </w:rPr>
        <w:t xml:space="preserve">os ingresos por intereses o dividendos; </w:t>
      </w:r>
    </w:p>
    <w:p w14:paraId="2AD0AB06" w14:textId="6458BF78" w:rsidR="00A85169" w:rsidRPr="00934E58" w:rsidRDefault="00934E58">
      <w:pPr>
        <w:pStyle w:val="Default"/>
        <w:numPr>
          <w:ilvl w:val="0"/>
          <w:numId w:val="409"/>
        </w:numPr>
        <w:spacing w:after="120"/>
        <w:ind w:left="1418" w:hanging="284"/>
        <w:jc w:val="both"/>
        <w:rPr>
          <w:sz w:val="22"/>
          <w:szCs w:val="22"/>
          <w:lang w:val="es-CR"/>
        </w:rPr>
      </w:pPr>
      <w:r>
        <w:rPr>
          <w:sz w:val="22"/>
          <w:szCs w:val="22"/>
          <w:lang w:val="es-CR"/>
        </w:rPr>
        <w:t>L</w:t>
      </w:r>
      <w:r w:rsidR="00A85169" w:rsidRPr="00934E58">
        <w:rPr>
          <w:sz w:val="22"/>
          <w:szCs w:val="22"/>
          <w:lang w:val="es-CR"/>
        </w:rPr>
        <w:t xml:space="preserve">os que procedan de anticipos o préstamos a otros segmentos, salvo que las actividades del segmento sean de naturaleza financiera; y </w:t>
      </w:r>
    </w:p>
    <w:p w14:paraId="223DC10D" w14:textId="30A8BD9E" w:rsidR="00A85169" w:rsidRPr="00934E58" w:rsidRDefault="00934E58">
      <w:pPr>
        <w:pStyle w:val="Default"/>
        <w:numPr>
          <w:ilvl w:val="0"/>
          <w:numId w:val="409"/>
        </w:numPr>
        <w:ind w:left="1418" w:hanging="284"/>
        <w:jc w:val="both"/>
        <w:rPr>
          <w:sz w:val="22"/>
          <w:szCs w:val="22"/>
          <w:lang w:val="es-CR"/>
        </w:rPr>
      </w:pPr>
      <w:r>
        <w:rPr>
          <w:sz w:val="22"/>
          <w:szCs w:val="22"/>
          <w:lang w:val="es-CR"/>
        </w:rPr>
        <w:t>L</w:t>
      </w:r>
      <w:r w:rsidR="00A85169" w:rsidRPr="00934E58">
        <w:rPr>
          <w:sz w:val="22"/>
          <w:szCs w:val="22"/>
          <w:lang w:val="es-CR"/>
        </w:rPr>
        <w:t xml:space="preserve">as ganancias procedentes de ventas de inversiones o de las operaciones de rescate o extinción de una deuda, salvo que las actividades del segmento sean de naturaleza fundamentalmente financiera. </w:t>
      </w:r>
    </w:p>
    <w:p w14:paraId="2EB4D7F7" w14:textId="77777777" w:rsidR="00A85169" w:rsidRDefault="00A85169" w:rsidP="002236BD">
      <w:pPr>
        <w:pStyle w:val="Default"/>
        <w:ind w:left="1134" w:hanging="1134"/>
        <w:jc w:val="both"/>
        <w:rPr>
          <w:sz w:val="22"/>
          <w:szCs w:val="22"/>
          <w:lang w:val="es-CR"/>
        </w:rPr>
      </w:pPr>
    </w:p>
    <w:p w14:paraId="64A5B45C" w14:textId="77777777" w:rsidR="004B6B45" w:rsidRDefault="004B6B45" w:rsidP="002236BD">
      <w:pPr>
        <w:pStyle w:val="Default"/>
        <w:ind w:left="1134" w:hanging="1134"/>
        <w:jc w:val="both"/>
        <w:rPr>
          <w:sz w:val="22"/>
          <w:szCs w:val="22"/>
          <w:lang w:val="es-CR"/>
        </w:rPr>
      </w:pPr>
    </w:p>
    <w:p w14:paraId="76F476AE" w14:textId="77777777" w:rsidR="00A85169" w:rsidRDefault="00A85169"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8"/>
        <w:gridCol w:w="2253"/>
        <w:gridCol w:w="1855"/>
      </w:tblGrid>
      <w:tr w:rsidR="00A85169" w:rsidRPr="00A85169" w14:paraId="400F660C" w14:textId="77777777" w:rsidTr="004B6B45">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96FCD68"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 / Política</w:t>
            </w:r>
          </w:p>
        </w:tc>
        <w:tc>
          <w:tcPr>
            <w:tcW w:w="3688" w:type="dxa"/>
            <w:vMerge w:val="restart"/>
            <w:tcBorders>
              <w:top w:val="single" w:sz="8" w:space="0" w:color="auto"/>
              <w:left w:val="single" w:sz="8" w:space="0" w:color="auto"/>
              <w:bottom w:val="nil"/>
              <w:right w:val="single" w:sz="8" w:space="0" w:color="auto"/>
            </w:tcBorders>
            <w:shd w:val="clear" w:color="000000" w:fill="203764"/>
            <w:vAlign w:val="center"/>
            <w:hideMark/>
          </w:tcPr>
          <w:p w14:paraId="01280E17"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Concepto</w:t>
            </w:r>
          </w:p>
        </w:tc>
        <w:tc>
          <w:tcPr>
            <w:tcW w:w="4108" w:type="dxa"/>
            <w:gridSpan w:val="2"/>
            <w:tcBorders>
              <w:top w:val="single" w:sz="8" w:space="0" w:color="auto"/>
              <w:left w:val="nil"/>
              <w:bottom w:val="single" w:sz="8" w:space="0" w:color="auto"/>
              <w:right w:val="single" w:sz="8" w:space="0" w:color="000000"/>
            </w:tcBorders>
            <w:shd w:val="clear" w:color="000000" w:fill="203764"/>
            <w:vAlign w:val="center"/>
            <w:hideMark/>
          </w:tcPr>
          <w:p w14:paraId="78B12CC4"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Referencia</w:t>
            </w:r>
          </w:p>
        </w:tc>
      </w:tr>
      <w:tr w:rsidR="00A85169" w:rsidRPr="006E5442" w14:paraId="277F7732" w14:textId="77777777" w:rsidTr="004B6B45">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29CAAFB4" w14:textId="77777777" w:rsidR="00A85169" w:rsidRPr="00A85169" w:rsidRDefault="00A85169" w:rsidP="00A85169">
            <w:pPr>
              <w:rPr>
                <w:rFonts w:ascii="Arial Narrow" w:eastAsia="Times New Roman" w:hAnsi="Arial Narrow" w:cs="Calibri"/>
                <w:b/>
                <w:bCs/>
                <w:color w:val="FFFFFF"/>
                <w:sz w:val="22"/>
                <w:szCs w:val="22"/>
              </w:rPr>
            </w:pPr>
          </w:p>
        </w:tc>
        <w:tc>
          <w:tcPr>
            <w:tcW w:w="3688" w:type="dxa"/>
            <w:vMerge/>
            <w:tcBorders>
              <w:top w:val="single" w:sz="8" w:space="0" w:color="auto"/>
              <w:left w:val="single" w:sz="8" w:space="0" w:color="auto"/>
              <w:bottom w:val="nil"/>
              <w:right w:val="single" w:sz="8" w:space="0" w:color="auto"/>
            </w:tcBorders>
            <w:vAlign w:val="center"/>
            <w:hideMark/>
          </w:tcPr>
          <w:p w14:paraId="5FC361F5" w14:textId="77777777" w:rsidR="00A85169" w:rsidRPr="00A85169" w:rsidRDefault="00A85169" w:rsidP="00A85169">
            <w:pPr>
              <w:rPr>
                <w:rFonts w:ascii="Arial Narrow" w:eastAsia="Times New Roman" w:hAnsi="Arial Narrow" w:cs="Calibri"/>
                <w:b/>
                <w:bCs/>
                <w:color w:val="FFFFFF"/>
                <w:sz w:val="22"/>
                <w:szCs w:val="22"/>
              </w:rPr>
            </w:pPr>
          </w:p>
        </w:tc>
        <w:tc>
          <w:tcPr>
            <w:tcW w:w="2253" w:type="dxa"/>
            <w:tcBorders>
              <w:top w:val="nil"/>
              <w:left w:val="nil"/>
              <w:bottom w:val="nil"/>
              <w:right w:val="single" w:sz="8" w:space="0" w:color="auto"/>
            </w:tcBorders>
            <w:shd w:val="clear" w:color="000000" w:fill="203764"/>
            <w:vAlign w:val="center"/>
            <w:hideMark/>
          </w:tcPr>
          <w:p w14:paraId="6591DE7A" w14:textId="77777777" w:rsidR="00A85169" w:rsidRPr="00A85169" w:rsidRDefault="00A85169" w:rsidP="00A85169">
            <w:pPr>
              <w:jc w:val="center"/>
              <w:rPr>
                <w:rFonts w:ascii="Arial Narrow" w:eastAsia="Times New Roman" w:hAnsi="Arial Narrow" w:cs="Calibri"/>
                <w:b/>
                <w:bCs/>
                <w:color w:val="FFFFFF"/>
                <w:sz w:val="22"/>
                <w:szCs w:val="22"/>
              </w:rPr>
            </w:pPr>
            <w:r w:rsidRPr="00A85169">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2810CC6F" w14:textId="77777777" w:rsidR="00A85169" w:rsidRPr="00A85169" w:rsidRDefault="00A85169" w:rsidP="00A85169">
            <w:pPr>
              <w:jc w:val="center"/>
              <w:rPr>
                <w:rFonts w:ascii="Arial Narrow" w:eastAsia="Times New Roman" w:hAnsi="Arial Narrow" w:cs="Calibri"/>
                <w:b/>
                <w:bCs/>
                <w:color w:val="FFFFFF"/>
                <w:sz w:val="22"/>
                <w:szCs w:val="22"/>
                <w:lang w:val="es-CR"/>
              </w:rPr>
            </w:pPr>
            <w:r w:rsidRPr="00A85169">
              <w:rPr>
                <w:rFonts w:ascii="Arial Narrow" w:eastAsia="Times New Roman" w:hAnsi="Arial Narrow" w:cs="Calibri"/>
                <w:b/>
                <w:bCs/>
                <w:color w:val="FFFFFF"/>
                <w:sz w:val="22"/>
                <w:szCs w:val="22"/>
                <w:lang w:val="es-CR"/>
              </w:rPr>
              <w:t>Normativa técnica y disposiciones adicionales</w:t>
            </w:r>
          </w:p>
        </w:tc>
      </w:tr>
      <w:tr w:rsidR="00A85169" w:rsidRPr="00A85169" w14:paraId="46DDE0FC" w14:textId="77777777" w:rsidTr="004B6B4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0C8DD5"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CAA07F5"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92</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02002B35"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xml:space="preserve"> </w:t>
            </w:r>
          </w:p>
        </w:tc>
        <w:tc>
          <w:tcPr>
            <w:tcW w:w="3688" w:type="dxa"/>
            <w:tcBorders>
              <w:top w:val="single" w:sz="8" w:space="0" w:color="auto"/>
              <w:left w:val="nil"/>
              <w:bottom w:val="single" w:sz="8" w:space="0" w:color="auto"/>
              <w:right w:val="single" w:sz="8" w:space="0" w:color="auto"/>
            </w:tcBorders>
            <w:shd w:val="clear" w:color="auto" w:fill="auto"/>
            <w:vAlign w:val="center"/>
            <w:hideMark/>
          </w:tcPr>
          <w:p w14:paraId="5B8644A1" w14:textId="34191484"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xml:space="preserve">Gasto por </w:t>
            </w:r>
            <w:r w:rsidR="00934E58">
              <w:rPr>
                <w:rFonts w:ascii="Arial Narrow" w:eastAsia="Times New Roman" w:hAnsi="Arial Narrow" w:cs="Calibri"/>
                <w:b/>
                <w:bCs/>
                <w:color w:val="000000"/>
                <w:sz w:val="22"/>
                <w:szCs w:val="22"/>
              </w:rPr>
              <w:t>segment</w:t>
            </w:r>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1CD2738B" w14:textId="77777777" w:rsidR="004B6B45"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NICSP N° 18,</w:t>
            </w:r>
          </w:p>
          <w:p w14:paraId="4903AD0E" w14:textId="3E429ECA" w:rsidR="00A85169" w:rsidRPr="00A85169" w:rsidRDefault="00A85169" w:rsidP="00A85169">
            <w:pPr>
              <w:jc w:val="both"/>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Párrafo 27.</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2D12D764" w14:textId="77777777" w:rsidR="00A85169" w:rsidRPr="00A85169" w:rsidRDefault="00A85169" w:rsidP="00A85169">
            <w:pPr>
              <w:jc w:val="center"/>
              <w:rPr>
                <w:rFonts w:ascii="Arial Narrow" w:eastAsia="Times New Roman" w:hAnsi="Arial Narrow" w:cs="Calibri"/>
                <w:b/>
                <w:bCs/>
                <w:color w:val="000000"/>
                <w:sz w:val="22"/>
                <w:szCs w:val="22"/>
              </w:rPr>
            </w:pPr>
            <w:r w:rsidRPr="00A85169">
              <w:rPr>
                <w:rFonts w:ascii="Arial Narrow" w:eastAsia="Times New Roman" w:hAnsi="Arial Narrow" w:cs="Calibri"/>
                <w:b/>
                <w:bCs/>
                <w:color w:val="000000"/>
                <w:sz w:val="22"/>
                <w:szCs w:val="22"/>
              </w:rPr>
              <w:t> </w:t>
            </w:r>
          </w:p>
        </w:tc>
      </w:tr>
    </w:tbl>
    <w:p w14:paraId="2B480B16" w14:textId="77777777" w:rsidR="00A85169" w:rsidRDefault="00A85169" w:rsidP="002236BD">
      <w:pPr>
        <w:pStyle w:val="Default"/>
        <w:ind w:left="1134" w:hanging="1134"/>
        <w:jc w:val="both"/>
        <w:rPr>
          <w:sz w:val="22"/>
          <w:szCs w:val="22"/>
          <w:lang w:val="es-CR"/>
        </w:rPr>
      </w:pPr>
    </w:p>
    <w:p w14:paraId="3BAF2E24" w14:textId="341C365C" w:rsidR="004B6B45" w:rsidRDefault="004B6B45" w:rsidP="004B6B45">
      <w:pPr>
        <w:pStyle w:val="Default"/>
        <w:ind w:left="1134" w:hanging="1134"/>
        <w:jc w:val="both"/>
        <w:rPr>
          <w:rFonts w:eastAsia="Arial"/>
          <w:b/>
          <w:sz w:val="22"/>
          <w:szCs w:val="22"/>
        </w:rPr>
      </w:pPr>
      <w:r w:rsidRPr="00F02F9D">
        <w:rPr>
          <w:rFonts w:eastAsia="Arial"/>
          <w:b/>
          <w:sz w:val="22"/>
          <w:szCs w:val="22"/>
        </w:rPr>
        <w:t>Política Contable</w:t>
      </w:r>
    </w:p>
    <w:p w14:paraId="1153173D" w14:textId="77777777" w:rsidR="004B6B45" w:rsidRDefault="004B6B45" w:rsidP="002236BD">
      <w:pPr>
        <w:pStyle w:val="Default"/>
        <w:ind w:left="1134" w:hanging="1134"/>
        <w:jc w:val="both"/>
        <w:rPr>
          <w:sz w:val="22"/>
          <w:szCs w:val="22"/>
          <w:lang w:val="es-CR"/>
        </w:rPr>
      </w:pPr>
    </w:p>
    <w:p w14:paraId="2D666154" w14:textId="63EE96AE" w:rsidR="00A85169" w:rsidRPr="00EE5BB0" w:rsidRDefault="00934E58" w:rsidP="002236BD">
      <w:pPr>
        <w:pStyle w:val="Default"/>
        <w:ind w:left="1134" w:hanging="1134"/>
        <w:jc w:val="both"/>
        <w:rPr>
          <w:sz w:val="22"/>
          <w:szCs w:val="22"/>
          <w:lang w:val="es-CR"/>
        </w:rPr>
      </w:pPr>
      <w:r>
        <w:rPr>
          <w:sz w:val="23"/>
          <w:szCs w:val="23"/>
          <w:lang w:val="es-CR"/>
        </w:rPr>
        <w:t>6.92.0.01</w:t>
      </w:r>
      <w:r>
        <w:rPr>
          <w:sz w:val="23"/>
          <w:szCs w:val="23"/>
          <w:lang w:val="es-CR"/>
        </w:rPr>
        <w:tab/>
      </w:r>
      <w:r w:rsidR="00EE5BB0" w:rsidRPr="00EE5BB0">
        <w:rPr>
          <w:sz w:val="23"/>
          <w:szCs w:val="23"/>
          <w:lang w:val="es-CR"/>
        </w:rPr>
        <w:t xml:space="preserve">Están constituidos por los gastos derivados de las actividades de operación del </w:t>
      </w:r>
      <w:r>
        <w:rPr>
          <w:sz w:val="23"/>
          <w:szCs w:val="23"/>
          <w:lang w:val="es-CR"/>
        </w:rPr>
        <w:t>Segmento</w:t>
      </w:r>
      <w:r w:rsidR="00EE5BB0" w:rsidRPr="00EE5BB0">
        <w:rPr>
          <w:sz w:val="23"/>
          <w:szCs w:val="23"/>
          <w:lang w:val="es-CR"/>
        </w:rPr>
        <w:t xml:space="preserve">, que le son directamente atribuibles, más la parte relevante de gastos que puedan ser distribuidos al segmento utilizando una base razonable de reparto, y comprende tanto los gastos relativos al suministro de bienes y servicios a terceros externos, como los gastos relacionados con las transacciones efectuadas con otros segmentos de la misma entidad. También se incluirá de la misma forma, la parte de los gastos que correspondan a la entidad en los negocios conjuntos, que se contabilizan por el método de participación, de acuerdo con la NICSP N° 37 </w:t>
      </w:r>
      <w:r w:rsidR="00EE5BB0" w:rsidRPr="00EE5BB0">
        <w:rPr>
          <w:i/>
          <w:iCs/>
          <w:sz w:val="23"/>
          <w:szCs w:val="23"/>
          <w:lang w:val="es-CR"/>
        </w:rPr>
        <w:t>Acuerdos Conjuntos”</w:t>
      </w:r>
      <w:r w:rsidR="00EE5BB0" w:rsidRPr="00EE5BB0">
        <w:rPr>
          <w:sz w:val="23"/>
          <w:szCs w:val="23"/>
          <w:lang w:val="es-CR"/>
        </w:rPr>
        <w:t>.</w:t>
      </w:r>
    </w:p>
    <w:p w14:paraId="52E07A46" w14:textId="77777777" w:rsidR="00A85169" w:rsidRDefault="00A85169" w:rsidP="002236BD">
      <w:pPr>
        <w:pStyle w:val="Default"/>
        <w:ind w:left="1134" w:hanging="1134"/>
        <w:jc w:val="both"/>
        <w:rPr>
          <w:sz w:val="22"/>
          <w:szCs w:val="22"/>
          <w:lang w:val="es-CR"/>
        </w:rPr>
      </w:pPr>
    </w:p>
    <w:p w14:paraId="3D179D6F" w14:textId="77777777" w:rsidR="004B6B45" w:rsidRDefault="004B6B45" w:rsidP="002236BD">
      <w:pPr>
        <w:pStyle w:val="Default"/>
        <w:ind w:left="1134" w:hanging="1134"/>
        <w:jc w:val="both"/>
        <w:rPr>
          <w:sz w:val="22"/>
          <w:szCs w:val="22"/>
          <w:lang w:val="es-CR"/>
        </w:rPr>
      </w:pPr>
    </w:p>
    <w:p w14:paraId="5B267626" w14:textId="77777777" w:rsidR="004B6B45" w:rsidRDefault="004B6B45" w:rsidP="002236BD">
      <w:pPr>
        <w:pStyle w:val="Default"/>
        <w:ind w:left="1134" w:hanging="1134"/>
        <w:jc w:val="both"/>
        <w:rPr>
          <w:sz w:val="22"/>
          <w:szCs w:val="22"/>
          <w:lang w:val="es-CR"/>
        </w:rPr>
      </w:pPr>
    </w:p>
    <w:p w14:paraId="3E2652B6" w14:textId="77777777" w:rsidR="00A85169" w:rsidRDefault="00A85169"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33"/>
        <w:gridCol w:w="7"/>
        <w:gridCol w:w="3683"/>
        <w:gridCol w:w="7"/>
        <w:gridCol w:w="2245"/>
        <w:gridCol w:w="7"/>
        <w:gridCol w:w="1840"/>
      </w:tblGrid>
      <w:tr w:rsidR="00934E58" w:rsidRPr="00934E58" w14:paraId="74849359" w14:textId="77777777" w:rsidTr="004B6B45">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0ABA9EA2" w14:textId="77777777" w:rsidR="00934E58" w:rsidRPr="00934E58" w:rsidRDefault="00934E58" w:rsidP="00934E58">
            <w:pPr>
              <w:jc w:val="center"/>
              <w:rPr>
                <w:rFonts w:ascii="Arial Narrow" w:eastAsia="Times New Roman" w:hAnsi="Arial Narrow" w:cs="Calibri"/>
                <w:b/>
                <w:bCs/>
                <w:color w:val="FFFFFF"/>
                <w:sz w:val="22"/>
                <w:szCs w:val="22"/>
              </w:rPr>
            </w:pPr>
            <w:r w:rsidRPr="00934E58">
              <w:rPr>
                <w:rFonts w:ascii="Arial Narrow" w:eastAsia="Times New Roman" w:hAnsi="Arial Narrow" w:cs="Calibri"/>
                <w:b/>
                <w:bCs/>
                <w:color w:val="FFFFFF"/>
                <w:sz w:val="22"/>
                <w:szCs w:val="22"/>
              </w:rPr>
              <w:lastRenderedPageBreak/>
              <w:t>Norma / Política</w:t>
            </w:r>
          </w:p>
        </w:tc>
        <w:tc>
          <w:tcPr>
            <w:tcW w:w="3690"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46471C9" w14:textId="77777777" w:rsidR="00934E58" w:rsidRPr="00934E58" w:rsidRDefault="00934E58" w:rsidP="00934E58">
            <w:pPr>
              <w:jc w:val="center"/>
              <w:rPr>
                <w:rFonts w:ascii="Arial Narrow" w:eastAsia="Times New Roman" w:hAnsi="Arial Narrow" w:cs="Calibri"/>
                <w:b/>
                <w:bCs/>
                <w:color w:val="FFFFFF"/>
                <w:sz w:val="22"/>
                <w:szCs w:val="22"/>
              </w:rPr>
            </w:pPr>
            <w:r w:rsidRPr="00934E58">
              <w:rPr>
                <w:rFonts w:ascii="Arial Narrow" w:eastAsia="Times New Roman" w:hAnsi="Arial Narrow" w:cs="Calibri"/>
                <w:b/>
                <w:bCs/>
                <w:color w:val="FFFFFF"/>
                <w:sz w:val="22"/>
                <w:szCs w:val="22"/>
              </w:rPr>
              <w:t>Concepto</w:t>
            </w:r>
          </w:p>
        </w:tc>
        <w:tc>
          <w:tcPr>
            <w:tcW w:w="4092" w:type="dxa"/>
            <w:gridSpan w:val="3"/>
            <w:tcBorders>
              <w:top w:val="single" w:sz="8" w:space="0" w:color="auto"/>
              <w:left w:val="nil"/>
              <w:bottom w:val="single" w:sz="8" w:space="0" w:color="auto"/>
              <w:right w:val="single" w:sz="8" w:space="0" w:color="000000"/>
            </w:tcBorders>
            <w:shd w:val="clear" w:color="000000" w:fill="203764"/>
            <w:vAlign w:val="center"/>
            <w:hideMark/>
          </w:tcPr>
          <w:p w14:paraId="0C6E0A0F" w14:textId="77777777" w:rsidR="00934E58" w:rsidRPr="00934E58" w:rsidRDefault="00934E58" w:rsidP="00934E58">
            <w:pPr>
              <w:jc w:val="center"/>
              <w:rPr>
                <w:rFonts w:ascii="Arial Narrow" w:eastAsia="Times New Roman" w:hAnsi="Arial Narrow" w:cs="Calibri"/>
                <w:b/>
                <w:bCs/>
                <w:color w:val="FFFFFF"/>
                <w:sz w:val="22"/>
                <w:szCs w:val="22"/>
              </w:rPr>
            </w:pPr>
            <w:r w:rsidRPr="00934E58">
              <w:rPr>
                <w:rFonts w:ascii="Arial Narrow" w:eastAsia="Times New Roman" w:hAnsi="Arial Narrow" w:cs="Calibri"/>
                <w:b/>
                <w:bCs/>
                <w:color w:val="FFFFFF"/>
                <w:sz w:val="22"/>
                <w:szCs w:val="22"/>
              </w:rPr>
              <w:t>Referencia</w:t>
            </w:r>
          </w:p>
        </w:tc>
      </w:tr>
      <w:tr w:rsidR="00934E58" w:rsidRPr="006E5442" w14:paraId="1276B396" w14:textId="77777777" w:rsidTr="004B6B45">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1D15BC7D" w14:textId="77777777" w:rsidR="00934E58" w:rsidRPr="00934E58" w:rsidRDefault="00934E58" w:rsidP="00934E58">
            <w:pPr>
              <w:rPr>
                <w:rFonts w:ascii="Arial Narrow" w:eastAsia="Times New Roman" w:hAnsi="Arial Narrow" w:cs="Calibri"/>
                <w:b/>
                <w:bCs/>
                <w:color w:val="FFFFFF"/>
                <w:sz w:val="22"/>
                <w:szCs w:val="22"/>
              </w:rPr>
            </w:pPr>
          </w:p>
        </w:tc>
        <w:tc>
          <w:tcPr>
            <w:tcW w:w="3690" w:type="dxa"/>
            <w:gridSpan w:val="2"/>
            <w:vMerge/>
            <w:tcBorders>
              <w:top w:val="single" w:sz="8" w:space="0" w:color="auto"/>
              <w:left w:val="single" w:sz="8" w:space="0" w:color="auto"/>
              <w:bottom w:val="nil"/>
              <w:right w:val="single" w:sz="8" w:space="0" w:color="auto"/>
            </w:tcBorders>
            <w:vAlign w:val="center"/>
            <w:hideMark/>
          </w:tcPr>
          <w:p w14:paraId="65ECC453" w14:textId="77777777" w:rsidR="00934E58" w:rsidRPr="00934E58" w:rsidRDefault="00934E58" w:rsidP="00934E58">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473497D7" w14:textId="77777777" w:rsidR="00934E58" w:rsidRPr="00934E58" w:rsidRDefault="00934E58" w:rsidP="00934E58">
            <w:pPr>
              <w:jc w:val="center"/>
              <w:rPr>
                <w:rFonts w:ascii="Arial Narrow" w:eastAsia="Times New Roman" w:hAnsi="Arial Narrow" w:cs="Calibri"/>
                <w:b/>
                <w:bCs/>
                <w:color w:val="FFFFFF"/>
                <w:sz w:val="22"/>
                <w:szCs w:val="22"/>
              </w:rPr>
            </w:pPr>
            <w:r w:rsidRPr="00934E58">
              <w:rPr>
                <w:rFonts w:ascii="Arial Narrow" w:eastAsia="Times New Roman" w:hAnsi="Arial Narrow" w:cs="Calibri"/>
                <w:b/>
                <w:bCs/>
                <w:color w:val="FFFFFF"/>
                <w:sz w:val="22"/>
                <w:szCs w:val="22"/>
              </w:rPr>
              <w:t>Norma</w:t>
            </w:r>
          </w:p>
        </w:tc>
        <w:tc>
          <w:tcPr>
            <w:tcW w:w="1840" w:type="dxa"/>
            <w:tcBorders>
              <w:top w:val="nil"/>
              <w:left w:val="nil"/>
              <w:bottom w:val="nil"/>
              <w:right w:val="single" w:sz="8" w:space="0" w:color="auto"/>
            </w:tcBorders>
            <w:shd w:val="clear" w:color="000000" w:fill="203764"/>
            <w:vAlign w:val="center"/>
            <w:hideMark/>
          </w:tcPr>
          <w:p w14:paraId="47B1FE54" w14:textId="77777777" w:rsidR="00934E58" w:rsidRPr="00934E58" w:rsidRDefault="00934E58" w:rsidP="00934E58">
            <w:pPr>
              <w:jc w:val="center"/>
              <w:rPr>
                <w:rFonts w:ascii="Arial Narrow" w:eastAsia="Times New Roman" w:hAnsi="Arial Narrow" w:cs="Calibri"/>
                <w:b/>
                <w:bCs/>
                <w:color w:val="FFFFFF"/>
                <w:sz w:val="22"/>
                <w:szCs w:val="22"/>
                <w:lang w:val="es-CR"/>
              </w:rPr>
            </w:pPr>
            <w:r w:rsidRPr="00934E58">
              <w:rPr>
                <w:rFonts w:ascii="Arial Narrow" w:eastAsia="Times New Roman" w:hAnsi="Arial Narrow" w:cs="Calibri"/>
                <w:b/>
                <w:bCs/>
                <w:color w:val="FFFFFF"/>
                <w:sz w:val="22"/>
                <w:szCs w:val="22"/>
                <w:lang w:val="es-CR"/>
              </w:rPr>
              <w:t>Normativa técnica y disposiciones adicionales</w:t>
            </w:r>
          </w:p>
        </w:tc>
      </w:tr>
      <w:tr w:rsidR="00934E58" w:rsidRPr="00934E58" w14:paraId="672F50B7" w14:textId="77777777" w:rsidTr="004B6B4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D43783" w14:textId="77777777" w:rsidR="00934E58" w:rsidRPr="00934E58" w:rsidRDefault="00934E58" w:rsidP="00934E58">
            <w:pPr>
              <w:jc w:val="center"/>
              <w:rPr>
                <w:rFonts w:ascii="Arial Narrow" w:eastAsia="Times New Roman" w:hAnsi="Arial Narrow" w:cs="Calibri"/>
                <w:b/>
                <w:bCs/>
                <w:color w:val="000000"/>
                <w:sz w:val="22"/>
                <w:szCs w:val="22"/>
              </w:rPr>
            </w:pPr>
            <w:r w:rsidRPr="00934E58">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E629B5E" w14:textId="77777777" w:rsidR="00934E58" w:rsidRPr="00934E58" w:rsidRDefault="00934E58" w:rsidP="00934E58">
            <w:pPr>
              <w:jc w:val="center"/>
              <w:rPr>
                <w:rFonts w:ascii="Arial Narrow" w:eastAsia="Times New Roman" w:hAnsi="Arial Narrow" w:cs="Calibri"/>
                <w:b/>
                <w:bCs/>
                <w:color w:val="000000"/>
                <w:sz w:val="22"/>
                <w:szCs w:val="22"/>
              </w:rPr>
            </w:pPr>
            <w:r w:rsidRPr="00934E58">
              <w:rPr>
                <w:rFonts w:ascii="Arial Narrow" w:eastAsia="Times New Roman" w:hAnsi="Arial Narrow" w:cs="Calibri"/>
                <w:b/>
                <w:bCs/>
                <w:color w:val="000000"/>
                <w:sz w:val="22"/>
                <w:szCs w:val="22"/>
              </w:rPr>
              <w:t>93</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07EF4BE1" w14:textId="77777777" w:rsidR="00934E58" w:rsidRPr="00934E58" w:rsidRDefault="00934E58" w:rsidP="00934E58">
            <w:pPr>
              <w:jc w:val="center"/>
              <w:rPr>
                <w:rFonts w:ascii="Arial Narrow" w:eastAsia="Times New Roman" w:hAnsi="Arial Narrow" w:cs="Calibri"/>
                <w:b/>
                <w:bCs/>
                <w:color w:val="000000"/>
                <w:sz w:val="22"/>
                <w:szCs w:val="22"/>
              </w:rPr>
            </w:pPr>
            <w:r w:rsidRPr="00934E58">
              <w:rPr>
                <w:rFonts w:ascii="Arial Narrow" w:eastAsia="Times New Roman" w:hAnsi="Arial Narrow" w:cs="Calibri"/>
                <w:b/>
                <w:bCs/>
                <w:color w:val="000000"/>
                <w:sz w:val="22"/>
                <w:szCs w:val="22"/>
              </w:rPr>
              <w:t xml:space="preserve"> </w:t>
            </w:r>
          </w:p>
        </w:tc>
        <w:tc>
          <w:tcPr>
            <w:tcW w:w="3690" w:type="dxa"/>
            <w:gridSpan w:val="2"/>
            <w:tcBorders>
              <w:top w:val="single" w:sz="8" w:space="0" w:color="auto"/>
              <w:left w:val="nil"/>
              <w:bottom w:val="single" w:sz="8" w:space="0" w:color="auto"/>
              <w:right w:val="single" w:sz="8" w:space="0" w:color="auto"/>
            </w:tcBorders>
            <w:shd w:val="clear" w:color="auto" w:fill="auto"/>
            <w:vAlign w:val="center"/>
            <w:hideMark/>
          </w:tcPr>
          <w:p w14:paraId="023EAB58" w14:textId="77777777" w:rsidR="00934E58" w:rsidRPr="00934E58" w:rsidRDefault="00934E58" w:rsidP="00934E58">
            <w:pPr>
              <w:jc w:val="both"/>
              <w:rPr>
                <w:rFonts w:ascii="Arial Narrow" w:eastAsia="Times New Roman" w:hAnsi="Arial Narrow" w:cs="Calibri"/>
                <w:b/>
                <w:bCs/>
                <w:color w:val="000000"/>
                <w:sz w:val="22"/>
                <w:szCs w:val="22"/>
                <w:lang w:val="es-CR"/>
              </w:rPr>
            </w:pPr>
            <w:r w:rsidRPr="00934E58">
              <w:rPr>
                <w:rFonts w:ascii="Arial Narrow" w:eastAsia="Times New Roman" w:hAnsi="Arial Narrow" w:cs="Calibri"/>
                <w:b/>
                <w:bCs/>
                <w:color w:val="000000"/>
                <w:sz w:val="22"/>
                <w:szCs w:val="22"/>
                <w:lang w:val="es-CR"/>
              </w:rPr>
              <w:t>No se consideran gastos por segmento</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4DD6DEB5" w14:textId="77777777" w:rsidR="004B6B45" w:rsidRDefault="00934E58" w:rsidP="00934E58">
            <w:pPr>
              <w:jc w:val="both"/>
              <w:rPr>
                <w:rFonts w:ascii="Arial Narrow" w:eastAsia="Times New Roman" w:hAnsi="Arial Narrow" w:cs="Calibri"/>
                <w:b/>
                <w:bCs/>
                <w:color w:val="000000"/>
                <w:sz w:val="22"/>
                <w:szCs w:val="22"/>
              </w:rPr>
            </w:pPr>
            <w:r w:rsidRPr="00934E58">
              <w:rPr>
                <w:rFonts w:ascii="Arial Narrow" w:eastAsia="Times New Roman" w:hAnsi="Arial Narrow" w:cs="Calibri"/>
                <w:b/>
                <w:bCs/>
                <w:color w:val="000000"/>
                <w:sz w:val="22"/>
                <w:szCs w:val="22"/>
              </w:rPr>
              <w:t>NICSP N° 18,</w:t>
            </w:r>
          </w:p>
          <w:p w14:paraId="393FEFB7" w14:textId="4957F175" w:rsidR="00934E58" w:rsidRPr="00934E58" w:rsidRDefault="00934E58" w:rsidP="00934E58">
            <w:pPr>
              <w:jc w:val="both"/>
              <w:rPr>
                <w:rFonts w:ascii="Arial Narrow" w:eastAsia="Times New Roman" w:hAnsi="Arial Narrow" w:cs="Calibri"/>
                <w:b/>
                <w:bCs/>
                <w:color w:val="000000"/>
                <w:sz w:val="22"/>
                <w:szCs w:val="22"/>
              </w:rPr>
            </w:pPr>
            <w:r w:rsidRPr="00934E58">
              <w:rPr>
                <w:rFonts w:ascii="Arial Narrow" w:eastAsia="Times New Roman" w:hAnsi="Arial Narrow" w:cs="Calibri"/>
                <w:b/>
                <w:bCs/>
                <w:color w:val="000000"/>
                <w:sz w:val="22"/>
                <w:szCs w:val="22"/>
              </w:rPr>
              <w:t>Párrafo 27.</w:t>
            </w:r>
          </w:p>
        </w:tc>
        <w:tc>
          <w:tcPr>
            <w:tcW w:w="1847" w:type="dxa"/>
            <w:gridSpan w:val="2"/>
            <w:tcBorders>
              <w:top w:val="single" w:sz="8" w:space="0" w:color="auto"/>
              <w:left w:val="nil"/>
              <w:bottom w:val="single" w:sz="8" w:space="0" w:color="auto"/>
              <w:right w:val="single" w:sz="8" w:space="0" w:color="auto"/>
            </w:tcBorders>
            <w:shd w:val="clear" w:color="auto" w:fill="auto"/>
            <w:vAlign w:val="center"/>
            <w:hideMark/>
          </w:tcPr>
          <w:p w14:paraId="64DC016B" w14:textId="77777777" w:rsidR="00934E58" w:rsidRPr="00934E58" w:rsidRDefault="00934E58" w:rsidP="00934E58">
            <w:pPr>
              <w:jc w:val="center"/>
              <w:rPr>
                <w:rFonts w:ascii="Arial Narrow" w:eastAsia="Times New Roman" w:hAnsi="Arial Narrow" w:cs="Calibri"/>
                <w:b/>
                <w:bCs/>
                <w:color w:val="000000"/>
                <w:sz w:val="22"/>
                <w:szCs w:val="22"/>
              </w:rPr>
            </w:pPr>
            <w:r w:rsidRPr="00934E58">
              <w:rPr>
                <w:rFonts w:ascii="Arial Narrow" w:eastAsia="Times New Roman" w:hAnsi="Arial Narrow" w:cs="Calibri"/>
                <w:b/>
                <w:bCs/>
                <w:color w:val="000000"/>
                <w:sz w:val="22"/>
                <w:szCs w:val="22"/>
              </w:rPr>
              <w:t> </w:t>
            </w:r>
          </w:p>
        </w:tc>
      </w:tr>
    </w:tbl>
    <w:p w14:paraId="2F55EC54" w14:textId="77777777" w:rsidR="00A85169" w:rsidRDefault="00A85169" w:rsidP="002236BD">
      <w:pPr>
        <w:pStyle w:val="Default"/>
        <w:ind w:left="1134" w:hanging="1134"/>
        <w:jc w:val="both"/>
        <w:rPr>
          <w:sz w:val="22"/>
          <w:szCs w:val="22"/>
          <w:lang w:val="es-CR"/>
        </w:rPr>
      </w:pPr>
    </w:p>
    <w:p w14:paraId="74DC2333" w14:textId="4BE29D3D" w:rsidR="004B6B45" w:rsidRDefault="004B6B45" w:rsidP="004B6B45">
      <w:pPr>
        <w:pStyle w:val="Default"/>
        <w:ind w:left="1134" w:hanging="1134"/>
        <w:jc w:val="both"/>
        <w:rPr>
          <w:rFonts w:eastAsia="Arial"/>
          <w:b/>
          <w:sz w:val="22"/>
          <w:szCs w:val="22"/>
        </w:rPr>
      </w:pPr>
      <w:r w:rsidRPr="00F02F9D">
        <w:rPr>
          <w:rFonts w:eastAsia="Arial"/>
          <w:b/>
          <w:sz w:val="22"/>
          <w:szCs w:val="22"/>
        </w:rPr>
        <w:t>Política Contable</w:t>
      </w:r>
    </w:p>
    <w:p w14:paraId="7108ACDA" w14:textId="77777777" w:rsidR="004B6B45" w:rsidRDefault="004B6B45" w:rsidP="002236BD">
      <w:pPr>
        <w:pStyle w:val="Default"/>
        <w:ind w:left="1134" w:hanging="1134"/>
        <w:jc w:val="both"/>
        <w:rPr>
          <w:sz w:val="22"/>
          <w:szCs w:val="22"/>
          <w:lang w:val="es-CR"/>
        </w:rPr>
      </w:pPr>
    </w:p>
    <w:p w14:paraId="094AF620" w14:textId="18AB6E53" w:rsidR="00934E58" w:rsidRDefault="00934E58" w:rsidP="00934E58">
      <w:pPr>
        <w:pStyle w:val="Default"/>
        <w:ind w:left="1134" w:hanging="1134"/>
        <w:jc w:val="both"/>
        <w:rPr>
          <w:sz w:val="22"/>
          <w:szCs w:val="22"/>
          <w:lang w:val="es-CR"/>
        </w:rPr>
      </w:pPr>
      <w:r>
        <w:rPr>
          <w:sz w:val="22"/>
          <w:szCs w:val="22"/>
          <w:lang w:val="es-CR"/>
        </w:rPr>
        <w:t>6.93.0.01</w:t>
      </w:r>
      <w:r>
        <w:rPr>
          <w:sz w:val="22"/>
          <w:szCs w:val="22"/>
          <w:lang w:val="es-CR"/>
        </w:rPr>
        <w:tab/>
      </w:r>
      <w:r w:rsidRPr="00934E58">
        <w:rPr>
          <w:sz w:val="22"/>
          <w:szCs w:val="22"/>
          <w:lang w:val="es-CR"/>
        </w:rPr>
        <w:t>No son considerados gastos del segmento los siguientes:</w:t>
      </w:r>
    </w:p>
    <w:p w14:paraId="30D1D572" w14:textId="77777777" w:rsidR="00934E58" w:rsidRPr="00934E58" w:rsidRDefault="00934E58" w:rsidP="00934E58">
      <w:pPr>
        <w:pStyle w:val="Default"/>
        <w:ind w:left="1134" w:hanging="1134"/>
        <w:jc w:val="both"/>
        <w:rPr>
          <w:sz w:val="22"/>
          <w:szCs w:val="22"/>
          <w:lang w:val="es-CR"/>
        </w:rPr>
      </w:pPr>
    </w:p>
    <w:p w14:paraId="1BD0CCEB" w14:textId="7A3E40E0" w:rsidR="00934E58" w:rsidRPr="00934E58" w:rsidRDefault="00CE303F">
      <w:pPr>
        <w:pStyle w:val="Default"/>
        <w:numPr>
          <w:ilvl w:val="0"/>
          <w:numId w:val="412"/>
        </w:numPr>
        <w:spacing w:after="120"/>
        <w:ind w:left="1418" w:hanging="284"/>
        <w:jc w:val="both"/>
        <w:rPr>
          <w:sz w:val="22"/>
          <w:szCs w:val="22"/>
          <w:lang w:val="es-CR"/>
        </w:rPr>
      </w:pPr>
      <w:r>
        <w:rPr>
          <w:sz w:val="22"/>
          <w:szCs w:val="22"/>
          <w:lang w:val="es-CR"/>
        </w:rPr>
        <w:t>L</w:t>
      </w:r>
      <w:r w:rsidR="00934E58" w:rsidRPr="00934E58">
        <w:rPr>
          <w:sz w:val="22"/>
          <w:szCs w:val="22"/>
          <w:lang w:val="es-CR"/>
        </w:rPr>
        <w:t xml:space="preserve">os intereses, incluidos los que procedan de anticipos o préstamos de otros segmentos, salvo que las actividades del segmento sean de naturaleza fundamentalmente financiera; </w:t>
      </w:r>
    </w:p>
    <w:p w14:paraId="34521C0D" w14:textId="629C923F" w:rsidR="00934E58" w:rsidRPr="00934E58" w:rsidRDefault="00CE303F">
      <w:pPr>
        <w:pStyle w:val="Default"/>
        <w:numPr>
          <w:ilvl w:val="0"/>
          <w:numId w:val="412"/>
        </w:numPr>
        <w:spacing w:after="120"/>
        <w:ind w:left="1418" w:hanging="284"/>
        <w:jc w:val="both"/>
        <w:rPr>
          <w:sz w:val="22"/>
          <w:szCs w:val="22"/>
          <w:lang w:val="es-CR"/>
        </w:rPr>
      </w:pPr>
      <w:r>
        <w:rPr>
          <w:sz w:val="22"/>
          <w:szCs w:val="22"/>
          <w:lang w:val="es-CR"/>
        </w:rPr>
        <w:t>L</w:t>
      </w:r>
      <w:r w:rsidR="00934E58" w:rsidRPr="00934E58">
        <w:rPr>
          <w:sz w:val="22"/>
          <w:szCs w:val="22"/>
          <w:lang w:val="es-CR"/>
        </w:rPr>
        <w:t xml:space="preserve">as pérdidas procedentes de ventas de inversiones o de las operaciones de rescate o extinción de una deuda, salvo que las actividades del segmento sean de naturaleza fundamentalmente financiera; </w:t>
      </w:r>
    </w:p>
    <w:p w14:paraId="4D0AFFE7" w14:textId="05FC55C7" w:rsidR="00934E58" w:rsidRPr="00934E58" w:rsidRDefault="00CE303F">
      <w:pPr>
        <w:pStyle w:val="Default"/>
        <w:numPr>
          <w:ilvl w:val="0"/>
          <w:numId w:val="412"/>
        </w:numPr>
        <w:spacing w:after="120"/>
        <w:ind w:left="1418" w:hanging="284"/>
        <w:jc w:val="both"/>
        <w:rPr>
          <w:sz w:val="22"/>
          <w:szCs w:val="22"/>
          <w:lang w:val="es-CR"/>
        </w:rPr>
      </w:pPr>
      <w:r>
        <w:rPr>
          <w:sz w:val="22"/>
          <w:szCs w:val="22"/>
          <w:lang w:val="es-CR"/>
        </w:rPr>
        <w:t>L</w:t>
      </w:r>
      <w:r w:rsidR="00934E58" w:rsidRPr="00934E58">
        <w:rPr>
          <w:sz w:val="22"/>
          <w:szCs w:val="22"/>
          <w:lang w:val="es-CR"/>
        </w:rPr>
        <w:t xml:space="preserve">a participación de la entidad en resultados negativos netos o pérdidas de asociadas, negocios conjuntos u otras inversiones contabilizadas por el método de la participación; </w:t>
      </w:r>
    </w:p>
    <w:p w14:paraId="3A083150" w14:textId="06CF9039" w:rsidR="00934E58" w:rsidRPr="00934E58" w:rsidRDefault="00CE303F">
      <w:pPr>
        <w:pStyle w:val="Default"/>
        <w:numPr>
          <w:ilvl w:val="0"/>
          <w:numId w:val="412"/>
        </w:numPr>
        <w:spacing w:after="120"/>
        <w:ind w:left="1418" w:hanging="284"/>
        <w:jc w:val="both"/>
        <w:rPr>
          <w:sz w:val="22"/>
          <w:szCs w:val="22"/>
          <w:lang w:val="es-CR"/>
        </w:rPr>
      </w:pPr>
      <w:r>
        <w:rPr>
          <w:sz w:val="22"/>
          <w:szCs w:val="22"/>
          <w:lang w:val="es-CR"/>
        </w:rPr>
        <w:t>E</w:t>
      </w:r>
      <w:r w:rsidR="00934E58" w:rsidRPr="00934E58">
        <w:rPr>
          <w:sz w:val="22"/>
          <w:szCs w:val="22"/>
          <w:lang w:val="es-CR"/>
        </w:rPr>
        <w:t xml:space="preserve">l impuesto a las ganancias o gasto equivalente al impuesto a las ganancias, a los ingresos o a las utilidades que esté reconocido de conformidad con las normas de contabilidad respecto a las obligaciones de pagar el impuesto a las ganancias o equivalentes del mismo; o </w:t>
      </w:r>
    </w:p>
    <w:p w14:paraId="67588F38" w14:textId="47BB1ADF" w:rsidR="00934E58" w:rsidRPr="00934E58" w:rsidRDefault="00CE303F">
      <w:pPr>
        <w:pStyle w:val="Default"/>
        <w:numPr>
          <w:ilvl w:val="0"/>
          <w:numId w:val="412"/>
        </w:numPr>
        <w:ind w:left="1418" w:hanging="284"/>
        <w:jc w:val="both"/>
        <w:rPr>
          <w:sz w:val="22"/>
          <w:szCs w:val="22"/>
          <w:lang w:val="es-CR"/>
        </w:rPr>
      </w:pPr>
      <w:r>
        <w:rPr>
          <w:sz w:val="22"/>
          <w:szCs w:val="22"/>
          <w:lang w:val="es-CR"/>
        </w:rPr>
        <w:t>L</w:t>
      </w:r>
      <w:r w:rsidR="00934E58" w:rsidRPr="00934E58">
        <w:rPr>
          <w:sz w:val="22"/>
          <w:szCs w:val="22"/>
          <w:lang w:val="es-CR"/>
        </w:rPr>
        <w:t xml:space="preserve">os gastos generales de administración, los correspondientes a la sede central u otros gastos que se relacionan con el funcionamiento de la entidad en su conjunto. No obstante, en ocasiones existen costos incurridos al máximo nivel de la entidad por cuenta de un segmento. Tales costos serán gastos del segmento si están relacionados con sus actividades de operación y pueden serle directamente atribuidos o distribuidos según una base razonable de reparto. </w:t>
      </w:r>
    </w:p>
    <w:p w14:paraId="1BBAF50C" w14:textId="77777777" w:rsidR="00A85169" w:rsidRDefault="00A85169" w:rsidP="002236BD">
      <w:pPr>
        <w:pStyle w:val="Default"/>
        <w:ind w:left="1134" w:hanging="1134"/>
        <w:jc w:val="both"/>
        <w:rPr>
          <w:sz w:val="22"/>
          <w:szCs w:val="22"/>
          <w:lang w:val="es-CR"/>
        </w:rPr>
      </w:pPr>
    </w:p>
    <w:p w14:paraId="2FF34387" w14:textId="77777777" w:rsidR="00A85169" w:rsidRDefault="00A85169" w:rsidP="002236BD">
      <w:pPr>
        <w:pStyle w:val="Default"/>
        <w:ind w:left="1134" w:hanging="1134"/>
        <w:jc w:val="both"/>
        <w:rPr>
          <w:sz w:val="22"/>
          <w:szCs w:val="22"/>
          <w:lang w:val="es-CR"/>
        </w:rPr>
      </w:pPr>
    </w:p>
    <w:tbl>
      <w:tblPr>
        <w:tblW w:w="9356" w:type="dxa"/>
        <w:tblLook w:val="04A0" w:firstRow="1" w:lastRow="0" w:firstColumn="1" w:lastColumn="0" w:noHBand="0" w:noVBand="1"/>
      </w:tblPr>
      <w:tblGrid>
        <w:gridCol w:w="414"/>
        <w:gridCol w:w="852"/>
        <w:gridCol w:w="426"/>
        <w:gridCol w:w="10"/>
        <w:gridCol w:w="3622"/>
        <w:gridCol w:w="10"/>
        <w:gridCol w:w="2201"/>
        <w:gridCol w:w="10"/>
        <w:gridCol w:w="1801"/>
        <w:gridCol w:w="10"/>
      </w:tblGrid>
      <w:tr w:rsidR="00CE303F" w:rsidRPr="00CE303F" w14:paraId="69FC1A29" w14:textId="77777777" w:rsidTr="004B6B45">
        <w:trPr>
          <w:trHeight w:val="300"/>
        </w:trPr>
        <w:tc>
          <w:tcPr>
            <w:tcW w:w="1702"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00BFC5B1" w14:textId="77777777" w:rsidR="00CE303F" w:rsidRPr="00CE303F" w:rsidRDefault="00CE303F" w:rsidP="00CE303F">
            <w:pPr>
              <w:jc w:val="center"/>
              <w:rPr>
                <w:rFonts w:ascii="Arial Narrow" w:eastAsia="Times New Roman" w:hAnsi="Arial Narrow" w:cs="Calibri"/>
                <w:b/>
                <w:bCs/>
                <w:color w:val="FFFFFF"/>
                <w:sz w:val="22"/>
                <w:szCs w:val="22"/>
              </w:rPr>
            </w:pPr>
            <w:r w:rsidRPr="00CE303F">
              <w:rPr>
                <w:rFonts w:ascii="Arial Narrow" w:eastAsia="Times New Roman" w:hAnsi="Arial Narrow" w:cs="Calibri"/>
                <w:b/>
                <w:bCs/>
                <w:color w:val="FFFFFF"/>
                <w:sz w:val="22"/>
                <w:szCs w:val="22"/>
              </w:rPr>
              <w:t>Norma / Política</w:t>
            </w:r>
          </w:p>
        </w:tc>
        <w:tc>
          <w:tcPr>
            <w:tcW w:w="3632"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80FCBC0" w14:textId="77777777" w:rsidR="00CE303F" w:rsidRPr="00CE303F" w:rsidRDefault="00CE303F" w:rsidP="00CE303F">
            <w:pPr>
              <w:jc w:val="center"/>
              <w:rPr>
                <w:rFonts w:ascii="Arial Narrow" w:eastAsia="Times New Roman" w:hAnsi="Arial Narrow" w:cs="Calibri"/>
                <w:b/>
                <w:bCs/>
                <w:color w:val="FFFFFF"/>
                <w:sz w:val="22"/>
                <w:szCs w:val="22"/>
              </w:rPr>
            </w:pPr>
            <w:r w:rsidRPr="00CE303F">
              <w:rPr>
                <w:rFonts w:ascii="Arial Narrow" w:eastAsia="Times New Roman" w:hAnsi="Arial Narrow" w:cs="Calibri"/>
                <w:b/>
                <w:bCs/>
                <w:color w:val="FFFFFF"/>
                <w:sz w:val="22"/>
                <w:szCs w:val="22"/>
              </w:rPr>
              <w:t>Concepto</w:t>
            </w:r>
          </w:p>
        </w:tc>
        <w:tc>
          <w:tcPr>
            <w:tcW w:w="4022" w:type="dxa"/>
            <w:gridSpan w:val="4"/>
            <w:tcBorders>
              <w:top w:val="single" w:sz="8" w:space="0" w:color="auto"/>
              <w:left w:val="nil"/>
              <w:bottom w:val="single" w:sz="8" w:space="0" w:color="auto"/>
              <w:right w:val="single" w:sz="8" w:space="0" w:color="000000"/>
            </w:tcBorders>
            <w:shd w:val="clear" w:color="000000" w:fill="203764"/>
            <w:vAlign w:val="center"/>
            <w:hideMark/>
          </w:tcPr>
          <w:p w14:paraId="71086448" w14:textId="77777777" w:rsidR="00CE303F" w:rsidRPr="00CE303F" w:rsidRDefault="00CE303F" w:rsidP="00CE303F">
            <w:pPr>
              <w:jc w:val="center"/>
              <w:rPr>
                <w:rFonts w:ascii="Arial Narrow" w:eastAsia="Times New Roman" w:hAnsi="Arial Narrow" w:cs="Calibri"/>
                <w:b/>
                <w:bCs/>
                <w:color w:val="FFFFFF"/>
                <w:sz w:val="22"/>
                <w:szCs w:val="22"/>
              </w:rPr>
            </w:pPr>
            <w:r w:rsidRPr="00CE303F">
              <w:rPr>
                <w:rFonts w:ascii="Arial Narrow" w:eastAsia="Times New Roman" w:hAnsi="Arial Narrow" w:cs="Calibri"/>
                <w:b/>
                <w:bCs/>
                <w:color w:val="FFFFFF"/>
                <w:sz w:val="22"/>
                <w:szCs w:val="22"/>
              </w:rPr>
              <w:t>Referencia</w:t>
            </w:r>
          </w:p>
        </w:tc>
      </w:tr>
      <w:tr w:rsidR="00CE303F" w:rsidRPr="006E5442" w14:paraId="50D9EBDD" w14:textId="77777777" w:rsidTr="004B6B45">
        <w:trPr>
          <w:trHeight w:val="850"/>
        </w:trPr>
        <w:tc>
          <w:tcPr>
            <w:tcW w:w="1702" w:type="dxa"/>
            <w:gridSpan w:val="4"/>
            <w:vMerge/>
            <w:tcBorders>
              <w:top w:val="single" w:sz="8" w:space="0" w:color="auto"/>
              <w:left w:val="single" w:sz="8" w:space="0" w:color="auto"/>
              <w:bottom w:val="nil"/>
              <w:right w:val="single" w:sz="8" w:space="0" w:color="000000"/>
            </w:tcBorders>
            <w:vAlign w:val="center"/>
            <w:hideMark/>
          </w:tcPr>
          <w:p w14:paraId="0784886A" w14:textId="77777777" w:rsidR="00CE303F" w:rsidRPr="00CE303F" w:rsidRDefault="00CE303F" w:rsidP="00CE303F">
            <w:pPr>
              <w:rPr>
                <w:rFonts w:ascii="Arial Narrow" w:eastAsia="Times New Roman" w:hAnsi="Arial Narrow" w:cs="Calibri"/>
                <w:b/>
                <w:bCs/>
                <w:color w:val="FFFFFF"/>
                <w:sz w:val="22"/>
                <w:szCs w:val="22"/>
              </w:rPr>
            </w:pPr>
          </w:p>
        </w:tc>
        <w:tc>
          <w:tcPr>
            <w:tcW w:w="3632" w:type="dxa"/>
            <w:gridSpan w:val="2"/>
            <w:vMerge/>
            <w:tcBorders>
              <w:top w:val="single" w:sz="8" w:space="0" w:color="auto"/>
              <w:left w:val="single" w:sz="8" w:space="0" w:color="auto"/>
              <w:bottom w:val="nil"/>
              <w:right w:val="single" w:sz="8" w:space="0" w:color="auto"/>
            </w:tcBorders>
            <w:vAlign w:val="center"/>
            <w:hideMark/>
          </w:tcPr>
          <w:p w14:paraId="0272051B" w14:textId="77777777" w:rsidR="00CE303F" w:rsidRPr="00CE303F" w:rsidRDefault="00CE303F" w:rsidP="00CE303F">
            <w:pPr>
              <w:rPr>
                <w:rFonts w:ascii="Arial Narrow" w:eastAsia="Times New Roman" w:hAnsi="Arial Narrow" w:cs="Calibri"/>
                <w:b/>
                <w:bCs/>
                <w:color w:val="FFFFFF"/>
                <w:sz w:val="22"/>
                <w:szCs w:val="22"/>
              </w:rPr>
            </w:pPr>
          </w:p>
        </w:tc>
        <w:tc>
          <w:tcPr>
            <w:tcW w:w="2211" w:type="dxa"/>
            <w:gridSpan w:val="2"/>
            <w:tcBorders>
              <w:top w:val="nil"/>
              <w:left w:val="nil"/>
              <w:bottom w:val="nil"/>
              <w:right w:val="single" w:sz="8" w:space="0" w:color="auto"/>
            </w:tcBorders>
            <w:shd w:val="clear" w:color="000000" w:fill="203764"/>
            <w:vAlign w:val="center"/>
            <w:hideMark/>
          </w:tcPr>
          <w:p w14:paraId="6B3A91EE" w14:textId="77777777" w:rsidR="00CE303F" w:rsidRPr="00CE303F" w:rsidRDefault="00CE303F" w:rsidP="00CE303F">
            <w:pPr>
              <w:jc w:val="center"/>
              <w:rPr>
                <w:rFonts w:ascii="Arial Narrow" w:eastAsia="Times New Roman" w:hAnsi="Arial Narrow" w:cs="Calibri"/>
                <w:b/>
                <w:bCs/>
                <w:color w:val="FFFFFF"/>
                <w:sz w:val="22"/>
                <w:szCs w:val="22"/>
              </w:rPr>
            </w:pPr>
            <w:r w:rsidRPr="00CE303F">
              <w:rPr>
                <w:rFonts w:ascii="Arial Narrow" w:eastAsia="Times New Roman" w:hAnsi="Arial Narrow" w:cs="Calibri"/>
                <w:b/>
                <w:bCs/>
                <w:color w:val="FFFFFF"/>
                <w:sz w:val="22"/>
                <w:szCs w:val="22"/>
              </w:rPr>
              <w:t>Norma</w:t>
            </w:r>
          </w:p>
        </w:tc>
        <w:tc>
          <w:tcPr>
            <w:tcW w:w="1811" w:type="dxa"/>
            <w:gridSpan w:val="2"/>
            <w:tcBorders>
              <w:top w:val="nil"/>
              <w:left w:val="nil"/>
              <w:bottom w:val="nil"/>
              <w:right w:val="single" w:sz="8" w:space="0" w:color="auto"/>
            </w:tcBorders>
            <w:shd w:val="clear" w:color="000000" w:fill="203764"/>
            <w:vAlign w:val="center"/>
            <w:hideMark/>
          </w:tcPr>
          <w:p w14:paraId="40FD4F59" w14:textId="77777777" w:rsidR="00CE303F" w:rsidRPr="00CE303F" w:rsidRDefault="00CE303F" w:rsidP="00CE303F">
            <w:pPr>
              <w:jc w:val="center"/>
              <w:rPr>
                <w:rFonts w:ascii="Arial Narrow" w:eastAsia="Times New Roman" w:hAnsi="Arial Narrow" w:cs="Calibri"/>
                <w:b/>
                <w:bCs/>
                <w:color w:val="FFFFFF"/>
                <w:sz w:val="22"/>
                <w:szCs w:val="22"/>
                <w:lang w:val="es-CR"/>
              </w:rPr>
            </w:pPr>
            <w:r w:rsidRPr="00CE303F">
              <w:rPr>
                <w:rFonts w:ascii="Arial Narrow" w:eastAsia="Times New Roman" w:hAnsi="Arial Narrow" w:cs="Calibri"/>
                <w:b/>
                <w:bCs/>
                <w:color w:val="FFFFFF"/>
                <w:sz w:val="22"/>
                <w:szCs w:val="22"/>
                <w:lang w:val="es-CR"/>
              </w:rPr>
              <w:t>Normativa técnica y disposiciones adicionales</w:t>
            </w:r>
          </w:p>
        </w:tc>
      </w:tr>
      <w:tr w:rsidR="00CE303F" w:rsidRPr="00CE303F" w14:paraId="4C4B28FC" w14:textId="77777777" w:rsidTr="004B6B45">
        <w:trPr>
          <w:gridAfter w:val="1"/>
          <w:wAfter w:w="10" w:type="dxa"/>
          <w:trHeight w:val="570"/>
        </w:trPr>
        <w:tc>
          <w:tcPr>
            <w:tcW w:w="4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3A51A7" w14:textId="77777777" w:rsidR="00CE303F" w:rsidRPr="00CE303F" w:rsidRDefault="00CE303F" w:rsidP="00CE303F">
            <w:pPr>
              <w:jc w:val="center"/>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6</w:t>
            </w:r>
          </w:p>
        </w:tc>
        <w:tc>
          <w:tcPr>
            <w:tcW w:w="852" w:type="dxa"/>
            <w:tcBorders>
              <w:top w:val="single" w:sz="8" w:space="0" w:color="auto"/>
              <w:left w:val="nil"/>
              <w:bottom w:val="single" w:sz="8" w:space="0" w:color="auto"/>
              <w:right w:val="single" w:sz="8" w:space="0" w:color="auto"/>
            </w:tcBorders>
            <w:shd w:val="clear" w:color="auto" w:fill="auto"/>
            <w:noWrap/>
            <w:vAlign w:val="center"/>
            <w:hideMark/>
          </w:tcPr>
          <w:p w14:paraId="7F5B61BC" w14:textId="77777777" w:rsidR="00CE303F" w:rsidRPr="00CE303F" w:rsidRDefault="00CE303F" w:rsidP="00CE303F">
            <w:pPr>
              <w:jc w:val="center"/>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94</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FC162FA" w14:textId="77777777" w:rsidR="00CE303F" w:rsidRPr="00CE303F" w:rsidRDefault="00CE303F" w:rsidP="00CE303F">
            <w:pPr>
              <w:jc w:val="center"/>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 xml:space="preserve"> </w:t>
            </w:r>
          </w:p>
        </w:tc>
        <w:tc>
          <w:tcPr>
            <w:tcW w:w="3632" w:type="dxa"/>
            <w:gridSpan w:val="2"/>
            <w:tcBorders>
              <w:top w:val="single" w:sz="8" w:space="0" w:color="auto"/>
              <w:left w:val="nil"/>
              <w:bottom w:val="single" w:sz="8" w:space="0" w:color="auto"/>
              <w:right w:val="single" w:sz="8" w:space="0" w:color="auto"/>
            </w:tcBorders>
            <w:shd w:val="clear" w:color="auto" w:fill="auto"/>
            <w:vAlign w:val="center"/>
            <w:hideMark/>
          </w:tcPr>
          <w:p w14:paraId="68FF106C" w14:textId="77777777" w:rsidR="00CE303F" w:rsidRPr="00CE303F" w:rsidRDefault="00CE303F" w:rsidP="00CE303F">
            <w:pPr>
              <w:jc w:val="both"/>
              <w:rPr>
                <w:rFonts w:ascii="Arial Narrow" w:eastAsia="Times New Roman" w:hAnsi="Arial Narrow" w:cs="Calibri"/>
                <w:b/>
                <w:bCs/>
                <w:color w:val="000000"/>
                <w:sz w:val="22"/>
                <w:szCs w:val="22"/>
                <w:lang w:val="es-CR"/>
              </w:rPr>
            </w:pPr>
            <w:r w:rsidRPr="00CE303F">
              <w:rPr>
                <w:rFonts w:ascii="Arial Narrow" w:eastAsia="Times New Roman" w:hAnsi="Arial Narrow" w:cs="Calibri"/>
                <w:b/>
                <w:bCs/>
                <w:color w:val="000000"/>
                <w:sz w:val="22"/>
                <w:szCs w:val="22"/>
                <w:lang w:val="es-CR"/>
              </w:rPr>
              <w:t>Compensación entre ingresos y gastos</w:t>
            </w:r>
          </w:p>
        </w:tc>
        <w:tc>
          <w:tcPr>
            <w:tcW w:w="2211" w:type="dxa"/>
            <w:gridSpan w:val="2"/>
            <w:tcBorders>
              <w:top w:val="single" w:sz="8" w:space="0" w:color="auto"/>
              <w:left w:val="nil"/>
              <w:bottom w:val="single" w:sz="8" w:space="0" w:color="auto"/>
              <w:right w:val="single" w:sz="8" w:space="0" w:color="auto"/>
            </w:tcBorders>
            <w:shd w:val="clear" w:color="auto" w:fill="auto"/>
            <w:vAlign w:val="center"/>
            <w:hideMark/>
          </w:tcPr>
          <w:p w14:paraId="226909D0" w14:textId="77777777" w:rsidR="00CE303F" w:rsidRDefault="00CE303F" w:rsidP="00CE303F">
            <w:pPr>
              <w:jc w:val="both"/>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NICSP N° 18,</w:t>
            </w:r>
          </w:p>
          <w:p w14:paraId="1C25E5F7" w14:textId="4D431AD4" w:rsidR="00CE303F" w:rsidRPr="00CE303F" w:rsidRDefault="00CE303F" w:rsidP="00CE303F">
            <w:pPr>
              <w:jc w:val="both"/>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Párrafo 27.</w:t>
            </w:r>
          </w:p>
        </w:tc>
        <w:tc>
          <w:tcPr>
            <w:tcW w:w="1811" w:type="dxa"/>
            <w:gridSpan w:val="2"/>
            <w:tcBorders>
              <w:top w:val="single" w:sz="8" w:space="0" w:color="auto"/>
              <w:left w:val="nil"/>
              <w:bottom w:val="single" w:sz="8" w:space="0" w:color="auto"/>
              <w:right w:val="single" w:sz="8" w:space="0" w:color="auto"/>
            </w:tcBorders>
            <w:shd w:val="clear" w:color="auto" w:fill="auto"/>
            <w:vAlign w:val="center"/>
            <w:hideMark/>
          </w:tcPr>
          <w:p w14:paraId="74F3E954" w14:textId="77777777" w:rsidR="00CE303F" w:rsidRPr="00CE303F" w:rsidRDefault="00CE303F" w:rsidP="00CE303F">
            <w:pPr>
              <w:jc w:val="center"/>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 </w:t>
            </w:r>
          </w:p>
        </w:tc>
      </w:tr>
    </w:tbl>
    <w:p w14:paraId="19261FD9" w14:textId="77777777" w:rsidR="00A85169" w:rsidRDefault="00A85169" w:rsidP="002236BD">
      <w:pPr>
        <w:pStyle w:val="Default"/>
        <w:ind w:left="1134" w:hanging="1134"/>
        <w:jc w:val="both"/>
        <w:rPr>
          <w:sz w:val="22"/>
          <w:szCs w:val="22"/>
          <w:lang w:val="es-CR"/>
        </w:rPr>
      </w:pPr>
    </w:p>
    <w:p w14:paraId="14F275AA" w14:textId="77777777" w:rsidR="004B6B45" w:rsidRDefault="004B6B45" w:rsidP="004B6B45">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2A8D974F" w14:textId="77777777" w:rsidR="004B6B45" w:rsidRDefault="004B6B45" w:rsidP="002236BD">
      <w:pPr>
        <w:pStyle w:val="Default"/>
        <w:ind w:left="1134" w:hanging="1134"/>
        <w:jc w:val="both"/>
        <w:rPr>
          <w:sz w:val="22"/>
          <w:szCs w:val="22"/>
          <w:lang w:val="es-CR"/>
        </w:rPr>
      </w:pPr>
    </w:p>
    <w:p w14:paraId="369E8C40" w14:textId="4D062F48" w:rsidR="00A85169" w:rsidRDefault="00CE303F" w:rsidP="002236BD">
      <w:pPr>
        <w:pStyle w:val="Default"/>
        <w:ind w:left="1134" w:hanging="1134"/>
        <w:jc w:val="both"/>
        <w:rPr>
          <w:sz w:val="22"/>
          <w:szCs w:val="22"/>
          <w:lang w:val="es-CR"/>
        </w:rPr>
      </w:pPr>
      <w:r>
        <w:rPr>
          <w:sz w:val="23"/>
          <w:szCs w:val="23"/>
          <w:lang w:val="es-CR"/>
        </w:rPr>
        <w:t>6.94.0.01</w:t>
      </w:r>
      <w:r>
        <w:rPr>
          <w:sz w:val="23"/>
          <w:szCs w:val="23"/>
          <w:lang w:val="es-CR"/>
        </w:rPr>
        <w:tab/>
      </w:r>
      <w:r w:rsidRPr="00CE303F">
        <w:rPr>
          <w:sz w:val="23"/>
          <w:szCs w:val="23"/>
          <w:lang w:val="es-CR"/>
        </w:rPr>
        <w:t>En los segmentos que sean de naturaleza financiera, el ingreso por intereses y el gasto por intereses pueden ser incluidos como una sola partida neta, en la información segmentada, sólo si tales partidas se presentan también compensadas en los EEFF, individuales o consolidados, de la entidad.</w:t>
      </w:r>
    </w:p>
    <w:p w14:paraId="06EB8262" w14:textId="77777777" w:rsidR="00A85169" w:rsidRDefault="00A85169" w:rsidP="002236BD">
      <w:pPr>
        <w:pStyle w:val="Default"/>
        <w:ind w:left="1134" w:hanging="1134"/>
        <w:jc w:val="both"/>
        <w:rPr>
          <w:sz w:val="22"/>
          <w:szCs w:val="22"/>
          <w:lang w:val="es-CR"/>
        </w:rPr>
      </w:pPr>
    </w:p>
    <w:p w14:paraId="5EEE3626" w14:textId="77777777" w:rsidR="004B6B45" w:rsidRDefault="004B6B45" w:rsidP="002236BD">
      <w:pPr>
        <w:pStyle w:val="Default"/>
        <w:ind w:left="1134" w:hanging="1134"/>
        <w:jc w:val="both"/>
        <w:rPr>
          <w:sz w:val="22"/>
          <w:szCs w:val="22"/>
          <w:lang w:val="es-CR"/>
        </w:rPr>
      </w:pPr>
    </w:p>
    <w:p w14:paraId="6747189D" w14:textId="77777777" w:rsidR="004B6B45" w:rsidRDefault="004B6B45" w:rsidP="002236BD">
      <w:pPr>
        <w:pStyle w:val="Default"/>
        <w:ind w:left="1134" w:hanging="1134"/>
        <w:jc w:val="both"/>
        <w:rPr>
          <w:sz w:val="22"/>
          <w:szCs w:val="22"/>
          <w:lang w:val="es-CR"/>
        </w:rPr>
      </w:pPr>
    </w:p>
    <w:p w14:paraId="5BEC7B7D" w14:textId="77777777" w:rsidR="004B6B45" w:rsidRDefault="004B6B45" w:rsidP="002236BD">
      <w:pPr>
        <w:pStyle w:val="Default"/>
        <w:ind w:left="1134" w:hanging="1134"/>
        <w:jc w:val="both"/>
        <w:rPr>
          <w:sz w:val="22"/>
          <w:szCs w:val="22"/>
          <w:lang w:val="es-CR"/>
        </w:rPr>
      </w:pPr>
    </w:p>
    <w:p w14:paraId="32A12974" w14:textId="77777777" w:rsidR="004B6B45" w:rsidRDefault="004B6B45" w:rsidP="002236BD">
      <w:pPr>
        <w:pStyle w:val="Default"/>
        <w:ind w:left="1134" w:hanging="1134"/>
        <w:jc w:val="both"/>
        <w:rPr>
          <w:sz w:val="22"/>
          <w:szCs w:val="22"/>
          <w:lang w:val="es-CR"/>
        </w:rPr>
      </w:pPr>
    </w:p>
    <w:p w14:paraId="11667C5B" w14:textId="77777777" w:rsidR="00CE303F" w:rsidRDefault="00CE303F" w:rsidP="002236BD">
      <w:pPr>
        <w:pStyle w:val="Default"/>
        <w:ind w:left="1134" w:hanging="1134"/>
        <w:jc w:val="both"/>
        <w:rPr>
          <w:sz w:val="22"/>
          <w:szCs w:val="22"/>
          <w:lang w:val="es-CR"/>
        </w:rPr>
      </w:pPr>
    </w:p>
    <w:tbl>
      <w:tblPr>
        <w:tblW w:w="9364" w:type="dxa"/>
        <w:tblLook w:val="04A0" w:firstRow="1" w:lastRow="0" w:firstColumn="1" w:lastColumn="0" w:noHBand="0" w:noVBand="1"/>
      </w:tblPr>
      <w:tblGrid>
        <w:gridCol w:w="416"/>
        <w:gridCol w:w="850"/>
        <w:gridCol w:w="433"/>
        <w:gridCol w:w="7"/>
        <w:gridCol w:w="3682"/>
        <w:gridCol w:w="7"/>
        <w:gridCol w:w="2108"/>
        <w:gridCol w:w="1841"/>
        <w:gridCol w:w="9"/>
        <w:gridCol w:w="11"/>
      </w:tblGrid>
      <w:tr w:rsidR="00CE303F" w:rsidRPr="00CE303F" w14:paraId="66F9F448" w14:textId="77777777" w:rsidTr="00725F92">
        <w:trPr>
          <w:trHeight w:val="300"/>
        </w:trPr>
        <w:tc>
          <w:tcPr>
            <w:tcW w:w="1706"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5A64C43B" w14:textId="77777777" w:rsidR="00CE303F" w:rsidRPr="00CE303F" w:rsidRDefault="00CE303F" w:rsidP="00CE303F">
            <w:pPr>
              <w:jc w:val="center"/>
              <w:rPr>
                <w:rFonts w:ascii="Arial Narrow" w:eastAsia="Times New Roman" w:hAnsi="Arial Narrow" w:cs="Calibri"/>
                <w:b/>
                <w:bCs/>
                <w:color w:val="FFFFFF"/>
                <w:sz w:val="22"/>
                <w:szCs w:val="22"/>
              </w:rPr>
            </w:pPr>
            <w:r w:rsidRPr="00CE303F">
              <w:rPr>
                <w:rFonts w:ascii="Arial Narrow" w:eastAsia="Times New Roman" w:hAnsi="Arial Narrow" w:cs="Calibri"/>
                <w:b/>
                <w:bCs/>
                <w:color w:val="FFFFFF"/>
                <w:sz w:val="22"/>
                <w:szCs w:val="22"/>
              </w:rPr>
              <w:lastRenderedPageBreak/>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66C8FCF3" w14:textId="77777777" w:rsidR="00CE303F" w:rsidRPr="00CE303F" w:rsidRDefault="00CE303F" w:rsidP="00CE303F">
            <w:pPr>
              <w:jc w:val="center"/>
              <w:rPr>
                <w:rFonts w:ascii="Arial Narrow" w:eastAsia="Times New Roman" w:hAnsi="Arial Narrow" w:cs="Calibri"/>
                <w:b/>
                <w:bCs/>
                <w:color w:val="FFFFFF"/>
                <w:sz w:val="22"/>
                <w:szCs w:val="22"/>
              </w:rPr>
            </w:pPr>
            <w:r w:rsidRPr="00CE303F">
              <w:rPr>
                <w:rFonts w:ascii="Arial Narrow" w:eastAsia="Times New Roman" w:hAnsi="Arial Narrow" w:cs="Calibri"/>
                <w:b/>
                <w:bCs/>
                <w:color w:val="FFFFFF"/>
                <w:sz w:val="22"/>
                <w:szCs w:val="22"/>
              </w:rPr>
              <w:t>Concepto</w:t>
            </w:r>
          </w:p>
        </w:tc>
        <w:tc>
          <w:tcPr>
            <w:tcW w:w="3969" w:type="dxa"/>
            <w:gridSpan w:val="4"/>
            <w:tcBorders>
              <w:top w:val="single" w:sz="8" w:space="0" w:color="auto"/>
              <w:left w:val="nil"/>
              <w:bottom w:val="single" w:sz="8" w:space="0" w:color="auto"/>
              <w:right w:val="single" w:sz="8" w:space="0" w:color="000000"/>
            </w:tcBorders>
            <w:shd w:val="clear" w:color="000000" w:fill="203764"/>
            <w:vAlign w:val="center"/>
            <w:hideMark/>
          </w:tcPr>
          <w:p w14:paraId="479CD73C" w14:textId="77777777" w:rsidR="00CE303F" w:rsidRPr="00CE303F" w:rsidRDefault="00CE303F" w:rsidP="00CE303F">
            <w:pPr>
              <w:jc w:val="center"/>
              <w:rPr>
                <w:rFonts w:ascii="Arial Narrow" w:eastAsia="Times New Roman" w:hAnsi="Arial Narrow" w:cs="Calibri"/>
                <w:b/>
                <w:bCs/>
                <w:color w:val="FFFFFF"/>
                <w:sz w:val="22"/>
                <w:szCs w:val="22"/>
              </w:rPr>
            </w:pPr>
            <w:r w:rsidRPr="00CE303F">
              <w:rPr>
                <w:rFonts w:ascii="Arial Narrow" w:eastAsia="Times New Roman" w:hAnsi="Arial Narrow" w:cs="Calibri"/>
                <w:b/>
                <w:bCs/>
                <w:color w:val="FFFFFF"/>
                <w:sz w:val="22"/>
                <w:szCs w:val="22"/>
              </w:rPr>
              <w:t>Referencia</w:t>
            </w:r>
          </w:p>
        </w:tc>
      </w:tr>
      <w:tr w:rsidR="00CE303F" w:rsidRPr="006E5442" w14:paraId="478509D9" w14:textId="77777777" w:rsidTr="00725F92">
        <w:trPr>
          <w:gridAfter w:val="2"/>
          <w:wAfter w:w="20" w:type="dxa"/>
          <w:trHeight w:val="850"/>
        </w:trPr>
        <w:tc>
          <w:tcPr>
            <w:tcW w:w="1706" w:type="dxa"/>
            <w:gridSpan w:val="4"/>
            <w:vMerge/>
            <w:tcBorders>
              <w:top w:val="single" w:sz="8" w:space="0" w:color="auto"/>
              <w:left w:val="single" w:sz="8" w:space="0" w:color="auto"/>
              <w:bottom w:val="nil"/>
              <w:right w:val="single" w:sz="8" w:space="0" w:color="000000"/>
            </w:tcBorders>
            <w:vAlign w:val="center"/>
            <w:hideMark/>
          </w:tcPr>
          <w:p w14:paraId="1E1D660B" w14:textId="77777777" w:rsidR="00CE303F" w:rsidRPr="00CE303F" w:rsidRDefault="00CE303F" w:rsidP="00CE303F">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68E07F72" w14:textId="77777777" w:rsidR="00CE303F" w:rsidRPr="00CE303F" w:rsidRDefault="00CE303F" w:rsidP="00CE303F">
            <w:pPr>
              <w:rPr>
                <w:rFonts w:ascii="Arial Narrow" w:eastAsia="Times New Roman" w:hAnsi="Arial Narrow" w:cs="Calibri"/>
                <w:b/>
                <w:bCs/>
                <w:color w:val="FFFFFF"/>
                <w:sz w:val="22"/>
                <w:szCs w:val="22"/>
              </w:rPr>
            </w:pPr>
          </w:p>
        </w:tc>
        <w:tc>
          <w:tcPr>
            <w:tcW w:w="2108" w:type="dxa"/>
            <w:tcBorders>
              <w:top w:val="nil"/>
              <w:left w:val="nil"/>
              <w:bottom w:val="nil"/>
              <w:right w:val="single" w:sz="8" w:space="0" w:color="auto"/>
            </w:tcBorders>
            <w:shd w:val="clear" w:color="000000" w:fill="203764"/>
            <w:vAlign w:val="center"/>
            <w:hideMark/>
          </w:tcPr>
          <w:p w14:paraId="07863540" w14:textId="77777777" w:rsidR="00CE303F" w:rsidRPr="00CE303F" w:rsidRDefault="00CE303F" w:rsidP="00CE303F">
            <w:pPr>
              <w:jc w:val="center"/>
              <w:rPr>
                <w:rFonts w:ascii="Arial Narrow" w:eastAsia="Times New Roman" w:hAnsi="Arial Narrow" w:cs="Calibri"/>
                <w:b/>
                <w:bCs/>
                <w:color w:val="FFFFFF"/>
                <w:sz w:val="22"/>
                <w:szCs w:val="22"/>
              </w:rPr>
            </w:pPr>
            <w:r w:rsidRPr="00CE303F">
              <w:rPr>
                <w:rFonts w:ascii="Arial Narrow" w:eastAsia="Times New Roman" w:hAnsi="Arial Narrow" w:cs="Calibri"/>
                <w:b/>
                <w:bCs/>
                <w:color w:val="FFFFFF"/>
                <w:sz w:val="22"/>
                <w:szCs w:val="22"/>
              </w:rPr>
              <w:t>Norma</w:t>
            </w:r>
          </w:p>
        </w:tc>
        <w:tc>
          <w:tcPr>
            <w:tcW w:w="1841" w:type="dxa"/>
            <w:tcBorders>
              <w:top w:val="nil"/>
              <w:left w:val="nil"/>
              <w:bottom w:val="nil"/>
              <w:right w:val="single" w:sz="8" w:space="0" w:color="auto"/>
            </w:tcBorders>
            <w:shd w:val="clear" w:color="000000" w:fill="203764"/>
            <w:vAlign w:val="center"/>
            <w:hideMark/>
          </w:tcPr>
          <w:p w14:paraId="42B57CE4" w14:textId="77777777" w:rsidR="00CE303F" w:rsidRPr="00CE303F" w:rsidRDefault="00CE303F" w:rsidP="00CE303F">
            <w:pPr>
              <w:jc w:val="center"/>
              <w:rPr>
                <w:rFonts w:ascii="Arial Narrow" w:eastAsia="Times New Roman" w:hAnsi="Arial Narrow" w:cs="Calibri"/>
                <w:b/>
                <w:bCs/>
                <w:color w:val="FFFFFF"/>
                <w:sz w:val="22"/>
                <w:szCs w:val="22"/>
                <w:lang w:val="es-CR"/>
              </w:rPr>
            </w:pPr>
            <w:r w:rsidRPr="00CE303F">
              <w:rPr>
                <w:rFonts w:ascii="Arial Narrow" w:eastAsia="Times New Roman" w:hAnsi="Arial Narrow" w:cs="Calibri"/>
                <w:b/>
                <w:bCs/>
                <w:color w:val="FFFFFF"/>
                <w:sz w:val="22"/>
                <w:szCs w:val="22"/>
                <w:lang w:val="es-CR"/>
              </w:rPr>
              <w:t>Normativa técnica y disposiciones adicionales</w:t>
            </w:r>
          </w:p>
        </w:tc>
      </w:tr>
      <w:tr w:rsidR="00CE303F" w:rsidRPr="00CE303F" w14:paraId="51ECD86E" w14:textId="77777777" w:rsidTr="00725F92">
        <w:trPr>
          <w:gridAfter w:val="1"/>
          <w:wAfter w:w="11" w:type="dxa"/>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D7AD90" w14:textId="77777777" w:rsidR="00CE303F" w:rsidRPr="00CE303F" w:rsidRDefault="00CE303F" w:rsidP="00CE303F">
            <w:pPr>
              <w:jc w:val="center"/>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6</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4E2A3E16" w14:textId="77777777" w:rsidR="00CE303F" w:rsidRPr="00CE303F" w:rsidRDefault="00CE303F" w:rsidP="00CE303F">
            <w:pPr>
              <w:jc w:val="center"/>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95</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459CA47D" w14:textId="77777777" w:rsidR="00CE303F" w:rsidRPr="00CE303F" w:rsidRDefault="00CE303F" w:rsidP="00CE303F">
            <w:pPr>
              <w:jc w:val="center"/>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255F28BA" w14:textId="77777777" w:rsidR="00CE303F" w:rsidRPr="00CE303F" w:rsidRDefault="00CE303F" w:rsidP="00CE303F">
            <w:pPr>
              <w:jc w:val="both"/>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Activos del segmento</w:t>
            </w:r>
          </w:p>
        </w:tc>
        <w:tc>
          <w:tcPr>
            <w:tcW w:w="2115" w:type="dxa"/>
            <w:gridSpan w:val="2"/>
            <w:tcBorders>
              <w:top w:val="single" w:sz="8" w:space="0" w:color="auto"/>
              <w:left w:val="nil"/>
              <w:bottom w:val="single" w:sz="8" w:space="0" w:color="auto"/>
              <w:right w:val="single" w:sz="8" w:space="0" w:color="auto"/>
            </w:tcBorders>
            <w:shd w:val="clear" w:color="auto" w:fill="auto"/>
            <w:vAlign w:val="center"/>
            <w:hideMark/>
          </w:tcPr>
          <w:p w14:paraId="6AB3238D" w14:textId="77777777" w:rsidR="00CE303F" w:rsidRDefault="00CE303F" w:rsidP="00CE303F">
            <w:pPr>
              <w:jc w:val="both"/>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NICSP N° 18,</w:t>
            </w:r>
          </w:p>
          <w:p w14:paraId="4EAA2ED4" w14:textId="14FDE126" w:rsidR="00CE303F" w:rsidRPr="00CE303F" w:rsidRDefault="00CE303F" w:rsidP="00CE303F">
            <w:pPr>
              <w:jc w:val="both"/>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Párrafo 27.</w:t>
            </w:r>
          </w:p>
        </w:tc>
        <w:tc>
          <w:tcPr>
            <w:tcW w:w="1850" w:type="dxa"/>
            <w:gridSpan w:val="2"/>
            <w:tcBorders>
              <w:top w:val="single" w:sz="8" w:space="0" w:color="auto"/>
              <w:left w:val="nil"/>
              <w:bottom w:val="single" w:sz="8" w:space="0" w:color="auto"/>
              <w:right w:val="single" w:sz="8" w:space="0" w:color="auto"/>
            </w:tcBorders>
            <w:shd w:val="clear" w:color="auto" w:fill="auto"/>
            <w:vAlign w:val="center"/>
            <w:hideMark/>
          </w:tcPr>
          <w:p w14:paraId="71D34AE3" w14:textId="77777777" w:rsidR="00CE303F" w:rsidRPr="00CE303F" w:rsidRDefault="00CE303F" w:rsidP="00CE303F">
            <w:pPr>
              <w:jc w:val="center"/>
              <w:rPr>
                <w:rFonts w:ascii="Arial Narrow" w:eastAsia="Times New Roman" w:hAnsi="Arial Narrow" w:cs="Calibri"/>
                <w:b/>
                <w:bCs/>
                <w:color w:val="000000"/>
                <w:sz w:val="22"/>
                <w:szCs w:val="22"/>
              </w:rPr>
            </w:pPr>
            <w:r w:rsidRPr="00CE303F">
              <w:rPr>
                <w:rFonts w:ascii="Arial Narrow" w:eastAsia="Times New Roman" w:hAnsi="Arial Narrow" w:cs="Calibri"/>
                <w:b/>
                <w:bCs/>
                <w:color w:val="000000"/>
                <w:sz w:val="22"/>
                <w:szCs w:val="22"/>
              </w:rPr>
              <w:t> </w:t>
            </w:r>
          </w:p>
        </w:tc>
      </w:tr>
    </w:tbl>
    <w:p w14:paraId="31D931B2" w14:textId="77777777" w:rsidR="00CE303F" w:rsidRDefault="00CE303F" w:rsidP="002236BD">
      <w:pPr>
        <w:pStyle w:val="Default"/>
        <w:ind w:left="1134" w:hanging="1134"/>
        <w:jc w:val="both"/>
        <w:rPr>
          <w:sz w:val="22"/>
          <w:szCs w:val="22"/>
          <w:lang w:val="es-CR"/>
        </w:rPr>
      </w:pPr>
    </w:p>
    <w:p w14:paraId="6E7A9BF5" w14:textId="77777777" w:rsidR="004B6B45" w:rsidRDefault="004B6B45" w:rsidP="004B6B45">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057418D" w14:textId="77777777" w:rsidR="004B6B45" w:rsidRDefault="004B6B45" w:rsidP="002236BD">
      <w:pPr>
        <w:pStyle w:val="Default"/>
        <w:ind w:left="1134" w:hanging="1134"/>
        <w:jc w:val="both"/>
        <w:rPr>
          <w:sz w:val="22"/>
          <w:szCs w:val="22"/>
          <w:lang w:val="es-CR"/>
        </w:rPr>
      </w:pPr>
    </w:p>
    <w:p w14:paraId="6DE925D7" w14:textId="20A21B88" w:rsidR="00CE303F" w:rsidRDefault="00CE303F" w:rsidP="00725F92">
      <w:pPr>
        <w:pStyle w:val="Default"/>
        <w:ind w:left="1134" w:hanging="1134"/>
        <w:jc w:val="both"/>
        <w:rPr>
          <w:sz w:val="22"/>
          <w:szCs w:val="22"/>
        </w:rPr>
      </w:pPr>
      <w:r>
        <w:rPr>
          <w:sz w:val="22"/>
          <w:szCs w:val="22"/>
          <w:lang w:val="es-CR"/>
        </w:rPr>
        <w:t>6.95.0.01</w:t>
      </w:r>
      <w:r>
        <w:rPr>
          <w:sz w:val="22"/>
          <w:szCs w:val="22"/>
          <w:lang w:val="es-CR"/>
        </w:rPr>
        <w:tab/>
      </w:r>
      <w:r w:rsidRPr="00CE303F">
        <w:rPr>
          <w:sz w:val="22"/>
          <w:szCs w:val="22"/>
          <w:lang w:val="es-CR"/>
        </w:rPr>
        <w:t xml:space="preserve">Son los correspondientes a la operación de la entidad, que el segmento emplea para llevar a cabo su actividad, incluyendo tanto los directamente atribuibles al segmento en cuestión como los que se puedan distribuir al mismo, utilizando bases razonables de reparto. Los activos del segmento se presentan después de deducir las previsiones u otras disminuciones de valor relacionadas con ellos, siempre que las mismas sean objeto del mismo tipo de compensación en el ESF de la entidad. </w:t>
      </w:r>
      <w:r w:rsidRPr="00CE303F">
        <w:rPr>
          <w:sz w:val="22"/>
          <w:szCs w:val="22"/>
        </w:rPr>
        <w:t>Se incluyen entre otros:</w:t>
      </w:r>
    </w:p>
    <w:p w14:paraId="17DA11E9" w14:textId="77777777" w:rsidR="00CE303F" w:rsidRPr="00CE303F" w:rsidRDefault="00CE303F" w:rsidP="00CE303F">
      <w:pPr>
        <w:pStyle w:val="Default"/>
        <w:ind w:left="1134"/>
        <w:jc w:val="both"/>
        <w:rPr>
          <w:sz w:val="22"/>
          <w:szCs w:val="22"/>
        </w:rPr>
      </w:pPr>
    </w:p>
    <w:p w14:paraId="245DA052" w14:textId="62E6AF2B" w:rsidR="00CE303F" w:rsidRPr="00CE303F" w:rsidRDefault="00CE303F">
      <w:pPr>
        <w:pStyle w:val="Default"/>
        <w:numPr>
          <w:ilvl w:val="0"/>
          <w:numId w:val="413"/>
        </w:numPr>
        <w:spacing w:after="120"/>
        <w:ind w:left="1418" w:hanging="284"/>
        <w:jc w:val="both"/>
        <w:rPr>
          <w:sz w:val="22"/>
          <w:szCs w:val="22"/>
          <w:lang w:val="es-CR"/>
        </w:rPr>
      </w:pPr>
      <w:r w:rsidRPr="00CE303F">
        <w:rPr>
          <w:sz w:val="22"/>
          <w:szCs w:val="22"/>
          <w:lang w:val="es-CR"/>
        </w:rPr>
        <w:t xml:space="preserve">Las inversiones que se contabilicen utilizando el método de la participación, sólo si el resultado neto de tales inversiones se ha incluido en el ingreso de actividades ordinarias del segmento; y </w:t>
      </w:r>
    </w:p>
    <w:p w14:paraId="36DC1CF7" w14:textId="7BD2BD06" w:rsidR="00CE303F" w:rsidRPr="00CE303F" w:rsidRDefault="00CE303F">
      <w:pPr>
        <w:pStyle w:val="Default"/>
        <w:numPr>
          <w:ilvl w:val="0"/>
          <w:numId w:val="413"/>
        </w:numPr>
        <w:ind w:left="1418" w:hanging="284"/>
        <w:jc w:val="both"/>
        <w:rPr>
          <w:sz w:val="22"/>
          <w:szCs w:val="22"/>
          <w:lang w:val="es-CR"/>
        </w:rPr>
      </w:pPr>
      <w:r>
        <w:rPr>
          <w:sz w:val="22"/>
          <w:szCs w:val="22"/>
          <w:lang w:val="es-CR"/>
        </w:rPr>
        <w:t>L</w:t>
      </w:r>
      <w:r w:rsidRPr="00CE303F">
        <w:rPr>
          <w:sz w:val="22"/>
          <w:szCs w:val="22"/>
          <w:lang w:val="es-CR"/>
        </w:rPr>
        <w:t xml:space="preserve">a parte del participante en los activos de operación de cualquier negocio conjunto que se contabilice por el método de participación, de acuerdo con la Norma NICSP N° 37 </w:t>
      </w:r>
      <w:r w:rsidRPr="00CE303F">
        <w:rPr>
          <w:i/>
          <w:iCs/>
          <w:sz w:val="22"/>
          <w:szCs w:val="22"/>
          <w:lang w:val="es-CR"/>
        </w:rPr>
        <w:t xml:space="preserve">Acuerdos Conjuntos”. </w:t>
      </w:r>
    </w:p>
    <w:p w14:paraId="212C6972" w14:textId="77777777" w:rsidR="00CE303F" w:rsidRDefault="00CE303F" w:rsidP="002236BD">
      <w:pPr>
        <w:pStyle w:val="Default"/>
        <w:ind w:left="1134" w:hanging="1134"/>
        <w:jc w:val="both"/>
        <w:rPr>
          <w:sz w:val="22"/>
          <w:szCs w:val="22"/>
          <w:lang w:val="es-CR"/>
        </w:rPr>
      </w:pPr>
    </w:p>
    <w:p w14:paraId="56940AE5" w14:textId="77777777" w:rsidR="00725F92" w:rsidRDefault="00725F92" w:rsidP="002236BD">
      <w:pPr>
        <w:pStyle w:val="Default"/>
        <w:ind w:left="1134" w:hanging="1134"/>
        <w:jc w:val="both"/>
        <w:rPr>
          <w:sz w:val="22"/>
          <w:szCs w:val="22"/>
          <w:lang w:val="es-CR"/>
        </w:rPr>
      </w:pPr>
    </w:p>
    <w:p w14:paraId="103051AE" w14:textId="77777777" w:rsidR="00CE303F" w:rsidRDefault="00CE303F"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33"/>
        <w:gridCol w:w="7"/>
        <w:gridCol w:w="3682"/>
        <w:gridCol w:w="7"/>
        <w:gridCol w:w="2245"/>
        <w:gridCol w:w="7"/>
        <w:gridCol w:w="1841"/>
      </w:tblGrid>
      <w:tr w:rsidR="000F3F2A" w:rsidRPr="000F3F2A" w14:paraId="15100203" w14:textId="77777777" w:rsidTr="00725F92">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2D7AAD5"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6C15F5B"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Concepto</w:t>
            </w:r>
          </w:p>
        </w:tc>
        <w:tc>
          <w:tcPr>
            <w:tcW w:w="4093" w:type="dxa"/>
            <w:gridSpan w:val="3"/>
            <w:tcBorders>
              <w:top w:val="single" w:sz="8" w:space="0" w:color="auto"/>
              <w:left w:val="nil"/>
              <w:bottom w:val="single" w:sz="8" w:space="0" w:color="auto"/>
              <w:right w:val="single" w:sz="8" w:space="0" w:color="000000"/>
            </w:tcBorders>
            <w:shd w:val="clear" w:color="000000" w:fill="203764"/>
            <w:vAlign w:val="center"/>
            <w:hideMark/>
          </w:tcPr>
          <w:p w14:paraId="037405D2"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Referencia</w:t>
            </w:r>
          </w:p>
        </w:tc>
      </w:tr>
      <w:tr w:rsidR="000F3F2A" w:rsidRPr="006E5442" w14:paraId="77F731E8" w14:textId="77777777" w:rsidTr="00725F92">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2229F3D3" w14:textId="77777777" w:rsidR="000F3F2A" w:rsidRPr="000F3F2A" w:rsidRDefault="000F3F2A" w:rsidP="000F3F2A">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3E7BAB1C" w14:textId="77777777" w:rsidR="000F3F2A" w:rsidRPr="000F3F2A" w:rsidRDefault="000F3F2A" w:rsidP="000F3F2A">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296039A0"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w:t>
            </w:r>
          </w:p>
        </w:tc>
        <w:tc>
          <w:tcPr>
            <w:tcW w:w="1841" w:type="dxa"/>
            <w:tcBorders>
              <w:top w:val="nil"/>
              <w:left w:val="nil"/>
              <w:bottom w:val="nil"/>
              <w:right w:val="single" w:sz="8" w:space="0" w:color="auto"/>
            </w:tcBorders>
            <w:shd w:val="clear" w:color="000000" w:fill="203764"/>
            <w:vAlign w:val="center"/>
            <w:hideMark/>
          </w:tcPr>
          <w:p w14:paraId="6B8F6A8A" w14:textId="77777777" w:rsidR="000F3F2A" w:rsidRPr="000F3F2A" w:rsidRDefault="000F3F2A" w:rsidP="000F3F2A">
            <w:pPr>
              <w:jc w:val="center"/>
              <w:rPr>
                <w:rFonts w:ascii="Arial Narrow" w:eastAsia="Times New Roman" w:hAnsi="Arial Narrow" w:cs="Calibri"/>
                <w:b/>
                <w:bCs/>
                <w:color w:val="FFFFFF"/>
                <w:sz w:val="22"/>
                <w:szCs w:val="22"/>
                <w:lang w:val="es-CR"/>
              </w:rPr>
            </w:pPr>
            <w:r w:rsidRPr="000F3F2A">
              <w:rPr>
                <w:rFonts w:ascii="Arial Narrow" w:eastAsia="Times New Roman" w:hAnsi="Arial Narrow" w:cs="Calibri"/>
                <w:b/>
                <w:bCs/>
                <w:color w:val="FFFFFF"/>
                <w:sz w:val="22"/>
                <w:szCs w:val="22"/>
                <w:lang w:val="es-CR"/>
              </w:rPr>
              <w:t>Normativa técnica y disposiciones adicionales</w:t>
            </w:r>
          </w:p>
        </w:tc>
      </w:tr>
      <w:tr w:rsidR="000F3F2A" w:rsidRPr="000F3F2A" w14:paraId="49178AA4" w14:textId="77777777" w:rsidTr="00725F9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428232"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F89AE2D"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96</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6FEBD168"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44CD738C" w14:textId="77777777" w:rsidR="000F3F2A" w:rsidRPr="000F3F2A"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Activos conjuntos</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7D0C9510" w14:textId="77777777" w:rsidR="00725F92"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NICSP N° 18,</w:t>
            </w:r>
          </w:p>
          <w:p w14:paraId="18D6A9F0" w14:textId="2F697DD1" w:rsidR="000F3F2A" w:rsidRPr="000F3F2A"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Párrafo 47.</w:t>
            </w:r>
          </w:p>
        </w:tc>
        <w:tc>
          <w:tcPr>
            <w:tcW w:w="1848" w:type="dxa"/>
            <w:gridSpan w:val="2"/>
            <w:tcBorders>
              <w:top w:val="single" w:sz="8" w:space="0" w:color="auto"/>
              <w:left w:val="nil"/>
              <w:bottom w:val="single" w:sz="8" w:space="0" w:color="auto"/>
              <w:right w:val="single" w:sz="8" w:space="0" w:color="auto"/>
            </w:tcBorders>
            <w:shd w:val="clear" w:color="auto" w:fill="auto"/>
            <w:vAlign w:val="center"/>
            <w:hideMark/>
          </w:tcPr>
          <w:p w14:paraId="7E421B20"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w:t>
            </w:r>
          </w:p>
        </w:tc>
      </w:tr>
    </w:tbl>
    <w:p w14:paraId="50E29693" w14:textId="77777777" w:rsidR="00A85169" w:rsidRDefault="00A85169" w:rsidP="002236BD">
      <w:pPr>
        <w:pStyle w:val="Default"/>
        <w:ind w:left="1134" w:hanging="1134"/>
        <w:jc w:val="both"/>
        <w:rPr>
          <w:sz w:val="22"/>
          <w:szCs w:val="22"/>
          <w:lang w:val="es-CR"/>
        </w:rPr>
      </w:pPr>
    </w:p>
    <w:p w14:paraId="729870E7" w14:textId="30AC10AA" w:rsidR="00725F92" w:rsidRDefault="00725F92" w:rsidP="00725F92">
      <w:pPr>
        <w:pStyle w:val="Default"/>
        <w:ind w:left="1134" w:hanging="1134"/>
        <w:jc w:val="both"/>
        <w:rPr>
          <w:rFonts w:eastAsia="Arial"/>
          <w:b/>
          <w:sz w:val="22"/>
          <w:szCs w:val="22"/>
        </w:rPr>
      </w:pPr>
      <w:r w:rsidRPr="00F02F9D">
        <w:rPr>
          <w:rFonts w:eastAsia="Arial"/>
          <w:b/>
          <w:sz w:val="22"/>
          <w:szCs w:val="22"/>
        </w:rPr>
        <w:t>Política Contable</w:t>
      </w:r>
    </w:p>
    <w:p w14:paraId="37A5E6EA" w14:textId="77777777" w:rsidR="00725F92" w:rsidRDefault="00725F92" w:rsidP="002236BD">
      <w:pPr>
        <w:pStyle w:val="Default"/>
        <w:ind w:left="1134" w:hanging="1134"/>
        <w:jc w:val="both"/>
        <w:rPr>
          <w:sz w:val="22"/>
          <w:szCs w:val="22"/>
          <w:lang w:val="es-CR"/>
        </w:rPr>
      </w:pPr>
    </w:p>
    <w:p w14:paraId="3E360291" w14:textId="5BD5927C" w:rsidR="000F3F2A" w:rsidRPr="000F3F2A" w:rsidRDefault="000F3F2A" w:rsidP="002236BD">
      <w:pPr>
        <w:pStyle w:val="Default"/>
        <w:ind w:left="1134" w:hanging="1134"/>
        <w:jc w:val="both"/>
        <w:rPr>
          <w:sz w:val="22"/>
          <w:szCs w:val="22"/>
          <w:lang w:val="es-CR"/>
        </w:rPr>
      </w:pPr>
      <w:r>
        <w:rPr>
          <w:sz w:val="22"/>
          <w:szCs w:val="22"/>
          <w:lang w:val="es-CR"/>
        </w:rPr>
        <w:t>6.96.0.01</w:t>
      </w:r>
      <w:r>
        <w:rPr>
          <w:sz w:val="22"/>
          <w:szCs w:val="22"/>
          <w:lang w:val="es-CR"/>
        </w:rPr>
        <w:tab/>
      </w:r>
      <w:r w:rsidRPr="000F3F2A">
        <w:rPr>
          <w:sz w:val="22"/>
          <w:szCs w:val="22"/>
          <w:lang w:val="es-CR"/>
        </w:rPr>
        <w:t>Los activos que sean utilizados conjuntamente por dos o más segmentos deben ser distribuidos entre los mismos si, y sólo si, los ingresos y gastos relacionados con dichos activos son también objeto de reparto entre los segmentos.</w:t>
      </w:r>
    </w:p>
    <w:p w14:paraId="59ED1243" w14:textId="77777777" w:rsidR="00A85169" w:rsidRDefault="00A85169" w:rsidP="002236BD">
      <w:pPr>
        <w:pStyle w:val="Default"/>
        <w:ind w:left="1134" w:hanging="1134"/>
        <w:jc w:val="both"/>
        <w:rPr>
          <w:sz w:val="22"/>
          <w:szCs w:val="22"/>
          <w:lang w:val="es-CR"/>
        </w:rPr>
      </w:pPr>
    </w:p>
    <w:p w14:paraId="075EF2C5" w14:textId="77777777" w:rsidR="00725F92" w:rsidRDefault="00725F92" w:rsidP="002236BD">
      <w:pPr>
        <w:pStyle w:val="Default"/>
        <w:ind w:left="1134" w:hanging="1134"/>
        <w:jc w:val="both"/>
        <w:rPr>
          <w:sz w:val="22"/>
          <w:szCs w:val="22"/>
          <w:lang w:val="es-CR"/>
        </w:rPr>
      </w:pPr>
    </w:p>
    <w:p w14:paraId="38A34CE5" w14:textId="77777777" w:rsidR="00725F92" w:rsidRDefault="00725F92"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9"/>
        <w:gridCol w:w="2252"/>
        <w:gridCol w:w="1855"/>
      </w:tblGrid>
      <w:tr w:rsidR="000F3F2A" w:rsidRPr="000F3F2A" w14:paraId="4D85CD73" w14:textId="77777777" w:rsidTr="00725F92">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6138275E"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424B2ACC"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58B5B24B"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Referencia</w:t>
            </w:r>
          </w:p>
        </w:tc>
      </w:tr>
      <w:tr w:rsidR="000F3F2A" w:rsidRPr="006E5442" w14:paraId="58D8FDEF" w14:textId="77777777" w:rsidTr="00725F92">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21278554" w14:textId="77777777" w:rsidR="000F3F2A" w:rsidRPr="000F3F2A" w:rsidRDefault="000F3F2A" w:rsidP="000F3F2A">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0432A51C" w14:textId="77777777" w:rsidR="000F3F2A" w:rsidRPr="000F3F2A" w:rsidRDefault="000F3F2A" w:rsidP="000F3F2A">
            <w:pPr>
              <w:rPr>
                <w:rFonts w:ascii="Arial Narrow" w:eastAsia="Times New Roman" w:hAnsi="Arial Narrow" w:cs="Calibri"/>
                <w:b/>
                <w:bCs/>
                <w:color w:val="FFFFFF"/>
                <w:sz w:val="22"/>
                <w:szCs w:val="22"/>
              </w:rPr>
            </w:pPr>
          </w:p>
        </w:tc>
        <w:tc>
          <w:tcPr>
            <w:tcW w:w="2252" w:type="dxa"/>
            <w:tcBorders>
              <w:top w:val="nil"/>
              <w:left w:val="nil"/>
              <w:bottom w:val="nil"/>
              <w:right w:val="single" w:sz="8" w:space="0" w:color="auto"/>
            </w:tcBorders>
            <w:shd w:val="clear" w:color="000000" w:fill="203764"/>
            <w:vAlign w:val="center"/>
            <w:hideMark/>
          </w:tcPr>
          <w:p w14:paraId="25F4E27D"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w:t>
            </w:r>
          </w:p>
        </w:tc>
        <w:tc>
          <w:tcPr>
            <w:tcW w:w="1855" w:type="dxa"/>
            <w:tcBorders>
              <w:top w:val="nil"/>
              <w:left w:val="nil"/>
              <w:bottom w:val="nil"/>
              <w:right w:val="single" w:sz="8" w:space="0" w:color="auto"/>
            </w:tcBorders>
            <w:shd w:val="clear" w:color="000000" w:fill="203764"/>
            <w:vAlign w:val="center"/>
            <w:hideMark/>
          </w:tcPr>
          <w:p w14:paraId="3EA19B8B" w14:textId="77777777" w:rsidR="000F3F2A" w:rsidRPr="000F3F2A" w:rsidRDefault="000F3F2A" w:rsidP="000F3F2A">
            <w:pPr>
              <w:jc w:val="center"/>
              <w:rPr>
                <w:rFonts w:ascii="Arial Narrow" w:eastAsia="Times New Roman" w:hAnsi="Arial Narrow" w:cs="Calibri"/>
                <w:b/>
                <w:bCs/>
                <w:color w:val="FFFFFF"/>
                <w:sz w:val="22"/>
                <w:szCs w:val="22"/>
                <w:lang w:val="es-CR"/>
              </w:rPr>
            </w:pPr>
            <w:r w:rsidRPr="000F3F2A">
              <w:rPr>
                <w:rFonts w:ascii="Arial Narrow" w:eastAsia="Times New Roman" w:hAnsi="Arial Narrow" w:cs="Calibri"/>
                <w:b/>
                <w:bCs/>
                <w:color w:val="FFFFFF"/>
                <w:sz w:val="22"/>
                <w:szCs w:val="22"/>
                <w:lang w:val="es-CR"/>
              </w:rPr>
              <w:t>Normativa técnica y disposiciones adicionales</w:t>
            </w:r>
          </w:p>
        </w:tc>
      </w:tr>
      <w:tr w:rsidR="000F3F2A" w:rsidRPr="000F3F2A" w14:paraId="6367E6D8" w14:textId="77777777" w:rsidTr="00725F9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929CE2"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E994285"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97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0899DFE8"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xml:space="preserve">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122F76DD" w14:textId="77777777" w:rsidR="000F3F2A" w:rsidRPr="000F3F2A"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Pasivos del segmento</w:t>
            </w:r>
          </w:p>
        </w:tc>
        <w:tc>
          <w:tcPr>
            <w:tcW w:w="2252" w:type="dxa"/>
            <w:tcBorders>
              <w:top w:val="single" w:sz="8" w:space="0" w:color="auto"/>
              <w:left w:val="nil"/>
              <w:bottom w:val="single" w:sz="8" w:space="0" w:color="auto"/>
              <w:right w:val="single" w:sz="8" w:space="0" w:color="auto"/>
            </w:tcBorders>
            <w:shd w:val="clear" w:color="auto" w:fill="auto"/>
            <w:vAlign w:val="center"/>
            <w:hideMark/>
          </w:tcPr>
          <w:p w14:paraId="473F93AF" w14:textId="77777777" w:rsidR="00725F92"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NICSP N° 18,</w:t>
            </w:r>
          </w:p>
          <w:p w14:paraId="41EFBCE0" w14:textId="67A1DA46" w:rsidR="000F3F2A" w:rsidRPr="000F3F2A"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Párrafo 27.</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14:paraId="252DA6E2"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w:t>
            </w:r>
          </w:p>
        </w:tc>
      </w:tr>
    </w:tbl>
    <w:p w14:paraId="6913DC16" w14:textId="77777777" w:rsidR="00A85169" w:rsidRDefault="00A85169" w:rsidP="002236BD">
      <w:pPr>
        <w:pStyle w:val="Default"/>
        <w:ind w:left="1134" w:hanging="1134"/>
        <w:jc w:val="both"/>
        <w:rPr>
          <w:sz w:val="22"/>
          <w:szCs w:val="22"/>
          <w:lang w:val="es-CR"/>
        </w:rPr>
      </w:pPr>
    </w:p>
    <w:p w14:paraId="1AD2EA59" w14:textId="57AC31DB" w:rsidR="00725F92" w:rsidRDefault="00725F92" w:rsidP="00725F92">
      <w:pPr>
        <w:pStyle w:val="Default"/>
        <w:ind w:left="1134" w:hanging="1134"/>
        <w:jc w:val="both"/>
        <w:rPr>
          <w:rFonts w:eastAsia="Arial"/>
          <w:b/>
          <w:sz w:val="22"/>
          <w:szCs w:val="22"/>
        </w:rPr>
      </w:pPr>
      <w:r w:rsidRPr="00F02F9D">
        <w:rPr>
          <w:rFonts w:eastAsia="Arial"/>
          <w:b/>
          <w:sz w:val="22"/>
          <w:szCs w:val="22"/>
        </w:rPr>
        <w:t>Política Contable</w:t>
      </w:r>
    </w:p>
    <w:p w14:paraId="1E82CBD8" w14:textId="77777777" w:rsidR="00725F92" w:rsidRDefault="00725F92" w:rsidP="002236BD">
      <w:pPr>
        <w:pStyle w:val="Default"/>
        <w:ind w:left="1134" w:hanging="1134"/>
        <w:jc w:val="both"/>
        <w:rPr>
          <w:sz w:val="22"/>
          <w:szCs w:val="22"/>
          <w:lang w:val="es-CR"/>
        </w:rPr>
      </w:pPr>
    </w:p>
    <w:p w14:paraId="7B8EEB91" w14:textId="20D746B1" w:rsidR="000F3F2A" w:rsidRDefault="000F3F2A" w:rsidP="000F3F2A">
      <w:pPr>
        <w:pStyle w:val="Default"/>
        <w:ind w:left="1134" w:hanging="1134"/>
        <w:jc w:val="both"/>
        <w:rPr>
          <w:sz w:val="22"/>
          <w:szCs w:val="22"/>
          <w:lang w:val="es-CR"/>
        </w:rPr>
      </w:pPr>
      <w:r>
        <w:rPr>
          <w:sz w:val="22"/>
          <w:szCs w:val="22"/>
          <w:lang w:val="es-CR"/>
        </w:rPr>
        <w:lastRenderedPageBreak/>
        <w:t>6.97.0.01</w:t>
      </w:r>
      <w:r>
        <w:rPr>
          <w:sz w:val="22"/>
          <w:szCs w:val="22"/>
          <w:lang w:val="es-CR"/>
        </w:rPr>
        <w:tab/>
      </w:r>
      <w:r w:rsidRPr="000F3F2A">
        <w:rPr>
          <w:sz w:val="22"/>
          <w:szCs w:val="22"/>
          <w:lang w:val="es-CR"/>
        </w:rPr>
        <w:t>Son los que se derivan de las actividades operativas del segmento y que le son directamente atribuibles o pueden asignársele utilizando bases razonables de reparto. Se incluyen entre otros:</w:t>
      </w:r>
    </w:p>
    <w:p w14:paraId="3E9C978F" w14:textId="77777777" w:rsidR="000F3F2A" w:rsidRPr="000F3F2A" w:rsidRDefault="000F3F2A" w:rsidP="000F3F2A">
      <w:pPr>
        <w:pStyle w:val="Default"/>
        <w:ind w:left="1134" w:hanging="1134"/>
        <w:jc w:val="both"/>
        <w:rPr>
          <w:sz w:val="22"/>
          <w:szCs w:val="22"/>
          <w:lang w:val="es-CR"/>
        </w:rPr>
      </w:pPr>
    </w:p>
    <w:p w14:paraId="34F0086C" w14:textId="768EADDF" w:rsidR="000F3F2A" w:rsidRPr="000F3F2A" w:rsidRDefault="000F3F2A">
      <w:pPr>
        <w:pStyle w:val="Default"/>
        <w:numPr>
          <w:ilvl w:val="0"/>
          <w:numId w:val="414"/>
        </w:numPr>
        <w:spacing w:after="120"/>
        <w:ind w:left="1418" w:hanging="284"/>
        <w:jc w:val="both"/>
        <w:rPr>
          <w:sz w:val="22"/>
          <w:szCs w:val="22"/>
          <w:lang w:val="es-CR"/>
        </w:rPr>
      </w:pPr>
      <w:r>
        <w:rPr>
          <w:sz w:val="22"/>
          <w:szCs w:val="22"/>
          <w:lang w:val="es-CR"/>
        </w:rPr>
        <w:t>S</w:t>
      </w:r>
      <w:r w:rsidRPr="000F3F2A">
        <w:rPr>
          <w:sz w:val="22"/>
          <w:szCs w:val="22"/>
          <w:lang w:val="es-CR"/>
        </w:rPr>
        <w:t xml:space="preserve">i se han incluido en el gasto del segmento costos por intereses, los pasivos del segmento incluirán las deudas causantes de tales intereses; y </w:t>
      </w:r>
    </w:p>
    <w:p w14:paraId="777FDCB1" w14:textId="0EE11965" w:rsidR="000F3F2A" w:rsidRDefault="000F3F2A">
      <w:pPr>
        <w:pStyle w:val="Default"/>
        <w:numPr>
          <w:ilvl w:val="0"/>
          <w:numId w:val="414"/>
        </w:numPr>
        <w:ind w:left="1418" w:hanging="284"/>
        <w:jc w:val="both"/>
        <w:rPr>
          <w:sz w:val="22"/>
          <w:szCs w:val="22"/>
          <w:lang w:val="es-CR"/>
        </w:rPr>
      </w:pPr>
      <w:r>
        <w:rPr>
          <w:sz w:val="22"/>
          <w:szCs w:val="22"/>
          <w:lang w:val="es-CR"/>
        </w:rPr>
        <w:t>L</w:t>
      </w:r>
      <w:r w:rsidRPr="000F3F2A">
        <w:rPr>
          <w:sz w:val="22"/>
          <w:szCs w:val="22"/>
          <w:lang w:val="es-CR"/>
        </w:rPr>
        <w:t xml:space="preserve">a parte que corresponda a la entidad participante en los pasivos de los negocios conjuntos que se contabilicen por el método de participación, de acuerdo con la NICSP N° 37 </w:t>
      </w:r>
      <w:r w:rsidRPr="000F3F2A">
        <w:rPr>
          <w:i/>
          <w:iCs/>
          <w:sz w:val="22"/>
          <w:szCs w:val="22"/>
          <w:lang w:val="es-CR"/>
        </w:rPr>
        <w:t>Acuerdos Conjuntos”</w:t>
      </w:r>
      <w:r w:rsidRPr="000F3F2A">
        <w:rPr>
          <w:sz w:val="22"/>
          <w:szCs w:val="22"/>
          <w:lang w:val="es-CR"/>
        </w:rPr>
        <w:t>.</w:t>
      </w:r>
    </w:p>
    <w:p w14:paraId="1A090F19" w14:textId="77777777" w:rsidR="000F3F2A" w:rsidRDefault="000F3F2A" w:rsidP="000F3F2A">
      <w:pPr>
        <w:pStyle w:val="Default"/>
        <w:ind w:left="1418"/>
        <w:jc w:val="both"/>
        <w:rPr>
          <w:sz w:val="22"/>
          <w:szCs w:val="22"/>
          <w:lang w:val="es-CR"/>
        </w:rPr>
      </w:pPr>
    </w:p>
    <w:p w14:paraId="52C5C3DA" w14:textId="77777777" w:rsidR="00725F92" w:rsidRPr="000F3F2A" w:rsidRDefault="00725F92" w:rsidP="000F3F2A">
      <w:pPr>
        <w:pStyle w:val="Default"/>
        <w:ind w:left="1418"/>
        <w:jc w:val="both"/>
        <w:rPr>
          <w:sz w:val="22"/>
          <w:szCs w:val="22"/>
          <w:lang w:val="es-CR"/>
        </w:rPr>
      </w:pPr>
    </w:p>
    <w:p w14:paraId="2626CC0D" w14:textId="77777777" w:rsidR="00A85169" w:rsidRDefault="00A85169"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91"/>
        <w:gridCol w:w="2251"/>
        <w:gridCol w:w="1854"/>
      </w:tblGrid>
      <w:tr w:rsidR="000F3F2A" w:rsidRPr="000F3F2A" w14:paraId="0BBFECD4" w14:textId="77777777" w:rsidTr="00725F92">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7E7172B"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 / Política</w:t>
            </w:r>
          </w:p>
        </w:tc>
        <w:tc>
          <w:tcPr>
            <w:tcW w:w="36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4770717C"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Concepto</w:t>
            </w:r>
          </w:p>
        </w:tc>
        <w:tc>
          <w:tcPr>
            <w:tcW w:w="4105" w:type="dxa"/>
            <w:gridSpan w:val="2"/>
            <w:tcBorders>
              <w:top w:val="single" w:sz="8" w:space="0" w:color="auto"/>
              <w:left w:val="nil"/>
              <w:bottom w:val="single" w:sz="8" w:space="0" w:color="auto"/>
              <w:right w:val="single" w:sz="8" w:space="0" w:color="000000"/>
            </w:tcBorders>
            <w:shd w:val="clear" w:color="000000" w:fill="203764"/>
            <w:vAlign w:val="center"/>
            <w:hideMark/>
          </w:tcPr>
          <w:p w14:paraId="3FBE89F9"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Referencia</w:t>
            </w:r>
          </w:p>
        </w:tc>
      </w:tr>
      <w:tr w:rsidR="000F3F2A" w:rsidRPr="006E5442" w14:paraId="4E41AE73" w14:textId="77777777" w:rsidTr="00725F92">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5CED2C8C" w14:textId="77777777" w:rsidR="000F3F2A" w:rsidRPr="000F3F2A" w:rsidRDefault="000F3F2A" w:rsidP="000F3F2A">
            <w:pPr>
              <w:rPr>
                <w:rFonts w:ascii="Arial Narrow" w:eastAsia="Times New Roman" w:hAnsi="Arial Narrow" w:cs="Calibri"/>
                <w:b/>
                <w:bCs/>
                <w:color w:val="FFFFFF"/>
                <w:sz w:val="22"/>
                <w:szCs w:val="22"/>
              </w:rPr>
            </w:pPr>
          </w:p>
        </w:tc>
        <w:tc>
          <w:tcPr>
            <w:tcW w:w="3691" w:type="dxa"/>
            <w:vMerge/>
            <w:tcBorders>
              <w:top w:val="single" w:sz="8" w:space="0" w:color="auto"/>
              <w:left w:val="single" w:sz="8" w:space="0" w:color="auto"/>
              <w:bottom w:val="nil"/>
              <w:right w:val="single" w:sz="8" w:space="0" w:color="auto"/>
            </w:tcBorders>
            <w:vAlign w:val="center"/>
            <w:hideMark/>
          </w:tcPr>
          <w:p w14:paraId="11D2E528" w14:textId="77777777" w:rsidR="000F3F2A" w:rsidRPr="000F3F2A" w:rsidRDefault="000F3F2A" w:rsidP="000F3F2A">
            <w:pPr>
              <w:rPr>
                <w:rFonts w:ascii="Arial Narrow" w:eastAsia="Times New Roman" w:hAnsi="Arial Narrow" w:cs="Calibri"/>
                <w:b/>
                <w:bCs/>
                <w:color w:val="FFFFFF"/>
                <w:sz w:val="22"/>
                <w:szCs w:val="22"/>
              </w:rPr>
            </w:pPr>
          </w:p>
        </w:tc>
        <w:tc>
          <w:tcPr>
            <w:tcW w:w="2251" w:type="dxa"/>
            <w:tcBorders>
              <w:top w:val="nil"/>
              <w:left w:val="nil"/>
              <w:bottom w:val="nil"/>
              <w:right w:val="single" w:sz="8" w:space="0" w:color="auto"/>
            </w:tcBorders>
            <w:shd w:val="clear" w:color="000000" w:fill="203764"/>
            <w:vAlign w:val="center"/>
            <w:hideMark/>
          </w:tcPr>
          <w:p w14:paraId="62ADF164"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w:t>
            </w:r>
          </w:p>
        </w:tc>
        <w:tc>
          <w:tcPr>
            <w:tcW w:w="1854" w:type="dxa"/>
            <w:tcBorders>
              <w:top w:val="nil"/>
              <w:left w:val="nil"/>
              <w:bottom w:val="nil"/>
              <w:right w:val="single" w:sz="8" w:space="0" w:color="auto"/>
            </w:tcBorders>
            <w:shd w:val="clear" w:color="000000" w:fill="203764"/>
            <w:vAlign w:val="center"/>
            <w:hideMark/>
          </w:tcPr>
          <w:p w14:paraId="46127C91" w14:textId="77777777" w:rsidR="000F3F2A" w:rsidRPr="000F3F2A" w:rsidRDefault="000F3F2A" w:rsidP="000F3F2A">
            <w:pPr>
              <w:jc w:val="center"/>
              <w:rPr>
                <w:rFonts w:ascii="Arial Narrow" w:eastAsia="Times New Roman" w:hAnsi="Arial Narrow" w:cs="Calibri"/>
                <w:b/>
                <w:bCs/>
                <w:color w:val="FFFFFF"/>
                <w:sz w:val="22"/>
                <w:szCs w:val="22"/>
                <w:lang w:val="es-CR"/>
              </w:rPr>
            </w:pPr>
            <w:r w:rsidRPr="000F3F2A">
              <w:rPr>
                <w:rFonts w:ascii="Arial Narrow" w:eastAsia="Times New Roman" w:hAnsi="Arial Narrow" w:cs="Calibri"/>
                <w:b/>
                <w:bCs/>
                <w:color w:val="FFFFFF"/>
                <w:sz w:val="22"/>
                <w:szCs w:val="22"/>
                <w:lang w:val="es-CR"/>
              </w:rPr>
              <w:t>Normativa técnica y disposiciones adicionales</w:t>
            </w:r>
          </w:p>
        </w:tc>
      </w:tr>
      <w:tr w:rsidR="000F3F2A" w:rsidRPr="000F3F2A" w14:paraId="753EB7EE" w14:textId="77777777" w:rsidTr="00725F9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CE6192"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081F82E"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98</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051AC3E6"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xml:space="preserve"> </w:t>
            </w:r>
          </w:p>
        </w:tc>
        <w:tc>
          <w:tcPr>
            <w:tcW w:w="3691" w:type="dxa"/>
            <w:tcBorders>
              <w:top w:val="single" w:sz="8" w:space="0" w:color="auto"/>
              <w:left w:val="nil"/>
              <w:bottom w:val="single" w:sz="8" w:space="0" w:color="auto"/>
              <w:right w:val="single" w:sz="8" w:space="0" w:color="auto"/>
            </w:tcBorders>
            <w:shd w:val="clear" w:color="auto" w:fill="auto"/>
            <w:vAlign w:val="center"/>
            <w:hideMark/>
          </w:tcPr>
          <w:p w14:paraId="6ED9F118" w14:textId="77777777" w:rsidR="000F3F2A" w:rsidRPr="000F3F2A" w:rsidRDefault="000F3F2A" w:rsidP="000F3F2A">
            <w:pPr>
              <w:jc w:val="both"/>
              <w:rPr>
                <w:rFonts w:ascii="Arial Narrow" w:eastAsia="Times New Roman" w:hAnsi="Arial Narrow" w:cs="Calibri"/>
                <w:b/>
                <w:bCs/>
                <w:color w:val="000000"/>
                <w:sz w:val="22"/>
                <w:szCs w:val="22"/>
                <w:lang w:val="es-CR"/>
              </w:rPr>
            </w:pPr>
            <w:r w:rsidRPr="000F3F2A">
              <w:rPr>
                <w:rFonts w:ascii="Arial Narrow" w:eastAsia="Times New Roman" w:hAnsi="Arial Narrow" w:cs="Calibri"/>
                <w:b/>
                <w:bCs/>
                <w:color w:val="000000"/>
                <w:sz w:val="22"/>
                <w:szCs w:val="22"/>
                <w:lang w:val="es-CR"/>
              </w:rPr>
              <w:t>Exclusiones a los pasivos del segmento</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274016B8" w14:textId="77777777" w:rsidR="00725F92"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NICSP N° 18,</w:t>
            </w:r>
          </w:p>
          <w:p w14:paraId="3A031BCE" w14:textId="3E859F61" w:rsidR="000F3F2A" w:rsidRPr="000F3F2A"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Párrafo 27.</w:t>
            </w:r>
          </w:p>
        </w:tc>
        <w:tc>
          <w:tcPr>
            <w:tcW w:w="1854" w:type="dxa"/>
            <w:tcBorders>
              <w:top w:val="single" w:sz="8" w:space="0" w:color="auto"/>
              <w:left w:val="nil"/>
              <w:bottom w:val="single" w:sz="8" w:space="0" w:color="auto"/>
              <w:right w:val="single" w:sz="8" w:space="0" w:color="auto"/>
            </w:tcBorders>
            <w:shd w:val="clear" w:color="auto" w:fill="auto"/>
            <w:vAlign w:val="center"/>
            <w:hideMark/>
          </w:tcPr>
          <w:p w14:paraId="244E91DE"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w:t>
            </w:r>
          </w:p>
        </w:tc>
      </w:tr>
    </w:tbl>
    <w:p w14:paraId="0BB3C939" w14:textId="77777777" w:rsidR="00CE303F" w:rsidRDefault="00CE303F" w:rsidP="002236BD">
      <w:pPr>
        <w:pStyle w:val="Default"/>
        <w:ind w:left="1134" w:hanging="1134"/>
        <w:jc w:val="both"/>
        <w:rPr>
          <w:sz w:val="22"/>
          <w:szCs w:val="22"/>
          <w:lang w:val="es-CR"/>
        </w:rPr>
      </w:pPr>
    </w:p>
    <w:p w14:paraId="1D6909E2" w14:textId="4E4F2028" w:rsidR="00725F92" w:rsidRDefault="00725F92" w:rsidP="00725F92">
      <w:pPr>
        <w:pStyle w:val="Default"/>
        <w:ind w:left="1134" w:hanging="1134"/>
        <w:jc w:val="both"/>
        <w:rPr>
          <w:rFonts w:eastAsia="Arial"/>
          <w:b/>
          <w:sz w:val="22"/>
          <w:szCs w:val="22"/>
        </w:rPr>
      </w:pPr>
      <w:r w:rsidRPr="00F02F9D">
        <w:rPr>
          <w:rFonts w:eastAsia="Arial"/>
          <w:b/>
          <w:sz w:val="22"/>
          <w:szCs w:val="22"/>
        </w:rPr>
        <w:t>Política Contable</w:t>
      </w:r>
    </w:p>
    <w:p w14:paraId="37E31352" w14:textId="77777777" w:rsidR="00725F92" w:rsidRDefault="00725F92" w:rsidP="002236BD">
      <w:pPr>
        <w:pStyle w:val="Default"/>
        <w:ind w:left="1134" w:hanging="1134"/>
        <w:jc w:val="both"/>
        <w:rPr>
          <w:sz w:val="22"/>
          <w:szCs w:val="22"/>
          <w:lang w:val="es-CR"/>
        </w:rPr>
      </w:pPr>
    </w:p>
    <w:p w14:paraId="7CBB062A" w14:textId="5DD9E0E8" w:rsidR="00CE303F" w:rsidRPr="000F3F2A" w:rsidRDefault="000F3F2A" w:rsidP="002236BD">
      <w:pPr>
        <w:pStyle w:val="Default"/>
        <w:ind w:left="1134" w:hanging="1134"/>
        <w:jc w:val="both"/>
        <w:rPr>
          <w:sz w:val="22"/>
          <w:szCs w:val="22"/>
          <w:lang w:val="es-CR"/>
        </w:rPr>
      </w:pPr>
      <w:r>
        <w:rPr>
          <w:sz w:val="22"/>
          <w:szCs w:val="22"/>
          <w:lang w:val="es-CR"/>
        </w:rPr>
        <w:t>6.98.0.01</w:t>
      </w:r>
      <w:r>
        <w:rPr>
          <w:sz w:val="22"/>
          <w:szCs w:val="22"/>
          <w:lang w:val="es-CR"/>
        </w:rPr>
        <w:tab/>
      </w:r>
      <w:r w:rsidRPr="000F3F2A">
        <w:rPr>
          <w:sz w:val="22"/>
          <w:szCs w:val="22"/>
          <w:lang w:val="es-CR"/>
        </w:rPr>
        <w:t>No incluyen las deudas por impuestos a las ganancias, a las utilidades o sus equivalentes que estén reconocidos de conformidad con las normas de contabilidad sobre dichas obligaciones.</w:t>
      </w:r>
    </w:p>
    <w:p w14:paraId="48DC28F5" w14:textId="77777777" w:rsidR="00CE303F" w:rsidRPr="000F3F2A" w:rsidRDefault="00CE303F" w:rsidP="002236BD">
      <w:pPr>
        <w:pStyle w:val="Default"/>
        <w:ind w:left="1134" w:hanging="1134"/>
        <w:jc w:val="both"/>
        <w:rPr>
          <w:sz w:val="22"/>
          <w:szCs w:val="22"/>
          <w:lang w:val="es-CR"/>
        </w:rPr>
      </w:pPr>
    </w:p>
    <w:p w14:paraId="6FFFF079" w14:textId="77777777" w:rsidR="00CE303F" w:rsidRDefault="00CE303F" w:rsidP="002236BD">
      <w:pPr>
        <w:pStyle w:val="Default"/>
        <w:ind w:left="1134" w:hanging="1134"/>
        <w:jc w:val="both"/>
        <w:rPr>
          <w:sz w:val="22"/>
          <w:szCs w:val="22"/>
          <w:lang w:val="es-CR"/>
        </w:rPr>
      </w:pPr>
    </w:p>
    <w:p w14:paraId="04B7CCEE" w14:textId="77777777" w:rsidR="00CE303F" w:rsidRDefault="00CE303F" w:rsidP="002236BD">
      <w:pPr>
        <w:pStyle w:val="Default"/>
        <w:ind w:left="1134" w:hanging="1134"/>
        <w:jc w:val="both"/>
        <w:rPr>
          <w:sz w:val="22"/>
          <w:szCs w:val="22"/>
          <w:lang w:val="es-CR"/>
        </w:rPr>
      </w:pPr>
    </w:p>
    <w:tbl>
      <w:tblPr>
        <w:tblW w:w="9375" w:type="dxa"/>
        <w:tblLook w:val="04A0" w:firstRow="1" w:lastRow="0" w:firstColumn="1" w:lastColumn="0" w:noHBand="0" w:noVBand="1"/>
      </w:tblPr>
      <w:tblGrid>
        <w:gridCol w:w="416"/>
        <w:gridCol w:w="662"/>
        <w:gridCol w:w="522"/>
        <w:gridCol w:w="3739"/>
        <w:gridCol w:w="2164"/>
        <w:gridCol w:w="1872"/>
      </w:tblGrid>
      <w:tr w:rsidR="000F3F2A" w:rsidRPr="000F3F2A" w14:paraId="167A9931" w14:textId="77777777" w:rsidTr="00725F92">
        <w:trPr>
          <w:trHeight w:val="320"/>
        </w:trPr>
        <w:tc>
          <w:tcPr>
            <w:tcW w:w="160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E380DC6"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 / Política</w:t>
            </w:r>
          </w:p>
        </w:tc>
        <w:tc>
          <w:tcPr>
            <w:tcW w:w="373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7538DA"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Concepto</w:t>
            </w:r>
          </w:p>
        </w:tc>
        <w:tc>
          <w:tcPr>
            <w:tcW w:w="4036" w:type="dxa"/>
            <w:gridSpan w:val="2"/>
            <w:tcBorders>
              <w:top w:val="single" w:sz="8" w:space="0" w:color="auto"/>
              <w:left w:val="nil"/>
              <w:bottom w:val="single" w:sz="8" w:space="0" w:color="auto"/>
              <w:right w:val="single" w:sz="8" w:space="0" w:color="000000"/>
            </w:tcBorders>
            <w:shd w:val="clear" w:color="000000" w:fill="203764"/>
            <w:vAlign w:val="center"/>
            <w:hideMark/>
          </w:tcPr>
          <w:p w14:paraId="2712C775"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Referencia</w:t>
            </w:r>
          </w:p>
        </w:tc>
      </w:tr>
      <w:tr w:rsidR="000F3F2A" w:rsidRPr="006E5442" w14:paraId="5A96C1A4" w14:textId="77777777" w:rsidTr="00725F92">
        <w:trPr>
          <w:trHeight w:val="850"/>
        </w:trPr>
        <w:tc>
          <w:tcPr>
            <w:tcW w:w="1600" w:type="dxa"/>
            <w:gridSpan w:val="3"/>
            <w:vMerge/>
            <w:tcBorders>
              <w:top w:val="single" w:sz="8" w:space="0" w:color="auto"/>
              <w:left w:val="single" w:sz="8" w:space="0" w:color="auto"/>
              <w:bottom w:val="nil"/>
              <w:right w:val="single" w:sz="8" w:space="0" w:color="000000"/>
            </w:tcBorders>
            <w:vAlign w:val="center"/>
            <w:hideMark/>
          </w:tcPr>
          <w:p w14:paraId="78539D6D" w14:textId="77777777" w:rsidR="000F3F2A" w:rsidRPr="000F3F2A" w:rsidRDefault="000F3F2A" w:rsidP="000F3F2A">
            <w:pPr>
              <w:rPr>
                <w:rFonts w:ascii="Arial Narrow" w:eastAsia="Times New Roman" w:hAnsi="Arial Narrow" w:cs="Calibri"/>
                <w:b/>
                <w:bCs/>
                <w:color w:val="FFFFFF"/>
                <w:sz w:val="22"/>
                <w:szCs w:val="22"/>
              </w:rPr>
            </w:pPr>
          </w:p>
        </w:tc>
        <w:tc>
          <w:tcPr>
            <w:tcW w:w="3739" w:type="dxa"/>
            <w:vMerge/>
            <w:tcBorders>
              <w:top w:val="single" w:sz="8" w:space="0" w:color="auto"/>
              <w:left w:val="single" w:sz="8" w:space="0" w:color="auto"/>
              <w:bottom w:val="nil"/>
              <w:right w:val="single" w:sz="8" w:space="0" w:color="auto"/>
            </w:tcBorders>
            <w:vAlign w:val="center"/>
            <w:hideMark/>
          </w:tcPr>
          <w:p w14:paraId="3ACB5A61" w14:textId="77777777" w:rsidR="000F3F2A" w:rsidRPr="000F3F2A" w:rsidRDefault="000F3F2A" w:rsidP="000F3F2A">
            <w:pPr>
              <w:rPr>
                <w:rFonts w:ascii="Arial Narrow" w:eastAsia="Times New Roman" w:hAnsi="Arial Narrow" w:cs="Calibri"/>
                <w:b/>
                <w:bCs/>
                <w:color w:val="FFFFFF"/>
                <w:sz w:val="22"/>
                <w:szCs w:val="22"/>
              </w:rPr>
            </w:pPr>
          </w:p>
        </w:tc>
        <w:tc>
          <w:tcPr>
            <w:tcW w:w="2164" w:type="dxa"/>
            <w:tcBorders>
              <w:top w:val="nil"/>
              <w:left w:val="nil"/>
              <w:bottom w:val="nil"/>
              <w:right w:val="single" w:sz="8" w:space="0" w:color="auto"/>
            </w:tcBorders>
            <w:shd w:val="clear" w:color="000000" w:fill="203764"/>
            <w:vAlign w:val="center"/>
            <w:hideMark/>
          </w:tcPr>
          <w:p w14:paraId="265717C7"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w:t>
            </w:r>
          </w:p>
        </w:tc>
        <w:tc>
          <w:tcPr>
            <w:tcW w:w="1870" w:type="dxa"/>
            <w:tcBorders>
              <w:top w:val="nil"/>
              <w:left w:val="nil"/>
              <w:bottom w:val="nil"/>
              <w:right w:val="single" w:sz="8" w:space="0" w:color="auto"/>
            </w:tcBorders>
            <w:shd w:val="clear" w:color="000000" w:fill="203764"/>
            <w:vAlign w:val="center"/>
            <w:hideMark/>
          </w:tcPr>
          <w:p w14:paraId="7637ED47" w14:textId="77777777" w:rsidR="000F3F2A" w:rsidRPr="000F3F2A" w:rsidRDefault="000F3F2A" w:rsidP="000F3F2A">
            <w:pPr>
              <w:jc w:val="center"/>
              <w:rPr>
                <w:rFonts w:ascii="Arial Narrow" w:eastAsia="Times New Roman" w:hAnsi="Arial Narrow" w:cs="Calibri"/>
                <w:b/>
                <w:bCs/>
                <w:color w:val="FFFFFF"/>
                <w:sz w:val="22"/>
                <w:szCs w:val="22"/>
                <w:lang w:val="es-CR"/>
              </w:rPr>
            </w:pPr>
            <w:r w:rsidRPr="000F3F2A">
              <w:rPr>
                <w:rFonts w:ascii="Arial Narrow" w:eastAsia="Times New Roman" w:hAnsi="Arial Narrow" w:cs="Calibri"/>
                <w:b/>
                <w:bCs/>
                <w:color w:val="FFFFFF"/>
                <w:sz w:val="22"/>
                <w:szCs w:val="22"/>
                <w:lang w:val="es-CR"/>
              </w:rPr>
              <w:t>Normativa técnica y disposiciones adicionales</w:t>
            </w:r>
          </w:p>
        </w:tc>
      </w:tr>
      <w:tr w:rsidR="000F3F2A" w:rsidRPr="000F3F2A" w14:paraId="4F4D50EA" w14:textId="77777777" w:rsidTr="00725F92">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8F8C5D" w14:textId="77777777" w:rsidR="000F3F2A" w:rsidRPr="000F3F2A" w:rsidRDefault="000F3F2A" w:rsidP="00725F92">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6</w:t>
            </w:r>
          </w:p>
        </w:tc>
        <w:tc>
          <w:tcPr>
            <w:tcW w:w="662" w:type="dxa"/>
            <w:tcBorders>
              <w:top w:val="single" w:sz="8" w:space="0" w:color="auto"/>
              <w:left w:val="nil"/>
              <w:bottom w:val="single" w:sz="8" w:space="0" w:color="auto"/>
              <w:right w:val="single" w:sz="8" w:space="0" w:color="auto"/>
            </w:tcBorders>
            <w:shd w:val="clear" w:color="auto" w:fill="auto"/>
            <w:vAlign w:val="center"/>
            <w:hideMark/>
          </w:tcPr>
          <w:p w14:paraId="7208B92D" w14:textId="77777777" w:rsidR="000F3F2A" w:rsidRPr="000F3F2A" w:rsidRDefault="000F3F2A" w:rsidP="00725F92">
            <w:pPr>
              <w:ind w:firstLineChars="16" w:firstLine="35"/>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99</w:t>
            </w:r>
          </w:p>
        </w:tc>
        <w:tc>
          <w:tcPr>
            <w:tcW w:w="522" w:type="dxa"/>
            <w:tcBorders>
              <w:top w:val="single" w:sz="8" w:space="0" w:color="auto"/>
              <w:left w:val="nil"/>
              <w:bottom w:val="single" w:sz="8" w:space="0" w:color="auto"/>
              <w:right w:val="single" w:sz="8" w:space="0" w:color="auto"/>
            </w:tcBorders>
            <w:shd w:val="clear" w:color="auto" w:fill="auto"/>
            <w:vAlign w:val="center"/>
            <w:hideMark/>
          </w:tcPr>
          <w:p w14:paraId="53B4FB0B"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xml:space="preserve"> </w:t>
            </w:r>
          </w:p>
        </w:tc>
        <w:tc>
          <w:tcPr>
            <w:tcW w:w="3739" w:type="dxa"/>
            <w:tcBorders>
              <w:top w:val="single" w:sz="8" w:space="0" w:color="auto"/>
              <w:left w:val="nil"/>
              <w:bottom w:val="single" w:sz="8" w:space="0" w:color="auto"/>
              <w:right w:val="single" w:sz="8" w:space="0" w:color="auto"/>
            </w:tcBorders>
            <w:shd w:val="clear" w:color="auto" w:fill="auto"/>
            <w:vAlign w:val="center"/>
            <w:hideMark/>
          </w:tcPr>
          <w:p w14:paraId="610FAD09" w14:textId="77777777" w:rsidR="000F3F2A" w:rsidRPr="000F3F2A" w:rsidRDefault="000F3F2A" w:rsidP="000F3F2A">
            <w:pP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Nuevos Segmentos</w:t>
            </w:r>
          </w:p>
        </w:tc>
        <w:tc>
          <w:tcPr>
            <w:tcW w:w="2164" w:type="dxa"/>
            <w:tcBorders>
              <w:top w:val="single" w:sz="8" w:space="0" w:color="auto"/>
              <w:left w:val="nil"/>
              <w:bottom w:val="single" w:sz="8" w:space="0" w:color="auto"/>
              <w:right w:val="single" w:sz="8" w:space="0" w:color="auto"/>
            </w:tcBorders>
            <w:shd w:val="clear" w:color="auto" w:fill="auto"/>
            <w:vAlign w:val="center"/>
            <w:hideMark/>
          </w:tcPr>
          <w:p w14:paraId="316E1C85" w14:textId="77777777" w:rsidR="000F3F2A" w:rsidRPr="000F3F2A" w:rsidRDefault="000F3F2A" w:rsidP="000F3F2A">
            <w:pP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NICSP N° 18,</w:t>
            </w:r>
            <w:r w:rsidRPr="000F3F2A">
              <w:rPr>
                <w:rFonts w:ascii="Arial Narrow" w:eastAsia="Times New Roman" w:hAnsi="Arial Narrow" w:cs="Calibri"/>
                <w:b/>
                <w:bCs/>
                <w:color w:val="000000"/>
                <w:sz w:val="22"/>
                <w:szCs w:val="22"/>
              </w:rPr>
              <w:br/>
              <w:t>Párrafos 49.</w:t>
            </w:r>
          </w:p>
        </w:tc>
        <w:tc>
          <w:tcPr>
            <w:tcW w:w="1870" w:type="dxa"/>
            <w:tcBorders>
              <w:top w:val="single" w:sz="8" w:space="0" w:color="auto"/>
              <w:left w:val="nil"/>
              <w:bottom w:val="single" w:sz="8" w:space="0" w:color="auto"/>
              <w:right w:val="single" w:sz="8" w:space="0" w:color="auto"/>
            </w:tcBorders>
            <w:shd w:val="clear" w:color="auto" w:fill="auto"/>
            <w:vAlign w:val="center"/>
            <w:hideMark/>
          </w:tcPr>
          <w:p w14:paraId="6848E385"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w:t>
            </w:r>
          </w:p>
        </w:tc>
      </w:tr>
    </w:tbl>
    <w:p w14:paraId="428768DA" w14:textId="77777777" w:rsidR="00CE303F" w:rsidRDefault="00CE303F" w:rsidP="002236BD">
      <w:pPr>
        <w:pStyle w:val="Default"/>
        <w:ind w:left="1134" w:hanging="1134"/>
        <w:jc w:val="both"/>
        <w:rPr>
          <w:sz w:val="22"/>
          <w:szCs w:val="22"/>
          <w:lang w:val="es-CR"/>
        </w:rPr>
      </w:pPr>
    </w:p>
    <w:p w14:paraId="0F91E22C" w14:textId="59177801" w:rsidR="00725F92" w:rsidRDefault="00725F92" w:rsidP="00725F92">
      <w:pPr>
        <w:pStyle w:val="Default"/>
        <w:ind w:left="1134" w:hanging="1134"/>
        <w:jc w:val="both"/>
        <w:rPr>
          <w:rFonts w:eastAsia="Arial"/>
          <w:b/>
          <w:sz w:val="22"/>
          <w:szCs w:val="22"/>
        </w:rPr>
      </w:pPr>
      <w:r w:rsidRPr="00F02F9D">
        <w:rPr>
          <w:rFonts w:eastAsia="Arial"/>
          <w:b/>
          <w:sz w:val="22"/>
          <w:szCs w:val="22"/>
        </w:rPr>
        <w:t>Política Contable</w:t>
      </w:r>
    </w:p>
    <w:p w14:paraId="04000379" w14:textId="77777777" w:rsidR="00725F92" w:rsidRDefault="00725F92" w:rsidP="002236BD">
      <w:pPr>
        <w:pStyle w:val="Default"/>
        <w:ind w:left="1134" w:hanging="1134"/>
        <w:jc w:val="both"/>
        <w:rPr>
          <w:sz w:val="22"/>
          <w:szCs w:val="22"/>
          <w:lang w:val="es-CR"/>
        </w:rPr>
      </w:pPr>
    </w:p>
    <w:p w14:paraId="3BE307A7" w14:textId="6B10E624" w:rsidR="000F3F2A" w:rsidRPr="000F3F2A" w:rsidRDefault="000F3F2A" w:rsidP="002236BD">
      <w:pPr>
        <w:pStyle w:val="Default"/>
        <w:ind w:left="1134" w:hanging="1134"/>
        <w:jc w:val="both"/>
        <w:rPr>
          <w:sz w:val="22"/>
          <w:szCs w:val="22"/>
          <w:lang w:val="es-CR"/>
        </w:rPr>
      </w:pPr>
      <w:r w:rsidRPr="000F3F2A">
        <w:rPr>
          <w:sz w:val="22"/>
          <w:szCs w:val="22"/>
          <w:lang w:val="es-CR"/>
        </w:rPr>
        <w:t>6.99.0.01</w:t>
      </w:r>
      <w:r w:rsidRPr="000F3F2A">
        <w:rPr>
          <w:sz w:val="22"/>
          <w:szCs w:val="22"/>
          <w:lang w:val="es-CR"/>
        </w:rPr>
        <w:tab/>
        <w:t>A posteriori de la fecha del primer ejercicio de aplicación de las NICSP, los datos comparativos del período anterior correspondiente a los segmentos nuevos que surjan, deberán reexpresarse para reflejar el nuevo segmento como un segmento separado, salvo que la reexpresión no sea factible, en cuyo caso y a efectos de la comparación, la entidad debe informar los datos del segmento sobre las antiguas y nuevas bases de segmentación en el año en el que cambia la identificación de sus segmentos.</w:t>
      </w:r>
    </w:p>
    <w:p w14:paraId="70017DBE" w14:textId="77777777" w:rsidR="000F3F2A" w:rsidRDefault="000F3F2A" w:rsidP="002236BD">
      <w:pPr>
        <w:pStyle w:val="Default"/>
        <w:ind w:left="1134" w:hanging="1134"/>
        <w:jc w:val="both"/>
        <w:rPr>
          <w:sz w:val="22"/>
          <w:szCs w:val="22"/>
          <w:lang w:val="es-CR"/>
        </w:rPr>
      </w:pPr>
    </w:p>
    <w:p w14:paraId="0F3B26C8" w14:textId="77777777" w:rsidR="00725F92" w:rsidRDefault="00725F92" w:rsidP="002236BD">
      <w:pPr>
        <w:pStyle w:val="Default"/>
        <w:ind w:left="1134" w:hanging="1134"/>
        <w:jc w:val="both"/>
        <w:rPr>
          <w:sz w:val="22"/>
          <w:szCs w:val="22"/>
          <w:lang w:val="es-CR"/>
        </w:rPr>
      </w:pPr>
    </w:p>
    <w:p w14:paraId="47A51287" w14:textId="77777777" w:rsidR="00725F92" w:rsidRDefault="00725F92" w:rsidP="002236BD">
      <w:pPr>
        <w:pStyle w:val="Default"/>
        <w:ind w:left="1134" w:hanging="1134"/>
        <w:jc w:val="both"/>
        <w:rPr>
          <w:sz w:val="22"/>
          <w:szCs w:val="22"/>
          <w:lang w:val="es-CR"/>
        </w:rPr>
      </w:pPr>
    </w:p>
    <w:p w14:paraId="6A38AAFB" w14:textId="77777777" w:rsidR="00725F92" w:rsidRDefault="00725F92" w:rsidP="002236BD">
      <w:pPr>
        <w:pStyle w:val="Default"/>
        <w:ind w:left="1134" w:hanging="1134"/>
        <w:jc w:val="both"/>
        <w:rPr>
          <w:sz w:val="22"/>
          <w:szCs w:val="22"/>
          <w:lang w:val="es-CR"/>
        </w:rPr>
      </w:pPr>
    </w:p>
    <w:p w14:paraId="0F8784C4" w14:textId="77777777" w:rsidR="00725F92" w:rsidRDefault="00725F92" w:rsidP="002236BD">
      <w:pPr>
        <w:pStyle w:val="Default"/>
        <w:ind w:left="1134" w:hanging="1134"/>
        <w:jc w:val="both"/>
        <w:rPr>
          <w:sz w:val="22"/>
          <w:szCs w:val="22"/>
          <w:lang w:val="es-CR"/>
        </w:rPr>
      </w:pPr>
    </w:p>
    <w:p w14:paraId="702A2793" w14:textId="77777777" w:rsidR="00725F92" w:rsidRDefault="00725F92" w:rsidP="002236BD">
      <w:pPr>
        <w:pStyle w:val="Default"/>
        <w:ind w:left="1134" w:hanging="1134"/>
        <w:jc w:val="both"/>
        <w:rPr>
          <w:sz w:val="22"/>
          <w:szCs w:val="22"/>
          <w:lang w:val="es-CR"/>
        </w:rPr>
      </w:pPr>
    </w:p>
    <w:p w14:paraId="6E0E2CA1" w14:textId="77777777" w:rsidR="00725F92" w:rsidRDefault="00725F92" w:rsidP="002236BD">
      <w:pPr>
        <w:pStyle w:val="Default"/>
        <w:ind w:left="1134" w:hanging="1134"/>
        <w:jc w:val="both"/>
        <w:rPr>
          <w:sz w:val="22"/>
          <w:szCs w:val="22"/>
          <w:lang w:val="es-CR"/>
        </w:rPr>
      </w:pPr>
    </w:p>
    <w:p w14:paraId="2B2384F4" w14:textId="77777777" w:rsidR="00725F92" w:rsidRDefault="00725F92" w:rsidP="002236BD">
      <w:pPr>
        <w:pStyle w:val="Default"/>
        <w:ind w:left="1134" w:hanging="1134"/>
        <w:jc w:val="both"/>
        <w:rPr>
          <w:sz w:val="22"/>
          <w:szCs w:val="22"/>
          <w:lang w:val="es-CR"/>
        </w:rPr>
      </w:pPr>
    </w:p>
    <w:p w14:paraId="61962F5A" w14:textId="77777777" w:rsidR="00725F92" w:rsidRDefault="00725F92" w:rsidP="002236BD">
      <w:pPr>
        <w:pStyle w:val="Default"/>
        <w:ind w:left="1134" w:hanging="1134"/>
        <w:jc w:val="both"/>
        <w:rPr>
          <w:sz w:val="22"/>
          <w:szCs w:val="22"/>
          <w:lang w:val="es-CR"/>
        </w:rPr>
      </w:pPr>
    </w:p>
    <w:p w14:paraId="6D7CA93B" w14:textId="77777777" w:rsidR="000F3F2A" w:rsidRDefault="000F3F2A" w:rsidP="002236BD">
      <w:pPr>
        <w:pStyle w:val="Default"/>
        <w:ind w:left="1134" w:hanging="1134"/>
        <w:jc w:val="both"/>
        <w:rPr>
          <w:sz w:val="22"/>
          <w:szCs w:val="22"/>
          <w:lang w:val="es-CR"/>
        </w:rPr>
      </w:pPr>
    </w:p>
    <w:tbl>
      <w:tblPr>
        <w:tblW w:w="9356" w:type="dxa"/>
        <w:tblLook w:val="04A0" w:firstRow="1" w:lastRow="0" w:firstColumn="1" w:lastColumn="0" w:noHBand="0" w:noVBand="1"/>
      </w:tblPr>
      <w:tblGrid>
        <w:gridCol w:w="416"/>
        <w:gridCol w:w="708"/>
        <w:gridCol w:w="475"/>
        <w:gridCol w:w="16"/>
        <w:gridCol w:w="3673"/>
        <w:gridCol w:w="16"/>
        <w:gridCol w:w="2199"/>
        <w:gridCol w:w="1843"/>
        <w:gridCol w:w="10"/>
      </w:tblGrid>
      <w:tr w:rsidR="000F3F2A" w:rsidRPr="000F3F2A" w14:paraId="69F3FD04" w14:textId="77777777" w:rsidTr="00725F92">
        <w:trPr>
          <w:trHeight w:val="300"/>
        </w:trPr>
        <w:tc>
          <w:tcPr>
            <w:tcW w:w="1615"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3175E16B"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lastRenderedPageBreak/>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12559752"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Concepto</w:t>
            </w:r>
          </w:p>
        </w:tc>
        <w:tc>
          <w:tcPr>
            <w:tcW w:w="4052" w:type="dxa"/>
            <w:gridSpan w:val="3"/>
            <w:tcBorders>
              <w:top w:val="single" w:sz="8" w:space="0" w:color="auto"/>
              <w:left w:val="nil"/>
              <w:bottom w:val="single" w:sz="8" w:space="0" w:color="auto"/>
              <w:right w:val="single" w:sz="8" w:space="0" w:color="000000"/>
            </w:tcBorders>
            <w:shd w:val="clear" w:color="000000" w:fill="203764"/>
            <w:vAlign w:val="center"/>
            <w:hideMark/>
          </w:tcPr>
          <w:p w14:paraId="789AE945"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Referencia</w:t>
            </w:r>
          </w:p>
        </w:tc>
      </w:tr>
      <w:tr w:rsidR="000F3F2A" w:rsidRPr="006E5442" w14:paraId="7804A150" w14:textId="77777777" w:rsidTr="00725F92">
        <w:trPr>
          <w:gridAfter w:val="1"/>
          <w:wAfter w:w="10" w:type="dxa"/>
          <w:trHeight w:val="850"/>
        </w:trPr>
        <w:tc>
          <w:tcPr>
            <w:tcW w:w="1615" w:type="dxa"/>
            <w:gridSpan w:val="4"/>
            <w:vMerge/>
            <w:tcBorders>
              <w:top w:val="single" w:sz="8" w:space="0" w:color="auto"/>
              <w:left w:val="single" w:sz="8" w:space="0" w:color="auto"/>
              <w:bottom w:val="nil"/>
              <w:right w:val="single" w:sz="8" w:space="0" w:color="000000"/>
            </w:tcBorders>
            <w:vAlign w:val="center"/>
            <w:hideMark/>
          </w:tcPr>
          <w:p w14:paraId="503E7385" w14:textId="77777777" w:rsidR="000F3F2A" w:rsidRPr="000F3F2A" w:rsidRDefault="000F3F2A" w:rsidP="000F3F2A">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06E292D5" w14:textId="77777777" w:rsidR="000F3F2A" w:rsidRPr="000F3F2A" w:rsidRDefault="000F3F2A" w:rsidP="000F3F2A">
            <w:pPr>
              <w:rPr>
                <w:rFonts w:ascii="Arial Narrow" w:eastAsia="Times New Roman" w:hAnsi="Arial Narrow" w:cs="Calibri"/>
                <w:b/>
                <w:bCs/>
                <w:color w:val="FFFFFF"/>
                <w:sz w:val="22"/>
                <w:szCs w:val="22"/>
              </w:rPr>
            </w:pPr>
          </w:p>
        </w:tc>
        <w:tc>
          <w:tcPr>
            <w:tcW w:w="2199" w:type="dxa"/>
            <w:tcBorders>
              <w:top w:val="nil"/>
              <w:left w:val="nil"/>
              <w:bottom w:val="nil"/>
              <w:right w:val="single" w:sz="8" w:space="0" w:color="auto"/>
            </w:tcBorders>
            <w:shd w:val="clear" w:color="000000" w:fill="203764"/>
            <w:vAlign w:val="center"/>
            <w:hideMark/>
          </w:tcPr>
          <w:p w14:paraId="3D279CDE"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33B9BFEC" w14:textId="77777777" w:rsidR="000F3F2A" w:rsidRPr="000F3F2A" w:rsidRDefault="000F3F2A" w:rsidP="000F3F2A">
            <w:pPr>
              <w:jc w:val="center"/>
              <w:rPr>
                <w:rFonts w:ascii="Arial Narrow" w:eastAsia="Times New Roman" w:hAnsi="Arial Narrow" w:cs="Calibri"/>
                <w:b/>
                <w:bCs/>
                <w:color w:val="FFFFFF"/>
                <w:sz w:val="22"/>
                <w:szCs w:val="22"/>
                <w:lang w:val="es-CR"/>
              </w:rPr>
            </w:pPr>
            <w:r w:rsidRPr="000F3F2A">
              <w:rPr>
                <w:rFonts w:ascii="Arial Narrow" w:eastAsia="Times New Roman" w:hAnsi="Arial Narrow" w:cs="Calibri"/>
                <w:b/>
                <w:bCs/>
                <w:color w:val="FFFFFF"/>
                <w:sz w:val="22"/>
                <w:szCs w:val="22"/>
                <w:lang w:val="es-CR"/>
              </w:rPr>
              <w:t>Normativa técnica y disposiciones adicionales</w:t>
            </w:r>
          </w:p>
        </w:tc>
      </w:tr>
      <w:tr w:rsidR="000F3F2A" w:rsidRPr="006E5442" w14:paraId="5C9FA3F3" w14:textId="77777777" w:rsidTr="00725F92">
        <w:trPr>
          <w:gridAfter w:val="1"/>
          <w:wAfter w:w="10" w:type="dxa"/>
          <w:trHeight w:val="85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AD7F6F"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EFEAB73"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100</w:t>
            </w:r>
          </w:p>
        </w:tc>
        <w:tc>
          <w:tcPr>
            <w:tcW w:w="475" w:type="dxa"/>
            <w:tcBorders>
              <w:top w:val="single" w:sz="8" w:space="0" w:color="auto"/>
              <w:left w:val="nil"/>
              <w:bottom w:val="single" w:sz="8" w:space="0" w:color="auto"/>
              <w:right w:val="single" w:sz="8" w:space="0" w:color="auto"/>
            </w:tcBorders>
            <w:shd w:val="clear" w:color="auto" w:fill="auto"/>
            <w:vAlign w:val="center"/>
            <w:hideMark/>
          </w:tcPr>
          <w:p w14:paraId="3B044AB9"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2EB35D12" w14:textId="77777777" w:rsidR="000F3F2A" w:rsidRPr="000F3F2A" w:rsidRDefault="000F3F2A" w:rsidP="000F3F2A">
            <w:pPr>
              <w:jc w:val="both"/>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Información a revelar</w:t>
            </w:r>
          </w:p>
        </w:tc>
        <w:tc>
          <w:tcPr>
            <w:tcW w:w="2215" w:type="dxa"/>
            <w:gridSpan w:val="2"/>
            <w:tcBorders>
              <w:top w:val="single" w:sz="8" w:space="0" w:color="auto"/>
              <w:left w:val="nil"/>
              <w:bottom w:val="single" w:sz="8" w:space="0" w:color="auto"/>
              <w:right w:val="single" w:sz="8" w:space="0" w:color="auto"/>
            </w:tcBorders>
            <w:shd w:val="clear" w:color="auto" w:fill="auto"/>
            <w:vAlign w:val="center"/>
            <w:hideMark/>
          </w:tcPr>
          <w:p w14:paraId="14981719" w14:textId="77777777" w:rsidR="00725F92" w:rsidRDefault="000F3F2A" w:rsidP="000F3F2A">
            <w:pPr>
              <w:jc w:val="both"/>
              <w:rPr>
                <w:rFonts w:ascii="Arial Narrow" w:eastAsia="Times New Roman" w:hAnsi="Arial Narrow" w:cs="Calibri"/>
                <w:b/>
                <w:bCs/>
                <w:color w:val="000000"/>
                <w:sz w:val="22"/>
                <w:szCs w:val="22"/>
                <w:lang w:val="es-CR"/>
              </w:rPr>
            </w:pPr>
            <w:r w:rsidRPr="000F3F2A">
              <w:rPr>
                <w:rFonts w:ascii="Arial Narrow" w:eastAsia="Times New Roman" w:hAnsi="Arial Narrow" w:cs="Calibri"/>
                <w:b/>
                <w:bCs/>
                <w:color w:val="000000"/>
                <w:sz w:val="22"/>
                <w:szCs w:val="22"/>
                <w:lang w:val="es-CR"/>
              </w:rPr>
              <w:t>NICSP N° 18,</w:t>
            </w:r>
          </w:p>
          <w:p w14:paraId="3206486B" w14:textId="491DBAE7" w:rsidR="000F3F2A" w:rsidRPr="000F3F2A" w:rsidRDefault="000F3F2A" w:rsidP="000F3F2A">
            <w:pPr>
              <w:jc w:val="both"/>
              <w:rPr>
                <w:rFonts w:ascii="Arial Narrow" w:eastAsia="Times New Roman" w:hAnsi="Arial Narrow" w:cs="Calibri"/>
                <w:b/>
                <w:bCs/>
                <w:color w:val="000000"/>
                <w:sz w:val="22"/>
                <w:szCs w:val="22"/>
                <w:lang w:val="es-CR"/>
              </w:rPr>
            </w:pPr>
            <w:r w:rsidRPr="000F3F2A">
              <w:rPr>
                <w:rFonts w:ascii="Arial Narrow" w:eastAsia="Times New Roman" w:hAnsi="Arial Narrow" w:cs="Calibri"/>
                <w:b/>
                <w:bCs/>
                <w:color w:val="000000"/>
                <w:sz w:val="22"/>
                <w:szCs w:val="22"/>
                <w:lang w:val="es-CR"/>
              </w:rPr>
              <w:t>Párrafos 52 a 55, 61 a 64, 68 y 73.</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614F249" w14:textId="77777777" w:rsidR="000F3F2A" w:rsidRPr="000F3F2A" w:rsidRDefault="000F3F2A" w:rsidP="000F3F2A">
            <w:pPr>
              <w:jc w:val="center"/>
              <w:rPr>
                <w:rFonts w:ascii="Arial Narrow" w:eastAsia="Times New Roman" w:hAnsi="Arial Narrow" w:cs="Calibri"/>
                <w:b/>
                <w:bCs/>
                <w:color w:val="000000"/>
                <w:sz w:val="22"/>
                <w:szCs w:val="22"/>
                <w:lang w:val="es-CR"/>
              </w:rPr>
            </w:pPr>
            <w:r w:rsidRPr="000F3F2A">
              <w:rPr>
                <w:rFonts w:ascii="Arial Narrow" w:eastAsia="Times New Roman" w:hAnsi="Arial Narrow" w:cs="Calibri"/>
                <w:b/>
                <w:bCs/>
                <w:color w:val="000000"/>
                <w:sz w:val="22"/>
                <w:szCs w:val="22"/>
                <w:lang w:val="es-CR"/>
              </w:rPr>
              <w:t> </w:t>
            </w:r>
          </w:p>
        </w:tc>
      </w:tr>
    </w:tbl>
    <w:p w14:paraId="43AA4D4F" w14:textId="77777777" w:rsidR="000F3F2A" w:rsidRDefault="000F3F2A" w:rsidP="002236BD">
      <w:pPr>
        <w:pStyle w:val="Default"/>
        <w:ind w:left="1134" w:hanging="1134"/>
        <w:jc w:val="both"/>
        <w:rPr>
          <w:sz w:val="22"/>
          <w:szCs w:val="22"/>
          <w:lang w:val="es-CR"/>
        </w:rPr>
      </w:pPr>
    </w:p>
    <w:p w14:paraId="45F96EC2" w14:textId="77777777" w:rsidR="00725F92" w:rsidRPr="0030399E" w:rsidRDefault="00725F92" w:rsidP="00725F92">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31B69EDE" w14:textId="77777777" w:rsidR="00725F92" w:rsidRDefault="00725F92" w:rsidP="002236BD">
      <w:pPr>
        <w:pStyle w:val="Default"/>
        <w:ind w:left="1134" w:hanging="1134"/>
        <w:jc w:val="both"/>
        <w:rPr>
          <w:sz w:val="22"/>
          <w:szCs w:val="22"/>
          <w:lang w:val="es-CR"/>
        </w:rPr>
      </w:pPr>
    </w:p>
    <w:p w14:paraId="5F44CA31" w14:textId="69F03284" w:rsidR="000F3F2A" w:rsidRDefault="00CC1BF2" w:rsidP="00CC1BF2">
      <w:pPr>
        <w:pStyle w:val="Default"/>
        <w:ind w:left="1134" w:hanging="1134"/>
        <w:jc w:val="both"/>
        <w:rPr>
          <w:sz w:val="22"/>
          <w:szCs w:val="22"/>
          <w:lang w:val="es-CR"/>
        </w:rPr>
      </w:pPr>
      <w:r>
        <w:rPr>
          <w:sz w:val="22"/>
          <w:szCs w:val="22"/>
          <w:lang w:val="es-CR"/>
        </w:rPr>
        <w:t>6.100.0.01</w:t>
      </w:r>
      <w:r>
        <w:rPr>
          <w:sz w:val="22"/>
          <w:szCs w:val="22"/>
          <w:lang w:val="es-CR"/>
        </w:rPr>
        <w:tab/>
      </w:r>
      <w:r w:rsidR="000F3F2A" w:rsidRPr="00CC1BF2">
        <w:rPr>
          <w:sz w:val="22"/>
          <w:szCs w:val="22"/>
          <w:lang w:val="es-CR"/>
        </w:rPr>
        <w:t>Para cada segmento se deberá identificar y revelar la siguiente información:</w:t>
      </w:r>
    </w:p>
    <w:p w14:paraId="1FC5ECE7" w14:textId="77777777" w:rsidR="00CC1BF2" w:rsidRPr="00CC1BF2" w:rsidRDefault="00CC1BF2" w:rsidP="00CC1BF2">
      <w:pPr>
        <w:pStyle w:val="Default"/>
        <w:ind w:left="1134" w:hanging="1134"/>
        <w:jc w:val="both"/>
        <w:rPr>
          <w:sz w:val="22"/>
          <w:szCs w:val="22"/>
          <w:lang w:val="es-CR"/>
        </w:rPr>
      </w:pPr>
    </w:p>
    <w:p w14:paraId="6D0DAB77" w14:textId="1A6B2D2A"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E</w:t>
      </w:r>
      <w:r w:rsidR="000F3F2A" w:rsidRPr="00CC1BF2">
        <w:rPr>
          <w:sz w:val="22"/>
          <w:szCs w:val="22"/>
          <w:lang w:val="es-CR"/>
        </w:rPr>
        <w:t xml:space="preserve">l ingreso y gasto correspondiente, separados en aquéllos provenientes de las aplicaciones presupuestarias, de los de otras fuentes externas y de los provenientes de las transacciones con otros segmentos; </w:t>
      </w:r>
    </w:p>
    <w:p w14:paraId="4077E320" w14:textId="088A4DF7"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E</w:t>
      </w:r>
      <w:r w:rsidR="000F3F2A" w:rsidRPr="00CC1BF2">
        <w:rPr>
          <w:sz w:val="22"/>
          <w:szCs w:val="22"/>
          <w:lang w:val="es-CR"/>
        </w:rPr>
        <w:t xml:space="preserve">l importe de los activos en libros que le corresponden; </w:t>
      </w:r>
    </w:p>
    <w:p w14:paraId="525115DF" w14:textId="6692204E"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E</w:t>
      </w:r>
      <w:r w:rsidR="000F3F2A" w:rsidRPr="00CC1BF2">
        <w:rPr>
          <w:sz w:val="22"/>
          <w:szCs w:val="22"/>
          <w:lang w:val="es-CR"/>
        </w:rPr>
        <w:t xml:space="preserve">l importe contable total de los pasivos que le corresponden; </w:t>
      </w:r>
    </w:p>
    <w:p w14:paraId="0BC0DE49" w14:textId="4040DD6A"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E</w:t>
      </w:r>
      <w:r w:rsidR="000F3F2A" w:rsidRPr="00CC1BF2">
        <w:rPr>
          <w:sz w:val="22"/>
          <w:szCs w:val="22"/>
          <w:lang w:val="es-CR"/>
        </w:rPr>
        <w:t xml:space="preserve">l costo total incurrido en el período para adquirir activos del segmento cuya duración esperada sea mayor de un período contable; </w:t>
      </w:r>
    </w:p>
    <w:p w14:paraId="011C5AEF" w14:textId="7B329F49"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L</w:t>
      </w:r>
      <w:r w:rsidR="000F3F2A" w:rsidRPr="00CC1BF2">
        <w:rPr>
          <w:sz w:val="22"/>
          <w:szCs w:val="22"/>
          <w:lang w:val="es-CR"/>
        </w:rPr>
        <w:t xml:space="preserve">os objetivos operativos generales establecidos para cada segmento al inicio del ejercicio de presentación y el grado en el que se han alcanzado dichos objetivos; </w:t>
      </w:r>
    </w:p>
    <w:p w14:paraId="37D93015" w14:textId="5E152DE2"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E</w:t>
      </w:r>
      <w:r w:rsidR="000F3F2A" w:rsidRPr="00CC1BF2">
        <w:rPr>
          <w:sz w:val="22"/>
          <w:szCs w:val="22"/>
          <w:lang w:val="es-CR"/>
        </w:rPr>
        <w:t xml:space="preserve">l total de su participación en el resultado neto de las entidades asociadas, negocios conjuntos u otras, de sus inversiones que estén contabilizadas por el método de la participación, siempre y cuando las operaciones de esas entidades se encuentren, dentro del segmento en cuestión. Si se revelara información agregada, deberá presentar también, en la información del segmento, el importe agregado que corresponda a las inversiones en tales entidades; </w:t>
      </w:r>
    </w:p>
    <w:p w14:paraId="22166462" w14:textId="080A0333"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U</w:t>
      </w:r>
      <w:r w:rsidR="000F3F2A" w:rsidRPr="00CC1BF2">
        <w:rPr>
          <w:sz w:val="22"/>
          <w:szCs w:val="22"/>
          <w:lang w:val="es-CR"/>
        </w:rPr>
        <w:t xml:space="preserve">na conciliación entre la información correspondiente a cada uno de los segmentos y la información agregada que aparece en los EEFF, individuales o consolidados de la entidad; </w:t>
      </w:r>
    </w:p>
    <w:p w14:paraId="5015BEDF" w14:textId="39AF94FA"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L</w:t>
      </w:r>
      <w:r w:rsidR="000F3F2A" w:rsidRPr="00CC1BF2">
        <w:rPr>
          <w:sz w:val="22"/>
          <w:szCs w:val="22"/>
          <w:lang w:val="es-CR"/>
        </w:rPr>
        <w:t xml:space="preserve">os cambios en las políticas contables adoptados para la información segmentada, siempre que tengan un efecto significativo sobre los importes de la misma, y la información de períodos anteriores presentada con fines comparativos, que debe ser reexpresada cuando haya algún cambio de este tipo, salvo cuando sea impracticable hacerlo. Esta información a revelar debe contener una descripción de la naturaleza del cambio efectuado, las razones del mismo, el hecho de que la información comparativa haya sido reexpresada o de que es impracticable hacerla, así como el efecto financiero del cambio, si se puede determinar razonablemente; y </w:t>
      </w:r>
    </w:p>
    <w:p w14:paraId="6D483E7C" w14:textId="21F4BE3E" w:rsidR="000F3F2A" w:rsidRPr="00CC1BF2" w:rsidRDefault="00CC1BF2">
      <w:pPr>
        <w:pStyle w:val="Default"/>
        <w:numPr>
          <w:ilvl w:val="0"/>
          <w:numId w:val="415"/>
        </w:numPr>
        <w:spacing w:after="120"/>
        <w:ind w:left="1418" w:hanging="284"/>
        <w:jc w:val="both"/>
        <w:rPr>
          <w:sz w:val="22"/>
          <w:szCs w:val="22"/>
          <w:lang w:val="es-CR"/>
        </w:rPr>
      </w:pPr>
      <w:r>
        <w:rPr>
          <w:sz w:val="22"/>
          <w:szCs w:val="22"/>
          <w:lang w:val="es-CR"/>
        </w:rPr>
        <w:t>E</w:t>
      </w:r>
      <w:r w:rsidR="000F3F2A" w:rsidRPr="00CC1BF2">
        <w:rPr>
          <w:sz w:val="22"/>
          <w:szCs w:val="22"/>
          <w:lang w:val="es-CR"/>
        </w:rPr>
        <w:t xml:space="preserve">l tipo de bienes y servicios incluidos en cada segmento de servicios sobre el que se informa, la composición de cada segmento geográfico incluido en la información financiera y en caso de no haberse adoptado una base de segmentación por servicios o por localización geográfica, la naturaleza de los segmentos y las actividades que abarcan. </w:t>
      </w:r>
    </w:p>
    <w:p w14:paraId="6ABD90D4" w14:textId="77777777" w:rsidR="000F3F2A" w:rsidRDefault="000F3F2A" w:rsidP="002236BD">
      <w:pPr>
        <w:pStyle w:val="Default"/>
        <w:ind w:left="1134" w:hanging="1134"/>
        <w:jc w:val="both"/>
        <w:rPr>
          <w:sz w:val="22"/>
          <w:szCs w:val="22"/>
          <w:lang w:val="es-CR"/>
        </w:rPr>
      </w:pPr>
    </w:p>
    <w:p w14:paraId="5C0CE7BA" w14:textId="77777777" w:rsidR="00725F92" w:rsidRDefault="00725F92" w:rsidP="002236BD">
      <w:pPr>
        <w:pStyle w:val="Default"/>
        <w:ind w:left="1134" w:hanging="1134"/>
        <w:jc w:val="both"/>
        <w:rPr>
          <w:sz w:val="22"/>
          <w:szCs w:val="22"/>
          <w:lang w:val="es-CR"/>
        </w:rPr>
      </w:pPr>
    </w:p>
    <w:p w14:paraId="2943CABE" w14:textId="77777777" w:rsidR="00725F92" w:rsidRDefault="00725F92" w:rsidP="002236BD">
      <w:pPr>
        <w:pStyle w:val="Default"/>
        <w:ind w:left="1134" w:hanging="1134"/>
        <w:jc w:val="both"/>
        <w:rPr>
          <w:sz w:val="22"/>
          <w:szCs w:val="22"/>
          <w:lang w:val="es-CR"/>
        </w:rPr>
      </w:pPr>
    </w:p>
    <w:p w14:paraId="4048BB88" w14:textId="77777777" w:rsidR="00725F92" w:rsidRDefault="00725F92" w:rsidP="002236BD">
      <w:pPr>
        <w:pStyle w:val="Default"/>
        <w:ind w:left="1134" w:hanging="1134"/>
        <w:jc w:val="both"/>
        <w:rPr>
          <w:sz w:val="22"/>
          <w:szCs w:val="22"/>
          <w:lang w:val="es-CR"/>
        </w:rPr>
      </w:pPr>
    </w:p>
    <w:p w14:paraId="4E30B83B" w14:textId="77777777" w:rsidR="00725F92" w:rsidRDefault="00725F92" w:rsidP="00725F92">
      <w:pPr>
        <w:pStyle w:val="Default"/>
        <w:jc w:val="both"/>
        <w:rPr>
          <w:sz w:val="22"/>
          <w:szCs w:val="22"/>
          <w:lang w:val="es-CR"/>
        </w:rPr>
      </w:pPr>
    </w:p>
    <w:p w14:paraId="7324E568" w14:textId="77777777" w:rsidR="000F3F2A" w:rsidRDefault="000F3F2A" w:rsidP="002236BD">
      <w:pPr>
        <w:pStyle w:val="Default"/>
        <w:ind w:left="1134" w:hanging="1134"/>
        <w:jc w:val="both"/>
        <w:rPr>
          <w:sz w:val="22"/>
          <w:szCs w:val="22"/>
          <w:lang w:val="es-CR"/>
        </w:rPr>
      </w:pPr>
    </w:p>
    <w:tbl>
      <w:tblPr>
        <w:tblW w:w="9377" w:type="dxa"/>
        <w:tblLook w:val="04A0" w:firstRow="1" w:lastRow="0" w:firstColumn="1" w:lastColumn="0" w:noHBand="0" w:noVBand="1"/>
      </w:tblPr>
      <w:tblGrid>
        <w:gridCol w:w="416"/>
        <w:gridCol w:w="736"/>
        <w:gridCol w:w="514"/>
        <w:gridCol w:w="14"/>
        <w:gridCol w:w="3647"/>
        <w:gridCol w:w="14"/>
        <w:gridCol w:w="2219"/>
        <w:gridCol w:w="14"/>
        <w:gridCol w:w="1803"/>
      </w:tblGrid>
      <w:tr w:rsidR="000F3F2A" w:rsidRPr="000F3F2A" w14:paraId="2C008011" w14:textId="77777777" w:rsidTr="00725F92">
        <w:trPr>
          <w:trHeight w:val="320"/>
        </w:trPr>
        <w:tc>
          <w:tcPr>
            <w:tcW w:w="1680"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63CD8D6E"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lastRenderedPageBreak/>
              <w:t>Norma / Política</w:t>
            </w:r>
          </w:p>
        </w:tc>
        <w:tc>
          <w:tcPr>
            <w:tcW w:w="3661"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FB7B037"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Concepto</w:t>
            </w:r>
          </w:p>
        </w:tc>
        <w:tc>
          <w:tcPr>
            <w:tcW w:w="4036" w:type="dxa"/>
            <w:gridSpan w:val="3"/>
            <w:tcBorders>
              <w:top w:val="single" w:sz="8" w:space="0" w:color="auto"/>
              <w:left w:val="nil"/>
              <w:bottom w:val="single" w:sz="8" w:space="0" w:color="auto"/>
              <w:right w:val="single" w:sz="8" w:space="0" w:color="000000"/>
            </w:tcBorders>
            <w:shd w:val="clear" w:color="000000" w:fill="203764"/>
            <w:vAlign w:val="center"/>
            <w:hideMark/>
          </w:tcPr>
          <w:p w14:paraId="24F02678"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Referencia</w:t>
            </w:r>
          </w:p>
        </w:tc>
      </w:tr>
      <w:tr w:rsidR="000F3F2A" w:rsidRPr="006E5442" w14:paraId="59DF6AED" w14:textId="77777777" w:rsidTr="00725F92">
        <w:trPr>
          <w:trHeight w:val="850"/>
        </w:trPr>
        <w:tc>
          <w:tcPr>
            <w:tcW w:w="1680" w:type="dxa"/>
            <w:gridSpan w:val="4"/>
            <w:vMerge/>
            <w:tcBorders>
              <w:top w:val="single" w:sz="8" w:space="0" w:color="auto"/>
              <w:left w:val="single" w:sz="8" w:space="0" w:color="auto"/>
              <w:bottom w:val="nil"/>
              <w:right w:val="single" w:sz="8" w:space="0" w:color="000000"/>
            </w:tcBorders>
            <w:vAlign w:val="center"/>
            <w:hideMark/>
          </w:tcPr>
          <w:p w14:paraId="2A3DE80A" w14:textId="77777777" w:rsidR="000F3F2A" w:rsidRPr="000F3F2A" w:rsidRDefault="000F3F2A" w:rsidP="000F3F2A">
            <w:pPr>
              <w:rPr>
                <w:rFonts w:ascii="Arial Narrow" w:eastAsia="Times New Roman" w:hAnsi="Arial Narrow" w:cs="Calibri"/>
                <w:b/>
                <w:bCs/>
                <w:color w:val="FFFFFF"/>
                <w:sz w:val="22"/>
                <w:szCs w:val="22"/>
              </w:rPr>
            </w:pPr>
          </w:p>
        </w:tc>
        <w:tc>
          <w:tcPr>
            <w:tcW w:w="3661" w:type="dxa"/>
            <w:gridSpan w:val="2"/>
            <w:vMerge/>
            <w:tcBorders>
              <w:top w:val="single" w:sz="8" w:space="0" w:color="auto"/>
              <w:left w:val="single" w:sz="8" w:space="0" w:color="auto"/>
              <w:bottom w:val="nil"/>
              <w:right w:val="single" w:sz="8" w:space="0" w:color="auto"/>
            </w:tcBorders>
            <w:vAlign w:val="center"/>
            <w:hideMark/>
          </w:tcPr>
          <w:p w14:paraId="23FB95A3" w14:textId="77777777" w:rsidR="000F3F2A" w:rsidRPr="000F3F2A" w:rsidRDefault="000F3F2A" w:rsidP="000F3F2A">
            <w:pPr>
              <w:rPr>
                <w:rFonts w:ascii="Arial Narrow" w:eastAsia="Times New Roman" w:hAnsi="Arial Narrow" w:cs="Calibri"/>
                <w:b/>
                <w:bCs/>
                <w:color w:val="FFFFFF"/>
                <w:sz w:val="22"/>
                <w:szCs w:val="22"/>
              </w:rPr>
            </w:pPr>
          </w:p>
        </w:tc>
        <w:tc>
          <w:tcPr>
            <w:tcW w:w="2233" w:type="dxa"/>
            <w:gridSpan w:val="2"/>
            <w:tcBorders>
              <w:top w:val="nil"/>
              <w:left w:val="nil"/>
              <w:bottom w:val="nil"/>
              <w:right w:val="single" w:sz="8" w:space="0" w:color="auto"/>
            </w:tcBorders>
            <w:shd w:val="clear" w:color="000000" w:fill="203764"/>
            <w:vAlign w:val="center"/>
            <w:hideMark/>
          </w:tcPr>
          <w:p w14:paraId="05A84511" w14:textId="77777777" w:rsidR="000F3F2A" w:rsidRPr="000F3F2A" w:rsidRDefault="000F3F2A" w:rsidP="000F3F2A">
            <w:pPr>
              <w:jc w:val="center"/>
              <w:rPr>
                <w:rFonts w:ascii="Arial Narrow" w:eastAsia="Times New Roman" w:hAnsi="Arial Narrow" w:cs="Calibri"/>
                <w:b/>
                <w:bCs/>
                <w:color w:val="FFFFFF"/>
                <w:sz w:val="22"/>
                <w:szCs w:val="22"/>
              </w:rPr>
            </w:pPr>
            <w:r w:rsidRPr="000F3F2A">
              <w:rPr>
                <w:rFonts w:ascii="Arial Narrow" w:eastAsia="Times New Roman" w:hAnsi="Arial Narrow" w:cs="Calibri"/>
                <w:b/>
                <w:bCs/>
                <w:color w:val="FFFFFF"/>
                <w:sz w:val="22"/>
                <w:szCs w:val="22"/>
              </w:rPr>
              <w:t>Norma</w:t>
            </w:r>
          </w:p>
        </w:tc>
        <w:tc>
          <w:tcPr>
            <w:tcW w:w="1803" w:type="dxa"/>
            <w:tcBorders>
              <w:top w:val="nil"/>
              <w:left w:val="nil"/>
              <w:bottom w:val="nil"/>
              <w:right w:val="single" w:sz="8" w:space="0" w:color="auto"/>
            </w:tcBorders>
            <w:shd w:val="clear" w:color="000000" w:fill="203764"/>
            <w:vAlign w:val="center"/>
            <w:hideMark/>
          </w:tcPr>
          <w:p w14:paraId="236E4F28" w14:textId="77777777" w:rsidR="000F3F2A" w:rsidRPr="000F3F2A" w:rsidRDefault="000F3F2A" w:rsidP="000F3F2A">
            <w:pPr>
              <w:jc w:val="center"/>
              <w:rPr>
                <w:rFonts w:ascii="Arial Narrow" w:eastAsia="Times New Roman" w:hAnsi="Arial Narrow" w:cs="Calibri"/>
                <w:b/>
                <w:bCs/>
                <w:color w:val="FFFFFF"/>
                <w:sz w:val="22"/>
                <w:szCs w:val="22"/>
                <w:lang w:val="es-CR"/>
              </w:rPr>
            </w:pPr>
            <w:r w:rsidRPr="000F3F2A">
              <w:rPr>
                <w:rFonts w:ascii="Arial Narrow" w:eastAsia="Times New Roman" w:hAnsi="Arial Narrow" w:cs="Calibri"/>
                <w:b/>
                <w:bCs/>
                <w:color w:val="FFFFFF"/>
                <w:sz w:val="22"/>
                <w:szCs w:val="22"/>
                <w:lang w:val="es-CR"/>
              </w:rPr>
              <w:t>Normativa técnica y disposiciones adicionales</w:t>
            </w:r>
          </w:p>
        </w:tc>
      </w:tr>
      <w:tr w:rsidR="000F3F2A" w:rsidRPr="000F3F2A" w14:paraId="02D24548" w14:textId="77777777" w:rsidTr="00725F92">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15E52E" w14:textId="77777777" w:rsidR="000F3F2A" w:rsidRPr="000F3F2A" w:rsidRDefault="000F3F2A" w:rsidP="00725F92">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6</w:t>
            </w:r>
          </w:p>
        </w:tc>
        <w:tc>
          <w:tcPr>
            <w:tcW w:w="736" w:type="dxa"/>
            <w:tcBorders>
              <w:top w:val="single" w:sz="8" w:space="0" w:color="auto"/>
              <w:left w:val="nil"/>
              <w:bottom w:val="single" w:sz="8" w:space="0" w:color="auto"/>
              <w:right w:val="single" w:sz="8" w:space="0" w:color="auto"/>
            </w:tcBorders>
            <w:shd w:val="clear" w:color="auto" w:fill="auto"/>
            <w:vAlign w:val="center"/>
            <w:hideMark/>
          </w:tcPr>
          <w:p w14:paraId="420602CF" w14:textId="77777777" w:rsidR="000F3F2A" w:rsidRPr="000F3F2A" w:rsidRDefault="000F3F2A" w:rsidP="00725F92">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101</w:t>
            </w:r>
          </w:p>
        </w:tc>
        <w:tc>
          <w:tcPr>
            <w:tcW w:w="514" w:type="dxa"/>
            <w:tcBorders>
              <w:top w:val="single" w:sz="8" w:space="0" w:color="auto"/>
              <w:left w:val="nil"/>
              <w:bottom w:val="single" w:sz="8" w:space="0" w:color="auto"/>
              <w:right w:val="single" w:sz="8" w:space="0" w:color="auto"/>
            </w:tcBorders>
            <w:shd w:val="clear" w:color="auto" w:fill="auto"/>
            <w:vAlign w:val="center"/>
            <w:hideMark/>
          </w:tcPr>
          <w:p w14:paraId="7BA684A8"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xml:space="preserve"> </w:t>
            </w:r>
          </w:p>
        </w:tc>
        <w:tc>
          <w:tcPr>
            <w:tcW w:w="3661" w:type="dxa"/>
            <w:gridSpan w:val="2"/>
            <w:tcBorders>
              <w:top w:val="single" w:sz="8" w:space="0" w:color="auto"/>
              <w:left w:val="nil"/>
              <w:bottom w:val="single" w:sz="8" w:space="0" w:color="auto"/>
              <w:right w:val="single" w:sz="8" w:space="0" w:color="auto"/>
            </w:tcBorders>
            <w:shd w:val="clear" w:color="auto" w:fill="auto"/>
            <w:vAlign w:val="center"/>
            <w:hideMark/>
          </w:tcPr>
          <w:p w14:paraId="3E3C097B" w14:textId="77777777" w:rsidR="000F3F2A" w:rsidRPr="000F3F2A" w:rsidRDefault="000F3F2A" w:rsidP="000F3F2A">
            <w:pP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Modelo de EIFS</w:t>
            </w:r>
          </w:p>
        </w:tc>
        <w:tc>
          <w:tcPr>
            <w:tcW w:w="2233" w:type="dxa"/>
            <w:gridSpan w:val="2"/>
            <w:tcBorders>
              <w:top w:val="single" w:sz="8" w:space="0" w:color="auto"/>
              <w:left w:val="nil"/>
              <w:bottom w:val="single" w:sz="8" w:space="0" w:color="auto"/>
              <w:right w:val="single" w:sz="8" w:space="0" w:color="auto"/>
            </w:tcBorders>
            <w:shd w:val="clear" w:color="auto" w:fill="auto"/>
            <w:vAlign w:val="center"/>
            <w:hideMark/>
          </w:tcPr>
          <w:p w14:paraId="2044959E" w14:textId="77777777" w:rsidR="000F3F2A" w:rsidRPr="000F3F2A" w:rsidRDefault="000F3F2A" w:rsidP="000F3F2A">
            <w:pP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w:t>
            </w:r>
          </w:p>
        </w:tc>
        <w:tc>
          <w:tcPr>
            <w:tcW w:w="1814" w:type="dxa"/>
            <w:gridSpan w:val="2"/>
            <w:tcBorders>
              <w:top w:val="single" w:sz="8" w:space="0" w:color="auto"/>
              <w:left w:val="nil"/>
              <w:bottom w:val="single" w:sz="8" w:space="0" w:color="auto"/>
              <w:right w:val="single" w:sz="8" w:space="0" w:color="auto"/>
            </w:tcBorders>
            <w:shd w:val="clear" w:color="auto" w:fill="auto"/>
            <w:vAlign w:val="center"/>
            <w:hideMark/>
          </w:tcPr>
          <w:p w14:paraId="022C9163"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DGCN</w:t>
            </w:r>
          </w:p>
        </w:tc>
      </w:tr>
      <w:tr w:rsidR="000F3F2A" w:rsidRPr="000F3F2A" w14:paraId="407BD209" w14:textId="77777777" w:rsidTr="00725F92">
        <w:trPr>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7B8851E" w14:textId="77777777" w:rsidR="000F3F2A" w:rsidRPr="000F3F2A" w:rsidRDefault="000F3F2A" w:rsidP="00725F92">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6</w:t>
            </w:r>
          </w:p>
        </w:tc>
        <w:tc>
          <w:tcPr>
            <w:tcW w:w="736" w:type="dxa"/>
            <w:tcBorders>
              <w:top w:val="nil"/>
              <w:left w:val="nil"/>
              <w:bottom w:val="single" w:sz="8" w:space="0" w:color="auto"/>
              <w:right w:val="single" w:sz="8" w:space="0" w:color="auto"/>
            </w:tcBorders>
            <w:shd w:val="clear" w:color="auto" w:fill="auto"/>
            <w:vAlign w:val="center"/>
            <w:hideMark/>
          </w:tcPr>
          <w:p w14:paraId="5CD7B5F2" w14:textId="77777777" w:rsidR="000F3F2A" w:rsidRPr="000F3F2A" w:rsidRDefault="000F3F2A" w:rsidP="00725F92">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101</w:t>
            </w:r>
          </w:p>
        </w:tc>
        <w:tc>
          <w:tcPr>
            <w:tcW w:w="514" w:type="dxa"/>
            <w:tcBorders>
              <w:top w:val="nil"/>
              <w:left w:val="nil"/>
              <w:bottom w:val="single" w:sz="8" w:space="0" w:color="auto"/>
              <w:right w:val="nil"/>
            </w:tcBorders>
            <w:shd w:val="clear" w:color="auto" w:fill="auto"/>
            <w:vAlign w:val="center"/>
            <w:hideMark/>
          </w:tcPr>
          <w:p w14:paraId="5A6BE63F"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w:t>
            </w:r>
          </w:p>
        </w:tc>
        <w:tc>
          <w:tcPr>
            <w:tcW w:w="3661" w:type="dxa"/>
            <w:gridSpan w:val="2"/>
            <w:tcBorders>
              <w:top w:val="nil"/>
              <w:left w:val="single" w:sz="8" w:space="0" w:color="auto"/>
              <w:bottom w:val="single" w:sz="8" w:space="0" w:color="auto"/>
              <w:right w:val="single" w:sz="8" w:space="0" w:color="auto"/>
            </w:tcBorders>
            <w:shd w:val="clear" w:color="auto" w:fill="auto"/>
            <w:vAlign w:val="center"/>
            <w:hideMark/>
          </w:tcPr>
          <w:p w14:paraId="786CD6D9" w14:textId="77777777" w:rsidR="000F3F2A" w:rsidRPr="000F3F2A" w:rsidRDefault="000F3F2A" w:rsidP="000F3F2A">
            <w:pP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Exposición saldo nulo</w:t>
            </w:r>
          </w:p>
        </w:tc>
        <w:tc>
          <w:tcPr>
            <w:tcW w:w="2233" w:type="dxa"/>
            <w:gridSpan w:val="2"/>
            <w:tcBorders>
              <w:top w:val="nil"/>
              <w:left w:val="nil"/>
              <w:bottom w:val="single" w:sz="8" w:space="0" w:color="auto"/>
              <w:right w:val="single" w:sz="8" w:space="0" w:color="auto"/>
            </w:tcBorders>
            <w:shd w:val="clear" w:color="auto" w:fill="auto"/>
            <w:vAlign w:val="center"/>
            <w:hideMark/>
          </w:tcPr>
          <w:p w14:paraId="027B4C7B" w14:textId="77777777" w:rsidR="000F3F2A" w:rsidRPr="000F3F2A" w:rsidRDefault="000F3F2A" w:rsidP="000F3F2A">
            <w:pP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 xml:space="preserve"> </w:t>
            </w:r>
          </w:p>
        </w:tc>
        <w:tc>
          <w:tcPr>
            <w:tcW w:w="1814" w:type="dxa"/>
            <w:gridSpan w:val="2"/>
            <w:tcBorders>
              <w:top w:val="nil"/>
              <w:left w:val="nil"/>
              <w:bottom w:val="single" w:sz="8" w:space="0" w:color="auto"/>
              <w:right w:val="single" w:sz="8" w:space="0" w:color="auto"/>
            </w:tcBorders>
            <w:shd w:val="clear" w:color="auto" w:fill="auto"/>
            <w:vAlign w:val="center"/>
            <w:hideMark/>
          </w:tcPr>
          <w:p w14:paraId="4F31B1B8" w14:textId="77777777" w:rsidR="000F3F2A" w:rsidRPr="000F3F2A" w:rsidRDefault="000F3F2A" w:rsidP="000F3F2A">
            <w:pPr>
              <w:jc w:val="center"/>
              <w:rPr>
                <w:rFonts w:ascii="Arial Narrow" w:eastAsia="Times New Roman" w:hAnsi="Arial Narrow" w:cs="Calibri"/>
                <w:b/>
                <w:bCs/>
                <w:color w:val="000000"/>
                <w:sz w:val="22"/>
                <w:szCs w:val="22"/>
              </w:rPr>
            </w:pPr>
            <w:r w:rsidRPr="000F3F2A">
              <w:rPr>
                <w:rFonts w:ascii="Arial Narrow" w:eastAsia="Times New Roman" w:hAnsi="Arial Narrow" w:cs="Calibri"/>
                <w:b/>
                <w:bCs/>
                <w:color w:val="000000"/>
                <w:sz w:val="22"/>
                <w:szCs w:val="22"/>
              </w:rPr>
              <w:t>DGCN</w:t>
            </w:r>
          </w:p>
        </w:tc>
      </w:tr>
    </w:tbl>
    <w:p w14:paraId="326B06EA" w14:textId="77777777" w:rsidR="000F3F2A" w:rsidRDefault="000F3F2A" w:rsidP="002236BD">
      <w:pPr>
        <w:pStyle w:val="Default"/>
        <w:ind w:left="1134" w:hanging="1134"/>
        <w:jc w:val="both"/>
        <w:rPr>
          <w:sz w:val="22"/>
          <w:szCs w:val="22"/>
          <w:lang w:val="es-CR"/>
        </w:rPr>
      </w:pPr>
    </w:p>
    <w:p w14:paraId="67C64D46" w14:textId="77777777" w:rsidR="00725F92" w:rsidRDefault="00725F92" w:rsidP="00725F92">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4FBB8411" w14:textId="77777777" w:rsidR="00725F92" w:rsidRDefault="00725F92" w:rsidP="002236BD">
      <w:pPr>
        <w:pStyle w:val="Default"/>
        <w:ind w:left="1134" w:hanging="1134"/>
        <w:jc w:val="both"/>
        <w:rPr>
          <w:sz w:val="22"/>
          <w:szCs w:val="22"/>
          <w:lang w:val="es-CR"/>
        </w:rPr>
      </w:pPr>
    </w:p>
    <w:p w14:paraId="2CCCA2BD" w14:textId="72BA14BE" w:rsidR="000F3F2A" w:rsidRPr="00725F92" w:rsidRDefault="00CC1BF2" w:rsidP="00725F92">
      <w:pPr>
        <w:pStyle w:val="Default"/>
        <w:ind w:left="1134" w:hanging="1134"/>
        <w:jc w:val="both"/>
        <w:rPr>
          <w:sz w:val="22"/>
          <w:szCs w:val="22"/>
          <w:lang w:val="es-CR"/>
        </w:rPr>
      </w:pPr>
      <w:r w:rsidRPr="00725F92">
        <w:rPr>
          <w:sz w:val="22"/>
          <w:szCs w:val="22"/>
          <w:lang w:val="es-CR"/>
        </w:rPr>
        <w:t>6.101.0.01</w:t>
      </w:r>
      <w:r w:rsidRPr="00725F92">
        <w:rPr>
          <w:sz w:val="22"/>
          <w:szCs w:val="22"/>
          <w:lang w:val="es-CR"/>
        </w:rPr>
        <w:tab/>
      </w:r>
      <w:r w:rsidR="000F3F2A" w:rsidRPr="00725F92">
        <w:rPr>
          <w:sz w:val="22"/>
          <w:szCs w:val="22"/>
          <w:lang w:val="es-CR"/>
        </w:rPr>
        <w:t>En el Anexo I se adjunta el modelo que rige la presentación del EIFS y la información en él contenida, es la mínima que debe cumplirse.</w:t>
      </w:r>
    </w:p>
    <w:p w14:paraId="3233A349" w14:textId="77777777" w:rsidR="00CC1BF2" w:rsidRPr="00725F92" w:rsidRDefault="00CC1BF2" w:rsidP="00725F92">
      <w:pPr>
        <w:pStyle w:val="Default"/>
        <w:jc w:val="both"/>
        <w:rPr>
          <w:sz w:val="22"/>
          <w:szCs w:val="22"/>
          <w:lang w:val="es-CR"/>
        </w:rPr>
      </w:pPr>
    </w:p>
    <w:p w14:paraId="020BE5F0" w14:textId="34C4D6E2" w:rsidR="00CC1BF2" w:rsidRPr="00725F92" w:rsidRDefault="00CC1BF2" w:rsidP="00725F92">
      <w:pPr>
        <w:pStyle w:val="Default"/>
        <w:ind w:left="1134" w:hanging="1134"/>
        <w:jc w:val="both"/>
        <w:rPr>
          <w:sz w:val="22"/>
          <w:szCs w:val="22"/>
          <w:lang w:val="es-CR"/>
        </w:rPr>
      </w:pPr>
      <w:r w:rsidRPr="00725F92">
        <w:rPr>
          <w:sz w:val="22"/>
          <w:szCs w:val="22"/>
          <w:lang w:val="es-CR"/>
        </w:rPr>
        <w:t>6.101.1.01</w:t>
      </w:r>
      <w:r w:rsidRPr="00725F92">
        <w:rPr>
          <w:sz w:val="22"/>
          <w:szCs w:val="22"/>
          <w:lang w:val="es-CR"/>
        </w:rPr>
        <w:tab/>
        <w:t xml:space="preserve">Deberá establecerse, en nota aclaratoria, si no se presentan saldos ni han existido transacciones en algunas de las partidas o componentes del EIFS, debiendo exponer las mismas aún teniendo saldo nulo. </w:t>
      </w:r>
    </w:p>
    <w:p w14:paraId="2D5B1A63" w14:textId="77777777" w:rsidR="000F3F2A" w:rsidRDefault="000F3F2A" w:rsidP="002236BD">
      <w:pPr>
        <w:pStyle w:val="Default"/>
        <w:ind w:left="1134" w:hanging="1134"/>
        <w:jc w:val="both"/>
        <w:rPr>
          <w:sz w:val="22"/>
          <w:szCs w:val="22"/>
          <w:lang w:val="es-CR"/>
        </w:rPr>
      </w:pPr>
    </w:p>
    <w:p w14:paraId="41C6C958" w14:textId="77777777" w:rsidR="00725F92" w:rsidRDefault="00725F92" w:rsidP="002236BD">
      <w:pPr>
        <w:pStyle w:val="Default"/>
        <w:ind w:left="1134" w:hanging="1134"/>
        <w:jc w:val="both"/>
        <w:rPr>
          <w:sz w:val="22"/>
          <w:szCs w:val="22"/>
          <w:lang w:val="es-CR"/>
        </w:rPr>
      </w:pPr>
    </w:p>
    <w:p w14:paraId="0A0D4E1A" w14:textId="77777777" w:rsidR="000F3F2A" w:rsidRDefault="000F3F2A" w:rsidP="002236BD">
      <w:pPr>
        <w:pStyle w:val="Default"/>
        <w:ind w:left="1134" w:hanging="1134"/>
        <w:jc w:val="both"/>
        <w:rPr>
          <w:sz w:val="22"/>
          <w:szCs w:val="22"/>
          <w:lang w:val="es-CR"/>
        </w:rPr>
      </w:pPr>
    </w:p>
    <w:p w14:paraId="51A0184F" w14:textId="387B1EE4" w:rsidR="000F3F2A" w:rsidRPr="000B7619" w:rsidRDefault="00CC1BF2" w:rsidP="000B7619">
      <w:pPr>
        <w:pStyle w:val="Ttulo2"/>
        <w:ind w:left="284"/>
        <w:rPr>
          <w:rFonts w:ascii="Arial" w:eastAsia="Arial" w:hAnsi="Arial" w:cs="Arial"/>
          <w:b/>
          <w:bCs/>
          <w:sz w:val="24"/>
          <w:szCs w:val="24"/>
          <w:lang w:val="es-CR"/>
        </w:rPr>
      </w:pPr>
      <w:bookmarkStart w:id="186" w:name="_Toc172726321"/>
      <w:r w:rsidRPr="000B7619">
        <w:rPr>
          <w:rFonts w:ascii="Arial" w:eastAsia="Arial" w:hAnsi="Arial" w:cs="Arial"/>
          <w:b/>
          <w:bCs/>
          <w:sz w:val="24"/>
          <w:szCs w:val="24"/>
          <w:lang w:val="es-CR"/>
        </w:rPr>
        <w:t>Estado de Situación y Evolución de Bienes (No Concesionados y Concesionados)</w:t>
      </w:r>
      <w:bookmarkEnd w:id="186"/>
    </w:p>
    <w:p w14:paraId="4E0043AA" w14:textId="77777777" w:rsidR="000F3F2A" w:rsidRDefault="000F3F2A" w:rsidP="002236BD">
      <w:pPr>
        <w:pStyle w:val="Default"/>
        <w:ind w:left="1134" w:hanging="1134"/>
        <w:jc w:val="both"/>
        <w:rPr>
          <w:sz w:val="22"/>
          <w:szCs w:val="22"/>
          <w:lang w:val="es-CR"/>
        </w:rPr>
      </w:pPr>
    </w:p>
    <w:p w14:paraId="18381CC9" w14:textId="77777777" w:rsidR="000F3F2A" w:rsidRDefault="000F3F2A"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9"/>
        <w:gridCol w:w="2249"/>
        <w:gridCol w:w="1858"/>
      </w:tblGrid>
      <w:tr w:rsidR="00CC1BF2" w:rsidRPr="00CC1BF2" w14:paraId="18BC427A" w14:textId="77777777" w:rsidTr="00725F92">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014C650" w14:textId="77777777" w:rsidR="00CC1BF2" w:rsidRPr="00CC1BF2" w:rsidRDefault="00CC1BF2" w:rsidP="00CC1BF2">
            <w:pPr>
              <w:jc w:val="center"/>
              <w:rPr>
                <w:rFonts w:ascii="Arial Narrow" w:eastAsia="Times New Roman" w:hAnsi="Arial Narrow" w:cs="Calibri"/>
                <w:b/>
                <w:bCs/>
                <w:color w:val="FFFFFF"/>
                <w:sz w:val="22"/>
                <w:szCs w:val="22"/>
              </w:rPr>
            </w:pPr>
            <w:r w:rsidRPr="00CC1BF2">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3808A5A8" w14:textId="77777777" w:rsidR="00CC1BF2" w:rsidRPr="00CC1BF2" w:rsidRDefault="00CC1BF2" w:rsidP="00CC1BF2">
            <w:pPr>
              <w:jc w:val="center"/>
              <w:rPr>
                <w:rFonts w:ascii="Arial Narrow" w:eastAsia="Times New Roman" w:hAnsi="Arial Narrow" w:cs="Calibri"/>
                <w:b/>
                <w:bCs/>
                <w:color w:val="FFFFFF"/>
                <w:sz w:val="22"/>
                <w:szCs w:val="22"/>
              </w:rPr>
            </w:pPr>
            <w:r w:rsidRPr="00CC1BF2">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3EC7F985" w14:textId="77777777" w:rsidR="00CC1BF2" w:rsidRPr="00CC1BF2" w:rsidRDefault="00CC1BF2" w:rsidP="00CC1BF2">
            <w:pPr>
              <w:jc w:val="center"/>
              <w:rPr>
                <w:rFonts w:ascii="Arial Narrow" w:eastAsia="Times New Roman" w:hAnsi="Arial Narrow" w:cs="Calibri"/>
                <w:b/>
                <w:bCs/>
                <w:color w:val="FFFFFF"/>
                <w:sz w:val="22"/>
                <w:szCs w:val="22"/>
              </w:rPr>
            </w:pPr>
            <w:r w:rsidRPr="00CC1BF2">
              <w:rPr>
                <w:rFonts w:ascii="Arial Narrow" w:eastAsia="Times New Roman" w:hAnsi="Arial Narrow" w:cs="Calibri"/>
                <w:b/>
                <w:bCs/>
                <w:color w:val="FFFFFF"/>
                <w:sz w:val="22"/>
                <w:szCs w:val="22"/>
              </w:rPr>
              <w:t>Referencia</w:t>
            </w:r>
          </w:p>
        </w:tc>
      </w:tr>
      <w:tr w:rsidR="00CC1BF2" w:rsidRPr="006E5442" w14:paraId="4E168165" w14:textId="77777777" w:rsidTr="00725F92">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094F1006" w14:textId="77777777" w:rsidR="00CC1BF2" w:rsidRPr="00CC1BF2" w:rsidRDefault="00CC1BF2" w:rsidP="00CC1BF2">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39267785" w14:textId="77777777" w:rsidR="00CC1BF2" w:rsidRPr="00CC1BF2" w:rsidRDefault="00CC1BF2" w:rsidP="00CC1BF2">
            <w:pPr>
              <w:rPr>
                <w:rFonts w:ascii="Arial Narrow" w:eastAsia="Times New Roman" w:hAnsi="Arial Narrow" w:cs="Calibri"/>
                <w:b/>
                <w:bCs/>
                <w:color w:val="FFFFFF"/>
                <w:sz w:val="22"/>
                <w:szCs w:val="22"/>
              </w:rPr>
            </w:pPr>
          </w:p>
        </w:tc>
        <w:tc>
          <w:tcPr>
            <w:tcW w:w="2249" w:type="dxa"/>
            <w:tcBorders>
              <w:top w:val="nil"/>
              <w:left w:val="nil"/>
              <w:bottom w:val="nil"/>
              <w:right w:val="single" w:sz="8" w:space="0" w:color="auto"/>
            </w:tcBorders>
            <w:shd w:val="clear" w:color="000000" w:fill="203764"/>
            <w:vAlign w:val="center"/>
            <w:hideMark/>
          </w:tcPr>
          <w:p w14:paraId="13C3EBC8" w14:textId="77777777" w:rsidR="00CC1BF2" w:rsidRPr="00CC1BF2" w:rsidRDefault="00CC1BF2" w:rsidP="00CC1BF2">
            <w:pPr>
              <w:jc w:val="center"/>
              <w:rPr>
                <w:rFonts w:ascii="Arial Narrow" w:eastAsia="Times New Roman" w:hAnsi="Arial Narrow" w:cs="Calibri"/>
                <w:b/>
                <w:bCs/>
                <w:color w:val="FFFFFF"/>
                <w:sz w:val="22"/>
                <w:szCs w:val="22"/>
              </w:rPr>
            </w:pPr>
            <w:r w:rsidRPr="00CC1BF2">
              <w:rPr>
                <w:rFonts w:ascii="Arial Narrow" w:eastAsia="Times New Roman" w:hAnsi="Arial Narrow" w:cs="Calibri"/>
                <w:b/>
                <w:bCs/>
                <w:color w:val="FFFFFF"/>
                <w:sz w:val="22"/>
                <w:szCs w:val="22"/>
              </w:rPr>
              <w:t>Norma</w:t>
            </w:r>
          </w:p>
        </w:tc>
        <w:tc>
          <w:tcPr>
            <w:tcW w:w="1858" w:type="dxa"/>
            <w:tcBorders>
              <w:top w:val="nil"/>
              <w:left w:val="nil"/>
              <w:bottom w:val="nil"/>
              <w:right w:val="single" w:sz="8" w:space="0" w:color="auto"/>
            </w:tcBorders>
            <w:shd w:val="clear" w:color="000000" w:fill="203764"/>
            <w:vAlign w:val="center"/>
            <w:hideMark/>
          </w:tcPr>
          <w:p w14:paraId="5E390F8D" w14:textId="77777777" w:rsidR="00CC1BF2" w:rsidRPr="00CC1BF2" w:rsidRDefault="00CC1BF2" w:rsidP="00CC1BF2">
            <w:pPr>
              <w:jc w:val="center"/>
              <w:rPr>
                <w:rFonts w:ascii="Arial Narrow" w:eastAsia="Times New Roman" w:hAnsi="Arial Narrow" w:cs="Calibri"/>
                <w:b/>
                <w:bCs/>
                <w:color w:val="FFFFFF"/>
                <w:sz w:val="22"/>
                <w:szCs w:val="22"/>
                <w:lang w:val="es-CR"/>
              </w:rPr>
            </w:pPr>
            <w:r w:rsidRPr="00CC1BF2">
              <w:rPr>
                <w:rFonts w:ascii="Arial Narrow" w:eastAsia="Times New Roman" w:hAnsi="Arial Narrow" w:cs="Calibri"/>
                <w:b/>
                <w:bCs/>
                <w:color w:val="FFFFFF"/>
                <w:sz w:val="22"/>
                <w:szCs w:val="22"/>
                <w:lang w:val="es-CR"/>
              </w:rPr>
              <w:t>Normativa técnica y disposiciones adicionales</w:t>
            </w:r>
          </w:p>
        </w:tc>
      </w:tr>
      <w:tr w:rsidR="00CC1BF2" w:rsidRPr="00CC1BF2" w14:paraId="6B8A6AF4" w14:textId="77777777" w:rsidTr="00725F92">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6ECC1E" w14:textId="77777777" w:rsidR="00CC1BF2" w:rsidRPr="00CC1BF2" w:rsidRDefault="00CC1BF2" w:rsidP="00CC1BF2">
            <w:pPr>
              <w:jc w:val="center"/>
              <w:rPr>
                <w:rFonts w:ascii="Arial Narrow" w:eastAsia="Times New Roman" w:hAnsi="Arial Narrow" w:cs="Calibri"/>
                <w:b/>
                <w:bCs/>
                <w:color w:val="000000"/>
                <w:sz w:val="22"/>
                <w:szCs w:val="22"/>
              </w:rPr>
            </w:pPr>
            <w:r w:rsidRPr="00CC1BF2">
              <w:rPr>
                <w:rFonts w:ascii="Arial Narrow" w:eastAsia="Times New Roman" w:hAnsi="Arial Narrow" w:cs="Calibri"/>
                <w:b/>
                <w:bCs/>
                <w:color w:val="000000"/>
                <w:sz w:val="22"/>
                <w:szCs w:val="22"/>
              </w:rPr>
              <w:t>6</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5997F3A" w14:textId="77777777" w:rsidR="00CC1BF2" w:rsidRPr="00CC1BF2" w:rsidRDefault="00CC1BF2" w:rsidP="00CC1BF2">
            <w:pPr>
              <w:jc w:val="center"/>
              <w:rPr>
                <w:rFonts w:ascii="Arial Narrow" w:eastAsia="Times New Roman" w:hAnsi="Arial Narrow" w:cs="Calibri"/>
                <w:b/>
                <w:bCs/>
                <w:color w:val="000000"/>
                <w:sz w:val="22"/>
                <w:szCs w:val="22"/>
              </w:rPr>
            </w:pPr>
            <w:r w:rsidRPr="00CC1BF2">
              <w:rPr>
                <w:rFonts w:ascii="Arial Narrow" w:eastAsia="Times New Roman" w:hAnsi="Arial Narrow" w:cs="Calibri"/>
                <w:b/>
                <w:bCs/>
                <w:color w:val="000000"/>
                <w:sz w:val="22"/>
                <w:szCs w:val="22"/>
              </w:rPr>
              <w:t>102</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2CB2B63A" w14:textId="77777777" w:rsidR="00CC1BF2" w:rsidRPr="00CC1BF2" w:rsidRDefault="00CC1BF2" w:rsidP="00CC1BF2">
            <w:pPr>
              <w:jc w:val="center"/>
              <w:rPr>
                <w:rFonts w:ascii="Arial Narrow" w:eastAsia="Times New Roman" w:hAnsi="Arial Narrow" w:cs="Calibri"/>
                <w:b/>
                <w:bCs/>
                <w:color w:val="000000"/>
                <w:sz w:val="22"/>
                <w:szCs w:val="22"/>
              </w:rPr>
            </w:pPr>
            <w:r w:rsidRPr="00CC1BF2">
              <w:rPr>
                <w:rFonts w:ascii="Arial Narrow" w:eastAsia="Times New Roman" w:hAnsi="Arial Narrow" w:cs="Calibri"/>
                <w:b/>
                <w:bCs/>
                <w:color w:val="000000"/>
                <w:sz w:val="22"/>
                <w:szCs w:val="22"/>
              </w:rPr>
              <w:t xml:space="preserve">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5F05A6F6" w14:textId="77777777" w:rsidR="00CC1BF2" w:rsidRPr="00CC1BF2" w:rsidRDefault="00CC1BF2" w:rsidP="00CC1BF2">
            <w:pPr>
              <w:jc w:val="both"/>
              <w:rPr>
                <w:rFonts w:ascii="Arial Narrow" w:eastAsia="Times New Roman" w:hAnsi="Arial Narrow" w:cs="Calibri"/>
                <w:b/>
                <w:bCs/>
                <w:color w:val="000000"/>
                <w:sz w:val="22"/>
                <w:szCs w:val="22"/>
                <w:lang w:val="es-CR"/>
              </w:rPr>
            </w:pPr>
            <w:r w:rsidRPr="00CC1BF2">
              <w:rPr>
                <w:rFonts w:ascii="Arial Narrow" w:eastAsia="Times New Roman" w:hAnsi="Arial Narrow" w:cs="Calibri"/>
                <w:b/>
                <w:bCs/>
                <w:color w:val="000000"/>
                <w:sz w:val="22"/>
                <w:szCs w:val="22"/>
                <w:lang w:val="es-CR"/>
              </w:rPr>
              <w:t>Información a presentar en el ESEB</w:t>
            </w:r>
          </w:p>
        </w:tc>
        <w:tc>
          <w:tcPr>
            <w:tcW w:w="2249" w:type="dxa"/>
            <w:tcBorders>
              <w:top w:val="single" w:sz="8" w:space="0" w:color="auto"/>
              <w:left w:val="nil"/>
              <w:bottom w:val="single" w:sz="8" w:space="0" w:color="auto"/>
              <w:right w:val="single" w:sz="8" w:space="0" w:color="auto"/>
            </w:tcBorders>
            <w:shd w:val="clear" w:color="auto" w:fill="auto"/>
            <w:vAlign w:val="center"/>
            <w:hideMark/>
          </w:tcPr>
          <w:p w14:paraId="76E307AD" w14:textId="77777777" w:rsidR="00CC1BF2" w:rsidRPr="00CC1BF2" w:rsidRDefault="00CC1BF2" w:rsidP="00CC1BF2">
            <w:pPr>
              <w:jc w:val="both"/>
              <w:rPr>
                <w:rFonts w:ascii="Arial Narrow" w:eastAsia="Times New Roman" w:hAnsi="Arial Narrow" w:cs="Calibri"/>
                <w:b/>
                <w:bCs/>
                <w:color w:val="000000"/>
                <w:sz w:val="22"/>
                <w:szCs w:val="22"/>
                <w:lang w:val="es-CR"/>
              </w:rPr>
            </w:pPr>
            <w:r w:rsidRPr="00CC1BF2">
              <w:rPr>
                <w:rFonts w:ascii="Arial Narrow" w:eastAsia="Times New Roman" w:hAnsi="Arial Narrow" w:cs="Calibri"/>
                <w:b/>
                <w:bCs/>
                <w:color w:val="000000"/>
                <w:sz w:val="22"/>
                <w:szCs w:val="22"/>
                <w:lang w:val="es-CR"/>
              </w:rPr>
              <w:t> </w:t>
            </w:r>
          </w:p>
        </w:tc>
        <w:tc>
          <w:tcPr>
            <w:tcW w:w="1858" w:type="dxa"/>
            <w:tcBorders>
              <w:top w:val="single" w:sz="8" w:space="0" w:color="auto"/>
              <w:left w:val="nil"/>
              <w:bottom w:val="single" w:sz="8" w:space="0" w:color="auto"/>
              <w:right w:val="single" w:sz="8" w:space="0" w:color="auto"/>
            </w:tcBorders>
            <w:shd w:val="clear" w:color="auto" w:fill="auto"/>
            <w:vAlign w:val="center"/>
            <w:hideMark/>
          </w:tcPr>
          <w:p w14:paraId="7EAA6FA8" w14:textId="77777777" w:rsidR="00CC1BF2" w:rsidRPr="00CC1BF2" w:rsidRDefault="00CC1BF2" w:rsidP="00CC1BF2">
            <w:pPr>
              <w:jc w:val="center"/>
              <w:rPr>
                <w:rFonts w:ascii="Arial Narrow" w:eastAsia="Times New Roman" w:hAnsi="Arial Narrow" w:cs="Calibri"/>
                <w:b/>
                <w:bCs/>
                <w:color w:val="000000"/>
                <w:sz w:val="22"/>
                <w:szCs w:val="22"/>
              </w:rPr>
            </w:pPr>
            <w:r w:rsidRPr="00CC1BF2">
              <w:rPr>
                <w:rFonts w:ascii="Arial Narrow" w:eastAsia="Times New Roman" w:hAnsi="Arial Narrow" w:cs="Calibri"/>
                <w:b/>
                <w:bCs/>
                <w:color w:val="000000"/>
                <w:sz w:val="22"/>
                <w:szCs w:val="22"/>
              </w:rPr>
              <w:t>DGCN</w:t>
            </w:r>
          </w:p>
        </w:tc>
      </w:tr>
    </w:tbl>
    <w:p w14:paraId="2D9371C5" w14:textId="77777777" w:rsidR="000F3F2A" w:rsidRDefault="000F3F2A" w:rsidP="002236BD">
      <w:pPr>
        <w:pStyle w:val="Default"/>
        <w:ind w:left="1134" w:hanging="1134"/>
        <w:jc w:val="both"/>
        <w:rPr>
          <w:sz w:val="22"/>
          <w:szCs w:val="22"/>
          <w:lang w:val="es-CR"/>
        </w:rPr>
      </w:pPr>
    </w:p>
    <w:p w14:paraId="55711319" w14:textId="2776314D" w:rsidR="00725F92" w:rsidRDefault="00725F92" w:rsidP="00725F92">
      <w:pPr>
        <w:pStyle w:val="Default"/>
        <w:ind w:left="1134" w:hanging="1134"/>
        <w:jc w:val="both"/>
        <w:rPr>
          <w:rFonts w:eastAsia="Arial"/>
          <w:b/>
          <w:sz w:val="22"/>
          <w:szCs w:val="22"/>
        </w:rPr>
      </w:pPr>
      <w:r w:rsidRPr="00F02F9D">
        <w:rPr>
          <w:rFonts w:eastAsia="Arial"/>
          <w:b/>
          <w:sz w:val="22"/>
          <w:szCs w:val="22"/>
        </w:rPr>
        <w:t>Política Contable</w:t>
      </w:r>
    </w:p>
    <w:p w14:paraId="7CD36906" w14:textId="77777777" w:rsidR="00725F92" w:rsidRDefault="00725F92" w:rsidP="002236BD">
      <w:pPr>
        <w:pStyle w:val="Default"/>
        <w:ind w:left="1134" w:hanging="1134"/>
        <w:jc w:val="both"/>
        <w:rPr>
          <w:sz w:val="22"/>
          <w:szCs w:val="22"/>
          <w:lang w:val="es-CR"/>
        </w:rPr>
      </w:pPr>
    </w:p>
    <w:p w14:paraId="3455F444" w14:textId="1DE1E362" w:rsidR="000F3F2A" w:rsidRPr="00725F92" w:rsidRDefault="00CC1BF2" w:rsidP="002236BD">
      <w:pPr>
        <w:pStyle w:val="Default"/>
        <w:ind w:left="1134" w:hanging="1134"/>
        <w:jc w:val="both"/>
        <w:rPr>
          <w:sz w:val="22"/>
          <w:szCs w:val="22"/>
          <w:lang w:val="es-CR"/>
        </w:rPr>
      </w:pPr>
      <w:r w:rsidRPr="00725F92">
        <w:rPr>
          <w:sz w:val="22"/>
          <w:szCs w:val="22"/>
          <w:lang w:val="es-CR"/>
        </w:rPr>
        <w:t>6.102.0.01</w:t>
      </w:r>
      <w:r w:rsidRPr="00725F92">
        <w:rPr>
          <w:sz w:val="22"/>
          <w:szCs w:val="22"/>
          <w:lang w:val="es-CR"/>
        </w:rPr>
        <w:tab/>
        <w:t xml:space="preserve">Información a presentar en el </w:t>
      </w:r>
      <w:r w:rsidRPr="00725F92">
        <w:rPr>
          <w:i/>
          <w:iCs/>
          <w:sz w:val="22"/>
          <w:szCs w:val="22"/>
          <w:lang w:val="es-CR"/>
        </w:rPr>
        <w:t>Estado de Situación y Evolución de Bienes (No Concesionados y Concesionados):</w:t>
      </w:r>
    </w:p>
    <w:p w14:paraId="7657DF45" w14:textId="77777777" w:rsidR="000F3F2A" w:rsidRDefault="000F3F2A" w:rsidP="002236BD">
      <w:pPr>
        <w:pStyle w:val="Default"/>
        <w:ind w:left="1134" w:hanging="1134"/>
        <w:jc w:val="both"/>
        <w:rPr>
          <w:sz w:val="22"/>
          <w:szCs w:val="22"/>
          <w:lang w:val="es-CR"/>
        </w:rPr>
      </w:pPr>
    </w:p>
    <w:tbl>
      <w:tblPr>
        <w:tblW w:w="8560" w:type="dxa"/>
        <w:tblLook w:val="04A0" w:firstRow="1" w:lastRow="0" w:firstColumn="1" w:lastColumn="0" w:noHBand="0" w:noVBand="1"/>
      </w:tblPr>
      <w:tblGrid>
        <w:gridCol w:w="8560"/>
      </w:tblGrid>
      <w:tr w:rsidR="000B7619" w:rsidRPr="006E5442" w14:paraId="7A58600C" w14:textId="77777777" w:rsidTr="000B7619">
        <w:trPr>
          <w:trHeight w:val="790"/>
        </w:trPr>
        <w:tc>
          <w:tcPr>
            <w:tcW w:w="8560"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3391C5A7"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t>Información detallada por cada cuenta de bienes, agrupando separadamente los concesionados de los no concesionados) y, dentro de ellas, por cada subcuenta de acuerdo con su significatividad. Las entidades deberán separar los activos entre los que generen efectivo y los que no generen efectivo.</w:t>
            </w:r>
          </w:p>
        </w:tc>
      </w:tr>
      <w:tr w:rsidR="000B7619" w:rsidRPr="006E5442" w14:paraId="0CFA457F" w14:textId="77777777" w:rsidTr="000B7619">
        <w:trPr>
          <w:trHeight w:val="290"/>
        </w:trPr>
        <w:tc>
          <w:tcPr>
            <w:tcW w:w="8560" w:type="dxa"/>
            <w:tcBorders>
              <w:top w:val="nil"/>
              <w:left w:val="single" w:sz="8" w:space="0" w:color="auto"/>
              <w:bottom w:val="single" w:sz="4" w:space="0" w:color="auto"/>
              <w:right w:val="single" w:sz="8" w:space="0" w:color="auto"/>
            </w:tcBorders>
            <w:shd w:val="clear" w:color="auto" w:fill="auto"/>
            <w:vAlign w:val="bottom"/>
            <w:hideMark/>
          </w:tcPr>
          <w:p w14:paraId="2B699808"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t>El importe de los desembolsos reconocidos en libros para construcción en proceso.</w:t>
            </w:r>
          </w:p>
        </w:tc>
      </w:tr>
      <w:tr w:rsidR="000B7619" w:rsidRPr="006E5442" w14:paraId="1F56ACBF" w14:textId="77777777" w:rsidTr="000B7619">
        <w:trPr>
          <w:trHeight w:val="290"/>
        </w:trPr>
        <w:tc>
          <w:tcPr>
            <w:tcW w:w="8560" w:type="dxa"/>
            <w:tcBorders>
              <w:top w:val="nil"/>
              <w:left w:val="single" w:sz="8" w:space="0" w:color="auto"/>
              <w:bottom w:val="single" w:sz="4" w:space="0" w:color="auto"/>
              <w:right w:val="single" w:sz="8" w:space="0" w:color="auto"/>
            </w:tcBorders>
            <w:shd w:val="clear" w:color="auto" w:fill="auto"/>
            <w:vAlign w:val="bottom"/>
            <w:hideMark/>
          </w:tcPr>
          <w:p w14:paraId="7848E3C3"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t>El saldo al inicio, discriminando las pérdidas por deterioro que haya tenido.</w:t>
            </w:r>
          </w:p>
        </w:tc>
      </w:tr>
      <w:tr w:rsidR="000B7619" w:rsidRPr="006E5442" w14:paraId="0BFA9132" w14:textId="77777777" w:rsidTr="000B7619">
        <w:trPr>
          <w:trHeight w:val="290"/>
        </w:trPr>
        <w:tc>
          <w:tcPr>
            <w:tcW w:w="8560" w:type="dxa"/>
            <w:tcBorders>
              <w:top w:val="nil"/>
              <w:left w:val="single" w:sz="8" w:space="0" w:color="auto"/>
              <w:bottom w:val="nil"/>
              <w:right w:val="single" w:sz="8" w:space="0" w:color="auto"/>
            </w:tcBorders>
            <w:shd w:val="clear" w:color="auto" w:fill="auto"/>
            <w:vAlign w:val="bottom"/>
            <w:hideMark/>
          </w:tcPr>
          <w:p w14:paraId="5B2DED6F"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t>Detallar los movimientos del ejercicio, reflejando:</w:t>
            </w:r>
          </w:p>
        </w:tc>
      </w:tr>
      <w:tr w:rsidR="000B7619" w:rsidRPr="000B7619" w14:paraId="0575C0A6" w14:textId="77777777" w:rsidTr="000B7619">
        <w:trPr>
          <w:trHeight w:val="290"/>
        </w:trPr>
        <w:tc>
          <w:tcPr>
            <w:tcW w:w="8560" w:type="dxa"/>
            <w:tcBorders>
              <w:top w:val="nil"/>
              <w:left w:val="single" w:sz="8" w:space="0" w:color="auto"/>
              <w:bottom w:val="nil"/>
              <w:right w:val="single" w:sz="8" w:space="0" w:color="auto"/>
            </w:tcBorders>
            <w:shd w:val="clear" w:color="auto" w:fill="auto"/>
            <w:vAlign w:val="bottom"/>
            <w:hideMark/>
          </w:tcPr>
          <w:p w14:paraId="26A0E4C9" w14:textId="77777777" w:rsidR="000B7619" w:rsidRPr="000B7619" w:rsidRDefault="000B7619" w:rsidP="000B7619">
            <w:pPr>
              <w:rPr>
                <w:rFonts w:eastAsia="Times New Roman" w:cs="Calibri"/>
                <w:color w:val="000000"/>
              </w:rPr>
            </w:pPr>
            <w:r w:rsidRPr="000B7619">
              <w:rPr>
                <w:rFonts w:eastAsia="Times New Roman" w:cs="Calibri"/>
                <w:color w:val="000000"/>
              </w:rPr>
              <w:t>1. Inversiones, (Altas)</w:t>
            </w:r>
          </w:p>
        </w:tc>
      </w:tr>
      <w:tr w:rsidR="000B7619" w:rsidRPr="000B7619" w14:paraId="04DF656F" w14:textId="77777777" w:rsidTr="000B7619">
        <w:trPr>
          <w:trHeight w:val="290"/>
        </w:trPr>
        <w:tc>
          <w:tcPr>
            <w:tcW w:w="8560" w:type="dxa"/>
            <w:tcBorders>
              <w:top w:val="nil"/>
              <w:left w:val="single" w:sz="8" w:space="0" w:color="auto"/>
              <w:bottom w:val="nil"/>
              <w:right w:val="single" w:sz="8" w:space="0" w:color="auto"/>
            </w:tcBorders>
            <w:shd w:val="clear" w:color="auto" w:fill="auto"/>
            <w:vAlign w:val="bottom"/>
            <w:hideMark/>
          </w:tcPr>
          <w:p w14:paraId="116C5AAD" w14:textId="77777777" w:rsidR="000B7619" w:rsidRPr="000B7619" w:rsidRDefault="000B7619" w:rsidP="000B7619">
            <w:pPr>
              <w:rPr>
                <w:rFonts w:eastAsia="Times New Roman" w:cs="Calibri"/>
                <w:color w:val="000000"/>
              </w:rPr>
            </w:pPr>
            <w:r w:rsidRPr="000B7619">
              <w:rPr>
                <w:rFonts w:eastAsia="Times New Roman" w:cs="Calibri"/>
                <w:color w:val="000000"/>
              </w:rPr>
              <w:t>2. Disposiciones (Bajas)</w:t>
            </w:r>
          </w:p>
        </w:tc>
      </w:tr>
      <w:tr w:rsidR="000B7619" w:rsidRPr="000B7619" w14:paraId="6C03F129" w14:textId="77777777" w:rsidTr="000B7619">
        <w:trPr>
          <w:trHeight w:val="290"/>
        </w:trPr>
        <w:tc>
          <w:tcPr>
            <w:tcW w:w="8560" w:type="dxa"/>
            <w:tcBorders>
              <w:top w:val="nil"/>
              <w:left w:val="single" w:sz="8" w:space="0" w:color="auto"/>
              <w:bottom w:val="nil"/>
              <w:right w:val="single" w:sz="8" w:space="0" w:color="auto"/>
            </w:tcBorders>
            <w:shd w:val="clear" w:color="auto" w:fill="auto"/>
            <w:vAlign w:val="bottom"/>
            <w:hideMark/>
          </w:tcPr>
          <w:p w14:paraId="09430ADA" w14:textId="77777777" w:rsidR="000B7619" w:rsidRPr="000B7619" w:rsidRDefault="000B7619" w:rsidP="000B7619">
            <w:pPr>
              <w:rPr>
                <w:rFonts w:eastAsia="Times New Roman" w:cs="Calibri"/>
                <w:color w:val="000000"/>
              </w:rPr>
            </w:pPr>
            <w:r w:rsidRPr="000B7619">
              <w:rPr>
                <w:rFonts w:eastAsia="Times New Roman" w:cs="Calibri"/>
                <w:color w:val="000000"/>
              </w:rPr>
              <w:t>3. Revalúo (incrementos y disminuciones).</w:t>
            </w:r>
          </w:p>
        </w:tc>
      </w:tr>
      <w:tr w:rsidR="000B7619" w:rsidRPr="000B7619" w14:paraId="4ADC70A1" w14:textId="77777777" w:rsidTr="000B7619">
        <w:trPr>
          <w:trHeight w:val="290"/>
        </w:trPr>
        <w:tc>
          <w:tcPr>
            <w:tcW w:w="8560" w:type="dxa"/>
            <w:tcBorders>
              <w:top w:val="nil"/>
              <w:left w:val="single" w:sz="8" w:space="0" w:color="auto"/>
              <w:bottom w:val="nil"/>
              <w:right w:val="single" w:sz="8" w:space="0" w:color="auto"/>
            </w:tcBorders>
            <w:shd w:val="clear" w:color="auto" w:fill="auto"/>
            <w:vAlign w:val="bottom"/>
            <w:hideMark/>
          </w:tcPr>
          <w:p w14:paraId="6E4792ED" w14:textId="77777777" w:rsidR="000B7619" w:rsidRPr="000B7619" w:rsidRDefault="000B7619" w:rsidP="000B7619">
            <w:pPr>
              <w:rPr>
                <w:rFonts w:eastAsia="Times New Roman" w:cs="Calibri"/>
                <w:color w:val="000000"/>
              </w:rPr>
            </w:pPr>
            <w:r w:rsidRPr="000B7619">
              <w:rPr>
                <w:rFonts w:eastAsia="Times New Roman" w:cs="Calibri"/>
                <w:color w:val="000000"/>
              </w:rPr>
              <w:t>4. Pérdidas por deterioro.</w:t>
            </w:r>
          </w:p>
        </w:tc>
      </w:tr>
      <w:tr w:rsidR="000B7619" w:rsidRPr="006E5442" w14:paraId="09993381" w14:textId="77777777" w:rsidTr="000B7619">
        <w:trPr>
          <w:trHeight w:val="290"/>
        </w:trPr>
        <w:tc>
          <w:tcPr>
            <w:tcW w:w="8560" w:type="dxa"/>
            <w:tcBorders>
              <w:top w:val="nil"/>
              <w:left w:val="single" w:sz="8" w:space="0" w:color="auto"/>
              <w:bottom w:val="nil"/>
              <w:right w:val="single" w:sz="8" w:space="0" w:color="auto"/>
            </w:tcBorders>
            <w:shd w:val="clear" w:color="auto" w:fill="auto"/>
            <w:vAlign w:val="bottom"/>
            <w:hideMark/>
          </w:tcPr>
          <w:p w14:paraId="05D9A4F0"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t>5. Reversión de pérdidas por deterioro.</w:t>
            </w:r>
          </w:p>
        </w:tc>
      </w:tr>
      <w:tr w:rsidR="000B7619" w:rsidRPr="000B7619" w14:paraId="6644A0A4" w14:textId="77777777" w:rsidTr="000B7619">
        <w:trPr>
          <w:trHeight w:val="290"/>
        </w:trPr>
        <w:tc>
          <w:tcPr>
            <w:tcW w:w="8560" w:type="dxa"/>
            <w:tcBorders>
              <w:top w:val="nil"/>
              <w:left w:val="single" w:sz="8" w:space="0" w:color="auto"/>
              <w:bottom w:val="nil"/>
              <w:right w:val="single" w:sz="8" w:space="0" w:color="auto"/>
            </w:tcBorders>
            <w:shd w:val="clear" w:color="auto" w:fill="auto"/>
            <w:vAlign w:val="bottom"/>
            <w:hideMark/>
          </w:tcPr>
          <w:p w14:paraId="555984B3" w14:textId="77777777" w:rsidR="000B7619" w:rsidRPr="000B7619" w:rsidRDefault="000B7619" w:rsidP="000B7619">
            <w:pPr>
              <w:rPr>
                <w:rFonts w:eastAsia="Times New Roman" w:cs="Calibri"/>
                <w:color w:val="000000"/>
              </w:rPr>
            </w:pPr>
            <w:r w:rsidRPr="000B7619">
              <w:rPr>
                <w:rFonts w:eastAsia="Times New Roman" w:cs="Calibri"/>
                <w:color w:val="000000"/>
              </w:rPr>
              <w:t>6. Diferencias de Cambio.</w:t>
            </w:r>
          </w:p>
        </w:tc>
      </w:tr>
      <w:tr w:rsidR="000B7619" w:rsidRPr="000B7619" w14:paraId="5D498381" w14:textId="77777777" w:rsidTr="000B7619">
        <w:trPr>
          <w:trHeight w:val="290"/>
        </w:trPr>
        <w:tc>
          <w:tcPr>
            <w:tcW w:w="8560" w:type="dxa"/>
            <w:tcBorders>
              <w:top w:val="nil"/>
              <w:left w:val="single" w:sz="8" w:space="0" w:color="auto"/>
              <w:bottom w:val="single" w:sz="4" w:space="0" w:color="auto"/>
              <w:right w:val="single" w:sz="8" w:space="0" w:color="auto"/>
            </w:tcBorders>
            <w:shd w:val="clear" w:color="auto" w:fill="auto"/>
            <w:vAlign w:val="bottom"/>
            <w:hideMark/>
          </w:tcPr>
          <w:p w14:paraId="71D396B5" w14:textId="77777777" w:rsidR="000B7619" w:rsidRPr="000B7619" w:rsidRDefault="000B7619" w:rsidP="000B7619">
            <w:pPr>
              <w:rPr>
                <w:rFonts w:eastAsia="Times New Roman" w:cs="Calibri"/>
                <w:color w:val="000000"/>
              </w:rPr>
            </w:pPr>
            <w:r w:rsidRPr="000B7619">
              <w:rPr>
                <w:rFonts w:eastAsia="Times New Roman" w:cs="Calibri"/>
                <w:color w:val="000000"/>
              </w:rPr>
              <w:t>7. Otros movimientos.</w:t>
            </w:r>
          </w:p>
        </w:tc>
      </w:tr>
      <w:tr w:rsidR="000B7619" w:rsidRPr="006E5442" w14:paraId="01F82F94" w14:textId="77777777" w:rsidTr="000B7619">
        <w:trPr>
          <w:trHeight w:val="290"/>
        </w:trPr>
        <w:tc>
          <w:tcPr>
            <w:tcW w:w="8560" w:type="dxa"/>
            <w:tcBorders>
              <w:top w:val="nil"/>
              <w:left w:val="single" w:sz="8" w:space="0" w:color="auto"/>
              <w:bottom w:val="single" w:sz="4" w:space="0" w:color="auto"/>
              <w:right w:val="single" w:sz="8" w:space="0" w:color="auto"/>
            </w:tcBorders>
            <w:shd w:val="clear" w:color="auto" w:fill="auto"/>
            <w:vAlign w:val="bottom"/>
            <w:hideMark/>
          </w:tcPr>
          <w:p w14:paraId="6846DF7A"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t>El saldo al cierre producto de los movimientos acontecidos en el ejercicio.</w:t>
            </w:r>
          </w:p>
        </w:tc>
      </w:tr>
      <w:tr w:rsidR="000B7619" w:rsidRPr="006E5442" w14:paraId="7BEB7DDE" w14:textId="77777777" w:rsidTr="000B7619">
        <w:trPr>
          <w:trHeight w:val="530"/>
        </w:trPr>
        <w:tc>
          <w:tcPr>
            <w:tcW w:w="8560" w:type="dxa"/>
            <w:tcBorders>
              <w:top w:val="nil"/>
              <w:left w:val="single" w:sz="8" w:space="0" w:color="auto"/>
              <w:bottom w:val="single" w:sz="4" w:space="0" w:color="auto"/>
              <w:right w:val="single" w:sz="8" w:space="0" w:color="auto"/>
            </w:tcBorders>
            <w:shd w:val="clear" w:color="auto" w:fill="auto"/>
            <w:vAlign w:val="bottom"/>
            <w:hideMark/>
          </w:tcPr>
          <w:p w14:paraId="2945F597"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t>La depreciación/amortización del período, independientemente de que se reconozca en el resultado o como parte del costo de otros activos.</w:t>
            </w:r>
          </w:p>
        </w:tc>
      </w:tr>
      <w:tr w:rsidR="000B7619" w:rsidRPr="006E5442" w14:paraId="41458CE8" w14:textId="77777777" w:rsidTr="000B7619">
        <w:trPr>
          <w:trHeight w:val="290"/>
        </w:trPr>
        <w:tc>
          <w:tcPr>
            <w:tcW w:w="8560" w:type="dxa"/>
            <w:tcBorders>
              <w:top w:val="nil"/>
              <w:left w:val="single" w:sz="8" w:space="0" w:color="auto"/>
              <w:bottom w:val="single" w:sz="4" w:space="0" w:color="auto"/>
              <w:right w:val="single" w:sz="8" w:space="0" w:color="auto"/>
            </w:tcBorders>
            <w:shd w:val="clear" w:color="auto" w:fill="auto"/>
            <w:vAlign w:val="bottom"/>
            <w:hideMark/>
          </w:tcPr>
          <w:p w14:paraId="1448A097"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t>La depreciación acumulada al término del período.</w:t>
            </w:r>
          </w:p>
        </w:tc>
      </w:tr>
      <w:tr w:rsidR="000B7619" w:rsidRPr="006E5442" w14:paraId="1AE250C1" w14:textId="77777777" w:rsidTr="000B7619">
        <w:trPr>
          <w:trHeight w:val="290"/>
        </w:trPr>
        <w:tc>
          <w:tcPr>
            <w:tcW w:w="8560" w:type="dxa"/>
            <w:tcBorders>
              <w:top w:val="nil"/>
              <w:left w:val="single" w:sz="8" w:space="0" w:color="auto"/>
              <w:bottom w:val="single" w:sz="4" w:space="0" w:color="auto"/>
              <w:right w:val="single" w:sz="8" w:space="0" w:color="auto"/>
            </w:tcBorders>
            <w:shd w:val="clear" w:color="auto" w:fill="auto"/>
            <w:vAlign w:val="bottom"/>
            <w:hideMark/>
          </w:tcPr>
          <w:p w14:paraId="243B8822" w14:textId="77777777" w:rsidR="000B7619" w:rsidRPr="000B7619" w:rsidRDefault="000B7619" w:rsidP="000B7619">
            <w:pPr>
              <w:rPr>
                <w:rFonts w:eastAsia="Times New Roman" w:cs="Calibri"/>
                <w:color w:val="000000"/>
                <w:lang w:val="es-CR"/>
              </w:rPr>
            </w:pPr>
            <w:r w:rsidRPr="000B7619">
              <w:rPr>
                <w:rFonts w:eastAsia="Times New Roman" w:cs="Calibri"/>
                <w:color w:val="000000"/>
                <w:lang w:val="es-CR"/>
              </w:rPr>
              <w:lastRenderedPageBreak/>
              <w:t>Vida útil o porcentaje de depreciación/amortización utilizadas.</w:t>
            </w:r>
          </w:p>
        </w:tc>
      </w:tr>
      <w:tr w:rsidR="000B7619" w:rsidRPr="000B7619" w14:paraId="070A6C20" w14:textId="77777777" w:rsidTr="000B7619">
        <w:trPr>
          <w:trHeight w:val="300"/>
        </w:trPr>
        <w:tc>
          <w:tcPr>
            <w:tcW w:w="8560" w:type="dxa"/>
            <w:tcBorders>
              <w:top w:val="nil"/>
              <w:left w:val="single" w:sz="8" w:space="0" w:color="auto"/>
              <w:bottom w:val="single" w:sz="8" w:space="0" w:color="auto"/>
              <w:right w:val="single" w:sz="8" w:space="0" w:color="auto"/>
            </w:tcBorders>
            <w:shd w:val="clear" w:color="auto" w:fill="auto"/>
            <w:vAlign w:val="bottom"/>
            <w:hideMark/>
          </w:tcPr>
          <w:p w14:paraId="7740ABC4" w14:textId="77777777" w:rsidR="000B7619" w:rsidRPr="000B7619" w:rsidRDefault="000B7619" w:rsidP="000B7619">
            <w:pPr>
              <w:rPr>
                <w:rFonts w:eastAsia="Times New Roman" w:cs="Calibri"/>
                <w:color w:val="000000"/>
              </w:rPr>
            </w:pPr>
            <w:r w:rsidRPr="000B7619">
              <w:rPr>
                <w:rFonts w:eastAsia="Times New Roman" w:cs="Calibri"/>
                <w:color w:val="000000"/>
              </w:rPr>
              <w:t>Valor residual final.</w:t>
            </w:r>
          </w:p>
        </w:tc>
      </w:tr>
    </w:tbl>
    <w:p w14:paraId="129EB787" w14:textId="77777777" w:rsidR="000F3F2A" w:rsidRDefault="000F3F2A" w:rsidP="002236BD">
      <w:pPr>
        <w:pStyle w:val="Default"/>
        <w:ind w:left="1134" w:hanging="1134"/>
        <w:jc w:val="both"/>
        <w:rPr>
          <w:sz w:val="22"/>
          <w:szCs w:val="22"/>
          <w:lang w:val="es-CR"/>
        </w:rPr>
      </w:pPr>
    </w:p>
    <w:p w14:paraId="2E3DC3D3" w14:textId="77777777" w:rsidR="000F3F2A" w:rsidRDefault="000F3F2A" w:rsidP="002236BD">
      <w:pPr>
        <w:pStyle w:val="Default"/>
        <w:ind w:left="1134" w:hanging="1134"/>
        <w:jc w:val="both"/>
        <w:rPr>
          <w:sz w:val="22"/>
          <w:szCs w:val="22"/>
          <w:lang w:val="es-CR"/>
        </w:rPr>
      </w:pPr>
    </w:p>
    <w:tbl>
      <w:tblPr>
        <w:tblW w:w="9302" w:type="dxa"/>
        <w:tblLook w:val="04A0" w:firstRow="1" w:lastRow="0" w:firstColumn="1" w:lastColumn="0" w:noHBand="0" w:noVBand="1"/>
      </w:tblPr>
      <w:tblGrid>
        <w:gridCol w:w="416"/>
        <w:gridCol w:w="567"/>
        <w:gridCol w:w="372"/>
        <w:gridCol w:w="127"/>
        <w:gridCol w:w="3567"/>
        <w:gridCol w:w="127"/>
        <w:gridCol w:w="2125"/>
        <w:gridCol w:w="127"/>
        <w:gridCol w:w="1865"/>
        <w:gridCol w:w="9"/>
      </w:tblGrid>
      <w:tr w:rsidR="000B7619" w:rsidRPr="000B7619" w14:paraId="48997B6B" w14:textId="77777777" w:rsidTr="002771C5">
        <w:trPr>
          <w:trHeight w:val="320"/>
        </w:trPr>
        <w:tc>
          <w:tcPr>
            <w:tcW w:w="1482"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0EEAB8B" w14:textId="77777777" w:rsidR="000B7619" w:rsidRPr="000B7619" w:rsidRDefault="000B7619" w:rsidP="000B7619">
            <w:pPr>
              <w:jc w:val="center"/>
              <w:rPr>
                <w:rFonts w:ascii="Arial Narrow" w:eastAsia="Times New Roman" w:hAnsi="Arial Narrow" w:cs="Calibri"/>
                <w:b/>
                <w:bCs/>
                <w:color w:val="FFFFFF"/>
                <w:sz w:val="22"/>
                <w:szCs w:val="22"/>
              </w:rPr>
            </w:pPr>
            <w:r w:rsidRPr="000B7619">
              <w:rPr>
                <w:rFonts w:ascii="Arial Narrow" w:eastAsia="Times New Roman" w:hAnsi="Arial Narrow" w:cs="Calibri"/>
                <w:b/>
                <w:bCs/>
                <w:color w:val="FFFFFF"/>
                <w:sz w:val="22"/>
                <w:szCs w:val="22"/>
              </w:rPr>
              <w:t>Norma / Política</w:t>
            </w:r>
          </w:p>
        </w:tc>
        <w:tc>
          <w:tcPr>
            <w:tcW w:w="3694"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F37C7F0" w14:textId="77777777" w:rsidR="000B7619" w:rsidRPr="000B7619" w:rsidRDefault="000B7619" w:rsidP="000B7619">
            <w:pPr>
              <w:jc w:val="center"/>
              <w:rPr>
                <w:rFonts w:ascii="Arial Narrow" w:eastAsia="Times New Roman" w:hAnsi="Arial Narrow" w:cs="Calibri"/>
                <w:b/>
                <w:bCs/>
                <w:color w:val="FFFFFF"/>
                <w:sz w:val="22"/>
                <w:szCs w:val="22"/>
              </w:rPr>
            </w:pPr>
            <w:r w:rsidRPr="000B7619">
              <w:rPr>
                <w:rFonts w:ascii="Arial Narrow" w:eastAsia="Times New Roman" w:hAnsi="Arial Narrow" w:cs="Calibri"/>
                <w:b/>
                <w:bCs/>
                <w:color w:val="FFFFFF"/>
                <w:sz w:val="22"/>
                <w:szCs w:val="22"/>
              </w:rPr>
              <w:t>Concepto</w:t>
            </w:r>
          </w:p>
        </w:tc>
        <w:tc>
          <w:tcPr>
            <w:tcW w:w="4126" w:type="dxa"/>
            <w:gridSpan w:val="4"/>
            <w:tcBorders>
              <w:top w:val="single" w:sz="8" w:space="0" w:color="auto"/>
              <w:left w:val="nil"/>
              <w:bottom w:val="single" w:sz="8" w:space="0" w:color="auto"/>
              <w:right w:val="single" w:sz="8" w:space="0" w:color="000000"/>
            </w:tcBorders>
            <w:shd w:val="clear" w:color="000000" w:fill="203764"/>
            <w:vAlign w:val="center"/>
            <w:hideMark/>
          </w:tcPr>
          <w:p w14:paraId="19FE373A" w14:textId="77777777" w:rsidR="000B7619" w:rsidRPr="000B7619" w:rsidRDefault="000B7619" w:rsidP="000B7619">
            <w:pPr>
              <w:jc w:val="center"/>
              <w:rPr>
                <w:rFonts w:ascii="Arial Narrow" w:eastAsia="Times New Roman" w:hAnsi="Arial Narrow" w:cs="Calibri"/>
                <w:b/>
                <w:bCs/>
                <w:color w:val="FFFFFF"/>
                <w:sz w:val="22"/>
                <w:szCs w:val="22"/>
              </w:rPr>
            </w:pPr>
            <w:r w:rsidRPr="000B7619">
              <w:rPr>
                <w:rFonts w:ascii="Arial Narrow" w:eastAsia="Times New Roman" w:hAnsi="Arial Narrow" w:cs="Calibri"/>
                <w:b/>
                <w:bCs/>
                <w:color w:val="FFFFFF"/>
                <w:sz w:val="22"/>
                <w:szCs w:val="22"/>
              </w:rPr>
              <w:t>Referencia</w:t>
            </w:r>
          </w:p>
        </w:tc>
      </w:tr>
      <w:tr w:rsidR="000B7619" w:rsidRPr="006E5442" w14:paraId="674572CF" w14:textId="77777777" w:rsidTr="002771C5">
        <w:trPr>
          <w:trHeight w:val="850"/>
        </w:trPr>
        <w:tc>
          <w:tcPr>
            <w:tcW w:w="1482" w:type="dxa"/>
            <w:gridSpan w:val="4"/>
            <w:vMerge/>
            <w:tcBorders>
              <w:top w:val="single" w:sz="8" w:space="0" w:color="auto"/>
              <w:left w:val="single" w:sz="8" w:space="0" w:color="auto"/>
              <w:bottom w:val="nil"/>
              <w:right w:val="single" w:sz="8" w:space="0" w:color="000000"/>
            </w:tcBorders>
            <w:vAlign w:val="center"/>
            <w:hideMark/>
          </w:tcPr>
          <w:p w14:paraId="43209F6C" w14:textId="77777777" w:rsidR="000B7619" w:rsidRPr="000B7619" w:rsidRDefault="000B7619" w:rsidP="000B7619">
            <w:pPr>
              <w:rPr>
                <w:rFonts w:ascii="Arial Narrow" w:eastAsia="Times New Roman" w:hAnsi="Arial Narrow" w:cs="Calibri"/>
                <w:b/>
                <w:bCs/>
                <w:color w:val="FFFFFF"/>
                <w:sz w:val="22"/>
                <w:szCs w:val="22"/>
              </w:rPr>
            </w:pPr>
          </w:p>
        </w:tc>
        <w:tc>
          <w:tcPr>
            <w:tcW w:w="3694" w:type="dxa"/>
            <w:gridSpan w:val="2"/>
            <w:vMerge/>
            <w:tcBorders>
              <w:top w:val="single" w:sz="8" w:space="0" w:color="auto"/>
              <w:left w:val="single" w:sz="8" w:space="0" w:color="auto"/>
              <w:bottom w:val="nil"/>
              <w:right w:val="single" w:sz="8" w:space="0" w:color="auto"/>
            </w:tcBorders>
            <w:vAlign w:val="center"/>
            <w:hideMark/>
          </w:tcPr>
          <w:p w14:paraId="5590CD1F" w14:textId="77777777" w:rsidR="000B7619" w:rsidRPr="000B7619" w:rsidRDefault="000B7619" w:rsidP="000B7619">
            <w:pPr>
              <w:rPr>
                <w:rFonts w:ascii="Arial Narrow" w:eastAsia="Times New Roman" w:hAnsi="Arial Narrow" w:cs="Calibri"/>
                <w:b/>
                <w:bCs/>
                <w:color w:val="FFFFFF"/>
                <w:sz w:val="22"/>
                <w:szCs w:val="22"/>
              </w:rPr>
            </w:pPr>
          </w:p>
        </w:tc>
        <w:tc>
          <w:tcPr>
            <w:tcW w:w="2252" w:type="dxa"/>
            <w:gridSpan w:val="2"/>
            <w:tcBorders>
              <w:top w:val="nil"/>
              <w:left w:val="nil"/>
              <w:bottom w:val="nil"/>
              <w:right w:val="single" w:sz="8" w:space="0" w:color="auto"/>
            </w:tcBorders>
            <w:shd w:val="clear" w:color="000000" w:fill="203764"/>
            <w:vAlign w:val="center"/>
            <w:hideMark/>
          </w:tcPr>
          <w:p w14:paraId="2F1A04C4" w14:textId="77777777" w:rsidR="000B7619" w:rsidRPr="000B7619" w:rsidRDefault="000B7619" w:rsidP="000B7619">
            <w:pPr>
              <w:jc w:val="center"/>
              <w:rPr>
                <w:rFonts w:ascii="Arial Narrow" w:eastAsia="Times New Roman" w:hAnsi="Arial Narrow" w:cs="Calibri"/>
                <w:b/>
                <w:bCs/>
                <w:color w:val="FFFFFF"/>
                <w:sz w:val="22"/>
                <w:szCs w:val="22"/>
              </w:rPr>
            </w:pPr>
            <w:r w:rsidRPr="000B7619">
              <w:rPr>
                <w:rFonts w:ascii="Arial Narrow" w:eastAsia="Times New Roman" w:hAnsi="Arial Narrow" w:cs="Calibri"/>
                <w:b/>
                <w:bCs/>
                <w:color w:val="FFFFFF"/>
                <w:sz w:val="22"/>
                <w:szCs w:val="22"/>
              </w:rPr>
              <w:t>Norma</w:t>
            </w:r>
          </w:p>
        </w:tc>
        <w:tc>
          <w:tcPr>
            <w:tcW w:w="1874" w:type="dxa"/>
            <w:gridSpan w:val="2"/>
            <w:tcBorders>
              <w:top w:val="nil"/>
              <w:left w:val="nil"/>
              <w:bottom w:val="nil"/>
              <w:right w:val="single" w:sz="8" w:space="0" w:color="auto"/>
            </w:tcBorders>
            <w:shd w:val="clear" w:color="000000" w:fill="203764"/>
            <w:vAlign w:val="center"/>
            <w:hideMark/>
          </w:tcPr>
          <w:p w14:paraId="14359944" w14:textId="77777777" w:rsidR="000B7619" w:rsidRPr="000B7619" w:rsidRDefault="000B7619" w:rsidP="000B7619">
            <w:pPr>
              <w:jc w:val="center"/>
              <w:rPr>
                <w:rFonts w:ascii="Arial Narrow" w:eastAsia="Times New Roman" w:hAnsi="Arial Narrow" w:cs="Calibri"/>
                <w:b/>
                <w:bCs/>
                <w:color w:val="FFFFFF"/>
                <w:sz w:val="22"/>
                <w:szCs w:val="22"/>
                <w:lang w:val="es-CR"/>
              </w:rPr>
            </w:pPr>
            <w:r w:rsidRPr="000B7619">
              <w:rPr>
                <w:rFonts w:ascii="Arial Narrow" w:eastAsia="Times New Roman" w:hAnsi="Arial Narrow" w:cs="Calibri"/>
                <w:b/>
                <w:bCs/>
                <w:color w:val="FFFFFF"/>
                <w:sz w:val="22"/>
                <w:szCs w:val="22"/>
                <w:lang w:val="es-CR"/>
              </w:rPr>
              <w:t>Normativa técnica y disposiciones adicionales</w:t>
            </w:r>
          </w:p>
        </w:tc>
      </w:tr>
      <w:tr w:rsidR="000B7619" w:rsidRPr="000B7619" w14:paraId="4BD3E5B7" w14:textId="77777777" w:rsidTr="002771C5">
        <w:trPr>
          <w:gridAfter w:val="1"/>
          <w:wAfter w:w="9" w:type="dxa"/>
          <w:trHeight w:val="1331"/>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2565F" w14:textId="77777777" w:rsidR="000B7619" w:rsidRPr="000B7619" w:rsidRDefault="000B7619" w:rsidP="00725F92">
            <w:pPr>
              <w:jc w:val="cente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6</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7C87F48" w14:textId="77777777" w:rsidR="000B7619" w:rsidRPr="000B7619" w:rsidRDefault="000B7619" w:rsidP="00725F92">
            <w:pPr>
              <w:jc w:val="cente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103</w:t>
            </w:r>
          </w:p>
        </w:tc>
        <w:tc>
          <w:tcPr>
            <w:tcW w:w="372" w:type="dxa"/>
            <w:tcBorders>
              <w:top w:val="single" w:sz="8" w:space="0" w:color="auto"/>
              <w:left w:val="nil"/>
              <w:bottom w:val="single" w:sz="8" w:space="0" w:color="auto"/>
              <w:right w:val="single" w:sz="8" w:space="0" w:color="auto"/>
            </w:tcBorders>
            <w:shd w:val="clear" w:color="auto" w:fill="auto"/>
            <w:vAlign w:val="center"/>
            <w:hideMark/>
          </w:tcPr>
          <w:p w14:paraId="11C7E844" w14:textId="77777777" w:rsidR="000B7619" w:rsidRPr="000B7619" w:rsidRDefault="000B7619" w:rsidP="000B7619">
            <w:pPr>
              <w:jc w:val="cente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 xml:space="preserve"> </w:t>
            </w:r>
          </w:p>
        </w:tc>
        <w:tc>
          <w:tcPr>
            <w:tcW w:w="3694" w:type="dxa"/>
            <w:gridSpan w:val="2"/>
            <w:tcBorders>
              <w:top w:val="single" w:sz="8" w:space="0" w:color="auto"/>
              <w:left w:val="nil"/>
              <w:bottom w:val="single" w:sz="8" w:space="0" w:color="auto"/>
              <w:right w:val="single" w:sz="8" w:space="0" w:color="auto"/>
            </w:tcBorders>
            <w:shd w:val="clear" w:color="auto" w:fill="auto"/>
            <w:vAlign w:val="center"/>
            <w:hideMark/>
          </w:tcPr>
          <w:p w14:paraId="3D263CE3" w14:textId="77777777" w:rsidR="000B7619" w:rsidRPr="000B7619" w:rsidRDefault="000B7619" w:rsidP="000B7619">
            <w:pP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ESEB</w:t>
            </w:r>
          </w:p>
        </w:tc>
        <w:tc>
          <w:tcPr>
            <w:tcW w:w="2252" w:type="dxa"/>
            <w:gridSpan w:val="2"/>
            <w:tcBorders>
              <w:top w:val="single" w:sz="8" w:space="0" w:color="auto"/>
              <w:left w:val="nil"/>
              <w:bottom w:val="single" w:sz="8" w:space="0" w:color="auto"/>
              <w:right w:val="single" w:sz="8" w:space="0" w:color="auto"/>
            </w:tcBorders>
            <w:shd w:val="clear" w:color="auto" w:fill="auto"/>
            <w:vAlign w:val="center"/>
            <w:hideMark/>
          </w:tcPr>
          <w:p w14:paraId="563869C4" w14:textId="77777777" w:rsidR="00725F92" w:rsidRDefault="00725F92" w:rsidP="000B7619">
            <w:pPr>
              <w:rPr>
                <w:rFonts w:ascii="Arial Narrow" w:eastAsia="Times New Roman" w:hAnsi="Arial Narrow" w:cs="Calibri"/>
                <w:b/>
                <w:bCs/>
                <w:color w:val="000000"/>
                <w:sz w:val="22"/>
                <w:szCs w:val="22"/>
                <w:lang w:val="es-CR"/>
              </w:rPr>
            </w:pPr>
            <w:r w:rsidRPr="000B7619">
              <w:rPr>
                <w:rFonts w:ascii="Arial Narrow" w:eastAsia="Times New Roman" w:hAnsi="Arial Narrow" w:cs="Calibri"/>
                <w:b/>
                <w:bCs/>
                <w:color w:val="000000"/>
                <w:sz w:val="22"/>
                <w:szCs w:val="22"/>
                <w:lang w:val="es-CR"/>
              </w:rPr>
              <w:t>NICSP N° 17,</w:t>
            </w:r>
            <w:r w:rsidRPr="000B7619">
              <w:rPr>
                <w:rFonts w:ascii="Arial Narrow" w:eastAsia="Times New Roman" w:hAnsi="Arial Narrow" w:cs="Calibri"/>
                <w:b/>
                <w:bCs/>
                <w:color w:val="000000"/>
                <w:sz w:val="22"/>
                <w:szCs w:val="22"/>
                <w:lang w:val="es-CR"/>
              </w:rPr>
              <w:br/>
              <w:t>Párrafos 88 a 91 y 94.</w:t>
            </w:r>
            <w:r w:rsidRPr="000B7619">
              <w:rPr>
                <w:rFonts w:ascii="Arial Narrow" w:eastAsia="Times New Roman" w:hAnsi="Arial Narrow" w:cs="Calibri"/>
                <w:b/>
                <w:bCs/>
                <w:color w:val="000000"/>
                <w:sz w:val="22"/>
                <w:szCs w:val="22"/>
                <w:lang w:val="es-CR"/>
              </w:rPr>
              <w:br/>
              <w:t xml:space="preserve">NICSP N° 31, </w:t>
            </w:r>
          </w:p>
          <w:p w14:paraId="7EFAB58A" w14:textId="028227AB" w:rsidR="000B7619" w:rsidRPr="00725F92" w:rsidRDefault="00725F92" w:rsidP="000B7619">
            <w:pPr>
              <w:rPr>
                <w:rFonts w:ascii="Arial Narrow" w:eastAsia="Times New Roman" w:hAnsi="Arial Narrow" w:cs="Calibri"/>
                <w:b/>
                <w:bCs/>
                <w:color w:val="000000"/>
                <w:sz w:val="22"/>
                <w:szCs w:val="22"/>
                <w:lang w:val="es-CR"/>
              </w:rPr>
            </w:pPr>
            <w:r w:rsidRPr="000B7619">
              <w:rPr>
                <w:rFonts w:ascii="Arial Narrow" w:eastAsia="Times New Roman" w:hAnsi="Arial Narrow" w:cs="Calibri"/>
                <w:b/>
                <w:bCs/>
                <w:color w:val="000000"/>
                <w:sz w:val="22"/>
                <w:szCs w:val="22"/>
                <w:lang w:val="es-CR"/>
              </w:rPr>
              <w:t>Párrafos 117 a 119 y 123</w:t>
            </w:r>
          </w:p>
        </w:tc>
        <w:tc>
          <w:tcPr>
            <w:tcW w:w="1992" w:type="dxa"/>
            <w:gridSpan w:val="2"/>
            <w:tcBorders>
              <w:top w:val="single" w:sz="8" w:space="0" w:color="auto"/>
              <w:left w:val="nil"/>
              <w:bottom w:val="single" w:sz="8" w:space="0" w:color="auto"/>
              <w:right w:val="single" w:sz="8" w:space="0" w:color="auto"/>
            </w:tcBorders>
            <w:shd w:val="clear" w:color="auto" w:fill="auto"/>
            <w:vAlign w:val="center"/>
            <w:hideMark/>
          </w:tcPr>
          <w:p w14:paraId="7313709B" w14:textId="6F15B937" w:rsidR="000B7619" w:rsidRPr="000B7619" w:rsidRDefault="000B7619" w:rsidP="000B7619">
            <w:pPr>
              <w:jc w:val="cente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lang w:val="es-CR"/>
              </w:rPr>
              <w:t>.</w:t>
            </w:r>
            <w:r w:rsidRPr="000B7619">
              <w:rPr>
                <w:rFonts w:ascii="Arial Narrow" w:eastAsia="Times New Roman" w:hAnsi="Arial Narrow" w:cs="Calibri"/>
                <w:b/>
                <w:bCs/>
                <w:color w:val="000000"/>
                <w:sz w:val="22"/>
                <w:szCs w:val="22"/>
                <w:lang w:val="es-CR"/>
              </w:rPr>
              <w:br/>
            </w:r>
            <w:r w:rsidRPr="000B7619">
              <w:rPr>
                <w:rFonts w:ascii="Arial Narrow" w:eastAsia="Times New Roman" w:hAnsi="Arial Narrow" w:cs="Calibri"/>
                <w:b/>
                <w:bCs/>
                <w:color w:val="000000"/>
                <w:sz w:val="22"/>
                <w:szCs w:val="22"/>
              </w:rPr>
              <w:t>DGCN</w:t>
            </w:r>
          </w:p>
        </w:tc>
      </w:tr>
      <w:tr w:rsidR="000B7619" w:rsidRPr="000B7619" w14:paraId="6B5A67B1" w14:textId="77777777" w:rsidTr="002771C5">
        <w:trPr>
          <w:gridAfter w:val="1"/>
          <w:wAfter w:w="9" w:type="dxa"/>
          <w:trHeight w:val="3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B207D9E" w14:textId="77777777" w:rsidR="000B7619" w:rsidRPr="000B7619" w:rsidRDefault="000B7619" w:rsidP="00725F92">
            <w:pPr>
              <w:jc w:val="cente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6</w:t>
            </w:r>
          </w:p>
        </w:tc>
        <w:tc>
          <w:tcPr>
            <w:tcW w:w="567" w:type="dxa"/>
            <w:tcBorders>
              <w:top w:val="nil"/>
              <w:left w:val="nil"/>
              <w:bottom w:val="single" w:sz="8" w:space="0" w:color="auto"/>
              <w:right w:val="single" w:sz="8" w:space="0" w:color="auto"/>
            </w:tcBorders>
            <w:shd w:val="clear" w:color="auto" w:fill="auto"/>
            <w:vAlign w:val="center"/>
            <w:hideMark/>
          </w:tcPr>
          <w:p w14:paraId="487FCB99" w14:textId="77777777" w:rsidR="000B7619" w:rsidRPr="000B7619" w:rsidRDefault="000B7619" w:rsidP="00725F92">
            <w:pPr>
              <w:jc w:val="cente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103</w:t>
            </w:r>
          </w:p>
        </w:tc>
        <w:tc>
          <w:tcPr>
            <w:tcW w:w="372" w:type="dxa"/>
            <w:tcBorders>
              <w:top w:val="nil"/>
              <w:left w:val="nil"/>
              <w:bottom w:val="single" w:sz="8" w:space="0" w:color="auto"/>
              <w:right w:val="nil"/>
            </w:tcBorders>
            <w:shd w:val="clear" w:color="auto" w:fill="auto"/>
            <w:vAlign w:val="center"/>
            <w:hideMark/>
          </w:tcPr>
          <w:p w14:paraId="69B28512" w14:textId="4A4A341B" w:rsidR="000B7619" w:rsidRPr="000B7619" w:rsidRDefault="000B7619" w:rsidP="000B7619">
            <w:pPr>
              <w:jc w:val="cente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 </w:t>
            </w:r>
            <w:r w:rsidR="002771C5">
              <w:rPr>
                <w:rFonts w:ascii="Arial Narrow" w:eastAsia="Times New Roman" w:hAnsi="Arial Narrow" w:cs="Calibri"/>
                <w:b/>
                <w:bCs/>
                <w:color w:val="000000"/>
                <w:sz w:val="22"/>
                <w:szCs w:val="22"/>
              </w:rPr>
              <w:t>1</w:t>
            </w:r>
          </w:p>
        </w:tc>
        <w:tc>
          <w:tcPr>
            <w:tcW w:w="3694" w:type="dxa"/>
            <w:gridSpan w:val="2"/>
            <w:tcBorders>
              <w:top w:val="nil"/>
              <w:left w:val="single" w:sz="8" w:space="0" w:color="auto"/>
              <w:bottom w:val="single" w:sz="8" w:space="0" w:color="auto"/>
              <w:right w:val="single" w:sz="8" w:space="0" w:color="auto"/>
            </w:tcBorders>
            <w:shd w:val="clear" w:color="auto" w:fill="auto"/>
            <w:vAlign w:val="center"/>
            <w:hideMark/>
          </w:tcPr>
          <w:p w14:paraId="00A7F13D" w14:textId="77777777" w:rsidR="000B7619" w:rsidRPr="000B7619" w:rsidRDefault="000B7619" w:rsidP="000B7619">
            <w:pP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Exposición saldo nulo</w:t>
            </w:r>
          </w:p>
        </w:tc>
        <w:tc>
          <w:tcPr>
            <w:tcW w:w="2252" w:type="dxa"/>
            <w:gridSpan w:val="2"/>
            <w:tcBorders>
              <w:top w:val="nil"/>
              <w:left w:val="nil"/>
              <w:bottom w:val="single" w:sz="8" w:space="0" w:color="auto"/>
              <w:right w:val="single" w:sz="8" w:space="0" w:color="auto"/>
            </w:tcBorders>
            <w:shd w:val="clear" w:color="auto" w:fill="auto"/>
            <w:vAlign w:val="center"/>
            <w:hideMark/>
          </w:tcPr>
          <w:p w14:paraId="45DE61A4" w14:textId="77777777" w:rsidR="000B7619" w:rsidRPr="000B7619" w:rsidRDefault="000B7619" w:rsidP="000B7619">
            <w:pP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 xml:space="preserve"> </w:t>
            </w:r>
          </w:p>
        </w:tc>
        <w:tc>
          <w:tcPr>
            <w:tcW w:w="1992" w:type="dxa"/>
            <w:gridSpan w:val="2"/>
            <w:tcBorders>
              <w:top w:val="nil"/>
              <w:left w:val="nil"/>
              <w:bottom w:val="single" w:sz="8" w:space="0" w:color="auto"/>
              <w:right w:val="single" w:sz="8" w:space="0" w:color="auto"/>
            </w:tcBorders>
            <w:shd w:val="clear" w:color="auto" w:fill="auto"/>
            <w:vAlign w:val="center"/>
            <w:hideMark/>
          </w:tcPr>
          <w:p w14:paraId="7F54980F" w14:textId="77777777" w:rsidR="000B7619" w:rsidRPr="000B7619" w:rsidRDefault="000B7619" w:rsidP="000B7619">
            <w:pPr>
              <w:jc w:val="center"/>
              <w:rPr>
                <w:rFonts w:ascii="Arial Narrow" w:eastAsia="Times New Roman" w:hAnsi="Arial Narrow" w:cs="Calibri"/>
                <w:b/>
                <w:bCs/>
                <w:color w:val="000000"/>
                <w:sz w:val="22"/>
                <w:szCs w:val="22"/>
              </w:rPr>
            </w:pPr>
            <w:r w:rsidRPr="000B7619">
              <w:rPr>
                <w:rFonts w:ascii="Arial Narrow" w:eastAsia="Times New Roman" w:hAnsi="Arial Narrow" w:cs="Calibri"/>
                <w:b/>
                <w:bCs/>
                <w:color w:val="000000"/>
                <w:sz w:val="22"/>
                <w:szCs w:val="22"/>
              </w:rPr>
              <w:t>DGCN</w:t>
            </w:r>
          </w:p>
        </w:tc>
      </w:tr>
    </w:tbl>
    <w:p w14:paraId="1D7ED5FF" w14:textId="77777777" w:rsidR="000B7619" w:rsidRDefault="000B7619" w:rsidP="002236BD">
      <w:pPr>
        <w:pStyle w:val="Default"/>
        <w:ind w:left="1134" w:hanging="1134"/>
        <w:jc w:val="both"/>
        <w:rPr>
          <w:sz w:val="22"/>
          <w:szCs w:val="22"/>
          <w:lang w:val="es-CR"/>
        </w:rPr>
      </w:pPr>
    </w:p>
    <w:p w14:paraId="7C4E1D54" w14:textId="77777777" w:rsidR="00725F92" w:rsidRDefault="00725F92" w:rsidP="00725F92">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6E570166" w14:textId="77777777" w:rsidR="00725F92" w:rsidRPr="000B7619" w:rsidRDefault="00725F92" w:rsidP="00725F92">
      <w:pPr>
        <w:pStyle w:val="Default"/>
        <w:jc w:val="both"/>
        <w:rPr>
          <w:sz w:val="22"/>
          <w:szCs w:val="22"/>
          <w:lang w:val="es-CR"/>
        </w:rPr>
      </w:pPr>
    </w:p>
    <w:p w14:paraId="1FAD5941" w14:textId="03A7FB00" w:rsidR="000B7619" w:rsidRDefault="000B7619" w:rsidP="000B7619">
      <w:pPr>
        <w:pStyle w:val="Default"/>
        <w:ind w:left="1134" w:hanging="1134"/>
        <w:jc w:val="both"/>
        <w:rPr>
          <w:sz w:val="22"/>
          <w:szCs w:val="22"/>
          <w:lang w:val="es-CR"/>
        </w:rPr>
      </w:pPr>
      <w:r>
        <w:rPr>
          <w:sz w:val="22"/>
          <w:szCs w:val="22"/>
          <w:lang w:val="es-CR"/>
        </w:rPr>
        <w:t>6.103.0.01</w:t>
      </w:r>
      <w:r>
        <w:rPr>
          <w:sz w:val="22"/>
          <w:szCs w:val="22"/>
          <w:lang w:val="es-CR"/>
        </w:rPr>
        <w:tab/>
      </w:r>
      <w:r w:rsidRPr="000B7619">
        <w:rPr>
          <w:sz w:val="22"/>
          <w:szCs w:val="22"/>
          <w:lang w:val="es-CR"/>
        </w:rPr>
        <w:t>En el Anexo I se adjunta el modelo que rige la presentación del ESEB y la información en él contenida, es la mínima que las entidades gubernamentales deben cumplir.</w:t>
      </w:r>
    </w:p>
    <w:p w14:paraId="7AD464BA" w14:textId="77777777" w:rsidR="000B7619" w:rsidRPr="000B7619" w:rsidRDefault="000B7619" w:rsidP="000B7619">
      <w:pPr>
        <w:pStyle w:val="Default"/>
        <w:ind w:left="1134" w:hanging="1134"/>
        <w:jc w:val="both"/>
        <w:rPr>
          <w:sz w:val="22"/>
          <w:szCs w:val="22"/>
          <w:lang w:val="es-CR"/>
        </w:rPr>
      </w:pPr>
    </w:p>
    <w:p w14:paraId="0A59B4AD" w14:textId="526EE730" w:rsidR="000B7619" w:rsidRPr="000B7619" w:rsidRDefault="000B7619" w:rsidP="000B7619">
      <w:pPr>
        <w:pStyle w:val="Default"/>
        <w:ind w:left="1134" w:hanging="1134"/>
        <w:jc w:val="both"/>
        <w:rPr>
          <w:sz w:val="22"/>
          <w:szCs w:val="22"/>
          <w:lang w:val="es-CR"/>
        </w:rPr>
      </w:pPr>
      <w:r>
        <w:rPr>
          <w:sz w:val="22"/>
          <w:szCs w:val="22"/>
          <w:lang w:val="es-CR"/>
        </w:rPr>
        <w:t>6.103.</w:t>
      </w:r>
      <w:r w:rsidRPr="000B7619">
        <w:rPr>
          <w:sz w:val="22"/>
          <w:szCs w:val="22"/>
          <w:lang w:val="es-CR"/>
        </w:rPr>
        <w:t>1.</w:t>
      </w:r>
      <w:r>
        <w:rPr>
          <w:sz w:val="22"/>
          <w:szCs w:val="22"/>
          <w:lang w:val="es-CR"/>
        </w:rPr>
        <w:t>01</w:t>
      </w:r>
      <w:r>
        <w:rPr>
          <w:sz w:val="22"/>
          <w:szCs w:val="22"/>
          <w:lang w:val="es-CR"/>
        </w:rPr>
        <w:tab/>
      </w:r>
      <w:r w:rsidRPr="000B7619">
        <w:rPr>
          <w:sz w:val="22"/>
          <w:szCs w:val="22"/>
          <w:lang w:val="es-CR"/>
        </w:rPr>
        <w:t xml:space="preserve">Deberá establecerse, en nota aclaratoria, si no se presentan saldos ni han existido transacciones en algunas de las partidas o componentes del ESEB, debiendo exponer las mismas aún teniendo saldo nulo. </w:t>
      </w:r>
    </w:p>
    <w:p w14:paraId="56AD0ABC" w14:textId="77777777" w:rsidR="000B7619" w:rsidRDefault="000B7619" w:rsidP="000B7619">
      <w:pPr>
        <w:pStyle w:val="Default"/>
        <w:ind w:left="1134" w:hanging="1134"/>
        <w:jc w:val="both"/>
        <w:rPr>
          <w:sz w:val="22"/>
          <w:szCs w:val="22"/>
          <w:lang w:val="es-CR"/>
        </w:rPr>
      </w:pPr>
    </w:p>
    <w:p w14:paraId="78AEE4E4" w14:textId="77777777" w:rsidR="000F3F2A" w:rsidRDefault="000F3F2A" w:rsidP="002236BD">
      <w:pPr>
        <w:pStyle w:val="Default"/>
        <w:ind w:left="1134" w:hanging="1134"/>
        <w:jc w:val="both"/>
        <w:rPr>
          <w:sz w:val="22"/>
          <w:szCs w:val="22"/>
          <w:lang w:val="es-CR"/>
        </w:rPr>
      </w:pPr>
    </w:p>
    <w:p w14:paraId="757CFB91" w14:textId="77777777" w:rsidR="000F3F2A" w:rsidRDefault="000F3F2A" w:rsidP="002236BD">
      <w:pPr>
        <w:pStyle w:val="Default"/>
        <w:ind w:left="1134" w:hanging="1134"/>
        <w:jc w:val="both"/>
        <w:rPr>
          <w:sz w:val="22"/>
          <w:szCs w:val="22"/>
          <w:lang w:val="es-CR"/>
        </w:rPr>
      </w:pPr>
    </w:p>
    <w:p w14:paraId="59A38602" w14:textId="77777777" w:rsidR="002771C5" w:rsidRDefault="002771C5" w:rsidP="002236BD">
      <w:pPr>
        <w:pStyle w:val="Default"/>
        <w:ind w:left="1134" w:hanging="1134"/>
        <w:jc w:val="both"/>
        <w:rPr>
          <w:sz w:val="22"/>
          <w:szCs w:val="22"/>
          <w:lang w:val="es-CR"/>
        </w:rPr>
      </w:pPr>
    </w:p>
    <w:p w14:paraId="77D130FE" w14:textId="77777777" w:rsidR="002771C5" w:rsidRDefault="002771C5" w:rsidP="002236BD">
      <w:pPr>
        <w:pStyle w:val="Default"/>
        <w:ind w:left="1134" w:hanging="1134"/>
        <w:jc w:val="both"/>
        <w:rPr>
          <w:sz w:val="22"/>
          <w:szCs w:val="22"/>
          <w:lang w:val="es-CR"/>
        </w:rPr>
      </w:pPr>
    </w:p>
    <w:p w14:paraId="6631A16B" w14:textId="77777777" w:rsidR="000F3F2A" w:rsidRDefault="000F3F2A" w:rsidP="002236BD">
      <w:pPr>
        <w:pStyle w:val="Default"/>
        <w:ind w:left="1134" w:hanging="1134"/>
        <w:jc w:val="both"/>
        <w:rPr>
          <w:sz w:val="22"/>
          <w:szCs w:val="22"/>
          <w:lang w:val="es-CR"/>
        </w:rPr>
      </w:pPr>
    </w:p>
    <w:p w14:paraId="2739A546" w14:textId="6961603E" w:rsidR="001A273B" w:rsidRPr="009F48E0" w:rsidRDefault="001A273B" w:rsidP="001A273B">
      <w:pPr>
        <w:pStyle w:val="Ttulo1"/>
        <w:rPr>
          <w:b/>
          <w:bCs/>
          <w:lang w:val="es-CR"/>
        </w:rPr>
      </w:pPr>
      <w:bookmarkStart w:id="187" w:name="_Toc172726322"/>
      <w:r w:rsidRPr="009F48E0">
        <w:rPr>
          <w:rFonts w:ascii="Arial Narrow" w:hAnsi="Arial Narrow"/>
          <w:b/>
          <w:bCs/>
          <w:lang w:val="es-CR"/>
        </w:rPr>
        <w:t>CAPÍTULO</w:t>
      </w:r>
      <w:r w:rsidRPr="009F48E0">
        <w:rPr>
          <w:b/>
          <w:bCs/>
          <w:lang w:val="es-CR"/>
        </w:rPr>
        <w:t xml:space="preserve"> </w:t>
      </w:r>
      <w:r w:rsidRPr="008D294D">
        <w:rPr>
          <w:rFonts w:ascii="Arial Narrow" w:hAnsi="Arial Narrow"/>
          <w:b/>
          <w:bCs/>
          <w:lang w:val="es-CR"/>
        </w:rPr>
        <w:t>V</w:t>
      </w:r>
      <w:r>
        <w:rPr>
          <w:rFonts w:ascii="Arial Narrow" w:hAnsi="Arial Narrow"/>
          <w:b/>
          <w:bCs/>
          <w:lang w:val="es-CR"/>
        </w:rPr>
        <w:t>II</w:t>
      </w:r>
      <w:bookmarkEnd w:id="187"/>
    </w:p>
    <w:p w14:paraId="698625F3" w14:textId="77777777" w:rsidR="001A273B" w:rsidRPr="009F48E0" w:rsidRDefault="001A273B" w:rsidP="001A273B">
      <w:pPr>
        <w:pStyle w:val="TDC1"/>
        <w:rPr>
          <w:rStyle w:val="Hipervnculo"/>
          <w:rFonts w:ascii="Arial Narrow" w:hAnsi="Arial Narrow"/>
          <w:b/>
          <w:bCs/>
          <w:sz w:val="20"/>
          <w:szCs w:val="20"/>
        </w:rPr>
      </w:pPr>
    </w:p>
    <w:p w14:paraId="5A6ACBF8" w14:textId="796F2275" w:rsidR="001A273B" w:rsidRPr="009F48E0" w:rsidRDefault="001A273B" w:rsidP="001A273B">
      <w:pPr>
        <w:pStyle w:val="Ttulo2"/>
        <w:rPr>
          <w:rFonts w:ascii="Arial" w:hAnsi="Arial" w:cs="Arial"/>
          <w:b/>
          <w:bCs/>
          <w:sz w:val="28"/>
          <w:szCs w:val="28"/>
          <w:lang w:val="es-CR"/>
        </w:rPr>
      </w:pPr>
      <w:bookmarkStart w:id="188" w:name="_Toc172726323"/>
      <w:r w:rsidRPr="009F48E0">
        <w:rPr>
          <w:rFonts w:ascii="Arial" w:eastAsia="Arial" w:hAnsi="Arial" w:cs="Arial"/>
          <w:b/>
          <w:bCs/>
          <w:sz w:val="28"/>
          <w:szCs w:val="28"/>
          <w:lang w:val="es-CR"/>
        </w:rPr>
        <w:t>Políticas</w:t>
      </w:r>
      <w:r>
        <w:rPr>
          <w:rFonts w:ascii="Arial" w:eastAsia="Arial" w:hAnsi="Arial" w:cs="Arial"/>
          <w:b/>
          <w:bCs/>
          <w:sz w:val="28"/>
          <w:szCs w:val="28"/>
          <w:lang w:val="es-CR"/>
        </w:rPr>
        <w:t xml:space="preserve"> </w:t>
      </w:r>
      <w:r w:rsidRPr="00547734">
        <w:rPr>
          <w:rFonts w:ascii="Arial" w:hAnsi="Arial" w:cs="Arial"/>
          <w:b/>
          <w:bCs/>
          <w:sz w:val="28"/>
          <w:szCs w:val="28"/>
          <w:lang w:val="es-CR"/>
        </w:rPr>
        <w:t>Contabl</w:t>
      </w:r>
      <w:r w:rsidRPr="009F48E0">
        <w:rPr>
          <w:rFonts w:ascii="Arial" w:eastAsia="Arial" w:hAnsi="Arial" w:cs="Arial"/>
          <w:b/>
          <w:bCs/>
          <w:sz w:val="28"/>
          <w:szCs w:val="28"/>
          <w:lang w:val="es-CR"/>
        </w:rPr>
        <w:t>es</w:t>
      </w:r>
      <w:r w:rsidRPr="00547734">
        <w:rPr>
          <w:rFonts w:ascii="Arial" w:hAnsi="Arial" w:cs="Arial"/>
          <w:b/>
          <w:bCs/>
          <w:sz w:val="28"/>
          <w:szCs w:val="28"/>
          <w:lang w:val="es-CR"/>
        </w:rPr>
        <w:t xml:space="preserve"> Generales</w:t>
      </w:r>
      <w:r w:rsidRPr="009F48E0">
        <w:rPr>
          <w:rFonts w:ascii="Arial" w:eastAsia="Arial" w:hAnsi="Arial" w:cs="Arial"/>
          <w:b/>
          <w:bCs/>
          <w:sz w:val="28"/>
          <w:szCs w:val="28"/>
          <w:lang w:val="es-CR"/>
        </w:rPr>
        <w:t xml:space="preserve"> y Particulares</w:t>
      </w:r>
      <w:r w:rsidRPr="00547734">
        <w:rPr>
          <w:rFonts w:ascii="Arial" w:hAnsi="Arial" w:cs="Arial"/>
          <w:b/>
          <w:bCs/>
          <w:sz w:val="28"/>
          <w:szCs w:val="28"/>
          <w:lang w:val="es-CR"/>
        </w:rPr>
        <w:t xml:space="preserve"> </w:t>
      </w:r>
      <w:r w:rsidRPr="009F48E0">
        <w:rPr>
          <w:rFonts w:ascii="Arial" w:eastAsia="Arial" w:hAnsi="Arial" w:cs="Arial"/>
          <w:b/>
          <w:bCs/>
          <w:sz w:val="28"/>
          <w:szCs w:val="28"/>
          <w:lang w:val="es-CR"/>
        </w:rPr>
        <w:t xml:space="preserve">para </w:t>
      </w:r>
      <w:r>
        <w:rPr>
          <w:rFonts w:ascii="Arial" w:eastAsia="Arial" w:hAnsi="Arial" w:cs="Arial"/>
          <w:b/>
          <w:bCs/>
          <w:sz w:val="28"/>
          <w:szCs w:val="28"/>
          <w:lang w:val="es-CR"/>
        </w:rPr>
        <w:t>la elaboración de Estados Financieros Consolidados</w:t>
      </w:r>
      <w:bookmarkEnd w:id="188"/>
    </w:p>
    <w:p w14:paraId="4E1FCA20" w14:textId="77777777" w:rsidR="001A273B" w:rsidRPr="002771C5" w:rsidRDefault="001A273B" w:rsidP="001A273B">
      <w:pPr>
        <w:pStyle w:val="Default"/>
        <w:rPr>
          <w:b/>
          <w:bCs/>
          <w:sz w:val="28"/>
          <w:szCs w:val="28"/>
          <w:lang w:val="es-CR"/>
        </w:rPr>
      </w:pPr>
    </w:p>
    <w:p w14:paraId="6202F95D" w14:textId="77777777" w:rsidR="002771C5" w:rsidRPr="002771C5" w:rsidRDefault="002771C5" w:rsidP="001A273B">
      <w:pPr>
        <w:pStyle w:val="Default"/>
        <w:rPr>
          <w:b/>
          <w:bCs/>
          <w:sz w:val="28"/>
          <w:szCs w:val="28"/>
          <w:lang w:val="es-CR"/>
        </w:rPr>
      </w:pPr>
    </w:p>
    <w:p w14:paraId="349A1015" w14:textId="3789D5E5" w:rsidR="001A273B" w:rsidRPr="000A3F77" w:rsidRDefault="001A273B" w:rsidP="001A273B">
      <w:pPr>
        <w:pStyle w:val="Ttulo2"/>
        <w:numPr>
          <w:ilvl w:val="0"/>
          <w:numId w:val="274"/>
        </w:numPr>
        <w:ind w:left="284" w:hanging="284"/>
        <w:rPr>
          <w:rFonts w:ascii="Arial" w:eastAsia="Arial" w:hAnsi="Arial" w:cs="Arial"/>
          <w:b/>
          <w:bCs/>
          <w:sz w:val="28"/>
          <w:szCs w:val="28"/>
          <w:lang w:val="es-CR"/>
        </w:rPr>
      </w:pPr>
      <w:bookmarkStart w:id="189" w:name="_Toc172726324"/>
      <w:r>
        <w:rPr>
          <w:rFonts w:ascii="Arial" w:eastAsia="Arial" w:hAnsi="Arial" w:cs="Arial"/>
          <w:b/>
          <w:bCs/>
          <w:sz w:val="28"/>
          <w:szCs w:val="28"/>
          <w:lang w:val="es-CR"/>
        </w:rPr>
        <w:t>Estados Financieros (EEFFC)</w:t>
      </w:r>
      <w:bookmarkEnd w:id="189"/>
    </w:p>
    <w:p w14:paraId="1567C308" w14:textId="77777777" w:rsidR="001A273B" w:rsidRPr="002771C5" w:rsidRDefault="001A273B" w:rsidP="001A273B">
      <w:pPr>
        <w:pStyle w:val="Default"/>
        <w:jc w:val="both"/>
        <w:rPr>
          <w:b/>
          <w:bCs/>
          <w:i/>
          <w:iCs/>
        </w:rPr>
      </w:pPr>
    </w:p>
    <w:p w14:paraId="5277BC76" w14:textId="77777777" w:rsidR="002771C5" w:rsidRPr="002771C5" w:rsidRDefault="002771C5" w:rsidP="001A273B">
      <w:pPr>
        <w:pStyle w:val="Default"/>
        <w:jc w:val="both"/>
        <w:rPr>
          <w:b/>
          <w:bCs/>
          <w:i/>
          <w:iCs/>
        </w:rPr>
      </w:pPr>
    </w:p>
    <w:p w14:paraId="48B1D5BC" w14:textId="4A13E025" w:rsidR="001A273B" w:rsidRPr="007448D2" w:rsidRDefault="001A273B" w:rsidP="001A273B">
      <w:pPr>
        <w:pStyle w:val="Ttulo2"/>
        <w:ind w:left="284"/>
        <w:rPr>
          <w:rFonts w:ascii="Arial" w:eastAsia="Arial" w:hAnsi="Arial" w:cs="Arial"/>
          <w:b/>
          <w:bCs/>
          <w:sz w:val="24"/>
          <w:szCs w:val="24"/>
          <w:lang w:val="es-CR"/>
        </w:rPr>
      </w:pPr>
      <w:bookmarkStart w:id="190" w:name="_Toc172726325"/>
      <w:r>
        <w:rPr>
          <w:rFonts w:ascii="Arial" w:eastAsia="Arial" w:hAnsi="Arial" w:cs="Arial"/>
          <w:b/>
          <w:bCs/>
          <w:sz w:val="24"/>
          <w:szCs w:val="24"/>
          <w:lang w:val="es-CR"/>
        </w:rPr>
        <w:t>Responsabilidad de emisión de</w:t>
      </w:r>
      <w:r w:rsidRPr="007448D2">
        <w:rPr>
          <w:rFonts w:ascii="Arial" w:eastAsia="Arial" w:hAnsi="Arial" w:cs="Arial"/>
          <w:b/>
          <w:bCs/>
          <w:sz w:val="24"/>
          <w:szCs w:val="24"/>
          <w:lang w:val="es-CR"/>
        </w:rPr>
        <w:t xml:space="preserve"> los EEFF</w:t>
      </w:r>
      <w:r>
        <w:rPr>
          <w:rFonts w:ascii="Arial" w:eastAsia="Arial" w:hAnsi="Arial" w:cs="Arial"/>
          <w:b/>
          <w:bCs/>
          <w:sz w:val="24"/>
          <w:szCs w:val="24"/>
          <w:lang w:val="es-CR"/>
        </w:rPr>
        <w:t>C</w:t>
      </w:r>
      <w:bookmarkEnd w:id="190"/>
    </w:p>
    <w:p w14:paraId="42818730" w14:textId="77777777" w:rsidR="000F3F2A" w:rsidRDefault="000F3F2A" w:rsidP="002236BD">
      <w:pPr>
        <w:pStyle w:val="Default"/>
        <w:ind w:left="1134" w:hanging="1134"/>
        <w:jc w:val="both"/>
        <w:rPr>
          <w:sz w:val="22"/>
          <w:szCs w:val="22"/>
          <w:lang w:val="es-CR"/>
        </w:rPr>
      </w:pPr>
    </w:p>
    <w:p w14:paraId="36463EE9" w14:textId="77777777" w:rsidR="009D1790" w:rsidRDefault="009D1790"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9"/>
        <w:gridCol w:w="2245"/>
        <w:gridCol w:w="1862"/>
      </w:tblGrid>
      <w:tr w:rsidR="009D1790" w:rsidRPr="009D1790" w14:paraId="16619CA9" w14:textId="77777777" w:rsidTr="002771C5">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1902AA7" w14:textId="77777777" w:rsidR="009D1790" w:rsidRPr="009D1790" w:rsidRDefault="009D1790" w:rsidP="009D1790">
            <w:pPr>
              <w:jc w:val="center"/>
              <w:rPr>
                <w:rFonts w:ascii="Arial Narrow" w:eastAsia="Times New Roman" w:hAnsi="Arial Narrow" w:cs="Calibri"/>
                <w:b/>
                <w:bCs/>
                <w:color w:val="FFFFFF"/>
                <w:sz w:val="22"/>
                <w:szCs w:val="22"/>
              </w:rPr>
            </w:pPr>
            <w:r w:rsidRPr="009D1790">
              <w:rPr>
                <w:rFonts w:ascii="Arial Narrow" w:eastAsia="Times New Roman" w:hAnsi="Arial Narrow" w:cs="Calibri"/>
                <w:b/>
                <w:bCs/>
                <w:color w:val="FFFFFF"/>
                <w:sz w:val="22"/>
                <w:szCs w:val="22"/>
              </w:rPr>
              <w:t>Norma / Política</w:t>
            </w:r>
          </w:p>
        </w:tc>
        <w:tc>
          <w:tcPr>
            <w:tcW w:w="36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02C1165F" w14:textId="77777777" w:rsidR="009D1790" w:rsidRPr="009D1790" w:rsidRDefault="009D1790" w:rsidP="009D1790">
            <w:pPr>
              <w:jc w:val="center"/>
              <w:rPr>
                <w:rFonts w:ascii="Arial Narrow" w:eastAsia="Times New Roman" w:hAnsi="Arial Narrow" w:cs="Calibri"/>
                <w:b/>
                <w:bCs/>
                <w:color w:val="FFFFFF"/>
                <w:sz w:val="22"/>
                <w:szCs w:val="22"/>
              </w:rPr>
            </w:pPr>
            <w:r w:rsidRPr="009D1790">
              <w:rPr>
                <w:rFonts w:ascii="Arial Narrow" w:eastAsia="Times New Roman" w:hAnsi="Arial Narrow" w:cs="Calibri"/>
                <w:b/>
                <w:bCs/>
                <w:color w:val="FFFFFF"/>
                <w:sz w:val="22"/>
                <w:szCs w:val="22"/>
              </w:rPr>
              <w:t>Concepto</w:t>
            </w:r>
          </w:p>
        </w:tc>
        <w:tc>
          <w:tcPr>
            <w:tcW w:w="4107" w:type="dxa"/>
            <w:gridSpan w:val="2"/>
            <w:tcBorders>
              <w:top w:val="single" w:sz="8" w:space="0" w:color="auto"/>
              <w:left w:val="nil"/>
              <w:bottom w:val="single" w:sz="8" w:space="0" w:color="auto"/>
              <w:right w:val="single" w:sz="8" w:space="0" w:color="000000"/>
            </w:tcBorders>
            <w:shd w:val="clear" w:color="000000" w:fill="203764"/>
            <w:vAlign w:val="center"/>
            <w:hideMark/>
          </w:tcPr>
          <w:p w14:paraId="4483FBD9" w14:textId="77777777" w:rsidR="009D1790" w:rsidRPr="009D1790" w:rsidRDefault="009D1790" w:rsidP="009D1790">
            <w:pPr>
              <w:jc w:val="center"/>
              <w:rPr>
                <w:rFonts w:ascii="Arial Narrow" w:eastAsia="Times New Roman" w:hAnsi="Arial Narrow" w:cs="Calibri"/>
                <w:b/>
                <w:bCs/>
                <w:color w:val="FFFFFF"/>
                <w:sz w:val="22"/>
                <w:szCs w:val="22"/>
              </w:rPr>
            </w:pPr>
            <w:r w:rsidRPr="009D1790">
              <w:rPr>
                <w:rFonts w:ascii="Arial Narrow" w:eastAsia="Times New Roman" w:hAnsi="Arial Narrow" w:cs="Calibri"/>
                <w:b/>
                <w:bCs/>
                <w:color w:val="FFFFFF"/>
                <w:sz w:val="22"/>
                <w:szCs w:val="22"/>
              </w:rPr>
              <w:t>Referencia</w:t>
            </w:r>
          </w:p>
        </w:tc>
      </w:tr>
      <w:tr w:rsidR="009D1790" w:rsidRPr="006E5442" w14:paraId="3364F8CF" w14:textId="77777777" w:rsidTr="002771C5">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39C3CE4B" w14:textId="77777777" w:rsidR="009D1790" w:rsidRPr="009D1790" w:rsidRDefault="009D1790" w:rsidP="009D1790">
            <w:pPr>
              <w:rPr>
                <w:rFonts w:ascii="Arial Narrow" w:eastAsia="Times New Roman" w:hAnsi="Arial Narrow" w:cs="Calibri"/>
                <w:b/>
                <w:bCs/>
                <w:color w:val="FFFFFF"/>
                <w:sz w:val="22"/>
                <w:szCs w:val="22"/>
              </w:rPr>
            </w:pPr>
          </w:p>
        </w:tc>
        <w:tc>
          <w:tcPr>
            <w:tcW w:w="3689" w:type="dxa"/>
            <w:vMerge/>
            <w:tcBorders>
              <w:top w:val="single" w:sz="8" w:space="0" w:color="auto"/>
              <w:left w:val="single" w:sz="8" w:space="0" w:color="auto"/>
              <w:bottom w:val="nil"/>
              <w:right w:val="single" w:sz="8" w:space="0" w:color="auto"/>
            </w:tcBorders>
            <w:vAlign w:val="center"/>
            <w:hideMark/>
          </w:tcPr>
          <w:p w14:paraId="27CDF75A" w14:textId="77777777" w:rsidR="009D1790" w:rsidRPr="009D1790" w:rsidRDefault="009D1790" w:rsidP="009D1790">
            <w:pPr>
              <w:rPr>
                <w:rFonts w:ascii="Arial Narrow" w:eastAsia="Times New Roman" w:hAnsi="Arial Narrow" w:cs="Calibri"/>
                <w:b/>
                <w:bCs/>
                <w:color w:val="FFFFFF"/>
                <w:sz w:val="22"/>
                <w:szCs w:val="22"/>
              </w:rPr>
            </w:pPr>
          </w:p>
        </w:tc>
        <w:tc>
          <w:tcPr>
            <w:tcW w:w="2245" w:type="dxa"/>
            <w:tcBorders>
              <w:top w:val="nil"/>
              <w:left w:val="nil"/>
              <w:bottom w:val="nil"/>
              <w:right w:val="single" w:sz="8" w:space="0" w:color="auto"/>
            </w:tcBorders>
            <w:shd w:val="clear" w:color="000000" w:fill="203764"/>
            <w:vAlign w:val="center"/>
            <w:hideMark/>
          </w:tcPr>
          <w:p w14:paraId="239704F3" w14:textId="77777777" w:rsidR="009D1790" w:rsidRPr="009D1790" w:rsidRDefault="009D1790" w:rsidP="009D1790">
            <w:pPr>
              <w:jc w:val="center"/>
              <w:rPr>
                <w:rFonts w:ascii="Arial Narrow" w:eastAsia="Times New Roman" w:hAnsi="Arial Narrow" w:cs="Calibri"/>
                <w:b/>
                <w:bCs/>
                <w:color w:val="FFFFFF"/>
                <w:sz w:val="22"/>
                <w:szCs w:val="22"/>
              </w:rPr>
            </w:pPr>
            <w:r w:rsidRPr="009D1790">
              <w:rPr>
                <w:rFonts w:ascii="Arial Narrow" w:eastAsia="Times New Roman" w:hAnsi="Arial Narrow" w:cs="Calibri"/>
                <w:b/>
                <w:bCs/>
                <w:color w:val="FFFFFF"/>
                <w:sz w:val="22"/>
                <w:szCs w:val="22"/>
              </w:rPr>
              <w:t>Norma</w:t>
            </w:r>
          </w:p>
        </w:tc>
        <w:tc>
          <w:tcPr>
            <w:tcW w:w="1862" w:type="dxa"/>
            <w:tcBorders>
              <w:top w:val="nil"/>
              <w:left w:val="nil"/>
              <w:bottom w:val="nil"/>
              <w:right w:val="single" w:sz="8" w:space="0" w:color="auto"/>
            </w:tcBorders>
            <w:shd w:val="clear" w:color="000000" w:fill="203764"/>
            <w:vAlign w:val="center"/>
            <w:hideMark/>
          </w:tcPr>
          <w:p w14:paraId="73A59C2A" w14:textId="77777777" w:rsidR="009D1790" w:rsidRPr="009D1790" w:rsidRDefault="009D1790" w:rsidP="009D1790">
            <w:pPr>
              <w:jc w:val="center"/>
              <w:rPr>
                <w:rFonts w:ascii="Arial Narrow" w:eastAsia="Times New Roman" w:hAnsi="Arial Narrow" w:cs="Calibri"/>
                <w:b/>
                <w:bCs/>
                <w:color w:val="FFFFFF"/>
                <w:sz w:val="22"/>
                <w:szCs w:val="22"/>
                <w:lang w:val="es-CR"/>
              </w:rPr>
            </w:pPr>
            <w:r w:rsidRPr="009D1790">
              <w:rPr>
                <w:rFonts w:ascii="Arial Narrow" w:eastAsia="Times New Roman" w:hAnsi="Arial Narrow" w:cs="Calibri"/>
                <w:b/>
                <w:bCs/>
                <w:color w:val="FFFFFF"/>
                <w:sz w:val="22"/>
                <w:szCs w:val="22"/>
                <w:lang w:val="es-CR"/>
              </w:rPr>
              <w:t>Normativa técnica y disposiciones adicionales</w:t>
            </w:r>
          </w:p>
        </w:tc>
      </w:tr>
      <w:tr w:rsidR="009D1790" w:rsidRPr="009D1790" w14:paraId="20111D10" w14:textId="77777777" w:rsidTr="002771C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9F949" w14:textId="77777777" w:rsidR="009D1790" w:rsidRPr="009D1790" w:rsidRDefault="009D1790" w:rsidP="009D1790">
            <w:pPr>
              <w:jc w:val="center"/>
              <w:rPr>
                <w:rFonts w:ascii="Arial Narrow" w:eastAsia="Times New Roman" w:hAnsi="Arial Narrow" w:cs="Calibri"/>
                <w:b/>
                <w:bCs/>
                <w:color w:val="000000"/>
                <w:sz w:val="22"/>
                <w:szCs w:val="22"/>
              </w:rPr>
            </w:pPr>
            <w:r w:rsidRPr="009D1790">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ACD486C" w14:textId="77777777" w:rsidR="009D1790" w:rsidRPr="009D1790" w:rsidRDefault="009D1790" w:rsidP="009D1790">
            <w:pPr>
              <w:jc w:val="center"/>
              <w:rPr>
                <w:rFonts w:ascii="Arial Narrow" w:eastAsia="Times New Roman" w:hAnsi="Arial Narrow" w:cs="Calibri"/>
                <w:b/>
                <w:bCs/>
                <w:color w:val="000000"/>
                <w:sz w:val="22"/>
                <w:szCs w:val="22"/>
              </w:rPr>
            </w:pPr>
            <w:r w:rsidRPr="009D1790">
              <w:rPr>
                <w:rFonts w:ascii="Arial Narrow" w:eastAsia="Times New Roman" w:hAnsi="Arial Narrow" w:cs="Calibri"/>
                <w:b/>
                <w:bCs/>
                <w:color w:val="000000"/>
                <w:sz w:val="22"/>
                <w:szCs w:val="22"/>
              </w:rPr>
              <w:t>1</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0604E72" w14:textId="77777777" w:rsidR="009D1790" w:rsidRPr="009D1790" w:rsidRDefault="009D1790" w:rsidP="009D1790">
            <w:pPr>
              <w:jc w:val="center"/>
              <w:rPr>
                <w:rFonts w:ascii="Arial Narrow" w:eastAsia="Times New Roman" w:hAnsi="Arial Narrow" w:cs="Calibri"/>
                <w:b/>
                <w:bCs/>
                <w:color w:val="000000"/>
                <w:sz w:val="22"/>
                <w:szCs w:val="22"/>
              </w:rPr>
            </w:pPr>
            <w:r w:rsidRPr="009D1790">
              <w:rPr>
                <w:rFonts w:ascii="Arial Narrow" w:eastAsia="Times New Roman" w:hAnsi="Arial Narrow" w:cs="Calibri"/>
                <w:b/>
                <w:bCs/>
                <w:color w:val="000000"/>
                <w:sz w:val="22"/>
                <w:szCs w:val="22"/>
              </w:rPr>
              <w:t xml:space="preserve"> </w:t>
            </w:r>
          </w:p>
        </w:tc>
        <w:tc>
          <w:tcPr>
            <w:tcW w:w="3689" w:type="dxa"/>
            <w:tcBorders>
              <w:top w:val="single" w:sz="8" w:space="0" w:color="auto"/>
              <w:left w:val="nil"/>
              <w:bottom w:val="single" w:sz="8" w:space="0" w:color="auto"/>
              <w:right w:val="single" w:sz="8" w:space="0" w:color="auto"/>
            </w:tcBorders>
            <w:shd w:val="clear" w:color="auto" w:fill="auto"/>
            <w:vAlign w:val="center"/>
            <w:hideMark/>
          </w:tcPr>
          <w:p w14:paraId="69AE44F3" w14:textId="77777777" w:rsidR="009D1790" w:rsidRPr="009D1790" w:rsidRDefault="009D1790" w:rsidP="009D1790">
            <w:pPr>
              <w:jc w:val="both"/>
              <w:rPr>
                <w:rFonts w:ascii="Arial Narrow" w:eastAsia="Times New Roman" w:hAnsi="Arial Narrow" w:cs="Calibri"/>
                <w:b/>
                <w:bCs/>
                <w:color w:val="000000"/>
                <w:sz w:val="22"/>
                <w:szCs w:val="22"/>
                <w:lang w:val="es-CR"/>
              </w:rPr>
            </w:pPr>
            <w:r w:rsidRPr="009D1790">
              <w:rPr>
                <w:rFonts w:ascii="Arial Narrow" w:eastAsia="Times New Roman" w:hAnsi="Arial Narrow" w:cs="Calibri"/>
                <w:b/>
                <w:bCs/>
                <w:color w:val="000000"/>
                <w:sz w:val="22"/>
                <w:szCs w:val="22"/>
                <w:lang w:val="es-CR"/>
              </w:rPr>
              <w:t>Responsabilidad de emisión de los EEFFC</w:t>
            </w:r>
          </w:p>
        </w:tc>
        <w:tc>
          <w:tcPr>
            <w:tcW w:w="2245" w:type="dxa"/>
            <w:tcBorders>
              <w:top w:val="single" w:sz="8" w:space="0" w:color="auto"/>
              <w:left w:val="nil"/>
              <w:bottom w:val="single" w:sz="8" w:space="0" w:color="auto"/>
              <w:right w:val="single" w:sz="8" w:space="0" w:color="auto"/>
            </w:tcBorders>
            <w:shd w:val="clear" w:color="auto" w:fill="auto"/>
            <w:vAlign w:val="center"/>
            <w:hideMark/>
          </w:tcPr>
          <w:p w14:paraId="655D6CB2" w14:textId="77777777" w:rsidR="009D1790" w:rsidRDefault="009D1790" w:rsidP="009D1790">
            <w:pPr>
              <w:jc w:val="both"/>
              <w:rPr>
                <w:rFonts w:ascii="Arial Narrow" w:eastAsia="Times New Roman" w:hAnsi="Arial Narrow" w:cs="Calibri"/>
                <w:b/>
                <w:bCs/>
                <w:color w:val="000000"/>
                <w:sz w:val="22"/>
                <w:szCs w:val="22"/>
              </w:rPr>
            </w:pPr>
            <w:r w:rsidRPr="009D1790">
              <w:rPr>
                <w:rFonts w:ascii="Arial Narrow" w:eastAsia="Times New Roman" w:hAnsi="Arial Narrow" w:cs="Calibri"/>
                <w:b/>
                <w:bCs/>
                <w:color w:val="000000"/>
                <w:sz w:val="22"/>
                <w:szCs w:val="22"/>
              </w:rPr>
              <w:t>NICSP N° 1,</w:t>
            </w:r>
          </w:p>
          <w:p w14:paraId="5D9820CD" w14:textId="4C369776" w:rsidR="009D1790" w:rsidRPr="009D1790" w:rsidRDefault="009D1790" w:rsidP="009D1790">
            <w:pPr>
              <w:jc w:val="both"/>
              <w:rPr>
                <w:rFonts w:ascii="Arial Narrow" w:eastAsia="Times New Roman" w:hAnsi="Arial Narrow" w:cs="Calibri"/>
                <w:b/>
                <w:bCs/>
                <w:color w:val="000000"/>
                <w:sz w:val="22"/>
                <w:szCs w:val="22"/>
              </w:rPr>
            </w:pPr>
            <w:r w:rsidRPr="009D1790">
              <w:rPr>
                <w:rFonts w:ascii="Arial Narrow" w:eastAsia="Times New Roman" w:hAnsi="Arial Narrow" w:cs="Calibri"/>
                <w:b/>
                <w:bCs/>
                <w:color w:val="000000"/>
                <w:sz w:val="22"/>
                <w:szCs w:val="22"/>
              </w:rPr>
              <w:t>Párrafo 20.</w:t>
            </w:r>
          </w:p>
        </w:tc>
        <w:tc>
          <w:tcPr>
            <w:tcW w:w="1862" w:type="dxa"/>
            <w:tcBorders>
              <w:top w:val="single" w:sz="8" w:space="0" w:color="auto"/>
              <w:left w:val="nil"/>
              <w:bottom w:val="single" w:sz="8" w:space="0" w:color="auto"/>
              <w:right w:val="single" w:sz="8" w:space="0" w:color="auto"/>
            </w:tcBorders>
            <w:shd w:val="clear" w:color="auto" w:fill="auto"/>
            <w:vAlign w:val="center"/>
            <w:hideMark/>
          </w:tcPr>
          <w:p w14:paraId="302F4259" w14:textId="77777777" w:rsidR="009D1790" w:rsidRPr="009D1790" w:rsidRDefault="009D1790" w:rsidP="009D1790">
            <w:pPr>
              <w:jc w:val="center"/>
              <w:rPr>
                <w:rFonts w:ascii="Arial Narrow" w:eastAsia="Times New Roman" w:hAnsi="Arial Narrow" w:cs="Calibri"/>
                <w:b/>
                <w:bCs/>
                <w:color w:val="000000"/>
                <w:sz w:val="22"/>
                <w:szCs w:val="22"/>
              </w:rPr>
            </w:pPr>
            <w:r w:rsidRPr="009D1790">
              <w:rPr>
                <w:rFonts w:ascii="Arial Narrow" w:eastAsia="Times New Roman" w:hAnsi="Arial Narrow" w:cs="Calibri"/>
                <w:b/>
                <w:bCs/>
                <w:color w:val="000000"/>
                <w:sz w:val="22"/>
                <w:szCs w:val="22"/>
              </w:rPr>
              <w:t>DGCN</w:t>
            </w:r>
          </w:p>
        </w:tc>
      </w:tr>
    </w:tbl>
    <w:p w14:paraId="7D1A4B0E" w14:textId="77777777" w:rsidR="000F3F2A" w:rsidRDefault="000F3F2A" w:rsidP="002236BD">
      <w:pPr>
        <w:pStyle w:val="Default"/>
        <w:ind w:left="1134" w:hanging="1134"/>
        <w:jc w:val="both"/>
        <w:rPr>
          <w:sz w:val="22"/>
          <w:szCs w:val="22"/>
          <w:lang w:val="es-CR"/>
        </w:rPr>
      </w:pPr>
    </w:p>
    <w:p w14:paraId="359BBAC3" w14:textId="77777777" w:rsidR="002771C5" w:rsidRDefault="002771C5" w:rsidP="002236BD">
      <w:pPr>
        <w:pStyle w:val="Default"/>
        <w:ind w:left="1134" w:hanging="1134"/>
        <w:jc w:val="both"/>
        <w:rPr>
          <w:sz w:val="22"/>
          <w:szCs w:val="22"/>
          <w:lang w:val="es-CR"/>
        </w:rPr>
      </w:pPr>
    </w:p>
    <w:p w14:paraId="38001682" w14:textId="631D90EA" w:rsidR="002771C5" w:rsidRDefault="002771C5" w:rsidP="002771C5">
      <w:pPr>
        <w:pStyle w:val="Default"/>
        <w:ind w:left="1134" w:hanging="1134"/>
        <w:jc w:val="both"/>
        <w:rPr>
          <w:rFonts w:eastAsia="Arial"/>
          <w:b/>
          <w:sz w:val="22"/>
          <w:szCs w:val="22"/>
        </w:rPr>
      </w:pPr>
      <w:r w:rsidRPr="00F02F9D">
        <w:rPr>
          <w:rFonts w:eastAsia="Arial"/>
          <w:b/>
          <w:sz w:val="22"/>
          <w:szCs w:val="22"/>
        </w:rPr>
        <w:lastRenderedPageBreak/>
        <w:t>Política Contable</w:t>
      </w:r>
    </w:p>
    <w:p w14:paraId="3CDC75C7" w14:textId="77777777" w:rsidR="002771C5" w:rsidRDefault="002771C5" w:rsidP="002236BD">
      <w:pPr>
        <w:pStyle w:val="Default"/>
        <w:ind w:left="1134" w:hanging="1134"/>
        <w:jc w:val="both"/>
        <w:rPr>
          <w:sz w:val="22"/>
          <w:szCs w:val="22"/>
          <w:lang w:val="es-CR"/>
        </w:rPr>
      </w:pPr>
    </w:p>
    <w:p w14:paraId="7CD119DD" w14:textId="2C19C705" w:rsidR="009D1790" w:rsidRPr="009D1790" w:rsidRDefault="009D1790" w:rsidP="009D1790">
      <w:pPr>
        <w:pStyle w:val="Default"/>
        <w:ind w:left="1134" w:hanging="1134"/>
        <w:jc w:val="both"/>
        <w:rPr>
          <w:sz w:val="22"/>
          <w:szCs w:val="22"/>
          <w:lang w:val="es-CR"/>
        </w:rPr>
      </w:pPr>
      <w:r>
        <w:rPr>
          <w:sz w:val="22"/>
          <w:szCs w:val="22"/>
          <w:lang w:val="es-CR"/>
        </w:rPr>
        <w:t>7.1.0.01</w:t>
      </w:r>
      <w:r>
        <w:rPr>
          <w:sz w:val="22"/>
          <w:szCs w:val="22"/>
          <w:lang w:val="es-CR"/>
        </w:rPr>
        <w:tab/>
      </w:r>
      <w:r w:rsidRPr="009D1790">
        <w:rPr>
          <w:sz w:val="22"/>
          <w:szCs w:val="22"/>
          <w:lang w:val="es-CR"/>
        </w:rPr>
        <w:t xml:space="preserve">La responsabilidad de la preparación de los EEFFC </w:t>
      </w:r>
      <w:r>
        <w:rPr>
          <w:sz w:val="22"/>
          <w:szCs w:val="22"/>
          <w:lang w:val="es-CR"/>
        </w:rPr>
        <w:t xml:space="preserve">con los entes contables correspondientes </w:t>
      </w:r>
      <w:r w:rsidRPr="009D1790">
        <w:rPr>
          <w:sz w:val="22"/>
          <w:szCs w:val="22"/>
          <w:lang w:val="es-CR"/>
        </w:rPr>
        <w:t>de</w:t>
      </w:r>
      <w:r>
        <w:rPr>
          <w:sz w:val="22"/>
          <w:szCs w:val="22"/>
          <w:lang w:val="es-CR"/>
        </w:rPr>
        <w:t xml:space="preserve"> </w:t>
      </w:r>
      <w:r w:rsidRPr="009D1790">
        <w:rPr>
          <w:sz w:val="22"/>
          <w:szCs w:val="22"/>
          <w:lang w:val="es-CR"/>
        </w:rPr>
        <w:t>l</w:t>
      </w:r>
      <w:r>
        <w:rPr>
          <w:sz w:val="22"/>
          <w:szCs w:val="22"/>
          <w:lang w:val="es-CR"/>
        </w:rPr>
        <w:t>a</w:t>
      </w:r>
      <w:r w:rsidRPr="009D1790">
        <w:rPr>
          <w:sz w:val="22"/>
          <w:szCs w:val="22"/>
          <w:lang w:val="es-CR"/>
        </w:rPr>
        <w:t xml:space="preserve"> </w:t>
      </w:r>
      <w:r>
        <w:rPr>
          <w:sz w:val="22"/>
          <w:szCs w:val="22"/>
          <w:lang w:val="es-CR"/>
        </w:rPr>
        <w:t>Municipalidad (Comité Cantonal de Deportes y Receación),</w:t>
      </w:r>
      <w:r w:rsidRPr="009D1790">
        <w:rPr>
          <w:sz w:val="22"/>
          <w:szCs w:val="22"/>
          <w:lang w:val="es-CR"/>
        </w:rPr>
        <w:t xml:space="preserve"> estará a cargo de la </w:t>
      </w:r>
      <w:r>
        <w:rPr>
          <w:sz w:val="22"/>
          <w:szCs w:val="22"/>
          <w:lang w:val="es-CR"/>
        </w:rPr>
        <w:t>Contabilidad Municipal</w:t>
      </w:r>
      <w:r w:rsidRPr="009D1790">
        <w:rPr>
          <w:sz w:val="22"/>
          <w:szCs w:val="22"/>
          <w:lang w:val="es-CR"/>
        </w:rPr>
        <w:t>, sobre la base de los EEFF suministrados por</w:t>
      </w:r>
      <w:r>
        <w:rPr>
          <w:sz w:val="22"/>
          <w:szCs w:val="22"/>
          <w:lang w:val="es-CR"/>
        </w:rPr>
        <w:t xml:space="preserve"> los entes con quienes se consolide.</w:t>
      </w:r>
      <w:r w:rsidRPr="009D1790">
        <w:rPr>
          <w:sz w:val="22"/>
          <w:szCs w:val="22"/>
          <w:lang w:val="es-CR"/>
        </w:rPr>
        <w:t xml:space="preserve"> </w:t>
      </w:r>
    </w:p>
    <w:p w14:paraId="381A511B" w14:textId="77777777" w:rsidR="001A273B" w:rsidRDefault="001A273B" w:rsidP="002236BD">
      <w:pPr>
        <w:pStyle w:val="Default"/>
        <w:ind w:left="1134" w:hanging="1134"/>
        <w:jc w:val="both"/>
        <w:rPr>
          <w:sz w:val="22"/>
          <w:szCs w:val="22"/>
          <w:lang w:val="es-CR"/>
        </w:rPr>
      </w:pPr>
    </w:p>
    <w:p w14:paraId="57F1E7B0" w14:textId="77777777" w:rsidR="001A273B" w:rsidRDefault="001A273B" w:rsidP="002236BD">
      <w:pPr>
        <w:pStyle w:val="Default"/>
        <w:ind w:left="1134" w:hanging="1134"/>
        <w:jc w:val="both"/>
        <w:rPr>
          <w:sz w:val="22"/>
          <w:szCs w:val="22"/>
          <w:lang w:val="es-CR"/>
        </w:rPr>
      </w:pPr>
    </w:p>
    <w:p w14:paraId="4FF51A62" w14:textId="77777777" w:rsidR="002771C5" w:rsidRDefault="002771C5" w:rsidP="002236BD">
      <w:pPr>
        <w:pStyle w:val="Default"/>
        <w:ind w:left="1134" w:hanging="1134"/>
        <w:jc w:val="both"/>
        <w:rPr>
          <w:sz w:val="22"/>
          <w:szCs w:val="22"/>
          <w:lang w:val="es-CR"/>
        </w:rPr>
      </w:pPr>
    </w:p>
    <w:p w14:paraId="4A0EA44F" w14:textId="139062BE" w:rsidR="001A273B" w:rsidRPr="009D1790" w:rsidRDefault="009D1790" w:rsidP="009D1790">
      <w:pPr>
        <w:pStyle w:val="Ttulo2"/>
        <w:ind w:left="284"/>
        <w:rPr>
          <w:rFonts w:ascii="Arial" w:eastAsia="Arial" w:hAnsi="Arial" w:cs="Arial"/>
          <w:b/>
          <w:bCs/>
          <w:sz w:val="24"/>
          <w:szCs w:val="24"/>
          <w:lang w:val="es-CR"/>
        </w:rPr>
      </w:pPr>
      <w:bookmarkStart w:id="191" w:name="_Toc172726326"/>
      <w:r w:rsidRPr="009D1790">
        <w:rPr>
          <w:rFonts w:ascii="Arial" w:eastAsia="Arial" w:hAnsi="Arial" w:cs="Arial"/>
          <w:b/>
          <w:bCs/>
          <w:sz w:val="24"/>
          <w:szCs w:val="24"/>
          <w:lang w:val="es-CR"/>
        </w:rPr>
        <w:t>Estructura Organizacional para la Consolidación</w:t>
      </w:r>
      <w:bookmarkEnd w:id="191"/>
    </w:p>
    <w:p w14:paraId="6BDDCA0C" w14:textId="77777777" w:rsidR="001A273B" w:rsidRDefault="001A273B" w:rsidP="002236BD">
      <w:pPr>
        <w:pStyle w:val="Default"/>
        <w:ind w:left="1134" w:hanging="1134"/>
        <w:jc w:val="both"/>
        <w:rPr>
          <w:sz w:val="22"/>
          <w:szCs w:val="22"/>
          <w:lang w:val="es-CR"/>
        </w:rPr>
      </w:pPr>
    </w:p>
    <w:p w14:paraId="43FC7F7F" w14:textId="77777777" w:rsidR="001A273B" w:rsidRDefault="001A273B" w:rsidP="002236BD">
      <w:pPr>
        <w:pStyle w:val="Default"/>
        <w:ind w:left="1134" w:hanging="1134"/>
        <w:jc w:val="both"/>
        <w:rPr>
          <w:sz w:val="22"/>
          <w:szCs w:val="22"/>
          <w:lang w:val="es-CR"/>
        </w:rPr>
      </w:pPr>
    </w:p>
    <w:tbl>
      <w:tblPr>
        <w:tblW w:w="9347" w:type="dxa"/>
        <w:tblLook w:val="04A0" w:firstRow="1" w:lastRow="0" w:firstColumn="1" w:lastColumn="0" w:noHBand="0" w:noVBand="1"/>
      </w:tblPr>
      <w:tblGrid>
        <w:gridCol w:w="416"/>
        <w:gridCol w:w="708"/>
        <w:gridCol w:w="427"/>
        <w:gridCol w:w="3663"/>
        <w:gridCol w:w="2230"/>
        <w:gridCol w:w="1903"/>
      </w:tblGrid>
      <w:tr w:rsidR="004F2C72" w:rsidRPr="004F2C72" w14:paraId="2265043C" w14:textId="77777777" w:rsidTr="002771C5">
        <w:trPr>
          <w:trHeight w:val="300"/>
        </w:trPr>
        <w:tc>
          <w:tcPr>
            <w:tcW w:w="1551"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C11430E" w14:textId="77777777" w:rsidR="004F2C72" w:rsidRPr="004F2C72" w:rsidRDefault="004F2C72" w:rsidP="004F2C72">
            <w:pPr>
              <w:jc w:val="center"/>
              <w:rPr>
                <w:rFonts w:ascii="Arial Narrow" w:eastAsia="Times New Roman" w:hAnsi="Arial Narrow" w:cs="Calibri"/>
                <w:b/>
                <w:bCs/>
                <w:color w:val="FFFFFF"/>
                <w:sz w:val="22"/>
                <w:szCs w:val="22"/>
              </w:rPr>
            </w:pPr>
            <w:r w:rsidRPr="004F2C72">
              <w:rPr>
                <w:rFonts w:ascii="Arial Narrow" w:eastAsia="Times New Roman" w:hAnsi="Arial Narrow" w:cs="Calibri"/>
                <w:b/>
                <w:bCs/>
                <w:color w:val="FFFFFF"/>
                <w:sz w:val="22"/>
                <w:szCs w:val="22"/>
              </w:rPr>
              <w:t>Norma / Política</w:t>
            </w:r>
          </w:p>
        </w:tc>
        <w:tc>
          <w:tcPr>
            <w:tcW w:w="3663" w:type="dxa"/>
            <w:vMerge w:val="restart"/>
            <w:tcBorders>
              <w:top w:val="single" w:sz="8" w:space="0" w:color="auto"/>
              <w:left w:val="single" w:sz="8" w:space="0" w:color="auto"/>
              <w:bottom w:val="nil"/>
              <w:right w:val="single" w:sz="8" w:space="0" w:color="auto"/>
            </w:tcBorders>
            <w:shd w:val="clear" w:color="000000" w:fill="203764"/>
            <w:vAlign w:val="center"/>
            <w:hideMark/>
          </w:tcPr>
          <w:p w14:paraId="7D464919" w14:textId="77777777" w:rsidR="004F2C72" w:rsidRPr="004F2C72" w:rsidRDefault="004F2C72" w:rsidP="004F2C72">
            <w:pPr>
              <w:jc w:val="center"/>
              <w:rPr>
                <w:rFonts w:ascii="Arial Narrow" w:eastAsia="Times New Roman" w:hAnsi="Arial Narrow" w:cs="Calibri"/>
                <w:b/>
                <w:bCs/>
                <w:color w:val="FFFFFF"/>
                <w:sz w:val="22"/>
                <w:szCs w:val="22"/>
              </w:rPr>
            </w:pPr>
            <w:r w:rsidRPr="004F2C72">
              <w:rPr>
                <w:rFonts w:ascii="Arial Narrow" w:eastAsia="Times New Roman" w:hAnsi="Arial Narrow" w:cs="Calibri"/>
                <w:b/>
                <w:bCs/>
                <w:color w:val="FFFFFF"/>
                <w:sz w:val="22"/>
                <w:szCs w:val="22"/>
              </w:rPr>
              <w:t>Concepto</w:t>
            </w:r>
          </w:p>
        </w:tc>
        <w:tc>
          <w:tcPr>
            <w:tcW w:w="4133" w:type="dxa"/>
            <w:gridSpan w:val="2"/>
            <w:tcBorders>
              <w:top w:val="single" w:sz="8" w:space="0" w:color="auto"/>
              <w:left w:val="nil"/>
              <w:bottom w:val="single" w:sz="8" w:space="0" w:color="auto"/>
              <w:right w:val="single" w:sz="8" w:space="0" w:color="000000"/>
            </w:tcBorders>
            <w:shd w:val="clear" w:color="000000" w:fill="203764"/>
            <w:vAlign w:val="center"/>
            <w:hideMark/>
          </w:tcPr>
          <w:p w14:paraId="0C6F3C32" w14:textId="77777777" w:rsidR="004F2C72" w:rsidRPr="004F2C72" w:rsidRDefault="004F2C72" w:rsidP="004F2C72">
            <w:pPr>
              <w:jc w:val="center"/>
              <w:rPr>
                <w:rFonts w:ascii="Arial Narrow" w:eastAsia="Times New Roman" w:hAnsi="Arial Narrow" w:cs="Calibri"/>
                <w:b/>
                <w:bCs/>
                <w:color w:val="FFFFFF"/>
                <w:sz w:val="22"/>
                <w:szCs w:val="22"/>
              </w:rPr>
            </w:pPr>
            <w:r w:rsidRPr="004F2C72">
              <w:rPr>
                <w:rFonts w:ascii="Arial Narrow" w:eastAsia="Times New Roman" w:hAnsi="Arial Narrow" w:cs="Calibri"/>
                <w:b/>
                <w:bCs/>
                <w:color w:val="FFFFFF"/>
                <w:sz w:val="22"/>
                <w:szCs w:val="22"/>
              </w:rPr>
              <w:t>Referencia</w:t>
            </w:r>
          </w:p>
        </w:tc>
      </w:tr>
      <w:tr w:rsidR="004F2C72" w:rsidRPr="006E5442" w14:paraId="4BBE3599" w14:textId="77777777" w:rsidTr="002771C5">
        <w:trPr>
          <w:trHeight w:val="850"/>
        </w:trPr>
        <w:tc>
          <w:tcPr>
            <w:tcW w:w="1551" w:type="dxa"/>
            <w:gridSpan w:val="3"/>
            <w:vMerge/>
            <w:tcBorders>
              <w:top w:val="single" w:sz="8" w:space="0" w:color="auto"/>
              <w:left w:val="single" w:sz="8" w:space="0" w:color="auto"/>
              <w:bottom w:val="nil"/>
              <w:right w:val="single" w:sz="8" w:space="0" w:color="000000"/>
            </w:tcBorders>
            <w:vAlign w:val="center"/>
            <w:hideMark/>
          </w:tcPr>
          <w:p w14:paraId="186042DF" w14:textId="77777777" w:rsidR="004F2C72" w:rsidRPr="004F2C72" w:rsidRDefault="004F2C72" w:rsidP="004F2C72">
            <w:pPr>
              <w:rPr>
                <w:rFonts w:ascii="Arial Narrow" w:eastAsia="Times New Roman" w:hAnsi="Arial Narrow" w:cs="Calibri"/>
                <w:b/>
                <w:bCs/>
                <w:color w:val="FFFFFF"/>
                <w:sz w:val="22"/>
                <w:szCs w:val="22"/>
              </w:rPr>
            </w:pPr>
          </w:p>
        </w:tc>
        <w:tc>
          <w:tcPr>
            <w:tcW w:w="3663" w:type="dxa"/>
            <w:vMerge/>
            <w:tcBorders>
              <w:top w:val="single" w:sz="8" w:space="0" w:color="auto"/>
              <w:left w:val="single" w:sz="8" w:space="0" w:color="auto"/>
              <w:bottom w:val="nil"/>
              <w:right w:val="single" w:sz="8" w:space="0" w:color="auto"/>
            </w:tcBorders>
            <w:vAlign w:val="center"/>
            <w:hideMark/>
          </w:tcPr>
          <w:p w14:paraId="3FF22D05" w14:textId="77777777" w:rsidR="004F2C72" w:rsidRPr="004F2C72" w:rsidRDefault="004F2C72" w:rsidP="004F2C72">
            <w:pPr>
              <w:rPr>
                <w:rFonts w:ascii="Arial Narrow" w:eastAsia="Times New Roman" w:hAnsi="Arial Narrow" w:cs="Calibri"/>
                <w:b/>
                <w:bCs/>
                <w:color w:val="FFFFFF"/>
                <w:sz w:val="22"/>
                <w:szCs w:val="22"/>
              </w:rPr>
            </w:pPr>
          </w:p>
        </w:tc>
        <w:tc>
          <w:tcPr>
            <w:tcW w:w="2230" w:type="dxa"/>
            <w:tcBorders>
              <w:top w:val="nil"/>
              <w:left w:val="nil"/>
              <w:bottom w:val="nil"/>
              <w:right w:val="single" w:sz="8" w:space="0" w:color="auto"/>
            </w:tcBorders>
            <w:shd w:val="clear" w:color="000000" w:fill="203764"/>
            <w:vAlign w:val="center"/>
            <w:hideMark/>
          </w:tcPr>
          <w:p w14:paraId="48B5E1A6" w14:textId="77777777" w:rsidR="004F2C72" w:rsidRPr="004F2C72" w:rsidRDefault="004F2C72" w:rsidP="004F2C72">
            <w:pPr>
              <w:jc w:val="center"/>
              <w:rPr>
                <w:rFonts w:ascii="Arial Narrow" w:eastAsia="Times New Roman" w:hAnsi="Arial Narrow" w:cs="Calibri"/>
                <w:b/>
                <w:bCs/>
                <w:color w:val="FFFFFF"/>
                <w:sz w:val="22"/>
                <w:szCs w:val="22"/>
              </w:rPr>
            </w:pPr>
            <w:r w:rsidRPr="004F2C72">
              <w:rPr>
                <w:rFonts w:ascii="Arial Narrow" w:eastAsia="Times New Roman" w:hAnsi="Arial Narrow" w:cs="Calibri"/>
                <w:b/>
                <w:bCs/>
                <w:color w:val="FFFFFF"/>
                <w:sz w:val="22"/>
                <w:szCs w:val="22"/>
              </w:rPr>
              <w:t>Norma</w:t>
            </w:r>
          </w:p>
        </w:tc>
        <w:tc>
          <w:tcPr>
            <w:tcW w:w="1903" w:type="dxa"/>
            <w:tcBorders>
              <w:top w:val="nil"/>
              <w:left w:val="nil"/>
              <w:bottom w:val="nil"/>
              <w:right w:val="single" w:sz="8" w:space="0" w:color="auto"/>
            </w:tcBorders>
            <w:shd w:val="clear" w:color="000000" w:fill="203764"/>
            <w:vAlign w:val="center"/>
            <w:hideMark/>
          </w:tcPr>
          <w:p w14:paraId="049E6610" w14:textId="77777777" w:rsidR="004F2C72" w:rsidRPr="004F2C72" w:rsidRDefault="004F2C72" w:rsidP="004F2C72">
            <w:pPr>
              <w:jc w:val="center"/>
              <w:rPr>
                <w:rFonts w:ascii="Arial Narrow" w:eastAsia="Times New Roman" w:hAnsi="Arial Narrow" w:cs="Calibri"/>
                <w:b/>
                <w:bCs/>
                <w:color w:val="FFFFFF"/>
                <w:sz w:val="22"/>
                <w:szCs w:val="22"/>
                <w:lang w:val="es-CR"/>
              </w:rPr>
            </w:pPr>
            <w:r w:rsidRPr="004F2C72">
              <w:rPr>
                <w:rFonts w:ascii="Arial Narrow" w:eastAsia="Times New Roman" w:hAnsi="Arial Narrow" w:cs="Calibri"/>
                <w:b/>
                <w:bCs/>
                <w:color w:val="FFFFFF"/>
                <w:sz w:val="22"/>
                <w:szCs w:val="22"/>
                <w:lang w:val="es-CR"/>
              </w:rPr>
              <w:t>Normativa técnica y disposiciones adicionales</w:t>
            </w:r>
          </w:p>
        </w:tc>
      </w:tr>
      <w:tr w:rsidR="004F2C72" w:rsidRPr="004F2C72" w14:paraId="3E5B40CA" w14:textId="77777777" w:rsidTr="002771C5">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1B1ADA" w14:textId="77777777" w:rsidR="004F2C72" w:rsidRPr="004F2C72" w:rsidRDefault="004F2C72" w:rsidP="004F2C72">
            <w:pPr>
              <w:jc w:val="center"/>
              <w:rPr>
                <w:rFonts w:ascii="Arial Narrow" w:eastAsia="Times New Roman" w:hAnsi="Arial Narrow" w:cs="Calibri"/>
                <w:b/>
                <w:bCs/>
                <w:color w:val="000000"/>
                <w:sz w:val="22"/>
                <w:szCs w:val="22"/>
              </w:rPr>
            </w:pPr>
            <w:r w:rsidRPr="004F2C72">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9E20918" w14:textId="77777777" w:rsidR="004F2C72" w:rsidRPr="004F2C72" w:rsidRDefault="004F2C72" w:rsidP="004F2C72">
            <w:pPr>
              <w:jc w:val="center"/>
              <w:rPr>
                <w:rFonts w:ascii="Arial Narrow" w:eastAsia="Times New Roman" w:hAnsi="Arial Narrow" w:cs="Calibri"/>
                <w:b/>
                <w:bCs/>
                <w:color w:val="000000"/>
                <w:sz w:val="22"/>
                <w:szCs w:val="22"/>
              </w:rPr>
            </w:pPr>
            <w:r w:rsidRPr="004F2C72">
              <w:rPr>
                <w:rFonts w:ascii="Arial Narrow" w:eastAsia="Times New Roman" w:hAnsi="Arial Narrow" w:cs="Calibri"/>
                <w:b/>
                <w:bCs/>
                <w:color w:val="000000"/>
                <w:sz w:val="22"/>
                <w:szCs w:val="22"/>
              </w:rPr>
              <w:t>2</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2F83A6C6" w14:textId="77777777" w:rsidR="004F2C72" w:rsidRPr="004F2C72" w:rsidRDefault="004F2C72" w:rsidP="004F2C72">
            <w:pPr>
              <w:jc w:val="center"/>
              <w:rPr>
                <w:rFonts w:ascii="Arial Narrow" w:eastAsia="Times New Roman" w:hAnsi="Arial Narrow" w:cs="Calibri"/>
                <w:b/>
                <w:bCs/>
                <w:color w:val="000000"/>
                <w:sz w:val="22"/>
                <w:szCs w:val="22"/>
              </w:rPr>
            </w:pPr>
            <w:r w:rsidRPr="004F2C72">
              <w:rPr>
                <w:rFonts w:ascii="Arial Narrow" w:eastAsia="Times New Roman" w:hAnsi="Arial Narrow" w:cs="Calibri"/>
                <w:b/>
                <w:bCs/>
                <w:color w:val="000000"/>
                <w:sz w:val="22"/>
                <w:szCs w:val="22"/>
              </w:rPr>
              <w:t xml:space="preserve"> </w:t>
            </w:r>
          </w:p>
        </w:tc>
        <w:tc>
          <w:tcPr>
            <w:tcW w:w="3663" w:type="dxa"/>
            <w:tcBorders>
              <w:top w:val="single" w:sz="8" w:space="0" w:color="auto"/>
              <w:left w:val="nil"/>
              <w:bottom w:val="single" w:sz="8" w:space="0" w:color="auto"/>
              <w:right w:val="single" w:sz="8" w:space="0" w:color="auto"/>
            </w:tcBorders>
            <w:shd w:val="clear" w:color="auto" w:fill="auto"/>
            <w:vAlign w:val="center"/>
            <w:hideMark/>
          </w:tcPr>
          <w:p w14:paraId="68A1D797" w14:textId="178E2817" w:rsidR="004F2C72" w:rsidRPr="004F2C72" w:rsidRDefault="002771C5" w:rsidP="004F2C72">
            <w:pPr>
              <w:jc w:val="both"/>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Á</w:t>
            </w:r>
            <w:r w:rsidR="004F2C72" w:rsidRPr="004F2C72">
              <w:rPr>
                <w:rFonts w:ascii="Arial Narrow" w:eastAsia="Times New Roman" w:hAnsi="Arial Narrow" w:cs="Calibri"/>
                <w:b/>
                <w:bCs/>
                <w:color w:val="000000"/>
                <w:sz w:val="22"/>
                <w:szCs w:val="22"/>
              </w:rPr>
              <w:t>mbito de la Municipalidad</w:t>
            </w:r>
          </w:p>
        </w:tc>
        <w:tc>
          <w:tcPr>
            <w:tcW w:w="2230" w:type="dxa"/>
            <w:tcBorders>
              <w:top w:val="single" w:sz="8" w:space="0" w:color="auto"/>
              <w:left w:val="nil"/>
              <w:bottom w:val="single" w:sz="8" w:space="0" w:color="auto"/>
              <w:right w:val="single" w:sz="8" w:space="0" w:color="auto"/>
            </w:tcBorders>
            <w:shd w:val="clear" w:color="auto" w:fill="auto"/>
            <w:vAlign w:val="center"/>
            <w:hideMark/>
          </w:tcPr>
          <w:p w14:paraId="23D897A5" w14:textId="77777777" w:rsidR="004F2C72" w:rsidRPr="004F2C72" w:rsidRDefault="004F2C72" w:rsidP="004F2C72">
            <w:pPr>
              <w:jc w:val="both"/>
              <w:rPr>
                <w:rFonts w:ascii="Arial Narrow" w:eastAsia="Times New Roman" w:hAnsi="Arial Narrow" w:cs="Calibri"/>
                <w:b/>
                <w:bCs/>
                <w:color w:val="000000"/>
                <w:sz w:val="22"/>
                <w:szCs w:val="22"/>
              </w:rPr>
            </w:pPr>
            <w:r w:rsidRPr="004F2C72">
              <w:rPr>
                <w:rFonts w:ascii="Arial Narrow" w:eastAsia="Times New Roman" w:hAnsi="Arial Narrow" w:cs="Calibri"/>
                <w:b/>
                <w:bCs/>
                <w:color w:val="000000"/>
                <w:sz w:val="22"/>
                <w:szCs w:val="22"/>
              </w:rPr>
              <w:t> </w:t>
            </w:r>
          </w:p>
        </w:tc>
        <w:tc>
          <w:tcPr>
            <w:tcW w:w="1903" w:type="dxa"/>
            <w:tcBorders>
              <w:top w:val="single" w:sz="8" w:space="0" w:color="auto"/>
              <w:left w:val="nil"/>
              <w:bottom w:val="single" w:sz="8" w:space="0" w:color="auto"/>
              <w:right w:val="single" w:sz="8" w:space="0" w:color="auto"/>
            </w:tcBorders>
            <w:shd w:val="clear" w:color="auto" w:fill="auto"/>
            <w:vAlign w:val="center"/>
            <w:hideMark/>
          </w:tcPr>
          <w:p w14:paraId="473E5BF9" w14:textId="77777777" w:rsidR="004F2C72" w:rsidRPr="004F2C72" w:rsidRDefault="004F2C72" w:rsidP="004F2C72">
            <w:pPr>
              <w:jc w:val="center"/>
              <w:rPr>
                <w:rFonts w:ascii="Arial Narrow" w:eastAsia="Times New Roman" w:hAnsi="Arial Narrow" w:cs="Calibri"/>
                <w:b/>
                <w:bCs/>
                <w:color w:val="000000"/>
                <w:sz w:val="22"/>
                <w:szCs w:val="22"/>
              </w:rPr>
            </w:pPr>
            <w:r w:rsidRPr="004F2C72">
              <w:rPr>
                <w:rFonts w:ascii="Arial Narrow" w:eastAsia="Times New Roman" w:hAnsi="Arial Narrow" w:cs="Calibri"/>
                <w:b/>
                <w:bCs/>
                <w:color w:val="000000"/>
                <w:sz w:val="22"/>
                <w:szCs w:val="22"/>
              </w:rPr>
              <w:t>DGCN</w:t>
            </w:r>
          </w:p>
        </w:tc>
      </w:tr>
      <w:tr w:rsidR="004F2C72" w:rsidRPr="004F2C72" w14:paraId="295D1846" w14:textId="77777777" w:rsidTr="002771C5">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tcPr>
          <w:p w14:paraId="26F74BC7" w14:textId="3EA9D93F" w:rsidR="004F2C72" w:rsidRPr="004F2C72" w:rsidRDefault="004F2C72" w:rsidP="004F2C72">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tcPr>
          <w:p w14:paraId="7822D03B" w14:textId="4129F01B" w:rsidR="004F2C72" w:rsidRPr="004F2C72" w:rsidRDefault="004F2C72" w:rsidP="004F2C72">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2.</w:t>
            </w:r>
          </w:p>
        </w:tc>
        <w:tc>
          <w:tcPr>
            <w:tcW w:w="425" w:type="dxa"/>
            <w:tcBorders>
              <w:top w:val="single" w:sz="8" w:space="0" w:color="auto"/>
              <w:left w:val="nil"/>
              <w:bottom w:val="single" w:sz="8" w:space="0" w:color="auto"/>
              <w:right w:val="single" w:sz="8" w:space="0" w:color="auto"/>
            </w:tcBorders>
            <w:shd w:val="clear" w:color="auto" w:fill="auto"/>
            <w:vAlign w:val="center"/>
          </w:tcPr>
          <w:p w14:paraId="6A9B5773" w14:textId="00ED046B" w:rsidR="004F2C72" w:rsidRPr="004F2C72" w:rsidRDefault="004F2C72" w:rsidP="004F2C72">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1</w:t>
            </w:r>
          </w:p>
        </w:tc>
        <w:tc>
          <w:tcPr>
            <w:tcW w:w="3663" w:type="dxa"/>
            <w:tcBorders>
              <w:top w:val="single" w:sz="8" w:space="0" w:color="auto"/>
              <w:left w:val="nil"/>
              <w:bottom w:val="single" w:sz="8" w:space="0" w:color="auto"/>
              <w:right w:val="single" w:sz="8" w:space="0" w:color="auto"/>
            </w:tcBorders>
            <w:shd w:val="clear" w:color="auto" w:fill="auto"/>
            <w:vAlign w:val="center"/>
          </w:tcPr>
          <w:p w14:paraId="6476C5E5" w14:textId="183C65EC" w:rsidR="004F2C72" w:rsidRPr="004F2C72" w:rsidRDefault="005D290E" w:rsidP="004F2C72">
            <w:pPr>
              <w:jc w:val="both"/>
              <w:rPr>
                <w:rFonts w:ascii="Arial Narrow" w:eastAsia="Times New Roman" w:hAnsi="Arial Narrow" w:cs="Calibri"/>
                <w:b/>
                <w:bCs/>
                <w:color w:val="000000"/>
                <w:sz w:val="22"/>
                <w:szCs w:val="22"/>
                <w:lang w:val="es-CR"/>
              </w:rPr>
            </w:pPr>
            <w:r>
              <w:rPr>
                <w:rFonts w:ascii="Arial Narrow" w:eastAsia="Times New Roman" w:hAnsi="Arial Narrow" w:cs="Calibri"/>
                <w:b/>
                <w:bCs/>
                <w:color w:val="000000"/>
                <w:sz w:val="22"/>
                <w:szCs w:val="22"/>
                <w:lang w:val="es-CR"/>
              </w:rPr>
              <w:t>Entidades por consolidar</w:t>
            </w:r>
          </w:p>
        </w:tc>
        <w:tc>
          <w:tcPr>
            <w:tcW w:w="2230" w:type="dxa"/>
            <w:tcBorders>
              <w:top w:val="single" w:sz="8" w:space="0" w:color="auto"/>
              <w:left w:val="nil"/>
              <w:bottom w:val="single" w:sz="8" w:space="0" w:color="auto"/>
              <w:right w:val="single" w:sz="8" w:space="0" w:color="auto"/>
            </w:tcBorders>
            <w:shd w:val="clear" w:color="auto" w:fill="auto"/>
            <w:vAlign w:val="center"/>
          </w:tcPr>
          <w:p w14:paraId="3B92CA58" w14:textId="77777777" w:rsidR="004F2C72" w:rsidRPr="004F2C72" w:rsidRDefault="004F2C72" w:rsidP="004F2C72">
            <w:pPr>
              <w:jc w:val="both"/>
              <w:rPr>
                <w:rFonts w:ascii="Arial Narrow" w:eastAsia="Times New Roman" w:hAnsi="Arial Narrow" w:cs="Calibri"/>
                <w:b/>
                <w:bCs/>
                <w:color w:val="000000"/>
                <w:sz w:val="22"/>
                <w:szCs w:val="22"/>
                <w:lang w:val="es-CR"/>
              </w:rPr>
            </w:pPr>
          </w:p>
        </w:tc>
        <w:tc>
          <w:tcPr>
            <w:tcW w:w="1903" w:type="dxa"/>
            <w:tcBorders>
              <w:top w:val="single" w:sz="8" w:space="0" w:color="auto"/>
              <w:left w:val="nil"/>
              <w:bottom w:val="single" w:sz="8" w:space="0" w:color="auto"/>
              <w:right w:val="single" w:sz="8" w:space="0" w:color="auto"/>
            </w:tcBorders>
            <w:shd w:val="clear" w:color="auto" w:fill="auto"/>
            <w:vAlign w:val="center"/>
          </w:tcPr>
          <w:p w14:paraId="5BCBB90A" w14:textId="77777777" w:rsidR="004F2C72" w:rsidRDefault="004F2C72" w:rsidP="004F2C72">
            <w:pPr>
              <w:jc w:val="center"/>
              <w:rPr>
                <w:rFonts w:ascii="Arial Narrow" w:eastAsia="Times New Roman" w:hAnsi="Arial Narrow" w:cs="Calibri"/>
                <w:b/>
                <w:bCs/>
                <w:color w:val="000000"/>
                <w:sz w:val="22"/>
                <w:szCs w:val="22"/>
                <w:lang w:val="es-CR"/>
              </w:rPr>
            </w:pPr>
            <w:r>
              <w:rPr>
                <w:rFonts w:ascii="Arial Narrow" w:eastAsia="Times New Roman" w:hAnsi="Arial Narrow" w:cs="Calibri"/>
                <w:b/>
                <w:bCs/>
                <w:color w:val="000000"/>
                <w:sz w:val="22"/>
                <w:szCs w:val="22"/>
                <w:lang w:val="es-CR"/>
              </w:rPr>
              <w:t>Código Municipal</w:t>
            </w:r>
          </w:p>
          <w:p w14:paraId="096957E1" w14:textId="3186AE05" w:rsidR="008F46F0" w:rsidRPr="004F2C72" w:rsidRDefault="008F46F0" w:rsidP="004F2C72">
            <w:pPr>
              <w:jc w:val="center"/>
              <w:rPr>
                <w:rFonts w:ascii="Arial Narrow" w:eastAsia="Times New Roman" w:hAnsi="Arial Narrow" w:cs="Calibri"/>
                <w:b/>
                <w:bCs/>
                <w:color w:val="000000"/>
                <w:sz w:val="22"/>
                <w:szCs w:val="22"/>
                <w:lang w:val="es-CR"/>
              </w:rPr>
            </w:pPr>
            <w:r w:rsidRPr="008F46F0">
              <w:rPr>
                <w:rFonts w:ascii="Arial Narrow" w:eastAsia="Times New Roman" w:hAnsi="Arial Narrow" w:cs="Calibri"/>
                <w:b/>
                <w:bCs/>
                <w:color w:val="000000"/>
                <w:sz w:val="22"/>
                <w:szCs w:val="22"/>
                <w:lang w:val="es-CR"/>
              </w:rPr>
              <w:t>Artículo 173</w:t>
            </w:r>
          </w:p>
        </w:tc>
      </w:tr>
    </w:tbl>
    <w:p w14:paraId="6475D054" w14:textId="77777777" w:rsidR="009D1790" w:rsidRDefault="009D1790" w:rsidP="002236BD">
      <w:pPr>
        <w:pStyle w:val="Default"/>
        <w:ind w:left="1134" w:hanging="1134"/>
        <w:jc w:val="both"/>
        <w:rPr>
          <w:sz w:val="22"/>
          <w:szCs w:val="22"/>
          <w:lang w:val="es-CR"/>
        </w:rPr>
      </w:pPr>
    </w:p>
    <w:p w14:paraId="6FEF4308" w14:textId="77777777" w:rsidR="002771C5" w:rsidRDefault="002771C5" w:rsidP="002771C5">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3AE75F89" w14:textId="77777777" w:rsidR="004F2C72" w:rsidRDefault="004F2C72" w:rsidP="004F2C72">
      <w:pPr>
        <w:pStyle w:val="Default"/>
      </w:pPr>
    </w:p>
    <w:p w14:paraId="5948EECD" w14:textId="59FAEC1D" w:rsidR="004F2C72" w:rsidRPr="004F2C72" w:rsidRDefault="000674BD" w:rsidP="000674BD">
      <w:pPr>
        <w:pStyle w:val="Default"/>
        <w:ind w:left="1134" w:hanging="1134"/>
        <w:jc w:val="both"/>
        <w:rPr>
          <w:sz w:val="23"/>
          <w:szCs w:val="23"/>
          <w:lang w:val="es-CR"/>
        </w:rPr>
      </w:pPr>
      <w:r>
        <w:rPr>
          <w:sz w:val="23"/>
          <w:szCs w:val="23"/>
          <w:lang w:val="es-CR"/>
        </w:rPr>
        <w:t>7.02.0.01</w:t>
      </w:r>
      <w:r>
        <w:rPr>
          <w:sz w:val="23"/>
          <w:szCs w:val="23"/>
          <w:lang w:val="es-CR"/>
        </w:rPr>
        <w:tab/>
      </w:r>
      <w:r w:rsidR="004F2C72" w:rsidRPr="004F2C72">
        <w:rPr>
          <w:sz w:val="23"/>
          <w:szCs w:val="23"/>
          <w:lang w:val="es-CR"/>
        </w:rPr>
        <w:t xml:space="preserve">La Municipalidad </w:t>
      </w:r>
      <w:r w:rsidR="004F2C72">
        <w:rPr>
          <w:sz w:val="23"/>
          <w:szCs w:val="23"/>
          <w:lang w:val="es-CR"/>
        </w:rPr>
        <w:t xml:space="preserve">de Buenos Aires </w:t>
      </w:r>
      <w:r w:rsidR="004F2C72" w:rsidRPr="004F2C72">
        <w:rPr>
          <w:sz w:val="23"/>
          <w:szCs w:val="23"/>
          <w:lang w:val="es-CR"/>
        </w:rPr>
        <w:t>pertenece al</w:t>
      </w:r>
      <w:r w:rsidR="004F2C72">
        <w:rPr>
          <w:b/>
          <w:bCs/>
          <w:sz w:val="23"/>
          <w:szCs w:val="23"/>
          <w:lang w:val="es-CR"/>
        </w:rPr>
        <w:t xml:space="preserve"> Sector </w:t>
      </w:r>
      <w:r w:rsidR="004F2C72" w:rsidRPr="004F2C72">
        <w:rPr>
          <w:b/>
          <w:bCs/>
          <w:sz w:val="23"/>
          <w:szCs w:val="23"/>
          <w:lang w:val="es-CR"/>
        </w:rPr>
        <w:t>Gobiernos Locales (SGL)</w:t>
      </w:r>
      <w:r w:rsidR="004F2C72">
        <w:rPr>
          <w:b/>
          <w:bCs/>
          <w:sz w:val="23"/>
          <w:szCs w:val="23"/>
          <w:lang w:val="es-CR"/>
        </w:rPr>
        <w:t>.</w:t>
      </w:r>
      <w:r w:rsidR="004F2C72" w:rsidRPr="004F2C72">
        <w:rPr>
          <w:b/>
          <w:bCs/>
          <w:sz w:val="23"/>
          <w:szCs w:val="23"/>
          <w:lang w:val="es-CR"/>
        </w:rPr>
        <w:t xml:space="preserve"> </w:t>
      </w:r>
      <w:r w:rsidR="004F2C72">
        <w:rPr>
          <w:sz w:val="23"/>
          <w:szCs w:val="23"/>
          <w:lang w:val="es-CR"/>
        </w:rPr>
        <w:t>La Municipalidad es un</w:t>
      </w:r>
      <w:r w:rsidR="004F2C72" w:rsidRPr="004F2C72">
        <w:rPr>
          <w:sz w:val="23"/>
          <w:szCs w:val="23"/>
          <w:lang w:val="es-CR"/>
        </w:rPr>
        <w:t xml:space="preserve"> ente autónomo con jurisdicción territorial determinada, encargad</w:t>
      </w:r>
      <w:r w:rsidR="004F2C72">
        <w:rPr>
          <w:sz w:val="23"/>
          <w:szCs w:val="23"/>
          <w:lang w:val="es-CR"/>
        </w:rPr>
        <w:t>a</w:t>
      </w:r>
      <w:r w:rsidR="004F2C72" w:rsidRPr="004F2C72">
        <w:rPr>
          <w:sz w:val="23"/>
          <w:szCs w:val="23"/>
          <w:lang w:val="es-CR"/>
        </w:rPr>
        <w:t xml:space="preserve"> de la administración de los intereses y servicios locales de</w:t>
      </w:r>
      <w:r w:rsidR="004F2C72">
        <w:rPr>
          <w:sz w:val="23"/>
          <w:szCs w:val="23"/>
          <w:lang w:val="es-CR"/>
        </w:rPr>
        <w:t>l</w:t>
      </w:r>
      <w:r w:rsidR="004F2C72" w:rsidRPr="004F2C72">
        <w:rPr>
          <w:sz w:val="23"/>
          <w:szCs w:val="23"/>
          <w:lang w:val="es-CR"/>
        </w:rPr>
        <w:t xml:space="preserve"> cantón </w:t>
      </w:r>
      <w:r w:rsidR="004F2C72">
        <w:rPr>
          <w:sz w:val="23"/>
          <w:szCs w:val="23"/>
          <w:lang w:val="es-CR"/>
        </w:rPr>
        <w:t>de Buenos Aires</w:t>
      </w:r>
      <w:r w:rsidR="004F2C72" w:rsidRPr="004F2C72">
        <w:rPr>
          <w:sz w:val="23"/>
          <w:szCs w:val="23"/>
          <w:lang w:val="es-CR"/>
        </w:rPr>
        <w:t xml:space="preserve">, </w:t>
      </w:r>
      <w:r w:rsidR="004F2C72">
        <w:rPr>
          <w:sz w:val="23"/>
          <w:szCs w:val="23"/>
          <w:lang w:val="es-CR"/>
        </w:rPr>
        <w:t xml:space="preserve">incluyendo </w:t>
      </w:r>
      <w:r w:rsidR="004F2C72" w:rsidRPr="004F2C72">
        <w:rPr>
          <w:sz w:val="23"/>
          <w:szCs w:val="23"/>
          <w:lang w:val="es-CR"/>
        </w:rPr>
        <w:t>otras instituciones tales como</w:t>
      </w:r>
      <w:r>
        <w:rPr>
          <w:sz w:val="23"/>
          <w:szCs w:val="23"/>
          <w:lang w:val="es-CR"/>
        </w:rPr>
        <w:t xml:space="preserve"> </w:t>
      </w:r>
      <w:r w:rsidR="004F2C72" w:rsidRPr="004F2C72">
        <w:rPr>
          <w:sz w:val="23"/>
          <w:szCs w:val="23"/>
          <w:lang w:val="es-CR"/>
        </w:rPr>
        <w:t>Comité</w:t>
      </w:r>
      <w:r w:rsidR="008F46F0">
        <w:rPr>
          <w:sz w:val="23"/>
          <w:szCs w:val="23"/>
          <w:lang w:val="es-CR"/>
        </w:rPr>
        <w:t>s</w:t>
      </w:r>
      <w:r w:rsidR="004F2C72" w:rsidRPr="004F2C72">
        <w:rPr>
          <w:sz w:val="23"/>
          <w:szCs w:val="23"/>
          <w:lang w:val="es-CR"/>
        </w:rPr>
        <w:t xml:space="preserve"> </w:t>
      </w:r>
      <w:r>
        <w:rPr>
          <w:sz w:val="23"/>
          <w:szCs w:val="23"/>
          <w:lang w:val="es-CR"/>
        </w:rPr>
        <w:t>y</w:t>
      </w:r>
      <w:r w:rsidR="004F2C72" w:rsidRPr="004F2C72">
        <w:rPr>
          <w:sz w:val="23"/>
          <w:szCs w:val="23"/>
          <w:lang w:val="es-CR"/>
        </w:rPr>
        <w:t xml:space="preserve"> Juntas Municipales</w:t>
      </w:r>
      <w:r>
        <w:rPr>
          <w:sz w:val="23"/>
          <w:szCs w:val="23"/>
          <w:lang w:val="es-CR"/>
        </w:rPr>
        <w:t>, que deben tener como característica</w:t>
      </w:r>
      <w:r w:rsidR="008F46F0">
        <w:rPr>
          <w:sz w:val="23"/>
          <w:szCs w:val="23"/>
          <w:lang w:val="es-CR"/>
        </w:rPr>
        <w:t xml:space="preserve">s </w:t>
      </w:r>
      <w:r>
        <w:rPr>
          <w:sz w:val="23"/>
          <w:szCs w:val="23"/>
          <w:lang w:val="es-CR"/>
        </w:rPr>
        <w:t>contar con personería jurídica independiente</w:t>
      </w:r>
      <w:r w:rsidR="008F46F0">
        <w:rPr>
          <w:sz w:val="23"/>
          <w:szCs w:val="23"/>
          <w:lang w:val="es-CR"/>
        </w:rPr>
        <w:t xml:space="preserve"> y sobre las cuales la Municipalidad ejerce control</w:t>
      </w:r>
      <w:r w:rsidR="005D290E">
        <w:rPr>
          <w:sz w:val="23"/>
          <w:szCs w:val="23"/>
          <w:lang w:val="es-CR"/>
        </w:rPr>
        <w:t xml:space="preserve"> y obtiene beneficios de ellas</w:t>
      </w:r>
      <w:r w:rsidR="004F2C72" w:rsidRPr="004F2C72">
        <w:rPr>
          <w:sz w:val="23"/>
          <w:szCs w:val="23"/>
          <w:lang w:val="es-CR"/>
        </w:rPr>
        <w:t xml:space="preserve">. </w:t>
      </w:r>
    </w:p>
    <w:p w14:paraId="0CC841E1" w14:textId="77777777" w:rsidR="000674BD" w:rsidRPr="008F46F0" w:rsidRDefault="000674BD" w:rsidP="000674BD">
      <w:pPr>
        <w:pStyle w:val="Default"/>
        <w:rPr>
          <w:lang w:val="es-CR"/>
        </w:rPr>
      </w:pPr>
    </w:p>
    <w:p w14:paraId="137BC4E5" w14:textId="1207FBB1" w:rsidR="008F46F0" w:rsidRPr="009B7B25" w:rsidRDefault="000674BD" w:rsidP="008F46F0">
      <w:pPr>
        <w:pStyle w:val="Default"/>
        <w:ind w:left="1134" w:hanging="1134"/>
        <w:jc w:val="both"/>
        <w:rPr>
          <w:rFonts w:eastAsia="Times New Roman"/>
          <w:lang w:val="es-CR"/>
        </w:rPr>
      </w:pPr>
      <w:r>
        <w:rPr>
          <w:sz w:val="23"/>
          <w:szCs w:val="23"/>
          <w:lang w:val="es-CR"/>
        </w:rPr>
        <w:t>7.2.</w:t>
      </w:r>
      <w:r w:rsidRPr="000674BD">
        <w:rPr>
          <w:sz w:val="23"/>
          <w:szCs w:val="23"/>
          <w:lang w:val="es-CR"/>
        </w:rPr>
        <w:t>1.</w:t>
      </w:r>
      <w:r>
        <w:rPr>
          <w:sz w:val="23"/>
          <w:szCs w:val="23"/>
          <w:lang w:val="es-CR"/>
        </w:rPr>
        <w:t>01</w:t>
      </w:r>
      <w:r>
        <w:rPr>
          <w:sz w:val="23"/>
          <w:szCs w:val="23"/>
          <w:lang w:val="es-CR"/>
        </w:rPr>
        <w:tab/>
      </w:r>
      <w:r w:rsidRPr="000674BD">
        <w:rPr>
          <w:sz w:val="23"/>
          <w:szCs w:val="23"/>
          <w:lang w:val="es-CR"/>
        </w:rPr>
        <w:t xml:space="preserve">A los efectos del presente PGCN, </w:t>
      </w:r>
      <w:r w:rsidR="005D290E">
        <w:rPr>
          <w:sz w:val="23"/>
          <w:szCs w:val="23"/>
          <w:lang w:val="es-CR"/>
        </w:rPr>
        <w:t xml:space="preserve">en el caso de la MBA se debe realizar la consolidación con </w:t>
      </w:r>
      <w:r>
        <w:rPr>
          <w:sz w:val="23"/>
          <w:szCs w:val="23"/>
          <w:lang w:val="es-CR"/>
        </w:rPr>
        <w:t>e</w:t>
      </w:r>
      <w:r w:rsidRPr="000674BD">
        <w:rPr>
          <w:sz w:val="23"/>
          <w:szCs w:val="23"/>
          <w:lang w:val="es-CR"/>
        </w:rPr>
        <w:t xml:space="preserve">l </w:t>
      </w:r>
      <w:r w:rsidR="005D290E">
        <w:rPr>
          <w:sz w:val="23"/>
          <w:szCs w:val="23"/>
          <w:lang w:val="es-CR"/>
        </w:rPr>
        <w:t>Comité Cantonal de Deportes y Recreación (</w:t>
      </w:r>
      <w:r>
        <w:rPr>
          <w:sz w:val="23"/>
          <w:szCs w:val="23"/>
          <w:lang w:val="es-CR"/>
        </w:rPr>
        <w:t>CCDR</w:t>
      </w:r>
      <w:r w:rsidR="005D290E">
        <w:rPr>
          <w:sz w:val="23"/>
          <w:szCs w:val="23"/>
          <w:lang w:val="es-CR"/>
        </w:rPr>
        <w:t>),</w:t>
      </w:r>
      <w:r w:rsidR="008F46F0">
        <w:rPr>
          <w:sz w:val="23"/>
          <w:szCs w:val="23"/>
          <w:lang w:val="es-CR"/>
        </w:rPr>
        <w:t xml:space="preserve"> </w:t>
      </w:r>
      <w:r w:rsidR="005D290E">
        <w:rPr>
          <w:sz w:val="23"/>
          <w:szCs w:val="23"/>
          <w:lang w:val="es-CR"/>
        </w:rPr>
        <w:t xml:space="preserve">este </w:t>
      </w:r>
      <w:r w:rsidR="008F46F0">
        <w:rPr>
          <w:sz w:val="23"/>
          <w:szCs w:val="23"/>
          <w:lang w:val="es-CR"/>
        </w:rPr>
        <w:t>es</w:t>
      </w:r>
      <w:r>
        <w:rPr>
          <w:sz w:val="23"/>
          <w:szCs w:val="23"/>
          <w:lang w:val="es-CR"/>
        </w:rPr>
        <w:t xml:space="preserve"> </w:t>
      </w:r>
      <w:r w:rsidR="008F46F0" w:rsidRPr="009B7B25">
        <w:rPr>
          <w:rFonts w:eastAsia="Times New Roman"/>
          <w:lang w:val="es-MX"/>
        </w:rPr>
        <w:t>un comité adscrito a la municipalidad; que</w:t>
      </w:r>
      <w:r w:rsidR="008F46F0">
        <w:rPr>
          <w:rFonts w:eastAsia="Times New Roman"/>
          <w:lang w:val="es-MX"/>
        </w:rPr>
        <w:t xml:space="preserve"> </w:t>
      </w:r>
      <w:r w:rsidR="008F46F0" w:rsidRPr="009B7B25">
        <w:rPr>
          <w:rFonts w:eastAsia="Times New Roman"/>
          <w:lang w:val="es-MX"/>
        </w:rPr>
        <w:t xml:space="preserve">goza de personalidad jurídica instrumental para desarrollar planes, proyectos y programas deportivos y recreativos cantonales, así como para construir, administrar y mantener las instalaciones deportivas de su propiedad o las otorgadas en administración.  </w:t>
      </w:r>
    </w:p>
    <w:p w14:paraId="721DCBAE" w14:textId="77777777" w:rsidR="009D1790" w:rsidRDefault="009D1790" w:rsidP="002236BD">
      <w:pPr>
        <w:pStyle w:val="Default"/>
        <w:ind w:left="1134" w:hanging="1134"/>
        <w:jc w:val="both"/>
        <w:rPr>
          <w:sz w:val="22"/>
          <w:szCs w:val="22"/>
          <w:lang w:val="es-CR"/>
        </w:rPr>
      </w:pPr>
    </w:p>
    <w:p w14:paraId="0C32C78C" w14:textId="77777777" w:rsidR="002771C5" w:rsidRDefault="002771C5" w:rsidP="002236BD">
      <w:pPr>
        <w:pStyle w:val="Default"/>
        <w:ind w:left="1134" w:hanging="1134"/>
        <w:jc w:val="both"/>
        <w:rPr>
          <w:sz w:val="22"/>
          <w:szCs w:val="22"/>
          <w:lang w:val="es-CR"/>
        </w:rPr>
      </w:pPr>
    </w:p>
    <w:p w14:paraId="4FB7DD09" w14:textId="77777777" w:rsidR="009D1790" w:rsidRDefault="009D1790"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6"/>
        <w:gridCol w:w="2245"/>
        <w:gridCol w:w="1865"/>
      </w:tblGrid>
      <w:tr w:rsidR="005D290E" w:rsidRPr="005D290E" w14:paraId="4F97EADF" w14:textId="77777777" w:rsidTr="002771C5">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9C688EF" w14:textId="77777777" w:rsidR="005D290E" w:rsidRPr="005D290E" w:rsidRDefault="005D290E" w:rsidP="005D290E">
            <w:pPr>
              <w:jc w:val="center"/>
              <w:rPr>
                <w:rFonts w:ascii="Arial Narrow" w:eastAsia="Times New Roman" w:hAnsi="Arial Narrow" w:cs="Calibri"/>
                <w:b/>
                <w:bCs/>
                <w:color w:val="FFFFFF"/>
                <w:sz w:val="22"/>
                <w:szCs w:val="22"/>
              </w:rPr>
            </w:pPr>
            <w:r w:rsidRPr="005D290E">
              <w:rPr>
                <w:rFonts w:ascii="Arial Narrow" w:eastAsia="Times New Roman" w:hAnsi="Arial Narrow" w:cs="Calibri"/>
                <w:b/>
                <w:bCs/>
                <w:color w:val="FFFFFF"/>
                <w:sz w:val="22"/>
                <w:szCs w:val="22"/>
              </w:rPr>
              <w:t>Norma / Política</w:t>
            </w:r>
          </w:p>
        </w:tc>
        <w:tc>
          <w:tcPr>
            <w:tcW w:w="3686" w:type="dxa"/>
            <w:vMerge w:val="restart"/>
            <w:tcBorders>
              <w:top w:val="single" w:sz="8" w:space="0" w:color="auto"/>
              <w:left w:val="single" w:sz="8" w:space="0" w:color="auto"/>
              <w:bottom w:val="nil"/>
              <w:right w:val="single" w:sz="8" w:space="0" w:color="auto"/>
            </w:tcBorders>
            <w:shd w:val="clear" w:color="000000" w:fill="203764"/>
            <w:vAlign w:val="center"/>
            <w:hideMark/>
          </w:tcPr>
          <w:p w14:paraId="207FE256" w14:textId="77777777" w:rsidR="005D290E" w:rsidRPr="005D290E" w:rsidRDefault="005D290E" w:rsidP="005D290E">
            <w:pPr>
              <w:jc w:val="center"/>
              <w:rPr>
                <w:rFonts w:ascii="Arial Narrow" w:eastAsia="Times New Roman" w:hAnsi="Arial Narrow" w:cs="Calibri"/>
                <w:b/>
                <w:bCs/>
                <w:color w:val="FFFFFF"/>
                <w:sz w:val="22"/>
                <w:szCs w:val="22"/>
              </w:rPr>
            </w:pPr>
            <w:r w:rsidRPr="005D290E">
              <w:rPr>
                <w:rFonts w:ascii="Arial Narrow" w:eastAsia="Times New Roman" w:hAnsi="Arial Narrow" w:cs="Calibri"/>
                <w:b/>
                <w:bCs/>
                <w:color w:val="FFFFFF"/>
                <w:sz w:val="22"/>
                <w:szCs w:val="22"/>
              </w:rPr>
              <w:t>Concepto</w:t>
            </w:r>
          </w:p>
        </w:tc>
        <w:tc>
          <w:tcPr>
            <w:tcW w:w="4110" w:type="dxa"/>
            <w:gridSpan w:val="2"/>
            <w:tcBorders>
              <w:top w:val="single" w:sz="8" w:space="0" w:color="auto"/>
              <w:left w:val="nil"/>
              <w:bottom w:val="single" w:sz="8" w:space="0" w:color="auto"/>
              <w:right w:val="single" w:sz="8" w:space="0" w:color="000000"/>
            </w:tcBorders>
            <w:shd w:val="clear" w:color="000000" w:fill="203764"/>
            <w:vAlign w:val="center"/>
            <w:hideMark/>
          </w:tcPr>
          <w:p w14:paraId="651AC8D8" w14:textId="77777777" w:rsidR="005D290E" w:rsidRPr="005D290E" w:rsidRDefault="005D290E" w:rsidP="005D290E">
            <w:pPr>
              <w:jc w:val="center"/>
              <w:rPr>
                <w:rFonts w:ascii="Arial Narrow" w:eastAsia="Times New Roman" w:hAnsi="Arial Narrow" w:cs="Calibri"/>
                <w:b/>
                <w:bCs/>
                <w:color w:val="FFFFFF"/>
                <w:sz w:val="22"/>
                <w:szCs w:val="22"/>
              </w:rPr>
            </w:pPr>
            <w:r w:rsidRPr="005D290E">
              <w:rPr>
                <w:rFonts w:ascii="Arial Narrow" w:eastAsia="Times New Roman" w:hAnsi="Arial Narrow" w:cs="Calibri"/>
                <w:b/>
                <w:bCs/>
                <w:color w:val="FFFFFF"/>
                <w:sz w:val="22"/>
                <w:szCs w:val="22"/>
              </w:rPr>
              <w:t>Referencia</w:t>
            </w:r>
          </w:p>
        </w:tc>
      </w:tr>
      <w:tr w:rsidR="005D290E" w:rsidRPr="006E5442" w14:paraId="7AB57BF2" w14:textId="77777777" w:rsidTr="002771C5">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121A5624" w14:textId="77777777" w:rsidR="005D290E" w:rsidRPr="005D290E" w:rsidRDefault="005D290E" w:rsidP="005D290E">
            <w:pPr>
              <w:rPr>
                <w:rFonts w:ascii="Arial Narrow" w:eastAsia="Times New Roman" w:hAnsi="Arial Narrow" w:cs="Calibri"/>
                <w:b/>
                <w:bCs/>
                <w:color w:val="FFFFFF"/>
                <w:sz w:val="22"/>
                <w:szCs w:val="22"/>
              </w:rPr>
            </w:pPr>
          </w:p>
        </w:tc>
        <w:tc>
          <w:tcPr>
            <w:tcW w:w="3686" w:type="dxa"/>
            <w:vMerge/>
            <w:tcBorders>
              <w:top w:val="single" w:sz="8" w:space="0" w:color="auto"/>
              <w:left w:val="single" w:sz="8" w:space="0" w:color="auto"/>
              <w:bottom w:val="nil"/>
              <w:right w:val="single" w:sz="8" w:space="0" w:color="auto"/>
            </w:tcBorders>
            <w:vAlign w:val="center"/>
            <w:hideMark/>
          </w:tcPr>
          <w:p w14:paraId="1767507D" w14:textId="77777777" w:rsidR="005D290E" w:rsidRPr="005D290E" w:rsidRDefault="005D290E" w:rsidP="005D290E">
            <w:pPr>
              <w:rPr>
                <w:rFonts w:ascii="Arial Narrow" w:eastAsia="Times New Roman" w:hAnsi="Arial Narrow" w:cs="Calibri"/>
                <w:b/>
                <w:bCs/>
                <w:color w:val="FFFFFF"/>
                <w:sz w:val="22"/>
                <w:szCs w:val="22"/>
              </w:rPr>
            </w:pPr>
          </w:p>
        </w:tc>
        <w:tc>
          <w:tcPr>
            <w:tcW w:w="2245" w:type="dxa"/>
            <w:tcBorders>
              <w:top w:val="nil"/>
              <w:left w:val="nil"/>
              <w:bottom w:val="nil"/>
              <w:right w:val="single" w:sz="8" w:space="0" w:color="auto"/>
            </w:tcBorders>
            <w:shd w:val="clear" w:color="000000" w:fill="203764"/>
            <w:vAlign w:val="center"/>
            <w:hideMark/>
          </w:tcPr>
          <w:p w14:paraId="718781BB" w14:textId="77777777" w:rsidR="005D290E" w:rsidRPr="005D290E" w:rsidRDefault="005D290E" w:rsidP="005D290E">
            <w:pPr>
              <w:jc w:val="center"/>
              <w:rPr>
                <w:rFonts w:ascii="Arial Narrow" w:eastAsia="Times New Roman" w:hAnsi="Arial Narrow" w:cs="Calibri"/>
                <w:b/>
                <w:bCs/>
                <w:color w:val="FFFFFF"/>
                <w:sz w:val="22"/>
                <w:szCs w:val="22"/>
              </w:rPr>
            </w:pPr>
            <w:r w:rsidRPr="005D290E">
              <w:rPr>
                <w:rFonts w:ascii="Arial Narrow" w:eastAsia="Times New Roman" w:hAnsi="Arial Narrow" w:cs="Calibri"/>
                <w:b/>
                <w:bCs/>
                <w:color w:val="FFFFFF"/>
                <w:sz w:val="22"/>
                <w:szCs w:val="22"/>
              </w:rPr>
              <w:t>Norma</w:t>
            </w:r>
          </w:p>
        </w:tc>
        <w:tc>
          <w:tcPr>
            <w:tcW w:w="1865" w:type="dxa"/>
            <w:tcBorders>
              <w:top w:val="nil"/>
              <w:left w:val="nil"/>
              <w:bottom w:val="nil"/>
              <w:right w:val="single" w:sz="8" w:space="0" w:color="auto"/>
            </w:tcBorders>
            <w:shd w:val="clear" w:color="000000" w:fill="203764"/>
            <w:vAlign w:val="center"/>
            <w:hideMark/>
          </w:tcPr>
          <w:p w14:paraId="7688D738" w14:textId="77777777" w:rsidR="005D290E" w:rsidRPr="005D290E" w:rsidRDefault="005D290E" w:rsidP="005D290E">
            <w:pPr>
              <w:jc w:val="center"/>
              <w:rPr>
                <w:rFonts w:ascii="Arial Narrow" w:eastAsia="Times New Roman" w:hAnsi="Arial Narrow" w:cs="Calibri"/>
                <w:b/>
                <w:bCs/>
                <w:color w:val="FFFFFF"/>
                <w:sz w:val="22"/>
                <w:szCs w:val="22"/>
                <w:lang w:val="es-CR"/>
              </w:rPr>
            </w:pPr>
            <w:r w:rsidRPr="005D290E">
              <w:rPr>
                <w:rFonts w:ascii="Arial Narrow" w:eastAsia="Times New Roman" w:hAnsi="Arial Narrow" w:cs="Calibri"/>
                <w:b/>
                <w:bCs/>
                <w:color w:val="FFFFFF"/>
                <w:sz w:val="22"/>
                <w:szCs w:val="22"/>
                <w:lang w:val="es-CR"/>
              </w:rPr>
              <w:t>Normativa técnica y disposiciones adicionales</w:t>
            </w:r>
          </w:p>
        </w:tc>
      </w:tr>
      <w:tr w:rsidR="005D290E" w:rsidRPr="005D290E" w14:paraId="4FBA6EB7" w14:textId="77777777" w:rsidTr="002771C5">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60F5D1" w14:textId="77777777" w:rsidR="005D290E" w:rsidRPr="005D290E" w:rsidRDefault="005D290E" w:rsidP="005D290E">
            <w:pPr>
              <w:jc w:val="center"/>
              <w:rPr>
                <w:rFonts w:ascii="Arial Narrow" w:eastAsia="Times New Roman" w:hAnsi="Arial Narrow" w:cs="Calibri"/>
                <w:b/>
                <w:bCs/>
                <w:color w:val="000000"/>
                <w:sz w:val="22"/>
                <w:szCs w:val="22"/>
              </w:rPr>
            </w:pPr>
            <w:r w:rsidRPr="005D290E">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5C312FD" w14:textId="77777777" w:rsidR="005D290E" w:rsidRPr="005D290E" w:rsidRDefault="005D290E" w:rsidP="005D290E">
            <w:pPr>
              <w:jc w:val="center"/>
              <w:rPr>
                <w:rFonts w:ascii="Arial Narrow" w:eastAsia="Times New Roman" w:hAnsi="Arial Narrow" w:cs="Calibri"/>
                <w:b/>
                <w:bCs/>
                <w:color w:val="000000"/>
                <w:sz w:val="22"/>
                <w:szCs w:val="22"/>
              </w:rPr>
            </w:pPr>
            <w:r w:rsidRPr="005D290E">
              <w:rPr>
                <w:rFonts w:ascii="Arial Narrow" w:eastAsia="Times New Roman" w:hAnsi="Arial Narrow" w:cs="Calibri"/>
                <w:b/>
                <w:bCs/>
                <w:color w:val="000000"/>
                <w:sz w:val="22"/>
                <w:szCs w:val="22"/>
              </w:rPr>
              <w:t>3</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07BC595E" w14:textId="77777777" w:rsidR="005D290E" w:rsidRPr="005D290E" w:rsidRDefault="005D290E" w:rsidP="005D290E">
            <w:pPr>
              <w:jc w:val="center"/>
              <w:rPr>
                <w:rFonts w:ascii="Arial Narrow" w:eastAsia="Times New Roman" w:hAnsi="Arial Narrow" w:cs="Calibri"/>
                <w:b/>
                <w:bCs/>
                <w:color w:val="000000"/>
                <w:sz w:val="22"/>
                <w:szCs w:val="22"/>
              </w:rPr>
            </w:pPr>
            <w:r w:rsidRPr="005D290E">
              <w:rPr>
                <w:rFonts w:ascii="Arial Narrow" w:eastAsia="Times New Roman" w:hAnsi="Arial Narrow" w:cs="Calibri"/>
                <w:b/>
                <w:bCs/>
                <w:color w:val="000000"/>
                <w:sz w:val="22"/>
                <w:szCs w:val="22"/>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14:paraId="5FBD1C60" w14:textId="52ED558D" w:rsidR="005D290E" w:rsidRPr="005D290E" w:rsidRDefault="005D290E" w:rsidP="005D290E">
            <w:pPr>
              <w:jc w:val="both"/>
              <w:rPr>
                <w:rFonts w:ascii="Arial Narrow" w:eastAsia="Times New Roman" w:hAnsi="Arial Narrow" w:cs="Calibri"/>
                <w:b/>
                <w:bCs/>
                <w:color w:val="000000"/>
                <w:sz w:val="22"/>
                <w:szCs w:val="22"/>
              </w:rPr>
            </w:pPr>
            <w:r w:rsidRPr="005D290E">
              <w:rPr>
                <w:rFonts w:ascii="Arial Narrow" w:eastAsia="Times New Roman" w:hAnsi="Arial Narrow" w:cs="Calibri"/>
                <w:b/>
                <w:bCs/>
                <w:color w:val="000000"/>
                <w:sz w:val="22"/>
                <w:szCs w:val="22"/>
              </w:rPr>
              <w:t>Unidad de consolidación</w:t>
            </w:r>
            <w:r>
              <w:rPr>
                <w:rFonts w:ascii="Arial Narrow" w:eastAsia="Times New Roman" w:hAnsi="Arial Narrow" w:cs="Calibri"/>
                <w:b/>
                <w:bCs/>
                <w:color w:val="000000"/>
                <w:sz w:val="22"/>
                <w:szCs w:val="22"/>
              </w:rPr>
              <w:t xml:space="preserve"> (UC)</w:t>
            </w:r>
          </w:p>
        </w:tc>
        <w:tc>
          <w:tcPr>
            <w:tcW w:w="2245" w:type="dxa"/>
            <w:tcBorders>
              <w:top w:val="single" w:sz="8" w:space="0" w:color="auto"/>
              <w:left w:val="nil"/>
              <w:bottom w:val="single" w:sz="8" w:space="0" w:color="auto"/>
              <w:right w:val="single" w:sz="8" w:space="0" w:color="auto"/>
            </w:tcBorders>
            <w:shd w:val="clear" w:color="auto" w:fill="auto"/>
            <w:vAlign w:val="center"/>
            <w:hideMark/>
          </w:tcPr>
          <w:p w14:paraId="74F675AC" w14:textId="77777777" w:rsidR="005D290E" w:rsidRPr="005D290E" w:rsidRDefault="005D290E" w:rsidP="005D290E">
            <w:pPr>
              <w:jc w:val="both"/>
              <w:rPr>
                <w:rFonts w:ascii="Arial Narrow" w:eastAsia="Times New Roman" w:hAnsi="Arial Narrow" w:cs="Calibri"/>
                <w:b/>
                <w:bCs/>
                <w:color w:val="000000"/>
                <w:sz w:val="22"/>
                <w:szCs w:val="22"/>
              </w:rPr>
            </w:pPr>
            <w:r w:rsidRPr="005D290E">
              <w:rPr>
                <w:rFonts w:ascii="Arial Narrow" w:eastAsia="Times New Roman" w:hAnsi="Arial Narrow" w:cs="Calibri"/>
                <w:b/>
                <w:bCs/>
                <w:color w:val="000000"/>
                <w:sz w:val="22"/>
                <w:szCs w:val="22"/>
              </w:rPr>
              <w:t> </w:t>
            </w:r>
          </w:p>
        </w:tc>
        <w:tc>
          <w:tcPr>
            <w:tcW w:w="1865" w:type="dxa"/>
            <w:tcBorders>
              <w:top w:val="single" w:sz="8" w:space="0" w:color="auto"/>
              <w:left w:val="nil"/>
              <w:bottom w:val="single" w:sz="8" w:space="0" w:color="auto"/>
              <w:right w:val="single" w:sz="8" w:space="0" w:color="auto"/>
            </w:tcBorders>
            <w:shd w:val="clear" w:color="auto" w:fill="auto"/>
            <w:vAlign w:val="center"/>
            <w:hideMark/>
          </w:tcPr>
          <w:p w14:paraId="2E0D4FC8" w14:textId="77777777" w:rsidR="005D290E" w:rsidRPr="005D290E" w:rsidRDefault="005D290E" w:rsidP="005D290E">
            <w:pPr>
              <w:jc w:val="center"/>
              <w:rPr>
                <w:rFonts w:ascii="Arial Narrow" w:eastAsia="Times New Roman" w:hAnsi="Arial Narrow" w:cs="Calibri"/>
                <w:b/>
                <w:bCs/>
                <w:color w:val="000000"/>
                <w:sz w:val="22"/>
                <w:szCs w:val="22"/>
              </w:rPr>
            </w:pPr>
            <w:r w:rsidRPr="005D290E">
              <w:rPr>
                <w:rFonts w:ascii="Arial Narrow" w:eastAsia="Times New Roman" w:hAnsi="Arial Narrow" w:cs="Calibri"/>
                <w:b/>
                <w:bCs/>
                <w:color w:val="000000"/>
                <w:sz w:val="22"/>
                <w:szCs w:val="22"/>
              </w:rPr>
              <w:t>Código Municipal</w:t>
            </w:r>
          </w:p>
        </w:tc>
      </w:tr>
    </w:tbl>
    <w:p w14:paraId="41CFE12C" w14:textId="77777777" w:rsidR="009D1790" w:rsidRDefault="009D1790" w:rsidP="005D290E">
      <w:pPr>
        <w:pStyle w:val="Default"/>
        <w:ind w:left="1134" w:hanging="1134"/>
        <w:jc w:val="both"/>
        <w:rPr>
          <w:sz w:val="22"/>
          <w:szCs w:val="22"/>
          <w:lang w:val="es-CR"/>
        </w:rPr>
      </w:pPr>
    </w:p>
    <w:p w14:paraId="19283102" w14:textId="57BA1EDF" w:rsidR="002771C5" w:rsidRDefault="002771C5" w:rsidP="002771C5">
      <w:pPr>
        <w:pStyle w:val="Default"/>
        <w:ind w:left="1134" w:hanging="1134"/>
        <w:jc w:val="both"/>
        <w:rPr>
          <w:rFonts w:eastAsia="Arial"/>
          <w:b/>
          <w:sz w:val="22"/>
          <w:szCs w:val="22"/>
        </w:rPr>
      </w:pPr>
      <w:r w:rsidRPr="00F02F9D">
        <w:rPr>
          <w:rFonts w:eastAsia="Arial"/>
          <w:b/>
          <w:sz w:val="22"/>
          <w:szCs w:val="22"/>
        </w:rPr>
        <w:t>Política Contable</w:t>
      </w:r>
    </w:p>
    <w:p w14:paraId="76398ECC" w14:textId="77777777" w:rsidR="002771C5" w:rsidRPr="005D290E" w:rsidRDefault="002771C5" w:rsidP="005D290E">
      <w:pPr>
        <w:pStyle w:val="Default"/>
        <w:ind w:left="1134" w:hanging="1134"/>
        <w:jc w:val="both"/>
        <w:rPr>
          <w:sz w:val="22"/>
          <w:szCs w:val="22"/>
          <w:lang w:val="es-CR"/>
        </w:rPr>
      </w:pPr>
    </w:p>
    <w:p w14:paraId="3AB1FD7D" w14:textId="77777777" w:rsidR="005D290E" w:rsidRDefault="005D290E" w:rsidP="005D290E">
      <w:pPr>
        <w:pStyle w:val="Default"/>
        <w:ind w:left="1134" w:hanging="1134"/>
        <w:jc w:val="both"/>
        <w:rPr>
          <w:sz w:val="22"/>
          <w:szCs w:val="22"/>
          <w:lang w:val="es-CR"/>
        </w:rPr>
      </w:pPr>
      <w:r>
        <w:rPr>
          <w:sz w:val="22"/>
          <w:szCs w:val="22"/>
          <w:lang w:val="es-CR"/>
        </w:rPr>
        <w:t>7.3.0.01</w:t>
      </w:r>
      <w:r>
        <w:rPr>
          <w:sz w:val="22"/>
          <w:szCs w:val="22"/>
          <w:lang w:val="es-CR"/>
        </w:rPr>
        <w:tab/>
      </w:r>
      <w:r w:rsidRPr="005D290E">
        <w:rPr>
          <w:sz w:val="22"/>
          <w:szCs w:val="22"/>
          <w:lang w:val="es-CR"/>
        </w:rPr>
        <w:t xml:space="preserve">La Unidad </w:t>
      </w:r>
      <w:r>
        <w:rPr>
          <w:sz w:val="22"/>
          <w:szCs w:val="22"/>
          <w:lang w:val="es-CR"/>
        </w:rPr>
        <w:t xml:space="preserve">Municipal </w:t>
      </w:r>
      <w:r w:rsidRPr="005D290E">
        <w:rPr>
          <w:sz w:val="22"/>
          <w:szCs w:val="22"/>
          <w:lang w:val="es-CR"/>
        </w:rPr>
        <w:t>responsable del proceso de consolidación de la información financiera del C</w:t>
      </w:r>
      <w:r>
        <w:rPr>
          <w:sz w:val="22"/>
          <w:szCs w:val="22"/>
          <w:lang w:val="es-CR"/>
        </w:rPr>
        <w:t xml:space="preserve">ontabilidad </w:t>
      </w:r>
      <w:r w:rsidRPr="005D290E">
        <w:rPr>
          <w:sz w:val="22"/>
          <w:szCs w:val="22"/>
          <w:lang w:val="es-CR"/>
        </w:rPr>
        <w:t>de acuerdo con lo establecido en el presente PGCN</w:t>
      </w:r>
      <w:r>
        <w:rPr>
          <w:sz w:val="22"/>
          <w:szCs w:val="22"/>
          <w:lang w:val="es-CR"/>
        </w:rPr>
        <w:t>.</w:t>
      </w:r>
    </w:p>
    <w:p w14:paraId="3D99FF80" w14:textId="5956849E" w:rsidR="005D290E" w:rsidRDefault="005D290E" w:rsidP="005D290E">
      <w:pPr>
        <w:pStyle w:val="Default"/>
        <w:ind w:left="1134" w:hanging="1134"/>
        <w:jc w:val="both"/>
        <w:rPr>
          <w:sz w:val="22"/>
          <w:szCs w:val="22"/>
          <w:lang w:val="es-CR"/>
        </w:rPr>
      </w:pPr>
      <w:r w:rsidRPr="005D290E">
        <w:rPr>
          <w:sz w:val="22"/>
          <w:szCs w:val="22"/>
          <w:lang w:val="es-CR"/>
        </w:rPr>
        <w:t xml:space="preserve"> </w:t>
      </w:r>
    </w:p>
    <w:p w14:paraId="0085C353" w14:textId="77777777" w:rsidR="002771C5" w:rsidRDefault="002771C5" w:rsidP="005D290E">
      <w:pPr>
        <w:pStyle w:val="Default"/>
        <w:ind w:left="1134" w:hanging="1134"/>
        <w:jc w:val="both"/>
        <w:rPr>
          <w:sz w:val="22"/>
          <w:szCs w:val="22"/>
          <w:lang w:val="es-CR"/>
        </w:rPr>
      </w:pPr>
    </w:p>
    <w:p w14:paraId="52A4449F" w14:textId="77777777" w:rsidR="002771C5" w:rsidRDefault="002771C5" w:rsidP="005D290E">
      <w:pPr>
        <w:pStyle w:val="Default"/>
        <w:ind w:left="1134" w:hanging="1134"/>
        <w:jc w:val="both"/>
        <w:rPr>
          <w:sz w:val="22"/>
          <w:szCs w:val="22"/>
          <w:lang w:val="es-CR"/>
        </w:rPr>
      </w:pPr>
    </w:p>
    <w:p w14:paraId="651415D4" w14:textId="77777777" w:rsidR="005D290E" w:rsidRDefault="005D290E" w:rsidP="005D290E">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660"/>
        <w:gridCol w:w="332"/>
        <w:gridCol w:w="3740"/>
        <w:gridCol w:w="2280"/>
        <w:gridCol w:w="1918"/>
      </w:tblGrid>
      <w:tr w:rsidR="002005D2" w:rsidRPr="002005D2" w14:paraId="02AFCE57" w14:textId="77777777" w:rsidTr="002771C5">
        <w:trPr>
          <w:trHeight w:val="320"/>
        </w:trPr>
        <w:tc>
          <w:tcPr>
            <w:tcW w:w="1408"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71D6D355" w14:textId="77777777" w:rsidR="002005D2" w:rsidRPr="002005D2" w:rsidRDefault="002005D2" w:rsidP="002005D2">
            <w:pPr>
              <w:jc w:val="center"/>
              <w:rPr>
                <w:rFonts w:ascii="Arial Narrow" w:eastAsia="Times New Roman" w:hAnsi="Arial Narrow" w:cs="Calibri"/>
                <w:b/>
                <w:bCs/>
                <w:color w:val="FFFFFF"/>
                <w:sz w:val="22"/>
                <w:szCs w:val="22"/>
              </w:rPr>
            </w:pPr>
            <w:r w:rsidRPr="002005D2">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59765FCF" w14:textId="77777777" w:rsidR="002005D2" w:rsidRPr="002005D2" w:rsidRDefault="002005D2" w:rsidP="002005D2">
            <w:pPr>
              <w:jc w:val="center"/>
              <w:rPr>
                <w:rFonts w:ascii="Arial Narrow" w:eastAsia="Times New Roman" w:hAnsi="Arial Narrow" w:cs="Calibri"/>
                <w:b/>
                <w:bCs/>
                <w:color w:val="FFFFFF"/>
                <w:sz w:val="22"/>
                <w:szCs w:val="22"/>
              </w:rPr>
            </w:pPr>
            <w:r w:rsidRPr="002005D2">
              <w:rPr>
                <w:rFonts w:ascii="Arial Narrow" w:eastAsia="Times New Roman" w:hAnsi="Arial Narrow" w:cs="Calibri"/>
                <w:b/>
                <w:bCs/>
                <w:color w:val="FFFFFF"/>
                <w:sz w:val="22"/>
                <w:szCs w:val="22"/>
              </w:rPr>
              <w:t>Concepto</w:t>
            </w:r>
          </w:p>
        </w:tc>
        <w:tc>
          <w:tcPr>
            <w:tcW w:w="4198" w:type="dxa"/>
            <w:gridSpan w:val="2"/>
            <w:tcBorders>
              <w:top w:val="single" w:sz="8" w:space="0" w:color="auto"/>
              <w:left w:val="nil"/>
              <w:bottom w:val="single" w:sz="8" w:space="0" w:color="auto"/>
              <w:right w:val="single" w:sz="8" w:space="0" w:color="000000"/>
            </w:tcBorders>
            <w:shd w:val="clear" w:color="000000" w:fill="203764"/>
            <w:vAlign w:val="center"/>
            <w:hideMark/>
          </w:tcPr>
          <w:p w14:paraId="2D4672D3" w14:textId="77777777" w:rsidR="002005D2" w:rsidRPr="002005D2" w:rsidRDefault="002005D2" w:rsidP="002005D2">
            <w:pPr>
              <w:jc w:val="center"/>
              <w:rPr>
                <w:rFonts w:ascii="Arial Narrow" w:eastAsia="Times New Roman" w:hAnsi="Arial Narrow" w:cs="Calibri"/>
                <w:b/>
                <w:bCs/>
                <w:color w:val="FFFFFF"/>
                <w:sz w:val="22"/>
                <w:szCs w:val="22"/>
              </w:rPr>
            </w:pPr>
            <w:r w:rsidRPr="002005D2">
              <w:rPr>
                <w:rFonts w:ascii="Arial Narrow" w:eastAsia="Times New Roman" w:hAnsi="Arial Narrow" w:cs="Calibri"/>
                <w:b/>
                <w:bCs/>
                <w:color w:val="FFFFFF"/>
                <w:sz w:val="22"/>
                <w:szCs w:val="22"/>
              </w:rPr>
              <w:t>Referencia</w:t>
            </w:r>
          </w:p>
        </w:tc>
      </w:tr>
      <w:tr w:rsidR="002005D2" w:rsidRPr="006E5442" w14:paraId="1F25DA55" w14:textId="77777777" w:rsidTr="002771C5">
        <w:trPr>
          <w:trHeight w:val="850"/>
        </w:trPr>
        <w:tc>
          <w:tcPr>
            <w:tcW w:w="1408" w:type="dxa"/>
            <w:gridSpan w:val="3"/>
            <w:vMerge/>
            <w:tcBorders>
              <w:top w:val="single" w:sz="8" w:space="0" w:color="auto"/>
              <w:left w:val="single" w:sz="8" w:space="0" w:color="auto"/>
              <w:bottom w:val="single" w:sz="8" w:space="0" w:color="000000"/>
              <w:right w:val="single" w:sz="8" w:space="0" w:color="000000"/>
            </w:tcBorders>
            <w:vAlign w:val="center"/>
            <w:hideMark/>
          </w:tcPr>
          <w:p w14:paraId="2D8B903C" w14:textId="77777777" w:rsidR="002005D2" w:rsidRPr="002005D2" w:rsidRDefault="002005D2" w:rsidP="002005D2">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single" w:sz="8" w:space="0" w:color="000000"/>
              <w:right w:val="single" w:sz="8" w:space="0" w:color="auto"/>
            </w:tcBorders>
            <w:vAlign w:val="center"/>
            <w:hideMark/>
          </w:tcPr>
          <w:p w14:paraId="5E292337" w14:textId="77777777" w:rsidR="002005D2" w:rsidRPr="002005D2" w:rsidRDefault="002005D2" w:rsidP="002005D2">
            <w:pPr>
              <w:rPr>
                <w:rFonts w:ascii="Arial Narrow" w:eastAsia="Times New Roman" w:hAnsi="Arial Narrow" w:cs="Calibri"/>
                <w:b/>
                <w:bCs/>
                <w:color w:val="FFFFFF"/>
                <w:sz w:val="22"/>
                <w:szCs w:val="22"/>
              </w:rPr>
            </w:pPr>
          </w:p>
        </w:tc>
        <w:tc>
          <w:tcPr>
            <w:tcW w:w="2280" w:type="dxa"/>
            <w:tcBorders>
              <w:top w:val="nil"/>
              <w:left w:val="nil"/>
              <w:bottom w:val="single" w:sz="8" w:space="0" w:color="auto"/>
              <w:right w:val="single" w:sz="8" w:space="0" w:color="auto"/>
            </w:tcBorders>
            <w:shd w:val="clear" w:color="000000" w:fill="203764"/>
            <w:vAlign w:val="center"/>
            <w:hideMark/>
          </w:tcPr>
          <w:p w14:paraId="6B38E885" w14:textId="77777777" w:rsidR="002005D2" w:rsidRPr="002005D2" w:rsidRDefault="002005D2" w:rsidP="002005D2">
            <w:pPr>
              <w:jc w:val="center"/>
              <w:rPr>
                <w:rFonts w:ascii="Arial Narrow" w:eastAsia="Times New Roman" w:hAnsi="Arial Narrow" w:cs="Calibri"/>
                <w:b/>
                <w:bCs/>
                <w:color w:val="FFFFFF"/>
                <w:sz w:val="22"/>
                <w:szCs w:val="22"/>
              </w:rPr>
            </w:pPr>
            <w:r w:rsidRPr="002005D2">
              <w:rPr>
                <w:rFonts w:ascii="Arial Narrow" w:eastAsia="Times New Roman" w:hAnsi="Arial Narrow" w:cs="Calibri"/>
                <w:b/>
                <w:bCs/>
                <w:color w:val="FFFFFF"/>
                <w:sz w:val="22"/>
                <w:szCs w:val="22"/>
              </w:rPr>
              <w:t>Norma</w:t>
            </w:r>
          </w:p>
        </w:tc>
        <w:tc>
          <w:tcPr>
            <w:tcW w:w="1918" w:type="dxa"/>
            <w:tcBorders>
              <w:top w:val="nil"/>
              <w:left w:val="nil"/>
              <w:bottom w:val="single" w:sz="8" w:space="0" w:color="auto"/>
              <w:right w:val="single" w:sz="8" w:space="0" w:color="auto"/>
            </w:tcBorders>
            <w:shd w:val="clear" w:color="000000" w:fill="203764"/>
            <w:vAlign w:val="center"/>
            <w:hideMark/>
          </w:tcPr>
          <w:p w14:paraId="013D139B" w14:textId="77777777" w:rsidR="002005D2" w:rsidRPr="002005D2" w:rsidRDefault="002005D2" w:rsidP="002005D2">
            <w:pPr>
              <w:jc w:val="center"/>
              <w:rPr>
                <w:rFonts w:ascii="Arial Narrow" w:eastAsia="Times New Roman" w:hAnsi="Arial Narrow" w:cs="Calibri"/>
                <w:b/>
                <w:bCs/>
                <w:color w:val="FFFFFF"/>
                <w:sz w:val="22"/>
                <w:szCs w:val="22"/>
                <w:lang w:val="es-CR"/>
              </w:rPr>
            </w:pPr>
            <w:r w:rsidRPr="002005D2">
              <w:rPr>
                <w:rFonts w:ascii="Arial Narrow" w:eastAsia="Times New Roman" w:hAnsi="Arial Narrow" w:cs="Calibri"/>
                <w:b/>
                <w:bCs/>
                <w:color w:val="FFFFFF"/>
                <w:sz w:val="22"/>
                <w:szCs w:val="22"/>
                <w:lang w:val="es-CR"/>
              </w:rPr>
              <w:t>Normativa técnica y disposiciones adicionales</w:t>
            </w:r>
          </w:p>
        </w:tc>
      </w:tr>
      <w:tr w:rsidR="002005D2" w:rsidRPr="002005D2" w14:paraId="04679B3F" w14:textId="77777777" w:rsidTr="002771C5">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A35AB20"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noWrap/>
            <w:vAlign w:val="center"/>
            <w:hideMark/>
          </w:tcPr>
          <w:p w14:paraId="47F2AB1A" w14:textId="77777777" w:rsidR="002005D2" w:rsidRPr="002005D2" w:rsidRDefault="002005D2" w:rsidP="002771C5">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4</w:t>
            </w:r>
          </w:p>
        </w:tc>
        <w:tc>
          <w:tcPr>
            <w:tcW w:w="332" w:type="dxa"/>
            <w:tcBorders>
              <w:top w:val="nil"/>
              <w:left w:val="nil"/>
              <w:bottom w:val="single" w:sz="8" w:space="0" w:color="auto"/>
              <w:right w:val="single" w:sz="8" w:space="0" w:color="auto"/>
            </w:tcBorders>
            <w:shd w:val="clear" w:color="auto" w:fill="auto"/>
            <w:vAlign w:val="center"/>
            <w:hideMark/>
          </w:tcPr>
          <w:p w14:paraId="439AD6AE"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 xml:space="preserve"> </w:t>
            </w:r>
          </w:p>
        </w:tc>
        <w:tc>
          <w:tcPr>
            <w:tcW w:w="3740" w:type="dxa"/>
            <w:tcBorders>
              <w:top w:val="nil"/>
              <w:left w:val="nil"/>
              <w:bottom w:val="single" w:sz="8" w:space="0" w:color="auto"/>
              <w:right w:val="single" w:sz="8" w:space="0" w:color="auto"/>
            </w:tcBorders>
            <w:shd w:val="clear" w:color="auto" w:fill="auto"/>
            <w:vAlign w:val="center"/>
            <w:hideMark/>
          </w:tcPr>
          <w:p w14:paraId="262AA548" w14:textId="77777777" w:rsidR="002005D2" w:rsidRPr="002005D2" w:rsidRDefault="002005D2" w:rsidP="002005D2">
            <w:pPr>
              <w:jc w:val="both"/>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Control</w:t>
            </w:r>
          </w:p>
        </w:tc>
        <w:tc>
          <w:tcPr>
            <w:tcW w:w="2280" w:type="dxa"/>
            <w:tcBorders>
              <w:top w:val="nil"/>
              <w:left w:val="nil"/>
              <w:bottom w:val="single" w:sz="8" w:space="0" w:color="auto"/>
              <w:right w:val="single" w:sz="8" w:space="0" w:color="auto"/>
            </w:tcBorders>
            <w:shd w:val="clear" w:color="auto" w:fill="auto"/>
            <w:vAlign w:val="center"/>
            <w:hideMark/>
          </w:tcPr>
          <w:p w14:paraId="4D138D5A" w14:textId="77777777" w:rsidR="002005D2" w:rsidRPr="002005D2" w:rsidRDefault="002005D2" w:rsidP="002005D2">
            <w:pPr>
              <w:jc w:val="both"/>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NICSP N° 35,</w:t>
            </w:r>
            <w:r w:rsidRPr="002005D2">
              <w:rPr>
                <w:rFonts w:ascii="Arial Narrow" w:eastAsia="Times New Roman" w:hAnsi="Arial Narrow" w:cs="Calibri"/>
                <w:b/>
                <w:bCs/>
                <w:color w:val="000000"/>
                <w:sz w:val="22"/>
                <w:szCs w:val="22"/>
              </w:rPr>
              <w:br/>
              <w:t>Párrafos 14, 18 a 22.</w:t>
            </w:r>
          </w:p>
        </w:tc>
        <w:tc>
          <w:tcPr>
            <w:tcW w:w="1918" w:type="dxa"/>
            <w:tcBorders>
              <w:top w:val="nil"/>
              <w:left w:val="nil"/>
              <w:bottom w:val="single" w:sz="8" w:space="0" w:color="auto"/>
              <w:right w:val="single" w:sz="8" w:space="0" w:color="auto"/>
            </w:tcBorders>
            <w:shd w:val="clear" w:color="auto" w:fill="auto"/>
            <w:vAlign w:val="center"/>
            <w:hideMark/>
          </w:tcPr>
          <w:p w14:paraId="02229981"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 xml:space="preserve"> </w:t>
            </w:r>
          </w:p>
        </w:tc>
      </w:tr>
      <w:tr w:rsidR="002005D2" w:rsidRPr="006E5442" w14:paraId="5D8A6B6E" w14:textId="77777777" w:rsidTr="002771C5">
        <w:trPr>
          <w:trHeight w:val="85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5BB67E7"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vAlign w:val="center"/>
            <w:hideMark/>
          </w:tcPr>
          <w:p w14:paraId="518DD33D" w14:textId="77777777" w:rsidR="002005D2" w:rsidRPr="002005D2" w:rsidRDefault="002005D2" w:rsidP="002771C5">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4</w:t>
            </w:r>
          </w:p>
        </w:tc>
        <w:tc>
          <w:tcPr>
            <w:tcW w:w="332" w:type="dxa"/>
            <w:tcBorders>
              <w:top w:val="nil"/>
              <w:left w:val="nil"/>
              <w:bottom w:val="single" w:sz="8" w:space="0" w:color="auto"/>
              <w:right w:val="nil"/>
            </w:tcBorders>
            <w:shd w:val="clear" w:color="auto" w:fill="auto"/>
            <w:vAlign w:val="center"/>
            <w:hideMark/>
          </w:tcPr>
          <w:p w14:paraId="48ED9CF2"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1</w:t>
            </w:r>
          </w:p>
        </w:tc>
        <w:tc>
          <w:tcPr>
            <w:tcW w:w="3740" w:type="dxa"/>
            <w:tcBorders>
              <w:top w:val="nil"/>
              <w:left w:val="single" w:sz="8" w:space="0" w:color="auto"/>
              <w:bottom w:val="single" w:sz="8" w:space="0" w:color="auto"/>
              <w:right w:val="single" w:sz="8" w:space="0" w:color="auto"/>
            </w:tcBorders>
            <w:shd w:val="clear" w:color="auto" w:fill="auto"/>
            <w:vAlign w:val="center"/>
            <w:hideMark/>
          </w:tcPr>
          <w:p w14:paraId="5EAAC089" w14:textId="2D63E692" w:rsidR="002005D2" w:rsidRPr="002005D2" w:rsidRDefault="00095A2F" w:rsidP="002005D2">
            <w:pPr>
              <w:rPr>
                <w:rFonts w:ascii="Arial Narrow" w:eastAsia="Times New Roman" w:hAnsi="Arial Narrow" w:cs="Calibri"/>
                <w:b/>
                <w:bCs/>
                <w:color w:val="000000"/>
                <w:sz w:val="22"/>
                <w:szCs w:val="22"/>
                <w:lang w:val="es-CR"/>
              </w:rPr>
            </w:pPr>
            <w:r>
              <w:rPr>
                <w:rFonts w:ascii="Arial Narrow" w:eastAsia="Times New Roman" w:hAnsi="Arial Narrow" w:cs="Calibri"/>
                <w:b/>
                <w:bCs/>
                <w:color w:val="000000"/>
                <w:sz w:val="22"/>
                <w:szCs w:val="22"/>
                <w:lang w:val="es-CR"/>
              </w:rPr>
              <w:t>Poder y Beneficio</w:t>
            </w:r>
          </w:p>
        </w:tc>
        <w:tc>
          <w:tcPr>
            <w:tcW w:w="2280" w:type="dxa"/>
            <w:tcBorders>
              <w:top w:val="nil"/>
              <w:left w:val="nil"/>
              <w:bottom w:val="single" w:sz="8" w:space="0" w:color="auto"/>
              <w:right w:val="single" w:sz="8" w:space="0" w:color="auto"/>
            </w:tcBorders>
            <w:shd w:val="clear" w:color="auto" w:fill="auto"/>
            <w:vAlign w:val="center"/>
            <w:hideMark/>
          </w:tcPr>
          <w:p w14:paraId="57A932B1" w14:textId="77777777" w:rsidR="002005D2" w:rsidRPr="002005D2" w:rsidRDefault="002005D2" w:rsidP="002005D2">
            <w:pPr>
              <w:rPr>
                <w:rFonts w:ascii="Arial Narrow" w:eastAsia="Times New Roman" w:hAnsi="Arial Narrow" w:cs="Calibri"/>
                <w:b/>
                <w:bCs/>
                <w:color w:val="000000"/>
                <w:sz w:val="22"/>
                <w:szCs w:val="22"/>
                <w:lang w:val="es-CR"/>
              </w:rPr>
            </w:pPr>
            <w:r w:rsidRPr="002005D2">
              <w:rPr>
                <w:rFonts w:ascii="Arial Narrow" w:eastAsia="Times New Roman" w:hAnsi="Arial Narrow" w:cs="Calibri"/>
                <w:b/>
                <w:bCs/>
                <w:color w:val="000000"/>
                <w:sz w:val="22"/>
                <w:szCs w:val="22"/>
                <w:lang w:val="es-CR"/>
              </w:rPr>
              <w:t>NICSP N° 35,</w:t>
            </w:r>
            <w:r w:rsidRPr="002005D2">
              <w:rPr>
                <w:rFonts w:ascii="Arial Narrow" w:eastAsia="Times New Roman" w:hAnsi="Arial Narrow" w:cs="Calibri"/>
                <w:b/>
                <w:bCs/>
                <w:color w:val="000000"/>
                <w:sz w:val="22"/>
                <w:szCs w:val="22"/>
                <w:lang w:val="es-CR"/>
              </w:rPr>
              <w:br/>
              <w:t>Párrafos 23 a 29 y 30 a 34.</w:t>
            </w:r>
          </w:p>
        </w:tc>
        <w:tc>
          <w:tcPr>
            <w:tcW w:w="1918" w:type="dxa"/>
            <w:tcBorders>
              <w:top w:val="nil"/>
              <w:left w:val="nil"/>
              <w:bottom w:val="single" w:sz="8" w:space="0" w:color="auto"/>
              <w:right w:val="single" w:sz="8" w:space="0" w:color="auto"/>
            </w:tcBorders>
            <w:shd w:val="clear" w:color="auto" w:fill="auto"/>
            <w:vAlign w:val="center"/>
            <w:hideMark/>
          </w:tcPr>
          <w:p w14:paraId="110A91DC" w14:textId="77777777" w:rsidR="002005D2" w:rsidRPr="002005D2" w:rsidRDefault="002005D2" w:rsidP="002005D2">
            <w:pPr>
              <w:jc w:val="center"/>
              <w:rPr>
                <w:rFonts w:ascii="Arial Narrow" w:eastAsia="Times New Roman" w:hAnsi="Arial Narrow" w:cs="Calibri"/>
                <w:b/>
                <w:bCs/>
                <w:color w:val="000000"/>
                <w:sz w:val="22"/>
                <w:szCs w:val="22"/>
                <w:lang w:val="es-CR"/>
              </w:rPr>
            </w:pPr>
            <w:r w:rsidRPr="002005D2">
              <w:rPr>
                <w:rFonts w:ascii="Arial Narrow" w:eastAsia="Times New Roman" w:hAnsi="Arial Narrow" w:cs="Calibri"/>
                <w:b/>
                <w:bCs/>
                <w:color w:val="000000"/>
                <w:sz w:val="22"/>
                <w:szCs w:val="22"/>
                <w:lang w:val="es-CR"/>
              </w:rPr>
              <w:t> </w:t>
            </w:r>
          </w:p>
        </w:tc>
      </w:tr>
      <w:tr w:rsidR="002005D2" w:rsidRPr="002005D2" w14:paraId="3A1E7A3E" w14:textId="77777777" w:rsidTr="002771C5">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24831E1"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vAlign w:val="center"/>
            <w:hideMark/>
          </w:tcPr>
          <w:p w14:paraId="46AE5330" w14:textId="77777777" w:rsidR="002005D2" w:rsidRPr="002005D2" w:rsidRDefault="002005D2" w:rsidP="002771C5">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4</w:t>
            </w:r>
          </w:p>
        </w:tc>
        <w:tc>
          <w:tcPr>
            <w:tcW w:w="332" w:type="dxa"/>
            <w:tcBorders>
              <w:top w:val="nil"/>
              <w:left w:val="nil"/>
              <w:bottom w:val="single" w:sz="8" w:space="0" w:color="auto"/>
              <w:right w:val="single" w:sz="8" w:space="0" w:color="auto"/>
            </w:tcBorders>
            <w:shd w:val="clear" w:color="auto" w:fill="auto"/>
            <w:vAlign w:val="center"/>
            <w:hideMark/>
          </w:tcPr>
          <w:p w14:paraId="28BA3919"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0B2D33B3" w14:textId="211071D4" w:rsidR="002005D2" w:rsidRPr="002005D2" w:rsidRDefault="00095A2F" w:rsidP="002005D2">
            <w:pPr>
              <w:jc w:val="both"/>
              <w:rPr>
                <w:rFonts w:ascii="Arial Narrow" w:eastAsia="Times New Roman" w:hAnsi="Arial Narrow" w:cs="Calibri"/>
                <w:b/>
                <w:bCs/>
                <w:color w:val="000000"/>
                <w:sz w:val="22"/>
                <w:szCs w:val="22"/>
                <w:lang w:val="es-CR"/>
              </w:rPr>
            </w:pPr>
            <w:r>
              <w:rPr>
                <w:rFonts w:ascii="Arial Narrow" w:eastAsia="Times New Roman" w:hAnsi="Arial Narrow" w:cs="Calibri"/>
                <w:b/>
                <w:bCs/>
                <w:color w:val="000000"/>
                <w:sz w:val="22"/>
                <w:szCs w:val="22"/>
                <w:lang w:val="es-CR"/>
              </w:rPr>
              <w:t>Vinculación entre poder y beneficio</w:t>
            </w:r>
          </w:p>
        </w:tc>
        <w:tc>
          <w:tcPr>
            <w:tcW w:w="2280" w:type="dxa"/>
            <w:tcBorders>
              <w:top w:val="nil"/>
              <w:left w:val="nil"/>
              <w:bottom w:val="single" w:sz="8" w:space="0" w:color="auto"/>
              <w:right w:val="single" w:sz="8" w:space="0" w:color="auto"/>
            </w:tcBorders>
            <w:shd w:val="clear" w:color="auto" w:fill="auto"/>
            <w:vAlign w:val="center"/>
            <w:hideMark/>
          </w:tcPr>
          <w:p w14:paraId="602515AB" w14:textId="77777777" w:rsidR="002005D2" w:rsidRPr="002005D2" w:rsidRDefault="002005D2" w:rsidP="002005D2">
            <w:pP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NICSP N° 35,</w:t>
            </w:r>
            <w:r w:rsidRPr="002005D2">
              <w:rPr>
                <w:rFonts w:ascii="Arial Narrow" w:eastAsia="Times New Roman" w:hAnsi="Arial Narrow" w:cs="Calibri"/>
                <w:b/>
                <w:bCs/>
                <w:color w:val="000000"/>
                <w:sz w:val="22"/>
                <w:szCs w:val="22"/>
              </w:rPr>
              <w:br/>
              <w:t>Párrafos 35 a 37.</w:t>
            </w:r>
          </w:p>
        </w:tc>
        <w:tc>
          <w:tcPr>
            <w:tcW w:w="1918" w:type="dxa"/>
            <w:tcBorders>
              <w:top w:val="nil"/>
              <w:left w:val="nil"/>
              <w:bottom w:val="single" w:sz="8" w:space="0" w:color="auto"/>
              <w:right w:val="single" w:sz="8" w:space="0" w:color="auto"/>
            </w:tcBorders>
            <w:shd w:val="clear" w:color="auto" w:fill="auto"/>
            <w:vAlign w:val="center"/>
            <w:hideMark/>
          </w:tcPr>
          <w:p w14:paraId="09BD3171"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 xml:space="preserve"> </w:t>
            </w:r>
          </w:p>
        </w:tc>
      </w:tr>
      <w:tr w:rsidR="002005D2" w:rsidRPr="002005D2" w14:paraId="531B947C" w14:textId="77777777" w:rsidTr="002771C5">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E446D39"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vAlign w:val="center"/>
            <w:hideMark/>
          </w:tcPr>
          <w:p w14:paraId="621EEF3C" w14:textId="77777777" w:rsidR="002005D2" w:rsidRPr="002005D2" w:rsidRDefault="002005D2" w:rsidP="002771C5">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4</w:t>
            </w:r>
          </w:p>
        </w:tc>
        <w:tc>
          <w:tcPr>
            <w:tcW w:w="332" w:type="dxa"/>
            <w:tcBorders>
              <w:top w:val="nil"/>
              <w:left w:val="nil"/>
              <w:bottom w:val="single" w:sz="8" w:space="0" w:color="auto"/>
              <w:right w:val="single" w:sz="8" w:space="0" w:color="auto"/>
            </w:tcBorders>
            <w:shd w:val="clear" w:color="auto" w:fill="auto"/>
            <w:vAlign w:val="center"/>
            <w:hideMark/>
          </w:tcPr>
          <w:p w14:paraId="57CCAE3B"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6244FAAD" w14:textId="194B8829" w:rsidR="002005D2" w:rsidRPr="002005D2" w:rsidRDefault="00095A2F" w:rsidP="002005D2">
            <w:pPr>
              <w:jc w:val="both"/>
              <w:rPr>
                <w:rFonts w:ascii="Arial Narrow" w:eastAsia="Times New Roman" w:hAnsi="Arial Narrow" w:cs="Calibri"/>
                <w:b/>
                <w:bCs/>
                <w:color w:val="000000"/>
                <w:sz w:val="22"/>
                <w:szCs w:val="22"/>
                <w:lang w:val="es-CR"/>
              </w:rPr>
            </w:pPr>
            <w:r>
              <w:rPr>
                <w:rFonts w:ascii="Arial Narrow" w:eastAsia="Times New Roman" w:hAnsi="Arial Narrow" w:cs="Calibri"/>
                <w:b/>
                <w:bCs/>
                <w:color w:val="000000"/>
                <w:sz w:val="22"/>
                <w:szCs w:val="22"/>
                <w:lang w:val="es-CR"/>
              </w:rPr>
              <w:t>Diagrama de control</w:t>
            </w:r>
          </w:p>
        </w:tc>
        <w:tc>
          <w:tcPr>
            <w:tcW w:w="2280" w:type="dxa"/>
            <w:tcBorders>
              <w:top w:val="nil"/>
              <w:left w:val="nil"/>
              <w:bottom w:val="single" w:sz="8" w:space="0" w:color="auto"/>
              <w:right w:val="single" w:sz="8" w:space="0" w:color="auto"/>
            </w:tcBorders>
            <w:shd w:val="clear" w:color="auto" w:fill="auto"/>
            <w:vAlign w:val="center"/>
            <w:hideMark/>
          </w:tcPr>
          <w:p w14:paraId="0B51B89C" w14:textId="77777777" w:rsidR="002005D2" w:rsidRPr="002005D2" w:rsidRDefault="002005D2" w:rsidP="002005D2">
            <w:pP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 xml:space="preserve">NICSP N° 35, </w:t>
            </w:r>
            <w:r w:rsidRPr="002005D2">
              <w:rPr>
                <w:rFonts w:ascii="Arial Narrow" w:eastAsia="Times New Roman" w:hAnsi="Arial Narrow" w:cs="Calibri"/>
                <w:b/>
                <w:bCs/>
                <w:color w:val="000000"/>
                <w:sz w:val="22"/>
                <w:szCs w:val="22"/>
              </w:rPr>
              <w:br/>
              <w:t>Párrafos 41.</w:t>
            </w:r>
          </w:p>
        </w:tc>
        <w:tc>
          <w:tcPr>
            <w:tcW w:w="1918" w:type="dxa"/>
            <w:tcBorders>
              <w:top w:val="nil"/>
              <w:left w:val="nil"/>
              <w:bottom w:val="single" w:sz="8" w:space="0" w:color="auto"/>
              <w:right w:val="single" w:sz="8" w:space="0" w:color="auto"/>
            </w:tcBorders>
            <w:shd w:val="clear" w:color="auto" w:fill="auto"/>
            <w:vAlign w:val="center"/>
            <w:hideMark/>
          </w:tcPr>
          <w:p w14:paraId="5923F284"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DGCN</w:t>
            </w:r>
          </w:p>
        </w:tc>
      </w:tr>
    </w:tbl>
    <w:p w14:paraId="2F123B67" w14:textId="77777777" w:rsidR="002771C5" w:rsidRDefault="002771C5" w:rsidP="002771C5">
      <w:pPr>
        <w:pStyle w:val="Default"/>
        <w:ind w:left="1134" w:hanging="1134"/>
        <w:jc w:val="both"/>
        <w:rPr>
          <w:rFonts w:eastAsia="Arial"/>
          <w:b/>
          <w:sz w:val="22"/>
          <w:szCs w:val="22"/>
        </w:rPr>
      </w:pPr>
    </w:p>
    <w:p w14:paraId="6F976A52" w14:textId="1ED6BCB5" w:rsidR="002771C5" w:rsidRDefault="002771C5" w:rsidP="002771C5">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7824A34F" w14:textId="77777777" w:rsidR="005D290E" w:rsidRDefault="005D290E" w:rsidP="005D290E">
      <w:pPr>
        <w:pStyle w:val="Default"/>
        <w:ind w:left="1134" w:hanging="1134"/>
        <w:jc w:val="both"/>
        <w:rPr>
          <w:sz w:val="22"/>
          <w:szCs w:val="22"/>
          <w:lang w:val="es-CR"/>
        </w:rPr>
      </w:pPr>
    </w:p>
    <w:p w14:paraId="6563433A" w14:textId="01FEFBAC" w:rsidR="002005D2" w:rsidRDefault="00DB74EF" w:rsidP="00DB74EF">
      <w:pPr>
        <w:pStyle w:val="Default"/>
        <w:ind w:left="1134" w:hanging="1134"/>
        <w:jc w:val="both"/>
        <w:rPr>
          <w:sz w:val="22"/>
          <w:szCs w:val="22"/>
          <w:lang w:val="es-CR"/>
        </w:rPr>
      </w:pPr>
      <w:r>
        <w:rPr>
          <w:sz w:val="22"/>
          <w:szCs w:val="22"/>
          <w:lang w:val="es-CR"/>
        </w:rPr>
        <w:t>7.4.0.01</w:t>
      </w:r>
      <w:r>
        <w:rPr>
          <w:sz w:val="22"/>
          <w:szCs w:val="22"/>
          <w:lang w:val="es-CR"/>
        </w:rPr>
        <w:tab/>
      </w:r>
      <w:r w:rsidR="002005D2" w:rsidRPr="00DB74EF">
        <w:rPr>
          <w:sz w:val="22"/>
          <w:szCs w:val="22"/>
          <w:lang w:val="es-CR"/>
        </w:rPr>
        <w:t>Una entidad controla otra entidad cuando está expuesta, o tiene derecho, a beneficios variables procedentes de su implicación en la otra entidad y tiene la capacidad de afectar la naturaleza o importe de esos beneficios a través de su poder sobre ésta.</w:t>
      </w:r>
    </w:p>
    <w:p w14:paraId="79D4A6ED" w14:textId="77777777" w:rsidR="00DB74EF" w:rsidRPr="00DB74EF" w:rsidRDefault="00DB74EF" w:rsidP="00DB74EF">
      <w:pPr>
        <w:pStyle w:val="Default"/>
        <w:ind w:left="1134" w:hanging="1134"/>
        <w:jc w:val="both"/>
        <w:rPr>
          <w:sz w:val="22"/>
          <w:szCs w:val="22"/>
          <w:lang w:val="es-CR"/>
        </w:rPr>
      </w:pPr>
    </w:p>
    <w:p w14:paraId="0943A703" w14:textId="4253CE44" w:rsidR="002005D2" w:rsidRPr="00DB74EF" w:rsidRDefault="00DB74EF" w:rsidP="00DB74EF">
      <w:pPr>
        <w:pStyle w:val="Default"/>
        <w:ind w:left="1134" w:hanging="1134"/>
        <w:jc w:val="both"/>
        <w:rPr>
          <w:sz w:val="22"/>
          <w:szCs w:val="22"/>
          <w:lang w:val="es-CR"/>
        </w:rPr>
      </w:pPr>
      <w:r w:rsidRPr="00DB74EF">
        <w:rPr>
          <w:sz w:val="22"/>
          <w:szCs w:val="22"/>
          <w:lang w:val="es-CR"/>
        </w:rPr>
        <w:t>7.4.</w:t>
      </w:r>
      <w:r w:rsidR="002005D2" w:rsidRPr="00DB74EF">
        <w:rPr>
          <w:sz w:val="22"/>
          <w:szCs w:val="22"/>
          <w:lang w:val="es-CR"/>
        </w:rPr>
        <w:t>1.</w:t>
      </w:r>
      <w:r>
        <w:rPr>
          <w:sz w:val="22"/>
          <w:szCs w:val="22"/>
          <w:lang w:val="es-CR"/>
        </w:rPr>
        <w:t>01</w:t>
      </w:r>
      <w:r w:rsidR="002005D2" w:rsidRPr="00DB74EF">
        <w:rPr>
          <w:sz w:val="22"/>
          <w:szCs w:val="22"/>
          <w:lang w:val="es-CR"/>
        </w:rPr>
        <w:t xml:space="preserve"> </w:t>
      </w:r>
      <w:r>
        <w:rPr>
          <w:sz w:val="22"/>
          <w:szCs w:val="22"/>
          <w:lang w:val="es-CR"/>
        </w:rPr>
        <w:tab/>
      </w:r>
      <w:r w:rsidR="002005D2" w:rsidRPr="00DB74EF">
        <w:rPr>
          <w:sz w:val="22"/>
          <w:szCs w:val="22"/>
          <w:lang w:val="es-CR"/>
        </w:rPr>
        <w:t xml:space="preserve">En el caso que no sea evidente la existencia de control, se examinaran las relaciones entre dos entidades, presumiéndose que exista control cuando se cumplen las condiciones de poder, beneficios y la habilidad de usar el poder sobre la otra parte, salvo que exista una evidencia clara de que es otra entidad la que mantiene el control, los siguientes párrafos describen estas condiciones: </w:t>
      </w:r>
    </w:p>
    <w:p w14:paraId="036AD94A" w14:textId="77777777" w:rsidR="002005D2" w:rsidRPr="00DB74EF" w:rsidRDefault="002005D2" w:rsidP="00DB74EF">
      <w:pPr>
        <w:pStyle w:val="Default"/>
        <w:jc w:val="both"/>
        <w:rPr>
          <w:sz w:val="22"/>
          <w:szCs w:val="22"/>
          <w:lang w:val="es-CR"/>
        </w:rPr>
      </w:pPr>
    </w:p>
    <w:p w14:paraId="351E8C07" w14:textId="77777777" w:rsidR="002005D2" w:rsidRPr="00DB74EF" w:rsidRDefault="002005D2">
      <w:pPr>
        <w:pStyle w:val="Default"/>
        <w:numPr>
          <w:ilvl w:val="0"/>
          <w:numId w:val="418"/>
        </w:numPr>
        <w:ind w:left="1418" w:hanging="284"/>
        <w:jc w:val="both"/>
        <w:rPr>
          <w:sz w:val="22"/>
          <w:szCs w:val="22"/>
          <w:lang w:val="es-CR"/>
        </w:rPr>
      </w:pPr>
      <w:r w:rsidRPr="00DB74EF">
        <w:rPr>
          <w:b/>
          <w:bCs/>
          <w:sz w:val="22"/>
          <w:szCs w:val="22"/>
          <w:lang w:val="es-CR"/>
        </w:rPr>
        <w:t xml:space="preserve">Poder: </w:t>
      </w:r>
    </w:p>
    <w:p w14:paraId="5AB7BFA5" w14:textId="77777777" w:rsidR="00DB74EF" w:rsidRDefault="00DB74EF" w:rsidP="00DB74EF">
      <w:pPr>
        <w:pStyle w:val="Default"/>
        <w:jc w:val="both"/>
        <w:rPr>
          <w:sz w:val="22"/>
          <w:szCs w:val="22"/>
          <w:lang w:val="es-CR"/>
        </w:rPr>
      </w:pPr>
    </w:p>
    <w:p w14:paraId="6FEEBF75" w14:textId="383A639B" w:rsidR="002005D2" w:rsidRDefault="002005D2" w:rsidP="00DB74EF">
      <w:pPr>
        <w:pStyle w:val="Default"/>
        <w:ind w:left="1134"/>
        <w:jc w:val="both"/>
        <w:rPr>
          <w:sz w:val="22"/>
          <w:szCs w:val="22"/>
          <w:lang w:val="es-CR"/>
        </w:rPr>
      </w:pPr>
      <w:r w:rsidRPr="00DB74EF">
        <w:rPr>
          <w:sz w:val="22"/>
          <w:szCs w:val="22"/>
          <w:lang w:val="es-CR"/>
        </w:rPr>
        <w:t>Una entidad tiene poder sobre otra entidad cuando tiene derechos que le otorgan la capacidad actual de dirigir las actividades relevantes, es decir, las actividades que afectan de forma significativa la naturaleza o importe de los beneficios procedentes de su implicación con la otra entidad. El derecho a dirigir las políticas financieras y operativas de otra entidad indica que una entidad tiene la capacidad de dirigir las actividades relevantes de otra entidad y es, con frecuencia, la forma en que se demuestra el poder en el sector público.</w:t>
      </w:r>
    </w:p>
    <w:p w14:paraId="6D7DF052" w14:textId="77777777" w:rsidR="00DB74EF" w:rsidRPr="00DB74EF" w:rsidRDefault="00DB74EF" w:rsidP="00DB74EF">
      <w:pPr>
        <w:pStyle w:val="Default"/>
        <w:ind w:left="1134"/>
        <w:jc w:val="both"/>
        <w:rPr>
          <w:sz w:val="22"/>
          <w:szCs w:val="22"/>
          <w:lang w:val="es-CR"/>
        </w:rPr>
      </w:pPr>
    </w:p>
    <w:p w14:paraId="3533E051" w14:textId="137973DA" w:rsidR="002005D2" w:rsidRDefault="002005D2" w:rsidP="00DB74EF">
      <w:pPr>
        <w:pStyle w:val="Default"/>
        <w:ind w:left="1134"/>
        <w:jc w:val="both"/>
        <w:rPr>
          <w:sz w:val="22"/>
          <w:szCs w:val="22"/>
          <w:lang w:val="es-CR"/>
        </w:rPr>
      </w:pPr>
      <w:r w:rsidRPr="00DB74EF">
        <w:rPr>
          <w:sz w:val="22"/>
          <w:szCs w:val="22"/>
          <w:lang w:val="es-CR"/>
        </w:rPr>
        <w:t>El poder surge de derechos. En ocasiones la evaluación del poder es sencilla, tal como cuando el poder sobre otra entidad se obtiene de forma directa y únicamente de los derechos de voto concedidos por los instrumentos de patrimonio, tales como acciones, y puede ser evaluado mediante la consideración de los derechos de voto procedentes del accionariado. Sin embargo, las entidades del sector público a menudo obtienen el poder sobre otra entidad a través de derechos distintos de los derechos de voto. Estas pueden obtener también el poder sobre otra entidad sin tener un instrumento de patrimonio que proporcione evidencia de una inversión financiera. Una entidad puede tener derechos conferidos por acuerdos vinculantes. Estos derechos pueden otorgar a una entidad el poder para requerir que otra entidad utilice activos o incurra en pasivos de forma que afecte la naturaleza o importe de los beneficios recibidos por la entidad primera. La evaluación de si estos derechos dan lugar a poder sobre otra entidad puede ser compleja y requiere la consideración de más de un factor.</w:t>
      </w:r>
    </w:p>
    <w:p w14:paraId="773CD023" w14:textId="77777777" w:rsidR="00DB74EF" w:rsidRPr="00DB74EF" w:rsidRDefault="00DB74EF" w:rsidP="00DB74EF">
      <w:pPr>
        <w:pStyle w:val="Default"/>
        <w:ind w:left="1134"/>
        <w:jc w:val="both"/>
        <w:rPr>
          <w:sz w:val="22"/>
          <w:szCs w:val="22"/>
          <w:lang w:val="es-CR"/>
        </w:rPr>
      </w:pPr>
    </w:p>
    <w:p w14:paraId="5EE8063D" w14:textId="1072A8BB" w:rsidR="00DB74EF" w:rsidRDefault="002005D2" w:rsidP="00DB74EF">
      <w:pPr>
        <w:pStyle w:val="Default"/>
        <w:ind w:left="1134"/>
        <w:jc w:val="both"/>
        <w:rPr>
          <w:sz w:val="23"/>
          <w:szCs w:val="23"/>
          <w:lang w:val="es-CR"/>
        </w:rPr>
      </w:pPr>
      <w:r w:rsidRPr="00DB74EF">
        <w:rPr>
          <w:sz w:val="22"/>
          <w:szCs w:val="22"/>
          <w:lang w:val="es-CR"/>
        </w:rPr>
        <w:lastRenderedPageBreak/>
        <w:t>Una entidad puede tener poder sobre otra entidad incluso si no tiene responsabilidad sobre las operaciones diarias de otra entidad o la forma en que la otra entidad realiza las funciones establecidas. La legislación puede otorgar a organismos legales o personal de la Administración poderes para llevar</w:t>
      </w:r>
      <w:r w:rsidR="00DB74EF">
        <w:rPr>
          <w:sz w:val="22"/>
          <w:szCs w:val="22"/>
          <w:lang w:val="es-CR"/>
        </w:rPr>
        <w:t xml:space="preserve"> </w:t>
      </w:r>
      <w:r w:rsidR="00DB74EF" w:rsidRPr="00DB74EF">
        <w:rPr>
          <w:sz w:val="23"/>
          <w:szCs w:val="23"/>
          <w:lang w:val="es-CR"/>
        </w:rPr>
        <w:t>a cabo sus funciones de manera independiente del gobierno. Por ejemplo, el Auditor General y Estadísticos del Gobierno habitualmente tienen poderes legales para obtener información y publicar informes sin recurrir al gobierno, y el poder judicial, con frecuencia, tiene poderes especiales para dar efecto al concepto de independencia judicial. La legislación podría también establecer parámetros generales dentro de los cuales se requiere que opere el organismo legal, y dar lugar a que dicho organismo opere de forma congruente con los objetivos establecidos por el Parlamento o un organismo similar. La existencia de poderes legales para operar independientemente no impide, por sí mismo, que una entidad tenga la capacidad de dirigir las políticas operativas y financieras de otra entidad con poderes legales, de forma que obtenga beneficios. Por ejemplo, la independencia de un banco central en relación con la política monetaria no impide la posibilidad de que el banco central sea controlado. Todos los hechos y circunstancias necesitarían ser considerados.</w:t>
      </w:r>
    </w:p>
    <w:p w14:paraId="6FB0252E" w14:textId="77777777" w:rsidR="00DB74EF" w:rsidRPr="00DB74EF" w:rsidRDefault="00DB74EF" w:rsidP="00DB74EF">
      <w:pPr>
        <w:pStyle w:val="Default"/>
        <w:ind w:left="1134"/>
        <w:jc w:val="both"/>
        <w:rPr>
          <w:sz w:val="22"/>
          <w:szCs w:val="22"/>
          <w:lang w:val="es-CR"/>
        </w:rPr>
      </w:pPr>
    </w:p>
    <w:p w14:paraId="58EEB623" w14:textId="064436CB" w:rsidR="00DB74EF" w:rsidRDefault="00DB74EF" w:rsidP="00DB74EF">
      <w:pPr>
        <w:pStyle w:val="Default"/>
        <w:ind w:left="1134"/>
        <w:jc w:val="both"/>
        <w:rPr>
          <w:sz w:val="23"/>
          <w:szCs w:val="23"/>
          <w:lang w:val="es-CR"/>
        </w:rPr>
      </w:pPr>
      <w:r w:rsidRPr="00DB74EF">
        <w:rPr>
          <w:sz w:val="23"/>
          <w:szCs w:val="23"/>
          <w:lang w:val="es-CR"/>
        </w:rPr>
        <w:t>La existencia de derechos sobre la otra entidad no concede necesariamente poder a efectos de esta Norma. Una entidad no tiene poder sobre otra entidad únicamente debido a la existencia de:</w:t>
      </w:r>
    </w:p>
    <w:p w14:paraId="3B5035A8" w14:textId="77777777" w:rsidR="00DB74EF" w:rsidRPr="00DB74EF" w:rsidRDefault="00DB74EF" w:rsidP="00DB74EF">
      <w:pPr>
        <w:pStyle w:val="Default"/>
        <w:ind w:left="1134"/>
        <w:jc w:val="both"/>
        <w:rPr>
          <w:sz w:val="22"/>
          <w:szCs w:val="22"/>
          <w:lang w:val="es-CR"/>
        </w:rPr>
      </w:pPr>
    </w:p>
    <w:p w14:paraId="427405B2" w14:textId="1DB28B71" w:rsidR="002005D2" w:rsidRPr="002005D2" w:rsidRDefault="00DB74EF">
      <w:pPr>
        <w:numPr>
          <w:ilvl w:val="1"/>
          <w:numId w:val="419"/>
        </w:numPr>
        <w:autoSpaceDE w:val="0"/>
        <w:autoSpaceDN w:val="0"/>
        <w:adjustRightInd w:val="0"/>
        <w:spacing w:after="148"/>
        <w:ind w:left="1560" w:hanging="142"/>
        <w:jc w:val="both"/>
        <w:rPr>
          <w:rFonts w:ascii="Arial" w:hAnsi="Arial"/>
          <w:color w:val="000000"/>
          <w:sz w:val="22"/>
          <w:szCs w:val="22"/>
          <w:lang w:val="es-CR"/>
        </w:rPr>
      </w:pPr>
      <w:r>
        <w:rPr>
          <w:rFonts w:ascii="Arial" w:hAnsi="Arial"/>
          <w:color w:val="000000"/>
          <w:sz w:val="22"/>
          <w:szCs w:val="22"/>
          <w:lang w:val="es-CR"/>
        </w:rPr>
        <w:t>C</w:t>
      </w:r>
      <w:r w:rsidR="002005D2" w:rsidRPr="002005D2">
        <w:rPr>
          <w:rFonts w:ascii="Arial" w:hAnsi="Arial"/>
          <w:color w:val="000000"/>
          <w:sz w:val="22"/>
          <w:szCs w:val="22"/>
          <w:lang w:val="es-CR"/>
        </w:rPr>
        <w:t xml:space="preserve">ontrol de regulación (véase el párrafo GA12); o </w:t>
      </w:r>
    </w:p>
    <w:p w14:paraId="780B4A9D" w14:textId="0FBB0DE3" w:rsidR="002005D2" w:rsidRPr="002005D2" w:rsidRDefault="00DB74EF">
      <w:pPr>
        <w:numPr>
          <w:ilvl w:val="1"/>
          <w:numId w:val="419"/>
        </w:numPr>
        <w:autoSpaceDE w:val="0"/>
        <w:autoSpaceDN w:val="0"/>
        <w:adjustRightInd w:val="0"/>
        <w:ind w:left="1560" w:hanging="142"/>
        <w:jc w:val="both"/>
        <w:rPr>
          <w:rFonts w:ascii="Arial" w:hAnsi="Arial"/>
          <w:color w:val="000000"/>
          <w:sz w:val="22"/>
          <w:szCs w:val="22"/>
          <w:lang w:val="es-CR"/>
        </w:rPr>
      </w:pPr>
      <w:r>
        <w:rPr>
          <w:rFonts w:ascii="Arial" w:hAnsi="Arial"/>
          <w:color w:val="000000"/>
          <w:sz w:val="22"/>
          <w:szCs w:val="22"/>
          <w:lang w:val="es-CR"/>
        </w:rPr>
        <w:t>D</w:t>
      </w:r>
      <w:r w:rsidR="002005D2" w:rsidRPr="002005D2">
        <w:rPr>
          <w:rFonts w:ascii="Arial" w:hAnsi="Arial"/>
          <w:color w:val="000000"/>
          <w:sz w:val="22"/>
          <w:szCs w:val="22"/>
          <w:lang w:val="es-CR"/>
        </w:rPr>
        <w:t xml:space="preserve">ependencia económica (véanse los párrafos GA41 y GA42). </w:t>
      </w:r>
    </w:p>
    <w:p w14:paraId="643A57C7" w14:textId="77777777" w:rsidR="002005D2" w:rsidRPr="002005D2" w:rsidRDefault="002005D2">
      <w:pPr>
        <w:numPr>
          <w:ilvl w:val="1"/>
          <w:numId w:val="416"/>
        </w:numPr>
        <w:autoSpaceDE w:val="0"/>
        <w:autoSpaceDN w:val="0"/>
        <w:adjustRightInd w:val="0"/>
        <w:ind w:left="1134"/>
        <w:jc w:val="both"/>
        <w:rPr>
          <w:rFonts w:ascii="Arial" w:hAnsi="Arial"/>
          <w:color w:val="000000"/>
          <w:sz w:val="22"/>
          <w:szCs w:val="22"/>
          <w:lang w:val="es-CR"/>
        </w:rPr>
      </w:pPr>
    </w:p>
    <w:p w14:paraId="62E7C654" w14:textId="7AB70C62" w:rsidR="002005D2" w:rsidRDefault="002005D2" w:rsidP="00DB74EF">
      <w:pPr>
        <w:autoSpaceDE w:val="0"/>
        <w:autoSpaceDN w:val="0"/>
        <w:adjustRightInd w:val="0"/>
        <w:ind w:left="1134"/>
        <w:jc w:val="both"/>
        <w:rPr>
          <w:rFonts w:ascii="Arial" w:hAnsi="Arial"/>
          <w:color w:val="000000"/>
          <w:sz w:val="22"/>
          <w:szCs w:val="22"/>
          <w:lang w:val="es-CR"/>
        </w:rPr>
      </w:pPr>
      <w:r w:rsidRPr="002005D2">
        <w:rPr>
          <w:rFonts w:ascii="Arial" w:hAnsi="Arial"/>
          <w:color w:val="000000"/>
          <w:sz w:val="22"/>
          <w:szCs w:val="22"/>
          <w:lang w:val="es-CR"/>
        </w:rPr>
        <w:t>Una entidad con capacidad presente para dirigir las actividades relevantes tiene poder incluso si su derecho a dirigir todavía no se ha ejercido. La evidencia de que la entidad ha estado dirigiendo actividades relevantes de la entidad que está siendo evaluada a efectos de control puede ayudar a determinar si tiene poder, pero esta evidencia no es, en sí misma, concluyente para determinar si tiene poder sobre la entidad que se está evaluando. En el caso de una entidad establecida con actividades predeterminadas, el derecho a dirigir las actividades relevantes puede haberse ejercido en el momento en que se estableció la entidad.</w:t>
      </w:r>
    </w:p>
    <w:p w14:paraId="7F72CA7B" w14:textId="77777777" w:rsidR="00DB74EF" w:rsidRPr="002005D2" w:rsidRDefault="00DB74EF" w:rsidP="00DB74EF">
      <w:pPr>
        <w:autoSpaceDE w:val="0"/>
        <w:autoSpaceDN w:val="0"/>
        <w:adjustRightInd w:val="0"/>
        <w:ind w:left="1134"/>
        <w:jc w:val="both"/>
        <w:rPr>
          <w:rFonts w:ascii="Arial" w:hAnsi="Arial"/>
          <w:color w:val="000000"/>
          <w:sz w:val="22"/>
          <w:szCs w:val="22"/>
          <w:lang w:val="es-CR"/>
        </w:rPr>
      </w:pPr>
    </w:p>
    <w:p w14:paraId="70B06000" w14:textId="71CEBE3A" w:rsidR="002005D2" w:rsidRDefault="002005D2" w:rsidP="00DB74EF">
      <w:pPr>
        <w:autoSpaceDE w:val="0"/>
        <w:autoSpaceDN w:val="0"/>
        <w:adjustRightInd w:val="0"/>
        <w:ind w:left="1134"/>
        <w:jc w:val="both"/>
        <w:rPr>
          <w:rFonts w:ascii="Arial" w:hAnsi="Arial"/>
          <w:color w:val="000000"/>
          <w:sz w:val="22"/>
          <w:szCs w:val="22"/>
          <w:lang w:val="es-CR"/>
        </w:rPr>
      </w:pPr>
      <w:r w:rsidRPr="002005D2">
        <w:rPr>
          <w:rFonts w:ascii="Arial" w:hAnsi="Arial"/>
          <w:color w:val="000000"/>
          <w:sz w:val="22"/>
          <w:szCs w:val="22"/>
          <w:lang w:val="es-CR"/>
        </w:rPr>
        <w:t>Si dos o más entidades ostentan cada una de derechos existentes que les conceden la capacidad unilateral para dirigir actividades relevantes diferentes, la entidad que tiene la capacidad presente para dirigir las actividades que afectan de forma más significativa la naturaleza o importe de los beneficios procedentes de esa entidad tiene el poder sobre ella.</w:t>
      </w:r>
    </w:p>
    <w:p w14:paraId="6753E725" w14:textId="77777777" w:rsidR="00DB74EF" w:rsidRPr="002005D2" w:rsidRDefault="00DB74EF" w:rsidP="00DB74EF">
      <w:pPr>
        <w:autoSpaceDE w:val="0"/>
        <w:autoSpaceDN w:val="0"/>
        <w:adjustRightInd w:val="0"/>
        <w:ind w:left="1134"/>
        <w:jc w:val="both"/>
        <w:rPr>
          <w:rFonts w:ascii="Arial" w:hAnsi="Arial"/>
          <w:color w:val="000000"/>
          <w:sz w:val="22"/>
          <w:szCs w:val="22"/>
          <w:lang w:val="es-CR"/>
        </w:rPr>
      </w:pPr>
    </w:p>
    <w:p w14:paraId="1885BC71" w14:textId="77777777" w:rsidR="00DB74EF" w:rsidRDefault="002005D2" w:rsidP="00DB74EF">
      <w:pPr>
        <w:autoSpaceDE w:val="0"/>
        <w:autoSpaceDN w:val="0"/>
        <w:adjustRightInd w:val="0"/>
        <w:ind w:left="1134"/>
        <w:jc w:val="both"/>
        <w:rPr>
          <w:rFonts w:ascii="Arial" w:hAnsi="Arial"/>
          <w:color w:val="000000"/>
          <w:sz w:val="22"/>
          <w:szCs w:val="22"/>
          <w:lang w:val="es-CR"/>
        </w:rPr>
      </w:pPr>
      <w:r w:rsidRPr="002005D2">
        <w:rPr>
          <w:rFonts w:ascii="Arial" w:hAnsi="Arial"/>
          <w:color w:val="000000"/>
          <w:sz w:val="22"/>
          <w:szCs w:val="22"/>
          <w:lang w:val="es-CR"/>
        </w:rPr>
        <w:t>Una entidad puede tener poder sobre otra que está siendo evaluada a efectos de control, incluso si otras entidades tienen derechos existentes que les conceden la capacidad presente de participar en la dirección de las actividades relevantes, por ejemplo, cuando otra entidad tiene influencia significativa. Sin embargo, una entidad que mantiene solo derechos protectores no tiene poder sobre otra entidad y, en consecuencia, no controla a ésta (véanse los párrafos GA29 a GA31).</w:t>
      </w:r>
    </w:p>
    <w:p w14:paraId="395FD7E3" w14:textId="18D75933" w:rsidR="002005D2" w:rsidRPr="002005D2" w:rsidRDefault="002005D2" w:rsidP="00DB74EF">
      <w:pPr>
        <w:autoSpaceDE w:val="0"/>
        <w:autoSpaceDN w:val="0"/>
        <w:adjustRightInd w:val="0"/>
        <w:ind w:left="1134"/>
        <w:jc w:val="both"/>
        <w:rPr>
          <w:rFonts w:ascii="Arial" w:hAnsi="Arial"/>
          <w:color w:val="000000"/>
          <w:sz w:val="22"/>
          <w:szCs w:val="22"/>
          <w:lang w:val="es-CR"/>
        </w:rPr>
      </w:pPr>
      <w:r w:rsidRPr="002005D2">
        <w:rPr>
          <w:rFonts w:ascii="Arial" w:hAnsi="Arial"/>
          <w:color w:val="000000"/>
          <w:sz w:val="22"/>
          <w:szCs w:val="22"/>
          <w:lang w:val="es-CR"/>
        </w:rPr>
        <w:t xml:space="preserve"> </w:t>
      </w:r>
    </w:p>
    <w:p w14:paraId="2CE9EAEB" w14:textId="77777777" w:rsidR="002005D2" w:rsidRPr="00DB74EF" w:rsidRDefault="002005D2">
      <w:pPr>
        <w:pStyle w:val="Prrafodelista"/>
        <w:numPr>
          <w:ilvl w:val="0"/>
          <w:numId w:val="418"/>
        </w:numPr>
        <w:autoSpaceDE w:val="0"/>
        <w:autoSpaceDN w:val="0"/>
        <w:adjustRightInd w:val="0"/>
        <w:ind w:left="1418" w:hanging="284"/>
        <w:jc w:val="both"/>
        <w:rPr>
          <w:rFonts w:ascii="Arial" w:hAnsi="Arial"/>
          <w:color w:val="000000"/>
          <w:sz w:val="22"/>
          <w:szCs w:val="22"/>
          <w:lang w:val="es-CR"/>
        </w:rPr>
      </w:pPr>
      <w:r w:rsidRPr="00DB74EF">
        <w:rPr>
          <w:rFonts w:ascii="Arial" w:hAnsi="Arial"/>
          <w:b/>
          <w:bCs/>
          <w:color w:val="000000"/>
          <w:sz w:val="22"/>
          <w:szCs w:val="22"/>
          <w:lang w:val="es-CR"/>
        </w:rPr>
        <w:t xml:space="preserve">Beneficio: </w:t>
      </w:r>
    </w:p>
    <w:p w14:paraId="3A705985" w14:textId="77777777" w:rsidR="00DB74EF" w:rsidRDefault="00DB74EF" w:rsidP="00DB74EF">
      <w:pPr>
        <w:autoSpaceDE w:val="0"/>
        <w:autoSpaceDN w:val="0"/>
        <w:adjustRightInd w:val="0"/>
        <w:jc w:val="both"/>
        <w:rPr>
          <w:rFonts w:ascii="Arial" w:hAnsi="Arial"/>
          <w:color w:val="000000"/>
          <w:sz w:val="22"/>
          <w:szCs w:val="22"/>
          <w:lang w:val="es-CR"/>
        </w:rPr>
      </w:pPr>
    </w:p>
    <w:p w14:paraId="6993AF4F" w14:textId="411AC124" w:rsidR="00DB74EF" w:rsidRPr="00DB74EF" w:rsidRDefault="002005D2" w:rsidP="006A7C92">
      <w:pPr>
        <w:autoSpaceDE w:val="0"/>
        <w:autoSpaceDN w:val="0"/>
        <w:adjustRightInd w:val="0"/>
        <w:ind w:left="1134"/>
        <w:jc w:val="both"/>
        <w:rPr>
          <w:rFonts w:ascii="Arial" w:hAnsi="Arial"/>
          <w:sz w:val="22"/>
          <w:szCs w:val="22"/>
          <w:lang w:val="es-CR"/>
        </w:rPr>
      </w:pPr>
      <w:r w:rsidRPr="002005D2">
        <w:rPr>
          <w:rFonts w:ascii="Arial" w:hAnsi="Arial"/>
          <w:color w:val="000000"/>
          <w:sz w:val="22"/>
          <w:szCs w:val="22"/>
          <w:lang w:val="es-CR"/>
        </w:rPr>
        <w:t xml:space="preserve">Una entidad está expuesta, o tiene derecho, a beneficios variables procedentes de su implicación en una entidad que está siendo evaluada a efectos de control cuando los beneficios procedentes de dicha implicación tienen el potencial de variar como consecuencia del rendimiento de la otra entidad. Las entidades pasan a estar </w:t>
      </w:r>
      <w:r w:rsidRPr="002005D2">
        <w:rPr>
          <w:rFonts w:ascii="Arial" w:hAnsi="Arial"/>
          <w:color w:val="000000"/>
          <w:sz w:val="22"/>
          <w:szCs w:val="22"/>
          <w:lang w:val="es-CR"/>
        </w:rPr>
        <w:lastRenderedPageBreak/>
        <w:t xml:space="preserve">implicadas en otras entidades con la expectativa de beneficios positivos </w:t>
      </w:r>
      <w:r w:rsidR="00DB74EF" w:rsidRPr="00DB74EF">
        <w:rPr>
          <w:rFonts w:ascii="Arial" w:hAnsi="Arial"/>
          <w:sz w:val="22"/>
          <w:szCs w:val="22"/>
          <w:lang w:val="es-CR"/>
        </w:rPr>
        <w:t xml:space="preserve">financieros o no financieros a lo largo del tiempo. Sin embargo, en un periodo sobre el que se informa concreto, el impacto real de la implicación de una entidad con la entidad que está siendo evaluada a efectos de control puede positivo, negativo o una mezcla de ambos. </w:t>
      </w:r>
    </w:p>
    <w:p w14:paraId="7B106BA2" w14:textId="77777777" w:rsidR="006A7C92" w:rsidRDefault="00DB74EF" w:rsidP="006A7C92">
      <w:pPr>
        <w:pStyle w:val="Default"/>
        <w:ind w:left="1134"/>
        <w:jc w:val="both"/>
        <w:rPr>
          <w:sz w:val="22"/>
          <w:szCs w:val="22"/>
          <w:lang w:val="es-CR"/>
        </w:rPr>
      </w:pPr>
      <w:r w:rsidRPr="00DB74EF">
        <w:rPr>
          <w:sz w:val="22"/>
          <w:szCs w:val="22"/>
          <w:lang w:val="es-CR"/>
        </w:rPr>
        <w:t xml:space="preserve">Los beneficios de la entidad procedentes de su implicación en la entidad que está siendo evaluada a efectos de control pueden ser solo financieros, solo no financieros o ambos. </w:t>
      </w:r>
    </w:p>
    <w:p w14:paraId="12D8E67D" w14:textId="77777777" w:rsidR="006A7C92" w:rsidRDefault="006A7C92" w:rsidP="006A7C92">
      <w:pPr>
        <w:pStyle w:val="Default"/>
        <w:ind w:left="1134"/>
        <w:jc w:val="both"/>
        <w:rPr>
          <w:sz w:val="22"/>
          <w:szCs w:val="22"/>
          <w:lang w:val="es-CR"/>
        </w:rPr>
      </w:pPr>
    </w:p>
    <w:p w14:paraId="2BA8D85E" w14:textId="77777777" w:rsidR="006A7C92" w:rsidRDefault="00DB74EF" w:rsidP="006A7C92">
      <w:pPr>
        <w:pStyle w:val="Default"/>
        <w:ind w:left="1134"/>
        <w:jc w:val="both"/>
        <w:rPr>
          <w:sz w:val="22"/>
          <w:szCs w:val="22"/>
          <w:lang w:val="es-CR"/>
        </w:rPr>
      </w:pPr>
      <w:r w:rsidRPr="00DB74EF">
        <w:rPr>
          <w:sz w:val="22"/>
          <w:szCs w:val="22"/>
          <w:lang w:val="es-CR"/>
        </w:rPr>
        <w:t>Los beneficios financieros incluyen rendimientos sobre la inversión tales como dividendos o distribuciones similares y se denominan, en ocasiones, como “rendimientos”. Los beneficios no financieros incluyen ventajas que surgen de recursos escasos que no se miden en términos financieros y en beneficios económicos recibidos directamente por los receptores de servicios de la entidad. Los beneficios no financieros pueden tener lugar cuando las actividades de otra entidad son congruentes con (es decir, están de acuerdo con) los objetivos de la entidad y le apoyan en el logro de sus objetivos. Por ejemplo, una entidad puede obtener beneficios cuando otra entidad con actividades congruentes proporciona servicios que la primera entidad hubiera estado obligada a proporcionar, en otro caso. Las actividades congruentes pueden llevarse a cabo de forma voluntaria o la entidad puede tener el poder de dirigir la otra entidad para que realice esas actividades. Los beneficios no financieros pueden ocurrir también cuando dos entidades tienen objetivos complementarios (es decir, los objetivos de una entidad se añaden, y hacen más completos, los objetivos de la otra entidad).</w:t>
      </w:r>
    </w:p>
    <w:p w14:paraId="61B965C7" w14:textId="260F1517" w:rsidR="00DB74EF" w:rsidRPr="00DB74EF" w:rsidRDefault="00DB74EF" w:rsidP="00DB74EF">
      <w:pPr>
        <w:pStyle w:val="Default"/>
        <w:jc w:val="both"/>
        <w:rPr>
          <w:sz w:val="22"/>
          <w:szCs w:val="22"/>
          <w:lang w:val="es-CR"/>
        </w:rPr>
      </w:pPr>
      <w:r w:rsidRPr="00DB74EF">
        <w:rPr>
          <w:sz w:val="22"/>
          <w:szCs w:val="22"/>
          <w:lang w:val="es-CR"/>
        </w:rPr>
        <w:t xml:space="preserve"> </w:t>
      </w:r>
    </w:p>
    <w:p w14:paraId="172B88E8" w14:textId="20827BB4" w:rsidR="00DB74EF" w:rsidRPr="00DB74EF" w:rsidRDefault="00DB74EF" w:rsidP="006A7C92">
      <w:pPr>
        <w:autoSpaceDE w:val="0"/>
        <w:autoSpaceDN w:val="0"/>
        <w:adjustRightInd w:val="0"/>
        <w:ind w:left="1134"/>
        <w:jc w:val="both"/>
        <w:rPr>
          <w:rFonts w:ascii="Arial" w:hAnsi="Arial"/>
          <w:sz w:val="22"/>
          <w:szCs w:val="22"/>
          <w:lang w:val="es-CR"/>
        </w:rPr>
      </w:pPr>
      <w:r w:rsidRPr="00DB74EF">
        <w:rPr>
          <w:rFonts w:ascii="Arial" w:hAnsi="Arial"/>
          <w:sz w:val="22"/>
          <w:szCs w:val="22"/>
          <w:lang w:val="es-CR"/>
        </w:rPr>
        <w:t>Los ejemplos siguientes ilustran los beneficios financieros que una entidad puede recibir de su implicación con otra entidad:</w:t>
      </w:r>
    </w:p>
    <w:p w14:paraId="4080F520" w14:textId="77777777" w:rsidR="006A7C92" w:rsidRDefault="006A7C92">
      <w:pPr>
        <w:pStyle w:val="Prrafodelista"/>
        <w:numPr>
          <w:ilvl w:val="0"/>
          <w:numId w:val="420"/>
        </w:numPr>
        <w:autoSpaceDE w:val="0"/>
        <w:autoSpaceDN w:val="0"/>
        <w:adjustRightInd w:val="0"/>
        <w:spacing w:after="120"/>
        <w:ind w:left="1560" w:hanging="142"/>
        <w:contextualSpacing w:val="0"/>
        <w:jc w:val="both"/>
        <w:rPr>
          <w:rFonts w:ascii="Arial" w:hAnsi="Arial"/>
          <w:sz w:val="22"/>
          <w:szCs w:val="22"/>
          <w:lang w:val="es-CR"/>
        </w:rPr>
      </w:pPr>
      <w:r w:rsidRPr="006A7C92">
        <w:rPr>
          <w:rFonts w:ascii="Arial" w:hAnsi="Arial"/>
          <w:sz w:val="22"/>
          <w:szCs w:val="22"/>
          <w:lang w:val="es-CR"/>
        </w:rPr>
        <w:t>D</w:t>
      </w:r>
      <w:r w:rsidR="002005D2" w:rsidRPr="006A7C92">
        <w:rPr>
          <w:rFonts w:ascii="Arial" w:hAnsi="Arial"/>
          <w:sz w:val="22"/>
          <w:szCs w:val="22"/>
          <w:lang w:val="es-CR"/>
        </w:rPr>
        <w:t xml:space="preserve">ividendos, intereses variables sobre valores de deuda, otras distribuciones de beneficios económicos; </w:t>
      </w:r>
    </w:p>
    <w:p w14:paraId="3BDAC1E4" w14:textId="77777777" w:rsidR="006A7C92" w:rsidRDefault="006A7C92">
      <w:pPr>
        <w:pStyle w:val="Prrafodelista"/>
        <w:numPr>
          <w:ilvl w:val="0"/>
          <w:numId w:val="420"/>
        </w:numPr>
        <w:autoSpaceDE w:val="0"/>
        <w:autoSpaceDN w:val="0"/>
        <w:adjustRightInd w:val="0"/>
        <w:spacing w:after="120"/>
        <w:ind w:left="1560" w:hanging="142"/>
        <w:contextualSpacing w:val="0"/>
        <w:jc w:val="both"/>
        <w:rPr>
          <w:rFonts w:ascii="Arial" w:hAnsi="Arial"/>
          <w:sz w:val="22"/>
          <w:szCs w:val="22"/>
          <w:lang w:val="es-CR"/>
        </w:rPr>
      </w:pPr>
      <w:r w:rsidRPr="006A7C92">
        <w:rPr>
          <w:rFonts w:ascii="Arial" w:hAnsi="Arial"/>
          <w:sz w:val="22"/>
          <w:szCs w:val="22"/>
          <w:lang w:val="es-CR"/>
        </w:rPr>
        <w:t>E</w:t>
      </w:r>
      <w:r w:rsidR="002005D2" w:rsidRPr="006A7C92">
        <w:rPr>
          <w:rFonts w:ascii="Arial" w:hAnsi="Arial"/>
          <w:sz w:val="22"/>
          <w:szCs w:val="22"/>
          <w:lang w:val="es-CR"/>
        </w:rPr>
        <w:t xml:space="preserve">xposición a incrementos o disminuciones en el valor de una inversión en otra entidad; </w:t>
      </w:r>
    </w:p>
    <w:p w14:paraId="373222F9" w14:textId="77777777" w:rsidR="006A7C92" w:rsidRDefault="006A7C92">
      <w:pPr>
        <w:pStyle w:val="Prrafodelista"/>
        <w:numPr>
          <w:ilvl w:val="0"/>
          <w:numId w:val="420"/>
        </w:numPr>
        <w:autoSpaceDE w:val="0"/>
        <w:autoSpaceDN w:val="0"/>
        <w:adjustRightInd w:val="0"/>
        <w:spacing w:after="120"/>
        <w:ind w:left="1560" w:hanging="142"/>
        <w:contextualSpacing w:val="0"/>
        <w:jc w:val="both"/>
        <w:rPr>
          <w:rFonts w:ascii="Arial" w:hAnsi="Arial"/>
          <w:sz w:val="22"/>
          <w:szCs w:val="22"/>
          <w:lang w:val="es-CR"/>
        </w:rPr>
      </w:pPr>
      <w:r w:rsidRPr="006A7C92">
        <w:rPr>
          <w:rFonts w:ascii="Arial" w:hAnsi="Arial"/>
          <w:sz w:val="22"/>
          <w:szCs w:val="22"/>
          <w:lang w:val="es-CR"/>
        </w:rPr>
        <w:t>E</w:t>
      </w:r>
      <w:r w:rsidR="002005D2" w:rsidRPr="006A7C92">
        <w:rPr>
          <w:rFonts w:ascii="Arial" w:hAnsi="Arial"/>
          <w:sz w:val="22"/>
          <w:szCs w:val="22"/>
          <w:lang w:val="es-CR"/>
        </w:rPr>
        <w:t xml:space="preserve">xposición a pérdidas por acuerdos para proporcionar apoyo financiero, incluyendo apoyo financiero para proyectos importantes; </w:t>
      </w:r>
    </w:p>
    <w:p w14:paraId="2E745F08" w14:textId="77777777" w:rsidR="006A7C92" w:rsidRDefault="006A7C92">
      <w:pPr>
        <w:pStyle w:val="Prrafodelista"/>
        <w:numPr>
          <w:ilvl w:val="0"/>
          <w:numId w:val="420"/>
        </w:numPr>
        <w:autoSpaceDE w:val="0"/>
        <w:autoSpaceDN w:val="0"/>
        <w:adjustRightInd w:val="0"/>
        <w:spacing w:after="120"/>
        <w:ind w:left="1560" w:hanging="142"/>
        <w:contextualSpacing w:val="0"/>
        <w:jc w:val="both"/>
        <w:rPr>
          <w:rFonts w:ascii="Arial" w:hAnsi="Arial"/>
          <w:sz w:val="22"/>
          <w:szCs w:val="22"/>
          <w:lang w:val="es-CR"/>
        </w:rPr>
      </w:pPr>
      <w:r w:rsidRPr="006A7C92">
        <w:rPr>
          <w:rFonts w:ascii="Arial" w:hAnsi="Arial"/>
          <w:sz w:val="22"/>
          <w:szCs w:val="22"/>
          <w:lang w:val="es-CR"/>
        </w:rPr>
        <w:t>A</w:t>
      </w:r>
      <w:r w:rsidR="002005D2" w:rsidRPr="006A7C92">
        <w:rPr>
          <w:rFonts w:ascii="Arial" w:hAnsi="Arial"/>
          <w:sz w:val="22"/>
          <w:szCs w:val="22"/>
          <w:lang w:val="es-CR"/>
        </w:rPr>
        <w:t xml:space="preserve">horro de costos (por ejemplo, si una entidad conseguiría economías de escala o sinergias combinando las operaciones o activos de la otra entidad con sus propias operaciones o activos); </w:t>
      </w:r>
    </w:p>
    <w:p w14:paraId="5F88275F" w14:textId="77777777" w:rsidR="006A7C92" w:rsidRDefault="006A7C92">
      <w:pPr>
        <w:pStyle w:val="Prrafodelista"/>
        <w:numPr>
          <w:ilvl w:val="0"/>
          <w:numId w:val="420"/>
        </w:numPr>
        <w:autoSpaceDE w:val="0"/>
        <w:autoSpaceDN w:val="0"/>
        <w:adjustRightInd w:val="0"/>
        <w:spacing w:after="120"/>
        <w:ind w:left="1560" w:hanging="142"/>
        <w:contextualSpacing w:val="0"/>
        <w:jc w:val="both"/>
        <w:rPr>
          <w:rFonts w:ascii="Arial" w:hAnsi="Arial"/>
          <w:sz w:val="22"/>
          <w:szCs w:val="22"/>
          <w:lang w:val="es-CR"/>
        </w:rPr>
      </w:pPr>
      <w:r w:rsidRPr="006A7C92">
        <w:rPr>
          <w:rFonts w:ascii="Arial" w:hAnsi="Arial"/>
          <w:sz w:val="22"/>
          <w:szCs w:val="22"/>
          <w:lang w:val="es-CR"/>
        </w:rPr>
        <w:t>P</w:t>
      </w:r>
      <w:r w:rsidR="002005D2" w:rsidRPr="006A7C92">
        <w:rPr>
          <w:rFonts w:ascii="Arial" w:hAnsi="Arial"/>
          <w:sz w:val="22"/>
          <w:szCs w:val="22"/>
          <w:lang w:val="es-CR"/>
        </w:rPr>
        <w:t xml:space="preserve">articipaciones residuales en los activos y pasivos de la otra entidad en el momento de la liquidación de esa otra entidad; y </w:t>
      </w:r>
    </w:p>
    <w:p w14:paraId="3264047C" w14:textId="2A176B9D" w:rsidR="002005D2" w:rsidRPr="006A7C92" w:rsidRDefault="006A7C92">
      <w:pPr>
        <w:pStyle w:val="Prrafodelista"/>
        <w:numPr>
          <w:ilvl w:val="0"/>
          <w:numId w:val="420"/>
        </w:numPr>
        <w:autoSpaceDE w:val="0"/>
        <w:autoSpaceDN w:val="0"/>
        <w:adjustRightInd w:val="0"/>
        <w:ind w:left="1560" w:hanging="142"/>
        <w:jc w:val="both"/>
        <w:rPr>
          <w:rFonts w:ascii="Arial" w:hAnsi="Arial"/>
          <w:sz w:val="22"/>
          <w:szCs w:val="22"/>
          <w:lang w:val="es-CR"/>
        </w:rPr>
      </w:pPr>
      <w:r w:rsidRPr="006A7C92">
        <w:rPr>
          <w:rFonts w:ascii="Arial" w:hAnsi="Arial"/>
          <w:sz w:val="22"/>
          <w:szCs w:val="22"/>
          <w:lang w:val="es-CR"/>
        </w:rPr>
        <w:t>O</w:t>
      </w:r>
      <w:r w:rsidR="002005D2" w:rsidRPr="006A7C92">
        <w:rPr>
          <w:rFonts w:ascii="Arial" w:hAnsi="Arial"/>
          <w:sz w:val="22"/>
          <w:szCs w:val="22"/>
          <w:lang w:val="es-CR"/>
        </w:rPr>
        <w:t xml:space="preserve">tras exposiciones a beneficios variables que no están disponibles para otras entidades. </w:t>
      </w:r>
    </w:p>
    <w:p w14:paraId="420CD4CD" w14:textId="77777777" w:rsidR="002005D2" w:rsidRPr="002005D2" w:rsidRDefault="002005D2">
      <w:pPr>
        <w:numPr>
          <w:ilvl w:val="1"/>
          <w:numId w:val="417"/>
        </w:numPr>
        <w:autoSpaceDE w:val="0"/>
        <w:autoSpaceDN w:val="0"/>
        <w:adjustRightInd w:val="0"/>
        <w:jc w:val="both"/>
        <w:rPr>
          <w:rFonts w:ascii="Arial" w:hAnsi="Arial"/>
          <w:sz w:val="22"/>
          <w:szCs w:val="22"/>
          <w:lang w:val="es-CR"/>
        </w:rPr>
      </w:pPr>
    </w:p>
    <w:p w14:paraId="29D43ED5" w14:textId="6218869C" w:rsidR="002005D2" w:rsidRPr="006A7C92" w:rsidRDefault="002005D2">
      <w:pPr>
        <w:pStyle w:val="Prrafodelista"/>
        <w:numPr>
          <w:ilvl w:val="0"/>
          <w:numId w:val="418"/>
        </w:numPr>
        <w:autoSpaceDE w:val="0"/>
        <w:autoSpaceDN w:val="0"/>
        <w:adjustRightInd w:val="0"/>
        <w:ind w:left="1418" w:hanging="284"/>
        <w:jc w:val="both"/>
        <w:rPr>
          <w:rFonts w:ascii="Arial" w:hAnsi="Arial"/>
          <w:b/>
          <w:bCs/>
          <w:color w:val="000000"/>
          <w:sz w:val="22"/>
          <w:szCs w:val="22"/>
          <w:lang w:val="es-CR"/>
        </w:rPr>
      </w:pPr>
      <w:r w:rsidRPr="006A7C92">
        <w:rPr>
          <w:rFonts w:ascii="Arial" w:hAnsi="Arial"/>
          <w:b/>
          <w:bCs/>
          <w:color w:val="000000"/>
          <w:sz w:val="22"/>
          <w:szCs w:val="22"/>
          <w:lang w:val="es-CR"/>
        </w:rPr>
        <w:t xml:space="preserve">Vinculación entre poder y beneficios </w:t>
      </w:r>
    </w:p>
    <w:p w14:paraId="4E7B368A" w14:textId="77777777" w:rsidR="002005D2" w:rsidRPr="002005D2" w:rsidRDefault="002005D2" w:rsidP="00DB74EF">
      <w:pPr>
        <w:autoSpaceDE w:val="0"/>
        <w:autoSpaceDN w:val="0"/>
        <w:adjustRightInd w:val="0"/>
        <w:jc w:val="both"/>
        <w:rPr>
          <w:rFonts w:ascii="Arial" w:hAnsi="Arial"/>
          <w:sz w:val="22"/>
          <w:szCs w:val="22"/>
          <w:lang w:val="es-CR"/>
        </w:rPr>
      </w:pPr>
    </w:p>
    <w:p w14:paraId="3FB31054" w14:textId="332A9709" w:rsidR="002005D2" w:rsidRDefault="00095A2F" w:rsidP="00095A2F">
      <w:pPr>
        <w:pStyle w:val="Default"/>
        <w:ind w:left="1134" w:hanging="1134"/>
        <w:jc w:val="both"/>
        <w:rPr>
          <w:color w:val="auto"/>
          <w:sz w:val="22"/>
          <w:szCs w:val="22"/>
          <w:lang w:val="es-CR"/>
        </w:rPr>
      </w:pPr>
      <w:r>
        <w:rPr>
          <w:color w:val="auto"/>
          <w:sz w:val="22"/>
          <w:szCs w:val="22"/>
          <w:lang w:val="es-CR"/>
        </w:rPr>
        <w:t>7.4.2.01</w:t>
      </w:r>
      <w:r>
        <w:rPr>
          <w:color w:val="auto"/>
          <w:sz w:val="22"/>
          <w:szCs w:val="22"/>
          <w:lang w:val="es-CR"/>
        </w:rPr>
        <w:tab/>
      </w:r>
      <w:r w:rsidR="002005D2" w:rsidRPr="00DB74EF">
        <w:rPr>
          <w:color w:val="auto"/>
          <w:sz w:val="22"/>
          <w:szCs w:val="22"/>
          <w:lang w:val="es-CR"/>
        </w:rPr>
        <w:t>Una entidad controla otra entidad si no tiene solo poder sobre la entidad que está siendo evaluada a efectos de control y exposición o derecho a beneficios variables procedentes de su implicación en la otra entidad, sino que también tiene la capacidad de utilizar su poder para influir en naturaleza o importe de los beneficios procedentes de su implicación en la entidad que está siendo evaluada a efectos de control.</w:t>
      </w:r>
    </w:p>
    <w:p w14:paraId="1B31D4AD" w14:textId="77777777" w:rsidR="006A7C92" w:rsidRPr="00DB74EF" w:rsidRDefault="006A7C92" w:rsidP="006A7C92">
      <w:pPr>
        <w:pStyle w:val="Default"/>
        <w:ind w:left="1134"/>
        <w:jc w:val="both"/>
        <w:rPr>
          <w:sz w:val="22"/>
          <w:szCs w:val="22"/>
          <w:lang w:val="es-CR"/>
        </w:rPr>
      </w:pPr>
    </w:p>
    <w:p w14:paraId="43E3C719" w14:textId="481DFFC1" w:rsidR="002005D2" w:rsidRDefault="002005D2" w:rsidP="006A7C92">
      <w:pPr>
        <w:pStyle w:val="Default"/>
        <w:ind w:left="1134"/>
        <w:jc w:val="both"/>
        <w:rPr>
          <w:sz w:val="22"/>
          <w:szCs w:val="22"/>
          <w:lang w:val="es-CR"/>
        </w:rPr>
      </w:pPr>
      <w:r w:rsidRPr="00DB74EF">
        <w:rPr>
          <w:sz w:val="22"/>
          <w:szCs w:val="22"/>
          <w:lang w:val="es-CR"/>
        </w:rPr>
        <w:t xml:space="preserve">La existencia de objetivos congruentes por sí misma es insuficiente para que una entidad concluya que controla otra entidad. Para tener control la entidad necesitaría también tener la capacidad de usar su poder sobre la entidad que está siendo </w:t>
      </w:r>
      <w:r w:rsidRPr="00DB74EF">
        <w:rPr>
          <w:sz w:val="22"/>
          <w:szCs w:val="22"/>
          <w:lang w:val="es-CR"/>
        </w:rPr>
        <w:lastRenderedPageBreak/>
        <w:t>evaluada a efectos de control para dirigir esa otra entidad para que trabaje con ella para favorecer sus objetivos.</w:t>
      </w:r>
    </w:p>
    <w:p w14:paraId="337D3E07" w14:textId="77777777" w:rsidR="006A7C92" w:rsidRPr="00DB74EF" w:rsidRDefault="006A7C92" w:rsidP="006A7C92">
      <w:pPr>
        <w:pStyle w:val="Default"/>
        <w:ind w:left="1134"/>
        <w:jc w:val="both"/>
        <w:rPr>
          <w:sz w:val="22"/>
          <w:szCs w:val="22"/>
          <w:lang w:val="es-CR"/>
        </w:rPr>
      </w:pPr>
    </w:p>
    <w:p w14:paraId="1459D90F" w14:textId="11973B82" w:rsidR="002005D2" w:rsidRDefault="002005D2" w:rsidP="006A7C92">
      <w:pPr>
        <w:pStyle w:val="Default"/>
        <w:ind w:left="1134"/>
        <w:jc w:val="both"/>
        <w:rPr>
          <w:sz w:val="22"/>
          <w:szCs w:val="22"/>
          <w:lang w:val="es-CR"/>
        </w:rPr>
      </w:pPr>
      <w:r w:rsidRPr="00DB74EF">
        <w:rPr>
          <w:sz w:val="22"/>
          <w:szCs w:val="22"/>
          <w:lang w:val="es-CR"/>
        </w:rPr>
        <w:t>Una entidad con derechos de toma de decisiones determinará si es un principal o un agente. Una entidad también determinará si otra entidad con derechos de toma de decisiones está actuando como un agente de la entidad. Un agente es una parte dedicada principalmente a actuar en nombre y beneficio de otra parte o partes (el principal o principales) y, por ello, no controla la otra entidad cuando ejerce su autoridad para tomar decisiones. Por ello, algunas veces el poder de un principal puede mantenerse y ejercerse por un agente, pero en nombre del principal.</w:t>
      </w:r>
    </w:p>
    <w:p w14:paraId="3804538C" w14:textId="1311F0AC" w:rsidR="006A7C92" w:rsidRPr="00DB74EF" w:rsidRDefault="006A7C92" w:rsidP="006A7C92">
      <w:pPr>
        <w:pStyle w:val="Default"/>
        <w:ind w:left="1134"/>
        <w:jc w:val="both"/>
        <w:rPr>
          <w:sz w:val="22"/>
          <w:szCs w:val="22"/>
          <w:lang w:val="es-CR"/>
        </w:rPr>
      </w:pPr>
    </w:p>
    <w:p w14:paraId="55E8D928" w14:textId="627702B3" w:rsidR="002005D2" w:rsidRPr="00DB74EF" w:rsidRDefault="00095A2F" w:rsidP="00095A2F">
      <w:pPr>
        <w:pStyle w:val="Default"/>
        <w:ind w:left="1134" w:hanging="1134"/>
        <w:jc w:val="both"/>
        <w:rPr>
          <w:sz w:val="22"/>
          <w:szCs w:val="22"/>
          <w:lang w:val="es-CR"/>
        </w:rPr>
      </w:pPr>
      <w:r>
        <w:rPr>
          <w:sz w:val="22"/>
          <w:szCs w:val="22"/>
          <w:lang w:val="es-CR"/>
        </w:rPr>
        <w:t>7.4.3.01</w:t>
      </w:r>
      <w:r>
        <w:rPr>
          <w:sz w:val="22"/>
          <w:szCs w:val="22"/>
          <w:lang w:val="es-CR"/>
        </w:rPr>
        <w:tab/>
      </w:r>
      <w:r w:rsidR="002005D2" w:rsidRPr="00DB74EF">
        <w:rPr>
          <w:sz w:val="22"/>
          <w:szCs w:val="22"/>
          <w:lang w:val="es-CR"/>
        </w:rPr>
        <w:t xml:space="preserve">El diagrama que sigue muestra las etapas básicas inherentes al establecimiento de la existencia de control sobre otra entidad: </w:t>
      </w:r>
    </w:p>
    <w:p w14:paraId="20FD29B4" w14:textId="77777777" w:rsidR="005D290E" w:rsidRDefault="005D290E" w:rsidP="005D290E">
      <w:pPr>
        <w:pStyle w:val="Default"/>
        <w:ind w:left="1134" w:hanging="1134"/>
        <w:jc w:val="both"/>
        <w:rPr>
          <w:sz w:val="22"/>
          <w:szCs w:val="22"/>
          <w:lang w:val="es-CR"/>
        </w:rPr>
      </w:pPr>
    </w:p>
    <w:p w14:paraId="03BAA114" w14:textId="40FEB7A1" w:rsidR="005D290E" w:rsidRDefault="002005D2" w:rsidP="002236BD">
      <w:pPr>
        <w:pStyle w:val="Default"/>
        <w:ind w:left="1134" w:hanging="1134"/>
        <w:jc w:val="both"/>
        <w:rPr>
          <w:sz w:val="22"/>
          <w:szCs w:val="22"/>
          <w:lang w:val="es-CR"/>
        </w:rPr>
      </w:pPr>
      <w:r w:rsidRPr="002005D2">
        <w:rPr>
          <w:noProof/>
          <w:sz w:val="22"/>
          <w:szCs w:val="22"/>
          <w:lang w:val="es-CR" w:eastAsia="es-CR"/>
        </w:rPr>
        <w:drawing>
          <wp:inline distT="0" distB="0" distL="0" distR="0" wp14:anchorId="06D762D3" wp14:editId="35C01823">
            <wp:extent cx="5943600" cy="4512310"/>
            <wp:effectExtent l="0" t="0" r="0" b="2540"/>
            <wp:docPr id="300953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53224" name=""/>
                    <pic:cNvPicPr/>
                  </pic:nvPicPr>
                  <pic:blipFill>
                    <a:blip r:embed="rId9"/>
                    <a:stretch>
                      <a:fillRect/>
                    </a:stretch>
                  </pic:blipFill>
                  <pic:spPr>
                    <a:xfrm>
                      <a:off x="0" y="0"/>
                      <a:ext cx="5943600" cy="4512310"/>
                    </a:xfrm>
                    <a:prstGeom prst="rect">
                      <a:avLst/>
                    </a:prstGeom>
                  </pic:spPr>
                </pic:pic>
              </a:graphicData>
            </a:graphic>
          </wp:inline>
        </w:drawing>
      </w:r>
    </w:p>
    <w:p w14:paraId="1AEA8F79" w14:textId="77777777" w:rsidR="005D290E" w:rsidRDefault="005D290E" w:rsidP="002236BD">
      <w:pPr>
        <w:pStyle w:val="Default"/>
        <w:ind w:left="1134" w:hanging="1134"/>
        <w:jc w:val="both"/>
        <w:rPr>
          <w:sz w:val="22"/>
          <w:szCs w:val="22"/>
          <w:lang w:val="es-CR"/>
        </w:rPr>
      </w:pPr>
    </w:p>
    <w:p w14:paraId="08A9109E" w14:textId="77777777" w:rsidR="005D290E" w:rsidRDefault="005D290E" w:rsidP="002236BD">
      <w:pPr>
        <w:pStyle w:val="Default"/>
        <w:ind w:left="1134" w:hanging="1134"/>
        <w:jc w:val="both"/>
        <w:rPr>
          <w:sz w:val="22"/>
          <w:szCs w:val="22"/>
          <w:lang w:val="es-CR"/>
        </w:rPr>
      </w:pPr>
    </w:p>
    <w:p w14:paraId="20AB6116" w14:textId="77777777" w:rsidR="002771C5" w:rsidRDefault="002771C5" w:rsidP="002236BD">
      <w:pPr>
        <w:pStyle w:val="Default"/>
        <w:ind w:left="1134" w:hanging="1134"/>
        <w:jc w:val="both"/>
        <w:rPr>
          <w:sz w:val="22"/>
          <w:szCs w:val="22"/>
          <w:lang w:val="es-CR"/>
        </w:rPr>
      </w:pPr>
    </w:p>
    <w:p w14:paraId="3EEF62F0" w14:textId="77777777" w:rsidR="002771C5" w:rsidRDefault="002771C5"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81"/>
        <w:gridCol w:w="2248"/>
        <w:gridCol w:w="1867"/>
      </w:tblGrid>
      <w:tr w:rsidR="002005D2" w:rsidRPr="002005D2" w14:paraId="721284D5" w14:textId="77777777" w:rsidTr="002771C5">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2B5F748F" w14:textId="77777777" w:rsidR="002005D2" w:rsidRPr="002005D2" w:rsidRDefault="002005D2" w:rsidP="002005D2">
            <w:pPr>
              <w:jc w:val="center"/>
              <w:rPr>
                <w:rFonts w:ascii="Arial Narrow" w:eastAsia="Times New Roman" w:hAnsi="Arial Narrow" w:cs="Calibri"/>
                <w:b/>
                <w:bCs/>
                <w:color w:val="FFFFFF"/>
                <w:sz w:val="22"/>
                <w:szCs w:val="22"/>
              </w:rPr>
            </w:pPr>
            <w:r w:rsidRPr="002005D2">
              <w:rPr>
                <w:rFonts w:ascii="Arial Narrow" w:eastAsia="Times New Roman" w:hAnsi="Arial Narrow" w:cs="Calibri"/>
                <w:b/>
                <w:bCs/>
                <w:color w:val="FFFFFF"/>
                <w:sz w:val="22"/>
                <w:szCs w:val="22"/>
              </w:rPr>
              <w:t>Norma / Política</w:t>
            </w:r>
          </w:p>
        </w:tc>
        <w:tc>
          <w:tcPr>
            <w:tcW w:w="36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08076CEA" w14:textId="77777777" w:rsidR="002005D2" w:rsidRPr="002005D2" w:rsidRDefault="002005D2" w:rsidP="002005D2">
            <w:pPr>
              <w:jc w:val="center"/>
              <w:rPr>
                <w:rFonts w:ascii="Arial Narrow" w:eastAsia="Times New Roman" w:hAnsi="Arial Narrow" w:cs="Calibri"/>
                <w:b/>
                <w:bCs/>
                <w:color w:val="FFFFFF"/>
                <w:sz w:val="22"/>
                <w:szCs w:val="22"/>
              </w:rPr>
            </w:pPr>
            <w:r w:rsidRPr="002005D2">
              <w:rPr>
                <w:rFonts w:ascii="Arial Narrow" w:eastAsia="Times New Roman" w:hAnsi="Arial Narrow" w:cs="Calibri"/>
                <w:b/>
                <w:bCs/>
                <w:color w:val="FFFFFF"/>
                <w:sz w:val="22"/>
                <w:szCs w:val="22"/>
              </w:rPr>
              <w:t>Concepto</w:t>
            </w:r>
          </w:p>
        </w:tc>
        <w:tc>
          <w:tcPr>
            <w:tcW w:w="4115" w:type="dxa"/>
            <w:gridSpan w:val="2"/>
            <w:tcBorders>
              <w:top w:val="single" w:sz="8" w:space="0" w:color="auto"/>
              <w:left w:val="nil"/>
              <w:bottom w:val="single" w:sz="8" w:space="0" w:color="auto"/>
              <w:right w:val="single" w:sz="8" w:space="0" w:color="000000"/>
            </w:tcBorders>
            <w:shd w:val="clear" w:color="000000" w:fill="203764"/>
            <w:vAlign w:val="center"/>
            <w:hideMark/>
          </w:tcPr>
          <w:p w14:paraId="1FEA141E" w14:textId="77777777" w:rsidR="002005D2" w:rsidRPr="002005D2" w:rsidRDefault="002005D2" w:rsidP="002005D2">
            <w:pPr>
              <w:jc w:val="center"/>
              <w:rPr>
                <w:rFonts w:ascii="Arial Narrow" w:eastAsia="Times New Roman" w:hAnsi="Arial Narrow" w:cs="Calibri"/>
                <w:b/>
                <w:bCs/>
                <w:color w:val="FFFFFF"/>
                <w:sz w:val="22"/>
                <w:szCs w:val="22"/>
              </w:rPr>
            </w:pPr>
            <w:r w:rsidRPr="002005D2">
              <w:rPr>
                <w:rFonts w:ascii="Arial Narrow" w:eastAsia="Times New Roman" w:hAnsi="Arial Narrow" w:cs="Calibri"/>
                <w:b/>
                <w:bCs/>
                <w:color w:val="FFFFFF"/>
                <w:sz w:val="22"/>
                <w:szCs w:val="22"/>
              </w:rPr>
              <w:t>Referencia</w:t>
            </w:r>
          </w:p>
        </w:tc>
      </w:tr>
      <w:tr w:rsidR="002005D2" w:rsidRPr="006E5442" w14:paraId="7506CD06" w14:textId="77777777" w:rsidTr="002771C5">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4B7ED996" w14:textId="77777777" w:rsidR="002005D2" w:rsidRPr="002005D2" w:rsidRDefault="002005D2" w:rsidP="002005D2">
            <w:pPr>
              <w:rPr>
                <w:rFonts w:ascii="Arial Narrow" w:eastAsia="Times New Roman" w:hAnsi="Arial Narrow" w:cs="Calibri"/>
                <w:b/>
                <w:bCs/>
                <w:color w:val="FFFFFF"/>
                <w:sz w:val="22"/>
                <w:szCs w:val="22"/>
              </w:rPr>
            </w:pPr>
          </w:p>
        </w:tc>
        <w:tc>
          <w:tcPr>
            <w:tcW w:w="3681" w:type="dxa"/>
            <w:vMerge/>
            <w:tcBorders>
              <w:top w:val="single" w:sz="8" w:space="0" w:color="auto"/>
              <w:left w:val="single" w:sz="8" w:space="0" w:color="auto"/>
              <w:bottom w:val="nil"/>
              <w:right w:val="single" w:sz="8" w:space="0" w:color="auto"/>
            </w:tcBorders>
            <w:vAlign w:val="center"/>
            <w:hideMark/>
          </w:tcPr>
          <w:p w14:paraId="5C6E3338" w14:textId="77777777" w:rsidR="002005D2" w:rsidRPr="002005D2" w:rsidRDefault="002005D2" w:rsidP="002005D2">
            <w:pPr>
              <w:rPr>
                <w:rFonts w:ascii="Arial Narrow" w:eastAsia="Times New Roman" w:hAnsi="Arial Narrow" w:cs="Calibri"/>
                <w:b/>
                <w:bCs/>
                <w:color w:val="FFFFFF"/>
                <w:sz w:val="22"/>
                <w:szCs w:val="22"/>
              </w:rPr>
            </w:pPr>
          </w:p>
        </w:tc>
        <w:tc>
          <w:tcPr>
            <w:tcW w:w="2248" w:type="dxa"/>
            <w:tcBorders>
              <w:top w:val="nil"/>
              <w:left w:val="nil"/>
              <w:bottom w:val="nil"/>
              <w:right w:val="single" w:sz="8" w:space="0" w:color="auto"/>
            </w:tcBorders>
            <w:shd w:val="clear" w:color="000000" w:fill="203764"/>
            <w:vAlign w:val="center"/>
            <w:hideMark/>
          </w:tcPr>
          <w:p w14:paraId="0AAFE27C" w14:textId="77777777" w:rsidR="002005D2" w:rsidRPr="002005D2" w:rsidRDefault="002005D2" w:rsidP="002005D2">
            <w:pPr>
              <w:jc w:val="center"/>
              <w:rPr>
                <w:rFonts w:ascii="Arial Narrow" w:eastAsia="Times New Roman" w:hAnsi="Arial Narrow" w:cs="Calibri"/>
                <w:b/>
                <w:bCs/>
                <w:color w:val="FFFFFF"/>
                <w:sz w:val="22"/>
                <w:szCs w:val="22"/>
              </w:rPr>
            </w:pPr>
            <w:r w:rsidRPr="002005D2">
              <w:rPr>
                <w:rFonts w:ascii="Arial Narrow" w:eastAsia="Times New Roman" w:hAnsi="Arial Narrow" w:cs="Calibri"/>
                <w:b/>
                <w:bCs/>
                <w:color w:val="FFFFFF"/>
                <w:sz w:val="22"/>
                <w:szCs w:val="22"/>
              </w:rPr>
              <w:t>Norma</w:t>
            </w:r>
          </w:p>
        </w:tc>
        <w:tc>
          <w:tcPr>
            <w:tcW w:w="1867" w:type="dxa"/>
            <w:tcBorders>
              <w:top w:val="nil"/>
              <w:left w:val="nil"/>
              <w:bottom w:val="nil"/>
              <w:right w:val="single" w:sz="8" w:space="0" w:color="auto"/>
            </w:tcBorders>
            <w:shd w:val="clear" w:color="000000" w:fill="203764"/>
            <w:vAlign w:val="center"/>
            <w:hideMark/>
          </w:tcPr>
          <w:p w14:paraId="18905B2F" w14:textId="77777777" w:rsidR="002005D2" w:rsidRPr="002005D2" w:rsidRDefault="002005D2" w:rsidP="002005D2">
            <w:pPr>
              <w:jc w:val="center"/>
              <w:rPr>
                <w:rFonts w:ascii="Arial Narrow" w:eastAsia="Times New Roman" w:hAnsi="Arial Narrow" w:cs="Calibri"/>
                <w:b/>
                <w:bCs/>
                <w:color w:val="FFFFFF"/>
                <w:sz w:val="22"/>
                <w:szCs w:val="22"/>
                <w:lang w:val="es-CR"/>
              </w:rPr>
            </w:pPr>
            <w:r w:rsidRPr="002005D2">
              <w:rPr>
                <w:rFonts w:ascii="Arial Narrow" w:eastAsia="Times New Roman" w:hAnsi="Arial Narrow" w:cs="Calibri"/>
                <w:b/>
                <w:bCs/>
                <w:color w:val="FFFFFF"/>
                <w:sz w:val="22"/>
                <w:szCs w:val="22"/>
                <w:lang w:val="es-CR"/>
              </w:rPr>
              <w:t>Normativa técnica y disposiciones adicionales</w:t>
            </w:r>
          </w:p>
        </w:tc>
      </w:tr>
      <w:tr w:rsidR="002005D2" w:rsidRPr="002005D2" w14:paraId="2366156B" w14:textId="77777777" w:rsidTr="002771C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F44CCD"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733246C"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5</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600915CE"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 xml:space="preserve"> </w:t>
            </w:r>
          </w:p>
        </w:tc>
        <w:tc>
          <w:tcPr>
            <w:tcW w:w="3681" w:type="dxa"/>
            <w:tcBorders>
              <w:top w:val="single" w:sz="8" w:space="0" w:color="auto"/>
              <w:left w:val="nil"/>
              <w:bottom w:val="single" w:sz="8" w:space="0" w:color="auto"/>
              <w:right w:val="single" w:sz="8" w:space="0" w:color="auto"/>
            </w:tcBorders>
            <w:shd w:val="clear" w:color="auto" w:fill="auto"/>
            <w:vAlign w:val="center"/>
            <w:hideMark/>
          </w:tcPr>
          <w:p w14:paraId="5796601E" w14:textId="77777777" w:rsidR="002005D2" w:rsidRPr="002005D2" w:rsidRDefault="002005D2" w:rsidP="002005D2">
            <w:pPr>
              <w:jc w:val="both"/>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No constituye control</w:t>
            </w:r>
          </w:p>
        </w:tc>
        <w:tc>
          <w:tcPr>
            <w:tcW w:w="2248" w:type="dxa"/>
            <w:tcBorders>
              <w:top w:val="single" w:sz="8" w:space="0" w:color="auto"/>
              <w:left w:val="nil"/>
              <w:bottom w:val="single" w:sz="8" w:space="0" w:color="auto"/>
              <w:right w:val="single" w:sz="8" w:space="0" w:color="auto"/>
            </w:tcBorders>
            <w:shd w:val="clear" w:color="auto" w:fill="auto"/>
            <w:vAlign w:val="center"/>
            <w:hideMark/>
          </w:tcPr>
          <w:p w14:paraId="723CA1A1" w14:textId="77777777" w:rsidR="002771C5" w:rsidRDefault="002005D2" w:rsidP="002005D2">
            <w:pPr>
              <w:jc w:val="both"/>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NICSP N° 35,</w:t>
            </w:r>
          </w:p>
          <w:p w14:paraId="3EF24866" w14:textId="4E8227C5" w:rsidR="002005D2" w:rsidRPr="002005D2" w:rsidRDefault="002005D2" w:rsidP="002005D2">
            <w:pPr>
              <w:jc w:val="both"/>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Párrafo 26.</w:t>
            </w:r>
          </w:p>
        </w:tc>
        <w:tc>
          <w:tcPr>
            <w:tcW w:w="1867" w:type="dxa"/>
            <w:tcBorders>
              <w:top w:val="single" w:sz="8" w:space="0" w:color="auto"/>
              <w:left w:val="nil"/>
              <w:bottom w:val="single" w:sz="8" w:space="0" w:color="auto"/>
              <w:right w:val="single" w:sz="8" w:space="0" w:color="auto"/>
            </w:tcBorders>
            <w:shd w:val="clear" w:color="auto" w:fill="auto"/>
            <w:vAlign w:val="center"/>
            <w:hideMark/>
          </w:tcPr>
          <w:p w14:paraId="6FD0414D" w14:textId="77777777" w:rsidR="002005D2" w:rsidRPr="002005D2" w:rsidRDefault="002005D2" w:rsidP="002005D2">
            <w:pPr>
              <w:jc w:val="center"/>
              <w:rPr>
                <w:rFonts w:ascii="Arial Narrow" w:eastAsia="Times New Roman" w:hAnsi="Arial Narrow" w:cs="Calibri"/>
                <w:b/>
                <w:bCs/>
                <w:color w:val="000000"/>
                <w:sz w:val="22"/>
                <w:szCs w:val="22"/>
              </w:rPr>
            </w:pPr>
            <w:r w:rsidRPr="002005D2">
              <w:rPr>
                <w:rFonts w:ascii="Arial Narrow" w:eastAsia="Times New Roman" w:hAnsi="Arial Narrow" w:cs="Calibri"/>
                <w:b/>
                <w:bCs/>
                <w:color w:val="000000"/>
                <w:sz w:val="22"/>
                <w:szCs w:val="22"/>
              </w:rPr>
              <w:t xml:space="preserve"> </w:t>
            </w:r>
          </w:p>
        </w:tc>
      </w:tr>
    </w:tbl>
    <w:p w14:paraId="09D0574D" w14:textId="77777777" w:rsidR="002005D2" w:rsidRDefault="002005D2" w:rsidP="002236BD">
      <w:pPr>
        <w:pStyle w:val="Default"/>
        <w:ind w:left="1134" w:hanging="1134"/>
        <w:jc w:val="both"/>
        <w:rPr>
          <w:sz w:val="22"/>
          <w:szCs w:val="22"/>
          <w:lang w:val="es-CR"/>
        </w:rPr>
      </w:pPr>
    </w:p>
    <w:p w14:paraId="1ACE3CB4" w14:textId="77777777" w:rsidR="002771C5" w:rsidRDefault="002771C5" w:rsidP="002236BD">
      <w:pPr>
        <w:pStyle w:val="Default"/>
        <w:ind w:left="1134" w:hanging="1134"/>
        <w:jc w:val="both"/>
        <w:rPr>
          <w:sz w:val="22"/>
          <w:szCs w:val="22"/>
          <w:lang w:val="es-CR"/>
        </w:rPr>
      </w:pPr>
    </w:p>
    <w:p w14:paraId="6ECBA925" w14:textId="77777777" w:rsidR="002771C5" w:rsidRDefault="002771C5" w:rsidP="002236BD">
      <w:pPr>
        <w:pStyle w:val="Default"/>
        <w:ind w:left="1134" w:hanging="1134"/>
        <w:jc w:val="both"/>
        <w:rPr>
          <w:sz w:val="22"/>
          <w:szCs w:val="22"/>
          <w:lang w:val="es-CR"/>
        </w:rPr>
      </w:pPr>
    </w:p>
    <w:p w14:paraId="3C5D5FCB" w14:textId="0735F1FF" w:rsidR="002771C5" w:rsidRDefault="002771C5" w:rsidP="002771C5">
      <w:pPr>
        <w:pStyle w:val="Default"/>
        <w:ind w:left="1134" w:hanging="1134"/>
        <w:jc w:val="both"/>
        <w:rPr>
          <w:rFonts w:eastAsia="Arial"/>
          <w:b/>
          <w:sz w:val="22"/>
          <w:szCs w:val="22"/>
        </w:rPr>
      </w:pPr>
      <w:r w:rsidRPr="00F02F9D">
        <w:rPr>
          <w:rFonts w:eastAsia="Arial"/>
          <w:b/>
          <w:sz w:val="22"/>
          <w:szCs w:val="22"/>
        </w:rPr>
        <w:lastRenderedPageBreak/>
        <w:t>Política Contable</w:t>
      </w:r>
    </w:p>
    <w:p w14:paraId="7DF85EE5" w14:textId="77777777" w:rsidR="002771C5" w:rsidRDefault="002771C5" w:rsidP="002236BD">
      <w:pPr>
        <w:pStyle w:val="Default"/>
        <w:ind w:left="1134" w:hanging="1134"/>
        <w:jc w:val="both"/>
        <w:rPr>
          <w:sz w:val="22"/>
          <w:szCs w:val="22"/>
          <w:lang w:val="es-CR"/>
        </w:rPr>
      </w:pPr>
    </w:p>
    <w:p w14:paraId="4FEBC6B1" w14:textId="2F5410A1" w:rsidR="002005D2" w:rsidRDefault="00095A2F" w:rsidP="00095A2F">
      <w:pPr>
        <w:pStyle w:val="Default"/>
        <w:ind w:left="1134" w:hanging="1134"/>
        <w:jc w:val="both"/>
        <w:rPr>
          <w:sz w:val="22"/>
          <w:szCs w:val="22"/>
          <w:lang w:val="es-CR"/>
        </w:rPr>
      </w:pPr>
      <w:r>
        <w:rPr>
          <w:sz w:val="22"/>
          <w:szCs w:val="22"/>
          <w:lang w:val="es-CR"/>
        </w:rPr>
        <w:t>7.5.0.01</w:t>
      </w:r>
      <w:r>
        <w:rPr>
          <w:sz w:val="22"/>
          <w:szCs w:val="22"/>
          <w:lang w:val="es-CR"/>
        </w:rPr>
        <w:tab/>
      </w:r>
      <w:r w:rsidR="002005D2" w:rsidRPr="00095A2F">
        <w:rPr>
          <w:sz w:val="22"/>
          <w:szCs w:val="22"/>
          <w:lang w:val="es-CR"/>
        </w:rPr>
        <w:t>La existencia de derechos sobre la otra entidad no concede necesariamente poder a efectos de esta Norma. Una entidad no tiene poder sobre otra entidad únicamente debido a la existencia de:</w:t>
      </w:r>
    </w:p>
    <w:p w14:paraId="1D60AB18" w14:textId="77777777" w:rsidR="00095A2F" w:rsidRPr="00095A2F" w:rsidRDefault="00095A2F" w:rsidP="00095A2F">
      <w:pPr>
        <w:pStyle w:val="Default"/>
        <w:ind w:left="1134" w:hanging="1134"/>
        <w:jc w:val="both"/>
        <w:rPr>
          <w:sz w:val="22"/>
          <w:szCs w:val="22"/>
          <w:lang w:val="es-CR"/>
        </w:rPr>
      </w:pPr>
    </w:p>
    <w:p w14:paraId="23325D5A" w14:textId="4D8D4A9E" w:rsidR="002005D2" w:rsidRPr="00095A2F" w:rsidRDefault="00095A2F">
      <w:pPr>
        <w:pStyle w:val="Default"/>
        <w:numPr>
          <w:ilvl w:val="0"/>
          <w:numId w:val="421"/>
        </w:numPr>
        <w:spacing w:after="148"/>
        <w:ind w:left="1418" w:hanging="284"/>
        <w:jc w:val="both"/>
        <w:rPr>
          <w:sz w:val="22"/>
          <w:szCs w:val="22"/>
          <w:lang w:val="es-CR"/>
        </w:rPr>
      </w:pPr>
      <w:r>
        <w:rPr>
          <w:sz w:val="22"/>
          <w:szCs w:val="22"/>
          <w:lang w:val="es-CR"/>
        </w:rPr>
        <w:t>C</w:t>
      </w:r>
      <w:r w:rsidR="002005D2" w:rsidRPr="00095A2F">
        <w:rPr>
          <w:sz w:val="22"/>
          <w:szCs w:val="22"/>
          <w:lang w:val="es-CR"/>
        </w:rPr>
        <w:t xml:space="preserve">ontrol de regulación (véase el párrafo GA12); o </w:t>
      </w:r>
    </w:p>
    <w:p w14:paraId="5E34127F" w14:textId="0AB3D08B" w:rsidR="002005D2" w:rsidRPr="00095A2F" w:rsidRDefault="00095A2F">
      <w:pPr>
        <w:pStyle w:val="Default"/>
        <w:numPr>
          <w:ilvl w:val="0"/>
          <w:numId w:val="421"/>
        </w:numPr>
        <w:ind w:left="1418" w:hanging="284"/>
        <w:jc w:val="both"/>
        <w:rPr>
          <w:sz w:val="22"/>
          <w:szCs w:val="22"/>
          <w:lang w:val="es-CR"/>
        </w:rPr>
      </w:pPr>
      <w:r>
        <w:rPr>
          <w:sz w:val="22"/>
          <w:szCs w:val="22"/>
          <w:lang w:val="es-CR"/>
        </w:rPr>
        <w:t>D</w:t>
      </w:r>
      <w:r w:rsidR="002005D2" w:rsidRPr="00095A2F">
        <w:rPr>
          <w:sz w:val="22"/>
          <w:szCs w:val="22"/>
          <w:lang w:val="es-CR"/>
        </w:rPr>
        <w:t xml:space="preserve">ependencia económica (véanse los párrafos GA41 y GA42). </w:t>
      </w:r>
    </w:p>
    <w:p w14:paraId="1DB06C53" w14:textId="77777777" w:rsidR="002005D2" w:rsidRDefault="002005D2" w:rsidP="002236BD">
      <w:pPr>
        <w:pStyle w:val="Default"/>
        <w:ind w:left="1134" w:hanging="1134"/>
        <w:jc w:val="both"/>
        <w:rPr>
          <w:sz w:val="22"/>
          <w:szCs w:val="22"/>
          <w:lang w:val="es-CR"/>
        </w:rPr>
      </w:pPr>
    </w:p>
    <w:p w14:paraId="6E466F9C" w14:textId="77777777" w:rsidR="005D290E" w:rsidRDefault="005D290E" w:rsidP="002236BD">
      <w:pPr>
        <w:pStyle w:val="Default"/>
        <w:ind w:left="1134" w:hanging="1134"/>
        <w:jc w:val="both"/>
        <w:rPr>
          <w:sz w:val="22"/>
          <w:szCs w:val="22"/>
          <w:lang w:val="es-CR"/>
        </w:rPr>
      </w:pPr>
    </w:p>
    <w:p w14:paraId="4156079C" w14:textId="77777777" w:rsidR="005D290E" w:rsidRDefault="005D290E"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660"/>
        <w:gridCol w:w="332"/>
        <w:gridCol w:w="3740"/>
        <w:gridCol w:w="2280"/>
        <w:gridCol w:w="1918"/>
      </w:tblGrid>
      <w:tr w:rsidR="00797411" w:rsidRPr="00797411" w14:paraId="05C005D4" w14:textId="77777777" w:rsidTr="002771C5">
        <w:trPr>
          <w:trHeight w:val="320"/>
        </w:trPr>
        <w:tc>
          <w:tcPr>
            <w:tcW w:w="1408" w:type="dxa"/>
            <w:gridSpan w:val="3"/>
            <w:vMerge w:val="restart"/>
            <w:tcBorders>
              <w:top w:val="single" w:sz="8" w:space="0" w:color="auto"/>
              <w:left w:val="single" w:sz="8" w:space="0" w:color="auto"/>
              <w:bottom w:val="single" w:sz="8" w:space="0" w:color="000000"/>
              <w:right w:val="single" w:sz="8" w:space="0" w:color="000000"/>
            </w:tcBorders>
            <w:shd w:val="clear" w:color="000000" w:fill="203764"/>
            <w:vAlign w:val="center"/>
            <w:hideMark/>
          </w:tcPr>
          <w:p w14:paraId="6D465890" w14:textId="77777777" w:rsidR="00797411" w:rsidRPr="00797411" w:rsidRDefault="00797411" w:rsidP="00797411">
            <w:pPr>
              <w:jc w:val="center"/>
              <w:rPr>
                <w:rFonts w:ascii="Arial Narrow" w:eastAsia="Times New Roman" w:hAnsi="Arial Narrow" w:cs="Calibri"/>
                <w:b/>
                <w:bCs/>
                <w:color w:val="FFFFFF"/>
                <w:sz w:val="22"/>
                <w:szCs w:val="22"/>
              </w:rPr>
            </w:pPr>
            <w:r w:rsidRPr="00797411">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EC09103" w14:textId="77777777" w:rsidR="00797411" w:rsidRPr="00797411" w:rsidRDefault="00797411" w:rsidP="00797411">
            <w:pPr>
              <w:jc w:val="center"/>
              <w:rPr>
                <w:rFonts w:ascii="Arial Narrow" w:eastAsia="Times New Roman" w:hAnsi="Arial Narrow" w:cs="Calibri"/>
                <w:b/>
                <w:bCs/>
                <w:color w:val="FFFFFF"/>
                <w:sz w:val="22"/>
                <w:szCs w:val="22"/>
              </w:rPr>
            </w:pPr>
            <w:r w:rsidRPr="00797411">
              <w:rPr>
                <w:rFonts w:ascii="Arial Narrow" w:eastAsia="Times New Roman" w:hAnsi="Arial Narrow" w:cs="Calibri"/>
                <w:b/>
                <w:bCs/>
                <w:color w:val="FFFFFF"/>
                <w:sz w:val="22"/>
                <w:szCs w:val="22"/>
              </w:rPr>
              <w:t>Concepto</w:t>
            </w:r>
          </w:p>
        </w:tc>
        <w:tc>
          <w:tcPr>
            <w:tcW w:w="4198" w:type="dxa"/>
            <w:gridSpan w:val="2"/>
            <w:tcBorders>
              <w:top w:val="single" w:sz="8" w:space="0" w:color="auto"/>
              <w:left w:val="nil"/>
              <w:bottom w:val="single" w:sz="8" w:space="0" w:color="auto"/>
              <w:right w:val="single" w:sz="8" w:space="0" w:color="000000"/>
            </w:tcBorders>
            <w:shd w:val="clear" w:color="000000" w:fill="203764"/>
            <w:vAlign w:val="center"/>
            <w:hideMark/>
          </w:tcPr>
          <w:p w14:paraId="7C87EDF0" w14:textId="77777777" w:rsidR="00797411" w:rsidRPr="00797411" w:rsidRDefault="00797411" w:rsidP="00797411">
            <w:pPr>
              <w:jc w:val="center"/>
              <w:rPr>
                <w:rFonts w:ascii="Arial Narrow" w:eastAsia="Times New Roman" w:hAnsi="Arial Narrow" w:cs="Calibri"/>
                <w:b/>
                <w:bCs/>
                <w:color w:val="FFFFFF"/>
                <w:sz w:val="22"/>
                <w:szCs w:val="22"/>
              </w:rPr>
            </w:pPr>
            <w:r w:rsidRPr="00797411">
              <w:rPr>
                <w:rFonts w:ascii="Arial Narrow" w:eastAsia="Times New Roman" w:hAnsi="Arial Narrow" w:cs="Calibri"/>
                <w:b/>
                <w:bCs/>
                <w:color w:val="FFFFFF"/>
                <w:sz w:val="22"/>
                <w:szCs w:val="22"/>
              </w:rPr>
              <w:t>Referencia</w:t>
            </w:r>
          </w:p>
        </w:tc>
      </w:tr>
      <w:tr w:rsidR="00797411" w:rsidRPr="006E5442" w14:paraId="711B6683" w14:textId="77777777" w:rsidTr="002771C5">
        <w:trPr>
          <w:trHeight w:val="850"/>
        </w:trPr>
        <w:tc>
          <w:tcPr>
            <w:tcW w:w="1408" w:type="dxa"/>
            <w:gridSpan w:val="3"/>
            <w:vMerge/>
            <w:tcBorders>
              <w:top w:val="single" w:sz="8" w:space="0" w:color="auto"/>
              <w:left w:val="single" w:sz="8" w:space="0" w:color="auto"/>
              <w:bottom w:val="single" w:sz="8" w:space="0" w:color="000000"/>
              <w:right w:val="single" w:sz="8" w:space="0" w:color="000000"/>
            </w:tcBorders>
            <w:vAlign w:val="center"/>
            <w:hideMark/>
          </w:tcPr>
          <w:p w14:paraId="32AC5063" w14:textId="77777777" w:rsidR="00797411" w:rsidRPr="00797411" w:rsidRDefault="00797411" w:rsidP="00797411">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single" w:sz="8" w:space="0" w:color="000000"/>
              <w:right w:val="single" w:sz="8" w:space="0" w:color="auto"/>
            </w:tcBorders>
            <w:vAlign w:val="center"/>
            <w:hideMark/>
          </w:tcPr>
          <w:p w14:paraId="1794AC8D" w14:textId="77777777" w:rsidR="00797411" w:rsidRPr="00797411" w:rsidRDefault="00797411" w:rsidP="00797411">
            <w:pPr>
              <w:rPr>
                <w:rFonts w:ascii="Arial Narrow" w:eastAsia="Times New Roman" w:hAnsi="Arial Narrow" w:cs="Calibri"/>
                <w:b/>
                <w:bCs/>
                <w:color w:val="FFFFFF"/>
                <w:sz w:val="22"/>
                <w:szCs w:val="22"/>
              </w:rPr>
            </w:pPr>
          </w:p>
        </w:tc>
        <w:tc>
          <w:tcPr>
            <w:tcW w:w="2280" w:type="dxa"/>
            <w:tcBorders>
              <w:top w:val="nil"/>
              <w:left w:val="nil"/>
              <w:bottom w:val="single" w:sz="8" w:space="0" w:color="auto"/>
              <w:right w:val="single" w:sz="8" w:space="0" w:color="auto"/>
            </w:tcBorders>
            <w:shd w:val="clear" w:color="000000" w:fill="203764"/>
            <w:vAlign w:val="center"/>
            <w:hideMark/>
          </w:tcPr>
          <w:p w14:paraId="3DAC54BF" w14:textId="77777777" w:rsidR="00797411" w:rsidRPr="00797411" w:rsidRDefault="00797411" w:rsidP="00797411">
            <w:pPr>
              <w:jc w:val="center"/>
              <w:rPr>
                <w:rFonts w:ascii="Arial Narrow" w:eastAsia="Times New Roman" w:hAnsi="Arial Narrow" w:cs="Calibri"/>
                <w:b/>
                <w:bCs/>
                <w:color w:val="FFFFFF"/>
                <w:sz w:val="22"/>
                <w:szCs w:val="22"/>
              </w:rPr>
            </w:pPr>
            <w:r w:rsidRPr="00797411">
              <w:rPr>
                <w:rFonts w:ascii="Arial Narrow" w:eastAsia="Times New Roman" w:hAnsi="Arial Narrow" w:cs="Calibri"/>
                <w:b/>
                <w:bCs/>
                <w:color w:val="FFFFFF"/>
                <w:sz w:val="22"/>
                <w:szCs w:val="22"/>
              </w:rPr>
              <w:t>Norma</w:t>
            </w:r>
          </w:p>
        </w:tc>
        <w:tc>
          <w:tcPr>
            <w:tcW w:w="1918" w:type="dxa"/>
            <w:tcBorders>
              <w:top w:val="nil"/>
              <w:left w:val="nil"/>
              <w:bottom w:val="single" w:sz="8" w:space="0" w:color="auto"/>
              <w:right w:val="single" w:sz="8" w:space="0" w:color="auto"/>
            </w:tcBorders>
            <w:shd w:val="clear" w:color="000000" w:fill="203764"/>
            <w:vAlign w:val="center"/>
            <w:hideMark/>
          </w:tcPr>
          <w:p w14:paraId="173BEDB8" w14:textId="77777777" w:rsidR="00797411" w:rsidRPr="00797411" w:rsidRDefault="00797411" w:rsidP="00797411">
            <w:pPr>
              <w:jc w:val="center"/>
              <w:rPr>
                <w:rFonts w:ascii="Arial Narrow" w:eastAsia="Times New Roman" w:hAnsi="Arial Narrow" w:cs="Calibri"/>
                <w:b/>
                <w:bCs/>
                <w:color w:val="FFFFFF"/>
                <w:sz w:val="22"/>
                <w:szCs w:val="22"/>
                <w:lang w:val="es-CR"/>
              </w:rPr>
            </w:pPr>
            <w:r w:rsidRPr="00797411">
              <w:rPr>
                <w:rFonts w:ascii="Arial Narrow" w:eastAsia="Times New Roman" w:hAnsi="Arial Narrow" w:cs="Calibri"/>
                <w:b/>
                <w:bCs/>
                <w:color w:val="FFFFFF"/>
                <w:sz w:val="22"/>
                <w:szCs w:val="22"/>
                <w:lang w:val="es-CR"/>
              </w:rPr>
              <w:t>Normativa técnica y disposiciones adicionales</w:t>
            </w:r>
          </w:p>
        </w:tc>
      </w:tr>
      <w:tr w:rsidR="00797411" w:rsidRPr="00797411" w14:paraId="1BDF4C0C" w14:textId="77777777" w:rsidTr="002771C5">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338920C"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noWrap/>
            <w:vAlign w:val="center"/>
            <w:hideMark/>
          </w:tcPr>
          <w:p w14:paraId="6C47A3E8"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6</w:t>
            </w:r>
          </w:p>
        </w:tc>
        <w:tc>
          <w:tcPr>
            <w:tcW w:w="332" w:type="dxa"/>
            <w:tcBorders>
              <w:top w:val="nil"/>
              <w:left w:val="nil"/>
              <w:bottom w:val="single" w:sz="8" w:space="0" w:color="auto"/>
              <w:right w:val="single" w:sz="8" w:space="0" w:color="auto"/>
            </w:tcBorders>
            <w:shd w:val="clear" w:color="auto" w:fill="auto"/>
            <w:vAlign w:val="center"/>
            <w:hideMark/>
          </w:tcPr>
          <w:p w14:paraId="1367FB69"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 xml:space="preserve"> </w:t>
            </w:r>
          </w:p>
        </w:tc>
        <w:tc>
          <w:tcPr>
            <w:tcW w:w="3740" w:type="dxa"/>
            <w:tcBorders>
              <w:top w:val="nil"/>
              <w:left w:val="nil"/>
              <w:bottom w:val="single" w:sz="8" w:space="0" w:color="auto"/>
              <w:right w:val="single" w:sz="8" w:space="0" w:color="auto"/>
            </w:tcBorders>
            <w:shd w:val="clear" w:color="auto" w:fill="auto"/>
            <w:vAlign w:val="center"/>
            <w:hideMark/>
          </w:tcPr>
          <w:p w14:paraId="1724B600" w14:textId="1371F2BB" w:rsidR="00797411" w:rsidRPr="00797411" w:rsidRDefault="00797411" w:rsidP="00797411">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Entidades controladas</w:t>
            </w:r>
          </w:p>
        </w:tc>
        <w:tc>
          <w:tcPr>
            <w:tcW w:w="2280" w:type="dxa"/>
            <w:tcBorders>
              <w:top w:val="nil"/>
              <w:left w:val="nil"/>
              <w:bottom w:val="single" w:sz="8" w:space="0" w:color="auto"/>
              <w:right w:val="single" w:sz="8" w:space="0" w:color="auto"/>
            </w:tcBorders>
            <w:shd w:val="clear" w:color="auto" w:fill="auto"/>
            <w:vAlign w:val="center"/>
            <w:hideMark/>
          </w:tcPr>
          <w:p w14:paraId="7EA7052E" w14:textId="77777777" w:rsidR="002771C5" w:rsidRDefault="00797411" w:rsidP="00797411">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NICSP N° 35,</w:t>
            </w:r>
          </w:p>
          <w:p w14:paraId="7666E315" w14:textId="2A93AED6" w:rsidR="00797411" w:rsidRPr="00797411" w:rsidRDefault="00797411" w:rsidP="00797411">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Párrafos 14, 18 a 22.</w:t>
            </w:r>
          </w:p>
        </w:tc>
        <w:tc>
          <w:tcPr>
            <w:tcW w:w="1918" w:type="dxa"/>
            <w:tcBorders>
              <w:top w:val="nil"/>
              <w:left w:val="nil"/>
              <w:bottom w:val="single" w:sz="8" w:space="0" w:color="auto"/>
              <w:right w:val="single" w:sz="8" w:space="0" w:color="auto"/>
            </w:tcBorders>
            <w:shd w:val="clear" w:color="auto" w:fill="auto"/>
            <w:vAlign w:val="center"/>
            <w:hideMark/>
          </w:tcPr>
          <w:p w14:paraId="64228899" w14:textId="77777777" w:rsidR="00797411" w:rsidRPr="00797411" w:rsidRDefault="00797411" w:rsidP="002771C5">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 xml:space="preserve">DGCN </w:t>
            </w:r>
          </w:p>
        </w:tc>
      </w:tr>
      <w:tr w:rsidR="00797411" w:rsidRPr="00797411" w14:paraId="06456DE5" w14:textId="77777777" w:rsidTr="002771C5">
        <w:trPr>
          <w:trHeight w:val="85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0752281"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vAlign w:val="center"/>
            <w:hideMark/>
          </w:tcPr>
          <w:p w14:paraId="08B986E8"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6</w:t>
            </w:r>
          </w:p>
        </w:tc>
        <w:tc>
          <w:tcPr>
            <w:tcW w:w="332" w:type="dxa"/>
            <w:tcBorders>
              <w:top w:val="nil"/>
              <w:left w:val="nil"/>
              <w:bottom w:val="single" w:sz="8" w:space="0" w:color="auto"/>
              <w:right w:val="nil"/>
            </w:tcBorders>
            <w:shd w:val="clear" w:color="auto" w:fill="auto"/>
            <w:vAlign w:val="center"/>
            <w:hideMark/>
          </w:tcPr>
          <w:p w14:paraId="5079362A"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1</w:t>
            </w:r>
          </w:p>
        </w:tc>
        <w:tc>
          <w:tcPr>
            <w:tcW w:w="3740" w:type="dxa"/>
            <w:tcBorders>
              <w:top w:val="nil"/>
              <w:left w:val="single" w:sz="8" w:space="0" w:color="auto"/>
              <w:bottom w:val="single" w:sz="8" w:space="0" w:color="auto"/>
              <w:right w:val="single" w:sz="8" w:space="0" w:color="auto"/>
            </w:tcBorders>
            <w:shd w:val="clear" w:color="auto" w:fill="auto"/>
            <w:vAlign w:val="center"/>
            <w:hideMark/>
          </w:tcPr>
          <w:p w14:paraId="551FD8D3" w14:textId="0E683AA4" w:rsidR="00797411" w:rsidRPr="00797411" w:rsidRDefault="00797411" w:rsidP="00797411">
            <w:pP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 xml:space="preserve">Información a </w:t>
            </w:r>
            <w:r w:rsidR="002771C5">
              <w:rPr>
                <w:rFonts w:ascii="Arial Narrow" w:eastAsia="Times New Roman" w:hAnsi="Arial Narrow" w:cs="Calibri"/>
                <w:b/>
                <w:bCs/>
                <w:color w:val="000000"/>
                <w:sz w:val="22"/>
                <w:szCs w:val="22"/>
              </w:rPr>
              <w:t>presenter</w:t>
            </w:r>
          </w:p>
        </w:tc>
        <w:tc>
          <w:tcPr>
            <w:tcW w:w="2280" w:type="dxa"/>
            <w:tcBorders>
              <w:top w:val="nil"/>
              <w:left w:val="nil"/>
              <w:bottom w:val="single" w:sz="8" w:space="0" w:color="auto"/>
              <w:right w:val="single" w:sz="8" w:space="0" w:color="auto"/>
            </w:tcBorders>
            <w:shd w:val="clear" w:color="auto" w:fill="auto"/>
            <w:vAlign w:val="center"/>
            <w:hideMark/>
          </w:tcPr>
          <w:p w14:paraId="29846E89" w14:textId="77777777" w:rsidR="002771C5" w:rsidRDefault="00797411" w:rsidP="00797411">
            <w:pPr>
              <w:rPr>
                <w:rFonts w:ascii="Arial Narrow" w:eastAsia="Times New Roman" w:hAnsi="Arial Narrow" w:cs="Calibri"/>
                <w:b/>
                <w:bCs/>
                <w:color w:val="000000"/>
                <w:sz w:val="22"/>
                <w:szCs w:val="22"/>
                <w:lang w:val="es-CR"/>
              </w:rPr>
            </w:pPr>
            <w:r w:rsidRPr="00797411">
              <w:rPr>
                <w:rFonts w:ascii="Arial Narrow" w:eastAsia="Times New Roman" w:hAnsi="Arial Narrow" w:cs="Calibri"/>
                <w:b/>
                <w:bCs/>
                <w:color w:val="000000"/>
                <w:sz w:val="22"/>
                <w:szCs w:val="22"/>
                <w:lang w:val="es-CR"/>
              </w:rPr>
              <w:t>NICSP N° 35,</w:t>
            </w:r>
          </w:p>
          <w:p w14:paraId="41CE0240" w14:textId="5FC52760" w:rsidR="00797411" w:rsidRPr="00797411" w:rsidRDefault="00797411" w:rsidP="00797411">
            <w:pPr>
              <w:rPr>
                <w:rFonts w:ascii="Arial Narrow" w:eastAsia="Times New Roman" w:hAnsi="Arial Narrow" w:cs="Calibri"/>
                <w:b/>
                <w:bCs/>
                <w:color w:val="000000"/>
                <w:sz w:val="22"/>
                <w:szCs w:val="22"/>
                <w:lang w:val="es-CR"/>
              </w:rPr>
            </w:pPr>
            <w:r w:rsidRPr="00797411">
              <w:rPr>
                <w:rFonts w:ascii="Arial Narrow" w:eastAsia="Times New Roman" w:hAnsi="Arial Narrow" w:cs="Calibri"/>
                <w:b/>
                <w:bCs/>
                <w:color w:val="000000"/>
                <w:sz w:val="22"/>
                <w:szCs w:val="22"/>
                <w:lang w:val="es-CR"/>
              </w:rPr>
              <w:t>Párrafos 23 a 29 y 30 a 34.</w:t>
            </w:r>
          </w:p>
        </w:tc>
        <w:tc>
          <w:tcPr>
            <w:tcW w:w="1918" w:type="dxa"/>
            <w:tcBorders>
              <w:top w:val="nil"/>
              <w:left w:val="nil"/>
              <w:bottom w:val="single" w:sz="8" w:space="0" w:color="auto"/>
              <w:right w:val="single" w:sz="8" w:space="0" w:color="auto"/>
            </w:tcBorders>
            <w:shd w:val="clear" w:color="auto" w:fill="auto"/>
            <w:vAlign w:val="center"/>
            <w:hideMark/>
          </w:tcPr>
          <w:p w14:paraId="173924CC" w14:textId="77777777" w:rsidR="00797411" w:rsidRPr="00797411" w:rsidRDefault="00797411" w:rsidP="002771C5">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DGCN</w:t>
            </w:r>
            <w:r w:rsidRPr="00797411">
              <w:rPr>
                <w:rFonts w:ascii="Arial Narrow" w:eastAsia="Times New Roman" w:hAnsi="Arial Narrow" w:cs="Calibri"/>
                <w:b/>
                <w:bCs/>
                <w:color w:val="000000"/>
                <w:sz w:val="22"/>
                <w:szCs w:val="22"/>
              </w:rPr>
              <w:br/>
              <w:t>Nota técnica</w:t>
            </w:r>
          </w:p>
        </w:tc>
      </w:tr>
      <w:tr w:rsidR="00797411" w:rsidRPr="00797411" w14:paraId="7C7098F6" w14:textId="77777777" w:rsidTr="002771C5">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0959E1E"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vAlign w:val="center"/>
            <w:hideMark/>
          </w:tcPr>
          <w:p w14:paraId="76DFBA04"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6</w:t>
            </w:r>
          </w:p>
        </w:tc>
        <w:tc>
          <w:tcPr>
            <w:tcW w:w="332" w:type="dxa"/>
            <w:tcBorders>
              <w:top w:val="nil"/>
              <w:left w:val="nil"/>
              <w:bottom w:val="single" w:sz="8" w:space="0" w:color="auto"/>
              <w:right w:val="single" w:sz="8" w:space="0" w:color="auto"/>
            </w:tcBorders>
            <w:shd w:val="clear" w:color="auto" w:fill="auto"/>
            <w:vAlign w:val="center"/>
            <w:hideMark/>
          </w:tcPr>
          <w:p w14:paraId="7FF0127A"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2</w:t>
            </w:r>
          </w:p>
        </w:tc>
        <w:tc>
          <w:tcPr>
            <w:tcW w:w="3740" w:type="dxa"/>
            <w:tcBorders>
              <w:top w:val="nil"/>
              <w:left w:val="nil"/>
              <w:bottom w:val="single" w:sz="8" w:space="0" w:color="auto"/>
              <w:right w:val="single" w:sz="8" w:space="0" w:color="auto"/>
            </w:tcBorders>
            <w:shd w:val="clear" w:color="auto" w:fill="auto"/>
            <w:vAlign w:val="center"/>
            <w:hideMark/>
          </w:tcPr>
          <w:p w14:paraId="3801C93B" w14:textId="77777777" w:rsidR="00797411" w:rsidRPr="00797411" w:rsidRDefault="00797411" w:rsidP="00797411">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Presentación</w:t>
            </w:r>
          </w:p>
        </w:tc>
        <w:tc>
          <w:tcPr>
            <w:tcW w:w="2280" w:type="dxa"/>
            <w:tcBorders>
              <w:top w:val="nil"/>
              <w:left w:val="nil"/>
              <w:bottom w:val="single" w:sz="8" w:space="0" w:color="auto"/>
              <w:right w:val="single" w:sz="8" w:space="0" w:color="auto"/>
            </w:tcBorders>
            <w:shd w:val="clear" w:color="auto" w:fill="auto"/>
            <w:vAlign w:val="center"/>
            <w:hideMark/>
          </w:tcPr>
          <w:p w14:paraId="52BFBCA0" w14:textId="77777777" w:rsidR="002771C5" w:rsidRDefault="00797411" w:rsidP="00797411">
            <w:pP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NICSP N° 35,</w:t>
            </w:r>
          </w:p>
          <w:p w14:paraId="3791C077" w14:textId="56ECBA9B" w:rsidR="00797411" w:rsidRPr="00797411" w:rsidRDefault="00797411" w:rsidP="00797411">
            <w:pP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Párrafos 35 a 37.</w:t>
            </w:r>
          </w:p>
        </w:tc>
        <w:tc>
          <w:tcPr>
            <w:tcW w:w="1918" w:type="dxa"/>
            <w:tcBorders>
              <w:top w:val="nil"/>
              <w:left w:val="nil"/>
              <w:bottom w:val="single" w:sz="8" w:space="0" w:color="auto"/>
              <w:right w:val="single" w:sz="8" w:space="0" w:color="auto"/>
            </w:tcBorders>
            <w:shd w:val="clear" w:color="auto" w:fill="auto"/>
            <w:vAlign w:val="center"/>
            <w:hideMark/>
          </w:tcPr>
          <w:p w14:paraId="6D915B83" w14:textId="77777777" w:rsidR="00797411" w:rsidRPr="00797411" w:rsidRDefault="00797411" w:rsidP="002771C5">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DGCN</w:t>
            </w:r>
            <w:r w:rsidRPr="00797411">
              <w:rPr>
                <w:rFonts w:ascii="Arial Narrow" w:eastAsia="Times New Roman" w:hAnsi="Arial Narrow" w:cs="Calibri"/>
                <w:b/>
                <w:bCs/>
                <w:color w:val="000000"/>
                <w:sz w:val="22"/>
                <w:szCs w:val="22"/>
              </w:rPr>
              <w:br/>
              <w:t xml:space="preserve">Nota técnica </w:t>
            </w:r>
          </w:p>
        </w:tc>
      </w:tr>
      <w:tr w:rsidR="00797411" w:rsidRPr="00797411" w14:paraId="443F8893" w14:textId="77777777" w:rsidTr="002771C5">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6A9169F"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vAlign w:val="center"/>
            <w:hideMark/>
          </w:tcPr>
          <w:p w14:paraId="1FD591FA"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6</w:t>
            </w:r>
          </w:p>
        </w:tc>
        <w:tc>
          <w:tcPr>
            <w:tcW w:w="332" w:type="dxa"/>
            <w:tcBorders>
              <w:top w:val="nil"/>
              <w:left w:val="nil"/>
              <w:bottom w:val="single" w:sz="8" w:space="0" w:color="auto"/>
              <w:right w:val="single" w:sz="8" w:space="0" w:color="auto"/>
            </w:tcBorders>
            <w:shd w:val="clear" w:color="auto" w:fill="auto"/>
            <w:vAlign w:val="center"/>
            <w:hideMark/>
          </w:tcPr>
          <w:p w14:paraId="5F4DF0D8" w14:textId="77777777" w:rsidR="00797411" w:rsidRPr="00797411" w:rsidRDefault="00797411" w:rsidP="00797411">
            <w:pPr>
              <w:jc w:val="cente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3</w:t>
            </w:r>
          </w:p>
        </w:tc>
        <w:tc>
          <w:tcPr>
            <w:tcW w:w="3740" w:type="dxa"/>
            <w:tcBorders>
              <w:top w:val="nil"/>
              <w:left w:val="nil"/>
              <w:bottom w:val="single" w:sz="8" w:space="0" w:color="auto"/>
              <w:right w:val="single" w:sz="8" w:space="0" w:color="auto"/>
            </w:tcBorders>
            <w:shd w:val="clear" w:color="auto" w:fill="auto"/>
            <w:vAlign w:val="center"/>
            <w:hideMark/>
          </w:tcPr>
          <w:p w14:paraId="4C1D842E" w14:textId="77777777" w:rsidR="00797411" w:rsidRPr="00797411" w:rsidRDefault="00797411" w:rsidP="00797411">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Nota técnica</w:t>
            </w:r>
          </w:p>
        </w:tc>
        <w:tc>
          <w:tcPr>
            <w:tcW w:w="2280" w:type="dxa"/>
            <w:tcBorders>
              <w:top w:val="nil"/>
              <w:left w:val="nil"/>
              <w:bottom w:val="single" w:sz="8" w:space="0" w:color="auto"/>
              <w:right w:val="single" w:sz="8" w:space="0" w:color="auto"/>
            </w:tcBorders>
            <w:shd w:val="clear" w:color="auto" w:fill="auto"/>
            <w:vAlign w:val="center"/>
            <w:hideMark/>
          </w:tcPr>
          <w:p w14:paraId="2364C044" w14:textId="77777777" w:rsidR="00797411" w:rsidRPr="00797411" w:rsidRDefault="00797411" w:rsidP="00797411">
            <w:pPr>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 xml:space="preserve">NICSP N° 35, </w:t>
            </w:r>
            <w:r w:rsidRPr="00797411">
              <w:rPr>
                <w:rFonts w:ascii="Arial Narrow" w:eastAsia="Times New Roman" w:hAnsi="Arial Narrow" w:cs="Calibri"/>
                <w:b/>
                <w:bCs/>
                <w:color w:val="000000"/>
                <w:sz w:val="22"/>
                <w:szCs w:val="22"/>
              </w:rPr>
              <w:br/>
              <w:t>Párrafos 41.</w:t>
            </w:r>
          </w:p>
        </w:tc>
        <w:tc>
          <w:tcPr>
            <w:tcW w:w="1918" w:type="dxa"/>
            <w:tcBorders>
              <w:top w:val="nil"/>
              <w:left w:val="nil"/>
              <w:bottom w:val="single" w:sz="8" w:space="0" w:color="auto"/>
              <w:right w:val="single" w:sz="8" w:space="0" w:color="auto"/>
            </w:tcBorders>
            <w:shd w:val="clear" w:color="auto" w:fill="auto"/>
            <w:vAlign w:val="center"/>
            <w:hideMark/>
          </w:tcPr>
          <w:p w14:paraId="6B30A53A" w14:textId="77777777" w:rsidR="00797411" w:rsidRPr="00797411" w:rsidRDefault="00797411" w:rsidP="002771C5">
            <w:pPr>
              <w:jc w:val="both"/>
              <w:rPr>
                <w:rFonts w:ascii="Arial Narrow" w:eastAsia="Times New Roman" w:hAnsi="Arial Narrow" w:cs="Calibri"/>
                <w:b/>
                <w:bCs/>
                <w:color w:val="000000"/>
                <w:sz w:val="22"/>
                <w:szCs w:val="22"/>
              </w:rPr>
            </w:pPr>
            <w:r w:rsidRPr="00797411">
              <w:rPr>
                <w:rFonts w:ascii="Arial Narrow" w:eastAsia="Times New Roman" w:hAnsi="Arial Narrow" w:cs="Calibri"/>
                <w:b/>
                <w:bCs/>
                <w:color w:val="000000"/>
                <w:sz w:val="22"/>
                <w:szCs w:val="22"/>
              </w:rPr>
              <w:t>DGCN</w:t>
            </w:r>
            <w:r w:rsidRPr="00797411">
              <w:rPr>
                <w:rFonts w:ascii="Arial Narrow" w:eastAsia="Times New Roman" w:hAnsi="Arial Narrow" w:cs="Calibri"/>
                <w:b/>
                <w:bCs/>
                <w:color w:val="000000"/>
                <w:sz w:val="22"/>
                <w:szCs w:val="22"/>
              </w:rPr>
              <w:br/>
              <w:t>Nota técnica</w:t>
            </w:r>
          </w:p>
        </w:tc>
      </w:tr>
    </w:tbl>
    <w:p w14:paraId="5EAABAA2" w14:textId="77777777" w:rsidR="005D290E" w:rsidRDefault="005D290E" w:rsidP="002236BD">
      <w:pPr>
        <w:pStyle w:val="Default"/>
        <w:ind w:left="1134" w:hanging="1134"/>
        <w:jc w:val="both"/>
        <w:rPr>
          <w:sz w:val="22"/>
          <w:szCs w:val="22"/>
          <w:lang w:val="es-CR"/>
        </w:rPr>
      </w:pPr>
    </w:p>
    <w:p w14:paraId="2899061A" w14:textId="77777777" w:rsidR="002771C5" w:rsidRDefault="002771C5" w:rsidP="002771C5">
      <w:pPr>
        <w:pStyle w:val="Default"/>
        <w:ind w:left="1134" w:hanging="1134"/>
        <w:jc w:val="both"/>
        <w:rPr>
          <w:rFonts w:eastAsia="Arial"/>
          <w:b/>
          <w:sz w:val="22"/>
          <w:szCs w:val="22"/>
        </w:rPr>
      </w:pPr>
      <w:r w:rsidRPr="00F02F9D">
        <w:rPr>
          <w:rFonts w:eastAsia="Arial"/>
          <w:b/>
          <w:sz w:val="22"/>
          <w:szCs w:val="22"/>
        </w:rPr>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5759BC48" w14:textId="77777777" w:rsidR="002771C5" w:rsidRDefault="002771C5" w:rsidP="002236BD">
      <w:pPr>
        <w:pStyle w:val="Default"/>
        <w:ind w:left="1134" w:hanging="1134"/>
        <w:jc w:val="both"/>
        <w:rPr>
          <w:sz w:val="22"/>
          <w:szCs w:val="22"/>
          <w:lang w:val="es-CR"/>
        </w:rPr>
      </w:pPr>
    </w:p>
    <w:p w14:paraId="3AE50265" w14:textId="51F625E9" w:rsidR="00797411" w:rsidRPr="003B0DC8" w:rsidRDefault="003B0DC8" w:rsidP="002236BD">
      <w:pPr>
        <w:pStyle w:val="Default"/>
        <w:ind w:left="1134" w:hanging="1134"/>
        <w:jc w:val="both"/>
        <w:rPr>
          <w:sz w:val="22"/>
          <w:szCs w:val="22"/>
          <w:lang w:val="es-CR"/>
        </w:rPr>
      </w:pPr>
      <w:r>
        <w:rPr>
          <w:sz w:val="23"/>
          <w:szCs w:val="23"/>
          <w:lang w:val="es-CR"/>
        </w:rPr>
        <w:t>7.6.0.01</w:t>
      </w:r>
      <w:r>
        <w:rPr>
          <w:sz w:val="23"/>
          <w:szCs w:val="23"/>
          <w:lang w:val="es-CR"/>
        </w:rPr>
        <w:tab/>
      </w:r>
      <w:r w:rsidRPr="003B0DC8">
        <w:rPr>
          <w:sz w:val="23"/>
          <w:szCs w:val="23"/>
          <w:lang w:val="es-CR"/>
        </w:rPr>
        <w:t xml:space="preserve">En el </w:t>
      </w:r>
      <w:r>
        <w:rPr>
          <w:sz w:val="23"/>
          <w:szCs w:val="23"/>
          <w:lang w:val="es-CR"/>
        </w:rPr>
        <w:t>caso de la MBA (Controladora),</w:t>
      </w:r>
      <w:r w:rsidRPr="003B0DC8">
        <w:rPr>
          <w:sz w:val="23"/>
          <w:szCs w:val="23"/>
          <w:lang w:val="es-CR"/>
        </w:rPr>
        <w:t xml:space="preserve"> las entidades controlad</w:t>
      </w:r>
      <w:r>
        <w:rPr>
          <w:sz w:val="23"/>
          <w:szCs w:val="23"/>
          <w:lang w:val="es-CR"/>
        </w:rPr>
        <w:t>a</w:t>
      </w:r>
      <w:r w:rsidRPr="003B0DC8">
        <w:rPr>
          <w:sz w:val="23"/>
          <w:szCs w:val="23"/>
          <w:lang w:val="es-CR"/>
        </w:rPr>
        <w:t>s son</w:t>
      </w:r>
      <w:r>
        <w:rPr>
          <w:sz w:val="23"/>
          <w:szCs w:val="23"/>
          <w:lang w:val="es-CR"/>
        </w:rPr>
        <w:t xml:space="preserve"> los Comités y Juntas creadas con personería jurídica y que son controladas por el Municipio.</w:t>
      </w:r>
    </w:p>
    <w:p w14:paraId="230C3C15" w14:textId="77777777" w:rsidR="005D290E" w:rsidRDefault="005D290E" w:rsidP="002236BD">
      <w:pPr>
        <w:pStyle w:val="Default"/>
        <w:ind w:left="1134" w:hanging="1134"/>
        <w:jc w:val="both"/>
        <w:rPr>
          <w:sz w:val="22"/>
          <w:szCs w:val="22"/>
          <w:lang w:val="es-CR"/>
        </w:rPr>
      </w:pPr>
    </w:p>
    <w:p w14:paraId="73F8BE35" w14:textId="678FB52C" w:rsidR="003B0DC8" w:rsidRDefault="003B0DC8" w:rsidP="003B0DC8">
      <w:pPr>
        <w:pStyle w:val="Default"/>
        <w:ind w:left="1134" w:hanging="1134"/>
        <w:jc w:val="both"/>
        <w:rPr>
          <w:sz w:val="23"/>
          <w:szCs w:val="23"/>
          <w:lang w:val="es-CR"/>
        </w:rPr>
      </w:pPr>
      <w:r>
        <w:rPr>
          <w:sz w:val="23"/>
          <w:szCs w:val="23"/>
          <w:lang w:val="es-CR"/>
        </w:rPr>
        <w:t>7.6.</w:t>
      </w:r>
      <w:r w:rsidRPr="003B0DC8">
        <w:rPr>
          <w:sz w:val="23"/>
          <w:szCs w:val="23"/>
          <w:lang w:val="es-CR"/>
        </w:rPr>
        <w:t>1.</w:t>
      </w:r>
      <w:r>
        <w:rPr>
          <w:sz w:val="23"/>
          <w:szCs w:val="23"/>
          <w:lang w:val="es-CR"/>
        </w:rPr>
        <w:t>01</w:t>
      </w:r>
      <w:r>
        <w:rPr>
          <w:sz w:val="23"/>
          <w:szCs w:val="23"/>
          <w:lang w:val="es-CR"/>
        </w:rPr>
        <w:tab/>
      </w:r>
      <w:r w:rsidRPr="003B0DC8">
        <w:rPr>
          <w:sz w:val="23"/>
          <w:szCs w:val="23"/>
          <w:lang w:val="es-CR"/>
        </w:rPr>
        <w:t>La</w:t>
      </w:r>
      <w:r>
        <w:rPr>
          <w:sz w:val="23"/>
          <w:szCs w:val="23"/>
          <w:lang w:val="es-CR"/>
        </w:rPr>
        <w:t xml:space="preserve"> Municipalidad</w:t>
      </w:r>
      <w:r w:rsidRPr="003B0DC8">
        <w:rPr>
          <w:sz w:val="23"/>
          <w:szCs w:val="23"/>
          <w:lang w:val="es-CR"/>
        </w:rPr>
        <w:t xml:space="preserve"> debe disponer lo necesario para integrar técnicamente y al inicio del período que la DGCN establezca, la información contable básica requerida de sus respectivas entidades consolidadas, la cual les será suministrada por medios electrónicos, según lo estime oportuno y pertinente la DGCN. Además, deben ejecutar la fase del proceso de consolidación de la cual son responsables y remitirán a la DGCN por medios electrónicos, según lo estime oportuno y pertinente la DGCN, a través de los medios dispuestos para este fin.</w:t>
      </w:r>
    </w:p>
    <w:p w14:paraId="4B8EEB40" w14:textId="77777777" w:rsidR="003B0DC8" w:rsidRPr="003B0DC8" w:rsidRDefault="003B0DC8" w:rsidP="003B0DC8">
      <w:pPr>
        <w:pStyle w:val="Default"/>
        <w:ind w:left="1134" w:hanging="1134"/>
        <w:jc w:val="both"/>
        <w:rPr>
          <w:sz w:val="23"/>
          <w:szCs w:val="23"/>
          <w:lang w:val="es-CR"/>
        </w:rPr>
      </w:pPr>
    </w:p>
    <w:p w14:paraId="28A5E686" w14:textId="31CD7A85" w:rsidR="003B0DC8" w:rsidRDefault="003B0DC8">
      <w:pPr>
        <w:pStyle w:val="Default"/>
        <w:numPr>
          <w:ilvl w:val="3"/>
          <w:numId w:val="422"/>
        </w:numPr>
        <w:ind w:left="1134" w:hanging="1134"/>
        <w:jc w:val="both"/>
        <w:rPr>
          <w:sz w:val="23"/>
          <w:szCs w:val="23"/>
          <w:lang w:val="es-CR"/>
        </w:rPr>
      </w:pPr>
      <w:r w:rsidRPr="003B0DC8">
        <w:rPr>
          <w:sz w:val="23"/>
          <w:szCs w:val="23"/>
          <w:lang w:val="es-CR"/>
        </w:rPr>
        <w:t xml:space="preserve">La periodicidad para la entrega de la información la determinará la </w:t>
      </w:r>
      <w:r>
        <w:rPr>
          <w:sz w:val="23"/>
          <w:szCs w:val="23"/>
          <w:lang w:val="es-CR"/>
        </w:rPr>
        <w:t xml:space="preserve">Municipalidad con forme lo establecido por la </w:t>
      </w:r>
      <w:r w:rsidRPr="003B0DC8">
        <w:rPr>
          <w:sz w:val="23"/>
          <w:szCs w:val="23"/>
          <w:lang w:val="es-CR"/>
        </w:rPr>
        <w:t>DGCN a través de los medios establecidos de comunicación.</w:t>
      </w:r>
    </w:p>
    <w:p w14:paraId="0FB22568" w14:textId="77777777" w:rsidR="003B0DC8" w:rsidRPr="003B0DC8" w:rsidRDefault="003B0DC8" w:rsidP="003B0DC8">
      <w:pPr>
        <w:pStyle w:val="Default"/>
        <w:ind w:left="720"/>
        <w:jc w:val="both"/>
        <w:rPr>
          <w:sz w:val="23"/>
          <w:szCs w:val="23"/>
          <w:lang w:val="es-CR"/>
        </w:rPr>
      </w:pPr>
    </w:p>
    <w:p w14:paraId="5A8A8CFA" w14:textId="42FF19D6" w:rsidR="009D1790" w:rsidRDefault="003B0DC8" w:rsidP="003B0DC8">
      <w:pPr>
        <w:pStyle w:val="Default"/>
        <w:ind w:left="1134" w:hanging="1134"/>
        <w:jc w:val="both"/>
        <w:rPr>
          <w:sz w:val="22"/>
          <w:szCs w:val="22"/>
          <w:lang w:val="es-CR"/>
        </w:rPr>
      </w:pPr>
      <w:r>
        <w:rPr>
          <w:sz w:val="23"/>
          <w:szCs w:val="23"/>
          <w:lang w:val="es-CR"/>
        </w:rPr>
        <w:t>7.6.</w:t>
      </w:r>
      <w:r w:rsidRPr="003B0DC8">
        <w:rPr>
          <w:sz w:val="23"/>
          <w:szCs w:val="23"/>
          <w:lang w:val="es-CR"/>
        </w:rPr>
        <w:t>3.</w:t>
      </w:r>
      <w:r>
        <w:rPr>
          <w:sz w:val="23"/>
          <w:szCs w:val="23"/>
          <w:lang w:val="es-CR"/>
        </w:rPr>
        <w:t>01</w:t>
      </w:r>
      <w:r>
        <w:rPr>
          <w:sz w:val="23"/>
          <w:szCs w:val="23"/>
          <w:lang w:val="es-CR"/>
        </w:rPr>
        <w:tab/>
      </w:r>
      <w:r w:rsidRPr="003B0DC8">
        <w:rPr>
          <w:sz w:val="23"/>
          <w:szCs w:val="23"/>
          <w:lang w:val="es-CR"/>
        </w:rPr>
        <w:t xml:space="preserve">La </w:t>
      </w:r>
      <w:r>
        <w:rPr>
          <w:sz w:val="23"/>
          <w:szCs w:val="23"/>
          <w:lang w:val="es-CR"/>
        </w:rPr>
        <w:t>Contabilidad Municipal</w:t>
      </w:r>
      <w:r w:rsidRPr="003B0DC8">
        <w:rPr>
          <w:sz w:val="23"/>
          <w:szCs w:val="23"/>
          <w:lang w:val="es-CR"/>
        </w:rPr>
        <w:t xml:space="preserve">, a través de los procedimientos </w:t>
      </w:r>
      <w:r>
        <w:rPr>
          <w:sz w:val="23"/>
          <w:szCs w:val="23"/>
          <w:lang w:val="es-CR"/>
        </w:rPr>
        <w:t xml:space="preserve">contables elaborados </w:t>
      </w:r>
      <w:r w:rsidRPr="003B0DC8">
        <w:rPr>
          <w:sz w:val="23"/>
          <w:szCs w:val="23"/>
          <w:lang w:val="es-CR"/>
        </w:rPr>
        <w:t>determinará los diferentes auxiliares a requerir y toda otra información contable intermedia</w:t>
      </w:r>
      <w:r>
        <w:rPr>
          <w:sz w:val="23"/>
          <w:szCs w:val="23"/>
          <w:lang w:val="es-CR"/>
        </w:rPr>
        <w:t xml:space="preserve"> que </w:t>
      </w:r>
      <w:r w:rsidR="002771C5">
        <w:rPr>
          <w:sz w:val="23"/>
          <w:szCs w:val="23"/>
          <w:lang w:val="es-CR"/>
        </w:rPr>
        <w:t>las entidades a consolidar deben</w:t>
      </w:r>
      <w:r>
        <w:rPr>
          <w:sz w:val="23"/>
          <w:szCs w:val="23"/>
          <w:lang w:val="es-CR"/>
        </w:rPr>
        <w:t xml:space="preserve"> presentar, conforme a las disposiciones </w:t>
      </w:r>
      <w:r w:rsidRPr="003B0DC8">
        <w:rPr>
          <w:sz w:val="23"/>
          <w:szCs w:val="23"/>
          <w:lang w:val="es-CR"/>
        </w:rPr>
        <w:t>y las notas técnicas</w:t>
      </w:r>
      <w:r>
        <w:rPr>
          <w:sz w:val="23"/>
          <w:szCs w:val="23"/>
          <w:lang w:val="es-CR"/>
        </w:rPr>
        <w:t xml:space="preserve"> emitidas por la</w:t>
      </w:r>
      <w:r w:rsidRPr="003B0DC8">
        <w:rPr>
          <w:sz w:val="23"/>
          <w:szCs w:val="23"/>
          <w:lang w:val="es-CR"/>
        </w:rPr>
        <w:t xml:space="preserve"> DGCN</w:t>
      </w:r>
      <w:r>
        <w:rPr>
          <w:sz w:val="23"/>
          <w:szCs w:val="23"/>
          <w:lang w:val="es-CR"/>
        </w:rPr>
        <w:t>.</w:t>
      </w:r>
    </w:p>
    <w:p w14:paraId="480F6577" w14:textId="77777777" w:rsidR="009D1790" w:rsidRDefault="009D1790" w:rsidP="002236BD">
      <w:pPr>
        <w:pStyle w:val="Default"/>
        <w:ind w:left="1134" w:hanging="1134"/>
        <w:jc w:val="both"/>
        <w:rPr>
          <w:sz w:val="22"/>
          <w:szCs w:val="22"/>
          <w:lang w:val="es-CR"/>
        </w:rPr>
      </w:pPr>
    </w:p>
    <w:p w14:paraId="4DC57C02" w14:textId="77777777" w:rsidR="009D1790" w:rsidRDefault="009D1790" w:rsidP="002236BD">
      <w:pPr>
        <w:pStyle w:val="Default"/>
        <w:ind w:left="1134" w:hanging="1134"/>
        <w:jc w:val="both"/>
        <w:rPr>
          <w:sz w:val="22"/>
          <w:szCs w:val="22"/>
          <w:lang w:val="es-CR"/>
        </w:rPr>
      </w:pPr>
    </w:p>
    <w:p w14:paraId="3AD625E9" w14:textId="77777777" w:rsidR="002771C5" w:rsidRDefault="002771C5" w:rsidP="002236BD">
      <w:pPr>
        <w:pStyle w:val="Default"/>
        <w:ind w:left="1134" w:hanging="1134"/>
        <w:jc w:val="both"/>
        <w:rPr>
          <w:sz w:val="22"/>
          <w:szCs w:val="22"/>
          <w:lang w:val="es-CR"/>
        </w:rPr>
      </w:pPr>
    </w:p>
    <w:p w14:paraId="76E0A06B" w14:textId="77777777" w:rsidR="002771C5" w:rsidRDefault="002771C5" w:rsidP="002236BD">
      <w:pPr>
        <w:pStyle w:val="Default"/>
        <w:ind w:left="1134" w:hanging="1134"/>
        <w:jc w:val="both"/>
        <w:rPr>
          <w:sz w:val="22"/>
          <w:szCs w:val="22"/>
          <w:lang w:val="es-CR"/>
        </w:rPr>
      </w:pPr>
    </w:p>
    <w:p w14:paraId="4D985071" w14:textId="77777777" w:rsidR="002771C5" w:rsidRDefault="002771C5" w:rsidP="002236BD">
      <w:pPr>
        <w:pStyle w:val="Default"/>
        <w:ind w:left="1134" w:hanging="1134"/>
        <w:jc w:val="both"/>
        <w:rPr>
          <w:sz w:val="22"/>
          <w:szCs w:val="22"/>
          <w:lang w:val="es-CR"/>
        </w:rPr>
      </w:pPr>
    </w:p>
    <w:p w14:paraId="73627173" w14:textId="77777777" w:rsidR="002771C5" w:rsidRDefault="002771C5"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26"/>
        <w:gridCol w:w="3679"/>
        <w:gridCol w:w="2248"/>
        <w:gridCol w:w="1869"/>
      </w:tblGrid>
      <w:tr w:rsidR="002F7D73" w:rsidRPr="002F7D73" w14:paraId="323CDA87" w14:textId="77777777" w:rsidTr="002771C5">
        <w:trPr>
          <w:trHeight w:val="300"/>
        </w:trPr>
        <w:tc>
          <w:tcPr>
            <w:tcW w:w="1550"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027B114D" w14:textId="77777777" w:rsidR="002F7D73" w:rsidRPr="002F7D73" w:rsidRDefault="002F7D73" w:rsidP="002F7D73">
            <w:pPr>
              <w:jc w:val="center"/>
              <w:rPr>
                <w:rFonts w:ascii="Arial Narrow" w:eastAsia="Times New Roman" w:hAnsi="Arial Narrow" w:cs="Calibri"/>
                <w:b/>
                <w:bCs/>
                <w:color w:val="FFFFFF"/>
                <w:sz w:val="22"/>
                <w:szCs w:val="22"/>
              </w:rPr>
            </w:pPr>
            <w:r w:rsidRPr="002F7D73">
              <w:rPr>
                <w:rFonts w:ascii="Arial Narrow" w:eastAsia="Times New Roman" w:hAnsi="Arial Narrow" w:cs="Calibri"/>
                <w:b/>
                <w:bCs/>
                <w:color w:val="FFFFFF"/>
                <w:sz w:val="22"/>
                <w:szCs w:val="22"/>
              </w:rPr>
              <w:lastRenderedPageBreak/>
              <w:t>Norma / Política</w:t>
            </w:r>
          </w:p>
        </w:tc>
        <w:tc>
          <w:tcPr>
            <w:tcW w:w="3679"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5366C7" w14:textId="77777777" w:rsidR="002F7D73" w:rsidRPr="002F7D73" w:rsidRDefault="002F7D73" w:rsidP="002F7D73">
            <w:pPr>
              <w:jc w:val="center"/>
              <w:rPr>
                <w:rFonts w:ascii="Arial Narrow" w:eastAsia="Times New Roman" w:hAnsi="Arial Narrow" w:cs="Calibri"/>
                <w:b/>
                <w:bCs/>
                <w:color w:val="FFFFFF"/>
                <w:sz w:val="22"/>
                <w:szCs w:val="22"/>
              </w:rPr>
            </w:pPr>
            <w:r w:rsidRPr="002F7D73">
              <w:rPr>
                <w:rFonts w:ascii="Arial Narrow" w:eastAsia="Times New Roman" w:hAnsi="Arial Narrow" w:cs="Calibri"/>
                <w:b/>
                <w:bCs/>
                <w:color w:val="FFFFFF"/>
                <w:sz w:val="22"/>
                <w:szCs w:val="22"/>
              </w:rPr>
              <w:t>Concepto</w:t>
            </w:r>
          </w:p>
        </w:tc>
        <w:tc>
          <w:tcPr>
            <w:tcW w:w="4117" w:type="dxa"/>
            <w:gridSpan w:val="2"/>
            <w:tcBorders>
              <w:top w:val="single" w:sz="8" w:space="0" w:color="auto"/>
              <w:left w:val="nil"/>
              <w:bottom w:val="single" w:sz="8" w:space="0" w:color="auto"/>
              <w:right w:val="single" w:sz="8" w:space="0" w:color="000000"/>
            </w:tcBorders>
            <w:shd w:val="clear" w:color="000000" w:fill="203764"/>
            <w:vAlign w:val="center"/>
            <w:hideMark/>
          </w:tcPr>
          <w:p w14:paraId="089AB5CB" w14:textId="77777777" w:rsidR="002F7D73" w:rsidRPr="002F7D73" w:rsidRDefault="002F7D73" w:rsidP="002F7D73">
            <w:pPr>
              <w:jc w:val="center"/>
              <w:rPr>
                <w:rFonts w:ascii="Arial Narrow" w:eastAsia="Times New Roman" w:hAnsi="Arial Narrow" w:cs="Calibri"/>
                <w:b/>
                <w:bCs/>
                <w:color w:val="FFFFFF"/>
                <w:sz w:val="22"/>
                <w:szCs w:val="22"/>
              </w:rPr>
            </w:pPr>
            <w:r w:rsidRPr="002F7D73">
              <w:rPr>
                <w:rFonts w:ascii="Arial Narrow" w:eastAsia="Times New Roman" w:hAnsi="Arial Narrow" w:cs="Calibri"/>
                <w:b/>
                <w:bCs/>
                <w:color w:val="FFFFFF"/>
                <w:sz w:val="22"/>
                <w:szCs w:val="22"/>
              </w:rPr>
              <w:t>Referencia</w:t>
            </w:r>
          </w:p>
        </w:tc>
      </w:tr>
      <w:tr w:rsidR="002F7D73" w:rsidRPr="006E5442" w14:paraId="75C388E2" w14:textId="77777777" w:rsidTr="002771C5">
        <w:trPr>
          <w:trHeight w:val="850"/>
        </w:trPr>
        <w:tc>
          <w:tcPr>
            <w:tcW w:w="1550" w:type="dxa"/>
            <w:gridSpan w:val="3"/>
            <w:vMerge/>
            <w:tcBorders>
              <w:top w:val="single" w:sz="8" w:space="0" w:color="auto"/>
              <w:left w:val="single" w:sz="8" w:space="0" w:color="auto"/>
              <w:bottom w:val="nil"/>
              <w:right w:val="single" w:sz="8" w:space="0" w:color="000000"/>
            </w:tcBorders>
            <w:vAlign w:val="center"/>
            <w:hideMark/>
          </w:tcPr>
          <w:p w14:paraId="63984635" w14:textId="77777777" w:rsidR="002F7D73" w:rsidRPr="002F7D73" w:rsidRDefault="002F7D73" w:rsidP="002F7D73">
            <w:pPr>
              <w:rPr>
                <w:rFonts w:ascii="Arial Narrow" w:eastAsia="Times New Roman" w:hAnsi="Arial Narrow" w:cs="Calibri"/>
                <w:b/>
                <w:bCs/>
                <w:color w:val="FFFFFF"/>
                <w:sz w:val="22"/>
                <w:szCs w:val="22"/>
              </w:rPr>
            </w:pPr>
          </w:p>
        </w:tc>
        <w:tc>
          <w:tcPr>
            <w:tcW w:w="3679" w:type="dxa"/>
            <w:vMerge/>
            <w:tcBorders>
              <w:top w:val="single" w:sz="8" w:space="0" w:color="auto"/>
              <w:left w:val="single" w:sz="8" w:space="0" w:color="auto"/>
              <w:bottom w:val="nil"/>
              <w:right w:val="single" w:sz="8" w:space="0" w:color="auto"/>
            </w:tcBorders>
            <w:vAlign w:val="center"/>
            <w:hideMark/>
          </w:tcPr>
          <w:p w14:paraId="63CA3EEF" w14:textId="77777777" w:rsidR="002F7D73" w:rsidRPr="002F7D73" w:rsidRDefault="002F7D73" w:rsidP="002F7D73">
            <w:pPr>
              <w:rPr>
                <w:rFonts w:ascii="Arial Narrow" w:eastAsia="Times New Roman" w:hAnsi="Arial Narrow" w:cs="Calibri"/>
                <w:b/>
                <w:bCs/>
                <w:color w:val="FFFFFF"/>
                <w:sz w:val="22"/>
                <w:szCs w:val="22"/>
              </w:rPr>
            </w:pPr>
          </w:p>
        </w:tc>
        <w:tc>
          <w:tcPr>
            <w:tcW w:w="2248" w:type="dxa"/>
            <w:tcBorders>
              <w:top w:val="nil"/>
              <w:left w:val="nil"/>
              <w:bottom w:val="nil"/>
              <w:right w:val="single" w:sz="8" w:space="0" w:color="auto"/>
            </w:tcBorders>
            <w:shd w:val="clear" w:color="000000" w:fill="203764"/>
            <w:vAlign w:val="center"/>
            <w:hideMark/>
          </w:tcPr>
          <w:p w14:paraId="60DD554D" w14:textId="77777777" w:rsidR="002F7D73" w:rsidRPr="002F7D73" w:rsidRDefault="002F7D73" w:rsidP="002F7D73">
            <w:pPr>
              <w:jc w:val="center"/>
              <w:rPr>
                <w:rFonts w:ascii="Arial Narrow" w:eastAsia="Times New Roman" w:hAnsi="Arial Narrow" w:cs="Calibri"/>
                <w:b/>
                <w:bCs/>
                <w:color w:val="FFFFFF"/>
                <w:sz w:val="22"/>
                <w:szCs w:val="22"/>
              </w:rPr>
            </w:pPr>
            <w:r w:rsidRPr="002F7D73">
              <w:rPr>
                <w:rFonts w:ascii="Arial Narrow" w:eastAsia="Times New Roman" w:hAnsi="Arial Narrow" w:cs="Calibri"/>
                <w:b/>
                <w:bCs/>
                <w:color w:val="FFFFFF"/>
                <w:sz w:val="22"/>
                <w:szCs w:val="22"/>
              </w:rPr>
              <w:t>Norma</w:t>
            </w:r>
          </w:p>
        </w:tc>
        <w:tc>
          <w:tcPr>
            <w:tcW w:w="1869" w:type="dxa"/>
            <w:tcBorders>
              <w:top w:val="nil"/>
              <w:left w:val="nil"/>
              <w:bottom w:val="nil"/>
              <w:right w:val="single" w:sz="8" w:space="0" w:color="auto"/>
            </w:tcBorders>
            <w:shd w:val="clear" w:color="000000" w:fill="203764"/>
            <w:vAlign w:val="center"/>
            <w:hideMark/>
          </w:tcPr>
          <w:p w14:paraId="261E5C31" w14:textId="77777777" w:rsidR="002F7D73" w:rsidRPr="002F7D73" w:rsidRDefault="002F7D73" w:rsidP="002F7D73">
            <w:pPr>
              <w:jc w:val="center"/>
              <w:rPr>
                <w:rFonts w:ascii="Arial Narrow" w:eastAsia="Times New Roman" w:hAnsi="Arial Narrow" w:cs="Calibri"/>
                <w:b/>
                <w:bCs/>
                <w:color w:val="FFFFFF"/>
                <w:sz w:val="22"/>
                <w:szCs w:val="22"/>
                <w:lang w:val="es-CR"/>
              </w:rPr>
            </w:pPr>
            <w:r w:rsidRPr="002F7D73">
              <w:rPr>
                <w:rFonts w:ascii="Arial Narrow" w:eastAsia="Times New Roman" w:hAnsi="Arial Narrow" w:cs="Calibri"/>
                <w:b/>
                <w:bCs/>
                <w:color w:val="FFFFFF"/>
                <w:sz w:val="22"/>
                <w:szCs w:val="22"/>
                <w:lang w:val="es-CR"/>
              </w:rPr>
              <w:t>Normativa técnica y disposiciones adicionales</w:t>
            </w:r>
          </w:p>
        </w:tc>
      </w:tr>
      <w:tr w:rsidR="002F7D73" w:rsidRPr="006E5442" w14:paraId="0A84575E" w14:textId="77777777" w:rsidTr="002771C5">
        <w:trPr>
          <w:trHeight w:val="919"/>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673212" w14:textId="77777777" w:rsidR="002F7D73" w:rsidRPr="002F7D73" w:rsidRDefault="002F7D73" w:rsidP="002F7D73">
            <w:pPr>
              <w:jc w:val="center"/>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36F8D300" w14:textId="77777777" w:rsidR="002F7D73" w:rsidRPr="002F7D73" w:rsidRDefault="002F7D73" w:rsidP="002F7D73">
            <w:pPr>
              <w:jc w:val="center"/>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7</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02C38783" w14:textId="77777777" w:rsidR="002F7D73" w:rsidRPr="002F7D73" w:rsidRDefault="002F7D73" w:rsidP="002F7D73">
            <w:pPr>
              <w:jc w:val="center"/>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 xml:space="preserve"> </w:t>
            </w:r>
          </w:p>
        </w:tc>
        <w:tc>
          <w:tcPr>
            <w:tcW w:w="3679" w:type="dxa"/>
            <w:tcBorders>
              <w:top w:val="single" w:sz="8" w:space="0" w:color="auto"/>
              <w:left w:val="nil"/>
              <w:bottom w:val="single" w:sz="8" w:space="0" w:color="auto"/>
              <w:right w:val="single" w:sz="8" w:space="0" w:color="auto"/>
            </w:tcBorders>
            <w:shd w:val="clear" w:color="auto" w:fill="auto"/>
            <w:vAlign w:val="center"/>
            <w:hideMark/>
          </w:tcPr>
          <w:p w14:paraId="22325E45" w14:textId="77777777" w:rsidR="002F7D73" w:rsidRPr="002F7D73" w:rsidRDefault="002F7D73" w:rsidP="002F7D73">
            <w:pPr>
              <w:jc w:val="both"/>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EEFFC</w:t>
            </w:r>
          </w:p>
        </w:tc>
        <w:tc>
          <w:tcPr>
            <w:tcW w:w="2248" w:type="dxa"/>
            <w:tcBorders>
              <w:top w:val="single" w:sz="8" w:space="0" w:color="auto"/>
              <w:left w:val="nil"/>
              <w:bottom w:val="single" w:sz="8" w:space="0" w:color="auto"/>
              <w:right w:val="single" w:sz="8" w:space="0" w:color="auto"/>
            </w:tcBorders>
            <w:shd w:val="clear" w:color="auto" w:fill="auto"/>
            <w:vAlign w:val="center"/>
            <w:hideMark/>
          </w:tcPr>
          <w:p w14:paraId="672FE41D" w14:textId="77777777" w:rsidR="002F7D73" w:rsidRDefault="002F7D73" w:rsidP="002F7D73">
            <w:pPr>
              <w:jc w:val="both"/>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NICSP N° 35,</w:t>
            </w:r>
          </w:p>
          <w:p w14:paraId="015740F5" w14:textId="68E9AA1C" w:rsidR="002F7D73" w:rsidRPr="002F7D73" w:rsidRDefault="002F7D73" w:rsidP="002F7D73">
            <w:pPr>
              <w:jc w:val="both"/>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Párrafo 26.</w:t>
            </w:r>
          </w:p>
        </w:tc>
        <w:tc>
          <w:tcPr>
            <w:tcW w:w="1869" w:type="dxa"/>
            <w:tcBorders>
              <w:top w:val="single" w:sz="8" w:space="0" w:color="auto"/>
              <w:left w:val="nil"/>
              <w:bottom w:val="single" w:sz="8" w:space="0" w:color="auto"/>
              <w:right w:val="single" w:sz="8" w:space="0" w:color="auto"/>
            </w:tcBorders>
            <w:shd w:val="clear" w:color="auto" w:fill="auto"/>
            <w:vAlign w:val="center"/>
            <w:hideMark/>
          </w:tcPr>
          <w:p w14:paraId="0B63B0DA" w14:textId="7704CB31" w:rsidR="002F7D73" w:rsidRPr="002F7D73" w:rsidRDefault="002F7D73" w:rsidP="002771C5">
            <w:pPr>
              <w:jc w:val="both"/>
              <w:rPr>
                <w:rFonts w:ascii="Arial Narrow" w:eastAsia="Times New Roman" w:hAnsi="Arial Narrow" w:cs="Calibri"/>
                <w:b/>
                <w:bCs/>
                <w:color w:val="000000"/>
                <w:sz w:val="22"/>
                <w:szCs w:val="22"/>
                <w:lang w:val="es-CR"/>
              </w:rPr>
            </w:pPr>
            <w:r w:rsidRPr="002F7D73">
              <w:rPr>
                <w:rFonts w:ascii="Arial Narrow" w:eastAsia="Times New Roman" w:hAnsi="Arial Narrow" w:cs="Calibri"/>
                <w:b/>
                <w:bCs/>
                <w:color w:val="000000"/>
                <w:sz w:val="22"/>
                <w:szCs w:val="22"/>
                <w:lang w:val="es-CR"/>
              </w:rPr>
              <w:t xml:space="preserve">Manual de Procedimientos Contable-Financieros </w:t>
            </w:r>
            <w:r w:rsidRPr="002F7D73">
              <w:rPr>
                <w:rFonts w:ascii="Arial Narrow" w:eastAsia="Times New Roman" w:hAnsi="Arial Narrow" w:cs="Calibri"/>
                <w:b/>
                <w:bCs/>
                <w:color w:val="000000"/>
                <w:sz w:val="22"/>
                <w:szCs w:val="22"/>
                <w:lang w:val="es-CR"/>
              </w:rPr>
              <w:br/>
              <w:t xml:space="preserve">DGCN </w:t>
            </w:r>
          </w:p>
        </w:tc>
      </w:tr>
    </w:tbl>
    <w:p w14:paraId="4559601D" w14:textId="77777777" w:rsidR="000F3F2A" w:rsidRDefault="000F3F2A" w:rsidP="002236BD">
      <w:pPr>
        <w:pStyle w:val="Default"/>
        <w:ind w:left="1134" w:hanging="1134"/>
        <w:jc w:val="both"/>
        <w:rPr>
          <w:sz w:val="22"/>
          <w:szCs w:val="22"/>
          <w:lang w:val="es-CR"/>
        </w:rPr>
      </w:pPr>
    </w:p>
    <w:p w14:paraId="5D828DA3" w14:textId="426277C7" w:rsidR="002771C5" w:rsidRPr="0030399E" w:rsidRDefault="002771C5" w:rsidP="002771C5">
      <w:pPr>
        <w:pStyle w:val="Default"/>
        <w:ind w:left="1134" w:hanging="1134"/>
        <w:jc w:val="both"/>
        <w:rPr>
          <w:rFonts w:eastAsia="Arial"/>
          <w:b/>
          <w:sz w:val="22"/>
          <w:szCs w:val="22"/>
          <w:lang w:val="es-CR"/>
        </w:rPr>
      </w:pPr>
      <w:r w:rsidRPr="0030399E">
        <w:rPr>
          <w:rFonts w:eastAsia="Arial"/>
          <w:b/>
          <w:sz w:val="22"/>
          <w:szCs w:val="22"/>
          <w:lang w:val="es-CR"/>
        </w:rPr>
        <w:t>Política Contable</w:t>
      </w:r>
    </w:p>
    <w:p w14:paraId="79EB9365" w14:textId="77777777" w:rsidR="002771C5" w:rsidRDefault="002771C5" w:rsidP="002236BD">
      <w:pPr>
        <w:pStyle w:val="Default"/>
        <w:ind w:left="1134" w:hanging="1134"/>
        <w:jc w:val="both"/>
        <w:rPr>
          <w:sz w:val="22"/>
          <w:szCs w:val="22"/>
          <w:lang w:val="es-CR"/>
        </w:rPr>
      </w:pPr>
    </w:p>
    <w:p w14:paraId="3576CCC6" w14:textId="6D550169" w:rsidR="002F7D73" w:rsidRPr="002F7D73" w:rsidRDefault="002F7D73" w:rsidP="002236BD">
      <w:pPr>
        <w:pStyle w:val="Default"/>
        <w:ind w:left="1134" w:hanging="1134"/>
        <w:jc w:val="both"/>
        <w:rPr>
          <w:sz w:val="22"/>
          <w:szCs w:val="22"/>
          <w:lang w:val="es-CR"/>
        </w:rPr>
      </w:pPr>
      <w:r>
        <w:rPr>
          <w:sz w:val="22"/>
          <w:szCs w:val="22"/>
          <w:lang w:val="es-CR"/>
        </w:rPr>
        <w:t>7.7.0.01</w:t>
      </w:r>
      <w:r>
        <w:rPr>
          <w:sz w:val="22"/>
          <w:szCs w:val="22"/>
          <w:lang w:val="es-CR"/>
        </w:rPr>
        <w:tab/>
      </w:r>
      <w:r w:rsidRPr="002F7D73">
        <w:rPr>
          <w:sz w:val="22"/>
          <w:szCs w:val="22"/>
          <w:lang w:val="es-CR"/>
        </w:rPr>
        <w:t>Los EEFFC comprenden los EEFF principales y complementarios desarrollados en el presente PGCN y su estructura establecida en las Normas de Procedimientos de Consolidación Institucional Financiera del Sector Público Costarricense.</w:t>
      </w:r>
    </w:p>
    <w:p w14:paraId="0B574F9F" w14:textId="77777777" w:rsidR="000F3F2A" w:rsidRDefault="000F3F2A" w:rsidP="002236BD">
      <w:pPr>
        <w:pStyle w:val="Default"/>
        <w:ind w:left="1134" w:hanging="1134"/>
        <w:jc w:val="both"/>
        <w:rPr>
          <w:sz w:val="22"/>
          <w:szCs w:val="22"/>
          <w:lang w:val="es-CR"/>
        </w:rPr>
      </w:pPr>
    </w:p>
    <w:p w14:paraId="66F1CFCB" w14:textId="77777777" w:rsidR="002771C5" w:rsidRDefault="002771C5" w:rsidP="002236BD">
      <w:pPr>
        <w:pStyle w:val="Default"/>
        <w:ind w:left="1134" w:hanging="1134"/>
        <w:jc w:val="both"/>
        <w:rPr>
          <w:sz w:val="22"/>
          <w:szCs w:val="22"/>
          <w:lang w:val="es-CR"/>
        </w:rPr>
      </w:pPr>
    </w:p>
    <w:p w14:paraId="0D3B87B5" w14:textId="77777777" w:rsidR="002F7D73" w:rsidRDefault="002F7D73"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391"/>
        <w:gridCol w:w="7"/>
        <w:gridCol w:w="3679"/>
        <w:gridCol w:w="7"/>
        <w:gridCol w:w="2238"/>
        <w:gridCol w:w="7"/>
        <w:gridCol w:w="1893"/>
      </w:tblGrid>
      <w:tr w:rsidR="002F7D73" w:rsidRPr="002F7D73" w14:paraId="69500B4A" w14:textId="77777777" w:rsidTr="002771C5">
        <w:trPr>
          <w:trHeight w:val="300"/>
        </w:trPr>
        <w:tc>
          <w:tcPr>
            <w:tcW w:w="1522"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6CAA9E5" w14:textId="77777777" w:rsidR="002F7D73" w:rsidRPr="002F7D73" w:rsidRDefault="002F7D73" w:rsidP="002F7D73">
            <w:pPr>
              <w:jc w:val="center"/>
              <w:rPr>
                <w:rFonts w:ascii="Arial Narrow" w:eastAsia="Times New Roman" w:hAnsi="Arial Narrow" w:cs="Calibri"/>
                <w:b/>
                <w:bCs/>
                <w:color w:val="FFFFFF"/>
                <w:sz w:val="22"/>
                <w:szCs w:val="22"/>
              </w:rPr>
            </w:pPr>
            <w:r w:rsidRPr="002F7D73">
              <w:rPr>
                <w:rFonts w:ascii="Arial Narrow" w:eastAsia="Times New Roman" w:hAnsi="Arial Narrow" w:cs="Calibri"/>
                <w:b/>
                <w:bCs/>
                <w:color w:val="FFFFFF"/>
                <w:sz w:val="22"/>
                <w:szCs w:val="22"/>
              </w:rPr>
              <w:t>Norma / Política</w:t>
            </w:r>
          </w:p>
        </w:tc>
        <w:tc>
          <w:tcPr>
            <w:tcW w:w="3686"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77E466D1" w14:textId="77777777" w:rsidR="002F7D73" w:rsidRPr="002F7D73" w:rsidRDefault="002F7D73" w:rsidP="002F7D73">
            <w:pPr>
              <w:jc w:val="center"/>
              <w:rPr>
                <w:rFonts w:ascii="Arial Narrow" w:eastAsia="Times New Roman" w:hAnsi="Arial Narrow" w:cs="Calibri"/>
                <w:b/>
                <w:bCs/>
                <w:color w:val="FFFFFF"/>
                <w:sz w:val="22"/>
                <w:szCs w:val="22"/>
              </w:rPr>
            </w:pPr>
            <w:r w:rsidRPr="002F7D73">
              <w:rPr>
                <w:rFonts w:ascii="Arial Narrow" w:eastAsia="Times New Roman" w:hAnsi="Arial Narrow" w:cs="Calibri"/>
                <w:b/>
                <w:bCs/>
                <w:color w:val="FFFFFF"/>
                <w:sz w:val="22"/>
                <w:szCs w:val="22"/>
              </w:rPr>
              <w:t>Concepto</w:t>
            </w:r>
          </w:p>
        </w:tc>
        <w:tc>
          <w:tcPr>
            <w:tcW w:w="4138" w:type="dxa"/>
            <w:gridSpan w:val="3"/>
            <w:tcBorders>
              <w:top w:val="single" w:sz="8" w:space="0" w:color="auto"/>
              <w:left w:val="nil"/>
              <w:bottom w:val="single" w:sz="8" w:space="0" w:color="auto"/>
              <w:right w:val="single" w:sz="8" w:space="0" w:color="000000"/>
            </w:tcBorders>
            <w:shd w:val="clear" w:color="000000" w:fill="203764"/>
            <w:vAlign w:val="center"/>
            <w:hideMark/>
          </w:tcPr>
          <w:p w14:paraId="10495BB6" w14:textId="77777777" w:rsidR="002F7D73" w:rsidRPr="002F7D73" w:rsidRDefault="002F7D73" w:rsidP="002F7D73">
            <w:pPr>
              <w:jc w:val="center"/>
              <w:rPr>
                <w:rFonts w:ascii="Arial Narrow" w:eastAsia="Times New Roman" w:hAnsi="Arial Narrow" w:cs="Calibri"/>
                <w:b/>
                <w:bCs/>
                <w:color w:val="FFFFFF"/>
                <w:sz w:val="22"/>
                <w:szCs w:val="22"/>
              </w:rPr>
            </w:pPr>
            <w:r w:rsidRPr="002F7D73">
              <w:rPr>
                <w:rFonts w:ascii="Arial Narrow" w:eastAsia="Times New Roman" w:hAnsi="Arial Narrow" w:cs="Calibri"/>
                <w:b/>
                <w:bCs/>
                <w:color w:val="FFFFFF"/>
                <w:sz w:val="22"/>
                <w:szCs w:val="22"/>
              </w:rPr>
              <w:t>Referencia</w:t>
            </w:r>
          </w:p>
        </w:tc>
      </w:tr>
      <w:tr w:rsidR="002F7D73" w:rsidRPr="006E5442" w14:paraId="4074F25B" w14:textId="77777777" w:rsidTr="002771C5">
        <w:trPr>
          <w:trHeight w:val="850"/>
        </w:trPr>
        <w:tc>
          <w:tcPr>
            <w:tcW w:w="1522" w:type="dxa"/>
            <w:gridSpan w:val="4"/>
            <w:vMerge/>
            <w:tcBorders>
              <w:top w:val="single" w:sz="8" w:space="0" w:color="auto"/>
              <w:left w:val="single" w:sz="8" w:space="0" w:color="auto"/>
              <w:bottom w:val="nil"/>
              <w:right w:val="single" w:sz="8" w:space="0" w:color="000000"/>
            </w:tcBorders>
            <w:vAlign w:val="center"/>
            <w:hideMark/>
          </w:tcPr>
          <w:p w14:paraId="3ECDFC3C" w14:textId="77777777" w:rsidR="002F7D73" w:rsidRPr="002F7D73" w:rsidRDefault="002F7D73" w:rsidP="002F7D73">
            <w:pPr>
              <w:rPr>
                <w:rFonts w:ascii="Arial Narrow" w:eastAsia="Times New Roman" w:hAnsi="Arial Narrow" w:cs="Calibri"/>
                <w:b/>
                <w:bCs/>
                <w:color w:val="FFFFFF"/>
                <w:sz w:val="22"/>
                <w:szCs w:val="22"/>
              </w:rPr>
            </w:pPr>
          </w:p>
        </w:tc>
        <w:tc>
          <w:tcPr>
            <w:tcW w:w="3686" w:type="dxa"/>
            <w:gridSpan w:val="2"/>
            <w:vMerge/>
            <w:tcBorders>
              <w:top w:val="single" w:sz="8" w:space="0" w:color="auto"/>
              <w:left w:val="single" w:sz="8" w:space="0" w:color="auto"/>
              <w:bottom w:val="nil"/>
              <w:right w:val="single" w:sz="8" w:space="0" w:color="auto"/>
            </w:tcBorders>
            <w:vAlign w:val="center"/>
            <w:hideMark/>
          </w:tcPr>
          <w:p w14:paraId="7F526847" w14:textId="77777777" w:rsidR="002F7D73" w:rsidRPr="002F7D73" w:rsidRDefault="002F7D73" w:rsidP="002F7D73">
            <w:pPr>
              <w:rPr>
                <w:rFonts w:ascii="Arial Narrow" w:eastAsia="Times New Roman" w:hAnsi="Arial Narrow" w:cs="Calibri"/>
                <w:b/>
                <w:bCs/>
                <w:color w:val="FFFFFF"/>
                <w:sz w:val="22"/>
                <w:szCs w:val="22"/>
              </w:rPr>
            </w:pPr>
          </w:p>
        </w:tc>
        <w:tc>
          <w:tcPr>
            <w:tcW w:w="2245" w:type="dxa"/>
            <w:gridSpan w:val="2"/>
            <w:tcBorders>
              <w:top w:val="nil"/>
              <w:left w:val="nil"/>
              <w:bottom w:val="nil"/>
              <w:right w:val="single" w:sz="8" w:space="0" w:color="auto"/>
            </w:tcBorders>
            <w:shd w:val="clear" w:color="000000" w:fill="203764"/>
            <w:vAlign w:val="center"/>
            <w:hideMark/>
          </w:tcPr>
          <w:p w14:paraId="17776DDF" w14:textId="77777777" w:rsidR="002F7D73" w:rsidRPr="002F7D73" w:rsidRDefault="002F7D73" w:rsidP="002F7D73">
            <w:pPr>
              <w:jc w:val="center"/>
              <w:rPr>
                <w:rFonts w:ascii="Arial Narrow" w:eastAsia="Times New Roman" w:hAnsi="Arial Narrow" w:cs="Calibri"/>
                <w:b/>
                <w:bCs/>
                <w:color w:val="FFFFFF"/>
                <w:sz w:val="22"/>
                <w:szCs w:val="22"/>
              </w:rPr>
            </w:pPr>
            <w:r w:rsidRPr="002F7D73">
              <w:rPr>
                <w:rFonts w:ascii="Arial Narrow" w:eastAsia="Times New Roman" w:hAnsi="Arial Narrow" w:cs="Calibri"/>
                <w:b/>
                <w:bCs/>
                <w:color w:val="FFFFFF"/>
                <w:sz w:val="22"/>
                <w:szCs w:val="22"/>
              </w:rPr>
              <w:t>Norma</w:t>
            </w:r>
          </w:p>
        </w:tc>
        <w:tc>
          <w:tcPr>
            <w:tcW w:w="1893" w:type="dxa"/>
            <w:tcBorders>
              <w:top w:val="nil"/>
              <w:left w:val="nil"/>
              <w:bottom w:val="nil"/>
              <w:right w:val="single" w:sz="8" w:space="0" w:color="auto"/>
            </w:tcBorders>
            <w:shd w:val="clear" w:color="000000" w:fill="203764"/>
            <w:vAlign w:val="center"/>
            <w:hideMark/>
          </w:tcPr>
          <w:p w14:paraId="5BBEC413" w14:textId="77777777" w:rsidR="002F7D73" w:rsidRPr="002F7D73" w:rsidRDefault="002F7D73" w:rsidP="002F7D73">
            <w:pPr>
              <w:jc w:val="center"/>
              <w:rPr>
                <w:rFonts w:ascii="Arial Narrow" w:eastAsia="Times New Roman" w:hAnsi="Arial Narrow" w:cs="Calibri"/>
                <w:b/>
                <w:bCs/>
                <w:color w:val="FFFFFF"/>
                <w:sz w:val="22"/>
                <w:szCs w:val="22"/>
                <w:lang w:val="es-CR"/>
              </w:rPr>
            </w:pPr>
            <w:r w:rsidRPr="002F7D73">
              <w:rPr>
                <w:rFonts w:ascii="Arial Narrow" w:eastAsia="Times New Roman" w:hAnsi="Arial Narrow" w:cs="Calibri"/>
                <w:b/>
                <w:bCs/>
                <w:color w:val="FFFFFF"/>
                <w:sz w:val="22"/>
                <w:szCs w:val="22"/>
                <w:lang w:val="es-CR"/>
              </w:rPr>
              <w:t>Normativa técnica y disposiciones adicionales</w:t>
            </w:r>
          </w:p>
        </w:tc>
      </w:tr>
      <w:tr w:rsidR="002F7D73" w:rsidRPr="002F7D73" w14:paraId="79ABE85E" w14:textId="77777777" w:rsidTr="002771C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8264A6" w14:textId="77777777" w:rsidR="002F7D73" w:rsidRPr="002F7D73" w:rsidRDefault="002F7D73" w:rsidP="002F7D73">
            <w:pPr>
              <w:jc w:val="center"/>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25C1B1B" w14:textId="77777777" w:rsidR="002F7D73" w:rsidRPr="002F7D73" w:rsidRDefault="002F7D73" w:rsidP="002F7D73">
            <w:pPr>
              <w:jc w:val="center"/>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8</w:t>
            </w:r>
          </w:p>
        </w:tc>
        <w:tc>
          <w:tcPr>
            <w:tcW w:w="391" w:type="dxa"/>
            <w:tcBorders>
              <w:top w:val="single" w:sz="8" w:space="0" w:color="auto"/>
              <w:left w:val="nil"/>
              <w:bottom w:val="single" w:sz="8" w:space="0" w:color="auto"/>
              <w:right w:val="single" w:sz="8" w:space="0" w:color="auto"/>
            </w:tcBorders>
            <w:shd w:val="clear" w:color="auto" w:fill="auto"/>
            <w:vAlign w:val="center"/>
            <w:hideMark/>
          </w:tcPr>
          <w:p w14:paraId="0288BCBE" w14:textId="77777777" w:rsidR="002F7D73" w:rsidRPr="002F7D73" w:rsidRDefault="002F7D73" w:rsidP="002F7D73">
            <w:pPr>
              <w:jc w:val="center"/>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 xml:space="preserve"> </w:t>
            </w:r>
          </w:p>
        </w:tc>
        <w:tc>
          <w:tcPr>
            <w:tcW w:w="3686" w:type="dxa"/>
            <w:gridSpan w:val="2"/>
            <w:tcBorders>
              <w:top w:val="single" w:sz="8" w:space="0" w:color="auto"/>
              <w:left w:val="nil"/>
              <w:bottom w:val="single" w:sz="8" w:space="0" w:color="auto"/>
              <w:right w:val="single" w:sz="8" w:space="0" w:color="auto"/>
            </w:tcBorders>
            <w:shd w:val="clear" w:color="auto" w:fill="auto"/>
            <w:vAlign w:val="center"/>
            <w:hideMark/>
          </w:tcPr>
          <w:p w14:paraId="52BD8802" w14:textId="77777777" w:rsidR="002F7D73" w:rsidRPr="002F7D73" w:rsidRDefault="002F7D73" w:rsidP="002F7D73">
            <w:pPr>
              <w:jc w:val="both"/>
              <w:rPr>
                <w:rFonts w:ascii="Arial Narrow" w:eastAsia="Times New Roman" w:hAnsi="Arial Narrow" w:cs="Calibri"/>
                <w:b/>
                <w:bCs/>
                <w:color w:val="000000"/>
                <w:sz w:val="22"/>
                <w:szCs w:val="22"/>
                <w:lang w:val="es-CR"/>
              </w:rPr>
            </w:pPr>
            <w:r w:rsidRPr="002F7D73">
              <w:rPr>
                <w:rFonts w:ascii="Arial Narrow" w:eastAsia="Times New Roman" w:hAnsi="Arial Narrow" w:cs="Calibri"/>
                <w:b/>
                <w:bCs/>
                <w:color w:val="000000"/>
                <w:sz w:val="22"/>
                <w:szCs w:val="22"/>
                <w:lang w:val="es-CR"/>
              </w:rPr>
              <w:t>Entidades excluidas de la consolidación</w:t>
            </w:r>
          </w:p>
        </w:tc>
        <w:tc>
          <w:tcPr>
            <w:tcW w:w="2245" w:type="dxa"/>
            <w:gridSpan w:val="2"/>
            <w:tcBorders>
              <w:top w:val="single" w:sz="8" w:space="0" w:color="auto"/>
              <w:left w:val="nil"/>
              <w:bottom w:val="single" w:sz="8" w:space="0" w:color="auto"/>
              <w:right w:val="single" w:sz="8" w:space="0" w:color="auto"/>
            </w:tcBorders>
            <w:shd w:val="clear" w:color="auto" w:fill="auto"/>
            <w:vAlign w:val="center"/>
            <w:hideMark/>
          </w:tcPr>
          <w:p w14:paraId="4C179D67" w14:textId="77777777" w:rsidR="002F7D73" w:rsidRPr="002F7D73" w:rsidRDefault="002F7D73" w:rsidP="002F7D73">
            <w:pPr>
              <w:jc w:val="both"/>
              <w:rPr>
                <w:rFonts w:ascii="Arial Narrow" w:eastAsia="Times New Roman" w:hAnsi="Arial Narrow" w:cs="Calibri"/>
                <w:b/>
                <w:bCs/>
                <w:color w:val="000000"/>
                <w:sz w:val="22"/>
                <w:szCs w:val="22"/>
                <w:lang w:val="es-CR"/>
              </w:rPr>
            </w:pPr>
            <w:r w:rsidRPr="002F7D73">
              <w:rPr>
                <w:rFonts w:ascii="Arial Narrow" w:eastAsia="Times New Roman" w:hAnsi="Arial Narrow" w:cs="Calibri"/>
                <w:b/>
                <w:bCs/>
                <w:color w:val="000000"/>
                <w:sz w:val="22"/>
                <w:szCs w:val="22"/>
                <w:lang w:val="es-CR"/>
              </w:rPr>
              <w:t> </w:t>
            </w:r>
          </w:p>
        </w:tc>
        <w:tc>
          <w:tcPr>
            <w:tcW w:w="1900" w:type="dxa"/>
            <w:gridSpan w:val="2"/>
            <w:tcBorders>
              <w:top w:val="single" w:sz="8" w:space="0" w:color="auto"/>
              <w:left w:val="nil"/>
              <w:bottom w:val="single" w:sz="8" w:space="0" w:color="auto"/>
              <w:right w:val="single" w:sz="8" w:space="0" w:color="auto"/>
            </w:tcBorders>
            <w:shd w:val="clear" w:color="auto" w:fill="auto"/>
            <w:vAlign w:val="center"/>
            <w:hideMark/>
          </w:tcPr>
          <w:p w14:paraId="40FE5FBF" w14:textId="77777777" w:rsidR="002F7D73" w:rsidRPr="002F7D73" w:rsidRDefault="002F7D73" w:rsidP="002F7D73">
            <w:pPr>
              <w:jc w:val="center"/>
              <w:rPr>
                <w:rFonts w:ascii="Arial Narrow" w:eastAsia="Times New Roman" w:hAnsi="Arial Narrow" w:cs="Calibri"/>
                <w:b/>
                <w:bCs/>
                <w:color w:val="000000"/>
                <w:sz w:val="22"/>
                <w:szCs w:val="22"/>
              </w:rPr>
            </w:pPr>
            <w:r w:rsidRPr="002F7D73">
              <w:rPr>
                <w:rFonts w:ascii="Arial Narrow" w:eastAsia="Times New Roman" w:hAnsi="Arial Narrow" w:cs="Calibri"/>
                <w:b/>
                <w:bCs/>
                <w:color w:val="000000"/>
                <w:sz w:val="22"/>
                <w:szCs w:val="22"/>
              </w:rPr>
              <w:t>DGCN</w:t>
            </w:r>
            <w:r w:rsidRPr="002F7D73">
              <w:rPr>
                <w:rFonts w:ascii="Arial Narrow" w:eastAsia="Times New Roman" w:hAnsi="Arial Narrow" w:cs="Calibri"/>
                <w:b/>
                <w:bCs/>
                <w:color w:val="000000"/>
                <w:sz w:val="22"/>
                <w:szCs w:val="22"/>
              </w:rPr>
              <w:br/>
              <w:t xml:space="preserve">MCC </w:t>
            </w:r>
          </w:p>
        </w:tc>
      </w:tr>
    </w:tbl>
    <w:p w14:paraId="7BD689F9" w14:textId="77777777" w:rsidR="002F7D73" w:rsidRDefault="002F7D73" w:rsidP="002236BD">
      <w:pPr>
        <w:pStyle w:val="Default"/>
        <w:ind w:left="1134" w:hanging="1134"/>
        <w:jc w:val="both"/>
        <w:rPr>
          <w:sz w:val="22"/>
          <w:szCs w:val="22"/>
          <w:lang w:val="es-CR"/>
        </w:rPr>
      </w:pPr>
    </w:p>
    <w:p w14:paraId="092A8A14" w14:textId="7FE05407" w:rsidR="002771C5" w:rsidRDefault="002771C5" w:rsidP="002771C5">
      <w:pPr>
        <w:pStyle w:val="Default"/>
        <w:ind w:left="1134" w:hanging="1134"/>
        <w:jc w:val="both"/>
        <w:rPr>
          <w:rFonts w:eastAsia="Arial"/>
          <w:b/>
          <w:sz w:val="22"/>
          <w:szCs w:val="22"/>
        </w:rPr>
      </w:pPr>
      <w:r w:rsidRPr="00F02F9D">
        <w:rPr>
          <w:rFonts w:eastAsia="Arial"/>
          <w:b/>
          <w:sz w:val="22"/>
          <w:szCs w:val="22"/>
        </w:rPr>
        <w:t>Política Contable</w:t>
      </w:r>
    </w:p>
    <w:p w14:paraId="3212754B" w14:textId="77777777" w:rsidR="002771C5" w:rsidRDefault="002771C5" w:rsidP="002236BD">
      <w:pPr>
        <w:pStyle w:val="Default"/>
        <w:ind w:left="1134" w:hanging="1134"/>
        <w:jc w:val="both"/>
        <w:rPr>
          <w:sz w:val="22"/>
          <w:szCs w:val="22"/>
          <w:lang w:val="es-CR"/>
        </w:rPr>
      </w:pPr>
    </w:p>
    <w:p w14:paraId="7E35A472" w14:textId="3C405D35" w:rsidR="002F7D73" w:rsidRPr="002F7D73" w:rsidRDefault="002F7D73" w:rsidP="002236BD">
      <w:pPr>
        <w:pStyle w:val="Default"/>
        <w:ind w:left="1134" w:hanging="1134"/>
        <w:jc w:val="both"/>
        <w:rPr>
          <w:sz w:val="22"/>
          <w:szCs w:val="22"/>
          <w:lang w:val="es-CR"/>
        </w:rPr>
      </w:pPr>
      <w:r>
        <w:rPr>
          <w:sz w:val="22"/>
          <w:szCs w:val="22"/>
          <w:lang w:val="es-CR"/>
        </w:rPr>
        <w:t>7.8.0.01</w:t>
      </w:r>
      <w:r>
        <w:rPr>
          <w:sz w:val="22"/>
          <w:szCs w:val="22"/>
          <w:lang w:val="es-CR"/>
        </w:rPr>
        <w:tab/>
      </w:r>
      <w:r w:rsidRPr="002F7D73">
        <w:rPr>
          <w:sz w:val="22"/>
          <w:szCs w:val="22"/>
          <w:lang w:val="es-CR"/>
        </w:rPr>
        <w:t xml:space="preserve">En Costa Rica el término </w:t>
      </w:r>
      <w:r w:rsidR="008A0BAE">
        <w:rPr>
          <w:sz w:val="22"/>
          <w:szCs w:val="22"/>
          <w:lang w:val="es-CR"/>
        </w:rPr>
        <w:t>“</w:t>
      </w:r>
      <w:r w:rsidRPr="002F7D73">
        <w:rPr>
          <w:sz w:val="22"/>
          <w:szCs w:val="22"/>
          <w:lang w:val="es-CR"/>
        </w:rPr>
        <w:t>control</w:t>
      </w:r>
      <w:r w:rsidR="008A0BAE">
        <w:rPr>
          <w:sz w:val="22"/>
          <w:szCs w:val="22"/>
          <w:lang w:val="es-CR"/>
        </w:rPr>
        <w:t>”</w:t>
      </w:r>
      <w:r w:rsidRPr="002F7D73">
        <w:rPr>
          <w:sz w:val="22"/>
          <w:szCs w:val="22"/>
          <w:lang w:val="es-CR"/>
        </w:rPr>
        <w:t xml:space="preserve"> o </w:t>
      </w:r>
      <w:r w:rsidR="008A0BAE">
        <w:rPr>
          <w:sz w:val="22"/>
          <w:szCs w:val="22"/>
          <w:lang w:val="es-CR"/>
        </w:rPr>
        <w:t>“</w:t>
      </w:r>
      <w:r w:rsidRPr="002F7D73">
        <w:rPr>
          <w:sz w:val="22"/>
          <w:szCs w:val="22"/>
          <w:lang w:val="es-CR"/>
        </w:rPr>
        <w:t>participación patrimonial</w:t>
      </w:r>
      <w:r w:rsidR="008A0BAE">
        <w:rPr>
          <w:sz w:val="22"/>
          <w:szCs w:val="22"/>
          <w:lang w:val="es-CR"/>
        </w:rPr>
        <w:t>”</w:t>
      </w:r>
      <w:r w:rsidRPr="002F7D73">
        <w:rPr>
          <w:sz w:val="22"/>
          <w:szCs w:val="22"/>
          <w:lang w:val="es-CR"/>
        </w:rPr>
        <w:t xml:space="preserve"> en los entes contables públicos es muy particular, ya que cada uno de ellos depende de una ley de creación y de un aporte de capital inicial por parte de</w:t>
      </w:r>
      <w:r>
        <w:rPr>
          <w:sz w:val="22"/>
          <w:szCs w:val="22"/>
          <w:lang w:val="es-CR"/>
        </w:rPr>
        <w:t xml:space="preserve"> </w:t>
      </w:r>
      <w:r w:rsidRPr="002F7D73">
        <w:rPr>
          <w:sz w:val="22"/>
          <w:szCs w:val="22"/>
          <w:lang w:val="es-CR"/>
        </w:rPr>
        <w:t>l</w:t>
      </w:r>
      <w:r>
        <w:rPr>
          <w:sz w:val="22"/>
          <w:szCs w:val="22"/>
          <w:lang w:val="es-CR"/>
        </w:rPr>
        <w:t>a</w:t>
      </w:r>
      <w:r w:rsidRPr="002F7D73">
        <w:rPr>
          <w:sz w:val="22"/>
          <w:szCs w:val="22"/>
          <w:lang w:val="es-CR"/>
        </w:rPr>
        <w:t xml:space="preserve"> </w:t>
      </w:r>
      <w:r>
        <w:rPr>
          <w:sz w:val="22"/>
          <w:szCs w:val="22"/>
          <w:lang w:val="es-CR"/>
        </w:rPr>
        <w:t>Municipalidad</w:t>
      </w:r>
      <w:r w:rsidRPr="002F7D73">
        <w:rPr>
          <w:sz w:val="22"/>
          <w:szCs w:val="22"/>
          <w:lang w:val="es-CR"/>
        </w:rPr>
        <w:t xml:space="preserve"> que no está representado por su valor económico.</w:t>
      </w:r>
      <w:r w:rsidR="008A0BAE">
        <w:rPr>
          <w:sz w:val="22"/>
          <w:szCs w:val="22"/>
          <w:lang w:val="es-CR"/>
        </w:rPr>
        <w:t xml:space="preserve"> </w:t>
      </w:r>
      <w:r>
        <w:rPr>
          <w:sz w:val="22"/>
          <w:szCs w:val="22"/>
          <w:lang w:val="es-CR"/>
        </w:rPr>
        <w:t>A</w:t>
      </w:r>
      <w:r w:rsidRPr="002F7D73">
        <w:rPr>
          <w:sz w:val="22"/>
          <w:szCs w:val="22"/>
          <w:lang w:val="es-CR"/>
        </w:rPr>
        <w:t>dicional</w:t>
      </w:r>
      <w:r w:rsidR="008A0BAE">
        <w:rPr>
          <w:sz w:val="22"/>
          <w:szCs w:val="22"/>
          <w:lang w:val="es-CR"/>
        </w:rPr>
        <w:t>mente,</w:t>
      </w:r>
      <w:r w:rsidRPr="002F7D73">
        <w:rPr>
          <w:sz w:val="22"/>
          <w:szCs w:val="22"/>
          <w:lang w:val="es-CR"/>
        </w:rPr>
        <w:t xml:space="preserve"> los entes contables </w:t>
      </w:r>
      <w:r w:rsidR="008A0BAE">
        <w:rPr>
          <w:sz w:val="22"/>
          <w:szCs w:val="22"/>
          <w:lang w:val="es-CR"/>
        </w:rPr>
        <w:t>públicos</w:t>
      </w:r>
      <w:r w:rsidRPr="002F7D73">
        <w:rPr>
          <w:sz w:val="22"/>
          <w:szCs w:val="22"/>
          <w:lang w:val="es-CR"/>
        </w:rPr>
        <w:t xml:space="preserve"> el Patrimonio no tiene ninguna relación con acciones comunes ni el pago de dividendos. De igual forma, aquellos entes contables que en su momento no tengan un negocio en marcha o se determine que su materialidad dentro de sus EEFFC no es relevante, o en su defecto pierda algunas de las características que lo consideraban como un ente contable, </w:t>
      </w:r>
      <w:r w:rsidR="008A0BAE">
        <w:rPr>
          <w:sz w:val="22"/>
          <w:szCs w:val="22"/>
          <w:lang w:val="es-CR"/>
        </w:rPr>
        <w:t>se procederá</w:t>
      </w:r>
      <w:r w:rsidRPr="002F7D73">
        <w:rPr>
          <w:sz w:val="22"/>
          <w:szCs w:val="22"/>
          <w:lang w:val="es-CR"/>
        </w:rPr>
        <w:t xml:space="preserve"> a </w:t>
      </w:r>
      <w:r w:rsidR="008A0BAE">
        <w:rPr>
          <w:sz w:val="22"/>
          <w:szCs w:val="22"/>
          <w:lang w:val="es-CR"/>
        </w:rPr>
        <w:t>su</w:t>
      </w:r>
      <w:r w:rsidRPr="002F7D73">
        <w:rPr>
          <w:sz w:val="22"/>
          <w:szCs w:val="22"/>
          <w:lang w:val="es-CR"/>
        </w:rPr>
        <w:t xml:space="preserve"> exclusión.</w:t>
      </w:r>
    </w:p>
    <w:p w14:paraId="775CA701" w14:textId="77777777" w:rsidR="002F7D73" w:rsidRDefault="002F7D73" w:rsidP="002236BD">
      <w:pPr>
        <w:pStyle w:val="Default"/>
        <w:ind w:left="1134" w:hanging="1134"/>
        <w:jc w:val="both"/>
        <w:rPr>
          <w:sz w:val="22"/>
          <w:szCs w:val="22"/>
          <w:lang w:val="es-CR"/>
        </w:rPr>
      </w:pPr>
    </w:p>
    <w:p w14:paraId="1C0768DF" w14:textId="77777777" w:rsidR="002F7D73" w:rsidRDefault="002F7D73" w:rsidP="002236BD">
      <w:pPr>
        <w:pStyle w:val="Default"/>
        <w:ind w:left="1134" w:hanging="1134"/>
        <w:jc w:val="both"/>
        <w:rPr>
          <w:sz w:val="22"/>
          <w:szCs w:val="22"/>
          <w:lang w:val="es-CR"/>
        </w:rPr>
      </w:pPr>
    </w:p>
    <w:p w14:paraId="33F2DB00" w14:textId="77777777" w:rsidR="002771C5" w:rsidRDefault="002771C5" w:rsidP="002236BD">
      <w:pPr>
        <w:pStyle w:val="Default"/>
        <w:ind w:left="1134" w:hanging="1134"/>
        <w:jc w:val="both"/>
        <w:rPr>
          <w:sz w:val="22"/>
          <w:szCs w:val="22"/>
          <w:lang w:val="es-CR"/>
        </w:rPr>
      </w:pPr>
    </w:p>
    <w:p w14:paraId="4F6E08AB" w14:textId="77777777" w:rsidR="002771C5" w:rsidRDefault="002771C5" w:rsidP="002236BD">
      <w:pPr>
        <w:pStyle w:val="Default"/>
        <w:ind w:left="1134" w:hanging="1134"/>
        <w:jc w:val="both"/>
        <w:rPr>
          <w:sz w:val="22"/>
          <w:szCs w:val="22"/>
          <w:lang w:val="es-CR"/>
        </w:rPr>
      </w:pPr>
    </w:p>
    <w:p w14:paraId="5003257D" w14:textId="3EF02FD9" w:rsidR="00974860" w:rsidRPr="00974860" w:rsidRDefault="00974860" w:rsidP="00974860">
      <w:pPr>
        <w:pStyle w:val="Ttulo2"/>
        <w:ind w:left="284"/>
        <w:rPr>
          <w:rFonts w:ascii="Arial" w:eastAsia="Arial" w:hAnsi="Arial" w:cs="Arial"/>
          <w:b/>
          <w:bCs/>
          <w:sz w:val="24"/>
          <w:szCs w:val="24"/>
          <w:lang w:val="es-CR"/>
        </w:rPr>
      </w:pPr>
      <w:bookmarkStart w:id="192" w:name="_Toc172726327"/>
      <w:r w:rsidRPr="00974860">
        <w:rPr>
          <w:rFonts w:ascii="Arial" w:eastAsia="Arial" w:hAnsi="Arial" w:cs="Arial"/>
          <w:b/>
          <w:bCs/>
          <w:sz w:val="24"/>
          <w:szCs w:val="24"/>
          <w:lang w:val="es-CR"/>
        </w:rPr>
        <w:t>Operaciones de Consolidación</w:t>
      </w:r>
      <w:bookmarkEnd w:id="192"/>
    </w:p>
    <w:p w14:paraId="67708029" w14:textId="77777777" w:rsidR="00974860" w:rsidRDefault="00974860" w:rsidP="002236BD">
      <w:pPr>
        <w:pStyle w:val="Default"/>
        <w:ind w:left="1134" w:hanging="1134"/>
        <w:jc w:val="both"/>
        <w:rPr>
          <w:sz w:val="22"/>
          <w:szCs w:val="22"/>
          <w:lang w:val="es-CR"/>
        </w:rPr>
      </w:pPr>
    </w:p>
    <w:p w14:paraId="09107E8A" w14:textId="77777777" w:rsidR="00974860" w:rsidRDefault="00974860"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660"/>
        <w:gridCol w:w="352"/>
        <w:gridCol w:w="3740"/>
        <w:gridCol w:w="2280"/>
        <w:gridCol w:w="1898"/>
      </w:tblGrid>
      <w:tr w:rsidR="00974860" w:rsidRPr="00974860" w14:paraId="6D6B0649" w14:textId="77777777" w:rsidTr="002771C5">
        <w:trPr>
          <w:trHeight w:val="320"/>
        </w:trPr>
        <w:tc>
          <w:tcPr>
            <w:tcW w:w="1428"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3E58270D" w14:textId="77777777" w:rsidR="00974860" w:rsidRPr="00974860" w:rsidRDefault="00974860" w:rsidP="00974860">
            <w:pPr>
              <w:jc w:val="center"/>
              <w:rPr>
                <w:rFonts w:ascii="Arial Narrow" w:eastAsia="Times New Roman" w:hAnsi="Arial Narrow" w:cs="Calibri"/>
                <w:b/>
                <w:bCs/>
                <w:color w:val="FFFFFF"/>
                <w:sz w:val="22"/>
                <w:szCs w:val="22"/>
              </w:rPr>
            </w:pPr>
            <w:r w:rsidRPr="00974860">
              <w:rPr>
                <w:rFonts w:ascii="Arial Narrow" w:eastAsia="Times New Roman" w:hAnsi="Arial Narrow" w:cs="Calibri"/>
                <w:b/>
                <w:bCs/>
                <w:color w:val="FFFFFF"/>
                <w:sz w:val="22"/>
                <w:szCs w:val="22"/>
              </w:rPr>
              <w:t>Norma / Política</w:t>
            </w:r>
          </w:p>
        </w:tc>
        <w:tc>
          <w:tcPr>
            <w:tcW w:w="37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DEEA4C" w14:textId="77777777" w:rsidR="00974860" w:rsidRPr="00974860" w:rsidRDefault="00974860" w:rsidP="00974860">
            <w:pPr>
              <w:jc w:val="center"/>
              <w:rPr>
                <w:rFonts w:ascii="Arial Narrow" w:eastAsia="Times New Roman" w:hAnsi="Arial Narrow" w:cs="Calibri"/>
                <w:b/>
                <w:bCs/>
                <w:color w:val="FFFFFF"/>
                <w:sz w:val="22"/>
                <w:szCs w:val="22"/>
              </w:rPr>
            </w:pPr>
            <w:r w:rsidRPr="00974860">
              <w:rPr>
                <w:rFonts w:ascii="Arial Narrow" w:eastAsia="Times New Roman" w:hAnsi="Arial Narrow" w:cs="Calibri"/>
                <w:b/>
                <w:bCs/>
                <w:color w:val="FFFFFF"/>
                <w:sz w:val="22"/>
                <w:szCs w:val="22"/>
              </w:rPr>
              <w:t>Concepto</w:t>
            </w:r>
          </w:p>
        </w:tc>
        <w:tc>
          <w:tcPr>
            <w:tcW w:w="4178" w:type="dxa"/>
            <w:gridSpan w:val="2"/>
            <w:tcBorders>
              <w:top w:val="single" w:sz="8" w:space="0" w:color="auto"/>
              <w:left w:val="nil"/>
              <w:bottom w:val="single" w:sz="8" w:space="0" w:color="auto"/>
              <w:right w:val="single" w:sz="8" w:space="0" w:color="000000"/>
            </w:tcBorders>
            <w:shd w:val="clear" w:color="000000" w:fill="203764"/>
            <w:vAlign w:val="center"/>
            <w:hideMark/>
          </w:tcPr>
          <w:p w14:paraId="40CF57E0" w14:textId="77777777" w:rsidR="00974860" w:rsidRPr="00974860" w:rsidRDefault="00974860" w:rsidP="00974860">
            <w:pPr>
              <w:jc w:val="center"/>
              <w:rPr>
                <w:rFonts w:ascii="Arial Narrow" w:eastAsia="Times New Roman" w:hAnsi="Arial Narrow" w:cs="Calibri"/>
                <w:b/>
                <w:bCs/>
                <w:color w:val="FFFFFF"/>
                <w:sz w:val="22"/>
                <w:szCs w:val="22"/>
              </w:rPr>
            </w:pPr>
            <w:r w:rsidRPr="00974860">
              <w:rPr>
                <w:rFonts w:ascii="Arial Narrow" w:eastAsia="Times New Roman" w:hAnsi="Arial Narrow" w:cs="Calibri"/>
                <w:b/>
                <w:bCs/>
                <w:color w:val="FFFFFF"/>
                <w:sz w:val="22"/>
                <w:szCs w:val="22"/>
              </w:rPr>
              <w:t>Referencia</w:t>
            </w:r>
          </w:p>
        </w:tc>
      </w:tr>
      <w:tr w:rsidR="00974860" w:rsidRPr="006E5442" w14:paraId="3E15AD08" w14:textId="77777777" w:rsidTr="002771C5">
        <w:trPr>
          <w:trHeight w:val="850"/>
        </w:trPr>
        <w:tc>
          <w:tcPr>
            <w:tcW w:w="1428" w:type="dxa"/>
            <w:gridSpan w:val="3"/>
            <w:vMerge/>
            <w:tcBorders>
              <w:top w:val="single" w:sz="8" w:space="0" w:color="auto"/>
              <w:left w:val="single" w:sz="8" w:space="0" w:color="auto"/>
              <w:bottom w:val="nil"/>
              <w:right w:val="single" w:sz="8" w:space="0" w:color="000000"/>
            </w:tcBorders>
            <w:vAlign w:val="center"/>
            <w:hideMark/>
          </w:tcPr>
          <w:p w14:paraId="3DDD1D86" w14:textId="77777777" w:rsidR="00974860" w:rsidRPr="00974860" w:rsidRDefault="00974860" w:rsidP="00974860">
            <w:pPr>
              <w:rPr>
                <w:rFonts w:ascii="Arial Narrow" w:eastAsia="Times New Roman" w:hAnsi="Arial Narrow" w:cs="Calibri"/>
                <w:b/>
                <w:bCs/>
                <w:color w:val="FFFFFF"/>
                <w:sz w:val="22"/>
                <w:szCs w:val="22"/>
              </w:rPr>
            </w:pPr>
          </w:p>
        </w:tc>
        <w:tc>
          <w:tcPr>
            <w:tcW w:w="3740" w:type="dxa"/>
            <w:vMerge/>
            <w:tcBorders>
              <w:top w:val="single" w:sz="8" w:space="0" w:color="auto"/>
              <w:left w:val="single" w:sz="8" w:space="0" w:color="auto"/>
              <w:bottom w:val="nil"/>
              <w:right w:val="single" w:sz="8" w:space="0" w:color="auto"/>
            </w:tcBorders>
            <w:vAlign w:val="center"/>
            <w:hideMark/>
          </w:tcPr>
          <w:p w14:paraId="66C27305" w14:textId="77777777" w:rsidR="00974860" w:rsidRPr="00974860" w:rsidRDefault="00974860" w:rsidP="00974860">
            <w:pPr>
              <w:rPr>
                <w:rFonts w:ascii="Arial Narrow" w:eastAsia="Times New Roman" w:hAnsi="Arial Narrow" w:cs="Calibri"/>
                <w:b/>
                <w:bCs/>
                <w:color w:val="FFFFFF"/>
                <w:sz w:val="22"/>
                <w:szCs w:val="22"/>
              </w:rPr>
            </w:pPr>
          </w:p>
        </w:tc>
        <w:tc>
          <w:tcPr>
            <w:tcW w:w="2280" w:type="dxa"/>
            <w:tcBorders>
              <w:top w:val="nil"/>
              <w:left w:val="nil"/>
              <w:bottom w:val="nil"/>
              <w:right w:val="single" w:sz="8" w:space="0" w:color="auto"/>
            </w:tcBorders>
            <w:shd w:val="clear" w:color="000000" w:fill="203764"/>
            <w:vAlign w:val="center"/>
            <w:hideMark/>
          </w:tcPr>
          <w:p w14:paraId="4CC382BF" w14:textId="77777777" w:rsidR="00974860" w:rsidRPr="00974860" w:rsidRDefault="00974860" w:rsidP="00974860">
            <w:pPr>
              <w:jc w:val="center"/>
              <w:rPr>
                <w:rFonts w:ascii="Arial Narrow" w:eastAsia="Times New Roman" w:hAnsi="Arial Narrow" w:cs="Calibri"/>
                <w:b/>
                <w:bCs/>
                <w:color w:val="FFFFFF"/>
                <w:sz w:val="22"/>
                <w:szCs w:val="22"/>
              </w:rPr>
            </w:pPr>
            <w:r w:rsidRPr="00974860">
              <w:rPr>
                <w:rFonts w:ascii="Arial Narrow" w:eastAsia="Times New Roman" w:hAnsi="Arial Narrow" w:cs="Calibri"/>
                <w:b/>
                <w:bCs/>
                <w:color w:val="FFFFFF"/>
                <w:sz w:val="22"/>
                <w:szCs w:val="22"/>
              </w:rPr>
              <w:t>Norma</w:t>
            </w:r>
          </w:p>
        </w:tc>
        <w:tc>
          <w:tcPr>
            <w:tcW w:w="1898" w:type="dxa"/>
            <w:tcBorders>
              <w:top w:val="nil"/>
              <w:left w:val="nil"/>
              <w:bottom w:val="nil"/>
              <w:right w:val="single" w:sz="8" w:space="0" w:color="auto"/>
            </w:tcBorders>
            <w:shd w:val="clear" w:color="000000" w:fill="203764"/>
            <w:vAlign w:val="center"/>
            <w:hideMark/>
          </w:tcPr>
          <w:p w14:paraId="037BC3DD" w14:textId="77777777" w:rsidR="00974860" w:rsidRPr="00974860" w:rsidRDefault="00974860" w:rsidP="00974860">
            <w:pPr>
              <w:jc w:val="center"/>
              <w:rPr>
                <w:rFonts w:ascii="Arial Narrow" w:eastAsia="Times New Roman" w:hAnsi="Arial Narrow" w:cs="Calibri"/>
                <w:b/>
                <w:bCs/>
                <w:color w:val="FFFFFF"/>
                <w:sz w:val="22"/>
                <w:szCs w:val="22"/>
                <w:lang w:val="es-CR"/>
              </w:rPr>
            </w:pPr>
            <w:r w:rsidRPr="00974860">
              <w:rPr>
                <w:rFonts w:ascii="Arial Narrow" w:eastAsia="Times New Roman" w:hAnsi="Arial Narrow" w:cs="Calibri"/>
                <w:b/>
                <w:bCs/>
                <w:color w:val="FFFFFF"/>
                <w:sz w:val="22"/>
                <w:szCs w:val="22"/>
                <w:lang w:val="es-CR"/>
              </w:rPr>
              <w:t>Normativa técnica y disposiciones adicionales</w:t>
            </w:r>
          </w:p>
        </w:tc>
      </w:tr>
      <w:tr w:rsidR="00974860" w:rsidRPr="00974860" w14:paraId="73C8B304" w14:textId="77777777" w:rsidTr="002771C5">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9BEB23" w14:textId="77777777" w:rsidR="00974860" w:rsidRPr="00974860" w:rsidRDefault="00974860" w:rsidP="002771C5">
            <w:pPr>
              <w:jc w:val="cente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7</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589898BF" w14:textId="77777777" w:rsidR="00974860" w:rsidRPr="00974860" w:rsidRDefault="00974860" w:rsidP="002771C5">
            <w:pPr>
              <w:jc w:val="cente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9</w:t>
            </w:r>
          </w:p>
        </w:tc>
        <w:tc>
          <w:tcPr>
            <w:tcW w:w="352" w:type="dxa"/>
            <w:tcBorders>
              <w:top w:val="single" w:sz="8" w:space="0" w:color="auto"/>
              <w:left w:val="nil"/>
              <w:bottom w:val="single" w:sz="8" w:space="0" w:color="auto"/>
              <w:right w:val="single" w:sz="8" w:space="0" w:color="auto"/>
            </w:tcBorders>
            <w:shd w:val="clear" w:color="auto" w:fill="auto"/>
            <w:vAlign w:val="center"/>
            <w:hideMark/>
          </w:tcPr>
          <w:p w14:paraId="7128BAF7" w14:textId="77777777" w:rsidR="00974860" w:rsidRPr="00974860" w:rsidRDefault="00974860" w:rsidP="00974860">
            <w:pPr>
              <w:jc w:val="cente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 xml:space="preserve"> </w:t>
            </w:r>
          </w:p>
        </w:tc>
        <w:tc>
          <w:tcPr>
            <w:tcW w:w="3740" w:type="dxa"/>
            <w:tcBorders>
              <w:top w:val="single" w:sz="8" w:space="0" w:color="auto"/>
              <w:left w:val="nil"/>
              <w:bottom w:val="single" w:sz="8" w:space="0" w:color="auto"/>
              <w:right w:val="single" w:sz="8" w:space="0" w:color="auto"/>
            </w:tcBorders>
            <w:shd w:val="clear" w:color="auto" w:fill="auto"/>
            <w:vAlign w:val="center"/>
            <w:hideMark/>
          </w:tcPr>
          <w:p w14:paraId="42997EEE" w14:textId="77777777" w:rsidR="00974860" w:rsidRPr="00974860" w:rsidRDefault="00974860" w:rsidP="00974860">
            <w:pPr>
              <w:rPr>
                <w:rFonts w:ascii="Arial Narrow" w:eastAsia="Times New Roman" w:hAnsi="Arial Narrow" w:cs="Calibri"/>
                <w:b/>
                <w:bCs/>
                <w:color w:val="000000"/>
                <w:sz w:val="22"/>
                <w:szCs w:val="22"/>
                <w:lang w:val="es-CR"/>
              </w:rPr>
            </w:pPr>
            <w:r w:rsidRPr="00974860">
              <w:rPr>
                <w:rFonts w:ascii="Arial Narrow" w:eastAsia="Times New Roman" w:hAnsi="Arial Narrow" w:cs="Calibri"/>
                <w:b/>
                <w:bCs/>
                <w:color w:val="000000"/>
                <w:sz w:val="22"/>
                <w:szCs w:val="22"/>
                <w:lang w:val="es-CR"/>
              </w:rPr>
              <w:t>Condiciones previas para la consolidación</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15A74B34" w14:textId="409ADC28" w:rsidR="00974860" w:rsidRPr="00974860" w:rsidRDefault="00974860" w:rsidP="00974860">
            <w:pP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 xml:space="preserve">NICSP N° </w:t>
            </w:r>
            <w:r w:rsidR="002771C5" w:rsidRPr="00974860">
              <w:rPr>
                <w:rFonts w:ascii="Arial Narrow" w:eastAsia="Times New Roman" w:hAnsi="Arial Narrow" w:cs="Calibri"/>
                <w:b/>
                <w:bCs/>
                <w:color w:val="000000"/>
                <w:sz w:val="22"/>
                <w:szCs w:val="22"/>
              </w:rPr>
              <w:t>35,</w:t>
            </w:r>
            <w:r w:rsidRPr="00974860">
              <w:rPr>
                <w:rFonts w:ascii="Arial Narrow" w:eastAsia="Times New Roman" w:hAnsi="Arial Narrow" w:cs="Calibri"/>
                <w:b/>
                <w:bCs/>
                <w:color w:val="000000"/>
                <w:sz w:val="22"/>
                <w:szCs w:val="22"/>
              </w:rPr>
              <w:t xml:space="preserve"> </w:t>
            </w:r>
            <w:r w:rsidRPr="00974860">
              <w:rPr>
                <w:rFonts w:ascii="Arial Narrow" w:eastAsia="Times New Roman" w:hAnsi="Arial Narrow" w:cs="Calibri"/>
                <w:b/>
                <w:bCs/>
                <w:color w:val="000000"/>
                <w:sz w:val="22"/>
                <w:szCs w:val="22"/>
              </w:rPr>
              <w:br/>
              <w:t>Párrafos 38 y 46.</w:t>
            </w:r>
          </w:p>
        </w:tc>
        <w:tc>
          <w:tcPr>
            <w:tcW w:w="1898" w:type="dxa"/>
            <w:tcBorders>
              <w:top w:val="single" w:sz="8" w:space="0" w:color="auto"/>
              <w:left w:val="nil"/>
              <w:bottom w:val="single" w:sz="8" w:space="0" w:color="auto"/>
              <w:right w:val="single" w:sz="8" w:space="0" w:color="auto"/>
            </w:tcBorders>
            <w:shd w:val="clear" w:color="auto" w:fill="auto"/>
            <w:vAlign w:val="center"/>
            <w:hideMark/>
          </w:tcPr>
          <w:p w14:paraId="4DFCBC18" w14:textId="77777777" w:rsidR="00974860" w:rsidRPr="00974860" w:rsidRDefault="00974860" w:rsidP="00974860">
            <w:pPr>
              <w:jc w:val="cente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DGCN</w:t>
            </w:r>
            <w:r w:rsidRPr="00974860">
              <w:rPr>
                <w:rFonts w:ascii="Arial Narrow" w:eastAsia="Times New Roman" w:hAnsi="Arial Narrow" w:cs="Calibri"/>
                <w:b/>
                <w:bCs/>
                <w:color w:val="000000"/>
                <w:sz w:val="22"/>
                <w:szCs w:val="22"/>
              </w:rPr>
              <w:br/>
              <w:t>MCC</w:t>
            </w:r>
          </w:p>
        </w:tc>
      </w:tr>
      <w:tr w:rsidR="00974860" w:rsidRPr="00974860" w14:paraId="59EBA138" w14:textId="77777777" w:rsidTr="002771C5">
        <w:trPr>
          <w:trHeight w:val="57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5889989" w14:textId="77777777" w:rsidR="00974860" w:rsidRPr="00974860" w:rsidRDefault="00974860" w:rsidP="002771C5">
            <w:pPr>
              <w:jc w:val="cente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7</w:t>
            </w:r>
          </w:p>
        </w:tc>
        <w:tc>
          <w:tcPr>
            <w:tcW w:w="660" w:type="dxa"/>
            <w:tcBorders>
              <w:top w:val="nil"/>
              <w:left w:val="nil"/>
              <w:bottom w:val="single" w:sz="8" w:space="0" w:color="auto"/>
              <w:right w:val="single" w:sz="8" w:space="0" w:color="auto"/>
            </w:tcBorders>
            <w:shd w:val="clear" w:color="auto" w:fill="auto"/>
            <w:vAlign w:val="center"/>
            <w:hideMark/>
          </w:tcPr>
          <w:p w14:paraId="14770AFE" w14:textId="77777777" w:rsidR="00974860" w:rsidRPr="00974860" w:rsidRDefault="00974860" w:rsidP="002771C5">
            <w:pPr>
              <w:jc w:val="cente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9</w:t>
            </w:r>
          </w:p>
        </w:tc>
        <w:tc>
          <w:tcPr>
            <w:tcW w:w="352" w:type="dxa"/>
            <w:tcBorders>
              <w:top w:val="nil"/>
              <w:left w:val="nil"/>
              <w:bottom w:val="single" w:sz="8" w:space="0" w:color="auto"/>
              <w:right w:val="nil"/>
            </w:tcBorders>
            <w:shd w:val="clear" w:color="auto" w:fill="auto"/>
            <w:vAlign w:val="center"/>
            <w:hideMark/>
          </w:tcPr>
          <w:p w14:paraId="35ED6D3E" w14:textId="77777777" w:rsidR="00974860" w:rsidRPr="00974860" w:rsidRDefault="00974860" w:rsidP="00974860">
            <w:pPr>
              <w:jc w:val="cente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1</w:t>
            </w:r>
          </w:p>
        </w:tc>
        <w:tc>
          <w:tcPr>
            <w:tcW w:w="3740" w:type="dxa"/>
            <w:tcBorders>
              <w:top w:val="nil"/>
              <w:left w:val="single" w:sz="8" w:space="0" w:color="auto"/>
              <w:bottom w:val="single" w:sz="8" w:space="0" w:color="auto"/>
              <w:right w:val="single" w:sz="8" w:space="0" w:color="auto"/>
            </w:tcBorders>
            <w:shd w:val="clear" w:color="auto" w:fill="auto"/>
            <w:vAlign w:val="center"/>
            <w:hideMark/>
          </w:tcPr>
          <w:p w14:paraId="7084BB7D" w14:textId="77777777" w:rsidR="00974860" w:rsidRPr="00974860" w:rsidRDefault="00974860" w:rsidP="00974860">
            <w:pP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Fecha de presentación</w:t>
            </w:r>
          </w:p>
        </w:tc>
        <w:tc>
          <w:tcPr>
            <w:tcW w:w="2280" w:type="dxa"/>
            <w:tcBorders>
              <w:top w:val="nil"/>
              <w:left w:val="nil"/>
              <w:bottom w:val="single" w:sz="8" w:space="0" w:color="auto"/>
              <w:right w:val="single" w:sz="8" w:space="0" w:color="auto"/>
            </w:tcBorders>
            <w:shd w:val="clear" w:color="auto" w:fill="auto"/>
            <w:vAlign w:val="center"/>
            <w:hideMark/>
          </w:tcPr>
          <w:p w14:paraId="2F198DB1" w14:textId="77777777" w:rsidR="00974860" w:rsidRPr="00974860" w:rsidRDefault="00974860" w:rsidP="00974860">
            <w:pP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 xml:space="preserve"> NICSP N° 35, </w:t>
            </w:r>
            <w:r w:rsidRPr="00974860">
              <w:rPr>
                <w:rFonts w:ascii="Arial Narrow" w:eastAsia="Times New Roman" w:hAnsi="Arial Narrow" w:cs="Calibri"/>
                <w:b/>
                <w:bCs/>
                <w:color w:val="000000"/>
                <w:sz w:val="22"/>
                <w:szCs w:val="22"/>
              </w:rPr>
              <w:br/>
              <w:t>Párrafo 46.</w:t>
            </w:r>
          </w:p>
        </w:tc>
        <w:tc>
          <w:tcPr>
            <w:tcW w:w="1898" w:type="dxa"/>
            <w:tcBorders>
              <w:top w:val="nil"/>
              <w:left w:val="nil"/>
              <w:bottom w:val="single" w:sz="8" w:space="0" w:color="auto"/>
              <w:right w:val="single" w:sz="8" w:space="0" w:color="auto"/>
            </w:tcBorders>
            <w:shd w:val="clear" w:color="auto" w:fill="auto"/>
            <w:vAlign w:val="center"/>
            <w:hideMark/>
          </w:tcPr>
          <w:p w14:paraId="025D8CB5" w14:textId="77777777" w:rsidR="00974860" w:rsidRPr="00974860" w:rsidRDefault="00974860" w:rsidP="00974860">
            <w:pPr>
              <w:jc w:val="center"/>
              <w:rPr>
                <w:rFonts w:ascii="Arial Narrow" w:eastAsia="Times New Roman" w:hAnsi="Arial Narrow" w:cs="Calibri"/>
                <w:b/>
                <w:bCs/>
                <w:color w:val="000000"/>
                <w:sz w:val="22"/>
                <w:szCs w:val="22"/>
              </w:rPr>
            </w:pPr>
            <w:r w:rsidRPr="00974860">
              <w:rPr>
                <w:rFonts w:ascii="Arial Narrow" w:eastAsia="Times New Roman" w:hAnsi="Arial Narrow" w:cs="Calibri"/>
                <w:b/>
                <w:bCs/>
                <w:color w:val="000000"/>
                <w:sz w:val="22"/>
                <w:szCs w:val="22"/>
              </w:rPr>
              <w:t>DGCN</w:t>
            </w:r>
          </w:p>
        </w:tc>
      </w:tr>
    </w:tbl>
    <w:p w14:paraId="3A60BDCA" w14:textId="77777777" w:rsidR="00974860" w:rsidRDefault="00974860" w:rsidP="002236BD">
      <w:pPr>
        <w:pStyle w:val="Default"/>
        <w:ind w:left="1134" w:hanging="1134"/>
        <w:jc w:val="both"/>
        <w:rPr>
          <w:sz w:val="22"/>
          <w:szCs w:val="22"/>
          <w:lang w:val="es-CR"/>
        </w:rPr>
      </w:pPr>
    </w:p>
    <w:p w14:paraId="26B4E0C1" w14:textId="77777777" w:rsidR="002771C5" w:rsidRDefault="002771C5" w:rsidP="002771C5">
      <w:pPr>
        <w:pStyle w:val="Default"/>
        <w:ind w:left="1134" w:hanging="1134"/>
        <w:jc w:val="both"/>
        <w:rPr>
          <w:rFonts w:eastAsia="Arial"/>
          <w:b/>
          <w:sz w:val="22"/>
          <w:szCs w:val="22"/>
        </w:rPr>
      </w:pPr>
      <w:r w:rsidRPr="00F02F9D">
        <w:rPr>
          <w:rFonts w:eastAsia="Arial"/>
          <w:b/>
          <w:sz w:val="22"/>
          <w:szCs w:val="22"/>
        </w:rPr>
        <w:lastRenderedPageBreak/>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70D7ED3B" w14:textId="77777777" w:rsidR="002771C5" w:rsidRDefault="002771C5" w:rsidP="002236BD">
      <w:pPr>
        <w:pStyle w:val="Default"/>
        <w:ind w:left="1134" w:hanging="1134"/>
        <w:jc w:val="both"/>
        <w:rPr>
          <w:sz w:val="22"/>
          <w:szCs w:val="22"/>
          <w:lang w:val="es-CR"/>
        </w:rPr>
      </w:pPr>
    </w:p>
    <w:p w14:paraId="011DC7E7" w14:textId="5457478F" w:rsidR="00974860" w:rsidRPr="00974860" w:rsidRDefault="00974860" w:rsidP="002236BD">
      <w:pPr>
        <w:pStyle w:val="Default"/>
        <w:ind w:left="1134" w:hanging="1134"/>
        <w:jc w:val="both"/>
        <w:rPr>
          <w:sz w:val="22"/>
          <w:szCs w:val="22"/>
          <w:lang w:val="es-CR"/>
        </w:rPr>
      </w:pPr>
      <w:r>
        <w:rPr>
          <w:sz w:val="22"/>
          <w:szCs w:val="22"/>
          <w:lang w:val="es-CR"/>
        </w:rPr>
        <w:t>7.9.0.01</w:t>
      </w:r>
      <w:r>
        <w:rPr>
          <w:sz w:val="22"/>
          <w:szCs w:val="22"/>
          <w:lang w:val="es-CR"/>
        </w:rPr>
        <w:tab/>
      </w:r>
      <w:r w:rsidRPr="00974860">
        <w:rPr>
          <w:sz w:val="22"/>
          <w:szCs w:val="22"/>
          <w:lang w:val="es-CR"/>
        </w:rPr>
        <w:t xml:space="preserve">Los estados financieros de la y </w:t>
      </w:r>
      <w:r>
        <w:rPr>
          <w:sz w:val="22"/>
          <w:szCs w:val="22"/>
          <w:lang w:val="es-CR"/>
        </w:rPr>
        <w:t>el CCDR</w:t>
      </w:r>
      <w:r w:rsidRPr="00974860">
        <w:rPr>
          <w:sz w:val="22"/>
          <w:szCs w:val="22"/>
          <w:lang w:val="es-CR"/>
        </w:rPr>
        <w:t>, utilizados para la elaboración de los estados financieros consolidados, deben referirse a la misma fecha de presentación</w:t>
      </w:r>
      <w:r>
        <w:rPr>
          <w:sz w:val="22"/>
          <w:szCs w:val="22"/>
          <w:lang w:val="es-CR"/>
        </w:rPr>
        <w:t>.</w:t>
      </w:r>
    </w:p>
    <w:p w14:paraId="238F5320" w14:textId="77777777" w:rsidR="00974860" w:rsidRPr="00974860" w:rsidRDefault="00974860" w:rsidP="002236BD">
      <w:pPr>
        <w:pStyle w:val="Default"/>
        <w:ind w:left="1134" w:hanging="1134"/>
        <w:jc w:val="both"/>
        <w:rPr>
          <w:sz w:val="22"/>
          <w:szCs w:val="22"/>
          <w:lang w:val="es-CR"/>
        </w:rPr>
      </w:pPr>
    </w:p>
    <w:p w14:paraId="1D8C42A2" w14:textId="2A4D2F64" w:rsidR="00974860" w:rsidRDefault="00974860" w:rsidP="00974860">
      <w:pPr>
        <w:pStyle w:val="Default"/>
        <w:ind w:left="1134" w:hanging="1134"/>
        <w:jc w:val="both"/>
        <w:rPr>
          <w:sz w:val="23"/>
          <w:szCs w:val="23"/>
          <w:lang w:val="es-CR"/>
        </w:rPr>
      </w:pPr>
      <w:r>
        <w:rPr>
          <w:sz w:val="22"/>
          <w:szCs w:val="22"/>
          <w:lang w:val="es-CR"/>
        </w:rPr>
        <w:t>7.9.0.02</w:t>
      </w:r>
      <w:r>
        <w:rPr>
          <w:sz w:val="22"/>
          <w:szCs w:val="22"/>
          <w:lang w:val="es-CR"/>
        </w:rPr>
        <w:tab/>
      </w:r>
      <w:r w:rsidRPr="00974860">
        <w:rPr>
          <w:sz w:val="22"/>
          <w:szCs w:val="22"/>
          <w:lang w:val="es-CR"/>
        </w:rPr>
        <w:t>Además</w:t>
      </w:r>
      <w:r w:rsidRPr="00974860">
        <w:rPr>
          <w:sz w:val="23"/>
          <w:szCs w:val="23"/>
          <w:lang w:val="es-CR"/>
        </w:rPr>
        <w:t xml:space="preserve">, los estados financieros consolidados </w:t>
      </w:r>
      <w:r>
        <w:rPr>
          <w:sz w:val="23"/>
          <w:szCs w:val="23"/>
          <w:lang w:val="es-CR"/>
        </w:rPr>
        <w:t>se</w:t>
      </w:r>
      <w:r w:rsidRPr="00974860">
        <w:rPr>
          <w:sz w:val="23"/>
          <w:szCs w:val="23"/>
          <w:lang w:val="es-CR"/>
        </w:rPr>
        <w:t xml:space="preserve"> elaborar</w:t>
      </w:r>
      <w:r>
        <w:rPr>
          <w:sz w:val="23"/>
          <w:szCs w:val="23"/>
          <w:lang w:val="es-CR"/>
        </w:rPr>
        <w:t>an</w:t>
      </w:r>
      <w:r w:rsidRPr="00974860">
        <w:rPr>
          <w:sz w:val="23"/>
          <w:szCs w:val="23"/>
          <w:lang w:val="es-CR"/>
        </w:rPr>
        <w:t xml:space="preserve"> utilizando políticas contables uniformes para transacciones y otros eventos que, siendo similares, se hayan producido en circunstancias parecidas</w:t>
      </w:r>
      <w:r>
        <w:rPr>
          <w:sz w:val="23"/>
          <w:szCs w:val="23"/>
          <w:lang w:val="es-CR"/>
        </w:rPr>
        <w:t xml:space="preserve"> en la Municipalidad y el CCDR</w:t>
      </w:r>
      <w:r w:rsidRPr="00974860">
        <w:rPr>
          <w:sz w:val="23"/>
          <w:szCs w:val="23"/>
          <w:lang w:val="es-CR"/>
        </w:rPr>
        <w:t xml:space="preserve">. </w:t>
      </w:r>
    </w:p>
    <w:p w14:paraId="3B4B633D" w14:textId="77777777" w:rsidR="00974860" w:rsidRPr="00974860" w:rsidRDefault="00974860" w:rsidP="00974860">
      <w:pPr>
        <w:pStyle w:val="Default"/>
        <w:rPr>
          <w:sz w:val="23"/>
          <w:szCs w:val="23"/>
          <w:lang w:val="es-CR"/>
        </w:rPr>
      </w:pPr>
    </w:p>
    <w:p w14:paraId="76779E67" w14:textId="74B33839" w:rsidR="00974860" w:rsidRDefault="00974860" w:rsidP="00974860">
      <w:pPr>
        <w:pStyle w:val="Default"/>
        <w:ind w:left="1134" w:hanging="1134"/>
        <w:jc w:val="both"/>
        <w:rPr>
          <w:sz w:val="22"/>
          <w:szCs w:val="22"/>
          <w:lang w:val="es-CR"/>
        </w:rPr>
      </w:pPr>
      <w:r w:rsidRPr="00974860">
        <w:rPr>
          <w:sz w:val="23"/>
          <w:szCs w:val="23"/>
          <w:lang w:val="es-CR"/>
        </w:rPr>
        <w:t xml:space="preserve"> 7.9.</w:t>
      </w:r>
      <w:r w:rsidRPr="00974860">
        <w:rPr>
          <w:sz w:val="22"/>
          <w:szCs w:val="22"/>
          <w:lang w:val="es-CR"/>
        </w:rPr>
        <w:t>1.01</w:t>
      </w:r>
      <w:r>
        <w:rPr>
          <w:sz w:val="22"/>
          <w:szCs w:val="22"/>
          <w:lang w:val="es-CR"/>
        </w:rPr>
        <w:tab/>
      </w:r>
      <w:r w:rsidRPr="00974860">
        <w:rPr>
          <w:sz w:val="22"/>
          <w:szCs w:val="22"/>
          <w:lang w:val="es-CR"/>
        </w:rPr>
        <w:t xml:space="preserve">En los casos que los estados financieros de </w:t>
      </w:r>
      <w:r>
        <w:rPr>
          <w:sz w:val="22"/>
          <w:szCs w:val="22"/>
          <w:lang w:val="es-CR"/>
        </w:rPr>
        <w:t>l</w:t>
      </w:r>
      <w:r w:rsidRPr="00974860">
        <w:rPr>
          <w:sz w:val="22"/>
          <w:szCs w:val="22"/>
          <w:lang w:val="es-CR"/>
        </w:rPr>
        <w:t xml:space="preserve">a </w:t>
      </w:r>
      <w:r>
        <w:rPr>
          <w:sz w:val="22"/>
          <w:szCs w:val="22"/>
          <w:lang w:val="es-CR"/>
        </w:rPr>
        <w:t>Municipalidad y alguna de las entidades</w:t>
      </w:r>
      <w:r w:rsidRPr="00974860">
        <w:rPr>
          <w:sz w:val="22"/>
          <w:szCs w:val="22"/>
          <w:lang w:val="es-CR"/>
        </w:rPr>
        <w:t xml:space="preserve"> que se utilicen en la elaboración de los estados financieros consolidados, se refieran a una fecha de presentación diferente a la utilizada por la </w:t>
      </w:r>
      <w:r>
        <w:rPr>
          <w:sz w:val="22"/>
          <w:szCs w:val="22"/>
          <w:lang w:val="es-CR"/>
        </w:rPr>
        <w:t>Municipalidad</w:t>
      </w:r>
      <w:r w:rsidRPr="00974860">
        <w:rPr>
          <w:sz w:val="22"/>
          <w:szCs w:val="22"/>
          <w:lang w:val="es-CR"/>
        </w:rPr>
        <w:t xml:space="preserve">, se practicarán los ajustes pertinentes para reflejar los efectos de las transacciones y eventos significativos ocurridos entre las dos fechas citadas. En ningún caso la diferencia entre las fechas de presentación de la </w:t>
      </w:r>
      <w:r w:rsidR="002037C6">
        <w:rPr>
          <w:sz w:val="22"/>
          <w:szCs w:val="22"/>
          <w:lang w:val="es-CR"/>
        </w:rPr>
        <w:t>Municipalidad</w:t>
      </w:r>
      <w:r w:rsidRPr="00974860">
        <w:rPr>
          <w:sz w:val="22"/>
          <w:szCs w:val="22"/>
          <w:lang w:val="es-CR"/>
        </w:rPr>
        <w:t xml:space="preserve"> y la entidad </w:t>
      </w:r>
      <w:r w:rsidR="002037C6">
        <w:rPr>
          <w:sz w:val="22"/>
          <w:szCs w:val="22"/>
          <w:lang w:val="es-CR"/>
        </w:rPr>
        <w:t>con la que se consolida</w:t>
      </w:r>
      <w:r w:rsidRPr="00974860">
        <w:rPr>
          <w:sz w:val="22"/>
          <w:szCs w:val="22"/>
          <w:lang w:val="es-CR"/>
        </w:rPr>
        <w:t xml:space="preserve"> podrá ser mayor de tres meses. </w:t>
      </w:r>
    </w:p>
    <w:p w14:paraId="5D939622" w14:textId="77777777" w:rsidR="002037C6" w:rsidRPr="00974860" w:rsidRDefault="002037C6" w:rsidP="00974860">
      <w:pPr>
        <w:pStyle w:val="Default"/>
        <w:ind w:left="1134" w:hanging="1134"/>
        <w:jc w:val="both"/>
        <w:rPr>
          <w:sz w:val="22"/>
          <w:szCs w:val="22"/>
          <w:lang w:val="es-CR"/>
        </w:rPr>
      </w:pPr>
    </w:p>
    <w:p w14:paraId="65A31D4A" w14:textId="0CD9B3F7" w:rsidR="00974860" w:rsidRDefault="002037C6" w:rsidP="002037C6">
      <w:pPr>
        <w:pStyle w:val="Default"/>
        <w:ind w:left="1134" w:hanging="1134"/>
        <w:jc w:val="both"/>
        <w:rPr>
          <w:sz w:val="22"/>
          <w:szCs w:val="22"/>
          <w:lang w:val="es-CR"/>
        </w:rPr>
      </w:pPr>
      <w:r>
        <w:rPr>
          <w:sz w:val="22"/>
          <w:szCs w:val="22"/>
          <w:lang w:val="es-CR"/>
        </w:rPr>
        <w:t>7.9.1.02</w:t>
      </w:r>
      <w:r>
        <w:rPr>
          <w:sz w:val="22"/>
          <w:szCs w:val="22"/>
          <w:lang w:val="es-CR"/>
        </w:rPr>
        <w:tab/>
      </w:r>
      <w:r w:rsidR="00974860" w:rsidRPr="00974860">
        <w:rPr>
          <w:sz w:val="22"/>
          <w:szCs w:val="22"/>
          <w:lang w:val="es-CR"/>
        </w:rPr>
        <w:t xml:space="preserve">Los </w:t>
      </w:r>
      <w:r w:rsidR="00974860" w:rsidRPr="002037C6">
        <w:rPr>
          <w:sz w:val="23"/>
          <w:szCs w:val="23"/>
          <w:lang w:val="es-CR"/>
        </w:rPr>
        <w:t>estados</w:t>
      </w:r>
      <w:r w:rsidR="00974860" w:rsidRPr="00974860">
        <w:rPr>
          <w:sz w:val="22"/>
          <w:szCs w:val="22"/>
          <w:lang w:val="es-CR"/>
        </w:rPr>
        <w:t xml:space="preserve"> financieros de la </w:t>
      </w:r>
      <w:r>
        <w:rPr>
          <w:sz w:val="22"/>
          <w:szCs w:val="22"/>
          <w:lang w:val="es-CR"/>
        </w:rPr>
        <w:t>Municipalidad</w:t>
      </w:r>
      <w:r w:rsidR="00974860" w:rsidRPr="00974860">
        <w:rPr>
          <w:sz w:val="22"/>
          <w:szCs w:val="22"/>
          <w:lang w:val="es-CR"/>
        </w:rPr>
        <w:t xml:space="preserve"> y </w:t>
      </w:r>
      <w:r>
        <w:rPr>
          <w:sz w:val="22"/>
          <w:szCs w:val="22"/>
          <w:lang w:val="es-CR"/>
        </w:rPr>
        <w:t>el CCDR u otra entidad con la que se consolide</w:t>
      </w:r>
      <w:r w:rsidR="00974860" w:rsidRPr="00974860">
        <w:rPr>
          <w:sz w:val="22"/>
          <w:szCs w:val="22"/>
          <w:lang w:val="es-CR"/>
        </w:rPr>
        <w:t xml:space="preserve"> utilizados para la elaboración de los estados financieros consolidados </w:t>
      </w:r>
      <w:r>
        <w:rPr>
          <w:sz w:val="22"/>
          <w:szCs w:val="22"/>
          <w:lang w:val="es-CR"/>
        </w:rPr>
        <w:t xml:space="preserve">deberán </w:t>
      </w:r>
      <w:r w:rsidR="00974860" w:rsidRPr="00974860">
        <w:rPr>
          <w:sz w:val="22"/>
          <w:szCs w:val="22"/>
          <w:lang w:val="es-CR"/>
        </w:rPr>
        <w:t xml:space="preserve">estar referidos a la misma fecha de presentación. Cuando el final del periodo sobre el que se informa de una entidad </w:t>
      </w:r>
      <w:r>
        <w:rPr>
          <w:sz w:val="22"/>
          <w:szCs w:val="22"/>
          <w:lang w:val="es-CR"/>
        </w:rPr>
        <w:t>con la que se consolide</w:t>
      </w:r>
      <w:r w:rsidR="00974860" w:rsidRPr="00974860">
        <w:rPr>
          <w:sz w:val="22"/>
          <w:szCs w:val="22"/>
          <w:lang w:val="es-CR"/>
        </w:rPr>
        <w:t xml:space="preserve"> es diferente del de la </w:t>
      </w:r>
      <w:r>
        <w:rPr>
          <w:sz w:val="22"/>
          <w:szCs w:val="22"/>
          <w:lang w:val="es-CR"/>
        </w:rPr>
        <w:t>Municipalidad</w:t>
      </w:r>
      <w:r w:rsidR="00974860" w:rsidRPr="00974860">
        <w:rPr>
          <w:sz w:val="22"/>
          <w:szCs w:val="22"/>
          <w:lang w:val="es-CR"/>
        </w:rPr>
        <w:t xml:space="preserve">, la </w:t>
      </w:r>
      <w:r>
        <w:rPr>
          <w:sz w:val="22"/>
          <w:szCs w:val="22"/>
          <w:lang w:val="es-CR"/>
        </w:rPr>
        <w:t>MBA</w:t>
      </w:r>
      <w:r w:rsidR="00974860" w:rsidRPr="00974860">
        <w:rPr>
          <w:sz w:val="22"/>
          <w:szCs w:val="22"/>
          <w:lang w:val="es-CR"/>
        </w:rPr>
        <w:t>:</w:t>
      </w:r>
    </w:p>
    <w:p w14:paraId="71F6EBFF" w14:textId="77777777" w:rsidR="002037C6" w:rsidRPr="00974860" w:rsidRDefault="002037C6" w:rsidP="00974860">
      <w:pPr>
        <w:pStyle w:val="Default"/>
        <w:jc w:val="both"/>
        <w:rPr>
          <w:color w:val="auto"/>
          <w:sz w:val="22"/>
          <w:szCs w:val="22"/>
          <w:lang w:val="es-CR"/>
        </w:rPr>
      </w:pPr>
    </w:p>
    <w:p w14:paraId="3DA77CCB" w14:textId="15FF4132" w:rsidR="00974860" w:rsidRPr="00974860" w:rsidRDefault="002037C6">
      <w:pPr>
        <w:pStyle w:val="Default"/>
        <w:numPr>
          <w:ilvl w:val="1"/>
          <w:numId w:val="424"/>
        </w:numPr>
        <w:spacing w:after="120"/>
        <w:ind w:left="1418" w:hanging="284"/>
        <w:jc w:val="both"/>
        <w:rPr>
          <w:sz w:val="22"/>
          <w:szCs w:val="22"/>
          <w:lang w:val="es-CR"/>
        </w:rPr>
      </w:pPr>
      <w:r>
        <w:rPr>
          <w:sz w:val="22"/>
          <w:szCs w:val="22"/>
          <w:lang w:val="es-CR"/>
        </w:rPr>
        <w:t>O</w:t>
      </w:r>
      <w:r w:rsidR="00974860" w:rsidRPr="00974860">
        <w:rPr>
          <w:sz w:val="22"/>
          <w:szCs w:val="22"/>
          <w:lang w:val="es-CR"/>
        </w:rPr>
        <w:t xml:space="preserve">btendrá, a efectos de consolidación, información financiera adicional referida a la misma fecha que los estados financieros de la entidad controladora; o </w:t>
      </w:r>
    </w:p>
    <w:p w14:paraId="5D6B5A93" w14:textId="70B564FB" w:rsidR="00974860" w:rsidRPr="00974860" w:rsidRDefault="002037C6">
      <w:pPr>
        <w:pStyle w:val="Default"/>
        <w:numPr>
          <w:ilvl w:val="1"/>
          <w:numId w:val="424"/>
        </w:numPr>
        <w:ind w:left="1418" w:hanging="284"/>
        <w:jc w:val="both"/>
        <w:rPr>
          <w:sz w:val="22"/>
          <w:szCs w:val="22"/>
          <w:lang w:val="es-CR"/>
        </w:rPr>
      </w:pPr>
      <w:r>
        <w:rPr>
          <w:sz w:val="22"/>
          <w:szCs w:val="22"/>
          <w:lang w:val="es-CR"/>
        </w:rPr>
        <w:t>U</w:t>
      </w:r>
      <w:r w:rsidR="00974860" w:rsidRPr="00974860">
        <w:rPr>
          <w:sz w:val="22"/>
          <w:szCs w:val="22"/>
          <w:lang w:val="es-CR"/>
        </w:rPr>
        <w:t xml:space="preserve">sará los estados financieros más recientes de la entidad controlada ajustados por los efectos de las transacciones o sucesos significativos que hayan ocurrido entre la fecha de esos estados financieros y la de los estados financieros consolidados. </w:t>
      </w:r>
    </w:p>
    <w:p w14:paraId="7A7EA9A4" w14:textId="77777777" w:rsidR="00974860" w:rsidRPr="00974860" w:rsidRDefault="00974860">
      <w:pPr>
        <w:pStyle w:val="Default"/>
        <w:numPr>
          <w:ilvl w:val="1"/>
          <w:numId w:val="423"/>
        </w:numPr>
        <w:jc w:val="both"/>
        <w:rPr>
          <w:sz w:val="23"/>
          <w:szCs w:val="23"/>
          <w:lang w:val="es-CR"/>
        </w:rPr>
      </w:pPr>
    </w:p>
    <w:p w14:paraId="336DF599" w14:textId="77777777" w:rsidR="00974860" w:rsidRDefault="00974860" w:rsidP="002236BD">
      <w:pPr>
        <w:pStyle w:val="Default"/>
        <w:ind w:left="1134" w:hanging="1134"/>
        <w:jc w:val="both"/>
        <w:rPr>
          <w:sz w:val="22"/>
          <w:szCs w:val="22"/>
          <w:lang w:val="es-CR"/>
        </w:rPr>
      </w:pPr>
    </w:p>
    <w:p w14:paraId="216C6271" w14:textId="77777777" w:rsidR="00974860" w:rsidRDefault="00974860" w:rsidP="002236BD">
      <w:pPr>
        <w:pStyle w:val="Default"/>
        <w:ind w:left="1134" w:hanging="1134"/>
        <w:jc w:val="both"/>
        <w:rPr>
          <w:sz w:val="22"/>
          <w:szCs w:val="22"/>
          <w:lang w:val="es-CR"/>
        </w:rPr>
      </w:pPr>
    </w:p>
    <w:tbl>
      <w:tblPr>
        <w:tblW w:w="9304" w:type="dxa"/>
        <w:tblLook w:val="04A0" w:firstRow="1" w:lastRow="0" w:firstColumn="1" w:lastColumn="0" w:noHBand="0" w:noVBand="1"/>
      </w:tblPr>
      <w:tblGrid>
        <w:gridCol w:w="416"/>
        <w:gridCol w:w="666"/>
        <w:gridCol w:w="390"/>
        <w:gridCol w:w="9"/>
        <w:gridCol w:w="3664"/>
        <w:gridCol w:w="9"/>
        <w:gridCol w:w="2307"/>
        <w:gridCol w:w="1843"/>
      </w:tblGrid>
      <w:tr w:rsidR="002037C6" w:rsidRPr="002037C6" w14:paraId="5789D344" w14:textId="77777777" w:rsidTr="0030399E">
        <w:trPr>
          <w:trHeight w:val="300"/>
        </w:trPr>
        <w:tc>
          <w:tcPr>
            <w:tcW w:w="1481"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8AEE5F7" w14:textId="77777777" w:rsidR="002037C6" w:rsidRPr="002037C6" w:rsidRDefault="002037C6" w:rsidP="002037C6">
            <w:pPr>
              <w:jc w:val="center"/>
              <w:rPr>
                <w:rFonts w:ascii="Arial Narrow" w:eastAsia="Times New Roman" w:hAnsi="Arial Narrow" w:cs="Calibri"/>
                <w:b/>
                <w:bCs/>
                <w:color w:val="FFFFFF"/>
                <w:sz w:val="22"/>
                <w:szCs w:val="22"/>
              </w:rPr>
            </w:pPr>
            <w:r w:rsidRPr="002037C6">
              <w:rPr>
                <w:rFonts w:ascii="Arial Narrow" w:eastAsia="Times New Roman" w:hAnsi="Arial Narrow" w:cs="Calibri"/>
                <w:b/>
                <w:bCs/>
                <w:color w:val="FFFFFF"/>
                <w:sz w:val="22"/>
                <w:szCs w:val="22"/>
              </w:rPr>
              <w:t>Norma / Política</w:t>
            </w:r>
          </w:p>
        </w:tc>
        <w:tc>
          <w:tcPr>
            <w:tcW w:w="3673"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08B8E85C" w14:textId="77777777" w:rsidR="002037C6" w:rsidRPr="002037C6" w:rsidRDefault="002037C6" w:rsidP="002037C6">
            <w:pPr>
              <w:jc w:val="center"/>
              <w:rPr>
                <w:rFonts w:ascii="Arial Narrow" w:eastAsia="Times New Roman" w:hAnsi="Arial Narrow" w:cs="Calibri"/>
                <w:b/>
                <w:bCs/>
                <w:color w:val="FFFFFF"/>
                <w:sz w:val="22"/>
                <w:szCs w:val="22"/>
              </w:rPr>
            </w:pPr>
            <w:r w:rsidRPr="002037C6">
              <w:rPr>
                <w:rFonts w:ascii="Arial Narrow" w:eastAsia="Times New Roman" w:hAnsi="Arial Narrow" w:cs="Calibri"/>
                <w:b/>
                <w:bCs/>
                <w:color w:val="FFFFFF"/>
                <w:sz w:val="22"/>
                <w:szCs w:val="22"/>
              </w:rPr>
              <w:t>Concepto</w:t>
            </w:r>
          </w:p>
        </w:tc>
        <w:tc>
          <w:tcPr>
            <w:tcW w:w="4150" w:type="dxa"/>
            <w:gridSpan w:val="2"/>
            <w:tcBorders>
              <w:top w:val="single" w:sz="8" w:space="0" w:color="auto"/>
              <w:left w:val="nil"/>
              <w:bottom w:val="single" w:sz="8" w:space="0" w:color="auto"/>
              <w:right w:val="single" w:sz="8" w:space="0" w:color="000000"/>
            </w:tcBorders>
            <w:shd w:val="clear" w:color="000000" w:fill="203764"/>
            <w:vAlign w:val="center"/>
            <w:hideMark/>
          </w:tcPr>
          <w:p w14:paraId="38B6CAAB" w14:textId="77777777" w:rsidR="002037C6" w:rsidRPr="002037C6" w:rsidRDefault="002037C6" w:rsidP="002037C6">
            <w:pPr>
              <w:jc w:val="center"/>
              <w:rPr>
                <w:rFonts w:ascii="Arial Narrow" w:eastAsia="Times New Roman" w:hAnsi="Arial Narrow" w:cs="Calibri"/>
                <w:b/>
                <w:bCs/>
                <w:color w:val="FFFFFF"/>
                <w:sz w:val="22"/>
                <w:szCs w:val="22"/>
              </w:rPr>
            </w:pPr>
            <w:r w:rsidRPr="002037C6">
              <w:rPr>
                <w:rFonts w:ascii="Arial Narrow" w:eastAsia="Times New Roman" w:hAnsi="Arial Narrow" w:cs="Calibri"/>
                <w:b/>
                <w:bCs/>
                <w:color w:val="FFFFFF"/>
                <w:sz w:val="22"/>
                <w:szCs w:val="22"/>
              </w:rPr>
              <w:t>Referencia</w:t>
            </w:r>
          </w:p>
        </w:tc>
      </w:tr>
      <w:tr w:rsidR="002037C6" w:rsidRPr="006E5442" w14:paraId="4E62EE99" w14:textId="77777777" w:rsidTr="0030399E">
        <w:trPr>
          <w:trHeight w:val="850"/>
        </w:trPr>
        <w:tc>
          <w:tcPr>
            <w:tcW w:w="1481" w:type="dxa"/>
            <w:gridSpan w:val="4"/>
            <w:vMerge/>
            <w:tcBorders>
              <w:top w:val="single" w:sz="8" w:space="0" w:color="auto"/>
              <w:left w:val="single" w:sz="8" w:space="0" w:color="auto"/>
              <w:bottom w:val="nil"/>
              <w:right w:val="single" w:sz="8" w:space="0" w:color="000000"/>
            </w:tcBorders>
            <w:vAlign w:val="center"/>
            <w:hideMark/>
          </w:tcPr>
          <w:p w14:paraId="5D7ACD0A" w14:textId="77777777" w:rsidR="002037C6" w:rsidRPr="002037C6" w:rsidRDefault="002037C6" w:rsidP="002037C6">
            <w:pPr>
              <w:rPr>
                <w:rFonts w:ascii="Arial Narrow" w:eastAsia="Times New Roman" w:hAnsi="Arial Narrow" w:cs="Calibri"/>
                <w:b/>
                <w:bCs/>
                <w:color w:val="FFFFFF"/>
                <w:sz w:val="22"/>
                <w:szCs w:val="22"/>
              </w:rPr>
            </w:pPr>
          </w:p>
        </w:tc>
        <w:tc>
          <w:tcPr>
            <w:tcW w:w="3673" w:type="dxa"/>
            <w:gridSpan w:val="2"/>
            <w:vMerge/>
            <w:tcBorders>
              <w:top w:val="single" w:sz="8" w:space="0" w:color="auto"/>
              <w:left w:val="single" w:sz="8" w:space="0" w:color="auto"/>
              <w:bottom w:val="nil"/>
              <w:right w:val="single" w:sz="8" w:space="0" w:color="auto"/>
            </w:tcBorders>
            <w:vAlign w:val="center"/>
            <w:hideMark/>
          </w:tcPr>
          <w:p w14:paraId="4B18E3B4" w14:textId="77777777" w:rsidR="002037C6" w:rsidRPr="002037C6" w:rsidRDefault="002037C6" w:rsidP="002037C6">
            <w:pPr>
              <w:rPr>
                <w:rFonts w:ascii="Arial Narrow" w:eastAsia="Times New Roman" w:hAnsi="Arial Narrow" w:cs="Calibri"/>
                <w:b/>
                <w:bCs/>
                <w:color w:val="FFFFFF"/>
                <w:sz w:val="22"/>
                <w:szCs w:val="22"/>
              </w:rPr>
            </w:pPr>
          </w:p>
        </w:tc>
        <w:tc>
          <w:tcPr>
            <w:tcW w:w="2307" w:type="dxa"/>
            <w:tcBorders>
              <w:top w:val="nil"/>
              <w:left w:val="nil"/>
              <w:bottom w:val="nil"/>
              <w:right w:val="single" w:sz="8" w:space="0" w:color="auto"/>
            </w:tcBorders>
            <w:shd w:val="clear" w:color="000000" w:fill="203764"/>
            <w:vAlign w:val="center"/>
            <w:hideMark/>
          </w:tcPr>
          <w:p w14:paraId="14E45FE3" w14:textId="77777777" w:rsidR="002037C6" w:rsidRPr="002037C6" w:rsidRDefault="002037C6" w:rsidP="002037C6">
            <w:pPr>
              <w:jc w:val="center"/>
              <w:rPr>
                <w:rFonts w:ascii="Arial Narrow" w:eastAsia="Times New Roman" w:hAnsi="Arial Narrow" w:cs="Calibri"/>
                <w:b/>
                <w:bCs/>
                <w:color w:val="FFFFFF"/>
                <w:sz w:val="22"/>
                <w:szCs w:val="22"/>
              </w:rPr>
            </w:pPr>
            <w:r w:rsidRPr="002037C6">
              <w:rPr>
                <w:rFonts w:ascii="Arial Narrow" w:eastAsia="Times New Roman" w:hAnsi="Arial Narrow" w:cs="Calibri"/>
                <w:b/>
                <w:bCs/>
                <w:color w:val="FFFFFF"/>
                <w:sz w:val="22"/>
                <w:szCs w:val="22"/>
              </w:rPr>
              <w:t>Norma</w:t>
            </w:r>
          </w:p>
        </w:tc>
        <w:tc>
          <w:tcPr>
            <w:tcW w:w="1843" w:type="dxa"/>
            <w:tcBorders>
              <w:top w:val="nil"/>
              <w:left w:val="nil"/>
              <w:bottom w:val="nil"/>
              <w:right w:val="single" w:sz="8" w:space="0" w:color="auto"/>
            </w:tcBorders>
            <w:shd w:val="clear" w:color="000000" w:fill="203764"/>
            <w:vAlign w:val="center"/>
            <w:hideMark/>
          </w:tcPr>
          <w:p w14:paraId="183F45BC" w14:textId="77777777" w:rsidR="002037C6" w:rsidRPr="002037C6" w:rsidRDefault="002037C6" w:rsidP="002037C6">
            <w:pPr>
              <w:jc w:val="center"/>
              <w:rPr>
                <w:rFonts w:ascii="Arial Narrow" w:eastAsia="Times New Roman" w:hAnsi="Arial Narrow" w:cs="Calibri"/>
                <w:b/>
                <w:bCs/>
                <w:color w:val="FFFFFF"/>
                <w:sz w:val="22"/>
                <w:szCs w:val="22"/>
                <w:lang w:val="es-CR"/>
              </w:rPr>
            </w:pPr>
            <w:r w:rsidRPr="002037C6">
              <w:rPr>
                <w:rFonts w:ascii="Arial Narrow" w:eastAsia="Times New Roman" w:hAnsi="Arial Narrow" w:cs="Calibri"/>
                <w:b/>
                <w:bCs/>
                <w:color w:val="FFFFFF"/>
                <w:sz w:val="22"/>
                <w:szCs w:val="22"/>
                <w:lang w:val="es-CR"/>
              </w:rPr>
              <w:t>Normativa técnica y disposiciones adicionales</w:t>
            </w:r>
          </w:p>
        </w:tc>
      </w:tr>
      <w:tr w:rsidR="002037C6" w:rsidRPr="006E5442" w14:paraId="6BE0C114" w14:textId="77777777" w:rsidTr="0030399E">
        <w:trPr>
          <w:trHeight w:val="113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68515A" w14:textId="77777777" w:rsidR="002037C6" w:rsidRPr="002037C6" w:rsidRDefault="002037C6" w:rsidP="002037C6">
            <w:pPr>
              <w:jc w:val="center"/>
              <w:rPr>
                <w:rFonts w:ascii="Arial Narrow" w:eastAsia="Times New Roman" w:hAnsi="Arial Narrow" w:cs="Calibri"/>
                <w:b/>
                <w:bCs/>
                <w:color w:val="000000"/>
                <w:sz w:val="22"/>
                <w:szCs w:val="22"/>
              </w:rPr>
            </w:pPr>
            <w:r w:rsidRPr="002037C6">
              <w:rPr>
                <w:rFonts w:ascii="Arial Narrow" w:eastAsia="Times New Roman" w:hAnsi="Arial Narrow" w:cs="Calibri"/>
                <w:b/>
                <w:bCs/>
                <w:color w:val="000000"/>
                <w:sz w:val="22"/>
                <w:szCs w:val="22"/>
              </w:rPr>
              <w:t>7</w:t>
            </w:r>
          </w:p>
        </w:tc>
        <w:tc>
          <w:tcPr>
            <w:tcW w:w="666" w:type="dxa"/>
            <w:tcBorders>
              <w:top w:val="single" w:sz="8" w:space="0" w:color="auto"/>
              <w:left w:val="nil"/>
              <w:bottom w:val="single" w:sz="8" w:space="0" w:color="auto"/>
              <w:right w:val="single" w:sz="8" w:space="0" w:color="auto"/>
            </w:tcBorders>
            <w:shd w:val="clear" w:color="auto" w:fill="auto"/>
            <w:noWrap/>
            <w:vAlign w:val="center"/>
            <w:hideMark/>
          </w:tcPr>
          <w:p w14:paraId="7105C781" w14:textId="77777777" w:rsidR="002037C6" w:rsidRPr="002037C6" w:rsidRDefault="002037C6" w:rsidP="002037C6">
            <w:pPr>
              <w:jc w:val="center"/>
              <w:rPr>
                <w:rFonts w:ascii="Arial Narrow" w:eastAsia="Times New Roman" w:hAnsi="Arial Narrow" w:cs="Calibri"/>
                <w:b/>
                <w:bCs/>
                <w:color w:val="000000"/>
                <w:sz w:val="22"/>
                <w:szCs w:val="22"/>
              </w:rPr>
            </w:pPr>
            <w:r w:rsidRPr="002037C6">
              <w:rPr>
                <w:rFonts w:ascii="Arial Narrow" w:eastAsia="Times New Roman" w:hAnsi="Arial Narrow" w:cs="Calibri"/>
                <w:b/>
                <w:bCs/>
                <w:color w:val="000000"/>
                <w:sz w:val="22"/>
                <w:szCs w:val="22"/>
              </w:rPr>
              <w:t>10</w:t>
            </w:r>
          </w:p>
        </w:tc>
        <w:tc>
          <w:tcPr>
            <w:tcW w:w="390" w:type="dxa"/>
            <w:tcBorders>
              <w:top w:val="single" w:sz="8" w:space="0" w:color="auto"/>
              <w:left w:val="nil"/>
              <w:bottom w:val="single" w:sz="8" w:space="0" w:color="auto"/>
              <w:right w:val="single" w:sz="8" w:space="0" w:color="auto"/>
            </w:tcBorders>
            <w:shd w:val="clear" w:color="auto" w:fill="auto"/>
            <w:vAlign w:val="center"/>
            <w:hideMark/>
          </w:tcPr>
          <w:p w14:paraId="05C38997" w14:textId="77777777" w:rsidR="002037C6" w:rsidRPr="002037C6" w:rsidRDefault="002037C6" w:rsidP="002037C6">
            <w:pPr>
              <w:jc w:val="center"/>
              <w:rPr>
                <w:rFonts w:ascii="Arial Narrow" w:eastAsia="Times New Roman" w:hAnsi="Arial Narrow" w:cs="Calibri"/>
                <w:b/>
                <w:bCs/>
                <w:color w:val="000000"/>
                <w:sz w:val="22"/>
                <w:szCs w:val="22"/>
              </w:rPr>
            </w:pPr>
            <w:r w:rsidRPr="002037C6">
              <w:rPr>
                <w:rFonts w:ascii="Arial Narrow" w:eastAsia="Times New Roman" w:hAnsi="Arial Narrow" w:cs="Calibri"/>
                <w:b/>
                <w:bCs/>
                <w:color w:val="000000"/>
                <w:sz w:val="22"/>
                <w:szCs w:val="22"/>
              </w:rPr>
              <w:t xml:space="preserve"> </w:t>
            </w:r>
          </w:p>
        </w:tc>
        <w:tc>
          <w:tcPr>
            <w:tcW w:w="3673" w:type="dxa"/>
            <w:gridSpan w:val="2"/>
            <w:tcBorders>
              <w:top w:val="single" w:sz="8" w:space="0" w:color="auto"/>
              <w:left w:val="nil"/>
              <w:bottom w:val="single" w:sz="8" w:space="0" w:color="auto"/>
              <w:right w:val="single" w:sz="8" w:space="0" w:color="auto"/>
            </w:tcBorders>
            <w:shd w:val="clear" w:color="auto" w:fill="auto"/>
            <w:vAlign w:val="center"/>
            <w:hideMark/>
          </w:tcPr>
          <w:p w14:paraId="398224B9" w14:textId="77777777" w:rsidR="002037C6" w:rsidRPr="002037C6" w:rsidRDefault="002037C6" w:rsidP="002037C6">
            <w:pPr>
              <w:jc w:val="both"/>
              <w:rPr>
                <w:rFonts w:ascii="Arial Narrow" w:eastAsia="Times New Roman" w:hAnsi="Arial Narrow" w:cs="Calibri"/>
                <w:b/>
                <w:bCs/>
                <w:color w:val="000000"/>
                <w:sz w:val="22"/>
                <w:szCs w:val="22"/>
              </w:rPr>
            </w:pPr>
            <w:r w:rsidRPr="002037C6">
              <w:rPr>
                <w:rFonts w:ascii="Arial Narrow" w:eastAsia="Times New Roman" w:hAnsi="Arial Narrow" w:cs="Calibri"/>
                <w:b/>
                <w:bCs/>
                <w:color w:val="000000"/>
                <w:sz w:val="22"/>
                <w:szCs w:val="22"/>
              </w:rPr>
              <w:t>Procedimientos de consolidación</w:t>
            </w:r>
          </w:p>
        </w:tc>
        <w:tc>
          <w:tcPr>
            <w:tcW w:w="2315" w:type="dxa"/>
            <w:gridSpan w:val="2"/>
            <w:tcBorders>
              <w:top w:val="single" w:sz="8" w:space="0" w:color="auto"/>
              <w:left w:val="nil"/>
              <w:bottom w:val="single" w:sz="8" w:space="0" w:color="auto"/>
              <w:right w:val="single" w:sz="8" w:space="0" w:color="auto"/>
            </w:tcBorders>
            <w:shd w:val="clear" w:color="auto" w:fill="auto"/>
            <w:vAlign w:val="center"/>
            <w:hideMark/>
          </w:tcPr>
          <w:p w14:paraId="1E027DBA" w14:textId="77777777" w:rsidR="002037C6" w:rsidRDefault="002037C6" w:rsidP="002037C6">
            <w:pPr>
              <w:jc w:val="both"/>
              <w:rPr>
                <w:rFonts w:ascii="Arial Narrow" w:eastAsia="Times New Roman" w:hAnsi="Arial Narrow" w:cs="Calibri"/>
                <w:b/>
                <w:bCs/>
                <w:color w:val="000000"/>
                <w:sz w:val="22"/>
                <w:szCs w:val="22"/>
              </w:rPr>
            </w:pPr>
            <w:r w:rsidRPr="002037C6">
              <w:rPr>
                <w:rFonts w:ascii="Arial Narrow" w:eastAsia="Times New Roman" w:hAnsi="Arial Narrow" w:cs="Calibri"/>
                <w:b/>
                <w:bCs/>
                <w:color w:val="000000"/>
                <w:sz w:val="22"/>
                <w:szCs w:val="22"/>
              </w:rPr>
              <w:t xml:space="preserve">NICSP N° 35, </w:t>
            </w:r>
          </w:p>
          <w:p w14:paraId="50C78FE4" w14:textId="4134B4A2" w:rsidR="002037C6" w:rsidRPr="002037C6" w:rsidRDefault="002037C6" w:rsidP="002037C6">
            <w:pPr>
              <w:jc w:val="both"/>
              <w:rPr>
                <w:rFonts w:ascii="Arial Narrow" w:eastAsia="Times New Roman" w:hAnsi="Arial Narrow" w:cs="Calibri"/>
                <w:b/>
                <w:bCs/>
                <w:color w:val="000000"/>
                <w:sz w:val="22"/>
                <w:szCs w:val="22"/>
              </w:rPr>
            </w:pPr>
            <w:r w:rsidRPr="002037C6">
              <w:rPr>
                <w:rFonts w:ascii="Arial Narrow" w:eastAsia="Times New Roman" w:hAnsi="Arial Narrow" w:cs="Calibri"/>
                <w:b/>
                <w:bCs/>
                <w:color w:val="000000"/>
                <w:sz w:val="22"/>
                <w:szCs w:val="22"/>
              </w:rPr>
              <w:t>Párrafo 40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12E810FF" w14:textId="77777777" w:rsidR="002037C6" w:rsidRPr="002037C6" w:rsidRDefault="002037C6" w:rsidP="0030399E">
            <w:pPr>
              <w:jc w:val="both"/>
              <w:rPr>
                <w:rFonts w:ascii="Arial Narrow" w:eastAsia="Times New Roman" w:hAnsi="Arial Narrow" w:cs="Calibri"/>
                <w:b/>
                <w:bCs/>
                <w:color w:val="000000"/>
                <w:sz w:val="22"/>
                <w:szCs w:val="22"/>
                <w:lang w:val="es-CR"/>
              </w:rPr>
            </w:pPr>
            <w:r w:rsidRPr="002037C6">
              <w:rPr>
                <w:rFonts w:ascii="Arial Narrow" w:eastAsia="Times New Roman" w:hAnsi="Arial Narrow" w:cs="Calibri"/>
                <w:b/>
                <w:bCs/>
                <w:color w:val="000000"/>
                <w:sz w:val="22"/>
                <w:szCs w:val="22"/>
                <w:lang w:val="es-CR"/>
              </w:rPr>
              <w:t>Manual de Procedimientos Contable financieros</w:t>
            </w:r>
            <w:r w:rsidRPr="002037C6">
              <w:rPr>
                <w:rFonts w:ascii="Arial Narrow" w:eastAsia="Times New Roman" w:hAnsi="Arial Narrow" w:cs="Calibri"/>
                <w:b/>
                <w:bCs/>
                <w:color w:val="000000"/>
                <w:sz w:val="22"/>
                <w:szCs w:val="22"/>
                <w:lang w:val="es-CR"/>
              </w:rPr>
              <w:br/>
              <w:t xml:space="preserve">DGCN </w:t>
            </w:r>
          </w:p>
        </w:tc>
      </w:tr>
    </w:tbl>
    <w:p w14:paraId="67571F46" w14:textId="77777777" w:rsidR="002F7D73" w:rsidRDefault="002F7D73" w:rsidP="002236BD">
      <w:pPr>
        <w:pStyle w:val="Default"/>
        <w:ind w:left="1134" w:hanging="1134"/>
        <w:jc w:val="both"/>
        <w:rPr>
          <w:sz w:val="22"/>
          <w:szCs w:val="22"/>
          <w:lang w:val="es-CR"/>
        </w:rPr>
      </w:pPr>
    </w:p>
    <w:p w14:paraId="212245B1" w14:textId="77777777" w:rsidR="002771C5" w:rsidRPr="0030399E" w:rsidRDefault="002771C5" w:rsidP="002771C5">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35DE02E8" w14:textId="77777777" w:rsidR="002771C5" w:rsidRDefault="002771C5" w:rsidP="002236BD">
      <w:pPr>
        <w:pStyle w:val="Default"/>
        <w:ind w:left="1134" w:hanging="1134"/>
        <w:jc w:val="both"/>
        <w:rPr>
          <w:sz w:val="22"/>
          <w:szCs w:val="22"/>
          <w:lang w:val="es-CR"/>
        </w:rPr>
      </w:pPr>
    </w:p>
    <w:p w14:paraId="4BF78540" w14:textId="54F826D0" w:rsidR="002037C6" w:rsidRPr="00586E08" w:rsidRDefault="002037C6" w:rsidP="002037C6">
      <w:pPr>
        <w:pStyle w:val="Default"/>
        <w:ind w:left="1134" w:hanging="1134"/>
        <w:jc w:val="both"/>
        <w:rPr>
          <w:sz w:val="22"/>
          <w:szCs w:val="22"/>
          <w:lang w:val="es-CR"/>
        </w:rPr>
      </w:pPr>
      <w:r>
        <w:rPr>
          <w:sz w:val="22"/>
          <w:szCs w:val="22"/>
          <w:lang w:val="es-CR"/>
        </w:rPr>
        <w:t>7.10.0.01</w:t>
      </w:r>
      <w:r>
        <w:rPr>
          <w:sz w:val="22"/>
          <w:szCs w:val="22"/>
          <w:lang w:val="es-CR"/>
        </w:rPr>
        <w:tab/>
      </w:r>
      <w:r w:rsidRPr="002037C6">
        <w:rPr>
          <w:sz w:val="22"/>
          <w:szCs w:val="22"/>
          <w:lang w:val="es-CR"/>
        </w:rPr>
        <w:t xml:space="preserve">La </w:t>
      </w:r>
      <w:r>
        <w:rPr>
          <w:sz w:val="22"/>
          <w:szCs w:val="22"/>
          <w:lang w:val="es-CR"/>
        </w:rPr>
        <w:t>Contabilidad Municipal</w:t>
      </w:r>
      <w:r w:rsidRPr="002037C6">
        <w:rPr>
          <w:sz w:val="22"/>
          <w:szCs w:val="22"/>
          <w:lang w:val="es-CR"/>
        </w:rPr>
        <w:t xml:space="preserve"> al elaborar los EEFFC, combinarán los EFPIG de la </w:t>
      </w:r>
      <w:r>
        <w:rPr>
          <w:sz w:val="22"/>
          <w:szCs w:val="22"/>
          <w:lang w:val="es-CR"/>
        </w:rPr>
        <w:t>Municipalidad</w:t>
      </w:r>
      <w:r w:rsidRPr="002037C6">
        <w:rPr>
          <w:sz w:val="22"/>
          <w:szCs w:val="22"/>
          <w:lang w:val="es-CR"/>
        </w:rPr>
        <w:t xml:space="preserve"> y </w:t>
      </w:r>
      <w:r w:rsidR="00B13D4C">
        <w:rPr>
          <w:sz w:val="22"/>
          <w:szCs w:val="22"/>
          <w:lang w:val="es-CR"/>
        </w:rPr>
        <w:t xml:space="preserve">los entes </w:t>
      </w:r>
      <w:r w:rsidRPr="002037C6">
        <w:rPr>
          <w:sz w:val="22"/>
          <w:szCs w:val="22"/>
          <w:lang w:val="es-CR"/>
        </w:rPr>
        <w:t>controlad</w:t>
      </w:r>
      <w:r w:rsidR="00B13D4C">
        <w:rPr>
          <w:sz w:val="22"/>
          <w:szCs w:val="22"/>
          <w:lang w:val="es-CR"/>
        </w:rPr>
        <w:t>o</w:t>
      </w:r>
      <w:r w:rsidRPr="002037C6">
        <w:rPr>
          <w:sz w:val="22"/>
          <w:szCs w:val="22"/>
          <w:lang w:val="es-CR"/>
        </w:rPr>
        <w:t>s</w:t>
      </w:r>
      <w:r w:rsidR="00B13D4C">
        <w:rPr>
          <w:sz w:val="22"/>
          <w:szCs w:val="22"/>
          <w:lang w:val="es-CR"/>
        </w:rPr>
        <w:t xml:space="preserve"> (CCDR)</w:t>
      </w:r>
      <w:r w:rsidRPr="002037C6">
        <w:rPr>
          <w:sz w:val="22"/>
          <w:szCs w:val="22"/>
          <w:lang w:val="es-CR"/>
        </w:rPr>
        <w:t>, línea a línea, agregando las partidas que representen activos, pasivos, patrimonio, ingresos y gastos de contenido similar.</w:t>
      </w:r>
      <w:r w:rsidR="00B13D4C">
        <w:rPr>
          <w:sz w:val="22"/>
          <w:szCs w:val="22"/>
          <w:lang w:val="es-CR"/>
        </w:rPr>
        <w:t xml:space="preserve"> </w:t>
      </w:r>
      <w:r w:rsidR="00586E08">
        <w:rPr>
          <w:sz w:val="22"/>
          <w:szCs w:val="22"/>
          <w:lang w:val="es-CR"/>
        </w:rPr>
        <w:t>(</w:t>
      </w:r>
      <w:r w:rsidR="00586E08" w:rsidRPr="00586E08">
        <w:rPr>
          <w:sz w:val="20"/>
          <w:szCs w:val="20"/>
          <w:lang w:val="es-CR"/>
        </w:rPr>
        <w:t xml:space="preserve">Los estados financieros de las entidades controladas que se considerarán a efectos de la </w:t>
      </w:r>
      <w:r w:rsidR="00586E08">
        <w:rPr>
          <w:sz w:val="20"/>
          <w:szCs w:val="20"/>
          <w:lang w:val="es-CR"/>
        </w:rPr>
        <w:t>cosolidación</w:t>
      </w:r>
      <w:r w:rsidR="00586E08" w:rsidRPr="00586E08">
        <w:rPr>
          <w:sz w:val="20"/>
          <w:szCs w:val="20"/>
          <w:lang w:val="es-CR"/>
        </w:rPr>
        <w:t>, estarán ajustados, de ser necesario, producto de la utilización de fechas distintas de presentación y/o de la aplicación de políticas contables diferentes.</w:t>
      </w:r>
      <w:r w:rsidR="00586E08">
        <w:rPr>
          <w:sz w:val="20"/>
          <w:szCs w:val="20"/>
          <w:lang w:val="es-CR"/>
        </w:rPr>
        <w:t>)</w:t>
      </w:r>
    </w:p>
    <w:p w14:paraId="6A2FBA55" w14:textId="77777777" w:rsidR="002037C6" w:rsidRPr="002037C6" w:rsidRDefault="002037C6" w:rsidP="002037C6">
      <w:pPr>
        <w:pStyle w:val="Default"/>
        <w:ind w:left="1134" w:hanging="1134"/>
        <w:jc w:val="both"/>
        <w:rPr>
          <w:sz w:val="22"/>
          <w:szCs w:val="22"/>
          <w:lang w:val="es-CR"/>
        </w:rPr>
      </w:pPr>
    </w:p>
    <w:p w14:paraId="22F41997" w14:textId="0B118F97" w:rsidR="002037C6" w:rsidRDefault="00B13D4C" w:rsidP="00B13D4C">
      <w:pPr>
        <w:pStyle w:val="Default"/>
        <w:ind w:left="1134" w:hanging="1134"/>
        <w:jc w:val="both"/>
        <w:rPr>
          <w:sz w:val="22"/>
          <w:szCs w:val="22"/>
          <w:lang w:val="es-CR"/>
        </w:rPr>
      </w:pPr>
      <w:r>
        <w:rPr>
          <w:sz w:val="22"/>
          <w:szCs w:val="22"/>
          <w:lang w:val="es-CR"/>
        </w:rPr>
        <w:t>7.10.0.02</w:t>
      </w:r>
      <w:r>
        <w:rPr>
          <w:sz w:val="22"/>
          <w:szCs w:val="22"/>
          <w:lang w:val="es-CR"/>
        </w:rPr>
        <w:tab/>
      </w:r>
      <w:r w:rsidR="002037C6" w:rsidRPr="002037C6">
        <w:rPr>
          <w:sz w:val="22"/>
          <w:szCs w:val="22"/>
          <w:lang w:val="es-CR"/>
        </w:rPr>
        <w:t xml:space="preserve">Los ingresos y gastos de </w:t>
      </w:r>
      <w:r>
        <w:rPr>
          <w:sz w:val="22"/>
          <w:szCs w:val="22"/>
          <w:lang w:val="es-CR"/>
        </w:rPr>
        <w:t>l</w:t>
      </w:r>
      <w:r w:rsidR="002037C6" w:rsidRPr="002037C6">
        <w:rPr>
          <w:sz w:val="22"/>
          <w:szCs w:val="22"/>
          <w:lang w:val="es-CR"/>
        </w:rPr>
        <w:t xml:space="preserve">a entidad controlada </w:t>
      </w:r>
      <w:r>
        <w:rPr>
          <w:sz w:val="22"/>
          <w:szCs w:val="22"/>
          <w:lang w:val="es-CR"/>
        </w:rPr>
        <w:t xml:space="preserve">CCDR, </w:t>
      </w:r>
      <w:r w:rsidR="002037C6" w:rsidRPr="002037C6">
        <w:rPr>
          <w:sz w:val="22"/>
          <w:szCs w:val="22"/>
          <w:lang w:val="es-CR"/>
        </w:rPr>
        <w:t xml:space="preserve">se incluirán en los EEFFC desde la fecha de </w:t>
      </w:r>
      <w:r>
        <w:rPr>
          <w:sz w:val="22"/>
          <w:szCs w:val="22"/>
          <w:lang w:val="es-CR"/>
        </w:rPr>
        <w:t>creación</w:t>
      </w:r>
      <w:r w:rsidR="002037C6" w:rsidRPr="002037C6">
        <w:rPr>
          <w:sz w:val="22"/>
          <w:szCs w:val="22"/>
          <w:lang w:val="es-CR"/>
        </w:rPr>
        <w:t xml:space="preserve">, hasta la fecha en la que la </w:t>
      </w:r>
      <w:r>
        <w:rPr>
          <w:sz w:val="22"/>
          <w:szCs w:val="22"/>
          <w:lang w:val="es-CR"/>
        </w:rPr>
        <w:t>Municipalidad</w:t>
      </w:r>
      <w:r w:rsidR="002037C6" w:rsidRPr="002037C6">
        <w:rPr>
          <w:sz w:val="22"/>
          <w:szCs w:val="22"/>
          <w:lang w:val="es-CR"/>
        </w:rPr>
        <w:t xml:space="preserve"> cesa de controlar a la entidad controlada</w:t>
      </w:r>
      <w:r>
        <w:rPr>
          <w:sz w:val="22"/>
          <w:szCs w:val="22"/>
          <w:lang w:val="es-CR"/>
        </w:rPr>
        <w:t xml:space="preserve"> o la controlada cesa funciones</w:t>
      </w:r>
      <w:r w:rsidR="002037C6" w:rsidRPr="002037C6">
        <w:rPr>
          <w:sz w:val="22"/>
          <w:szCs w:val="22"/>
          <w:lang w:val="es-CR"/>
        </w:rPr>
        <w:t>.</w:t>
      </w:r>
    </w:p>
    <w:p w14:paraId="16F77C8C" w14:textId="77777777" w:rsidR="00B13D4C" w:rsidRPr="002037C6" w:rsidRDefault="00B13D4C" w:rsidP="002037C6">
      <w:pPr>
        <w:pStyle w:val="Default"/>
        <w:jc w:val="both"/>
        <w:rPr>
          <w:sz w:val="22"/>
          <w:szCs w:val="22"/>
          <w:lang w:val="es-CR"/>
        </w:rPr>
      </w:pPr>
    </w:p>
    <w:p w14:paraId="09868283" w14:textId="5F7D5017" w:rsidR="002037C6" w:rsidRDefault="00B13D4C" w:rsidP="00B13D4C">
      <w:pPr>
        <w:pStyle w:val="Default"/>
        <w:ind w:left="1134" w:hanging="1134"/>
        <w:jc w:val="both"/>
        <w:rPr>
          <w:sz w:val="22"/>
          <w:szCs w:val="22"/>
          <w:lang w:val="es-CR"/>
        </w:rPr>
      </w:pPr>
      <w:r>
        <w:rPr>
          <w:sz w:val="22"/>
          <w:szCs w:val="22"/>
          <w:lang w:val="es-CR"/>
        </w:rPr>
        <w:t>7.10.0.03</w:t>
      </w:r>
      <w:r>
        <w:rPr>
          <w:sz w:val="22"/>
          <w:szCs w:val="22"/>
          <w:lang w:val="es-CR"/>
        </w:rPr>
        <w:tab/>
      </w:r>
      <w:r w:rsidR="002037C6" w:rsidRPr="002037C6">
        <w:rPr>
          <w:sz w:val="22"/>
          <w:szCs w:val="22"/>
          <w:lang w:val="es-CR"/>
        </w:rPr>
        <w:t>Los estados financieros consolidados:</w:t>
      </w:r>
    </w:p>
    <w:p w14:paraId="27FD523C" w14:textId="77777777" w:rsidR="00B13D4C" w:rsidRDefault="00B13D4C" w:rsidP="002037C6">
      <w:pPr>
        <w:pStyle w:val="Default"/>
        <w:jc w:val="both"/>
        <w:rPr>
          <w:sz w:val="22"/>
          <w:szCs w:val="22"/>
          <w:lang w:val="es-CR"/>
        </w:rPr>
      </w:pPr>
    </w:p>
    <w:p w14:paraId="3E6E7F18" w14:textId="77777777" w:rsidR="00B13D4C" w:rsidRDefault="00B13D4C">
      <w:pPr>
        <w:pStyle w:val="Default"/>
        <w:numPr>
          <w:ilvl w:val="0"/>
          <w:numId w:val="425"/>
        </w:numPr>
        <w:spacing w:after="155"/>
        <w:ind w:left="1418" w:hanging="284"/>
        <w:jc w:val="both"/>
        <w:rPr>
          <w:sz w:val="22"/>
          <w:szCs w:val="22"/>
          <w:lang w:val="es-CR"/>
        </w:rPr>
      </w:pPr>
      <w:r w:rsidRPr="002037C6">
        <w:rPr>
          <w:sz w:val="22"/>
          <w:szCs w:val="22"/>
          <w:lang w:val="es-CR"/>
        </w:rPr>
        <w:t xml:space="preserve">Combinan partidas similares de activos, pasivos, activos netos/patrimonio, ingresos, gastos y flujos de efectivo de la entidad controladora con los de sus entidades controladas. </w:t>
      </w:r>
    </w:p>
    <w:p w14:paraId="1753E271" w14:textId="77777777" w:rsidR="00B13D4C" w:rsidRDefault="00B13D4C">
      <w:pPr>
        <w:pStyle w:val="Default"/>
        <w:numPr>
          <w:ilvl w:val="0"/>
          <w:numId w:val="425"/>
        </w:numPr>
        <w:spacing w:after="155"/>
        <w:ind w:left="1418" w:hanging="284"/>
        <w:jc w:val="both"/>
        <w:rPr>
          <w:sz w:val="22"/>
          <w:szCs w:val="22"/>
          <w:lang w:val="es-CR"/>
        </w:rPr>
      </w:pPr>
      <w:r w:rsidRPr="00B13D4C">
        <w:rPr>
          <w:sz w:val="22"/>
          <w:szCs w:val="22"/>
          <w:lang w:val="es-CR"/>
        </w:rPr>
        <w:t xml:space="preserve">Compensan (eliminan) el importe en libros de la inversión de la entidad controladora en cada entidad controlada, así como la parte de los activos netos/patrimonio de cada una de dichas entidades controladas que pertenece a la controladora, (la NICSP 40 explica cómo contabilizar la plusvalía resultante). </w:t>
      </w:r>
    </w:p>
    <w:p w14:paraId="1C23303D" w14:textId="4F4EA66F" w:rsidR="002037C6" w:rsidRPr="00B13D4C" w:rsidRDefault="002037C6">
      <w:pPr>
        <w:pStyle w:val="Default"/>
        <w:numPr>
          <w:ilvl w:val="0"/>
          <w:numId w:val="425"/>
        </w:numPr>
        <w:spacing w:after="155"/>
        <w:ind w:left="1418" w:hanging="284"/>
        <w:jc w:val="both"/>
        <w:rPr>
          <w:sz w:val="22"/>
          <w:szCs w:val="22"/>
          <w:lang w:val="es-CR"/>
        </w:rPr>
      </w:pPr>
      <w:r w:rsidRPr="00B13D4C">
        <w:rPr>
          <w:sz w:val="22"/>
          <w:szCs w:val="22"/>
          <w:lang w:val="es-CR"/>
        </w:rPr>
        <w:t>Eliminan en su totalidad los activos, pasivos, activos netos/patrimonio, ingresos, gastos y flujos de efectivo internos de la entidad económica relacionados con transacciones entre las entidades de la entidad económica [los resultados (ahorro o desahorro) del periodo procedentes de transacciones internas de la entidad económica que están reconocidos en activos, tales como inventarios y activos fijos, se eliminan totalmente]. Las pérdidas internas de la entidad económica podrían indicar un deterioro de valor de los activos que requiere reconocimiento en los estados financieros consolidados.</w:t>
      </w:r>
    </w:p>
    <w:p w14:paraId="04E7BFA4" w14:textId="77777777" w:rsidR="002F7D73" w:rsidRDefault="002F7D73" w:rsidP="002236BD">
      <w:pPr>
        <w:pStyle w:val="Default"/>
        <w:ind w:left="1134" w:hanging="1134"/>
        <w:jc w:val="both"/>
        <w:rPr>
          <w:sz w:val="22"/>
          <w:szCs w:val="22"/>
          <w:lang w:val="es-CR"/>
        </w:rPr>
      </w:pPr>
    </w:p>
    <w:p w14:paraId="39EDB556" w14:textId="77777777" w:rsidR="0030399E" w:rsidRDefault="0030399E" w:rsidP="002236BD">
      <w:pPr>
        <w:pStyle w:val="Default"/>
        <w:ind w:left="1134" w:hanging="1134"/>
        <w:jc w:val="both"/>
        <w:rPr>
          <w:sz w:val="22"/>
          <w:szCs w:val="22"/>
          <w:lang w:val="es-CR"/>
        </w:rPr>
      </w:pPr>
    </w:p>
    <w:tbl>
      <w:tblPr>
        <w:tblW w:w="9376" w:type="dxa"/>
        <w:tblLook w:val="04A0" w:firstRow="1" w:lastRow="0" w:firstColumn="1" w:lastColumn="0" w:noHBand="0" w:noVBand="1"/>
      </w:tblPr>
      <w:tblGrid>
        <w:gridCol w:w="415"/>
        <w:gridCol w:w="708"/>
        <w:gridCol w:w="411"/>
        <w:gridCol w:w="3737"/>
        <w:gridCol w:w="2278"/>
        <w:gridCol w:w="1814"/>
        <w:gridCol w:w="13"/>
      </w:tblGrid>
      <w:tr w:rsidR="00586E08" w:rsidRPr="00586E08" w14:paraId="5164B3CA" w14:textId="77777777" w:rsidTr="0030399E">
        <w:trPr>
          <w:gridAfter w:val="1"/>
          <w:wAfter w:w="9" w:type="dxa"/>
          <w:trHeight w:val="320"/>
        </w:trPr>
        <w:tc>
          <w:tcPr>
            <w:tcW w:w="1535" w:type="dxa"/>
            <w:gridSpan w:val="3"/>
            <w:vMerge w:val="restart"/>
            <w:tcBorders>
              <w:top w:val="single" w:sz="8" w:space="0" w:color="auto"/>
              <w:left w:val="single" w:sz="8" w:space="0" w:color="auto"/>
              <w:bottom w:val="nil"/>
              <w:right w:val="single" w:sz="8" w:space="0" w:color="000000"/>
            </w:tcBorders>
            <w:shd w:val="clear" w:color="000000" w:fill="203764"/>
            <w:vAlign w:val="center"/>
            <w:hideMark/>
          </w:tcPr>
          <w:p w14:paraId="77A66D28" w14:textId="77777777" w:rsidR="00586E08" w:rsidRPr="00586E08" w:rsidRDefault="00586E08" w:rsidP="00586E08">
            <w:pPr>
              <w:jc w:val="center"/>
              <w:rPr>
                <w:rFonts w:ascii="Arial Narrow" w:eastAsia="Times New Roman" w:hAnsi="Arial Narrow" w:cs="Calibri"/>
                <w:b/>
                <w:bCs/>
                <w:color w:val="FFFFFF"/>
                <w:sz w:val="22"/>
                <w:szCs w:val="22"/>
              </w:rPr>
            </w:pPr>
            <w:r w:rsidRPr="00586E08">
              <w:rPr>
                <w:rFonts w:ascii="Arial Narrow" w:eastAsia="Times New Roman" w:hAnsi="Arial Narrow" w:cs="Calibri"/>
                <w:b/>
                <w:bCs/>
                <w:color w:val="FFFFFF"/>
                <w:sz w:val="22"/>
                <w:szCs w:val="22"/>
              </w:rPr>
              <w:t>Norma / Política</w:t>
            </w:r>
          </w:p>
        </w:tc>
        <w:tc>
          <w:tcPr>
            <w:tcW w:w="3739"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B6976F" w14:textId="77777777" w:rsidR="00586E08" w:rsidRPr="00586E08" w:rsidRDefault="00586E08" w:rsidP="00586E08">
            <w:pPr>
              <w:jc w:val="center"/>
              <w:rPr>
                <w:rFonts w:ascii="Arial Narrow" w:eastAsia="Times New Roman" w:hAnsi="Arial Narrow" w:cs="Calibri"/>
                <w:b/>
                <w:bCs/>
                <w:color w:val="FFFFFF"/>
                <w:sz w:val="22"/>
                <w:szCs w:val="22"/>
              </w:rPr>
            </w:pPr>
            <w:r w:rsidRPr="00586E08">
              <w:rPr>
                <w:rFonts w:ascii="Arial Narrow" w:eastAsia="Times New Roman" w:hAnsi="Arial Narrow" w:cs="Calibri"/>
                <w:b/>
                <w:bCs/>
                <w:color w:val="FFFFFF"/>
                <w:sz w:val="22"/>
                <w:szCs w:val="22"/>
              </w:rPr>
              <w:t>Concepto</w:t>
            </w:r>
          </w:p>
        </w:tc>
        <w:tc>
          <w:tcPr>
            <w:tcW w:w="4093" w:type="dxa"/>
            <w:gridSpan w:val="2"/>
            <w:tcBorders>
              <w:top w:val="single" w:sz="8" w:space="0" w:color="auto"/>
              <w:left w:val="nil"/>
              <w:bottom w:val="single" w:sz="8" w:space="0" w:color="auto"/>
              <w:right w:val="single" w:sz="8" w:space="0" w:color="000000"/>
            </w:tcBorders>
            <w:shd w:val="clear" w:color="000000" w:fill="203764"/>
            <w:vAlign w:val="center"/>
            <w:hideMark/>
          </w:tcPr>
          <w:p w14:paraId="65DC598F" w14:textId="77777777" w:rsidR="00586E08" w:rsidRPr="00586E08" w:rsidRDefault="00586E08" w:rsidP="00586E08">
            <w:pPr>
              <w:jc w:val="center"/>
              <w:rPr>
                <w:rFonts w:ascii="Arial Narrow" w:eastAsia="Times New Roman" w:hAnsi="Arial Narrow" w:cs="Calibri"/>
                <w:b/>
                <w:bCs/>
                <w:color w:val="FFFFFF"/>
                <w:sz w:val="22"/>
                <w:szCs w:val="22"/>
              </w:rPr>
            </w:pPr>
            <w:r w:rsidRPr="00586E08">
              <w:rPr>
                <w:rFonts w:ascii="Arial Narrow" w:eastAsia="Times New Roman" w:hAnsi="Arial Narrow" w:cs="Calibri"/>
                <w:b/>
                <w:bCs/>
                <w:color w:val="FFFFFF"/>
                <w:sz w:val="22"/>
                <w:szCs w:val="22"/>
              </w:rPr>
              <w:t>Referencia</w:t>
            </w:r>
          </w:p>
        </w:tc>
      </w:tr>
      <w:tr w:rsidR="00586E08" w:rsidRPr="006E5442" w14:paraId="4893B04A" w14:textId="77777777" w:rsidTr="0030399E">
        <w:trPr>
          <w:gridAfter w:val="1"/>
          <w:wAfter w:w="9" w:type="dxa"/>
          <w:trHeight w:val="850"/>
        </w:trPr>
        <w:tc>
          <w:tcPr>
            <w:tcW w:w="1535" w:type="dxa"/>
            <w:gridSpan w:val="3"/>
            <w:vMerge/>
            <w:tcBorders>
              <w:top w:val="single" w:sz="8" w:space="0" w:color="auto"/>
              <w:left w:val="single" w:sz="8" w:space="0" w:color="auto"/>
              <w:bottom w:val="nil"/>
              <w:right w:val="single" w:sz="8" w:space="0" w:color="000000"/>
            </w:tcBorders>
            <w:vAlign w:val="center"/>
            <w:hideMark/>
          </w:tcPr>
          <w:p w14:paraId="1F523B5B" w14:textId="77777777" w:rsidR="00586E08" w:rsidRPr="00586E08" w:rsidRDefault="00586E08" w:rsidP="00586E08">
            <w:pPr>
              <w:rPr>
                <w:rFonts w:ascii="Arial Narrow" w:eastAsia="Times New Roman" w:hAnsi="Arial Narrow" w:cs="Calibri"/>
                <w:b/>
                <w:bCs/>
                <w:color w:val="FFFFFF"/>
                <w:sz w:val="22"/>
                <w:szCs w:val="22"/>
              </w:rPr>
            </w:pPr>
          </w:p>
        </w:tc>
        <w:tc>
          <w:tcPr>
            <w:tcW w:w="3739" w:type="dxa"/>
            <w:vMerge/>
            <w:tcBorders>
              <w:top w:val="single" w:sz="8" w:space="0" w:color="auto"/>
              <w:left w:val="single" w:sz="8" w:space="0" w:color="auto"/>
              <w:bottom w:val="nil"/>
              <w:right w:val="single" w:sz="8" w:space="0" w:color="auto"/>
            </w:tcBorders>
            <w:vAlign w:val="center"/>
            <w:hideMark/>
          </w:tcPr>
          <w:p w14:paraId="30BBC5E9" w14:textId="77777777" w:rsidR="00586E08" w:rsidRPr="00586E08" w:rsidRDefault="00586E08" w:rsidP="00586E08">
            <w:pPr>
              <w:rPr>
                <w:rFonts w:ascii="Arial Narrow" w:eastAsia="Times New Roman" w:hAnsi="Arial Narrow" w:cs="Calibri"/>
                <w:b/>
                <w:bCs/>
                <w:color w:val="FFFFFF"/>
                <w:sz w:val="22"/>
                <w:szCs w:val="22"/>
              </w:rPr>
            </w:pPr>
          </w:p>
        </w:tc>
        <w:tc>
          <w:tcPr>
            <w:tcW w:w="2279" w:type="dxa"/>
            <w:tcBorders>
              <w:top w:val="nil"/>
              <w:left w:val="nil"/>
              <w:bottom w:val="nil"/>
              <w:right w:val="single" w:sz="8" w:space="0" w:color="auto"/>
            </w:tcBorders>
            <w:shd w:val="clear" w:color="000000" w:fill="203764"/>
            <w:vAlign w:val="center"/>
            <w:hideMark/>
          </w:tcPr>
          <w:p w14:paraId="2EA449CC" w14:textId="77777777" w:rsidR="00586E08" w:rsidRPr="00586E08" w:rsidRDefault="00586E08" w:rsidP="00586E08">
            <w:pPr>
              <w:jc w:val="center"/>
              <w:rPr>
                <w:rFonts w:ascii="Arial Narrow" w:eastAsia="Times New Roman" w:hAnsi="Arial Narrow" w:cs="Calibri"/>
                <w:b/>
                <w:bCs/>
                <w:color w:val="FFFFFF"/>
                <w:sz w:val="22"/>
                <w:szCs w:val="22"/>
              </w:rPr>
            </w:pPr>
            <w:r w:rsidRPr="00586E08">
              <w:rPr>
                <w:rFonts w:ascii="Arial Narrow" w:eastAsia="Times New Roman" w:hAnsi="Arial Narrow" w:cs="Calibri"/>
                <w:b/>
                <w:bCs/>
                <w:color w:val="FFFFFF"/>
                <w:sz w:val="22"/>
                <w:szCs w:val="22"/>
              </w:rPr>
              <w:t>Norma</w:t>
            </w:r>
          </w:p>
        </w:tc>
        <w:tc>
          <w:tcPr>
            <w:tcW w:w="1814" w:type="dxa"/>
            <w:tcBorders>
              <w:top w:val="nil"/>
              <w:left w:val="nil"/>
              <w:bottom w:val="nil"/>
              <w:right w:val="single" w:sz="8" w:space="0" w:color="auto"/>
            </w:tcBorders>
            <w:shd w:val="clear" w:color="000000" w:fill="203764"/>
            <w:vAlign w:val="center"/>
            <w:hideMark/>
          </w:tcPr>
          <w:p w14:paraId="6FAFDBE4" w14:textId="77777777" w:rsidR="00586E08" w:rsidRPr="00586E08" w:rsidRDefault="00586E08" w:rsidP="00586E08">
            <w:pPr>
              <w:jc w:val="center"/>
              <w:rPr>
                <w:rFonts w:ascii="Arial Narrow" w:eastAsia="Times New Roman" w:hAnsi="Arial Narrow" w:cs="Calibri"/>
                <w:b/>
                <w:bCs/>
                <w:color w:val="FFFFFF"/>
                <w:sz w:val="22"/>
                <w:szCs w:val="22"/>
                <w:lang w:val="es-CR"/>
              </w:rPr>
            </w:pPr>
            <w:r w:rsidRPr="00586E08">
              <w:rPr>
                <w:rFonts w:ascii="Arial Narrow" w:eastAsia="Times New Roman" w:hAnsi="Arial Narrow" w:cs="Calibri"/>
                <w:b/>
                <w:bCs/>
                <w:color w:val="FFFFFF"/>
                <w:sz w:val="22"/>
                <w:szCs w:val="22"/>
                <w:lang w:val="es-CR"/>
              </w:rPr>
              <w:t>Normativa técnica y disposiciones adicionales</w:t>
            </w:r>
          </w:p>
        </w:tc>
      </w:tr>
      <w:tr w:rsidR="00586E08" w:rsidRPr="00586E08" w14:paraId="0D98B816" w14:textId="77777777" w:rsidTr="0030399E">
        <w:trPr>
          <w:trHeight w:val="57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DEE777" w14:textId="77777777" w:rsidR="00586E08" w:rsidRPr="00586E08" w:rsidRDefault="00586E08" w:rsidP="0030399E">
            <w:pPr>
              <w:jc w:val="center"/>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6629F3D" w14:textId="77777777" w:rsidR="00586E08" w:rsidRPr="00586E08" w:rsidRDefault="00586E08" w:rsidP="0030399E">
            <w:pPr>
              <w:jc w:val="center"/>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11</w:t>
            </w:r>
          </w:p>
        </w:tc>
        <w:tc>
          <w:tcPr>
            <w:tcW w:w="407" w:type="dxa"/>
            <w:tcBorders>
              <w:top w:val="single" w:sz="8" w:space="0" w:color="auto"/>
              <w:left w:val="nil"/>
              <w:bottom w:val="single" w:sz="8" w:space="0" w:color="auto"/>
              <w:right w:val="single" w:sz="8" w:space="0" w:color="auto"/>
            </w:tcBorders>
            <w:shd w:val="clear" w:color="auto" w:fill="auto"/>
            <w:vAlign w:val="center"/>
            <w:hideMark/>
          </w:tcPr>
          <w:p w14:paraId="2083CD4A" w14:textId="77777777" w:rsidR="00586E08" w:rsidRPr="00586E08" w:rsidRDefault="00586E08" w:rsidP="00586E08">
            <w:pPr>
              <w:jc w:val="center"/>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 xml:space="preserve"> </w:t>
            </w:r>
          </w:p>
        </w:tc>
        <w:tc>
          <w:tcPr>
            <w:tcW w:w="3739" w:type="dxa"/>
            <w:tcBorders>
              <w:top w:val="single" w:sz="8" w:space="0" w:color="auto"/>
              <w:left w:val="nil"/>
              <w:bottom w:val="single" w:sz="8" w:space="0" w:color="auto"/>
              <w:right w:val="single" w:sz="8" w:space="0" w:color="auto"/>
            </w:tcBorders>
            <w:shd w:val="clear" w:color="auto" w:fill="auto"/>
            <w:vAlign w:val="center"/>
            <w:hideMark/>
          </w:tcPr>
          <w:p w14:paraId="7B675976" w14:textId="158BBC64" w:rsidR="00586E08" w:rsidRPr="00586E08" w:rsidRDefault="00586E08" w:rsidP="00586E08">
            <w:pPr>
              <w:pStyle w:val="Default"/>
              <w:rPr>
                <w:rFonts w:ascii="Arial Narrow" w:hAnsi="Arial Narrow"/>
                <w:sz w:val="22"/>
                <w:szCs w:val="22"/>
                <w:lang w:val="es-CR"/>
              </w:rPr>
            </w:pPr>
            <w:r w:rsidRPr="00586E08">
              <w:rPr>
                <w:rFonts w:ascii="Arial Narrow" w:hAnsi="Arial Narrow"/>
                <w:b/>
                <w:bCs/>
                <w:sz w:val="22"/>
                <w:szCs w:val="22"/>
                <w:lang w:val="es-CR"/>
              </w:rPr>
              <w:t xml:space="preserve">Eliminaciones, Cuentas Reciprocas y Confirmación de Saldos Contables </w:t>
            </w:r>
          </w:p>
        </w:tc>
        <w:tc>
          <w:tcPr>
            <w:tcW w:w="2279" w:type="dxa"/>
            <w:tcBorders>
              <w:top w:val="single" w:sz="8" w:space="0" w:color="auto"/>
              <w:left w:val="nil"/>
              <w:bottom w:val="single" w:sz="8" w:space="0" w:color="auto"/>
              <w:right w:val="single" w:sz="8" w:space="0" w:color="auto"/>
            </w:tcBorders>
            <w:shd w:val="clear" w:color="auto" w:fill="auto"/>
            <w:vAlign w:val="center"/>
            <w:hideMark/>
          </w:tcPr>
          <w:p w14:paraId="46DFEBF1" w14:textId="530CB635" w:rsidR="00586E08" w:rsidRPr="00586E08" w:rsidRDefault="00586E08" w:rsidP="00586E08">
            <w:pPr>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 xml:space="preserve">NICSP N° 35, </w:t>
            </w:r>
            <w:r w:rsidRPr="00586E08">
              <w:rPr>
                <w:rFonts w:ascii="Arial Narrow" w:eastAsia="Times New Roman" w:hAnsi="Arial Narrow" w:cs="Calibri"/>
                <w:b/>
                <w:bCs/>
                <w:color w:val="000000"/>
                <w:sz w:val="22"/>
                <w:szCs w:val="22"/>
              </w:rPr>
              <w:br/>
            </w:r>
            <w:r>
              <w:rPr>
                <w:rFonts w:ascii="Arial Narrow" w:eastAsia="Times New Roman" w:hAnsi="Arial Narrow" w:cs="Calibri"/>
                <w:b/>
                <w:bCs/>
                <w:color w:val="000000"/>
                <w:sz w:val="22"/>
                <w:szCs w:val="22"/>
              </w:rPr>
              <w:t>P</w:t>
            </w:r>
            <w:r w:rsidRPr="00586E08">
              <w:rPr>
                <w:rFonts w:ascii="Arial Narrow" w:eastAsia="Times New Roman" w:hAnsi="Arial Narrow" w:cs="Calibri"/>
                <w:b/>
                <w:bCs/>
                <w:color w:val="000000"/>
                <w:sz w:val="22"/>
                <w:szCs w:val="22"/>
              </w:rPr>
              <w:t>árrafo 4</w:t>
            </w:r>
            <w:r>
              <w:rPr>
                <w:rFonts w:ascii="Arial Narrow" w:eastAsia="Times New Roman" w:hAnsi="Arial Narrow" w:cs="Calibri"/>
                <w:b/>
                <w:bCs/>
                <w:color w:val="000000"/>
                <w:sz w:val="22"/>
                <w:szCs w:val="22"/>
              </w:rPr>
              <w:t>0</w:t>
            </w:r>
            <w:r w:rsidRPr="00586E08">
              <w:rPr>
                <w:rFonts w:ascii="Arial Narrow" w:eastAsia="Times New Roman" w:hAnsi="Arial Narrow" w:cs="Calibri"/>
                <w:b/>
                <w:bCs/>
                <w:color w:val="000000"/>
                <w:sz w:val="22"/>
                <w:szCs w:val="22"/>
              </w:rPr>
              <w:t>.</w:t>
            </w:r>
          </w:p>
        </w:tc>
        <w:tc>
          <w:tcPr>
            <w:tcW w:w="1827" w:type="dxa"/>
            <w:gridSpan w:val="2"/>
            <w:tcBorders>
              <w:top w:val="single" w:sz="8" w:space="0" w:color="auto"/>
              <w:left w:val="nil"/>
              <w:bottom w:val="single" w:sz="8" w:space="0" w:color="auto"/>
              <w:right w:val="single" w:sz="8" w:space="0" w:color="auto"/>
            </w:tcBorders>
            <w:shd w:val="clear" w:color="auto" w:fill="auto"/>
            <w:vAlign w:val="center"/>
            <w:hideMark/>
          </w:tcPr>
          <w:p w14:paraId="176B61EE" w14:textId="77777777" w:rsidR="00586E08" w:rsidRPr="00586E08" w:rsidRDefault="00586E08" w:rsidP="0030399E">
            <w:pPr>
              <w:jc w:val="both"/>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 </w:t>
            </w:r>
          </w:p>
        </w:tc>
      </w:tr>
      <w:tr w:rsidR="00586E08" w:rsidRPr="00586E08" w14:paraId="0616B62F" w14:textId="77777777" w:rsidTr="0030399E">
        <w:trPr>
          <w:trHeight w:val="320"/>
        </w:trPr>
        <w:tc>
          <w:tcPr>
            <w:tcW w:w="416" w:type="dxa"/>
            <w:tcBorders>
              <w:top w:val="nil"/>
              <w:left w:val="single" w:sz="8" w:space="0" w:color="auto"/>
              <w:bottom w:val="single" w:sz="4" w:space="0" w:color="auto"/>
              <w:right w:val="single" w:sz="8" w:space="0" w:color="auto"/>
            </w:tcBorders>
            <w:shd w:val="clear" w:color="auto" w:fill="auto"/>
            <w:vAlign w:val="center"/>
            <w:hideMark/>
          </w:tcPr>
          <w:p w14:paraId="36DAE88D" w14:textId="77777777" w:rsidR="00586E08" w:rsidRPr="00586E08" w:rsidRDefault="00586E08" w:rsidP="0030399E">
            <w:pPr>
              <w:jc w:val="center"/>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7</w:t>
            </w:r>
          </w:p>
        </w:tc>
        <w:tc>
          <w:tcPr>
            <w:tcW w:w="708" w:type="dxa"/>
            <w:tcBorders>
              <w:top w:val="nil"/>
              <w:left w:val="nil"/>
              <w:bottom w:val="single" w:sz="4" w:space="0" w:color="auto"/>
              <w:right w:val="single" w:sz="8" w:space="0" w:color="auto"/>
            </w:tcBorders>
            <w:shd w:val="clear" w:color="auto" w:fill="auto"/>
            <w:vAlign w:val="center"/>
            <w:hideMark/>
          </w:tcPr>
          <w:p w14:paraId="07184AC8" w14:textId="77777777" w:rsidR="00586E08" w:rsidRPr="00586E08" w:rsidRDefault="00586E08" w:rsidP="0030399E">
            <w:pPr>
              <w:jc w:val="center"/>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11</w:t>
            </w:r>
          </w:p>
        </w:tc>
        <w:tc>
          <w:tcPr>
            <w:tcW w:w="407" w:type="dxa"/>
            <w:tcBorders>
              <w:top w:val="nil"/>
              <w:left w:val="nil"/>
              <w:bottom w:val="single" w:sz="4" w:space="0" w:color="auto"/>
              <w:right w:val="nil"/>
            </w:tcBorders>
            <w:shd w:val="clear" w:color="auto" w:fill="auto"/>
            <w:vAlign w:val="center"/>
            <w:hideMark/>
          </w:tcPr>
          <w:p w14:paraId="49F9A12A" w14:textId="77777777" w:rsidR="00586E08" w:rsidRPr="00586E08" w:rsidRDefault="00586E08" w:rsidP="00586E08">
            <w:pPr>
              <w:jc w:val="center"/>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1</w:t>
            </w:r>
          </w:p>
        </w:tc>
        <w:tc>
          <w:tcPr>
            <w:tcW w:w="3739" w:type="dxa"/>
            <w:tcBorders>
              <w:top w:val="nil"/>
              <w:left w:val="single" w:sz="8" w:space="0" w:color="auto"/>
              <w:bottom w:val="single" w:sz="4" w:space="0" w:color="auto"/>
              <w:right w:val="single" w:sz="8" w:space="0" w:color="auto"/>
            </w:tcBorders>
            <w:shd w:val="clear" w:color="auto" w:fill="auto"/>
            <w:vAlign w:val="center"/>
            <w:hideMark/>
          </w:tcPr>
          <w:p w14:paraId="08A89F2E" w14:textId="0E021A88" w:rsidR="00586E08" w:rsidRPr="00586E08" w:rsidRDefault="00586E08" w:rsidP="00586E08">
            <w:pPr>
              <w:pStyle w:val="Default"/>
              <w:rPr>
                <w:rFonts w:ascii="Arial Narrow" w:hAnsi="Arial Narrow"/>
                <w:b/>
                <w:bCs/>
                <w:sz w:val="22"/>
                <w:szCs w:val="22"/>
                <w:lang w:val="es-CR"/>
              </w:rPr>
            </w:pPr>
            <w:r w:rsidRPr="00586E08">
              <w:rPr>
                <w:rFonts w:ascii="Arial Narrow" w:hAnsi="Arial Narrow"/>
                <w:b/>
                <w:bCs/>
                <w:sz w:val="22"/>
                <w:szCs w:val="22"/>
                <w:lang w:val="es-CR"/>
              </w:rPr>
              <w:t xml:space="preserve">Cuentas Reciprocas y Confirmación de Saldos </w:t>
            </w:r>
          </w:p>
        </w:tc>
        <w:tc>
          <w:tcPr>
            <w:tcW w:w="2279" w:type="dxa"/>
            <w:tcBorders>
              <w:top w:val="nil"/>
              <w:left w:val="nil"/>
              <w:bottom w:val="single" w:sz="4" w:space="0" w:color="auto"/>
              <w:right w:val="single" w:sz="8" w:space="0" w:color="auto"/>
            </w:tcBorders>
            <w:shd w:val="clear" w:color="auto" w:fill="auto"/>
            <w:vAlign w:val="center"/>
            <w:hideMark/>
          </w:tcPr>
          <w:p w14:paraId="47EF4FCC" w14:textId="77777777" w:rsidR="00586E08" w:rsidRPr="00586E08" w:rsidRDefault="00586E08" w:rsidP="00586E08">
            <w:pPr>
              <w:rPr>
                <w:rFonts w:ascii="Arial Narrow" w:eastAsia="Times New Roman" w:hAnsi="Arial Narrow" w:cs="Calibri"/>
                <w:b/>
                <w:bCs/>
                <w:color w:val="000000"/>
                <w:sz w:val="22"/>
                <w:szCs w:val="22"/>
                <w:lang w:val="es-CR"/>
              </w:rPr>
            </w:pPr>
            <w:r w:rsidRPr="00586E08">
              <w:rPr>
                <w:rFonts w:ascii="Arial Narrow" w:eastAsia="Times New Roman" w:hAnsi="Arial Narrow" w:cs="Calibri"/>
                <w:b/>
                <w:bCs/>
                <w:color w:val="000000"/>
                <w:sz w:val="22"/>
                <w:szCs w:val="22"/>
                <w:lang w:val="es-CR"/>
              </w:rPr>
              <w:t> </w:t>
            </w:r>
          </w:p>
        </w:tc>
        <w:tc>
          <w:tcPr>
            <w:tcW w:w="1827" w:type="dxa"/>
            <w:gridSpan w:val="2"/>
            <w:tcBorders>
              <w:top w:val="nil"/>
              <w:left w:val="nil"/>
              <w:bottom w:val="single" w:sz="4" w:space="0" w:color="auto"/>
              <w:right w:val="single" w:sz="8" w:space="0" w:color="auto"/>
            </w:tcBorders>
            <w:shd w:val="clear" w:color="auto" w:fill="auto"/>
            <w:vAlign w:val="center"/>
            <w:hideMark/>
          </w:tcPr>
          <w:p w14:paraId="42D525C4" w14:textId="77777777" w:rsidR="00586E08" w:rsidRPr="00586E08" w:rsidRDefault="00586E08" w:rsidP="0030399E">
            <w:pPr>
              <w:jc w:val="both"/>
              <w:rPr>
                <w:rFonts w:ascii="Arial Narrow" w:eastAsia="Times New Roman" w:hAnsi="Arial Narrow" w:cs="Calibri"/>
                <w:b/>
                <w:bCs/>
                <w:color w:val="000000"/>
                <w:sz w:val="22"/>
                <w:szCs w:val="22"/>
              </w:rPr>
            </w:pPr>
            <w:r w:rsidRPr="00586E08">
              <w:rPr>
                <w:rFonts w:ascii="Arial Narrow" w:eastAsia="Times New Roman" w:hAnsi="Arial Narrow" w:cs="Calibri"/>
                <w:b/>
                <w:bCs/>
                <w:color w:val="000000"/>
                <w:sz w:val="22"/>
                <w:szCs w:val="22"/>
              </w:rPr>
              <w:t>Nota Técnica</w:t>
            </w:r>
          </w:p>
        </w:tc>
      </w:tr>
      <w:tr w:rsidR="00586E08" w:rsidRPr="0030399E" w14:paraId="790C6F3C" w14:textId="77777777" w:rsidTr="0030399E">
        <w:trPr>
          <w:trHeight w:val="92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0FA20CBD" w14:textId="5746575F" w:rsidR="00586E08" w:rsidRPr="00586E08" w:rsidRDefault="00586E08" w:rsidP="00586E08">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CF5CAA" w14:textId="5873B244" w:rsidR="00586E08" w:rsidRPr="00586E08" w:rsidRDefault="00586E08" w:rsidP="0030399E">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11</w:t>
            </w:r>
          </w:p>
        </w:tc>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14:paraId="6C22D3D3" w14:textId="698ACF5D" w:rsidR="00586E08" w:rsidRPr="00586E08" w:rsidRDefault="00586E08" w:rsidP="00586E08">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2</w:t>
            </w: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tcPr>
          <w:p w14:paraId="0F253F57" w14:textId="5738634B" w:rsidR="00586E08" w:rsidRPr="00586E08" w:rsidRDefault="00586E08" w:rsidP="00586E08">
            <w:pPr>
              <w:pStyle w:val="Default"/>
              <w:rPr>
                <w:rFonts w:ascii="Arial Narrow" w:hAnsi="Arial Narrow"/>
                <w:b/>
                <w:bCs/>
                <w:sz w:val="22"/>
                <w:szCs w:val="22"/>
                <w:lang w:val="es-CR"/>
              </w:rPr>
            </w:pPr>
            <w:r w:rsidRPr="00586E08">
              <w:rPr>
                <w:rFonts w:ascii="Arial Narrow" w:hAnsi="Arial Narrow"/>
                <w:b/>
                <w:bCs/>
                <w:sz w:val="22"/>
                <w:szCs w:val="22"/>
                <w:lang w:val="es-CR"/>
              </w:rPr>
              <w:t xml:space="preserve">Eliminación de transacciones y saldos entre controladas en el EIFS </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22FB9F7C" w14:textId="792E5698" w:rsidR="00586E08" w:rsidRPr="00586E08" w:rsidRDefault="00586E08" w:rsidP="00586E08">
            <w:pPr>
              <w:rPr>
                <w:rFonts w:ascii="Arial Narrow" w:eastAsia="Times New Roman" w:hAnsi="Arial Narrow" w:cs="Calibri"/>
                <w:b/>
                <w:bCs/>
                <w:color w:val="000000"/>
                <w:sz w:val="22"/>
                <w:szCs w:val="22"/>
                <w:lang w:val="es-CR"/>
              </w:rPr>
            </w:pPr>
            <w:r w:rsidRPr="00586E08">
              <w:rPr>
                <w:rFonts w:ascii="Arial Narrow" w:eastAsia="Times New Roman" w:hAnsi="Arial Narrow" w:cs="Calibri"/>
                <w:b/>
                <w:bCs/>
                <w:color w:val="000000"/>
                <w:sz w:val="22"/>
                <w:szCs w:val="22"/>
              </w:rPr>
              <w:t xml:space="preserve">NICSP N° 35, </w:t>
            </w:r>
            <w:r w:rsidRPr="00586E08">
              <w:rPr>
                <w:rFonts w:ascii="Arial Narrow" w:eastAsia="Times New Roman" w:hAnsi="Arial Narrow" w:cs="Calibri"/>
                <w:b/>
                <w:bCs/>
                <w:color w:val="000000"/>
                <w:sz w:val="22"/>
                <w:szCs w:val="22"/>
              </w:rPr>
              <w:br/>
            </w:r>
            <w:r>
              <w:rPr>
                <w:rFonts w:ascii="Arial Narrow" w:eastAsia="Times New Roman" w:hAnsi="Arial Narrow" w:cs="Calibri"/>
                <w:b/>
                <w:bCs/>
                <w:color w:val="000000"/>
                <w:sz w:val="22"/>
                <w:szCs w:val="22"/>
              </w:rPr>
              <w:t>P</w:t>
            </w:r>
            <w:r w:rsidRPr="00586E08">
              <w:rPr>
                <w:rFonts w:ascii="Arial Narrow" w:eastAsia="Times New Roman" w:hAnsi="Arial Narrow" w:cs="Calibri"/>
                <w:b/>
                <w:bCs/>
                <w:color w:val="000000"/>
                <w:sz w:val="22"/>
                <w:szCs w:val="22"/>
              </w:rPr>
              <w:t>árrafo 4</w:t>
            </w:r>
            <w:r>
              <w:rPr>
                <w:rFonts w:ascii="Arial Narrow" w:eastAsia="Times New Roman" w:hAnsi="Arial Narrow" w:cs="Calibri"/>
                <w:b/>
                <w:bCs/>
                <w:color w:val="000000"/>
                <w:sz w:val="22"/>
                <w:szCs w:val="22"/>
              </w:rPr>
              <w:t>0</w:t>
            </w:r>
            <w:r w:rsidRPr="00586E08">
              <w:rPr>
                <w:rFonts w:ascii="Arial Narrow" w:eastAsia="Times New Roman" w:hAnsi="Arial Narrow" w:cs="Calibri"/>
                <w:b/>
                <w:bCs/>
                <w:color w:val="000000"/>
                <w:sz w:val="22"/>
                <w:szCs w:val="22"/>
              </w:rPr>
              <w:t>.</w:t>
            </w: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21856" w14:textId="5BC7EBAD" w:rsidR="00586E08" w:rsidRPr="0030399E" w:rsidRDefault="00586E08" w:rsidP="0030399E">
            <w:pPr>
              <w:pStyle w:val="Default"/>
              <w:jc w:val="both"/>
              <w:rPr>
                <w:b/>
                <w:bCs/>
                <w:sz w:val="22"/>
                <w:szCs w:val="22"/>
                <w:lang w:val="es-CR"/>
              </w:rPr>
            </w:pPr>
            <w:r w:rsidRPr="002037C6">
              <w:rPr>
                <w:rFonts w:ascii="Arial Narrow" w:eastAsia="Times New Roman" w:hAnsi="Arial Narrow" w:cs="Calibri"/>
                <w:b/>
                <w:bCs/>
                <w:sz w:val="22"/>
                <w:szCs w:val="22"/>
                <w:lang w:val="es-CR"/>
              </w:rPr>
              <w:t>Manual de Procedimientos Contable financieros</w:t>
            </w:r>
          </w:p>
        </w:tc>
      </w:tr>
    </w:tbl>
    <w:p w14:paraId="6A6CD8A2" w14:textId="77777777" w:rsidR="00586E08" w:rsidRDefault="00586E08" w:rsidP="002236BD">
      <w:pPr>
        <w:pStyle w:val="Default"/>
        <w:ind w:left="1134" w:hanging="1134"/>
        <w:jc w:val="both"/>
        <w:rPr>
          <w:sz w:val="22"/>
          <w:szCs w:val="22"/>
          <w:lang w:val="es-CR"/>
        </w:rPr>
      </w:pPr>
    </w:p>
    <w:p w14:paraId="7581683C" w14:textId="77777777" w:rsidR="0030399E" w:rsidRPr="0030399E" w:rsidRDefault="0030399E" w:rsidP="0030399E">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73E36407" w14:textId="77777777" w:rsidR="0030399E" w:rsidRDefault="0030399E" w:rsidP="002236BD">
      <w:pPr>
        <w:pStyle w:val="Default"/>
        <w:ind w:left="1134" w:hanging="1134"/>
        <w:jc w:val="both"/>
        <w:rPr>
          <w:sz w:val="22"/>
          <w:szCs w:val="22"/>
          <w:lang w:val="es-CR"/>
        </w:rPr>
      </w:pPr>
    </w:p>
    <w:p w14:paraId="491CD13A" w14:textId="6243DD3D" w:rsidR="00586E08" w:rsidRDefault="00586E08" w:rsidP="00586E08">
      <w:pPr>
        <w:pStyle w:val="Default"/>
        <w:ind w:left="1134" w:hanging="1134"/>
        <w:jc w:val="both"/>
        <w:rPr>
          <w:sz w:val="22"/>
          <w:szCs w:val="22"/>
          <w:lang w:val="es-CR"/>
        </w:rPr>
      </w:pPr>
      <w:r>
        <w:rPr>
          <w:sz w:val="22"/>
          <w:szCs w:val="22"/>
          <w:lang w:val="es-CR"/>
        </w:rPr>
        <w:t>7.11.0.01</w:t>
      </w:r>
      <w:r>
        <w:rPr>
          <w:sz w:val="22"/>
          <w:szCs w:val="22"/>
          <w:lang w:val="es-CR"/>
        </w:rPr>
        <w:tab/>
      </w:r>
      <w:r w:rsidRPr="00586E08">
        <w:rPr>
          <w:sz w:val="22"/>
          <w:szCs w:val="22"/>
          <w:lang w:val="es-CR"/>
        </w:rPr>
        <w:t xml:space="preserve">Previo a la fecha de presentación, </w:t>
      </w:r>
      <w:r>
        <w:rPr>
          <w:sz w:val="22"/>
          <w:szCs w:val="22"/>
          <w:lang w:val="es-CR"/>
        </w:rPr>
        <w:t xml:space="preserve">se </w:t>
      </w:r>
      <w:r w:rsidRPr="00586E08">
        <w:rPr>
          <w:sz w:val="22"/>
          <w:szCs w:val="22"/>
          <w:lang w:val="es-CR"/>
        </w:rPr>
        <w:t xml:space="preserve">deberá realizar el proceso de confirmación de saldos contables </w:t>
      </w:r>
      <w:r>
        <w:rPr>
          <w:sz w:val="22"/>
          <w:szCs w:val="22"/>
          <w:lang w:val="es-CR"/>
        </w:rPr>
        <w:t>con</w:t>
      </w:r>
      <w:r w:rsidRPr="00586E08">
        <w:rPr>
          <w:sz w:val="22"/>
          <w:szCs w:val="22"/>
          <w:lang w:val="es-CR"/>
        </w:rPr>
        <w:t xml:space="preserve"> los entes relacionados </w:t>
      </w:r>
      <w:r>
        <w:rPr>
          <w:sz w:val="22"/>
          <w:szCs w:val="22"/>
          <w:lang w:val="es-CR"/>
        </w:rPr>
        <w:t xml:space="preserve">con la Municipalidad, </w:t>
      </w:r>
      <w:r w:rsidRPr="00586E08">
        <w:rPr>
          <w:sz w:val="22"/>
          <w:szCs w:val="22"/>
          <w:lang w:val="es-CR"/>
        </w:rPr>
        <w:t xml:space="preserve">con el fin de proveer información para las eliminaciones de acuerdo a la técnica de consolidación. </w:t>
      </w:r>
    </w:p>
    <w:p w14:paraId="00DE5E85" w14:textId="77777777" w:rsidR="00586E08" w:rsidRPr="00586E08" w:rsidRDefault="00586E08" w:rsidP="00586E08">
      <w:pPr>
        <w:pStyle w:val="Default"/>
        <w:ind w:left="1134" w:hanging="1134"/>
        <w:jc w:val="both"/>
        <w:rPr>
          <w:sz w:val="22"/>
          <w:szCs w:val="22"/>
          <w:lang w:val="es-CR"/>
        </w:rPr>
      </w:pPr>
    </w:p>
    <w:p w14:paraId="3FCE09F1" w14:textId="63005534" w:rsidR="00586E08" w:rsidRDefault="00586E08" w:rsidP="00586E08">
      <w:pPr>
        <w:pStyle w:val="Default"/>
        <w:ind w:left="1134" w:hanging="1134"/>
        <w:jc w:val="both"/>
        <w:rPr>
          <w:sz w:val="22"/>
          <w:szCs w:val="22"/>
          <w:lang w:val="es-CR"/>
        </w:rPr>
      </w:pPr>
      <w:r>
        <w:rPr>
          <w:sz w:val="22"/>
          <w:szCs w:val="22"/>
          <w:lang w:val="es-CR"/>
        </w:rPr>
        <w:t>7.11.</w:t>
      </w:r>
      <w:r w:rsidRPr="00586E08">
        <w:rPr>
          <w:sz w:val="22"/>
          <w:szCs w:val="22"/>
          <w:lang w:val="es-CR"/>
        </w:rPr>
        <w:t>1.</w:t>
      </w:r>
      <w:r>
        <w:rPr>
          <w:sz w:val="22"/>
          <w:szCs w:val="22"/>
          <w:lang w:val="es-CR"/>
        </w:rPr>
        <w:t>01</w:t>
      </w:r>
      <w:r>
        <w:rPr>
          <w:sz w:val="22"/>
          <w:szCs w:val="22"/>
          <w:lang w:val="es-CR"/>
        </w:rPr>
        <w:tab/>
      </w:r>
      <w:r w:rsidRPr="00586E08">
        <w:rPr>
          <w:sz w:val="22"/>
          <w:szCs w:val="22"/>
          <w:lang w:val="es-CR"/>
        </w:rPr>
        <w:t xml:space="preserve">La confirmación de saldos contables </w:t>
      </w:r>
      <w:r>
        <w:rPr>
          <w:sz w:val="22"/>
          <w:szCs w:val="22"/>
          <w:lang w:val="es-CR"/>
        </w:rPr>
        <w:t xml:space="preserve">se ejecutará con base en lo establecido por la </w:t>
      </w:r>
      <w:r w:rsidRPr="00586E08">
        <w:rPr>
          <w:sz w:val="22"/>
          <w:szCs w:val="22"/>
          <w:lang w:val="es-CR"/>
        </w:rPr>
        <w:t xml:space="preserve">DGCN </w:t>
      </w:r>
      <w:r>
        <w:rPr>
          <w:sz w:val="22"/>
          <w:szCs w:val="22"/>
          <w:lang w:val="es-CR"/>
        </w:rPr>
        <w:t>en la</w:t>
      </w:r>
      <w:r w:rsidRPr="00586E08">
        <w:rPr>
          <w:sz w:val="22"/>
          <w:szCs w:val="22"/>
          <w:lang w:val="es-CR"/>
        </w:rPr>
        <w:t xml:space="preserve"> nota técnica </w:t>
      </w:r>
      <w:r w:rsidR="00BB0829">
        <w:rPr>
          <w:sz w:val="22"/>
          <w:szCs w:val="22"/>
          <w:lang w:val="es-CR"/>
        </w:rPr>
        <w:t>que emitió y en el procedimiento elaborado por la Municipalidad en línea con dicha nota técnica</w:t>
      </w:r>
      <w:r w:rsidRPr="00586E08">
        <w:rPr>
          <w:sz w:val="22"/>
          <w:szCs w:val="22"/>
          <w:lang w:val="es-CR"/>
        </w:rPr>
        <w:t>.</w:t>
      </w:r>
    </w:p>
    <w:p w14:paraId="099BA7D0" w14:textId="77777777" w:rsidR="00586E08" w:rsidRPr="00586E08" w:rsidRDefault="00586E08" w:rsidP="00586E08">
      <w:pPr>
        <w:pStyle w:val="Default"/>
        <w:ind w:left="1134" w:hanging="1134"/>
        <w:jc w:val="both"/>
        <w:rPr>
          <w:sz w:val="22"/>
          <w:szCs w:val="22"/>
          <w:lang w:val="es-CR"/>
        </w:rPr>
      </w:pPr>
    </w:p>
    <w:p w14:paraId="5D8DC54A" w14:textId="427C6E86" w:rsidR="00586E08" w:rsidRPr="00083F55" w:rsidRDefault="00BB0829" w:rsidP="00586E08">
      <w:pPr>
        <w:pStyle w:val="Default"/>
        <w:ind w:left="1134" w:hanging="1134"/>
        <w:jc w:val="both"/>
        <w:rPr>
          <w:sz w:val="22"/>
          <w:szCs w:val="22"/>
          <w:lang w:val="es-CR"/>
        </w:rPr>
      </w:pPr>
      <w:r>
        <w:rPr>
          <w:sz w:val="22"/>
          <w:szCs w:val="22"/>
          <w:lang w:val="es-CR"/>
        </w:rPr>
        <w:t>7.11.</w:t>
      </w:r>
      <w:r w:rsidR="00586E08" w:rsidRPr="00586E08">
        <w:rPr>
          <w:sz w:val="22"/>
          <w:szCs w:val="22"/>
          <w:lang w:val="es-CR"/>
        </w:rPr>
        <w:t>2.</w:t>
      </w:r>
      <w:r>
        <w:rPr>
          <w:sz w:val="22"/>
          <w:szCs w:val="22"/>
          <w:lang w:val="es-CR"/>
        </w:rPr>
        <w:t>01</w:t>
      </w:r>
      <w:r>
        <w:rPr>
          <w:sz w:val="22"/>
          <w:szCs w:val="22"/>
          <w:lang w:val="es-CR"/>
        </w:rPr>
        <w:tab/>
      </w:r>
      <w:r w:rsidR="00586E08" w:rsidRPr="00586E08">
        <w:rPr>
          <w:sz w:val="22"/>
          <w:szCs w:val="22"/>
          <w:lang w:val="es-CR"/>
        </w:rPr>
        <w:t>Si bien en los EEFFC, se eliminarán las transacciones y saldos entre controladas (intragrupo), los ingresos, gastos, activos y pasivos de los segmentos, se determinarán antes de la eliminación de los saldos y las transacciones intragrupo, salvo que dichos saldos o transacciones hayan sido realizados entre entidades del mismo segmento</w:t>
      </w:r>
      <w:r w:rsidR="00586E08" w:rsidRPr="00586E08">
        <w:rPr>
          <w:sz w:val="23"/>
          <w:szCs w:val="23"/>
          <w:lang w:val="es-CR"/>
        </w:rPr>
        <w:t>.</w:t>
      </w:r>
    </w:p>
    <w:p w14:paraId="06263932" w14:textId="77777777" w:rsidR="009145A2" w:rsidRDefault="009145A2" w:rsidP="00586E08">
      <w:pPr>
        <w:pStyle w:val="Default"/>
        <w:ind w:left="1134" w:hanging="1134"/>
        <w:jc w:val="both"/>
        <w:rPr>
          <w:sz w:val="22"/>
          <w:szCs w:val="22"/>
          <w:lang w:val="es-CR"/>
        </w:rPr>
      </w:pPr>
    </w:p>
    <w:p w14:paraId="19DBC2DA" w14:textId="77777777" w:rsidR="0030399E" w:rsidRDefault="0030399E" w:rsidP="00586E08">
      <w:pPr>
        <w:pStyle w:val="Default"/>
        <w:ind w:left="1134" w:hanging="1134"/>
        <w:jc w:val="both"/>
        <w:rPr>
          <w:sz w:val="22"/>
          <w:szCs w:val="22"/>
          <w:lang w:val="es-CR"/>
        </w:rPr>
      </w:pPr>
    </w:p>
    <w:p w14:paraId="04A80A21" w14:textId="77777777" w:rsidR="0030399E" w:rsidRPr="00083F55" w:rsidRDefault="0030399E" w:rsidP="00586E08">
      <w:pPr>
        <w:pStyle w:val="Default"/>
        <w:ind w:left="1134" w:hanging="1134"/>
        <w:jc w:val="both"/>
        <w:rPr>
          <w:sz w:val="22"/>
          <w:szCs w:val="22"/>
          <w:lang w:val="es-CR"/>
        </w:rPr>
      </w:pPr>
    </w:p>
    <w:p w14:paraId="1DDBE993" w14:textId="77777777" w:rsidR="00586E08" w:rsidRPr="00083F55" w:rsidRDefault="00586E08"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33"/>
        <w:gridCol w:w="7"/>
        <w:gridCol w:w="3685"/>
        <w:gridCol w:w="7"/>
        <w:gridCol w:w="2243"/>
        <w:gridCol w:w="7"/>
        <w:gridCol w:w="1840"/>
      </w:tblGrid>
      <w:tr w:rsidR="009145A2" w:rsidRPr="009145A2" w14:paraId="43D8DA9D" w14:textId="77777777" w:rsidTr="0030399E">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1120F501"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lastRenderedPageBreak/>
              <w:t>Norma / Política</w:t>
            </w:r>
          </w:p>
        </w:tc>
        <w:tc>
          <w:tcPr>
            <w:tcW w:w="3692"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3863EF72"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Concepto</w:t>
            </w:r>
          </w:p>
        </w:tc>
        <w:tc>
          <w:tcPr>
            <w:tcW w:w="4090" w:type="dxa"/>
            <w:gridSpan w:val="3"/>
            <w:tcBorders>
              <w:top w:val="single" w:sz="8" w:space="0" w:color="auto"/>
              <w:left w:val="nil"/>
              <w:bottom w:val="single" w:sz="8" w:space="0" w:color="auto"/>
              <w:right w:val="single" w:sz="8" w:space="0" w:color="000000"/>
            </w:tcBorders>
            <w:shd w:val="clear" w:color="000000" w:fill="203764"/>
            <w:vAlign w:val="center"/>
            <w:hideMark/>
          </w:tcPr>
          <w:p w14:paraId="6CE5B836"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Referencia</w:t>
            </w:r>
          </w:p>
        </w:tc>
      </w:tr>
      <w:tr w:rsidR="009145A2" w:rsidRPr="006E5442" w14:paraId="238D0FAE" w14:textId="77777777" w:rsidTr="0030399E">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7147A18F" w14:textId="77777777" w:rsidR="009145A2" w:rsidRPr="009145A2" w:rsidRDefault="009145A2" w:rsidP="009145A2">
            <w:pPr>
              <w:rPr>
                <w:rFonts w:ascii="Arial Narrow" w:eastAsia="Times New Roman" w:hAnsi="Arial Narrow" w:cs="Calibri"/>
                <w:b/>
                <w:bCs/>
                <w:color w:val="FFFFFF"/>
                <w:sz w:val="22"/>
                <w:szCs w:val="22"/>
              </w:rPr>
            </w:pPr>
          </w:p>
        </w:tc>
        <w:tc>
          <w:tcPr>
            <w:tcW w:w="3692" w:type="dxa"/>
            <w:gridSpan w:val="2"/>
            <w:vMerge/>
            <w:tcBorders>
              <w:top w:val="single" w:sz="8" w:space="0" w:color="auto"/>
              <w:left w:val="single" w:sz="8" w:space="0" w:color="auto"/>
              <w:bottom w:val="nil"/>
              <w:right w:val="single" w:sz="8" w:space="0" w:color="auto"/>
            </w:tcBorders>
            <w:vAlign w:val="center"/>
            <w:hideMark/>
          </w:tcPr>
          <w:p w14:paraId="640DD3B2" w14:textId="77777777" w:rsidR="009145A2" w:rsidRPr="009145A2" w:rsidRDefault="009145A2" w:rsidP="009145A2">
            <w:pPr>
              <w:rPr>
                <w:rFonts w:ascii="Arial Narrow" w:eastAsia="Times New Roman" w:hAnsi="Arial Narrow" w:cs="Calibri"/>
                <w:b/>
                <w:bCs/>
                <w:color w:val="FFFFFF"/>
                <w:sz w:val="22"/>
                <w:szCs w:val="22"/>
              </w:rPr>
            </w:pPr>
          </w:p>
        </w:tc>
        <w:tc>
          <w:tcPr>
            <w:tcW w:w="2250" w:type="dxa"/>
            <w:gridSpan w:val="2"/>
            <w:tcBorders>
              <w:top w:val="nil"/>
              <w:left w:val="nil"/>
              <w:bottom w:val="nil"/>
              <w:right w:val="single" w:sz="8" w:space="0" w:color="auto"/>
            </w:tcBorders>
            <w:shd w:val="clear" w:color="000000" w:fill="203764"/>
            <w:vAlign w:val="center"/>
            <w:hideMark/>
          </w:tcPr>
          <w:p w14:paraId="017F5179"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Norma</w:t>
            </w:r>
          </w:p>
        </w:tc>
        <w:tc>
          <w:tcPr>
            <w:tcW w:w="1840" w:type="dxa"/>
            <w:tcBorders>
              <w:top w:val="nil"/>
              <w:left w:val="nil"/>
              <w:bottom w:val="nil"/>
              <w:right w:val="single" w:sz="8" w:space="0" w:color="auto"/>
            </w:tcBorders>
            <w:shd w:val="clear" w:color="000000" w:fill="203764"/>
            <w:vAlign w:val="center"/>
            <w:hideMark/>
          </w:tcPr>
          <w:p w14:paraId="0C654176" w14:textId="77777777" w:rsidR="009145A2" w:rsidRPr="009145A2" w:rsidRDefault="009145A2" w:rsidP="009145A2">
            <w:pPr>
              <w:jc w:val="center"/>
              <w:rPr>
                <w:rFonts w:ascii="Arial Narrow" w:eastAsia="Times New Roman" w:hAnsi="Arial Narrow" w:cs="Calibri"/>
                <w:b/>
                <w:bCs/>
                <w:color w:val="FFFFFF"/>
                <w:sz w:val="22"/>
                <w:szCs w:val="22"/>
                <w:lang w:val="es-CR"/>
              </w:rPr>
            </w:pPr>
            <w:r w:rsidRPr="009145A2">
              <w:rPr>
                <w:rFonts w:ascii="Arial Narrow" w:eastAsia="Times New Roman" w:hAnsi="Arial Narrow" w:cs="Calibri"/>
                <w:b/>
                <w:bCs/>
                <w:color w:val="FFFFFF"/>
                <w:sz w:val="22"/>
                <w:szCs w:val="22"/>
                <w:lang w:val="es-CR"/>
              </w:rPr>
              <w:t>Normativa técnica y disposiciones adicionales</w:t>
            </w:r>
          </w:p>
        </w:tc>
      </w:tr>
      <w:tr w:rsidR="009145A2" w:rsidRPr="006E5442" w14:paraId="50D553E7" w14:textId="77777777" w:rsidTr="0030399E">
        <w:trPr>
          <w:trHeight w:val="113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9F53F2"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C646947"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28</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3327C2DA"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 xml:space="preserve"> </w:t>
            </w:r>
          </w:p>
        </w:tc>
        <w:tc>
          <w:tcPr>
            <w:tcW w:w="3692" w:type="dxa"/>
            <w:gridSpan w:val="2"/>
            <w:tcBorders>
              <w:top w:val="single" w:sz="8" w:space="0" w:color="auto"/>
              <w:left w:val="nil"/>
              <w:bottom w:val="single" w:sz="8" w:space="0" w:color="auto"/>
              <w:right w:val="single" w:sz="8" w:space="0" w:color="auto"/>
            </w:tcBorders>
            <w:shd w:val="clear" w:color="auto" w:fill="auto"/>
            <w:vAlign w:val="center"/>
            <w:hideMark/>
          </w:tcPr>
          <w:p w14:paraId="176AFAFE" w14:textId="77777777" w:rsidR="009145A2" w:rsidRPr="009145A2" w:rsidRDefault="009145A2" w:rsidP="009145A2">
            <w:pPr>
              <w:jc w:val="both"/>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Obligaciones de presentar información</w:t>
            </w:r>
          </w:p>
        </w:tc>
        <w:tc>
          <w:tcPr>
            <w:tcW w:w="2250" w:type="dxa"/>
            <w:gridSpan w:val="2"/>
            <w:tcBorders>
              <w:top w:val="single" w:sz="8" w:space="0" w:color="auto"/>
              <w:left w:val="nil"/>
              <w:bottom w:val="single" w:sz="8" w:space="0" w:color="auto"/>
              <w:right w:val="single" w:sz="8" w:space="0" w:color="auto"/>
            </w:tcBorders>
            <w:shd w:val="clear" w:color="auto" w:fill="auto"/>
            <w:vAlign w:val="center"/>
            <w:hideMark/>
          </w:tcPr>
          <w:p w14:paraId="7E2B94EC" w14:textId="77777777" w:rsidR="009145A2" w:rsidRPr="009145A2" w:rsidRDefault="009145A2" w:rsidP="009145A2">
            <w:pPr>
              <w:jc w:val="both"/>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 </w:t>
            </w:r>
          </w:p>
        </w:tc>
        <w:tc>
          <w:tcPr>
            <w:tcW w:w="1847" w:type="dxa"/>
            <w:gridSpan w:val="2"/>
            <w:tcBorders>
              <w:top w:val="single" w:sz="8" w:space="0" w:color="auto"/>
              <w:left w:val="nil"/>
              <w:bottom w:val="single" w:sz="8" w:space="0" w:color="auto"/>
              <w:right w:val="single" w:sz="8" w:space="0" w:color="auto"/>
            </w:tcBorders>
            <w:shd w:val="clear" w:color="auto" w:fill="auto"/>
            <w:vAlign w:val="center"/>
            <w:hideMark/>
          </w:tcPr>
          <w:p w14:paraId="68FD19D8" w14:textId="77777777" w:rsidR="009145A2" w:rsidRPr="009145A2" w:rsidRDefault="009145A2" w:rsidP="0030399E">
            <w:pPr>
              <w:jc w:val="both"/>
              <w:rPr>
                <w:rFonts w:ascii="Arial Narrow" w:eastAsia="Times New Roman" w:hAnsi="Arial Narrow" w:cs="Calibri"/>
                <w:b/>
                <w:bCs/>
                <w:color w:val="000000"/>
                <w:sz w:val="22"/>
                <w:szCs w:val="22"/>
                <w:lang w:val="es-CR"/>
              </w:rPr>
            </w:pPr>
            <w:r w:rsidRPr="009145A2">
              <w:rPr>
                <w:rFonts w:ascii="Arial Narrow" w:eastAsia="Times New Roman" w:hAnsi="Arial Narrow" w:cs="Calibri"/>
                <w:b/>
                <w:bCs/>
                <w:color w:val="000000"/>
                <w:sz w:val="22"/>
                <w:szCs w:val="22"/>
                <w:lang w:val="es-CR"/>
              </w:rPr>
              <w:t>LAFRPP</w:t>
            </w:r>
            <w:r w:rsidRPr="009145A2">
              <w:rPr>
                <w:rFonts w:ascii="Arial Narrow" w:eastAsia="Times New Roman" w:hAnsi="Arial Narrow" w:cs="Calibri"/>
                <w:b/>
                <w:bCs/>
                <w:color w:val="000000"/>
                <w:sz w:val="22"/>
                <w:szCs w:val="22"/>
                <w:lang w:val="es-CR"/>
              </w:rPr>
              <w:br/>
              <w:t>Art. 94 y 95</w:t>
            </w:r>
            <w:r w:rsidRPr="009145A2">
              <w:rPr>
                <w:rFonts w:ascii="Arial Narrow" w:eastAsia="Times New Roman" w:hAnsi="Arial Narrow" w:cs="Calibri"/>
                <w:b/>
                <w:bCs/>
                <w:color w:val="000000"/>
                <w:sz w:val="22"/>
                <w:szCs w:val="22"/>
                <w:lang w:val="es-CR"/>
              </w:rPr>
              <w:br/>
              <w:t>Resolusión RC-08-2007 de la CGR</w:t>
            </w:r>
          </w:p>
        </w:tc>
      </w:tr>
    </w:tbl>
    <w:p w14:paraId="428FC6FB" w14:textId="77777777" w:rsidR="00586E08" w:rsidRDefault="00586E08" w:rsidP="002236BD">
      <w:pPr>
        <w:pStyle w:val="Default"/>
        <w:ind w:left="1134" w:hanging="1134"/>
        <w:jc w:val="both"/>
        <w:rPr>
          <w:sz w:val="22"/>
          <w:szCs w:val="22"/>
          <w:lang w:val="es-CR"/>
        </w:rPr>
      </w:pPr>
    </w:p>
    <w:p w14:paraId="3FF2676F" w14:textId="77777777" w:rsidR="0030399E" w:rsidRPr="0030399E" w:rsidRDefault="0030399E" w:rsidP="0030399E">
      <w:pPr>
        <w:pStyle w:val="Default"/>
        <w:ind w:left="1134" w:hanging="1134"/>
        <w:jc w:val="both"/>
        <w:rPr>
          <w:rFonts w:eastAsia="Arial"/>
          <w:b/>
          <w:sz w:val="22"/>
          <w:szCs w:val="22"/>
          <w:lang w:val="es-CR"/>
        </w:rPr>
      </w:pPr>
      <w:r w:rsidRPr="0030399E">
        <w:rPr>
          <w:rFonts w:eastAsia="Arial"/>
          <w:b/>
          <w:sz w:val="22"/>
          <w:szCs w:val="22"/>
          <w:lang w:val="es-CR"/>
        </w:rPr>
        <w:t>Políticas Contables</w:t>
      </w:r>
    </w:p>
    <w:p w14:paraId="1ED3D72C" w14:textId="77777777" w:rsidR="0030399E" w:rsidRDefault="0030399E" w:rsidP="002236BD">
      <w:pPr>
        <w:pStyle w:val="Default"/>
        <w:ind w:left="1134" w:hanging="1134"/>
        <w:jc w:val="both"/>
        <w:rPr>
          <w:sz w:val="22"/>
          <w:szCs w:val="22"/>
          <w:lang w:val="es-CR"/>
        </w:rPr>
      </w:pPr>
    </w:p>
    <w:p w14:paraId="5B9C851C" w14:textId="2AB2A2E0" w:rsidR="00713DCA" w:rsidRPr="00713DCA" w:rsidRDefault="00713DCA" w:rsidP="00713DCA">
      <w:pPr>
        <w:pStyle w:val="Default"/>
        <w:ind w:left="1134" w:hanging="1134"/>
        <w:jc w:val="both"/>
        <w:rPr>
          <w:sz w:val="22"/>
          <w:szCs w:val="22"/>
          <w:lang w:val="es-CR"/>
        </w:rPr>
      </w:pPr>
      <w:r w:rsidRPr="00713DCA">
        <w:rPr>
          <w:sz w:val="22"/>
          <w:szCs w:val="22"/>
          <w:lang w:val="es-CR"/>
        </w:rPr>
        <w:t>7.28.0.01</w:t>
      </w:r>
      <w:r w:rsidRPr="00713DCA">
        <w:rPr>
          <w:sz w:val="22"/>
          <w:szCs w:val="22"/>
          <w:lang w:val="es-CR"/>
        </w:rPr>
        <w:tab/>
      </w:r>
      <w:r w:rsidR="009145A2" w:rsidRPr="00713DCA">
        <w:rPr>
          <w:sz w:val="22"/>
          <w:szCs w:val="22"/>
          <w:lang w:val="es-CR"/>
        </w:rPr>
        <w:t xml:space="preserve">La presentación de la información financiera contable básica requerida, con sus anexos y notas, será efectuada en forma oportuna y sin errores técnicos de validación por parte de las entidades controladas en </w:t>
      </w:r>
      <w:r w:rsidRPr="00713DCA">
        <w:rPr>
          <w:sz w:val="22"/>
          <w:szCs w:val="22"/>
          <w:lang w:val="es-CR"/>
        </w:rPr>
        <w:t>la Municipalidad</w:t>
      </w:r>
      <w:r w:rsidR="009145A2" w:rsidRPr="00713DCA">
        <w:rPr>
          <w:sz w:val="22"/>
          <w:szCs w:val="22"/>
          <w:lang w:val="es-CR"/>
        </w:rPr>
        <w:t>, a efectos de que esta última cumpla con lo dispuesto en el artículo 95 de la LAFRPP.</w:t>
      </w:r>
    </w:p>
    <w:p w14:paraId="01E7A9A1" w14:textId="028FA43E" w:rsidR="009145A2" w:rsidRPr="00B11112" w:rsidRDefault="009145A2" w:rsidP="00713DCA">
      <w:pPr>
        <w:pStyle w:val="Default"/>
        <w:ind w:left="1134" w:hanging="1134"/>
        <w:rPr>
          <w:sz w:val="22"/>
          <w:szCs w:val="22"/>
          <w:lang w:val="es-CR"/>
        </w:rPr>
      </w:pPr>
      <w:r w:rsidRPr="00B11112">
        <w:rPr>
          <w:sz w:val="22"/>
          <w:szCs w:val="22"/>
          <w:lang w:val="es-CR"/>
        </w:rPr>
        <w:t xml:space="preserve"> </w:t>
      </w:r>
    </w:p>
    <w:p w14:paraId="191B0B83" w14:textId="5CCE3623" w:rsidR="00586E08" w:rsidRPr="00B11112" w:rsidRDefault="00713DCA" w:rsidP="009145A2">
      <w:pPr>
        <w:pStyle w:val="Default"/>
        <w:ind w:left="1134" w:hanging="1134"/>
        <w:jc w:val="both"/>
        <w:rPr>
          <w:sz w:val="22"/>
          <w:szCs w:val="22"/>
          <w:lang w:val="es-CR"/>
        </w:rPr>
      </w:pPr>
      <w:r w:rsidRPr="00B11112">
        <w:rPr>
          <w:sz w:val="22"/>
          <w:szCs w:val="22"/>
          <w:lang w:val="es-CR"/>
        </w:rPr>
        <w:t>7.11.0.02</w:t>
      </w:r>
      <w:r w:rsidRPr="00B11112">
        <w:rPr>
          <w:sz w:val="22"/>
          <w:szCs w:val="22"/>
          <w:lang w:val="es-CR"/>
        </w:rPr>
        <w:tab/>
      </w:r>
      <w:r w:rsidR="009145A2" w:rsidRPr="00B11112">
        <w:rPr>
          <w:sz w:val="22"/>
          <w:szCs w:val="22"/>
          <w:lang w:val="es-CR"/>
        </w:rPr>
        <w:t>La</w:t>
      </w:r>
      <w:r w:rsidRPr="00B11112">
        <w:rPr>
          <w:sz w:val="22"/>
          <w:szCs w:val="22"/>
          <w:lang w:val="es-CR"/>
        </w:rPr>
        <w:t xml:space="preserve"> Municipalidad esta </w:t>
      </w:r>
      <w:r w:rsidR="009145A2" w:rsidRPr="00B11112">
        <w:rPr>
          <w:sz w:val="22"/>
          <w:szCs w:val="22"/>
          <w:lang w:val="es-CR"/>
        </w:rPr>
        <w:t>obligadas a cumplir con lo requerido por la DGCN según lo dispone el artículo 94 de la LAFRPP: “</w:t>
      </w:r>
      <w:r w:rsidR="009145A2" w:rsidRPr="00B11112">
        <w:rPr>
          <w:b/>
          <w:bCs/>
          <w:i/>
          <w:iCs/>
          <w:sz w:val="22"/>
          <w:szCs w:val="22"/>
          <w:lang w:val="es-CR"/>
        </w:rPr>
        <w:t xml:space="preserve">Obligación de atender requerimientos de información: </w:t>
      </w:r>
      <w:r w:rsidR="009145A2" w:rsidRPr="00B11112">
        <w:rPr>
          <w:i/>
          <w:iCs/>
          <w:sz w:val="22"/>
          <w:szCs w:val="22"/>
          <w:lang w:val="es-CR"/>
        </w:rPr>
        <w:t>Las entidades y los órganos comprendidos en el Artículo 1 de esta Ley, estarán obligados a atender los requerimientos de información de la Contabilidad Nacional para cumplir con sus funciones”</w:t>
      </w:r>
      <w:r w:rsidR="009145A2" w:rsidRPr="00B11112">
        <w:rPr>
          <w:sz w:val="22"/>
          <w:szCs w:val="22"/>
          <w:lang w:val="es-CR"/>
        </w:rPr>
        <w:t>, sin perjuicio de la aplicación de las demás acciones a que puedan dar lugar como consecuencia de imprecisiones en la información contable reportada y que sean detectadas con posterioridad.</w:t>
      </w:r>
    </w:p>
    <w:p w14:paraId="293EEE61" w14:textId="77777777" w:rsidR="00586E08" w:rsidRDefault="00586E08" w:rsidP="002236BD">
      <w:pPr>
        <w:pStyle w:val="Default"/>
        <w:ind w:left="1134" w:hanging="1134"/>
        <w:jc w:val="both"/>
        <w:rPr>
          <w:sz w:val="22"/>
          <w:szCs w:val="22"/>
          <w:lang w:val="es-CR"/>
        </w:rPr>
      </w:pPr>
    </w:p>
    <w:p w14:paraId="5A697E19" w14:textId="77777777" w:rsidR="0030399E" w:rsidRDefault="0030399E" w:rsidP="002236BD">
      <w:pPr>
        <w:pStyle w:val="Default"/>
        <w:ind w:left="1134" w:hanging="1134"/>
        <w:jc w:val="both"/>
        <w:rPr>
          <w:sz w:val="22"/>
          <w:szCs w:val="22"/>
          <w:lang w:val="es-CR"/>
        </w:rPr>
      </w:pPr>
    </w:p>
    <w:p w14:paraId="742FBCA9" w14:textId="77777777" w:rsidR="009145A2" w:rsidRDefault="009145A2"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33"/>
        <w:gridCol w:w="7"/>
        <w:gridCol w:w="3687"/>
        <w:gridCol w:w="7"/>
        <w:gridCol w:w="2242"/>
        <w:gridCol w:w="7"/>
        <w:gridCol w:w="1839"/>
      </w:tblGrid>
      <w:tr w:rsidR="009145A2" w:rsidRPr="009145A2" w14:paraId="2D2B45FC" w14:textId="77777777" w:rsidTr="0030399E">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08130D8B"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Norma / Política</w:t>
            </w:r>
          </w:p>
        </w:tc>
        <w:tc>
          <w:tcPr>
            <w:tcW w:w="3694"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5DFB39B4"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Concepto</w:t>
            </w:r>
          </w:p>
        </w:tc>
        <w:tc>
          <w:tcPr>
            <w:tcW w:w="4088" w:type="dxa"/>
            <w:gridSpan w:val="3"/>
            <w:tcBorders>
              <w:top w:val="single" w:sz="8" w:space="0" w:color="auto"/>
              <w:left w:val="nil"/>
              <w:bottom w:val="single" w:sz="8" w:space="0" w:color="auto"/>
              <w:right w:val="single" w:sz="8" w:space="0" w:color="000000"/>
            </w:tcBorders>
            <w:shd w:val="clear" w:color="000000" w:fill="203764"/>
            <w:vAlign w:val="center"/>
            <w:hideMark/>
          </w:tcPr>
          <w:p w14:paraId="09E18EAD"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Referencia</w:t>
            </w:r>
          </w:p>
        </w:tc>
      </w:tr>
      <w:tr w:rsidR="009145A2" w:rsidRPr="006E5442" w14:paraId="61B5A712" w14:textId="77777777" w:rsidTr="0030399E">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7028A4CB" w14:textId="77777777" w:rsidR="009145A2" w:rsidRPr="009145A2" w:rsidRDefault="009145A2" w:rsidP="009145A2">
            <w:pPr>
              <w:rPr>
                <w:rFonts w:ascii="Arial Narrow" w:eastAsia="Times New Roman" w:hAnsi="Arial Narrow" w:cs="Calibri"/>
                <w:b/>
                <w:bCs/>
                <w:color w:val="FFFFFF"/>
                <w:sz w:val="22"/>
                <w:szCs w:val="22"/>
              </w:rPr>
            </w:pPr>
          </w:p>
        </w:tc>
        <w:tc>
          <w:tcPr>
            <w:tcW w:w="3694" w:type="dxa"/>
            <w:gridSpan w:val="2"/>
            <w:vMerge/>
            <w:tcBorders>
              <w:top w:val="single" w:sz="8" w:space="0" w:color="auto"/>
              <w:left w:val="single" w:sz="8" w:space="0" w:color="auto"/>
              <w:bottom w:val="nil"/>
              <w:right w:val="single" w:sz="8" w:space="0" w:color="auto"/>
            </w:tcBorders>
            <w:vAlign w:val="center"/>
            <w:hideMark/>
          </w:tcPr>
          <w:p w14:paraId="6246EE30" w14:textId="77777777" w:rsidR="009145A2" w:rsidRPr="009145A2" w:rsidRDefault="009145A2" w:rsidP="009145A2">
            <w:pPr>
              <w:rPr>
                <w:rFonts w:ascii="Arial Narrow" w:eastAsia="Times New Roman" w:hAnsi="Arial Narrow" w:cs="Calibri"/>
                <w:b/>
                <w:bCs/>
                <w:color w:val="FFFFFF"/>
                <w:sz w:val="22"/>
                <w:szCs w:val="22"/>
              </w:rPr>
            </w:pPr>
          </w:p>
        </w:tc>
        <w:tc>
          <w:tcPr>
            <w:tcW w:w="2249" w:type="dxa"/>
            <w:gridSpan w:val="2"/>
            <w:tcBorders>
              <w:top w:val="nil"/>
              <w:left w:val="nil"/>
              <w:bottom w:val="nil"/>
              <w:right w:val="single" w:sz="8" w:space="0" w:color="auto"/>
            </w:tcBorders>
            <w:shd w:val="clear" w:color="000000" w:fill="203764"/>
            <w:vAlign w:val="center"/>
            <w:hideMark/>
          </w:tcPr>
          <w:p w14:paraId="562C9DC0"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Norma</w:t>
            </w:r>
          </w:p>
        </w:tc>
        <w:tc>
          <w:tcPr>
            <w:tcW w:w="1839" w:type="dxa"/>
            <w:tcBorders>
              <w:top w:val="nil"/>
              <w:left w:val="nil"/>
              <w:bottom w:val="nil"/>
              <w:right w:val="single" w:sz="8" w:space="0" w:color="auto"/>
            </w:tcBorders>
            <w:shd w:val="clear" w:color="000000" w:fill="203764"/>
            <w:vAlign w:val="center"/>
            <w:hideMark/>
          </w:tcPr>
          <w:p w14:paraId="08ACA153" w14:textId="77777777" w:rsidR="009145A2" w:rsidRPr="009145A2" w:rsidRDefault="009145A2" w:rsidP="009145A2">
            <w:pPr>
              <w:jc w:val="center"/>
              <w:rPr>
                <w:rFonts w:ascii="Arial Narrow" w:eastAsia="Times New Roman" w:hAnsi="Arial Narrow" w:cs="Calibri"/>
                <w:b/>
                <w:bCs/>
                <w:color w:val="FFFFFF"/>
                <w:sz w:val="22"/>
                <w:szCs w:val="22"/>
                <w:lang w:val="es-CR"/>
              </w:rPr>
            </w:pPr>
            <w:r w:rsidRPr="009145A2">
              <w:rPr>
                <w:rFonts w:ascii="Arial Narrow" w:eastAsia="Times New Roman" w:hAnsi="Arial Narrow" w:cs="Calibri"/>
                <w:b/>
                <w:bCs/>
                <w:color w:val="FFFFFF"/>
                <w:sz w:val="22"/>
                <w:szCs w:val="22"/>
                <w:lang w:val="es-CR"/>
              </w:rPr>
              <w:t>Normativa técnica y disposiciones adicionales</w:t>
            </w:r>
          </w:p>
        </w:tc>
      </w:tr>
      <w:tr w:rsidR="009145A2" w:rsidRPr="006E5442" w14:paraId="3B2C2100" w14:textId="77777777" w:rsidTr="0030399E">
        <w:trPr>
          <w:trHeight w:val="85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D7470B"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DCD1AE2"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29</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308D182F"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 xml:space="preserve"> </w:t>
            </w:r>
          </w:p>
        </w:tc>
        <w:tc>
          <w:tcPr>
            <w:tcW w:w="3694" w:type="dxa"/>
            <w:gridSpan w:val="2"/>
            <w:tcBorders>
              <w:top w:val="single" w:sz="8" w:space="0" w:color="auto"/>
              <w:left w:val="nil"/>
              <w:bottom w:val="single" w:sz="8" w:space="0" w:color="auto"/>
              <w:right w:val="single" w:sz="8" w:space="0" w:color="auto"/>
            </w:tcBorders>
            <w:shd w:val="clear" w:color="auto" w:fill="auto"/>
            <w:vAlign w:val="center"/>
            <w:hideMark/>
          </w:tcPr>
          <w:p w14:paraId="2FE592E0" w14:textId="77777777" w:rsidR="009145A2" w:rsidRPr="009145A2" w:rsidRDefault="009145A2" w:rsidP="009145A2">
            <w:pPr>
              <w:jc w:val="both"/>
              <w:rPr>
                <w:rFonts w:ascii="Arial Narrow" w:eastAsia="Times New Roman" w:hAnsi="Arial Narrow" w:cs="Calibri"/>
                <w:b/>
                <w:bCs/>
                <w:color w:val="000000"/>
                <w:sz w:val="22"/>
                <w:szCs w:val="22"/>
                <w:lang w:val="es-CR"/>
              </w:rPr>
            </w:pPr>
            <w:r w:rsidRPr="009145A2">
              <w:rPr>
                <w:rFonts w:ascii="Arial Narrow" w:eastAsia="Times New Roman" w:hAnsi="Arial Narrow" w:cs="Calibri"/>
                <w:b/>
                <w:bCs/>
                <w:color w:val="000000"/>
                <w:sz w:val="22"/>
                <w:szCs w:val="22"/>
                <w:lang w:val="es-CR"/>
              </w:rPr>
              <w:t>Incumplimiento de la presentación de información</w:t>
            </w:r>
          </w:p>
        </w:tc>
        <w:tc>
          <w:tcPr>
            <w:tcW w:w="2249" w:type="dxa"/>
            <w:gridSpan w:val="2"/>
            <w:tcBorders>
              <w:top w:val="single" w:sz="8" w:space="0" w:color="auto"/>
              <w:left w:val="nil"/>
              <w:bottom w:val="single" w:sz="8" w:space="0" w:color="auto"/>
              <w:right w:val="single" w:sz="8" w:space="0" w:color="auto"/>
            </w:tcBorders>
            <w:shd w:val="clear" w:color="auto" w:fill="auto"/>
            <w:vAlign w:val="center"/>
            <w:hideMark/>
          </w:tcPr>
          <w:p w14:paraId="15406003" w14:textId="77777777" w:rsidR="009145A2" w:rsidRPr="009145A2" w:rsidRDefault="009145A2" w:rsidP="009145A2">
            <w:pPr>
              <w:jc w:val="both"/>
              <w:rPr>
                <w:rFonts w:ascii="Arial Narrow" w:eastAsia="Times New Roman" w:hAnsi="Arial Narrow" w:cs="Calibri"/>
                <w:b/>
                <w:bCs/>
                <w:color w:val="000000"/>
                <w:sz w:val="22"/>
                <w:szCs w:val="22"/>
                <w:lang w:val="es-CR"/>
              </w:rPr>
            </w:pPr>
            <w:r w:rsidRPr="009145A2">
              <w:rPr>
                <w:rFonts w:ascii="Arial Narrow" w:eastAsia="Times New Roman" w:hAnsi="Arial Narrow" w:cs="Calibri"/>
                <w:b/>
                <w:bCs/>
                <w:color w:val="000000"/>
                <w:sz w:val="22"/>
                <w:szCs w:val="22"/>
                <w:lang w:val="es-CR"/>
              </w:rPr>
              <w:t> </w:t>
            </w:r>
          </w:p>
        </w:tc>
        <w:tc>
          <w:tcPr>
            <w:tcW w:w="1846" w:type="dxa"/>
            <w:gridSpan w:val="2"/>
            <w:tcBorders>
              <w:top w:val="single" w:sz="8" w:space="0" w:color="auto"/>
              <w:left w:val="nil"/>
              <w:bottom w:val="single" w:sz="8" w:space="0" w:color="auto"/>
              <w:right w:val="single" w:sz="8" w:space="0" w:color="auto"/>
            </w:tcBorders>
            <w:shd w:val="clear" w:color="auto" w:fill="auto"/>
            <w:vAlign w:val="center"/>
            <w:hideMark/>
          </w:tcPr>
          <w:p w14:paraId="61B01540" w14:textId="77777777" w:rsidR="009145A2" w:rsidRPr="009145A2" w:rsidRDefault="009145A2" w:rsidP="0030399E">
            <w:pPr>
              <w:jc w:val="both"/>
              <w:rPr>
                <w:rFonts w:ascii="Arial Narrow" w:eastAsia="Times New Roman" w:hAnsi="Arial Narrow" w:cs="Calibri"/>
                <w:b/>
                <w:bCs/>
                <w:color w:val="000000"/>
                <w:sz w:val="22"/>
                <w:szCs w:val="22"/>
                <w:lang w:val="es-CR"/>
              </w:rPr>
            </w:pPr>
            <w:r w:rsidRPr="009145A2">
              <w:rPr>
                <w:rFonts w:ascii="Arial Narrow" w:eastAsia="Times New Roman" w:hAnsi="Arial Narrow" w:cs="Calibri"/>
                <w:b/>
                <w:bCs/>
                <w:color w:val="000000"/>
                <w:sz w:val="22"/>
                <w:szCs w:val="22"/>
                <w:lang w:val="es-CR"/>
              </w:rPr>
              <w:t>LAFRPP</w:t>
            </w:r>
            <w:r w:rsidRPr="009145A2">
              <w:rPr>
                <w:rFonts w:ascii="Arial Narrow" w:eastAsia="Times New Roman" w:hAnsi="Arial Narrow" w:cs="Calibri"/>
                <w:b/>
                <w:bCs/>
                <w:color w:val="000000"/>
                <w:sz w:val="22"/>
                <w:szCs w:val="22"/>
                <w:lang w:val="es-CR"/>
              </w:rPr>
              <w:br/>
              <w:t>Resolusión RC-08-2007 de la CGR</w:t>
            </w:r>
          </w:p>
        </w:tc>
      </w:tr>
    </w:tbl>
    <w:p w14:paraId="646ED954" w14:textId="77777777" w:rsidR="009145A2" w:rsidRDefault="009145A2" w:rsidP="002236BD">
      <w:pPr>
        <w:pStyle w:val="Default"/>
        <w:ind w:left="1134" w:hanging="1134"/>
        <w:jc w:val="both"/>
        <w:rPr>
          <w:sz w:val="22"/>
          <w:szCs w:val="22"/>
          <w:lang w:val="es-CR"/>
        </w:rPr>
      </w:pPr>
    </w:p>
    <w:p w14:paraId="5B68DE07" w14:textId="1FB72368" w:rsidR="0030399E" w:rsidRPr="0030399E" w:rsidRDefault="0030399E" w:rsidP="0030399E">
      <w:pPr>
        <w:pStyle w:val="Default"/>
        <w:ind w:left="1134" w:hanging="1134"/>
        <w:jc w:val="both"/>
        <w:rPr>
          <w:rFonts w:eastAsia="Arial"/>
          <w:b/>
          <w:sz w:val="22"/>
          <w:szCs w:val="22"/>
          <w:lang w:val="es-CR"/>
        </w:rPr>
      </w:pPr>
      <w:r w:rsidRPr="0030399E">
        <w:rPr>
          <w:rFonts w:eastAsia="Arial"/>
          <w:b/>
          <w:sz w:val="22"/>
          <w:szCs w:val="22"/>
          <w:lang w:val="es-CR"/>
        </w:rPr>
        <w:t>Política Contable</w:t>
      </w:r>
    </w:p>
    <w:p w14:paraId="4C5E5ED5" w14:textId="77777777" w:rsidR="0030399E" w:rsidRDefault="0030399E" w:rsidP="002236BD">
      <w:pPr>
        <w:pStyle w:val="Default"/>
        <w:ind w:left="1134" w:hanging="1134"/>
        <w:jc w:val="both"/>
        <w:rPr>
          <w:sz w:val="22"/>
          <w:szCs w:val="22"/>
          <w:lang w:val="es-CR"/>
        </w:rPr>
      </w:pPr>
    </w:p>
    <w:p w14:paraId="326D7FAC" w14:textId="3695ED67" w:rsidR="009145A2" w:rsidRPr="009145A2" w:rsidRDefault="009145A2" w:rsidP="002236BD">
      <w:pPr>
        <w:pStyle w:val="Default"/>
        <w:ind w:left="1134" w:hanging="1134"/>
        <w:jc w:val="both"/>
        <w:rPr>
          <w:sz w:val="22"/>
          <w:szCs w:val="22"/>
          <w:lang w:val="es-CR"/>
        </w:rPr>
      </w:pPr>
      <w:r>
        <w:rPr>
          <w:sz w:val="22"/>
          <w:szCs w:val="22"/>
          <w:lang w:val="es-CR"/>
        </w:rPr>
        <w:t>7.29.0.01</w:t>
      </w:r>
      <w:r>
        <w:rPr>
          <w:sz w:val="22"/>
          <w:szCs w:val="22"/>
          <w:lang w:val="es-CR"/>
        </w:rPr>
        <w:tab/>
      </w:r>
      <w:r w:rsidRPr="009145A2">
        <w:rPr>
          <w:sz w:val="22"/>
          <w:szCs w:val="22"/>
          <w:lang w:val="es-CR"/>
        </w:rPr>
        <w:t>El no cumplimiento de los requerimientos de información financiera solicitada por la DGCN en las fechas indicadas, se les aplicará el Régimen de Responsabilidad establecido en la reglamentación interna de la Municipalidad.</w:t>
      </w:r>
    </w:p>
    <w:p w14:paraId="21331A32" w14:textId="77777777" w:rsidR="009145A2" w:rsidRDefault="009145A2" w:rsidP="002236BD">
      <w:pPr>
        <w:pStyle w:val="Default"/>
        <w:ind w:left="1134" w:hanging="1134"/>
        <w:jc w:val="both"/>
        <w:rPr>
          <w:sz w:val="22"/>
          <w:szCs w:val="22"/>
          <w:lang w:val="es-CR"/>
        </w:rPr>
      </w:pPr>
    </w:p>
    <w:p w14:paraId="2542F786" w14:textId="77777777" w:rsidR="009145A2" w:rsidRDefault="009145A2" w:rsidP="002236BD">
      <w:pPr>
        <w:pStyle w:val="Default"/>
        <w:ind w:left="1134" w:hanging="1134"/>
        <w:jc w:val="both"/>
        <w:rPr>
          <w:sz w:val="22"/>
          <w:szCs w:val="22"/>
          <w:lang w:val="es-CR"/>
        </w:rPr>
      </w:pPr>
    </w:p>
    <w:p w14:paraId="515D8763" w14:textId="77777777" w:rsidR="009145A2" w:rsidRDefault="009145A2" w:rsidP="002236BD">
      <w:pPr>
        <w:pStyle w:val="Default"/>
        <w:ind w:left="1134" w:hanging="1134"/>
        <w:jc w:val="both"/>
        <w:rPr>
          <w:sz w:val="22"/>
          <w:szCs w:val="22"/>
          <w:lang w:val="es-CR"/>
        </w:rPr>
      </w:pPr>
    </w:p>
    <w:tbl>
      <w:tblPr>
        <w:tblW w:w="9346" w:type="dxa"/>
        <w:tblLook w:val="04A0" w:firstRow="1" w:lastRow="0" w:firstColumn="1" w:lastColumn="0" w:noHBand="0" w:noVBand="1"/>
      </w:tblPr>
      <w:tblGrid>
        <w:gridCol w:w="416"/>
        <w:gridCol w:w="708"/>
        <w:gridCol w:w="433"/>
        <w:gridCol w:w="7"/>
        <w:gridCol w:w="3682"/>
        <w:gridCol w:w="7"/>
        <w:gridCol w:w="2244"/>
        <w:gridCol w:w="7"/>
        <w:gridCol w:w="1842"/>
      </w:tblGrid>
      <w:tr w:rsidR="009145A2" w:rsidRPr="009145A2" w14:paraId="58805BE0" w14:textId="77777777" w:rsidTr="0030399E">
        <w:trPr>
          <w:trHeight w:val="300"/>
        </w:trPr>
        <w:tc>
          <w:tcPr>
            <w:tcW w:w="1564" w:type="dxa"/>
            <w:gridSpan w:val="4"/>
            <w:vMerge w:val="restart"/>
            <w:tcBorders>
              <w:top w:val="single" w:sz="8" w:space="0" w:color="auto"/>
              <w:left w:val="single" w:sz="8" w:space="0" w:color="auto"/>
              <w:bottom w:val="nil"/>
              <w:right w:val="single" w:sz="8" w:space="0" w:color="000000"/>
            </w:tcBorders>
            <w:shd w:val="clear" w:color="000000" w:fill="203764"/>
            <w:vAlign w:val="center"/>
            <w:hideMark/>
          </w:tcPr>
          <w:p w14:paraId="2A8EF0FE"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Norma / Política</w:t>
            </w:r>
          </w:p>
        </w:tc>
        <w:tc>
          <w:tcPr>
            <w:tcW w:w="3689" w:type="dxa"/>
            <w:gridSpan w:val="2"/>
            <w:vMerge w:val="restart"/>
            <w:tcBorders>
              <w:top w:val="single" w:sz="8" w:space="0" w:color="auto"/>
              <w:left w:val="single" w:sz="8" w:space="0" w:color="auto"/>
              <w:bottom w:val="nil"/>
              <w:right w:val="single" w:sz="8" w:space="0" w:color="auto"/>
            </w:tcBorders>
            <w:shd w:val="clear" w:color="000000" w:fill="203764"/>
            <w:vAlign w:val="center"/>
            <w:hideMark/>
          </w:tcPr>
          <w:p w14:paraId="48C01AA3"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Concepto</w:t>
            </w:r>
          </w:p>
        </w:tc>
        <w:tc>
          <w:tcPr>
            <w:tcW w:w="4093" w:type="dxa"/>
            <w:gridSpan w:val="3"/>
            <w:tcBorders>
              <w:top w:val="single" w:sz="8" w:space="0" w:color="auto"/>
              <w:left w:val="nil"/>
              <w:bottom w:val="single" w:sz="8" w:space="0" w:color="auto"/>
              <w:right w:val="single" w:sz="8" w:space="0" w:color="000000"/>
            </w:tcBorders>
            <w:shd w:val="clear" w:color="000000" w:fill="203764"/>
            <w:vAlign w:val="center"/>
            <w:hideMark/>
          </w:tcPr>
          <w:p w14:paraId="0CCABB4E"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Referencia</w:t>
            </w:r>
          </w:p>
        </w:tc>
      </w:tr>
      <w:tr w:rsidR="009145A2" w:rsidRPr="006E5442" w14:paraId="5AAEFF3F" w14:textId="77777777" w:rsidTr="0030399E">
        <w:trPr>
          <w:trHeight w:val="850"/>
        </w:trPr>
        <w:tc>
          <w:tcPr>
            <w:tcW w:w="1564" w:type="dxa"/>
            <w:gridSpan w:val="4"/>
            <w:vMerge/>
            <w:tcBorders>
              <w:top w:val="single" w:sz="8" w:space="0" w:color="auto"/>
              <w:left w:val="single" w:sz="8" w:space="0" w:color="auto"/>
              <w:bottom w:val="nil"/>
              <w:right w:val="single" w:sz="8" w:space="0" w:color="000000"/>
            </w:tcBorders>
            <w:vAlign w:val="center"/>
            <w:hideMark/>
          </w:tcPr>
          <w:p w14:paraId="4F519796" w14:textId="77777777" w:rsidR="009145A2" w:rsidRPr="009145A2" w:rsidRDefault="009145A2" w:rsidP="009145A2">
            <w:pPr>
              <w:rPr>
                <w:rFonts w:ascii="Arial Narrow" w:eastAsia="Times New Roman" w:hAnsi="Arial Narrow" w:cs="Calibri"/>
                <w:b/>
                <w:bCs/>
                <w:color w:val="FFFFFF"/>
                <w:sz w:val="22"/>
                <w:szCs w:val="22"/>
              </w:rPr>
            </w:pPr>
          </w:p>
        </w:tc>
        <w:tc>
          <w:tcPr>
            <w:tcW w:w="3689" w:type="dxa"/>
            <w:gridSpan w:val="2"/>
            <w:vMerge/>
            <w:tcBorders>
              <w:top w:val="single" w:sz="8" w:space="0" w:color="auto"/>
              <w:left w:val="single" w:sz="8" w:space="0" w:color="auto"/>
              <w:bottom w:val="nil"/>
              <w:right w:val="single" w:sz="8" w:space="0" w:color="auto"/>
            </w:tcBorders>
            <w:vAlign w:val="center"/>
            <w:hideMark/>
          </w:tcPr>
          <w:p w14:paraId="08312EF6" w14:textId="77777777" w:rsidR="009145A2" w:rsidRPr="009145A2" w:rsidRDefault="009145A2" w:rsidP="009145A2">
            <w:pPr>
              <w:rPr>
                <w:rFonts w:ascii="Arial Narrow" w:eastAsia="Times New Roman" w:hAnsi="Arial Narrow" w:cs="Calibri"/>
                <w:b/>
                <w:bCs/>
                <w:color w:val="FFFFFF"/>
                <w:sz w:val="22"/>
                <w:szCs w:val="22"/>
              </w:rPr>
            </w:pPr>
          </w:p>
        </w:tc>
        <w:tc>
          <w:tcPr>
            <w:tcW w:w="2251" w:type="dxa"/>
            <w:gridSpan w:val="2"/>
            <w:tcBorders>
              <w:top w:val="nil"/>
              <w:left w:val="nil"/>
              <w:bottom w:val="nil"/>
              <w:right w:val="single" w:sz="8" w:space="0" w:color="auto"/>
            </w:tcBorders>
            <w:shd w:val="clear" w:color="000000" w:fill="203764"/>
            <w:vAlign w:val="center"/>
            <w:hideMark/>
          </w:tcPr>
          <w:p w14:paraId="61E34232" w14:textId="77777777" w:rsidR="009145A2" w:rsidRPr="009145A2" w:rsidRDefault="009145A2" w:rsidP="009145A2">
            <w:pPr>
              <w:jc w:val="center"/>
              <w:rPr>
                <w:rFonts w:ascii="Arial Narrow" w:eastAsia="Times New Roman" w:hAnsi="Arial Narrow" w:cs="Calibri"/>
                <w:b/>
                <w:bCs/>
                <w:color w:val="FFFFFF"/>
                <w:sz w:val="22"/>
                <w:szCs w:val="22"/>
              </w:rPr>
            </w:pPr>
            <w:r w:rsidRPr="009145A2">
              <w:rPr>
                <w:rFonts w:ascii="Arial Narrow" w:eastAsia="Times New Roman" w:hAnsi="Arial Narrow" w:cs="Calibri"/>
                <w:b/>
                <w:bCs/>
                <w:color w:val="FFFFFF"/>
                <w:sz w:val="22"/>
                <w:szCs w:val="22"/>
              </w:rPr>
              <w:t>Norma</w:t>
            </w:r>
          </w:p>
        </w:tc>
        <w:tc>
          <w:tcPr>
            <w:tcW w:w="1842" w:type="dxa"/>
            <w:tcBorders>
              <w:top w:val="nil"/>
              <w:left w:val="nil"/>
              <w:bottom w:val="nil"/>
              <w:right w:val="single" w:sz="8" w:space="0" w:color="auto"/>
            </w:tcBorders>
            <w:shd w:val="clear" w:color="000000" w:fill="203764"/>
            <w:vAlign w:val="center"/>
            <w:hideMark/>
          </w:tcPr>
          <w:p w14:paraId="666F6628" w14:textId="77777777" w:rsidR="009145A2" w:rsidRPr="009145A2" w:rsidRDefault="009145A2" w:rsidP="009145A2">
            <w:pPr>
              <w:jc w:val="center"/>
              <w:rPr>
                <w:rFonts w:ascii="Arial Narrow" w:eastAsia="Times New Roman" w:hAnsi="Arial Narrow" w:cs="Calibri"/>
                <w:b/>
                <w:bCs/>
                <w:color w:val="FFFFFF"/>
                <w:sz w:val="22"/>
                <w:szCs w:val="22"/>
                <w:lang w:val="es-CR"/>
              </w:rPr>
            </w:pPr>
            <w:r w:rsidRPr="009145A2">
              <w:rPr>
                <w:rFonts w:ascii="Arial Narrow" w:eastAsia="Times New Roman" w:hAnsi="Arial Narrow" w:cs="Calibri"/>
                <w:b/>
                <w:bCs/>
                <w:color w:val="FFFFFF"/>
                <w:sz w:val="22"/>
                <w:szCs w:val="22"/>
                <w:lang w:val="es-CR"/>
              </w:rPr>
              <w:t>Normativa técnica y disposiciones adicionales</w:t>
            </w:r>
          </w:p>
        </w:tc>
      </w:tr>
      <w:tr w:rsidR="009145A2" w:rsidRPr="009145A2" w14:paraId="0234A6AC" w14:textId="77777777" w:rsidTr="0030399E">
        <w:trPr>
          <w:trHeight w:val="320"/>
        </w:trPr>
        <w:tc>
          <w:tcPr>
            <w:tcW w:w="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82F140"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86DE429"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30</w:t>
            </w:r>
          </w:p>
        </w:tc>
        <w:tc>
          <w:tcPr>
            <w:tcW w:w="433" w:type="dxa"/>
            <w:tcBorders>
              <w:top w:val="single" w:sz="8" w:space="0" w:color="auto"/>
              <w:left w:val="nil"/>
              <w:bottom w:val="single" w:sz="8" w:space="0" w:color="auto"/>
              <w:right w:val="single" w:sz="8" w:space="0" w:color="auto"/>
            </w:tcBorders>
            <w:shd w:val="clear" w:color="auto" w:fill="auto"/>
            <w:vAlign w:val="center"/>
            <w:hideMark/>
          </w:tcPr>
          <w:p w14:paraId="5AD6F6C6"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 xml:space="preserve"> </w:t>
            </w:r>
          </w:p>
        </w:tc>
        <w:tc>
          <w:tcPr>
            <w:tcW w:w="3689" w:type="dxa"/>
            <w:gridSpan w:val="2"/>
            <w:tcBorders>
              <w:top w:val="single" w:sz="8" w:space="0" w:color="auto"/>
              <w:left w:val="nil"/>
              <w:bottom w:val="single" w:sz="8" w:space="0" w:color="auto"/>
              <w:right w:val="single" w:sz="8" w:space="0" w:color="auto"/>
            </w:tcBorders>
            <w:shd w:val="clear" w:color="auto" w:fill="auto"/>
            <w:vAlign w:val="center"/>
            <w:hideMark/>
          </w:tcPr>
          <w:p w14:paraId="03C5E9C4" w14:textId="77777777" w:rsidR="009145A2" w:rsidRPr="009145A2" w:rsidRDefault="009145A2" w:rsidP="009145A2">
            <w:pPr>
              <w:jc w:val="both"/>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EEFF Auditados</w:t>
            </w:r>
          </w:p>
        </w:tc>
        <w:tc>
          <w:tcPr>
            <w:tcW w:w="2251" w:type="dxa"/>
            <w:gridSpan w:val="2"/>
            <w:tcBorders>
              <w:top w:val="single" w:sz="8" w:space="0" w:color="auto"/>
              <w:left w:val="nil"/>
              <w:bottom w:val="single" w:sz="8" w:space="0" w:color="auto"/>
              <w:right w:val="single" w:sz="8" w:space="0" w:color="auto"/>
            </w:tcBorders>
            <w:shd w:val="clear" w:color="auto" w:fill="auto"/>
            <w:vAlign w:val="center"/>
            <w:hideMark/>
          </w:tcPr>
          <w:p w14:paraId="5AA5C3E4" w14:textId="77777777" w:rsidR="009145A2" w:rsidRPr="009145A2" w:rsidRDefault="009145A2" w:rsidP="009145A2">
            <w:pPr>
              <w:jc w:val="both"/>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 </w:t>
            </w:r>
          </w:p>
        </w:tc>
        <w:tc>
          <w:tcPr>
            <w:tcW w:w="1849" w:type="dxa"/>
            <w:gridSpan w:val="2"/>
            <w:tcBorders>
              <w:top w:val="single" w:sz="8" w:space="0" w:color="auto"/>
              <w:left w:val="nil"/>
              <w:bottom w:val="single" w:sz="8" w:space="0" w:color="auto"/>
              <w:right w:val="single" w:sz="8" w:space="0" w:color="auto"/>
            </w:tcBorders>
            <w:shd w:val="clear" w:color="auto" w:fill="auto"/>
            <w:vAlign w:val="center"/>
            <w:hideMark/>
          </w:tcPr>
          <w:p w14:paraId="2458EACE" w14:textId="77777777" w:rsidR="009145A2" w:rsidRPr="009145A2" w:rsidRDefault="009145A2" w:rsidP="009145A2">
            <w:pPr>
              <w:jc w:val="center"/>
              <w:rPr>
                <w:rFonts w:ascii="Arial Narrow" w:eastAsia="Times New Roman" w:hAnsi="Arial Narrow" w:cs="Calibri"/>
                <w:b/>
                <w:bCs/>
                <w:color w:val="000000"/>
                <w:sz w:val="22"/>
                <w:szCs w:val="22"/>
              </w:rPr>
            </w:pPr>
            <w:r w:rsidRPr="009145A2">
              <w:rPr>
                <w:rFonts w:ascii="Arial Narrow" w:eastAsia="Times New Roman" w:hAnsi="Arial Narrow" w:cs="Calibri"/>
                <w:b/>
                <w:bCs/>
                <w:color w:val="000000"/>
                <w:sz w:val="22"/>
                <w:szCs w:val="22"/>
              </w:rPr>
              <w:t>DGCN Nota Técnica</w:t>
            </w:r>
          </w:p>
        </w:tc>
      </w:tr>
    </w:tbl>
    <w:p w14:paraId="32610C05" w14:textId="77777777" w:rsidR="009145A2" w:rsidRDefault="009145A2" w:rsidP="002236BD">
      <w:pPr>
        <w:pStyle w:val="Default"/>
        <w:ind w:left="1134" w:hanging="1134"/>
        <w:jc w:val="both"/>
        <w:rPr>
          <w:sz w:val="22"/>
          <w:szCs w:val="22"/>
          <w:lang w:val="es-CR"/>
        </w:rPr>
      </w:pPr>
    </w:p>
    <w:p w14:paraId="2673E35F" w14:textId="77777777" w:rsidR="0030399E" w:rsidRDefault="0030399E" w:rsidP="002236BD">
      <w:pPr>
        <w:pStyle w:val="Default"/>
        <w:ind w:left="1134" w:hanging="1134"/>
        <w:jc w:val="both"/>
        <w:rPr>
          <w:sz w:val="22"/>
          <w:szCs w:val="22"/>
          <w:lang w:val="es-CR"/>
        </w:rPr>
      </w:pPr>
    </w:p>
    <w:p w14:paraId="1100FE77" w14:textId="77777777" w:rsidR="0030399E" w:rsidRDefault="0030399E" w:rsidP="002236BD">
      <w:pPr>
        <w:pStyle w:val="Default"/>
        <w:ind w:left="1134" w:hanging="1134"/>
        <w:jc w:val="both"/>
        <w:rPr>
          <w:sz w:val="22"/>
          <w:szCs w:val="22"/>
          <w:lang w:val="es-CR"/>
        </w:rPr>
      </w:pPr>
    </w:p>
    <w:p w14:paraId="134CD7FC" w14:textId="77777777" w:rsidR="0030399E" w:rsidRDefault="0030399E" w:rsidP="002236BD">
      <w:pPr>
        <w:pStyle w:val="Default"/>
        <w:ind w:left="1134" w:hanging="1134"/>
        <w:jc w:val="both"/>
        <w:rPr>
          <w:sz w:val="22"/>
          <w:szCs w:val="22"/>
          <w:lang w:val="es-CR"/>
        </w:rPr>
      </w:pPr>
    </w:p>
    <w:p w14:paraId="2F9035DD" w14:textId="77777777" w:rsidR="0030399E" w:rsidRDefault="0030399E" w:rsidP="0030399E">
      <w:pPr>
        <w:pStyle w:val="Default"/>
        <w:ind w:left="1134" w:hanging="1134"/>
        <w:jc w:val="both"/>
        <w:rPr>
          <w:rFonts w:eastAsia="Arial"/>
          <w:b/>
          <w:sz w:val="22"/>
          <w:szCs w:val="22"/>
        </w:rPr>
      </w:pPr>
      <w:r w:rsidRPr="00F02F9D">
        <w:rPr>
          <w:rFonts w:eastAsia="Arial"/>
          <w:b/>
          <w:sz w:val="22"/>
          <w:szCs w:val="22"/>
        </w:rPr>
        <w:lastRenderedPageBreak/>
        <w:t>Política</w:t>
      </w:r>
      <w:r>
        <w:rPr>
          <w:rFonts w:eastAsia="Arial"/>
          <w:b/>
          <w:sz w:val="22"/>
          <w:szCs w:val="22"/>
        </w:rPr>
        <w:t>s</w:t>
      </w:r>
      <w:r w:rsidRPr="00F02F9D">
        <w:rPr>
          <w:rFonts w:eastAsia="Arial"/>
          <w:b/>
          <w:sz w:val="22"/>
          <w:szCs w:val="22"/>
        </w:rPr>
        <w:t xml:space="preserve"> Contable</w:t>
      </w:r>
      <w:r>
        <w:rPr>
          <w:rFonts w:eastAsia="Arial"/>
          <w:b/>
          <w:sz w:val="22"/>
          <w:szCs w:val="22"/>
        </w:rPr>
        <w:t>s</w:t>
      </w:r>
    </w:p>
    <w:p w14:paraId="6C55B867" w14:textId="77777777" w:rsidR="0030399E" w:rsidRDefault="0030399E" w:rsidP="002236BD">
      <w:pPr>
        <w:pStyle w:val="Default"/>
        <w:ind w:left="1134" w:hanging="1134"/>
        <w:jc w:val="both"/>
        <w:rPr>
          <w:sz w:val="22"/>
          <w:szCs w:val="22"/>
          <w:lang w:val="es-CR"/>
        </w:rPr>
      </w:pPr>
    </w:p>
    <w:p w14:paraId="1CFA72C6" w14:textId="18EE98CE" w:rsidR="009145A2" w:rsidRPr="00713DCA" w:rsidRDefault="00713DCA" w:rsidP="002236BD">
      <w:pPr>
        <w:pStyle w:val="Default"/>
        <w:ind w:left="1134" w:hanging="1134"/>
        <w:jc w:val="both"/>
        <w:rPr>
          <w:sz w:val="22"/>
          <w:szCs w:val="22"/>
          <w:lang w:val="es-CR"/>
        </w:rPr>
      </w:pPr>
      <w:r>
        <w:rPr>
          <w:sz w:val="22"/>
          <w:szCs w:val="22"/>
          <w:lang w:val="es-CR"/>
        </w:rPr>
        <w:t>7.30.0.01</w:t>
      </w:r>
      <w:r>
        <w:rPr>
          <w:sz w:val="22"/>
          <w:szCs w:val="22"/>
          <w:lang w:val="es-CR"/>
        </w:rPr>
        <w:tab/>
      </w:r>
      <w:r w:rsidR="009145A2" w:rsidRPr="00713DCA">
        <w:rPr>
          <w:sz w:val="22"/>
          <w:szCs w:val="22"/>
          <w:lang w:val="es-CR"/>
        </w:rPr>
        <w:t xml:space="preserve">Los EEFF de la Municipalidad deberán contar </w:t>
      </w:r>
      <w:r w:rsidRPr="00713DCA">
        <w:rPr>
          <w:sz w:val="22"/>
          <w:szCs w:val="22"/>
          <w:lang w:val="es-CR"/>
        </w:rPr>
        <w:t xml:space="preserve">hasta donde sea posible </w:t>
      </w:r>
      <w:r w:rsidR="009145A2" w:rsidRPr="00713DCA">
        <w:rPr>
          <w:sz w:val="22"/>
          <w:szCs w:val="22"/>
          <w:lang w:val="es-CR"/>
        </w:rPr>
        <w:t xml:space="preserve">con un informe de auditoría conforme a las Directrices que emita la </w:t>
      </w:r>
      <w:r w:rsidRPr="00713DCA">
        <w:rPr>
          <w:sz w:val="22"/>
          <w:szCs w:val="22"/>
          <w:lang w:val="es-CR"/>
        </w:rPr>
        <w:t>Administración Superior</w:t>
      </w:r>
      <w:r>
        <w:rPr>
          <w:sz w:val="22"/>
          <w:szCs w:val="22"/>
          <w:lang w:val="es-CR"/>
        </w:rPr>
        <w:t xml:space="preserve"> y el órgano superior de fiscalización superior y</w:t>
      </w:r>
      <w:r w:rsidRPr="00713DCA">
        <w:rPr>
          <w:sz w:val="22"/>
          <w:szCs w:val="22"/>
          <w:lang w:val="es-CR"/>
        </w:rPr>
        <w:t xml:space="preserve"> de acuerdo con la capacidad presupuestaria existente</w:t>
      </w:r>
      <w:r w:rsidR="009145A2" w:rsidRPr="00713DCA">
        <w:rPr>
          <w:sz w:val="22"/>
          <w:szCs w:val="22"/>
          <w:lang w:val="es-CR"/>
        </w:rPr>
        <w:t>.</w:t>
      </w:r>
    </w:p>
    <w:p w14:paraId="79D29C28" w14:textId="77777777" w:rsidR="009145A2" w:rsidRDefault="009145A2" w:rsidP="002236BD">
      <w:pPr>
        <w:pStyle w:val="Default"/>
        <w:ind w:left="1134" w:hanging="1134"/>
        <w:jc w:val="both"/>
        <w:rPr>
          <w:sz w:val="22"/>
          <w:szCs w:val="22"/>
          <w:lang w:val="es-CR"/>
        </w:rPr>
      </w:pPr>
    </w:p>
    <w:p w14:paraId="6F86E347" w14:textId="77777777" w:rsidR="002F7D73" w:rsidRDefault="002F7D73" w:rsidP="002236BD">
      <w:pPr>
        <w:pStyle w:val="Default"/>
        <w:ind w:left="1134" w:hanging="1134"/>
        <w:jc w:val="both"/>
        <w:rPr>
          <w:sz w:val="22"/>
          <w:szCs w:val="22"/>
          <w:lang w:val="es-CR"/>
        </w:rPr>
      </w:pPr>
    </w:p>
    <w:p w14:paraId="323C3CB6" w14:textId="77777777" w:rsidR="000F3F2A" w:rsidRDefault="000F3F2A" w:rsidP="002236BD">
      <w:pPr>
        <w:pStyle w:val="Default"/>
        <w:ind w:left="1134" w:hanging="1134"/>
        <w:jc w:val="both"/>
        <w:rPr>
          <w:sz w:val="22"/>
          <w:szCs w:val="22"/>
          <w:lang w:val="es-CR"/>
        </w:rPr>
      </w:pPr>
    </w:p>
    <w:p w14:paraId="1DE3CC78" w14:textId="77777777" w:rsidR="005D290E" w:rsidRDefault="005D290E" w:rsidP="002236BD">
      <w:pPr>
        <w:pStyle w:val="Default"/>
        <w:ind w:left="1134" w:hanging="1134"/>
        <w:jc w:val="both"/>
        <w:rPr>
          <w:sz w:val="22"/>
          <w:szCs w:val="22"/>
          <w:lang w:val="es-CR"/>
        </w:rPr>
      </w:pPr>
    </w:p>
    <w:p w14:paraId="60E1F274" w14:textId="77777777" w:rsidR="005D290E" w:rsidRDefault="005D290E" w:rsidP="002236BD">
      <w:pPr>
        <w:pStyle w:val="Default"/>
        <w:ind w:left="1134" w:hanging="1134"/>
        <w:jc w:val="both"/>
        <w:rPr>
          <w:sz w:val="22"/>
          <w:szCs w:val="22"/>
          <w:lang w:val="es-CR"/>
        </w:rPr>
      </w:pPr>
    </w:p>
    <w:p w14:paraId="63D25F65" w14:textId="77777777" w:rsidR="005D290E" w:rsidRDefault="005D290E" w:rsidP="002236BD">
      <w:pPr>
        <w:pStyle w:val="Default"/>
        <w:ind w:left="1134" w:hanging="1134"/>
        <w:jc w:val="both"/>
        <w:rPr>
          <w:sz w:val="22"/>
          <w:szCs w:val="22"/>
          <w:lang w:val="es-CR"/>
        </w:rPr>
      </w:pPr>
    </w:p>
    <w:p w14:paraId="2D28B466" w14:textId="77777777" w:rsidR="005D290E" w:rsidRDefault="005D290E" w:rsidP="002236BD">
      <w:pPr>
        <w:pStyle w:val="Default"/>
        <w:ind w:left="1134" w:hanging="1134"/>
        <w:jc w:val="both"/>
        <w:rPr>
          <w:sz w:val="22"/>
          <w:szCs w:val="22"/>
          <w:lang w:val="es-CR"/>
        </w:rPr>
      </w:pPr>
    </w:p>
    <w:p w14:paraId="6CF40BE4" w14:textId="77777777" w:rsidR="005D290E" w:rsidRPr="002236BD" w:rsidRDefault="005D290E" w:rsidP="002236BD">
      <w:pPr>
        <w:pStyle w:val="Default"/>
        <w:ind w:left="1134" w:hanging="1134"/>
        <w:jc w:val="both"/>
        <w:rPr>
          <w:sz w:val="22"/>
          <w:szCs w:val="22"/>
          <w:lang w:val="es-CR"/>
        </w:rPr>
      </w:pPr>
    </w:p>
    <w:sectPr w:rsidR="005D290E" w:rsidRPr="002236BD" w:rsidSect="008B0175">
      <w:type w:val="continuous"/>
      <w:pgSz w:w="12240" w:h="15840"/>
      <w:pgMar w:top="1440" w:right="1440" w:bottom="168" w:left="1418"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6AD2" w14:textId="77777777" w:rsidR="00AB78CD" w:rsidRDefault="00AB78CD" w:rsidP="00CD736F">
      <w:r>
        <w:separator/>
      </w:r>
    </w:p>
  </w:endnote>
  <w:endnote w:type="continuationSeparator" w:id="0">
    <w:p w14:paraId="58788C84" w14:textId="77777777" w:rsidR="00AB78CD" w:rsidRDefault="00AB78CD" w:rsidP="00CD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A6A32" w14:textId="77777777" w:rsidR="00AB78CD" w:rsidRDefault="00AB78CD" w:rsidP="00CD736F">
      <w:r>
        <w:separator/>
      </w:r>
    </w:p>
  </w:footnote>
  <w:footnote w:type="continuationSeparator" w:id="0">
    <w:p w14:paraId="7DC23867" w14:textId="77777777" w:rsidR="00AB78CD" w:rsidRDefault="00AB78CD" w:rsidP="00CD7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8D403E"/>
    <w:multiLevelType w:val="hybridMultilevel"/>
    <w:tmpl w:val="52C496CA"/>
    <w:lvl w:ilvl="0" w:tplc="FFFFFFFF">
      <w:start w:val="1"/>
      <w:numFmt w:val="lowerLetter"/>
      <w:lvlText w:val=""/>
      <w:lvlJc w:val="left"/>
    </w:lvl>
    <w:lvl w:ilvl="1" w:tplc="0409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E89EA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4C28E8"/>
    <w:multiLevelType w:val="hybridMultilevel"/>
    <w:tmpl w:val="1C3A2FC0"/>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7E89E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D930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0ED3B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75A6C92"/>
    <w:multiLevelType w:val="hybridMultilevel"/>
    <w:tmpl w:val="FFFFFFFF"/>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B1A8A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B2A77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CA88C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0D0E31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A1E1A2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A449022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A4CDCD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ABBCD4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AF7FB77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B24FBAF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1A14D8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C31FB9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D8639CA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2FE0B49"/>
    <w:multiLevelType w:val="hybridMultilevel"/>
    <w:tmpl w:val="B5EEE1F0"/>
    <w:lvl w:ilvl="0" w:tplc="04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E35A30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E65B30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087C7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F5EAC430"/>
    <w:multiLevelType w:val="hybridMultilevel"/>
    <w:tmpl w:val="780CDBC6"/>
    <w:lvl w:ilvl="0" w:tplc="FFFFFFFF">
      <w:start w:val="1"/>
      <w:numFmt w:val="lowerLetter"/>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F8D880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FFF9A2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04"/>
    <w:multiLevelType w:val="hybridMultilevel"/>
    <w:tmpl w:val="0E6B3F6A"/>
    <w:lvl w:ilvl="0" w:tplc="54D835C8">
      <w:numFmt w:val="none"/>
      <w:lvlText w:val=""/>
      <w:lvlJc w:val="left"/>
      <w:pPr>
        <w:tabs>
          <w:tab w:val="num" w:pos="360"/>
        </w:tabs>
      </w:pPr>
    </w:lvl>
    <w:lvl w:ilvl="1" w:tplc="904AEA6C">
      <w:numFmt w:val="decimal"/>
      <w:suff w:val="space"/>
      <w:lvlText w:val=""/>
      <w:lvlJc w:val="left"/>
    </w:lvl>
    <w:lvl w:ilvl="2" w:tplc="E042D64A">
      <w:numFmt w:val="decimal"/>
      <w:suff w:val="space"/>
      <w:lvlText w:val=""/>
      <w:lvlJc w:val="left"/>
    </w:lvl>
    <w:lvl w:ilvl="3" w:tplc="5E16E712">
      <w:numFmt w:val="decimal"/>
      <w:suff w:val="space"/>
      <w:lvlText w:val=""/>
      <w:lvlJc w:val="left"/>
    </w:lvl>
    <w:lvl w:ilvl="4" w:tplc="36282ABC">
      <w:numFmt w:val="decimal"/>
      <w:suff w:val="space"/>
      <w:lvlText w:val=""/>
      <w:lvlJc w:val="left"/>
    </w:lvl>
    <w:lvl w:ilvl="5" w:tplc="C7581314">
      <w:numFmt w:val="decimal"/>
      <w:suff w:val="space"/>
      <w:lvlText w:val=""/>
      <w:lvlJc w:val="left"/>
    </w:lvl>
    <w:lvl w:ilvl="6" w:tplc="2856ECB2">
      <w:numFmt w:val="decimal"/>
      <w:suff w:val="space"/>
      <w:lvlText w:val=""/>
      <w:lvlJc w:val="left"/>
    </w:lvl>
    <w:lvl w:ilvl="7" w:tplc="170C91CC">
      <w:numFmt w:val="decimal"/>
      <w:lvlText w:val=""/>
      <w:lvlJc w:val="left"/>
    </w:lvl>
    <w:lvl w:ilvl="8" w:tplc="A6164896">
      <w:numFmt w:val="decimal"/>
      <w:lvlText w:val=""/>
      <w:lvlJc w:val="left"/>
    </w:lvl>
  </w:abstractNum>
  <w:abstractNum w:abstractNumId="28" w15:restartNumberingAfterBreak="0">
    <w:nsid w:val="0000000C"/>
    <w:multiLevelType w:val="hybridMultilevel"/>
    <w:tmpl w:val="126E008A"/>
    <w:lvl w:ilvl="0" w:tplc="6E6A5D00">
      <w:numFmt w:val="decimal"/>
      <w:lvlText w:val=""/>
      <w:lvlJc w:val="left"/>
    </w:lvl>
    <w:lvl w:ilvl="1" w:tplc="54A0181A">
      <w:numFmt w:val="decimal"/>
      <w:lvlText w:val=""/>
      <w:lvlJc w:val="left"/>
    </w:lvl>
    <w:lvl w:ilvl="2" w:tplc="0EA6389E">
      <w:numFmt w:val="decimal"/>
      <w:lvlText w:val=""/>
      <w:lvlJc w:val="left"/>
    </w:lvl>
    <w:lvl w:ilvl="3" w:tplc="79869EAA">
      <w:numFmt w:val="decimal"/>
      <w:lvlText w:val=""/>
      <w:lvlJc w:val="left"/>
    </w:lvl>
    <w:lvl w:ilvl="4" w:tplc="701EA7B0">
      <w:numFmt w:val="decimal"/>
      <w:lvlText w:val=""/>
      <w:lvlJc w:val="left"/>
    </w:lvl>
    <w:lvl w:ilvl="5" w:tplc="7F76707E">
      <w:numFmt w:val="decimal"/>
      <w:suff w:val="space"/>
      <w:lvlText w:val=""/>
      <w:lvlJc w:val="left"/>
    </w:lvl>
    <w:lvl w:ilvl="6" w:tplc="35E058CC">
      <w:numFmt w:val="decimal"/>
      <w:lvlText w:val=""/>
      <w:lvlJc w:val="left"/>
    </w:lvl>
    <w:lvl w:ilvl="7" w:tplc="E03048DA">
      <w:numFmt w:val="decimal"/>
      <w:lvlText w:val=""/>
      <w:lvlJc w:val="left"/>
    </w:lvl>
    <w:lvl w:ilvl="8" w:tplc="35CC2AC8">
      <w:numFmt w:val="decimal"/>
      <w:lvlText w:val=""/>
      <w:lvlJc w:val="left"/>
    </w:lvl>
  </w:abstractNum>
  <w:abstractNum w:abstractNumId="29" w15:restartNumberingAfterBreak="0">
    <w:nsid w:val="00000017"/>
    <w:multiLevelType w:val="hybridMultilevel"/>
    <w:tmpl w:val="7F618FCC"/>
    <w:lvl w:ilvl="0" w:tplc="C49636E6">
      <w:start w:val="23"/>
      <w:numFmt w:val="decimal"/>
      <w:lvlText w:val=""/>
      <w:lvlJc w:val="left"/>
    </w:lvl>
    <w:lvl w:ilvl="1" w:tplc="728011FC">
      <w:start w:val="23"/>
      <w:numFmt w:val="decimal"/>
      <w:lvlText w:val=""/>
      <w:lvlJc w:val="left"/>
    </w:lvl>
    <w:lvl w:ilvl="2" w:tplc="52A05384">
      <w:start w:val="23"/>
      <w:numFmt w:val="decimal"/>
      <w:lvlText w:val=""/>
      <w:lvlJc w:val="left"/>
    </w:lvl>
    <w:lvl w:ilvl="3" w:tplc="66622CB0">
      <w:start w:val="23"/>
      <w:numFmt w:val="decimal"/>
      <w:lvlText w:val=""/>
      <w:lvlJc w:val="left"/>
    </w:lvl>
    <w:lvl w:ilvl="4" w:tplc="A016D2F4">
      <w:start w:val="23"/>
      <w:numFmt w:val="decimal"/>
      <w:lvlText w:val=""/>
      <w:lvlJc w:val="left"/>
    </w:lvl>
    <w:lvl w:ilvl="5" w:tplc="8794C08E">
      <w:start w:val="65540"/>
      <w:numFmt w:val="decimal"/>
      <w:lvlText w:val=""/>
      <w:lvlJc w:val="left"/>
    </w:lvl>
    <w:lvl w:ilvl="6" w:tplc="79F29564">
      <w:start w:val="23"/>
      <w:numFmt w:val="decimal"/>
      <w:lvlText w:val=""/>
      <w:lvlJc w:val="left"/>
    </w:lvl>
    <w:lvl w:ilvl="7" w:tplc="A1E2CB6C">
      <w:start w:val="23"/>
      <w:numFmt w:val="decimal"/>
      <w:lvlText w:val=""/>
      <w:lvlJc w:val="left"/>
    </w:lvl>
    <w:lvl w:ilvl="8" w:tplc="961E67A4">
      <w:start w:val="23"/>
      <w:numFmt w:val="decimal"/>
      <w:lvlText w:val=""/>
      <w:lvlJc w:val="left"/>
    </w:lvl>
  </w:abstractNum>
  <w:abstractNum w:abstractNumId="30" w15:restartNumberingAfterBreak="0">
    <w:nsid w:val="0000001C"/>
    <w:multiLevelType w:val="hybridMultilevel"/>
    <w:tmpl w:val="1C7E3C00"/>
    <w:lvl w:ilvl="0" w:tplc="AAE80D6E">
      <w:start w:val="23"/>
      <w:numFmt w:val="decimal"/>
      <w:lvlText w:val=""/>
      <w:lvlJc w:val="left"/>
    </w:lvl>
    <w:lvl w:ilvl="1" w:tplc="9AD0AC1E">
      <w:start w:val="23"/>
      <w:numFmt w:val="decimal"/>
      <w:lvlText w:val=""/>
      <w:lvlJc w:val="left"/>
    </w:lvl>
    <w:lvl w:ilvl="2" w:tplc="AAF28AB2">
      <w:start w:val="23"/>
      <w:numFmt w:val="decimal"/>
      <w:lvlText w:val=""/>
      <w:lvlJc w:val="left"/>
    </w:lvl>
    <w:lvl w:ilvl="3" w:tplc="40C2A674">
      <w:start w:val="23"/>
      <w:numFmt w:val="decimal"/>
      <w:lvlText w:val=""/>
      <w:lvlJc w:val="left"/>
    </w:lvl>
    <w:lvl w:ilvl="4" w:tplc="21866A2A">
      <w:start w:val="23"/>
      <w:numFmt w:val="decimal"/>
      <w:lvlText w:val=""/>
      <w:lvlJc w:val="left"/>
    </w:lvl>
    <w:lvl w:ilvl="5" w:tplc="28B640FE">
      <w:start w:val="65536"/>
      <w:numFmt w:val="decimal"/>
      <w:lvlText w:val=""/>
      <w:lvlJc w:val="left"/>
    </w:lvl>
    <w:lvl w:ilvl="6" w:tplc="ADA88F7C">
      <w:start w:val="23"/>
      <w:numFmt w:val="decimal"/>
      <w:lvlText w:val=""/>
      <w:lvlJc w:val="left"/>
    </w:lvl>
    <w:lvl w:ilvl="7" w:tplc="2C1A6D7E">
      <w:start w:val="23"/>
      <w:numFmt w:val="decimal"/>
      <w:lvlText w:val=""/>
      <w:lvlJc w:val="left"/>
    </w:lvl>
    <w:lvl w:ilvl="8" w:tplc="EC0C09D0">
      <w:start w:val="23"/>
      <w:numFmt w:val="decimal"/>
      <w:lvlText w:val=""/>
      <w:lvlJc w:val="left"/>
    </w:lvl>
  </w:abstractNum>
  <w:abstractNum w:abstractNumId="31" w15:restartNumberingAfterBreak="0">
    <w:nsid w:val="00434564"/>
    <w:multiLevelType w:val="hybridMultilevel"/>
    <w:tmpl w:val="11B6C15A"/>
    <w:lvl w:ilvl="0" w:tplc="4C7A50C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614919"/>
    <w:multiLevelType w:val="hybridMultilevel"/>
    <w:tmpl w:val="5D201DA8"/>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A7414B"/>
    <w:multiLevelType w:val="hybridMultilevel"/>
    <w:tmpl w:val="1A22E2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D33C76"/>
    <w:multiLevelType w:val="hybridMultilevel"/>
    <w:tmpl w:val="FCD2B700"/>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1831DEE"/>
    <w:multiLevelType w:val="hybridMultilevel"/>
    <w:tmpl w:val="C802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19C6FF0"/>
    <w:multiLevelType w:val="hybridMultilevel"/>
    <w:tmpl w:val="475AA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2424DB6"/>
    <w:multiLevelType w:val="hybridMultilevel"/>
    <w:tmpl w:val="257C8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2441BE0"/>
    <w:multiLevelType w:val="hybridMultilevel"/>
    <w:tmpl w:val="53F8E3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2720C8D"/>
    <w:multiLevelType w:val="hybridMultilevel"/>
    <w:tmpl w:val="45CAA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D30148"/>
    <w:multiLevelType w:val="hybridMultilevel"/>
    <w:tmpl w:val="3F1EB17A"/>
    <w:lvl w:ilvl="0" w:tplc="365AA61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3504A4A"/>
    <w:multiLevelType w:val="hybridMultilevel"/>
    <w:tmpl w:val="862838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3533B6A"/>
    <w:multiLevelType w:val="hybridMultilevel"/>
    <w:tmpl w:val="1FE03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4281092"/>
    <w:multiLevelType w:val="hybridMultilevel"/>
    <w:tmpl w:val="D8D01E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462507C"/>
    <w:multiLevelType w:val="multilevel"/>
    <w:tmpl w:val="7EEC9B24"/>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502433E"/>
    <w:multiLevelType w:val="hybridMultilevel"/>
    <w:tmpl w:val="CFFCA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55127AB"/>
    <w:multiLevelType w:val="multilevel"/>
    <w:tmpl w:val="F0989D32"/>
    <w:lvl w:ilvl="0">
      <w:start w:val="2"/>
      <w:numFmt w:val="decimal"/>
      <w:lvlText w:val="%1"/>
      <w:lvlJc w:val="left"/>
      <w:pPr>
        <w:ind w:left="900" w:hanging="900"/>
      </w:pPr>
      <w:rPr>
        <w:rFonts w:hint="default"/>
      </w:rPr>
    </w:lvl>
    <w:lvl w:ilvl="1">
      <w:start w:val="36"/>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58A27E6"/>
    <w:multiLevelType w:val="hybridMultilevel"/>
    <w:tmpl w:val="C9485C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5B6473D"/>
    <w:multiLevelType w:val="hybridMultilevel"/>
    <w:tmpl w:val="75C6B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5E25B15"/>
    <w:multiLevelType w:val="hybridMultilevel"/>
    <w:tmpl w:val="FFE23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65766AA"/>
    <w:multiLevelType w:val="hybridMultilevel"/>
    <w:tmpl w:val="8ED03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67B4FF9"/>
    <w:multiLevelType w:val="multilevel"/>
    <w:tmpl w:val="87264AB0"/>
    <w:lvl w:ilvl="0">
      <w:start w:val="3"/>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Zero"/>
      <w:lvlText w:val="%1.%2.%3.%4"/>
      <w:lvlJc w:val="left"/>
      <w:pPr>
        <w:ind w:left="780" w:hanging="7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06C01CAA"/>
    <w:multiLevelType w:val="hybridMultilevel"/>
    <w:tmpl w:val="BAD4EF5C"/>
    <w:lvl w:ilvl="0" w:tplc="56AEE71C">
      <w:start w:val="1"/>
      <w:numFmt w:val="lowerLetter"/>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06E71C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730617B"/>
    <w:multiLevelType w:val="hybridMultilevel"/>
    <w:tmpl w:val="DB68BB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75629A1"/>
    <w:multiLevelType w:val="hybridMultilevel"/>
    <w:tmpl w:val="6158D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77C3EA8"/>
    <w:multiLevelType w:val="hybridMultilevel"/>
    <w:tmpl w:val="FE104E00"/>
    <w:lvl w:ilvl="0" w:tplc="FFFFFFFF">
      <w:start w:val="1"/>
      <w:numFmt w:val="lowerLetter"/>
      <w:lvlText w:val=""/>
      <w:lvlJc w:val="left"/>
    </w:lvl>
    <w:lvl w:ilvl="1" w:tplc="0409001B">
      <w:start w:val="1"/>
      <w:numFmt w:val="lowerRoman"/>
      <w:lvlText w:val="%2."/>
      <w:lvlJc w:val="righ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7A45EFD"/>
    <w:multiLevelType w:val="multilevel"/>
    <w:tmpl w:val="B7B656A2"/>
    <w:lvl w:ilvl="0">
      <w:start w:val="3"/>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Zero"/>
      <w:lvlText w:val="%1.%2.%3.%4"/>
      <w:lvlJc w:val="left"/>
      <w:pPr>
        <w:ind w:left="780" w:hanging="7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07C075E8"/>
    <w:multiLevelType w:val="hybridMultilevel"/>
    <w:tmpl w:val="0B344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7FB58AF"/>
    <w:multiLevelType w:val="multilevel"/>
    <w:tmpl w:val="1A3E1A94"/>
    <w:lvl w:ilvl="0">
      <w:start w:val="2"/>
      <w:numFmt w:val="decimal"/>
      <w:lvlText w:val="%1"/>
      <w:lvlJc w:val="left"/>
      <w:pPr>
        <w:ind w:left="780" w:hanging="780"/>
      </w:pPr>
      <w:rPr>
        <w:rFonts w:hint="default"/>
      </w:rPr>
    </w:lvl>
    <w:lvl w:ilvl="1">
      <w:start w:val="7"/>
      <w:numFmt w:val="decimal"/>
      <w:lvlText w:val="%1.%2"/>
      <w:lvlJc w:val="left"/>
      <w:pPr>
        <w:ind w:left="780" w:hanging="780"/>
      </w:pPr>
      <w:rPr>
        <w:rFonts w:hint="default"/>
      </w:rPr>
    </w:lvl>
    <w:lvl w:ilvl="2">
      <w:numFmt w:val="decimal"/>
      <w:lvlText w:val="%1.%2.%3"/>
      <w:lvlJc w:val="left"/>
      <w:pPr>
        <w:ind w:left="780" w:hanging="780"/>
      </w:pPr>
      <w:rPr>
        <w:rFonts w:hint="default"/>
      </w:rPr>
    </w:lvl>
    <w:lvl w:ilvl="3">
      <w:start w:val="1"/>
      <w:numFmt w:val="decimalZero"/>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086B1697"/>
    <w:multiLevelType w:val="hybridMultilevel"/>
    <w:tmpl w:val="B852C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8D163C5"/>
    <w:multiLevelType w:val="hybridMultilevel"/>
    <w:tmpl w:val="B75617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9037204"/>
    <w:multiLevelType w:val="hybridMultilevel"/>
    <w:tmpl w:val="3926B97E"/>
    <w:lvl w:ilvl="0" w:tplc="583ECCAA">
      <w:start w:val="1"/>
      <w:numFmt w:val="lowerLetter"/>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3" w15:restartNumberingAfterBreak="0">
    <w:nsid w:val="091359DF"/>
    <w:multiLevelType w:val="multilevel"/>
    <w:tmpl w:val="347A83A2"/>
    <w:lvl w:ilvl="0">
      <w:start w:val="4"/>
      <w:numFmt w:val="decimal"/>
      <w:lvlText w:val="%1"/>
      <w:lvlJc w:val="left"/>
      <w:pPr>
        <w:ind w:left="900" w:hanging="900"/>
      </w:pPr>
      <w:rPr>
        <w:rFonts w:hint="default"/>
      </w:rPr>
    </w:lvl>
    <w:lvl w:ilvl="1">
      <w:start w:val="10"/>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0920475D"/>
    <w:multiLevelType w:val="hybridMultilevel"/>
    <w:tmpl w:val="FFF4BF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9AD6029"/>
    <w:multiLevelType w:val="hybridMultilevel"/>
    <w:tmpl w:val="B854FD54"/>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9D13B1E"/>
    <w:multiLevelType w:val="hybridMultilevel"/>
    <w:tmpl w:val="7E808F44"/>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09DE33A2"/>
    <w:multiLevelType w:val="hybridMultilevel"/>
    <w:tmpl w:val="F9720C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AC14EF1"/>
    <w:multiLevelType w:val="multilevel"/>
    <w:tmpl w:val="34F2931A"/>
    <w:lvl w:ilvl="0">
      <w:start w:val="1"/>
      <w:numFmt w:val="decimal"/>
      <w:lvlText w:val="%1"/>
      <w:lvlJc w:val="left"/>
      <w:pPr>
        <w:ind w:left="990" w:hanging="990"/>
      </w:pPr>
      <w:rPr>
        <w:rFonts w:hint="default"/>
      </w:rPr>
    </w:lvl>
    <w:lvl w:ilvl="1">
      <w:start w:val="18"/>
      <w:numFmt w:val="decimal"/>
      <w:lvlText w:val="%1.%2"/>
      <w:lvlJc w:val="left"/>
      <w:pPr>
        <w:ind w:left="990" w:hanging="990"/>
      </w:pPr>
      <w:rPr>
        <w:rFonts w:hint="default"/>
      </w:rPr>
    </w:lvl>
    <w:lvl w:ilvl="2">
      <w:numFmt w:val="decimal"/>
      <w:lvlText w:val="%1.%2.%3"/>
      <w:lvlJc w:val="left"/>
      <w:pPr>
        <w:ind w:left="990" w:hanging="990"/>
      </w:pPr>
      <w:rPr>
        <w:rFonts w:hint="default"/>
      </w:rPr>
    </w:lvl>
    <w:lvl w:ilvl="3">
      <w:start w:val="1"/>
      <w:numFmt w:val="lowerLetter"/>
      <w:lvlText w:val="%4)"/>
      <w:lvlJc w:val="left"/>
      <w:pPr>
        <w:ind w:left="1495"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0B0A39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0B5B6344"/>
    <w:multiLevelType w:val="hybridMultilevel"/>
    <w:tmpl w:val="EFCC0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B7B0F4B"/>
    <w:multiLevelType w:val="multilevel"/>
    <w:tmpl w:val="B358B28A"/>
    <w:lvl w:ilvl="0">
      <w:start w:val="1"/>
      <w:numFmt w:val="decimal"/>
      <w:lvlText w:val="%1"/>
      <w:lvlJc w:val="left"/>
      <w:pPr>
        <w:ind w:left="990" w:hanging="990"/>
      </w:pPr>
      <w:rPr>
        <w:rFonts w:hint="default"/>
      </w:rPr>
    </w:lvl>
    <w:lvl w:ilvl="1">
      <w:start w:val="48"/>
      <w:numFmt w:val="decimal"/>
      <w:lvlText w:val="%1.%2"/>
      <w:lvlJc w:val="left"/>
      <w:pPr>
        <w:ind w:left="1132" w:hanging="990"/>
      </w:pPr>
      <w:rPr>
        <w:rFonts w:hint="default"/>
      </w:rPr>
    </w:lvl>
    <w:lvl w:ilvl="2">
      <w:start w:val="1"/>
      <w:numFmt w:val="decimal"/>
      <w:lvlText w:val="%1.%2.%3"/>
      <w:lvlJc w:val="left"/>
      <w:pPr>
        <w:ind w:left="1274" w:hanging="990"/>
      </w:pPr>
      <w:rPr>
        <w:rFonts w:hint="default"/>
      </w:rPr>
    </w:lvl>
    <w:lvl w:ilvl="3">
      <w:start w:val="1"/>
      <w:numFmt w:val="lowerLetter"/>
      <w:lvlText w:val="%4)"/>
      <w:lvlJc w:val="left"/>
      <w:pPr>
        <w:ind w:left="786" w:hanging="360"/>
      </w:p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0BA43F29"/>
    <w:multiLevelType w:val="hybridMultilevel"/>
    <w:tmpl w:val="AB6CEEB8"/>
    <w:lvl w:ilvl="0" w:tplc="B4BE5328">
      <w:start w:val="1"/>
      <w:numFmt w:val="lowerLetter"/>
      <w:lvlText w:val="%1)"/>
      <w:lvlJc w:val="left"/>
      <w:rPr>
        <w:rFonts w:hint="default"/>
        <w:b w:val="0"/>
        <w:bCs/>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BF6051E"/>
    <w:multiLevelType w:val="hybridMultilevel"/>
    <w:tmpl w:val="1C78745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C037A7B"/>
    <w:multiLevelType w:val="hybridMultilevel"/>
    <w:tmpl w:val="12720D5A"/>
    <w:lvl w:ilvl="0" w:tplc="04090017">
      <w:start w:val="1"/>
      <w:numFmt w:val="lowerLetter"/>
      <w:lvlText w:val="%1)"/>
      <w:lvlJc w:val="left"/>
      <w:pPr>
        <w:ind w:left="1495" w:hanging="360"/>
      </w:p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5" w15:restartNumberingAfterBreak="0">
    <w:nsid w:val="0CE02DE5"/>
    <w:multiLevelType w:val="multilevel"/>
    <w:tmpl w:val="E91C7F5A"/>
    <w:lvl w:ilvl="0">
      <w:start w:val="4"/>
      <w:numFmt w:val="decimal"/>
      <w:lvlText w:val="%1"/>
      <w:lvlJc w:val="left"/>
      <w:pPr>
        <w:ind w:left="900" w:hanging="900"/>
      </w:pPr>
      <w:rPr>
        <w:rFonts w:hint="default"/>
      </w:rPr>
    </w:lvl>
    <w:lvl w:ilvl="1">
      <w:start w:val="1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0D3C59BD"/>
    <w:multiLevelType w:val="hybridMultilevel"/>
    <w:tmpl w:val="FE187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0D5F2808"/>
    <w:multiLevelType w:val="hybridMultilevel"/>
    <w:tmpl w:val="DD9AF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E0F7A2B"/>
    <w:multiLevelType w:val="hybridMultilevel"/>
    <w:tmpl w:val="0E5088AE"/>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9" w15:restartNumberingAfterBreak="0">
    <w:nsid w:val="0EB27911"/>
    <w:multiLevelType w:val="hybridMultilevel"/>
    <w:tmpl w:val="C22CA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EF919DC"/>
    <w:multiLevelType w:val="hybridMultilevel"/>
    <w:tmpl w:val="AAB688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0F333C82"/>
    <w:multiLevelType w:val="hybridMultilevel"/>
    <w:tmpl w:val="88940B52"/>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F6255C0"/>
    <w:multiLevelType w:val="multilevel"/>
    <w:tmpl w:val="3E5E0ECC"/>
    <w:lvl w:ilvl="0">
      <w:start w:val="1"/>
      <w:numFmt w:val="lowerLetter"/>
      <w:lvlText w:val="%1)"/>
      <w:lvlJc w:val="left"/>
      <w:pPr>
        <w:ind w:left="2177" w:hanging="900"/>
      </w:pPr>
      <w:rPr>
        <w:rFonts w:hint="default"/>
      </w:rPr>
    </w:lvl>
    <w:lvl w:ilvl="1">
      <w:start w:val="93"/>
      <w:numFmt w:val="decimal"/>
      <w:lvlText w:val="%1.%2"/>
      <w:lvlJc w:val="left"/>
      <w:pPr>
        <w:ind w:left="2177" w:hanging="900"/>
      </w:pPr>
      <w:rPr>
        <w:rFonts w:hint="default"/>
      </w:rPr>
    </w:lvl>
    <w:lvl w:ilvl="2">
      <w:numFmt w:val="decimal"/>
      <w:lvlText w:val="%1.%2.%3"/>
      <w:lvlJc w:val="left"/>
      <w:pPr>
        <w:ind w:left="2177" w:hanging="900"/>
      </w:pPr>
      <w:rPr>
        <w:rFonts w:hint="default"/>
      </w:rPr>
    </w:lvl>
    <w:lvl w:ilvl="3">
      <w:start w:val="1"/>
      <w:numFmt w:val="decimalZero"/>
      <w:lvlText w:val="%1.%2.%3.%4"/>
      <w:lvlJc w:val="left"/>
      <w:pPr>
        <w:ind w:left="2177" w:hanging="90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077" w:hanging="1800"/>
      </w:pPr>
      <w:rPr>
        <w:rFonts w:hint="default"/>
      </w:rPr>
    </w:lvl>
  </w:abstractNum>
  <w:abstractNum w:abstractNumId="83" w15:restartNumberingAfterBreak="0">
    <w:nsid w:val="0F8A4D7B"/>
    <w:multiLevelType w:val="multilevel"/>
    <w:tmpl w:val="6A768DFE"/>
    <w:lvl w:ilvl="0">
      <w:start w:val="1"/>
      <w:numFmt w:val="decimal"/>
      <w:lvlText w:val="%1"/>
      <w:lvlJc w:val="left"/>
      <w:pPr>
        <w:ind w:left="990" w:hanging="990"/>
      </w:pPr>
      <w:rPr>
        <w:rFonts w:hint="default"/>
      </w:rPr>
    </w:lvl>
    <w:lvl w:ilvl="1">
      <w:start w:val="48"/>
      <w:numFmt w:val="decimal"/>
      <w:lvlText w:val="%1.%2"/>
      <w:lvlJc w:val="left"/>
      <w:pPr>
        <w:ind w:left="1132" w:hanging="990"/>
      </w:pPr>
      <w:rPr>
        <w:rFonts w:hint="default"/>
      </w:rPr>
    </w:lvl>
    <w:lvl w:ilvl="2">
      <w:start w:val="1"/>
      <w:numFmt w:val="decimal"/>
      <w:lvlText w:val="%1.%2.%3"/>
      <w:lvlJc w:val="left"/>
      <w:pPr>
        <w:ind w:left="1274" w:hanging="990"/>
      </w:pPr>
      <w:rPr>
        <w:rFonts w:hint="default"/>
      </w:rPr>
    </w:lvl>
    <w:lvl w:ilvl="3">
      <w:start w:val="1"/>
      <w:numFmt w:val="decimalZero"/>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0FBB1D34"/>
    <w:multiLevelType w:val="hybridMultilevel"/>
    <w:tmpl w:val="34040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0FFA11A2"/>
    <w:multiLevelType w:val="hybridMultilevel"/>
    <w:tmpl w:val="BFE2C504"/>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104B48E6"/>
    <w:multiLevelType w:val="hybridMultilevel"/>
    <w:tmpl w:val="ACA22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05A7034"/>
    <w:multiLevelType w:val="hybridMultilevel"/>
    <w:tmpl w:val="A530907A"/>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8" w15:restartNumberingAfterBreak="0">
    <w:nsid w:val="10E315FE"/>
    <w:multiLevelType w:val="hybridMultilevel"/>
    <w:tmpl w:val="56B8278A"/>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10E37EE1"/>
    <w:multiLevelType w:val="hybridMultilevel"/>
    <w:tmpl w:val="C2FCF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11875D5"/>
    <w:multiLevelType w:val="hybridMultilevel"/>
    <w:tmpl w:val="62CA4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12A3CA2"/>
    <w:multiLevelType w:val="hybridMultilevel"/>
    <w:tmpl w:val="C6424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1580927"/>
    <w:multiLevelType w:val="multilevel"/>
    <w:tmpl w:val="A3BCDC04"/>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Zero"/>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11C43843"/>
    <w:multiLevelType w:val="hybridMultilevel"/>
    <w:tmpl w:val="587CE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23E0BB3"/>
    <w:multiLevelType w:val="hybridMultilevel"/>
    <w:tmpl w:val="8B8E3204"/>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130971E1"/>
    <w:multiLevelType w:val="hybridMultilevel"/>
    <w:tmpl w:val="30745AC2"/>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6" w15:restartNumberingAfterBreak="0">
    <w:nsid w:val="130F5551"/>
    <w:multiLevelType w:val="hybridMultilevel"/>
    <w:tmpl w:val="478C5540"/>
    <w:lvl w:ilvl="0" w:tplc="FFFFFFFF">
      <w:start w:val="1"/>
      <w:numFmt w:val="bullet"/>
      <w:lvlText w:val="•"/>
      <w:lvlJc w:val="left"/>
    </w:lvl>
    <w:lvl w:ilvl="1" w:tplc="0409001B">
      <w:start w:val="1"/>
      <w:numFmt w:val="lowerRoman"/>
      <w:lvlText w:val="%2."/>
      <w:lvlJc w:val="right"/>
      <w:pPr>
        <w:ind w:left="213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13333ECC"/>
    <w:multiLevelType w:val="hybridMultilevel"/>
    <w:tmpl w:val="989AF02E"/>
    <w:lvl w:ilvl="0" w:tplc="04090017">
      <w:start w:val="1"/>
      <w:numFmt w:val="lowerLetter"/>
      <w:lvlText w:val="%1)"/>
      <w:lvlJc w:val="left"/>
      <w:pPr>
        <w:ind w:left="1920" w:hanging="360"/>
      </w:p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8" w15:restartNumberingAfterBreak="0">
    <w:nsid w:val="13AB4410"/>
    <w:multiLevelType w:val="hybridMultilevel"/>
    <w:tmpl w:val="9B082C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46A6DF3"/>
    <w:multiLevelType w:val="hybridMultilevel"/>
    <w:tmpl w:val="B614B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49D6D22"/>
    <w:multiLevelType w:val="hybridMultilevel"/>
    <w:tmpl w:val="F4E21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4A77E91"/>
    <w:multiLevelType w:val="hybridMultilevel"/>
    <w:tmpl w:val="C75239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55D380B"/>
    <w:multiLevelType w:val="hybridMultilevel"/>
    <w:tmpl w:val="59604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62B2C78"/>
    <w:multiLevelType w:val="multilevel"/>
    <w:tmpl w:val="544A179A"/>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16B14C03"/>
    <w:multiLevelType w:val="multilevel"/>
    <w:tmpl w:val="CCAA0D18"/>
    <w:lvl w:ilvl="0">
      <w:start w:val="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16CD7086"/>
    <w:multiLevelType w:val="hybridMultilevel"/>
    <w:tmpl w:val="0A50FF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6E50139"/>
    <w:multiLevelType w:val="hybridMultilevel"/>
    <w:tmpl w:val="20EE91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023CA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170B2AB4"/>
    <w:multiLevelType w:val="hybridMultilevel"/>
    <w:tmpl w:val="E9C24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7844A74"/>
    <w:multiLevelType w:val="hybridMultilevel"/>
    <w:tmpl w:val="6F34B768"/>
    <w:lvl w:ilvl="0" w:tplc="0F64AAC0">
      <w:start w:val="1"/>
      <w:numFmt w:val="lowerRoman"/>
      <w:lvlText w:val="%1."/>
      <w:lvlJc w:val="right"/>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17E72237"/>
    <w:multiLevelType w:val="hybridMultilevel"/>
    <w:tmpl w:val="B7105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807054B"/>
    <w:multiLevelType w:val="hybridMultilevel"/>
    <w:tmpl w:val="92C89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8E958BB"/>
    <w:multiLevelType w:val="hybridMultilevel"/>
    <w:tmpl w:val="6DBC40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9062F83"/>
    <w:multiLevelType w:val="hybridMultilevel"/>
    <w:tmpl w:val="BC720F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90E6292"/>
    <w:multiLevelType w:val="hybridMultilevel"/>
    <w:tmpl w:val="AB183E8C"/>
    <w:lvl w:ilvl="0" w:tplc="04090017">
      <w:start w:val="1"/>
      <w:numFmt w:val="lowerLetter"/>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15" w15:restartNumberingAfterBreak="0">
    <w:nsid w:val="192E3792"/>
    <w:multiLevelType w:val="hybridMultilevel"/>
    <w:tmpl w:val="4C2ED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9BA2FCB"/>
    <w:multiLevelType w:val="hybridMultilevel"/>
    <w:tmpl w:val="548857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19C834A3"/>
    <w:multiLevelType w:val="hybridMultilevel"/>
    <w:tmpl w:val="FF54F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A182F0B"/>
    <w:multiLevelType w:val="hybridMultilevel"/>
    <w:tmpl w:val="29DC3802"/>
    <w:lvl w:ilvl="0" w:tplc="FFFFFFFF">
      <w:start w:val="1"/>
      <w:numFmt w:val="ideographDigital"/>
      <w:lvlText w:val=""/>
      <w:lvlJc w:val="left"/>
    </w:lvl>
    <w:lvl w:ilvl="1" w:tplc="0409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1A3D56AD"/>
    <w:multiLevelType w:val="hybridMultilevel"/>
    <w:tmpl w:val="BE0A30FC"/>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A84754E"/>
    <w:multiLevelType w:val="hybridMultilevel"/>
    <w:tmpl w:val="D4288574"/>
    <w:lvl w:ilvl="0" w:tplc="23A27DC6">
      <w:start w:val="1"/>
      <w:numFmt w:val="lowerLetter"/>
      <w:lvlText w:val="%1)"/>
      <w:lvlJc w:val="left"/>
      <w:rPr>
        <w:rFonts w:hint="default"/>
        <w:b w:val="0"/>
        <w:bCs/>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1A8763FC"/>
    <w:multiLevelType w:val="hybridMultilevel"/>
    <w:tmpl w:val="FFE0C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B4711A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1B9B52D7"/>
    <w:multiLevelType w:val="multilevel"/>
    <w:tmpl w:val="A51CC9D0"/>
    <w:lvl w:ilvl="0">
      <w:start w:val="1"/>
      <w:numFmt w:val="decimal"/>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1C0640EE"/>
    <w:multiLevelType w:val="multilevel"/>
    <w:tmpl w:val="2D6A9952"/>
    <w:lvl w:ilvl="0">
      <w:start w:val="1"/>
      <w:numFmt w:val="lowerLetter"/>
      <w:lvlText w:val="%1)"/>
      <w:lvlJc w:val="left"/>
      <w:pPr>
        <w:ind w:left="1751" w:hanging="900"/>
      </w:pPr>
      <w:rPr>
        <w:rFonts w:hint="default"/>
      </w:rPr>
    </w:lvl>
    <w:lvl w:ilvl="1">
      <w:start w:val="93"/>
      <w:numFmt w:val="decimal"/>
      <w:lvlText w:val="%1.%2"/>
      <w:lvlJc w:val="left"/>
      <w:pPr>
        <w:ind w:left="1751" w:hanging="900"/>
      </w:pPr>
      <w:rPr>
        <w:rFonts w:hint="default"/>
      </w:rPr>
    </w:lvl>
    <w:lvl w:ilvl="2">
      <w:numFmt w:val="decimal"/>
      <w:lvlText w:val="%1.%2.%3"/>
      <w:lvlJc w:val="left"/>
      <w:pPr>
        <w:ind w:left="1751" w:hanging="900"/>
      </w:pPr>
      <w:rPr>
        <w:rFonts w:hint="default"/>
      </w:rPr>
    </w:lvl>
    <w:lvl w:ilvl="3">
      <w:start w:val="1"/>
      <w:numFmt w:val="decimalZero"/>
      <w:lvlText w:val="%1.%2.%3.%4"/>
      <w:lvlJc w:val="left"/>
      <w:pPr>
        <w:ind w:left="1751" w:hanging="90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125" w15:restartNumberingAfterBreak="0">
    <w:nsid w:val="1C825827"/>
    <w:multiLevelType w:val="hybridMultilevel"/>
    <w:tmpl w:val="B2DA06EA"/>
    <w:lvl w:ilvl="0" w:tplc="AD74CB1A">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1C981E3C"/>
    <w:multiLevelType w:val="hybridMultilevel"/>
    <w:tmpl w:val="50BCB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CA06176"/>
    <w:multiLevelType w:val="hybridMultilevel"/>
    <w:tmpl w:val="83B4F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CCA2C45"/>
    <w:multiLevelType w:val="hybridMultilevel"/>
    <w:tmpl w:val="3B4EA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CDD7D4E"/>
    <w:multiLevelType w:val="hybridMultilevel"/>
    <w:tmpl w:val="F56E3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D0F05CA"/>
    <w:multiLevelType w:val="hybridMultilevel"/>
    <w:tmpl w:val="B01C8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DE05BC9"/>
    <w:multiLevelType w:val="hybridMultilevel"/>
    <w:tmpl w:val="062E5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E363D64"/>
    <w:multiLevelType w:val="hybridMultilevel"/>
    <w:tmpl w:val="B676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E3A518C"/>
    <w:multiLevelType w:val="hybridMultilevel"/>
    <w:tmpl w:val="5BE499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E904358"/>
    <w:multiLevelType w:val="multilevel"/>
    <w:tmpl w:val="B26EA412"/>
    <w:lvl w:ilvl="0">
      <w:start w:val="4"/>
      <w:numFmt w:val="decimal"/>
      <w:lvlText w:val="%1"/>
      <w:lvlJc w:val="left"/>
      <w:pPr>
        <w:ind w:left="900" w:hanging="900"/>
      </w:pPr>
      <w:rPr>
        <w:rFonts w:hint="default"/>
      </w:rPr>
    </w:lvl>
    <w:lvl w:ilvl="1">
      <w:start w:val="10"/>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1EB12528"/>
    <w:multiLevelType w:val="hybridMultilevel"/>
    <w:tmpl w:val="53125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EFC6C1E"/>
    <w:multiLevelType w:val="hybridMultilevel"/>
    <w:tmpl w:val="2D1E2584"/>
    <w:lvl w:ilvl="0" w:tplc="04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1F1F0F60"/>
    <w:multiLevelType w:val="hybridMultilevel"/>
    <w:tmpl w:val="5AD65586"/>
    <w:lvl w:ilvl="0" w:tplc="7C6E0A48">
      <w:start w:val="1"/>
      <w:numFmt w:val="lowerRoman"/>
      <w:lvlText w:val="%1."/>
      <w:lvlJc w:val="right"/>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15:restartNumberingAfterBreak="0">
    <w:nsid w:val="1F554327"/>
    <w:multiLevelType w:val="hybridMultilevel"/>
    <w:tmpl w:val="DDBAA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072698A"/>
    <w:multiLevelType w:val="hybridMultilevel"/>
    <w:tmpl w:val="5D248BDE"/>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20AF0060"/>
    <w:multiLevelType w:val="multilevel"/>
    <w:tmpl w:val="B3543B36"/>
    <w:lvl w:ilvl="0">
      <w:start w:val="1"/>
      <w:numFmt w:val="decimal"/>
      <w:lvlText w:val="%1"/>
      <w:lvlJc w:val="left"/>
      <w:pPr>
        <w:ind w:left="990" w:hanging="990"/>
      </w:pPr>
      <w:rPr>
        <w:rFonts w:hint="default"/>
      </w:rPr>
    </w:lvl>
    <w:lvl w:ilvl="1">
      <w:start w:val="79"/>
      <w:numFmt w:val="decimal"/>
      <w:lvlText w:val="%1.%2"/>
      <w:lvlJc w:val="left"/>
      <w:pPr>
        <w:ind w:left="990" w:hanging="990"/>
      </w:pPr>
      <w:rPr>
        <w:rFonts w:hint="default"/>
      </w:rPr>
    </w:lvl>
    <w:lvl w:ilvl="2">
      <w:numFmt w:val="decimal"/>
      <w:lvlText w:val="%1.%2.%3"/>
      <w:lvlJc w:val="left"/>
      <w:pPr>
        <w:ind w:left="990" w:hanging="99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216263A6"/>
    <w:multiLevelType w:val="hybridMultilevel"/>
    <w:tmpl w:val="457897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2153F88"/>
    <w:multiLevelType w:val="multilevel"/>
    <w:tmpl w:val="FF32D660"/>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224320D8"/>
    <w:multiLevelType w:val="hybridMultilevel"/>
    <w:tmpl w:val="8CB0AF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253129A"/>
    <w:multiLevelType w:val="multilevel"/>
    <w:tmpl w:val="A49A5736"/>
    <w:lvl w:ilvl="0">
      <w:start w:val="1"/>
      <w:numFmt w:val="lowerLetter"/>
      <w:lvlText w:val="%1)"/>
      <w:lvlJc w:val="left"/>
      <w:pPr>
        <w:ind w:left="1751" w:hanging="900"/>
      </w:pPr>
      <w:rPr>
        <w:rFonts w:hint="default"/>
      </w:rPr>
    </w:lvl>
    <w:lvl w:ilvl="1">
      <w:start w:val="93"/>
      <w:numFmt w:val="decimal"/>
      <w:lvlText w:val="%1.%2"/>
      <w:lvlJc w:val="left"/>
      <w:pPr>
        <w:ind w:left="1751" w:hanging="900"/>
      </w:pPr>
      <w:rPr>
        <w:rFonts w:hint="default"/>
      </w:rPr>
    </w:lvl>
    <w:lvl w:ilvl="2">
      <w:numFmt w:val="decimal"/>
      <w:lvlText w:val="%1.%2.%3"/>
      <w:lvlJc w:val="left"/>
      <w:pPr>
        <w:ind w:left="1751" w:hanging="900"/>
      </w:pPr>
      <w:rPr>
        <w:rFonts w:hint="default"/>
      </w:rPr>
    </w:lvl>
    <w:lvl w:ilvl="3">
      <w:start w:val="1"/>
      <w:numFmt w:val="decimalZero"/>
      <w:lvlText w:val="%1.%2.%3.%4"/>
      <w:lvlJc w:val="left"/>
      <w:pPr>
        <w:ind w:left="1751" w:hanging="90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145" w15:restartNumberingAfterBreak="0">
    <w:nsid w:val="22F30460"/>
    <w:multiLevelType w:val="hybridMultilevel"/>
    <w:tmpl w:val="06BE1F5C"/>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6" w15:restartNumberingAfterBreak="0">
    <w:nsid w:val="23424F0D"/>
    <w:multiLevelType w:val="hybridMultilevel"/>
    <w:tmpl w:val="9320B63E"/>
    <w:lvl w:ilvl="0" w:tplc="0D34C4B4">
      <w:start w:val="1"/>
      <w:numFmt w:val="lowerLetter"/>
      <w:lvlText w:val="%1)"/>
      <w:lvlJc w:val="left"/>
      <w:rPr>
        <w:rFonts w:hint="default"/>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15:restartNumberingAfterBreak="0">
    <w:nsid w:val="236C302F"/>
    <w:multiLevelType w:val="hybridMultilevel"/>
    <w:tmpl w:val="308AA062"/>
    <w:lvl w:ilvl="0" w:tplc="0409001B">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48" w15:restartNumberingAfterBreak="0">
    <w:nsid w:val="23A64D9B"/>
    <w:multiLevelType w:val="multilevel"/>
    <w:tmpl w:val="AB8A5AA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23AE0A59"/>
    <w:multiLevelType w:val="hybridMultilevel"/>
    <w:tmpl w:val="F2DC6118"/>
    <w:lvl w:ilvl="0" w:tplc="3514D27A">
      <w:start w:val="1"/>
      <w:numFmt w:val="lowerLetter"/>
      <w:lvlText w:val="%1)"/>
      <w:lvlJc w:val="left"/>
      <w:rPr>
        <w:rFonts w:hint="default"/>
        <w:b w:val="0"/>
        <w:bCs/>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15:restartNumberingAfterBreak="0">
    <w:nsid w:val="243D0207"/>
    <w:multiLevelType w:val="hybridMultilevel"/>
    <w:tmpl w:val="0F7A225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45DCAC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15:restartNumberingAfterBreak="0">
    <w:nsid w:val="24910065"/>
    <w:multiLevelType w:val="hybridMultilevel"/>
    <w:tmpl w:val="7EB08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4964EAF"/>
    <w:multiLevelType w:val="hybridMultilevel"/>
    <w:tmpl w:val="75C442E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251975D9"/>
    <w:multiLevelType w:val="hybridMultilevel"/>
    <w:tmpl w:val="4604630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2553254C"/>
    <w:multiLevelType w:val="hybridMultilevel"/>
    <w:tmpl w:val="035C4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5E04652"/>
    <w:multiLevelType w:val="hybridMultilevel"/>
    <w:tmpl w:val="BBF4F85C"/>
    <w:lvl w:ilvl="0" w:tplc="FFFFFFFF">
      <w:start w:val="1"/>
      <w:numFmt w:val="ideographDigital"/>
      <w:lvlText w:val=""/>
      <w:lvlJc w:val="left"/>
    </w:lvl>
    <w:lvl w:ilvl="1" w:tplc="0409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15:restartNumberingAfterBreak="0">
    <w:nsid w:val="26623E9C"/>
    <w:multiLevelType w:val="hybridMultilevel"/>
    <w:tmpl w:val="40E29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6F245AF"/>
    <w:multiLevelType w:val="multilevel"/>
    <w:tmpl w:val="18221C50"/>
    <w:lvl w:ilvl="0">
      <w:start w:val="1"/>
      <w:numFmt w:val="decimal"/>
      <w:lvlText w:val="%1"/>
      <w:lvlJc w:val="left"/>
      <w:pPr>
        <w:ind w:left="990" w:hanging="990"/>
      </w:pPr>
      <w:rPr>
        <w:rFonts w:hint="default"/>
      </w:rPr>
    </w:lvl>
    <w:lvl w:ilvl="1">
      <w:start w:val="72"/>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27970C29"/>
    <w:multiLevelType w:val="multilevel"/>
    <w:tmpl w:val="4D34123E"/>
    <w:lvl w:ilvl="0">
      <w:start w:val="1"/>
      <w:numFmt w:val="decimal"/>
      <w:lvlText w:val="%1"/>
      <w:lvlJc w:val="left"/>
      <w:pPr>
        <w:ind w:left="900" w:hanging="900"/>
      </w:pPr>
      <w:rPr>
        <w:rFonts w:eastAsia="Calibri" w:hint="default"/>
      </w:rPr>
    </w:lvl>
    <w:lvl w:ilvl="1">
      <w:start w:val="48"/>
      <w:numFmt w:val="decimal"/>
      <w:lvlText w:val="%1.%2"/>
      <w:lvlJc w:val="left"/>
      <w:pPr>
        <w:ind w:left="1042" w:hanging="900"/>
      </w:pPr>
      <w:rPr>
        <w:rFonts w:eastAsia="Calibri" w:hint="default"/>
      </w:rPr>
    </w:lvl>
    <w:lvl w:ilvl="2">
      <w:start w:val="2"/>
      <w:numFmt w:val="decimal"/>
      <w:lvlText w:val="%1.%2.%3"/>
      <w:lvlJc w:val="left"/>
      <w:pPr>
        <w:ind w:left="1184" w:hanging="900"/>
      </w:pPr>
      <w:rPr>
        <w:rFonts w:eastAsia="Calibri" w:hint="default"/>
      </w:rPr>
    </w:lvl>
    <w:lvl w:ilvl="3">
      <w:start w:val="1"/>
      <w:numFmt w:val="decimalZero"/>
      <w:lvlText w:val="%1.%2.%3.%4"/>
      <w:lvlJc w:val="left"/>
      <w:pPr>
        <w:ind w:left="1326" w:hanging="90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160" w15:restartNumberingAfterBreak="0">
    <w:nsid w:val="27DF5E86"/>
    <w:multiLevelType w:val="multilevel"/>
    <w:tmpl w:val="DE6EAAA8"/>
    <w:lvl w:ilvl="0">
      <w:start w:val="1"/>
      <w:numFmt w:val="decimal"/>
      <w:lvlText w:val="%1."/>
      <w:lvlJc w:val="left"/>
      <w:pPr>
        <w:ind w:left="3054" w:hanging="360"/>
      </w:pPr>
    </w:lvl>
    <w:lvl w:ilvl="1">
      <w:start w:val="68"/>
      <w:numFmt w:val="decimal"/>
      <w:isLgl/>
      <w:lvlText w:val="%1.%2"/>
      <w:lvlJc w:val="left"/>
      <w:pPr>
        <w:ind w:left="3824" w:hanging="1130"/>
      </w:pPr>
      <w:rPr>
        <w:rFonts w:hint="default"/>
      </w:rPr>
    </w:lvl>
    <w:lvl w:ilvl="2">
      <w:numFmt w:val="decimal"/>
      <w:isLgl/>
      <w:lvlText w:val="%1.%2.%3"/>
      <w:lvlJc w:val="left"/>
      <w:pPr>
        <w:ind w:left="3824" w:hanging="1130"/>
      </w:pPr>
      <w:rPr>
        <w:rFonts w:hint="default"/>
      </w:rPr>
    </w:lvl>
    <w:lvl w:ilvl="3">
      <w:start w:val="2"/>
      <w:numFmt w:val="decimalZero"/>
      <w:isLgl/>
      <w:lvlText w:val="%1.%2.%3.%4"/>
      <w:lvlJc w:val="left"/>
      <w:pPr>
        <w:ind w:left="3824" w:hanging="1130"/>
      </w:pPr>
      <w:rPr>
        <w:rFonts w:hint="default"/>
      </w:rPr>
    </w:lvl>
    <w:lvl w:ilvl="4">
      <w:start w:val="1"/>
      <w:numFmt w:val="decimal"/>
      <w:isLgl/>
      <w:lvlText w:val="%1.%2.%3.%4.%5"/>
      <w:lvlJc w:val="left"/>
      <w:pPr>
        <w:ind w:left="3824" w:hanging="113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abstractNum w:abstractNumId="161" w15:restartNumberingAfterBreak="0">
    <w:nsid w:val="285619EF"/>
    <w:multiLevelType w:val="hybridMultilevel"/>
    <w:tmpl w:val="979A5C2C"/>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28B60D12"/>
    <w:multiLevelType w:val="hybridMultilevel"/>
    <w:tmpl w:val="D7A8E662"/>
    <w:lvl w:ilvl="0" w:tplc="04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15:restartNumberingAfterBreak="0">
    <w:nsid w:val="2908485D"/>
    <w:multiLevelType w:val="multilevel"/>
    <w:tmpl w:val="BBCCFCDE"/>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29886F6B"/>
    <w:multiLevelType w:val="hybridMultilevel"/>
    <w:tmpl w:val="6A2EF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9E322E2"/>
    <w:multiLevelType w:val="hybridMultilevel"/>
    <w:tmpl w:val="B6B0FCFE"/>
    <w:lvl w:ilvl="0" w:tplc="FFFFFFFF">
      <w:start w:val="1"/>
      <w:numFmt w:val="ideographDigit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15:restartNumberingAfterBreak="0">
    <w:nsid w:val="2B0D576B"/>
    <w:multiLevelType w:val="multilevel"/>
    <w:tmpl w:val="0268BB58"/>
    <w:lvl w:ilvl="0">
      <w:start w:val="1"/>
      <w:numFmt w:val="decimal"/>
      <w:lvlText w:val="%1."/>
      <w:lvlJc w:val="left"/>
      <w:pPr>
        <w:ind w:left="720" w:hanging="360"/>
      </w:pPr>
      <w:rPr>
        <w:rFonts w:hint="default"/>
      </w:rPr>
    </w:lvl>
    <w:lvl w:ilvl="1">
      <w:start w:val="49"/>
      <w:numFmt w:val="decimal"/>
      <w:isLgl/>
      <w:lvlText w:val="%1.%2"/>
      <w:lvlJc w:val="left"/>
      <w:pPr>
        <w:ind w:left="1350" w:hanging="990"/>
      </w:pPr>
      <w:rPr>
        <w:rFonts w:hint="default"/>
      </w:rPr>
    </w:lvl>
    <w:lvl w:ilvl="2">
      <w:numFmt w:val="decimal"/>
      <w:isLgl/>
      <w:lvlText w:val="%1.%2.%3"/>
      <w:lvlJc w:val="left"/>
      <w:pPr>
        <w:ind w:left="1350" w:hanging="99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2B813950"/>
    <w:multiLevelType w:val="hybridMultilevel"/>
    <w:tmpl w:val="88B65254"/>
    <w:lvl w:ilvl="0" w:tplc="0409001B">
      <w:start w:val="1"/>
      <w:numFmt w:val="lowerRoman"/>
      <w:lvlText w:val="%1."/>
      <w:lvlJc w:val="right"/>
      <w:pPr>
        <w:ind w:left="720" w:hanging="360"/>
      </w:pPr>
    </w:lvl>
    <w:lvl w:ilvl="1" w:tplc="C5EEED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BBF6B64"/>
    <w:multiLevelType w:val="hybridMultilevel"/>
    <w:tmpl w:val="61569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BEB0CBC"/>
    <w:multiLevelType w:val="multilevel"/>
    <w:tmpl w:val="92C05574"/>
    <w:lvl w:ilvl="0">
      <w:start w:val="1"/>
      <w:numFmt w:val="decimal"/>
      <w:lvlText w:val="%1"/>
      <w:lvlJc w:val="left"/>
      <w:pPr>
        <w:ind w:left="1020" w:hanging="1020"/>
      </w:pPr>
      <w:rPr>
        <w:rFonts w:hint="default"/>
      </w:rPr>
    </w:lvl>
    <w:lvl w:ilvl="1">
      <w:start w:val="150"/>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Zero"/>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2C2D7C23"/>
    <w:multiLevelType w:val="hybridMultilevel"/>
    <w:tmpl w:val="FCB0A392"/>
    <w:lvl w:ilvl="0" w:tplc="FFFFFFFF">
      <w:start w:val="1"/>
      <w:numFmt w:val="lowerLetter"/>
      <w:lvlText w:val=""/>
      <w:lvlJc w:val="left"/>
    </w:lvl>
    <w:lvl w:ilvl="1" w:tplc="0409001B">
      <w:start w:val="1"/>
      <w:numFmt w:val="lowerRoman"/>
      <w:lvlText w:val="%2."/>
      <w:lvlJc w:val="righ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15:restartNumberingAfterBreak="0">
    <w:nsid w:val="2C88275A"/>
    <w:multiLevelType w:val="hybridMultilevel"/>
    <w:tmpl w:val="A97ED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CD81A8B"/>
    <w:multiLevelType w:val="hybridMultilevel"/>
    <w:tmpl w:val="FBA47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CFB4D03"/>
    <w:multiLevelType w:val="hybridMultilevel"/>
    <w:tmpl w:val="852C8E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D6D60F5"/>
    <w:multiLevelType w:val="multilevel"/>
    <w:tmpl w:val="CA328D58"/>
    <w:lvl w:ilvl="0">
      <w:start w:val="4"/>
      <w:numFmt w:val="decimal"/>
      <w:lvlText w:val="%1"/>
      <w:lvlJc w:val="left"/>
      <w:pPr>
        <w:ind w:left="900" w:hanging="900"/>
      </w:pPr>
      <w:rPr>
        <w:rFonts w:hint="default"/>
      </w:rPr>
    </w:lvl>
    <w:lvl w:ilvl="1">
      <w:start w:val="55"/>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2D7C1DF6"/>
    <w:multiLevelType w:val="hybridMultilevel"/>
    <w:tmpl w:val="2B2A7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D863102"/>
    <w:multiLevelType w:val="hybridMultilevel"/>
    <w:tmpl w:val="8FC85C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DD15D51"/>
    <w:multiLevelType w:val="hybridMultilevel"/>
    <w:tmpl w:val="736ED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E1920EA"/>
    <w:multiLevelType w:val="hybridMultilevel"/>
    <w:tmpl w:val="C9763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E3E4B7D"/>
    <w:multiLevelType w:val="hybridMultilevel"/>
    <w:tmpl w:val="8C984B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E454519"/>
    <w:multiLevelType w:val="hybridMultilevel"/>
    <w:tmpl w:val="2FFE8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EED0025"/>
    <w:multiLevelType w:val="hybridMultilevel"/>
    <w:tmpl w:val="0FF81A9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15:restartNumberingAfterBreak="0">
    <w:nsid w:val="2F3F3B27"/>
    <w:multiLevelType w:val="hybridMultilevel"/>
    <w:tmpl w:val="4370A98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3" w15:restartNumberingAfterBreak="0">
    <w:nsid w:val="301C5847"/>
    <w:multiLevelType w:val="hybridMultilevel"/>
    <w:tmpl w:val="D1BCD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0265FF4"/>
    <w:multiLevelType w:val="hybridMultilevel"/>
    <w:tmpl w:val="4180454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304F0E72"/>
    <w:multiLevelType w:val="hybridMultilevel"/>
    <w:tmpl w:val="848A2D70"/>
    <w:lvl w:ilvl="0" w:tplc="732A851E">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308A5A33"/>
    <w:multiLevelType w:val="hybridMultilevel"/>
    <w:tmpl w:val="64A6A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1041259"/>
    <w:multiLevelType w:val="hybridMultilevel"/>
    <w:tmpl w:val="2A08C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18A26FA"/>
    <w:multiLevelType w:val="hybridMultilevel"/>
    <w:tmpl w:val="19E01E3A"/>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319260DD"/>
    <w:multiLevelType w:val="hybridMultilevel"/>
    <w:tmpl w:val="8EF019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1A2475F"/>
    <w:multiLevelType w:val="multilevel"/>
    <w:tmpl w:val="9664FF10"/>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1" w15:restartNumberingAfterBreak="0">
    <w:nsid w:val="324A0813"/>
    <w:multiLevelType w:val="hybridMultilevel"/>
    <w:tmpl w:val="FF1442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26F1C87"/>
    <w:multiLevelType w:val="hybridMultilevel"/>
    <w:tmpl w:val="FF527872"/>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32FA5DD1"/>
    <w:multiLevelType w:val="hybridMultilevel"/>
    <w:tmpl w:val="AE965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30D570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5" w15:restartNumberingAfterBreak="0">
    <w:nsid w:val="332C0683"/>
    <w:multiLevelType w:val="hybridMultilevel"/>
    <w:tmpl w:val="019ABF6E"/>
    <w:lvl w:ilvl="0" w:tplc="FFFFFFFF">
      <w:start w:val="1"/>
      <w:numFmt w:val="lowerLetter"/>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6" w15:restartNumberingAfterBreak="0">
    <w:nsid w:val="33354875"/>
    <w:multiLevelType w:val="hybridMultilevel"/>
    <w:tmpl w:val="15581460"/>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7" w15:restartNumberingAfterBreak="0">
    <w:nsid w:val="33381B1C"/>
    <w:multiLevelType w:val="hybridMultilevel"/>
    <w:tmpl w:val="9198E6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3C71D2F"/>
    <w:multiLevelType w:val="hybridMultilevel"/>
    <w:tmpl w:val="9D4637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3E045E3"/>
    <w:multiLevelType w:val="hybridMultilevel"/>
    <w:tmpl w:val="4B069CEA"/>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0" w15:restartNumberingAfterBreak="0">
    <w:nsid w:val="34222E9F"/>
    <w:multiLevelType w:val="hybridMultilevel"/>
    <w:tmpl w:val="89DAD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43B7B62"/>
    <w:multiLevelType w:val="hybridMultilevel"/>
    <w:tmpl w:val="0F1CE00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34A555D6"/>
    <w:multiLevelType w:val="hybridMultilevel"/>
    <w:tmpl w:val="931066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5083B90"/>
    <w:multiLevelType w:val="hybridMultilevel"/>
    <w:tmpl w:val="7F101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5A95D52"/>
    <w:multiLevelType w:val="hybridMultilevel"/>
    <w:tmpl w:val="8BFCD2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35AF3058"/>
    <w:multiLevelType w:val="hybridMultilevel"/>
    <w:tmpl w:val="6E7AAF38"/>
    <w:lvl w:ilvl="0" w:tplc="04090017">
      <w:start w:val="1"/>
      <w:numFmt w:val="lowerLetter"/>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06" w15:restartNumberingAfterBreak="0">
    <w:nsid w:val="36B983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7" w15:restartNumberingAfterBreak="0">
    <w:nsid w:val="370E4F14"/>
    <w:multiLevelType w:val="hybridMultilevel"/>
    <w:tmpl w:val="ED64B378"/>
    <w:lvl w:ilvl="0" w:tplc="B7561594">
      <w:start w:val="1"/>
      <w:numFmt w:val="lowerLetter"/>
      <w:lvlText w:val="%1)"/>
      <w:lvlJc w:val="left"/>
      <w:rPr>
        <w:rFonts w:hint="default"/>
        <w:b w:val="0"/>
        <w:bCs/>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15:restartNumberingAfterBreak="0">
    <w:nsid w:val="375B6C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9" w15:restartNumberingAfterBreak="0">
    <w:nsid w:val="37EED92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0" w15:restartNumberingAfterBreak="0">
    <w:nsid w:val="382054A0"/>
    <w:multiLevelType w:val="multilevel"/>
    <w:tmpl w:val="824C25EE"/>
    <w:lvl w:ilvl="0">
      <w:start w:val="3"/>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Zero"/>
      <w:lvlText w:val="%1.%2.%3.%4"/>
      <w:lvlJc w:val="left"/>
      <w:pPr>
        <w:ind w:left="780" w:hanging="7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38BD5C8B"/>
    <w:multiLevelType w:val="hybridMultilevel"/>
    <w:tmpl w:val="FCC82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EC680B"/>
    <w:multiLevelType w:val="hybridMultilevel"/>
    <w:tmpl w:val="B5A4D65A"/>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3" w15:restartNumberingAfterBreak="0">
    <w:nsid w:val="39F63FE8"/>
    <w:multiLevelType w:val="multilevel"/>
    <w:tmpl w:val="A7C27100"/>
    <w:lvl w:ilvl="0">
      <w:start w:val="1"/>
      <w:numFmt w:val="decimal"/>
      <w:lvlText w:val="%1."/>
      <w:lvlJc w:val="left"/>
      <w:pPr>
        <w:ind w:left="740" w:hanging="360"/>
      </w:pPr>
      <w:rPr>
        <w:rFonts w:hint="default"/>
      </w:rPr>
    </w:lvl>
    <w:lvl w:ilvl="1">
      <w:start w:val="32"/>
      <w:numFmt w:val="decimal"/>
      <w:isLgl/>
      <w:lvlText w:val="%1.%2"/>
      <w:lvlJc w:val="left"/>
      <w:pPr>
        <w:ind w:left="1370" w:hanging="990"/>
      </w:pPr>
      <w:rPr>
        <w:rFonts w:hint="default"/>
      </w:rPr>
    </w:lvl>
    <w:lvl w:ilvl="2">
      <w:numFmt w:val="decimal"/>
      <w:isLgl/>
      <w:lvlText w:val="%1.%2.%3"/>
      <w:lvlJc w:val="left"/>
      <w:pPr>
        <w:ind w:left="1370" w:hanging="990"/>
      </w:pPr>
      <w:rPr>
        <w:rFonts w:hint="default"/>
      </w:rPr>
    </w:lvl>
    <w:lvl w:ilvl="3">
      <w:start w:val="1"/>
      <w:numFmt w:val="decimalZero"/>
      <w:isLgl/>
      <w:lvlText w:val="%1.%2.%3.%4"/>
      <w:lvlJc w:val="left"/>
      <w:pPr>
        <w:ind w:left="1460"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2180" w:hanging="1800"/>
      </w:pPr>
      <w:rPr>
        <w:rFonts w:hint="default"/>
      </w:rPr>
    </w:lvl>
    <w:lvl w:ilvl="8">
      <w:start w:val="1"/>
      <w:numFmt w:val="decimal"/>
      <w:isLgl/>
      <w:lvlText w:val="%1.%2.%3.%4.%5.%6.%7.%8.%9"/>
      <w:lvlJc w:val="left"/>
      <w:pPr>
        <w:ind w:left="2180" w:hanging="1800"/>
      </w:pPr>
      <w:rPr>
        <w:rFonts w:hint="default"/>
      </w:rPr>
    </w:lvl>
  </w:abstractNum>
  <w:abstractNum w:abstractNumId="214" w15:restartNumberingAfterBreak="0">
    <w:nsid w:val="3A213556"/>
    <w:multiLevelType w:val="hybridMultilevel"/>
    <w:tmpl w:val="BC60265E"/>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15:restartNumberingAfterBreak="0">
    <w:nsid w:val="3A5A5FBD"/>
    <w:multiLevelType w:val="hybridMultilevel"/>
    <w:tmpl w:val="28047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A742D72"/>
    <w:multiLevelType w:val="hybridMultilevel"/>
    <w:tmpl w:val="337C9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AC85810"/>
    <w:multiLevelType w:val="hybridMultilevel"/>
    <w:tmpl w:val="09AA3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3B0E3E61"/>
    <w:multiLevelType w:val="hybridMultilevel"/>
    <w:tmpl w:val="7D5A4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B12558D"/>
    <w:multiLevelType w:val="hybridMultilevel"/>
    <w:tmpl w:val="6F2A2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B3E7FC0"/>
    <w:multiLevelType w:val="hybridMultilevel"/>
    <w:tmpl w:val="215E749A"/>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1" w15:restartNumberingAfterBreak="0">
    <w:nsid w:val="3B671EB5"/>
    <w:multiLevelType w:val="hybridMultilevel"/>
    <w:tmpl w:val="88048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C2527CC"/>
    <w:multiLevelType w:val="hybridMultilevel"/>
    <w:tmpl w:val="ACE42B74"/>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3" w15:restartNumberingAfterBreak="0">
    <w:nsid w:val="3C2914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4" w15:restartNumberingAfterBreak="0">
    <w:nsid w:val="3C3C7D49"/>
    <w:multiLevelType w:val="multilevel"/>
    <w:tmpl w:val="59C2E790"/>
    <w:lvl w:ilvl="0">
      <w:start w:val="1"/>
      <w:numFmt w:val="lowerRoman"/>
      <w:lvlText w:val="%1."/>
      <w:lvlJc w:val="righ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5" w15:restartNumberingAfterBreak="0">
    <w:nsid w:val="3C401A36"/>
    <w:multiLevelType w:val="hybridMultilevel"/>
    <w:tmpl w:val="65DAE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D732462"/>
    <w:multiLevelType w:val="hybridMultilevel"/>
    <w:tmpl w:val="052819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DA23B42"/>
    <w:multiLevelType w:val="hybridMultilevel"/>
    <w:tmpl w:val="355C7A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3DA349B4"/>
    <w:multiLevelType w:val="hybridMultilevel"/>
    <w:tmpl w:val="6A40A8C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29" w15:restartNumberingAfterBreak="0">
    <w:nsid w:val="3DF10626"/>
    <w:multiLevelType w:val="hybridMultilevel"/>
    <w:tmpl w:val="1A72C70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3E8944BA"/>
    <w:multiLevelType w:val="hybridMultilevel"/>
    <w:tmpl w:val="8BDAC8CA"/>
    <w:lvl w:ilvl="0" w:tplc="FFFFFFFF">
      <w:start w:val="1"/>
      <w:numFmt w:val="ideographDigital"/>
      <w:lvlText w:val=""/>
      <w:lvlJc w:val="left"/>
    </w:lvl>
    <w:lvl w:ilvl="1" w:tplc="7BC22C7E">
      <w:start w:val="1"/>
      <w:numFmt w:val="lowerRoman"/>
      <w:lvlText w:val="%2."/>
      <w:lvlJc w:val="right"/>
      <w:pPr>
        <w:ind w:left="360" w:hanging="360"/>
      </w:pPr>
      <w:rPr>
        <w:b w:val="0"/>
        <w:bCs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15:restartNumberingAfterBreak="0">
    <w:nsid w:val="3F5B3C1E"/>
    <w:multiLevelType w:val="multilevel"/>
    <w:tmpl w:val="14D48746"/>
    <w:lvl w:ilvl="0">
      <w:start w:val="2"/>
      <w:numFmt w:val="decimal"/>
      <w:lvlText w:val="%1"/>
      <w:lvlJc w:val="left"/>
      <w:pPr>
        <w:ind w:left="900" w:hanging="900"/>
      </w:pPr>
      <w:rPr>
        <w:rFonts w:hint="default"/>
      </w:rPr>
    </w:lvl>
    <w:lvl w:ilvl="1">
      <w:start w:val="39"/>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3FD63641"/>
    <w:multiLevelType w:val="hybridMultilevel"/>
    <w:tmpl w:val="2586FA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0E724A7"/>
    <w:multiLevelType w:val="hybridMultilevel"/>
    <w:tmpl w:val="8EE43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11C0286"/>
    <w:multiLevelType w:val="multilevel"/>
    <w:tmpl w:val="B60C82B2"/>
    <w:lvl w:ilvl="0">
      <w:start w:val="1"/>
      <w:numFmt w:val="lowerRoman"/>
      <w:lvlText w:val="%1."/>
      <w:lvlJc w:val="righ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5" w15:restartNumberingAfterBreak="0">
    <w:nsid w:val="422001B0"/>
    <w:multiLevelType w:val="hybridMultilevel"/>
    <w:tmpl w:val="57D03062"/>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15:restartNumberingAfterBreak="0">
    <w:nsid w:val="423D5AAD"/>
    <w:multiLevelType w:val="hybridMultilevel"/>
    <w:tmpl w:val="E244C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27D925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8" w15:restartNumberingAfterBreak="0">
    <w:nsid w:val="43321DEA"/>
    <w:multiLevelType w:val="hybridMultilevel"/>
    <w:tmpl w:val="8F30C2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433462CE"/>
    <w:multiLevelType w:val="multilevel"/>
    <w:tmpl w:val="EABEFFFA"/>
    <w:lvl w:ilvl="0">
      <w:start w:val="1"/>
      <w:numFmt w:val="upperRoman"/>
      <w:lvlText w:val="%1."/>
      <w:lvlJc w:val="right"/>
      <w:pPr>
        <w:ind w:left="720" w:hanging="360"/>
      </w:pPr>
    </w:lvl>
    <w:lvl w:ilvl="1">
      <w:start w:val="5"/>
      <w:numFmt w:val="decimal"/>
      <w:isLgl/>
      <w:lvlText w:val="%1.%2"/>
      <w:lvlJc w:val="left"/>
      <w:pPr>
        <w:ind w:left="1490" w:hanging="1130"/>
      </w:pPr>
      <w:rPr>
        <w:rFonts w:hint="default"/>
      </w:rPr>
    </w:lvl>
    <w:lvl w:ilvl="2">
      <w:numFmt w:val="decimal"/>
      <w:isLgl/>
      <w:lvlText w:val="%1.%2.%3"/>
      <w:lvlJc w:val="left"/>
      <w:pPr>
        <w:ind w:left="1490" w:hanging="1130"/>
      </w:pPr>
      <w:rPr>
        <w:rFonts w:hint="default"/>
      </w:rPr>
    </w:lvl>
    <w:lvl w:ilvl="3">
      <w:start w:val="1"/>
      <w:numFmt w:val="decimalZero"/>
      <w:isLgl/>
      <w:lvlText w:val="%1.%2.%3.%4"/>
      <w:lvlJc w:val="left"/>
      <w:pPr>
        <w:ind w:left="1490" w:hanging="1130"/>
      </w:pPr>
      <w:rPr>
        <w:rFonts w:hint="default"/>
      </w:rPr>
    </w:lvl>
    <w:lvl w:ilvl="4">
      <w:start w:val="1"/>
      <w:numFmt w:val="decimalZero"/>
      <w:isLgl/>
      <w:lvlText w:val="%1.%2.%3.%4.%5"/>
      <w:lvlJc w:val="left"/>
      <w:pPr>
        <w:ind w:left="1490" w:hanging="1130"/>
      </w:pPr>
      <w:rPr>
        <w:rFonts w:hint="default"/>
      </w:rPr>
    </w:lvl>
    <w:lvl w:ilvl="5">
      <w:start w:val="1"/>
      <w:numFmt w:val="decimal"/>
      <w:isLgl/>
      <w:lvlText w:val="%1.%2.%3.%4.%5.%6"/>
      <w:lvlJc w:val="left"/>
      <w:pPr>
        <w:ind w:left="1490" w:hanging="113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0" w15:restartNumberingAfterBreak="0">
    <w:nsid w:val="43654255"/>
    <w:multiLevelType w:val="hybridMultilevel"/>
    <w:tmpl w:val="30EC5E62"/>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1" w15:restartNumberingAfterBreak="0">
    <w:nsid w:val="43E85FF9"/>
    <w:multiLevelType w:val="hybridMultilevel"/>
    <w:tmpl w:val="338E5F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3E91009"/>
    <w:multiLevelType w:val="hybridMultilevel"/>
    <w:tmpl w:val="4C12B5F4"/>
    <w:lvl w:ilvl="0" w:tplc="CB8AE4D6">
      <w:start w:val="1"/>
      <w:numFmt w:val="lowerLetter"/>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442D450E"/>
    <w:multiLevelType w:val="hybridMultilevel"/>
    <w:tmpl w:val="025006BC"/>
    <w:lvl w:ilvl="0" w:tplc="A3C40F02">
      <w:start w:val="1"/>
      <w:numFmt w:val="lowerLetter"/>
      <w:lvlText w:val="%1)"/>
      <w:lvlJc w:val="left"/>
      <w:rPr>
        <w:rFonts w:hint="default"/>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4" w15:restartNumberingAfterBreak="0">
    <w:nsid w:val="443A1A7D"/>
    <w:multiLevelType w:val="multilevel"/>
    <w:tmpl w:val="A80C870E"/>
    <w:lvl w:ilvl="0">
      <w:start w:val="1"/>
      <w:numFmt w:val="decimal"/>
      <w:lvlText w:val="%1"/>
      <w:lvlJc w:val="left"/>
      <w:pPr>
        <w:ind w:left="990" w:hanging="990"/>
      </w:pPr>
      <w:rPr>
        <w:rFonts w:hint="default"/>
      </w:rPr>
    </w:lvl>
    <w:lvl w:ilvl="1">
      <w:start w:val="50"/>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5" w15:restartNumberingAfterBreak="0">
    <w:nsid w:val="445B2668"/>
    <w:multiLevelType w:val="hybridMultilevel"/>
    <w:tmpl w:val="15CCB4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590CA7B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4B33ED2"/>
    <w:multiLevelType w:val="multilevel"/>
    <w:tmpl w:val="5388E832"/>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7" w15:restartNumberingAfterBreak="0">
    <w:nsid w:val="45127A8D"/>
    <w:multiLevelType w:val="hybridMultilevel"/>
    <w:tmpl w:val="92F67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525531A"/>
    <w:multiLevelType w:val="hybridMultilevel"/>
    <w:tmpl w:val="C4F0A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531373A"/>
    <w:multiLevelType w:val="hybridMultilevel"/>
    <w:tmpl w:val="D2188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5E943CE"/>
    <w:multiLevelType w:val="hybridMultilevel"/>
    <w:tmpl w:val="ECFE5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6253525"/>
    <w:multiLevelType w:val="hybridMultilevel"/>
    <w:tmpl w:val="2D406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73E4C7B"/>
    <w:multiLevelType w:val="hybridMultilevel"/>
    <w:tmpl w:val="6EA2D8BA"/>
    <w:lvl w:ilvl="0" w:tplc="1AACAA08">
      <w:start w:val="1"/>
      <w:numFmt w:val="lowerLetter"/>
      <w:lvlText w:val="%1)"/>
      <w:lvlJc w:val="left"/>
      <w:rPr>
        <w:rFonts w:hint="default"/>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3" w15:restartNumberingAfterBreak="0">
    <w:nsid w:val="476D2D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15:restartNumberingAfterBreak="0">
    <w:nsid w:val="47728C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5" w15:restartNumberingAfterBreak="0">
    <w:nsid w:val="485B179F"/>
    <w:multiLevelType w:val="hybridMultilevel"/>
    <w:tmpl w:val="B09251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87501E4"/>
    <w:multiLevelType w:val="multilevel"/>
    <w:tmpl w:val="8B2A2CFA"/>
    <w:lvl w:ilvl="0">
      <w:start w:val="1"/>
      <w:numFmt w:val="decimal"/>
      <w:lvlText w:val="%1"/>
      <w:lvlJc w:val="left"/>
      <w:pPr>
        <w:ind w:left="1020" w:hanging="1020"/>
      </w:pPr>
      <w:rPr>
        <w:rFonts w:hint="default"/>
      </w:rPr>
    </w:lvl>
    <w:lvl w:ilvl="1">
      <w:start w:val="150"/>
      <w:numFmt w:val="decimal"/>
      <w:lvlText w:val="%1.%2"/>
      <w:lvlJc w:val="left"/>
      <w:pPr>
        <w:ind w:left="1020" w:hanging="1020"/>
      </w:pPr>
      <w:rPr>
        <w:rFonts w:hint="default"/>
      </w:rPr>
    </w:lvl>
    <w:lvl w:ilvl="2">
      <w:numFmt w:val="decimal"/>
      <w:lvlText w:val="%1.%2.%3"/>
      <w:lvlJc w:val="left"/>
      <w:pPr>
        <w:ind w:left="1020" w:hanging="1020"/>
      </w:pPr>
      <w:rPr>
        <w:rFonts w:hint="default"/>
      </w:rPr>
    </w:lvl>
    <w:lvl w:ilvl="3">
      <w:start w:val="2"/>
      <w:numFmt w:val="decimalZero"/>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7" w15:restartNumberingAfterBreak="0">
    <w:nsid w:val="48E54809"/>
    <w:multiLevelType w:val="hybridMultilevel"/>
    <w:tmpl w:val="9B3CC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92005C5"/>
    <w:multiLevelType w:val="hybridMultilevel"/>
    <w:tmpl w:val="0480D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9405556"/>
    <w:multiLevelType w:val="hybridMultilevel"/>
    <w:tmpl w:val="1C728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95E6D4B"/>
    <w:multiLevelType w:val="hybridMultilevel"/>
    <w:tmpl w:val="6CA0AE16"/>
    <w:lvl w:ilvl="0" w:tplc="FFFFFFFF">
      <w:start w:val="1"/>
      <w:numFmt w:val="lowerLetter"/>
      <w:lvlText w:val=""/>
      <w:lvlJc w:val="left"/>
    </w:lvl>
    <w:lvl w:ilvl="1" w:tplc="0409001B">
      <w:start w:val="1"/>
      <w:numFmt w:val="lowerRoman"/>
      <w:lvlText w:val="%2."/>
      <w:lvlJc w:val="righ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1" w15:restartNumberingAfterBreak="0">
    <w:nsid w:val="497252A1"/>
    <w:multiLevelType w:val="hybridMultilevel"/>
    <w:tmpl w:val="DE3C36F8"/>
    <w:lvl w:ilvl="0" w:tplc="0F64AAC0">
      <w:start w:val="1"/>
      <w:numFmt w:val="lowerRoman"/>
      <w:lvlText w:val="%1."/>
      <w:lvlJc w:val="right"/>
      <w:pPr>
        <w:ind w:left="1526" w:hanging="360"/>
      </w:pPr>
      <w:rPr>
        <w:b w:val="0"/>
        <w:bCs w:val="0"/>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62" w15:restartNumberingAfterBreak="0">
    <w:nsid w:val="497710D9"/>
    <w:multiLevelType w:val="hybridMultilevel"/>
    <w:tmpl w:val="21A8B2A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49772296"/>
    <w:multiLevelType w:val="hybridMultilevel"/>
    <w:tmpl w:val="F29AA0D2"/>
    <w:lvl w:ilvl="0" w:tplc="FFFFFFFF">
      <w:start w:val="1"/>
      <w:numFmt w:val="lowerLetter"/>
      <w:lvlText w:val=""/>
      <w:lvlJc w:val="left"/>
    </w:lvl>
    <w:lvl w:ilvl="1" w:tplc="0409001B">
      <w:start w:val="1"/>
      <w:numFmt w:val="lowerRoman"/>
      <w:lvlText w:val="%2."/>
      <w:lvlJc w:val="right"/>
      <w:pPr>
        <w:ind w:left="213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4" w15:restartNumberingAfterBreak="0">
    <w:nsid w:val="497D156A"/>
    <w:multiLevelType w:val="hybridMultilevel"/>
    <w:tmpl w:val="8D50BBA0"/>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5" w15:restartNumberingAfterBreak="0">
    <w:nsid w:val="498B0D0A"/>
    <w:multiLevelType w:val="hybridMultilevel"/>
    <w:tmpl w:val="EBD62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99B092E"/>
    <w:multiLevelType w:val="hybridMultilevel"/>
    <w:tmpl w:val="D2500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9AE5AD3"/>
    <w:multiLevelType w:val="hybridMultilevel"/>
    <w:tmpl w:val="20048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A461AAB"/>
    <w:multiLevelType w:val="hybridMultilevel"/>
    <w:tmpl w:val="AB8830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AB30CBF"/>
    <w:multiLevelType w:val="hybridMultilevel"/>
    <w:tmpl w:val="6F161D3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15:restartNumberingAfterBreak="0">
    <w:nsid w:val="4B565B3D"/>
    <w:multiLevelType w:val="hybridMultilevel"/>
    <w:tmpl w:val="4DA2A8F0"/>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1" w15:restartNumberingAfterBreak="0">
    <w:nsid w:val="4B5D7A92"/>
    <w:multiLevelType w:val="hybridMultilevel"/>
    <w:tmpl w:val="EABCC1A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2" w15:restartNumberingAfterBreak="0">
    <w:nsid w:val="4B8EA7A9"/>
    <w:multiLevelType w:val="hybridMultilevel"/>
    <w:tmpl w:val="17BE3D30"/>
    <w:lvl w:ilvl="0" w:tplc="FFFFFFFF">
      <w:start w:val="1"/>
      <w:numFmt w:val="lowerLetter"/>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3" w15:restartNumberingAfterBreak="0">
    <w:nsid w:val="4BA95C1D"/>
    <w:multiLevelType w:val="hybridMultilevel"/>
    <w:tmpl w:val="338CE0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BAD26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15:restartNumberingAfterBreak="0">
    <w:nsid w:val="4C44247D"/>
    <w:multiLevelType w:val="hybridMultilevel"/>
    <w:tmpl w:val="F4249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4C5A4BB6"/>
    <w:multiLevelType w:val="hybridMultilevel"/>
    <w:tmpl w:val="89CCD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C85505C"/>
    <w:multiLevelType w:val="hybridMultilevel"/>
    <w:tmpl w:val="1ABE6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D1CCE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9" w15:restartNumberingAfterBreak="0">
    <w:nsid w:val="4D5B69D4"/>
    <w:multiLevelType w:val="hybridMultilevel"/>
    <w:tmpl w:val="780606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0" w15:restartNumberingAfterBreak="0">
    <w:nsid w:val="4D8D543A"/>
    <w:multiLevelType w:val="hybridMultilevel"/>
    <w:tmpl w:val="1FB85C68"/>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1" w15:restartNumberingAfterBreak="0">
    <w:nsid w:val="4DB15230"/>
    <w:multiLevelType w:val="hybridMultilevel"/>
    <w:tmpl w:val="A7F29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4DD77A4B"/>
    <w:multiLevelType w:val="hybridMultilevel"/>
    <w:tmpl w:val="C74C2628"/>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4DDC3FCC"/>
    <w:multiLevelType w:val="hybridMultilevel"/>
    <w:tmpl w:val="69183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DFA24EE"/>
    <w:multiLevelType w:val="multilevel"/>
    <w:tmpl w:val="0B16CF1C"/>
    <w:lvl w:ilvl="0">
      <w:start w:val="4"/>
      <w:numFmt w:val="decimal"/>
      <w:lvlText w:val="%1"/>
      <w:lvlJc w:val="left"/>
      <w:pPr>
        <w:ind w:left="960" w:hanging="960"/>
      </w:pPr>
      <w:rPr>
        <w:rFonts w:hint="default"/>
      </w:rPr>
    </w:lvl>
    <w:lvl w:ilvl="1">
      <w:start w:val="68"/>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4"/>
      <w:numFmt w:val="decimalZero"/>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5" w15:restartNumberingAfterBreak="0">
    <w:nsid w:val="4E28163F"/>
    <w:multiLevelType w:val="hybridMultilevel"/>
    <w:tmpl w:val="5F3298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4E2E11C3"/>
    <w:multiLevelType w:val="hybridMultilevel"/>
    <w:tmpl w:val="2CB233DE"/>
    <w:lvl w:ilvl="0" w:tplc="0409001B">
      <w:start w:val="1"/>
      <w:numFmt w:val="lowerRoman"/>
      <w:lvlText w:val="%1."/>
      <w:lvlJc w:val="righ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87" w15:restartNumberingAfterBreak="0">
    <w:nsid w:val="4E4D2858"/>
    <w:multiLevelType w:val="hybridMultilevel"/>
    <w:tmpl w:val="DCB832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E636408"/>
    <w:multiLevelType w:val="hybridMultilevel"/>
    <w:tmpl w:val="C9542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E6832B3"/>
    <w:multiLevelType w:val="hybridMultilevel"/>
    <w:tmpl w:val="B92A377E"/>
    <w:lvl w:ilvl="0" w:tplc="04090017">
      <w:start w:val="1"/>
      <w:numFmt w:val="lowerLetter"/>
      <w:lvlText w:val="%1)"/>
      <w:lvlJc w:val="left"/>
      <w:pPr>
        <w:ind w:left="720" w:hanging="360"/>
      </w:pPr>
    </w:lvl>
    <w:lvl w:ilvl="1" w:tplc="3754063C">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E6F3B5A"/>
    <w:multiLevelType w:val="multilevel"/>
    <w:tmpl w:val="7A209D38"/>
    <w:lvl w:ilvl="0">
      <w:start w:val="2"/>
      <w:numFmt w:val="decimal"/>
      <w:lvlText w:val="%1"/>
      <w:lvlJc w:val="left"/>
      <w:pPr>
        <w:ind w:left="900" w:hanging="900"/>
      </w:pPr>
      <w:rPr>
        <w:rFonts w:hint="default"/>
      </w:rPr>
    </w:lvl>
    <w:lvl w:ilvl="1">
      <w:start w:val="2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1" w15:restartNumberingAfterBreak="0">
    <w:nsid w:val="4E9908D1"/>
    <w:multiLevelType w:val="hybridMultilevel"/>
    <w:tmpl w:val="BC92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4EC6412D"/>
    <w:multiLevelType w:val="hybridMultilevel"/>
    <w:tmpl w:val="307A34A2"/>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3" w15:restartNumberingAfterBreak="0">
    <w:nsid w:val="50436CCC"/>
    <w:multiLevelType w:val="hybridMultilevel"/>
    <w:tmpl w:val="4F7A5A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07D24ED"/>
    <w:multiLevelType w:val="multilevel"/>
    <w:tmpl w:val="67E2B250"/>
    <w:lvl w:ilvl="0">
      <w:start w:val="3"/>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numFmt w:val="decimal"/>
      <w:lvlText w:val="%1.%2.%3"/>
      <w:lvlJc w:val="left"/>
      <w:pPr>
        <w:ind w:left="780" w:hanging="780"/>
      </w:pPr>
      <w:rPr>
        <w:rFonts w:hint="default"/>
      </w:rPr>
    </w:lvl>
    <w:lvl w:ilvl="3">
      <w:start w:val="1"/>
      <w:numFmt w:val="decimalZero"/>
      <w:lvlText w:val="%1.%2.%3.%4"/>
      <w:lvlJc w:val="left"/>
      <w:pPr>
        <w:ind w:left="780" w:hanging="780"/>
      </w:pPr>
      <w:rPr>
        <w:rFonts w:hint="default"/>
        <w:sz w:val="22"/>
        <w:szCs w:val="22"/>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5" w15:restartNumberingAfterBreak="0">
    <w:nsid w:val="50CE3F34"/>
    <w:multiLevelType w:val="hybridMultilevel"/>
    <w:tmpl w:val="0062E7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2997470"/>
    <w:multiLevelType w:val="hybridMultilevel"/>
    <w:tmpl w:val="9CBA25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52FE262A"/>
    <w:multiLevelType w:val="hybridMultilevel"/>
    <w:tmpl w:val="8D4C28D2"/>
    <w:lvl w:ilvl="0" w:tplc="FFFFFFFF">
      <w:start w:val="1"/>
      <w:numFmt w:val="lowerLetter"/>
      <w:lvlText w:val=""/>
      <w:lvlJc w:val="left"/>
    </w:lvl>
    <w:lvl w:ilvl="1" w:tplc="0409001B">
      <w:start w:val="1"/>
      <w:numFmt w:val="lowerRoman"/>
      <w:lvlText w:val="%2."/>
      <w:lvlJc w:val="righ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8" w15:restartNumberingAfterBreak="0">
    <w:nsid w:val="533B4656"/>
    <w:multiLevelType w:val="hybridMultilevel"/>
    <w:tmpl w:val="A4943DD2"/>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9" w15:restartNumberingAfterBreak="0">
    <w:nsid w:val="534956FE"/>
    <w:multiLevelType w:val="hybridMultilevel"/>
    <w:tmpl w:val="08C4A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534A17D1"/>
    <w:multiLevelType w:val="hybridMultilevel"/>
    <w:tmpl w:val="E9BC55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535F2392"/>
    <w:multiLevelType w:val="hybridMultilevel"/>
    <w:tmpl w:val="7F204C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4197D03"/>
    <w:multiLevelType w:val="multilevel"/>
    <w:tmpl w:val="14B6E812"/>
    <w:lvl w:ilvl="0">
      <w:start w:val="1"/>
      <w:numFmt w:val="decimal"/>
      <w:lvlText w:val="%1"/>
      <w:lvlJc w:val="left"/>
      <w:pPr>
        <w:ind w:left="990" w:hanging="990"/>
      </w:pPr>
      <w:rPr>
        <w:rFonts w:hint="default"/>
        <w:b/>
      </w:rPr>
    </w:lvl>
    <w:lvl w:ilvl="1">
      <w:start w:val="48"/>
      <w:numFmt w:val="decimal"/>
      <w:lvlText w:val="%1.%2"/>
      <w:lvlJc w:val="left"/>
      <w:pPr>
        <w:ind w:left="990" w:hanging="990"/>
      </w:pPr>
      <w:rPr>
        <w:rFonts w:hint="default"/>
        <w:b/>
      </w:rPr>
    </w:lvl>
    <w:lvl w:ilvl="2">
      <w:start w:val="2"/>
      <w:numFmt w:val="decimal"/>
      <w:lvlText w:val="%1.%2.%3"/>
      <w:lvlJc w:val="left"/>
      <w:pPr>
        <w:ind w:left="990" w:hanging="990"/>
      </w:pPr>
      <w:rPr>
        <w:rFonts w:hint="default"/>
        <w:b/>
      </w:rPr>
    </w:lvl>
    <w:lvl w:ilvl="3">
      <w:start w:val="1"/>
      <w:numFmt w:val="decimalZero"/>
      <w:lvlText w:val="%1.%2.%3.%4"/>
      <w:lvlJc w:val="left"/>
      <w:pPr>
        <w:ind w:left="1080" w:hanging="108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3" w15:restartNumberingAfterBreak="0">
    <w:nsid w:val="54CB482B"/>
    <w:multiLevelType w:val="hybridMultilevel"/>
    <w:tmpl w:val="B5807E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5487E95"/>
    <w:multiLevelType w:val="multilevel"/>
    <w:tmpl w:val="F81CD566"/>
    <w:lvl w:ilvl="0">
      <w:start w:val="2"/>
      <w:numFmt w:val="decimal"/>
      <w:lvlText w:val="%1"/>
      <w:lvlJc w:val="left"/>
      <w:pPr>
        <w:ind w:left="900" w:hanging="900"/>
      </w:pPr>
      <w:rPr>
        <w:rFonts w:hint="default"/>
      </w:rPr>
    </w:lvl>
    <w:lvl w:ilvl="1">
      <w:start w:val="23"/>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5" w15:restartNumberingAfterBreak="0">
    <w:nsid w:val="56AF4321"/>
    <w:multiLevelType w:val="hybridMultilevel"/>
    <w:tmpl w:val="1EAC0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6D56D18"/>
    <w:multiLevelType w:val="hybridMultilevel"/>
    <w:tmpl w:val="F1C84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6E973D8"/>
    <w:multiLevelType w:val="hybridMultilevel"/>
    <w:tmpl w:val="FA064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572610C8"/>
    <w:multiLevelType w:val="hybridMultilevel"/>
    <w:tmpl w:val="97AC1CE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9" w15:restartNumberingAfterBreak="0">
    <w:nsid w:val="575531C6"/>
    <w:multiLevelType w:val="multilevel"/>
    <w:tmpl w:val="780AAD88"/>
    <w:lvl w:ilvl="0">
      <w:start w:val="2"/>
      <w:numFmt w:val="decimal"/>
      <w:lvlText w:val="%1"/>
      <w:lvlJc w:val="left"/>
      <w:pPr>
        <w:ind w:left="900" w:hanging="900"/>
      </w:pPr>
      <w:rPr>
        <w:rFonts w:hint="default"/>
      </w:rPr>
    </w:lvl>
    <w:lvl w:ilvl="1">
      <w:start w:val="38"/>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0" w15:restartNumberingAfterBreak="0">
    <w:nsid w:val="578A1452"/>
    <w:multiLevelType w:val="hybridMultilevel"/>
    <w:tmpl w:val="AEE062A8"/>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1" w15:restartNumberingAfterBreak="0">
    <w:nsid w:val="578C684D"/>
    <w:multiLevelType w:val="hybridMultilevel"/>
    <w:tmpl w:val="415020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7C56449"/>
    <w:multiLevelType w:val="multilevel"/>
    <w:tmpl w:val="3F7CFBE2"/>
    <w:lvl w:ilvl="0">
      <w:start w:val="6"/>
      <w:numFmt w:val="decimal"/>
      <w:lvlText w:val="%1"/>
      <w:lvlJc w:val="left"/>
      <w:pPr>
        <w:ind w:left="900" w:hanging="900"/>
      </w:pPr>
      <w:rPr>
        <w:rFonts w:hint="default"/>
      </w:rPr>
    </w:lvl>
    <w:lvl w:ilvl="1">
      <w:start w:val="78"/>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3" w15:restartNumberingAfterBreak="0">
    <w:nsid w:val="57C72CFA"/>
    <w:multiLevelType w:val="hybridMultilevel"/>
    <w:tmpl w:val="628E6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7FA4EFB"/>
    <w:multiLevelType w:val="hybridMultilevel"/>
    <w:tmpl w:val="53B814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58072903"/>
    <w:multiLevelType w:val="hybridMultilevel"/>
    <w:tmpl w:val="AB7C204E"/>
    <w:lvl w:ilvl="0" w:tplc="FFFFFFFF">
      <w:start w:val="1"/>
      <w:numFmt w:val="ideographDigital"/>
      <w:lvlText w:val=""/>
      <w:lvlJc w:val="left"/>
    </w:lvl>
    <w:lvl w:ilvl="1" w:tplc="0409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6" w15:restartNumberingAfterBreak="0">
    <w:nsid w:val="5813071C"/>
    <w:multiLevelType w:val="hybridMultilevel"/>
    <w:tmpl w:val="1DC0C4BE"/>
    <w:lvl w:ilvl="0" w:tplc="04090017">
      <w:start w:val="1"/>
      <w:numFmt w:val="lowerLetter"/>
      <w:lvlText w:val="%1)"/>
      <w:lvlJc w:val="left"/>
      <w:pPr>
        <w:ind w:left="720" w:hanging="360"/>
      </w:pPr>
    </w:lvl>
    <w:lvl w:ilvl="1" w:tplc="217036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58311CA0"/>
    <w:multiLevelType w:val="hybridMultilevel"/>
    <w:tmpl w:val="C560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59AC5B19"/>
    <w:multiLevelType w:val="hybridMultilevel"/>
    <w:tmpl w:val="0A7ED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AA11AC9"/>
    <w:multiLevelType w:val="hybridMultilevel"/>
    <w:tmpl w:val="4580D376"/>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AC86B3B"/>
    <w:multiLevelType w:val="hybridMultilevel"/>
    <w:tmpl w:val="F7A2C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ACF7FA6"/>
    <w:multiLevelType w:val="hybridMultilevel"/>
    <w:tmpl w:val="D382C7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5B267F71"/>
    <w:multiLevelType w:val="hybridMultilevel"/>
    <w:tmpl w:val="D5ACC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5B4A683A"/>
    <w:multiLevelType w:val="hybridMultilevel"/>
    <w:tmpl w:val="86BC7084"/>
    <w:lvl w:ilvl="0" w:tplc="FFFFFFFF">
      <w:start w:val="1"/>
      <w:numFmt w:val="lowerRoman"/>
      <w:lvlText w:val="%1"/>
      <w:lvlJc w:val="left"/>
    </w:lvl>
    <w:lvl w:ilvl="1" w:tplc="0409001B">
      <w:start w:val="1"/>
      <w:numFmt w:val="lowerRoman"/>
      <w:lvlText w:val="%2."/>
      <w:lvlJc w:val="righ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4" w15:restartNumberingAfterBreak="0">
    <w:nsid w:val="5B593C5A"/>
    <w:multiLevelType w:val="hybridMultilevel"/>
    <w:tmpl w:val="5DC4816C"/>
    <w:lvl w:ilvl="0" w:tplc="FFFFFFFF">
      <w:start w:val="1"/>
      <w:numFmt w:val="ideographDigit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5" w15:restartNumberingAfterBreak="0">
    <w:nsid w:val="5BB02BDC"/>
    <w:multiLevelType w:val="hybridMultilevel"/>
    <w:tmpl w:val="52A043EE"/>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6" w15:restartNumberingAfterBreak="0">
    <w:nsid w:val="5C0E4777"/>
    <w:multiLevelType w:val="hybridMultilevel"/>
    <w:tmpl w:val="DF3C88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5CBD7FF3"/>
    <w:multiLevelType w:val="hybridMultilevel"/>
    <w:tmpl w:val="D3DC3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5D02623F"/>
    <w:multiLevelType w:val="hybridMultilevel"/>
    <w:tmpl w:val="9E6402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5D096FD1"/>
    <w:multiLevelType w:val="multilevel"/>
    <w:tmpl w:val="FA4A78B0"/>
    <w:lvl w:ilvl="0">
      <w:start w:val="4"/>
      <w:numFmt w:val="decimal"/>
      <w:lvlText w:val="%1"/>
      <w:lvlJc w:val="left"/>
      <w:pPr>
        <w:ind w:left="900" w:hanging="900"/>
      </w:pPr>
      <w:rPr>
        <w:rFonts w:hint="default"/>
      </w:rPr>
    </w:lvl>
    <w:lvl w:ilvl="1">
      <w:start w:val="16"/>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2"/>
      <w:numFmt w:val="decimalZero"/>
      <w:lvlText w:val="%1.%2.%3.%4"/>
      <w:lvlJc w:val="left"/>
      <w:pPr>
        <w:ind w:left="900" w:hanging="90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0" w15:restartNumberingAfterBreak="0">
    <w:nsid w:val="5D2C333C"/>
    <w:multiLevelType w:val="multilevel"/>
    <w:tmpl w:val="61323B7C"/>
    <w:lvl w:ilvl="0">
      <w:start w:val="1"/>
      <w:numFmt w:val="decimal"/>
      <w:lvlText w:val="%1."/>
      <w:lvlJc w:val="left"/>
      <w:pPr>
        <w:ind w:left="1069" w:hanging="360"/>
      </w:pPr>
      <w:rPr>
        <w:rFonts w:hint="default"/>
      </w:rPr>
    </w:lvl>
    <w:lvl w:ilvl="1">
      <w:start w:val="29"/>
      <w:numFmt w:val="decimal"/>
      <w:isLgl/>
      <w:lvlText w:val="%1.%2"/>
      <w:lvlJc w:val="left"/>
      <w:pPr>
        <w:ind w:left="1609" w:hanging="900"/>
      </w:pPr>
      <w:rPr>
        <w:rFonts w:hint="default"/>
      </w:rPr>
    </w:lvl>
    <w:lvl w:ilvl="2">
      <w:numFmt w:val="decimal"/>
      <w:isLgl/>
      <w:lvlText w:val="%1.%2.%3"/>
      <w:lvlJc w:val="left"/>
      <w:pPr>
        <w:ind w:left="1609" w:hanging="900"/>
      </w:pPr>
      <w:rPr>
        <w:rFonts w:hint="default"/>
      </w:rPr>
    </w:lvl>
    <w:lvl w:ilvl="3">
      <w:start w:val="1"/>
      <w:numFmt w:val="decimalZero"/>
      <w:isLgl/>
      <w:lvlText w:val="%1.%2.%3.%4"/>
      <w:lvlJc w:val="left"/>
      <w:pPr>
        <w:ind w:left="1326" w:hanging="90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1" w15:restartNumberingAfterBreak="0">
    <w:nsid w:val="5D5E3B15"/>
    <w:multiLevelType w:val="hybridMultilevel"/>
    <w:tmpl w:val="CA28D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5DB54078"/>
    <w:multiLevelType w:val="hybridMultilevel"/>
    <w:tmpl w:val="0622921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33" w15:restartNumberingAfterBreak="0">
    <w:nsid w:val="5EEC3EA5"/>
    <w:multiLevelType w:val="hybridMultilevel"/>
    <w:tmpl w:val="1A4AE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F2445EF"/>
    <w:multiLevelType w:val="hybridMultilevel"/>
    <w:tmpl w:val="F1BA0F2A"/>
    <w:lvl w:ilvl="0" w:tplc="0409001B">
      <w:start w:val="1"/>
      <w:numFmt w:val="lowerRoman"/>
      <w:lvlText w:val="%1."/>
      <w:lvlJc w:val="righ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5" w15:restartNumberingAfterBreak="0">
    <w:nsid w:val="60184D00"/>
    <w:multiLevelType w:val="hybridMultilevel"/>
    <w:tmpl w:val="2058441A"/>
    <w:lvl w:ilvl="0" w:tplc="FFFFFFFF">
      <w:start w:val="1"/>
      <w:numFmt w:val="lowerLetter"/>
      <w:lvlText w:val=""/>
      <w:lvlJc w:val="left"/>
    </w:lvl>
    <w:lvl w:ilvl="1" w:tplc="0409001B">
      <w:start w:val="1"/>
      <w:numFmt w:val="lowerRoman"/>
      <w:lvlText w:val="%2."/>
      <w:lvlJc w:val="right"/>
      <w:pPr>
        <w:ind w:left="213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6" w15:restartNumberingAfterBreak="0">
    <w:nsid w:val="607079C0"/>
    <w:multiLevelType w:val="hybridMultilevel"/>
    <w:tmpl w:val="F7C26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07A6198"/>
    <w:multiLevelType w:val="hybridMultilevel"/>
    <w:tmpl w:val="A03CB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0A439F5"/>
    <w:multiLevelType w:val="hybridMultilevel"/>
    <w:tmpl w:val="72C45DEE"/>
    <w:lvl w:ilvl="0" w:tplc="0409001B">
      <w:start w:val="1"/>
      <w:numFmt w:val="lowerRoman"/>
      <w:lvlText w:val="%1."/>
      <w:lvlJc w:val="righ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39" w15:restartNumberingAfterBreak="0">
    <w:nsid w:val="60A55A6C"/>
    <w:multiLevelType w:val="multilevel"/>
    <w:tmpl w:val="5F886232"/>
    <w:lvl w:ilvl="0">
      <w:start w:val="7"/>
      <w:numFmt w:val="decimal"/>
      <w:lvlText w:val="%1"/>
      <w:lvlJc w:val="left"/>
      <w:pPr>
        <w:ind w:left="830" w:hanging="830"/>
      </w:pPr>
      <w:rPr>
        <w:rFonts w:hint="default"/>
      </w:rPr>
    </w:lvl>
    <w:lvl w:ilvl="1">
      <w:start w:val="6"/>
      <w:numFmt w:val="decimal"/>
      <w:lvlText w:val="%1.%2"/>
      <w:lvlJc w:val="left"/>
      <w:pPr>
        <w:ind w:left="830" w:hanging="830"/>
      </w:pPr>
      <w:rPr>
        <w:rFonts w:hint="default"/>
      </w:rPr>
    </w:lvl>
    <w:lvl w:ilvl="2">
      <w:start w:val="2"/>
      <w:numFmt w:val="decimal"/>
      <w:lvlText w:val="%1.%2.%3"/>
      <w:lvlJc w:val="left"/>
      <w:pPr>
        <w:ind w:left="830" w:hanging="830"/>
      </w:pPr>
      <w:rPr>
        <w:rFonts w:hint="default"/>
      </w:rPr>
    </w:lvl>
    <w:lvl w:ilvl="3">
      <w:start w:val="1"/>
      <w:numFmt w:val="decimalZero"/>
      <w:lvlText w:val="%1.%2.%3.%4"/>
      <w:lvlJc w:val="left"/>
      <w:pPr>
        <w:ind w:left="830" w:hanging="8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0" w15:restartNumberingAfterBreak="0">
    <w:nsid w:val="60CE048D"/>
    <w:multiLevelType w:val="hybridMultilevel"/>
    <w:tmpl w:val="78E0A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0D33AE1"/>
    <w:multiLevelType w:val="hybridMultilevel"/>
    <w:tmpl w:val="1876DD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0D47131"/>
    <w:multiLevelType w:val="hybridMultilevel"/>
    <w:tmpl w:val="E806DECA"/>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3" w15:restartNumberingAfterBreak="0">
    <w:nsid w:val="60DF200A"/>
    <w:multiLevelType w:val="hybridMultilevel"/>
    <w:tmpl w:val="894A3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15B2D70"/>
    <w:multiLevelType w:val="hybridMultilevel"/>
    <w:tmpl w:val="A530A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619F4992"/>
    <w:multiLevelType w:val="hybridMultilevel"/>
    <w:tmpl w:val="276EFBF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61B188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7" w15:restartNumberingAfterBreak="0">
    <w:nsid w:val="61C3460E"/>
    <w:multiLevelType w:val="hybridMultilevel"/>
    <w:tmpl w:val="15EC3D98"/>
    <w:lvl w:ilvl="0" w:tplc="8508EB3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61D500F8"/>
    <w:multiLevelType w:val="hybridMultilevel"/>
    <w:tmpl w:val="9E161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27F6E79"/>
    <w:multiLevelType w:val="hybridMultilevel"/>
    <w:tmpl w:val="93AE0484"/>
    <w:lvl w:ilvl="0" w:tplc="FFFFFFFF">
      <w:start w:val="1"/>
      <w:numFmt w:val="ideographDigital"/>
      <w:lvlText w:val=""/>
      <w:lvlJc w:val="left"/>
    </w:lvl>
    <w:lvl w:ilvl="1" w:tplc="0409001B">
      <w:start w:val="1"/>
      <w:numFmt w:val="lowerRoman"/>
      <w:lvlText w:val="%2."/>
      <w:lvlJc w:val="righ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0" w15:restartNumberingAfterBreak="0">
    <w:nsid w:val="636B4D86"/>
    <w:multiLevelType w:val="hybridMultilevel"/>
    <w:tmpl w:val="C278EFE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1" w15:restartNumberingAfterBreak="0">
    <w:nsid w:val="639F0D5D"/>
    <w:multiLevelType w:val="hybridMultilevel"/>
    <w:tmpl w:val="D54C7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3A8722B"/>
    <w:multiLevelType w:val="hybridMultilevel"/>
    <w:tmpl w:val="2EF01AD2"/>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3" w15:restartNumberingAfterBreak="0">
    <w:nsid w:val="63B96DF0"/>
    <w:multiLevelType w:val="hybridMultilevel"/>
    <w:tmpl w:val="095C5948"/>
    <w:lvl w:ilvl="0" w:tplc="FFFFFFFF">
      <w:start w:val="1"/>
      <w:numFmt w:val="ideographDigital"/>
      <w:lvlText w:val=""/>
      <w:lvlJc w:val="left"/>
    </w:lvl>
    <w:lvl w:ilvl="1" w:tplc="0409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4" w15:restartNumberingAfterBreak="0">
    <w:nsid w:val="64310612"/>
    <w:multiLevelType w:val="multilevel"/>
    <w:tmpl w:val="1ED4FB04"/>
    <w:lvl w:ilvl="0">
      <w:start w:val="2"/>
      <w:numFmt w:val="decimal"/>
      <w:lvlText w:val="%1"/>
      <w:lvlJc w:val="left"/>
      <w:pPr>
        <w:ind w:left="900" w:hanging="900"/>
      </w:pPr>
      <w:rPr>
        <w:rFonts w:hint="default"/>
      </w:rPr>
    </w:lvl>
    <w:lvl w:ilvl="1">
      <w:start w:val="39"/>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5" w15:restartNumberingAfterBreak="0">
    <w:nsid w:val="64FF6891"/>
    <w:multiLevelType w:val="multilevel"/>
    <w:tmpl w:val="A144480C"/>
    <w:lvl w:ilvl="0">
      <w:start w:val="4"/>
      <w:numFmt w:val="decimal"/>
      <w:lvlText w:val="%1"/>
      <w:lvlJc w:val="left"/>
      <w:pPr>
        <w:ind w:left="960" w:hanging="960"/>
      </w:pPr>
      <w:rPr>
        <w:rFonts w:hint="default"/>
      </w:rPr>
    </w:lvl>
    <w:lvl w:ilvl="1">
      <w:start w:val="64"/>
      <w:numFmt w:val="decimal"/>
      <w:lvlText w:val="%1.%2"/>
      <w:lvlJc w:val="left"/>
      <w:pPr>
        <w:ind w:left="960" w:hanging="960"/>
      </w:pPr>
      <w:rPr>
        <w:rFonts w:hint="default"/>
      </w:rPr>
    </w:lvl>
    <w:lvl w:ilvl="2">
      <w:numFmt w:val="decimal"/>
      <w:lvlText w:val="%1.%2.%3"/>
      <w:lvlJc w:val="left"/>
      <w:pPr>
        <w:ind w:left="960" w:hanging="960"/>
      </w:pPr>
      <w:rPr>
        <w:rFonts w:hint="default"/>
      </w:rPr>
    </w:lvl>
    <w:lvl w:ilvl="3">
      <w:start w:val="1"/>
      <w:numFmt w:val="decimalZero"/>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6" w15:restartNumberingAfterBreak="0">
    <w:nsid w:val="651A61F2"/>
    <w:multiLevelType w:val="hybridMultilevel"/>
    <w:tmpl w:val="2C64817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65AD797A"/>
    <w:multiLevelType w:val="hybridMultilevel"/>
    <w:tmpl w:val="4F1C52B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67474D78"/>
    <w:multiLevelType w:val="hybridMultilevel"/>
    <w:tmpl w:val="72687C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67C420FE"/>
    <w:multiLevelType w:val="hybridMultilevel"/>
    <w:tmpl w:val="E842D5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67CB24D9"/>
    <w:multiLevelType w:val="hybridMultilevel"/>
    <w:tmpl w:val="A320A1CC"/>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1" w15:restartNumberingAfterBreak="0">
    <w:nsid w:val="67D107F6"/>
    <w:multiLevelType w:val="hybridMultilevel"/>
    <w:tmpl w:val="F0A212D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2" w15:restartNumberingAfterBreak="0">
    <w:nsid w:val="67DF2B76"/>
    <w:multiLevelType w:val="hybridMultilevel"/>
    <w:tmpl w:val="092E6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68E72D45"/>
    <w:multiLevelType w:val="multilevel"/>
    <w:tmpl w:val="B7CEC726"/>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numFmt w:val="decimal"/>
      <w:lvlText w:val="%1.%2.%3"/>
      <w:lvlJc w:val="left"/>
      <w:pPr>
        <w:ind w:left="780" w:hanging="780"/>
      </w:pPr>
      <w:rPr>
        <w:rFonts w:hint="default"/>
      </w:rPr>
    </w:lvl>
    <w:lvl w:ilvl="3">
      <w:start w:val="1"/>
      <w:numFmt w:val="decimalZero"/>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4" w15:restartNumberingAfterBreak="0">
    <w:nsid w:val="69A10B0E"/>
    <w:multiLevelType w:val="hybridMultilevel"/>
    <w:tmpl w:val="1B0842BC"/>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5" w15:restartNumberingAfterBreak="0">
    <w:nsid w:val="69E54FF3"/>
    <w:multiLevelType w:val="hybridMultilevel"/>
    <w:tmpl w:val="82300F7E"/>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6" w15:restartNumberingAfterBreak="0">
    <w:nsid w:val="6A1B6162"/>
    <w:multiLevelType w:val="hybridMultilevel"/>
    <w:tmpl w:val="936E578C"/>
    <w:lvl w:ilvl="0" w:tplc="FFFFFFFF">
      <w:start w:val="1"/>
      <w:numFmt w:val="ideographDigit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7" w15:restartNumberingAfterBreak="0">
    <w:nsid w:val="6A2D189D"/>
    <w:multiLevelType w:val="multilevel"/>
    <w:tmpl w:val="D9E26B52"/>
    <w:lvl w:ilvl="0">
      <w:start w:val="1"/>
      <w:numFmt w:val="upperRoman"/>
      <w:lvlText w:val="%1."/>
      <w:lvlJc w:val="left"/>
      <w:pPr>
        <w:ind w:left="1080" w:hanging="720"/>
      </w:pPr>
      <w:rPr>
        <w:rFonts w:hint="default"/>
      </w:rPr>
    </w:lvl>
    <w:lvl w:ilvl="1">
      <w:start w:val="30"/>
      <w:numFmt w:val="decimal"/>
      <w:isLgl/>
      <w:lvlText w:val="%1.%2"/>
      <w:lvlJc w:val="left"/>
      <w:pPr>
        <w:ind w:left="1260" w:hanging="900"/>
      </w:pPr>
      <w:rPr>
        <w:rFonts w:hint="default"/>
      </w:rPr>
    </w:lvl>
    <w:lvl w:ilvl="2">
      <w:numFmt w:val="decimal"/>
      <w:isLgl/>
      <w:lvlText w:val="%1.%2.%3"/>
      <w:lvlJc w:val="left"/>
      <w:pPr>
        <w:ind w:left="1260" w:hanging="900"/>
      </w:pPr>
      <w:rPr>
        <w:rFonts w:hint="default"/>
      </w:rPr>
    </w:lvl>
    <w:lvl w:ilvl="3">
      <w:start w:val="1"/>
      <w:numFmt w:val="decimalZero"/>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8" w15:restartNumberingAfterBreak="0">
    <w:nsid w:val="6A2F58A2"/>
    <w:multiLevelType w:val="multilevel"/>
    <w:tmpl w:val="E91ED6F0"/>
    <w:lvl w:ilvl="0">
      <w:start w:val="4"/>
      <w:numFmt w:val="decimal"/>
      <w:lvlText w:val="%1"/>
      <w:lvlJc w:val="left"/>
      <w:pPr>
        <w:ind w:left="960" w:hanging="960"/>
      </w:pPr>
      <w:rPr>
        <w:rFonts w:hint="default"/>
      </w:rPr>
    </w:lvl>
    <w:lvl w:ilvl="1">
      <w:start w:val="68"/>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2"/>
      <w:numFmt w:val="decimalZero"/>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9" w15:restartNumberingAfterBreak="0">
    <w:nsid w:val="6A4658A4"/>
    <w:multiLevelType w:val="hybridMultilevel"/>
    <w:tmpl w:val="78D2A19A"/>
    <w:lvl w:ilvl="0" w:tplc="0409001B">
      <w:start w:val="1"/>
      <w:numFmt w:val="lowerRoman"/>
      <w:lvlText w:val="%1."/>
      <w:lvlJc w:val="right"/>
      <w:pPr>
        <w:ind w:left="2138" w:hanging="360"/>
      </w:pPr>
    </w:lvl>
    <w:lvl w:ilvl="1" w:tplc="41EA38C4">
      <w:start w:val="1"/>
      <w:numFmt w:val="lowerLetter"/>
      <w:lvlText w:val="%2)"/>
      <w:lvlJc w:val="left"/>
      <w:pPr>
        <w:ind w:left="2858" w:hanging="360"/>
      </w:pPr>
      <w:rPr>
        <w:rFonts w:hint="default"/>
      </w:r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0" w15:restartNumberingAfterBreak="0">
    <w:nsid w:val="6A8F36A2"/>
    <w:multiLevelType w:val="hybridMultilevel"/>
    <w:tmpl w:val="67A81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6AC01B3C"/>
    <w:multiLevelType w:val="multilevel"/>
    <w:tmpl w:val="786400EC"/>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2" w15:restartNumberingAfterBreak="0">
    <w:nsid w:val="6B0905BF"/>
    <w:multiLevelType w:val="hybridMultilevel"/>
    <w:tmpl w:val="433817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6B266E38"/>
    <w:multiLevelType w:val="hybridMultilevel"/>
    <w:tmpl w:val="455C5400"/>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4" w15:restartNumberingAfterBreak="0">
    <w:nsid w:val="6B277CF6"/>
    <w:multiLevelType w:val="hybridMultilevel"/>
    <w:tmpl w:val="72768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6B9165C2"/>
    <w:multiLevelType w:val="hybridMultilevel"/>
    <w:tmpl w:val="65FE5A24"/>
    <w:lvl w:ilvl="0" w:tplc="5E74109A">
      <w:start w:val="1"/>
      <w:numFmt w:val="decimal"/>
      <w:lvlText w:val="%1."/>
      <w:lvlJc w:val="left"/>
      <w:pPr>
        <w:ind w:left="855" w:hanging="360"/>
      </w:pPr>
      <w:rPr>
        <w:rFonts w:hint="default"/>
      </w:rPr>
    </w:lvl>
    <w:lvl w:ilvl="1" w:tplc="97D8B4A4">
      <w:start w:val="1"/>
      <w:numFmt w:val="lowerLetter"/>
      <w:lvlText w:val="%2)"/>
      <w:lvlJc w:val="left"/>
      <w:pPr>
        <w:ind w:left="1575" w:hanging="360"/>
      </w:pPr>
      <w:rPr>
        <w:rFonts w:hint="default"/>
      </w:r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76" w15:restartNumberingAfterBreak="0">
    <w:nsid w:val="6BD8026A"/>
    <w:multiLevelType w:val="multilevel"/>
    <w:tmpl w:val="5DA865BE"/>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7" w15:restartNumberingAfterBreak="0">
    <w:nsid w:val="6C3CD4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8" w15:restartNumberingAfterBreak="0">
    <w:nsid w:val="6CCF1C73"/>
    <w:multiLevelType w:val="hybridMultilevel"/>
    <w:tmpl w:val="4622D55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9" w15:restartNumberingAfterBreak="0">
    <w:nsid w:val="6D8F4472"/>
    <w:multiLevelType w:val="hybridMultilevel"/>
    <w:tmpl w:val="3D6238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DB33EE2"/>
    <w:multiLevelType w:val="hybridMultilevel"/>
    <w:tmpl w:val="4C525E1E"/>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1" w15:restartNumberingAfterBreak="0">
    <w:nsid w:val="6E27166E"/>
    <w:multiLevelType w:val="hybridMultilevel"/>
    <w:tmpl w:val="71926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6EBB3F57"/>
    <w:multiLevelType w:val="hybridMultilevel"/>
    <w:tmpl w:val="613EE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1034900"/>
    <w:multiLevelType w:val="hybridMultilevel"/>
    <w:tmpl w:val="9A96F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10A4C33"/>
    <w:multiLevelType w:val="multilevel"/>
    <w:tmpl w:val="5FFE22C0"/>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5" w15:restartNumberingAfterBreak="0">
    <w:nsid w:val="7114622D"/>
    <w:multiLevelType w:val="hybridMultilevel"/>
    <w:tmpl w:val="F4B2F33E"/>
    <w:lvl w:ilvl="0" w:tplc="FFFFFFFF">
      <w:start w:val="1"/>
      <w:numFmt w:val="lowerRoman"/>
      <w:lvlText w:val="%1."/>
      <w:lvlJc w:val="right"/>
      <w:pPr>
        <w:ind w:left="72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7117502C"/>
    <w:multiLevelType w:val="hybridMultilevel"/>
    <w:tmpl w:val="CBF611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71AF1A7D"/>
    <w:multiLevelType w:val="hybridMultilevel"/>
    <w:tmpl w:val="A8C62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71C01DEB"/>
    <w:multiLevelType w:val="hybridMultilevel"/>
    <w:tmpl w:val="55CA959C"/>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9" w15:restartNumberingAfterBreak="0">
    <w:nsid w:val="721F64AA"/>
    <w:multiLevelType w:val="hybridMultilevel"/>
    <w:tmpl w:val="466852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72382FFC"/>
    <w:multiLevelType w:val="hybridMultilevel"/>
    <w:tmpl w:val="46300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2642DFA"/>
    <w:multiLevelType w:val="multilevel"/>
    <w:tmpl w:val="BBCCFCDE"/>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2" w15:restartNumberingAfterBreak="0">
    <w:nsid w:val="72C303DB"/>
    <w:multiLevelType w:val="hybridMultilevel"/>
    <w:tmpl w:val="1488E6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730A1550"/>
    <w:multiLevelType w:val="hybridMultilevel"/>
    <w:tmpl w:val="912E3F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7319546C"/>
    <w:multiLevelType w:val="hybridMultilevel"/>
    <w:tmpl w:val="D8C0B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3845534"/>
    <w:multiLevelType w:val="hybridMultilevel"/>
    <w:tmpl w:val="00D8C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73A725FA"/>
    <w:multiLevelType w:val="hybridMultilevel"/>
    <w:tmpl w:val="2E12D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73C06E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8" w15:restartNumberingAfterBreak="0">
    <w:nsid w:val="73DD3EF3"/>
    <w:multiLevelType w:val="hybridMultilevel"/>
    <w:tmpl w:val="ADDC4D6A"/>
    <w:lvl w:ilvl="0" w:tplc="6F601514">
      <w:start w:val="1"/>
      <w:numFmt w:val="lowerLetter"/>
      <w:lvlText w:val="%1)"/>
      <w:lvlJc w:val="left"/>
      <w:rPr>
        <w:rFonts w:hint="default"/>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9" w15:restartNumberingAfterBreak="0">
    <w:nsid w:val="743E4C8E"/>
    <w:multiLevelType w:val="hybridMultilevel"/>
    <w:tmpl w:val="36E8B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74B472A5"/>
    <w:multiLevelType w:val="hybridMultilevel"/>
    <w:tmpl w:val="D50CE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75093AC3"/>
    <w:multiLevelType w:val="hybridMultilevel"/>
    <w:tmpl w:val="6CD801FC"/>
    <w:lvl w:ilvl="0" w:tplc="FFFFFFFF">
      <w:start w:val="1"/>
      <w:numFmt w:val="lowerLetter"/>
      <w:lvlText w:val=""/>
      <w:lvlJc w:val="left"/>
    </w:lvl>
    <w:lvl w:ilvl="1" w:tplc="0409001B">
      <w:start w:val="1"/>
      <w:numFmt w:val="lowerRoman"/>
      <w:lvlText w:val="%2."/>
      <w:lvlJc w:val="righ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2" w15:restartNumberingAfterBreak="0">
    <w:nsid w:val="753072E1"/>
    <w:multiLevelType w:val="hybridMultilevel"/>
    <w:tmpl w:val="06A2B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75520C2D"/>
    <w:multiLevelType w:val="hybridMultilevel"/>
    <w:tmpl w:val="9454F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756B4DF1"/>
    <w:multiLevelType w:val="multilevel"/>
    <w:tmpl w:val="AA7CCD08"/>
    <w:lvl w:ilvl="0">
      <w:start w:val="2"/>
      <w:numFmt w:val="decimal"/>
      <w:lvlText w:val="%1"/>
      <w:lvlJc w:val="left"/>
      <w:pPr>
        <w:ind w:left="900" w:hanging="900"/>
      </w:pPr>
      <w:rPr>
        <w:rFonts w:hint="default"/>
      </w:rPr>
    </w:lvl>
    <w:lvl w:ilvl="1">
      <w:start w:val="37"/>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5" w15:restartNumberingAfterBreak="0">
    <w:nsid w:val="75BC372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6" w15:restartNumberingAfterBreak="0">
    <w:nsid w:val="764D443F"/>
    <w:multiLevelType w:val="hybridMultilevel"/>
    <w:tmpl w:val="C5FE2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685288C"/>
    <w:multiLevelType w:val="hybridMultilevel"/>
    <w:tmpl w:val="7526D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76BD7D9E"/>
    <w:multiLevelType w:val="hybridMultilevel"/>
    <w:tmpl w:val="D5989EEC"/>
    <w:lvl w:ilvl="0" w:tplc="04090017">
      <w:start w:val="1"/>
      <w:numFmt w:val="lowerLetter"/>
      <w:lvlText w:val="%1)"/>
      <w:lvlJc w:val="left"/>
      <w:pPr>
        <w:ind w:left="720" w:hanging="360"/>
      </w:p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76C94934"/>
    <w:multiLevelType w:val="multilevel"/>
    <w:tmpl w:val="279A87F4"/>
    <w:lvl w:ilvl="0">
      <w:start w:val="1"/>
      <w:numFmt w:val="lowerLetter"/>
      <w:lvlText w:val="%1)"/>
      <w:lvlJc w:val="left"/>
      <w:pPr>
        <w:ind w:left="900" w:hanging="900"/>
      </w:pPr>
      <w:rPr>
        <w:rFonts w:hint="default"/>
      </w:rPr>
    </w:lvl>
    <w:lvl w:ilvl="1">
      <w:start w:val="93"/>
      <w:numFmt w:val="decimal"/>
      <w:lvlText w:val="%1.%2"/>
      <w:lvlJc w:val="left"/>
      <w:pPr>
        <w:ind w:left="900" w:hanging="900"/>
      </w:pPr>
      <w:rPr>
        <w:rFonts w:hint="default"/>
      </w:rPr>
    </w:lvl>
    <w:lvl w:ilvl="2">
      <w:numFmt w:val="decimal"/>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0" w15:restartNumberingAfterBreak="0">
    <w:nsid w:val="773BCAF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1" w15:restartNumberingAfterBreak="0">
    <w:nsid w:val="774C72B8"/>
    <w:multiLevelType w:val="hybridMultilevel"/>
    <w:tmpl w:val="BEE28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753729E"/>
    <w:multiLevelType w:val="hybridMultilevel"/>
    <w:tmpl w:val="207202E2"/>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778B6088"/>
    <w:multiLevelType w:val="hybridMultilevel"/>
    <w:tmpl w:val="124AD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79050381"/>
    <w:multiLevelType w:val="hybridMultilevel"/>
    <w:tmpl w:val="E4D2C77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794F23C3"/>
    <w:multiLevelType w:val="hybridMultilevel"/>
    <w:tmpl w:val="58C299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79CA7D42"/>
    <w:multiLevelType w:val="hybridMultilevel"/>
    <w:tmpl w:val="1B5AA9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7A013AEC"/>
    <w:multiLevelType w:val="multilevel"/>
    <w:tmpl w:val="6980E09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8" w15:restartNumberingAfterBreak="0">
    <w:nsid w:val="7A166821"/>
    <w:multiLevelType w:val="hybridMultilevel"/>
    <w:tmpl w:val="39E6A86E"/>
    <w:lvl w:ilvl="0" w:tplc="FFFFFFFF">
      <w:start w:val="1"/>
      <w:numFmt w:val="lowerLetter"/>
      <w:lvlText w:val=""/>
      <w:lvlJc w:val="left"/>
    </w:lvl>
    <w:lvl w:ilvl="1" w:tplc="04090001">
      <w:start w:val="1"/>
      <w:numFmt w:val="bullet"/>
      <w:lvlText w:val=""/>
      <w:lvlJc w:val="left"/>
      <w:pPr>
        <w:ind w:left="2138"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9" w15:restartNumberingAfterBreak="0">
    <w:nsid w:val="7AE62A7E"/>
    <w:multiLevelType w:val="hybridMultilevel"/>
    <w:tmpl w:val="13FC06F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7AFB4717"/>
    <w:multiLevelType w:val="hybridMultilevel"/>
    <w:tmpl w:val="FAD2E872"/>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1" w15:restartNumberingAfterBreak="0">
    <w:nsid w:val="7B52560D"/>
    <w:multiLevelType w:val="hybridMultilevel"/>
    <w:tmpl w:val="0DE8F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7C0406B9"/>
    <w:multiLevelType w:val="hybridMultilevel"/>
    <w:tmpl w:val="2AF439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7C9778AF"/>
    <w:multiLevelType w:val="hybridMultilevel"/>
    <w:tmpl w:val="2C18E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C9A784A"/>
    <w:multiLevelType w:val="hybridMultilevel"/>
    <w:tmpl w:val="EB081366"/>
    <w:lvl w:ilvl="0" w:tplc="AAF63BF2">
      <w:start w:val="1"/>
      <w:numFmt w:val="lowerLetter"/>
      <w:lvlText w:val="%1)"/>
      <w:lvlJc w:val="left"/>
      <w:rPr>
        <w:rFonts w:hint="default"/>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5" w15:restartNumberingAfterBreak="0">
    <w:nsid w:val="7CA938B4"/>
    <w:multiLevelType w:val="hybridMultilevel"/>
    <w:tmpl w:val="676CF698"/>
    <w:lvl w:ilvl="0" w:tplc="DFDEEB9A">
      <w:start w:val="1"/>
      <w:numFmt w:val="decimal"/>
      <w:pStyle w:val="TDC3"/>
      <w:lvlText w:val="%1."/>
      <w:lvlJc w:val="left"/>
      <w:pPr>
        <w:ind w:left="786" w:hanging="360"/>
      </w:pPr>
      <w:rPr>
        <w:rFonts w:ascii="Arial" w:eastAsia="Arial" w:hAnsi="Arial" w:cs="Arial" w:hint="default"/>
        <w:b/>
        <w:color w:val="0563C1" w:themeColor="hyperlink"/>
        <w:sz w:val="20"/>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6" w15:restartNumberingAfterBreak="0">
    <w:nsid w:val="7CF94035"/>
    <w:multiLevelType w:val="hybridMultilevel"/>
    <w:tmpl w:val="D8585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D130D1D"/>
    <w:multiLevelType w:val="hybridMultilevel"/>
    <w:tmpl w:val="13EEF5EE"/>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8" w15:restartNumberingAfterBreak="0">
    <w:nsid w:val="7DBF5ECF"/>
    <w:multiLevelType w:val="multilevel"/>
    <w:tmpl w:val="C5BE95EA"/>
    <w:lvl w:ilvl="0">
      <w:start w:val="1"/>
      <w:numFmt w:val="decimal"/>
      <w:lvlText w:val="%1."/>
      <w:lvlJc w:val="left"/>
      <w:pPr>
        <w:ind w:left="720" w:hanging="360"/>
      </w:pPr>
    </w:lvl>
    <w:lvl w:ilvl="1">
      <w:start w:val="95"/>
      <w:numFmt w:val="decimal"/>
      <w:isLgl/>
      <w:lvlText w:val="%1.%2"/>
      <w:lvlJc w:val="left"/>
      <w:pPr>
        <w:ind w:left="1350" w:hanging="990"/>
      </w:pPr>
      <w:rPr>
        <w:rFonts w:hint="default"/>
      </w:rPr>
    </w:lvl>
    <w:lvl w:ilvl="2">
      <w:numFmt w:val="decimal"/>
      <w:isLgl/>
      <w:lvlText w:val="%1.%2.%3"/>
      <w:lvlJc w:val="left"/>
      <w:pPr>
        <w:ind w:left="1350" w:hanging="990"/>
      </w:pPr>
      <w:rPr>
        <w:rFonts w:hint="default"/>
      </w:rPr>
    </w:lvl>
    <w:lvl w:ilvl="3">
      <w:start w:val="5"/>
      <w:numFmt w:val="decimalZero"/>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9" w15:restartNumberingAfterBreak="0">
    <w:nsid w:val="7F6D4EAB"/>
    <w:multiLevelType w:val="hybridMultilevel"/>
    <w:tmpl w:val="9BF6C7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7F9F38DA"/>
    <w:multiLevelType w:val="hybridMultilevel"/>
    <w:tmpl w:val="7F34626A"/>
    <w:lvl w:ilvl="0" w:tplc="177064B0">
      <w:start w:val="1"/>
      <w:numFmt w:val="lowerRoman"/>
      <w:lvlText w:val="%1."/>
      <w:lvlJc w:val="right"/>
      <w:pPr>
        <w:ind w:left="786" w:hanging="360"/>
      </w:pPr>
      <w:rPr>
        <w:b/>
        <w:bCs/>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27"/>
  </w:num>
  <w:num w:numId="2">
    <w:abstractNumId w:val="28"/>
  </w:num>
  <w:num w:numId="3">
    <w:abstractNumId w:val="29"/>
  </w:num>
  <w:num w:numId="4">
    <w:abstractNumId w:val="30"/>
  </w:num>
  <w:num w:numId="5">
    <w:abstractNumId w:val="330"/>
  </w:num>
  <w:num w:numId="6">
    <w:abstractNumId w:val="430"/>
  </w:num>
  <w:num w:numId="7">
    <w:abstractNumId w:val="62"/>
  </w:num>
  <w:num w:numId="8">
    <w:abstractNumId w:val="261"/>
  </w:num>
  <w:num w:numId="9">
    <w:abstractNumId w:val="213"/>
  </w:num>
  <w:num w:numId="10">
    <w:abstractNumId w:val="166"/>
  </w:num>
  <w:num w:numId="11">
    <w:abstractNumId w:val="367"/>
  </w:num>
  <w:num w:numId="12">
    <w:abstractNumId w:val="83"/>
  </w:num>
  <w:num w:numId="13">
    <w:abstractNumId w:val="244"/>
  </w:num>
  <w:num w:numId="14">
    <w:abstractNumId w:val="302"/>
  </w:num>
  <w:num w:numId="15">
    <w:abstractNumId w:val="158"/>
  </w:num>
  <w:num w:numId="16">
    <w:abstractNumId w:val="408"/>
  </w:num>
  <w:num w:numId="17">
    <w:abstractNumId w:val="140"/>
  </w:num>
  <w:num w:numId="18">
    <w:abstractNumId w:val="89"/>
  </w:num>
  <w:num w:numId="19">
    <w:abstractNumId w:val="180"/>
  </w:num>
  <w:num w:numId="20">
    <w:abstractNumId w:val="35"/>
  </w:num>
  <w:num w:numId="21">
    <w:abstractNumId w:val="108"/>
  </w:num>
  <w:num w:numId="22">
    <w:abstractNumId w:val="123"/>
  </w:num>
  <w:num w:numId="23">
    <w:abstractNumId w:val="246"/>
  </w:num>
  <w:num w:numId="24">
    <w:abstractNumId w:val="205"/>
  </w:num>
  <w:num w:numId="25">
    <w:abstractNumId w:val="414"/>
  </w:num>
  <w:num w:numId="26">
    <w:abstractNumId w:val="409"/>
  </w:num>
  <w:num w:numId="27">
    <w:abstractNumId w:val="384"/>
  </w:num>
  <w:num w:numId="28">
    <w:abstractNumId w:val="228"/>
  </w:num>
  <w:num w:numId="29">
    <w:abstractNumId w:val="47"/>
  </w:num>
  <w:num w:numId="30">
    <w:abstractNumId w:val="110"/>
  </w:num>
  <w:num w:numId="31">
    <w:abstractNumId w:val="197"/>
  </w:num>
  <w:num w:numId="32">
    <w:abstractNumId w:val="382"/>
  </w:num>
  <w:num w:numId="33">
    <w:abstractNumId w:val="114"/>
  </w:num>
  <w:num w:numId="34">
    <w:abstractNumId w:val="115"/>
  </w:num>
  <w:num w:numId="35">
    <w:abstractNumId w:val="390"/>
  </w:num>
  <w:num w:numId="36">
    <w:abstractNumId w:val="87"/>
  </w:num>
  <w:num w:numId="37">
    <w:abstractNumId w:val="80"/>
  </w:num>
  <w:num w:numId="38">
    <w:abstractNumId w:val="50"/>
  </w:num>
  <w:num w:numId="39">
    <w:abstractNumId w:val="126"/>
  </w:num>
  <w:num w:numId="40">
    <w:abstractNumId w:val="415"/>
  </w:num>
  <w:num w:numId="41">
    <w:abstractNumId w:val="318"/>
  </w:num>
  <w:num w:numId="42">
    <w:abstractNumId w:val="277"/>
  </w:num>
  <w:num w:numId="43">
    <w:abstractNumId w:val="54"/>
  </w:num>
  <w:num w:numId="44">
    <w:abstractNumId w:val="256"/>
  </w:num>
  <w:num w:numId="45">
    <w:abstractNumId w:val="169"/>
  </w:num>
  <w:num w:numId="46">
    <w:abstractNumId w:val="157"/>
  </w:num>
  <w:num w:numId="47">
    <w:abstractNumId w:val="327"/>
  </w:num>
  <w:num w:numId="48">
    <w:abstractNumId w:val="358"/>
  </w:num>
  <w:num w:numId="49">
    <w:abstractNumId w:val="413"/>
  </w:num>
  <w:num w:numId="50">
    <w:abstractNumId w:val="242"/>
  </w:num>
  <w:num w:numId="51">
    <w:abstractNumId w:val="68"/>
  </w:num>
  <w:num w:numId="52">
    <w:abstractNumId w:val="288"/>
  </w:num>
  <w:num w:numId="53">
    <w:abstractNumId w:val="375"/>
  </w:num>
  <w:num w:numId="54">
    <w:abstractNumId w:val="127"/>
  </w:num>
  <w:num w:numId="55">
    <w:abstractNumId w:val="147"/>
  </w:num>
  <w:num w:numId="56">
    <w:abstractNumId w:val="33"/>
  </w:num>
  <w:num w:numId="57">
    <w:abstractNumId w:val="234"/>
  </w:num>
  <w:num w:numId="58">
    <w:abstractNumId w:val="215"/>
  </w:num>
  <w:num w:numId="59">
    <w:abstractNumId w:val="387"/>
  </w:num>
  <w:num w:numId="60">
    <w:abstractNumId w:val="333"/>
  </w:num>
  <w:num w:numId="61">
    <w:abstractNumId w:val="283"/>
  </w:num>
  <w:num w:numId="62">
    <w:abstractNumId w:val="103"/>
  </w:num>
  <w:num w:numId="63">
    <w:abstractNumId w:val="301"/>
  </w:num>
  <w:num w:numId="64">
    <w:abstractNumId w:val="276"/>
  </w:num>
  <w:num w:numId="65">
    <w:abstractNumId w:val="198"/>
  </w:num>
  <w:num w:numId="66">
    <w:abstractNumId w:val="257"/>
  </w:num>
  <w:num w:numId="67">
    <w:abstractNumId w:val="55"/>
  </w:num>
  <w:num w:numId="68">
    <w:abstractNumId w:val="78"/>
  </w:num>
  <w:num w:numId="69">
    <w:abstractNumId w:val="356"/>
  </w:num>
  <w:num w:numId="70">
    <w:abstractNumId w:val="142"/>
  </w:num>
  <w:num w:numId="71">
    <w:abstractNumId w:val="224"/>
  </w:num>
  <w:num w:numId="72">
    <w:abstractNumId w:val="144"/>
  </w:num>
  <w:num w:numId="73">
    <w:abstractNumId w:val="82"/>
  </w:num>
  <w:num w:numId="74">
    <w:abstractNumId w:val="219"/>
  </w:num>
  <w:num w:numId="75">
    <w:abstractNumId w:val="60"/>
  </w:num>
  <w:num w:numId="76">
    <w:abstractNumId w:val="391"/>
  </w:num>
  <w:num w:numId="77">
    <w:abstractNumId w:val="336"/>
  </w:num>
  <w:num w:numId="78">
    <w:abstractNumId w:val="221"/>
  </w:num>
  <w:num w:numId="79">
    <w:abstractNumId w:val="124"/>
  </w:num>
  <w:num w:numId="80">
    <w:abstractNumId w:val="178"/>
  </w:num>
  <w:num w:numId="81">
    <w:abstractNumId w:val="320"/>
  </w:num>
  <w:num w:numId="82">
    <w:abstractNumId w:val="200"/>
  </w:num>
  <w:num w:numId="83">
    <w:abstractNumId w:val="403"/>
  </w:num>
  <w:num w:numId="84">
    <w:abstractNumId w:val="104"/>
  </w:num>
  <w:num w:numId="85">
    <w:abstractNumId w:val="71"/>
  </w:num>
  <w:num w:numId="86">
    <w:abstractNumId w:val="159"/>
  </w:num>
  <w:num w:numId="87">
    <w:abstractNumId w:val="131"/>
  </w:num>
  <w:num w:numId="88">
    <w:abstractNumId w:val="153"/>
  </w:num>
  <w:num w:numId="89">
    <w:abstractNumId w:val="37"/>
  </w:num>
  <w:num w:numId="90">
    <w:abstractNumId w:val="253"/>
  </w:num>
  <w:num w:numId="91">
    <w:abstractNumId w:val="419"/>
  </w:num>
  <w:num w:numId="92">
    <w:abstractNumId w:val="202"/>
  </w:num>
  <w:num w:numId="93">
    <w:abstractNumId w:val="148"/>
  </w:num>
  <w:num w:numId="94">
    <w:abstractNumId w:val="267"/>
  </w:num>
  <w:num w:numId="95">
    <w:abstractNumId w:val="337"/>
  </w:num>
  <w:num w:numId="96">
    <w:abstractNumId w:val="376"/>
  </w:num>
  <w:num w:numId="97">
    <w:abstractNumId w:val="70"/>
  </w:num>
  <w:num w:numId="98">
    <w:abstractNumId w:val="187"/>
  </w:num>
  <w:num w:numId="99">
    <w:abstractNumId w:val="74"/>
  </w:num>
  <w:num w:numId="100">
    <w:abstractNumId w:val="239"/>
  </w:num>
  <w:num w:numId="101">
    <w:abstractNumId w:val="321"/>
  </w:num>
  <w:num w:numId="102">
    <w:abstractNumId w:val="44"/>
  </w:num>
  <w:num w:numId="103">
    <w:abstractNumId w:val="152"/>
  </w:num>
  <w:num w:numId="104">
    <w:abstractNumId w:val="163"/>
  </w:num>
  <w:num w:numId="105">
    <w:abstractNumId w:val="236"/>
  </w:num>
  <w:num w:numId="106">
    <w:abstractNumId w:val="73"/>
  </w:num>
  <w:num w:numId="107">
    <w:abstractNumId w:val="81"/>
  </w:num>
  <w:num w:numId="108">
    <w:abstractNumId w:val="423"/>
  </w:num>
  <w:num w:numId="109">
    <w:abstractNumId w:val="143"/>
  </w:num>
  <w:num w:numId="110">
    <w:abstractNumId w:val="245"/>
  </w:num>
  <w:num w:numId="111">
    <w:abstractNumId w:val="406"/>
  </w:num>
  <w:num w:numId="112">
    <w:abstractNumId w:val="328"/>
  </w:num>
  <w:num w:numId="113">
    <w:abstractNumId w:val="340"/>
  </w:num>
  <w:num w:numId="114">
    <w:abstractNumId w:val="292"/>
  </w:num>
  <w:num w:numId="115">
    <w:abstractNumId w:val="217"/>
  </w:num>
  <w:num w:numId="116">
    <w:abstractNumId w:val="167"/>
  </w:num>
  <w:num w:numId="117">
    <w:abstractNumId w:val="262"/>
  </w:num>
  <w:num w:numId="118">
    <w:abstractNumId w:val="184"/>
  </w:num>
  <w:num w:numId="119">
    <w:abstractNumId w:val="345"/>
  </w:num>
  <w:num w:numId="120">
    <w:abstractNumId w:val="173"/>
  </w:num>
  <w:num w:numId="121">
    <w:abstractNumId w:val="161"/>
  </w:num>
  <w:num w:numId="122">
    <w:abstractNumId w:val="395"/>
  </w:num>
  <w:num w:numId="123">
    <w:abstractNumId w:val="371"/>
  </w:num>
  <w:num w:numId="124">
    <w:abstractNumId w:val="76"/>
  </w:num>
  <w:num w:numId="125">
    <w:abstractNumId w:val="40"/>
  </w:num>
  <w:num w:numId="126">
    <w:abstractNumId w:val="38"/>
  </w:num>
  <w:num w:numId="127">
    <w:abstractNumId w:val="92"/>
  </w:num>
  <w:num w:numId="128">
    <w:abstractNumId w:val="363"/>
  </w:num>
  <w:num w:numId="129">
    <w:abstractNumId w:val="48"/>
  </w:num>
  <w:num w:numId="130">
    <w:abstractNumId w:val="369"/>
  </w:num>
  <w:num w:numId="131">
    <w:abstractNumId w:val="95"/>
  </w:num>
  <w:num w:numId="132">
    <w:abstractNumId w:val="251"/>
  </w:num>
  <w:num w:numId="133">
    <w:abstractNumId w:val="59"/>
  </w:num>
  <w:num w:numId="134">
    <w:abstractNumId w:val="383"/>
  </w:num>
  <w:num w:numId="135">
    <w:abstractNumId w:val="77"/>
  </w:num>
  <w:num w:numId="136">
    <w:abstractNumId w:val="420"/>
  </w:num>
  <w:num w:numId="137">
    <w:abstractNumId w:val="65"/>
  </w:num>
  <w:num w:numId="138">
    <w:abstractNumId w:val="290"/>
  </w:num>
  <w:num w:numId="139">
    <w:abstractNumId w:val="186"/>
  </w:num>
  <w:num w:numId="140">
    <w:abstractNumId w:val="304"/>
  </w:num>
  <w:num w:numId="141">
    <w:abstractNumId w:val="258"/>
  </w:num>
  <w:num w:numId="142">
    <w:abstractNumId w:val="287"/>
  </w:num>
  <w:num w:numId="143">
    <w:abstractNumId w:val="137"/>
  </w:num>
  <w:num w:numId="144">
    <w:abstractNumId w:val="300"/>
  </w:num>
  <w:num w:numId="145">
    <w:abstractNumId w:val="72"/>
  </w:num>
  <w:num w:numId="146">
    <w:abstractNumId w:val="289"/>
  </w:num>
  <w:num w:numId="147">
    <w:abstractNumId w:val="360"/>
  </w:num>
  <w:num w:numId="148">
    <w:abstractNumId w:val="252"/>
  </w:num>
  <w:num w:numId="149">
    <w:abstractNumId w:val="119"/>
  </w:num>
  <w:num w:numId="150">
    <w:abstractNumId w:val="370"/>
  </w:num>
  <w:num w:numId="151">
    <w:abstractNumId w:val="344"/>
  </w:num>
  <w:num w:numId="152">
    <w:abstractNumId w:val="46"/>
  </w:num>
  <w:num w:numId="153">
    <w:abstractNumId w:val="404"/>
  </w:num>
  <w:num w:numId="154">
    <w:abstractNumId w:val="392"/>
  </w:num>
  <w:num w:numId="155">
    <w:abstractNumId w:val="309"/>
  </w:num>
  <w:num w:numId="156">
    <w:abstractNumId w:val="347"/>
  </w:num>
  <w:num w:numId="157">
    <w:abstractNumId w:val="207"/>
  </w:num>
  <w:num w:numId="158">
    <w:abstractNumId w:val="149"/>
  </w:num>
  <w:num w:numId="159">
    <w:abstractNumId w:val="354"/>
  </w:num>
  <w:num w:numId="160">
    <w:abstractNumId w:val="231"/>
  </w:num>
  <w:num w:numId="161">
    <w:abstractNumId w:val="248"/>
  </w:num>
  <w:num w:numId="162">
    <w:abstractNumId w:val="36"/>
  </w:num>
  <w:num w:numId="163">
    <w:abstractNumId w:val="316"/>
  </w:num>
  <w:num w:numId="164">
    <w:abstractNumId w:val="91"/>
  </w:num>
  <w:num w:numId="165">
    <w:abstractNumId w:val="146"/>
  </w:num>
  <w:num w:numId="166">
    <w:abstractNumId w:val="150"/>
  </w:num>
  <w:num w:numId="167">
    <w:abstractNumId w:val="58"/>
  </w:num>
  <w:num w:numId="168">
    <w:abstractNumId w:val="266"/>
  </w:num>
  <w:num w:numId="169">
    <w:abstractNumId w:val="243"/>
  </w:num>
  <w:num w:numId="170">
    <w:abstractNumId w:val="86"/>
  </w:num>
  <w:num w:numId="171">
    <w:abstractNumId w:val="120"/>
  </w:num>
  <w:num w:numId="172">
    <w:abstractNumId w:val="424"/>
  </w:num>
  <w:num w:numId="173">
    <w:abstractNumId w:val="362"/>
  </w:num>
  <w:num w:numId="174">
    <w:abstractNumId w:val="93"/>
  </w:num>
  <w:num w:numId="175">
    <w:abstractNumId w:val="185"/>
  </w:num>
  <w:num w:numId="176">
    <w:abstractNumId w:val="98"/>
  </w:num>
  <w:num w:numId="177">
    <w:abstractNumId w:val="88"/>
  </w:num>
  <w:num w:numId="178">
    <w:abstractNumId w:val="249"/>
  </w:num>
  <w:num w:numId="179">
    <w:abstractNumId w:val="177"/>
  </w:num>
  <w:num w:numId="180">
    <w:abstractNumId w:val="209"/>
  </w:num>
  <w:num w:numId="181">
    <w:abstractNumId w:val="324"/>
  </w:num>
  <w:num w:numId="182">
    <w:abstractNumId w:val="220"/>
  </w:num>
  <w:num w:numId="183">
    <w:abstractNumId w:val="11"/>
  </w:num>
  <w:num w:numId="184">
    <w:abstractNumId w:val="352"/>
  </w:num>
  <w:num w:numId="185">
    <w:abstractNumId w:val="9"/>
  </w:num>
  <w:num w:numId="186">
    <w:abstractNumId w:val="322"/>
  </w:num>
  <w:num w:numId="187">
    <w:abstractNumId w:val="310"/>
  </w:num>
  <w:num w:numId="188">
    <w:abstractNumId w:val="364"/>
  </w:num>
  <w:num w:numId="189">
    <w:abstractNumId w:val="237"/>
  </w:num>
  <w:num w:numId="190">
    <w:abstractNumId w:val="308"/>
  </w:num>
  <w:num w:numId="191">
    <w:abstractNumId w:val="64"/>
  </w:num>
  <w:num w:numId="192">
    <w:abstractNumId w:val="181"/>
  </w:num>
  <w:num w:numId="193">
    <w:abstractNumId w:val="372"/>
  </w:num>
  <w:num w:numId="194">
    <w:abstractNumId w:val="96"/>
  </w:num>
  <w:num w:numId="195">
    <w:abstractNumId w:val="107"/>
  </w:num>
  <w:num w:numId="196">
    <w:abstractNumId w:val="214"/>
  </w:num>
  <w:num w:numId="197">
    <w:abstractNumId w:val="366"/>
  </w:num>
  <w:num w:numId="198">
    <w:abstractNumId w:val="12"/>
  </w:num>
  <w:num w:numId="199">
    <w:abstractNumId w:val="229"/>
  </w:num>
  <w:num w:numId="200">
    <w:abstractNumId w:val="335"/>
  </w:num>
  <w:num w:numId="201">
    <w:abstractNumId w:val="97"/>
  </w:num>
  <w:num w:numId="202">
    <w:abstractNumId w:val="263"/>
  </w:num>
  <w:num w:numId="203">
    <w:abstractNumId w:val="25"/>
  </w:num>
  <w:num w:numId="204">
    <w:abstractNumId w:val="164"/>
  </w:num>
  <w:num w:numId="205">
    <w:abstractNumId w:val="282"/>
  </w:num>
  <w:num w:numId="206">
    <w:abstractNumId w:val="210"/>
  </w:num>
  <w:num w:numId="207">
    <w:abstractNumId w:val="51"/>
  </w:num>
  <w:num w:numId="208">
    <w:abstractNumId w:val="57"/>
  </w:num>
  <w:num w:numId="209">
    <w:abstractNumId w:val="294"/>
  </w:num>
  <w:num w:numId="210">
    <w:abstractNumId w:val="216"/>
  </w:num>
  <w:num w:numId="211">
    <w:abstractNumId w:val="4"/>
  </w:num>
  <w:num w:numId="212">
    <w:abstractNumId w:val="182"/>
  </w:num>
  <w:num w:numId="213">
    <w:abstractNumId w:val="270"/>
  </w:num>
  <w:num w:numId="214">
    <w:abstractNumId w:val="7"/>
  </w:num>
  <w:num w:numId="215">
    <w:abstractNumId w:val="105"/>
  </w:num>
  <w:num w:numId="216">
    <w:abstractNumId w:val="14"/>
  </w:num>
  <w:num w:numId="217">
    <w:abstractNumId w:val="191"/>
  </w:num>
  <w:num w:numId="218">
    <w:abstractNumId w:val="401"/>
  </w:num>
  <w:num w:numId="219">
    <w:abstractNumId w:val="346"/>
  </w:num>
  <w:num w:numId="220">
    <w:abstractNumId w:val="61"/>
  </w:num>
  <w:num w:numId="221">
    <w:abstractNumId w:val="43"/>
  </w:num>
  <w:num w:numId="222">
    <w:abstractNumId w:val="192"/>
  </w:num>
  <w:num w:numId="223">
    <w:abstractNumId w:val="196"/>
  </w:num>
  <w:num w:numId="224">
    <w:abstractNumId w:val="272"/>
  </w:num>
  <w:num w:numId="225">
    <w:abstractNumId w:val="56"/>
  </w:num>
  <w:num w:numId="226">
    <w:abstractNumId w:val="285"/>
  </w:num>
  <w:num w:numId="227">
    <w:abstractNumId w:val="32"/>
  </w:num>
  <w:num w:numId="228">
    <w:abstractNumId w:val="10"/>
  </w:num>
  <w:num w:numId="229">
    <w:abstractNumId w:val="22"/>
  </w:num>
  <w:num w:numId="230">
    <w:abstractNumId w:val="195"/>
  </w:num>
  <w:num w:numId="231">
    <w:abstractNumId w:val="69"/>
  </w:num>
  <w:num w:numId="232">
    <w:abstractNumId w:val="412"/>
  </w:num>
  <w:num w:numId="233">
    <w:abstractNumId w:val="75"/>
  </w:num>
  <w:num w:numId="234">
    <w:abstractNumId w:val="269"/>
  </w:num>
  <w:num w:numId="235">
    <w:abstractNumId w:val="303"/>
  </w:num>
  <w:num w:numId="236">
    <w:abstractNumId w:val="170"/>
  </w:num>
  <w:num w:numId="237">
    <w:abstractNumId w:val="63"/>
  </w:num>
  <w:num w:numId="238">
    <w:abstractNumId w:val="99"/>
  </w:num>
  <w:num w:numId="239">
    <w:abstractNumId w:val="378"/>
  </w:num>
  <w:num w:numId="240">
    <w:abstractNumId w:val="329"/>
  </w:num>
  <w:num w:numId="241">
    <w:abstractNumId w:val="172"/>
  </w:num>
  <w:num w:numId="242">
    <w:abstractNumId w:val="176"/>
  </w:num>
  <w:num w:numId="243">
    <w:abstractNumId w:val="421"/>
  </w:num>
  <w:num w:numId="244">
    <w:abstractNumId w:val="183"/>
  </w:num>
  <w:num w:numId="245">
    <w:abstractNumId w:val="53"/>
  </w:num>
  <w:num w:numId="246">
    <w:abstractNumId w:val="155"/>
  </w:num>
  <w:num w:numId="247">
    <w:abstractNumId w:val="281"/>
  </w:num>
  <w:num w:numId="248">
    <w:abstractNumId w:val="18"/>
  </w:num>
  <w:num w:numId="249">
    <w:abstractNumId w:val="121"/>
  </w:num>
  <w:num w:numId="250">
    <w:abstractNumId w:val="168"/>
  </w:num>
  <w:num w:numId="251">
    <w:abstractNumId w:val="194"/>
  </w:num>
  <w:num w:numId="252">
    <w:abstractNumId w:val="226"/>
  </w:num>
  <w:num w:numId="253">
    <w:abstractNumId w:val="323"/>
  </w:num>
  <w:num w:numId="254">
    <w:abstractNumId w:val="175"/>
  </w:num>
  <w:num w:numId="255">
    <w:abstractNumId w:val="386"/>
  </w:num>
  <w:num w:numId="256">
    <w:abstractNumId w:val="275"/>
  </w:num>
  <w:num w:numId="257">
    <w:abstractNumId w:val="379"/>
  </w:num>
  <w:num w:numId="258">
    <w:abstractNumId w:val="174"/>
  </w:num>
  <w:num w:numId="259">
    <w:abstractNumId w:val="334"/>
  </w:num>
  <w:num w:numId="260">
    <w:abstractNumId w:val="394"/>
  </w:num>
  <w:num w:numId="261">
    <w:abstractNumId w:val="279"/>
  </w:num>
  <w:num w:numId="262">
    <w:abstractNumId w:val="23"/>
  </w:num>
  <w:num w:numId="263">
    <w:abstractNumId w:val="1"/>
  </w:num>
  <w:num w:numId="264">
    <w:abstractNumId w:val="52"/>
  </w:num>
  <w:num w:numId="265">
    <w:abstractNumId w:val="355"/>
  </w:num>
  <w:num w:numId="266">
    <w:abstractNumId w:val="385"/>
  </w:num>
  <w:num w:numId="267">
    <w:abstractNumId w:val="0"/>
  </w:num>
  <w:num w:numId="268">
    <w:abstractNumId w:val="145"/>
  </w:num>
  <w:num w:numId="269">
    <w:abstractNumId w:val="307"/>
  </w:num>
  <w:num w:numId="270">
    <w:abstractNumId w:val="151"/>
  </w:num>
  <w:num w:numId="271">
    <w:abstractNumId w:val="247"/>
  </w:num>
  <w:num w:numId="272">
    <w:abstractNumId w:val="416"/>
  </w:num>
  <w:num w:numId="273">
    <w:abstractNumId w:val="357"/>
  </w:num>
  <w:num w:numId="274">
    <w:abstractNumId w:val="160"/>
  </w:num>
  <w:num w:numId="275">
    <w:abstractNumId w:val="368"/>
  </w:num>
  <w:num w:numId="276">
    <w:abstractNumId w:val="284"/>
  </w:num>
  <w:num w:numId="277">
    <w:abstractNumId w:val="118"/>
  </w:num>
  <w:num w:numId="278">
    <w:abstractNumId w:val="274"/>
  </w:num>
  <w:num w:numId="279">
    <w:abstractNumId w:val="85"/>
  </w:num>
  <w:num w:numId="280">
    <w:abstractNumId w:val="429"/>
  </w:num>
  <w:num w:numId="281">
    <w:abstractNumId w:val="411"/>
  </w:num>
  <w:num w:numId="282">
    <w:abstractNumId w:val="361"/>
  </w:num>
  <w:num w:numId="283">
    <w:abstractNumId w:val="128"/>
  </w:num>
  <w:num w:numId="284">
    <w:abstractNumId w:val="39"/>
  </w:num>
  <w:num w:numId="285">
    <w:abstractNumId w:val="348"/>
  </w:num>
  <w:num w:numId="286">
    <w:abstractNumId w:val="19"/>
  </w:num>
  <w:num w:numId="287">
    <w:abstractNumId w:val="353"/>
  </w:num>
  <w:num w:numId="288">
    <w:abstractNumId w:val="425"/>
  </w:num>
  <w:num w:numId="289">
    <w:abstractNumId w:val="428"/>
  </w:num>
  <w:num w:numId="290">
    <w:abstractNumId w:val="351"/>
  </w:num>
  <w:num w:numId="291">
    <w:abstractNumId w:val="134"/>
  </w:num>
  <w:num w:numId="292">
    <w:abstractNumId w:val="398"/>
  </w:num>
  <w:num w:numId="293">
    <w:abstractNumId w:val="397"/>
  </w:num>
  <w:num w:numId="294">
    <w:abstractNumId w:val="42"/>
  </w:num>
  <w:num w:numId="295">
    <w:abstractNumId w:val="223"/>
  </w:num>
  <w:num w:numId="296">
    <w:abstractNumId w:val="193"/>
  </w:num>
  <w:num w:numId="297">
    <w:abstractNumId w:val="338"/>
  </w:num>
  <w:num w:numId="298">
    <w:abstractNumId w:val="66"/>
  </w:num>
  <w:num w:numId="299">
    <w:abstractNumId w:val="102"/>
  </w:num>
  <w:num w:numId="300">
    <w:abstractNumId w:val="273"/>
  </w:num>
  <w:num w:numId="301">
    <w:abstractNumId w:val="400"/>
  </w:num>
  <w:num w:numId="302">
    <w:abstractNumId w:val="5"/>
  </w:num>
  <w:num w:numId="303">
    <w:abstractNumId w:val="45"/>
  </w:num>
  <w:num w:numId="304">
    <w:abstractNumId w:val="111"/>
  </w:num>
  <w:num w:numId="305">
    <w:abstractNumId w:val="313"/>
  </w:num>
  <w:num w:numId="306">
    <w:abstractNumId w:val="306"/>
  </w:num>
  <w:num w:numId="307">
    <w:abstractNumId w:val="122"/>
  </w:num>
  <w:num w:numId="308">
    <w:abstractNumId w:val="117"/>
  </w:num>
  <w:num w:numId="309">
    <w:abstractNumId w:val="67"/>
  </w:num>
  <w:num w:numId="310">
    <w:abstractNumId w:val="201"/>
  </w:num>
  <w:num w:numId="311">
    <w:abstractNumId w:val="206"/>
  </w:num>
  <w:num w:numId="312">
    <w:abstractNumId w:val="154"/>
  </w:num>
  <w:num w:numId="313">
    <w:abstractNumId w:val="34"/>
  </w:num>
  <w:num w:numId="314">
    <w:abstractNumId w:val="259"/>
  </w:num>
  <w:num w:numId="315">
    <w:abstractNumId w:val="84"/>
  </w:num>
  <w:num w:numId="316">
    <w:abstractNumId w:val="342"/>
  </w:num>
  <w:num w:numId="317">
    <w:abstractNumId w:val="326"/>
  </w:num>
  <w:num w:numId="318">
    <w:abstractNumId w:val="203"/>
  </w:num>
  <w:num w:numId="319">
    <w:abstractNumId w:val="299"/>
  </w:num>
  <w:num w:numId="320">
    <w:abstractNumId w:val="90"/>
  </w:num>
  <w:num w:numId="321">
    <w:abstractNumId w:val="377"/>
  </w:num>
  <w:num w:numId="322">
    <w:abstractNumId w:val="350"/>
  </w:num>
  <w:num w:numId="323">
    <w:abstractNumId w:val="325"/>
  </w:num>
  <w:num w:numId="324">
    <w:abstractNumId w:val="94"/>
  </w:num>
  <w:num w:numId="325">
    <w:abstractNumId w:val="3"/>
  </w:num>
  <w:num w:numId="326">
    <w:abstractNumId w:val="138"/>
  </w:num>
  <w:num w:numId="327">
    <w:abstractNumId w:val="402"/>
  </w:num>
  <w:num w:numId="328">
    <w:abstractNumId w:val="21"/>
  </w:num>
  <w:num w:numId="329">
    <w:abstractNumId w:val="315"/>
  </w:num>
  <w:num w:numId="330">
    <w:abstractNumId w:val="208"/>
  </w:num>
  <w:num w:numId="331">
    <w:abstractNumId w:val="314"/>
  </w:num>
  <w:num w:numId="332">
    <w:abstractNumId w:val="241"/>
  </w:num>
  <w:num w:numId="333">
    <w:abstractNumId w:val="396"/>
  </w:num>
  <w:num w:numId="334">
    <w:abstractNumId w:val="296"/>
  </w:num>
  <w:num w:numId="335">
    <w:abstractNumId w:val="418"/>
  </w:num>
  <w:num w:numId="336">
    <w:abstractNumId w:val="17"/>
  </w:num>
  <w:num w:numId="337">
    <w:abstractNumId w:val="230"/>
  </w:num>
  <w:num w:numId="338">
    <w:abstractNumId w:val="179"/>
  </w:num>
  <w:num w:numId="339">
    <w:abstractNumId w:val="6"/>
  </w:num>
  <w:num w:numId="340">
    <w:abstractNumId w:val="268"/>
  </w:num>
  <w:num w:numId="341">
    <w:abstractNumId w:val="319"/>
  </w:num>
  <w:num w:numId="342">
    <w:abstractNumId w:val="297"/>
  </w:num>
  <w:num w:numId="343">
    <w:abstractNumId w:val="41"/>
  </w:num>
  <w:num w:numId="344">
    <w:abstractNumId w:val="278"/>
  </w:num>
  <w:num w:numId="345">
    <w:abstractNumId w:val="129"/>
  </w:num>
  <w:num w:numId="346">
    <w:abstractNumId w:val="136"/>
  </w:num>
  <w:num w:numId="347">
    <w:abstractNumId w:val="265"/>
  </w:num>
  <w:num w:numId="348">
    <w:abstractNumId w:val="211"/>
  </w:num>
  <w:num w:numId="349">
    <w:abstractNumId w:val="106"/>
  </w:num>
  <w:num w:numId="350">
    <w:abstractNumId w:val="130"/>
  </w:num>
  <w:num w:numId="351">
    <w:abstractNumId w:val="254"/>
  </w:num>
  <w:num w:numId="352">
    <w:abstractNumId w:val="141"/>
  </w:num>
  <w:num w:numId="353">
    <w:abstractNumId w:val="49"/>
  </w:num>
  <w:num w:numId="354">
    <w:abstractNumId w:val="20"/>
  </w:num>
  <w:num w:numId="355">
    <w:abstractNumId w:val="331"/>
  </w:num>
  <w:num w:numId="356">
    <w:abstractNumId w:val="156"/>
  </w:num>
  <w:num w:numId="357">
    <w:abstractNumId w:val="116"/>
  </w:num>
  <w:num w:numId="358">
    <w:abstractNumId w:val="218"/>
  </w:num>
  <w:num w:numId="359">
    <w:abstractNumId w:val="204"/>
  </w:num>
  <w:num w:numId="360">
    <w:abstractNumId w:val="240"/>
  </w:num>
  <w:num w:numId="361">
    <w:abstractNumId w:val="100"/>
  </w:num>
  <w:num w:numId="362">
    <w:abstractNumId w:val="374"/>
  </w:num>
  <w:num w:numId="363">
    <w:abstractNumId w:val="264"/>
  </w:num>
  <w:num w:numId="364">
    <w:abstractNumId w:val="407"/>
  </w:num>
  <w:num w:numId="365">
    <w:abstractNumId w:val="162"/>
  </w:num>
  <w:num w:numId="366">
    <w:abstractNumId w:val="332"/>
  </w:num>
  <w:num w:numId="367">
    <w:abstractNumId w:val="188"/>
  </w:num>
  <w:num w:numId="368">
    <w:abstractNumId w:val="280"/>
  </w:num>
  <w:num w:numId="369">
    <w:abstractNumId w:val="359"/>
  </w:num>
  <w:num w:numId="370">
    <w:abstractNumId w:val="389"/>
  </w:num>
  <w:num w:numId="371">
    <w:abstractNumId w:val="260"/>
  </w:num>
  <w:num w:numId="372">
    <w:abstractNumId w:val="222"/>
  </w:num>
  <w:num w:numId="373">
    <w:abstractNumId w:val="388"/>
  </w:num>
  <w:num w:numId="374">
    <w:abstractNumId w:val="235"/>
  </w:num>
  <w:num w:numId="375">
    <w:abstractNumId w:val="135"/>
  </w:num>
  <w:num w:numId="376">
    <w:abstractNumId w:val="422"/>
  </w:num>
  <w:num w:numId="377">
    <w:abstractNumId w:val="341"/>
  </w:num>
  <w:num w:numId="378">
    <w:abstractNumId w:val="293"/>
  </w:num>
  <w:num w:numId="379">
    <w:abstractNumId w:val="15"/>
  </w:num>
  <w:num w:numId="380">
    <w:abstractNumId w:val="426"/>
  </w:num>
  <w:num w:numId="381">
    <w:abstractNumId w:val="139"/>
  </w:num>
  <w:num w:numId="382">
    <w:abstractNumId w:val="16"/>
  </w:num>
  <w:num w:numId="383">
    <w:abstractNumId w:val="171"/>
  </w:num>
  <w:num w:numId="384">
    <w:abstractNumId w:val="113"/>
  </w:num>
  <w:num w:numId="385">
    <w:abstractNumId w:val="295"/>
  </w:num>
  <w:num w:numId="386">
    <w:abstractNumId w:val="232"/>
  </w:num>
  <w:num w:numId="387">
    <w:abstractNumId w:val="255"/>
  </w:num>
  <w:num w:numId="388">
    <w:abstractNumId w:val="2"/>
  </w:num>
  <w:num w:numId="389">
    <w:abstractNumId w:val="225"/>
  </w:num>
  <w:num w:numId="390">
    <w:abstractNumId w:val="227"/>
  </w:num>
  <w:num w:numId="391">
    <w:abstractNumId w:val="133"/>
  </w:num>
  <w:num w:numId="392">
    <w:abstractNumId w:val="317"/>
  </w:num>
  <w:num w:numId="393">
    <w:abstractNumId w:val="132"/>
  </w:num>
  <w:num w:numId="394">
    <w:abstractNumId w:val="427"/>
  </w:num>
  <w:num w:numId="395">
    <w:abstractNumId w:val="24"/>
  </w:num>
  <w:num w:numId="396">
    <w:abstractNumId w:val="286"/>
  </w:num>
  <w:num w:numId="397">
    <w:abstractNumId w:val="311"/>
  </w:num>
  <w:num w:numId="398">
    <w:abstractNumId w:val="13"/>
  </w:num>
  <w:num w:numId="399">
    <w:abstractNumId w:val="233"/>
  </w:num>
  <w:num w:numId="400">
    <w:abstractNumId w:val="410"/>
  </w:num>
  <w:num w:numId="401">
    <w:abstractNumId w:val="189"/>
  </w:num>
  <w:num w:numId="402">
    <w:abstractNumId w:val="380"/>
  </w:num>
  <w:num w:numId="403">
    <w:abstractNumId w:val="112"/>
  </w:num>
  <w:num w:numId="404">
    <w:abstractNumId w:val="238"/>
  </w:num>
  <w:num w:numId="405">
    <w:abstractNumId w:val="312"/>
  </w:num>
  <w:num w:numId="406">
    <w:abstractNumId w:val="381"/>
  </w:num>
  <w:num w:numId="407">
    <w:abstractNumId w:val="79"/>
  </w:num>
  <w:num w:numId="408">
    <w:abstractNumId w:val="199"/>
  </w:num>
  <w:num w:numId="409">
    <w:abstractNumId w:val="343"/>
  </w:num>
  <w:num w:numId="410">
    <w:abstractNumId w:val="399"/>
  </w:num>
  <w:num w:numId="411">
    <w:abstractNumId w:val="250"/>
  </w:num>
  <w:num w:numId="412">
    <w:abstractNumId w:val="365"/>
  </w:num>
  <w:num w:numId="413">
    <w:abstractNumId w:val="305"/>
  </w:num>
  <w:num w:numId="414">
    <w:abstractNumId w:val="212"/>
  </w:num>
  <w:num w:numId="415">
    <w:abstractNumId w:val="393"/>
  </w:num>
  <w:num w:numId="416">
    <w:abstractNumId w:val="405"/>
  </w:num>
  <w:num w:numId="417">
    <w:abstractNumId w:val="26"/>
  </w:num>
  <w:num w:numId="418">
    <w:abstractNumId w:val="31"/>
  </w:num>
  <w:num w:numId="419">
    <w:abstractNumId w:val="349"/>
  </w:num>
  <w:num w:numId="420">
    <w:abstractNumId w:val="101"/>
  </w:num>
  <w:num w:numId="421">
    <w:abstractNumId w:val="373"/>
  </w:num>
  <w:num w:numId="422">
    <w:abstractNumId w:val="339"/>
  </w:num>
  <w:num w:numId="423">
    <w:abstractNumId w:val="8"/>
  </w:num>
  <w:num w:numId="424">
    <w:abstractNumId w:val="165"/>
  </w:num>
  <w:num w:numId="425">
    <w:abstractNumId w:val="298"/>
  </w:num>
  <w:num w:numId="426">
    <w:abstractNumId w:val="190"/>
  </w:num>
  <w:num w:numId="427">
    <w:abstractNumId w:val="417"/>
  </w:num>
  <w:num w:numId="428">
    <w:abstractNumId w:val="291"/>
  </w:num>
  <w:num w:numId="429">
    <w:abstractNumId w:val="125"/>
  </w:num>
  <w:num w:numId="430">
    <w:abstractNumId w:val="271"/>
  </w:num>
  <w:num w:numId="431">
    <w:abstractNumId w:val="109"/>
  </w:num>
  <w:numIdMacAtCleanup w:val="4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CF"/>
    <w:rsid w:val="00000275"/>
    <w:rsid w:val="0000437B"/>
    <w:rsid w:val="00004776"/>
    <w:rsid w:val="00005DEC"/>
    <w:rsid w:val="00007520"/>
    <w:rsid w:val="0000777F"/>
    <w:rsid w:val="00007CB5"/>
    <w:rsid w:val="000236D5"/>
    <w:rsid w:val="00026A6E"/>
    <w:rsid w:val="0002781C"/>
    <w:rsid w:val="00027F08"/>
    <w:rsid w:val="00032C24"/>
    <w:rsid w:val="000331D1"/>
    <w:rsid w:val="000369E3"/>
    <w:rsid w:val="00041A77"/>
    <w:rsid w:val="000501EB"/>
    <w:rsid w:val="00052785"/>
    <w:rsid w:val="00055DFD"/>
    <w:rsid w:val="00061158"/>
    <w:rsid w:val="00061D0C"/>
    <w:rsid w:val="00062527"/>
    <w:rsid w:val="00062A4A"/>
    <w:rsid w:val="00064764"/>
    <w:rsid w:val="0006523D"/>
    <w:rsid w:val="00065A17"/>
    <w:rsid w:val="000674BD"/>
    <w:rsid w:val="00067997"/>
    <w:rsid w:val="000701B6"/>
    <w:rsid w:val="000720C5"/>
    <w:rsid w:val="00074322"/>
    <w:rsid w:val="00083F55"/>
    <w:rsid w:val="000869C1"/>
    <w:rsid w:val="00087C9E"/>
    <w:rsid w:val="00087CE6"/>
    <w:rsid w:val="00090576"/>
    <w:rsid w:val="0009368E"/>
    <w:rsid w:val="00095A2F"/>
    <w:rsid w:val="0009615B"/>
    <w:rsid w:val="000A07F2"/>
    <w:rsid w:val="000A3F77"/>
    <w:rsid w:val="000A6CA5"/>
    <w:rsid w:val="000A6F04"/>
    <w:rsid w:val="000B2492"/>
    <w:rsid w:val="000B287D"/>
    <w:rsid w:val="000B34AC"/>
    <w:rsid w:val="000B4BD4"/>
    <w:rsid w:val="000B5DDF"/>
    <w:rsid w:val="000B5ED9"/>
    <w:rsid w:val="000B7619"/>
    <w:rsid w:val="000C2AF5"/>
    <w:rsid w:val="000C3F6C"/>
    <w:rsid w:val="000D062C"/>
    <w:rsid w:val="000D0E38"/>
    <w:rsid w:val="000D26B6"/>
    <w:rsid w:val="000D33CA"/>
    <w:rsid w:val="000E13C2"/>
    <w:rsid w:val="000E5DF8"/>
    <w:rsid w:val="000F0577"/>
    <w:rsid w:val="000F29DC"/>
    <w:rsid w:val="000F3F2A"/>
    <w:rsid w:val="000F53C5"/>
    <w:rsid w:val="000F60D6"/>
    <w:rsid w:val="000F6868"/>
    <w:rsid w:val="001065E8"/>
    <w:rsid w:val="00107E8F"/>
    <w:rsid w:val="00115EEA"/>
    <w:rsid w:val="001226C3"/>
    <w:rsid w:val="0012299F"/>
    <w:rsid w:val="0012372A"/>
    <w:rsid w:val="001251B0"/>
    <w:rsid w:val="001256B8"/>
    <w:rsid w:val="001260AB"/>
    <w:rsid w:val="001261B0"/>
    <w:rsid w:val="00132376"/>
    <w:rsid w:val="0013505B"/>
    <w:rsid w:val="00135644"/>
    <w:rsid w:val="00136174"/>
    <w:rsid w:val="001367B2"/>
    <w:rsid w:val="001439EB"/>
    <w:rsid w:val="00144768"/>
    <w:rsid w:val="0015073B"/>
    <w:rsid w:val="00155BAD"/>
    <w:rsid w:val="00157774"/>
    <w:rsid w:val="00161368"/>
    <w:rsid w:val="001657F8"/>
    <w:rsid w:val="001729A9"/>
    <w:rsid w:val="00172B42"/>
    <w:rsid w:val="0018162A"/>
    <w:rsid w:val="00182904"/>
    <w:rsid w:val="00183C51"/>
    <w:rsid w:val="0019208A"/>
    <w:rsid w:val="001931A6"/>
    <w:rsid w:val="00194075"/>
    <w:rsid w:val="001A0ED5"/>
    <w:rsid w:val="001A1782"/>
    <w:rsid w:val="001A273B"/>
    <w:rsid w:val="001A2D54"/>
    <w:rsid w:val="001A31C5"/>
    <w:rsid w:val="001A3DCE"/>
    <w:rsid w:val="001A67E9"/>
    <w:rsid w:val="001B5396"/>
    <w:rsid w:val="001B79C5"/>
    <w:rsid w:val="001C0F1D"/>
    <w:rsid w:val="001C1308"/>
    <w:rsid w:val="001D2C44"/>
    <w:rsid w:val="001D484B"/>
    <w:rsid w:val="001D5B69"/>
    <w:rsid w:val="001D639C"/>
    <w:rsid w:val="001D6EB8"/>
    <w:rsid w:val="001D6FBE"/>
    <w:rsid w:val="001D79EB"/>
    <w:rsid w:val="001E0804"/>
    <w:rsid w:val="001E1D77"/>
    <w:rsid w:val="001E3612"/>
    <w:rsid w:val="001E361D"/>
    <w:rsid w:val="001E4EFE"/>
    <w:rsid w:val="001E5F25"/>
    <w:rsid w:val="001F18A0"/>
    <w:rsid w:val="001F5DF4"/>
    <w:rsid w:val="002005D2"/>
    <w:rsid w:val="00203303"/>
    <w:rsid w:val="002037C6"/>
    <w:rsid w:val="00207255"/>
    <w:rsid w:val="00207DE1"/>
    <w:rsid w:val="00207F9E"/>
    <w:rsid w:val="0021081D"/>
    <w:rsid w:val="00213195"/>
    <w:rsid w:val="0021354A"/>
    <w:rsid w:val="00216D66"/>
    <w:rsid w:val="00217538"/>
    <w:rsid w:val="00221267"/>
    <w:rsid w:val="002236BD"/>
    <w:rsid w:val="00224397"/>
    <w:rsid w:val="00225F48"/>
    <w:rsid w:val="00227A8B"/>
    <w:rsid w:val="00231F10"/>
    <w:rsid w:val="0024592E"/>
    <w:rsid w:val="002535C2"/>
    <w:rsid w:val="00253FBB"/>
    <w:rsid w:val="002570E4"/>
    <w:rsid w:val="00263268"/>
    <w:rsid w:val="00264CFD"/>
    <w:rsid w:val="00265B82"/>
    <w:rsid w:val="00265B91"/>
    <w:rsid w:val="00270D71"/>
    <w:rsid w:val="00270EBA"/>
    <w:rsid w:val="00274251"/>
    <w:rsid w:val="00275F12"/>
    <w:rsid w:val="002771C5"/>
    <w:rsid w:val="00277E4F"/>
    <w:rsid w:val="00287238"/>
    <w:rsid w:val="00290007"/>
    <w:rsid w:val="00294621"/>
    <w:rsid w:val="002A638A"/>
    <w:rsid w:val="002B1B5D"/>
    <w:rsid w:val="002B2B51"/>
    <w:rsid w:val="002B3270"/>
    <w:rsid w:val="002B5312"/>
    <w:rsid w:val="002B5AD8"/>
    <w:rsid w:val="002B7D8C"/>
    <w:rsid w:val="002C7E61"/>
    <w:rsid w:val="002D4804"/>
    <w:rsid w:val="002D5078"/>
    <w:rsid w:val="002E29A9"/>
    <w:rsid w:val="002E2EB1"/>
    <w:rsid w:val="002E3D70"/>
    <w:rsid w:val="002F02D6"/>
    <w:rsid w:val="002F334E"/>
    <w:rsid w:val="002F3BDB"/>
    <w:rsid w:val="002F4779"/>
    <w:rsid w:val="002F5C0D"/>
    <w:rsid w:val="002F7D73"/>
    <w:rsid w:val="0030399E"/>
    <w:rsid w:val="00305E46"/>
    <w:rsid w:val="00306A9C"/>
    <w:rsid w:val="00307BC6"/>
    <w:rsid w:val="00310AB1"/>
    <w:rsid w:val="00311422"/>
    <w:rsid w:val="00314A3C"/>
    <w:rsid w:val="00315F04"/>
    <w:rsid w:val="003167F1"/>
    <w:rsid w:val="003227B5"/>
    <w:rsid w:val="0032280D"/>
    <w:rsid w:val="00323C9E"/>
    <w:rsid w:val="00324B85"/>
    <w:rsid w:val="003278AE"/>
    <w:rsid w:val="00336CBD"/>
    <w:rsid w:val="00342344"/>
    <w:rsid w:val="00346A95"/>
    <w:rsid w:val="0035187F"/>
    <w:rsid w:val="00354689"/>
    <w:rsid w:val="00354C26"/>
    <w:rsid w:val="003729C4"/>
    <w:rsid w:val="00374E87"/>
    <w:rsid w:val="00376335"/>
    <w:rsid w:val="00377BF9"/>
    <w:rsid w:val="003815DE"/>
    <w:rsid w:val="00382808"/>
    <w:rsid w:val="00382A8D"/>
    <w:rsid w:val="003830E5"/>
    <w:rsid w:val="00386096"/>
    <w:rsid w:val="00392D7B"/>
    <w:rsid w:val="00393C79"/>
    <w:rsid w:val="00394635"/>
    <w:rsid w:val="003A2126"/>
    <w:rsid w:val="003A5DA0"/>
    <w:rsid w:val="003A7486"/>
    <w:rsid w:val="003B0DC8"/>
    <w:rsid w:val="003B1412"/>
    <w:rsid w:val="003C1D54"/>
    <w:rsid w:val="003C2AED"/>
    <w:rsid w:val="003C2E37"/>
    <w:rsid w:val="003C398A"/>
    <w:rsid w:val="003C4620"/>
    <w:rsid w:val="003D12F6"/>
    <w:rsid w:val="003D1CF4"/>
    <w:rsid w:val="003D4F87"/>
    <w:rsid w:val="003F0679"/>
    <w:rsid w:val="003F17BE"/>
    <w:rsid w:val="003F5FEC"/>
    <w:rsid w:val="003F694B"/>
    <w:rsid w:val="0040230D"/>
    <w:rsid w:val="00403A41"/>
    <w:rsid w:val="00413A06"/>
    <w:rsid w:val="004166D8"/>
    <w:rsid w:val="00425974"/>
    <w:rsid w:val="004319FE"/>
    <w:rsid w:val="004333B1"/>
    <w:rsid w:val="004412A3"/>
    <w:rsid w:val="00442D71"/>
    <w:rsid w:val="00444CC0"/>
    <w:rsid w:val="0044652B"/>
    <w:rsid w:val="00450BD6"/>
    <w:rsid w:val="0045779C"/>
    <w:rsid w:val="0045790E"/>
    <w:rsid w:val="00464EB2"/>
    <w:rsid w:val="00466DD9"/>
    <w:rsid w:val="00472140"/>
    <w:rsid w:val="00472584"/>
    <w:rsid w:val="004741D6"/>
    <w:rsid w:val="004807F2"/>
    <w:rsid w:val="004835CA"/>
    <w:rsid w:val="00493893"/>
    <w:rsid w:val="0049481B"/>
    <w:rsid w:val="00497159"/>
    <w:rsid w:val="004B2595"/>
    <w:rsid w:val="004B3B25"/>
    <w:rsid w:val="004B5711"/>
    <w:rsid w:val="004B6B45"/>
    <w:rsid w:val="004B7768"/>
    <w:rsid w:val="004B7B21"/>
    <w:rsid w:val="004C0894"/>
    <w:rsid w:val="004C36CC"/>
    <w:rsid w:val="004D1712"/>
    <w:rsid w:val="004D3A0A"/>
    <w:rsid w:val="004D5BA6"/>
    <w:rsid w:val="004D6AF6"/>
    <w:rsid w:val="004E27A9"/>
    <w:rsid w:val="004E52A8"/>
    <w:rsid w:val="004F0126"/>
    <w:rsid w:val="004F2C72"/>
    <w:rsid w:val="004F40D9"/>
    <w:rsid w:val="004F797D"/>
    <w:rsid w:val="00500CB9"/>
    <w:rsid w:val="00504DD1"/>
    <w:rsid w:val="00511CA1"/>
    <w:rsid w:val="00515090"/>
    <w:rsid w:val="005212E2"/>
    <w:rsid w:val="005229F0"/>
    <w:rsid w:val="00523185"/>
    <w:rsid w:val="00526785"/>
    <w:rsid w:val="00531B7E"/>
    <w:rsid w:val="00533F1E"/>
    <w:rsid w:val="005378E8"/>
    <w:rsid w:val="00543B17"/>
    <w:rsid w:val="00547734"/>
    <w:rsid w:val="00555C70"/>
    <w:rsid w:val="00562042"/>
    <w:rsid w:val="00562882"/>
    <w:rsid w:val="0056749E"/>
    <w:rsid w:val="00567C9E"/>
    <w:rsid w:val="00583AD7"/>
    <w:rsid w:val="00586E08"/>
    <w:rsid w:val="00587286"/>
    <w:rsid w:val="005907B3"/>
    <w:rsid w:val="00594878"/>
    <w:rsid w:val="00595271"/>
    <w:rsid w:val="005968BE"/>
    <w:rsid w:val="005A019D"/>
    <w:rsid w:val="005A4C96"/>
    <w:rsid w:val="005A7BB9"/>
    <w:rsid w:val="005B11E9"/>
    <w:rsid w:val="005B6A92"/>
    <w:rsid w:val="005C6889"/>
    <w:rsid w:val="005D0517"/>
    <w:rsid w:val="005D290E"/>
    <w:rsid w:val="005E1D63"/>
    <w:rsid w:val="005E5900"/>
    <w:rsid w:val="005F3A03"/>
    <w:rsid w:val="005F3F7D"/>
    <w:rsid w:val="005F4652"/>
    <w:rsid w:val="005F4668"/>
    <w:rsid w:val="005F6B51"/>
    <w:rsid w:val="006019B8"/>
    <w:rsid w:val="0060456E"/>
    <w:rsid w:val="0060535E"/>
    <w:rsid w:val="00606658"/>
    <w:rsid w:val="006167A2"/>
    <w:rsid w:val="006214A3"/>
    <w:rsid w:val="006235EF"/>
    <w:rsid w:val="00627673"/>
    <w:rsid w:val="0063160B"/>
    <w:rsid w:val="006327D0"/>
    <w:rsid w:val="00633B03"/>
    <w:rsid w:val="0063507E"/>
    <w:rsid w:val="00635E4D"/>
    <w:rsid w:val="0064345E"/>
    <w:rsid w:val="00643507"/>
    <w:rsid w:val="006508F2"/>
    <w:rsid w:val="00651532"/>
    <w:rsid w:val="00652515"/>
    <w:rsid w:val="006609F0"/>
    <w:rsid w:val="006674F4"/>
    <w:rsid w:val="00676BB6"/>
    <w:rsid w:val="006808DF"/>
    <w:rsid w:val="00681844"/>
    <w:rsid w:val="00683023"/>
    <w:rsid w:val="00684EF3"/>
    <w:rsid w:val="006868D6"/>
    <w:rsid w:val="006907B6"/>
    <w:rsid w:val="00691557"/>
    <w:rsid w:val="0069573C"/>
    <w:rsid w:val="006965AB"/>
    <w:rsid w:val="00696F96"/>
    <w:rsid w:val="006A5B8A"/>
    <w:rsid w:val="006A7C92"/>
    <w:rsid w:val="006B1409"/>
    <w:rsid w:val="006B23B1"/>
    <w:rsid w:val="006B4C79"/>
    <w:rsid w:val="006C35CE"/>
    <w:rsid w:val="006C5DC8"/>
    <w:rsid w:val="006C6E7D"/>
    <w:rsid w:val="006D026E"/>
    <w:rsid w:val="006D0596"/>
    <w:rsid w:val="006D5125"/>
    <w:rsid w:val="006D604B"/>
    <w:rsid w:val="006D690E"/>
    <w:rsid w:val="006E4E8A"/>
    <w:rsid w:val="006E5442"/>
    <w:rsid w:val="006E54C7"/>
    <w:rsid w:val="006E7035"/>
    <w:rsid w:val="006E7FCD"/>
    <w:rsid w:val="006F5A0E"/>
    <w:rsid w:val="00700786"/>
    <w:rsid w:val="00706C25"/>
    <w:rsid w:val="0071104F"/>
    <w:rsid w:val="00713DCA"/>
    <w:rsid w:val="00714C90"/>
    <w:rsid w:val="00716419"/>
    <w:rsid w:val="007203C0"/>
    <w:rsid w:val="00722A4D"/>
    <w:rsid w:val="00723E6B"/>
    <w:rsid w:val="00724504"/>
    <w:rsid w:val="00725F92"/>
    <w:rsid w:val="00727CD8"/>
    <w:rsid w:val="007350C4"/>
    <w:rsid w:val="007354B0"/>
    <w:rsid w:val="00736196"/>
    <w:rsid w:val="00736815"/>
    <w:rsid w:val="0073700C"/>
    <w:rsid w:val="007377D0"/>
    <w:rsid w:val="00737945"/>
    <w:rsid w:val="00741950"/>
    <w:rsid w:val="00742F54"/>
    <w:rsid w:val="007443BE"/>
    <w:rsid w:val="007448D2"/>
    <w:rsid w:val="00745C74"/>
    <w:rsid w:val="007472A1"/>
    <w:rsid w:val="00751334"/>
    <w:rsid w:val="007571EA"/>
    <w:rsid w:val="007643CF"/>
    <w:rsid w:val="0076679B"/>
    <w:rsid w:val="00766FA5"/>
    <w:rsid w:val="007675A9"/>
    <w:rsid w:val="00771C34"/>
    <w:rsid w:val="00773733"/>
    <w:rsid w:val="007741B0"/>
    <w:rsid w:val="007742FD"/>
    <w:rsid w:val="00775244"/>
    <w:rsid w:val="00783E6E"/>
    <w:rsid w:val="007842BC"/>
    <w:rsid w:val="00791465"/>
    <w:rsid w:val="00792475"/>
    <w:rsid w:val="007956E8"/>
    <w:rsid w:val="00797411"/>
    <w:rsid w:val="007A52D4"/>
    <w:rsid w:val="007B0A60"/>
    <w:rsid w:val="007B30EA"/>
    <w:rsid w:val="007B578E"/>
    <w:rsid w:val="007B727B"/>
    <w:rsid w:val="007C19EA"/>
    <w:rsid w:val="007C46DF"/>
    <w:rsid w:val="007D7E2A"/>
    <w:rsid w:val="007E1643"/>
    <w:rsid w:val="007E1897"/>
    <w:rsid w:val="007E377D"/>
    <w:rsid w:val="007E4C11"/>
    <w:rsid w:val="007E5D38"/>
    <w:rsid w:val="007E76C2"/>
    <w:rsid w:val="007E7A46"/>
    <w:rsid w:val="007F39B6"/>
    <w:rsid w:val="007F4F06"/>
    <w:rsid w:val="007F589A"/>
    <w:rsid w:val="00802F4F"/>
    <w:rsid w:val="00804D82"/>
    <w:rsid w:val="00805EBE"/>
    <w:rsid w:val="0081221D"/>
    <w:rsid w:val="00812C12"/>
    <w:rsid w:val="00813DD4"/>
    <w:rsid w:val="00815B63"/>
    <w:rsid w:val="00816F02"/>
    <w:rsid w:val="008176A0"/>
    <w:rsid w:val="00820F1D"/>
    <w:rsid w:val="008304DB"/>
    <w:rsid w:val="008315E6"/>
    <w:rsid w:val="0083375C"/>
    <w:rsid w:val="00835629"/>
    <w:rsid w:val="00836774"/>
    <w:rsid w:val="008379B2"/>
    <w:rsid w:val="00837D7E"/>
    <w:rsid w:val="00840232"/>
    <w:rsid w:val="0084077D"/>
    <w:rsid w:val="00845E4B"/>
    <w:rsid w:val="008464F7"/>
    <w:rsid w:val="00852A92"/>
    <w:rsid w:val="008568F2"/>
    <w:rsid w:val="00856BEA"/>
    <w:rsid w:val="00862864"/>
    <w:rsid w:val="00865AC5"/>
    <w:rsid w:val="00866BF3"/>
    <w:rsid w:val="00880251"/>
    <w:rsid w:val="008840FF"/>
    <w:rsid w:val="0088432C"/>
    <w:rsid w:val="00884C4D"/>
    <w:rsid w:val="00890DC1"/>
    <w:rsid w:val="00892816"/>
    <w:rsid w:val="008A0BAE"/>
    <w:rsid w:val="008A174F"/>
    <w:rsid w:val="008A4688"/>
    <w:rsid w:val="008A517B"/>
    <w:rsid w:val="008A7EB8"/>
    <w:rsid w:val="008B0175"/>
    <w:rsid w:val="008B291F"/>
    <w:rsid w:val="008B310A"/>
    <w:rsid w:val="008B7283"/>
    <w:rsid w:val="008B7A95"/>
    <w:rsid w:val="008C25B1"/>
    <w:rsid w:val="008C72EF"/>
    <w:rsid w:val="008D1D1C"/>
    <w:rsid w:val="008D294D"/>
    <w:rsid w:val="008D3797"/>
    <w:rsid w:val="008D4FC7"/>
    <w:rsid w:val="008D5417"/>
    <w:rsid w:val="008E2905"/>
    <w:rsid w:val="008E332A"/>
    <w:rsid w:val="008E4648"/>
    <w:rsid w:val="008E4970"/>
    <w:rsid w:val="008F0B50"/>
    <w:rsid w:val="008F258A"/>
    <w:rsid w:val="008F2C8F"/>
    <w:rsid w:val="008F36FF"/>
    <w:rsid w:val="008F46F0"/>
    <w:rsid w:val="008F6B30"/>
    <w:rsid w:val="009012C3"/>
    <w:rsid w:val="00901506"/>
    <w:rsid w:val="00901B00"/>
    <w:rsid w:val="00901DE6"/>
    <w:rsid w:val="00905742"/>
    <w:rsid w:val="009111C2"/>
    <w:rsid w:val="00912BB5"/>
    <w:rsid w:val="009145A2"/>
    <w:rsid w:val="00915596"/>
    <w:rsid w:val="009160DB"/>
    <w:rsid w:val="0091631A"/>
    <w:rsid w:val="00922304"/>
    <w:rsid w:val="00924EC2"/>
    <w:rsid w:val="0093040B"/>
    <w:rsid w:val="00934B9B"/>
    <w:rsid w:val="00934E58"/>
    <w:rsid w:val="009439E8"/>
    <w:rsid w:val="00945256"/>
    <w:rsid w:val="00946CBC"/>
    <w:rsid w:val="00952BFE"/>
    <w:rsid w:val="00956B31"/>
    <w:rsid w:val="00961C86"/>
    <w:rsid w:val="00962A94"/>
    <w:rsid w:val="0096432B"/>
    <w:rsid w:val="00970A84"/>
    <w:rsid w:val="00971698"/>
    <w:rsid w:val="009732EF"/>
    <w:rsid w:val="00974860"/>
    <w:rsid w:val="00976392"/>
    <w:rsid w:val="0097644C"/>
    <w:rsid w:val="00980BB0"/>
    <w:rsid w:val="00985871"/>
    <w:rsid w:val="00985BF7"/>
    <w:rsid w:val="00985F87"/>
    <w:rsid w:val="0098697B"/>
    <w:rsid w:val="00987B05"/>
    <w:rsid w:val="009946A6"/>
    <w:rsid w:val="009A1449"/>
    <w:rsid w:val="009A2270"/>
    <w:rsid w:val="009A6475"/>
    <w:rsid w:val="009B0643"/>
    <w:rsid w:val="009B6B91"/>
    <w:rsid w:val="009B75DF"/>
    <w:rsid w:val="009C1365"/>
    <w:rsid w:val="009C699D"/>
    <w:rsid w:val="009D13CC"/>
    <w:rsid w:val="009D1790"/>
    <w:rsid w:val="009D21EA"/>
    <w:rsid w:val="009D2C71"/>
    <w:rsid w:val="009E2D23"/>
    <w:rsid w:val="009E606D"/>
    <w:rsid w:val="009E6F9E"/>
    <w:rsid w:val="009E7101"/>
    <w:rsid w:val="009F19ED"/>
    <w:rsid w:val="009F48E0"/>
    <w:rsid w:val="009F6A44"/>
    <w:rsid w:val="009F76F2"/>
    <w:rsid w:val="00A00DFF"/>
    <w:rsid w:val="00A02438"/>
    <w:rsid w:val="00A06097"/>
    <w:rsid w:val="00A12183"/>
    <w:rsid w:val="00A12856"/>
    <w:rsid w:val="00A129C9"/>
    <w:rsid w:val="00A177CB"/>
    <w:rsid w:val="00A2153D"/>
    <w:rsid w:val="00A23DD1"/>
    <w:rsid w:val="00A24C1F"/>
    <w:rsid w:val="00A267A2"/>
    <w:rsid w:val="00A279AD"/>
    <w:rsid w:val="00A31429"/>
    <w:rsid w:val="00A351C9"/>
    <w:rsid w:val="00A451A6"/>
    <w:rsid w:val="00A456CC"/>
    <w:rsid w:val="00A45C57"/>
    <w:rsid w:val="00A51CC6"/>
    <w:rsid w:val="00A5544C"/>
    <w:rsid w:val="00A57A51"/>
    <w:rsid w:val="00A608DD"/>
    <w:rsid w:val="00A6191C"/>
    <w:rsid w:val="00A63DDB"/>
    <w:rsid w:val="00A65917"/>
    <w:rsid w:val="00A72A29"/>
    <w:rsid w:val="00A73775"/>
    <w:rsid w:val="00A743F0"/>
    <w:rsid w:val="00A76230"/>
    <w:rsid w:val="00A77FD8"/>
    <w:rsid w:val="00A82BA5"/>
    <w:rsid w:val="00A845E1"/>
    <w:rsid w:val="00A84BED"/>
    <w:rsid w:val="00A85169"/>
    <w:rsid w:val="00A9255C"/>
    <w:rsid w:val="00A925AD"/>
    <w:rsid w:val="00A93A36"/>
    <w:rsid w:val="00A942A9"/>
    <w:rsid w:val="00A963E1"/>
    <w:rsid w:val="00AA22E2"/>
    <w:rsid w:val="00AA273D"/>
    <w:rsid w:val="00AA68F9"/>
    <w:rsid w:val="00AB28DF"/>
    <w:rsid w:val="00AB46A9"/>
    <w:rsid w:val="00AB7853"/>
    <w:rsid w:val="00AB78CD"/>
    <w:rsid w:val="00AC53B3"/>
    <w:rsid w:val="00AC73BE"/>
    <w:rsid w:val="00AD02E0"/>
    <w:rsid w:val="00AD0D7C"/>
    <w:rsid w:val="00AD320D"/>
    <w:rsid w:val="00AD41C7"/>
    <w:rsid w:val="00AE1036"/>
    <w:rsid w:val="00AE1144"/>
    <w:rsid w:val="00AE35D3"/>
    <w:rsid w:val="00AE7EA8"/>
    <w:rsid w:val="00AF4FC4"/>
    <w:rsid w:val="00AF5E44"/>
    <w:rsid w:val="00AF77F6"/>
    <w:rsid w:val="00B0159E"/>
    <w:rsid w:val="00B01824"/>
    <w:rsid w:val="00B04CA7"/>
    <w:rsid w:val="00B06039"/>
    <w:rsid w:val="00B0683E"/>
    <w:rsid w:val="00B1018E"/>
    <w:rsid w:val="00B11112"/>
    <w:rsid w:val="00B13D4C"/>
    <w:rsid w:val="00B209B4"/>
    <w:rsid w:val="00B22564"/>
    <w:rsid w:val="00B26890"/>
    <w:rsid w:val="00B278AE"/>
    <w:rsid w:val="00B325BA"/>
    <w:rsid w:val="00B33B54"/>
    <w:rsid w:val="00B35559"/>
    <w:rsid w:val="00B436AA"/>
    <w:rsid w:val="00B43741"/>
    <w:rsid w:val="00B461C1"/>
    <w:rsid w:val="00B46BBC"/>
    <w:rsid w:val="00B47576"/>
    <w:rsid w:val="00B5026F"/>
    <w:rsid w:val="00B5085E"/>
    <w:rsid w:val="00B5215C"/>
    <w:rsid w:val="00B57EAB"/>
    <w:rsid w:val="00B60578"/>
    <w:rsid w:val="00B62FA5"/>
    <w:rsid w:val="00B659FE"/>
    <w:rsid w:val="00B71423"/>
    <w:rsid w:val="00B735D8"/>
    <w:rsid w:val="00B758C6"/>
    <w:rsid w:val="00B81FB3"/>
    <w:rsid w:val="00B82A49"/>
    <w:rsid w:val="00B852DB"/>
    <w:rsid w:val="00B9014C"/>
    <w:rsid w:val="00B9050D"/>
    <w:rsid w:val="00B90B64"/>
    <w:rsid w:val="00B942C1"/>
    <w:rsid w:val="00B94D35"/>
    <w:rsid w:val="00BA4120"/>
    <w:rsid w:val="00BB0829"/>
    <w:rsid w:val="00BB0936"/>
    <w:rsid w:val="00BB268A"/>
    <w:rsid w:val="00BB5366"/>
    <w:rsid w:val="00BC2619"/>
    <w:rsid w:val="00BC738D"/>
    <w:rsid w:val="00BD7E4A"/>
    <w:rsid w:val="00BE7829"/>
    <w:rsid w:val="00BF05C1"/>
    <w:rsid w:val="00C00F37"/>
    <w:rsid w:val="00C01F1B"/>
    <w:rsid w:val="00C10BB0"/>
    <w:rsid w:val="00C10CDF"/>
    <w:rsid w:val="00C12943"/>
    <w:rsid w:val="00C130F0"/>
    <w:rsid w:val="00C13F11"/>
    <w:rsid w:val="00C15DCD"/>
    <w:rsid w:val="00C15FE6"/>
    <w:rsid w:val="00C16193"/>
    <w:rsid w:val="00C16E66"/>
    <w:rsid w:val="00C217DD"/>
    <w:rsid w:val="00C21A07"/>
    <w:rsid w:val="00C24AA0"/>
    <w:rsid w:val="00C250A0"/>
    <w:rsid w:val="00C25ADE"/>
    <w:rsid w:val="00C3016B"/>
    <w:rsid w:val="00C30FC8"/>
    <w:rsid w:val="00C356B1"/>
    <w:rsid w:val="00C42296"/>
    <w:rsid w:val="00C4553C"/>
    <w:rsid w:val="00C522E2"/>
    <w:rsid w:val="00C5411A"/>
    <w:rsid w:val="00C54CE2"/>
    <w:rsid w:val="00C55377"/>
    <w:rsid w:val="00C61708"/>
    <w:rsid w:val="00C632E5"/>
    <w:rsid w:val="00C63C7A"/>
    <w:rsid w:val="00C64EA4"/>
    <w:rsid w:val="00C66304"/>
    <w:rsid w:val="00C66D80"/>
    <w:rsid w:val="00C70A3C"/>
    <w:rsid w:val="00C70EEE"/>
    <w:rsid w:val="00C71F60"/>
    <w:rsid w:val="00C82696"/>
    <w:rsid w:val="00C83D5F"/>
    <w:rsid w:val="00C906D2"/>
    <w:rsid w:val="00C910FF"/>
    <w:rsid w:val="00C92C8E"/>
    <w:rsid w:val="00C93362"/>
    <w:rsid w:val="00C93D64"/>
    <w:rsid w:val="00C947F4"/>
    <w:rsid w:val="00C95894"/>
    <w:rsid w:val="00CA264C"/>
    <w:rsid w:val="00CA62DC"/>
    <w:rsid w:val="00CA743F"/>
    <w:rsid w:val="00CB0408"/>
    <w:rsid w:val="00CB30A1"/>
    <w:rsid w:val="00CB3EA4"/>
    <w:rsid w:val="00CC02BE"/>
    <w:rsid w:val="00CC126B"/>
    <w:rsid w:val="00CC1BF2"/>
    <w:rsid w:val="00CC1E2C"/>
    <w:rsid w:val="00CC7E3F"/>
    <w:rsid w:val="00CD0039"/>
    <w:rsid w:val="00CD37FF"/>
    <w:rsid w:val="00CD4F34"/>
    <w:rsid w:val="00CD6AB3"/>
    <w:rsid w:val="00CD736F"/>
    <w:rsid w:val="00CD7AB5"/>
    <w:rsid w:val="00CE16AD"/>
    <w:rsid w:val="00CE303F"/>
    <w:rsid w:val="00CE5B44"/>
    <w:rsid w:val="00CF2686"/>
    <w:rsid w:val="00D002FF"/>
    <w:rsid w:val="00D01A17"/>
    <w:rsid w:val="00D033EC"/>
    <w:rsid w:val="00D1251F"/>
    <w:rsid w:val="00D16719"/>
    <w:rsid w:val="00D20300"/>
    <w:rsid w:val="00D2197B"/>
    <w:rsid w:val="00D22C30"/>
    <w:rsid w:val="00D23BA9"/>
    <w:rsid w:val="00D263E2"/>
    <w:rsid w:val="00D33747"/>
    <w:rsid w:val="00D339CB"/>
    <w:rsid w:val="00D3738F"/>
    <w:rsid w:val="00D42B12"/>
    <w:rsid w:val="00D50E43"/>
    <w:rsid w:val="00D535E1"/>
    <w:rsid w:val="00D555D7"/>
    <w:rsid w:val="00D564FE"/>
    <w:rsid w:val="00D576D7"/>
    <w:rsid w:val="00D62F9A"/>
    <w:rsid w:val="00D64D52"/>
    <w:rsid w:val="00D655DD"/>
    <w:rsid w:val="00D709B2"/>
    <w:rsid w:val="00D731E1"/>
    <w:rsid w:val="00D740EF"/>
    <w:rsid w:val="00D83535"/>
    <w:rsid w:val="00D83553"/>
    <w:rsid w:val="00D84619"/>
    <w:rsid w:val="00D94C76"/>
    <w:rsid w:val="00D96058"/>
    <w:rsid w:val="00DA5364"/>
    <w:rsid w:val="00DA54AD"/>
    <w:rsid w:val="00DB0524"/>
    <w:rsid w:val="00DB0DDE"/>
    <w:rsid w:val="00DB2699"/>
    <w:rsid w:val="00DB5D8E"/>
    <w:rsid w:val="00DB64CF"/>
    <w:rsid w:val="00DB74EF"/>
    <w:rsid w:val="00DC6D3F"/>
    <w:rsid w:val="00DC71E1"/>
    <w:rsid w:val="00DD3DF9"/>
    <w:rsid w:val="00DE1405"/>
    <w:rsid w:val="00DE39F4"/>
    <w:rsid w:val="00DE6BC0"/>
    <w:rsid w:val="00DE7392"/>
    <w:rsid w:val="00DE74C9"/>
    <w:rsid w:val="00DF1A23"/>
    <w:rsid w:val="00DF3E26"/>
    <w:rsid w:val="00DF5D4E"/>
    <w:rsid w:val="00DF7307"/>
    <w:rsid w:val="00E01A4C"/>
    <w:rsid w:val="00E03C4F"/>
    <w:rsid w:val="00E04AB9"/>
    <w:rsid w:val="00E06868"/>
    <w:rsid w:val="00E06FBF"/>
    <w:rsid w:val="00E21602"/>
    <w:rsid w:val="00E23C0E"/>
    <w:rsid w:val="00E30F29"/>
    <w:rsid w:val="00E31E3D"/>
    <w:rsid w:val="00E31ED1"/>
    <w:rsid w:val="00E321CB"/>
    <w:rsid w:val="00E35024"/>
    <w:rsid w:val="00E37C68"/>
    <w:rsid w:val="00E37CF8"/>
    <w:rsid w:val="00E43416"/>
    <w:rsid w:val="00E43ADD"/>
    <w:rsid w:val="00E45D9E"/>
    <w:rsid w:val="00E47150"/>
    <w:rsid w:val="00E5072C"/>
    <w:rsid w:val="00E51C06"/>
    <w:rsid w:val="00E54AFB"/>
    <w:rsid w:val="00E6056A"/>
    <w:rsid w:val="00E623F9"/>
    <w:rsid w:val="00E62D84"/>
    <w:rsid w:val="00E64A0E"/>
    <w:rsid w:val="00E658FB"/>
    <w:rsid w:val="00E66302"/>
    <w:rsid w:val="00E668C4"/>
    <w:rsid w:val="00E70645"/>
    <w:rsid w:val="00E71910"/>
    <w:rsid w:val="00E71C67"/>
    <w:rsid w:val="00E727B9"/>
    <w:rsid w:val="00E75B2E"/>
    <w:rsid w:val="00E7725C"/>
    <w:rsid w:val="00E80A70"/>
    <w:rsid w:val="00E8112D"/>
    <w:rsid w:val="00E81926"/>
    <w:rsid w:val="00E86A5E"/>
    <w:rsid w:val="00E92D34"/>
    <w:rsid w:val="00E9302C"/>
    <w:rsid w:val="00E93992"/>
    <w:rsid w:val="00EA01C9"/>
    <w:rsid w:val="00EA3343"/>
    <w:rsid w:val="00EA593D"/>
    <w:rsid w:val="00EA5BDF"/>
    <w:rsid w:val="00EA5E97"/>
    <w:rsid w:val="00EB264E"/>
    <w:rsid w:val="00EB3FF6"/>
    <w:rsid w:val="00EB78CB"/>
    <w:rsid w:val="00EC1BCA"/>
    <w:rsid w:val="00EC3D1F"/>
    <w:rsid w:val="00EC45E4"/>
    <w:rsid w:val="00EC4AF9"/>
    <w:rsid w:val="00ED4E0E"/>
    <w:rsid w:val="00ED618F"/>
    <w:rsid w:val="00EE2D22"/>
    <w:rsid w:val="00EE3321"/>
    <w:rsid w:val="00EE5BB0"/>
    <w:rsid w:val="00EE6124"/>
    <w:rsid w:val="00EE6E37"/>
    <w:rsid w:val="00EF2584"/>
    <w:rsid w:val="00EF5AD3"/>
    <w:rsid w:val="00EF6201"/>
    <w:rsid w:val="00EF6EFF"/>
    <w:rsid w:val="00F026C0"/>
    <w:rsid w:val="00F02EE2"/>
    <w:rsid w:val="00F02EFC"/>
    <w:rsid w:val="00F02F9D"/>
    <w:rsid w:val="00F058B1"/>
    <w:rsid w:val="00F05EC6"/>
    <w:rsid w:val="00F060C7"/>
    <w:rsid w:val="00F135D2"/>
    <w:rsid w:val="00F16BD7"/>
    <w:rsid w:val="00F20FB4"/>
    <w:rsid w:val="00F22551"/>
    <w:rsid w:val="00F2409C"/>
    <w:rsid w:val="00F26E3D"/>
    <w:rsid w:val="00F359E3"/>
    <w:rsid w:val="00F35D82"/>
    <w:rsid w:val="00F36957"/>
    <w:rsid w:val="00F4207B"/>
    <w:rsid w:val="00F4570D"/>
    <w:rsid w:val="00F47141"/>
    <w:rsid w:val="00F47532"/>
    <w:rsid w:val="00F57D66"/>
    <w:rsid w:val="00F60384"/>
    <w:rsid w:val="00F635F3"/>
    <w:rsid w:val="00F6415F"/>
    <w:rsid w:val="00F66200"/>
    <w:rsid w:val="00F6750C"/>
    <w:rsid w:val="00F7162E"/>
    <w:rsid w:val="00F72F4A"/>
    <w:rsid w:val="00F743BF"/>
    <w:rsid w:val="00F74DAF"/>
    <w:rsid w:val="00F76EAF"/>
    <w:rsid w:val="00F819D0"/>
    <w:rsid w:val="00F82A5B"/>
    <w:rsid w:val="00F83921"/>
    <w:rsid w:val="00F846A7"/>
    <w:rsid w:val="00F86447"/>
    <w:rsid w:val="00F879B2"/>
    <w:rsid w:val="00F92C21"/>
    <w:rsid w:val="00F92E67"/>
    <w:rsid w:val="00F93256"/>
    <w:rsid w:val="00F947D0"/>
    <w:rsid w:val="00F96A1F"/>
    <w:rsid w:val="00FA0E56"/>
    <w:rsid w:val="00FA1001"/>
    <w:rsid w:val="00FA2715"/>
    <w:rsid w:val="00FA7CC9"/>
    <w:rsid w:val="00FB295A"/>
    <w:rsid w:val="00FB4201"/>
    <w:rsid w:val="00FB4CAF"/>
    <w:rsid w:val="00FC0460"/>
    <w:rsid w:val="00FC4887"/>
    <w:rsid w:val="00FC60AF"/>
    <w:rsid w:val="00FD3B47"/>
    <w:rsid w:val="00FD48A0"/>
    <w:rsid w:val="00FE22FB"/>
    <w:rsid w:val="00FE24ED"/>
    <w:rsid w:val="00FF0DC2"/>
    <w:rsid w:val="00FF4C4F"/>
    <w:rsid w:val="00FF5267"/>
    <w:rsid w:val="00FF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1451"/>
  <w15:docId w15:val="{B2C521F3-4874-4B5E-BC51-12C66459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3D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E3D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E3D7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E3D7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E3D70"/>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2E3D70"/>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E3D7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E3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E3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D70"/>
    <w:pPr>
      <w:ind w:left="720"/>
      <w:contextualSpacing/>
    </w:pPr>
  </w:style>
  <w:style w:type="character" w:customStyle="1" w:styleId="Ttulo1Car">
    <w:name w:val="Título 1 Car"/>
    <w:basedOn w:val="Fuentedeprrafopredeter"/>
    <w:link w:val="Ttulo1"/>
    <w:uiPriority w:val="9"/>
    <w:rsid w:val="002E3D7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E3D7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2E3D70"/>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2E3D70"/>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2E3D70"/>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2E3D70"/>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2E3D70"/>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2E3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E3D70"/>
    <w:rPr>
      <w:rFonts w:asciiTheme="majorHAnsi" w:eastAsiaTheme="majorEastAsia" w:hAnsiTheme="majorHAnsi" w:cstheme="majorBidi"/>
      <w:i/>
      <w:iCs/>
      <w:color w:val="272727" w:themeColor="text1" w:themeTint="D8"/>
      <w:sz w:val="21"/>
      <w:szCs w:val="21"/>
    </w:rPr>
  </w:style>
  <w:style w:type="table" w:styleId="Tablaconcuadrcula">
    <w:name w:val="Table Grid"/>
    <w:basedOn w:val="Tablanormal"/>
    <w:uiPriority w:val="39"/>
    <w:rsid w:val="007E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D736F"/>
    <w:pPr>
      <w:tabs>
        <w:tab w:val="center" w:pos="4680"/>
        <w:tab w:val="right" w:pos="9360"/>
      </w:tabs>
    </w:pPr>
  </w:style>
  <w:style w:type="character" w:customStyle="1" w:styleId="EncabezadoCar">
    <w:name w:val="Encabezado Car"/>
    <w:basedOn w:val="Fuentedeprrafopredeter"/>
    <w:link w:val="Encabezado"/>
    <w:uiPriority w:val="99"/>
    <w:rsid w:val="00CD736F"/>
  </w:style>
  <w:style w:type="paragraph" w:styleId="Piedepgina">
    <w:name w:val="footer"/>
    <w:basedOn w:val="Normal"/>
    <w:link w:val="PiedepginaCar"/>
    <w:uiPriority w:val="99"/>
    <w:unhideWhenUsed/>
    <w:rsid w:val="00CD736F"/>
    <w:pPr>
      <w:tabs>
        <w:tab w:val="center" w:pos="4680"/>
        <w:tab w:val="right" w:pos="9360"/>
      </w:tabs>
    </w:pPr>
  </w:style>
  <w:style w:type="character" w:customStyle="1" w:styleId="PiedepginaCar">
    <w:name w:val="Pie de página Car"/>
    <w:basedOn w:val="Fuentedeprrafopredeter"/>
    <w:link w:val="Piedepgina"/>
    <w:uiPriority w:val="99"/>
    <w:rsid w:val="00CD736F"/>
  </w:style>
  <w:style w:type="paragraph" w:styleId="Textonotaalfinal">
    <w:name w:val="endnote text"/>
    <w:basedOn w:val="Normal"/>
    <w:link w:val="TextonotaalfinalCar"/>
    <w:uiPriority w:val="99"/>
    <w:semiHidden/>
    <w:unhideWhenUsed/>
    <w:rsid w:val="001256B8"/>
  </w:style>
  <w:style w:type="character" w:customStyle="1" w:styleId="TextonotaalfinalCar">
    <w:name w:val="Texto nota al final Car"/>
    <w:basedOn w:val="Fuentedeprrafopredeter"/>
    <w:link w:val="Textonotaalfinal"/>
    <w:uiPriority w:val="99"/>
    <w:semiHidden/>
    <w:rsid w:val="001256B8"/>
  </w:style>
  <w:style w:type="character" w:styleId="Refdenotaalfinal">
    <w:name w:val="endnote reference"/>
    <w:basedOn w:val="Fuentedeprrafopredeter"/>
    <w:uiPriority w:val="99"/>
    <w:semiHidden/>
    <w:unhideWhenUsed/>
    <w:rsid w:val="001256B8"/>
    <w:rPr>
      <w:vertAlign w:val="superscript"/>
    </w:rPr>
  </w:style>
  <w:style w:type="character" w:customStyle="1" w:styleId="ff2">
    <w:name w:val="ff2"/>
    <w:basedOn w:val="Fuentedeprrafopredeter"/>
    <w:rsid w:val="00504DD1"/>
  </w:style>
  <w:style w:type="paragraph" w:styleId="ndice1">
    <w:name w:val="index 1"/>
    <w:basedOn w:val="Normal"/>
    <w:next w:val="Normal"/>
    <w:autoRedefine/>
    <w:uiPriority w:val="99"/>
    <w:unhideWhenUsed/>
    <w:rsid w:val="00382808"/>
    <w:pPr>
      <w:ind w:left="200" w:hanging="200"/>
    </w:pPr>
    <w:rPr>
      <w:rFonts w:asciiTheme="minorHAnsi" w:hAnsiTheme="minorHAnsi" w:cstheme="minorHAnsi"/>
      <w:sz w:val="18"/>
      <w:szCs w:val="18"/>
    </w:rPr>
  </w:style>
  <w:style w:type="paragraph" w:styleId="ndice2">
    <w:name w:val="index 2"/>
    <w:basedOn w:val="Normal"/>
    <w:next w:val="Normal"/>
    <w:autoRedefine/>
    <w:uiPriority w:val="99"/>
    <w:unhideWhenUsed/>
    <w:rsid w:val="00382808"/>
    <w:pPr>
      <w:ind w:left="400" w:hanging="200"/>
    </w:pPr>
    <w:rPr>
      <w:rFonts w:asciiTheme="minorHAnsi" w:hAnsiTheme="minorHAnsi" w:cstheme="minorHAnsi"/>
      <w:sz w:val="18"/>
      <w:szCs w:val="18"/>
    </w:rPr>
  </w:style>
  <w:style w:type="paragraph" w:styleId="ndice3">
    <w:name w:val="index 3"/>
    <w:basedOn w:val="Normal"/>
    <w:next w:val="Normal"/>
    <w:autoRedefine/>
    <w:uiPriority w:val="99"/>
    <w:unhideWhenUsed/>
    <w:rsid w:val="00382808"/>
    <w:pPr>
      <w:ind w:left="600" w:hanging="200"/>
    </w:pPr>
    <w:rPr>
      <w:rFonts w:asciiTheme="minorHAnsi" w:hAnsiTheme="minorHAnsi" w:cstheme="minorHAnsi"/>
      <w:sz w:val="18"/>
      <w:szCs w:val="18"/>
    </w:rPr>
  </w:style>
  <w:style w:type="paragraph" w:styleId="ndice4">
    <w:name w:val="index 4"/>
    <w:basedOn w:val="Normal"/>
    <w:next w:val="Normal"/>
    <w:autoRedefine/>
    <w:uiPriority w:val="99"/>
    <w:unhideWhenUsed/>
    <w:rsid w:val="00382808"/>
    <w:pPr>
      <w:ind w:left="800" w:hanging="200"/>
    </w:pPr>
    <w:rPr>
      <w:rFonts w:asciiTheme="minorHAnsi" w:hAnsiTheme="minorHAnsi" w:cstheme="minorHAnsi"/>
      <w:sz w:val="18"/>
      <w:szCs w:val="18"/>
    </w:rPr>
  </w:style>
  <w:style w:type="paragraph" w:styleId="ndice5">
    <w:name w:val="index 5"/>
    <w:basedOn w:val="Normal"/>
    <w:next w:val="Normal"/>
    <w:autoRedefine/>
    <w:uiPriority w:val="99"/>
    <w:unhideWhenUsed/>
    <w:rsid w:val="00382808"/>
    <w:pPr>
      <w:ind w:left="1000" w:hanging="200"/>
    </w:pPr>
    <w:rPr>
      <w:rFonts w:asciiTheme="minorHAnsi" w:hAnsiTheme="minorHAnsi" w:cstheme="minorHAnsi"/>
      <w:sz w:val="18"/>
      <w:szCs w:val="18"/>
    </w:rPr>
  </w:style>
  <w:style w:type="paragraph" w:styleId="ndice6">
    <w:name w:val="index 6"/>
    <w:basedOn w:val="Normal"/>
    <w:next w:val="Normal"/>
    <w:autoRedefine/>
    <w:uiPriority w:val="99"/>
    <w:unhideWhenUsed/>
    <w:rsid w:val="00382808"/>
    <w:pPr>
      <w:ind w:left="1200" w:hanging="200"/>
    </w:pPr>
    <w:rPr>
      <w:rFonts w:asciiTheme="minorHAnsi" w:hAnsiTheme="minorHAnsi" w:cstheme="minorHAnsi"/>
      <w:sz w:val="18"/>
      <w:szCs w:val="18"/>
    </w:rPr>
  </w:style>
  <w:style w:type="paragraph" w:styleId="ndice7">
    <w:name w:val="index 7"/>
    <w:basedOn w:val="Normal"/>
    <w:next w:val="Normal"/>
    <w:autoRedefine/>
    <w:uiPriority w:val="99"/>
    <w:unhideWhenUsed/>
    <w:rsid w:val="00382808"/>
    <w:pPr>
      <w:ind w:left="1400" w:hanging="200"/>
    </w:pPr>
    <w:rPr>
      <w:rFonts w:asciiTheme="minorHAnsi" w:hAnsiTheme="minorHAnsi" w:cstheme="minorHAnsi"/>
      <w:sz w:val="18"/>
      <w:szCs w:val="18"/>
    </w:rPr>
  </w:style>
  <w:style w:type="paragraph" w:styleId="ndice8">
    <w:name w:val="index 8"/>
    <w:basedOn w:val="Normal"/>
    <w:next w:val="Normal"/>
    <w:autoRedefine/>
    <w:uiPriority w:val="99"/>
    <w:unhideWhenUsed/>
    <w:rsid w:val="00382808"/>
    <w:pPr>
      <w:ind w:left="1600" w:hanging="200"/>
    </w:pPr>
    <w:rPr>
      <w:rFonts w:asciiTheme="minorHAnsi" w:hAnsiTheme="minorHAnsi" w:cstheme="minorHAnsi"/>
      <w:sz w:val="18"/>
      <w:szCs w:val="18"/>
    </w:rPr>
  </w:style>
  <w:style w:type="paragraph" w:styleId="ndice9">
    <w:name w:val="index 9"/>
    <w:basedOn w:val="Normal"/>
    <w:next w:val="Normal"/>
    <w:autoRedefine/>
    <w:uiPriority w:val="99"/>
    <w:unhideWhenUsed/>
    <w:rsid w:val="00382808"/>
    <w:pPr>
      <w:ind w:left="1800" w:hanging="200"/>
    </w:pPr>
    <w:rPr>
      <w:rFonts w:asciiTheme="minorHAnsi" w:hAnsiTheme="minorHAnsi" w:cstheme="minorHAnsi"/>
      <w:sz w:val="18"/>
      <w:szCs w:val="18"/>
    </w:rPr>
  </w:style>
  <w:style w:type="paragraph" w:styleId="Ttulodendice">
    <w:name w:val="index heading"/>
    <w:basedOn w:val="Normal"/>
    <w:next w:val="ndice1"/>
    <w:uiPriority w:val="99"/>
    <w:unhideWhenUsed/>
    <w:rsid w:val="00382808"/>
    <w:pPr>
      <w:spacing w:before="240" w:after="120"/>
      <w:jc w:val="center"/>
    </w:pPr>
    <w:rPr>
      <w:rFonts w:asciiTheme="minorHAnsi" w:hAnsiTheme="minorHAnsi" w:cstheme="minorHAnsi"/>
      <w:b/>
      <w:bCs/>
      <w:sz w:val="26"/>
      <w:szCs w:val="26"/>
    </w:rPr>
  </w:style>
  <w:style w:type="paragraph" w:customStyle="1" w:styleId="Default">
    <w:name w:val="Default"/>
    <w:rsid w:val="004741D6"/>
    <w:pPr>
      <w:autoSpaceDE w:val="0"/>
      <w:autoSpaceDN w:val="0"/>
      <w:adjustRightInd w:val="0"/>
    </w:pPr>
    <w:rPr>
      <w:rFonts w:ascii="Arial" w:hAnsi="Arial"/>
      <w:color w:val="000000"/>
      <w:sz w:val="24"/>
      <w:szCs w:val="24"/>
    </w:rPr>
  </w:style>
  <w:style w:type="paragraph" w:styleId="TtuloTDC">
    <w:name w:val="TOC Heading"/>
    <w:basedOn w:val="Ttulo1"/>
    <w:next w:val="Normal"/>
    <w:uiPriority w:val="39"/>
    <w:unhideWhenUsed/>
    <w:qFormat/>
    <w:rsid w:val="006609F0"/>
    <w:pPr>
      <w:spacing w:line="259" w:lineRule="auto"/>
      <w:outlineLvl w:val="9"/>
    </w:pPr>
  </w:style>
  <w:style w:type="paragraph" w:styleId="TDC1">
    <w:name w:val="toc 1"/>
    <w:basedOn w:val="Normal"/>
    <w:next w:val="Normal"/>
    <w:autoRedefine/>
    <w:uiPriority w:val="39"/>
    <w:unhideWhenUsed/>
    <w:rsid w:val="009F48E0"/>
    <w:pPr>
      <w:tabs>
        <w:tab w:val="right" w:leader="dot" w:pos="9350"/>
      </w:tabs>
      <w:spacing w:after="100"/>
    </w:pPr>
    <w:rPr>
      <w:rFonts w:ascii="Arial" w:eastAsia="Arial" w:hAnsi="Arial"/>
      <w:noProof/>
      <w:sz w:val="28"/>
      <w:szCs w:val="28"/>
      <w:lang w:val="es-CR"/>
    </w:rPr>
  </w:style>
  <w:style w:type="paragraph" w:styleId="TDC2">
    <w:name w:val="toc 2"/>
    <w:basedOn w:val="Normal"/>
    <w:next w:val="Normal"/>
    <w:autoRedefine/>
    <w:uiPriority w:val="39"/>
    <w:unhideWhenUsed/>
    <w:rsid w:val="00FB4CAF"/>
    <w:pPr>
      <w:tabs>
        <w:tab w:val="left" w:pos="720"/>
        <w:tab w:val="right" w:leader="dot" w:pos="9350"/>
      </w:tabs>
      <w:spacing w:after="100"/>
      <w:ind w:left="426" w:hanging="226"/>
    </w:pPr>
  </w:style>
  <w:style w:type="character" w:styleId="Hipervnculo">
    <w:name w:val="Hyperlink"/>
    <w:basedOn w:val="Fuentedeprrafopredeter"/>
    <w:uiPriority w:val="99"/>
    <w:unhideWhenUsed/>
    <w:rsid w:val="006609F0"/>
    <w:rPr>
      <w:color w:val="0563C1" w:themeColor="hyperlink"/>
      <w:u w:val="single"/>
    </w:rPr>
  </w:style>
  <w:style w:type="paragraph" w:styleId="TDC3">
    <w:name w:val="toc 3"/>
    <w:basedOn w:val="Normal"/>
    <w:next w:val="Normal"/>
    <w:autoRedefine/>
    <w:uiPriority w:val="39"/>
    <w:unhideWhenUsed/>
    <w:rsid w:val="000E13C2"/>
    <w:pPr>
      <w:numPr>
        <w:numId w:val="288"/>
      </w:numPr>
      <w:tabs>
        <w:tab w:val="right" w:leader="dot" w:pos="9350"/>
      </w:tabs>
      <w:spacing w:after="100"/>
      <w:ind w:left="567" w:hanging="283"/>
    </w:pPr>
  </w:style>
  <w:style w:type="paragraph" w:styleId="TDC4">
    <w:name w:val="toc 4"/>
    <w:basedOn w:val="Normal"/>
    <w:next w:val="Normal"/>
    <w:autoRedefine/>
    <w:uiPriority w:val="39"/>
    <w:unhideWhenUsed/>
    <w:rsid w:val="0015073B"/>
    <w:pPr>
      <w:spacing w:after="100" w:line="278" w:lineRule="auto"/>
      <w:ind w:left="720"/>
    </w:pPr>
    <w:rPr>
      <w:rFonts w:asciiTheme="minorHAnsi" w:eastAsiaTheme="minorEastAsia" w:hAnsiTheme="minorHAnsi" w:cstheme="minorBidi"/>
      <w:kern w:val="2"/>
      <w:sz w:val="24"/>
      <w:szCs w:val="24"/>
    </w:rPr>
  </w:style>
  <w:style w:type="paragraph" w:styleId="TDC5">
    <w:name w:val="toc 5"/>
    <w:basedOn w:val="Normal"/>
    <w:next w:val="Normal"/>
    <w:autoRedefine/>
    <w:uiPriority w:val="39"/>
    <w:unhideWhenUsed/>
    <w:rsid w:val="0015073B"/>
    <w:pPr>
      <w:spacing w:after="100" w:line="278" w:lineRule="auto"/>
      <w:ind w:left="960"/>
    </w:pPr>
    <w:rPr>
      <w:rFonts w:asciiTheme="minorHAnsi" w:eastAsiaTheme="minorEastAsia" w:hAnsiTheme="minorHAnsi" w:cstheme="minorBidi"/>
      <w:kern w:val="2"/>
      <w:sz w:val="24"/>
      <w:szCs w:val="24"/>
    </w:rPr>
  </w:style>
  <w:style w:type="paragraph" w:styleId="TDC6">
    <w:name w:val="toc 6"/>
    <w:basedOn w:val="Normal"/>
    <w:next w:val="Normal"/>
    <w:autoRedefine/>
    <w:uiPriority w:val="39"/>
    <w:unhideWhenUsed/>
    <w:rsid w:val="0015073B"/>
    <w:pPr>
      <w:spacing w:after="100" w:line="278" w:lineRule="auto"/>
      <w:ind w:left="1200"/>
    </w:pPr>
    <w:rPr>
      <w:rFonts w:asciiTheme="minorHAnsi" w:eastAsiaTheme="minorEastAsia" w:hAnsiTheme="minorHAnsi" w:cstheme="minorBidi"/>
      <w:kern w:val="2"/>
      <w:sz w:val="24"/>
      <w:szCs w:val="24"/>
    </w:rPr>
  </w:style>
  <w:style w:type="paragraph" w:styleId="TDC7">
    <w:name w:val="toc 7"/>
    <w:basedOn w:val="Normal"/>
    <w:next w:val="Normal"/>
    <w:autoRedefine/>
    <w:uiPriority w:val="39"/>
    <w:unhideWhenUsed/>
    <w:rsid w:val="0015073B"/>
    <w:pPr>
      <w:spacing w:after="100" w:line="278" w:lineRule="auto"/>
      <w:ind w:left="1440"/>
    </w:pPr>
    <w:rPr>
      <w:rFonts w:asciiTheme="minorHAnsi" w:eastAsiaTheme="minorEastAsia" w:hAnsiTheme="minorHAnsi" w:cstheme="minorBidi"/>
      <w:kern w:val="2"/>
      <w:sz w:val="24"/>
      <w:szCs w:val="24"/>
    </w:rPr>
  </w:style>
  <w:style w:type="paragraph" w:styleId="TDC8">
    <w:name w:val="toc 8"/>
    <w:basedOn w:val="Normal"/>
    <w:next w:val="Normal"/>
    <w:autoRedefine/>
    <w:uiPriority w:val="39"/>
    <w:unhideWhenUsed/>
    <w:rsid w:val="0015073B"/>
    <w:pPr>
      <w:spacing w:after="100" w:line="278" w:lineRule="auto"/>
      <w:ind w:left="1680"/>
    </w:pPr>
    <w:rPr>
      <w:rFonts w:asciiTheme="minorHAnsi" w:eastAsiaTheme="minorEastAsia" w:hAnsiTheme="minorHAnsi" w:cstheme="minorBidi"/>
      <w:kern w:val="2"/>
      <w:sz w:val="24"/>
      <w:szCs w:val="24"/>
    </w:rPr>
  </w:style>
  <w:style w:type="paragraph" w:styleId="TDC9">
    <w:name w:val="toc 9"/>
    <w:basedOn w:val="Normal"/>
    <w:next w:val="Normal"/>
    <w:autoRedefine/>
    <w:uiPriority w:val="39"/>
    <w:unhideWhenUsed/>
    <w:rsid w:val="0015073B"/>
    <w:pPr>
      <w:spacing w:after="100" w:line="278" w:lineRule="auto"/>
      <w:ind w:left="1920"/>
    </w:pPr>
    <w:rPr>
      <w:rFonts w:asciiTheme="minorHAnsi" w:eastAsiaTheme="minorEastAsia" w:hAnsiTheme="minorHAnsi" w:cstheme="minorBidi"/>
      <w:kern w:val="2"/>
      <w:sz w:val="24"/>
      <w:szCs w:val="24"/>
    </w:rPr>
  </w:style>
  <w:style w:type="character" w:customStyle="1" w:styleId="UnresolvedMention">
    <w:name w:val="Unresolved Mention"/>
    <w:basedOn w:val="Fuentedeprrafopredeter"/>
    <w:uiPriority w:val="99"/>
    <w:semiHidden/>
    <w:unhideWhenUsed/>
    <w:rsid w:val="00150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940">
      <w:bodyDiv w:val="1"/>
      <w:marLeft w:val="0"/>
      <w:marRight w:val="0"/>
      <w:marTop w:val="0"/>
      <w:marBottom w:val="0"/>
      <w:divBdr>
        <w:top w:val="none" w:sz="0" w:space="0" w:color="auto"/>
        <w:left w:val="none" w:sz="0" w:space="0" w:color="auto"/>
        <w:bottom w:val="none" w:sz="0" w:space="0" w:color="auto"/>
        <w:right w:val="none" w:sz="0" w:space="0" w:color="auto"/>
      </w:divBdr>
    </w:div>
    <w:div w:id="21133631">
      <w:bodyDiv w:val="1"/>
      <w:marLeft w:val="0"/>
      <w:marRight w:val="0"/>
      <w:marTop w:val="0"/>
      <w:marBottom w:val="0"/>
      <w:divBdr>
        <w:top w:val="none" w:sz="0" w:space="0" w:color="auto"/>
        <w:left w:val="none" w:sz="0" w:space="0" w:color="auto"/>
        <w:bottom w:val="none" w:sz="0" w:space="0" w:color="auto"/>
        <w:right w:val="none" w:sz="0" w:space="0" w:color="auto"/>
      </w:divBdr>
    </w:div>
    <w:div w:id="30811609">
      <w:bodyDiv w:val="1"/>
      <w:marLeft w:val="0"/>
      <w:marRight w:val="0"/>
      <w:marTop w:val="0"/>
      <w:marBottom w:val="0"/>
      <w:divBdr>
        <w:top w:val="none" w:sz="0" w:space="0" w:color="auto"/>
        <w:left w:val="none" w:sz="0" w:space="0" w:color="auto"/>
        <w:bottom w:val="none" w:sz="0" w:space="0" w:color="auto"/>
        <w:right w:val="none" w:sz="0" w:space="0" w:color="auto"/>
      </w:divBdr>
    </w:div>
    <w:div w:id="40180381">
      <w:bodyDiv w:val="1"/>
      <w:marLeft w:val="0"/>
      <w:marRight w:val="0"/>
      <w:marTop w:val="0"/>
      <w:marBottom w:val="0"/>
      <w:divBdr>
        <w:top w:val="none" w:sz="0" w:space="0" w:color="auto"/>
        <w:left w:val="none" w:sz="0" w:space="0" w:color="auto"/>
        <w:bottom w:val="none" w:sz="0" w:space="0" w:color="auto"/>
        <w:right w:val="none" w:sz="0" w:space="0" w:color="auto"/>
      </w:divBdr>
    </w:div>
    <w:div w:id="40834290">
      <w:bodyDiv w:val="1"/>
      <w:marLeft w:val="0"/>
      <w:marRight w:val="0"/>
      <w:marTop w:val="0"/>
      <w:marBottom w:val="0"/>
      <w:divBdr>
        <w:top w:val="none" w:sz="0" w:space="0" w:color="auto"/>
        <w:left w:val="none" w:sz="0" w:space="0" w:color="auto"/>
        <w:bottom w:val="none" w:sz="0" w:space="0" w:color="auto"/>
        <w:right w:val="none" w:sz="0" w:space="0" w:color="auto"/>
      </w:divBdr>
    </w:div>
    <w:div w:id="50813660">
      <w:bodyDiv w:val="1"/>
      <w:marLeft w:val="0"/>
      <w:marRight w:val="0"/>
      <w:marTop w:val="0"/>
      <w:marBottom w:val="0"/>
      <w:divBdr>
        <w:top w:val="none" w:sz="0" w:space="0" w:color="auto"/>
        <w:left w:val="none" w:sz="0" w:space="0" w:color="auto"/>
        <w:bottom w:val="none" w:sz="0" w:space="0" w:color="auto"/>
        <w:right w:val="none" w:sz="0" w:space="0" w:color="auto"/>
      </w:divBdr>
    </w:div>
    <w:div w:id="52509263">
      <w:bodyDiv w:val="1"/>
      <w:marLeft w:val="0"/>
      <w:marRight w:val="0"/>
      <w:marTop w:val="0"/>
      <w:marBottom w:val="0"/>
      <w:divBdr>
        <w:top w:val="none" w:sz="0" w:space="0" w:color="auto"/>
        <w:left w:val="none" w:sz="0" w:space="0" w:color="auto"/>
        <w:bottom w:val="none" w:sz="0" w:space="0" w:color="auto"/>
        <w:right w:val="none" w:sz="0" w:space="0" w:color="auto"/>
      </w:divBdr>
    </w:div>
    <w:div w:id="53937055">
      <w:bodyDiv w:val="1"/>
      <w:marLeft w:val="0"/>
      <w:marRight w:val="0"/>
      <w:marTop w:val="0"/>
      <w:marBottom w:val="0"/>
      <w:divBdr>
        <w:top w:val="none" w:sz="0" w:space="0" w:color="auto"/>
        <w:left w:val="none" w:sz="0" w:space="0" w:color="auto"/>
        <w:bottom w:val="none" w:sz="0" w:space="0" w:color="auto"/>
        <w:right w:val="none" w:sz="0" w:space="0" w:color="auto"/>
      </w:divBdr>
    </w:div>
    <w:div w:id="56517621">
      <w:bodyDiv w:val="1"/>
      <w:marLeft w:val="0"/>
      <w:marRight w:val="0"/>
      <w:marTop w:val="0"/>
      <w:marBottom w:val="0"/>
      <w:divBdr>
        <w:top w:val="none" w:sz="0" w:space="0" w:color="auto"/>
        <w:left w:val="none" w:sz="0" w:space="0" w:color="auto"/>
        <w:bottom w:val="none" w:sz="0" w:space="0" w:color="auto"/>
        <w:right w:val="none" w:sz="0" w:space="0" w:color="auto"/>
      </w:divBdr>
    </w:div>
    <w:div w:id="62266405">
      <w:bodyDiv w:val="1"/>
      <w:marLeft w:val="0"/>
      <w:marRight w:val="0"/>
      <w:marTop w:val="0"/>
      <w:marBottom w:val="0"/>
      <w:divBdr>
        <w:top w:val="none" w:sz="0" w:space="0" w:color="auto"/>
        <w:left w:val="none" w:sz="0" w:space="0" w:color="auto"/>
        <w:bottom w:val="none" w:sz="0" w:space="0" w:color="auto"/>
        <w:right w:val="none" w:sz="0" w:space="0" w:color="auto"/>
      </w:divBdr>
    </w:div>
    <w:div w:id="63266030">
      <w:bodyDiv w:val="1"/>
      <w:marLeft w:val="0"/>
      <w:marRight w:val="0"/>
      <w:marTop w:val="0"/>
      <w:marBottom w:val="0"/>
      <w:divBdr>
        <w:top w:val="none" w:sz="0" w:space="0" w:color="auto"/>
        <w:left w:val="none" w:sz="0" w:space="0" w:color="auto"/>
        <w:bottom w:val="none" w:sz="0" w:space="0" w:color="auto"/>
        <w:right w:val="none" w:sz="0" w:space="0" w:color="auto"/>
      </w:divBdr>
    </w:div>
    <w:div w:id="65420896">
      <w:bodyDiv w:val="1"/>
      <w:marLeft w:val="0"/>
      <w:marRight w:val="0"/>
      <w:marTop w:val="0"/>
      <w:marBottom w:val="0"/>
      <w:divBdr>
        <w:top w:val="none" w:sz="0" w:space="0" w:color="auto"/>
        <w:left w:val="none" w:sz="0" w:space="0" w:color="auto"/>
        <w:bottom w:val="none" w:sz="0" w:space="0" w:color="auto"/>
        <w:right w:val="none" w:sz="0" w:space="0" w:color="auto"/>
      </w:divBdr>
    </w:div>
    <w:div w:id="65954661">
      <w:bodyDiv w:val="1"/>
      <w:marLeft w:val="0"/>
      <w:marRight w:val="0"/>
      <w:marTop w:val="0"/>
      <w:marBottom w:val="0"/>
      <w:divBdr>
        <w:top w:val="none" w:sz="0" w:space="0" w:color="auto"/>
        <w:left w:val="none" w:sz="0" w:space="0" w:color="auto"/>
        <w:bottom w:val="none" w:sz="0" w:space="0" w:color="auto"/>
        <w:right w:val="none" w:sz="0" w:space="0" w:color="auto"/>
      </w:divBdr>
    </w:div>
    <w:div w:id="71586383">
      <w:bodyDiv w:val="1"/>
      <w:marLeft w:val="0"/>
      <w:marRight w:val="0"/>
      <w:marTop w:val="0"/>
      <w:marBottom w:val="0"/>
      <w:divBdr>
        <w:top w:val="none" w:sz="0" w:space="0" w:color="auto"/>
        <w:left w:val="none" w:sz="0" w:space="0" w:color="auto"/>
        <w:bottom w:val="none" w:sz="0" w:space="0" w:color="auto"/>
        <w:right w:val="none" w:sz="0" w:space="0" w:color="auto"/>
      </w:divBdr>
    </w:div>
    <w:div w:id="82916954">
      <w:bodyDiv w:val="1"/>
      <w:marLeft w:val="0"/>
      <w:marRight w:val="0"/>
      <w:marTop w:val="0"/>
      <w:marBottom w:val="0"/>
      <w:divBdr>
        <w:top w:val="none" w:sz="0" w:space="0" w:color="auto"/>
        <w:left w:val="none" w:sz="0" w:space="0" w:color="auto"/>
        <w:bottom w:val="none" w:sz="0" w:space="0" w:color="auto"/>
        <w:right w:val="none" w:sz="0" w:space="0" w:color="auto"/>
      </w:divBdr>
    </w:div>
    <w:div w:id="82999048">
      <w:bodyDiv w:val="1"/>
      <w:marLeft w:val="0"/>
      <w:marRight w:val="0"/>
      <w:marTop w:val="0"/>
      <w:marBottom w:val="0"/>
      <w:divBdr>
        <w:top w:val="none" w:sz="0" w:space="0" w:color="auto"/>
        <w:left w:val="none" w:sz="0" w:space="0" w:color="auto"/>
        <w:bottom w:val="none" w:sz="0" w:space="0" w:color="auto"/>
        <w:right w:val="none" w:sz="0" w:space="0" w:color="auto"/>
      </w:divBdr>
    </w:div>
    <w:div w:id="83192012">
      <w:bodyDiv w:val="1"/>
      <w:marLeft w:val="0"/>
      <w:marRight w:val="0"/>
      <w:marTop w:val="0"/>
      <w:marBottom w:val="0"/>
      <w:divBdr>
        <w:top w:val="none" w:sz="0" w:space="0" w:color="auto"/>
        <w:left w:val="none" w:sz="0" w:space="0" w:color="auto"/>
        <w:bottom w:val="none" w:sz="0" w:space="0" w:color="auto"/>
        <w:right w:val="none" w:sz="0" w:space="0" w:color="auto"/>
      </w:divBdr>
    </w:div>
    <w:div w:id="100954969">
      <w:bodyDiv w:val="1"/>
      <w:marLeft w:val="0"/>
      <w:marRight w:val="0"/>
      <w:marTop w:val="0"/>
      <w:marBottom w:val="0"/>
      <w:divBdr>
        <w:top w:val="none" w:sz="0" w:space="0" w:color="auto"/>
        <w:left w:val="none" w:sz="0" w:space="0" w:color="auto"/>
        <w:bottom w:val="none" w:sz="0" w:space="0" w:color="auto"/>
        <w:right w:val="none" w:sz="0" w:space="0" w:color="auto"/>
      </w:divBdr>
    </w:div>
    <w:div w:id="105663889">
      <w:bodyDiv w:val="1"/>
      <w:marLeft w:val="0"/>
      <w:marRight w:val="0"/>
      <w:marTop w:val="0"/>
      <w:marBottom w:val="0"/>
      <w:divBdr>
        <w:top w:val="none" w:sz="0" w:space="0" w:color="auto"/>
        <w:left w:val="none" w:sz="0" w:space="0" w:color="auto"/>
        <w:bottom w:val="none" w:sz="0" w:space="0" w:color="auto"/>
        <w:right w:val="none" w:sz="0" w:space="0" w:color="auto"/>
      </w:divBdr>
    </w:div>
    <w:div w:id="112141058">
      <w:bodyDiv w:val="1"/>
      <w:marLeft w:val="0"/>
      <w:marRight w:val="0"/>
      <w:marTop w:val="0"/>
      <w:marBottom w:val="0"/>
      <w:divBdr>
        <w:top w:val="none" w:sz="0" w:space="0" w:color="auto"/>
        <w:left w:val="none" w:sz="0" w:space="0" w:color="auto"/>
        <w:bottom w:val="none" w:sz="0" w:space="0" w:color="auto"/>
        <w:right w:val="none" w:sz="0" w:space="0" w:color="auto"/>
      </w:divBdr>
    </w:div>
    <w:div w:id="114182879">
      <w:bodyDiv w:val="1"/>
      <w:marLeft w:val="0"/>
      <w:marRight w:val="0"/>
      <w:marTop w:val="0"/>
      <w:marBottom w:val="0"/>
      <w:divBdr>
        <w:top w:val="none" w:sz="0" w:space="0" w:color="auto"/>
        <w:left w:val="none" w:sz="0" w:space="0" w:color="auto"/>
        <w:bottom w:val="none" w:sz="0" w:space="0" w:color="auto"/>
        <w:right w:val="none" w:sz="0" w:space="0" w:color="auto"/>
      </w:divBdr>
    </w:div>
    <w:div w:id="119037911">
      <w:bodyDiv w:val="1"/>
      <w:marLeft w:val="0"/>
      <w:marRight w:val="0"/>
      <w:marTop w:val="0"/>
      <w:marBottom w:val="0"/>
      <w:divBdr>
        <w:top w:val="none" w:sz="0" w:space="0" w:color="auto"/>
        <w:left w:val="none" w:sz="0" w:space="0" w:color="auto"/>
        <w:bottom w:val="none" w:sz="0" w:space="0" w:color="auto"/>
        <w:right w:val="none" w:sz="0" w:space="0" w:color="auto"/>
      </w:divBdr>
    </w:div>
    <w:div w:id="12157612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35682067">
      <w:bodyDiv w:val="1"/>
      <w:marLeft w:val="0"/>
      <w:marRight w:val="0"/>
      <w:marTop w:val="0"/>
      <w:marBottom w:val="0"/>
      <w:divBdr>
        <w:top w:val="none" w:sz="0" w:space="0" w:color="auto"/>
        <w:left w:val="none" w:sz="0" w:space="0" w:color="auto"/>
        <w:bottom w:val="none" w:sz="0" w:space="0" w:color="auto"/>
        <w:right w:val="none" w:sz="0" w:space="0" w:color="auto"/>
      </w:divBdr>
    </w:div>
    <w:div w:id="135800195">
      <w:bodyDiv w:val="1"/>
      <w:marLeft w:val="0"/>
      <w:marRight w:val="0"/>
      <w:marTop w:val="0"/>
      <w:marBottom w:val="0"/>
      <w:divBdr>
        <w:top w:val="none" w:sz="0" w:space="0" w:color="auto"/>
        <w:left w:val="none" w:sz="0" w:space="0" w:color="auto"/>
        <w:bottom w:val="none" w:sz="0" w:space="0" w:color="auto"/>
        <w:right w:val="none" w:sz="0" w:space="0" w:color="auto"/>
      </w:divBdr>
    </w:div>
    <w:div w:id="137501308">
      <w:bodyDiv w:val="1"/>
      <w:marLeft w:val="0"/>
      <w:marRight w:val="0"/>
      <w:marTop w:val="0"/>
      <w:marBottom w:val="0"/>
      <w:divBdr>
        <w:top w:val="none" w:sz="0" w:space="0" w:color="auto"/>
        <w:left w:val="none" w:sz="0" w:space="0" w:color="auto"/>
        <w:bottom w:val="none" w:sz="0" w:space="0" w:color="auto"/>
        <w:right w:val="none" w:sz="0" w:space="0" w:color="auto"/>
      </w:divBdr>
    </w:div>
    <w:div w:id="138544619">
      <w:bodyDiv w:val="1"/>
      <w:marLeft w:val="0"/>
      <w:marRight w:val="0"/>
      <w:marTop w:val="0"/>
      <w:marBottom w:val="0"/>
      <w:divBdr>
        <w:top w:val="none" w:sz="0" w:space="0" w:color="auto"/>
        <w:left w:val="none" w:sz="0" w:space="0" w:color="auto"/>
        <w:bottom w:val="none" w:sz="0" w:space="0" w:color="auto"/>
        <w:right w:val="none" w:sz="0" w:space="0" w:color="auto"/>
      </w:divBdr>
    </w:div>
    <w:div w:id="140078687">
      <w:bodyDiv w:val="1"/>
      <w:marLeft w:val="0"/>
      <w:marRight w:val="0"/>
      <w:marTop w:val="0"/>
      <w:marBottom w:val="0"/>
      <w:divBdr>
        <w:top w:val="none" w:sz="0" w:space="0" w:color="auto"/>
        <w:left w:val="none" w:sz="0" w:space="0" w:color="auto"/>
        <w:bottom w:val="none" w:sz="0" w:space="0" w:color="auto"/>
        <w:right w:val="none" w:sz="0" w:space="0" w:color="auto"/>
      </w:divBdr>
    </w:div>
    <w:div w:id="140345208">
      <w:bodyDiv w:val="1"/>
      <w:marLeft w:val="0"/>
      <w:marRight w:val="0"/>
      <w:marTop w:val="0"/>
      <w:marBottom w:val="0"/>
      <w:divBdr>
        <w:top w:val="none" w:sz="0" w:space="0" w:color="auto"/>
        <w:left w:val="none" w:sz="0" w:space="0" w:color="auto"/>
        <w:bottom w:val="none" w:sz="0" w:space="0" w:color="auto"/>
        <w:right w:val="none" w:sz="0" w:space="0" w:color="auto"/>
      </w:divBdr>
    </w:div>
    <w:div w:id="146672693">
      <w:bodyDiv w:val="1"/>
      <w:marLeft w:val="0"/>
      <w:marRight w:val="0"/>
      <w:marTop w:val="0"/>
      <w:marBottom w:val="0"/>
      <w:divBdr>
        <w:top w:val="none" w:sz="0" w:space="0" w:color="auto"/>
        <w:left w:val="none" w:sz="0" w:space="0" w:color="auto"/>
        <w:bottom w:val="none" w:sz="0" w:space="0" w:color="auto"/>
        <w:right w:val="none" w:sz="0" w:space="0" w:color="auto"/>
      </w:divBdr>
    </w:div>
    <w:div w:id="147945622">
      <w:bodyDiv w:val="1"/>
      <w:marLeft w:val="0"/>
      <w:marRight w:val="0"/>
      <w:marTop w:val="0"/>
      <w:marBottom w:val="0"/>
      <w:divBdr>
        <w:top w:val="none" w:sz="0" w:space="0" w:color="auto"/>
        <w:left w:val="none" w:sz="0" w:space="0" w:color="auto"/>
        <w:bottom w:val="none" w:sz="0" w:space="0" w:color="auto"/>
        <w:right w:val="none" w:sz="0" w:space="0" w:color="auto"/>
      </w:divBdr>
    </w:div>
    <w:div w:id="148517630">
      <w:bodyDiv w:val="1"/>
      <w:marLeft w:val="0"/>
      <w:marRight w:val="0"/>
      <w:marTop w:val="0"/>
      <w:marBottom w:val="0"/>
      <w:divBdr>
        <w:top w:val="none" w:sz="0" w:space="0" w:color="auto"/>
        <w:left w:val="none" w:sz="0" w:space="0" w:color="auto"/>
        <w:bottom w:val="none" w:sz="0" w:space="0" w:color="auto"/>
        <w:right w:val="none" w:sz="0" w:space="0" w:color="auto"/>
      </w:divBdr>
    </w:div>
    <w:div w:id="168714010">
      <w:bodyDiv w:val="1"/>
      <w:marLeft w:val="0"/>
      <w:marRight w:val="0"/>
      <w:marTop w:val="0"/>
      <w:marBottom w:val="0"/>
      <w:divBdr>
        <w:top w:val="none" w:sz="0" w:space="0" w:color="auto"/>
        <w:left w:val="none" w:sz="0" w:space="0" w:color="auto"/>
        <w:bottom w:val="none" w:sz="0" w:space="0" w:color="auto"/>
        <w:right w:val="none" w:sz="0" w:space="0" w:color="auto"/>
      </w:divBdr>
    </w:div>
    <w:div w:id="171916662">
      <w:bodyDiv w:val="1"/>
      <w:marLeft w:val="0"/>
      <w:marRight w:val="0"/>
      <w:marTop w:val="0"/>
      <w:marBottom w:val="0"/>
      <w:divBdr>
        <w:top w:val="none" w:sz="0" w:space="0" w:color="auto"/>
        <w:left w:val="none" w:sz="0" w:space="0" w:color="auto"/>
        <w:bottom w:val="none" w:sz="0" w:space="0" w:color="auto"/>
        <w:right w:val="none" w:sz="0" w:space="0" w:color="auto"/>
      </w:divBdr>
    </w:div>
    <w:div w:id="173346451">
      <w:bodyDiv w:val="1"/>
      <w:marLeft w:val="0"/>
      <w:marRight w:val="0"/>
      <w:marTop w:val="0"/>
      <w:marBottom w:val="0"/>
      <w:divBdr>
        <w:top w:val="none" w:sz="0" w:space="0" w:color="auto"/>
        <w:left w:val="none" w:sz="0" w:space="0" w:color="auto"/>
        <w:bottom w:val="none" w:sz="0" w:space="0" w:color="auto"/>
        <w:right w:val="none" w:sz="0" w:space="0" w:color="auto"/>
      </w:divBdr>
    </w:div>
    <w:div w:id="183979113">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5847781">
      <w:bodyDiv w:val="1"/>
      <w:marLeft w:val="0"/>
      <w:marRight w:val="0"/>
      <w:marTop w:val="0"/>
      <w:marBottom w:val="0"/>
      <w:divBdr>
        <w:top w:val="none" w:sz="0" w:space="0" w:color="auto"/>
        <w:left w:val="none" w:sz="0" w:space="0" w:color="auto"/>
        <w:bottom w:val="none" w:sz="0" w:space="0" w:color="auto"/>
        <w:right w:val="none" w:sz="0" w:space="0" w:color="auto"/>
      </w:divBdr>
    </w:div>
    <w:div w:id="202644099">
      <w:bodyDiv w:val="1"/>
      <w:marLeft w:val="0"/>
      <w:marRight w:val="0"/>
      <w:marTop w:val="0"/>
      <w:marBottom w:val="0"/>
      <w:divBdr>
        <w:top w:val="none" w:sz="0" w:space="0" w:color="auto"/>
        <w:left w:val="none" w:sz="0" w:space="0" w:color="auto"/>
        <w:bottom w:val="none" w:sz="0" w:space="0" w:color="auto"/>
        <w:right w:val="none" w:sz="0" w:space="0" w:color="auto"/>
      </w:divBdr>
    </w:div>
    <w:div w:id="203560637">
      <w:bodyDiv w:val="1"/>
      <w:marLeft w:val="0"/>
      <w:marRight w:val="0"/>
      <w:marTop w:val="0"/>
      <w:marBottom w:val="0"/>
      <w:divBdr>
        <w:top w:val="none" w:sz="0" w:space="0" w:color="auto"/>
        <w:left w:val="none" w:sz="0" w:space="0" w:color="auto"/>
        <w:bottom w:val="none" w:sz="0" w:space="0" w:color="auto"/>
        <w:right w:val="none" w:sz="0" w:space="0" w:color="auto"/>
      </w:divBdr>
    </w:div>
    <w:div w:id="209732462">
      <w:bodyDiv w:val="1"/>
      <w:marLeft w:val="0"/>
      <w:marRight w:val="0"/>
      <w:marTop w:val="0"/>
      <w:marBottom w:val="0"/>
      <w:divBdr>
        <w:top w:val="none" w:sz="0" w:space="0" w:color="auto"/>
        <w:left w:val="none" w:sz="0" w:space="0" w:color="auto"/>
        <w:bottom w:val="none" w:sz="0" w:space="0" w:color="auto"/>
        <w:right w:val="none" w:sz="0" w:space="0" w:color="auto"/>
      </w:divBdr>
    </w:div>
    <w:div w:id="219097649">
      <w:bodyDiv w:val="1"/>
      <w:marLeft w:val="0"/>
      <w:marRight w:val="0"/>
      <w:marTop w:val="0"/>
      <w:marBottom w:val="0"/>
      <w:divBdr>
        <w:top w:val="none" w:sz="0" w:space="0" w:color="auto"/>
        <w:left w:val="none" w:sz="0" w:space="0" w:color="auto"/>
        <w:bottom w:val="none" w:sz="0" w:space="0" w:color="auto"/>
        <w:right w:val="none" w:sz="0" w:space="0" w:color="auto"/>
      </w:divBdr>
    </w:div>
    <w:div w:id="224688418">
      <w:bodyDiv w:val="1"/>
      <w:marLeft w:val="0"/>
      <w:marRight w:val="0"/>
      <w:marTop w:val="0"/>
      <w:marBottom w:val="0"/>
      <w:divBdr>
        <w:top w:val="none" w:sz="0" w:space="0" w:color="auto"/>
        <w:left w:val="none" w:sz="0" w:space="0" w:color="auto"/>
        <w:bottom w:val="none" w:sz="0" w:space="0" w:color="auto"/>
        <w:right w:val="none" w:sz="0" w:space="0" w:color="auto"/>
      </w:divBdr>
    </w:div>
    <w:div w:id="239490021">
      <w:bodyDiv w:val="1"/>
      <w:marLeft w:val="0"/>
      <w:marRight w:val="0"/>
      <w:marTop w:val="0"/>
      <w:marBottom w:val="0"/>
      <w:divBdr>
        <w:top w:val="none" w:sz="0" w:space="0" w:color="auto"/>
        <w:left w:val="none" w:sz="0" w:space="0" w:color="auto"/>
        <w:bottom w:val="none" w:sz="0" w:space="0" w:color="auto"/>
        <w:right w:val="none" w:sz="0" w:space="0" w:color="auto"/>
      </w:divBdr>
    </w:div>
    <w:div w:id="240600439">
      <w:bodyDiv w:val="1"/>
      <w:marLeft w:val="0"/>
      <w:marRight w:val="0"/>
      <w:marTop w:val="0"/>
      <w:marBottom w:val="0"/>
      <w:divBdr>
        <w:top w:val="none" w:sz="0" w:space="0" w:color="auto"/>
        <w:left w:val="none" w:sz="0" w:space="0" w:color="auto"/>
        <w:bottom w:val="none" w:sz="0" w:space="0" w:color="auto"/>
        <w:right w:val="none" w:sz="0" w:space="0" w:color="auto"/>
      </w:divBdr>
    </w:div>
    <w:div w:id="245499746">
      <w:bodyDiv w:val="1"/>
      <w:marLeft w:val="0"/>
      <w:marRight w:val="0"/>
      <w:marTop w:val="0"/>
      <w:marBottom w:val="0"/>
      <w:divBdr>
        <w:top w:val="none" w:sz="0" w:space="0" w:color="auto"/>
        <w:left w:val="none" w:sz="0" w:space="0" w:color="auto"/>
        <w:bottom w:val="none" w:sz="0" w:space="0" w:color="auto"/>
        <w:right w:val="none" w:sz="0" w:space="0" w:color="auto"/>
      </w:divBdr>
    </w:div>
    <w:div w:id="251083210">
      <w:bodyDiv w:val="1"/>
      <w:marLeft w:val="0"/>
      <w:marRight w:val="0"/>
      <w:marTop w:val="0"/>
      <w:marBottom w:val="0"/>
      <w:divBdr>
        <w:top w:val="none" w:sz="0" w:space="0" w:color="auto"/>
        <w:left w:val="none" w:sz="0" w:space="0" w:color="auto"/>
        <w:bottom w:val="none" w:sz="0" w:space="0" w:color="auto"/>
        <w:right w:val="none" w:sz="0" w:space="0" w:color="auto"/>
      </w:divBdr>
    </w:div>
    <w:div w:id="265114902">
      <w:bodyDiv w:val="1"/>
      <w:marLeft w:val="0"/>
      <w:marRight w:val="0"/>
      <w:marTop w:val="0"/>
      <w:marBottom w:val="0"/>
      <w:divBdr>
        <w:top w:val="none" w:sz="0" w:space="0" w:color="auto"/>
        <w:left w:val="none" w:sz="0" w:space="0" w:color="auto"/>
        <w:bottom w:val="none" w:sz="0" w:space="0" w:color="auto"/>
        <w:right w:val="none" w:sz="0" w:space="0" w:color="auto"/>
      </w:divBdr>
    </w:div>
    <w:div w:id="268709305">
      <w:bodyDiv w:val="1"/>
      <w:marLeft w:val="0"/>
      <w:marRight w:val="0"/>
      <w:marTop w:val="0"/>
      <w:marBottom w:val="0"/>
      <w:divBdr>
        <w:top w:val="none" w:sz="0" w:space="0" w:color="auto"/>
        <w:left w:val="none" w:sz="0" w:space="0" w:color="auto"/>
        <w:bottom w:val="none" w:sz="0" w:space="0" w:color="auto"/>
        <w:right w:val="none" w:sz="0" w:space="0" w:color="auto"/>
      </w:divBdr>
    </w:div>
    <w:div w:id="275021208">
      <w:bodyDiv w:val="1"/>
      <w:marLeft w:val="0"/>
      <w:marRight w:val="0"/>
      <w:marTop w:val="0"/>
      <w:marBottom w:val="0"/>
      <w:divBdr>
        <w:top w:val="none" w:sz="0" w:space="0" w:color="auto"/>
        <w:left w:val="none" w:sz="0" w:space="0" w:color="auto"/>
        <w:bottom w:val="none" w:sz="0" w:space="0" w:color="auto"/>
        <w:right w:val="none" w:sz="0" w:space="0" w:color="auto"/>
      </w:divBdr>
    </w:div>
    <w:div w:id="277564530">
      <w:bodyDiv w:val="1"/>
      <w:marLeft w:val="0"/>
      <w:marRight w:val="0"/>
      <w:marTop w:val="0"/>
      <w:marBottom w:val="0"/>
      <w:divBdr>
        <w:top w:val="none" w:sz="0" w:space="0" w:color="auto"/>
        <w:left w:val="none" w:sz="0" w:space="0" w:color="auto"/>
        <w:bottom w:val="none" w:sz="0" w:space="0" w:color="auto"/>
        <w:right w:val="none" w:sz="0" w:space="0" w:color="auto"/>
      </w:divBdr>
    </w:div>
    <w:div w:id="278227129">
      <w:bodyDiv w:val="1"/>
      <w:marLeft w:val="0"/>
      <w:marRight w:val="0"/>
      <w:marTop w:val="0"/>
      <w:marBottom w:val="0"/>
      <w:divBdr>
        <w:top w:val="none" w:sz="0" w:space="0" w:color="auto"/>
        <w:left w:val="none" w:sz="0" w:space="0" w:color="auto"/>
        <w:bottom w:val="none" w:sz="0" w:space="0" w:color="auto"/>
        <w:right w:val="none" w:sz="0" w:space="0" w:color="auto"/>
      </w:divBdr>
    </w:div>
    <w:div w:id="282272643">
      <w:bodyDiv w:val="1"/>
      <w:marLeft w:val="0"/>
      <w:marRight w:val="0"/>
      <w:marTop w:val="0"/>
      <w:marBottom w:val="0"/>
      <w:divBdr>
        <w:top w:val="none" w:sz="0" w:space="0" w:color="auto"/>
        <w:left w:val="none" w:sz="0" w:space="0" w:color="auto"/>
        <w:bottom w:val="none" w:sz="0" w:space="0" w:color="auto"/>
        <w:right w:val="none" w:sz="0" w:space="0" w:color="auto"/>
      </w:divBdr>
    </w:div>
    <w:div w:id="282462482">
      <w:bodyDiv w:val="1"/>
      <w:marLeft w:val="0"/>
      <w:marRight w:val="0"/>
      <w:marTop w:val="0"/>
      <w:marBottom w:val="0"/>
      <w:divBdr>
        <w:top w:val="none" w:sz="0" w:space="0" w:color="auto"/>
        <w:left w:val="none" w:sz="0" w:space="0" w:color="auto"/>
        <w:bottom w:val="none" w:sz="0" w:space="0" w:color="auto"/>
        <w:right w:val="none" w:sz="0" w:space="0" w:color="auto"/>
      </w:divBdr>
    </w:div>
    <w:div w:id="292256663">
      <w:bodyDiv w:val="1"/>
      <w:marLeft w:val="0"/>
      <w:marRight w:val="0"/>
      <w:marTop w:val="0"/>
      <w:marBottom w:val="0"/>
      <w:divBdr>
        <w:top w:val="none" w:sz="0" w:space="0" w:color="auto"/>
        <w:left w:val="none" w:sz="0" w:space="0" w:color="auto"/>
        <w:bottom w:val="none" w:sz="0" w:space="0" w:color="auto"/>
        <w:right w:val="none" w:sz="0" w:space="0" w:color="auto"/>
      </w:divBdr>
    </w:div>
    <w:div w:id="298074374">
      <w:bodyDiv w:val="1"/>
      <w:marLeft w:val="0"/>
      <w:marRight w:val="0"/>
      <w:marTop w:val="0"/>
      <w:marBottom w:val="0"/>
      <w:divBdr>
        <w:top w:val="none" w:sz="0" w:space="0" w:color="auto"/>
        <w:left w:val="none" w:sz="0" w:space="0" w:color="auto"/>
        <w:bottom w:val="none" w:sz="0" w:space="0" w:color="auto"/>
        <w:right w:val="none" w:sz="0" w:space="0" w:color="auto"/>
      </w:divBdr>
    </w:div>
    <w:div w:id="298650542">
      <w:bodyDiv w:val="1"/>
      <w:marLeft w:val="0"/>
      <w:marRight w:val="0"/>
      <w:marTop w:val="0"/>
      <w:marBottom w:val="0"/>
      <w:divBdr>
        <w:top w:val="none" w:sz="0" w:space="0" w:color="auto"/>
        <w:left w:val="none" w:sz="0" w:space="0" w:color="auto"/>
        <w:bottom w:val="none" w:sz="0" w:space="0" w:color="auto"/>
        <w:right w:val="none" w:sz="0" w:space="0" w:color="auto"/>
      </w:divBdr>
      <w:divsChild>
        <w:div w:id="39013007">
          <w:marLeft w:val="0"/>
          <w:marRight w:val="0"/>
          <w:marTop w:val="0"/>
          <w:marBottom w:val="0"/>
          <w:divBdr>
            <w:top w:val="none" w:sz="0" w:space="0" w:color="auto"/>
            <w:left w:val="none" w:sz="0" w:space="0" w:color="auto"/>
            <w:bottom w:val="none" w:sz="0" w:space="0" w:color="auto"/>
            <w:right w:val="none" w:sz="0" w:space="0" w:color="auto"/>
          </w:divBdr>
        </w:div>
        <w:div w:id="240604214">
          <w:marLeft w:val="0"/>
          <w:marRight w:val="0"/>
          <w:marTop w:val="0"/>
          <w:marBottom w:val="0"/>
          <w:divBdr>
            <w:top w:val="none" w:sz="0" w:space="0" w:color="auto"/>
            <w:left w:val="none" w:sz="0" w:space="0" w:color="auto"/>
            <w:bottom w:val="none" w:sz="0" w:space="0" w:color="auto"/>
            <w:right w:val="none" w:sz="0" w:space="0" w:color="auto"/>
          </w:divBdr>
        </w:div>
        <w:div w:id="1175805188">
          <w:marLeft w:val="0"/>
          <w:marRight w:val="0"/>
          <w:marTop w:val="0"/>
          <w:marBottom w:val="0"/>
          <w:divBdr>
            <w:top w:val="none" w:sz="0" w:space="0" w:color="auto"/>
            <w:left w:val="none" w:sz="0" w:space="0" w:color="auto"/>
            <w:bottom w:val="none" w:sz="0" w:space="0" w:color="auto"/>
            <w:right w:val="none" w:sz="0" w:space="0" w:color="auto"/>
          </w:divBdr>
        </w:div>
        <w:div w:id="1549758689">
          <w:marLeft w:val="0"/>
          <w:marRight w:val="0"/>
          <w:marTop w:val="0"/>
          <w:marBottom w:val="0"/>
          <w:divBdr>
            <w:top w:val="none" w:sz="0" w:space="0" w:color="auto"/>
            <w:left w:val="none" w:sz="0" w:space="0" w:color="auto"/>
            <w:bottom w:val="none" w:sz="0" w:space="0" w:color="auto"/>
            <w:right w:val="none" w:sz="0" w:space="0" w:color="auto"/>
          </w:divBdr>
        </w:div>
      </w:divsChild>
    </w:div>
    <w:div w:id="301270218">
      <w:bodyDiv w:val="1"/>
      <w:marLeft w:val="0"/>
      <w:marRight w:val="0"/>
      <w:marTop w:val="0"/>
      <w:marBottom w:val="0"/>
      <w:divBdr>
        <w:top w:val="none" w:sz="0" w:space="0" w:color="auto"/>
        <w:left w:val="none" w:sz="0" w:space="0" w:color="auto"/>
        <w:bottom w:val="none" w:sz="0" w:space="0" w:color="auto"/>
        <w:right w:val="none" w:sz="0" w:space="0" w:color="auto"/>
      </w:divBdr>
    </w:div>
    <w:div w:id="302124653">
      <w:bodyDiv w:val="1"/>
      <w:marLeft w:val="0"/>
      <w:marRight w:val="0"/>
      <w:marTop w:val="0"/>
      <w:marBottom w:val="0"/>
      <w:divBdr>
        <w:top w:val="none" w:sz="0" w:space="0" w:color="auto"/>
        <w:left w:val="none" w:sz="0" w:space="0" w:color="auto"/>
        <w:bottom w:val="none" w:sz="0" w:space="0" w:color="auto"/>
        <w:right w:val="none" w:sz="0" w:space="0" w:color="auto"/>
      </w:divBdr>
    </w:div>
    <w:div w:id="303893046">
      <w:bodyDiv w:val="1"/>
      <w:marLeft w:val="0"/>
      <w:marRight w:val="0"/>
      <w:marTop w:val="0"/>
      <w:marBottom w:val="0"/>
      <w:divBdr>
        <w:top w:val="none" w:sz="0" w:space="0" w:color="auto"/>
        <w:left w:val="none" w:sz="0" w:space="0" w:color="auto"/>
        <w:bottom w:val="none" w:sz="0" w:space="0" w:color="auto"/>
        <w:right w:val="none" w:sz="0" w:space="0" w:color="auto"/>
      </w:divBdr>
    </w:div>
    <w:div w:id="308636004">
      <w:bodyDiv w:val="1"/>
      <w:marLeft w:val="0"/>
      <w:marRight w:val="0"/>
      <w:marTop w:val="0"/>
      <w:marBottom w:val="0"/>
      <w:divBdr>
        <w:top w:val="none" w:sz="0" w:space="0" w:color="auto"/>
        <w:left w:val="none" w:sz="0" w:space="0" w:color="auto"/>
        <w:bottom w:val="none" w:sz="0" w:space="0" w:color="auto"/>
        <w:right w:val="none" w:sz="0" w:space="0" w:color="auto"/>
      </w:divBdr>
    </w:div>
    <w:div w:id="310260073">
      <w:bodyDiv w:val="1"/>
      <w:marLeft w:val="0"/>
      <w:marRight w:val="0"/>
      <w:marTop w:val="0"/>
      <w:marBottom w:val="0"/>
      <w:divBdr>
        <w:top w:val="none" w:sz="0" w:space="0" w:color="auto"/>
        <w:left w:val="none" w:sz="0" w:space="0" w:color="auto"/>
        <w:bottom w:val="none" w:sz="0" w:space="0" w:color="auto"/>
        <w:right w:val="none" w:sz="0" w:space="0" w:color="auto"/>
      </w:divBdr>
    </w:div>
    <w:div w:id="310409715">
      <w:bodyDiv w:val="1"/>
      <w:marLeft w:val="0"/>
      <w:marRight w:val="0"/>
      <w:marTop w:val="0"/>
      <w:marBottom w:val="0"/>
      <w:divBdr>
        <w:top w:val="none" w:sz="0" w:space="0" w:color="auto"/>
        <w:left w:val="none" w:sz="0" w:space="0" w:color="auto"/>
        <w:bottom w:val="none" w:sz="0" w:space="0" w:color="auto"/>
        <w:right w:val="none" w:sz="0" w:space="0" w:color="auto"/>
      </w:divBdr>
    </w:div>
    <w:div w:id="318924986">
      <w:bodyDiv w:val="1"/>
      <w:marLeft w:val="0"/>
      <w:marRight w:val="0"/>
      <w:marTop w:val="0"/>
      <w:marBottom w:val="0"/>
      <w:divBdr>
        <w:top w:val="none" w:sz="0" w:space="0" w:color="auto"/>
        <w:left w:val="none" w:sz="0" w:space="0" w:color="auto"/>
        <w:bottom w:val="none" w:sz="0" w:space="0" w:color="auto"/>
        <w:right w:val="none" w:sz="0" w:space="0" w:color="auto"/>
      </w:divBdr>
    </w:div>
    <w:div w:id="320962164">
      <w:bodyDiv w:val="1"/>
      <w:marLeft w:val="0"/>
      <w:marRight w:val="0"/>
      <w:marTop w:val="0"/>
      <w:marBottom w:val="0"/>
      <w:divBdr>
        <w:top w:val="none" w:sz="0" w:space="0" w:color="auto"/>
        <w:left w:val="none" w:sz="0" w:space="0" w:color="auto"/>
        <w:bottom w:val="none" w:sz="0" w:space="0" w:color="auto"/>
        <w:right w:val="none" w:sz="0" w:space="0" w:color="auto"/>
      </w:divBdr>
    </w:div>
    <w:div w:id="326713029">
      <w:bodyDiv w:val="1"/>
      <w:marLeft w:val="0"/>
      <w:marRight w:val="0"/>
      <w:marTop w:val="0"/>
      <w:marBottom w:val="0"/>
      <w:divBdr>
        <w:top w:val="none" w:sz="0" w:space="0" w:color="auto"/>
        <w:left w:val="none" w:sz="0" w:space="0" w:color="auto"/>
        <w:bottom w:val="none" w:sz="0" w:space="0" w:color="auto"/>
        <w:right w:val="none" w:sz="0" w:space="0" w:color="auto"/>
      </w:divBdr>
    </w:div>
    <w:div w:id="326786125">
      <w:bodyDiv w:val="1"/>
      <w:marLeft w:val="0"/>
      <w:marRight w:val="0"/>
      <w:marTop w:val="0"/>
      <w:marBottom w:val="0"/>
      <w:divBdr>
        <w:top w:val="none" w:sz="0" w:space="0" w:color="auto"/>
        <w:left w:val="none" w:sz="0" w:space="0" w:color="auto"/>
        <w:bottom w:val="none" w:sz="0" w:space="0" w:color="auto"/>
        <w:right w:val="none" w:sz="0" w:space="0" w:color="auto"/>
      </w:divBdr>
    </w:div>
    <w:div w:id="331956338">
      <w:bodyDiv w:val="1"/>
      <w:marLeft w:val="0"/>
      <w:marRight w:val="0"/>
      <w:marTop w:val="0"/>
      <w:marBottom w:val="0"/>
      <w:divBdr>
        <w:top w:val="none" w:sz="0" w:space="0" w:color="auto"/>
        <w:left w:val="none" w:sz="0" w:space="0" w:color="auto"/>
        <w:bottom w:val="none" w:sz="0" w:space="0" w:color="auto"/>
        <w:right w:val="none" w:sz="0" w:space="0" w:color="auto"/>
      </w:divBdr>
    </w:div>
    <w:div w:id="338967165">
      <w:bodyDiv w:val="1"/>
      <w:marLeft w:val="0"/>
      <w:marRight w:val="0"/>
      <w:marTop w:val="0"/>
      <w:marBottom w:val="0"/>
      <w:divBdr>
        <w:top w:val="none" w:sz="0" w:space="0" w:color="auto"/>
        <w:left w:val="none" w:sz="0" w:space="0" w:color="auto"/>
        <w:bottom w:val="none" w:sz="0" w:space="0" w:color="auto"/>
        <w:right w:val="none" w:sz="0" w:space="0" w:color="auto"/>
      </w:divBdr>
    </w:div>
    <w:div w:id="340858051">
      <w:bodyDiv w:val="1"/>
      <w:marLeft w:val="0"/>
      <w:marRight w:val="0"/>
      <w:marTop w:val="0"/>
      <w:marBottom w:val="0"/>
      <w:divBdr>
        <w:top w:val="none" w:sz="0" w:space="0" w:color="auto"/>
        <w:left w:val="none" w:sz="0" w:space="0" w:color="auto"/>
        <w:bottom w:val="none" w:sz="0" w:space="0" w:color="auto"/>
        <w:right w:val="none" w:sz="0" w:space="0" w:color="auto"/>
      </w:divBdr>
    </w:div>
    <w:div w:id="353577083">
      <w:bodyDiv w:val="1"/>
      <w:marLeft w:val="0"/>
      <w:marRight w:val="0"/>
      <w:marTop w:val="0"/>
      <w:marBottom w:val="0"/>
      <w:divBdr>
        <w:top w:val="none" w:sz="0" w:space="0" w:color="auto"/>
        <w:left w:val="none" w:sz="0" w:space="0" w:color="auto"/>
        <w:bottom w:val="none" w:sz="0" w:space="0" w:color="auto"/>
        <w:right w:val="none" w:sz="0" w:space="0" w:color="auto"/>
      </w:divBdr>
    </w:div>
    <w:div w:id="366373295">
      <w:bodyDiv w:val="1"/>
      <w:marLeft w:val="0"/>
      <w:marRight w:val="0"/>
      <w:marTop w:val="0"/>
      <w:marBottom w:val="0"/>
      <w:divBdr>
        <w:top w:val="none" w:sz="0" w:space="0" w:color="auto"/>
        <w:left w:val="none" w:sz="0" w:space="0" w:color="auto"/>
        <w:bottom w:val="none" w:sz="0" w:space="0" w:color="auto"/>
        <w:right w:val="none" w:sz="0" w:space="0" w:color="auto"/>
      </w:divBdr>
    </w:div>
    <w:div w:id="377049594">
      <w:bodyDiv w:val="1"/>
      <w:marLeft w:val="0"/>
      <w:marRight w:val="0"/>
      <w:marTop w:val="0"/>
      <w:marBottom w:val="0"/>
      <w:divBdr>
        <w:top w:val="none" w:sz="0" w:space="0" w:color="auto"/>
        <w:left w:val="none" w:sz="0" w:space="0" w:color="auto"/>
        <w:bottom w:val="none" w:sz="0" w:space="0" w:color="auto"/>
        <w:right w:val="none" w:sz="0" w:space="0" w:color="auto"/>
      </w:divBdr>
    </w:div>
    <w:div w:id="378944078">
      <w:bodyDiv w:val="1"/>
      <w:marLeft w:val="0"/>
      <w:marRight w:val="0"/>
      <w:marTop w:val="0"/>
      <w:marBottom w:val="0"/>
      <w:divBdr>
        <w:top w:val="none" w:sz="0" w:space="0" w:color="auto"/>
        <w:left w:val="none" w:sz="0" w:space="0" w:color="auto"/>
        <w:bottom w:val="none" w:sz="0" w:space="0" w:color="auto"/>
        <w:right w:val="none" w:sz="0" w:space="0" w:color="auto"/>
      </w:divBdr>
    </w:div>
    <w:div w:id="382101559">
      <w:bodyDiv w:val="1"/>
      <w:marLeft w:val="0"/>
      <w:marRight w:val="0"/>
      <w:marTop w:val="0"/>
      <w:marBottom w:val="0"/>
      <w:divBdr>
        <w:top w:val="none" w:sz="0" w:space="0" w:color="auto"/>
        <w:left w:val="none" w:sz="0" w:space="0" w:color="auto"/>
        <w:bottom w:val="none" w:sz="0" w:space="0" w:color="auto"/>
        <w:right w:val="none" w:sz="0" w:space="0" w:color="auto"/>
      </w:divBdr>
    </w:div>
    <w:div w:id="383214605">
      <w:bodyDiv w:val="1"/>
      <w:marLeft w:val="0"/>
      <w:marRight w:val="0"/>
      <w:marTop w:val="0"/>
      <w:marBottom w:val="0"/>
      <w:divBdr>
        <w:top w:val="none" w:sz="0" w:space="0" w:color="auto"/>
        <w:left w:val="none" w:sz="0" w:space="0" w:color="auto"/>
        <w:bottom w:val="none" w:sz="0" w:space="0" w:color="auto"/>
        <w:right w:val="none" w:sz="0" w:space="0" w:color="auto"/>
      </w:divBdr>
    </w:div>
    <w:div w:id="395126479">
      <w:bodyDiv w:val="1"/>
      <w:marLeft w:val="0"/>
      <w:marRight w:val="0"/>
      <w:marTop w:val="0"/>
      <w:marBottom w:val="0"/>
      <w:divBdr>
        <w:top w:val="none" w:sz="0" w:space="0" w:color="auto"/>
        <w:left w:val="none" w:sz="0" w:space="0" w:color="auto"/>
        <w:bottom w:val="none" w:sz="0" w:space="0" w:color="auto"/>
        <w:right w:val="none" w:sz="0" w:space="0" w:color="auto"/>
      </w:divBdr>
    </w:div>
    <w:div w:id="400105152">
      <w:bodyDiv w:val="1"/>
      <w:marLeft w:val="0"/>
      <w:marRight w:val="0"/>
      <w:marTop w:val="0"/>
      <w:marBottom w:val="0"/>
      <w:divBdr>
        <w:top w:val="none" w:sz="0" w:space="0" w:color="auto"/>
        <w:left w:val="none" w:sz="0" w:space="0" w:color="auto"/>
        <w:bottom w:val="none" w:sz="0" w:space="0" w:color="auto"/>
        <w:right w:val="none" w:sz="0" w:space="0" w:color="auto"/>
      </w:divBdr>
    </w:div>
    <w:div w:id="408308224">
      <w:bodyDiv w:val="1"/>
      <w:marLeft w:val="0"/>
      <w:marRight w:val="0"/>
      <w:marTop w:val="0"/>
      <w:marBottom w:val="0"/>
      <w:divBdr>
        <w:top w:val="none" w:sz="0" w:space="0" w:color="auto"/>
        <w:left w:val="none" w:sz="0" w:space="0" w:color="auto"/>
        <w:bottom w:val="none" w:sz="0" w:space="0" w:color="auto"/>
        <w:right w:val="none" w:sz="0" w:space="0" w:color="auto"/>
      </w:divBdr>
    </w:div>
    <w:div w:id="408619672">
      <w:bodyDiv w:val="1"/>
      <w:marLeft w:val="0"/>
      <w:marRight w:val="0"/>
      <w:marTop w:val="0"/>
      <w:marBottom w:val="0"/>
      <w:divBdr>
        <w:top w:val="none" w:sz="0" w:space="0" w:color="auto"/>
        <w:left w:val="none" w:sz="0" w:space="0" w:color="auto"/>
        <w:bottom w:val="none" w:sz="0" w:space="0" w:color="auto"/>
        <w:right w:val="none" w:sz="0" w:space="0" w:color="auto"/>
      </w:divBdr>
    </w:div>
    <w:div w:id="409426156">
      <w:bodyDiv w:val="1"/>
      <w:marLeft w:val="0"/>
      <w:marRight w:val="0"/>
      <w:marTop w:val="0"/>
      <w:marBottom w:val="0"/>
      <w:divBdr>
        <w:top w:val="none" w:sz="0" w:space="0" w:color="auto"/>
        <w:left w:val="none" w:sz="0" w:space="0" w:color="auto"/>
        <w:bottom w:val="none" w:sz="0" w:space="0" w:color="auto"/>
        <w:right w:val="none" w:sz="0" w:space="0" w:color="auto"/>
      </w:divBdr>
    </w:div>
    <w:div w:id="420493039">
      <w:bodyDiv w:val="1"/>
      <w:marLeft w:val="0"/>
      <w:marRight w:val="0"/>
      <w:marTop w:val="0"/>
      <w:marBottom w:val="0"/>
      <w:divBdr>
        <w:top w:val="none" w:sz="0" w:space="0" w:color="auto"/>
        <w:left w:val="none" w:sz="0" w:space="0" w:color="auto"/>
        <w:bottom w:val="none" w:sz="0" w:space="0" w:color="auto"/>
        <w:right w:val="none" w:sz="0" w:space="0" w:color="auto"/>
      </w:divBdr>
    </w:div>
    <w:div w:id="422797088">
      <w:bodyDiv w:val="1"/>
      <w:marLeft w:val="0"/>
      <w:marRight w:val="0"/>
      <w:marTop w:val="0"/>
      <w:marBottom w:val="0"/>
      <w:divBdr>
        <w:top w:val="none" w:sz="0" w:space="0" w:color="auto"/>
        <w:left w:val="none" w:sz="0" w:space="0" w:color="auto"/>
        <w:bottom w:val="none" w:sz="0" w:space="0" w:color="auto"/>
        <w:right w:val="none" w:sz="0" w:space="0" w:color="auto"/>
      </w:divBdr>
    </w:div>
    <w:div w:id="426459876">
      <w:bodyDiv w:val="1"/>
      <w:marLeft w:val="0"/>
      <w:marRight w:val="0"/>
      <w:marTop w:val="0"/>
      <w:marBottom w:val="0"/>
      <w:divBdr>
        <w:top w:val="none" w:sz="0" w:space="0" w:color="auto"/>
        <w:left w:val="none" w:sz="0" w:space="0" w:color="auto"/>
        <w:bottom w:val="none" w:sz="0" w:space="0" w:color="auto"/>
        <w:right w:val="none" w:sz="0" w:space="0" w:color="auto"/>
      </w:divBdr>
    </w:div>
    <w:div w:id="428626048">
      <w:bodyDiv w:val="1"/>
      <w:marLeft w:val="0"/>
      <w:marRight w:val="0"/>
      <w:marTop w:val="0"/>
      <w:marBottom w:val="0"/>
      <w:divBdr>
        <w:top w:val="none" w:sz="0" w:space="0" w:color="auto"/>
        <w:left w:val="none" w:sz="0" w:space="0" w:color="auto"/>
        <w:bottom w:val="none" w:sz="0" w:space="0" w:color="auto"/>
        <w:right w:val="none" w:sz="0" w:space="0" w:color="auto"/>
      </w:divBdr>
    </w:div>
    <w:div w:id="433863201">
      <w:bodyDiv w:val="1"/>
      <w:marLeft w:val="0"/>
      <w:marRight w:val="0"/>
      <w:marTop w:val="0"/>
      <w:marBottom w:val="0"/>
      <w:divBdr>
        <w:top w:val="none" w:sz="0" w:space="0" w:color="auto"/>
        <w:left w:val="none" w:sz="0" w:space="0" w:color="auto"/>
        <w:bottom w:val="none" w:sz="0" w:space="0" w:color="auto"/>
        <w:right w:val="none" w:sz="0" w:space="0" w:color="auto"/>
      </w:divBdr>
    </w:div>
    <w:div w:id="434138983">
      <w:bodyDiv w:val="1"/>
      <w:marLeft w:val="0"/>
      <w:marRight w:val="0"/>
      <w:marTop w:val="0"/>
      <w:marBottom w:val="0"/>
      <w:divBdr>
        <w:top w:val="none" w:sz="0" w:space="0" w:color="auto"/>
        <w:left w:val="none" w:sz="0" w:space="0" w:color="auto"/>
        <w:bottom w:val="none" w:sz="0" w:space="0" w:color="auto"/>
        <w:right w:val="none" w:sz="0" w:space="0" w:color="auto"/>
      </w:divBdr>
    </w:div>
    <w:div w:id="443966538">
      <w:bodyDiv w:val="1"/>
      <w:marLeft w:val="0"/>
      <w:marRight w:val="0"/>
      <w:marTop w:val="0"/>
      <w:marBottom w:val="0"/>
      <w:divBdr>
        <w:top w:val="none" w:sz="0" w:space="0" w:color="auto"/>
        <w:left w:val="none" w:sz="0" w:space="0" w:color="auto"/>
        <w:bottom w:val="none" w:sz="0" w:space="0" w:color="auto"/>
        <w:right w:val="none" w:sz="0" w:space="0" w:color="auto"/>
      </w:divBdr>
    </w:div>
    <w:div w:id="444085084">
      <w:bodyDiv w:val="1"/>
      <w:marLeft w:val="0"/>
      <w:marRight w:val="0"/>
      <w:marTop w:val="0"/>
      <w:marBottom w:val="0"/>
      <w:divBdr>
        <w:top w:val="none" w:sz="0" w:space="0" w:color="auto"/>
        <w:left w:val="none" w:sz="0" w:space="0" w:color="auto"/>
        <w:bottom w:val="none" w:sz="0" w:space="0" w:color="auto"/>
        <w:right w:val="none" w:sz="0" w:space="0" w:color="auto"/>
      </w:divBdr>
    </w:div>
    <w:div w:id="449712537">
      <w:bodyDiv w:val="1"/>
      <w:marLeft w:val="0"/>
      <w:marRight w:val="0"/>
      <w:marTop w:val="0"/>
      <w:marBottom w:val="0"/>
      <w:divBdr>
        <w:top w:val="none" w:sz="0" w:space="0" w:color="auto"/>
        <w:left w:val="none" w:sz="0" w:space="0" w:color="auto"/>
        <w:bottom w:val="none" w:sz="0" w:space="0" w:color="auto"/>
        <w:right w:val="none" w:sz="0" w:space="0" w:color="auto"/>
      </w:divBdr>
    </w:div>
    <w:div w:id="460809082">
      <w:bodyDiv w:val="1"/>
      <w:marLeft w:val="0"/>
      <w:marRight w:val="0"/>
      <w:marTop w:val="0"/>
      <w:marBottom w:val="0"/>
      <w:divBdr>
        <w:top w:val="none" w:sz="0" w:space="0" w:color="auto"/>
        <w:left w:val="none" w:sz="0" w:space="0" w:color="auto"/>
        <w:bottom w:val="none" w:sz="0" w:space="0" w:color="auto"/>
        <w:right w:val="none" w:sz="0" w:space="0" w:color="auto"/>
      </w:divBdr>
    </w:div>
    <w:div w:id="462425587">
      <w:bodyDiv w:val="1"/>
      <w:marLeft w:val="0"/>
      <w:marRight w:val="0"/>
      <w:marTop w:val="0"/>
      <w:marBottom w:val="0"/>
      <w:divBdr>
        <w:top w:val="none" w:sz="0" w:space="0" w:color="auto"/>
        <w:left w:val="none" w:sz="0" w:space="0" w:color="auto"/>
        <w:bottom w:val="none" w:sz="0" w:space="0" w:color="auto"/>
        <w:right w:val="none" w:sz="0" w:space="0" w:color="auto"/>
      </w:divBdr>
    </w:div>
    <w:div w:id="463960800">
      <w:bodyDiv w:val="1"/>
      <w:marLeft w:val="0"/>
      <w:marRight w:val="0"/>
      <w:marTop w:val="0"/>
      <w:marBottom w:val="0"/>
      <w:divBdr>
        <w:top w:val="none" w:sz="0" w:space="0" w:color="auto"/>
        <w:left w:val="none" w:sz="0" w:space="0" w:color="auto"/>
        <w:bottom w:val="none" w:sz="0" w:space="0" w:color="auto"/>
        <w:right w:val="none" w:sz="0" w:space="0" w:color="auto"/>
      </w:divBdr>
    </w:div>
    <w:div w:id="469518026">
      <w:bodyDiv w:val="1"/>
      <w:marLeft w:val="0"/>
      <w:marRight w:val="0"/>
      <w:marTop w:val="0"/>
      <w:marBottom w:val="0"/>
      <w:divBdr>
        <w:top w:val="none" w:sz="0" w:space="0" w:color="auto"/>
        <w:left w:val="none" w:sz="0" w:space="0" w:color="auto"/>
        <w:bottom w:val="none" w:sz="0" w:space="0" w:color="auto"/>
        <w:right w:val="none" w:sz="0" w:space="0" w:color="auto"/>
      </w:divBdr>
    </w:div>
    <w:div w:id="471019717">
      <w:bodyDiv w:val="1"/>
      <w:marLeft w:val="0"/>
      <w:marRight w:val="0"/>
      <w:marTop w:val="0"/>
      <w:marBottom w:val="0"/>
      <w:divBdr>
        <w:top w:val="none" w:sz="0" w:space="0" w:color="auto"/>
        <w:left w:val="none" w:sz="0" w:space="0" w:color="auto"/>
        <w:bottom w:val="none" w:sz="0" w:space="0" w:color="auto"/>
        <w:right w:val="none" w:sz="0" w:space="0" w:color="auto"/>
      </w:divBdr>
    </w:div>
    <w:div w:id="481388620">
      <w:bodyDiv w:val="1"/>
      <w:marLeft w:val="0"/>
      <w:marRight w:val="0"/>
      <w:marTop w:val="0"/>
      <w:marBottom w:val="0"/>
      <w:divBdr>
        <w:top w:val="none" w:sz="0" w:space="0" w:color="auto"/>
        <w:left w:val="none" w:sz="0" w:space="0" w:color="auto"/>
        <w:bottom w:val="none" w:sz="0" w:space="0" w:color="auto"/>
        <w:right w:val="none" w:sz="0" w:space="0" w:color="auto"/>
      </w:divBdr>
    </w:div>
    <w:div w:id="490565941">
      <w:bodyDiv w:val="1"/>
      <w:marLeft w:val="0"/>
      <w:marRight w:val="0"/>
      <w:marTop w:val="0"/>
      <w:marBottom w:val="0"/>
      <w:divBdr>
        <w:top w:val="none" w:sz="0" w:space="0" w:color="auto"/>
        <w:left w:val="none" w:sz="0" w:space="0" w:color="auto"/>
        <w:bottom w:val="none" w:sz="0" w:space="0" w:color="auto"/>
        <w:right w:val="none" w:sz="0" w:space="0" w:color="auto"/>
      </w:divBdr>
    </w:div>
    <w:div w:id="491871329">
      <w:bodyDiv w:val="1"/>
      <w:marLeft w:val="0"/>
      <w:marRight w:val="0"/>
      <w:marTop w:val="0"/>
      <w:marBottom w:val="0"/>
      <w:divBdr>
        <w:top w:val="none" w:sz="0" w:space="0" w:color="auto"/>
        <w:left w:val="none" w:sz="0" w:space="0" w:color="auto"/>
        <w:bottom w:val="none" w:sz="0" w:space="0" w:color="auto"/>
        <w:right w:val="none" w:sz="0" w:space="0" w:color="auto"/>
      </w:divBdr>
    </w:div>
    <w:div w:id="494763028">
      <w:bodyDiv w:val="1"/>
      <w:marLeft w:val="0"/>
      <w:marRight w:val="0"/>
      <w:marTop w:val="0"/>
      <w:marBottom w:val="0"/>
      <w:divBdr>
        <w:top w:val="none" w:sz="0" w:space="0" w:color="auto"/>
        <w:left w:val="none" w:sz="0" w:space="0" w:color="auto"/>
        <w:bottom w:val="none" w:sz="0" w:space="0" w:color="auto"/>
        <w:right w:val="none" w:sz="0" w:space="0" w:color="auto"/>
      </w:divBdr>
    </w:div>
    <w:div w:id="495346730">
      <w:bodyDiv w:val="1"/>
      <w:marLeft w:val="0"/>
      <w:marRight w:val="0"/>
      <w:marTop w:val="0"/>
      <w:marBottom w:val="0"/>
      <w:divBdr>
        <w:top w:val="none" w:sz="0" w:space="0" w:color="auto"/>
        <w:left w:val="none" w:sz="0" w:space="0" w:color="auto"/>
        <w:bottom w:val="none" w:sz="0" w:space="0" w:color="auto"/>
        <w:right w:val="none" w:sz="0" w:space="0" w:color="auto"/>
      </w:divBdr>
    </w:div>
    <w:div w:id="501553048">
      <w:bodyDiv w:val="1"/>
      <w:marLeft w:val="0"/>
      <w:marRight w:val="0"/>
      <w:marTop w:val="0"/>
      <w:marBottom w:val="0"/>
      <w:divBdr>
        <w:top w:val="none" w:sz="0" w:space="0" w:color="auto"/>
        <w:left w:val="none" w:sz="0" w:space="0" w:color="auto"/>
        <w:bottom w:val="none" w:sz="0" w:space="0" w:color="auto"/>
        <w:right w:val="none" w:sz="0" w:space="0" w:color="auto"/>
      </w:divBdr>
    </w:div>
    <w:div w:id="505175138">
      <w:bodyDiv w:val="1"/>
      <w:marLeft w:val="0"/>
      <w:marRight w:val="0"/>
      <w:marTop w:val="0"/>
      <w:marBottom w:val="0"/>
      <w:divBdr>
        <w:top w:val="none" w:sz="0" w:space="0" w:color="auto"/>
        <w:left w:val="none" w:sz="0" w:space="0" w:color="auto"/>
        <w:bottom w:val="none" w:sz="0" w:space="0" w:color="auto"/>
        <w:right w:val="none" w:sz="0" w:space="0" w:color="auto"/>
      </w:divBdr>
    </w:div>
    <w:div w:id="520508523">
      <w:bodyDiv w:val="1"/>
      <w:marLeft w:val="0"/>
      <w:marRight w:val="0"/>
      <w:marTop w:val="0"/>
      <w:marBottom w:val="0"/>
      <w:divBdr>
        <w:top w:val="none" w:sz="0" w:space="0" w:color="auto"/>
        <w:left w:val="none" w:sz="0" w:space="0" w:color="auto"/>
        <w:bottom w:val="none" w:sz="0" w:space="0" w:color="auto"/>
        <w:right w:val="none" w:sz="0" w:space="0" w:color="auto"/>
      </w:divBdr>
    </w:div>
    <w:div w:id="524027264">
      <w:bodyDiv w:val="1"/>
      <w:marLeft w:val="0"/>
      <w:marRight w:val="0"/>
      <w:marTop w:val="0"/>
      <w:marBottom w:val="0"/>
      <w:divBdr>
        <w:top w:val="none" w:sz="0" w:space="0" w:color="auto"/>
        <w:left w:val="none" w:sz="0" w:space="0" w:color="auto"/>
        <w:bottom w:val="none" w:sz="0" w:space="0" w:color="auto"/>
        <w:right w:val="none" w:sz="0" w:space="0" w:color="auto"/>
      </w:divBdr>
    </w:div>
    <w:div w:id="525801316">
      <w:bodyDiv w:val="1"/>
      <w:marLeft w:val="0"/>
      <w:marRight w:val="0"/>
      <w:marTop w:val="0"/>
      <w:marBottom w:val="0"/>
      <w:divBdr>
        <w:top w:val="none" w:sz="0" w:space="0" w:color="auto"/>
        <w:left w:val="none" w:sz="0" w:space="0" w:color="auto"/>
        <w:bottom w:val="none" w:sz="0" w:space="0" w:color="auto"/>
        <w:right w:val="none" w:sz="0" w:space="0" w:color="auto"/>
      </w:divBdr>
    </w:div>
    <w:div w:id="526021777">
      <w:bodyDiv w:val="1"/>
      <w:marLeft w:val="0"/>
      <w:marRight w:val="0"/>
      <w:marTop w:val="0"/>
      <w:marBottom w:val="0"/>
      <w:divBdr>
        <w:top w:val="none" w:sz="0" w:space="0" w:color="auto"/>
        <w:left w:val="none" w:sz="0" w:space="0" w:color="auto"/>
        <w:bottom w:val="none" w:sz="0" w:space="0" w:color="auto"/>
        <w:right w:val="none" w:sz="0" w:space="0" w:color="auto"/>
      </w:divBdr>
    </w:div>
    <w:div w:id="527719416">
      <w:bodyDiv w:val="1"/>
      <w:marLeft w:val="0"/>
      <w:marRight w:val="0"/>
      <w:marTop w:val="0"/>
      <w:marBottom w:val="0"/>
      <w:divBdr>
        <w:top w:val="none" w:sz="0" w:space="0" w:color="auto"/>
        <w:left w:val="none" w:sz="0" w:space="0" w:color="auto"/>
        <w:bottom w:val="none" w:sz="0" w:space="0" w:color="auto"/>
        <w:right w:val="none" w:sz="0" w:space="0" w:color="auto"/>
      </w:divBdr>
    </w:div>
    <w:div w:id="529801103">
      <w:bodyDiv w:val="1"/>
      <w:marLeft w:val="0"/>
      <w:marRight w:val="0"/>
      <w:marTop w:val="0"/>
      <w:marBottom w:val="0"/>
      <w:divBdr>
        <w:top w:val="none" w:sz="0" w:space="0" w:color="auto"/>
        <w:left w:val="none" w:sz="0" w:space="0" w:color="auto"/>
        <w:bottom w:val="none" w:sz="0" w:space="0" w:color="auto"/>
        <w:right w:val="none" w:sz="0" w:space="0" w:color="auto"/>
      </w:divBdr>
    </w:div>
    <w:div w:id="537084345">
      <w:bodyDiv w:val="1"/>
      <w:marLeft w:val="0"/>
      <w:marRight w:val="0"/>
      <w:marTop w:val="0"/>
      <w:marBottom w:val="0"/>
      <w:divBdr>
        <w:top w:val="none" w:sz="0" w:space="0" w:color="auto"/>
        <w:left w:val="none" w:sz="0" w:space="0" w:color="auto"/>
        <w:bottom w:val="none" w:sz="0" w:space="0" w:color="auto"/>
        <w:right w:val="none" w:sz="0" w:space="0" w:color="auto"/>
      </w:divBdr>
    </w:div>
    <w:div w:id="541553758">
      <w:bodyDiv w:val="1"/>
      <w:marLeft w:val="0"/>
      <w:marRight w:val="0"/>
      <w:marTop w:val="0"/>
      <w:marBottom w:val="0"/>
      <w:divBdr>
        <w:top w:val="none" w:sz="0" w:space="0" w:color="auto"/>
        <w:left w:val="none" w:sz="0" w:space="0" w:color="auto"/>
        <w:bottom w:val="none" w:sz="0" w:space="0" w:color="auto"/>
        <w:right w:val="none" w:sz="0" w:space="0" w:color="auto"/>
      </w:divBdr>
    </w:div>
    <w:div w:id="548029293">
      <w:bodyDiv w:val="1"/>
      <w:marLeft w:val="0"/>
      <w:marRight w:val="0"/>
      <w:marTop w:val="0"/>
      <w:marBottom w:val="0"/>
      <w:divBdr>
        <w:top w:val="none" w:sz="0" w:space="0" w:color="auto"/>
        <w:left w:val="none" w:sz="0" w:space="0" w:color="auto"/>
        <w:bottom w:val="none" w:sz="0" w:space="0" w:color="auto"/>
        <w:right w:val="none" w:sz="0" w:space="0" w:color="auto"/>
      </w:divBdr>
    </w:div>
    <w:div w:id="557786642">
      <w:bodyDiv w:val="1"/>
      <w:marLeft w:val="0"/>
      <w:marRight w:val="0"/>
      <w:marTop w:val="0"/>
      <w:marBottom w:val="0"/>
      <w:divBdr>
        <w:top w:val="none" w:sz="0" w:space="0" w:color="auto"/>
        <w:left w:val="none" w:sz="0" w:space="0" w:color="auto"/>
        <w:bottom w:val="none" w:sz="0" w:space="0" w:color="auto"/>
        <w:right w:val="none" w:sz="0" w:space="0" w:color="auto"/>
      </w:divBdr>
    </w:div>
    <w:div w:id="563684601">
      <w:bodyDiv w:val="1"/>
      <w:marLeft w:val="0"/>
      <w:marRight w:val="0"/>
      <w:marTop w:val="0"/>
      <w:marBottom w:val="0"/>
      <w:divBdr>
        <w:top w:val="none" w:sz="0" w:space="0" w:color="auto"/>
        <w:left w:val="none" w:sz="0" w:space="0" w:color="auto"/>
        <w:bottom w:val="none" w:sz="0" w:space="0" w:color="auto"/>
        <w:right w:val="none" w:sz="0" w:space="0" w:color="auto"/>
      </w:divBdr>
    </w:div>
    <w:div w:id="574171421">
      <w:bodyDiv w:val="1"/>
      <w:marLeft w:val="0"/>
      <w:marRight w:val="0"/>
      <w:marTop w:val="0"/>
      <w:marBottom w:val="0"/>
      <w:divBdr>
        <w:top w:val="none" w:sz="0" w:space="0" w:color="auto"/>
        <w:left w:val="none" w:sz="0" w:space="0" w:color="auto"/>
        <w:bottom w:val="none" w:sz="0" w:space="0" w:color="auto"/>
        <w:right w:val="none" w:sz="0" w:space="0" w:color="auto"/>
      </w:divBdr>
    </w:div>
    <w:div w:id="578901895">
      <w:bodyDiv w:val="1"/>
      <w:marLeft w:val="0"/>
      <w:marRight w:val="0"/>
      <w:marTop w:val="0"/>
      <w:marBottom w:val="0"/>
      <w:divBdr>
        <w:top w:val="none" w:sz="0" w:space="0" w:color="auto"/>
        <w:left w:val="none" w:sz="0" w:space="0" w:color="auto"/>
        <w:bottom w:val="none" w:sz="0" w:space="0" w:color="auto"/>
        <w:right w:val="none" w:sz="0" w:space="0" w:color="auto"/>
      </w:divBdr>
    </w:div>
    <w:div w:id="585769826">
      <w:bodyDiv w:val="1"/>
      <w:marLeft w:val="0"/>
      <w:marRight w:val="0"/>
      <w:marTop w:val="0"/>
      <w:marBottom w:val="0"/>
      <w:divBdr>
        <w:top w:val="none" w:sz="0" w:space="0" w:color="auto"/>
        <w:left w:val="none" w:sz="0" w:space="0" w:color="auto"/>
        <w:bottom w:val="none" w:sz="0" w:space="0" w:color="auto"/>
        <w:right w:val="none" w:sz="0" w:space="0" w:color="auto"/>
      </w:divBdr>
    </w:div>
    <w:div w:id="588199035">
      <w:bodyDiv w:val="1"/>
      <w:marLeft w:val="0"/>
      <w:marRight w:val="0"/>
      <w:marTop w:val="0"/>
      <w:marBottom w:val="0"/>
      <w:divBdr>
        <w:top w:val="none" w:sz="0" w:space="0" w:color="auto"/>
        <w:left w:val="none" w:sz="0" w:space="0" w:color="auto"/>
        <w:bottom w:val="none" w:sz="0" w:space="0" w:color="auto"/>
        <w:right w:val="none" w:sz="0" w:space="0" w:color="auto"/>
      </w:divBdr>
    </w:div>
    <w:div w:id="601230652">
      <w:bodyDiv w:val="1"/>
      <w:marLeft w:val="0"/>
      <w:marRight w:val="0"/>
      <w:marTop w:val="0"/>
      <w:marBottom w:val="0"/>
      <w:divBdr>
        <w:top w:val="none" w:sz="0" w:space="0" w:color="auto"/>
        <w:left w:val="none" w:sz="0" w:space="0" w:color="auto"/>
        <w:bottom w:val="none" w:sz="0" w:space="0" w:color="auto"/>
        <w:right w:val="none" w:sz="0" w:space="0" w:color="auto"/>
      </w:divBdr>
    </w:div>
    <w:div w:id="603806713">
      <w:bodyDiv w:val="1"/>
      <w:marLeft w:val="0"/>
      <w:marRight w:val="0"/>
      <w:marTop w:val="0"/>
      <w:marBottom w:val="0"/>
      <w:divBdr>
        <w:top w:val="none" w:sz="0" w:space="0" w:color="auto"/>
        <w:left w:val="none" w:sz="0" w:space="0" w:color="auto"/>
        <w:bottom w:val="none" w:sz="0" w:space="0" w:color="auto"/>
        <w:right w:val="none" w:sz="0" w:space="0" w:color="auto"/>
      </w:divBdr>
    </w:div>
    <w:div w:id="608784087">
      <w:bodyDiv w:val="1"/>
      <w:marLeft w:val="0"/>
      <w:marRight w:val="0"/>
      <w:marTop w:val="0"/>
      <w:marBottom w:val="0"/>
      <w:divBdr>
        <w:top w:val="none" w:sz="0" w:space="0" w:color="auto"/>
        <w:left w:val="none" w:sz="0" w:space="0" w:color="auto"/>
        <w:bottom w:val="none" w:sz="0" w:space="0" w:color="auto"/>
        <w:right w:val="none" w:sz="0" w:space="0" w:color="auto"/>
      </w:divBdr>
    </w:div>
    <w:div w:id="612397072">
      <w:bodyDiv w:val="1"/>
      <w:marLeft w:val="0"/>
      <w:marRight w:val="0"/>
      <w:marTop w:val="0"/>
      <w:marBottom w:val="0"/>
      <w:divBdr>
        <w:top w:val="none" w:sz="0" w:space="0" w:color="auto"/>
        <w:left w:val="none" w:sz="0" w:space="0" w:color="auto"/>
        <w:bottom w:val="none" w:sz="0" w:space="0" w:color="auto"/>
        <w:right w:val="none" w:sz="0" w:space="0" w:color="auto"/>
      </w:divBdr>
    </w:div>
    <w:div w:id="618605685">
      <w:bodyDiv w:val="1"/>
      <w:marLeft w:val="0"/>
      <w:marRight w:val="0"/>
      <w:marTop w:val="0"/>
      <w:marBottom w:val="0"/>
      <w:divBdr>
        <w:top w:val="none" w:sz="0" w:space="0" w:color="auto"/>
        <w:left w:val="none" w:sz="0" w:space="0" w:color="auto"/>
        <w:bottom w:val="none" w:sz="0" w:space="0" w:color="auto"/>
        <w:right w:val="none" w:sz="0" w:space="0" w:color="auto"/>
      </w:divBdr>
    </w:div>
    <w:div w:id="619455414">
      <w:bodyDiv w:val="1"/>
      <w:marLeft w:val="0"/>
      <w:marRight w:val="0"/>
      <w:marTop w:val="0"/>
      <w:marBottom w:val="0"/>
      <w:divBdr>
        <w:top w:val="none" w:sz="0" w:space="0" w:color="auto"/>
        <w:left w:val="none" w:sz="0" w:space="0" w:color="auto"/>
        <w:bottom w:val="none" w:sz="0" w:space="0" w:color="auto"/>
        <w:right w:val="none" w:sz="0" w:space="0" w:color="auto"/>
      </w:divBdr>
    </w:div>
    <w:div w:id="619724247">
      <w:bodyDiv w:val="1"/>
      <w:marLeft w:val="0"/>
      <w:marRight w:val="0"/>
      <w:marTop w:val="0"/>
      <w:marBottom w:val="0"/>
      <w:divBdr>
        <w:top w:val="none" w:sz="0" w:space="0" w:color="auto"/>
        <w:left w:val="none" w:sz="0" w:space="0" w:color="auto"/>
        <w:bottom w:val="none" w:sz="0" w:space="0" w:color="auto"/>
        <w:right w:val="none" w:sz="0" w:space="0" w:color="auto"/>
      </w:divBdr>
    </w:div>
    <w:div w:id="625501086">
      <w:bodyDiv w:val="1"/>
      <w:marLeft w:val="0"/>
      <w:marRight w:val="0"/>
      <w:marTop w:val="0"/>
      <w:marBottom w:val="0"/>
      <w:divBdr>
        <w:top w:val="none" w:sz="0" w:space="0" w:color="auto"/>
        <w:left w:val="none" w:sz="0" w:space="0" w:color="auto"/>
        <w:bottom w:val="none" w:sz="0" w:space="0" w:color="auto"/>
        <w:right w:val="none" w:sz="0" w:space="0" w:color="auto"/>
      </w:divBdr>
    </w:div>
    <w:div w:id="628827523">
      <w:bodyDiv w:val="1"/>
      <w:marLeft w:val="0"/>
      <w:marRight w:val="0"/>
      <w:marTop w:val="0"/>
      <w:marBottom w:val="0"/>
      <w:divBdr>
        <w:top w:val="none" w:sz="0" w:space="0" w:color="auto"/>
        <w:left w:val="none" w:sz="0" w:space="0" w:color="auto"/>
        <w:bottom w:val="none" w:sz="0" w:space="0" w:color="auto"/>
        <w:right w:val="none" w:sz="0" w:space="0" w:color="auto"/>
      </w:divBdr>
    </w:div>
    <w:div w:id="632947295">
      <w:bodyDiv w:val="1"/>
      <w:marLeft w:val="0"/>
      <w:marRight w:val="0"/>
      <w:marTop w:val="0"/>
      <w:marBottom w:val="0"/>
      <w:divBdr>
        <w:top w:val="none" w:sz="0" w:space="0" w:color="auto"/>
        <w:left w:val="none" w:sz="0" w:space="0" w:color="auto"/>
        <w:bottom w:val="none" w:sz="0" w:space="0" w:color="auto"/>
        <w:right w:val="none" w:sz="0" w:space="0" w:color="auto"/>
      </w:divBdr>
    </w:div>
    <w:div w:id="634143178">
      <w:bodyDiv w:val="1"/>
      <w:marLeft w:val="0"/>
      <w:marRight w:val="0"/>
      <w:marTop w:val="0"/>
      <w:marBottom w:val="0"/>
      <w:divBdr>
        <w:top w:val="none" w:sz="0" w:space="0" w:color="auto"/>
        <w:left w:val="none" w:sz="0" w:space="0" w:color="auto"/>
        <w:bottom w:val="none" w:sz="0" w:space="0" w:color="auto"/>
        <w:right w:val="none" w:sz="0" w:space="0" w:color="auto"/>
      </w:divBdr>
    </w:div>
    <w:div w:id="637958799">
      <w:bodyDiv w:val="1"/>
      <w:marLeft w:val="0"/>
      <w:marRight w:val="0"/>
      <w:marTop w:val="0"/>
      <w:marBottom w:val="0"/>
      <w:divBdr>
        <w:top w:val="none" w:sz="0" w:space="0" w:color="auto"/>
        <w:left w:val="none" w:sz="0" w:space="0" w:color="auto"/>
        <w:bottom w:val="none" w:sz="0" w:space="0" w:color="auto"/>
        <w:right w:val="none" w:sz="0" w:space="0" w:color="auto"/>
      </w:divBdr>
    </w:div>
    <w:div w:id="648561156">
      <w:bodyDiv w:val="1"/>
      <w:marLeft w:val="0"/>
      <w:marRight w:val="0"/>
      <w:marTop w:val="0"/>
      <w:marBottom w:val="0"/>
      <w:divBdr>
        <w:top w:val="none" w:sz="0" w:space="0" w:color="auto"/>
        <w:left w:val="none" w:sz="0" w:space="0" w:color="auto"/>
        <w:bottom w:val="none" w:sz="0" w:space="0" w:color="auto"/>
        <w:right w:val="none" w:sz="0" w:space="0" w:color="auto"/>
      </w:divBdr>
    </w:div>
    <w:div w:id="648678343">
      <w:bodyDiv w:val="1"/>
      <w:marLeft w:val="0"/>
      <w:marRight w:val="0"/>
      <w:marTop w:val="0"/>
      <w:marBottom w:val="0"/>
      <w:divBdr>
        <w:top w:val="none" w:sz="0" w:space="0" w:color="auto"/>
        <w:left w:val="none" w:sz="0" w:space="0" w:color="auto"/>
        <w:bottom w:val="none" w:sz="0" w:space="0" w:color="auto"/>
        <w:right w:val="none" w:sz="0" w:space="0" w:color="auto"/>
      </w:divBdr>
    </w:div>
    <w:div w:id="650600555">
      <w:bodyDiv w:val="1"/>
      <w:marLeft w:val="0"/>
      <w:marRight w:val="0"/>
      <w:marTop w:val="0"/>
      <w:marBottom w:val="0"/>
      <w:divBdr>
        <w:top w:val="none" w:sz="0" w:space="0" w:color="auto"/>
        <w:left w:val="none" w:sz="0" w:space="0" w:color="auto"/>
        <w:bottom w:val="none" w:sz="0" w:space="0" w:color="auto"/>
        <w:right w:val="none" w:sz="0" w:space="0" w:color="auto"/>
      </w:divBdr>
    </w:div>
    <w:div w:id="656763909">
      <w:bodyDiv w:val="1"/>
      <w:marLeft w:val="0"/>
      <w:marRight w:val="0"/>
      <w:marTop w:val="0"/>
      <w:marBottom w:val="0"/>
      <w:divBdr>
        <w:top w:val="none" w:sz="0" w:space="0" w:color="auto"/>
        <w:left w:val="none" w:sz="0" w:space="0" w:color="auto"/>
        <w:bottom w:val="none" w:sz="0" w:space="0" w:color="auto"/>
        <w:right w:val="none" w:sz="0" w:space="0" w:color="auto"/>
      </w:divBdr>
    </w:div>
    <w:div w:id="659623012">
      <w:bodyDiv w:val="1"/>
      <w:marLeft w:val="0"/>
      <w:marRight w:val="0"/>
      <w:marTop w:val="0"/>
      <w:marBottom w:val="0"/>
      <w:divBdr>
        <w:top w:val="none" w:sz="0" w:space="0" w:color="auto"/>
        <w:left w:val="none" w:sz="0" w:space="0" w:color="auto"/>
        <w:bottom w:val="none" w:sz="0" w:space="0" w:color="auto"/>
        <w:right w:val="none" w:sz="0" w:space="0" w:color="auto"/>
      </w:divBdr>
    </w:div>
    <w:div w:id="666709827">
      <w:bodyDiv w:val="1"/>
      <w:marLeft w:val="0"/>
      <w:marRight w:val="0"/>
      <w:marTop w:val="0"/>
      <w:marBottom w:val="0"/>
      <w:divBdr>
        <w:top w:val="none" w:sz="0" w:space="0" w:color="auto"/>
        <w:left w:val="none" w:sz="0" w:space="0" w:color="auto"/>
        <w:bottom w:val="none" w:sz="0" w:space="0" w:color="auto"/>
        <w:right w:val="none" w:sz="0" w:space="0" w:color="auto"/>
      </w:divBdr>
    </w:div>
    <w:div w:id="691733484">
      <w:bodyDiv w:val="1"/>
      <w:marLeft w:val="0"/>
      <w:marRight w:val="0"/>
      <w:marTop w:val="0"/>
      <w:marBottom w:val="0"/>
      <w:divBdr>
        <w:top w:val="none" w:sz="0" w:space="0" w:color="auto"/>
        <w:left w:val="none" w:sz="0" w:space="0" w:color="auto"/>
        <w:bottom w:val="none" w:sz="0" w:space="0" w:color="auto"/>
        <w:right w:val="none" w:sz="0" w:space="0" w:color="auto"/>
      </w:divBdr>
    </w:div>
    <w:div w:id="696662799">
      <w:bodyDiv w:val="1"/>
      <w:marLeft w:val="0"/>
      <w:marRight w:val="0"/>
      <w:marTop w:val="0"/>
      <w:marBottom w:val="0"/>
      <w:divBdr>
        <w:top w:val="none" w:sz="0" w:space="0" w:color="auto"/>
        <w:left w:val="none" w:sz="0" w:space="0" w:color="auto"/>
        <w:bottom w:val="none" w:sz="0" w:space="0" w:color="auto"/>
        <w:right w:val="none" w:sz="0" w:space="0" w:color="auto"/>
      </w:divBdr>
    </w:div>
    <w:div w:id="700202225">
      <w:bodyDiv w:val="1"/>
      <w:marLeft w:val="0"/>
      <w:marRight w:val="0"/>
      <w:marTop w:val="0"/>
      <w:marBottom w:val="0"/>
      <w:divBdr>
        <w:top w:val="none" w:sz="0" w:space="0" w:color="auto"/>
        <w:left w:val="none" w:sz="0" w:space="0" w:color="auto"/>
        <w:bottom w:val="none" w:sz="0" w:space="0" w:color="auto"/>
        <w:right w:val="none" w:sz="0" w:space="0" w:color="auto"/>
      </w:divBdr>
    </w:div>
    <w:div w:id="700323274">
      <w:bodyDiv w:val="1"/>
      <w:marLeft w:val="0"/>
      <w:marRight w:val="0"/>
      <w:marTop w:val="0"/>
      <w:marBottom w:val="0"/>
      <w:divBdr>
        <w:top w:val="none" w:sz="0" w:space="0" w:color="auto"/>
        <w:left w:val="none" w:sz="0" w:space="0" w:color="auto"/>
        <w:bottom w:val="none" w:sz="0" w:space="0" w:color="auto"/>
        <w:right w:val="none" w:sz="0" w:space="0" w:color="auto"/>
      </w:divBdr>
    </w:div>
    <w:div w:id="717166974">
      <w:bodyDiv w:val="1"/>
      <w:marLeft w:val="0"/>
      <w:marRight w:val="0"/>
      <w:marTop w:val="0"/>
      <w:marBottom w:val="0"/>
      <w:divBdr>
        <w:top w:val="none" w:sz="0" w:space="0" w:color="auto"/>
        <w:left w:val="none" w:sz="0" w:space="0" w:color="auto"/>
        <w:bottom w:val="none" w:sz="0" w:space="0" w:color="auto"/>
        <w:right w:val="none" w:sz="0" w:space="0" w:color="auto"/>
      </w:divBdr>
    </w:div>
    <w:div w:id="719746240">
      <w:bodyDiv w:val="1"/>
      <w:marLeft w:val="0"/>
      <w:marRight w:val="0"/>
      <w:marTop w:val="0"/>
      <w:marBottom w:val="0"/>
      <w:divBdr>
        <w:top w:val="none" w:sz="0" w:space="0" w:color="auto"/>
        <w:left w:val="none" w:sz="0" w:space="0" w:color="auto"/>
        <w:bottom w:val="none" w:sz="0" w:space="0" w:color="auto"/>
        <w:right w:val="none" w:sz="0" w:space="0" w:color="auto"/>
      </w:divBdr>
    </w:div>
    <w:div w:id="725379650">
      <w:bodyDiv w:val="1"/>
      <w:marLeft w:val="0"/>
      <w:marRight w:val="0"/>
      <w:marTop w:val="0"/>
      <w:marBottom w:val="0"/>
      <w:divBdr>
        <w:top w:val="none" w:sz="0" w:space="0" w:color="auto"/>
        <w:left w:val="none" w:sz="0" w:space="0" w:color="auto"/>
        <w:bottom w:val="none" w:sz="0" w:space="0" w:color="auto"/>
        <w:right w:val="none" w:sz="0" w:space="0" w:color="auto"/>
      </w:divBdr>
    </w:div>
    <w:div w:id="731851851">
      <w:bodyDiv w:val="1"/>
      <w:marLeft w:val="0"/>
      <w:marRight w:val="0"/>
      <w:marTop w:val="0"/>
      <w:marBottom w:val="0"/>
      <w:divBdr>
        <w:top w:val="none" w:sz="0" w:space="0" w:color="auto"/>
        <w:left w:val="none" w:sz="0" w:space="0" w:color="auto"/>
        <w:bottom w:val="none" w:sz="0" w:space="0" w:color="auto"/>
        <w:right w:val="none" w:sz="0" w:space="0" w:color="auto"/>
      </w:divBdr>
    </w:div>
    <w:div w:id="734553260">
      <w:bodyDiv w:val="1"/>
      <w:marLeft w:val="0"/>
      <w:marRight w:val="0"/>
      <w:marTop w:val="0"/>
      <w:marBottom w:val="0"/>
      <w:divBdr>
        <w:top w:val="none" w:sz="0" w:space="0" w:color="auto"/>
        <w:left w:val="none" w:sz="0" w:space="0" w:color="auto"/>
        <w:bottom w:val="none" w:sz="0" w:space="0" w:color="auto"/>
        <w:right w:val="none" w:sz="0" w:space="0" w:color="auto"/>
      </w:divBdr>
    </w:div>
    <w:div w:id="735393878">
      <w:bodyDiv w:val="1"/>
      <w:marLeft w:val="0"/>
      <w:marRight w:val="0"/>
      <w:marTop w:val="0"/>
      <w:marBottom w:val="0"/>
      <w:divBdr>
        <w:top w:val="none" w:sz="0" w:space="0" w:color="auto"/>
        <w:left w:val="none" w:sz="0" w:space="0" w:color="auto"/>
        <w:bottom w:val="none" w:sz="0" w:space="0" w:color="auto"/>
        <w:right w:val="none" w:sz="0" w:space="0" w:color="auto"/>
      </w:divBdr>
    </w:div>
    <w:div w:id="735587704">
      <w:bodyDiv w:val="1"/>
      <w:marLeft w:val="0"/>
      <w:marRight w:val="0"/>
      <w:marTop w:val="0"/>
      <w:marBottom w:val="0"/>
      <w:divBdr>
        <w:top w:val="none" w:sz="0" w:space="0" w:color="auto"/>
        <w:left w:val="none" w:sz="0" w:space="0" w:color="auto"/>
        <w:bottom w:val="none" w:sz="0" w:space="0" w:color="auto"/>
        <w:right w:val="none" w:sz="0" w:space="0" w:color="auto"/>
      </w:divBdr>
    </w:div>
    <w:div w:id="735906416">
      <w:bodyDiv w:val="1"/>
      <w:marLeft w:val="0"/>
      <w:marRight w:val="0"/>
      <w:marTop w:val="0"/>
      <w:marBottom w:val="0"/>
      <w:divBdr>
        <w:top w:val="none" w:sz="0" w:space="0" w:color="auto"/>
        <w:left w:val="none" w:sz="0" w:space="0" w:color="auto"/>
        <w:bottom w:val="none" w:sz="0" w:space="0" w:color="auto"/>
        <w:right w:val="none" w:sz="0" w:space="0" w:color="auto"/>
      </w:divBdr>
    </w:div>
    <w:div w:id="741833326">
      <w:bodyDiv w:val="1"/>
      <w:marLeft w:val="0"/>
      <w:marRight w:val="0"/>
      <w:marTop w:val="0"/>
      <w:marBottom w:val="0"/>
      <w:divBdr>
        <w:top w:val="none" w:sz="0" w:space="0" w:color="auto"/>
        <w:left w:val="none" w:sz="0" w:space="0" w:color="auto"/>
        <w:bottom w:val="none" w:sz="0" w:space="0" w:color="auto"/>
        <w:right w:val="none" w:sz="0" w:space="0" w:color="auto"/>
      </w:divBdr>
    </w:div>
    <w:div w:id="741951046">
      <w:bodyDiv w:val="1"/>
      <w:marLeft w:val="0"/>
      <w:marRight w:val="0"/>
      <w:marTop w:val="0"/>
      <w:marBottom w:val="0"/>
      <w:divBdr>
        <w:top w:val="none" w:sz="0" w:space="0" w:color="auto"/>
        <w:left w:val="none" w:sz="0" w:space="0" w:color="auto"/>
        <w:bottom w:val="none" w:sz="0" w:space="0" w:color="auto"/>
        <w:right w:val="none" w:sz="0" w:space="0" w:color="auto"/>
      </w:divBdr>
    </w:div>
    <w:div w:id="758065855">
      <w:bodyDiv w:val="1"/>
      <w:marLeft w:val="0"/>
      <w:marRight w:val="0"/>
      <w:marTop w:val="0"/>
      <w:marBottom w:val="0"/>
      <w:divBdr>
        <w:top w:val="none" w:sz="0" w:space="0" w:color="auto"/>
        <w:left w:val="none" w:sz="0" w:space="0" w:color="auto"/>
        <w:bottom w:val="none" w:sz="0" w:space="0" w:color="auto"/>
        <w:right w:val="none" w:sz="0" w:space="0" w:color="auto"/>
      </w:divBdr>
    </w:div>
    <w:div w:id="758453221">
      <w:bodyDiv w:val="1"/>
      <w:marLeft w:val="0"/>
      <w:marRight w:val="0"/>
      <w:marTop w:val="0"/>
      <w:marBottom w:val="0"/>
      <w:divBdr>
        <w:top w:val="none" w:sz="0" w:space="0" w:color="auto"/>
        <w:left w:val="none" w:sz="0" w:space="0" w:color="auto"/>
        <w:bottom w:val="none" w:sz="0" w:space="0" w:color="auto"/>
        <w:right w:val="none" w:sz="0" w:space="0" w:color="auto"/>
      </w:divBdr>
    </w:div>
    <w:div w:id="758914580">
      <w:bodyDiv w:val="1"/>
      <w:marLeft w:val="0"/>
      <w:marRight w:val="0"/>
      <w:marTop w:val="0"/>
      <w:marBottom w:val="0"/>
      <w:divBdr>
        <w:top w:val="none" w:sz="0" w:space="0" w:color="auto"/>
        <w:left w:val="none" w:sz="0" w:space="0" w:color="auto"/>
        <w:bottom w:val="none" w:sz="0" w:space="0" w:color="auto"/>
        <w:right w:val="none" w:sz="0" w:space="0" w:color="auto"/>
      </w:divBdr>
    </w:div>
    <w:div w:id="775372047">
      <w:bodyDiv w:val="1"/>
      <w:marLeft w:val="0"/>
      <w:marRight w:val="0"/>
      <w:marTop w:val="0"/>
      <w:marBottom w:val="0"/>
      <w:divBdr>
        <w:top w:val="none" w:sz="0" w:space="0" w:color="auto"/>
        <w:left w:val="none" w:sz="0" w:space="0" w:color="auto"/>
        <w:bottom w:val="none" w:sz="0" w:space="0" w:color="auto"/>
        <w:right w:val="none" w:sz="0" w:space="0" w:color="auto"/>
      </w:divBdr>
    </w:div>
    <w:div w:id="793602988">
      <w:bodyDiv w:val="1"/>
      <w:marLeft w:val="0"/>
      <w:marRight w:val="0"/>
      <w:marTop w:val="0"/>
      <w:marBottom w:val="0"/>
      <w:divBdr>
        <w:top w:val="none" w:sz="0" w:space="0" w:color="auto"/>
        <w:left w:val="none" w:sz="0" w:space="0" w:color="auto"/>
        <w:bottom w:val="none" w:sz="0" w:space="0" w:color="auto"/>
        <w:right w:val="none" w:sz="0" w:space="0" w:color="auto"/>
      </w:divBdr>
    </w:div>
    <w:div w:id="796605772">
      <w:bodyDiv w:val="1"/>
      <w:marLeft w:val="0"/>
      <w:marRight w:val="0"/>
      <w:marTop w:val="0"/>
      <w:marBottom w:val="0"/>
      <w:divBdr>
        <w:top w:val="none" w:sz="0" w:space="0" w:color="auto"/>
        <w:left w:val="none" w:sz="0" w:space="0" w:color="auto"/>
        <w:bottom w:val="none" w:sz="0" w:space="0" w:color="auto"/>
        <w:right w:val="none" w:sz="0" w:space="0" w:color="auto"/>
      </w:divBdr>
    </w:div>
    <w:div w:id="809900651">
      <w:bodyDiv w:val="1"/>
      <w:marLeft w:val="0"/>
      <w:marRight w:val="0"/>
      <w:marTop w:val="0"/>
      <w:marBottom w:val="0"/>
      <w:divBdr>
        <w:top w:val="none" w:sz="0" w:space="0" w:color="auto"/>
        <w:left w:val="none" w:sz="0" w:space="0" w:color="auto"/>
        <w:bottom w:val="none" w:sz="0" w:space="0" w:color="auto"/>
        <w:right w:val="none" w:sz="0" w:space="0" w:color="auto"/>
      </w:divBdr>
    </w:div>
    <w:div w:id="820972227">
      <w:bodyDiv w:val="1"/>
      <w:marLeft w:val="0"/>
      <w:marRight w:val="0"/>
      <w:marTop w:val="0"/>
      <w:marBottom w:val="0"/>
      <w:divBdr>
        <w:top w:val="none" w:sz="0" w:space="0" w:color="auto"/>
        <w:left w:val="none" w:sz="0" w:space="0" w:color="auto"/>
        <w:bottom w:val="none" w:sz="0" w:space="0" w:color="auto"/>
        <w:right w:val="none" w:sz="0" w:space="0" w:color="auto"/>
      </w:divBdr>
    </w:div>
    <w:div w:id="826484541">
      <w:bodyDiv w:val="1"/>
      <w:marLeft w:val="0"/>
      <w:marRight w:val="0"/>
      <w:marTop w:val="0"/>
      <w:marBottom w:val="0"/>
      <w:divBdr>
        <w:top w:val="none" w:sz="0" w:space="0" w:color="auto"/>
        <w:left w:val="none" w:sz="0" w:space="0" w:color="auto"/>
        <w:bottom w:val="none" w:sz="0" w:space="0" w:color="auto"/>
        <w:right w:val="none" w:sz="0" w:space="0" w:color="auto"/>
      </w:divBdr>
    </w:div>
    <w:div w:id="827327707">
      <w:bodyDiv w:val="1"/>
      <w:marLeft w:val="0"/>
      <w:marRight w:val="0"/>
      <w:marTop w:val="0"/>
      <w:marBottom w:val="0"/>
      <w:divBdr>
        <w:top w:val="none" w:sz="0" w:space="0" w:color="auto"/>
        <w:left w:val="none" w:sz="0" w:space="0" w:color="auto"/>
        <w:bottom w:val="none" w:sz="0" w:space="0" w:color="auto"/>
        <w:right w:val="none" w:sz="0" w:space="0" w:color="auto"/>
      </w:divBdr>
    </w:div>
    <w:div w:id="833422156">
      <w:bodyDiv w:val="1"/>
      <w:marLeft w:val="0"/>
      <w:marRight w:val="0"/>
      <w:marTop w:val="0"/>
      <w:marBottom w:val="0"/>
      <w:divBdr>
        <w:top w:val="none" w:sz="0" w:space="0" w:color="auto"/>
        <w:left w:val="none" w:sz="0" w:space="0" w:color="auto"/>
        <w:bottom w:val="none" w:sz="0" w:space="0" w:color="auto"/>
        <w:right w:val="none" w:sz="0" w:space="0" w:color="auto"/>
      </w:divBdr>
    </w:div>
    <w:div w:id="845172672">
      <w:bodyDiv w:val="1"/>
      <w:marLeft w:val="0"/>
      <w:marRight w:val="0"/>
      <w:marTop w:val="0"/>
      <w:marBottom w:val="0"/>
      <w:divBdr>
        <w:top w:val="none" w:sz="0" w:space="0" w:color="auto"/>
        <w:left w:val="none" w:sz="0" w:space="0" w:color="auto"/>
        <w:bottom w:val="none" w:sz="0" w:space="0" w:color="auto"/>
        <w:right w:val="none" w:sz="0" w:space="0" w:color="auto"/>
      </w:divBdr>
    </w:div>
    <w:div w:id="852764524">
      <w:bodyDiv w:val="1"/>
      <w:marLeft w:val="0"/>
      <w:marRight w:val="0"/>
      <w:marTop w:val="0"/>
      <w:marBottom w:val="0"/>
      <w:divBdr>
        <w:top w:val="none" w:sz="0" w:space="0" w:color="auto"/>
        <w:left w:val="none" w:sz="0" w:space="0" w:color="auto"/>
        <w:bottom w:val="none" w:sz="0" w:space="0" w:color="auto"/>
        <w:right w:val="none" w:sz="0" w:space="0" w:color="auto"/>
      </w:divBdr>
    </w:div>
    <w:div w:id="852956924">
      <w:bodyDiv w:val="1"/>
      <w:marLeft w:val="0"/>
      <w:marRight w:val="0"/>
      <w:marTop w:val="0"/>
      <w:marBottom w:val="0"/>
      <w:divBdr>
        <w:top w:val="none" w:sz="0" w:space="0" w:color="auto"/>
        <w:left w:val="none" w:sz="0" w:space="0" w:color="auto"/>
        <w:bottom w:val="none" w:sz="0" w:space="0" w:color="auto"/>
        <w:right w:val="none" w:sz="0" w:space="0" w:color="auto"/>
      </w:divBdr>
    </w:div>
    <w:div w:id="856651966">
      <w:bodyDiv w:val="1"/>
      <w:marLeft w:val="0"/>
      <w:marRight w:val="0"/>
      <w:marTop w:val="0"/>
      <w:marBottom w:val="0"/>
      <w:divBdr>
        <w:top w:val="none" w:sz="0" w:space="0" w:color="auto"/>
        <w:left w:val="none" w:sz="0" w:space="0" w:color="auto"/>
        <w:bottom w:val="none" w:sz="0" w:space="0" w:color="auto"/>
        <w:right w:val="none" w:sz="0" w:space="0" w:color="auto"/>
      </w:divBdr>
    </w:div>
    <w:div w:id="857043832">
      <w:bodyDiv w:val="1"/>
      <w:marLeft w:val="0"/>
      <w:marRight w:val="0"/>
      <w:marTop w:val="0"/>
      <w:marBottom w:val="0"/>
      <w:divBdr>
        <w:top w:val="none" w:sz="0" w:space="0" w:color="auto"/>
        <w:left w:val="none" w:sz="0" w:space="0" w:color="auto"/>
        <w:bottom w:val="none" w:sz="0" w:space="0" w:color="auto"/>
        <w:right w:val="none" w:sz="0" w:space="0" w:color="auto"/>
      </w:divBdr>
    </w:div>
    <w:div w:id="857812911">
      <w:bodyDiv w:val="1"/>
      <w:marLeft w:val="0"/>
      <w:marRight w:val="0"/>
      <w:marTop w:val="0"/>
      <w:marBottom w:val="0"/>
      <w:divBdr>
        <w:top w:val="none" w:sz="0" w:space="0" w:color="auto"/>
        <w:left w:val="none" w:sz="0" w:space="0" w:color="auto"/>
        <w:bottom w:val="none" w:sz="0" w:space="0" w:color="auto"/>
        <w:right w:val="none" w:sz="0" w:space="0" w:color="auto"/>
      </w:divBdr>
    </w:div>
    <w:div w:id="866482298">
      <w:bodyDiv w:val="1"/>
      <w:marLeft w:val="0"/>
      <w:marRight w:val="0"/>
      <w:marTop w:val="0"/>
      <w:marBottom w:val="0"/>
      <w:divBdr>
        <w:top w:val="none" w:sz="0" w:space="0" w:color="auto"/>
        <w:left w:val="none" w:sz="0" w:space="0" w:color="auto"/>
        <w:bottom w:val="none" w:sz="0" w:space="0" w:color="auto"/>
        <w:right w:val="none" w:sz="0" w:space="0" w:color="auto"/>
      </w:divBdr>
    </w:div>
    <w:div w:id="868493325">
      <w:bodyDiv w:val="1"/>
      <w:marLeft w:val="0"/>
      <w:marRight w:val="0"/>
      <w:marTop w:val="0"/>
      <w:marBottom w:val="0"/>
      <w:divBdr>
        <w:top w:val="none" w:sz="0" w:space="0" w:color="auto"/>
        <w:left w:val="none" w:sz="0" w:space="0" w:color="auto"/>
        <w:bottom w:val="none" w:sz="0" w:space="0" w:color="auto"/>
        <w:right w:val="none" w:sz="0" w:space="0" w:color="auto"/>
      </w:divBdr>
    </w:div>
    <w:div w:id="883104879">
      <w:bodyDiv w:val="1"/>
      <w:marLeft w:val="0"/>
      <w:marRight w:val="0"/>
      <w:marTop w:val="0"/>
      <w:marBottom w:val="0"/>
      <w:divBdr>
        <w:top w:val="none" w:sz="0" w:space="0" w:color="auto"/>
        <w:left w:val="none" w:sz="0" w:space="0" w:color="auto"/>
        <w:bottom w:val="none" w:sz="0" w:space="0" w:color="auto"/>
        <w:right w:val="none" w:sz="0" w:space="0" w:color="auto"/>
      </w:divBdr>
    </w:div>
    <w:div w:id="883491637">
      <w:bodyDiv w:val="1"/>
      <w:marLeft w:val="0"/>
      <w:marRight w:val="0"/>
      <w:marTop w:val="0"/>
      <w:marBottom w:val="0"/>
      <w:divBdr>
        <w:top w:val="none" w:sz="0" w:space="0" w:color="auto"/>
        <w:left w:val="none" w:sz="0" w:space="0" w:color="auto"/>
        <w:bottom w:val="none" w:sz="0" w:space="0" w:color="auto"/>
        <w:right w:val="none" w:sz="0" w:space="0" w:color="auto"/>
      </w:divBdr>
    </w:div>
    <w:div w:id="884219352">
      <w:bodyDiv w:val="1"/>
      <w:marLeft w:val="0"/>
      <w:marRight w:val="0"/>
      <w:marTop w:val="0"/>
      <w:marBottom w:val="0"/>
      <w:divBdr>
        <w:top w:val="none" w:sz="0" w:space="0" w:color="auto"/>
        <w:left w:val="none" w:sz="0" w:space="0" w:color="auto"/>
        <w:bottom w:val="none" w:sz="0" w:space="0" w:color="auto"/>
        <w:right w:val="none" w:sz="0" w:space="0" w:color="auto"/>
      </w:divBdr>
    </w:div>
    <w:div w:id="885485843">
      <w:bodyDiv w:val="1"/>
      <w:marLeft w:val="0"/>
      <w:marRight w:val="0"/>
      <w:marTop w:val="0"/>
      <w:marBottom w:val="0"/>
      <w:divBdr>
        <w:top w:val="none" w:sz="0" w:space="0" w:color="auto"/>
        <w:left w:val="none" w:sz="0" w:space="0" w:color="auto"/>
        <w:bottom w:val="none" w:sz="0" w:space="0" w:color="auto"/>
        <w:right w:val="none" w:sz="0" w:space="0" w:color="auto"/>
      </w:divBdr>
    </w:div>
    <w:div w:id="886379653">
      <w:bodyDiv w:val="1"/>
      <w:marLeft w:val="0"/>
      <w:marRight w:val="0"/>
      <w:marTop w:val="0"/>
      <w:marBottom w:val="0"/>
      <w:divBdr>
        <w:top w:val="none" w:sz="0" w:space="0" w:color="auto"/>
        <w:left w:val="none" w:sz="0" w:space="0" w:color="auto"/>
        <w:bottom w:val="none" w:sz="0" w:space="0" w:color="auto"/>
        <w:right w:val="none" w:sz="0" w:space="0" w:color="auto"/>
      </w:divBdr>
    </w:div>
    <w:div w:id="899436322">
      <w:bodyDiv w:val="1"/>
      <w:marLeft w:val="0"/>
      <w:marRight w:val="0"/>
      <w:marTop w:val="0"/>
      <w:marBottom w:val="0"/>
      <w:divBdr>
        <w:top w:val="none" w:sz="0" w:space="0" w:color="auto"/>
        <w:left w:val="none" w:sz="0" w:space="0" w:color="auto"/>
        <w:bottom w:val="none" w:sz="0" w:space="0" w:color="auto"/>
        <w:right w:val="none" w:sz="0" w:space="0" w:color="auto"/>
      </w:divBdr>
    </w:div>
    <w:div w:id="899438865">
      <w:bodyDiv w:val="1"/>
      <w:marLeft w:val="0"/>
      <w:marRight w:val="0"/>
      <w:marTop w:val="0"/>
      <w:marBottom w:val="0"/>
      <w:divBdr>
        <w:top w:val="none" w:sz="0" w:space="0" w:color="auto"/>
        <w:left w:val="none" w:sz="0" w:space="0" w:color="auto"/>
        <w:bottom w:val="none" w:sz="0" w:space="0" w:color="auto"/>
        <w:right w:val="none" w:sz="0" w:space="0" w:color="auto"/>
      </w:divBdr>
    </w:div>
    <w:div w:id="906649863">
      <w:bodyDiv w:val="1"/>
      <w:marLeft w:val="0"/>
      <w:marRight w:val="0"/>
      <w:marTop w:val="0"/>
      <w:marBottom w:val="0"/>
      <w:divBdr>
        <w:top w:val="none" w:sz="0" w:space="0" w:color="auto"/>
        <w:left w:val="none" w:sz="0" w:space="0" w:color="auto"/>
        <w:bottom w:val="none" w:sz="0" w:space="0" w:color="auto"/>
        <w:right w:val="none" w:sz="0" w:space="0" w:color="auto"/>
      </w:divBdr>
    </w:div>
    <w:div w:id="907110483">
      <w:bodyDiv w:val="1"/>
      <w:marLeft w:val="0"/>
      <w:marRight w:val="0"/>
      <w:marTop w:val="0"/>
      <w:marBottom w:val="0"/>
      <w:divBdr>
        <w:top w:val="none" w:sz="0" w:space="0" w:color="auto"/>
        <w:left w:val="none" w:sz="0" w:space="0" w:color="auto"/>
        <w:bottom w:val="none" w:sz="0" w:space="0" w:color="auto"/>
        <w:right w:val="none" w:sz="0" w:space="0" w:color="auto"/>
      </w:divBdr>
    </w:div>
    <w:div w:id="908733042">
      <w:bodyDiv w:val="1"/>
      <w:marLeft w:val="0"/>
      <w:marRight w:val="0"/>
      <w:marTop w:val="0"/>
      <w:marBottom w:val="0"/>
      <w:divBdr>
        <w:top w:val="none" w:sz="0" w:space="0" w:color="auto"/>
        <w:left w:val="none" w:sz="0" w:space="0" w:color="auto"/>
        <w:bottom w:val="none" w:sz="0" w:space="0" w:color="auto"/>
        <w:right w:val="none" w:sz="0" w:space="0" w:color="auto"/>
      </w:divBdr>
    </w:div>
    <w:div w:id="915088764">
      <w:bodyDiv w:val="1"/>
      <w:marLeft w:val="0"/>
      <w:marRight w:val="0"/>
      <w:marTop w:val="0"/>
      <w:marBottom w:val="0"/>
      <w:divBdr>
        <w:top w:val="none" w:sz="0" w:space="0" w:color="auto"/>
        <w:left w:val="none" w:sz="0" w:space="0" w:color="auto"/>
        <w:bottom w:val="none" w:sz="0" w:space="0" w:color="auto"/>
        <w:right w:val="none" w:sz="0" w:space="0" w:color="auto"/>
      </w:divBdr>
    </w:div>
    <w:div w:id="922642936">
      <w:bodyDiv w:val="1"/>
      <w:marLeft w:val="0"/>
      <w:marRight w:val="0"/>
      <w:marTop w:val="0"/>
      <w:marBottom w:val="0"/>
      <w:divBdr>
        <w:top w:val="none" w:sz="0" w:space="0" w:color="auto"/>
        <w:left w:val="none" w:sz="0" w:space="0" w:color="auto"/>
        <w:bottom w:val="none" w:sz="0" w:space="0" w:color="auto"/>
        <w:right w:val="none" w:sz="0" w:space="0" w:color="auto"/>
      </w:divBdr>
    </w:div>
    <w:div w:id="930966511">
      <w:bodyDiv w:val="1"/>
      <w:marLeft w:val="0"/>
      <w:marRight w:val="0"/>
      <w:marTop w:val="0"/>
      <w:marBottom w:val="0"/>
      <w:divBdr>
        <w:top w:val="none" w:sz="0" w:space="0" w:color="auto"/>
        <w:left w:val="none" w:sz="0" w:space="0" w:color="auto"/>
        <w:bottom w:val="none" w:sz="0" w:space="0" w:color="auto"/>
        <w:right w:val="none" w:sz="0" w:space="0" w:color="auto"/>
      </w:divBdr>
    </w:div>
    <w:div w:id="935359901">
      <w:bodyDiv w:val="1"/>
      <w:marLeft w:val="0"/>
      <w:marRight w:val="0"/>
      <w:marTop w:val="0"/>
      <w:marBottom w:val="0"/>
      <w:divBdr>
        <w:top w:val="none" w:sz="0" w:space="0" w:color="auto"/>
        <w:left w:val="none" w:sz="0" w:space="0" w:color="auto"/>
        <w:bottom w:val="none" w:sz="0" w:space="0" w:color="auto"/>
        <w:right w:val="none" w:sz="0" w:space="0" w:color="auto"/>
      </w:divBdr>
    </w:div>
    <w:div w:id="936013319">
      <w:bodyDiv w:val="1"/>
      <w:marLeft w:val="0"/>
      <w:marRight w:val="0"/>
      <w:marTop w:val="0"/>
      <w:marBottom w:val="0"/>
      <w:divBdr>
        <w:top w:val="none" w:sz="0" w:space="0" w:color="auto"/>
        <w:left w:val="none" w:sz="0" w:space="0" w:color="auto"/>
        <w:bottom w:val="none" w:sz="0" w:space="0" w:color="auto"/>
        <w:right w:val="none" w:sz="0" w:space="0" w:color="auto"/>
      </w:divBdr>
    </w:div>
    <w:div w:id="936794657">
      <w:bodyDiv w:val="1"/>
      <w:marLeft w:val="0"/>
      <w:marRight w:val="0"/>
      <w:marTop w:val="0"/>
      <w:marBottom w:val="0"/>
      <w:divBdr>
        <w:top w:val="none" w:sz="0" w:space="0" w:color="auto"/>
        <w:left w:val="none" w:sz="0" w:space="0" w:color="auto"/>
        <w:bottom w:val="none" w:sz="0" w:space="0" w:color="auto"/>
        <w:right w:val="none" w:sz="0" w:space="0" w:color="auto"/>
      </w:divBdr>
    </w:div>
    <w:div w:id="942348483">
      <w:bodyDiv w:val="1"/>
      <w:marLeft w:val="0"/>
      <w:marRight w:val="0"/>
      <w:marTop w:val="0"/>
      <w:marBottom w:val="0"/>
      <w:divBdr>
        <w:top w:val="none" w:sz="0" w:space="0" w:color="auto"/>
        <w:left w:val="none" w:sz="0" w:space="0" w:color="auto"/>
        <w:bottom w:val="none" w:sz="0" w:space="0" w:color="auto"/>
        <w:right w:val="none" w:sz="0" w:space="0" w:color="auto"/>
      </w:divBdr>
    </w:div>
    <w:div w:id="947931222">
      <w:bodyDiv w:val="1"/>
      <w:marLeft w:val="0"/>
      <w:marRight w:val="0"/>
      <w:marTop w:val="0"/>
      <w:marBottom w:val="0"/>
      <w:divBdr>
        <w:top w:val="none" w:sz="0" w:space="0" w:color="auto"/>
        <w:left w:val="none" w:sz="0" w:space="0" w:color="auto"/>
        <w:bottom w:val="none" w:sz="0" w:space="0" w:color="auto"/>
        <w:right w:val="none" w:sz="0" w:space="0" w:color="auto"/>
      </w:divBdr>
    </w:div>
    <w:div w:id="958219117">
      <w:bodyDiv w:val="1"/>
      <w:marLeft w:val="0"/>
      <w:marRight w:val="0"/>
      <w:marTop w:val="0"/>
      <w:marBottom w:val="0"/>
      <w:divBdr>
        <w:top w:val="none" w:sz="0" w:space="0" w:color="auto"/>
        <w:left w:val="none" w:sz="0" w:space="0" w:color="auto"/>
        <w:bottom w:val="none" w:sz="0" w:space="0" w:color="auto"/>
        <w:right w:val="none" w:sz="0" w:space="0" w:color="auto"/>
      </w:divBdr>
    </w:div>
    <w:div w:id="958488646">
      <w:bodyDiv w:val="1"/>
      <w:marLeft w:val="0"/>
      <w:marRight w:val="0"/>
      <w:marTop w:val="0"/>
      <w:marBottom w:val="0"/>
      <w:divBdr>
        <w:top w:val="none" w:sz="0" w:space="0" w:color="auto"/>
        <w:left w:val="none" w:sz="0" w:space="0" w:color="auto"/>
        <w:bottom w:val="none" w:sz="0" w:space="0" w:color="auto"/>
        <w:right w:val="none" w:sz="0" w:space="0" w:color="auto"/>
      </w:divBdr>
    </w:div>
    <w:div w:id="967205262">
      <w:bodyDiv w:val="1"/>
      <w:marLeft w:val="0"/>
      <w:marRight w:val="0"/>
      <w:marTop w:val="0"/>
      <w:marBottom w:val="0"/>
      <w:divBdr>
        <w:top w:val="none" w:sz="0" w:space="0" w:color="auto"/>
        <w:left w:val="none" w:sz="0" w:space="0" w:color="auto"/>
        <w:bottom w:val="none" w:sz="0" w:space="0" w:color="auto"/>
        <w:right w:val="none" w:sz="0" w:space="0" w:color="auto"/>
      </w:divBdr>
    </w:div>
    <w:div w:id="967274575">
      <w:bodyDiv w:val="1"/>
      <w:marLeft w:val="0"/>
      <w:marRight w:val="0"/>
      <w:marTop w:val="0"/>
      <w:marBottom w:val="0"/>
      <w:divBdr>
        <w:top w:val="none" w:sz="0" w:space="0" w:color="auto"/>
        <w:left w:val="none" w:sz="0" w:space="0" w:color="auto"/>
        <w:bottom w:val="none" w:sz="0" w:space="0" w:color="auto"/>
        <w:right w:val="none" w:sz="0" w:space="0" w:color="auto"/>
      </w:divBdr>
    </w:div>
    <w:div w:id="976254821">
      <w:bodyDiv w:val="1"/>
      <w:marLeft w:val="0"/>
      <w:marRight w:val="0"/>
      <w:marTop w:val="0"/>
      <w:marBottom w:val="0"/>
      <w:divBdr>
        <w:top w:val="none" w:sz="0" w:space="0" w:color="auto"/>
        <w:left w:val="none" w:sz="0" w:space="0" w:color="auto"/>
        <w:bottom w:val="none" w:sz="0" w:space="0" w:color="auto"/>
        <w:right w:val="none" w:sz="0" w:space="0" w:color="auto"/>
      </w:divBdr>
    </w:div>
    <w:div w:id="976447899">
      <w:bodyDiv w:val="1"/>
      <w:marLeft w:val="0"/>
      <w:marRight w:val="0"/>
      <w:marTop w:val="0"/>
      <w:marBottom w:val="0"/>
      <w:divBdr>
        <w:top w:val="none" w:sz="0" w:space="0" w:color="auto"/>
        <w:left w:val="none" w:sz="0" w:space="0" w:color="auto"/>
        <w:bottom w:val="none" w:sz="0" w:space="0" w:color="auto"/>
        <w:right w:val="none" w:sz="0" w:space="0" w:color="auto"/>
      </w:divBdr>
    </w:div>
    <w:div w:id="998852789">
      <w:bodyDiv w:val="1"/>
      <w:marLeft w:val="0"/>
      <w:marRight w:val="0"/>
      <w:marTop w:val="0"/>
      <w:marBottom w:val="0"/>
      <w:divBdr>
        <w:top w:val="none" w:sz="0" w:space="0" w:color="auto"/>
        <w:left w:val="none" w:sz="0" w:space="0" w:color="auto"/>
        <w:bottom w:val="none" w:sz="0" w:space="0" w:color="auto"/>
        <w:right w:val="none" w:sz="0" w:space="0" w:color="auto"/>
      </w:divBdr>
    </w:div>
    <w:div w:id="1002855383">
      <w:bodyDiv w:val="1"/>
      <w:marLeft w:val="0"/>
      <w:marRight w:val="0"/>
      <w:marTop w:val="0"/>
      <w:marBottom w:val="0"/>
      <w:divBdr>
        <w:top w:val="none" w:sz="0" w:space="0" w:color="auto"/>
        <w:left w:val="none" w:sz="0" w:space="0" w:color="auto"/>
        <w:bottom w:val="none" w:sz="0" w:space="0" w:color="auto"/>
        <w:right w:val="none" w:sz="0" w:space="0" w:color="auto"/>
      </w:divBdr>
    </w:div>
    <w:div w:id="1003819105">
      <w:bodyDiv w:val="1"/>
      <w:marLeft w:val="0"/>
      <w:marRight w:val="0"/>
      <w:marTop w:val="0"/>
      <w:marBottom w:val="0"/>
      <w:divBdr>
        <w:top w:val="none" w:sz="0" w:space="0" w:color="auto"/>
        <w:left w:val="none" w:sz="0" w:space="0" w:color="auto"/>
        <w:bottom w:val="none" w:sz="0" w:space="0" w:color="auto"/>
        <w:right w:val="none" w:sz="0" w:space="0" w:color="auto"/>
      </w:divBdr>
    </w:div>
    <w:div w:id="1005933373">
      <w:bodyDiv w:val="1"/>
      <w:marLeft w:val="0"/>
      <w:marRight w:val="0"/>
      <w:marTop w:val="0"/>
      <w:marBottom w:val="0"/>
      <w:divBdr>
        <w:top w:val="none" w:sz="0" w:space="0" w:color="auto"/>
        <w:left w:val="none" w:sz="0" w:space="0" w:color="auto"/>
        <w:bottom w:val="none" w:sz="0" w:space="0" w:color="auto"/>
        <w:right w:val="none" w:sz="0" w:space="0" w:color="auto"/>
      </w:divBdr>
    </w:div>
    <w:div w:id="1007291182">
      <w:bodyDiv w:val="1"/>
      <w:marLeft w:val="0"/>
      <w:marRight w:val="0"/>
      <w:marTop w:val="0"/>
      <w:marBottom w:val="0"/>
      <w:divBdr>
        <w:top w:val="none" w:sz="0" w:space="0" w:color="auto"/>
        <w:left w:val="none" w:sz="0" w:space="0" w:color="auto"/>
        <w:bottom w:val="none" w:sz="0" w:space="0" w:color="auto"/>
        <w:right w:val="none" w:sz="0" w:space="0" w:color="auto"/>
      </w:divBdr>
    </w:div>
    <w:div w:id="1008602666">
      <w:bodyDiv w:val="1"/>
      <w:marLeft w:val="0"/>
      <w:marRight w:val="0"/>
      <w:marTop w:val="0"/>
      <w:marBottom w:val="0"/>
      <w:divBdr>
        <w:top w:val="none" w:sz="0" w:space="0" w:color="auto"/>
        <w:left w:val="none" w:sz="0" w:space="0" w:color="auto"/>
        <w:bottom w:val="none" w:sz="0" w:space="0" w:color="auto"/>
        <w:right w:val="none" w:sz="0" w:space="0" w:color="auto"/>
      </w:divBdr>
    </w:div>
    <w:div w:id="1008947820">
      <w:bodyDiv w:val="1"/>
      <w:marLeft w:val="0"/>
      <w:marRight w:val="0"/>
      <w:marTop w:val="0"/>
      <w:marBottom w:val="0"/>
      <w:divBdr>
        <w:top w:val="none" w:sz="0" w:space="0" w:color="auto"/>
        <w:left w:val="none" w:sz="0" w:space="0" w:color="auto"/>
        <w:bottom w:val="none" w:sz="0" w:space="0" w:color="auto"/>
        <w:right w:val="none" w:sz="0" w:space="0" w:color="auto"/>
      </w:divBdr>
    </w:div>
    <w:div w:id="1033580022">
      <w:bodyDiv w:val="1"/>
      <w:marLeft w:val="0"/>
      <w:marRight w:val="0"/>
      <w:marTop w:val="0"/>
      <w:marBottom w:val="0"/>
      <w:divBdr>
        <w:top w:val="none" w:sz="0" w:space="0" w:color="auto"/>
        <w:left w:val="none" w:sz="0" w:space="0" w:color="auto"/>
        <w:bottom w:val="none" w:sz="0" w:space="0" w:color="auto"/>
        <w:right w:val="none" w:sz="0" w:space="0" w:color="auto"/>
      </w:divBdr>
    </w:div>
    <w:div w:id="1036462860">
      <w:bodyDiv w:val="1"/>
      <w:marLeft w:val="0"/>
      <w:marRight w:val="0"/>
      <w:marTop w:val="0"/>
      <w:marBottom w:val="0"/>
      <w:divBdr>
        <w:top w:val="none" w:sz="0" w:space="0" w:color="auto"/>
        <w:left w:val="none" w:sz="0" w:space="0" w:color="auto"/>
        <w:bottom w:val="none" w:sz="0" w:space="0" w:color="auto"/>
        <w:right w:val="none" w:sz="0" w:space="0" w:color="auto"/>
      </w:divBdr>
    </w:div>
    <w:div w:id="1039548725">
      <w:bodyDiv w:val="1"/>
      <w:marLeft w:val="0"/>
      <w:marRight w:val="0"/>
      <w:marTop w:val="0"/>
      <w:marBottom w:val="0"/>
      <w:divBdr>
        <w:top w:val="none" w:sz="0" w:space="0" w:color="auto"/>
        <w:left w:val="none" w:sz="0" w:space="0" w:color="auto"/>
        <w:bottom w:val="none" w:sz="0" w:space="0" w:color="auto"/>
        <w:right w:val="none" w:sz="0" w:space="0" w:color="auto"/>
      </w:divBdr>
    </w:div>
    <w:div w:id="1041125197">
      <w:bodyDiv w:val="1"/>
      <w:marLeft w:val="0"/>
      <w:marRight w:val="0"/>
      <w:marTop w:val="0"/>
      <w:marBottom w:val="0"/>
      <w:divBdr>
        <w:top w:val="none" w:sz="0" w:space="0" w:color="auto"/>
        <w:left w:val="none" w:sz="0" w:space="0" w:color="auto"/>
        <w:bottom w:val="none" w:sz="0" w:space="0" w:color="auto"/>
        <w:right w:val="none" w:sz="0" w:space="0" w:color="auto"/>
      </w:divBdr>
    </w:div>
    <w:div w:id="1046371915">
      <w:bodyDiv w:val="1"/>
      <w:marLeft w:val="0"/>
      <w:marRight w:val="0"/>
      <w:marTop w:val="0"/>
      <w:marBottom w:val="0"/>
      <w:divBdr>
        <w:top w:val="none" w:sz="0" w:space="0" w:color="auto"/>
        <w:left w:val="none" w:sz="0" w:space="0" w:color="auto"/>
        <w:bottom w:val="none" w:sz="0" w:space="0" w:color="auto"/>
        <w:right w:val="none" w:sz="0" w:space="0" w:color="auto"/>
      </w:divBdr>
    </w:div>
    <w:div w:id="1048799998">
      <w:bodyDiv w:val="1"/>
      <w:marLeft w:val="0"/>
      <w:marRight w:val="0"/>
      <w:marTop w:val="0"/>
      <w:marBottom w:val="0"/>
      <w:divBdr>
        <w:top w:val="none" w:sz="0" w:space="0" w:color="auto"/>
        <w:left w:val="none" w:sz="0" w:space="0" w:color="auto"/>
        <w:bottom w:val="none" w:sz="0" w:space="0" w:color="auto"/>
        <w:right w:val="none" w:sz="0" w:space="0" w:color="auto"/>
      </w:divBdr>
    </w:div>
    <w:div w:id="1055203220">
      <w:bodyDiv w:val="1"/>
      <w:marLeft w:val="0"/>
      <w:marRight w:val="0"/>
      <w:marTop w:val="0"/>
      <w:marBottom w:val="0"/>
      <w:divBdr>
        <w:top w:val="none" w:sz="0" w:space="0" w:color="auto"/>
        <w:left w:val="none" w:sz="0" w:space="0" w:color="auto"/>
        <w:bottom w:val="none" w:sz="0" w:space="0" w:color="auto"/>
        <w:right w:val="none" w:sz="0" w:space="0" w:color="auto"/>
      </w:divBdr>
    </w:div>
    <w:div w:id="1063988003">
      <w:bodyDiv w:val="1"/>
      <w:marLeft w:val="0"/>
      <w:marRight w:val="0"/>
      <w:marTop w:val="0"/>
      <w:marBottom w:val="0"/>
      <w:divBdr>
        <w:top w:val="none" w:sz="0" w:space="0" w:color="auto"/>
        <w:left w:val="none" w:sz="0" w:space="0" w:color="auto"/>
        <w:bottom w:val="none" w:sz="0" w:space="0" w:color="auto"/>
        <w:right w:val="none" w:sz="0" w:space="0" w:color="auto"/>
      </w:divBdr>
    </w:div>
    <w:div w:id="1067648293">
      <w:bodyDiv w:val="1"/>
      <w:marLeft w:val="0"/>
      <w:marRight w:val="0"/>
      <w:marTop w:val="0"/>
      <w:marBottom w:val="0"/>
      <w:divBdr>
        <w:top w:val="none" w:sz="0" w:space="0" w:color="auto"/>
        <w:left w:val="none" w:sz="0" w:space="0" w:color="auto"/>
        <w:bottom w:val="none" w:sz="0" w:space="0" w:color="auto"/>
        <w:right w:val="none" w:sz="0" w:space="0" w:color="auto"/>
      </w:divBdr>
    </w:div>
    <w:div w:id="1073315669">
      <w:bodyDiv w:val="1"/>
      <w:marLeft w:val="0"/>
      <w:marRight w:val="0"/>
      <w:marTop w:val="0"/>
      <w:marBottom w:val="0"/>
      <w:divBdr>
        <w:top w:val="none" w:sz="0" w:space="0" w:color="auto"/>
        <w:left w:val="none" w:sz="0" w:space="0" w:color="auto"/>
        <w:bottom w:val="none" w:sz="0" w:space="0" w:color="auto"/>
        <w:right w:val="none" w:sz="0" w:space="0" w:color="auto"/>
      </w:divBdr>
    </w:div>
    <w:div w:id="1076197840">
      <w:bodyDiv w:val="1"/>
      <w:marLeft w:val="0"/>
      <w:marRight w:val="0"/>
      <w:marTop w:val="0"/>
      <w:marBottom w:val="0"/>
      <w:divBdr>
        <w:top w:val="none" w:sz="0" w:space="0" w:color="auto"/>
        <w:left w:val="none" w:sz="0" w:space="0" w:color="auto"/>
        <w:bottom w:val="none" w:sz="0" w:space="0" w:color="auto"/>
        <w:right w:val="none" w:sz="0" w:space="0" w:color="auto"/>
      </w:divBdr>
    </w:div>
    <w:div w:id="1079712684">
      <w:bodyDiv w:val="1"/>
      <w:marLeft w:val="0"/>
      <w:marRight w:val="0"/>
      <w:marTop w:val="0"/>
      <w:marBottom w:val="0"/>
      <w:divBdr>
        <w:top w:val="none" w:sz="0" w:space="0" w:color="auto"/>
        <w:left w:val="none" w:sz="0" w:space="0" w:color="auto"/>
        <w:bottom w:val="none" w:sz="0" w:space="0" w:color="auto"/>
        <w:right w:val="none" w:sz="0" w:space="0" w:color="auto"/>
      </w:divBdr>
    </w:div>
    <w:div w:id="1083451038">
      <w:bodyDiv w:val="1"/>
      <w:marLeft w:val="0"/>
      <w:marRight w:val="0"/>
      <w:marTop w:val="0"/>
      <w:marBottom w:val="0"/>
      <w:divBdr>
        <w:top w:val="none" w:sz="0" w:space="0" w:color="auto"/>
        <w:left w:val="none" w:sz="0" w:space="0" w:color="auto"/>
        <w:bottom w:val="none" w:sz="0" w:space="0" w:color="auto"/>
        <w:right w:val="none" w:sz="0" w:space="0" w:color="auto"/>
      </w:divBdr>
    </w:div>
    <w:div w:id="1094591222">
      <w:bodyDiv w:val="1"/>
      <w:marLeft w:val="0"/>
      <w:marRight w:val="0"/>
      <w:marTop w:val="0"/>
      <w:marBottom w:val="0"/>
      <w:divBdr>
        <w:top w:val="none" w:sz="0" w:space="0" w:color="auto"/>
        <w:left w:val="none" w:sz="0" w:space="0" w:color="auto"/>
        <w:bottom w:val="none" w:sz="0" w:space="0" w:color="auto"/>
        <w:right w:val="none" w:sz="0" w:space="0" w:color="auto"/>
      </w:divBdr>
    </w:div>
    <w:div w:id="1098867941">
      <w:bodyDiv w:val="1"/>
      <w:marLeft w:val="0"/>
      <w:marRight w:val="0"/>
      <w:marTop w:val="0"/>
      <w:marBottom w:val="0"/>
      <w:divBdr>
        <w:top w:val="none" w:sz="0" w:space="0" w:color="auto"/>
        <w:left w:val="none" w:sz="0" w:space="0" w:color="auto"/>
        <w:bottom w:val="none" w:sz="0" w:space="0" w:color="auto"/>
        <w:right w:val="none" w:sz="0" w:space="0" w:color="auto"/>
      </w:divBdr>
    </w:div>
    <w:div w:id="1100562237">
      <w:bodyDiv w:val="1"/>
      <w:marLeft w:val="0"/>
      <w:marRight w:val="0"/>
      <w:marTop w:val="0"/>
      <w:marBottom w:val="0"/>
      <w:divBdr>
        <w:top w:val="none" w:sz="0" w:space="0" w:color="auto"/>
        <w:left w:val="none" w:sz="0" w:space="0" w:color="auto"/>
        <w:bottom w:val="none" w:sz="0" w:space="0" w:color="auto"/>
        <w:right w:val="none" w:sz="0" w:space="0" w:color="auto"/>
      </w:divBdr>
    </w:div>
    <w:div w:id="1117524024">
      <w:bodyDiv w:val="1"/>
      <w:marLeft w:val="0"/>
      <w:marRight w:val="0"/>
      <w:marTop w:val="0"/>
      <w:marBottom w:val="0"/>
      <w:divBdr>
        <w:top w:val="none" w:sz="0" w:space="0" w:color="auto"/>
        <w:left w:val="none" w:sz="0" w:space="0" w:color="auto"/>
        <w:bottom w:val="none" w:sz="0" w:space="0" w:color="auto"/>
        <w:right w:val="none" w:sz="0" w:space="0" w:color="auto"/>
      </w:divBdr>
    </w:div>
    <w:div w:id="1118257980">
      <w:bodyDiv w:val="1"/>
      <w:marLeft w:val="0"/>
      <w:marRight w:val="0"/>
      <w:marTop w:val="0"/>
      <w:marBottom w:val="0"/>
      <w:divBdr>
        <w:top w:val="none" w:sz="0" w:space="0" w:color="auto"/>
        <w:left w:val="none" w:sz="0" w:space="0" w:color="auto"/>
        <w:bottom w:val="none" w:sz="0" w:space="0" w:color="auto"/>
        <w:right w:val="none" w:sz="0" w:space="0" w:color="auto"/>
      </w:divBdr>
    </w:div>
    <w:div w:id="1124350737">
      <w:bodyDiv w:val="1"/>
      <w:marLeft w:val="0"/>
      <w:marRight w:val="0"/>
      <w:marTop w:val="0"/>
      <w:marBottom w:val="0"/>
      <w:divBdr>
        <w:top w:val="none" w:sz="0" w:space="0" w:color="auto"/>
        <w:left w:val="none" w:sz="0" w:space="0" w:color="auto"/>
        <w:bottom w:val="none" w:sz="0" w:space="0" w:color="auto"/>
        <w:right w:val="none" w:sz="0" w:space="0" w:color="auto"/>
      </w:divBdr>
    </w:div>
    <w:div w:id="1135950906">
      <w:bodyDiv w:val="1"/>
      <w:marLeft w:val="0"/>
      <w:marRight w:val="0"/>
      <w:marTop w:val="0"/>
      <w:marBottom w:val="0"/>
      <w:divBdr>
        <w:top w:val="none" w:sz="0" w:space="0" w:color="auto"/>
        <w:left w:val="none" w:sz="0" w:space="0" w:color="auto"/>
        <w:bottom w:val="none" w:sz="0" w:space="0" w:color="auto"/>
        <w:right w:val="none" w:sz="0" w:space="0" w:color="auto"/>
      </w:divBdr>
    </w:div>
    <w:div w:id="1140489796">
      <w:bodyDiv w:val="1"/>
      <w:marLeft w:val="0"/>
      <w:marRight w:val="0"/>
      <w:marTop w:val="0"/>
      <w:marBottom w:val="0"/>
      <w:divBdr>
        <w:top w:val="none" w:sz="0" w:space="0" w:color="auto"/>
        <w:left w:val="none" w:sz="0" w:space="0" w:color="auto"/>
        <w:bottom w:val="none" w:sz="0" w:space="0" w:color="auto"/>
        <w:right w:val="none" w:sz="0" w:space="0" w:color="auto"/>
      </w:divBdr>
    </w:div>
    <w:div w:id="1141843735">
      <w:bodyDiv w:val="1"/>
      <w:marLeft w:val="0"/>
      <w:marRight w:val="0"/>
      <w:marTop w:val="0"/>
      <w:marBottom w:val="0"/>
      <w:divBdr>
        <w:top w:val="none" w:sz="0" w:space="0" w:color="auto"/>
        <w:left w:val="none" w:sz="0" w:space="0" w:color="auto"/>
        <w:bottom w:val="none" w:sz="0" w:space="0" w:color="auto"/>
        <w:right w:val="none" w:sz="0" w:space="0" w:color="auto"/>
      </w:divBdr>
    </w:div>
    <w:div w:id="1146043609">
      <w:bodyDiv w:val="1"/>
      <w:marLeft w:val="0"/>
      <w:marRight w:val="0"/>
      <w:marTop w:val="0"/>
      <w:marBottom w:val="0"/>
      <w:divBdr>
        <w:top w:val="none" w:sz="0" w:space="0" w:color="auto"/>
        <w:left w:val="none" w:sz="0" w:space="0" w:color="auto"/>
        <w:bottom w:val="none" w:sz="0" w:space="0" w:color="auto"/>
        <w:right w:val="none" w:sz="0" w:space="0" w:color="auto"/>
      </w:divBdr>
    </w:div>
    <w:div w:id="1154492956">
      <w:bodyDiv w:val="1"/>
      <w:marLeft w:val="0"/>
      <w:marRight w:val="0"/>
      <w:marTop w:val="0"/>
      <w:marBottom w:val="0"/>
      <w:divBdr>
        <w:top w:val="none" w:sz="0" w:space="0" w:color="auto"/>
        <w:left w:val="none" w:sz="0" w:space="0" w:color="auto"/>
        <w:bottom w:val="none" w:sz="0" w:space="0" w:color="auto"/>
        <w:right w:val="none" w:sz="0" w:space="0" w:color="auto"/>
      </w:divBdr>
    </w:div>
    <w:div w:id="1154568706">
      <w:bodyDiv w:val="1"/>
      <w:marLeft w:val="0"/>
      <w:marRight w:val="0"/>
      <w:marTop w:val="0"/>
      <w:marBottom w:val="0"/>
      <w:divBdr>
        <w:top w:val="none" w:sz="0" w:space="0" w:color="auto"/>
        <w:left w:val="none" w:sz="0" w:space="0" w:color="auto"/>
        <w:bottom w:val="none" w:sz="0" w:space="0" w:color="auto"/>
        <w:right w:val="none" w:sz="0" w:space="0" w:color="auto"/>
      </w:divBdr>
    </w:div>
    <w:div w:id="1168061196">
      <w:bodyDiv w:val="1"/>
      <w:marLeft w:val="0"/>
      <w:marRight w:val="0"/>
      <w:marTop w:val="0"/>
      <w:marBottom w:val="0"/>
      <w:divBdr>
        <w:top w:val="none" w:sz="0" w:space="0" w:color="auto"/>
        <w:left w:val="none" w:sz="0" w:space="0" w:color="auto"/>
        <w:bottom w:val="none" w:sz="0" w:space="0" w:color="auto"/>
        <w:right w:val="none" w:sz="0" w:space="0" w:color="auto"/>
      </w:divBdr>
    </w:div>
    <w:div w:id="1178886536">
      <w:bodyDiv w:val="1"/>
      <w:marLeft w:val="0"/>
      <w:marRight w:val="0"/>
      <w:marTop w:val="0"/>
      <w:marBottom w:val="0"/>
      <w:divBdr>
        <w:top w:val="none" w:sz="0" w:space="0" w:color="auto"/>
        <w:left w:val="none" w:sz="0" w:space="0" w:color="auto"/>
        <w:bottom w:val="none" w:sz="0" w:space="0" w:color="auto"/>
        <w:right w:val="none" w:sz="0" w:space="0" w:color="auto"/>
      </w:divBdr>
    </w:div>
    <w:div w:id="1186096145">
      <w:bodyDiv w:val="1"/>
      <w:marLeft w:val="0"/>
      <w:marRight w:val="0"/>
      <w:marTop w:val="0"/>
      <w:marBottom w:val="0"/>
      <w:divBdr>
        <w:top w:val="none" w:sz="0" w:space="0" w:color="auto"/>
        <w:left w:val="none" w:sz="0" w:space="0" w:color="auto"/>
        <w:bottom w:val="none" w:sz="0" w:space="0" w:color="auto"/>
        <w:right w:val="none" w:sz="0" w:space="0" w:color="auto"/>
      </w:divBdr>
    </w:div>
    <w:div w:id="1189560910">
      <w:bodyDiv w:val="1"/>
      <w:marLeft w:val="0"/>
      <w:marRight w:val="0"/>
      <w:marTop w:val="0"/>
      <w:marBottom w:val="0"/>
      <w:divBdr>
        <w:top w:val="none" w:sz="0" w:space="0" w:color="auto"/>
        <w:left w:val="none" w:sz="0" w:space="0" w:color="auto"/>
        <w:bottom w:val="none" w:sz="0" w:space="0" w:color="auto"/>
        <w:right w:val="none" w:sz="0" w:space="0" w:color="auto"/>
      </w:divBdr>
    </w:div>
    <w:div w:id="1190996166">
      <w:bodyDiv w:val="1"/>
      <w:marLeft w:val="0"/>
      <w:marRight w:val="0"/>
      <w:marTop w:val="0"/>
      <w:marBottom w:val="0"/>
      <w:divBdr>
        <w:top w:val="none" w:sz="0" w:space="0" w:color="auto"/>
        <w:left w:val="none" w:sz="0" w:space="0" w:color="auto"/>
        <w:bottom w:val="none" w:sz="0" w:space="0" w:color="auto"/>
        <w:right w:val="none" w:sz="0" w:space="0" w:color="auto"/>
      </w:divBdr>
    </w:div>
    <w:div w:id="1194264519">
      <w:bodyDiv w:val="1"/>
      <w:marLeft w:val="0"/>
      <w:marRight w:val="0"/>
      <w:marTop w:val="0"/>
      <w:marBottom w:val="0"/>
      <w:divBdr>
        <w:top w:val="none" w:sz="0" w:space="0" w:color="auto"/>
        <w:left w:val="none" w:sz="0" w:space="0" w:color="auto"/>
        <w:bottom w:val="none" w:sz="0" w:space="0" w:color="auto"/>
        <w:right w:val="none" w:sz="0" w:space="0" w:color="auto"/>
      </w:divBdr>
    </w:div>
    <w:div w:id="1194803642">
      <w:bodyDiv w:val="1"/>
      <w:marLeft w:val="0"/>
      <w:marRight w:val="0"/>
      <w:marTop w:val="0"/>
      <w:marBottom w:val="0"/>
      <w:divBdr>
        <w:top w:val="none" w:sz="0" w:space="0" w:color="auto"/>
        <w:left w:val="none" w:sz="0" w:space="0" w:color="auto"/>
        <w:bottom w:val="none" w:sz="0" w:space="0" w:color="auto"/>
        <w:right w:val="none" w:sz="0" w:space="0" w:color="auto"/>
      </w:divBdr>
    </w:div>
    <w:div w:id="1200817912">
      <w:bodyDiv w:val="1"/>
      <w:marLeft w:val="0"/>
      <w:marRight w:val="0"/>
      <w:marTop w:val="0"/>
      <w:marBottom w:val="0"/>
      <w:divBdr>
        <w:top w:val="none" w:sz="0" w:space="0" w:color="auto"/>
        <w:left w:val="none" w:sz="0" w:space="0" w:color="auto"/>
        <w:bottom w:val="none" w:sz="0" w:space="0" w:color="auto"/>
        <w:right w:val="none" w:sz="0" w:space="0" w:color="auto"/>
      </w:divBdr>
    </w:div>
    <w:div w:id="1206796501">
      <w:bodyDiv w:val="1"/>
      <w:marLeft w:val="0"/>
      <w:marRight w:val="0"/>
      <w:marTop w:val="0"/>
      <w:marBottom w:val="0"/>
      <w:divBdr>
        <w:top w:val="none" w:sz="0" w:space="0" w:color="auto"/>
        <w:left w:val="none" w:sz="0" w:space="0" w:color="auto"/>
        <w:bottom w:val="none" w:sz="0" w:space="0" w:color="auto"/>
        <w:right w:val="none" w:sz="0" w:space="0" w:color="auto"/>
      </w:divBdr>
    </w:div>
    <w:div w:id="1216427012">
      <w:bodyDiv w:val="1"/>
      <w:marLeft w:val="0"/>
      <w:marRight w:val="0"/>
      <w:marTop w:val="0"/>
      <w:marBottom w:val="0"/>
      <w:divBdr>
        <w:top w:val="none" w:sz="0" w:space="0" w:color="auto"/>
        <w:left w:val="none" w:sz="0" w:space="0" w:color="auto"/>
        <w:bottom w:val="none" w:sz="0" w:space="0" w:color="auto"/>
        <w:right w:val="none" w:sz="0" w:space="0" w:color="auto"/>
      </w:divBdr>
    </w:div>
    <w:div w:id="1216746132">
      <w:bodyDiv w:val="1"/>
      <w:marLeft w:val="0"/>
      <w:marRight w:val="0"/>
      <w:marTop w:val="0"/>
      <w:marBottom w:val="0"/>
      <w:divBdr>
        <w:top w:val="none" w:sz="0" w:space="0" w:color="auto"/>
        <w:left w:val="none" w:sz="0" w:space="0" w:color="auto"/>
        <w:bottom w:val="none" w:sz="0" w:space="0" w:color="auto"/>
        <w:right w:val="none" w:sz="0" w:space="0" w:color="auto"/>
      </w:divBdr>
    </w:div>
    <w:div w:id="1221750463">
      <w:bodyDiv w:val="1"/>
      <w:marLeft w:val="0"/>
      <w:marRight w:val="0"/>
      <w:marTop w:val="0"/>
      <w:marBottom w:val="0"/>
      <w:divBdr>
        <w:top w:val="none" w:sz="0" w:space="0" w:color="auto"/>
        <w:left w:val="none" w:sz="0" w:space="0" w:color="auto"/>
        <w:bottom w:val="none" w:sz="0" w:space="0" w:color="auto"/>
        <w:right w:val="none" w:sz="0" w:space="0" w:color="auto"/>
      </w:divBdr>
    </w:div>
    <w:div w:id="1228806936">
      <w:bodyDiv w:val="1"/>
      <w:marLeft w:val="0"/>
      <w:marRight w:val="0"/>
      <w:marTop w:val="0"/>
      <w:marBottom w:val="0"/>
      <w:divBdr>
        <w:top w:val="none" w:sz="0" w:space="0" w:color="auto"/>
        <w:left w:val="none" w:sz="0" w:space="0" w:color="auto"/>
        <w:bottom w:val="none" w:sz="0" w:space="0" w:color="auto"/>
        <w:right w:val="none" w:sz="0" w:space="0" w:color="auto"/>
      </w:divBdr>
    </w:div>
    <w:div w:id="1229462688">
      <w:bodyDiv w:val="1"/>
      <w:marLeft w:val="0"/>
      <w:marRight w:val="0"/>
      <w:marTop w:val="0"/>
      <w:marBottom w:val="0"/>
      <w:divBdr>
        <w:top w:val="none" w:sz="0" w:space="0" w:color="auto"/>
        <w:left w:val="none" w:sz="0" w:space="0" w:color="auto"/>
        <w:bottom w:val="none" w:sz="0" w:space="0" w:color="auto"/>
        <w:right w:val="none" w:sz="0" w:space="0" w:color="auto"/>
      </w:divBdr>
    </w:div>
    <w:div w:id="1230579128">
      <w:bodyDiv w:val="1"/>
      <w:marLeft w:val="0"/>
      <w:marRight w:val="0"/>
      <w:marTop w:val="0"/>
      <w:marBottom w:val="0"/>
      <w:divBdr>
        <w:top w:val="none" w:sz="0" w:space="0" w:color="auto"/>
        <w:left w:val="none" w:sz="0" w:space="0" w:color="auto"/>
        <w:bottom w:val="none" w:sz="0" w:space="0" w:color="auto"/>
        <w:right w:val="none" w:sz="0" w:space="0" w:color="auto"/>
      </w:divBdr>
    </w:div>
    <w:div w:id="1246299453">
      <w:bodyDiv w:val="1"/>
      <w:marLeft w:val="0"/>
      <w:marRight w:val="0"/>
      <w:marTop w:val="0"/>
      <w:marBottom w:val="0"/>
      <w:divBdr>
        <w:top w:val="none" w:sz="0" w:space="0" w:color="auto"/>
        <w:left w:val="none" w:sz="0" w:space="0" w:color="auto"/>
        <w:bottom w:val="none" w:sz="0" w:space="0" w:color="auto"/>
        <w:right w:val="none" w:sz="0" w:space="0" w:color="auto"/>
      </w:divBdr>
    </w:div>
    <w:div w:id="1257859258">
      <w:bodyDiv w:val="1"/>
      <w:marLeft w:val="0"/>
      <w:marRight w:val="0"/>
      <w:marTop w:val="0"/>
      <w:marBottom w:val="0"/>
      <w:divBdr>
        <w:top w:val="none" w:sz="0" w:space="0" w:color="auto"/>
        <w:left w:val="none" w:sz="0" w:space="0" w:color="auto"/>
        <w:bottom w:val="none" w:sz="0" w:space="0" w:color="auto"/>
        <w:right w:val="none" w:sz="0" w:space="0" w:color="auto"/>
      </w:divBdr>
    </w:div>
    <w:div w:id="1263762235">
      <w:bodyDiv w:val="1"/>
      <w:marLeft w:val="0"/>
      <w:marRight w:val="0"/>
      <w:marTop w:val="0"/>
      <w:marBottom w:val="0"/>
      <w:divBdr>
        <w:top w:val="none" w:sz="0" w:space="0" w:color="auto"/>
        <w:left w:val="none" w:sz="0" w:space="0" w:color="auto"/>
        <w:bottom w:val="none" w:sz="0" w:space="0" w:color="auto"/>
        <w:right w:val="none" w:sz="0" w:space="0" w:color="auto"/>
      </w:divBdr>
    </w:div>
    <w:div w:id="1264416062">
      <w:bodyDiv w:val="1"/>
      <w:marLeft w:val="0"/>
      <w:marRight w:val="0"/>
      <w:marTop w:val="0"/>
      <w:marBottom w:val="0"/>
      <w:divBdr>
        <w:top w:val="none" w:sz="0" w:space="0" w:color="auto"/>
        <w:left w:val="none" w:sz="0" w:space="0" w:color="auto"/>
        <w:bottom w:val="none" w:sz="0" w:space="0" w:color="auto"/>
        <w:right w:val="none" w:sz="0" w:space="0" w:color="auto"/>
      </w:divBdr>
    </w:div>
    <w:div w:id="1265309042">
      <w:bodyDiv w:val="1"/>
      <w:marLeft w:val="0"/>
      <w:marRight w:val="0"/>
      <w:marTop w:val="0"/>
      <w:marBottom w:val="0"/>
      <w:divBdr>
        <w:top w:val="none" w:sz="0" w:space="0" w:color="auto"/>
        <w:left w:val="none" w:sz="0" w:space="0" w:color="auto"/>
        <w:bottom w:val="none" w:sz="0" w:space="0" w:color="auto"/>
        <w:right w:val="none" w:sz="0" w:space="0" w:color="auto"/>
      </w:divBdr>
    </w:div>
    <w:div w:id="1266117189">
      <w:bodyDiv w:val="1"/>
      <w:marLeft w:val="0"/>
      <w:marRight w:val="0"/>
      <w:marTop w:val="0"/>
      <w:marBottom w:val="0"/>
      <w:divBdr>
        <w:top w:val="none" w:sz="0" w:space="0" w:color="auto"/>
        <w:left w:val="none" w:sz="0" w:space="0" w:color="auto"/>
        <w:bottom w:val="none" w:sz="0" w:space="0" w:color="auto"/>
        <w:right w:val="none" w:sz="0" w:space="0" w:color="auto"/>
      </w:divBdr>
    </w:div>
    <w:div w:id="1271015253">
      <w:bodyDiv w:val="1"/>
      <w:marLeft w:val="0"/>
      <w:marRight w:val="0"/>
      <w:marTop w:val="0"/>
      <w:marBottom w:val="0"/>
      <w:divBdr>
        <w:top w:val="none" w:sz="0" w:space="0" w:color="auto"/>
        <w:left w:val="none" w:sz="0" w:space="0" w:color="auto"/>
        <w:bottom w:val="none" w:sz="0" w:space="0" w:color="auto"/>
        <w:right w:val="none" w:sz="0" w:space="0" w:color="auto"/>
      </w:divBdr>
    </w:div>
    <w:div w:id="1273829976">
      <w:bodyDiv w:val="1"/>
      <w:marLeft w:val="0"/>
      <w:marRight w:val="0"/>
      <w:marTop w:val="0"/>
      <w:marBottom w:val="0"/>
      <w:divBdr>
        <w:top w:val="none" w:sz="0" w:space="0" w:color="auto"/>
        <w:left w:val="none" w:sz="0" w:space="0" w:color="auto"/>
        <w:bottom w:val="none" w:sz="0" w:space="0" w:color="auto"/>
        <w:right w:val="none" w:sz="0" w:space="0" w:color="auto"/>
      </w:divBdr>
    </w:div>
    <w:div w:id="1274632318">
      <w:bodyDiv w:val="1"/>
      <w:marLeft w:val="0"/>
      <w:marRight w:val="0"/>
      <w:marTop w:val="0"/>
      <w:marBottom w:val="0"/>
      <w:divBdr>
        <w:top w:val="none" w:sz="0" w:space="0" w:color="auto"/>
        <w:left w:val="none" w:sz="0" w:space="0" w:color="auto"/>
        <w:bottom w:val="none" w:sz="0" w:space="0" w:color="auto"/>
        <w:right w:val="none" w:sz="0" w:space="0" w:color="auto"/>
      </w:divBdr>
    </w:div>
    <w:div w:id="1291663894">
      <w:bodyDiv w:val="1"/>
      <w:marLeft w:val="0"/>
      <w:marRight w:val="0"/>
      <w:marTop w:val="0"/>
      <w:marBottom w:val="0"/>
      <w:divBdr>
        <w:top w:val="none" w:sz="0" w:space="0" w:color="auto"/>
        <w:left w:val="none" w:sz="0" w:space="0" w:color="auto"/>
        <w:bottom w:val="none" w:sz="0" w:space="0" w:color="auto"/>
        <w:right w:val="none" w:sz="0" w:space="0" w:color="auto"/>
      </w:divBdr>
    </w:div>
    <w:div w:id="1294754050">
      <w:bodyDiv w:val="1"/>
      <w:marLeft w:val="0"/>
      <w:marRight w:val="0"/>
      <w:marTop w:val="0"/>
      <w:marBottom w:val="0"/>
      <w:divBdr>
        <w:top w:val="none" w:sz="0" w:space="0" w:color="auto"/>
        <w:left w:val="none" w:sz="0" w:space="0" w:color="auto"/>
        <w:bottom w:val="none" w:sz="0" w:space="0" w:color="auto"/>
        <w:right w:val="none" w:sz="0" w:space="0" w:color="auto"/>
      </w:divBdr>
    </w:div>
    <w:div w:id="1301690537">
      <w:bodyDiv w:val="1"/>
      <w:marLeft w:val="0"/>
      <w:marRight w:val="0"/>
      <w:marTop w:val="0"/>
      <w:marBottom w:val="0"/>
      <w:divBdr>
        <w:top w:val="none" w:sz="0" w:space="0" w:color="auto"/>
        <w:left w:val="none" w:sz="0" w:space="0" w:color="auto"/>
        <w:bottom w:val="none" w:sz="0" w:space="0" w:color="auto"/>
        <w:right w:val="none" w:sz="0" w:space="0" w:color="auto"/>
      </w:divBdr>
    </w:div>
    <w:div w:id="1307855626">
      <w:bodyDiv w:val="1"/>
      <w:marLeft w:val="0"/>
      <w:marRight w:val="0"/>
      <w:marTop w:val="0"/>
      <w:marBottom w:val="0"/>
      <w:divBdr>
        <w:top w:val="none" w:sz="0" w:space="0" w:color="auto"/>
        <w:left w:val="none" w:sz="0" w:space="0" w:color="auto"/>
        <w:bottom w:val="none" w:sz="0" w:space="0" w:color="auto"/>
        <w:right w:val="none" w:sz="0" w:space="0" w:color="auto"/>
      </w:divBdr>
    </w:div>
    <w:div w:id="1328829337">
      <w:bodyDiv w:val="1"/>
      <w:marLeft w:val="0"/>
      <w:marRight w:val="0"/>
      <w:marTop w:val="0"/>
      <w:marBottom w:val="0"/>
      <w:divBdr>
        <w:top w:val="none" w:sz="0" w:space="0" w:color="auto"/>
        <w:left w:val="none" w:sz="0" w:space="0" w:color="auto"/>
        <w:bottom w:val="none" w:sz="0" w:space="0" w:color="auto"/>
        <w:right w:val="none" w:sz="0" w:space="0" w:color="auto"/>
      </w:divBdr>
    </w:div>
    <w:div w:id="1340742105">
      <w:bodyDiv w:val="1"/>
      <w:marLeft w:val="0"/>
      <w:marRight w:val="0"/>
      <w:marTop w:val="0"/>
      <w:marBottom w:val="0"/>
      <w:divBdr>
        <w:top w:val="none" w:sz="0" w:space="0" w:color="auto"/>
        <w:left w:val="none" w:sz="0" w:space="0" w:color="auto"/>
        <w:bottom w:val="none" w:sz="0" w:space="0" w:color="auto"/>
        <w:right w:val="none" w:sz="0" w:space="0" w:color="auto"/>
      </w:divBdr>
    </w:div>
    <w:div w:id="1340963835">
      <w:bodyDiv w:val="1"/>
      <w:marLeft w:val="0"/>
      <w:marRight w:val="0"/>
      <w:marTop w:val="0"/>
      <w:marBottom w:val="0"/>
      <w:divBdr>
        <w:top w:val="none" w:sz="0" w:space="0" w:color="auto"/>
        <w:left w:val="none" w:sz="0" w:space="0" w:color="auto"/>
        <w:bottom w:val="none" w:sz="0" w:space="0" w:color="auto"/>
        <w:right w:val="none" w:sz="0" w:space="0" w:color="auto"/>
      </w:divBdr>
    </w:div>
    <w:div w:id="1341658375">
      <w:bodyDiv w:val="1"/>
      <w:marLeft w:val="0"/>
      <w:marRight w:val="0"/>
      <w:marTop w:val="0"/>
      <w:marBottom w:val="0"/>
      <w:divBdr>
        <w:top w:val="none" w:sz="0" w:space="0" w:color="auto"/>
        <w:left w:val="none" w:sz="0" w:space="0" w:color="auto"/>
        <w:bottom w:val="none" w:sz="0" w:space="0" w:color="auto"/>
        <w:right w:val="none" w:sz="0" w:space="0" w:color="auto"/>
      </w:divBdr>
    </w:div>
    <w:div w:id="1342585696">
      <w:bodyDiv w:val="1"/>
      <w:marLeft w:val="0"/>
      <w:marRight w:val="0"/>
      <w:marTop w:val="0"/>
      <w:marBottom w:val="0"/>
      <w:divBdr>
        <w:top w:val="none" w:sz="0" w:space="0" w:color="auto"/>
        <w:left w:val="none" w:sz="0" w:space="0" w:color="auto"/>
        <w:bottom w:val="none" w:sz="0" w:space="0" w:color="auto"/>
        <w:right w:val="none" w:sz="0" w:space="0" w:color="auto"/>
      </w:divBdr>
    </w:div>
    <w:div w:id="1344360711">
      <w:bodyDiv w:val="1"/>
      <w:marLeft w:val="0"/>
      <w:marRight w:val="0"/>
      <w:marTop w:val="0"/>
      <w:marBottom w:val="0"/>
      <w:divBdr>
        <w:top w:val="none" w:sz="0" w:space="0" w:color="auto"/>
        <w:left w:val="none" w:sz="0" w:space="0" w:color="auto"/>
        <w:bottom w:val="none" w:sz="0" w:space="0" w:color="auto"/>
        <w:right w:val="none" w:sz="0" w:space="0" w:color="auto"/>
      </w:divBdr>
    </w:div>
    <w:div w:id="1347059183">
      <w:bodyDiv w:val="1"/>
      <w:marLeft w:val="0"/>
      <w:marRight w:val="0"/>
      <w:marTop w:val="0"/>
      <w:marBottom w:val="0"/>
      <w:divBdr>
        <w:top w:val="none" w:sz="0" w:space="0" w:color="auto"/>
        <w:left w:val="none" w:sz="0" w:space="0" w:color="auto"/>
        <w:bottom w:val="none" w:sz="0" w:space="0" w:color="auto"/>
        <w:right w:val="none" w:sz="0" w:space="0" w:color="auto"/>
      </w:divBdr>
    </w:div>
    <w:div w:id="1354065847">
      <w:bodyDiv w:val="1"/>
      <w:marLeft w:val="0"/>
      <w:marRight w:val="0"/>
      <w:marTop w:val="0"/>
      <w:marBottom w:val="0"/>
      <w:divBdr>
        <w:top w:val="none" w:sz="0" w:space="0" w:color="auto"/>
        <w:left w:val="none" w:sz="0" w:space="0" w:color="auto"/>
        <w:bottom w:val="none" w:sz="0" w:space="0" w:color="auto"/>
        <w:right w:val="none" w:sz="0" w:space="0" w:color="auto"/>
      </w:divBdr>
    </w:div>
    <w:div w:id="1356349119">
      <w:bodyDiv w:val="1"/>
      <w:marLeft w:val="0"/>
      <w:marRight w:val="0"/>
      <w:marTop w:val="0"/>
      <w:marBottom w:val="0"/>
      <w:divBdr>
        <w:top w:val="none" w:sz="0" w:space="0" w:color="auto"/>
        <w:left w:val="none" w:sz="0" w:space="0" w:color="auto"/>
        <w:bottom w:val="none" w:sz="0" w:space="0" w:color="auto"/>
        <w:right w:val="none" w:sz="0" w:space="0" w:color="auto"/>
      </w:divBdr>
    </w:div>
    <w:div w:id="1361201774">
      <w:bodyDiv w:val="1"/>
      <w:marLeft w:val="0"/>
      <w:marRight w:val="0"/>
      <w:marTop w:val="0"/>
      <w:marBottom w:val="0"/>
      <w:divBdr>
        <w:top w:val="none" w:sz="0" w:space="0" w:color="auto"/>
        <w:left w:val="none" w:sz="0" w:space="0" w:color="auto"/>
        <w:bottom w:val="none" w:sz="0" w:space="0" w:color="auto"/>
        <w:right w:val="none" w:sz="0" w:space="0" w:color="auto"/>
      </w:divBdr>
    </w:div>
    <w:div w:id="1364402096">
      <w:bodyDiv w:val="1"/>
      <w:marLeft w:val="0"/>
      <w:marRight w:val="0"/>
      <w:marTop w:val="0"/>
      <w:marBottom w:val="0"/>
      <w:divBdr>
        <w:top w:val="none" w:sz="0" w:space="0" w:color="auto"/>
        <w:left w:val="none" w:sz="0" w:space="0" w:color="auto"/>
        <w:bottom w:val="none" w:sz="0" w:space="0" w:color="auto"/>
        <w:right w:val="none" w:sz="0" w:space="0" w:color="auto"/>
      </w:divBdr>
    </w:div>
    <w:div w:id="1367676898">
      <w:bodyDiv w:val="1"/>
      <w:marLeft w:val="0"/>
      <w:marRight w:val="0"/>
      <w:marTop w:val="0"/>
      <w:marBottom w:val="0"/>
      <w:divBdr>
        <w:top w:val="none" w:sz="0" w:space="0" w:color="auto"/>
        <w:left w:val="none" w:sz="0" w:space="0" w:color="auto"/>
        <w:bottom w:val="none" w:sz="0" w:space="0" w:color="auto"/>
        <w:right w:val="none" w:sz="0" w:space="0" w:color="auto"/>
      </w:divBdr>
    </w:div>
    <w:div w:id="13678760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74188660">
      <w:bodyDiv w:val="1"/>
      <w:marLeft w:val="0"/>
      <w:marRight w:val="0"/>
      <w:marTop w:val="0"/>
      <w:marBottom w:val="0"/>
      <w:divBdr>
        <w:top w:val="none" w:sz="0" w:space="0" w:color="auto"/>
        <w:left w:val="none" w:sz="0" w:space="0" w:color="auto"/>
        <w:bottom w:val="none" w:sz="0" w:space="0" w:color="auto"/>
        <w:right w:val="none" w:sz="0" w:space="0" w:color="auto"/>
      </w:divBdr>
    </w:div>
    <w:div w:id="1379860752">
      <w:bodyDiv w:val="1"/>
      <w:marLeft w:val="0"/>
      <w:marRight w:val="0"/>
      <w:marTop w:val="0"/>
      <w:marBottom w:val="0"/>
      <w:divBdr>
        <w:top w:val="none" w:sz="0" w:space="0" w:color="auto"/>
        <w:left w:val="none" w:sz="0" w:space="0" w:color="auto"/>
        <w:bottom w:val="none" w:sz="0" w:space="0" w:color="auto"/>
        <w:right w:val="none" w:sz="0" w:space="0" w:color="auto"/>
      </w:divBdr>
    </w:div>
    <w:div w:id="1391080089">
      <w:bodyDiv w:val="1"/>
      <w:marLeft w:val="0"/>
      <w:marRight w:val="0"/>
      <w:marTop w:val="0"/>
      <w:marBottom w:val="0"/>
      <w:divBdr>
        <w:top w:val="none" w:sz="0" w:space="0" w:color="auto"/>
        <w:left w:val="none" w:sz="0" w:space="0" w:color="auto"/>
        <w:bottom w:val="none" w:sz="0" w:space="0" w:color="auto"/>
        <w:right w:val="none" w:sz="0" w:space="0" w:color="auto"/>
      </w:divBdr>
    </w:div>
    <w:div w:id="1392920335">
      <w:bodyDiv w:val="1"/>
      <w:marLeft w:val="0"/>
      <w:marRight w:val="0"/>
      <w:marTop w:val="0"/>
      <w:marBottom w:val="0"/>
      <w:divBdr>
        <w:top w:val="none" w:sz="0" w:space="0" w:color="auto"/>
        <w:left w:val="none" w:sz="0" w:space="0" w:color="auto"/>
        <w:bottom w:val="none" w:sz="0" w:space="0" w:color="auto"/>
        <w:right w:val="none" w:sz="0" w:space="0" w:color="auto"/>
      </w:divBdr>
    </w:div>
    <w:div w:id="1402823930">
      <w:bodyDiv w:val="1"/>
      <w:marLeft w:val="0"/>
      <w:marRight w:val="0"/>
      <w:marTop w:val="0"/>
      <w:marBottom w:val="0"/>
      <w:divBdr>
        <w:top w:val="none" w:sz="0" w:space="0" w:color="auto"/>
        <w:left w:val="none" w:sz="0" w:space="0" w:color="auto"/>
        <w:bottom w:val="none" w:sz="0" w:space="0" w:color="auto"/>
        <w:right w:val="none" w:sz="0" w:space="0" w:color="auto"/>
      </w:divBdr>
    </w:div>
    <w:div w:id="1403404925">
      <w:bodyDiv w:val="1"/>
      <w:marLeft w:val="0"/>
      <w:marRight w:val="0"/>
      <w:marTop w:val="0"/>
      <w:marBottom w:val="0"/>
      <w:divBdr>
        <w:top w:val="none" w:sz="0" w:space="0" w:color="auto"/>
        <w:left w:val="none" w:sz="0" w:space="0" w:color="auto"/>
        <w:bottom w:val="none" w:sz="0" w:space="0" w:color="auto"/>
        <w:right w:val="none" w:sz="0" w:space="0" w:color="auto"/>
      </w:divBdr>
    </w:div>
    <w:div w:id="1411537580">
      <w:bodyDiv w:val="1"/>
      <w:marLeft w:val="0"/>
      <w:marRight w:val="0"/>
      <w:marTop w:val="0"/>
      <w:marBottom w:val="0"/>
      <w:divBdr>
        <w:top w:val="none" w:sz="0" w:space="0" w:color="auto"/>
        <w:left w:val="none" w:sz="0" w:space="0" w:color="auto"/>
        <w:bottom w:val="none" w:sz="0" w:space="0" w:color="auto"/>
        <w:right w:val="none" w:sz="0" w:space="0" w:color="auto"/>
      </w:divBdr>
    </w:div>
    <w:div w:id="1417440739">
      <w:bodyDiv w:val="1"/>
      <w:marLeft w:val="0"/>
      <w:marRight w:val="0"/>
      <w:marTop w:val="0"/>
      <w:marBottom w:val="0"/>
      <w:divBdr>
        <w:top w:val="none" w:sz="0" w:space="0" w:color="auto"/>
        <w:left w:val="none" w:sz="0" w:space="0" w:color="auto"/>
        <w:bottom w:val="none" w:sz="0" w:space="0" w:color="auto"/>
        <w:right w:val="none" w:sz="0" w:space="0" w:color="auto"/>
      </w:divBdr>
    </w:div>
    <w:div w:id="1436711966">
      <w:bodyDiv w:val="1"/>
      <w:marLeft w:val="0"/>
      <w:marRight w:val="0"/>
      <w:marTop w:val="0"/>
      <w:marBottom w:val="0"/>
      <w:divBdr>
        <w:top w:val="none" w:sz="0" w:space="0" w:color="auto"/>
        <w:left w:val="none" w:sz="0" w:space="0" w:color="auto"/>
        <w:bottom w:val="none" w:sz="0" w:space="0" w:color="auto"/>
        <w:right w:val="none" w:sz="0" w:space="0" w:color="auto"/>
      </w:divBdr>
    </w:div>
    <w:div w:id="1438938455">
      <w:bodyDiv w:val="1"/>
      <w:marLeft w:val="0"/>
      <w:marRight w:val="0"/>
      <w:marTop w:val="0"/>
      <w:marBottom w:val="0"/>
      <w:divBdr>
        <w:top w:val="none" w:sz="0" w:space="0" w:color="auto"/>
        <w:left w:val="none" w:sz="0" w:space="0" w:color="auto"/>
        <w:bottom w:val="none" w:sz="0" w:space="0" w:color="auto"/>
        <w:right w:val="none" w:sz="0" w:space="0" w:color="auto"/>
      </w:divBdr>
    </w:div>
    <w:div w:id="1439712547">
      <w:bodyDiv w:val="1"/>
      <w:marLeft w:val="0"/>
      <w:marRight w:val="0"/>
      <w:marTop w:val="0"/>
      <w:marBottom w:val="0"/>
      <w:divBdr>
        <w:top w:val="none" w:sz="0" w:space="0" w:color="auto"/>
        <w:left w:val="none" w:sz="0" w:space="0" w:color="auto"/>
        <w:bottom w:val="none" w:sz="0" w:space="0" w:color="auto"/>
        <w:right w:val="none" w:sz="0" w:space="0" w:color="auto"/>
      </w:divBdr>
    </w:div>
    <w:div w:id="1442528474">
      <w:bodyDiv w:val="1"/>
      <w:marLeft w:val="0"/>
      <w:marRight w:val="0"/>
      <w:marTop w:val="0"/>
      <w:marBottom w:val="0"/>
      <w:divBdr>
        <w:top w:val="none" w:sz="0" w:space="0" w:color="auto"/>
        <w:left w:val="none" w:sz="0" w:space="0" w:color="auto"/>
        <w:bottom w:val="none" w:sz="0" w:space="0" w:color="auto"/>
        <w:right w:val="none" w:sz="0" w:space="0" w:color="auto"/>
      </w:divBdr>
    </w:div>
    <w:div w:id="1451971067">
      <w:bodyDiv w:val="1"/>
      <w:marLeft w:val="0"/>
      <w:marRight w:val="0"/>
      <w:marTop w:val="0"/>
      <w:marBottom w:val="0"/>
      <w:divBdr>
        <w:top w:val="none" w:sz="0" w:space="0" w:color="auto"/>
        <w:left w:val="none" w:sz="0" w:space="0" w:color="auto"/>
        <w:bottom w:val="none" w:sz="0" w:space="0" w:color="auto"/>
        <w:right w:val="none" w:sz="0" w:space="0" w:color="auto"/>
      </w:divBdr>
    </w:div>
    <w:div w:id="1454248411">
      <w:bodyDiv w:val="1"/>
      <w:marLeft w:val="0"/>
      <w:marRight w:val="0"/>
      <w:marTop w:val="0"/>
      <w:marBottom w:val="0"/>
      <w:divBdr>
        <w:top w:val="none" w:sz="0" w:space="0" w:color="auto"/>
        <w:left w:val="none" w:sz="0" w:space="0" w:color="auto"/>
        <w:bottom w:val="none" w:sz="0" w:space="0" w:color="auto"/>
        <w:right w:val="none" w:sz="0" w:space="0" w:color="auto"/>
      </w:divBdr>
    </w:div>
    <w:div w:id="1456557458">
      <w:bodyDiv w:val="1"/>
      <w:marLeft w:val="0"/>
      <w:marRight w:val="0"/>
      <w:marTop w:val="0"/>
      <w:marBottom w:val="0"/>
      <w:divBdr>
        <w:top w:val="none" w:sz="0" w:space="0" w:color="auto"/>
        <w:left w:val="none" w:sz="0" w:space="0" w:color="auto"/>
        <w:bottom w:val="none" w:sz="0" w:space="0" w:color="auto"/>
        <w:right w:val="none" w:sz="0" w:space="0" w:color="auto"/>
      </w:divBdr>
    </w:div>
    <w:div w:id="1456868737">
      <w:bodyDiv w:val="1"/>
      <w:marLeft w:val="0"/>
      <w:marRight w:val="0"/>
      <w:marTop w:val="0"/>
      <w:marBottom w:val="0"/>
      <w:divBdr>
        <w:top w:val="none" w:sz="0" w:space="0" w:color="auto"/>
        <w:left w:val="none" w:sz="0" w:space="0" w:color="auto"/>
        <w:bottom w:val="none" w:sz="0" w:space="0" w:color="auto"/>
        <w:right w:val="none" w:sz="0" w:space="0" w:color="auto"/>
      </w:divBdr>
    </w:div>
    <w:div w:id="1468936293">
      <w:bodyDiv w:val="1"/>
      <w:marLeft w:val="0"/>
      <w:marRight w:val="0"/>
      <w:marTop w:val="0"/>
      <w:marBottom w:val="0"/>
      <w:divBdr>
        <w:top w:val="none" w:sz="0" w:space="0" w:color="auto"/>
        <w:left w:val="none" w:sz="0" w:space="0" w:color="auto"/>
        <w:bottom w:val="none" w:sz="0" w:space="0" w:color="auto"/>
        <w:right w:val="none" w:sz="0" w:space="0" w:color="auto"/>
      </w:divBdr>
    </w:div>
    <w:div w:id="1473055503">
      <w:bodyDiv w:val="1"/>
      <w:marLeft w:val="0"/>
      <w:marRight w:val="0"/>
      <w:marTop w:val="0"/>
      <w:marBottom w:val="0"/>
      <w:divBdr>
        <w:top w:val="none" w:sz="0" w:space="0" w:color="auto"/>
        <w:left w:val="none" w:sz="0" w:space="0" w:color="auto"/>
        <w:bottom w:val="none" w:sz="0" w:space="0" w:color="auto"/>
        <w:right w:val="none" w:sz="0" w:space="0" w:color="auto"/>
      </w:divBdr>
    </w:div>
    <w:div w:id="1475444215">
      <w:bodyDiv w:val="1"/>
      <w:marLeft w:val="0"/>
      <w:marRight w:val="0"/>
      <w:marTop w:val="0"/>
      <w:marBottom w:val="0"/>
      <w:divBdr>
        <w:top w:val="none" w:sz="0" w:space="0" w:color="auto"/>
        <w:left w:val="none" w:sz="0" w:space="0" w:color="auto"/>
        <w:bottom w:val="none" w:sz="0" w:space="0" w:color="auto"/>
        <w:right w:val="none" w:sz="0" w:space="0" w:color="auto"/>
      </w:divBdr>
    </w:div>
    <w:div w:id="1478565753">
      <w:bodyDiv w:val="1"/>
      <w:marLeft w:val="0"/>
      <w:marRight w:val="0"/>
      <w:marTop w:val="0"/>
      <w:marBottom w:val="0"/>
      <w:divBdr>
        <w:top w:val="none" w:sz="0" w:space="0" w:color="auto"/>
        <w:left w:val="none" w:sz="0" w:space="0" w:color="auto"/>
        <w:bottom w:val="none" w:sz="0" w:space="0" w:color="auto"/>
        <w:right w:val="none" w:sz="0" w:space="0" w:color="auto"/>
      </w:divBdr>
    </w:div>
    <w:div w:id="1488090037">
      <w:bodyDiv w:val="1"/>
      <w:marLeft w:val="0"/>
      <w:marRight w:val="0"/>
      <w:marTop w:val="0"/>
      <w:marBottom w:val="0"/>
      <w:divBdr>
        <w:top w:val="none" w:sz="0" w:space="0" w:color="auto"/>
        <w:left w:val="none" w:sz="0" w:space="0" w:color="auto"/>
        <w:bottom w:val="none" w:sz="0" w:space="0" w:color="auto"/>
        <w:right w:val="none" w:sz="0" w:space="0" w:color="auto"/>
      </w:divBdr>
    </w:div>
    <w:div w:id="1494100106">
      <w:bodyDiv w:val="1"/>
      <w:marLeft w:val="0"/>
      <w:marRight w:val="0"/>
      <w:marTop w:val="0"/>
      <w:marBottom w:val="0"/>
      <w:divBdr>
        <w:top w:val="none" w:sz="0" w:space="0" w:color="auto"/>
        <w:left w:val="none" w:sz="0" w:space="0" w:color="auto"/>
        <w:bottom w:val="none" w:sz="0" w:space="0" w:color="auto"/>
        <w:right w:val="none" w:sz="0" w:space="0" w:color="auto"/>
      </w:divBdr>
    </w:div>
    <w:div w:id="1495411257">
      <w:bodyDiv w:val="1"/>
      <w:marLeft w:val="0"/>
      <w:marRight w:val="0"/>
      <w:marTop w:val="0"/>
      <w:marBottom w:val="0"/>
      <w:divBdr>
        <w:top w:val="none" w:sz="0" w:space="0" w:color="auto"/>
        <w:left w:val="none" w:sz="0" w:space="0" w:color="auto"/>
        <w:bottom w:val="none" w:sz="0" w:space="0" w:color="auto"/>
        <w:right w:val="none" w:sz="0" w:space="0" w:color="auto"/>
      </w:divBdr>
    </w:div>
    <w:div w:id="1512524992">
      <w:bodyDiv w:val="1"/>
      <w:marLeft w:val="0"/>
      <w:marRight w:val="0"/>
      <w:marTop w:val="0"/>
      <w:marBottom w:val="0"/>
      <w:divBdr>
        <w:top w:val="none" w:sz="0" w:space="0" w:color="auto"/>
        <w:left w:val="none" w:sz="0" w:space="0" w:color="auto"/>
        <w:bottom w:val="none" w:sz="0" w:space="0" w:color="auto"/>
        <w:right w:val="none" w:sz="0" w:space="0" w:color="auto"/>
      </w:divBdr>
    </w:div>
    <w:div w:id="1514152971">
      <w:bodyDiv w:val="1"/>
      <w:marLeft w:val="0"/>
      <w:marRight w:val="0"/>
      <w:marTop w:val="0"/>
      <w:marBottom w:val="0"/>
      <w:divBdr>
        <w:top w:val="none" w:sz="0" w:space="0" w:color="auto"/>
        <w:left w:val="none" w:sz="0" w:space="0" w:color="auto"/>
        <w:bottom w:val="none" w:sz="0" w:space="0" w:color="auto"/>
        <w:right w:val="none" w:sz="0" w:space="0" w:color="auto"/>
      </w:divBdr>
    </w:div>
    <w:div w:id="1515728634">
      <w:bodyDiv w:val="1"/>
      <w:marLeft w:val="0"/>
      <w:marRight w:val="0"/>
      <w:marTop w:val="0"/>
      <w:marBottom w:val="0"/>
      <w:divBdr>
        <w:top w:val="none" w:sz="0" w:space="0" w:color="auto"/>
        <w:left w:val="none" w:sz="0" w:space="0" w:color="auto"/>
        <w:bottom w:val="none" w:sz="0" w:space="0" w:color="auto"/>
        <w:right w:val="none" w:sz="0" w:space="0" w:color="auto"/>
      </w:divBdr>
    </w:div>
    <w:div w:id="1516848823">
      <w:bodyDiv w:val="1"/>
      <w:marLeft w:val="0"/>
      <w:marRight w:val="0"/>
      <w:marTop w:val="0"/>
      <w:marBottom w:val="0"/>
      <w:divBdr>
        <w:top w:val="none" w:sz="0" w:space="0" w:color="auto"/>
        <w:left w:val="none" w:sz="0" w:space="0" w:color="auto"/>
        <w:bottom w:val="none" w:sz="0" w:space="0" w:color="auto"/>
        <w:right w:val="none" w:sz="0" w:space="0" w:color="auto"/>
      </w:divBdr>
    </w:div>
    <w:div w:id="1517773464">
      <w:bodyDiv w:val="1"/>
      <w:marLeft w:val="0"/>
      <w:marRight w:val="0"/>
      <w:marTop w:val="0"/>
      <w:marBottom w:val="0"/>
      <w:divBdr>
        <w:top w:val="none" w:sz="0" w:space="0" w:color="auto"/>
        <w:left w:val="none" w:sz="0" w:space="0" w:color="auto"/>
        <w:bottom w:val="none" w:sz="0" w:space="0" w:color="auto"/>
        <w:right w:val="none" w:sz="0" w:space="0" w:color="auto"/>
      </w:divBdr>
    </w:div>
    <w:div w:id="1525098061">
      <w:bodyDiv w:val="1"/>
      <w:marLeft w:val="0"/>
      <w:marRight w:val="0"/>
      <w:marTop w:val="0"/>
      <w:marBottom w:val="0"/>
      <w:divBdr>
        <w:top w:val="none" w:sz="0" w:space="0" w:color="auto"/>
        <w:left w:val="none" w:sz="0" w:space="0" w:color="auto"/>
        <w:bottom w:val="none" w:sz="0" w:space="0" w:color="auto"/>
        <w:right w:val="none" w:sz="0" w:space="0" w:color="auto"/>
      </w:divBdr>
    </w:div>
    <w:div w:id="1526824904">
      <w:bodyDiv w:val="1"/>
      <w:marLeft w:val="0"/>
      <w:marRight w:val="0"/>
      <w:marTop w:val="0"/>
      <w:marBottom w:val="0"/>
      <w:divBdr>
        <w:top w:val="none" w:sz="0" w:space="0" w:color="auto"/>
        <w:left w:val="none" w:sz="0" w:space="0" w:color="auto"/>
        <w:bottom w:val="none" w:sz="0" w:space="0" w:color="auto"/>
        <w:right w:val="none" w:sz="0" w:space="0" w:color="auto"/>
      </w:divBdr>
    </w:div>
    <w:div w:id="1527064753">
      <w:bodyDiv w:val="1"/>
      <w:marLeft w:val="0"/>
      <w:marRight w:val="0"/>
      <w:marTop w:val="0"/>
      <w:marBottom w:val="0"/>
      <w:divBdr>
        <w:top w:val="none" w:sz="0" w:space="0" w:color="auto"/>
        <w:left w:val="none" w:sz="0" w:space="0" w:color="auto"/>
        <w:bottom w:val="none" w:sz="0" w:space="0" w:color="auto"/>
        <w:right w:val="none" w:sz="0" w:space="0" w:color="auto"/>
      </w:divBdr>
    </w:div>
    <w:div w:id="1530222085">
      <w:bodyDiv w:val="1"/>
      <w:marLeft w:val="0"/>
      <w:marRight w:val="0"/>
      <w:marTop w:val="0"/>
      <w:marBottom w:val="0"/>
      <w:divBdr>
        <w:top w:val="none" w:sz="0" w:space="0" w:color="auto"/>
        <w:left w:val="none" w:sz="0" w:space="0" w:color="auto"/>
        <w:bottom w:val="none" w:sz="0" w:space="0" w:color="auto"/>
        <w:right w:val="none" w:sz="0" w:space="0" w:color="auto"/>
      </w:divBdr>
    </w:div>
    <w:div w:id="1535147529">
      <w:bodyDiv w:val="1"/>
      <w:marLeft w:val="0"/>
      <w:marRight w:val="0"/>
      <w:marTop w:val="0"/>
      <w:marBottom w:val="0"/>
      <w:divBdr>
        <w:top w:val="none" w:sz="0" w:space="0" w:color="auto"/>
        <w:left w:val="none" w:sz="0" w:space="0" w:color="auto"/>
        <w:bottom w:val="none" w:sz="0" w:space="0" w:color="auto"/>
        <w:right w:val="none" w:sz="0" w:space="0" w:color="auto"/>
      </w:divBdr>
    </w:div>
    <w:div w:id="1536577286">
      <w:bodyDiv w:val="1"/>
      <w:marLeft w:val="0"/>
      <w:marRight w:val="0"/>
      <w:marTop w:val="0"/>
      <w:marBottom w:val="0"/>
      <w:divBdr>
        <w:top w:val="none" w:sz="0" w:space="0" w:color="auto"/>
        <w:left w:val="none" w:sz="0" w:space="0" w:color="auto"/>
        <w:bottom w:val="none" w:sz="0" w:space="0" w:color="auto"/>
        <w:right w:val="none" w:sz="0" w:space="0" w:color="auto"/>
      </w:divBdr>
    </w:div>
    <w:div w:id="1538353647">
      <w:bodyDiv w:val="1"/>
      <w:marLeft w:val="0"/>
      <w:marRight w:val="0"/>
      <w:marTop w:val="0"/>
      <w:marBottom w:val="0"/>
      <w:divBdr>
        <w:top w:val="none" w:sz="0" w:space="0" w:color="auto"/>
        <w:left w:val="none" w:sz="0" w:space="0" w:color="auto"/>
        <w:bottom w:val="none" w:sz="0" w:space="0" w:color="auto"/>
        <w:right w:val="none" w:sz="0" w:space="0" w:color="auto"/>
      </w:divBdr>
    </w:div>
    <w:div w:id="1557819770">
      <w:bodyDiv w:val="1"/>
      <w:marLeft w:val="0"/>
      <w:marRight w:val="0"/>
      <w:marTop w:val="0"/>
      <w:marBottom w:val="0"/>
      <w:divBdr>
        <w:top w:val="none" w:sz="0" w:space="0" w:color="auto"/>
        <w:left w:val="none" w:sz="0" w:space="0" w:color="auto"/>
        <w:bottom w:val="none" w:sz="0" w:space="0" w:color="auto"/>
        <w:right w:val="none" w:sz="0" w:space="0" w:color="auto"/>
      </w:divBdr>
    </w:div>
    <w:div w:id="1563716418">
      <w:bodyDiv w:val="1"/>
      <w:marLeft w:val="0"/>
      <w:marRight w:val="0"/>
      <w:marTop w:val="0"/>
      <w:marBottom w:val="0"/>
      <w:divBdr>
        <w:top w:val="none" w:sz="0" w:space="0" w:color="auto"/>
        <w:left w:val="none" w:sz="0" w:space="0" w:color="auto"/>
        <w:bottom w:val="none" w:sz="0" w:space="0" w:color="auto"/>
        <w:right w:val="none" w:sz="0" w:space="0" w:color="auto"/>
      </w:divBdr>
    </w:div>
    <w:div w:id="1570773204">
      <w:bodyDiv w:val="1"/>
      <w:marLeft w:val="0"/>
      <w:marRight w:val="0"/>
      <w:marTop w:val="0"/>
      <w:marBottom w:val="0"/>
      <w:divBdr>
        <w:top w:val="none" w:sz="0" w:space="0" w:color="auto"/>
        <w:left w:val="none" w:sz="0" w:space="0" w:color="auto"/>
        <w:bottom w:val="none" w:sz="0" w:space="0" w:color="auto"/>
        <w:right w:val="none" w:sz="0" w:space="0" w:color="auto"/>
      </w:divBdr>
    </w:div>
    <w:div w:id="1578130577">
      <w:bodyDiv w:val="1"/>
      <w:marLeft w:val="0"/>
      <w:marRight w:val="0"/>
      <w:marTop w:val="0"/>
      <w:marBottom w:val="0"/>
      <w:divBdr>
        <w:top w:val="none" w:sz="0" w:space="0" w:color="auto"/>
        <w:left w:val="none" w:sz="0" w:space="0" w:color="auto"/>
        <w:bottom w:val="none" w:sz="0" w:space="0" w:color="auto"/>
        <w:right w:val="none" w:sz="0" w:space="0" w:color="auto"/>
      </w:divBdr>
    </w:div>
    <w:div w:id="1588228896">
      <w:bodyDiv w:val="1"/>
      <w:marLeft w:val="0"/>
      <w:marRight w:val="0"/>
      <w:marTop w:val="0"/>
      <w:marBottom w:val="0"/>
      <w:divBdr>
        <w:top w:val="none" w:sz="0" w:space="0" w:color="auto"/>
        <w:left w:val="none" w:sz="0" w:space="0" w:color="auto"/>
        <w:bottom w:val="none" w:sz="0" w:space="0" w:color="auto"/>
        <w:right w:val="none" w:sz="0" w:space="0" w:color="auto"/>
      </w:divBdr>
    </w:div>
    <w:div w:id="1591693790">
      <w:bodyDiv w:val="1"/>
      <w:marLeft w:val="0"/>
      <w:marRight w:val="0"/>
      <w:marTop w:val="0"/>
      <w:marBottom w:val="0"/>
      <w:divBdr>
        <w:top w:val="none" w:sz="0" w:space="0" w:color="auto"/>
        <w:left w:val="none" w:sz="0" w:space="0" w:color="auto"/>
        <w:bottom w:val="none" w:sz="0" w:space="0" w:color="auto"/>
        <w:right w:val="none" w:sz="0" w:space="0" w:color="auto"/>
      </w:divBdr>
    </w:div>
    <w:div w:id="1593977880">
      <w:bodyDiv w:val="1"/>
      <w:marLeft w:val="0"/>
      <w:marRight w:val="0"/>
      <w:marTop w:val="0"/>
      <w:marBottom w:val="0"/>
      <w:divBdr>
        <w:top w:val="none" w:sz="0" w:space="0" w:color="auto"/>
        <w:left w:val="none" w:sz="0" w:space="0" w:color="auto"/>
        <w:bottom w:val="none" w:sz="0" w:space="0" w:color="auto"/>
        <w:right w:val="none" w:sz="0" w:space="0" w:color="auto"/>
      </w:divBdr>
    </w:div>
    <w:div w:id="1608613337">
      <w:bodyDiv w:val="1"/>
      <w:marLeft w:val="0"/>
      <w:marRight w:val="0"/>
      <w:marTop w:val="0"/>
      <w:marBottom w:val="0"/>
      <w:divBdr>
        <w:top w:val="none" w:sz="0" w:space="0" w:color="auto"/>
        <w:left w:val="none" w:sz="0" w:space="0" w:color="auto"/>
        <w:bottom w:val="none" w:sz="0" w:space="0" w:color="auto"/>
        <w:right w:val="none" w:sz="0" w:space="0" w:color="auto"/>
      </w:divBdr>
    </w:div>
    <w:div w:id="1608853519">
      <w:bodyDiv w:val="1"/>
      <w:marLeft w:val="0"/>
      <w:marRight w:val="0"/>
      <w:marTop w:val="0"/>
      <w:marBottom w:val="0"/>
      <w:divBdr>
        <w:top w:val="none" w:sz="0" w:space="0" w:color="auto"/>
        <w:left w:val="none" w:sz="0" w:space="0" w:color="auto"/>
        <w:bottom w:val="none" w:sz="0" w:space="0" w:color="auto"/>
        <w:right w:val="none" w:sz="0" w:space="0" w:color="auto"/>
      </w:divBdr>
    </w:div>
    <w:div w:id="1615136645">
      <w:bodyDiv w:val="1"/>
      <w:marLeft w:val="0"/>
      <w:marRight w:val="0"/>
      <w:marTop w:val="0"/>
      <w:marBottom w:val="0"/>
      <w:divBdr>
        <w:top w:val="none" w:sz="0" w:space="0" w:color="auto"/>
        <w:left w:val="none" w:sz="0" w:space="0" w:color="auto"/>
        <w:bottom w:val="none" w:sz="0" w:space="0" w:color="auto"/>
        <w:right w:val="none" w:sz="0" w:space="0" w:color="auto"/>
      </w:divBdr>
    </w:div>
    <w:div w:id="1623732985">
      <w:bodyDiv w:val="1"/>
      <w:marLeft w:val="0"/>
      <w:marRight w:val="0"/>
      <w:marTop w:val="0"/>
      <w:marBottom w:val="0"/>
      <w:divBdr>
        <w:top w:val="none" w:sz="0" w:space="0" w:color="auto"/>
        <w:left w:val="none" w:sz="0" w:space="0" w:color="auto"/>
        <w:bottom w:val="none" w:sz="0" w:space="0" w:color="auto"/>
        <w:right w:val="none" w:sz="0" w:space="0" w:color="auto"/>
      </w:divBdr>
    </w:div>
    <w:div w:id="1625767905">
      <w:bodyDiv w:val="1"/>
      <w:marLeft w:val="0"/>
      <w:marRight w:val="0"/>
      <w:marTop w:val="0"/>
      <w:marBottom w:val="0"/>
      <w:divBdr>
        <w:top w:val="none" w:sz="0" w:space="0" w:color="auto"/>
        <w:left w:val="none" w:sz="0" w:space="0" w:color="auto"/>
        <w:bottom w:val="none" w:sz="0" w:space="0" w:color="auto"/>
        <w:right w:val="none" w:sz="0" w:space="0" w:color="auto"/>
      </w:divBdr>
    </w:div>
    <w:div w:id="1625967018">
      <w:bodyDiv w:val="1"/>
      <w:marLeft w:val="0"/>
      <w:marRight w:val="0"/>
      <w:marTop w:val="0"/>
      <w:marBottom w:val="0"/>
      <w:divBdr>
        <w:top w:val="none" w:sz="0" w:space="0" w:color="auto"/>
        <w:left w:val="none" w:sz="0" w:space="0" w:color="auto"/>
        <w:bottom w:val="none" w:sz="0" w:space="0" w:color="auto"/>
        <w:right w:val="none" w:sz="0" w:space="0" w:color="auto"/>
      </w:divBdr>
    </w:div>
    <w:div w:id="1629819501">
      <w:bodyDiv w:val="1"/>
      <w:marLeft w:val="0"/>
      <w:marRight w:val="0"/>
      <w:marTop w:val="0"/>
      <w:marBottom w:val="0"/>
      <w:divBdr>
        <w:top w:val="none" w:sz="0" w:space="0" w:color="auto"/>
        <w:left w:val="none" w:sz="0" w:space="0" w:color="auto"/>
        <w:bottom w:val="none" w:sz="0" w:space="0" w:color="auto"/>
        <w:right w:val="none" w:sz="0" w:space="0" w:color="auto"/>
      </w:divBdr>
    </w:div>
    <w:div w:id="1645239708">
      <w:bodyDiv w:val="1"/>
      <w:marLeft w:val="0"/>
      <w:marRight w:val="0"/>
      <w:marTop w:val="0"/>
      <w:marBottom w:val="0"/>
      <w:divBdr>
        <w:top w:val="none" w:sz="0" w:space="0" w:color="auto"/>
        <w:left w:val="none" w:sz="0" w:space="0" w:color="auto"/>
        <w:bottom w:val="none" w:sz="0" w:space="0" w:color="auto"/>
        <w:right w:val="none" w:sz="0" w:space="0" w:color="auto"/>
      </w:divBdr>
    </w:div>
    <w:div w:id="1647512953">
      <w:bodyDiv w:val="1"/>
      <w:marLeft w:val="0"/>
      <w:marRight w:val="0"/>
      <w:marTop w:val="0"/>
      <w:marBottom w:val="0"/>
      <w:divBdr>
        <w:top w:val="none" w:sz="0" w:space="0" w:color="auto"/>
        <w:left w:val="none" w:sz="0" w:space="0" w:color="auto"/>
        <w:bottom w:val="none" w:sz="0" w:space="0" w:color="auto"/>
        <w:right w:val="none" w:sz="0" w:space="0" w:color="auto"/>
      </w:divBdr>
    </w:div>
    <w:div w:id="1647783264">
      <w:bodyDiv w:val="1"/>
      <w:marLeft w:val="0"/>
      <w:marRight w:val="0"/>
      <w:marTop w:val="0"/>
      <w:marBottom w:val="0"/>
      <w:divBdr>
        <w:top w:val="none" w:sz="0" w:space="0" w:color="auto"/>
        <w:left w:val="none" w:sz="0" w:space="0" w:color="auto"/>
        <w:bottom w:val="none" w:sz="0" w:space="0" w:color="auto"/>
        <w:right w:val="none" w:sz="0" w:space="0" w:color="auto"/>
      </w:divBdr>
    </w:div>
    <w:div w:id="1654063965">
      <w:bodyDiv w:val="1"/>
      <w:marLeft w:val="0"/>
      <w:marRight w:val="0"/>
      <w:marTop w:val="0"/>
      <w:marBottom w:val="0"/>
      <w:divBdr>
        <w:top w:val="none" w:sz="0" w:space="0" w:color="auto"/>
        <w:left w:val="none" w:sz="0" w:space="0" w:color="auto"/>
        <w:bottom w:val="none" w:sz="0" w:space="0" w:color="auto"/>
        <w:right w:val="none" w:sz="0" w:space="0" w:color="auto"/>
      </w:divBdr>
    </w:div>
    <w:div w:id="1658192564">
      <w:bodyDiv w:val="1"/>
      <w:marLeft w:val="0"/>
      <w:marRight w:val="0"/>
      <w:marTop w:val="0"/>
      <w:marBottom w:val="0"/>
      <w:divBdr>
        <w:top w:val="none" w:sz="0" w:space="0" w:color="auto"/>
        <w:left w:val="none" w:sz="0" w:space="0" w:color="auto"/>
        <w:bottom w:val="none" w:sz="0" w:space="0" w:color="auto"/>
        <w:right w:val="none" w:sz="0" w:space="0" w:color="auto"/>
      </w:divBdr>
    </w:div>
    <w:div w:id="1667131870">
      <w:bodyDiv w:val="1"/>
      <w:marLeft w:val="0"/>
      <w:marRight w:val="0"/>
      <w:marTop w:val="0"/>
      <w:marBottom w:val="0"/>
      <w:divBdr>
        <w:top w:val="none" w:sz="0" w:space="0" w:color="auto"/>
        <w:left w:val="none" w:sz="0" w:space="0" w:color="auto"/>
        <w:bottom w:val="none" w:sz="0" w:space="0" w:color="auto"/>
        <w:right w:val="none" w:sz="0" w:space="0" w:color="auto"/>
      </w:divBdr>
    </w:div>
    <w:div w:id="1688559634">
      <w:bodyDiv w:val="1"/>
      <w:marLeft w:val="0"/>
      <w:marRight w:val="0"/>
      <w:marTop w:val="0"/>
      <w:marBottom w:val="0"/>
      <w:divBdr>
        <w:top w:val="none" w:sz="0" w:space="0" w:color="auto"/>
        <w:left w:val="none" w:sz="0" w:space="0" w:color="auto"/>
        <w:bottom w:val="none" w:sz="0" w:space="0" w:color="auto"/>
        <w:right w:val="none" w:sz="0" w:space="0" w:color="auto"/>
      </w:divBdr>
    </w:div>
    <w:div w:id="1696927714">
      <w:bodyDiv w:val="1"/>
      <w:marLeft w:val="0"/>
      <w:marRight w:val="0"/>
      <w:marTop w:val="0"/>
      <w:marBottom w:val="0"/>
      <w:divBdr>
        <w:top w:val="none" w:sz="0" w:space="0" w:color="auto"/>
        <w:left w:val="none" w:sz="0" w:space="0" w:color="auto"/>
        <w:bottom w:val="none" w:sz="0" w:space="0" w:color="auto"/>
        <w:right w:val="none" w:sz="0" w:space="0" w:color="auto"/>
      </w:divBdr>
    </w:div>
    <w:div w:id="1699043084">
      <w:bodyDiv w:val="1"/>
      <w:marLeft w:val="0"/>
      <w:marRight w:val="0"/>
      <w:marTop w:val="0"/>
      <w:marBottom w:val="0"/>
      <w:divBdr>
        <w:top w:val="none" w:sz="0" w:space="0" w:color="auto"/>
        <w:left w:val="none" w:sz="0" w:space="0" w:color="auto"/>
        <w:bottom w:val="none" w:sz="0" w:space="0" w:color="auto"/>
        <w:right w:val="none" w:sz="0" w:space="0" w:color="auto"/>
      </w:divBdr>
    </w:div>
    <w:div w:id="1700356328">
      <w:bodyDiv w:val="1"/>
      <w:marLeft w:val="0"/>
      <w:marRight w:val="0"/>
      <w:marTop w:val="0"/>
      <w:marBottom w:val="0"/>
      <w:divBdr>
        <w:top w:val="none" w:sz="0" w:space="0" w:color="auto"/>
        <w:left w:val="none" w:sz="0" w:space="0" w:color="auto"/>
        <w:bottom w:val="none" w:sz="0" w:space="0" w:color="auto"/>
        <w:right w:val="none" w:sz="0" w:space="0" w:color="auto"/>
      </w:divBdr>
    </w:div>
    <w:div w:id="1700549079">
      <w:bodyDiv w:val="1"/>
      <w:marLeft w:val="0"/>
      <w:marRight w:val="0"/>
      <w:marTop w:val="0"/>
      <w:marBottom w:val="0"/>
      <w:divBdr>
        <w:top w:val="none" w:sz="0" w:space="0" w:color="auto"/>
        <w:left w:val="none" w:sz="0" w:space="0" w:color="auto"/>
        <w:bottom w:val="none" w:sz="0" w:space="0" w:color="auto"/>
        <w:right w:val="none" w:sz="0" w:space="0" w:color="auto"/>
      </w:divBdr>
    </w:div>
    <w:div w:id="1700811875">
      <w:bodyDiv w:val="1"/>
      <w:marLeft w:val="0"/>
      <w:marRight w:val="0"/>
      <w:marTop w:val="0"/>
      <w:marBottom w:val="0"/>
      <w:divBdr>
        <w:top w:val="none" w:sz="0" w:space="0" w:color="auto"/>
        <w:left w:val="none" w:sz="0" w:space="0" w:color="auto"/>
        <w:bottom w:val="none" w:sz="0" w:space="0" w:color="auto"/>
        <w:right w:val="none" w:sz="0" w:space="0" w:color="auto"/>
      </w:divBdr>
    </w:div>
    <w:div w:id="1701933086">
      <w:bodyDiv w:val="1"/>
      <w:marLeft w:val="0"/>
      <w:marRight w:val="0"/>
      <w:marTop w:val="0"/>
      <w:marBottom w:val="0"/>
      <w:divBdr>
        <w:top w:val="none" w:sz="0" w:space="0" w:color="auto"/>
        <w:left w:val="none" w:sz="0" w:space="0" w:color="auto"/>
        <w:bottom w:val="none" w:sz="0" w:space="0" w:color="auto"/>
        <w:right w:val="none" w:sz="0" w:space="0" w:color="auto"/>
      </w:divBdr>
    </w:div>
    <w:div w:id="1701978350">
      <w:bodyDiv w:val="1"/>
      <w:marLeft w:val="0"/>
      <w:marRight w:val="0"/>
      <w:marTop w:val="0"/>
      <w:marBottom w:val="0"/>
      <w:divBdr>
        <w:top w:val="none" w:sz="0" w:space="0" w:color="auto"/>
        <w:left w:val="none" w:sz="0" w:space="0" w:color="auto"/>
        <w:bottom w:val="none" w:sz="0" w:space="0" w:color="auto"/>
        <w:right w:val="none" w:sz="0" w:space="0" w:color="auto"/>
      </w:divBdr>
    </w:div>
    <w:div w:id="1710884027">
      <w:bodyDiv w:val="1"/>
      <w:marLeft w:val="0"/>
      <w:marRight w:val="0"/>
      <w:marTop w:val="0"/>
      <w:marBottom w:val="0"/>
      <w:divBdr>
        <w:top w:val="none" w:sz="0" w:space="0" w:color="auto"/>
        <w:left w:val="none" w:sz="0" w:space="0" w:color="auto"/>
        <w:bottom w:val="none" w:sz="0" w:space="0" w:color="auto"/>
        <w:right w:val="none" w:sz="0" w:space="0" w:color="auto"/>
      </w:divBdr>
    </w:div>
    <w:div w:id="1716737315">
      <w:bodyDiv w:val="1"/>
      <w:marLeft w:val="0"/>
      <w:marRight w:val="0"/>
      <w:marTop w:val="0"/>
      <w:marBottom w:val="0"/>
      <w:divBdr>
        <w:top w:val="none" w:sz="0" w:space="0" w:color="auto"/>
        <w:left w:val="none" w:sz="0" w:space="0" w:color="auto"/>
        <w:bottom w:val="none" w:sz="0" w:space="0" w:color="auto"/>
        <w:right w:val="none" w:sz="0" w:space="0" w:color="auto"/>
      </w:divBdr>
    </w:div>
    <w:div w:id="1719476736">
      <w:bodyDiv w:val="1"/>
      <w:marLeft w:val="0"/>
      <w:marRight w:val="0"/>
      <w:marTop w:val="0"/>
      <w:marBottom w:val="0"/>
      <w:divBdr>
        <w:top w:val="none" w:sz="0" w:space="0" w:color="auto"/>
        <w:left w:val="none" w:sz="0" w:space="0" w:color="auto"/>
        <w:bottom w:val="none" w:sz="0" w:space="0" w:color="auto"/>
        <w:right w:val="none" w:sz="0" w:space="0" w:color="auto"/>
      </w:divBdr>
    </w:div>
    <w:div w:id="1720468931">
      <w:bodyDiv w:val="1"/>
      <w:marLeft w:val="0"/>
      <w:marRight w:val="0"/>
      <w:marTop w:val="0"/>
      <w:marBottom w:val="0"/>
      <w:divBdr>
        <w:top w:val="none" w:sz="0" w:space="0" w:color="auto"/>
        <w:left w:val="none" w:sz="0" w:space="0" w:color="auto"/>
        <w:bottom w:val="none" w:sz="0" w:space="0" w:color="auto"/>
        <w:right w:val="none" w:sz="0" w:space="0" w:color="auto"/>
      </w:divBdr>
    </w:div>
    <w:div w:id="1723675964">
      <w:bodyDiv w:val="1"/>
      <w:marLeft w:val="0"/>
      <w:marRight w:val="0"/>
      <w:marTop w:val="0"/>
      <w:marBottom w:val="0"/>
      <w:divBdr>
        <w:top w:val="none" w:sz="0" w:space="0" w:color="auto"/>
        <w:left w:val="none" w:sz="0" w:space="0" w:color="auto"/>
        <w:bottom w:val="none" w:sz="0" w:space="0" w:color="auto"/>
        <w:right w:val="none" w:sz="0" w:space="0" w:color="auto"/>
      </w:divBdr>
    </w:div>
    <w:div w:id="1732069969">
      <w:bodyDiv w:val="1"/>
      <w:marLeft w:val="0"/>
      <w:marRight w:val="0"/>
      <w:marTop w:val="0"/>
      <w:marBottom w:val="0"/>
      <w:divBdr>
        <w:top w:val="none" w:sz="0" w:space="0" w:color="auto"/>
        <w:left w:val="none" w:sz="0" w:space="0" w:color="auto"/>
        <w:bottom w:val="none" w:sz="0" w:space="0" w:color="auto"/>
        <w:right w:val="none" w:sz="0" w:space="0" w:color="auto"/>
      </w:divBdr>
    </w:div>
    <w:div w:id="1739284203">
      <w:bodyDiv w:val="1"/>
      <w:marLeft w:val="0"/>
      <w:marRight w:val="0"/>
      <w:marTop w:val="0"/>
      <w:marBottom w:val="0"/>
      <w:divBdr>
        <w:top w:val="none" w:sz="0" w:space="0" w:color="auto"/>
        <w:left w:val="none" w:sz="0" w:space="0" w:color="auto"/>
        <w:bottom w:val="none" w:sz="0" w:space="0" w:color="auto"/>
        <w:right w:val="none" w:sz="0" w:space="0" w:color="auto"/>
      </w:divBdr>
    </w:div>
    <w:div w:id="1744714404">
      <w:bodyDiv w:val="1"/>
      <w:marLeft w:val="0"/>
      <w:marRight w:val="0"/>
      <w:marTop w:val="0"/>
      <w:marBottom w:val="0"/>
      <w:divBdr>
        <w:top w:val="none" w:sz="0" w:space="0" w:color="auto"/>
        <w:left w:val="none" w:sz="0" w:space="0" w:color="auto"/>
        <w:bottom w:val="none" w:sz="0" w:space="0" w:color="auto"/>
        <w:right w:val="none" w:sz="0" w:space="0" w:color="auto"/>
      </w:divBdr>
    </w:div>
    <w:div w:id="1747798098">
      <w:bodyDiv w:val="1"/>
      <w:marLeft w:val="0"/>
      <w:marRight w:val="0"/>
      <w:marTop w:val="0"/>
      <w:marBottom w:val="0"/>
      <w:divBdr>
        <w:top w:val="none" w:sz="0" w:space="0" w:color="auto"/>
        <w:left w:val="none" w:sz="0" w:space="0" w:color="auto"/>
        <w:bottom w:val="none" w:sz="0" w:space="0" w:color="auto"/>
        <w:right w:val="none" w:sz="0" w:space="0" w:color="auto"/>
      </w:divBdr>
    </w:div>
    <w:div w:id="1751459262">
      <w:bodyDiv w:val="1"/>
      <w:marLeft w:val="0"/>
      <w:marRight w:val="0"/>
      <w:marTop w:val="0"/>
      <w:marBottom w:val="0"/>
      <w:divBdr>
        <w:top w:val="none" w:sz="0" w:space="0" w:color="auto"/>
        <w:left w:val="none" w:sz="0" w:space="0" w:color="auto"/>
        <w:bottom w:val="none" w:sz="0" w:space="0" w:color="auto"/>
        <w:right w:val="none" w:sz="0" w:space="0" w:color="auto"/>
      </w:divBdr>
    </w:div>
    <w:div w:id="1758556912">
      <w:bodyDiv w:val="1"/>
      <w:marLeft w:val="0"/>
      <w:marRight w:val="0"/>
      <w:marTop w:val="0"/>
      <w:marBottom w:val="0"/>
      <w:divBdr>
        <w:top w:val="none" w:sz="0" w:space="0" w:color="auto"/>
        <w:left w:val="none" w:sz="0" w:space="0" w:color="auto"/>
        <w:bottom w:val="none" w:sz="0" w:space="0" w:color="auto"/>
        <w:right w:val="none" w:sz="0" w:space="0" w:color="auto"/>
      </w:divBdr>
    </w:div>
    <w:div w:id="1759713592">
      <w:bodyDiv w:val="1"/>
      <w:marLeft w:val="0"/>
      <w:marRight w:val="0"/>
      <w:marTop w:val="0"/>
      <w:marBottom w:val="0"/>
      <w:divBdr>
        <w:top w:val="none" w:sz="0" w:space="0" w:color="auto"/>
        <w:left w:val="none" w:sz="0" w:space="0" w:color="auto"/>
        <w:bottom w:val="none" w:sz="0" w:space="0" w:color="auto"/>
        <w:right w:val="none" w:sz="0" w:space="0" w:color="auto"/>
      </w:divBdr>
    </w:div>
    <w:div w:id="1761826441">
      <w:bodyDiv w:val="1"/>
      <w:marLeft w:val="0"/>
      <w:marRight w:val="0"/>
      <w:marTop w:val="0"/>
      <w:marBottom w:val="0"/>
      <w:divBdr>
        <w:top w:val="none" w:sz="0" w:space="0" w:color="auto"/>
        <w:left w:val="none" w:sz="0" w:space="0" w:color="auto"/>
        <w:bottom w:val="none" w:sz="0" w:space="0" w:color="auto"/>
        <w:right w:val="none" w:sz="0" w:space="0" w:color="auto"/>
      </w:divBdr>
    </w:div>
    <w:div w:id="1765108298">
      <w:bodyDiv w:val="1"/>
      <w:marLeft w:val="0"/>
      <w:marRight w:val="0"/>
      <w:marTop w:val="0"/>
      <w:marBottom w:val="0"/>
      <w:divBdr>
        <w:top w:val="none" w:sz="0" w:space="0" w:color="auto"/>
        <w:left w:val="none" w:sz="0" w:space="0" w:color="auto"/>
        <w:bottom w:val="none" w:sz="0" w:space="0" w:color="auto"/>
        <w:right w:val="none" w:sz="0" w:space="0" w:color="auto"/>
      </w:divBdr>
    </w:div>
    <w:div w:id="1765491466">
      <w:bodyDiv w:val="1"/>
      <w:marLeft w:val="0"/>
      <w:marRight w:val="0"/>
      <w:marTop w:val="0"/>
      <w:marBottom w:val="0"/>
      <w:divBdr>
        <w:top w:val="none" w:sz="0" w:space="0" w:color="auto"/>
        <w:left w:val="none" w:sz="0" w:space="0" w:color="auto"/>
        <w:bottom w:val="none" w:sz="0" w:space="0" w:color="auto"/>
        <w:right w:val="none" w:sz="0" w:space="0" w:color="auto"/>
      </w:divBdr>
    </w:div>
    <w:div w:id="1766537892">
      <w:bodyDiv w:val="1"/>
      <w:marLeft w:val="0"/>
      <w:marRight w:val="0"/>
      <w:marTop w:val="0"/>
      <w:marBottom w:val="0"/>
      <w:divBdr>
        <w:top w:val="none" w:sz="0" w:space="0" w:color="auto"/>
        <w:left w:val="none" w:sz="0" w:space="0" w:color="auto"/>
        <w:bottom w:val="none" w:sz="0" w:space="0" w:color="auto"/>
        <w:right w:val="none" w:sz="0" w:space="0" w:color="auto"/>
      </w:divBdr>
    </w:div>
    <w:div w:id="1810903109">
      <w:bodyDiv w:val="1"/>
      <w:marLeft w:val="0"/>
      <w:marRight w:val="0"/>
      <w:marTop w:val="0"/>
      <w:marBottom w:val="0"/>
      <w:divBdr>
        <w:top w:val="none" w:sz="0" w:space="0" w:color="auto"/>
        <w:left w:val="none" w:sz="0" w:space="0" w:color="auto"/>
        <w:bottom w:val="none" w:sz="0" w:space="0" w:color="auto"/>
        <w:right w:val="none" w:sz="0" w:space="0" w:color="auto"/>
      </w:divBdr>
    </w:div>
    <w:div w:id="1816220929">
      <w:bodyDiv w:val="1"/>
      <w:marLeft w:val="0"/>
      <w:marRight w:val="0"/>
      <w:marTop w:val="0"/>
      <w:marBottom w:val="0"/>
      <w:divBdr>
        <w:top w:val="none" w:sz="0" w:space="0" w:color="auto"/>
        <w:left w:val="none" w:sz="0" w:space="0" w:color="auto"/>
        <w:bottom w:val="none" w:sz="0" w:space="0" w:color="auto"/>
        <w:right w:val="none" w:sz="0" w:space="0" w:color="auto"/>
      </w:divBdr>
    </w:div>
    <w:div w:id="1823617242">
      <w:bodyDiv w:val="1"/>
      <w:marLeft w:val="0"/>
      <w:marRight w:val="0"/>
      <w:marTop w:val="0"/>
      <w:marBottom w:val="0"/>
      <w:divBdr>
        <w:top w:val="none" w:sz="0" w:space="0" w:color="auto"/>
        <w:left w:val="none" w:sz="0" w:space="0" w:color="auto"/>
        <w:bottom w:val="none" w:sz="0" w:space="0" w:color="auto"/>
        <w:right w:val="none" w:sz="0" w:space="0" w:color="auto"/>
      </w:divBdr>
    </w:div>
    <w:div w:id="1830977292">
      <w:bodyDiv w:val="1"/>
      <w:marLeft w:val="0"/>
      <w:marRight w:val="0"/>
      <w:marTop w:val="0"/>
      <w:marBottom w:val="0"/>
      <w:divBdr>
        <w:top w:val="none" w:sz="0" w:space="0" w:color="auto"/>
        <w:left w:val="none" w:sz="0" w:space="0" w:color="auto"/>
        <w:bottom w:val="none" w:sz="0" w:space="0" w:color="auto"/>
        <w:right w:val="none" w:sz="0" w:space="0" w:color="auto"/>
      </w:divBdr>
    </w:div>
    <w:div w:id="1835100943">
      <w:bodyDiv w:val="1"/>
      <w:marLeft w:val="0"/>
      <w:marRight w:val="0"/>
      <w:marTop w:val="0"/>
      <w:marBottom w:val="0"/>
      <w:divBdr>
        <w:top w:val="none" w:sz="0" w:space="0" w:color="auto"/>
        <w:left w:val="none" w:sz="0" w:space="0" w:color="auto"/>
        <w:bottom w:val="none" w:sz="0" w:space="0" w:color="auto"/>
        <w:right w:val="none" w:sz="0" w:space="0" w:color="auto"/>
      </w:divBdr>
    </w:div>
    <w:div w:id="1839885678">
      <w:bodyDiv w:val="1"/>
      <w:marLeft w:val="0"/>
      <w:marRight w:val="0"/>
      <w:marTop w:val="0"/>
      <w:marBottom w:val="0"/>
      <w:divBdr>
        <w:top w:val="none" w:sz="0" w:space="0" w:color="auto"/>
        <w:left w:val="none" w:sz="0" w:space="0" w:color="auto"/>
        <w:bottom w:val="none" w:sz="0" w:space="0" w:color="auto"/>
        <w:right w:val="none" w:sz="0" w:space="0" w:color="auto"/>
      </w:divBdr>
    </w:div>
    <w:div w:id="1846095449">
      <w:bodyDiv w:val="1"/>
      <w:marLeft w:val="0"/>
      <w:marRight w:val="0"/>
      <w:marTop w:val="0"/>
      <w:marBottom w:val="0"/>
      <w:divBdr>
        <w:top w:val="none" w:sz="0" w:space="0" w:color="auto"/>
        <w:left w:val="none" w:sz="0" w:space="0" w:color="auto"/>
        <w:bottom w:val="none" w:sz="0" w:space="0" w:color="auto"/>
        <w:right w:val="none" w:sz="0" w:space="0" w:color="auto"/>
      </w:divBdr>
    </w:div>
    <w:div w:id="1852260267">
      <w:bodyDiv w:val="1"/>
      <w:marLeft w:val="0"/>
      <w:marRight w:val="0"/>
      <w:marTop w:val="0"/>
      <w:marBottom w:val="0"/>
      <w:divBdr>
        <w:top w:val="none" w:sz="0" w:space="0" w:color="auto"/>
        <w:left w:val="none" w:sz="0" w:space="0" w:color="auto"/>
        <w:bottom w:val="none" w:sz="0" w:space="0" w:color="auto"/>
        <w:right w:val="none" w:sz="0" w:space="0" w:color="auto"/>
      </w:divBdr>
    </w:div>
    <w:div w:id="1862889081">
      <w:bodyDiv w:val="1"/>
      <w:marLeft w:val="0"/>
      <w:marRight w:val="0"/>
      <w:marTop w:val="0"/>
      <w:marBottom w:val="0"/>
      <w:divBdr>
        <w:top w:val="none" w:sz="0" w:space="0" w:color="auto"/>
        <w:left w:val="none" w:sz="0" w:space="0" w:color="auto"/>
        <w:bottom w:val="none" w:sz="0" w:space="0" w:color="auto"/>
        <w:right w:val="none" w:sz="0" w:space="0" w:color="auto"/>
      </w:divBdr>
    </w:div>
    <w:div w:id="1867600514">
      <w:bodyDiv w:val="1"/>
      <w:marLeft w:val="0"/>
      <w:marRight w:val="0"/>
      <w:marTop w:val="0"/>
      <w:marBottom w:val="0"/>
      <w:divBdr>
        <w:top w:val="none" w:sz="0" w:space="0" w:color="auto"/>
        <w:left w:val="none" w:sz="0" w:space="0" w:color="auto"/>
        <w:bottom w:val="none" w:sz="0" w:space="0" w:color="auto"/>
        <w:right w:val="none" w:sz="0" w:space="0" w:color="auto"/>
      </w:divBdr>
    </w:div>
    <w:div w:id="1869568004">
      <w:bodyDiv w:val="1"/>
      <w:marLeft w:val="0"/>
      <w:marRight w:val="0"/>
      <w:marTop w:val="0"/>
      <w:marBottom w:val="0"/>
      <w:divBdr>
        <w:top w:val="none" w:sz="0" w:space="0" w:color="auto"/>
        <w:left w:val="none" w:sz="0" w:space="0" w:color="auto"/>
        <w:bottom w:val="none" w:sz="0" w:space="0" w:color="auto"/>
        <w:right w:val="none" w:sz="0" w:space="0" w:color="auto"/>
      </w:divBdr>
    </w:div>
    <w:div w:id="1871187140">
      <w:bodyDiv w:val="1"/>
      <w:marLeft w:val="0"/>
      <w:marRight w:val="0"/>
      <w:marTop w:val="0"/>
      <w:marBottom w:val="0"/>
      <w:divBdr>
        <w:top w:val="none" w:sz="0" w:space="0" w:color="auto"/>
        <w:left w:val="none" w:sz="0" w:space="0" w:color="auto"/>
        <w:bottom w:val="none" w:sz="0" w:space="0" w:color="auto"/>
        <w:right w:val="none" w:sz="0" w:space="0" w:color="auto"/>
      </w:divBdr>
    </w:div>
    <w:div w:id="1872524798">
      <w:bodyDiv w:val="1"/>
      <w:marLeft w:val="0"/>
      <w:marRight w:val="0"/>
      <w:marTop w:val="0"/>
      <w:marBottom w:val="0"/>
      <w:divBdr>
        <w:top w:val="none" w:sz="0" w:space="0" w:color="auto"/>
        <w:left w:val="none" w:sz="0" w:space="0" w:color="auto"/>
        <w:bottom w:val="none" w:sz="0" w:space="0" w:color="auto"/>
        <w:right w:val="none" w:sz="0" w:space="0" w:color="auto"/>
      </w:divBdr>
    </w:div>
    <w:div w:id="1873111093">
      <w:bodyDiv w:val="1"/>
      <w:marLeft w:val="0"/>
      <w:marRight w:val="0"/>
      <w:marTop w:val="0"/>
      <w:marBottom w:val="0"/>
      <w:divBdr>
        <w:top w:val="none" w:sz="0" w:space="0" w:color="auto"/>
        <w:left w:val="none" w:sz="0" w:space="0" w:color="auto"/>
        <w:bottom w:val="none" w:sz="0" w:space="0" w:color="auto"/>
        <w:right w:val="none" w:sz="0" w:space="0" w:color="auto"/>
      </w:divBdr>
    </w:div>
    <w:div w:id="1888059144">
      <w:bodyDiv w:val="1"/>
      <w:marLeft w:val="0"/>
      <w:marRight w:val="0"/>
      <w:marTop w:val="0"/>
      <w:marBottom w:val="0"/>
      <w:divBdr>
        <w:top w:val="none" w:sz="0" w:space="0" w:color="auto"/>
        <w:left w:val="none" w:sz="0" w:space="0" w:color="auto"/>
        <w:bottom w:val="none" w:sz="0" w:space="0" w:color="auto"/>
        <w:right w:val="none" w:sz="0" w:space="0" w:color="auto"/>
      </w:divBdr>
    </w:div>
    <w:div w:id="1889410561">
      <w:bodyDiv w:val="1"/>
      <w:marLeft w:val="0"/>
      <w:marRight w:val="0"/>
      <w:marTop w:val="0"/>
      <w:marBottom w:val="0"/>
      <w:divBdr>
        <w:top w:val="none" w:sz="0" w:space="0" w:color="auto"/>
        <w:left w:val="none" w:sz="0" w:space="0" w:color="auto"/>
        <w:bottom w:val="none" w:sz="0" w:space="0" w:color="auto"/>
        <w:right w:val="none" w:sz="0" w:space="0" w:color="auto"/>
      </w:divBdr>
    </w:div>
    <w:div w:id="1891962000">
      <w:bodyDiv w:val="1"/>
      <w:marLeft w:val="0"/>
      <w:marRight w:val="0"/>
      <w:marTop w:val="0"/>
      <w:marBottom w:val="0"/>
      <w:divBdr>
        <w:top w:val="none" w:sz="0" w:space="0" w:color="auto"/>
        <w:left w:val="none" w:sz="0" w:space="0" w:color="auto"/>
        <w:bottom w:val="none" w:sz="0" w:space="0" w:color="auto"/>
        <w:right w:val="none" w:sz="0" w:space="0" w:color="auto"/>
      </w:divBdr>
    </w:div>
    <w:div w:id="1898392196">
      <w:bodyDiv w:val="1"/>
      <w:marLeft w:val="0"/>
      <w:marRight w:val="0"/>
      <w:marTop w:val="0"/>
      <w:marBottom w:val="0"/>
      <w:divBdr>
        <w:top w:val="none" w:sz="0" w:space="0" w:color="auto"/>
        <w:left w:val="none" w:sz="0" w:space="0" w:color="auto"/>
        <w:bottom w:val="none" w:sz="0" w:space="0" w:color="auto"/>
        <w:right w:val="none" w:sz="0" w:space="0" w:color="auto"/>
      </w:divBdr>
    </w:div>
    <w:div w:id="1906647463">
      <w:bodyDiv w:val="1"/>
      <w:marLeft w:val="0"/>
      <w:marRight w:val="0"/>
      <w:marTop w:val="0"/>
      <w:marBottom w:val="0"/>
      <w:divBdr>
        <w:top w:val="none" w:sz="0" w:space="0" w:color="auto"/>
        <w:left w:val="none" w:sz="0" w:space="0" w:color="auto"/>
        <w:bottom w:val="none" w:sz="0" w:space="0" w:color="auto"/>
        <w:right w:val="none" w:sz="0" w:space="0" w:color="auto"/>
      </w:divBdr>
    </w:div>
    <w:div w:id="1913081856">
      <w:bodyDiv w:val="1"/>
      <w:marLeft w:val="0"/>
      <w:marRight w:val="0"/>
      <w:marTop w:val="0"/>
      <w:marBottom w:val="0"/>
      <w:divBdr>
        <w:top w:val="none" w:sz="0" w:space="0" w:color="auto"/>
        <w:left w:val="none" w:sz="0" w:space="0" w:color="auto"/>
        <w:bottom w:val="none" w:sz="0" w:space="0" w:color="auto"/>
        <w:right w:val="none" w:sz="0" w:space="0" w:color="auto"/>
      </w:divBdr>
    </w:div>
    <w:div w:id="1913343617">
      <w:bodyDiv w:val="1"/>
      <w:marLeft w:val="0"/>
      <w:marRight w:val="0"/>
      <w:marTop w:val="0"/>
      <w:marBottom w:val="0"/>
      <w:divBdr>
        <w:top w:val="none" w:sz="0" w:space="0" w:color="auto"/>
        <w:left w:val="none" w:sz="0" w:space="0" w:color="auto"/>
        <w:bottom w:val="none" w:sz="0" w:space="0" w:color="auto"/>
        <w:right w:val="none" w:sz="0" w:space="0" w:color="auto"/>
      </w:divBdr>
    </w:div>
    <w:div w:id="1924023488">
      <w:bodyDiv w:val="1"/>
      <w:marLeft w:val="0"/>
      <w:marRight w:val="0"/>
      <w:marTop w:val="0"/>
      <w:marBottom w:val="0"/>
      <w:divBdr>
        <w:top w:val="none" w:sz="0" w:space="0" w:color="auto"/>
        <w:left w:val="none" w:sz="0" w:space="0" w:color="auto"/>
        <w:bottom w:val="none" w:sz="0" w:space="0" w:color="auto"/>
        <w:right w:val="none" w:sz="0" w:space="0" w:color="auto"/>
      </w:divBdr>
    </w:div>
    <w:div w:id="1925138409">
      <w:bodyDiv w:val="1"/>
      <w:marLeft w:val="0"/>
      <w:marRight w:val="0"/>
      <w:marTop w:val="0"/>
      <w:marBottom w:val="0"/>
      <w:divBdr>
        <w:top w:val="none" w:sz="0" w:space="0" w:color="auto"/>
        <w:left w:val="none" w:sz="0" w:space="0" w:color="auto"/>
        <w:bottom w:val="none" w:sz="0" w:space="0" w:color="auto"/>
        <w:right w:val="none" w:sz="0" w:space="0" w:color="auto"/>
      </w:divBdr>
    </w:div>
    <w:div w:id="1928684006">
      <w:bodyDiv w:val="1"/>
      <w:marLeft w:val="0"/>
      <w:marRight w:val="0"/>
      <w:marTop w:val="0"/>
      <w:marBottom w:val="0"/>
      <w:divBdr>
        <w:top w:val="none" w:sz="0" w:space="0" w:color="auto"/>
        <w:left w:val="none" w:sz="0" w:space="0" w:color="auto"/>
        <w:bottom w:val="none" w:sz="0" w:space="0" w:color="auto"/>
        <w:right w:val="none" w:sz="0" w:space="0" w:color="auto"/>
      </w:divBdr>
    </w:div>
    <w:div w:id="1932546656">
      <w:bodyDiv w:val="1"/>
      <w:marLeft w:val="0"/>
      <w:marRight w:val="0"/>
      <w:marTop w:val="0"/>
      <w:marBottom w:val="0"/>
      <w:divBdr>
        <w:top w:val="none" w:sz="0" w:space="0" w:color="auto"/>
        <w:left w:val="none" w:sz="0" w:space="0" w:color="auto"/>
        <w:bottom w:val="none" w:sz="0" w:space="0" w:color="auto"/>
        <w:right w:val="none" w:sz="0" w:space="0" w:color="auto"/>
      </w:divBdr>
    </w:div>
    <w:div w:id="1944921874">
      <w:bodyDiv w:val="1"/>
      <w:marLeft w:val="0"/>
      <w:marRight w:val="0"/>
      <w:marTop w:val="0"/>
      <w:marBottom w:val="0"/>
      <w:divBdr>
        <w:top w:val="none" w:sz="0" w:space="0" w:color="auto"/>
        <w:left w:val="none" w:sz="0" w:space="0" w:color="auto"/>
        <w:bottom w:val="none" w:sz="0" w:space="0" w:color="auto"/>
        <w:right w:val="none" w:sz="0" w:space="0" w:color="auto"/>
      </w:divBdr>
    </w:div>
    <w:div w:id="1946498537">
      <w:bodyDiv w:val="1"/>
      <w:marLeft w:val="0"/>
      <w:marRight w:val="0"/>
      <w:marTop w:val="0"/>
      <w:marBottom w:val="0"/>
      <w:divBdr>
        <w:top w:val="none" w:sz="0" w:space="0" w:color="auto"/>
        <w:left w:val="none" w:sz="0" w:space="0" w:color="auto"/>
        <w:bottom w:val="none" w:sz="0" w:space="0" w:color="auto"/>
        <w:right w:val="none" w:sz="0" w:space="0" w:color="auto"/>
      </w:divBdr>
    </w:div>
    <w:div w:id="1960448801">
      <w:bodyDiv w:val="1"/>
      <w:marLeft w:val="0"/>
      <w:marRight w:val="0"/>
      <w:marTop w:val="0"/>
      <w:marBottom w:val="0"/>
      <w:divBdr>
        <w:top w:val="none" w:sz="0" w:space="0" w:color="auto"/>
        <w:left w:val="none" w:sz="0" w:space="0" w:color="auto"/>
        <w:bottom w:val="none" w:sz="0" w:space="0" w:color="auto"/>
        <w:right w:val="none" w:sz="0" w:space="0" w:color="auto"/>
      </w:divBdr>
    </w:div>
    <w:div w:id="1963730657">
      <w:bodyDiv w:val="1"/>
      <w:marLeft w:val="0"/>
      <w:marRight w:val="0"/>
      <w:marTop w:val="0"/>
      <w:marBottom w:val="0"/>
      <w:divBdr>
        <w:top w:val="none" w:sz="0" w:space="0" w:color="auto"/>
        <w:left w:val="none" w:sz="0" w:space="0" w:color="auto"/>
        <w:bottom w:val="none" w:sz="0" w:space="0" w:color="auto"/>
        <w:right w:val="none" w:sz="0" w:space="0" w:color="auto"/>
      </w:divBdr>
    </w:div>
    <w:div w:id="1964577471">
      <w:bodyDiv w:val="1"/>
      <w:marLeft w:val="0"/>
      <w:marRight w:val="0"/>
      <w:marTop w:val="0"/>
      <w:marBottom w:val="0"/>
      <w:divBdr>
        <w:top w:val="none" w:sz="0" w:space="0" w:color="auto"/>
        <w:left w:val="none" w:sz="0" w:space="0" w:color="auto"/>
        <w:bottom w:val="none" w:sz="0" w:space="0" w:color="auto"/>
        <w:right w:val="none" w:sz="0" w:space="0" w:color="auto"/>
      </w:divBdr>
    </w:div>
    <w:div w:id="1966350096">
      <w:bodyDiv w:val="1"/>
      <w:marLeft w:val="0"/>
      <w:marRight w:val="0"/>
      <w:marTop w:val="0"/>
      <w:marBottom w:val="0"/>
      <w:divBdr>
        <w:top w:val="none" w:sz="0" w:space="0" w:color="auto"/>
        <w:left w:val="none" w:sz="0" w:space="0" w:color="auto"/>
        <w:bottom w:val="none" w:sz="0" w:space="0" w:color="auto"/>
        <w:right w:val="none" w:sz="0" w:space="0" w:color="auto"/>
      </w:divBdr>
    </w:div>
    <w:div w:id="1970740403">
      <w:bodyDiv w:val="1"/>
      <w:marLeft w:val="0"/>
      <w:marRight w:val="0"/>
      <w:marTop w:val="0"/>
      <w:marBottom w:val="0"/>
      <w:divBdr>
        <w:top w:val="none" w:sz="0" w:space="0" w:color="auto"/>
        <w:left w:val="none" w:sz="0" w:space="0" w:color="auto"/>
        <w:bottom w:val="none" w:sz="0" w:space="0" w:color="auto"/>
        <w:right w:val="none" w:sz="0" w:space="0" w:color="auto"/>
      </w:divBdr>
    </w:div>
    <w:div w:id="1983459931">
      <w:bodyDiv w:val="1"/>
      <w:marLeft w:val="0"/>
      <w:marRight w:val="0"/>
      <w:marTop w:val="0"/>
      <w:marBottom w:val="0"/>
      <w:divBdr>
        <w:top w:val="none" w:sz="0" w:space="0" w:color="auto"/>
        <w:left w:val="none" w:sz="0" w:space="0" w:color="auto"/>
        <w:bottom w:val="none" w:sz="0" w:space="0" w:color="auto"/>
        <w:right w:val="none" w:sz="0" w:space="0" w:color="auto"/>
      </w:divBdr>
    </w:div>
    <w:div w:id="1983733617">
      <w:bodyDiv w:val="1"/>
      <w:marLeft w:val="0"/>
      <w:marRight w:val="0"/>
      <w:marTop w:val="0"/>
      <w:marBottom w:val="0"/>
      <w:divBdr>
        <w:top w:val="none" w:sz="0" w:space="0" w:color="auto"/>
        <w:left w:val="none" w:sz="0" w:space="0" w:color="auto"/>
        <w:bottom w:val="none" w:sz="0" w:space="0" w:color="auto"/>
        <w:right w:val="none" w:sz="0" w:space="0" w:color="auto"/>
      </w:divBdr>
    </w:div>
    <w:div w:id="1998417587">
      <w:bodyDiv w:val="1"/>
      <w:marLeft w:val="0"/>
      <w:marRight w:val="0"/>
      <w:marTop w:val="0"/>
      <w:marBottom w:val="0"/>
      <w:divBdr>
        <w:top w:val="none" w:sz="0" w:space="0" w:color="auto"/>
        <w:left w:val="none" w:sz="0" w:space="0" w:color="auto"/>
        <w:bottom w:val="none" w:sz="0" w:space="0" w:color="auto"/>
        <w:right w:val="none" w:sz="0" w:space="0" w:color="auto"/>
      </w:divBdr>
    </w:div>
    <w:div w:id="2003463794">
      <w:bodyDiv w:val="1"/>
      <w:marLeft w:val="0"/>
      <w:marRight w:val="0"/>
      <w:marTop w:val="0"/>
      <w:marBottom w:val="0"/>
      <w:divBdr>
        <w:top w:val="none" w:sz="0" w:space="0" w:color="auto"/>
        <w:left w:val="none" w:sz="0" w:space="0" w:color="auto"/>
        <w:bottom w:val="none" w:sz="0" w:space="0" w:color="auto"/>
        <w:right w:val="none" w:sz="0" w:space="0" w:color="auto"/>
      </w:divBdr>
    </w:div>
    <w:div w:id="2011444318">
      <w:bodyDiv w:val="1"/>
      <w:marLeft w:val="0"/>
      <w:marRight w:val="0"/>
      <w:marTop w:val="0"/>
      <w:marBottom w:val="0"/>
      <w:divBdr>
        <w:top w:val="none" w:sz="0" w:space="0" w:color="auto"/>
        <w:left w:val="none" w:sz="0" w:space="0" w:color="auto"/>
        <w:bottom w:val="none" w:sz="0" w:space="0" w:color="auto"/>
        <w:right w:val="none" w:sz="0" w:space="0" w:color="auto"/>
      </w:divBdr>
    </w:div>
    <w:div w:id="2012095741">
      <w:bodyDiv w:val="1"/>
      <w:marLeft w:val="0"/>
      <w:marRight w:val="0"/>
      <w:marTop w:val="0"/>
      <w:marBottom w:val="0"/>
      <w:divBdr>
        <w:top w:val="none" w:sz="0" w:space="0" w:color="auto"/>
        <w:left w:val="none" w:sz="0" w:space="0" w:color="auto"/>
        <w:bottom w:val="none" w:sz="0" w:space="0" w:color="auto"/>
        <w:right w:val="none" w:sz="0" w:space="0" w:color="auto"/>
      </w:divBdr>
    </w:div>
    <w:div w:id="2019262354">
      <w:bodyDiv w:val="1"/>
      <w:marLeft w:val="0"/>
      <w:marRight w:val="0"/>
      <w:marTop w:val="0"/>
      <w:marBottom w:val="0"/>
      <w:divBdr>
        <w:top w:val="none" w:sz="0" w:space="0" w:color="auto"/>
        <w:left w:val="none" w:sz="0" w:space="0" w:color="auto"/>
        <w:bottom w:val="none" w:sz="0" w:space="0" w:color="auto"/>
        <w:right w:val="none" w:sz="0" w:space="0" w:color="auto"/>
      </w:divBdr>
    </w:div>
    <w:div w:id="2032562760">
      <w:bodyDiv w:val="1"/>
      <w:marLeft w:val="0"/>
      <w:marRight w:val="0"/>
      <w:marTop w:val="0"/>
      <w:marBottom w:val="0"/>
      <w:divBdr>
        <w:top w:val="none" w:sz="0" w:space="0" w:color="auto"/>
        <w:left w:val="none" w:sz="0" w:space="0" w:color="auto"/>
        <w:bottom w:val="none" w:sz="0" w:space="0" w:color="auto"/>
        <w:right w:val="none" w:sz="0" w:space="0" w:color="auto"/>
      </w:divBdr>
    </w:div>
    <w:div w:id="2033677388">
      <w:bodyDiv w:val="1"/>
      <w:marLeft w:val="0"/>
      <w:marRight w:val="0"/>
      <w:marTop w:val="0"/>
      <w:marBottom w:val="0"/>
      <w:divBdr>
        <w:top w:val="none" w:sz="0" w:space="0" w:color="auto"/>
        <w:left w:val="none" w:sz="0" w:space="0" w:color="auto"/>
        <w:bottom w:val="none" w:sz="0" w:space="0" w:color="auto"/>
        <w:right w:val="none" w:sz="0" w:space="0" w:color="auto"/>
      </w:divBdr>
    </w:div>
    <w:div w:id="2038267362">
      <w:bodyDiv w:val="1"/>
      <w:marLeft w:val="0"/>
      <w:marRight w:val="0"/>
      <w:marTop w:val="0"/>
      <w:marBottom w:val="0"/>
      <w:divBdr>
        <w:top w:val="none" w:sz="0" w:space="0" w:color="auto"/>
        <w:left w:val="none" w:sz="0" w:space="0" w:color="auto"/>
        <w:bottom w:val="none" w:sz="0" w:space="0" w:color="auto"/>
        <w:right w:val="none" w:sz="0" w:space="0" w:color="auto"/>
      </w:divBdr>
    </w:div>
    <w:div w:id="2038965380">
      <w:bodyDiv w:val="1"/>
      <w:marLeft w:val="0"/>
      <w:marRight w:val="0"/>
      <w:marTop w:val="0"/>
      <w:marBottom w:val="0"/>
      <w:divBdr>
        <w:top w:val="none" w:sz="0" w:space="0" w:color="auto"/>
        <w:left w:val="none" w:sz="0" w:space="0" w:color="auto"/>
        <w:bottom w:val="none" w:sz="0" w:space="0" w:color="auto"/>
        <w:right w:val="none" w:sz="0" w:space="0" w:color="auto"/>
      </w:divBdr>
    </w:div>
    <w:div w:id="2054191921">
      <w:bodyDiv w:val="1"/>
      <w:marLeft w:val="0"/>
      <w:marRight w:val="0"/>
      <w:marTop w:val="0"/>
      <w:marBottom w:val="0"/>
      <w:divBdr>
        <w:top w:val="none" w:sz="0" w:space="0" w:color="auto"/>
        <w:left w:val="none" w:sz="0" w:space="0" w:color="auto"/>
        <w:bottom w:val="none" w:sz="0" w:space="0" w:color="auto"/>
        <w:right w:val="none" w:sz="0" w:space="0" w:color="auto"/>
      </w:divBdr>
    </w:div>
    <w:div w:id="2057314416">
      <w:bodyDiv w:val="1"/>
      <w:marLeft w:val="0"/>
      <w:marRight w:val="0"/>
      <w:marTop w:val="0"/>
      <w:marBottom w:val="0"/>
      <w:divBdr>
        <w:top w:val="none" w:sz="0" w:space="0" w:color="auto"/>
        <w:left w:val="none" w:sz="0" w:space="0" w:color="auto"/>
        <w:bottom w:val="none" w:sz="0" w:space="0" w:color="auto"/>
        <w:right w:val="none" w:sz="0" w:space="0" w:color="auto"/>
      </w:divBdr>
    </w:div>
    <w:div w:id="2063093830">
      <w:bodyDiv w:val="1"/>
      <w:marLeft w:val="0"/>
      <w:marRight w:val="0"/>
      <w:marTop w:val="0"/>
      <w:marBottom w:val="0"/>
      <w:divBdr>
        <w:top w:val="none" w:sz="0" w:space="0" w:color="auto"/>
        <w:left w:val="none" w:sz="0" w:space="0" w:color="auto"/>
        <w:bottom w:val="none" w:sz="0" w:space="0" w:color="auto"/>
        <w:right w:val="none" w:sz="0" w:space="0" w:color="auto"/>
      </w:divBdr>
    </w:div>
    <w:div w:id="2067682704">
      <w:bodyDiv w:val="1"/>
      <w:marLeft w:val="0"/>
      <w:marRight w:val="0"/>
      <w:marTop w:val="0"/>
      <w:marBottom w:val="0"/>
      <w:divBdr>
        <w:top w:val="none" w:sz="0" w:space="0" w:color="auto"/>
        <w:left w:val="none" w:sz="0" w:space="0" w:color="auto"/>
        <w:bottom w:val="none" w:sz="0" w:space="0" w:color="auto"/>
        <w:right w:val="none" w:sz="0" w:space="0" w:color="auto"/>
      </w:divBdr>
    </w:div>
    <w:div w:id="2074497301">
      <w:bodyDiv w:val="1"/>
      <w:marLeft w:val="0"/>
      <w:marRight w:val="0"/>
      <w:marTop w:val="0"/>
      <w:marBottom w:val="0"/>
      <w:divBdr>
        <w:top w:val="none" w:sz="0" w:space="0" w:color="auto"/>
        <w:left w:val="none" w:sz="0" w:space="0" w:color="auto"/>
        <w:bottom w:val="none" w:sz="0" w:space="0" w:color="auto"/>
        <w:right w:val="none" w:sz="0" w:space="0" w:color="auto"/>
      </w:divBdr>
    </w:div>
    <w:div w:id="2081898287">
      <w:bodyDiv w:val="1"/>
      <w:marLeft w:val="0"/>
      <w:marRight w:val="0"/>
      <w:marTop w:val="0"/>
      <w:marBottom w:val="0"/>
      <w:divBdr>
        <w:top w:val="none" w:sz="0" w:space="0" w:color="auto"/>
        <w:left w:val="none" w:sz="0" w:space="0" w:color="auto"/>
        <w:bottom w:val="none" w:sz="0" w:space="0" w:color="auto"/>
        <w:right w:val="none" w:sz="0" w:space="0" w:color="auto"/>
      </w:divBdr>
    </w:div>
    <w:div w:id="2084376461">
      <w:bodyDiv w:val="1"/>
      <w:marLeft w:val="0"/>
      <w:marRight w:val="0"/>
      <w:marTop w:val="0"/>
      <w:marBottom w:val="0"/>
      <w:divBdr>
        <w:top w:val="none" w:sz="0" w:space="0" w:color="auto"/>
        <w:left w:val="none" w:sz="0" w:space="0" w:color="auto"/>
        <w:bottom w:val="none" w:sz="0" w:space="0" w:color="auto"/>
        <w:right w:val="none" w:sz="0" w:space="0" w:color="auto"/>
      </w:divBdr>
    </w:div>
    <w:div w:id="2089839980">
      <w:bodyDiv w:val="1"/>
      <w:marLeft w:val="0"/>
      <w:marRight w:val="0"/>
      <w:marTop w:val="0"/>
      <w:marBottom w:val="0"/>
      <w:divBdr>
        <w:top w:val="none" w:sz="0" w:space="0" w:color="auto"/>
        <w:left w:val="none" w:sz="0" w:space="0" w:color="auto"/>
        <w:bottom w:val="none" w:sz="0" w:space="0" w:color="auto"/>
        <w:right w:val="none" w:sz="0" w:space="0" w:color="auto"/>
      </w:divBdr>
    </w:div>
    <w:div w:id="2092504302">
      <w:bodyDiv w:val="1"/>
      <w:marLeft w:val="0"/>
      <w:marRight w:val="0"/>
      <w:marTop w:val="0"/>
      <w:marBottom w:val="0"/>
      <w:divBdr>
        <w:top w:val="none" w:sz="0" w:space="0" w:color="auto"/>
        <w:left w:val="none" w:sz="0" w:space="0" w:color="auto"/>
        <w:bottom w:val="none" w:sz="0" w:space="0" w:color="auto"/>
        <w:right w:val="none" w:sz="0" w:space="0" w:color="auto"/>
      </w:divBdr>
    </w:div>
    <w:div w:id="2096201686">
      <w:bodyDiv w:val="1"/>
      <w:marLeft w:val="0"/>
      <w:marRight w:val="0"/>
      <w:marTop w:val="0"/>
      <w:marBottom w:val="0"/>
      <w:divBdr>
        <w:top w:val="none" w:sz="0" w:space="0" w:color="auto"/>
        <w:left w:val="none" w:sz="0" w:space="0" w:color="auto"/>
        <w:bottom w:val="none" w:sz="0" w:space="0" w:color="auto"/>
        <w:right w:val="none" w:sz="0" w:space="0" w:color="auto"/>
      </w:divBdr>
    </w:div>
    <w:div w:id="2102138502">
      <w:bodyDiv w:val="1"/>
      <w:marLeft w:val="0"/>
      <w:marRight w:val="0"/>
      <w:marTop w:val="0"/>
      <w:marBottom w:val="0"/>
      <w:divBdr>
        <w:top w:val="none" w:sz="0" w:space="0" w:color="auto"/>
        <w:left w:val="none" w:sz="0" w:space="0" w:color="auto"/>
        <w:bottom w:val="none" w:sz="0" w:space="0" w:color="auto"/>
        <w:right w:val="none" w:sz="0" w:space="0" w:color="auto"/>
      </w:divBdr>
    </w:div>
    <w:div w:id="2105952678">
      <w:bodyDiv w:val="1"/>
      <w:marLeft w:val="0"/>
      <w:marRight w:val="0"/>
      <w:marTop w:val="0"/>
      <w:marBottom w:val="0"/>
      <w:divBdr>
        <w:top w:val="none" w:sz="0" w:space="0" w:color="auto"/>
        <w:left w:val="none" w:sz="0" w:space="0" w:color="auto"/>
        <w:bottom w:val="none" w:sz="0" w:space="0" w:color="auto"/>
        <w:right w:val="none" w:sz="0" w:space="0" w:color="auto"/>
      </w:divBdr>
    </w:div>
    <w:div w:id="2111192938">
      <w:bodyDiv w:val="1"/>
      <w:marLeft w:val="0"/>
      <w:marRight w:val="0"/>
      <w:marTop w:val="0"/>
      <w:marBottom w:val="0"/>
      <w:divBdr>
        <w:top w:val="none" w:sz="0" w:space="0" w:color="auto"/>
        <w:left w:val="none" w:sz="0" w:space="0" w:color="auto"/>
        <w:bottom w:val="none" w:sz="0" w:space="0" w:color="auto"/>
        <w:right w:val="none" w:sz="0" w:space="0" w:color="auto"/>
      </w:divBdr>
    </w:div>
    <w:div w:id="2120446220">
      <w:bodyDiv w:val="1"/>
      <w:marLeft w:val="0"/>
      <w:marRight w:val="0"/>
      <w:marTop w:val="0"/>
      <w:marBottom w:val="0"/>
      <w:divBdr>
        <w:top w:val="none" w:sz="0" w:space="0" w:color="auto"/>
        <w:left w:val="none" w:sz="0" w:space="0" w:color="auto"/>
        <w:bottom w:val="none" w:sz="0" w:space="0" w:color="auto"/>
        <w:right w:val="none" w:sz="0" w:space="0" w:color="auto"/>
      </w:divBdr>
    </w:div>
    <w:div w:id="2122338578">
      <w:bodyDiv w:val="1"/>
      <w:marLeft w:val="0"/>
      <w:marRight w:val="0"/>
      <w:marTop w:val="0"/>
      <w:marBottom w:val="0"/>
      <w:divBdr>
        <w:top w:val="none" w:sz="0" w:space="0" w:color="auto"/>
        <w:left w:val="none" w:sz="0" w:space="0" w:color="auto"/>
        <w:bottom w:val="none" w:sz="0" w:space="0" w:color="auto"/>
        <w:right w:val="none" w:sz="0" w:space="0" w:color="auto"/>
      </w:divBdr>
    </w:div>
    <w:div w:id="2122843815">
      <w:bodyDiv w:val="1"/>
      <w:marLeft w:val="0"/>
      <w:marRight w:val="0"/>
      <w:marTop w:val="0"/>
      <w:marBottom w:val="0"/>
      <w:divBdr>
        <w:top w:val="none" w:sz="0" w:space="0" w:color="auto"/>
        <w:left w:val="none" w:sz="0" w:space="0" w:color="auto"/>
        <w:bottom w:val="none" w:sz="0" w:space="0" w:color="auto"/>
        <w:right w:val="none" w:sz="0" w:space="0" w:color="auto"/>
      </w:divBdr>
    </w:div>
    <w:div w:id="2133133715">
      <w:bodyDiv w:val="1"/>
      <w:marLeft w:val="0"/>
      <w:marRight w:val="0"/>
      <w:marTop w:val="0"/>
      <w:marBottom w:val="0"/>
      <w:divBdr>
        <w:top w:val="none" w:sz="0" w:space="0" w:color="auto"/>
        <w:left w:val="none" w:sz="0" w:space="0" w:color="auto"/>
        <w:bottom w:val="none" w:sz="0" w:space="0" w:color="auto"/>
        <w:right w:val="none" w:sz="0" w:space="0" w:color="auto"/>
      </w:divBdr>
    </w:div>
    <w:div w:id="2140755685">
      <w:bodyDiv w:val="1"/>
      <w:marLeft w:val="0"/>
      <w:marRight w:val="0"/>
      <w:marTop w:val="0"/>
      <w:marBottom w:val="0"/>
      <w:divBdr>
        <w:top w:val="none" w:sz="0" w:space="0" w:color="auto"/>
        <w:left w:val="none" w:sz="0" w:space="0" w:color="auto"/>
        <w:bottom w:val="none" w:sz="0" w:space="0" w:color="auto"/>
        <w:right w:val="none" w:sz="0" w:space="0" w:color="auto"/>
      </w:divBdr>
    </w:div>
    <w:div w:id="214619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4C1B9-0446-4F64-A242-C6B51676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272</Pages>
  <Words>84945</Words>
  <Characters>467201</Characters>
  <Application>Microsoft Office Word</Application>
  <DocSecurity>0</DocSecurity>
  <Lines>3893</Lines>
  <Paragraphs>1102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argesavi59@outlook.com</dc:creator>
  <cp:keywords/>
  <dc:description/>
  <cp:lastModifiedBy>Gerardo Cordero Arguedas</cp:lastModifiedBy>
  <cp:revision>3</cp:revision>
  <dcterms:created xsi:type="dcterms:W3CDTF">2024-10-24T21:00:00Z</dcterms:created>
  <dcterms:modified xsi:type="dcterms:W3CDTF">2024-10-24T21:56:00Z</dcterms:modified>
</cp:coreProperties>
</file>